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3A87449D" w14:textId="77777777" w:rsidR="00EE59C2" w:rsidRDefault="00CC5156" w:rsidP="00EE59C2">
      <w:pPr>
        <w:pStyle w:val="aff8"/>
      </w:pPr>
      <w:r>
        <w:rPr>
          <w:noProof/>
          <w:lang w:eastAsia="ru-RU"/>
        </w:rPr>
        <mc:AlternateContent>
          <mc:Choice Requires="wps">
            <w:drawing>
              <wp:anchor distT="0" distB="0" distL="114300" distR="114300" simplePos="0" relativeHeight="251660288" behindDoc="1" locked="0" layoutInCell="1" allowOverlap="1" wp14:anchorId="5BE7B87C" wp14:editId="639D4250">
                <wp:simplePos x="0" y="0"/>
                <wp:positionH relativeFrom="column">
                  <wp:posOffset>-822960</wp:posOffset>
                </wp:positionH>
                <wp:positionV relativeFrom="paragraph">
                  <wp:posOffset>-491490</wp:posOffset>
                </wp:positionV>
                <wp:extent cx="7000875" cy="8448675"/>
                <wp:effectExtent l="0" t="0" r="9525" b="9525"/>
                <wp:wrapNone/>
                <wp:docPr id="2"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00875" cy="8448675"/>
                        </a:xfrm>
                        <a:prstGeom prst="rect">
                          <a:avLst/>
                        </a:prstGeom>
                        <a:solidFill>
                          <a:schemeClr val="bg1"/>
                        </a:solidFill>
                        <a:ln>
                          <a:noFill/>
                        </a:ln>
                      </wps:spPr>
                      <wps:style>
                        <a:lnRef idx="0">
                          <a:scrgbClr r="0" g="0" b="0"/>
                        </a:lnRef>
                        <a:fillRef idx="0">
                          <a:scrgbClr r="0" g="0" b="0"/>
                        </a:fillRef>
                        <a:effectRef idx="0">
                          <a:scrgbClr r="0" g="0" b="0"/>
                        </a:effectRef>
                        <a:fontRef idx="minor">
                          <a:schemeClr val="lt1"/>
                        </a:fontRef>
                      </wps:style>
                      <wps:txbx>
                        <w:txbxContent>
                          <w:p w14:paraId="4ED88F5B" w14:textId="77777777" w:rsidR="00D67F1D" w:rsidRDefault="00D67F1D" w:rsidP="00F8226D">
                            <w:pPr>
                              <w:jc w:val="center"/>
                            </w:pPr>
                            <w: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E7B87C" id="Прямоугольник 3" o:spid="_x0000_s1026" style="position:absolute;left:0;text-align:left;margin-left:-64.8pt;margin-top:-38.7pt;width:551.25pt;height:665.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" fillcolor="white [3212]" stroked="f">
                <v:textbox>
                  <w:txbxContent>
                    <w:p w14:paraId="4ED88F5B" w14:textId="77777777" w:rsidR="00D67F1D" w:rsidRDefault="00D67F1D" w:rsidP="00F8226D">
                      <w:pPr>
                        <w:jc w:val="center"/>
                      </w:pPr>
                      <w:r>
                        <w:t>\9</w:t>
                      </w:r>
                    </w:p>
                  </w:txbxContent>
                </v:textbox>
              </v:rect>
            </w:pict>
          </mc:Fallback>
        </mc:AlternateContent>
      </w:r>
      <w:r w:rsidR="00F756F0">
        <w:rPr>
          <w:noProof/>
          <w:lang w:eastAsia="ru-RU"/>
        </w:rPr>
        <mc:AlternateContent>
          <mc:Choice Requires="wps">
            <w:drawing>
              <wp:anchor distT="0" distB="0" distL="114300" distR="114300" simplePos="0" relativeHeight="251659264" behindDoc="1" locked="0" layoutInCell="1" allowOverlap="1" wp14:anchorId="2305EC07" wp14:editId="353C90C6">
                <wp:simplePos x="0" y="0"/>
                <wp:positionH relativeFrom="page">
                  <wp:posOffset>-35560</wp:posOffset>
                </wp:positionH>
                <wp:positionV relativeFrom="paragraph">
                  <wp:posOffset>-1113790</wp:posOffset>
                </wp:positionV>
                <wp:extent cx="7601585" cy="11021060"/>
                <wp:effectExtent l="0" t="0" r="0" b="8890"/>
                <wp:wrapNone/>
                <wp:docPr id="4"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01585" cy="11021060"/>
                        </a:xfrm>
                        <a:prstGeom prst="rect">
                          <a:avLst/>
                        </a:prstGeom>
                        <a:solidFill>
                          <a:srgbClr val="0B595D">
                            <a:alpha val="10000"/>
                          </a:srgbClr>
                        </a:solidFill>
                        <a:ln>
                          <a:noFill/>
                        </a:ln>
                      </wps:spPr>
                      <wps:style>
                        <a:lnRef idx="2">
                          <a:schemeClr val="accent1">
                            <a:shade val="50000"/>
                          </a:schemeClr>
                        </a:lnRef>
                        <a:fillRef idx="1">
                          <a:schemeClr val="accent1"/>
                        </a:fillRef>
                        <a:effectRef idx="0">
                          <a:schemeClr val="accent1"/>
                        </a:effectRef>
                        <a:fontRef idx="minor"/>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A1B448" id="Прямоугольник 3" o:spid="_x0000_s1026" style="position:absolute;margin-left:-2.8pt;margin-top:-87.7pt;width:598.55pt;height:867.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" fillcolor="#0b595d" stroked="f" strokeweight="1pt">
                <v:fill opacity="6682f"/>
                <v:path arrowok="t"/>
                <w10:wrap anchorx="page"/>
              </v:rect>
            </w:pict>
          </mc:Fallback>
        </mc:AlternateContent>
      </w:r>
    </w:p>
    <w:p w14:paraId="726003F0" w14:textId="77777777" w:rsidR="00EE59C2" w:rsidRDefault="00EE59C2" w:rsidP="00EE59C2">
      <w:pPr>
        <w:pStyle w:val="aff8"/>
      </w:pPr>
    </w:p>
    <w:p w14:paraId="68840446" w14:textId="77777777" w:rsidR="002145F1" w:rsidRDefault="002145F1" w:rsidP="002145F1"/>
    <w:p w14:paraId="2BA4D576" w14:textId="77777777" w:rsidR="002145F1" w:rsidRDefault="002145F1" w:rsidP="002145F1"/>
    <w:p w14:paraId="6D9DD626" w14:textId="77777777" w:rsidR="002145F1" w:rsidRDefault="002145F1" w:rsidP="002145F1"/>
    <w:p w14:paraId="5B2D582E" w14:textId="77777777" w:rsidR="002145F1" w:rsidRDefault="002145F1" w:rsidP="002145F1"/>
    <w:tbl>
      <w:tblPr>
        <w:tblStyle w:val="aff9"/>
        <w:tblpPr w:leftFromText="180" w:rightFromText="180" w:vertAnchor="page" w:horzAnchor="margin" w:tblpXSpec="right" w:tblpY="3781"/>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839"/>
      </w:tblGrid>
      <w:tr w:rsidR="00172112" w14:paraId="183C4F16" w14:textId="77777777" w:rsidTr="00172112">
        <w:tc>
          <w:tcPr>
            <w:tcW w:w="9525" w:type="dxa"/>
            <w:gridSpan w:val="2"/>
          </w:tcPr>
          <w:p w14:paraId="759CB799" w14:textId="77777777" w:rsidR="00172112" w:rsidRDefault="00172112" w:rsidP="00172112">
            <w:pPr>
              <w:tabs>
                <w:tab w:val="left" w:pos="6135"/>
              </w:tabs>
              <w:rPr>
                <w:sz w:val="28"/>
                <w:szCs w:val="28"/>
              </w:rPr>
            </w:pPr>
            <w:r>
              <w:rPr>
                <w:color w:val="808080" w:themeColor="background1" w:themeShade="80"/>
              </w:rPr>
              <w:t xml:space="preserve">Клинические </w:t>
            </w:r>
            <w:r w:rsidRPr="005F668D">
              <w:rPr>
                <w:noProof/>
                <w:color w:val="767171" w:themeColor="background2" w:themeShade="80"/>
                <w:lang w:eastAsia="ru-RU"/>
              </w:rPr>
              <w:t>рекомендации</w:t>
            </w:r>
          </w:p>
        </w:tc>
      </w:tr>
      <w:tr w:rsidR="00172112" w14:paraId="513E5731" w14:textId="77777777" w:rsidTr="00172112">
        <w:trPr>
          <w:trHeight w:val="1907"/>
        </w:trPr>
        <w:tc>
          <w:tcPr>
            <w:tcW w:w="9525" w:type="dxa"/>
            <w:gridSpan w:val="2"/>
          </w:tcPr>
          <w:p w14:paraId="5CB2C50C" w14:textId="77777777" w:rsidR="00172112" w:rsidRDefault="006619AD" w:rsidP="00172112">
            <w:pPr>
              <w:tabs>
                <w:tab w:val="left" w:pos="6135"/>
              </w:tabs>
              <w:rPr>
                <w:sz w:val="28"/>
                <w:szCs w:val="28"/>
              </w:rPr>
            </w:pPr>
            <w:r>
              <w:rPr>
                <w:b/>
                <w:color w:val="000000"/>
                <w:sz w:val="44"/>
                <w:szCs w:val="44"/>
              </w:rPr>
              <w:t>Лимфома Ходжкина</w:t>
            </w:r>
          </w:p>
        </w:tc>
      </w:tr>
      <w:tr w:rsidR="00221384" w14:paraId="0B45B3B0" w14:textId="77777777" w:rsidTr="00221384">
        <w:trPr>
          <w:trHeight w:val="815"/>
        </w:trPr>
        <w:tc>
          <w:tcPr>
            <w:tcW w:w="3686" w:type="dxa"/>
          </w:tcPr>
          <w:p w14:paraId="5FA3D9FA" w14:textId="77777777" w:rsidR="00221384" w:rsidRPr="002758A4" w:rsidRDefault="00221384" w:rsidP="00221384">
            <w:pPr>
              <w:tabs>
                <w:tab w:val="left" w:pos="6135"/>
              </w:tabs>
              <w:spacing w:line="276" w:lineRule="auto"/>
              <w:ind w:firstLine="0"/>
              <w:jc w:val="right"/>
              <w:rPr>
                <w:szCs w:val="28"/>
              </w:rPr>
            </w:pPr>
            <w:r w:rsidRPr="00221384">
              <w:rPr>
                <w:color w:val="808080" w:themeColor="background1" w:themeShade="80"/>
                <w:szCs w:val="28"/>
              </w:rPr>
              <w:t>Кодирование по Международной статистической классификации болезней и проблем, связанных со здоровьем</w:t>
            </w:r>
            <w:r w:rsidRPr="002758A4">
              <w:rPr>
                <w:color w:val="808080" w:themeColor="background1" w:themeShade="80"/>
                <w:szCs w:val="28"/>
              </w:rPr>
              <w:t xml:space="preserve">: </w:t>
            </w:r>
          </w:p>
          <w:p w14:paraId="2BEE2A3B" w14:textId="77777777" w:rsidR="00221384" w:rsidRPr="002758A4" w:rsidRDefault="00221384" w:rsidP="00221384">
            <w:pPr>
              <w:pStyle w:val="aff4"/>
              <w:spacing w:line="276" w:lineRule="auto"/>
              <w:ind w:firstLine="0"/>
              <w:jc w:val="right"/>
              <w:rPr>
                <w:sz w:val="24"/>
                <w:szCs w:val="28"/>
              </w:rPr>
            </w:pPr>
          </w:p>
        </w:tc>
        <w:tc>
          <w:tcPr>
            <w:tcW w:w="5839" w:type="dxa"/>
          </w:tcPr>
          <w:p w14:paraId="6AD6EE2D" w14:textId="77777777" w:rsidR="00221384" w:rsidRDefault="00221384" w:rsidP="00221384">
            <w:pPr>
              <w:tabs>
                <w:tab w:val="left" w:pos="6135"/>
              </w:tabs>
              <w:spacing w:line="276" w:lineRule="auto"/>
              <w:ind w:firstLine="0"/>
              <w:jc w:val="left"/>
              <w:rPr>
                <w:szCs w:val="28"/>
              </w:rPr>
            </w:pPr>
          </w:p>
          <w:p w14:paraId="527C1EE5" w14:textId="77777777" w:rsidR="006619AD" w:rsidRDefault="006619AD" w:rsidP="00221384">
            <w:pPr>
              <w:tabs>
                <w:tab w:val="left" w:pos="6135"/>
              </w:tabs>
              <w:spacing w:line="276" w:lineRule="auto"/>
              <w:ind w:firstLine="0"/>
              <w:jc w:val="left"/>
              <w:rPr>
                <w:szCs w:val="28"/>
              </w:rPr>
            </w:pPr>
          </w:p>
          <w:p w14:paraId="7EBA1C6B" w14:textId="77777777" w:rsidR="006619AD" w:rsidRDefault="006619AD" w:rsidP="00221384">
            <w:pPr>
              <w:tabs>
                <w:tab w:val="left" w:pos="6135"/>
              </w:tabs>
              <w:spacing w:line="276" w:lineRule="auto"/>
              <w:ind w:firstLine="0"/>
              <w:jc w:val="left"/>
              <w:rPr>
                <w:szCs w:val="28"/>
              </w:rPr>
            </w:pPr>
          </w:p>
          <w:p w14:paraId="44E11DEC" w14:textId="77777777" w:rsidR="006619AD" w:rsidRPr="006619AD" w:rsidRDefault="006619AD" w:rsidP="00221384">
            <w:pPr>
              <w:tabs>
                <w:tab w:val="left" w:pos="6135"/>
              </w:tabs>
              <w:spacing w:line="276" w:lineRule="auto"/>
              <w:ind w:firstLine="0"/>
              <w:jc w:val="left"/>
              <w:rPr>
                <w:b/>
                <w:bCs/>
                <w:szCs w:val="28"/>
              </w:rPr>
            </w:pPr>
            <w:r w:rsidRPr="006619AD">
              <w:rPr>
                <w:b/>
                <w:bCs/>
                <w:szCs w:val="28"/>
              </w:rPr>
              <w:t>С81</w:t>
            </w:r>
          </w:p>
        </w:tc>
      </w:tr>
      <w:tr w:rsidR="00221384" w14:paraId="72DFF398" w14:textId="77777777" w:rsidTr="00221384">
        <w:trPr>
          <w:trHeight w:val="815"/>
        </w:trPr>
        <w:tc>
          <w:tcPr>
            <w:tcW w:w="3686" w:type="dxa"/>
          </w:tcPr>
          <w:p w14:paraId="0C0B2F52" w14:textId="77777777" w:rsidR="00221384" w:rsidRPr="00221384" w:rsidRDefault="00221384" w:rsidP="00221384">
            <w:pPr>
              <w:tabs>
                <w:tab w:val="left" w:pos="6135"/>
              </w:tabs>
              <w:spacing w:line="276" w:lineRule="auto"/>
              <w:ind w:firstLine="0"/>
              <w:jc w:val="right"/>
              <w:rPr>
                <w:color w:val="808080" w:themeColor="background1" w:themeShade="80"/>
                <w:szCs w:val="28"/>
              </w:rPr>
            </w:pPr>
            <w:r>
              <w:rPr>
                <w:rStyle w:val="pop-slug-vol"/>
                <w:color w:val="767171" w:themeColor="background2" w:themeShade="80"/>
                <w:szCs w:val="28"/>
              </w:rPr>
              <w:t>Возрастная группа</w:t>
            </w:r>
            <w:r w:rsidRPr="002758A4">
              <w:rPr>
                <w:rStyle w:val="pop-slug-vol"/>
                <w:color w:val="767171" w:themeColor="background2" w:themeShade="80"/>
                <w:szCs w:val="28"/>
              </w:rPr>
              <w:t>:</w:t>
            </w:r>
            <w:r w:rsidRPr="002758A4">
              <w:rPr>
                <w:rStyle w:val="pop-slug-vol"/>
                <w:b/>
                <w:color w:val="767171" w:themeColor="background2" w:themeShade="80"/>
                <w:szCs w:val="28"/>
              </w:rPr>
              <w:t xml:space="preserve"> </w:t>
            </w:r>
            <w:r w:rsidRPr="002758A4">
              <w:rPr>
                <w:szCs w:val="28"/>
              </w:rPr>
              <w:t xml:space="preserve"> </w:t>
            </w:r>
          </w:p>
        </w:tc>
        <w:tc>
          <w:tcPr>
            <w:tcW w:w="5839" w:type="dxa"/>
          </w:tcPr>
          <w:p w14:paraId="2423221A" w14:textId="77777777" w:rsidR="00221384" w:rsidRPr="00221384" w:rsidRDefault="001260FA" w:rsidP="00221384">
            <w:pPr>
              <w:tabs>
                <w:tab w:val="left" w:pos="6135"/>
              </w:tabs>
              <w:spacing w:line="276" w:lineRule="auto"/>
              <w:ind w:firstLine="0"/>
              <w:jc w:val="left"/>
              <w:rPr>
                <w:color w:val="808080" w:themeColor="background1" w:themeShade="80"/>
                <w:szCs w:val="28"/>
              </w:rPr>
            </w:pPr>
            <w:r w:rsidRPr="006619AD">
              <w:rPr>
                <w:b/>
                <w:bCs/>
                <w:szCs w:val="28"/>
              </w:rPr>
              <w:t>В</w:t>
            </w:r>
            <w:r w:rsidR="006619AD" w:rsidRPr="006619AD">
              <w:rPr>
                <w:b/>
                <w:bCs/>
                <w:szCs w:val="28"/>
              </w:rPr>
              <w:t>зрослые</w:t>
            </w:r>
            <w:r>
              <w:rPr>
                <w:b/>
                <w:bCs/>
                <w:szCs w:val="28"/>
              </w:rPr>
              <w:t>, дети</w:t>
            </w:r>
          </w:p>
        </w:tc>
      </w:tr>
      <w:tr w:rsidR="00221384" w14:paraId="708B0BE7" w14:textId="77777777" w:rsidTr="00221384">
        <w:trPr>
          <w:trHeight w:val="815"/>
        </w:trPr>
        <w:tc>
          <w:tcPr>
            <w:tcW w:w="3686" w:type="dxa"/>
          </w:tcPr>
          <w:p w14:paraId="1490F83F" w14:textId="77777777" w:rsidR="00221384" w:rsidRPr="00221384" w:rsidRDefault="00221384" w:rsidP="00221384">
            <w:pPr>
              <w:tabs>
                <w:tab w:val="left" w:pos="6135"/>
              </w:tabs>
              <w:spacing w:line="276" w:lineRule="auto"/>
              <w:ind w:firstLine="0"/>
              <w:jc w:val="right"/>
              <w:rPr>
                <w:color w:val="808080" w:themeColor="background1" w:themeShade="80"/>
                <w:szCs w:val="28"/>
              </w:rPr>
            </w:pPr>
            <w:r>
              <w:rPr>
                <w:color w:val="808080" w:themeColor="background1" w:themeShade="80"/>
              </w:rPr>
              <w:t>Год утверждения:</w:t>
            </w:r>
          </w:p>
        </w:tc>
        <w:tc>
          <w:tcPr>
            <w:tcW w:w="5839" w:type="dxa"/>
          </w:tcPr>
          <w:p w14:paraId="18903D44" w14:textId="4AF90E88" w:rsidR="00221384" w:rsidRPr="00221384" w:rsidRDefault="00ED1886" w:rsidP="00221384">
            <w:pPr>
              <w:tabs>
                <w:tab w:val="left" w:pos="6135"/>
              </w:tabs>
              <w:spacing w:line="276" w:lineRule="auto"/>
              <w:ind w:firstLine="0"/>
              <w:jc w:val="left"/>
              <w:rPr>
                <w:b/>
              </w:rPr>
            </w:pPr>
            <w:r>
              <w:rPr>
                <w:b/>
              </w:rPr>
              <w:t>2020</w:t>
            </w:r>
          </w:p>
        </w:tc>
      </w:tr>
      <w:tr w:rsidR="00172112" w14:paraId="4461D3ED" w14:textId="77777777" w:rsidTr="00172112">
        <w:tc>
          <w:tcPr>
            <w:tcW w:w="9525" w:type="dxa"/>
            <w:gridSpan w:val="2"/>
          </w:tcPr>
          <w:p w14:paraId="21549195" w14:textId="77777777" w:rsidR="00172112" w:rsidRPr="002758A4" w:rsidRDefault="00301C01" w:rsidP="00221384">
            <w:pPr>
              <w:tabs>
                <w:tab w:val="left" w:pos="6135"/>
              </w:tabs>
              <w:ind w:firstLine="0"/>
              <w:rPr>
                <w:rFonts w:cs="Times New Roman"/>
                <w:color w:val="FF0000"/>
                <w:sz w:val="20"/>
                <w:szCs w:val="20"/>
              </w:rPr>
            </w:pPr>
            <w:r>
              <w:rPr>
                <w:color w:val="808080" w:themeColor="background1" w:themeShade="80"/>
              </w:rPr>
              <w:t>Разработчик клинической рекомендации</w:t>
            </w:r>
            <w:r w:rsidR="00172112">
              <w:rPr>
                <w:color w:val="808080" w:themeColor="background1" w:themeShade="80"/>
              </w:rPr>
              <w:t>:</w:t>
            </w:r>
            <w:r w:rsidR="00094ED6" w:rsidRPr="00094ED6">
              <w:rPr>
                <w:rFonts w:cs="Times New Roman"/>
                <w:color w:val="FF0000"/>
                <w:sz w:val="20"/>
                <w:szCs w:val="20"/>
              </w:rPr>
              <w:t xml:space="preserve"> </w:t>
            </w:r>
          </w:p>
        </w:tc>
      </w:tr>
      <w:tr w:rsidR="00172112" w14:paraId="56BB144A" w14:textId="77777777" w:rsidTr="00172112">
        <w:trPr>
          <w:trHeight w:val="4170"/>
        </w:trPr>
        <w:tc>
          <w:tcPr>
            <w:tcW w:w="9525" w:type="dxa"/>
            <w:gridSpan w:val="2"/>
          </w:tcPr>
          <w:p w14:paraId="780BF9EB" w14:textId="77777777" w:rsidR="00172112" w:rsidRPr="00EE59C2" w:rsidRDefault="006619AD" w:rsidP="00172112">
            <w:pPr>
              <w:pStyle w:val="aff8"/>
              <w:numPr>
                <w:ilvl w:val="0"/>
                <w:numId w:val="2"/>
              </w:numPr>
              <w:rPr>
                <w:b/>
                <w:sz w:val="28"/>
              </w:rPr>
            </w:pPr>
            <w:r>
              <w:t>Ассоциация онкологов России</w:t>
            </w:r>
          </w:p>
          <w:p w14:paraId="7E7FAFDE" w14:textId="77777777" w:rsidR="006619AD" w:rsidRPr="006619AD" w:rsidRDefault="006619AD" w:rsidP="00174593">
            <w:pPr>
              <w:pStyle w:val="aff8"/>
              <w:numPr>
                <w:ilvl w:val="0"/>
                <w:numId w:val="2"/>
              </w:numPr>
            </w:pPr>
            <w:r w:rsidRPr="006619AD">
              <w:t>Российское</w:t>
            </w:r>
            <w:r>
              <w:t xml:space="preserve"> общество онкогематологов</w:t>
            </w:r>
          </w:p>
          <w:p w14:paraId="038ACF76" w14:textId="77777777" w:rsidR="00174593" w:rsidRPr="001260FA" w:rsidRDefault="006619AD" w:rsidP="00174593">
            <w:pPr>
              <w:pStyle w:val="aff8"/>
              <w:numPr>
                <w:ilvl w:val="0"/>
                <w:numId w:val="2"/>
              </w:numPr>
              <w:rPr>
                <w:b/>
                <w:sz w:val="28"/>
              </w:rPr>
            </w:pPr>
            <w:r>
              <w:t>Национальное гематологическое общество</w:t>
            </w:r>
          </w:p>
          <w:p w14:paraId="7F45A66C" w14:textId="77777777" w:rsidR="001260FA" w:rsidRPr="00174593" w:rsidRDefault="001260FA" w:rsidP="00174593">
            <w:pPr>
              <w:pStyle w:val="aff8"/>
              <w:numPr>
                <w:ilvl w:val="0"/>
                <w:numId w:val="2"/>
              </w:numPr>
              <w:rPr>
                <w:b/>
                <w:sz w:val="28"/>
              </w:rPr>
            </w:pPr>
            <w:r>
              <w:t>Национальное общество детских гематологов и онкологов</w:t>
            </w:r>
          </w:p>
          <w:p w14:paraId="2E0E8528" w14:textId="77777777" w:rsidR="00174593" w:rsidRPr="00EE59C2" w:rsidRDefault="00174593" w:rsidP="00174593">
            <w:pPr>
              <w:pStyle w:val="aff8"/>
              <w:rPr>
                <w:b/>
                <w:sz w:val="28"/>
              </w:rPr>
            </w:pPr>
          </w:p>
          <w:p w14:paraId="7E17162F" w14:textId="77777777" w:rsidR="00CC5156" w:rsidRPr="005F668D" w:rsidRDefault="00CC5156" w:rsidP="00CC5156">
            <w:pPr>
              <w:pStyle w:val="aff8"/>
              <w:ind w:firstLine="0"/>
              <w:rPr>
                <w:b/>
                <w:sz w:val="28"/>
              </w:rPr>
            </w:pPr>
          </w:p>
        </w:tc>
      </w:tr>
    </w:tbl>
    <w:bookmarkStart w:id="1" w:name="_Toc492379891" w:displacedByCustomXml="next"/>
    <w:sdt>
      <w:sdtPr>
        <w:rPr>
          <w:rFonts w:cstheme="minorBidi"/>
          <w:b w:val="0"/>
          <w:szCs w:val="22"/>
          <w:u w:val="none"/>
        </w:rPr>
        <w:id w:val="-606890957"/>
        <w:docPartObj>
          <w:docPartGallery w:val="Table of Contents"/>
          <w:docPartUnique/>
        </w:docPartObj>
      </w:sdtPr>
      <w:sdtEndPr>
        <w:rPr>
          <w:bCs/>
        </w:rPr>
      </w:sdtEndPr>
      <w:sdtContent>
        <w:p w14:paraId="6206479A" w14:textId="77777777" w:rsidR="00094ED6" w:rsidRDefault="00094ED6" w:rsidP="00172112">
          <w:pPr>
            <w:pStyle w:val="aff"/>
            <w:jc w:val="center"/>
            <w:rPr>
              <w:rFonts w:cstheme="minorBidi"/>
              <w:b w:val="0"/>
              <w:szCs w:val="22"/>
              <w:u w:val="none"/>
            </w:rPr>
          </w:pPr>
        </w:p>
        <w:p w14:paraId="25F5CE4A" w14:textId="77777777" w:rsidR="00094ED6" w:rsidRDefault="00094ED6">
          <w:pPr>
            <w:spacing w:line="240" w:lineRule="auto"/>
            <w:ind w:firstLine="0"/>
            <w:jc w:val="left"/>
          </w:pPr>
          <w:r>
            <w:rPr>
              <w:b/>
            </w:rPr>
            <w:br w:type="page"/>
          </w:r>
        </w:p>
        <w:p w14:paraId="61F7C393" w14:textId="77777777" w:rsidR="00172112" w:rsidRPr="0033051F" w:rsidRDefault="00172112" w:rsidP="00172112">
          <w:pPr>
            <w:pStyle w:val="aff"/>
            <w:jc w:val="center"/>
            <w:rPr>
              <w:sz w:val="28"/>
              <w:u w:val="none"/>
            </w:rPr>
          </w:pPr>
          <w:bookmarkStart w:id="2" w:name="_Toc65586373"/>
          <w:r w:rsidRPr="0033051F">
            <w:rPr>
              <w:sz w:val="28"/>
              <w:u w:val="none"/>
            </w:rPr>
            <w:lastRenderedPageBreak/>
            <w:t>Оглавление</w:t>
          </w:r>
          <w:bookmarkEnd w:id="1"/>
          <w:bookmarkEnd w:id="2"/>
        </w:p>
        <w:p w14:paraId="0EC2F709" w14:textId="0EF9A822" w:rsidR="00734F33" w:rsidRDefault="00172112">
          <w:pPr>
            <w:pStyle w:val="1a"/>
            <w:rPr>
              <w:rFonts w:asciiTheme="minorHAnsi" w:eastAsiaTheme="minorEastAsia" w:hAnsiTheme="minorHAnsi"/>
              <w:noProof/>
              <w:szCs w:val="24"/>
              <w:lang w:eastAsia="ru-RU"/>
            </w:rPr>
          </w:pPr>
          <w:r w:rsidRPr="0033051F">
            <w:rPr>
              <w:rFonts w:cs="Times New Roman"/>
              <w:szCs w:val="24"/>
            </w:rPr>
            <w:fldChar w:fldCharType="begin"/>
          </w:r>
          <w:r w:rsidRPr="0033051F">
            <w:rPr>
              <w:rFonts w:cs="Times New Roman"/>
              <w:szCs w:val="24"/>
            </w:rPr>
            <w:instrText xml:space="preserve"> TOC \o "1-3" \h \z \u </w:instrText>
          </w:r>
          <w:r w:rsidRPr="0033051F">
            <w:rPr>
              <w:rFonts w:cs="Times New Roman"/>
              <w:szCs w:val="24"/>
            </w:rPr>
            <w:fldChar w:fldCharType="separate"/>
          </w:r>
          <w:hyperlink w:anchor="_Toc65586373" w:history="1">
            <w:r w:rsidR="00734F33" w:rsidRPr="00FC3C22">
              <w:rPr>
                <w:rStyle w:val="affd"/>
                <w:noProof/>
              </w:rPr>
              <w:t>Оглавление</w:t>
            </w:r>
            <w:r w:rsidR="00734F33">
              <w:rPr>
                <w:noProof/>
                <w:webHidden/>
              </w:rPr>
              <w:tab/>
            </w:r>
            <w:r w:rsidR="00734F33">
              <w:rPr>
                <w:noProof/>
                <w:webHidden/>
              </w:rPr>
              <w:fldChar w:fldCharType="begin"/>
            </w:r>
            <w:r w:rsidR="00734F33">
              <w:rPr>
                <w:noProof/>
                <w:webHidden/>
              </w:rPr>
              <w:instrText xml:space="preserve"> PAGEREF _Toc65586373 \h </w:instrText>
            </w:r>
            <w:r w:rsidR="00734F33">
              <w:rPr>
                <w:noProof/>
                <w:webHidden/>
              </w:rPr>
            </w:r>
            <w:r w:rsidR="00734F33">
              <w:rPr>
                <w:noProof/>
                <w:webHidden/>
              </w:rPr>
              <w:fldChar w:fldCharType="separate"/>
            </w:r>
            <w:r w:rsidR="00734F33">
              <w:rPr>
                <w:noProof/>
                <w:webHidden/>
              </w:rPr>
              <w:t>2</w:t>
            </w:r>
            <w:r w:rsidR="00734F33">
              <w:rPr>
                <w:noProof/>
                <w:webHidden/>
              </w:rPr>
              <w:fldChar w:fldCharType="end"/>
            </w:r>
          </w:hyperlink>
        </w:p>
        <w:p w14:paraId="688BBC5B" w14:textId="42FB0976" w:rsidR="00734F33" w:rsidRDefault="00533994">
          <w:pPr>
            <w:pStyle w:val="1a"/>
            <w:rPr>
              <w:rFonts w:asciiTheme="minorHAnsi" w:eastAsiaTheme="minorEastAsia" w:hAnsiTheme="minorHAnsi"/>
              <w:noProof/>
              <w:szCs w:val="24"/>
              <w:lang w:eastAsia="ru-RU"/>
            </w:rPr>
          </w:pPr>
          <w:hyperlink w:anchor="_Toc65586374" w:history="1">
            <w:r w:rsidR="00734F33" w:rsidRPr="00FC3C22">
              <w:rPr>
                <w:rStyle w:val="affd"/>
                <w:noProof/>
              </w:rPr>
              <w:t>Список сокращений</w:t>
            </w:r>
            <w:r w:rsidR="00734F33">
              <w:rPr>
                <w:noProof/>
                <w:webHidden/>
              </w:rPr>
              <w:tab/>
            </w:r>
            <w:r w:rsidR="00734F33">
              <w:rPr>
                <w:noProof/>
                <w:webHidden/>
              </w:rPr>
              <w:fldChar w:fldCharType="begin"/>
            </w:r>
            <w:r w:rsidR="00734F33">
              <w:rPr>
                <w:noProof/>
                <w:webHidden/>
              </w:rPr>
              <w:instrText xml:space="preserve"> PAGEREF _Toc65586374 \h </w:instrText>
            </w:r>
            <w:r w:rsidR="00734F33">
              <w:rPr>
                <w:noProof/>
                <w:webHidden/>
              </w:rPr>
            </w:r>
            <w:r w:rsidR="00734F33">
              <w:rPr>
                <w:noProof/>
                <w:webHidden/>
              </w:rPr>
              <w:fldChar w:fldCharType="separate"/>
            </w:r>
            <w:r w:rsidR="00734F33">
              <w:rPr>
                <w:noProof/>
                <w:webHidden/>
              </w:rPr>
              <w:t>5</w:t>
            </w:r>
            <w:r w:rsidR="00734F33">
              <w:rPr>
                <w:noProof/>
                <w:webHidden/>
              </w:rPr>
              <w:fldChar w:fldCharType="end"/>
            </w:r>
          </w:hyperlink>
        </w:p>
        <w:p w14:paraId="53C5CFB7" w14:textId="0968A0A2" w:rsidR="00734F33" w:rsidRDefault="00533994">
          <w:pPr>
            <w:pStyle w:val="1a"/>
            <w:rPr>
              <w:rFonts w:asciiTheme="minorHAnsi" w:eastAsiaTheme="minorEastAsia" w:hAnsiTheme="minorHAnsi"/>
              <w:noProof/>
              <w:szCs w:val="24"/>
              <w:lang w:eastAsia="ru-RU"/>
            </w:rPr>
          </w:pPr>
          <w:hyperlink w:anchor="_Toc65586375" w:history="1">
            <w:r w:rsidR="00734F33" w:rsidRPr="00FC3C22">
              <w:rPr>
                <w:rStyle w:val="affd"/>
                <w:noProof/>
              </w:rPr>
              <w:t>Термины и определения</w:t>
            </w:r>
            <w:r w:rsidR="00734F33">
              <w:rPr>
                <w:noProof/>
                <w:webHidden/>
              </w:rPr>
              <w:tab/>
            </w:r>
            <w:r w:rsidR="00734F33">
              <w:rPr>
                <w:noProof/>
                <w:webHidden/>
              </w:rPr>
              <w:fldChar w:fldCharType="begin"/>
            </w:r>
            <w:r w:rsidR="00734F33">
              <w:rPr>
                <w:noProof/>
                <w:webHidden/>
              </w:rPr>
              <w:instrText xml:space="preserve"> PAGEREF _Toc65586375 \h </w:instrText>
            </w:r>
            <w:r w:rsidR="00734F33">
              <w:rPr>
                <w:noProof/>
                <w:webHidden/>
              </w:rPr>
            </w:r>
            <w:r w:rsidR="00734F33">
              <w:rPr>
                <w:noProof/>
                <w:webHidden/>
              </w:rPr>
              <w:fldChar w:fldCharType="separate"/>
            </w:r>
            <w:r w:rsidR="00734F33">
              <w:rPr>
                <w:noProof/>
                <w:webHidden/>
              </w:rPr>
              <w:t>7</w:t>
            </w:r>
            <w:r w:rsidR="00734F33">
              <w:rPr>
                <w:noProof/>
                <w:webHidden/>
              </w:rPr>
              <w:fldChar w:fldCharType="end"/>
            </w:r>
          </w:hyperlink>
        </w:p>
        <w:p w14:paraId="66BE8575" w14:textId="3D9A4C10" w:rsidR="00734F33" w:rsidRDefault="00533994">
          <w:pPr>
            <w:pStyle w:val="1a"/>
            <w:rPr>
              <w:rFonts w:asciiTheme="minorHAnsi" w:eastAsiaTheme="minorEastAsia" w:hAnsiTheme="minorHAnsi"/>
              <w:noProof/>
              <w:szCs w:val="24"/>
              <w:lang w:eastAsia="ru-RU"/>
            </w:rPr>
          </w:pPr>
          <w:hyperlink w:anchor="_Toc65586376" w:history="1">
            <w:r w:rsidR="00734F33" w:rsidRPr="00FC3C22">
              <w:rPr>
                <w:rStyle w:val="affd"/>
                <w:noProof/>
              </w:rPr>
              <w:t>1. Краткая информация по заболеванию или состоянию (группе заболеваний или состояний)</w:t>
            </w:r>
            <w:r w:rsidR="00734F33">
              <w:rPr>
                <w:noProof/>
                <w:webHidden/>
              </w:rPr>
              <w:tab/>
            </w:r>
            <w:r w:rsidR="00734F33">
              <w:rPr>
                <w:noProof/>
                <w:webHidden/>
              </w:rPr>
              <w:fldChar w:fldCharType="begin"/>
            </w:r>
            <w:r w:rsidR="00734F33">
              <w:rPr>
                <w:noProof/>
                <w:webHidden/>
              </w:rPr>
              <w:instrText xml:space="preserve"> PAGEREF _Toc65586376 \h </w:instrText>
            </w:r>
            <w:r w:rsidR="00734F33">
              <w:rPr>
                <w:noProof/>
                <w:webHidden/>
              </w:rPr>
            </w:r>
            <w:r w:rsidR="00734F33">
              <w:rPr>
                <w:noProof/>
                <w:webHidden/>
              </w:rPr>
              <w:fldChar w:fldCharType="separate"/>
            </w:r>
            <w:r w:rsidR="00734F33">
              <w:rPr>
                <w:noProof/>
                <w:webHidden/>
              </w:rPr>
              <w:t>8</w:t>
            </w:r>
            <w:r w:rsidR="00734F33">
              <w:rPr>
                <w:noProof/>
                <w:webHidden/>
              </w:rPr>
              <w:fldChar w:fldCharType="end"/>
            </w:r>
          </w:hyperlink>
        </w:p>
        <w:p w14:paraId="3612BB83" w14:textId="69F0CF4B" w:rsidR="00734F33" w:rsidRDefault="00533994">
          <w:pPr>
            <w:pStyle w:val="21"/>
            <w:rPr>
              <w:rFonts w:asciiTheme="minorHAnsi" w:eastAsiaTheme="minorEastAsia" w:hAnsiTheme="minorHAnsi" w:cstheme="minorBidi"/>
              <w:noProof/>
              <w:sz w:val="24"/>
              <w:szCs w:val="24"/>
              <w:lang w:eastAsia="ru-RU"/>
            </w:rPr>
          </w:pPr>
          <w:hyperlink w:anchor="_Toc65586377" w:history="1">
            <w:r w:rsidR="00734F33" w:rsidRPr="00FC3C22">
              <w:rPr>
                <w:rStyle w:val="affd"/>
                <w:noProof/>
              </w:rPr>
              <w:t xml:space="preserve">1.1 Определение </w:t>
            </w:r>
            <w:r w:rsidR="00734F33" w:rsidRPr="00FC3C22">
              <w:rPr>
                <w:rStyle w:val="affd"/>
                <w:noProof/>
                <w:shd w:val="clear" w:color="auto" w:fill="FFFFFF"/>
              </w:rPr>
              <w:t>заболевания или состояния (группы заболеваний или состояний)</w:t>
            </w:r>
            <w:r w:rsidR="00734F33">
              <w:rPr>
                <w:noProof/>
                <w:webHidden/>
              </w:rPr>
              <w:tab/>
            </w:r>
            <w:r w:rsidR="00734F33">
              <w:rPr>
                <w:noProof/>
                <w:webHidden/>
              </w:rPr>
              <w:fldChar w:fldCharType="begin"/>
            </w:r>
            <w:r w:rsidR="00734F33">
              <w:rPr>
                <w:noProof/>
                <w:webHidden/>
              </w:rPr>
              <w:instrText xml:space="preserve"> PAGEREF _Toc65586377 \h </w:instrText>
            </w:r>
            <w:r w:rsidR="00734F33">
              <w:rPr>
                <w:noProof/>
                <w:webHidden/>
              </w:rPr>
            </w:r>
            <w:r w:rsidR="00734F33">
              <w:rPr>
                <w:noProof/>
                <w:webHidden/>
              </w:rPr>
              <w:fldChar w:fldCharType="separate"/>
            </w:r>
            <w:r w:rsidR="00734F33">
              <w:rPr>
                <w:noProof/>
                <w:webHidden/>
              </w:rPr>
              <w:t>8</w:t>
            </w:r>
            <w:r w:rsidR="00734F33">
              <w:rPr>
                <w:noProof/>
                <w:webHidden/>
              </w:rPr>
              <w:fldChar w:fldCharType="end"/>
            </w:r>
          </w:hyperlink>
        </w:p>
        <w:p w14:paraId="07B05A8C" w14:textId="7840F370" w:rsidR="00734F33" w:rsidRDefault="00533994">
          <w:pPr>
            <w:pStyle w:val="21"/>
            <w:rPr>
              <w:rFonts w:asciiTheme="minorHAnsi" w:eastAsiaTheme="minorEastAsia" w:hAnsiTheme="minorHAnsi" w:cstheme="minorBidi"/>
              <w:noProof/>
              <w:sz w:val="24"/>
              <w:szCs w:val="24"/>
              <w:lang w:eastAsia="ru-RU"/>
            </w:rPr>
          </w:pPr>
          <w:hyperlink w:anchor="_Toc65586378" w:history="1">
            <w:r w:rsidR="00734F33" w:rsidRPr="00FC3C22">
              <w:rPr>
                <w:rStyle w:val="affd"/>
                <w:noProof/>
              </w:rPr>
              <w:t xml:space="preserve">1.2 Этиология и патогенез </w:t>
            </w:r>
            <w:r w:rsidR="00734F33" w:rsidRPr="00FC3C22">
              <w:rPr>
                <w:rStyle w:val="affd"/>
                <w:noProof/>
                <w:shd w:val="clear" w:color="auto" w:fill="FFFFFF"/>
              </w:rPr>
              <w:t>заболевания или состояния (группы заболеваний или состояний)</w:t>
            </w:r>
            <w:r w:rsidR="00734F33">
              <w:rPr>
                <w:noProof/>
                <w:webHidden/>
              </w:rPr>
              <w:tab/>
            </w:r>
            <w:r w:rsidR="00734F33">
              <w:rPr>
                <w:noProof/>
                <w:webHidden/>
              </w:rPr>
              <w:fldChar w:fldCharType="begin"/>
            </w:r>
            <w:r w:rsidR="00734F33">
              <w:rPr>
                <w:noProof/>
                <w:webHidden/>
              </w:rPr>
              <w:instrText xml:space="preserve"> PAGEREF _Toc65586378 \h </w:instrText>
            </w:r>
            <w:r w:rsidR="00734F33">
              <w:rPr>
                <w:noProof/>
                <w:webHidden/>
              </w:rPr>
            </w:r>
            <w:r w:rsidR="00734F33">
              <w:rPr>
                <w:noProof/>
                <w:webHidden/>
              </w:rPr>
              <w:fldChar w:fldCharType="separate"/>
            </w:r>
            <w:r w:rsidR="00734F33">
              <w:rPr>
                <w:noProof/>
                <w:webHidden/>
              </w:rPr>
              <w:t>8</w:t>
            </w:r>
            <w:r w:rsidR="00734F33">
              <w:rPr>
                <w:noProof/>
                <w:webHidden/>
              </w:rPr>
              <w:fldChar w:fldCharType="end"/>
            </w:r>
          </w:hyperlink>
        </w:p>
        <w:p w14:paraId="138E6B0E" w14:textId="31EE2408" w:rsidR="00734F33" w:rsidRDefault="00533994">
          <w:pPr>
            <w:pStyle w:val="21"/>
            <w:rPr>
              <w:rFonts w:asciiTheme="minorHAnsi" w:eastAsiaTheme="minorEastAsia" w:hAnsiTheme="minorHAnsi" w:cstheme="minorBidi"/>
              <w:noProof/>
              <w:sz w:val="24"/>
              <w:szCs w:val="24"/>
              <w:lang w:eastAsia="ru-RU"/>
            </w:rPr>
          </w:pPr>
          <w:hyperlink w:anchor="_Toc65586379" w:history="1">
            <w:r w:rsidR="00734F33" w:rsidRPr="00FC3C22">
              <w:rPr>
                <w:rStyle w:val="affd"/>
                <w:noProof/>
              </w:rPr>
              <w:t xml:space="preserve">1.3 Эпидемиология </w:t>
            </w:r>
            <w:r w:rsidR="00734F33" w:rsidRPr="00FC3C22">
              <w:rPr>
                <w:rStyle w:val="affd"/>
                <w:noProof/>
                <w:shd w:val="clear" w:color="auto" w:fill="FFFFFF"/>
              </w:rPr>
              <w:t>заболевания или состояния (группы заболеваний или состояний)</w:t>
            </w:r>
            <w:r w:rsidR="00734F33">
              <w:rPr>
                <w:noProof/>
                <w:webHidden/>
              </w:rPr>
              <w:tab/>
            </w:r>
            <w:r w:rsidR="00734F33">
              <w:rPr>
                <w:noProof/>
                <w:webHidden/>
              </w:rPr>
              <w:fldChar w:fldCharType="begin"/>
            </w:r>
            <w:r w:rsidR="00734F33">
              <w:rPr>
                <w:noProof/>
                <w:webHidden/>
              </w:rPr>
              <w:instrText xml:space="preserve"> PAGEREF _Toc65586379 \h </w:instrText>
            </w:r>
            <w:r w:rsidR="00734F33">
              <w:rPr>
                <w:noProof/>
                <w:webHidden/>
              </w:rPr>
            </w:r>
            <w:r w:rsidR="00734F33">
              <w:rPr>
                <w:noProof/>
                <w:webHidden/>
              </w:rPr>
              <w:fldChar w:fldCharType="separate"/>
            </w:r>
            <w:r w:rsidR="00734F33">
              <w:rPr>
                <w:noProof/>
                <w:webHidden/>
              </w:rPr>
              <w:t>8</w:t>
            </w:r>
            <w:r w:rsidR="00734F33">
              <w:rPr>
                <w:noProof/>
                <w:webHidden/>
              </w:rPr>
              <w:fldChar w:fldCharType="end"/>
            </w:r>
          </w:hyperlink>
        </w:p>
        <w:p w14:paraId="59ADA26B" w14:textId="44400B47" w:rsidR="00734F33" w:rsidRDefault="00533994">
          <w:pPr>
            <w:pStyle w:val="21"/>
            <w:rPr>
              <w:rFonts w:asciiTheme="minorHAnsi" w:eastAsiaTheme="minorEastAsia" w:hAnsiTheme="minorHAnsi" w:cstheme="minorBidi"/>
              <w:noProof/>
              <w:sz w:val="24"/>
              <w:szCs w:val="24"/>
              <w:lang w:eastAsia="ru-RU"/>
            </w:rPr>
          </w:pPr>
          <w:hyperlink w:anchor="_Toc65586380" w:history="1">
            <w:r w:rsidR="00734F33" w:rsidRPr="00FC3C22">
              <w:rPr>
                <w:rStyle w:val="affd"/>
                <w:noProof/>
              </w:rPr>
              <w:t xml:space="preserve">1.4 </w:t>
            </w:r>
            <w:r w:rsidR="00734F33" w:rsidRPr="00FC3C22">
              <w:rPr>
                <w:rStyle w:val="affd"/>
                <w:noProof/>
                <w:shd w:val="clear" w:color="auto" w:fill="FFFFFF"/>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r w:rsidR="00734F33">
              <w:rPr>
                <w:noProof/>
                <w:webHidden/>
              </w:rPr>
              <w:tab/>
            </w:r>
            <w:r w:rsidR="00734F33">
              <w:rPr>
                <w:noProof/>
                <w:webHidden/>
              </w:rPr>
              <w:fldChar w:fldCharType="begin"/>
            </w:r>
            <w:r w:rsidR="00734F33">
              <w:rPr>
                <w:noProof/>
                <w:webHidden/>
              </w:rPr>
              <w:instrText xml:space="preserve"> PAGEREF _Toc65586380 \h </w:instrText>
            </w:r>
            <w:r w:rsidR="00734F33">
              <w:rPr>
                <w:noProof/>
                <w:webHidden/>
              </w:rPr>
            </w:r>
            <w:r w:rsidR="00734F33">
              <w:rPr>
                <w:noProof/>
                <w:webHidden/>
              </w:rPr>
              <w:fldChar w:fldCharType="separate"/>
            </w:r>
            <w:r w:rsidR="00734F33">
              <w:rPr>
                <w:noProof/>
                <w:webHidden/>
              </w:rPr>
              <w:t>8</w:t>
            </w:r>
            <w:r w:rsidR="00734F33">
              <w:rPr>
                <w:noProof/>
                <w:webHidden/>
              </w:rPr>
              <w:fldChar w:fldCharType="end"/>
            </w:r>
          </w:hyperlink>
        </w:p>
        <w:p w14:paraId="753CD4C2" w14:textId="54A38587" w:rsidR="00734F33" w:rsidRDefault="00533994">
          <w:pPr>
            <w:pStyle w:val="21"/>
            <w:rPr>
              <w:rFonts w:asciiTheme="minorHAnsi" w:eastAsiaTheme="minorEastAsia" w:hAnsiTheme="minorHAnsi" w:cstheme="minorBidi"/>
              <w:noProof/>
              <w:sz w:val="24"/>
              <w:szCs w:val="24"/>
              <w:lang w:eastAsia="ru-RU"/>
            </w:rPr>
          </w:pPr>
          <w:hyperlink w:anchor="_Toc65586381" w:history="1">
            <w:r w:rsidR="00734F33" w:rsidRPr="00FC3C22">
              <w:rPr>
                <w:rStyle w:val="affd"/>
                <w:noProof/>
              </w:rPr>
              <w:t xml:space="preserve">1.5 Классификация </w:t>
            </w:r>
            <w:r w:rsidR="00734F33" w:rsidRPr="00FC3C22">
              <w:rPr>
                <w:rStyle w:val="affd"/>
                <w:noProof/>
                <w:shd w:val="clear" w:color="auto" w:fill="FFFFFF"/>
              </w:rPr>
              <w:t>заболевания или состояния (группы заболеваний или состояний)</w:t>
            </w:r>
            <w:r w:rsidR="00734F33">
              <w:rPr>
                <w:noProof/>
                <w:webHidden/>
              </w:rPr>
              <w:tab/>
            </w:r>
            <w:r w:rsidR="00734F33">
              <w:rPr>
                <w:noProof/>
                <w:webHidden/>
              </w:rPr>
              <w:fldChar w:fldCharType="begin"/>
            </w:r>
            <w:r w:rsidR="00734F33">
              <w:rPr>
                <w:noProof/>
                <w:webHidden/>
              </w:rPr>
              <w:instrText xml:space="preserve"> PAGEREF _Toc65586381 \h </w:instrText>
            </w:r>
            <w:r w:rsidR="00734F33">
              <w:rPr>
                <w:noProof/>
                <w:webHidden/>
              </w:rPr>
            </w:r>
            <w:r w:rsidR="00734F33">
              <w:rPr>
                <w:noProof/>
                <w:webHidden/>
              </w:rPr>
              <w:fldChar w:fldCharType="separate"/>
            </w:r>
            <w:r w:rsidR="00734F33">
              <w:rPr>
                <w:noProof/>
                <w:webHidden/>
              </w:rPr>
              <w:t>8</w:t>
            </w:r>
            <w:r w:rsidR="00734F33">
              <w:rPr>
                <w:noProof/>
                <w:webHidden/>
              </w:rPr>
              <w:fldChar w:fldCharType="end"/>
            </w:r>
          </w:hyperlink>
        </w:p>
        <w:p w14:paraId="39BB1A47" w14:textId="72A7D508" w:rsidR="00734F33" w:rsidRDefault="00533994">
          <w:pPr>
            <w:pStyle w:val="21"/>
            <w:rPr>
              <w:rFonts w:asciiTheme="minorHAnsi" w:eastAsiaTheme="minorEastAsia" w:hAnsiTheme="minorHAnsi" w:cstheme="minorBidi"/>
              <w:noProof/>
              <w:sz w:val="24"/>
              <w:szCs w:val="24"/>
              <w:lang w:eastAsia="ru-RU"/>
            </w:rPr>
          </w:pPr>
          <w:hyperlink w:anchor="_Toc65586382" w:history="1">
            <w:r w:rsidR="00734F33" w:rsidRPr="00FC3C22">
              <w:rPr>
                <w:rStyle w:val="affd"/>
                <w:noProof/>
              </w:rPr>
              <w:t xml:space="preserve">1.6 Клиническая картина </w:t>
            </w:r>
            <w:r w:rsidR="00734F33" w:rsidRPr="00FC3C22">
              <w:rPr>
                <w:rStyle w:val="affd"/>
                <w:noProof/>
                <w:shd w:val="clear" w:color="auto" w:fill="FFFFFF"/>
              </w:rPr>
              <w:t>заболевания или состояния (группы заболеваний или состояний)</w:t>
            </w:r>
            <w:r w:rsidR="00734F33">
              <w:rPr>
                <w:noProof/>
                <w:webHidden/>
              </w:rPr>
              <w:tab/>
            </w:r>
            <w:r w:rsidR="00734F33">
              <w:rPr>
                <w:noProof/>
                <w:webHidden/>
              </w:rPr>
              <w:fldChar w:fldCharType="begin"/>
            </w:r>
            <w:r w:rsidR="00734F33">
              <w:rPr>
                <w:noProof/>
                <w:webHidden/>
              </w:rPr>
              <w:instrText xml:space="preserve"> PAGEREF _Toc65586382 \h </w:instrText>
            </w:r>
            <w:r w:rsidR="00734F33">
              <w:rPr>
                <w:noProof/>
                <w:webHidden/>
              </w:rPr>
            </w:r>
            <w:r w:rsidR="00734F33">
              <w:rPr>
                <w:noProof/>
                <w:webHidden/>
              </w:rPr>
              <w:fldChar w:fldCharType="separate"/>
            </w:r>
            <w:r w:rsidR="00734F33">
              <w:rPr>
                <w:noProof/>
                <w:webHidden/>
              </w:rPr>
              <w:t>9</w:t>
            </w:r>
            <w:r w:rsidR="00734F33">
              <w:rPr>
                <w:noProof/>
                <w:webHidden/>
              </w:rPr>
              <w:fldChar w:fldCharType="end"/>
            </w:r>
          </w:hyperlink>
        </w:p>
        <w:p w14:paraId="59EBDCC0" w14:textId="238AAECE" w:rsidR="00734F33" w:rsidRDefault="00533994">
          <w:pPr>
            <w:pStyle w:val="1a"/>
            <w:rPr>
              <w:rFonts w:asciiTheme="minorHAnsi" w:eastAsiaTheme="minorEastAsia" w:hAnsiTheme="minorHAnsi"/>
              <w:noProof/>
              <w:szCs w:val="24"/>
              <w:lang w:eastAsia="ru-RU"/>
            </w:rPr>
          </w:pPr>
          <w:hyperlink w:anchor="_Toc65586383" w:history="1">
            <w:r w:rsidR="00734F33" w:rsidRPr="00FC3C22">
              <w:rPr>
                <w:rStyle w:val="affd"/>
                <w:noProof/>
              </w:rP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r w:rsidR="00734F33">
              <w:rPr>
                <w:noProof/>
                <w:webHidden/>
              </w:rPr>
              <w:tab/>
            </w:r>
            <w:r w:rsidR="00734F33">
              <w:rPr>
                <w:noProof/>
                <w:webHidden/>
              </w:rPr>
              <w:fldChar w:fldCharType="begin"/>
            </w:r>
            <w:r w:rsidR="00734F33">
              <w:rPr>
                <w:noProof/>
                <w:webHidden/>
              </w:rPr>
              <w:instrText xml:space="preserve"> PAGEREF _Toc65586383 \h </w:instrText>
            </w:r>
            <w:r w:rsidR="00734F33">
              <w:rPr>
                <w:noProof/>
                <w:webHidden/>
              </w:rPr>
            </w:r>
            <w:r w:rsidR="00734F33">
              <w:rPr>
                <w:noProof/>
                <w:webHidden/>
              </w:rPr>
              <w:fldChar w:fldCharType="separate"/>
            </w:r>
            <w:r w:rsidR="00734F33">
              <w:rPr>
                <w:noProof/>
                <w:webHidden/>
              </w:rPr>
              <w:t>9</w:t>
            </w:r>
            <w:r w:rsidR="00734F33">
              <w:rPr>
                <w:noProof/>
                <w:webHidden/>
              </w:rPr>
              <w:fldChar w:fldCharType="end"/>
            </w:r>
          </w:hyperlink>
        </w:p>
        <w:p w14:paraId="48808C1D" w14:textId="64875684" w:rsidR="00734F33" w:rsidRDefault="00533994">
          <w:pPr>
            <w:pStyle w:val="21"/>
            <w:rPr>
              <w:rFonts w:asciiTheme="minorHAnsi" w:eastAsiaTheme="minorEastAsia" w:hAnsiTheme="minorHAnsi" w:cstheme="minorBidi"/>
              <w:noProof/>
              <w:sz w:val="24"/>
              <w:szCs w:val="24"/>
              <w:lang w:eastAsia="ru-RU"/>
            </w:rPr>
          </w:pPr>
          <w:hyperlink w:anchor="_Toc65586384" w:history="1">
            <w:r w:rsidR="00734F33" w:rsidRPr="00FC3C22">
              <w:rPr>
                <w:rStyle w:val="affd"/>
                <w:noProof/>
              </w:rPr>
              <w:t>2.1 Жалобы и анамнез</w:t>
            </w:r>
            <w:r w:rsidR="00734F33">
              <w:rPr>
                <w:noProof/>
                <w:webHidden/>
              </w:rPr>
              <w:tab/>
            </w:r>
            <w:r w:rsidR="00734F33">
              <w:rPr>
                <w:noProof/>
                <w:webHidden/>
              </w:rPr>
              <w:fldChar w:fldCharType="begin"/>
            </w:r>
            <w:r w:rsidR="00734F33">
              <w:rPr>
                <w:noProof/>
                <w:webHidden/>
              </w:rPr>
              <w:instrText xml:space="preserve"> PAGEREF _Toc65586384 \h </w:instrText>
            </w:r>
            <w:r w:rsidR="00734F33">
              <w:rPr>
                <w:noProof/>
                <w:webHidden/>
              </w:rPr>
            </w:r>
            <w:r w:rsidR="00734F33">
              <w:rPr>
                <w:noProof/>
                <w:webHidden/>
              </w:rPr>
              <w:fldChar w:fldCharType="separate"/>
            </w:r>
            <w:r w:rsidR="00734F33">
              <w:rPr>
                <w:noProof/>
                <w:webHidden/>
              </w:rPr>
              <w:t>10</w:t>
            </w:r>
            <w:r w:rsidR="00734F33">
              <w:rPr>
                <w:noProof/>
                <w:webHidden/>
              </w:rPr>
              <w:fldChar w:fldCharType="end"/>
            </w:r>
          </w:hyperlink>
        </w:p>
        <w:p w14:paraId="068C10A0" w14:textId="2ECCD193" w:rsidR="00734F33" w:rsidRDefault="00533994">
          <w:pPr>
            <w:pStyle w:val="21"/>
            <w:rPr>
              <w:rFonts w:asciiTheme="minorHAnsi" w:eastAsiaTheme="minorEastAsia" w:hAnsiTheme="minorHAnsi" w:cstheme="minorBidi"/>
              <w:noProof/>
              <w:sz w:val="24"/>
              <w:szCs w:val="24"/>
              <w:lang w:eastAsia="ru-RU"/>
            </w:rPr>
          </w:pPr>
          <w:hyperlink w:anchor="_Toc65586385" w:history="1">
            <w:r w:rsidR="00734F33" w:rsidRPr="00FC3C22">
              <w:rPr>
                <w:rStyle w:val="affd"/>
                <w:noProof/>
              </w:rPr>
              <w:t>2.2 Физикальное обследование</w:t>
            </w:r>
            <w:r w:rsidR="00734F33">
              <w:rPr>
                <w:noProof/>
                <w:webHidden/>
              </w:rPr>
              <w:tab/>
            </w:r>
            <w:r w:rsidR="00734F33">
              <w:rPr>
                <w:noProof/>
                <w:webHidden/>
              </w:rPr>
              <w:fldChar w:fldCharType="begin"/>
            </w:r>
            <w:r w:rsidR="00734F33">
              <w:rPr>
                <w:noProof/>
                <w:webHidden/>
              </w:rPr>
              <w:instrText xml:space="preserve"> PAGEREF _Toc65586385 \h </w:instrText>
            </w:r>
            <w:r w:rsidR="00734F33">
              <w:rPr>
                <w:noProof/>
                <w:webHidden/>
              </w:rPr>
            </w:r>
            <w:r w:rsidR="00734F33">
              <w:rPr>
                <w:noProof/>
                <w:webHidden/>
              </w:rPr>
              <w:fldChar w:fldCharType="separate"/>
            </w:r>
            <w:r w:rsidR="00734F33">
              <w:rPr>
                <w:noProof/>
                <w:webHidden/>
              </w:rPr>
              <w:t>10</w:t>
            </w:r>
            <w:r w:rsidR="00734F33">
              <w:rPr>
                <w:noProof/>
                <w:webHidden/>
              </w:rPr>
              <w:fldChar w:fldCharType="end"/>
            </w:r>
          </w:hyperlink>
        </w:p>
        <w:p w14:paraId="466686AB" w14:textId="66A0709C" w:rsidR="00734F33" w:rsidRDefault="00533994">
          <w:pPr>
            <w:pStyle w:val="21"/>
            <w:rPr>
              <w:rFonts w:asciiTheme="minorHAnsi" w:eastAsiaTheme="minorEastAsia" w:hAnsiTheme="minorHAnsi" w:cstheme="minorBidi"/>
              <w:noProof/>
              <w:sz w:val="24"/>
              <w:szCs w:val="24"/>
              <w:lang w:eastAsia="ru-RU"/>
            </w:rPr>
          </w:pPr>
          <w:hyperlink w:anchor="_Toc65586386" w:history="1">
            <w:r w:rsidR="00734F33" w:rsidRPr="00FC3C22">
              <w:rPr>
                <w:rStyle w:val="affd"/>
                <w:noProof/>
              </w:rPr>
              <w:t>2.3 Лабораторные диагностические исследования</w:t>
            </w:r>
            <w:r w:rsidR="00734F33">
              <w:rPr>
                <w:noProof/>
                <w:webHidden/>
              </w:rPr>
              <w:tab/>
            </w:r>
            <w:r w:rsidR="00734F33">
              <w:rPr>
                <w:noProof/>
                <w:webHidden/>
              </w:rPr>
              <w:fldChar w:fldCharType="begin"/>
            </w:r>
            <w:r w:rsidR="00734F33">
              <w:rPr>
                <w:noProof/>
                <w:webHidden/>
              </w:rPr>
              <w:instrText xml:space="preserve"> PAGEREF _Toc65586386 \h </w:instrText>
            </w:r>
            <w:r w:rsidR="00734F33">
              <w:rPr>
                <w:noProof/>
                <w:webHidden/>
              </w:rPr>
            </w:r>
            <w:r w:rsidR="00734F33">
              <w:rPr>
                <w:noProof/>
                <w:webHidden/>
              </w:rPr>
              <w:fldChar w:fldCharType="separate"/>
            </w:r>
            <w:r w:rsidR="00734F33">
              <w:rPr>
                <w:noProof/>
                <w:webHidden/>
              </w:rPr>
              <w:t>11</w:t>
            </w:r>
            <w:r w:rsidR="00734F33">
              <w:rPr>
                <w:noProof/>
                <w:webHidden/>
              </w:rPr>
              <w:fldChar w:fldCharType="end"/>
            </w:r>
          </w:hyperlink>
        </w:p>
        <w:p w14:paraId="66491EF7" w14:textId="61C22D93" w:rsidR="00734F33" w:rsidRDefault="00533994">
          <w:pPr>
            <w:pStyle w:val="21"/>
            <w:rPr>
              <w:rFonts w:asciiTheme="minorHAnsi" w:eastAsiaTheme="minorEastAsia" w:hAnsiTheme="minorHAnsi" w:cstheme="minorBidi"/>
              <w:noProof/>
              <w:sz w:val="24"/>
              <w:szCs w:val="24"/>
              <w:lang w:eastAsia="ru-RU"/>
            </w:rPr>
          </w:pPr>
          <w:hyperlink w:anchor="_Toc65586387" w:history="1">
            <w:r w:rsidR="00734F33" w:rsidRPr="00FC3C22">
              <w:rPr>
                <w:rStyle w:val="affd"/>
                <w:noProof/>
              </w:rPr>
              <w:t>2.4 Инструментальные диагностические исследования</w:t>
            </w:r>
            <w:r w:rsidR="00734F33">
              <w:rPr>
                <w:noProof/>
                <w:webHidden/>
              </w:rPr>
              <w:tab/>
            </w:r>
            <w:r w:rsidR="00734F33">
              <w:rPr>
                <w:noProof/>
                <w:webHidden/>
              </w:rPr>
              <w:fldChar w:fldCharType="begin"/>
            </w:r>
            <w:r w:rsidR="00734F33">
              <w:rPr>
                <w:noProof/>
                <w:webHidden/>
              </w:rPr>
              <w:instrText xml:space="preserve"> PAGEREF _Toc65586387 \h </w:instrText>
            </w:r>
            <w:r w:rsidR="00734F33">
              <w:rPr>
                <w:noProof/>
                <w:webHidden/>
              </w:rPr>
            </w:r>
            <w:r w:rsidR="00734F33">
              <w:rPr>
                <w:noProof/>
                <w:webHidden/>
              </w:rPr>
              <w:fldChar w:fldCharType="separate"/>
            </w:r>
            <w:r w:rsidR="00734F33">
              <w:rPr>
                <w:noProof/>
                <w:webHidden/>
              </w:rPr>
              <w:t>13</w:t>
            </w:r>
            <w:r w:rsidR="00734F33">
              <w:rPr>
                <w:noProof/>
                <w:webHidden/>
              </w:rPr>
              <w:fldChar w:fldCharType="end"/>
            </w:r>
          </w:hyperlink>
        </w:p>
        <w:p w14:paraId="1E35E98F" w14:textId="3BB6405F" w:rsidR="00734F33" w:rsidRDefault="00533994">
          <w:pPr>
            <w:pStyle w:val="21"/>
            <w:rPr>
              <w:rFonts w:asciiTheme="minorHAnsi" w:eastAsiaTheme="minorEastAsia" w:hAnsiTheme="minorHAnsi" w:cstheme="minorBidi"/>
              <w:noProof/>
              <w:sz w:val="24"/>
              <w:szCs w:val="24"/>
              <w:lang w:eastAsia="ru-RU"/>
            </w:rPr>
          </w:pPr>
          <w:hyperlink w:anchor="_Toc65586388" w:history="1">
            <w:r w:rsidR="00734F33" w:rsidRPr="00FC3C22">
              <w:rPr>
                <w:rStyle w:val="affd"/>
                <w:noProof/>
              </w:rPr>
              <w:t>2.5 Иные диагностические исследования</w:t>
            </w:r>
            <w:r w:rsidR="00734F33">
              <w:rPr>
                <w:noProof/>
                <w:webHidden/>
              </w:rPr>
              <w:tab/>
            </w:r>
            <w:r w:rsidR="00734F33">
              <w:rPr>
                <w:noProof/>
                <w:webHidden/>
              </w:rPr>
              <w:fldChar w:fldCharType="begin"/>
            </w:r>
            <w:r w:rsidR="00734F33">
              <w:rPr>
                <w:noProof/>
                <w:webHidden/>
              </w:rPr>
              <w:instrText xml:space="preserve"> PAGEREF _Toc65586388 \h </w:instrText>
            </w:r>
            <w:r w:rsidR="00734F33">
              <w:rPr>
                <w:noProof/>
                <w:webHidden/>
              </w:rPr>
            </w:r>
            <w:r w:rsidR="00734F33">
              <w:rPr>
                <w:noProof/>
                <w:webHidden/>
              </w:rPr>
              <w:fldChar w:fldCharType="separate"/>
            </w:r>
            <w:r w:rsidR="00734F33">
              <w:rPr>
                <w:noProof/>
                <w:webHidden/>
              </w:rPr>
              <w:t>15</w:t>
            </w:r>
            <w:r w:rsidR="00734F33">
              <w:rPr>
                <w:noProof/>
                <w:webHidden/>
              </w:rPr>
              <w:fldChar w:fldCharType="end"/>
            </w:r>
          </w:hyperlink>
        </w:p>
        <w:p w14:paraId="154DE825" w14:textId="58AEDFC7" w:rsidR="00734F33" w:rsidRDefault="00533994">
          <w:pPr>
            <w:pStyle w:val="1a"/>
            <w:rPr>
              <w:rFonts w:asciiTheme="minorHAnsi" w:eastAsiaTheme="minorEastAsia" w:hAnsiTheme="minorHAnsi"/>
              <w:noProof/>
              <w:szCs w:val="24"/>
              <w:lang w:eastAsia="ru-RU"/>
            </w:rPr>
          </w:pPr>
          <w:hyperlink w:anchor="_Toc65586389" w:history="1">
            <w:r w:rsidR="00734F33" w:rsidRPr="00FC3C22">
              <w:rPr>
                <w:rStyle w:val="affd"/>
                <w:noProof/>
              </w:rPr>
              <w:t>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r w:rsidR="00734F33">
              <w:rPr>
                <w:noProof/>
                <w:webHidden/>
              </w:rPr>
              <w:tab/>
            </w:r>
            <w:r w:rsidR="00734F33">
              <w:rPr>
                <w:noProof/>
                <w:webHidden/>
              </w:rPr>
              <w:fldChar w:fldCharType="begin"/>
            </w:r>
            <w:r w:rsidR="00734F33">
              <w:rPr>
                <w:noProof/>
                <w:webHidden/>
              </w:rPr>
              <w:instrText xml:space="preserve"> PAGEREF _Toc65586389 \h </w:instrText>
            </w:r>
            <w:r w:rsidR="00734F33">
              <w:rPr>
                <w:noProof/>
                <w:webHidden/>
              </w:rPr>
            </w:r>
            <w:r w:rsidR="00734F33">
              <w:rPr>
                <w:noProof/>
                <w:webHidden/>
              </w:rPr>
              <w:fldChar w:fldCharType="separate"/>
            </w:r>
            <w:r w:rsidR="00734F33">
              <w:rPr>
                <w:noProof/>
                <w:webHidden/>
              </w:rPr>
              <w:t>18</w:t>
            </w:r>
            <w:r w:rsidR="00734F33">
              <w:rPr>
                <w:noProof/>
                <w:webHidden/>
              </w:rPr>
              <w:fldChar w:fldCharType="end"/>
            </w:r>
          </w:hyperlink>
        </w:p>
        <w:p w14:paraId="68CF9B12" w14:textId="0D21BFE4" w:rsidR="00734F33" w:rsidRDefault="00533994">
          <w:pPr>
            <w:pStyle w:val="21"/>
            <w:rPr>
              <w:rFonts w:asciiTheme="minorHAnsi" w:eastAsiaTheme="minorEastAsia" w:hAnsiTheme="minorHAnsi" w:cstheme="minorBidi"/>
              <w:noProof/>
              <w:sz w:val="24"/>
              <w:szCs w:val="24"/>
              <w:lang w:eastAsia="ru-RU"/>
            </w:rPr>
          </w:pPr>
          <w:hyperlink w:anchor="_Toc65586390" w:history="1">
            <w:r w:rsidR="00734F33" w:rsidRPr="00FC3C22">
              <w:rPr>
                <w:rStyle w:val="affd"/>
                <w:noProof/>
              </w:rPr>
              <w:t>3.1 Первая линия терапии кЛХ, ранние стадии, у пациентов 18-60 лет</w:t>
            </w:r>
            <w:r w:rsidR="00734F33">
              <w:rPr>
                <w:noProof/>
                <w:webHidden/>
              </w:rPr>
              <w:tab/>
            </w:r>
            <w:r w:rsidR="00734F33">
              <w:rPr>
                <w:noProof/>
                <w:webHidden/>
              </w:rPr>
              <w:fldChar w:fldCharType="begin"/>
            </w:r>
            <w:r w:rsidR="00734F33">
              <w:rPr>
                <w:noProof/>
                <w:webHidden/>
              </w:rPr>
              <w:instrText xml:space="preserve"> PAGEREF _Toc65586390 \h </w:instrText>
            </w:r>
            <w:r w:rsidR="00734F33">
              <w:rPr>
                <w:noProof/>
                <w:webHidden/>
              </w:rPr>
            </w:r>
            <w:r w:rsidR="00734F33">
              <w:rPr>
                <w:noProof/>
                <w:webHidden/>
              </w:rPr>
              <w:fldChar w:fldCharType="separate"/>
            </w:r>
            <w:r w:rsidR="00734F33">
              <w:rPr>
                <w:noProof/>
                <w:webHidden/>
              </w:rPr>
              <w:t>18</w:t>
            </w:r>
            <w:r w:rsidR="00734F33">
              <w:rPr>
                <w:noProof/>
                <w:webHidden/>
              </w:rPr>
              <w:fldChar w:fldCharType="end"/>
            </w:r>
          </w:hyperlink>
        </w:p>
        <w:p w14:paraId="7F7CF440" w14:textId="37A97A88" w:rsidR="00734F33" w:rsidRDefault="00533994">
          <w:pPr>
            <w:pStyle w:val="21"/>
            <w:rPr>
              <w:rFonts w:asciiTheme="minorHAnsi" w:eastAsiaTheme="minorEastAsia" w:hAnsiTheme="minorHAnsi" w:cstheme="minorBidi"/>
              <w:noProof/>
              <w:sz w:val="24"/>
              <w:szCs w:val="24"/>
              <w:lang w:eastAsia="ru-RU"/>
            </w:rPr>
          </w:pPr>
          <w:hyperlink w:anchor="_Toc65586391" w:history="1">
            <w:r w:rsidR="00734F33" w:rsidRPr="00FC3C22">
              <w:rPr>
                <w:rStyle w:val="affd"/>
                <w:noProof/>
              </w:rPr>
              <w:t>3.2 Первая линия терапии кЛХ, распространенные стадии, у пациентов 18-60 лет</w:t>
            </w:r>
            <w:r w:rsidR="00734F33">
              <w:rPr>
                <w:noProof/>
                <w:webHidden/>
              </w:rPr>
              <w:tab/>
            </w:r>
            <w:r w:rsidR="00734F33">
              <w:rPr>
                <w:noProof/>
                <w:webHidden/>
              </w:rPr>
              <w:fldChar w:fldCharType="begin"/>
            </w:r>
            <w:r w:rsidR="00734F33">
              <w:rPr>
                <w:noProof/>
                <w:webHidden/>
              </w:rPr>
              <w:instrText xml:space="preserve"> PAGEREF _Toc65586391 \h </w:instrText>
            </w:r>
            <w:r w:rsidR="00734F33">
              <w:rPr>
                <w:noProof/>
                <w:webHidden/>
              </w:rPr>
            </w:r>
            <w:r w:rsidR="00734F33">
              <w:rPr>
                <w:noProof/>
                <w:webHidden/>
              </w:rPr>
              <w:fldChar w:fldCharType="separate"/>
            </w:r>
            <w:r w:rsidR="00734F33">
              <w:rPr>
                <w:noProof/>
                <w:webHidden/>
              </w:rPr>
              <w:t>21</w:t>
            </w:r>
            <w:r w:rsidR="00734F33">
              <w:rPr>
                <w:noProof/>
                <w:webHidden/>
              </w:rPr>
              <w:fldChar w:fldCharType="end"/>
            </w:r>
          </w:hyperlink>
        </w:p>
        <w:p w14:paraId="77B33EF9" w14:textId="13EF2787" w:rsidR="00734F33" w:rsidRDefault="00533994">
          <w:pPr>
            <w:pStyle w:val="21"/>
            <w:rPr>
              <w:rFonts w:asciiTheme="minorHAnsi" w:eastAsiaTheme="minorEastAsia" w:hAnsiTheme="minorHAnsi" w:cstheme="minorBidi"/>
              <w:noProof/>
              <w:sz w:val="24"/>
              <w:szCs w:val="24"/>
              <w:lang w:eastAsia="ru-RU"/>
            </w:rPr>
          </w:pPr>
          <w:hyperlink w:anchor="_Toc65586392" w:history="1">
            <w:r w:rsidR="00734F33" w:rsidRPr="00FC3C22">
              <w:rPr>
                <w:rStyle w:val="affd"/>
                <w:noProof/>
              </w:rPr>
              <w:t>3.3 Первая линия терапии кЛХ у детей и подростков до 18 лет</w:t>
            </w:r>
            <w:r w:rsidR="00734F33">
              <w:rPr>
                <w:noProof/>
                <w:webHidden/>
              </w:rPr>
              <w:tab/>
            </w:r>
            <w:r w:rsidR="00734F33">
              <w:rPr>
                <w:noProof/>
                <w:webHidden/>
              </w:rPr>
              <w:fldChar w:fldCharType="begin"/>
            </w:r>
            <w:r w:rsidR="00734F33">
              <w:rPr>
                <w:noProof/>
                <w:webHidden/>
              </w:rPr>
              <w:instrText xml:space="preserve"> PAGEREF _Toc65586392 \h </w:instrText>
            </w:r>
            <w:r w:rsidR="00734F33">
              <w:rPr>
                <w:noProof/>
                <w:webHidden/>
              </w:rPr>
            </w:r>
            <w:r w:rsidR="00734F33">
              <w:rPr>
                <w:noProof/>
                <w:webHidden/>
              </w:rPr>
              <w:fldChar w:fldCharType="separate"/>
            </w:r>
            <w:r w:rsidR="00734F33">
              <w:rPr>
                <w:noProof/>
                <w:webHidden/>
              </w:rPr>
              <w:t>24</w:t>
            </w:r>
            <w:r w:rsidR="00734F33">
              <w:rPr>
                <w:noProof/>
                <w:webHidden/>
              </w:rPr>
              <w:fldChar w:fldCharType="end"/>
            </w:r>
          </w:hyperlink>
        </w:p>
        <w:p w14:paraId="3283BCE3" w14:textId="15A58E83" w:rsidR="00734F33" w:rsidRDefault="00533994">
          <w:pPr>
            <w:pStyle w:val="21"/>
            <w:rPr>
              <w:rFonts w:asciiTheme="minorHAnsi" w:eastAsiaTheme="minorEastAsia" w:hAnsiTheme="minorHAnsi" w:cstheme="minorBidi"/>
              <w:noProof/>
              <w:sz w:val="24"/>
              <w:szCs w:val="24"/>
              <w:lang w:eastAsia="ru-RU"/>
            </w:rPr>
          </w:pPr>
          <w:hyperlink w:anchor="_Toc65586393" w:history="1">
            <w:r w:rsidR="00734F33" w:rsidRPr="00FC3C22">
              <w:rPr>
                <w:rStyle w:val="affd"/>
                <w:noProof/>
              </w:rPr>
              <w:t>3.4 Первая линия терапии кЛХ у пациентов старше 60 лет</w:t>
            </w:r>
            <w:r w:rsidR="00734F33">
              <w:rPr>
                <w:noProof/>
                <w:webHidden/>
              </w:rPr>
              <w:tab/>
            </w:r>
            <w:r w:rsidR="00734F33">
              <w:rPr>
                <w:noProof/>
                <w:webHidden/>
              </w:rPr>
              <w:fldChar w:fldCharType="begin"/>
            </w:r>
            <w:r w:rsidR="00734F33">
              <w:rPr>
                <w:noProof/>
                <w:webHidden/>
              </w:rPr>
              <w:instrText xml:space="preserve"> PAGEREF _Toc65586393 \h </w:instrText>
            </w:r>
            <w:r w:rsidR="00734F33">
              <w:rPr>
                <w:noProof/>
                <w:webHidden/>
              </w:rPr>
            </w:r>
            <w:r w:rsidR="00734F33">
              <w:rPr>
                <w:noProof/>
                <w:webHidden/>
              </w:rPr>
              <w:fldChar w:fldCharType="separate"/>
            </w:r>
            <w:r w:rsidR="00734F33">
              <w:rPr>
                <w:noProof/>
                <w:webHidden/>
              </w:rPr>
              <w:t>28</w:t>
            </w:r>
            <w:r w:rsidR="00734F33">
              <w:rPr>
                <w:noProof/>
                <w:webHidden/>
              </w:rPr>
              <w:fldChar w:fldCharType="end"/>
            </w:r>
          </w:hyperlink>
        </w:p>
        <w:p w14:paraId="02F20FA2" w14:textId="4EB50ED3" w:rsidR="00734F33" w:rsidRDefault="00533994">
          <w:pPr>
            <w:pStyle w:val="21"/>
            <w:rPr>
              <w:rFonts w:asciiTheme="minorHAnsi" w:eastAsiaTheme="minorEastAsia" w:hAnsiTheme="minorHAnsi" w:cstheme="minorBidi"/>
              <w:noProof/>
              <w:sz w:val="24"/>
              <w:szCs w:val="24"/>
              <w:lang w:eastAsia="ru-RU"/>
            </w:rPr>
          </w:pPr>
          <w:hyperlink w:anchor="_Toc65586394" w:history="1">
            <w:r w:rsidR="00734F33" w:rsidRPr="00FC3C22">
              <w:rPr>
                <w:rStyle w:val="affd"/>
                <w:noProof/>
              </w:rPr>
              <w:t>3.5 Выбор терапии второй и последующих линий у пациентов с кЛХ</w:t>
            </w:r>
            <w:r w:rsidR="00734F33">
              <w:rPr>
                <w:noProof/>
                <w:webHidden/>
              </w:rPr>
              <w:tab/>
            </w:r>
            <w:r w:rsidR="00734F33">
              <w:rPr>
                <w:noProof/>
                <w:webHidden/>
              </w:rPr>
              <w:fldChar w:fldCharType="begin"/>
            </w:r>
            <w:r w:rsidR="00734F33">
              <w:rPr>
                <w:noProof/>
                <w:webHidden/>
              </w:rPr>
              <w:instrText xml:space="preserve"> PAGEREF _Toc65586394 \h </w:instrText>
            </w:r>
            <w:r w:rsidR="00734F33">
              <w:rPr>
                <w:noProof/>
                <w:webHidden/>
              </w:rPr>
            </w:r>
            <w:r w:rsidR="00734F33">
              <w:rPr>
                <w:noProof/>
                <w:webHidden/>
              </w:rPr>
              <w:fldChar w:fldCharType="separate"/>
            </w:r>
            <w:r w:rsidR="00734F33">
              <w:rPr>
                <w:noProof/>
                <w:webHidden/>
              </w:rPr>
              <w:t>30</w:t>
            </w:r>
            <w:r w:rsidR="00734F33">
              <w:rPr>
                <w:noProof/>
                <w:webHidden/>
              </w:rPr>
              <w:fldChar w:fldCharType="end"/>
            </w:r>
          </w:hyperlink>
        </w:p>
        <w:p w14:paraId="1B4E720D" w14:textId="06B065E0" w:rsidR="00734F33" w:rsidRDefault="00533994">
          <w:pPr>
            <w:pStyle w:val="21"/>
            <w:rPr>
              <w:rFonts w:asciiTheme="minorHAnsi" w:eastAsiaTheme="minorEastAsia" w:hAnsiTheme="minorHAnsi" w:cstheme="minorBidi"/>
              <w:noProof/>
              <w:sz w:val="24"/>
              <w:szCs w:val="24"/>
              <w:lang w:eastAsia="ru-RU"/>
            </w:rPr>
          </w:pPr>
          <w:hyperlink w:anchor="_Toc65586395" w:history="1">
            <w:r w:rsidR="00734F33" w:rsidRPr="00FC3C22">
              <w:rPr>
                <w:rStyle w:val="affd"/>
                <w:noProof/>
              </w:rPr>
              <w:t>3.6 Лечение нодулярной с лимфоидным преобладанием лимфомы Ходжкина</w:t>
            </w:r>
            <w:r w:rsidR="00734F33">
              <w:rPr>
                <w:noProof/>
                <w:webHidden/>
              </w:rPr>
              <w:tab/>
            </w:r>
            <w:r w:rsidR="00734F33">
              <w:rPr>
                <w:noProof/>
                <w:webHidden/>
              </w:rPr>
              <w:fldChar w:fldCharType="begin"/>
            </w:r>
            <w:r w:rsidR="00734F33">
              <w:rPr>
                <w:noProof/>
                <w:webHidden/>
              </w:rPr>
              <w:instrText xml:space="preserve"> PAGEREF _Toc65586395 \h </w:instrText>
            </w:r>
            <w:r w:rsidR="00734F33">
              <w:rPr>
                <w:noProof/>
                <w:webHidden/>
              </w:rPr>
            </w:r>
            <w:r w:rsidR="00734F33">
              <w:rPr>
                <w:noProof/>
                <w:webHidden/>
              </w:rPr>
              <w:fldChar w:fldCharType="separate"/>
            </w:r>
            <w:r w:rsidR="00734F33">
              <w:rPr>
                <w:noProof/>
                <w:webHidden/>
              </w:rPr>
              <w:t>35</w:t>
            </w:r>
            <w:r w:rsidR="00734F33">
              <w:rPr>
                <w:noProof/>
                <w:webHidden/>
              </w:rPr>
              <w:fldChar w:fldCharType="end"/>
            </w:r>
          </w:hyperlink>
        </w:p>
        <w:p w14:paraId="2B7A190B" w14:textId="62BE42D7" w:rsidR="00734F33" w:rsidRDefault="00533994">
          <w:pPr>
            <w:pStyle w:val="21"/>
            <w:rPr>
              <w:rFonts w:asciiTheme="minorHAnsi" w:eastAsiaTheme="minorEastAsia" w:hAnsiTheme="minorHAnsi" w:cstheme="minorBidi"/>
              <w:noProof/>
              <w:sz w:val="24"/>
              <w:szCs w:val="24"/>
              <w:lang w:eastAsia="ru-RU"/>
            </w:rPr>
          </w:pPr>
          <w:hyperlink w:anchor="_Toc65586396" w:history="1">
            <w:r w:rsidR="00734F33" w:rsidRPr="00FC3C22">
              <w:rPr>
                <w:rStyle w:val="affd"/>
                <w:noProof/>
              </w:rPr>
              <w:t>3.7 Лимфома Ходжкина и беременность</w:t>
            </w:r>
            <w:r w:rsidR="00734F33">
              <w:rPr>
                <w:noProof/>
                <w:webHidden/>
              </w:rPr>
              <w:tab/>
            </w:r>
            <w:r w:rsidR="00734F33">
              <w:rPr>
                <w:noProof/>
                <w:webHidden/>
              </w:rPr>
              <w:fldChar w:fldCharType="begin"/>
            </w:r>
            <w:r w:rsidR="00734F33">
              <w:rPr>
                <w:noProof/>
                <w:webHidden/>
              </w:rPr>
              <w:instrText xml:space="preserve"> PAGEREF _Toc65586396 \h </w:instrText>
            </w:r>
            <w:r w:rsidR="00734F33">
              <w:rPr>
                <w:noProof/>
                <w:webHidden/>
              </w:rPr>
            </w:r>
            <w:r w:rsidR="00734F33">
              <w:rPr>
                <w:noProof/>
                <w:webHidden/>
              </w:rPr>
              <w:fldChar w:fldCharType="separate"/>
            </w:r>
            <w:r w:rsidR="00734F33">
              <w:rPr>
                <w:noProof/>
                <w:webHidden/>
              </w:rPr>
              <w:t>37</w:t>
            </w:r>
            <w:r w:rsidR="00734F33">
              <w:rPr>
                <w:noProof/>
                <w:webHidden/>
              </w:rPr>
              <w:fldChar w:fldCharType="end"/>
            </w:r>
          </w:hyperlink>
        </w:p>
        <w:p w14:paraId="061F8DF2" w14:textId="3604C042" w:rsidR="00734F33" w:rsidRDefault="00533994">
          <w:pPr>
            <w:pStyle w:val="21"/>
            <w:rPr>
              <w:rFonts w:asciiTheme="minorHAnsi" w:eastAsiaTheme="minorEastAsia" w:hAnsiTheme="minorHAnsi" w:cstheme="minorBidi"/>
              <w:noProof/>
              <w:sz w:val="24"/>
              <w:szCs w:val="24"/>
              <w:lang w:eastAsia="ru-RU"/>
            </w:rPr>
          </w:pPr>
          <w:hyperlink w:anchor="_Toc65586397" w:history="1">
            <w:r w:rsidR="00734F33" w:rsidRPr="00FC3C22">
              <w:rPr>
                <w:rStyle w:val="affd"/>
                <w:noProof/>
              </w:rPr>
              <w:t>3.8 Оценка ответа на лечение</w:t>
            </w:r>
            <w:r w:rsidR="00734F33">
              <w:rPr>
                <w:noProof/>
                <w:webHidden/>
              </w:rPr>
              <w:tab/>
            </w:r>
            <w:r w:rsidR="00734F33">
              <w:rPr>
                <w:noProof/>
                <w:webHidden/>
              </w:rPr>
              <w:fldChar w:fldCharType="begin"/>
            </w:r>
            <w:r w:rsidR="00734F33">
              <w:rPr>
                <w:noProof/>
                <w:webHidden/>
              </w:rPr>
              <w:instrText xml:space="preserve"> PAGEREF _Toc65586397 \h </w:instrText>
            </w:r>
            <w:r w:rsidR="00734F33">
              <w:rPr>
                <w:noProof/>
                <w:webHidden/>
              </w:rPr>
            </w:r>
            <w:r w:rsidR="00734F33">
              <w:rPr>
                <w:noProof/>
                <w:webHidden/>
              </w:rPr>
              <w:fldChar w:fldCharType="separate"/>
            </w:r>
            <w:r w:rsidR="00734F33">
              <w:rPr>
                <w:noProof/>
                <w:webHidden/>
              </w:rPr>
              <w:t>38</w:t>
            </w:r>
            <w:r w:rsidR="00734F33">
              <w:rPr>
                <w:noProof/>
                <w:webHidden/>
              </w:rPr>
              <w:fldChar w:fldCharType="end"/>
            </w:r>
          </w:hyperlink>
        </w:p>
        <w:p w14:paraId="03953351" w14:textId="194B5E6B" w:rsidR="00734F33" w:rsidRDefault="00533994">
          <w:pPr>
            <w:pStyle w:val="21"/>
            <w:rPr>
              <w:rFonts w:asciiTheme="minorHAnsi" w:eastAsiaTheme="minorEastAsia" w:hAnsiTheme="minorHAnsi" w:cstheme="minorBidi"/>
              <w:noProof/>
              <w:sz w:val="24"/>
              <w:szCs w:val="24"/>
              <w:lang w:eastAsia="ru-RU"/>
            </w:rPr>
          </w:pPr>
          <w:hyperlink w:anchor="_Toc65586398" w:history="1">
            <w:r w:rsidR="00734F33" w:rsidRPr="00FC3C22">
              <w:rPr>
                <w:rStyle w:val="affd"/>
                <w:noProof/>
              </w:rPr>
              <w:t>3.9 Сопутствующая и сопроводительная терапия</w:t>
            </w:r>
            <w:r w:rsidR="00734F33">
              <w:rPr>
                <w:noProof/>
                <w:webHidden/>
              </w:rPr>
              <w:tab/>
            </w:r>
            <w:r w:rsidR="00734F33">
              <w:rPr>
                <w:noProof/>
                <w:webHidden/>
              </w:rPr>
              <w:fldChar w:fldCharType="begin"/>
            </w:r>
            <w:r w:rsidR="00734F33">
              <w:rPr>
                <w:noProof/>
                <w:webHidden/>
              </w:rPr>
              <w:instrText xml:space="preserve"> PAGEREF _Toc65586398 \h </w:instrText>
            </w:r>
            <w:r w:rsidR="00734F33">
              <w:rPr>
                <w:noProof/>
                <w:webHidden/>
              </w:rPr>
            </w:r>
            <w:r w:rsidR="00734F33">
              <w:rPr>
                <w:noProof/>
                <w:webHidden/>
              </w:rPr>
              <w:fldChar w:fldCharType="separate"/>
            </w:r>
            <w:r w:rsidR="00734F33">
              <w:rPr>
                <w:noProof/>
                <w:webHidden/>
              </w:rPr>
              <w:t>39</w:t>
            </w:r>
            <w:r w:rsidR="00734F33">
              <w:rPr>
                <w:noProof/>
                <w:webHidden/>
              </w:rPr>
              <w:fldChar w:fldCharType="end"/>
            </w:r>
          </w:hyperlink>
        </w:p>
        <w:p w14:paraId="0DDE58F6" w14:textId="2EF74ECD" w:rsidR="00734F33" w:rsidRDefault="00533994">
          <w:pPr>
            <w:pStyle w:val="1a"/>
            <w:rPr>
              <w:rFonts w:asciiTheme="minorHAnsi" w:eastAsiaTheme="minorEastAsia" w:hAnsiTheme="minorHAnsi"/>
              <w:noProof/>
              <w:szCs w:val="24"/>
              <w:lang w:eastAsia="ru-RU"/>
            </w:rPr>
          </w:pPr>
          <w:hyperlink w:anchor="_Toc65586399" w:history="1">
            <w:r w:rsidR="00734F33" w:rsidRPr="00FC3C22">
              <w:rPr>
                <w:rStyle w:val="affd"/>
                <w:noProof/>
              </w:rPr>
              <w:t>4. 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r w:rsidR="00734F33">
              <w:rPr>
                <w:noProof/>
                <w:webHidden/>
              </w:rPr>
              <w:tab/>
            </w:r>
            <w:r w:rsidR="00734F33">
              <w:rPr>
                <w:noProof/>
                <w:webHidden/>
              </w:rPr>
              <w:fldChar w:fldCharType="begin"/>
            </w:r>
            <w:r w:rsidR="00734F33">
              <w:rPr>
                <w:noProof/>
                <w:webHidden/>
              </w:rPr>
              <w:instrText xml:space="preserve"> PAGEREF _Toc65586399 \h </w:instrText>
            </w:r>
            <w:r w:rsidR="00734F33">
              <w:rPr>
                <w:noProof/>
                <w:webHidden/>
              </w:rPr>
            </w:r>
            <w:r w:rsidR="00734F33">
              <w:rPr>
                <w:noProof/>
                <w:webHidden/>
              </w:rPr>
              <w:fldChar w:fldCharType="separate"/>
            </w:r>
            <w:r w:rsidR="00734F33">
              <w:rPr>
                <w:noProof/>
                <w:webHidden/>
              </w:rPr>
              <w:t>41</w:t>
            </w:r>
            <w:r w:rsidR="00734F33">
              <w:rPr>
                <w:noProof/>
                <w:webHidden/>
              </w:rPr>
              <w:fldChar w:fldCharType="end"/>
            </w:r>
          </w:hyperlink>
        </w:p>
        <w:p w14:paraId="26078121" w14:textId="69DDD1D8" w:rsidR="00734F33" w:rsidRDefault="00533994">
          <w:pPr>
            <w:pStyle w:val="1a"/>
            <w:rPr>
              <w:rFonts w:asciiTheme="minorHAnsi" w:eastAsiaTheme="minorEastAsia" w:hAnsiTheme="minorHAnsi"/>
              <w:noProof/>
              <w:szCs w:val="24"/>
              <w:lang w:eastAsia="ru-RU"/>
            </w:rPr>
          </w:pPr>
          <w:hyperlink w:anchor="_Toc65586400" w:history="1">
            <w:r w:rsidR="00734F33" w:rsidRPr="00FC3C22">
              <w:rPr>
                <w:rStyle w:val="affd"/>
                <w:noProof/>
              </w:rPr>
              <w:t>5. Профилактика и диспансерное наблюдение, медицинские показания и противопоказания к применению методов профилактики</w:t>
            </w:r>
            <w:r w:rsidR="00734F33">
              <w:rPr>
                <w:noProof/>
                <w:webHidden/>
              </w:rPr>
              <w:tab/>
            </w:r>
            <w:r w:rsidR="00734F33">
              <w:rPr>
                <w:noProof/>
                <w:webHidden/>
              </w:rPr>
              <w:fldChar w:fldCharType="begin"/>
            </w:r>
            <w:r w:rsidR="00734F33">
              <w:rPr>
                <w:noProof/>
                <w:webHidden/>
              </w:rPr>
              <w:instrText xml:space="preserve"> PAGEREF _Toc65586400 \h </w:instrText>
            </w:r>
            <w:r w:rsidR="00734F33">
              <w:rPr>
                <w:noProof/>
                <w:webHidden/>
              </w:rPr>
            </w:r>
            <w:r w:rsidR="00734F33">
              <w:rPr>
                <w:noProof/>
                <w:webHidden/>
              </w:rPr>
              <w:fldChar w:fldCharType="separate"/>
            </w:r>
            <w:r w:rsidR="00734F33">
              <w:rPr>
                <w:noProof/>
                <w:webHidden/>
              </w:rPr>
              <w:t>41</w:t>
            </w:r>
            <w:r w:rsidR="00734F33">
              <w:rPr>
                <w:noProof/>
                <w:webHidden/>
              </w:rPr>
              <w:fldChar w:fldCharType="end"/>
            </w:r>
          </w:hyperlink>
        </w:p>
        <w:p w14:paraId="08F18577" w14:textId="54846EB7" w:rsidR="00734F33" w:rsidRDefault="00533994">
          <w:pPr>
            <w:pStyle w:val="1a"/>
            <w:rPr>
              <w:rFonts w:asciiTheme="minorHAnsi" w:eastAsiaTheme="minorEastAsia" w:hAnsiTheme="minorHAnsi"/>
              <w:noProof/>
              <w:szCs w:val="24"/>
              <w:lang w:eastAsia="ru-RU"/>
            </w:rPr>
          </w:pPr>
          <w:hyperlink w:anchor="_Toc65586401" w:history="1">
            <w:r w:rsidR="00734F33" w:rsidRPr="00FC3C22">
              <w:rPr>
                <w:rStyle w:val="affd"/>
                <w:noProof/>
              </w:rPr>
              <w:t>6. Организация медицинской помощи</w:t>
            </w:r>
            <w:r w:rsidR="00734F33">
              <w:rPr>
                <w:noProof/>
                <w:webHidden/>
              </w:rPr>
              <w:tab/>
            </w:r>
            <w:r w:rsidR="00734F33">
              <w:rPr>
                <w:noProof/>
                <w:webHidden/>
              </w:rPr>
              <w:fldChar w:fldCharType="begin"/>
            </w:r>
            <w:r w:rsidR="00734F33">
              <w:rPr>
                <w:noProof/>
                <w:webHidden/>
              </w:rPr>
              <w:instrText xml:space="preserve"> PAGEREF _Toc65586401 \h </w:instrText>
            </w:r>
            <w:r w:rsidR="00734F33">
              <w:rPr>
                <w:noProof/>
                <w:webHidden/>
              </w:rPr>
            </w:r>
            <w:r w:rsidR="00734F33">
              <w:rPr>
                <w:noProof/>
                <w:webHidden/>
              </w:rPr>
              <w:fldChar w:fldCharType="separate"/>
            </w:r>
            <w:r w:rsidR="00734F33">
              <w:rPr>
                <w:noProof/>
                <w:webHidden/>
              </w:rPr>
              <w:t>45</w:t>
            </w:r>
            <w:r w:rsidR="00734F33">
              <w:rPr>
                <w:noProof/>
                <w:webHidden/>
              </w:rPr>
              <w:fldChar w:fldCharType="end"/>
            </w:r>
          </w:hyperlink>
        </w:p>
        <w:p w14:paraId="3499DBBB" w14:textId="70B4FDF4" w:rsidR="00734F33" w:rsidRDefault="00533994">
          <w:pPr>
            <w:pStyle w:val="1a"/>
            <w:rPr>
              <w:rFonts w:asciiTheme="minorHAnsi" w:eastAsiaTheme="minorEastAsia" w:hAnsiTheme="minorHAnsi"/>
              <w:noProof/>
              <w:szCs w:val="24"/>
              <w:lang w:eastAsia="ru-RU"/>
            </w:rPr>
          </w:pPr>
          <w:hyperlink w:anchor="_Toc65586402" w:history="1">
            <w:r w:rsidR="00734F33" w:rsidRPr="00FC3C22">
              <w:rPr>
                <w:rStyle w:val="affd"/>
                <w:noProof/>
              </w:rPr>
              <w:t>7. Дополнительная информация (в том числе факторы, влияющие на исход заболевания или состояния)</w:t>
            </w:r>
            <w:r w:rsidR="00734F33">
              <w:rPr>
                <w:noProof/>
                <w:webHidden/>
              </w:rPr>
              <w:tab/>
            </w:r>
            <w:r w:rsidR="00734F33">
              <w:rPr>
                <w:noProof/>
                <w:webHidden/>
              </w:rPr>
              <w:fldChar w:fldCharType="begin"/>
            </w:r>
            <w:r w:rsidR="00734F33">
              <w:rPr>
                <w:noProof/>
                <w:webHidden/>
              </w:rPr>
              <w:instrText xml:space="preserve"> PAGEREF _Toc65586402 \h </w:instrText>
            </w:r>
            <w:r w:rsidR="00734F33">
              <w:rPr>
                <w:noProof/>
                <w:webHidden/>
              </w:rPr>
            </w:r>
            <w:r w:rsidR="00734F33">
              <w:rPr>
                <w:noProof/>
                <w:webHidden/>
              </w:rPr>
              <w:fldChar w:fldCharType="separate"/>
            </w:r>
            <w:r w:rsidR="00734F33">
              <w:rPr>
                <w:noProof/>
                <w:webHidden/>
              </w:rPr>
              <w:t>47</w:t>
            </w:r>
            <w:r w:rsidR="00734F33">
              <w:rPr>
                <w:noProof/>
                <w:webHidden/>
              </w:rPr>
              <w:fldChar w:fldCharType="end"/>
            </w:r>
          </w:hyperlink>
        </w:p>
        <w:p w14:paraId="0D8F62F0" w14:textId="63286CB0" w:rsidR="00734F33" w:rsidRDefault="00533994">
          <w:pPr>
            <w:pStyle w:val="21"/>
            <w:rPr>
              <w:rFonts w:asciiTheme="minorHAnsi" w:eastAsiaTheme="minorEastAsia" w:hAnsiTheme="minorHAnsi" w:cstheme="minorBidi"/>
              <w:noProof/>
              <w:sz w:val="24"/>
              <w:szCs w:val="24"/>
              <w:lang w:eastAsia="ru-RU"/>
            </w:rPr>
          </w:pPr>
          <w:hyperlink w:anchor="_Toc65586403" w:history="1">
            <w:r w:rsidR="00734F33" w:rsidRPr="00FC3C22">
              <w:rPr>
                <w:rStyle w:val="affd"/>
                <w:noProof/>
              </w:rPr>
              <w:t>7.1 Общие требования к морфологической диагностики лимфом</w:t>
            </w:r>
            <w:r w:rsidR="00734F33">
              <w:rPr>
                <w:noProof/>
                <w:webHidden/>
              </w:rPr>
              <w:tab/>
            </w:r>
            <w:r w:rsidR="00734F33">
              <w:rPr>
                <w:noProof/>
                <w:webHidden/>
              </w:rPr>
              <w:fldChar w:fldCharType="begin"/>
            </w:r>
            <w:r w:rsidR="00734F33">
              <w:rPr>
                <w:noProof/>
                <w:webHidden/>
              </w:rPr>
              <w:instrText xml:space="preserve"> PAGEREF _Toc65586403 \h </w:instrText>
            </w:r>
            <w:r w:rsidR="00734F33">
              <w:rPr>
                <w:noProof/>
                <w:webHidden/>
              </w:rPr>
            </w:r>
            <w:r w:rsidR="00734F33">
              <w:rPr>
                <w:noProof/>
                <w:webHidden/>
              </w:rPr>
              <w:fldChar w:fldCharType="separate"/>
            </w:r>
            <w:r w:rsidR="00734F33">
              <w:rPr>
                <w:noProof/>
                <w:webHidden/>
              </w:rPr>
              <w:t>47</w:t>
            </w:r>
            <w:r w:rsidR="00734F33">
              <w:rPr>
                <w:noProof/>
                <w:webHidden/>
              </w:rPr>
              <w:fldChar w:fldCharType="end"/>
            </w:r>
          </w:hyperlink>
        </w:p>
        <w:p w14:paraId="50D34809" w14:textId="4B2B2EE9" w:rsidR="00734F33" w:rsidRDefault="00533994">
          <w:pPr>
            <w:pStyle w:val="21"/>
            <w:rPr>
              <w:rFonts w:asciiTheme="minorHAnsi" w:eastAsiaTheme="minorEastAsia" w:hAnsiTheme="minorHAnsi" w:cstheme="minorBidi"/>
              <w:noProof/>
              <w:sz w:val="24"/>
              <w:szCs w:val="24"/>
              <w:lang w:eastAsia="ru-RU"/>
            </w:rPr>
          </w:pPr>
          <w:hyperlink w:anchor="_Toc65586404" w:history="1">
            <w:r w:rsidR="00734F33" w:rsidRPr="00FC3C22">
              <w:rPr>
                <w:rStyle w:val="affd"/>
                <w:noProof/>
              </w:rPr>
              <w:t>7.2 Морфологическая и иммуногистохимическая диагностика ЛХ</w:t>
            </w:r>
            <w:r w:rsidR="00734F33">
              <w:rPr>
                <w:noProof/>
                <w:webHidden/>
              </w:rPr>
              <w:tab/>
            </w:r>
            <w:r w:rsidR="00734F33">
              <w:rPr>
                <w:noProof/>
                <w:webHidden/>
              </w:rPr>
              <w:fldChar w:fldCharType="begin"/>
            </w:r>
            <w:r w:rsidR="00734F33">
              <w:rPr>
                <w:noProof/>
                <w:webHidden/>
              </w:rPr>
              <w:instrText xml:space="preserve"> PAGEREF _Toc65586404 \h </w:instrText>
            </w:r>
            <w:r w:rsidR="00734F33">
              <w:rPr>
                <w:noProof/>
                <w:webHidden/>
              </w:rPr>
            </w:r>
            <w:r w:rsidR="00734F33">
              <w:rPr>
                <w:noProof/>
                <w:webHidden/>
              </w:rPr>
              <w:fldChar w:fldCharType="separate"/>
            </w:r>
            <w:r w:rsidR="00734F33">
              <w:rPr>
                <w:noProof/>
                <w:webHidden/>
              </w:rPr>
              <w:t>50</w:t>
            </w:r>
            <w:r w:rsidR="00734F33">
              <w:rPr>
                <w:noProof/>
                <w:webHidden/>
              </w:rPr>
              <w:fldChar w:fldCharType="end"/>
            </w:r>
          </w:hyperlink>
        </w:p>
        <w:p w14:paraId="547F599C" w14:textId="71CF1108" w:rsidR="00734F33" w:rsidRDefault="00533994">
          <w:pPr>
            <w:pStyle w:val="21"/>
            <w:rPr>
              <w:rFonts w:asciiTheme="minorHAnsi" w:eastAsiaTheme="minorEastAsia" w:hAnsiTheme="minorHAnsi" w:cstheme="minorBidi"/>
              <w:noProof/>
              <w:sz w:val="24"/>
              <w:szCs w:val="24"/>
              <w:lang w:eastAsia="ru-RU"/>
            </w:rPr>
          </w:pPr>
          <w:hyperlink w:anchor="_Toc65586405" w:history="1">
            <w:r w:rsidR="00734F33" w:rsidRPr="00FC3C22">
              <w:rPr>
                <w:rStyle w:val="affd"/>
                <w:noProof/>
              </w:rPr>
              <w:t>7.3 Стадирование и определение прогностической группы при ЛХ</w:t>
            </w:r>
            <w:r w:rsidR="00734F33">
              <w:rPr>
                <w:noProof/>
                <w:webHidden/>
              </w:rPr>
              <w:tab/>
            </w:r>
            <w:r w:rsidR="00734F33">
              <w:rPr>
                <w:noProof/>
                <w:webHidden/>
              </w:rPr>
              <w:fldChar w:fldCharType="begin"/>
            </w:r>
            <w:r w:rsidR="00734F33">
              <w:rPr>
                <w:noProof/>
                <w:webHidden/>
              </w:rPr>
              <w:instrText xml:space="preserve"> PAGEREF _Toc65586405 \h </w:instrText>
            </w:r>
            <w:r w:rsidR="00734F33">
              <w:rPr>
                <w:noProof/>
                <w:webHidden/>
              </w:rPr>
            </w:r>
            <w:r w:rsidR="00734F33">
              <w:rPr>
                <w:noProof/>
                <w:webHidden/>
              </w:rPr>
              <w:fldChar w:fldCharType="separate"/>
            </w:r>
            <w:r w:rsidR="00734F33">
              <w:rPr>
                <w:noProof/>
                <w:webHidden/>
              </w:rPr>
              <w:t>51</w:t>
            </w:r>
            <w:r w:rsidR="00734F33">
              <w:rPr>
                <w:noProof/>
                <w:webHidden/>
              </w:rPr>
              <w:fldChar w:fldCharType="end"/>
            </w:r>
          </w:hyperlink>
        </w:p>
        <w:p w14:paraId="349D956E" w14:textId="160A2F00" w:rsidR="00734F33" w:rsidRDefault="00533994">
          <w:pPr>
            <w:pStyle w:val="21"/>
            <w:rPr>
              <w:rFonts w:asciiTheme="minorHAnsi" w:eastAsiaTheme="minorEastAsia" w:hAnsiTheme="minorHAnsi" w:cstheme="minorBidi"/>
              <w:noProof/>
              <w:sz w:val="24"/>
              <w:szCs w:val="24"/>
              <w:lang w:eastAsia="ru-RU"/>
            </w:rPr>
          </w:pPr>
          <w:hyperlink w:anchor="_Toc65586406" w:history="1">
            <w:r w:rsidR="00734F33" w:rsidRPr="00FC3C22">
              <w:rPr>
                <w:rStyle w:val="affd"/>
                <w:noProof/>
              </w:rPr>
              <w:t>7.4. Оценка ответа на лечение при лимфомах</w:t>
            </w:r>
            <w:r w:rsidR="00734F33">
              <w:rPr>
                <w:noProof/>
                <w:webHidden/>
              </w:rPr>
              <w:tab/>
            </w:r>
            <w:r w:rsidR="00734F33">
              <w:rPr>
                <w:noProof/>
                <w:webHidden/>
              </w:rPr>
              <w:fldChar w:fldCharType="begin"/>
            </w:r>
            <w:r w:rsidR="00734F33">
              <w:rPr>
                <w:noProof/>
                <w:webHidden/>
              </w:rPr>
              <w:instrText xml:space="preserve"> PAGEREF _Toc65586406 \h </w:instrText>
            </w:r>
            <w:r w:rsidR="00734F33">
              <w:rPr>
                <w:noProof/>
                <w:webHidden/>
              </w:rPr>
            </w:r>
            <w:r w:rsidR="00734F33">
              <w:rPr>
                <w:noProof/>
                <w:webHidden/>
              </w:rPr>
              <w:fldChar w:fldCharType="separate"/>
            </w:r>
            <w:r w:rsidR="00734F33">
              <w:rPr>
                <w:noProof/>
                <w:webHidden/>
              </w:rPr>
              <w:t>58</w:t>
            </w:r>
            <w:r w:rsidR="00734F33">
              <w:rPr>
                <w:noProof/>
                <w:webHidden/>
              </w:rPr>
              <w:fldChar w:fldCharType="end"/>
            </w:r>
          </w:hyperlink>
        </w:p>
        <w:p w14:paraId="1C7A7C0C" w14:textId="58A1B8D1" w:rsidR="00734F33" w:rsidRDefault="00533994">
          <w:pPr>
            <w:pStyle w:val="21"/>
            <w:rPr>
              <w:rFonts w:asciiTheme="minorHAnsi" w:eastAsiaTheme="minorEastAsia" w:hAnsiTheme="minorHAnsi" w:cstheme="minorBidi"/>
              <w:noProof/>
              <w:sz w:val="24"/>
              <w:szCs w:val="24"/>
              <w:lang w:eastAsia="ru-RU"/>
            </w:rPr>
          </w:pPr>
          <w:hyperlink w:anchor="_Toc65586407" w:history="1">
            <w:r w:rsidR="00734F33" w:rsidRPr="00FC3C22">
              <w:rPr>
                <w:rStyle w:val="affd"/>
                <w:noProof/>
              </w:rPr>
              <w:t>7.5 Особенности планирования дозы ЛТ на критические структуры при облучении пациентов младше 18 лет.</w:t>
            </w:r>
            <w:r w:rsidR="00734F33">
              <w:rPr>
                <w:noProof/>
                <w:webHidden/>
              </w:rPr>
              <w:tab/>
            </w:r>
            <w:r w:rsidR="00734F33">
              <w:rPr>
                <w:noProof/>
                <w:webHidden/>
              </w:rPr>
              <w:fldChar w:fldCharType="begin"/>
            </w:r>
            <w:r w:rsidR="00734F33">
              <w:rPr>
                <w:noProof/>
                <w:webHidden/>
              </w:rPr>
              <w:instrText xml:space="preserve"> PAGEREF _Toc65586407 \h </w:instrText>
            </w:r>
            <w:r w:rsidR="00734F33">
              <w:rPr>
                <w:noProof/>
                <w:webHidden/>
              </w:rPr>
            </w:r>
            <w:r w:rsidR="00734F33">
              <w:rPr>
                <w:noProof/>
                <w:webHidden/>
              </w:rPr>
              <w:fldChar w:fldCharType="separate"/>
            </w:r>
            <w:r w:rsidR="00734F33">
              <w:rPr>
                <w:noProof/>
                <w:webHidden/>
              </w:rPr>
              <w:t>60</w:t>
            </w:r>
            <w:r w:rsidR="00734F33">
              <w:rPr>
                <w:noProof/>
                <w:webHidden/>
              </w:rPr>
              <w:fldChar w:fldCharType="end"/>
            </w:r>
          </w:hyperlink>
        </w:p>
        <w:p w14:paraId="21F59F18" w14:textId="3E09B7DB" w:rsidR="00734F33" w:rsidRDefault="00533994">
          <w:pPr>
            <w:pStyle w:val="21"/>
            <w:rPr>
              <w:rFonts w:asciiTheme="minorHAnsi" w:eastAsiaTheme="minorEastAsia" w:hAnsiTheme="minorHAnsi" w:cstheme="minorBidi"/>
              <w:noProof/>
              <w:sz w:val="24"/>
              <w:szCs w:val="24"/>
              <w:lang w:eastAsia="ru-RU"/>
            </w:rPr>
          </w:pPr>
          <w:hyperlink w:anchor="_Toc65586408" w:history="1">
            <w:r w:rsidR="00734F33" w:rsidRPr="00FC3C22">
              <w:rPr>
                <w:rStyle w:val="affd"/>
                <w:noProof/>
              </w:rPr>
              <w:t xml:space="preserve">7.6. </w:t>
            </w:r>
            <w:r w:rsidR="00734F33" w:rsidRPr="00FC3C22">
              <w:rPr>
                <w:rStyle w:val="affd"/>
                <w:noProof/>
                <w:lang w:eastAsia="ru-RU"/>
              </w:rPr>
              <w:t>Профилактика и лечение тошноты и рвоты</w:t>
            </w:r>
            <w:r w:rsidR="00734F33">
              <w:rPr>
                <w:noProof/>
                <w:webHidden/>
              </w:rPr>
              <w:tab/>
            </w:r>
            <w:r w:rsidR="00734F33">
              <w:rPr>
                <w:noProof/>
                <w:webHidden/>
              </w:rPr>
              <w:fldChar w:fldCharType="begin"/>
            </w:r>
            <w:r w:rsidR="00734F33">
              <w:rPr>
                <w:noProof/>
                <w:webHidden/>
              </w:rPr>
              <w:instrText xml:space="preserve"> PAGEREF _Toc65586408 \h </w:instrText>
            </w:r>
            <w:r w:rsidR="00734F33">
              <w:rPr>
                <w:noProof/>
                <w:webHidden/>
              </w:rPr>
            </w:r>
            <w:r w:rsidR="00734F33">
              <w:rPr>
                <w:noProof/>
                <w:webHidden/>
              </w:rPr>
              <w:fldChar w:fldCharType="separate"/>
            </w:r>
            <w:r w:rsidR="00734F33">
              <w:rPr>
                <w:noProof/>
                <w:webHidden/>
              </w:rPr>
              <w:t>62</w:t>
            </w:r>
            <w:r w:rsidR="00734F33">
              <w:rPr>
                <w:noProof/>
                <w:webHidden/>
              </w:rPr>
              <w:fldChar w:fldCharType="end"/>
            </w:r>
          </w:hyperlink>
        </w:p>
        <w:p w14:paraId="66E5212D" w14:textId="089877E8" w:rsidR="00734F33" w:rsidRDefault="00533994">
          <w:pPr>
            <w:pStyle w:val="21"/>
            <w:rPr>
              <w:rFonts w:asciiTheme="minorHAnsi" w:eastAsiaTheme="minorEastAsia" w:hAnsiTheme="minorHAnsi" w:cstheme="minorBidi"/>
              <w:noProof/>
              <w:sz w:val="24"/>
              <w:szCs w:val="24"/>
              <w:lang w:eastAsia="ru-RU"/>
            </w:rPr>
          </w:pPr>
          <w:hyperlink w:anchor="_Toc65586409" w:history="1">
            <w:r w:rsidR="00734F33" w:rsidRPr="00FC3C22">
              <w:rPr>
                <w:rStyle w:val="affd"/>
                <w:noProof/>
              </w:rPr>
              <w:t xml:space="preserve">7.7. </w:t>
            </w:r>
            <w:r w:rsidR="00734F33" w:rsidRPr="00FC3C22">
              <w:rPr>
                <w:rStyle w:val="affd"/>
                <w:noProof/>
                <w:lang w:eastAsia="ru-RU"/>
              </w:rPr>
              <w:t>Профилактика язвенной болезни желудка и 12-перстной кишки на фоне терапии глюкокортикостероидами</w:t>
            </w:r>
            <w:r w:rsidR="00734F33">
              <w:rPr>
                <w:noProof/>
                <w:webHidden/>
              </w:rPr>
              <w:tab/>
            </w:r>
            <w:r w:rsidR="00734F33">
              <w:rPr>
                <w:noProof/>
                <w:webHidden/>
              </w:rPr>
              <w:fldChar w:fldCharType="begin"/>
            </w:r>
            <w:r w:rsidR="00734F33">
              <w:rPr>
                <w:noProof/>
                <w:webHidden/>
              </w:rPr>
              <w:instrText xml:space="preserve"> PAGEREF _Toc65586409 \h </w:instrText>
            </w:r>
            <w:r w:rsidR="00734F33">
              <w:rPr>
                <w:noProof/>
                <w:webHidden/>
              </w:rPr>
            </w:r>
            <w:r w:rsidR="00734F33">
              <w:rPr>
                <w:noProof/>
                <w:webHidden/>
              </w:rPr>
              <w:fldChar w:fldCharType="separate"/>
            </w:r>
            <w:r w:rsidR="00734F33">
              <w:rPr>
                <w:noProof/>
                <w:webHidden/>
              </w:rPr>
              <w:t>71</w:t>
            </w:r>
            <w:r w:rsidR="00734F33">
              <w:rPr>
                <w:noProof/>
                <w:webHidden/>
              </w:rPr>
              <w:fldChar w:fldCharType="end"/>
            </w:r>
          </w:hyperlink>
        </w:p>
        <w:p w14:paraId="7F36A3CB" w14:textId="5A533961" w:rsidR="00734F33" w:rsidRDefault="00533994">
          <w:pPr>
            <w:pStyle w:val="21"/>
            <w:rPr>
              <w:rFonts w:asciiTheme="minorHAnsi" w:eastAsiaTheme="minorEastAsia" w:hAnsiTheme="minorHAnsi" w:cstheme="minorBidi"/>
              <w:noProof/>
              <w:sz w:val="24"/>
              <w:szCs w:val="24"/>
              <w:lang w:eastAsia="ru-RU"/>
            </w:rPr>
          </w:pPr>
          <w:hyperlink w:anchor="_Toc65586410" w:history="1">
            <w:r w:rsidR="00734F33" w:rsidRPr="00FC3C22">
              <w:rPr>
                <w:rStyle w:val="affd"/>
                <w:noProof/>
              </w:rPr>
              <w:t>7.8. Профилактика, диагностика и лечение тромботических осложнений</w:t>
            </w:r>
            <w:r w:rsidR="00734F33">
              <w:rPr>
                <w:noProof/>
                <w:webHidden/>
              </w:rPr>
              <w:tab/>
            </w:r>
            <w:r w:rsidR="00734F33">
              <w:rPr>
                <w:noProof/>
                <w:webHidden/>
              </w:rPr>
              <w:fldChar w:fldCharType="begin"/>
            </w:r>
            <w:r w:rsidR="00734F33">
              <w:rPr>
                <w:noProof/>
                <w:webHidden/>
              </w:rPr>
              <w:instrText xml:space="preserve"> PAGEREF _Toc65586410 \h </w:instrText>
            </w:r>
            <w:r w:rsidR="00734F33">
              <w:rPr>
                <w:noProof/>
                <w:webHidden/>
              </w:rPr>
            </w:r>
            <w:r w:rsidR="00734F33">
              <w:rPr>
                <w:noProof/>
                <w:webHidden/>
              </w:rPr>
              <w:fldChar w:fldCharType="separate"/>
            </w:r>
            <w:r w:rsidR="00734F33">
              <w:rPr>
                <w:noProof/>
                <w:webHidden/>
              </w:rPr>
              <w:t>74</w:t>
            </w:r>
            <w:r w:rsidR="00734F33">
              <w:rPr>
                <w:noProof/>
                <w:webHidden/>
              </w:rPr>
              <w:fldChar w:fldCharType="end"/>
            </w:r>
          </w:hyperlink>
        </w:p>
        <w:p w14:paraId="6E36AAE3" w14:textId="5568C055" w:rsidR="00734F33" w:rsidRDefault="00533994">
          <w:pPr>
            <w:pStyle w:val="21"/>
            <w:rPr>
              <w:rFonts w:asciiTheme="minorHAnsi" w:eastAsiaTheme="minorEastAsia" w:hAnsiTheme="minorHAnsi" w:cstheme="minorBidi"/>
              <w:noProof/>
              <w:sz w:val="24"/>
              <w:szCs w:val="24"/>
              <w:lang w:eastAsia="ru-RU"/>
            </w:rPr>
          </w:pPr>
          <w:hyperlink w:anchor="_Toc65586411" w:history="1">
            <w:r w:rsidR="00734F33" w:rsidRPr="00FC3C22">
              <w:rPr>
                <w:rStyle w:val="affd"/>
                <w:noProof/>
              </w:rPr>
              <w:t>7.9. Внутричерепные кровоизлияния у гематологических пациентов – тактика нейрохирургического лечения</w:t>
            </w:r>
            <w:r w:rsidR="00734F33">
              <w:rPr>
                <w:noProof/>
                <w:webHidden/>
              </w:rPr>
              <w:tab/>
            </w:r>
            <w:r w:rsidR="00734F33">
              <w:rPr>
                <w:noProof/>
                <w:webHidden/>
              </w:rPr>
              <w:fldChar w:fldCharType="begin"/>
            </w:r>
            <w:r w:rsidR="00734F33">
              <w:rPr>
                <w:noProof/>
                <w:webHidden/>
              </w:rPr>
              <w:instrText xml:space="preserve"> PAGEREF _Toc65586411 \h </w:instrText>
            </w:r>
            <w:r w:rsidR="00734F33">
              <w:rPr>
                <w:noProof/>
                <w:webHidden/>
              </w:rPr>
            </w:r>
            <w:r w:rsidR="00734F33">
              <w:rPr>
                <w:noProof/>
                <w:webHidden/>
              </w:rPr>
              <w:fldChar w:fldCharType="separate"/>
            </w:r>
            <w:r w:rsidR="00734F33">
              <w:rPr>
                <w:noProof/>
                <w:webHidden/>
              </w:rPr>
              <w:t>90</w:t>
            </w:r>
            <w:r w:rsidR="00734F33">
              <w:rPr>
                <w:noProof/>
                <w:webHidden/>
              </w:rPr>
              <w:fldChar w:fldCharType="end"/>
            </w:r>
          </w:hyperlink>
        </w:p>
        <w:p w14:paraId="4246C851" w14:textId="6FD6D264" w:rsidR="00734F33" w:rsidRDefault="00533994">
          <w:pPr>
            <w:pStyle w:val="21"/>
            <w:rPr>
              <w:rFonts w:asciiTheme="minorHAnsi" w:eastAsiaTheme="minorEastAsia" w:hAnsiTheme="minorHAnsi" w:cstheme="minorBidi"/>
              <w:noProof/>
              <w:sz w:val="24"/>
              <w:szCs w:val="24"/>
              <w:lang w:eastAsia="ru-RU"/>
            </w:rPr>
          </w:pPr>
          <w:hyperlink w:anchor="_Toc65586412" w:history="1">
            <w:r w:rsidR="00734F33" w:rsidRPr="00FC3C22">
              <w:rPr>
                <w:rStyle w:val="affd"/>
                <w:noProof/>
              </w:rPr>
              <w:t>7.10. Профилактика, диагностика и лечение асептических остеонекрозов.</w:t>
            </w:r>
            <w:r w:rsidR="00734F33">
              <w:rPr>
                <w:noProof/>
                <w:webHidden/>
              </w:rPr>
              <w:tab/>
            </w:r>
            <w:r w:rsidR="00734F33">
              <w:rPr>
                <w:noProof/>
                <w:webHidden/>
              </w:rPr>
              <w:fldChar w:fldCharType="begin"/>
            </w:r>
            <w:r w:rsidR="00734F33">
              <w:rPr>
                <w:noProof/>
                <w:webHidden/>
              </w:rPr>
              <w:instrText xml:space="preserve"> PAGEREF _Toc65586412 \h </w:instrText>
            </w:r>
            <w:r w:rsidR="00734F33">
              <w:rPr>
                <w:noProof/>
                <w:webHidden/>
              </w:rPr>
            </w:r>
            <w:r w:rsidR="00734F33">
              <w:rPr>
                <w:noProof/>
                <w:webHidden/>
              </w:rPr>
              <w:fldChar w:fldCharType="separate"/>
            </w:r>
            <w:r w:rsidR="00734F33">
              <w:rPr>
                <w:noProof/>
                <w:webHidden/>
              </w:rPr>
              <w:t>95</w:t>
            </w:r>
            <w:r w:rsidR="00734F33">
              <w:rPr>
                <w:noProof/>
                <w:webHidden/>
              </w:rPr>
              <w:fldChar w:fldCharType="end"/>
            </w:r>
          </w:hyperlink>
        </w:p>
        <w:p w14:paraId="307F9D06" w14:textId="5182CB86" w:rsidR="00734F33" w:rsidRDefault="00533994">
          <w:pPr>
            <w:pStyle w:val="21"/>
            <w:rPr>
              <w:rFonts w:asciiTheme="minorHAnsi" w:eastAsiaTheme="minorEastAsia" w:hAnsiTheme="minorHAnsi" w:cstheme="minorBidi"/>
              <w:noProof/>
              <w:sz w:val="24"/>
              <w:szCs w:val="24"/>
              <w:lang w:eastAsia="ru-RU"/>
            </w:rPr>
          </w:pPr>
          <w:hyperlink w:anchor="_Toc65586413" w:history="1">
            <w:r w:rsidR="00734F33" w:rsidRPr="00FC3C22">
              <w:rPr>
                <w:rStyle w:val="affd"/>
                <w:noProof/>
              </w:rPr>
              <w:t>7.11. Диагностика и лечение бактериальных инфекционных осложнений</w:t>
            </w:r>
            <w:r w:rsidR="00734F33">
              <w:rPr>
                <w:noProof/>
                <w:webHidden/>
              </w:rPr>
              <w:tab/>
            </w:r>
            <w:r w:rsidR="00734F33">
              <w:rPr>
                <w:noProof/>
                <w:webHidden/>
              </w:rPr>
              <w:fldChar w:fldCharType="begin"/>
            </w:r>
            <w:r w:rsidR="00734F33">
              <w:rPr>
                <w:noProof/>
                <w:webHidden/>
              </w:rPr>
              <w:instrText xml:space="preserve"> PAGEREF _Toc65586413 \h </w:instrText>
            </w:r>
            <w:r w:rsidR="00734F33">
              <w:rPr>
                <w:noProof/>
                <w:webHidden/>
              </w:rPr>
            </w:r>
            <w:r w:rsidR="00734F33">
              <w:rPr>
                <w:noProof/>
                <w:webHidden/>
              </w:rPr>
              <w:fldChar w:fldCharType="separate"/>
            </w:r>
            <w:r w:rsidR="00734F33">
              <w:rPr>
                <w:noProof/>
                <w:webHidden/>
              </w:rPr>
              <w:t>98</w:t>
            </w:r>
            <w:r w:rsidR="00734F33">
              <w:rPr>
                <w:noProof/>
                <w:webHidden/>
              </w:rPr>
              <w:fldChar w:fldCharType="end"/>
            </w:r>
          </w:hyperlink>
        </w:p>
        <w:p w14:paraId="2AB7C19A" w14:textId="27D924D4" w:rsidR="00734F33" w:rsidRDefault="00533994">
          <w:pPr>
            <w:pStyle w:val="21"/>
            <w:rPr>
              <w:rFonts w:asciiTheme="minorHAnsi" w:eastAsiaTheme="minorEastAsia" w:hAnsiTheme="minorHAnsi" w:cstheme="minorBidi"/>
              <w:noProof/>
              <w:sz w:val="24"/>
              <w:szCs w:val="24"/>
              <w:lang w:eastAsia="ru-RU"/>
            </w:rPr>
          </w:pPr>
          <w:hyperlink w:anchor="_Toc65586414" w:history="1">
            <w:r w:rsidR="00734F33" w:rsidRPr="00FC3C22">
              <w:rPr>
                <w:rStyle w:val="affd"/>
                <w:noProof/>
              </w:rPr>
              <w:t>7.12. Вирусные инфекции у пациентов с гематологическими заболеваниями</w:t>
            </w:r>
            <w:r w:rsidR="00734F33">
              <w:rPr>
                <w:noProof/>
                <w:webHidden/>
              </w:rPr>
              <w:tab/>
            </w:r>
            <w:r w:rsidR="00734F33">
              <w:rPr>
                <w:noProof/>
                <w:webHidden/>
              </w:rPr>
              <w:fldChar w:fldCharType="begin"/>
            </w:r>
            <w:r w:rsidR="00734F33">
              <w:rPr>
                <w:noProof/>
                <w:webHidden/>
              </w:rPr>
              <w:instrText xml:space="preserve"> PAGEREF _Toc65586414 \h </w:instrText>
            </w:r>
            <w:r w:rsidR="00734F33">
              <w:rPr>
                <w:noProof/>
                <w:webHidden/>
              </w:rPr>
            </w:r>
            <w:r w:rsidR="00734F33">
              <w:rPr>
                <w:noProof/>
                <w:webHidden/>
              </w:rPr>
              <w:fldChar w:fldCharType="separate"/>
            </w:r>
            <w:r w:rsidR="00734F33">
              <w:rPr>
                <w:noProof/>
                <w:webHidden/>
              </w:rPr>
              <w:t>119</w:t>
            </w:r>
            <w:r w:rsidR="00734F33">
              <w:rPr>
                <w:noProof/>
                <w:webHidden/>
              </w:rPr>
              <w:fldChar w:fldCharType="end"/>
            </w:r>
          </w:hyperlink>
        </w:p>
        <w:p w14:paraId="668B034A" w14:textId="00A4372B" w:rsidR="00734F33" w:rsidRDefault="00533994">
          <w:pPr>
            <w:pStyle w:val="21"/>
            <w:rPr>
              <w:rFonts w:asciiTheme="minorHAnsi" w:eastAsiaTheme="minorEastAsia" w:hAnsiTheme="minorHAnsi" w:cstheme="minorBidi"/>
              <w:noProof/>
              <w:sz w:val="24"/>
              <w:szCs w:val="24"/>
              <w:lang w:eastAsia="ru-RU"/>
            </w:rPr>
          </w:pPr>
          <w:hyperlink w:anchor="_Toc65586415" w:history="1">
            <w:r w:rsidR="00734F33" w:rsidRPr="00FC3C22">
              <w:rPr>
                <w:rStyle w:val="affd"/>
                <w:noProof/>
              </w:rPr>
              <w:t>7.13. Диагностика и лечение инфекций, вызванных грибами</w:t>
            </w:r>
            <w:r w:rsidR="00734F33">
              <w:rPr>
                <w:noProof/>
                <w:webHidden/>
              </w:rPr>
              <w:tab/>
            </w:r>
            <w:r w:rsidR="00734F33">
              <w:rPr>
                <w:noProof/>
                <w:webHidden/>
              </w:rPr>
              <w:fldChar w:fldCharType="begin"/>
            </w:r>
            <w:r w:rsidR="00734F33">
              <w:rPr>
                <w:noProof/>
                <w:webHidden/>
              </w:rPr>
              <w:instrText xml:space="preserve"> PAGEREF _Toc65586415 \h </w:instrText>
            </w:r>
            <w:r w:rsidR="00734F33">
              <w:rPr>
                <w:noProof/>
                <w:webHidden/>
              </w:rPr>
            </w:r>
            <w:r w:rsidR="00734F33">
              <w:rPr>
                <w:noProof/>
                <w:webHidden/>
              </w:rPr>
              <w:fldChar w:fldCharType="separate"/>
            </w:r>
            <w:r w:rsidR="00734F33">
              <w:rPr>
                <w:noProof/>
                <w:webHidden/>
              </w:rPr>
              <w:t>123</w:t>
            </w:r>
            <w:r w:rsidR="00734F33">
              <w:rPr>
                <w:noProof/>
                <w:webHidden/>
              </w:rPr>
              <w:fldChar w:fldCharType="end"/>
            </w:r>
          </w:hyperlink>
        </w:p>
        <w:p w14:paraId="7E0A1F9F" w14:textId="390A85A3" w:rsidR="00734F33" w:rsidRDefault="00533994">
          <w:pPr>
            <w:pStyle w:val="21"/>
            <w:rPr>
              <w:rFonts w:asciiTheme="minorHAnsi" w:eastAsiaTheme="minorEastAsia" w:hAnsiTheme="minorHAnsi" w:cstheme="minorBidi"/>
              <w:noProof/>
              <w:sz w:val="24"/>
              <w:szCs w:val="24"/>
              <w:lang w:eastAsia="ru-RU"/>
            </w:rPr>
          </w:pPr>
          <w:hyperlink w:anchor="_Toc65586416" w:history="1">
            <w:r w:rsidR="00734F33" w:rsidRPr="00FC3C22">
              <w:rPr>
                <w:rStyle w:val="affd"/>
                <w:noProof/>
              </w:rPr>
              <w:t>7.14. Диагностика и лечение септического шока и острой дыхательной недостаточности у гематологических пациентов</w:t>
            </w:r>
            <w:r w:rsidR="00734F33">
              <w:rPr>
                <w:noProof/>
                <w:webHidden/>
              </w:rPr>
              <w:tab/>
            </w:r>
            <w:r w:rsidR="00734F33">
              <w:rPr>
                <w:noProof/>
                <w:webHidden/>
              </w:rPr>
              <w:fldChar w:fldCharType="begin"/>
            </w:r>
            <w:r w:rsidR="00734F33">
              <w:rPr>
                <w:noProof/>
                <w:webHidden/>
              </w:rPr>
              <w:instrText xml:space="preserve"> PAGEREF _Toc65586416 \h </w:instrText>
            </w:r>
            <w:r w:rsidR="00734F33">
              <w:rPr>
                <w:noProof/>
                <w:webHidden/>
              </w:rPr>
            </w:r>
            <w:r w:rsidR="00734F33">
              <w:rPr>
                <w:noProof/>
                <w:webHidden/>
              </w:rPr>
              <w:fldChar w:fldCharType="separate"/>
            </w:r>
            <w:r w:rsidR="00734F33">
              <w:rPr>
                <w:noProof/>
                <w:webHidden/>
              </w:rPr>
              <w:t>149</w:t>
            </w:r>
            <w:r w:rsidR="00734F33">
              <w:rPr>
                <w:noProof/>
                <w:webHidden/>
              </w:rPr>
              <w:fldChar w:fldCharType="end"/>
            </w:r>
          </w:hyperlink>
        </w:p>
        <w:p w14:paraId="656C0C9F" w14:textId="33185433" w:rsidR="00734F33" w:rsidRDefault="00533994">
          <w:pPr>
            <w:pStyle w:val="21"/>
            <w:rPr>
              <w:rFonts w:asciiTheme="minorHAnsi" w:eastAsiaTheme="minorEastAsia" w:hAnsiTheme="minorHAnsi" w:cstheme="minorBidi"/>
              <w:noProof/>
              <w:sz w:val="24"/>
              <w:szCs w:val="24"/>
              <w:lang w:eastAsia="ru-RU"/>
            </w:rPr>
          </w:pPr>
          <w:hyperlink w:anchor="_Toc65586417" w:history="1">
            <w:r w:rsidR="00734F33" w:rsidRPr="00FC3C22">
              <w:rPr>
                <w:rStyle w:val="affd"/>
                <w:noProof/>
              </w:rPr>
              <w:t>7.15. Диагностика и лечение почечной недостаточности в гематологии</w:t>
            </w:r>
            <w:r w:rsidR="00734F33">
              <w:rPr>
                <w:noProof/>
                <w:webHidden/>
              </w:rPr>
              <w:tab/>
            </w:r>
            <w:r w:rsidR="00734F33">
              <w:rPr>
                <w:noProof/>
                <w:webHidden/>
              </w:rPr>
              <w:fldChar w:fldCharType="begin"/>
            </w:r>
            <w:r w:rsidR="00734F33">
              <w:rPr>
                <w:noProof/>
                <w:webHidden/>
              </w:rPr>
              <w:instrText xml:space="preserve"> PAGEREF _Toc65586417 \h </w:instrText>
            </w:r>
            <w:r w:rsidR="00734F33">
              <w:rPr>
                <w:noProof/>
                <w:webHidden/>
              </w:rPr>
            </w:r>
            <w:r w:rsidR="00734F33">
              <w:rPr>
                <w:noProof/>
                <w:webHidden/>
              </w:rPr>
              <w:fldChar w:fldCharType="separate"/>
            </w:r>
            <w:r w:rsidR="00734F33">
              <w:rPr>
                <w:noProof/>
                <w:webHidden/>
              </w:rPr>
              <w:t>178</w:t>
            </w:r>
            <w:r w:rsidR="00734F33">
              <w:rPr>
                <w:noProof/>
                <w:webHidden/>
              </w:rPr>
              <w:fldChar w:fldCharType="end"/>
            </w:r>
          </w:hyperlink>
        </w:p>
        <w:p w14:paraId="7D2D2552" w14:textId="1F4064F1" w:rsidR="00734F33" w:rsidRDefault="00533994">
          <w:pPr>
            <w:pStyle w:val="21"/>
            <w:rPr>
              <w:rFonts w:asciiTheme="minorHAnsi" w:eastAsiaTheme="minorEastAsia" w:hAnsiTheme="minorHAnsi" w:cstheme="minorBidi"/>
              <w:noProof/>
              <w:sz w:val="24"/>
              <w:szCs w:val="24"/>
              <w:lang w:eastAsia="ru-RU"/>
            </w:rPr>
          </w:pPr>
          <w:hyperlink w:anchor="_Toc65586418" w:history="1">
            <w:r w:rsidR="00734F33" w:rsidRPr="00FC3C22">
              <w:rPr>
                <w:rStyle w:val="affd"/>
                <w:noProof/>
              </w:rPr>
              <w:t>7.16. Кардиологическое обследование и лечение пациентов с гематологическими заболеваниями</w:t>
            </w:r>
            <w:r w:rsidR="00734F33">
              <w:rPr>
                <w:noProof/>
                <w:webHidden/>
              </w:rPr>
              <w:tab/>
            </w:r>
            <w:r w:rsidR="00734F33">
              <w:rPr>
                <w:noProof/>
                <w:webHidden/>
              </w:rPr>
              <w:fldChar w:fldCharType="begin"/>
            </w:r>
            <w:r w:rsidR="00734F33">
              <w:rPr>
                <w:noProof/>
                <w:webHidden/>
              </w:rPr>
              <w:instrText xml:space="preserve"> PAGEREF _Toc65586418 \h </w:instrText>
            </w:r>
            <w:r w:rsidR="00734F33">
              <w:rPr>
                <w:noProof/>
                <w:webHidden/>
              </w:rPr>
            </w:r>
            <w:r w:rsidR="00734F33">
              <w:rPr>
                <w:noProof/>
                <w:webHidden/>
              </w:rPr>
              <w:fldChar w:fldCharType="separate"/>
            </w:r>
            <w:r w:rsidR="00734F33">
              <w:rPr>
                <w:noProof/>
                <w:webHidden/>
              </w:rPr>
              <w:t>187</w:t>
            </w:r>
            <w:r w:rsidR="00734F33">
              <w:rPr>
                <w:noProof/>
                <w:webHidden/>
              </w:rPr>
              <w:fldChar w:fldCharType="end"/>
            </w:r>
          </w:hyperlink>
        </w:p>
        <w:p w14:paraId="47FDBAC4" w14:textId="0A18AFEA" w:rsidR="00734F33" w:rsidRDefault="00533994">
          <w:pPr>
            <w:pStyle w:val="21"/>
            <w:rPr>
              <w:rFonts w:asciiTheme="minorHAnsi" w:eastAsiaTheme="minorEastAsia" w:hAnsiTheme="minorHAnsi" w:cstheme="minorBidi"/>
              <w:noProof/>
              <w:sz w:val="24"/>
              <w:szCs w:val="24"/>
              <w:lang w:eastAsia="ru-RU"/>
            </w:rPr>
          </w:pPr>
          <w:hyperlink w:anchor="_Toc65586419" w:history="1">
            <w:r w:rsidR="00734F33" w:rsidRPr="00FC3C22">
              <w:rPr>
                <w:rStyle w:val="affd"/>
                <w:noProof/>
              </w:rPr>
              <w:t>7.17. Диагностика и лечение психических расстройств у пациентов с гематологическими заболеваниями</w:t>
            </w:r>
            <w:r w:rsidR="00734F33">
              <w:rPr>
                <w:noProof/>
                <w:webHidden/>
              </w:rPr>
              <w:tab/>
            </w:r>
            <w:r w:rsidR="00734F33">
              <w:rPr>
                <w:noProof/>
                <w:webHidden/>
              </w:rPr>
              <w:fldChar w:fldCharType="begin"/>
            </w:r>
            <w:r w:rsidR="00734F33">
              <w:rPr>
                <w:noProof/>
                <w:webHidden/>
              </w:rPr>
              <w:instrText xml:space="preserve"> PAGEREF _Toc65586419 \h </w:instrText>
            </w:r>
            <w:r w:rsidR="00734F33">
              <w:rPr>
                <w:noProof/>
                <w:webHidden/>
              </w:rPr>
            </w:r>
            <w:r w:rsidR="00734F33">
              <w:rPr>
                <w:noProof/>
                <w:webHidden/>
              </w:rPr>
              <w:fldChar w:fldCharType="separate"/>
            </w:r>
            <w:r w:rsidR="00734F33">
              <w:rPr>
                <w:noProof/>
                <w:webHidden/>
              </w:rPr>
              <w:t>199</w:t>
            </w:r>
            <w:r w:rsidR="00734F33">
              <w:rPr>
                <w:noProof/>
                <w:webHidden/>
              </w:rPr>
              <w:fldChar w:fldCharType="end"/>
            </w:r>
          </w:hyperlink>
        </w:p>
        <w:p w14:paraId="6BF2D455" w14:textId="614886F3" w:rsidR="00734F33" w:rsidRDefault="00533994">
          <w:pPr>
            <w:pStyle w:val="1a"/>
            <w:rPr>
              <w:rFonts w:asciiTheme="minorHAnsi" w:eastAsiaTheme="minorEastAsia" w:hAnsiTheme="minorHAnsi"/>
              <w:noProof/>
              <w:szCs w:val="24"/>
              <w:lang w:eastAsia="ru-RU"/>
            </w:rPr>
          </w:pPr>
          <w:hyperlink w:anchor="_Toc65586420" w:history="1">
            <w:r w:rsidR="00734F33" w:rsidRPr="00FC3C22">
              <w:rPr>
                <w:rStyle w:val="affd"/>
                <w:noProof/>
              </w:rPr>
              <w:t>Критерии оценки качества медицинской помощи</w:t>
            </w:r>
            <w:r w:rsidR="00734F33">
              <w:rPr>
                <w:noProof/>
                <w:webHidden/>
              </w:rPr>
              <w:tab/>
            </w:r>
            <w:r w:rsidR="00734F33">
              <w:rPr>
                <w:noProof/>
                <w:webHidden/>
              </w:rPr>
              <w:fldChar w:fldCharType="begin"/>
            </w:r>
            <w:r w:rsidR="00734F33">
              <w:rPr>
                <w:noProof/>
                <w:webHidden/>
              </w:rPr>
              <w:instrText xml:space="preserve"> PAGEREF _Toc65586420 \h </w:instrText>
            </w:r>
            <w:r w:rsidR="00734F33">
              <w:rPr>
                <w:noProof/>
                <w:webHidden/>
              </w:rPr>
            </w:r>
            <w:r w:rsidR="00734F33">
              <w:rPr>
                <w:noProof/>
                <w:webHidden/>
              </w:rPr>
              <w:fldChar w:fldCharType="separate"/>
            </w:r>
            <w:r w:rsidR="00734F33">
              <w:rPr>
                <w:noProof/>
                <w:webHidden/>
              </w:rPr>
              <w:t>202</w:t>
            </w:r>
            <w:r w:rsidR="00734F33">
              <w:rPr>
                <w:noProof/>
                <w:webHidden/>
              </w:rPr>
              <w:fldChar w:fldCharType="end"/>
            </w:r>
          </w:hyperlink>
        </w:p>
        <w:p w14:paraId="5DC8A6A1" w14:textId="3EEF18A3" w:rsidR="00734F33" w:rsidRDefault="00533994">
          <w:pPr>
            <w:pStyle w:val="1a"/>
            <w:rPr>
              <w:rFonts w:asciiTheme="minorHAnsi" w:eastAsiaTheme="minorEastAsia" w:hAnsiTheme="minorHAnsi"/>
              <w:noProof/>
              <w:szCs w:val="24"/>
              <w:lang w:eastAsia="ru-RU"/>
            </w:rPr>
          </w:pPr>
          <w:hyperlink w:anchor="_Toc65586421" w:history="1">
            <w:r w:rsidR="00734F33" w:rsidRPr="00FC3C22">
              <w:rPr>
                <w:rStyle w:val="affd"/>
                <w:noProof/>
              </w:rPr>
              <w:t>Список литературы</w:t>
            </w:r>
            <w:r w:rsidR="00734F33">
              <w:rPr>
                <w:noProof/>
                <w:webHidden/>
              </w:rPr>
              <w:tab/>
            </w:r>
            <w:r w:rsidR="00734F33">
              <w:rPr>
                <w:noProof/>
                <w:webHidden/>
              </w:rPr>
              <w:fldChar w:fldCharType="begin"/>
            </w:r>
            <w:r w:rsidR="00734F33">
              <w:rPr>
                <w:noProof/>
                <w:webHidden/>
              </w:rPr>
              <w:instrText xml:space="preserve"> PAGEREF _Toc65586421 \h </w:instrText>
            </w:r>
            <w:r w:rsidR="00734F33">
              <w:rPr>
                <w:noProof/>
                <w:webHidden/>
              </w:rPr>
            </w:r>
            <w:r w:rsidR="00734F33">
              <w:rPr>
                <w:noProof/>
                <w:webHidden/>
              </w:rPr>
              <w:fldChar w:fldCharType="separate"/>
            </w:r>
            <w:r w:rsidR="00734F33">
              <w:rPr>
                <w:noProof/>
                <w:webHidden/>
              </w:rPr>
              <w:t>204</w:t>
            </w:r>
            <w:r w:rsidR="00734F33">
              <w:rPr>
                <w:noProof/>
                <w:webHidden/>
              </w:rPr>
              <w:fldChar w:fldCharType="end"/>
            </w:r>
          </w:hyperlink>
        </w:p>
        <w:p w14:paraId="75AD621A" w14:textId="088195B7" w:rsidR="00734F33" w:rsidRDefault="00533994">
          <w:pPr>
            <w:pStyle w:val="1a"/>
            <w:rPr>
              <w:rFonts w:asciiTheme="minorHAnsi" w:eastAsiaTheme="minorEastAsia" w:hAnsiTheme="minorHAnsi"/>
              <w:noProof/>
              <w:szCs w:val="24"/>
              <w:lang w:eastAsia="ru-RU"/>
            </w:rPr>
          </w:pPr>
          <w:hyperlink w:anchor="_Toc65586422" w:history="1">
            <w:r w:rsidR="00734F33" w:rsidRPr="00FC3C22">
              <w:rPr>
                <w:rStyle w:val="affd"/>
                <w:noProof/>
              </w:rPr>
              <w:t>Приложение А1. Состав рабочей группы по разработке и пересмотру клинических рекомендаций</w:t>
            </w:r>
            <w:r w:rsidR="00734F33">
              <w:rPr>
                <w:noProof/>
                <w:webHidden/>
              </w:rPr>
              <w:tab/>
            </w:r>
            <w:r w:rsidR="00734F33">
              <w:rPr>
                <w:noProof/>
                <w:webHidden/>
              </w:rPr>
              <w:fldChar w:fldCharType="begin"/>
            </w:r>
            <w:r w:rsidR="00734F33">
              <w:rPr>
                <w:noProof/>
                <w:webHidden/>
              </w:rPr>
              <w:instrText xml:space="preserve"> PAGEREF _Toc65586422 \h </w:instrText>
            </w:r>
            <w:r w:rsidR="00734F33">
              <w:rPr>
                <w:noProof/>
                <w:webHidden/>
              </w:rPr>
            </w:r>
            <w:r w:rsidR="00734F33">
              <w:rPr>
                <w:noProof/>
                <w:webHidden/>
              </w:rPr>
              <w:fldChar w:fldCharType="separate"/>
            </w:r>
            <w:r w:rsidR="00734F33">
              <w:rPr>
                <w:noProof/>
                <w:webHidden/>
              </w:rPr>
              <w:t>222</w:t>
            </w:r>
            <w:r w:rsidR="00734F33">
              <w:rPr>
                <w:noProof/>
                <w:webHidden/>
              </w:rPr>
              <w:fldChar w:fldCharType="end"/>
            </w:r>
          </w:hyperlink>
        </w:p>
        <w:p w14:paraId="179963B4" w14:textId="4F767944" w:rsidR="00734F33" w:rsidRDefault="00533994">
          <w:pPr>
            <w:pStyle w:val="1a"/>
            <w:rPr>
              <w:rFonts w:asciiTheme="minorHAnsi" w:eastAsiaTheme="minorEastAsia" w:hAnsiTheme="minorHAnsi"/>
              <w:noProof/>
              <w:szCs w:val="24"/>
              <w:lang w:eastAsia="ru-RU"/>
            </w:rPr>
          </w:pPr>
          <w:hyperlink w:anchor="_Toc65586423" w:history="1">
            <w:r w:rsidR="00734F33" w:rsidRPr="00FC3C22">
              <w:rPr>
                <w:rStyle w:val="affd"/>
                <w:noProof/>
              </w:rPr>
              <w:t>Приложение А2. Методология разработки клинических рекомендаций</w:t>
            </w:r>
            <w:r w:rsidR="00734F33">
              <w:rPr>
                <w:noProof/>
                <w:webHidden/>
              </w:rPr>
              <w:tab/>
            </w:r>
            <w:r w:rsidR="00734F33">
              <w:rPr>
                <w:noProof/>
                <w:webHidden/>
              </w:rPr>
              <w:fldChar w:fldCharType="begin"/>
            </w:r>
            <w:r w:rsidR="00734F33">
              <w:rPr>
                <w:noProof/>
                <w:webHidden/>
              </w:rPr>
              <w:instrText xml:space="preserve"> PAGEREF _Toc65586423 \h </w:instrText>
            </w:r>
            <w:r w:rsidR="00734F33">
              <w:rPr>
                <w:noProof/>
                <w:webHidden/>
              </w:rPr>
            </w:r>
            <w:r w:rsidR="00734F33">
              <w:rPr>
                <w:noProof/>
                <w:webHidden/>
              </w:rPr>
              <w:fldChar w:fldCharType="separate"/>
            </w:r>
            <w:r w:rsidR="00734F33">
              <w:rPr>
                <w:noProof/>
                <w:webHidden/>
              </w:rPr>
              <w:t>228</w:t>
            </w:r>
            <w:r w:rsidR="00734F33">
              <w:rPr>
                <w:noProof/>
                <w:webHidden/>
              </w:rPr>
              <w:fldChar w:fldCharType="end"/>
            </w:r>
          </w:hyperlink>
        </w:p>
        <w:p w14:paraId="7292A55D" w14:textId="3E179A6D" w:rsidR="00734F33" w:rsidRDefault="00533994">
          <w:pPr>
            <w:pStyle w:val="1a"/>
            <w:rPr>
              <w:rFonts w:asciiTheme="minorHAnsi" w:eastAsiaTheme="minorEastAsia" w:hAnsiTheme="minorHAnsi"/>
              <w:noProof/>
              <w:szCs w:val="24"/>
              <w:lang w:eastAsia="ru-RU"/>
            </w:rPr>
          </w:pPr>
          <w:hyperlink w:anchor="_Toc65586424" w:history="1">
            <w:r w:rsidR="00734F33" w:rsidRPr="00FC3C22">
              <w:rPr>
                <w:rStyle w:val="affd"/>
                <w:noProof/>
              </w:rPr>
              <w:t>Приложение 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r w:rsidR="00734F33">
              <w:rPr>
                <w:noProof/>
                <w:webHidden/>
              </w:rPr>
              <w:tab/>
            </w:r>
            <w:r w:rsidR="00734F33">
              <w:rPr>
                <w:noProof/>
                <w:webHidden/>
              </w:rPr>
              <w:fldChar w:fldCharType="begin"/>
            </w:r>
            <w:r w:rsidR="00734F33">
              <w:rPr>
                <w:noProof/>
                <w:webHidden/>
              </w:rPr>
              <w:instrText xml:space="preserve"> PAGEREF _Toc65586424 \h </w:instrText>
            </w:r>
            <w:r w:rsidR="00734F33">
              <w:rPr>
                <w:noProof/>
                <w:webHidden/>
              </w:rPr>
            </w:r>
            <w:r w:rsidR="00734F33">
              <w:rPr>
                <w:noProof/>
                <w:webHidden/>
              </w:rPr>
              <w:fldChar w:fldCharType="separate"/>
            </w:r>
            <w:r w:rsidR="00734F33">
              <w:rPr>
                <w:noProof/>
                <w:webHidden/>
              </w:rPr>
              <w:t>232</w:t>
            </w:r>
            <w:r w:rsidR="00734F33">
              <w:rPr>
                <w:noProof/>
                <w:webHidden/>
              </w:rPr>
              <w:fldChar w:fldCharType="end"/>
            </w:r>
          </w:hyperlink>
        </w:p>
        <w:p w14:paraId="7EDECABB" w14:textId="11EC5D9E" w:rsidR="00734F33" w:rsidRDefault="00533994">
          <w:pPr>
            <w:pStyle w:val="1a"/>
            <w:rPr>
              <w:rFonts w:asciiTheme="minorHAnsi" w:eastAsiaTheme="minorEastAsia" w:hAnsiTheme="minorHAnsi"/>
              <w:noProof/>
              <w:szCs w:val="24"/>
              <w:lang w:eastAsia="ru-RU"/>
            </w:rPr>
          </w:pPr>
          <w:hyperlink w:anchor="_Toc65586425" w:history="1">
            <w:r w:rsidR="00734F33" w:rsidRPr="00FC3C22">
              <w:rPr>
                <w:rStyle w:val="affd"/>
                <w:noProof/>
              </w:rPr>
              <w:t>Приложение А3.1. Режимы лекарственного лечения ЛХ</w:t>
            </w:r>
            <w:r w:rsidR="00734F33">
              <w:rPr>
                <w:noProof/>
                <w:webHidden/>
              </w:rPr>
              <w:tab/>
            </w:r>
            <w:r w:rsidR="00734F33">
              <w:rPr>
                <w:noProof/>
                <w:webHidden/>
              </w:rPr>
              <w:fldChar w:fldCharType="begin"/>
            </w:r>
            <w:r w:rsidR="00734F33">
              <w:rPr>
                <w:noProof/>
                <w:webHidden/>
              </w:rPr>
              <w:instrText xml:space="preserve"> PAGEREF _Toc65586425 \h </w:instrText>
            </w:r>
            <w:r w:rsidR="00734F33">
              <w:rPr>
                <w:noProof/>
                <w:webHidden/>
              </w:rPr>
            </w:r>
            <w:r w:rsidR="00734F33">
              <w:rPr>
                <w:noProof/>
                <w:webHidden/>
              </w:rPr>
              <w:fldChar w:fldCharType="separate"/>
            </w:r>
            <w:r w:rsidR="00734F33">
              <w:rPr>
                <w:noProof/>
                <w:webHidden/>
              </w:rPr>
              <w:t>232</w:t>
            </w:r>
            <w:r w:rsidR="00734F33">
              <w:rPr>
                <w:noProof/>
                <w:webHidden/>
              </w:rPr>
              <w:fldChar w:fldCharType="end"/>
            </w:r>
          </w:hyperlink>
        </w:p>
        <w:p w14:paraId="44146224" w14:textId="6E2619B2" w:rsidR="00734F33" w:rsidRDefault="00533994">
          <w:pPr>
            <w:pStyle w:val="1a"/>
            <w:rPr>
              <w:rFonts w:asciiTheme="minorHAnsi" w:eastAsiaTheme="minorEastAsia" w:hAnsiTheme="minorHAnsi"/>
              <w:noProof/>
              <w:szCs w:val="24"/>
              <w:lang w:eastAsia="ru-RU"/>
            </w:rPr>
          </w:pPr>
          <w:hyperlink w:anchor="_Toc65586426" w:history="1">
            <w:r w:rsidR="00734F33" w:rsidRPr="00FC3C22">
              <w:rPr>
                <w:rStyle w:val="affd"/>
                <w:noProof/>
              </w:rPr>
              <w:t>Приложение А3.2. Рекомендации по редукции доз или увеличению промежутков при проведении миелосупрессивной цитостатической терапии</w:t>
            </w:r>
            <w:r w:rsidR="00734F33">
              <w:rPr>
                <w:noProof/>
                <w:webHidden/>
              </w:rPr>
              <w:tab/>
            </w:r>
            <w:r w:rsidR="00734F33">
              <w:rPr>
                <w:noProof/>
                <w:webHidden/>
              </w:rPr>
              <w:fldChar w:fldCharType="begin"/>
            </w:r>
            <w:r w:rsidR="00734F33">
              <w:rPr>
                <w:noProof/>
                <w:webHidden/>
              </w:rPr>
              <w:instrText xml:space="preserve"> PAGEREF _Toc65586426 \h </w:instrText>
            </w:r>
            <w:r w:rsidR="00734F33">
              <w:rPr>
                <w:noProof/>
                <w:webHidden/>
              </w:rPr>
            </w:r>
            <w:r w:rsidR="00734F33">
              <w:rPr>
                <w:noProof/>
                <w:webHidden/>
              </w:rPr>
              <w:fldChar w:fldCharType="separate"/>
            </w:r>
            <w:r w:rsidR="00734F33">
              <w:rPr>
                <w:noProof/>
                <w:webHidden/>
              </w:rPr>
              <w:t>239</w:t>
            </w:r>
            <w:r w:rsidR="00734F33">
              <w:rPr>
                <w:noProof/>
                <w:webHidden/>
              </w:rPr>
              <w:fldChar w:fldCharType="end"/>
            </w:r>
          </w:hyperlink>
        </w:p>
        <w:p w14:paraId="5D05E2CE" w14:textId="53F179D4" w:rsidR="00734F33" w:rsidRDefault="00533994">
          <w:pPr>
            <w:pStyle w:val="1a"/>
            <w:rPr>
              <w:rFonts w:asciiTheme="minorHAnsi" w:eastAsiaTheme="minorEastAsia" w:hAnsiTheme="minorHAnsi"/>
              <w:noProof/>
              <w:szCs w:val="24"/>
              <w:lang w:eastAsia="ru-RU"/>
            </w:rPr>
          </w:pPr>
          <w:hyperlink w:anchor="_Toc65586427" w:history="1">
            <w:r w:rsidR="00734F33" w:rsidRPr="00FC3C22">
              <w:rPr>
                <w:rStyle w:val="affd"/>
                <w:noProof/>
              </w:rPr>
              <w:t xml:space="preserve">Приложение А3.3. </w:t>
            </w:r>
            <w:r w:rsidR="00734F33" w:rsidRPr="00FC3C22">
              <w:rPr>
                <w:rStyle w:val="affd"/>
                <w:rFonts w:eastAsia="Arial Unicode MS"/>
                <w:noProof/>
              </w:rPr>
              <w:t>Сопроводительная терапия при введении моноклональных антител у гематологических пациентов.</w:t>
            </w:r>
            <w:r w:rsidR="00734F33">
              <w:rPr>
                <w:noProof/>
                <w:webHidden/>
              </w:rPr>
              <w:tab/>
            </w:r>
            <w:r w:rsidR="00734F33">
              <w:rPr>
                <w:noProof/>
                <w:webHidden/>
              </w:rPr>
              <w:fldChar w:fldCharType="begin"/>
            </w:r>
            <w:r w:rsidR="00734F33">
              <w:rPr>
                <w:noProof/>
                <w:webHidden/>
              </w:rPr>
              <w:instrText xml:space="preserve"> PAGEREF _Toc65586427 \h </w:instrText>
            </w:r>
            <w:r w:rsidR="00734F33">
              <w:rPr>
                <w:noProof/>
                <w:webHidden/>
              </w:rPr>
            </w:r>
            <w:r w:rsidR="00734F33">
              <w:rPr>
                <w:noProof/>
                <w:webHidden/>
              </w:rPr>
              <w:fldChar w:fldCharType="separate"/>
            </w:r>
            <w:r w:rsidR="00734F33">
              <w:rPr>
                <w:noProof/>
                <w:webHidden/>
              </w:rPr>
              <w:t>239</w:t>
            </w:r>
            <w:r w:rsidR="00734F33">
              <w:rPr>
                <w:noProof/>
                <w:webHidden/>
              </w:rPr>
              <w:fldChar w:fldCharType="end"/>
            </w:r>
          </w:hyperlink>
        </w:p>
        <w:p w14:paraId="45DAEFF9" w14:textId="57E90A8B" w:rsidR="00734F33" w:rsidRDefault="00533994">
          <w:pPr>
            <w:pStyle w:val="1a"/>
            <w:rPr>
              <w:rFonts w:asciiTheme="minorHAnsi" w:eastAsiaTheme="minorEastAsia" w:hAnsiTheme="minorHAnsi"/>
              <w:noProof/>
              <w:szCs w:val="24"/>
              <w:lang w:eastAsia="ru-RU"/>
            </w:rPr>
          </w:pPr>
          <w:hyperlink w:anchor="_Toc65586428" w:history="1">
            <w:r w:rsidR="00734F33" w:rsidRPr="00FC3C22">
              <w:rPr>
                <w:rStyle w:val="affd"/>
                <w:noProof/>
              </w:rPr>
              <w:t>Приложение А3.4. Инфузионная терапия у гематологических пациентов</w:t>
            </w:r>
            <w:r w:rsidR="00734F33">
              <w:rPr>
                <w:noProof/>
                <w:webHidden/>
              </w:rPr>
              <w:tab/>
            </w:r>
            <w:r w:rsidR="00734F33">
              <w:rPr>
                <w:noProof/>
                <w:webHidden/>
              </w:rPr>
              <w:fldChar w:fldCharType="begin"/>
            </w:r>
            <w:r w:rsidR="00734F33">
              <w:rPr>
                <w:noProof/>
                <w:webHidden/>
              </w:rPr>
              <w:instrText xml:space="preserve"> PAGEREF _Toc65586428 \h </w:instrText>
            </w:r>
            <w:r w:rsidR="00734F33">
              <w:rPr>
                <w:noProof/>
                <w:webHidden/>
              </w:rPr>
            </w:r>
            <w:r w:rsidR="00734F33">
              <w:rPr>
                <w:noProof/>
                <w:webHidden/>
              </w:rPr>
              <w:fldChar w:fldCharType="separate"/>
            </w:r>
            <w:r w:rsidR="00734F33">
              <w:rPr>
                <w:noProof/>
                <w:webHidden/>
              </w:rPr>
              <w:t>244</w:t>
            </w:r>
            <w:r w:rsidR="00734F33">
              <w:rPr>
                <w:noProof/>
                <w:webHidden/>
              </w:rPr>
              <w:fldChar w:fldCharType="end"/>
            </w:r>
          </w:hyperlink>
        </w:p>
        <w:p w14:paraId="7B34F5F3" w14:textId="72AA9BD9" w:rsidR="00734F33" w:rsidRDefault="00533994">
          <w:pPr>
            <w:pStyle w:val="1a"/>
            <w:rPr>
              <w:rFonts w:asciiTheme="minorHAnsi" w:eastAsiaTheme="minorEastAsia" w:hAnsiTheme="minorHAnsi"/>
              <w:noProof/>
              <w:szCs w:val="24"/>
              <w:lang w:eastAsia="ru-RU"/>
            </w:rPr>
          </w:pPr>
          <w:hyperlink w:anchor="_Toc65586429" w:history="1">
            <w:r w:rsidR="00734F33" w:rsidRPr="00FC3C22">
              <w:rPr>
                <w:rStyle w:val="affd"/>
                <w:noProof/>
              </w:rPr>
              <w:t>Приложение А3.5. Применение компонентов донорской крови у гематологических пациентов</w:t>
            </w:r>
            <w:r w:rsidR="00734F33">
              <w:rPr>
                <w:noProof/>
                <w:webHidden/>
              </w:rPr>
              <w:tab/>
            </w:r>
            <w:r w:rsidR="00734F33">
              <w:rPr>
                <w:noProof/>
                <w:webHidden/>
              </w:rPr>
              <w:fldChar w:fldCharType="begin"/>
            </w:r>
            <w:r w:rsidR="00734F33">
              <w:rPr>
                <w:noProof/>
                <w:webHidden/>
              </w:rPr>
              <w:instrText xml:space="preserve"> PAGEREF _Toc65586429 \h </w:instrText>
            </w:r>
            <w:r w:rsidR="00734F33">
              <w:rPr>
                <w:noProof/>
                <w:webHidden/>
              </w:rPr>
            </w:r>
            <w:r w:rsidR="00734F33">
              <w:rPr>
                <w:noProof/>
                <w:webHidden/>
              </w:rPr>
              <w:fldChar w:fldCharType="separate"/>
            </w:r>
            <w:r w:rsidR="00734F33">
              <w:rPr>
                <w:noProof/>
                <w:webHidden/>
              </w:rPr>
              <w:t>248</w:t>
            </w:r>
            <w:r w:rsidR="00734F33">
              <w:rPr>
                <w:noProof/>
                <w:webHidden/>
              </w:rPr>
              <w:fldChar w:fldCharType="end"/>
            </w:r>
          </w:hyperlink>
        </w:p>
        <w:p w14:paraId="39CC6AF5" w14:textId="367BA54A" w:rsidR="00734F33" w:rsidRDefault="00533994">
          <w:pPr>
            <w:pStyle w:val="1a"/>
            <w:rPr>
              <w:rFonts w:asciiTheme="minorHAnsi" w:eastAsiaTheme="minorEastAsia" w:hAnsiTheme="minorHAnsi"/>
              <w:noProof/>
              <w:szCs w:val="24"/>
              <w:lang w:eastAsia="ru-RU"/>
            </w:rPr>
          </w:pPr>
          <w:hyperlink w:anchor="_Toc65586430" w:history="1">
            <w:r w:rsidR="00734F33" w:rsidRPr="00FC3C22">
              <w:rPr>
                <w:rStyle w:val="affd"/>
                <w:noProof/>
              </w:rPr>
              <w:t xml:space="preserve">Приложение А3.6. </w:t>
            </w:r>
            <w:r w:rsidR="00734F33" w:rsidRPr="00FC3C22">
              <w:rPr>
                <w:rStyle w:val="affd"/>
                <w:rFonts w:eastAsia="Arial Unicode MS"/>
                <w:noProof/>
              </w:rPr>
              <w:t>Протоколы выполнения аспирационного и биопсийного исследования костного мозга</w:t>
            </w:r>
            <w:r w:rsidR="00734F33">
              <w:rPr>
                <w:noProof/>
                <w:webHidden/>
              </w:rPr>
              <w:tab/>
            </w:r>
            <w:r w:rsidR="00734F33">
              <w:rPr>
                <w:noProof/>
                <w:webHidden/>
              </w:rPr>
              <w:fldChar w:fldCharType="begin"/>
            </w:r>
            <w:r w:rsidR="00734F33">
              <w:rPr>
                <w:noProof/>
                <w:webHidden/>
              </w:rPr>
              <w:instrText xml:space="preserve"> PAGEREF _Toc65586430 \h </w:instrText>
            </w:r>
            <w:r w:rsidR="00734F33">
              <w:rPr>
                <w:noProof/>
                <w:webHidden/>
              </w:rPr>
            </w:r>
            <w:r w:rsidR="00734F33">
              <w:rPr>
                <w:noProof/>
                <w:webHidden/>
              </w:rPr>
              <w:fldChar w:fldCharType="separate"/>
            </w:r>
            <w:r w:rsidR="00734F33">
              <w:rPr>
                <w:noProof/>
                <w:webHidden/>
              </w:rPr>
              <w:t>266</w:t>
            </w:r>
            <w:r w:rsidR="00734F33">
              <w:rPr>
                <w:noProof/>
                <w:webHidden/>
              </w:rPr>
              <w:fldChar w:fldCharType="end"/>
            </w:r>
          </w:hyperlink>
        </w:p>
        <w:p w14:paraId="72300042" w14:textId="55141532" w:rsidR="00734F33" w:rsidRDefault="00533994">
          <w:pPr>
            <w:pStyle w:val="1a"/>
            <w:rPr>
              <w:rFonts w:asciiTheme="minorHAnsi" w:eastAsiaTheme="minorEastAsia" w:hAnsiTheme="minorHAnsi"/>
              <w:noProof/>
              <w:szCs w:val="24"/>
              <w:lang w:eastAsia="ru-RU"/>
            </w:rPr>
          </w:pPr>
          <w:hyperlink w:anchor="_Toc65586431" w:history="1">
            <w:r w:rsidR="00734F33" w:rsidRPr="00FC3C22">
              <w:rPr>
                <w:rStyle w:val="affd"/>
                <w:noProof/>
              </w:rPr>
              <w:t xml:space="preserve">Приложение А3.7. </w:t>
            </w:r>
            <w:r w:rsidR="00734F33" w:rsidRPr="00FC3C22">
              <w:rPr>
                <w:rStyle w:val="affd"/>
                <w:bCs/>
                <w:noProof/>
              </w:rPr>
              <w:t>Обеспечение сосудистого доступа</w:t>
            </w:r>
            <w:r w:rsidR="00734F33">
              <w:rPr>
                <w:noProof/>
                <w:webHidden/>
              </w:rPr>
              <w:tab/>
            </w:r>
            <w:r w:rsidR="00734F33">
              <w:rPr>
                <w:noProof/>
                <w:webHidden/>
              </w:rPr>
              <w:fldChar w:fldCharType="begin"/>
            </w:r>
            <w:r w:rsidR="00734F33">
              <w:rPr>
                <w:noProof/>
                <w:webHidden/>
              </w:rPr>
              <w:instrText xml:space="preserve"> PAGEREF _Toc65586431 \h </w:instrText>
            </w:r>
            <w:r w:rsidR="00734F33">
              <w:rPr>
                <w:noProof/>
                <w:webHidden/>
              </w:rPr>
            </w:r>
            <w:r w:rsidR="00734F33">
              <w:rPr>
                <w:noProof/>
                <w:webHidden/>
              </w:rPr>
              <w:fldChar w:fldCharType="separate"/>
            </w:r>
            <w:r w:rsidR="00734F33">
              <w:rPr>
                <w:noProof/>
                <w:webHidden/>
              </w:rPr>
              <w:t>276</w:t>
            </w:r>
            <w:r w:rsidR="00734F33">
              <w:rPr>
                <w:noProof/>
                <w:webHidden/>
              </w:rPr>
              <w:fldChar w:fldCharType="end"/>
            </w:r>
          </w:hyperlink>
        </w:p>
        <w:p w14:paraId="3686DA37" w14:textId="049C75DF" w:rsidR="00734F33" w:rsidRDefault="00533994">
          <w:pPr>
            <w:pStyle w:val="1a"/>
            <w:rPr>
              <w:rFonts w:asciiTheme="minorHAnsi" w:eastAsiaTheme="minorEastAsia" w:hAnsiTheme="minorHAnsi"/>
              <w:noProof/>
              <w:szCs w:val="24"/>
              <w:lang w:eastAsia="ru-RU"/>
            </w:rPr>
          </w:pPr>
          <w:hyperlink w:anchor="_Toc65586432" w:history="1">
            <w:r w:rsidR="00734F33" w:rsidRPr="00FC3C22">
              <w:rPr>
                <w:rStyle w:val="affd"/>
                <w:noProof/>
              </w:rPr>
              <w:t>Приложение А3.8. Трансплантация аутологичных гемопоэтических стволовых клеток</w:t>
            </w:r>
            <w:r w:rsidR="00734F33">
              <w:rPr>
                <w:noProof/>
                <w:webHidden/>
              </w:rPr>
              <w:tab/>
            </w:r>
            <w:r w:rsidR="00734F33">
              <w:rPr>
                <w:noProof/>
                <w:webHidden/>
              </w:rPr>
              <w:fldChar w:fldCharType="begin"/>
            </w:r>
            <w:r w:rsidR="00734F33">
              <w:rPr>
                <w:noProof/>
                <w:webHidden/>
              </w:rPr>
              <w:instrText xml:space="preserve"> PAGEREF _Toc65586432 \h </w:instrText>
            </w:r>
            <w:r w:rsidR="00734F33">
              <w:rPr>
                <w:noProof/>
                <w:webHidden/>
              </w:rPr>
            </w:r>
            <w:r w:rsidR="00734F33">
              <w:rPr>
                <w:noProof/>
                <w:webHidden/>
              </w:rPr>
              <w:fldChar w:fldCharType="separate"/>
            </w:r>
            <w:r w:rsidR="00734F33">
              <w:rPr>
                <w:noProof/>
                <w:webHidden/>
              </w:rPr>
              <w:t>288</w:t>
            </w:r>
            <w:r w:rsidR="00734F33">
              <w:rPr>
                <w:noProof/>
                <w:webHidden/>
              </w:rPr>
              <w:fldChar w:fldCharType="end"/>
            </w:r>
          </w:hyperlink>
        </w:p>
        <w:p w14:paraId="6E6E3BBB" w14:textId="614A181A" w:rsidR="00734F33" w:rsidRDefault="00533994">
          <w:pPr>
            <w:pStyle w:val="1a"/>
            <w:rPr>
              <w:rFonts w:asciiTheme="minorHAnsi" w:eastAsiaTheme="minorEastAsia" w:hAnsiTheme="minorHAnsi"/>
              <w:noProof/>
              <w:szCs w:val="24"/>
              <w:lang w:eastAsia="ru-RU"/>
            </w:rPr>
          </w:pPr>
          <w:hyperlink w:anchor="_Toc65586433" w:history="1">
            <w:r w:rsidR="00734F33" w:rsidRPr="00FC3C22">
              <w:rPr>
                <w:rStyle w:val="affd"/>
                <w:noProof/>
              </w:rPr>
              <w:t>Режимы мобилизации ГСК</w:t>
            </w:r>
            <w:r w:rsidR="00734F33">
              <w:rPr>
                <w:noProof/>
                <w:webHidden/>
              </w:rPr>
              <w:tab/>
            </w:r>
            <w:r w:rsidR="00734F33">
              <w:rPr>
                <w:noProof/>
                <w:webHidden/>
              </w:rPr>
              <w:fldChar w:fldCharType="begin"/>
            </w:r>
            <w:r w:rsidR="00734F33">
              <w:rPr>
                <w:noProof/>
                <w:webHidden/>
              </w:rPr>
              <w:instrText xml:space="preserve"> PAGEREF _Toc65586433 \h </w:instrText>
            </w:r>
            <w:r w:rsidR="00734F33">
              <w:rPr>
                <w:noProof/>
                <w:webHidden/>
              </w:rPr>
            </w:r>
            <w:r w:rsidR="00734F33">
              <w:rPr>
                <w:noProof/>
                <w:webHidden/>
              </w:rPr>
              <w:fldChar w:fldCharType="separate"/>
            </w:r>
            <w:r w:rsidR="00734F33">
              <w:rPr>
                <w:noProof/>
                <w:webHidden/>
              </w:rPr>
              <w:t>294</w:t>
            </w:r>
            <w:r w:rsidR="00734F33">
              <w:rPr>
                <w:noProof/>
                <w:webHidden/>
              </w:rPr>
              <w:fldChar w:fldCharType="end"/>
            </w:r>
          </w:hyperlink>
        </w:p>
        <w:p w14:paraId="15F66747" w14:textId="09689DF0" w:rsidR="00734F33" w:rsidRDefault="00533994">
          <w:pPr>
            <w:pStyle w:val="1a"/>
            <w:rPr>
              <w:rFonts w:asciiTheme="minorHAnsi" w:eastAsiaTheme="minorEastAsia" w:hAnsiTheme="minorHAnsi"/>
              <w:noProof/>
              <w:szCs w:val="24"/>
              <w:lang w:eastAsia="ru-RU"/>
            </w:rPr>
          </w:pPr>
          <w:hyperlink w:anchor="_Toc65586434" w:history="1">
            <w:r w:rsidR="00734F33" w:rsidRPr="00FC3C22">
              <w:rPr>
                <w:rStyle w:val="affd"/>
                <w:noProof/>
              </w:rPr>
              <w:t>Приложение А3.9. Проведение трансплантации аллогенных гемопоэтических стволовых клеток</w:t>
            </w:r>
            <w:r w:rsidR="00734F33">
              <w:rPr>
                <w:noProof/>
                <w:webHidden/>
              </w:rPr>
              <w:tab/>
            </w:r>
            <w:r w:rsidR="00734F33">
              <w:rPr>
                <w:noProof/>
                <w:webHidden/>
              </w:rPr>
              <w:fldChar w:fldCharType="begin"/>
            </w:r>
            <w:r w:rsidR="00734F33">
              <w:rPr>
                <w:noProof/>
                <w:webHidden/>
              </w:rPr>
              <w:instrText xml:space="preserve"> PAGEREF _Toc65586434 \h </w:instrText>
            </w:r>
            <w:r w:rsidR="00734F33">
              <w:rPr>
                <w:noProof/>
                <w:webHidden/>
              </w:rPr>
            </w:r>
            <w:r w:rsidR="00734F33">
              <w:rPr>
                <w:noProof/>
                <w:webHidden/>
              </w:rPr>
              <w:fldChar w:fldCharType="separate"/>
            </w:r>
            <w:r w:rsidR="00734F33">
              <w:rPr>
                <w:noProof/>
                <w:webHidden/>
              </w:rPr>
              <w:t>342</w:t>
            </w:r>
            <w:r w:rsidR="00734F33">
              <w:rPr>
                <w:noProof/>
                <w:webHidden/>
              </w:rPr>
              <w:fldChar w:fldCharType="end"/>
            </w:r>
          </w:hyperlink>
        </w:p>
        <w:p w14:paraId="28E4C977" w14:textId="48F186E9" w:rsidR="00734F33" w:rsidRDefault="00533994">
          <w:pPr>
            <w:pStyle w:val="1a"/>
            <w:rPr>
              <w:rFonts w:asciiTheme="minorHAnsi" w:eastAsiaTheme="minorEastAsia" w:hAnsiTheme="minorHAnsi"/>
              <w:noProof/>
              <w:szCs w:val="24"/>
              <w:lang w:eastAsia="ru-RU"/>
            </w:rPr>
          </w:pPr>
          <w:hyperlink w:anchor="_Toc65586435" w:history="1">
            <w:r w:rsidR="00734F33" w:rsidRPr="00FC3C22">
              <w:rPr>
                <w:rStyle w:val="affd"/>
                <w:noProof/>
              </w:rPr>
              <w:t>Приложение Б. Алгоритмы действий врача</w:t>
            </w:r>
            <w:r w:rsidR="00734F33">
              <w:rPr>
                <w:noProof/>
                <w:webHidden/>
              </w:rPr>
              <w:tab/>
            </w:r>
            <w:r w:rsidR="00734F33">
              <w:rPr>
                <w:noProof/>
                <w:webHidden/>
              </w:rPr>
              <w:fldChar w:fldCharType="begin"/>
            </w:r>
            <w:r w:rsidR="00734F33">
              <w:rPr>
                <w:noProof/>
                <w:webHidden/>
              </w:rPr>
              <w:instrText xml:space="preserve"> PAGEREF _Toc65586435 \h </w:instrText>
            </w:r>
            <w:r w:rsidR="00734F33">
              <w:rPr>
                <w:noProof/>
                <w:webHidden/>
              </w:rPr>
            </w:r>
            <w:r w:rsidR="00734F33">
              <w:rPr>
                <w:noProof/>
                <w:webHidden/>
              </w:rPr>
              <w:fldChar w:fldCharType="separate"/>
            </w:r>
            <w:r w:rsidR="00734F33">
              <w:rPr>
                <w:noProof/>
                <w:webHidden/>
              </w:rPr>
              <w:t>463</w:t>
            </w:r>
            <w:r w:rsidR="00734F33">
              <w:rPr>
                <w:noProof/>
                <w:webHidden/>
              </w:rPr>
              <w:fldChar w:fldCharType="end"/>
            </w:r>
          </w:hyperlink>
        </w:p>
        <w:p w14:paraId="6C119652" w14:textId="1FFBB723" w:rsidR="00734F33" w:rsidRDefault="00533994">
          <w:pPr>
            <w:pStyle w:val="1a"/>
            <w:rPr>
              <w:rFonts w:asciiTheme="minorHAnsi" w:eastAsiaTheme="minorEastAsia" w:hAnsiTheme="minorHAnsi"/>
              <w:noProof/>
              <w:szCs w:val="24"/>
              <w:lang w:eastAsia="ru-RU"/>
            </w:rPr>
          </w:pPr>
          <w:hyperlink w:anchor="_Toc65586436" w:history="1">
            <w:r w:rsidR="00734F33" w:rsidRPr="00FC3C22">
              <w:rPr>
                <w:rStyle w:val="affd"/>
                <w:noProof/>
              </w:rPr>
              <w:t>Приложение В. Информация для пациента</w:t>
            </w:r>
            <w:r w:rsidR="00734F33">
              <w:rPr>
                <w:noProof/>
                <w:webHidden/>
              </w:rPr>
              <w:tab/>
            </w:r>
            <w:r w:rsidR="00734F33">
              <w:rPr>
                <w:noProof/>
                <w:webHidden/>
              </w:rPr>
              <w:fldChar w:fldCharType="begin"/>
            </w:r>
            <w:r w:rsidR="00734F33">
              <w:rPr>
                <w:noProof/>
                <w:webHidden/>
              </w:rPr>
              <w:instrText xml:space="preserve"> PAGEREF _Toc65586436 \h </w:instrText>
            </w:r>
            <w:r w:rsidR="00734F33">
              <w:rPr>
                <w:noProof/>
                <w:webHidden/>
              </w:rPr>
            </w:r>
            <w:r w:rsidR="00734F33">
              <w:rPr>
                <w:noProof/>
                <w:webHidden/>
              </w:rPr>
              <w:fldChar w:fldCharType="separate"/>
            </w:r>
            <w:r w:rsidR="00734F33">
              <w:rPr>
                <w:noProof/>
                <w:webHidden/>
              </w:rPr>
              <w:t>467</w:t>
            </w:r>
            <w:r w:rsidR="00734F33">
              <w:rPr>
                <w:noProof/>
                <w:webHidden/>
              </w:rPr>
              <w:fldChar w:fldCharType="end"/>
            </w:r>
          </w:hyperlink>
        </w:p>
        <w:p w14:paraId="79C0BB8D" w14:textId="1C34EDE2" w:rsidR="00734F33" w:rsidRDefault="00533994">
          <w:pPr>
            <w:pStyle w:val="1a"/>
            <w:rPr>
              <w:rFonts w:asciiTheme="minorHAnsi" w:eastAsiaTheme="minorEastAsia" w:hAnsiTheme="minorHAnsi"/>
              <w:noProof/>
              <w:szCs w:val="24"/>
              <w:lang w:eastAsia="ru-RU"/>
            </w:rPr>
          </w:pPr>
          <w:hyperlink w:anchor="_Toc65586437" w:history="1">
            <w:r w:rsidR="00734F33" w:rsidRPr="00FC3C22">
              <w:rPr>
                <w:rStyle w:val="affd"/>
                <w:noProof/>
              </w:rPr>
              <w:t>Приложение Г. Шкалы оценки, вопросники и другие оценочные инструменты состояния пациента, приведенные в клинических рекомендациях</w:t>
            </w:r>
            <w:r w:rsidR="00734F33">
              <w:rPr>
                <w:noProof/>
                <w:webHidden/>
              </w:rPr>
              <w:tab/>
            </w:r>
            <w:r w:rsidR="00734F33">
              <w:rPr>
                <w:noProof/>
                <w:webHidden/>
              </w:rPr>
              <w:fldChar w:fldCharType="begin"/>
            </w:r>
            <w:r w:rsidR="00734F33">
              <w:rPr>
                <w:noProof/>
                <w:webHidden/>
              </w:rPr>
              <w:instrText xml:space="preserve"> PAGEREF _Toc65586437 \h </w:instrText>
            </w:r>
            <w:r w:rsidR="00734F33">
              <w:rPr>
                <w:noProof/>
                <w:webHidden/>
              </w:rPr>
            </w:r>
            <w:r w:rsidR="00734F33">
              <w:rPr>
                <w:noProof/>
                <w:webHidden/>
              </w:rPr>
              <w:fldChar w:fldCharType="separate"/>
            </w:r>
            <w:r w:rsidR="00734F33">
              <w:rPr>
                <w:noProof/>
                <w:webHidden/>
              </w:rPr>
              <w:t>469</w:t>
            </w:r>
            <w:r w:rsidR="00734F33">
              <w:rPr>
                <w:noProof/>
                <w:webHidden/>
              </w:rPr>
              <w:fldChar w:fldCharType="end"/>
            </w:r>
          </w:hyperlink>
        </w:p>
        <w:p w14:paraId="71E8027C" w14:textId="57D4F929" w:rsidR="00734F33" w:rsidRDefault="00533994">
          <w:pPr>
            <w:pStyle w:val="1a"/>
            <w:rPr>
              <w:rFonts w:asciiTheme="minorHAnsi" w:eastAsiaTheme="minorEastAsia" w:hAnsiTheme="minorHAnsi"/>
              <w:noProof/>
              <w:szCs w:val="24"/>
              <w:lang w:eastAsia="ru-RU"/>
            </w:rPr>
          </w:pPr>
          <w:hyperlink w:anchor="_Toc65586438" w:history="1">
            <w:r w:rsidR="00734F33" w:rsidRPr="00FC3C22">
              <w:rPr>
                <w:rStyle w:val="affd"/>
                <w:noProof/>
              </w:rPr>
              <w:t>Приложение Г1. Шкала оценки общего состояния пациента Восточной объединенной онкологической группы (ECOG)</w:t>
            </w:r>
            <w:r w:rsidR="00734F33">
              <w:rPr>
                <w:noProof/>
                <w:webHidden/>
              </w:rPr>
              <w:tab/>
            </w:r>
            <w:r w:rsidR="00734F33">
              <w:rPr>
                <w:noProof/>
                <w:webHidden/>
              </w:rPr>
              <w:fldChar w:fldCharType="begin"/>
            </w:r>
            <w:r w:rsidR="00734F33">
              <w:rPr>
                <w:noProof/>
                <w:webHidden/>
              </w:rPr>
              <w:instrText xml:space="preserve"> PAGEREF _Toc65586438 \h </w:instrText>
            </w:r>
            <w:r w:rsidR="00734F33">
              <w:rPr>
                <w:noProof/>
                <w:webHidden/>
              </w:rPr>
            </w:r>
            <w:r w:rsidR="00734F33">
              <w:rPr>
                <w:noProof/>
                <w:webHidden/>
              </w:rPr>
              <w:fldChar w:fldCharType="separate"/>
            </w:r>
            <w:r w:rsidR="00734F33">
              <w:rPr>
                <w:noProof/>
                <w:webHidden/>
              </w:rPr>
              <w:t>469</w:t>
            </w:r>
            <w:r w:rsidR="00734F33">
              <w:rPr>
                <w:noProof/>
                <w:webHidden/>
              </w:rPr>
              <w:fldChar w:fldCharType="end"/>
            </w:r>
          </w:hyperlink>
        </w:p>
        <w:p w14:paraId="6CB44F66" w14:textId="56A11A2D" w:rsidR="00734F33" w:rsidRDefault="00533994">
          <w:pPr>
            <w:pStyle w:val="1a"/>
            <w:rPr>
              <w:rFonts w:asciiTheme="minorHAnsi" w:eastAsiaTheme="minorEastAsia" w:hAnsiTheme="minorHAnsi"/>
              <w:noProof/>
              <w:szCs w:val="24"/>
              <w:lang w:eastAsia="ru-RU"/>
            </w:rPr>
          </w:pPr>
          <w:hyperlink w:anchor="_Toc65586439" w:history="1">
            <w:r w:rsidR="00734F33" w:rsidRPr="00FC3C22">
              <w:rPr>
                <w:rStyle w:val="affd"/>
                <w:noProof/>
              </w:rPr>
              <w:t>Приложение Г2. Шкала визуальной оценки ПЭТ-данных</w:t>
            </w:r>
            <w:r w:rsidR="00734F33">
              <w:rPr>
                <w:noProof/>
                <w:webHidden/>
              </w:rPr>
              <w:tab/>
            </w:r>
            <w:r w:rsidR="00734F33">
              <w:rPr>
                <w:noProof/>
                <w:webHidden/>
              </w:rPr>
              <w:fldChar w:fldCharType="begin"/>
            </w:r>
            <w:r w:rsidR="00734F33">
              <w:rPr>
                <w:noProof/>
                <w:webHidden/>
              </w:rPr>
              <w:instrText xml:space="preserve"> PAGEREF _Toc65586439 \h </w:instrText>
            </w:r>
            <w:r w:rsidR="00734F33">
              <w:rPr>
                <w:noProof/>
                <w:webHidden/>
              </w:rPr>
            </w:r>
            <w:r w:rsidR="00734F33">
              <w:rPr>
                <w:noProof/>
                <w:webHidden/>
              </w:rPr>
              <w:fldChar w:fldCharType="separate"/>
            </w:r>
            <w:r w:rsidR="00734F33">
              <w:rPr>
                <w:noProof/>
                <w:webHidden/>
              </w:rPr>
              <w:t>469</w:t>
            </w:r>
            <w:r w:rsidR="00734F33">
              <w:rPr>
                <w:noProof/>
                <w:webHidden/>
              </w:rPr>
              <w:fldChar w:fldCharType="end"/>
            </w:r>
          </w:hyperlink>
        </w:p>
        <w:p w14:paraId="5C56DBBD" w14:textId="41D2F94C" w:rsidR="00734F33" w:rsidRDefault="00533994">
          <w:pPr>
            <w:pStyle w:val="1a"/>
            <w:rPr>
              <w:rFonts w:asciiTheme="minorHAnsi" w:eastAsiaTheme="minorEastAsia" w:hAnsiTheme="minorHAnsi"/>
              <w:noProof/>
              <w:szCs w:val="24"/>
              <w:lang w:eastAsia="ru-RU"/>
            </w:rPr>
          </w:pPr>
          <w:hyperlink w:anchor="_Toc65586440" w:history="1">
            <w:r w:rsidR="00734F33" w:rsidRPr="00FC3C22">
              <w:rPr>
                <w:rStyle w:val="affd"/>
                <w:noProof/>
              </w:rPr>
              <w:t xml:space="preserve">Приложение Г3. </w:t>
            </w:r>
            <w:r w:rsidR="00734F33" w:rsidRPr="00FC3C22">
              <w:rPr>
                <w:rStyle w:val="affd"/>
                <w:rFonts w:eastAsia="SimSun"/>
                <w:noProof/>
              </w:rPr>
              <w:t>Расчет трансплантационного риска по шкале EBMT</w:t>
            </w:r>
            <w:r w:rsidR="00734F33">
              <w:rPr>
                <w:noProof/>
                <w:webHidden/>
              </w:rPr>
              <w:tab/>
            </w:r>
            <w:r w:rsidR="00734F33">
              <w:rPr>
                <w:noProof/>
                <w:webHidden/>
              </w:rPr>
              <w:fldChar w:fldCharType="begin"/>
            </w:r>
            <w:r w:rsidR="00734F33">
              <w:rPr>
                <w:noProof/>
                <w:webHidden/>
              </w:rPr>
              <w:instrText xml:space="preserve"> PAGEREF _Toc65586440 \h </w:instrText>
            </w:r>
            <w:r w:rsidR="00734F33">
              <w:rPr>
                <w:noProof/>
                <w:webHidden/>
              </w:rPr>
            </w:r>
            <w:r w:rsidR="00734F33">
              <w:rPr>
                <w:noProof/>
                <w:webHidden/>
              </w:rPr>
              <w:fldChar w:fldCharType="separate"/>
            </w:r>
            <w:r w:rsidR="00734F33">
              <w:rPr>
                <w:noProof/>
                <w:webHidden/>
              </w:rPr>
              <w:t>470</w:t>
            </w:r>
            <w:r w:rsidR="00734F33">
              <w:rPr>
                <w:noProof/>
                <w:webHidden/>
              </w:rPr>
              <w:fldChar w:fldCharType="end"/>
            </w:r>
          </w:hyperlink>
        </w:p>
        <w:p w14:paraId="0B38B9DB" w14:textId="7C2BBE0B" w:rsidR="00734F33" w:rsidRDefault="00533994">
          <w:pPr>
            <w:pStyle w:val="1a"/>
            <w:rPr>
              <w:rFonts w:asciiTheme="minorHAnsi" w:eastAsiaTheme="minorEastAsia" w:hAnsiTheme="minorHAnsi"/>
              <w:noProof/>
              <w:szCs w:val="24"/>
              <w:lang w:eastAsia="ru-RU"/>
            </w:rPr>
          </w:pPr>
          <w:hyperlink w:anchor="_Toc65586441" w:history="1">
            <w:r w:rsidR="00734F33" w:rsidRPr="00FC3C22">
              <w:rPr>
                <w:rStyle w:val="affd"/>
                <w:noProof/>
              </w:rPr>
              <w:t xml:space="preserve">Приложение Г4. </w:t>
            </w:r>
            <w:r w:rsidR="00734F33" w:rsidRPr="00FC3C22">
              <w:rPr>
                <w:rStyle w:val="affd"/>
                <w:rFonts w:eastAsia="SimSun"/>
                <w:noProof/>
              </w:rPr>
              <w:t>Расчет трансплантационного риска по шкале HCT-CI</w:t>
            </w:r>
            <w:r w:rsidR="00734F33">
              <w:rPr>
                <w:noProof/>
                <w:webHidden/>
              </w:rPr>
              <w:tab/>
            </w:r>
            <w:r w:rsidR="00734F33">
              <w:rPr>
                <w:noProof/>
                <w:webHidden/>
              </w:rPr>
              <w:fldChar w:fldCharType="begin"/>
            </w:r>
            <w:r w:rsidR="00734F33">
              <w:rPr>
                <w:noProof/>
                <w:webHidden/>
              </w:rPr>
              <w:instrText xml:space="preserve"> PAGEREF _Toc65586441 \h </w:instrText>
            </w:r>
            <w:r w:rsidR="00734F33">
              <w:rPr>
                <w:noProof/>
                <w:webHidden/>
              </w:rPr>
            </w:r>
            <w:r w:rsidR="00734F33">
              <w:rPr>
                <w:noProof/>
                <w:webHidden/>
              </w:rPr>
              <w:fldChar w:fldCharType="separate"/>
            </w:r>
            <w:r w:rsidR="00734F33">
              <w:rPr>
                <w:noProof/>
                <w:webHidden/>
              </w:rPr>
              <w:t>472</w:t>
            </w:r>
            <w:r w:rsidR="00734F33">
              <w:rPr>
                <w:noProof/>
                <w:webHidden/>
              </w:rPr>
              <w:fldChar w:fldCharType="end"/>
            </w:r>
          </w:hyperlink>
        </w:p>
        <w:p w14:paraId="357EB34C" w14:textId="1A3EB205" w:rsidR="0033051F" w:rsidRDefault="00172112" w:rsidP="0033051F">
          <w:pPr>
            <w:rPr>
              <w:bCs/>
            </w:rPr>
          </w:pPr>
          <w:r w:rsidRPr="0033051F">
            <w:rPr>
              <w:rFonts w:cs="Times New Roman"/>
              <w:b/>
              <w:bCs/>
              <w:szCs w:val="24"/>
            </w:rPr>
            <w:fldChar w:fldCharType="end"/>
          </w:r>
        </w:p>
      </w:sdtContent>
    </w:sdt>
    <w:bookmarkStart w:id="3" w:name="__RefHeading___doc_abbreviation" w:displacedByCustomXml="prev"/>
    <w:p w14:paraId="58B13CE1" w14:textId="77777777" w:rsidR="000414F6" w:rsidRDefault="00CB71DA" w:rsidP="0033051F">
      <w:pPr>
        <w:pStyle w:val="afff2"/>
      </w:pPr>
      <w:bookmarkStart w:id="4" w:name="_Toc65586374"/>
      <w:r>
        <w:t>Список сокращений</w:t>
      </w:r>
      <w:bookmarkEnd w:id="3"/>
      <w:bookmarkEnd w:id="4"/>
    </w:p>
    <w:p w14:paraId="22796E83" w14:textId="77777777" w:rsidR="005708CB" w:rsidRPr="005708CB" w:rsidRDefault="005708CB" w:rsidP="005708CB">
      <w:pPr>
        <w:pStyle w:val="afd"/>
        <w:spacing w:beforeAutospacing="0" w:afterAutospacing="0" w:line="360" w:lineRule="auto"/>
      </w:pPr>
      <w:r>
        <w:rPr>
          <w:lang w:val="en-US"/>
        </w:rPr>
        <w:t>GTV</w:t>
      </w:r>
      <w:r w:rsidRPr="005708CB">
        <w:t xml:space="preserve"> – </w:t>
      </w:r>
      <w:r>
        <w:t>макроскопический объем опухоли</w:t>
      </w:r>
    </w:p>
    <w:p w14:paraId="27916B36" w14:textId="77777777" w:rsidR="005708CB" w:rsidRPr="005708CB" w:rsidRDefault="005708CB" w:rsidP="005708CB">
      <w:pPr>
        <w:pStyle w:val="afd"/>
        <w:spacing w:beforeAutospacing="0" w:afterAutospacing="0" w:line="360" w:lineRule="auto"/>
      </w:pPr>
      <w:r>
        <w:rPr>
          <w:lang w:val="en-US"/>
        </w:rPr>
        <w:t>CTV</w:t>
      </w:r>
      <w:r w:rsidRPr="005708CB">
        <w:t xml:space="preserve"> </w:t>
      </w:r>
      <w:r>
        <w:t>–</w:t>
      </w:r>
      <w:r w:rsidRPr="005708CB">
        <w:t xml:space="preserve"> </w:t>
      </w:r>
      <w:r>
        <w:t>клинический объем мишени</w:t>
      </w:r>
    </w:p>
    <w:p w14:paraId="10CAC55F" w14:textId="77777777" w:rsidR="005708CB" w:rsidRPr="005708CB" w:rsidRDefault="005708CB" w:rsidP="005708CB">
      <w:pPr>
        <w:pStyle w:val="afd"/>
        <w:spacing w:beforeAutospacing="0" w:afterAutospacing="0" w:line="360" w:lineRule="auto"/>
      </w:pPr>
      <w:r>
        <w:rPr>
          <w:lang w:val="en-US"/>
        </w:rPr>
        <w:t>PTV</w:t>
      </w:r>
      <w:r w:rsidRPr="007C3C41">
        <w:t xml:space="preserve"> – </w:t>
      </w:r>
      <w:r>
        <w:t>планируемый объем мишени</w:t>
      </w:r>
    </w:p>
    <w:p w14:paraId="4E027D51" w14:textId="77777777" w:rsidR="00DB3CA8" w:rsidRPr="003D629B" w:rsidRDefault="00DB3CA8" w:rsidP="00841FEF">
      <w:pPr>
        <w:pStyle w:val="afd"/>
        <w:spacing w:beforeAutospacing="0" w:afterAutospacing="0" w:line="360" w:lineRule="auto"/>
      </w:pPr>
      <w:r>
        <w:t>АЛТ</w:t>
      </w:r>
      <w:r w:rsidRPr="00CD5AF9">
        <w:t xml:space="preserve"> – аланинаминотрансфераза </w:t>
      </w:r>
    </w:p>
    <w:p w14:paraId="508E61EB" w14:textId="77777777" w:rsidR="00DB3CA8" w:rsidRPr="003D629B" w:rsidRDefault="00DB3CA8" w:rsidP="00DB3CA8">
      <w:pPr>
        <w:pStyle w:val="afd"/>
        <w:spacing w:beforeAutospacing="0" w:afterAutospacing="0" w:line="360" w:lineRule="auto"/>
      </w:pPr>
      <w:r>
        <w:t>АСТ</w:t>
      </w:r>
      <w:r w:rsidRPr="00CD5AF9">
        <w:t xml:space="preserve"> </w:t>
      </w:r>
      <w:r>
        <w:t>–</w:t>
      </w:r>
      <w:r w:rsidRPr="00CD5AF9">
        <w:t xml:space="preserve"> </w:t>
      </w:r>
      <w:r w:rsidRPr="00DB3CA8">
        <w:t>аспартатаминотрансфераза</w:t>
      </w:r>
      <w:r w:rsidRPr="00CD5AF9">
        <w:t xml:space="preserve"> </w:t>
      </w:r>
    </w:p>
    <w:p w14:paraId="014F57E1" w14:textId="77777777" w:rsidR="006619AD" w:rsidRDefault="006619AD" w:rsidP="00841FEF">
      <w:pPr>
        <w:pStyle w:val="afd"/>
        <w:spacing w:beforeAutospacing="0" w:afterAutospacing="0" w:line="360" w:lineRule="auto"/>
      </w:pPr>
      <w:r>
        <w:t>аутоТГСК – трансплантаци</w:t>
      </w:r>
      <w:r w:rsidR="007C3C41">
        <w:t>я</w:t>
      </w:r>
      <w:r>
        <w:t xml:space="preserve"> аутологичных гемопоэтических стволовых клеток</w:t>
      </w:r>
    </w:p>
    <w:p w14:paraId="5BEB0E9B" w14:textId="77777777" w:rsidR="00DB3CA8" w:rsidRDefault="00DB3CA8" w:rsidP="00841FEF">
      <w:pPr>
        <w:pStyle w:val="afd"/>
        <w:spacing w:beforeAutospacing="0" w:afterAutospacing="0" w:line="360" w:lineRule="auto"/>
      </w:pPr>
      <w:r>
        <w:t xml:space="preserve">АЧТВ – </w:t>
      </w:r>
      <w:r w:rsidRPr="00DB3CA8">
        <w:t xml:space="preserve">активированное частичное </w:t>
      </w:r>
      <w:r>
        <w:t>тромбопластиновое время</w:t>
      </w:r>
    </w:p>
    <w:p w14:paraId="639C2F2B" w14:textId="77777777" w:rsidR="006619AD" w:rsidRDefault="006619AD" w:rsidP="00841FEF">
      <w:pPr>
        <w:pStyle w:val="afd"/>
        <w:spacing w:beforeAutospacing="0" w:afterAutospacing="0" w:line="360" w:lineRule="auto"/>
      </w:pPr>
      <w:r>
        <w:t>ВДХТ – высокодозная химиотерапия</w:t>
      </w:r>
    </w:p>
    <w:p w14:paraId="79CA6846" w14:textId="77777777" w:rsidR="006619AD" w:rsidRPr="00887BF1" w:rsidRDefault="006619AD" w:rsidP="00841FEF">
      <w:pPr>
        <w:pStyle w:val="afd"/>
        <w:spacing w:beforeAutospacing="0" w:afterAutospacing="0" w:line="360" w:lineRule="auto"/>
      </w:pPr>
      <w:r>
        <w:t xml:space="preserve">Г-КСФ – </w:t>
      </w:r>
      <w:r w:rsidR="00887BF1">
        <w:t>колониестимулирующие факторы (</w:t>
      </w:r>
      <w:r w:rsidR="00887BF1">
        <w:rPr>
          <w:lang w:val="en-US"/>
        </w:rPr>
        <w:t>L</w:t>
      </w:r>
      <w:r w:rsidR="00887BF1" w:rsidRPr="000709E2">
        <w:t>03</w:t>
      </w:r>
      <w:r w:rsidR="00887BF1">
        <w:rPr>
          <w:lang w:val="en-US"/>
        </w:rPr>
        <w:t>AA</w:t>
      </w:r>
      <w:r w:rsidR="00887BF1" w:rsidRPr="000709E2">
        <w:t>)</w:t>
      </w:r>
    </w:p>
    <w:p w14:paraId="650F3598" w14:textId="77777777" w:rsidR="006619AD" w:rsidRDefault="006619AD" w:rsidP="00841FEF">
      <w:pPr>
        <w:pStyle w:val="afd"/>
        <w:spacing w:beforeAutospacing="0" w:afterAutospacing="0" w:line="360" w:lineRule="auto"/>
      </w:pPr>
      <w:r>
        <w:t>ДВККЛ - диффузная В-крупноклеточная лимфома</w:t>
      </w:r>
    </w:p>
    <w:p w14:paraId="13880547" w14:textId="77777777" w:rsidR="006619AD" w:rsidRDefault="006619AD" w:rsidP="00841FEF">
      <w:pPr>
        <w:pStyle w:val="afd"/>
        <w:spacing w:beforeAutospacing="0" w:afterAutospacing="0" w:line="360" w:lineRule="auto"/>
      </w:pPr>
      <w:r>
        <w:t>кЛХ – классическая лимфома Ходжкина</w:t>
      </w:r>
    </w:p>
    <w:p w14:paraId="643F2E56" w14:textId="77777777" w:rsidR="006619AD" w:rsidRDefault="006619AD" w:rsidP="00841FEF">
      <w:pPr>
        <w:pStyle w:val="afd"/>
        <w:spacing w:beforeAutospacing="0" w:afterAutospacing="0" w:line="360" w:lineRule="auto"/>
      </w:pPr>
      <w:r>
        <w:t>КТ – компьютерная томография</w:t>
      </w:r>
    </w:p>
    <w:p w14:paraId="66E18643" w14:textId="77777777" w:rsidR="00DB3CA8" w:rsidRPr="003D629B" w:rsidRDefault="00DB3CA8" w:rsidP="00841FEF">
      <w:pPr>
        <w:pStyle w:val="afd"/>
        <w:spacing w:beforeAutospacing="0" w:afterAutospacing="0" w:line="360" w:lineRule="auto"/>
      </w:pPr>
      <w:r>
        <w:t>ЛДГ</w:t>
      </w:r>
      <w:r w:rsidRPr="00CD5AF9">
        <w:t xml:space="preserve"> </w:t>
      </w:r>
      <w:r>
        <w:t>–</w:t>
      </w:r>
      <w:r w:rsidRPr="00CD5AF9">
        <w:t xml:space="preserve"> </w:t>
      </w:r>
      <w:r w:rsidRPr="00DB3CA8">
        <w:t>лактатдегидрогеназа</w:t>
      </w:r>
    </w:p>
    <w:p w14:paraId="74E89D31" w14:textId="77777777" w:rsidR="006619AD" w:rsidRDefault="006619AD" w:rsidP="00841FEF">
      <w:pPr>
        <w:pStyle w:val="afd"/>
        <w:spacing w:beforeAutospacing="0" w:afterAutospacing="0" w:line="360" w:lineRule="auto"/>
      </w:pPr>
      <w:r>
        <w:t>ЛТ – лучевая терапия</w:t>
      </w:r>
    </w:p>
    <w:p w14:paraId="1AE34D60" w14:textId="77777777" w:rsidR="006619AD" w:rsidRDefault="006619AD" w:rsidP="00841FEF">
      <w:pPr>
        <w:pStyle w:val="afd"/>
        <w:spacing w:beforeAutospacing="0" w:afterAutospacing="0" w:line="360" w:lineRule="auto"/>
      </w:pPr>
      <w:r>
        <w:t>ЛХ – лимфома Ходжкина</w:t>
      </w:r>
    </w:p>
    <w:p w14:paraId="1D1C16FF" w14:textId="77777777" w:rsidR="00DB3CA8" w:rsidRDefault="00DB3CA8" w:rsidP="00DB3CA8">
      <w:pPr>
        <w:pStyle w:val="afd"/>
        <w:spacing w:beforeAutospacing="0" w:afterAutospacing="0" w:line="360" w:lineRule="auto"/>
      </w:pPr>
      <w:r>
        <w:t>МНО</w:t>
      </w:r>
      <w:r w:rsidR="00CD5AF9">
        <w:t xml:space="preserve"> –</w:t>
      </w:r>
      <w:r>
        <w:t xml:space="preserve"> </w:t>
      </w:r>
      <w:r w:rsidRPr="00DB3CA8">
        <w:t xml:space="preserve">международное </w:t>
      </w:r>
      <w:r>
        <w:t>нормализованное отношение</w:t>
      </w:r>
      <w:r w:rsidRPr="00DB3CA8">
        <w:t xml:space="preserve"> </w:t>
      </w:r>
    </w:p>
    <w:p w14:paraId="59AAF42D" w14:textId="77777777" w:rsidR="006619AD" w:rsidRDefault="006619AD" w:rsidP="00841FEF">
      <w:pPr>
        <w:pStyle w:val="afd"/>
        <w:spacing w:beforeAutospacing="0" w:afterAutospacing="0" w:line="360" w:lineRule="auto"/>
      </w:pPr>
      <w:r>
        <w:t>МПИ – международный прогностический индекс</w:t>
      </w:r>
    </w:p>
    <w:p w14:paraId="0E663D64" w14:textId="77777777" w:rsidR="006619AD" w:rsidRDefault="006619AD" w:rsidP="00841FEF">
      <w:pPr>
        <w:pStyle w:val="afd"/>
        <w:spacing w:beforeAutospacing="0" w:afterAutospacing="0" w:line="360" w:lineRule="auto"/>
      </w:pPr>
      <w:r>
        <w:t>Н</w:t>
      </w:r>
      <w:r w:rsidR="000E5A78">
        <w:t>Л</w:t>
      </w:r>
      <w:r>
        <w:t>П</w:t>
      </w:r>
      <w:r w:rsidR="000E5A78">
        <w:t>ЛХ</w:t>
      </w:r>
      <w:r>
        <w:t xml:space="preserve"> </w:t>
      </w:r>
      <w:r w:rsidR="000E5A78">
        <w:t>–</w:t>
      </w:r>
      <w:r>
        <w:t xml:space="preserve"> нодулярная с лимфоидным преобладанием</w:t>
      </w:r>
      <w:r w:rsidR="000E5A78">
        <w:t xml:space="preserve"> лимфома Ходжкина</w:t>
      </w:r>
    </w:p>
    <w:p w14:paraId="034DCD0B" w14:textId="77777777" w:rsidR="00B264A8" w:rsidRPr="00B264A8" w:rsidRDefault="00B264A8" w:rsidP="00841FEF">
      <w:pPr>
        <w:pStyle w:val="afd"/>
        <w:spacing w:beforeAutospacing="0" w:afterAutospacing="0" w:line="360" w:lineRule="auto"/>
      </w:pPr>
      <w:r>
        <w:t xml:space="preserve">РФП </w:t>
      </w:r>
      <w:r w:rsidR="000E5A78">
        <w:t>–</w:t>
      </w:r>
      <w:r>
        <w:t xml:space="preserve"> радиофармпрепарат</w:t>
      </w:r>
    </w:p>
    <w:p w14:paraId="5ABFDCD0" w14:textId="77777777" w:rsidR="006619AD" w:rsidRDefault="006619AD" w:rsidP="00841FEF">
      <w:pPr>
        <w:pStyle w:val="afd"/>
        <w:spacing w:beforeAutospacing="0" w:afterAutospacing="0" w:line="360" w:lineRule="auto"/>
      </w:pPr>
      <w:r>
        <w:t>ПР – полная ремиссия</w:t>
      </w:r>
    </w:p>
    <w:p w14:paraId="0D86EBCA" w14:textId="77777777" w:rsidR="006619AD" w:rsidRDefault="006619AD" w:rsidP="00841FEF">
      <w:pPr>
        <w:pStyle w:val="afd"/>
        <w:spacing w:beforeAutospacing="0" w:afterAutospacing="0" w:line="360" w:lineRule="auto"/>
      </w:pPr>
      <w:r>
        <w:t xml:space="preserve">ПЭТ/КТ – </w:t>
      </w:r>
      <w:r w:rsidRPr="00512AEF">
        <w:t>позитронная эмиссионная томография, совмещенная с компьютерной томографией</w:t>
      </w:r>
    </w:p>
    <w:p w14:paraId="0C104ECC" w14:textId="77777777" w:rsidR="006619AD" w:rsidRDefault="006619AD" w:rsidP="00841FEF">
      <w:pPr>
        <w:pStyle w:val="afd"/>
        <w:spacing w:beforeAutospacing="0" w:afterAutospacing="0" w:line="360" w:lineRule="auto"/>
      </w:pPr>
      <w:r>
        <w:t>СОД – суммарная очаговая доза</w:t>
      </w:r>
    </w:p>
    <w:p w14:paraId="68AB943D" w14:textId="77777777" w:rsidR="004B1A79" w:rsidRDefault="004B1A79" w:rsidP="00841FEF">
      <w:pPr>
        <w:pStyle w:val="afd"/>
        <w:spacing w:beforeAutospacing="0" w:afterAutospacing="0" w:line="360" w:lineRule="auto"/>
      </w:pPr>
      <w:r>
        <w:t>СОЭ – скорость оседания эритроцитов</w:t>
      </w:r>
    </w:p>
    <w:p w14:paraId="1962E7D7" w14:textId="77777777" w:rsidR="006619AD" w:rsidRDefault="006619AD" w:rsidP="00841FEF">
      <w:pPr>
        <w:contextualSpacing/>
      </w:pPr>
      <w:r>
        <w:t>ХТ – химиотерапия</w:t>
      </w:r>
    </w:p>
    <w:p w14:paraId="0264EA5E" w14:textId="77777777" w:rsidR="006619AD" w:rsidRDefault="006619AD" w:rsidP="00841FEF">
      <w:pPr>
        <w:contextualSpacing/>
      </w:pPr>
      <w:r>
        <w:t>** – жизненно необходимые и важнейшие лекарственные препараты</w:t>
      </w:r>
    </w:p>
    <w:p w14:paraId="747FC1A8" w14:textId="77777777" w:rsidR="006619AD" w:rsidRDefault="006619AD" w:rsidP="00841FEF">
      <w:pPr>
        <w:contextualSpacing/>
      </w:pPr>
      <w:r>
        <w:lastRenderedPageBreak/>
        <w:t># – препарат, применяющийся не в соответствии с показаниями к применению и противопоказаниями, способами применения и дозами, содержащимися в инструкции по применению лекарственного препарата (офф-лейбл)</w:t>
      </w:r>
    </w:p>
    <w:p w14:paraId="64353BFF" w14:textId="77777777" w:rsidR="006619AD" w:rsidRDefault="006619AD" w:rsidP="006619AD"/>
    <w:p w14:paraId="694BA10B" w14:textId="77777777" w:rsidR="000414F6" w:rsidRPr="002F4348" w:rsidRDefault="00CB71DA" w:rsidP="0033051F">
      <w:pPr>
        <w:pStyle w:val="afff2"/>
      </w:pPr>
      <w:r>
        <w:br w:type="page"/>
      </w:r>
      <w:bookmarkStart w:id="5" w:name="__RefHeading___doc_terms"/>
      <w:bookmarkStart w:id="6" w:name="_Toc65586375"/>
      <w:r w:rsidRPr="002F4348">
        <w:lastRenderedPageBreak/>
        <w:t>Термины и определения</w:t>
      </w:r>
      <w:bookmarkEnd w:id="5"/>
      <w:bookmarkEnd w:id="6"/>
    </w:p>
    <w:p w14:paraId="156E030F" w14:textId="77777777" w:rsidR="006619AD" w:rsidRPr="002F4348" w:rsidRDefault="006619AD" w:rsidP="006619AD">
      <w:pPr>
        <w:contextualSpacing/>
      </w:pPr>
      <w:r w:rsidRPr="002F4348">
        <w:rPr>
          <w:b/>
        </w:rPr>
        <w:t>ECOG</w:t>
      </w:r>
      <w:r w:rsidRPr="002F4348">
        <w:t xml:space="preserve"> – оценка общего состояния пациента по шкале, разработанной Восточной объединенной онкологической группой (Eastern Cooperative Oncology Group) – см. приложение Г1.</w:t>
      </w:r>
    </w:p>
    <w:p w14:paraId="387804AE" w14:textId="77777777" w:rsidR="006619AD" w:rsidRPr="002F4348" w:rsidRDefault="006619AD" w:rsidP="006619AD">
      <w:pPr>
        <w:contextualSpacing/>
      </w:pPr>
      <w:r w:rsidRPr="002F4348">
        <w:rPr>
          <w:b/>
        </w:rPr>
        <w:t xml:space="preserve">В-симптомы </w:t>
      </w:r>
      <w:r w:rsidRPr="002F4348">
        <w:t>– неспецифические симптомы опухолевой интоксикации, включающие лихорадку выше 38°С не менее трех дней подряд без признаков воспаления; ночные профузные поты; похудание на 10% массы тела за последние 6 месяцев.</w:t>
      </w:r>
    </w:p>
    <w:p w14:paraId="6F5863D2" w14:textId="77777777" w:rsidR="001D40F8" w:rsidRPr="002F4348" w:rsidRDefault="001D40F8" w:rsidP="00924161">
      <w:pPr>
        <w:rPr>
          <w:szCs w:val="24"/>
        </w:rPr>
      </w:pPr>
    </w:p>
    <w:p w14:paraId="2CFA5C9C" w14:textId="77777777" w:rsidR="00275A41" w:rsidRPr="002F4348" w:rsidRDefault="00CB71DA" w:rsidP="00924161">
      <w:pPr>
        <w:pStyle w:val="afd"/>
        <w:spacing w:beforeAutospacing="0" w:afterAutospacing="0" w:line="360" w:lineRule="auto"/>
        <w:divId w:val="576134796"/>
      </w:pPr>
      <w:r w:rsidRPr="002F4348">
        <w:t>                                   </w:t>
      </w:r>
    </w:p>
    <w:p w14:paraId="1BBFA71D" w14:textId="77777777" w:rsidR="00B8195D" w:rsidRPr="002F4348" w:rsidRDefault="00CB71DA" w:rsidP="00F81854">
      <w:pPr>
        <w:pStyle w:val="afff2"/>
      </w:pPr>
      <w:r w:rsidRPr="002F4348">
        <w:br w:type="page"/>
      </w:r>
      <w:bookmarkStart w:id="7" w:name="__RefHeading___doc_1"/>
    </w:p>
    <w:p w14:paraId="227AC03B" w14:textId="77777777" w:rsidR="000414F6" w:rsidRPr="002F4348" w:rsidRDefault="00CB71DA" w:rsidP="00C4630C">
      <w:pPr>
        <w:pStyle w:val="afff2"/>
      </w:pPr>
      <w:bookmarkStart w:id="8" w:name="_Toc65586376"/>
      <w:r w:rsidRPr="002F4348">
        <w:lastRenderedPageBreak/>
        <w:t>1. Краткая информация</w:t>
      </w:r>
      <w:bookmarkEnd w:id="7"/>
      <w:r w:rsidR="00384B6A" w:rsidRPr="002F4348">
        <w:t xml:space="preserve"> по заболеванию или состоянию (группе заболеваний или состояний)</w:t>
      </w:r>
      <w:bookmarkEnd w:id="8"/>
    </w:p>
    <w:p w14:paraId="5A2D4FDA" w14:textId="77777777" w:rsidR="00B46390" w:rsidRPr="002F4348" w:rsidRDefault="00B46390" w:rsidP="0021676E">
      <w:pPr>
        <w:pStyle w:val="2"/>
      </w:pPr>
      <w:bookmarkStart w:id="9" w:name="_Toc469402330"/>
      <w:bookmarkStart w:id="10" w:name="_Toc468273527"/>
      <w:bookmarkStart w:id="11" w:name="_Toc468273445"/>
      <w:bookmarkStart w:id="12" w:name="_Toc65586377"/>
      <w:bookmarkStart w:id="13" w:name="__RefHeading___doc_2"/>
      <w:bookmarkEnd w:id="9"/>
      <w:bookmarkEnd w:id="10"/>
      <w:bookmarkEnd w:id="11"/>
      <w:r w:rsidRPr="002F4348">
        <w:t>1.1 Определение</w:t>
      </w:r>
      <w:r w:rsidR="00311757" w:rsidRPr="002F4348">
        <w:t xml:space="preserve"> </w:t>
      </w:r>
      <w:r w:rsidR="00311757" w:rsidRPr="002F4348">
        <w:rPr>
          <w:color w:val="333333"/>
          <w:shd w:val="clear" w:color="auto" w:fill="FFFFFF"/>
        </w:rPr>
        <w:t>заболевания или состояния (группы заболеваний или состояний)</w:t>
      </w:r>
      <w:bookmarkEnd w:id="12"/>
    </w:p>
    <w:p w14:paraId="175D55C9" w14:textId="77777777" w:rsidR="006619AD" w:rsidRPr="002F4348" w:rsidRDefault="006619AD" w:rsidP="006619AD">
      <w:pPr>
        <w:contextualSpacing/>
      </w:pPr>
      <w:r w:rsidRPr="002F4348">
        <w:t xml:space="preserve">Лимфома Ходжкина (ЛХ) – это В-клеточное злокачественное лимфопролиферативное заболевание </w:t>
      </w:r>
      <w:r w:rsidR="00F5789A" w:rsidRPr="002F4348">
        <w:fldChar w:fldCharType="begin" w:fldLock="1"/>
      </w:r>
      <w:r w:rsidR="00A850F7" w:rsidRPr="002F4348">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http://www.mendeley.com/documents/?uuid=10dcee86-2303-45c9-9089-cdb3d4533aba"]}],"mendeley":{"formattedCitation":"[1]","plainTextFormattedCitation":"[1]","previouslyFormattedCitation":"[1]"},"properties":{"noteIndex":0},"schema":"https://github.com/citation-style-language/schema/raw/master/csl-citation.json"}</w:instrText>
      </w:r>
      <w:r w:rsidR="00F5789A" w:rsidRPr="002F4348">
        <w:fldChar w:fldCharType="separate"/>
      </w:r>
      <w:r w:rsidR="00F5789A" w:rsidRPr="002F4348">
        <w:rPr>
          <w:noProof/>
        </w:rPr>
        <w:t>[1]</w:t>
      </w:r>
      <w:r w:rsidR="00F5789A" w:rsidRPr="002F4348">
        <w:fldChar w:fldCharType="end"/>
      </w:r>
      <w:r w:rsidRPr="002F4348">
        <w:t>.</w:t>
      </w:r>
    </w:p>
    <w:p w14:paraId="72B0AF99" w14:textId="77777777" w:rsidR="00B46390" w:rsidRPr="002F4348" w:rsidRDefault="00B46390" w:rsidP="00172112">
      <w:pPr>
        <w:pStyle w:val="2"/>
      </w:pPr>
      <w:bookmarkStart w:id="14" w:name="_Toc65586378"/>
      <w:r w:rsidRPr="002F4348">
        <w:t>1.2 Этиология и патогенез</w:t>
      </w:r>
      <w:r w:rsidR="00311757" w:rsidRPr="002F4348">
        <w:t xml:space="preserve"> </w:t>
      </w:r>
      <w:r w:rsidR="00311757" w:rsidRPr="002F4348">
        <w:rPr>
          <w:color w:val="333333"/>
          <w:shd w:val="clear" w:color="auto" w:fill="FFFFFF"/>
        </w:rPr>
        <w:t>заболевания или состояния (группы заболеваний или состояний)</w:t>
      </w:r>
      <w:bookmarkEnd w:id="14"/>
    </w:p>
    <w:p w14:paraId="7F4D6788" w14:textId="77777777" w:rsidR="00F5789A" w:rsidRPr="002F4348" w:rsidRDefault="00F5789A" w:rsidP="00F5789A">
      <w:pPr>
        <w:contextualSpacing/>
      </w:pPr>
      <w:r w:rsidRPr="002F4348">
        <w:t xml:space="preserve">Этиология ЛХ неизвестна. К опухолевой популяции ЛХ относят клетки Ходжкина, клетки Рид-Штернберга, лакунарные, мумифицированные, LP-клетки. ЛХ характеризуется выраженным реактивным полиморфноклеточным микроокружением </w:t>
      </w:r>
      <w:r w:rsidRPr="002F4348">
        <w:fldChar w:fldCharType="begin" w:fldLock="1"/>
      </w:r>
      <w:r w:rsidR="00A850F7" w:rsidRPr="002F4348">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10dcee86-2303-45c9-9089-cdb3d4533aba","http://www.mendeley.com/documents/?uuid=d7eb85a2-da5e-400d-b112-7f0a5734958d"]}],"mendeley":{"formattedCitation":"[1]","plainTextFormattedCitation":"[1]","previouslyFormattedCitation":"[1]"},"properties":{"noteIndex":0},"schema":"https://github.com/citation-style-language/schema/raw/master/csl-citation.json"}</w:instrText>
      </w:r>
      <w:r w:rsidRPr="002F4348">
        <w:fldChar w:fldCharType="separate"/>
      </w:r>
      <w:r w:rsidRPr="002F4348">
        <w:rPr>
          <w:noProof/>
        </w:rPr>
        <w:t>[1]</w:t>
      </w:r>
      <w:r w:rsidRPr="002F4348">
        <w:fldChar w:fldCharType="end"/>
      </w:r>
      <w:r w:rsidRPr="002F4348">
        <w:t>.</w:t>
      </w:r>
    </w:p>
    <w:p w14:paraId="5789BC6C" w14:textId="77777777" w:rsidR="00B46390" w:rsidRPr="002F4348" w:rsidRDefault="00B46390" w:rsidP="00172112">
      <w:pPr>
        <w:pStyle w:val="2"/>
      </w:pPr>
      <w:bookmarkStart w:id="15" w:name="_Toc65586379"/>
      <w:r w:rsidRPr="002F4348">
        <w:t>1.3 Эпидемиология</w:t>
      </w:r>
      <w:r w:rsidR="00311757" w:rsidRPr="002F4348">
        <w:t xml:space="preserve"> </w:t>
      </w:r>
      <w:r w:rsidR="00311757" w:rsidRPr="002F4348">
        <w:rPr>
          <w:color w:val="333333"/>
          <w:shd w:val="clear" w:color="auto" w:fill="FFFFFF"/>
        </w:rPr>
        <w:t>заболевания или состояния (группы заболеваний или состояний)</w:t>
      </w:r>
      <w:bookmarkEnd w:id="15"/>
    </w:p>
    <w:p w14:paraId="5A0E6A5A" w14:textId="77777777" w:rsidR="00F5789A" w:rsidRPr="002F4348" w:rsidRDefault="00F5789A" w:rsidP="00F5789A">
      <w:pPr>
        <w:rPr>
          <w:i/>
          <w:color w:val="FF0000"/>
          <w:lang w:eastAsia="ru-RU"/>
        </w:rPr>
      </w:pPr>
      <w:r w:rsidRPr="002F4348">
        <w:rPr>
          <w:lang w:eastAsia="ru-RU"/>
        </w:rPr>
        <w:t>Заболеваемость</w:t>
      </w:r>
      <w:r w:rsidRPr="002F4348">
        <w:rPr>
          <w:b/>
          <w:lang w:eastAsia="ru-RU"/>
        </w:rPr>
        <w:t xml:space="preserve"> </w:t>
      </w:r>
      <w:r w:rsidRPr="002F4348">
        <w:rPr>
          <w:lang w:eastAsia="ru-RU"/>
        </w:rPr>
        <w:t xml:space="preserve">лимфомой Ходжкина (ЛХ) в России составляет 2,2 случая на 100 000 населения в год, смертность достигает 0,61 случаев на 100 000 населения в год (в 2016 г. впервые было выявлено 3 129 человек, умерло 879 человек). Заболевание возникает в любом возрасте, но преимущественно в интервале 16-35 лет, в этой возрастной группе в России среди заболевших преобладают женщины </w:t>
      </w:r>
      <w:r w:rsidRPr="002F4348">
        <w:rPr>
          <w:lang w:eastAsia="ru-RU"/>
        </w:rPr>
        <w:fldChar w:fldCharType="begin" w:fldLock="1"/>
      </w:r>
      <w:r w:rsidR="00A850F7" w:rsidRPr="002F4348">
        <w:rPr>
          <w:lang w:eastAsia="ru-RU"/>
        </w:rPr>
        <w:instrText>ADDIN CSL_CITATION {"citationItems":[{"id":"ITEM-1","itemData":{"id":"ITEM-1","issued":{"date-parts":[["2018"]]},"publisher":"М.: МНИОИ им. П.А. Герцена – филиал ФГБУ «НМИЦ радиологии» Минздрава России","title":"Злокачественные новообразования в России в 2017 году (заболеваемость и смертность). Под ред. А.Д. Каприна, В.В. Старинского, Г.В. Петровой.","type":"book"},"uris":["http://www.mendeley.com/documents/?uuid=68874f7e-083c-49ca-8143-de3506a11a73","http://www.mendeley.com/documents/?uuid=084217b1-42c7-4d51-afbd-e8988d2a6972"]}],"mendeley":{"formattedCitation":"[2]","plainTextFormattedCitation":"[2]","previouslyFormattedCitation":"[2]"},"properties":{"noteIndex":0},"schema":"https://github.com/citation-style-language/schema/raw/master/csl-citation.json"}</w:instrText>
      </w:r>
      <w:r w:rsidRPr="002F4348">
        <w:rPr>
          <w:lang w:eastAsia="ru-RU"/>
        </w:rPr>
        <w:fldChar w:fldCharType="separate"/>
      </w:r>
      <w:r w:rsidRPr="002F4348">
        <w:rPr>
          <w:noProof/>
          <w:lang w:eastAsia="ru-RU"/>
        </w:rPr>
        <w:t>[2]</w:t>
      </w:r>
      <w:r w:rsidRPr="002F4348">
        <w:rPr>
          <w:lang w:eastAsia="ru-RU"/>
        </w:rPr>
        <w:fldChar w:fldCharType="end"/>
      </w:r>
      <w:r w:rsidRPr="002F4348">
        <w:rPr>
          <w:lang w:eastAsia="ru-RU"/>
        </w:rPr>
        <w:t xml:space="preserve">. </w:t>
      </w:r>
    </w:p>
    <w:p w14:paraId="7612E6D8" w14:textId="77777777" w:rsidR="00311757" w:rsidRPr="002F4348" w:rsidRDefault="00B46390" w:rsidP="00311757">
      <w:pPr>
        <w:pStyle w:val="2"/>
      </w:pPr>
      <w:bookmarkStart w:id="16" w:name="_Toc65586380"/>
      <w:r w:rsidRPr="002F4348">
        <w:t xml:space="preserve">1.4 </w:t>
      </w:r>
      <w:r w:rsidR="00311757" w:rsidRPr="002F4348">
        <w:rPr>
          <w:color w:val="333333"/>
          <w:shd w:val="clear" w:color="auto" w:fill="FFFFFF"/>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bookmarkEnd w:id="16"/>
    </w:p>
    <w:p w14:paraId="4E2ED8BD" w14:textId="77777777" w:rsidR="00F5789A" w:rsidRPr="002F4348" w:rsidRDefault="00F5789A" w:rsidP="00F5789A">
      <w:pPr>
        <w:contextualSpacing/>
      </w:pPr>
      <w:r w:rsidRPr="002F4348">
        <w:t>С81 – лимфома Ходжкина</w:t>
      </w:r>
    </w:p>
    <w:p w14:paraId="763DB6A1" w14:textId="77777777" w:rsidR="000E5A78" w:rsidRPr="002F4348" w:rsidRDefault="000E5A78" w:rsidP="00B153FC">
      <w:pPr>
        <w:pStyle w:val="afe"/>
        <w:numPr>
          <w:ilvl w:val="0"/>
          <w:numId w:val="38"/>
        </w:numPr>
      </w:pPr>
      <w:r w:rsidRPr="002F4348">
        <w:rPr>
          <w:lang w:val="en-US"/>
        </w:rPr>
        <w:t>C</w:t>
      </w:r>
      <w:r w:rsidRPr="002F4348">
        <w:t>81.0 Нодулярный тип лимфоидного преобладания лимфомы Ходжкина</w:t>
      </w:r>
    </w:p>
    <w:p w14:paraId="389434E0" w14:textId="77777777" w:rsidR="00684975" w:rsidRPr="002F4348" w:rsidRDefault="00684975" w:rsidP="00B153FC">
      <w:pPr>
        <w:pStyle w:val="afe"/>
        <w:numPr>
          <w:ilvl w:val="0"/>
          <w:numId w:val="38"/>
        </w:numPr>
      </w:pPr>
      <w:r w:rsidRPr="002F4348">
        <w:rPr>
          <w:lang w:val="en-US"/>
        </w:rPr>
        <w:t>C</w:t>
      </w:r>
      <w:r w:rsidRPr="002F4348">
        <w:t>81.1 Нодулярный склероз (классической) лимфомы Ходжкина</w:t>
      </w:r>
    </w:p>
    <w:p w14:paraId="28BD4EEB" w14:textId="77777777" w:rsidR="00684975" w:rsidRPr="002F4348" w:rsidRDefault="00684975" w:rsidP="00B153FC">
      <w:pPr>
        <w:pStyle w:val="afe"/>
        <w:numPr>
          <w:ilvl w:val="0"/>
          <w:numId w:val="38"/>
        </w:numPr>
      </w:pPr>
      <w:r w:rsidRPr="002F4348">
        <w:rPr>
          <w:lang w:val="en-US"/>
        </w:rPr>
        <w:t>C</w:t>
      </w:r>
      <w:r w:rsidRPr="002F4348">
        <w:t>81.2 Смешанно-клеточный вариант (классической) лимфомы Ходжкина</w:t>
      </w:r>
    </w:p>
    <w:p w14:paraId="0189432C" w14:textId="77777777" w:rsidR="00684975" w:rsidRPr="002F4348" w:rsidRDefault="00684975" w:rsidP="00B153FC">
      <w:pPr>
        <w:pStyle w:val="afe"/>
        <w:numPr>
          <w:ilvl w:val="0"/>
          <w:numId w:val="38"/>
        </w:numPr>
      </w:pPr>
      <w:r w:rsidRPr="002F4348">
        <w:rPr>
          <w:lang w:val="en-US"/>
        </w:rPr>
        <w:t>C</w:t>
      </w:r>
      <w:r w:rsidRPr="002F4348">
        <w:t>81.3 Лимфоидное истощение (классической) лимфомы Ходжкина</w:t>
      </w:r>
    </w:p>
    <w:p w14:paraId="09E2B280" w14:textId="77777777" w:rsidR="00684975" w:rsidRPr="002F4348" w:rsidRDefault="00684975" w:rsidP="00B153FC">
      <w:pPr>
        <w:pStyle w:val="afe"/>
        <w:numPr>
          <w:ilvl w:val="0"/>
          <w:numId w:val="38"/>
        </w:numPr>
      </w:pPr>
      <w:r w:rsidRPr="002F4348">
        <w:rPr>
          <w:lang w:val="en-US"/>
        </w:rPr>
        <w:t>C</w:t>
      </w:r>
      <w:r w:rsidRPr="002F4348">
        <w:t>81.4 Лимфоцитарная (</w:t>
      </w:r>
      <w:r w:rsidRPr="002F4348">
        <w:rPr>
          <w:lang w:val="en-US"/>
        </w:rPr>
        <w:t>Lymphocyte</w:t>
      </w:r>
      <w:r w:rsidRPr="002F4348">
        <w:t>-</w:t>
      </w:r>
      <w:r w:rsidRPr="002F4348">
        <w:rPr>
          <w:lang w:val="en-US"/>
        </w:rPr>
        <w:t>rich</w:t>
      </w:r>
      <w:r w:rsidRPr="002F4348">
        <w:t>) (классическая) лимфома Ходжкина</w:t>
      </w:r>
    </w:p>
    <w:p w14:paraId="58E67EDD" w14:textId="77777777" w:rsidR="00684975" w:rsidRPr="002F4348" w:rsidRDefault="00684975" w:rsidP="00B153FC">
      <w:pPr>
        <w:pStyle w:val="afe"/>
        <w:numPr>
          <w:ilvl w:val="0"/>
          <w:numId w:val="38"/>
        </w:numPr>
      </w:pPr>
      <w:r w:rsidRPr="002F4348">
        <w:rPr>
          <w:lang w:val="en-US"/>
        </w:rPr>
        <w:t>C</w:t>
      </w:r>
      <w:r w:rsidRPr="002F4348">
        <w:t xml:space="preserve">81.7 </w:t>
      </w:r>
      <w:r w:rsidR="003263CD" w:rsidRPr="002F4348">
        <w:t>Другие формы (классической) лимфомы Ходжкина</w:t>
      </w:r>
    </w:p>
    <w:p w14:paraId="1D9DC9A1" w14:textId="77777777" w:rsidR="003263CD" w:rsidRPr="002F4348" w:rsidRDefault="003263CD" w:rsidP="00B153FC">
      <w:pPr>
        <w:pStyle w:val="afe"/>
        <w:numPr>
          <w:ilvl w:val="0"/>
          <w:numId w:val="38"/>
        </w:numPr>
      </w:pPr>
      <w:r w:rsidRPr="002F4348">
        <w:rPr>
          <w:lang w:val="en-US"/>
        </w:rPr>
        <w:t>C81.9 Лимфома Ходжкина неуточненная</w:t>
      </w:r>
    </w:p>
    <w:p w14:paraId="494CDF7C" w14:textId="77777777" w:rsidR="00B46390" w:rsidRPr="002F4348" w:rsidRDefault="00B46390" w:rsidP="00311757">
      <w:pPr>
        <w:pStyle w:val="2"/>
      </w:pPr>
      <w:bookmarkStart w:id="17" w:name="_Toc65586381"/>
      <w:r w:rsidRPr="002F4348">
        <w:t>1.5 Классификация</w:t>
      </w:r>
      <w:r w:rsidR="00311757" w:rsidRPr="002F4348">
        <w:t xml:space="preserve"> </w:t>
      </w:r>
      <w:r w:rsidR="00311757" w:rsidRPr="002F4348">
        <w:rPr>
          <w:color w:val="333333"/>
          <w:shd w:val="clear" w:color="auto" w:fill="FFFFFF"/>
        </w:rPr>
        <w:t>заболевания или состояния (группы заболеваний или состояний)</w:t>
      </w:r>
      <w:bookmarkEnd w:id="17"/>
    </w:p>
    <w:p w14:paraId="25266227" w14:textId="77777777" w:rsidR="00F5789A" w:rsidRPr="002F4348" w:rsidRDefault="000E5A78" w:rsidP="000E5A78">
      <w:pPr>
        <w:contextualSpacing/>
      </w:pPr>
      <w:r w:rsidRPr="002F4348">
        <w:lastRenderedPageBreak/>
        <w:t>В пересмотренной классификации опухолей гемопоэтической и лимфоидной тканей ВОЗ 2017 г. выделяют два типа ЛХ: классическую ЛХ (кЛХ)</w:t>
      </w:r>
      <w:r w:rsidR="000171A1" w:rsidRPr="002F4348">
        <w:t xml:space="preserve"> (по МКБ-10 С81.1-С81.9)</w:t>
      </w:r>
      <w:r w:rsidRPr="002F4348">
        <w:t xml:space="preserve"> и нодулярную с лимфоидным преобладанием ЛХ (НЛПЛХ)</w:t>
      </w:r>
      <w:r w:rsidR="000171A1" w:rsidRPr="002F4348">
        <w:t xml:space="preserve"> (по МКБ-10 – </w:t>
      </w:r>
      <w:r w:rsidR="000171A1" w:rsidRPr="002F4348">
        <w:rPr>
          <w:lang w:val="en-US"/>
        </w:rPr>
        <w:t>C</w:t>
      </w:r>
      <w:r w:rsidR="000171A1" w:rsidRPr="002F4348">
        <w:t>81.0 Нодулярный тип лимфоидного преобладания лимфомы Ходжкина)</w:t>
      </w:r>
      <w:r w:rsidRPr="002F4348">
        <w:t xml:space="preserve">. </w:t>
      </w:r>
      <w:r w:rsidR="00F5789A" w:rsidRPr="002F4348">
        <w:t>Классическая ЛХ включает следующие гистологические варианты: вариант с нодулярным склерозом (I и II типа), смешанно-клеточный вариант, классический вариант с большим количеством лимфоцитов и редко встречающийся вариант с лимфоидным истощением (морфологическая и иммуногистохимическая диагностика различных вариантов ЛХ – см.</w:t>
      </w:r>
      <w:r w:rsidR="005D0A68" w:rsidRPr="002F4348">
        <w:t xml:space="preserve"> раздел 7.1 данных рекомендаций</w:t>
      </w:r>
      <w:r w:rsidR="00F5789A" w:rsidRPr="002F4348">
        <w:t xml:space="preserve">) </w:t>
      </w:r>
      <w:r w:rsidR="00F5789A" w:rsidRPr="002F4348">
        <w:fldChar w:fldCharType="begin" w:fldLock="1"/>
      </w:r>
      <w:r w:rsidR="002C6C01" w:rsidRPr="002F4348">
        <w:instrText>ADDIN CSL_CITATION {"citationItems":[{"id":"ITEM-1","itemData":{"ISBN":"9789283244943","abstract":"Revised 4th edition. Introduction and overview of the classification of the myeloid neoplasms -- Myeloproliferative neoplasms -- Mastocytosis -- Myeloid/lymphoid neoplasms with eosinophilia and gene rearrangement -- Myelodysplastic/myeloproliferative neoplasms -- Myelodysplastic syndromes -- Myeloid neoplasms with germline predisposition -- Acute myeloid leukaemia and related precursor neoplasms -- Blastic plasmacytoid dendritic cell neoplasm -- Acute leukaemias of ambiguous lineage -- Introduction and overview of the classification of the lymphoid neoplasms -- Precursor lymphoid neoplasms -- Mature B-cell neoplasms -- Mature T- and NK-cell neoplasms -- Hodgkin lymphomas -- Immunodeficiency-associated lymphoproliferative disorders -- Histiocytic and dendritic cell neoplasms.","author":[{"dropping-particle":"","family":"Swerdlow","given":"Steven H.","non-dropping-particle":"","parse-names":false,"suffix":""},{"dropping-particle":"","family":"Campo","given":"Elias","non-dropping-particle":"","parse-names":false,"suffix":""},{"dropping-particle":"","family":"Harris","given":"Nancy Lee","non-dropping-particle":"","parse-names":false,"suffix":""},{"dropping-particle":"","family":"Jaffe","given":"Elaine S.","non-dropping-particle":"","parse-names":false,"suffix":""},{"dropping-particle":"","family":"Pileri","given":"Stefano A.","non-dropping-particle":"","parse-names":false,"suffix":""},{"dropping-particle":"","family":"Stein","given":"Harald","non-dropping-particle":"","parse-names":false,"suffix":""},{"dropping-particle":"","family":"Thiele","given":"Jürgen","non-dropping-particle":"","parse-names":false,"suffix":""}],"editor":[{"dropping-particle":"","family":"Swerdlow SH, Campo E, Harris NL, Jaffe ES, Pileri SA, Stein H","given":"Thiele J","non-dropping-particle":"","parse-names":false,"suffix":""}],"id":"ITEM-1","issued":{"date-parts":[["2017"]]},"number-of-pages":"585","title":"WHO classification of tumours of haematopoietic and lymphoid tissues. Revised 4th ed. Lyon, France: International Agency for Research in Cancer (IARC)","type":"book"},"uris":["http://www.mendeley.com/documents/?uuid=b06b14d2-e846-3ead-b23a-17e93b076e13"]}],"mendeley":{"formattedCitation":"[3]","plainTextFormattedCitation":"[3]","previouslyFormattedCitation":"[3]"},"properties":{"noteIndex":0},"schema":"https://github.com/citation-style-language/schema/raw/master/csl-citation.json"}</w:instrText>
      </w:r>
      <w:r w:rsidR="00F5789A" w:rsidRPr="002F4348">
        <w:fldChar w:fldCharType="separate"/>
      </w:r>
      <w:r w:rsidR="00F5789A" w:rsidRPr="002F4348">
        <w:rPr>
          <w:noProof/>
        </w:rPr>
        <w:t>[3]</w:t>
      </w:r>
      <w:r w:rsidR="00F5789A" w:rsidRPr="002F4348">
        <w:fldChar w:fldCharType="end"/>
      </w:r>
      <w:r w:rsidR="00F5789A" w:rsidRPr="002F4348">
        <w:t>.</w:t>
      </w:r>
    </w:p>
    <w:p w14:paraId="4C903E4B" w14:textId="77777777" w:rsidR="00F5789A" w:rsidRPr="002F4348" w:rsidRDefault="00F5789A" w:rsidP="00F5789A">
      <w:pPr>
        <w:contextualSpacing/>
      </w:pPr>
      <w:r w:rsidRPr="002F4348">
        <w:t xml:space="preserve">Кроме определения </w:t>
      </w:r>
      <w:r w:rsidR="000E5A78" w:rsidRPr="002F4348">
        <w:t xml:space="preserve">типа ЛХ и </w:t>
      </w:r>
      <w:r w:rsidRPr="002F4348">
        <w:t xml:space="preserve">гистологического варианта </w:t>
      </w:r>
      <w:r w:rsidR="000E5A78" w:rsidRPr="002F4348">
        <w:t>к</w:t>
      </w:r>
      <w:r w:rsidRPr="002F4348">
        <w:t>ЛХ, у каждого пациента должна быть определена стадия заболевания</w:t>
      </w:r>
      <w:r w:rsidR="000E5A78" w:rsidRPr="002F4348">
        <w:t>, а для кЛХ также</w:t>
      </w:r>
      <w:r w:rsidRPr="002F4348">
        <w:t xml:space="preserve"> группа риска (см. </w:t>
      </w:r>
      <w:r w:rsidR="005D0A68" w:rsidRPr="002F4348">
        <w:t>раздел 7.</w:t>
      </w:r>
      <w:r w:rsidR="0064071E" w:rsidRPr="002F4348">
        <w:t>3</w:t>
      </w:r>
      <w:r w:rsidR="005D0A68" w:rsidRPr="002F4348">
        <w:t xml:space="preserve"> данных рекомендаций</w:t>
      </w:r>
      <w:r w:rsidRPr="002F4348">
        <w:t xml:space="preserve">) </w:t>
      </w:r>
      <w:r w:rsidRPr="002F4348">
        <w:fldChar w:fldCharType="begin" w:fldLock="1"/>
      </w:r>
      <w:r w:rsidR="00A850F7" w:rsidRPr="002F4348">
        <w:instrText>ADDIN CSL_CITATION {"citationItems":[{"id":"ITEM-1","itemData":{"author":[{"dropping-particle":"","family":"Демина","given":"Е.А.","non-dropping-particle":"","parse-names":false,"suffix":""},{"dropping-particle":"","family":"Капланов","given":"К.Д.","non-dropping-particle":"","parse-names":false,"suffix":""},{"dropping-particle":"","family":"Мухортова","given":"О.В.","non-dropping-particle":"","parse-names":false,"suffix":""},{"dropping-particle":"","family":"Тумян","given":"Г.С.","non-dropping-particle":"","parse-names":false,"suffix":""},{"dropping-particle":"","family":"Михайлова","given":"Н.Б.","non-dropping-particle":"","parse-names":false,"suffix":""},{"dropping-particle":"","family":"Моисеева","given":"Т.Н.","non-dropping-particle":"","parse-names":false,"suffix":""},{"dropping-particle":"","family":"Виноградова","given":"Ю.Н.","non-dropping-particle":"","parse-names":false,"suffix":""},{"dropping-particle":"","family":"Ильин","given":"Н.В.","non-dropping-particle":"","parse-names":false,"suffix":""},{"dropping-particle":"","family":"Трофимова","given":"О.П.","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Савченко.","id":"ITEM-1","issued":{"date-parts":[["2018"]]},"page":"28-43","title":"Лимфома Ходжкина","type":"chapter"},"uris":["http://www.mendeley.com/documents/?uuid=708bf927-447f-43d0-8bf7-28178aa7e29e","http://www.mendeley.com/documents/?uuid=0af2b11d-a9cf-4da8-a503-99a860249436"]}],"mendeley":{"formattedCitation":"[4]","plainTextFormattedCitation":"[4]","previouslyFormattedCitation":"[4]"},"properties":{"noteIndex":0},"schema":"https://github.com/citation-style-language/schema/raw/master/csl-citation.json"}</w:instrText>
      </w:r>
      <w:r w:rsidRPr="002F4348">
        <w:fldChar w:fldCharType="separate"/>
      </w:r>
      <w:r w:rsidRPr="002F4348">
        <w:rPr>
          <w:noProof/>
        </w:rPr>
        <w:t>[4]</w:t>
      </w:r>
      <w:r w:rsidRPr="002F4348">
        <w:fldChar w:fldCharType="end"/>
      </w:r>
      <w:r w:rsidRPr="002F4348">
        <w:t>.</w:t>
      </w:r>
    </w:p>
    <w:p w14:paraId="54B2B210" w14:textId="77777777" w:rsidR="00F5789A" w:rsidRPr="002F4348" w:rsidRDefault="00B46390" w:rsidP="00F5789A">
      <w:pPr>
        <w:pStyle w:val="2"/>
      </w:pPr>
      <w:bookmarkStart w:id="18" w:name="_Toc65586382"/>
      <w:r w:rsidRPr="002F4348">
        <w:t>1.6 Клиническая картина</w:t>
      </w:r>
      <w:r w:rsidR="00A70F44" w:rsidRPr="002F4348">
        <w:t xml:space="preserve"> </w:t>
      </w:r>
      <w:r w:rsidR="00A70F44" w:rsidRPr="002F4348">
        <w:rPr>
          <w:color w:val="333333"/>
          <w:shd w:val="clear" w:color="auto" w:fill="FFFFFF"/>
        </w:rPr>
        <w:t>заболевания или состояния (группы заболеваний или состояний)</w:t>
      </w:r>
      <w:bookmarkEnd w:id="18"/>
    </w:p>
    <w:p w14:paraId="66660273" w14:textId="77777777" w:rsidR="00F5789A" w:rsidRPr="002F4348" w:rsidRDefault="00F5789A" w:rsidP="00F5789A">
      <w:pPr>
        <w:contextualSpacing/>
      </w:pPr>
      <w:r w:rsidRPr="002F4348">
        <w:t xml:space="preserve">Клинические симптомы заболевания могут включать </w:t>
      </w:r>
      <w:r w:rsidRPr="002F4348">
        <w:fldChar w:fldCharType="begin" w:fldLock="1"/>
      </w:r>
      <w:r w:rsidR="00A850F7" w:rsidRPr="002F4348">
        <w:instrText>ADDIN CSL_CITATION {"citationItems":[{"id":"ITEM-1","itemData":{"author":[{"dropping-particle":"","family":"Демина","given":"Е.А.","non-dropping-particle":"","parse-names":false,"suffix":""},{"dropping-particle":"","family":"Капланов","given":"К.Д.","non-dropping-particle":"","parse-names":false,"suffix":""},{"dropping-particle":"","family":"Мухортова","given":"О.В.","non-dropping-particle":"","parse-names":false,"suffix":""},{"dropping-particle":"","family":"Тумян","given":"Г.С.","non-dropping-particle":"","parse-names":false,"suffix":""},{"dropping-particle":"","family":"Михайлова","given":"Н.Б.","non-dropping-particle":"","parse-names":false,"suffix":""},{"dropping-particle":"","family":"Моисеева","given":"Т.Н.","non-dropping-particle":"","parse-names":false,"suffix":""},{"dropping-particle":"","family":"Виноградова","given":"Ю.Н.","non-dropping-particle":"","parse-names":false,"suffix":""},{"dropping-particle":"","family":"Ильин","given":"Н.В.","non-dropping-particle":"","parse-names":false,"suffix":""},{"dropping-particle":"","family":"Трофимова","given":"О.П.","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Савченко.","id":"ITEM-1","issued":{"date-parts":[["2018"]]},"page":"28-43","title":"Лимфома Ходжкина","type":"chapter"},"uris":["http://www.mendeley.com/documents/?uuid=0af2b11d-a9cf-4da8-a503-99a860249436","http://www.mendeley.com/documents/?uuid=708bf927-447f-43d0-8bf7-28178aa7e29e"]}],"mendeley":{"formattedCitation":"[4]","plainTextFormattedCitation":"[4]","previouslyFormattedCitation":"[4]"},"properties":{"noteIndex":0},"schema":"https://github.com/citation-style-language/schema/raw/master/csl-citation.json"}</w:instrText>
      </w:r>
      <w:r w:rsidRPr="002F4348">
        <w:fldChar w:fldCharType="separate"/>
      </w:r>
      <w:r w:rsidRPr="002F4348">
        <w:rPr>
          <w:noProof/>
        </w:rPr>
        <w:t>[4]</w:t>
      </w:r>
      <w:r w:rsidRPr="002F4348">
        <w:fldChar w:fldCharType="end"/>
      </w:r>
      <w:r w:rsidRPr="002F4348">
        <w:t>:</w:t>
      </w:r>
    </w:p>
    <w:p w14:paraId="7278F288" w14:textId="77777777" w:rsidR="00F5789A" w:rsidRPr="002F4348" w:rsidRDefault="00F5789A" w:rsidP="00B153FC">
      <w:pPr>
        <w:pStyle w:val="afe"/>
        <w:numPr>
          <w:ilvl w:val="0"/>
          <w:numId w:val="5"/>
        </w:numPr>
        <w:spacing w:before="120" w:after="120"/>
      </w:pPr>
      <w:r w:rsidRPr="002F4348">
        <w:t>бессимптомное увеличение периферических лимфоузлов;</w:t>
      </w:r>
    </w:p>
    <w:p w14:paraId="24FD35CE" w14:textId="77777777" w:rsidR="00F5789A" w:rsidRPr="002F4348" w:rsidRDefault="00F5789A" w:rsidP="00B153FC">
      <w:pPr>
        <w:pStyle w:val="afe"/>
        <w:numPr>
          <w:ilvl w:val="0"/>
          <w:numId w:val="5"/>
        </w:numPr>
        <w:spacing w:before="120" w:after="120"/>
      </w:pPr>
      <w:r w:rsidRPr="002F4348">
        <w:t>симптомы интоксикации (В-симптомы – лихорадка выше 38°С не менее трех дней подряд без признаков воспаления; ночные профузные поты; похудание на 10% массы тела за последние 6 месяцев);</w:t>
      </w:r>
    </w:p>
    <w:p w14:paraId="2105F6FB" w14:textId="77777777" w:rsidR="00F5789A" w:rsidRPr="002F4348" w:rsidRDefault="00F5789A" w:rsidP="00B153FC">
      <w:pPr>
        <w:pStyle w:val="afe"/>
        <w:numPr>
          <w:ilvl w:val="0"/>
          <w:numId w:val="5"/>
        </w:numPr>
        <w:spacing w:before="120" w:after="120"/>
      </w:pPr>
      <w:r w:rsidRPr="002F4348">
        <w:t>интермиттирующая лихорадка;</w:t>
      </w:r>
    </w:p>
    <w:p w14:paraId="7CE0B82C" w14:textId="77777777" w:rsidR="00F5789A" w:rsidRPr="002F4348" w:rsidRDefault="00F5789A" w:rsidP="00B153FC">
      <w:pPr>
        <w:pStyle w:val="afe"/>
        <w:numPr>
          <w:ilvl w:val="0"/>
          <w:numId w:val="5"/>
        </w:numPr>
        <w:spacing w:before="120" w:after="120"/>
      </w:pPr>
      <w:r w:rsidRPr="002F4348">
        <w:t>кожный зуд</w:t>
      </w:r>
      <w:r w:rsidR="007C3C41" w:rsidRPr="002F4348">
        <w:t xml:space="preserve"> до расчесов</w:t>
      </w:r>
      <w:r w:rsidRPr="002F4348">
        <w:t>;</w:t>
      </w:r>
    </w:p>
    <w:p w14:paraId="54066AA4" w14:textId="77777777" w:rsidR="00F5789A" w:rsidRPr="002F4348" w:rsidRDefault="00F5789A" w:rsidP="00B153FC">
      <w:pPr>
        <w:pStyle w:val="afe"/>
        <w:numPr>
          <w:ilvl w:val="0"/>
          <w:numId w:val="5"/>
        </w:numPr>
        <w:spacing w:before="120" w:after="120"/>
      </w:pPr>
      <w:r w:rsidRPr="002F4348">
        <w:t>у пациентов с массивным поражением средостения – боль в груди, кашель, одышка, симптомы сдавления верхней полой вены.</w:t>
      </w:r>
    </w:p>
    <w:p w14:paraId="1535FCC2" w14:textId="77777777" w:rsidR="000414F6" w:rsidRPr="002F4348" w:rsidRDefault="00B46390" w:rsidP="00C4630C">
      <w:pPr>
        <w:pStyle w:val="afff2"/>
      </w:pPr>
      <w:bookmarkStart w:id="19" w:name="_Toc65586383"/>
      <w:r w:rsidRPr="002F4348">
        <w:t xml:space="preserve">2. </w:t>
      </w:r>
      <w:r w:rsidR="00CB71DA" w:rsidRPr="002F4348">
        <w:t>Диагностика</w:t>
      </w:r>
      <w:bookmarkEnd w:id="13"/>
      <w:r w:rsidR="0038545E" w:rsidRPr="002F4348">
        <w:t xml:space="preserve"> заболевания или состояния (группы заболеваний или состояний), медицинские показания и противопоказания к применению методов диагностики</w:t>
      </w:r>
      <w:bookmarkEnd w:id="19"/>
    </w:p>
    <w:p w14:paraId="532E5686" w14:textId="77777777" w:rsidR="00F5789A" w:rsidRPr="002F4348" w:rsidRDefault="00F5789A" w:rsidP="00F5789A">
      <w:pPr>
        <w:rPr>
          <w:i/>
          <w:iCs/>
        </w:rPr>
      </w:pPr>
      <w:r w:rsidRPr="002F4348">
        <w:rPr>
          <w:i/>
          <w:iCs/>
        </w:rPr>
        <w:t>Многие рекомендованные методы диагностики заболевания и связанных с ним состояний имеют ограниченную доказательную базу (в соответствии с шкалами оценки УДД и УРР) по причине отсутствия посвященных им клинических исследований. Невзирая на это, они являются необходимыми элементами обследования пациента для установления диагноза и выбора тактики лечения, так как более эффективные и доказанные методы в настоящее время не разработаны.</w:t>
      </w:r>
    </w:p>
    <w:p w14:paraId="33BA276D" w14:textId="77777777" w:rsidR="00E136D2" w:rsidRPr="002F4348" w:rsidRDefault="00334F6C" w:rsidP="00E136D2">
      <w:pPr>
        <w:pStyle w:val="2-6"/>
        <w:rPr>
          <w:i/>
        </w:rPr>
      </w:pPr>
      <w:r w:rsidRPr="002F4348">
        <w:rPr>
          <w:b/>
          <w:i/>
        </w:rPr>
        <w:lastRenderedPageBreak/>
        <w:t>Критерии установления диагноза/</w:t>
      </w:r>
      <w:r w:rsidR="00B0565A" w:rsidRPr="002F4348">
        <w:rPr>
          <w:b/>
          <w:i/>
        </w:rPr>
        <w:t>состояния</w:t>
      </w:r>
      <w:r w:rsidR="00ED5598" w:rsidRPr="002F4348">
        <w:rPr>
          <w:b/>
          <w:i/>
        </w:rPr>
        <w:t xml:space="preserve">: </w:t>
      </w:r>
      <w:r w:rsidR="00F5789A" w:rsidRPr="002F4348">
        <w:rPr>
          <w:bCs/>
          <w:i/>
        </w:rPr>
        <w:t>д</w:t>
      </w:r>
      <w:r w:rsidR="00F5789A" w:rsidRPr="002F4348">
        <w:rPr>
          <w:i/>
        </w:rPr>
        <w:t>иагноз лимфомы Ходжкина устанавливается на основе морфологического и иммуногистохимического исследования биопсийного материала и форму</w:t>
      </w:r>
      <w:r w:rsidR="00E136D2" w:rsidRPr="002F4348">
        <w:rPr>
          <w:i/>
        </w:rPr>
        <w:t xml:space="preserve">лируется </w:t>
      </w:r>
      <w:r w:rsidR="00F5789A" w:rsidRPr="002F4348">
        <w:rPr>
          <w:i/>
        </w:rPr>
        <w:t>в соответствии с пересмотренной классификацией</w:t>
      </w:r>
      <w:r w:rsidR="000E5A78" w:rsidRPr="002F4348">
        <w:rPr>
          <w:i/>
        </w:rPr>
        <w:t xml:space="preserve"> опухолей гемопоэтической и лимфоидной тканей </w:t>
      </w:r>
      <w:r w:rsidR="00F5789A" w:rsidRPr="002F4348">
        <w:rPr>
          <w:i/>
        </w:rPr>
        <w:t xml:space="preserve"> ВОЗ 2017 г.</w:t>
      </w:r>
      <w:r w:rsidR="00E136D2" w:rsidRPr="002F4348">
        <w:rPr>
          <w:i/>
        </w:rPr>
        <w:t xml:space="preserve"> </w:t>
      </w:r>
      <w:r w:rsidR="00E136D2" w:rsidRPr="002F4348">
        <w:rPr>
          <w:i/>
        </w:rPr>
        <w:fldChar w:fldCharType="begin" w:fldLock="1"/>
      </w:r>
      <w:r w:rsidR="002C6C01" w:rsidRPr="002F4348">
        <w:rPr>
          <w:i/>
        </w:rPr>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лимфом","type":"chapter"},"uris":["http://www.mendeley.com/documents/?uuid=10dcee86-2303-45c9-9089-cdb3d4533aba","http://www.mendeley.com/documents/?uuid=d7eb85a2-da5e-400d-b112-7f0a5734958d"]},{"id":"ITEM-2","itemData":{"ISBN":"9789283244943","abstract":"Revised 4th edition. Introduction and overview of the classification of the myeloid neoplasms -- Myeloproliferative neoplasms -- Mastocytosis -- Myeloid/lymphoid neoplasms with eosinophilia and gene rearrangement -- Myelodysplastic/myeloproliferative neoplasms -- Myelodysplastic syndromes -- Myeloid neoplasms with germline predisposition -- Acute myeloid leukaemia and related precursor neoplasms -- Blastic plasmacytoid dendritic cell neoplasm -- Acute leukaemias of ambiguous lineage -- Introduction and overview of the classification of the lymphoid neoplasms -- Precursor lymphoid neoplasms -- Mature B-cell neoplasms -- Mature T- and NK-cell neoplasms -- Hodgkin lymphomas -- Immunodeficiency-associated lymphoproliferative disorders -- Histiocytic and dendritic cell neoplasms.","author":[{"dropping-particle":"","family":"Swerdlow","given":"Steven H.","non-dropping-particle":"","parse-names":false,"suffix":""},{"dropping-particle":"","family":"Campo","given":"Elias","non-dropping-particle":"","parse-names":false,"suffix":""},{"dropping-particle":"","family":"Harris","given":"Nancy Lee","non-dropping-particle":"","parse-names":false,"suffix":""},{"dropping-particle":"","family":"Jaffe","given":"Elaine S.","non-dropping-particle":"","parse-names":false,"suffix":""},{"dropping-particle":"","family":"Pileri","given":"Stefano A.","non-dropping-particle":"","parse-names":false,"suffix":""},{"dropping-particle":"","family":"Stein","given":"Harald","non-dropping-particle":"","parse-names":false,"suffix":""},{"dropping-particle":"","family":"Thiele","given":"Jürgen","non-dropping-particle":"","parse-names":false,"suffix":""}],"editor":[{"dropping-particle":"","family":"Swerdlow SH, Campo E, Harris NL, Jaffe ES, Pileri SA, Stein H","given":"Thiele J","non-dropping-particle":"","parse-names":false,"suffix":""}],"id":"ITEM-2","issued":{"date-parts":[["2017"]]},"number-of-pages":"585","title":"WHO classification of tumours of haematopoietic and lymphoid tissues. Revised 4th ed. Lyon, France: International Agency for Research in Cancer (IARC)","type":"book"},"uris":["http://www.mendeley.com/documents/?uuid=b06b14d2-e846-3ead-b23a-17e93b076e13"]}],"mendeley":{"formattedCitation":"[1,3]","plainTextFormattedCitation":"[1,3]","previouslyFormattedCitation":"[1,3]"},"properties":{"noteIndex":0},"schema":"https://github.com/citation-style-language/schema/raw/master/csl-citation.json"}</w:instrText>
      </w:r>
      <w:r w:rsidR="00E136D2" w:rsidRPr="002F4348">
        <w:rPr>
          <w:i/>
        </w:rPr>
        <w:fldChar w:fldCharType="separate"/>
      </w:r>
      <w:r w:rsidR="000C1AAB" w:rsidRPr="002F4348">
        <w:rPr>
          <w:noProof/>
        </w:rPr>
        <w:t>[1,3]</w:t>
      </w:r>
      <w:r w:rsidR="00E136D2" w:rsidRPr="002F4348">
        <w:rPr>
          <w:i/>
        </w:rPr>
        <w:fldChar w:fldCharType="end"/>
      </w:r>
      <w:bookmarkStart w:id="20" w:name="_Toc469402336"/>
      <w:bookmarkStart w:id="21" w:name="_Toc468273531"/>
      <w:bookmarkStart w:id="22" w:name="_Toc468273449"/>
      <w:bookmarkEnd w:id="20"/>
      <w:bookmarkEnd w:id="21"/>
      <w:bookmarkEnd w:id="22"/>
      <w:r w:rsidR="0053255E" w:rsidRPr="002F4348">
        <w:rPr>
          <w:i/>
        </w:rPr>
        <w:t>.</w:t>
      </w:r>
    </w:p>
    <w:p w14:paraId="078744C9" w14:textId="77777777" w:rsidR="00B46390" w:rsidRPr="002F4348" w:rsidRDefault="00B46390" w:rsidP="0021676E">
      <w:pPr>
        <w:pStyle w:val="2"/>
        <w:divId w:val="266810958"/>
      </w:pPr>
      <w:bookmarkStart w:id="23" w:name="_Toc65586384"/>
      <w:r w:rsidRPr="002F4348">
        <w:t>2.1 Жалобы и анамнез</w:t>
      </w:r>
      <w:bookmarkEnd w:id="23"/>
    </w:p>
    <w:p w14:paraId="6B6691BB" w14:textId="77777777" w:rsidR="00E136D2" w:rsidRPr="002F4348" w:rsidRDefault="00E136D2" w:rsidP="00B153FC">
      <w:pPr>
        <w:pStyle w:val="afe"/>
        <w:numPr>
          <w:ilvl w:val="0"/>
          <w:numId w:val="6"/>
        </w:numPr>
        <w:spacing w:before="120" w:after="120"/>
        <w:ind w:left="709"/>
        <w:divId w:val="266810958"/>
      </w:pPr>
      <w:r w:rsidRPr="002F4348">
        <w:t xml:space="preserve">У всех пациентов с подозрением на ЛХ или выявленной ЛХ при первичном приеме </w:t>
      </w:r>
      <w:r w:rsidRPr="002F4348">
        <w:rPr>
          <w:b/>
        </w:rPr>
        <w:t>рекомендуется</w:t>
      </w:r>
      <w:r w:rsidRPr="002F4348">
        <w:t xml:space="preserve"> сбор анамнеза при заболеваниях органов кроветворения и крови </w:t>
      </w:r>
      <w:r w:rsidRPr="002F4348">
        <w:fldChar w:fldCharType="begin" w:fldLock="1"/>
      </w:r>
      <w:r w:rsidR="00A850F7" w:rsidRPr="002F4348">
        <w:instrText>ADDIN CSL_CITATION {"citationItems":[{"id":"ITEM-1","itemData":{"author":[{"dropping-particle":"","family":"Демина","given":"Е.А.","non-dropping-particle":"","parse-names":false,"suffix":""},{"dropping-particle":"","family":"Капланов","given":"К.Д.","non-dropping-particle":"","parse-names":false,"suffix":""},{"dropping-particle":"","family":"Мухортова","given":"О.В.","non-dropping-particle":"","parse-names":false,"suffix":""},{"dropping-particle":"","family":"Тумян","given":"Г.С.","non-dropping-particle":"","parse-names":false,"suffix":""},{"dropping-particle":"","family":"Михайлова","given":"Н.Б.","non-dropping-particle":"","parse-names":false,"suffix":""},{"dropping-particle":"","family":"Моисеева","given":"Т.Н.","non-dropping-particle":"","parse-names":false,"suffix":""},{"dropping-particle":"","family":"Виноградова","given":"Ю.Н.","non-dropping-particle":"","parse-names":false,"suffix":""},{"dropping-particle":"","family":"Ильин","given":"Н.В.","non-dropping-particle":"","parse-names":false,"suffix":""},{"dropping-particle":"","family":"Трофимова","given":"О.П.","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Савченко.","id":"ITEM-1","issued":{"date-parts":[["2018"]]},"page":"28-43","title":"Лимфома Ходжкина","type":"chapter"},"uris":["http://www.mendeley.com/documents/?uuid=0af2b11d-a9cf-4da8-a503-99a860249436","http://www.mendeley.com/documents/?uuid=708bf927-447f-43d0-8bf7-28178aa7e29e"]}],"mendeley":{"formattedCitation":"[4]","plainTextFormattedCitation":"[4]","previouslyFormattedCitation":"[4]"},"properties":{"noteIndex":0},"schema":"https://github.com/citation-style-language/schema/raw/master/csl-citation.json"}</w:instrText>
      </w:r>
      <w:r w:rsidRPr="002F4348">
        <w:fldChar w:fldCharType="separate"/>
      </w:r>
      <w:r w:rsidRPr="002F4348">
        <w:rPr>
          <w:noProof/>
        </w:rPr>
        <w:t>[4]</w:t>
      </w:r>
      <w:r w:rsidRPr="002F4348">
        <w:fldChar w:fldCharType="end"/>
      </w:r>
      <w:r w:rsidRPr="002F4348">
        <w:t>.</w:t>
      </w:r>
    </w:p>
    <w:p w14:paraId="58F1B469" w14:textId="77777777" w:rsidR="00E136D2" w:rsidRPr="002F4348" w:rsidRDefault="00E136D2" w:rsidP="00E136D2">
      <w:pPr>
        <w:ind w:left="709" w:firstLine="0"/>
        <w:contextualSpacing/>
        <w:divId w:val="266810958"/>
        <w:rPr>
          <w:b/>
        </w:rPr>
      </w:pPr>
      <w:r w:rsidRPr="002F4348">
        <w:rPr>
          <w:b/>
        </w:rPr>
        <w:t>Уровень убедительности рекомендаций С (уровень достоверности доказательств 5).</w:t>
      </w:r>
    </w:p>
    <w:p w14:paraId="4BA2F530" w14:textId="77777777" w:rsidR="00E136D2" w:rsidRPr="002F4348" w:rsidRDefault="00E136D2" w:rsidP="00E136D2">
      <w:pPr>
        <w:ind w:left="709" w:firstLine="0"/>
        <w:contextualSpacing/>
        <w:divId w:val="266810958"/>
        <w:rPr>
          <w:i/>
        </w:rPr>
      </w:pPr>
      <w:r w:rsidRPr="002F4348">
        <w:rPr>
          <w:b/>
        </w:rPr>
        <w:t>Комментарии:</w:t>
      </w:r>
      <w:r w:rsidRPr="002F4348">
        <w:t xml:space="preserve"> </w:t>
      </w:r>
      <w:r w:rsidRPr="002F4348">
        <w:rPr>
          <w:i/>
        </w:rPr>
        <w:t>при сборе анамнеза необходимо уточнять в том числе семейный анамнез</w:t>
      </w:r>
      <w:r w:rsidR="007C3C41" w:rsidRPr="002F4348">
        <w:rPr>
          <w:i/>
        </w:rPr>
        <w:t>, обращая внимание на наличие лимфопролиферативных заболеваний</w:t>
      </w:r>
      <w:r w:rsidRPr="002F4348">
        <w:rPr>
          <w:i/>
        </w:rPr>
        <w:t xml:space="preserve">. </w:t>
      </w:r>
    </w:p>
    <w:p w14:paraId="45A5127F" w14:textId="77777777" w:rsidR="003F0AA9" w:rsidRPr="002F4348" w:rsidRDefault="003F0AA9" w:rsidP="00B153FC">
      <w:pPr>
        <w:pStyle w:val="afe"/>
        <w:numPr>
          <w:ilvl w:val="0"/>
          <w:numId w:val="6"/>
        </w:numPr>
        <w:spacing w:before="120" w:after="120"/>
        <w:ind w:left="709"/>
        <w:divId w:val="266810958"/>
      </w:pPr>
      <w:r w:rsidRPr="002F4348">
        <w:t xml:space="preserve">У всех пациентов с подозрением на ЛХ или выявленной ЛХ при первичном или повторном приеме, перед каждым последующем циклом химиотерапии, при оценке ремиссии через 2 месяца после завершения терапии, при контрольных обследованиях, и при подозрении на рецидив заболевания </w:t>
      </w:r>
      <w:r w:rsidRPr="002F4348">
        <w:rPr>
          <w:b/>
        </w:rPr>
        <w:t>рекомендуется</w:t>
      </w:r>
      <w:r w:rsidRPr="002F4348">
        <w:t xml:space="preserve"> сбор жалоб при заболеваниях органов кроветворения и крови </w:t>
      </w:r>
      <w:r w:rsidRPr="002F4348">
        <w:fldChar w:fldCharType="begin" w:fldLock="1"/>
      </w:r>
      <w:r w:rsidR="00A850F7" w:rsidRPr="002F4348">
        <w:instrText>ADDIN CSL_CITATION {"citationItems":[{"id":"ITEM-1","itemData":{"author":[{"dropping-particle":"","family":"Демина","given":"Е.А.","non-dropping-particle":"","parse-names":false,"suffix":""},{"dropping-particle":"","family":"Капланов","given":"К.Д.","non-dropping-particle":"","parse-names":false,"suffix":""},{"dropping-particle":"","family":"Мухортова","given":"О.В.","non-dropping-particle":"","parse-names":false,"suffix":""},{"dropping-particle":"","family":"Тумян","given":"Г.С.","non-dropping-particle":"","parse-names":false,"suffix":""},{"dropping-particle":"","family":"Михайлова","given":"Н.Б.","non-dropping-particle":"","parse-names":false,"suffix":""},{"dropping-particle":"","family":"Моисеева","given":"Т.Н.","non-dropping-particle":"","parse-names":false,"suffix":""},{"dropping-particle":"","family":"Виноградова","given":"Ю.Н.","non-dropping-particle":"","parse-names":false,"suffix":""},{"dropping-particle":"","family":"Ильин","given":"Н.В.","non-dropping-particle":"","parse-names":false,"suffix":""},{"dropping-particle":"","family":"Трофимова","given":"О.П.","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Савченко.","id":"ITEM-1","issued":{"date-parts":[["2018"]]},"page":"28-43","title":"Лимфома Ходжкина","type":"chapter"},"uris":["http://www.mendeley.com/documents/?uuid=0af2b11d-a9cf-4da8-a503-99a860249436","http://www.mendeley.com/documents/?uuid=708bf927-447f-43d0-8bf7-28178aa7e29e"]}],"mendeley":{"formattedCitation":"[4]","plainTextFormattedCitation":"[4]","previouslyFormattedCitation":"[4]"},"properties":{"noteIndex":0},"schema":"https://github.com/citation-style-language/schema/raw/master/csl-citation.json"}</w:instrText>
      </w:r>
      <w:r w:rsidRPr="002F4348">
        <w:fldChar w:fldCharType="separate"/>
      </w:r>
      <w:r w:rsidRPr="002F4348">
        <w:rPr>
          <w:noProof/>
        </w:rPr>
        <w:t>[4]</w:t>
      </w:r>
      <w:r w:rsidRPr="002F4348">
        <w:fldChar w:fldCharType="end"/>
      </w:r>
      <w:r w:rsidRPr="002F4348">
        <w:t>.</w:t>
      </w:r>
    </w:p>
    <w:p w14:paraId="68C366BB" w14:textId="77777777" w:rsidR="003F0AA9" w:rsidRPr="002F4348" w:rsidRDefault="003F0AA9" w:rsidP="003F0AA9">
      <w:pPr>
        <w:ind w:left="709" w:firstLine="0"/>
        <w:contextualSpacing/>
        <w:divId w:val="266810958"/>
        <w:rPr>
          <w:b/>
        </w:rPr>
      </w:pPr>
      <w:r w:rsidRPr="002F4348">
        <w:rPr>
          <w:b/>
        </w:rPr>
        <w:t>Уровень убедительности рекомендаций С (уровень достоверности доказательств 5).</w:t>
      </w:r>
    </w:p>
    <w:p w14:paraId="2B48F08C" w14:textId="77777777" w:rsidR="003F0AA9" w:rsidRPr="002F4348" w:rsidRDefault="003F0AA9" w:rsidP="003F0AA9">
      <w:pPr>
        <w:ind w:left="709" w:firstLine="0"/>
        <w:contextualSpacing/>
        <w:divId w:val="266810958"/>
        <w:rPr>
          <w:i/>
        </w:rPr>
      </w:pPr>
      <w:r w:rsidRPr="002F4348">
        <w:rPr>
          <w:b/>
        </w:rPr>
        <w:t>Комментарии:</w:t>
      </w:r>
      <w:r w:rsidRPr="002F4348">
        <w:t xml:space="preserve"> </w:t>
      </w:r>
      <w:r w:rsidRPr="002F4348">
        <w:rPr>
          <w:i/>
        </w:rPr>
        <w:t>при первичном</w:t>
      </w:r>
      <w:r w:rsidR="007C3C41" w:rsidRPr="002F4348">
        <w:rPr>
          <w:i/>
        </w:rPr>
        <w:t xml:space="preserve"> осмотре</w:t>
      </w:r>
      <w:r w:rsidRPr="002F4348">
        <w:rPr>
          <w:i/>
        </w:rPr>
        <w:t xml:space="preserve"> особый акцент необходимо делать на сроки и темпы увеличения лимфоузлов (основной симптом ЛХ – лимфаденопатия, развивающаяся постепенно и аси</w:t>
      </w:r>
      <w:r w:rsidR="0053255E" w:rsidRPr="002F4348">
        <w:rPr>
          <w:i/>
        </w:rPr>
        <w:t>м</w:t>
      </w:r>
      <w:r w:rsidRPr="002F4348">
        <w:rPr>
          <w:i/>
        </w:rPr>
        <w:t>метрично), неспецифические симптомы интоксикации (лихорадка выше 38°С не менее трех дней подряд без признаков воспаления; ночные профузные поты; похудание на 10% массы тела за последние 6 месяцев), симптомы поражения верхнего средостения (навязчивый непродуктивный кашель, синдром</w:t>
      </w:r>
      <w:r w:rsidR="007C3C41" w:rsidRPr="002F4348">
        <w:rPr>
          <w:i/>
        </w:rPr>
        <w:t xml:space="preserve"> сдавления</w:t>
      </w:r>
      <w:r w:rsidRPr="002F4348">
        <w:rPr>
          <w:i/>
        </w:rPr>
        <w:t xml:space="preserve"> верхней полой вены, охриплость голоса, дисфагия, диспноэ).</w:t>
      </w:r>
    </w:p>
    <w:p w14:paraId="2840F1D1" w14:textId="77777777" w:rsidR="00B46390" w:rsidRPr="002F4348" w:rsidRDefault="00B46390" w:rsidP="0021676E">
      <w:pPr>
        <w:pStyle w:val="2"/>
        <w:divId w:val="266810958"/>
      </w:pPr>
      <w:bookmarkStart w:id="24" w:name="_Toc65586385"/>
      <w:r w:rsidRPr="002F4348">
        <w:t>2.2 Физикальное обследование</w:t>
      </w:r>
      <w:bookmarkEnd w:id="24"/>
    </w:p>
    <w:p w14:paraId="5E89B94A" w14:textId="77777777" w:rsidR="0052462B" w:rsidRPr="002F4348" w:rsidRDefault="0052462B" w:rsidP="00B153FC">
      <w:pPr>
        <w:pStyle w:val="afe"/>
        <w:numPr>
          <w:ilvl w:val="0"/>
          <w:numId w:val="6"/>
        </w:numPr>
        <w:spacing w:before="120" w:after="120"/>
        <w:ind w:left="709" w:hanging="709"/>
        <w:divId w:val="266810958"/>
      </w:pPr>
      <w:r w:rsidRPr="002F4348">
        <w:t>У всех пациентов с подозрением на ЛХ или выявленной ЛХ при первичном или повторном приеме,</w:t>
      </w:r>
      <w:r w:rsidR="003F0AA9" w:rsidRPr="002F4348">
        <w:t xml:space="preserve"> перед каждым последующем циклом химиотерапии,</w:t>
      </w:r>
      <w:r w:rsidRPr="002F4348">
        <w:t xml:space="preserve"> при оценке ремиссии через 2 месяца после завершения терапии, при контрольных обследованиях, и при подозрении на рецидив заболевания </w:t>
      </w:r>
      <w:r w:rsidRPr="002F4348">
        <w:rPr>
          <w:b/>
          <w:bCs/>
        </w:rPr>
        <w:t>рекомендуется</w:t>
      </w:r>
      <w:r w:rsidRPr="002F4348">
        <w:t xml:space="preserve"> </w:t>
      </w:r>
      <w:bookmarkStart w:id="25" w:name="_Hlk532293045"/>
      <w:r w:rsidRPr="002F4348">
        <w:t xml:space="preserve">выполнение визуального осмотра терапевтического, пальпации терапевтической и </w:t>
      </w:r>
      <w:r w:rsidRPr="002F4348">
        <w:lastRenderedPageBreak/>
        <w:t>аускультации терапевтической</w:t>
      </w:r>
      <w:bookmarkEnd w:id="25"/>
      <w:r w:rsidRPr="002F4348">
        <w:t xml:space="preserve"> для уточнения распространенности и тяжести течения заболевания </w:t>
      </w:r>
      <w:r w:rsidRPr="002F4348">
        <w:fldChar w:fldCharType="begin" w:fldLock="1"/>
      </w:r>
      <w:r w:rsidR="00A850F7" w:rsidRPr="002F4348">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10dcee86-2303-45c9-9089-cdb3d4533aba","http://www.mendeley.com/documents/?uuid=d7eb85a2-da5e-400d-b112-7f0a5734958d"]}],"mendeley":{"formattedCitation":"[1]","plainTextFormattedCitation":"[1]","previouslyFormattedCitation":"[1]"},"properties":{"noteIndex":0},"schema":"https://github.com/citation-style-language/schema/raw/master/csl-citation.json"}</w:instrText>
      </w:r>
      <w:r w:rsidRPr="002F4348">
        <w:fldChar w:fldCharType="separate"/>
      </w:r>
      <w:r w:rsidRPr="002F4348">
        <w:rPr>
          <w:noProof/>
        </w:rPr>
        <w:t>[1]</w:t>
      </w:r>
      <w:r w:rsidRPr="002F4348">
        <w:fldChar w:fldCharType="end"/>
      </w:r>
      <w:r w:rsidRPr="002F4348">
        <w:t>.</w:t>
      </w:r>
    </w:p>
    <w:p w14:paraId="649627F8" w14:textId="77777777" w:rsidR="0052462B" w:rsidRPr="002F4348" w:rsidRDefault="0052462B" w:rsidP="0052462B">
      <w:pPr>
        <w:ind w:left="709" w:firstLine="0"/>
        <w:contextualSpacing/>
        <w:divId w:val="266810958"/>
        <w:rPr>
          <w:b/>
        </w:rPr>
      </w:pPr>
      <w:r w:rsidRPr="002F4348">
        <w:rPr>
          <w:b/>
        </w:rPr>
        <w:t>Уровень убедительности рекомендаций С (уровень достоверности доказательств 5).</w:t>
      </w:r>
    </w:p>
    <w:p w14:paraId="6F8837FF" w14:textId="77777777" w:rsidR="0052462B" w:rsidRPr="002F4348" w:rsidRDefault="0052462B" w:rsidP="0052462B">
      <w:pPr>
        <w:ind w:left="709" w:firstLine="0"/>
        <w:contextualSpacing/>
        <w:divId w:val="266810958"/>
        <w:rPr>
          <w:i/>
        </w:rPr>
      </w:pPr>
      <w:r w:rsidRPr="002F4348">
        <w:rPr>
          <w:b/>
        </w:rPr>
        <w:t xml:space="preserve">Комментарий: </w:t>
      </w:r>
      <w:bookmarkStart w:id="26" w:name="_Hlk532293146"/>
      <w:r w:rsidRPr="002F4348">
        <w:rPr>
          <w:i/>
        </w:rPr>
        <w:t xml:space="preserve">при осмотре необходимо оценить общее состояние пациента по шкале </w:t>
      </w:r>
      <w:r w:rsidRPr="002F4348">
        <w:rPr>
          <w:i/>
          <w:lang w:val="en-US"/>
        </w:rPr>
        <w:t>ECOG</w:t>
      </w:r>
      <w:r w:rsidRPr="002F4348">
        <w:rPr>
          <w:i/>
        </w:rPr>
        <w:t xml:space="preserve"> (см. приложение Г</w:t>
      </w:r>
      <w:r w:rsidR="005D0A68" w:rsidRPr="002F4348">
        <w:rPr>
          <w:i/>
        </w:rPr>
        <w:t>1</w:t>
      </w:r>
      <w:r w:rsidRPr="002F4348">
        <w:rPr>
          <w:i/>
        </w:rPr>
        <w:t>), а также осмотреть кожные покровы, миндалины и полость рта; пальпация должна включать в себя пальпацию всех доступных групп периферических лимфатических узлов, печени, селезенки.</w:t>
      </w:r>
      <w:bookmarkEnd w:id="26"/>
    </w:p>
    <w:p w14:paraId="57D928D9" w14:textId="77777777" w:rsidR="00094ED6" w:rsidRPr="002F4348" w:rsidRDefault="00B46390" w:rsidP="0021676E">
      <w:pPr>
        <w:pStyle w:val="2"/>
        <w:divId w:val="266810958"/>
      </w:pPr>
      <w:bookmarkStart w:id="27" w:name="_Toc65586386"/>
      <w:r w:rsidRPr="002F4348">
        <w:t>2.3 Лабораторн</w:t>
      </w:r>
      <w:r w:rsidR="00A70F44" w:rsidRPr="002F4348">
        <w:t>ые диагностические исследования</w:t>
      </w:r>
      <w:bookmarkEnd w:id="27"/>
    </w:p>
    <w:p w14:paraId="4100E65F" w14:textId="77777777" w:rsidR="0052462B" w:rsidRPr="002F4348" w:rsidRDefault="0052462B" w:rsidP="00B153FC">
      <w:pPr>
        <w:pStyle w:val="afe"/>
        <w:numPr>
          <w:ilvl w:val="0"/>
          <w:numId w:val="7"/>
        </w:numPr>
        <w:spacing w:before="120" w:after="120"/>
        <w:ind w:left="709" w:hanging="709"/>
        <w:divId w:val="266810958"/>
      </w:pPr>
      <w:r w:rsidRPr="002F4348">
        <w:t xml:space="preserve">Всем пациентам с подозрением на ЛХ или выявленной ЛХ при первичном или повторном приеме, после завершения каждого цикла терапии и перед началом каждого нового цикла терапии, при оценке ремиссии после завершения терапии, при контрольных обследованиях, и при подозрении на рецидив заболевания </w:t>
      </w:r>
      <w:r w:rsidRPr="002F4348">
        <w:rPr>
          <w:b/>
        </w:rPr>
        <w:t>рекомендуется</w:t>
      </w:r>
      <w:r w:rsidRPr="002F4348">
        <w:t xml:space="preserve"> для уточнения состояния пациента, планирования терапевтической тактики и определения необходимости ее модификации, а также для определения потребности в сопутствующей и сопроводительной терапии выполнить следующие диагностические исследования </w:t>
      </w:r>
      <w:r w:rsidRPr="002F4348">
        <w:fldChar w:fldCharType="begin" w:fldLock="1"/>
      </w:r>
      <w:r w:rsidR="00A850F7" w:rsidRPr="002F4348">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10dcee86-2303-45c9-9089-cdb3d4533aba","http://www.mendeley.com/documents/?uuid=d7eb85a2-da5e-400d-b112-7f0a5734958d"]}],"mendeley":{"formattedCitation":"[1]","plainTextFormattedCitation":"[1]","previouslyFormattedCitation":"[1]"},"properties":{"noteIndex":0},"schema":"https://github.com/citation-style-language/schema/raw/master/csl-citation.json"}</w:instrText>
      </w:r>
      <w:r w:rsidRPr="002F4348">
        <w:fldChar w:fldCharType="separate"/>
      </w:r>
      <w:r w:rsidRPr="002F4348">
        <w:rPr>
          <w:noProof/>
        </w:rPr>
        <w:t>[1]</w:t>
      </w:r>
      <w:r w:rsidRPr="002F4348">
        <w:fldChar w:fldCharType="end"/>
      </w:r>
      <w:r w:rsidRPr="002F4348">
        <w:t>:</w:t>
      </w:r>
    </w:p>
    <w:p w14:paraId="5A92A6AC" w14:textId="77777777" w:rsidR="0052462B" w:rsidRPr="002F4348" w:rsidRDefault="004E1D7A" w:rsidP="00B153FC">
      <w:pPr>
        <w:pStyle w:val="afe"/>
        <w:numPr>
          <w:ilvl w:val="1"/>
          <w:numId w:val="7"/>
        </w:numPr>
        <w:spacing w:before="120" w:after="120"/>
        <w:divId w:val="266810958"/>
      </w:pPr>
      <w:bookmarkStart w:id="28" w:name="_Hlk532293244"/>
      <w:r w:rsidRPr="002F4348">
        <w:t xml:space="preserve">общий (клинический) анализ крови развернутый </w:t>
      </w:r>
      <w:r w:rsidR="0052462B" w:rsidRPr="002F4348">
        <w:t xml:space="preserve">с определением гемоглобина, эритроцитов, тромбоцитов, лейкоцитов, подсчетом лейкоцитарной формулы </w:t>
      </w:r>
      <w:r w:rsidR="00D67C73" w:rsidRPr="002F4348">
        <w:t xml:space="preserve">с оценкой абсолютного содержания лейкоцитов </w:t>
      </w:r>
      <w:r w:rsidR="0052462B" w:rsidRPr="002F4348">
        <w:t>и количества ретикулоцитов</w:t>
      </w:r>
      <w:bookmarkEnd w:id="28"/>
      <w:r w:rsidR="00D67C73" w:rsidRPr="002F4348">
        <w:t>, оценкой скорости оседания эритроцитов</w:t>
      </w:r>
      <w:r w:rsidR="0052462B" w:rsidRPr="002F4348">
        <w:t>;</w:t>
      </w:r>
    </w:p>
    <w:p w14:paraId="4710FE5C" w14:textId="77777777" w:rsidR="0052462B" w:rsidRPr="002F4348" w:rsidRDefault="0052462B" w:rsidP="00B153FC">
      <w:pPr>
        <w:pStyle w:val="afe"/>
        <w:numPr>
          <w:ilvl w:val="1"/>
          <w:numId w:val="7"/>
        </w:numPr>
        <w:spacing w:before="120" w:after="120"/>
        <w:divId w:val="266810958"/>
      </w:pPr>
      <w:r w:rsidRPr="002F4348">
        <w:t>общ</w:t>
      </w:r>
      <w:r w:rsidR="007C3C41" w:rsidRPr="002F4348">
        <w:t>ий</w:t>
      </w:r>
      <w:r w:rsidRPr="002F4348">
        <w:t xml:space="preserve"> (клиническ</w:t>
      </w:r>
      <w:r w:rsidR="007C3C41" w:rsidRPr="002F4348">
        <w:t>ий</w:t>
      </w:r>
      <w:r w:rsidRPr="002F4348">
        <w:t>) анализ мочи;</w:t>
      </w:r>
    </w:p>
    <w:p w14:paraId="71FADC25" w14:textId="77777777" w:rsidR="00A81848" w:rsidRPr="002F4348" w:rsidRDefault="0052462B" w:rsidP="00B153FC">
      <w:pPr>
        <w:pStyle w:val="afe"/>
        <w:numPr>
          <w:ilvl w:val="1"/>
          <w:numId w:val="7"/>
        </w:numPr>
        <w:spacing w:before="120" w:after="120"/>
        <w:divId w:val="266810958"/>
      </w:pPr>
      <w:r w:rsidRPr="002F4348">
        <w:t>анализ крови биохимическ</w:t>
      </w:r>
      <w:r w:rsidR="007C3C41" w:rsidRPr="002F4348">
        <w:t>ий</w:t>
      </w:r>
      <w:r w:rsidRPr="002F4348">
        <w:t xml:space="preserve"> общетерапевтическ</w:t>
      </w:r>
      <w:r w:rsidR="007C3C41" w:rsidRPr="002F4348">
        <w:t>ий</w:t>
      </w:r>
      <w:r w:rsidRPr="002F4348">
        <w:t xml:space="preserve"> с </w:t>
      </w:r>
      <w:r w:rsidRPr="002F4348">
        <w:rPr>
          <w:iCs/>
        </w:rPr>
        <w:t>включением следующих параметров: ЛДГ, мочевина, креатинин, общий белок, альбумин, билирубин, АСТ, АЛТ, щелочная фосфатаза, калий, натрий, хлор, кальций (другие параметры биохимического анализа крови могут быть включены в исследование на усмотрение врача)</w:t>
      </w:r>
      <w:r w:rsidR="00A81848" w:rsidRPr="002F4348">
        <w:rPr>
          <w:iCs/>
        </w:rPr>
        <w:t>;</w:t>
      </w:r>
    </w:p>
    <w:p w14:paraId="3FDC77A5" w14:textId="77777777" w:rsidR="0052462B" w:rsidRPr="002F4348" w:rsidRDefault="004E1D7A" w:rsidP="00B153FC">
      <w:pPr>
        <w:pStyle w:val="afe"/>
        <w:numPr>
          <w:ilvl w:val="1"/>
          <w:numId w:val="7"/>
        </w:numPr>
        <w:spacing w:before="120" w:after="120"/>
        <w:divId w:val="266810958"/>
        <w:rPr>
          <w:iCs/>
        </w:rPr>
      </w:pPr>
      <w:r w:rsidRPr="002F4348">
        <w:t xml:space="preserve">коагулограмма (ориентировочное исследование системы гемостаза) </w:t>
      </w:r>
      <w:r w:rsidR="004A21C0" w:rsidRPr="002F4348">
        <w:t xml:space="preserve">с </w:t>
      </w:r>
      <w:r w:rsidR="004A21C0" w:rsidRPr="002F4348">
        <w:rPr>
          <w:iCs/>
        </w:rPr>
        <w:t xml:space="preserve">включением </w:t>
      </w:r>
      <w:r w:rsidR="00A81848" w:rsidRPr="002F4348">
        <w:rPr>
          <w:iCs/>
        </w:rPr>
        <w:t xml:space="preserve">следующих параметров: протромбин, </w:t>
      </w:r>
      <w:r w:rsidR="00E633CA" w:rsidRPr="002F4348">
        <w:rPr>
          <w:iCs/>
        </w:rPr>
        <w:t>международное нормализованное отношение (</w:t>
      </w:r>
      <w:r w:rsidR="00A81848" w:rsidRPr="002F4348">
        <w:rPr>
          <w:iCs/>
        </w:rPr>
        <w:t>МНО</w:t>
      </w:r>
      <w:r w:rsidR="00E633CA" w:rsidRPr="002F4348">
        <w:rPr>
          <w:iCs/>
        </w:rPr>
        <w:t>)</w:t>
      </w:r>
      <w:r w:rsidR="00A81848" w:rsidRPr="002F4348">
        <w:rPr>
          <w:iCs/>
        </w:rPr>
        <w:t xml:space="preserve">, </w:t>
      </w:r>
      <w:r w:rsidR="00E633CA" w:rsidRPr="002F4348">
        <w:rPr>
          <w:iCs/>
        </w:rPr>
        <w:t>активированное частичное тромбопластиновое время (</w:t>
      </w:r>
      <w:r w:rsidR="00A81848" w:rsidRPr="002F4348">
        <w:rPr>
          <w:iCs/>
        </w:rPr>
        <w:t>АЧТВ</w:t>
      </w:r>
      <w:r w:rsidR="00E633CA" w:rsidRPr="002F4348">
        <w:rPr>
          <w:iCs/>
        </w:rPr>
        <w:t>)</w:t>
      </w:r>
      <w:r w:rsidR="00A81848" w:rsidRPr="002F4348">
        <w:rPr>
          <w:iCs/>
        </w:rPr>
        <w:t xml:space="preserve">, фибриноген, тромбиновое время, антитромбин </w:t>
      </w:r>
      <w:r w:rsidR="00A81848" w:rsidRPr="002F4348">
        <w:rPr>
          <w:iCs/>
          <w:lang w:val="en-US"/>
        </w:rPr>
        <w:t>III</w:t>
      </w:r>
      <w:r w:rsidR="00A81848" w:rsidRPr="002F4348">
        <w:rPr>
          <w:iCs/>
        </w:rPr>
        <w:t xml:space="preserve">, плазминоген, </w:t>
      </w:r>
      <w:r w:rsidR="00A81848" w:rsidRPr="002F4348">
        <w:rPr>
          <w:iCs/>
          <w:lang w:val="en-US"/>
        </w:rPr>
        <w:t>D</w:t>
      </w:r>
      <w:r w:rsidR="00A81848" w:rsidRPr="002F4348">
        <w:rPr>
          <w:iCs/>
        </w:rPr>
        <w:t>-димер</w:t>
      </w:r>
      <w:r w:rsidR="0052462B" w:rsidRPr="002F4348">
        <w:rPr>
          <w:iCs/>
        </w:rPr>
        <w:t>.</w:t>
      </w:r>
    </w:p>
    <w:p w14:paraId="07E6C6B1" w14:textId="77777777" w:rsidR="0052462B" w:rsidRPr="002F4348" w:rsidRDefault="0052462B" w:rsidP="00A87256">
      <w:pPr>
        <w:ind w:left="709" w:firstLine="0"/>
        <w:contextualSpacing/>
        <w:divId w:val="266810958"/>
        <w:rPr>
          <w:b/>
        </w:rPr>
      </w:pPr>
      <w:r w:rsidRPr="002F4348">
        <w:rPr>
          <w:b/>
        </w:rPr>
        <w:t>Уровень убедительности рекомендаций С (уровень достоверности доказательств 5).</w:t>
      </w:r>
    </w:p>
    <w:p w14:paraId="3B612E4C" w14:textId="77777777" w:rsidR="00D67C73" w:rsidRPr="002F4348" w:rsidRDefault="00D67C73" w:rsidP="00A87256">
      <w:pPr>
        <w:ind w:left="709" w:firstLine="0"/>
        <w:contextualSpacing/>
        <w:divId w:val="266810958"/>
        <w:rPr>
          <w:b/>
        </w:rPr>
      </w:pPr>
      <w:r w:rsidRPr="002F4348">
        <w:rPr>
          <w:b/>
        </w:rPr>
        <w:lastRenderedPageBreak/>
        <w:t xml:space="preserve">Комментарий: </w:t>
      </w:r>
      <w:r w:rsidRPr="002F4348">
        <w:rPr>
          <w:i/>
        </w:rPr>
        <w:t xml:space="preserve">оценка абсолютного содержания лимфоцитов в периферической крови до начала лечения необходима для оптимального выбора химиотерапии первой линии — входит как фактор риска в подсчет числа баллов Международного прогностического индекса для распространенных стадий </w:t>
      </w:r>
      <w:r w:rsidR="000E5A78" w:rsidRPr="002F4348">
        <w:rPr>
          <w:i/>
        </w:rPr>
        <w:t>к</w:t>
      </w:r>
      <w:r w:rsidRPr="002F4348">
        <w:rPr>
          <w:i/>
        </w:rPr>
        <w:t>ЛХ (см. раздел 7.3 данных рекомендаций).</w:t>
      </w:r>
    </w:p>
    <w:p w14:paraId="1A39E3B7" w14:textId="77777777" w:rsidR="0052462B" w:rsidRPr="002F4348" w:rsidRDefault="0052462B" w:rsidP="00B153FC">
      <w:pPr>
        <w:pStyle w:val="afe"/>
        <w:numPr>
          <w:ilvl w:val="0"/>
          <w:numId w:val="8"/>
        </w:numPr>
        <w:spacing w:before="120" w:after="120"/>
        <w:ind w:left="709" w:hanging="709"/>
        <w:divId w:val="266810958"/>
      </w:pPr>
      <w:r w:rsidRPr="002F4348">
        <w:t>Всем</w:t>
      </w:r>
      <w:r w:rsidR="00D75819" w:rsidRPr="002F4348">
        <w:t xml:space="preserve"> ранее не получавшим лечение</w:t>
      </w:r>
      <w:r w:rsidRPr="002F4348">
        <w:t xml:space="preserve"> пациентам с ЛХ перед проведением первой линии противоопухолевой терапии </w:t>
      </w:r>
      <w:r w:rsidRPr="002F4348">
        <w:rPr>
          <w:b/>
        </w:rPr>
        <w:t>рекомендуется</w:t>
      </w:r>
      <w:r w:rsidRPr="002F4348">
        <w:t xml:space="preserve"> определение основных групп крови по системе AB0, определение антигена D системы Резус (резус-фактора) для возможности выполнения гемотрансфузии при наличии показаний до, во время или после терапии</w:t>
      </w:r>
      <w:r w:rsidR="00A87256" w:rsidRPr="002F4348">
        <w:t xml:space="preserve"> </w:t>
      </w:r>
      <w:r w:rsidR="00A87256" w:rsidRPr="002F4348">
        <w:fldChar w:fldCharType="begin" w:fldLock="1"/>
      </w:r>
      <w:r w:rsidR="00A850F7" w:rsidRPr="002F4348">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10dcee86-2303-45c9-9089-cdb3d4533aba","http://www.mendeley.com/documents/?uuid=d7eb85a2-da5e-400d-b112-7f0a5734958d"]}],"mendeley":{"formattedCitation":"[1]","plainTextFormattedCitation":"[1]","previouslyFormattedCitation":"[1]"},"properties":{"noteIndex":0},"schema":"https://github.com/citation-style-language/schema/raw/master/csl-citation.json"}</w:instrText>
      </w:r>
      <w:r w:rsidR="00A87256" w:rsidRPr="002F4348">
        <w:fldChar w:fldCharType="separate"/>
      </w:r>
      <w:r w:rsidR="00A87256" w:rsidRPr="002F4348">
        <w:rPr>
          <w:noProof/>
        </w:rPr>
        <w:t>[1]</w:t>
      </w:r>
      <w:r w:rsidR="00A87256" w:rsidRPr="002F4348">
        <w:fldChar w:fldCharType="end"/>
      </w:r>
      <w:r w:rsidRPr="002F4348">
        <w:t xml:space="preserve">. </w:t>
      </w:r>
    </w:p>
    <w:p w14:paraId="39E1AF9C" w14:textId="77777777" w:rsidR="0052462B" w:rsidRPr="002F4348" w:rsidRDefault="0052462B" w:rsidP="00A87256">
      <w:pPr>
        <w:ind w:left="709" w:firstLine="0"/>
        <w:contextualSpacing/>
        <w:divId w:val="266810958"/>
        <w:rPr>
          <w:b/>
        </w:rPr>
      </w:pPr>
      <w:r w:rsidRPr="002F4348">
        <w:rPr>
          <w:b/>
        </w:rPr>
        <w:t>Уровень убедительности рекомендаций С (уровень достоверности доказательств 5).</w:t>
      </w:r>
    </w:p>
    <w:p w14:paraId="221ABC21" w14:textId="77777777" w:rsidR="004A21C0" w:rsidRPr="002F4348" w:rsidRDefault="0052462B" w:rsidP="00B153FC">
      <w:pPr>
        <w:pStyle w:val="afe"/>
        <w:numPr>
          <w:ilvl w:val="0"/>
          <w:numId w:val="9"/>
        </w:numPr>
        <w:spacing w:before="120" w:after="120"/>
        <w:ind w:left="709" w:hanging="709"/>
        <w:divId w:val="266810958"/>
        <w:rPr>
          <w:b/>
        </w:rPr>
      </w:pPr>
      <w:r w:rsidRPr="002F4348">
        <w:t>Всем</w:t>
      </w:r>
      <w:r w:rsidR="00D75819" w:rsidRPr="002F4348">
        <w:t xml:space="preserve"> ранее не получавшим лечение </w:t>
      </w:r>
      <w:r w:rsidRPr="002F4348">
        <w:t xml:space="preserve">пациентам с ЛХ перед проведением первой линии противоопухолевой терапии </w:t>
      </w:r>
      <w:r w:rsidRPr="002F4348">
        <w:rPr>
          <w:b/>
        </w:rPr>
        <w:t>рекомендуется</w:t>
      </w:r>
      <w:r w:rsidRPr="002F4348">
        <w:t xml:space="preserve"> </w:t>
      </w:r>
      <w:r w:rsidR="004A21C0" w:rsidRPr="002F4348">
        <w:t xml:space="preserve">для уточнения наличия сопутствующих инфекционных заболеваний и планирования необходимой сопутствующей терапии </w:t>
      </w:r>
      <w:r w:rsidRPr="002F4348">
        <w:t>выполнение</w:t>
      </w:r>
      <w:r w:rsidR="004A21C0" w:rsidRPr="002F4348">
        <w:t xml:space="preserve"> следующих исследований:</w:t>
      </w:r>
    </w:p>
    <w:p w14:paraId="76B00A43" w14:textId="77777777" w:rsidR="0052462B" w:rsidRPr="002F4348" w:rsidRDefault="0052462B" w:rsidP="00B153FC">
      <w:pPr>
        <w:pStyle w:val="afe"/>
        <w:numPr>
          <w:ilvl w:val="0"/>
          <w:numId w:val="10"/>
        </w:numPr>
        <w:spacing w:before="120" w:after="120"/>
        <w:divId w:val="266810958"/>
      </w:pPr>
      <w:r w:rsidRPr="002F4348">
        <w:t xml:space="preserve">молекулярно-биологического исследования крови на вирус гепатита B (Hepatitis B virus) и на вирус гепатита C (Hepatitis C virus) </w:t>
      </w:r>
      <w:r w:rsidR="00A87256" w:rsidRPr="002F4348">
        <w:fldChar w:fldCharType="begin" w:fldLock="1"/>
      </w:r>
      <w:r w:rsidR="00A850F7" w:rsidRPr="002F4348">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10dcee86-2303-45c9-9089-cdb3d4533aba","http://www.mendeley.com/documents/?uuid=d7eb85a2-da5e-400d-b112-7f0a5734958d"]}],"mendeley":{"formattedCitation":"[1]","plainTextFormattedCitation":"[1]","previouslyFormattedCitation":"[1]"},"properties":{"noteIndex":0},"schema":"https://github.com/citation-style-language/schema/raw/master/csl-citation.json"}</w:instrText>
      </w:r>
      <w:r w:rsidR="00A87256" w:rsidRPr="002F4348">
        <w:fldChar w:fldCharType="separate"/>
      </w:r>
      <w:r w:rsidR="00A87256" w:rsidRPr="002F4348">
        <w:rPr>
          <w:noProof/>
        </w:rPr>
        <w:t>[1]</w:t>
      </w:r>
      <w:r w:rsidR="00A87256" w:rsidRPr="002F4348">
        <w:fldChar w:fldCharType="end"/>
      </w:r>
      <w:r w:rsidR="004A21C0" w:rsidRPr="002F4348">
        <w:t>;</w:t>
      </w:r>
    </w:p>
    <w:p w14:paraId="5A86A918" w14:textId="77777777" w:rsidR="004A21C0" w:rsidRPr="002F4348" w:rsidRDefault="004A21C0" w:rsidP="00B153FC">
      <w:pPr>
        <w:pStyle w:val="afe"/>
        <w:numPr>
          <w:ilvl w:val="0"/>
          <w:numId w:val="10"/>
        </w:numPr>
        <w:spacing w:before="120" w:after="120"/>
        <w:divId w:val="266810958"/>
      </w:pPr>
      <w:r w:rsidRPr="002F4348">
        <w:t>молекулярно-биологического исследования крови на вирус иммунодефицита человека ВИЧ-1 (Human immunodeficiency virus HIV-1)</w:t>
      </w:r>
      <w:r w:rsidR="00D67C73" w:rsidRPr="002F4348">
        <w:t>;</w:t>
      </w:r>
    </w:p>
    <w:p w14:paraId="7B11E830" w14:textId="77777777" w:rsidR="00D67C73" w:rsidRPr="002F4348" w:rsidRDefault="00D67C73" w:rsidP="00B153FC">
      <w:pPr>
        <w:pStyle w:val="afe"/>
        <w:numPr>
          <w:ilvl w:val="0"/>
          <w:numId w:val="10"/>
        </w:numPr>
        <w:spacing w:before="120" w:after="120"/>
        <w:divId w:val="266810958"/>
      </w:pPr>
      <w:r w:rsidRPr="002F4348">
        <w:t>молекулярно-биологического исследования</w:t>
      </w:r>
      <w:r w:rsidR="00887BF1" w:rsidRPr="002F4348">
        <w:t xml:space="preserve"> крови</w:t>
      </w:r>
      <w:r w:rsidRPr="002F4348">
        <w:t xml:space="preserve"> на вирусы Эпштейн-Барр, цитомегаловирус и вирус</w:t>
      </w:r>
      <w:r w:rsidR="00887BF1" w:rsidRPr="002F4348">
        <w:t xml:space="preserve"> простого герпеса</w:t>
      </w:r>
      <w:r w:rsidRPr="002F4348">
        <w:t>.</w:t>
      </w:r>
    </w:p>
    <w:p w14:paraId="79057DE8" w14:textId="77777777" w:rsidR="0052462B" w:rsidRPr="002F4348" w:rsidRDefault="0052462B" w:rsidP="00A87256">
      <w:pPr>
        <w:pStyle w:val="afe"/>
        <w:ind w:left="709" w:firstLine="0"/>
        <w:divId w:val="266810958"/>
        <w:rPr>
          <w:b/>
        </w:rPr>
      </w:pPr>
      <w:r w:rsidRPr="002F4348">
        <w:rPr>
          <w:b/>
        </w:rPr>
        <w:t>Уровень убедительности рекомендаций С (уровень достоверности доказательств 5).</w:t>
      </w:r>
    </w:p>
    <w:p w14:paraId="62BC32E0" w14:textId="77777777" w:rsidR="003263CD" w:rsidRPr="002F4348" w:rsidRDefault="005D4E90" w:rsidP="00B153FC">
      <w:pPr>
        <w:pStyle w:val="afe"/>
        <w:numPr>
          <w:ilvl w:val="0"/>
          <w:numId w:val="7"/>
        </w:numPr>
        <w:spacing w:before="120" w:after="120"/>
        <w:ind w:left="709" w:hanging="709"/>
        <w:divId w:val="266810958"/>
        <w:rPr>
          <w:i/>
        </w:rPr>
      </w:pPr>
      <w:r w:rsidRPr="002F4348">
        <w:rPr>
          <w:szCs w:val="24"/>
        </w:rPr>
        <w:t>Всем пациентам с ЛХ  младше 18 лет до начала противоопухолевой терапии, а также в</w:t>
      </w:r>
      <w:r w:rsidR="003263CD" w:rsidRPr="002F4348">
        <w:rPr>
          <w:szCs w:val="24"/>
        </w:rPr>
        <w:t>сем пациентам с ЛХ</w:t>
      </w:r>
      <w:r w:rsidR="00EC65E0" w:rsidRPr="002F4348">
        <w:rPr>
          <w:szCs w:val="24"/>
        </w:rPr>
        <w:t>,</w:t>
      </w:r>
      <w:r w:rsidRPr="002F4348">
        <w:rPr>
          <w:szCs w:val="24"/>
        </w:rPr>
        <w:t xml:space="preserve"> независимо от возраста</w:t>
      </w:r>
      <w:r w:rsidR="003263CD" w:rsidRPr="002F4348">
        <w:rPr>
          <w:szCs w:val="24"/>
        </w:rPr>
        <w:t xml:space="preserve">, получающим или получавшим противоопухолевую терапию, после первого эпизода тяжелой инфекции </w:t>
      </w:r>
      <w:r w:rsidR="003263CD" w:rsidRPr="002F4348">
        <w:rPr>
          <w:b/>
          <w:bCs/>
          <w:szCs w:val="24"/>
        </w:rPr>
        <w:t>рекомендуется</w:t>
      </w:r>
      <w:r w:rsidR="003263CD" w:rsidRPr="002F4348">
        <w:rPr>
          <w:szCs w:val="24"/>
        </w:rPr>
        <w:t xml:space="preserve"> определение иммунного статуса (исследование уровня иммуноглобулинов </w:t>
      </w:r>
      <w:r w:rsidR="003263CD" w:rsidRPr="002F4348">
        <w:rPr>
          <w:szCs w:val="24"/>
          <w:lang w:val="en-US"/>
        </w:rPr>
        <w:t>G</w:t>
      </w:r>
      <w:r w:rsidR="003263CD" w:rsidRPr="002F4348">
        <w:rPr>
          <w:szCs w:val="24"/>
        </w:rPr>
        <w:t xml:space="preserve">, </w:t>
      </w:r>
      <w:r w:rsidR="003263CD" w:rsidRPr="002F4348">
        <w:rPr>
          <w:szCs w:val="24"/>
          <w:lang w:val="en-US"/>
        </w:rPr>
        <w:t>A</w:t>
      </w:r>
      <w:r w:rsidR="003263CD" w:rsidRPr="002F4348">
        <w:rPr>
          <w:szCs w:val="24"/>
        </w:rPr>
        <w:t xml:space="preserve"> и </w:t>
      </w:r>
      <w:r w:rsidR="003263CD" w:rsidRPr="002F4348">
        <w:rPr>
          <w:szCs w:val="24"/>
          <w:lang w:val="en-US"/>
        </w:rPr>
        <w:t>M</w:t>
      </w:r>
      <w:r w:rsidR="003263CD" w:rsidRPr="002F4348">
        <w:rPr>
          <w:szCs w:val="24"/>
        </w:rPr>
        <w:t>) в крови для уточнения риска развития инфекционных осложнений и необходимости назначения соответствующей профилактики</w:t>
      </w:r>
      <w:r w:rsidR="00ED3575" w:rsidRPr="002F4348">
        <w:rPr>
          <w:szCs w:val="24"/>
        </w:rPr>
        <w:t xml:space="preserve"> </w:t>
      </w:r>
      <w:r w:rsidR="00ED3575" w:rsidRPr="002F4348">
        <w:rPr>
          <w:szCs w:val="24"/>
        </w:rPr>
        <w:fldChar w:fldCharType="begin" w:fldLock="1"/>
      </w:r>
      <w:r w:rsidR="00A850F7" w:rsidRPr="002F4348">
        <w:rPr>
          <w:szCs w:val="24"/>
        </w:rPr>
        <w:instrText>ADDIN CSL_CITATION {"citationItems":[{"id":"ITEM-1","itemData":{"DOI":"10.3109/08880018.2011.557261","ISSN":"08880018","abstract":"Hodgkin disease (HD) is a malignancy of primarily B lymphocytes that has the unique ability to cause immunodeficiency, as well as provide immune evasion mechanisms to avoid self-destruction. In this review, the authors discuss Hodgkin disease, its association with Epstein-Barr virus (EBV), the immune deficiency caused by HD, and tumor immune evasion mechanisms. Specifically, the authors closely evaluate the roles of regulatory T cells in HD, cytotoxic T cells, cytokine and chemokine secretion, down-regulation of Fas ligand, and indoleamine 2,3-dioxygenase (IDO) secretion. © 2011 Informa Healthcare USA, Inc.","author":[{"dropping-particle":"","family":"Kennedy-Nasser","given":"Alana A.","non-dropping-particle":"","parse-names":false,"suffix":""},{"dropping-particle":"","family":"Hanley","given":"Patrick","non-dropping-particle":"","parse-names":false,"suffix":""},{"dropping-particle":"","family":"Bollard","given":"Catherine M.","non-dropping-particle":"","parse-names":false,"suffix":""}],"container-title":"Pediatric Hematology and Oncology","id":"ITEM-1","issue":"3","issued":{"date-parts":[["2011","4"]]},"page":"176-186","publisher":"NIH Public Access","title":"Hodgkin disease and the role of the immune system","type":"article","volume":"28"},"uris":["http://www.mendeley.com/documents/?uuid=fe184ee3-5244-3d23-82fe-7288a963ca6c","http://www.mendeley.com/documents/?uuid=5bdf0c99-dc07-486a-8a32-679bff83d2f7"]},{"id":"ITEM-2","itemData":{"DOI":"10.1073/pnas.69.4.1026","ISSN":"00278424","abstract":"A higher incidence of malignancy as well as greater susceptibility to infection has been found to be associated with primary immunodeficiencies. An increased incidence of leukemia has been associated with X-linked infantile agammaglobulinemia-an isolated defect of humoral immunities. An increased frequency of a wide variety of malignancies have been found to accompany several different forms of primary immunodeficiency. Secondary immunodeficiencies produced by immunosuppressant therapy to facilitate renal transplantation have also been found to have far too much cancer to be explained by chance assocaition. Many experimental associations between immunity and malignancy have also been encountered, indicating that these two adaptive processes have an essential relationship that must be elucidated.","author":[{"dropping-particle":"","family":"Good","given":"R. A.","non-dropping-particle":"","parse-names":false,"suffix":""}],"container-title":"Proceedings of the National Academy of Sciences of the United States of America","id":"ITEM-2","issue":"4","issued":{"date-parts":[["1972","4"]]},"page":"1026-1032","title":"Relations between immunity and malignancy.","type":"article","volume":"69"},"uris":["http://www.mendeley.com/documents/?uuid=a946b580-7874-336b-a662-b7eb17860b60","http://www.mendeley.com/documents/?uuid=bbaed18a-0705-4049-95d7-21028c730623"]}],"mendeley":{"formattedCitation":"[5,6]","plainTextFormattedCitation":"[5,6]","previouslyFormattedCitation":"[5,6]"},"properties":{"noteIndex":0},"schema":"https://github.com/citation-style-language/schema/raw/master/csl-citation.json"}</w:instrText>
      </w:r>
      <w:r w:rsidR="00ED3575" w:rsidRPr="002F4348">
        <w:rPr>
          <w:szCs w:val="24"/>
        </w:rPr>
        <w:fldChar w:fldCharType="separate"/>
      </w:r>
      <w:r w:rsidR="000C1AAB" w:rsidRPr="002F4348">
        <w:rPr>
          <w:noProof/>
          <w:szCs w:val="24"/>
        </w:rPr>
        <w:t>[5,6]</w:t>
      </w:r>
      <w:r w:rsidR="00ED3575" w:rsidRPr="002F4348">
        <w:rPr>
          <w:szCs w:val="24"/>
        </w:rPr>
        <w:fldChar w:fldCharType="end"/>
      </w:r>
      <w:r w:rsidR="003263CD" w:rsidRPr="002F4348">
        <w:rPr>
          <w:szCs w:val="24"/>
        </w:rPr>
        <w:t>.</w:t>
      </w:r>
    </w:p>
    <w:p w14:paraId="68F8B67B" w14:textId="77777777" w:rsidR="003263CD" w:rsidRPr="002F4348" w:rsidRDefault="003263CD" w:rsidP="003263CD">
      <w:pPr>
        <w:ind w:left="709" w:firstLine="0"/>
        <w:contextualSpacing/>
        <w:divId w:val="266810958"/>
        <w:rPr>
          <w:b/>
        </w:rPr>
      </w:pPr>
      <w:r w:rsidRPr="002F4348">
        <w:rPr>
          <w:b/>
        </w:rPr>
        <w:t>Уровень убедительности рекомендаций С (уровень достоверности доказательств 5).</w:t>
      </w:r>
    </w:p>
    <w:p w14:paraId="287D773C" w14:textId="77777777" w:rsidR="003263CD" w:rsidRPr="002F4348" w:rsidRDefault="003263CD" w:rsidP="003263CD">
      <w:pPr>
        <w:ind w:left="709" w:firstLine="0"/>
        <w:contextualSpacing/>
        <w:divId w:val="266810958"/>
        <w:rPr>
          <w:i/>
        </w:rPr>
      </w:pPr>
      <w:r w:rsidRPr="002F4348">
        <w:rPr>
          <w:b/>
        </w:rPr>
        <w:t>Комментарии:</w:t>
      </w:r>
      <w:r w:rsidRPr="002F4348">
        <w:t xml:space="preserve"> </w:t>
      </w:r>
      <w:r w:rsidRPr="002F4348">
        <w:rPr>
          <w:i/>
        </w:rPr>
        <w:t xml:space="preserve">если </w:t>
      </w:r>
      <w:r w:rsidRPr="002F4348">
        <w:rPr>
          <w:i/>
          <w:lang w:val="en-US"/>
        </w:rPr>
        <w:t>IgG</w:t>
      </w:r>
      <w:r w:rsidRPr="002F4348">
        <w:rPr>
          <w:i/>
        </w:rPr>
        <w:t xml:space="preserve">&lt;4 г/л, клиническая ситуация расценивается как симптоматическая гипогаммаглобулинемия. В этих случаях показана </w:t>
      </w:r>
      <w:r w:rsidRPr="002F4348">
        <w:rPr>
          <w:i/>
        </w:rPr>
        <w:lastRenderedPageBreak/>
        <w:t>заместительная терапия иммуноглобулинами (см. раздел «Сопутствующая и сопроводительная терапия)</w:t>
      </w:r>
    </w:p>
    <w:p w14:paraId="7053F782" w14:textId="77777777" w:rsidR="0052462B" w:rsidRPr="002F4348" w:rsidRDefault="0052462B" w:rsidP="00B153FC">
      <w:pPr>
        <w:pStyle w:val="afe"/>
        <w:numPr>
          <w:ilvl w:val="0"/>
          <w:numId w:val="9"/>
        </w:numPr>
        <w:spacing w:before="120" w:after="120"/>
        <w:ind w:left="709" w:hanging="709"/>
        <w:divId w:val="266810958"/>
      </w:pPr>
      <w:r w:rsidRPr="002F4348">
        <w:t xml:space="preserve">Всем женщинам детородного возраста с впервые выявленной ЛХ, а также с рецидивом ЛХ, перед началом терапии </w:t>
      </w:r>
      <w:r w:rsidRPr="002F4348">
        <w:rPr>
          <w:b/>
        </w:rPr>
        <w:t>рекомендуется</w:t>
      </w:r>
      <w:r w:rsidRPr="002F4348">
        <w:t xml:space="preserve"> выполнение комплекса исследований по определению беременности для коррекции терапевтической тактики и консультации акушера-гинеколога в случае наличия беременности и желания женщины ее сохранить</w:t>
      </w:r>
      <w:r w:rsidR="004A21C0" w:rsidRPr="002F4348">
        <w:t xml:space="preserve"> </w:t>
      </w:r>
      <w:r w:rsidR="004A21C0" w:rsidRPr="002F4348">
        <w:fldChar w:fldCharType="begin" w:fldLock="1"/>
      </w:r>
      <w:r w:rsidR="00A850F7" w:rsidRPr="002F4348">
        <w:instrText>ADDIN CSL_CITATION {"citationItems":[{"id":"ITEM-1","itemData":{"author":[{"dropping-particle":"","family":"Шмаков","given":"Р.Г.","non-dropping-particle":"","parse-names":false,"suffix":""},{"dropping-particle":"","family":"Демина","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Савченко.","id":"ITEM-1","issued":{"date-parts":[["2018"]]},"page":"143-150","title":"Лимфомы и беременность","type":"chapter"},"uris":["http://www.mendeley.com/documents/?uuid=1b144eff-cfc3-4cd9-b619-e66b3bbc7228","http://www.mendeley.com/documents/?uuid=958bf3f8-62e1-483b-a76a-3702334c0c29"]},{"id":"ITEM-2","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Савченко.","id":"ITEM-2","issued":{"date-parts":[["2018"]]},"page":"9-27","title":"Общие принципы диагностики лимфом","type":"chapter"},"uris":["http://www.mendeley.com/documents/?uuid=10dcee86-2303-45c9-9089-cdb3d4533aba","http://www.mendeley.com/documents/?uuid=d7eb85a2-da5e-400d-b112-7f0a5734958d"]}],"mendeley":{"formattedCitation":"[1,7]","plainTextFormattedCitation":"[1,7]","previouslyFormattedCitation":"[1,7]"},"properties":{"noteIndex":0},"schema":"https://github.com/citation-style-language/schema/raw/master/csl-citation.json"}</w:instrText>
      </w:r>
      <w:r w:rsidR="004A21C0" w:rsidRPr="002F4348">
        <w:fldChar w:fldCharType="separate"/>
      </w:r>
      <w:r w:rsidR="00BA1BF7" w:rsidRPr="002F4348">
        <w:rPr>
          <w:noProof/>
        </w:rPr>
        <w:t>[1,7]</w:t>
      </w:r>
      <w:r w:rsidR="004A21C0" w:rsidRPr="002F4348">
        <w:fldChar w:fldCharType="end"/>
      </w:r>
      <w:r w:rsidRPr="002F4348">
        <w:t>.</w:t>
      </w:r>
    </w:p>
    <w:p w14:paraId="604B37B3" w14:textId="77777777" w:rsidR="00B46390" w:rsidRPr="002F4348" w:rsidRDefault="0052462B" w:rsidP="004A21C0">
      <w:pPr>
        <w:ind w:left="709" w:hanging="1"/>
        <w:contextualSpacing/>
        <w:divId w:val="266810958"/>
        <w:rPr>
          <w:b/>
        </w:rPr>
      </w:pPr>
      <w:r w:rsidRPr="002F4348">
        <w:rPr>
          <w:b/>
        </w:rPr>
        <w:t>Уровень убедительности рекомендаций С (уровень достоверности доказательств 5).</w:t>
      </w:r>
    </w:p>
    <w:p w14:paraId="40A4C96F" w14:textId="77777777" w:rsidR="00F6558C" w:rsidRPr="002F4348" w:rsidRDefault="00B46390" w:rsidP="00F6558C">
      <w:pPr>
        <w:pStyle w:val="2"/>
        <w:divId w:val="266810958"/>
      </w:pPr>
      <w:bookmarkStart w:id="29" w:name="_Toc65586387"/>
      <w:r w:rsidRPr="002F4348">
        <w:t xml:space="preserve">2.4 </w:t>
      </w:r>
      <w:r w:rsidR="00A70F44" w:rsidRPr="002F4348">
        <w:t xml:space="preserve">Инструментальные </w:t>
      </w:r>
      <w:r w:rsidRPr="002F4348">
        <w:t>диагно</w:t>
      </w:r>
      <w:r w:rsidR="00A70F44" w:rsidRPr="002F4348">
        <w:t>стические исследования</w:t>
      </w:r>
      <w:bookmarkEnd w:id="29"/>
    </w:p>
    <w:p w14:paraId="0CD08763" w14:textId="77777777" w:rsidR="00B0429E" w:rsidRPr="002F4348" w:rsidRDefault="00B0429E" w:rsidP="00B153FC">
      <w:pPr>
        <w:pStyle w:val="afe"/>
        <w:numPr>
          <w:ilvl w:val="0"/>
          <w:numId w:val="8"/>
        </w:numPr>
        <w:spacing w:before="120" w:after="120"/>
        <w:ind w:left="709" w:hanging="709"/>
        <w:divId w:val="266810958"/>
      </w:pPr>
      <w:r w:rsidRPr="002F4348">
        <w:t>Всем пациентам при установ</w:t>
      </w:r>
      <w:r w:rsidR="007C3C41" w:rsidRPr="002F4348">
        <w:t>лении</w:t>
      </w:r>
      <w:r w:rsidRPr="002F4348">
        <w:t xml:space="preserve"> диагноза ЛХ, при оценке ответа на лечение, а </w:t>
      </w:r>
      <w:r w:rsidRPr="002F4348">
        <w:rPr>
          <w:color w:val="000000" w:themeColor="text1"/>
        </w:rPr>
        <w:t xml:space="preserve">также при подозрении на рецидив заболевания </w:t>
      </w:r>
      <w:r w:rsidRPr="002F4348">
        <w:rPr>
          <w:b/>
          <w:color w:val="000000" w:themeColor="text1"/>
        </w:rPr>
        <w:t>рекомендуется</w:t>
      </w:r>
      <w:r w:rsidRPr="002F4348">
        <w:rPr>
          <w:color w:val="000000" w:themeColor="text1"/>
        </w:rPr>
        <w:t xml:space="preserve"> выполнить КТ </w:t>
      </w:r>
      <w:r w:rsidR="00E45C65" w:rsidRPr="002F4348">
        <w:rPr>
          <w:color w:val="000000" w:themeColor="text1"/>
        </w:rPr>
        <w:t xml:space="preserve">шеи, </w:t>
      </w:r>
      <w:r w:rsidRPr="002F4348">
        <w:t xml:space="preserve">грудной клетки, органов брюшной полости и малого таза (с контрастированием) для стадирования заболевания и уточнения наличия, размеров и распространенности опухолевых очагов </w:t>
      </w:r>
      <w:r w:rsidRPr="002F4348">
        <w:fldChar w:fldCharType="begin" w:fldLock="1"/>
      </w:r>
      <w:r w:rsidR="00A850F7" w:rsidRPr="002F4348">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10dcee86-2303-45c9-9089-cdb3d4533aba","http://www.mendeley.com/documents/?uuid=d7eb85a2-da5e-400d-b112-7f0a5734958d"]}],"mendeley":{"formattedCitation":"[1]","plainTextFormattedCitation":"[1]","previouslyFormattedCitation":"[1]"},"properties":{"noteIndex":0},"schema":"https://github.com/citation-style-language/schema/raw/master/csl-citation.json"}</w:instrText>
      </w:r>
      <w:r w:rsidRPr="002F4348">
        <w:fldChar w:fldCharType="separate"/>
      </w:r>
      <w:r w:rsidRPr="002F4348">
        <w:rPr>
          <w:noProof/>
        </w:rPr>
        <w:t>[1]</w:t>
      </w:r>
      <w:r w:rsidRPr="002F4348">
        <w:fldChar w:fldCharType="end"/>
      </w:r>
      <w:r w:rsidRPr="002F4348">
        <w:t>.</w:t>
      </w:r>
    </w:p>
    <w:p w14:paraId="36E68F32" w14:textId="77777777" w:rsidR="00B0429E" w:rsidRPr="002F4348" w:rsidRDefault="00B0429E" w:rsidP="00B0429E">
      <w:pPr>
        <w:pStyle w:val="afe"/>
        <w:ind w:left="709" w:firstLine="0"/>
        <w:divId w:val="266810958"/>
        <w:rPr>
          <w:color w:val="000000" w:themeColor="text1"/>
        </w:rPr>
      </w:pPr>
      <w:r w:rsidRPr="002F4348">
        <w:rPr>
          <w:b/>
        </w:rPr>
        <w:t>Уровень убедительности рекомендаций С (уровень достоверности доказательств 5).</w:t>
      </w:r>
    </w:p>
    <w:p w14:paraId="46104DC6" w14:textId="77777777" w:rsidR="000F4D7F" w:rsidRPr="002F4348" w:rsidRDefault="00B0429E" w:rsidP="00B153FC">
      <w:pPr>
        <w:pStyle w:val="afe"/>
        <w:numPr>
          <w:ilvl w:val="0"/>
          <w:numId w:val="8"/>
        </w:numPr>
        <w:spacing w:before="120" w:after="120"/>
        <w:ind w:left="709" w:hanging="709"/>
        <w:divId w:val="266810958"/>
        <w:rPr>
          <w:color w:val="000000" w:themeColor="text1"/>
        </w:rPr>
      </w:pPr>
      <w:r w:rsidRPr="002F4348">
        <w:rPr>
          <w:color w:val="000000" w:themeColor="text1"/>
        </w:rPr>
        <w:t>Пациентам с противопоказаниями к КТ, либо при невозможности выполнения КТ, при установ</w:t>
      </w:r>
      <w:r w:rsidR="007C3C41" w:rsidRPr="002F4348">
        <w:rPr>
          <w:color w:val="000000" w:themeColor="text1"/>
        </w:rPr>
        <w:t>лении</w:t>
      </w:r>
      <w:r w:rsidRPr="002F4348">
        <w:rPr>
          <w:color w:val="000000" w:themeColor="text1"/>
        </w:rPr>
        <w:t xml:space="preserve"> диагноза ЛХ, при оценке ответа на лечение, а также при подозрении на рецидив заболевания </w:t>
      </w:r>
      <w:r w:rsidRPr="002F4348">
        <w:rPr>
          <w:b/>
          <w:color w:val="000000" w:themeColor="text1"/>
        </w:rPr>
        <w:t>рекомендуется</w:t>
      </w:r>
      <w:r w:rsidRPr="002F4348">
        <w:rPr>
          <w:color w:val="000000" w:themeColor="text1"/>
        </w:rPr>
        <w:t xml:space="preserve"> </w:t>
      </w:r>
      <w:r w:rsidR="000F4D7F" w:rsidRPr="002F4348">
        <w:t>для стадирования заболевания и уточнения наличия, размеров и распространенности опухолевых очагов</w:t>
      </w:r>
      <w:r w:rsidR="000F4D7F" w:rsidRPr="002F4348">
        <w:rPr>
          <w:color w:val="000000" w:themeColor="text1"/>
        </w:rPr>
        <w:t xml:space="preserve"> </w:t>
      </w:r>
      <w:r w:rsidRPr="002F4348">
        <w:rPr>
          <w:color w:val="000000" w:themeColor="text1"/>
        </w:rPr>
        <w:t>выполнить</w:t>
      </w:r>
      <w:r w:rsidR="000F4D7F" w:rsidRPr="002F4348">
        <w:rPr>
          <w:color w:val="000000" w:themeColor="text1"/>
        </w:rPr>
        <w:t xml:space="preserve"> следующие диагностические исследования </w:t>
      </w:r>
      <w:r w:rsidR="000F4D7F" w:rsidRPr="002F4348">
        <w:fldChar w:fldCharType="begin" w:fldLock="1"/>
      </w:r>
      <w:r w:rsidR="00A850F7" w:rsidRPr="002F4348">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10dcee86-2303-45c9-9089-cdb3d4533aba","http://www.mendeley.com/documents/?uuid=d7eb85a2-da5e-400d-b112-7f0a5734958d"]}],"mendeley":{"formattedCitation":"[1]","plainTextFormattedCitation":"[1]","previouslyFormattedCitation":"[1]"},"properties":{"noteIndex":0},"schema":"https://github.com/citation-style-language/schema/raw/master/csl-citation.json"}</w:instrText>
      </w:r>
      <w:r w:rsidR="000F4D7F" w:rsidRPr="002F4348">
        <w:fldChar w:fldCharType="separate"/>
      </w:r>
      <w:r w:rsidR="000F4D7F" w:rsidRPr="002F4348">
        <w:rPr>
          <w:noProof/>
        </w:rPr>
        <w:t>[1]</w:t>
      </w:r>
      <w:r w:rsidR="000F4D7F" w:rsidRPr="002F4348">
        <w:fldChar w:fldCharType="end"/>
      </w:r>
      <w:r w:rsidR="000F4D7F" w:rsidRPr="002F4348">
        <w:rPr>
          <w:color w:val="000000" w:themeColor="text1"/>
        </w:rPr>
        <w:t>:</w:t>
      </w:r>
    </w:p>
    <w:p w14:paraId="7A84923F" w14:textId="77777777" w:rsidR="00B0429E" w:rsidRPr="002F4348" w:rsidRDefault="00B0429E" w:rsidP="00B153FC">
      <w:pPr>
        <w:pStyle w:val="afe"/>
        <w:numPr>
          <w:ilvl w:val="1"/>
          <w:numId w:val="8"/>
        </w:numPr>
        <w:spacing w:before="120" w:after="120"/>
        <w:divId w:val="266810958"/>
        <w:rPr>
          <w:color w:val="000000" w:themeColor="text1"/>
        </w:rPr>
      </w:pPr>
      <w:r w:rsidRPr="002F4348">
        <w:rPr>
          <w:color w:val="000000" w:themeColor="text1"/>
        </w:rPr>
        <w:t>рентгенографию органов грудной клетки в двух проекциях</w:t>
      </w:r>
      <w:r w:rsidR="000F4D7F" w:rsidRPr="002F4348">
        <w:t>;</w:t>
      </w:r>
    </w:p>
    <w:p w14:paraId="4AEB7B9D" w14:textId="77777777" w:rsidR="000F4D7F" w:rsidRPr="002F4348" w:rsidRDefault="000F4D7F" w:rsidP="00B153FC">
      <w:pPr>
        <w:pStyle w:val="afe"/>
        <w:numPr>
          <w:ilvl w:val="1"/>
          <w:numId w:val="8"/>
        </w:numPr>
        <w:spacing w:before="120" w:after="120"/>
        <w:divId w:val="266810958"/>
        <w:rPr>
          <w:color w:val="000000" w:themeColor="text1"/>
        </w:rPr>
      </w:pPr>
      <w:r w:rsidRPr="002F4348">
        <w:rPr>
          <w:color w:val="000000" w:themeColor="text1"/>
        </w:rPr>
        <w:t>ультразвуковое исследование лимфатических узлов и внутренних органов.</w:t>
      </w:r>
    </w:p>
    <w:p w14:paraId="46F21246" w14:textId="77777777" w:rsidR="00B0429E" w:rsidRPr="002F4348" w:rsidRDefault="00B0429E" w:rsidP="000F4D7F">
      <w:pPr>
        <w:ind w:left="709" w:firstLine="0"/>
        <w:contextualSpacing/>
        <w:divId w:val="266810958"/>
        <w:rPr>
          <w:b/>
        </w:rPr>
      </w:pPr>
      <w:r w:rsidRPr="002F4348">
        <w:rPr>
          <w:b/>
        </w:rPr>
        <w:t>Уровень убедительности рекомендаций С (уровень достоверности доказательств 5).</w:t>
      </w:r>
    </w:p>
    <w:p w14:paraId="4FB3D1E8" w14:textId="77777777" w:rsidR="00B0429E" w:rsidRPr="002F4348" w:rsidRDefault="00B0429E" w:rsidP="000F4D7F">
      <w:pPr>
        <w:ind w:left="709" w:firstLine="0"/>
        <w:contextualSpacing/>
        <w:divId w:val="266810958"/>
      </w:pPr>
      <w:r w:rsidRPr="002F4348">
        <w:rPr>
          <w:b/>
        </w:rPr>
        <w:t>Комментарии:</w:t>
      </w:r>
      <w:r w:rsidRPr="002F4348">
        <w:t xml:space="preserve"> </w:t>
      </w:r>
      <w:r w:rsidR="000F4D7F" w:rsidRPr="002F4348">
        <w:rPr>
          <w:i/>
        </w:rPr>
        <w:t xml:space="preserve">при </w:t>
      </w:r>
      <w:r w:rsidRPr="002F4348">
        <w:rPr>
          <w:i/>
        </w:rPr>
        <w:t>ультразвуковом исследовании необходимо оценить периферические лимфатические узлы, внутрибрюшные, забрюшинные узлы, органы брюшной полости и малого таза.</w:t>
      </w:r>
      <w:r w:rsidR="00F6558C" w:rsidRPr="002F4348">
        <w:rPr>
          <w:i/>
        </w:rPr>
        <w:t xml:space="preserve"> Лимфоузлы диаметром менее 1 см считаются непораженными, лимфоузлы диаметром 1-2 см требуют динамического наблюдения в процессе терапии, лимфоузлы диаметром более 2 см считаются пораженными.</w:t>
      </w:r>
    </w:p>
    <w:p w14:paraId="4088A040" w14:textId="77777777" w:rsidR="00B0429E" w:rsidRPr="002F4348" w:rsidRDefault="00B0429E" w:rsidP="00B153FC">
      <w:pPr>
        <w:pStyle w:val="afe"/>
        <w:numPr>
          <w:ilvl w:val="0"/>
          <w:numId w:val="8"/>
        </w:numPr>
        <w:spacing w:before="120" w:after="120"/>
        <w:ind w:left="709" w:hanging="709"/>
        <w:divId w:val="266810958"/>
      </w:pPr>
      <w:r w:rsidRPr="002F4348">
        <w:lastRenderedPageBreak/>
        <w:t>Всем пациентам при установ</w:t>
      </w:r>
      <w:r w:rsidR="007C3C41" w:rsidRPr="002F4348">
        <w:t>лении</w:t>
      </w:r>
      <w:r w:rsidRPr="002F4348">
        <w:t xml:space="preserve"> диагноза ЛХ, при оценке ответа на лечение, а также при подозрении на рецидив заболевания </w:t>
      </w:r>
      <w:r w:rsidRPr="002F4348">
        <w:rPr>
          <w:b/>
        </w:rPr>
        <w:t>рекомендуется</w:t>
      </w:r>
      <w:r w:rsidRPr="002F4348">
        <w:t xml:space="preserve"> при наличии возможности выполнить позитронную эмиссионную томографию всего тела с туморотропными</w:t>
      </w:r>
      <w:r w:rsidR="00D3063E" w:rsidRPr="002F4348">
        <w:t xml:space="preserve"> радиофармпрепаратами</w:t>
      </w:r>
      <w:r w:rsidRPr="002F4348">
        <w:t xml:space="preserve"> </w:t>
      </w:r>
      <w:r w:rsidR="00D3063E" w:rsidRPr="002F4348">
        <w:t>(</w:t>
      </w:r>
      <w:r w:rsidRPr="002F4348">
        <w:t>РФП</w:t>
      </w:r>
      <w:r w:rsidR="00D3063E" w:rsidRPr="002F4348">
        <w:t>)</w:t>
      </w:r>
      <w:r w:rsidR="00E45C65" w:rsidRPr="002F4348">
        <w:t xml:space="preserve"> </w:t>
      </w:r>
      <w:r w:rsidR="005D4E90" w:rsidRPr="002F4348">
        <w:t>(</w:t>
      </w:r>
      <w:r w:rsidR="00E45C65" w:rsidRPr="002F4348">
        <w:t>фтордезоксиглюкозой</w:t>
      </w:r>
      <w:r w:rsidR="005D4E90" w:rsidRPr="002F4348">
        <w:t>)</w:t>
      </w:r>
      <w:r w:rsidRPr="002F4348">
        <w:t xml:space="preserve"> для более точного стадирования заболевания и лучшей оценки эффекта на терапию</w:t>
      </w:r>
      <w:r w:rsidR="000F4D7F" w:rsidRPr="002F4348">
        <w:t xml:space="preserve"> </w:t>
      </w:r>
      <w:r w:rsidR="000F4D7F" w:rsidRPr="002F4348">
        <w:fldChar w:fldCharType="begin" w:fldLock="1"/>
      </w:r>
      <w:r w:rsidR="00A850F7" w:rsidRPr="002F4348">
        <w:instrText>ADDIN CSL_CITATION {"citationItems":[{"id":"ITEM-1","itemData":{"DOI":"10.3390/cancers10050145","ISSN":"20726694","abstract":"© 2018 by the authors. Licensee MDPI, Basel, Switzerland. Functional imaging using 18-fluorodeoxyglycose ([ 18 F]FDG) positron emission tomography combined with computed tomography (PET/CT) has become a major imaging modality in Hodgkin lymphoma. This imaging modality allows for a significant improvement in staging, increased sensitivity, which involves differentiating residual tumors from fibrosis during assessment, and highly impacts treatment decisions into new PET-driven strategies. This review presents the main scientific data concerning the current applications of [ 18 F]FDG-PET/CT in Hodgkin lymphoma at baseline, interim, and the end of treatment evaluation along with the main PET-driven trials for therapeutic decisions. The emergence of total metabolic tumor volume as a new functional prognostic factor will also be discussed.","author":[{"dropping-particle":"","family":"Kanoun","given":"Salim","non-dropping-particle":"","parse-names":false,"suffix":""},{"dropping-particle":"","family":"Rossi","given":"Cedric","non-dropping-particle":"","parse-names":false,"suffix":""},{"dropping-particle":"","family":"Casasnovas","given":"Olivier","non-dropping-particle":"","parse-names":false,"suffix":""}],"container-title":"Cancers","id":"ITEM-1","issued":{"date-parts":[["2018"]]},"title":"[18F]FDG-PET/CT in hodgkin lymphoma: Current usefulness and perspectives","type":"article"},"uris":["http://www.mendeley.com/documents/?uuid=a199b200-8e20-34be-978b-4e6c485c48bd","http://www.mendeley.com/documents/?uuid=ffe7a224-c8d7-4c6c-a46b-98bac7801389"]},{"id":"ITEM-2","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Савченко.","id":"ITEM-2","issued":{"date-parts":[["2018"]]},"page":"9-27","title":"Общие принципы диагностики лимфом","type":"chapter"},"uris":["http://www.mendeley.com/documents/?uuid=10dcee86-2303-45c9-9089-cdb3d4533aba","http://www.mendeley.com/documents/?uuid=d7eb85a2-da5e-400d-b112-7f0a5734958d"]},{"id":"ITEM-3","itemData":{"author":[{"dropping-particle":"","family":"Демина","given":"Е.А.","non-dropping-particle":"","parse-names":false,"suffix":""},{"dropping-particle":"","family":"Капланов","given":"К.Д.","non-dropping-particle":"","parse-names":false,"suffix":""},{"dropping-particle":"","family":"Мухортова","given":"О.В.","non-dropping-particle":"","parse-names":false,"suffix":""},{"dropping-particle":"","family":"Тумян","given":"Г.С.","non-dropping-particle":"","parse-names":false,"suffix":""},{"dropping-particle":"","family":"Михайлова","given":"Н.Б.","non-dropping-particle":"","parse-names":false,"suffix":""},{"dropping-particle":"","family":"Моисеева","given":"Т.Н.","non-dropping-particle":"","parse-names":false,"suffix":""},{"dropping-particle":"","family":"Виноградова","given":"Ю.Н.","non-dropping-particle":"","parse-names":false,"suffix":""},{"dropping-particle":"","family":"Ильин","given":"Н.В.","non-dropping-particle":"","parse-names":false,"suffix":""},{"dropping-particle":"","family":"Трофимова","given":"О.П.","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Савченко.","id":"ITEM-3","issued":{"date-parts":[["2018"]]},"page":"28-43","title":"Лимфома Ходжкина","type":"chapter"},"uris":["http://www.mendeley.com/documents/?uuid=0af2b11d-a9cf-4da8-a503-99a860249436","http://www.mendeley.com/documents/?uuid=708bf927-447f-43d0-8bf7-28178aa7e29e","http://www.mendeley.com/documents/?uuid=e0a52d7c-81db-4834-8f6a-ac2eebea5be4"]}],"mendeley":{"formattedCitation":"[1,4,8]","plainTextFormattedCitation":"[1,4,8]","previouslyFormattedCitation":"[1,4,8]"},"properties":{"noteIndex":0},"schema":"https://github.com/citation-style-language/schema/raw/master/csl-citation.json"}</w:instrText>
      </w:r>
      <w:r w:rsidR="000F4D7F" w:rsidRPr="002F4348">
        <w:fldChar w:fldCharType="separate"/>
      </w:r>
      <w:r w:rsidR="000C1AAB" w:rsidRPr="002F4348">
        <w:rPr>
          <w:noProof/>
        </w:rPr>
        <w:t>[1,4,8]</w:t>
      </w:r>
      <w:r w:rsidR="000F4D7F" w:rsidRPr="002F4348">
        <w:fldChar w:fldCharType="end"/>
      </w:r>
      <w:r w:rsidRPr="002F4348">
        <w:t>.</w:t>
      </w:r>
    </w:p>
    <w:p w14:paraId="54789176" w14:textId="77777777" w:rsidR="00B0429E" w:rsidRPr="002F4348" w:rsidRDefault="00B0429E" w:rsidP="000F4D7F">
      <w:pPr>
        <w:ind w:left="709" w:firstLine="0"/>
        <w:contextualSpacing/>
        <w:divId w:val="266810958"/>
        <w:rPr>
          <w:b/>
        </w:rPr>
      </w:pPr>
      <w:r w:rsidRPr="002F4348">
        <w:rPr>
          <w:b/>
        </w:rPr>
        <w:t>Уровень убедительности рекомендаций С (уровень достоверности доказательств 5).</w:t>
      </w:r>
    </w:p>
    <w:p w14:paraId="30715062" w14:textId="77777777" w:rsidR="00B0429E" w:rsidRPr="002F4348" w:rsidRDefault="00B0429E" w:rsidP="000F4D7F">
      <w:pPr>
        <w:pStyle w:val="afe"/>
        <w:ind w:left="709" w:firstLine="0"/>
        <w:divId w:val="266810958"/>
        <w:rPr>
          <w:i/>
        </w:rPr>
      </w:pPr>
      <w:r w:rsidRPr="002F4348">
        <w:rPr>
          <w:b/>
        </w:rPr>
        <w:t>Комментарии:</w:t>
      </w:r>
      <w:r w:rsidRPr="002F4348">
        <w:t xml:space="preserve"> </w:t>
      </w:r>
      <w:r w:rsidR="000F4D7F" w:rsidRPr="002F4348">
        <w:rPr>
          <w:i/>
        </w:rPr>
        <w:t xml:space="preserve">позитронная </w:t>
      </w:r>
      <w:r w:rsidRPr="002F4348">
        <w:rPr>
          <w:i/>
        </w:rPr>
        <w:t xml:space="preserve">эмиссионная томография, совмещенная с компьютерной томографией (ПЭТ/КТ), </w:t>
      </w:r>
      <w:r w:rsidR="00CD5AF9" w:rsidRPr="002F4348">
        <w:rPr>
          <w:i/>
        </w:rPr>
        <w:t xml:space="preserve">является </w:t>
      </w:r>
      <w:r w:rsidRPr="002F4348">
        <w:rPr>
          <w:i/>
        </w:rPr>
        <w:t>высокоинформативным</w:t>
      </w:r>
      <w:r w:rsidR="00E45C65" w:rsidRPr="002F4348">
        <w:rPr>
          <w:i/>
        </w:rPr>
        <w:t xml:space="preserve"> методом диагностики</w:t>
      </w:r>
      <w:r w:rsidR="005D4E90" w:rsidRPr="002F4348">
        <w:rPr>
          <w:i/>
        </w:rPr>
        <w:t xml:space="preserve">. </w:t>
      </w:r>
      <w:r w:rsidRPr="002F4348">
        <w:rPr>
          <w:i/>
        </w:rPr>
        <w:t>ПЭТ/КТ, выполненная до начала лечения, позволяет</w:t>
      </w:r>
      <w:r w:rsidR="007C3C41" w:rsidRPr="002F4348">
        <w:rPr>
          <w:i/>
        </w:rPr>
        <w:t xml:space="preserve"> не только уточнить стадию, но и более</w:t>
      </w:r>
      <w:r w:rsidRPr="002F4348">
        <w:rPr>
          <w:i/>
        </w:rPr>
        <w:t xml:space="preserve"> точно определить локализацию очагов поражения, что имеет существенное значение для </w:t>
      </w:r>
      <w:r w:rsidR="00E45C65" w:rsidRPr="002F4348">
        <w:rPr>
          <w:i/>
        </w:rPr>
        <w:t xml:space="preserve">последующей оценки эффекта терапии индукции и </w:t>
      </w:r>
      <w:r w:rsidRPr="002F4348">
        <w:rPr>
          <w:i/>
        </w:rPr>
        <w:t xml:space="preserve">качественного планирования последующей лучевой терапии и минимизации облучения здоровых тканей. При наличии возможности выполнения ПЭТ/КТ, она может быть применена в соответствии с пересмотренными критериями оценки ответа, в первую очередь у </w:t>
      </w:r>
      <w:r w:rsidR="00B119C4" w:rsidRPr="002F4348">
        <w:rPr>
          <w:i/>
        </w:rPr>
        <w:t xml:space="preserve">пациентов </w:t>
      </w:r>
      <w:r w:rsidRPr="002F4348">
        <w:rPr>
          <w:i/>
        </w:rPr>
        <w:t>с минимальным объемом опухоли, а также с учетом возможной коррекции лечения.</w:t>
      </w:r>
    </w:p>
    <w:p w14:paraId="06258464" w14:textId="77777777" w:rsidR="00B0429E" w:rsidRPr="002F4348" w:rsidRDefault="00B119C4" w:rsidP="00B0429E">
      <w:pPr>
        <w:pStyle w:val="afe"/>
        <w:ind w:left="709"/>
        <w:divId w:val="266810958"/>
        <w:rPr>
          <w:i/>
        </w:rPr>
      </w:pPr>
      <w:r w:rsidRPr="002F4348">
        <w:rPr>
          <w:i/>
        </w:rPr>
        <w:t>Необходимо</w:t>
      </w:r>
      <w:r w:rsidR="00B0429E" w:rsidRPr="002F4348">
        <w:rPr>
          <w:i/>
        </w:rPr>
        <w:t xml:space="preserve"> проведение ПЭТ/КТ у пациентов с ранними стадиями ЛХ, так как это позволит проводить ПЭТ-адаптированную терапию у этих пациентов.</w:t>
      </w:r>
    </w:p>
    <w:p w14:paraId="68549A10" w14:textId="77777777" w:rsidR="00B0429E" w:rsidRPr="002F4348" w:rsidRDefault="00B0429E" w:rsidP="00B0429E">
      <w:pPr>
        <w:pStyle w:val="afe"/>
        <w:ind w:left="709"/>
        <w:divId w:val="266810958"/>
        <w:rPr>
          <w:i/>
        </w:rPr>
      </w:pPr>
      <w:r w:rsidRPr="002F4348">
        <w:rPr>
          <w:i/>
        </w:rPr>
        <w:t xml:space="preserve">При наличии технической возможности ПЭТ/КТ должна оцениваться по шкале </w:t>
      </w:r>
      <w:r w:rsidRPr="002F4348">
        <w:rPr>
          <w:i/>
          <w:lang w:val="en-US"/>
        </w:rPr>
        <w:t>Deauville</w:t>
      </w:r>
      <w:r w:rsidRPr="002F4348">
        <w:rPr>
          <w:i/>
        </w:rPr>
        <w:t xml:space="preserve"> (см. приложение Г</w:t>
      </w:r>
      <w:r w:rsidR="005D0A68" w:rsidRPr="002F4348">
        <w:rPr>
          <w:i/>
        </w:rPr>
        <w:t>2</w:t>
      </w:r>
      <w:r w:rsidRPr="002F4348">
        <w:rPr>
          <w:i/>
        </w:rPr>
        <w:t>)</w:t>
      </w:r>
      <w:r w:rsidR="00665A6C" w:rsidRPr="002F4348">
        <w:rPr>
          <w:i/>
        </w:rPr>
        <w:t>.</w:t>
      </w:r>
    </w:p>
    <w:p w14:paraId="10A73853" w14:textId="77777777" w:rsidR="00B0429E" w:rsidRPr="002F4348" w:rsidRDefault="00B0429E" w:rsidP="00B153FC">
      <w:pPr>
        <w:pStyle w:val="afe"/>
        <w:numPr>
          <w:ilvl w:val="0"/>
          <w:numId w:val="8"/>
        </w:numPr>
        <w:spacing w:before="120" w:after="120"/>
        <w:ind w:left="709" w:hanging="709"/>
        <w:divId w:val="266810958"/>
      </w:pPr>
      <w:r w:rsidRPr="002F4348">
        <w:t xml:space="preserve">Всем пациентам с установленным диагнозом ЛХ, которым планируется лечение по поводу впервые установленного заболевания, либо по поводу рецидива, </w:t>
      </w:r>
      <w:r w:rsidRPr="002F4348">
        <w:rPr>
          <w:b/>
        </w:rPr>
        <w:t>рекомендуется</w:t>
      </w:r>
      <w:r w:rsidRPr="002F4348">
        <w:t xml:space="preserve"> выполнить электрокардиографию для уточнения функции сердца </w:t>
      </w:r>
      <w:r w:rsidR="00C346EB" w:rsidRPr="002F4348">
        <w:fldChar w:fldCharType="begin" w:fldLock="1"/>
      </w:r>
      <w:r w:rsidR="00A850F7" w:rsidRPr="002F4348">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10dcee86-2303-45c9-9089-cdb3d4533aba","http://www.mendeley.com/documents/?uuid=d7eb85a2-da5e-400d-b112-7f0a5734958d"]},{"id":"ITEM-2","itemData":{"author":[{"dropping-particle":"","family":"Демина","given":"Е.А.","non-dropping-particle":"","parse-names":false,"suffix":""},{"dropping-particle":"","family":"Капланов","given":"К.Д.","non-dropping-particle":"","parse-names":false,"suffix":""},{"dropping-particle":"","family":"Мухортова","given":"О.В.","non-dropping-particle":"","parse-names":false,"suffix":""},{"dropping-particle":"","family":"Тумян","given":"Г.С.","non-dropping-particle":"","parse-names":false,"suffix":""},{"dropping-particle":"","family":"Михайлова","given":"Н.Б.","non-dropping-particle":"","parse-names":false,"suffix":""},{"dropping-particle":"","family":"Моисеева","given":"Т.Н.","non-dropping-particle":"","parse-names":false,"suffix":""},{"dropping-particle":"","family":"Виноградова","given":"Ю.Н.","non-dropping-particle":"","parse-names":false,"suffix":""},{"dropping-particle":"","family":"Ильин","given":"Н.В.","non-dropping-particle":"","parse-names":false,"suffix":""},{"dropping-particle":"","family":"Трофимова","given":"О.П.","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Савченко.","id":"ITEM-2","issued":{"date-parts":[["2018"]]},"page":"28-43","title":"Лимфома Ходжкина","type":"chapter"},"uris":["http://www.mendeley.com/documents/?uuid=0af2b11d-a9cf-4da8-a503-99a860249436","http://www.mendeley.com/documents/?uuid=708bf927-447f-43d0-8bf7-28178aa7e29e","http://www.mendeley.com/documents/?uuid=b2781a91-c25d-4315-bdc4-0915a9199206"]}],"mendeley":{"formattedCitation":"[1,4]","plainTextFormattedCitation":"[1,4]","previouslyFormattedCitation":"[1,4]"},"properties":{"noteIndex":0},"schema":"https://github.com/citation-style-language/schema/raw/master/csl-citation.json"}</w:instrText>
      </w:r>
      <w:r w:rsidR="00C346EB" w:rsidRPr="002F4348">
        <w:fldChar w:fldCharType="separate"/>
      </w:r>
      <w:r w:rsidR="00C346EB" w:rsidRPr="002F4348">
        <w:rPr>
          <w:noProof/>
        </w:rPr>
        <w:t>[1,4]</w:t>
      </w:r>
      <w:r w:rsidR="00C346EB" w:rsidRPr="002F4348">
        <w:fldChar w:fldCharType="end"/>
      </w:r>
      <w:r w:rsidRPr="002F4348">
        <w:t>.</w:t>
      </w:r>
    </w:p>
    <w:p w14:paraId="7A2879D4" w14:textId="77777777" w:rsidR="00B0429E" w:rsidRPr="002F4348" w:rsidRDefault="00B0429E" w:rsidP="00C346EB">
      <w:pPr>
        <w:ind w:left="709" w:firstLine="0"/>
        <w:contextualSpacing/>
        <w:divId w:val="266810958"/>
        <w:rPr>
          <w:b/>
        </w:rPr>
      </w:pPr>
      <w:r w:rsidRPr="002F4348">
        <w:rPr>
          <w:b/>
        </w:rPr>
        <w:t>Уровень убедительности рекомендаций С (уровень достоверности доказательств 5).</w:t>
      </w:r>
    </w:p>
    <w:p w14:paraId="7DD6A443" w14:textId="77777777" w:rsidR="00B0429E" w:rsidRPr="002F4348" w:rsidRDefault="00B0429E" w:rsidP="00B153FC">
      <w:pPr>
        <w:pStyle w:val="afe"/>
        <w:numPr>
          <w:ilvl w:val="0"/>
          <w:numId w:val="8"/>
        </w:numPr>
        <w:spacing w:before="120" w:after="120"/>
        <w:ind w:left="709" w:hanging="709"/>
        <w:divId w:val="266810958"/>
      </w:pPr>
      <w:r w:rsidRPr="002F4348">
        <w:t>Всем пациентам с установленным диагнозом ЛХ, которым планируется лечение с использованием противоопухолевого антибиотика доксорубицина** (в схемах ABVD</w:t>
      </w:r>
      <w:r w:rsidR="00BE5D4B" w:rsidRPr="002F4348">
        <w:t xml:space="preserve">, </w:t>
      </w:r>
      <w:r w:rsidRPr="002F4348">
        <w:t>BEACOPP</w:t>
      </w:r>
      <w:r w:rsidR="00BE5D4B" w:rsidRPr="002F4348">
        <w:t>, ОЕРА</w:t>
      </w:r>
      <w:r w:rsidRPr="002F4348">
        <w:t xml:space="preserve"> – см. приложение</w:t>
      </w:r>
      <w:r w:rsidR="005D0A68" w:rsidRPr="002F4348">
        <w:t xml:space="preserve"> А3.1</w:t>
      </w:r>
      <w:r w:rsidRPr="002F4348">
        <w:t xml:space="preserve">), а также пациентам со сниженной сердечной функцией, получающим это лечение, </w:t>
      </w:r>
      <w:r w:rsidRPr="002F4348">
        <w:rPr>
          <w:b/>
        </w:rPr>
        <w:t>рекомендуется</w:t>
      </w:r>
      <w:r w:rsidRPr="002F4348">
        <w:t xml:space="preserve"> выполнить эхокардиографию с определением фракции сердечного выброса, для контроля кардиологической токсичности</w:t>
      </w:r>
      <w:r w:rsidR="00C346EB" w:rsidRPr="002F4348">
        <w:t xml:space="preserve"> </w:t>
      </w:r>
      <w:r w:rsidR="00C346EB" w:rsidRPr="002F4348">
        <w:fldChar w:fldCharType="begin" w:fldLock="1"/>
      </w:r>
      <w:r w:rsidR="00A850F7" w:rsidRPr="002F4348">
        <w:instrText>ADDIN CSL_CITATION {"citationItems":[{"id":"ITEM-1","itemData":{"author":[{"dropping-particle":"","family":"Демина","given":"Е.А.","non-dropping-particle":"","parse-names":false,"suffix":""},{"dropping-particle":"","family":"Капланов","given":"К.Д.","non-dropping-particle":"","parse-names":false,"suffix":""},{"dropping-particle":"","family":"Мухортова","given":"О.В.","non-dropping-particle":"","parse-names":false,"suffix":""},{"dropping-particle":"","family":"Тумян","given":"Г.С.","non-dropping-particle":"","parse-names":false,"suffix":""},{"dropping-particle":"","family":"Михайлова","given":"Н.Б.","non-dropping-particle":"","parse-names":false,"suffix":""},{"dropping-particle":"","family":"Моисеева","given":"Т.Н.","non-dropping-particle":"","parse-names":false,"suffix":""},{"dropping-particle":"","family":"Виноградова","given":"Ю.Н.","non-dropping-particle":"","parse-names":false,"suffix":""},{"dropping-particle":"","family":"Ильин","given":"Н.В.","non-dropping-particle":"","parse-names":false,"suffix":""},{"dropping-particle":"","family":"Трофимова","given":"О.П.","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Савченко.","id":"ITEM-1","issued":{"date-parts":[["2018"]]},"page":"28-43","title":"Лимфома Ходжкина","type":"chapter"},"uris":["http://www.mendeley.com/documents/?uuid=0af2b11d-a9cf-4da8-a503-99a860249436","http://www.mendeley.com/documents/?uuid=708bf927-447f-43d0-8bf7-28178aa7e29e"]}],"mendeley":{"formattedCitation":"[4]","plainTextFormattedCitation":"[4]","previouslyFormattedCitation":"[4]"},"properties":{"noteIndex":0},"schema":"https://github.com/citation-style-language/schema/raw/master/csl-citation.json"}</w:instrText>
      </w:r>
      <w:r w:rsidR="00C346EB" w:rsidRPr="002F4348">
        <w:fldChar w:fldCharType="separate"/>
      </w:r>
      <w:r w:rsidR="00C346EB" w:rsidRPr="002F4348">
        <w:rPr>
          <w:noProof/>
        </w:rPr>
        <w:t>[4]</w:t>
      </w:r>
      <w:r w:rsidR="00C346EB" w:rsidRPr="002F4348">
        <w:fldChar w:fldCharType="end"/>
      </w:r>
      <w:r w:rsidRPr="002F4348">
        <w:t>.</w:t>
      </w:r>
    </w:p>
    <w:p w14:paraId="2E688E0F" w14:textId="77777777" w:rsidR="00B0429E" w:rsidRPr="002F4348" w:rsidRDefault="00B0429E" w:rsidP="00C346EB">
      <w:pPr>
        <w:ind w:left="709" w:firstLine="0"/>
        <w:contextualSpacing/>
        <w:divId w:val="266810958"/>
        <w:rPr>
          <w:b/>
        </w:rPr>
      </w:pPr>
      <w:r w:rsidRPr="002F4348">
        <w:rPr>
          <w:b/>
        </w:rPr>
        <w:lastRenderedPageBreak/>
        <w:t>Уровень убедительности рекомендаций С (уровень достоверности доказательств 5).</w:t>
      </w:r>
    </w:p>
    <w:p w14:paraId="7C1EA8B1" w14:textId="77777777" w:rsidR="00B0429E" w:rsidRPr="002F4348" w:rsidRDefault="00B0429E" w:rsidP="00B153FC">
      <w:pPr>
        <w:pStyle w:val="afe"/>
        <w:numPr>
          <w:ilvl w:val="0"/>
          <w:numId w:val="8"/>
        </w:numPr>
        <w:spacing w:before="120" w:after="120"/>
        <w:ind w:left="709" w:hanging="709"/>
        <w:divId w:val="266810958"/>
      </w:pPr>
      <w:r w:rsidRPr="002F4348">
        <w:t>Всем пациентам с установленным диагнозом ЛХ, которым планируется лечение с использованием противоопухолевого антибиотика блеомицина** (в схемах ABVD и BEACOPP</w:t>
      </w:r>
      <w:r w:rsidR="00C346EB" w:rsidRPr="002F4348">
        <w:t xml:space="preserve"> – см. приложение </w:t>
      </w:r>
      <w:r w:rsidR="005D0A68" w:rsidRPr="002F4348">
        <w:t>А3.1</w:t>
      </w:r>
      <w:r w:rsidRPr="002F4348">
        <w:t xml:space="preserve">), а также пациентам со сниженной функцией легких, получающим это лечение, </w:t>
      </w:r>
      <w:r w:rsidRPr="002F4348">
        <w:rPr>
          <w:b/>
        </w:rPr>
        <w:t>рекомендуется</w:t>
      </w:r>
      <w:r w:rsidRPr="002F4348">
        <w:t xml:space="preserve"> выполнить исследование неспровоцированных дыхательных объемов и потоков (спирография) для контроля пульмональной токсичности</w:t>
      </w:r>
      <w:r w:rsidR="00C346EB" w:rsidRPr="002F4348">
        <w:t xml:space="preserve"> </w:t>
      </w:r>
      <w:r w:rsidR="00C346EB" w:rsidRPr="002F4348">
        <w:fldChar w:fldCharType="begin" w:fldLock="1"/>
      </w:r>
      <w:r w:rsidR="00A850F7" w:rsidRPr="002F4348">
        <w:instrText>ADDIN CSL_CITATION {"citationItems":[{"id":"ITEM-1","itemData":{"author":[{"dropping-particle":"","family":"Демина","given":"Е.А.","non-dropping-particle":"","parse-names":false,"suffix":""},{"dropping-particle":"","family":"Капланов","given":"К.Д.","non-dropping-particle":"","parse-names":false,"suffix":""},{"dropping-particle":"","family":"Мухортова","given":"О.В.","non-dropping-particle":"","parse-names":false,"suffix":""},{"dropping-particle":"","family":"Тумян","given":"Г.С.","non-dropping-particle":"","parse-names":false,"suffix":""},{"dropping-particle":"","family":"Михайлова","given":"Н.Б.","non-dropping-particle":"","parse-names":false,"suffix":""},{"dropping-particle":"","family":"Моисеева","given":"Т.Н.","non-dropping-particle":"","parse-names":false,"suffix":""},{"dropping-particle":"","family":"Виноградова","given":"Ю.Н.","non-dropping-particle":"","parse-names":false,"suffix":""},{"dropping-particle":"","family":"Ильин","given":"Н.В.","non-dropping-particle":"","parse-names":false,"suffix":""},{"dropping-particle":"","family":"Трофимова","given":"О.П.","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Савченко.","id":"ITEM-1","issued":{"date-parts":[["2018"]]},"page":"28-43","title":"Лимфома Ходжкина","type":"chapter"},"uris":["http://www.mendeley.com/documents/?uuid=0af2b11d-a9cf-4da8-a503-99a860249436","http://www.mendeley.com/documents/?uuid=708bf927-447f-43d0-8bf7-28178aa7e29e"]}],"mendeley":{"formattedCitation":"[4]","plainTextFormattedCitation":"[4]","previouslyFormattedCitation":"[4]"},"properties":{"noteIndex":0},"schema":"https://github.com/citation-style-language/schema/raw/master/csl-citation.json"}</w:instrText>
      </w:r>
      <w:r w:rsidR="00C346EB" w:rsidRPr="002F4348">
        <w:fldChar w:fldCharType="separate"/>
      </w:r>
      <w:r w:rsidR="00C346EB" w:rsidRPr="002F4348">
        <w:rPr>
          <w:noProof/>
        </w:rPr>
        <w:t>[4]</w:t>
      </w:r>
      <w:r w:rsidR="00C346EB" w:rsidRPr="002F4348">
        <w:fldChar w:fldCharType="end"/>
      </w:r>
      <w:r w:rsidR="00C346EB" w:rsidRPr="002F4348">
        <w:t>.</w:t>
      </w:r>
    </w:p>
    <w:p w14:paraId="3F3A86F0" w14:textId="77777777" w:rsidR="00B0429E" w:rsidRPr="002F4348" w:rsidRDefault="00B0429E" w:rsidP="00C346EB">
      <w:pPr>
        <w:ind w:left="709" w:firstLine="0"/>
        <w:contextualSpacing/>
        <w:divId w:val="266810958"/>
        <w:rPr>
          <w:b/>
        </w:rPr>
      </w:pPr>
      <w:r w:rsidRPr="002F4348">
        <w:rPr>
          <w:b/>
        </w:rPr>
        <w:t>Уровень убедительности рекомендаций С (уровень достоверности доказательств 5).</w:t>
      </w:r>
    </w:p>
    <w:p w14:paraId="435769BF" w14:textId="77777777" w:rsidR="00D67C73" w:rsidRPr="002F4348" w:rsidRDefault="00D67C73" w:rsidP="00B153FC">
      <w:pPr>
        <w:pStyle w:val="afd"/>
        <w:numPr>
          <w:ilvl w:val="0"/>
          <w:numId w:val="8"/>
        </w:numPr>
        <w:spacing w:before="100" w:after="100" w:line="360" w:lineRule="auto"/>
        <w:ind w:left="709" w:hanging="644"/>
        <w:divId w:val="266810958"/>
        <w:rPr>
          <w:lang w:eastAsia="en-US"/>
        </w:rPr>
      </w:pPr>
      <w:r w:rsidRPr="002F4348">
        <w:rPr>
          <w:rFonts w:eastAsiaTheme="minorHAnsi" w:cstheme="minorBidi"/>
          <w:szCs w:val="22"/>
          <w:lang w:eastAsia="en-US"/>
        </w:rPr>
        <w:t xml:space="preserve">Всем пациентам с верифицированным  диагнозом ЛХ  с учетом необходимости назначения глюкокортикоидов </w:t>
      </w:r>
      <w:r w:rsidRPr="002F4348">
        <w:rPr>
          <w:rFonts w:eastAsiaTheme="minorHAnsi" w:cstheme="minorBidi"/>
          <w:b/>
          <w:bCs/>
          <w:szCs w:val="22"/>
          <w:lang w:eastAsia="en-US"/>
        </w:rPr>
        <w:t>рекомендуется</w:t>
      </w:r>
      <w:r w:rsidRPr="002F4348">
        <w:rPr>
          <w:rFonts w:eastAsiaTheme="minorHAnsi" w:cstheme="minorBidi"/>
          <w:szCs w:val="22"/>
          <w:lang w:eastAsia="en-US"/>
        </w:rPr>
        <w:t xml:space="preserve"> перед началом терапии для своевременного выявления сопутствующей патологии  и для определения необходимости их профилактики или лечения выполнить</w:t>
      </w:r>
      <w:r w:rsidRPr="002F4348">
        <w:rPr>
          <w:lang w:eastAsia="en-US"/>
        </w:rPr>
        <w:t xml:space="preserve"> следующие исследования </w:t>
      </w:r>
      <w:r w:rsidRPr="002F4348">
        <w:rPr>
          <w:lang w:eastAsia="en-US"/>
        </w:rPr>
        <w:fldChar w:fldCharType="begin" w:fldLock="1"/>
      </w:r>
      <w:r w:rsidR="002C6C01" w:rsidRPr="002F4348">
        <w:rPr>
          <w:lang w:eastAsia="en-US"/>
        </w:rPr>
        <w:instrText>ADDIN CSL_CITATION {"citationItems":[{"id":"ITEM-1","itemData":{"DOI":"10.2302/kjm.2014-0017-RE","ISSN":"18801293","abstract":"The risk of venous thromboembolism (VTE) in patients with cancer is several-fold higher than that in individuals without cancer. Recent studies demonstrated a high incidence of VTE in patients with hematologic malignancies as well as in patients with solid cancers. The reported incidence of VTE in lymphoma is variable, ranging from less than 5% to 59.5%. The incidence of VTE is higher in non-Hodgkin lymphoma than it is in Hodgkin lymphoma. The incidence of VTE also varies according to the disease grade, the disease stage, the performance status of the patient, and the site of disease. Most VTE cases occur at the diagnosis of cancer or early in the course of cancer treatment. An elevated incidence of VTE is also reported in cases of myeloma. VTE occurs in approximately 5% of myeloma patients treated with conventional chemotherapy, and treatment of myeloma patients with immunomodulatory drugs (IMid)-based therapy increases the risk of VTE. Prophylactic aspirin or anticoagulant is used in myeloma patients treated with IMid-based therapy. Several reports have indicated that the incidence of VTE is relatively low in Asian patients treated with IMid-based therapy, and concomitant use of bortezomib reduces the risk of VTE. The incidence of arterial thrombosis is also increased in patients with myeloma and monoclonal gammopathy of undetermined significance. Further studies are needed to develop a predictive model for identifying patients with lymphoma and myeloma who are at high risk for developing thrombosis.","author":[{"dropping-particle":"","family":"Yokoyama","given":"Kenji","non-dropping-particle":"","parse-names":false,"suffix":""}],"container-title":"Keio Journal of Medicine","id":"ITEM-1","issue":"3","issued":{"date-parts":[["2015","9","25"]]},"page":"37-43","publisher":"Keio University School of Medicine","title":"Thrombosis in lymphoma patients and in myeloma patients","type":"article","volume":"64"},"uris":["http://www.mendeley.com/documents/?uuid=a7ec9ddf-b28d-3ae8-a5c7-7b3ab0aa00d2","http://www.mendeley.com/documents/?uuid=5107e42e-be7d-4291-bc15-f434cd00bec6"]},{"id":"ITEM-2","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Савченко.","id":"ITEM-2","issued":{"date-parts":[["2018"]]},"page":"9-27","title":"Общие принципы диагностики лимфом","type":"chapter"},"uris":["http://www.mendeley.com/documents/?uuid=10dcee86-2303-45c9-9089-cdb3d4533aba","http://www.mendeley.com/documents/?uuid=d7eb85a2-da5e-400d-b112-7f0a5734958d"]}],"mendeley":{"formattedCitation":"[1,9]","plainTextFormattedCitation":"[1,9]","previouslyFormattedCitation":"[1,9]"},"properties":{"noteIndex":0},"schema":"https://github.com/citation-style-language/schema/raw/master/csl-citation.json"}</w:instrText>
      </w:r>
      <w:r w:rsidRPr="002F4348">
        <w:rPr>
          <w:lang w:eastAsia="en-US"/>
        </w:rPr>
        <w:fldChar w:fldCharType="separate"/>
      </w:r>
      <w:r w:rsidR="000C1AAB" w:rsidRPr="002F4348">
        <w:rPr>
          <w:noProof/>
          <w:lang w:eastAsia="en-US"/>
        </w:rPr>
        <w:t>[1,9]</w:t>
      </w:r>
      <w:r w:rsidRPr="002F4348">
        <w:rPr>
          <w:lang w:eastAsia="en-US"/>
        </w:rPr>
        <w:fldChar w:fldCharType="end"/>
      </w:r>
      <w:r w:rsidRPr="002F4348">
        <w:rPr>
          <w:lang w:eastAsia="en-US"/>
        </w:rPr>
        <w:t xml:space="preserve">: </w:t>
      </w:r>
    </w:p>
    <w:p w14:paraId="0B80A5F2" w14:textId="77777777" w:rsidR="00D67C73" w:rsidRPr="002F4348" w:rsidRDefault="00D67C73" w:rsidP="00B153FC">
      <w:pPr>
        <w:pStyle w:val="afd"/>
        <w:numPr>
          <w:ilvl w:val="1"/>
          <w:numId w:val="8"/>
        </w:numPr>
        <w:spacing w:before="100" w:after="100" w:line="360" w:lineRule="auto"/>
        <w:divId w:val="266810958"/>
        <w:rPr>
          <w:lang w:eastAsia="en-US"/>
        </w:rPr>
      </w:pPr>
      <w:r w:rsidRPr="002F4348">
        <w:rPr>
          <w:lang w:eastAsia="en-US"/>
        </w:rPr>
        <w:t>эзофагогастродоуденоскопию;</w:t>
      </w:r>
    </w:p>
    <w:p w14:paraId="616AFB6B" w14:textId="77777777" w:rsidR="00D67C73" w:rsidRPr="002F4348" w:rsidRDefault="00D67C73" w:rsidP="00B153FC">
      <w:pPr>
        <w:pStyle w:val="afd"/>
        <w:numPr>
          <w:ilvl w:val="1"/>
          <w:numId w:val="8"/>
        </w:numPr>
        <w:spacing w:before="100" w:after="100" w:line="360" w:lineRule="auto"/>
        <w:divId w:val="266810958"/>
        <w:rPr>
          <w:lang w:eastAsia="en-US"/>
        </w:rPr>
      </w:pPr>
      <w:r w:rsidRPr="002F4348">
        <w:t>ультразвуковую допплерографию сосудов (артерий и вен) нижних конечностей.</w:t>
      </w:r>
    </w:p>
    <w:p w14:paraId="603C3526" w14:textId="77777777" w:rsidR="00B977D9" w:rsidRPr="002F4348" w:rsidRDefault="00B977D9" w:rsidP="000709E2">
      <w:pPr>
        <w:ind w:left="709" w:firstLine="0"/>
        <w:contextualSpacing/>
        <w:divId w:val="266810958"/>
        <w:rPr>
          <w:b/>
        </w:rPr>
      </w:pPr>
      <w:r w:rsidRPr="002F4348">
        <w:rPr>
          <w:b/>
        </w:rPr>
        <w:t>Уровень убедительности рекомендаций С (уровень достоверности доказательств 5).</w:t>
      </w:r>
    </w:p>
    <w:p w14:paraId="00CFE79F" w14:textId="77777777" w:rsidR="00B46390" w:rsidRPr="002F4348" w:rsidRDefault="00B46390" w:rsidP="00B104EF">
      <w:pPr>
        <w:pStyle w:val="2"/>
        <w:divId w:val="266810958"/>
      </w:pPr>
      <w:bookmarkStart w:id="30" w:name="_Toc65586388"/>
      <w:r w:rsidRPr="002F4348">
        <w:t>2.5 Ин</w:t>
      </w:r>
      <w:r w:rsidR="00A70F44" w:rsidRPr="002F4348">
        <w:t>ые диагностические исследования</w:t>
      </w:r>
      <w:bookmarkEnd w:id="30"/>
    </w:p>
    <w:p w14:paraId="42F5790E" w14:textId="77777777" w:rsidR="00C346EB" w:rsidRPr="002F4348" w:rsidRDefault="00C346EB" w:rsidP="00B153FC">
      <w:pPr>
        <w:pStyle w:val="afe"/>
        <w:numPr>
          <w:ilvl w:val="0"/>
          <w:numId w:val="7"/>
        </w:numPr>
        <w:spacing w:before="120" w:after="120"/>
        <w:ind w:left="709" w:hanging="709"/>
      </w:pPr>
      <w:bookmarkStart w:id="31" w:name="__RefHeading___doc_3"/>
      <w:r w:rsidRPr="002F4348">
        <w:t xml:space="preserve">Всем пациентам с подозрением на ЛХ, а также всем пациентам с подозрением на рецидив ЛХ (при наличии технической возможности) </w:t>
      </w:r>
      <w:r w:rsidRPr="002F4348">
        <w:rPr>
          <w:b/>
        </w:rPr>
        <w:t>рекомендуется</w:t>
      </w:r>
      <w:r w:rsidRPr="002F4348">
        <w:t xml:space="preserve"> выполнить биопсию </w:t>
      </w:r>
      <w:r w:rsidR="00861F2F" w:rsidRPr="002F4348">
        <w:t xml:space="preserve">(взятие биопсийного материала) </w:t>
      </w:r>
      <w:r w:rsidRPr="002F4348">
        <w:t>лимфатического узла либо другого очага поражения</w:t>
      </w:r>
      <w:r w:rsidR="00170E50" w:rsidRPr="002F4348">
        <w:t>,</w:t>
      </w:r>
      <w:r w:rsidR="00861F2F" w:rsidRPr="002F4348">
        <w:t xml:space="preserve"> </w:t>
      </w:r>
      <w:r w:rsidR="00170E50" w:rsidRPr="002F4348">
        <w:rPr>
          <w:rFonts w:eastAsia="Times New Roman"/>
          <w:szCs w:val="24"/>
          <w:lang w:eastAsia="ru-RU"/>
        </w:rPr>
        <w:t>патолого-анатомическое исследование биопсийного (операционного) материала с применением иммуногистохимических методов</w:t>
      </w:r>
      <w:r w:rsidRPr="002F4348">
        <w:t xml:space="preserve"> для верификации диагноза </w:t>
      </w:r>
      <w:r w:rsidRPr="002F4348">
        <w:fldChar w:fldCharType="begin" w:fldLock="1"/>
      </w:r>
      <w:r w:rsidR="00A850F7" w:rsidRPr="002F4348">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10dcee86-2303-45c9-9089-cdb3d4533aba","http://www.mendeley.com/documents/?uuid=d7eb85a2-da5e-400d-b112-7f0a5734958d"]},{"id":"ITEM-2","itemData":{"author":[{"dropping-particle":"","family":"Демина","given":"Е.А.","non-dropping-particle":"","parse-names":false,"suffix":""},{"dropping-particle":"","family":"Капланов","given":"К.Д.","non-dropping-particle":"","parse-names":false,"suffix":""},{"dropping-particle":"","family":"Мухортова","given":"О.В.","non-dropping-particle":"","parse-names":false,"suffix":""},{"dropping-particle":"","family":"Тумян","given":"Г.С.","non-dropping-particle":"","parse-names":false,"suffix":""},{"dropping-particle":"","family":"Михайлова","given":"Н.Б.","non-dropping-particle":"","parse-names":false,"suffix":""},{"dropping-particle":"","family":"Моисеева","given":"Т.Н.","non-dropping-particle":"","parse-names":false,"suffix":""},{"dropping-particle":"","family":"Виноградова","given":"Ю.Н.","non-dropping-particle":"","parse-names":false,"suffix":""},{"dropping-particle":"","family":"Ильин","given":"Н.В.","non-dropping-particle":"","parse-names":false,"suffix":""},{"dropping-particle":"","family":"Трофимова","given":"О.П.","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Савченко.","id":"ITEM-2","issued":{"date-parts":[["2018"]]},"page":"28-43","title":"Лимфома Ходжкина","type":"chapter"},"uris":["http://www.mendeley.com/documents/?uuid=0af2b11d-a9cf-4da8-a503-99a860249436","http://www.mendeley.com/documents/?uuid=708bf927-447f-43d0-8bf7-28178aa7e29e","http://www.mendeley.com/documents/?uuid=97378c47-ab29-4211-b69e-c2d5c577347a"]}],"mendeley":{"formattedCitation":"[1,4]","plainTextFormattedCitation":"[1,4]","previouslyFormattedCitation":"[1,4]"},"properties":{"noteIndex":0},"schema":"https://github.com/citation-style-language/schema/raw/master/csl-citation.json"}</w:instrText>
      </w:r>
      <w:r w:rsidRPr="002F4348">
        <w:fldChar w:fldCharType="separate"/>
      </w:r>
      <w:r w:rsidR="000C1AAB" w:rsidRPr="002F4348">
        <w:rPr>
          <w:noProof/>
        </w:rPr>
        <w:t>[1,4]</w:t>
      </w:r>
      <w:r w:rsidRPr="002F4348">
        <w:fldChar w:fldCharType="end"/>
      </w:r>
      <w:r w:rsidRPr="002F4348">
        <w:t>.</w:t>
      </w:r>
    </w:p>
    <w:p w14:paraId="5E31F410" w14:textId="77777777" w:rsidR="00C346EB" w:rsidRPr="002F4348" w:rsidRDefault="00C346EB" w:rsidP="00C346EB">
      <w:pPr>
        <w:ind w:left="709" w:firstLine="0"/>
        <w:contextualSpacing/>
        <w:rPr>
          <w:b/>
        </w:rPr>
      </w:pPr>
      <w:r w:rsidRPr="002F4348">
        <w:rPr>
          <w:b/>
        </w:rPr>
        <w:t>Уровень убедительности рекомендаций С (уровень достоверности доказательств 5).</w:t>
      </w:r>
    </w:p>
    <w:p w14:paraId="3D6CF749" w14:textId="77777777" w:rsidR="00B16826" w:rsidRPr="002F4348" w:rsidRDefault="00C346EB" w:rsidP="00861F2F">
      <w:pPr>
        <w:ind w:left="709" w:firstLine="0"/>
        <w:contextualSpacing/>
        <w:rPr>
          <w:i/>
        </w:rPr>
      </w:pPr>
      <w:r w:rsidRPr="002F4348">
        <w:rPr>
          <w:b/>
        </w:rPr>
        <w:t>Комментарии:</w:t>
      </w:r>
      <w:r w:rsidRPr="002F4348">
        <w:rPr>
          <w:i/>
        </w:rPr>
        <w:t xml:space="preserve"> </w:t>
      </w:r>
      <w:r w:rsidR="00861F2F" w:rsidRPr="002F4348">
        <w:rPr>
          <w:i/>
        </w:rPr>
        <w:t xml:space="preserve">выбор </w:t>
      </w:r>
      <w:r w:rsidR="00B16826" w:rsidRPr="002F4348">
        <w:rPr>
          <w:i/>
        </w:rPr>
        <w:t>ткани и объем биопсии должны быть адекватны поставленной диагностической задаче.</w:t>
      </w:r>
    </w:p>
    <w:p w14:paraId="18576D76" w14:textId="77777777" w:rsidR="00B16826" w:rsidRPr="002F4348" w:rsidRDefault="00B16826" w:rsidP="00B16826">
      <w:pPr>
        <w:ind w:left="709" w:firstLine="0"/>
        <w:contextualSpacing/>
        <w:rPr>
          <w:i/>
        </w:rPr>
      </w:pPr>
      <w:r w:rsidRPr="002F4348">
        <w:rPr>
          <w:i/>
        </w:rPr>
        <w:lastRenderedPageBreak/>
        <w:t>•</w:t>
      </w:r>
      <w:r w:rsidRPr="002F4348">
        <w:rPr>
          <w:i/>
        </w:rPr>
        <w:tab/>
        <w:t xml:space="preserve">Тонкоигольные биопсии лимфоидной ткани могут быть диагностически значимыми, но не всегда </w:t>
      </w:r>
    </w:p>
    <w:p w14:paraId="6D0EF559" w14:textId="77777777" w:rsidR="00B16826" w:rsidRPr="002F4348" w:rsidRDefault="00B16826" w:rsidP="00B16826">
      <w:pPr>
        <w:ind w:left="709" w:firstLine="0"/>
        <w:contextualSpacing/>
        <w:rPr>
          <w:i/>
        </w:rPr>
      </w:pPr>
      <w:r w:rsidRPr="002F4348">
        <w:rPr>
          <w:i/>
        </w:rPr>
        <w:t>•</w:t>
      </w:r>
      <w:r w:rsidRPr="002F4348">
        <w:rPr>
          <w:i/>
        </w:rPr>
        <w:tab/>
        <w:t>Краевые биопсии лимфоидной ткани мало информативны.</w:t>
      </w:r>
    </w:p>
    <w:p w14:paraId="71E73AFC" w14:textId="77777777" w:rsidR="00B16826" w:rsidRPr="002F4348" w:rsidRDefault="00B16826" w:rsidP="00B16826">
      <w:pPr>
        <w:ind w:left="709" w:firstLine="0"/>
        <w:contextualSpacing/>
        <w:rPr>
          <w:i/>
        </w:rPr>
      </w:pPr>
      <w:r w:rsidRPr="002F4348">
        <w:rPr>
          <w:i/>
        </w:rPr>
        <w:t>•</w:t>
      </w:r>
      <w:r w:rsidRPr="002F4348">
        <w:rPr>
          <w:i/>
        </w:rPr>
        <w:tab/>
        <w:t>Фрагментация материала крайне затрудняет его оценку.</w:t>
      </w:r>
    </w:p>
    <w:p w14:paraId="4ECEC5DD" w14:textId="77777777" w:rsidR="00B16826" w:rsidRPr="002F4348" w:rsidRDefault="00B16826" w:rsidP="00B16826">
      <w:pPr>
        <w:ind w:left="709" w:firstLine="0"/>
        <w:contextualSpacing/>
        <w:rPr>
          <w:i/>
        </w:rPr>
      </w:pPr>
      <w:r w:rsidRPr="002F4348">
        <w:rPr>
          <w:i/>
        </w:rPr>
        <w:t>•</w:t>
      </w:r>
      <w:r w:rsidRPr="002F4348">
        <w:rPr>
          <w:i/>
        </w:rPr>
        <w:tab/>
        <w:t>Желательно согласование объема биопсии с патологом.</w:t>
      </w:r>
    </w:p>
    <w:p w14:paraId="6D8993E9" w14:textId="77777777" w:rsidR="00B16826" w:rsidRPr="002F4348" w:rsidRDefault="00B16826" w:rsidP="00B16826">
      <w:pPr>
        <w:ind w:left="709" w:firstLine="0"/>
        <w:contextualSpacing/>
        <w:rPr>
          <w:i/>
        </w:rPr>
      </w:pPr>
      <w:r w:rsidRPr="002F4348">
        <w:rPr>
          <w:i/>
        </w:rPr>
        <w:t>•</w:t>
      </w:r>
      <w:r w:rsidRPr="002F4348">
        <w:rPr>
          <w:i/>
        </w:rPr>
        <w:tab/>
        <w:t>Крайне желательно присутствие патолога при биопсии.</w:t>
      </w:r>
    </w:p>
    <w:p w14:paraId="51FC4FAC" w14:textId="77777777" w:rsidR="00B16826" w:rsidRPr="002F4348" w:rsidRDefault="00B16826" w:rsidP="00B16826">
      <w:pPr>
        <w:ind w:left="709" w:firstLine="0"/>
        <w:contextualSpacing/>
        <w:rPr>
          <w:i/>
        </w:rPr>
      </w:pPr>
      <w:r w:rsidRPr="002F4348">
        <w:rPr>
          <w:i/>
        </w:rPr>
        <w:t>•</w:t>
      </w:r>
      <w:r w:rsidRPr="002F4348">
        <w:rPr>
          <w:i/>
        </w:rPr>
        <w:tab/>
        <w:t xml:space="preserve">Материал для </w:t>
      </w:r>
      <w:r w:rsidR="001B0274" w:rsidRPr="002F4348">
        <w:rPr>
          <w:i/>
        </w:rPr>
        <w:t xml:space="preserve">патолого-анатомического </w:t>
      </w:r>
      <w:r w:rsidRPr="002F4348">
        <w:rPr>
          <w:i/>
        </w:rPr>
        <w:t xml:space="preserve">исследования должен быть помещён в фиксирующую среду как можно быстрее. Нельзя допускать высыхания материала. </w:t>
      </w:r>
    </w:p>
    <w:p w14:paraId="57896767" w14:textId="77777777" w:rsidR="00B16826" w:rsidRPr="002F4348" w:rsidRDefault="00B16826" w:rsidP="00B16826">
      <w:pPr>
        <w:ind w:left="709" w:firstLine="0"/>
        <w:contextualSpacing/>
        <w:rPr>
          <w:i/>
        </w:rPr>
      </w:pPr>
      <w:r w:rsidRPr="002F4348">
        <w:rPr>
          <w:i/>
        </w:rPr>
        <w:t>•</w:t>
      </w:r>
      <w:r w:rsidRPr="002F4348">
        <w:rPr>
          <w:i/>
        </w:rPr>
        <w:tab/>
        <w:t>Соотношение объёма фиксирующей среды к объёму фиксируемого объекта не менее чем 10:1</w:t>
      </w:r>
    </w:p>
    <w:p w14:paraId="4D50C62A" w14:textId="77777777" w:rsidR="00B16826" w:rsidRPr="002F4348" w:rsidRDefault="00B16826" w:rsidP="00B16826">
      <w:pPr>
        <w:ind w:left="709" w:firstLine="0"/>
        <w:contextualSpacing/>
        <w:rPr>
          <w:i/>
        </w:rPr>
      </w:pPr>
      <w:r w:rsidRPr="002F4348">
        <w:rPr>
          <w:i/>
        </w:rPr>
        <w:t>•</w:t>
      </w:r>
      <w:r w:rsidRPr="002F4348">
        <w:rPr>
          <w:i/>
        </w:rPr>
        <w:tab/>
        <w:t>Время фиксации не должно быть менее 12 и более 48 часов.</w:t>
      </w:r>
    </w:p>
    <w:p w14:paraId="2ECF1ABE" w14:textId="77777777" w:rsidR="00B16826" w:rsidRPr="002F4348" w:rsidRDefault="00B16826" w:rsidP="00B16826">
      <w:pPr>
        <w:ind w:left="709" w:firstLine="0"/>
        <w:contextualSpacing/>
        <w:rPr>
          <w:i/>
        </w:rPr>
      </w:pPr>
      <w:r w:rsidRPr="002F4348">
        <w:rPr>
          <w:i/>
        </w:rPr>
        <w:t>Неадекватная (слабая или чрезмерная) фиксация приводит к изменению морфологических свойств ткани и артефициальным результатам ИГХ.</w:t>
      </w:r>
    </w:p>
    <w:p w14:paraId="5A41AA90" w14:textId="77777777" w:rsidR="00B16826" w:rsidRPr="002F4348" w:rsidRDefault="00B16826" w:rsidP="00B16826">
      <w:pPr>
        <w:ind w:left="709" w:firstLine="0"/>
        <w:contextualSpacing/>
        <w:rPr>
          <w:i/>
        </w:rPr>
      </w:pPr>
      <w:r w:rsidRPr="002F4348">
        <w:rPr>
          <w:i/>
        </w:rPr>
        <w:t xml:space="preserve">Гистологический материал должен сопровождаться направлением, содержащим информацию о пациенте, длительности и характере заболевания, локализации очага поражения, описании биопсии </w:t>
      </w:r>
      <w:r w:rsidRPr="002F4348">
        <w:rPr>
          <w:i/>
        </w:rPr>
        <w:fldChar w:fldCharType="begin" w:fldLock="1"/>
      </w:r>
      <w:r w:rsidR="00A850F7" w:rsidRPr="002F4348">
        <w:rPr>
          <w:i/>
        </w:rPr>
        <w:instrText>ADDIN CSL_CITATION {"citationItems":[{"id":"ITEM-1","itemData":{"author":[{"dropping-particle":"","family":"Криволапов","given":"Ю.А.","non-dropping-particle":"","parse-names":false,"suffix":""},{"dropping-particle":"","family":"Леенман","given":"Е.Е.","non-dropping-particle":"","parse-names":false,"suffix":""}],"id":"ITEM-1","issued":{"date-parts":[["2006"]]},"publisher":"КОСТА, Санкт-Петербург","title":"Морфологическая диагностика лимфом","type":"book"},"uris":["http://www.mendeley.com/documents/?uuid=e5e5daac-5f8a-4f1d-9717-13c0235ef6a9","http://www.mendeley.com/documents/?uuid=ed6df82f-af0f-4266-b282-fdfde813e132"]}],"mendeley":{"formattedCitation":"[10]","plainTextFormattedCitation":"[10]","previouslyFormattedCitation":"[10]"},"properties":{"noteIndex":0},"schema":"https://github.com/citation-style-language/schema/raw/master/csl-citation.json"}</w:instrText>
      </w:r>
      <w:r w:rsidRPr="002F4348">
        <w:rPr>
          <w:i/>
        </w:rPr>
        <w:fldChar w:fldCharType="separate"/>
      </w:r>
      <w:r w:rsidR="00BA1BF7" w:rsidRPr="002F4348">
        <w:rPr>
          <w:noProof/>
        </w:rPr>
        <w:t>[10]</w:t>
      </w:r>
      <w:r w:rsidRPr="002F4348">
        <w:rPr>
          <w:i/>
        </w:rPr>
        <w:fldChar w:fldCharType="end"/>
      </w:r>
      <w:r w:rsidRPr="002F4348">
        <w:rPr>
          <w:i/>
        </w:rPr>
        <w:t>.</w:t>
      </w:r>
    </w:p>
    <w:p w14:paraId="2439315A" w14:textId="77777777" w:rsidR="002A7272" w:rsidRPr="002F4348" w:rsidRDefault="002A7272" w:rsidP="00B16826">
      <w:pPr>
        <w:ind w:left="709" w:firstLine="0"/>
        <w:contextualSpacing/>
        <w:rPr>
          <w:i/>
        </w:rPr>
      </w:pPr>
      <w:r w:rsidRPr="002F4348">
        <w:rPr>
          <w:i/>
        </w:rPr>
        <w:t>Диагностические полостные операции – торакоскопия/томия, лапароскопия/томия с биопсией внутригрудных, внутрибрюшных л/у или печени проводятся только при отсутствии увеличенных периферических лимфоузлов и невозможности верификации диагноза</w:t>
      </w:r>
      <w:r w:rsidR="00861F2F" w:rsidRPr="002F4348">
        <w:rPr>
          <w:i/>
        </w:rPr>
        <w:t>.</w:t>
      </w:r>
    </w:p>
    <w:p w14:paraId="412717C5" w14:textId="77777777" w:rsidR="00861F2F" w:rsidRPr="002F4348" w:rsidRDefault="00861F2F" w:rsidP="00AF7684">
      <w:pPr>
        <w:ind w:left="709" w:firstLine="0"/>
        <w:contextualSpacing/>
        <w:rPr>
          <w:i/>
        </w:rPr>
      </w:pPr>
      <w:r w:rsidRPr="002F4348">
        <w:rPr>
          <w:i/>
        </w:rPr>
        <w:t xml:space="preserve">Гистологические и иммуногистохимические характеристики различных вариантов ЛХ, а также обязательные требования к </w:t>
      </w:r>
      <w:r w:rsidR="00AF7684" w:rsidRPr="002F4348">
        <w:rPr>
          <w:i/>
        </w:rPr>
        <w:t>патолого-анатомическому заключению</w:t>
      </w:r>
      <w:r w:rsidRPr="002F4348">
        <w:rPr>
          <w:i/>
        </w:rPr>
        <w:t xml:space="preserve"> представлены в разделе 7.1 данных рекомендаций.</w:t>
      </w:r>
      <w:r w:rsidR="00AF7684" w:rsidRPr="002F4348">
        <w:rPr>
          <w:i/>
        </w:rPr>
        <w:t xml:space="preserve"> </w:t>
      </w:r>
      <w:r w:rsidR="0064071E" w:rsidRPr="002F4348">
        <w:rPr>
          <w:i/>
        </w:rPr>
        <w:t>Описание морфологической и иммуногистохимической картины ЛХ представлено в разделе 7.2 данных рекомендаций</w:t>
      </w:r>
    </w:p>
    <w:p w14:paraId="13C7C4C0" w14:textId="77777777" w:rsidR="00C028CF" w:rsidRPr="002F4348" w:rsidRDefault="00C028CF" w:rsidP="00B153FC">
      <w:pPr>
        <w:pStyle w:val="afe"/>
        <w:numPr>
          <w:ilvl w:val="0"/>
          <w:numId w:val="12"/>
        </w:numPr>
        <w:spacing w:before="120" w:after="120"/>
        <w:ind w:left="709" w:hanging="709"/>
      </w:pPr>
      <w:r w:rsidRPr="002F4348">
        <w:t xml:space="preserve">Пациентам 18-60 лет с верифицированной кЛХ ранней стадии с благоприятным прогнозом, ПЭТ-позитивным (4-5 баллов по шкале </w:t>
      </w:r>
      <w:r w:rsidRPr="002F4348">
        <w:rPr>
          <w:lang w:val="en-US"/>
        </w:rPr>
        <w:t>Deauville</w:t>
      </w:r>
      <w:r w:rsidRPr="002F4348">
        <w:t xml:space="preserve">) после 4 циклов </w:t>
      </w:r>
      <w:r w:rsidRPr="002F4348">
        <w:rPr>
          <w:lang w:val="en-US"/>
        </w:rPr>
        <w:t>ABVD</w:t>
      </w:r>
      <w:r w:rsidRPr="002F4348">
        <w:t xml:space="preserve">, а также с верифицированной кЛХ ранней стадии с неблагоприятным прогнозом, ПЭТ-позитивным (4-5 баллов по шкале </w:t>
      </w:r>
      <w:r w:rsidRPr="002F4348">
        <w:rPr>
          <w:lang w:val="en-US"/>
        </w:rPr>
        <w:t>Deauville</w:t>
      </w:r>
      <w:r w:rsidRPr="002F4348">
        <w:t xml:space="preserve">) после 2 циклов запланированной терапии </w:t>
      </w:r>
      <w:r w:rsidRPr="002F4348">
        <w:rPr>
          <w:b/>
        </w:rPr>
        <w:t>рекомендуется</w:t>
      </w:r>
      <w:r w:rsidRPr="002F4348">
        <w:t xml:space="preserve"> биопсия ПЭТ-позитивного лимфатического узла либо другого очага поражения </w:t>
      </w:r>
      <w:r w:rsidRPr="002F4348">
        <w:fldChar w:fldCharType="begin" w:fldLock="1"/>
      </w:r>
      <w:r w:rsidR="00A850F7" w:rsidRPr="002F4348">
        <w:instrText>ADDIN CSL_CITATION {"citationItems":[{"id":"ITEM-1","itemData":{"author":[{"dropping-particle":"","family":"Демина","given":"Е.А.","non-dropping-particle":"","parse-names":false,"suffix":""},{"dropping-particle":"","family":"Капланов","given":"К.Д.","non-dropping-particle":"","parse-names":false,"suffix":""},{"dropping-particle":"","family":"Мухортова","given":"О.В.","non-dropping-particle":"","parse-names":false,"suffix":""},{"dropping-particle":"","family":"Тумян","given":"Г.С.","non-dropping-particle":"","parse-names":false,"suffix":""},{"dropping-particle":"","family":"Михайлова","given":"Н.Б.","non-dropping-particle":"","parse-names":false,"suffix":""},{"dropping-particle":"","family":"Моисеева","given":"Т.Н.","non-dropping-particle":"","parse-names":false,"suffix":""},{"dropping-particle":"","family":"Виноградова","given":"Ю.Н.","non-dropping-particle":"","parse-names":false,"suffix":""},{"dropping-particle":"","family":"Ильин","given":"Н.В.","non-dropping-particle":"","parse-names":false,"suffix":""},{"dropping-particle":"","family":"Трофимова","given":"О.П.","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Савченко.","id":"ITEM-1","issued":{"date-parts":[["2018"]]},"page":"28-43","title":"Лимфома Ходжкина","type":"chapter"},"uris":["http://www.mendeley.com/documents/?uuid=0af2b11d-a9cf-4da8-a503-99a860249436","http://www.mendeley.com/documents/?uuid=708bf927-447f-43d0-8bf7-28178aa7e29e"]}],"mendeley":{"formattedCitation":"[4]","plainTextFormattedCitation":"[4]","previouslyFormattedCitation":"[4]"},"properties":{"noteIndex":0},"schema":"https://github.com/citation-style-language/schema/raw/master/csl-citation.json"}</w:instrText>
      </w:r>
      <w:r w:rsidRPr="002F4348">
        <w:fldChar w:fldCharType="separate"/>
      </w:r>
      <w:r w:rsidRPr="002F4348">
        <w:rPr>
          <w:noProof/>
        </w:rPr>
        <w:t>[4]</w:t>
      </w:r>
      <w:r w:rsidRPr="002F4348">
        <w:fldChar w:fldCharType="end"/>
      </w:r>
      <w:r w:rsidRPr="002F4348">
        <w:t>.</w:t>
      </w:r>
    </w:p>
    <w:p w14:paraId="71D3A79A" w14:textId="77777777" w:rsidR="00C028CF" w:rsidRPr="002F4348" w:rsidRDefault="00C028CF" w:rsidP="00C028CF">
      <w:pPr>
        <w:ind w:left="709" w:firstLine="0"/>
        <w:contextualSpacing/>
        <w:rPr>
          <w:b/>
        </w:rPr>
      </w:pPr>
      <w:r w:rsidRPr="002F4348">
        <w:rPr>
          <w:b/>
        </w:rPr>
        <w:t>Уровень убедительности рекомендаций С (уровень достоверности доказательств 5).</w:t>
      </w:r>
    </w:p>
    <w:p w14:paraId="5FD1C571" w14:textId="77777777" w:rsidR="00B264A8" w:rsidRPr="002F4348" w:rsidRDefault="00F6558C" w:rsidP="00B153FC">
      <w:pPr>
        <w:numPr>
          <w:ilvl w:val="0"/>
          <w:numId w:val="11"/>
        </w:numPr>
        <w:rPr>
          <w:rFonts w:eastAsia="Times New Roman"/>
          <w:color w:val="000000" w:themeColor="text1"/>
          <w:szCs w:val="24"/>
          <w:lang w:eastAsia="ru-RU"/>
        </w:rPr>
      </w:pPr>
      <w:r w:rsidRPr="002F4348">
        <w:rPr>
          <w:rFonts w:eastAsia="Times New Roman"/>
          <w:color w:val="000000" w:themeColor="text1"/>
          <w:szCs w:val="24"/>
          <w:lang w:eastAsia="ru-RU"/>
        </w:rPr>
        <w:lastRenderedPageBreak/>
        <w:t xml:space="preserve">Пациентам с </w:t>
      </w:r>
      <w:r w:rsidR="00164FEE" w:rsidRPr="002F4348">
        <w:rPr>
          <w:rFonts w:eastAsia="Times New Roman"/>
          <w:color w:val="000000" w:themeColor="text1"/>
          <w:szCs w:val="24"/>
          <w:lang w:eastAsia="ru-RU"/>
        </w:rPr>
        <w:t>к</w:t>
      </w:r>
      <w:r w:rsidRPr="002F4348">
        <w:rPr>
          <w:rFonts w:eastAsia="Times New Roman"/>
          <w:color w:val="000000" w:themeColor="text1"/>
          <w:szCs w:val="24"/>
          <w:lang w:eastAsia="ru-RU"/>
        </w:rPr>
        <w:t>ЛХ, за исключением пациен</w:t>
      </w:r>
      <w:r w:rsidR="00B264A8" w:rsidRPr="002F4348">
        <w:rPr>
          <w:rFonts w:eastAsia="Times New Roman"/>
          <w:color w:val="000000" w:themeColor="text1"/>
          <w:szCs w:val="24"/>
          <w:lang w:eastAsia="ru-RU"/>
        </w:rPr>
        <w:t>т</w:t>
      </w:r>
      <w:r w:rsidRPr="002F4348">
        <w:rPr>
          <w:rFonts w:eastAsia="Times New Roman"/>
          <w:color w:val="000000" w:themeColor="text1"/>
          <w:szCs w:val="24"/>
          <w:lang w:eastAsia="ru-RU"/>
        </w:rPr>
        <w:t xml:space="preserve">ов </w:t>
      </w:r>
      <w:r w:rsidR="00B264A8" w:rsidRPr="002F4348">
        <w:rPr>
          <w:rFonts w:eastAsia="Times New Roman"/>
          <w:color w:val="000000" w:themeColor="text1"/>
          <w:szCs w:val="24"/>
          <w:lang w:eastAsia="ru-RU"/>
        </w:rPr>
        <w:t>с</w:t>
      </w:r>
      <w:r w:rsidR="000E5A78" w:rsidRPr="002F4348">
        <w:rPr>
          <w:rFonts w:eastAsia="Times New Roman"/>
          <w:color w:val="000000" w:themeColor="text1"/>
          <w:szCs w:val="24"/>
          <w:lang w:eastAsia="ru-RU"/>
        </w:rPr>
        <w:t xml:space="preserve"> кЛХ</w:t>
      </w:r>
      <w:r w:rsidR="00B264A8" w:rsidRPr="002F4348">
        <w:rPr>
          <w:rFonts w:eastAsia="Times New Roman"/>
          <w:color w:val="000000" w:themeColor="text1"/>
          <w:szCs w:val="24"/>
          <w:lang w:eastAsia="ru-RU"/>
        </w:rPr>
        <w:t xml:space="preserve"> </w:t>
      </w:r>
      <w:r w:rsidR="00B264A8" w:rsidRPr="002F4348">
        <w:rPr>
          <w:rFonts w:eastAsia="Times New Roman"/>
          <w:color w:val="000000" w:themeColor="text1"/>
          <w:szCs w:val="24"/>
          <w:lang w:val="en-US" w:eastAsia="ru-RU"/>
        </w:rPr>
        <w:t>IA</w:t>
      </w:r>
      <w:r w:rsidR="00B264A8" w:rsidRPr="002F4348">
        <w:rPr>
          <w:rFonts w:eastAsia="Times New Roman"/>
          <w:color w:val="000000" w:themeColor="text1"/>
          <w:szCs w:val="24"/>
          <w:lang w:eastAsia="ru-RU"/>
        </w:rPr>
        <w:t xml:space="preserve"> стади</w:t>
      </w:r>
      <w:r w:rsidR="000E5A78" w:rsidRPr="002F4348">
        <w:rPr>
          <w:rFonts w:eastAsia="Times New Roman"/>
          <w:color w:val="000000" w:themeColor="text1"/>
          <w:szCs w:val="24"/>
          <w:lang w:eastAsia="ru-RU"/>
        </w:rPr>
        <w:t>и</w:t>
      </w:r>
      <w:r w:rsidR="00B264A8" w:rsidRPr="002F4348">
        <w:rPr>
          <w:rFonts w:eastAsia="Times New Roman"/>
          <w:color w:val="000000" w:themeColor="text1"/>
          <w:szCs w:val="24"/>
          <w:lang w:eastAsia="ru-RU"/>
        </w:rPr>
        <w:t xml:space="preserve"> без признаков поражения костного мозга по данным ПЭТ/КТ, </w:t>
      </w:r>
      <w:r w:rsidR="00B264A8" w:rsidRPr="002F4348">
        <w:rPr>
          <w:rFonts w:eastAsia="Times New Roman"/>
          <w:b/>
          <w:bCs/>
          <w:color w:val="000000" w:themeColor="text1"/>
          <w:szCs w:val="24"/>
          <w:lang w:eastAsia="ru-RU"/>
        </w:rPr>
        <w:t>рекомендуется</w:t>
      </w:r>
      <w:r w:rsidR="00B264A8" w:rsidRPr="002F4348">
        <w:rPr>
          <w:rFonts w:eastAsia="Times New Roman"/>
          <w:color w:val="000000" w:themeColor="text1"/>
          <w:szCs w:val="24"/>
          <w:lang w:eastAsia="ru-RU"/>
        </w:rPr>
        <w:t xml:space="preserve"> </w:t>
      </w:r>
      <w:r w:rsidRPr="002F4348">
        <w:rPr>
          <w:rFonts w:eastAsia="Times New Roman"/>
          <w:color w:val="000000" w:themeColor="text1"/>
          <w:szCs w:val="24"/>
          <w:lang w:eastAsia="ru-RU"/>
        </w:rPr>
        <w:t xml:space="preserve">получение гистологического препарата костного мозга (трепанобиопсия), патолого-анатомическое исследование биопсийного (операционного) материала костного мозга с применением иммуногистохимических методов </w:t>
      </w:r>
      <w:r w:rsidR="00B16826" w:rsidRPr="002F4348">
        <w:rPr>
          <w:rFonts w:eastAsia="Times New Roman"/>
          <w:color w:val="000000" w:themeColor="text1"/>
          <w:szCs w:val="24"/>
          <w:lang w:eastAsia="ru-RU"/>
        </w:rPr>
        <w:t>для уточнения стадии опухолевого процесса</w:t>
      </w:r>
      <w:r w:rsidRPr="002F4348">
        <w:rPr>
          <w:rFonts w:eastAsia="Times New Roman"/>
          <w:color w:val="000000" w:themeColor="text1"/>
          <w:szCs w:val="24"/>
          <w:lang w:eastAsia="ru-RU"/>
        </w:rPr>
        <w:t xml:space="preserve"> </w:t>
      </w:r>
      <w:r w:rsidR="00B264A8" w:rsidRPr="002F4348">
        <w:rPr>
          <w:rFonts w:eastAsia="Times New Roman"/>
          <w:color w:val="000000" w:themeColor="text1"/>
          <w:szCs w:val="24"/>
          <w:lang w:eastAsia="ru-RU"/>
        </w:rPr>
        <w:fldChar w:fldCharType="begin" w:fldLock="1"/>
      </w:r>
      <w:r w:rsidR="002C6C01" w:rsidRPr="002F4348">
        <w:rPr>
          <w:rFonts w:eastAsia="Times New Roman"/>
          <w:color w:val="000000" w:themeColor="text1"/>
          <w:szCs w:val="24"/>
          <w:lang w:eastAsia="ru-RU"/>
        </w:rPr>
        <w:instrText>ADDIN CSL_CITATION {"citationItems":[{"id":"ITEM-1","itemData":{"DOI":"10.1016/j.blre.2015.06.003","ISSN":"15321681","abstract":"Bone marrow involvement in lymphoma may have prognostic and therapeutic consequences. Bone marrow biopsy (BMB) is the established method for the evaluation of the bone marrow. 18F-fluoro-2-deoxy-d-glucose positron emission tomography (FDG-PET) plays an important role in lymphoma staging, but its value in the assessment of the bone marrow and whether it can replace BMB is still a topic of debate and investigation. The purpose of this scientific communication is to provide an evidence-based overview about the opportunities and limitations of BMB and FDG-PET in the evaluation of the bone marrow in patients with lymphoma. This article first reviews the basic properties, opportunities and limitations of BMB and bone marrow FDG-PET, and then focuses on the clinical utility of BMB and bone marrow FDG-PET in three major lymphoma subtypes including Hodgkin lymphoma, diffuse large B-cell lymphoma, and follicular lymphoma.","author":[{"dropping-particle":"","family":"Adams","given":"Hugo J.A.","non-dropping-particle":"","parse-names":false,"suffix":""},{"dropping-particle":"","family":"Nievelstein","given":"Rutger A.J.","non-dropping-particle":"","parse-names":false,"suffix":""},{"dropping-particle":"","family":"Kwee","given":"Thomas C.","non-dropping-particle":"","parse-names":false,"suffix":""}],"container-title":"Blood Reviews","id":"ITEM-1","issue":"6","issued":{"date-parts":[["2015","11","1"]]},"page":"417-425","publisher":"Churchill Livingstone","title":"Opportunities and limitations of bone marrow biopsy and bone marrow FDG-PET in lymphoma","type":"article-journal","volume":"29"},"uris":["http://www.mendeley.com/documents/?uuid=5a59a3f5-2ac9-3d2f-b2e1-7e76385aa3ad","http://www.mendeley.com/documents/?uuid=5f34422d-708f-49be-b94e-a1cf107e61ed"]}],"mendeley":{"formattedCitation":"[11]","plainTextFormattedCitation":"[11]","previouslyFormattedCitation":"[11]"},"properties":{"noteIndex":0},"schema":"https://github.com/citation-style-language/schema/raw/master/csl-citation.json"}</w:instrText>
      </w:r>
      <w:r w:rsidR="00B264A8" w:rsidRPr="002F4348">
        <w:rPr>
          <w:rFonts w:eastAsia="Times New Roman"/>
          <w:color w:val="000000" w:themeColor="text1"/>
          <w:szCs w:val="24"/>
          <w:lang w:eastAsia="ru-RU"/>
        </w:rPr>
        <w:fldChar w:fldCharType="separate"/>
      </w:r>
      <w:r w:rsidR="00BA1BF7" w:rsidRPr="002F4348">
        <w:rPr>
          <w:rFonts w:eastAsia="Times New Roman"/>
          <w:noProof/>
          <w:color w:val="000000" w:themeColor="text1"/>
          <w:szCs w:val="24"/>
          <w:lang w:eastAsia="ru-RU"/>
        </w:rPr>
        <w:t>[11]</w:t>
      </w:r>
      <w:r w:rsidR="00B264A8" w:rsidRPr="002F4348">
        <w:rPr>
          <w:rFonts w:eastAsia="Times New Roman"/>
          <w:color w:val="000000" w:themeColor="text1"/>
          <w:szCs w:val="24"/>
          <w:lang w:eastAsia="ru-RU"/>
        </w:rPr>
        <w:fldChar w:fldCharType="end"/>
      </w:r>
      <w:r w:rsidR="00861F2F" w:rsidRPr="002F4348">
        <w:rPr>
          <w:rFonts w:eastAsia="Times New Roman"/>
          <w:color w:val="000000" w:themeColor="text1"/>
          <w:szCs w:val="24"/>
          <w:lang w:eastAsia="ru-RU"/>
        </w:rPr>
        <w:t>.</w:t>
      </w:r>
    </w:p>
    <w:p w14:paraId="0D905BB1" w14:textId="77777777" w:rsidR="00B264A8" w:rsidRPr="002F4348" w:rsidRDefault="00B264A8" w:rsidP="00B264A8">
      <w:pPr>
        <w:ind w:left="709" w:firstLine="0"/>
        <w:contextualSpacing/>
        <w:rPr>
          <w:b/>
          <w:color w:val="000000" w:themeColor="text1"/>
        </w:rPr>
      </w:pPr>
      <w:r w:rsidRPr="002F4348">
        <w:rPr>
          <w:b/>
          <w:color w:val="000000" w:themeColor="text1"/>
        </w:rPr>
        <w:t xml:space="preserve">Уровень убедительности рекомендаций </w:t>
      </w:r>
      <w:r w:rsidR="00B977D9" w:rsidRPr="002F4348">
        <w:rPr>
          <w:b/>
          <w:color w:val="000000" w:themeColor="text1"/>
          <w:lang w:val="en-US"/>
        </w:rPr>
        <w:t>C</w:t>
      </w:r>
      <w:r w:rsidR="00B977D9" w:rsidRPr="002F4348">
        <w:rPr>
          <w:b/>
          <w:color w:val="000000" w:themeColor="text1"/>
        </w:rPr>
        <w:t xml:space="preserve"> </w:t>
      </w:r>
      <w:r w:rsidRPr="002F4348">
        <w:rPr>
          <w:b/>
          <w:color w:val="000000" w:themeColor="text1"/>
        </w:rPr>
        <w:t xml:space="preserve">(уровень достоверности доказательств </w:t>
      </w:r>
      <w:r w:rsidR="00B977D9" w:rsidRPr="002F4348">
        <w:rPr>
          <w:b/>
          <w:color w:val="000000" w:themeColor="text1"/>
        </w:rPr>
        <w:t>5</w:t>
      </w:r>
      <w:r w:rsidRPr="002F4348">
        <w:rPr>
          <w:b/>
          <w:color w:val="000000" w:themeColor="text1"/>
        </w:rPr>
        <w:t>).</w:t>
      </w:r>
    </w:p>
    <w:p w14:paraId="761A4E65" w14:textId="77777777" w:rsidR="00861F2F" w:rsidRPr="002F4348" w:rsidRDefault="00B264A8" w:rsidP="00B16826">
      <w:pPr>
        <w:ind w:left="720" w:firstLine="0"/>
      </w:pPr>
      <w:r w:rsidRPr="002F4348">
        <w:rPr>
          <w:b/>
          <w:color w:val="000000" w:themeColor="text1"/>
        </w:rPr>
        <w:t>Комментарии:</w:t>
      </w:r>
      <w:r w:rsidRPr="002F4348">
        <w:rPr>
          <w:color w:val="000000" w:themeColor="text1"/>
        </w:rPr>
        <w:t xml:space="preserve"> </w:t>
      </w:r>
      <w:r w:rsidR="00861F2F" w:rsidRPr="002F4348">
        <w:rPr>
          <w:i/>
          <w:color w:val="000000" w:themeColor="text1"/>
        </w:rPr>
        <w:t>у пациентов с кЛХ I-II стадии с поражением выше диафрагмы</w:t>
      </w:r>
      <w:r w:rsidR="00F8063E" w:rsidRPr="002F4348">
        <w:rPr>
          <w:i/>
          <w:color w:val="000000" w:themeColor="text1"/>
        </w:rPr>
        <w:t xml:space="preserve"> и без очагового поражения костного мозга по результатам ПЭТ/КТ (за исключением </w:t>
      </w:r>
      <w:r w:rsidR="00164FEE" w:rsidRPr="002F4348">
        <w:rPr>
          <w:i/>
          <w:color w:val="000000" w:themeColor="text1"/>
        </w:rPr>
        <w:t xml:space="preserve">пациентов </w:t>
      </w:r>
      <w:r w:rsidR="00F8063E" w:rsidRPr="002F4348">
        <w:rPr>
          <w:i/>
          <w:color w:val="000000" w:themeColor="text1"/>
        </w:rPr>
        <w:t xml:space="preserve">с </w:t>
      </w:r>
      <w:r w:rsidR="00F8063E" w:rsidRPr="002F4348">
        <w:rPr>
          <w:i/>
        </w:rPr>
        <w:t xml:space="preserve">изменениями в клиническом анализе крови – цитопенией и/или тромбоцитозом) </w:t>
      </w:r>
      <w:r w:rsidR="00861F2F" w:rsidRPr="002F4348">
        <w:rPr>
          <w:i/>
        </w:rPr>
        <w:t xml:space="preserve">допустимо не выполнять трепанобиопсию, так как вероятность выявить поражение костного мозга в этой группе </w:t>
      </w:r>
      <w:r w:rsidR="00E1372A" w:rsidRPr="002F4348">
        <w:rPr>
          <w:i/>
        </w:rPr>
        <w:t xml:space="preserve">пациентов </w:t>
      </w:r>
      <w:r w:rsidR="00861F2F" w:rsidRPr="002F4348">
        <w:rPr>
          <w:i/>
        </w:rPr>
        <w:t>при выполнении трепанобиопсии из подвздошной кости составляет 0,4%. У пациентов с выявленными на ПЭТ/КТ очаговыми поражениями костей/костного мозга проведение трепанобиопсии необязательно, кроме сомнительных случаев.</w:t>
      </w:r>
      <w:r w:rsidR="00861F2F" w:rsidRPr="002F4348">
        <w:rPr>
          <w:bCs/>
          <w:i/>
          <w:iCs/>
        </w:rPr>
        <w:t xml:space="preserve"> У пациентов </w:t>
      </w:r>
      <w:r w:rsidR="00861F2F" w:rsidRPr="002F4348">
        <w:rPr>
          <w:bCs/>
          <w:i/>
          <w:iCs/>
          <w:lang w:val="en-US"/>
        </w:rPr>
        <w:t>III</w:t>
      </w:r>
      <w:r w:rsidR="00861F2F" w:rsidRPr="002F4348">
        <w:rPr>
          <w:bCs/>
          <w:i/>
          <w:iCs/>
        </w:rPr>
        <w:t>-</w:t>
      </w:r>
      <w:r w:rsidR="00861F2F" w:rsidRPr="002F4348">
        <w:rPr>
          <w:bCs/>
          <w:i/>
          <w:iCs/>
          <w:lang w:val="en-US"/>
        </w:rPr>
        <w:t>IV</w:t>
      </w:r>
      <w:r w:rsidR="00861F2F" w:rsidRPr="002F4348">
        <w:rPr>
          <w:bCs/>
          <w:i/>
          <w:iCs/>
        </w:rPr>
        <w:t xml:space="preserve"> стадии, у которых не выполнялась ПЭТ/КТ, выполнение трепанобиопсии является обязательным.</w:t>
      </w:r>
    </w:p>
    <w:p w14:paraId="6A3E6243" w14:textId="77777777" w:rsidR="00B16826" w:rsidRPr="002F4348" w:rsidRDefault="00861F2F" w:rsidP="00A26422">
      <w:pPr>
        <w:ind w:left="720" w:firstLine="0"/>
        <w:rPr>
          <w:i/>
        </w:rPr>
      </w:pPr>
      <w:r w:rsidRPr="002F4348">
        <w:rPr>
          <w:i/>
        </w:rPr>
        <w:t xml:space="preserve">У </w:t>
      </w:r>
      <w:r w:rsidR="00B16826" w:rsidRPr="002F4348">
        <w:rPr>
          <w:i/>
        </w:rPr>
        <w:t>детей трепанобиопсия подвздошной кости должна обязательно проводиться под общей анестезией.</w:t>
      </w:r>
      <w:r w:rsidR="00B264A8" w:rsidRPr="002F4348">
        <w:rPr>
          <w:i/>
        </w:rPr>
        <w:t xml:space="preserve"> </w:t>
      </w:r>
    </w:p>
    <w:p w14:paraId="764CA1FE" w14:textId="77777777" w:rsidR="00164FEE" w:rsidRPr="002F4348" w:rsidRDefault="00164FEE" w:rsidP="00164FEE">
      <w:pPr>
        <w:ind w:left="720" w:firstLine="0"/>
        <w:rPr>
          <w:rFonts w:eastAsia="Times New Roman"/>
          <w:bCs/>
          <w:i/>
          <w:iCs/>
          <w:szCs w:val="24"/>
          <w:lang w:eastAsia="ru-RU"/>
        </w:rPr>
      </w:pPr>
      <w:r w:rsidRPr="002F4348">
        <w:rPr>
          <w:i/>
        </w:rPr>
        <w:t xml:space="preserve">Всем пациентам НЛПЛХ, независимо от стадии заболевания рекомендовано </w:t>
      </w:r>
      <w:r w:rsidR="00B119C4" w:rsidRPr="002F4348">
        <w:rPr>
          <w:i/>
        </w:rPr>
        <w:t>патолого-анатомическое исследование биопсийного (операционного) материала</w:t>
      </w:r>
      <w:r w:rsidR="00D67F1D" w:rsidRPr="002F4348">
        <w:rPr>
          <w:i/>
        </w:rPr>
        <w:t xml:space="preserve"> костного мозга</w:t>
      </w:r>
      <w:r w:rsidR="00B119C4" w:rsidRPr="002F4348">
        <w:rPr>
          <w:i/>
        </w:rPr>
        <w:t xml:space="preserve"> </w:t>
      </w:r>
      <w:r w:rsidRPr="002F4348">
        <w:rPr>
          <w:i/>
        </w:rPr>
        <w:t xml:space="preserve">(трепанобиопсия) и </w:t>
      </w:r>
      <w:r w:rsidR="00B119C4" w:rsidRPr="002F4348">
        <w:rPr>
          <w:i/>
        </w:rPr>
        <w:t>цитологическое исследование отпечатков трепанобиоптата костного мозга</w:t>
      </w:r>
      <w:r w:rsidRPr="002F4348">
        <w:rPr>
          <w:i/>
        </w:rPr>
        <w:t>.</w:t>
      </w:r>
    </w:p>
    <w:p w14:paraId="74EF7E90" w14:textId="77777777" w:rsidR="000578EF" w:rsidRPr="002F4348" w:rsidRDefault="000578EF" w:rsidP="00B153FC">
      <w:pPr>
        <w:numPr>
          <w:ilvl w:val="0"/>
          <w:numId w:val="11"/>
        </w:numPr>
        <w:rPr>
          <w:rFonts w:eastAsia="Times New Roman"/>
          <w:szCs w:val="24"/>
          <w:lang w:eastAsia="ru-RU"/>
        </w:rPr>
      </w:pPr>
      <w:r w:rsidRPr="002F4348">
        <w:t xml:space="preserve">Пациентам с ЛХ перед проведением первой и последующих линий противоопухолевой терапии </w:t>
      </w:r>
      <w:r w:rsidRPr="002F4348">
        <w:rPr>
          <w:rFonts w:eastAsia="Times New Roman"/>
          <w:b/>
          <w:szCs w:val="24"/>
          <w:lang w:eastAsia="ru-RU"/>
        </w:rPr>
        <w:t>рекомендуется</w:t>
      </w:r>
      <w:r w:rsidRPr="002F4348">
        <w:rPr>
          <w:rFonts w:eastAsia="Times New Roman"/>
          <w:szCs w:val="24"/>
          <w:lang w:eastAsia="ru-RU"/>
        </w:rPr>
        <w:t xml:space="preserve"> в зависимости от сопутствующей патологии о</w:t>
      </w:r>
      <w:r w:rsidRPr="002F4348">
        <w:t>смотр (консультация)</w:t>
      </w:r>
      <w:r w:rsidRPr="002F4348">
        <w:rPr>
          <w:rFonts w:eastAsia="Times New Roman"/>
          <w:szCs w:val="24"/>
          <w:lang w:eastAsia="ru-RU"/>
        </w:rPr>
        <w:t xml:space="preserve"> врача-кардиолога, врача-эндокринолога, врача-невропатолога, врача- инфекциониста и других врачей-специалистов для определения необходимости терапии сопутствующих заболеваний </w:t>
      </w:r>
      <w:r w:rsidRPr="002F4348">
        <w:rPr>
          <w:rFonts w:eastAsia="Times New Roman"/>
        </w:rPr>
        <w:fldChar w:fldCharType="begin" w:fldLock="1"/>
      </w:r>
      <w:r w:rsidR="00A850F7" w:rsidRPr="002F4348">
        <w:rPr>
          <w:rFonts w:eastAsia="Times New Roman"/>
        </w:rPr>
        <w:instrText>ADDIN CSL_CITATION {"citationItems":[{"id":"ITEM-1","itemData":{"author":[{"dropping-particle":"","family":"Моисеева","given":"Т.Н.","non-dropping-particle":"","parse-names":false,"suffix":""},{"dropping-particle":"","family":"Аль-Ради","given":"Л.С.","non-dropping-particle":"","parse-names":false,"suffix":""},{"dropping-particle":"","family":"Дорохина","given":"Е.И.","non-dropping-particle":"","parse-names":false,"suffix":""}],"container-title":"Алгоритмы диагностики и протоколы лечения заболеваний системы крови. НМИЦ Гематологии. Под ред. В.Г. Савченко.","id":"ITEM-1","issued":{"date-parts":[["2018"]]},"page":"39-56","title":"Протокол диагностики и лечения классической лимфомы Ходжкина","type":"chapter"},"uris":["http://www.mendeley.com/documents/?uuid=1e9d076e-e89a-457c-b607-718bf00380e7","http://www.mendeley.com/documents/?uuid=fb98dfe5-a71f-484e-9a5d-824d96c5ea87"]}],"mendeley":{"formattedCitation":"[12]","plainTextFormattedCitation":"[12]","previouslyFormattedCitation":"[12]"},"properties":{"noteIndex":0},"schema":"https://github.com/citation-style-language/schema/raw/master/csl-citation.json"}</w:instrText>
      </w:r>
      <w:r w:rsidRPr="002F4348">
        <w:rPr>
          <w:rFonts w:eastAsia="Times New Roman"/>
        </w:rPr>
        <w:fldChar w:fldCharType="separate"/>
      </w:r>
      <w:r w:rsidR="00BA1BF7" w:rsidRPr="002F4348">
        <w:rPr>
          <w:rFonts w:eastAsia="Times New Roman"/>
          <w:noProof/>
        </w:rPr>
        <w:t>[12]</w:t>
      </w:r>
      <w:r w:rsidRPr="002F4348">
        <w:rPr>
          <w:rFonts w:eastAsia="Times New Roman"/>
        </w:rPr>
        <w:fldChar w:fldCharType="end"/>
      </w:r>
      <w:r w:rsidRPr="002F4348">
        <w:rPr>
          <w:rFonts w:eastAsia="Times New Roman"/>
          <w:szCs w:val="24"/>
          <w:lang w:eastAsia="ru-RU"/>
        </w:rPr>
        <w:t>.</w:t>
      </w:r>
    </w:p>
    <w:p w14:paraId="22D74CBB" w14:textId="77777777" w:rsidR="000578EF" w:rsidRPr="002F4348" w:rsidRDefault="000578EF" w:rsidP="00BA1BF7">
      <w:pPr>
        <w:pStyle w:val="affff0"/>
        <w:ind w:left="709" w:firstLine="0"/>
        <w:rPr>
          <w:b/>
        </w:rPr>
      </w:pPr>
      <w:r w:rsidRPr="002F4348">
        <w:rPr>
          <w:b/>
        </w:rPr>
        <w:t>Уровень убедительности рекомендаций С (уровень достоверности доказательств 5).</w:t>
      </w:r>
    </w:p>
    <w:p w14:paraId="38A7637F" w14:textId="77777777" w:rsidR="00ED5598" w:rsidRPr="002F4348" w:rsidRDefault="00CB71DA" w:rsidP="000578EF">
      <w:pPr>
        <w:pStyle w:val="afff2"/>
        <w:rPr>
          <w:rStyle w:val="afffc"/>
          <w:rFonts w:eastAsia="Sans" w:cstheme="minorBidi"/>
          <w:i w:val="0"/>
          <w:color w:val="auto"/>
          <w:sz w:val="28"/>
          <w:szCs w:val="22"/>
        </w:rPr>
      </w:pPr>
      <w:bookmarkStart w:id="32" w:name="_Toc65586389"/>
      <w:r w:rsidRPr="002F4348">
        <w:lastRenderedPageBreak/>
        <w:t>3. Лечение</w:t>
      </w:r>
      <w:bookmarkEnd w:id="31"/>
      <w:r w:rsidR="0038545E" w:rsidRPr="002F4348">
        <w:t>,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bookmarkStart w:id="33" w:name="_Toc469402341"/>
      <w:bookmarkStart w:id="34" w:name="_Toc468273538"/>
      <w:bookmarkStart w:id="35" w:name="_Toc468273456"/>
      <w:bookmarkEnd w:id="32"/>
      <w:bookmarkEnd w:id="33"/>
      <w:bookmarkEnd w:id="34"/>
      <w:bookmarkEnd w:id="35"/>
    </w:p>
    <w:p w14:paraId="08A0D682" w14:textId="77777777" w:rsidR="007A344D" w:rsidRPr="002F4348" w:rsidRDefault="000578EF" w:rsidP="007A344D">
      <w:pPr>
        <w:pStyle w:val="afd"/>
        <w:spacing w:beforeAutospacing="0" w:afterAutospacing="0" w:line="360" w:lineRule="auto"/>
        <w:rPr>
          <w:i/>
          <w:iCs/>
        </w:rPr>
      </w:pPr>
      <w:bookmarkStart w:id="36" w:name="__RefHeading___doc_4"/>
      <w:r w:rsidRPr="002F4348">
        <w:rPr>
          <w:i/>
          <w:iCs/>
        </w:rPr>
        <w:t>При выборе тактики и проведении терапии следует учитывать, что у пациента могут быть нестандартные проявления болезни, а также сочетание конкретной болезни с другими патологиями, что может диктовать лечащему врачу изменения в алгоритме выбора оптимальной тактики диагностики и лечения.</w:t>
      </w:r>
    </w:p>
    <w:p w14:paraId="1D51E4C3" w14:textId="77777777" w:rsidR="003F0AA9" w:rsidRPr="002F4348" w:rsidRDefault="003F0AA9" w:rsidP="00263322">
      <w:pPr>
        <w:pStyle w:val="afd"/>
        <w:spacing w:beforeAutospacing="0" w:afterAutospacing="0" w:line="360" w:lineRule="auto"/>
        <w:rPr>
          <w:i/>
          <w:iCs/>
        </w:rPr>
      </w:pPr>
      <w:r w:rsidRPr="002F4348">
        <w:rPr>
          <w:i/>
          <w:iCs/>
        </w:rPr>
        <w:t>Каждый цикл терапии начинается, если состояние пациента удовлетворяет следующим критериям:</w:t>
      </w:r>
    </w:p>
    <w:p w14:paraId="69C1D4C5" w14:textId="77777777" w:rsidR="003F0AA9" w:rsidRPr="002F4348" w:rsidRDefault="00263322" w:rsidP="00B153FC">
      <w:pPr>
        <w:pStyle w:val="1f6"/>
        <w:numPr>
          <w:ilvl w:val="0"/>
          <w:numId w:val="7"/>
        </w:numPr>
        <w:rPr>
          <w:rFonts w:ascii="Times New Roman" w:hAnsi="Times New Roman"/>
          <w:bCs w:val="0"/>
          <w:i/>
          <w:sz w:val="24"/>
          <w:szCs w:val="24"/>
        </w:rPr>
      </w:pPr>
      <w:r w:rsidRPr="002F4348">
        <w:rPr>
          <w:rFonts w:ascii="Times New Roman" w:hAnsi="Times New Roman"/>
          <w:bCs w:val="0"/>
          <w:i/>
          <w:sz w:val="24"/>
          <w:szCs w:val="24"/>
        </w:rPr>
        <w:t xml:space="preserve">общее </w:t>
      </w:r>
      <w:r w:rsidR="003F0AA9" w:rsidRPr="002F4348">
        <w:rPr>
          <w:rFonts w:ascii="Times New Roman" w:hAnsi="Times New Roman"/>
          <w:bCs w:val="0"/>
          <w:i/>
          <w:sz w:val="24"/>
          <w:szCs w:val="24"/>
        </w:rPr>
        <w:t>удовлетворительно</w:t>
      </w:r>
      <w:r w:rsidRPr="002F4348">
        <w:rPr>
          <w:rFonts w:ascii="Times New Roman" w:hAnsi="Times New Roman"/>
          <w:bCs w:val="0"/>
          <w:i/>
          <w:sz w:val="24"/>
          <w:szCs w:val="24"/>
        </w:rPr>
        <w:t>е</w:t>
      </w:r>
      <w:r w:rsidR="003F0AA9" w:rsidRPr="002F4348">
        <w:rPr>
          <w:rFonts w:ascii="Times New Roman" w:hAnsi="Times New Roman"/>
          <w:bCs w:val="0"/>
          <w:i/>
          <w:sz w:val="24"/>
          <w:szCs w:val="24"/>
        </w:rPr>
        <w:t xml:space="preserve"> состояни</w:t>
      </w:r>
      <w:r w:rsidRPr="002F4348">
        <w:rPr>
          <w:rFonts w:ascii="Times New Roman" w:hAnsi="Times New Roman"/>
          <w:bCs w:val="0"/>
          <w:i/>
          <w:sz w:val="24"/>
          <w:szCs w:val="24"/>
        </w:rPr>
        <w:t>е</w:t>
      </w:r>
      <w:r w:rsidR="003F0AA9" w:rsidRPr="002F4348">
        <w:rPr>
          <w:rFonts w:ascii="Times New Roman" w:hAnsi="Times New Roman"/>
          <w:bCs w:val="0"/>
          <w:i/>
          <w:sz w:val="24"/>
          <w:szCs w:val="24"/>
        </w:rPr>
        <w:t xml:space="preserve"> пациента</w:t>
      </w:r>
      <w:r w:rsidRPr="002F4348">
        <w:rPr>
          <w:rFonts w:ascii="Times New Roman" w:hAnsi="Times New Roman"/>
          <w:bCs w:val="0"/>
          <w:i/>
          <w:sz w:val="24"/>
          <w:szCs w:val="24"/>
        </w:rPr>
        <w:t>;</w:t>
      </w:r>
    </w:p>
    <w:p w14:paraId="4C0C71CB" w14:textId="77777777" w:rsidR="003F0AA9" w:rsidRPr="002F4348" w:rsidRDefault="00263322" w:rsidP="00B153FC">
      <w:pPr>
        <w:pStyle w:val="1f6"/>
        <w:numPr>
          <w:ilvl w:val="0"/>
          <w:numId w:val="7"/>
        </w:numPr>
        <w:rPr>
          <w:rFonts w:ascii="Times New Roman" w:hAnsi="Times New Roman"/>
          <w:bCs w:val="0"/>
          <w:i/>
          <w:sz w:val="24"/>
          <w:szCs w:val="24"/>
        </w:rPr>
      </w:pPr>
      <w:r w:rsidRPr="002F4348">
        <w:rPr>
          <w:rFonts w:ascii="Times New Roman" w:hAnsi="Times New Roman"/>
          <w:bCs w:val="0"/>
          <w:i/>
          <w:sz w:val="24"/>
          <w:szCs w:val="24"/>
        </w:rPr>
        <w:t xml:space="preserve">гранулоциты </w:t>
      </w:r>
      <w:r w:rsidRPr="002F4348">
        <w:rPr>
          <w:rFonts w:ascii="Times New Roman" w:hAnsi="Times New Roman"/>
          <w:bCs w:val="0"/>
          <w:i/>
          <w:sz w:val="24"/>
          <w:szCs w:val="24"/>
          <w:lang w:val="en-US"/>
        </w:rPr>
        <w:t>&gt;</w:t>
      </w:r>
      <w:r w:rsidR="007A344D" w:rsidRPr="002F4348">
        <w:rPr>
          <w:rFonts w:ascii="Times New Roman" w:hAnsi="Times New Roman"/>
          <w:bCs w:val="0"/>
          <w:i/>
          <w:sz w:val="24"/>
          <w:szCs w:val="24"/>
        </w:rPr>
        <w:t>1</w:t>
      </w:r>
      <w:r w:rsidRPr="002F4348">
        <w:rPr>
          <w:rFonts w:ascii="Times New Roman" w:hAnsi="Times New Roman"/>
          <w:bCs w:val="0"/>
          <w:i/>
          <w:sz w:val="24"/>
          <w:szCs w:val="24"/>
        </w:rPr>
        <w:t xml:space="preserve"> </w:t>
      </w:r>
      <w:r w:rsidRPr="002F4348">
        <w:rPr>
          <w:rFonts w:ascii="Times New Roman" w:hAnsi="Times New Roman"/>
          <w:bCs w:val="0"/>
          <w:i/>
          <w:sz w:val="24"/>
          <w:szCs w:val="24"/>
          <w:lang w:val="en-US"/>
        </w:rPr>
        <w:t>x 10</w:t>
      </w:r>
      <w:r w:rsidRPr="002F4348">
        <w:rPr>
          <w:rFonts w:ascii="Times New Roman" w:hAnsi="Times New Roman"/>
          <w:bCs w:val="0"/>
          <w:i/>
          <w:sz w:val="24"/>
          <w:szCs w:val="24"/>
          <w:vertAlign w:val="superscript"/>
          <w:lang w:val="en-US"/>
        </w:rPr>
        <w:t>9</w:t>
      </w:r>
      <w:r w:rsidRPr="002F4348">
        <w:rPr>
          <w:rFonts w:ascii="Times New Roman" w:hAnsi="Times New Roman"/>
          <w:bCs w:val="0"/>
          <w:i/>
          <w:sz w:val="24"/>
          <w:szCs w:val="24"/>
        </w:rPr>
        <w:t>/л</w:t>
      </w:r>
      <w:r w:rsidR="003F0AA9" w:rsidRPr="002F4348">
        <w:rPr>
          <w:rFonts w:ascii="Times New Roman" w:hAnsi="Times New Roman"/>
          <w:bCs w:val="0"/>
          <w:i/>
          <w:sz w:val="24"/>
          <w:szCs w:val="24"/>
        </w:rPr>
        <w:t xml:space="preserve">, </w:t>
      </w:r>
    </w:p>
    <w:p w14:paraId="147645A0" w14:textId="77777777" w:rsidR="003F0AA9" w:rsidRPr="002F4348" w:rsidRDefault="00263322" w:rsidP="00B153FC">
      <w:pPr>
        <w:pStyle w:val="1f6"/>
        <w:numPr>
          <w:ilvl w:val="0"/>
          <w:numId w:val="7"/>
        </w:numPr>
        <w:rPr>
          <w:rFonts w:ascii="Times New Roman" w:hAnsi="Times New Roman"/>
          <w:bCs w:val="0"/>
          <w:i/>
          <w:sz w:val="24"/>
          <w:szCs w:val="24"/>
        </w:rPr>
      </w:pPr>
      <w:r w:rsidRPr="002F4348">
        <w:rPr>
          <w:rFonts w:ascii="Times New Roman" w:hAnsi="Times New Roman"/>
          <w:bCs w:val="0"/>
          <w:i/>
          <w:sz w:val="24"/>
          <w:szCs w:val="24"/>
        </w:rPr>
        <w:t xml:space="preserve">тромбоциты </w:t>
      </w:r>
      <w:r w:rsidRPr="002F4348">
        <w:rPr>
          <w:rFonts w:ascii="Times New Roman" w:hAnsi="Times New Roman"/>
          <w:bCs w:val="0"/>
          <w:i/>
          <w:sz w:val="24"/>
          <w:szCs w:val="24"/>
          <w:lang w:val="en-US"/>
        </w:rPr>
        <w:t>&gt;</w:t>
      </w:r>
      <w:r w:rsidR="007A344D" w:rsidRPr="002F4348">
        <w:rPr>
          <w:rFonts w:ascii="Times New Roman" w:hAnsi="Times New Roman"/>
          <w:bCs w:val="0"/>
          <w:i/>
          <w:sz w:val="24"/>
          <w:szCs w:val="24"/>
        </w:rPr>
        <w:t>10</w:t>
      </w:r>
      <w:r w:rsidR="003F0AA9" w:rsidRPr="002F4348">
        <w:rPr>
          <w:rFonts w:ascii="Times New Roman" w:hAnsi="Times New Roman"/>
          <w:bCs w:val="0"/>
          <w:i/>
          <w:sz w:val="24"/>
          <w:szCs w:val="24"/>
        </w:rPr>
        <w:t>0</w:t>
      </w:r>
      <w:r w:rsidRPr="002F4348">
        <w:rPr>
          <w:rFonts w:ascii="Times New Roman" w:hAnsi="Times New Roman"/>
          <w:bCs w:val="0"/>
          <w:i/>
          <w:sz w:val="24"/>
          <w:szCs w:val="24"/>
          <w:lang w:val="en-US"/>
        </w:rPr>
        <w:t xml:space="preserve"> x 10</w:t>
      </w:r>
      <w:r w:rsidRPr="002F4348">
        <w:rPr>
          <w:rFonts w:ascii="Times New Roman" w:hAnsi="Times New Roman"/>
          <w:bCs w:val="0"/>
          <w:i/>
          <w:sz w:val="24"/>
          <w:szCs w:val="24"/>
          <w:vertAlign w:val="superscript"/>
          <w:lang w:val="en-US"/>
        </w:rPr>
        <w:t>9</w:t>
      </w:r>
      <w:r w:rsidRPr="002F4348">
        <w:rPr>
          <w:rFonts w:ascii="Times New Roman" w:hAnsi="Times New Roman"/>
          <w:bCs w:val="0"/>
          <w:i/>
          <w:sz w:val="24"/>
          <w:szCs w:val="24"/>
        </w:rPr>
        <w:t>/л</w:t>
      </w:r>
      <w:r w:rsidR="003F0AA9" w:rsidRPr="002F4348">
        <w:rPr>
          <w:rFonts w:ascii="Times New Roman" w:hAnsi="Times New Roman"/>
          <w:bCs w:val="0"/>
          <w:i/>
          <w:sz w:val="24"/>
          <w:szCs w:val="24"/>
        </w:rPr>
        <w:t>.</w:t>
      </w:r>
    </w:p>
    <w:p w14:paraId="1859CC8A" w14:textId="77777777" w:rsidR="007C3C41" w:rsidRPr="002F4348" w:rsidRDefault="007C3C41" w:rsidP="00263322">
      <w:pPr>
        <w:pStyle w:val="1f6"/>
        <w:ind w:firstLine="720"/>
        <w:rPr>
          <w:rFonts w:ascii="Times New Roman" w:hAnsi="Times New Roman"/>
          <w:bCs w:val="0"/>
          <w:i/>
          <w:sz w:val="24"/>
          <w:szCs w:val="24"/>
        </w:rPr>
      </w:pPr>
      <w:r w:rsidRPr="002F4348">
        <w:rPr>
          <w:rFonts w:ascii="Times New Roman" w:hAnsi="Times New Roman"/>
          <w:bCs w:val="0"/>
          <w:i/>
          <w:iCs w:val="0"/>
          <w:sz w:val="24"/>
          <w:szCs w:val="24"/>
        </w:rPr>
        <w:t xml:space="preserve">Для </w:t>
      </w:r>
      <w:r w:rsidR="008D35C0" w:rsidRPr="002F4348">
        <w:rPr>
          <w:rFonts w:ascii="Times New Roman" w:hAnsi="Times New Roman"/>
          <w:bCs w:val="0"/>
          <w:i/>
          <w:iCs w:val="0"/>
          <w:sz w:val="24"/>
          <w:szCs w:val="24"/>
        </w:rPr>
        <w:t xml:space="preserve">пациентов </w:t>
      </w:r>
      <w:r w:rsidRPr="002F4348">
        <w:rPr>
          <w:rFonts w:ascii="Times New Roman" w:hAnsi="Times New Roman"/>
          <w:bCs w:val="0"/>
          <w:i/>
          <w:iCs w:val="0"/>
          <w:sz w:val="24"/>
          <w:szCs w:val="24"/>
        </w:rPr>
        <w:t>с цитопенией, обусловленной поражением костного мозга, специфическая терапия возможна и при более низких показателях лейкоцитов и тромбоцитов, однако в этих случаях должна быть обеспечена соответствующая сопроводительная терапия.</w:t>
      </w:r>
    </w:p>
    <w:p w14:paraId="48089390" w14:textId="77777777" w:rsidR="007C3C41" w:rsidRPr="002F4348" w:rsidRDefault="007A344D" w:rsidP="007C3C41">
      <w:pPr>
        <w:pStyle w:val="1f6"/>
        <w:ind w:firstLine="720"/>
        <w:rPr>
          <w:rFonts w:ascii="Times New Roman" w:hAnsi="Times New Roman"/>
          <w:bCs w:val="0"/>
          <w:i/>
          <w:sz w:val="24"/>
          <w:szCs w:val="24"/>
        </w:rPr>
      </w:pPr>
      <w:r w:rsidRPr="002F4348">
        <w:rPr>
          <w:rFonts w:ascii="Times New Roman" w:hAnsi="Times New Roman"/>
          <w:bCs w:val="0"/>
          <w:i/>
          <w:sz w:val="24"/>
          <w:szCs w:val="24"/>
        </w:rPr>
        <w:t>Рекомендации по редукции доз препаратов и увеличению промежутков между циклами терапии представлены в приложении А3.2.</w:t>
      </w:r>
    </w:p>
    <w:p w14:paraId="0C11D574" w14:textId="77777777" w:rsidR="00F533A5" w:rsidRPr="002F4348" w:rsidRDefault="00F533A5" w:rsidP="00F533A5">
      <w:pPr>
        <w:pStyle w:val="1f6"/>
        <w:rPr>
          <w:rFonts w:ascii="Times New Roman" w:hAnsi="Times New Roman"/>
          <w:bCs w:val="0"/>
          <w:i/>
          <w:iCs w:val="0"/>
          <w:sz w:val="24"/>
          <w:szCs w:val="24"/>
        </w:rPr>
      </w:pPr>
      <w:r w:rsidRPr="002F4348">
        <w:rPr>
          <w:rFonts w:ascii="Times New Roman" w:hAnsi="Times New Roman"/>
          <w:bCs w:val="0"/>
          <w:i/>
          <w:iCs w:val="0"/>
          <w:sz w:val="24"/>
          <w:szCs w:val="24"/>
        </w:rPr>
        <w:t>Пациент прекращает лечение по протоколу в случаях прогрессии заболевания или токсических эффектов, не позволяющих продолжать химиотерапию в необходимом объеме.</w:t>
      </w:r>
    </w:p>
    <w:p w14:paraId="23368A53" w14:textId="77777777" w:rsidR="00F8063E" w:rsidRPr="002F4348" w:rsidRDefault="00F8063E" w:rsidP="00F533A5">
      <w:pPr>
        <w:pStyle w:val="1f6"/>
        <w:rPr>
          <w:rFonts w:ascii="Times New Roman" w:hAnsi="Times New Roman"/>
          <w:bCs w:val="0"/>
          <w:i/>
          <w:iCs w:val="0"/>
          <w:sz w:val="24"/>
          <w:szCs w:val="24"/>
        </w:rPr>
      </w:pPr>
      <w:r w:rsidRPr="002F4348">
        <w:rPr>
          <w:rFonts w:ascii="Times New Roman" w:hAnsi="Times New Roman"/>
          <w:bCs w:val="0"/>
          <w:i/>
          <w:iCs w:val="0"/>
          <w:sz w:val="24"/>
          <w:szCs w:val="24"/>
        </w:rPr>
        <w:t>ЛТ во всех программах лечения ЛХ должна быть начата в сроки от 2-х до 4-х недель после окончания химиотерапии, но не позднее 6-й недели.</w:t>
      </w:r>
    </w:p>
    <w:p w14:paraId="7E655B0E" w14:textId="77777777" w:rsidR="000578EF" w:rsidRPr="002F4348" w:rsidRDefault="000578EF" w:rsidP="000578EF">
      <w:pPr>
        <w:pStyle w:val="2"/>
        <w:contextualSpacing/>
      </w:pPr>
      <w:bookmarkStart w:id="37" w:name="_Toc65586390"/>
      <w:r w:rsidRPr="002F4348">
        <w:t>3.1 Первая линия терапии кЛХ, ранние стадии</w:t>
      </w:r>
      <w:r w:rsidR="004F0134" w:rsidRPr="002F4348">
        <w:t>, у пациентов 18-60 лет</w:t>
      </w:r>
      <w:bookmarkEnd w:id="37"/>
    </w:p>
    <w:p w14:paraId="11631E2D" w14:textId="77777777" w:rsidR="000578EF" w:rsidRPr="002F4348" w:rsidRDefault="00D75819" w:rsidP="00B153FC">
      <w:pPr>
        <w:pStyle w:val="afe"/>
        <w:numPr>
          <w:ilvl w:val="0"/>
          <w:numId w:val="12"/>
        </w:numPr>
        <w:spacing w:before="120" w:after="120"/>
        <w:ind w:left="709" w:hanging="709"/>
      </w:pPr>
      <w:r w:rsidRPr="002F4348">
        <w:t xml:space="preserve">Ранее не получавшим лечение </w:t>
      </w:r>
      <w:r w:rsidR="000578EF" w:rsidRPr="002F4348">
        <w:t>пациентам 18-60 лет с верифицированной кЛХ ранней стадии подтвержденной ПЭТ/КТ, с благоприятным прогнозом</w:t>
      </w:r>
      <w:r w:rsidR="008D35C0" w:rsidRPr="002F4348">
        <w:t>,</w:t>
      </w:r>
      <w:r w:rsidR="000578EF" w:rsidRPr="002F4348">
        <w:t xml:space="preserve"> </w:t>
      </w:r>
      <w:r w:rsidR="000578EF" w:rsidRPr="002F4348">
        <w:rPr>
          <w:b/>
        </w:rPr>
        <w:t>рекомендуется</w:t>
      </w:r>
      <w:r w:rsidR="000578EF" w:rsidRPr="002F4348">
        <w:t xml:space="preserve"> проведение 2-4 циклов полихимиотерапии по схеме ABVD (доксорубицин**, блеомицин**, винбластин**, дакарбазин**) (описание режимов – см. приложение</w:t>
      </w:r>
      <w:r w:rsidR="007A344D" w:rsidRPr="002F4348">
        <w:t xml:space="preserve"> А3.1</w:t>
      </w:r>
      <w:r w:rsidR="000578EF" w:rsidRPr="002F4348">
        <w:t xml:space="preserve">) с последующей лучевой терапией (ЛТ) в суммарной очаговой дозе (СОД) 30 Гр на зоны исходного поражения в режиме стандартного фракционирования (разовая очаговая доза 2 Гр 5 дней в неделю) </w:t>
      </w:r>
      <w:r w:rsidR="00034E4B" w:rsidRPr="002F4348">
        <w:fldChar w:fldCharType="begin" w:fldLock="1"/>
      </w:r>
      <w:r w:rsidR="00A850F7" w:rsidRPr="002F4348">
        <w:instrText>ADDIN CSL_CITATION {"citationItems":[{"id":"ITEM-1","itemData":{"DOI":"10.1200/JCO.2006.07.0482","ISSN":"0732183X","abstract":"Purpose: To investigate whether combined-modality treatment (CMT) with two cycles of doxorubicin, bleomycin, vinblastine, and dacarbazine (ABVD) followed by extended-field radiotherapy (EF-RT) is superior to EF-RT alone in patients with early favorable Hodgkin's lymphoma (HL). Patients and Methods: Between 1993 and 1998, 650 patients with newly diagnosed, histology-proven HL in clinical stages IA to IIB without risk factors were enrolled onto this multicenter study and randomly assigned to receive 30 Gy EF-RT plus 10 Gy to the involved field (arm A) or two cycles of ABVD followed by the same radiotherapy (arm B). Results: At a median observation time of 87 months, there was no difference between treatment arms in terms of complete response rate (arm A, 95%; arm B, 94%) and overall survival (at 7 years: arm A, 92%; arm B, 94%; P = .43). However, freedom from treatment failure was significantly different, with 7-year rates of 67% in arm A (95% CI, 61 % to 73%) and 88% in arm B (95% CI, 84% to 92%; P ≤ .0001). This was due mainly to significantly more relapses after EF-RT only (arm A, 22%; arm B, 3%). No patient treated with CMT experienced relapse before year 3. Relapses were treated mainly with bleomycin, etoposide, doxorubicin, cyclophosphamide, vincristine, procarbazine, and prednisone, or with the combination cyclophosphamide, vincristine, procarbazine, and prednisone/ABVD; treatment of relapse was significantly more successful in arm A than in arm B (P = .017). In total, there were 39 second malignancies, with 21 in arm A and 18 in arm B, respectively. The incidence was approximately 0.8% per year during years 2 to 9 and was highest in older patients (P &lt; .0001) and those with \"B\" symptoms (P = .012). Conclusion: CMT consisting of two cycles of ABVD plus EF-RT is more effective than EF-RT alone. © 2007 by American Society of Clinical Oncology.","author":[{"dropping-particle":"","family":"Engert","given":"Andreas","non-dropping-particle":"","parse-names":false,"suffix":""},{"dropping-particle":"","family":"Franklin","given":"Jeremy","non-dropping-particle":"","parse-names":false,"suffix":""},{"dropping-particle":"","family":"Eich","given":"Hans Theodor","non-dropping-particle":"","parse-names":false,"suffix":""},{"dropping-particle":"","family":"Brillant","given":"Corinne","non-dropping-particle":"","parse-names":false,"suffix":""},{"dropping-particle":"","family":"Sehlen","given":"Susanne","non-dropping-particle":"","parse-names":false,"suffix":""},{"dropping-particle":"","family":"Cartoni","given":"Claudio","non-dropping-particle":"","parse-names":false,"suffix":""},{"dropping-particle":"","family":"Herrmann","given":"Richard","non-dropping-particle":"","parse-names":false,"suffix":""},{"dropping-particle":"","family":"Pfreundschuh","given":"Michael","non-dropping-particle":"","parse-names":false,"suffix":""},{"dropping-particle":"","family":"Sieber","given":"Markus","non-dropping-particle":"","parse-names":false,"suffix":""},{"dropping-particle":"","family":"Tesch","given":"Hans","non-dropping-particle":"","parse-names":false,"suffix":""},{"dropping-particle":"","family":"Franke","given":"Astrid","non-dropping-particle":"","parse-names":false,"suffix":""},{"dropping-particle":"","family":"Koch","given":"Peter","non-dropping-particle":"","parse-names":false,"suffix":""},{"dropping-particle":"","family":"Wit","given":"Maike","non-dropping-particle":"De","parse-names":false,"suffix":""},{"dropping-particle":"","family":"Paulus","given":"Ursula","non-dropping-particle":"","parse-names":false,"suffix":""},{"dropping-particle":"","family":"Hasenclever","given":"Dirk","non-dropping-particle":"","parse-names":false,"suffix":""},{"dropping-particle":"","family":"Loeffler","given":"Markus","non-dropping-particle":"","parse-names":false,"suffix":""},{"dropping-particle":"","family":"Müller","given":"Rolf Peter","non-dropping-particle":"","parse-names":false,"suffix":""},{"dropping-particle":"","family":"Müller-Hermelink","given":"Hans Konrad","non-dropping-particle":"","parse-names":false,"suffix":""},{"dropping-particle":"","family":"Dühmke","given":"Eckhart","non-dropping-particle":"","parse-names":false,"suffix":""},{"dropping-particle":"","family":"Diehl","given":"Volker","non-dropping-particle":"","parse-names":false,"suffix":""}],"container-title":"Journal of Clinical Oncology","id":"ITEM-1","issued":{"date-parts":[["2007"]]},"title":"Two cycles of doxorubicin, bleomycin, vinblastine, and dacarbazine plus extended-field radiotherapy is superior to radiotherapy alone in early favorable Hodgkin's lymphoma: Final results of the GHSG HD7 trial","type":"article-journal"},"uris":["http://www.mendeley.com/documents/?uuid=513b55aa-7614-32db-bbfb-7393573de1a3","http://www.mendeley.com/documents/?uuid=1088390a-6272-45cf-91af-b42ba5f98284"]},{"id":"ITEM-2","itemData":{"DOI":"10.1056/NEJMoa1111961","ISSN":"1533-4406","author":[{"dropping-particle":"","family":"Meyer","given":"Ralph M.","non-dropping-particle":"","parse-names":false,"suffix":""},{"dropping-particle":"","family":"Djurfeldt","given":"Marina S.","non-dropping-particle":"","parse-names":false,"suffix":""},{"dropping-particle":"","family":"Chen","given":"Bingshu E.","non-dropping-particle":"","parse-names":false,"suffix":""},{"dropping-particle":"","family":"Shepherd","given":"Lois E.","non-dropping-particle":"","parse-names":false,"suffix":""},{"dropping-particle":"","family":"Gospodarowicz","given":"Mary K.","non-dropping-particle":"","parse-names":false,"suffix":""},{"dropping-particle":"","family":"Wells","given":"Woodrow A.","non-dropping-particle":"","parse-names":false,"suffix":""},{"dropping-particle":"","family":"Crump","given":"Michael","non-dropping-particle":"","parse-names":false,"suffix":""},{"dropping-particle":"","family":"Connors","given":"Joseph M.","non-dropping-particle":"","parse-names":false,"suffix":""},{"dropping-particle":"","family":"Pearcey","given":"Robert G.","non-dropping-particle":"","parse-names":false,"suffix":""},{"dropping-particle":"","family":"Dar","given":"A. Rashid","non-dropping-particle":"","parse-names":false,"suffix":""},{"dropping-particle":"","family":"Shustik","given":"Chaim","non-dropping-particle":"","parse-names":false,"suffix":""},{"dropping-particle":"","family":"Stewart","given":"Douglas A.","non-dropping-particle":"","parse-names":false,"suffix":""},{"dropping-particle":"","family":"Winter","given":"Jane N.","non-dropping-particle":"","parse-names":false,"suffix":""},{"dropping-particle":"","family":"Horning","given":"Sandra J.","non-dropping-particle":"","parse-names":false,"suffix":""}],"container-title":"New England Journal of Medicine","id":"ITEM-2","issued":{"date-parts":[["2012"]]},"title":"ABVD alone versus radiation-based therapy in limited-stage Hodgkin's lymphoma","type":"article-journal"},"uris":["http://www.mendeley.com/documents/?uuid=0cd8bb5c-a9e8-3d1f-b4bb-294bbfd64013","http://www.mendeley.com/documents/?uuid=32a03219-84a5-439c-9922-d7e0b6ab6555"]}],"mendeley":{"formattedCitation":"[13,14]","plainTextFormattedCitation":"[13,14]","previouslyFormattedCitation":"[13,14]"},"properties":{"noteIndex":0},"schema":"https://github.com/citation-style-language/schema/raw/master/csl-citation.json"}</w:instrText>
      </w:r>
      <w:r w:rsidR="00034E4B" w:rsidRPr="002F4348">
        <w:fldChar w:fldCharType="separate"/>
      </w:r>
      <w:r w:rsidR="000C1AAB" w:rsidRPr="002F4348">
        <w:rPr>
          <w:noProof/>
        </w:rPr>
        <w:t>[13,14]</w:t>
      </w:r>
      <w:r w:rsidR="00034E4B" w:rsidRPr="002F4348">
        <w:fldChar w:fldCharType="end"/>
      </w:r>
      <w:r w:rsidR="000578EF" w:rsidRPr="002F4348">
        <w:t>.</w:t>
      </w:r>
    </w:p>
    <w:p w14:paraId="22896204" w14:textId="77777777" w:rsidR="000578EF" w:rsidRPr="002F4348" w:rsidRDefault="000578EF" w:rsidP="00034E4B">
      <w:pPr>
        <w:ind w:left="709" w:firstLine="0"/>
        <w:contextualSpacing/>
        <w:rPr>
          <w:b/>
        </w:rPr>
      </w:pPr>
      <w:r w:rsidRPr="002F4348">
        <w:rPr>
          <w:b/>
        </w:rPr>
        <w:t xml:space="preserve">Уровень убедительности рекомендаций </w:t>
      </w:r>
      <w:r w:rsidRPr="002F4348">
        <w:rPr>
          <w:b/>
          <w:lang w:val="en-US"/>
        </w:rPr>
        <w:t>A</w:t>
      </w:r>
      <w:r w:rsidRPr="002F4348">
        <w:rPr>
          <w:b/>
        </w:rPr>
        <w:t xml:space="preserve"> (уровень достоверности доказательств </w:t>
      </w:r>
      <w:r w:rsidR="00766BB2" w:rsidRPr="002F4348">
        <w:rPr>
          <w:b/>
        </w:rPr>
        <w:t>2</w:t>
      </w:r>
      <w:r w:rsidRPr="002F4348">
        <w:rPr>
          <w:b/>
        </w:rPr>
        <w:t>).</w:t>
      </w:r>
    </w:p>
    <w:p w14:paraId="0B81F9BD" w14:textId="77777777" w:rsidR="00D67C73" w:rsidRPr="002F4348" w:rsidRDefault="000578EF" w:rsidP="00D67C73">
      <w:pPr>
        <w:ind w:left="709" w:firstLine="0"/>
        <w:contextualSpacing/>
        <w:rPr>
          <w:i/>
        </w:rPr>
      </w:pPr>
      <w:r w:rsidRPr="002F4348">
        <w:rPr>
          <w:b/>
        </w:rPr>
        <w:lastRenderedPageBreak/>
        <w:t xml:space="preserve">Комментарий: </w:t>
      </w:r>
      <w:r w:rsidR="00A55F6F" w:rsidRPr="002F4348">
        <w:rPr>
          <w:i/>
        </w:rPr>
        <w:t xml:space="preserve">у </w:t>
      </w:r>
      <w:r w:rsidRPr="002F4348">
        <w:rPr>
          <w:i/>
        </w:rPr>
        <w:t xml:space="preserve">части пациентов можно ограничиться проведением </w:t>
      </w:r>
      <w:r w:rsidR="00D67C73" w:rsidRPr="002F4348">
        <w:rPr>
          <w:i/>
        </w:rPr>
        <w:t>2-4</w:t>
      </w:r>
      <w:r w:rsidRPr="002F4348">
        <w:rPr>
          <w:i/>
        </w:rPr>
        <w:t xml:space="preserve"> циклов ABVD с последующей ЛТ на зоны исходного поражения</w:t>
      </w:r>
      <w:r w:rsidR="00D67C73" w:rsidRPr="002F4348">
        <w:rPr>
          <w:i/>
        </w:rPr>
        <w:t xml:space="preserve"> СОД 20</w:t>
      </w:r>
      <w:r w:rsidR="00766BB2" w:rsidRPr="002F4348">
        <w:rPr>
          <w:i/>
        </w:rPr>
        <w:t xml:space="preserve"> </w:t>
      </w:r>
      <w:r w:rsidR="00D67C73" w:rsidRPr="002F4348">
        <w:rPr>
          <w:i/>
        </w:rPr>
        <w:t>Гр на зоны исходного поражения, при условии, что они после тщательно проведенного современного обследования с использованием ПЭТ/КТ строго удовлетворяют следующим критериям: исходно не более 2 зон поражения, отсутствие экстранодального поражения, массивных конгломератов (не более 5 см при КТ) и ускоренного СОЭ, негативные результаты промежуточной ПЭТ/КТ (ПЭТ-2 1-2 балла</w:t>
      </w:r>
      <w:r w:rsidR="00284A3D" w:rsidRPr="002F4348">
        <w:rPr>
          <w:i/>
        </w:rPr>
        <w:t xml:space="preserve"> по шкале </w:t>
      </w:r>
      <w:r w:rsidR="00284A3D" w:rsidRPr="002F4348">
        <w:rPr>
          <w:i/>
          <w:lang w:val="en-US"/>
        </w:rPr>
        <w:t>Deauville</w:t>
      </w:r>
      <w:r w:rsidR="00284A3D" w:rsidRPr="002F4348">
        <w:rPr>
          <w:i/>
        </w:rPr>
        <w:t xml:space="preserve"> – см. приложение Г2</w:t>
      </w:r>
      <w:r w:rsidR="00D67C73" w:rsidRPr="002F4348">
        <w:rPr>
          <w:i/>
        </w:rPr>
        <w:t>) после 2 циклов ХТ.</w:t>
      </w:r>
    </w:p>
    <w:p w14:paraId="145689AD" w14:textId="77777777" w:rsidR="007717F3" w:rsidRPr="002F4348" w:rsidRDefault="00D67C73" w:rsidP="007717F3">
      <w:pPr>
        <w:ind w:left="709"/>
        <w:contextualSpacing/>
        <w:rPr>
          <w:i/>
        </w:rPr>
      </w:pPr>
      <w:r w:rsidRPr="002F4348">
        <w:rPr>
          <w:i/>
        </w:rPr>
        <w:t xml:space="preserve"> Для остальных </w:t>
      </w:r>
      <w:r w:rsidR="008D35C0" w:rsidRPr="002F4348">
        <w:rPr>
          <w:i/>
        </w:rPr>
        <w:t xml:space="preserve">пациентов </w:t>
      </w:r>
      <w:r w:rsidRPr="002F4348">
        <w:rPr>
          <w:i/>
        </w:rPr>
        <w:t>этой группы предпочтение следует отдавать 4 циклам ABVD и, при полном ответе на лекарственную терапию по данным ПЭТ/КТ (1-2 балла</w:t>
      </w:r>
      <w:r w:rsidR="00284A3D" w:rsidRPr="002F4348">
        <w:rPr>
          <w:i/>
        </w:rPr>
        <w:t xml:space="preserve"> по шкале </w:t>
      </w:r>
      <w:r w:rsidR="00284A3D" w:rsidRPr="002F4348">
        <w:rPr>
          <w:i/>
          <w:lang w:val="en-US"/>
        </w:rPr>
        <w:t>Deauville</w:t>
      </w:r>
      <w:r w:rsidRPr="002F4348">
        <w:rPr>
          <w:i/>
        </w:rPr>
        <w:t>) или КТ (остаточные образования менее 2,5 см), рекомендована ЛТ на исходно пораженные лимфатические узлы 20 Гр, а при ответе 3 балла</w:t>
      </w:r>
      <w:r w:rsidR="00284A3D" w:rsidRPr="002F4348">
        <w:rPr>
          <w:i/>
        </w:rPr>
        <w:t xml:space="preserve"> по шкале </w:t>
      </w:r>
      <w:r w:rsidR="00284A3D" w:rsidRPr="002F4348">
        <w:rPr>
          <w:i/>
          <w:lang w:val="en-US"/>
        </w:rPr>
        <w:t>Deauville</w:t>
      </w:r>
      <w:r w:rsidR="00284A3D" w:rsidRPr="002F4348">
        <w:rPr>
          <w:i/>
        </w:rPr>
        <w:t xml:space="preserve"> </w:t>
      </w:r>
      <w:r w:rsidRPr="002F4348">
        <w:rPr>
          <w:i/>
        </w:rPr>
        <w:t>либо остаточных образованиях   более 2,5 см СОД 30 Гр.</w:t>
      </w:r>
      <w:r w:rsidR="007717F3" w:rsidRPr="002F4348">
        <w:rPr>
          <w:i/>
        </w:rPr>
        <w:t xml:space="preserve"> </w:t>
      </w:r>
    </w:p>
    <w:p w14:paraId="56EC664C" w14:textId="77777777" w:rsidR="000578EF" w:rsidRPr="002F4348" w:rsidRDefault="000578EF" w:rsidP="00B153FC">
      <w:pPr>
        <w:pStyle w:val="afe"/>
        <w:numPr>
          <w:ilvl w:val="0"/>
          <w:numId w:val="12"/>
        </w:numPr>
        <w:spacing w:before="120" w:after="120"/>
        <w:ind w:left="709" w:hanging="709"/>
      </w:pPr>
      <w:r w:rsidRPr="002F4348">
        <w:t xml:space="preserve">Пациентам 18-60 лет с верифицированной кЛХ ранней стадии с благоприятным прогнозом, у которых после 4 циклов </w:t>
      </w:r>
      <w:r w:rsidRPr="002F4348">
        <w:rPr>
          <w:lang w:val="en-US"/>
        </w:rPr>
        <w:t>ABVD</w:t>
      </w:r>
      <w:r w:rsidRPr="002F4348">
        <w:t xml:space="preserve"> выявляются опухолевые клетки в биоптате ПЭТ-позитивного резидуального опухолевого лимфоузла,  </w:t>
      </w:r>
      <w:r w:rsidRPr="002F4348">
        <w:rPr>
          <w:b/>
        </w:rPr>
        <w:t>рекомендуется</w:t>
      </w:r>
      <w:r w:rsidRPr="002F4348">
        <w:t xml:space="preserve"> интенсификация терапии – проведение дополнительно двух циклов химиотерапии по схеме </w:t>
      </w:r>
      <w:r w:rsidRPr="002F4348">
        <w:rPr>
          <w:lang w:val="en-US"/>
        </w:rPr>
        <w:t>BEACOPP</w:t>
      </w:r>
      <w:r w:rsidRPr="002F4348">
        <w:t xml:space="preserve">-эскалированный (этопозид**, доксорубицин**, циклофосфамид**, винкристин**, блеомицин**, прокарбазин** или дакарбазин**, преднизолон**) (описание режимов – см. приложение </w:t>
      </w:r>
      <w:r w:rsidR="007A344D" w:rsidRPr="002F4348">
        <w:t>А3.1</w:t>
      </w:r>
      <w:r w:rsidRPr="002F4348">
        <w:t>) с последующей ЛТ СОД 30 Гр на зоны исходного поражения в режиме стандартного фракционирования (разовая очаговая доза 2 Гр 5 дней в неделю)</w:t>
      </w:r>
      <w:r w:rsidR="00034E4B" w:rsidRPr="002F4348">
        <w:t xml:space="preserve"> </w:t>
      </w:r>
      <w:r w:rsidR="00034E4B" w:rsidRPr="002F4348">
        <w:fldChar w:fldCharType="begin" w:fldLock="1"/>
      </w:r>
      <w:r w:rsidR="002C6C01" w:rsidRPr="002F4348">
        <w:instrText>ADDIN CSL_CITATION {"citationItems":[{"id":"ITEM-1","itemData":{"DOI":"10.1177/1179554917731072","ISSN":"11795549","PMID":"28989291","abstract":"Hodgkin lymphoma is a highly curable malignancy in early and advanced stages. Most patients are diagnosed in their teens or twenties and are expected to live decades beyond their treatment. Therefore, the toxicity of treatment must be balanced with the goal of cure. Thus, treatment has been refined through prognostic models and positron emission tomography-computed tomography (PET-CT)-directed therapy. Stratification by prognostic models defines groups of patients with favorable characteristics who may be treated with less intensive therapy upfront, including fewer cycles of chemotherapy, lower doses of radiation, or omission of radiation altogether. Alternatively, high-risk patients may be assigned to a more aggressive initial approach. The modern use of interim PET-CT allows further tailoring of treatment by response.","author":[{"dropping-particle":"","family":"Allen","given":"Pamela B.","non-dropping-particle":"","parse-names":false,"suffix":""},{"dropping-particle":"","family":"Gordon","given":"Leo I.","non-dropping-particle":"","parse-names":false,"suffix":""}],"container-title":"Clinical Medicine Insights: Oncology","id":"ITEM-1","issued":{"date-parts":[["2017","9","25"]]},"publisher":"SAGE Publications Ltd","title":"Frontline Therapy for Classical Hodgkin Lymphoma by Stage and Prognostic Factors","type":"article","volume":"11"},"uris":["http://www.mendeley.com/documents/?uuid=26f4c36f-1c69-36b3-ba96-afe95694f052","http://www.mendeley.com/documents/?uuid=75f7e830-c8b9-4a7f-b669-e152baefec6e"]},{"id":"ITEM-2","itemData":{"author":[{"dropping-particle":"","family":"Демина","given":"Е.А.","non-dropping-particle":"","parse-names":false,"suffix":""},{"dropping-particle":"","family":"Капланов","given":"К.Д.","non-dropping-particle":"","parse-names":false,"suffix":""},{"dropping-particle":"","family":"Мухортова","given":"О.В.","non-dropping-particle":"","parse-names":false,"suffix":""},{"dropping-particle":"","family":"Тумян","given":"Г.С.","non-dropping-particle":"","parse-names":false,"suffix":""},{"dropping-particle":"","family":"Михайлова","given":"Н.Б.","non-dropping-particle":"","parse-names":false,"suffix":""},{"dropping-particle":"","family":"Моисеева","given":"Т.Н.","non-dropping-particle":"","parse-names":false,"suffix":""},{"dropping-particle":"","family":"Виноградова","given":"Ю.Н.","non-dropping-particle":"","parse-names":false,"suffix":""},{"dropping-particle":"","family":"Ильин","given":"Н.В.","non-dropping-particle":"","parse-names":false,"suffix":""},{"dropping-particle":"","family":"Трофимова","given":"О.П.","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Савченко.","id":"ITEM-2","issued":{"date-parts":[["2018"]]},"page":"28-43","title":"Лимфома Ходжкина","type":"chapter"},"uris":["http://www.mendeley.com/documents/?uuid=0af2b11d-a9cf-4da8-a503-99a860249436","http://www.mendeley.com/documents/?uuid=708bf927-447f-43d0-8bf7-28178aa7e29e"]}],"mendeley":{"formattedCitation":"[4,15]","plainTextFormattedCitation":"[4,15]","previouslyFormattedCitation":"[4,15]"},"properties":{"noteIndex":0},"schema":"https://github.com/citation-style-language/schema/raw/master/csl-citation.json"}</w:instrText>
      </w:r>
      <w:r w:rsidR="00034E4B" w:rsidRPr="002F4348">
        <w:fldChar w:fldCharType="separate"/>
      </w:r>
      <w:r w:rsidR="000C1AAB" w:rsidRPr="002F4348">
        <w:rPr>
          <w:noProof/>
        </w:rPr>
        <w:t>[4,15]</w:t>
      </w:r>
      <w:r w:rsidR="00034E4B" w:rsidRPr="002F4348">
        <w:fldChar w:fldCharType="end"/>
      </w:r>
      <w:r w:rsidRPr="002F4348">
        <w:t>.</w:t>
      </w:r>
    </w:p>
    <w:p w14:paraId="461D5125" w14:textId="77777777" w:rsidR="000578EF" w:rsidRPr="002F4348" w:rsidRDefault="000578EF" w:rsidP="00034E4B">
      <w:pPr>
        <w:ind w:left="709" w:firstLine="0"/>
        <w:contextualSpacing/>
        <w:rPr>
          <w:i/>
        </w:rPr>
      </w:pPr>
      <w:r w:rsidRPr="002F4348">
        <w:rPr>
          <w:b/>
        </w:rPr>
        <w:t xml:space="preserve">Уровень убедительности рекомендаций </w:t>
      </w:r>
      <w:r w:rsidR="006B7D24" w:rsidRPr="002F4348">
        <w:rPr>
          <w:b/>
        </w:rPr>
        <w:t xml:space="preserve">С </w:t>
      </w:r>
      <w:r w:rsidRPr="002F4348">
        <w:rPr>
          <w:b/>
        </w:rPr>
        <w:t xml:space="preserve">(уровень достоверности доказательств </w:t>
      </w:r>
      <w:r w:rsidR="006B7D24" w:rsidRPr="002F4348">
        <w:rPr>
          <w:b/>
        </w:rPr>
        <w:t>5</w:t>
      </w:r>
      <w:r w:rsidRPr="002F4348">
        <w:rPr>
          <w:b/>
        </w:rPr>
        <w:t>).</w:t>
      </w:r>
    </w:p>
    <w:p w14:paraId="6DBEC29E" w14:textId="77777777" w:rsidR="000578EF" w:rsidRPr="002F4348" w:rsidRDefault="00D75819" w:rsidP="00B153FC">
      <w:pPr>
        <w:pStyle w:val="afe"/>
        <w:numPr>
          <w:ilvl w:val="0"/>
          <w:numId w:val="12"/>
        </w:numPr>
        <w:spacing w:before="120" w:after="120"/>
        <w:ind w:left="709" w:hanging="709"/>
      </w:pPr>
      <w:r w:rsidRPr="002F4348">
        <w:t xml:space="preserve">Ранее не получавшим лечение </w:t>
      </w:r>
      <w:r w:rsidR="000578EF" w:rsidRPr="002F4348">
        <w:t>пациентам 18-60 лет с верифицированной кЛХ ранней стадии, подтвержденной ПЭТ/КТ, и с такими факторами неблагоприятного прогноза, как ускоренное СОЭ и/или поражение 3</w:t>
      </w:r>
      <w:r w:rsidR="00480B19" w:rsidRPr="002F4348">
        <w:t xml:space="preserve"> и более</w:t>
      </w:r>
      <w:r w:rsidR="000578EF" w:rsidRPr="002F4348">
        <w:t xml:space="preserve"> областей лимфатических коллекторов </w:t>
      </w:r>
      <w:r w:rsidR="000578EF" w:rsidRPr="002F4348">
        <w:rPr>
          <w:b/>
        </w:rPr>
        <w:t>рекомендуется</w:t>
      </w:r>
      <w:r w:rsidR="000578EF" w:rsidRPr="002F4348">
        <w:t xml:space="preserve"> проведение 4 циклов полихимиотерапии по схеме ABVD (описание режимов – см. приложение </w:t>
      </w:r>
      <w:r w:rsidR="007A344D" w:rsidRPr="002F4348">
        <w:t>А3.1</w:t>
      </w:r>
      <w:r w:rsidR="000578EF" w:rsidRPr="002F4348">
        <w:t xml:space="preserve">) с последующей лучевой терапией (ЛТ) в суммарной очаговой дозе (СОД) 30 Гр на зоны исходного поражения в режиме стандартного фракционирования (разовая очаговая доза 2 Гр 5 дней в неделю) </w:t>
      </w:r>
      <w:r w:rsidR="007F2CD8" w:rsidRPr="002F4348">
        <w:fldChar w:fldCharType="begin" w:fldLock="1"/>
      </w:r>
      <w:r w:rsidR="00A850F7" w:rsidRPr="002F4348">
        <w:instrText>ADDIN CSL_CITATION {"citationItems":[{"id":"ITEM-1","itemData":{"DOI":"10.1002/14651858.CD007941.pub3","ISSN":"1469493X","abstract":"BACKGROUND There are two different international standards for the treatment of early unfavourable and advanced stage Hodgkin lymphoma (HL): chemotherapy with escalated BEACOPP (bleomycin/etoposide/doxorubicin/cyclophosphamide/vincristine/procarbazine/prednisone) regimen and chemotherapy with ABVD (doxorubicin/bleomycin/vinblastine/dacarbazine) regimen. OBJECTIVES To determine the advantages and disadvantages of chemotherapy including escalated BEACOPP compared to chemotherapy including ABVD in the treatment of early unfavourable or advanced stage HL as first-line treatment. SEARCH METHODS We searched for randomised controlled trials in MEDLINE, CENTRAL and conference proceedings (January 1985 to July 2013 and for the update to March 2017) and Embase (1985 to November 2008). Moreover we searched trial registries (March 2017; www.controlled-trials.com, www.clinicaltrialsregister.eu/ctr-search/search, clinicaltrials.gov, www.eortc.be, www.ghsg.org, www.ctc.usyd.edu.au, www.trialscentral.org/index.html) SELECTION CRITERIA: We included randomised controlled trials examining chemotherapy including at least two cycles of escalated BEACOPP regimens compared with chemotherapy including at least four cycles of ABVD regimens as first-line treatment for patients with early unfavourable stage or advanced stage HL. DATA COLLECTION AND ANALYSIS The effect measures we used were hazard ratios (HRs) for overall survival (OS), progression-free survival (PFS) and freedom from first progression.We used risk ratios (RRs) relative risks to analyse harms: treatment-related mortality, secondary malignancies (including myeloid dysplastic syndrome (MDS) or acute myeloid leukaemia (AML)), infertility and adverse events.Quality of life was not reported in any trial, therefore not analysed. Two review authors independently extracted data and assessed quality of trials. MAIN RESULTS We screened 1796 records and identified five eligible trials in total i.e. one trial could be added on the previous review. These trials included only adults (16 to 65 years of age). We included all five trials with 3427 people in the meta-analyses: the HD9 and HD14 trials were co-ordinated in Germany, the HD2000 and GSM-HD trials were performed in Italy and the EORTC 20012 was conducted in Belgium. The overall risk of performance and detection bias was low for overall survival (OS), but was high for other outcomes, as therapy blinding was not feasible. The remaining 'Risk of bias' domains were low and u…","author":[{"dropping-particle":"","family":"Skoetz","given":"Nicole","non-dropping-particle":"","parse-names":false,"suffix":""},{"dropping-particle":"","family":"Will","given":"Andrea","non-dropping-particle":"","parse-names":false,"suffix":""},{"dropping-particle":"","family":"Monsef","given":"Ina","non-dropping-particle":"","parse-names":false,"suffix":""},{"dropping-particle":"","family":"Brillant","given":"Corinne","non-dropping-particle":"","parse-names":false,"suffix":""},{"dropping-particle":"","family":"Engert","given":"Andreas","non-dropping-particle":"","parse-names":false,"suffix":""},{"dropping-particle":"","family":"Tresckow","given":"Bastian","non-dropping-particle":"von","parse-names":false,"suffix":""}],"container-title":"Cochrane Database of Systematic Reviews","id":"ITEM-1","issued":{"date-parts":[["2017"]]},"title":"Comparison of first-line chemotherapy including escalated BEACOPP versus chemotherapy including ABVD for people with early unfavourable or advanced stage Hodgkin lymphoma","type":"article"},"uris":["http://www.mendeley.com/documents/?uuid=c47a5fbd-2b96-3894-ba90-965dca9218cc","http://www.mendeley.com/documents/?uuid=6f917861-0ded-464e-8965-bcce5e51c5af"]}],"mendeley":{"formattedCitation":"[16]","plainTextFormattedCitation":"[16]","previouslyFormattedCitation":"[16]"},"properties":{"noteIndex":0},"schema":"https://github.com/citation-style-language/schema/raw/master/csl-citation.json"}</w:instrText>
      </w:r>
      <w:r w:rsidR="007F2CD8" w:rsidRPr="002F4348">
        <w:fldChar w:fldCharType="separate"/>
      </w:r>
      <w:r w:rsidR="00BA1BF7" w:rsidRPr="002F4348">
        <w:rPr>
          <w:noProof/>
        </w:rPr>
        <w:t>[16]</w:t>
      </w:r>
      <w:r w:rsidR="007F2CD8" w:rsidRPr="002F4348">
        <w:fldChar w:fldCharType="end"/>
      </w:r>
      <w:r w:rsidR="000578EF" w:rsidRPr="002F4348">
        <w:t>.</w:t>
      </w:r>
    </w:p>
    <w:p w14:paraId="4A3D20DB" w14:textId="77777777" w:rsidR="000578EF" w:rsidRPr="002F4348" w:rsidRDefault="000578EF" w:rsidP="007F2CD8">
      <w:pPr>
        <w:ind w:left="709" w:firstLine="0"/>
        <w:contextualSpacing/>
        <w:rPr>
          <w:b/>
        </w:rPr>
      </w:pPr>
      <w:r w:rsidRPr="002F4348">
        <w:rPr>
          <w:b/>
        </w:rPr>
        <w:t xml:space="preserve">Уровень убедительности рекомендаций </w:t>
      </w:r>
      <w:r w:rsidRPr="002F4348">
        <w:rPr>
          <w:b/>
          <w:lang w:val="en-US"/>
        </w:rPr>
        <w:t>A</w:t>
      </w:r>
      <w:r w:rsidRPr="002F4348">
        <w:rPr>
          <w:b/>
        </w:rPr>
        <w:t xml:space="preserve"> (уровень достоверности доказательств 1).</w:t>
      </w:r>
    </w:p>
    <w:p w14:paraId="26225C55" w14:textId="77777777" w:rsidR="000578EF" w:rsidRPr="002F4348" w:rsidRDefault="00D75819" w:rsidP="00B153FC">
      <w:pPr>
        <w:pStyle w:val="afe"/>
        <w:numPr>
          <w:ilvl w:val="0"/>
          <w:numId w:val="12"/>
        </w:numPr>
        <w:spacing w:before="120" w:after="120"/>
        <w:ind w:left="709" w:hanging="709"/>
      </w:pPr>
      <w:r w:rsidRPr="002F4348">
        <w:lastRenderedPageBreak/>
        <w:t xml:space="preserve">Ранее не получавшим лечение </w:t>
      </w:r>
      <w:r w:rsidR="000578EF" w:rsidRPr="002F4348">
        <w:t xml:space="preserve">пациентам </w:t>
      </w:r>
      <w:r w:rsidR="00480B19" w:rsidRPr="002F4348">
        <w:t>18-50 лет с верифицированной I-IIA или IB стадиями кЛХ, с подтвержденными КТ или ПЭТ/КТ массивными лимфоузлами средостения и/или Е-стадией и без тяжелых сопутствующих заболеваний</w:t>
      </w:r>
      <w:r w:rsidR="004B1A79" w:rsidRPr="002F4348">
        <w:t xml:space="preserve"> </w:t>
      </w:r>
      <w:r w:rsidR="000578EF" w:rsidRPr="002F4348">
        <w:rPr>
          <w:b/>
        </w:rPr>
        <w:t>рекомендуется</w:t>
      </w:r>
      <w:r w:rsidR="000578EF" w:rsidRPr="002F4348">
        <w:t xml:space="preserve"> проведение 2 циклов </w:t>
      </w:r>
      <w:r w:rsidR="000578EF" w:rsidRPr="002F4348">
        <w:rPr>
          <w:lang w:val="en-US"/>
        </w:rPr>
        <w:t>BEACOPP</w:t>
      </w:r>
      <w:r w:rsidR="000578EF" w:rsidRPr="002F4348">
        <w:t xml:space="preserve">-эскалированного + 2 циклов </w:t>
      </w:r>
      <w:r w:rsidR="000578EF" w:rsidRPr="002F4348">
        <w:rPr>
          <w:lang w:val="en-US"/>
        </w:rPr>
        <w:t>ABVD</w:t>
      </w:r>
      <w:r w:rsidR="000578EF" w:rsidRPr="002F4348">
        <w:t xml:space="preserve"> (описание режимов – см. приложение </w:t>
      </w:r>
      <w:r w:rsidR="007A344D" w:rsidRPr="002F4348">
        <w:t>А3.1</w:t>
      </w:r>
      <w:r w:rsidR="000578EF" w:rsidRPr="002F4348">
        <w:t>) с последующей  ЛТ СОД 30 Гр на зоны исходного поражения</w:t>
      </w:r>
      <w:r w:rsidR="00F02F1F" w:rsidRPr="002F4348">
        <w:t xml:space="preserve"> </w:t>
      </w:r>
      <w:r w:rsidR="00F02F1F" w:rsidRPr="002F4348">
        <w:fldChar w:fldCharType="begin" w:fldLock="1"/>
      </w:r>
      <w:r w:rsidR="002C6C01" w:rsidRPr="002F4348">
        <w:instrText>ADDIN CSL_CITATION {"citationItems":[{"id":"ITEM-1","itemData":{"DOI":"10.1200/JCO.2011.38.5807","ISSN":"0732183X","abstract":"Purpose: In patients with early unfavorable Hodgkin's lymphoma (HL), combined modality treatment with four cycles of ABVD (adriamycin, bleomycin, vinblastine, and dacarbazine) and 30 Gy involved-field radiotherapy (IFRT) results in long-term tumor control of approximately 80%. We aimed to improve these results using more intensive chemotherapy. Patients and Methods: Patients with newly diagnosed early unfavorable HL were randomly assigned to either four cycles of ABVD or an intensified treatment consisting of two cycles of escalated BEACOPP (bleomycin, etoposide, adriamycin, cyclophosphamide, vincristine, procarbazine, and prednisone) followed by two cycles of ABVD (2 + 2). Chemotherapy was followed by 30 Gy IFRT in both arms. The primary end point was freedom from treatment failure (FFTF); secondary end points included progression-free survival (PFS) and treatment-related toxicity. Results: With a total of 1,528 qualified patients included, the 2 + 2 regimen demonstrated superior FFTF compared with four cycles of ABVD (P &lt; .001; hazard ratio, 0.44; 95% CI, 0.30 to 0.66), with a difference of 7.2% at 5 years (95% CI, 3.8 to 10.5). The difference in 5-year PFS was 6.2% (95% CI, 3.0% to 9.5%). There was more acute toxicity associated with 2 + 2 than with ABVD, but there were no overall differences in treatment-related mortality or secondary malignancies. Conclusion: Intensified chemotherapy with two cycles of BEACOPP escalated followed by two cycles of ABVD followed by IFRT significantly improves tumor control in patients with early unfavorable HL. © 2012 by American Society of Clinical Oncology.","author":[{"dropping-particle":"","family":"Tresckow","given":"Bastian","non-dropping-particle":"Von","parse-names":false,"suffix":""},{"dropping-particle":"","family":"Plütschow","given":"Annette","non-dropping-particle":"","parse-names":false,"suffix":""},{"dropping-particle":"","family":"Fuchs","given":"Michael","non-dropping-particle":"","parse-names":false,"suffix":""},{"dropping-particle":"","family":"Klimm","given":"Beate","non-dropping-particle":"","parse-names":false,"suffix":""},{"dropping-particle":"","family":"Markova","given":"Jana","non-dropping-particle":"","parse-names":false,"suffix":""},{"dropping-particle":"","family":"Lohri","given":"Andreas","non-dropping-particle":"","parse-names":false,"suffix":""},{"dropping-particle":"","family":"Kral","given":"Zdenek","non-dropping-particle":"","parse-names":false,"suffix":""},{"dropping-particle":"","family":"Greil","given":"Richard","non-dropping-particle":"","parse-names":false,"suffix":""},{"dropping-particle":"","family":"Topp","given":"Max S.","non-dropping-particle":"","parse-names":false,"suffix":""},{"dropping-particle":"","family":"Meissner","given":"Julia","non-dropping-particle":"","parse-names":false,"suffix":""},{"dropping-particle":"","family":"Zijlstra","given":"Josée M.","non-dropping-particle":"","parse-names":false,"suffix":""},{"dropping-particle":"","family":"Soekler","given":"Martin","non-dropping-particle":"","parse-names":false,"suffix":""},{"dropping-particle":"","family":"Stein","given":"Harald","non-dropping-particle":"","parse-names":false,"suffix":""},{"dropping-particle":"","family":"Eich","given":"Hans T.","non-dropping-particle":"","parse-names":false,"suffix":""},{"dropping-particle":"","family":"Mueller","given":"Rolf P.","non-dropping-particle":"","parse-names":false,"suffix":""},{"dropping-particle":"","family":"Diehl","given":"Volker","non-dropping-particle":"","parse-names":false,"suffix":""},{"dropping-particle":"","family":"Borchmann","given":"Peter","non-dropping-particle":"","parse-names":false,"suffix":""},{"dropping-particle":"","family":"Engert","given":"Andreas","non-dropping-particle":"","parse-names":false,"suffix":""}],"container-title":"Journal of Clinical Oncology","id":"ITEM-1","issue":"9","issued":{"date-parts":[["2012","3","20"]]},"page":"907-913","title":"Dose-intensification in early unfavorable Hodgkin's lymphoma: Final analysis of the German Hodgkin study group HD14 trial","type":"article-journal","volume":"30"},"uris":["http://www.mendeley.com/documents/?uuid=617ec62a-b770-37fd-bc73-843acf38fd90","http://www.mendeley.com/documents/?uuid=57cd9bd0-82be-4f83-bf8a-874839a2311b"]}],"mendeley":{"formattedCitation":"[17]","plainTextFormattedCitation":"[17]","previouslyFormattedCitation":"[17]"},"properties":{"noteIndex":0},"schema":"https://github.com/citation-style-language/schema/raw/master/csl-citation.json"}</w:instrText>
      </w:r>
      <w:r w:rsidR="00F02F1F" w:rsidRPr="002F4348">
        <w:fldChar w:fldCharType="separate"/>
      </w:r>
      <w:r w:rsidR="00BA1BF7" w:rsidRPr="002F4348">
        <w:rPr>
          <w:noProof/>
        </w:rPr>
        <w:t>[17]</w:t>
      </w:r>
      <w:r w:rsidR="00F02F1F" w:rsidRPr="002F4348">
        <w:fldChar w:fldCharType="end"/>
      </w:r>
      <w:r w:rsidR="000578EF" w:rsidRPr="002F4348">
        <w:t>.</w:t>
      </w:r>
    </w:p>
    <w:p w14:paraId="0F3CFC81" w14:textId="77777777" w:rsidR="000578EF" w:rsidRPr="002F4348" w:rsidRDefault="000578EF" w:rsidP="00F02F1F">
      <w:pPr>
        <w:ind w:left="709" w:firstLine="0"/>
        <w:contextualSpacing/>
        <w:rPr>
          <w:b/>
        </w:rPr>
      </w:pPr>
      <w:r w:rsidRPr="002F4348">
        <w:rPr>
          <w:b/>
        </w:rPr>
        <w:t xml:space="preserve">Уровень убедительности рекомендаций </w:t>
      </w:r>
      <w:r w:rsidRPr="002F4348">
        <w:rPr>
          <w:b/>
          <w:lang w:val="en-US"/>
        </w:rPr>
        <w:t>A</w:t>
      </w:r>
      <w:r w:rsidRPr="002F4348">
        <w:rPr>
          <w:b/>
        </w:rPr>
        <w:t xml:space="preserve"> (уровень достоверности доказательств </w:t>
      </w:r>
      <w:r w:rsidR="006B7D24" w:rsidRPr="002F4348">
        <w:rPr>
          <w:b/>
        </w:rPr>
        <w:t>2</w:t>
      </w:r>
      <w:r w:rsidRPr="002F4348">
        <w:rPr>
          <w:b/>
        </w:rPr>
        <w:t>).</w:t>
      </w:r>
    </w:p>
    <w:p w14:paraId="31AF8940" w14:textId="77777777" w:rsidR="008C0296" w:rsidRPr="002F4348" w:rsidRDefault="00480B19" w:rsidP="00B153FC">
      <w:pPr>
        <w:pStyle w:val="afe"/>
        <w:numPr>
          <w:ilvl w:val="0"/>
          <w:numId w:val="12"/>
        </w:numPr>
        <w:spacing w:before="120" w:after="120"/>
        <w:ind w:left="709" w:hanging="709"/>
      </w:pPr>
      <w:r w:rsidRPr="002F4348">
        <w:t>Ранее не получавшим лечение</w:t>
      </w:r>
      <w:r w:rsidR="008C0296" w:rsidRPr="002F4348">
        <w:rPr>
          <w:color w:val="000000" w:themeColor="text1"/>
        </w:rPr>
        <w:t xml:space="preserve"> пациентам 18-60 лет с верифицированной только по данным КТ </w:t>
      </w:r>
      <w:r w:rsidR="008C0296" w:rsidRPr="002F4348">
        <w:rPr>
          <w:color w:val="000000" w:themeColor="text1"/>
          <w:lang w:val="en-US"/>
        </w:rPr>
        <w:t>I</w:t>
      </w:r>
      <w:r w:rsidR="008C0296" w:rsidRPr="002F4348">
        <w:rPr>
          <w:color w:val="000000" w:themeColor="text1"/>
        </w:rPr>
        <w:t>-</w:t>
      </w:r>
      <w:r w:rsidR="008C0296" w:rsidRPr="002F4348">
        <w:rPr>
          <w:color w:val="000000" w:themeColor="text1"/>
          <w:lang w:val="en-US"/>
        </w:rPr>
        <w:t>IIA</w:t>
      </w:r>
      <w:r w:rsidR="008C0296" w:rsidRPr="002F4348">
        <w:rPr>
          <w:color w:val="000000" w:themeColor="text1"/>
        </w:rPr>
        <w:t xml:space="preserve"> или </w:t>
      </w:r>
      <w:r w:rsidR="008C0296" w:rsidRPr="002F4348">
        <w:rPr>
          <w:color w:val="000000" w:themeColor="text1"/>
          <w:lang w:val="en-US"/>
        </w:rPr>
        <w:t>IB</w:t>
      </w:r>
      <w:r w:rsidR="008C0296" w:rsidRPr="002F4348">
        <w:rPr>
          <w:color w:val="000000" w:themeColor="text1"/>
        </w:rPr>
        <w:t xml:space="preserve"> стадиями кЛХ, но не подтвержденной ПЭТ/КТ, и потому не удовлетворяющим критериям для 4 циклов </w:t>
      </w:r>
      <w:r w:rsidR="008C0296" w:rsidRPr="002F4348">
        <w:rPr>
          <w:color w:val="000000" w:themeColor="text1"/>
          <w:lang w:val="en-US"/>
        </w:rPr>
        <w:t>ABVD</w:t>
      </w:r>
      <w:r w:rsidR="008C0296" w:rsidRPr="002F4348">
        <w:rPr>
          <w:color w:val="000000" w:themeColor="text1"/>
        </w:rPr>
        <w:t xml:space="preserve">, а также пациентам с коморбидностью, которым не может быть проведено 2 цикла </w:t>
      </w:r>
      <w:r w:rsidR="008C0296" w:rsidRPr="002F4348">
        <w:rPr>
          <w:color w:val="000000" w:themeColor="text1"/>
          <w:lang w:val="en-US"/>
        </w:rPr>
        <w:t>BEACOPP</w:t>
      </w:r>
      <w:r w:rsidR="008C0296" w:rsidRPr="002F4348">
        <w:rPr>
          <w:color w:val="000000" w:themeColor="text1"/>
        </w:rPr>
        <w:t xml:space="preserve">-эскалированного + 2 цикла </w:t>
      </w:r>
      <w:r w:rsidR="008C0296" w:rsidRPr="002F4348">
        <w:rPr>
          <w:color w:val="000000" w:themeColor="text1"/>
          <w:lang w:val="en-US"/>
        </w:rPr>
        <w:t>ABVD</w:t>
      </w:r>
      <w:r w:rsidR="008C0296" w:rsidRPr="002F4348">
        <w:t xml:space="preserve">, </w:t>
      </w:r>
      <w:r w:rsidR="008C0296" w:rsidRPr="002F4348">
        <w:rPr>
          <w:b/>
        </w:rPr>
        <w:t>рекомендуется</w:t>
      </w:r>
      <w:r w:rsidR="008C0296" w:rsidRPr="002F4348">
        <w:t xml:space="preserve"> проведение 6 циклов </w:t>
      </w:r>
      <w:r w:rsidR="008C0296" w:rsidRPr="002F4348">
        <w:rPr>
          <w:lang w:val="en-US"/>
        </w:rPr>
        <w:t>ABVD</w:t>
      </w:r>
      <w:r w:rsidR="008C0296" w:rsidRPr="002F4348">
        <w:t xml:space="preserve"> (описание режимов – см. приложение А3.1) с последующей ЛТ СОД 30 Гр на зоны исходного поражения </w:t>
      </w:r>
      <w:r w:rsidR="008C0296" w:rsidRPr="002F4348">
        <w:fldChar w:fldCharType="begin" w:fldLock="1"/>
      </w:r>
      <w:r w:rsidR="00A850F7" w:rsidRPr="002F4348">
        <w:instrText>ADDIN CSL_CITATION {"citationItems":[{"id":"ITEM-1","itemData":{"DOI":"10.1002/14651858.CD007941.pub3","ISSN":"1469493X","abstract":"BACKGROUND There are two different international standards for the treatment of early unfavourable and advanced stage Hodgkin lymphoma (HL): chemotherapy with escalated BEACOPP (bleomycin/etoposide/doxorubicin/cyclophosphamide/vincristine/procarbazine/prednisone) regimen and chemotherapy with ABVD (doxorubicin/bleomycin/vinblastine/dacarbazine) regimen. OBJECTIVES To determine the advantages and disadvantages of chemotherapy including escalated BEACOPP compared to chemotherapy including ABVD in the treatment of early unfavourable or advanced stage HL as first-line treatment. SEARCH METHODS We searched for randomised controlled trials in MEDLINE, CENTRAL and conference proceedings (January 1985 to July 2013 and for the update to March 2017) and Embase (1985 to November 2008). Moreover we searched trial registries (March 2017; www.controlled-trials.com, www.clinicaltrialsregister.eu/ctr-search/search, clinicaltrials.gov, www.eortc.be, www.ghsg.org, www.ctc.usyd.edu.au, www.trialscentral.org/index.html) SELECTION CRITERIA: We included randomised controlled trials examining chemotherapy including at least two cycles of escalated BEACOPP regimens compared with chemotherapy including at least four cycles of ABVD regimens as first-line treatment for patients with early unfavourable stage or advanced stage HL. DATA COLLECTION AND ANALYSIS The effect measures we used were hazard ratios (HRs) for overall survival (OS), progression-free survival (PFS) and freedom from first progression.We used risk ratios (RRs) relative risks to analyse harms: treatment-related mortality, secondary malignancies (including myeloid dysplastic syndrome (MDS) or acute myeloid leukaemia (AML)), infertility and adverse events.Quality of life was not reported in any trial, therefore not analysed. Two review authors independently extracted data and assessed quality of trials. MAIN RESULTS We screened 1796 records and identified five eligible trials in total i.e. one trial could be added on the previous review. These trials included only adults (16 to 65 years of age). We included all five trials with 3427 people in the meta-analyses: the HD9 and HD14 trials were co-ordinated in Germany, the HD2000 and GSM-HD trials were performed in Italy and the EORTC 20012 was conducted in Belgium. The overall risk of performance and detection bias was low for overall survival (OS), but was high for other outcomes, as therapy blinding was not feasible. The remaining 'Risk of bias' domains were low and u…","author":[{"dropping-particle":"","family":"Skoetz","given":"Nicole","non-dropping-particle":"","parse-names":false,"suffix":""},{"dropping-particle":"","family":"Will","given":"Andrea","non-dropping-particle":"","parse-names":false,"suffix":""},{"dropping-particle":"","family":"Monsef","given":"Ina","non-dropping-particle":"","parse-names":false,"suffix":""},{"dropping-particle":"","family":"Brillant","given":"Corinne","non-dropping-particle":"","parse-names":false,"suffix":""},{"dropping-particle":"","family":"Engert","given":"Andreas","non-dropping-particle":"","parse-names":false,"suffix":""},{"dropping-particle":"","family":"Tresckow","given":"Bastian","non-dropping-particle":"von","parse-names":false,"suffix":""}],"container-title":"Cochrane Database of Systematic Reviews","id":"ITEM-1","issued":{"date-parts":[["2017"]]},"title":"Comparison of first-line chemotherapy including escalated BEACOPP versus chemotherapy including ABVD for people with early unfavourable or advanced stage Hodgkin lymphoma","type":"article"},"uris":["http://www.mendeley.com/documents/?uuid=6f917861-0ded-464e-8965-bcce5e51c5af","http://www.mendeley.com/documents/?uuid=c47a5fbd-2b96-3894-ba90-965dca9218cc"]}],"mendeley":{"formattedCitation":"[16]","plainTextFormattedCitation":"[16]","previouslyFormattedCitation":"[16]"},"properties":{"noteIndex":0},"schema":"https://github.com/citation-style-language/schema/raw/master/csl-citation.json"}</w:instrText>
      </w:r>
      <w:r w:rsidR="008C0296" w:rsidRPr="002F4348">
        <w:fldChar w:fldCharType="separate"/>
      </w:r>
      <w:r w:rsidR="00BA1BF7" w:rsidRPr="002F4348">
        <w:rPr>
          <w:noProof/>
        </w:rPr>
        <w:t>[16]</w:t>
      </w:r>
      <w:r w:rsidR="008C0296" w:rsidRPr="002F4348">
        <w:fldChar w:fldCharType="end"/>
      </w:r>
      <w:r w:rsidR="008C0296" w:rsidRPr="002F4348">
        <w:t>.</w:t>
      </w:r>
    </w:p>
    <w:p w14:paraId="3631326B" w14:textId="77777777" w:rsidR="000578EF" w:rsidRPr="002F4348" w:rsidRDefault="000578EF" w:rsidP="00F02F1F">
      <w:pPr>
        <w:ind w:left="709" w:firstLine="0"/>
        <w:contextualSpacing/>
        <w:rPr>
          <w:b/>
        </w:rPr>
      </w:pPr>
      <w:r w:rsidRPr="002F4348">
        <w:rPr>
          <w:b/>
        </w:rPr>
        <w:t xml:space="preserve">Уровень убедительности рекомендаций </w:t>
      </w:r>
      <w:r w:rsidRPr="002F4348">
        <w:rPr>
          <w:b/>
          <w:lang w:val="en-US"/>
        </w:rPr>
        <w:t>A</w:t>
      </w:r>
      <w:r w:rsidRPr="002F4348">
        <w:rPr>
          <w:b/>
        </w:rPr>
        <w:t xml:space="preserve"> (уровень достоверности доказательств 1).</w:t>
      </w:r>
    </w:p>
    <w:p w14:paraId="1868085E" w14:textId="77777777" w:rsidR="000578EF" w:rsidRPr="002F4348" w:rsidRDefault="000578EF" w:rsidP="00B153FC">
      <w:pPr>
        <w:pStyle w:val="afe"/>
        <w:numPr>
          <w:ilvl w:val="0"/>
          <w:numId w:val="12"/>
        </w:numPr>
        <w:spacing w:before="120" w:after="120"/>
        <w:ind w:left="709" w:hanging="709"/>
      </w:pPr>
      <w:r w:rsidRPr="002F4348">
        <w:t xml:space="preserve">Пациентам 18-60 лет с верифицированной кЛХ ранней стадии с неблагоприятным прогнозом, у которых после 2 циклов запланированной терапии выявляются опухолевые клетки в биоптате ПЭТ-позитивного резидуального опухолевого лимфоузла,  </w:t>
      </w:r>
      <w:r w:rsidRPr="002F4348">
        <w:rPr>
          <w:b/>
        </w:rPr>
        <w:t>рекомендуется</w:t>
      </w:r>
      <w:r w:rsidRPr="002F4348">
        <w:t xml:space="preserve"> интенсификация терапии – проведение дополнительно </w:t>
      </w:r>
      <w:r w:rsidR="00537471" w:rsidRPr="002F4348">
        <w:t>2-4</w:t>
      </w:r>
      <w:r w:rsidRPr="002F4348">
        <w:t xml:space="preserve"> циклов химиотерапии по схеме </w:t>
      </w:r>
      <w:r w:rsidRPr="002F4348">
        <w:rPr>
          <w:lang w:val="en-US"/>
        </w:rPr>
        <w:t>BEACOPP</w:t>
      </w:r>
      <w:r w:rsidRPr="002F4348">
        <w:t xml:space="preserve">-эскалированный (описание режимов – см. приложение </w:t>
      </w:r>
      <w:r w:rsidR="007A344D" w:rsidRPr="002F4348">
        <w:t>А3.1</w:t>
      </w:r>
      <w:r w:rsidRPr="002F4348">
        <w:t xml:space="preserve">) с </w:t>
      </w:r>
      <w:r w:rsidR="00537471" w:rsidRPr="002F4348">
        <w:t xml:space="preserve">КТ или ПЭТ/КТ контролем после каждых 2 циклов и  </w:t>
      </w:r>
      <w:r w:rsidRPr="002F4348">
        <w:t>последующей ЛТ СОД 30 Гр на зоны исходного поражения</w:t>
      </w:r>
      <w:r w:rsidR="006B7D24" w:rsidRPr="002F4348">
        <w:t xml:space="preserve"> </w:t>
      </w:r>
      <w:r w:rsidR="006B7D24" w:rsidRPr="002F4348">
        <w:fldChar w:fldCharType="begin" w:fldLock="1"/>
      </w:r>
      <w:r w:rsidR="002C6C01" w:rsidRPr="002F4348">
        <w:instrText>ADDIN CSL_CITATION {"citationItems":[{"id":"ITEM-1","itemData":{"DOI":"10.1177/1179554917731072","ISSN":"11795549","PMID":"28989291","abstract":"Hodgkin lymphoma is a highly curable malignancy in early and advanced stages. Most patients are diagnosed in their teens or twenties and are expected to live decades beyond their treatment. Therefore, the toxicity of treatment must be balanced with the goal of cure. Thus, treatment has been refined through prognostic models and positron emission tomography-computed tomography (PET-CT)-directed therapy. Stratification by prognostic models defines groups of patients with favorable characteristics who may be treated with less intensive therapy upfront, including fewer cycles of chemotherapy, lower doses of radiation, or omission of radiation altogether. Alternatively, high-risk patients may be assigned to a more aggressive initial approach. The modern use of interim PET-CT allows further tailoring of treatment by response.","author":[{"dropping-particle":"","family":"Allen","given":"Pamela B.","non-dropping-particle":"","parse-names":false,"suffix":""},{"dropping-particle":"","family":"Gordon","given":"Leo I.","non-dropping-particle":"","parse-names":false,"suffix":""}],"container-title":"Clinical Medicine Insights: Oncology","id":"ITEM-1","issued":{"date-parts":[["2017","9","25"]]},"publisher":"SAGE Publications Ltd","title":"Frontline Therapy for Classical Hodgkin Lymphoma by Stage and Prognostic Factors","type":"article","volume":"11"},"uris":["http://www.mendeley.com/documents/?uuid=75f7e830-c8b9-4a7f-b669-e152baefec6e","http://www.mendeley.com/documents/?uuid=26f4c36f-1c69-36b3-ba96-afe95694f052"]},{"id":"ITEM-2","itemData":{"author":[{"dropping-particle":"","family":"Демина","given":"Е.А.","non-dropping-particle":"","parse-names":false,"suffix":""},{"dropping-particle":"","family":"Капланов","given":"К.Д.","non-dropping-particle":"","parse-names":false,"suffix":""},{"dropping-particle":"","family":"Мухортова","given":"О.В.","non-dropping-particle":"","parse-names":false,"suffix":""},{"dropping-particle":"","family":"Тумян","given":"Г.С.","non-dropping-particle":"","parse-names":false,"suffix":""},{"dropping-particle":"","family":"Михайлова","given":"Н.Б.","non-dropping-particle":"","parse-names":false,"suffix":""},{"dropping-particle":"","family":"Моисеева","given":"Т.Н.","non-dropping-particle":"","parse-names":false,"suffix":""},{"dropping-particle":"","family":"Виноградова","given":"Ю.Н.","non-dropping-particle":"","parse-names":false,"suffix":""},{"dropping-particle":"","family":"Ильин","given":"Н.В.","non-dropping-particle":"","parse-names":false,"suffix":""},{"dropping-particle":"","family":"Трофимова","given":"О.П.","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Савченко.","id":"ITEM-2","issued":{"date-parts":[["2018"]]},"page":"28-43","title":"Лимфома Ходжкина","type":"chapter"},"uris":["http://www.mendeley.com/documents/?uuid=0af2b11d-a9cf-4da8-a503-99a860249436","http://www.mendeley.com/documents/?uuid=708bf927-447f-43d0-8bf7-28178aa7e29e","http://www.mendeley.com/documents/?uuid=45a43217-d6ca-48ce-bf06-e7999c2abf21"]}],"mendeley":{"formattedCitation":"[4,15]","plainTextFormattedCitation":"[4,15]","previouslyFormattedCitation":"[4,15]"},"properties":{"noteIndex":0},"schema":"https://github.com/citation-style-language/schema/raw/master/csl-citation.json"}</w:instrText>
      </w:r>
      <w:r w:rsidR="006B7D24" w:rsidRPr="002F4348">
        <w:fldChar w:fldCharType="separate"/>
      </w:r>
      <w:r w:rsidR="000C1AAB" w:rsidRPr="002F4348">
        <w:rPr>
          <w:noProof/>
        </w:rPr>
        <w:t>[4,15]</w:t>
      </w:r>
      <w:r w:rsidR="006B7D24" w:rsidRPr="002F4348">
        <w:fldChar w:fldCharType="end"/>
      </w:r>
      <w:r w:rsidRPr="002F4348">
        <w:t>.</w:t>
      </w:r>
    </w:p>
    <w:p w14:paraId="6A15BB4A" w14:textId="77777777" w:rsidR="000578EF" w:rsidRPr="002F4348" w:rsidRDefault="000578EF" w:rsidP="00F02F1F">
      <w:pPr>
        <w:ind w:left="709" w:firstLine="0"/>
        <w:contextualSpacing/>
        <w:rPr>
          <w:i/>
        </w:rPr>
      </w:pPr>
      <w:r w:rsidRPr="002F4348">
        <w:rPr>
          <w:b/>
        </w:rPr>
        <w:t xml:space="preserve">Уровень убедительности рекомендаций </w:t>
      </w:r>
      <w:r w:rsidR="006B7D24" w:rsidRPr="002F4348">
        <w:rPr>
          <w:b/>
        </w:rPr>
        <w:t xml:space="preserve">С </w:t>
      </w:r>
      <w:r w:rsidRPr="002F4348">
        <w:rPr>
          <w:b/>
        </w:rPr>
        <w:t xml:space="preserve">(уровень достоверности доказательств </w:t>
      </w:r>
      <w:r w:rsidR="006B7D24" w:rsidRPr="002F4348">
        <w:rPr>
          <w:b/>
        </w:rPr>
        <w:t>5</w:t>
      </w:r>
      <w:r w:rsidRPr="002F4348">
        <w:rPr>
          <w:b/>
        </w:rPr>
        <w:t>).</w:t>
      </w:r>
    </w:p>
    <w:p w14:paraId="5EBEE81D" w14:textId="77777777" w:rsidR="000578EF" w:rsidRPr="002F4348" w:rsidRDefault="00D75819" w:rsidP="00B153FC">
      <w:pPr>
        <w:pStyle w:val="afe"/>
        <w:numPr>
          <w:ilvl w:val="0"/>
          <w:numId w:val="12"/>
        </w:numPr>
        <w:spacing w:before="120" w:after="120"/>
        <w:ind w:left="709" w:hanging="709"/>
      </w:pPr>
      <w:r w:rsidRPr="002F4348">
        <w:t>Ранее не получавшим лечение</w:t>
      </w:r>
      <w:r w:rsidR="000578EF" w:rsidRPr="002F4348">
        <w:t xml:space="preserve"> пациентам старше 18 лет с верифицированной </w:t>
      </w:r>
      <w:r w:rsidR="000578EF" w:rsidRPr="002F4348">
        <w:rPr>
          <w:lang w:val="en-US"/>
        </w:rPr>
        <w:t>I</w:t>
      </w:r>
      <w:r w:rsidR="000578EF" w:rsidRPr="002F4348">
        <w:t>-</w:t>
      </w:r>
      <w:r w:rsidR="000578EF" w:rsidRPr="002F4348">
        <w:rPr>
          <w:lang w:val="en-US"/>
        </w:rPr>
        <w:t>IIA</w:t>
      </w:r>
      <w:r w:rsidR="000578EF" w:rsidRPr="002F4348">
        <w:t xml:space="preserve"> или </w:t>
      </w:r>
      <w:r w:rsidR="000578EF" w:rsidRPr="002F4348">
        <w:rPr>
          <w:lang w:val="en-US"/>
        </w:rPr>
        <w:t>IB</w:t>
      </w:r>
      <w:r w:rsidR="000578EF" w:rsidRPr="002F4348">
        <w:t xml:space="preserve"> стадиями кЛХ с массивными конгломератами лимфоузлов в средостении и/или Е-стадией, при невозможности проведения исходного и промежуточного ПЭТ/КТ </w:t>
      </w:r>
      <w:r w:rsidR="000578EF" w:rsidRPr="002F4348">
        <w:rPr>
          <w:b/>
        </w:rPr>
        <w:t>рекомендуется</w:t>
      </w:r>
      <w:r w:rsidR="000578EF" w:rsidRPr="002F4348">
        <w:t xml:space="preserve"> проведение терапии в соответствии с рекомендациями для распространенных стадий</w:t>
      </w:r>
      <w:r w:rsidR="00F02F1F" w:rsidRPr="002F4348">
        <w:t xml:space="preserve"> </w:t>
      </w:r>
      <w:r w:rsidR="00F02F1F" w:rsidRPr="002F4348">
        <w:fldChar w:fldCharType="begin" w:fldLock="1"/>
      </w:r>
      <w:r w:rsidR="00A850F7" w:rsidRPr="002F4348">
        <w:instrText>ADDIN CSL_CITATION {"citationItems":[{"id":"ITEM-1","itemData":{"author":[{"dropping-particle":"","family":"Демина","given":"Е.А.","non-dropping-particle":"","parse-names":false,"suffix":""},{"dropping-particle":"","family":"Капланов","given":"К.Д.","non-dropping-particle":"","parse-names":false,"suffix":""},{"dropping-particle":"","family":"Мухортова","given":"О.В.","non-dropping-particle":"","parse-names":false,"suffix":""},{"dropping-particle":"","family":"Тумян","given":"Г.С.","non-dropping-particle":"","parse-names":false,"suffix":""},{"dropping-particle":"","family":"Михайлова","given":"Н.Б.","non-dropping-particle":"","parse-names":false,"suffix":""},{"dropping-particle":"","family":"Моисеева","given":"Т.Н.","non-dropping-particle":"","parse-names":false,"suffix":""},{"dropping-particle":"","family":"Виноградова","given":"Ю.Н.","non-dropping-particle":"","parse-names":false,"suffix":""},{"dropping-particle":"","family":"Ильин","given":"Н.В.","non-dropping-particle":"","parse-names":false,"suffix":""},{"dropping-particle":"","family":"Трофимова","given":"О.П.","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Савченко.","id":"ITEM-1","issued":{"date-parts":[["2018"]]},"page":"28-43","title":"Лимфома Ходжкина","type":"chapter"},"uris":["http://www.mendeley.com/documents/?uuid=0af2b11d-a9cf-4da8-a503-99a860249436","http://www.mendeley.com/documents/?uuid=708bf927-447f-43d0-8bf7-28178aa7e29e"]}],"mendeley":{"formattedCitation":"[4]","plainTextFormattedCitation":"[4]","previouslyFormattedCitation":"[4]"},"properties":{"noteIndex":0},"schema":"https://github.com/citation-style-language/schema/raw/master/csl-citation.json"}</w:instrText>
      </w:r>
      <w:r w:rsidR="00F02F1F" w:rsidRPr="002F4348">
        <w:fldChar w:fldCharType="separate"/>
      </w:r>
      <w:r w:rsidR="00F02F1F" w:rsidRPr="002F4348">
        <w:rPr>
          <w:noProof/>
        </w:rPr>
        <w:t>[4]</w:t>
      </w:r>
      <w:r w:rsidR="00F02F1F" w:rsidRPr="002F4348">
        <w:fldChar w:fldCharType="end"/>
      </w:r>
      <w:r w:rsidR="000578EF" w:rsidRPr="002F4348">
        <w:t>.</w:t>
      </w:r>
    </w:p>
    <w:p w14:paraId="5CDB7F65" w14:textId="77777777" w:rsidR="000578EF" w:rsidRPr="002F4348" w:rsidRDefault="000578EF" w:rsidP="00F02F1F">
      <w:pPr>
        <w:ind w:left="709" w:firstLine="0"/>
        <w:contextualSpacing/>
        <w:rPr>
          <w:b/>
        </w:rPr>
      </w:pPr>
      <w:r w:rsidRPr="002F4348">
        <w:rPr>
          <w:b/>
        </w:rPr>
        <w:t>Уровень убедительности рекомендаций С (уровень достоверности доказательств 5).</w:t>
      </w:r>
    </w:p>
    <w:p w14:paraId="6BB31DE1" w14:textId="77777777" w:rsidR="00FC18FB" w:rsidRPr="002F4348" w:rsidRDefault="00FC18FB" w:rsidP="00B153FC">
      <w:pPr>
        <w:pStyle w:val="afe"/>
        <w:numPr>
          <w:ilvl w:val="0"/>
          <w:numId w:val="12"/>
        </w:numPr>
        <w:spacing w:before="120" w:after="120"/>
        <w:ind w:left="709" w:hanging="709"/>
      </w:pPr>
      <w:r w:rsidRPr="002F4348">
        <w:lastRenderedPageBreak/>
        <w:t xml:space="preserve">Пациентам с верифицированной кЛХ, которым показано проведение лучевой терапии, </w:t>
      </w:r>
      <w:r w:rsidRPr="002F4348">
        <w:rPr>
          <w:b/>
        </w:rPr>
        <w:t>рекомендуется</w:t>
      </w:r>
      <w:r w:rsidR="00E1372A" w:rsidRPr="002F4348">
        <w:rPr>
          <w:b/>
        </w:rPr>
        <w:t>,</w:t>
      </w:r>
      <w:r w:rsidRPr="002F4348">
        <w:t xml:space="preserve"> при наличии технической возможности</w:t>
      </w:r>
      <w:r w:rsidR="00E1372A" w:rsidRPr="002F4348">
        <w:t>,</w:t>
      </w:r>
      <w:r w:rsidRPr="002F4348">
        <w:t xml:space="preserve"> выполнение облучения с применением протонной терапии для снижения токсичности и риска развития вторичных радиоиндуцированных опухолей </w:t>
      </w:r>
      <w:r w:rsidRPr="002F4348">
        <w:fldChar w:fldCharType="begin" w:fldLock="1"/>
      </w:r>
      <w:r w:rsidR="002C6C01" w:rsidRPr="002F4348">
        <w:instrText>ADDIN CSL_CITATION {"citationItems":[{"id":"ITEM-1","itemData":{"DOI":"10.1016/j.ijrobp.2011.12.034","ISSN":"03603016","abstract":"Purpose: We investigated the dosimetric impact of proton therapy (PT) on various cardiac subunits in patients with Hodgkin lymphoma (HL). Methods and Materials: From June 2009 through December 2010, 13 patients were enrolled on an institutional review board-approved protocol for consolidative involved-node radiotherapy (INRT) for HL. Three separate treatment plans were developed prospectively by using three-dimensional conformal radiotherapy (3DCRT), intensity-modulated radiotherapy (IMRT), and PT. Cardiac subunits were retrospectively contoured on the 11 patients with intravenous-contrast simulation scans, and the doses were calculated for all treatment plans. A Wilcoxon paired test was performed to evaluate the statistical significance (p &lt; 0.05) of 3DCRT and IMRT compared with PT. Results: The mean heart doses were 21 Gy, 12 Gy, and 8 Gy (relative biologic effectiveness [RBE]) with 3DCRT, IMRT, and PT, respectively. Compared with 3DCRT and IMRT, PT reduced the mean doses to the left and right atria; the left and right ventricles; the aortic, mitral, and tricuspid valves; and the left anterior descending, left circumflex, and right circumflex coronary arteries. Conclusions: Compared with 3DCRT and IMRT, PT reduced the radiation doses to all major cardiac subunits. Limiting the doses to these structures should translate into lower rates of cardiac toxicities. © 2012 Elsevier Inc.","author":[{"dropping-particle":"","family":"Hoppe","given":"Bradford S.","non-dropping-particle":"","parse-names":false,"suffix":""},{"dropping-particle":"","family":"Flampouri","given":"Stella","non-dropping-particle":"","parse-names":false,"suffix":""},{"dropping-particle":"","family":"Su","given":"Zhong","non-dropping-particle":"","parse-names":false,"suffix":""},{"dropping-particle":"","family":"Latif","given":"Naeem","non-dropping-particle":"","parse-names":false,"suffix":""},{"dropping-particle":"","family":"Dang","given":"Nam H.","non-dropping-particle":"","parse-names":false,"suffix":""},{"dropping-particle":"","family":"Lynch","given":"James","non-dropping-particle":"","parse-names":false,"suffix":""},{"dropping-particle":"","family":"Joyce","given":"Michael","non-dropping-particle":"","parse-names":false,"suffix":""},{"dropping-particle":"","family":"Sandler","given":"Eric","non-dropping-particle":"","parse-names":false,"suffix":""},{"dropping-particle":"","family":"Li","given":"Zuofeng","non-dropping-particle":"","parse-names":false,"suffix":""},{"dropping-particle":"","family":"Mendenhall","given":"Nancy P.","non-dropping-particle":"","parse-names":false,"suffix":""}],"container-title":"International Journal of Radiation Oncology Biology Physics","id":"ITEM-1","issue":"2","issued":{"date-parts":[["2012","10","1"]]},"page":"449-455","title":"Effective dose reduction to cardiac structures using protons compared with 3DCRT and IMRT in mediastinal Hodgkin lymphoma","type":"article-journal","volume":"84"},"uris":["http://www.mendeley.com/documents/?uuid=6d60c87b-73b5-392a-9a2e-19ac9efc675e","http://www.mendeley.com/documents/?uuid=777493bd-9c1e-405a-8fc6-8aa9c2995763"]},{"id":"ITEM-2","itemData":{"DOI":"10.1093/annonc/mdx287 LK - http://ucelinks.cdlib.org:8888/sfx_local?sid=EMBASE&amp;issn=15698041&amp;id=doi:10.1093%2Fannonc%2Fmdx287&amp;atitle=Consolidative+proton+therapy+after+chemotherapy+for+patients+with+Hodgkin+lymphoma&amp;stitle=Ann.+Oncol.&amp;title=Annals+of+Oncology&amp;volume=28&amp;issue=9&amp;spage=2179&amp;epage=2184&amp;aulast=Hoppe&amp;aufirst=Bradford+S.&amp;auinit=B.S.&amp;aufull=Hoppe+B.S.&amp;coden=ANONE&amp;isbn=&amp;pages=2179-2184&amp;date=2017&amp;auinit1=B&amp;auinitm=S","ISSN":"1569-8041","PMID":"28911093","abstract":"Background: We investigated early outcomes for patients receiving chemotherapy followed by consolidative proton therapy (PT) for the treatment of Hodgkin lymphoma (HL). Patients and methods: From June 2008 through August 2015, 138 patients with HL enrolled on either IRB-approved outcomes tracking protocols or registry studies received consolidative PT. Patients were excluded due to relapsed or refractory disease. Involved-site radiotherapy field designs were used for all patients. Pediatric patients received a median dose of 21 Gy(RBE) [range 15-36 Gy(RBE)]; adult patients received a median dose of 30.6 Gy(RBE) [range, 20-45 Gy(RBE)]. Patients receiving PT were young (median age, 20 years; range 6-57). Overall, 42% were pediatric (≤18 years) and 93% were under the age of 40 years. Thirty-eight percent of patients were male and 62% female. Stage distribution included 73% with I/II and 27% with III/IV disease. Patients predominantly had mediastinal involvement (96%) and bulky disease (57%), whereas 37% had B symptoms. The median follow-up was 32 months (range, 5-92 months). Results: The 3-year relapse-free survival rate was 92% for all patients; it was 96% for adults and 87% for pediatric patients (P=0.18). When evaluated by positron emission tomography/computed tomography scan response at the end of chemotherapy, patients with a partial response had worse 3-year progression-free survival compared with other patients (78% versus 94%; P=0.0034). No grade 3 radiation-related toxicities have occurred to date. Conclusion: Consolidative PT following standard chemotherapy in HL is primarily used in young patients with mediastinal and bulky disease. Early relapse-free survival rates are similar to those reported with photon radiation treatment, and no early grade 3 toxicities have been observed. Continued follow-up to assess late effects is critical.","author":[{"dropping-particle":"","family":"Hoppe","given":"B.S.","non-dropping-particle":"","parse-names":false,"suffix":""},{"dropping-particle":"","family":"Hill-Kayser","given":"C.E.","non-dropping-particle":"","parse-names":false,"suffix":""},{"dropping-particle":"","family":"Tseng","given":"Y.D.","non-dropping-particle":"","parse-names":false,"suffix":""},{"dropping-particle":"","family":"Flampouri","given":"S.","non-dropping-particle":"","parse-names":false,"suffix":""},{"dropping-particle":"","family":"Elmongy","given":"H.M.","non-dropping-particle":"","parse-names":false,"suffix":""},{"dropping-particle":"","family":"Cahlon","given":"O.","non-dropping-particle":"","parse-names":false,"suffix":""},{"dropping-particle":"","family":"Mendenhall","given":"N.P.","non-dropping-particle":"","parse-names":false,"suffix":""},{"dropping-particle":"","family":"Maity","given":"A.","non-dropping-particle":"","parse-names":false,"suffix":""},{"dropping-particle":"","family":"McGee","given":"L.A.","non-dropping-particle":"","parse-names":false,"suffix":""},{"dropping-particle":"","family":"Plastaras","given":"J.P.","non-dropping-particle":"","parse-names":false,"suffix":""}],"container-title":"Annals of Oncology","id":"ITEM-2","issue":"9","issued":{"date-parts":[["2017"]]},"page":"2179-2184","title":"Consolidative proton therapy after chemotherapy for patients with Hodgkin lymphoma","type":"article-journal","volume":"28"},"uris":["http://www.mendeley.com/documents/?uuid=67af5d0d-9b78-3ff6-bc1c-6a6dab45b42c","http://www.mendeley.com/documents/?uuid=9abc349d-dd9f-48fd-b9bd-53b9a09484cb"]},{"id":"ITEM-3","itemData":{"DOI":"10.1016/j.ijrobp.2017.05.004","ISSN":"1879355X","author":[{"dropping-particle":"","family":"Tseng","given":"Yolanda D.","non-dropping-particle":"","parse-names":false,"suffix":""},{"dropping-particle":"","family":"Cutter","given":"David J.","non-dropping-particle":"","parse-names":false,"suffix":""},{"dropping-particle":"","family":"Plastaras","given":"John P.","non-dropping-particle":"","parse-names":false,"suffix":""},{"dropping-particle":"","family":"Parikh","given":"Rahul R.","non-dropping-particle":"","parse-names":false,"suffix":""},{"dropping-particle":"","family":"Cahlon","given":"Oren","non-dropping-particle":"","parse-names":false,"suffix":""},{"dropping-particle":"","family":"Chuong","given":"Michael D.","non-dropping-particle":"","parse-names":false,"suffix":""},{"dropping-particle":"","family":"Dedeckova","given":"Katerina","non-dropping-particle":"","parse-names":false,"suffix":""},{"dropping-particle":"","family":"Khan","given":"Mohammad K.","non-dropping-particle":"","parse-names":false,"suffix":""},{"dropping-particle":"","family":"Lin","given":"Shinn Yn","non-dropping-particle":"","parse-names":false,"suffix":""},{"dropping-particle":"","family":"McGee","given":"Lisa A.","non-dropping-particle":"","parse-names":false,"suffix":""},{"dropping-particle":"","family":"Shen","given":"Eric Yi Liang","non-dropping-particle":"","parse-names":false,"suffix":""},{"dropping-particle":"","family":"Terezakis","given":"Stephanie A.","non-dropping-particle":"","parse-names":false,"suffix":""},{"dropping-particle":"","family":"Badiyan","given":"Shahed N.","non-dropping-particle":"","parse-names":false,"suffix":""},{"dropping-particle":"","family":"Kirova","given":"Youlia M.","non-dropping-particle":"","parse-names":false,"suffix":""},{"dropping-particle":"","family":"Hoppe","given":"Richard T.","non-dropping-particle":"","parse-names":false,"suffix":""},{"dropping-particle":"","family":"Mendenhall","given":"Nancy P.","non-dropping-particle":"","parse-names":false,"suffix":""},{"dropping-particle":"","family":"Pankuch","given":"Mark","non-dropping-particle":"","parse-names":false,"suffix":""},{"dropping-particle":"","family":"Flampouri","given":"Stella","non-dropping-particle":"","parse-names":false,"suffix":""},{"dropping-particle":"","family":"Ricardi","given":"Umberto","non-dropping-particle":"","parse-names":false,"suffix":""},{"dropping-particle":"","family":"Hoppe","given":"Bradford S.","non-dropping-particle":"","parse-names":false,"suffix":""}],"container-title":"International Journal of Radiation Oncology Biology Physics","id":"ITEM-3","issue":"4","issued":{"date-parts":[["2017","11","15"]]},"page":"825-842","publisher":"Elsevier Inc.","title":"Evidence-based Review on the Use of Proton Therapy in Lymphoma From the Particle Therapy Cooperative Group (PTCOG) Lymphoma Subcommittee","type":"article","volume":"99"},"uris":["http://www.mendeley.com/documents/?uuid=44713e2f-a353-3cc8-9057-8233957e93de","http://www.mendeley.com/documents/?uuid=915341e6-7552-4034-832a-564585632fdc"]}],"mendeley":{"formattedCitation":"[18–20]","plainTextFormattedCitation":"[18–20]","previouslyFormattedCitation":"[18–20]"},"properties":{"noteIndex":0},"schema":"https://github.com/citation-style-language/schema/raw/master/csl-citation.json"}</w:instrText>
      </w:r>
      <w:r w:rsidRPr="002F4348">
        <w:fldChar w:fldCharType="separate"/>
      </w:r>
      <w:r w:rsidR="00BA1BF7" w:rsidRPr="002F4348">
        <w:rPr>
          <w:noProof/>
        </w:rPr>
        <w:t>[18–20]</w:t>
      </w:r>
      <w:r w:rsidRPr="002F4348">
        <w:fldChar w:fldCharType="end"/>
      </w:r>
      <w:r w:rsidRPr="002F4348">
        <w:t>.</w:t>
      </w:r>
    </w:p>
    <w:p w14:paraId="518E38EC" w14:textId="77777777" w:rsidR="00FC18FB" w:rsidRPr="002F4348" w:rsidRDefault="00FC18FB" w:rsidP="00FC18FB">
      <w:pPr>
        <w:ind w:left="709" w:firstLine="0"/>
        <w:contextualSpacing/>
        <w:rPr>
          <w:b/>
        </w:rPr>
      </w:pPr>
      <w:r w:rsidRPr="002F4348">
        <w:rPr>
          <w:b/>
        </w:rPr>
        <w:t xml:space="preserve">Уровень убедительности рекомендаций </w:t>
      </w:r>
      <w:r w:rsidR="006B7D24" w:rsidRPr="002F4348">
        <w:rPr>
          <w:b/>
        </w:rPr>
        <w:t xml:space="preserve">С </w:t>
      </w:r>
      <w:r w:rsidRPr="002F4348">
        <w:rPr>
          <w:b/>
        </w:rPr>
        <w:t xml:space="preserve">(уровень достоверности доказательств </w:t>
      </w:r>
      <w:r w:rsidR="006B7D24" w:rsidRPr="002F4348">
        <w:rPr>
          <w:b/>
        </w:rPr>
        <w:t>4</w:t>
      </w:r>
      <w:r w:rsidRPr="002F4348">
        <w:rPr>
          <w:b/>
        </w:rPr>
        <w:t>).</w:t>
      </w:r>
    </w:p>
    <w:p w14:paraId="582A9D0F" w14:textId="77777777" w:rsidR="000578EF" w:rsidRPr="002F4348" w:rsidRDefault="000578EF" w:rsidP="000578EF">
      <w:pPr>
        <w:pStyle w:val="2"/>
        <w:contextualSpacing/>
      </w:pPr>
      <w:bookmarkStart w:id="38" w:name="_Toc65586391"/>
      <w:r w:rsidRPr="002F4348">
        <w:t>3.2 Первая линия терапии кЛХ, распространенные стадии</w:t>
      </w:r>
      <w:r w:rsidR="004F0134" w:rsidRPr="002F4348">
        <w:t>, у пациентов 18-60 лет</w:t>
      </w:r>
      <w:bookmarkEnd w:id="38"/>
    </w:p>
    <w:p w14:paraId="75D834CB" w14:textId="77777777" w:rsidR="000578EF" w:rsidRPr="002F4348" w:rsidRDefault="000578EF" w:rsidP="000578EF">
      <w:pPr>
        <w:rPr>
          <w:i/>
          <w:lang w:eastAsia="ru-RU"/>
        </w:rPr>
      </w:pPr>
      <w:r w:rsidRPr="002F4348">
        <w:rPr>
          <w:i/>
          <w:lang w:eastAsia="ru-RU"/>
        </w:rPr>
        <w:t>Стандартом лечения распространенных стадий является ХТ в сочетании с ЛТ на зоны больших опухолевых массивов, оставшихся после химиотерапевтического воздействия.</w:t>
      </w:r>
    </w:p>
    <w:p w14:paraId="026E429E" w14:textId="77777777" w:rsidR="000578EF" w:rsidRPr="002F4348" w:rsidRDefault="000578EF" w:rsidP="000578EF">
      <w:pPr>
        <w:rPr>
          <w:i/>
          <w:lang w:eastAsia="ru-RU"/>
        </w:rPr>
      </w:pPr>
      <w:r w:rsidRPr="002F4348">
        <w:rPr>
          <w:i/>
          <w:lang w:eastAsia="ru-RU"/>
        </w:rPr>
        <w:t xml:space="preserve">В России эта группа </w:t>
      </w:r>
      <w:r w:rsidR="008D35C0" w:rsidRPr="002F4348">
        <w:rPr>
          <w:i/>
          <w:lang w:eastAsia="ru-RU"/>
        </w:rPr>
        <w:t xml:space="preserve">пациентов </w:t>
      </w:r>
      <w:r w:rsidRPr="002F4348">
        <w:rPr>
          <w:i/>
          <w:lang w:eastAsia="ru-RU"/>
        </w:rPr>
        <w:t xml:space="preserve">является самой многочисленной и составляет почти половину заболевших </w:t>
      </w:r>
      <w:r w:rsidR="000E5A78" w:rsidRPr="002F4348">
        <w:rPr>
          <w:i/>
          <w:lang w:eastAsia="ru-RU"/>
        </w:rPr>
        <w:t>к</w:t>
      </w:r>
      <w:r w:rsidRPr="002F4348">
        <w:rPr>
          <w:i/>
          <w:lang w:eastAsia="ru-RU"/>
        </w:rPr>
        <w:t xml:space="preserve">ЛХ. Кроме того, в России до настоящего времени сохраняется большой дефицит трансплантационных коек, что не позволяет проводить адекватную терапию при рецидивах заболевания. Поэтому главной задачей при лечении этой группы </w:t>
      </w:r>
      <w:r w:rsidR="008E0B71" w:rsidRPr="002F4348">
        <w:rPr>
          <w:i/>
          <w:lang w:eastAsia="ru-RU"/>
        </w:rPr>
        <w:t xml:space="preserve">пациентов </w:t>
      </w:r>
      <w:r w:rsidRPr="002F4348">
        <w:rPr>
          <w:i/>
          <w:lang w:eastAsia="ru-RU"/>
        </w:rPr>
        <w:t xml:space="preserve">является достижение максимального числа полных и стойких ремиссий уже на первой линии терапии. </w:t>
      </w:r>
    </w:p>
    <w:p w14:paraId="5AFE460B" w14:textId="77777777" w:rsidR="000578EF" w:rsidRPr="002F4348" w:rsidRDefault="00D75819" w:rsidP="00B153FC">
      <w:pPr>
        <w:pStyle w:val="afe"/>
        <w:numPr>
          <w:ilvl w:val="0"/>
          <w:numId w:val="12"/>
        </w:numPr>
        <w:spacing w:before="120" w:after="120"/>
        <w:ind w:left="709" w:hanging="709"/>
      </w:pPr>
      <w:r w:rsidRPr="002F4348">
        <w:t>Ранее не получавшим лечение</w:t>
      </w:r>
      <w:r w:rsidR="000578EF" w:rsidRPr="002F4348">
        <w:t xml:space="preserve"> пациентам в возрасте от 18 до 60 лет с распространенными стадиями кЛХ без симптомов интоксикации с МПИ 0-2</w:t>
      </w:r>
      <w:r w:rsidR="007B620C" w:rsidRPr="002F4348">
        <w:t xml:space="preserve"> при отсутствии абсолютной лимфоцитопении &lt;</w:t>
      </w:r>
      <w:r w:rsidR="007B620C" w:rsidRPr="002F4348">
        <w:rPr>
          <w:lang w:val="en-US"/>
        </w:rPr>
        <w:t> </w:t>
      </w:r>
      <w:r w:rsidR="007B620C" w:rsidRPr="002F4348">
        <w:t>0,6 х 10</w:t>
      </w:r>
      <w:r w:rsidR="007B620C" w:rsidRPr="002F4348">
        <w:rPr>
          <w:vertAlign w:val="superscript"/>
        </w:rPr>
        <w:t>9</w:t>
      </w:r>
      <w:r w:rsidR="007B620C" w:rsidRPr="002F4348">
        <w:t>/л</w:t>
      </w:r>
      <w:r w:rsidR="000578EF" w:rsidRPr="002F4348">
        <w:t xml:space="preserve"> </w:t>
      </w:r>
      <w:r w:rsidR="000578EF" w:rsidRPr="002F4348">
        <w:rPr>
          <w:b/>
        </w:rPr>
        <w:t>рекомендуется</w:t>
      </w:r>
      <w:r w:rsidR="000578EF" w:rsidRPr="002F4348">
        <w:t xml:space="preserve"> полихимиотерапия по схеме </w:t>
      </w:r>
      <w:r w:rsidR="000578EF" w:rsidRPr="002F4348">
        <w:rPr>
          <w:lang w:val="en-US"/>
        </w:rPr>
        <w:t>ABVD</w:t>
      </w:r>
      <w:r w:rsidR="000578EF" w:rsidRPr="002F4348">
        <w:t xml:space="preserve"> (описание режимов – см. приложение </w:t>
      </w:r>
      <w:r w:rsidR="007A344D" w:rsidRPr="002F4348">
        <w:t>А3.1</w:t>
      </w:r>
      <w:r w:rsidR="000578EF" w:rsidRPr="002F4348">
        <w:t xml:space="preserve">) </w:t>
      </w:r>
      <w:r w:rsidR="00A55F6F" w:rsidRPr="002F4348">
        <w:fldChar w:fldCharType="begin" w:fldLock="1"/>
      </w:r>
      <w:r w:rsidR="00A850F7" w:rsidRPr="002F4348">
        <w:instrText>ADDIN CSL_CITATION {"citationItems":[{"id":"ITEM-1","itemData":{"DOI":"10.1002/14651858.CD007941.pub3","ISSN":"1469493X","abstract":"BACKGROUND There are two different international standards for the treatment of early unfavourable and advanced stage Hodgkin lymphoma (HL): chemotherapy with escalated BEACOPP (bleomycin/etoposide/doxorubicin/cyclophosphamide/vincristine/procarbazine/prednisone) regimen and chemotherapy with ABVD (doxorubicin/bleomycin/vinblastine/dacarbazine) regimen. OBJECTIVES To determine the advantages and disadvantages of chemotherapy including escalated BEACOPP compared to chemotherapy including ABVD in the treatment of early unfavourable or advanced stage HL as first-line treatment. SEARCH METHODS We searched for randomised controlled trials in MEDLINE, CENTRAL and conference proceedings (January 1985 to July 2013 and for the update to March 2017) and Embase (1985 to November 2008). Moreover we searched trial registries (March 2017; www.controlled-trials.com, www.clinicaltrialsregister.eu/ctr-search/search, clinicaltrials.gov, www.eortc.be, www.ghsg.org, www.ctc.usyd.edu.au, www.trialscentral.org/index.html) SELECTION CRITERIA: We included randomised controlled trials examining chemotherapy including at least two cycles of escalated BEACOPP regimens compared with chemotherapy including at least four cycles of ABVD regimens as first-line treatment for patients with early unfavourable stage or advanced stage HL. DATA COLLECTION AND ANALYSIS The effect measures we used were hazard ratios (HRs) for overall survival (OS), progression-free survival (PFS) and freedom from first progression.We used risk ratios (RRs) relative risks to analyse harms: treatment-related mortality, secondary malignancies (including myeloid dysplastic syndrome (MDS) or acute myeloid leukaemia (AML)), infertility and adverse events.Quality of life was not reported in any trial, therefore not analysed. Two review authors independently extracted data and assessed quality of trials. MAIN RESULTS We screened 1796 records and identified five eligible trials in total i.e. one trial could be added on the previous review. These trials included only adults (16 to 65 years of age). We included all five trials with 3427 people in the meta-analyses: the HD9 and HD14 trials were co-ordinated in Germany, the HD2000 and GSM-HD trials were performed in Italy and the EORTC 20012 was conducted in Belgium. The overall risk of performance and detection bias was low for overall survival (OS), but was high for other outcomes, as therapy blinding was not feasible. The remaining 'Risk of bias' domains were low and u…","author":[{"dropping-particle":"","family":"Skoetz","given":"Nicole","non-dropping-particle":"","parse-names":false,"suffix":""},{"dropping-particle":"","family":"Will","given":"Andrea","non-dropping-particle":"","parse-names":false,"suffix":""},{"dropping-particle":"","family":"Monsef","given":"Ina","non-dropping-particle":"","parse-names":false,"suffix":""},{"dropping-particle":"","family":"Brillant","given":"Corinne","non-dropping-particle":"","parse-names":false,"suffix":""},{"dropping-particle":"","family":"Engert","given":"Andreas","non-dropping-particle":"","parse-names":false,"suffix":""},{"dropping-particle":"","family":"Tresckow","given":"Bastian","non-dropping-particle":"von","parse-names":false,"suffix":""}],"container-title":"Cochrane Database of Systematic Reviews","id":"ITEM-1","issued":{"date-parts":[["2017"]]},"title":"Comparison of first-line chemotherapy including escalated BEACOPP versus chemotherapy including ABVD for people with early unfavourable or advanced stage Hodgkin lymphoma","type":"article"},"uris":["http://www.mendeley.com/documents/?uuid=6f917861-0ded-464e-8965-bcce5e51c5af","http://www.mendeley.com/documents/?uuid=c47a5fbd-2b96-3894-ba90-965dca9218cc"]}],"mendeley":{"formattedCitation":"[16]","plainTextFormattedCitation":"[16]","previouslyFormattedCitation":"[16]"},"properties":{"noteIndex":0},"schema":"https://github.com/citation-style-language/schema/raw/master/csl-citation.json"}</w:instrText>
      </w:r>
      <w:r w:rsidR="00A55F6F" w:rsidRPr="002F4348">
        <w:fldChar w:fldCharType="separate"/>
      </w:r>
      <w:r w:rsidR="00BA1BF7" w:rsidRPr="002F4348">
        <w:rPr>
          <w:noProof/>
        </w:rPr>
        <w:t>[16]</w:t>
      </w:r>
      <w:r w:rsidR="00A55F6F" w:rsidRPr="002F4348">
        <w:fldChar w:fldCharType="end"/>
      </w:r>
      <w:r w:rsidR="000578EF" w:rsidRPr="002F4348">
        <w:t>.</w:t>
      </w:r>
    </w:p>
    <w:p w14:paraId="67D1F900" w14:textId="77777777" w:rsidR="000578EF" w:rsidRPr="002F4348" w:rsidRDefault="000578EF" w:rsidP="00A55F6F">
      <w:pPr>
        <w:ind w:left="709" w:firstLine="0"/>
        <w:contextualSpacing/>
        <w:rPr>
          <w:b/>
        </w:rPr>
      </w:pPr>
      <w:r w:rsidRPr="002F4348">
        <w:rPr>
          <w:b/>
        </w:rPr>
        <w:t xml:space="preserve">Уровень убедительности рекомендаций </w:t>
      </w:r>
      <w:r w:rsidRPr="002F4348">
        <w:rPr>
          <w:b/>
          <w:lang w:val="en-US"/>
        </w:rPr>
        <w:t>A</w:t>
      </w:r>
      <w:r w:rsidRPr="002F4348">
        <w:rPr>
          <w:b/>
        </w:rPr>
        <w:t xml:space="preserve"> (уровень достоверности доказательств 1).</w:t>
      </w:r>
    </w:p>
    <w:p w14:paraId="7D4A6025" w14:textId="77777777" w:rsidR="000578EF" w:rsidRPr="002F4348" w:rsidRDefault="000578EF" w:rsidP="00A55F6F">
      <w:pPr>
        <w:ind w:left="709" w:firstLine="0"/>
        <w:contextualSpacing/>
        <w:rPr>
          <w:b/>
        </w:rPr>
      </w:pPr>
      <w:r w:rsidRPr="002F4348">
        <w:rPr>
          <w:b/>
        </w:rPr>
        <w:t xml:space="preserve">Комментарий: </w:t>
      </w:r>
      <w:r w:rsidR="00A55F6F" w:rsidRPr="002F4348">
        <w:rPr>
          <w:i/>
        </w:rPr>
        <w:t xml:space="preserve">количество </w:t>
      </w:r>
      <w:r w:rsidRPr="002F4348">
        <w:rPr>
          <w:i/>
        </w:rPr>
        <w:t xml:space="preserve">циклов </w:t>
      </w:r>
      <w:r w:rsidRPr="002F4348">
        <w:rPr>
          <w:i/>
          <w:lang w:val="en-US"/>
        </w:rPr>
        <w:t>ABVD</w:t>
      </w:r>
      <w:r w:rsidRPr="002F4348">
        <w:rPr>
          <w:i/>
        </w:rPr>
        <w:t xml:space="preserve"> зависит от ответа на лечение (оценка после </w:t>
      </w:r>
      <w:r w:rsidR="007B620C" w:rsidRPr="002F4348">
        <w:rPr>
          <w:i/>
        </w:rPr>
        <w:t>2-</w:t>
      </w:r>
      <w:r w:rsidRPr="002F4348">
        <w:rPr>
          <w:i/>
        </w:rPr>
        <w:t>4 цикл</w:t>
      </w:r>
      <w:r w:rsidR="007B620C" w:rsidRPr="002F4348">
        <w:rPr>
          <w:i/>
        </w:rPr>
        <w:t>ов</w:t>
      </w:r>
      <w:r w:rsidRPr="002F4348">
        <w:rPr>
          <w:i/>
        </w:rPr>
        <w:t xml:space="preserve">). Рекомендуется </w:t>
      </w:r>
      <w:r w:rsidR="007B620C" w:rsidRPr="002F4348">
        <w:rPr>
          <w:i/>
        </w:rPr>
        <w:t xml:space="preserve">суммарно </w:t>
      </w:r>
      <w:r w:rsidRPr="002F4348">
        <w:rPr>
          <w:i/>
        </w:rPr>
        <w:t xml:space="preserve">6 циклов при достижении полной ремиссии после </w:t>
      </w:r>
      <w:r w:rsidR="007B620C" w:rsidRPr="002F4348">
        <w:rPr>
          <w:i/>
        </w:rPr>
        <w:t xml:space="preserve">2-х и/или </w:t>
      </w:r>
      <w:r w:rsidRPr="002F4348">
        <w:rPr>
          <w:i/>
        </w:rPr>
        <w:t>4-х циклов</w:t>
      </w:r>
      <w:r w:rsidR="007B620C" w:rsidRPr="002F4348">
        <w:rPr>
          <w:i/>
        </w:rPr>
        <w:t>. Назначение 8 циклов при достижении частичной ремиссии после 4-х циклов нежелательно ввиду увеличения кумулятивной дозы доксорубицина</w:t>
      </w:r>
      <w:r w:rsidR="008E0B71" w:rsidRPr="002F4348">
        <w:rPr>
          <w:i/>
        </w:rPr>
        <w:t>**</w:t>
      </w:r>
      <w:r w:rsidR="007B620C" w:rsidRPr="002F4348">
        <w:rPr>
          <w:i/>
        </w:rPr>
        <w:t xml:space="preserve">. </w:t>
      </w:r>
      <w:r w:rsidRPr="002F4348">
        <w:rPr>
          <w:i/>
        </w:rPr>
        <w:t>В последнем случае возможно обсуждение альтернативного продолжения лечения: при достижении частичной ремиссии после 4-х циклов ABVD - проведение дополнительно только 2 циклов ABVD (всего 6 циклов) c последующим проведением ЛТ СОД</w:t>
      </w:r>
      <w:r w:rsidR="007B620C" w:rsidRPr="002F4348">
        <w:rPr>
          <w:i/>
        </w:rPr>
        <w:t xml:space="preserve"> 30 Гр. В случае необходимости возможно подведение дополнительной дозы облучения 6 Гр на резидуальные очаги «буст»).</w:t>
      </w:r>
    </w:p>
    <w:p w14:paraId="295761E8" w14:textId="77777777" w:rsidR="000578EF" w:rsidRPr="002F4348" w:rsidRDefault="00D75819" w:rsidP="00B153FC">
      <w:pPr>
        <w:pStyle w:val="afe"/>
        <w:numPr>
          <w:ilvl w:val="0"/>
          <w:numId w:val="12"/>
        </w:numPr>
        <w:spacing w:before="120" w:after="120"/>
        <w:ind w:left="709" w:hanging="709"/>
      </w:pPr>
      <w:r w:rsidRPr="002F4348">
        <w:lastRenderedPageBreak/>
        <w:t>Ранее не получавшим лечение</w:t>
      </w:r>
      <w:r w:rsidR="000578EF" w:rsidRPr="002F4348">
        <w:t xml:space="preserve"> пациентам в возрасте от 18 до 50 лет с распространенными стадиями кЛХ с симптомами интоксикации и/или с МПИ 3-7 </w:t>
      </w:r>
      <w:r w:rsidR="000578EF" w:rsidRPr="002F4348">
        <w:rPr>
          <w:b/>
        </w:rPr>
        <w:t>рекомендуется</w:t>
      </w:r>
      <w:r w:rsidR="000578EF" w:rsidRPr="002F4348">
        <w:t xml:space="preserve"> полихимиотерапия по схеме </w:t>
      </w:r>
      <w:r w:rsidR="000578EF" w:rsidRPr="002F4348">
        <w:rPr>
          <w:lang w:val="en-US"/>
        </w:rPr>
        <w:t>BEACOPP</w:t>
      </w:r>
      <w:r w:rsidR="000578EF" w:rsidRPr="002F4348">
        <w:t>-14 (8 циклов</w:t>
      </w:r>
      <w:r w:rsidR="00973E2C" w:rsidRPr="002F4348">
        <w:t xml:space="preserve">) или </w:t>
      </w:r>
      <w:r w:rsidR="000578EF" w:rsidRPr="002F4348">
        <w:rPr>
          <w:lang w:val="en-US"/>
        </w:rPr>
        <w:t>BEACOPP</w:t>
      </w:r>
      <w:r w:rsidR="000578EF" w:rsidRPr="002F4348">
        <w:t xml:space="preserve">-эскалированный (6 циклов) (описание режимов – см. приложение </w:t>
      </w:r>
      <w:r w:rsidR="007A344D" w:rsidRPr="002F4348">
        <w:t>А3.1</w:t>
      </w:r>
      <w:r w:rsidR="000578EF" w:rsidRPr="002F4348">
        <w:t xml:space="preserve">) </w:t>
      </w:r>
      <w:r w:rsidR="000578EF" w:rsidRPr="002F4348">
        <w:rPr>
          <w:lang w:eastAsia="ru-RU"/>
        </w:rPr>
        <w:t>с последующим облучением резидуальных опухолевых масс размером 2,5 см и более СОД 30 Гр</w:t>
      </w:r>
      <w:r w:rsidR="007B620C" w:rsidRPr="002F4348">
        <w:rPr>
          <w:lang w:eastAsia="ru-RU"/>
        </w:rPr>
        <w:t xml:space="preserve"> с последующим сокращением поля облучения  до размеров резидуального очага «буст» и подведением дозы 6 Гр</w:t>
      </w:r>
      <w:r w:rsidR="00116B73" w:rsidRPr="002F4348">
        <w:rPr>
          <w:lang w:eastAsia="ru-RU"/>
        </w:rPr>
        <w:t xml:space="preserve"> </w:t>
      </w:r>
      <w:r w:rsidR="00116B73" w:rsidRPr="002F4348">
        <w:rPr>
          <w:lang w:eastAsia="ru-RU"/>
        </w:rPr>
        <w:fldChar w:fldCharType="begin" w:fldLock="1"/>
      </w:r>
      <w:r w:rsidR="002C6C01" w:rsidRPr="002F4348">
        <w:rPr>
          <w:lang w:eastAsia="ru-RU"/>
        </w:rPr>
        <w:instrText>ADDIN CSL_CITATION {"citationItems":[{"id":"ITEM-1","itemData":{"DOI":"10.1016/S0140-6736(11)61940-5","ISSN":"1474-547X","PMID":"22480758","abstract":"BACKGROUND The intensity of chemotherapy and need for additional radiotherapy in patients with advanced stage Hodgkin's lymphoma has been unclear. We did a prospective randomised clinical trial comparing two reduced-intensity chemotherapy variants with our previous standard regimen. Chemotherapy was followed by PET-guided radiotherapy. METHODS In this parallel group, open-label, multicentre, non-inferiority trial (HD15), 2182 patients with newly diagnosed advanced stage Hodgkin's lymphoma aged 18-60 years were randomly assigned to receive either eight cycles of BEACOPP(escalated) (8×B(esc) group), six cycles of BEACOPP(escalated) (6×B(esc) group), or eight cycles of BEACOPP(14) (8×B(14) group). Randomisation (1:1:1) was done centrally by stratified minimisation. Non-inferiority of the primary endpoint, freedom from treatment failure, was assessed using repeated CIs for the hazard ratio (HR) according to the intention-to-treat principle. Patients with a persistent mass after chemotherapy measuring 2·5 cm or larger and positive on PET scan received additional radiotherapy with 30 Gy; the negative predictive value for tumour recurrence of PET at 12 months was an independent endpoint. This trial is registered with Current Controlled Trials, number ISRCTN32443041. FINDINGS Of the 2182 patients enrolled in the study, 2126 patients were included in the intention-to-treat analysis set, 705 in the 8×B(esc) group, 711 in the 6×B(esc) group, and 710 in the 8×B(14) group. Freedom from treatment failure was sequentially non-inferior for the 6×B(esc) and 8×B(14) groups as compared with 8×B(esc). 5-year freedom from treatment failure rates were 84·4% (97·5% CI 81·0-87·7) for the 8×B(esc) group, 89·3% (86·5-92·1) for 6×B(esc) group, and 85·4% (82·1-88·7) for the 8×B(14) group (97·5% CI for difference between 6×B(esc) and 8×B(esc) was 0·5-9·3). Overall survival in the three groups was 91·9%, 95·3%, and 94·5% respectively, and was significantly better with 6×B(esc) than with 8×B(esc) (97·5% CI 0·2-6·5). The 8×B(esc) group showed a higher mortality (7·5%) than the 6×B(esc) (4·6%) and 8×B(14) (5·2%) groups, mainly due to differences in treatment-related events (2·1%, 0·8%, and 0·8%, respectively) and secondary malignancies (1·8%, 0·7%, and 1·1%, respectively). The negative predictive value for PET at 12 months was 94·1% (95% CI 92·1-96·1); and 225 (11%) of 2126 patients received additional radiotherapy. INTERPRETATION Treatment with six cycles of BEACOPP(escalated) followe…","author":[{"dropping-particle":"","family":"Engert","given":"Andreas","non-dropping-particle":"","parse-names":false,"suffix":""},{"dropping-particle":"","family":"Haverkamp","given":"Heinz","non-dropping-particle":"","parse-names":false,"suffix":""},{"dropping-particle":"","family":"Kobe","given":"Carsten","non-dropping-particle":"","parse-names":false,"suffix":""},{"dropping-particle":"","family":"Markova","given":"Jana","non-dropping-particle":"","parse-names":false,"suffix":""},{"dropping-particle":"","family":"Renner","given":"Christoph","non-dropping-particle":"","parse-names":false,"suffix":""},{"dropping-particle":"","family":"Ho","given":"Antony","non-dropping-particle":"","parse-names":false,"suffix":""},{"dropping-particle":"","family":"Zijlstra","given":"Josée","non-dropping-particle":"","parse-names":false,"suffix":""},{"dropping-particle":"","family":"Král","given":"Zdenek","non-dropping-particle":"","parse-names":false,"suffix":""},{"dropping-particle":"","family":"Fuchs","given":"Michael","non-dropping-particle":"","parse-names":false,"suffix":""},{"dropping-particle":"","family":"Hallek","given":"Michael","non-dropping-particle":"","parse-names":false,"suffix":""},{"dropping-particle":"","family":"Kanz","given":"Lothar","non-dropping-particle":"","parse-names":false,"suffix":""},{"dropping-particle":"","family":"Döhner","given":"Hartmut","non-dropping-particle":"","parse-names":false,"suffix":""},{"dropping-particle":"","family":"Dörken","given":"Bernd","non-dropping-particle":"","parse-names":false,"suffix":""},{"dropping-particle":"","family":"Engel","given":"Nicole","non-dropping-particle":"","parse-names":false,"suffix":""},{"dropping-particle":"","family":"Topp","given":"Max","non-dropping-particle":"","parse-names":false,"suffix":""},{"dropping-particle":"","family":"Klutmann","given":"Susanne","non-dropping-particle":"","parse-names":false,"suffix":""},{"dropping-particle":"","family":"Amthauer","given":"Holger","non-dropping-particle":"","parse-names":false,"suffix":""},{"dropping-particle":"","family":"Bockisch","given":"Andreas","non-dropping-particle":"","parse-names":false,"suffix":""},{"dropping-particle":"","family":"Kluge","given":"Regine","non-dropping-particle":"","parse-names":false,"suffix":""},{"dropping-particle":"","family":"Kratochwil","given":"Clemens","non-dropping-particle":"","parse-names":false,"suffix":""},{"dropping-particle":"","family":"Schober","given":"Otmar","non-dropping-particle":"","parse-names":false,"suffix":""},{"dropping-particle":"","family":"Greil","given":"Richard","non-dropping-particle":"","parse-names":false,"suffix":""},{"dropping-particle":"","family":"Andreesen","given":"Reinhard","non-dropping-particle":"","parse-names":false,"suffix":""},{"dropping-particle":"","family":"Kneba","given":"Michael","non-dropping-particle":"","parse-names":false,"suffix":""},{"dropping-particle":"","family":"Pfreundschuh","given":"Michael","non-dropping-particle":"","parse-names":false,"suffix":""},{"dropping-particle":"","family":"Stein","given":"Harald","non-dropping-particle":"","parse-names":false,"suffix":""},{"dropping-particle":"","family":"Eich","given":"Hans Theodor","non-dropping-particle":"","parse-names":false,"suffix":""},{"dropping-particle":"","family":"Müller","given":"Rolf-Peter","non-dropping-particle":"","parse-names":false,"suffix":""},{"dropping-particle":"","family":"Dietlein","given":"Markus","non-dropping-particle":"","parse-names":false,"suffix":""},{"dropping-particle":"","family":"Borchmann","given":"Peter","non-dropping-particle":"","parse-names":false,"suffix":""},{"dropping-particle":"","family":"Diehl","given":"Volker","non-dropping-particle":"","parse-names":false,"suffix":""},{"dropping-particle":"","family":"German Hodgkin Study Group","given":"","non-dropping-particle":"","parse-names":false,"suffix":""},{"dropping-particle":"","family":"Swiss Group for Clinical Cancer Research","given":"","non-dropping-particle":"","parse-names":false,"suffix":""},{"dropping-particle":"","family":"Arbeitsgemeinschaft Medikamentöse Tumortherapie","given":"","non-dropping-particle":"","parse-names":false,"suffix":""}],"container-title":"Lancet (London, England)","id":"ITEM-1","issue":"9828","issued":{"date-parts":[["2012","5","12"]]},"page":"1791-9","title":"Reduced-intensity chemotherapy and PET-guided radiotherapy in patients with advanced stage Hodgkin's lymphoma (HD15 trial): a randomised, open-label, phase 3 non-inferiority trial.","type":"article-journal","volume":"379"},"uris":["http://www.mendeley.com/documents/?uuid=e9297700-7327-38a7-b5e1-c6624ec787a3","http://www.mendeley.com/documents/?uuid=9ae3c0bf-3563-401c-b406-70273d1f6757"]},{"id":"ITEM-2","itemData":{"DOI":"10.1002/14651858.CD007941.pub3","ISSN":"1469493X","abstract":"BACKGROUND There are two different international standards for the treatment of early unfavourable and advanced stage Hodgkin lymphoma (HL): chemotherapy with escalated BEACOPP (bleomycin/etoposide/doxorubicin/cyclophosphamide/vincristine/procarbazine/prednisone) regimen and chemotherapy with ABVD (doxorubicin/bleomycin/vinblastine/dacarbazine) regimen. OBJECTIVES To determine the advantages and disadvantages of chemotherapy including escalated BEACOPP compared to chemotherapy including ABVD in the treatment of early unfavourable or advanced stage HL as first-line treatment. SEARCH METHODS We searched for randomised controlled trials in MEDLINE, CENTRAL and conference proceedings (January 1985 to July 2013 and for the update to March 2017) and Embase (1985 to November 2008). Moreover we searched trial registries (March 2017; www.controlled-trials.com, www.clinicaltrialsregister.eu/ctr-search/search, clinicaltrials.gov, www.eortc.be, www.ghsg.org, www.ctc.usyd.edu.au, www.trialscentral.org/index.html) SELECTION CRITERIA: We included randomised controlled trials examining chemotherapy including at least two cycles of escalated BEACOPP regimens compared with chemotherapy including at least four cycles of ABVD regimens as first-line treatment for patients with early unfavourable stage or advanced stage HL. DATA COLLECTION AND ANALYSIS The effect measures we used were hazard ratios (HRs) for overall survival (OS), progression-free survival (PFS) and freedom from first progression.We used risk ratios (RRs) relative risks to analyse harms: treatment-related mortality, secondary malignancies (including myeloid dysplastic syndrome (MDS) or acute myeloid leukaemia (AML)), infertility and adverse events.Quality of life was not reported in any trial, therefore not analysed. Two review authors independently extracted data and assessed quality of trials. MAIN RESULTS We screened 1796 records and identified five eligible trials in total i.e. one trial could be added on the previous review. These trials included only adults (16 to 65 years of age). We included all five trials with 3427 people in the meta-analyses: the HD9 and HD14 trials were co-ordinated in Germany, the HD2000 and GSM-HD trials were performed in Italy and the EORTC 20012 was conducted in Belgium. The overall risk of performance and detection bias was low for overall survival (OS), but was high for other outcomes, as therapy blinding was not feasible. The remaining 'Risk of bias' domains were low and u…","author":[{"dropping-particle":"","family":"Skoetz","given":"Nicole","non-dropping-particle":"","parse-names":false,"suffix":""},{"dropping-particle":"","family":"Will","given":"Andrea","non-dropping-particle":"","parse-names":false,"suffix":""},{"dropping-particle":"","family":"Monsef","given":"Ina","non-dropping-particle":"","parse-names":false,"suffix":""},{"dropping-particle":"","family":"Brillant","given":"Corinne","non-dropping-particle":"","parse-names":false,"suffix":""},{"dropping-particle":"","family":"Engert","given":"Andreas","non-dropping-particle":"","parse-names":false,"suffix":""},{"dropping-particle":"","family":"Tresckow","given":"Bastian","non-dropping-particle":"von","parse-names":false,"suffix":""}],"container-title":"Cochrane Database of Systematic Reviews","id":"ITEM-2","issued":{"date-parts":[["2017"]]},"title":"Comparison of first-line chemotherapy including escalated BEACOPP versus chemotherapy including ABVD for people with early unfavourable or advanced stage Hodgkin lymphoma","type":"article"},"uris":["http://www.mendeley.com/documents/?uuid=6f917861-0ded-464e-8965-bcce5e51c5af","http://www.mendeley.com/documents/?uuid=c47a5fbd-2b96-3894-ba90-965dca9218cc"]}],"mendeley":{"formattedCitation":"[16,21]","plainTextFormattedCitation":"[16,21]","previouslyFormattedCitation":"[16,21]"},"properties":{"noteIndex":0},"schema":"https://github.com/citation-style-language/schema/raw/master/csl-citation.json"}</w:instrText>
      </w:r>
      <w:r w:rsidR="00116B73" w:rsidRPr="002F4348">
        <w:rPr>
          <w:lang w:eastAsia="ru-RU"/>
        </w:rPr>
        <w:fldChar w:fldCharType="separate"/>
      </w:r>
      <w:r w:rsidR="000C1AAB" w:rsidRPr="002F4348">
        <w:rPr>
          <w:noProof/>
          <w:lang w:eastAsia="ru-RU"/>
        </w:rPr>
        <w:t>[16,21]</w:t>
      </w:r>
      <w:r w:rsidR="00116B73" w:rsidRPr="002F4348">
        <w:rPr>
          <w:lang w:eastAsia="ru-RU"/>
        </w:rPr>
        <w:fldChar w:fldCharType="end"/>
      </w:r>
      <w:r w:rsidR="000578EF" w:rsidRPr="002F4348">
        <w:t>.</w:t>
      </w:r>
    </w:p>
    <w:p w14:paraId="1853BB81" w14:textId="77777777" w:rsidR="000578EF" w:rsidRPr="002F4348" w:rsidRDefault="000578EF" w:rsidP="00116B73">
      <w:pPr>
        <w:ind w:left="709" w:firstLine="0"/>
        <w:contextualSpacing/>
        <w:rPr>
          <w:b/>
        </w:rPr>
      </w:pPr>
      <w:r w:rsidRPr="002F4348">
        <w:rPr>
          <w:b/>
        </w:rPr>
        <w:t xml:space="preserve">Уровень убедительности рекомендаций </w:t>
      </w:r>
      <w:r w:rsidRPr="002F4348">
        <w:rPr>
          <w:b/>
          <w:lang w:val="en-US"/>
        </w:rPr>
        <w:t>A</w:t>
      </w:r>
      <w:r w:rsidRPr="002F4348">
        <w:rPr>
          <w:b/>
        </w:rPr>
        <w:t xml:space="preserve"> (уровень достоверности доказательств </w:t>
      </w:r>
      <w:r w:rsidR="00973E2C" w:rsidRPr="002F4348">
        <w:rPr>
          <w:b/>
        </w:rPr>
        <w:t>2</w:t>
      </w:r>
      <w:r w:rsidRPr="002F4348">
        <w:rPr>
          <w:b/>
        </w:rPr>
        <w:t>).</w:t>
      </w:r>
    </w:p>
    <w:p w14:paraId="5F4CFC82" w14:textId="77777777" w:rsidR="00370DDC" w:rsidRPr="002F4348" w:rsidRDefault="00973E2C" w:rsidP="00B153FC">
      <w:pPr>
        <w:pStyle w:val="afe"/>
        <w:numPr>
          <w:ilvl w:val="0"/>
          <w:numId w:val="12"/>
        </w:numPr>
        <w:spacing w:before="120" w:after="120"/>
        <w:ind w:left="709" w:hanging="709"/>
      </w:pPr>
      <w:r w:rsidRPr="002F4348">
        <w:t>Ранее не получавшим лечение пациентам в возрасте от 18 до 50 лет с распространенными стадиями кЛХ с симптомами интоксикации и/или с МПИ 3-7</w:t>
      </w:r>
      <w:r w:rsidR="000C1AAB" w:rsidRPr="002F4348">
        <w:t xml:space="preserve"> как альтернатива режимам </w:t>
      </w:r>
      <w:r w:rsidR="000C1AAB" w:rsidRPr="002F4348">
        <w:rPr>
          <w:lang w:val="en-US"/>
        </w:rPr>
        <w:t>BEACOPP</w:t>
      </w:r>
      <w:r w:rsidR="000C1AAB" w:rsidRPr="002F4348">
        <w:t xml:space="preserve">-14 или </w:t>
      </w:r>
      <w:r w:rsidR="000C1AAB" w:rsidRPr="002F4348">
        <w:rPr>
          <w:lang w:val="en-US"/>
        </w:rPr>
        <w:t>BEACOPPesc</w:t>
      </w:r>
      <w:r w:rsidRPr="002F4348">
        <w:t xml:space="preserve"> </w:t>
      </w:r>
      <w:r w:rsidRPr="002F4348">
        <w:rPr>
          <w:b/>
        </w:rPr>
        <w:t>рекомендуется</w:t>
      </w:r>
      <w:r w:rsidRPr="002F4348">
        <w:t xml:space="preserve"> полихимиотерапия по схеме </w:t>
      </w:r>
      <w:r w:rsidRPr="002F4348">
        <w:rPr>
          <w:lang w:val="en-US"/>
        </w:rPr>
        <w:t>EACOPP</w:t>
      </w:r>
      <w:r w:rsidRPr="002F4348">
        <w:t xml:space="preserve">-14 (6 циклов) </w:t>
      </w:r>
      <w:r w:rsidRPr="002F4348">
        <w:rPr>
          <w:lang w:eastAsia="ru-RU"/>
        </w:rPr>
        <w:t xml:space="preserve">с последующим облучением резидуальных опухолевых масс размером 2,5 см и более СОД 30 Гр с последующим сокращением поля облучения  до размеров резидуального очага «буст» и подведением дозы 6 Гр </w:t>
      </w:r>
      <w:r w:rsidRPr="002F4348">
        <w:rPr>
          <w:lang w:eastAsia="ru-RU"/>
        </w:rPr>
        <w:fldChar w:fldCharType="begin" w:fldLock="1"/>
      </w:r>
      <w:r w:rsidR="00A850F7" w:rsidRPr="002F4348">
        <w:rPr>
          <w:lang w:eastAsia="ru-RU"/>
        </w:rPr>
        <w:instrText>ADDIN CSL_CITATION {"citationItems":[{"id":"ITEM-1","itemData":{"author":[{"dropping-particle":"","family":"Демина","given":"Е.А.","non-dropping-particle":"","parse-names":false,"suffix":""},{"dropping-particle":"","family":"Леонтьева","given":"А.А.","non-dropping-particle":"","parse-names":false,"suffix":""},{"dropping-particle":"","family":"Тумян","given":"Г.С.","non-dropping-particle":"","parse-names":false,"suffix":""},{"dropping-particle":"","family":"Рябухина","given":"Ю.Е.","non-dropping-particle":"","parse-names":false,"suffix":""},{"dropping-particle":"","family":"Трофимова","given":"О.П.","non-dropping-particle":"","parse-names":false,"suffix":""},{"dropping-particle":"","family":"Волкова","given":"Н.В.","non-dropping-particle":"","parse-names":false,"suffix":""},{"dropping-particle":"","family":"Прямикова","given":"Ю.И.","non-dropping-particle":"","parse-names":false,"suffix":""},{"dropping-particle":"","family":"Сотников","given":"В.М.","non-dropping-particle":"","parse-names":false,"suffix":""},{"dropping-particle":"","family":"Ларионова","given":"В.Б.","non-dropping-particle":"","parse-names":false,"suffix":""},{"dropping-particle":"","family":"Медведовская","given":"Е.Г.","non-dropping-particle":"","parse-names":false,"suffix":""},{"dropping-particle":"","family":"Парамонова","given":"Е.В.","non-dropping-particle":"","parse-names":false,"suffix":""},{"dropping-particle":"","family":"Манзюк","given":"Л.В.","non-dropping-particle":"","parse-names":false,"suffix":""},{"dropping-particle":"","family":"Пробатова","given":"Н.А.","non-dropping-particle":"","parse-names":false,"suffix":""},{"dropping-particle":"","family":"Кокосадзе","given":"Н.В.","non-dropping-particle":"","parse-names":false,"suffix":""},{"dropping-particle":"","family":"Османов","given":"Е.А.","non-dropping-particle":"","parse-names":false,"suffix":""}],"container-title":"Клиническая онкогематология. Фундаментальные исследования и клиническая практика","id":"ITEM-1","issue":"4","issued":{"date-parts":[["2017"]]},"page":"443-452","title":"Оптимизация терапии первой линии у пациентов с распространенными стадиями лимфомы Ходжкина: эффективность и токсичность интенсивной схемы EACOPP-14 (опыт ФГБУ «НМИЦ онкологии им. Н.Н. Блохина Минздрава России).","type":"article-journal","volume":"10"},"uris":["http://www.mendeley.com/documents/?uuid=0a4a3745-0d0c-4431-9ef8-2701c4f59356","http://www.mendeley.com/documents/?uuid=6548b3eb-4b1e-4363-8ff5-1cf493ff5fde"]}],"mendeley":{"formattedCitation":"[22]","plainTextFormattedCitation":"[22]","previouslyFormattedCitation":"[22]"},"properties":{"noteIndex":0},"schema":"https://github.com/citation-style-language/schema/raw/master/csl-citation.json"}</w:instrText>
      </w:r>
      <w:r w:rsidRPr="002F4348">
        <w:rPr>
          <w:lang w:eastAsia="ru-RU"/>
        </w:rPr>
        <w:fldChar w:fldCharType="separate"/>
      </w:r>
      <w:r w:rsidR="000C1AAB" w:rsidRPr="002F4348">
        <w:rPr>
          <w:noProof/>
          <w:lang w:eastAsia="ru-RU"/>
        </w:rPr>
        <w:t>[22]</w:t>
      </w:r>
      <w:r w:rsidRPr="002F4348">
        <w:rPr>
          <w:lang w:eastAsia="ru-RU"/>
        </w:rPr>
        <w:fldChar w:fldCharType="end"/>
      </w:r>
      <w:r w:rsidRPr="002F4348">
        <w:t>.</w:t>
      </w:r>
    </w:p>
    <w:p w14:paraId="277FED5B" w14:textId="77777777" w:rsidR="00973E2C" w:rsidRPr="002F4348" w:rsidRDefault="00973E2C" w:rsidP="000C1AAB">
      <w:pPr>
        <w:ind w:left="708" w:firstLine="0"/>
        <w:contextualSpacing/>
        <w:rPr>
          <w:b/>
        </w:rPr>
      </w:pPr>
      <w:r w:rsidRPr="002F4348">
        <w:rPr>
          <w:b/>
        </w:rPr>
        <w:t>Уровень убедительности рекомендаций С (уровень достоверности доказательств 4).</w:t>
      </w:r>
    </w:p>
    <w:p w14:paraId="71C185A3" w14:textId="77777777" w:rsidR="000578EF" w:rsidRPr="002F4348" w:rsidRDefault="000578EF" w:rsidP="00116B73">
      <w:pPr>
        <w:ind w:left="709" w:firstLine="0"/>
        <w:contextualSpacing/>
        <w:rPr>
          <w:i/>
        </w:rPr>
      </w:pPr>
      <w:r w:rsidRPr="002F4348">
        <w:rPr>
          <w:b/>
        </w:rPr>
        <w:t xml:space="preserve">Комментарий: </w:t>
      </w:r>
      <w:r w:rsidR="00116B73" w:rsidRPr="002F4348">
        <w:rPr>
          <w:i/>
        </w:rPr>
        <w:t xml:space="preserve">если </w:t>
      </w:r>
      <w:r w:rsidRPr="002F4348">
        <w:rPr>
          <w:i/>
        </w:rPr>
        <w:t>после окончания терапии для оценки эффективности лечения выполнялась ПЭТ/КТ, то при метаболическом ответе 1-3 по шкале Deauville достаточной является СОД 30 Гр, а при ответе 4-5 по шкале Deauville предпочтительно СОД 36 Гр или обсуждение вопроса о II линии терапии. Решение о проведении II линии терапии целесообразно принимать на основании биопсии ПЭТ+ лимфатического узла, так как частота ложноположительных результатов ПЭТ на этом этапе повышена.</w:t>
      </w:r>
    </w:p>
    <w:p w14:paraId="2830A64B" w14:textId="77777777" w:rsidR="00F8063E" w:rsidRPr="002F4348" w:rsidRDefault="000578EF" w:rsidP="000578EF">
      <w:pPr>
        <w:ind w:left="709"/>
        <w:contextualSpacing/>
        <w:rPr>
          <w:i/>
        </w:rPr>
      </w:pPr>
      <w:r w:rsidRPr="002F4348">
        <w:rPr>
          <w:i/>
        </w:rPr>
        <w:t xml:space="preserve">Схемы ВЕАСОРР-эскалированный, BEACOPP-14 и ЕАСОРР-14 характеризуются бóльшей токсичностью, чем схема ABVD, и требуют обязательного планового применения колониестимулирующих факторов (Г-КСФ). </w:t>
      </w:r>
    </w:p>
    <w:p w14:paraId="6D684A42" w14:textId="77777777" w:rsidR="000578EF" w:rsidRPr="002F4348" w:rsidRDefault="000578EF" w:rsidP="000578EF">
      <w:pPr>
        <w:ind w:left="709"/>
        <w:contextualSpacing/>
        <w:rPr>
          <w:i/>
        </w:rPr>
      </w:pPr>
      <w:r w:rsidRPr="002F4348">
        <w:rPr>
          <w:i/>
        </w:rPr>
        <w:t xml:space="preserve">С целью уменьшения проявлений синдрома лизиса опухоли у </w:t>
      </w:r>
      <w:r w:rsidR="00B119C4" w:rsidRPr="002F4348">
        <w:rPr>
          <w:i/>
        </w:rPr>
        <w:t xml:space="preserve">пациентов </w:t>
      </w:r>
      <w:r w:rsidRPr="002F4348">
        <w:rPr>
          <w:i/>
        </w:rPr>
        <w:t>с выраженными симптомами интоксикации и общим статусом 2 и более по шкале ECOG лечение следует начинать с префазы – одного введения винбластин</w:t>
      </w:r>
      <w:r w:rsidR="000C1AAB" w:rsidRPr="002F4348">
        <w:rPr>
          <w:i/>
        </w:rPr>
        <w:t>а</w:t>
      </w:r>
      <w:r w:rsidR="00050B04" w:rsidRPr="002F4348">
        <w:rPr>
          <w:i/>
        </w:rPr>
        <w:t>**</w:t>
      </w:r>
      <w:r w:rsidRPr="002F4348">
        <w:rPr>
          <w:i/>
        </w:rPr>
        <w:t>) или введения циклофосфамида</w:t>
      </w:r>
      <w:r w:rsidR="00050B04" w:rsidRPr="002F4348">
        <w:rPr>
          <w:i/>
        </w:rPr>
        <w:t>**</w:t>
      </w:r>
      <w:r w:rsidRPr="002F4348">
        <w:rPr>
          <w:i/>
        </w:rPr>
        <w:t xml:space="preserve"> в монорежиме или в сочетании с</w:t>
      </w:r>
      <w:r w:rsidR="000C1AAB" w:rsidRPr="002F4348">
        <w:rPr>
          <w:i/>
        </w:rPr>
        <w:t xml:space="preserve"> глюкокортикоидами </w:t>
      </w:r>
      <w:r w:rsidRPr="002F4348">
        <w:rPr>
          <w:i/>
        </w:rPr>
        <w:t>в течение 1-3 дней (при отсутствии противопоказаний)</w:t>
      </w:r>
      <w:r w:rsidR="00F8063E" w:rsidRPr="002F4348">
        <w:rPr>
          <w:i/>
        </w:rPr>
        <w:t xml:space="preserve"> или одного введения по схеме </w:t>
      </w:r>
      <w:r w:rsidR="00F8063E" w:rsidRPr="002F4348">
        <w:rPr>
          <w:i/>
          <w:lang w:val="en-US"/>
        </w:rPr>
        <w:t>ABVD</w:t>
      </w:r>
      <w:r w:rsidR="00F8063E" w:rsidRPr="002F4348">
        <w:rPr>
          <w:i/>
        </w:rPr>
        <w:t xml:space="preserve">. </w:t>
      </w:r>
      <w:r w:rsidR="000E5A78" w:rsidRPr="002F4348">
        <w:rPr>
          <w:i/>
        </w:rPr>
        <w:t>После префазы</w:t>
      </w:r>
      <w:r w:rsidR="00F8063E" w:rsidRPr="002F4348">
        <w:rPr>
          <w:i/>
        </w:rPr>
        <w:t xml:space="preserve"> </w:t>
      </w:r>
      <w:r w:rsidR="000E5A78" w:rsidRPr="002F4348">
        <w:rPr>
          <w:i/>
        </w:rPr>
        <w:t>н</w:t>
      </w:r>
      <w:r w:rsidR="00F8063E" w:rsidRPr="002F4348">
        <w:rPr>
          <w:i/>
        </w:rPr>
        <w:t xml:space="preserve">ачало плановой терапии по схемам ВЕАСОРР-14, </w:t>
      </w:r>
      <w:r w:rsidR="00F8063E" w:rsidRPr="002F4348">
        <w:rPr>
          <w:i/>
        </w:rPr>
        <w:lastRenderedPageBreak/>
        <w:t>ВЕАСОРР-эскалированный и ЕАСОРР-14 возможно только после прохождения пика снижения лейкоцитов.</w:t>
      </w:r>
    </w:p>
    <w:p w14:paraId="54F5BCF6" w14:textId="77777777" w:rsidR="000578EF" w:rsidRPr="002F4348" w:rsidRDefault="00D75819" w:rsidP="00B153FC">
      <w:pPr>
        <w:pStyle w:val="afe"/>
        <w:numPr>
          <w:ilvl w:val="0"/>
          <w:numId w:val="12"/>
        </w:numPr>
        <w:spacing w:before="120" w:after="120"/>
        <w:ind w:left="709" w:hanging="709"/>
      </w:pPr>
      <w:r w:rsidRPr="002F4348">
        <w:t>Ранее не получавшим лечение</w:t>
      </w:r>
      <w:r w:rsidR="000578EF" w:rsidRPr="002F4348">
        <w:t xml:space="preserve"> пациентам в возрасте от 50 до 60 лет без тяжелых сопутствующих заболеваний с распространенными стадиями кЛХ с симптомами интоксикации и/или с МПИ 3-7 </w:t>
      </w:r>
      <w:r w:rsidR="000578EF" w:rsidRPr="002F4348">
        <w:rPr>
          <w:b/>
        </w:rPr>
        <w:t>рекомендуется</w:t>
      </w:r>
      <w:r w:rsidR="000578EF" w:rsidRPr="002F4348">
        <w:t xml:space="preserve"> полихимиотерапия по схеме </w:t>
      </w:r>
      <w:r w:rsidR="000578EF" w:rsidRPr="002F4348">
        <w:rPr>
          <w:lang w:val="en-US"/>
        </w:rPr>
        <w:t>BEACOPP</w:t>
      </w:r>
      <w:r w:rsidR="000578EF" w:rsidRPr="002F4348">
        <w:t xml:space="preserve">-14 (8 циклов) или </w:t>
      </w:r>
      <w:r w:rsidR="000578EF" w:rsidRPr="002F4348">
        <w:rPr>
          <w:lang w:val="en-US"/>
        </w:rPr>
        <w:t>EACOPP</w:t>
      </w:r>
      <w:r w:rsidR="000578EF" w:rsidRPr="002F4348">
        <w:t xml:space="preserve">-14 (6 циклов) (описание режимов – см. приложение </w:t>
      </w:r>
      <w:r w:rsidR="007A344D" w:rsidRPr="002F4348">
        <w:t>А3.1</w:t>
      </w:r>
      <w:r w:rsidR="000578EF" w:rsidRPr="002F4348">
        <w:t xml:space="preserve">) </w:t>
      </w:r>
      <w:r w:rsidR="000578EF" w:rsidRPr="002F4348">
        <w:rPr>
          <w:lang w:eastAsia="ru-RU"/>
        </w:rPr>
        <w:t>с последующим облучением резидуальных опухолевых масс размером 2,5 см и более СОД 30 Гр</w:t>
      </w:r>
      <w:r w:rsidR="00116B73" w:rsidRPr="002F4348">
        <w:rPr>
          <w:lang w:eastAsia="ru-RU"/>
        </w:rPr>
        <w:t xml:space="preserve"> </w:t>
      </w:r>
      <w:r w:rsidR="00116B73" w:rsidRPr="002F4348">
        <w:rPr>
          <w:lang w:eastAsia="ru-RU"/>
        </w:rPr>
        <w:fldChar w:fldCharType="begin" w:fldLock="1"/>
      </w:r>
      <w:r w:rsidR="002C6C01" w:rsidRPr="002F4348">
        <w:rPr>
          <w:lang w:eastAsia="ru-RU"/>
        </w:rPr>
        <w:instrText>ADDIN CSL_CITATION {"citationItems":[{"id":"ITEM-1","itemData":{"DOI":"10.1200/JCO.2003.06.028","ISSN":"0732183X","abstract":"Purpose: This multicenter pilot study assessed the feasibility and efficacy of a time-intensified bleomycin, etoposide, doxorubicin, cyclophosphamide, vincristine, procarbazine, and prednisone (BEACOPP) regimen given in 14-day intervals (BEACOPP-14) with granulocyte colony-stimulating factor (G-CSF) support in advanced Hodgkin's lymphoma. Patients and Methods: From July 1997 until March 2000, 94 patients with Hodgkin's lymphoma stage IIB, III, and IV were scheduled to receive eight cycles of BEACOPP-14. Consolidation radiotherapy was administered to regions with initial bulky disease or residual tumor after chemotherapy. Results: All patients were assessable for toxicity and treatment outcome. Eighty-six patients received the planned eight cycles of BEACOPP-14. Consolidation radiotherapy was given in 66 patients. Chemotherapy could generally be administered on schedule. Dose reductions varied among drugs but were generally low. Acute toxicity was moderate, with World Health Organization grade 3/4 leukopenia in 75%, thrombocytopenia in 23%, anemia in 65%, and infection in 12% of patients. A total of 88 patients (94%) achieved a complete remission. Four patients had progressive disease. At a median observation time of 34 months, five patients have relapsed, one patient developed a secondary non-Hodgkin's lymphoma, and three deaths were documented. The overall survival and freedom from treatment failure rates at 34 months were 97% (95% confidence interval [CI], 93% to 100%) and 90% (95% CI, 84% to 97%), respectively. Conclusion: Acceleration of the BEACOPP baseline regimen by shortening cycle duration with G-CSF support is feasible and effective with moderate acute toxicity. On the basis of these results, the German Hodgkin's Lymphoma Study Group will compare the BEACOPP-14 regimen with BEACOPP-21 escalated in a prospective multicenter randomized trial. © 2003 by American Society of Clinical Oncology.","author":[{"dropping-particle":"","family":"Sieber","given":"Markus","non-dropping-particle":"","parse-names":false,"suffix":""},{"dropping-particle":"","family":"Bredenfeld","given":"H.","non-dropping-particle":"","parse-names":false,"suffix":""},{"dropping-particle":"","family":"Josting","given":"A.","non-dropping-particle":"","parse-names":false,"suffix":""},{"dropping-particle":"","family":"Reineke","given":"T.","non-dropping-particle":"","parse-names":false,"suffix":""},{"dropping-particle":"","family":"Rueffer","given":"U.","non-dropping-particle":"","parse-names":false,"suffix":""},{"dropping-particle":"","family":"Koch","given":"T.","non-dropping-particle":"","parse-names":false,"suffix":""},{"dropping-particle":"","family":"Naumann","given":"R.","non-dropping-particle":"","parse-names":false,"suffix":""},{"dropping-particle":"","family":"Boissevain","given":"F.","non-dropping-particle":"","parse-names":false,"suffix":""},{"dropping-particle":"","family":"Koch","given":"P.","non-dropping-particle":"","parse-names":false,"suffix":""},{"dropping-particle":"","family":"Worst","given":"P.","non-dropping-particle":"","parse-names":false,"suffix":""},{"dropping-particle":"","family":"Soekler","given":"M.","non-dropping-particle":"","parse-names":false,"suffix":""},{"dropping-particle":"","family":"Eich","given":"H.","non-dropping-particle":"","parse-names":false,"suffix":""},{"dropping-particle":"","family":"Müller-Hermelink","given":"H. K.","non-dropping-particle":"","parse-names":false,"suffix":""},{"dropping-particle":"","family":"Franklin","given":"J.","non-dropping-particle":"","parse-names":false,"suffix":""},{"dropping-particle":"","family":"Paulus","given":"U.","non-dropping-particle":"","parse-names":false,"suffix":""},{"dropping-particle":"","family":"Wolf","given":"J.","non-dropping-particle":"","parse-names":false,"suffix":""},{"dropping-particle":"","family":"Engert","given":"A.","non-dropping-particle":"","parse-names":false,"suffix":""},{"dropping-particle":"","family":"Diehl","given":"V.","non-dropping-particle":"","parse-names":false,"suffix":""}],"container-title":"Journal of Clinical Oncology","id":"ITEM-1","issue":"9","issued":{"date-parts":[["2003","5","1"]]},"page":"1734-1739","title":"14-Day variant of the bleomycin, etoposide, doxorubicin, cyclophosphamide, vincristine, procarbazine, and prednisone regimen in advanced-stage Hodgkin's lymphoma: Results of a pilot study of the German Hodgkin's Lymphoma Study Group","type":"article-journal","volume":"21"},"uris":["http://www.mendeley.com/documents/?uuid=04d6cdcc-86ca-3166-8770-7e6c41765997","http://www.mendeley.com/documents/?uuid=daf76ed8-c8f8-4791-bd14-381bc674965a"]},{"id":"ITEM-2","itemData":{"author":[{"dropping-particle":"","family":"Демина","given":"Е.А.","non-dropping-particle":"","parse-names":false,"suffix":""},{"dropping-particle":"","family":"Леонтьева","given":"А.А.","non-dropping-particle":"","parse-names":false,"suffix":""},{"dropping-particle":"","family":"Тумян","given":"Г.С.","non-dropping-particle":"","parse-names":false,"suffix":""},{"dropping-particle":"","family":"Рябухина","given":"Ю.Е.","non-dropping-particle":"","parse-names":false,"suffix":""},{"dropping-particle":"","family":"Трофимова","given":"О.П.","non-dropping-particle":"","parse-names":false,"suffix":""},{"dropping-particle":"","family":"Волкова","given":"Н.В.","non-dropping-particle":"","parse-names":false,"suffix":""},{"dropping-particle":"","family":"Прямикова","given":"Ю.И.","non-dropping-particle":"","parse-names":false,"suffix":""},{"dropping-particle":"","family":"Сотников","given":"В.М.","non-dropping-particle":"","parse-names":false,"suffix":""},{"dropping-particle":"","family":"Ларионова","given":"В.Б.","non-dropping-particle":"","parse-names":false,"suffix":""},{"dropping-particle":"","family":"Медведовская","given":"Е.Г.","non-dropping-particle":"","parse-names":false,"suffix":""},{"dropping-particle":"","family":"Парамонова","given":"Е.В.","non-dropping-particle":"","parse-names":false,"suffix":""},{"dropping-particle":"","family":"Манзюк","given":"Л.В.","non-dropping-particle":"","parse-names":false,"suffix":""},{"dropping-particle":"","family":"Пробатова","given":"Н.А.","non-dropping-particle":"","parse-names":false,"suffix":""},{"dropping-particle":"","family":"Кокосадзе","given":"Н.В.","non-dropping-particle":"","parse-names":false,"suffix":""},{"dropping-particle":"","family":"Османов","given":"Е.А.","non-dropping-particle":"","parse-names":false,"suffix":""}],"container-title":"Клиническая онкогематология. Фундаментальные исследования и клиническая практика","id":"ITEM-2","issue":"4","issued":{"date-parts":[["2017"]]},"page":"443-452","title":"Оптимизация терапии первой линии у пациентов с распространенными стадиями лимфомы Ходжкина: эффективность и токсичность интенсивной схемы EACOPP-14 (опыт ФГБУ «НМИЦ онкологии им. Н.Н. Блохина Минздрава России).","type":"article-journal","volume":"10"},"uris":["http://www.mendeley.com/documents/?uuid=6548b3eb-4b1e-4363-8ff5-1cf493ff5fde","http://www.mendeley.com/documents/?uuid=0a4a3745-0d0c-4431-9ef8-2701c4f59356"]}],"mendeley":{"formattedCitation":"[22,23]","plainTextFormattedCitation":"[22,23]","previouslyFormattedCitation":"[22,23]"},"properties":{"noteIndex":0},"schema":"https://github.com/citation-style-language/schema/raw/master/csl-citation.json"}</w:instrText>
      </w:r>
      <w:r w:rsidR="00116B73" w:rsidRPr="002F4348">
        <w:rPr>
          <w:lang w:eastAsia="ru-RU"/>
        </w:rPr>
        <w:fldChar w:fldCharType="separate"/>
      </w:r>
      <w:r w:rsidR="000C1AAB" w:rsidRPr="002F4348">
        <w:rPr>
          <w:noProof/>
          <w:lang w:eastAsia="ru-RU"/>
        </w:rPr>
        <w:t>[22,23]</w:t>
      </w:r>
      <w:r w:rsidR="00116B73" w:rsidRPr="002F4348">
        <w:rPr>
          <w:lang w:eastAsia="ru-RU"/>
        </w:rPr>
        <w:fldChar w:fldCharType="end"/>
      </w:r>
      <w:r w:rsidR="000578EF" w:rsidRPr="002F4348">
        <w:t>.</w:t>
      </w:r>
    </w:p>
    <w:p w14:paraId="725F144A" w14:textId="77777777" w:rsidR="000578EF" w:rsidRPr="002F4348" w:rsidRDefault="000578EF" w:rsidP="00116B73">
      <w:pPr>
        <w:ind w:left="709" w:firstLine="0"/>
        <w:contextualSpacing/>
        <w:rPr>
          <w:b/>
        </w:rPr>
      </w:pPr>
      <w:r w:rsidRPr="002F4348">
        <w:rPr>
          <w:b/>
        </w:rPr>
        <w:t xml:space="preserve">Уровень убедительности рекомендаций </w:t>
      </w:r>
      <w:r w:rsidR="00C028CF" w:rsidRPr="002F4348">
        <w:rPr>
          <w:b/>
        </w:rPr>
        <w:t>С</w:t>
      </w:r>
      <w:r w:rsidR="005964D1" w:rsidRPr="002F4348">
        <w:rPr>
          <w:b/>
        </w:rPr>
        <w:t xml:space="preserve"> </w:t>
      </w:r>
      <w:r w:rsidRPr="002F4348">
        <w:rPr>
          <w:b/>
        </w:rPr>
        <w:t xml:space="preserve">(уровень достоверности доказательств </w:t>
      </w:r>
      <w:r w:rsidR="00C028CF" w:rsidRPr="002F4348">
        <w:rPr>
          <w:b/>
        </w:rPr>
        <w:t>4</w:t>
      </w:r>
      <w:r w:rsidRPr="002F4348">
        <w:rPr>
          <w:b/>
        </w:rPr>
        <w:t>).</w:t>
      </w:r>
    </w:p>
    <w:p w14:paraId="449A3C71" w14:textId="77777777" w:rsidR="000578EF" w:rsidRPr="002F4348" w:rsidRDefault="000578EF" w:rsidP="00B153FC">
      <w:pPr>
        <w:pStyle w:val="afe"/>
        <w:numPr>
          <w:ilvl w:val="0"/>
          <w:numId w:val="12"/>
        </w:numPr>
        <w:spacing w:before="120" w:after="120"/>
        <w:ind w:left="709" w:hanging="709"/>
      </w:pPr>
      <w:r w:rsidRPr="002F4348">
        <w:t xml:space="preserve">У пациентов от 18 до 60 лет с распространенными стадиями кЛХ, получивших </w:t>
      </w:r>
      <w:r w:rsidR="000C1CB1" w:rsidRPr="002F4348">
        <w:t xml:space="preserve">интенсивную лекарственную терапию </w:t>
      </w:r>
      <w:r w:rsidRPr="002F4348">
        <w:t xml:space="preserve">в полном объеме, с резидуальной опухолью </w:t>
      </w:r>
      <w:r w:rsidRPr="002F4348">
        <w:rPr>
          <w:rFonts w:cs="Times New Roman"/>
        </w:rPr>
        <w:t>≤</w:t>
      </w:r>
      <w:r w:rsidRPr="002F4348">
        <w:t xml:space="preserve">2,5 см и с полным метаболическим ответом по данным ПЭТ-2 и ПЭТ/КТ после окончания терапевтического лечения, </w:t>
      </w:r>
      <w:r w:rsidRPr="002F4348">
        <w:rPr>
          <w:b/>
        </w:rPr>
        <w:t>рекомендуется</w:t>
      </w:r>
      <w:r w:rsidRPr="002F4348">
        <w:t xml:space="preserve"> рассмотреть вопрос о возможности отказа от лучевой терапии</w:t>
      </w:r>
      <w:r w:rsidR="00116B73" w:rsidRPr="002F4348">
        <w:t xml:space="preserve"> </w:t>
      </w:r>
      <w:r w:rsidR="00116B73" w:rsidRPr="002F4348">
        <w:fldChar w:fldCharType="begin" w:fldLock="1"/>
      </w:r>
      <w:r w:rsidR="002C6C01" w:rsidRPr="002F4348">
        <w:instrText>ADDIN CSL_CITATION {"citationItems":[{"id":"ITEM-1","itemData":{"DOI":"10.1002/hon.105_2629","ISSN":"02780232","author":[{"dropping-particle":"","family":"Gallamini","given":"A.","non-dropping-particle":"","parse-names":false,"suffix":""},{"dropping-particle":"","family":"Rossi","given":"A.","non-dropping-particle":"","parse-names":false,"suffix":""},{"dropping-particle":"","family":"Patti","given":"C.","non-dropping-particle":"","parse-names":false,"suffix":""},{"dropping-particle":"","family":"Picardi","given":"M.","non-dropping-particle":"","parse-names":false,"suffix":""},{"dropping-particle":"","family":"Romano","given":"A.","non-dropping-particle":"","parse-names":false,"suffix":""},{"dropping-particle":"","family":"Cantonetti","given":"M.","non-dropping-particle":"","parse-names":false,"suffix":""},{"dropping-particle":"","family":"Oppi","given":"S.","non-dropping-particle":"","parse-names":false,"suffix":""},{"dropping-particle":"","family":"Viviani","given":"S.","non-dropping-particle":"","parse-names":false,"suffix":""},{"dropping-particle":"","family":"Bolis","given":"S.","non-dropping-particle":"","parse-names":false,"suffix":""},{"dropping-particle":"","family":"Trentin","given":"L.","non-dropping-particle":"","parse-names":false,"suffix":""},{"dropping-particle":"","family":"Gini","given":"G.","non-dropping-particle":"","parse-names":false,"suffix":""},{"dropping-particle":"","family":"Battistini","given":"R.","non-dropping-particle":"","parse-names":false,"suffix":""},{"dropping-particle":"","family":"Chauvie","given":"S.","non-dropping-particle":"","parse-names":false,"suffix":""},{"dropping-particle":"","family":"Bertolotti","given":"L.","non-dropping-particle":"","parse-names":false,"suffix":""},{"dropping-particle":"","family":"Pavoni","given":"C.","non-dropping-particle":"","parse-names":false,"suffix":""},{"dropping-particle":"","family":"Parvis","given":"G.","non-dropping-particle":"","parse-names":false,"suffix":""},{"dropping-particle":"","family":"Zanotti","given":"R.","non-dropping-particle":"","parse-names":false,"suffix":""},{"dropping-particle":"","family":"Gavarotti","given":"P.","non-dropping-particle":"","parse-names":false,"suffix":""},{"dropping-particle":"","family":"Cimminiello","given":"M.","non-dropping-particle":"","parse-names":false,"suffix":""},{"dropping-particle":"","family":"Schiavotto","given":"C.","non-dropping-particle":"","parse-names":false,"suffix":""},{"dropping-particle":"","family":"Viero","given":"P.","non-dropping-particle":"","parse-names":false,"suffix":""},{"dropping-particle":"","family":"Avigdor","given":"A.","non-dropping-particle":"","parse-names":false,"suffix":""},{"dropping-particle":"","family":"Tarella","given":"C.","non-dropping-particle":"","parse-names":false,"suffix":""},{"dropping-particle":"","family":"Rambaldi","given":"A.","non-dropping-particle":"","parse-names":false,"suffix":""}],"container-title":"Hematological Oncology","id":"ITEM-1","issued":{"date-parts":[["2019","6"]]},"page":"147-148","publisher":"Wiley","title":"Consolidation radiotherapy could be omitted in advanced Hodgkin lymphoma with large nodal mass in complete metabolic response after ABVD. Final analysis of the randomized HD0607 trial","type":"article-journal","volume":"37"},"uris":["http://www.mendeley.com/documents/?uuid=c3217ecd-97ec-3917-8912-8b26e41a94b3","http://www.mendeley.com/documents/?uuid=a6870071-fed1-48b9-bcfe-2c93e810e271"]},{"id":"ITEM-2","itemData":{"DOI":"10.1016/S0140-6736(11)61940-5","ISSN":"1474-547X","PMID":"22480758","abstract":"BACKGROUND The intensity of chemotherapy and need for additional radiotherapy in patients with advanced stage Hodgkin's lymphoma has been unclear. We did a prospective randomised clinical trial comparing two reduced-intensity chemotherapy variants with our previous standard regimen. Chemotherapy was followed by PET-guided radiotherapy. METHODS In this parallel group, open-label, multicentre, non-inferiority trial (HD15), 2182 patients with newly diagnosed advanced stage Hodgkin's lymphoma aged 18-60 years were randomly assigned to receive either eight cycles of BEACOPP(escalated) (8×B(esc) group), six cycles of BEACOPP(escalated) (6×B(esc) group), or eight cycles of BEACOPP(14) (8×B(14) group). Randomisation (1:1:1) was done centrally by stratified minimisation. Non-inferiority of the primary endpoint, freedom from treatment failure, was assessed using repeated CIs for the hazard ratio (HR) according to the intention-to-treat principle. Patients with a persistent mass after chemotherapy measuring 2·5 cm or larger and positive on PET scan received additional radiotherapy with 30 Gy; the negative predictive value for tumour recurrence of PET at 12 months was an independent endpoint. This trial is registered with Current Controlled Trials, number ISRCTN32443041. FINDINGS Of the 2182 patients enrolled in the study, 2126 patients were included in the intention-to-treat analysis set, 705 in the 8×B(esc) group, 711 in the 6×B(esc) group, and 710 in the 8×B(14) group. Freedom from treatment failure was sequentially non-inferior for the 6×B(esc) and 8×B(14) groups as compared with 8×B(esc). 5-year freedom from treatment failure rates were 84·4% (97·5% CI 81·0-87·7) for the 8×B(esc) group, 89·3% (86·5-92·1) for 6×B(esc) group, and 85·4% (82·1-88·7) for the 8×B(14) group (97·5% CI for difference between 6×B(esc) and 8×B(esc) was 0·5-9·3). Overall survival in the three groups was 91·9%, 95·3%, and 94·5% respectively, and was significantly better with 6×B(esc) than with 8×B(esc) (97·5% CI 0·2-6·5). The 8×B(esc) group showed a higher mortality (7·5%) than the 6×B(esc) (4·6%) and 8×B(14) (5·2%) groups, mainly due to differences in treatment-related events (2·1%, 0·8%, and 0·8%, respectively) and secondary malignancies (1·8%, 0·7%, and 1·1%, respectively). The negative predictive value for PET at 12 months was 94·1% (95% CI 92·1-96·1); and 225 (11%) of 2126 patients received additional radiotherapy. INTERPRETATION Treatment with six cycles of BEACOPP(escalated) followe…","author":[{"dropping-particle":"","family":"Engert","given":"Andreas","non-dropping-particle":"","parse-names":false,"suffix":""},{"dropping-particle":"","family":"Haverkamp","given":"Heinz","non-dropping-particle":"","parse-names":false,"suffix":""},{"dropping-particle":"","family":"Kobe","given":"Carsten","non-dropping-particle":"","parse-names":false,"suffix":""},{"dropping-particle":"","family":"Markova","given":"Jana","non-dropping-particle":"","parse-names":false,"suffix":""},{"dropping-particle":"","family":"Renner","given":"Christoph","non-dropping-particle":"","parse-names":false,"suffix":""},{"dropping-particle":"","family":"Ho","given":"Antony","non-dropping-particle":"","parse-names":false,"suffix":""},{"dropping-particle":"","family":"Zijlstra","given":"Josée","non-dropping-particle":"","parse-names":false,"suffix":""},{"dropping-particle":"","family":"Král","given":"Zdenek","non-dropping-particle":"","parse-names":false,"suffix":""},{"dropping-particle":"","family":"Fuchs","given":"Michael","non-dropping-particle":"","parse-names":false,"suffix":""},{"dropping-particle":"","family":"Hallek","given":"Michael","non-dropping-particle":"","parse-names":false,"suffix":""},{"dropping-particle":"","family":"Kanz","given":"Lothar","non-dropping-particle":"","parse-names":false,"suffix":""},{"dropping-particle":"","family":"Döhner","given":"Hartmut","non-dropping-particle":"","parse-names":false,"suffix":""},{"dropping-particle":"","family":"Dörken","given":"Bernd","non-dropping-particle":"","parse-names":false,"suffix":""},{"dropping-particle":"","family":"Engel","given":"Nicole","non-dropping-particle":"","parse-names":false,"suffix":""},{"dropping-particle":"","family":"Topp","given":"Max","non-dropping-particle":"","parse-names":false,"suffix":""},{"dropping-particle":"","family":"Klutmann","given":"Susanne","non-dropping-particle":"","parse-names":false,"suffix":""},{"dropping-particle":"","family":"Amthauer","given":"Holger","non-dropping-particle":"","parse-names":false,"suffix":""},{"dropping-particle":"","family":"Bockisch","given":"Andreas","non-dropping-particle":"","parse-names":false,"suffix":""},{"dropping-particle":"","family":"Kluge","given":"Regine","non-dropping-particle":"","parse-names":false,"suffix":""},{"dropping-particle":"","family":"Kratochwil","given":"Clemens","non-dropping-particle":"","parse-names":false,"suffix":""},{"dropping-particle":"","family":"Schober","given":"Otmar","non-dropping-particle":"","parse-names":false,"suffix":""},{"dropping-particle":"","family":"Greil","given":"Richard","non-dropping-particle":"","parse-names":false,"suffix":""},{"dropping-particle":"","family":"Andreesen","given":"Reinhard","non-dropping-particle":"","parse-names":false,"suffix":""},{"dropping-particle":"","family":"Kneba","given":"Michael","non-dropping-particle":"","parse-names":false,"suffix":""},{"dropping-particle":"","family":"Pfreundschuh","given":"Michael","non-dropping-particle":"","parse-names":false,"suffix":""},{"dropping-particle":"","family":"Stein","given":"Harald","non-dropping-particle":"","parse-names":false,"suffix":""},{"dropping-particle":"","family":"Eich","given":"Hans Theodor","non-dropping-particle":"","parse-names":false,"suffix":""},{"dropping-particle":"","family":"Müller","given":"Rolf-Peter","non-dropping-particle":"","parse-names":false,"suffix":""},{"dropping-particle":"","family":"Dietlein","given":"Markus","non-dropping-particle":"","parse-names":false,"suffix":""},{"dropping-particle":"","family":"Borchmann","given":"Peter","non-dropping-particle":"","parse-names":false,"suffix":""},{"dropping-particle":"","family":"Diehl","given":"Volker","non-dropping-particle":"","parse-names":false,"suffix":""},{"dropping-particle":"","family":"German Hodgkin Study Group","given":"","non-dropping-particle":"","parse-names":false,"suffix":""},{"dropping-particle":"","family":"Swiss Group for Clinical Cancer Research","given":"","non-dropping-particle":"","parse-names":false,"suffix":""},{"dropping-particle":"","family":"Arbeitsgemeinschaft Medikamentöse Tumortherapie","given":"","non-dropping-particle":"","parse-names":false,"suffix":""}],"container-title":"Lancet (London, England)","id":"ITEM-2","issue":"9828","issued":{"date-parts":[["2012","5","12"]]},"page":"1791-9","title":"Reduced-intensity chemotherapy and PET-guided radiotherapy in patients with advanced stage Hodgkin's lymphoma (HD15 trial): a randomised, open-label, phase 3 non-inferiority trial.","type":"article-journal","volume":"379"},"uris":["http://www.mendeley.com/documents/?uuid=9ae3c0bf-3563-401c-b406-70273d1f6757","http://www.mendeley.com/documents/?uuid=e9297700-7327-38a7-b5e1-c6624ec787a3"]}],"mendeley":{"formattedCitation":"[21,24]","plainTextFormattedCitation":"[21,24]","previouslyFormattedCitation":"[21,24]"},"properties":{"noteIndex":0},"schema":"https://github.com/citation-style-language/schema/raw/master/csl-citation.json"}</w:instrText>
      </w:r>
      <w:r w:rsidR="00116B73" w:rsidRPr="002F4348">
        <w:fldChar w:fldCharType="separate"/>
      </w:r>
      <w:r w:rsidR="000C1AAB" w:rsidRPr="002F4348">
        <w:rPr>
          <w:noProof/>
        </w:rPr>
        <w:t>[21,24]</w:t>
      </w:r>
      <w:r w:rsidR="00116B73" w:rsidRPr="002F4348">
        <w:fldChar w:fldCharType="end"/>
      </w:r>
      <w:r w:rsidRPr="002F4348">
        <w:t>.</w:t>
      </w:r>
    </w:p>
    <w:p w14:paraId="6C0D81B5" w14:textId="77777777" w:rsidR="000578EF" w:rsidRPr="002F4348" w:rsidRDefault="000578EF" w:rsidP="00116B73">
      <w:pPr>
        <w:ind w:left="709" w:firstLine="0"/>
        <w:contextualSpacing/>
        <w:rPr>
          <w:b/>
        </w:rPr>
      </w:pPr>
      <w:r w:rsidRPr="002F4348">
        <w:rPr>
          <w:b/>
        </w:rPr>
        <w:t xml:space="preserve">Уровень убедительности рекомендаций </w:t>
      </w:r>
      <w:r w:rsidRPr="002F4348">
        <w:rPr>
          <w:b/>
          <w:lang w:val="en-US"/>
        </w:rPr>
        <w:t>A</w:t>
      </w:r>
      <w:r w:rsidRPr="002F4348">
        <w:rPr>
          <w:b/>
        </w:rPr>
        <w:t xml:space="preserve"> (уровень достоверности доказательств 2).</w:t>
      </w:r>
    </w:p>
    <w:p w14:paraId="5D35E19B" w14:textId="77777777" w:rsidR="000578EF" w:rsidRPr="002F4348" w:rsidRDefault="000578EF" w:rsidP="00B153FC">
      <w:pPr>
        <w:pStyle w:val="afe"/>
        <w:numPr>
          <w:ilvl w:val="0"/>
          <w:numId w:val="12"/>
        </w:numPr>
        <w:spacing w:before="120" w:after="120"/>
        <w:ind w:left="709" w:hanging="709"/>
      </w:pPr>
      <w:r w:rsidRPr="002F4348">
        <w:t xml:space="preserve">У пациентов от 18 до 60 лет с распространенными стадиями кЛХ, выполнивших ПЭТ/КТ до начала лечения, ПЭТ/КТ-позитивных (4-5 баллов по шкале </w:t>
      </w:r>
      <w:r w:rsidRPr="002F4348">
        <w:rPr>
          <w:lang w:val="en-US"/>
        </w:rPr>
        <w:t>Deauville</w:t>
      </w:r>
      <w:r w:rsidRPr="002F4348">
        <w:t xml:space="preserve">) после 2 циклов </w:t>
      </w:r>
      <w:r w:rsidRPr="002F4348">
        <w:rPr>
          <w:lang w:val="en-US"/>
        </w:rPr>
        <w:t>ABVD</w:t>
      </w:r>
      <w:r w:rsidRPr="002F4348">
        <w:t xml:space="preserve">, </w:t>
      </w:r>
      <w:r w:rsidRPr="002F4348">
        <w:rPr>
          <w:b/>
        </w:rPr>
        <w:t>рекомендуется</w:t>
      </w:r>
      <w:r w:rsidRPr="002F4348">
        <w:t xml:space="preserve"> интенсификация терапии до </w:t>
      </w:r>
      <w:r w:rsidRPr="002F4348">
        <w:rPr>
          <w:lang w:val="en-US"/>
        </w:rPr>
        <w:t>BEACOPP</w:t>
      </w:r>
      <w:r w:rsidRPr="002F4348">
        <w:t xml:space="preserve">-эскалированный (4-6 циклов) или </w:t>
      </w:r>
      <w:r w:rsidRPr="002F4348">
        <w:rPr>
          <w:lang w:val="en-US"/>
        </w:rPr>
        <w:t>BEACOPP</w:t>
      </w:r>
      <w:r w:rsidRPr="002F4348">
        <w:t xml:space="preserve">-14 (6 циклов) (описание режимов – см. приложение </w:t>
      </w:r>
      <w:r w:rsidR="007A344D" w:rsidRPr="002F4348">
        <w:t>А3.1</w:t>
      </w:r>
      <w:r w:rsidRPr="002F4348">
        <w:t xml:space="preserve">) </w:t>
      </w:r>
      <w:r w:rsidR="00116B73" w:rsidRPr="002F4348">
        <w:fldChar w:fldCharType="begin" w:fldLock="1"/>
      </w:r>
      <w:r w:rsidR="002C6C01" w:rsidRPr="002F4348">
        <w:instrText>ADDIN CSL_CITATION {"citationItems":[{"id":"ITEM-1","itemData":{"DOI":"10.1182/blood-2015-11-679407","ISSN":"15280020","abstract":"International guidelines recommend that positron emission tomography-computed tomography (PET-CT) should replace CT in Hodgkin lymphoma (HL). The aims of this study were to compare PET-CT with CT for staging and measure agreement between expert and local readers, using a 5-point scale (Deauville criteria), to adapt treatment in a clinical trial: Response-Adapted Therapy in Advanced Hodgkin Lymphoma (RATHL). Patients were staged using clinical assessment, CT, and bone marrow biopsy (RATHL stage). PET-CT was performed at baseline (PET0) and after 2 chemotherapy cycles (PET2) in a response-adapted design.PET-CTwasreported centrally by experts at 5 national core laboratories. Local readers optionally scored PET2scans. TheRATHLand PET-CT stages were compared. Agreement among experts and between expert and local readers was measured. RATHL and PET0 stage were concordant in 938 (80%) patients. PET-CT upstaged 159 (14%) and downstaged 74 (6%) patients. Upstaging by extranodal disease in bone marrow (92), lung (11), or multiple sites (12) on PET-CT accounted for most discrepancies. Follow-up of discrepant findings confirmed the PET characterization of lesions in the vast majority. Five patients were upstaged by marrow biopsy and 7 by contrast-enhanced CT in the bowel and/or liver or spleen. PET2 agreement among experts (140 scans) with a k (95% confidence interval) of 0.84 (0.76-0.91) was very good and between experts and local readers (300 scans) at 0.77 (0.68-0.86) was good. These results confirm PET-CT as the modern standard for staging HL and that response assessment using Deauville criteria is robust, enabling translation of RATHL results into clinical practice.","author":[{"dropping-particle":"","family":"Barrington","given":"Sally F.","non-dropping-particle":"","parse-names":false,"suffix":""},{"dropping-particle":"","family":"Kirkwood","given":"Amy A.","non-dropping-particle":"","parse-names":false,"suffix":""},{"dropping-particle":"","family":"Franceschetto","given":"Antonella","non-dropping-particle":"","parse-names":false,"suffix":""},{"dropping-particle":"","family":"Fulham","given":"Michael J.","non-dropping-particle":"","parse-names":false,"suffix":""},{"dropping-particle":"","family":"Roberts","given":"Thomas H.","non-dropping-particle":"","parse-names":false,"suffix":""},{"dropping-particle":"","family":"Almquist","given":"Helén","non-dropping-particle":"","parse-names":false,"suffix":""},{"dropping-particle":"","family":"Brun","given":"Eva","non-dropping-particle":"","parse-names":false,"suffix":""},{"dropping-particle":"","family":"Hjorthaug","given":"Karin","non-dropping-particle":"","parse-names":false,"suffix":""},{"dropping-particle":"","family":"Viney","given":"Zaid N.","non-dropping-particle":"","parse-names":false,"suffix":""},{"dropping-particle":"","family":"Pike","given":"Lucy C.","non-dropping-particle":"","parse-names":false,"suffix":""},{"dropping-particle":"","family":"Federico","given":"Massimo","non-dropping-particle":"","parse-names":false,"suffix":""},{"dropping-particle":"","family":"Luminari","given":"Stefano","non-dropping-particle":"","parse-names":false,"suffix":""},{"dropping-particle":"","family":"Radford","given":"John","non-dropping-particle":"","parse-names":false,"suffix":""},{"dropping-particle":"","family":"Trotman","given":"Judith","non-dropping-particle":"","parse-names":false,"suffix":""},{"dropping-particle":"","family":"Fosså","given":"Alexander","non-dropping-particle":"","parse-names":false,"suffix":""},{"dropping-particle":"","family":"Berkahn","given":"Leanne","non-dropping-particle":"","parse-names":false,"suffix":""},{"dropping-particle":"","family":"Molin","given":"Daniel","non-dropping-particle":"","parse-names":false,"suffix":""},{"dropping-particle":"","family":"D'Amore","given":"Francesco","non-dropping-particle":"","parse-names":false,"suffix":""},{"dropping-particle":"","family":"Sinclair","given":"Donald A.","non-dropping-particle":"","parse-names":false,"suffix":""},{"dropping-particle":"","family":"Smith","given":"Paul","non-dropping-particle":"","parse-names":false,"suffix":""},{"dropping-particle":"","family":"O'Doherty","given":"Michael J.","non-dropping-particle":"","parse-names":false,"suffix":""},{"dropping-particle":"","family":"Stevens","given":"Lindsey","non-dropping-particle":"","parse-names":false,"suffix":""},{"dropping-particle":"","family":"Johnson","given":"Peter W.","non-dropping-particle":"","parse-names":false,"suffix":""}],"container-title":"Blood","id":"ITEM-1","issue":"12","issued":{"date-parts":[["2016","3","24"]]},"page":"1531-1538","publisher":"American Society of Hematology","title":"PET-CT for staging and early response: Results from the Response-Adapted Therapy in Advanced Hodgkin Lymphoma study","type":"article-journal","volume":"127"},"uris":["http://www.mendeley.com/documents/?uuid=12dbc394-9663-3794-9fc9-3512b0c0c066","http://www.mendeley.com/documents/?uuid=f16a1622-38f1-42ff-a96d-5096f99f25a2"]}],"mendeley":{"formattedCitation":"[25]","plainTextFormattedCitation":"[25]","previouslyFormattedCitation":"[25]"},"properties":{"noteIndex":0},"schema":"https://github.com/citation-style-language/schema/raw/master/csl-citation.json"}</w:instrText>
      </w:r>
      <w:r w:rsidR="00116B73" w:rsidRPr="002F4348">
        <w:fldChar w:fldCharType="separate"/>
      </w:r>
      <w:r w:rsidR="000C1CB1" w:rsidRPr="002F4348">
        <w:rPr>
          <w:noProof/>
        </w:rPr>
        <w:t>[25]</w:t>
      </w:r>
      <w:r w:rsidR="00116B73" w:rsidRPr="002F4348">
        <w:fldChar w:fldCharType="end"/>
      </w:r>
      <w:r w:rsidRPr="002F4348">
        <w:t>.</w:t>
      </w:r>
    </w:p>
    <w:p w14:paraId="771CE407" w14:textId="77777777" w:rsidR="000578EF" w:rsidRPr="002F4348" w:rsidRDefault="000578EF" w:rsidP="00116B73">
      <w:pPr>
        <w:ind w:left="709" w:firstLine="0"/>
        <w:contextualSpacing/>
        <w:rPr>
          <w:b/>
        </w:rPr>
      </w:pPr>
      <w:r w:rsidRPr="002F4348">
        <w:rPr>
          <w:b/>
        </w:rPr>
        <w:t xml:space="preserve">Уровень убедительности рекомендаций </w:t>
      </w:r>
      <w:r w:rsidRPr="002F4348">
        <w:rPr>
          <w:b/>
          <w:lang w:val="en-US"/>
        </w:rPr>
        <w:t>B</w:t>
      </w:r>
      <w:r w:rsidRPr="002F4348">
        <w:rPr>
          <w:b/>
        </w:rPr>
        <w:t xml:space="preserve"> (уровень достоверности доказательств </w:t>
      </w:r>
      <w:r w:rsidR="00010087" w:rsidRPr="002F4348">
        <w:rPr>
          <w:b/>
        </w:rPr>
        <w:t>2</w:t>
      </w:r>
      <w:r w:rsidRPr="002F4348">
        <w:rPr>
          <w:b/>
        </w:rPr>
        <w:t>).</w:t>
      </w:r>
    </w:p>
    <w:p w14:paraId="2A64CFE3" w14:textId="77777777" w:rsidR="000578EF" w:rsidRPr="002F4348" w:rsidRDefault="000578EF" w:rsidP="00B153FC">
      <w:pPr>
        <w:pStyle w:val="afe"/>
        <w:numPr>
          <w:ilvl w:val="0"/>
          <w:numId w:val="12"/>
        </w:numPr>
        <w:spacing w:before="120" w:after="120"/>
        <w:ind w:left="709" w:hanging="709"/>
      </w:pPr>
      <w:r w:rsidRPr="002F4348">
        <w:t xml:space="preserve">Всем пациентам с кЛХ, получающим терапию режимами </w:t>
      </w:r>
      <w:r w:rsidRPr="002F4348">
        <w:rPr>
          <w:lang w:val="en-US"/>
        </w:rPr>
        <w:t>BEACOPP</w:t>
      </w:r>
      <w:r w:rsidRPr="002F4348">
        <w:t xml:space="preserve">-эскалированный, </w:t>
      </w:r>
      <w:r w:rsidRPr="002F4348">
        <w:rPr>
          <w:lang w:val="en-US"/>
        </w:rPr>
        <w:t>BEACOPP</w:t>
      </w:r>
      <w:r w:rsidRPr="002F4348">
        <w:t xml:space="preserve">-14 или </w:t>
      </w:r>
      <w:r w:rsidRPr="002F4348">
        <w:rPr>
          <w:lang w:val="en-US"/>
        </w:rPr>
        <w:t>EACOPP</w:t>
      </w:r>
      <w:r w:rsidRPr="002F4348">
        <w:t xml:space="preserve">-14, </w:t>
      </w:r>
      <w:r w:rsidRPr="002F4348">
        <w:rPr>
          <w:b/>
        </w:rPr>
        <w:t>рекомендуется</w:t>
      </w:r>
      <w:r w:rsidRPr="002F4348">
        <w:t xml:space="preserve"> плановое назначение Г-КСФ для обеспечения возможности проведения следующего очередного цикла терапии в требуемые сроки и при требуемых показателях крови</w:t>
      </w:r>
      <w:r w:rsidR="00116B73" w:rsidRPr="002F4348">
        <w:t xml:space="preserve"> </w:t>
      </w:r>
      <w:r w:rsidR="00116B73" w:rsidRPr="002F4348">
        <w:fldChar w:fldCharType="begin" w:fldLock="1"/>
      </w:r>
      <w:r w:rsidR="00A850F7" w:rsidRPr="002F4348">
        <w:instrText>ADDIN CSL_CITATION {"citationItems":[{"id":"ITEM-1","itemData":{"ISSN":"1557-9190","PMID":"18284718","abstract":"ABVD (doxorubicin/bleomycin/vinblastine/dacarbazine) and BEACOPP (bleomycin/etoposide/doxorubicin/cyclophosphamide/vincristine/procarbazine/prednisone) are the most widely used regimens for the treatment of patients with advanced stage Hodgkin lymphoma. Both regimens are associated with significant neutropenia. Maintaining the planned dose intensity is considered an important goal to achieve when using curative therapy. Therefore, prophylactic use of granulocyte colony-stimulating factor (G-CSF) is widely used to support these regimens and is mandatory to support BEACOPP-escalated and BEACOPP-14 to reduce toxicity and treatment delays. Recent retrospective studies are discussed which have reported using ABVD without G-CSF support. However, randomized studies are needed to clarify the role of primary prophylaxis with ABVD and BEACOPP-baseline regimens. Secondary prophylaxis should be considered in all patients, especially those who develop neutropenic fever.","author":[{"dropping-particle":"","family":"Wedgwood","given":"Amanda","non-dropping-particle":"","parse-names":false,"suffix":""},{"dropping-particle":"","family":"Younes","given":"Anas","non-dropping-particle":"","parse-names":false,"suffix":""}],"container-title":"Clinical lymphoma &amp; myeloma","id":"ITEM-1","issued":{"date-parts":[["2007","12"]]},"page":"S63-6","title":"Prophylactic use of filgrastim with ABVD and BEACOPP chemotherapy regimens for Hodgkin lymphoma.","type":"article-journal","volume":"8 Suppl 2"},"uris":["http://www.mendeley.com/documents/?uuid=216c0caf-2102-3155-93ad-27491ce25420","http://www.mendeley.com/documents/?uuid=5af6b69b-cbf5-455c-a7b2-bb47bf597dc8"]},{"id":"ITEM-2","itemData":{"DOI":"10.1023/a:1008301225839","ISSN":"0923-7534","PMID":"11061603","abstract":"BACKGROUND Evidence is recently accumulating that the novel BEACOPP (bleomycin (B), etoposide (E), adriamycin (A), cyclophosphamide (C), vincristine (O), procarbazine (P), prednisone (P)) chemotherapy is a highly effective treatment for advanced stage Hodgkin's disease. Two dose variants of BEACOPP are currently tested in a phase III randomized multicenter trial of the GHSG. To enable more extensive testing of BEACOPP we characterized its practicability regarding schedule adherence, acute hematotoxicity and need for supportive treatment. PATIENTS AND METHODS Data of 858 patients (6592 therapy cycles) from 184 participating institutions were evaluated. Planned total drug doses of the baseline variant (arm 1) were 80, 2400, 200, 5200, 11.2, 5600 and 4480 mg/m2 for B, E, A, C, O, P and P, respectively. Compared to arm 1, the doses of E, A and C in the dose-intensified variant (arm 2) were escalated by factor 2.0, 1.4, 1.92, respectively, using G-CSF assistance. Stepwise dose reductions were specified in case of dose-limiting toxicities. Both variants are given in eight three-weekly courses. RESULTS Median dose adherence (dose actually given relative to planned arm 1 dose) in arm 1 was 1.0 for all drugs. Relative dose escalation of E, A, and C actually maintained in arm 2 was 1.83, 1.37 and 1.77 (medians), respectively, and 70% of patients maintained elevated dose levels throughout the entire treatment. Dose-limiting toxicities occurred in 25% of cycles in arm 2, most frequently due to leukocytopenia and thrombocytopenia. Time courses of leukocytes in arm 2 showed more severe but not more prolonged leukocytopenia compared with arm 1. WHO grades 3-4 infections were documented in 2.1% (arm 1) and 3.1% (arm 2) of all cycles. Erythrocytes were transfused in 61% (arm 1) and 28% (arm 2), platelets in &lt; 1% (arm 1) and 6% (arm 2) of all cycles. CONCLUSIONS Both BEACOPP schemes are practicable in a large multicenter setting. Despite increased hematotoxicity, moderate dose escalation is safe for the majority of the patients with G-CSF assistance and standard supportive treatment.","author":[{"dropping-particle":"","family":"Engel","given":"C","non-dropping-particle":"","parse-names":false,"suffix":""},{"dropping-particle":"","family":"Loeffler","given":"M","non-dropping-particle":"","parse-names":false,"suffix":""},{"dropping-particle":"","family":"Schmitz","given":"S","non-dropping-particle":"","parse-names":false,"suffix":""},{"dropping-particle":"","family":"Tesch","given":"H","non-dropping-particle":"","parse-names":false,"suffix":""},{"dropping-particle":"","family":"Diehl","given":"V","non-dropping-particle":"","parse-names":false,"suffix":""}],"container-title":"Annals of oncology : official journal of the European Society for Medical Oncology","id":"ITEM-2","issue":"9","issued":{"date-parts":[["2000","9"]]},"page":"1105-14","title":"Acute hematologic toxicity and practicability of dose-intensified BEACOPP chemotherapy for advanced stage Hodgkin's disease. German Hodgkin's Lymphoma Study Group (GHSG).","type":"article-journal","volume":"11"},"uris":["http://www.mendeley.com/documents/?uuid=c5bed9f4-8b22-34ce-a2a9-e75c3442dee6","http://www.mendeley.com/documents/?uuid=3d0de41a-fbc1-4f88-ac4a-ed43b40e952a"]},{"id":"ITEM-3","itemData":{"author":[{"dropping-particle":"","family":"Демина","given":"Е.А.","non-dropping-particle":"","parse-names":false,"suffix":""},{"dropping-particle":"","family":"Леонтьева","given":"А.А.","non-dropping-particle":"","parse-names":false,"suffix":""},{"dropping-particle":"","family":"Тумян","given":"Г.С.","non-dropping-particle":"","parse-names":false,"suffix":""},{"dropping-particle":"","family":"Рябухина","given":"Ю.Е.","non-dropping-particle":"","parse-names":false,"suffix":""},{"dropping-particle":"","family":"Трофимова","given":"О.П.","non-dropping-particle":"","parse-names":false,"suffix":""},{"dropping-particle":"","family":"Волкова","given":"Н.В.","non-dropping-particle":"","parse-names":false,"suffix":""},{"dropping-particle":"","family":"Прямикова","given":"Ю.И.","non-dropping-particle":"","parse-names":false,"suffix":""},{"dropping-particle":"","family":"Сотников","given":"В.М.","non-dropping-particle":"","parse-names":false,"suffix":""},{"dropping-particle":"","family":"Ларионова","given":"В.Б.","non-dropping-particle":"","parse-names":false,"suffix":""},{"dropping-particle":"","family":"Медведовская","given":"Е.Г.","non-dropping-particle":"","parse-names":false,"suffix":""},{"dropping-particle":"","family":"Парамонова","given":"Е.В.","non-dropping-particle":"","parse-names":false,"suffix":""},{"dropping-particle":"","family":"Манзюк","given":"Л.В.","non-dropping-particle":"","parse-names":false,"suffix":""},{"dropping-particle":"","family":"Пробатова","given":"Н.А.","non-dropping-particle":"","parse-names":false,"suffix":""},{"dropping-particle":"","family":"Кокосадзе","given":"Н.В.","non-dropping-particle":"","parse-names":false,"suffix":""},{"dropping-particle":"","family":"Османов","given":"Е.А.","non-dropping-particle":"","parse-names":false,"suffix":""}],"container-title":"Клиническая онкогематология. Фундаментальные исследования и клиническая практика","id":"ITEM-3","issue":"4","issued":{"date-parts":[["2017"]]},"page":"443-452","title":"Оптимизация терапии первой линии у пациентов с распространенными стадиями лимфомы Ходжкина: эффективность и токсичность интенсивной схемы EACOPP-14 (опыт ФГБУ «НМИЦ онкологии им. Н.Н. Блохина Минздрава России).","type":"article-journal","volume":"10"},"uris":["http://www.mendeley.com/documents/?uuid=6548b3eb-4b1e-4363-8ff5-1cf493ff5fde","http://www.mendeley.com/documents/?uuid=0a4a3745-0d0c-4431-9ef8-2701c4f59356"]}],"mendeley":{"formattedCitation":"[22,26,27]","plainTextFormattedCitation":"[22,26,27]","previouslyFormattedCitation":"[22,26,27]"},"properties":{"noteIndex":0},"schema":"https://github.com/citation-style-language/schema/raw/master/csl-citation.json"}</w:instrText>
      </w:r>
      <w:r w:rsidR="00116B73" w:rsidRPr="002F4348">
        <w:fldChar w:fldCharType="separate"/>
      </w:r>
      <w:r w:rsidR="000C1AAB" w:rsidRPr="002F4348">
        <w:rPr>
          <w:noProof/>
        </w:rPr>
        <w:t>[22,26,27]</w:t>
      </w:r>
      <w:r w:rsidR="00116B73" w:rsidRPr="002F4348">
        <w:fldChar w:fldCharType="end"/>
      </w:r>
      <w:r w:rsidRPr="002F4348">
        <w:t>.</w:t>
      </w:r>
    </w:p>
    <w:p w14:paraId="78880E4E" w14:textId="77777777" w:rsidR="000578EF" w:rsidRPr="002F4348" w:rsidRDefault="000578EF" w:rsidP="00116B73">
      <w:pPr>
        <w:ind w:left="709" w:firstLine="0"/>
        <w:contextualSpacing/>
        <w:rPr>
          <w:b/>
        </w:rPr>
      </w:pPr>
      <w:r w:rsidRPr="002F4348">
        <w:rPr>
          <w:b/>
        </w:rPr>
        <w:t xml:space="preserve">Уровень убедительности рекомендаций </w:t>
      </w:r>
      <w:r w:rsidR="00BF66A0" w:rsidRPr="002F4348">
        <w:rPr>
          <w:b/>
          <w:lang w:val="en-US"/>
        </w:rPr>
        <w:t>B</w:t>
      </w:r>
      <w:r w:rsidR="00BF66A0" w:rsidRPr="002F4348">
        <w:rPr>
          <w:b/>
        </w:rPr>
        <w:t xml:space="preserve"> </w:t>
      </w:r>
      <w:r w:rsidRPr="002F4348">
        <w:rPr>
          <w:b/>
        </w:rPr>
        <w:t xml:space="preserve">(уровень достоверности доказательств </w:t>
      </w:r>
      <w:r w:rsidR="00BF66A0" w:rsidRPr="002F4348">
        <w:rPr>
          <w:b/>
        </w:rPr>
        <w:t>3</w:t>
      </w:r>
      <w:r w:rsidRPr="002F4348">
        <w:rPr>
          <w:b/>
        </w:rPr>
        <w:t>).</w:t>
      </w:r>
    </w:p>
    <w:p w14:paraId="1699B42F" w14:textId="77777777" w:rsidR="000578EF" w:rsidRPr="002F4348" w:rsidRDefault="000578EF" w:rsidP="00116B73">
      <w:pPr>
        <w:ind w:left="709" w:firstLine="0"/>
        <w:contextualSpacing/>
        <w:rPr>
          <w:i/>
        </w:rPr>
      </w:pPr>
      <w:r w:rsidRPr="002F4348">
        <w:rPr>
          <w:b/>
        </w:rPr>
        <w:t xml:space="preserve">Комментарий: </w:t>
      </w:r>
      <w:r w:rsidR="00DB0D55" w:rsidRPr="002F4348">
        <w:rPr>
          <w:i/>
        </w:rPr>
        <w:t xml:space="preserve">введение </w:t>
      </w:r>
      <w:r w:rsidRPr="002F4348">
        <w:rPr>
          <w:i/>
        </w:rPr>
        <w:t xml:space="preserve">Г-КСФ начинается на 9 сутки (через 1 сутки после введения винкристина**) </w:t>
      </w:r>
      <w:r w:rsidR="00537471" w:rsidRPr="002F4348">
        <w:rPr>
          <w:i/>
        </w:rPr>
        <w:t xml:space="preserve">независимо от количества лейкоцитов </w:t>
      </w:r>
      <w:r w:rsidRPr="002F4348">
        <w:rPr>
          <w:i/>
        </w:rPr>
        <w:t xml:space="preserve">и продолжается </w:t>
      </w:r>
      <w:r w:rsidRPr="002F4348">
        <w:rPr>
          <w:i/>
        </w:rPr>
        <w:lastRenderedPageBreak/>
        <w:t>до восстановления уровня нейтрофилов &gt;1 × 10</w:t>
      </w:r>
      <w:r w:rsidRPr="002F4348">
        <w:rPr>
          <w:i/>
          <w:vertAlign w:val="superscript"/>
        </w:rPr>
        <w:t>9</w:t>
      </w:r>
      <w:r w:rsidRPr="002F4348">
        <w:rPr>
          <w:i/>
        </w:rPr>
        <w:t>/л и тромбоцитов &gt;100 × 10</w:t>
      </w:r>
      <w:r w:rsidRPr="002F4348">
        <w:rPr>
          <w:i/>
          <w:vertAlign w:val="superscript"/>
        </w:rPr>
        <w:t>9</w:t>
      </w:r>
      <w:r w:rsidRPr="002F4348">
        <w:rPr>
          <w:i/>
        </w:rPr>
        <w:t xml:space="preserve">/л, но только в том случае, если пик падения уже пройден. Рекомендации по редукции доз или увеличению промежутков при проведении химиотерапии в зависимости от показателей крови – см. приложение </w:t>
      </w:r>
      <w:r w:rsidR="007A344D" w:rsidRPr="002F4348">
        <w:rPr>
          <w:i/>
        </w:rPr>
        <w:t>А3.2</w:t>
      </w:r>
      <w:r w:rsidRPr="002F4348">
        <w:rPr>
          <w:i/>
        </w:rPr>
        <w:t>.</w:t>
      </w:r>
    </w:p>
    <w:p w14:paraId="21A22DA4" w14:textId="7C006B9F" w:rsidR="00116B73" w:rsidRPr="002F4348" w:rsidRDefault="000578EF" w:rsidP="00B153FC">
      <w:pPr>
        <w:pStyle w:val="afe"/>
        <w:numPr>
          <w:ilvl w:val="0"/>
          <w:numId w:val="12"/>
        </w:numPr>
        <w:spacing w:before="120" w:after="120"/>
        <w:ind w:left="709" w:hanging="709"/>
      </w:pPr>
      <w:r w:rsidRPr="002F4348">
        <w:t>Пациентам от 18 до 60 лет с кЛХ</w:t>
      </w:r>
      <w:r w:rsidR="00116B73" w:rsidRPr="002F4348">
        <w:t xml:space="preserve">, завершившим плановую полихимиотерапию, </w:t>
      </w:r>
      <w:r w:rsidR="00116B73" w:rsidRPr="002F4348">
        <w:rPr>
          <w:b/>
          <w:bCs/>
        </w:rPr>
        <w:t>рекомендуется</w:t>
      </w:r>
      <w:r w:rsidR="00116B73" w:rsidRPr="002F4348">
        <w:t xml:space="preserve"> локальная лучевая терапия с консолидирующей целью в следующих случаях </w:t>
      </w:r>
      <w:r w:rsidR="00116B73" w:rsidRPr="002F4348">
        <w:fldChar w:fldCharType="begin" w:fldLock="1"/>
      </w:r>
      <w:r w:rsidR="00067DF0">
        <w:instrText>ADDIN CSL_CITATION {"citationItems":[{"id":"ITEM-1","itemData":{"ISBN":"8/10/201912:3","author":[{"dropping-particle":"","family":"Lymphoma","given":"Hodgkin","non-dropping-particle":"","parse-names":false,"suffix":""}],"id":"ITEM-1","issued":{"date-parts":[["2019"]]},"title":"NCCN Clinical Practice Guidelines in Oncology (NCCN Guidelines ® ) NCCN.org NCCN Guidelines for Patients ® available at www.nccn.org/patients","type":"report"},"uris":["http://www.mendeley.com/documents/?uuid=2e416ce2-747b-3074-a8af-f774b16019d7","http://www.mendeley.com/documents/?uuid=5fcbba58-7d00-444f-b7fe-100c187c48b9"]},{"id":"ITEM-2","itemData":{"DOI":"10.1016/j.ijrobp.2015.01.009","ISSN":"1879355X","abstract":"Extranodal lymphomas (ENLs) comprise about a third of all non-Hodgkin lymphomas (NHL). Radiation therapy (RT) is frequently used as either primary therapy (particularly for indolent ENL), consolidation after systemic therapy, salvage treatment, or palliation. The wide range of presentations of ENL, involving any organ in the body and the spectrum of histological sub-types, poses a challenge both for routine clinical care and for the conduct of prospective and retrospective studies. This has led to uncertainty and lack of consistency in RT approaches between centers and clinicians. Thus far there is a lack of guidelines for the use of RT in the management of ENL. This report presents an effort by the International Lymphoma Radiation Oncology Group (ILROG) to harmonize and standardize the principles of treatment of ENL, and to address the technical challenges of simulation, volume definition and treatment planning for the most frequently involved organs. Specifically, detailed recommendations for RT volumes are provided. We have applied the same modern principles of involved site radiation therapy as previously developed and published as guidelines for Hodgkin lymphoma and nodal NHL. We have adopted RT volume definitions based on the International Commission on Radiation Units and Measurements (ICRU), as has been widely adopted by the field of radiation oncology for solid tumors. Organ-specific recommendations take into account histological subtype, anatomy, the treatment intent, and other treatment modalities that may be have been used before RT. Ó 2015 The Authors. Published by Elsevier Inc. This is an open access article under the CC BY-NC-ND license (http://creativecommons.org/licenses/by-nc-nd/4.0/).","author":[{"dropping-particle":"","family":"Yahalom","given":"Joachim","non-dropping-particle":"","parse-names":false,"suffix":""},{"dropping-particle":"","family":"Illidge","given":"Tim","non-dropping-particle":"","parse-names":false,"suffix":""},{"dropping-particle":"","family":"Specht","given":"Lena","non-dropping-particle":"","parse-names":false,"suffix":""},{"dropping-particle":"","family":"Hoppe","given":"Richard T.","non-dropping-particle":"","parse-names":false,"suffix":""},{"dropping-particle":"","family":"Li","given":"Ye Xiong","non-dropping-particle":"","parse-names":false,"suffix":""},{"dropping-particle":"","family":"Tsang","given":"Richard","non-dropping-particle":"","parse-names":false,"suffix":""},{"dropping-particle":"","family":"Wirth","given":"Andrew","non-dropping-particle":"","parse-names":false,"suffix":""}],"container-title":"International Journal of Radiation Oncology Biology Physics","id":"ITEM-2","issue":"1","issued":{"date-parts":[["2015","5","1"]]},"page":"11-31","publisher":"Elsevier Inc.","title":"Modern radiation therapy for extranodal lymphomas: Field and dose guidelines from the international lymphoma radiation oncology group","type":"article-journal","volume":"92"},"uris":["http://www.mendeley.com/documents/?uuid=b0d433c8-50c9-481b-bd89-8a3b53addbda"]},{"id":"ITEM-3","itemData":{"author":[{"dropping-particle":"","family":"Демина","given":"Е.А.","non-dropping-particle":"","parse-names":false,"suffix":""},{"dropping-particle":"","family":"Капланов","given":"К.Д.","non-dropping-particle":"","parse-names":false,"suffix":""},{"dropping-particle":"","family":"Мухортова","given":"О.В.","non-dropping-particle":"","parse-names":false,"suffix":""},{"dropping-particle":"","family":"Тумян","given":"Г.С.","non-dropping-particle":"","parse-names":false,"suffix":""},{"dropping-particle":"","family":"Михайлова","given":"Н.Б.","non-dropping-particle":"","parse-names":false,"suffix":""},{"dropping-particle":"","family":"Моисеева","given":"Т.Н.","non-dropping-particle":"","parse-names":false,"suffix":""},{"dropping-particle":"","family":"Виноградова","given":"Ю.Н.","non-dropping-particle":"","parse-names":false,"suffix":""},{"dropping-particle":"","family":"Ильин","given":"Н.В.","non-dropping-particle":"","parse-names":false,"suffix":""},{"dropping-particle":"","family":"Трофимова","given":"О.П.","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Савченко.","id":"ITEM-3","issued":{"date-parts":[["2018"]]},"page":"28-43","title":"Лимфома Ходжкина","type":"chapter"},"uris":["http://www.mendeley.com/documents/?uuid=0af2b11d-a9cf-4da8-a503-99a860249436","http://www.mendeley.com/documents/?uuid=708bf927-447f-43d0-8bf7-28178aa7e29e"]}],"mendeley":{"formattedCitation":"[4,28,29]","plainTextFormattedCitation":"[4,28,29]","previouslyFormattedCitation":"[4,28,29]"},"properties":{"noteIndex":0},"schema":"https://github.com/citation-style-language/schema/raw/master/csl-citation.json"}</w:instrText>
      </w:r>
      <w:r w:rsidR="00116B73" w:rsidRPr="002F4348">
        <w:fldChar w:fldCharType="separate"/>
      </w:r>
      <w:r w:rsidR="000C1AAB" w:rsidRPr="002F4348">
        <w:rPr>
          <w:noProof/>
        </w:rPr>
        <w:t>[4,28,29]</w:t>
      </w:r>
      <w:r w:rsidR="00116B73" w:rsidRPr="002F4348">
        <w:fldChar w:fldCharType="end"/>
      </w:r>
      <w:r w:rsidR="00116B73" w:rsidRPr="002F4348">
        <w:t>:</w:t>
      </w:r>
    </w:p>
    <w:p w14:paraId="65BDB9C1" w14:textId="77777777" w:rsidR="008A2747" w:rsidRPr="002F4348" w:rsidRDefault="008A2747" w:rsidP="00B153FC">
      <w:pPr>
        <w:pStyle w:val="afe"/>
        <w:numPr>
          <w:ilvl w:val="0"/>
          <w:numId w:val="19"/>
        </w:numPr>
        <w:spacing w:before="120" w:after="120"/>
      </w:pPr>
      <w:r w:rsidRPr="002F4348">
        <w:t>пациентам с исходным поражением костей, в случае сохранения ПЭТ-позитивных резидуальных очагов в костях и отсутствии других проявлений заболевания - локальная лучевая терапия СОД 36 Гр на остаточные очаги;</w:t>
      </w:r>
    </w:p>
    <w:p w14:paraId="3A8BFE66" w14:textId="77777777" w:rsidR="008A2747" w:rsidRPr="002F4348" w:rsidRDefault="008A2747" w:rsidP="00B153FC">
      <w:pPr>
        <w:pStyle w:val="afe"/>
        <w:numPr>
          <w:ilvl w:val="0"/>
          <w:numId w:val="19"/>
        </w:numPr>
        <w:spacing w:before="120" w:after="120"/>
      </w:pPr>
      <w:r w:rsidRPr="002F4348">
        <w:t>пациентам с исходным поражением позвонка с мягкотканным компонентом и неврологической симптоматикой - до СОД 36 Гр на исходно пораженный позвонок, независимо от результатов лекарственного лечения.</w:t>
      </w:r>
    </w:p>
    <w:p w14:paraId="27AB6E5E" w14:textId="77777777" w:rsidR="000578EF" w:rsidRPr="002F4348" w:rsidRDefault="000578EF" w:rsidP="00116B73">
      <w:pPr>
        <w:ind w:left="709" w:firstLine="0"/>
        <w:contextualSpacing/>
        <w:rPr>
          <w:b/>
        </w:rPr>
      </w:pPr>
      <w:r w:rsidRPr="002F4348">
        <w:rPr>
          <w:b/>
        </w:rPr>
        <w:t>Уровень убедительности рекомендаций С (уровень достоверности доказательств 5).</w:t>
      </w:r>
    </w:p>
    <w:p w14:paraId="76B5C16B" w14:textId="77777777" w:rsidR="000578EF" w:rsidRPr="002F4348" w:rsidRDefault="000578EF" w:rsidP="00B153FC">
      <w:pPr>
        <w:pStyle w:val="afe"/>
        <w:numPr>
          <w:ilvl w:val="0"/>
          <w:numId w:val="12"/>
        </w:numPr>
        <w:spacing w:before="120" w:after="120"/>
        <w:ind w:left="709" w:hanging="709"/>
      </w:pPr>
      <w:r w:rsidRPr="002F4348">
        <w:t>Пациентам старше 18 лет с кЛХ,</w:t>
      </w:r>
      <w:r w:rsidR="00537471" w:rsidRPr="002F4348">
        <w:t xml:space="preserve"> подтвержденной иммуногистохимически,</w:t>
      </w:r>
      <w:r w:rsidRPr="002F4348">
        <w:t xml:space="preserve"> которым</w:t>
      </w:r>
      <w:r w:rsidR="00537471" w:rsidRPr="002F4348">
        <w:t xml:space="preserve"> показано, но невозможно</w:t>
      </w:r>
      <w:r w:rsidRPr="002F4348">
        <w:t xml:space="preserve"> проведение</w:t>
      </w:r>
      <w:r w:rsidR="00537471" w:rsidRPr="002F4348">
        <w:t xml:space="preserve"> или продолжение</w:t>
      </w:r>
      <w:r w:rsidRPr="002F4348">
        <w:t xml:space="preserve"> интенсивных программ химиотерапии первой линии или имеющим высокий риск развития пульмонита при применении блеомицина</w:t>
      </w:r>
      <w:r w:rsidR="00A45A63" w:rsidRPr="002F4348">
        <w:t>**</w:t>
      </w:r>
      <w:r w:rsidRPr="002F4348">
        <w:t xml:space="preserve">, в качестве варианта терапии первой линии может быть </w:t>
      </w:r>
      <w:r w:rsidRPr="002F4348">
        <w:rPr>
          <w:b/>
          <w:bCs/>
        </w:rPr>
        <w:t>рекомендована</w:t>
      </w:r>
      <w:r w:rsidRPr="002F4348">
        <w:t xml:space="preserve"> комбинация брентуксимаба ведотина</w:t>
      </w:r>
      <w:r w:rsidR="00A45A63" w:rsidRPr="002F4348">
        <w:t>**</w:t>
      </w:r>
      <w:r w:rsidRPr="002F4348">
        <w:t xml:space="preserve"> с химиотерапией по схеме AVD – режим </w:t>
      </w:r>
      <w:r w:rsidRPr="002F4348">
        <w:rPr>
          <w:lang w:val="en-US"/>
        </w:rPr>
        <w:t>BV</w:t>
      </w:r>
      <w:r w:rsidRPr="002F4348">
        <w:t>-</w:t>
      </w:r>
      <w:r w:rsidRPr="002F4348">
        <w:rPr>
          <w:lang w:val="en-US"/>
        </w:rPr>
        <w:t>AVD</w:t>
      </w:r>
      <w:r w:rsidRPr="002F4348">
        <w:t xml:space="preserve"> (описание режимов – см. приложение </w:t>
      </w:r>
      <w:r w:rsidR="007A344D" w:rsidRPr="002F4348">
        <w:t>А3.1</w:t>
      </w:r>
      <w:r w:rsidRPr="002F4348">
        <w:t>)</w:t>
      </w:r>
      <w:r w:rsidR="008A2747" w:rsidRPr="002F4348">
        <w:t xml:space="preserve"> </w:t>
      </w:r>
      <w:r w:rsidR="00056C09" w:rsidRPr="002F4348">
        <w:fldChar w:fldCharType="begin" w:fldLock="1"/>
      </w:r>
      <w:r w:rsidR="00A850F7" w:rsidRPr="002F4348">
        <w:instrText>ADDIN CSL_CITATION {"citationItems":[{"id":"ITEM-1","itemData":{"DOI":"10.1056/NEJMoa1708984","ISSN":"15334406","abstract":"BACKGROUND Brentuximab vedotin is an anti-CD30 antibody-drug conjugate that has been approved for relapsed and refractory Hodgkin's lymphoma. METHODS We conducted an open-label, multicenter, randomized phase 3 trial involving patients with previously untreated stage III or IV classic Hodgkin's lymphoma, in which 664 were assigned to receive brentuximab vedotin, doxorubicin, vinblastine, and dacarbazine (A+AVD) and 670 were assigned to receive doxorubicin, bleomycin, vinblastine, and dacarbazine (ABVD). The primary end point was modified progression-free survival (the time to progression, death, or noncomplete response and use of subsequent anticancer therapy) as adjudicated by an independent review committee. The key secondary end point was overall survival. RESULTS At a median follow-up of 24.9 months, 2-year modified progression-free survival rates in the A+AVD and ABVD groups were 82.1% (95% confidence interval [CI], 78.7 to 85.0) and 77.2% (95% CI, 73.7 to 80.4), respectively, a difference of 4.9 percentage points (hazard ratio for an event of progression, death, or modified progression, 0.77; 95% CI, 0.60 to 0.98; P = 0.03). There were 28 deaths with A+AVD and 39 with ABVD (hazard ratio for interim overall survival, 0.72 [95% CI, 0.44 to 1.17]; P = 0.19). All secondary efficacy end points trended in favor of A+AVD. Neutropenia occurred in 58% of the patients receiving A+AVD and in 45% of those receiving ABVD; in the A+AVD group, the rate of febrile neutropenia was lower among the 83 patients who received primary prophylaxis with granulocyte colony-stimulating factor than among those who did not (11% vs. 21%). Peripheral neuropathy occurred in 67% of patients in the A+AVD group and in 43% of patients in the ABVD group; 67% of patients in the A+AVD group who had peripheral neuropathy had resolution or improvement at the last follow-up visit. Pulmonary toxicity of grade 3 or higher was reported in less than 1% of patients receiving A+AVD and in 3% of those receiving ABVD. Among the deaths that occurred during treatment, 7 of 9 in the A+AVD group were associated with neutropenia and 11 of 13 in the ABVD group were associated with pulmonary-related toxicity. CONCLUSIONS A+AVD had superior efficacy to ABVD in the treatment of patients with advanced-stage Hodgkin's lymphoma, with a 4.9 percentage-point lower combined risk of progression, death, or noncomplete response and use of subsequent anticancer therapy at 2 years. (Funded by Millennium Pharmaceutica…","author":[{"dropping-particle":"","family":"Connors","given":"J. M.","non-dropping-particle":"","parse-names":false,"suffix":""},{"dropping-particle":"","family":"Jurczak","given":"W.","non-dropping-particle":"","parse-names":false,"suffix":""},{"dropping-particle":"","family":"Straus","given":"D. J.","non-dropping-particle":"","parse-names":false,"suffix":""},{"dropping-particle":"","family":"Ansell","given":"S. M.","non-dropping-particle":"","parse-names":false,"suffix":""},{"dropping-particle":"","family":"Kim","given":"W. S.","non-dropping-particle":"","parse-names":false,"suffix":""},{"dropping-particle":"","family":"Gallamini","given":"A.","non-dropping-particle":"","parse-names":false,"suffix":""},{"dropping-particle":"","family":"Younes","given":"A.","non-dropping-particle":"","parse-names":false,"suffix":""},{"dropping-particle":"","family":"Alekseev","given":"S.","non-dropping-particle":"","parse-names":false,"suffix":""},{"dropping-particle":"","family":"Illés","given":"A.","non-dropping-particle":"","parse-names":false,"suffix":""},{"dropping-particle":"","family":"Picardi","given":"M.","non-dropping-particle":"","parse-names":false,"suffix":""},{"dropping-particle":"","family":"Lech-Maranda","given":"E.","non-dropping-particle":"","parse-names":false,"suffix":""},{"dropping-particle":"","family":"Oki","given":"Y.","non-dropping-particle":"","parse-names":false,"suffix":""},{"dropping-particle":"","family":"Feldman","given":"T.","non-dropping-particle":"","parse-names":false,"suffix":""},{"dropping-particle":"","family":"Smolewski","given":"P.","non-dropping-particle":"","parse-names":false,"suffix":""},{"dropping-particle":"","family":"Savage","given":"K. J.","non-dropping-particle":"","parse-names":false,"suffix":""},{"dropping-particle":"","family":"Bartlett","given":"N. L.","non-dropping-particle":"","parse-names":false,"suffix":""},{"dropping-particle":"","family":"Walewski","given":"J.","non-dropping-particle":"","parse-names":false,"suffix":""},{"dropping-particle":"","family":"Chen","given":"R.","non-dropping-particle":"","parse-names":false,"suffix":""},{"dropping-particle":"","family":"Ramchandren","given":"R.","non-dropping-particle":"","parse-names":false,"suffix":""},{"dropping-particle":"","family":"Zinzani","given":"P. L.","non-dropping-particle":"","parse-names":false,"suffix":""},{"dropping-particle":"","family":"Cunningham","given":"D.","non-dropping-particle":"","parse-names":false,"suffix":""},{"dropping-particle":"","family":"Rosta","given":"A.","non-dropping-particle":"","parse-names":false,"suffix":""},{"dropping-particle":"","family":"Josephson","given":"N. C.","non-dropping-particle":"","parse-names":false,"suffix":""},{"dropping-particle":"","family":"Song","given":"E.","non-dropping-particle":"","parse-names":false,"suffix":""},{"dropping-particle":"","family":"Sachs","given":"J.","non-dropping-particle":"","parse-names":false,"suffix":""},{"dropping-particle":"","family":"Liu","given":"R.","non-dropping-particle":"","parse-names":false,"suffix":""},{"dropping-particle":"","family":"Jolin","given":"H. A.","non-dropping-particle":"","parse-names":false,"suffix":""},{"dropping-particle":"","family":"Huebner","given":"D.","non-dropping-particle":"","parse-names":false,"suffix":""},{"dropping-particle":"","family":"Radford","given":"J.","non-dropping-particle":"","parse-names":false,"suffix":""}],"container-title":"New England Journal of Medicine","id":"ITEM-1","issue":"4","issued":{"date-parts":[["2018"]]},"page":"331-344","title":"Brentuximab vedotin with chemotherapy for stage III or IV Hodgkin's lymphoma","type":"article-journal","volume":"378"},"uris":["http://www.mendeley.com/documents/?uuid=b8a50975-3bc9-3527-97c2-baefe81a2e85","http://www.mendeley.com/documents/?uuid=368249c3-45ad-4e1a-853c-59a9a276b586"]}],"mendeley":{"formattedCitation":"[30]","plainTextFormattedCitation":"[30]","previouslyFormattedCitation":"[30]"},"properties":{"noteIndex":0},"schema":"https://github.com/citation-style-language/schema/raw/master/csl-citation.json"}</w:instrText>
      </w:r>
      <w:r w:rsidR="00056C09" w:rsidRPr="002F4348">
        <w:fldChar w:fldCharType="separate"/>
      </w:r>
      <w:r w:rsidR="0041114E" w:rsidRPr="002F4348">
        <w:rPr>
          <w:noProof/>
        </w:rPr>
        <w:t>[30]</w:t>
      </w:r>
      <w:r w:rsidR="00056C09" w:rsidRPr="002F4348">
        <w:fldChar w:fldCharType="end"/>
      </w:r>
      <w:r w:rsidRPr="002F4348">
        <w:t>.</w:t>
      </w:r>
    </w:p>
    <w:p w14:paraId="35CA2BB2" w14:textId="77777777" w:rsidR="000578EF" w:rsidRPr="002F4348" w:rsidRDefault="000578EF" w:rsidP="00056C09">
      <w:pPr>
        <w:ind w:left="709" w:firstLine="0"/>
        <w:contextualSpacing/>
        <w:rPr>
          <w:b/>
        </w:rPr>
      </w:pPr>
      <w:r w:rsidRPr="002F4348">
        <w:rPr>
          <w:b/>
        </w:rPr>
        <w:t xml:space="preserve">Уровень убедительности рекомендаций </w:t>
      </w:r>
      <w:r w:rsidR="00145D40" w:rsidRPr="002F4348">
        <w:rPr>
          <w:b/>
          <w:lang w:val="en-US"/>
        </w:rPr>
        <w:t>B</w:t>
      </w:r>
      <w:r w:rsidR="00145D40" w:rsidRPr="002F4348">
        <w:rPr>
          <w:b/>
        </w:rPr>
        <w:t xml:space="preserve"> </w:t>
      </w:r>
      <w:r w:rsidRPr="002F4348">
        <w:rPr>
          <w:b/>
        </w:rPr>
        <w:t>(уровень достоверности доказательств 2).</w:t>
      </w:r>
    </w:p>
    <w:p w14:paraId="27FB0F07" w14:textId="77777777" w:rsidR="000578EF" w:rsidRPr="002F4348" w:rsidRDefault="000578EF" w:rsidP="00B153FC">
      <w:pPr>
        <w:pStyle w:val="afe"/>
        <w:numPr>
          <w:ilvl w:val="0"/>
          <w:numId w:val="12"/>
        </w:numPr>
        <w:spacing w:before="120" w:after="120"/>
        <w:ind w:left="709" w:hanging="709"/>
      </w:pPr>
      <w:r w:rsidRPr="002F4348">
        <w:t xml:space="preserve">Пациентам с кЛХ, получающим в качестве первой линии терапии режим </w:t>
      </w:r>
      <w:r w:rsidRPr="002F4348">
        <w:rPr>
          <w:lang w:val="en-US"/>
        </w:rPr>
        <w:t>BV</w:t>
      </w:r>
      <w:r w:rsidRPr="002F4348">
        <w:t>-</w:t>
      </w:r>
      <w:r w:rsidRPr="002F4348">
        <w:rPr>
          <w:lang w:val="en-US"/>
        </w:rPr>
        <w:t>AVD</w:t>
      </w:r>
      <w:r w:rsidRPr="002F4348">
        <w:t xml:space="preserve">, </w:t>
      </w:r>
      <w:r w:rsidRPr="002F4348">
        <w:rPr>
          <w:b/>
          <w:bCs/>
        </w:rPr>
        <w:t>рекомендована</w:t>
      </w:r>
      <w:r w:rsidRPr="002F4348">
        <w:t xml:space="preserve"> первичная профилактика нейтропении Г-КСФ, начиная с первого цикла химиотерапии</w:t>
      </w:r>
      <w:r w:rsidR="00056C09" w:rsidRPr="002F4348">
        <w:t xml:space="preserve"> </w:t>
      </w:r>
      <w:r w:rsidR="00056C09" w:rsidRPr="002F4348">
        <w:fldChar w:fldCharType="begin" w:fldLock="1"/>
      </w:r>
      <w:r w:rsidR="00A850F7" w:rsidRPr="002F4348">
        <w:instrText>ADDIN CSL_CITATION {"citationItems":[{"id":"ITEM-1","itemData":{"DOI":"10.1056/NEJMoa1708984","ISSN":"15334406","abstract":"BACKGROUND Brentuximab vedotin is an anti-CD30 antibody-drug conjugate that has been approved for relapsed and refractory Hodgkin's lymphoma. METHODS We conducted an open-label, multicenter, randomized phase 3 trial involving patients with previously untreated stage III or IV classic Hodgkin's lymphoma, in which 664 were assigned to receive brentuximab vedotin, doxorubicin, vinblastine, and dacarbazine (A+AVD) and 670 were assigned to receive doxorubicin, bleomycin, vinblastine, and dacarbazine (ABVD). The primary end point was modified progression-free survival (the time to progression, death, or noncomplete response and use of subsequent anticancer therapy) as adjudicated by an independent review committee. The key secondary end point was overall survival. RESULTS At a median follow-up of 24.9 months, 2-year modified progression-free survival rates in the A+AVD and ABVD groups were 82.1% (95% confidence interval [CI], 78.7 to 85.0) and 77.2% (95% CI, 73.7 to 80.4), respectively, a difference of 4.9 percentage points (hazard ratio for an event of progression, death, or modified progression, 0.77; 95% CI, 0.60 to 0.98; P = 0.03). There were 28 deaths with A+AVD and 39 with ABVD (hazard ratio for interim overall survival, 0.72 [95% CI, 0.44 to 1.17]; P = 0.19). All secondary efficacy end points trended in favor of A+AVD. Neutropenia occurred in 58% of the patients receiving A+AVD and in 45% of those receiving ABVD; in the A+AVD group, the rate of febrile neutropenia was lower among the 83 patients who received primary prophylaxis with granulocyte colony-stimulating factor than among those who did not (11% vs. 21%). Peripheral neuropathy occurred in 67% of patients in the A+AVD group and in 43% of patients in the ABVD group; 67% of patients in the A+AVD group who had peripheral neuropathy had resolution or improvement at the last follow-up visit. Pulmonary toxicity of grade 3 or higher was reported in less than 1% of patients receiving A+AVD and in 3% of those receiving ABVD. Among the deaths that occurred during treatment, 7 of 9 in the A+AVD group were associated with neutropenia and 11 of 13 in the ABVD group were associated with pulmonary-related toxicity. CONCLUSIONS A+AVD had superior efficacy to ABVD in the treatment of patients with advanced-stage Hodgkin's lymphoma, with a 4.9 percentage-point lower combined risk of progression, death, or noncomplete response and use of subsequent anticancer therapy at 2 years. (Funded by Millennium Pharmaceutica…","author":[{"dropping-particle":"","family":"Connors","given":"J. M.","non-dropping-particle":"","parse-names":false,"suffix":""},{"dropping-particle":"","family":"Jurczak","given":"W.","non-dropping-particle":"","parse-names":false,"suffix":""},{"dropping-particle":"","family":"Straus","given":"D. J.","non-dropping-particle":"","parse-names":false,"suffix":""},{"dropping-particle":"","family":"Ansell","given":"S. M.","non-dropping-particle":"","parse-names":false,"suffix":""},{"dropping-particle":"","family":"Kim","given":"W. S.","non-dropping-particle":"","parse-names":false,"suffix":""},{"dropping-particle":"","family":"Gallamini","given":"A.","non-dropping-particle":"","parse-names":false,"suffix":""},{"dropping-particle":"","family":"Younes","given":"A.","non-dropping-particle":"","parse-names":false,"suffix":""},{"dropping-particle":"","family":"Alekseev","given":"S.","non-dropping-particle":"","parse-names":false,"suffix":""},{"dropping-particle":"","family":"Illés","given":"A.","non-dropping-particle":"","parse-names":false,"suffix":""},{"dropping-particle":"","family":"Picardi","given":"M.","non-dropping-particle":"","parse-names":false,"suffix":""},{"dropping-particle":"","family":"Lech-Maranda","given":"E.","non-dropping-particle":"","parse-names":false,"suffix":""},{"dropping-particle":"","family":"Oki","given":"Y.","non-dropping-particle":"","parse-names":false,"suffix":""},{"dropping-particle":"","family":"Feldman","given":"T.","non-dropping-particle":"","parse-names":false,"suffix":""},{"dropping-particle":"","family":"Smolewski","given":"P.","non-dropping-particle":"","parse-names":false,"suffix":""},{"dropping-particle":"","family":"Savage","given":"K. J.","non-dropping-particle":"","parse-names":false,"suffix":""},{"dropping-particle":"","family":"Bartlett","given":"N. L.","non-dropping-particle":"","parse-names":false,"suffix":""},{"dropping-particle":"","family":"Walewski","given":"J.","non-dropping-particle":"","parse-names":false,"suffix":""},{"dropping-particle":"","family":"Chen","given":"R.","non-dropping-particle":"","parse-names":false,"suffix":""},{"dropping-particle":"","family":"Ramchandren","given":"R.","non-dropping-particle":"","parse-names":false,"suffix":""},{"dropping-particle":"","family":"Zinzani","given":"P. L.","non-dropping-particle":"","parse-names":false,"suffix":""},{"dropping-particle":"","family":"Cunningham","given":"D.","non-dropping-particle":"","parse-names":false,"suffix":""},{"dropping-particle":"","family":"Rosta","given":"A.","non-dropping-particle":"","parse-names":false,"suffix":""},{"dropping-particle":"","family":"Josephson","given":"N. C.","non-dropping-particle":"","parse-names":false,"suffix":""},{"dropping-particle":"","family":"Song","given":"E.","non-dropping-particle":"","parse-names":false,"suffix":""},{"dropping-particle":"","family":"Sachs","given":"J.","non-dropping-particle":"","parse-names":false,"suffix":""},{"dropping-particle":"","family":"Liu","given":"R.","non-dropping-particle":"","parse-names":false,"suffix":""},{"dropping-particle":"","family":"Jolin","given":"H. A.","non-dropping-particle":"","parse-names":false,"suffix":""},{"dropping-particle":"","family":"Huebner","given":"D.","non-dropping-particle":"","parse-names":false,"suffix":""},{"dropping-particle":"","family":"Radford","given":"J.","non-dropping-particle":"","parse-names":false,"suffix":""}],"container-title":"New England Journal of Medicine","id":"ITEM-1","issue":"4","issued":{"date-parts":[["2018"]]},"page":"331-344","title":"Brentuximab vedotin with chemotherapy for stage III or IV Hodgkin's lymphoma","type":"article-journal","volume":"378"},"uris":["http://www.mendeley.com/documents/?uuid=368249c3-45ad-4e1a-853c-59a9a276b586","http://www.mendeley.com/documents/?uuid=b8a50975-3bc9-3527-97c2-baefe81a2e85"]}],"mendeley":{"formattedCitation":"[30]","plainTextFormattedCitation":"[30]","previouslyFormattedCitation":"[30]"},"properties":{"noteIndex":0},"schema":"https://github.com/citation-style-language/schema/raw/master/csl-citation.json"}</w:instrText>
      </w:r>
      <w:r w:rsidR="00056C09" w:rsidRPr="002F4348">
        <w:fldChar w:fldCharType="separate"/>
      </w:r>
      <w:r w:rsidR="0041114E" w:rsidRPr="002F4348">
        <w:rPr>
          <w:noProof/>
        </w:rPr>
        <w:t>[30]</w:t>
      </w:r>
      <w:r w:rsidR="00056C09" w:rsidRPr="002F4348">
        <w:fldChar w:fldCharType="end"/>
      </w:r>
      <w:r w:rsidRPr="002F4348">
        <w:t>.</w:t>
      </w:r>
    </w:p>
    <w:p w14:paraId="657C3E55" w14:textId="77777777" w:rsidR="000578EF" w:rsidRPr="002F4348" w:rsidRDefault="000578EF" w:rsidP="00056C09">
      <w:pPr>
        <w:ind w:left="709" w:firstLine="0"/>
        <w:contextualSpacing/>
        <w:rPr>
          <w:b/>
        </w:rPr>
      </w:pPr>
      <w:r w:rsidRPr="002F4348">
        <w:rPr>
          <w:b/>
        </w:rPr>
        <w:t xml:space="preserve">Уровень убедительности рекомендаций </w:t>
      </w:r>
      <w:r w:rsidR="00145D40" w:rsidRPr="002F4348">
        <w:rPr>
          <w:b/>
          <w:lang w:val="en-US"/>
        </w:rPr>
        <w:t>B</w:t>
      </w:r>
      <w:r w:rsidR="00145D40" w:rsidRPr="002F4348">
        <w:rPr>
          <w:b/>
        </w:rPr>
        <w:t xml:space="preserve"> </w:t>
      </w:r>
      <w:r w:rsidRPr="002F4348">
        <w:rPr>
          <w:b/>
        </w:rPr>
        <w:t>(уровень достоверности доказательств 2).</w:t>
      </w:r>
    </w:p>
    <w:p w14:paraId="6A7024F5" w14:textId="77777777" w:rsidR="000578EF" w:rsidRPr="002F4348" w:rsidRDefault="000578EF" w:rsidP="00056C09">
      <w:pPr>
        <w:ind w:left="709" w:firstLine="0"/>
        <w:contextualSpacing/>
        <w:rPr>
          <w:b/>
        </w:rPr>
      </w:pPr>
      <w:r w:rsidRPr="002F4348">
        <w:rPr>
          <w:b/>
        </w:rPr>
        <w:t xml:space="preserve">Комментарий: </w:t>
      </w:r>
      <w:r w:rsidR="00D27637" w:rsidRPr="002F4348">
        <w:rPr>
          <w:i/>
        </w:rPr>
        <w:t>профилактику нейтропении следует начинать не позднее 5 дня после каждого введения химиопрепаратов по схеме BV+AVD, начиная с 1-го введения, независимо от числа лейкоцитов в день введения.</w:t>
      </w:r>
    </w:p>
    <w:p w14:paraId="6B46C24A" w14:textId="77777777" w:rsidR="00170E50" w:rsidRPr="002F4348" w:rsidRDefault="00170E50" w:rsidP="00170E50">
      <w:pPr>
        <w:pStyle w:val="2"/>
        <w:contextualSpacing/>
      </w:pPr>
      <w:bookmarkStart w:id="39" w:name="_Toc65586392"/>
      <w:r w:rsidRPr="002F4348">
        <w:t>3.3 Первая линия терапии кЛХ у детей и подростков до 18 лет</w:t>
      </w:r>
      <w:bookmarkEnd w:id="39"/>
    </w:p>
    <w:p w14:paraId="14987152" w14:textId="77777777" w:rsidR="00C452E1" w:rsidRPr="002F4348" w:rsidRDefault="00C452E1" w:rsidP="00C452E1">
      <w:pPr>
        <w:pStyle w:val="1f6"/>
        <w:rPr>
          <w:rFonts w:ascii="Times New Roman" w:hAnsi="Times New Roman"/>
          <w:i/>
          <w:iCs w:val="0"/>
          <w:sz w:val="24"/>
          <w:szCs w:val="24"/>
          <w:lang w:val="x-none"/>
        </w:rPr>
      </w:pPr>
      <w:r w:rsidRPr="002F4348">
        <w:rPr>
          <w:rFonts w:ascii="Times New Roman" w:hAnsi="Times New Roman"/>
          <w:i/>
          <w:iCs w:val="0"/>
          <w:sz w:val="24"/>
          <w:szCs w:val="24"/>
        </w:rPr>
        <w:t xml:space="preserve">Терапия детей и подростков до 18 лет с верифицированной ЛХ </w:t>
      </w:r>
      <w:r w:rsidRPr="002F4348">
        <w:rPr>
          <w:rFonts w:ascii="Times New Roman" w:hAnsi="Times New Roman"/>
          <w:i/>
          <w:iCs w:val="0"/>
          <w:sz w:val="24"/>
          <w:szCs w:val="24"/>
          <w:lang w:val="x-none"/>
        </w:rPr>
        <w:t xml:space="preserve">начинается </w:t>
      </w:r>
      <w:r w:rsidRPr="002F4348">
        <w:rPr>
          <w:rFonts w:ascii="Times New Roman" w:hAnsi="Times New Roman"/>
          <w:i/>
          <w:iCs w:val="0"/>
          <w:sz w:val="24"/>
          <w:szCs w:val="24"/>
          <w:lang w:val="x-none"/>
        </w:rPr>
        <w:lastRenderedPageBreak/>
        <w:t>немедленно после верификации диагноза и установления стадии</w:t>
      </w:r>
      <w:r w:rsidRPr="002F4348">
        <w:rPr>
          <w:rFonts w:ascii="Times New Roman" w:hAnsi="Times New Roman"/>
          <w:i/>
          <w:iCs w:val="0"/>
          <w:sz w:val="24"/>
          <w:szCs w:val="24"/>
        </w:rPr>
        <w:t>.</w:t>
      </w:r>
      <w:r w:rsidRPr="002F4348">
        <w:rPr>
          <w:rFonts w:ascii="Times New Roman" w:hAnsi="Times New Roman"/>
          <w:i/>
          <w:iCs w:val="0"/>
          <w:sz w:val="24"/>
          <w:szCs w:val="24"/>
          <w:lang w:val="x-none"/>
        </w:rPr>
        <w:t xml:space="preserve"> </w:t>
      </w:r>
      <w:r w:rsidRPr="002F4348">
        <w:rPr>
          <w:rFonts w:ascii="Times New Roman" w:hAnsi="Times New Roman"/>
          <w:i/>
          <w:iCs w:val="0"/>
          <w:sz w:val="24"/>
          <w:szCs w:val="24"/>
        </w:rPr>
        <w:t>В</w:t>
      </w:r>
      <w:r w:rsidRPr="002F4348">
        <w:rPr>
          <w:rFonts w:ascii="Times New Roman" w:hAnsi="Times New Roman"/>
          <w:i/>
          <w:iCs w:val="0"/>
          <w:sz w:val="24"/>
          <w:szCs w:val="24"/>
          <w:lang w:val="x-none"/>
        </w:rPr>
        <w:t xml:space="preserve"> случае проведения лапароскопии терапия начинается через 5 дней от операции.</w:t>
      </w:r>
    </w:p>
    <w:p w14:paraId="37400193" w14:textId="77777777" w:rsidR="00C452E1" w:rsidRPr="002F4348" w:rsidRDefault="00C452E1" w:rsidP="00C452E1">
      <w:pPr>
        <w:pStyle w:val="1f6"/>
        <w:rPr>
          <w:rFonts w:ascii="Times New Roman" w:hAnsi="Times New Roman"/>
          <w:i/>
          <w:iCs w:val="0"/>
          <w:sz w:val="24"/>
          <w:szCs w:val="24"/>
          <w:lang w:val="x-none"/>
        </w:rPr>
      </w:pPr>
      <w:r w:rsidRPr="002F4348">
        <w:rPr>
          <w:rFonts w:ascii="Times New Roman" w:hAnsi="Times New Roman"/>
          <w:i/>
          <w:iCs w:val="0"/>
          <w:sz w:val="24"/>
          <w:szCs w:val="24"/>
          <w:lang w:val="x-none"/>
        </w:rPr>
        <w:t>Параллельно химиотерапии пациент может получать гипергидратацию 2,5-3 л/м</w:t>
      </w:r>
      <w:r w:rsidRPr="002F4348">
        <w:rPr>
          <w:rFonts w:ascii="Times New Roman" w:hAnsi="Times New Roman"/>
          <w:i/>
          <w:iCs w:val="0"/>
          <w:sz w:val="24"/>
          <w:szCs w:val="24"/>
          <w:vertAlign w:val="superscript"/>
          <w:lang w:val="x-none"/>
        </w:rPr>
        <w:t>2</w:t>
      </w:r>
      <w:r w:rsidRPr="002F4348">
        <w:rPr>
          <w:rFonts w:ascii="Times New Roman" w:hAnsi="Times New Roman"/>
          <w:i/>
          <w:iCs w:val="0"/>
          <w:sz w:val="24"/>
          <w:szCs w:val="24"/>
          <w:lang w:val="x-none"/>
        </w:rPr>
        <w:t>/сут глюкозо-солевыми растворами.</w:t>
      </w:r>
    </w:p>
    <w:p w14:paraId="2D893361" w14:textId="77777777" w:rsidR="00C452E1" w:rsidRPr="002F4348" w:rsidRDefault="00C452E1" w:rsidP="00C452E1">
      <w:pPr>
        <w:pStyle w:val="1f6"/>
        <w:rPr>
          <w:rFonts w:ascii="Times New Roman" w:hAnsi="Times New Roman"/>
          <w:i/>
          <w:iCs w:val="0"/>
          <w:sz w:val="24"/>
          <w:szCs w:val="24"/>
          <w:lang w:val="x-none"/>
        </w:rPr>
      </w:pPr>
      <w:r w:rsidRPr="002F4348">
        <w:rPr>
          <w:rFonts w:ascii="Times New Roman" w:hAnsi="Times New Roman"/>
          <w:i/>
          <w:iCs w:val="0"/>
          <w:sz w:val="24"/>
          <w:szCs w:val="24"/>
          <w:lang w:val="x-none"/>
        </w:rPr>
        <w:t>После проведения каждых 2-х циклов химиотерапии проводится контрольное обследование</w:t>
      </w:r>
      <w:r w:rsidRPr="002F4348">
        <w:rPr>
          <w:rFonts w:ascii="Times New Roman" w:hAnsi="Times New Roman"/>
          <w:i/>
          <w:iCs w:val="0"/>
          <w:sz w:val="24"/>
          <w:szCs w:val="24"/>
        </w:rPr>
        <w:t xml:space="preserve"> (см. раздел «</w:t>
      </w:r>
      <w:r w:rsidRPr="002F4348">
        <w:rPr>
          <w:rFonts w:ascii="Times New Roman" w:hAnsi="Times New Roman"/>
          <w:i/>
          <w:iCs w:val="0"/>
          <w:sz w:val="24"/>
          <w:szCs w:val="24"/>
          <w:lang w:val="x-none"/>
        </w:rP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r w:rsidRPr="002F4348">
        <w:rPr>
          <w:rFonts w:ascii="Times New Roman" w:hAnsi="Times New Roman"/>
          <w:i/>
          <w:iCs w:val="0"/>
          <w:sz w:val="24"/>
          <w:szCs w:val="24"/>
        </w:rPr>
        <w:t>» данных рекомендаций)</w:t>
      </w:r>
      <w:r w:rsidRPr="002F4348">
        <w:rPr>
          <w:rFonts w:ascii="Times New Roman" w:hAnsi="Times New Roman"/>
          <w:i/>
          <w:iCs w:val="0"/>
          <w:sz w:val="24"/>
          <w:szCs w:val="24"/>
          <w:lang w:val="x-none"/>
        </w:rPr>
        <w:t xml:space="preserve"> – через 10-14 дней от окончания цикла.</w:t>
      </w:r>
    </w:p>
    <w:p w14:paraId="0384D4F4" w14:textId="77777777" w:rsidR="003C0FA3" w:rsidRPr="002F4348" w:rsidRDefault="00D75819" w:rsidP="00B153FC">
      <w:pPr>
        <w:pStyle w:val="afe"/>
        <w:numPr>
          <w:ilvl w:val="0"/>
          <w:numId w:val="12"/>
        </w:numPr>
        <w:spacing w:before="120" w:after="120"/>
        <w:ind w:left="709" w:hanging="709"/>
      </w:pPr>
      <w:r w:rsidRPr="002F4348">
        <w:t xml:space="preserve">Ранее не получавшим лечение </w:t>
      </w:r>
      <w:r w:rsidR="003C0FA3" w:rsidRPr="002F4348">
        <w:t xml:space="preserve">пациентам в возрасте до 18 лет с </w:t>
      </w:r>
      <w:r w:rsidR="003C0FA3" w:rsidRPr="002F4348">
        <w:rPr>
          <w:lang w:val="en-US"/>
        </w:rPr>
        <w:t>IA</w:t>
      </w:r>
      <w:r w:rsidR="003C0FA3" w:rsidRPr="002F4348">
        <w:t>/</w:t>
      </w:r>
      <w:r w:rsidR="003C0FA3" w:rsidRPr="002F4348">
        <w:rPr>
          <w:lang w:val="en-US"/>
        </w:rPr>
        <w:t>B</w:t>
      </w:r>
      <w:r w:rsidR="003C0FA3" w:rsidRPr="002F4348">
        <w:t xml:space="preserve"> или </w:t>
      </w:r>
      <w:r w:rsidR="003C0FA3" w:rsidRPr="002F4348">
        <w:rPr>
          <w:lang w:val="en-US"/>
        </w:rPr>
        <w:t>IIA</w:t>
      </w:r>
      <w:r w:rsidR="003C0FA3" w:rsidRPr="002F4348">
        <w:t xml:space="preserve"> стадиями ЛХ  </w:t>
      </w:r>
      <w:r w:rsidR="003C0FA3" w:rsidRPr="002F4348">
        <w:rPr>
          <w:b/>
        </w:rPr>
        <w:t>рекомендуется</w:t>
      </w:r>
      <w:r w:rsidR="003C0FA3" w:rsidRPr="002F4348">
        <w:t xml:space="preserve"> полихимиотерапия по схеме </w:t>
      </w:r>
      <w:r w:rsidR="003C0FA3" w:rsidRPr="002F4348">
        <w:rPr>
          <w:szCs w:val="24"/>
          <w:lang w:val="x-none"/>
        </w:rPr>
        <w:t>OEPA</w:t>
      </w:r>
      <w:r w:rsidR="003C0FA3" w:rsidRPr="002F4348">
        <w:t xml:space="preserve"> (2 цикла) </w:t>
      </w:r>
      <w:r w:rsidR="007A344D" w:rsidRPr="002F4348">
        <w:t>(описание режимов – см. приложение А3.1)</w:t>
      </w:r>
      <w:r w:rsidR="003C0FA3" w:rsidRPr="002F4348">
        <w:t xml:space="preserve"> </w:t>
      </w:r>
      <w:r w:rsidR="003C0FA3" w:rsidRPr="002F4348">
        <w:rPr>
          <w:lang w:eastAsia="ru-RU"/>
        </w:rPr>
        <w:fldChar w:fldCharType="begin" w:fldLock="1"/>
      </w:r>
      <w:r w:rsidR="002C6C01" w:rsidRPr="002F4348">
        <w:rPr>
          <w:lang w:eastAsia="ru-RU"/>
        </w:rPr>
        <w:instrText>ADDIN CSL_CITATION {"citationItems":[{"id":"ITEM-1","itemData":{"DOI":"10.1200/JCO.2009.26.9381","ISSN":"0732183X","abstract":"Purpose: Vincristine, etoposide, prednisone, and doxorubicin (OEPA)-cyclophosphamide, vincristine, prednisone, and dacarbazine (COPDAC) is derived from standard vincristine, procarbazine, prednisone, and doxorubicin (OPPA)-cyclophosphamide, vincristine, procarbazine, and prednisone (COPP) chemotherapy by replacing procarbazine with etoposide and dacarbazine for a potentially less gonadotoxic regimen for boys with Hodgkin's lymphoma (HL). Patients and Methods: Five hundred seventy-three pediatric patients with classical HL were enrolled onto the German Society of Pediatric Oncology and Hematology-Hodgkin's Disease (GPOH-HD) -2002 study between November 2002 and December 2005. Boys received two courses of OEPA and girls received two courses of OPPA for induction. Treatment group (TG) -2 (intermediate stages) and TG-3 (advanced stages) patients received further two or four cycles COPP (girls) or COPDAC (boys), respectively. After chemotherapy all patients received involved-field irradiation with 19.8 Gy, except for patients with early-stage disease (TG-1) in complete remission. Results: Five hundred seventy-three patients (287 males and 286 females) were less than 18 years old and fulfilled all inclusion criteria; 195 patients (34.0%) were allocated to TG-1, 139 (24.3%) were allocated to TG-2, and 239 (41.7%) were allocated to TG-3. Toxicity of OEPA-COPDAC was tolerable overall. Hematotoxicity was more pronounced with OEPA than OPPA, whereas it was less pronounced with COPDAC compared with COPP. The median observation time was 58.6 months. Overall survival and event-free survival (EFS) rates (± SE) at 5 years were 97.4% ± 0.7% and 89.0% ± 1.4%, respectively. In TG-1, overall EFS was 92.0% ± 2.0%. EFS of patients without irradiation (93.2% ± 3.3%) was similar to that of irradiated patients (91.7% ± 2.5%), confirming results of the previous GPOH-HD-95 study. In TG-2+3, EFS did not significantly differ between boys and girls (90.2% ± 2.3 v 84.7% ± 2.7, respectively; P = .12). Conclusion: In TG-2+3, results in boys and girls are superimposable. OPPA-COPP and OEPA-COPDAC seem to be exchangeable regimens in intermediate- and advanced-stage classical HL in pediatric patients. © 2010 by American Society of Clinical Oncology.","author":[{"dropping-particle":"","family":"Mauz-Körholz","given":"Christine","non-dropping-particle":"","parse-names":false,"suffix":""},{"dropping-particle":"","family":"Hasenclever","given":"Dirk","non-dropping-particle":"","parse-names":false,"suffix":""},{"dropping-particle":"","family":"Dörffel","given":"Wolfgang","non-dropping-particle":"","parse-names":false,"suffix":""},{"dropping-particle":"","family":"Ruschke","given":"Kathrin","non-dropping-particle":"","parse-names":false,"suffix":""},{"dropping-particle":"","family":"Pelz","given":"Tanja","non-dropping-particle":"","parse-names":false,"suffix":""},{"dropping-particle":"","family":"Voigt","given":"Antje","non-dropping-particle":"","parse-names":false,"suffix":""},{"dropping-particle":"","family":"Stiefel","given":"Martina","non-dropping-particle":"","parse-names":false,"suffix":""},{"dropping-particle":"","family":"Winkler","given":"Melanie","non-dropping-particle":"","parse-names":false,"suffix":""},{"dropping-particle":"","family":"Vilser","given":"Constanze","non-dropping-particle":"","parse-names":false,"suffix":""},{"dropping-particle":"","family":"Dieckmann","given":"Karin","non-dropping-particle":"","parse-names":false,"suffix":""},{"dropping-particle":"","family":"Karlén","given":"Jonas","non-dropping-particle":"","parse-names":false,"suffix":""},{"dropping-particle":"","family":"Bergsträsser","given":"Eva","non-dropping-particle":"","parse-names":false,"suffix":""},{"dropping-particle":"","family":"Fosså","given":"Alexander","non-dropping-particle":"","parse-names":false,"suffix":""},{"dropping-particle":"","family":"Mann","given":"Georg","non-dropping-particle":"","parse-names":false,"suffix":""},{"dropping-particle":"","family":"Hummel","given":"Michael","non-dropping-particle":"","parse-names":false,"suffix":""},{"dropping-particle":"","family":"Klapper","given":"Wolfram","non-dropping-particle":"","parse-names":false,"suffix":""},{"dropping-particle":"","family":"Stein","given":"Harald","non-dropping-particle":"","parse-names":false,"suffix":""},{"dropping-particle":"","family":"Vordermark","given":"Dirk","non-dropping-particle":"","parse-names":false,"suffix":""},{"dropping-particle":"","family":"Kluge","given":"Regine","non-dropping-particle":"","parse-names":false,"suffix":""},{"dropping-particle":"","family":"Körholz","given":"Dieter","non-dropping-particle":"","parse-names":false,"suffix":""}],"container-title":"Journal of Clinical Oncology","id":"ITEM-1","issue":"23","issued":{"date-parts":[["2010","8","10"]]},"page":"3680-3686","title":"Procarbazine-free OEPA-COPDAC chemotherapy in boys and standard OPPA-COPP in girls have comparable effectiveness in pediatric Hodgkin's lymphoma: The GPOH-HD-2002 study","type":"article-journal","volume":"28"},"uris":["http://www.mendeley.com/documents/?uuid=eb98370d-ea11-3cf2-92b5-796ea93c5f6a","http://www.mendeley.com/documents/?uuid=01a720d9-77af-45be-b300-986f3b5c8cb8"]}],"mendeley":{"formattedCitation":"[31]","plainTextFormattedCitation":"[31]","previouslyFormattedCitation":"[31]"},"properties":{"noteIndex":0},"schema":"https://github.com/citation-style-language/schema/raw/master/csl-citation.json"}</w:instrText>
      </w:r>
      <w:r w:rsidR="003C0FA3" w:rsidRPr="002F4348">
        <w:rPr>
          <w:lang w:eastAsia="ru-RU"/>
        </w:rPr>
        <w:fldChar w:fldCharType="separate"/>
      </w:r>
      <w:r w:rsidR="0041114E" w:rsidRPr="002F4348">
        <w:rPr>
          <w:noProof/>
          <w:lang w:eastAsia="ru-RU"/>
        </w:rPr>
        <w:t>[31]</w:t>
      </w:r>
      <w:r w:rsidR="003C0FA3" w:rsidRPr="002F4348">
        <w:rPr>
          <w:lang w:eastAsia="ru-RU"/>
        </w:rPr>
        <w:fldChar w:fldCharType="end"/>
      </w:r>
      <w:r w:rsidR="003C0FA3" w:rsidRPr="002F4348">
        <w:t>.</w:t>
      </w:r>
    </w:p>
    <w:p w14:paraId="19EA3769" w14:textId="77777777" w:rsidR="003C0FA3" w:rsidRPr="002F4348" w:rsidRDefault="003C0FA3" w:rsidP="003C0FA3">
      <w:pPr>
        <w:ind w:left="709" w:firstLine="0"/>
        <w:contextualSpacing/>
        <w:rPr>
          <w:b/>
        </w:rPr>
      </w:pPr>
      <w:r w:rsidRPr="002F4348">
        <w:rPr>
          <w:b/>
        </w:rPr>
        <w:t xml:space="preserve">Уровень убедительности рекомендаций </w:t>
      </w:r>
      <w:r w:rsidR="00784F06" w:rsidRPr="002F4348">
        <w:rPr>
          <w:b/>
          <w:lang w:val="en-US"/>
        </w:rPr>
        <w:t>B</w:t>
      </w:r>
      <w:r w:rsidR="00784F06" w:rsidRPr="002F4348">
        <w:rPr>
          <w:b/>
        </w:rPr>
        <w:t xml:space="preserve"> </w:t>
      </w:r>
      <w:r w:rsidRPr="002F4348">
        <w:rPr>
          <w:b/>
        </w:rPr>
        <w:t xml:space="preserve">(уровень достоверности доказательств </w:t>
      </w:r>
      <w:r w:rsidR="00784F06" w:rsidRPr="002F4348">
        <w:rPr>
          <w:b/>
        </w:rPr>
        <w:t>3</w:t>
      </w:r>
      <w:r w:rsidRPr="002F4348">
        <w:rPr>
          <w:b/>
        </w:rPr>
        <w:t>).</w:t>
      </w:r>
    </w:p>
    <w:p w14:paraId="495C7569" w14:textId="77777777" w:rsidR="005708CB" w:rsidRPr="002F4348" w:rsidRDefault="005708CB" w:rsidP="00B153FC">
      <w:pPr>
        <w:pStyle w:val="afe"/>
        <w:numPr>
          <w:ilvl w:val="0"/>
          <w:numId w:val="12"/>
        </w:numPr>
        <w:spacing w:before="120" w:after="120"/>
        <w:ind w:left="709" w:hanging="709"/>
      </w:pPr>
      <w:r w:rsidRPr="002F4348">
        <w:t xml:space="preserve">Пациентам в возрасте до 18 лет с </w:t>
      </w:r>
      <w:r w:rsidRPr="002F4348">
        <w:rPr>
          <w:lang w:val="en-US"/>
        </w:rPr>
        <w:t>IA</w:t>
      </w:r>
      <w:r w:rsidRPr="002F4348">
        <w:t>/</w:t>
      </w:r>
      <w:r w:rsidRPr="002F4348">
        <w:rPr>
          <w:lang w:val="en-US"/>
        </w:rPr>
        <w:t>B</w:t>
      </w:r>
      <w:r w:rsidRPr="002F4348">
        <w:t xml:space="preserve"> или </w:t>
      </w:r>
      <w:r w:rsidRPr="002F4348">
        <w:rPr>
          <w:lang w:val="en-US"/>
        </w:rPr>
        <w:t>IIA</w:t>
      </w:r>
      <w:r w:rsidRPr="002F4348">
        <w:t xml:space="preserve"> стадиями ЛХ, достигшим полного метаболического ответа (подтвержденного ПЭТ/КТ) после 2 циклов </w:t>
      </w:r>
      <w:r w:rsidRPr="002F4348">
        <w:rPr>
          <w:lang w:val="en-US"/>
        </w:rPr>
        <w:t>OEPA</w:t>
      </w:r>
      <w:r w:rsidRPr="002F4348">
        <w:t xml:space="preserve">, </w:t>
      </w:r>
      <w:r w:rsidRPr="002F4348">
        <w:rPr>
          <w:b/>
        </w:rPr>
        <w:t>рекомендуется</w:t>
      </w:r>
      <w:r w:rsidRPr="002F4348">
        <w:t xml:space="preserve"> </w:t>
      </w:r>
      <w:r w:rsidR="00554450" w:rsidRPr="002F4348">
        <w:t xml:space="preserve">проведение 1 цикла по схеме </w:t>
      </w:r>
      <w:r w:rsidR="00554450" w:rsidRPr="002F4348">
        <w:rPr>
          <w:lang w:val="en-US"/>
        </w:rPr>
        <w:t>COPDAC</w:t>
      </w:r>
      <w:r w:rsidR="00554450" w:rsidRPr="002F4348">
        <w:t xml:space="preserve"> (описание режимов – см. приложение А3.1) с последующим отказом от лучевой терапии</w:t>
      </w:r>
      <w:r w:rsidR="00784F06" w:rsidRPr="002F4348">
        <w:t xml:space="preserve"> </w:t>
      </w:r>
      <w:r w:rsidR="00784F06" w:rsidRPr="002F4348">
        <w:rPr>
          <w:lang w:eastAsia="ru-RU"/>
        </w:rPr>
        <w:fldChar w:fldCharType="begin" w:fldLock="1"/>
      </w:r>
      <w:r w:rsidR="002C6C01" w:rsidRPr="002F4348">
        <w:rPr>
          <w:lang w:eastAsia="ru-RU"/>
        </w:rPr>
        <w:instrText>ADDIN CSL_CITATION {"citationItems":[{"id":"ITEM-1","itemData":{"DOI":"10.1200/JCO.2012.45.3266","ISSN":"0732183X","abstract":"Purpose To minimize the risk of late effects in pediatric Hodgkin lymphoma (HL) by omitting radiotherapy (RT) in patients in complete remission (CR) after chemotherapy and reducing the standard radiation dose to 20 Gy in patients in incomplete remission. Patients and Methods Between 1995 and 2001, 925 patients with classical HL (cHL) were registered from seven European countries in German Society of Pediatric Oncology and Hematology Hodgkin Lymphoma Trial 95. Patients in treatment group 1 (TG1; early stages) received two cycles of vincristine, prednisone, procarbazine, and doxorubicin or vincristine, prednisone, etoposide, and doxorubicin chemotherapy; additional two or four cycles of cyclophosphamide, vincristine, prednisone, and procarbazine were added in TG2 (intermediate stages) or TG3 (advanced stages), respectively. Patients in CR (assessed by computed tomography or magnetic resonance imaging) did not undergo RT. Those with tumor volume reduction more than 75% received reduced involved-field RT with 20 Gy and an additional 10- or 15-Gy boost only for larger residuals. Results Rates of overall survival, progression-free survival (PFS), and event-free survival at 10 years were (± SE) 96.3% ± 0.6%, 88.2% ± 1.1%, and 85.4% ± 1.3%, respectively. PFS for TG1 patients without or with RT was 97.0% ± 2.1% versus 92.2% ± 1.7% (P = .214) but was unsatisfactory for nonirradiated patients in TG2 (68.5% ± 7.4% v 91.4% ± 1.9%; P &lt; .0001), with similar but not significant results in TG3 (82.6% ± 5.4% v 88.7% ± 2.0%, P = .259). Reduction of the standard radiation dose from 25 to 20 Gy did not increase failure rate. Conclusion RT can be omitted in early stage HL in so defined CR following this chemotherapy. RT with 20(-35) Gy proved to be sufficient in patients with incomplete remission following chemotherapy. © 2013 by American Society of Clinical Oncology.","author":[{"dropping-particle":"","family":"Dörffel","given":"Wolfgang","non-dropping-particle":"","parse-names":false,"suffix":""},{"dropping-particle":"","family":"Rühl","given":"Ursula","non-dropping-particle":"","parse-names":false,"suffix":""},{"dropping-particle":"","family":"Lüders","given":"Heike","non-dropping-particle":"","parse-names":false,"suffix":""},{"dropping-particle":"","family":"Claviez","given":"Alexander","non-dropping-particle":"","parse-names":false,"suffix":""},{"dropping-particle":"","family":"Albrecht","given":"Marion","non-dropping-particle":"","parse-names":false,"suffix":""},{"dropping-particle":"","family":"Bökkerink","given":"Jos","non-dropping-particle":"","parse-names":false,"suffix":""},{"dropping-particle":"","family":"Holte","given":"Harald","non-dropping-particle":"","parse-names":false,"suffix":""},{"dropping-particle":"","family":"Karlen","given":"Jonas","non-dropping-particle":"","parse-names":false,"suffix":""},{"dropping-particle":"","family":"Mann","given":"Georg","non-dropping-particle":"","parse-names":false,"suffix":""},{"dropping-particle":"","family":"Marciniak","given":"Heinz","non-dropping-particle":"","parse-names":false,"suffix":""},{"dropping-particle":"","family":"Niggli","given":"Felix","non-dropping-particle":"","parse-names":false,"suffix":""},{"dropping-particle":"","family":"Schmiegelow","given":"Kjeld","non-dropping-particle":"","parse-names":false,"suffix":""},{"dropping-particle":"","family":"Schwarze","given":"Ernst Wilhelm","non-dropping-particle":"","parse-names":false,"suffix":""},{"dropping-particle":"","family":"Pötter","given":"Richard","non-dropping-particle":"","parse-names":false,"suffix":""},{"dropping-particle":"","family":"Wickmann","given":"Lutz","non-dropping-particle":"","parse-names":false,"suffix":""},{"dropping-particle":"","family":"Schellong","given":"Günther","non-dropping-particle":"","parse-names":false,"suffix":""}],"container-title":"Journal of Clinical Oncology","id":"ITEM-1","issue":"12","issued":{"date-parts":[["2013","4","20"]]},"page":"1562-1568","title":"Treatment of children and adolescents with hodgkin lymphoma without radiotherapy for patients in complete remission after chemotherapy: Final results of the multinational trial GPOH-HD95","type":"article-journal","volume":"31"},"uris":["http://www.mendeley.com/documents/?uuid=436f2271-6699-309b-89fc-96814d578ed6","http://www.mendeley.com/documents/?uuid=4a420c9b-3ab2-4b2a-a843-a7229771f636"]}],"mendeley":{"formattedCitation":"[32]","plainTextFormattedCitation":"[32]","previouslyFormattedCitation":"[32]"},"properties":{"noteIndex":0},"schema":"https://github.com/citation-style-language/schema/raw/master/csl-citation.json"}</w:instrText>
      </w:r>
      <w:r w:rsidR="00784F06" w:rsidRPr="002F4348">
        <w:rPr>
          <w:lang w:eastAsia="ru-RU"/>
        </w:rPr>
        <w:fldChar w:fldCharType="separate"/>
      </w:r>
      <w:r w:rsidR="00290745" w:rsidRPr="002F4348">
        <w:rPr>
          <w:noProof/>
          <w:lang w:eastAsia="ru-RU"/>
        </w:rPr>
        <w:t>[32]</w:t>
      </w:r>
      <w:r w:rsidR="00784F06" w:rsidRPr="002F4348">
        <w:rPr>
          <w:lang w:eastAsia="ru-RU"/>
        </w:rPr>
        <w:fldChar w:fldCharType="end"/>
      </w:r>
      <w:r w:rsidRPr="002F4348">
        <w:t>.</w:t>
      </w:r>
    </w:p>
    <w:p w14:paraId="7B1114CF" w14:textId="77777777" w:rsidR="005708CB" w:rsidRPr="002F4348" w:rsidRDefault="005708CB" w:rsidP="005708CB">
      <w:pPr>
        <w:ind w:left="709" w:firstLine="0"/>
        <w:contextualSpacing/>
        <w:rPr>
          <w:b/>
        </w:rPr>
      </w:pPr>
      <w:r w:rsidRPr="002F4348">
        <w:rPr>
          <w:b/>
        </w:rPr>
        <w:t xml:space="preserve">Уровень убедительности рекомендаций </w:t>
      </w:r>
      <w:r w:rsidR="008C63AF" w:rsidRPr="002F4348">
        <w:rPr>
          <w:b/>
        </w:rPr>
        <w:t xml:space="preserve">С </w:t>
      </w:r>
      <w:r w:rsidRPr="002F4348">
        <w:rPr>
          <w:b/>
        </w:rPr>
        <w:t xml:space="preserve">(уровень достоверности доказательств </w:t>
      </w:r>
      <w:r w:rsidR="008C63AF" w:rsidRPr="002F4348">
        <w:rPr>
          <w:b/>
        </w:rPr>
        <w:t>5</w:t>
      </w:r>
      <w:r w:rsidRPr="002F4348">
        <w:rPr>
          <w:b/>
        </w:rPr>
        <w:t>).</w:t>
      </w:r>
    </w:p>
    <w:p w14:paraId="595836F8" w14:textId="77777777" w:rsidR="00E61A9E" w:rsidRPr="002F4348" w:rsidRDefault="00D75819" w:rsidP="00B153FC">
      <w:pPr>
        <w:pStyle w:val="afe"/>
        <w:numPr>
          <w:ilvl w:val="0"/>
          <w:numId w:val="12"/>
        </w:numPr>
        <w:spacing w:before="120" w:after="120"/>
        <w:ind w:left="709" w:hanging="709"/>
      </w:pPr>
      <w:r w:rsidRPr="002F4348">
        <w:t xml:space="preserve">Ранее не получавшим лечение </w:t>
      </w:r>
      <w:r w:rsidR="00E61A9E" w:rsidRPr="002F4348">
        <w:t xml:space="preserve">пациентам в возрасте до 18 лет с </w:t>
      </w:r>
      <w:r w:rsidR="00E61A9E" w:rsidRPr="002F4348">
        <w:rPr>
          <w:szCs w:val="24"/>
          <w:lang w:val="x-none"/>
        </w:rPr>
        <w:t>IEA/B, IIEA</w:t>
      </w:r>
      <w:r w:rsidR="00E61A9E" w:rsidRPr="002F4348">
        <w:rPr>
          <w:szCs w:val="24"/>
        </w:rPr>
        <w:t xml:space="preserve">, </w:t>
      </w:r>
      <w:r w:rsidR="00E61A9E" w:rsidRPr="002F4348">
        <w:rPr>
          <w:szCs w:val="24"/>
          <w:lang w:val="en-US"/>
        </w:rPr>
        <w:t>IIB</w:t>
      </w:r>
      <w:r w:rsidR="00E61A9E" w:rsidRPr="002F4348">
        <w:rPr>
          <w:szCs w:val="24"/>
          <w:lang w:val="x-none"/>
        </w:rPr>
        <w:t>,</w:t>
      </w:r>
      <w:r w:rsidR="00E61A9E" w:rsidRPr="002F4348">
        <w:rPr>
          <w:szCs w:val="24"/>
        </w:rPr>
        <w:t xml:space="preserve"> или </w:t>
      </w:r>
      <w:r w:rsidR="00E61A9E" w:rsidRPr="002F4348">
        <w:rPr>
          <w:szCs w:val="24"/>
          <w:lang w:val="x-none"/>
        </w:rPr>
        <w:t>IIIA</w:t>
      </w:r>
      <w:r w:rsidR="00E61A9E" w:rsidRPr="002F4348">
        <w:t xml:space="preserve"> стадиями ЛХ  </w:t>
      </w:r>
      <w:r w:rsidR="00E61A9E" w:rsidRPr="002F4348">
        <w:rPr>
          <w:b/>
        </w:rPr>
        <w:t>рекомендуется</w:t>
      </w:r>
      <w:r w:rsidR="00E61A9E" w:rsidRPr="002F4348">
        <w:t xml:space="preserve"> полихимиотерапия по схеме </w:t>
      </w:r>
      <w:r w:rsidR="00E61A9E" w:rsidRPr="002F4348">
        <w:rPr>
          <w:szCs w:val="24"/>
          <w:lang w:val="x-none"/>
        </w:rPr>
        <w:t>OEPA</w:t>
      </w:r>
      <w:r w:rsidR="00E61A9E" w:rsidRPr="002F4348">
        <w:t xml:space="preserve"> (2 цикла) + </w:t>
      </w:r>
      <w:r w:rsidR="00E61A9E" w:rsidRPr="002F4348">
        <w:rPr>
          <w:lang w:val="en-US"/>
        </w:rPr>
        <w:t>COPDAC</w:t>
      </w:r>
      <w:r w:rsidR="00E61A9E" w:rsidRPr="002F4348">
        <w:t xml:space="preserve"> (2 цикла) (</w:t>
      </w:r>
      <w:r w:rsidR="007A344D" w:rsidRPr="002F4348">
        <w:t>описание режимов – см. приложение А3.1)</w:t>
      </w:r>
      <w:r w:rsidR="00784F06" w:rsidRPr="002F4348">
        <w:t xml:space="preserve"> </w:t>
      </w:r>
      <w:r w:rsidR="00784F06" w:rsidRPr="002F4348">
        <w:rPr>
          <w:lang w:eastAsia="ru-RU"/>
        </w:rPr>
        <w:fldChar w:fldCharType="begin" w:fldLock="1"/>
      </w:r>
      <w:r w:rsidR="002C6C01" w:rsidRPr="002F4348">
        <w:rPr>
          <w:lang w:eastAsia="ru-RU"/>
        </w:rPr>
        <w:instrText>ADDIN CSL_CITATION {"citationItems":[{"id":"ITEM-1","itemData":{"DOI":"10.1200/JCO.2009.26.9381","ISSN":"0732183X","abstract":"Purpose: Vincristine, etoposide, prednisone, and doxorubicin (OEPA)-cyclophosphamide, vincristine, prednisone, and dacarbazine (COPDAC) is derived from standard vincristine, procarbazine, prednisone, and doxorubicin (OPPA)-cyclophosphamide, vincristine, procarbazine, and prednisone (COPP) chemotherapy by replacing procarbazine with etoposide and dacarbazine for a potentially less gonadotoxic regimen for boys with Hodgkin's lymphoma (HL). Patients and Methods: Five hundred seventy-three pediatric patients with classical HL were enrolled onto the German Society of Pediatric Oncology and Hematology-Hodgkin's Disease (GPOH-HD) -2002 study between November 2002 and December 2005. Boys received two courses of OEPA and girls received two courses of OPPA for induction. Treatment group (TG) -2 (intermediate stages) and TG-3 (advanced stages) patients received further two or four cycles COPP (girls) or COPDAC (boys), respectively. After chemotherapy all patients received involved-field irradiation with 19.8 Gy, except for patients with early-stage disease (TG-1) in complete remission. Results: Five hundred seventy-three patients (287 males and 286 females) were less than 18 years old and fulfilled all inclusion criteria; 195 patients (34.0%) were allocated to TG-1, 139 (24.3%) were allocated to TG-2, and 239 (41.7%) were allocated to TG-3. Toxicity of OEPA-COPDAC was tolerable overall. Hematotoxicity was more pronounced with OEPA than OPPA, whereas it was less pronounced with COPDAC compared with COPP. The median observation time was 58.6 months. Overall survival and event-free survival (EFS) rates (± SE) at 5 years were 97.4% ± 0.7% and 89.0% ± 1.4%, respectively. In TG-1, overall EFS was 92.0% ± 2.0%. EFS of patients without irradiation (93.2% ± 3.3%) was similar to that of irradiated patients (91.7% ± 2.5%), confirming results of the previous GPOH-HD-95 study. In TG-2+3, EFS did not significantly differ between boys and girls (90.2% ± 2.3 v 84.7% ± 2.7, respectively; P = .12). Conclusion: In TG-2+3, results in boys and girls are superimposable. OPPA-COPP and OEPA-COPDAC seem to be exchangeable regimens in intermediate- and advanced-stage classical HL in pediatric patients. © 2010 by American Society of Clinical Oncology.","author":[{"dropping-particle":"","family":"Mauz-Körholz","given":"Christine","non-dropping-particle":"","parse-names":false,"suffix":""},{"dropping-particle":"","family":"Hasenclever","given":"Dirk","non-dropping-particle":"","parse-names":false,"suffix":""},{"dropping-particle":"","family":"Dörffel","given":"Wolfgang","non-dropping-particle":"","parse-names":false,"suffix":""},{"dropping-particle":"","family":"Ruschke","given":"Kathrin","non-dropping-particle":"","parse-names":false,"suffix":""},{"dropping-particle":"","family":"Pelz","given":"Tanja","non-dropping-particle":"","parse-names":false,"suffix":""},{"dropping-particle":"","family":"Voigt","given":"Antje","non-dropping-particle":"","parse-names":false,"suffix":""},{"dropping-particle":"","family":"Stiefel","given":"Martina","non-dropping-particle":"","parse-names":false,"suffix":""},{"dropping-particle":"","family":"Winkler","given":"Melanie","non-dropping-particle":"","parse-names":false,"suffix":""},{"dropping-particle":"","family":"Vilser","given":"Constanze","non-dropping-particle":"","parse-names":false,"suffix":""},{"dropping-particle":"","family":"Dieckmann","given":"Karin","non-dropping-particle":"","parse-names":false,"suffix":""},{"dropping-particle":"","family":"Karlén","given":"Jonas","non-dropping-particle":"","parse-names":false,"suffix":""},{"dropping-particle":"","family":"Bergsträsser","given":"Eva","non-dropping-particle":"","parse-names":false,"suffix":""},{"dropping-particle":"","family":"Fosså","given":"Alexander","non-dropping-particle":"","parse-names":false,"suffix":""},{"dropping-particle":"","family":"Mann","given":"Georg","non-dropping-particle":"","parse-names":false,"suffix":""},{"dropping-particle":"","family":"Hummel","given":"Michael","non-dropping-particle":"","parse-names":false,"suffix":""},{"dropping-particle":"","family":"Klapper","given":"Wolfram","non-dropping-particle":"","parse-names":false,"suffix":""},{"dropping-particle":"","family":"Stein","given":"Harald","non-dropping-particle":"","parse-names":false,"suffix":""},{"dropping-particle":"","family":"Vordermark","given":"Dirk","non-dropping-particle":"","parse-names":false,"suffix":""},{"dropping-particle":"","family":"Kluge","given":"Regine","non-dropping-particle":"","parse-names":false,"suffix":""},{"dropping-particle":"","family":"Körholz","given":"Dieter","non-dropping-particle":"","parse-names":false,"suffix":""}],"container-title":"Journal of Clinical Oncology","id":"ITEM-1","issue":"23","issued":{"date-parts":[["2010","8","10"]]},"page":"3680-3686","title":"Procarbazine-free OEPA-COPDAC chemotherapy in boys and standard OPPA-COPP in girls have comparable effectiveness in pediatric Hodgkin's lymphoma: The GPOH-HD-2002 study","type":"article-journal","volume":"28"},"uris":["http://www.mendeley.com/documents/?uuid=01a720d9-77af-45be-b300-986f3b5c8cb8","http://www.mendeley.com/documents/?uuid=eb98370d-ea11-3cf2-92b5-796ea93c5f6a"]}],"mendeley":{"formattedCitation":"[31]","plainTextFormattedCitation":"[31]","previouslyFormattedCitation":"[31]"},"properties":{"noteIndex":0},"schema":"https://github.com/citation-style-language/schema/raw/master/csl-citation.json"}</w:instrText>
      </w:r>
      <w:r w:rsidR="00784F06" w:rsidRPr="002F4348">
        <w:rPr>
          <w:lang w:eastAsia="ru-RU"/>
        </w:rPr>
        <w:fldChar w:fldCharType="separate"/>
      </w:r>
      <w:r w:rsidR="0041114E" w:rsidRPr="002F4348">
        <w:rPr>
          <w:noProof/>
          <w:lang w:eastAsia="ru-RU"/>
        </w:rPr>
        <w:t>[31]</w:t>
      </w:r>
      <w:r w:rsidR="00784F06" w:rsidRPr="002F4348">
        <w:rPr>
          <w:lang w:eastAsia="ru-RU"/>
        </w:rPr>
        <w:fldChar w:fldCharType="end"/>
      </w:r>
      <w:r w:rsidR="00E61A9E" w:rsidRPr="002F4348">
        <w:rPr>
          <w:lang w:val="en-US" w:eastAsia="ru-RU"/>
        </w:rPr>
        <w:t>.</w:t>
      </w:r>
      <w:r w:rsidR="00E61A9E" w:rsidRPr="002F4348">
        <w:t xml:space="preserve"> </w:t>
      </w:r>
    </w:p>
    <w:p w14:paraId="2841A5FB" w14:textId="77777777" w:rsidR="00E61A9E" w:rsidRPr="002F4348" w:rsidRDefault="00E61A9E" w:rsidP="00E61A9E">
      <w:pPr>
        <w:ind w:left="709" w:firstLine="0"/>
        <w:contextualSpacing/>
        <w:rPr>
          <w:b/>
        </w:rPr>
      </w:pPr>
      <w:r w:rsidRPr="002F4348">
        <w:rPr>
          <w:b/>
        </w:rPr>
        <w:t xml:space="preserve">Уровень убедительности рекомендаций </w:t>
      </w:r>
      <w:r w:rsidR="00077023" w:rsidRPr="002F4348">
        <w:rPr>
          <w:b/>
        </w:rPr>
        <w:t xml:space="preserve">В </w:t>
      </w:r>
      <w:r w:rsidRPr="002F4348">
        <w:rPr>
          <w:b/>
        </w:rPr>
        <w:t xml:space="preserve">(уровень достоверности доказательств </w:t>
      </w:r>
      <w:r w:rsidR="00077023" w:rsidRPr="002F4348">
        <w:rPr>
          <w:b/>
        </w:rPr>
        <w:t>3</w:t>
      </w:r>
      <w:r w:rsidRPr="002F4348">
        <w:rPr>
          <w:b/>
        </w:rPr>
        <w:t>).</w:t>
      </w:r>
    </w:p>
    <w:p w14:paraId="79895882" w14:textId="77777777" w:rsidR="00E61A9E" w:rsidRPr="002F4348" w:rsidRDefault="00D75819" w:rsidP="00B153FC">
      <w:pPr>
        <w:pStyle w:val="afe"/>
        <w:numPr>
          <w:ilvl w:val="0"/>
          <w:numId w:val="12"/>
        </w:numPr>
        <w:spacing w:before="120" w:after="120"/>
        <w:ind w:left="709" w:hanging="709"/>
      </w:pPr>
      <w:r w:rsidRPr="002F4348">
        <w:t xml:space="preserve">Ранее не получавшим лечение </w:t>
      </w:r>
      <w:r w:rsidR="00E61A9E" w:rsidRPr="002F4348">
        <w:t xml:space="preserve">пациентам в возрасте до 18 лет с </w:t>
      </w:r>
      <w:r w:rsidR="00E61A9E" w:rsidRPr="002F4348">
        <w:rPr>
          <w:szCs w:val="24"/>
          <w:lang w:val="x-none"/>
        </w:rPr>
        <w:t>IIEB, IIIEA/B, IIIB, IVA</w:t>
      </w:r>
      <w:r w:rsidR="00E61A9E" w:rsidRPr="002F4348">
        <w:rPr>
          <w:szCs w:val="24"/>
        </w:rPr>
        <w:t>/</w:t>
      </w:r>
      <w:r w:rsidR="00E61A9E" w:rsidRPr="002F4348">
        <w:rPr>
          <w:szCs w:val="24"/>
          <w:lang w:val="x-none"/>
        </w:rPr>
        <w:t>B</w:t>
      </w:r>
      <w:r w:rsidR="00E61A9E" w:rsidRPr="002F4348">
        <w:t xml:space="preserve"> стадиями ЛХ  </w:t>
      </w:r>
      <w:r w:rsidR="00E61A9E" w:rsidRPr="002F4348">
        <w:rPr>
          <w:b/>
        </w:rPr>
        <w:t>рекомендуется</w:t>
      </w:r>
      <w:r w:rsidR="00E61A9E" w:rsidRPr="002F4348">
        <w:t xml:space="preserve"> полихимиотерапия по схеме </w:t>
      </w:r>
      <w:r w:rsidR="00E61A9E" w:rsidRPr="002F4348">
        <w:rPr>
          <w:szCs w:val="24"/>
          <w:lang w:val="x-none"/>
        </w:rPr>
        <w:t>OEPA</w:t>
      </w:r>
      <w:r w:rsidR="00E61A9E" w:rsidRPr="002F4348">
        <w:t xml:space="preserve"> (2 цикла) + </w:t>
      </w:r>
      <w:r w:rsidR="00E61A9E" w:rsidRPr="002F4348">
        <w:rPr>
          <w:lang w:val="en-US"/>
        </w:rPr>
        <w:t>COPDAC</w:t>
      </w:r>
      <w:r w:rsidR="00E61A9E" w:rsidRPr="002F4348">
        <w:t xml:space="preserve"> (4 цикла) </w:t>
      </w:r>
      <w:r w:rsidR="007A344D" w:rsidRPr="002F4348">
        <w:t>(описание режимов – см. приложение А3.1)</w:t>
      </w:r>
      <w:r w:rsidR="00E61A9E" w:rsidRPr="002F4348">
        <w:t xml:space="preserve"> </w:t>
      </w:r>
      <w:r w:rsidR="00E61A9E" w:rsidRPr="002F4348">
        <w:rPr>
          <w:lang w:eastAsia="ru-RU"/>
        </w:rPr>
        <w:fldChar w:fldCharType="begin" w:fldLock="1"/>
      </w:r>
      <w:r w:rsidR="002C6C01" w:rsidRPr="002F4348">
        <w:rPr>
          <w:lang w:eastAsia="ru-RU"/>
        </w:rPr>
        <w:instrText>ADDIN CSL_CITATION {"citationItems":[{"id":"ITEM-1","itemData":{"DOI":"10.1200/JCO.2009.26.9381","ISSN":"0732183X","abstract":"Purpose: Vincristine, etoposide, prednisone, and doxorubicin (OEPA)-cyclophosphamide, vincristine, prednisone, and dacarbazine (COPDAC) is derived from standard vincristine, procarbazine, prednisone, and doxorubicin (OPPA)-cyclophosphamide, vincristine, procarbazine, and prednisone (COPP) chemotherapy by replacing procarbazine with etoposide and dacarbazine for a potentially less gonadotoxic regimen for boys with Hodgkin's lymphoma (HL). Patients and Methods: Five hundred seventy-three pediatric patients with classical HL were enrolled onto the German Society of Pediatric Oncology and Hematology-Hodgkin's Disease (GPOH-HD) -2002 study between November 2002 and December 2005. Boys received two courses of OEPA and girls received two courses of OPPA for induction. Treatment group (TG) -2 (intermediate stages) and TG-3 (advanced stages) patients received further two or four cycles COPP (girls) or COPDAC (boys), respectively. After chemotherapy all patients received involved-field irradiation with 19.8 Gy, except for patients with early-stage disease (TG-1) in complete remission. Results: Five hundred seventy-three patients (287 males and 286 females) were less than 18 years old and fulfilled all inclusion criteria; 195 patients (34.0%) were allocated to TG-1, 139 (24.3%) were allocated to TG-2, and 239 (41.7%) were allocated to TG-3. Toxicity of OEPA-COPDAC was tolerable overall. Hematotoxicity was more pronounced with OEPA than OPPA, whereas it was less pronounced with COPDAC compared with COPP. The median observation time was 58.6 months. Overall survival and event-free survival (EFS) rates (± SE) at 5 years were 97.4% ± 0.7% and 89.0% ± 1.4%, respectively. In TG-1, overall EFS was 92.0% ± 2.0%. EFS of patients without irradiation (93.2% ± 3.3%) was similar to that of irradiated patients (91.7% ± 2.5%), confirming results of the previous GPOH-HD-95 study. In TG-2+3, EFS did not significantly differ between boys and girls (90.2% ± 2.3 v 84.7% ± 2.7, respectively; P = .12). Conclusion: In TG-2+3, results in boys and girls are superimposable. OPPA-COPP and OEPA-COPDAC seem to be exchangeable regimens in intermediate- and advanced-stage classical HL in pediatric patients. © 2010 by American Society of Clinical Oncology.","author":[{"dropping-particle":"","family":"Mauz-Körholz","given":"Christine","non-dropping-particle":"","parse-names":false,"suffix":""},{"dropping-particle":"","family":"Hasenclever","given":"Dirk","non-dropping-particle":"","parse-names":false,"suffix":""},{"dropping-particle":"","family":"Dörffel","given":"Wolfgang","non-dropping-particle":"","parse-names":false,"suffix":""},{"dropping-particle":"","family":"Ruschke","given":"Kathrin","non-dropping-particle":"","parse-names":false,"suffix":""},{"dropping-particle":"","family":"Pelz","given":"Tanja","non-dropping-particle":"","parse-names":false,"suffix":""},{"dropping-particle":"","family":"Voigt","given":"Antje","non-dropping-particle":"","parse-names":false,"suffix":""},{"dropping-particle":"","family":"Stiefel","given":"Martina","non-dropping-particle":"","parse-names":false,"suffix":""},{"dropping-particle":"","family":"Winkler","given":"Melanie","non-dropping-particle":"","parse-names":false,"suffix":""},{"dropping-particle":"","family":"Vilser","given":"Constanze","non-dropping-particle":"","parse-names":false,"suffix":""},{"dropping-particle":"","family":"Dieckmann","given":"Karin","non-dropping-particle":"","parse-names":false,"suffix":""},{"dropping-particle":"","family":"Karlén","given":"Jonas","non-dropping-particle":"","parse-names":false,"suffix":""},{"dropping-particle":"","family":"Bergsträsser","given":"Eva","non-dropping-particle":"","parse-names":false,"suffix":""},{"dropping-particle":"","family":"Fosså","given":"Alexander","non-dropping-particle":"","parse-names":false,"suffix":""},{"dropping-particle":"","family":"Mann","given":"Georg","non-dropping-particle":"","parse-names":false,"suffix":""},{"dropping-particle":"","family":"Hummel","given":"Michael","non-dropping-particle":"","parse-names":false,"suffix":""},{"dropping-particle":"","family":"Klapper","given":"Wolfram","non-dropping-particle":"","parse-names":false,"suffix":""},{"dropping-particle":"","family":"Stein","given":"Harald","non-dropping-particle":"","parse-names":false,"suffix":""},{"dropping-particle":"","family":"Vordermark","given":"Dirk","non-dropping-particle":"","parse-names":false,"suffix":""},{"dropping-particle":"","family":"Kluge","given":"Regine","non-dropping-particle":"","parse-names":false,"suffix":""},{"dropping-particle":"","family":"Körholz","given":"Dieter","non-dropping-particle":"","parse-names":false,"suffix":""}],"container-title":"Journal of Clinical Oncology","id":"ITEM-1","issue":"23","issued":{"date-parts":[["2010","8","10"]]},"page":"3680-3686","title":"Procarbazine-free OEPA-COPDAC chemotherapy in boys and standard OPPA-COPP in girls have comparable effectiveness in pediatric Hodgkin's lymphoma: The GPOH-HD-2002 study","type":"article-journal","volume":"28"},"uris":["http://www.mendeley.com/documents/?uuid=01a720d9-77af-45be-b300-986f3b5c8cb8","http://www.mendeley.com/documents/?uuid=eb98370d-ea11-3cf2-92b5-796ea93c5f6a"]}],"mendeley":{"formattedCitation":"[31]","plainTextFormattedCitation":"[31]","previouslyFormattedCitation":"[31]"},"properties":{"noteIndex":0},"schema":"https://github.com/citation-style-language/schema/raw/master/csl-citation.json"}</w:instrText>
      </w:r>
      <w:r w:rsidR="00E61A9E" w:rsidRPr="002F4348">
        <w:rPr>
          <w:lang w:eastAsia="ru-RU"/>
        </w:rPr>
        <w:fldChar w:fldCharType="separate"/>
      </w:r>
      <w:r w:rsidR="0041114E" w:rsidRPr="002F4348">
        <w:rPr>
          <w:noProof/>
          <w:lang w:eastAsia="ru-RU"/>
        </w:rPr>
        <w:t>[31]</w:t>
      </w:r>
      <w:r w:rsidR="00E61A9E" w:rsidRPr="002F4348">
        <w:rPr>
          <w:lang w:eastAsia="ru-RU"/>
        </w:rPr>
        <w:fldChar w:fldCharType="end"/>
      </w:r>
      <w:r w:rsidR="00E61A9E" w:rsidRPr="002F4348">
        <w:rPr>
          <w:lang w:val="en-US" w:eastAsia="ru-RU"/>
        </w:rPr>
        <w:t>.</w:t>
      </w:r>
      <w:r w:rsidR="00E61A9E" w:rsidRPr="002F4348">
        <w:t xml:space="preserve"> </w:t>
      </w:r>
    </w:p>
    <w:p w14:paraId="25157AA0" w14:textId="77777777" w:rsidR="00E61A9E" w:rsidRPr="002F4348" w:rsidRDefault="00E61A9E" w:rsidP="00E61A9E">
      <w:pPr>
        <w:ind w:left="709" w:firstLine="0"/>
        <w:contextualSpacing/>
        <w:rPr>
          <w:b/>
        </w:rPr>
      </w:pPr>
      <w:r w:rsidRPr="002F4348">
        <w:rPr>
          <w:b/>
        </w:rPr>
        <w:t xml:space="preserve">Уровень убедительности рекомендаций </w:t>
      </w:r>
      <w:r w:rsidR="00784F06" w:rsidRPr="002F4348">
        <w:rPr>
          <w:b/>
          <w:lang w:val="en-US"/>
        </w:rPr>
        <w:t>B</w:t>
      </w:r>
      <w:r w:rsidR="00784F06" w:rsidRPr="002F4348">
        <w:rPr>
          <w:b/>
        </w:rPr>
        <w:t xml:space="preserve"> </w:t>
      </w:r>
      <w:r w:rsidRPr="002F4348">
        <w:rPr>
          <w:b/>
        </w:rPr>
        <w:t xml:space="preserve">(уровень достоверности доказательств </w:t>
      </w:r>
      <w:r w:rsidR="00784F06" w:rsidRPr="002F4348">
        <w:rPr>
          <w:b/>
        </w:rPr>
        <w:t>3</w:t>
      </w:r>
      <w:r w:rsidRPr="002F4348">
        <w:rPr>
          <w:b/>
        </w:rPr>
        <w:t>).</w:t>
      </w:r>
    </w:p>
    <w:p w14:paraId="440E084B" w14:textId="77777777" w:rsidR="00E61A9E" w:rsidRPr="002F4348" w:rsidRDefault="00E61A9E" w:rsidP="00B153FC">
      <w:pPr>
        <w:pStyle w:val="afe"/>
        <w:numPr>
          <w:ilvl w:val="0"/>
          <w:numId w:val="12"/>
        </w:numPr>
        <w:spacing w:before="120" w:after="120"/>
        <w:ind w:left="709" w:hanging="709"/>
      </w:pPr>
      <w:r w:rsidRPr="002F4348">
        <w:t xml:space="preserve">Пациентам в возрасте до 18 лет с ЛХ с ПЭТ/КТ позитивной опухолью после 2 блока </w:t>
      </w:r>
      <w:r w:rsidR="009572F3" w:rsidRPr="002F4348">
        <w:t xml:space="preserve">ПХТ </w:t>
      </w:r>
      <w:r w:rsidRPr="002F4348">
        <w:rPr>
          <w:b/>
        </w:rPr>
        <w:t>рекомендуется</w:t>
      </w:r>
      <w:r w:rsidRPr="002F4348">
        <w:t xml:space="preserve"> лучевая терапия на </w:t>
      </w:r>
      <w:r w:rsidRPr="002F4348">
        <w:rPr>
          <w:lang w:eastAsia="ru-RU"/>
        </w:rPr>
        <w:t xml:space="preserve">первично пораженные области СОД </w:t>
      </w:r>
      <w:r w:rsidR="005708CB" w:rsidRPr="002F4348">
        <w:rPr>
          <w:lang w:eastAsia="ru-RU"/>
        </w:rPr>
        <w:t>19,8</w:t>
      </w:r>
      <w:r w:rsidRPr="002F4348">
        <w:rPr>
          <w:lang w:eastAsia="ru-RU"/>
        </w:rPr>
        <w:t xml:space="preserve"> Гр</w:t>
      </w:r>
      <w:r w:rsidR="00784F06" w:rsidRPr="002F4348">
        <w:rPr>
          <w:lang w:eastAsia="ru-RU"/>
        </w:rPr>
        <w:t xml:space="preserve"> </w:t>
      </w:r>
      <w:r w:rsidR="00C452E1" w:rsidRPr="002F4348">
        <w:rPr>
          <w:lang w:eastAsia="ru-RU"/>
        </w:rPr>
        <w:t xml:space="preserve"> </w:t>
      </w:r>
      <w:r w:rsidR="00C452E1" w:rsidRPr="002F4348">
        <w:rPr>
          <w:lang w:eastAsia="ru-RU"/>
        </w:rPr>
        <w:fldChar w:fldCharType="begin" w:fldLock="1"/>
      </w:r>
      <w:r w:rsidR="00A850F7" w:rsidRPr="002F4348">
        <w:rPr>
          <w:lang w:eastAsia="ru-RU"/>
        </w:rPr>
        <w:instrText>ADDIN CSL_CITATION {"citationItems":[{"id":"ITEM-1","itemData":{"DOI":"10.14694/EdBook_AM.2012.32.616","ISSN":"1548-8748","abstract":"The role of radiation therapy in the treatment of pediatric Hodgkin lymphoma has continued to be refined, motivated by the desire to avoid disruption to normal tissue development and function and secondary carcinogenesis. Such progress has occurred in tandem with modifications of the multiagent chemotherapy regimens that have been used in place of or in combination with low-dose involved-field radiation that are also associated with dose-related risks of cardiopulmonary and gonadal dysfunction and leukemogenesis. Consequently, treatment strategies for young patients, who have an excellent prognosis of long-term survival, utilizes a risk-adapted approach that provides optimal efficacy for disease control whereas limiting toxicity associated with both radiation and chemotherapy. Because of the differences in age-related developmental status and gender-related sensitivity to chemotherapy and radiation toxicity, no single treatment approach is ideal for all pediatric patients. This manuscript summarizes results from published clinical trials with the goal of defining optimal treatment strategies for children and adolescents with Hodgkin lymphoma in regards to the use of radiation therapy.; ","author":[{"dropping-particle":"","family":"Hudson","given":"Melissa M","non-dropping-particle":"","parse-names":false,"suffix":""},{"dropping-particle":"","family":"Constine","given":"Louis S","non-dropping-particle":"","parse-names":false,"suffix":""}],"container-title":"American Society Of Clinical Oncology Educational Book / ASCO. American Society Of Clinical Oncology. Meeting","id":"ITEM-1","issued":{"date-parts":[["2012"]]},"page":"616-620","publisher":"American Society of Clinical Oncology","publisher-place":"From the Department of Oncology, Division of Cancer Survivorship, St. Jude's Children's Research Hospital, Memphis, TN; Departments of Radiation Oncology and Pediatrics, Philip Rubin Center for Cancer Survivorship, James P. Wilmot Cancer Center at Univers","title":"Refining the role of radiation therapy in pediatric hodgkin lymphoma.","type":"article-journal"},"uris":["http://www.mendeley.com/documents/?uuid=1ec8f74f-adc1-3c30-8814-51b6b12ed827","http://www.mendeley.com/documents/?uuid=9d859b6e-683b-4a4b-9489-1a241b889c57"]}],"mendeley":{"formattedCitation":"[33]","plainTextFormattedCitation":"[33]","previouslyFormattedCitation":"[33]"},"properties":{"noteIndex":0},"schema":"https://github.com/citation-style-language/schema/raw/master/csl-citation.json"}</w:instrText>
      </w:r>
      <w:r w:rsidR="00C452E1" w:rsidRPr="002F4348">
        <w:rPr>
          <w:lang w:eastAsia="ru-RU"/>
        </w:rPr>
        <w:fldChar w:fldCharType="separate"/>
      </w:r>
      <w:r w:rsidR="00290745" w:rsidRPr="002F4348">
        <w:rPr>
          <w:noProof/>
          <w:lang w:eastAsia="ru-RU"/>
        </w:rPr>
        <w:t>[33]</w:t>
      </w:r>
      <w:r w:rsidR="00C452E1" w:rsidRPr="002F4348">
        <w:rPr>
          <w:lang w:eastAsia="ru-RU"/>
        </w:rPr>
        <w:fldChar w:fldCharType="end"/>
      </w:r>
      <w:r w:rsidRPr="002F4348">
        <w:rPr>
          <w:lang w:eastAsia="ru-RU"/>
        </w:rPr>
        <w:t>.</w:t>
      </w:r>
      <w:r w:rsidRPr="002F4348">
        <w:t xml:space="preserve"> </w:t>
      </w:r>
    </w:p>
    <w:p w14:paraId="6960F99D" w14:textId="77777777" w:rsidR="00E61A9E" w:rsidRPr="002F4348" w:rsidRDefault="00E61A9E" w:rsidP="00E61A9E">
      <w:pPr>
        <w:ind w:left="709" w:firstLine="0"/>
        <w:contextualSpacing/>
        <w:rPr>
          <w:b/>
        </w:rPr>
      </w:pPr>
      <w:r w:rsidRPr="002F4348">
        <w:rPr>
          <w:b/>
        </w:rPr>
        <w:lastRenderedPageBreak/>
        <w:t xml:space="preserve">Уровень убедительности рекомендаций </w:t>
      </w:r>
      <w:r w:rsidR="00C452E1" w:rsidRPr="002F4348">
        <w:rPr>
          <w:b/>
          <w:lang w:val="en-US"/>
        </w:rPr>
        <w:t>C</w:t>
      </w:r>
      <w:r w:rsidRPr="002F4348">
        <w:rPr>
          <w:b/>
        </w:rPr>
        <w:t xml:space="preserve"> (уровень достоверности</w:t>
      </w:r>
      <w:r w:rsidR="00C452E1" w:rsidRPr="002F4348">
        <w:rPr>
          <w:b/>
        </w:rPr>
        <w:t xml:space="preserve"> </w:t>
      </w:r>
      <w:r w:rsidR="00BD30F5" w:rsidRPr="002F4348">
        <w:rPr>
          <w:b/>
        </w:rPr>
        <w:t>доказательств 5</w:t>
      </w:r>
      <w:r w:rsidR="00C452E1" w:rsidRPr="002F4348">
        <w:rPr>
          <w:b/>
        </w:rPr>
        <w:t>)</w:t>
      </w:r>
    </w:p>
    <w:p w14:paraId="4854EA1B" w14:textId="77777777" w:rsidR="004C0214" w:rsidRPr="002F4348" w:rsidRDefault="00C452E1" w:rsidP="004C0214">
      <w:pPr>
        <w:ind w:left="709" w:firstLine="0"/>
        <w:contextualSpacing/>
        <w:rPr>
          <w:i/>
        </w:rPr>
      </w:pPr>
      <w:r w:rsidRPr="002F4348">
        <w:rPr>
          <w:b/>
        </w:rPr>
        <w:t xml:space="preserve">Комментарий: </w:t>
      </w:r>
      <w:r w:rsidR="004C0214" w:rsidRPr="002F4348">
        <w:rPr>
          <w:bCs/>
          <w:i/>
          <w:iCs/>
        </w:rPr>
        <w:t>п</w:t>
      </w:r>
      <w:r w:rsidR="004C0214" w:rsidRPr="002F4348">
        <w:rPr>
          <w:i/>
        </w:rPr>
        <w:t>ри наличии показаний к проведению лучевой терапии у пациентов с лимфомой Ходжкина необходимо облучить все пораженные лимфоузлы, выявленные при инициальном, выполненном до начала химиотерапии, ПЭТ исследовании. При формировании объемов облучения необходимо следовать ICRU 50/62</w:t>
      </w:r>
      <w:r w:rsidR="004D1B5D" w:rsidRPr="002F4348">
        <w:rPr>
          <w:i/>
        </w:rPr>
        <w:t xml:space="preserve"> </w:t>
      </w:r>
      <w:r w:rsidR="004D1B5D" w:rsidRPr="002F4348">
        <w:rPr>
          <w:i/>
        </w:rPr>
        <w:fldChar w:fldCharType="begin" w:fldLock="1"/>
      </w:r>
      <w:r w:rsidR="00A850F7" w:rsidRPr="002F4348">
        <w:rPr>
          <w:i/>
        </w:rPr>
        <w:instrText>ADDIN CSL_CITATION {"citationItems":[{"id":"ITEM-1","itemData":{"id":"ITEM-1","issued":{"date-parts":[["1999"]]},"number-of-pages":"1-62","title":"International Commission on Radiation Units and Measurments. Prescribing, Recording, and Reporting Photon Beam Therapy (Supplement to ICRU Report 50).","type":"report"},"uris":["http://www.mendeley.com/documents/?uuid=be1e1cb9-7073-496b-8278-05845bc5a268","http://www.mendeley.com/documents/?uuid=eee60dd1-36da-4df8-95ba-b6060427335e"]}],"mendeley":{"formattedCitation":"[34]","plainTextFormattedCitation":"[34]","previouslyFormattedCitation":"[34]"},"properties":{"noteIndex":0},"schema":"https://github.com/citation-style-language/schema/raw/master/csl-citation.json"}</w:instrText>
      </w:r>
      <w:r w:rsidR="004D1B5D" w:rsidRPr="002F4348">
        <w:rPr>
          <w:i/>
        </w:rPr>
        <w:fldChar w:fldCharType="separate"/>
      </w:r>
      <w:r w:rsidR="00290745" w:rsidRPr="002F4348">
        <w:rPr>
          <w:noProof/>
        </w:rPr>
        <w:t>[34]</w:t>
      </w:r>
      <w:r w:rsidR="004D1B5D" w:rsidRPr="002F4348">
        <w:rPr>
          <w:i/>
        </w:rPr>
        <w:fldChar w:fldCharType="end"/>
      </w:r>
      <w:r w:rsidR="004C0214" w:rsidRPr="002F4348">
        <w:rPr>
          <w:i/>
        </w:rPr>
        <w:t>.</w:t>
      </w:r>
    </w:p>
    <w:p w14:paraId="7CA5E120" w14:textId="77777777" w:rsidR="00C57AE8" w:rsidRPr="002F4348" w:rsidRDefault="00C57AE8" w:rsidP="00C57AE8">
      <w:pPr>
        <w:ind w:left="709" w:firstLine="0"/>
        <w:contextualSpacing/>
        <w:rPr>
          <w:i/>
        </w:rPr>
      </w:pPr>
      <w:r w:rsidRPr="002F4348">
        <w:rPr>
          <w:i/>
        </w:rPr>
        <w:t>Минимальные требования к проведению облучения у детей – 3-D конформная лучевая терапия. Лучевая терапия должна проводиться на линейном ускорителе фотонами с энергией не менее 6 MV, оснащенном многолепестковом коллиматором и системой контроля положения пациента и/или мишени (КТ в коническом пучке, система портальной визуализации и др.). Не исключается использование электронных пучков с подходящей энергией для облучения поверхностно расположенных групп лимфатических узлов, например, паховых. Возможно применение ЛТ с модуляцией интенсивности (IMRT), объемно-модулированная ЛТ (VMAT), Tomo</w:t>
      </w:r>
      <w:r w:rsidRPr="002F4348">
        <w:rPr>
          <w:i/>
          <w:lang w:val="en-US"/>
        </w:rPr>
        <w:t>T</w:t>
      </w:r>
      <w:r w:rsidRPr="002F4348">
        <w:rPr>
          <w:i/>
        </w:rPr>
        <w:t xml:space="preserve">herapy, протонотерапии. </w:t>
      </w:r>
    </w:p>
    <w:p w14:paraId="02BA883B" w14:textId="77777777" w:rsidR="00C57AE8" w:rsidRPr="002F4348" w:rsidRDefault="00C57AE8" w:rsidP="00C57AE8">
      <w:pPr>
        <w:ind w:left="709" w:firstLine="0"/>
        <w:contextualSpacing/>
        <w:rPr>
          <w:i/>
        </w:rPr>
      </w:pPr>
      <w:r w:rsidRPr="002F4348">
        <w:rPr>
          <w:i/>
        </w:rPr>
        <w:t>Лучевая терапия опухолей у детей должна проводиться с применением механической иммобилизации (индивидуальная маска из термопластического материала, вакуумный матрац). Необходимо предусмотреть возможность облучения под общей анестезией пациентов в возрасте до 4-х лет и по показаниям в более старшем возрасте.</w:t>
      </w:r>
    </w:p>
    <w:p w14:paraId="4908FFCC" w14:textId="77777777" w:rsidR="004C0214" w:rsidRPr="002F4348" w:rsidRDefault="004C0214" w:rsidP="004C0214">
      <w:pPr>
        <w:ind w:left="709" w:firstLine="0"/>
        <w:contextualSpacing/>
        <w:rPr>
          <w:i/>
        </w:rPr>
      </w:pPr>
      <w:r w:rsidRPr="002F4348">
        <w:rPr>
          <w:i/>
        </w:rPr>
        <w:t xml:space="preserve">Все области поражения предпочтительно облучать одновременно. При III-IV стадиях решение о последовательном облучении принимается индивидуально, при этом, в первую очередь, в объем лучевой терапии включаются остаточные опухолевые массы, либо зоны с исходным обширным поражением. Перерыв между этапами лучевой терапии должен быть не более 2 недель. </w:t>
      </w:r>
    </w:p>
    <w:p w14:paraId="794A1012" w14:textId="77777777" w:rsidR="005708CB" w:rsidRPr="002F4348" w:rsidRDefault="004C0214" w:rsidP="004C0214">
      <w:pPr>
        <w:ind w:left="709" w:firstLine="0"/>
        <w:contextualSpacing/>
        <w:rPr>
          <w:i/>
        </w:rPr>
      </w:pPr>
      <w:r w:rsidRPr="002F4348">
        <w:rPr>
          <w:i/>
        </w:rPr>
        <w:t xml:space="preserve">В </w:t>
      </w:r>
      <w:r w:rsidR="005708CB" w:rsidRPr="002F4348">
        <w:rPr>
          <w:i/>
        </w:rPr>
        <w:t>макроскопический объем опухоли (</w:t>
      </w:r>
      <w:r w:rsidRPr="002F4348">
        <w:rPr>
          <w:i/>
        </w:rPr>
        <w:t>GTV</w:t>
      </w:r>
      <w:r w:rsidR="005708CB" w:rsidRPr="002F4348">
        <w:rPr>
          <w:i/>
        </w:rPr>
        <w:t>)</w:t>
      </w:r>
      <w:r w:rsidRPr="002F4348">
        <w:rPr>
          <w:i/>
        </w:rPr>
        <w:t xml:space="preserve"> входит объем пораженных лимфоузлов. </w:t>
      </w:r>
      <w:r w:rsidR="005708CB" w:rsidRPr="002F4348">
        <w:rPr>
          <w:i/>
        </w:rPr>
        <w:t>Клинический о</w:t>
      </w:r>
      <w:r w:rsidRPr="002F4348">
        <w:rPr>
          <w:i/>
        </w:rPr>
        <w:t>бъем</w:t>
      </w:r>
      <w:r w:rsidR="005708CB" w:rsidRPr="002F4348">
        <w:rPr>
          <w:i/>
        </w:rPr>
        <w:t xml:space="preserve"> мишени</w:t>
      </w:r>
      <w:r w:rsidRPr="002F4348">
        <w:rPr>
          <w:i/>
        </w:rPr>
        <w:t xml:space="preserve"> </w:t>
      </w:r>
      <w:r w:rsidR="005708CB" w:rsidRPr="002F4348">
        <w:rPr>
          <w:i/>
        </w:rPr>
        <w:t>(</w:t>
      </w:r>
      <w:r w:rsidRPr="002F4348">
        <w:rPr>
          <w:i/>
        </w:rPr>
        <w:t>CTV</w:t>
      </w:r>
      <w:r w:rsidR="005708CB" w:rsidRPr="002F4348">
        <w:rPr>
          <w:i/>
        </w:rPr>
        <w:t>)</w:t>
      </w:r>
      <w:r w:rsidRPr="002F4348">
        <w:rPr>
          <w:i/>
        </w:rPr>
        <w:t xml:space="preserve"> включает в себя GTV с безопасным краем 1-2 см с учетом анатомических барьеров для распространения болезни</w:t>
      </w:r>
      <w:r w:rsidR="008B0A4A" w:rsidRPr="002F4348">
        <w:rPr>
          <w:i/>
        </w:rPr>
        <w:t xml:space="preserve"> (обычно в анатомических границах региона)</w:t>
      </w:r>
      <w:r w:rsidRPr="002F4348">
        <w:rPr>
          <w:i/>
        </w:rPr>
        <w:t xml:space="preserve">. </w:t>
      </w:r>
      <w:r w:rsidR="005708CB" w:rsidRPr="002F4348">
        <w:rPr>
          <w:i/>
        </w:rPr>
        <w:t>Планируемый о</w:t>
      </w:r>
      <w:r w:rsidRPr="002F4348">
        <w:rPr>
          <w:i/>
        </w:rPr>
        <w:t>бъем</w:t>
      </w:r>
      <w:r w:rsidR="005708CB" w:rsidRPr="002F4348">
        <w:rPr>
          <w:i/>
        </w:rPr>
        <w:t xml:space="preserve"> мишени</w:t>
      </w:r>
      <w:r w:rsidRPr="002F4348">
        <w:rPr>
          <w:i/>
        </w:rPr>
        <w:t xml:space="preserve"> </w:t>
      </w:r>
      <w:r w:rsidR="005708CB" w:rsidRPr="002F4348">
        <w:rPr>
          <w:i/>
        </w:rPr>
        <w:t>(</w:t>
      </w:r>
      <w:r w:rsidRPr="002F4348">
        <w:rPr>
          <w:i/>
        </w:rPr>
        <w:t>PTV</w:t>
      </w:r>
      <w:r w:rsidRPr="002F4348">
        <w:rPr>
          <w:i/>
          <w:vertAlign w:val="subscript"/>
        </w:rPr>
        <w:t>1</w:t>
      </w:r>
      <w:r w:rsidR="005708CB" w:rsidRPr="002F4348">
        <w:rPr>
          <w:i/>
        </w:rPr>
        <w:t>)</w:t>
      </w:r>
      <w:r w:rsidRPr="002F4348">
        <w:rPr>
          <w:i/>
        </w:rPr>
        <w:t xml:space="preserve"> включает в себя CTV плюс принятый в данном учреждении отступ, обычно 7-</w:t>
      </w:r>
      <w:r w:rsidR="008B0A4A" w:rsidRPr="002F4348">
        <w:rPr>
          <w:i/>
        </w:rPr>
        <w:t xml:space="preserve">10 </w:t>
      </w:r>
      <w:r w:rsidRPr="002F4348">
        <w:rPr>
          <w:i/>
        </w:rPr>
        <w:t>мм во всех направлениях. Для средостения, парааортальной зоны и области таза отступ CTV в краниокаудальном направлении должен составлять не менее 2 см. Лимфоузлы корней легких рассматриваются как самостоятельный регион.</w:t>
      </w:r>
    </w:p>
    <w:p w14:paraId="29578704" w14:textId="77777777" w:rsidR="00B468B9" w:rsidRPr="002F4348" w:rsidRDefault="0077688A" w:rsidP="00B468B9">
      <w:pPr>
        <w:ind w:left="709" w:firstLine="0"/>
        <w:contextualSpacing/>
        <w:rPr>
          <w:i/>
        </w:rPr>
      </w:pPr>
      <w:r w:rsidRPr="002F4348">
        <w:rPr>
          <w:i/>
        </w:rPr>
        <w:lastRenderedPageBreak/>
        <w:t>СОД облучения составляет 19,8 Гр, при стандартном фракционировании с РОД 1,8 Гр за фракцию, 5 фракций в неделю. Все поля облучаются ежедневно. Допустимо снижение РОД до 1,5-1,6 Гр при больших объемах облучения и/или у детей младшего возраста.</w:t>
      </w:r>
    </w:p>
    <w:p w14:paraId="1DE35D53" w14:textId="77777777" w:rsidR="0077688A" w:rsidRPr="002F4348" w:rsidRDefault="00B468B9" w:rsidP="0077688A">
      <w:pPr>
        <w:ind w:left="709" w:firstLine="0"/>
        <w:contextualSpacing/>
        <w:rPr>
          <w:i/>
        </w:rPr>
      </w:pPr>
      <w:r w:rsidRPr="002F4348">
        <w:rPr>
          <w:i/>
        </w:rPr>
        <w:t xml:space="preserve">Граница планируемого лучевого воздействия определяется размерами опухоли по окончании химиотерапии с дополнительным захватом 1-2 см. </w:t>
      </w:r>
    </w:p>
    <w:p w14:paraId="36800DD2" w14:textId="77777777" w:rsidR="0077688A" w:rsidRPr="002F4348" w:rsidRDefault="0077688A" w:rsidP="0077688A">
      <w:pPr>
        <w:ind w:left="709" w:firstLine="0"/>
        <w:contextualSpacing/>
        <w:rPr>
          <w:i/>
        </w:rPr>
      </w:pPr>
      <w:r w:rsidRPr="002F4348">
        <w:rPr>
          <w:i/>
        </w:rPr>
        <w:t>Лучевая терапия должна быть начата на 2-4 неделе после завершения химиотерапии, то есть на 14-28 день от приема последней дозы преднизолона.</w:t>
      </w:r>
    </w:p>
    <w:p w14:paraId="699F14DE" w14:textId="77777777" w:rsidR="003D3A29" w:rsidRPr="002F4348" w:rsidRDefault="003D3A29" w:rsidP="00B153FC">
      <w:pPr>
        <w:pStyle w:val="afe"/>
        <w:numPr>
          <w:ilvl w:val="0"/>
          <w:numId w:val="12"/>
        </w:numPr>
        <w:spacing w:before="120" w:after="120"/>
        <w:ind w:left="709" w:hanging="709"/>
      </w:pPr>
      <w:r w:rsidRPr="002F4348">
        <w:t>Пациентам в возрасте до 18 лет</w:t>
      </w:r>
      <w:r w:rsidR="00554450" w:rsidRPr="002F4348">
        <w:t xml:space="preserve"> с ЛХ</w:t>
      </w:r>
      <w:r w:rsidRPr="002F4348">
        <w:t>, с остаточной опухолью &gt; 100 см</w:t>
      </w:r>
      <w:r w:rsidRPr="002F4348">
        <w:rPr>
          <w:vertAlign w:val="superscript"/>
        </w:rPr>
        <w:t>3</w:t>
      </w:r>
      <w:r w:rsidRPr="002F4348">
        <w:t>, а также у пациентов с остаточной опухолью &gt; 5 см</w:t>
      </w:r>
      <w:r w:rsidRPr="002F4348">
        <w:rPr>
          <w:vertAlign w:val="superscript"/>
        </w:rPr>
        <w:t xml:space="preserve">3 </w:t>
      </w:r>
      <w:r w:rsidRPr="002F4348">
        <w:t xml:space="preserve">и регрессией опухоли </w:t>
      </w:r>
      <w:r w:rsidR="00554450" w:rsidRPr="002F4348">
        <w:rPr>
          <w:rFonts w:cs="Times New Roman"/>
        </w:rPr>
        <w:t>≤</w:t>
      </w:r>
      <w:r w:rsidRPr="002F4348">
        <w:t xml:space="preserve"> 75% от исходного объема </w:t>
      </w:r>
      <w:r w:rsidRPr="002F4348">
        <w:rPr>
          <w:b/>
        </w:rPr>
        <w:t>рекомендуется</w:t>
      </w:r>
      <w:r w:rsidRPr="002F4348">
        <w:t xml:space="preserve"> дополнительное облучение </w:t>
      </w:r>
      <w:r w:rsidRPr="002F4348">
        <w:rPr>
          <w:lang w:eastAsia="ru-RU"/>
        </w:rPr>
        <w:t xml:space="preserve">СОД 10 Гр (РОД 2 Гр) </w:t>
      </w:r>
      <w:r w:rsidRPr="002F4348">
        <w:rPr>
          <w:lang w:eastAsia="ru-RU"/>
        </w:rPr>
        <w:fldChar w:fldCharType="begin" w:fldLock="1"/>
      </w:r>
      <w:r w:rsidR="00A850F7" w:rsidRPr="002F4348">
        <w:rPr>
          <w:lang w:eastAsia="ru-RU"/>
        </w:rPr>
        <w:instrText>ADDIN CSL_CITATION {"citationItems":[{"id":"ITEM-1","itemData":{"DOI":"10.14694/EdBook_AM.2012.32.616","ISSN":"1548-8748","abstract":"The role of radiation therapy in the treatment of pediatric Hodgkin lymphoma has continued to be refined, motivated by the desire to avoid disruption to normal tissue development and function and secondary carcinogenesis. Such progress has occurred in tandem with modifications of the multiagent chemotherapy regimens that have been used in place of or in combination with low-dose involved-field radiation that are also associated with dose-related risks of cardiopulmonary and gonadal dysfunction and leukemogenesis. Consequently, treatment strategies for young patients, who have an excellent prognosis of long-term survival, utilizes a risk-adapted approach that provides optimal efficacy for disease control whereas limiting toxicity associated with both radiation and chemotherapy. Because of the differences in age-related developmental status and gender-related sensitivity to chemotherapy and radiation toxicity, no single treatment approach is ideal for all pediatric patients. This manuscript summarizes results from published clinical trials with the goal of defining optimal treatment strategies for children and adolescents with Hodgkin lymphoma in regards to the use of radiation therapy.; ","author":[{"dropping-particle":"","family":"Hudson","given":"Melissa M","non-dropping-particle":"","parse-names":false,"suffix":""},{"dropping-particle":"","family":"Constine","given":"Louis S","non-dropping-particle":"","parse-names":false,"suffix":""}],"container-title":"American Society Of Clinical Oncology Educational Book / ASCO. American Society Of Clinical Oncology. Meeting","id":"ITEM-1","issued":{"date-parts":[["2012"]]},"page":"616-620","publisher":"American Society of Clinical Oncology","publisher-place":"From the Department of Oncology, Division of Cancer Survivorship, St. Jude's Children's Research Hospital, Memphis, TN; Departments of Radiation Oncology and Pediatrics, Philip Rubin Center for Cancer Survivorship, James P. Wilmot Cancer Center at Univers","title":"Refining the role of radiation therapy in pediatric hodgkin lymphoma.","type":"article-journal"},"uris":["http://www.mendeley.com/documents/?uuid=9d859b6e-683b-4a4b-9489-1a241b889c57","http://www.mendeley.com/documents/?uuid=1ec8f74f-adc1-3c30-8814-51b6b12ed827"]}],"mendeley":{"formattedCitation":"[33]","plainTextFormattedCitation":"[33]","previouslyFormattedCitation":"[33]"},"properties":{"noteIndex":0},"schema":"https://github.com/citation-style-language/schema/raw/master/csl-citation.json"}</w:instrText>
      </w:r>
      <w:r w:rsidRPr="002F4348">
        <w:rPr>
          <w:lang w:eastAsia="ru-RU"/>
        </w:rPr>
        <w:fldChar w:fldCharType="separate"/>
      </w:r>
      <w:r w:rsidR="00290745" w:rsidRPr="002F4348">
        <w:rPr>
          <w:noProof/>
          <w:lang w:eastAsia="ru-RU"/>
        </w:rPr>
        <w:t>[33]</w:t>
      </w:r>
      <w:r w:rsidRPr="002F4348">
        <w:rPr>
          <w:lang w:eastAsia="ru-RU"/>
        </w:rPr>
        <w:fldChar w:fldCharType="end"/>
      </w:r>
      <w:r w:rsidRPr="002F4348">
        <w:rPr>
          <w:lang w:eastAsia="ru-RU"/>
        </w:rPr>
        <w:t>.</w:t>
      </w:r>
      <w:r w:rsidRPr="002F4348">
        <w:t xml:space="preserve"> </w:t>
      </w:r>
    </w:p>
    <w:p w14:paraId="16F071DA" w14:textId="77777777" w:rsidR="00063BA7" w:rsidRPr="002F4348" w:rsidRDefault="00063BA7" w:rsidP="005309A0">
      <w:pPr>
        <w:ind w:left="709" w:firstLine="0"/>
        <w:contextualSpacing/>
        <w:rPr>
          <w:b/>
        </w:rPr>
      </w:pPr>
      <w:r w:rsidRPr="002F4348">
        <w:rPr>
          <w:b/>
        </w:rPr>
        <w:t>Уровень убедительности рекомендаций C (уровень достоверности доказательств 5)</w:t>
      </w:r>
    </w:p>
    <w:p w14:paraId="214C6C93" w14:textId="77777777" w:rsidR="003D3A29" w:rsidRPr="002F4348" w:rsidRDefault="00554450" w:rsidP="0077688A">
      <w:pPr>
        <w:ind w:left="709" w:firstLine="0"/>
        <w:contextualSpacing/>
        <w:rPr>
          <w:bCs/>
          <w:i/>
          <w:iCs/>
        </w:rPr>
      </w:pPr>
      <w:r w:rsidRPr="002F4348">
        <w:rPr>
          <w:b/>
        </w:rPr>
        <w:t xml:space="preserve">Комментарий: </w:t>
      </w:r>
      <w:r w:rsidRPr="002F4348">
        <w:rPr>
          <w:bCs/>
          <w:i/>
          <w:iCs/>
        </w:rPr>
        <w:t>объем буста (PTV</w:t>
      </w:r>
      <w:r w:rsidRPr="002F4348">
        <w:rPr>
          <w:bCs/>
          <w:i/>
          <w:iCs/>
          <w:vertAlign w:val="subscript"/>
        </w:rPr>
        <w:t>буст</w:t>
      </w:r>
      <w:r w:rsidRPr="002F4348">
        <w:rPr>
          <w:bCs/>
          <w:i/>
          <w:iCs/>
        </w:rPr>
        <w:t>) определяется размером остаточной опухоли с безопасным краем по 1 см плюс принятый в данном учреждении отступ на PTV (PTV</w:t>
      </w:r>
      <w:r w:rsidRPr="002F4348">
        <w:rPr>
          <w:bCs/>
          <w:i/>
          <w:iCs/>
          <w:vertAlign w:val="subscript"/>
        </w:rPr>
        <w:t>буст</w:t>
      </w:r>
      <w:r w:rsidRPr="002F4348">
        <w:rPr>
          <w:bCs/>
          <w:i/>
          <w:iCs/>
        </w:rPr>
        <w:t xml:space="preserve"> определяется по аналогичному алгоритму определения PTV). При этом границы объема PTV</w:t>
      </w:r>
      <w:r w:rsidRPr="002F4348">
        <w:rPr>
          <w:bCs/>
          <w:i/>
          <w:iCs/>
          <w:vertAlign w:val="subscript"/>
        </w:rPr>
        <w:t>буст</w:t>
      </w:r>
      <w:r w:rsidRPr="002F4348">
        <w:rPr>
          <w:bCs/>
          <w:i/>
          <w:iCs/>
        </w:rPr>
        <w:t xml:space="preserve"> не должны выходить за границы PTV</w:t>
      </w:r>
      <w:r w:rsidRPr="002F4348">
        <w:rPr>
          <w:bCs/>
          <w:i/>
          <w:iCs/>
          <w:vertAlign w:val="subscript"/>
        </w:rPr>
        <w:t>1</w:t>
      </w:r>
      <w:r w:rsidRPr="002F4348">
        <w:rPr>
          <w:bCs/>
          <w:i/>
          <w:iCs/>
        </w:rPr>
        <w:t>.</w:t>
      </w:r>
    </w:p>
    <w:p w14:paraId="0BEDF59C" w14:textId="2D96936E" w:rsidR="00D3063E" w:rsidRPr="002F4348" w:rsidRDefault="00554450" w:rsidP="00B153FC">
      <w:pPr>
        <w:pStyle w:val="afe"/>
        <w:numPr>
          <w:ilvl w:val="0"/>
          <w:numId w:val="12"/>
        </w:numPr>
        <w:ind w:left="709" w:hanging="425"/>
        <w:rPr>
          <w:i/>
        </w:rPr>
      </w:pPr>
      <w:r w:rsidRPr="002F4348">
        <w:t xml:space="preserve">Пациентам в возрасте до 18 лет с экстранодальным поражением ЛХ </w:t>
      </w:r>
      <w:r w:rsidRPr="002F4348">
        <w:rPr>
          <w:b/>
          <w:bCs/>
        </w:rPr>
        <w:t>рекомендуется</w:t>
      </w:r>
      <w:r w:rsidRPr="002F4348">
        <w:t xml:space="preserve"> проведение ЛТ в зависимости </w:t>
      </w:r>
      <w:r w:rsidR="00D3063E" w:rsidRPr="002F4348">
        <w:t xml:space="preserve">от пораженного органа </w:t>
      </w:r>
      <w:r w:rsidR="00D3063E" w:rsidRPr="002F4348">
        <w:rPr>
          <w:lang w:eastAsia="ru-RU"/>
        </w:rPr>
        <w:fldChar w:fldCharType="begin" w:fldLock="1"/>
      </w:r>
      <w:r w:rsidR="00067DF0">
        <w:rPr>
          <w:lang w:eastAsia="ru-RU"/>
        </w:rPr>
        <w:instrText>ADDIN CSL_CITATION {"citationItems":[{"id":"ITEM-1","itemData":{"DOI":"10.1016/j.ijrobp.2015.01.009","ISSN":"1879355X","abstract":"Extranodal lymphomas (ENLs) comprise about a third of all non-Hodgkin lymphomas (NHL). Radiation therapy (RT) is frequently used as either primary therapy (particularly for indolent ENL), consolidation after systemic therapy, salvage treatment, or palliation. The wide range of presentations of ENL, involving any organ in the body and the spectrum of histological sub-types, poses a challenge both for routine clinical care and for the conduct of prospective and retrospective studies. This has led to uncertainty and lack of consistency in RT approaches between centers and clinicians. Thus far there is a lack of guidelines for the use of RT in the management of ENL. This report presents an effort by the International Lymphoma Radiation Oncology Group (ILROG) to harmonize and standardize the principles of treatment of ENL, and to address the technical challenges of simulation, volume definition and treatment planning for the most frequently involved organs. Specifically, detailed recommendations for RT volumes are provided. We have applied the same modern principles of involved site radiation therapy as previously developed and published as guidelines for Hodgkin lymphoma and nodal NHL. We have adopted RT volume definitions based on the International Commission on Radiation Units and Measurements (ICRU), as has been widely adopted by the field of radiation oncology for solid tumors. Organ-specific recommendations take into account histological subtype, anatomy, the treatment intent, and other treatment modalities that may be have been used before RT. Ó 2015 The Authors. Published by Elsevier Inc. This is an open access article under the CC BY-NC-ND license (http://creativecommons.org/licenses/by-nc-nd/4.0/).","author":[{"dropping-particle":"","family":"Yahalom","given":"Joachim","non-dropping-particle":"","parse-names":false,"suffix":""},{"dropping-particle":"","family":"Illidge","given":"Tim","non-dropping-particle":"","parse-names":false,"suffix":""},{"dropping-particle":"","family":"Specht","given":"Lena","non-dropping-particle":"","parse-names":false,"suffix":""},{"dropping-particle":"","family":"Hoppe","given":"Richard T.","non-dropping-particle":"","parse-names":false,"suffix":""},{"dropping-particle":"","family":"Li","given":"Ye Xiong","non-dropping-particle":"","parse-names":false,"suffix":""},{"dropping-particle":"","family":"Tsang","given":"Richard","non-dropping-particle":"","parse-names":false,"suffix":""},{"dropping-particle":"","family":"Wirth","given":"Andrew","non-dropping-particle":"","parse-names":false,"suffix":""}],"container-title":"International Journal of Radiation Oncology Biology Physics","id":"ITEM-1","issue":"1","issued":{"date-parts":[["2015","5","1"]]},"page":"11-31","publisher":"Elsevier Inc.","title":"Modern radiation therapy for extranodal lymphomas: Field and dose guidelines from the international lymphoma radiation oncology group","type":"article-journal","volume":"92"},"uris":["http://www.mendeley.com/documents/?uuid=b0d433c8-50c9-481b-bd89-8a3b53addbda"]}],"mendeley":{"formattedCitation":"[29]","plainTextFormattedCitation":"[29]","previouslyFormattedCitation":"[29]"},"properties":{"noteIndex":0},"schema":"https://github.com/citation-style-language/schema/raw/master/csl-citation.json"}</w:instrText>
      </w:r>
      <w:r w:rsidR="00D3063E" w:rsidRPr="002F4348">
        <w:rPr>
          <w:lang w:eastAsia="ru-RU"/>
        </w:rPr>
        <w:fldChar w:fldCharType="separate"/>
      </w:r>
      <w:r w:rsidR="00D64562" w:rsidRPr="002F4348">
        <w:rPr>
          <w:noProof/>
          <w:lang w:eastAsia="ru-RU"/>
        </w:rPr>
        <w:t>[29]</w:t>
      </w:r>
      <w:r w:rsidR="00D3063E" w:rsidRPr="002F4348">
        <w:rPr>
          <w:lang w:eastAsia="ru-RU"/>
        </w:rPr>
        <w:fldChar w:fldCharType="end"/>
      </w:r>
      <w:r w:rsidR="00D3063E" w:rsidRPr="002F4348">
        <w:rPr>
          <w:lang w:eastAsia="ru-RU"/>
        </w:rPr>
        <w:t>:</w:t>
      </w:r>
    </w:p>
    <w:p w14:paraId="42F4099C" w14:textId="77777777" w:rsidR="00D3063E" w:rsidRPr="002F4348" w:rsidRDefault="00D3063E" w:rsidP="00B153FC">
      <w:pPr>
        <w:pStyle w:val="afe"/>
        <w:numPr>
          <w:ilvl w:val="1"/>
          <w:numId w:val="12"/>
        </w:numPr>
        <w:rPr>
          <w:i/>
        </w:rPr>
      </w:pPr>
      <w:r w:rsidRPr="002F4348">
        <w:t xml:space="preserve">Селезенка: орган считается пораженным, при наличии очагового накопления РФП при инициальном ПЭТ/КТ. При этом необходимо проведение облучения всей селезенки с </w:t>
      </w:r>
      <w:r w:rsidRPr="002F4348">
        <w:rPr>
          <w:color w:val="000000"/>
          <w:shd w:val="clear" w:color="auto" w:fill="FFFFFF"/>
        </w:rPr>
        <w:t xml:space="preserve">учетом возможных смещений органа до СОД 19,8 Гр. </w:t>
      </w:r>
      <w:r w:rsidRPr="002F4348">
        <w:t>Диффузное накопление РФП в селезенке не всегда считается поражением и должно обсуждаться индивидуально.</w:t>
      </w:r>
    </w:p>
    <w:p w14:paraId="27217865" w14:textId="77777777" w:rsidR="00D3063E" w:rsidRPr="002F4348" w:rsidRDefault="00D3063E" w:rsidP="00B153FC">
      <w:pPr>
        <w:pStyle w:val="afe"/>
        <w:numPr>
          <w:ilvl w:val="1"/>
          <w:numId w:val="12"/>
        </w:numPr>
      </w:pPr>
      <w:r w:rsidRPr="002F4348">
        <w:t xml:space="preserve">Легкие: показанием к облучению легкого является сохранение в нем остаточных очагов после двух курсов химиотерапии, выявленных на первичном ПЭТ/КТ. При наличии солитарного поражения органа после 2-х курсов ПХТ – очаг облучается локально с РОД 1,8 Гр, СОД 19,8 Гр. Отступ на </w:t>
      </w:r>
      <w:r w:rsidRPr="002F4348">
        <w:rPr>
          <w:lang w:val="en-US"/>
        </w:rPr>
        <w:t>CTV</w:t>
      </w:r>
      <w:r w:rsidRPr="002F4348">
        <w:t xml:space="preserve"> – 1 см, плюс дополнительный отступ на </w:t>
      </w:r>
      <w:r w:rsidRPr="002F4348">
        <w:rPr>
          <w:lang w:val="en-US"/>
        </w:rPr>
        <w:t>PTV</w:t>
      </w:r>
      <w:r w:rsidRPr="002F4348">
        <w:t>. При наличии двух и более очагов орган облучается тотально до СОД 12-15 Гр, РОД 1-1,2 Гр.</w:t>
      </w:r>
    </w:p>
    <w:p w14:paraId="4A14828C" w14:textId="77777777" w:rsidR="00D3063E" w:rsidRPr="002F4348" w:rsidRDefault="00D3063E" w:rsidP="00B153FC">
      <w:pPr>
        <w:pStyle w:val="afe"/>
        <w:numPr>
          <w:ilvl w:val="1"/>
          <w:numId w:val="12"/>
        </w:numPr>
        <w:rPr>
          <w:bCs/>
        </w:rPr>
      </w:pPr>
      <w:r w:rsidRPr="002F4348">
        <w:rPr>
          <w:bCs/>
        </w:rPr>
        <w:t>Печень: показанием к облучению печени является ее инициальное поражение. При наличии солитарного очага поражения в печени необходимо проведение локальной лучевой терапии</w:t>
      </w:r>
      <w:r w:rsidR="008B0A4A" w:rsidRPr="002F4348">
        <w:rPr>
          <w:bCs/>
        </w:rPr>
        <w:t xml:space="preserve"> СОД 19,8 Гр</w:t>
      </w:r>
      <w:r w:rsidRPr="002F4348">
        <w:rPr>
          <w:bCs/>
        </w:rPr>
        <w:t xml:space="preserve">. При </w:t>
      </w:r>
      <w:r w:rsidRPr="002F4348">
        <w:rPr>
          <w:bCs/>
        </w:rPr>
        <w:lastRenderedPageBreak/>
        <w:t xml:space="preserve">этом необходимо учесть безопасный край 1-2 см и отступ </w:t>
      </w:r>
      <w:r w:rsidRPr="002F4348">
        <w:rPr>
          <w:bCs/>
          <w:lang w:val="en-US"/>
        </w:rPr>
        <w:t>PTV</w:t>
      </w:r>
      <w:r w:rsidRPr="002F4348">
        <w:rPr>
          <w:bCs/>
        </w:rPr>
        <w:t xml:space="preserve">. В случае выявления двух или более очагов необходимо проведение тотального облучения печени с учетом возможных смещений органа до СОД 15 Гр с РОД 1-1,2 Гр. </w:t>
      </w:r>
    </w:p>
    <w:p w14:paraId="0FE1161F" w14:textId="77777777" w:rsidR="00D3063E" w:rsidRPr="002F4348" w:rsidRDefault="00D3063E" w:rsidP="00B153FC">
      <w:pPr>
        <w:pStyle w:val="afe"/>
        <w:numPr>
          <w:ilvl w:val="1"/>
          <w:numId w:val="12"/>
        </w:numPr>
        <w:rPr>
          <w:bCs/>
        </w:rPr>
      </w:pPr>
      <w:r w:rsidRPr="002F4348">
        <w:rPr>
          <w:bCs/>
        </w:rPr>
        <w:t>Почки: показанием к облучению почки является ее инициальное поражение</w:t>
      </w:r>
      <w:r w:rsidR="00172679" w:rsidRPr="002F4348">
        <w:rPr>
          <w:bCs/>
        </w:rPr>
        <w:t>,</w:t>
      </w:r>
      <w:r w:rsidRPr="002F4348">
        <w:rPr>
          <w:bCs/>
        </w:rPr>
        <w:t xml:space="preserve"> также регистрируемое после 2-х курсов ПХТ. Орган облучается тотально с учетом возможных смещений органа до СОД 12 Гр с РОД 1-1,2 Гр.</w:t>
      </w:r>
    </w:p>
    <w:p w14:paraId="491A4DE5" w14:textId="77777777" w:rsidR="00D3063E" w:rsidRPr="002F4348" w:rsidRDefault="00D3063E" w:rsidP="00B153FC">
      <w:pPr>
        <w:pStyle w:val="afe"/>
        <w:numPr>
          <w:ilvl w:val="1"/>
          <w:numId w:val="12"/>
        </w:numPr>
        <w:rPr>
          <w:bCs/>
        </w:rPr>
      </w:pPr>
      <w:r w:rsidRPr="002F4348">
        <w:rPr>
          <w:bCs/>
        </w:rPr>
        <w:t xml:space="preserve">Кости: показанием к облучению костей скелета является их инициальное поражение. При выявлении у пациента 1-2 очагов поражения костей - необходимо их облучение с безопасным краем 1-2 см и с учетом погрешности смещения до СОД 19,8 Гр с РОД 1,8 Гр. В случае выявления более двух очагов костного поражения необходимость их облучения обсуждается индивидуально. </w:t>
      </w:r>
    </w:p>
    <w:p w14:paraId="112B3198" w14:textId="77777777" w:rsidR="005309A0" w:rsidRPr="002F4348" w:rsidRDefault="005309A0" w:rsidP="00D64562">
      <w:pPr>
        <w:ind w:left="708" w:firstLine="0"/>
        <w:contextualSpacing/>
        <w:rPr>
          <w:b/>
        </w:rPr>
      </w:pPr>
      <w:r w:rsidRPr="002F4348">
        <w:rPr>
          <w:b/>
        </w:rPr>
        <w:t xml:space="preserve">Уровень убедительности рекомендаций </w:t>
      </w:r>
      <w:r w:rsidRPr="002F4348">
        <w:rPr>
          <w:b/>
          <w:lang w:val="en-US"/>
        </w:rPr>
        <w:t>C</w:t>
      </w:r>
      <w:r w:rsidRPr="002F4348">
        <w:rPr>
          <w:b/>
        </w:rPr>
        <w:t xml:space="preserve"> (уровень достоверности доказательств 5).</w:t>
      </w:r>
    </w:p>
    <w:p w14:paraId="411A612C" w14:textId="77777777" w:rsidR="00C452E1" w:rsidRPr="002F4348" w:rsidRDefault="00D75819" w:rsidP="00B153FC">
      <w:pPr>
        <w:pStyle w:val="afe"/>
        <w:numPr>
          <w:ilvl w:val="0"/>
          <w:numId w:val="12"/>
        </w:numPr>
        <w:ind w:left="709" w:hanging="425"/>
      </w:pPr>
      <w:r w:rsidRPr="002F4348">
        <w:t xml:space="preserve">Ранее не получавшим лечение </w:t>
      </w:r>
      <w:r w:rsidR="00C452E1" w:rsidRPr="002F4348">
        <w:t xml:space="preserve">пациентам в возрасте до 18 лет с ЛХ с компрессией трахеи и синдромом сдавления нижней полой вены </w:t>
      </w:r>
      <w:r w:rsidR="00FF4D6F" w:rsidRPr="002F4348">
        <w:t xml:space="preserve">при наличии рисков анестезии оперативное вмешательство должно проводиться с последующей продленной интубацией, при отсутствии такой возможности </w:t>
      </w:r>
      <w:r w:rsidR="00C452E1" w:rsidRPr="002F4348">
        <w:rPr>
          <w:b/>
        </w:rPr>
        <w:t>рекомендуется</w:t>
      </w:r>
      <w:r w:rsidR="00C452E1" w:rsidRPr="002F4348">
        <w:t xml:space="preserve"> предфаза преднизолоном</w:t>
      </w:r>
      <w:r w:rsidR="00226FB3" w:rsidRPr="002F4348">
        <w:t>**</w:t>
      </w:r>
      <w:r w:rsidR="00C452E1" w:rsidRPr="002F4348">
        <w:t xml:space="preserve"> 30-60 мг/м</w:t>
      </w:r>
      <w:r w:rsidR="00C452E1" w:rsidRPr="002F4348">
        <w:rPr>
          <w:vertAlign w:val="superscript"/>
        </w:rPr>
        <w:t>2</w:t>
      </w:r>
      <w:r w:rsidR="00C452E1" w:rsidRPr="002F4348">
        <w:t xml:space="preserve"> в течение </w:t>
      </w:r>
      <w:r w:rsidR="00BA2398" w:rsidRPr="002F4348">
        <w:t>3-</w:t>
      </w:r>
      <w:r w:rsidR="00C452E1" w:rsidRPr="002F4348">
        <w:t>5 дней</w:t>
      </w:r>
      <w:r w:rsidR="00BA2398" w:rsidRPr="002F4348">
        <w:t xml:space="preserve"> до проведения манипуляций под общей анестезией</w:t>
      </w:r>
      <w:r w:rsidR="00C452E1" w:rsidRPr="002F4348">
        <w:t xml:space="preserve"> </w:t>
      </w:r>
      <w:r w:rsidR="00C452E1" w:rsidRPr="002F4348">
        <w:fldChar w:fldCharType="begin" w:fldLock="1"/>
      </w:r>
      <w:r w:rsidR="00A850F7" w:rsidRPr="002F4348">
        <w:instrText>ADDIN CSL_CITATION {"citationItems":[{"id":"ITEM-1","itemData":{"author":[{"dropping-particle":"","family":"Румянцев","given":"А.Г.","non-dropping-particle":"","parse-names":false,"suffix":""},{"dropping-particle":"","family":"Самочатова","given":"Е.В.","non-dropping-particle":"","parse-names":false,"suffix":""}],"id":"ITEM-1","issued":{"date-parts":[["2004"]]},"publisher":"Медпрактика-М, Москва","title":"Практическое руководство по детским болезням. Гематология/онкология детского возраста.","type":"book"},"uris":["http://www.mendeley.com/documents/?uuid=8c7d4149-b932-4e8f-a7ab-5a5e6f9b51b5","http://www.mendeley.com/documents/?uuid=bf3b97ae-b724-44d8-850d-8ef0bf99a767"]}],"mendeley":{"formattedCitation":"[35]","plainTextFormattedCitation":"[35]","previouslyFormattedCitation":"[35]"},"properties":{"noteIndex":0},"schema":"https://github.com/citation-style-language/schema/raw/master/csl-citation.json"}</w:instrText>
      </w:r>
      <w:r w:rsidR="00C452E1" w:rsidRPr="002F4348">
        <w:fldChar w:fldCharType="separate"/>
      </w:r>
      <w:r w:rsidR="00290745" w:rsidRPr="002F4348">
        <w:rPr>
          <w:noProof/>
        </w:rPr>
        <w:t>[35]</w:t>
      </w:r>
      <w:r w:rsidR="00C452E1" w:rsidRPr="002F4348">
        <w:fldChar w:fldCharType="end"/>
      </w:r>
      <w:r w:rsidR="00C452E1" w:rsidRPr="002F4348">
        <w:rPr>
          <w:lang w:eastAsia="ru-RU"/>
        </w:rPr>
        <w:t>.</w:t>
      </w:r>
      <w:r w:rsidR="00C452E1" w:rsidRPr="002F4348">
        <w:t xml:space="preserve"> </w:t>
      </w:r>
    </w:p>
    <w:p w14:paraId="2C0E9D5E" w14:textId="77777777" w:rsidR="00C452E1" w:rsidRPr="002F4348" w:rsidRDefault="00C452E1" w:rsidP="00B468B9">
      <w:pPr>
        <w:ind w:left="709" w:firstLine="0"/>
        <w:contextualSpacing/>
        <w:rPr>
          <w:b/>
        </w:rPr>
      </w:pPr>
      <w:r w:rsidRPr="002F4348">
        <w:rPr>
          <w:b/>
        </w:rPr>
        <w:t xml:space="preserve">Уровень убедительности рекомендаций </w:t>
      </w:r>
      <w:r w:rsidR="00B468B9" w:rsidRPr="002F4348">
        <w:rPr>
          <w:b/>
        </w:rPr>
        <w:t>С</w:t>
      </w:r>
      <w:r w:rsidRPr="002F4348">
        <w:rPr>
          <w:b/>
        </w:rPr>
        <w:t xml:space="preserve"> (уровень достоверности доказательств </w:t>
      </w:r>
      <w:r w:rsidR="00B468B9" w:rsidRPr="002F4348">
        <w:rPr>
          <w:b/>
        </w:rPr>
        <w:t>5</w:t>
      </w:r>
      <w:r w:rsidRPr="002F4348">
        <w:rPr>
          <w:b/>
        </w:rPr>
        <w:t>).</w:t>
      </w:r>
    </w:p>
    <w:p w14:paraId="47B7E475" w14:textId="77777777" w:rsidR="004F0134" w:rsidRPr="002F4348" w:rsidRDefault="004F0134" w:rsidP="004F0134">
      <w:pPr>
        <w:pStyle w:val="2"/>
        <w:contextualSpacing/>
      </w:pPr>
      <w:bookmarkStart w:id="40" w:name="_Toc65586393"/>
      <w:r w:rsidRPr="002F4348">
        <w:t>3.</w:t>
      </w:r>
      <w:r w:rsidR="00170E50" w:rsidRPr="002F4348">
        <w:t>4</w:t>
      </w:r>
      <w:r w:rsidRPr="002F4348">
        <w:t xml:space="preserve"> Первая линия терапии кЛХ у пациентов старше 60 лет</w:t>
      </w:r>
      <w:bookmarkEnd w:id="40"/>
    </w:p>
    <w:p w14:paraId="74C43704" w14:textId="77777777" w:rsidR="000578EF" w:rsidRPr="002F4348" w:rsidRDefault="00D75819" w:rsidP="00B153FC">
      <w:pPr>
        <w:pStyle w:val="afe"/>
        <w:numPr>
          <w:ilvl w:val="0"/>
          <w:numId w:val="12"/>
        </w:numPr>
        <w:spacing w:before="120" w:after="120"/>
        <w:ind w:left="709" w:hanging="709"/>
      </w:pPr>
      <w:r w:rsidRPr="002F4348">
        <w:t xml:space="preserve">Ранее не получавшим лечение </w:t>
      </w:r>
      <w:r w:rsidR="000578EF" w:rsidRPr="002F4348">
        <w:t xml:space="preserve">пациентам старше 60 лет с распространенными стадиями кЛХ </w:t>
      </w:r>
      <w:r w:rsidR="000578EF" w:rsidRPr="002F4348">
        <w:rPr>
          <w:b/>
        </w:rPr>
        <w:t>рекомендуется</w:t>
      </w:r>
      <w:r w:rsidR="000578EF" w:rsidRPr="002F4348">
        <w:t xml:space="preserve"> индивидуальный выбор программы лечения в зависимости от сопутствующих заболеваний пациента</w:t>
      </w:r>
      <w:r w:rsidR="00056C09" w:rsidRPr="002F4348">
        <w:t xml:space="preserve"> </w:t>
      </w:r>
      <w:r w:rsidR="00056C09" w:rsidRPr="002F4348">
        <w:fldChar w:fldCharType="begin" w:fldLock="1"/>
      </w:r>
      <w:r w:rsidR="002C6C01" w:rsidRPr="002F4348">
        <w:instrText>ADDIN CSL_CITATION {"citationItems":[{"id":"ITEM-1","itemData":{"DOI":"10.1097/CCO.0000000000000464","ISSN":"1531703X","abstract":"Purpose of reviewWe aim to summarize the current knowledge on the treatment of elderly Hodgkin lymphoma patients with a focus on evidence from clinical trials and novel drugs.Recent findingsFor elderly Hodgkin lymphoma patients above 60 years without precluding comorbidities a curative treatment approach is warranted. Early favorable stage patients should receive two cycles of multiagent chemotherapy followed by 20 Gy localized radiotherapy. Early unfavorable stage patients should receive four cycles of multiagent chemotherapy followed by 30 Gy localized radiotherapy. For advanced stage patients six cycles of multiagent chemotherapy can be recommended and should be followed by localized radiotherapy on residual disease manifestations. Relapsed or refractory patients should be treated in an individually tailored approach that considers both the patient's objectives and comorbidities. The antibody-drug conjugate brentuximab vedotin is a very effective option for elderly patients with a high response rate albeit limited durability. Anti-programed cell death protein 1 antibodies might also be effective in elderly Hodgkin lymphoma patients with a mechanism of action distinct from chemotherapy.SummaryIn conclusion, the goal of treatment in newly diagnosed elderly Hodgkin lymphoma patients is curative whenever possible and prospective and retrospective evidence has shown that this is feasible for all disease stages with a variety of multiagent chemotherapy regimen. Relapsed and refractory elderly Hodgkin lymphoma patients can mostly only be treated with the goal of palliation. However, it remains to be seen if novel substances and new combination regimen are able to change that.","author":[{"dropping-particle":"","family":"Borchmann","given":"Sven","non-dropping-particle":"","parse-names":false,"suffix":""},{"dropping-particle":"","family":"Engert","given":"Andreas","non-dropping-particle":"","parse-names":false,"suffix":""},{"dropping-particle":"","family":"Böll","given":"Boris","non-dropping-particle":"","parse-names":false,"suffix":""}],"container-title":"Current Opinion in Oncology","id":"ITEM-1","issue":"5","issued":{"date-parts":[["2018","9","1"]]},"page":"308-316","publisher":"Lippincott Williams and Wilkins","title":"Hodgkin lymphoma in elderly patients","type":"article","volume":"30"},"uris":["http://www.mendeley.com/documents/?uuid=ebc25e45-8997-314a-8f0f-2c4166371dd3","http://www.mendeley.com/documents/?uuid=2a50e596-9c9d-44a6-abe2-224835801e56"]},{"id":"ITEM-2","itemData":{"DOI":"10.4084/MJHID.2014.050","ISSN":"20353006","abstract":"Hodgkin Lymphoma HL can be cured in the large majority of younger patients, but prognosis for older patients, especially those with advanced-stage disease, has not improved substantially. The percentage of HL patients aged over 60 ranges between 15% and 35%.A minority of them is enrolled into clinical trials. HL in the elderly have some specificities: more frequent male sex, B-symptoms, advanced stage, sub diaphragmatic presentation, higher percentage of mixed cellularity, up to 50% of advanced cases associated to EBV. Very old age (&gt;70) and comorbidities are factor of further worsening prognosis. Like in younger patients, ABVD is the most used protocol, but treatment outcome remains much inferior with more frequent, severe and sometimes specific toxicities. Few prospective studies with specific protocols are available. The main data have been published by the Italian Lymphoma Group with the VEPEMB schedule and the German Hodgkin Study Group with the PVAG regimen. Recently, the Scotland and Newcastle Lymphoma Study Group published the SHIELD program associating a prospective phase 2 trial with VEPEMB and a prospective registration of others patients. Patients over 60y with early-stage disease received three cycles plus radiotherapy and had 81% of 3-year overall survival (OS).Those with advanced-stage disease received six cycles, with 3-year OS of 66%.The role of geriatric and comorbidity assessment in the treatment's choice for HL in the elderly is a major challenge. The combination of loss of activities of daily living combined with the age stratification more or less 70y has been shown as a simple and effective survival model. Hopes come from promising new agents like brentuximab-vedotin (BV) a novel antibody-drug conjugate. The use of TEP to adapt the combination of chemotherapy and radiotherapy according to the metabolic response could also be way for prospective studies.","author":[{"dropping-particle":"","family":"Thyss","given":"Antoine","non-dropping-particle":"","parse-names":false,"suffix":""},{"dropping-particle":"","family":"Saada","given":"Esma","non-dropping-particle":"","parse-names":false,"suffix":""},{"dropping-particle":"","family":"Gastaud","given":"Lauris","non-dropping-particle":"","parse-names":false,"suffix":""},{"dropping-particle":"","family":"Peyrade","given":"Frédéric","non-dropping-particle":"","parse-names":false,"suffix":""},{"dropping-particle":"","family":"Re","given":"Daniel","non-dropping-particle":"","parse-names":false,"suffix":""}],"container-title":"Mediterranean Journal of Hematology and Infectious Diseases","id":"ITEM-2","issue":"1","issued":{"date-parts":[["2014"]]},"page":"1-10","publisher":"Universita Cattolica del Sacro Cuore","title":"Hodgkin's lymphoma in older patients: An orphan disease?","type":"article","volume":"6"},"uris":["http://www.mendeley.com/documents/?uuid=93b84638-4b5d-3827-bafb-52416cab26d5","http://www.mendeley.com/documents/?uuid=201a5b56-835e-4235-8439-8db9e1f7e910"]},{"id":"ITEM-3","itemData":{"author":[{"dropping-particle":"","family":"Демина","given":"Е.А.","non-dropping-particle":"","parse-names":false,"suffix":""},{"dropping-particle":"","family":"Капланов","given":"К.Д.","non-dropping-particle":"","parse-names":false,"suffix":""},{"dropping-particle":"","family":"Мухортова","given":"О.В.","non-dropping-particle":"","parse-names":false,"suffix":""},{"dropping-particle":"","family":"Тумян","given":"Г.С.","non-dropping-particle":"","parse-names":false,"suffix":""},{"dropping-particle":"","family":"Михайлова","given":"Н.Б.","non-dropping-particle":"","parse-names":false,"suffix":""},{"dropping-particle":"","family":"Моисеева","given":"Т.Н.","non-dropping-particle":"","parse-names":false,"suffix":""},{"dropping-particle":"","family":"Виноградова","given":"Ю.Н.","non-dropping-particle":"","parse-names":false,"suffix":""},{"dropping-particle":"","family":"Ильин","given":"Н.В.","non-dropping-particle":"","parse-names":false,"suffix":""},{"dropping-particle":"","family":"Трофимова","given":"О.П.","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Савченко.","id":"ITEM-3","issued":{"date-parts":[["2018"]]},"page":"28-43","title":"Лимфома Ходжкина","type":"chapter"},"uris":["http://www.mendeley.com/documents/?uuid=0af2b11d-a9cf-4da8-a503-99a860249436","http://www.mendeley.com/documents/?uuid=708bf927-447f-43d0-8bf7-28178aa7e29e"]}],"mendeley":{"formattedCitation":"[4,36,37]","plainTextFormattedCitation":"[4,36,37]","previouslyFormattedCitation":"[4,36,37]"},"properties":{"noteIndex":0},"schema":"https://github.com/citation-style-language/schema/raw/master/csl-citation.json"}</w:instrText>
      </w:r>
      <w:r w:rsidR="00056C09" w:rsidRPr="002F4348">
        <w:fldChar w:fldCharType="separate"/>
      </w:r>
      <w:r w:rsidR="000C1AAB" w:rsidRPr="002F4348">
        <w:rPr>
          <w:noProof/>
        </w:rPr>
        <w:t>[4,36,37]</w:t>
      </w:r>
      <w:r w:rsidR="00056C09" w:rsidRPr="002F4348">
        <w:fldChar w:fldCharType="end"/>
      </w:r>
      <w:r w:rsidR="000578EF" w:rsidRPr="002F4348">
        <w:t>.</w:t>
      </w:r>
    </w:p>
    <w:p w14:paraId="267F7E7B" w14:textId="77777777" w:rsidR="000578EF" w:rsidRPr="002F4348" w:rsidRDefault="000578EF" w:rsidP="00056C09">
      <w:pPr>
        <w:ind w:left="709" w:firstLine="0"/>
        <w:contextualSpacing/>
        <w:rPr>
          <w:b/>
        </w:rPr>
      </w:pPr>
      <w:r w:rsidRPr="002F4348">
        <w:rPr>
          <w:b/>
        </w:rPr>
        <w:t>Уровень убедительности рекомендаций С (уровень достоверности доказательств 5).</w:t>
      </w:r>
    </w:p>
    <w:p w14:paraId="0423E910" w14:textId="77777777" w:rsidR="000578EF" w:rsidRPr="002F4348" w:rsidRDefault="000578EF" w:rsidP="00DB0D55">
      <w:pPr>
        <w:ind w:left="709" w:firstLine="0"/>
        <w:contextualSpacing/>
        <w:rPr>
          <w:i/>
        </w:rPr>
      </w:pPr>
      <w:r w:rsidRPr="002F4348">
        <w:rPr>
          <w:b/>
        </w:rPr>
        <w:t xml:space="preserve">Комментарий: </w:t>
      </w:r>
      <w:r w:rsidR="00DB0D55" w:rsidRPr="002F4348">
        <w:rPr>
          <w:i/>
        </w:rPr>
        <w:t xml:space="preserve">относительная </w:t>
      </w:r>
      <w:r w:rsidRPr="002F4348">
        <w:rPr>
          <w:i/>
        </w:rPr>
        <w:t xml:space="preserve">редкость участия лиц старше 60 лет в клинических исследованиях (менее 10%) создает сложности в доказательстве эффективности тех или иных программ лечения и, соответственно, в выборе терапии первой линии для этих </w:t>
      </w:r>
      <w:r w:rsidR="00226FB3" w:rsidRPr="002F4348">
        <w:rPr>
          <w:i/>
        </w:rPr>
        <w:t>пациентов</w:t>
      </w:r>
      <w:r w:rsidRPr="002F4348">
        <w:rPr>
          <w:i/>
        </w:rPr>
        <w:t xml:space="preserve">. Плохая переносимость относительной дозо-интенсивности </w:t>
      </w:r>
      <w:r w:rsidRPr="002F4348">
        <w:rPr>
          <w:i/>
        </w:rPr>
        <w:lastRenderedPageBreak/>
        <w:t>лечения, приближенной к адекватной расчетной величине, приводит к снижению относительной дозо-интенсивности до ≤65% от запланированной и к существенному укорочению как ОВ, так и выживаемости до прогрессирования.</w:t>
      </w:r>
    </w:p>
    <w:p w14:paraId="70B0BD03" w14:textId="77777777" w:rsidR="000578EF" w:rsidRPr="002F4348" w:rsidRDefault="000578EF" w:rsidP="000578EF">
      <w:pPr>
        <w:ind w:left="709"/>
        <w:contextualSpacing/>
        <w:rPr>
          <w:i/>
        </w:rPr>
      </w:pPr>
      <w:r w:rsidRPr="002F4348">
        <w:rPr>
          <w:i/>
        </w:rPr>
        <w:t>Приемлемая по гематологической токсичности и эффективности программа ABVD – «золотой стандарт» – представляет высокий риск развития легочной токсичности, вызванной блеомицином</w:t>
      </w:r>
      <w:r w:rsidR="00226FB3" w:rsidRPr="002F4348">
        <w:rPr>
          <w:i/>
        </w:rPr>
        <w:t>**</w:t>
      </w:r>
      <w:r w:rsidRPr="002F4348">
        <w:rPr>
          <w:i/>
        </w:rPr>
        <w:t>, частота которой в группе ≥60 лет составляет 24%, а связанная с ней смертность – 18%. Применение интенсивных программ в этой возрастной группе сопряжено с высоким риском смертности, ассоциированной с терапией: при использовании программы BEACOPP в базовых дозах смертность, связанная с терапией, достигает 21%, но исключение этопозида</w:t>
      </w:r>
      <w:r w:rsidR="00226FB3" w:rsidRPr="002F4348">
        <w:rPr>
          <w:i/>
        </w:rPr>
        <w:t>**</w:t>
      </w:r>
      <w:r w:rsidRPr="002F4348">
        <w:rPr>
          <w:i/>
        </w:rPr>
        <w:t xml:space="preserve"> – программа BACOPP – снижает данный показатель до 12%, что все же является неприемлемым риском для </w:t>
      </w:r>
      <w:r w:rsidR="00226FB3" w:rsidRPr="002F4348">
        <w:rPr>
          <w:i/>
        </w:rPr>
        <w:t xml:space="preserve">пациентов с </w:t>
      </w:r>
      <w:r w:rsidRPr="002F4348">
        <w:rPr>
          <w:i/>
        </w:rPr>
        <w:t>ЛХ. В двух проспективных исследованиях, показавших эффективность режима VEPEMB, смертность от токсичности терапии составляла 3% и 7%.</w:t>
      </w:r>
    </w:p>
    <w:p w14:paraId="475010C1" w14:textId="77777777" w:rsidR="000578EF" w:rsidRPr="002F4348" w:rsidRDefault="000578EF" w:rsidP="000578EF">
      <w:pPr>
        <w:ind w:left="709"/>
        <w:contextualSpacing/>
        <w:rPr>
          <w:i/>
        </w:rPr>
      </w:pPr>
      <w:r w:rsidRPr="002F4348">
        <w:rPr>
          <w:i/>
        </w:rPr>
        <w:t>Имеющаяся сердечная патология и/или риск развития кардиальных осложнений требуют проведение программ без</w:t>
      </w:r>
      <w:r w:rsidR="00887BF1" w:rsidRPr="002F4348">
        <w:rPr>
          <w:i/>
        </w:rPr>
        <w:t xml:space="preserve"> </w:t>
      </w:r>
      <w:r w:rsidR="00226FB3" w:rsidRPr="002F4348">
        <w:rPr>
          <w:i/>
        </w:rPr>
        <w:t xml:space="preserve">препаратов из группы </w:t>
      </w:r>
      <w:r w:rsidR="00887BF1" w:rsidRPr="002F4348">
        <w:rPr>
          <w:i/>
        </w:rPr>
        <w:t>антрациклинов</w:t>
      </w:r>
      <w:r w:rsidRPr="002F4348">
        <w:rPr>
          <w:i/>
        </w:rPr>
        <w:t xml:space="preserve">, например, ChlVPP, CVPP, COPP. </w:t>
      </w:r>
      <w:r w:rsidR="00231660" w:rsidRPr="002F4348">
        <w:rPr>
          <w:i/>
        </w:rPr>
        <w:t>Следует учитывать, что т</w:t>
      </w:r>
      <w:r w:rsidR="007B620C" w:rsidRPr="002F4348">
        <w:rPr>
          <w:i/>
        </w:rPr>
        <w:t>ерапевтический потенциал схем СОРР/СVPP реализуется в полной мере лишь при условии получения пациентом не менее 95% дозы каждого из препаратов</w:t>
      </w:r>
      <w:r w:rsidR="00231660" w:rsidRPr="002F4348">
        <w:rPr>
          <w:i/>
        </w:rPr>
        <w:t xml:space="preserve">. </w:t>
      </w:r>
      <w:r w:rsidRPr="002F4348">
        <w:rPr>
          <w:i/>
        </w:rPr>
        <w:t xml:space="preserve">Также следует минимизировать объем ЛТ на область средостения. В случае сочетания кардиальной и легочной патологии возможно применение </w:t>
      </w:r>
      <w:r w:rsidR="00ED7E2B" w:rsidRPr="002F4348">
        <w:rPr>
          <w:i/>
        </w:rPr>
        <w:t>#</w:t>
      </w:r>
      <w:r w:rsidRPr="002F4348">
        <w:rPr>
          <w:i/>
        </w:rPr>
        <w:t>идарубицин</w:t>
      </w:r>
      <w:r w:rsidR="00226FB3" w:rsidRPr="002F4348">
        <w:rPr>
          <w:i/>
        </w:rPr>
        <w:t>**</w:t>
      </w:r>
      <w:r w:rsidRPr="002F4348">
        <w:rPr>
          <w:i/>
        </w:rPr>
        <w:t>-содержащей программы IVDG, в которой отсутствует блеомицин</w:t>
      </w:r>
      <w:r w:rsidR="00226FB3" w:rsidRPr="002F4348">
        <w:rPr>
          <w:i/>
        </w:rPr>
        <w:t>**</w:t>
      </w:r>
      <w:r w:rsidRPr="002F4348">
        <w:rPr>
          <w:i/>
        </w:rPr>
        <w:t>, а режим введения препаратов предполагает возможность оптимального контроля миелотоксичности</w:t>
      </w:r>
      <w:r w:rsidR="00F109FA" w:rsidRPr="002F4348">
        <w:rPr>
          <w:i/>
        </w:rPr>
        <w:t xml:space="preserve"> </w:t>
      </w:r>
      <w:r w:rsidR="00F109FA" w:rsidRPr="002F4348">
        <w:rPr>
          <w:i/>
        </w:rPr>
        <w:fldChar w:fldCharType="begin" w:fldLock="1"/>
      </w:r>
      <w:r w:rsidR="00A850F7" w:rsidRPr="002F4348">
        <w:rPr>
          <w:i/>
        </w:rPr>
        <w:instrText>ADDIN CSL_CITATION {"citationItems":[{"id":"ITEM-1","itemData":{"author":[{"dropping-particle":"","family":"Капланов","given":"К.Д.","non-dropping-particle":"","parse-names":false,"suffix":""},{"dropping-particle":"","family":"Клиточенко","given":"Т.Ю.","non-dropping-particle":"","parse-names":false,"suffix":""},{"dropping-particle":"","family":"Шипаева","given":"А.Л.","non-dropping-particle":"","parse-names":false,"suffix":""},{"dropping-particle":"","family":"Широкова","given":"М.Н.","non-dropping-particle":"","parse-names":false,"suffix":""},{"dropping-particle":"","family":"Матвеева","given":"И.В.","non-dropping-particle":"","parse-names":false,"suffix":""},{"dropping-particle":"","family":"Лавришина","given":"Н.Б.","non-dropping-particle":"","parse-names":false,"suffix":""}],"container-title":"Клиническая онкогематология","id":"ITEM-1","issue":"3","issued":{"date-parts":[["2017"]]},"page":"358-365","title":"Программа IVDG — возможный выбор первой линии терапии лимфомы Ходжкина у пациентов пожилого возраста с сопутствующими сердечно-сосудистыми и легочными заболеваниями","type":"article-journal","volume":"10"},"uris":["http://www.mendeley.com/documents/?uuid=6a5167bd-4499-47fa-b764-82b4fd232768","http://www.mendeley.com/documents/?uuid=b4febd65-9a32-4876-a760-dbb2ac12572c"]}],"mendeley":{"formattedCitation":"[38]","plainTextFormattedCitation":"[38]","previouslyFormattedCitation":"[38]"},"properties":{"noteIndex":0},"schema":"https://github.com/citation-style-language/schema/raw/master/csl-citation.json"}</w:instrText>
      </w:r>
      <w:r w:rsidR="00F109FA" w:rsidRPr="002F4348">
        <w:rPr>
          <w:i/>
        </w:rPr>
        <w:fldChar w:fldCharType="separate"/>
      </w:r>
      <w:r w:rsidR="00290745" w:rsidRPr="002F4348">
        <w:rPr>
          <w:noProof/>
        </w:rPr>
        <w:t>[38]</w:t>
      </w:r>
      <w:r w:rsidR="00F109FA" w:rsidRPr="002F4348">
        <w:rPr>
          <w:i/>
        </w:rPr>
        <w:fldChar w:fldCharType="end"/>
      </w:r>
      <w:r w:rsidRPr="002F4348">
        <w:rPr>
          <w:i/>
        </w:rPr>
        <w:t>.</w:t>
      </w:r>
    </w:p>
    <w:p w14:paraId="659F8EE8" w14:textId="77777777" w:rsidR="000578EF" w:rsidRPr="002F4348" w:rsidRDefault="000578EF" w:rsidP="000578EF">
      <w:pPr>
        <w:ind w:left="709"/>
        <w:contextualSpacing/>
        <w:rPr>
          <w:i/>
        </w:rPr>
      </w:pPr>
      <w:r w:rsidRPr="002F4348">
        <w:rPr>
          <w:i/>
        </w:rPr>
        <w:t>С целью снижения риска кардиотоксических осложнений доксорубицина</w:t>
      </w:r>
      <w:r w:rsidR="00226FB3" w:rsidRPr="002F4348">
        <w:rPr>
          <w:i/>
        </w:rPr>
        <w:t>**</w:t>
      </w:r>
      <w:r w:rsidRPr="002F4348">
        <w:rPr>
          <w:i/>
        </w:rPr>
        <w:t xml:space="preserve"> возможна замена последнего на менее кардиотоксичные – митоксантрон</w:t>
      </w:r>
      <w:r w:rsidR="00226FB3" w:rsidRPr="002F4348">
        <w:rPr>
          <w:i/>
        </w:rPr>
        <w:t>**</w:t>
      </w:r>
      <w:r w:rsidRPr="002F4348">
        <w:rPr>
          <w:i/>
        </w:rPr>
        <w:t xml:space="preserve"> или </w:t>
      </w:r>
      <w:r w:rsidR="00ED7E2B" w:rsidRPr="002F4348">
        <w:rPr>
          <w:i/>
        </w:rPr>
        <w:t>#</w:t>
      </w:r>
      <w:r w:rsidRPr="002F4348">
        <w:rPr>
          <w:i/>
        </w:rPr>
        <w:t>идарубицин</w:t>
      </w:r>
      <w:r w:rsidR="00226FB3" w:rsidRPr="002F4348">
        <w:rPr>
          <w:i/>
        </w:rPr>
        <w:t>**</w:t>
      </w:r>
      <w:r w:rsidRPr="002F4348">
        <w:rPr>
          <w:i/>
        </w:rPr>
        <w:t xml:space="preserve"> (из расчета: доксорубицин</w:t>
      </w:r>
      <w:r w:rsidR="00226FB3" w:rsidRPr="002F4348">
        <w:rPr>
          <w:i/>
        </w:rPr>
        <w:t>**</w:t>
      </w:r>
      <w:r w:rsidRPr="002F4348">
        <w:rPr>
          <w:i/>
        </w:rPr>
        <w:t xml:space="preserve"> 50 мг/м</w:t>
      </w:r>
      <w:r w:rsidRPr="002F4348">
        <w:rPr>
          <w:i/>
          <w:vertAlign w:val="superscript"/>
        </w:rPr>
        <w:t>2</w:t>
      </w:r>
      <w:r w:rsidRPr="002F4348">
        <w:rPr>
          <w:i/>
        </w:rPr>
        <w:t xml:space="preserve"> – митоксантрон</w:t>
      </w:r>
      <w:r w:rsidR="00226FB3" w:rsidRPr="002F4348">
        <w:rPr>
          <w:i/>
        </w:rPr>
        <w:t>**</w:t>
      </w:r>
      <w:r w:rsidRPr="002F4348">
        <w:rPr>
          <w:i/>
        </w:rPr>
        <w:t xml:space="preserve"> или </w:t>
      </w:r>
      <w:r w:rsidR="00ED7E2B" w:rsidRPr="002F4348">
        <w:rPr>
          <w:i/>
        </w:rPr>
        <w:t>#</w:t>
      </w:r>
      <w:r w:rsidRPr="002F4348">
        <w:rPr>
          <w:i/>
        </w:rPr>
        <w:t>идарубицин</w:t>
      </w:r>
      <w:r w:rsidR="00226FB3" w:rsidRPr="002F4348">
        <w:rPr>
          <w:i/>
        </w:rPr>
        <w:t>**</w:t>
      </w:r>
      <w:r w:rsidRPr="002F4348">
        <w:rPr>
          <w:i/>
        </w:rPr>
        <w:t xml:space="preserve"> 12 мг/м</w:t>
      </w:r>
      <w:r w:rsidRPr="002F4348">
        <w:rPr>
          <w:i/>
          <w:vertAlign w:val="superscript"/>
        </w:rPr>
        <w:t>2</w:t>
      </w:r>
      <w:r w:rsidRPr="002F4348">
        <w:rPr>
          <w:i/>
        </w:rPr>
        <w:t>, доксорубицин</w:t>
      </w:r>
      <w:r w:rsidR="00226FB3" w:rsidRPr="002F4348">
        <w:rPr>
          <w:i/>
        </w:rPr>
        <w:t>**</w:t>
      </w:r>
      <w:r w:rsidRPr="002F4348">
        <w:rPr>
          <w:i/>
        </w:rPr>
        <w:t xml:space="preserve"> 25 мг/м</w:t>
      </w:r>
      <w:r w:rsidRPr="002F4348">
        <w:rPr>
          <w:i/>
          <w:vertAlign w:val="superscript"/>
        </w:rPr>
        <w:t>2</w:t>
      </w:r>
      <w:r w:rsidRPr="002F4348">
        <w:rPr>
          <w:i/>
        </w:rPr>
        <w:t xml:space="preserve"> – митоксантрон</w:t>
      </w:r>
      <w:r w:rsidR="00226FB3" w:rsidRPr="002F4348">
        <w:rPr>
          <w:i/>
        </w:rPr>
        <w:t>**</w:t>
      </w:r>
      <w:r w:rsidRPr="002F4348">
        <w:rPr>
          <w:i/>
        </w:rPr>
        <w:t xml:space="preserve"> или идарубицин</w:t>
      </w:r>
      <w:r w:rsidR="00226FB3" w:rsidRPr="002F4348">
        <w:rPr>
          <w:i/>
        </w:rPr>
        <w:t>**</w:t>
      </w:r>
      <w:r w:rsidRPr="002F4348">
        <w:rPr>
          <w:i/>
        </w:rPr>
        <w:t xml:space="preserve"> 5 мг/м</w:t>
      </w:r>
      <w:r w:rsidRPr="002F4348">
        <w:rPr>
          <w:i/>
          <w:vertAlign w:val="superscript"/>
        </w:rPr>
        <w:t>2</w:t>
      </w:r>
      <w:r w:rsidRPr="002F4348">
        <w:rPr>
          <w:i/>
        </w:rPr>
        <w:t>)</w:t>
      </w:r>
      <w:r w:rsidR="00DD1DA2" w:rsidRPr="002F4348">
        <w:rPr>
          <w:i/>
        </w:rPr>
        <w:t xml:space="preserve"> </w:t>
      </w:r>
      <w:r w:rsidR="00DD1DA2" w:rsidRPr="002F4348">
        <w:rPr>
          <w:i/>
        </w:rPr>
        <w:fldChar w:fldCharType="begin" w:fldLock="1"/>
      </w:r>
      <w:r w:rsidR="00A850F7" w:rsidRPr="002F4348">
        <w:rPr>
          <w:i/>
        </w:rPr>
        <w:instrText>ADDIN CSL_CITATION {"citationItems":[{"id":"ITEM-1","itemData":{"author":[{"dropping-particle":"","family":"Капланов","given":"К.Д.","non-dropping-particle":"","parse-names":false,"suffix":""},{"dropping-particle":"","family":"Клиточенко","given":"Т.Ю.","non-dropping-particle":"","parse-names":false,"suffix":""},{"dropping-particle":"","family":"Шипаева","given":"А.Л.","non-dropping-particle":"","parse-names":false,"suffix":""},{"dropping-particle":"","family":"Широкова","given":"М.Н.","non-dropping-particle":"","parse-names":false,"suffix":""},{"dropping-particle":"","family":"Матвеева","given":"И.В.","non-dropping-particle":"","parse-names":false,"suffix":""},{"dropping-particle":"","family":"Лавришина","given":"Н.Б.","non-dropping-particle":"","parse-names":false,"suffix":""}],"container-title":"Клиническая онкогематология","id":"ITEM-1","issue":"3","issued":{"date-parts":[["2017"]]},"page":"358-365","title":"Программа IVDG — возможный выбор первой линии терапии лимфомы Ходжкина у пациентов пожилого возраста с сопутствующими сердечно-сосудистыми и легочными заболеваниями","type":"article-journal","volume":"10"},"uris":["http://www.mendeley.com/documents/?uuid=b4febd65-9a32-4876-a760-dbb2ac12572c","http://www.mendeley.com/documents/?uuid=6a5167bd-4499-47fa-b764-82b4fd232768"]}],"mendeley":{"formattedCitation":"[38]","plainTextFormattedCitation":"[38]","previouslyFormattedCitation":"[38]"},"properties":{"noteIndex":0},"schema":"https://github.com/citation-style-language/schema/raw/master/csl-citation.json"}</w:instrText>
      </w:r>
      <w:r w:rsidR="00DD1DA2" w:rsidRPr="002F4348">
        <w:rPr>
          <w:i/>
        </w:rPr>
        <w:fldChar w:fldCharType="separate"/>
      </w:r>
      <w:r w:rsidR="00DD1DA2" w:rsidRPr="002F4348">
        <w:rPr>
          <w:noProof/>
        </w:rPr>
        <w:t>[38]</w:t>
      </w:r>
      <w:r w:rsidR="00DD1DA2" w:rsidRPr="002F4348">
        <w:rPr>
          <w:i/>
        </w:rPr>
        <w:fldChar w:fldCharType="end"/>
      </w:r>
      <w:r w:rsidRPr="002F4348">
        <w:rPr>
          <w:i/>
        </w:rPr>
        <w:t>.</w:t>
      </w:r>
    </w:p>
    <w:p w14:paraId="353A4F78" w14:textId="77777777" w:rsidR="000578EF" w:rsidRPr="002F4348" w:rsidRDefault="000578EF" w:rsidP="000578EF">
      <w:pPr>
        <w:ind w:left="709"/>
        <w:contextualSpacing/>
        <w:rPr>
          <w:i/>
        </w:rPr>
      </w:pPr>
      <w:r w:rsidRPr="002F4348">
        <w:rPr>
          <w:i/>
        </w:rPr>
        <w:t xml:space="preserve">Кроме того, с целью минимизации риска миелотоксических осложнений или при коморбидной отягощенности возможно применение программ CHOP-21, CVP. В крайних случаях пациентам, имеющим серьезные противопоказания к назначению ПХТ, можно назначать метрономную терапию типа РЕРС или монотерапию агентами, активными против ЛХ. Кратность назначения и длительность курса в данном случае будут зависеть от эффективности и токсических осложнений. </w:t>
      </w:r>
      <w:r w:rsidRPr="002F4348">
        <w:rPr>
          <w:i/>
        </w:rPr>
        <w:lastRenderedPageBreak/>
        <w:t>Применяются винбластин</w:t>
      </w:r>
      <w:r w:rsidR="00226FB3" w:rsidRPr="002F4348">
        <w:rPr>
          <w:i/>
        </w:rPr>
        <w:t>**</w:t>
      </w:r>
      <w:r w:rsidRPr="002F4348">
        <w:rPr>
          <w:i/>
        </w:rPr>
        <w:t xml:space="preserve"> по 10 мг в/в 1 раз в 10 дней, этопозид</w:t>
      </w:r>
      <w:r w:rsidR="00226FB3" w:rsidRPr="002F4348">
        <w:rPr>
          <w:i/>
        </w:rPr>
        <w:t>**</w:t>
      </w:r>
      <w:r w:rsidRPr="002F4348">
        <w:rPr>
          <w:i/>
        </w:rPr>
        <w:t xml:space="preserve"> по 50 мг/м</w:t>
      </w:r>
      <w:r w:rsidRPr="002F4348">
        <w:rPr>
          <w:i/>
          <w:vertAlign w:val="superscript"/>
        </w:rPr>
        <w:t>2</w:t>
      </w:r>
      <w:r w:rsidRPr="002F4348">
        <w:rPr>
          <w:i/>
        </w:rPr>
        <w:t xml:space="preserve"> или циклофосфамид</w:t>
      </w:r>
      <w:r w:rsidR="00226FB3" w:rsidRPr="002F4348">
        <w:rPr>
          <w:i/>
        </w:rPr>
        <w:t>**</w:t>
      </w:r>
      <w:r w:rsidRPr="002F4348">
        <w:rPr>
          <w:i/>
        </w:rPr>
        <w:t xml:space="preserve"> по 50 – 150 мг перорально, курсами по 7 – 14 дней. </w:t>
      </w:r>
    </w:p>
    <w:p w14:paraId="19078BBB" w14:textId="77777777" w:rsidR="000578EF" w:rsidRPr="002F4348" w:rsidRDefault="000578EF" w:rsidP="000578EF">
      <w:pPr>
        <w:pStyle w:val="2"/>
        <w:contextualSpacing/>
      </w:pPr>
      <w:bookmarkStart w:id="41" w:name="_Toc65586394"/>
      <w:r w:rsidRPr="002F4348">
        <w:t>3.</w:t>
      </w:r>
      <w:r w:rsidR="00170E50" w:rsidRPr="002F4348">
        <w:t>5</w:t>
      </w:r>
      <w:r w:rsidRPr="002F4348">
        <w:t xml:space="preserve"> Выбор терапии второй и последующих линий у пациентов с кЛХ</w:t>
      </w:r>
      <w:bookmarkEnd w:id="41"/>
    </w:p>
    <w:p w14:paraId="5188564E" w14:textId="77777777" w:rsidR="000578EF" w:rsidRPr="002F4348" w:rsidRDefault="000578EF" w:rsidP="00B153FC">
      <w:pPr>
        <w:pStyle w:val="afe"/>
        <w:numPr>
          <w:ilvl w:val="0"/>
          <w:numId w:val="12"/>
        </w:numPr>
        <w:spacing w:before="120" w:after="120"/>
        <w:ind w:left="709" w:hanging="709"/>
      </w:pPr>
      <w:r w:rsidRPr="002F4348">
        <w:t xml:space="preserve">Пациентам от 18 до 60 лет с кЛХ из группы низкого риска (ранние стадии ЛХ без неблагоприятных прогностических признаков), получивших в качестве первой линии терапии только 2 цикла по схеме </w:t>
      </w:r>
      <w:r w:rsidRPr="002F4348">
        <w:rPr>
          <w:lang w:val="en-US"/>
        </w:rPr>
        <w:t>ABVD</w:t>
      </w:r>
      <w:r w:rsidRPr="002F4348">
        <w:t xml:space="preserve"> с последующим облучением зон исходного поражения, при рецидиве заболевания </w:t>
      </w:r>
      <w:r w:rsidRPr="002F4348">
        <w:rPr>
          <w:b/>
        </w:rPr>
        <w:t>рекомендуется</w:t>
      </w:r>
      <w:r w:rsidRPr="002F4348">
        <w:t xml:space="preserve"> рассмотреть возможность проведения 6 циклов по схеме </w:t>
      </w:r>
      <w:r w:rsidRPr="002F4348">
        <w:rPr>
          <w:lang w:val="en-US"/>
        </w:rPr>
        <w:t>BEACOPP</w:t>
      </w:r>
      <w:r w:rsidRPr="002F4348">
        <w:t xml:space="preserve">-эскалированный </w:t>
      </w:r>
      <w:r w:rsidR="007A344D" w:rsidRPr="002F4348">
        <w:t xml:space="preserve">(описание режимов – см. приложение А3.1) </w:t>
      </w:r>
      <w:r w:rsidR="00DB0D55" w:rsidRPr="002F4348">
        <w:fldChar w:fldCharType="begin" w:fldLock="1"/>
      </w:r>
      <w:r w:rsidR="00A850F7" w:rsidRPr="002F4348">
        <w:instrText>ADDIN CSL_CITATION {"citationItems":[{"id":"ITEM-1","itemData":{"author":[{"dropping-particle":"","family":"Демина","given":"Е.А.","non-dropping-particle":"","parse-names":false,"suffix":""},{"dropping-particle":"","family":"Капланов","given":"К.Д.","non-dropping-particle":"","parse-names":false,"suffix":""},{"dropping-particle":"","family":"Мухортова","given":"О.В.","non-dropping-particle":"","parse-names":false,"suffix":""},{"dropping-particle":"","family":"Тумян","given":"Г.С.","non-dropping-particle":"","parse-names":false,"suffix":""},{"dropping-particle":"","family":"Михайлова","given":"Н.Б.","non-dropping-particle":"","parse-names":false,"suffix":""},{"dropping-particle":"","family":"Моисеева","given":"Т.Н.","non-dropping-particle":"","parse-names":false,"suffix":""},{"dropping-particle":"","family":"Виноградова","given":"Ю.Н.","non-dropping-particle":"","parse-names":false,"suffix":""},{"dropping-particle":"","family":"Ильин","given":"Н.В.","non-dropping-particle":"","parse-names":false,"suffix":""},{"dropping-particle":"","family":"Трофимова","given":"О.П.","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Савченко.","id":"ITEM-1","issued":{"date-parts":[["2018"]]},"page":"28-43","title":"Лимфома Ходжкина","type":"chapter"},"uris":["http://www.mendeley.com/documents/?uuid=0af2b11d-a9cf-4da8-a503-99a860249436","http://www.mendeley.com/documents/?uuid=708bf927-447f-43d0-8bf7-28178aa7e29e"]}],"mendeley":{"formattedCitation":"[4]","plainTextFormattedCitation":"[4]","previouslyFormattedCitation":"[4]"},"properties":{"noteIndex":0},"schema":"https://github.com/citation-style-language/schema/raw/master/csl-citation.json"}</w:instrText>
      </w:r>
      <w:r w:rsidR="00DB0D55" w:rsidRPr="002F4348">
        <w:fldChar w:fldCharType="separate"/>
      </w:r>
      <w:r w:rsidR="0046092E" w:rsidRPr="002F4348">
        <w:rPr>
          <w:noProof/>
        </w:rPr>
        <w:t>[4]</w:t>
      </w:r>
      <w:r w:rsidR="00DB0D55" w:rsidRPr="002F4348">
        <w:fldChar w:fldCharType="end"/>
      </w:r>
      <w:r w:rsidRPr="002F4348">
        <w:t>.</w:t>
      </w:r>
    </w:p>
    <w:p w14:paraId="7663D236" w14:textId="77777777" w:rsidR="000578EF" w:rsidRPr="002F4348" w:rsidRDefault="000578EF" w:rsidP="00DB0D55">
      <w:pPr>
        <w:ind w:left="709" w:firstLine="0"/>
        <w:contextualSpacing/>
        <w:rPr>
          <w:b/>
        </w:rPr>
      </w:pPr>
      <w:r w:rsidRPr="002F4348">
        <w:rPr>
          <w:b/>
        </w:rPr>
        <w:t xml:space="preserve">Уровень убедительности рекомендаций </w:t>
      </w:r>
      <w:r w:rsidR="0046092E" w:rsidRPr="002F4348">
        <w:rPr>
          <w:b/>
        </w:rPr>
        <w:t xml:space="preserve">С </w:t>
      </w:r>
      <w:r w:rsidRPr="002F4348">
        <w:rPr>
          <w:b/>
        </w:rPr>
        <w:t xml:space="preserve">(уровень достоверности доказательств </w:t>
      </w:r>
      <w:r w:rsidR="0046092E" w:rsidRPr="002F4348">
        <w:rPr>
          <w:b/>
        </w:rPr>
        <w:t>5</w:t>
      </w:r>
      <w:r w:rsidRPr="002F4348">
        <w:rPr>
          <w:b/>
        </w:rPr>
        <w:t>).</w:t>
      </w:r>
    </w:p>
    <w:p w14:paraId="6E8466B0" w14:textId="77777777" w:rsidR="000578EF" w:rsidRPr="002F4348" w:rsidRDefault="000578EF" w:rsidP="00B153FC">
      <w:pPr>
        <w:pStyle w:val="afe"/>
        <w:numPr>
          <w:ilvl w:val="0"/>
          <w:numId w:val="12"/>
        </w:numPr>
        <w:spacing w:before="120" w:after="120"/>
        <w:ind w:left="709" w:hanging="709"/>
      </w:pPr>
      <w:r w:rsidRPr="002F4348">
        <w:t>Пациентам до 50 лет с кЛХ с хорошим соматическим статусом (</w:t>
      </w:r>
      <w:r w:rsidRPr="002F4348">
        <w:rPr>
          <w:lang w:val="en-US"/>
        </w:rPr>
        <w:t>ECOG</w:t>
      </w:r>
      <w:r w:rsidRPr="002F4348">
        <w:t xml:space="preserve"> 0-1, отсутствие тяжелых сопутствующих заболеваний) с рефрактерным течением заболевания </w:t>
      </w:r>
      <w:r w:rsidRPr="002F4348">
        <w:rPr>
          <w:rFonts w:cstheme="minorHAnsi"/>
          <w:lang w:eastAsia="ru-RU"/>
        </w:rPr>
        <w:t>(не достигнута частичная ремиссия после окончания химиотерапевтического этапа, констатировано прогрессирование), либо с первым ранним рецидивом (продолжительность ремиссии менее 1 года после завершения индукционного лечения), либо в первом позднем рецидиве с большой массой опухоли или во втором позднем рецидиве, если на предшествующих этапах лечения не проводилось облучение поясничного отдела позвоночника</w:t>
      </w:r>
      <w:r w:rsidR="009D1643" w:rsidRPr="002F4348">
        <w:rPr>
          <w:rFonts w:cstheme="minorHAnsi"/>
          <w:lang w:eastAsia="ru-RU"/>
        </w:rPr>
        <w:t xml:space="preserve"> и</w:t>
      </w:r>
      <w:r w:rsidRPr="002F4348">
        <w:rPr>
          <w:rFonts w:cstheme="minorHAnsi"/>
          <w:lang w:eastAsia="ru-RU"/>
        </w:rPr>
        <w:t xml:space="preserve"> костей таза, и/или не использовались циклы, включающие такие алкилирующие препараты, как </w:t>
      </w:r>
      <w:r w:rsidR="002A78D6" w:rsidRPr="002F4348">
        <w:rPr>
          <w:rFonts w:cstheme="minorHAnsi"/>
          <w:lang w:eastAsia="ru-RU"/>
        </w:rPr>
        <w:t>#</w:t>
      </w:r>
      <w:r w:rsidRPr="002F4348">
        <w:rPr>
          <w:rFonts w:cstheme="minorHAnsi"/>
          <w:lang w:eastAsia="ru-RU"/>
        </w:rPr>
        <w:t xml:space="preserve">мелфалан** и ломустин**, </w:t>
      </w:r>
      <w:r w:rsidRPr="002F4348">
        <w:rPr>
          <w:b/>
        </w:rPr>
        <w:t>рекомендуется</w:t>
      </w:r>
      <w:r w:rsidRPr="002F4348">
        <w:t xml:space="preserve"> проведение консультации в трансплантологическом центре для решения вопроса о возможности аутологичной трансплантации гемопоэтических стволовых клеток (аутоТГСК), и, при </w:t>
      </w:r>
      <w:r w:rsidR="005B0324" w:rsidRPr="002F4348">
        <w:t>возможности ее выполнения</w:t>
      </w:r>
      <w:r w:rsidRPr="002F4348">
        <w:t>, планировани</w:t>
      </w:r>
      <w:r w:rsidR="005B0324" w:rsidRPr="002F4348">
        <w:t>е</w:t>
      </w:r>
      <w:r w:rsidRPr="002F4348">
        <w:t xml:space="preserve"> режимов и сроков противорецидивной терапии</w:t>
      </w:r>
      <w:r w:rsidR="00DB0D55" w:rsidRPr="002F4348">
        <w:t xml:space="preserve"> </w:t>
      </w:r>
      <w:r w:rsidR="00DB0D55" w:rsidRPr="002F4348">
        <w:fldChar w:fldCharType="begin" w:fldLock="1"/>
      </w:r>
      <w:r w:rsidR="00A850F7" w:rsidRPr="002F4348">
        <w:instrText>ADDIN CSL_CITATION {"citationItems":[{"id":"ITEM-1","itemData":{"DOI":"10.1155/2015/968212","ISSN":"2314-7156","PMID":"26788526","abstract":"Hodgkin lymphoma (HL) is a potentially curable lymphoma, and modern therapy is expected to successfully cure more than 80% of the patients. Second-line salvage high-dose chemotherapy and autologous stem cell transplantation (auto-SCT) have an established role in the management of refractory and relapsed HL, leading to long-lasting responses in approximately 50% of relapsed patients and a minority of refractory patients. Patients progressing after intensive treatments, such as auto-SCT, have a very poor outcome. Allogeneic SCT represents the only strategy with a curative potential for these patients; however, its role is controversial. Based on recent knowledge of HL pathology, biology, and immunology, antibody-drug conjugates targeting CD30, small molecule inhibitors of cell signaling, and antibodies that inhibit immune checkpoints are currently explored. This review will discuss the clinical results regarding auto-SCT and allo-SCT as well as the current role of emerging new treatment strategies.","author":[{"dropping-particle":"","family":"Fedele","given":"Roberta","non-dropping-particle":"","parse-names":false,"suffix":""},{"dropping-particle":"","family":"Martino","given":"Massimo","non-dropping-particle":"","parse-names":false,"suffix":""},{"dropping-particle":"","family":"Recchia","given":"Anna Grazia","non-dropping-particle":"","parse-names":false,"suffix":""},{"dropping-particle":"","family":"Irrera","given":"Giuseppe","non-dropping-particle":"","parse-names":false,"suffix":""},{"dropping-particle":"","family":"Gentile","given":"Massimo","non-dropping-particle":"","parse-names":false,"suffix":""},{"dropping-particle":"","family":"Morabito","given":"Fortunato","non-dropping-particle":"","parse-names":false,"suffix":""}],"container-title":"Journal of immunology research","id":"ITEM-1","issued":{"date-parts":[["2015"]]},"page":"968212","title":"Clinical Options in Relapsed or Refractory Hodgkin Lymphoma: An Updated Review.","type":"article-journal","volume":"2015"},"uris":["http://www.mendeley.com/documents/?uuid=e32f600c-cdaf-3b03-9768-4c2f6c62f226","http://www.mendeley.com/documents/?uuid=1290694a-455a-44b1-89a5-0786a8dace84"]},{"id":"ITEM-2","itemData":{"author":[{"dropping-particle":"","family":"Демина","given":"Е.А.","non-dropping-particle":"","parse-names":false,"suffix":""},{"dropping-particle":"","family":"Капланов","given":"К.Д.","non-dropping-particle":"","parse-names":false,"suffix":""},{"dropping-particle":"","family":"Мухортова","given":"О.В.","non-dropping-particle":"","parse-names":false,"suffix":""},{"dropping-particle":"","family":"Тумян","given":"Г.С.","non-dropping-particle":"","parse-names":false,"suffix":""},{"dropping-particle":"","family":"Михайлова","given":"Н.Б.","non-dropping-particle":"","parse-names":false,"suffix":""},{"dropping-particle":"","family":"Моисеева","given":"Т.Н.","non-dropping-particle":"","parse-names":false,"suffix":""},{"dropping-particle":"","family":"Виноградова","given":"Ю.Н.","non-dropping-particle":"","parse-names":false,"suffix":""},{"dropping-particle":"","family":"Ильин","given":"Н.В.","non-dropping-particle":"","parse-names":false,"suffix":""},{"dropping-particle":"","family":"Трофимова","given":"О.П.","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Савченко.","id":"ITEM-2","issued":{"date-parts":[["2018"]]},"page":"28-43","title":"Лимфома Ходжкина","type":"chapter"},"uris":["http://www.mendeley.com/documents/?uuid=0af2b11d-a9cf-4da8-a503-99a860249436","http://www.mendeley.com/documents/?uuid=708bf927-447f-43d0-8bf7-28178aa7e29e"]}],"mendeley":{"formattedCitation":"[4,39]","plainTextFormattedCitation":"[4,39]","previouslyFormattedCitation":"[4,39]"},"properties":{"noteIndex":0},"schema":"https://github.com/citation-style-language/schema/raw/master/csl-citation.json"}</w:instrText>
      </w:r>
      <w:r w:rsidR="00DB0D55" w:rsidRPr="002F4348">
        <w:fldChar w:fldCharType="separate"/>
      </w:r>
      <w:r w:rsidR="000C1AAB" w:rsidRPr="002F4348">
        <w:rPr>
          <w:noProof/>
        </w:rPr>
        <w:t>[4,39]</w:t>
      </w:r>
      <w:r w:rsidR="00DB0D55" w:rsidRPr="002F4348">
        <w:fldChar w:fldCharType="end"/>
      </w:r>
      <w:r w:rsidRPr="002F4348">
        <w:t>.</w:t>
      </w:r>
    </w:p>
    <w:p w14:paraId="68645E8D" w14:textId="77777777" w:rsidR="000578EF" w:rsidRPr="002F4348" w:rsidRDefault="000578EF" w:rsidP="00DB0D55">
      <w:pPr>
        <w:ind w:left="709" w:firstLine="0"/>
        <w:contextualSpacing/>
        <w:rPr>
          <w:b/>
        </w:rPr>
      </w:pPr>
      <w:r w:rsidRPr="002F4348">
        <w:rPr>
          <w:b/>
        </w:rPr>
        <w:t>Уровень убедительности рекомендаций С (уровень достоверности доказательств 5).</w:t>
      </w:r>
    </w:p>
    <w:p w14:paraId="6D8C47B9" w14:textId="77777777" w:rsidR="000578EF" w:rsidRPr="002F4348" w:rsidRDefault="000578EF" w:rsidP="00B153FC">
      <w:pPr>
        <w:pStyle w:val="afe"/>
        <w:numPr>
          <w:ilvl w:val="0"/>
          <w:numId w:val="12"/>
        </w:numPr>
        <w:spacing w:before="120" w:after="120"/>
        <w:ind w:left="709" w:hanging="709"/>
      </w:pPr>
      <w:r w:rsidRPr="002F4348">
        <w:t>Пациентам до 50 лет с рефрактерным течением заболевания (не достигнута частичная ремиссия после окончания химиотерапевтического этапа, констатировано прогрессирование), либо с первым ранним рецидивом (продолжительность ремиссии менее 1 года после завершения индукционного лечения), либо в первом позднем рецидиве с большой массой опухоли или во втором позднем рецидиве,</w:t>
      </w:r>
      <w:r w:rsidR="005B0324" w:rsidRPr="002F4348">
        <w:t xml:space="preserve"> не получавших в первом рецидиве высокодозной химиотерапии с аутоТГСК,</w:t>
      </w:r>
      <w:r w:rsidRPr="002F4348">
        <w:t xml:space="preserve"> если на </w:t>
      </w:r>
      <w:r w:rsidRPr="002F4348">
        <w:lastRenderedPageBreak/>
        <w:t xml:space="preserve">предшествующих этапах лечения не проводилось облучение поясничного отдела позвоночника, костей таза, и/или не использовались циклы, включающие такие алкилирующие препараты, как </w:t>
      </w:r>
      <w:r w:rsidR="002A78D6" w:rsidRPr="002F4348">
        <w:t>#</w:t>
      </w:r>
      <w:r w:rsidRPr="002F4348">
        <w:t>мелфалан** и ломустин**</w:t>
      </w:r>
      <w:r w:rsidRPr="002F4348">
        <w:rPr>
          <w:rFonts w:cstheme="minorHAnsi"/>
          <w:lang w:eastAsia="ru-RU"/>
        </w:rPr>
        <w:t xml:space="preserve">, которым планируется аутоТГСК,  </w:t>
      </w:r>
      <w:r w:rsidRPr="002F4348">
        <w:rPr>
          <w:b/>
        </w:rPr>
        <w:t>рекомендуется</w:t>
      </w:r>
      <w:r w:rsidRPr="002F4348">
        <w:t xml:space="preserve"> проведение химиотерапии по любой из схем терапии второй линии на выбор лечащего врача для определения химиочувствительности опухолевых клеток, уменьшения опухолевой массы и мобилизации стволовых клеток перед этапом высокодозной химиотерапии (ВДХТ)</w:t>
      </w:r>
      <w:r w:rsidR="00DB0D55" w:rsidRPr="002F4348">
        <w:t xml:space="preserve"> </w:t>
      </w:r>
      <w:r w:rsidR="00DB0D55" w:rsidRPr="002F4348">
        <w:fldChar w:fldCharType="begin" w:fldLock="1"/>
      </w:r>
      <w:r w:rsidR="00A850F7" w:rsidRPr="002F4348">
        <w:instrText>ADDIN CSL_CITATION {"citationItems":[{"id":"ITEM-1","itemData":{"DOI":"10.1177/2040620717728000","ISSN":"2040-6207","PMID":"29051800","abstract":"Hodgkin lymphoma (HL) is curable in 70-80% of patients with first-line therapy. However, relapses occur in a minority of patients with favorable early stage disease and are more frequent in patients with advanced HL. Salvage chemotherapy followed by high-dose chemotherapy and autologous stem cell transplant (ASCT) for patients with chemotherapy-sensitive disease is a standard treatment sequence for relapsed or refractory (rel/ref) HL. Patients who achieve complete response prior to ASCT have better survival outcomes. The choice of salvage chemotherapy therapy is becoming increasingly difficult in the era of novel agents, as there are no randomized studies to guide the choice of a second-line regimen. In this article, we will review current salvage therapy options, including combination chemotherapy and novel-agent-based salvage regimens for rel/ref HL.","author":[{"dropping-particle":"","family":"Nikolaenko","given":"Liana","non-dropping-particle":"","parse-names":false,"suffix":""},{"dropping-particle":"","family":"Chen","given":"Robert","non-dropping-particle":"","parse-names":false,"suffix":""},{"dropping-particle":"","family":"Herrera","given":"Alex F","non-dropping-particle":"","parse-names":false,"suffix":""}],"container-title":"Therapeutic advances in hematology","id":"ITEM-1","issue":"10","issued":{"date-parts":[["2017","10"]]},"page":"293-302","title":"Current strategies for salvage treatment for relapsed classical Hodgkin lymphoma.","type":"article-journal","volume":"8"},"uris":["http://www.mendeley.com/documents/?uuid=b55fc780-a3ae-3e9b-bfe5-f7cf22124d6e","http://www.mendeley.com/documents/?uuid=3ab53962-67dc-49b7-916f-6bd163d6c7b4"]},{"id":"ITEM-2","itemData":{"DOI":"10.1155/2015/968212","ISSN":"2314-7156","PMID":"26788526","abstract":"Hodgkin lymphoma (HL) is a potentially curable lymphoma, and modern therapy is expected to successfully cure more than 80% of the patients. Second-line salvage high-dose chemotherapy and autologous stem cell transplantation (auto-SCT) have an established role in the management of refractory and relapsed HL, leading to long-lasting responses in approximately 50% of relapsed patients and a minority of refractory patients. Patients progressing after intensive treatments, such as auto-SCT, have a very poor outcome. Allogeneic SCT represents the only strategy with a curative potential for these patients; however, its role is controversial. Based on recent knowledge of HL pathology, biology, and immunology, antibody-drug conjugates targeting CD30, small molecule inhibitors of cell signaling, and antibodies that inhibit immune checkpoints are currently explored. This review will discuss the clinical results regarding auto-SCT and allo-SCT as well as the current role of emerging new treatment strategies.","author":[{"dropping-particle":"","family":"Fedele","given":"Roberta","non-dropping-particle":"","parse-names":false,"suffix":""},{"dropping-particle":"","family":"Martino","given":"Massimo","non-dropping-particle":"","parse-names":false,"suffix":""},{"dropping-particle":"","family":"Recchia","given":"Anna Grazia","non-dropping-particle":"","parse-names":false,"suffix":""},{"dropping-particle":"","family":"Irrera","given":"Giuseppe","non-dropping-particle":"","parse-names":false,"suffix":""},{"dropping-particle":"","family":"Gentile","given":"Massimo","non-dropping-particle":"","parse-names":false,"suffix":""},{"dropping-particle":"","family":"Morabito","given":"Fortunato","non-dropping-particle":"","parse-names":false,"suffix":""}],"container-title":"Journal of immunology research","id":"ITEM-2","issued":{"date-parts":[["2015"]]},"page":"968212","title":"Clinical Options in Relapsed or Refractory Hodgkin Lymphoma: An Updated Review.","type":"article-journal","volume":"2015"},"uris":["http://www.mendeley.com/documents/?uuid=1290694a-455a-44b1-89a5-0786a8dace84","http://www.mendeley.com/documents/?uuid=e32f600c-cdaf-3b03-9768-4c2f6c62f226"]}],"mendeley":{"formattedCitation":"[39,40]","plainTextFormattedCitation":"[39,40]","previouslyFormattedCitation":"[39,40]"},"properties":{"noteIndex":0},"schema":"https://github.com/citation-style-language/schema/raw/master/csl-citation.json"}</w:instrText>
      </w:r>
      <w:r w:rsidR="00DB0D55" w:rsidRPr="002F4348">
        <w:fldChar w:fldCharType="separate"/>
      </w:r>
      <w:r w:rsidR="000C1AAB" w:rsidRPr="002F4348">
        <w:rPr>
          <w:noProof/>
        </w:rPr>
        <w:t>[39,40]</w:t>
      </w:r>
      <w:r w:rsidR="00DB0D55" w:rsidRPr="002F4348">
        <w:fldChar w:fldCharType="end"/>
      </w:r>
      <w:r w:rsidRPr="002F4348">
        <w:t>.</w:t>
      </w:r>
    </w:p>
    <w:p w14:paraId="39A871C1" w14:textId="77777777" w:rsidR="000578EF" w:rsidRPr="002F4348" w:rsidRDefault="000578EF" w:rsidP="00DB0D55">
      <w:pPr>
        <w:ind w:left="709" w:firstLine="0"/>
        <w:contextualSpacing/>
        <w:rPr>
          <w:b/>
        </w:rPr>
      </w:pPr>
      <w:r w:rsidRPr="002F4348">
        <w:rPr>
          <w:b/>
        </w:rPr>
        <w:t xml:space="preserve">Уровень убедительности рекомендаций </w:t>
      </w:r>
      <w:r w:rsidR="00D95919" w:rsidRPr="002F4348">
        <w:rPr>
          <w:b/>
          <w:lang w:val="en-US"/>
        </w:rPr>
        <w:t>C</w:t>
      </w:r>
      <w:r w:rsidR="00D95919" w:rsidRPr="002F4348">
        <w:rPr>
          <w:b/>
        </w:rPr>
        <w:t xml:space="preserve"> </w:t>
      </w:r>
      <w:r w:rsidRPr="002F4348">
        <w:rPr>
          <w:b/>
        </w:rPr>
        <w:t xml:space="preserve">(уровень достоверности доказательств </w:t>
      </w:r>
      <w:r w:rsidR="00D95919" w:rsidRPr="002F4348">
        <w:rPr>
          <w:b/>
        </w:rPr>
        <w:t>5</w:t>
      </w:r>
      <w:r w:rsidRPr="002F4348">
        <w:rPr>
          <w:b/>
        </w:rPr>
        <w:t>).</w:t>
      </w:r>
    </w:p>
    <w:p w14:paraId="0E20C22C" w14:textId="77777777" w:rsidR="000578EF" w:rsidRPr="002F4348" w:rsidRDefault="000578EF" w:rsidP="00DB0D55">
      <w:pPr>
        <w:ind w:left="709" w:firstLine="0"/>
        <w:contextualSpacing/>
        <w:rPr>
          <w:i/>
        </w:rPr>
      </w:pPr>
      <w:r w:rsidRPr="002F4348">
        <w:rPr>
          <w:b/>
        </w:rPr>
        <w:t xml:space="preserve">Комментарий: </w:t>
      </w:r>
      <w:r w:rsidR="00DB0D55" w:rsidRPr="002F4348">
        <w:rPr>
          <w:i/>
        </w:rPr>
        <w:t xml:space="preserve">в </w:t>
      </w:r>
      <w:r w:rsidRPr="002F4348">
        <w:rPr>
          <w:i/>
        </w:rPr>
        <w:t xml:space="preserve">качестве терапии второй линии могут применяться комбинации </w:t>
      </w:r>
      <w:r w:rsidRPr="002F4348">
        <w:rPr>
          <w:i/>
          <w:lang w:val="en-US"/>
        </w:rPr>
        <w:t>ICE</w:t>
      </w:r>
      <w:r w:rsidRPr="002F4348">
        <w:rPr>
          <w:i/>
        </w:rPr>
        <w:t xml:space="preserve">, </w:t>
      </w:r>
      <w:r w:rsidRPr="002F4348">
        <w:rPr>
          <w:i/>
          <w:lang w:val="en-US"/>
        </w:rPr>
        <w:t>DHAP</w:t>
      </w:r>
      <w:r w:rsidRPr="002F4348">
        <w:rPr>
          <w:i/>
        </w:rPr>
        <w:t xml:space="preserve">, </w:t>
      </w:r>
      <w:r w:rsidRPr="002F4348">
        <w:rPr>
          <w:i/>
          <w:lang w:val="en-US"/>
        </w:rPr>
        <w:t>IGEV</w:t>
      </w:r>
      <w:r w:rsidRPr="002F4348">
        <w:rPr>
          <w:i/>
        </w:rPr>
        <w:t xml:space="preserve">, </w:t>
      </w:r>
      <w:r w:rsidRPr="002F4348">
        <w:rPr>
          <w:i/>
          <w:lang w:val="en-US"/>
        </w:rPr>
        <w:t>GDP</w:t>
      </w:r>
      <w:r w:rsidRPr="002F4348">
        <w:rPr>
          <w:i/>
        </w:rPr>
        <w:t xml:space="preserve">, </w:t>
      </w:r>
      <w:r w:rsidRPr="002F4348">
        <w:rPr>
          <w:i/>
          <w:lang w:val="en-US"/>
        </w:rPr>
        <w:t>ESHAP</w:t>
      </w:r>
      <w:r w:rsidRPr="002F4348">
        <w:rPr>
          <w:i/>
        </w:rPr>
        <w:t xml:space="preserve">, </w:t>
      </w:r>
      <w:r w:rsidRPr="002F4348">
        <w:rPr>
          <w:i/>
          <w:lang w:val="en-US"/>
        </w:rPr>
        <w:t>GemOx</w:t>
      </w:r>
      <w:r w:rsidR="00015B13" w:rsidRPr="002F4348">
        <w:rPr>
          <w:i/>
        </w:rPr>
        <w:t xml:space="preserve">, </w:t>
      </w:r>
      <w:r w:rsidR="00015B13" w:rsidRPr="002F4348">
        <w:rPr>
          <w:i/>
          <w:lang w:val="en-US"/>
        </w:rPr>
        <w:t>IEP</w:t>
      </w:r>
      <w:r w:rsidRPr="002F4348">
        <w:rPr>
          <w:i/>
        </w:rPr>
        <w:t xml:space="preserve"> и др. </w:t>
      </w:r>
      <w:r w:rsidR="007A344D" w:rsidRPr="002F4348">
        <w:rPr>
          <w:i/>
        </w:rPr>
        <w:t>(описание режимов – см. приложение А3.1)</w:t>
      </w:r>
      <w:r w:rsidRPr="002F4348">
        <w:rPr>
          <w:i/>
        </w:rPr>
        <w:t>. Все эти режимы имеют сопоставимую эффективность и токсичность и могут применяться в зависимости от опыта и предпочтений лечащего врача.</w:t>
      </w:r>
    </w:p>
    <w:p w14:paraId="19C5C949" w14:textId="77777777" w:rsidR="000578EF" w:rsidRPr="002F4348" w:rsidRDefault="000578EF" w:rsidP="00B153FC">
      <w:pPr>
        <w:pStyle w:val="afe"/>
        <w:numPr>
          <w:ilvl w:val="0"/>
          <w:numId w:val="12"/>
        </w:numPr>
        <w:spacing w:before="120" w:after="120"/>
        <w:ind w:left="709" w:hanging="709"/>
      </w:pPr>
      <w:r w:rsidRPr="002F4348">
        <w:t>Пациентам до 50 лет с рефрактерным течением заболевания (не достигнута частичная ремиссия после окончания химиотерапевтического этапа, констатировано прогрессирование), либо с первым ранним рецидивом (продолжительность ремиссии менее 1 года после завершения индукционного лечения), либо в первом позднем рецидиве с большой массой опухоли или во втором позднем рецидиве, если на предшествующих этапах лечения не проводилось облучение поясничного отдела позвоночника</w:t>
      </w:r>
      <w:r w:rsidR="005B0324" w:rsidRPr="002F4348">
        <w:t xml:space="preserve"> и </w:t>
      </w:r>
      <w:r w:rsidRPr="002F4348">
        <w:t xml:space="preserve">костей таза и/или не использовались циклы, включающие такие алкилирующие препараты, как </w:t>
      </w:r>
      <w:r w:rsidR="002A78D6" w:rsidRPr="002F4348">
        <w:t>#</w:t>
      </w:r>
      <w:r w:rsidRPr="002F4348">
        <w:t>мелфалан** и ломустин**</w:t>
      </w:r>
      <w:r w:rsidRPr="002F4348">
        <w:rPr>
          <w:rFonts w:cstheme="minorHAnsi"/>
          <w:lang w:eastAsia="ru-RU"/>
        </w:rPr>
        <w:t xml:space="preserve">, которым планируется аутоТГСК и начата </w:t>
      </w:r>
      <w:r w:rsidR="00911FEB" w:rsidRPr="002F4348">
        <w:rPr>
          <w:rFonts w:cstheme="minorHAnsi"/>
          <w:lang w:eastAsia="ru-RU"/>
        </w:rPr>
        <w:t>химиотерапия рецидива</w:t>
      </w:r>
      <w:r w:rsidRPr="002F4348">
        <w:rPr>
          <w:rFonts w:cstheme="minorHAnsi"/>
          <w:lang w:eastAsia="ru-RU"/>
        </w:rPr>
        <w:t xml:space="preserve">,  </w:t>
      </w:r>
      <w:r w:rsidRPr="002F4348">
        <w:rPr>
          <w:b/>
        </w:rPr>
        <w:t>рекомендуется</w:t>
      </w:r>
      <w:r w:rsidRPr="002F4348">
        <w:t xml:space="preserve"> проведение</w:t>
      </w:r>
      <w:r w:rsidR="00A07386" w:rsidRPr="002F4348">
        <w:t xml:space="preserve"> стимуляции гемопоэза с</w:t>
      </w:r>
      <w:r w:rsidRPr="002F4348">
        <w:t xml:space="preserve"> мобилизаци</w:t>
      </w:r>
      <w:r w:rsidR="00A07386" w:rsidRPr="002F4348">
        <w:t>ей</w:t>
      </w:r>
      <w:r w:rsidRPr="002F4348">
        <w:t xml:space="preserve"> </w:t>
      </w:r>
      <w:r w:rsidR="00A07386" w:rsidRPr="002F4348">
        <w:t>и</w:t>
      </w:r>
      <w:r w:rsidRPr="002F4348">
        <w:t xml:space="preserve"> последующим сбором гемопоэтических стволовых клеток  (ГСК)</w:t>
      </w:r>
      <w:r w:rsidR="00A07386" w:rsidRPr="002F4348">
        <w:t xml:space="preserve"> для последующего проведения аутоТГСК</w:t>
      </w:r>
      <w:r w:rsidR="00DB0D55" w:rsidRPr="002F4348">
        <w:t xml:space="preserve"> </w:t>
      </w:r>
      <w:r w:rsidR="00DB0D55" w:rsidRPr="002F4348">
        <w:fldChar w:fldCharType="begin" w:fldLock="1"/>
      </w:r>
      <w:r w:rsidR="00A850F7" w:rsidRPr="002F4348">
        <w:instrText>ADDIN CSL_CITATION {"citationItems":[{"id":"ITEM-1","itemData":{"DOI":"10.1038/bmt.2014.39","ISSN":"14765365","abstract":"Autologous haematopoietic SCT with PBSCs is regularly used to restore BM function in patients with multiple myeloma or lymphoma after myeloablative chemotherapy. Twenty-eight experts from the European Group for Blood and Marrow Transplantation developed a position statement on the best approaches to mobilising PBSCs and on possibilities of optimising graft yields in patients who mobilise poorly. Choosing the appropriate mobilisation regimen, based on patients' disease stage and condition, and optimising the apheresis protocol can improve mobilisation outcomes. Several factors may influence mobilisation outcomes, including older age, a more advanced disease stage, the type of prior chemotherapy (e.g., fludarabine or melphalan), prior irradiation or a higher number of prior treatment lines. The most robust predictive factor for poor PBSC collection is the CD34 + cell count in PB before apheresis. Determination of the CD34 + cell count in PB before apheresis helps to identify patients at risk of poor PBSC collection and allows pre-emptive intervention to rescue mobilisation in these patients. Such a proactive approach might help to overcome deficiencies in stem cell mobilisation and offers a rationale for the use of novel mobilisation agents. © 2014 Macmillan Publishers Limited.","author":[{"dropping-particle":"","family":"Mohty","given":"M.","non-dropping-particle":"","parse-names":false,"suffix":""},{"dropping-particle":"","family":"Hübel","given":"K.","non-dropping-particle":"","parse-names":false,"suffix":""},{"dropping-particle":"","family":"Kröger","given":"N.","non-dropping-particle":"","parse-names":false,"suffix":""},{"dropping-particle":"","family":"Aljurf","given":"M.","non-dropping-particle":"","parse-names":false,"suffix":""},{"dropping-particle":"","family":"Apperley","given":"J.","non-dropping-particle":"","parse-names":false,"suffix":""},{"dropping-particle":"","family":"Basak","given":"G. W.","non-dropping-particle":"","parse-names":false,"suffix":""},{"dropping-particle":"","family":"Bazarbachi","given":"A.","non-dropping-particle":"","parse-names":false,"suffix":""},{"dropping-particle":"","family":"Douglas","given":"K.","non-dropping-particle":"","parse-names":false,"suffix":""},{"dropping-particle":"","family":"Gabriel","given":"I.","non-dropping-particle":"","parse-names":false,"suffix":""},{"dropping-particle":"","family":"Garderet","given":"L.","non-dropping-particle":"","parse-names":false,"suffix":""},{"dropping-particle":"","family":"Geraldes","given":"C.","non-dropping-particle":"","parse-names":false,"suffix":""},{"dropping-particle":"","family":"Jaksic","given":"O.","non-dropping-particle":"","parse-names":false,"suffix":""},{"dropping-particle":"","family":"Kattan","given":"M. W.","non-dropping-particle":"","parse-names":false,"suffix":""},{"dropping-particle":"","family":"Koristek","given":"Z.","non-dropping-particle":"","parse-names":false,"suffix":""},{"dropping-particle":"","family":"Lanza","given":"F.","non-dropping-particle":"","parse-names":false,"suffix":""},{"dropping-particle":"","family":"Lemoli","given":"R. M.","non-dropping-particle":"","parse-names":false,"suffix":""},{"dropping-particle":"","family":"Mendeleeva","given":"L.","non-dropping-particle":"","parse-names":false,"suffix":""},{"dropping-particle":"","family":"Mikala","given":"G.","non-dropping-particle":"","parse-names":false,"suffix":""},{"dropping-particle":"","family":"Mikhailova","given":"N.","non-dropping-particle":"","parse-names":false,"suffix":""},{"dropping-particle":"","family":"Nagler","given":"A.","non-dropping-particle":"","parse-names":false,"suffix":""},{"dropping-particle":"","family":"Schouten","given":"H. C.","non-dropping-particle":"","parse-names":false,"suffix":""},{"dropping-particle":"","family":"Selleslag","given":"D.","non-dropping-particle":"","parse-names":false,"suffix":""},{"dropping-particle":"","family":"Suciu","given":"S.","non-dropping-particle":"","parse-names":false,"suffix":""},{"dropping-particle":"","family":"Sureda","given":"A.","non-dropping-particle":"","parse-names":false,"suffix":""},{"dropping-particle":"","family":"Worel","given":"N.","non-dropping-particle":"","parse-names":false,"suffix":""},{"dropping-particle":"","family":"Wuchter","given":"P.","non-dropping-particle":"","parse-names":false,"suffix":""},{"dropping-particle":"","family":"Chabannon","given":"C.","non-dropping-particle":"","parse-names":false,"suffix":""},{"dropping-particle":"","family":"Duarte","given":"R. F.","non-dropping-particle":"","parse-names":false,"suffix":""}],"container-title":"Bone Marrow Transplantation","id":"ITEM-1","issued":{"date-parts":[["2014"]]},"title":"Autologous haematopoietic stem cell mobilisation in multiple myeloma and lymphoma patients: A position statement from the European Group for Blood and Marrow Transplantation","type":"article"},"uris":["http://www.mendeley.com/documents/?uuid=4e5d5b84-75eb-3e1c-9274-26d39a74bba2","http://www.mendeley.com/documents/?uuid=12250323-3972-454d-af82-282c43cd1c33"]}],"mendeley":{"formattedCitation":"[41]","plainTextFormattedCitation":"[41]","previouslyFormattedCitation":"[41]"},"properties":{"noteIndex":0},"schema":"https://github.com/citation-style-language/schema/raw/master/csl-citation.json"}</w:instrText>
      </w:r>
      <w:r w:rsidR="00DB0D55" w:rsidRPr="002F4348">
        <w:fldChar w:fldCharType="separate"/>
      </w:r>
      <w:r w:rsidR="0046092E" w:rsidRPr="002F4348">
        <w:rPr>
          <w:noProof/>
        </w:rPr>
        <w:t>[41]</w:t>
      </w:r>
      <w:r w:rsidR="00DB0D55" w:rsidRPr="002F4348">
        <w:fldChar w:fldCharType="end"/>
      </w:r>
      <w:r w:rsidRPr="002F4348">
        <w:t>.</w:t>
      </w:r>
    </w:p>
    <w:p w14:paraId="53C7AAF1" w14:textId="77777777" w:rsidR="000578EF" w:rsidRPr="002F4348" w:rsidRDefault="000578EF" w:rsidP="00DB0D55">
      <w:pPr>
        <w:ind w:left="709" w:firstLine="0"/>
        <w:contextualSpacing/>
        <w:rPr>
          <w:b/>
        </w:rPr>
      </w:pPr>
      <w:r w:rsidRPr="002F4348">
        <w:rPr>
          <w:b/>
        </w:rPr>
        <w:t>Уровень убедительности рекомендаций С (уровень достоверности доказательств 5).</w:t>
      </w:r>
    </w:p>
    <w:p w14:paraId="2DF5CCF3" w14:textId="77777777" w:rsidR="000578EF" w:rsidRPr="002F4348" w:rsidRDefault="000578EF" w:rsidP="00DB0D55">
      <w:pPr>
        <w:ind w:left="709" w:firstLine="0"/>
        <w:contextualSpacing/>
        <w:rPr>
          <w:i/>
        </w:rPr>
      </w:pPr>
      <w:r w:rsidRPr="002F4348">
        <w:rPr>
          <w:b/>
        </w:rPr>
        <w:t xml:space="preserve">Комментарий: </w:t>
      </w:r>
      <w:r w:rsidR="00DB0D55" w:rsidRPr="002F4348">
        <w:rPr>
          <w:i/>
        </w:rPr>
        <w:t xml:space="preserve">сроки </w:t>
      </w:r>
      <w:r w:rsidRPr="002F4348">
        <w:rPr>
          <w:i/>
        </w:rPr>
        <w:t>и режим мобилизации ГСК должны выполняться в соответствии с рекомендаци</w:t>
      </w:r>
      <w:r w:rsidR="00BA2398" w:rsidRPr="002F4348">
        <w:rPr>
          <w:i/>
        </w:rPr>
        <w:t>ями</w:t>
      </w:r>
      <w:r w:rsidRPr="002F4348">
        <w:rPr>
          <w:i/>
        </w:rPr>
        <w:t xml:space="preserve"> трансплантационного центра, в котором планируется аутоТГСК.</w:t>
      </w:r>
    </w:p>
    <w:p w14:paraId="49C4413F" w14:textId="77777777" w:rsidR="000578EF" w:rsidRPr="002F4348" w:rsidRDefault="000578EF" w:rsidP="00B153FC">
      <w:pPr>
        <w:pStyle w:val="afe"/>
        <w:numPr>
          <w:ilvl w:val="0"/>
          <w:numId w:val="12"/>
        </w:numPr>
        <w:spacing w:before="120" w:after="120"/>
        <w:ind w:left="709" w:hanging="709"/>
      </w:pPr>
      <w:r w:rsidRPr="002F4348">
        <w:t xml:space="preserve">Пациентам до 50 лет с рефрактерным течением заболевания (не достигнута частичная ремиссия после окончания химиотерапевтического этапа, констатировано прогрессирование), либо с первым ранним рецидивом (продолжительность ремиссии менее 1 года после завершения индукционного лечения), либо в первом </w:t>
      </w:r>
      <w:r w:rsidRPr="002F4348">
        <w:lastRenderedPageBreak/>
        <w:t xml:space="preserve">позднем рецидиве с большой массой опухоли или во втором позднем рецидиве, если на предшествующих этапах лечения не проводилось облучение поясничного отдела позвоночника, костей таза и грудины, и/или не использовались циклы, включающие такие алкилирующие препараты, как </w:t>
      </w:r>
      <w:r w:rsidR="002A78D6" w:rsidRPr="002F4348">
        <w:t>#</w:t>
      </w:r>
      <w:r w:rsidRPr="002F4348">
        <w:t>мелфалан** и ломустин**</w:t>
      </w:r>
      <w:r w:rsidRPr="002F4348">
        <w:rPr>
          <w:rFonts w:cstheme="minorHAnsi"/>
          <w:lang w:eastAsia="ru-RU"/>
        </w:rPr>
        <w:t>, которым запланирована аутоТГСК и у которых достигнута полная ремиссия ПЭТ-негативная ремиссия после химиотерапии</w:t>
      </w:r>
      <w:r w:rsidR="00911FEB" w:rsidRPr="002F4348">
        <w:rPr>
          <w:rFonts w:cstheme="minorHAnsi"/>
          <w:lang w:eastAsia="ru-RU"/>
        </w:rPr>
        <w:t xml:space="preserve"> рецидива</w:t>
      </w:r>
      <w:r w:rsidRPr="002F4348">
        <w:rPr>
          <w:rFonts w:cstheme="minorHAnsi"/>
          <w:lang w:eastAsia="ru-RU"/>
        </w:rPr>
        <w:t xml:space="preserve">, </w:t>
      </w:r>
      <w:r w:rsidRPr="002F4348">
        <w:rPr>
          <w:b/>
        </w:rPr>
        <w:t>рекомендуется</w:t>
      </w:r>
      <w:r w:rsidRPr="002F4348">
        <w:t xml:space="preserve"> проведение высокодозной терапии одним из режимов кондиционирования (</w:t>
      </w:r>
      <w:r w:rsidR="007A344D" w:rsidRPr="002F4348">
        <w:t>описание режимов – см. приложение А3.1)</w:t>
      </w:r>
      <w:r w:rsidRPr="002F4348">
        <w:t xml:space="preserve"> с последующей трансплантацией ГСК</w:t>
      </w:r>
      <w:r w:rsidR="006E0A80" w:rsidRPr="002F4348">
        <w:t xml:space="preserve"> </w:t>
      </w:r>
      <w:r w:rsidR="006E0A80" w:rsidRPr="002F4348">
        <w:fldChar w:fldCharType="begin" w:fldLock="1"/>
      </w:r>
      <w:r w:rsidR="00A850F7" w:rsidRPr="002F4348">
        <w:instrText>ADDIN CSL_CITATION {"citationItems":[{"id":"ITEM-1","itemData":{"DOI":"10.1177/2040620717728000","ISSN":"2040-6207","PMID":"29051800","abstract":"Hodgkin lymphoma (HL) is curable in 70-80% of patients with first-line therapy. However, relapses occur in a minority of patients with favorable early stage disease and are more frequent in patients with advanced HL. Salvage chemotherapy followed by high-dose chemotherapy and autologous stem cell transplant (ASCT) for patients with chemotherapy-sensitive disease is a standard treatment sequence for relapsed or refractory (rel/ref) HL. Patients who achieve complete response prior to ASCT have better survival outcomes. The choice of salvage chemotherapy therapy is becoming increasingly difficult in the era of novel agents, as there are no randomized studies to guide the choice of a second-line regimen. In this article, we will review current salvage therapy options, including combination chemotherapy and novel-agent-based salvage regimens for rel/ref HL.","author":[{"dropping-particle":"","family":"Nikolaenko","given":"Liana","non-dropping-particle":"","parse-names":false,"suffix":""},{"dropping-particle":"","family":"Chen","given":"Robert","non-dropping-particle":"","parse-names":false,"suffix":""},{"dropping-particle":"","family":"Herrera","given":"Alex F","non-dropping-particle":"","parse-names":false,"suffix":""}],"container-title":"Therapeutic advances in hematology","id":"ITEM-1","issue":"10","issued":{"date-parts":[["2017","10"]]},"page":"293-302","title":"Current strategies for salvage treatment for relapsed classical Hodgkin lymphoma.","type":"article-journal","volume":"8"},"uris":["http://www.mendeley.com/documents/?uuid=3ab53962-67dc-49b7-916f-6bd163d6c7b4","http://www.mendeley.com/documents/?uuid=b55fc780-a3ae-3e9b-bfe5-f7cf22124d6e"]},{"id":"ITEM-2","itemData":{"DOI":"10.1155/2015/968212","ISSN":"2314-7156","PMID":"26788526","abstract":"Hodgkin lymphoma (HL) is a potentially curable lymphoma, and modern therapy is expected to successfully cure more than 80% of the patients. Second-line salvage high-dose chemotherapy and autologous stem cell transplantation (auto-SCT) have an established role in the management of refractory and relapsed HL, leading to long-lasting responses in approximately 50% of relapsed patients and a minority of refractory patients. Patients progressing after intensive treatments, such as auto-SCT, have a very poor outcome. Allogeneic SCT represents the only strategy with a curative potential for these patients; however, its role is controversial. Based on recent knowledge of HL pathology, biology, and immunology, antibody-drug conjugates targeting CD30, small molecule inhibitors of cell signaling, and antibodies that inhibit immune checkpoints are currently explored. This review will discuss the clinical results regarding auto-SCT and allo-SCT as well as the current role of emerging new treatment strategies.","author":[{"dropping-particle":"","family":"Fedele","given":"Roberta","non-dropping-particle":"","parse-names":false,"suffix":""},{"dropping-particle":"","family":"Martino","given":"Massimo","non-dropping-particle":"","parse-names":false,"suffix":""},{"dropping-particle":"","family":"Recchia","given":"Anna Grazia","non-dropping-particle":"","parse-names":false,"suffix":""},{"dropping-particle":"","family":"Irrera","given":"Giuseppe","non-dropping-particle":"","parse-names":false,"suffix":""},{"dropping-particle":"","family":"Gentile","given":"Massimo","non-dropping-particle":"","parse-names":false,"suffix":""},{"dropping-particle":"","family":"Morabito","given":"Fortunato","non-dropping-particle":"","parse-names":false,"suffix":""}],"container-title":"Journal of immunology research","id":"ITEM-2","issued":{"date-parts":[["2015"]]},"page":"968212","title":"Clinical Options in Relapsed or Refractory Hodgkin Lymphoma: An Updated Review.","type":"article-journal","volume":"2015"},"uris":["http://www.mendeley.com/documents/?uuid=1290694a-455a-44b1-89a5-0786a8dace84","http://www.mendeley.com/documents/?uuid=e32f600c-cdaf-3b03-9768-4c2f6c62f226","http://www.mendeley.com/documents/?uuid=b8358694-afc2-4336-be56-b11f1dc14042"]}],"mendeley":{"formattedCitation":"[39,40]","plainTextFormattedCitation":"[39,40]","previouslyFormattedCitation":"[39,40]"},"properties":{"noteIndex":0},"schema":"https://github.com/citation-style-language/schema/raw/master/csl-citation.json"}</w:instrText>
      </w:r>
      <w:r w:rsidR="006E0A80" w:rsidRPr="002F4348">
        <w:fldChar w:fldCharType="separate"/>
      </w:r>
      <w:r w:rsidR="000C1AAB" w:rsidRPr="002F4348">
        <w:rPr>
          <w:noProof/>
        </w:rPr>
        <w:t>[39,40]</w:t>
      </w:r>
      <w:r w:rsidR="006E0A80" w:rsidRPr="002F4348">
        <w:fldChar w:fldCharType="end"/>
      </w:r>
      <w:r w:rsidRPr="002F4348">
        <w:t>.</w:t>
      </w:r>
    </w:p>
    <w:p w14:paraId="0907E5DB" w14:textId="77777777" w:rsidR="000578EF" w:rsidRPr="002F4348" w:rsidRDefault="000578EF" w:rsidP="006E0A80">
      <w:pPr>
        <w:ind w:left="709" w:firstLine="0"/>
        <w:contextualSpacing/>
        <w:rPr>
          <w:b/>
        </w:rPr>
      </w:pPr>
      <w:r w:rsidRPr="002F4348">
        <w:rPr>
          <w:b/>
        </w:rPr>
        <w:t xml:space="preserve">Уровень убедительности рекомендаций </w:t>
      </w:r>
      <w:r w:rsidR="00D95919" w:rsidRPr="002F4348">
        <w:rPr>
          <w:b/>
          <w:lang w:val="en-US"/>
        </w:rPr>
        <w:t>C</w:t>
      </w:r>
      <w:r w:rsidR="00D95919" w:rsidRPr="002F4348">
        <w:rPr>
          <w:b/>
        </w:rPr>
        <w:t xml:space="preserve"> </w:t>
      </w:r>
      <w:r w:rsidRPr="002F4348">
        <w:rPr>
          <w:b/>
        </w:rPr>
        <w:t xml:space="preserve">(уровень достоверности доказательств </w:t>
      </w:r>
      <w:r w:rsidR="00D95919" w:rsidRPr="002F4348">
        <w:rPr>
          <w:b/>
        </w:rPr>
        <w:t>5</w:t>
      </w:r>
      <w:r w:rsidRPr="002F4348">
        <w:rPr>
          <w:b/>
        </w:rPr>
        <w:t>).</w:t>
      </w:r>
    </w:p>
    <w:p w14:paraId="0F09BF7B" w14:textId="77777777" w:rsidR="000578EF" w:rsidRPr="002F4348" w:rsidRDefault="000578EF" w:rsidP="00B153FC">
      <w:pPr>
        <w:pStyle w:val="afe"/>
        <w:numPr>
          <w:ilvl w:val="0"/>
          <w:numId w:val="12"/>
        </w:numPr>
        <w:spacing w:before="120" w:after="120"/>
        <w:ind w:left="709" w:hanging="709"/>
      </w:pPr>
      <w:r w:rsidRPr="002F4348">
        <w:t>Пациентам до 50 лет с рефрактерным течением заболевания (не достигнута частичная ремиссия после окончания химиотерапевтического этапа, констатировано прогрессирование), либо с первым ранним рецидивом (продолжительность ремиссии менее 1 года после завершения индукционного лечения), либо в первом позднем рецидиве с большой массой опухоли или во втором позднем рецидиве, если на предшествующих этапах лечения не проводилось облучение поясничного отдела позвоночника</w:t>
      </w:r>
      <w:r w:rsidR="009D1643" w:rsidRPr="002F4348">
        <w:t xml:space="preserve"> и</w:t>
      </w:r>
      <w:r w:rsidRPr="002F4348">
        <w:t xml:space="preserve"> костей таза</w:t>
      </w:r>
      <w:r w:rsidR="009D1643" w:rsidRPr="002F4348">
        <w:t>,</w:t>
      </w:r>
      <w:r w:rsidRPr="002F4348">
        <w:t xml:space="preserve"> и/или не использовались циклы, включающие такие алкилирующие препараты, как </w:t>
      </w:r>
      <w:r w:rsidR="002A78D6" w:rsidRPr="002F4348">
        <w:t>#</w:t>
      </w:r>
      <w:r w:rsidRPr="002F4348">
        <w:t>мелфалан** и ломустин**</w:t>
      </w:r>
      <w:r w:rsidRPr="002F4348">
        <w:rPr>
          <w:rFonts w:cstheme="minorHAnsi"/>
          <w:lang w:eastAsia="ru-RU"/>
        </w:rPr>
        <w:t>, которым запланирована аутоТГСК и у которых не достигнута полная ремиссия ПЭТ-негативная ремиссия после химиотерапии</w:t>
      </w:r>
      <w:r w:rsidR="00911FEB" w:rsidRPr="002F4348">
        <w:rPr>
          <w:rFonts w:cstheme="minorHAnsi"/>
          <w:lang w:eastAsia="ru-RU"/>
        </w:rPr>
        <w:t xml:space="preserve"> рецидива</w:t>
      </w:r>
      <w:r w:rsidRPr="002F4348">
        <w:rPr>
          <w:rFonts w:cstheme="minorHAnsi"/>
          <w:lang w:eastAsia="ru-RU"/>
        </w:rPr>
        <w:t xml:space="preserve">, </w:t>
      </w:r>
      <w:r w:rsidRPr="002F4348">
        <w:rPr>
          <w:b/>
        </w:rPr>
        <w:t>рекомендуется</w:t>
      </w:r>
      <w:r w:rsidRPr="002F4348">
        <w:t xml:space="preserve"> проведение альтернативной терапии </w:t>
      </w:r>
      <w:r w:rsidR="00911FEB" w:rsidRPr="002F4348">
        <w:t>рецидива</w:t>
      </w:r>
      <w:r w:rsidRPr="002F4348">
        <w:t xml:space="preserve"> для достижения полной ПЭТ-негативной ремиссии</w:t>
      </w:r>
      <w:r w:rsidR="00FC6F6E" w:rsidRPr="002F4348">
        <w:t xml:space="preserve"> перед</w:t>
      </w:r>
      <w:r w:rsidRPr="002F4348">
        <w:t xml:space="preserve"> высокодозной терапи</w:t>
      </w:r>
      <w:r w:rsidR="00FC6F6E" w:rsidRPr="002F4348">
        <w:t>ей</w:t>
      </w:r>
      <w:r w:rsidRPr="002F4348">
        <w:t xml:space="preserve"> с последующей трансплантацией ГСК </w:t>
      </w:r>
      <w:r w:rsidR="006E0A80" w:rsidRPr="002F4348">
        <w:fldChar w:fldCharType="begin" w:fldLock="1"/>
      </w:r>
      <w:r w:rsidR="002C6C01" w:rsidRPr="002F4348">
        <w:instrText>ADDIN CSL_CITATION {"citationItems":[{"id":"ITEM-1","itemData":{"DOI":"10.1182/blood-2010-05-282756","ISSN":"1528-0020","PMID":"20733154","abstract":"To identify prognostic factors for patients transplanted for relapsed or refractory Hodgkin lymphoma we carried out a combined analysis of patients followed prospectively on 3 consecutive protocols at Memorial Sloan-Kettering Cancer Center. One hundred fifty-three patients with chemosensitive disease after ICE (ifosfamide, carboplatin, and etoposide)-based salvage therapy (ST) proceeded to high-dose chemoradiotherapy followed by autologous stem cell transplantation (ASCT). Patients were evaluated with computed tomography and functional imaging (gallium or fluorodeoxyglucose-positron emission tomography) prior to ST and again before ASCT. Functional imaging status before ASCT was the only factor significant for event-free survival (EFS) and overall survival by multivariate analysis and clearly identifies poor risk patients (5-year EFS 31% and 75% for FI-positive and negative patients respectively). Administration of involved-field radiotherapy with ASCT was marginally significant for EFS (P = .055). Studies evaluating novel STs, conditioning regimens, post-ASCT maintenance, or allogeneic stem cell transplantation are warranted for patients who fail to normalize pre-ASCT functional imaging.","author":[{"dropping-particle":"","family":"Moskowitz","given":"Alison J","non-dropping-particle":"","parse-names":false,"suffix":""},{"dropping-particle":"","family":"Yahalom","given":"Joachim","non-dropping-particle":"","parse-names":false,"suffix":""},{"dropping-particle":"","family":"Kewalramani","given":"Tarun","non-dropping-particle":"","parse-names":false,"suffix":""},{"dropping-particle":"","family":"Maragulia","given":"Jocelyn C","non-dropping-particle":"","parse-names":false,"suffix":""},{"dropping-particle":"","family":"Vanak","given":"Jill M","non-dropping-particle":"","parse-names":false,"suffix":""},{"dropping-particle":"","family":"Zelenetz","given":"Andrew D","non-dropping-particle":"","parse-names":false,"suffix":""},{"dropping-particle":"","family":"Moskowitz","given":"Craig H","non-dropping-particle":"","parse-names":false,"suffix":""}],"container-title":"Blood","id":"ITEM-1","issue":"23","issued":{"date-parts":[["2010","12","2"]]},"page":"4934-7","title":"Pretransplantation functional imaging predicts outcome following autologous stem cell transplantation for relapsed and refractory Hodgkin lymphoma.","type":"article-journal","volume":"116"},"uris":["http://www.mendeley.com/documents/?uuid=a1a6ba8e-0416-3832-a74c-aadaa71287d0","http://www.mendeley.com/documents/?uuid=d674141d-56b5-41a8-96b7-bb4c21f459c7"]}],"mendeley":{"formattedCitation":"[42]","plainTextFormattedCitation":"[42]","previouslyFormattedCitation":"[42]"},"properties":{"noteIndex":0},"schema":"https://github.com/citation-style-language/schema/raw/master/csl-citation.json"}</w:instrText>
      </w:r>
      <w:r w:rsidR="006E0A80" w:rsidRPr="002F4348">
        <w:fldChar w:fldCharType="separate"/>
      </w:r>
      <w:r w:rsidR="0046092E" w:rsidRPr="002F4348">
        <w:rPr>
          <w:noProof/>
        </w:rPr>
        <w:t>[42]</w:t>
      </w:r>
      <w:r w:rsidR="006E0A80" w:rsidRPr="002F4348">
        <w:fldChar w:fldCharType="end"/>
      </w:r>
      <w:r w:rsidRPr="002F4348">
        <w:t>.</w:t>
      </w:r>
    </w:p>
    <w:p w14:paraId="040378A6" w14:textId="77777777" w:rsidR="000578EF" w:rsidRPr="002F4348" w:rsidRDefault="000578EF" w:rsidP="006E0A80">
      <w:pPr>
        <w:ind w:left="709" w:firstLine="0"/>
        <w:contextualSpacing/>
        <w:rPr>
          <w:b/>
        </w:rPr>
      </w:pPr>
      <w:r w:rsidRPr="002F4348">
        <w:rPr>
          <w:b/>
        </w:rPr>
        <w:t xml:space="preserve">Уровень убедительности рекомендаций </w:t>
      </w:r>
      <w:r w:rsidR="002A78D6" w:rsidRPr="002F4348">
        <w:rPr>
          <w:b/>
        </w:rPr>
        <w:t xml:space="preserve">С </w:t>
      </w:r>
      <w:r w:rsidRPr="002F4348">
        <w:rPr>
          <w:b/>
        </w:rPr>
        <w:t xml:space="preserve">(уровень достоверности доказательств </w:t>
      </w:r>
      <w:r w:rsidR="002A78D6" w:rsidRPr="002F4348">
        <w:rPr>
          <w:b/>
        </w:rPr>
        <w:t>4</w:t>
      </w:r>
      <w:r w:rsidRPr="002F4348">
        <w:rPr>
          <w:b/>
        </w:rPr>
        <w:t>).</w:t>
      </w:r>
    </w:p>
    <w:p w14:paraId="14383D2B" w14:textId="77777777" w:rsidR="000578EF" w:rsidRPr="002F4348" w:rsidRDefault="000578EF" w:rsidP="00B153FC">
      <w:pPr>
        <w:pStyle w:val="afe"/>
        <w:numPr>
          <w:ilvl w:val="0"/>
          <w:numId w:val="12"/>
        </w:numPr>
        <w:spacing w:before="120" w:after="120"/>
        <w:ind w:left="709" w:hanging="709"/>
      </w:pPr>
      <w:r w:rsidRPr="002F4348">
        <w:t xml:space="preserve">Пациентам </w:t>
      </w:r>
      <w:r w:rsidRPr="002F4348">
        <w:rPr>
          <w:lang w:val="en-US"/>
        </w:rPr>
        <w:t>c</w:t>
      </w:r>
      <w:r w:rsidRPr="002F4348">
        <w:t xml:space="preserve"> </w:t>
      </w:r>
      <w:r w:rsidR="000E5A78" w:rsidRPr="002F4348">
        <w:t xml:space="preserve">иммуногистохимически доказанной </w:t>
      </w:r>
      <w:r w:rsidRPr="002F4348">
        <w:t xml:space="preserve">кЛХ, которым была выполнена </w:t>
      </w:r>
      <w:r w:rsidRPr="002F4348">
        <w:rPr>
          <w:rFonts w:cstheme="minorHAnsi"/>
          <w:lang w:eastAsia="ru-RU"/>
        </w:rPr>
        <w:t xml:space="preserve">аутоТГСК, </w:t>
      </w:r>
      <w:r w:rsidR="00FC6F6E" w:rsidRPr="002F4348">
        <w:rPr>
          <w:rFonts w:cstheme="minorHAnsi"/>
          <w:lang w:eastAsia="ru-RU"/>
        </w:rPr>
        <w:t>имеющим</w:t>
      </w:r>
      <w:r w:rsidRPr="002F4348">
        <w:rPr>
          <w:rFonts w:cstheme="minorHAnsi"/>
          <w:lang w:eastAsia="ru-RU"/>
        </w:rPr>
        <w:t xml:space="preserve"> повышенны</w:t>
      </w:r>
      <w:r w:rsidR="00FC6F6E" w:rsidRPr="002F4348">
        <w:rPr>
          <w:rFonts w:cstheme="minorHAnsi"/>
          <w:lang w:eastAsia="ru-RU"/>
        </w:rPr>
        <w:t>й</w:t>
      </w:r>
      <w:r w:rsidRPr="002F4348">
        <w:rPr>
          <w:rFonts w:cstheme="minorHAnsi"/>
          <w:lang w:eastAsia="ru-RU"/>
        </w:rPr>
        <w:t xml:space="preserve"> риск рецидива или прогрессирования заболевания (резистентность к первой линии терапии, рецидив или прогрессирование лимфомы в течение 12 месяцев после окончания 1 линии терапии, наличие экстранодального поражения при рецидиве до аутоТГСК), после восстановления от аутоТГСК </w:t>
      </w:r>
      <w:r w:rsidRPr="002F4348">
        <w:rPr>
          <w:b/>
        </w:rPr>
        <w:t>рекомендуется</w:t>
      </w:r>
      <w:r w:rsidRPr="002F4348">
        <w:t xml:space="preserve"> проведение </w:t>
      </w:r>
      <w:r w:rsidR="00FC6F6E" w:rsidRPr="002F4348">
        <w:t>консолидирующей</w:t>
      </w:r>
      <w:r w:rsidRPr="002F4348">
        <w:t xml:space="preserve"> терапии брентуксимабом ведотином** с целью воздействия на минимальную остаточную болезнь</w:t>
      </w:r>
      <w:r w:rsidR="006E0A80" w:rsidRPr="002F4348">
        <w:t xml:space="preserve"> </w:t>
      </w:r>
      <w:r w:rsidR="006E0A80" w:rsidRPr="002F4348">
        <w:fldChar w:fldCharType="begin" w:fldLock="1"/>
      </w:r>
      <w:r w:rsidR="00A850F7" w:rsidRPr="002F4348">
        <w:instrText>ADDIN CSL_CITATION {"citationItems":[{"id":"ITEM-1","itemData":{"DOI":"10.1182/blood-2018-07-861641","ISSN":"1528-0020","PMID":"30266774","abstract":"The phase 3 AETHERA trial established brentuximab vedotin (BV) as a consolidative treatment option for adult patients with classical Hodgkin lymphoma (cHL) at high risk of relapse or progression after autologous hematopoietic stem-cell transplantation (auto-HSCT). Results showed that BV significantly improved progression-free survival (PFS) vs placebo plus best supportive care alone. At 5-year follow-up, BV continued to provide patients with sustained PFS benefit; 5-year PFS was 59% (95% confidence interval [CI], 51-66) with BV vs 41% (95% CI, 33-49) with placebo (hazard ratio [HR], 0.521; 95% CI, 0.379-0.717). Similarly, patients with ≥2 risk factors in the BV arm experienced significantly higher PFS at 5 years than patients in the placebo arm (HR, 0.424; 95% CI, 0.302-0.596). Upfront consolidation with BV significantly delayed time to second subsequent therapy, an indicator of ongoing disease control, vs placebo. Peripheral neuropathy, the most common adverse event in patients receiving BV, continued to improve and/or resolve in 90% of patients. In summary, consolidation with BV in adult patients with cHL at high risk of relapse or progression after auto-HSCT confers a sustained PFS benefit and is safe and well tolerated. Physicians should consider each patient's HL risk factor profile when making treatment decisions. This trial was registered at www.clinicaltrials.gov as #NCT01100502.","author":[{"dropping-particle":"","family":"Moskowitz","given":"Craig H","non-dropping-particle":"","parse-names":false,"suffix":""},{"dropping-particle":"","family":"Walewski","given":"Jan","non-dropping-particle":"","parse-names":false,"suffix":""},{"dropping-particle":"","family":"Nademanee","given":"Auayporn","non-dropping-particle":"","parse-names":false,"suffix":""},{"dropping-particle":"","family":"Masszi","given":"Tamas","non-dropping-particle":"","parse-names":false,"suffix":""},{"dropping-particle":"","family":"Agura","given":"Edward","non-dropping-particle":"","parse-names":false,"suffix":""},{"dropping-particle":"","family":"Holowiecki","given":"Jerzy","non-dropping-particle":"","parse-names":false,"suffix":""},{"dropping-particle":"","family":"Abidi","given":"Muneer H","non-dropping-particle":"","parse-names":false,"suffix":""},{"dropping-particle":"","family":"Chen","given":"Andy I","non-dropping-particle":"","parse-names":false,"suffix":""},{"dropping-particle":"","family":"Stiff","given":"Patrick","non-dropping-particle":"","parse-names":false,"suffix":""},{"dropping-particle":"","family":"Viviani","given":"Simonetta","non-dropping-particle":"","parse-names":false,"suffix":""},{"dropping-particle":"","family":"Bachanova","given":"Veronika","non-dropping-particle":"","parse-names":false,"suffix":""},{"dropping-particle":"","family":"Sureda","given":"Anna","non-dropping-particle":"","parse-names":false,"suffix":""},{"dropping-particle":"","family":"McClendon","given":"Teresa","non-dropping-particle":"","parse-names":false,"suffix":""},{"dropping-particle":"","family":"Lee","given":"Connie","non-dropping-particle":"","parse-names":false,"suffix":""},{"dropping-particle":"","family":"Lisano","given":"Julie","non-dropping-particle":"","parse-names":false,"suffix":""},{"dropping-particle":"","family":"Sweetenham","given":"John","non-dropping-particle":"","parse-names":false,"suffix":""}],"container-title":"Blood","id":"ITEM-1","issue":"25","issued":{"date-parts":[["2018"]]},"page":"2639-2642","title":"Five-year PFS from the AETHERA trial of brentuximab vedotin for Hodgkin lymphoma at high risk of progression or relapse.","type":"article-journal","volume":"132"},"uris":["http://www.mendeley.com/documents/?uuid=5b768b18-0e6c-33fd-ae0a-eae7ea95bc8b","http://www.mendeley.com/documents/?uuid=1aa27cee-d20b-46e1-9d47-6e959ccc2282"]}],"mendeley":{"formattedCitation":"[43]","plainTextFormattedCitation":"[43]","previouslyFormattedCitation":"[43]"},"properties":{"noteIndex":0},"schema":"https://github.com/citation-style-language/schema/raw/master/csl-citation.json"}</w:instrText>
      </w:r>
      <w:r w:rsidR="006E0A80" w:rsidRPr="002F4348">
        <w:fldChar w:fldCharType="separate"/>
      </w:r>
      <w:r w:rsidR="0046092E" w:rsidRPr="002F4348">
        <w:rPr>
          <w:noProof/>
        </w:rPr>
        <w:t>[43]</w:t>
      </w:r>
      <w:r w:rsidR="006E0A80" w:rsidRPr="002F4348">
        <w:fldChar w:fldCharType="end"/>
      </w:r>
      <w:r w:rsidRPr="002F4348">
        <w:t>.</w:t>
      </w:r>
      <w:r w:rsidR="00260D24" w:rsidRPr="002F4348">
        <w:t xml:space="preserve"> </w:t>
      </w:r>
    </w:p>
    <w:p w14:paraId="4C8F4B53" w14:textId="77777777" w:rsidR="000578EF" w:rsidRPr="002F4348" w:rsidRDefault="000578EF" w:rsidP="006E0A80">
      <w:pPr>
        <w:ind w:left="709" w:firstLine="0"/>
        <w:contextualSpacing/>
        <w:rPr>
          <w:b/>
        </w:rPr>
      </w:pPr>
      <w:r w:rsidRPr="002F4348">
        <w:rPr>
          <w:b/>
        </w:rPr>
        <w:lastRenderedPageBreak/>
        <w:t xml:space="preserve">Уровень убедительности рекомендаций </w:t>
      </w:r>
      <w:r w:rsidRPr="002F4348">
        <w:rPr>
          <w:b/>
          <w:lang w:val="en-US"/>
        </w:rPr>
        <w:t>A</w:t>
      </w:r>
      <w:r w:rsidRPr="002F4348">
        <w:rPr>
          <w:b/>
        </w:rPr>
        <w:t xml:space="preserve"> (уровень достоверности доказательств 2).</w:t>
      </w:r>
    </w:p>
    <w:p w14:paraId="30498B8A" w14:textId="77777777" w:rsidR="000578EF" w:rsidRPr="002F4348" w:rsidRDefault="000578EF" w:rsidP="006E0A80">
      <w:pPr>
        <w:ind w:left="709" w:firstLine="0"/>
        <w:contextualSpacing/>
        <w:rPr>
          <w:i/>
        </w:rPr>
      </w:pPr>
      <w:r w:rsidRPr="002F4348">
        <w:rPr>
          <w:b/>
        </w:rPr>
        <w:t xml:space="preserve">Комментарий: </w:t>
      </w:r>
      <w:r w:rsidR="00FC6F6E" w:rsidRPr="002F4348">
        <w:rPr>
          <w:bCs/>
          <w:i/>
          <w:iCs/>
        </w:rPr>
        <w:t>консолидирующую</w:t>
      </w:r>
      <w:r w:rsidR="006E0A80" w:rsidRPr="002F4348">
        <w:rPr>
          <w:i/>
        </w:rPr>
        <w:t xml:space="preserve"> </w:t>
      </w:r>
      <w:r w:rsidRPr="002F4348">
        <w:rPr>
          <w:i/>
        </w:rPr>
        <w:t xml:space="preserve">терапию рекомендовано проводить в объеме 16 циклов (введений), с контрольным обследованием каждые 4 введения. </w:t>
      </w:r>
    </w:p>
    <w:p w14:paraId="107B058D" w14:textId="77777777" w:rsidR="00AF7684" w:rsidRPr="002F4348" w:rsidRDefault="00AF7684" w:rsidP="006E0A80">
      <w:pPr>
        <w:ind w:left="709" w:firstLine="0"/>
        <w:contextualSpacing/>
        <w:rPr>
          <w:b/>
          <w:i/>
          <w:iCs/>
        </w:rPr>
      </w:pPr>
      <w:r w:rsidRPr="002F4348">
        <w:rPr>
          <w:i/>
          <w:iCs/>
        </w:rPr>
        <w:t>Пациентам</w:t>
      </w:r>
      <w:r w:rsidR="00F037C8" w:rsidRPr="002F4348">
        <w:rPr>
          <w:i/>
          <w:iCs/>
        </w:rPr>
        <w:t xml:space="preserve"> с кЛХ</w:t>
      </w:r>
      <w:r w:rsidRPr="002F4348">
        <w:rPr>
          <w:i/>
          <w:iCs/>
        </w:rPr>
        <w:t xml:space="preserve"> до 18 лет терапия брентуксимабом ведотином</w:t>
      </w:r>
      <w:r w:rsidR="000C31F1" w:rsidRPr="002F4348">
        <w:rPr>
          <w:i/>
          <w:iCs/>
        </w:rPr>
        <w:t>**</w:t>
      </w:r>
      <w:r w:rsidRPr="002F4348">
        <w:rPr>
          <w:i/>
          <w:iCs/>
        </w:rPr>
        <w:t xml:space="preserve"> проводится после аутоТГСК только в тех случаях, когда до трансплантации не была достигнута метаболическая ремиссия.</w:t>
      </w:r>
    </w:p>
    <w:p w14:paraId="5A90B296" w14:textId="77777777" w:rsidR="000578EF" w:rsidRPr="002F4348" w:rsidRDefault="000578EF" w:rsidP="00B153FC">
      <w:pPr>
        <w:pStyle w:val="afe"/>
        <w:numPr>
          <w:ilvl w:val="0"/>
          <w:numId w:val="12"/>
        </w:numPr>
        <w:spacing w:before="120" w:after="120"/>
        <w:ind w:left="709" w:hanging="709"/>
      </w:pPr>
      <w:r w:rsidRPr="002F4348">
        <w:t xml:space="preserve">Пациентам с рецидивами или рефрактерным течением кЛХ, которым не планируется аутоТГСК, </w:t>
      </w:r>
      <w:r w:rsidRPr="002F4348">
        <w:rPr>
          <w:b/>
        </w:rPr>
        <w:t>рекомендуется</w:t>
      </w:r>
      <w:r w:rsidRPr="002F4348">
        <w:t xml:space="preserve"> проведение химиотерапии</w:t>
      </w:r>
      <w:r w:rsidR="00911FEB" w:rsidRPr="002F4348">
        <w:t xml:space="preserve"> рецидива</w:t>
      </w:r>
      <w:r w:rsidRPr="002F4348">
        <w:t xml:space="preserve"> по любой из схем терапии второй линии на выбор лечащего врача </w:t>
      </w:r>
      <w:r w:rsidR="006E0A80" w:rsidRPr="002F4348">
        <w:fldChar w:fldCharType="begin" w:fldLock="1"/>
      </w:r>
      <w:r w:rsidR="00A850F7" w:rsidRPr="002F4348">
        <w:instrText>ADDIN CSL_CITATION {"citationItems":[{"id":"ITEM-1","itemData":{"DOI":"10.1177/2040620717728000","ISSN":"2040-6207","PMID":"29051800","abstract":"Hodgkin lymphoma (HL) is curable in 70-80% of patients with first-line therapy. However, relapses occur in a minority of patients with favorable early stage disease and are more frequent in patients with advanced HL. Salvage chemotherapy followed by high-dose chemotherapy and autologous stem cell transplant (ASCT) for patients with chemotherapy-sensitive disease is a standard treatment sequence for relapsed or refractory (rel/ref) HL. Patients who achieve complete response prior to ASCT have better survival outcomes. The choice of salvage chemotherapy therapy is becoming increasingly difficult in the era of novel agents, as there are no randomized studies to guide the choice of a second-line regimen. In this article, we will review current salvage therapy options, including combination chemotherapy and novel-agent-based salvage regimens for rel/ref HL.","author":[{"dropping-particle":"","family":"Nikolaenko","given":"Liana","non-dropping-particle":"","parse-names":false,"suffix":""},{"dropping-particle":"","family":"Chen","given":"Robert","non-dropping-particle":"","parse-names":false,"suffix":""},{"dropping-particle":"","family":"Herrera","given":"Alex F","non-dropping-particle":"","parse-names":false,"suffix":""}],"container-title":"Therapeutic advances in hematology","id":"ITEM-1","issue":"10","issued":{"date-parts":[["2017","10"]]},"page":"293-302","title":"Current strategies for salvage treatment for relapsed classical Hodgkin lymphoma.","type":"article-journal","volume":"8"},"uris":["http://www.mendeley.com/documents/?uuid=3ab53962-67dc-49b7-916f-6bd163d6c7b4","http://www.mendeley.com/documents/?uuid=b55fc780-a3ae-3e9b-bfe5-f7cf22124d6e"]},{"id":"ITEM-2","itemData":{"DOI":"10.1155/2015/968212","ISSN":"2314-7156","PMID":"26788526","abstract":"Hodgkin lymphoma (HL) is a potentially curable lymphoma, and modern therapy is expected to successfully cure more than 80% of the patients. Second-line salvage high-dose chemotherapy and autologous stem cell transplantation (auto-SCT) have an established role in the management of refractory and relapsed HL, leading to long-lasting responses in approximately 50% of relapsed patients and a minority of refractory patients. Patients progressing after intensive treatments, such as auto-SCT, have a very poor outcome. Allogeneic SCT represents the only strategy with a curative potential for these patients; however, its role is controversial. Based on recent knowledge of HL pathology, biology, and immunology, antibody-drug conjugates targeting CD30, small molecule inhibitors of cell signaling, and antibodies that inhibit immune checkpoints are currently explored. This review will discuss the clinical results regarding auto-SCT and allo-SCT as well as the current role of emerging new treatment strategies.","author":[{"dropping-particle":"","family":"Fedele","given":"Roberta","non-dropping-particle":"","parse-names":false,"suffix":""},{"dropping-particle":"","family":"Martino","given":"Massimo","non-dropping-particle":"","parse-names":false,"suffix":""},{"dropping-particle":"","family":"Recchia","given":"Anna Grazia","non-dropping-particle":"","parse-names":false,"suffix":""},{"dropping-particle":"","family":"Irrera","given":"Giuseppe","non-dropping-particle":"","parse-names":false,"suffix":""},{"dropping-particle":"","family":"Gentile","given":"Massimo","non-dropping-particle":"","parse-names":false,"suffix":""},{"dropping-particle":"","family":"Morabito","given":"Fortunato","non-dropping-particle":"","parse-names":false,"suffix":""}],"container-title":"Journal of immunology research","id":"ITEM-2","issued":{"date-parts":[["2015"]]},"page":"968212","title":"Clinical Options in Relapsed or Refractory Hodgkin Lymphoma: An Updated Review.","type":"article-journal","volume":"2015"},"uris":["http://www.mendeley.com/documents/?uuid=1290694a-455a-44b1-89a5-0786a8dace84","http://www.mendeley.com/documents/?uuid=e32f600c-cdaf-3b03-9768-4c2f6c62f226","http://www.mendeley.com/documents/?uuid=00f4327f-362c-474b-bf45-c6563a5368ea"]}],"mendeley":{"formattedCitation":"[39,40]","plainTextFormattedCitation":"[39,40]","previouslyFormattedCitation":"[39,40]"},"properties":{"noteIndex":0},"schema":"https://github.com/citation-style-language/schema/raw/master/csl-citation.json"}</w:instrText>
      </w:r>
      <w:r w:rsidR="006E0A80" w:rsidRPr="002F4348">
        <w:fldChar w:fldCharType="separate"/>
      </w:r>
      <w:r w:rsidR="0046092E" w:rsidRPr="002F4348">
        <w:rPr>
          <w:noProof/>
        </w:rPr>
        <w:t>[39,40]</w:t>
      </w:r>
      <w:r w:rsidR="006E0A80" w:rsidRPr="002F4348">
        <w:fldChar w:fldCharType="end"/>
      </w:r>
      <w:r w:rsidRPr="002F4348">
        <w:t>.</w:t>
      </w:r>
    </w:p>
    <w:p w14:paraId="7C1FFF74" w14:textId="77777777" w:rsidR="000578EF" w:rsidRPr="002F4348" w:rsidRDefault="000578EF" w:rsidP="006E0A80">
      <w:pPr>
        <w:ind w:left="709" w:firstLine="0"/>
        <w:contextualSpacing/>
        <w:rPr>
          <w:b/>
        </w:rPr>
      </w:pPr>
      <w:r w:rsidRPr="002F4348">
        <w:rPr>
          <w:b/>
        </w:rPr>
        <w:t xml:space="preserve">Уровень убедительности рекомендаций </w:t>
      </w:r>
      <w:r w:rsidR="00C13062" w:rsidRPr="002F4348">
        <w:rPr>
          <w:b/>
          <w:lang w:val="en-US"/>
        </w:rPr>
        <w:t>C</w:t>
      </w:r>
      <w:r w:rsidR="00C13062" w:rsidRPr="002F4348">
        <w:rPr>
          <w:b/>
        </w:rPr>
        <w:t xml:space="preserve"> </w:t>
      </w:r>
      <w:r w:rsidRPr="002F4348">
        <w:rPr>
          <w:b/>
        </w:rPr>
        <w:t xml:space="preserve">(уровень достоверности доказательств </w:t>
      </w:r>
      <w:r w:rsidR="00C13062" w:rsidRPr="002F4348">
        <w:rPr>
          <w:b/>
        </w:rPr>
        <w:t>5</w:t>
      </w:r>
      <w:r w:rsidRPr="002F4348">
        <w:rPr>
          <w:b/>
        </w:rPr>
        <w:t>).</w:t>
      </w:r>
    </w:p>
    <w:p w14:paraId="7297F29C" w14:textId="77777777" w:rsidR="000578EF" w:rsidRPr="002F4348" w:rsidRDefault="000578EF" w:rsidP="006E0A80">
      <w:pPr>
        <w:ind w:left="709" w:firstLine="0"/>
        <w:contextualSpacing/>
        <w:rPr>
          <w:i/>
        </w:rPr>
      </w:pPr>
      <w:r w:rsidRPr="002F4348">
        <w:rPr>
          <w:b/>
        </w:rPr>
        <w:t xml:space="preserve">Комментарий: </w:t>
      </w:r>
      <w:r w:rsidR="007A344D" w:rsidRPr="002F4348">
        <w:rPr>
          <w:i/>
        </w:rPr>
        <w:t xml:space="preserve">в </w:t>
      </w:r>
      <w:r w:rsidRPr="002F4348">
        <w:rPr>
          <w:i/>
        </w:rPr>
        <w:t xml:space="preserve">качестве терапии второй линии могут применяться комбинации </w:t>
      </w:r>
      <w:r w:rsidR="007A344D" w:rsidRPr="002F4348">
        <w:rPr>
          <w:i/>
          <w:lang w:val="en-US"/>
        </w:rPr>
        <w:t>ICE</w:t>
      </w:r>
      <w:r w:rsidR="007A344D" w:rsidRPr="002F4348">
        <w:rPr>
          <w:i/>
        </w:rPr>
        <w:t xml:space="preserve">, </w:t>
      </w:r>
      <w:r w:rsidR="007A344D" w:rsidRPr="002F4348">
        <w:rPr>
          <w:i/>
          <w:lang w:val="en-US"/>
        </w:rPr>
        <w:t>DHAP</w:t>
      </w:r>
      <w:r w:rsidR="007A344D" w:rsidRPr="002F4348">
        <w:rPr>
          <w:i/>
        </w:rPr>
        <w:t xml:space="preserve">, </w:t>
      </w:r>
      <w:r w:rsidR="007A344D" w:rsidRPr="002F4348">
        <w:rPr>
          <w:i/>
          <w:lang w:val="en-US"/>
        </w:rPr>
        <w:t>IGEV</w:t>
      </w:r>
      <w:r w:rsidR="007A344D" w:rsidRPr="002F4348">
        <w:rPr>
          <w:i/>
        </w:rPr>
        <w:t xml:space="preserve">, </w:t>
      </w:r>
      <w:r w:rsidR="007A344D" w:rsidRPr="002F4348">
        <w:rPr>
          <w:i/>
          <w:lang w:val="en-US"/>
        </w:rPr>
        <w:t>GDP</w:t>
      </w:r>
      <w:r w:rsidR="007A344D" w:rsidRPr="002F4348">
        <w:rPr>
          <w:i/>
        </w:rPr>
        <w:t xml:space="preserve">, </w:t>
      </w:r>
      <w:r w:rsidR="007A344D" w:rsidRPr="002F4348">
        <w:rPr>
          <w:i/>
          <w:lang w:val="en-US"/>
        </w:rPr>
        <w:t>ESHAP</w:t>
      </w:r>
      <w:r w:rsidR="007A344D" w:rsidRPr="002F4348">
        <w:rPr>
          <w:i/>
        </w:rPr>
        <w:t xml:space="preserve">, </w:t>
      </w:r>
      <w:r w:rsidR="007A344D" w:rsidRPr="002F4348">
        <w:rPr>
          <w:i/>
          <w:lang w:val="en-US"/>
        </w:rPr>
        <w:t>GemOx</w:t>
      </w:r>
      <w:r w:rsidR="007A344D" w:rsidRPr="002F4348">
        <w:rPr>
          <w:i/>
        </w:rPr>
        <w:t xml:space="preserve">, </w:t>
      </w:r>
      <w:r w:rsidR="007A344D" w:rsidRPr="002F4348">
        <w:rPr>
          <w:i/>
          <w:lang w:val="en-US"/>
        </w:rPr>
        <w:t>IEP</w:t>
      </w:r>
      <w:r w:rsidR="007A344D" w:rsidRPr="002F4348">
        <w:rPr>
          <w:i/>
        </w:rPr>
        <w:t xml:space="preserve"> </w:t>
      </w:r>
      <w:r w:rsidRPr="002F4348">
        <w:rPr>
          <w:i/>
        </w:rPr>
        <w:t>и др. (</w:t>
      </w:r>
      <w:r w:rsidR="007A344D" w:rsidRPr="002F4348">
        <w:rPr>
          <w:i/>
        </w:rPr>
        <w:t>описание режимов – см. приложение А3.1)</w:t>
      </w:r>
      <w:r w:rsidRPr="002F4348">
        <w:rPr>
          <w:i/>
        </w:rPr>
        <w:t>. Все эти режимы имеют сопоставимую эффективность и токсичность и могут применяться в зависимости от опыта и предпочтений лечащего врача.</w:t>
      </w:r>
    </w:p>
    <w:p w14:paraId="4A43330C" w14:textId="77777777" w:rsidR="000578EF" w:rsidRPr="002F4348" w:rsidRDefault="000578EF" w:rsidP="00B153FC">
      <w:pPr>
        <w:pStyle w:val="afe"/>
        <w:numPr>
          <w:ilvl w:val="0"/>
          <w:numId w:val="12"/>
        </w:numPr>
        <w:spacing w:before="120" w:after="120"/>
        <w:ind w:left="709" w:hanging="709"/>
      </w:pPr>
      <w:r w:rsidRPr="002F4348">
        <w:t xml:space="preserve">Пациентам </w:t>
      </w:r>
      <w:r w:rsidRPr="002F4348">
        <w:rPr>
          <w:lang w:val="en-US"/>
        </w:rPr>
        <w:t>c</w:t>
      </w:r>
      <w:r w:rsidRPr="002F4348">
        <w:t xml:space="preserve"> кЛХ с рецидивом или рефрактерностью после аутоТГСК, а также не-кандидатам на аутоТГСК, рецидивировавшим после 2 или более линий предшествующей терапии, </w:t>
      </w:r>
      <w:r w:rsidRPr="002F4348">
        <w:rPr>
          <w:b/>
        </w:rPr>
        <w:t>рекомендуется</w:t>
      </w:r>
      <w:r w:rsidRPr="002F4348">
        <w:t xml:space="preserve"> проведение терапии брентуксимабом ведотином**</w:t>
      </w:r>
      <w:r w:rsidR="00FC6F6E" w:rsidRPr="002F4348">
        <w:t xml:space="preserve"> в монорежиме </w:t>
      </w:r>
      <w:r w:rsidR="00FC6F6E" w:rsidRPr="002F4348">
        <w:rPr>
          <w:i/>
        </w:rPr>
        <w:t>(описание режима – см. приложение А3.1)</w:t>
      </w:r>
      <w:r w:rsidR="00897B91" w:rsidRPr="002F4348">
        <w:t xml:space="preserve"> </w:t>
      </w:r>
      <w:r w:rsidR="00897B91" w:rsidRPr="002F4348">
        <w:fldChar w:fldCharType="begin" w:fldLock="1"/>
      </w:r>
      <w:r w:rsidR="00A850F7" w:rsidRPr="002F4348">
        <w:instrText>ADDIN CSL_CITATION {"citationItems":[{"id":"ITEM-1","itemData":{"DOI":"10.1182/blood-2016-02-699850","ISSN":"1528-0020","PMID":"27432875","abstract":"Presented here are the 5-year end-of-study results from the pivotal phase 2 trial of brentuximab vedotin in patients with relapsed/refractory (R/R) Hodgkin lymphoma (HL) after failed hematopoietic autologous stem cell transplantation. At 5 years, the overall patient population (N = 102) had an estimated overall survival (OS) rate of 41% (95% confidence interval [CI]: 31-51) and progression-free survival (PFS) rate of 22% (95% CI: 13-31). Patients who achieved a complete response (CR) to brentuximab vedotin (N = 34) had estimated OS and PFS rates of 64% (95% CI: 48-80%) and 52% (95% CI: 34-69%), respectively. The median OS and PFS were not reached in CR patients, with 13 patients (38% of all CR patients) remaining in follow-up and in remission at study closure. Of the 13 patients, 4 received consolidative hematopoietic allogeneic stem cell transplant, and 9 (9% of all enrolled patients) remain in sustained CR without receiving any further anticancer therapy after treatment with brentuximab vedotin. Of the patients who experienced treatment-emergent peripheral neuropathy, 88% experienced either resolution (73%) or improvement (14%) in symptoms. These 5-year follow-up data demonstrate that a subset of patients with R/R HL who obtained CR with single-agent brentuximab vedotin achieved long-term disease control and may potentially be cured. The trial was registered at www.clinicaltrials.gov as #NCT00848926.","author":[{"dropping-particle":"","family":"Chen","given":"Robert","non-dropping-particle":"","parse-names":false,"suffix":""},{"dropping-particle":"","family":"Gopal","given":"Ajay K","non-dropping-particle":"","parse-names":false,"suffix":""},{"dropping-particle":"","family":"Smith","given":"Scott E","non-dropping-particle":"","parse-names":false,"suffix":""},{"dropping-particle":"","family":"Ansell","given":"Stephen M","non-dropping-particle":"","parse-names":false,"suffix":""},{"dropping-particle":"","family":"Rosenblatt","given":"Joseph D","non-dropping-particle":"","parse-names":false,"suffix":""},{"dropping-particle":"","family":"Savage","given":"Kerry J","non-dropping-particle":"","parse-names":false,"suffix":""},{"dropping-particle":"","family":"Connors","given":"Joseph M","non-dropping-particle":"","parse-names":false,"suffix":""},{"dropping-particle":"","family":"Engert","given":"Andreas","non-dropping-particle":"","parse-names":false,"suffix":""},{"dropping-particle":"","family":"Larsen","given":"Emily K","non-dropping-particle":"","parse-names":false,"suffix":""},{"dropping-particle":"","family":"Huebner","given":"Dirk","non-dropping-particle":"","parse-names":false,"suffix":""},{"dropping-particle":"","family":"Fong","given":"Abraham","non-dropping-particle":"","parse-names":false,"suffix":""},{"dropping-particle":"","family":"Younes","given":"Anas","non-dropping-particle":"","parse-names":false,"suffix":""}],"container-title":"Blood","id":"ITEM-1","issue":"12","issued":{"date-parts":[["2016"]]},"page":"1562-6","title":"Five-year survival and durability results of brentuximab vedotin in patients with relapsed or refractory Hodgkin lymphoma.","type":"article-journal","volume":"128"},"uris":["http://www.mendeley.com/documents/?uuid=7171a4cf-18c2-3866-b256-6fdc24b1baff","http://www.mendeley.com/documents/?uuid=08f7825f-084c-46b8-9a17-db8c6aa474d5"]}],"mendeley":{"formattedCitation":"[44]","plainTextFormattedCitation":"[44]","previouslyFormattedCitation":"[44]"},"properties":{"noteIndex":0},"schema":"https://github.com/citation-style-language/schema/raw/master/csl-citation.json"}</w:instrText>
      </w:r>
      <w:r w:rsidR="00897B91" w:rsidRPr="002F4348">
        <w:fldChar w:fldCharType="separate"/>
      </w:r>
      <w:r w:rsidR="0046092E" w:rsidRPr="002F4348">
        <w:rPr>
          <w:noProof/>
        </w:rPr>
        <w:t>[44]</w:t>
      </w:r>
      <w:r w:rsidR="00897B91" w:rsidRPr="002F4348">
        <w:fldChar w:fldCharType="end"/>
      </w:r>
      <w:r w:rsidRPr="002F4348">
        <w:t>.</w:t>
      </w:r>
    </w:p>
    <w:p w14:paraId="0F0A2E40" w14:textId="77777777" w:rsidR="000578EF" w:rsidRPr="002F4348" w:rsidRDefault="000578EF" w:rsidP="00897B91">
      <w:pPr>
        <w:ind w:left="709" w:firstLine="0"/>
        <w:contextualSpacing/>
        <w:rPr>
          <w:b/>
        </w:rPr>
      </w:pPr>
      <w:r w:rsidRPr="002F4348">
        <w:rPr>
          <w:b/>
        </w:rPr>
        <w:t xml:space="preserve">Уровень убедительности рекомендаций </w:t>
      </w:r>
      <w:r w:rsidR="00C13062" w:rsidRPr="002F4348">
        <w:rPr>
          <w:b/>
          <w:lang w:val="en-US"/>
        </w:rPr>
        <w:t>B</w:t>
      </w:r>
      <w:r w:rsidR="00C13062" w:rsidRPr="002F4348">
        <w:rPr>
          <w:b/>
        </w:rPr>
        <w:t xml:space="preserve"> </w:t>
      </w:r>
      <w:r w:rsidRPr="002F4348">
        <w:rPr>
          <w:b/>
        </w:rPr>
        <w:t>(уровень достоверности доказательств 3).</w:t>
      </w:r>
    </w:p>
    <w:p w14:paraId="149D0D64" w14:textId="77777777" w:rsidR="000578EF" w:rsidRPr="002F4348" w:rsidRDefault="000578EF" w:rsidP="004F0134">
      <w:pPr>
        <w:ind w:left="709" w:firstLine="0"/>
        <w:contextualSpacing/>
        <w:rPr>
          <w:b/>
        </w:rPr>
      </w:pPr>
      <w:r w:rsidRPr="002F4348">
        <w:rPr>
          <w:b/>
        </w:rPr>
        <w:t xml:space="preserve">Комментарий: </w:t>
      </w:r>
      <w:r w:rsidRPr="002F4348">
        <w:rPr>
          <w:i/>
        </w:rPr>
        <w:t xml:space="preserve">при подтверждении чувствительности опухоли проводится как минимум 8, но не более 16 циклов (введений) терапии с осуществлением контроля в процессе лечения каждые 4 цикла.  После окончания лечения контроль осуществляется в стандартном режиме. </w:t>
      </w:r>
    </w:p>
    <w:p w14:paraId="68177B62" w14:textId="77777777" w:rsidR="000578EF" w:rsidRPr="002F4348" w:rsidRDefault="000578EF" w:rsidP="00B153FC">
      <w:pPr>
        <w:pStyle w:val="afe"/>
        <w:numPr>
          <w:ilvl w:val="0"/>
          <w:numId w:val="12"/>
        </w:numPr>
        <w:spacing w:before="120" w:after="120"/>
        <w:ind w:left="709" w:hanging="709"/>
      </w:pPr>
      <w:r w:rsidRPr="002F4348">
        <w:t xml:space="preserve">Пациентам </w:t>
      </w:r>
      <w:r w:rsidRPr="002F4348">
        <w:rPr>
          <w:lang w:val="en-US"/>
        </w:rPr>
        <w:t>c</w:t>
      </w:r>
      <w:r w:rsidRPr="002F4348">
        <w:t xml:space="preserve"> кЛХ</w:t>
      </w:r>
      <w:r w:rsidR="00BC4424" w:rsidRPr="002F4348">
        <w:t xml:space="preserve"> старше 18 лет</w:t>
      </w:r>
      <w:r w:rsidRPr="002F4348">
        <w:t xml:space="preserve"> с рецидивом или рефрактерностью после аутоТГСК и брентуксимаба ведотина** либо после трех и более линий системной терапии, включающей аутоТГСК, в качестве одной из возможных опций </w:t>
      </w:r>
      <w:r w:rsidRPr="002F4348">
        <w:rPr>
          <w:b/>
        </w:rPr>
        <w:t>рекомендуется</w:t>
      </w:r>
      <w:r w:rsidRPr="002F4348">
        <w:t xml:space="preserve"> проведение терапии ниволумабом**</w:t>
      </w:r>
      <w:r w:rsidR="00FC6F6E" w:rsidRPr="002F4348">
        <w:t xml:space="preserve"> </w:t>
      </w:r>
      <w:r w:rsidR="00FC6F6E" w:rsidRPr="002F4348">
        <w:rPr>
          <w:i/>
        </w:rPr>
        <w:t>(описание режима – см. приложение А3.1)</w:t>
      </w:r>
      <w:r w:rsidR="00897B91" w:rsidRPr="002F4348">
        <w:t xml:space="preserve"> </w:t>
      </w:r>
      <w:r w:rsidR="00897B91" w:rsidRPr="002F4348">
        <w:fldChar w:fldCharType="begin" w:fldLock="1"/>
      </w:r>
      <w:r w:rsidR="00A850F7" w:rsidRPr="002F4348">
        <w:instrText>ADDIN CSL_CITATION {"citationItems":[{"id":"ITEM-1","itemData":{"DOI":"10.1016/S1470-2045(16)30167-X","ISSN":"1474-5488","PMID":"27451390","abstract":"BACKGROUND Malignant cells of classical Hodgkin's lymphoma are characterised by genetic alterations at the 9p24.1 locus, leading to overexpression of PD-1 ligands and evasion of immune surveillance. In a phase 1b study, nivolumab, a PD-1-blocking antibody, produced a high response in patients with relapsed and refractory classical Hodgkin's lymphoma, with an acceptable safety profile. We aimed to assess the clinical benefit and safety of nivolumab monotherapy in patients with classical Hodgkin's lymphoma after failure of both autologous stem-cell transplantation and brentuximab vedotin. METHODS In this ongoing, single-arm phase 2 study, adult patients (aged ≥18 years) with recurrent classical Hodgkin's lymphoma who had failed to respond to autologous stem-cell transplantation and had either relapsed after or failed to respond to brentuximab vedotin, and with an Eastern Cooperative Oncology Group performance status score of 0 or 1, were enrolled from 34 hospitals and academic centres across Europe and North America. Patients were given nivolumab intravenously over 60 min at 3 mg/kg every 2 weeks until progression, death, unacceptable toxicity, or withdrawal from study. The primary endpoint was objective response following a prespecified minimum follow-up period of 6 months, assessed by an independent radiological review committee (IRRC). All patients who received at least one dose of nivolumab were included in the primary and safety analyses. This trial is registered with ClinicalTrials.gov, number NCT02181738. FINDINGS Among 80 treated patients recruited between Aug 26, 2014, and Feb 20, 2015, the median number of previous therapies was four (IQR 4-7). At a median follow-up of 8·9 months (IQR 7·8-9·9), 53 (66·3%, 95% CI 54·8-76·4) of 80 patients achieved an IRRC-assessed objective response. The most common drug-related adverse events (those that occurred in ≥15% of patients) included fatigue (20 [25%] patients), infusion-related reaction (16 [20%]), and rash (13 [16%]). The most common drug-related grade 3 or 4 adverse events were neutropenia (four [5%] patients) and increased lipase concentrations (four [5%]). The most common serious adverse event (any grade) was pyrexia (three [4%] patients). Three patients died during the study; none of these deaths were judged to be treatment related. INTERPRETATION Nivolumab resulted in frequent responses with an acceptable safety profile in patients with classical Hodgkin's lymphoma who progressed after autologous…","author":[{"dropping-particle":"","family":"Younes","given":"Anas","non-dropping-particle":"","parse-names":false,"suffix":""},{"dropping-particle":"","family":"Santoro","given":"Armando","non-dropping-particle":"","parse-names":false,"suffix":""},{"dropping-particle":"","family":"Shipp","given":"Margaret","non-dropping-particle":"","parse-names":false,"suffix":""},{"dropping-particle":"","family":"Zinzani","given":"Pier Luigi","non-dropping-particle":"","parse-names":false,"suffix":""},{"dropping-particle":"","family":"Timmerman","given":"John M","non-dropping-particle":"","parse-names":false,"suffix":""},{"dropping-particle":"","family":"Ansell","given":"Stephen","non-dropping-particle":"","parse-names":false,"suffix":""},{"dropping-particle":"","family":"Armand","given":"Philippe","non-dropping-particle":"","parse-names":false,"suffix":""},{"dropping-particle":"","family":"Fanale","given":"Michelle","non-dropping-particle":"","parse-names":false,"suffix":""},{"dropping-particle":"","family":"Ratanatharathorn","given":"Voravit","non-dropping-particle":"","parse-names":false,"suffix":""},{"dropping-particle":"","family":"Kuruvilla","given":"John","non-dropping-particle":"","parse-names":false,"suffix":""},{"dropping-particle":"","family":"Cohen","given":"Jonathon B","non-dropping-particle":"","parse-names":false,"suffix":""},{"dropping-particle":"","family":"Collins","given":"Graham","non-dropping-particle":"","parse-names":false,"suffix":""},{"dropping-particle":"","family":"Savage","given":"Kerry J","non-dropping-particle":"","parse-names":false,"suffix":""},{"dropping-particle":"","family":"Trneny","given":"Marek","non-dropping-particle":"","parse-names":false,"suffix":""},{"dropping-particle":"","family":"Kato","given":"Kazunobu","non-dropping-particle":"","parse-names":false,"suffix":""},{"dropping-particle":"","family":"Farsaci","given":"Benedetto","non-dropping-particle":"","parse-names":false,"suffix":""},{"dropping-particle":"","family":"Parker","given":"Susan M","non-dropping-particle":"","parse-names":false,"suffix":""},{"dropping-particle":"","family":"Rodig","given":"Scott","non-dropping-particle":"","parse-names":false,"suffix":""},{"dropping-particle":"","family":"Roemer","given":"Margaretha G M","non-dropping-particle":"","parse-names":false,"suffix":""},{"dropping-particle":"","family":"Ligon","given":"Azra H","non-dropping-particle":"","parse-names":false,"suffix":""},{"dropping-particle":"","family":"Engert","given":"Andreas","non-dropping-particle":"","parse-names":false,"suffix":""}],"container-title":"The Lancet. Oncology","id":"ITEM-1","issue":"9","issued":{"date-parts":[["2016","9"]]},"page":"1283-94","title":"Nivolumab for classical Hodgkin's lymphoma after failure of both autologous stem-cell transplantation and brentuximab vedotin: a multicentre, multicohort, single-arm phase 2 trial.","type":"article-journal","volume":"17"},"uris":["http://www.mendeley.com/documents/?uuid=a494de98-ec50-3dd7-ad11-20b34ee03662","http://www.mendeley.com/documents/?uuid=d9e0e8e4-df22-4b85-bca6-6eec8a89d71f"]}],"mendeley":{"formattedCitation":"[45]","plainTextFormattedCitation":"[45]","previouslyFormattedCitation":"[45]"},"properties":{"noteIndex":0},"schema":"https://github.com/citation-style-language/schema/raw/master/csl-citation.json"}</w:instrText>
      </w:r>
      <w:r w:rsidR="00897B91" w:rsidRPr="002F4348">
        <w:fldChar w:fldCharType="separate"/>
      </w:r>
      <w:r w:rsidR="0046092E" w:rsidRPr="002F4348">
        <w:rPr>
          <w:noProof/>
        </w:rPr>
        <w:t>[45]</w:t>
      </w:r>
      <w:r w:rsidR="00897B91" w:rsidRPr="002F4348">
        <w:fldChar w:fldCharType="end"/>
      </w:r>
      <w:r w:rsidRPr="002F4348">
        <w:t>.</w:t>
      </w:r>
    </w:p>
    <w:p w14:paraId="67E5586F" w14:textId="77777777" w:rsidR="000578EF" w:rsidRPr="002F4348" w:rsidRDefault="000578EF" w:rsidP="00897B91">
      <w:pPr>
        <w:ind w:left="709" w:firstLine="0"/>
        <w:contextualSpacing/>
        <w:rPr>
          <w:b/>
        </w:rPr>
      </w:pPr>
      <w:r w:rsidRPr="002F4348">
        <w:rPr>
          <w:b/>
        </w:rPr>
        <w:t xml:space="preserve">Уровень убедительности рекомендаций </w:t>
      </w:r>
      <w:r w:rsidRPr="002F4348">
        <w:rPr>
          <w:b/>
          <w:lang w:val="en-US"/>
        </w:rPr>
        <w:t>A</w:t>
      </w:r>
      <w:r w:rsidRPr="002F4348">
        <w:rPr>
          <w:b/>
        </w:rPr>
        <w:t xml:space="preserve"> (уровень достоверности доказательств 3).</w:t>
      </w:r>
    </w:p>
    <w:p w14:paraId="647E8180" w14:textId="77777777" w:rsidR="000578EF" w:rsidRPr="002F4348" w:rsidRDefault="000578EF" w:rsidP="00897B91">
      <w:pPr>
        <w:ind w:left="709" w:firstLine="0"/>
        <w:contextualSpacing/>
        <w:rPr>
          <w:b/>
        </w:rPr>
      </w:pPr>
      <w:r w:rsidRPr="002F4348">
        <w:rPr>
          <w:b/>
        </w:rPr>
        <w:lastRenderedPageBreak/>
        <w:t xml:space="preserve">Комментарий: </w:t>
      </w:r>
      <w:r w:rsidRPr="002F4348">
        <w:rPr>
          <w:i/>
        </w:rPr>
        <w:t>лечение препаратом проводится до прогрессирования или непереносимой токсичности. Показания для отмены препарата обсуждаются отдельно в каждой клинической ситуации по результатам обследования каждые 6 месяцев.</w:t>
      </w:r>
    </w:p>
    <w:p w14:paraId="643AE9E8" w14:textId="77777777" w:rsidR="000578EF" w:rsidRPr="002F4348" w:rsidRDefault="000578EF" w:rsidP="00B153FC">
      <w:pPr>
        <w:pStyle w:val="afe"/>
        <w:numPr>
          <w:ilvl w:val="0"/>
          <w:numId w:val="12"/>
        </w:numPr>
        <w:spacing w:before="120" w:after="120"/>
        <w:ind w:left="709" w:hanging="709"/>
      </w:pPr>
      <w:r w:rsidRPr="002F4348">
        <w:t xml:space="preserve">Пациентам </w:t>
      </w:r>
      <w:r w:rsidRPr="002F4348">
        <w:rPr>
          <w:lang w:val="en-US"/>
        </w:rPr>
        <w:t>c</w:t>
      </w:r>
      <w:r w:rsidRPr="002F4348">
        <w:t xml:space="preserve"> кЛХ с рецидивом или рефрактерностью </w:t>
      </w:r>
      <w:r w:rsidR="00FC6F6E" w:rsidRPr="002F4348">
        <w:t xml:space="preserve">после </w:t>
      </w:r>
      <w:r w:rsidRPr="002F4348">
        <w:t xml:space="preserve">трех и более линий системной терапии в качестве одной из возможных опций </w:t>
      </w:r>
      <w:r w:rsidRPr="002F4348">
        <w:rPr>
          <w:b/>
        </w:rPr>
        <w:t>рекомендуется</w:t>
      </w:r>
      <w:r w:rsidRPr="002F4348">
        <w:t xml:space="preserve"> проведение терапии пембролизумабом**</w:t>
      </w:r>
      <w:r w:rsidR="00FC6F6E" w:rsidRPr="002F4348">
        <w:t xml:space="preserve"> </w:t>
      </w:r>
      <w:r w:rsidR="00FC6F6E" w:rsidRPr="002F4348">
        <w:rPr>
          <w:i/>
        </w:rPr>
        <w:t>(описание режима – см. приложение А3.1)</w:t>
      </w:r>
      <w:r w:rsidR="00897B91" w:rsidRPr="002F4348">
        <w:t xml:space="preserve"> </w:t>
      </w:r>
      <w:r w:rsidR="00897B91" w:rsidRPr="002F4348">
        <w:fldChar w:fldCharType="begin" w:fldLock="1"/>
      </w:r>
      <w:r w:rsidR="002C6C01" w:rsidRPr="002F4348">
        <w:instrText>ADDIN CSL_CITATION {"citationItems":[{"id":"ITEM-1","itemData":{"DOI":"10.1182/blood.2019000324","ISSN":"15280020","PMID":"31409671","abstract":"Programmed death-1 inhibitors are approved for patients with relapsed or refractory classic Hodgkin lymphoma (RRcHL). We present the 2-year follow-up of the phase 2 KEYNOTE-087 study of pembrolizumab in 210 patients, based on HL progression after autologous stem cell transplantation (ASCT) and subsequent brentuximab vedotin (BV; cohort 1); salvage chemotherapy and BV, with ineligibility for SCT owing to chemorefractory disease (cohort 2); and progression after SCT without BV (cohort 3). With a median follow-up of 27.6 months, the objective response rate (ORR) by blinded independent central review was 71.9% (95% CI, 65.3-77.9), the complete response rate (CRR) was 27.6%, and the partial response (PR) rate was 44.3%. Median duration of response was 16.5 months (range, 0.01 to 27.01 [1, no progressive disease at last assessment]) in all patients, 22.1 months in cohort 1, 11.1 months in cohort 2, and 24.4 months in cohort 3. Median progression-free survival was not reached in all patients with CR: 13.8 months (95% CI, 12.0-22.1) for patients with PR and 10.9 months (95% CI, 5.6-11.1) for patients with stable disease. Median overall survival was not reached in all patients or in any cohort. Treatment-related adverse events (TRAEs) of any grade occurred in 153 (72.9%) patients; grades 3 and 4 occurred in 25 (12.0%) patients; none resulted in death. Results confirmed effective antitumor activity, durability of response, and manageable safety of pembrolizumab monotherapy in RRcHL, regardless of prior treatment and including chemoresistant cHL. This trial was registered at www.clinicaltrials.gov as #NCT02453594.","author":[{"dropping-particle":"","family":"Chen","given":"Robert","non-dropping-particle":"","parse-names":false,"suffix":""},{"dropping-particle":"","family":"Zinzani","given":"Pier Luigi","non-dropping-particle":"","parse-names":false,"suffix":""},{"dropping-particle":"","family":"Lee","given":"Hun Ju","non-dropping-particle":"","parse-names":false,"suffix":""},{"dropping-particle":"","family":"Armand","given":"Philippe","non-dropping-particle":"","parse-names":false,"suffix":""},{"dropping-particle":"","family":"Johnson","given":"Nathalie A.","non-dropping-particle":"","parse-names":false,"suffix":""},{"dropping-particle":"","family":"Brice","given":"Pauline","non-dropping-particle":"","parse-names":false,"suffix":""},{"dropping-particle":"","family":"Radford","given":"John","non-dropping-particle":"","parse-names":false,"suffix":""},{"dropping-particle":"","family":"Ribrag","given":"Vincent","non-dropping-particle":"","parse-names":false,"suffix":""},{"dropping-particle":"","family":"Molin","given":"Daniel","non-dropping-particle":"","parse-names":false,"suffix":""},{"dropping-particle":"","family":"Vassilakopoulos","given":"Theodoros P.","non-dropping-particle":"","parse-names":false,"suffix":""},{"dropping-particle":"","family":"Tomita","given":"Akihiro","non-dropping-particle":"","parse-names":false,"suffix":""},{"dropping-particle":"","family":"Tresckow","given":"Bastian","non-dropping-particle":"von","parse-names":false,"suffix":""},{"dropping-particle":"","family":"Shipp","given":"Margaret A.","non-dropping-particle":"","parse-names":false,"suffix":""},{"dropping-particle":"","family":"Lin","given":"Jianxin","non-dropping-particle":"","parse-names":false,"suffix":""},{"dropping-particle":"","family":"Kim","given":"Eunhee","non-dropping-particle":"","parse-names":false,"suffix":""},{"dropping-particle":"","family":"Nahar","given":"Akash","non-dropping-particle":"","parse-names":false,"suffix":""},{"dropping-particle":"","family":"Balakumaran","given":"Arun","non-dropping-particle":"","parse-names":false,"suffix":""},{"dropping-particle":"","family":"Moskowitz","given":"Craig H.","non-dropping-particle":"","parse-names":false,"suffix":""}],"container-title":"Blood","id":"ITEM-1","issue":"14","issued":{"date-parts":[["2019","10","3"]]},"page":"1144-1153","publisher":"American Society of Hematology","title":"Pembrolizumab in relapsed or refractory Hodgkin lymphoma: 2-year follow-up of KEYNOTE-087","type":"article-journal","volume":"134"},"uris":["http://www.mendeley.com/documents/?uuid=f2031b43-55c1-3827-b6cd-dd3d64001e2d","http://www.mendeley.com/documents/?uuid=4808eeb8-029e-4456-a838-b008e5a88272"]}],"mendeley":{"formattedCitation":"[46]","plainTextFormattedCitation":"[46]","previouslyFormattedCitation":"[46]"},"properties":{"noteIndex":0},"schema":"https://github.com/citation-style-language/schema/raw/master/csl-citation.json"}</w:instrText>
      </w:r>
      <w:r w:rsidR="00897B91" w:rsidRPr="002F4348">
        <w:fldChar w:fldCharType="separate"/>
      </w:r>
      <w:r w:rsidR="0046092E" w:rsidRPr="002F4348">
        <w:rPr>
          <w:noProof/>
        </w:rPr>
        <w:t>[46]</w:t>
      </w:r>
      <w:r w:rsidR="00897B91" w:rsidRPr="002F4348">
        <w:fldChar w:fldCharType="end"/>
      </w:r>
      <w:r w:rsidRPr="002F4348">
        <w:t>.</w:t>
      </w:r>
    </w:p>
    <w:p w14:paraId="432C6463" w14:textId="77777777" w:rsidR="000578EF" w:rsidRPr="002F4348" w:rsidRDefault="000578EF" w:rsidP="00897B91">
      <w:pPr>
        <w:ind w:left="709" w:firstLine="0"/>
        <w:contextualSpacing/>
        <w:rPr>
          <w:b/>
        </w:rPr>
      </w:pPr>
      <w:bookmarkStart w:id="42" w:name="_Hlk9937585"/>
      <w:r w:rsidRPr="002F4348">
        <w:rPr>
          <w:b/>
        </w:rPr>
        <w:t xml:space="preserve">Уровень убедительности рекомендаций </w:t>
      </w:r>
      <w:r w:rsidR="00C13062" w:rsidRPr="002F4348">
        <w:rPr>
          <w:b/>
          <w:lang w:val="en-US"/>
        </w:rPr>
        <w:t>B</w:t>
      </w:r>
      <w:r w:rsidR="00C13062" w:rsidRPr="002F4348">
        <w:rPr>
          <w:b/>
        </w:rPr>
        <w:t xml:space="preserve"> </w:t>
      </w:r>
      <w:r w:rsidRPr="002F4348">
        <w:rPr>
          <w:b/>
        </w:rPr>
        <w:t>(уровень достоверности доказательств 3).</w:t>
      </w:r>
    </w:p>
    <w:p w14:paraId="19141484" w14:textId="77777777" w:rsidR="000578EF" w:rsidRPr="002F4348" w:rsidRDefault="000578EF" w:rsidP="00897B91">
      <w:pPr>
        <w:pStyle w:val="afe"/>
        <w:ind w:left="709" w:firstLine="0"/>
      </w:pPr>
      <w:r w:rsidRPr="002F4348">
        <w:rPr>
          <w:b/>
        </w:rPr>
        <w:t xml:space="preserve">Комментарий: </w:t>
      </w:r>
      <w:r w:rsidRPr="002F4348">
        <w:rPr>
          <w:i/>
        </w:rPr>
        <w:t>лечение препаратом проводится до прогрессирования или непереносимой токсичности. Показания для отмены препарата обсуждаются отдельно в каждой клинической ситуации по результатам обследования каждые 6 месяцев.</w:t>
      </w:r>
    </w:p>
    <w:bookmarkEnd w:id="42"/>
    <w:p w14:paraId="3263CAAB" w14:textId="77777777" w:rsidR="000578EF" w:rsidRPr="002F4348" w:rsidRDefault="000578EF" w:rsidP="00B153FC">
      <w:pPr>
        <w:pStyle w:val="afe"/>
        <w:numPr>
          <w:ilvl w:val="0"/>
          <w:numId w:val="12"/>
        </w:numPr>
        <w:spacing w:before="120" w:after="120"/>
        <w:ind w:left="709" w:hanging="709"/>
      </w:pPr>
      <w:r w:rsidRPr="002F4348">
        <w:t xml:space="preserve">Пациентам </w:t>
      </w:r>
      <w:r w:rsidRPr="002F4348">
        <w:rPr>
          <w:lang w:val="en-US"/>
        </w:rPr>
        <w:t>c</w:t>
      </w:r>
      <w:r w:rsidRPr="002F4348">
        <w:t xml:space="preserve"> кЛХ с рецидивом или рефрактерностью после аутоТГСК, брентуксимаба ведотина** и ингибиторов иммунных контрольных точек</w:t>
      </w:r>
      <w:r w:rsidR="00FC6F6E" w:rsidRPr="002F4348">
        <w:t xml:space="preserve"> (ниволумаб**, пембролизумаб**</w:t>
      </w:r>
      <w:r w:rsidR="0046092E" w:rsidRPr="002F4348">
        <w:t xml:space="preserve"> и др.</w:t>
      </w:r>
      <w:r w:rsidR="00FC6F6E" w:rsidRPr="002F4348">
        <w:t>)</w:t>
      </w:r>
      <w:r w:rsidRPr="002F4348">
        <w:t xml:space="preserve">, </w:t>
      </w:r>
      <w:r w:rsidRPr="002F4348">
        <w:rPr>
          <w:b/>
        </w:rPr>
        <w:t>рекомендуется</w:t>
      </w:r>
      <w:r w:rsidRPr="002F4348">
        <w:t xml:space="preserve"> консультация в трансплантологическом центре для решения вопроса о целесообразности и возможности проведения трансплантации аллогенных гемопоэтических стволовых клеток крови </w:t>
      </w:r>
      <w:r w:rsidR="00897B91" w:rsidRPr="002F4348">
        <w:fldChar w:fldCharType="begin" w:fldLock="1"/>
      </w:r>
      <w:r w:rsidR="002C6C01" w:rsidRPr="002F4348">
        <w:instrText>ADDIN CSL_CITATION {"citationItems":[{"id":"ITEM-1","itemData":{"DOI":"10.1038/bmt.2015.332","ISSN":"1476-5365","PMID":"26726948","abstract":"Allogeneic stem cell transplantation (allo-SCT) outcomes in patients with Hodgkin lymphoma (HL) remain poorly defined. We performed a meta-analysis of allo-SCT studies in HL patients. The primary endpoints were 6-month, 1-year, 2-year and 3-year relapse-free survival (RFS) and overall survival (OS). A total of 42 reports (1850 patients) was included. The pooled estimates (95% confidence interval) for 6-month, 1-year, 2-year and 3-year RFS were 77 (59-91)%, 50 (42-57)%, 37 (31-43)% and 31 (25-37)%, respectively. The corresponding numbers for OS were 83 (75-91)%, 68 (62-74)%, 58 (52-64)% and 50 (41-58)%, respectively. There was statistical heterogeneity among studies in all outcomes. In meta-regression, accrual initiation year in 2000 or later was associated with higher 6-month (P=0.012) and 1-year OS (P=0.046), and pre-SCT remission with higher 2-year OS (P=0.047) and 1-year RFS (P=0.016). In conclusion, outcomes of allo-SCT in HL have improved over time, with 5-10% lower non-relapse mortality and relapse rates, and 15-20% higher RFS and OS in studies that initiated accrual in 2000 or later compared with earlier studies. However, there is no apparent survival plateau, demonstrating the need to improve on current allo-SCT strategies in relapsed/refractory HL.","author":[{"dropping-particle":"","family":"Rashidi","given":"A","non-dropping-particle":"","parse-names":false,"suffix":""},{"dropping-particle":"","family":"Ebadi","given":"M","non-dropping-particle":"","parse-names":false,"suffix":""},{"dropping-particle":"","family":"Cashen","given":"A F","non-dropping-particle":"","parse-names":false,"suffix":""}],"container-title":"Bone marrow transplantation","id":"ITEM-1","issue":"4","issued":{"date-parts":[["2016","4"]]},"page":"521-8","title":"Allogeneic hematopoietic stem cell transplantation in Hodgkin lymphoma: a systematic review and meta-analysis.","type":"article-journal","volume":"51"},"uris":["http://www.mendeley.com/documents/?uuid=9748b1f6-1482-36eb-932f-b3cac91da2da","http://www.mendeley.com/documents/?uuid=b9339e60-f8a9-485c-9c55-425f0e93ac4e"]},{"id":"ITEM-2","itemData":{"DOI":"10.1182/bloodadvances.2017011122","ISSN":"24739537","author":[{"dropping-particle":"","family":"Peggs","given":"Karl S.","non-dropping-particle":"","parse-names":false,"suffix":""}],"container-title":"Blood Advances","id":"ITEM-2","issue":"7","issued":{"date-parts":[["2018","4","10"]]},"page":"817-820","publisher":"American Society of Hematology","title":"Should all patients with Hodgkin lymphoma who relapse after autologous SCT be considered for allogeneic SCT?","type":"article-journal","volume":"2"},"uris":["http://www.mendeley.com/documents/?uuid=3a0d45bd-c191-3172-b37a-4d979cddcf09","http://www.mendeley.com/documents/?uuid=dacbbd2c-a7a5-4cda-9715-f4af355ce6d2"]}],"mendeley":{"formattedCitation":"[47,48]","plainTextFormattedCitation":"[47,48]","previouslyFormattedCitation":"[47,48]"},"properties":{"noteIndex":0},"schema":"https://github.com/citation-style-language/schema/raw/master/csl-citation.json"}</w:instrText>
      </w:r>
      <w:r w:rsidR="00897B91" w:rsidRPr="002F4348">
        <w:fldChar w:fldCharType="separate"/>
      </w:r>
      <w:r w:rsidR="0046092E" w:rsidRPr="002F4348">
        <w:rPr>
          <w:noProof/>
        </w:rPr>
        <w:t>[47,48]</w:t>
      </w:r>
      <w:r w:rsidR="00897B91" w:rsidRPr="002F4348">
        <w:fldChar w:fldCharType="end"/>
      </w:r>
      <w:r w:rsidRPr="002F4348">
        <w:t>.</w:t>
      </w:r>
    </w:p>
    <w:p w14:paraId="3962DD3C" w14:textId="77777777" w:rsidR="000578EF" w:rsidRPr="002F4348" w:rsidRDefault="000578EF" w:rsidP="00897B91">
      <w:pPr>
        <w:ind w:left="709" w:firstLine="0"/>
        <w:contextualSpacing/>
        <w:rPr>
          <w:b/>
        </w:rPr>
      </w:pPr>
      <w:r w:rsidRPr="002F4348">
        <w:rPr>
          <w:b/>
        </w:rPr>
        <w:t xml:space="preserve">Уровень убедительности рекомендаций В (уровень достоверности доказательств </w:t>
      </w:r>
      <w:r w:rsidR="00500036" w:rsidRPr="002F4348">
        <w:rPr>
          <w:b/>
        </w:rPr>
        <w:t>2</w:t>
      </w:r>
      <w:r w:rsidRPr="002F4348">
        <w:rPr>
          <w:b/>
        </w:rPr>
        <w:t>).</w:t>
      </w:r>
    </w:p>
    <w:p w14:paraId="20CE1BD8" w14:textId="77777777" w:rsidR="000578EF" w:rsidRPr="002F4348" w:rsidRDefault="000578EF" w:rsidP="00B153FC">
      <w:pPr>
        <w:pStyle w:val="afe"/>
        <w:numPr>
          <w:ilvl w:val="0"/>
          <w:numId w:val="12"/>
        </w:numPr>
        <w:spacing w:before="120" w:after="120"/>
        <w:ind w:left="709" w:hanging="709"/>
      </w:pPr>
      <w:r w:rsidRPr="002F4348">
        <w:t xml:space="preserve">Пациентам с ЛХ, исчерпавшим возможности трансплантации, таргетной терапии и иммунотерапии, может быть </w:t>
      </w:r>
      <w:r w:rsidRPr="002F4348">
        <w:rPr>
          <w:b/>
        </w:rPr>
        <w:t xml:space="preserve">рекомендовано </w:t>
      </w:r>
      <w:r w:rsidRPr="002F4348">
        <w:t>рассмотреть вопрос о проведении низкотоксичной цитостатической терапии или лучевой терапии по усмотрению лечащего врача с паллиативной целью</w:t>
      </w:r>
      <w:r w:rsidR="00897B91" w:rsidRPr="002F4348">
        <w:t xml:space="preserve"> </w:t>
      </w:r>
      <w:r w:rsidR="00897B91" w:rsidRPr="002F4348">
        <w:fldChar w:fldCharType="begin" w:fldLock="1"/>
      </w:r>
      <w:r w:rsidR="00A850F7" w:rsidRPr="002F4348">
        <w:instrText>ADDIN CSL_CITATION {"citationItems":[{"id":"ITEM-1","itemData":{"author":[{"dropping-particle":"","family":"Демина","given":"Е.А.","non-dropping-particle":"","parse-names":false,"suffix":""},{"dropping-particle":"","family":"Капланов","given":"К.Д.","non-dropping-particle":"","parse-names":false,"suffix":""},{"dropping-particle":"","family":"Мухортова","given":"О.В.","non-dropping-particle":"","parse-names":false,"suffix":""},{"dropping-particle":"","family":"Тумян","given":"Г.С.","non-dropping-particle":"","parse-names":false,"suffix":""},{"dropping-particle":"","family":"Михайлова","given":"Н.Б.","non-dropping-particle":"","parse-names":false,"suffix":""},{"dropping-particle":"","family":"Моисеева","given":"Т.Н.","non-dropping-particle":"","parse-names":false,"suffix":""},{"dropping-particle":"","family":"Виноградова","given":"Ю.Н.","non-dropping-particle":"","parse-names":false,"suffix":""},{"dropping-particle":"","family":"Ильин","given":"Н.В.","non-dropping-particle":"","parse-names":false,"suffix":""},{"dropping-particle":"","family":"Трофимова","given":"О.П.","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Савченко.","id":"ITEM-1","issued":{"date-parts":[["2018"]]},"page":"28-43","title":"Лимфома Ходжкина","type":"chapter"},"uris":["http://www.mendeley.com/documents/?uuid=0af2b11d-a9cf-4da8-a503-99a860249436","http://www.mendeley.com/documents/?uuid=708bf927-447f-43d0-8bf7-28178aa7e29e"]}],"mendeley":{"formattedCitation":"[4]","plainTextFormattedCitation":"[4]","previouslyFormattedCitation":"[4]"},"properties":{"noteIndex":0},"schema":"https://github.com/citation-style-language/schema/raw/master/csl-citation.json"}</w:instrText>
      </w:r>
      <w:r w:rsidR="00897B91" w:rsidRPr="002F4348">
        <w:fldChar w:fldCharType="separate"/>
      </w:r>
      <w:r w:rsidR="00897B91" w:rsidRPr="002F4348">
        <w:rPr>
          <w:noProof/>
        </w:rPr>
        <w:t>[4]</w:t>
      </w:r>
      <w:r w:rsidR="00897B91" w:rsidRPr="002F4348">
        <w:fldChar w:fldCharType="end"/>
      </w:r>
      <w:r w:rsidR="00897B91" w:rsidRPr="002F4348">
        <w:t>.</w:t>
      </w:r>
    </w:p>
    <w:p w14:paraId="1E0EE72A" w14:textId="77777777" w:rsidR="000578EF" w:rsidRPr="002F4348" w:rsidRDefault="000578EF" w:rsidP="00897B91">
      <w:pPr>
        <w:ind w:left="709" w:firstLine="0"/>
        <w:contextualSpacing/>
        <w:rPr>
          <w:b/>
        </w:rPr>
      </w:pPr>
      <w:r w:rsidRPr="002F4348">
        <w:rPr>
          <w:b/>
        </w:rPr>
        <w:t>Уровень убедительности рекомендаций С (уровень достоверности доказательств 5).</w:t>
      </w:r>
    </w:p>
    <w:p w14:paraId="3CC70ADA" w14:textId="77777777" w:rsidR="000578EF" w:rsidRPr="002F4348" w:rsidRDefault="000578EF" w:rsidP="00897B91">
      <w:pPr>
        <w:pStyle w:val="afe"/>
        <w:ind w:left="709" w:firstLine="0"/>
      </w:pPr>
      <w:r w:rsidRPr="002F4348">
        <w:rPr>
          <w:b/>
        </w:rPr>
        <w:t xml:space="preserve">Комментарий: </w:t>
      </w:r>
      <w:r w:rsidRPr="002F4348">
        <w:rPr>
          <w:i/>
        </w:rPr>
        <w:t>с паллиативной целью возможно использование гемцитабин**-</w:t>
      </w:r>
      <w:r w:rsidR="00295E82" w:rsidRPr="002F4348">
        <w:rPr>
          <w:i/>
        </w:rPr>
        <w:t xml:space="preserve"> (для пациентов старше 18 лет)</w:t>
      </w:r>
      <w:r w:rsidRPr="002F4348">
        <w:rPr>
          <w:i/>
        </w:rPr>
        <w:t xml:space="preserve"> или ломустин**-содержащих режимов, бендамустина** в монорежиме, и/или локальной ЛТ, что позволяет у части </w:t>
      </w:r>
      <w:r w:rsidR="00500036" w:rsidRPr="002F4348">
        <w:rPr>
          <w:i/>
        </w:rPr>
        <w:t xml:space="preserve">пациентов </w:t>
      </w:r>
      <w:r w:rsidRPr="002F4348">
        <w:rPr>
          <w:i/>
        </w:rPr>
        <w:t xml:space="preserve">получить достаточно длительные ремиссии, удовлетворительное качество жизни и хорошие показатели длительной выживаемости. Выбор терапии </w:t>
      </w:r>
      <w:r w:rsidRPr="002F4348">
        <w:rPr>
          <w:i/>
        </w:rPr>
        <w:lastRenderedPageBreak/>
        <w:t xml:space="preserve">для этих </w:t>
      </w:r>
      <w:r w:rsidR="00500036" w:rsidRPr="002F4348">
        <w:rPr>
          <w:i/>
        </w:rPr>
        <w:t xml:space="preserve">пациентов </w:t>
      </w:r>
      <w:r w:rsidRPr="002F4348">
        <w:rPr>
          <w:i/>
        </w:rPr>
        <w:t xml:space="preserve">всегда индивидуален. У </w:t>
      </w:r>
      <w:r w:rsidR="00500036" w:rsidRPr="002F4348">
        <w:rPr>
          <w:i/>
        </w:rPr>
        <w:t xml:space="preserve">пациентов </w:t>
      </w:r>
      <w:r w:rsidRPr="002F4348">
        <w:rPr>
          <w:i/>
        </w:rPr>
        <w:t xml:space="preserve">с цитопенией с паллиативной целью возможно использование различных метрономных режимов на фоне сопроводительной терапии. Такой подход позволяет у части </w:t>
      </w:r>
      <w:r w:rsidR="00E61655" w:rsidRPr="002F4348">
        <w:rPr>
          <w:i/>
        </w:rPr>
        <w:t xml:space="preserve">пациентов </w:t>
      </w:r>
      <w:r w:rsidRPr="002F4348">
        <w:rPr>
          <w:i/>
        </w:rPr>
        <w:t>достичь удовлетворительного качества жизни даже без достижения ремиссии.</w:t>
      </w:r>
    </w:p>
    <w:p w14:paraId="3AF829CF" w14:textId="77777777" w:rsidR="000578EF" w:rsidRPr="002F4348" w:rsidRDefault="000578EF" w:rsidP="000578EF">
      <w:pPr>
        <w:pStyle w:val="2"/>
        <w:contextualSpacing/>
      </w:pPr>
      <w:bookmarkStart w:id="43" w:name="_Toc65586395"/>
      <w:r w:rsidRPr="002F4348">
        <w:t>3.</w:t>
      </w:r>
      <w:r w:rsidR="00170E50" w:rsidRPr="002F4348">
        <w:t>6</w:t>
      </w:r>
      <w:r w:rsidRPr="002F4348">
        <w:t xml:space="preserve"> Лечение нодулярной </w:t>
      </w:r>
      <w:r w:rsidR="00F037C8" w:rsidRPr="002F4348">
        <w:t xml:space="preserve">с </w:t>
      </w:r>
      <w:r w:rsidRPr="002F4348">
        <w:t>лимфоидным преобладанием</w:t>
      </w:r>
      <w:r w:rsidR="00F037C8" w:rsidRPr="002F4348">
        <w:t xml:space="preserve"> лимфомы Ходжкина</w:t>
      </w:r>
      <w:bookmarkEnd w:id="43"/>
    </w:p>
    <w:p w14:paraId="5D68B128" w14:textId="77777777" w:rsidR="00227150" w:rsidRPr="002F4348" w:rsidRDefault="00F037C8" w:rsidP="00AE5DB2">
      <w:pPr>
        <w:pStyle w:val="1f6"/>
        <w:rPr>
          <w:rFonts w:ascii="Times New Roman" w:hAnsi="Times New Roman"/>
          <w:bCs w:val="0"/>
          <w:i/>
          <w:iCs w:val="0"/>
          <w:sz w:val="24"/>
          <w:szCs w:val="24"/>
          <w:lang w:val="x-none"/>
        </w:rPr>
      </w:pPr>
      <w:r w:rsidRPr="002F4348">
        <w:rPr>
          <w:rFonts w:ascii="Times New Roman" w:hAnsi="Times New Roman"/>
          <w:i/>
          <w:iCs w:val="0"/>
          <w:sz w:val="24"/>
          <w:szCs w:val="24"/>
        </w:rPr>
        <w:t>Вторым типом ЛХ в пересмотренной классификации опухолей гемопоэтической и лимфоидной тканей ВОЗ 2017 г. является нодулярная с лимфоидным преобладанием ЛХ. НЛПЛХ это самостоятельная редкая (заболеваемость – 1,5 на 1 млн) индолентная лимфома с иным, чем у кЛХ, патогенезом и иммунофенотипом НЛПЛХ</w:t>
      </w:r>
      <w:r w:rsidR="00FC6F6E" w:rsidRPr="002F4348">
        <w:rPr>
          <w:rFonts w:ascii="Times New Roman" w:hAnsi="Times New Roman"/>
          <w:bCs w:val="0"/>
          <w:i/>
          <w:iCs w:val="0"/>
          <w:sz w:val="24"/>
          <w:szCs w:val="24"/>
        </w:rPr>
        <w:t xml:space="preserve"> </w:t>
      </w:r>
      <w:r w:rsidR="00FC6F6E" w:rsidRPr="002F4348">
        <w:rPr>
          <w:rFonts w:ascii="Times New Roman" w:hAnsi="Times New Roman"/>
          <w:bCs w:val="0"/>
          <w:i/>
          <w:iCs w:val="0"/>
          <w:sz w:val="24"/>
          <w:szCs w:val="24"/>
          <w:lang w:val="x-none"/>
        </w:rPr>
        <w:t xml:space="preserve">отличается </w:t>
      </w:r>
      <w:r w:rsidR="00FC6F6E" w:rsidRPr="002F4348">
        <w:rPr>
          <w:rFonts w:ascii="Times New Roman" w:hAnsi="Times New Roman"/>
          <w:bCs w:val="0"/>
          <w:i/>
          <w:iCs w:val="0"/>
          <w:sz w:val="24"/>
          <w:szCs w:val="24"/>
        </w:rPr>
        <w:t xml:space="preserve">от кЛХ </w:t>
      </w:r>
      <w:r w:rsidR="00FC6F6E" w:rsidRPr="002F4348">
        <w:rPr>
          <w:rFonts w:ascii="Times New Roman" w:hAnsi="Times New Roman"/>
          <w:bCs w:val="0"/>
          <w:i/>
          <w:iCs w:val="0"/>
          <w:sz w:val="24"/>
          <w:szCs w:val="24"/>
          <w:lang w:val="x-none"/>
        </w:rPr>
        <w:t>и клеточным составом (лимфоцитарно-гистиоцитарные клетки), и иммунофенотипом, и клиническим поведением, и, соответственно, подходом к терапии. Заболевание чаще диагностируется у мужчин в возрасте 20-40 лет, и неплохо поддается лечению. Прогноз нодулярной лимфомы благоприятный, однако у 3-5% пациентов отмечается ее трансформация в крупноклеточную В-клеточную лимфому</w:t>
      </w:r>
      <w:r w:rsidR="00382CBD" w:rsidRPr="002F4348">
        <w:rPr>
          <w:rFonts w:ascii="Times New Roman" w:hAnsi="Times New Roman"/>
          <w:bCs w:val="0"/>
          <w:i/>
          <w:iCs w:val="0"/>
          <w:sz w:val="24"/>
          <w:szCs w:val="24"/>
        </w:rPr>
        <w:t>,</w:t>
      </w:r>
      <w:r w:rsidR="00FC6F6E" w:rsidRPr="002F4348">
        <w:rPr>
          <w:rFonts w:ascii="Times New Roman" w:hAnsi="Times New Roman"/>
          <w:bCs w:val="0"/>
          <w:i/>
          <w:iCs w:val="0"/>
          <w:sz w:val="24"/>
          <w:szCs w:val="24"/>
        </w:rPr>
        <w:t xml:space="preserve"> богатую Т-лимфоцитами</w:t>
      </w:r>
      <w:r w:rsidR="00FC6F6E" w:rsidRPr="002F4348">
        <w:rPr>
          <w:rFonts w:ascii="Times New Roman" w:hAnsi="Times New Roman"/>
          <w:bCs w:val="0"/>
          <w:i/>
          <w:iCs w:val="0"/>
          <w:sz w:val="24"/>
          <w:szCs w:val="24"/>
          <w:lang w:val="x-none"/>
        </w:rPr>
        <w:t xml:space="preserve">. Лечение в ранних стадиях </w:t>
      </w:r>
      <w:r w:rsidR="00FC6F6E" w:rsidRPr="002F4348">
        <w:rPr>
          <w:rFonts w:ascii="Times New Roman" w:hAnsi="Times New Roman"/>
          <w:bCs w:val="0"/>
          <w:i/>
          <w:iCs w:val="0"/>
          <w:sz w:val="24"/>
          <w:szCs w:val="24"/>
        </w:rPr>
        <w:t xml:space="preserve">может </w:t>
      </w:r>
      <w:r w:rsidR="00FC6F6E" w:rsidRPr="002F4348">
        <w:rPr>
          <w:rFonts w:ascii="Times New Roman" w:hAnsi="Times New Roman"/>
          <w:bCs w:val="0"/>
          <w:i/>
          <w:iCs w:val="0"/>
          <w:sz w:val="24"/>
          <w:szCs w:val="24"/>
          <w:lang w:val="x-none"/>
        </w:rPr>
        <w:t>проводится даже без применения химиопрепаратов, но с</w:t>
      </w:r>
      <w:r w:rsidR="00FC6F6E" w:rsidRPr="002F4348">
        <w:rPr>
          <w:rFonts w:ascii="Times New Roman" w:hAnsi="Times New Roman"/>
          <w:bCs w:val="0"/>
          <w:i/>
          <w:iCs w:val="0"/>
          <w:sz w:val="24"/>
          <w:szCs w:val="24"/>
        </w:rPr>
        <w:t xml:space="preserve"> лучевой терапией +/- #ритуксимаб**. </w:t>
      </w:r>
      <w:r w:rsidR="00FC6F6E" w:rsidRPr="002F4348">
        <w:rPr>
          <w:rFonts w:ascii="Times New Roman" w:hAnsi="Times New Roman"/>
          <w:bCs w:val="0"/>
          <w:i/>
          <w:iCs w:val="0"/>
          <w:sz w:val="24"/>
          <w:szCs w:val="24"/>
          <w:lang w:val="x-none"/>
        </w:rPr>
        <w:t xml:space="preserve">В случае рецидива крайне необходима повторная биопсия, т.к. есть вероятность </w:t>
      </w:r>
      <w:r w:rsidR="00FC6F6E" w:rsidRPr="002F4348">
        <w:rPr>
          <w:rFonts w:ascii="Times New Roman" w:hAnsi="Times New Roman"/>
          <w:bCs w:val="0"/>
          <w:i/>
          <w:iCs w:val="0"/>
          <w:sz w:val="24"/>
          <w:szCs w:val="24"/>
        </w:rPr>
        <w:t xml:space="preserve">трансформации </w:t>
      </w:r>
      <w:r w:rsidR="00FC6F6E" w:rsidRPr="002F4348">
        <w:rPr>
          <w:rFonts w:ascii="Times New Roman" w:hAnsi="Times New Roman"/>
          <w:bCs w:val="0"/>
          <w:i/>
          <w:iCs w:val="0"/>
          <w:sz w:val="24"/>
          <w:szCs w:val="24"/>
          <w:lang w:val="x-none"/>
        </w:rPr>
        <w:t xml:space="preserve"> </w:t>
      </w:r>
      <w:r w:rsidR="00FC6F6E" w:rsidRPr="002F4348">
        <w:rPr>
          <w:rFonts w:ascii="Times New Roman" w:hAnsi="Times New Roman"/>
          <w:bCs w:val="0"/>
          <w:i/>
          <w:iCs w:val="0"/>
          <w:sz w:val="24"/>
          <w:szCs w:val="24"/>
        </w:rPr>
        <w:t xml:space="preserve"> </w:t>
      </w:r>
      <w:r w:rsidRPr="002F4348">
        <w:rPr>
          <w:rFonts w:ascii="Times New Roman" w:hAnsi="Times New Roman"/>
          <w:i/>
          <w:iCs w:val="0"/>
          <w:sz w:val="24"/>
          <w:szCs w:val="24"/>
        </w:rPr>
        <w:t>НЛПЛХ</w:t>
      </w:r>
      <w:r w:rsidR="00FC6F6E" w:rsidRPr="002F4348">
        <w:rPr>
          <w:rFonts w:ascii="Times New Roman" w:hAnsi="Times New Roman"/>
          <w:bCs w:val="0"/>
          <w:i/>
          <w:iCs w:val="0"/>
          <w:sz w:val="24"/>
          <w:szCs w:val="24"/>
          <w:lang w:val="x-none"/>
        </w:rPr>
        <w:t xml:space="preserve"> в диффузную В-клеточную крупноклеточную неходжкинскую лимфому</w:t>
      </w:r>
      <w:r w:rsidRPr="002F4348">
        <w:rPr>
          <w:rFonts w:ascii="Times New Roman" w:hAnsi="Times New Roman"/>
          <w:bCs w:val="0"/>
          <w:i/>
          <w:iCs w:val="0"/>
          <w:sz w:val="24"/>
          <w:szCs w:val="24"/>
        </w:rPr>
        <w:t>,</w:t>
      </w:r>
      <w:r w:rsidR="00FC6F6E" w:rsidRPr="002F4348">
        <w:rPr>
          <w:rFonts w:ascii="Times New Roman" w:hAnsi="Times New Roman"/>
          <w:bCs w:val="0"/>
          <w:i/>
          <w:iCs w:val="0"/>
          <w:sz w:val="24"/>
          <w:szCs w:val="24"/>
        </w:rPr>
        <w:t xml:space="preserve"> богатую Т-лимфоцитами</w:t>
      </w:r>
      <w:r w:rsidR="00FC6F6E" w:rsidRPr="002F4348">
        <w:rPr>
          <w:rFonts w:ascii="Times New Roman" w:hAnsi="Times New Roman"/>
          <w:bCs w:val="0"/>
          <w:i/>
          <w:iCs w:val="0"/>
          <w:sz w:val="24"/>
          <w:szCs w:val="24"/>
          <w:lang w:val="x-none"/>
        </w:rPr>
        <w:t>.</w:t>
      </w:r>
      <w:r w:rsidR="00227150" w:rsidRPr="002F4348">
        <w:rPr>
          <w:rFonts w:ascii="Times New Roman" w:hAnsi="Times New Roman"/>
          <w:bCs w:val="0"/>
          <w:i/>
          <w:iCs w:val="0"/>
          <w:sz w:val="24"/>
          <w:szCs w:val="24"/>
          <w:lang w:val="x-none"/>
        </w:rPr>
        <w:t xml:space="preserve"> </w:t>
      </w:r>
    </w:p>
    <w:p w14:paraId="146125E6" w14:textId="77777777" w:rsidR="000578EF" w:rsidRPr="002F4348" w:rsidRDefault="00D75819" w:rsidP="00B153FC">
      <w:pPr>
        <w:pStyle w:val="afe"/>
        <w:numPr>
          <w:ilvl w:val="0"/>
          <w:numId w:val="12"/>
        </w:numPr>
        <w:spacing w:before="120" w:after="120"/>
        <w:ind w:left="709" w:hanging="709"/>
      </w:pPr>
      <w:r w:rsidRPr="002F4348">
        <w:t xml:space="preserve">Ранее не получавшим лечение </w:t>
      </w:r>
      <w:r w:rsidR="000578EF" w:rsidRPr="002F4348">
        <w:t>пациентам 18 лет</w:t>
      </w:r>
      <w:r w:rsidR="00A54E67" w:rsidRPr="002F4348">
        <w:t xml:space="preserve"> и старше</w:t>
      </w:r>
      <w:r w:rsidR="000578EF" w:rsidRPr="002F4348">
        <w:t xml:space="preserve"> с </w:t>
      </w:r>
      <w:r w:rsidR="00F037C8" w:rsidRPr="002F4348">
        <w:rPr>
          <w:iCs/>
          <w:szCs w:val="24"/>
        </w:rPr>
        <w:t>НЛПЛХ</w:t>
      </w:r>
      <w:r w:rsidR="000578EF" w:rsidRPr="002F4348">
        <w:t xml:space="preserve"> </w:t>
      </w:r>
      <w:r w:rsidR="000578EF" w:rsidRPr="002F4348">
        <w:rPr>
          <w:lang w:val="en-US"/>
        </w:rPr>
        <w:t>I</w:t>
      </w:r>
      <w:r w:rsidR="000578EF" w:rsidRPr="002F4348">
        <w:t>-</w:t>
      </w:r>
      <w:r w:rsidR="000578EF" w:rsidRPr="002F4348">
        <w:rPr>
          <w:lang w:val="en-US"/>
        </w:rPr>
        <w:t>IIA</w:t>
      </w:r>
      <w:r w:rsidR="000578EF" w:rsidRPr="002F4348">
        <w:t xml:space="preserve"> стадий без массивного опухолевого поражения </w:t>
      </w:r>
      <w:r w:rsidR="000578EF" w:rsidRPr="002F4348">
        <w:rPr>
          <w:b/>
        </w:rPr>
        <w:t xml:space="preserve">рекомендовано </w:t>
      </w:r>
      <w:r w:rsidR="000578EF" w:rsidRPr="002F4348">
        <w:t>проведение лучевой терапии СОД 30 Гр</w:t>
      </w:r>
      <w:r w:rsidR="00AE5DB2" w:rsidRPr="002F4348">
        <w:t xml:space="preserve"> и/или монотерапии </w:t>
      </w:r>
      <w:r w:rsidR="00500036" w:rsidRPr="002F4348">
        <w:t>#</w:t>
      </w:r>
      <w:r w:rsidR="00AE5DB2" w:rsidRPr="002F4348">
        <w:t>ритуксимабом</w:t>
      </w:r>
      <w:r w:rsidR="00500036" w:rsidRPr="002F4348">
        <w:t>**</w:t>
      </w:r>
      <w:r w:rsidR="00AE5DB2" w:rsidRPr="002F4348">
        <w:t xml:space="preserve"> в режиме для ранних стадий В-клеточных неходжкинских лимфом</w:t>
      </w:r>
      <w:r w:rsidR="00897B91" w:rsidRPr="002F4348">
        <w:t xml:space="preserve"> </w:t>
      </w:r>
      <w:r w:rsidR="00897B91" w:rsidRPr="002F4348">
        <w:fldChar w:fldCharType="begin" w:fldLock="1"/>
      </w:r>
      <w:r w:rsidR="002C6C01" w:rsidRPr="002F4348">
        <w:instrText xml:space="preserve">ADDIN CSL_CITATION {"citationItems":[{"id":"ITEM-1","itemData":{"DOI":"10.1002/cncr.21303","ISSN":"0008-543X","PMID":"16094666","abstract":"BACKGROUND The curative potential of radiotherapy (RT) alone as initial treatment for patients with Stage I-II lymphocyte-predominant Hodgkin lymphoma (LPHL) has not been defined well. METHODS Two hundred two patients who were treated between 1969 and 1995 were evaluated in a retrospective, multicenter study. RESULTS Patient characteristics were as follows: The median age was 31 years, 75% of patients were male, 80% of patients had Ann Arbor Stage I disease, 1% of patients had bulky disease, 3% of patients had B symptoms, 1% of patients had extranodal involvement, and 80% of patients had supradiaphragmatic disease. The RT fields were a full mantle field in 52% of patients, less than a full mantle field in 24% of patients, an inverted-Y field in 17% of patients, less than an inverted-Y field in 3% of patients, and total lymph node irradiation in 3% of patients. The median dose was 36 Gray. The median follow-up was 15 years. The overall survival (OS) rate at 15 years was 83%, and freedom from progression (FFP) was observed in 82% of patients, including 84% of patients with Stage I disease and 73% of patients with Stage II disease. No recurrent LPHL and only 1 patient with non-Hodgkin lymphoma (NHL) were reported after 15 years. Adverse prognostic factors that were identified on multifactor analysis were as follows: for OS, age 45 years or older (P &lt; 0.0005), the presence of B symptoms (P = 0.002), increasing number of sites (P = 0.015); for FFP, increasing number of sites (P = 0.002). No significant difference was found in FFP in a comparison of patients who received elective mediastinal RT with patients who did not receive mediastinal RT (P = 0.11). Causes of death at 15 years were LPHL in 3% of patients, NHL in 2% of patients, in-field malignancy in 2% of patients, in-field cardiac/respiratory in 4% of patients, and other in 6% of patients. CONCLUSIONS The current data suggested that RT potentially may be curative for patients with Stage I-II LPHL and raise the possibility that limited-field RT may be used without loss of treatment efficacy. Involved-field RT warrants further investigation for patients with early-stage LPHL.","author":[{"dropping-particle":"","family":"Wirth","given":"Andrew","non-dropping-particle":"","parse-names":false,"suffix":""},{"dropping-particle":"","family":"Yuen","given":"Kally","non-dropping-particle":"","parse-names":false,"suffix":""},{"dropping-particle":"","family":"Barton","given":"Michael","non-dropping-particle":"","parse-names":false,"suffix":""},{"dropping-particle":"","family":"Roos","given":"Daniel","non-dropping-particle":"","parse-names":false,"suffix":""},{"dropping-particle":"","family":"Gogna","given":"Kumar","non-dropping-particle":"","parse-names":false,"suffix":""},{"dropping-particle":"","family":"Pratt","given":"Gary","non-dropping-particle":"","parse-names":false,"suffix":""},{"dropping-particle":"","family":"Macleod","given":"Craig","non-dropping-particle":"","parse-names":false,"suffix":""},{"dropping-particle":"","family":"Bydder","given":"Sean","non-dropping-particle":"","parse-names":false,"suffix":""},{"dropping-particle":"","family":"Morgan","given":"Graeme","non-dropping-particle":"","parse-names":false,"suffix":""},{"dropping-particle":"","family":"Christie","given":"David","non-dropping-particle":"","parse-names":false,"suffix":""}],"container-title":"Cancer","id":"ITEM-1","issue":"6","issued":{"date-parts":[["2005","9","15"]]},"page":"1221-9","title":"Long-term outcome after radiotherapy alone for lymphocyte-predominant Hodgkin lymphoma: a retrospective multicenter study of the Australasian Radiation Oncology Lymphoma Group.","type":"article-journal","volume":"104"},"uris":["http://www.mendeley.com/documents/?uuid=55d8c30a-461f-35a8-8a3a-f7de26ea76ef","http://www.mendeley.com/documents/?uuid=854111ba-2f57-4be0-93ea-1a601a08124c"]},{"id":"ITEM-2","itemData":{"DOI":"10.1093/annonc/mdi323","ISSN":"0923-7534","PMID":"16093276","abstract":"BACKGROUND Since there are no randomized studies, the treatment of choice for patients with early stage lymphocyte-predominant Hodgkin's lymphoma (LPHL) remains unclear. We thus reviewed all LPHL cases registered in the database of the German Hodgkin Study Group (GHSG) and compared the different treatment approaches, such as extended field (EF), involved field (IF) radiation and combined modality (CM) treatment for LPHL stage IA patients. PATIENTS AND METHODS One hundred and thirty-one patients with LPHL in clinical stage IA without risk factors were analyzed. Forty-five patients were treated with EF radiotherapy, 45 patients with IF radiation and 41 patients received CM treatment. The median follow-up was 78 months in the EF group, 40 months after CM and 17 months after IF, respectively. RESULTS A total of 129 patients achieved complete remission (CR and CRu): 98% after EF radiotherapy, 100% after IF radiation and 95% after CM. With a median follow-up of 43 months there were 5% relapses and only three patients died. Toxicity of treatment was generally mild with most events observed after CM. CONCLUSION In terms of remission induction IF radiotherapy for stage IA LPHL patients is as effective as EF or CM treatment. However, longer follow-up is needed before final conclusion as the optimal therapy.","author":[{"dropping-particle":"","family":"Nogová","given":"L","non-dropping-particle":"","parse-names":false,"suffix":""},{"dropping-particle":"","family":"Reineke","given":"T","non-dropping-particle":"","parse-names":false,"suffix":""},{"dropping-particle":"","family":"Eich","given":"H T","non-dropping-particle":"","parse-names":false,"suffix":""},{"dropping-particle":"","family":"Josting","given":"A","non-dropping-particle":"","parse-names":false,"suffix":""},{"dropping-particle":"","family":"Müller-Hermelink","given":"H K","non-dropping-particle":"","parse-names":false,"suffix":""},{"dropping-particle":"","family":"Wingbermühle","given":"K","non-dropping-particle":"","parse-names":false,"suffix":""},{"dropping-particle":"","family":"Brillant","given":"C","non-dropping-particle":"","parse-names":false,"suffix":""},{"dropping-particle":"","family":"Gossmann","given":"A","non-dropping-particle":"","parse-names":false,"suffix":""},{"dropping-particle":"","family":"Oertel","given":"J","non-dropping-particle":"","parse-names":false,"suffix":""},{"dropping-particle":"V","family":"Bollen","given":"M","non-dropping-particle":"","parse-names":false,"suffix":""},{"dropping-particle":"","family":"Müller","given":"R-P","non-dropping-particle":"","parse-names":false,"suffix":""},{"dropping-particle":"","family":"Diehl","given":"V","non-dropping-particle":"","parse-names":false,"suffix":""},{"dropping-particle":"","family":"Engert","given":"A","non-dropping-particle":"","parse-names":false,"suffix":""}],"container-title":"Annals of oncology : official journal of the European Society for Medical Oncology","id":"ITEM-2","issue":"10","issued":{"date-parts":[["2005","10"]]},"page":"1683-7","title":"Extended field radiotherapy, combined modality treatment or involved field radiotherapy for patients with stage IA lymphocyte-predominant Hodgkin's lymphoma: a retrospective analysis from the German Hodgkin Study Group (GHSG).","type":"article-journal","volume":"16"},"uris":["http://www.mendeley.com/documents/?uuid=b154f59c-13ae-3458-a1bf-d45786ece732","http://www.mendeley.com/documents/?uuid=9f29f407-a11b-4296-a6ca-f8070f27b892"]},{"id":"ITEM-3","itemData":{"DOI":"10.1182/blood-2011-06-361055","ISSN":"00064971","abstract":"Nodular lymphocyte-predominant Hodgkin lymphoma (NLPHL) accounts for </w:instrText>
      </w:r>
      <w:r w:rsidR="002C6C01" w:rsidRPr="002F4348">
        <w:rPr>
          <w:rFonts w:ascii="Cambria Math" w:hAnsi="Cambria Math" w:cs="Cambria Math"/>
        </w:rPr>
        <w:instrText>∼</w:instrText>
      </w:r>
      <w:r w:rsidR="002C6C01" w:rsidRPr="002F4348">
        <w:instrText>5% of Hodgkin lymphoma cases. The disease is characterized by a strong CD20 expression on the malignant cells and a more indolent clinical course compared with classic HL. Anti-CD20 antibody treatment has shown clinical activity in relapsed NLPHL. In this phase 2 trial, we investigated rituximab in newly diagnosed stage IA NLPHL patients. Four weekly applications at 375 mg/m2 were given. Among the 28 evaluable patients, overall response rate was 100%, 24 patients (85.7%) achieved complete remission, and 4 (14.3%) achieved partial remission. At a median follow-up of 43 months, overall survival was 100%; progression-free survival at 12, 24, and 36 months was 96.4%, 85.3%, and 81.4%, respectively. No grade 3 or 4 toxicity was observed. Although treatment results with rituximab appear inferior compared with radiotherapy and combined-modality approaches in early-stage patients, investigation of anti-CD20 antibody-based combinations in NLPHL is warranted. This study was registered at www.clinicaltrials.gov as #NCT00346684. © 2011 by The American Society of Hematology.","author":[{"dropping-particle":"","family":"Eichenauer","given":"Dennis A.","non-dropping-particle":"","parse-names":false,"suffix":""},{"dropping-particle":"","family":"Fuchs","given":"Michael","non-dropping-particle":"","parse-names":false,"suffix":""},{"dropping-particle":"","family":"Pluetschow","given":"Annette","non-dropping-particle":"","parse-names":false,"suffix":""},{"dropping-particle":"","family":"Klimm","given":"Beate","non-dropping-particle":"","parse-names":false,"suffix":""},{"dropping-particle":"","family":"Halbsguth","given":"Teresa","non-dropping-particle":"","parse-names":false,"suffix":""},{"dropping-particle":"","family":"Böll","given":"Boris","non-dropping-particle":"","parse-names":false,"suffix":""},{"dropping-particle":"","family":"Tresckow","given":"Bastian","non-dropping-particle":"Von","parse-names":false,"suffix":""},{"dropping-particle":"","family":"Nogova","given":"Lucia","non-dropping-particle":"","parse-names":false,"suffix":""},{"dropping-particle":"","family":"Borchmann","given":"Peter","non-dropping-particle":"","parse-names":false,"suffix":""},{"dropping-particle":"","family":"Engert","given":"Andreas","non-dropping-particle":"","parse-names":false,"suffix":""}],"container-title":"Blood","id":"ITEM-3","issue":"16","issued":{"date-parts":[["2011","10","20"]]},"page":"4363-4365","title":"Phase 2 study of rituximab in newly diagnosed stage IA nodular lymphocytepredominant Hodgkin lymphoma: A report from the German Hodgkin Study Group","type":"article-journal","volume":"118"},"uris":["http://www.mendeley.com/documents/?uuid=39670bab-3e5b-3e38-98a5-7fcafde9c59d","http://www.mendeley.com/documents/?uuid=7ef558b6-803b-4b5b-ac98-615f998e5f1d"]}],"mendeley":{"formattedCitation":"[49–51]","plainTextFormattedCitation":"[49–51]","previouslyFormattedCitation":"[49–51]"},"properties":{"noteIndex":0},"schema":"https://github.com/citation-style-language/schema/raw/master/csl-citation.json"}</w:instrText>
      </w:r>
      <w:r w:rsidR="00897B91" w:rsidRPr="002F4348">
        <w:fldChar w:fldCharType="separate"/>
      </w:r>
      <w:r w:rsidR="0046092E" w:rsidRPr="002F4348">
        <w:rPr>
          <w:noProof/>
        </w:rPr>
        <w:t>[49–51]</w:t>
      </w:r>
      <w:r w:rsidR="00897B91" w:rsidRPr="002F4348">
        <w:fldChar w:fldCharType="end"/>
      </w:r>
      <w:r w:rsidR="00897B91" w:rsidRPr="002F4348">
        <w:t>.</w:t>
      </w:r>
      <w:r w:rsidR="00F12200" w:rsidRPr="002F4348">
        <w:t xml:space="preserve"> </w:t>
      </w:r>
    </w:p>
    <w:p w14:paraId="6DF79E47" w14:textId="77777777" w:rsidR="000578EF" w:rsidRPr="002F4348" w:rsidRDefault="000578EF" w:rsidP="00897B91">
      <w:pPr>
        <w:ind w:left="709" w:firstLine="0"/>
        <w:contextualSpacing/>
        <w:rPr>
          <w:b/>
        </w:rPr>
      </w:pPr>
      <w:r w:rsidRPr="002F4348">
        <w:rPr>
          <w:b/>
        </w:rPr>
        <w:t xml:space="preserve">Уровень убедительности рекомендаций </w:t>
      </w:r>
      <w:r w:rsidR="00B5143A" w:rsidRPr="002F4348">
        <w:rPr>
          <w:b/>
        </w:rPr>
        <w:t>С</w:t>
      </w:r>
      <w:r w:rsidRPr="002F4348">
        <w:rPr>
          <w:b/>
        </w:rPr>
        <w:t xml:space="preserve"> (уровень достоверности доказательств </w:t>
      </w:r>
      <w:r w:rsidR="00B5143A" w:rsidRPr="002F4348">
        <w:rPr>
          <w:b/>
        </w:rPr>
        <w:t>4</w:t>
      </w:r>
      <w:r w:rsidRPr="002F4348">
        <w:rPr>
          <w:b/>
        </w:rPr>
        <w:t>).</w:t>
      </w:r>
    </w:p>
    <w:p w14:paraId="4F7FECB3" w14:textId="77777777" w:rsidR="00A54E67" w:rsidRPr="002F4348" w:rsidRDefault="00D75819" w:rsidP="00B153FC">
      <w:pPr>
        <w:pStyle w:val="afe"/>
        <w:numPr>
          <w:ilvl w:val="0"/>
          <w:numId w:val="12"/>
        </w:numPr>
        <w:spacing w:before="120" w:after="120"/>
        <w:ind w:left="709" w:hanging="709"/>
      </w:pPr>
      <w:r w:rsidRPr="002F4348">
        <w:t xml:space="preserve">Ранее не получавшим лечение </w:t>
      </w:r>
      <w:r w:rsidR="00A54E67" w:rsidRPr="002F4348">
        <w:t xml:space="preserve">пациентам моложе 18 лет с </w:t>
      </w:r>
      <w:r w:rsidR="00F037C8" w:rsidRPr="002F4348">
        <w:rPr>
          <w:iCs/>
          <w:szCs w:val="24"/>
        </w:rPr>
        <w:t>НЛПЛХ</w:t>
      </w:r>
      <w:r w:rsidR="00A54E67" w:rsidRPr="002F4348">
        <w:t xml:space="preserve"> </w:t>
      </w:r>
      <w:r w:rsidR="00A54E67" w:rsidRPr="002F4348">
        <w:rPr>
          <w:lang w:val="en-US"/>
        </w:rPr>
        <w:t>I</w:t>
      </w:r>
      <w:r w:rsidR="00A54E67" w:rsidRPr="002F4348">
        <w:t>-</w:t>
      </w:r>
      <w:r w:rsidR="00A54E67" w:rsidRPr="002F4348">
        <w:rPr>
          <w:lang w:val="en-US"/>
        </w:rPr>
        <w:t>IIA</w:t>
      </w:r>
      <w:r w:rsidR="00A54E67" w:rsidRPr="002F4348">
        <w:t xml:space="preserve"> стадий без массивного опухолевого поражения </w:t>
      </w:r>
      <w:r w:rsidR="00A54E67" w:rsidRPr="002F4348">
        <w:rPr>
          <w:b/>
        </w:rPr>
        <w:t xml:space="preserve">рекомендовано </w:t>
      </w:r>
      <w:r w:rsidR="00A54E67" w:rsidRPr="002F4348">
        <w:t xml:space="preserve">хирургическое удаление очага и динамическое наблюдение </w:t>
      </w:r>
      <w:r w:rsidR="00A54E67" w:rsidRPr="002F4348">
        <w:fldChar w:fldCharType="begin" w:fldLock="1"/>
      </w:r>
      <w:r w:rsidR="002C6C01" w:rsidRPr="002F4348">
        <w:instrText>ADDIN CSL_CITATION {"citationItems":[{"id":"ITEM-1","itemData":{"DOI":"10.1200/JCO.2015.65.3469","ISSN":"15277755","abstract":"Purpose: Children's Oncology Group study AHOD03P1 was designed to determine whether excellent outcomes can be maintained for patients with low-risk, pediatric lymphocyte-predominant Hodgkin lymphoma (LPHL) with a strategy of resection alone or minimal chemotherapy. Patients and Methods: Patients with stage IA LPHL in a single node that was completely resected were observed without further therapy; recurrences were treated with three cycles of doxorubicin/vincristine/prednisone/cyclophosphamide (AV-PC). Patients with unresected stage IA or stage IIA LPHL were treated with three cycles of AV-PC. Patients with less than a complete response (CR) to AV-PC received 21-Gy involved-field radiation therapy (IFRT). Results: A total of 183 eligible patients were enrolled; 178 were evaluable. Of these, 52 patients underwent complete resection of a single node. There were 13 relapses at a median of 11.5 months; 5-year event-free survival (EFS) was 77% (range, 62% to 87%). A total of 135 patients received AV-PC; 126 were treated at diagnosis and nine at relapse after surgery alone. Eleven patients receiving AV-PC had less than CR and received IFRT. Fourteen first events occurred among 135 patients (12 relapses and two second malignancies). Two relapses occurred in patients who had received IFRT. Five-year EFS was 88.8% (95% CI, 81.8% to 93.2%). Five-year EFS for the entire cohort was 85.5% (95% CI, 79.2% to 90.1%); overall survival was 100%. Conclusion: Some 75% of highly selected pediatric patients with LPHL may be spared chemotherapy after surgical resection alone. Pediatric LPHL has excellent EFS with chemotherapy that is less intensive than standard regimens; &gt; 90% of patients can avoid radiation therapy. The salvage rate for the few relapses is high, with 100% survival overall.","author":[{"dropping-particle":"","family":"Appel","given":"Burton E.","non-dropping-particle":"","parse-names":false,"suffix":""},{"dropping-particle":"","family":"Chen","given":"Lu","non-dropping-particle":"","parse-names":false,"suffix":""},{"dropping-particle":"","family":"Buxton","given":"Allen B.","non-dropping-particle":"","parse-names":false,"suffix":""},{"dropping-particle":"","family":"Hutchison","given":"Robert E.","non-dropping-particle":"","parse-names":false,"suffix":""},{"dropping-particle":"","family":"Hodgson","given":"David C.","non-dropping-particle":"","parse-names":false,"suffix":""},{"dropping-particle":"","family":"Ehrlich","given":"Peter F.","non-dropping-particle":"","parse-names":false,"suffix":""},{"dropping-particle":"","family":"Constine","given":"Louis S.","non-dropping-particle":"","parse-names":false,"suffix":""},{"dropping-particle":"","family":"Schwartz","given":"Cindy L.","non-dropping-particle":"","parse-names":false,"suffix":""}],"container-title":"Journal of Clinical Oncology","id":"ITEM-1","issue":"20","issued":{"date-parts":[["2016","7","10"]]},"page":"2372-2379","publisher":"American Society of Clinical Oncology","title":"Minimal treatment of low-risk, pediatric lymphocyte-predominant hodgkin lymphoma: A report from the children's oncology group","type":"article-journal","volume":"34"},"uris":["http://www.mendeley.com/documents/?uuid=17408e0c-b411-328d-a716-2c6065bbec20","http://www.mendeley.com/documents/?uuid=2912245c-28b6-4610-80d5-89eb9ab7cbf9"]},{"id":"ITEM-2","itemData":{"DOI":"10.1002/cncr.22762","ISSN":"0008543X","abstract":"BACKGROUND. Lymphocyte-predominant Hodgkin lymphoma (LPHL) is a rare, CD20-positive, good prognostic lymphoma in children. Patients with early-stage LPHL who underwent successful surgical lymph node resection alone have been reported. To clarify the optimum treatment strategy in children, European study groups were asked to report their experience of surgery alone used in the treatment of pediatric LPHL. METHODS. Data from 58 patients were collected by the French Society for Pediatric Cancers, the German-Austrian Pediatric Study Group/German Society of Pediatric Oncology and Hematology (Germany), and the Children's Cancer and Leukaemia Group (United Kingdom). In total, there were 50 boys and 8 girls, and the median age was 11 years (age range, 4-17 years). Fifty-four patients had stage IA disease, 2 patients had stage IIA disease, and 2 patients had stage IIIA disease. RESULTS. With a median follow-up of 43 months (range, 2-202 months), the overall survival rate was 100%, and the progression-free survival (PFS) rate was 57%. Fifty-one of 58 patients achieved complete remission (CR) after surgery. In the CR group, the overall PFS rate was 67% (95% confidence interval, 51-82%). All seven patients who had residual disease after initial surgery developed recurrences (P =.003). Among 18 patients with stage IA LPHL who developed recurrent disease, 11 patients had local recurrences, and 7 patients recurred in stage IIA. One patient with stage IIIA disease presented with high-grade B-cell non-Hodgkin lymphoma at 10 years of follow-up. CONCLUSIONS. When complete resection was achieved, a substantial proportion of patients with surgically treated, early-stage LPHL experienced long-term remission and actually may have been cured. © 2007 American Cancer Society.","author":[{"dropping-particle":"","family":"Mauz-Körholz","given":"Christine","non-dropping-particle":"","parse-names":false,"suffix":""},{"dropping-particle":"","family":"Gorde-Grosjean","given":"Stephanie","non-dropping-particle":"","parse-names":false,"suffix":""},{"dropping-particle":"","family":"Hasenclever","given":"Dirk","non-dropping-particle":"","parse-names":false,"suffix":""},{"dropping-particle":"","family":"Shankar","given":"Ananth","non-dropping-particle":"","parse-names":false,"suffix":""},{"dropping-particle":"","family":"Dörffel","given":"Wolfgang","non-dropping-particle":"","parse-names":false,"suffix":""},{"dropping-particle":"","family":"Wallace","given":"W. Hamish","non-dropping-particle":"","parse-names":false,"suffix":""},{"dropping-particle":"","family":"Schellong","given":"Günther","non-dropping-particle":"","parse-names":false,"suffix":""},{"dropping-particle":"","family":"Robert","given":"Alain","non-dropping-particle":"","parse-names":false,"suffix":""},{"dropping-particle":"","family":"Körholz","given":"Dieter","non-dropping-particle":"","parse-names":false,"suffix":""},{"dropping-particle":"","family":"Oberlin","given":"Odile","non-dropping-particle":"","parse-names":false,"suffix":""},{"dropping-particle":"","family":"Hall","given":"Georgina W.","non-dropping-particle":"","parse-names":false,"suffix":""},{"dropping-particle":"","family":"Landman-Parker","given":"Judith","non-dropping-particle":"","parse-names":false,"suffix":""}],"container-title":"Cancer","id":"ITEM-2","issue":"1","issued":{"date-parts":[["2007","7","1"]]},"page":"179-185","title":"Resection alone in 58 children with limited stage, lymphocyte-predominant Hodgkin lymphoma-experience from the European network group on pediatric Hodgkin lymphoma","type":"article-journal","volume":"110"},"uris":["http://www.mendeley.com/documents/?uuid=381aa13d-5983-3b01-95c2-70ee388dfcc4","http://www.mendeley.com/documents/?uuid=ad45c98c-f5f3-4a78-95d0-6e8b976f2837"]}],"mendeley":{"formattedCitation":"[52,53]","plainTextFormattedCitation":"[52,53]","previouslyFormattedCitation":"[52,53]"},"properties":{"noteIndex":0},"schema":"https://github.com/citation-style-language/schema/raw/master/csl-citation.json"}</w:instrText>
      </w:r>
      <w:r w:rsidR="00A54E67" w:rsidRPr="002F4348">
        <w:fldChar w:fldCharType="separate"/>
      </w:r>
      <w:r w:rsidR="0046092E" w:rsidRPr="002F4348">
        <w:rPr>
          <w:noProof/>
        </w:rPr>
        <w:t>[52,53]</w:t>
      </w:r>
      <w:r w:rsidR="00A54E67" w:rsidRPr="002F4348">
        <w:fldChar w:fldCharType="end"/>
      </w:r>
      <w:r w:rsidR="00A54E67" w:rsidRPr="002F4348">
        <w:t xml:space="preserve">. </w:t>
      </w:r>
    </w:p>
    <w:p w14:paraId="79A85FDF" w14:textId="77777777" w:rsidR="00A54E67" w:rsidRPr="002F4348" w:rsidRDefault="00A54E67" w:rsidP="00A54E67">
      <w:pPr>
        <w:ind w:left="709" w:firstLine="0"/>
        <w:contextualSpacing/>
        <w:rPr>
          <w:b/>
        </w:rPr>
      </w:pPr>
      <w:r w:rsidRPr="002F4348">
        <w:rPr>
          <w:b/>
        </w:rPr>
        <w:t xml:space="preserve">Уровень убедительности рекомендаций </w:t>
      </w:r>
      <w:r w:rsidRPr="002F4348">
        <w:rPr>
          <w:b/>
          <w:lang w:val="en-US"/>
        </w:rPr>
        <w:t>B</w:t>
      </w:r>
      <w:r w:rsidRPr="002F4348">
        <w:rPr>
          <w:b/>
        </w:rPr>
        <w:t xml:space="preserve"> (уровень достоверности доказательств 3).</w:t>
      </w:r>
    </w:p>
    <w:p w14:paraId="4B72EDD7" w14:textId="77777777" w:rsidR="000578EF" w:rsidRPr="002F4348" w:rsidRDefault="00D75819" w:rsidP="00B153FC">
      <w:pPr>
        <w:pStyle w:val="afe"/>
        <w:numPr>
          <w:ilvl w:val="0"/>
          <w:numId w:val="12"/>
        </w:numPr>
        <w:spacing w:before="120" w:after="120"/>
        <w:ind w:left="709" w:hanging="709"/>
      </w:pPr>
      <w:r w:rsidRPr="002F4348">
        <w:t xml:space="preserve">Ранее не получавшим лечение </w:t>
      </w:r>
      <w:r w:rsidR="000578EF" w:rsidRPr="002F4348">
        <w:t>пациентам 18 лет</w:t>
      </w:r>
      <w:r w:rsidR="00A54E67" w:rsidRPr="002F4348">
        <w:t xml:space="preserve"> и старше</w:t>
      </w:r>
      <w:r w:rsidR="000578EF" w:rsidRPr="002F4348">
        <w:t xml:space="preserve"> с </w:t>
      </w:r>
      <w:r w:rsidR="00F037C8" w:rsidRPr="002F4348">
        <w:rPr>
          <w:iCs/>
          <w:szCs w:val="24"/>
        </w:rPr>
        <w:t>НЛПЛХ</w:t>
      </w:r>
      <w:r w:rsidR="000578EF" w:rsidRPr="002F4348">
        <w:t xml:space="preserve"> </w:t>
      </w:r>
      <w:r w:rsidR="000578EF" w:rsidRPr="002F4348">
        <w:rPr>
          <w:lang w:val="en-US"/>
        </w:rPr>
        <w:t>I</w:t>
      </w:r>
      <w:r w:rsidR="000578EF" w:rsidRPr="002F4348">
        <w:t>-</w:t>
      </w:r>
      <w:r w:rsidR="000578EF" w:rsidRPr="002F4348">
        <w:rPr>
          <w:lang w:val="en-US"/>
        </w:rPr>
        <w:t>II</w:t>
      </w:r>
      <w:r w:rsidR="000578EF" w:rsidRPr="002F4348">
        <w:t xml:space="preserve"> стадий с массивным опухолевым поражением и/или с симптомами интоксикации (В-</w:t>
      </w:r>
      <w:r w:rsidR="000578EF" w:rsidRPr="002F4348">
        <w:lastRenderedPageBreak/>
        <w:t xml:space="preserve">симптомами) </w:t>
      </w:r>
      <w:r w:rsidR="000578EF" w:rsidRPr="002F4348">
        <w:rPr>
          <w:b/>
        </w:rPr>
        <w:t xml:space="preserve">рекомендовано </w:t>
      </w:r>
      <w:r w:rsidR="000578EF" w:rsidRPr="002F4348">
        <w:t xml:space="preserve">проведение химиотерапии по схеме </w:t>
      </w:r>
      <w:r w:rsidR="000578EF" w:rsidRPr="002F4348">
        <w:rPr>
          <w:lang w:val="en-US"/>
        </w:rPr>
        <w:t>ABVD</w:t>
      </w:r>
      <w:r w:rsidR="000578EF" w:rsidRPr="002F4348">
        <w:t xml:space="preserve"> в комбинации с #ритуксимабом** и лучевой терапии СОД 30 Гр </w:t>
      </w:r>
      <w:r w:rsidR="00897B91" w:rsidRPr="002F4348">
        <w:fldChar w:fldCharType="begin" w:fldLock="1"/>
      </w:r>
      <w:r w:rsidR="002C6C01" w:rsidRPr="002F4348">
        <w:instrText>ADDIN CSL_CITATION {"citationItems":[{"id":"ITEM-1","itemData":{"DOI":"10.1111/bjh.14001","ISSN":"00071048","author":[{"dropping-particle":"","family":"Cencini","given":"Emanuele","non-dropping-particle":"","parse-names":false,"suffix":""},{"dropping-particle":"","family":"Fabbri","given":"Alberto","non-dropping-particle":"","parse-names":false,"suffix":""},{"dropping-particle":"","family":"Bocchia","given":"Monica","non-dropping-particle":"","parse-names":false,"suffix":""}],"container-title":"British Journal of Haematology","id":"ITEM-1","issue":"5","issued":{"date-parts":[["2017","3","1"]]},"page":"831-833","publisher":"Blackwell Publishing Ltd","title":"Rituximab plus ABVD in newly diagnosed nodular lymphocyte-predominant Hodgkin lymphoma","type":"article-journal","volume":"176"},"uris":["http://www.mendeley.com/documents/?uuid=d0072906-cb12-30b6-b1fa-93305577d157","http://www.mendeley.com/documents/?uuid=d5ca256d-2c4d-40e5-965f-d92915333b7e"]}],"mendeley":{"formattedCitation":"[54]","plainTextFormattedCitation":"[54]","previouslyFormattedCitation":"[54]"},"properties":{"noteIndex":0},"schema":"https://github.com/citation-style-language/schema/raw/master/csl-citation.json"}</w:instrText>
      </w:r>
      <w:r w:rsidR="00897B91" w:rsidRPr="002F4348">
        <w:fldChar w:fldCharType="separate"/>
      </w:r>
      <w:r w:rsidR="00B5143A" w:rsidRPr="002F4348">
        <w:rPr>
          <w:noProof/>
        </w:rPr>
        <w:t>[54]</w:t>
      </w:r>
      <w:r w:rsidR="00897B91" w:rsidRPr="002F4348">
        <w:fldChar w:fldCharType="end"/>
      </w:r>
      <w:r w:rsidR="00897B91" w:rsidRPr="002F4348">
        <w:t>.</w:t>
      </w:r>
      <w:r w:rsidR="00F12200" w:rsidRPr="002F4348">
        <w:t xml:space="preserve"> </w:t>
      </w:r>
    </w:p>
    <w:p w14:paraId="131B2674" w14:textId="77777777" w:rsidR="000578EF" w:rsidRPr="002F4348" w:rsidRDefault="000578EF" w:rsidP="00897B91">
      <w:pPr>
        <w:ind w:left="709" w:firstLine="0"/>
        <w:contextualSpacing/>
        <w:rPr>
          <w:b/>
        </w:rPr>
      </w:pPr>
      <w:r w:rsidRPr="002F4348">
        <w:rPr>
          <w:b/>
        </w:rPr>
        <w:t xml:space="preserve">Уровень убедительности рекомендаций </w:t>
      </w:r>
      <w:r w:rsidR="00B5143A" w:rsidRPr="002F4348">
        <w:rPr>
          <w:b/>
          <w:lang w:val="en-US"/>
        </w:rPr>
        <w:t>C</w:t>
      </w:r>
      <w:r w:rsidR="00B5143A" w:rsidRPr="002F4348">
        <w:rPr>
          <w:b/>
        </w:rPr>
        <w:t xml:space="preserve"> </w:t>
      </w:r>
      <w:r w:rsidRPr="002F4348">
        <w:rPr>
          <w:b/>
        </w:rPr>
        <w:t xml:space="preserve">(уровень достоверности доказательств </w:t>
      </w:r>
      <w:r w:rsidR="00B5143A" w:rsidRPr="002F4348">
        <w:rPr>
          <w:b/>
        </w:rPr>
        <w:t>5</w:t>
      </w:r>
      <w:r w:rsidRPr="002F4348">
        <w:rPr>
          <w:b/>
        </w:rPr>
        <w:t>).</w:t>
      </w:r>
    </w:p>
    <w:p w14:paraId="139EDF59" w14:textId="77777777" w:rsidR="000578EF" w:rsidRPr="002F4348" w:rsidRDefault="000578EF" w:rsidP="00897B91">
      <w:pPr>
        <w:ind w:left="709" w:firstLine="0"/>
        <w:contextualSpacing/>
        <w:rPr>
          <w:i/>
        </w:rPr>
      </w:pPr>
      <w:r w:rsidRPr="002F4348">
        <w:rPr>
          <w:b/>
        </w:rPr>
        <w:t xml:space="preserve">Комментарий: </w:t>
      </w:r>
      <w:r w:rsidRPr="002F4348">
        <w:rPr>
          <w:i/>
        </w:rPr>
        <w:t xml:space="preserve">ЛТ </w:t>
      </w:r>
      <w:r w:rsidR="00E61655" w:rsidRPr="002F4348">
        <w:rPr>
          <w:i/>
        </w:rPr>
        <w:t xml:space="preserve">пациентам с </w:t>
      </w:r>
      <w:r w:rsidR="00F037C8" w:rsidRPr="002F4348">
        <w:rPr>
          <w:i/>
        </w:rPr>
        <w:t>НЛПЛХ</w:t>
      </w:r>
      <w:r w:rsidRPr="002F4348">
        <w:rPr>
          <w:i/>
        </w:rPr>
        <w:t xml:space="preserve"> проводится на зоны исходно поражённых лимфатических узлов, определяемых по данным ПЭТ/КТ, с отступами 2-5 см. При невозможности выполнения ПЭТ/КТ до начала лечения объём ЛТ определяется по данным исходных УЗИ, КТ.</w:t>
      </w:r>
    </w:p>
    <w:p w14:paraId="50EB1D71" w14:textId="77777777" w:rsidR="00370263" w:rsidRPr="002F4348" w:rsidRDefault="00D75819" w:rsidP="00B153FC">
      <w:pPr>
        <w:pStyle w:val="afe"/>
        <w:numPr>
          <w:ilvl w:val="0"/>
          <w:numId w:val="12"/>
        </w:numPr>
        <w:spacing w:before="120" w:after="120"/>
        <w:ind w:left="709" w:hanging="709"/>
      </w:pPr>
      <w:r w:rsidRPr="002F4348">
        <w:t xml:space="preserve">Ранее не получавшим лечение </w:t>
      </w:r>
      <w:r w:rsidR="00A54E67" w:rsidRPr="002F4348">
        <w:t xml:space="preserve">пациентам моложе 18 лет с </w:t>
      </w:r>
      <w:r w:rsidR="00F037C8" w:rsidRPr="002F4348">
        <w:rPr>
          <w:iCs/>
          <w:szCs w:val="24"/>
        </w:rPr>
        <w:t>НЛПЛХ</w:t>
      </w:r>
      <w:r w:rsidR="00A54E67" w:rsidRPr="002F4348">
        <w:t xml:space="preserve"> </w:t>
      </w:r>
      <w:r w:rsidR="00A54E67" w:rsidRPr="002F4348">
        <w:rPr>
          <w:lang w:val="en-US"/>
        </w:rPr>
        <w:t>I</w:t>
      </w:r>
      <w:r w:rsidR="00A54E67" w:rsidRPr="002F4348">
        <w:t>-</w:t>
      </w:r>
      <w:r w:rsidR="00A54E67" w:rsidRPr="002F4348">
        <w:rPr>
          <w:lang w:val="en-US"/>
        </w:rPr>
        <w:t>II</w:t>
      </w:r>
      <w:r w:rsidR="00A54E67" w:rsidRPr="002F4348">
        <w:t xml:space="preserve"> стадий с массивным опухолевым поражением и/или с симптомами интоксикации (В-симптомами) </w:t>
      </w:r>
      <w:r w:rsidR="00A54E67" w:rsidRPr="002F4348">
        <w:rPr>
          <w:b/>
        </w:rPr>
        <w:t xml:space="preserve">рекомендовано </w:t>
      </w:r>
      <w:r w:rsidR="00A54E67" w:rsidRPr="002F4348">
        <w:t xml:space="preserve">проведение химиотерапии по схеме </w:t>
      </w:r>
      <w:r w:rsidR="00370263" w:rsidRPr="002F4348">
        <w:rPr>
          <w:lang w:val="en-US"/>
        </w:rPr>
        <w:t>CVP</w:t>
      </w:r>
      <w:r w:rsidR="00370263" w:rsidRPr="002F4348">
        <w:t xml:space="preserve"> с #ритуксимабом** </w:t>
      </w:r>
      <w:r w:rsidR="00370263" w:rsidRPr="002F4348">
        <w:fldChar w:fldCharType="begin" w:fldLock="1"/>
      </w:r>
      <w:r w:rsidR="00A850F7" w:rsidRPr="002F4348">
        <w:instrText>ADDIN CSL_CITATION {"citationItems":[{"id":"ITEM-1","itemData":{"DOI":"10.1016/j.ejca.2011.10.018","ISSN":"09598049","abstract":"Purpose: To examine whether three cycles of a low-intensity chemotherapy consisting of cyclophosphamide [500 mg/m 2 - day 1], vinblastine [6 mg/m 2 - days 1 and 8] and prednisolone [40 mg/m 2 - days 1-7] (CVP) is safe and therapeutically effective in children and adolescents with early stage nodular lymphocyte predominant Hodgkin lymphoma [nLPHL]. Patients and methods: Fifty-five children and adolescents with early stage nLPHL [median age 13 years, range 4-17 years] diagnosed between June 2005 and October 2010 in the UK and France are the subjects of this report. Staging investigations included conventional cross sectional as well as 18 fluro-deoxyglucose [FDG] PET imaging. Histology was confirmed as nLPHL by an expert pathology panel. Results: Of the 45 patients, who received CVP as first line treatment, 36 [80%, 95% Confidence Interval [CI]: (68; 92)] either achieved a complete remission [CR] or CR unconfirmed [CRu], the remaining nine patients achieved a partial response. All nine subsequently achieved CR with salvage chemotherapy [n = 7] or radiotherapy [n = 2]. Ten patients received CVP at relapse after primary treatment that consisted of surgery alone and all achieved CR. To date, only three patients have relapsed after CVP chemotherapy and all had received CVP as first line treatment at initial diagnosis. The 40-month freedom from treatment failure and overall survival for the entire cohort were 75.4% (SE ± 6%) and 100%, respectively. No significant early toxicity was observed. Conclusions: Our results show that CVP is an effective chemotherapy regimen in children and adolescents with early stage nLPHL that is well tolerated with minimal acute toxicity. © 2011 Elsevier Ltd. All rights reserved.","author":[{"dropping-particle":"","family":"Shankar","given":"Ananth","non-dropping-particle":"","parse-names":false,"suffix":""},{"dropping-particle":"","family":"Hall","given":"Georgina W.","non-dropping-particle":"","parse-names":false,"suffix":""},{"dropping-particle":"","family":"Gorde-Grosjean","given":"Stephanie","non-dropping-particle":"","parse-names":false,"suffix":""},{"dropping-particle":"","family":"Hasenclever","given":"Dirk","non-dropping-particle":"","parse-names":false,"suffix":""},{"dropping-particle":"","family":"Leblanc","given":"Thierry","non-dropping-particle":"","parse-names":false,"suffix":""},{"dropping-particle":"","family":"Hayward","given":"Janis","non-dropping-particle":"","parse-names":false,"suffix":""},{"dropping-particle":"","family":"Lambilliotte","given":"Anne","non-dropping-particle":"","parse-names":false,"suffix":""},{"dropping-particle":"","family":"Daw","given":"Stephen","non-dropping-particle":"","parse-names":false,"suffix":""},{"dropping-particle":"","family":"Perel","given":"Yves","non-dropping-particle":"","parse-names":false,"suffix":""},{"dropping-particle":"","family":"McCarthy","given":"Keith","non-dropping-particle":"","parse-names":false,"suffix":""},{"dropping-particle":"","family":"Lejars","given":"Odile","non-dropping-particle":"","parse-names":false,"suffix":""},{"dropping-particle":"","family":"Coulomb","given":"Aurore","non-dropping-particle":"","parse-names":false,"suffix":""},{"dropping-particle":"","family":"Oberlin","given":"W. Odile","non-dropping-particle":"","parse-names":false,"suffix":""},{"dropping-particle":"","family":"Wallace","given":"W. Hamish","non-dropping-particle":"","parse-names":false,"suffix":""},{"dropping-particle":"","family":"Landman-Parker","given":"Judith","non-dropping-particle":"","parse-names":false,"suffix":""}],"container-title":"European Journal of Cancer","id":"ITEM-1","issue":"11","issued":{"date-parts":[["2012","7"]]},"page":"1700-1706","title":"Treatment outcome after low intensity chemotherapy [CVP] in children and adolescents with early stage nodular lymphocyte predominant Hodgkin's lymphoma - An Anglo-French collaborative report","type":"article-journal","volume":"48"},"uris":["http://www.mendeley.com/documents/?uuid=2a3717b9-ce82-3fd9-b87c-12d372e48e32","http://www.mendeley.com/documents/?uuid=822696d9-f260-4edf-9a87-4671cd75b270"]}],"mendeley":{"formattedCitation":"[55]","plainTextFormattedCitation":"[55]","previouslyFormattedCitation":"[55]"},"properties":{"noteIndex":0},"schema":"https://github.com/citation-style-language/schema/raw/master/csl-citation.json"}</w:instrText>
      </w:r>
      <w:r w:rsidR="00370263" w:rsidRPr="002F4348">
        <w:fldChar w:fldCharType="separate"/>
      </w:r>
      <w:r w:rsidR="00B5143A" w:rsidRPr="002F4348">
        <w:rPr>
          <w:noProof/>
        </w:rPr>
        <w:t>[55]</w:t>
      </w:r>
      <w:r w:rsidR="00370263" w:rsidRPr="002F4348">
        <w:fldChar w:fldCharType="end"/>
      </w:r>
      <w:r w:rsidR="00370263" w:rsidRPr="002F4348">
        <w:t>.</w:t>
      </w:r>
      <w:r w:rsidR="00370263" w:rsidRPr="002F4348" w:rsidDel="00370263">
        <w:t xml:space="preserve"> </w:t>
      </w:r>
    </w:p>
    <w:p w14:paraId="66D55629" w14:textId="77777777" w:rsidR="00054863" w:rsidRPr="002F4348" w:rsidRDefault="00054863" w:rsidP="000709E2">
      <w:pPr>
        <w:ind w:left="709" w:firstLine="0"/>
        <w:contextualSpacing/>
        <w:rPr>
          <w:b/>
        </w:rPr>
      </w:pPr>
      <w:r w:rsidRPr="002F4348">
        <w:rPr>
          <w:b/>
        </w:rPr>
        <w:t xml:space="preserve">Уровень убедительности рекомендаций </w:t>
      </w:r>
      <w:r w:rsidR="008C63AF" w:rsidRPr="002F4348">
        <w:rPr>
          <w:b/>
        </w:rPr>
        <w:t xml:space="preserve">С </w:t>
      </w:r>
      <w:r w:rsidRPr="002F4348">
        <w:rPr>
          <w:b/>
        </w:rPr>
        <w:t xml:space="preserve">(уровень достоверности доказательств </w:t>
      </w:r>
      <w:r w:rsidR="008C63AF" w:rsidRPr="002F4348">
        <w:rPr>
          <w:b/>
        </w:rPr>
        <w:t>5</w:t>
      </w:r>
      <w:r w:rsidRPr="002F4348">
        <w:rPr>
          <w:b/>
        </w:rPr>
        <w:t>).</w:t>
      </w:r>
    </w:p>
    <w:p w14:paraId="21574221" w14:textId="77777777" w:rsidR="00F12200" w:rsidRPr="002F4348" w:rsidRDefault="00D75819" w:rsidP="00B153FC">
      <w:pPr>
        <w:pStyle w:val="afe"/>
        <w:numPr>
          <w:ilvl w:val="0"/>
          <w:numId w:val="12"/>
        </w:numPr>
        <w:ind w:left="709" w:hanging="709"/>
      </w:pPr>
      <w:r w:rsidRPr="002F4348">
        <w:t xml:space="preserve">Ранее не получавшим лечение </w:t>
      </w:r>
      <w:r w:rsidR="000578EF" w:rsidRPr="002F4348">
        <w:t>пациентам с распространенными (</w:t>
      </w:r>
      <w:r w:rsidR="000578EF" w:rsidRPr="002F4348">
        <w:rPr>
          <w:lang w:val="en-US"/>
        </w:rPr>
        <w:t>III</w:t>
      </w:r>
      <w:r w:rsidR="000578EF" w:rsidRPr="002F4348">
        <w:t>-</w:t>
      </w:r>
      <w:r w:rsidR="000578EF" w:rsidRPr="002F4348">
        <w:rPr>
          <w:lang w:val="en-US"/>
        </w:rPr>
        <w:t>IV</w:t>
      </w:r>
      <w:r w:rsidR="000578EF" w:rsidRPr="002F4348">
        <w:t xml:space="preserve">) стадиями </w:t>
      </w:r>
      <w:r w:rsidR="00F037C8" w:rsidRPr="002F4348">
        <w:rPr>
          <w:iCs/>
          <w:szCs w:val="24"/>
        </w:rPr>
        <w:t>НЛПЛХ</w:t>
      </w:r>
      <w:r w:rsidR="000578EF" w:rsidRPr="002F4348">
        <w:t xml:space="preserve"> </w:t>
      </w:r>
      <w:r w:rsidR="000578EF" w:rsidRPr="002F4348">
        <w:rPr>
          <w:b/>
        </w:rPr>
        <w:t xml:space="preserve">рекомендовано </w:t>
      </w:r>
      <w:r w:rsidR="000578EF" w:rsidRPr="002F4348">
        <w:t xml:space="preserve">применение режима </w:t>
      </w:r>
      <w:r w:rsidR="000578EF" w:rsidRPr="002F4348">
        <w:rPr>
          <w:lang w:val="en-US"/>
        </w:rPr>
        <w:t>R</w:t>
      </w:r>
      <w:r w:rsidR="000578EF" w:rsidRPr="002F4348">
        <w:t>-</w:t>
      </w:r>
      <w:r w:rsidR="000578EF" w:rsidRPr="002F4348">
        <w:rPr>
          <w:lang w:val="en-US"/>
        </w:rPr>
        <w:t>CHOP</w:t>
      </w:r>
      <w:r w:rsidR="007A344D" w:rsidRPr="002F4348">
        <w:t xml:space="preserve"> (описание режимов – см. приложение А3.1) </w:t>
      </w:r>
      <w:r w:rsidR="00897B91" w:rsidRPr="002F4348">
        <w:t xml:space="preserve"> </w:t>
      </w:r>
      <w:r w:rsidR="00897B91" w:rsidRPr="002F4348">
        <w:fldChar w:fldCharType="begin" w:fldLock="1"/>
      </w:r>
      <w:r w:rsidR="00A850F7" w:rsidRPr="002F4348">
        <w:instrText>ADDIN CSL_CITATION {"citationItems":[{"id":"ITEM-1","itemData":{"DOI":"10.1182/blood-2017-02-766121","ISSN":"15280020","abstract":"© 2017 by The American Society of Hematology. Nodular lymphocyte Hodgkin lymphoma (NLPHL) is a rare disease for which the optimal therapy is unknown. We hypothesized that rituximab plus cyclophosphamide, doxorubicin, vincristine, and prednisone (R-CHOP) could decrease rates of relapse and transformation. We retrospectively reviewed patients with NLPHL diagnosed between 1995 and 2015 confirmed by central pathologic review. Fifty-nine had sufficient treatment and follow-up data for analysis. We described progression-free survival (PFS), overall survival (OS), and histologic transformation according to treatment strategy and explored prognostic factors for PFS and OS. The median age at diagnosis was 41 years; 75% were male, and 61% had a typical growth pattern. Twenty-seven patients were treated with R-CHOP with an overall response rate of 100% (complete responses 89%). The median follow-up was 6.7 years, and the estimated 5- and 10-year PFS rates for patients treated with R-CHOP were 88.5% (95% confidence interval [CI], 68.4% to 96.1%) and 59.3 (95% CI, 25.3% to 89.1%), respectively. Excluding patients with histologic transformation at diagnosis, the 5-year cumulative incidence of histologic transformation was 2% (95% CI, 87% to 100%). No patient treated with R-CHOP experienced transformation. A high-risk score from the German Hodgkin Study Group was adversely prognostic for OS (P 5 .036), whereas male sex and splenic involvement were adversely prognostic for PFS (P 5 .006 and .002, respectively) but not OS. Our data support a potential role for R-CHOP in patients with NLPHL. Larger prospective trials are needed to define the optimal chemotherapy regimen.","author":[{"dropping-particle":"","family":"Fanale","given":"Michelle A.","non-dropping-particle":"","parse-names":false,"suffix":""},{"dropping-particle":"","family":"Cheah","given":"Chan Yoon","non-dropping-particle":"","parse-names":false,"suffix":""},{"dropping-particle":"","family":"Rich","given":"Amy","non-dropping-particle":"","parse-names":false,"suffix":""},{"dropping-particle":"","family":"Medeiros","given":"L. Jeffrey","non-dropping-particle":"","parse-names":false,"suffix":""},{"dropping-particle":"","family":"Lai","given":"Chao Ming","non-dropping-particle":"","parse-names":false,"suffix":""},{"dropping-particle":"","family":"Oki","given":"Yasuhiro","non-dropping-particle":"","parse-names":false,"suffix":""},{"dropping-particle":"","family":"Romaguera","given":"Jorge E.","non-dropping-particle":"","parse-names":false,"suffix":""},{"dropping-particle":"","family":"Fayad","given":"Luis E.","non-dropping-particle":"","parse-names":false,"suffix":""},{"dropping-particle":"","family":"Hagemeister","given":"F. B.","non-dropping-particle":"","parse-names":false,"suffix":""},{"dropping-particle":"","family":"Samaniego","given":"Felipe","non-dropping-particle":"","parse-names":false,"suffix":""},{"dropping-particle":"","family":"Rodriguez","given":"Maria A.","non-dropping-particle":"","parse-names":false,"suffix":""},{"dropping-particle":"","family":"Neelapu","given":"Sattva S.","non-dropping-particle":"","parse-names":false,"suffix":""},{"dropping-particle":"","family":"Lee","given":"Hun J.","non-dropping-particle":"","parse-names":false,"suffix":""},{"dropping-particle":"","family":"Nastoupil","given":"Loretta","non-dropping-particle":"","parse-names":false,"suffix":""},{"dropping-particle":"","family":"Fowler","given":"Nathan H.","non-dropping-particle":"","parse-names":false,"suffix":""},{"dropping-particle":"","family":"Turturro","given":"Francesco","non-dropping-particle":"","parse-names":false,"suffix":""},{"dropping-particle":"","family":"Westin","given":"Jason R.","non-dropping-particle":"","parse-names":false,"suffix":""},{"dropping-particle":"","family":"Wang","given":"Michael L.","non-dropping-particle":"","parse-names":false,"suffix":""},{"dropping-particle":"","family":"McLaughlin","given":"Peter","non-dropping-particle":"","parse-names":false,"suffix":""},{"dropping-particle":"","family":"Pinnix","given":"Chelsea C.","non-dropping-particle":"","parse-names":false,"suffix":""},{"dropping-particle":"","family":"Milgrom","given":"Sarah A.","non-dropping-particle":"","parse-names":false,"suffix":""},{"dropping-particle":"","family":"Dabaja","given":"Bouthaina","non-dropping-particle":"","parse-names":false,"suffix":""},{"dropping-particle":"","family":"Horowitz","given":"Sandra B.","non-dropping-particle":"","parse-names":false,"suffix":""},{"dropping-particle":"","family":"Younes","given":"Anas","non-dropping-particle":"","parse-names":false,"suffix":""}],"container-title":"Blood","id":"ITEM-1","issued":{"date-parts":[["2017"]]},"title":"Encouraging activity for R-CHOP in advanced stage nodular lymphocyte–predominant Hodgkin lymphoma","type":"article-journal"},"uris":["http://www.mendeley.com/documents/?uuid=4629b39a-27e6-3217-9bbd-7fc4330c3b8f","http://www.mendeley.com/documents/?uuid=8f53ae39-3441-45a8-8028-aab12a7c2c5c"]}],"mendeley":{"formattedCitation":"[56]","plainTextFormattedCitation":"[56]","previouslyFormattedCitation":"[56]"},"properties":{"noteIndex":0},"schema":"https://github.com/citation-style-language/schema/raw/master/csl-citation.json"}</w:instrText>
      </w:r>
      <w:r w:rsidR="00897B91" w:rsidRPr="002F4348">
        <w:fldChar w:fldCharType="separate"/>
      </w:r>
      <w:r w:rsidR="00B5143A" w:rsidRPr="002F4348">
        <w:rPr>
          <w:noProof/>
        </w:rPr>
        <w:t>[56]</w:t>
      </w:r>
      <w:r w:rsidR="00897B91" w:rsidRPr="002F4348">
        <w:fldChar w:fldCharType="end"/>
      </w:r>
      <w:r w:rsidR="00897B91" w:rsidRPr="002F4348">
        <w:rPr>
          <w:lang w:val="en-US"/>
        </w:rPr>
        <w:t>.</w:t>
      </w:r>
      <w:r w:rsidR="00F12200" w:rsidRPr="002F4348">
        <w:rPr>
          <w:lang w:val="en-US"/>
        </w:rPr>
        <w:t xml:space="preserve"> </w:t>
      </w:r>
    </w:p>
    <w:p w14:paraId="2B90C0A9" w14:textId="77777777" w:rsidR="000578EF" w:rsidRPr="002F4348" w:rsidRDefault="000578EF" w:rsidP="00F12200">
      <w:pPr>
        <w:ind w:left="709" w:firstLine="0"/>
        <w:contextualSpacing/>
        <w:rPr>
          <w:b/>
        </w:rPr>
      </w:pPr>
      <w:r w:rsidRPr="002F4348">
        <w:rPr>
          <w:b/>
        </w:rPr>
        <w:t xml:space="preserve">Уровень убедительности рекомендаций </w:t>
      </w:r>
      <w:r w:rsidR="00054863" w:rsidRPr="002F4348">
        <w:rPr>
          <w:b/>
          <w:lang w:val="en-US"/>
        </w:rPr>
        <w:t>C</w:t>
      </w:r>
      <w:r w:rsidR="00054863" w:rsidRPr="002F4348">
        <w:rPr>
          <w:b/>
        </w:rPr>
        <w:t xml:space="preserve"> </w:t>
      </w:r>
      <w:r w:rsidRPr="002F4348">
        <w:rPr>
          <w:b/>
        </w:rPr>
        <w:t xml:space="preserve">(уровень достоверности доказательств </w:t>
      </w:r>
      <w:r w:rsidR="003007A6" w:rsidRPr="002F4348">
        <w:rPr>
          <w:b/>
        </w:rPr>
        <w:t>5</w:t>
      </w:r>
      <w:r w:rsidRPr="002F4348">
        <w:rPr>
          <w:b/>
        </w:rPr>
        <w:t>).</w:t>
      </w:r>
    </w:p>
    <w:p w14:paraId="6B3BD09C" w14:textId="77777777" w:rsidR="000578EF" w:rsidRPr="002F4348" w:rsidRDefault="000578EF" w:rsidP="00B153FC">
      <w:pPr>
        <w:pStyle w:val="afe"/>
        <w:numPr>
          <w:ilvl w:val="0"/>
          <w:numId w:val="12"/>
        </w:numPr>
        <w:spacing w:before="120" w:after="120"/>
        <w:ind w:left="709" w:hanging="709"/>
      </w:pPr>
      <w:r w:rsidRPr="002F4348">
        <w:t xml:space="preserve">Пациентам с рецидивами или рефрактерным течением </w:t>
      </w:r>
      <w:r w:rsidR="00F037C8" w:rsidRPr="002F4348">
        <w:rPr>
          <w:iCs/>
          <w:szCs w:val="24"/>
        </w:rPr>
        <w:t>НЛПЛХ</w:t>
      </w:r>
      <w:r w:rsidRPr="002F4348">
        <w:t xml:space="preserve"> без признаков трансформации в диффузную В-клеточную крупноклеточную лимфому </w:t>
      </w:r>
      <w:r w:rsidRPr="002F4348">
        <w:rPr>
          <w:b/>
        </w:rPr>
        <w:t xml:space="preserve">рекомендована </w:t>
      </w:r>
      <w:r w:rsidRPr="002F4348">
        <w:t>терапия рецидивов по схемам химиотерапии, аналогичным схемам для лечения рецидивов кЛХ, с добавлением #ритуксимаба**</w:t>
      </w:r>
      <w:r w:rsidR="00897B91" w:rsidRPr="002F4348">
        <w:t xml:space="preserve"> </w:t>
      </w:r>
      <w:r w:rsidR="00897B91" w:rsidRPr="002F4348">
        <w:fldChar w:fldCharType="begin" w:fldLock="1"/>
      </w:r>
      <w:r w:rsidR="002C6C01" w:rsidRPr="002F4348">
        <w:instrText>ADDIN CSL_CITATION {"citationItems":[{"id":"ITEM-1","itemData":{"DOI":"10.1182/blood-2013-07-453241","ISSN":"00064971","abstract":"Nodular lymphocyte predominant Hodgkin lymphoma (NLPHL) is an uncommon entity that, in contrast to classical Hodgkin lymphoma (cHL), universally expresses CD20, a hallmark of the disease. The majority of the patients present with earlystage disease, and treatment with local radiation provides excellent disease control and overall survival (OS). For locally extensive or advanced stages, paradigms used for cHL have been employed, with similar outcomes. Unlike cHL, late relapses may occur, as well as a propensity to transform to an aggressive B-cell non- Hodgkin lymphoma that underscores the importance of long-term follow-up and rebiopsy at the time of relapse. Deaths caused by NLPHL are uncommon, and in older series, secondary malignancies and other treatment-related toxicities contributed appreciably to overall mortality. Expression of CD20 in NLPHL has led to the evaluation of rituximab as a therapeutic option. Although results with single-agent rituximab in the front-line setting are inferior to conventional therapy, rituximab is a reasonable choice for relapsed disease because of the high overall response rate and excellent tolerability. Most patients have a long OS; therefore, overall goals of therapy should be to minimize the risk for relapse and long-term toxicity. © 2013 by The American Society of Hematology.","author":[{"dropping-particle":"","family":"Advani","given":"Ranjana H.","non-dropping-particle":"","parse-names":false,"suffix":""},{"dropping-particle":"","family":"Hoppe","given":"Richard T.","non-dropping-particle":"","parse-names":false,"suffix":""}],"container-title":"Blood","id":"ITEM-1","issue":"26","issued":{"date-parts":[["2013","12","19"]]},"page":"4182-4188","title":"How i treat nodular lymphocyte predominant Hodgkin lymphoma","type":"article-journal","volume":"122"},"uris":["http://www.mendeley.com/documents/?uuid=77d2fbd7-d30e-3eca-bb0e-4e0ec3bbdee9","http://www.mendeley.com/documents/?uuid=6413b6af-dd09-43ca-af21-403859ba1d54"]}],"mendeley":{"formattedCitation":"[57]","plainTextFormattedCitation":"[57]","previouslyFormattedCitation":"[57]"},"properties":{"noteIndex":0},"schema":"https://github.com/citation-style-language/schema/raw/master/csl-citation.json"}</w:instrText>
      </w:r>
      <w:r w:rsidR="00897B91" w:rsidRPr="002F4348">
        <w:fldChar w:fldCharType="separate"/>
      </w:r>
      <w:r w:rsidR="004126B6" w:rsidRPr="002F4348">
        <w:rPr>
          <w:noProof/>
        </w:rPr>
        <w:t>[57]</w:t>
      </w:r>
      <w:r w:rsidR="00897B91" w:rsidRPr="002F4348">
        <w:fldChar w:fldCharType="end"/>
      </w:r>
      <w:r w:rsidRPr="002F4348">
        <w:t>.</w:t>
      </w:r>
    </w:p>
    <w:p w14:paraId="70BED9DE" w14:textId="77777777" w:rsidR="000578EF" w:rsidRPr="002F4348" w:rsidRDefault="000578EF" w:rsidP="00BE61A4">
      <w:pPr>
        <w:ind w:left="709" w:firstLine="0"/>
        <w:contextualSpacing/>
        <w:rPr>
          <w:b/>
        </w:rPr>
      </w:pPr>
      <w:r w:rsidRPr="002F4348">
        <w:rPr>
          <w:b/>
        </w:rPr>
        <w:t xml:space="preserve">Уровень убедительности рекомендаций </w:t>
      </w:r>
      <w:r w:rsidR="004126B6" w:rsidRPr="002F4348">
        <w:rPr>
          <w:b/>
          <w:lang w:val="en-US"/>
        </w:rPr>
        <w:t>C</w:t>
      </w:r>
      <w:r w:rsidRPr="002F4348">
        <w:rPr>
          <w:b/>
        </w:rPr>
        <w:t xml:space="preserve"> (уровень достоверности доказательств </w:t>
      </w:r>
      <w:r w:rsidR="004126B6" w:rsidRPr="002F4348">
        <w:rPr>
          <w:b/>
        </w:rPr>
        <w:t>5</w:t>
      </w:r>
      <w:r w:rsidRPr="002F4348">
        <w:rPr>
          <w:b/>
        </w:rPr>
        <w:t>).</w:t>
      </w:r>
    </w:p>
    <w:p w14:paraId="64B91ABF" w14:textId="77777777" w:rsidR="000578EF" w:rsidRPr="002F4348" w:rsidRDefault="000578EF" w:rsidP="00B153FC">
      <w:pPr>
        <w:pStyle w:val="afe"/>
        <w:numPr>
          <w:ilvl w:val="0"/>
          <w:numId w:val="12"/>
        </w:numPr>
        <w:spacing w:before="120" w:after="120"/>
        <w:ind w:left="709" w:hanging="709"/>
      </w:pPr>
      <w:r w:rsidRPr="002F4348">
        <w:t xml:space="preserve">Пациентам с повторными рецидивами </w:t>
      </w:r>
      <w:r w:rsidR="00F037C8" w:rsidRPr="002F4348">
        <w:rPr>
          <w:iCs/>
          <w:szCs w:val="24"/>
        </w:rPr>
        <w:t>НЛПЛХ</w:t>
      </w:r>
      <w:r w:rsidRPr="002F4348">
        <w:t xml:space="preserve"> без признаков трансформации в диффузную В-клеточную крупноклеточную лимфому </w:t>
      </w:r>
      <w:r w:rsidRPr="002F4348">
        <w:rPr>
          <w:b/>
        </w:rPr>
        <w:t>рекомендуется</w:t>
      </w:r>
      <w:r w:rsidRPr="002F4348">
        <w:t xml:space="preserve"> проведение консультации в трансплантологическом центре для решения вопроса о возможности аутологичной трансплантации гемопоэтических стволовых клеток (аутоТГСК)</w:t>
      </w:r>
      <w:r w:rsidR="00BE61A4" w:rsidRPr="002F4348">
        <w:t xml:space="preserve"> </w:t>
      </w:r>
      <w:r w:rsidR="00BE61A4" w:rsidRPr="002F4348">
        <w:fldChar w:fldCharType="begin" w:fldLock="1"/>
      </w:r>
      <w:r w:rsidR="002C6C01" w:rsidRPr="002F4348">
        <w:instrText>ADDIN CSL_CITATION {"citationItems":[{"id":"ITEM-1","itemData":{"DOI":"10.1182/blood-2018-02-836437","ISSN":"15280020","abstract":"The optimal treatment of patients with relapsed or refractory nodular lymphocytepredominant Hodgkin lymphoma (NLPHL) is ill defined. To shed more light on treatment options and outcome, we performed an analysis using the database of the German Hodgkin Study Group (GHSG). Ninety-nine patients who had received first-line treatment within 12 prospective GHSG studies conducted between 1993 and 2009, and subsequently developed disease recurrence (n = 91) or had primary disease progression (n = 8), were included. At initial NLPHL diagnosis, the median age was 40 years and 76% of patients were male. Firstline treatment consisted of radiotherapy (RT) alone (20%), chemotherapy with or without RT (74%), and the anti-CD20 antibody (Ab) rituximab (6%), respectively. The median follow-up from initial diagnosis was 11.2 years. The median time to disease recurrence was 3.7 years. The applied salvage approaches included single-agent anti-CD20 Ab treatment or RT alone (37%), conventional chemotherapy (CT) with or without anti-CD20 Ab treatment with or without RT (27%) and high-dose chemotherapy (HDCT) followed by autologous stem cell transplantation (ASCT) (31%). No salvage treatment was given in 4% of patients. The 5-year progression-free survival and overall survival estimates afterNLPHL recurrencewere 75.6%and 89.5%(74.1%and 97.2% after single-agent anti-CD20 Ab treatment or RT alone; 68.0% and 77.8% after CT with or without anti-CD20 Ab treatment with or without RT; 84.6% and 89.8% after HDCT and ASCT). Hence, patients with relapsed or refractory NLPHL had a good overall prognosis. Factors such as time to disease recurrence and previous treatment may guide the choice of the optimal salvage approach for the individual patient.","author":[{"dropping-particle":"","family":"Eichenauer","given":"Dennis A.","non-dropping-particle":"","parse-names":false,"suffix":""},{"dropping-particle":"","family":"Plütschow","given":"Annette","non-dropping-particle":"","parse-names":false,"suffix":""},{"dropping-particle":"","family":"Schröder","given":"Lena","non-dropping-particle":"","parse-names":false,"suffix":""},{"dropping-particle":"","family":"Fuchs","given":"Michael","non-dropping-particle":"","parse-names":false,"suffix":""},{"dropping-particle":"","family":"Böll","given":"Boris","non-dropping-particle":"","parse-names":false,"suffix":""},{"dropping-particle":"","family":"Tresckow","given":"Bastian","non-dropping-particle":"Von","parse-names":false,"suffix":""},{"dropping-particle":"","family":"Dieh","given":"Volker","non-dropping-particle":"","parse-names":false,"suffix":""},{"dropping-particle":"","family":"Borchmann","given":"Peter","non-dropping-particle":"","parse-names":false,"suffix":""},{"dropping-particle":"","family":"Engert","given":"Andreas","non-dropping-particle":"","parse-names":false,"suffix":""}],"container-title":"Blood","id":"ITEM-1","issue":"14","issued":{"date-parts":[["2018","10","4"]]},"page":"1519-1525","publisher":"American Society of Hematology","title":"Relapsed and refractory nodular lymphocyte-predominant Hodgkin lymphoma: An analysis from the German Hodgkin Study Group","type":"paper-conference","volume":"132"},"uris":["http://www.mendeley.com/documents/?uuid=dc238ebf-5fea-3e79-834e-cb6839f93740","http://www.mendeley.com/documents/?uuid=b9d83d50-25b7-4cdb-8760-886c01f8568e"]},{"id":"ITEM-2","itemData":{"DOI":"10.1182/asheducation-2017.1.324","ISSN":"15204383","abstract":"Nodular lymphocyte-predominant Hodgkin lymphoma (NLPHL) is a rare lymphoma entity with an incidence of 0.1 to 0.2/100 000/y. Compared with the more common subtypes of classical Hodgkin lymphoma, NLPHL is characterized by distinct pathological and clinical features. Histologically, the disease-defining lymphocyte predominant cells consistently express CD20 but lack CD30. Clinically, NLPHL mostly has a rather indolent course, and patients usually are diagnosed in early stages. The prognosis of early-stage NLPHL is excellent, with progression-free survival and overall survival rates exceeding 90% after involved-field radiotherapy (IF-RT) alone (stage IA) or combined modality treatment consisting of a brief chemotherapy with 2 cycles of ABVD (doxorubicin, bleomycin, vinblastine, dacarbazine) chemotherapy followed by IF-RT (early stages other than stage IA). In contrast, patients with advanced disease at diagnosis tend to relapse either with NLPHL histology or with histological transformation into aggressive B-cell non-Hodgkin lymphoma despite more aggressive first-line treatment with 6 to 8 cycles of multiagent chemotherapy. However, even NLPHL patients with multiple relapses successfully respond to salvage therapy in many cases. Salvage therapies range from single-agent anti-CD20 antibody treatment to high-dose chemotherapy followed by autologous stem cell transplantation. Treatment at disease recurrence should be chosen on the basis of various factors, including histology at relapse, time to relapse, extent of disease at relapse, and prior treatment. Because death among NLPHL patients is more often caused by therapy-related late effects than lymphoma-related complications, optimizing the risk-benefit ratio of treatment by decreasing toxicity whenever possible is the major goal of clinical research in this disease.","author":[{"dropping-particle":"","family":"Eichenauer","given":"Dennis A.","non-dropping-particle":"","parse-names":false,"suffix":""},{"dropping-particle":"","family":"Engert","given":"Andreas","non-dropping-particle":"","parse-names":false,"suffix":""}],"container-title":"Hematology","id":"ITEM-2","issue":"1","issued":{"date-parts":[["2017","12","8"]]},"page":"324-328","publisher":"American Society of Hematology","title":"Nodular lymphocyte-predominant Hodgkin lymphoma: A unique disease deserving unique management","type":"article-journal","volume":"2017"},"uris":["http://www.mendeley.com/documents/?uuid=70b8f3ed-c608-32f3-b95d-cb960e9fc315","http://www.mendeley.com/documents/?uuid=ac7545ec-6235-4256-bee3-93a11698cf53"]}],"mendeley":{"formattedCitation":"[58,59]","plainTextFormattedCitation":"[58,59]","previouslyFormattedCitation":"[58,59]"},"properties":{"noteIndex":0},"schema":"https://github.com/citation-style-language/schema/raw/master/csl-citation.json"}</w:instrText>
      </w:r>
      <w:r w:rsidR="00BE61A4" w:rsidRPr="002F4348">
        <w:fldChar w:fldCharType="separate"/>
      </w:r>
      <w:r w:rsidR="000C1AAB" w:rsidRPr="002F4348">
        <w:rPr>
          <w:noProof/>
        </w:rPr>
        <w:t>[58,59]</w:t>
      </w:r>
      <w:r w:rsidR="00BE61A4" w:rsidRPr="002F4348">
        <w:fldChar w:fldCharType="end"/>
      </w:r>
      <w:r w:rsidRPr="002F4348">
        <w:t>.</w:t>
      </w:r>
    </w:p>
    <w:p w14:paraId="2C441064" w14:textId="77777777" w:rsidR="000578EF" w:rsidRPr="002F4348" w:rsidRDefault="000578EF" w:rsidP="00BE61A4">
      <w:pPr>
        <w:ind w:left="709" w:firstLine="0"/>
        <w:contextualSpacing/>
        <w:rPr>
          <w:b/>
        </w:rPr>
      </w:pPr>
      <w:r w:rsidRPr="002F4348">
        <w:rPr>
          <w:b/>
        </w:rPr>
        <w:t>Уровень убедительности рекомендаций С (уровень достоверности доказательств 5).</w:t>
      </w:r>
    </w:p>
    <w:p w14:paraId="4A35A199" w14:textId="77777777" w:rsidR="000578EF" w:rsidRPr="002F4348" w:rsidRDefault="000578EF" w:rsidP="000578EF">
      <w:pPr>
        <w:pStyle w:val="2"/>
        <w:contextualSpacing/>
      </w:pPr>
      <w:bookmarkStart w:id="44" w:name="_Toc65586396"/>
      <w:r w:rsidRPr="002F4348">
        <w:lastRenderedPageBreak/>
        <w:t>3.</w:t>
      </w:r>
      <w:r w:rsidR="00170E50" w:rsidRPr="002F4348">
        <w:t>7</w:t>
      </w:r>
      <w:r w:rsidRPr="002F4348">
        <w:t xml:space="preserve"> Лимфома Ходжкина и беременность</w:t>
      </w:r>
      <w:bookmarkEnd w:id="44"/>
    </w:p>
    <w:p w14:paraId="06853930" w14:textId="77A6ABBE" w:rsidR="000578EF" w:rsidRPr="002F4348" w:rsidRDefault="00FC6F6E" w:rsidP="00B153FC">
      <w:pPr>
        <w:pStyle w:val="afe"/>
        <w:numPr>
          <w:ilvl w:val="0"/>
          <w:numId w:val="12"/>
        </w:numPr>
        <w:spacing w:before="120" w:after="120"/>
        <w:ind w:left="709" w:hanging="709"/>
      </w:pPr>
      <w:r w:rsidRPr="002F4348">
        <w:t xml:space="preserve">Пациенткам с активным течением ЛХ, у которых   определяется беременность, или при выявлении ЛХ во время беременности </w:t>
      </w:r>
      <w:r w:rsidRPr="002F4348">
        <w:rPr>
          <w:b/>
        </w:rPr>
        <w:t xml:space="preserve">рекомендовано </w:t>
      </w:r>
      <w:r w:rsidRPr="002F4348">
        <w:t xml:space="preserve">проведение консилиума, включающего гематолога и акушера-гинеколога, для индивидуального выбора тактики ведения пациентки </w:t>
      </w:r>
      <w:r w:rsidRPr="002F4348">
        <w:fldChar w:fldCharType="begin" w:fldLock="1"/>
      </w:r>
      <w:r w:rsidR="00067DF0">
        <w:instrText>ADDIN CSL_CITATION {"citationItems":[{"id":"ITEM-1","itemData":{"DOI":"10.1007/s11899-013-0163-4","ISSN":"15588211","abstract":"The peak incidence of Hodgkin lymphoma (HL) coincides with reproductive years, and as many as 3 % of all HL patients present with concurrent pregnancy. The management of a pregnant patient with HL requires a multidisciplinary approach combining expertise in medical oncology, high-risk obstetrics, and neonatology, as well as effective communication with the patient and her family. The goal is to optimize the mother's chance of a cure while allowing for delivery of a healthy child. A pregnant patient with HL should be staged by clinical examination and judicious use of non-radiation imaging such as ultrasound, balancing the need for accurate disease assessment with the need to minimize invasive procedures. The treatment strategy is individualized to the symptoms, lymphoma stage, gestational age and the patients' wishes. Therapeutic options include treatment deferral or single-agent vinblastine with reservation of multi-agent chemotherapy until the second or third trimester for the small minority of patients with aggressive clinical presentation. © 2013 Springer Science+Business Media New York.","author":[{"dropping-particle":"","family":"Bachanova","given":"Veronika","non-dropping-particle":"","parse-names":false,"suffix":""},{"dropping-particle":"","family":"Connors","given":"Joseph M.","non-dropping-particle":"","parse-names":false,"suffix":""}],"container-title":"Current Hematologic Malignancy Reports","id":"ITEM-1","issue":"3","issued":{"date-parts":[["2013","9"]]},"page":"211-217","publisher":"NIH Public Access","title":"Hodgkin lymphoma in pregnancy","type":"article-journal","volume":"8"},"uris":["http://www.mendeley.com/documents/?uuid=ae08b9e6-c677-474e-b556-70206aaa913c"]},{"id":"ITEM-2","itemData":{"author":[{"dropping-particle":"","family":"Шмаков","given":"Р.Г.","non-dropping-particle":"","parse-names":false,"suffix":""},{"dropping-particle":"","family":"Демина","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Савченко.","id":"ITEM-2","issued":{"date-parts":[["2018"]]},"page":"143-150","title":"Лимфомы и беременность","type":"chapter"},"uris":["http://www.mendeley.com/documents/?uuid=958bf3f8-62e1-483b-a76a-3702334c0c29","http://www.mendeley.com/documents/?uuid=1b144eff-cfc3-4cd9-b619-e66b3bbc7228"]}],"mendeley":{"formattedCitation":"[7,60]","plainTextFormattedCitation":"[7,60]","previouslyFormattedCitation":"[7,60]"},"properties":{"noteIndex":0},"schema":"https://github.com/citation-style-language/schema/raw/master/csl-citation.json"}</w:instrText>
      </w:r>
      <w:r w:rsidRPr="002F4348">
        <w:fldChar w:fldCharType="separate"/>
      </w:r>
      <w:r w:rsidR="000C1AAB" w:rsidRPr="002F4348">
        <w:rPr>
          <w:noProof/>
        </w:rPr>
        <w:t>[7,60]</w:t>
      </w:r>
      <w:r w:rsidRPr="002F4348">
        <w:fldChar w:fldCharType="end"/>
      </w:r>
      <w:r w:rsidRPr="002F4348">
        <w:t>. Диагноз ЛХ обязательно должен быть верифицирован морфологически, для определения степени распространенности процесса предпочтение отдается ультразвуковой диагностике и магнитно</w:t>
      </w:r>
      <w:r w:rsidR="00382CBD" w:rsidRPr="002F4348">
        <w:t>-</w:t>
      </w:r>
      <w:r w:rsidRPr="002F4348">
        <w:t>резонансной томографии</w:t>
      </w:r>
      <w:r w:rsidR="001D28F8" w:rsidRPr="002F4348">
        <w:t xml:space="preserve"> </w:t>
      </w:r>
      <w:r w:rsidR="001D28F8" w:rsidRPr="002F4348">
        <w:fldChar w:fldCharType="begin" w:fldLock="1"/>
      </w:r>
      <w:r w:rsidR="00067DF0">
        <w:instrText>ADDIN CSL_CITATION {"citationItems":[{"id":"ITEM-1","itemData":{"author":[{"dropping-particle":"","family":"Шмаков","given":"Р.Г.","non-dropping-particle":"","parse-names":false,"suffix":""},{"dropping-particle":"","family":"Демина","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Савченко.","id":"ITEM-1","issued":{"date-parts":[["2018"]]},"page":"143-150","title":"Лимфомы и беременность","type":"chapter"},"uris":["http://www.mendeley.com/documents/?uuid=958bf3f8-62e1-483b-a76a-3702334c0c29","http://www.mendeley.com/documents/?uuid=1b144eff-cfc3-4cd9-b619-e66b3bbc7228"]},{"id":"ITEM-2","itemData":{"DOI":"10.1007/s11899-013-0163-4","ISSN":"15588211","abstract":"The peak incidence of Hodgkin lymphoma (HL) coincides with reproductive years, and as many as 3 % of all HL patients present with concurrent pregnancy. The management of a pregnant patient with HL requires a multidisciplinary approach combining expertise in medical oncology, high-risk obstetrics, and neonatology, as well as effective communication with the patient and her family. The goal is to optimize the mother's chance of a cure while allowing for delivery of a healthy child. A pregnant patient with HL should be staged by clinical examination and judicious use of non-radiation imaging such as ultrasound, balancing the need for accurate disease assessment with the need to minimize invasive procedures. The treatment strategy is individualized to the symptoms, lymphoma stage, gestational age and the patients' wishes. Therapeutic options include treatment deferral or single-agent vinblastine with reservation of multi-agent chemotherapy until the second or third trimester for the small minority of patients with aggressive clinical presentation. © 2013 Springer Science+Business Media New York.","author":[{"dropping-particle":"","family":"Bachanova","given":"Veronika","non-dropping-particle":"","parse-names":false,"suffix":""},{"dropping-particle":"","family":"Connors","given":"Joseph M.","non-dropping-particle":"","parse-names":false,"suffix":""}],"container-title":"Current Hematologic Malignancy Reports","id":"ITEM-2","issue":"3","issued":{"date-parts":[["2013","9"]]},"page":"211-217","publisher":"NIH Public Access","title":"Hodgkin lymphoma in pregnancy","type":"article-journal","volume":"8"},"uris":["http://www.mendeley.com/documents/?uuid=ae08b9e6-c677-474e-b556-70206aaa913c"]}],"mendeley":{"formattedCitation":"[7,60]","plainTextFormattedCitation":"[7,60]","previouslyFormattedCitation":"[7,60]"},"properties":{"noteIndex":0},"schema":"https://github.com/citation-style-language/schema/raw/master/csl-citation.json"}</w:instrText>
      </w:r>
      <w:r w:rsidR="001D28F8" w:rsidRPr="002F4348">
        <w:fldChar w:fldCharType="separate"/>
      </w:r>
      <w:r w:rsidR="000C1AAB" w:rsidRPr="002F4348">
        <w:rPr>
          <w:noProof/>
        </w:rPr>
        <w:t>[7,60]</w:t>
      </w:r>
      <w:r w:rsidR="001D28F8" w:rsidRPr="002F4348">
        <w:fldChar w:fldCharType="end"/>
      </w:r>
      <w:r w:rsidR="001D28F8" w:rsidRPr="002F4348">
        <w:t>.</w:t>
      </w:r>
    </w:p>
    <w:p w14:paraId="3FEF884E" w14:textId="77777777" w:rsidR="000578EF" w:rsidRPr="002F4348" w:rsidRDefault="000578EF" w:rsidP="001D28F8">
      <w:pPr>
        <w:ind w:left="709" w:firstLine="0"/>
        <w:contextualSpacing/>
        <w:rPr>
          <w:b/>
        </w:rPr>
      </w:pPr>
      <w:r w:rsidRPr="002F4348">
        <w:rPr>
          <w:b/>
        </w:rPr>
        <w:t>Уровень убедительности рекомендаций С (уровень достоверности доказательств 5).</w:t>
      </w:r>
    </w:p>
    <w:p w14:paraId="634CF612" w14:textId="77777777" w:rsidR="000578EF" w:rsidRPr="002F4348" w:rsidRDefault="000578EF" w:rsidP="001D28F8">
      <w:pPr>
        <w:ind w:left="709" w:firstLine="0"/>
        <w:contextualSpacing/>
        <w:rPr>
          <w:i/>
        </w:rPr>
      </w:pPr>
      <w:r w:rsidRPr="002F4348">
        <w:rPr>
          <w:b/>
        </w:rPr>
        <w:t xml:space="preserve">Комментарий: </w:t>
      </w:r>
      <w:r w:rsidR="001D28F8" w:rsidRPr="002F4348">
        <w:rPr>
          <w:i/>
        </w:rPr>
        <w:t xml:space="preserve">при </w:t>
      </w:r>
      <w:r w:rsidRPr="002F4348">
        <w:rPr>
          <w:i/>
        </w:rPr>
        <w:t xml:space="preserve">любых формах, степени агрессивности и стадиях </w:t>
      </w:r>
      <w:r w:rsidR="00FC6F6E" w:rsidRPr="002F4348">
        <w:rPr>
          <w:i/>
        </w:rPr>
        <w:t>ЛХ</w:t>
      </w:r>
      <w:r w:rsidRPr="002F4348">
        <w:rPr>
          <w:i/>
        </w:rPr>
        <w:t xml:space="preserve"> возможны три варианта тактики ведения: прерывание беременности, выжидательная тактика или начало противоопухолевой терапии. Выбор тактики должен базироваться на следующих принципах:</w:t>
      </w:r>
    </w:p>
    <w:p w14:paraId="1A88F34C" w14:textId="77777777" w:rsidR="000578EF" w:rsidRPr="002F4348" w:rsidRDefault="000578EF" w:rsidP="000578EF">
      <w:pPr>
        <w:ind w:left="709"/>
        <w:contextualSpacing/>
        <w:rPr>
          <w:i/>
        </w:rPr>
      </w:pPr>
      <w:r w:rsidRPr="002F4348">
        <w:rPr>
          <w:i/>
        </w:rPr>
        <w:t>1.</w:t>
      </w:r>
      <w:r w:rsidRPr="002F4348">
        <w:rPr>
          <w:i/>
        </w:rPr>
        <w:tab/>
        <w:t xml:space="preserve">Сочетание беременности с </w:t>
      </w:r>
      <w:r w:rsidR="00FC6F6E" w:rsidRPr="002F4348">
        <w:rPr>
          <w:i/>
        </w:rPr>
        <w:t>ЛХ</w:t>
      </w:r>
      <w:r w:rsidRPr="002F4348">
        <w:rPr>
          <w:i/>
        </w:rPr>
        <w:t xml:space="preserve"> в ремиссии не служит показанием к прерыванию беременности.</w:t>
      </w:r>
    </w:p>
    <w:p w14:paraId="12EA6D86" w14:textId="77777777" w:rsidR="000578EF" w:rsidRPr="002F4348" w:rsidRDefault="000578EF" w:rsidP="000578EF">
      <w:pPr>
        <w:ind w:left="709"/>
        <w:contextualSpacing/>
        <w:rPr>
          <w:i/>
        </w:rPr>
      </w:pPr>
      <w:r w:rsidRPr="002F4348">
        <w:rPr>
          <w:i/>
        </w:rPr>
        <w:t>2.</w:t>
      </w:r>
      <w:r w:rsidRPr="002F4348">
        <w:rPr>
          <w:i/>
        </w:rPr>
        <w:tab/>
        <w:t xml:space="preserve">При выявлении </w:t>
      </w:r>
      <w:r w:rsidR="00FC6F6E" w:rsidRPr="002F4348">
        <w:rPr>
          <w:i/>
        </w:rPr>
        <w:t>ЛХ</w:t>
      </w:r>
      <w:r w:rsidRPr="002F4348">
        <w:rPr>
          <w:i/>
        </w:rPr>
        <w:t xml:space="preserve"> во II или III триместрах возможно, если это необходимо, проведение ПХТ во время беременности. Желательно, если это возможно, избегать схем ПХТ, содержащих алкилирующие препараты. При проведении ПХТ необходимо назначение низкомолекулярного гепарина с целью профилактики венозных тромбоэмболических осложнений.</w:t>
      </w:r>
    </w:p>
    <w:p w14:paraId="46786906" w14:textId="77777777" w:rsidR="000578EF" w:rsidRPr="002F4348" w:rsidRDefault="000578EF" w:rsidP="000578EF">
      <w:pPr>
        <w:ind w:left="709"/>
        <w:contextualSpacing/>
        <w:rPr>
          <w:i/>
        </w:rPr>
      </w:pPr>
      <w:r w:rsidRPr="002F4348">
        <w:rPr>
          <w:i/>
        </w:rPr>
        <w:t>3.</w:t>
      </w:r>
      <w:r w:rsidRPr="002F4348">
        <w:rPr>
          <w:i/>
        </w:rPr>
        <w:tab/>
        <w:t>При выявлении ЛХ в I триместре беременности у женщин с благоприятным и промежуточным прогнозом (</w:t>
      </w:r>
      <w:r w:rsidR="00B119C4" w:rsidRPr="002F4348">
        <w:rPr>
          <w:i/>
        </w:rPr>
        <w:t xml:space="preserve">пациенты </w:t>
      </w:r>
      <w:r w:rsidRPr="002F4348">
        <w:rPr>
          <w:i/>
        </w:rPr>
        <w:t>с IА и IIА стадиями без факторов риска — массивного поражения средостения и поражения &gt;4 областей лимфатических коллекторов) возможна выжидательная тактика и начало лечения во II или III триместре беременности.</w:t>
      </w:r>
    </w:p>
    <w:p w14:paraId="1461DFA0" w14:textId="77777777" w:rsidR="000578EF" w:rsidRPr="002F4348" w:rsidRDefault="000578EF" w:rsidP="000578EF">
      <w:pPr>
        <w:ind w:left="709"/>
        <w:contextualSpacing/>
        <w:rPr>
          <w:i/>
        </w:rPr>
      </w:pPr>
      <w:r w:rsidRPr="002F4348">
        <w:rPr>
          <w:i/>
        </w:rPr>
        <w:t>4.</w:t>
      </w:r>
      <w:r w:rsidRPr="002F4348">
        <w:rPr>
          <w:i/>
        </w:rPr>
        <w:tab/>
        <w:t>При рецидивирующем течении ЛХ, а также всем женщинам с впервые диагностированной лимфомой с неблагоприятным прогнозом заболевания, выявленной в I триместре, показано прерывание беременности.</w:t>
      </w:r>
    </w:p>
    <w:p w14:paraId="09CCCBCE" w14:textId="77777777" w:rsidR="000578EF" w:rsidRPr="002F4348" w:rsidRDefault="000578EF" w:rsidP="000578EF">
      <w:pPr>
        <w:ind w:left="709"/>
        <w:contextualSpacing/>
        <w:rPr>
          <w:i/>
        </w:rPr>
      </w:pPr>
      <w:r w:rsidRPr="002F4348">
        <w:rPr>
          <w:i/>
        </w:rPr>
        <w:t>5.</w:t>
      </w:r>
      <w:r w:rsidRPr="002F4348">
        <w:rPr>
          <w:i/>
        </w:rPr>
        <w:tab/>
        <w:t>Во всех случаях возможность сохранения беременности при активном течении ЛХ, сроки начала лечения, а также вопросы выбора схем лечения во время беременности решает только</w:t>
      </w:r>
      <w:r w:rsidR="00F331C1" w:rsidRPr="002F4348">
        <w:rPr>
          <w:i/>
        </w:rPr>
        <w:t xml:space="preserve"> врач-гематолог или врач-онколог</w:t>
      </w:r>
      <w:r w:rsidRPr="002F4348">
        <w:rPr>
          <w:i/>
        </w:rPr>
        <w:t>. В такой ситуации всегда необходимо стремиться организовать родоразрешение в перинатальных центрах или роддомах с наличием детской реанимации.</w:t>
      </w:r>
    </w:p>
    <w:p w14:paraId="10B346AD" w14:textId="77777777" w:rsidR="000578EF" w:rsidRPr="002F4348" w:rsidRDefault="000578EF" w:rsidP="000578EF">
      <w:pPr>
        <w:ind w:left="709"/>
        <w:contextualSpacing/>
        <w:rPr>
          <w:i/>
        </w:rPr>
      </w:pPr>
      <w:r w:rsidRPr="002F4348">
        <w:rPr>
          <w:i/>
        </w:rPr>
        <w:lastRenderedPageBreak/>
        <w:t>6.</w:t>
      </w:r>
      <w:r w:rsidRPr="002F4348">
        <w:rPr>
          <w:i/>
        </w:rPr>
        <w:tab/>
        <w:t xml:space="preserve">Время родоразрешения должно быть определено совместно </w:t>
      </w:r>
      <w:r w:rsidR="004E21F5" w:rsidRPr="002F4348">
        <w:rPr>
          <w:i/>
        </w:rPr>
        <w:t>врачами-</w:t>
      </w:r>
      <w:r w:rsidRPr="002F4348">
        <w:rPr>
          <w:i/>
        </w:rPr>
        <w:t xml:space="preserve">акушерами и </w:t>
      </w:r>
      <w:r w:rsidR="00F331C1" w:rsidRPr="002F4348">
        <w:rPr>
          <w:i/>
        </w:rPr>
        <w:t>врачами-</w:t>
      </w:r>
      <w:r w:rsidRPr="002F4348">
        <w:rPr>
          <w:i/>
        </w:rPr>
        <w:t>онког</w:t>
      </w:r>
      <w:r w:rsidR="00F331C1" w:rsidRPr="002F4348">
        <w:rPr>
          <w:i/>
        </w:rPr>
        <w:t>ами или врачами-г</w:t>
      </w:r>
      <w:r w:rsidRPr="002F4348">
        <w:rPr>
          <w:i/>
        </w:rPr>
        <w:t>ематологами. Когда это необходимо, плод должен быть извлечён в срок наибольшей безопасности для его здоровья (после 33-34 недель беременности) и здоровья матери. В связи с возможной миелосупрессией как у матери, так и у плода, ПХТ должна быть отменена за 3 недели до предполагаемого срока родоразрешения. Наиболее благоприятным и безопасным методом родоразрешения на фоне ПХТ являются роды через естественные родовые пути. Оперативное родоразрешение должно проводиться по акушерским показаниям.</w:t>
      </w:r>
    </w:p>
    <w:p w14:paraId="48AB0E19" w14:textId="0A83D134" w:rsidR="000578EF" w:rsidRPr="002F4348" w:rsidRDefault="000578EF" w:rsidP="00B153FC">
      <w:pPr>
        <w:pStyle w:val="afe"/>
        <w:numPr>
          <w:ilvl w:val="0"/>
          <w:numId w:val="12"/>
        </w:numPr>
        <w:spacing w:before="120" w:after="120"/>
        <w:ind w:left="709" w:hanging="709"/>
      </w:pPr>
      <w:r w:rsidRPr="002F4348">
        <w:t xml:space="preserve">Беременным пациенткам с ЛХ с симптомами интоксикации, синдромом сдавления </w:t>
      </w:r>
      <w:r w:rsidR="00FC6F6E" w:rsidRPr="002F4348">
        <w:t>верхней</w:t>
      </w:r>
      <w:r w:rsidRPr="002F4348">
        <w:t xml:space="preserve"> полой вены или угрозой прогрессирования ЛХ </w:t>
      </w:r>
      <w:r w:rsidRPr="002F4348">
        <w:rPr>
          <w:b/>
        </w:rPr>
        <w:t xml:space="preserve">рекомендовано </w:t>
      </w:r>
      <w:r w:rsidRPr="002F4348">
        <w:t xml:space="preserve">начать проведение монохимиотерапии </w:t>
      </w:r>
      <w:r w:rsidR="004E21F5" w:rsidRPr="002F4348">
        <w:t>#</w:t>
      </w:r>
      <w:r w:rsidRPr="002F4348">
        <w:t xml:space="preserve">винбластином** </w:t>
      </w:r>
      <w:r w:rsidR="002554A5" w:rsidRPr="002F4348">
        <w:t>6 мг/м</w:t>
      </w:r>
      <w:r w:rsidR="002554A5" w:rsidRPr="002F4348">
        <w:rPr>
          <w:vertAlign w:val="superscript"/>
        </w:rPr>
        <w:t>2</w:t>
      </w:r>
      <w:r w:rsidR="002554A5" w:rsidRPr="002F4348">
        <w:t xml:space="preserve"> </w:t>
      </w:r>
      <w:r w:rsidRPr="002F4348">
        <w:t>каждые 2-4 недели для стабилизации болезни и до родоразрешения</w:t>
      </w:r>
      <w:r w:rsidR="001D28F8" w:rsidRPr="002F4348">
        <w:t xml:space="preserve"> </w:t>
      </w:r>
      <w:r w:rsidR="001D28F8" w:rsidRPr="002F4348">
        <w:fldChar w:fldCharType="begin" w:fldLock="1"/>
      </w:r>
      <w:r w:rsidR="00067DF0">
        <w:instrText>ADDIN CSL_CITATION {"citationItems":[{"id":"ITEM-1","itemData":{"author":[{"dropping-particle":"","family":"Шмаков","given":"Р.Г.","non-dropping-particle":"","parse-names":false,"suffix":""},{"dropping-particle":"","family":"Демина","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Савченко.","id":"ITEM-1","issued":{"date-parts":[["2018"]]},"page":"143-150","title":"Лимфомы и беременность","type":"chapter"},"uris":["http://www.mendeley.com/documents/?uuid=958bf3f8-62e1-483b-a76a-3702334c0c29","http://www.mendeley.com/documents/?uuid=1b144eff-cfc3-4cd9-b619-e66b3bbc7228"]},{"id":"ITEM-2","itemData":{"DOI":"10.1007/s11899-013-0163-4","ISSN":"15588211","abstract":"The peak incidence of Hodgkin lymphoma (HL) coincides with reproductive years, and as many as 3 % of all HL patients present with concurrent pregnancy. The management of a pregnant patient with HL requires a multidisciplinary approach combining expertise in medical oncology, high-risk obstetrics, and neonatology, as well as effective communication with the patient and her family. The goal is to optimize the mother's chance of a cure while allowing for delivery of a healthy child. A pregnant patient with HL should be staged by clinical examination and judicious use of non-radiation imaging such as ultrasound, balancing the need for accurate disease assessment with the need to minimize invasive procedures. The treatment strategy is individualized to the symptoms, lymphoma stage, gestational age and the patients' wishes. Therapeutic options include treatment deferral or single-agent vinblastine with reservation of multi-agent chemotherapy until the second or third trimester for the small minority of patients with aggressive clinical presentation. © 2013 Springer Science+Business Media New York.","author":[{"dropping-particle":"","family":"Bachanova","given":"Veronika","non-dropping-particle":"","parse-names":false,"suffix":""},{"dropping-particle":"","family":"Connors","given":"Joseph M.","non-dropping-particle":"","parse-names":false,"suffix":""}],"container-title":"Current Hematologic Malignancy Reports","id":"ITEM-2","issue":"3","issued":{"date-parts":[["2013","9"]]},"page":"211-217","publisher":"NIH Public Access","title":"Hodgkin lymphoma in pregnancy","type":"article-journal","volume":"8"},"uris":["http://www.mendeley.com/documents/?uuid=ae08b9e6-c677-474e-b556-70206aaa913c"]}],"mendeley":{"formattedCitation":"[7,60]","plainTextFormattedCitation":"[7,60]","previouslyFormattedCitation":"[7,60]"},"properties":{"noteIndex":0},"schema":"https://github.com/citation-style-language/schema/raw/master/csl-citation.json"}</w:instrText>
      </w:r>
      <w:r w:rsidR="001D28F8" w:rsidRPr="002F4348">
        <w:fldChar w:fldCharType="separate"/>
      </w:r>
      <w:r w:rsidR="0073613A" w:rsidRPr="002F4348">
        <w:rPr>
          <w:noProof/>
        </w:rPr>
        <w:t>[7,60]</w:t>
      </w:r>
      <w:r w:rsidR="001D28F8" w:rsidRPr="002F4348">
        <w:fldChar w:fldCharType="end"/>
      </w:r>
      <w:r w:rsidR="001D28F8" w:rsidRPr="002F4348">
        <w:t>.</w:t>
      </w:r>
    </w:p>
    <w:p w14:paraId="6548B836" w14:textId="77777777" w:rsidR="000578EF" w:rsidRPr="002F4348" w:rsidRDefault="000578EF" w:rsidP="001D28F8">
      <w:pPr>
        <w:ind w:left="709" w:firstLine="0"/>
        <w:contextualSpacing/>
        <w:rPr>
          <w:b/>
        </w:rPr>
      </w:pPr>
      <w:r w:rsidRPr="002F4348">
        <w:rPr>
          <w:b/>
        </w:rPr>
        <w:t>Уровень убедительности рекомендаций С (уровень достоверности доказательств 5).</w:t>
      </w:r>
    </w:p>
    <w:p w14:paraId="31CFD55F" w14:textId="77777777" w:rsidR="000578EF" w:rsidRPr="002F4348" w:rsidRDefault="000578EF" w:rsidP="001D28F8">
      <w:pPr>
        <w:ind w:left="709" w:firstLine="0"/>
        <w:contextualSpacing/>
        <w:rPr>
          <w:i/>
        </w:rPr>
      </w:pPr>
      <w:r w:rsidRPr="002F4348">
        <w:rPr>
          <w:b/>
        </w:rPr>
        <w:t xml:space="preserve">Комментарий: </w:t>
      </w:r>
      <w:r w:rsidR="001D28F8" w:rsidRPr="002F4348">
        <w:rPr>
          <w:i/>
        </w:rPr>
        <w:t xml:space="preserve">у </w:t>
      </w:r>
      <w:r w:rsidR="00222F32" w:rsidRPr="002F4348">
        <w:rPr>
          <w:i/>
        </w:rPr>
        <w:t xml:space="preserve">пациенток </w:t>
      </w:r>
      <w:r w:rsidRPr="002F4348">
        <w:rPr>
          <w:i/>
        </w:rPr>
        <w:t xml:space="preserve">с симптомами ЛХ, резистентных к монохимиотерапии </w:t>
      </w:r>
      <w:r w:rsidR="004E21F5" w:rsidRPr="002F4348">
        <w:rPr>
          <w:i/>
        </w:rPr>
        <w:t>#</w:t>
      </w:r>
      <w:r w:rsidRPr="002F4348">
        <w:rPr>
          <w:i/>
        </w:rPr>
        <w:t>винбластином</w:t>
      </w:r>
      <w:r w:rsidR="00222F32" w:rsidRPr="002F4348">
        <w:rPr>
          <w:i/>
        </w:rPr>
        <w:t>**</w:t>
      </w:r>
      <w:r w:rsidRPr="002F4348">
        <w:rPr>
          <w:i/>
        </w:rPr>
        <w:t>, схемой выбора является</w:t>
      </w:r>
      <w:r w:rsidR="004158BC" w:rsidRPr="002F4348">
        <w:rPr>
          <w:i/>
        </w:rPr>
        <w:t xml:space="preserve"> схема</w:t>
      </w:r>
      <w:r w:rsidRPr="002F4348">
        <w:rPr>
          <w:i/>
        </w:rPr>
        <w:t xml:space="preserve"> ABVD</w:t>
      </w:r>
      <w:r w:rsidR="004158BC" w:rsidRPr="002F4348">
        <w:rPr>
          <w:i/>
        </w:rPr>
        <w:t xml:space="preserve"> </w:t>
      </w:r>
      <w:r w:rsidR="004158BC" w:rsidRPr="002F4348">
        <w:rPr>
          <w:i/>
        </w:rPr>
        <w:fldChar w:fldCharType="begin" w:fldLock="1"/>
      </w:r>
      <w:r w:rsidR="002C6C01" w:rsidRPr="002F4348">
        <w:rPr>
          <w:i/>
        </w:rPr>
        <w:instrText>ADDIN CSL_CITATION {"citationItems":[{"id":"ITEM-1","itemData":{"DOI":"10.1002/ijc.27560","ISSN":"00207136","abstract":"Treatment of hematological malignancies (HM) during pregnancy remain unsolved, although the use of chemotherapy during second and third trimester has been accepted because of the low rate of toxicities, the use of cytotoxic drugs during first trimester is generally forbidden. Most of the concerns are related to congenital abnormalities and development, but long-term follow-up of these children are not available. From 1975 to 2008, we diagnosed and treated 15,750 cases of HM, and 143 female patients were pregnant during this time that were treated with combined chemotherapy. In our study, we present the long-term follow-up (the median follow-up was 22.4 years with a range of 3.8-32.0 years) of 54 newborns, whose mothers received chemotherapy during the first trimester of pregnancy with an intent-to-cure HM. Physical and neurological development were carefully assessed, and cardiac and chromosomal studies were performed until the age of 20 years to evaluate late toxicities. The obstetrical development of pregnancy was normal, chemotherapy was used at doses and schedules used in normal patients. Low-weight birth was the most frequent finding. No congenital abnormalities were detected. Physical, psychological and neurological developments were normal. Education and academic degree were according to the economical and social factors. Cardiac function and chromosomal examination were normal. No neoplasm or acute leukemia has been observed in these children. Forty-three mothers are alive and disease-free and can be considered cured. The use of cytotoxic drugs during the first trimester to treat HM seems to be beneficial to both the mother and fetus, and chemotherapy during the first trimester can be considered if the cure of the patient is the goal. Copyright © 2012 UICC.","author":[{"dropping-particle":"","family":"Avilés","given":"Agustin","non-dropping-particle":"","parse-names":false,"suffix":""},{"dropping-particle":"","family":"Neri","given":"Natividad","non-dropping-particle":"","parse-names":false,"suffix":""},{"dropping-particle":"","family":"Nambo","given":"María Jesús","non-dropping-particle":"","parse-names":false,"suffix":""}],"container-title":"International Journal of Cancer","id":"ITEM-1","issue":"11","issued":{"date-parts":[["2012","12","1"]]},"page":"2678-2683","title":"Hematological malignancies and pregnancy: Treat or no treat during first trimester","type":"article-journal","volume":"131"},"uris":["http://www.mendeley.com/documents/?uuid=31157135-d524-31c9-8235-9c5ca6edf9bf","http://www.mendeley.com/documents/?uuid=49bea5db-70ab-4bce-af29-57b3aab1a4c4"]}],"mendeley":{"formattedCitation":"[61]","plainTextFormattedCitation":"[61]","previouslyFormattedCitation":"[61]"},"properties":{"noteIndex":0},"schema":"https://github.com/citation-style-language/schema/raw/master/csl-citation.json"}</w:instrText>
      </w:r>
      <w:r w:rsidR="004158BC" w:rsidRPr="002F4348">
        <w:rPr>
          <w:i/>
        </w:rPr>
        <w:fldChar w:fldCharType="separate"/>
      </w:r>
      <w:r w:rsidR="004126B6" w:rsidRPr="002F4348">
        <w:rPr>
          <w:noProof/>
        </w:rPr>
        <w:t>[61]</w:t>
      </w:r>
      <w:r w:rsidR="004158BC" w:rsidRPr="002F4348">
        <w:rPr>
          <w:i/>
        </w:rPr>
        <w:fldChar w:fldCharType="end"/>
      </w:r>
      <w:r w:rsidRPr="002F4348">
        <w:rPr>
          <w:i/>
        </w:rPr>
        <w:t>. После родоразрешения проводят</w:t>
      </w:r>
      <w:r w:rsidR="004158BC" w:rsidRPr="002F4348">
        <w:rPr>
          <w:i/>
        </w:rPr>
        <w:t xml:space="preserve"> полное обследование и</w:t>
      </w:r>
      <w:r w:rsidRPr="002F4348">
        <w:rPr>
          <w:i/>
        </w:rPr>
        <w:t xml:space="preserve"> адекватный для </w:t>
      </w:r>
      <w:r w:rsidRPr="002F4348">
        <w:rPr>
          <w:i/>
          <w:color w:val="000000" w:themeColor="text1"/>
        </w:rPr>
        <w:t>конкретной ситуации объем лечения</w:t>
      </w:r>
      <w:r w:rsidR="004158BC" w:rsidRPr="002F4348">
        <w:rPr>
          <w:i/>
          <w:color w:val="000000" w:themeColor="text1"/>
        </w:rPr>
        <w:t>, учитывающий уже полученную терап</w:t>
      </w:r>
      <w:r w:rsidR="00880FB4" w:rsidRPr="002F4348">
        <w:rPr>
          <w:i/>
          <w:color w:val="000000" w:themeColor="text1"/>
        </w:rPr>
        <w:t>и</w:t>
      </w:r>
      <w:r w:rsidR="004158BC" w:rsidRPr="002F4348">
        <w:rPr>
          <w:i/>
        </w:rPr>
        <w:t>ю</w:t>
      </w:r>
      <w:r w:rsidRPr="002F4348">
        <w:rPr>
          <w:i/>
        </w:rPr>
        <w:t>.</w:t>
      </w:r>
    </w:p>
    <w:p w14:paraId="0D396A9E" w14:textId="77777777" w:rsidR="000578EF" w:rsidRPr="002F4348" w:rsidRDefault="000578EF" w:rsidP="00B153FC">
      <w:pPr>
        <w:pStyle w:val="afe"/>
        <w:numPr>
          <w:ilvl w:val="0"/>
          <w:numId w:val="12"/>
        </w:numPr>
        <w:spacing w:before="120" w:after="120"/>
        <w:ind w:left="709" w:hanging="709"/>
      </w:pPr>
      <w:r w:rsidRPr="002F4348">
        <w:t xml:space="preserve">Беременным пациенткам с ЛХ </w:t>
      </w:r>
      <w:r w:rsidRPr="002F4348">
        <w:rPr>
          <w:b/>
        </w:rPr>
        <w:t xml:space="preserve">рекомендовано </w:t>
      </w:r>
      <w:r w:rsidRPr="002F4348">
        <w:t xml:space="preserve">проведение </w:t>
      </w:r>
      <w:r w:rsidR="00DB3CA8" w:rsidRPr="002F4348">
        <w:t>профилактики тромбоэмболических осложнений</w:t>
      </w:r>
      <w:r w:rsidR="00DB3CA8" w:rsidRPr="002F4348" w:rsidDel="00DB3CA8">
        <w:t xml:space="preserve"> </w:t>
      </w:r>
      <w:r w:rsidRPr="002F4348">
        <w:t>в течение беременности и в послеродовом периоде (6 недель после родов)</w:t>
      </w:r>
      <w:r w:rsidR="001D28F8" w:rsidRPr="002F4348">
        <w:t xml:space="preserve"> </w:t>
      </w:r>
      <w:r w:rsidR="001D28F8" w:rsidRPr="002F4348">
        <w:fldChar w:fldCharType="begin" w:fldLock="1"/>
      </w:r>
      <w:r w:rsidR="00A850F7" w:rsidRPr="002F4348">
        <w:instrText>ADDIN CSL_CITATION {"citationItems":[{"id":"ITEM-1","itemData":{"author":[{"dropping-particle":"","family":"Шмаков","given":"Р.Г.","non-dropping-particle":"","parse-names":false,"suffix":""},{"dropping-particle":"","family":"Демина","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Савченко.","id":"ITEM-1","issued":{"date-parts":[["2018"]]},"page":"143-150","title":"Лимфомы и беременность","type":"chapter"},"uris":["http://www.mendeley.com/documents/?uuid=958bf3f8-62e1-483b-a76a-3702334c0c29","http://www.mendeley.com/documents/?uuid=1b144eff-cfc3-4cd9-b619-e66b3bbc7228"]}],"mendeley":{"formattedCitation":"[7]","plainTextFormattedCitation":"[7]","previouslyFormattedCitation":"[7]"},"properties":{"noteIndex":0},"schema":"https://github.com/citation-style-language/schema/raw/master/csl-citation.json"}</w:instrText>
      </w:r>
      <w:r w:rsidR="001D28F8" w:rsidRPr="002F4348">
        <w:fldChar w:fldCharType="separate"/>
      </w:r>
      <w:r w:rsidR="00BA1BF7" w:rsidRPr="002F4348">
        <w:rPr>
          <w:noProof/>
        </w:rPr>
        <w:t>[7]</w:t>
      </w:r>
      <w:r w:rsidR="001D28F8" w:rsidRPr="002F4348">
        <w:fldChar w:fldCharType="end"/>
      </w:r>
      <w:r w:rsidR="001D28F8" w:rsidRPr="002F4348">
        <w:t>.</w:t>
      </w:r>
    </w:p>
    <w:p w14:paraId="6EBBDF5A" w14:textId="77777777" w:rsidR="000578EF" w:rsidRPr="002F4348" w:rsidRDefault="000578EF" w:rsidP="001D28F8">
      <w:pPr>
        <w:ind w:left="709" w:firstLine="0"/>
        <w:contextualSpacing/>
        <w:rPr>
          <w:b/>
        </w:rPr>
      </w:pPr>
      <w:r w:rsidRPr="002F4348">
        <w:rPr>
          <w:b/>
        </w:rPr>
        <w:t>Уровень убедительности рекомендаций С (уровень достоверности доказательств 5).</w:t>
      </w:r>
    </w:p>
    <w:p w14:paraId="38746320" w14:textId="77777777" w:rsidR="000578EF" w:rsidRPr="002F4348" w:rsidRDefault="000578EF" w:rsidP="001D28F8">
      <w:pPr>
        <w:ind w:left="709" w:firstLine="0"/>
        <w:contextualSpacing/>
        <w:rPr>
          <w:b/>
        </w:rPr>
      </w:pPr>
      <w:r w:rsidRPr="002F4348">
        <w:rPr>
          <w:b/>
        </w:rPr>
        <w:t xml:space="preserve">Комментарий: </w:t>
      </w:r>
      <w:r w:rsidR="001D28F8" w:rsidRPr="002F4348">
        <w:rPr>
          <w:i/>
        </w:rPr>
        <w:t xml:space="preserve">тромбопрофилактика </w:t>
      </w:r>
      <w:r w:rsidRPr="002F4348">
        <w:rPr>
          <w:i/>
        </w:rPr>
        <w:t>должна подбираться индивидуально на основании профильных рекомендаций.</w:t>
      </w:r>
    </w:p>
    <w:p w14:paraId="640B9DF6" w14:textId="77777777" w:rsidR="000578EF" w:rsidRPr="002F4348" w:rsidRDefault="000578EF" w:rsidP="000578EF">
      <w:pPr>
        <w:pStyle w:val="2"/>
        <w:contextualSpacing/>
      </w:pPr>
      <w:bookmarkStart w:id="45" w:name="_Toc65586397"/>
      <w:r w:rsidRPr="002F4348">
        <w:t>3.</w:t>
      </w:r>
      <w:r w:rsidR="00170E50" w:rsidRPr="002F4348">
        <w:t>8</w:t>
      </w:r>
      <w:r w:rsidRPr="002F4348">
        <w:t xml:space="preserve"> Оценка ответа на лечение</w:t>
      </w:r>
      <w:bookmarkEnd w:id="45"/>
    </w:p>
    <w:p w14:paraId="2CB7D051" w14:textId="77777777" w:rsidR="000578EF" w:rsidRPr="002F4348" w:rsidRDefault="000578EF" w:rsidP="00B153FC">
      <w:pPr>
        <w:pStyle w:val="afe"/>
        <w:numPr>
          <w:ilvl w:val="0"/>
          <w:numId w:val="13"/>
        </w:numPr>
        <w:spacing w:before="120" w:after="120"/>
        <w:ind w:left="709" w:hanging="709"/>
      </w:pPr>
      <w:r w:rsidRPr="002F4348">
        <w:t>Всем пациентам с ЛХ, после 2 и 4 циклов химиотерапии, после окончания химиотерапевтического этапа и после завершения всей программы лечения,</w:t>
      </w:r>
      <w:r w:rsidRPr="002F4348">
        <w:rPr>
          <w:b/>
        </w:rPr>
        <w:t xml:space="preserve"> рекомендуется</w:t>
      </w:r>
      <w:r w:rsidRPr="002F4348">
        <w:t xml:space="preserve"> оценка ответа на терапию в соответствии со стандартными критериями ответа на лечение лимфом</w:t>
      </w:r>
      <w:r w:rsidR="002554A5" w:rsidRPr="002F4348">
        <w:t xml:space="preserve"> для определения дальнейшей тактики ведения пациента</w:t>
      </w:r>
      <w:r w:rsidRPr="002F4348">
        <w:t xml:space="preserve"> (см. </w:t>
      </w:r>
      <w:r w:rsidR="007A344D" w:rsidRPr="002F4348">
        <w:t>раздел 7.</w:t>
      </w:r>
      <w:r w:rsidR="0064071E" w:rsidRPr="002F4348">
        <w:t>4</w:t>
      </w:r>
      <w:r w:rsidR="007A344D" w:rsidRPr="002F4348">
        <w:t xml:space="preserve"> данных рекомендаций</w:t>
      </w:r>
      <w:r w:rsidRPr="002F4348">
        <w:t>)</w:t>
      </w:r>
      <w:r w:rsidR="001D28F8" w:rsidRPr="002F4348">
        <w:t xml:space="preserve"> </w:t>
      </w:r>
      <w:r w:rsidR="001D28F8" w:rsidRPr="002F4348">
        <w:fldChar w:fldCharType="begin" w:fldLock="1"/>
      </w:r>
      <w:r w:rsidR="00A850F7" w:rsidRPr="002F4348">
        <w:instrText>ADDIN CSL_CITATION {"citationItems":[{"id":"ITEM-1","itemData":{"DOI":"10.1200/JCO.2006.09.2403","ISSN":"0732183X","abstract":"PURPOSE Standardized response criteria are needed to interpret and compare clinical trials and for approval of new therapeutic agents by regulatory agencies. METHODS The International Working Group response criteria (Cheson et al, J Clin Oncol 17:1244, 1999) were widely adopted, but required reassessment because of identified limitations and the increased use of [18F]fluorodeoxyglucose-positron emission tomography (PET), immunohistochemistry (IHC), and flow cytometry. The International Harmonization Project was convened to provide updated recommendations. RESULTS New guidelines are presented incorporating PET, IHC, and flow cytometry for definitions of response in non-Hodgkin's and Hodgkin's lymphoma. Standardized definitions of end points are provided. CONCLUSION We hope that these guidelines will be adopted widely by study groups, pharmaceutical and biotechnology companies, and regulatory agencies to facilitate the development of new and more effective therapies to improve the outcome of patients with lymphoma.","author":[{"dropping-particle":"","family":"Cheson","given":"Bruce D.","non-dropping-particle":"","parse-names":false,"suffix":""},{"dropping-particle":"","family":"Pfistner","given":"Beate","non-dropping-particle":"","parse-names":false,"suffix":""},{"dropping-particle":"","family":"Juweid","given":"Malik E.","non-dropping-particle":"","parse-names":false,"suffix":""},{"dropping-particle":"","family":"Gascoyne","given":"Randy D.","non-dropping-particle":"","parse-names":false,"suffix":""},{"dropping-particle":"","family":"Specht","given":"Lena","non-dropping-particle":"","parse-names":false,"suffix":""},{"dropping-particle":"","family":"Horning","given":"Sandra J.","non-dropping-particle":"","parse-names":false,"suffix":""},{"dropping-particle":"","family":"Coiffier","given":"Bertrand","non-dropping-particle":"","parse-names":false,"suffix":""},{"dropping-particle":"","family":"Fisher","given":"Richard I.","non-dropping-particle":"","parse-names":false,"suffix":""},{"dropping-particle":"","family":"Hagenbeek","given":"Anton","non-dropping-particle":"","parse-names":false,"suffix":""},{"dropping-particle":"","family":"Zucca","given":"Emanuele","non-dropping-particle":"","parse-names":false,"suffix":""},{"dropping-particle":"","family":"Rosen","given":"Steven T.","non-dropping-particle":"","parse-names":false,"suffix":""},{"dropping-particle":"","family":"Stroobants","given":"Sigrid","non-dropping-particle":"","parse-names":false,"suffix":""},{"dropping-particle":"","family":"Lister","given":"T. Andrew","non-dropping-particle":"","parse-names":false,"suffix":""},{"dropping-particle":"","family":"Hoppe","given":"Richard T.","non-dropping-particle":"","parse-names":false,"suffix":""},{"dropping-particle":"","family":"Dreyling","given":"Martin","non-dropping-particle":"","parse-names":false,"suffix":""},{"dropping-particle":"","family":"Tobinai","given":"Kensei","non-dropping-particle":"","parse-names":false,"suffix":""},{"dropping-particle":"","family":"Vose","given":"Julie M.","non-dropping-particle":"","parse-names":false,"suffix":""},{"dropping-particle":"","family":"Connors","given":"Joseph M.","non-dropping-particle":"","parse-names":false,"suffix":""},{"dropping-particle":"","family":"Federico","given":"Massimo","non-dropping-particle":"","parse-names":false,"suffix":""},{"dropping-particle":"","family":"Diehl","given":"Volker","non-dropping-particle":"","parse-names":false,"suffix":""}],"container-title":"Journal of Clinical Oncology","id":"ITEM-1","issue":"5","issued":{"date-parts":[["2007"]]},"page":"579-586","title":"Revised response criteria for malignant lymphoma","type":"article","volume":"25"},"uris":["http://www.mendeley.com/documents/?uuid=54621e2a-fa6c-3787-a396-2fbb20883fe7","http://www.mendeley.com/documents/?uuid=d5df0e7b-5398-4b59-b14e-8bfb6547123d"]},{"id":"ITEM-2","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Савченко.","id":"ITEM-2","issued":{"date-parts":[["2018"]]},"page":"9-27","title":"Общие принципы диагностики лимфом","type":"chapter"},"uris":["http://www.mendeley.com/documents/?uuid=10dcee86-2303-45c9-9089-cdb3d4533aba","http://www.mendeley.com/documents/?uuid=d7eb85a2-da5e-400d-b112-7f0a5734958d"]},{"id":"ITEM-3","itemData":{"author":[{"dropping-particle":"","family":"Демина","given":"Е.А.","non-dropping-particle":"","parse-names":false,"suffix":""},{"dropping-particle":"","family":"Капланов","given":"К.Д.","non-dropping-particle":"","parse-names":false,"suffix":""},{"dropping-particle":"","family":"Мухортова","given":"О.В.","non-dropping-particle":"","parse-names":false,"suffix":""},{"dropping-particle":"","family":"Тумян","given":"Г.С.","non-dropping-particle":"","parse-names":false,"suffix":""},{"dropping-particle":"","family":"Михайлова","given":"Н.Б.","non-dropping-particle":"","parse-names":false,"suffix":""},{"dropping-particle":"","family":"Моисеева","given":"Т.Н.","non-dropping-particle":"","parse-names":false,"suffix":""},{"dropping-particle":"","family":"Виноградова","given":"Ю.Н.","non-dropping-particle":"","parse-names":false,"suffix":""},{"dropping-particle":"","family":"Ильин","given":"Н.В.","non-dropping-particle":"","parse-names":false,"suffix":""},{"dropping-particle":"","family":"Трофимова","given":"О.П.","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Савченко.","id":"ITEM-3","issued":{"date-parts":[["2018"]]},"page":"28-43","title":"Лимфома Ходжкина","type":"chapter"},"uris":["http://www.mendeley.com/documents/?uuid=0af2b11d-a9cf-4da8-a503-99a860249436","http://www.mendeley.com/documents/?uuid=708bf927-447f-43d0-8bf7-28178aa7e29e","http://www.mendeley.com/documents/?uuid=83cca7d3-d685-4071-9773-10afd18426c0"]}],"mendeley":{"formattedCitation":"[1,4,62]","plainTextFormattedCitation":"[1,4,62]","previouslyFormattedCitation":"[1,4,62]"},"properties":{"noteIndex":0},"schema":"https://github.com/citation-style-language/schema/raw/master/csl-citation.json"}</w:instrText>
      </w:r>
      <w:r w:rsidR="001D28F8" w:rsidRPr="002F4348">
        <w:fldChar w:fldCharType="separate"/>
      </w:r>
      <w:r w:rsidR="000C1AAB" w:rsidRPr="002F4348">
        <w:rPr>
          <w:noProof/>
        </w:rPr>
        <w:t>[1,4,62]</w:t>
      </w:r>
      <w:r w:rsidR="001D28F8" w:rsidRPr="002F4348">
        <w:fldChar w:fldCharType="end"/>
      </w:r>
      <w:r w:rsidRPr="002F4348">
        <w:t xml:space="preserve">. </w:t>
      </w:r>
    </w:p>
    <w:p w14:paraId="22BF871F" w14:textId="77777777" w:rsidR="000578EF" w:rsidRPr="002F4348" w:rsidRDefault="000578EF" w:rsidP="001D28F8">
      <w:pPr>
        <w:ind w:left="709" w:firstLine="0"/>
        <w:rPr>
          <w:b/>
        </w:rPr>
      </w:pPr>
      <w:r w:rsidRPr="002F4348">
        <w:rPr>
          <w:b/>
        </w:rPr>
        <w:lastRenderedPageBreak/>
        <w:t>Уровень убедительности рекомендаций С (уровень достоверности доказательств 5).</w:t>
      </w:r>
    </w:p>
    <w:p w14:paraId="28AF85FB" w14:textId="77777777" w:rsidR="001D28F8" w:rsidRPr="002F4348" w:rsidRDefault="001D28F8" w:rsidP="001D28F8">
      <w:pPr>
        <w:pStyle w:val="2"/>
        <w:contextualSpacing/>
      </w:pPr>
      <w:bookmarkStart w:id="46" w:name="_Toc65586398"/>
      <w:r w:rsidRPr="002F4348">
        <w:t>3.</w:t>
      </w:r>
      <w:r w:rsidR="00170E50" w:rsidRPr="002F4348">
        <w:t>9</w:t>
      </w:r>
      <w:r w:rsidRPr="002F4348">
        <w:t xml:space="preserve"> Сопутствующая и сопроводительная терапия</w:t>
      </w:r>
      <w:bookmarkEnd w:id="46"/>
    </w:p>
    <w:p w14:paraId="70B3C03A" w14:textId="77777777" w:rsidR="001D28F8" w:rsidRPr="002F4348" w:rsidRDefault="001D28F8" w:rsidP="00B153FC">
      <w:pPr>
        <w:pStyle w:val="afe"/>
        <w:numPr>
          <w:ilvl w:val="0"/>
          <w:numId w:val="12"/>
        </w:numPr>
        <w:spacing w:before="120" w:after="120"/>
        <w:ind w:left="709" w:hanging="709"/>
      </w:pPr>
      <w:r w:rsidRPr="002F4348">
        <w:t xml:space="preserve">Всем пациентам </w:t>
      </w:r>
      <w:r w:rsidRPr="002F4348">
        <w:rPr>
          <w:lang w:val="en-US"/>
        </w:rPr>
        <w:t>c</w:t>
      </w:r>
      <w:r w:rsidRPr="002F4348">
        <w:t xml:space="preserve"> ЛХ с исходно массивным поражением, получающим противоопухолевую терапию, </w:t>
      </w:r>
      <w:r w:rsidRPr="002F4348">
        <w:rPr>
          <w:b/>
        </w:rPr>
        <w:t xml:space="preserve">рекомендовано </w:t>
      </w:r>
      <w:r w:rsidRPr="002F4348">
        <w:t xml:space="preserve">проведение профилактики синдрома лизиса опухолей согласно существующим профильным рекомендациям </w:t>
      </w:r>
      <w:r w:rsidRPr="002F4348">
        <w:fldChar w:fldCharType="begin" w:fldLock="1"/>
      </w:r>
      <w:r w:rsidR="00A850F7" w:rsidRPr="002F4348">
        <w:instrText>ADDIN CSL_CITATION {"citationItems":[{"id":"ITEM-1","itemData":{"author":[{"dropping-particle":"","family":"Барях","given":"Е.А.","non-dropping-particle":"","parse-names":false,"suffix":""},{"dropping-particle":"","family":"Мякова","given":"Н.В.","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Савченко.","id":"ITEM-1","issued":{"date-parts":[["2018"]]},"page":"251-253","title":"Профилактика и лечение синдрома лизиса опухоли","type":"chapter"},"uris":["http://www.mendeley.com/documents/?uuid=f076f62d-bb83-43f7-ada9-fd1c459dafc9","http://www.mendeley.com/documents/?uuid=07df101f-3cfa-42df-8541-d1569346c87c"]}],"mendeley":{"formattedCitation":"[63]","plainTextFormattedCitation":"[63]","previouslyFormattedCitation":"[63]"},"properties":{"noteIndex":0},"schema":"https://github.com/citation-style-language/schema/raw/master/csl-citation.json"}</w:instrText>
      </w:r>
      <w:r w:rsidRPr="002F4348">
        <w:fldChar w:fldCharType="separate"/>
      </w:r>
      <w:r w:rsidR="004126B6" w:rsidRPr="002F4348">
        <w:rPr>
          <w:noProof/>
        </w:rPr>
        <w:t>[63]</w:t>
      </w:r>
      <w:r w:rsidRPr="002F4348">
        <w:fldChar w:fldCharType="end"/>
      </w:r>
      <w:r w:rsidR="00B67E79" w:rsidRPr="002F4348">
        <w:t>.</w:t>
      </w:r>
    </w:p>
    <w:p w14:paraId="3AE26D4D" w14:textId="77777777" w:rsidR="001D28F8" w:rsidRPr="002F4348" w:rsidRDefault="001D28F8" w:rsidP="001D28F8">
      <w:pPr>
        <w:ind w:left="709" w:firstLine="0"/>
        <w:contextualSpacing/>
        <w:rPr>
          <w:b/>
        </w:rPr>
      </w:pPr>
      <w:r w:rsidRPr="002F4348">
        <w:rPr>
          <w:b/>
        </w:rPr>
        <w:t>Уровень убедительности рекомендаций С (уровень достоверности доказательств 5).</w:t>
      </w:r>
    </w:p>
    <w:p w14:paraId="1B88031C" w14:textId="77777777" w:rsidR="001D28F8" w:rsidRPr="002F4348" w:rsidRDefault="001D28F8" w:rsidP="00B153FC">
      <w:pPr>
        <w:pStyle w:val="afe"/>
        <w:numPr>
          <w:ilvl w:val="0"/>
          <w:numId w:val="12"/>
        </w:numPr>
        <w:spacing w:before="120" w:after="120"/>
        <w:ind w:left="709" w:hanging="709"/>
      </w:pPr>
      <w:r w:rsidRPr="002F4348">
        <w:t xml:space="preserve">Всем пациентам </w:t>
      </w:r>
      <w:r w:rsidRPr="002F4348">
        <w:rPr>
          <w:lang w:val="en-US"/>
        </w:rPr>
        <w:t>c</w:t>
      </w:r>
      <w:r w:rsidRPr="002F4348">
        <w:t xml:space="preserve"> ЛХ со сниженной концентрацией гемоглобина крови </w:t>
      </w:r>
      <w:r w:rsidRPr="002F4348">
        <w:rPr>
          <w:b/>
        </w:rPr>
        <w:t xml:space="preserve">рекомендовано </w:t>
      </w:r>
      <w:r w:rsidRPr="002F4348">
        <w:rPr>
          <w:bCs/>
        </w:rPr>
        <w:t>лечен</w:t>
      </w:r>
      <w:r w:rsidRPr="002F4348">
        <w:t xml:space="preserve">ие анемии согласно существующим профильным рекомендациям </w:t>
      </w:r>
      <w:r w:rsidRPr="002F4348">
        <w:fldChar w:fldCharType="begin" w:fldLock="1"/>
      </w:r>
      <w:r w:rsidR="00A850F7" w:rsidRPr="002F4348">
        <w:instrText>ADDIN CSL_CITATION {"citationItems":[{"id":"ITEM-1","itemData":{"author":[{"dropping-particle":"","family":"Aapro","given":"M.","non-dropping-particle":"","parse-names":false,"suffix":""},{"dropping-particle":"","family":"Давыдкин","given":"И.Л.","non-dropping-particle":"","parse-names":false,"suffix":""},{"dropping-particle":"","family":"Давиденко","given":"И.С.","non-dropping-particle":"","parse-names":false,"suffix":""},{"dropping-particle":"","family":"Королева","given":"И.А.","non-dropping-particle":"","parse-names":false,"suffix":""},{"dropping-particle":"","family":"Манзюк","given":"Л.В.","non-dropping-particle":"","parse-names":false,"suffix":""},{"dropping-particle":"","family":"Моисеенко","given":"В.М.","non-dropping-particle":"","parse-names":false,"suffix":""},{"dropping-particle":"","family":"Поддубная","given":"И.В.","non-dropping-particle":"","parse-names":false,"suffix":""},{"dropping-particle":"","family":"Птушкин","given":"В.В.","non-dropping-particle":"","parse-names":false,"suffix":""},{"dropping-particle":"","family":"Поспелова","given":"Т.И.","non-dropping-particle":"","parse-names":false,"suffix":""},{"dropping-particle":"","family":"Снеговой","given":"А.В.","non-dropping-particle":"","parse-names":false,"suffix":""},{"dropping-particle":"","family":"Тюляндин","given":"С.А.","non-dropping-particle":"","parse-names":false,"suffix":""},{"dropping-particle":"","family":"Чернов","given":"В.М.","non-dropping-particle":"","parse-names":false,"suffix":""}],"id":"ITEM-1","issued":{"date-parts":[["2014"]]},"publisher":"Ассоциация онкологов России","publisher-place":"М.","title":"Клинические рекомендации по лечению анемии у больных злокачественными новообразованиями.","type":"article"},"uris":["http://www.mendeley.com/documents/?uuid=b7b22c8b-58ed-4971-a61d-a05fab12a819","http://www.mendeley.com/documents/?uuid=a0888471-bdea-48ec-9dfd-645e17453226"]},{"id":"ITEM-2","itemData":{"author":[{"dropping-particle":"","family":"Орлова","given":"Р.В.","non-dropping-particle":"","parse-names":false,"suffix":""},{"dropping-particle":"","family":"Гладков","given":"О.А.","non-dropping-particle":"","parse-names":false,"suffix":""},{"dropping-particle":"","family":"Жуков","given":"Н.В.","non-dropping-particle":"","parse-names":false,"suffix":""},{"dropping-particle":"","family":"Копп","given":"М.В.","non-dropping-particle":"","parse-names":false,"suffix":""},{"dropping-particle":"","family":"Королева","given":"И.А.","non-dropping-particle":"","parse-names":false,"suffix":""},{"dropping-particle":"","family":"Ларионова","given":"В.Б.","non-dropping-particle":"","parse-names":false,"suffix":""},{"dropping-particle":"","family":"Моисеенко","given":"В.М.","non-dropping-particle":"","parse-names":false,"suffix":""},{"dropping-particle":"","family":"Поддубная","given":"И.В.","non-dropping-particle":"","parse-names":false,"suffix":""},{"dropping-particle":"","family":"Птушкин","given":"В.В.","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онкологии.","id":"ITEM-2","issued":{"date-parts":[["2018"]]},"page":"494-501","title":"Практические рекомендации по лечению анемии при злокачественных новообразованиях","type":"chapter"},"uris":["http://www.mendeley.com/documents/?uuid=959e602b-c01f-46ef-8d86-ffaa7505b3fe","http://www.mendeley.com/documents/?uuid=0c9e5f6b-8b38-45fd-98b9-293dcd3e6539"]}],"mendeley":{"formattedCitation":"[64,65]","plainTextFormattedCitation":"[64,65]","previouslyFormattedCitation":"[64,65]"},"properties":{"noteIndex":0},"schema":"https://github.com/citation-style-language/schema/raw/master/csl-citation.json"}</w:instrText>
      </w:r>
      <w:r w:rsidRPr="002F4348">
        <w:fldChar w:fldCharType="separate"/>
      </w:r>
      <w:r w:rsidR="004126B6" w:rsidRPr="002F4348">
        <w:rPr>
          <w:noProof/>
        </w:rPr>
        <w:t>[64,65]</w:t>
      </w:r>
      <w:r w:rsidRPr="002F4348">
        <w:fldChar w:fldCharType="end"/>
      </w:r>
      <w:r w:rsidRPr="002F4348">
        <w:t>.</w:t>
      </w:r>
    </w:p>
    <w:p w14:paraId="4BEBFE5F" w14:textId="77777777" w:rsidR="001D28F8" w:rsidRPr="002F4348" w:rsidRDefault="001D28F8" w:rsidP="001D28F8">
      <w:pPr>
        <w:ind w:left="709" w:firstLine="0"/>
        <w:contextualSpacing/>
        <w:rPr>
          <w:b/>
        </w:rPr>
      </w:pPr>
      <w:r w:rsidRPr="002F4348">
        <w:rPr>
          <w:b/>
        </w:rPr>
        <w:t>Уровень убедительности рекомендаций С (уровень достоверности доказательств 5).</w:t>
      </w:r>
    </w:p>
    <w:p w14:paraId="378A5B01" w14:textId="77777777" w:rsidR="001D28F8" w:rsidRPr="002F4348" w:rsidRDefault="001D28F8" w:rsidP="00B153FC">
      <w:pPr>
        <w:pStyle w:val="afe"/>
        <w:numPr>
          <w:ilvl w:val="0"/>
          <w:numId w:val="12"/>
        </w:numPr>
        <w:spacing w:before="120" w:after="120"/>
        <w:ind w:left="709" w:hanging="709"/>
      </w:pPr>
      <w:r w:rsidRPr="002F4348">
        <w:t xml:space="preserve">Всем пациентам </w:t>
      </w:r>
      <w:r w:rsidRPr="002F4348">
        <w:rPr>
          <w:lang w:val="en-US"/>
        </w:rPr>
        <w:t>c</w:t>
      </w:r>
      <w:r w:rsidRPr="002F4348">
        <w:t xml:space="preserve"> ЛХ, получающим противоопухолевую химио- или лучевую терапию, </w:t>
      </w:r>
      <w:r w:rsidRPr="002F4348">
        <w:rPr>
          <w:b/>
        </w:rPr>
        <w:t xml:space="preserve">рекомендована </w:t>
      </w:r>
      <w:r w:rsidRPr="002F4348">
        <w:rPr>
          <w:bCs/>
        </w:rPr>
        <w:t>профилактика и лечен</w:t>
      </w:r>
      <w:r w:rsidRPr="002F4348">
        <w:t>ие тошноты и рвоты в зависимости от эметогенного потенциала проводимого лечения согласно существующим профильным рекомендациям</w:t>
      </w:r>
      <w:r w:rsidR="00D234C0" w:rsidRPr="002F4348">
        <w:t xml:space="preserve"> </w:t>
      </w:r>
      <w:r w:rsidR="00D234C0" w:rsidRPr="002F4348">
        <w:fldChar w:fldCharType="begin" w:fldLock="1"/>
      </w:r>
      <w:r w:rsidR="00A850F7" w:rsidRPr="002F4348">
        <w:instrText>ADDIN CSL_CITATION {"citationItems":[{"id":"ITEM-1","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онкологии.","id":"ITEM-1","issued":{"date-parts":[["2018"]]},"page":"502-511","title":"Практические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http://www.mendeley.com/documents/?uuid=3a928890-6a0e-47ac-8a22-07c3bb211101"]}],"mendeley":{"formattedCitation":"[66]","plainTextFormattedCitation":"[66]","previouslyFormattedCitation":"[66]"},"properties":{"noteIndex":0},"schema":"https://github.com/citation-style-language/schema/raw/master/csl-citation.json"}</w:instrText>
      </w:r>
      <w:r w:rsidR="00D234C0" w:rsidRPr="002F4348">
        <w:fldChar w:fldCharType="separate"/>
      </w:r>
      <w:r w:rsidR="004126B6" w:rsidRPr="002F4348">
        <w:rPr>
          <w:noProof/>
        </w:rPr>
        <w:t>[66]</w:t>
      </w:r>
      <w:r w:rsidR="00D234C0" w:rsidRPr="002F4348">
        <w:fldChar w:fldCharType="end"/>
      </w:r>
      <w:r w:rsidR="00D234C0" w:rsidRPr="002F4348">
        <w:t>.</w:t>
      </w:r>
    </w:p>
    <w:p w14:paraId="51D1FCB2" w14:textId="77777777" w:rsidR="001D28F8" w:rsidRPr="002F4348" w:rsidRDefault="001D28F8" w:rsidP="00D234C0">
      <w:pPr>
        <w:ind w:left="709" w:firstLine="0"/>
        <w:contextualSpacing/>
        <w:rPr>
          <w:b/>
        </w:rPr>
      </w:pPr>
      <w:r w:rsidRPr="002F4348">
        <w:rPr>
          <w:b/>
        </w:rPr>
        <w:t>Уровень убедительности рекомендаций С (уровень достоверности доказательств 5).</w:t>
      </w:r>
    </w:p>
    <w:p w14:paraId="7FD80F81" w14:textId="77777777" w:rsidR="001D28F8" w:rsidRPr="002F4348" w:rsidRDefault="001D28F8" w:rsidP="00B153FC">
      <w:pPr>
        <w:pStyle w:val="afe"/>
        <w:numPr>
          <w:ilvl w:val="0"/>
          <w:numId w:val="12"/>
        </w:numPr>
        <w:spacing w:before="120" w:after="120"/>
        <w:ind w:left="709" w:hanging="709"/>
      </w:pPr>
      <w:r w:rsidRPr="002F4348">
        <w:t xml:space="preserve">Пациентам с ЛХ с выявленной симптоматической гипогаммаглобулинемией (перенесенная тяжелая инфекция, </w:t>
      </w:r>
      <w:r w:rsidRPr="002F4348">
        <w:rPr>
          <w:lang w:val="en-US"/>
        </w:rPr>
        <w:t>IgG</w:t>
      </w:r>
      <w:r w:rsidRPr="002F4348">
        <w:t xml:space="preserve"> &lt; 4 г/л) </w:t>
      </w:r>
      <w:r w:rsidRPr="002F4348">
        <w:rPr>
          <w:b/>
        </w:rPr>
        <w:t xml:space="preserve">рекомендовано </w:t>
      </w:r>
      <w:r w:rsidRPr="002F4348">
        <w:t>проведение заместительной терапии #иммуноглобулином человека нормальным 0,2-0,4 г/кг в/в кажды</w:t>
      </w:r>
      <w:r w:rsidR="00C00522" w:rsidRPr="002F4348">
        <w:t>е</w:t>
      </w:r>
      <w:r w:rsidRPr="002F4348">
        <w:t xml:space="preserve"> 3-4 недели в течение 12 месяцев </w:t>
      </w:r>
      <w:r w:rsidR="00D234C0" w:rsidRPr="002F4348">
        <w:fldChar w:fldCharType="begin" w:fldLock="1"/>
      </w:r>
      <w:r w:rsidR="00A850F7" w:rsidRPr="002F4348">
        <w:instrText>ADDIN CSL_CITATION {"citationItems":[{"id":"ITEM-1","itemData":{"author":[{"dropping-particle":"","family":"Константинова","given":"Т.С.","non-dropping-particle":"","parse-names":false,"suffix":""},{"dropping-particle":"","family":"Клясова","given":"Г.А.","non-dropping-particle":"","parse-names":false,"suffix":""},{"dropping-particle":"","family":"Капланов","given":"К.Д.","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Савченко.","id":"ITEM-1","issued":{"date-parts":[["2018"]]},"page":"289-311","title":"Лечение и профилактика инфекционных осложнений у пациентов с лимфопролиферативными заболеваниями.","type":"chapter"},"uris":["http://www.mendeley.com/documents/?uuid=b8826e3f-ec9d-405b-84e4-56b1a1300212","http://www.mendeley.com/documents/?uuid=cb9897b2-7bca-4244-b572-de3c06c504d4"]},{"id":"ITEM-2","itemData":{"DOI":"10.7861/clinmedicine.16-6-571","ISSN":"14734893","abstract":"Antibody defi ciencies can occur in the context of primary disorders due to inherited genetic defects; however, secondary immune disorders are far more prevalent and can be caused by various diseases and their treatment, certain medications and surgical procedures. Immunoglobulin replacement therapy has been shown to be effective in reducing infections, morbidity and mortality in primary antibody defi ciencies but secondary antibody defi ciencies are in general poorly defi ned and there are no guidelines for the management of patients with this condition. Clinical decisions are based on experience from primary antibody defi ciencies. Both primary and secondary antibody defi ciencies can be associated with infections, immune dysregulation and end-organ damage, causing signifi cant morbidity and mortality. Therefore, it is important to diagnose and treat these patients promptly to minimise adverse effects and improve quality of life. We focus on secondary antibody defi ciency and describe the causes, diagnosis and treatment of this disorder.","author":[{"dropping-particle":"","family":"Srivastava","given":"Sapna","non-dropping-particle":"","parse-names":false,"suffix":""},{"dropping-particle":"","family":"Wood","given":"Philip","non-dropping-particle":"","parse-names":false,"suffix":""}],"container-title":"Clinical Medicine, Journal of the Royal College of Physicians of London","id":"ITEM-2","issued":{"date-parts":[["2016"]]},"title":"Secondary antibody deficiency-causes and approach to diagnosis","type":"article-journal"},"uris":["http://www.mendeley.com/documents/?uuid=122c5237-a104-392a-be50-9d92c8764a3d","http://www.mendeley.com/documents/?uuid=56ad7483-abb3-4817-8cb8-77d0b3ee361f"]}],"mendeley":{"formattedCitation":"[67,68]","plainTextFormattedCitation":"[67,68]","previouslyFormattedCitation":"[67,68]"},"properties":{"noteIndex":0},"schema":"https://github.com/citation-style-language/schema/raw/master/csl-citation.json"}</w:instrText>
      </w:r>
      <w:r w:rsidR="00D234C0" w:rsidRPr="002F4348">
        <w:fldChar w:fldCharType="separate"/>
      </w:r>
      <w:r w:rsidR="000C1AAB" w:rsidRPr="002F4348">
        <w:rPr>
          <w:noProof/>
        </w:rPr>
        <w:t>[67,68]</w:t>
      </w:r>
      <w:r w:rsidR="00D234C0" w:rsidRPr="002F4348">
        <w:fldChar w:fldCharType="end"/>
      </w:r>
      <w:r w:rsidRPr="002F4348">
        <w:t>.</w:t>
      </w:r>
    </w:p>
    <w:p w14:paraId="1ED7B5B6" w14:textId="77777777" w:rsidR="001D28F8" w:rsidRPr="002F4348" w:rsidRDefault="001D28F8" w:rsidP="00D234C0">
      <w:pPr>
        <w:ind w:left="709" w:firstLine="0"/>
        <w:contextualSpacing/>
        <w:rPr>
          <w:b/>
        </w:rPr>
      </w:pPr>
      <w:r w:rsidRPr="002F4348">
        <w:rPr>
          <w:b/>
        </w:rPr>
        <w:t>Уровень убедительности рекомендаций С (уровень достоверности доказательств 5).</w:t>
      </w:r>
    </w:p>
    <w:p w14:paraId="5462C5AE" w14:textId="77777777" w:rsidR="001D28F8" w:rsidRPr="002F4348" w:rsidRDefault="001D28F8" w:rsidP="00D234C0">
      <w:pPr>
        <w:ind w:left="709" w:firstLine="0"/>
        <w:contextualSpacing/>
        <w:rPr>
          <w:i/>
        </w:rPr>
      </w:pPr>
      <w:r w:rsidRPr="002F4348">
        <w:rPr>
          <w:b/>
        </w:rPr>
        <w:t xml:space="preserve">Комментарий: </w:t>
      </w:r>
      <w:r w:rsidR="00D234C0" w:rsidRPr="002F4348">
        <w:rPr>
          <w:i/>
        </w:rPr>
        <w:t xml:space="preserve">терапия </w:t>
      </w:r>
      <w:r w:rsidRPr="002F4348">
        <w:rPr>
          <w:i/>
        </w:rPr>
        <w:t xml:space="preserve">проводится под контролем уровня </w:t>
      </w:r>
      <w:r w:rsidRPr="002F4348">
        <w:rPr>
          <w:i/>
          <w:lang w:val="en-US"/>
        </w:rPr>
        <w:t>IgG</w:t>
      </w:r>
      <w:r w:rsidRPr="002F4348">
        <w:rPr>
          <w:i/>
        </w:rPr>
        <w:t xml:space="preserve"> каждые 6 месяцев, пересмотр дозы #иммуноглобулина человека нормального каждые 6 месяцев. После завершения терапии проводится пожизненное мониторирование уровня </w:t>
      </w:r>
      <w:r w:rsidRPr="002F4348">
        <w:rPr>
          <w:i/>
          <w:lang w:val="en-US"/>
        </w:rPr>
        <w:t>IgG</w:t>
      </w:r>
      <w:r w:rsidRPr="002F4348">
        <w:rPr>
          <w:i/>
        </w:rPr>
        <w:t xml:space="preserve"> 1 раз в год, в случае повнорного снижения </w:t>
      </w:r>
      <w:r w:rsidRPr="002F4348">
        <w:rPr>
          <w:i/>
          <w:lang w:val="en-US"/>
        </w:rPr>
        <w:t>IgG</w:t>
      </w:r>
      <w:r w:rsidRPr="002F4348">
        <w:rPr>
          <w:i/>
        </w:rPr>
        <w:t xml:space="preserve"> &lt; 4 г/л проводятся повторные курсы заместительной терапии аналогичным препарато</w:t>
      </w:r>
      <w:r w:rsidR="003430E6" w:rsidRPr="002F4348">
        <w:rPr>
          <w:i/>
        </w:rPr>
        <w:t>м</w:t>
      </w:r>
      <w:r w:rsidRPr="002F4348">
        <w:rPr>
          <w:i/>
        </w:rPr>
        <w:t xml:space="preserve"> в аналогичном режиме в течение 12 месяцев</w:t>
      </w:r>
      <w:r w:rsidR="00D234C0" w:rsidRPr="002F4348">
        <w:rPr>
          <w:i/>
        </w:rPr>
        <w:t>.</w:t>
      </w:r>
    </w:p>
    <w:p w14:paraId="6C4697BF" w14:textId="77777777" w:rsidR="002A7272" w:rsidRPr="002F4348" w:rsidRDefault="00702D8D" w:rsidP="00B153FC">
      <w:pPr>
        <w:widowControl w:val="0"/>
        <w:numPr>
          <w:ilvl w:val="0"/>
          <w:numId w:val="39"/>
        </w:numPr>
        <w:autoSpaceDE w:val="0"/>
        <w:autoSpaceDN w:val="0"/>
        <w:adjustRightInd w:val="0"/>
        <w:contextualSpacing/>
      </w:pPr>
      <w:bookmarkStart w:id="47" w:name="_Toc24546444"/>
      <w:r w:rsidRPr="002F4348">
        <w:rPr>
          <w:bCs/>
        </w:rPr>
        <w:t xml:space="preserve">Для пациентов с ЛХ детородного возраста </w:t>
      </w:r>
      <w:r w:rsidRPr="002F4348">
        <w:rPr>
          <w:b/>
        </w:rPr>
        <w:t>р</w:t>
      </w:r>
      <w:r w:rsidR="002A7272" w:rsidRPr="002F4348">
        <w:rPr>
          <w:b/>
        </w:rPr>
        <w:t>екомендуется</w:t>
      </w:r>
      <w:r w:rsidR="00A9169E" w:rsidRPr="002F4348">
        <w:rPr>
          <w:b/>
        </w:rPr>
        <w:t xml:space="preserve"> </w:t>
      </w:r>
      <w:r w:rsidR="00A9169E" w:rsidRPr="002F4348">
        <w:t xml:space="preserve">проведение консультации </w:t>
      </w:r>
      <w:r w:rsidR="002A7272" w:rsidRPr="002F4348">
        <w:lastRenderedPageBreak/>
        <w:t>о риске бесплодия после терапии и о потенциальных методах сохранения фертильности</w:t>
      </w:r>
      <w:r w:rsidRPr="002F4348">
        <w:t xml:space="preserve"> (криоконсервация спермы у мужчин, овариальная супрессия у женщин) </w:t>
      </w:r>
      <w:r w:rsidRPr="002F4348">
        <w:fldChar w:fldCharType="begin" w:fldLock="1"/>
      </w:r>
      <w:r w:rsidR="002C6C01" w:rsidRPr="002F4348">
        <w:instrText>ADDIN CSL_CITATION {"citationItems":[{"id":"ITEM-1","itemData":{"DOI":"10.2147/CMAR.S154819","ISSN":"11791322","abstract":"In total, 80%–90% of Hodgkin’s lymphoma (HL) patients are curable with combination chemoradiotherapy. Due to improvements in therapeutic strategies, 50% of all relapsed/ refractory patients may undergo complete clinical responses and have long-term survival. Treatment options for HL are effective, but may have a negative impact on post-chemotherapy fertility. Thus, cryopreservation of semen prior to treatment is recommended for male patients. For female patients, assisted reproductive techniques (ART) consult and fertility preservation should be offered as a therapeutical option. In the last years, new targeted molecules have been available for HL treatment. These new drugs showed a high rate of overall responses in the setting of heavily pretreated patients, most of them in relapse after autologous stem cell transplantation, a group previously considered very poor risk. Up to 50% of patients have a complete response and an improved overall survival. Future studies will address the usefulness of novel molecules as a frontline therapy. Considering the high response and survival rates with monoclonal antibody-based therapeutics, fertility has become a concerning issue for long-term HL survivors. As progress has been made regarding ART, with the rigorous steps planned for HL patients, more survivors will become parents.","author":[{"dropping-particle":"","family":"Traila","given":"Alexandra","non-dropping-particle":"","parse-names":false,"suffix":""},{"dropping-particle":"","family":"Dima","given":"Delia","non-dropping-particle":"","parse-names":false,"suffix":""},{"dropping-particle":"","family":"Achimas-Cadariu","given":"Patriciu","non-dropping-particle":"","parse-names":false,"suffix":""},{"dropping-particle":"","family":"Micu","given":"Romeo","non-dropping-particle":"","parse-names":false,"suffix":""}],"container-title":"Cancer Management and Research","id":"ITEM-1","issued":{"date-parts":[["2018","6","13"]]},"page":"1517-1526","publisher":"Dove Medical Press Ltd","title":"Fertility preservation in hodgkin’s lymphoma patients that undergo targeted molecular therapies: An important step forward from the chemotherapy era","type":"article","volume":"10"},"uris":["http://www.mendeley.com/documents/?uuid=6b682ca4-a771-32ca-9843-27524a2cbbf4","http://www.mendeley.com/documents/?uuid=1a403beb-856d-407e-a60b-e826b632c793"]}],"mendeley":{"formattedCitation":"[69]","plainTextFormattedCitation":"[69]","previouslyFormattedCitation":"[69]"},"properties":{"noteIndex":0},"schema":"https://github.com/citation-style-language/schema/raw/master/csl-citation.json"}</w:instrText>
      </w:r>
      <w:r w:rsidRPr="002F4348">
        <w:fldChar w:fldCharType="separate"/>
      </w:r>
      <w:r w:rsidR="004126B6" w:rsidRPr="002F4348">
        <w:rPr>
          <w:noProof/>
        </w:rPr>
        <w:t>[69]</w:t>
      </w:r>
      <w:r w:rsidRPr="002F4348">
        <w:fldChar w:fldCharType="end"/>
      </w:r>
      <w:r w:rsidR="002A7272" w:rsidRPr="002F4348">
        <w:t>.</w:t>
      </w:r>
    </w:p>
    <w:p w14:paraId="6B387E09" w14:textId="77777777" w:rsidR="002A7272" w:rsidRPr="002F4348" w:rsidRDefault="002A7272" w:rsidP="002554A5">
      <w:pPr>
        <w:ind w:left="708" w:firstLine="1"/>
        <w:contextualSpacing/>
        <w:rPr>
          <w:b/>
        </w:rPr>
      </w:pPr>
      <w:r w:rsidRPr="002F4348">
        <w:rPr>
          <w:b/>
        </w:rPr>
        <w:t xml:space="preserve">Уровень убедительности рекомендаций </w:t>
      </w:r>
      <w:r w:rsidRPr="002F4348">
        <w:rPr>
          <w:b/>
          <w:lang w:val="en-US"/>
        </w:rPr>
        <w:t>C</w:t>
      </w:r>
      <w:r w:rsidRPr="002F4348">
        <w:rPr>
          <w:b/>
        </w:rPr>
        <w:t xml:space="preserve"> (уровень </w:t>
      </w:r>
      <w:r w:rsidRPr="002F4348">
        <w:rPr>
          <w:b/>
          <w:spacing w:val="-1"/>
        </w:rPr>
        <w:t xml:space="preserve">достоверности доказательств </w:t>
      </w:r>
      <w:r w:rsidRPr="002F4348">
        <w:rPr>
          <w:b/>
        </w:rPr>
        <w:t>– 5)</w:t>
      </w:r>
    </w:p>
    <w:p w14:paraId="7147FEA7" w14:textId="77777777" w:rsidR="00A9169E" w:rsidRPr="002F4348" w:rsidRDefault="00A9169E" w:rsidP="00B153FC">
      <w:pPr>
        <w:widowControl w:val="0"/>
        <w:numPr>
          <w:ilvl w:val="0"/>
          <w:numId w:val="39"/>
        </w:numPr>
        <w:autoSpaceDE w:val="0"/>
        <w:autoSpaceDN w:val="0"/>
        <w:adjustRightInd w:val="0"/>
        <w:contextualSpacing/>
      </w:pPr>
      <w:r w:rsidRPr="002F4348">
        <w:rPr>
          <w:bCs/>
        </w:rPr>
        <w:t xml:space="preserve">Для пациенток с ЛХ – девочек и молодых женщин, у которых планируется лучевая терапия на подвздошную область, </w:t>
      </w:r>
      <w:r w:rsidRPr="002F4348">
        <w:rPr>
          <w:b/>
        </w:rPr>
        <w:t>рекомендуется</w:t>
      </w:r>
      <w:r w:rsidRPr="002F4348">
        <w:t xml:space="preserve"> рассмотрение вопроса о необходимости</w:t>
      </w:r>
      <w:r w:rsidR="002648A0" w:rsidRPr="002F4348">
        <w:t xml:space="preserve"> лапароскопической транспозиции яичников</w:t>
      </w:r>
      <w:r w:rsidRPr="002F4348">
        <w:t xml:space="preserve"> для защиты яичников </w:t>
      </w:r>
      <w:r w:rsidRPr="002F4348">
        <w:fldChar w:fldCharType="begin" w:fldLock="1"/>
      </w:r>
      <w:r w:rsidR="00A850F7" w:rsidRPr="002F4348">
        <w:instrText>ADDIN CSL_CITATION {"citationItems":[{"id":"ITEM-1","itemData":{"author":[{"dropping-particle":"","family":"Meirow","given":"D","non-dropping-particle":"","parse-names":false,"suffix":""},{"dropping-particle":"","family":"Nugent","given":"D","non-dropping-particle":"","parse-names":false,"suffix":""}],"container-title":"Human reproduction update","id":"ITEM-1","issue":"6","issued":{"date-parts":[["2001"]]},"page":"535-543","title":"The effects of radiotherapy and chemotherapy on female reproduction","type":"article-journal","volume":"7"},"uris":["http://www.mendeley.com/documents/?uuid=a7e3f9a7-1c88-3f3e-a54b-2c4a6a10c6b6","http://www.mendeley.com/documents/?uuid=15235d62-061a-4ee4-8b0d-8547a25fdea6"]}],"mendeley":{"formattedCitation":"[70]","plainTextFormattedCitation":"[70]","previouslyFormattedCitation":"[70]"},"properties":{"noteIndex":0},"schema":"https://github.com/citation-style-language/schema/raw/master/csl-citation.json"}</w:instrText>
      </w:r>
      <w:r w:rsidRPr="002F4348">
        <w:fldChar w:fldCharType="separate"/>
      </w:r>
      <w:r w:rsidR="004126B6" w:rsidRPr="002F4348">
        <w:rPr>
          <w:noProof/>
        </w:rPr>
        <w:t>[70]</w:t>
      </w:r>
      <w:r w:rsidRPr="002F4348">
        <w:fldChar w:fldCharType="end"/>
      </w:r>
      <w:r w:rsidRPr="002F4348">
        <w:t>.</w:t>
      </w:r>
    </w:p>
    <w:p w14:paraId="72012F59" w14:textId="77777777" w:rsidR="00A9169E" w:rsidRPr="002F4348" w:rsidRDefault="00A9169E" w:rsidP="002554A5">
      <w:pPr>
        <w:ind w:left="708" w:firstLine="1"/>
        <w:contextualSpacing/>
        <w:rPr>
          <w:b/>
        </w:rPr>
      </w:pPr>
      <w:r w:rsidRPr="002F4348">
        <w:rPr>
          <w:b/>
        </w:rPr>
        <w:t xml:space="preserve">Уровень убедительности рекомендаций </w:t>
      </w:r>
      <w:r w:rsidRPr="002F4348">
        <w:rPr>
          <w:b/>
          <w:lang w:val="en-US"/>
        </w:rPr>
        <w:t>C</w:t>
      </w:r>
      <w:r w:rsidRPr="002F4348">
        <w:rPr>
          <w:b/>
        </w:rPr>
        <w:t xml:space="preserve"> (уровень </w:t>
      </w:r>
      <w:r w:rsidRPr="002F4348">
        <w:rPr>
          <w:b/>
          <w:spacing w:val="-1"/>
        </w:rPr>
        <w:t xml:space="preserve">достоверности доказательств </w:t>
      </w:r>
      <w:r w:rsidRPr="002F4348">
        <w:rPr>
          <w:b/>
        </w:rPr>
        <w:t>– 5)</w:t>
      </w:r>
    </w:p>
    <w:p w14:paraId="32824BB7" w14:textId="77777777" w:rsidR="00A9169E" w:rsidRPr="002F4348" w:rsidRDefault="00A9169E" w:rsidP="00A9169E">
      <w:pPr>
        <w:contextualSpacing/>
        <w:rPr>
          <w:i/>
        </w:rPr>
      </w:pPr>
      <w:r w:rsidRPr="002F4348">
        <w:rPr>
          <w:b/>
        </w:rPr>
        <w:t xml:space="preserve">Комментарий: </w:t>
      </w:r>
      <w:r w:rsidR="002648A0" w:rsidRPr="002F4348">
        <w:rPr>
          <w:i/>
        </w:rPr>
        <w:t xml:space="preserve">транспозиция яичников </w:t>
      </w:r>
      <w:r w:rsidRPr="002F4348">
        <w:rPr>
          <w:i/>
        </w:rPr>
        <w:t>особенно показана, если ожидаемая доза облучения на яичники составит более 5 Гр, так как при этом может возникнуть длительная дисфункция яичника. Этого можно избежать, если лучевая терапия проводится с противоположных полей в СОД 20 Гр и яичник находится, как минимум, на расстоянии 2 см от границы лучевой области.</w:t>
      </w:r>
    </w:p>
    <w:p w14:paraId="4B9F71FD" w14:textId="77777777" w:rsidR="00702D8D" w:rsidRPr="002F4348" w:rsidRDefault="00A9169E" w:rsidP="00A9169E">
      <w:pPr>
        <w:contextualSpacing/>
        <w:rPr>
          <w:rStyle w:val="affb"/>
          <w:bCs w:val="0"/>
        </w:rPr>
      </w:pPr>
      <w:r w:rsidRPr="002F4348">
        <w:rPr>
          <w:i/>
        </w:rPr>
        <w:t>При проведении овариопексии нить должна быть обязательно помечена клипсой</w:t>
      </w:r>
      <w:r w:rsidR="00D051CB" w:rsidRPr="002F4348">
        <w:rPr>
          <w:i/>
        </w:rPr>
        <w:t>.</w:t>
      </w:r>
      <w:r w:rsidRPr="002F4348">
        <w:rPr>
          <w:i/>
        </w:rPr>
        <w:t xml:space="preserve"> Процедура выполняется хирургом немедленно после консультации лучевого терапевта до начала лучевой терапии на поддиафрагмальную область.</w:t>
      </w:r>
    </w:p>
    <w:p w14:paraId="3EE4CDD4" w14:textId="77777777" w:rsidR="00D234C0" w:rsidRPr="002F4348" w:rsidRDefault="00D234C0" w:rsidP="00841FEF">
      <w:pPr>
        <w:pStyle w:val="afd"/>
        <w:spacing w:beforeAutospacing="0" w:afterAutospacing="0" w:line="360" w:lineRule="auto"/>
        <w:contextualSpacing/>
        <w:rPr>
          <w:rStyle w:val="affb"/>
        </w:rPr>
      </w:pPr>
      <w:r w:rsidRPr="002F4348">
        <w:rPr>
          <w:rStyle w:val="affb"/>
        </w:rPr>
        <w:t>Обезболивание</w:t>
      </w:r>
      <w:bookmarkEnd w:id="47"/>
    </w:p>
    <w:p w14:paraId="6AB90C77" w14:textId="77777777" w:rsidR="00D234C0" w:rsidRPr="002F4348" w:rsidRDefault="00D234C0" w:rsidP="00B153FC">
      <w:pPr>
        <w:pStyle w:val="afe"/>
        <w:numPr>
          <w:ilvl w:val="0"/>
          <w:numId w:val="13"/>
        </w:numPr>
        <w:ind w:left="709" w:hanging="709"/>
        <w:rPr>
          <w:color w:val="000000"/>
        </w:rPr>
      </w:pPr>
      <w:r w:rsidRPr="002F4348">
        <w:rPr>
          <w:color w:val="000000"/>
        </w:rPr>
        <w:t xml:space="preserve">Пациентам с ЛХ при возникновении острого или хронического болевого синдрома </w:t>
      </w:r>
      <w:r w:rsidRPr="002F4348">
        <w:rPr>
          <w:b/>
          <w:color w:val="000000"/>
        </w:rPr>
        <w:t>рекомендуется</w:t>
      </w:r>
      <w:r w:rsidRPr="002F4348">
        <w:rPr>
          <w:color w:val="000000"/>
        </w:rPr>
        <w:t xml:space="preserve"> провести диагностику причины болевого синдрома и последующую патогенетическую или сипмтоматическую терапию болевого синдрома</w:t>
      </w:r>
      <w:r w:rsidR="00D051CB" w:rsidRPr="002F4348">
        <w:rPr>
          <w:color w:val="000000"/>
        </w:rPr>
        <w:t xml:space="preserve"> в соответствии с существующими профильными рекомендациями</w:t>
      </w:r>
      <w:r w:rsidRPr="002F4348">
        <w:rPr>
          <w:color w:val="000000"/>
        </w:rPr>
        <w:t xml:space="preserve"> </w:t>
      </w:r>
      <w:r w:rsidRPr="002F4348">
        <w:rPr>
          <w:color w:val="000000"/>
        </w:rPr>
        <w:fldChar w:fldCharType="begin" w:fldLock="1"/>
      </w:r>
      <w:r w:rsidR="00A850F7" w:rsidRPr="002F4348">
        <w:rPr>
          <w:color w:val="000000"/>
        </w:rPr>
        <w:instrText>ADDIN CSL_CITATION {"citationItems":[{"id":"ITEM-1","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-1","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http://www.mendeley.com/documents/?uuid=b5b0c099-cb38-496b-8788-8bf1322d0834"]},{"id":"ITEM-2","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Савченко.","id":"ITEM-2","issued":{"date-parts":[["2018"]]},"page":"278-288","title":"Лечение болевого синдрома у онкологических больных","type":"chapter"},"uris":["http://www.mendeley.com/documents/?uuid=3021caae-334d-4ac5-97a6-7ea5587353dc","http://www.mendeley.com/documents/?uuid=6de73d5a-a89c-4880-a7be-78d25e381485"]}],"mendeley":{"formattedCitation":"[71,72]","plainTextFormattedCitation":"[71,72]","previouslyFormattedCitation":"[71,72]"},"properties":{"noteIndex":0},"schema":"https://github.com/citation-style-language/schema/raw/master/csl-citation.json"}</w:instrText>
      </w:r>
      <w:r w:rsidRPr="002F4348">
        <w:rPr>
          <w:color w:val="000000"/>
        </w:rPr>
        <w:fldChar w:fldCharType="separate"/>
      </w:r>
      <w:r w:rsidR="004126B6" w:rsidRPr="002F4348">
        <w:rPr>
          <w:noProof/>
          <w:color w:val="000000"/>
        </w:rPr>
        <w:t>[71,72]</w:t>
      </w:r>
      <w:r w:rsidRPr="002F4348">
        <w:rPr>
          <w:color w:val="000000"/>
        </w:rPr>
        <w:fldChar w:fldCharType="end"/>
      </w:r>
      <w:r w:rsidRPr="002F4348">
        <w:rPr>
          <w:color w:val="000000"/>
        </w:rPr>
        <w:t>.</w:t>
      </w:r>
    </w:p>
    <w:p w14:paraId="582011E3" w14:textId="77777777" w:rsidR="00D234C0" w:rsidRPr="002F4348" w:rsidRDefault="00D234C0" w:rsidP="00D234C0">
      <w:pPr>
        <w:ind w:left="709" w:firstLine="0"/>
        <w:contextualSpacing/>
        <w:rPr>
          <w:b/>
          <w:color w:val="000000"/>
        </w:rPr>
      </w:pPr>
      <w:r w:rsidRPr="002F4348">
        <w:rPr>
          <w:b/>
          <w:color w:val="000000"/>
        </w:rPr>
        <w:t>Уровень убедительности рекомендаций – С (уровень достоверности доказательств – 5)</w:t>
      </w:r>
    </w:p>
    <w:p w14:paraId="615B1771" w14:textId="77777777" w:rsidR="00FA47CA" w:rsidRPr="002F4348" w:rsidRDefault="00FA47CA" w:rsidP="00FA47CA">
      <w:pPr>
        <w:pStyle w:val="afd"/>
        <w:spacing w:beforeAutospacing="0" w:afterAutospacing="0" w:line="360" w:lineRule="auto"/>
        <w:contextualSpacing/>
        <w:rPr>
          <w:rStyle w:val="affb"/>
        </w:rPr>
      </w:pPr>
      <w:r w:rsidRPr="002F4348">
        <w:rPr>
          <w:rStyle w:val="affb"/>
        </w:rPr>
        <w:t>Диетотерапия</w:t>
      </w:r>
    </w:p>
    <w:p w14:paraId="7E9F2C0E" w14:textId="77777777" w:rsidR="00FA47CA" w:rsidRPr="002F4348" w:rsidRDefault="00FA47CA" w:rsidP="006F29CD">
      <w:pPr>
        <w:pStyle w:val="afd"/>
        <w:spacing w:beforeAutospacing="0" w:afterAutospacing="0" w:line="360" w:lineRule="auto"/>
        <w:contextualSpacing/>
        <w:rPr>
          <w:i/>
          <w:iCs/>
        </w:rPr>
      </w:pPr>
      <w:r w:rsidRPr="002F4348">
        <w:rPr>
          <w:rStyle w:val="affb"/>
          <w:b w:val="0"/>
          <w:bCs w:val="0"/>
          <w:i/>
          <w:iCs/>
        </w:rPr>
        <w:t>Не применяется.</w:t>
      </w:r>
    </w:p>
    <w:p w14:paraId="3B6A0567" w14:textId="470D20A4" w:rsidR="000414F6" w:rsidRPr="002F4348" w:rsidRDefault="00CB71DA" w:rsidP="00B104EF">
      <w:pPr>
        <w:pStyle w:val="CustomContentNormal"/>
      </w:pPr>
      <w:bookmarkStart w:id="48" w:name="_Toc65586399"/>
      <w:r w:rsidRPr="002F4348">
        <w:lastRenderedPageBreak/>
        <w:t xml:space="preserve">4. </w:t>
      </w:r>
      <w:bookmarkEnd w:id="36"/>
      <w:r w:rsidR="000F4137" w:rsidRPr="000F4137">
        <w:t>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bookmarkEnd w:id="48"/>
    </w:p>
    <w:p w14:paraId="6D5E250B" w14:textId="77777777" w:rsidR="006F29CD" w:rsidRPr="002F4348" w:rsidRDefault="006F29CD" w:rsidP="00B153FC">
      <w:pPr>
        <w:pStyle w:val="afe"/>
        <w:numPr>
          <w:ilvl w:val="0"/>
          <w:numId w:val="13"/>
        </w:numPr>
        <w:spacing w:before="120" w:after="120"/>
        <w:ind w:left="709" w:hanging="709"/>
      </w:pPr>
      <w:bookmarkStart w:id="49" w:name="__RefHeading___doc_5"/>
      <w:r w:rsidRPr="002F4348">
        <w:t xml:space="preserve">Всем пациентам с ЛХ на всех этапах терапии заболевания, а также после завершения лекарственного лечения </w:t>
      </w:r>
      <w:r w:rsidRPr="002F4348">
        <w:rPr>
          <w:b/>
        </w:rPr>
        <w:t>рекомендуется</w:t>
      </w:r>
      <w:r w:rsidRPr="002F4348">
        <w:t xml:space="preserve"> комплексная реабилитация, а также, при необходимости, поддерживающая терапия </w:t>
      </w:r>
      <w:r w:rsidRPr="002F4348">
        <w:fldChar w:fldCharType="begin" w:fldLock="1"/>
      </w:r>
      <w:r w:rsidR="002C6C01" w:rsidRPr="002F4348">
        <w:instrText>ADDIN CSL_CITATION {"citationItems":[{"id":"ITEM-1","itemData":{"DOI":"10.1097/PHM.0b013e31820be055","ISSN":"1537-7385","PMID":"21765268","abstract":"Patients facing hematologic malignancy and its treatment are highly vulnerable to profound physiologic, functional, and cognitive disability and often experience a significant increase in psychosocial stress. For optimal outcomes, this incredibly vulnerable oncology population will need earlier and more comprehensive involvement of rehabilitation services, including exercise strategies.Exercise interventions for those with cancer have not been well studied, particularly in those with hematologic malignancies. Of the research available to date, significant methodologic limitations exist. There is a strong need for further investigation into the effects of and guidelines for exercise interventions in this population of patients, particularly among those undergoing or having undergone hematopoietic stem cell transplantation, as this has historically been a difficult population to study because of the high morbidity and potential for medical complications. From the limited data available to date, exercise seems to be generally safe, feasible, efficacious, and capable of providing functional improvements for those with hematologic cancers.","author":[{"dropping-particle":"","family":"Paul","given":"Kelly L","non-dropping-particle":"","parse-names":false,"suffix":""}],"container-title":"American journal of physical medicine &amp; rehabilitation","id":"ITEM-1","issue":"5 Suppl 1","issued":{"date-parts":[["2011","5"]]},"page":"S88-94","title":"Rehabilitation and exercise considerations in hematologic malignancies.","type":"article-journal","volume":"90"},"uris":["http://www.mendeley.com/documents/?uuid=2b502bce-bc0a-35cf-9c9a-aab53cb19bfd"]}],"mendeley":{"formattedCitation":"[73]","plainTextFormattedCitation":"[73]","previouslyFormattedCitation":"[73]"},"properties":{"noteIndex":0},"schema":"https://github.com/citation-style-language/schema/raw/master/csl-citation.json"}</w:instrText>
      </w:r>
      <w:r w:rsidRPr="002F4348">
        <w:fldChar w:fldCharType="separate"/>
      </w:r>
      <w:r w:rsidR="004126B6" w:rsidRPr="002F4348">
        <w:rPr>
          <w:noProof/>
        </w:rPr>
        <w:t>[73]</w:t>
      </w:r>
      <w:r w:rsidRPr="002F4348">
        <w:fldChar w:fldCharType="end"/>
      </w:r>
      <w:r w:rsidRPr="002F4348">
        <w:t xml:space="preserve">. </w:t>
      </w:r>
    </w:p>
    <w:p w14:paraId="4FC01506" w14:textId="77777777" w:rsidR="006F29CD" w:rsidRPr="002F4348" w:rsidRDefault="006F29CD" w:rsidP="006F29CD">
      <w:pPr>
        <w:ind w:left="709" w:firstLine="0"/>
        <w:contextualSpacing/>
        <w:rPr>
          <w:b/>
        </w:rPr>
      </w:pPr>
      <w:r w:rsidRPr="002F4348">
        <w:rPr>
          <w:b/>
        </w:rPr>
        <w:t xml:space="preserve">Уровень убедительности рекомендаций </w:t>
      </w:r>
      <w:r w:rsidRPr="002F4348">
        <w:rPr>
          <w:b/>
          <w:lang w:val="en-US"/>
        </w:rPr>
        <w:t>C</w:t>
      </w:r>
      <w:r w:rsidRPr="002F4348">
        <w:rPr>
          <w:b/>
        </w:rPr>
        <w:t xml:space="preserve"> (уровень достоверности доказательств 5).</w:t>
      </w:r>
    </w:p>
    <w:p w14:paraId="16F3751A" w14:textId="77777777" w:rsidR="006F29CD" w:rsidRPr="002F4348" w:rsidRDefault="006F29CD" w:rsidP="006F29CD">
      <w:pPr>
        <w:ind w:left="709" w:firstLine="0"/>
        <w:contextualSpacing/>
        <w:rPr>
          <w:i/>
        </w:rPr>
      </w:pPr>
      <w:r w:rsidRPr="002F4348">
        <w:rPr>
          <w:b/>
        </w:rPr>
        <w:t>Комментарий:</w:t>
      </w:r>
      <w:r w:rsidRPr="002F4348">
        <w:t xml:space="preserve"> </w:t>
      </w:r>
      <w:r w:rsidRPr="002F4348">
        <w:rPr>
          <w:i/>
        </w:rPr>
        <w:t>Специальных методов реабилитации при ЛХ не существует. Реабилитация пациентов с ЛХ должна носить комплексный характер, охватывая не только медицинские, но и социально-психологические аспекты адаптации пациента к нормальной жизни. Такая реабилитация требует, кроме медицинской помощи, обязательного участия социальных работников и психологов. Программы реабилитации разрабатываются индивидуально, в зависимости от выявленных осложнений лекарственного лечения, сопутствующей патологии, социальных и психологических проблем.</w:t>
      </w:r>
    </w:p>
    <w:p w14:paraId="14E02BD5" w14:textId="77777777" w:rsidR="006F29CD" w:rsidRPr="002F4348" w:rsidRDefault="006F29CD" w:rsidP="006F29CD">
      <w:pPr>
        <w:ind w:left="709"/>
        <w:contextualSpacing/>
        <w:rPr>
          <w:i/>
        </w:rPr>
      </w:pPr>
      <w:r w:rsidRPr="002F4348">
        <w:rPr>
          <w:i/>
        </w:rPr>
        <w:t xml:space="preserve">Реабилитация при возникновении осложнений в течение заболевания и лечения проводится в рамках соответствующих нозологий. </w:t>
      </w:r>
    </w:p>
    <w:p w14:paraId="76FE457F" w14:textId="77777777" w:rsidR="00A43CE5" w:rsidRPr="002F4348" w:rsidRDefault="00094ED6" w:rsidP="00A43CE5">
      <w:pPr>
        <w:pStyle w:val="CustomContentNormal"/>
      </w:pPr>
      <w:bookmarkStart w:id="50" w:name="_Toc65586400"/>
      <w:r w:rsidRPr="002F4348">
        <w:t xml:space="preserve">5. </w:t>
      </w:r>
      <w:r w:rsidR="00CB71DA" w:rsidRPr="002F4348">
        <w:t>Профилактика</w:t>
      </w:r>
      <w:bookmarkEnd w:id="49"/>
      <w:r w:rsidR="00B104EF" w:rsidRPr="002F4348">
        <w:t xml:space="preserve"> и диспансерное наблюдение</w:t>
      </w:r>
      <w:r w:rsidR="00A43CE5" w:rsidRPr="002F4348">
        <w:t>,</w:t>
      </w:r>
      <w:r w:rsidR="008371F9" w:rsidRPr="002F4348">
        <w:t xml:space="preserve"> </w:t>
      </w:r>
      <w:r w:rsidR="00A43CE5" w:rsidRPr="002F4348">
        <w:t>медицинские показания и противопоказания к применению методов профилактики</w:t>
      </w:r>
      <w:bookmarkEnd w:id="50"/>
    </w:p>
    <w:p w14:paraId="13BCFF0B" w14:textId="77777777" w:rsidR="003B006C" w:rsidRPr="002F4348" w:rsidRDefault="003B006C" w:rsidP="003B006C">
      <w:pPr>
        <w:rPr>
          <w:rFonts w:eastAsia="Times New Roman"/>
          <w:szCs w:val="24"/>
        </w:rPr>
      </w:pPr>
      <w:bookmarkStart w:id="51" w:name="__RefHeading___doc_6"/>
      <w:r w:rsidRPr="002F4348">
        <w:rPr>
          <w:i/>
          <w:iCs/>
        </w:rPr>
        <w:t>Методов профилактики ЛХ в настоящее время не существует, поскольку неизвестны этиологические факторы, ведущие к развитию заболевания.</w:t>
      </w:r>
    </w:p>
    <w:p w14:paraId="5490FDAB" w14:textId="77777777" w:rsidR="003B006C" w:rsidRPr="002F4348" w:rsidRDefault="003B006C" w:rsidP="00B153FC">
      <w:pPr>
        <w:numPr>
          <w:ilvl w:val="0"/>
          <w:numId w:val="20"/>
        </w:numPr>
        <w:spacing w:before="120"/>
        <w:ind w:left="709" w:hanging="425"/>
        <w:rPr>
          <w:rFonts w:eastAsia="Times New Roman"/>
          <w:szCs w:val="24"/>
          <w:lang w:eastAsia="ru-RU"/>
        </w:rPr>
      </w:pPr>
      <w:r w:rsidRPr="002F4348">
        <w:t xml:space="preserve">Всем пациентам с ЛХ на протяжении всей жизни пациента – как в период лечения, так и вне лечения – </w:t>
      </w:r>
      <w:r w:rsidRPr="002F4348">
        <w:rPr>
          <w:b/>
        </w:rPr>
        <w:t xml:space="preserve">рекомендуется </w:t>
      </w:r>
      <w:r w:rsidRPr="002F4348">
        <w:rPr>
          <w:rFonts w:eastAsia="Times New Roman"/>
        </w:rPr>
        <w:t xml:space="preserve">соблюдать предписания </w:t>
      </w:r>
      <w:r w:rsidR="000C2323" w:rsidRPr="002F4348">
        <w:rPr>
          <w:rFonts w:eastAsia="Times New Roman"/>
        </w:rPr>
        <w:t>врача-</w:t>
      </w:r>
      <w:r w:rsidRPr="002F4348">
        <w:rPr>
          <w:rFonts w:eastAsia="Times New Roman"/>
        </w:rPr>
        <w:t xml:space="preserve">гематолога по лечению, избегать провоцирующих заболевание факторов, изменить виды и условия труда на невредные и облегченные, ограничить инсоляции и физиотерапевтические методы лечения, </w:t>
      </w:r>
      <w:r w:rsidR="003430E6" w:rsidRPr="002F4348">
        <w:rPr>
          <w:rFonts w:eastAsia="Times New Roman"/>
        </w:rPr>
        <w:t>женщинам детородного возраста в полной ремиссии заболевания придерживаться тактики планирования беременности</w:t>
      </w:r>
      <w:r w:rsidRPr="002F4348">
        <w:rPr>
          <w:rFonts w:eastAsia="Times New Roman"/>
        </w:rPr>
        <w:t xml:space="preserve"> </w:t>
      </w:r>
      <w:r w:rsidRPr="002F4348">
        <w:rPr>
          <w:rFonts w:eastAsia="Times New Roman"/>
        </w:rPr>
        <w:fldChar w:fldCharType="begin" w:fldLock="1"/>
      </w:r>
      <w:r w:rsidR="00A850F7" w:rsidRPr="002F4348">
        <w:rPr>
          <w:rFonts w:eastAsia="Times New Roman"/>
        </w:rPr>
        <w:instrText>ADDIN CSL_CITATION {"citationItems":[{"id":"ITEM-1","itemData":{"author":[{"dropping-particle":"","family":"Демина","given":"Е.А.","non-dropping-particle":"","parse-names":false,"suffix":""},{"dropping-particle":"","family":"Капланов","given":"К.Д.","non-dropping-particle":"","parse-names":false,"suffix":""},{"dropping-particle":"","family":"Мухортова","given":"О.В.","non-dropping-particle":"","parse-names":false,"suffix":""},{"dropping-particle":"","family":"Тумян","given":"Г.С.","non-dropping-particle":"","parse-names":false,"suffix":""},{"dropping-particle":"","family":"Михайлова","given":"Н.Б.","non-dropping-particle":"","parse-names":false,"suffix":""},{"dropping-particle":"","family":"Моисеева","given":"Т.Н.","non-dropping-particle":"","parse-names":false,"suffix":""},{"dropping-particle":"","family":"Виноградова","given":"Ю.Н.","non-dropping-particle":"","parse-names":false,"suffix":""},{"dropping-particle":"","family":"Ильин","given":"Н.В.","non-dropping-particle":"","parse-names":false,"suffix":""},{"dropping-particle":"","family":"Трофимова","given":"О.П.","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Савченко.","id":"ITEM-1","issued":{"date-parts":[["2018"]]},"page":"28-43","title":"Лимфома Ходжкина","type":"chapter"},"uris":["http://www.mendeley.com/documents/?uuid=0af2b11d-a9cf-4da8-a503-99a860249436","http://www.mendeley.com/documents/?uuid=708bf927-447f-43d0-8bf7-28178aa7e29e"]}],"mendeley":{"formattedCitation":"[4]","plainTextFormattedCitation":"[4]","previouslyFormattedCitation":"[4]"},"properties":{"noteIndex":0},"schema":"https://github.com/citation-style-language/schema/raw/master/csl-citation.json"}</w:instrText>
      </w:r>
      <w:r w:rsidRPr="002F4348">
        <w:rPr>
          <w:rFonts w:eastAsia="Times New Roman"/>
        </w:rPr>
        <w:fldChar w:fldCharType="separate"/>
      </w:r>
      <w:r w:rsidRPr="002F4348">
        <w:rPr>
          <w:rFonts w:eastAsia="Times New Roman"/>
          <w:noProof/>
        </w:rPr>
        <w:t>[4]</w:t>
      </w:r>
      <w:r w:rsidRPr="002F4348">
        <w:rPr>
          <w:rFonts w:eastAsia="Times New Roman"/>
        </w:rPr>
        <w:fldChar w:fldCharType="end"/>
      </w:r>
      <w:r w:rsidRPr="002F4348">
        <w:rPr>
          <w:rFonts w:eastAsia="Times New Roman"/>
        </w:rPr>
        <w:t xml:space="preserve">. </w:t>
      </w:r>
    </w:p>
    <w:p w14:paraId="59607D8F" w14:textId="77777777" w:rsidR="003B006C" w:rsidRPr="002F4348" w:rsidRDefault="003B006C" w:rsidP="003B006C">
      <w:pPr>
        <w:spacing w:before="120"/>
        <w:ind w:left="709" w:firstLine="0"/>
        <w:rPr>
          <w:rFonts w:eastAsia="Times New Roman"/>
          <w:szCs w:val="24"/>
          <w:lang w:eastAsia="ru-RU"/>
        </w:rPr>
      </w:pPr>
      <w:r w:rsidRPr="002F4348">
        <w:rPr>
          <w:rFonts w:eastAsia="Times New Roman"/>
          <w:b/>
          <w:bCs/>
          <w:szCs w:val="24"/>
          <w:lang w:eastAsia="ru-RU"/>
        </w:rPr>
        <w:t xml:space="preserve">Уровень убедительности рекомендаций – </w:t>
      </w:r>
      <w:r w:rsidRPr="002F4348">
        <w:rPr>
          <w:rFonts w:eastAsia="Times New Roman"/>
          <w:b/>
          <w:bCs/>
          <w:szCs w:val="24"/>
          <w:lang w:val="en-US" w:eastAsia="ru-RU"/>
        </w:rPr>
        <w:t>C</w:t>
      </w:r>
      <w:r w:rsidRPr="002F4348">
        <w:rPr>
          <w:rFonts w:eastAsia="Times New Roman"/>
          <w:b/>
          <w:bCs/>
          <w:szCs w:val="24"/>
          <w:lang w:eastAsia="ru-RU"/>
        </w:rPr>
        <w:t xml:space="preserve"> (уровень достоверности доказательств – 5)</w:t>
      </w:r>
      <w:r w:rsidRPr="002F4348">
        <w:rPr>
          <w:rFonts w:eastAsia="Times New Roman"/>
          <w:szCs w:val="24"/>
          <w:lang w:eastAsia="ru-RU"/>
        </w:rPr>
        <w:t>.</w:t>
      </w:r>
    </w:p>
    <w:p w14:paraId="65BDBB20" w14:textId="77777777" w:rsidR="00655C97" w:rsidRPr="002F4348" w:rsidRDefault="00F533A5" w:rsidP="00B153FC">
      <w:pPr>
        <w:pStyle w:val="afe"/>
        <w:numPr>
          <w:ilvl w:val="0"/>
          <w:numId w:val="13"/>
        </w:numPr>
        <w:spacing w:before="120"/>
        <w:ind w:left="709" w:hanging="425"/>
      </w:pPr>
      <w:r w:rsidRPr="002F4348">
        <w:lastRenderedPageBreak/>
        <w:t>Взрослым</w:t>
      </w:r>
      <w:r w:rsidR="00655C97" w:rsidRPr="002F4348">
        <w:t xml:space="preserve"> пациентам, завершивши</w:t>
      </w:r>
      <w:r w:rsidRPr="002F4348">
        <w:t>м</w:t>
      </w:r>
      <w:r w:rsidR="00655C97" w:rsidRPr="002F4348">
        <w:t xml:space="preserve"> лечение по поводу ЛХ с достижением ПР, </w:t>
      </w:r>
      <w:r w:rsidR="00655C97" w:rsidRPr="002F4348">
        <w:rPr>
          <w:b/>
          <w:bCs/>
        </w:rPr>
        <w:t xml:space="preserve">рекомендуется </w:t>
      </w:r>
      <w:r w:rsidR="00655C97" w:rsidRPr="002F4348">
        <w:t>диспансерное наблюдение</w:t>
      </w:r>
      <w:r w:rsidR="00831EAA" w:rsidRPr="002F4348">
        <w:t xml:space="preserve"> у </w:t>
      </w:r>
      <w:r w:rsidR="000C2323" w:rsidRPr="002F4348">
        <w:t>врача-</w:t>
      </w:r>
      <w:r w:rsidR="00831EAA" w:rsidRPr="002F4348">
        <w:t xml:space="preserve">онколога или </w:t>
      </w:r>
      <w:r w:rsidR="000C2323" w:rsidRPr="002F4348">
        <w:t>врача-</w:t>
      </w:r>
      <w:r w:rsidR="00831EAA" w:rsidRPr="002F4348">
        <w:t>гематолога</w:t>
      </w:r>
      <w:r w:rsidR="00655C97" w:rsidRPr="002F4348">
        <w:t xml:space="preserve"> </w:t>
      </w:r>
      <w:r w:rsidR="00441E32" w:rsidRPr="002F4348">
        <w:t xml:space="preserve">в течение первого года </w:t>
      </w:r>
      <w:r w:rsidR="00831EAA" w:rsidRPr="002F4348">
        <w:t xml:space="preserve">после завершения терапии </w:t>
      </w:r>
      <w:r w:rsidR="00441E32" w:rsidRPr="002F4348">
        <w:t>каждые 3 месяца, 2-го года – каждые 6 месяцев, в дальнейшем – ежегодно</w:t>
      </w:r>
      <w:r w:rsidR="003430E6" w:rsidRPr="002F4348">
        <w:t>, после 5 лет – каждые 2 года</w:t>
      </w:r>
      <w:r w:rsidR="00831EAA" w:rsidRPr="002F4348">
        <w:t xml:space="preserve"> </w:t>
      </w:r>
      <w:r w:rsidR="00831EAA" w:rsidRPr="002F4348">
        <w:fldChar w:fldCharType="begin" w:fldLock="1"/>
      </w:r>
      <w:r w:rsidR="00A850F7" w:rsidRPr="002F4348">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10dcee86-2303-45c9-9089-cdb3d4533aba","http://www.mendeley.com/documents/?uuid=d7eb85a2-da5e-400d-b112-7f0a5734958d"]},{"id":"ITEM-2","itemData":{"author":[{"dropping-particle":"","family":"Демина","given":"Е.А.","non-dropping-particle":"","parse-names":false,"suffix":""},{"dropping-particle":"","family":"Капланов","given":"К.Д.","non-dropping-particle":"","parse-names":false,"suffix":""},{"dropping-particle":"","family":"Мухортова","given":"О.В.","non-dropping-particle":"","parse-names":false,"suffix":""},{"dropping-particle":"","family":"Тумян","given":"Г.С.","non-dropping-particle":"","parse-names":false,"suffix":""},{"dropping-particle":"","family":"Михайлова","given":"Н.Б.","non-dropping-particle":"","parse-names":false,"suffix":""},{"dropping-particle":"","family":"Моисеева","given":"Т.Н.","non-dropping-particle":"","parse-names":false,"suffix":""},{"dropping-particle":"","family":"Виноградова","given":"Ю.Н.","non-dropping-particle":"","parse-names":false,"suffix":""},{"dropping-particle":"","family":"Ильин","given":"Н.В.","non-dropping-particle":"","parse-names":false,"suffix":""},{"dropping-particle":"","family":"Трофимова","given":"О.П.","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Савченко.","id":"ITEM-2","issued":{"date-parts":[["2018"]]},"page":"28-43","title":"Лимфома Ходжкина","type":"chapter"},"uris":["http://www.mendeley.com/documents/?uuid=0af2b11d-a9cf-4da8-a503-99a860249436","http://www.mendeley.com/documents/?uuid=708bf927-447f-43d0-8bf7-28178aa7e29e","http://www.mendeley.com/documents/?uuid=5f2ec318-cb79-4d9d-a747-d00b63bca87f"]}],"mendeley":{"formattedCitation":"[1,4]","plainTextFormattedCitation":"[1,4]","previouslyFormattedCitation":"[1,4]"},"properties":{"noteIndex":0},"schema":"https://github.com/citation-style-language/schema/raw/master/csl-citation.json"}</w:instrText>
      </w:r>
      <w:r w:rsidR="00831EAA" w:rsidRPr="002F4348">
        <w:fldChar w:fldCharType="separate"/>
      </w:r>
      <w:r w:rsidR="000C1AAB" w:rsidRPr="002F4348">
        <w:rPr>
          <w:noProof/>
        </w:rPr>
        <w:t>[1,4]</w:t>
      </w:r>
      <w:r w:rsidR="00831EAA" w:rsidRPr="002F4348">
        <w:fldChar w:fldCharType="end"/>
      </w:r>
      <w:r w:rsidR="00441E32" w:rsidRPr="002F4348">
        <w:t>.</w:t>
      </w:r>
      <w:r w:rsidR="00655C97" w:rsidRPr="002F4348">
        <w:t xml:space="preserve"> </w:t>
      </w:r>
    </w:p>
    <w:p w14:paraId="3AC0B535" w14:textId="77777777" w:rsidR="00831EAA" w:rsidRPr="002F4348" w:rsidRDefault="00441E32" w:rsidP="00831EAA">
      <w:pPr>
        <w:ind w:left="709" w:firstLine="0"/>
        <w:contextualSpacing/>
        <w:rPr>
          <w:b/>
        </w:rPr>
      </w:pPr>
      <w:r w:rsidRPr="002F4348">
        <w:rPr>
          <w:b/>
        </w:rPr>
        <w:t xml:space="preserve">Уровень убедительности рекомендаций </w:t>
      </w:r>
      <w:r w:rsidRPr="002F4348">
        <w:rPr>
          <w:b/>
          <w:lang w:val="en-US"/>
        </w:rPr>
        <w:t>C</w:t>
      </w:r>
      <w:r w:rsidRPr="002F4348">
        <w:rPr>
          <w:b/>
        </w:rPr>
        <w:t xml:space="preserve"> (уровень достоверности доказательств 5).</w:t>
      </w:r>
    </w:p>
    <w:p w14:paraId="0DF49264" w14:textId="77777777" w:rsidR="00831EAA" w:rsidRPr="002F4348" w:rsidRDefault="00441E32" w:rsidP="00831EAA">
      <w:pPr>
        <w:ind w:left="709" w:firstLine="0"/>
        <w:contextualSpacing/>
        <w:rPr>
          <w:i/>
          <w:iCs/>
        </w:rPr>
      </w:pPr>
      <w:r w:rsidRPr="002F4348">
        <w:rPr>
          <w:b/>
        </w:rPr>
        <w:t>Комментарий:</w:t>
      </w:r>
      <w:r w:rsidRPr="002F4348">
        <w:t xml:space="preserve"> </w:t>
      </w:r>
      <w:r w:rsidR="00831EAA" w:rsidRPr="002F4348">
        <w:rPr>
          <w:i/>
        </w:rPr>
        <w:t>диспа</w:t>
      </w:r>
      <w:r w:rsidR="003430E6" w:rsidRPr="002F4348">
        <w:rPr>
          <w:i/>
        </w:rPr>
        <w:t>нс</w:t>
      </w:r>
      <w:r w:rsidRPr="002F4348">
        <w:rPr>
          <w:i/>
        </w:rPr>
        <w:t>е</w:t>
      </w:r>
      <w:r w:rsidR="00831EAA" w:rsidRPr="002F4348">
        <w:rPr>
          <w:i/>
        </w:rPr>
        <w:t xml:space="preserve">рное наблюдение должно включать тщательный сбор жалоб, клинический осмотр пациента, </w:t>
      </w:r>
      <w:r w:rsidRPr="002F4348">
        <w:rPr>
          <w:i/>
          <w:iCs/>
        </w:rPr>
        <w:t>рентгенологический контроль органов грудной клетки, УЗИ брюшной полости и периферических лимфатических коллекторов</w:t>
      </w:r>
      <w:r w:rsidR="00831EAA" w:rsidRPr="002F4348">
        <w:rPr>
          <w:i/>
          <w:iCs/>
        </w:rPr>
        <w:t>.</w:t>
      </w:r>
      <w:r w:rsidR="003430E6" w:rsidRPr="002F4348">
        <w:rPr>
          <w:i/>
          <w:iCs/>
        </w:rPr>
        <w:t xml:space="preserve"> Для </w:t>
      </w:r>
      <w:r w:rsidR="00B67E79" w:rsidRPr="002F4348">
        <w:rPr>
          <w:i/>
          <w:iCs/>
        </w:rPr>
        <w:t>пациентов</w:t>
      </w:r>
      <w:r w:rsidR="003430E6" w:rsidRPr="002F4348">
        <w:rPr>
          <w:i/>
          <w:iCs/>
        </w:rPr>
        <w:t>, получавших антрациклины и блеомицин</w:t>
      </w:r>
      <w:r w:rsidR="00222F32" w:rsidRPr="002F4348">
        <w:rPr>
          <w:i/>
          <w:iCs/>
        </w:rPr>
        <w:t>**</w:t>
      </w:r>
      <w:r w:rsidR="003430E6" w:rsidRPr="002F4348">
        <w:rPr>
          <w:i/>
          <w:iCs/>
        </w:rPr>
        <w:t xml:space="preserve"> в сочетании с облучением средостения – исследование функции сердца и легких.</w:t>
      </w:r>
    </w:p>
    <w:p w14:paraId="7AA0BB86" w14:textId="77777777" w:rsidR="00F533A5" w:rsidRPr="002F4348" w:rsidRDefault="00F533A5" w:rsidP="00B153FC">
      <w:pPr>
        <w:pStyle w:val="afe"/>
        <w:numPr>
          <w:ilvl w:val="0"/>
          <w:numId w:val="13"/>
        </w:numPr>
        <w:spacing w:before="120"/>
        <w:ind w:left="709" w:hanging="425"/>
      </w:pPr>
      <w:r w:rsidRPr="002F4348">
        <w:t xml:space="preserve">Детям и подросткам, завершившим лечение по поводу ЛХ с достижением ПР, </w:t>
      </w:r>
      <w:r w:rsidRPr="002F4348">
        <w:rPr>
          <w:b/>
          <w:bCs/>
        </w:rPr>
        <w:t xml:space="preserve">рекомендуется </w:t>
      </w:r>
      <w:r w:rsidRPr="002F4348">
        <w:t xml:space="preserve">диспансерное наблюдение у </w:t>
      </w:r>
      <w:r w:rsidR="00222F32" w:rsidRPr="002F4348">
        <w:t>врача-</w:t>
      </w:r>
      <w:r w:rsidRPr="002F4348">
        <w:t xml:space="preserve">онколога или </w:t>
      </w:r>
      <w:r w:rsidR="00222F32" w:rsidRPr="002F4348">
        <w:t>врача-</w:t>
      </w:r>
      <w:r w:rsidRPr="002F4348">
        <w:t xml:space="preserve">гематолога по графику, представленному в табл. 5.1 </w:t>
      </w:r>
      <w:r w:rsidRPr="002F4348">
        <w:fldChar w:fldCharType="begin" w:fldLock="1"/>
      </w:r>
      <w:r w:rsidR="00A850F7" w:rsidRPr="002F4348">
        <w:instrText>ADDIN CSL_CITATION {"citationItems":[{"id":"ITEM-1","itemData":{"author":[{"dropping-particle":"","family":"Румянцев","given":"А.Г.","non-dropping-particle":"","parse-names":false,"suffix":""},{"dropping-particle":"","family":"Самочатова","given":"Е.В.","non-dropping-particle":"","parse-names":false,"suffix":""}],"id":"ITEM-1","issued":{"date-parts":[["2004"]]},"publisher":"Медпрактика-М, Москва","title":"Практическое руководство по детским болезням. Гематология/онкология детского возраста.","type":"book"},"uris":["http://www.mendeley.com/documents/?uuid=bf3b97ae-b724-44d8-850d-8ef0bf99a767","http://www.mendeley.com/documents/?uuid=8c7d4149-b932-4e8f-a7ab-5a5e6f9b51b5"]}],"mendeley":{"formattedCitation":"[35]","plainTextFormattedCitation":"[35]","previouslyFormattedCitation":"[35]"},"properties":{"noteIndex":0},"schema":"https://github.com/citation-style-language/schema/raw/master/csl-citation.json"}</w:instrText>
      </w:r>
      <w:r w:rsidRPr="002F4348">
        <w:fldChar w:fldCharType="separate"/>
      </w:r>
      <w:r w:rsidR="00290745" w:rsidRPr="002F4348">
        <w:rPr>
          <w:noProof/>
        </w:rPr>
        <w:t>[35]</w:t>
      </w:r>
      <w:r w:rsidRPr="002F4348">
        <w:fldChar w:fldCharType="end"/>
      </w:r>
      <w:r w:rsidRPr="002F4348">
        <w:t xml:space="preserve">. </w:t>
      </w:r>
    </w:p>
    <w:p w14:paraId="0347028A" w14:textId="77777777" w:rsidR="00F533A5" w:rsidRPr="002F4348" w:rsidRDefault="00F533A5" w:rsidP="00F533A5">
      <w:pPr>
        <w:ind w:left="709" w:firstLine="0"/>
        <w:contextualSpacing/>
        <w:rPr>
          <w:b/>
        </w:rPr>
      </w:pPr>
      <w:r w:rsidRPr="002F4348">
        <w:rPr>
          <w:b/>
        </w:rPr>
        <w:t xml:space="preserve">Уровень убедительности рекомендаций </w:t>
      </w:r>
      <w:r w:rsidRPr="002F4348">
        <w:rPr>
          <w:b/>
          <w:lang w:val="en-US"/>
        </w:rPr>
        <w:t>C</w:t>
      </w:r>
      <w:r w:rsidRPr="002F4348">
        <w:rPr>
          <w:b/>
        </w:rPr>
        <w:t xml:space="preserve"> (уровень достоверности доказательств 5).</w:t>
      </w:r>
    </w:p>
    <w:p w14:paraId="5639092D" w14:textId="77777777" w:rsidR="00F533A5" w:rsidRPr="002F4348" w:rsidRDefault="00F533A5" w:rsidP="00F533A5">
      <w:pPr>
        <w:ind w:left="709" w:firstLine="0"/>
        <w:contextualSpacing/>
        <w:rPr>
          <w:i/>
        </w:rPr>
      </w:pPr>
      <w:r w:rsidRPr="002F4348">
        <w:rPr>
          <w:b/>
        </w:rPr>
        <w:t>Комментарий:</w:t>
      </w:r>
      <w:r w:rsidRPr="002F4348">
        <w:t xml:space="preserve"> </w:t>
      </w:r>
    </w:p>
    <w:p w14:paraId="6521E129" w14:textId="77777777" w:rsidR="00F533A5" w:rsidRPr="002F4348" w:rsidRDefault="00F533A5" w:rsidP="00F533A5">
      <w:pPr>
        <w:ind w:left="709" w:firstLine="0"/>
        <w:contextualSpacing/>
        <w:jc w:val="right"/>
        <w:rPr>
          <w:i/>
        </w:rPr>
      </w:pPr>
      <w:r w:rsidRPr="002F4348">
        <w:rPr>
          <w:i/>
        </w:rPr>
        <w:t>Таблица 5.1. График диспансерного наблюдения детей после завершения терапии по поводу ЛХ (время от окончания ЛТ)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8"/>
        <w:gridCol w:w="1219"/>
        <w:gridCol w:w="1084"/>
        <w:gridCol w:w="1219"/>
        <w:gridCol w:w="1084"/>
        <w:gridCol w:w="1219"/>
        <w:gridCol w:w="1082"/>
      </w:tblGrid>
      <w:tr w:rsidR="00F533A5" w:rsidRPr="002F4348" w14:paraId="5FAF524A" w14:textId="77777777" w:rsidTr="003007A6">
        <w:tc>
          <w:tcPr>
            <w:tcW w:w="1305" w:type="pct"/>
          </w:tcPr>
          <w:p w14:paraId="5FC7BC42" w14:textId="77777777" w:rsidR="00F533A5" w:rsidRPr="002F4348" w:rsidRDefault="00F533A5" w:rsidP="00F533A5">
            <w:pPr>
              <w:ind w:left="67" w:firstLine="0"/>
              <w:contextualSpacing/>
              <w:jc w:val="left"/>
              <w:rPr>
                <w:rFonts w:cs="Arial"/>
                <w:sz w:val="22"/>
              </w:rPr>
            </w:pPr>
            <w:r w:rsidRPr="002F4348">
              <w:rPr>
                <w:rFonts w:cs="Arial"/>
                <w:sz w:val="22"/>
              </w:rPr>
              <w:t>Обследование</w:t>
            </w:r>
          </w:p>
        </w:tc>
        <w:tc>
          <w:tcPr>
            <w:tcW w:w="652" w:type="pct"/>
          </w:tcPr>
          <w:p w14:paraId="0C8E0C11" w14:textId="77777777" w:rsidR="00F533A5" w:rsidRPr="002F4348" w:rsidRDefault="00F533A5" w:rsidP="00F533A5">
            <w:pPr>
              <w:ind w:firstLine="0"/>
              <w:contextualSpacing/>
              <w:rPr>
                <w:rFonts w:cs="Arial"/>
                <w:sz w:val="22"/>
              </w:rPr>
            </w:pPr>
            <w:r w:rsidRPr="002F4348">
              <w:rPr>
                <w:rFonts w:cs="Arial"/>
                <w:sz w:val="22"/>
              </w:rPr>
              <w:t>1-ый год</w:t>
            </w:r>
          </w:p>
        </w:tc>
        <w:tc>
          <w:tcPr>
            <w:tcW w:w="580" w:type="pct"/>
          </w:tcPr>
          <w:p w14:paraId="4071A4B8" w14:textId="77777777" w:rsidR="00F533A5" w:rsidRPr="002F4348" w:rsidRDefault="00F533A5" w:rsidP="00F533A5">
            <w:pPr>
              <w:ind w:firstLine="0"/>
              <w:contextualSpacing/>
              <w:rPr>
                <w:rFonts w:cs="Arial"/>
                <w:sz w:val="22"/>
              </w:rPr>
            </w:pPr>
            <w:r w:rsidRPr="002F4348">
              <w:rPr>
                <w:rFonts w:cs="Arial"/>
                <w:sz w:val="22"/>
              </w:rPr>
              <w:t>2-ой год</w:t>
            </w:r>
          </w:p>
        </w:tc>
        <w:tc>
          <w:tcPr>
            <w:tcW w:w="652" w:type="pct"/>
          </w:tcPr>
          <w:p w14:paraId="62C8F7B1" w14:textId="77777777" w:rsidR="00F533A5" w:rsidRPr="002F4348" w:rsidRDefault="00F533A5" w:rsidP="00F533A5">
            <w:pPr>
              <w:ind w:firstLine="0"/>
              <w:contextualSpacing/>
              <w:rPr>
                <w:rFonts w:cs="Arial"/>
                <w:sz w:val="22"/>
              </w:rPr>
            </w:pPr>
            <w:r w:rsidRPr="002F4348">
              <w:rPr>
                <w:rFonts w:cs="Arial"/>
                <w:sz w:val="22"/>
              </w:rPr>
              <w:t>3-ий год</w:t>
            </w:r>
          </w:p>
        </w:tc>
        <w:tc>
          <w:tcPr>
            <w:tcW w:w="580" w:type="pct"/>
          </w:tcPr>
          <w:p w14:paraId="52D31AC4" w14:textId="77777777" w:rsidR="00F533A5" w:rsidRPr="002F4348" w:rsidRDefault="00F533A5" w:rsidP="00F533A5">
            <w:pPr>
              <w:ind w:firstLine="0"/>
              <w:contextualSpacing/>
              <w:rPr>
                <w:rFonts w:cs="Arial"/>
                <w:sz w:val="22"/>
              </w:rPr>
            </w:pPr>
            <w:r w:rsidRPr="002F4348">
              <w:rPr>
                <w:rFonts w:cs="Arial"/>
                <w:sz w:val="22"/>
              </w:rPr>
              <w:t>4-ый год</w:t>
            </w:r>
          </w:p>
        </w:tc>
        <w:tc>
          <w:tcPr>
            <w:tcW w:w="652" w:type="pct"/>
          </w:tcPr>
          <w:p w14:paraId="07B6A666" w14:textId="77777777" w:rsidR="00F533A5" w:rsidRPr="002F4348" w:rsidRDefault="00F533A5" w:rsidP="00F533A5">
            <w:pPr>
              <w:ind w:firstLine="0"/>
              <w:contextualSpacing/>
              <w:rPr>
                <w:rFonts w:cs="Arial"/>
                <w:sz w:val="22"/>
              </w:rPr>
            </w:pPr>
            <w:r w:rsidRPr="002F4348">
              <w:rPr>
                <w:rFonts w:cs="Arial"/>
                <w:sz w:val="22"/>
              </w:rPr>
              <w:t>5-ый год</w:t>
            </w:r>
          </w:p>
        </w:tc>
        <w:tc>
          <w:tcPr>
            <w:tcW w:w="580" w:type="pct"/>
          </w:tcPr>
          <w:p w14:paraId="051A5EB1" w14:textId="77777777" w:rsidR="00F533A5" w:rsidRPr="002F4348" w:rsidRDefault="00F533A5">
            <w:pPr>
              <w:ind w:firstLine="0"/>
              <w:contextualSpacing/>
              <w:rPr>
                <w:rFonts w:cs="Arial"/>
                <w:sz w:val="22"/>
              </w:rPr>
            </w:pPr>
            <w:r w:rsidRPr="002F4348">
              <w:rPr>
                <w:rFonts w:cs="Arial"/>
                <w:sz w:val="22"/>
              </w:rPr>
              <w:t>6-ой год</w:t>
            </w:r>
          </w:p>
        </w:tc>
      </w:tr>
      <w:tr w:rsidR="00F533A5" w:rsidRPr="002F4348" w14:paraId="580634D6" w14:textId="77777777" w:rsidTr="003007A6">
        <w:trPr>
          <w:cantSplit/>
        </w:trPr>
        <w:tc>
          <w:tcPr>
            <w:tcW w:w="1305" w:type="pct"/>
          </w:tcPr>
          <w:p w14:paraId="63F4BE3E" w14:textId="77777777" w:rsidR="00F533A5" w:rsidRPr="002F4348" w:rsidRDefault="00F533A5" w:rsidP="00F533A5">
            <w:pPr>
              <w:ind w:left="67" w:firstLine="0"/>
              <w:contextualSpacing/>
              <w:jc w:val="left"/>
              <w:rPr>
                <w:rFonts w:cs="Arial"/>
                <w:sz w:val="22"/>
              </w:rPr>
            </w:pPr>
            <w:r w:rsidRPr="002F4348">
              <w:rPr>
                <w:rFonts w:cs="Arial"/>
                <w:sz w:val="22"/>
              </w:rPr>
              <w:t>Клинический осмотр</w:t>
            </w:r>
          </w:p>
        </w:tc>
        <w:tc>
          <w:tcPr>
            <w:tcW w:w="652" w:type="pct"/>
          </w:tcPr>
          <w:p w14:paraId="3F3336CD" w14:textId="77777777" w:rsidR="00F533A5" w:rsidRPr="002F4348" w:rsidRDefault="00F533A5" w:rsidP="00F533A5">
            <w:pPr>
              <w:ind w:firstLine="0"/>
              <w:contextualSpacing/>
              <w:jc w:val="center"/>
              <w:rPr>
                <w:rFonts w:cs="Arial"/>
                <w:sz w:val="22"/>
              </w:rPr>
            </w:pPr>
            <w:r w:rsidRPr="002F4348">
              <w:rPr>
                <w:rFonts w:cs="Arial"/>
                <w:sz w:val="22"/>
              </w:rPr>
              <w:t>4-8х</w:t>
            </w:r>
          </w:p>
        </w:tc>
        <w:tc>
          <w:tcPr>
            <w:tcW w:w="580" w:type="pct"/>
          </w:tcPr>
          <w:p w14:paraId="2ACA2DFE" w14:textId="77777777" w:rsidR="00F533A5" w:rsidRPr="002F4348" w:rsidRDefault="00F533A5" w:rsidP="00F533A5">
            <w:pPr>
              <w:ind w:firstLine="0"/>
              <w:contextualSpacing/>
              <w:jc w:val="center"/>
              <w:rPr>
                <w:rFonts w:cs="Arial"/>
                <w:sz w:val="22"/>
              </w:rPr>
            </w:pPr>
            <w:r w:rsidRPr="002F4348">
              <w:rPr>
                <w:rFonts w:cs="Arial"/>
                <w:sz w:val="22"/>
              </w:rPr>
              <w:t>4-8х</w:t>
            </w:r>
          </w:p>
        </w:tc>
        <w:tc>
          <w:tcPr>
            <w:tcW w:w="652" w:type="pct"/>
          </w:tcPr>
          <w:p w14:paraId="295322BF" w14:textId="77777777" w:rsidR="00F533A5" w:rsidRPr="002F4348" w:rsidRDefault="00F533A5" w:rsidP="00F533A5">
            <w:pPr>
              <w:ind w:firstLine="0"/>
              <w:contextualSpacing/>
              <w:jc w:val="center"/>
              <w:rPr>
                <w:rFonts w:cs="Arial"/>
                <w:sz w:val="22"/>
              </w:rPr>
            </w:pPr>
            <w:r w:rsidRPr="002F4348">
              <w:rPr>
                <w:rFonts w:cs="Arial"/>
                <w:sz w:val="22"/>
              </w:rPr>
              <w:t>4х</w:t>
            </w:r>
          </w:p>
        </w:tc>
        <w:tc>
          <w:tcPr>
            <w:tcW w:w="580" w:type="pct"/>
          </w:tcPr>
          <w:p w14:paraId="7568B913" w14:textId="77777777" w:rsidR="00F533A5" w:rsidRPr="002F4348" w:rsidRDefault="00F533A5" w:rsidP="00F533A5">
            <w:pPr>
              <w:ind w:firstLine="0"/>
              <w:contextualSpacing/>
              <w:jc w:val="center"/>
              <w:rPr>
                <w:rFonts w:cs="Arial"/>
                <w:sz w:val="22"/>
              </w:rPr>
            </w:pPr>
            <w:r w:rsidRPr="002F4348">
              <w:rPr>
                <w:rFonts w:cs="Arial"/>
                <w:sz w:val="22"/>
              </w:rPr>
              <w:t>2х</w:t>
            </w:r>
          </w:p>
        </w:tc>
        <w:tc>
          <w:tcPr>
            <w:tcW w:w="652" w:type="pct"/>
          </w:tcPr>
          <w:p w14:paraId="4D90F6E0" w14:textId="77777777" w:rsidR="00F533A5" w:rsidRPr="002F4348" w:rsidRDefault="00F533A5" w:rsidP="00F533A5">
            <w:pPr>
              <w:ind w:firstLine="0"/>
              <w:contextualSpacing/>
              <w:jc w:val="center"/>
              <w:rPr>
                <w:rFonts w:cs="Arial"/>
                <w:sz w:val="22"/>
              </w:rPr>
            </w:pPr>
            <w:r w:rsidRPr="002F4348">
              <w:rPr>
                <w:rFonts w:cs="Arial"/>
                <w:sz w:val="22"/>
              </w:rPr>
              <w:t>2х</w:t>
            </w:r>
          </w:p>
        </w:tc>
        <w:tc>
          <w:tcPr>
            <w:tcW w:w="580" w:type="pct"/>
            <w:vMerge w:val="restart"/>
            <w:textDirection w:val="btLr"/>
          </w:tcPr>
          <w:p w14:paraId="4D5BDBA5" w14:textId="77777777" w:rsidR="00F533A5" w:rsidRPr="002F4348" w:rsidRDefault="00F533A5" w:rsidP="00F533A5">
            <w:pPr>
              <w:ind w:firstLine="0"/>
              <w:contextualSpacing/>
              <w:jc w:val="center"/>
              <w:rPr>
                <w:rFonts w:cs="Arial"/>
                <w:sz w:val="22"/>
              </w:rPr>
            </w:pPr>
            <w:r w:rsidRPr="002F4348">
              <w:rPr>
                <w:rFonts w:cs="Arial"/>
                <w:sz w:val="22"/>
              </w:rPr>
              <w:t>Индивидуально</w:t>
            </w:r>
          </w:p>
        </w:tc>
      </w:tr>
      <w:tr w:rsidR="00F533A5" w:rsidRPr="002F4348" w14:paraId="7158C477" w14:textId="77777777" w:rsidTr="003007A6">
        <w:trPr>
          <w:cantSplit/>
        </w:trPr>
        <w:tc>
          <w:tcPr>
            <w:tcW w:w="1305" w:type="pct"/>
          </w:tcPr>
          <w:p w14:paraId="0125E52A" w14:textId="77777777" w:rsidR="00F533A5" w:rsidRPr="002F4348" w:rsidRDefault="00F533A5" w:rsidP="00F533A5">
            <w:pPr>
              <w:ind w:left="67" w:firstLine="0"/>
              <w:contextualSpacing/>
              <w:jc w:val="left"/>
              <w:rPr>
                <w:rFonts w:cs="Arial"/>
                <w:sz w:val="22"/>
              </w:rPr>
            </w:pPr>
            <w:r w:rsidRPr="002F4348">
              <w:rPr>
                <w:rFonts w:cs="Arial"/>
                <w:sz w:val="22"/>
              </w:rPr>
              <w:t>ОАК</w:t>
            </w:r>
          </w:p>
        </w:tc>
        <w:tc>
          <w:tcPr>
            <w:tcW w:w="652" w:type="pct"/>
          </w:tcPr>
          <w:p w14:paraId="25D5338F" w14:textId="77777777" w:rsidR="00F533A5" w:rsidRPr="002F4348" w:rsidRDefault="00F533A5" w:rsidP="00F533A5">
            <w:pPr>
              <w:ind w:firstLine="0"/>
              <w:contextualSpacing/>
              <w:jc w:val="center"/>
              <w:rPr>
                <w:rFonts w:cs="Arial"/>
                <w:sz w:val="22"/>
              </w:rPr>
            </w:pPr>
            <w:r w:rsidRPr="002F4348">
              <w:rPr>
                <w:rFonts w:cs="Arial"/>
                <w:sz w:val="22"/>
              </w:rPr>
              <w:t>4х</w:t>
            </w:r>
          </w:p>
        </w:tc>
        <w:tc>
          <w:tcPr>
            <w:tcW w:w="580" w:type="pct"/>
          </w:tcPr>
          <w:p w14:paraId="7F27AA5F" w14:textId="77777777" w:rsidR="00F533A5" w:rsidRPr="002F4348" w:rsidRDefault="00F533A5" w:rsidP="00F533A5">
            <w:pPr>
              <w:ind w:firstLine="0"/>
              <w:contextualSpacing/>
              <w:jc w:val="center"/>
              <w:rPr>
                <w:rFonts w:cs="Arial"/>
                <w:sz w:val="22"/>
              </w:rPr>
            </w:pPr>
            <w:r w:rsidRPr="002F4348">
              <w:rPr>
                <w:rFonts w:cs="Arial"/>
                <w:sz w:val="22"/>
              </w:rPr>
              <w:t>4х</w:t>
            </w:r>
          </w:p>
        </w:tc>
        <w:tc>
          <w:tcPr>
            <w:tcW w:w="652" w:type="pct"/>
          </w:tcPr>
          <w:p w14:paraId="2FBFF769" w14:textId="77777777" w:rsidR="00F533A5" w:rsidRPr="002F4348" w:rsidRDefault="00F533A5" w:rsidP="00F533A5">
            <w:pPr>
              <w:ind w:firstLine="0"/>
              <w:contextualSpacing/>
              <w:jc w:val="center"/>
              <w:rPr>
                <w:rFonts w:cs="Arial"/>
                <w:sz w:val="22"/>
              </w:rPr>
            </w:pPr>
            <w:r w:rsidRPr="002F4348">
              <w:rPr>
                <w:rFonts w:cs="Arial"/>
                <w:sz w:val="22"/>
              </w:rPr>
              <w:t>2х</w:t>
            </w:r>
          </w:p>
        </w:tc>
        <w:tc>
          <w:tcPr>
            <w:tcW w:w="580" w:type="pct"/>
          </w:tcPr>
          <w:p w14:paraId="728340CC" w14:textId="77777777" w:rsidR="00F533A5" w:rsidRPr="002F4348" w:rsidRDefault="00F533A5" w:rsidP="00F533A5">
            <w:pPr>
              <w:ind w:firstLine="0"/>
              <w:contextualSpacing/>
              <w:jc w:val="center"/>
              <w:rPr>
                <w:rFonts w:cs="Arial"/>
                <w:sz w:val="22"/>
              </w:rPr>
            </w:pPr>
            <w:r w:rsidRPr="002F4348">
              <w:rPr>
                <w:rFonts w:cs="Arial"/>
                <w:sz w:val="22"/>
              </w:rPr>
              <w:t>2х</w:t>
            </w:r>
          </w:p>
        </w:tc>
        <w:tc>
          <w:tcPr>
            <w:tcW w:w="652" w:type="pct"/>
          </w:tcPr>
          <w:p w14:paraId="3059C128" w14:textId="77777777" w:rsidR="00F533A5" w:rsidRPr="002F4348" w:rsidRDefault="00F533A5" w:rsidP="00F533A5">
            <w:pPr>
              <w:ind w:firstLine="0"/>
              <w:contextualSpacing/>
              <w:jc w:val="center"/>
              <w:rPr>
                <w:rFonts w:cs="Arial"/>
                <w:sz w:val="22"/>
              </w:rPr>
            </w:pPr>
            <w:r w:rsidRPr="002F4348">
              <w:rPr>
                <w:rFonts w:cs="Arial"/>
                <w:sz w:val="22"/>
              </w:rPr>
              <w:t>2х</w:t>
            </w:r>
          </w:p>
        </w:tc>
        <w:tc>
          <w:tcPr>
            <w:tcW w:w="580" w:type="pct"/>
            <w:vMerge/>
          </w:tcPr>
          <w:p w14:paraId="7E53D67F" w14:textId="77777777" w:rsidR="00F533A5" w:rsidRPr="002F4348" w:rsidRDefault="00F533A5" w:rsidP="00F533A5">
            <w:pPr>
              <w:contextualSpacing/>
              <w:rPr>
                <w:rFonts w:cs="Arial"/>
                <w:sz w:val="22"/>
              </w:rPr>
            </w:pPr>
          </w:p>
        </w:tc>
      </w:tr>
      <w:tr w:rsidR="00F533A5" w:rsidRPr="002F4348" w14:paraId="512D57DE" w14:textId="77777777" w:rsidTr="003007A6">
        <w:trPr>
          <w:cantSplit/>
        </w:trPr>
        <w:tc>
          <w:tcPr>
            <w:tcW w:w="1305" w:type="pct"/>
          </w:tcPr>
          <w:p w14:paraId="7575ECA8" w14:textId="77777777" w:rsidR="00F533A5" w:rsidRPr="002F4348" w:rsidRDefault="00F533A5" w:rsidP="00F533A5">
            <w:pPr>
              <w:ind w:left="67" w:firstLine="0"/>
              <w:contextualSpacing/>
              <w:jc w:val="left"/>
              <w:rPr>
                <w:rFonts w:cs="Arial"/>
                <w:sz w:val="22"/>
              </w:rPr>
            </w:pPr>
            <w:r w:rsidRPr="002F4348">
              <w:rPr>
                <w:rFonts w:cs="Arial"/>
                <w:sz w:val="22"/>
              </w:rPr>
              <w:t>ФВД</w:t>
            </w:r>
          </w:p>
        </w:tc>
        <w:tc>
          <w:tcPr>
            <w:tcW w:w="652" w:type="pct"/>
          </w:tcPr>
          <w:p w14:paraId="4804EABB" w14:textId="77777777" w:rsidR="00F533A5" w:rsidRPr="002F4348" w:rsidRDefault="00F533A5" w:rsidP="00F533A5">
            <w:pPr>
              <w:ind w:firstLine="0"/>
              <w:contextualSpacing/>
              <w:jc w:val="center"/>
              <w:rPr>
                <w:rFonts w:cs="Arial"/>
                <w:sz w:val="22"/>
              </w:rPr>
            </w:pPr>
            <w:r w:rsidRPr="002F4348">
              <w:rPr>
                <w:rFonts w:cs="Arial"/>
                <w:sz w:val="22"/>
              </w:rPr>
              <w:t>1х</w:t>
            </w:r>
          </w:p>
        </w:tc>
        <w:tc>
          <w:tcPr>
            <w:tcW w:w="2463" w:type="pct"/>
            <w:gridSpan w:val="4"/>
          </w:tcPr>
          <w:p w14:paraId="7FADF1F4" w14:textId="77777777" w:rsidR="00F533A5" w:rsidRPr="002F4348" w:rsidRDefault="00F533A5" w:rsidP="00F533A5">
            <w:pPr>
              <w:ind w:firstLine="0"/>
              <w:contextualSpacing/>
              <w:jc w:val="center"/>
              <w:rPr>
                <w:rFonts w:cs="Arial"/>
                <w:sz w:val="22"/>
              </w:rPr>
            </w:pPr>
            <w:r w:rsidRPr="002F4348">
              <w:rPr>
                <w:rFonts w:cs="Arial"/>
                <w:sz w:val="22"/>
              </w:rPr>
              <w:t>Индивидуально</w:t>
            </w:r>
          </w:p>
        </w:tc>
        <w:tc>
          <w:tcPr>
            <w:tcW w:w="580" w:type="pct"/>
            <w:vMerge/>
          </w:tcPr>
          <w:p w14:paraId="4F281EAB" w14:textId="77777777" w:rsidR="00F533A5" w:rsidRPr="002F4348" w:rsidRDefault="00F533A5" w:rsidP="00F533A5">
            <w:pPr>
              <w:contextualSpacing/>
              <w:rPr>
                <w:rFonts w:cs="Arial"/>
                <w:sz w:val="22"/>
              </w:rPr>
            </w:pPr>
          </w:p>
        </w:tc>
      </w:tr>
      <w:tr w:rsidR="00F533A5" w:rsidRPr="002F4348" w14:paraId="23E39BEB" w14:textId="77777777" w:rsidTr="003007A6">
        <w:trPr>
          <w:cantSplit/>
        </w:trPr>
        <w:tc>
          <w:tcPr>
            <w:tcW w:w="1305" w:type="pct"/>
          </w:tcPr>
          <w:p w14:paraId="5390C001" w14:textId="77777777" w:rsidR="00F533A5" w:rsidRPr="002F4348" w:rsidRDefault="00F533A5" w:rsidP="00F533A5">
            <w:pPr>
              <w:ind w:left="67" w:firstLine="0"/>
              <w:contextualSpacing/>
              <w:jc w:val="left"/>
              <w:rPr>
                <w:rFonts w:cs="Arial"/>
                <w:sz w:val="22"/>
              </w:rPr>
            </w:pPr>
            <w:r w:rsidRPr="002F4348">
              <w:rPr>
                <w:rFonts w:cs="Arial"/>
                <w:sz w:val="22"/>
              </w:rPr>
              <w:t>УЗИ</w:t>
            </w:r>
          </w:p>
        </w:tc>
        <w:tc>
          <w:tcPr>
            <w:tcW w:w="652" w:type="pct"/>
          </w:tcPr>
          <w:p w14:paraId="7322D6D4" w14:textId="77777777" w:rsidR="00F533A5" w:rsidRPr="002F4348" w:rsidRDefault="00F533A5" w:rsidP="00F533A5">
            <w:pPr>
              <w:ind w:firstLine="0"/>
              <w:contextualSpacing/>
              <w:jc w:val="center"/>
              <w:rPr>
                <w:rFonts w:cs="Arial"/>
                <w:sz w:val="22"/>
              </w:rPr>
            </w:pPr>
            <w:r w:rsidRPr="002F4348">
              <w:rPr>
                <w:rFonts w:cs="Arial"/>
                <w:sz w:val="22"/>
              </w:rPr>
              <w:t>4х</w:t>
            </w:r>
          </w:p>
        </w:tc>
        <w:tc>
          <w:tcPr>
            <w:tcW w:w="580" w:type="pct"/>
          </w:tcPr>
          <w:p w14:paraId="1A987582" w14:textId="77777777" w:rsidR="00F533A5" w:rsidRPr="002F4348" w:rsidRDefault="00F533A5" w:rsidP="00F533A5">
            <w:pPr>
              <w:ind w:firstLine="0"/>
              <w:contextualSpacing/>
              <w:jc w:val="center"/>
              <w:rPr>
                <w:rFonts w:cs="Arial"/>
                <w:sz w:val="22"/>
              </w:rPr>
            </w:pPr>
            <w:r w:rsidRPr="002F4348">
              <w:rPr>
                <w:rFonts w:cs="Arial"/>
                <w:sz w:val="22"/>
              </w:rPr>
              <w:t>4х</w:t>
            </w:r>
          </w:p>
        </w:tc>
        <w:tc>
          <w:tcPr>
            <w:tcW w:w="652" w:type="pct"/>
          </w:tcPr>
          <w:p w14:paraId="65E0C4AE" w14:textId="77777777" w:rsidR="00F533A5" w:rsidRPr="002F4348" w:rsidRDefault="00F533A5" w:rsidP="00F533A5">
            <w:pPr>
              <w:ind w:firstLine="0"/>
              <w:contextualSpacing/>
              <w:jc w:val="center"/>
              <w:rPr>
                <w:rFonts w:cs="Arial"/>
                <w:sz w:val="22"/>
              </w:rPr>
            </w:pPr>
            <w:r w:rsidRPr="002F4348">
              <w:rPr>
                <w:rFonts w:cs="Arial"/>
                <w:sz w:val="22"/>
              </w:rPr>
              <w:t>2х</w:t>
            </w:r>
          </w:p>
        </w:tc>
        <w:tc>
          <w:tcPr>
            <w:tcW w:w="580" w:type="pct"/>
          </w:tcPr>
          <w:p w14:paraId="7AE639D9" w14:textId="77777777" w:rsidR="00F533A5" w:rsidRPr="002F4348" w:rsidRDefault="00F533A5" w:rsidP="00F533A5">
            <w:pPr>
              <w:ind w:firstLine="0"/>
              <w:contextualSpacing/>
              <w:jc w:val="center"/>
              <w:rPr>
                <w:rFonts w:cs="Arial"/>
                <w:sz w:val="22"/>
              </w:rPr>
            </w:pPr>
            <w:r w:rsidRPr="002F4348">
              <w:rPr>
                <w:rFonts w:cs="Arial"/>
                <w:sz w:val="22"/>
              </w:rPr>
              <w:t>2х</w:t>
            </w:r>
          </w:p>
        </w:tc>
        <w:tc>
          <w:tcPr>
            <w:tcW w:w="652" w:type="pct"/>
          </w:tcPr>
          <w:p w14:paraId="6D463696" w14:textId="77777777" w:rsidR="00F533A5" w:rsidRPr="002F4348" w:rsidRDefault="00F533A5" w:rsidP="00F533A5">
            <w:pPr>
              <w:ind w:firstLine="0"/>
              <w:contextualSpacing/>
              <w:jc w:val="center"/>
              <w:rPr>
                <w:rFonts w:cs="Arial"/>
                <w:sz w:val="22"/>
              </w:rPr>
            </w:pPr>
            <w:r w:rsidRPr="002F4348">
              <w:rPr>
                <w:rFonts w:cs="Arial"/>
                <w:sz w:val="22"/>
              </w:rPr>
              <w:t>2х</w:t>
            </w:r>
          </w:p>
        </w:tc>
        <w:tc>
          <w:tcPr>
            <w:tcW w:w="580" w:type="pct"/>
            <w:vMerge/>
          </w:tcPr>
          <w:p w14:paraId="39A902F7" w14:textId="77777777" w:rsidR="00F533A5" w:rsidRPr="002F4348" w:rsidRDefault="00F533A5" w:rsidP="00F533A5">
            <w:pPr>
              <w:contextualSpacing/>
              <w:rPr>
                <w:rFonts w:cs="Arial"/>
                <w:sz w:val="22"/>
              </w:rPr>
            </w:pPr>
          </w:p>
        </w:tc>
      </w:tr>
      <w:tr w:rsidR="00F533A5" w:rsidRPr="002F4348" w14:paraId="18724595" w14:textId="77777777" w:rsidTr="003007A6">
        <w:trPr>
          <w:cantSplit/>
        </w:trPr>
        <w:tc>
          <w:tcPr>
            <w:tcW w:w="1305" w:type="pct"/>
          </w:tcPr>
          <w:p w14:paraId="6DE14635" w14:textId="77777777" w:rsidR="00F533A5" w:rsidRPr="002F4348" w:rsidRDefault="00F533A5" w:rsidP="00F533A5">
            <w:pPr>
              <w:ind w:left="67" w:firstLine="0"/>
              <w:contextualSpacing/>
              <w:jc w:val="left"/>
              <w:rPr>
                <w:rFonts w:cs="Arial"/>
                <w:sz w:val="22"/>
              </w:rPr>
            </w:pPr>
            <w:r w:rsidRPr="002F4348">
              <w:rPr>
                <w:rFonts w:cs="Arial"/>
                <w:sz w:val="22"/>
              </w:rPr>
              <w:t>КТ, МРТ</w:t>
            </w:r>
          </w:p>
        </w:tc>
        <w:tc>
          <w:tcPr>
            <w:tcW w:w="652" w:type="pct"/>
          </w:tcPr>
          <w:p w14:paraId="764F562A" w14:textId="77777777" w:rsidR="00F533A5" w:rsidRPr="002F4348" w:rsidRDefault="00F533A5" w:rsidP="00F533A5">
            <w:pPr>
              <w:ind w:firstLine="0"/>
              <w:contextualSpacing/>
              <w:jc w:val="center"/>
              <w:rPr>
                <w:rFonts w:cs="Arial"/>
                <w:sz w:val="22"/>
              </w:rPr>
            </w:pPr>
            <w:r w:rsidRPr="002F4348">
              <w:rPr>
                <w:rFonts w:cs="Arial"/>
                <w:sz w:val="22"/>
              </w:rPr>
              <w:t>2х</w:t>
            </w:r>
          </w:p>
        </w:tc>
        <w:tc>
          <w:tcPr>
            <w:tcW w:w="580" w:type="pct"/>
          </w:tcPr>
          <w:p w14:paraId="5CA96D49" w14:textId="77777777" w:rsidR="00F533A5" w:rsidRPr="002F4348" w:rsidRDefault="00F533A5" w:rsidP="00F533A5">
            <w:pPr>
              <w:ind w:firstLine="0"/>
              <w:contextualSpacing/>
              <w:jc w:val="center"/>
              <w:rPr>
                <w:rFonts w:cs="Arial"/>
                <w:sz w:val="22"/>
              </w:rPr>
            </w:pPr>
            <w:r w:rsidRPr="002F4348">
              <w:rPr>
                <w:rFonts w:cs="Arial"/>
                <w:sz w:val="22"/>
              </w:rPr>
              <w:t>2-1х</w:t>
            </w:r>
          </w:p>
        </w:tc>
        <w:tc>
          <w:tcPr>
            <w:tcW w:w="652" w:type="pct"/>
          </w:tcPr>
          <w:p w14:paraId="6AD2763D" w14:textId="77777777" w:rsidR="00F533A5" w:rsidRPr="002F4348" w:rsidRDefault="00F533A5" w:rsidP="00F533A5">
            <w:pPr>
              <w:ind w:firstLine="0"/>
              <w:contextualSpacing/>
              <w:jc w:val="center"/>
              <w:rPr>
                <w:rFonts w:cs="Arial"/>
                <w:sz w:val="22"/>
              </w:rPr>
            </w:pPr>
            <w:r w:rsidRPr="002F4348">
              <w:rPr>
                <w:rFonts w:cs="Arial"/>
                <w:sz w:val="22"/>
              </w:rPr>
              <w:t>1х</w:t>
            </w:r>
          </w:p>
        </w:tc>
        <w:tc>
          <w:tcPr>
            <w:tcW w:w="580" w:type="pct"/>
          </w:tcPr>
          <w:p w14:paraId="270EF181" w14:textId="77777777" w:rsidR="00F533A5" w:rsidRPr="002F4348" w:rsidRDefault="00F533A5" w:rsidP="00F533A5">
            <w:pPr>
              <w:ind w:firstLine="0"/>
              <w:contextualSpacing/>
              <w:jc w:val="center"/>
              <w:rPr>
                <w:rFonts w:cs="Arial"/>
                <w:sz w:val="22"/>
              </w:rPr>
            </w:pPr>
            <w:r w:rsidRPr="002F4348">
              <w:rPr>
                <w:rFonts w:cs="Arial"/>
                <w:sz w:val="22"/>
              </w:rPr>
              <w:t>1х</w:t>
            </w:r>
          </w:p>
        </w:tc>
        <w:tc>
          <w:tcPr>
            <w:tcW w:w="652" w:type="pct"/>
          </w:tcPr>
          <w:p w14:paraId="0353B8B6" w14:textId="77777777" w:rsidR="00F533A5" w:rsidRPr="002F4348" w:rsidRDefault="00F533A5" w:rsidP="00F533A5">
            <w:pPr>
              <w:ind w:firstLine="0"/>
              <w:contextualSpacing/>
              <w:jc w:val="center"/>
              <w:rPr>
                <w:rFonts w:cs="Arial"/>
                <w:sz w:val="22"/>
              </w:rPr>
            </w:pPr>
            <w:r w:rsidRPr="002F4348">
              <w:rPr>
                <w:rFonts w:cs="Arial"/>
                <w:sz w:val="22"/>
              </w:rPr>
              <w:t>1х</w:t>
            </w:r>
          </w:p>
        </w:tc>
        <w:tc>
          <w:tcPr>
            <w:tcW w:w="580" w:type="pct"/>
            <w:vMerge/>
          </w:tcPr>
          <w:p w14:paraId="3DE1BF3C" w14:textId="77777777" w:rsidR="00F533A5" w:rsidRPr="002F4348" w:rsidRDefault="00F533A5" w:rsidP="00F533A5">
            <w:pPr>
              <w:contextualSpacing/>
              <w:rPr>
                <w:rFonts w:cs="Arial"/>
                <w:sz w:val="22"/>
              </w:rPr>
            </w:pPr>
          </w:p>
        </w:tc>
      </w:tr>
      <w:tr w:rsidR="00F533A5" w:rsidRPr="002F4348" w14:paraId="489A20A0" w14:textId="77777777" w:rsidTr="003007A6">
        <w:trPr>
          <w:cantSplit/>
        </w:trPr>
        <w:tc>
          <w:tcPr>
            <w:tcW w:w="1305" w:type="pct"/>
          </w:tcPr>
          <w:p w14:paraId="72E41501" w14:textId="77777777" w:rsidR="00F533A5" w:rsidRPr="002F4348" w:rsidRDefault="00F533A5" w:rsidP="00F533A5">
            <w:pPr>
              <w:ind w:left="67" w:firstLine="0"/>
              <w:contextualSpacing/>
              <w:jc w:val="left"/>
              <w:rPr>
                <w:rFonts w:cs="Arial"/>
                <w:sz w:val="22"/>
              </w:rPr>
            </w:pPr>
            <w:r w:rsidRPr="002F4348">
              <w:rPr>
                <w:rFonts w:cs="Arial"/>
                <w:sz w:val="22"/>
              </w:rPr>
              <w:t>Гормоны щитовидной железы</w:t>
            </w:r>
          </w:p>
        </w:tc>
        <w:tc>
          <w:tcPr>
            <w:tcW w:w="652" w:type="pct"/>
          </w:tcPr>
          <w:p w14:paraId="3306CA30" w14:textId="77777777" w:rsidR="00F533A5" w:rsidRPr="002F4348" w:rsidRDefault="00F533A5" w:rsidP="00F533A5">
            <w:pPr>
              <w:ind w:firstLine="0"/>
              <w:contextualSpacing/>
              <w:jc w:val="center"/>
              <w:rPr>
                <w:rFonts w:cs="Arial"/>
                <w:sz w:val="22"/>
              </w:rPr>
            </w:pPr>
            <w:r w:rsidRPr="002F4348">
              <w:rPr>
                <w:rFonts w:cs="Arial"/>
                <w:sz w:val="22"/>
              </w:rPr>
              <w:t>1х</w:t>
            </w:r>
          </w:p>
        </w:tc>
        <w:tc>
          <w:tcPr>
            <w:tcW w:w="580" w:type="pct"/>
          </w:tcPr>
          <w:p w14:paraId="268772F9" w14:textId="77777777" w:rsidR="00F533A5" w:rsidRPr="002F4348" w:rsidRDefault="00F533A5" w:rsidP="00F533A5">
            <w:pPr>
              <w:ind w:firstLine="0"/>
              <w:contextualSpacing/>
              <w:jc w:val="center"/>
              <w:rPr>
                <w:rFonts w:cs="Arial"/>
                <w:sz w:val="22"/>
              </w:rPr>
            </w:pPr>
            <w:r w:rsidRPr="002F4348">
              <w:rPr>
                <w:rFonts w:cs="Arial"/>
                <w:sz w:val="22"/>
              </w:rPr>
              <w:t>1х</w:t>
            </w:r>
          </w:p>
        </w:tc>
        <w:tc>
          <w:tcPr>
            <w:tcW w:w="652" w:type="pct"/>
          </w:tcPr>
          <w:p w14:paraId="355284A3" w14:textId="77777777" w:rsidR="00F533A5" w:rsidRPr="002F4348" w:rsidRDefault="00F533A5" w:rsidP="00F533A5">
            <w:pPr>
              <w:ind w:firstLine="0"/>
              <w:contextualSpacing/>
              <w:jc w:val="center"/>
              <w:rPr>
                <w:rFonts w:cs="Arial"/>
                <w:sz w:val="22"/>
              </w:rPr>
            </w:pPr>
            <w:r w:rsidRPr="002F4348">
              <w:rPr>
                <w:rFonts w:cs="Arial"/>
                <w:sz w:val="22"/>
              </w:rPr>
              <w:t>1х</w:t>
            </w:r>
          </w:p>
        </w:tc>
        <w:tc>
          <w:tcPr>
            <w:tcW w:w="580" w:type="pct"/>
          </w:tcPr>
          <w:p w14:paraId="39B73450" w14:textId="77777777" w:rsidR="00F533A5" w:rsidRPr="002F4348" w:rsidRDefault="00F533A5" w:rsidP="00F533A5">
            <w:pPr>
              <w:ind w:firstLine="0"/>
              <w:contextualSpacing/>
              <w:jc w:val="center"/>
              <w:rPr>
                <w:rFonts w:cs="Arial"/>
                <w:sz w:val="22"/>
              </w:rPr>
            </w:pPr>
            <w:r w:rsidRPr="002F4348">
              <w:rPr>
                <w:rFonts w:cs="Arial"/>
                <w:sz w:val="22"/>
              </w:rPr>
              <w:t>1х</w:t>
            </w:r>
          </w:p>
        </w:tc>
        <w:tc>
          <w:tcPr>
            <w:tcW w:w="652" w:type="pct"/>
          </w:tcPr>
          <w:p w14:paraId="445EA566" w14:textId="77777777" w:rsidR="00F533A5" w:rsidRPr="002F4348" w:rsidRDefault="00F533A5" w:rsidP="00F533A5">
            <w:pPr>
              <w:ind w:firstLine="0"/>
              <w:contextualSpacing/>
              <w:jc w:val="center"/>
              <w:rPr>
                <w:rFonts w:cs="Arial"/>
                <w:sz w:val="22"/>
              </w:rPr>
            </w:pPr>
            <w:r w:rsidRPr="002F4348">
              <w:rPr>
                <w:rFonts w:cs="Arial"/>
                <w:sz w:val="22"/>
              </w:rPr>
              <w:t>1х</w:t>
            </w:r>
          </w:p>
        </w:tc>
        <w:tc>
          <w:tcPr>
            <w:tcW w:w="580" w:type="pct"/>
            <w:vMerge/>
          </w:tcPr>
          <w:p w14:paraId="7DFC06B4" w14:textId="77777777" w:rsidR="00F533A5" w:rsidRPr="002F4348" w:rsidRDefault="00F533A5" w:rsidP="00F533A5">
            <w:pPr>
              <w:contextualSpacing/>
              <w:rPr>
                <w:rFonts w:cs="Arial"/>
                <w:sz w:val="22"/>
              </w:rPr>
            </w:pPr>
          </w:p>
        </w:tc>
      </w:tr>
      <w:tr w:rsidR="00F533A5" w:rsidRPr="002F4348" w14:paraId="109DC9AB" w14:textId="77777777" w:rsidTr="003007A6">
        <w:trPr>
          <w:cantSplit/>
        </w:trPr>
        <w:tc>
          <w:tcPr>
            <w:tcW w:w="1305" w:type="pct"/>
          </w:tcPr>
          <w:p w14:paraId="5BE27011" w14:textId="77777777" w:rsidR="00F533A5" w:rsidRPr="002F4348" w:rsidRDefault="00F533A5" w:rsidP="00F533A5">
            <w:pPr>
              <w:ind w:left="67" w:firstLine="0"/>
              <w:contextualSpacing/>
              <w:jc w:val="left"/>
              <w:rPr>
                <w:rFonts w:cs="Arial"/>
                <w:sz w:val="22"/>
              </w:rPr>
            </w:pPr>
            <w:r w:rsidRPr="002F4348">
              <w:rPr>
                <w:rFonts w:cs="Arial"/>
                <w:sz w:val="22"/>
              </w:rPr>
              <w:t>ЭКГ, ЭХО-КГ</w:t>
            </w:r>
          </w:p>
        </w:tc>
        <w:tc>
          <w:tcPr>
            <w:tcW w:w="652" w:type="pct"/>
          </w:tcPr>
          <w:p w14:paraId="18F22321" w14:textId="77777777" w:rsidR="00F533A5" w:rsidRPr="002F4348" w:rsidRDefault="00F533A5" w:rsidP="00F533A5">
            <w:pPr>
              <w:contextualSpacing/>
              <w:rPr>
                <w:rFonts w:cs="Arial"/>
                <w:sz w:val="22"/>
              </w:rPr>
            </w:pPr>
          </w:p>
        </w:tc>
        <w:tc>
          <w:tcPr>
            <w:tcW w:w="580" w:type="pct"/>
          </w:tcPr>
          <w:p w14:paraId="1C3A727F" w14:textId="77777777" w:rsidR="00F533A5" w:rsidRPr="002F4348" w:rsidRDefault="00F533A5" w:rsidP="00F533A5">
            <w:pPr>
              <w:ind w:firstLine="0"/>
              <w:contextualSpacing/>
              <w:jc w:val="center"/>
              <w:rPr>
                <w:rFonts w:cs="Arial"/>
                <w:sz w:val="22"/>
              </w:rPr>
            </w:pPr>
            <w:r w:rsidRPr="002F4348">
              <w:rPr>
                <w:rFonts w:cs="Arial"/>
                <w:sz w:val="22"/>
              </w:rPr>
              <w:t>1х</w:t>
            </w:r>
          </w:p>
        </w:tc>
        <w:tc>
          <w:tcPr>
            <w:tcW w:w="652" w:type="pct"/>
          </w:tcPr>
          <w:p w14:paraId="09472CE2" w14:textId="77777777" w:rsidR="00F533A5" w:rsidRPr="002F4348" w:rsidRDefault="00F533A5" w:rsidP="00F533A5">
            <w:pPr>
              <w:ind w:firstLine="0"/>
              <w:contextualSpacing/>
              <w:jc w:val="center"/>
              <w:rPr>
                <w:rFonts w:cs="Arial"/>
                <w:sz w:val="22"/>
              </w:rPr>
            </w:pPr>
          </w:p>
        </w:tc>
        <w:tc>
          <w:tcPr>
            <w:tcW w:w="580" w:type="pct"/>
          </w:tcPr>
          <w:p w14:paraId="0A919D2A" w14:textId="77777777" w:rsidR="00F533A5" w:rsidRPr="002F4348" w:rsidRDefault="00F533A5" w:rsidP="00F533A5">
            <w:pPr>
              <w:ind w:firstLine="0"/>
              <w:contextualSpacing/>
              <w:jc w:val="center"/>
              <w:rPr>
                <w:rFonts w:cs="Arial"/>
                <w:sz w:val="22"/>
              </w:rPr>
            </w:pPr>
          </w:p>
        </w:tc>
        <w:tc>
          <w:tcPr>
            <w:tcW w:w="652" w:type="pct"/>
          </w:tcPr>
          <w:p w14:paraId="0F471D8A" w14:textId="77777777" w:rsidR="00F533A5" w:rsidRPr="002F4348" w:rsidRDefault="00F533A5" w:rsidP="00F533A5">
            <w:pPr>
              <w:ind w:firstLine="0"/>
              <w:contextualSpacing/>
              <w:jc w:val="center"/>
              <w:rPr>
                <w:rFonts w:cs="Arial"/>
                <w:sz w:val="22"/>
              </w:rPr>
            </w:pPr>
            <w:r w:rsidRPr="002F4348">
              <w:rPr>
                <w:rFonts w:cs="Arial"/>
                <w:sz w:val="22"/>
              </w:rPr>
              <w:t>1х</w:t>
            </w:r>
          </w:p>
        </w:tc>
        <w:tc>
          <w:tcPr>
            <w:tcW w:w="580" w:type="pct"/>
            <w:vMerge/>
          </w:tcPr>
          <w:p w14:paraId="36450356" w14:textId="77777777" w:rsidR="00F533A5" w:rsidRPr="002F4348" w:rsidRDefault="00F533A5" w:rsidP="00F533A5">
            <w:pPr>
              <w:contextualSpacing/>
              <w:rPr>
                <w:rFonts w:cs="Arial"/>
                <w:sz w:val="22"/>
              </w:rPr>
            </w:pPr>
          </w:p>
        </w:tc>
      </w:tr>
    </w:tbl>
    <w:p w14:paraId="104E6D48" w14:textId="77777777" w:rsidR="00F533A5" w:rsidRPr="002F4348" w:rsidRDefault="00F533A5" w:rsidP="00F533A5">
      <w:pPr>
        <w:ind w:left="709" w:firstLine="0"/>
        <w:contextualSpacing/>
        <w:jc w:val="right"/>
        <w:rPr>
          <w:i/>
          <w:iCs/>
        </w:rPr>
      </w:pPr>
    </w:p>
    <w:p w14:paraId="2BC31390" w14:textId="77777777" w:rsidR="00831EAA" w:rsidRPr="002F4348" w:rsidRDefault="003430E6" w:rsidP="00B153FC">
      <w:pPr>
        <w:pStyle w:val="afe"/>
        <w:numPr>
          <w:ilvl w:val="0"/>
          <w:numId w:val="13"/>
        </w:numPr>
        <w:spacing w:before="120"/>
        <w:ind w:left="709" w:hanging="425"/>
      </w:pPr>
      <w:r w:rsidRPr="002F4348">
        <w:t>Всем п</w:t>
      </w:r>
      <w:r w:rsidR="00831EAA" w:rsidRPr="002F4348">
        <w:t xml:space="preserve">ациентам, достигшим ПР после лечения по поводу ЛХ, включавшего лучевую терапию на область шейно-надключичных лимфатических коллекторов, </w:t>
      </w:r>
      <w:r w:rsidR="00831EAA" w:rsidRPr="002F4348">
        <w:rPr>
          <w:b/>
          <w:bCs/>
        </w:rPr>
        <w:t xml:space="preserve">рекомендуется </w:t>
      </w:r>
      <w:r w:rsidR="00831EAA" w:rsidRPr="002F4348">
        <w:t xml:space="preserve">ежегодно в течение 5 лет </w:t>
      </w:r>
      <w:r w:rsidR="00831EAA" w:rsidRPr="002F4348">
        <w:rPr>
          <w:rFonts w:eastAsia="Times New Roman"/>
          <w:szCs w:val="24"/>
          <w:lang w:eastAsia="ru-RU"/>
        </w:rPr>
        <w:t xml:space="preserve">исследование функции щитовидной железы (уровень тиреостимулирующего гормона) и при необходимости – консультация </w:t>
      </w:r>
      <w:r w:rsidR="00222F32" w:rsidRPr="002F4348">
        <w:rPr>
          <w:rFonts w:eastAsia="Times New Roman"/>
          <w:szCs w:val="24"/>
          <w:lang w:eastAsia="ru-RU"/>
        </w:rPr>
        <w:t>врача-</w:t>
      </w:r>
      <w:r w:rsidR="00831EAA" w:rsidRPr="002F4348">
        <w:rPr>
          <w:rFonts w:eastAsia="Times New Roman"/>
          <w:szCs w:val="24"/>
          <w:lang w:eastAsia="ru-RU"/>
        </w:rPr>
        <w:t xml:space="preserve">эндокринолога </w:t>
      </w:r>
      <w:r w:rsidR="00831EAA" w:rsidRPr="002F4348">
        <w:fldChar w:fldCharType="begin" w:fldLock="1"/>
      </w:r>
      <w:r w:rsidR="00A850F7" w:rsidRPr="002F4348">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10dcee86-2303-45c9-9089-cdb3d4533aba","http://www.mendeley.com/documents/?uuid=d7eb85a2-da5e-400d-b112-7f0a5734958d"]},{"id":"ITEM-2","itemData":{"author":[{"dropping-particle":"","family":"Демина","given":"Е.А.","non-dropping-particle":"","parse-names":false,"suffix":""},{"dropping-particle":"","family":"Капланов","given":"К.Д.","non-dropping-particle":"","parse-names":false,"suffix":""},{"dropping-particle":"","family":"Мухортова","given":"О.В.","non-dropping-particle":"","parse-names":false,"suffix":""},{"dropping-particle":"","family":"Тумян","given":"Г.С.","non-dropping-particle":"","parse-names":false,"suffix":""},{"dropping-particle":"","family":"Михайлова","given":"Н.Б.","non-dropping-particle":"","parse-names":false,"suffix":""},{"dropping-particle":"","family":"Моисеева","given":"Т.Н.","non-dropping-particle":"","parse-names":false,"suffix":""},{"dropping-particle":"","family":"Виноградова","given":"Ю.Н.","non-dropping-particle":"","parse-names":false,"suffix":""},{"dropping-particle":"","family":"Ильин","given":"Н.В.","non-dropping-particle":"","parse-names":false,"suffix":""},{"dropping-particle":"","family":"Трофимова","given":"О.П.","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Савченко.","id":"ITEM-2","issued":{"date-parts":[["2018"]]},"page":"28-43","title":"Лимфома Ходжкина","type":"chapter"},"uris":["http://www.mendeley.com/documents/?uuid=0af2b11d-a9cf-4da8-a503-99a860249436","http://www.mendeley.com/documents/?uuid=708bf927-447f-43d0-8bf7-28178aa7e29e","http://www.mendeley.com/documents/?uuid=43c9099f-33ed-4ddf-b7e9-8e42e368acef"]}],"mendeley":{"formattedCitation":"[1,4]","plainTextFormattedCitation":"[1,4]","previouslyFormattedCitation":"[1,4]"},"properties":{"noteIndex":0},"schema":"https://github.com/citation-style-language/schema/raw/master/csl-citation.json"}</w:instrText>
      </w:r>
      <w:r w:rsidR="00831EAA" w:rsidRPr="002F4348">
        <w:fldChar w:fldCharType="separate"/>
      </w:r>
      <w:r w:rsidR="000C1AAB" w:rsidRPr="002F4348">
        <w:rPr>
          <w:noProof/>
        </w:rPr>
        <w:t>[1,4]</w:t>
      </w:r>
      <w:r w:rsidR="00831EAA" w:rsidRPr="002F4348">
        <w:fldChar w:fldCharType="end"/>
      </w:r>
      <w:r w:rsidR="00831EAA" w:rsidRPr="002F4348">
        <w:t xml:space="preserve">. </w:t>
      </w:r>
    </w:p>
    <w:p w14:paraId="75D23BD3" w14:textId="77777777" w:rsidR="00441E32" w:rsidRPr="002F4348" w:rsidRDefault="00831EAA" w:rsidP="00831EAA">
      <w:pPr>
        <w:ind w:left="709" w:firstLine="0"/>
        <w:contextualSpacing/>
        <w:rPr>
          <w:b/>
        </w:rPr>
      </w:pPr>
      <w:r w:rsidRPr="002F4348">
        <w:rPr>
          <w:b/>
        </w:rPr>
        <w:lastRenderedPageBreak/>
        <w:t xml:space="preserve">Уровень убедительности рекомендаций </w:t>
      </w:r>
      <w:r w:rsidRPr="002F4348">
        <w:rPr>
          <w:b/>
          <w:lang w:val="en-US"/>
        </w:rPr>
        <w:t>C</w:t>
      </w:r>
      <w:r w:rsidRPr="002F4348">
        <w:rPr>
          <w:b/>
        </w:rPr>
        <w:t xml:space="preserve"> (уровень достоверности доказательств 5).</w:t>
      </w:r>
    </w:p>
    <w:p w14:paraId="1D4DF68E" w14:textId="77777777" w:rsidR="00F82F9F" w:rsidRPr="002F4348" w:rsidRDefault="00F82F9F" w:rsidP="00B153FC">
      <w:pPr>
        <w:pStyle w:val="afe"/>
        <w:numPr>
          <w:ilvl w:val="0"/>
          <w:numId w:val="13"/>
        </w:numPr>
        <w:spacing w:before="120"/>
        <w:ind w:left="709" w:hanging="425"/>
      </w:pPr>
      <w:r w:rsidRPr="002F4348">
        <w:t xml:space="preserve">Детям и подросткам, завершившим лечение по поводу ЛХ с достижением ПР, </w:t>
      </w:r>
      <w:r w:rsidRPr="002F4348">
        <w:rPr>
          <w:b/>
          <w:bCs/>
        </w:rPr>
        <w:t xml:space="preserve">рекомендуется </w:t>
      </w:r>
      <w:r w:rsidRPr="002F4348">
        <w:t>скрининг поздних эффектов терапии (см. табл. 5.2), скрини</w:t>
      </w:r>
      <w:r w:rsidR="00222F32" w:rsidRPr="002F4348">
        <w:t>н</w:t>
      </w:r>
      <w:r w:rsidRPr="002F4348">
        <w:t>г органных осложнений проведенного лечения (см. табл. 5.3) и скрини</w:t>
      </w:r>
      <w:r w:rsidR="00222F32" w:rsidRPr="002F4348">
        <w:t>н</w:t>
      </w:r>
      <w:r w:rsidRPr="002F4348">
        <w:t xml:space="preserve">г по кардиотоксическим эффектам (в зависимости от проведенного лечения и возраста пациента – см. табл. 5.4) </w:t>
      </w:r>
      <w:r w:rsidRPr="002F4348">
        <w:fldChar w:fldCharType="begin" w:fldLock="1"/>
      </w:r>
      <w:r w:rsidR="00A850F7" w:rsidRPr="002F4348">
        <w:instrText>ADDIN CSL_CITATION {"citationItems":[{"id":"ITEM-1","itemData":{"author":[{"dropping-particle":"","family":"Румянцев","given":"А.Г.","non-dropping-particle":"","parse-names":false,"suffix":""},{"dropping-particle":"","family":"Самочатова","given":"Е.В.","non-dropping-particle":"","parse-names":false,"suffix":""}],"id":"ITEM-1","issued":{"date-parts":[["2004"]]},"publisher":"Медпрактика-М, Москва","title":"Практическое руководство по детским болезням. Гематология/онкология детского возраста.","type":"book"},"uris":["http://www.mendeley.com/documents/?uuid=bf3b97ae-b724-44d8-850d-8ef0bf99a767","http://www.mendeley.com/documents/?uuid=8c7d4149-b932-4e8f-a7ab-5a5e6f9b51b5"]}],"mendeley":{"formattedCitation":"[35]","plainTextFormattedCitation":"[35]","previouslyFormattedCitation":"[35]"},"properties":{"noteIndex":0},"schema":"https://github.com/citation-style-language/schema/raw/master/csl-citation.json"}</w:instrText>
      </w:r>
      <w:r w:rsidRPr="002F4348">
        <w:fldChar w:fldCharType="separate"/>
      </w:r>
      <w:r w:rsidR="00290745" w:rsidRPr="002F4348">
        <w:rPr>
          <w:noProof/>
        </w:rPr>
        <w:t>[35]</w:t>
      </w:r>
      <w:r w:rsidRPr="002F4348">
        <w:fldChar w:fldCharType="end"/>
      </w:r>
      <w:r w:rsidRPr="002F4348">
        <w:t xml:space="preserve">. </w:t>
      </w:r>
    </w:p>
    <w:p w14:paraId="52F86473" w14:textId="77777777" w:rsidR="00F82F9F" w:rsidRPr="002F4348" w:rsidRDefault="00F82F9F" w:rsidP="00F82F9F">
      <w:pPr>
        <w:ind w:left="709" w:firstLine="0"/>
        <w:contextualSpacing/>
        <w:rPr>
          <w:b/>
        </w:rPr>
      </w:pPr>
      <w:r w:rsidRPr="002F4348">
        <w:rPr>
          <w:b/>
        </w:rPr>
        <w:t xml:space="preserve">Уровень убедительности рекомендаций </w:t>
      </w:r>
      <w:r w:rsidRPr="002F4348">
        <w:rPr>
          <w:b/>
          <w:lang w:val="en-US"/>
        </w:rPr>
        <w:t>C</w:t>
      </w:r>
      <w:r w:rsidRPr="002F4348">
        <w:rPr>
          <w:b/>
        </w:rPr>
        <w:t xml:space="preserve"> (уровень достоверности доказательств 5).</w:t>
      </w:r>
    </w:p>
    <w:p w14:paraId="1E3278D4" w14:textId="77777777" w:rsidR="00F82F9F" w:rsidRPr="002F4348" w:rsidRDefault="00F82F9F" w:rsidP="00F82F9F">
      <w:pPr>
        <w:ind w:left="709" w:firstLine="0"/>
        <w:contextualSpacing/>
        <w:rPr>
          <w:i/>
        </w:rPr>
      </w:pPr>
      <w:r w:rsidRPr="002F4348">
        <w:rPr>
          <w:b/>
        </w:rPr>
        <w:t>Комментарий:</w:t>
      </w:r>
      <w:r w:rsidRPr="002F4348">
        <w:t xml:space="preserve"> </w:t>
      </w:r>
    </w:p>
    <w:p w14:paraId="115229D2" w14:textId="77777777" w:rsidR="00F82F9F" w:rsidRPr="002F4348" w:rsidRDefault="00F82F9F" w:rsidP="00F82F9F">
      <w:pPr>
        <w:ind w:left="709" w:firstLine="0"/>
        <w:contextualSpacing/>
        <w:jc w:val="right"/>
        <w:rPr>
          <w:i/>
        </w:rPr>
      </w:pPr>
      <w:r w:rsidRPr="002F4348">
        <w:rPr>
          <w:i/>
        </w:rPr>
        <w:t>Таблица 5.2. Скрини</w:t>
      </w:r>
      <w:r w:rsidR="00222F32" w:rsidRPr="002F4348">
        <w:rPr>
          <w:i/>
        </w:rPr>
        <w:t>н</w:t>
      </w:r>
      <w:r w:rsidRPr="002F4348">
        <w:rPr>
          <w:i/>
        </w:rPr>
        <w:t>г поздних эффектов противолимфомной терапии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338"/>
        <w:gridCol w:w="7007"/>
      </w:tblGrid>
      <w:tr w:rsidR="008762E9" w:rsidRPr="002F4348" w14:paraId="2074B9D4" w14:textId="77777777" w:rsidTr="003007A6">
        <w:trPr>
          <w:trHeight w:val="1970"/>
        </w:trPr>
        <w:tc>
          <w:tcPr>
            <w:tcW w:w="1251" w:type="pct"/>
            <w:tcMar>
              <w:top w:w="72" w:type="dxa"/>
              <w:left w:w="144" w:type="dxa"/>
              <w:bottom w:w="72" w:type="dxa"/>
              <w:right w:w="144" w:type="dxa"/>
            </w:tcMar>
          </w:tcPr>
          <w:p w14:paraId="181B17BC" w14:textId="77777777" w:rsidR="00F82F9F" w:rsidRPr="002F4348" w:rsidRDefault="00F82F9F" w:rsidP="00F82F9F">
            <w:pPr>
              <w:spacing w:line="240" w:lineRule="auto"/>
              <w:ind w:left="63" w:hanging="6"/>
              <w:contextualSpacing/>
              <w:jc w:val="left"/>
              <w:rPr>
                <w:rFonts w:cs="Arial"/>
                <w:sz w:val="22"/>
              </w:rPr>
            </w:pPr>
            <w:r w:rsidRPr="002F4348">
              <w:rPr>
                <w:rFonts w:cs="Arial"/>
                <w:sz w:val="22"/>
              </w:rPr>
              <w:t>1 год от окончания терапии (каждые 3 мес.)</w:t>
            </w:r>
          </w:p>
        </w:tc>
        <w:tc>
          <w:tcPr>
            <w:tcW w:w="3749" w:type="pct"/>
            <w:tcMar>
              <w:top w:w="72" w:type="dxa"/>
              <w:left w:w="144" w:type="dxa"/>
              <w:bottom w:w="72" w:type="dxa"/>
              <w:right w:w="144" w:type="dxa"/>
            </w:tcMar>
          </w:tcPr>
          <w:p w14:paraId="626A54D9" w14:textId="77777777" w:rsidR="00F82F9F" w:rsidRPr="002F4348" w:rsidRDefault="00F82F9F" w:rsidP="00B153FC">
            <w:pPr>
              <w:numPr>
                <w:ilvl w:val="0"/>
                <w:numId w:val="40"/>
              </w:numPr>
              <w:spacing w:line="240" w:lineRule="auto"/>
              <w:ind w:left="276" w:hanging="284"/>
              <w:contextualSpacing/>
              <w:rPr>
                <w:rFonts w:cs="Arial"/>
                <w:sz w:val="22"/>
              </w:rPr>
            </w:pPr>
            <w:r w:rsidRPr="002F4348">
              <w:rPr>
                <w:rFonts w:cs="Arial"/>
                <w:sz w:val="22"/>
              </w:rPr>
              <w:t>осмотр (рост/вес, объем яичек, признаки полового созревания)</w:t>
            </w:r>
          </w:p>
          <w:p w14:paraId="2445E299" w14:textId="77777777" w:rsidR="00F82F9F" w:rsidRPr="002F4348" w:rsidRDefault="00F82F9F" w:rsidP="00B153FC">
            <w:pPr>
              <w:numPr>
                <w:ilvl w:val="0"/>
                <w:numId w:val="40"/>
              </w:numPr>
              <w:spacing w:line="240" w:lineRule="auto"/>
              <w:ind w:left="276" w:hanging="284"/>
              <w:contextualSpacing/>
              <w:rPr>
                <w:rFonts w:cs="Arial"/>
                <w:sz w:val="22"/>
              </w:rPr>
            </w:pPr>
            <w:r w:rsidRPr="002F4348">
              <w:rPr>
                <w:rFonts w:cs="Arial"/>
                <w:sz w:val="22"/>
              </w:rPr>
              <w:t>ежемесячное самообследование молочных желез</w:t>
            </w:r>
          </w:p>
          <w:p w14:paraId="2812D24A" w14:textId="77777777" w:rsidR="00F82F9F" w:rsidRPr="002F4348" w:rsidRDefault="00F82F9F" w:rsidP="00B153FC">
            <w:pPr>
              <w:numPr>
                <w:ilvl w:val="0"/>
                <w:numId w:val="40"/>
              </w:numPr>
              <w:spacing w:line="240" w:lineRule="auto"/>
              <w:ind w:left="276" w:hanging="284"/>
              <w:contextualSpacing/>
              <w:rPr>
                <w:rFonts w:cs="Arial"/>
                <w:sz w:val="22"/>
              </w:rPr>
            </w:pPr>
            <w:r w:rsidRPr="002F4348">
              <w:rPr>
                <w:rFonts w:cs="Arial"/>
                <w:sz w:val="22"/>
              </w:rPr>
              <w:t>общий анализ крови + СОЭ</w:t>
            </w:r>
          </w:p>
          <w:p w14:paraId="751A1807" w14:textId="77777777" w:rsidR="00F82F9F" w:rsidRPr="002F4348" w:rsidRDefault="00F82F9F" w:rsidP="00B153FC">
            <w:pPr>
              <w:numPr>
                <w:ilvl w:val="0"/>
                <w:numId w:val="40"/>
              </w:numPr>
              <w:spacing w:line="240" w:lineRule="auto"/>
              <w:ind w:left="276" w:hanging="284"/>
              <w:contextualSpacing/>
              <w:rPr>
                <w:rFonts w:cs="Arial"/>
                <w:sz w:val="22"/>
              </w:rPr>
            </w:pPr>
            <w:r w:rsidRPr="002F4348">
              <w:rPr>
                <w:rFonts w:cs="Arial"/>
                <w:sz w:val="22"/>
              </w:rPr>
              <w:t xml:space="preserve">Рентгенография органов грудной клетки/КТ шеи/грудной клетки для </w:t>
            </w:r>
            <w:r w:rsidRPr="002F4348">
              <w:rPr>
                <w:rFonts w:cs="Arial"/>
                <w:sz w:val="22"/>
                <w:lang w:val="en-US"/>
              </w:rPr>
              <w:t>I</w:t>
            </w:r>
            <w:r w:rsidRPr="002F4348">
              <w:rPr>
                <w:rFonts w:cs="Arial"/>
                <w:sz w:val="22"/>
              </w:rPr>
              <w:t>-</w:t>
            </w:r>
            <w:r w:rsidRPr="002F4348">
              <w:rPr>
                <w:rFonts w:cs="Arial"/>
                <w:sz w:val="22"/>
                <w:lang w:val="en-US"/>
              </w:rPr>
              <w:t>II</w:t>
            </w:r>
            <w:r w:rsidRPr="002F4348">
              <w:rPr>
                <w:rFonts w:cs="Arial"/>
                <w:sz w:val="22"/>
              </w:rPr>
              <w:t xml:space="preserve"> + КТ живота/таза для </w:t>
            </w:r>
            <w:r w:rsidRPr="002F4348">
              <w:rPr>
                <w:rFonts w:cs="Arial"/>
                <w:sz w:val="22"/>
                <w:lang w:val="en-US"/>
              </w:rPr>
              <w:t>III</w:t>
            </w:r>
            <w:r w:rsidRPr="002F4348">
              <w:rPr>
                <w:rFonts w:cs="Arial"/>
                <w:sz w:val="22"/>
              </w:rPr>
              <w:t>-</w:t>
            </w:r>
            <w:r w:rsidRPr="002F4348">
              <w:rPr>
                <w:rFonts w:cs="Arial"/>
                <w:sz w:val="22"/>
                <w:lang w:val="en-US"/>
              </w:rPr>
              <w:t>IV</w:t>
            </w:r>
            <w:r w:rsidRPr="002F4348">
              <w:rPr>
                <w:rFonts w:cs="Arial"/>
                <w:sz w:val="22"/>
              </w:rPr>
              <w:t xml:space="preserve"> стадий</w:t>
            </w:r>
          </w:p>
          <w:p w14:paraId="0518B8C3" w14:textId="77777777" w:rsidR="00F82F9F" w:rsidRPr="002F4348" w:rsidRDefault="00F82F9F" w:rsidP="00B153FC">
            <w:pPr>
              <w:numPr>
                <w:ilvl w:val="0"/>
                <w:numId w:val="40"/>
              </w:numPr>
              <w:spacing w:line="240" w:lineRule="auto"/>
              <w:ind w:left="276" w:hanging="284"/>
              <w:contextualSpacing/>
              <w:rPr>
                <w:rFonts w:cs="Arial"/>
                <w:sz w:val="22"/>
              </w:rPr>
            </w:pPr>
            <w:r w:rsidRPr="002F4348">
              <w:rPr>
                <w:rFonts w:cs="Arial"/>
                <w:sz w:val="22"/>
              </w:rPr>
              <w:t xml:space="preserve">ЭКГ/эхоКГ/Холтер, </w:t>
            </w:r>
            <w:r w:rsidRPr="002F4348">
              <w:rPr>
                <w:rFonts w:cs="Arial"/>
                <w:sz w:val="22"/>
                <w:lang w:val="en-US"/>
              </w:rPr>
              <w:t>LH</w:t>
            </w:r>
            <w:r w:rsidRPr="002F4348">
              <w:rPr>
                <w:rFonts w:cs="Arial"/>
                <w:sz w:val="22"/>
              </w:rPr>
              <w:t xml:space="preserve">, </w:t>
            </w:r>
            <w:r w:rsidRPr="002F4348">
              <w:rPr>
                <w:rFonts w:cs="Arial"/>
                <w:sz w:val="22"/>
                <w:lang w:val="en-US"/>
              </w:rPr>
              <w:t>FSH</w:t>
            </w:r>
            <w:r w:rsidRPr="002F4348">
              <w:rPr>
                <w:rFonts w:cs="Arial"/>
                <w:sz w:val="22"/>
              </w:rPr>
              <w:t>, эстрогены/тестостерон, гормоны щит. железы</w:t>
            </w:r>
          </w:p>
        </w:tc>
      </w:tr>
      <w:tr w:rsidR="008762E9" w:rsidRPr="002F4348" w14:paraId="454F642B" w14:textId="77777777" w:rsidTr="003007A6">
        <w:trPr>
          <w:trHeight w:val="849"/>
        </w:trPr>
        <w:tc>
          <w:tcPr>
            <w:tcW w:w="1251" w:type="pct"/>
            <w:tcMar>
              <w:top w:w="72" w:type="dxa"/>
              <w:left w:w="144" w:type="dxa"/>
              <w:bottom w:w="72" w:type="dxa"/>
              <w:right w:w="144" w:type="dxa"/>
            </w:tcMar>
          </w:tcPr>
          <w:p w14:paraId="3909BB34" w14:textId="77777777" w:rsidR="00F82F9F" w:rsidRPr="002F4348" w:rsidRDefault="00F82F9F" w:rsidP="00F82F9F">
            <w:pPr>
              <w:spacing w:line="240" w:lineRule="auto"/>
              <w:ind w:left="63" w:hanging="6"/>
              <w:contextualSpacing/>
              <w:jc w:val="left"/>
              <w:rPr>
                <w:rFonts w:cs="Arial"/>
                <w:sz w:val="22"/>
              </w:rPr>
            </w:pPr>
            <w:r w:rsidRPr="002F4348">
              <w:rPr>
                <w:rFonts w:cs="Arial"/>
                <w:sz w:val="22"/>
              </w:rPr>
              <w:t>2 год от окончания терапии</w:t>
            </w:r>
          </w:p>
        </w:tc>
        <w:tc>
          <w:tcPr>
            <w:tcW w:w="3749" w:type="pct"/>
            <w:tcMar>
              <w:top w:w="72" w:type="dxa"/>
              <w:left w:w="144" w:type="dxa"/>
              <w:bottom w:w="72" w:type="dxa"/>
              <w:right w:w="144" w:type="dxa"/>
            </w:tcMar>
          </w:tcPr>
          <w:p w14:paraId="455F94C7" w14:textId="77777777" w:rsidR="00F82F9F" w:rsidRPr="002F4348" w:rsidRDefault="00F82F9F" w:rsidP="00B153FC">
            <w:pPr>
              <w:numPr>
                <w:ilvl w:val="0"/>
                <w:numId w:val="41"/>
              </w:numPr>
              <w:spacing w:line="240" w:lineRule="auto"/>
              <w:ind w:left="276" w:hanging="284"/>
              <w:contextualSpacing/>
              <w:rPr>
                <w:rFonts w:cs="Arial"/>
                <w:sz w:val="22"/>
              </w:rPr>
            </w:pPr>
            <w:r w:rsidRPr="002F4348">
              <w:rPr>
                <w:rFonts w:cs="Arial"/>
                <w:sz w:val="22"/>
              </w:rPr>
              <w:t>осмотр, анализы и КТ каждые 6 мес.</w:t>
            </w:r>
          </w:p>
          <w:p w14:paraId="7EDB7CCB" w14:textId="77777777" w:rsidR="00F82F9F" w:rsidRPr="002F4348" w:rsidRDefault="00F82F9F" w:rsidP="00B153FC">
            <w:pPr>
              <w:numPr>
                <w:ilvl w:val="0"/>
                <w:numId w:val="41"/>
              </w:numPr>
              <w:spacing w:line="240" w:lineRule="auto"/>
              <w:ind w:left="276" w:hanging="284"/>
              <w:contextualSpacing/>
              <w:rPr>
                <w:rFonts w:cs="Arial"/>
                <w:sz w:val="22"/>
              </w:rPr>
            </w:pPr>
            <w:r w:rsidRPr="002F4348">
              <w:rPr>
                <w:rFonts w:cs="Arial"/>
                <w:sz w:val="22"/>
              </w:rPr>
              <w:t xml:space="preserve">ежегодно – </w:t>
            </w:r>
            <w:r w:rsidR="002554A5" w:rsidRPr="002F4348">
              <w:rPr>
                <w:rFonts w:cs="Arial"/>
                <w:sz w:val="22"/>
              </w:rPr>
              <w:t>исследование молочных желез</w:t>
            </w:r>
            <w:r w:rsidRPr="002F4348">
              <w:rPr>
                <w:rFonts w:cs="Arial"/>
                <w:sz w:val="22"/>
              </w:rPr>
              <w:t>, оценка функции сердца, легких, щитовидной железы и гормонального статуса</w:t>
            </w:r>
          </w:p>
        </w:tc>
      </w:tr>
      <w:tr w:rsidR="008762E9" w:rsidRPr="002F4348" w14:paraId="1CC637F3" w14:textId="77777777" w:rsidTr="003007A6">
        <w:trPr>
          <w:trHeight w:val="836"/>
        </w:trPr>
        <w:tc>
          <w:tcPr>
            <w:tcW w:w="1251" w:type="pct"/>
            <w:tcMar>
              <w:top w:w="72" w:type="dxa"/>
              <w:left w:w="144" w:type="dxa"/>
              <w:bottom w:w="72" w:type="dxa"/>
              <w:right w:w="144" w:type="dxa"/>
            </w:tcMar>
          </w:tcPr>
          <w:p w14:paraId="11C2992B" w14:textId="77777777" w:rsidR="00F82F9F" w:rsidRPr="002F4348" w:rsidRDefault="00F82F9F" w:rsidP="00F82F9F">
            <w:pPr>
              <w:spacing w:line="240" w:lineRule="auto"/>
              <w:ind w:left="63" w:hanging="6"/>
              <w:contextualSpacing/>
              <w:jc w:val="left"/>
              <w:rPr>
                <w:rFonts w:cs="Arial"/>
                <w:sz w:val="22"/>
              </w:rPr>
            </w:pPr>
            <w:r w:rsidRPr="002F4348">
              <w:rPr>
                <w:rFonts w:cs="Arial"/>
                <w:sz w:val="22"/>
              </w:rPr>
              <w:t>3 год от окончания терапии</w:t>
            </w:r>
          </w:p>
        </w:tc>
        <w:tc>
          <w:tcPr>
            <w:tcW w:w="3749" w:type="pct"/>
            <w:tcMar>
              <w:top w:w="72" w:type="dxa"/>
              <w:left w:w="144" w:type="dxa"/>
              <w:bottom w:w="72" w:type="dxa"/>
              <w:right w:w="144" w:type="dxa"/>
            </w:tcMar>
          </w:tcPr>
          <w:p w14:paraId="717ACE66" w14:textId="77777777" w:rsidR="00F82F9F" w:rsidRPr="002F4348" w:rsidRDefault="00F82F9F" w:rsidP="00B153FC">
            <w:pPr>
              <w:numPr>
                <w:ilvl w:val="0"/>
                <w:numId w:val="42"/>
              </w:numPr>
              <w:spacing w:line="240" w:lineRule="auto"/>
              <w:ind w:left="276" w:hanging="284"/>
              <w:contextualSpacing/>
              <w:rPr>
                <w:rFonts w:cs="Arial"/>
                <w:sz w:val="22"/>
              </w:rPr>
            </w:pPr>
            <w:r w:rsidRPr="002F4348">
              <w:rPr>
                <w:rFonts w:cs="Arial"/>
                <w:sz w:val="22"/>
              </w:rPr>
              <w:t>осмотр, анализы и КТ каждые 12 мес.</w:t>
            </w:r>
          </w:p>
          <w:p w14:paraId="0F4D1FB6" w14:textId="77777777" w:rsidR="00F82F9F" w:rsidRPr="002F4348" w:rsidRDefault="00F82F9F" w:rsidP="00B153FC">
            <w:pPr>
              <w:numPr>
                <w:ilvl w:val="0"/>
                <w:numId w:val="42"/>
              </w:numPr>
              <w:spacing w:line="240" w:lineRule="auto"/>
              <w:ind w:left="276" w:hanging="284"/>
              <w:contextualSpacing/>
              <w:rPr>
                <w:rFonts w:cs="Arial"/>
                <w:sz w:val="22"/>
              </w:rPr>
            </w:pPr>
            <w:r w:rsidRPr="002F4348">
              <w:rPr>
                <w:rFonts w:cs="Arial"/>
                <w:sz w:val="22"/>
              </w:rPr>
              <w:t xml:space="preserve">ежегодно – </w:t>
            </w:r>
            <w:r w:rsidR="002554A5" w:rsidRPr="002F4348">
              <w:rPr>
                <w:rFonts w:cs="Arial"/>
                <w:sz w:val="22"/>
              </w:rPr>
              <w:t>исследование молочных желез</w:t>
            </w:r>
            <w:r w:rsidRPr="002F4348">
              <w:rPr>
                <w:rFonts w:cs="Arial"/>
                <w:sz w:val="22"/>
              </w:rPr>
              <w:t>, оценка функции сердца, легких, щитовидной железы и гормонального статуса</w:t>
            </w:r>
          </w:p>
        </w:tc>
      </w:tr>
      <w:tr w:rsidR="008762E9" w:rsidRPr="002F4348" w14:paraId="0A2FBE13" w14:textId="77777777" w:rsidTr="003007A6">
        <w:trPr>
          <w:trHeight w:val="553"/>
        </w:trPr>
        <w:tc>
          <w:tcPr>
            <w:tcW w:w="1251" w:type="pct"/>
            <w:tcMar>
              <w:top w:w="72" w:type="dxa"/>
              <w:left w:w="144" w:type="dxa"/>
              <w:bottom w:w="72" w:type="dxa"/>
              <w:right w:w="144" w:type="dxa"/>
            </w:tcMar>
          </w:tcPr>
          <w:p w14:paraId="7B5D2CE8" w14:textId="77777777" w:rsidR="00F82F9F" w:rsidRPr="002F4348" w:rsidRDefault="00F82F9F" w:rsidP="00F82F9F">
            <w:pPr>
              <w:spacing w:line="240" w:lineRule="auto"/>
              <w:ind w:left="63" w:hanging="6"/>
              <w:contextualSpacing/>
              <w:jc w:val="left"/>
              <w:rPr>
                <w:rFonts w:cs="Arial"/>
                <w:sz w:val="22"/>
              </w:rPr>
            </w:pPr>
            <w:r w:rsidRPr="002F4348">
              <w:rPr>
                <w:rFonts w:cs="Arial"/>
                <w:sz w:val="22"/>
              </w:rPr>
              <w:t>4 год от окончания терапии</w:t>
            </w:r>
          </w:p>
        </w:tc>
        <w:tc>
          <w:tcPr>
            <w:tcW w:w="3749" w:type="pct"/>
            <w:tcMar>
              <w:top w:w="72" w:type="dxa"/>
              <w:left w:w="144" w:type="dxa"/>
              <w:bottom w:w="72" w:type="dxa"/>
              <w:right w:w="144" w:type="dxa"/>
            </w:tcMar>
          </w:tcPr>
          <w:p w14:paraId="4090B2FF" w14:textId="77777777" w:rsidR="00F82F9F" w:rsidRPr="002F4348" w:rsidRDefault="00F82F9F" w:rsidP="00F82F9F">
            <w:pPr>
              <w:ind w:left="276" w:hanging="284"/>
              <w:contextualSpacing/>
              <w:rPr>
                <w:rFonts w:cs="Arial"/>
                <w:sz w:val="22"/>
              </w:rPr>
            </w:pPr>
            <w:r w:rsidRPr="002F4348">
              <w:rPr>
                <w:rFonts w:cs="Arial"/>
                <w:sz w:val="22"/>
              </w:rPr>
              <w:t>То же</w:t>
            </w:r>
          </w:p>
        </w:tc>
      </w:tr>
      <w:tr w:rsidR="008762E9" w:rsidRPr="002F4348" w14:paraId="5BA839B7" w14:textId="77777777" w:rsidTr="003007A6">
        <w:trPr>
          <w:trHeight w:val="548"/>
        </w:trPr>
        <w:tc>
          <w:tcPr>
            <w:tcW w:w="1251" w:type="pct"/>
            <w:tcMar>
              <w:top w:w="72" w:type="dxa"/>
              <w:left w:w="144" w:type="dxa"/>
              <w:bottom w:w="72" w:type="dxa"/>
              <w:right w:w="144" w:type="dxa"/>
            </w:tcMar>
          </w:tcPr>
          <w:p w14:paraId="649BA5C8" w14:textId="77777777" w:rsidR="00F82F9F" w:rsidRPr="002F4348" w:rsidRDefault="00F82F9F" w:rsidP="00F82F9F">
            <w:pPr>
              <w:spacing w:line="240" w:lineRule="auto"/>
              <w:ind w:left="63" w:hanging="6"/>
              <w:contextualSpacing/>
              <w:jc w:val="left"/>
              <w:rPr>
                <w:rFonts w:cs="Arial"/>
                <w:sz w:val="22"/>
              </w:rPr>
            </w:pPr>
            <w:r w:rsidRPr="002F4348">
              <w:rPr>
                <w:rFonts w:cs="Arial"/>
                <w:sz w:val="22"/>
              </w:rPr>
              <w:t>5 год от окончания терапии</w:t>
            </w:r>
          </w:p>
        </w:tc>
        <w:tc>
          <w:tcPr>
            <w:tcW w:w="3749" w:type="pct"/>
            <w:tcMar>
              <w:top w:w="72" w:type="dxa"/>
              <w:left w:w="144" w:type="dxa"/>
              <w:bottom w:w="72" w:type="dxa"/>
              <w:right w:w="144" w:type="dxa"/>
            </w:tcMar>
          </w:tcPr>
          <w:p w14:paraId="4233E36A" w14:textId="77777777" w:rsidR="00F82F9F" w:rsidRPr="002F4348" w:rsidRDefault="00F82F9F" w:rsidP="00F82F9F">
            <w:pPr>
              <w:ind w:left="276" w:hanging="284"/>
              <w:contextualSpacing/>
              <w:rPr>
                <w:rFonts w:cs="Arial"/>
                <w:sz w:val="22"/>
              </w:rPr>
            </w:pPr>
            <w:r w:rsidRPr="002F4348">
              <w:rPr>
                <w:rFonts w:cs="Arial"/>
                <w:sz w:val="22"/>
              </w:rPr>
              <w:t>Переход под наблюдение в катамнестическую службу</w:t>
            </w:r>
          </w:p>
        </w:tc>
      </w:tr>
    </w:tbl>
    <w:p w14:paraId="5FBB0402" w14:textId="77777777" w:rsidR="00F82F9F" w:rsidRPr="002F4348" w:rsidRDefault="00F82F9F" w:rsidP="00F82F9F">
      <w:pPr>
        <w:ind w:left="709" w:firstLine="0"/>
        <w:contextualSpacing/>
        <w:jc w:val="right"/>
        <w:rPr>
          <w:i/>
        </w:rPr>
      </w:pPr>
    </w:p>
    <w:p w14:paraId="2495BB76" w14:textId="77777777" w:rsidR="00F82F9F" w:rsidRPr="002F4348" w:rsidRDefault="00F82F9F" w:rsidP="00F82F9F">
      <w:pPr>
        <w:ind w:left="709" w:firstLine="0"/>
        <w:contextualSpacing/>
        <w:jc w:val="right"/>
        <w:rPr>
          <w:i/>
        </w:rPr>
      </w:pPr>
      <w:r w:rsidRPr="002F4348">
        <w:rPr>
          <w:i/>
        </w:rPr>
        <w:t>Таблица 5</w:t>
      </w:r>
      <w:r w:rsidR="008762E9" w:rsidRPr="002F4348">
        <w:rPr>
          <w:i/>
        </w:rPr>
        <w:t>.3</w:t>
      </w:r>
      <w:r w:rsidRPr="002F4348">
        <w:rPr>
          <w:i/>
        </w:rPr>
        <w:t>. Скрининг органных осложнений проведенного лечения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336"/>
        <w:gridCol w:w="7009"/>
      </w:tblGrid>
      <w:tr w:rsidR="008762E9" w:rsidRPr="002F4348" w14:paraId="473B1172" w14:textId="77777777" w:rsidTr="003007A6">
        <w:trPr>
          <w:trHeight w:val="863"/>
        </w:trPr>
        <w:tc>
          <w:tcPr>
            <w:tcW w:w="1250" w:type="pct"/>
            <w:tcMar>
              <w:top w:w="72" w:type="dxa"/>
              <w:left w:w="144" w:type="dxa"/>
              <w:bottom w:w="72" w:type="dxa"/>
              <w:right w:w="144" w:type="dxa"/>
            </w:tcMar>
          </w:tcPr>
          <w:p w14:paraId="1F456593" w14:textId="77777777" w:rsidR="008762E9" w:rsidRPr="002F4348" w:rsidRDefault="008762E9" w:rsidP="008762E9">
            <w:pPr>
              <w:ind w:firstLine="0"/>
              <w:contextualSpacing/>
              <w:jc w:val="left"/>
              <w:rPr>
                <w:rFonts w:cs="Arial"/>
                <w:sz w:val="22"/>
              </w:rPr>
            </w:pPr>
            <w:r w:rsidRPr="002F4348">
              <w:rPr>
                <w:rFonts w:cs="Arial"/>
                <w:sz w:val="22"/>
              </w:rPr>
              <w:t>Рак молочной железы</w:t>
            </w:r>
          </w:p>
        </w:tc>
        <w:tc>
          <w:tcPr>
            <w:tcW w:w="3750" w:type="pct"/>
            <w:tcMar>
              <w:top w:w="72" w:type="dxa"/>
              <w:left w:w="144" w:type="dxa"/>
              <w:bottom w:w="72" w:type="dxa"/>
              <w:right w:w="144" w:type="dxa"/>
            </w:tcMar>
          </w:tcPr>
          <w:p w14:paraId="44568BB9" w14:textId="77777777" w:rsidR="008762E9" w:rsidRPr="002F4348" w:rsidRDefault="008762E9" w:rsidP="008762E9">
            <w:pPr>
              <w:ind w:firstLine="0"/>
              <w:contextualSpacing/>
              <w:jc w:val="left"/>
              <w:rPr>
                <w:rFonts w:cs="Arial"/>
                <w:sz w:val="22"/>
              </w:rPr>
            </w:pPr>
            <w:r w:rsidRPr="002F4348">
              <w:rPr>
                <w:rFonts w:cs="Arial"/>
                <w:sz w:val="22"/>
              </w:rPr>
              <w:t>Самообследование ежемесячно после пубертата + клиническое обследование ежегодно, начиная с пубертата. Маммография через 8 лет после лучевой терапии или с 25-летнего возраста.</w:t>
            </w:r>
          </w:p>
        </w:tc>
      </w:tr>
      <w:tr w:rsidR="008762E9" w:rsidRPr="002F4348" w14:paraId="35EF7437" w14:textId="77777777" w:rsidTr="003007A6">
        <w:trPr>
          <w:trHeight w:val="834"/>
        </w:trPr>
        <w:tc>
          <w:tcPr>
            <w:tcW w:w="1250" w:type="pct"/>
            <w:tcMar>
              <w:top w:w="72" w:type="dxa"/>
              <w:left w:w="144" w:type="dxa"/>
              <w:bottom w:w="72" w:type="dxa"/>
              <w:right w:w="144" w:type="dxa"/>
            </w:tcMar>
          </w:tcPr>
          <w:p w14:paraId="40192911" w14:textId="77777777" w:rsidR="008762E9" w:rsidRPr="002F4348" w:rsidRDefault="008762E9" w:rsidP="008762E9">
            <w:pPr>
              <w:ind w:firstLine="0"/>
              <w:contextualSpacing/>
              <w:jc w:val="left"/>
              <w:rPr>
                <w:rFonts w:cs="Arial"/>
                <w:sz w:val="22"/>
              </w:rPr>
            </w:pPr>
            <w:r w:rsidRPr="002F4348">
              <w:rPr>
                <w:rFonts w:cs="Arial"/>
                <w:sz w:val="22"/>
              </w:rPr>
              <w:t>Болезни щитовидной железы</w:t>
            </w:r>
          </w:p>
        </w:tc>
        <w:tc>
          <w:tcPr>
            <w:tcW w:w="3750" w:type="pct"/>
            <w:tcMar>
              <w:top w:w="72" w:type="dxa"/>
              <w:left w:w="144" w:type="dxa"/>
              <w:bottom w:w="72" w:type="dxa"/>
              <w:right w:w="144" w:type="dxa"/>
            </w:tcMar>
          </w:tcPr>
          <w:p w14:paraId="2049452C" w14:textId="77777777" w:rsidR="008762E9" w:rsidRPr="002F4348" w:rsidRDefault="008762E9" w:rsidP="008762E9">
            <w:pPr>
              <w:ind w:firstLine="0"/>
              <w:contextualSpacing/>
              <w:jc w:val="left"/>
              <w:rPr>
                <w:rFonts w:cs="Arial"/>
                <w:sz w:val="22"/>
              </w:rPr>
            </w:pPr>
            <w:r w:rsidRPr="002F4348">
              <w:rPr>
                <w:rFonts w:cs="Arial"/>
                <w:sz w:val="22"/>
              </w:rPr>
              <w:t>Пациенты после облучения 25</w:t>
            </w:r>
            <w:r w:rsidR="000171A1" w:rsidRPr="002F4348">
              <w:rPr>
                <w:rFonts w:cs="Arial"/>
                <w:sz w:val="22"/>
              </w:rPr>
              <w:t xml:space="preserve"> </w:t>
            </w:r>
            <w:r w:rsidRPr="002F4348">
              <w:rPr>
                <w:rFonts w:cs="Arial"/>
                <w:sz w:val="22"/>
              </w:rPr>
              <w:t>Гр и выше - группа риска развития узлов и рака, после уже 20</w:t>
            </w:r>
            <w:r w:rsidR="000171A1" w:rsidRPr="002F4348">
              <w:rPr>
                <w:rFonts w:cs="Arial"/>
                <w:sz w:val="22"/>
              </w:rPr>
              <w:t xml:space="preserve"> </w:t>
            </w:r>
            <w:r w:rsidRPr="002F4348">
              <w:rPr>
                <w:rFonts w:cs="Arial"/>
                <w:sz w:val="22"/>
              </w:rPr>
              <w:t>Гр – риск гипотиреоза. Ежегодный осмотр и ТТГ/Т4 для всех.</w:t>
            </w:r>
          </w:p>
        </w:tc>
      </w:tr>
      <w:tr w:rsidR="008762E9" w:rsidRPr="002F4348" w14:paraId="36D78A2F" w14:textId="77777777" w:rsidTr="003007A6">
        <w:trPr>
          <w:trHeight w:val="833"/>
        </w:trPr>
        <w:tc>
          <w:tcPr>
            <w:tcW w:w="1250" w:type="pct"/>
            <w:tcMar>
              <w:top w:w="72" w:type="dxa"/>
              <w:left w:w="144" w:type="dxa"/>
              <w:bottom w:w="72" w:type="dxa"/>
              <w:right w:w="144" w:type="dxa"/>
            </w:tcMar>
          </w:tcPr>
          <w:p w14:paraId="3E4A238B" w14:textId="77777777" w:rsidR="008762E9" w:rsidRPr="002F4348" w:rsidRDefault="008762E9" w:rsidP="008762E9">
            <w:pPr>
              <w:ind w:firstLine="0"/>
              <w:contextualSpacing/>
              <w:jc w:val="left"/>
              <w:rPr>
                <w:rFonts w:cs="Arial"/>
                <w:sz w:val="22"/>
              </w:rPr>
            </w:pPr>
            <w:r w:rsidRPr="002F4348">
              <w:rPr>
                <w:rFonts w:cs="Arial"/>
                <w:sz w:val="22"/>
              </w:rPr>
              <w:lastRenderedPageBreak/>
              <w:t>Болезни легких</w:t>
            </w:r>
          </w:p>
        </w:tc>
        <w:tc>
          <w:tcPr>
            <w:tcW w:w="3750" w:type="pct"/>
            <w:tcMar>
              <w:top w:w="72" w:type="dxa"/>
              <w:left w:w="144" w:type="dxa"/>
              <w:bottom w:w="72" w:type="dxa"/>
              <w:right w:w="144" w:type="dxa"/>
            </w:tcMar>
          </w:tcPr>
          <w:p w14:paraId="3D4262DD" w14:textId="77777777" w:rsidR="008762E9" w:rsidRPr="002F4348" w:rsidRDefault="008762E9" w:rsidP="008762E9">
            <w:pPr>
              <w:ind w:firstLine="0"/>
              <w:contextualSpacing/>
              <w:jc w:val="left"/>
              <w:rPr>
                <w:rFonts w:cs="Arial"/>
                <w:sz w:val="22"/>
              </w:rPr>
            </w:pPr>
            <w:r w:rsidRPr="002F4348">
              <w:rPr>
                <w:rFonts w:cs="Arial"/>
                <w:sz w:val="22"/>
              </w:rPr>
              <w:t>Пациенты после облучения гр. клетки и блеомицина</w:t>
            </w:r>
            <w:r w:rsidR="00222F32" w:rsidRPr="002F4348">
              <w:rPr>
                <w:rFonts w:cs="Arial"/>
                <w:sz w:val="22"/>
              </w:rPr>
              <w:t>**</w:t>
            </w:r>
            <w:r w:rsidRPr="002F4348">
              <w:rPr>
                <w:rFonts w:cs="Arial"/>
                <w:sz w:val="22"/>
              </w:rPr>
              <w:t xml:space="preserve"> – группа риска. Рентгенография органов грудной клетки и ФВД базово, перед любым наркозом и по потребности (симптоматика)</w:t>
            </w:r>
          </w:p>
        </w:tc>
      </w:tr>
      <w:tr w:rsidR="008762E9" w:rsidRPr="002F4348" w14:paraId="6552E0BB" w14:textId="77777777" w:rsidTr="003007A6">
        <w:trPr>
          <w:trHeight w:val="861"/>
        </w:trPr>
        <w:tc>
          <w:tcPr>
            <w:tcW w:w="1250" w:type="pct"/>
            <w:tcMar>
              <w:top w:w="72" w:type="dxa"/>
              <w:left w:w="144" w:type="dxa"/>
              <w:bottom w:w="72" w:type="dxa"/>
              <w:right w:w="144" w:type="dxa"/>
            </w:tcMar>
          </w:tcPr>
          <w:p w14:paraId="05DCF502" w14:textId="77777777" w:rsidR="008762E9" w:rsidRPr="002F4348" w:rsidRDefault="008762E9" w:rsidP="008762E9">
            <w:pPr>
              <w:ind w:firstLine="0"/>
              <w:contextualSpacing/>
              <w:jc w:val="left"/>
              <w:rPr>
                <w:rFonts w:cs="Arial"/>
                <w:sz w:val="22"/>
              </w:rPr>
            </w:pPr>
            <w:r w:rsidRPr="002F4348">
              <w:rPr>
                <w:rFonts w:cs="Arial"/>
                <w:sz w:val="22"/>
              </w:rPr>
              <w:t>Другие опухоли</w:t>
            </w:r>
          </w:p>
        </w:tc>
        <w:tc>
          <w:tcPr>
            <w:tcW w:w="3750" w:type="pct"/>
            <w:tcMar>
              <w:top w:w="72" w:type="dxa"/>
              <w:left w:w="144" w:type="dxa"/>
              <w:bottom w:w="72" w:type="dxa"/>
              <w:right w:w="144" w:type="dxa"/>
            </w:tcMar>
          </w:tcPr>
          <w:p w14:paraId="08B00F98" w14:textId="77777777" w:rsidR="008762E9" w:rsidRPr="002F4348" w:rsidRDefault="008762E9" w:rsidP="008762E9">
            <w:pPr>
              <w:ind w:firstLine="0"/>
              <w:contextualSpacing/>
              <w:jc w:val="left"/>
              <w:rPr>
                <w:rFonts w:cs="Arial"/>
                <w:sz w:val="22"/>
              </w:rPr>
            </w:pPr>
            <w:r w:rsidRPr="002F4348">
              <w:rPr>
                <w:rFonts w:cs="Arial"/>
                <w:sz w:val="22"/>
              </w:rPr>
              <w:t>Все те, кто получал лучевую терапию – в группе риска рака кожи. Ежегодный осмотр с напоминанием о солнцезащитных мероприятиях</w:t>
            </w:r>
          </w:p>
        </w:tc>
      </w:tr>
      <w:tr w:rsidR="008762E9" w:rsidRPr="002F4348" w14:paraId="659183FA" w14:textId="77777777" w:rsidTr="003007A6">
        <w:trPr>
          <w:trHeight w:val="344"/>
        </w:trPr>
        <w:tc>
          <w:tcPr>
            <w:tcW w:w="1250" w:type="pct"/>
            <w:tcMar>
              <w:top w:w="72" w:type="dxa"/>
              <w:left w:w="144" w:type="dxa"/>
              <w:bottom w:w="72" w:type="dxa"/>
              <w:right w:w="144" w:type="dxa"/>
            </w:tcMar>
          </w:tcPr>
          <w:p w14:paraId="37844DB6" w14:textId="77777777" w:rsidR="008762E9" w:rsidRPr="002F4348" w:rsidRDefault="008762E9" w:rsidP="008762E9">
            <w:pPr>
              <w:ind w:firstLine="0"/>
              <w:contextualSpacing/>
              <w:jc w:val="left"/>
              <w:rPr>
                <w:rFonts w:cs="Arial"/>
                <w:sz w:val="22"/>
              </w:rPr>
            </w:pPr>
            <w:r w:rsidRPr="002F4348">
              <w:rPr>
                <w:rFonts w:cs="Arial"/>
                <w:sz w:val="22"/>
              </w:rPr>
              <w:t xml:space="preserve">Бесплодие или недостаточность яичников </w:t>
            </w:r>
          </w:p>
        </w:tc>
        <w:tc>
          <w:tcPr>
            <w:tcW w:w="3750" w:type="pct"/>
            <w:tcMar>
              <w:top w:w="72" w:type="dxa"/>
              <w:left w:w="144" w:type="dxa"/>
              <w:bottom w:w="72" w:type="dxa"/>
              <w:right w:w="144" w:type="dxa"/>
            </w:tcMar>
          </w:tcPr>
          <w:p w14:paraId="69A6088B" w14:textId="77777777" w:rsidR="008762E9" w:rsidRPr="002F4348" w:rsidRDefault="008762E9" w:rsidP="008762E9">
            <w:pPr>
              <w:ind w:firstLine="0"/>
              <w:contextualSpacing/>
              <w:jc w:val="left"/>
              <w:rPr>
                <w:rFonts w:cs="Arial"/>
                <w:sz w:val="22"/>
              </w:rPr>
            </w:pPr>
            <w:r w:rsidRPr="002F4348">
              <w:rPr>
                <w:rFonts w:cs="Arial"/>
                <w:sz w:val="22"/>
              </w:rPr>
              <w:t xml:space="preserve">Выше всего риск у мужчин, получавших 3 или более циклов с </w:t>
            </w:r>
            <w:r w:rsidR="00DB3CA8" w:rsidRPr="002F4348">
              <w:rPr>
                <w:rFonts w:cs="Arial"/>
                <w:sz w:val="22"/>
              </w:rPr>
              <w:t>прокарбазином</w:t>
            </w:r>
            <w:r w:rsidRPr="002F4348">
              <w:rPr>
                <w:rFonts w:cs="Arial"/>
                <w:sz w:val="22"/>
              </w:rPr>
              <w:t>, более 7,5</w:t>
            </w:r>
            <w:r w:rsidR="002554A5" w:rsidRPr="002F4348">
              <w:rPr>
                <w:rFonts w:cs="Arial"/>
                <w:sz w:val="22"/>
              </w:rPr>
              <w:t xml:space="preserve"> </w:t>
            </w:r>
            <w:r w:rsidRPr="002F4348">
              <w:rPr>
                <w:rFonts w:cs="Arial"/>
                <w:sz w:val="22"/>
              </w:rPr>
              <w:t>г/м</w:t>
            </w:r>
            <w:r w:rsidR="002554A5" w:rsidRPr="002F4348">
              <w:rPr>
                <w:rFonts w:cs="Arial"/>
                <w:sz w:val="22"/>
              </w:rPr>
              <w:t xml:space="preserve"> циклофосфамида**</w:t>
            </w:r>
            <w:r w:rsidRPr="002F4348">
              <w:rPr>
                <w:rFonts w:cs="Arial"/>
                <w:sz w:val="22"/>
              </w:rPr>
              <w:t xml:space="preserve"> или облучение таза/яичек</w:t>
            </w:r>
          </w:p>
          <w:p w14:paraId="21A2BD00" w14:textId="77777777" w:rsidR="008762E9" w:rsidRPr="002F4348" w:rsidRDefault="008762E9" w:rsidP="008762E9">
            <w:pPr>
              <w:ind w:firstLine="0"/>
              <w:contextualSpacing/>
              <w:jc w:val="left"/>
              <w:rPr>
                <w:rFonts w:cs="Arial"/>
                <w:sz w:val="22"/>
              </w:rPr>
            </w:pPr>
            <w:r w:rsidRPr="002F4348">
              <w:rPr>
                <w:rFonts w:cs="Arial"/>
                <w:sz w:val="22"/>
              </w:rPr>
              <w:t xml:space="preserve">Менархе чаще всего </w:t>
            </w:r>
            <w:r w:rsidR="00B67E79" w:rsidRPr="002F4348">
              <w:rPr>
                <w:rFonts w:cs="Arial"/>
                <w:sz w:val="22"/>
              </w:rPr>
              <w:t>наступает</w:t>
            </w:r>
            <w:r w:rsidRPr="002F4348">
              <w:rPr>
                <w:rFonts w:cs="Arial"/>
                <w:sz w:val="22"/>
              </w:rPr>
              <w:t>, но LH, FSH и эстрадиол могут говорить о незрелой функции яичников.</w:t>
            </w:r>
          </w:p>
          <w:p w14:paraId="7B39702E" w14:textId="77777777" w:rsidR="008762E9" w:rsidRPr="002F4348" w:rsidRDefault="008762E9" w:rsidP="008762E9">
            <w:pPr>
              <w:ind w:firstLine="0"/>
              <w:contextualSpacing/>
              <w:jc w:val="left"/>
              <w:rPr>
                <w:rFonts w:cs="Arial"/>
                <w:sz w:val="22"/>
              </w:rPr>
            </w:pPr>
            <w:r w:rsidRPr="002F4348">
              <w:rPr>
                <w:rFonts w:cs="Arial"/>
                <w:sz w:val="22"/>
              </w:rPr>
              <w:t>У мужчин редко снижен тестостерон, даже если они бесплодны и FSH повышен</w:t>
            </w:r>
          </w:p>
        </w:tc>
      </w:tr>
    </w:tbl>
    <w:p w14:paraId="1A8103FC" w14:textId="77777777" w:rsidR="00F82F9F" w:rsidRPr="002F4348" w:rsidRDefault="00F82F9F" w:rsidP="00F82F9F">
      <w:pPr>
        <w:ind w:left="709" w:firstLine="0"/>
        <w:contextualSpacing/>
        <w:jc w:val="right"/>
        <w:rPr>
          <w:i/>
        </w:rPr>
      </w:pPr>
    </w:p>
    <w:p w14:paraId="62829F2E" w14:textId="77777777" w:rsidR="008762E9" w:rsidRPr="002F4348" w:rsidRDefault="008762E9" w:rsidP="008762E9">
      <w:pPr>
        <w:ind w:left="709" w:firstLine="0"/>
        <w:contextualSpacing/>
        <w:jc w:val="right"/>
        <w:rPr>
          <w:i/>
        </w:rPr>
      </w:pPr>
      <w:r w:rsidRPr="002F4348">
        <w:rPr>
          <w:i/>
        </w:rPr>
        <w:t>Таблица 5.4. Скрининг по кардиотоксическим эффектам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580"/>
        <w:gridCol w:w="2336"/>
        <w:gridCol w:w="2848"/>
        <w:gridCol w:w="2581"/>
      </w:tblGrid>
      <w:tr w:rsidR="008762E9" w:rsidRPr="002F4348" w14:paraId="4AA7368C" w14:textId="77777777" w:rsidTr="003007A6">
        <w:trPr>
          <w:trHeight w:val="332"/>
        </w:trPr>
        <w:tc>
          <w:tcPr>
            <w:tcW w:w="5000" w:type="pct"/>
            <w:gridSpan w:val="4"/>
            <w:tcMar>
              <w:top w:w="72" w:type="dxa"/>
              <w:left w:w="144" w:type="dxa"/>
              <w:bottom w:w="72" w:type="dxa"/>
              <w:right w:w="144" w:type="dxa"/>
            </w:tcMar>
          </w:tcPr>
          <w:p w14:paraId="4821903C" w14:textId="77777777" w:rsidR="008762E9" w:rsidRPr="002F4348" w:rsidRDefault="008762E9" w:rsidP="008762E9">
            <w:pPr>
              <w:spacing w:line="240" w:lineRule="auto"/>
              <w:ind w:firstLine="0"/>
              <w:contextualSpacing/>
              <w:jc w:val="center"/>
              <w:rPr>
                <w:rFonts w:cs="Arial"/>
                <w:sz w:val="22"/>
              </w:rPr>
            </w:pPr>
            <w:r w:rsidRPr="002F4348">
              <w:rPr>
                <w:rFonts w:cs="Arial"/>
                <w:sz w:val="22"/>
              </w:rPr>
              <w:t>Функция сердца</w:t>
            </w:r>
          </w:p>
        </w:tc>
      </w:tr>
      <w:tr w:rsidR="008762E9" w:rsidRPr="002F4348" w14:paraId="567F5D4A" w14:textId="77777777" w:rsidTr="003007A6">
        <w:trPr>
          <w:trHeight w:val="465"/>
        </w:trPr>
        <w:tc>
          <w:tcPr>
            <w:tcW w:w="845" w:type="pct"/>
            <w:tcMar>
              <w:top w:w="72" w:type="dxa"/>
              <w:left w:w="144" w:type="dxa"/>
              <w:bottom w:w="72" w:type="dxa"/>
              <w:right w:w="144" w:type="dxa"/>
            </w:tcMar>
          </w:tcPr>
          <w:p w14:paraId="0BE47028" w14:textId="77777777" w:rsidR="008762E9" w:rsidRPr="002F4348" w:rsidRDefault="008762E9" w:rsidP="008762E9">
            <w:pPr>
              <w:spacing w:line="240" w:lineRule="auto"/>
              <w:ind w:firstLine="0"/>
              <w:contextualSpacing/>
              <w:rPr>
                <w:rFonts w:cs="Arial"/>
                <w:sz w:val="22"/>
              </w:rPr>
            </w:pPr>
            <w:r w:rsidRPr="002F4348">
              <w:rPr>
                <w:rFonts w:cs="Arial"/>
                <w:sz w:val="22"/>
              </w:rPr>
              <w:t>Возраст</w:t>
            </w:r>
          </w:p>
        </w:tc>
        <w:tc>
          <w:tcPr>
            <w:tcW w:w="1250" w:type="pct"/>
            <w:tcMar>
              <w:top w:w="72" w:type="dxa"/>
              <w:left w:w="144" w:type="dxa"/>
              <w:bottom w:w="72" w:type="dxa"/>
              <w:right w:w="144" w:type="dxa"/>
            </w:tcMar>
          </w:tcPr>
          <w:p w14:paraId="55AF5318" w14:textId="77777777" w:rsidR="008762E9" w:rsidRPr="002F4348" w:rsidRDefault="008762E9" w:rsidP="008762E9">
            <w:pPr>
              <w:spacing w:line="240" w:lineRule="auto"/>
              <w:ind w:firstLine="0"/>
              <w:contextualSpacing/>
              <w:jc w:val="center"/>
              <w:rPr>
                <w:rFonts w:cs="Arial"/>
                <w:sz w:val="22"/>
              </w:rPr>
            </w:pPr>
            <w:r w:rsidRPr="002F4348">
              <w:rPr>
                <w:rFonts w:cs="Arial"/>
                <w:sz w:val="22"/>
                <w:lang w:val="en-US"/>
              </w:rPr>
              <w:t>Облучение</w:t>
            </w:r>
            <w:r w:rsidRPr="002F4348">
              <w:rPr>
                <w:rFonts w:cs="Arial"/>
                <w:sz w:val="22"/>
              </w:rPr>
              <w:t xml:space="preserve"> средостения</w:t>
            </w:r>
          </w:p>
        </w:tc>
        <w:tc>
          <w:tcPr>
            <w:tcW w:w="1524" w:type="pct"/>
            <w:tcMar>
              <w:top w:w="72" w:type="dxa"/>
              <w:left w:w="144" w:type="dxa"/>
              <w:bottom w:w="72" w:type="dxa"/>
              <w:right w:w="144" w:type="dxa"/>
            </w:tcMar>
          </w:tcPr>
          <w:p w14:paraId="4213B222" w14:textId="77777777" w:rsidR="008762E9" w:rsidRPr="002F4348" w:rsidRDefault="008762E9" w:rsidP="008762E9">
            <w:pPr>
              <w:spacing w:line="240" w:lineRule="auto"/>
              <w:ind w:firstLine="0"/>
              <w:contextualSpacing/>
              <w:jc w:val="center"/>
              <w:rPr>
                <w:rFonts w:cs="Arial"/>
                <w:sz w:val="22"/>
              </w:rPr>
            </w:pPr>
            <w:r w:rsidRPr="002F4348">
              <w:rPr>
                <w:rFonts w:cs="Arial"/>
                <w:sz w:val="22"/>
              </w:rPr>
              <w:t>Доза антрациклинов</w:t>
            </w:r>
          </w:p>
        </w:tc>
        <w:tc>
          <w:tcPr>
            <w:tcW w:w="1382" w:type="pct"/>
            <w:tcMar>
              <w:top w:w="72" w:type="dxa"/>
              <w:left w:w="144" w:type="dxa"/>
              <w:bottom w:w="72" w:type="dxa"/>
              <w:right w:w="144" w:type="dxa"/>
            </w:tcMar>
          </w:tcPr>
          <w:p w14:paraId="08A5AA35" w14:textId="77777777" w:rsidR="008762E9" w:rsidRPr="002F4348" w:rsidRDefault="008762E9" w:rsidP="008762E9">
            <w:pPr>
              <w:spacing w:line="240" w:lineRule="auto"/>
              <w:ind w:firstLine="0"/>
              <w:contextualSpacing/>
              <w:jc w:val="center"/>
              <w:rPr>
                <w:rFonts w:cs="Arial"/>
                <w:sz w:val="22"/>
              </w:rPr>
            </w:pPr>
            <w:r w:rsidRPr="002F4348">
              <w:rPr>
                <w:rFonts w:cs="Arial"/>
                <w:sz w:val="22"/>
              </w:rPr>
              <w:t>ЭхоКГ</w:t>
            </w:r>
          </w:p>
        </w:tc>
      </w:tr>
      <w:tr w:rsidR="008762E9" w:rsidRPr="002F4348" w14:paraId="1ACADFCF" w14:textId="77777777" w:rsidTr="003007A6">
        <w:trPr>
          <w:trHeight w:val="402"/>
        </w:trPr>
        <w:tc>
          <w:tcPr>
            <w:tcW w:w="845" w:type="pct"/>
            <w:vMerge w:val="restart"/>
            <w:tcMar>
              <w:top w:w="72" w:type="dxa"/>
              <w:left w:w="144" w:type="dxa"/>
              <w:bottom w:w="72" w:type="dxa"/>
              <w:right w:w="144" w:type="dxa"/>
            </w:tcMar>
          </w:tcPr>
          <w:p w14:paraId="6F2AB5E6" w14:textId="77777777" w:rsidR="008762E9" w:rsidRPr="002F4348" w:rsidRDefault="008762E9" w:rsidP="008762E9">
            <w:pPr>
              <w:spacing w:line="240" w:lineRule="auto"/>
              <w:ind w:firstLine="0"/>
              <w:contextualSpacing/>
              <w:jc w:val="center"/>
              <w:rPr>
                <w:rFonts w:cs="Arial"/>
                <w:sz w:val="22"/>
              </w:rPr>
            </w:pPr>
            <w:r w:rsidRPr="002F4348">
              <w:rPr>
                <w:rFonts w:cs="Arial"/>
                <w:sz w:val="22"/>
                <w:lang w:val="en-US"/>
              </w:rPr>
              <w:t>&lt; 1</w:t>
            </w:r>
            <w:r w:rsidRPr="002F4348">
              <w:rPr>
                <w:rFonts w:cs="Arial"/>
                <w:sz w:val="22"/>
              </w:rPr>
              <w:t xml:space="preserve"> года</w:t>
            </w:r>
          </w:p>
        </w:tc>
        <w:tc>
          <w:tcPr>
            <w:tcW w:w="1250" w:type="pct"/>
            <w:tcMar>
              <w:top w:w="72" w:type="dxa"/>
              <w:left w:w="144" w:type="dxa"/>
              <w:bottom w:w="72" w:type="dxa"/>
              <w:right w:w="144" w:type="dxa"/>
            </w:tcMar>
          </w:tcPr>
          <w:p w14:paraId="54912679" w14:textId="77777777" w:rsidR="008762E9" w:rsidRPr="002F4348" w:rsidRDefault="008762E9" w:rsidP="008762E9">
            <w:pPr>
              <w:spacing w:line="240" w:lineRule="auto"/>
              <w:ind w:firstLine="0"/>
              <w:contextualSpacing/>
              <w:jc w:val="center"/>
              <w:rPr>
                <w:rFonts w:cs="Arial"/>
                <w:sz w:val="22"/>
              </w:rPr>
            </w:pPr>
            <w:r w:rsidRPr="002F4348">
              <w:rPr>
                <w:rFonts w:cs="Arial"/>
                <w:sz w:val="22"/>
              </w:rPr>
              <w:t>+</w:t>
            </w:r>
          </w:p>
        </w:tc>
        <w:tc>
          <w:tcPr>
            <w:tcW w:w="1524" w:type="pct"/>
            <w:tcMar>
              <w:top w:w="72" w:type="dxa"/>
              <w:left w:w="144" w:type="dxa"/>
              <w:bottom w:w="72" w:type="dxa"/>
              <w:right w:w="144" w:type="dxa"/>
            </w:tcMar>
          </w:tcPr>
          <w:p w14:paraId="5F7DDBC7" w14:textId="77777777" w:rsidR="008762E9" w:rsidRPr="002F4348" w:rsidRDefault="008762E9" w:rsidP="008762E9">
            <w:pPr>
              <w:spacing w:line="240" w:lineRule="auto"/>
              <w:ind w:firstLine="0"/>
              <w:contextualSpacing/>
              <w:jc w:val="center"/>
              <w:rPr>
                <w:rFonts w:cs="Arial"/>
                <w:sz w:val="22"/>
              </w:rPr>
            </w:pPr>
            <w:r w:rsidRPr="002F4348">
              <w:rPr>
                <w:rFonts w:cs="Arial"/>
                <w:sz w:val="22"/>
              </w:rPr>
              <w:t>любая</w:t>
            </w:r>
          </w:p>
        </w:tc>
        <w:tc>
          <w:tcPr>
            <w:tcW w:w="1382" w:type="pct"/>
            <w:tcMar>
              <w:top w:w="72" w:type="dxa"/>
              <w:left w:w="144" w:type="dxa"/>
              <w:bottom w:w="72" w:type="dxa"/>
              <w:right w:w="144" w:type="dxa"/>
            </w:tcMar>
          </w:tcPr>
          <w:p w14:paraId="7A6549BD" w14:textId="77777777" w:rsidR="008762E9" w:rsidRPr="002F4348" w:rsidRDefault="008762E9" w:rsidP="008762E9">
            <w:pPr>
              <w:spacing w:line="240" w:lineRule="auto"/>
              <w:ind w:firstLine="0"/>
              <w:contextualSpacing/>
              <w:jc w:val="center"/>
              <w:rPr>
                <w:rFonts w:cs="Arial"/>
                <w:sz w:val="22"/>
              </w:rPr>
            </w:pPr>
            <w:r w:rsidRPr="002F4348">
              <w:rPr>
                <w:rFonts w:cs="Arial"/>
                <w:sz w:val="22"/>
              </w:rPr>
              <w:t>раз в год</w:t>
            </w:r>
          </w:p>
        </w:tc>
      </w:tr>
      <w:tr w:rsidR="008762E9" w:rsidRPr="002F4348" w14:paraId="77DAA40D" w14:textId="77777777" w:rsidTr="003007A6">
        <w:trPr>
          <w:trHeight w:val="397"/>
        </w:trPr>
        <w:tc>
          <w:tcPr>
            <w:tcW w:w="845" w:type="pct"/>
            <w:vMerge/>
            <w:vAlign w:val="center"/>
          </w:tcPr>
          <w:p w14:paraId="73F8BD52" w14:textId="77777777" w:rsidR="008762E9" w:rsidRPr="002F4348" w:rsidRDefault="008762E9" w:rsidP="008762E9">
            <w:pPr>
              <w:spacing w:line="240" w:lineRule="auto"/>
              <w:ind w:firstLine="0"/>
              <w:contextualSpacing/>
              <w:jc w:val="center"/>
              <w:rPr>
                <w:rFonts w:cs="Arial"/>
                <w:sz w:val="22"/>
              </w:rPr>
            </w:pPr>
          </w:p>
        </w:tc>
        <w:tc>
          <w:tcPr>
            <w:tcW w:w="1250" w:type="pct"/>
            <w:vMerge w:val="restart"/>
            <w:tcMar>
              <w:top w:w="72" w:type="dxa"/>
              <w:left w:w="144" w:type="dxa"/>
              <w:bottom w:w="72" w:type="dxa"/>
              <w:right w:w="144" w:type="dxa"/>
            </w:tcMar>
          </w:tcPr>
          <w:p w14:paraId="2883EAAD" w14:textId="77777777" w:rsidR="008762E9" w:rsidRPr="002F4348" w:rsidRDefault="008762E9" w:rsidP="008762E9">
            <w:pPr>
              <w:spacing w:line="240" w:lineRule="auto"/>
              <w:ind w:firstLine="0"/>
              <w:contextualSpacing/>
              <w:jc w:val="center"/>
              <w:rPr>
                <w:rFonts w:cs="Arial"/>
                <w:sz w:val="22"/>
              </w:rPr>
            </w:pPr>
            <w:r w:rsidRPr="002F4348">
              <w:rPr>
                <w:rFonts w:cs="Arial"/>
                <w:sz w:val="22"/>
              </w:rPr>
              <w:t>-</w:t>
            </w:r>
          </w:p>
        </w:tc>
        <w:tc>
          <w:tcPr>
            <w:tcW w:w="1524" w:type="pct"/>
            <w:tcMar>
              <w:top w:w="72" w:type="dxa"/>
              <w:left w:w="144" w:type="dxa"/>
              <w:bottom w:w="72" w:type="dxa"/>
              <w:right w:w="144" w:type="dxa"/>
            </w:tcMar>
          </w:tcPr>
          <w:p w14:paraId="67CEBA4C" w14:textId="77777777" w:rsidR="008762E9" w:rsidRPr="002F4348" w:rsidRDefault="008762E9" w:rsidP="008762E9">
            <w:pPr>
              <w:spacing w:line="240" w:lineRule="auto"/>
              <w:ind w:firstLine="0"/>
              <w:contextualSpacing/>
              <w:jc w:val="center"/>
              <w:rPr>
                <w:rFonts w:cs="Arial"/>
                <w:sz w:val="22"/>
              </w:rPr>
            </w:pPr>
            <w:r w:rsidRPr="002F4348">
              <w:rPr>
                <w:rFonts w:cs="Arial"/>
                <w:sz w:val="22"/>
                <w:lang w:val="en-US"/>
              </w:rPr>
              <w:t>&lt;200</w:t>
            </w:r>
            <w:r w:rsidRPr="002F4348">
              <w:rPr>
                <w:rFonts w:cs="Arial"/>
                <w:sz w:val="22"/>
              </w:rPr>
              <w:t xml:space="preserve"> мг/м</w:t>
            </w:r>
            <w:r w:rsidR="003430E6" w:rsidRPr="002F4348">
              <w:rPr>
                <w:rFonts w:cs="Arial"/>
                <w:sz w:val="22"/>
                <w:vertAlign w:val="superscript"/>
              </w:rPr>
              <w:t>2</w:t>
            </w:r>
          </w:p>
        </w:tc>
        <w:tc>
          <w:tcPr>
            <w:tcW w:w="1382" w:type="pct"/>
            <w:tcMar>
              <w:top w:w="72" w:type="dxa"/>
              <w:left w:w="144" w:type="dxa"/>
              <w:bottom w:w="72" w:type="dxa"/>
              <w:right w:w="144" w:type="dxa"/>
            </w:tcMar>
          </w:tcPr>
          <w:p w14:paraId="00CDF272" w14:textId="77777777" w:rsidR="008762E9" w:rsidRPr="002F4348" w:rsidRDefault="008762E9" w:rsidP="008762E9">
            <w:pPr>
              <w:spacing w:line="240" w:lineRule="auto"/>
              <w:ind w:firstLine="0"/>
              <w:contextualSpacing/>
              <w:jc w:val="center"/>
              <w:rPr>
                <w:rFonts w:cs="Arial"/>
                <w:sz w:val="22"/>
              </w:rPr>
            </w:pPr>
            <w:r w:rsidRPr="002F4348">
              <w:rPr>
                <w:rFonts w:cs="Arial"/>
                <w:sz w:val="22"/>
              </w:rPr>
              <w:t>каждые 2 года</w:t>
            </w:r>
          </w:p>
        </w:tc>
      </w:tr>
      <w:tr w:rsidR="008762E9" w:rsidRPr="002F4348" w14:paraId="65FB81D5" w14:textId="77777777" w:rsidTr="003007A6">
        <w:trPr>
          <w:trHeight w:val="377"/>
        </w:trPr>
        <w:tc>
          <w:tcPr>
            <w:tcW w:w="845" w:type="pct"/>
            <w:vMerge/>
            <w:vAlign w:val="center"/>
          </w:tcPr>
          <w:p w14:paraId="19D4801C" w14:textId="77777777" w:rsidR="008762E9" w:rsidRPr="002F4348" w:rsidRDefault="008762E9" w:rsidP="008762E9">
            <w:pPr>
              <w:spacing w:line="240" w:lineRule="auto"/>
              <w:ind w:firstLine="0"/>
              <w:contextualSpacing/>
              <w:jc w:val="center"/>
              <w:rPr>
                <w:rFonts w:cs="Arial"/>
                <w:sz w:val="22"/>
              </w:rPr>
            </w:pPr>
          </w:p>
        </w:tc>
        <w:tc>
          <w:tcPr>
            <w:tcW w:w="1250" w:type="pct"/>
            <w:vMerge/>
            <w:vAlign w:val="center"/>
          </w:tcPr>
          <w:p w14:paraId="08437B15" w14:textId="77777777" w:rsidR="008762E9" w:rsidRPr="002F4348" w:rsidRDefault="008762E9" w:rsidP="008762E9">
            <w:pPr>
              <w:spacing w:line="240" w:lineRule="auto"/>
              <w:ind w:firstLine="0"/>
              <w:contextualSpacing/>
              <w:jc w:val="center"/>
              <w:rPr>
                <w:rFonts w:cs="Arial"/>
                <w:sz w:val="22"/>
              </w:rPr>
            </w:pPr>
          </w:p>
        </w:tc>
        <w:tc>
          <w:tcPr>
            <w:tcW w:w="1524" w:type="pct"/>
            <w:tcMar>
              <w:top w:w="72" w:type="dxa"/>
              <w:left w:w="144" w:type="dxa"/>
              <w:bottom w:w="72" w:type="dxa"/>
              <w:right w:w="144" w:type="dxa"/>
            </w:tcMar>
          </w:tcPr>
          <w:p w14:paraId="1FD57DFE" w14:textId="77777777" w:rsidR="008762E9" w:rsidRPr="002F4348" w:rsidRDefault="008762E9" w:rsidP="008762E9">
            <w:pPr>
              <w:spacing w:line="240" w:lineRule="auto"/>
              <w:ind w:firstLine="0"/>
              <w:contextualSpacing/>
              <w:jc w:val="center"/>
              <w:rPr>
                <w:rFonts w:cs="Arial"/>
                <w:sz w:val="22"/>
              </w:rPr>
            </w:pPr>
            <w:r w:rsidRPr="002F4348">
              <w:rPr>
                <w:rFonts w:cs="Arial"/>
                <w:sz w:val="22"/>
                <w:lang w:val="en-US"/>
              </w:rPr>
              <w:t>&gt;200</w:t>
            </w:r>
            <w:r w:rsidRPr="002F4348">
              <w:rPr>
                <w:rFonts w:cs="Arial"/>
                <w:sz w:val="22"/>
              </w:rPr>
              <w:t xml:space="preserve"> </w:t>
            </w:r>
            <w:r w:rsidR="003430E6" w:rsidRPr="002F4348">
              <w:rPr>
                <w:rFonts w:cs="Arial"/>
                <w:sz w:val="22"/>
              </w:rPr>
              <w:t>мг/м</w:t>
            </w:r>
            <w:r w:rsidR="003430E6" w:rsidRPr="002F4348">
              <w:rPr>
                <w:rFonts w:cs="Arial"/>
                <w:sz w:val="22"/>
                <w:vertAlign w:val="superscript"/>
              </w:rPr>
              <w:t>2</w:t>
            </w:r>
          </w:p>
        </w:tc>
        <w:tc>
          <w:tcPr>
            <w:tcW w:w="1382" w:type="pct"/>
            <w:tcMar>
              <w:top w:w="72" w:type="dxa"/>
              <w:left w:w="144" w:type="dxa"/>
              <w:bottom w:w="72" w:type="dxa"/>
              <w:right w:w="144" w:type="dxa"/>
            </w:tcMar>
          </w:tcPr>
          <w:p w14:paraId="5C4F36F0" w14:textId="77777777" w:rsidR="008762E9" w:rsidRPr="002F4348" w:rsidRDefault="008762E9" w:rsidP="008762E9">
            <w:pPr>
              <w:spacing w:line="240" w:lineRule="auto"/>
              <w:ind w:firstLine="0"/>
              <w:contextualSpacing/>
              <w:jc w:val="center"/>
              <w:rPr>
                <w:rFonts w:cs="Arial"/>
                <w:sz w:val="22"/>
              </w:rPr>
            </w:pPr>
            <w:r w:rsidRPr="002F4348">
              <w:rPr>
                <w:rFonts w:cs="Arial"/>
                <w:sz w:val="22"/>
              </w:rPr>
              <w:t>раз в год</w:t>
            </w:r>
          </w:p>
        </w:tc>
      </w:tr>
      <w:tr w:rsidR="008762E9" w:rsidRPr="002F4348" w14:paraId="26B07C01" w14:textId="77777777" w:rsidTr="003007A6">
        <w:trPr>
          <w:trHeight w:val="371"/>
        </w:trPr>
        <w:tc>
          <w:tcPr>
            <w:tcW w:w="845" w:type="pct"/>
            <w:vMerge w:val="restart"/>
            <w:tcMar>
              <w:top w:w="72" w:type="dxa"/>
              <w:left w:w="144" w:type="dxa"/>
              <w:bottom w:w="72" w:type="dxa"/>
              <w:right w:w="144" w:type="dxa"/>
            </w:tcMar>
          </w:tcPr>
          <w:p w14:paraId="7CB0B0C0" w14:textId="77777777" w:rsidR="008762E9" w:rsidRPr="002F4348" w:rsidRDefault="008762E9" w:rsidP="008762E9">
            <w:pPr>
              <w:spacing w:line="240" w:lineRule="auto"/>
              <w:ind w:firstLine="0"/>
              <w:contextualSpacing/>
              <w:jc w:val="center"/>
              <w:rPr>
                <w:rFonts w:cs="Arial"/>
                <w:sz w:val="22"/>
              </w:rPr>
            </w:pPr>
            <w:r w:rsidRPr="002F4348">
              <w:rPr>
                <w:rFonts w:cs="Arial"/>
                <w:sz w:val="22"/>
              </w:rPr>
              <w:t>1-4 лет</w:t>
            </w:r>
          </w:p>
        </w:tc>
        <w:tc>
          <w:tcPr>
            <w:tcW w:w="1250" w:type="pct"/>
            <w:tcMar>
              <w:top w:w="72" w:type="dxa"/>
              <w:left w:w="144" w:type="dxa"/>
              <w:bottom w:w="72" w:type="dxa"/>
              <w:right w:w="144" w:type="dxa"/>
            </w:tcMar>
          </w:tcPr>
          <w:p w14:paraId="2179B6EE" w14:textId="77777777" w:rsidR="008762E9" w:rsidRPr="002F4348" w:rsidRDefault="008762E9" w:rsidP="008762E9">
            <w:pPr>
              <w:spacing w:line="240" w:lineRule="auto"/>
              <w:ind w:firstLine="0"/>
              <w:contextualSpacing/>
              <w:jc w:val="center"/>
              <w:rPr>
                <w:rFonts w:cs="Arial"/>
                <w:sz w:val="22"/>
              </w:rPr>
            </w:pPr>
            <w:r w:rsidRPr="002F4348">
              <w:rPr>
                <w:rFonts w:cs="Arial"/>
                <w:sz w:val="22"/>
              </w:rPr>
              <w:t>+</w:t>
            </w:r>
          </w:p>
        </w:tc>
        <w:tc>
          <w:tcPr>
            <w:tcW w:w="1524" w:type="pct"/>
            <w:tcMar>
              <w:top w:w="72" w:type="dxa"/>
              <w:left w:w="144" w:type="dxa"/>
              <w:bottom w:w="72" w:type="dxa"/>
              <w:right w:w="144" w:type="dxa"/>
            </w:tcMar>
          </w:tcPr>
          <w:p w14:paraId="556B81A1" w14:textId="77777777" w:rsidR="008762E9" w:rsidRPr="002F4348" w:rsidRDefault="008762E9" w:rsidP="008762E9">
            <w:pPr>
              <w:spacing w:line="240" w:lineRule="auto"/>
              <w:ind w:firstLine="0"/>
              <w:contextualSpacing/>
              <w:jc w:val="center"/>
              <w:rPr>
                <w:rFonts w:cs="Arial"/>
                <w:sz w:val="22"/>
              </w:rPr>
            </w:pPr>
            <w:r w:rsidRPr="002F4348">
              <w:rPr>
                <w:rFonts w:cs="Arial"/>
                <w:sz w:val="22"/>
              </w:rPr>
              <w:t>любая</w:t>
            </w:r>
          </w:p>
        </w:tc>
        <w:tc>
          <w:tcPr>
            <w:tcW w:w="1382" w:type="pct"/>
            <w:tcMar>
              <w:top w:w="72" w:type="dxa"/>
              <w:left w:w="144" w:type="dxa"/>
              <w:bottom w:w="72" w:type="dxa"/>
              <w:right w:w="144" w:type="dxa"/>
            </w:tcMar>
          </w:tcPr>
          <w:p w14:paraId="1858EE09" w14:textId="77777777" w:rsidR="008762E9" w:rsidRPr="002F4348" w:rsidRDefault="008762E9" w:rsidP="008762E9">
            <w:pPr>
              <w:spacing w:line="240" w:lineRule="auto"/>
              <w:ind w:firstLine="0"/>
              <w:contextualSpacing/>
              <w:jc w:val="center"/>
              <w:rPr>
                <w:rFonts w:cs="Arial"/>
                <w:sz w:val="22"/>
              </w:rPr>
            </w:pPr>
            <w:r w:rsidRPr="002F4348">
              <w:rPr>
                <w:rFonts w:cs="Arial"/>
                <w:sz w:val="22"/>
              </w:rPr>
              <w:t>раз в год</w:t>
            </w:r>
          </w:p>
        </w:tc>
      </w:tr>
      <w:tr w:rsidR="008762E9" w:rsidRPr="002F4348" w14:paraId="37A7BE40" w14:textId="77777777" w:rsidTr="003007A6">
        <w:trPr>
          <w:trHeight w:val="334"/>
        </w:trPr>
        <w:tc>
          <w:tcPr>
            <w:tcW w:w="845" w:type="pct"/>
            <w:vMerge/>
            <w:vAlign w:val="center"/>
          </w:tcPr>
          <w:p w14:paraId="5B91F6B2" w14:textId="77777777" w:rsidR="008762E9" w:rsidRPr="002F4348" w:rsidRDefault="008762E9" w:rsidP="008762E9">
            <w:pPr>
              <w:spacing w:line="240" w:lineRule="auto"/>
              <w:ind w:firstLine="0"/>
              <w:contextualSpacing/>
              <w:jc w:val="center"/>
              <w:rPr>
                <w:rFonts w:cs="Arial"/>
                <w:sz w:val="22"/>
              </w:rPr>
            </w:pPr>
          </w:p>
        </w:tc>
        <w:tc>
          <w:tcPr>
            <w:tcW w:w="1250" w:type="pct"/>
            <w:vMerge w:val="restart"/>
            <w:tcMar>
              <w:top w:w="72" w:type="dxa"/>
              <w:left w:w="144" w:type="dxa"/>
              <w:bottom w:w="72" w:type="dxa"/>
              <w:right w:w="144" w:type="dxa"/>
            </w:tcMar>
          </w:tcPr>
          <w:p w14:paraId="09B1FDAF" w14:textId="77777777" w:rsidR="008762E9" w:rsidRPr="002F4348" w:rsidRDefault="008762E9" w:rsidP="008762E9">
            <w:pPr>
              <w:spacing w:line="240" w:lineRule="auto"/>
              <w:ind w:firstLine="0"/>
              <w:contextualSpacing/>
              <w:jc w:val="center"/>
              <w:rPr>
                <w:rFonts w:cs="Arial"/>
                <w:sz w:val="22"/>
              </w:rPr>
            </w:pPr>
            <w:r w:rsidRPr="002F4348">
              <w:rPr>
                <w:rFonts w:cs="Arial"/>
                <w:sz w:val="22"/>
              </w:rPr>
              <w:t>-</w:t>
            </w:r>
          </w:p>
        </w:tc>
        <w:tc>
          <w:tcPr>
            <w:tcW w:w="1524" w:type="pct"/>
            <w:tcMar>
              <w:top w:w="72" w:type="dxa"/>
              <w:left w:w="144" w:type="dxa"/>
              <w:bottom w:w="72" w:type="dxa"/>
              <w:right w:w="144" w:type="dxa"/>
            </w:tcMar>
          </w:tcPr>
          <w:p w14:paraId="0C5DCF16" w14:textId="77777777" w:rsidR="008762E9" w:rsidRPr="002F4348" w:rsidRDefault="008762E9" w:rsidP="008762E9">
            <w:pPr>
              <w:spacing w:line="240" w:lineRule="auto"/>
              <w:ind w:firstLine="0"/>
              <w:contextualSpacing/>
              <w:jc w:val="center"/>
              <w:rPr>
                <w:rFonts w:cs="Arial"/>
                <w:sz w:val="22"/>
              </w:rPr>
            </w:pPr>
            <w:r w:rsidRPr="002F4348">
              <w:rPr>
                <w:rFonts w:cs="Arial"/>
                <w:sz w:val="22"/>
                <w:lang w:val="en-US"/>
              </w:rPr>
              <w:t>&lt;100</w:t>
            </w:r>
            <w:r w:rsidRPr="002F4348">
              <w:rPr>
                <w:rFonts w:cs="Arial"/>
                <w:sz w:val="22"/>
              </w:rPr>
              <w:t xml:space="preserve"> </w:t>
            </w:r>
            <w:r w:rsidR="003430E6" w:rsidRPr="002F4348">
              <w:rPr>
                <w:rFonts w:cs="Arial"/>
                <w:sz w:val="22"/>
              </w:rPr>
              <w:t>мг/м</w:t>
            </w:r>
            <w:r w:rsidR="003430E6" w:rsidRPr="002F4348">
              <w:rPr>
                <w:rFonts w:cs="Arial"/>
                <w:sz w:val="22"/>
                <w:vertAlign w:val="superscript"/>
              </w:rPr>
              <w:t>2</w:t>
            </w:r>
          </w:p>
        </w:tc>
        <w:tc>
          <w:tcPr>
            <w:tcW w:w="1382" w:type="pct"/>
            <w:tcMar>
              <w:top w:w="72" w:type="dxa"/>
              <w:left w:w="144" w:type="dxa"/>
              <w:bottom w:w="72" w:type="dxa"/>
              <w:right w:w="144" w:type="dxa"/>
            </w:tcMar>
          </w:tcPr>
          <w:p w14:paraId="05DE2E6D" w14:textId="77777777" w:rsidR="008762E9" w:rsidRPr="002F4348" w:rsidRDefault="008762E9" w:rsidP="008762E9">
            <w:pPr>
              <w:spacing w:line="240" w:lineRule="auto"/>
              <w:ind w:firstLine="0"/>
              <w:contextualSpacing/>
              <w:jc w:val="center"/>
              <w:rPr>
                <w:rFonts w:cs="Arial"/>
                <w:sz w:val="22"/>
              </w:rPr>
            </w:pPr>
            <w:r w:rsidRPr="002F4348">
              <w:rPr>
                <w:rFonts w:cs="Arial"/>
                <w:sz w:val="22"/>
              </w:rPr>
              <w:t>каждые 5 лет</w:t>
            </w:r>
          </w:p>
        </w:tc>
      </w:tr>
      <w:tr w:rsidR="008762E9" w:rsidRPr="002F4348" w14:paraId="297EEDA0" w14:textId="77777777" w:rsidTr="003007A6">
        <w:trPr>
          <w:trHeight w:val="186"/>
        </w:trPr>
        <w:tc>
          <w:tcPr>
            <w:tcW w:w="845" w:type="pct"/>
            <w:vMerge/>
            <w:vAlign w:val="center"/>
          </w:tcPr>
          <w:p w14:paraId="393A6EFF" w14:textId="77777777" w:rsidR="008762E9" w:rsidRPr="002F4348" w:rsidRDefault="008762E9" w:rsidP="008762E9">
            <w:pPr>
              <w:spacing w:line="240" w:lineRule="auto"/>
              <w:ind w:firstLine="0"/>
              <w:contextualSpacing/>
              <w:jc w:val="center"/>
              <w:rPr>
                <w:rFonts w:cs="Arial"/>
                <w:sz w:val="22"/>
              </w:rPr>
            </w:pPr>
          </w:p>
        </w:tc>
        <w:tc>
          <w:tcPr>
            <w:tcW w:w="1250" w:type="pct"/>
            <w:vMerge/>
            <w:vAlign w:val="center"/>
          </w:tcPr>
          <w:p w14:paraId="11C10CFF" w14:textId="77777777" w:rsidR="008762E9" w:rsidRPr="002F4348" w:rsidRDefault="008762E9" w:rsidP="008762E9">
            <w:pPr>
              <w:spacing w:line="240" w:lineRule="auto"/>
              <w:ind w:firstLine="0"/>
              <w:contextualSpacing/>
              <w:jc w:val="center"/>
              <w:rPr>
                <w:rFonts w:cs="Arial"/>
                <w:sz w:val="22"/>
              </w:rPr>
            </w:pPr>
          </w:p>
        </w:tc>
        <w:tc>
          <w:tcPr>
            <w:tcW w:w="1524" w:type="pct"/>
            <w:tcMar>
              <w:top w:w="72" w:type="dxa"/>
              <w:left w:w="144" w:type="dxa"/>
              <w:bottom w:w="72" w:type="dxa"/>
              <w:right w:w="144" w:type="dxa"/>
            </w:tcMar>
          </w:tcPr>
          <w:p w14:paraId="361C5CBE" w14:textId="77777777" w:rsidR="008762E9" w:rsidRPr="002F4348" w:rsidRDefault="008762E9" w:rsidP="008762E9">
            <w:pPr>
              <w:spacing w:line="240" w:lineRule="auto"/>
              <w:ind w:firstLine="0"/>
              <w:contextualSpacing/>
              <w:jc w:val="center"/>
              <w:rPr>
                <w:rFonts w:cs="Arial"/>
                <w:sz w:val="22"/>
              </w:rPr>
            </w:pPr>
            <w:r w:rsidRPr="002F4348">
              <w:rPr>
                <w:rFonts w:cs="Arial"/>
                <w:sz w:val="22"/>
                <w:lang w:val="en-US"/>
              </w:rPr>
              <w:t>100-300</w:t>
            </w:r>
            <w:r w:rsidRPr="002F4348">
              <w:rPr>
                <w:rFonts w:cs="Arial"/>
                <w:sz w:val="22"/>
              </w:rPr>
              <w:t xml:space="preserve"> </w:t>
            </w:r>
            <w:r w:rsidR="003430E6" w:rsidRPr="002F4348">
              <w:rPr>
                <w:rFonts w:cs="Arial"/>
                <w:sz w:val="22"/>
              </w:rPr>
              <w:t>мг/м</w:t>
            </w:r>
            <w:r w:rsidR="003430E6" w:rsidRPr="002F4348">
              <w:rPr>
                <w:rFonts w:cs="Arial"/>
                <w:sz w:val="22"/>
                <w:vertAlign w:val="superscript"/>
              </w:rPr>
              <w:t>2</w:t>
            </w:r>
          </w:p>
        </w:tc>
        <w:tc>
          <w:tcPr>
            <w:tcW w:w="1382" w:type="pct"/>
            <w:tcMar>
              <w:top w:w="72" w:type="dxa"/>
              <w:left w:w="144" w:type="dxa"/>
              <w:bottom w:w="72" w:type="dxa"/>
              <w:right w:w="144" w:type="dxa"/>
            </w:tcMar>
          </w:tcPr>
          <w:p w14:paraId="791EB126" w14:textId="77777777" w:rsidR="008762E9" w:rsidRPr="002F4348" w:rsidRDefault="008762E9" w:rsidP="008762E9">
            <w:pPr>
              <w:spacing w:line="240" w:lineRule="auto"/>
              <w:ind w:firstLine="0"/>
              <w:contextualSpacing/>
              <w:jc w:val="center"/>
              <w:rPr>
                <w:rFonts w:cs="Arial"/>
                <w:sz w:val="22"/>
              </w:rPr>
            </w:pPr>
            <w:r w:rsidRPr="002F4348">
              <w:rPr>
                <w:rFonts w:cs="Arial"/>
                <w:sz w:val="22"/>
              </w:rPr>
              <w:t>каждые 2 года</w:t>
            </w:r>
          </w:p>
        </w:tc>
      </w:tr>
      <w:tr w:rsidR="008762E9" w:rsidRPr="002F4348" w14:paraId="4A83B6EE" w14:textId="77777777" w:rsidTr="003007A6">
        <w:trPr>
          <w:trHeight w:val="166"/>
        </w:trPr>
        <w:tc>
          <w:tcPr>
            <w:tcW w:w="845" w:type="pct"/>
            <w:vMerge/>
            <w:vAlign w:val="center"/>
          </w:tcPr>
          <w:p w14:paraId="056EDF7B" w14:textId="77777777" w:rsidR="008762E9" w:rsidRPr="002F4348" w:rsidRDefault="008762E9" w:rsidP="008762E9">
            <w:pPr>
              <w:spacing w:line="240" w:lineRule="auto"/>
              <w:ind w:firstLine="0"/>
              <w:contextualSpacing/>
              <w:jc w:val="center"/>
              <w:rPr>
                <w:rFonts w:cs="Arial"/>
                <w:sz w:val="22"/>
              </w:rPr>
            </w:pPr>
          </w:p>
        </w:tc>
        <w:tc>
          <w:tcPr>
            <w:tcW w:w="1250" w:type="pct"/>
            <w:vMerge/>
            <w:vAlign w:val="center"/>
          </w:tcPr>
          <w:p w14:paraId="098028AF" w14:textId="77777777" w:rsidR="008762E9" w:rsidRPr="002F4348" w:rsidRDefault="008762E9" w:rsidP="008762E9">
            <w:pPr>
              <w:spacing w:line="240" w:lineRule="auto"/>
              <w:ind w:firstLine="0"/>
              <w:contextualSpacing/>
              <w:jc w:val="center"/>
              <w:rPr>
                <w:rFonts w:cs="Arial"/>
                <w:sz w:val="22"/>
              </w:rPr>
            </w:pPr>
          </w:p>
        </w:tc>
        <w:tc>
          <w:tcPr>
            <w:tcW w:w="1524" w:type="pct"/>
            <w:tcMar>
              <w:top w:w="72" w:type="dxa"/>
              <w:left w:w="144" w:type="dxa"/>
              <w:bottom w:w="72" w:type="dxa"/>
              <w:right w:w="144" w:type="dxa"/>
            </w:tcMar>
          </w:tcPr>
          <w:p w14:paraId="14A5817E" w14:textId="77777777" w:rsidR="008762E9" w:rsidRPr="002F4348" w:rsidRDefault="008762E9" w:rsidP="008762E9">
            <w:pPr>
              <w:spacing w:line="240" w:lineRule="auto"/>
              <w:ind w:firstLine="0"/>
              <w:contextualSpacing/>
              <w:jc w:val="center"/>
              <w:rPr>
                <w:rFonts w:cs="Arial"/>
                <w:sz w:val="22"/>
              </w:rPr>
            </w:pPr>
            <w:r w:rsidRPr="002F4348">
              <w:rPr>
                <w:rFonts w:cs="Arial"/>
                <w:sz w:val="22"/>
                <w:lang w:val="en-US"/>
              </w:rPr>
              <w:t>&gt;300</w:t>
            </w:r>
            <w:r w:rsidRPr="002F4348">
              <w:rPr>
                <w:rFonts w:cs="Arial"/>
                <w:sz w:val="22"/>
              </w:rPr>
              <w:t xml:space="preserve"> мг/м</w:t>
            </w:r>
            <w:r w:rsidR="003430E6" w:rsidRPr="002F4348">
              <w:rPr>
                <w:rFonts w:cs="Arial"/>
                <w:sz w:val="22"/>
                <w:vertAlign w:val="superscript"/>
              </w:rPr>
              <w:t>2</w:t>
            </w:r>
          </w:p>
        </w:tc>
        <w:tc>
          <w:tcPr>
            <w:tcW w:w="1382" w:type="pct"/>
            <w:tcMar>
              <w:top w:w="72" w:type="dxa"/>
              <w:left w:w="144" w:type="dxa"/>
              <w:bottom w:w="72" w:type="dxa"/>
              <w:right w:w="144" w:type="dxa"/>
            </w:tcMar>
          </w:tcPr>
          <w:p w14:paraId="2C656FEE" w14:textId="77777777" w:rsidR="008762E9" w:rsidRPr="002F4348" w:rsidRDefault="008762E9" w:rsidP="008762E9">
            <w:pPr>
              <w:spacing w:line="240" w:lineRule="auto"/>
              <w:ind w:firstLine="0"/>
              <w:contextualSpacing/>
              <w:jc w:val="center"/>
              <w:rPr>
                <w:rFonts w:cs="Arial"/>
                <w:sz w:val="22"/>
              </w:rPr>
            </w:pPr>
            <w:r w:rsidRPr="002F4348">
              <w:rPr>
                <w:rFonts w:cs="Arial"/>
                <w:sz w:val="22"/>
              </w:rPr>
              <w:t>раз в год</w:t>
            </w:r>
          </w:p>
        </w:tc>
      </w:tr>
      <w:tr w:rsidR="008762E9" w:rsidRPr="002F4348" w14:paraId="624BEBB5" w14:textId="77777777" w:rsidTr="003007A6">
        <w:trPr>
          <w:trHeight w:val="159"/>
        </w:trPr>
        <w:tc>
          <w:tcPr>
            <w:tcW w:w="845" w:type="pct"/>
            <w:vMerge w:val="restart"/>
            <w:tcMar>
              <w:top w:w="72" w:type="dxa"/>
              <w:left w:w="144" w:type="dxa"/>
              <w:bottom w:w="72" w:type="dxa"/>
              <w:right w:w="144" w:type="dxa"/>
            </w:tcMar>
          </w:tcPr>
          <w:p w14:paraId="3A0DAE84" w14:textId="77777777" w:rsidR="008762E9" w:rsidRPr="002F4348" w:rsidRDefault="008762E9" w:rsidP="008762E9">
            <w:pPr>
              <w:spacing w:line="240" w:lineRule="auto"/>
              <w:ind w:firstLine="0"/>
              <w:contextualSpacing/>
              <w:jc w:val="center"/>
              <w:rPr>
                <w:rFonts w:cs="Arial"/>
                <w:sz w:val="22"/>
              </w:rPr>
            </w:pPr>
            <w:r w:rsidRPr="002F4348">
              <w:rPr>
                <w:rFonts w:cs="Arial"/>
                <w:sz w:val="22"/>
                <w:lang w:val="en-US"/>
              </w:rPr>
              <w:t xml:space="preserve">&gt; 5 </w:t>
            </w:r>
            <w:r w:rsidRPr="002F4348">
              <w:rPr>
                <w:rFonts w:cs="Arial"/>
                <w:sz w:val="22"/>
              </w:rPr>
              <w:t>лет</w:t>
            </w:r>
          </w:p>
        </w:tc>
        <w:tc>
          <w:tcPr>
            <w:tcW w:w="1250" w:type="pct"/>
            <w:vMerge w:val="restart"/>
            <w:tcMar>
              <w:top w:w="72" w:type="dxa"/>
              <w:left w:w="144" w:type="dxa"/>
              <w:bottom w:w="72" w:type="dxa"/>
              <w:right w:w="144" w:type="dxa"/>
            </w:tcMar>
          </w:tcPr>
          <w:p w14:paraId="39ECC091" w14:textId="77777777" w:rsidR="008762E9" w:rsidRPr="002F4348" w:rsidRDefault="008762E9" w:rsidP="008762E9">
            <w:pPr>
              <w:spacing w:line="240" w:lineRule="auto"/>
              <w:ind w:firstLine="0"/>
              <w:contextualSpacing/>
              <w:jc w:val="center"/>
              <w:rPr>
                <w:rFonts w:cs="Arial"/>
                <w:sz w:val="22"/>
              </w:rPr>
            </w:pPr>
            <w:r w:rsidRPr="002F4348">
              <w:rPr>
                <w:rFonts w:cs="Arial"/>
                <w:sz w:val="22"/>
              </w:rPr>
              <w:t>+</w:t>
            </w:r>
          </w:p>
        </w:tc>
        <w:tc>
          <w:tcPr>
            <w:tcW w:w="1524" w:type="pct"/>
            <w:tcMar>
              <w:top w:w="72" w:type="dxa"/>
              <w:left w:w="144" w:type="dxa"/>
              <w:bottom w:w="72" w:type="dxa"/>
              <w:right w:w="144" w:type="dxa"/>
            </w:tcMar>
          </w:tcPr>
          <w:p w14:paraId="4AA44082" w14:textId="77777777" w:rsidR="008762E9" w:rsidRPr="002F4348" w:rsidRDefault="008762E9" w:rsidP="008762E9">
            <w:pPr>
              <w:spacing w:line="240" w:lineRule="auto"/>
              <w:ind w:firstLine="0"/>
              <w:contextualSpacing/>
              <w:jc w:val="center"/>
              <w:rPr>
                <w:rFonts w:cs="Arial"/>
                <w:sz w:val="22"/>
              </w:rPr>
            </w:pPr>
            <w:r w:rsidRPr="002F4348">
              <w:rPr>
                <w:rFonts w:cs="Arial"/>
                <w:sz w:val="22"/>
                <w:lang w:val="en-US"/>
              </w:rPr>
              <w:t>&lt;300</w:t>
            </w:r>
            <w:r w:rsidRPr="002F4348">
              <w:rPr>
                <w:rFonts w:cs="Arial"/>
                <w:sz w:val="22"/>
              </w:rPr>
              <w:t xml:space="preserve"> мг/м</w:t>
            </w:r>
            <w:r w:rsidR="003430E6" w:rsidRPr="002F4348">
              <w:rPr>
                <w:rFonts w:cs="Arial"/>
                <w:sz w:val="22"/>
                <w:vertAlign w:val="superscript"/>
              </w:rPr>
              <w:t>2</w:t>
            </w:r>
          </w:p>
        </w:tc>
        <w:tc>
          <w:tcPr>
            <w:tcW w:w="1382" w:type="pct"/>
            <w:tcMar>
              <w:top w:w="72" w:type="dxa"/>
              <w:left w:w="144" w:type="dxa"/>
              <w:bottom w:w="72" w:type="dxa"/>
              <w:right w:w="144" w:type="dxa"/>
            </w:tcMar>
          </w:tcPr>
          <w:p w14:paraId="1A4BA028" w14:textId="77777777" w:rsidR="008762E9" w:rsidRPr="002F4348" w:rsidRDefault="008762E9" w:rsidP="008762E9">
            <w:pPr>
              <w:spacing w:line="240" w:lineRule="auto"/>
              <w:ind w:firstLine="0"/>
              <w:contextualSpacing/>
              <w:jc w:val="center"/>
              <w:rPr>
                <w:rFonts w:cs="Arial"/>
                <w:sz w:val="22"/>
              </w:rPr>
            </w:pPr>
            <w:r w:rsidRPr="002F4348">
              <w:rPr>
                <w:rFonts w:cs="Arial"/>
                <w:sz w:val="22"/>
              </w:rPr>
              <w:t>каждые 2 года</w:t>
            </w:r>
          </w:p>
        </w:tc>
      </w:tr>
      <w:tr w:rsidR="008762E9" w:rsidRPr="002F4348" w14:paraId="4C295DA3" w14:textId="77777777" w:rsidTr="003007A6">
        <w:trPr>
          <w:trHeight w:val="139"/>
        </w:trPr>
        <w:tc>
          <w:tcPr>
            <w:tcW w:w="845" w:type="pct"/>
            <w:vMerge/>
            <w:vAlign w:val="center"/>
          </w:tcPr>
          <w:p w14:paraId="159E5C0B" w14:textId="77777777" w:rsidR="008762E9" w:rsidRPr="002F4348" w:rsidRDefault="008762E9" w:rsidP="008762E9">
            <w:pPr>
              <w:spacing w:line="240" w:lineRule="auto"/>
              <w:ind w:firstLine="0"/>
              <w:contextualSpacing/>
              <w:jc w:val="center"/>
              <w:rPr>
                <w:rFonts w:cs="Arial"/>
                <w:sz w:val="22"/>
              </w:rPr>
            </w:pPr>
          </w:p>
        </w:tc>
        <w:tc>
          <w:tcPr>
            <w:tcW w:w="1250" w:type="pct"/>
            <w:vMerge/>
            <w:vAlign w:val="center"/>
          </w:tcPr>
          <w:p w14:paraId="773DCAF0" w14:textId="77777777" w:rsidR="008762E9" w:rsidRPr="002F4348" w:rsidRDefault="008762E9" w:rsidP="008762E9">
            <w:pPr>
              <w:spacing w:line="240" w:lineRule="auto"/>
              <w:ind w:firstLine="0"/>
              <w:contextualSpacing/>
              <w:jc w:val="center"/>
              <w:rPr>
                <w:rFonts w:cs="Arial"/>
                <w:sz w:val="22"/>
              </w:rPr>
            </w:pPr>
          </w:p>
        </w:tc>
        <w:tc>
          <w:tcPr>
            <w:tcW w:w="1524" w:type="pct"/>
            <w:tcMar>
              <w:top w:w="72" w:type="dxa"/>
              <w:left w:w="144" w:type="dxa"/>
              <w:bottom w:w="72" w:type="dxa"/>
              <w:right w:w="144" w:type="dxa"/>
            </w:tcMar>
          </w:tcPr>
          <w:p w14:paraId="189F5B31" w14:textId="77777777" w:rsidR="008762E9" w:rsidRPr="002F4348" w:rsidRDefault="008762E9" w:rsidP="008762E9">
            <w:pPr>
              <w:spacing w:line="240" w:lineRule="auto"/>
              <w:ind w:firstLine="0"/>
              <w:contextualSpacing/>
              <w:jc w:val="center"/>
              <w:rPr>
                <w:rFonts w:cs="Arial"/>
                <w:sz w:val="22"/>
              </w:rPr>
            </w:pPr>
            <w:r w:rsidRPr="002F4348">
              <w:rPr>
                <w:rFonts w:cs="Arial"/>
                <w:sz w:val="22"/>
                <w:lang w:val="en-US"/>
              </w:rPr>
              <w:t>&gt;300</w:t>
            </w:r>
            <w:r w:rsidRPr="002F4348">
              <w:rPr>
                <w:rFonts w:cs="Arial"/>
                <w:sz w:val="22"/>
              </w:rPr>
              <w:t xml:space="preserve"> мг/м</w:t>
            </w:r>
            <w:r w:rsidR="003430E6" w:rsidRPr="002F4348">
              <w:rPr>
                <w:rFonts w:cs="Arial"/>
                <w:sz w:val="22"/>
                <w:vertAlign w:val="superscript"/>
              </w:rPr>
              <w:t>2</w:t>
            </w:r>
          </w:p>
        </w:tc>
        <w:tc>
          <w:tcPr>
            <w:tcW w:w="1382" w:type="pct"/>
            <w:tcMar>
              <w:top w:w="72" w:type="dxa"/>
              <w:left w:w="144" w:type="dxa"/>
              <w:bottom w:w="72" w:type="dxa"/>
              <w:right w:w="144" w:type="dxa"/>
            </w:tcMar>
          </w:tcPr>
          <w:p w14:paraId="347A1FF9" w14:textId="77777777" w:rsidR="008762E9" w:rsidRPr="002F4348" w:rsidRDefault="008762E9" w:rsidP="008762E9">
            <w:pPr>
              <w:spacing w:line="240" w:lineRule="auto"/>
              <w:ind w:firstLine="0"/>
              <w:contextualSpacing/>
              <w:jc w:val="center"/>
              <w:rPr>
                <w:rFonts w:cs="Arial"/>
                <w:sz w:val="22"/>
              </w:rPr>
            </w:pPr>
            <w:r w:rsidRPr="002F4348">
              <w:rPr>
                <w:rFonts w:cs="Arial"/>
                <w:sz w:val="22"/>
              </w:rPr>
              <w:t>раз в год</w:t>
            </w:r>
          </w:p>
        </w:tc>
      </w:tr>
      <w:tr w:rsidR="008762E9" w:rsidRPr="002F4348" w14:paraId="462554EB" w14:textId="77777777" w:rsidTr="003007A6">
        <w:trPr>
          <w:trHeight w:val="303"/>
        </w:trPr>
        <w:tc>
          <w:tcPr>
            <w:tcW w:w="845" w:type="pct"/>
            <w:vMerge/>
            <w:vAlign w:val="center"/>
          </w:tcPr>
          <w:p w14:paraId="69FA094F" w14:textId="77777777" w:rsidR="008762E9" w:rsidRPr="002F4348" w:rsidRDefault="008762E9" w:rsidP="008762E9">
            <w:pPr>
              <w:spacing w:line="240" w:lineRule="auto"/>
              <w:ind w:firstLine="0"/>
              <w:contextualSpacing/>
              <w:jc w:val="center"/>
              <w:rPr>
                <w:rFonts w:cs="Arial"/>
                <w:sz w:val="22"/>
              </w:rPr>
            </w:pPr>
          </w:p>
        </w:tc>
        <w:tc>
          <w:tcPr>
            <w:tcW w:w="1250" w:type="pct"/>
            <w:vMerge w:val="restart"/>
            <w:tcMar>
              <w:top w:w="72" w:type="dxa"/>
              <w:left w:w="144" w:type="dxa"/>
              <w:bottom w:w="72" w:type="dxa"/>
              <w:right w:w="144" w:type="dxa"/>
            </w:tcMar>
          </w:tcPr>
          <w:p w14:paraId="38440666" w14:textId="77777777" w:rsidR="008762E9" w:rsidRPr="002F4348" w:rsidRDefault="008762E9" w:rsidP="008762E9">
            <w:pPr>
              <w:spacing w:line="240" w:lineRule="auto"/>
              <w:ind w:firstLine="0"/>
              <w:contextualSpacing/>
              <w:jc w:val="center"/>
              <w:rPr>
                <w:rFonts w:cs="Arial"/>
                <w:sz w:val="22"/>
              </w:rPr>
            </w:pPr>
            <w:r w:rsidRPr="002F4348">
              <w:rPr>
                <w:rFonts w:cs="Arial"/>
                <w:sz w:val="22"/>
              </w:rPr>
              <w:t>-</w:t>
            </w:r>
          </w:p>
        </w:tc>
        <w:tc>
          <w:tcPr>
            <w:tcW w:w="1524" w:type="pct"/>
            <w:tcMar>
              <w:top w:w="72" w:type="dxa"/>
              <w:left w:w="144" w:type="dxa"/>
              <w:bottom w:w="72" w:type="dxa"/>
              <w:right w:w="144" w:type="dxa"/>
            </w:tcMar>
          </w:tcPr>
          <w:p w14:paraId="24B643B5" w14:textId="77777777" w:rsidR="008762E9" w:rsidRPr="002F4348" w:rsidRDefault="008762E9" w:rsidP="008762E9">
            <w:pPr>
              <w:spacing w:line="240" w:lineRule="auto"/>
              <w:ind w:firstLine="0"/>
              <w:contextualSpacing/>
              <w:jc w:val="center"/>
              <w:rPr>
                <w:rFonts w:cs="Arial"/>
                <w:sz w:val="22"/>
              </w:rPr>
            </w:pPr>
            <w:r w:rsidRPr="002F4348">
              <w:rPr>
                <w:rFonts w:cs="Arial"/>
                <w:sz w:val="22"/>
                <w:lang w:val="en-US"/>
              </w:rPr>
              <w:t>&lt;200</w:t>
            </w:r>
            <w:r w:rsidRPr="002F4348">
              <w:rPr>
                <w:rFonts w:cs="Arial"/>
                <w:sz w:val="22"/>
              </w:rPr>
              <w:t xml:space="preserve"> мг/м</w:t>
            </w:r>
            <w:r w:rsidR="003430E6" w:rsidRPr="002F4348">
              <w:rPr>
                <w:rFonts w:cs="Arial"/>
                <w:sz w:val="22"/>
                <w:vertAlign w:val="superscript"/>
              </w:rPr>
              <w:t>2</w:t>
            </w:r>
          </w:p>
        </w:tc>
        <w:tc>
          <w:tcPr>
            <w:tcW w:w="1382" w:type="pct"/>
            <w:tcMar>
              <w:top w:w="72" w:type="dxa"/>
              <w:left w:w="144" w:type="dxa"/>
              <w:bottom w:w="72" w:type="dxa"/>
              <w:right w:w="144" w:type="dxa"/>
            </w:tcMar>
          </w:tcPr>
          <w:p w14:paraId="7F50499F" w14:textId="77777777" w:rsidR="008762E9" w:rsidRPr="002F4348" w:rsidRDefault="008762E9" w:rsidP="008762E9">
            <w:pPr>
              <w:spacing w:line="240" w:lineRule="auto"/>
              <w:ind w:firstLine="0"/>
              <w:contextualSpacing/>
              <w:jc w:val="center"/>
              <w:rPr>
                <w:rFonts w:cs="Arial"/>
                <w:sz w:val="22"/>
              </w:rPr>
            </w:pPr>
            <w:r w:rsidRPr="002F4348">
              <w:rPr>
                <w:rFonts w:cs="Arial"/>
                <w:sz w:val="22"/>
              </w:rPr>
              <w:t>каждые 5 лет</w:t>
            </w:r>
          </w:p>
        </w:tc>
      </w:tr>
      <w:tr w:rsidR="008762E9" w:rsidRPr="002F4348" w14:paraId="2B384FF7" w14:textId="77777777" w:rsidTr="003007A6">
        <w:trPr>
          <w:trHeight w:val="297"/>
        </w:trPr>
        <w:tc>
          <w:tcPr>
            <w:tcW w:w="845" w:type="pct"/>
            <w:vMerge/>
            <w:vAlign w:val="center"/>
          </w:tcPr>
          <w:p w14:paraId="21379477" w14:textId="77777777" w:rsidR="008762E9" w:rsidRPr="002F4348" w:rsidRDefault="008762E9" w:rsidP="008762E9">
            <w:pPr>
              <w:spacing w:line="240" w:lineRule="auto"/>
              <w:ind w:firstLine="0"/>
              <w:contextualSpacing/>
              <w:jc w:val="center"/>
              <w:rPr>
                <w:rFonts w:cs="Arial"/>
                <w:sz w:val="22"/>
              </w:rPr>
            </w:pPr>
          </w:p>
        </w:tc>
        <w:tc>
          <w:tcPr>
            <w:tcW w:w="1250" w:type="pct"/>
            <w:vMerge/>
            <w:vAlign w:val="center"/>
          </w:tcPr>
          <w:p w14:paraId="6C474B94" w14:textId="77777777" w:rsidR="008762E9" w:rsidRPr="002F4348" w:rsidRDefault="008762E9" w:rsidP="008762E9">
            <w:pPr>
              <w:spacing w:line="240" w:lineRule="auto"/>
              <w:ind w:firstLine="0"/>
              <w:contextualSpacing/>
              <w:jc w:val="center"/>
              <w:rPr>
                <w:rFonts w:cs="Arial"/>
                <w:sz w:val="22"/>
              </w:rPr>
            </w:pPr>
          </w:p>
        </w:tc>
        <w:tc>
          <w:tcPr>
            <w:tcW w:w="1524" w:type="pct"/>
            <w:tcMar>
              <w:top w:w="72" w:type="dxa"/>
              <w:left w:w="144" w:type="dxa"/>
              <w:bottom w:w="72" w:type="dxa"/>
              <w:right w:w="144" w:type="dxa"/>
            </w:tcMar>
          </w:tcPr>
          <w:p w14:paraId="062B6F5F" w14:textId="77777777" w:rsidR="008762E9" w:rsidRPr="002F4348" w:rsidRDefault="008762E9" w:rsidP="008762E9">
            <w:pPr>
              <w:spacing w:line="240" w:lineRule="auto"/>
              <w:ind w:firstLine="0"/>
              <w:contextualSpacing/>
              <w:jc w:val="center"/>
              <w:rPr>
                <w:rFonts w:cs="Arial"/>
                <w:sz w:val="22"/>
              </w:rPr>
            </w:pPr>
            <w:r w:rsidRPr="002F4348">
              <w:rPr>
                <w:rFonts w:cs="Arial"/>
                <w:sz w:val="22"/>
                <w:lang w:val="en-US"/>
              </w:rPr>
              <w:t>200-300</w:t>
            </w:r>
            <w:r w:rsidRPr="002F4348">
              <w:rPr>
                <w:rFonts w:cs="Arial"/>
                <w:sz w:val="22"/>
              </w:rPr>
              <w:t xml:space="preserve"> мг/м</w:t>
            </w:r>
            <w:r w:rsidR="003430E6" w:rsidRPr="002F4348">
              <w:rPr>
                <w:rFonts w:cs="Arial"/>
                <w:sz w:val="22"/>
                <w:vertAlign w:val="superscript"/>
              </w:rPr>
              <w:t>2</w:t>
            </w:r>
          </w:p>
        </w:tc>
        <w:tc>
          <w:tcPr>
            <w:tcW w:w="1382" w:type="pct"/>
            <w:tcMar>
              <w:top w:w="72" w:type="dxa"/>
              <w:left w:w="144" w:type="dxa"/>
              <w:bottom w:w="72" w:type="dxa"/>
              <w:right w:w="144" w:type="dxa"/>
            </w:tcMar>
          </w:tcPr>
          <w:p w14:paraId="4B5C33B4" w14:textId="77777777" w:rsidR="008762E9" w:rsidRPr="002F4348" w:rsidRDefault="008762E9" w:rsidP="008762E9">
            <w:pPr>
              <w:spacing w:line="240" w:lineRule="auto"/>
              <w:ind w:firstLine="0"/>
              <w:contextualSpacing/>
              <w:jc w:val="center"/>
              <w:rPr>
                <w:rFonts w:cs="Arial"/>
                <w:sz w:val="22"/>
              </w:rPr>
            </w:pPr>
            <w:r w:rsidRPr="002F4348">
              <w:rPr>
                <w:rFonts w:cs="Arial"/>
                <w:sz w:val="22"/>
              </w:rPr>
              <w:t>каждые 2 года</w:t>
            </w:r>
          </w:p>
        </w:tc>
      </w:tr>
      <w:tr w:rsidR="008762E9" w:rsidRPr="002F4348" w14:paraId="532B0371" w14:textId="77777777" w:rsidTr="003007A6">
        <w:trPr>
          <w:trHeight w:val="163"/>
        </w:trPr>
        <w:tc>
          <w:tcPr>
            <w:tcW w:w="845" w:type="pct"/>
            <w:vMerge/>
            <w:vAlign w:val="center"/>
          </w:tcPr>
          <w:p w14:paraId="2A608CD3" w14:textId="77777777" w:rsidR="008762E9" w:rsidRPr="002F4348" w:rsidRDefault="008762E9" w:rsidP="008762E9">
            <w:pPr>
              <w:spacing w:line="240" w:lineRule="auto"/>
              <w:ind w:firstLine="0"/>
              <w:contextualSpacing/>
              <w:jc w:val="center"/>
              <w:rPr>
                <w:rFonts w:cs="Arial"/>
                <w:sz w:val="22"/>
              </w:rPr>
            </w:pPr>
          </w:p>
        </w:tc>
        <w:tc>
          <w:tcPr>
            <w:tcW w:w="1250" w:type="pct"/>
            <w:vMerge/>
            <w:vAlign w:val="center"/>
          </w:tcPr>
          <w:p w14:paraId="5507492D" w14:textId="77777777" w:rsidR="008762E9" w:rsidRPr="002F4348" w:rsidRDefault="008762E9" w:rsidP="008762E9">
            <w:pPr>
              <w:spacing w:line="240" w:lineRule="auto"/>
              <w:ind w:firstLine="0"/>
              <w:contextualSpacing/>
              <w:jc w:val="center"/>
              <w:rPr>
                <w:rFonts w:cs="Arial"/>
                <w:sz w:val="22"/>
              </w:rPr>
            </w:pPr>
          </w:p>
        </w:tc>
        <w:tc>
          <w:tcPr>
            <w:tcW w:w="1524" w:type="pct"/>
            <w:tcMar>
              <w:top w:w="72" w:type="dxa"/>
              <w:left w:w="144" w:type="dxa"/>
              <w:bottom w:w="72" w:type="dxa"/>
              <w:right w:w="144" w:type="dxa"/>
            </w:tcMar>
          </w:tcPr>
          <w:p w14:paraId="138F2AFA" w14:textId="77777777" w:rsidR="008762E9" w:rsidRPr="002F4348" w:rsidRDefault="008762E9" w:rsidP="008762E9">
            <w:pPr>
              <w:spacing w:line="240" w:lineRule="auto"/>
              <w:ind w:firstLine="0"/>
              <w:contextualSpacing/>
              <w:jc w:val="center"/>
              <w:rPr>
                <w:rFonts w:cs="Arial"/>
                <w:sz w:val="22"/>
              </w:rPr>
            </w:pPr>
            <w:r w:rsidRPr="002F4348">
              <w:rPr>
                <w:rFonts w:cs="Arial"/>
                <w:sz w:val="22"/>
                <w:lang w:val="en-US"/>
              </w:rPr>
              <w:t>&gt;300</w:t>
            </w:r>
            <w:r w:rsidRPr="002F4348">
              <w:rPr>
                <w:rFonts w:cs="Arial"/>
                <w:sz w:val="22"/>
              </w:rPr>
              <w:t xml:space="preserve"> мг/м</w:t>
            </w:r>
            <w:r w:rsidR="003430E6" w:rsidRPr="002F4348">
              <w:rPr>
                <w:rFonts w:cs="Arial"/>
                <w:sz w:val="22"/>
                <w:vertAlign w:val="superscript"/>
              </w:rPr>
              <w:t>2</w:t>
            </w:r>
          </w:p>
        </w:tc>
        <w:tc>
          <w:tcPr>
            <w:tcW w:w="1382" w:type="pct"/>
            <w:tcMar>
              <w:top w:w="72" w:type="dxa"/>
              <w:left w:w="144" w:type="dxa"/>
              <w:bottom w:w="72" w:type="dxa"/>
              <w:right w:w="144" w:type="dxa"/>
            </w:tcMar>
          </w:tcPr>
          <w:p w14:paraId="7670744F" w14:textId="77777777" w:rsidR="008762E9" w:rsidRPr="002F4348" w:rsidRDefault="008762E9" w:rsidP="008762E9">
            <w:pPr>
              <w:spacing w:line="240" w:lineRule="auto"/>
              <w:ind w:firstLine="0"/>
              <w:contextualSpacing/>
              <w:jc w:val="center"/>
              <w:rPr>
                <w:rFonts w:cs="Arial"/>
                <w:sz w:val="22"/>
              </w:rPr>
            </w:pPr>
            <w:r w:rsidRPr="002F4348">
              <w:rPr>
                <w:rFonts w:cs="Arial"/>
                <w:sz w:val="22"/>
              </w:rPr>
              <w:t>раз в год</w:t>
            </w:r>
          </w:p>
        </w:tc>
      </w:tr>
    </w:tbl>
    <w:p w14:paraId="342FF2EC" w14:textId="77777777" w:rsidR="00F82F9F" w:rsidRPr="002F4348" w:rsidRDefault="00F82F9F" w:rsidP="00831EAA">
      <w:pPr>
        <w:ind w:left="709" w:firstLine="0"/>
        <w:contextualSpacing/>
        <w:rPr>
          <w:b/>
        </w:rPr>
      </w:pPr>
    </w:p>
    <w:p w14:paraId="2E871EA7" w14:textId="77777777" w:rsidR="009B4039" w:rsidRPr="002F4348" w:rsidRDefault="00C4630C" w:rsidP="00C4630C">
      <w:pPr>
        <w:pStyle w:val="afff2"/>
      </w:pPr>
      <w:bookmarkStart w:id="52" w:name="_Toc65586401"/>
      <w:r w:rsidRPr="002F4348">
        <w:lastRenderedPageBreak/>
        <w:t xml:space="preserve">6. </w:t>
      </w:r>
      <w:r w:rsidR="009B4039" w:rsidRPr="002F4348">
        <w:t>Организация медицинской помощи</w:t>
      </w:r>
      <w:bookmarkEnd w:id="52"/>
    </w:p>
    <w:p w14:paraId="10AFBB1F" w14:textId="77777777" w:rsidR="00613DB8" w:rsidRPr="002F4348" w:rsidRDefault="00613DB8" w:rsidP="00613DB8">
      <w:pPr>
        <w:spacing w:before="120"/>
        <w:ind w:firstLine="851"/>
      </w:pPr>
      <w:r w:rsidRPr="002F4348">
        <w:t>Медицинская помощь, за исключением медицинской помощи в рамках клинической апробации, в соответствии с федеральным законом от 21.11.2011 № 323-ФЗ (ред. от 25.05.2019) «Об основах охраны здоровья граждан в Российской Федерации» организуется и оказывается:</w:t>
      </w:r>
    </w:p>
    <w:p w14:paraId="40AA4E8E" w14:textId="77777777" w:rsidR="00613DB8" w:rsidRPr="002F4348" w:rsidRDefault="00613DB8" w:rsidP="00B153FC">
      <w:pPr>
        <w:pStyle w:val="afe"/>
        <w:numPr>
          <w:ilvl w:val="0"/>
          <w:numId w:val="21"/>
        </w:numPr>
        <w:ind w:left="0" w:firstLine="851"/>
      </w:pPr>
      <w:r w:rsidRPr="002F4348">
        <w:t>в соответствии с положением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14:paraId="60948390" w14:textId="77777777" w:rsidR="00613DB8" w:rsidRPr="002F4348" w:rsidRDefault="00613DB8" w:rsidP="00B153FC">
      <w:pPr>
        <w:pStyle w:val="afe"/>
        <w:numPr>
          <w:ilvl w:val="0"/>
          <w:numId w:val="21"/>
        </w:numPr>
        <w:ind w:left="0" w:firstLine="851"/>
      </w:pPr>
      <w:r w:rsidRPr="002F4348">
        <w:t>в соответствии с порядком оказания помощи по профилю «онкология», обязательным для исполнения на территории Российской Федерации всеми медицинскими организациями;</w:t>
      </w:r>
    </w:p>
    <w:p w14:paraId="3C880D52" w14:textId="77777777" w:rsidR="00613DB8" w:rsidRPr="002F4348" w:rsidRDefault="00613DB8" w:rsidP="00B153FC">
      <w:pPr>
        <w:pStyle w:val="afe"/>
        <w:numPr>
          <w:ilvl w:val="0"/>
          <w:numId w:val="21"/>
        </w:numPr>
        <w:ind w:left="0" w:firstLine="851"/>
      </w:pPr>
      <w:r w:rsidRPr="002F4348">
        <w:t>на основе настоящих клинических рекомендаций;</w:t>
      </w:r>
    </w:p>
    <w:p w14:paraId="4A73CCBE" w14:textId="77777777" w:rsidR="00613DB8" w:rsidRPr="002F4348" w:rsidRDefault="00613DB8" w:rsidP="00B153FC">
      <w:pPr>
        <w:pStyle w:val="afe"/>
        <w:numPr>
          <w:ilvl w:val="0"/>
          <w:numId w:val="21"/>
        </w:numPr>
        <w:ind w:left="0" w:firstLine="851"/>
      </w:pPr>
      <w:r w:rsidRPr="002F4348">
        <w:t>с учетом стандартов медицинской помощи, утвержденных уполномоченным федеральным органом исполнительной власти.</w:t>
      </w:r>
    </w:p>
    <w:p w14:paraId="57827993" w14:textId="77777777" w:rsidR="00613DB8" w:rsidRPr="002F4348" w:rsidRDefault="00613DB8" w:rsidP="00613DB8">
      <w:pPr>
        <w:ind w:firstLine="851"/>
      </w:pPr>
      <w:r w:rsidRPr="002F4348">
        <w:t>Первичная специализированная медико-санитарная помощь оказывается врачом-онкологом и иными врачами-специалистами в центре амбулаторной онкологической помощи либо в первичном онкологическом кабинете, первичном онкологическом отделении, поликлиническом отделении онкологического диспансера.</w:t>
      </w:r>
    </w:p>
    <w:p w14:paraId="437EF377" w14:textId="77777777" w:rsidR="00613DB8" w:rsidRPr="002F4348" w:rsidRDefault="00613DB8" w:rsidP="00613DB8">
      <w:pPr>
        <w:ind w:firstLine="851"/>
      </w:pPr>
      <w:r w:rsidRPr="002F4348">
        <w:t xml:space="preserve">При выявлении у пациента </w:t>
      </w:r>
      <w:r w:rsidR="00B145CD" w:rsidRPr="002F4348">
        <w:t>ЛХ</w:t>
      </w:r>
      <w:r w:rsidRPr="002F4348">
        <w:t xml:space="preserve"> или подозрении на него врачи-терапевты, врачи-терапевты участковые, врачи общей практики (семейные врачи), врачи-специалисты, средние медицинские работники в установленном порядке направляют пациента на консультацию в центр амбулаторной онкологической помощи либо в первичный онкологический кабинет, первичное онкологическое отделение медицинской организации для оказания ему первичной специализированной медико-санитарной помощи.</w:t>
      </w:r>
    </w:p>
    <w:p w14:paraId="784EE7C1" w14:textId="77777777" w:rsidR="00613DB8" w:rsidRPr="002F4348" w:rsidRDefault="00613DB8" w:rsidP="00613DB8">
      <w:pPr>
        <w:ind w:firstLine="851"/>
      </w:pPr>
      <w:r w:rsidRPr="002F4348">
        <w:t>Консультация в центре амбулаторной онкологической помощи либо в первичном онкологическом кабинете, первичном онкологическом отделении медицинской организации должна быть проведена не позднее 5 рабочих дней с даты выдачи направления на консультацию. Врач-онколог центра амбулаторной онкологической помощи (в случае отсутствия центра амбулаторной онкологической помощи врач-онколог первичного онкологического кабинета или первичного онкологического отделения) организует взятие биопсийного (операционного) материала, а также организует выполнение иных диагностических исследований, необходимых для установления диагноза, включая распространенность онкологического процесса и стадию заболевания.</w:t>
      </w:r>
    </w:p>
    <w:p w14:paraId="061DDAEA" w14:textId="77777777" w:rsidR="00613DB8" w:rsidRPr="002F4348" w:rsidRDefault="00613DB8" w:rsidP="00613DB8">
      <w:pPr>
        <w:ind w:firstLine="851"/>
      </w:pPr>
      <w:r w:rsidRPr="002F4348">
        <w:t>В случае невозможности взятия в медицинской организации, в составе которой организован центр амбулаторной онкологической помощи (первичный онкологический кабинет, первичное онкологическое отделение), биопсийного (операционного) материала, проведения иных диагностических исследований пациент направляется лечащим врачом в онкологический диспансер или в медицинскую организацию, оказывающую медицинскую помощь пациентам с онкологическими заболеваниями.</w:t>
      </w:r>
    </w:p>
    <w:p w14:paraId="426409F7" w14:textId="77777777" w:rsidR="00613DB8" w:rsidRPr="002F4348" w:rsidRDefault="00613DB8" w:rsidP="00613DB8">
      <w:pPr>
        <w:ind w:firstLine="851"/>
      </w:pPr>
      <w:r w:rsidRPr="002F4348">
        <w:t>Срок выполнения патологоанатомических исследований, необходимых для гистологической верификации злокачественного новообразования, не должен превышать 15 рабочих дней с даты поступления биопсийного (операционного) материала в патологоанатомическое бюро (отделение).</w:t>
      </w:r>
    </w:p>
    <w:p w14:paraId="12DF2319" w14:textId="77777777" w:rsidR="00613DB8" w:rsidRPr="002F4348" w:rsidRDefault="00613DB8" w:rsidP="00613DB8">
      <w:pPr>
        <w:ind w:firstLine="851"/>
      </w:pPr>
      <w:r w:rsidRPr="002F4348">
        <w:t xml:space="preserve">При выявлении </w:t>
      </w:r>
      <w:r w:rsidR="00B145CD" w:rsidRPr="002F4348">
        <w:t>ЛХ</w:t>
      </w:r>
      <w:r w:rsidRPr="002F4348">
        <w:t xml:space="preserve"> или подозрении на него в ходе оказания скорой медицинской помощи пациента переводят или направляют в медицинские организации, оказывающие медицинскую помощь пациентам с онкологическими заболеваниями, для определения тактики ведения и необходимости применения дополнительно других методов специализированного противоопухолевого лечения.</w:t>
      </w:r>
    </w:p>
    <w:p w14:paraId="15522BCF" w14:textId="77777777" w:rsidR="00613DB8" w:rsidRPr="002F4348" w:rsidRDefault="00613DB8" w:rsidP="00613DB8">
      <w:pPr>
        <w:ind w:firstLine="851"/>
      </w:pPr>
      <w:r w:rsidRPr="002F4348">
        <w:t>Врач-онколог центра амбулаторной онкологической помощи (первичного онкологического кабинета, первичного онкологического отделения) направляет пациента в онкологический диспансер или в медицинские организации, оказывающие медицинскую помощь пациентам с онкологическими заболеваниями, для уточнения диагноза (в случае невозможности установления диагноза, включая распространенность онкологического процесса и стадию заболевания, врачом-онкологом центра амбулаторной онкологической помощи, первичного онкологического кабинета или первичного онкологического отделения) и оказания специализированной, в том числе высокотехнологичной, медицинской помощи.</w:t>
      </w:r>
    </w:p>
    <w:p w14:paraId="0C6760BF" w14:textId="77777777" w:rsidR="00613DB8" w:rsidRPr="002F4348" w:rsidRDefault="00613DB8" w:rsidP="00613DB8">
      <w:pPr>
        <w:ind w:firstLine="851"/>
        <w:rPr>
          <w:color w:val="000000" w:themeColor="text1"/>
        </w:rPr>
      </w:pPr>
      <w:r w:rsidRPr="002F4348">
        <w:t xml:space="preserve">Срок начала оказания специализированной, за исключением высокотехнологичной, медицинской помощи пациентам с онкологическими заболеваниями в медицинской организации, оказывающей медицинскую помощь пациентам с онкологическими заболеваниями, не должен превышать 14 календарных дней с даты гистологической верификации </w:t>
      </w:r>
      <w:r w:rsidRPr="002F4348">
        <w:rPr>
          <w:color w:val="000000" w:themeColor="text1"/>
        </w:rPr>
        <w:t>злокачественного новообразования или 14 календарных дней с даты установления предварительного диагноза</w:t>
      </w:r>
      <w:r w:rsidR="00880FB4" w:rsidRPr="002F4348">
        <w:rPr>
          <w:color w:val="000000" w:themeColor="text1"/>
        </w:rPr>
        <w:t xml:space="preserve"> ЛХ</w:t>
      </w:r>
      <w:r w:rsidRPr="002F4348">
        <w:rPr>
          <w:color w:val="000000" w:themeColor="text1"/>
        </w:rPr>
        <w:t xml:space="preserve"> (в случае отсутствия медицинских показаний к проведению патолого-анатомических исследований в амбулаторных условиях).</w:t>
      </w:r>
    </w:p>
    <w:p w14:paraId="74F729DE" w14:textId="77777777" w:rsidR="00613DB8" w:rsidRPr="002F4348" w:rsidRDefault="00613DB8" w:rsidP="00613DB8">
      <w:pPr>
        <w:ind w:firstLine="851"/>
        <w:rPr>
          <w:color w:val="000000" w:themeColor="text1"/>
        </w:rPr>
      </w:pPr>
      <w:r w:rsidRPr="002F4348">
        <w:rPr>
          <w:color w:val="000000" w:themeColor="text1"/>
        </w:rPr>
        <w:t xml:space="preserve">Специализированная, в том числе высокотехнологичная, медицинская помощь оказывается врачами-онкологами, </w:t>
      </w:r>
      <w:r w:rsidR="00880FB4" w:rsidRPr="002F4348">
        <w:rPr>
          <w:color w:val="000000" w:themeColor="text1"/>
        </w:rPr>
        <w:t xml:space="preserve">врачами-гематологами, </w:t>
      </w:r>
      <w:r w:rsidRPr="002F4348">
        <w:rPr>
          <w:color w:val="000000" w:themeColor="text1"/>
        </w:rPr>
        <w:t xml:space="preserve">врачами-радиотерапевтами в онкологическом диспансере или в медицинских организациях, оказывающих медицинскую помощь пациентам с </w:t>
      </w:r>
      <w:r w:rsidR="001F1449" w:rsidRPr="002F4348">
        <w:rPr>
          <w:color w:val="000000" w:themeColor="text1"/>
        </w:rPr>
        <w:t>ЛХ</w:t>
      </w:r>
      <w:r w:rsidRPr="002F4348">
        <w:rPr>
          <w:color w:val="000000" w:themeColor="text1"/>
        </w:rPr>
        <w:t>, имеющих лицензию, необходимую материально-техническую базу, сертифицированных специалистов</w:t>
      </w:r>
      <w:r w:rsidRPr="002F4348">
        <w:t xml:space="preserve">, в стационарных условиях и условиях дневного стационара и включает в себя профилактику, диагностику, лечение онкологических заболеваний, требующих использования </w:t>
      </w:r>
      <w:r w:rsidRPr="002F4348">
        <w:rPr>
          <w:color w:val="000000" w:themeColor="text1"/>
        </w:rPr>
        <w:t>специальных методов и сложных уникальных медицинских технологий, а также медицинскую реабилитацию.</w:t>
      </w:r>
    </w:p>
    <w:p w14:paraId="490E297A" w14:textId="77777777" w:rsidR="00613DB8" w:rsidRPr="002F4348" w:rsidRDefault="00613DB8" w:rsidP="00613DB8">
      <w:pPr>
        <w:ind w:firstLine="851"/>
      </w:pPr>
      <w:r w:rsidRPr="002F4348">
        <w:rPr>
          <w:color w:val="000000" w:themeColor="text1"/>
        </w:rPr>
        <w:t xml:space="preserve">В медицинской организации, оказывающей медицинскую помощь пациентам с </w:t>
      </w:r>
      <w:r w:rsidR="001F1449" w:rsidRPr="002F4348">
        <w:rPr>
          <w:color w:val="000000" w:themeColor="text1"/>
        </w:rPr>
        <w:t>ЛХ</w:t>
      </w:r>
      <w:r w:rsidR="006C0C64" w:rsidRPr="002F4348">
        <w:rPr>
          <w:color w:val="000000" w:themeColor="text1"/>
        </w:rPr>
        <w:t>,</w:t>
      </w:r>
      <w:r w:rsidRPr="002F4348">
        <w:rPr>
          <w:color w:val="000000" w:themeColor="text1"/>
        </w:rPr>
        <w:t xml:space="preserve"> тактика медицинского обследования </w:t>
      </w:r>
      <w:r w:rsidRPr="002F4348">
        <w:t>и лечения устанавливается консилиумом врачей-онкологов и врачей-радиотерапевтов с привлечением при необходимости других врачей-специалистов. Решение консилиума врачей оформляется протоколом, подписывается участниками консилиума врачей и вносится в медицинскую документацию пациента.</w:t>
      </w:r>
    </w:p>
    <w:p w14:paraId="3F5A02AA" w14:textId="77777777" w:rsidR="00613DB8" w:rsidRPr="002F4348" w:rsidRDefault="00613DB8" w:rsidP="00613DB8">
      <w:pPr>
        <w:ind w:firstLine="851"/>
      </w:pPr>
      <w:r w:rsidRPr="002F4348">
        <w:t>Показания к госпитализации в круглосуточный или дневной стационар медицинской организации, оказывающей специализированную, в том числе высокотехнологичную, медицинскую помощь по профилю «онкология» определяются консилиумом врачей-онкологов и врачей-радиотерапевтов с привлечением при необходимости других врачей-специалистов.</w:t>
      </w:r>
    </w:p>
    <w:p w14:paraId="7B250953" w14:textId="77777777" w:rsidR="00613DB8" w:rsidRPr="002F4348" w:rsidRDefault="00613DB8" w:rsidP="00613DB8">
      <w:pPr>
        <w:pStyle w:val="1f0"/>
        <w:contextualSpacing/>
        <w:rPr>
          <w:b/>
        </w:rPr>
      </w:pPr>
      <w:r w:rsidRPr="002F4348">
        <w:rPr>
          <w:b/>
        </w:rPr>
        <w:t xml:space="preserve">Показания для плановой госпитализации: </w:t>
      </w:r>
    </w:p>
    <w:p w14:paraId="56E39FA0" w14:textId="77777777" w:rsidR="00613DB8" w:rsidRPr="002F4348" w:rsidRDefault="00613DB8" w:rsidP="00613DB8">
      <w:pPr>
        <w:pStyle w:val="1f0"/>
        <w:contextualSpacing/>
      </w:pPr>
      <w:r w:rsidRPr="002F4348">
        <w:t>1.</w:t>
      </w:r>
      <w:r w:rsidRPr="002F4348">
        <w:tab/>
        <w:t>Начало специфической терапии.</w:t>
      </w:r>
    </w:p>
    <w:p w14:paraId="756F9B4F" w14:textId="77777777" w:rsidR="00613DB8" w:rsidRPr="002F4348" w:rsidRDefault="00613DB8" w:rsidP="00613DB8">
      <w:pPr>
        <w:pStyle w:val="1f0"/>
        <w:contextualSpacing/>
      </w:pPr>
      <w:r w:rsidRPr="002F4348">
        <w:t>2.</w:t>
      </w:r>
      <w:r w:rsidRPr="002F4348">
        <w:tab/>
        <w:t>Плановое продолжение специфической терапии.</w:t>
      </w:r>
    </w:p>
    <w:p w14:paraId="55A60BE7" w14:textId="77777777" w:rsidR="00613DB8" w:rsidRPr="002F4348" w:rsidRDefault="00613DB8" w:rsidP="00613DB8">
      <w:pPr>
        <w:pStyle w:val="1f0"/>
        <w:contextualSpacing/>
      </w:pPr>
      <w:r w:rsidRPr="002F4348">
        <w:t>3.</w:t>
      </w:r>
      <w:r w:rsidRPr="002F4348">
        <w:tab/>
        <w:t>Диагностические процедуры, для проведения которых необходимы стационарные условия.</w:t>
      </w:r>
    </w:p>
    <w:p w14:paraId="5E236D77" w14:textId="77777777" w:rsidR="00613DB8" w:rsidRPr="002F4348" w:rsidRDefault="00613DB8" w:rsidP="00613DB8">
      <w:pPr>
        <w:pStyle w:val="1f0"/>
        <w:contextualSpacing/>
        <w:rPr>
          <w:b/>
        </w:rPr>
      </w:pPr>
      <w:r w:rsidRPr="002F4348">
        <w:rPr>
          <w:b/>
        </w:rPr>
        <w:t xml:space="preserve">Показания для экстренной госпитализации: </w:t>
      </w:r>
    </w:p>
    <w:p w14:paraId="102B5230" w14:textId="77777777" w:rsidR="00613DB8" w:rsidRPr="002F4348" w:rsidRDefault="00613DB8" w:rsidP="00613DB8">
      <w:pPr>
        <w:pStyle w:val="1f0"/>
        <w:contextualSpacing/>
      </w:pPr>
      <w:r w:rsidRPr="002F4348">
        <w:t>1.</w:t>
      </w:r>
      <w:r w:rsidRPr="002F4348">
        <w:tab/>
        <w:t>Осложнения основного заболевания, требующие специфического лечения в условиях стационара.</w:t>
      </w:r>
    </w:p>
    <w:p w14:paraId="68FCBAC0" w14:textId="77777777" w:rsidR="00613DB8" w:rsidRPr="002F4348" w:rsidRDefault="00613DB8" w:rsidP="00613DB8">
      <w:pPr>
        <w:pStyle w:val="1f0"/>
        <w:contextualSpacing/>
      </w:pPr>
      <w:r w:rsidRPr="002F4348">
        <w:t>2.</w:t>
      </w:r>
      <w:r w:rsidRPr="002F4348">
        <w:tab/>
        <w:t xml:space="preserve">Осложнения специфической терапии, угрожающие жизни </w:t>
      </w:r>
      <w:r w:rsidR="00B119C4" w:rsidRPr="002F4348">
        <w:t xml:space="preserve">пациента </w:t>
      </w:r>
      <w:r w:rsidRPr="002F4348">
        <w:t xml:space="preserve">и требующие соответствующего лечения в условиях стационара </w:t>
      </w:r>
    </w:p>
    <w:p w14:paraId="4295443F" w14:textId="77777777" w:rsidR="00613DB8" w:rsidRPr="002F4348" w:rsidRDefault="00613DB8" w:rsidP="00613DB8">
      <w:pPr>
        <w:pStyle w:val="1f0"/>
        <w:contextualSpacing/>
        <w:rPr>
          <w:b/>
        </w:rPr>
      </w:pPr>
      <w:r w:rsidRPr="002F4348">
        <w:rPr>
          <w:b/>
        </w:rPr>
        <w:t>Показания к выписке пациента из стационара:</w:t>
      </w:r>
    </w:p>
    <w:p w14:paraId="7367FF53" w14:textId="77777777" w:rsidR="00613DB8" w:rsidRPr="002F4348" w:rsidRDefault="00613DB8" w:rsidP="00B153FC">
      <w:pPr>
        <w:pStyle w:val="1f0"/>
        <w:numPr>
          <w:ilvl w:val="0"/>
          <w:numId w:val="22"/>
        </w:numPr>
        <w:contextualSpacing/>
      </w:pPr>
      <w:r w:rsidRPr="002F4348">
        <w:t xml:space="preserve">Окончание специфической терапии (при отсутствии осложнений специфической терапии, угрожающих жизни </w:t>
      </w:r>
      <w:r w:rsidR="00B119C4" w:rsidRPr="002F4348">
        <w:t>пациента</w:t>
      </w:r>
      <w:r w:rsidRPr="002F4348">
        <w:t>).</w:t>
      </w:r>
    </w:p>
    <w:p w14:paraId="77BAF634" w14:textId="77777777" w:rsidR="00613DB8" w:rsidRPr="002F4348" w:rsidRDefault="00613DB8" w:rsidP="00613DB8">
      <w:pPr>
        <w:pStyle w:val="1f0"/>
        <w:ind w:left="0" w:firstLine="851"/>
        <w:rPr>
          <w:color w:val="000000"/>
        </w:rPr>
      </w:pPr>
      <w:r w:rsidRPr="002F4348">
        <w:rPr>
          <w:color w:val="000000"/>
        </w:rPr>
        <w:t>Заключение о целесообразности перевода пациента в профильную медицинскую организацию составляется после предварительной консультации по предоставленным медицинским документам и/или предварительного осмотра пациента врачами-специалистами медицинской организации, в которую планируется перевод.</w:t>
      </w:r>
    </w:p>
    <w:p w14:paraId="5A842E30" w14:textId="77777777" w:rsidR="00613DB8" w:rsidRPr="002F4348" w:rsidRDefault="00613DB8" w:rsidP="00613DB8">
      <w:pPr>
        <w:pStyle w:val="1f0"/>
        <w:ind w:left="0" w:firstLine="851"/>
        <w:contextualSpacing/>
      </w:pPr>
    </w:p>
    <w:p w14:paraId="1BECC6AD" w14:textId="77777777" w:rsidR="00CB562F" w:rsidRPr="002F4348" w:rsidRDefault="00C4630C" w:rsidP="00C4630C">
      <w:pPr>
        <w:pStyle w:val="afff2"/>
      </w:pPr>
      <w:bookmarkStart w:id="53" w:name="_Toc65586402"/>
      <w:r w:rsidRPr="002F4348">
        <w:t xml:space="preserve">7. </w:t>
      </w:r>
      <w:r w:rsidR="00CB71DA" w:rsidRPr="002F4348">
        <w:t>Дополнительная инфор</w:t>
      </w:r>
      <w:r w:rsidR="009B4039" w:rsidRPr="002F4348">
        <w:t>мация (</w:t>
      </w:r>
      <w:r w:rsidR="00A43CE5" w:rsidRPr="002F4348">
        <w:t>в том числе факторы, влияющие на</w:t>
      </w:r>
      <w:r w:rsidR="00CB71DA" w:rsidRPr="002F4348">
        <w:t xml:space="preserve"> исход заболевания</w:t>
      </w:r>
      <w:bookmarkEnd w:id="51"/>
      <w:r w:rsidR="008371F9" w:rsidRPr="002F4348">
        <w:t xml:space="preserve"> </w:t>
      </w:r>
      <w:r w:rsidR="00A43CE5" w:rsidRPr="002F4348">
        <w:t>или состояния)</w:t>
      </w:r>
      <w:bookmarkEnd w:id="53"/>
    </w:p>
    <w:p w14:paraId="658E8927" w14:textId="77777777" w:rsidR="002C7010" w:rsidRPr="002F4348" w:rsidRDefault="002C7010" w:rsidP="002C7010">
      <w:pPr>
        <w:pStyle w:val="2"/>
      </w:pPr>
      <w:bookmarkStart w:id="54" w:name="_Toc65586403"/>
      <w:bookmarkStart w:id="55" w:name="__RefHeading___doc_criteria"/>
      <w:r w:rsidRPr="002F4348">
        <w:t xml:space="preserve">7.1 </w:t>
      </w:r>
      <w:r w:rsidR="00A26422" w:rsidRPr="002F4348">
        <w:t>Общие требования к морфологической диагностики лимфом</w:t>
      </w:r>
      <w:bookmarkEnd w:id="54"/>
      <w:r w:rsidRPr="002F4348">
        <w:t xml:space="preserve"> </w:t>
      </w:r>
    </w:p>
    <w:p w14:paraId="283080C0" w14:textId="77777777" w:rsidR="00A26422" w:rsidRPr="002F4348" w:rsidRDefault="00A26422" w:rsidP="0064071E">
      <w:pPr>
        <w:ind w:firstLine="567"/>
        <w:rPr>
          <w:rFonts w:eastAsia="Calibri" w:cstheme="minorHAnsi"/>
          <w:color w:val="000000" w:themeColor="text1"/>
        </w:rPr>
      </w:pPr>
      <w:r w:rsidRPr="002F4348">
        <w:rPr>
          <w:rFonts w:eastAsia="Calibri" w:cstheme="minorHAnsi"/>
        </w:rPr>
        <w:t xml:space="preserve">До биопсии лимфатического узла необходимо выполнить общий анализ крови с подсчетом лейкоцитарной формулы, чтобы </w:t>
      </w:r>
      <w:r w:rsidRPr="002F4348">
        <w:rPr>
          <w:rFonts w:eastAsia="Calibri" w:cstheme="minorHAnsi"/>
          <w:color w:val="000000"/>
        </w:rPr>
        <w:t>исключить выполнение биопсии</w:t>
      </w:r>
      <w:r w:rsidRPr="002F4348">
        <w:rPr>
          <w:rFonts w:eastAsia="Calibri" w:cstheme="minorHAnsi"/>
        </w:rPr>
        <w:t xml:space="preserve"> у </w:t>
      </w:r>
      <w:r w:rsidR="00B119C4" w:rsidRPr="002F4348">
        <w:rPr>
          <w:rFonts w:eastAsia="Calibri" w:cstheme="minorHAnsi"/>
        </w:rPr>
        <w:t xml:space="preserve">пациентов </w:t>
      </w:r>
      <w:r w:rsidRPr="002F4348">
        <w:rPr>
          <w:rFonts w:eastAsia="Calibri" w:cstheme="minorHAnsi"/>
        </w:rPr>
        <w:t xml:space="preserve">хроническим лимфолейкозом, моноклональным В-клеточным лимфоцитозом, острыми лейкозами, </w:t>
      </w:r>
      <w:r w:rsidRPr="002F4348">
        <w:rPr>
          <w:rFonts w:eastAsia="Calibri" w:cstheme="minorHAnsi"/>
          <w:color w:val="000000"/>
        </w:rPr>
        <w:t>при лимфоцитозе инфекционной (</w:t>
      </w:r>
      <w:r w:rsidRPr="002F4348">
        <w:rPr>
          <w:rFonts w:eastAsia="Calibri" w:cstheme="minorHAnsi"/>
          <w:color w:val="000000"/>
          <w:lang w:val="en-US"/>
        </w:rPr>
        <w:t>HIV</w:t>
      </w:r>
      <w:r w:rsidRPr="002F4348">
        <w:rPr>
          <w:rFonts w:eastAsia="Calibri" w:cstheme="minorHAnsi"/>
          <w:color w:val="000000"/>
        </w:rPr>
        <w:t xml:space="preserve">, </w:t>
      </w:r>
      <w:r w:rsidRPr="002F4348">
        <w:rPr>
          <w:rFonts w:eastAsia="Calibri" w:cstheme="minorHAnsi"/>
          <w:color w:val="000000"/>
          <w:lang w:val="en-US"/>
        </w:rPr>
        <w:t>EBV</w:t>
      </w:r>
      <w:r w:rsidRPr="002F4348">
        <w:rPr>
          <w:rFonts w:eastAsia="Calibri" w:cstheme="minorHAnsi"/>
          <w:color w:val="000000"/>
        </w:rPr>
        <w:t xml:space="preserve">, </w:t>
      </w:r>
      <w:r w:rsidRPr="002F4348">
        <w:rPr>
          <w:rFonts w:eastAsia="Calibri" w:cstheme="minorHAnsi"/>
          <w:color w:val="000000"/>
          <w:lang w:val="en-US"/>
        </w:rPr>
        <w:t>CMV</w:t>
      </w:r>
      <w:r w:rsidRPr="002F4348">
        <w:rPr>
          <w:rFonts w:eastAsia="Calibri" w:cstheme="minorHAnsi"/>
          <w:color w:val="000000"/>
        </w:rPr>
        <w:t xml:space="preserve">-инфекции, коклюш, вирусные гепатиты, токсоплазмоз и др.) или другой этиологии (поствакцинальный, </w:t>
      </w:r>
      <w:r w:rsidRPr="002F4348">
        <w:rPr>
          <w:rFonts w:eastAsia="Calibri" w:cstheme="minorHAnsi"/>
          <w:color w:val="000000" w:themeColor="text1"/>
        </w:rPr>
        <w:t xml:space="preserve">лекарственная реакция, курение, тимома, «стрессорный» лимфоцитоз). </w:t>
      </w:r>
    </w:p>
    <w:p w14:paraId="67C80895" w14:textId="77777777" w:rsidR="00A26422" w:rsidRPr="002F4348" w:rsidRDefault="00A26422" w:rsidP="00DF14AA">
      <w:pPr>
        <w:ind w:firstLine="567"/>
        <w:rPr>
          <w:rFonts w:eastAsia="Calibri" w:cstheme="minorHAnsi"/>
        </w:rPr>
      </w:pPr>
      <w:r w:rsidRPr="002F4348">
        <w:rPr>
          <w:rFonts w:eastAsia="Calibri" w:cstheme="minorHAnsi"/>
          <w:color w:val="000000" w:themeColor="text1"/>
        </w:rPr>
        <w:t>Диагноз лимфомы</w:t>
      </w:r>
      <w:r w:rsidR="001F1449" w:rsidRPr="002F4348">
        <w:rPr>
          <w:rFonts w:eastAsia="Calibri" w:cstheme="minorHAnsi"/>
          <w:color w:val="000000" w:themeColor="text1"/>
        </w:rPr>
        <w:t xml:space="preserve"> Ходжкина</w:t>
      </w:r>
      <w:r w:rsidRPr="002F4348">
        <w:rPr>
          <w:rFonts w:eastAsia="Calibri" w:cstheme="minorHAnsi"/>
          <w:color w:val="000000" w:themeColor="text1"/>
        </w:rPr>
        <w:t xml:space="preserve"> устанавливают на основании морфологического и иммуногистохимического исследования биопсийного </w:t>
      </w:r>
      <w:r w:rsidRPr="002F4348">
        <w:rPr>
          <w:rFonts w:eastAsia="Calibri" w:cstheme="minorHAnsi"/>
        </w:rPr>
        <w:t xml:space="preserve">или операционного материала. В части случаев необходимо проведение молекулярно-биологических и генетических тестов. Цитологическое исследование пунктатов или мазков-отпечатков лимфатических узлов или других опухолевых очагов является дополнительным методом исследования и не может служить достаточным основанием для диагноза лимфомы и ее нозологической верификации. </w:t>
      </w:r>
    </w:p>
    <w:p w14:paraId="7FFE3D3A" w14:textId="77777777" w:rsidR="00A26422" w:rsidRPr="002F4348" w:rsidRDefault="00A26422" w:rsidP="00DF14AA">
      <w:pPr>
        <w:ind w:firstLine="567"/>
        <w:rPr>
          <w:rFonts w:eastAsia="Calibri" w:cstheme="minorHAnsi"/>
        </w:rPr>
      </w:pPr>
      <w:r w:rsidRPr="002F4348">
        <w:rPr>
          <w:rFonts w:eastAsia="Calibri" w:cstheme="minorHAnsi"/>
        </w:rPr>
        <w:t xml:space="preserve">При первичном обследовании пациента во всех случаях проводится гистологическое и иммуногистохимическое исследование материала инцизионной или эксцизионной биопсии патологического очага или операционного материала при обязательном предоставлении врачу-патологоанатому выписки из амбулаторной карты/истории болезни пациента. Пунктировать лимфатические узлы для аспирации клеточной взвеси не следует. В исключительных случаях (локализация опухоли в труднодоступных анатомических зонах, тяжесть состояния пациента) при обосновании невозможности выполнения эксцизионной биопсии (отраженном в медицинской документации), объектом исследования может быть тканевой материал, полученный с помощью пистолетной («кор»-) биопсии. Пригодным для исследования является биоптат диаметром не менее 16 </w:t>
      </w:r>
      <w:r w:rsidRPr="002F4348">
        <w:rPr>
          <w:rFonts w:eastAsia="Calibri" w:cstheme="minorHAnsi"/>
          <w:lang w:val="en-US"/>
        </w:rPr>
        <w:t>G</w:t>
      </w:r>
      <w:r w:rsidRPr="002F4348">
        <w:rPr>
          <w:rFonts w:eastAsia="Calibri" w:cstheme="minorHAnsi"/>
        </w:rPr>
        <w:t>, при длине опухолевого инфильтрата в ткани не менее 1,5 см. Объем иммуногистохимического исследования определяет врач-патологоанатом при гистологическом изучении материала. Разделение материала между различными лабораториями категорически недопустимо. Протокол морфологического и иммуногистохимического исследования должен содержать:</w:t>
      </w:r>
    </w:p>
    <w:p w14:paraId="577FD8FF" w14:textId="77777777" w:rsidR="00A26422" w:rsidRPr="002F4348" w:rsidRDefault="00A26422" w:rsidP="00B153FC">
      <w:pPr>
        <w:pStyle w:val="afe"/>
        <w:numPr>
          <w:ilvl w:val="0"/>
          <w:numId w:val="43"/>
        </w:numPr>
        <w:rPr>
          <w:rFonts w:eastAsia="Calibri" w:cstheme="minorHAnsi"/>
        </w:rPr>
      </w:pPr>
      <w:r w:rsidRPr="002F4348">
        <w:rPr>
          <w:rFonts w:eastAsia="Calibri" w:cstheme="minorHAnsi"/>
        </w:rPr>
        <w:t>Макроскопическое описание материала, присланного для исследования; при исследовании готовых блоков и микропрепаратов в протоколе должны быть указаны количество и идентификационные номера всех присланных объектов.</w:t>
      </w:r>
    </w:p>
    <w:p w14:paraId="5EB4A373" w14:textId="77777777" w:rsidR="004B7BA3" w:rsidRPr="002F4348" w:rsidRDefault="00A26422" w:rsidP="00B153FC">
      <w:pPr>
        <w:pStyle w:val="afe"/>
        <w:numPr>
          <w:ilvl w:val="0"/>
          <w:numId w:val="43"/>
        </w:numPr>
        <w:rPr>
          <w:rFonts w:eastAsia="Calibri" w:cstheme="minorHAnsi"/>
        </w:rPr>
      </w:pPr>
      <w:r w:rsidRPr="002F4348">
        <w:rPr>
          <w:rFonts w:eastAsia="Calibri" w:cstheme="minorHAnsi"/>
        </w:rPr>
        <w:t>Гистологическое описание лимфомы с указанием типа роста (диффузный, нодулярный и т. п.), характеристики клеточного состава (мелкие, крупные клетки, полиморфный состав, анапластическая, бластная/бластоидная морфология, наличие многоядерных форм, характеристика ядер), наличия реактивных и резидуальных компонентов.</w:t>
      </w:r>
      <w:r w:rsidR="004B7BA3" w:rsidRPr="002F4348">
        <w:rPr>
          <w:rFonts w:eastAsia="Calibri" w:cstheme="minorHAnsi"/>
        </w:rPr>
        <w:t xml:space="preserve"> Для кЛХ варианта нодулярный склероз необходимо описание наличия. характера и выраженности фиброзного компонента и клеточного состава нодулей. Для НЛПЛХ необходимо описание клеточного состава нодулей и указание на наличие/отсутствие фиброзного компонента.</w:t>
      </w:r>
    </w:p>
    <w:p w14:paraId="52EF536F" w14:textId="77777777" w:rsidR="004B7BA3" w:rsidRPr="002F4348" w:rsidRDefault="004B7BA3" w:rsidP="00B153FC">
      <w:pPr>
        <w:pStyle w:val="afe"/>
        <w:numPr>
          <w:ilvl w:val="0"/>
          <w:numId w:val="43"/>
        </w:numPr>
        <w:rPr>
          <w:rFonts w:eastAsia="Calibri" w:cstheme="minorHAnsi"/>
        </w:rPr>
      </w:pPr>
      <w:r w:rsidRPr="002F4348">
        <w:rPr>
          <w:rFonts w:eastAsia="Calibri" w:cstheme="minorHAnsi"/>
        </w:rPr>
        <w:t xml:space="preserve">Результаты иммуногистохимического исследования с указанием использованных антител и подробностей окрашивания, указывающих на специфический характер реакции (например, окрашивание ядер в реакциях с антителами к TdT, </w:t>
      </w:r>
      <w:r w:rsidRPr="002F4348">
        <w:rPr>
          <w:rFonts w:eastAsia="Calibri" w:cstheme="minorHAnsi"/>
          <w:lang w:val="en-US"/>
        </w:rPr>
        <w:t>BCL</w:t>
      </w:r>
      <w:r w:rsidRPr="002F4348">
        <w:rPr>
          <w:rFonts w:eastAsia="Calibri" w:cstheme="minorHAnsi"/>
        </w:rPr>
        <w:t>-6, Cyclin D1; цитоплазмы</w:t>
      </w:r>
      <w:r w:rsidRPr="002F4348">
        <w:rPr>
          <w:rFonts w:eastAsia="Calibri" w:cstheme="minorHAnsi"/>
          <w:color w:val="FF0000"/>
        </w:rPr>
        <w:t xml:space="preserve"> </w:t>
      </w:r>
      <w:r w:rsidRPr="002F4348">
        <w:rPr>
          <w:rFonts w:eastAsia="Calibri" w:cstheme="minorHAnsi"/>
        </w:rPr>
        <w:t>–</w:t>
      </w:r>
      <w:r w:rsidRPr="002F4348">
        <w:rPr>
          <w:rFonts w:eastAsia="Calibri" w:cstheme="minorHAnsi"/>
          <w:color w:val="FF0000"/>
        </w:rPr>
        <w:t xml:space="preserve"> </w:t>
      </w:r>
      <w:r w:rsidRPr="002F4348">
        <w:rPr>
          <w:rFonts w:eastAsia="Calibri" w:cstheme="minorHAnsi"/>
        </w:rPr>
        <w:t>в</w:t>
      </w:r>
      <w:r w:rsidRPr="002F4348">
        <w:rPr>
          <w:rFonts w:eastAsia="Calibri" w:cstheme="minorHAnsi"/>
          <w:color w:val="FF0000"/>
        </w:rPr>
        <w:t xml:space="preserve"> </w:t>
      </w:r>
      <w:r w:rsidRPr="002F4348">
        <w:rPr>
          <w:rFonts w:eastAsia="Calibri" w:cstheme="minorHAnsi"/>
        </w:rPr>
        <w:t>реакциях на CD79a; гранулярная цитоплазматическая реакция - цитотоксические молекулы; окрашивание цитоплазмы или мембраны - в реакциях с антителами к CD3, тяжелым или легким цепям иммуноглобулинов; мембраны – в реакциях на CD20, CD10), интенсивность, особенности иммуногистоархитектоники. Представление результатов иммуногистохимических тестов только в виде «крестов» («плюсов») и перечня антител недопустимо.</w:t>
      </w:r>
    </w:p>
    <w:p w14:paraId="4260AF4D" w14:textId="77777777" w:rsidR="00A26422" w:rsidRPr="002F4348" w:rsidRDefault="00A26422" w:rsidP="00B153FC">
      <w:pPr>
        <w:pStyle w:val="afe"/>
        <w:numPr>
          <w:ilvl w:val="0"/>
          <w:numId w:val="43"/>
        </w:numPr>
        <w:rPr>
          <w:rFonts w:eastAsia="Calibri" w:cstheme="minorHAnsi"/>
        </w:rPr>
      </w:pPr>
      <w:r w:rsidRPr="002F4348">
        <w:rPr>
          <w:rFonts w:eastAsia="Calibri" w:cstheme="minorHAnsi"/>
        </w:rPr>
        <w:t>Патоморфологическое заключение, сформулированное в соответствии с действующей редакцией классификации опухолей гемопоэтической и лимфоидной тканей (ВОЗ, 2017 г.).</w:t>
      </w:r>
    </w:p>
    <w:p w14:paraId="1231FEFB" w14:textId="77777777" w:rsidR="00A26422" w:rsidRPr="002F4348" w:rsidRDefault="00A26422" w:rsidP="0064071E">
      <w:pPr>
        <w:ind w:firstLine="567"/>
        <w:rPr>
          <w:rFonts w:eastAsia="Calibri" w:cstheme="minorHAnsi"/>
        </w:rPr>
      </w:pPr>
      <w:r w:rsidRPr="002F4348">
        <w:rPr>
          <w:rFonts w:eastAsia="Calibri" w:cstheme="minorHAnsi"/>
        </w:rPr>
        <w:t xml:space="preserve">Обязательным компонентом определения распространенности опухолевого процесса (стадии) является гистологическое исследование трепанобиоптата костного мозга. В процессе первичного обследования рекомендуется выполнять биопсию билатерально. </w:t>
      </w:r>
    </w:p>
    <w:p w14:paraId="230FAD24" w14:textId="77777777" w:rsidR="00A26422" w:rsidRPr="002F4348" w:rsidRDefault="00A26422" w:rsidP="00DF14AA">
      <w:pPr>
        <w:ind w:firstLine="567"/>
        <w:rPr>
          <w:rFonts w:eastAsia="Calibri" w:cstheme="minorHAnsi"/>
          <w:strike/>
          <w:color w:val="000000" w:themeColor="text1"/>
        </w:rPr>
      </w:pPr>
      <w:r w:rsidRPr="002F4348">
        <w:rPr>
          <w:rFonts w:eastAsia="Calibri" w:cstheme="minorHAnsi"/>
        </w:rPr>
        <w:t xml:space="preserve">Морфологическое исследование пунктата костного мозга (стернального или др.) </w:t>
      </w:r>
      <w:r w:rsidRPr="002F4348">
        <w:rPr>
          <w:rFonts w:eastAsia="Calibri" w:cstheme="minorHAnsi"/>
          <w:color w:val="000000" w:themeColor="text1"/>
        </w:rPr>
        <w:t xml:space="preserve">не заменяет гистологическое исследование трепанобиоптата. </w:t>
      </w:r>
    </w:p>
    <w:p w14:paraId="2B71FC45" w14:textId="77777777" w:rsidR="001F1449" w:rsidRPr="002F4348" w:rsidRDefault="001F1449" w:rsidP="00DF14AA">
      <w:pPr>
        <w:ind w:firstLine="567"/>
        <w:rPr>
          <w:rFonts w:eastAsia="Calibri" w:cstheme="minorHAnsi"/>
          <w:strike/>
          <w:color w:val="000000" w:themeColor="text1"/>
        </w:rPr>
      </w:pPr>
      <w:r w:rsidRPr="002F4348">
        <w:rPr>
          <w:rFonts w:eastAsia="Calibri" w:cstheme="minorHAnsi"/>
          <w:color w:val="000000" w:themeColor="text1"/>
        </w:rPr>
        <w:t xml:space="preserve">Показания к трепанобиопсии для кЛХ и НЛПЛХ </w:t>
      </w:r>
      <w:r w:rsidR="00035320" w:rsidRPr="002F4348">
        <w:rPr>
          <w:rFonts w:eastAsia="Calibri" w:cstheme="minorHAnsi"/>
          <w:color w:val="000000" w:themeColor="text1"/>
        </w:rPr>
        <w:t xml:space="preserve">описаны </w:t>
      </w:r>
      <w:r w:rsidRPr="002F4348">
        <w:rPr>
          <w:rFonts w:eastAsia="Calibri" w:cstheme="minorHAnsi"/>
          <w:color w:val="000000" w:themeColor="text1"/>
        </w:rPr>
        <w:t>в разделе 2.5</w:t>
      </w:r>
    </w:p>
    <w:p w14:paraId="4EE7B3C3" w14:textId="77777777" w:rsidR="00A26422" w:rsidRPr="002F4348" w:rsidRDefault="00A26422" w:rsidP="00DF14AA">
      <w:pPr>
        <w:ind w:firstLine="567"/>
        <w:rPr>
          <w:rFonts w:eastAsia="Calibri" w:cstheme="minorHAnsi"/>
        </w:rPr>
      </w:pPr>
      <w:r w:rsidRPr="002F4348">
        <w:rPr>
          <w:rFonts w:eastAsia="Calibri" w:cstheme="minorHAnsi"/>
          <w:color w:val="000000" w:themeColor="text1"/>
        </w:rPr>
        <w:t xml:space="preserve">При наличии в общем анализе крови или миелограмме лимфоцитоза, независимо от числа лейкоцитов, а также при преобладании лимфоидных клеточных элементов, </w:t>
      </w:r>
      <w:r w:rsidRPr="002F4348">
        <w:rPr>
          <w:rFonts w:eastAsia="Calibri" w:cstheme="minorHAnsi"/>
        </w:rPr>
        <w:t>атипичных лимфоцитов или клеток с бластной морфологией в плевральной, асцитической или других биологических жидкостях необходимо выполнить иммунофенотипирование методом проточной цитометрии. Проточная цитометрия позволяет быстро провести дифференциальную диагностику опухолевого и реактивного лимфоцитоза, что важно для определения дальнейшей тактики обследования пациента. Материалом для анализа методом проточной цитометрии могут служить клетки крови, костного мозга, выпотных жидкостей, бронхоальвеолярного смыва, ликвора, гомогенизированные образцы тканей (селезенка, лимфатические узлы и т. д.), клеточная суспензия, полученная при аспирационной тонкоигольной пункции лимфатических узлов.</w:t>
      </w:r>
    </w:p>
    <w:p w14:paraId="29E831BC" w14:textId="77777777" w:rsidR="00A26422" w:rsidRPr="002F4348" w:rsidRDefault="00A26422" w:rsidP="00DF14AA">
      <w:pPr>
        <w:ind w:firstLine="567"/>
        <w:rPr>
          <w:rFonts w:eastAsia="Calibri" w:cstheme="minorHAnsi"/>
        </w:rPr>
      </w:pPr>
      <w:r w:rsidRPr="002F4348">
        <w:rPr>
          <w:rFonts w:eastAsia="Calibri" w:cstheme="minorHAnsi"/>
        </w:rPr>
        <w:t>При определении стадии опухолевого процесса может потребоваться биопсия других очагов поражения, если нельзя исключить их опухолевую</w:t>
      </w:r>
      <w:r w:rsidRPr="002F4348">
        <w:rPr>
          <w:rFonts w:eastAsia="Calibri" w:cstheme="minorHAnsi"/>
          <w:color w:val="1F497D"/>
        </w:rPr>
        <w:t xml:space="preserve"> </w:t>
      </w:r>
      <w:r w:rsidRPr="002F4348">
        <w:rPr>
          <w:rFonts w:eastAsia="Calibri" w:cstheme="minorHAnsi"/>
        </w:rPr>
        <w:t>природу другими способами.</w:t>
      </w:r>
    </w:p>
    <w:p w14:paraId="4BC8B05E" w14:textId="77777777" w:rsidR="00A26422" w:rsidRPr="002F4348" w:rsidRDefault="00A26422" w:rsidP="00DF14AA">
      <w:pPr>
        <w:ind w:firstLine="567"/>
        <w:rPr>
          <w:rFonts w:eastAsia="Calibri" w:cstheme="minorHAnsi"/>
        </w:rPr>
      </w:pPr>
      <w:r w:rsidRPr="002F4348">
        <w:rPr>
          <w:rFonts w:eastAsia="Calibri" w:cstheme="minorHAnsi"/>
        </w:rPr>
        <w:t>При рецидиве или прогрессировании заболевания обязательно выполнение повторной биопсии и морфологического исследования пораженных лимфатических узлов или экстранодальных очагов. Повторная биопсия также показана при наличии резидуальных очагов для подтверждения ремиссии, за исключением случаев ПЭТ-негативных резидуальных образований при лимфоме Ходжкина (ЛХ). Проведение повторной биопсии патологического очага является обязательным при первично-резистентном течении или рецидиве заболевания в целях подтверждения диагноза или верификации опухолевой трансформации, а также исключения второй опухоли, инфекционного процесса.</w:t>
      </w:r>
    </w:p>
    <w:p w14:paraId="6D22F364" w14:textId="77777777" w:rsidR="00A26422" w:rsidRPr="002F4348" w:rsidRDefault="00A26422" w:rsidP="00DF14AA">
      <w:pPr>
        <w:ind w:firstLine="567"/>
        <w:rPr>
          <w:rFonts w:eastAsia="Calibri" w:cstheme="minorHAnsi"/>
        </w:rPr>
      </w:pPr>
      <w:r w:rsidRPr="002F4348">
        <w:rPr>
          <w:rFonts w:eastAsia="Calibri" w:cstheme="minorHAnsi"/>
        </w:rPr>
        <w:t xml:space="preserve">Повторная аспирация и трепанобиопсия костного мозга выполняются для плановой оценки результатов лечения и при появлении клинически немотивированных цитопении и лихорадки. Аспират костного мозга может быть информативен для оценки регенерации и диспластических изменений миелопоэза. У </w:t>
      </w:r>
      <w:r w:rsidR="00B119C4" w:rsidRPr="002F4348">
        <w:rPr>
          <w:rFonts w:eastAsia="Calibri" w:cstheme="minorHAnsi"/>
        </w:rPr>
        <w:t xml:space="preserve">пациентов </w:t>
      </w:r>
      <w:r w:rsidRPr="002F4348">
        <w:rPr>
          <w:rFonts w:eastAsia="Calibri" w:cstheme="minorHAnsi"/>
        </w:rPr>
        <w:t xml:space="preserve">с поражением костного мозга цитологическое исследование пунктата для оценки изменений объема опухолевой инфильтрации не всегда информативно. </w:t>
      </w:r>
    </w:p>
    <w:p w14:paraId="70E03D15" w14:textId="77777777" w:rsidR="00A26422" w:rsidRPr="002F4348" w:rsidRDefault="00A26422" w:rsidP="00DF14AA">
      <w:pPr>
        <w:pStyle w:val="2"/>
      </w:pPr>
      <w:bookmarkStart w:id="56" w:name="_Toc65586404"/>
      <w:r w:rsidRPr="002F4348">
        <w:t>7.</w:t>
      </w:r>
      <w:r w:rsidR="0064071E" w:rsidRPr="002F4348">
        <w:t>2</w:t>
      </w:r>
      <w:r w:rsidRPr="002F4348">
        <w:t xml:space="preserve"> Морфологическая и иммуногистохимическая диагностика ЛХ</w:t>
      </w:r>
      <w:bookmarkEnd w:id="56"/>
      <w:r w:rsidRPr="002F4348">
        <w:t xml:space="preserve"> </w:t>
      </w:r>
    </w:p>
    <w:p w14:paraId="65945546" w14:textId="77777777" w:rsidR="002C7010" w:rsidRPr="002F4348" w:rsidRDefault="002C7010" w:rsidP="002C7010">
      <w:pPr>
        <w:ind w:firstLine="567"/>
        <w:rPr>
          <w:rFonts w:eastAsia="Times New Roman" w:cstheme="minorHAnsi"/>
          <w:lang w:eastAsia="ru-RU"/>
        </w:rPr>
      </w:pPr>
      <w:r w:rsidRPr="002F4348">
        <w:rPr>
          <w:rFonts w:eastAsia="Times New Roman" w:cstheme="minorHAnsi"/>
          <w:lang w:eastAsia="ru-RU"/>
        </w:rPr>
        <w:t xml:space="preserve">Все варианты классической ЛХ характеризуются одинаковым иммунофенотипом: </w:t>
      </w:r>
      <w:r w:rsidRPr="002F4348">
        <w:rPr>
          <w:rFonts w:eastAsia="Times New Roman" w:cstheme="minorHAnsi"/>
          <w:lang w:val="en-US" w:eastAsia="ru-RU"/>
        </w:rPr>
        <w:t>CD</w:t>
      </w:r>
      <w:r w:rsidRPr="002F4348">
        <w:rPr>
          <w:rFonts w:eastAsia="Times New Roman" w:cstheme="minorHAnsi"/>
          <w:lang w:eastAsia="ru-RU"/>
        </w:rPr>
        <w:t>30 (</w:t>
      </w:r>
      <w:r w:rsidRPr="002F4348">
        <w:rPr>
          <w:rFonts w:eastAsia="Times New Roman" w:cstheme="minorHAnsi"/>
          <w:lang w:val="en-US" w:eastAsia="ru-RU"/>
        </w:rPr>
        <w:t>dot</w:t>
      </w:r>
      <w:r w:rsidRPr="002F4348">
        <w:rPr>
          <w:rFonts w:eastAsia="Times New Roman" w:cstheme="minorHAnsi"/>
          <w:lang w:eastAsia="ru-RU"/>
        </w:rPr>
        <w:t>-</w:t>
      </w:r>
      <w:r w:rsidRPr="002F4348">
        <w:rPr>
          <w:rFonts w:eastAsia="Times New Roman" w:cstheme="minorHAnsi"/>
          <w:lang w:val="en-US" w:eastAsia="ru-RU"/>
        </w:rPr>
        <w:t>like</w:t>
      </w:r>
      <w:r w:rsidRPr="002F4348">
        <w:rPr>
          <w:rFonts w:eastAsia="Times New Roman" w:cstheme="minorHAnsi"/>
          <w:lang w:eastAsia="ru-RU"/>
        </w:rPr>
        <w:t xml:space="preserve">, мембранная, цитоплазматическая реакция), </w:t>
      </w:r>
      <w:r w:rsidRPr="002F4348">
        <w:rPr>
          <w:rFonts w:eastAsia="Times New Roman" w:cstheme="minorHAnsi"/>
          <w:lang w:val="en-US" w:eastAsia="ru-RU"/>
        </w:rPr>
        <w:t>CD</w:t>
      </w:r>
      <w:r w:rsidRPr="002F4348">
        <w:rPr>
          <w:rFonts w:eastAsia="Times New Roman" w:cstheme="minorHAnsi"/>
          <w:lang w:eastAsia="ru-RU"/>
        </w:rPr>
        <w:t>15 (</w:t>
      </w:r>
      <w:r w:rsidRPr="002F4348">
        <w:rPr>
          <w:rFonts w:eastAsia="Times New Roman" w:cstheme="minorHAnsi"/>
          <w:lang w:val="en-US" w:eastAsia="ru-RU"/>
        </w:rPr>
        <w:t>dot</w:t>
      </w:r>
      <w:r w:rsidRPr="002F4348">
        <w:rPr>
          <w:rFonts w:eastAsia="Times New Roman" w:cstheme="minorHAnsi"/>
          <w:lang w:eastAsia="ru-RU"/>
        </w:rPr>
        <w:t>-</w:t>
      </w:r>
      <w:r w:rsidRPr="002F4348">
        <w:rPr>
          <w:rFonts w:eastAsia="Times New Roman" w:cstheme="minorHAnsi"/>
          <w:lang w:val="en-US" w:eastAsia="ru-RU"/>
        </w:rPr>
        <w:t>like</w:t>
      </w:r>
      <w:r w:rsidRPr="002F4348">
        <w:rPr>
          <w:rFonts w:eastAsia="Times New Roman" w:cstheme="minorHAnsi"/>
          <w:lang w:eastAsia="ru-RU"/>
        </w:rPr>
        <w:t xml:space="preserve">, мембранная, цитоплазматическая реакция), </w:t>
      </w:r>
      <w:r w:rsidRPr="002F4348">
        <w:rPr>
          <w:rFonts w:eastAsia="Times New Roman" w:cstheme="minorHAnsi"/>
          <w:lang w:val="en-US" w:eastAsia="ru-RU"/>
        </w:rPr>
        <w:t>PAX</w:t>
      </w:r>
      <w:r w:rsidRPr="002F4348">
        <w:rPr>
          <w:rFonts w:eastAsia="Times New Roman" w:cstheme="minorHAnsi"/>
          <w:lang w:eastAsia="ru-RU"/>
        </w:rPr>
        <w:t>-5 (слабая ядерная реакция по сравнению с В-клетками реактивного микроокружения). В опухолевых клетках может обнаруживаться вирус Эпштейна-Барр (</w:t>
      </w:r>
      <w:r w:rsidRPr="002F4348">
        <w:rPr>
          <w:rFonts w:eastAsia="Times New Roman" w:cstheme="minorHAnsi"/>
          <w:lang w:val="en-US" w:eastAsia="ru-RU"/>
        </w:rPr>
        <w:t>LMP</w:t>
      </w:r>
      <w:r w:rsidRPr="002F4348">
        <w:rPr>
          <w:rFonts w:eastAsia="Times New Roman" w:cstheme="minorHAnsi"/>
          <w:lang w:eastAsia="ru-RU"/>
        </w:rPr>
        <w:t>1/</w:t>
      </w:r>
      <w:r w:rsidRPr="002F4348">
        <w:rPr>
          <w:rFonts w:eastAsia="Times New Roman" w:cstheme="minorHAnsi"/>
          <w:lang w:val="en-US" w:eastAsia="ru-RU"/>
        </w:rPr>
        <w:t>EBER</w:t>
      </w:r>
      <w:r w:rsidRPr="002F4348">
        <w:rPr>
          <w:rFonts w:eastAsia="Times New Roman" w:cstheme="minorHAnsi"/>
          <w:lang w:eastAsia="ru-RU"/>
        </w:rPr>
        <w:t xml:space="preserve">). </w:t>
      </w:r>
    </w:p>
    <w:p w14:paraId="06984802" w14:textId="77777777" w:rsidR="002C7010" w:rsidRPr="002F4348" w:rsidRDefault="002C7010" w:rsidP="002C7010">
      <w:pPr>
        <w:ind w:firstLine="567"/>
        <w:rPr>
          <w:rFonts w:eastAsia="Times New Roman" w:cstheme="minorHAnsi"/>
          <w:lang w:eastAsia="ru-RU"/>
        </w:rPr>
      </w:pPr>
      <w:r w:rsidRPr="002F4348">
        <w:rPr>
          <w:rFonts w:eastAsia="Times New Roman" w:cstheme="minorHAnsi"/>
          <w:lang w:eastAsia="ru-RU"/>
        </w:rPr>
        <w:t xml:space="preserve">Экспрессия </w:t>
      </w:r>
      <w:r w:rsidRPr="002F4348">
        <w:rPr>
          <w:rFonts w:eastAsia="Times New Roman" w:cstheme="minorHAnsi"/>
          <w:lang w:val="en-US" w:eastAsia="ru-RU"/>
        </w:rPr>
        <w:t>CD</w:t>
      </w:r>
      <w:r w:rsidRPr="002F4348">
        <w:rPr>
          <w:rFonts w:eastAsia="Times New Roman" w:cstheme="minorHAnsi"/>
          <w:lang w:eastAsia="ru-RU"/>
        </w:rPr>
        <w:t xml:space="preserve">15 отмечается примерно в 85% случаев ЛХ, </w:t>
      </w:r>
      <w:r w:rsidRPr="002F4348">
        <w:rPr>
          <w:rFonts w:eastAsia="Times New Roman" w:cstheme="minorHAnsi"/>
          <w:lang w:val="en-US" w:eastAsia="ru-RU"/>
        </w:rPr>
        <w:t>PAX</w:t>
      </w:r>
      <w:r w:rsidRPr="002F4348">
        <w:rPr>
          <w:rFonts w:eastAsia="Times New Roman" w:cstheme="minorHAnsi"/>
          <w:lang w:eastAsia="ru-RU"/>
        </w:rPr>
        <w:t xml:space="preserve">-5 – в 95% случаев. При отсутствии экспрессии </w:t>
      </w:r>
      <w:r w:rsidRPr="002F4348">
        <w:rPr>
          <w:rFonts w:eastAsia="Times New Roman" w:cstheme="minorHAnsi"/>
          <w:lang w:val="en-US" w:eastAsia="ru-RU"/>
        </w:rPr>
        <w:t>CD</w:t>
      </w:r>
      <w:r w:rsidRPr="002F4348">
        <w:rPr>
          <w:rFonts w:eastAsia="Times New Roman" w:cstheme="minorHAnsi"/>
          <w:lang w:eastAsia="ru-RU"/>
        </w:rPr>
        <w:t>30 диагноз ЛХ сомнителен и требует углубленного иммуногистохимического исследования.</w:t>
      </w:r>
    </w:p>
    <w:p w14:paraId="1B0F2595" w14:textId="77777777" w:rsidR="002C7010" w:rsidRPr="002F4348" w:rsidRDefault="002C7010" w:rsidP="002C7010">
      <w:pPr>
        <w:ind w:firstLine="567"/>
        <w:rPr>
          <w:rFonts w:eastAsia="Times New Roman" w:cstheme="minorHAnsi"/>
          <w:lang w:eastAsia="ru-RU"/>
        </w:rPr>
      </w:pPr>
      <w:r w:rsidRPr="002F4348">
        <w:rPr>
          <w:rFonts w:eastAsia="Times New Roman" w:cstheme="minorHAnsi"/>
          <w:lang w:eastAsia="ru-RU"/>
        </w:rPr>
        <w:t xml:space="preserve">Опухолевые клетки в части случаев экспрессируют пан-В-клеточный маркер </w:t>
      </w:r>
      <w:r w:rsidRPr="002F4348">
        <w:rPr>
          <w:rFonts w:eastAsia="Times New Roman" w:cstheme="minorHAnsi"/>
          <w:lang w:val="en-US" w:eastAsia="ru-RU"/>
        </w:rPr>
        <w:t>CD</w:t>
      </w:r>
      <w:r w:rsidRPr="002F4348">
        <w:rPr>
          <w:rFonts w:eastAsia="Times New Roman" w:cstheme="minorHAnsi"/>
          <w:lang w:eastAsia="ru-RU"/>
        </w:rPr>
        <w:t xml:space="preserve">20 (гетерогенная по интенсивности мембранная реакция), </w:t>
      </w:r>
      <w:r w:rsidRPr="002F4348">
        <w:rPr>
          <w:rFonts w:eastAsia="Times New Roman" w:cstheme="minorHAnsi"/>
          <w:lang w:val="en-US" w:eastAsia="ru-RU"/>
        </w:rPr>
        <w:t>CD</w:t>
      </w:r>
      <w:r w:rsidRPr="002F4348">
        <w:rPr>
          <w:rFonts w:eastAsia="Times New Roman" w:cstheme="minorHAnsi"/>
          <w:lang w:eastAsia="ru-RU"/>
        </w:rPr>
        <w:t xml:space="preserve">19 (мембранная реакция); экспрессия опухолевыми клетками </w:t>
      </w:r>
      <w:r w:rsidRPr="002F4348">
        <w:rPr>
          <w:rFonts w:eastAsia="Times New Roman" w:cstheme="minorHAnsi"/>
          <w:lang w:val="en-US" w:eastAsia="ru-RU"/>
        </w:rPr>
        <w:t>CD</w:t>
      </w:r>
      <w:r w:rsidRPr="002F4348">
        <w:rPr>
          <w:rFonts w:eastAsia="Times New Roman" w:cstheme="minorHAnsi"/>
          <w:lang w:eastAsia="ru-RU"/>
        </w:rPr>
        <w:t xml:space="preserve">45 и </w:t>
      </w:r>
      <w:r w:rsidRPr="002F4348">
        <w:rPr>
          <w:rFonts w:eastAsia="Times New Roman" w:cstheme="minorHAnsi"/>
          <w:lang w:val="en-US" w:eastAsia="ru-RU"/>
        </w:rPr>
        <w:t>CD</w:t>
      </w:r>
      <w:r w:rsidRPr="002F4348">
        <w:rPr>
          <w:rFonts w:eastAsia="Times New Roman" w:cstheme="minorHAnsi"/>
          <w:lang w:eastAsia="ru-RU"/>
        </w:rPr>
        <w:t xml:space="preserve">3 отсутствует. Дополнительным признаком, позволяющим отличить ЛХ от диффузной В-крупноклеточной лимфомы, является отсутствие экспрессии </w:t>
      </w:r>
      <w:r w:rsidRPr="002F4348">
        <w:rPr>
          <w:rFonts w:eastAsia="Times New Roman" w:cstheme="minorHAnsi"/>
          <w:lang w:val="en-US" w:eastAsia="ru-RU"/>
        </w:rPr>
        <w:t>CD</w:t>
      </w:r>
      <w:r w:rsidRPr="002F4348">
        <w:rPr>
          <w:rFonts w:eastAsia="Times New Roman" w:cstheme="minorHAnsi"/>
          <w:lang w:eastAsia="ru-RU"/>
        </w:rPr>
        <w:t>79</w:t>
      </w:r>
      <w:r w:rsidRPr="002F4348">
        <w:rPr>
          <w:rFonts w:eastAsia="Times New Roman" w:cstheme="minorHAnsi"/>
          <w:lang w:val="en-US" w:eastAsia="ru-RU"/>
        </w:rPr>
        <w:t>a</w:t>
      </w:r>
      <w:r w:rsidRPr="002F4348">
        <w:rPr>
          <w:rFonts w:eastAsia="Times New Roman" w:cstheme="minorHAnsi"/>
          <w:lang w:eastAsia="ru-RU"/>
        </w:rPr>
        <w:t xml:space="preserve">, </w:t>
      </w:r>
      <w:r w:rsidRPr="002F4348">
        <w:rPr>
          <w:rFonts w:eastAsia="Times New Roman" w:cstheme="minorHAnsi"/>
          <w:lang w:val="en-US" w:eastAsia="ru-RU"/>
        </w:rPr>
        <w:t>BCL</w:t>
      </w:r>
      <w:r w:rsidRPr="002F4348">
        <w:rPr>
          <w:rFonts w:eastAsia="Times New Roman" w:cstheme="minorHAnsi"/>
          <w:lang w:eastAsia="ru-RU"/>
        </w:rPr>
        <w:t xml:space="preserve">-6, В-клеточного транскрипционного фактора </w:t>
      </w:r>
      <w:r w:rsidRPr="002F4348">
        <w:rPr>
          <w:rFonts w:eastAsia="Times New Roman" w:cstheme="minorHAnsi"/>
          <w:lang w:val="en-US" w:eastAsia="ru-RU"/>
        </w:rPr>
        <w:t>BoB</w:t>
      </w:r>
      <w:r w:rsidRPr="002F4348">
        <w:rPr>
          <w:rFonts w:eastAsia="Times New Roman" w:cstheme="minorHAnsi"/>
          <w:lang w:eastAsia="ru-RU"/>
        </w:rPr>
        <w:t xml:space="preserve">.1 (в части случаев наблюдается слабая ядерная реакция в отдельных опухолевых клетках). </w:t>
      </w:r>
    </w:p>
    <w:p w14:paraId="2F218917" w14:textId="77777777" w:rsidR="002C7010" w:rsidRPr="002F4348" w:rsidRDefault="002C7010" w:rsidP="002C7010">
      <w:pPr>
        <w:ind w:firstLine="567"/>
        <w:rPr>
          <w:rFonts w:eastAsia="Times New Roman" w:cstheme="minorHAnsi"/>
          <w:lang w:eastAsia="ru-RU"/>
        </w:rPr>
      </w:pPr>
      <w:r w:rsidRPr="002F4348">
        <w:rPr>
          <w:rFonts w:eastAsia="Times New Roman" w:cstheme="minorHAnsi"/>
          <w:lang w:eastAsia="ru-RU"/>
        </w:rPr>
        <w:t xml:space="preserve">При установлении диагноза классической ЛХ необходимо указать гистологический вариант и особенности иммунофенотипа (экспрессия </w:t>
      </w:r>
      <w:r w:rsidRPr="002F4348">
        <w:rPr>
          <w:rFonts w:eastAsia="Times New Roman" w:cstheme="minorHAnsi"/>
          <w:lang w:val="en-US" w:eastAsia="ru-RU"/>
        </w:rPr>
        <w:t>CD</w:t>
      </w:r>
      <w:r w:rsidRPr="002F4348">
        <w:rPr>
          <w:rFonts w:eastAsia="Times New Roman" w:cstheme="minorHAnsi"/>
          <w:lang w:eastAsia="ru-RU"/>
        </w:rPr>
        <w:t xml:space="preserve">20, </w:t>
      </w:r>
      <w:r w:rsidRPr="002F4348">
        <w:rPr>
          <w:rFonts w:eastAsia="Times New Roman" w:cstheme="minorHAnsi"/>
          <w:lang w:val="en-US" w:eastAsia="ru-RU"/>
        </w:rPr>
        <w:t>EBV</w:t>
      </w:r>
      <w:r w:rsidRPr="002F4348">
        <w:rPr>
          <w:rFonts w:eastAsia="Times New Roman" w:cstheme="minorHAnsi"/>
          <w:lang w:eastAsia="ru-RU"/>
        </w:rPr>
        <w:t xml:space="preserve">,) (см. табл. </w:t>
      </w:r>
      <w:r w:rsidR="00C6417C" w:rsidRPr="002F4348">
        <w:rPr>
          <w:rFonts w:eastAsia="Times New Roman" w:cstheme="minorHAnsi"/>
          <w:lang w:eastAsia="ru-RU"/>
        </w:rPr>
        <w:t>7.1.1</w:t>
      </w:r>
      <w:r w:rsidRPr="002F4348">
        <w:rPr>
          <w:rFonts w:eastAsia="Times New Roman" w:cstheme="minorHAnsi"/>
          <w:lang w:eastAsia="ru-RU"/>
        </w:rPr>
        <w:t xml:space="preserve">). Иммуногистохимической верификации подлежат все случаи ЛХ. </w:t>
      </w:r>
    </w:p>
    <w:p w14:paraId="34950788" w14:textId="77777777" w:rsidR="002C7010" w:rsidRPr="002F4348" w:rsidRDefault="002C7010" w:rsidP="002C7010">
      <w:pPr>
        <w:ind w:firstLine="567"/>
        <w:rPr>
          <w:rFonts w:eastAsia="Times New Roman" w:cstheme="minorHAnsi"/>
          <w:lang w:eastAsia="ru-RU"/>
        </w:rPr>
      </w:pPr>
      <w:r w:rsidRPr="002F4348">
        <w:rPr>
          <w:rFonts w:eastAsia="Times New Roman" w:cstheme="minorHAnsi"/>
          <w:lang w:eastAsia="ru-RU"/>
        </w:rPr>
        <w:t>Нодулярная ЛХ с лимфоидным преобладанием отличается от классической ЛХ по клиническим и иммуноморфологическим характеристикам. Опухолевые (</w:t>
      </w:r>
      <w:r w:rsidRPr="002F4348">
        <w:rPr>
          <w:rFonts w:eastAsia="Times New Roman" w:cstheme="minorHAnsi"/>
          <w:lang w:val="en-US" w:eastAsia="ru-RU"/>
        </w:rPr>
        <w:t>LP</w:t>
      </w:r>
      <w:r w:rsidRPr="002F4348">
        <w:rPr>
          <w:rFonts w:eastAsia="Times New Roman" w:cstheme="minorHAnsi"/>
          <w:lang w:eastAsia="ru-RU"/>
        </w:rPr>
        <w:t>-)</w:t>
      </w:r>
      <w:r w:rsidR="00B67E79" w:rsidRPr="002F4348">
        <w:rPr>
          <w:rFonts w:eastAsia="Times New Roman" w:cstheme="minorHAnsi"/>
          <w:lang w:eastAsia="ru-RU"/>
        </w:rPr>
        <w:t xml:space="preserve"> </w:t>
      </w:r>
      <w:r w:rsidRPr="002F4348">
        <w:rPr>
          <w:rFonts w:eastAsia="Times New Roman" w:cstheme="minorHAnsi"/>
          <w:lang w:eastAsia="ru-RU"/>
        </w:rPr>
        <w:t xml:space="preserve">клетки одинаково интенсивно экспрессируют </w:t>
      </w:r>
      <w:r w:rsidRPr="002F4348">
        <w:rPr>
          <w:rFonts w:eastAsia="Times New Roman" w:cstheme="minorHAnsi"/>
          <w:lang w:val="en-US" w:eastAsia="ru-RU"/>
        </w:rPr>
        <w:t>CD</w:t>
      </w:r>
      <w:r w:rsidRPr="002F4348">
        <w:rPr>
          <w:rFonts w:eastAsia="Times New Roman" w:cstheme="minorHAnsi"/>
          <w:lang w:eastAsia="ru-RU"/>
        </w:rPr>
        <w:t xml:space="preserve">20, </w:t>
      </w:r>
      <w:r w:rsidRPr="002F4348">
        <w:rPr>
          <w:rFonts w:eastAsia="Times New Roman" w:cstheme="minorHAnsi"/>
          <w:lang w:val="en-US" w:eastAsia="ru-RU"/>
        </w:rPr>
        <w:t>PAX</w:t>
      </w:r>
      <w:r w:rsidRPr="002F4348">
        <w:rPr>
          <w:rFonts w:eastAsia="Times New Roman" w:cstheme="minorHAnsi"/>
          <w:lang w:eastAsia="ru-RU"/>
        </w:rPr>
        <w:t xml:space="preserve">-5, </w:t>
      </w:r>
      <w:r w:rsidRPr="002F4348">
        <w:rPr>
          <w:rFonts w:eastAsia="Times New Roman" w:cstheme="minorHAnsi"/>
          <w:lang w:val="en-US" w:eastAsia="ru-RU"/>
        </w:rPr>
        <w:t>Oct</w:t>
      </w:r>
      <w:r w:rsidRPr="002F4348">
        <w:rPr>
          <w:rFonts w:eastAsia="Times New Roman" w:cstheme="minorHAnsi"/>
          <w:lang w:eastAsia="ru-RU"/>
        </w:rPr>
        <w:t xml:space="preserve">-2 и другие В-клеточные антигены, их окружают розетки из </w:t>
      </w:r>
      <w:r w:rsidRPr="002F4348">
        <w:rPr>
          <w:rFonts w:eastAsia="Times New Roman" w:cstheme="minorHAnsi"/>
          <w:lang w:val="en-US" w:eastAsia="ru-RU"/>
        </w:rPr>
        <w:t>CD</w:t>
      </w:r>
      <w:r w:rsidRPr="002F4348">
        <w:rPr>
          <w:rFonts w:eastAsia="Times New Roman" w:cstheme="minorHAnsi"/>
          <w:lang w:eastAsia="ru-RU"/>
        </w:rPr>
        <w:t xml:space="preserve">3+, </w:t>
      </w:r>
      <w:r w:rsidRPr="002F4348">
        <w:rPr>
          <w:rFonts w:eastAsia="Times New Roman" w:cstheme="minorHAnsi"/>
          <w:lang w:val="en-US" w:eastAsia="ru-RU"/>
        </w:rPr>
        <w:t>CD</w:t>
      </w:r>
      <w:r w:rsidRPr="002F4348">
        <w:rPr>
          <w:rFonts w:eastAsia="Times New Roman" w:cstheme="minorHAnsi"/>
          <w:lang w:eastAsia="ru-RU"/>
        </w:rPr>
        <w:t xml:space="preserve">57+, </w:t>
      </w:r>
      <w:r w:rsidRPr="002F4348">
        <w:rPr>
          <w:rFonts w:eastAsia="Times New Roman" w:cstheme="minorHAnsi"/>
          <w:lang w:val="en-US" w:eastAsia="ru-RU"/>
        </w:rPr>
        <w:t>PD</w:t>
      </w:r>
      <w:r w:rsidRPr="002F4348">
        <w:rPr>
          <w:rFonts w:eastAsia="Times New Roman" w:cstheme="minorHAnsi"/>
          <w:lang w:eastAsia="ru-RU"/>
        </w:rPr>
        <w:t>1+ Т</w:t>
      </w:r>
      <w:r w:rsidRPr="002F4348">
        <w:rPr>
          <w:rFonts w:eastAsia="Times New Roman" w:cstheme="minorHAnsi"/>
          <w:vertAlign w:val="subscript"/>
          <w:lang w:val="en-US" w:eastAsia="ru-RU"/>
        </w:rPr>
        <w:t>FH</w:t>
      </w:r>
      <w:r w:rsidRPr="002F4348">
        <w:rPr>
          <w:rFonts w:eastAsia="Times New Roman" w:cstheme="minorHAnsi"/>
          <w:lang w:eastAsia="ru-RU"/>
        </w:rPr>
        <w:t xml:space="preserve"> -лимфоцитов. Экспрессия CD30 и CD15 на опухолевых клетках отсутствует.</w:t>
      </w:r>
    </w:p>
    <w:p w14:paraId="544EAD85" w14:textId="77777777" w:rsidR="002C7010" w:rsidRPr="002F4348" w:rsidRDefault="002C7010" w:rsidP="002C7010">
      <w:pPr>
        <w:ind w:firstLine="567"/>
        <w:rPr>
          <w:rFonts w:eastAsia="Times New Roman" w:cstheme="minorHAnsi"/>
          <w:lang w:eastAsia="ru-RU"/>
        </w:rPr>
      </w:pPr>
      <w:r w:rsidRPr="002F4348">
        <w:rPr>
          <w:rFonts w:eastAsia="Times New Roman" w:cstheme="minorHAnsi"/>
          <w:lang w:eastAsia="ru-RU"/>
        </w:rPr>
        <w:t xml:space="preserve">Согласно новой редакции классификации ВОЗ 2017 г., случаи ЛХ с наличием морфологических и иммунофенотипических признаков как классической ЛХ, так и нодулярной ЛХ с лимфоидным преобладанием, следует относить к классической ЛХ, богатой лимфоцитами. </w:t>
      </w:r>
    </w:p>
    <w:p w14:paraId="69639B3C" w14:textId="77777777" w:rsidR="002C7010" w:rsidRPr="002F4348" w:rsidRDefault="002C7010" w:rsidP="002C7010">
      <w:pPr>
        <w:ind w:firstLine="567"/>
        <w:jc w:val="right"/>
        <w:rPr>
          <w:rFonts w:eastAsia="Times New Roman" w:cstheme="minorHAnsi"/>
          <w:lang w:eastAsia="ru-RU"/>
        </w:rPr>
      </w:pPr>
    </w:p>
    <w:p w14:paraId="2D47376C" w14:textId="77777777" w:rsidR="002C7010" w:rsidRPr="002F4348" w:rsidRDefault="002C7010" w:rsidP="002C7010">
      <w:pPr>
        <w:ind w:firstLine="567"/>
        <w:jc w:val="right"/>
        <w:rPr>
          <w:rFonts w:eastAsia="Times New Roman" w:cstheme="minorHAnsi"/>
          <w:lang w:eastAsia="ru-RU"/>
        </w:rPr>
      </w:pPr>
      <w:r w:rsidRPr="002F4348">
        <w:rPr>
          <w:rFonts w:eastAsia="Times New Roman" w:cstheme="minorHAnsi"/>
          <w:lang w:eastAsia="ru-RU"/>
        </w:rPr>
        <w:t xml:space="preserve">Таблица </w:t>
      </w:r>
      <w:r w:rsidR="00C6417C" w:rsidRPr="002F4348">
        <w:rPr>
          <w:rFonts w:eastAsia="Times New Roman" w:cstheme="minorHAnsi"/>
          <w:lang w:eastAsia="ru-RU"/>
        </w:rPr>
        <w:t>7.</w:t>
      </w:r>
      <w:r w:rsidR="0064071E" w:rsidRPr="002F4348">
        <w:rPr>
          <w:rFonts w:eastAsia="Times New Roman" w:cstheme="minorHAnsi"/>
          <w:lang w:eastAsia="ru-RU"/>
        </w:rPr>
        <w:t>2</w:t>
      </w:r>
      <w:r w:rsidR="00C6417C" w:rsidRPr="002F4348">
        <w:rPr>
          <w:rFonts w:eastAsia="Times New Roman" w:cstheme="minorHAnsi"/>
          <w:lang w:eastAsia="ru-RU"/>
        </w:rPr>
        <w:t>.1</w:t>
      </w:r>
    </w:p>
    <w:p w14:paraId="2025EFEC" w14:textId="77777777" w:rsidR="002C7010" w:rsidRPr="002F4348" w:rsidRDefault="002C7010" w:rsidP="002C7010">
      <w:pPr>
        <w:ind w:firstLine="567"/>
        <w:jc w:val="center"/>
        <w:rPr>
          <w:rFonts w:eastAsia="Times New Roman" w:cstheme="minorHAnsi"/>
          <w:lang w:eastAsia="ru-RU"/>
        </w:rPr>
      </w:pPr>
      <w:r w:rsidRPr="002F4348">
        <w:rPr>
          <w:rFonts w:eastAsia="Times New Roman" w:cstheme="minorHAnsi"/>
          <w:lang w:eastAsia="ru-RU"/>
        </w:rPr>
        <w:t xml:space="preserve">Морфологическая классификация ЛХ </w:t>
      </w:r>
    </w:p>
    <w:p w14:paraId="6A71E15C" w14:textId="77777777" w:rsidR="002C7010" w:rsidRPr="002F4348" w:rsidRDefault="002C7010" w:rsidP="002C7010">
      <w:pPr>
        <w:ind w:firstLine="567"/>
        <w:jc w:val="center"/>
        <w:rPr>
          <w:rFonts w:eastAsia="Times New Roman" w:cstheme="minorHAnsi"/>
          <w:lang w:eastAsia="ru-RU"/>
        </w:rPr>
      </w:pPr>
      <w:r w:rsidRPr="002F4348">
        <w:rPr>
          <w:rFonts w:eastAsia="Times New Roman" w:cstheme="minorHAnsi"/>
          <w:lang w:eastAsia="ru-RU"/>
        </w:rPr>
        <w:t>ВОЗ, 2017 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3"/>
        <w:gridCol w:w="4326"/>
        <w:gridCol w:w="2846"/>
      </w:tblGrid>
      <w:tr w:rsidR="002C7010" w:rsidRPr="002F4348" w14:paraId="100160EA" w14:textId="77777777" w:rsidTr="003007A6">
        <w:tc>
          <w:tcPr>
            <w:tcW w:w="1162" w:type="pct"/>
            <w:shd w:val="clear" w:color="auto" w:fill="auto"/>
          </w:tcPr>
          <w:p w14:paraId="2DDF8234" w14:textId="77777777" w:rsidR="002C7010" w:rsidRPr="002F4348" w:rsidRDefault="002C7010" w:rsidP="002C7010">
            <w:pPr>
              <w:spacing w:line="240" w:lineRule="auto"/>
              <w:ind w:firstLine="0"/>
              <w:jc w:val="center"/>
              <w:rPr>
                <w:rFonts w:eastAsia="Times New Roman" w:cstheme="minorHAnsi"/>
                <w:lang w:val="en-US" w:eastAsia="ru-RU"/>
              </w:rPr>
            </w:pPr>
            <w:r w:rsidRPr="002F4348">
              <w:rPr>
                <w:rFonts w:eastAsia="Times New Roman" w:cstheme="minorHAnsi"/>
                <w:lang w:eastAsia="ru-RU"/>
              </w:rPr>
              <w:t>Лимфома Ходжкина</w:t>
            </w:r>
          </w:p>
        </w:tc>
        <w:tc>
          <w:tcPr>
            <w:tcW w:w="2314" w:type="pct"/>
            <w:shd w:val="clear" w:color="auto" w:fill="auto"/>
          </w:tcPr>
          <w:p w14:paraId="7292E16D" w14:textId="77777777" w:rsidR="002C7010" w:rsidRPr="002F4348" w:rsidRDefault="002C7010" w:rsidP="002C7010">
            <w:pPr>
              <w:spacing w:line="240" w:lineRule="auto"/>
              <w:ind w:firstLine="0"/>
              <w:jc w:val="center"/>
              <w:rPr>
                <w:rFonts w:eastAsia="Times New Roman" w:cstheme="minorHAnsi"/>
                <w:lang w:eastAsia="ru-RU"/>
              </w:rPr>
            </w:pPr>
            <w:r w:rsidRPr="002F4348">
              <w:rPr>
                <w:rFonts w:eastAsia="Times New Roman" w:cstheme="minorHAnsi"/>
                <w:lang w:eastAsia="ru-RU"/>
              </w:rPr>
              <w:t>Варианты</w:t>
            </w:r>
          </w:p>
        </w:tc>
        <w:tc>
          <w:tcPr>
            <w:tcW w:w="1523" w:type="pct"/>
            <w:shd w:val="clear" w:color="auto" w:fill="auto"/>
          </w:tcPr>
          <w:p w14:paraId="07DEF8F4" w14:textId="77777777" w:rsidR="002C7010" w:rsidRPr="002F4348" w:rsidRDefault="002C7010" w:rsidP="002C7010">
            <w:pPr>
              <w:spacing w:line="240" w:lineRule="auto"/>
              <w:ind w:firstLine="0"/>
              <w:jc w:val="center"/>
              <w:rPr>
                <w:rFonts w:eastAsia="Times New Roman" w:cstheme="minorHAnsi"/>
                <w:lang w:eastAsia="ru-RU"/>
              </w:rPr>
            </w:pPr>
            <w:r w:rsidRPr="002F4348">
              <w:rPr>
                <w:rFonts w:eastAsia="Times New Roman" w:cstheme="minorHAnsi"/>
                <w:lang w:eastAsia="ru-RU"/>
              </w:rPr>
              <w:t>Иммунофенотип опухолевого субстрата</w:t>
            </w:r>
          </w:p>
        </w:tc>
      </w:tr>
      <w:tr w:rsidR="002C7010" w:rsidRPr="002F4348" w14:paraId="366538F3" w14:textId="77777777" w:rsidTr="003007A6">
        <w:tc>
          <w:tcPr>
            <w:tcW w:w="1162" w:type="pct"/>
            <w:shd w:val="clear" w:color="auto" w:fill="auto"/>
          </w:tcPr>
          <w:p w14:paraId="1FEFB44C" w14:textId="77777777" w:rsidR="002C7010" w:rsidRPr="002F4348" w:rsidRDefault="002C7010" w:rsidP="002C7010">
            <w:pPr>
              <w:keepNext/>
              <w:spacing w:line="240" w:lineRule="auto"/>
              <w:ind w:firstLine="0"/>
              <w:jc w:val="left"/>
              <w:outlineLvl w:val="4"/>
              <w:rPr>
                <w:rFonts w:eastAsia="Times New Roman" w:cstheme="minorHAnsi"/>
                <w:lang w:eastAsia="ru-RU"/>
              </w:rPr>
            </w:pPr>
            <w:r w:rsidRPr="002F4348">
              <w:rPr>
                <w:rFonts w:eastAsia="Times New Roman" w:cstheme="minorHAnsi"/>
                <w:lang w:eastAsia="ru-RU"/>
              </w:rPr>
              <w:t>Классическая лимфома Ходжкина</w:t>
            </w:r>
          </w:p>
        </w:tc>
        <w:tc>
          <w:tcPr>
            <w:tcW w:w="2314" w:type="pct"/>
            <w:shd w:val="clear" w:color="auto" w:fill="auto"/>
          </w:tcPr>
          <w:p w14:paraId="49E47F6E" w14:textId="77777777" w:rsidR="002C7010" w:rsidRPr="002F4348" w:rsidRDefault="002C7010" w:rsidP="002C7010">
            <w:pPr>
              <w:spacing w:line="240" w:lineRule="auto"/>
              <w:ind w:firstLine="0"/>
              <w:jc w:val="left"/>
              <w:rPr>
                <w:rFonts w:eastAsia="Times New Roman" w:cstheme="minorHAnsi"/>
                <w:lang w:eastAsia="ru-RU"/>
              </w:rPr>
            </w:pPr>
            <w:r w:rsidRPr="002F4348">
              <w:rPr>
                <w:rFonts w:eastAsia="Times New Roman" w:cstheme="minorHAnsi"/>
                <w:lang w:eastAsia="ru-RU"/>
              </w:rPr>
              <w:t xml:space="preserve">с нодулярным склерозом, типы </w:t>
            </w:r>
            <w:r w:rsidRPr="002F4348">
              <w:rPr>
                <w:rFonts w:eastAsia="Times New Roman" w:cstheme="minorHAnsi"/>
                <w:lang w:val="en-US" w:eastAsia="ru-RU"/>
              </w:rPr>
              <w:t>I</w:t>
            </w:r>
            <w:r w:rsidRPr="002F4348">
              <w:rPr>
                <w:rFonts w:eastAsia="Times New Roman" w:cstheme="minorHAnsi"/>
                <w:lang w:eastAsia="ru-RU"/>
              </w:rPr>
              <w:t xml:space="preserve"> и </w:t>
            </w:r>
            <w:r w:rsidRPr="002F4348">
              <w:rPr>
                <w:rFonts w:eastAsia="Times New Roman" w:cstheme="minorHAnsi"/>
                <w:lang w:val="en-US" w:eastAsia="ru-RU"/>
              </w:rPr>
              <w:t>II</w:t>
            </w:r>
            <w:r w:rsidRPr="002F4348">
              <w:rPr>
                <w:rFonts w:eastAsia="Times New Roman" w:cstheme="minorHAnsi"/>
                <w:lang w:eastAsia="ru-RU"/>
              </w:rPr>
              <w:t>;</w:t>
            </w:r>
          </w:p>
          <w:p w14:paraId="5DF98529" w14:textId="77777777" w:rsidR="002C7010" w:rsidRPr="002F4348" w:rsidRDefault="002C7010" w:rsidP="002C7010">
            <w:pPr>
              <w:spacing w:line="240" w:lineRule="auto"/>
              <w:ind w:firstLine="0"/>
              <w:jc w:val="left"/>
              <w:rPr>
                <w:rFonts w:eastAsia="Times New Roman" w:cstheme="minorHAnsi"/>
                <w:lang w:eastAsia="ru-RU"/>
              </w:rPr>
            </w:pPr>
            <w:r w:rsidRPr="002F4348">
              <w:rPr>
                <w:rFonts w:eastAsia="Times New Roman" w:cstheme="minorHAnsi"/>
                <w:lang w:eastAsia="ru-RU"/>
              </w:rPr>
              <w:t>смешанно-клеточный;</w:t>
            </w:r>
          </w:p>
          <w:p w14:paraId="48766CCE" w14:textId="77777777" w:rsidR="002C7010" w:rsidRPr="002F4348" w:rsidRDefault="002C7010" w:rsidP="002C7010">
            <w:pPr>
              <w:spacing w:line="240" w:lineRule="auto"/>
              <w:ind w:firstLine="0"/>
              <w:jc w:val="left"/>
              <w:rPr>
                <w:rFonts w:eastAsia="Times New Roman" w:cstheme="minorHAnsi"/>
                <w:lang w:eastAsia="ru-RU"/>
              </w:rPr>
            </w:pPr>
            <w:r w:rsidRPr="002F4348">
              <w:rPr>
                <w:rFonts w:eastAsia="Times New Roman" w:cstheme="minorHAnsi"/>
                <w:lang w:eastAsia="ru-RU"/>
              </w:rPr>
              <w:t>богатый лимфоцитами;</w:t>
            </w:r>
          </w:p>
          <w:p w14:paraId="0238FECB" w14:textId="77777777" w:rsidR="002C7010" w:rsidRPr="002F4348" w:rsidRDefault="002C7010" w:rsidP="002C7010">
            <w:pPr>
              <w:spacing w:line="240" w:lineRule="auto"/>
              <w:ind w:firstLine="0"/>
              <w:jc w:val="left"/>
              <w:rPr>
                <w:rFonts w:eastAsia="Times New Roman" w:cstheme="minorHAnsi"/>
                <w:lang w:eastAsia="ru-RU"/>
              </w:rPr>
            </w:pPr>
            <w:r w:rsidRPr="002F4348">
              <w:rPr>
                <w:rFonts w:eastAsia="Times New Roman" w:cstheme="minorHAnsi"/>
                <w:lang w:eastAsia="ru-RU"/>
              </w:rPr>
              <w:t>с лимфоидным истощением</w:t>
            </w:r>
          </w:p>
        </w:tc>
        <w:tc>
          <w:tcPr>
            <w:tcW w:w="1523" w:type="pct"/>
            <w:shd w:val="clear" w:color="auto" w:fill="auto"/>
          </w:tcPr>
          <w:p w14:paraId="5F93710F" w14:textId="77777777" w:rsidR="002C7010" w:rsidRPr="002F4348" w:rsidRDefault="002C7010" w:rsidP="002C7010">
            <w:pPr>
              <w:spacing w:line="240" w:lineRule="auto"/>
              <w:ind w:firstLine="0"/>
              <w:jc w:val="left"/>
              <w:rPr>
                <w:rFonts w:eastAsia="Times New Roman" w:cstheme="minorHAnsi"/>
                <w:lang w:eastAsia="ru-RU"/>
              </w:rPr>
            </w:pPr>
            <w:r w:rsidRPr="002F4348">
              <w:rPr>
                <w:rFonts w:eastAsia="Times New Roman" w:cstheme="minorHAnsi"/>
                <w:lang w:val="en-US" w:eastAsia="ru-RU"/>
              </w:rPr>
              <w:t>CD</w:t>
            </w:r>
            <w:r w:rsidRPr="002F4348">
              <w:rPr>
                <w:rFonts w:eastAsia="Times New Roman" w:cstheme="minorHAnsi"/>
                <w:lang w:eastAsia="ru-RU"/>
              </w:rPr>
              <w:t xml:space="preserve">30+, </w:t>
            </w:r>
            <w:r w:rsidRPr="002F4348">
              <w:rPr>
                <w:rFonts w:eastAsia="Times New Roman" w:cstheme="minorHAnsi"/>
                <w:lang w:val="en-US" w:eastAsia="ru-RU"/>
              </w:rPr>
              <w:t>CD</w:t>
            </w:r>
            <w:r w:rsidRPr="002F4348">
              <w:rPr>
                <w:rFonts w:eastAsia="Times New Roman" w:cstheme="minorHAnsi"/>
                <w:lang w:eastAsia="ru-RU"/>
              </w:rPr>
              <w:t xml:space="preserve">15+, </w:t>
            </w:r>
            <w:r w:rsidRPr="002F4348">
              <w:rPr>
                <w:rFonts w:eastAsia="Times New Roman" w:cstheme="minorHAnsi"/>
                <w:lang w:val="en-US" w:eastAsia="ru-RU"/>
              </w:rPr>
              <w:t>CD</w:t>
            </w:r>
            <w:r w:rsidRPr="002F4348">
              <w:rPr>
                <w:rFonts w:eastAsia="Times New Roman" w:cstheme="minorHAnsi"/>
                <w:lang w:eastAsia="ru-RU"/>
              </w:rPr>
              <w:t xml:space="preserve">20-/+ (экспрессия в 20-40% случаев), </w:t>
            </w:r>
            <w:r w:rsidRPr="002F4348">
              <w:rPr>
                <w:rFonts w:eastAsia="Times New Roman" w:cstheme="minorHAnsi"/>
                <w:lang w:val="en-US" w:eastAsia="ru-RU"/>
              </w:rPr>
              <w:t>CD</w:t>
            </w:r>
            <w:r w:rsidRPr="002F4348">
              <w:rPr>
                <w:rFonts w:eastAsia="Times New Roman" w:cstheme="minorHAnsi"/>
                <w:lang w:eastAsia="ru-RU"/>
              </w:rPr>
              <w:t xml:space="preserve">45-, </w:t>
            </w:r>
            <w:r w:rsidRPr="002F4348">
              <w:rPr>
                <w:rFonts w:eastAsia="Times New Roman" w:cstheme="minorHAnsi"/>
                <w:lang w:val="en-US" w:eastAsia="ru-RU"/>
              </w:rPr>
              <w:t>PAX</w:t>
            </w:r>
            <w:r w:rsidRPr="002F4348">
              <w:rPr>
                <w:rFonts w:eastAsia="Times New Roman" w:cstheme="minorHAnsi"/>
                <w:lang w:eastAsia="ru-RU"/>
              </w:rPr>
              <w:t xml:space="preserve">-5+ (слабо), </w:t>
            </w:r>
            <w:r w:rsidRPr="002F4348">
              <w:rPr>
                <w:rFonts w:eastAsia="Times New Roman" w:cstheme="minorHAnsi"/>
                <w:lang w:val="en-US" w:eastAsia="ru-RU"/>
              </w:rPr>
              <w:t>B</w:t>
            </w:r>
            <w:r w:rsidRPr="002F4348">
              <w:rPr>
                <w:rFonts w:eastAsia="Times New Roman" w:cstheme="minorHAnsi"/>
                <w:lang w:eastAsia="ru-RU"/>
              </w:rPr>
              <w:t>о</w:t>
            </w:r>
            <w:r w:rsidRPr="002F4348">
              <w:rPr>
                <w:rFonts w:eastAsia="Times New Roman" w:cstheme="minorHAnsi"/>
                <w:lang w:val="en-US" w:eastAsia="ru-RU"/>
              </w:rPr>
              <w:t>B</w:t>
            </w:r>
            <w:r w:rsidRPr="002F4348">
              <w:rPr>
                <w:rFonts w:eastAsia="Times New Roman" w:cstheme="minorHAnsi"/>
                <w:lang w:eastAsia="ru-RU"/>
              </w:rPr>
              <w:t xml:space="preserve">.1-, </w:t>
            </w:r>
            <w:r w:rsidRPr="002F4348">
              <w:rPr>
                <w:rFonts w:eastAsia="Times New Roman" w:cstheme="minorHAnsi"/>
                <w:lang w:val="en-US" w:eastAsia="ru-RU"/>
              </w:rPr>
              <w:t>Oct</w:t>
            </w:r>
            <w:r w:rsidRPr="002F4348">
              <w:rPr>
                <w:rFonts w:eastAsia="Times New Roman" w:cstheme="minorHAnsi"/>
                <w:lang w:eastAsia="ru-RU"/>
              </w:rPr>
              <w:t>-2- (или окрашивание в части клеток)</w:t>
            </w:r>
          </w:p>
        </w:tc>
      </w:tr>
      <w:tr w:rsidR="002C7010" w:rsidRPr="002F4348" w14:paraId="12CAD46D" w14:textId="77777777" w:rsidTr="003007A6">
        <w:tc>
          <w:tcPr>
            <w:tcW w:w="1162" w:type="pct"/>
            <w:shd w:val="clear" w:color="auto" w:fill="auto"/>
          </w:tcPr>
          <w:p w14:paraId="64468D5B" w14:textId="77777777" w:rsidR="002C7010" w:rsidRPr="002F4348" w:rsidRDefault="002C7010" w:rsidP="002C7010">
            <w:pPr>
              <w:keepNext/>
              <w:spacing w:line="240" w:lineRule="auto"/>
              <w:ind w:firstLine="0"/>
              <w:jc w:val="left"/>
              <w:outlineLvl w:val="4"/>
              <w:rPr>
                <w:rFonts w:eastAsia="Times New Roman" w:cstheme="minorHAnsi"/>
                <w:lang w:eastAsia="ru-RU"/>
              </w:rPr>
            </w:pPr>
            <w:r w:rsidRPr="002F4348">
              <w:rPr>
                <w:rFonts w:eastAsia="Times New Roman" w:cstheme="minorHAnsi"/>
                <w:lang w:eastAsia="ru-RU"/>
              </w:rPr>
              <w:t>Нодулярная лимфома Ходжкина с лимфоидным преобладанием</w:t>
            </w:r>
          </w:p>
          <w:p w14:paraId="01A9B60D" w14:textId="77777777" w:rsidR="002C7010" w:rsidRPr="002F4348" w:rsidRDefault="002C7010" w:rsidP="002C7010">
            <w:pPr>
              <w:spacing w:line="240" w:lineRule="auto"/>
              <w:ind w:firstLine="0"/>
              <w:rPr>
                <w:rFonts w:eastAsia="Times New Roman" w:cstheme="minorHAnsi"/>
                <w:lang w:eastAsia="ru-RU"/>
              </w:rPr>
            </w:pPr>
          </w:p>
        </w:tc>
        <w:tc>
          <w:tcPr>
            <w:tcW w:w="2314" w:type="pct"/>
            <w:shd w:val="clear" w:color="auto" w:fill="auto"/>
          </w:tcPr>
          <w:p w14:paraId="66B9C9F7" w14:textId="77777777" w:rsidR="002C7010" w:rsidRPr="002F4348" w:rsidRDefault="002C7010" w:rsidP="002C7010">
            <w:pPr>
              <w:spacing w:line="240" w:lineRule="auto"/>
              <w:ind w:firstLine="0"/>
              <w:rPr>
                <w:rFonts w:eastAsia="Times New Roman" w:cstheme="minorHAnsi"/>
                <w:lang w:eastAsia="ru-RU"/>
              </w:rPr>
            </w:pPr>
          </w:p>
        </w:tc>
        <w:tc>
          <w:tcPr>
            <w:tcW w:w="1523" w:type="pct"/>
            <w:shd w:val="clear" w:color="auto" w:fill="auto"/>
          </w:tcPr>
          <w:p w14:paraId="0086003F" w14:textId="77777777" w:rsidR="002C7010" w:rsidRPr="002F4348" w:rsidRDefault="002C7010" w:rsidP="002C7010">
            <w:pPr>
              <w:spacing w:line="240" w:lineRule="auto"/>
              <w:ind w:firstLine="0"/>
              <w:jc w:val="left"/>
              <w:rPr>
                <w:rFonts w:eastAsia="Times New Roman" w:cstheme="minorHAnsi"/>
                <w:lang w:eastAsia="ru-RU"/>
              </w:rPr>
            </w:pPr>
            <w:r w:rsidRPr="002F4348">
              <w:rPr>
                <w:rFonts w:eastAsia="Times New Roman" w:cstheme="minorHAnsi"/>
                <w:lang w:val="en-US" w:eastAsia="ru-RU"/>
              </w:rPr>
              <w:t>CD</w:t>
            </w:r>
            <w:r w:rsidRPr="002F4348">
              <w:rPr>
                <w:rFonts w:eastAsia="Times New Roman" w:cstheme="minorHAnsi"/>
                <w:lang w:eastAsia="ru-RU"/>
              </w:rPr>
              <w:t xml:space="preserve">20+, </w:t>
            </w:r>
            <w:r w:rsidRPr="002F4348">
              <w:rPr>
                <w:rFonts w:eastAsia="Times New Roman" w:cstheme="minorHAnsi"/>
                <w:lang w:val="en-US" w:eastAsia="ru-RU"/>
              </w:rPr>
              <w:t>CD</w:t>
            </w:r>
            <w:r w:rsidRPr="002F4348">
              <w:rPr>
                <w:rFonts w:eastAsia="Times New Roman" w:cstheme="minorHAnsi"/>
                <w:lang w:eastAsia="ru-RU"/>
              </w:rPr>
              <w:t xml:space="preserve">45+, </w:t>
            </w:r>
            <w:r w:rsidRPr="002F4348">
              <w:rPr>
                <w:rFonts w:eastAsia="Times New Roman" w:cstheme="minorHAnsi"/>
                <w:lang w:val="en-US" w:eastAsia="ru-RU"/>
              </w:rPr>
              <w:t>CD</w:t>
            </w:r>
            <w:r w:rsidRPr="002F4348">
              <w:rPr>
                <w:rFonts w:eastAsia="Times New Roman" w:cstheme="minorHAnsi"/>
                <w:lang w:eastAsia="ru-RU"/>
              </w:rPr>
              <w:t xml:space="preserve">30- (экспрессирован в единичных случаях), </w:t>
            </w:r>
            <w:r w:rsidRPr="002F4348">
              <w:rPr>
                <w:rFonts w:eastAsia="Times New Roman" w:cstheme="minorHAnsi"/>
                <w:lang w:val="en-US" w:eastAsia="ru-RU"/>
              </w:rPr>
              <w:t>CD</w:t>
            </w:r>
            <w:r w:rsidRPr="002F4348">
              <w:rPr>
                <w:rFonts w:eastAsia="Times New Roman" w:cstheme="minorHAnsi"/>
                <w:lang w:eastAsia="ru-RU"/>
              </w:rPr>
              <w:t xml:space="preserve">15-, </w:t>
            </w:r>
            <w:r w:rsidRPr="002F4348">
              <w:rPr>
                <w:rFonts w:eastAsia="Times New Roman" w:cstheme="minorHAnsi"/>
                <w:lang w:val="en-US" w:eastAsia="ru-RU"/>
              </w:rPr>
              <w:t>Oct</w:t>
            </w:r>
            <w:r w:rsidRPr="002F4348">
              <w:rPr>
                <w:rFonts w:eastAsia="Times New Roman" w:cstheme="minorHAnsi"/>
                <w:lang w:eastAsia="ru-RU"/>
              </w:rPr>
              <w:t xml:space="preserve">-2+ (очень ярко), </w:t>
            </w:r>
            <w:r w:rsidRPr="002F4348">
              <w:rPr>
                <w:rFonts w:eastAsia="Times New Roman" w:cstheme="minorHAnsi"/>
                <w:lang w:val="en-US" w:eastAsia="ru-RU"/>
              </w:rPr>
              <w:t>B</w:t>
            </w:r>
            <w:r w:rsidRPr="002F4348">
              <w:rPr>
                <w:rFonts w:eastAsia="Times New Roman" w:cstheme="minorHAnsi"/>
                <w:lang w:eastAsia="ru-RU"/>
              </w:rPr>
              <w:t>о</w:t>
            </w:r>
            <w:r w:rsidRPr="002F4348">
              <w:rPr>
                <w:rFonts w:eastAsia="Times New Roman" w:cstheme="minorHAnsi"/>
                <w:lang w:val="en-US" w:eastAsia="ru-RU"/>
              </w:rPr>
              <w:t>B</w:t>
            </w:r>
            <w:r w:rsidRPr="002F4348">
              <w:rPr>
                <w:rFonts w:eastAsia="Times New Roman" w:cstheme="minorHAnsi"/>
                <w:lang w:eastAsia="ru-RU"/>
              </w:rPr>
              <w:t xml:space="preserve">.1+, </w:t>
            </w:r>
            <w:r w:rsidRPr="002F4348">
              <w:rPr>
                <w:rFonts w:eastAsia="Times New Roman" w:cstheme="minorHAnsi"/>
                <w:lang w:val="en-US" w:eastAsia="ru-RU"/>
              </w:rPr>
              <w:t>BCL</w:t>
            </w:r>
            <w:r w:rsidRPr="002F4348">
              <w:rPr>
                <w:rFonts w:eastAsia="Times New Roman" w:cstheme="minorHAnsi"/>
                <w:lang w:eastAsia="ru-RU"/>
              </w:rPr>
              <w:t xml:space="preserve">-6+, </w:t>
            </w:r>
            <w:r w:rsidRPr="002F4348">
              <w:rPr>
                <w:rFonts w:eastAsia="Times New Roman" w:cstheme="minorHAnsi"/>
                <w:lang w:val="en-US" w:eastAsia="ru-RU"/>
              </w:rPr>
              <w:t>J</w:t>
            </w:r>
            <w:r w:rsidRPr="002F4348">
              <w:rPr>
                <w:rFonts w:eastAsia="Times New Roman" w:cstheme="minorHAnsi"/>
                <w:lang w:eastAsia="ru-RU"/>
              </w:rPr>
              <w:t>-</w:t>
            </w:r>
            <w:r w:rsidRPr="002F4348">
              <w:rPr>
                <w:rFonts w:eastAsia="Times New Roman" w:cstheme="minorHAnsi"/>
                <w:lang w:val="en-US" w:eastAsia="ru-RU"/>
              </w:rPr>
              <w:t>chain</w:t>
            </w:r>
            <w:r w:rsidRPr="002F4348">
              <w:rPr>
                <w:rFonts w:eastAsia="Times New Roman" w:cstheme="minorHAnsi"/>
                <w:lang w:eastAsia="ru-RU"/>
              </w:rPr>
              <w:t xml:space="preserve">+ </w:t>
            </w:r>
          </w:p>
          <w:p w14:paraId="2FC424F7" w14:textId="77777777" w:rsidR="002C7010" w:rsidRPr="002F4348" w:rsidRDefault="002C7010" w:rsidP="002C7010">
            <w:pPr>
              <w:spacing w:line="240" w:lineRule="auto"/>
              <w:ind w:firstLine="0"/>
              <w:jc w:val="left"/>
              <w:rPr>
                <w:rFonts w:eastAsia="Times New Roman" w:cstheme="minorHAnsi"/>
                <w:lang w:eastAsia="ru-RU"/>
              </w:rPr>
            </w:pPr>
          </w:p>
        </w:tc>
      </w:tr>
    </w:tbl>
    <w:p w14:paraId="0A441D86" w14:textId="77777777" w:rsidR="002C7010" w:rsidRPr="002F4348" w:rsidRDefault="002C7010" w:rsidP="002C7010">
      <w:pPr>
        <w:pStyle w:val="2"/>
      </w:pPr>
      <w:bookmarkStart w:id="57" w:name="_Toc65586405"/>
      <w:r w:rsidRPr="002F4348">
        <w:t>7.</w:t>
      </w:r>
      <w:r w:rsidR="0064071E" w:rsidRPr="002F4348">
        <w:t>3</w:t>
      </w:r>
      <w:r w:rsidRPr="002F4348">
        <w:t xml:space="preserve"> Стадирование и определение прогностической группы при ЛХ</w:t>
      </w:r>
      <w:bookmarkEnd w:id="57"/>
    </w:p>
    <w:p w14:paraId="722D572F" w14:textId="77777777" w:rsidR="002C7010" w:rsidRPr="002F4348" w:rsidRDefault="002C7010" w:rsidP="002C7010">
      <w:pPr>
        <w:ind w:firstLine="567"/>
        <w:rPr>
          <w:rFonts w:cs="Times New Roman"/>
          <w:bCs/>
          <w:color w:val="FF0000"/>
          <w:lang w:eastAsia="ru-RU"/>
        </w:rPr>
      </w:pPr>
      <w:r w:rsidRPr="002F4348">
        <w:rPr>
          <w:rFonts w:cs="Times New Roman"/>
          <w:bCs/>
          <w:lang w:eastAsia="ru-RU"/>
        </w:rPr>
        <w:t xml:space="preserve">Стадирование осуществляется по результатам обследования в соответствии с критериями классификации </w:t>
      </w:r>
      <w:r w:rsidRPr="002F4348">
        <w:rPr>
          <w:rFonts w:cs="Times New Roman"/>
          <w:bCs/>
          <w:lang w:val="en-US" w:eastAsia="ru-RU"/>
        </w:rPr>
        <w:t>Ann</w:t>
      </w:r>
      <w:r w:rsidRPr="002F4348">
        <w:rPr>
          <w:rFonts w:cs="Times New Roman"/>
          <w:bCs/>
          <w:lang w:eastAsia="ru-RU"/>
        </w:rPr>
        <w:t xml:space="preserve"> </w:t>
      </w:r>
      <w:r w:rsidRPr="002F4348">
        <w:rPr>
          <w:rFonts w:cs="Times New Roman"/>
          <w:bCs/>
          <w:lang w:val="en-US" w:eastAsia="ru-RU"/>
        </w:rPr>
        <w:t>Arbor</w:t>
      </w:r>
      <w:r w:rsidRPr="002F4348">
        <w:rPr>
          <w:rFonts w:cs="Times New Roman"/>
          <w:bCs/>
          <w:lang w:eastAsia="ru-RU"/>
        </w:rPr>
        <w:t xml:space="preserve"> (модификация </w:t>
      </w:r>
      <w:r w:rsidRPr="002F4348">
        <w:rPr>
          <w:rFonts w:cs="Times New Roman"/>
          <w:bCs/>
          <w:lang w:val="en-US" w:eastAsia="ru-RU"/>
        </w:rPr>
        <w:t>Cotswold</w:t>
      </w:r>
      <w:r w:rsidRPr="002F4348">
        <w:rPr>
          <w:rFonts w:cs="Times New Roman"/>
          <w:bCs/>
          <w:lang w:eastAsia="ru-RU"/>
        </w:rPr>
        <w:t xml:space="preserve">) (табл. </w:t>
      </w:r>
      <w:r w:rsidR="00C6417C" w:rsidRPr="002F4348">
        <w:rPr>
          <w:rFonts w:cs="Times New Roman"/>
          <w:bCs/>
          <w:lang w:eastAsia="ru-RU"/>
        </w:rPr>
        <w:t>7.</w:t>
      </w:r>
      <w:r w:rsidR="0064071E" w:rsidRPr="002F4348">
        <w:rPr>
          <w:rFonts w:cs="Times New Roman"/>
          <w:bCs/>
          <w:lang w:eastAsia="ru-RU"/>
        </w:rPr>
        <w:t>3</w:t>
      </w:r>
      <w:r w:rsidR="00C6417C" w:rsidRPr="002F4348">
        <w:rPr>
          <w:rFonts w:cs="Times New Roman"/>
          <w:bCs/>
          <w:lang w:eastAsia="ru-RU"/>
        </w:rPr>
        <w:t>.1</w:t>
      </w:r>
      <w:r w:rsidRPr="002F4348">
        <w:rPr>
          <w:rFonts w:cs="Times New Roman"/>
          <w:bCs/>
          <w:lang w:eastAsia="ru-RU"/>
        </w:rPr>
        <w:t>).</w:t>
      </w:r>
      <w:r w:rsidRPr="002F4348">
        <w:rPr>
          <w:rFonts w:cs="Times New Roman"/>
          <w:bCs/>
          <w:color w:val="FF0000"/>
          <w:lang w:eastAsia="ru-RU"/>
        </w:rPr>
        <w:t xml:space="preserve"> </w:t>
      </w:r>
    </w:p>
    <w:p w14:paraId="5076A2CB" w14:textId="77777777" w:rsidR="002C7010" w:rsidRPr="002F4348" w:rsidRDefault="002C7010" w:rsidP="002C7010">
      <w:pPr>
        <w:ind w:firstLine="567"/>
        <w:jc w:val="right"/>
        <w:rPr>
          <w:rFonts w:eastAsia="Calibri" w:cs="Times New Roman"/>
        </w:rPr>
      </w:pPr>
      <w:r w:rsidRPr="002F4348">
        <w:rPr>
          <w:rFonts w:eastAsia="Calibri" w:cs="Times New Roman"/>
        </w:rPr>
        <w:t xml:space="preserve">Таблица </w:t>
      </w:r>
      <w:r w:rsidR="00C6417C" w:rsidRPr="002F4348">
        <w:rPr>
          <w:rFonts w:eastAsia="Calibri" w:cs="Times New Roman"/>
        </w:rPr>
        <w:t>7.</w:t>
      </w:r>
      <w:r w:rsidR="0064071E" w:rsidRPr="002F4348">
        <w:rPr>
          <w:rFonts w:eastAsia="Calibri" w:cs="Times New Roman"/>
        </w:rPr>
        <w:t>3</w:t>
      </w:r>
      <w:r w:rsidR="00C6417C" w:rsidRPr="002F4348">
        <w:rPr>
          <w:rFonts w:eastAsia="Calibri" w:cs="Times New Roman"/>
        </w:rPr>
        <w:t>.1</w:t>
      </w:r>
    </w:p>
    <w:p w14:paraId="72501997" w14:textId="77777777" w:rsidR="002C7010" w:rsidRPr="002F4348" w:rsidRDefault="002C7010" w:rsidP="002C7010">
      <w:pPr>
        <w:ind w:firstLine="567"/>
        <w:jc w:val="center"/>
        <w:rPr>
          <w:rFonts w:eastAsia="Calibri" w:cs="Times New Roman"/>
        </w:rPr>
      </w:pPr>
      <w:r w:rsidRPr="002F4348">
        <w:rPr>
          <w:rFonts w:eastAsia="Calibri" w:cs="Times New Roman"/>
        </w:rPr>
        <w:t xml:space="preserve">Стадирование лимфом по </w:t>
      </w:r>
      <w:bookmarkStart w:id="58" w:name="_Hlk510628644"/>
      <w:r w:rsidRPr="002F4348">
        <w:rPr>
          <w:rFonts w:eastAsia="Calibri" w:cs="Times New Roman"/>
          <w:lang w:val="en-US"/>
        </w:rPr>
        <w:t>Ann</w:t>
      </w:r>
      <w:r w:rsidRPr="002F4348">
        <w:rPr>
          <w:rFonts w:eastAsia="Calibri" w:cs="Times New Roman"/>
        </w:rPr>
        <w:t xml:space="preserve"> </w:t>
      </w:r>
      <w:r w:rsidRPr="002F4348">
        <w:rPr>
          <w:rFonts w:eastAsia="Calibri" w:cs="Times New Roman"/>
          <w:lang w:val="en-US"/>
        </w:rPr>
        <w:t>Arbor</w:t>
      </w:r>
      <w:bookmarkEnd w:id="58"/>
      <w:r w:rsidRPr="002F4348">
        <w:rPr>
          <w:rFonts w:eastAsia="Calibri" w:cs="Times New Roman"/>
        </w:rPr>
        <w:t xml:space="preserve">, модификация </w:t>
      </w:r>
      <w:r w:rsidRPr="002F4348">
        <w:rPr>
          <w:rFonts w:eastAsia="Calibri" w:cs="Times New Roman"/>
          <w:lang w:val="en-US"/>
        </w:rPr>
        <w:t>Cotswold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64"/>
        <w:gridCol w:w="4123"/>
        <w:gridCol w:w="4058"/>
      </w:tblGrid>
      <w:tr w:rsidR="002C7010" w:rsidRPr="002F4348" w14:paraId="487CF86C" w14:textId="77777777" w:rsidTr="003007A6">
        <w:tc>
          <w:tcPr>
            <w:tcW w:w="623" w:type="pct"/>
          </w:tcPr>
          <w:p w14:paraId="05F29984" w14:textId="77777777" w:rsidR="002C7010" w:rsidRPr="002F4348" w:rsidRDefault="002C7010" w:rsidP="002C7010">
            <w:pPr>
              <w:ind w:firstLine="0"/>
              <w:rPr>
                <w:rFonts w:eastAsia="Calibri" w:cs="Times New Roman"/>
              </w:rPr>
            </w:pPr>
            <w:r w:rsidRPr="002F4348">
              <w:rPr>
                <w:rFonts w:eastAsia="Calibri" w:cs="Times New Roman"/>
              </w:rPr>
              <w:t xml:space="preserve">Стадия </w:t>
            </w:r>
            <w:r w:rsidRPr="002F4348">
              <w:rPr>
                <w:rFonts w:eastAsia="Calibri" w:cs="Times New Roman"/>
                <w:lang w:val="en-US"/>
              </w:rPr>
              <w:t>I</w:t>
            </w:r>
          </w:p>
        </w:tc>
        <w:tc>
          <w:tcPr>
            <w:tcW w:w="2206" w:type="pct"/>
          </w:tcPr>
          <w:p w14:paraId="46F8008B" w14:textId="77777777" w:rsidR="002C7010" w:rsidRPr="002F4348" w:rsidRDefault="002C7010" w:rsidP="00B153FC">
            <w:pPr>
              <w:numPr>
                <w:ilvl w:val="0"/>
                <w:numId w:val="26"/>
              </w:numPr>
              <w:spacing w:line="288" w:lineRule="auto"/>
              <w:contextualSpacing/>
              <w:jc w:val="left"/>
              <w:rPr>
                <w:rFonts w:eastAsia="Calibri" w:cs="Times New Roman"/>
              </w:rPr>
            </w:pPr>
            <w:r w:rsidRPr="002F4348">
              <w:rPr>
                <w:rFonts w:eastAsia="Calibri" w:cs="Times New Roman"/>
              </w:rPr>
              <w:t>Поражение одной лимфатической зоны (рис. 1) или структуры</w:t>
            </w:r>
            <w:r w:rsidRPr="009D018C">
              <w:rPr>
                <w:rStyle w:val="af4"/>
              </w:rPr>
              <w:footnoteReference w:id="2"/>
            </w:r>
          </w:p>
        </w:tc>
        <w:tc>
          <w:tcPr>
            <w:tcW w:w="2171" w:type="pct"/>
          </w:tcPr>
          <w:p w14:paraId="3339B90D" w14:textId="77777777" w:rsidR="002C7010" w:rsidRPr="002F4348" w:rsidRDefault="002C7010" w:rsidP="002C7010">
            <w:pPr>
              <w:ind w:left="360" w:firstLine="0"/>
              <w:contextualSpacing/>
              <w:rPr>
                <w:rFonts w:ascii="Calibri" w:eastAsia="Calibri" w:hAnsi="Calibri" w:cs="Times New Roman"/>
              </w:rPr>
            </w:pPr>
            <w:r w:rsidRPr="002F4348">
              <w:rPr>
                <w:rFonts w:eastAsia="Times New Roman" w:cstheme="minorHAnsi"/>
                <w:noProof/>
                <w:sz w:val="28"/>
                <w:szCs w:val="28"/>
                <w:lang w:eastAsia="ru-RU"/>
              </w:rPr>
              <mc:AlternateContent>
                <mc:Choice Requires="wps">
                  <w:drawing>
                    <wp:anchor distT="0" distB="0" distL="114300" distR="114300" simplePos="0" relativeHeight="251664384" behindDoc="0" locked="0" layoutInCell="1" allowOverlap="1" wp14:anchorId="0096DFA2" wp14:editId="370E002D">
                      <wp:simplePos x="0" y="0"/>
                      <wp:positionH relativeFrom="column">
                        <wp:posOffset>1459491</wp:posOffset>
                      </wp:positionH>
                      <wp:positionV relativeFrom="paragraph">
                        <wp:posOffset>471186</wp:posOffset>
                      </wp:positionV>
                      <wp:extent cx="52103" cy="54707"/>
                      <wp:effectExtent l="0" t="0" r="24130" b="21590"/>
                      <wp:wrapNone/>
                      <wp:docPr id="11" name="Овал 11"/>
                      <wp:cNvGraphicFramePr/>
                      <a:graphic xmlns:a="http://schemas.openxmlformats.org/drawingml/2006/main">
                        <a:graphicData uri="http://schemas.microsoft.com/office/word/2010/wordprocessingShape">
                          <wps:wsp>
                            <wps:cNvSpPr/>
                            <wps:spPr>
                              <a:xfrm>
                                <a:off x="0" y="0"/>
                                <a:ext cx="52103" cy="54707"/>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927AD1D" id="Овал 11" o:spid="_x0000_s1026" style="position:absolute;margin-left:114.9pt;margin-top:37.1pt;width:4.1pt;height:4.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" fillcolor="#5b9bd5" strokecolor="#41719c" strokeweight="1pt">
                      <v:stroke joinstyle="miter"/>
                    </v:oval>
                  </w:pict>
                </mc:Fallback>
              </mc:AlternateContent>
            </w:r>
            <w:r w:rsidRPr="002F4348">
              <w:rPr>
                <w:rFonts w:eastAsia="Times New Roman" w:cstheme="minorHAnsi"/>
                <w:noProof/>
                <w:sz w:val="28"/>
                <w:szCs w:val="28"/>
                <w:lang w:eastAsia="ru-RU"/>
              </w:rPr>
              <mc:AlternateContent>
                <mc:Choice Requires="wps">
                  <w:drawing>
                    <wp:anchor distT="0" distB="0" distL="114300" distR="114300" simplePos="0" relativeHeight="251665408" behindDoc="0" locked="0" layoutInCell="1" allowOverlap="1" wp14:anchorId="2F298C47" wp14:editId="67F73B22">
                      <wp:simplePos x="0" y="0"/>
                      <wp:positionH relativeFrom="column">
                        <wp:posOffset>936772</wp:posOffset>
                      </wp:positionH>
                      <wp:positionV relativeFrom="paragraph">
                        <wp:posOffset>122832</wp:posOffset>
                      </wp:positionV>
                      <wp:extent cx="54707" cy="124541"/>
                      <wp:effectExtent l="0" t="0" r="21590" b="27940"/>
                      <wp:wrapNone/>
                      <wp:docPr id="1" name="Овал 1"/>
                      <wp:cNvGraphicFramePr/>
                      <a:graphic xmlns:a="http://schemas.openxmlformats.org/drawingml/2006/main">
                        <a:graphicData uri="http://schemas.microsoft.com/office/word/2010/wordprocessingShape">
                          <wps:wsp>
                            <wps:cNvSpPr/>
                            <wps:spPr>
                              <a:xfrm>
                                <a:off x="0" y="0"/>
                                <a:ext cx="54707" cy="124541"/>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952E504" id="Овал 1" o:spid="_x0000_s1026" style="position:absolute;margin-left:73.75pt;margin-top:9.65pt;width:4.3pt;height:9.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" fillcolor="#5b9bd5" strokecolor="#41719c" strokeweight="1pt">
                      <v:stroke joinstyle="miter"/>
                    </v:oval>
                  </w:pict>
                </mc:Fallback>
              </mc:AlternateContent>
            </w:r>
            <w:r w:rsidRPr="002F4348">
              <w:rPr>
                <w:rFonts w:eastAsia="Times New Roman" w:cstheme="minorHAnsi"/>
                <w:noProof/>
                <w:sz w:val="28"/>
                <w:szCs w:val="28"/>
                <w:lang w:eastAsia="ru-RU"/>
              </w:rPr>
              <mc:AlternateContent>
                <mc:Choice Requires="wps">
                  <w:drawing>
                    <wp:anchor distT="0" distB="0" distL="114300" distR="114300" simplePos="0" relativeHeight="251663360" behindDoc="0" locked="0" layoutInCell="1" allowOverlap="1" wp14:anchorId="12A4822A" wp14:editId="4C222D92">
                      <wp:simplePos x="0" y="0"/>
                      <wp:positionH relativeFrom="column">
                        <wp:posOffset>1928219</wp:posOffset>
                      </wp:positionH>
                      <wp:positionV relativeFrom="paragraph">
                        <wp:posOffset>312534</wp:posOffset>
                      </wp:positionV>
                      <wp:extent cx="52640" cy="50295"/>
                      <wp:effectExtent l="0" t="0" r="24130" b="26035"/>
                      <wp:wrapNone/>
                      <wp:docPr id="17" name="Овал 17"/>
                      <wp:cNvGraphicFramePr/>
                      <a:graphic xmlns:a="http://schemas.openxmlformats.org/drawingml/2006/main">
                        <a:graphicData uri="http://schemas.microsoft.com/office/word/2010/wordprocessingShape">
                          <wps:wsp>
                            <wps:cNvSpPr/>
                            <wps:spPr>
                              <a:xfrm flipH="1">
                                <a:off x="0" y="0"/>
                                <a:ext cx="52640" cy="5029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4B1EF0C" id="Овал 17" o:spid="_x0000_s1026" style="position:absolute;margin-left:151.85pt;margin-top:24.6pt;width:4.15pt;height:3.9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" fillcolor="#5b9bd5 [3204]" strokecolor="#1f4d78 [1604]" strokeweight="1pt">
                      <v:stroke joinstyle="miter"/>
                    </v:oval>
                  </w:pict>
                </mc:Fallback>
              </mc:AlternateContent>
            </w:r>
            <w:r w:rsidRPr="002F4348">
              <w:rPr>
                <w:rFonts w:eastAsia="Times New Roman" w:cstheme="minorHAnsi"/>
                <w:noProof/>
                <w:sz w:val="28"/>
                <w:szCs w:val="28"/>
                <w:lang w:eastAsia="ru-RU"/>
              </w:rPr>
              <mc:AlternateContent>
                <mc:Choice Requires="wps">
                  <w:drawing>
                    <wp:anchor distT="0" distB="0" distL="114300" distR="114300" simplePos="0" relativeHeight="251662336" behindDoc="0" locked="0" layoutInCell="1" allowOverlap="1" wp14:anchorId="563B093D" wp14:editId="31DE42C7">
                      <wp:simplePos x="0" y="0"/>
                      <wp:positionH relativeFrom="column">
                        <wp:posOffset>415551</wp:posOffset>
                      </wp:positionH>
                      <wp:positionV relativeFrom="paragraph">
                        <wp:posOffset>67734</wp:posOffset>
                      </wp:positionV>
                      <wp:extent cx="52103" cy="62523"/>
                      <wp:effectExtent l="0" t="0" r="24130" b="13970"/>
                      <wp:wrapNone/>
                      <wp:docPr id="18" name="Овал 18"/>
                      <wp:cNvGraphicFramePr/>
                      <a:graphic xmlns:a="http://schemas.openxmlformats.org/drawingml/2006/main">
                        <a:graphicData uri="http://schemas.microsoft.com/office/word/2010/wordprocessingShape">
                          <wps:wsp>
                            <wps:cNvSpPr/>
                            <wps:spPr>
                              <a:xfrm>
                                <a:off x="0" y="0"/>
                                <a:ext cx="52103" cy="62523"/>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71AC034" id="Овал 18" o:spid="_x0000_s1026" style="position:absolute;margin-left:32.7pt;margin-top:5.35pt;width:4.1pt;height:4.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" fillcolor="#5b9bd5" strokecolor="#41719c" strokeweight="1pt">
                      <v:stroke joinstyle="miter"/>
                    </v:oval>
                  </w:pict>
                </mc:Fallback>
              </mc:AlternateContent>
            </w:r>
            <w:r w:rsidRPr="002F4348">
              <w:rPr>
                <w:rFonts w:eastAsia="Times New Roman" w:cstheme="minorHAnsi"/>
                <w:noProof/>
                <w:sz w:val="28"/>
                <w:szCs w:val="28"/>
                <w:lang w:eastAsia="ru-RU"/>
              </w:rPr>
              <w:drawing>
                <wp:inline distT="0" distB="0" distL="0" distR="0" wp14:anchorId="36B48910" wp14:editId="46FAEA34">
                  <wp:extent cx="470506" cy="654050"/>
                  <wp:effectExtent l="0" t="0" r="6350" b="0"/>
                  <wp:docPr id="34" name="Picture 3">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1C3DE40-DD1E-473B-942A-6E66476165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1C3DE40-DD1E-473B-942A-6E6647616552}"/>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88870" cy="679577"/>
                          </a:xfrm>
                          <a:prstGeom prst="rect">
                            <a:avLst/>
                          </a:prstGeom>
                          <a:noFill/>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ffectLst>
                                  <a:outerShdw dist="35921" dir="2700000" algn="ctr" rotWithShape="0">
                                    <a:srgbClr val="808080"/>
                                  </a:outerShdw>
                                </a:effectLst>
                              </a14:hiddenEffects>
                            </a:ext>
                          </a:extLst>
                        </pic:spPr>
                      </pic:pic>
                    </a:graphicData>
                  </a:graphic>
                </wp:inline>
              </w:drawing>
            </w:r>
            <w:r w:rsidRPr="002F4348">
              <w:rPr>
                <w:rFonts w:eastAsia="Times New Roman" w:cstheme="minorHAnsi"/>
                <w:noProof/>
                <w:sz w:val="28"/>
                <w:szCs w:val="28"/>
                <w:lang w:eastAsia="ru-RU"/>
              </w:rPr>
              <w:drawing>
                <wp:inline distT="0" distB="0" distL="0" distR="0" wp14:anchorId="22F799FE" wp14:editId="0FDB7B98">
                  <wp:extent cx="470506" cy="654050"/>
                  <wp:effectExtent l="0" t="0" r="6350" b="0"/>
                  <wp:docPr id="14336" name="Picture 3">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1C3DE40-DD1E-473B-942A-6E66476165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1C3DE40-DD1E-473B-942A-6E6647616552}"/>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88870" cy="679577"/>
                          </a:xfrm>
                          <a:prstGeom prst="rect">
                            <a:avLst/>
                          </a:prstGeom>
                          <a:noFill/>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ffectLst>
                                  <a:outerShdw dist="35921" dir="2700000" algn="ctr" rotWithShape="0">
                                    <a:srgbClr val="808080"/>
                                  </a:outerShdw>
                                </a:effectLst>
                              </a14:hiddenEffects>
                            </a:ext>
                          </a:extLst>
                        </pic:spPr>
                      </pic:pic>
                    </a:graphicData>
                  </a:graphic>
                </wp:inline>
              </w:drawing>
            </w:r>
            <w:r w:rsidRPr="002F4348">
              <w:rPr>
                <w:rFonts w:eastAsia="Times New Roman" w:cstheme="minorHAnsi"/>
                <w:noProof/>
                <w:sz w:val="28"/>
                <w:szCs w:val="28"/>
                <w:lang w:eastAsia="ru-RU"/>
              </w:rPr>
              <w:drawing>
                <wp:inline distT="0" distB="0" distL="0" distR="0" wp14:anchorId="72213348" wp14:editId="7EB952C7">
                  <wp:extent cx="463550" cy="644383"/>
                  <wp:effectExtent l="0" t="0" r="0" b="3810"/>
                  <wp:docPr id="14337" name="Picture 3">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1C3DE40-DD1E-473B-942A-6E66476165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1C3DE40-DD1E-473B-942A-6E6647616552}"/>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07614" cy="705637"/>
                          </a:xfrm>
                          <a:prstGeom prst="rect">
                            <a:avLst/>
                          </a:prstGeom>
                          <a:noFill/>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ffectLst>
                                  <a:outerShdw dist="35921" dir="2700000" algn="ctr" rotWithShape="0">
                                    <a:srgbClr val="808080"/>
                                  </a:outerShdw>
                                </a:effectLst>
                              </a14:hiddenEffects>
                            </a:ext>
                          </a:extLst>
                        </pic:spPr>
                      </pic:pic>
                    </a:graphicData>
                  </a:graphic>
                </wp:inline>
              </w:drawing>
            </w:r>
            <w:r w:rsidRPr="002F4348">
              <w:rPr>
                <w:rFonts w:eastAsia="Times New Roman" w:cstheme="minorHAnsi"/>
                <w:noProof/>
                <w:sz w:val="28"/>
                <w:szCs w:val="28"/>
                <w:lang w:eastAsia="ru-RU"/>
              </w:rPr>
              <w:drawing>
                <wp:inline distT="0" distB="0" distL="0" distR="0" wp14:anchorId="26A9A5CA" wp14:editId="5549F5D9">
                  <wp:extent cx="457200" cy="635553"/>
                  <wp:effectExtent l="0" t="0" r="0" b="0"/>
                  <wp:docPr id="14338" name="Picture 3">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1C3DE40-DD1E-473B-942A-6E66476165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1C3DE40-DD1E-473B-942A-6E664761655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9564" cy="680542"/>
                          </a:xfrm>
                          <a:prstGeom prst="rect">
                            <a:avLst/>
                          </a:prstGeom>
                          <a:noFill/>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ffectLst>
                                  <a:outerShdw dist="35921" dir="2700000" algn="ctr" rotWithShape="0">
                                    <a:srgbClr val="808080"/>
                                  </a:outerShdw>
                                </a:effectLst>
                              </a14:hiddenEffects>
                            </a:ext>
                          </a:extLst>
                        </pic:spPr>
                      </pic:pic>
                    </a:graphicData>
                  </a:graphic>
                </wp:inline>
              </w:drawing>
            </w:r>
          </w:p>
        </w:tc>
      </w:tr>
      <w:tr w:rsidR="002C7010" w:rsidRPr="002F4348" w14:paraId="6B5FC230" w14:textId="77777777" w:rsidTr="003007A6">
        <w:tc>
          <w:tcPr>
            <w:tcW w:w="623" w:type="pct"/>
          </w:tcPr>
          <w:p w14:paraId="7D5312C2" w14:textId="77777777" w:rsidR="002C7010" w:rsidRPr="002F4348" w:rsidRDefault="002C7010" w:rsidP="002C7010">
            <w:pPr>
              <w:ind w:firstLine="0"/>
              <w:rPr>
                <w:rFonts w:eastAsia="Calibri" w:cs="Times New Roman"/>
              </w:rPr>
            </w:pPr>
            <w:r w:rsidRPr="002F4348">
              <w:rPr>
                <w:rFonts w:eastAsia="Calibri" w:cs="Times New Roman"/>
              </w:rPr>
              <w:t xml:space="preserve">Стадия </w:t>
            </w:r>
            <w:r w:rsidRPr="002F4348">
              <w:rPr>
                <w:rFonts w:eastAsia="Calibri" w:cs="Times New Roman"/>
                <w:lang w:val="en-US"/>
              </w:rPr>
              <w:t>II</w:t>
            </w:r>
            <w:r w:rsidRPr="002F4348">
              <w:rPr>
                <w:rFonts w:eastAsia="Calibri" w:cs="Times New Roman"/>
              </w:rPr>
              <w:t xml:space="preserve"> </w:t>
            </w:r>
          </w:p>
        </w:tc>
        <w:tc>
          <w:tcPr>
            <w:tcW w:w="2206" w:type="pct"/>
          </w:tcPr>
          <w:p w14:paraId="7703A046" w14:textId="77777777" w:rsidR="002C7010" w:rsidRPr="002F4348" w:rsidRDefault="002C7010" w:rsidP="00B153FC">
            <w:pPr>
              <w:numPr>
                <w:ilvl w:val="0"/>
                <w:numId w:val="27"/>
              </w:numPr>
              <w:spacing w:line="288" w:lineRule="auto"/>
              <w:contextualSpacing/>
              <w:jc w:val="left"/>
              <w:rPr>
                <w:rFonts w:eastAsia="Calibri" w:cs="Times New Roman"/>
              </w:rPr>
            </w:pPr>
            <w:r w:rsidRPr="002F4348">
              <w:rPr>
                <w:rFonts w:eastAsia="Calibri" w:cs="Times New Roman"/>
              </w:rPr>
              <w:t>Поражение двух или более</w:t>
            </w:r>
            <w:r w:rsidRPr="009D018C">
              <w:rPr>
                <w:rStyle w:val="af4"/>
              </w:rPr>
              <w:footnoteReference w:id="3"/>
            </w:r>
            <w:r w:rsidRPr="002F4348">
              <w:rPr>
                <w:rFonts w:eastAsia="Calibri" w:cs="Times New Roman"/>
              </w:rPr>
              <w:t xml:space="preserve"> лимфатических зон по одну сторону диафрагмы</w:t>
            </w:r>
            <w:r w:rsidRPr="009D018C">
              <w:rPr>
                <w:rStyle w:val="af4"/>
              </w:rPr>
              <w:footnoteReference w:id="4"/>
            </w:r>
          </w:p>
        </w:tc>
        <w:tc>
          <w:tcPr>
            <w:tcW w:w="2171" w:type="pct"/>
          </w:tcPr>
          <w:p w14:paraId="61288AC0" w14:textId="77777777" w:rsidR="002C7010" w:rsidRPr="002F4348" w:rsidRDefault="002C7010" w:rsidP="002C7010">
            <w:pPr>
              <w:ind w:left="360" w:firstLine="0"/>
              <w:contextualSpacing/>
              <w:rPr>
                <w:rFonts w:ascii="Calibri" w:eastAsia="Calibri" w:hAnsi="Calibri" w:cs="Times New Roman"/>
              </w:rPr>
            </w:pPr>
            <w:r w:rsidRPr="002F4348">
              <w:rPr>
                <w:rFonts w:eastAsia="Times New Roman" w:cstheme="minorHAnsi"/>
                <w:noProof/>
                <w:sz w:val="28"/>
                <w:szCs w:val="28"/>
                <w:lang w:eastAsia="ru-RU"/>
              </w:rPr>
              <mc:AlternateContent>
                <mc:Choice Requires="wps">
                  <w:drawing>
                    <wp:anchor distT="0" distB="0" distL="114300" distR="114300" simplePos="0" relativeHeight="251666432" behindDoc="0" locked="0" layoutInCell="1" allowOverlap="1" wp14:anchorId="116959E8" wp14:editId="11AAC51E">
                      <wp:simplePos x="0" y="0"/>
                      <wp:positionH relativeFrom="column">
                        <wp:posOffset>404825</wp:posOffset>
                      </wp:positionH>
                      <wp:positionV relativeFrom="paragraph">
                        <wp:posOffset>94818</wp:posOffset>
                      </wp:positionV>
                      <wp:extent cx="45719" cy="45719"/>
                      <wp:effectExtent l="0" t="0" r="12065" b="12065"/>
                      <wp:wrapNone/>
                      <wp:docPr id="41" name="Овал 41"/>
                      <wp:cNvGraphicFramePr/>
                      <a:graphic xmlns:a="http://schemas.openxmlformats.org/drawingml/2006/main">
                        <a:graphicData uri="http://schemas.microsoft.com/office/word/2010/wordprocessingShape">
                          <wps:wsp>
                            <wps:cNvSpPr/>
                            <wps:spPr>
                              <a:xfrm flipH="1">
                                <a:off x="0" y="0"/>
                                <a:ext cx="45719" cy="4571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61A553B" id="Овал 41" o:spid="_x0000_s1026" style="position:absolute;margin-left:31.9pt;margin-top:7.45pt;width:3.6pt;height:3.6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" fillcolor="#5b9bd5 [3204]" strokecolor="#1f4d78 [1604]" strokeweight="1pt">
                      <v:stroke joinstyle="miter"/>
                    </v:oval>
                  </w:pict>
                </mc:Fallback>
              </mc:AlternateContent>
            </w:r>
            <w:r w:rsidRPr="002F4348">
              <w:rPr>
                <w:rFonts w:eastAsia="Times New Roman" w:cstheme="minorHAnsi"/>
                <w:noProof/>
                <w:sz w:val="28"/>
                <w:szCs w:val="28"/>
                <w:lang w:eastAsia="ru-RU"/>
              </w:rPr>
              <mc:AlternateContent>
                <mc:Choice Requires="wps">
                  <w:drawing>
                    <wp:anchor distT="0" distB="0" distL="114300" distR="114300" simplePos="0" relativeHeight="251689984" behindDoc="0" locked="0" layoutInCell="1" allowOverlap="1" wp14:anchorId="5F58CD57" wp14:editId="6CCA5A58">
                      <wp:simplePos x="0" y="0"/>
                      <wp:positionH relativeFrom="column">
                        <wp:posOffset>424993</wp:posOffset>
                      </wp:positionH>
                      <wp:positionV relativeFrom="paragraph">
                        <wp:posOffset>33554</wp:posOffset>
                      </wp:positionV>
                      <wp:extent cx="45719" cy="45719"/>
                      <wp:effectExtent l="0" t="0" r="12065" b="12065"/>
                      <wp:wrapNone/>
                      <wp:docPr id="67" name="Овал 67"/>
                      <wp:cNvGraphicFramePr/>
                      <a:graphic xmlns:a="http://schemas.openxmlformats.org/drawingml/2006/main">
                        <a:graphicData uri="http://schemas.microsoft.com/office/word/2010/wordprocessingShape">
                          <wps:wsp>
                            <wps:cNvSpPr/>
                            <wps:spPr>
                              <a:xfrm>
                                <a:off x="0" y="0"/>
                                <a:ext cx="45719" cy="4571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C3F0226" id="Овал 67" o:spid="_x0000_s1026" style="position:absolute;margin-left:33.45pt;margin-top:2.65pt;width:3.6pt;height:3.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" fillcolor="#5b9bd5 [3204]" strokecolor="#1f4d78 [1604]" strokeweight="1pt">
                      <v:stroke joinstyle="miter"/>
                    </v:oval>
                  </w:pict>
                </mc:Fallback>
              </mc:AlternateContent>
            </w:r>
            <w:r w:rsidRPr="002F4348">
              <w:rPr>
                <w:rFonts w:eastAsia="Times New Roman" w:cstheme="minorHAnsi"/>
                <w:noProof/>
                <w:sz w:val="28"/>
                <w:szCs w:val="28"/>
                <w:lang w:eastAsia="ru-RU"/>
              </w:rPr>
              <mc:AlternateContent>
                <mc:Choice Requires="wps">
                  <w:drawing>
                    <wp:anchor distT="0" distB="0" distL="114300" distR="114300" simplePos="0" relativeHeight="251677696" behindDoc="0" locked="0" layoutInCell="1" allowOverlap="1" wp14:anchorId="29F8D6B5" wp14:editId="4A51B798">
                      <wp:simplePos x="0" y="0"/>
                      <wp:positionH relativeFrom="column">
                        <wp:posOffset>1933396</wp:posOffset>
                      </wp:positionH>
                      <wp:positionV relativeFrom="paragraph">
                        <wp:posOffset>484863</wp:posOffset>
                      </wp:positionV>
                      <wp:extent cx="45719" cy="45719"/>
                      <wp:effectExtent l="0" t="0" r="12065" b="12065"/>
                      <wp:wrapNone/>
                      <wp:docPr id="55" name="Овал 55"/>
                      <wp:cNvGraphicFramePr/>
                      <a:graphic xmlns:a="http://schemas.openxmlformats.org/drawingml/2006/main">
                        <a:graphicData uri="http://schemas.microsoft.com/office/word/2010/wordprocessingShape">
                          <wps:wsp>
                            <wps:cNvSpPr/>
                            <wps:spPr>
                              <a:xfrm flipH="1">
                                <a:off x="0" y="0"/>
                                <a:ext cx="45719" cy="4571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3FE417B" id="Овал 55" o:spid="_x0000_s1026" style="position:absolute;margin-left:152.25pt;margin-top:38.2pt;width:3.6pt;height:3.6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" fillcolor="#5b9bd5 [3204]" strokecolor="#1f4d78 [1604]" strokeweight="1pt">
                      <v:stroke joinstyle="miter"/>
                    </v:oval>
                  </w:pict>
                </mc:Fallback>
              </mc:AlternateContent>
            </w:r>
            <w:r w:rsidRPr="002F4348">
              <w:rPr>
                <w:rFonts w:eastAsia="Times New Roman" w:cstheme="minorHAnsi"/>
                <w:noProof/>
                <w:sz w:val="28"/>
                <w:szCs w:val="28"/>
                <w:lang w:eastAsia="ru-RU"/>
              </w:rPr>
              <mc:AlternateContent>
                <mc:Choice Requires="wps">
                  <w:drawing>
                    <wp:anchor distT="0" distB="0" distL="114300" distR="114300" simplePos="0" relativeHeight="251676672" behindDoc="0" locked="0" layoutInCell="1" allowOverlap="1" wp14:anchorId="3BFD13E4" wp14:editId="76F0EB37">
                      <wp:simplePos x="0" y="0"/>
                      <wp:positionH relativeFrom="column">
                        <wp:posOffset>1954806</wp:posOffset>
                      </wp:positionH>
                      <wp:positionV relativeFrom="paragraph">
                        <wp:posOffset>304881</wp:posOffset>
                      </wp:positionV>
                      <wp:extent cx="45719" cy="49106"/>
                      <wp:effectExtent l="0" t="0" r="12065" b="27305"/>
                      <wp:wrapNone/>
                      <wp:docPr id="54" name="Овал 54"/>
                      <wp:cNvGraphicFramePr/>
                      <a:graphic xmlns:a="http://schemas.openxmlformats.org/drawingml/2006/main">
                        <a:graphicData uri="http://schemas.microsoft.com/office/word/2010/wordprocessingShape">
                          <wps:wsp>
                            <wps:cNvSpPr/>
                            <wps:spPr>
                              <a:xfrm>
                                <a:off x="0" y="0"/>
                                <a:ext cx="45719" cy="49106"/>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BF9F2F0" id="Овал 54" o:spid="_x0000_s1026" style="position:absolute;margin-left:153.9pt;margin-top:24pt;width:3.6pt;height:3.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" fillcolor="#5b9bd5 [3204]" strokecolor="#1f4d78 [1604]" strokeweight="1pt">
                      <v:stroke joinstyle="miter"/>
                    </v:oval>
                  </w:pict>
                </mc:Fallback>
              </mc:AlternateContent>
            </w:r>
            <w:r w:rsidRPr="002F4348">
              <w:rPr>
                <w:rFonts w:eastAsia="Times New Roman" w:cstheme="minorHAnsi"/>
                <w:noProof/>
                <w:sz w:val="28"/>
                <w:szCs w:val="28"/>
                <w:lang w:eastAsia="ru-RU"/>
              </w:rPr>
              <mc:AlternateContent>
                <mc:Choice Requires="wps">
                  <w:drawing>
                    <wp:anchor distT="0" distB="0" distL="114300" distR="114300" simplePos="0" relativeHeight="251675648" behindDoc="0" locked="0" layoutInCell="1" allowOverlap="1" wp14:anchorId="137C9192" wp14:editId="2CE959CB">
                      <wp:simplePos x="0" y="0"/>
                      <wp:positionH relativeFrom="column">
                        <wp:posOffset>1924734</wp:posOffset>
                      </wp:positionH>
                      <wp:positionV relativeFrom="paragraph">
                        <wp:posOffset>370400</wp:posOffset>
                      </wp:positionV>
                      <wp:extent cx="45719" cy="65129"/>
                      <wp:effectExtent l="0" t="0" r="12065" b="11430"/>
                      <wp:wrapNone/>
                      <wp:docPr id="53" name="Овал 53"/>
                      <wp:cNvGraphicFramePr/>
                      <a:graphic xmlns:a="http://schemas.openxmlformats.org/drawingml/2006/main">
                        <a:graphicData uri="http://schemas.microsoft.com/office/word/2010/wordprocessingShape">
                          <wps:wsp>
                            <wps:cNvSpPr/>
                            <wps:spPr>
                              <a:xfrm>
                                <a:off x="0" y="0"/>
                                <a:ext cx="45719" cy="6512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4B98C54" id="Овал 53" o:spid="_x0000_s1026" style="position:absolute;margin-left:151.55pt;margin-top:29.15pt;width:3.6pt;height:5.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" fillcolor="#5b9bd5 [3204]" strokecolor="#1f4d78 [1604]" strokeweight="1pt">
                      <v:stroke joinstyle="miter"/>
                    </v:oval>
                  </w:pict>
                </mc:Fallback>
              </mc:AlternateContent>
            </w:r>
            <w:r w:rsidRPr="002F4348">
              <w:rPr>
                <w:rFonts w:eastAsia="Times New Roman" w:cstheme="minorHAnsi"/>
                <w:noProof/>
                <w:sz w:val="28"/>
                <w:szCs w:val="28"/>
                <w:lang w:eastAsia="ru-RU"/>
              </w:rPr>
              <mc:AlternateContent>
                <mc:Choice Requires="wps">
                  <w:drawing>
                    <wp:anchor distT="0" distB="0" distL="114300" distR="114300" simplePos="0" relativeHeight="251674624" behindDoc="0" locked="0" layoutInCell="1" allowOverlap="1" wp14:anchorId="0F268CBA" wp14:editId="54F17617">
                      <wp:simplePos x="0" y="0"/>
                      <wp:positionH relativeFrom="column">
                        <wp:posOffset>1051316</wp:posOffset>
                      </wp:positionH>
                      <wp:positionV relativeFrom="paragraph">
                        <wp:posOffset>166794</wp:posOffset>
                      </wp:positionV>
                      <wp:extent cx="52103" cy="49497"/>
                      <wp:effectExtent l="0" t="0" r="24130" b="27305"/>
                      <wp:wrapNone/>
                      <wp:docPr id="52" name="Овал 52"/>
                      <wp:cNvGraphicFramePr/>
                      <a:graphic xmlns:a="http://schemas.openxmlformats.org/drawingml/2006/main">
                        <a:graphicData uri="http://schemas.microsoft.com/office/word/2010/wordprocessingShape">
                          <wps:wsp>
                            <wps:cNvSpPr/>
                            <wps:spPr>
                              <a:xfrm>
                                <a:off x="0" y="0"/>
                                <a:ext cx="52103" cy="49497"/>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37F1C05" id="Овал 52" o:spid="_x0000_s1026" style="position:absolute;margin-left:82.8pt;margin-top:13.15pt;width:4.1pt;height:3.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" fillcolor="#5b9bd5 [3204]" strokecolor="#1f4d78 [1604]" strokeweight="1pt">
                      <v:stroke joinstyle="miter"/>
                    </v:oval>
                  </w:pict>
                </mc:Fallback>
              </mc:AlternateContent>
            </w:r>
            <w:r w:rsidRPr="002F4348">
              <w:rPr>
                <w:rFonts w:eastAsia="Times New Roman" w:cstheme="minorHAnsi"/>
                <w:noProof/>
                <w:sz w:val="28"/>
                <w:szCs w:val="28"/>
                <w:lang w:eastAsia="ru-RU"/>
              </w:rPr>
              <mc:AlternateContent>
                <mc:Choice Requires="wps">
                  <w:drawing>
                    <wp:anchor distT="0" distB="0" distL="114300" distR="114300" simplePos="0" relativeHeight="251671552" behindDoc="0" locked="0" layoutInCell="1" allowOverlap="1" wp14:anchorId="4E4C24E0" wp14:editId="5A2F7B04">
                      <wp:simplePos x="0" y="0"/>
                      <wp:positionH relativeFrom="column">
                        <wp:posOffset>1418719</wp:posOffset>
                      </wp:positionH>
                      <wp:positionV relativeFrom="paragraph">
                        <wp:posOffset>102071</wp:posOffset>
                      </wp:positionV>
                      <wp:extent cx="54708" cy="135337"/>
                      <wp:effectExtent l="0" t="0" r="21590" b="17145"/>
                      <wp:wrapNone/>
                      <wp:docPr id="49" name="Овал 49"/>
                      <wp:cNvGraphicFramePr/>
                      <a:graphic xmlns:a="http://schemas.openxmlformats.org/drawingml/2006/main">
                        <a:graphicData uri="http://schemas.microsoft.com/office/word/2010/wordprocessingShape">
                          <wps:wsp>
                            <wps:cNvSpPr/>
                            <wps:spPr>
                              <a:xfrm flipH="1">
                                <a:off x="0" y="0"/>
                                <a:ext cx="54708" cy="135337"/>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74F0FF8" id="Овал 49" o:spid="_x0000_s1026" style="position:absolute;margin-left:111.7pt;margin-top:8.05pt;width:4.3pt;height:10.6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" fillcolor="#5b9bd5 [3204]" strokecolor="#1f4d78 [1604]" strokeweight="1pt">
                      <v:stroke joinstyle="miter"/>
                    </v:oval>
                  </w:pict>
                </mc:Fallback>
              </mc:AlternateContent>
            </w:r>
            <w:r w:rsidRPr="002F4348">
              <w:rPr>
                <w:rFonts w:eastAsia="Times New Roman" w:cstheme="minorHAnsi"/>
                <w:noProof/>
                <w:sz w:val="28"/>
                <w:szCs w:val="28"/>
                <w:lang w:eastAsia="ru-RU"/>
              </w:rPr>
              <mc:AlternateContent>
                <mc:Choice Requires="wps">
                  <w:drawing>
                    <wp:anchor distT="0" distB="0" distL="114300" distR="114300" simplePos="0" relativeHeight="251673600" behindDoc="0" locked="0" layoutInCell="1" allowOverlap="1" wp14:anchorId="6A8F39E4" wp14:editId="13ACE02F">
                      <wp:simplePos x="0" y="0"/>
                      <wp:positionH relativeFrom="column">
                        <wp:posOffset>1406086</wp:posOffset>
                      </wp:positionH>
                      <wp:positionV relativeFrom="paragraph">
                        <wp:posOffset>149811</wp:posOffset>
                      </wp:positionV>
                      <wp:extent cx="45719" cy="54203"/>
                      <wp:effectExtent l="0" t="0" r="12065" b="22225"/>
                      <wp:wrapNone/>
                      <wp:docPr id="51" name="Овал 51"/>
                      <wp:cNvGraphicFramePr/>
                      <a:graphic xmlns:a="http://schemas.openxmlformats.org/drawingml/2006/main">
                        <a:graphicData uri="http://schemas.microsoft.com/office/word/2010/wordprocessingShape">
                          <wps:wsp>
                            <wps:cNvSpPr/>
                            <wps:spPr>
                              <a:xfrm>
                                <a:off x="0" y="0"/>
                                <a:ext cx="45719" cy="54203"/>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F99AEDB" id="Овал 51" o:spid="_x0000_s1026" style="position:absolute;margin-left:110.7pt;margin-top:11.8pt;width:3.6pt;height:4.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" fillcolor="#5b9bd5 [3204]" strokecolor="#1f4d78 [1604]" strokeweight="1pt">
                      <v:stroke joinstyle="miter"/>
                    </v:oval>
                  </w:pict>
                </mc:Fallback>
              </mc:AlternateContent>
            </w:r>
            <w:r w:rsidRPr="002F4348">
              <w:rPr>
                <w:rFonts w:eastAsia="Times New Roman" w:cstheme="minorHAnsi"/>
                <w:noProof/>
                <w:sz w:val="28"/>
                <w:szCs w:val="28"/>
                <w:lang w:eastAsia="ru-RU"/>
              </w:rPr>
              <mc:AlternateContent>
                <mc:Choice Requires="wps">
                  <w:drawing>
                    <wp:anchor distT="0" distB="0" distL="114300" distR="114300" simplePos="0" relativeHeight="251672576" behindDoc="0" locked="0" layoutInCell="1" allowOverlap="1" wp14:anchorId="6A212451" wp14:editId="147B2EF0">
                      <wp:simplePos x="0" y="0"/>
                      <wp:positionH relativeFrom="column">
                        <wp:posOffset>1449005</wp:posOffset>
                      </wp:positionH>
                      <wp:positionV relativeFrom="paragraph">
                        <wp:posOffset>143135</wp:posOffset>
                      </wp:positionV>
                      <wp:extent cx="45719" cy="45719"/>
                      <wp:effectExtent l="0" t="0" r="12065" b="12065"/>
                      <wp:wrapNone/>
                      <wp:docPr id="50" name="Овал 50"/>
                      <wp:cNvGraphicFramePr/>
                      <a:graphic xmlns:a="http://schemas.openxmlformats.org/drawingml/2006/main">
                        <a:graphicData uri="http://schemas.microsoft.com/office/word/2010/wordprocessingShape">
                          <wps:wsp>
                            <wps:cNvSpPr/>
                            <wps:spPr>
                              <a:xfrm>
                                <a:off x="0" y="0"/>
                                <a:ext cx="45719" cy="4571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6603542" id="Овал 50" o:spid="_x0000_s1026" style="position:absolute;margin-left:114.1pt;margin-top:11.25pt;width:3.6pt;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" fillcolor="#5b9bd5 [3204]" strokecolor="#1f4d78 [1604]" strokeweight="1pt">
                      <v:stroke joinstyle="miter"/>
                    </v:oval>
                  </w:pict>
                </mc:Fallback>
              </mc:AlternateContent>
            </w:r>
            <w:r w:rsidRPr="002F4348">
              <w:rPr>
                <w:rFonts w:eastAsia="Times New Roman" w:cstheme="minorHAnsi"/>
                <w:noProof/>
                <w:sz w:val="28"/>
                <w:szCs w:val="28"/>
                <w:lang w:eastAsia="ru-RU"/>
              </w:rPr>
              <mc:AlternateContent>
                <mc:Choice Requires="wps">
                  <w:drawing>
                    <wp:anchor distT="0" distB="0" distL="114300" distR="114300" simplePos="0" relativeHeight="251670528" behindDoc="0" locked="0" layoutInCell="1" allowOverlap="1" wp14:anchorId="54C47C29" wp14:editId="10DC1BF8">
                      <wp:simplePos x="0" y="0"/>
                      <wp:positionH relativeFrom="column">
                        <wp:posOffset>934166</wp:posOffset>
                      </wp:positionH>
                      <wp:positionV relativeFrom="paragraph">
                        <wp:posOffset>130729</wp:posOffset>
                      </wp:positionV>
                      <wp:extent cx="77731" cy="106810"/>
                      <wp:effectExtent l="0" t="0" r="17780" b="26670"/>
                      <wp:wrapNone/>
                      <wp:docPr id="48" name="Овал 48"/>
                      <wp:cNvGraphicFramePr/>
                      <a:graphic xmlns:a="http://schemas.openxmlformats.org/drawingml/2006/main">
                        <a:graphicData uri="http://schemas.microsoft.com/office/word/2010/wordprocessingShape">
                          <wps:wsp>
                            <wps:cNvSpPr/>
                            <wps:spPr>
                              <a:xfrm>
                                <a:off x="0" y="0"/>
                                <a:ext cx="77731" cy="10681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5B63340" id="Овал 48" o:spid="_x0000_s1026" style="position:absolute;margin-left:73.55pt;margin-top:10.3pt;width:6.1pt;height:8.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" fillcolor="#5b9bd5 [3204]" strokecolor="#1f4d78 [1604]" strokeweight="1pt">
                      <v:stroke joinstyle="miter"/>
                    </v:oval>
                  </w:pict>
                </mc:Fallback>
              </mc:AlternateContent>
            </w:r>
            <w:r w:rsidRPr="002F4348">
              <w:rPr>
                <w:rFonts w:eastAsia="Times New Roman" w:cstheme="minorHAnsi"/>
                <w:noProof/>
                <w:sz w:val="28"/>
                <w:szCs w:val="28"/>
                <w:lang w:eastAsia="ru-RU"/>
              </w:rPr>
              <mc:AlternateContent>
                <mc:Choice Requires="wps">
                  <w:drawing>
                    <wp:anchor distT="0" distB="0" distL="114300" distR="114300" simplePos="0" relativeHeight="251669504" behindDoc="0" locked="0" layoutInCell="1" allowOverlap="1" wp14:anchorId="6729C239" wp14:editId="480CE956">
                      <wp:simplePos x="0" y="0"/>
                      <wp:positionH relativeFrom="column">
                        <wp:posOffset>894715</wp:posOffset>
                      </wp:positionH>
                      <wp:positionV relativeFrom="paragraph">
                        <wp:posOffset>78219</wp:posOffset>
                      </wp:positionV>
                      <wp:extent cx="59918" cy="45719"/>
                      <wp:effectExtent l="0" t="0" r="16510" b="12065"/>
                      <wp:wrapNone/>
                      <wp:docPr id="46" name="Овал 46"/>
                      <wp:cNvGraphicFramePr/>
                      <a:graphic xmlns:a="http://schemas.openxmlformats.org/drawingml/2006/main">
                        <a:graphicData uri="http://schemas.microsoft.com/office/word/2010/wordprocessingShape">
                          <wps:wsp>
                            <wps:cNvSpPr/>
                            <wps:spPr>
                              <a:xfrm>
                                <a:off x="0" y="0"/>
                                <a:ext cx="59918" cy="4571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D8B1A99" id="Овал 46" o:spid="_x0000_s1026" style="position:absolute;margin-left:70.45pt;margin-top:6.15pt;width:4.7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" fillcolor="#5b9bd5 [3204]" strokecolor="#1f4d78 [1604]" strokeweight="1pt">
                      <v:stroke joinstyle="miter"/>
                    </v:oval>
                  </w:pict>
                </mc:Fallback>
              </mc:AlternateContent>
            </w:r>
            <w:r w:rsidRPr="002F4348">
              <w:rPr>
                <w:rFonts w:eastAsia="Times New Roman" w:cstheme="minorHAnsi"/>
                <w:noProof/>
                <w:sz w:val="28"/>
                <w:szCs w:val="28"/>
                <w:lang w:eastAsia="ru-RU"/>
              </w:rPr>
              <mc:AlternateContent>
                <mc:Choice Requires="wps">
                  <w:drawing>
                    <wp:anchor distT="0" distB="0" distL="114300" distR="114300" simplePos="0" relativeHeight="251668480" behindDoc="0" locked="0" layoutInCell="1" allowOverlap="1" wp14:anchorId="32605FE9" wp14:editId="364C350D">
                      <wp:simplePos x="0" y="0"/>
                      <wp:positionH relativeFrom="column">
                        <wp:posOffset>996625</wp:posOffset>
                      </wp:positionH>
                      <wp:positionV relativeFrom="paragraph">
                        <wp:posOffset>83217</wp:posOffset>
                      </wp:positionV>
                      <wp:extent cx="45719" cy="56743"/>
                      <wp:effectExtent l="0" t="0" r="12065" b="19685"/>
                      <wp:wrapNone/>
                      <wp:docPr id="44" name="Овал 44"/>
                      <wp:cNvGraphicFramePr/>
                      <a:graphic xmlns:a="http://schemas.openxmlformats.org/drawingml/2006/main">
                        <a:graphicData uri="http://schemas.microsoft.com/office/word/2010/wordprocessingShape">
                          <wps:wsp>
                            <wps:cNvSpPr/>
                            <wps:spPr>
                              <a:xfrm>
                                <a:off x="0" y="0"/>
                                <a:ext cx="45719" cy="56743"/>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E87C8D2" id="Овал 44" o:spid="_x0000_s1026" style="position:absolute;margin-left:78.45pt;margin-top:6.55pt;width:3.6pt;height:4.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" fillcolor="#5b9bd5 [3204]" strokecolor="#1f4d78 [1604]" strokeweight="1pt">
                      <v:stroke joinstyle="miter"/>
                    </v:oval>
                  </w:pict>
                </mc:Fallback>
              </mc:AlternateContent>
            </w:r>
            <w:r w:rsidRPr="002F4348">
              <w:rPr>
                <w:rFonts w:eastAsia="Times New Roman" w:cstheme="minorHAnsi"/>
                <w:noProof/>
                <w:sz w:val="28"/>
                <w:szCs w:val="28"/>
                <w:lang w:eastAsia="ru-RU"/>
              </w:rPr>
              <mc:AlternateContent>
                <mc:Choice Requires="wps">
                  <w:drawing>
                    <wp:anchor distT="0" distB="0" distL="114300" distR="114300" simplePos="0" relativeHeight="251667456" behindDoc="0" locked="0" layoutInCell="1" allowOverlap="1" wp14:anchorId="249C1189" wp14:editId="12597822">
                      <wp:simplePos x="0" y="0"/>
                      <wp:positionH relativeFrom="column">
                        <wp:posOffset>360419</wp:posOffset>
                      </wp:positionH>
                      <wp:positionV relativeFrom="paragraph">
                        <wp:posOffset>182375</wp:posOffset>
                      </wp:positionV>
                      <wp:extent cx="45719" cy="46892"/>
                      <wp:effectExtent l="0" t="0" r="12065" b="10795"/>
                      <wp:wrapNone/>
                      <wp:docPr id="43" name="Овал 43"/>
                      <wp:cNvGraphicFramePr/>
                      <a:graphic xmlns:a="http://schemas.openxmlformats.org/drawingml/2006/main">
                        <a:graphicData uri="http://schemas.microsoft.com/office/word/2010/wordprocessingShape">
                          <wps:wsp>
                            <wps:cNvSpPr/>
                            <wps:spPr>
                              <a:xfrm>
                                <a:off x="0" y="0"/>
                                <a:ext cx="45719" cy="46892"/>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44EF78C" id="Овал 43" o:spid="_x0000_s1026" style="position:absolute;margin-left:28.4pt;margin-top:14.35pt;width:3.6pt;height:3.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" fillcolor="#5b9bd5 [3204]" strokecolor="#1f4d78 [1604]" strokeweight="1pt">
                      <v:stroke joinstyle="miter"/>
                    </v:oval>
                  </w:pict>
                </mc:Fallback>
              </mc:AlternateContent>
            </w:r>
            <w:r w:rsidRPr="002F4348">
              <w:rPr>
                <w:rFonts w:eastAsia="Times New Roman" w:cstheme="minorHAnsi"/>
                <w:noProof/>
                <w:sz w:val="28"/>
                <w:szCs w:val="28"/>
                <w:lang w:eastAsia="ru-RU"/>
              </w:rPr>
              <w:drawing>
                <wp:inline distT="0" distB="0" distL="0" distR="0" wp14:anchorId="0D626F25" wp14:editId="144E9A2A">
                  <wp:extent cx="470506" cy="654050"/>
                  <wp:effectExtent l="0" t="0" r="6350" b="0"/>
                  <wp:docPr id="14339" name="Picture 3">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1C3DE40-DD1E-473B-942A-6E66476165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1C3DE40-DD1E-473B-942A-6E6647616552}"/>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88870" cy="679577"/>
                          </a:xfrm>
                          <a:prstGeom prst="rect">
                            <a:avLst/>
                          </a:prstGeom>
                          <a:noFill/>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ffectLst>
                                  <a:outerShdw dist="35921" dir="2700000" algn="ctr" rotWithShape="0">
                                    <a:srgbClr val="808080"/>
                                  </a:outerShdw>
                                </a:effectLst>
                              </a14:hiddenEffects>
                            </a:ext>
                          </a:extLst>
                        </pic:spPr>
                      </pic:pic>
                    </a:graphicData>
                  </a:graphic>
                </wp:inline>
              </w:drawing>
            </w:r>
            <w:r w:rsidRPr="002F4348">
              <w:rPr>
                <w:rFonts w:eastAsia="Times New Roman" w:cstheme="minorHAnsi"/>
                <w:noProof/>
                <w:sz w:val="28"/>
                <w:szCs w:val="28"/>
                <w:lang w:eastAsia="ru-RU"/>
              </w:rPr>
              <w:drawing>
                <wp:inline distT="0" distB="0" distL="0" distR="0" wp14:anchorId="267CE7D2" wp14:editId="20D61D5C">
                  <wp:extent cx="470506" cy="654050"/>
                  <wp:effectExtent l="0" t="0" r="6350" b="0"/>
                  <wp:docPr id="14340" name="Picture 3">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1C3DE40-DD1E-473B-942A-6E66476165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1C3DE40-DD1E-473B-942A-6E6647616552}"/>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88870" cy="679577"/>
                          </a:xfrm>
                          <a:prstGeom prst="rect">
                            <a:avLst/>
                          </a:prstGeom>
                          <a:noFill/>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ffectLst>
                                  <a:outerShdw dist="35921" dir="2700000" algn="ctr" rotWithShape="0">
                                    <a:srgbClr val="808080"/>
                                  </a:outerShdw>
                                </a:effectLst>
                              </a14:hiddenEffects>
                            </a:ext>
                          </a:extLst>
                        </pic:spPr>
                      </pic:pic>
                    </a:graphicData>
                  </a:graphic>
                </wp:inline>
              </w:drawing>
            </w:r>
            <w:r w:rsidRPr="002F4348">
              <w:rPr>
                <w:rFonts w:eastAsia="Times New Roman" w:cstheme="minorHAnsi"/>
                <w:noProof/>
                <w:sz w:val="28"/>
                <w:szCs w:val="28"/>
                <w:lang w:eastAsia="ru-RU"/>
              </w:rPr>
              <w:drawing>
                <wp:inline distT="0" distB="0" distL="0" distR="0" wp14:anchorId="5131237E" wp14:editId="652B8724">
                  <wp:extent cx="471600" cy="655200"/>
                  <wp:effectExtent l="0" t="0" r="5080" b="0"/>
                  <wp:docPr id="14341" name="Picture 3">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1C3DE40-DD1E-473B-942A-6E66476165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1C3DE40-DD1E-473B-942A-6E6647616552}"/>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471600" cy="655200"/>
                          </a:xfrm>
                          <a:prstGeom prst="rect">
                            <a:avLst/>
                          </a:prstGeom>
                          <a:noFill/>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ffectLst>
                                  <a:outerShdw dist="35921" dir="2700000" algn="ctr" rotWithShape="0">
                                    <a:srgbClr val="808080"/>
                                  </a:outerShdw>
                                </a:effectLst>
                              </a14:hiddenEffects>
                            </a:ext>
                          </a:extLst>
                        </pic:spPr>
                      </pic:pic>
                    </a:graphicData>
                  </a:graphic>
                </wp:inline>
              </w:drawing>
            </w:r>
            <w:r w:rsidRPr="002F4348">
              <w:rPr>
                <w:rFonts w:eastAsia="Times New Roman" w:cstheme="minorHAnsi"/>
                <w:noProof/>
                <w:sz w:val="28"/>
                <w:szCs w:val="28"/>
                <w:lang w:eastAsia="ru-RU"/>
              </w:rPr>
              <w:drawing>
                <wp:inline distT="0" distB="0" distL="0" distR="0" wp14:anchorId="51EC5F45" wp14:editId="740FC92F">
                  <wp:extent cx="470506" cy="654050"/>
                  <wp:effectExtent l="0" t="0" r="6350" b="0"/>
                  <wp:docPr id="14342" name="Picture 3">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1C3DE40-DD1E-473B-942A-6E66476165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1C3DE40-DD1E-473B-942A-6E6647616552}"/>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88870" cy="679577"/>
                          </a:xfrm>
                          <a:prstGeom prst="rect">
                            <a:avLst/>
                          </a:prstGeom>
                          <a:noFill/>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ffectLst>
                                  <a:outerShdw dist="35921" dir="2700000" algn="ctr" rotWithShape="0">
                                    <a:srgbClr val="808080"/>
                                  </a:outerShdw>
                                </a:effectLst>
                              </a14:hiddenEffects>
                            </a:ext>
                          </a:extLst>
                        </pic:spPr>
                      </pic:pic>
                    </a:graphicData>
                  </a:graphic>
                </wp:inline>
              </w:drawing>
            </w:r>
          </w:p>
        </w:tc>
      </w:tr>
      <w:tr w:rsidR="002C7010" w:rsidRPr="002F4348" w14:paraId="0858AAB6" w14:textId="77777777" w:rsidTr="003007A6">
        <w:tc>
          <w:tcPr>
            <w:tcW w:w="623" w:type="pct"/>
          </w:tcPr>
          <w:p w14:paraId="53A98E7E" w14:textId="77777777" w:rsidR="002C7010" w:rsidRPr="002F4348" w:rsidRDefault="002C7010" w:rsidP="002C7010">
            <w:pPr>
              <w:ind w:firstLine="0"/>
              <w:rPr>
                <w:rFonts w:eastAsia="Calibri" w:cs="Times New Roman"/>
              </w:rPr>
            </w:pPr>
            <w:r w:rsidRPr="002F4348">
              <w:rPr>
                <w:rFonts w:eastAsia="Calibri" w:cs="Times New Roman"/>
              </w:rPr>
              <w:t xml:space="preserve">Стадия </w:t>
            </w:r>
            <w:r w:rsidRPr="002F4348">
              <w:rPr>
                <w:rFonts w:eastAsia="Calibri" w:cs="Times New Roman"/>
                <w:lang w:val="en-US"/>
              </w:rPr>
              <w:t xml:space="preserve">III </w:t>
            </w:r>
          </w:p>
        </w:tc>
        <w:tc>
          <w:tcPr>
            <w:tcW w:w="2206" w:type="pct"/>
          </w:tcPr>
          <w:p w14:paraId="2ACC56B6" w14:textId="77777777" w:rsidR="002C7010" w:rsidRPr="002F4348" w:rsidRDefault="002C7010" w:rsidP="00B153FC">
            <w:pPr>
              <w:numPr>
                <w:ilvl w:val="0"/>
                <w:numId w:val="28"/>
              </w:numPr>
              <w:spacing w:line="288" w:lineRule="auto"/>
              <w:contextualSpacing/>
              <w:jc w:val="left"/>
              <w:rPr>
                <w:rFonts w:eastAsia="Calibri" w:cs="Times New Roman"/>
              </w:rPr>
            </w:pPr>
            <w:r w:rsidRPr="002F4348">
              <w:rPr>
                <w:rFonts w:eastAsia="Calibri" w:cs="Times New Roman"/>
              </w:rPr>
              <w:t>Поражение лимфатических узлов или структур по обе стороны диафрагмы</w:t>
            </w:r>
            <w:r w:rsidRPr="009D018C">
              <w:rPr>
                <w:rStyle w:val="af4"/>
              </w:rPr>
              <w:footnoteReference w:id="5"/>
            </w:r>
          </w:p>
        </w:tc>
        <w:tc>
          <w:tcPr>
            <w:tcW w:w="2171" w:type="pct"/>
          </w:tcPr>
          <w:p w14:paraId="7C273CE9" w14:textId="77777777" w:rsidR="002C7010" w:rsidRPr="002F4348" w:rsidRDefault="002C7010" w:rsidP="002C7010">
            <w:pPr>
              <w:ind w:left="360" w:firstLine="0"/>
              <w:contextualSpacing/>
              <w:rPr>
                <w:rFonts w:ascii="Calibri" w:eastAsia="Calibri" w:hAnsi="Calibri" w:cs="Times New Roman"/>
                <w:lang w:val="en-US"/>
              </w:rPr>
            </w:pPr>
            <w:r w:rsidRPr="002F4348">
              <w:rPr>
                <w:rFonts w:eastAsia="Times New Roman" w:cstheme="minorHAnsi"/>
                <w:noProof/>
                <w:sz w:val="28"/>
                <w:szCs w:val="28"/>
                <w:lang w:eastAsia="ru-RU"/>
              </w:rPr>
              <mc:AlternateContent>
                <mc:Choice Requires="wps">
                  <w:drawing>
                    <wp:anchor distT="0" distB="0" distL="114300" distR="114300" simplePos="0" relativeHeight="251696128" behindDoc="0" locked="0" layoutInCell="1" allowOverlap="1" wp14:anchorId="1CA5F83A" wp14:editId="26308F21">
                      <wp:simplePos x="0" y="0"/>
                      <wp:positionH relativeFrom="column">
                        <wp:posOffset>1862353</wp:posOffset>
                      </wp:positionH>
                      <wp:positionV relativeFrom="paragraph">
                        <wp:posOffset>485064</wp:posOffset>
                      </wp:positionV>
                      <wp:extent cx="45719" cy="57912"/>
                      <wp:effectExtent l="0" t="0" r="12065" b="18415"/>
                      <wp:wrapNone/>
                      <wp:docPr id="73" name="Овал 73"/>
                      <wp:cNvGraphicFramePr/>
                      <a:graphic xmlns:a="http://schemas.openxmlformats.org/drawingml/2006/main">
                        <a:graphicData uri="http://schemas.microsoft.com/office/word/2010/wordprocessingShape">
                          <wps:wsp>
                            <wps:cNvSpPr/>
                            <wps:spPr>
                              <a:xfrm flipH="1">
                                <a:off x="0" y="0"/>
                                <a:ext cx="45719" cy="57912"/>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7C5A94D" id="Овал 73" o:spid="_x0000_s1026" style="position:absolute;margin-left:146.65pt;margin-top:38.2pt;width:3.6pt;height:4.55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" fillcolor="#5b9bd5 [3204]" strokecolor="#1f4d78 [1604]" strokeweight="1pt">
                      <v:stroke joinstyle="miter"/>
                    </v:oval>
                  </w:pict>
                </mc:Fallback>
              </mc:AlternateContent>
            </w:r>
            <w:r w:rsidRPr="002F4348">
              <w:rPr>
                <w:rFonts w:eastAsia="Times New Roman" w:cstheme="minorHAnsi"/>
                <w:noProof/>
                <w:sz w:val="28"/>
                <w:szCs w:val="28"/>
                <w:lang w:eastAsia="ru-RU"/>
              </w:rPr>
              <mc:AlternateContent>
                <mc:Choice Requires="wps">
                  <w:drawing>
                    <wp:anchor distT="0" distB="0" distL="114300" distR="114300" simplePos="0" relativeHeight="251695104" behindDoc="0" locked="0" layoutInCell="1" allowOverlap="1" wp14:anchorId="2FEFB876" wp14:editId="1A8447AF">
                      <wp:simplePos x="0" y="0"/>
                      <wp:positionH relativeFrom="column">
                        <wp:posOffset>1908708</wp:posOffset>
                      </wp:positionH>
                      <wp:positionV relativeFrom="paragraph">
                        <wp:posOffset>320472</wp:posOffset>
                      </wp:positionV>
                      <wp:extent cx="45719" cy="106070"/>
                      <wp:effectExtent l="0" t="0" r="12065" b="27305"/>
                      <wp:wrapNone/>
                      <wp:docPr id="72" name="Овал 72"/>
                      <wp:cNvGraphicFramePr/>
                      <a:graphic xmlns:a="http://schemas.openxmlformats.org/drawingml/2006/main">
                        <a:graphicData uri="http://schemas.microsoft.com/office/word/2010/wordprocessingShape">
                          <wps:wsp>
                            <wps:cNvSpPr/>
                            <wps:spPr>
                              <a:xfrm>
                                <a:off x="0" y="0"/>
                                <a:ext cx="45719" cy="10607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0D6D4A3" id="Овал 72" o:spid="_x0000_s1026" style="position:absolute;margin-left:150.3pt;margin-top:25.25pt;width:3.6pt;height:8.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" fillcolor="#5b9bd5 [3204]" strokecolor="#1f4d78 [1604]" strokeweight="1pt">
                      <v:stroke joinstyle="miter"/>
                    </v:oval>
                  </w:pict>
                </mc:Fallback>
              </mc:AlternateContent>
            </w:r>
            <w:r w:rsidRPr="002F4348">
              <w:rPr>
                <w:rFonts w:eastAsia="Times New Roman" w:cstheme="minorHAnsi"/>
                <w:noProof/>
                <w:sz w:val="28"/>
                <w:szCs w:val="28"/>
                <w:lang w:eastAsia="ru-RU"/>
              </w:rPr>
              <mc:AlternateContent>
                <mc:Choice Requires="wps">
                  <w:drawing>
                    <wp:anchor distT="0" distB="0" distL="114300" distR="114300" simplePos="0" relativeHeight="251694080" behindDoc="0" locked="0" layoutInCell="1" allowOverlap="1" wp14:anchorId="5FBEBC9E" wp14:editId="3356F482">
                      <wp:simplePos x="0" y="0"/>
                      <wp:positionH relativeFrom="column">
                        <wp:posOffset>1897329</wp:posOffset>
                      </wp:positionH>
                      <wp:positionV relativeFrom="paragraph">
                        <wp:posOffset>119177</wp:posOffset>
                      </wp:positionV>
                      <wp:extent cx="45719" cy="91440"/>
                      <wp:effectExtent l="0" t="0" r="12065" b="22860"/>
                      <wp:wrapNone/>
                      <wp:docPr id="71" name="Овал 71"/>
                      <wp:cNvGraphicFramePr/>
                      <a:graphic xmlns:a="http://schemas.openxmlformats.org/drawingml/2006/main">
                        <a:graphicData uri="http://schemas.microsoft.com/office/word/2010/wordprocessingShape">
                          <wps:wsp>
                            <wps:cNvSpPr/>
                            <wps:spPr>
                              <a:xfrm>
                                <a:off x="0" y="0"/>
                                <a:ext cx="45719" cy="9144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0DD346B" id="Овал 71" o:spid="_x0000_s1026" style="position:absolute;margin-left:149.4pt;margin-top:9.4pt;width:3.6pt;height:7.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" fillcolor="#5b9bd5 [3204]" strokecolor="#1f4d78 [1604]" strokeweight="1pt">
                      <v:stroke joinstyle="miter"/>
                    </v:oval>
                  </w:pict>
                </mc:Fallback>
              </mc:AlternateContent>
            </w:r>
            <w:r w:rsidRPr="002F4348">
              <w:rPr>
                <w:rFonts w:eastAsia="Times New Roman" w:cstheme="minorHAnsi"/>
                <w:noProof/>
                <w:sz w:val="28"/>
                <w:szCs w:val="28"/>
                <w:lang w:eastAsia="ru-RU"/>
              </w:rPr>
              <mc:AlternateContent>
                <mc:Choice Requires="wps">
                  <w:drawing>
                    <wp:anchor distT="0" distB="0" distL="114300" distR="114300" simplePos="0" relativeHeight="251693056" behindDoc="0" locked="0" layoutInCell="1" allowOverlap="1" wp14:anchorId="29EEE36A" wp14:editId="4C971839">
                      <wp:simplePos x="0" y="0"/>
                      <wp:positionH relativeFrom="column">
                        <wp:posOffset>1797152</wp:posOffset>
                      </wp:positionH>
                      <wp:positionV relativeFrom="paragraph">
                        <wp:posOffset>180873</wp:posOffset>
                      </wp:positionV>
                      <wp:extent cx="45719" cy="45719"/>
                      <wp:effectExtent l="0" t="0" r="12065" b="12065"/>
                      <wp:wrapNone/>
                      <wp:docPr id="70" name="Овал 70"/>
                      <wp:cNvGraphicFramePr/>
                      <a:graphic xmlns:a="http://schemas.openxmlformats.org/drawingml/2006/main">
                        <a:graphicData uri="http://schemas.microsoft.com/office/word/2010/wordprocessingShape">
                          <wps:wsp>
                            <wps:cNvSpPr/>
                            <wps:spPr>
                              <a:xfrm>
                                <a:off x="0" y="0"/>
                                <a:ext cx="45719" cy="4571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E9BFDCD" id="Овал 70" o:spid="_x0000_s1026" style="position:absolute;margin-left:141.5pt;margin-top:14.25pt;width:3.6pt;height:3.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" fillcolor="#5b9bd5 [3204]" strokecolor="#1f4d78 [1604]" strokeweight="1pt">
                      <v:stroke joinstyle="miter"/>
                    </v:oval>
                  </w:pict>
                </mc:Fallback>
              </mc:AlternateContent>
            </w:r>
            <w:r w:rsidRPr="002F4348">
              <w:rPr>
                <w:rFonts w:eastAsia="Times New Roman" w:cstheme="minorHAnsi"/>
                <w:noProof/>
                <w:sz w:val="28"/>
                <w:szCs w:val="28"/>
                <w:lang w:eastAsia="ru-RU"/>
              </w:rPr>
              <mc:AlternateContent>
                <mc:Choice Requires="wps">
                  <w:drawing>
                    <wp:anchor distT="0" distB="0" distL="114300" distR="114300" simplePos="0" relativeHeight="251692032" behindDoc="0" locked="0" layoutInCell="1" allowOverlap="1" wp14:anchorId="5B891DD2" wp14:editId="3649D655">
                      <wp:simplePos x="0" y="0"/>
                      <wp:positionH relativeFrom="column">
                        <wp:posOffset>1835506</wp:posOffset>
                      </wp:positionH>
                      <wp:positionV relativeFrom="paragraph">
                        <wp:posOffset>116967</wp:posOffset>
                      </wp:positionV>
                      <wp:extent cx="45719" cy="45719"/>
                      <wp:effectExtent l="0" t="0" r="12065" b="12065"/>
                      <wp:wrapNone/>
                      <wp:docPr id="69" name="Овал 69"/>
                      <wp:cNvGraphicFramePr/>
                      <a:graphic xmlns:a="http://schemas.openxmlformats.org/drawingml/2006/main">
                        <a:graphicData uri="http://schemas.microsoft.com/office/word/2010/wordprocessingShape">
                          <wps:wsp>
                            <wps:cNvSpPr/>
                            <wps:spPr>
                              <a:xfrm>
                                <a:off x="0" y="0"/>
                                <a:ext cx="45719" cy="4571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443C0DB" id="Овал 69" o:spid="_x0000_s1026" style="position:absolute;margin-left:144.55pt;margin-top:9.2pt;width:3.6pt;height:3.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" fillcolor="#5b9bd5 [3204]" strokecolor="#1f4d78 [1604]" strokeweight="1pt">
                      <v:stroke joinstyle="miter"/>
                    </v:oval>
                  </w:pict>
                </mc:Fallback>
              </mc:AlternateContent>
            </w:r>
            <w:r w:rsidRPr="002F4348">
              <w:rPr>
                <w:rFonts w:eastAsia="Times New Roman" w:cstheme="minorHAnsi"/>
                <w:noProof/>
                <w:sz w:val="28"/>
                <w:szCs w:val="28"/>
                <w:lang w:eastAsia="ru-RU"/>
              </w:rPr>
              <mc:AlternateContent>
                <mc:Choice Requires="wps">
                  <w:drawing>
                    <wp:anchor distT="0" distB="0" distL="114300" distR="114300" simplePos="0" relativeHeight="251691008" behindDoc="0" locked="0" layoutInCell="1" allowOverlap="1" wp14:anchorId="49B05AF0" wp14:editId="0D9D7DC9">
                      <wp:simplePos x="0" y="0"/>
                      <wp:positionH relativeFrom="column">
                        <wp:posOffset>2006879</wp:posOffset>
                      </wp:positionH>
                      <wp:positionV relativeFrom="paragraph">
                        <wp:posOffset>168174</wp:posOffset>
                      </wp:positionV>
                      <wp:extent cx="45719" cy="45719"/>
                      <wp:effectExtent l="0" t="0" r="12065" b="12065"/>
                      <wp:wrapNone/>
                      <wp:docPr id="68" name="Овал 68"/>
                      <wp:cNvGraphicFramePr/>
                      <a:graphic xmlns:a="http://schemas.openxmlformats.org/drawingml/2006/main">
                        <a:graphicData uri="http://schemas.microsoft.com/office/word/2010/wordprocessingShape">
                          <wps:wsp>
                            <wps:cNvSpPr/>
                            <wps:spPr>
                              <a:xfrm>
                                <a:off x="0" y="0"/>
                                <a:ext cx="45719" cy="4571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C34BC93" id="Овал 68" o:spid="_x0000_s1026" style="position:absolute;margin-left:158pt;margin-top:13.25pt;width:3.6pt;height:3.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" fillcolor="#5b9bd5 [3204]" strokecolor="#1f4d78 [1604]" strokeweight="1pt">
                      <v:stroke joinstyle="miter"/>
                    </v:oval>
                  </w:pict>
                </mc:Fallback>
              </mc:AlternateContent>
            </w:r>
            <w:r w:rsidRPr="002F4348">
              <w:rPr>
                <w:rFonts w:eastAsia="Times New Roman" w:cstheme="minorHAnsi"/>
                <w:noProof/>
                <w:sz w:val="28"/>
                <w:szCs w:val="28"/>
                <w:lang w:eastAsia="ru-RU"/>
              </w:rPr>
              <mc:AlternateContent>
                <mc:Choice Requires="wps">
                  <w:drawing>
                    <wp:anchor distT="0" distB="0" distL="114300" distR="114300" simplePos="0" relativeHeight="251687936" behindDoc="0" locked="0" layoutInCell="1" allowOverlap="1" wp14:anchorId="6DEF3E44" wp14:editId="0E34A407">
                      <wp:simplePos x="0" y="0"/>
                      <wp:positionH relativeFrom="column">
                        <wp:posOffset>1867866</wp:posOffset>
                      </wp:positionH>
                      <wp:positionV relativeFrom="paragraph">
                        <wp:posOffset>37567</wp:posOffset>
                      </wp:positionV>
                      <wp:extent cx="45719" cy="45719"/>
                      <wp:effectExtent l="0" t="0" r="12065" b="12065"/>
                      <wp:wrapNone/>
                      <wp:docPr id="65" name="Овал 65"/>
                      <wp:cNvGraphicFramePr/>
                      <a:graphic xmlns:a="http://schemas.openxmlformats.org/drawingml/2006/main">
                        <a:graphicData uri="http://schemas.microsoft.com/office/word/2010/wordprocessingShape">
                          <wps:wsp>
                            <wps:cNvSpPr/>
                            <wps:spPr>
                              <a:xfrm>
                                <a:off x="0" y="0"/>
                                <a:ext cx="45719" cy="4571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E7E4737" id="Овал 65" o:spid="_x0000_s1026" style="position:absolute;margin-left:147.1pt;margin-top:2.95pt;width:3.6pt;height:3.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" fillcolor="#5b9bd5 [3204]" strokecolor="#1f4d78 [1604]" strokeweight="1pt">
                      <v:stroke joinstyle="miter"/>
                    </v:oval>
                  </w:pict>
                </mc:Fallback>
              </mc:AlternateContent>
            </w:r>
            <w:r w:rsidRPr="002F4348">
              <w:rPr>
                <w:rFonts w:eastAsia="Times New Roman" w:cstheme="minorHAnsi"/>
                <w:noProof/>
                <w:sz w:val="28"/>
                <w:szCs w:val="28"/>
                <w:lang w:eastAsia="ru-RU"/>
              </w:rPr>
              <mc:AlternateContent>
                <mc:Choice Requires="wps">
                  <w:drawing>
                    <wp:anchor distT="0" distB="0" distL="114300" distR="114300" simplePos="0" relativeHeight="251688960" behindDoc="0" locked="0" layoutInCell="1" allowOverlap="1" wp14:anchorId="1485549F" wp14:editId="5A0C1474">
                      <wp:simplePos x="0" y="0"/>
                      <wp:positionH relativeFrom="column">
                        <wp:posOffset>1950314</wp:posOffset>
                      </wp:positionH>
                      <wp:positionV relativeFrom="paragraph">
                        <wp:posOffset>111862</wp:posOffset>
                      </wp:positionV>
                      <wp:extent cx="45719" cy="45719"/>
                      <wp:effectExtent l="0" t="0" r="12065" b="12065"/>
                      <wp:wrapNone/>
                      <wp:docPr id="66" name="Овал 66"/>
                      <wp:cNvGraphicFramePr/>
                      <a:graphic xmlns:a="http://schemas.openxmlformats.org/drawingml/2006/main">
                        <a:graphicData uri="http://schemas.microsoft.com/office/word/2010/wordprocessingShape">
                          <wps:wsp>
                            <wps:cNvSpPr/>
                            <wps:spPr>
                              <a:xfrm>
                                <a:off x="0" y="0"/>
                                <a:ext cx="45719" cy="4571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912E0C2" id="Овал 66" o:spid="_x0000_s1026" style="position:absolute;margin-left:153.55pt;margin-top:8.8pt;width:3.6pt;height:3.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" fillcolor="#5b9bd5 [3204]" strokecolor="#1f4d78 [1604]" strokeweight="1pt">
                      <v:stroke joinstyle="miter"/>
                    </v:oval>
                  </w:pict>
                </mc:Fallback>
              </mc:AlternateContent>
            </w:r>
            <w:r w:rsidRPr="002F4348">
              <w:rPr>
                <w:rFonts w:eastAsia="Times New Roman" w:cstheme="minorHAnsi"/>
                <w:noProof/>
                <w:sz w:val="28"/>
                <w:szCs w:val="28"/>
                <w:lang w:eastAsia="ru-RU"/>
              </w:rPr>
              <mc:AlternateContent>
                <mc:Choice Requires="wps">
                  <w:drawing>
                    <wp:anchor distT="0" distB="0" distL="114300" distR="114300" simplePos="0" relativeHeight="251686912" behindDoc="0" locked="0" layoutInCell="1" allowOverlap="1" wp14:anchorId="1C7984ED" wp14:editId="7CED4951">
                      <wp:simplePos x="0" y="0"/>
                      <wp:positionH relativeFrom="column">
                        <wp:posOffset>1432763</wp:posOffset>
                      </wp:positionH>
                      <wp:positionV relativeFrom="paragraph">
                        <wp:posOffset>303885</wp:posOffset>
                      </wp:positionV>
                      <wp:extent cx="56693" cy="45719"/>
                      <wp:effectExtent l="0" t="0" r="19685" b="12065"/>
                      <wp:wrapNone/>
                      <wp:docPr id="64" name="Овал 64"/>
                      <wp:cNvGraphicFramePr/>
                      <a:graphic xmlns:a="http://schemas.openxmlformats.org/drawingml/2006/main">
                        <a:graphicData uri="http://schemas.microsoft.com/office/word/2010/wordprocessingShape">
                          <wps:wsp>
                            <wps:cNvSpPr/>
                            <wps:spPr>
                              <a:xfrm flipV="1">
                                <a:off x="0" y="0"/>
                                <a:ext cx="56693" cy="4571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1345BAB" id="Овал 64" o:spid="_x0000_s1026" style="position:absolute;margin-left:112.8pt;margin-top:23.95pt;width:4.45pt;height:3.6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" fillcolor="#5b9bd5 [3204]" strokecolor="#1f4d78 [1604]" strokeweight="1pt">
                      <v:stroke joinstyle="miter"/>
                    </v:oval>
                  </w:pict>
                </mc:Fallback>
              </mc:AlternateContent>
            </w:r>
            <w:r w:rsidRPr="002F4348">
              <w:rPr>
                <w:rFonts w:eastAsia="Times New Roman" w:cstheme="minorHAnsi"/>
                <w:noProof/>
                <w:sz w:val="28"/>
                <w:szCs w:val="28"/>
                <w:lang w:eastAsia="ru-RU"/>
              </w:rPr>
              <mc:AlternateContent>
                <mc:Choice Requires="wps">
                  <w:drawing>
                    <wp:anchor distT="0" distB="0" distL="114300" distR="114300" simplePos="0" relativeHeight="251685888" behindDoc="0" locked="0" layoutInCell="1" allowOverlap="1" wp14:anchorId="3622A4BC" wp14:editId="6A1680F5">
                      <wp:simplePos x="0" y="0"/>
                      <wp:positionH relativeFrom="column">
                        <wp:posOffset>1418057</wp:posOffset>
                      </wp:positionH>
                      <wp:positionV relativeFrom="paragraph">
                        <wp:posOffset>120549</wp:posOffset>
                      </wp:positionV>
                      <wp:extent cx="45719" cy="69495"/>
                      <wp:effectExtent l="0" t="0" r="12065" b="26035"/>
                      <wp:wrapNone/>
                      <wp:docPr id="63" name="Овал 63"/>
                      <wp:cNvGraphicFramePr/>
                      <a:graphic xmlns:a="http://schemas.openxmlformats.org/drawingml/2006/main">
                        <a:graphicData uri="http://schemas.microsoft.com/office/word/2010/wordprocessingShape">
                          <wps:wsp>
                            <wps:cNvSpPr/>
                            <wps:spPr>
                              <a:xfrm flipH="1">
                                <a:off x="0" y="0"/>
                                <a:ext cx="45719" cy="6949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A93584F" id="Овал 63" o:spid="_x0000_s1026" style="position:absolute;margin-left:111.65pt;margin-top:9.5pt;width:3.6pt;height:5.45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" fillcolor="#5b9bd5 [3204]" strokecolor="#1f4d78 [1604]" strokeweight="1pt">
                      <v:stroke joinstyle="miter"/>
                    </v:oval>
                  </w:pict>
                </mc:Fallback>
              </mc:AlternateContent>
            </w:r>
            <w:r w:rsidRPr="002F4348">
              <w:rPr>
                <w:rFonts w:eastAsia="Times New Roman" w:cstheme="minorHAnsi"/>
                <w:noProof/>
                <w:sz w:val="28"/>
                <w:szCs w:val="28"/>
                <w:lang w:eastAsia="ru-RU"/>
              </w:rPr>
              <mc:AlternateContent>
                <mc:Choice Requires="wps">
                  <w:drawing>
                    <wp:anchor distT="0" distB="0" distL="114300" distR="114300" simplePos="0" relativeHeight="251684864" behindDoc="0" locked="0" layoutInCell="1" allowOverlap="1" wp14:anchorId="7C5E2DD6" wp14:editId="44116E17">
                      <wp:simplePos x="0" y="0"/>
                      <wp:positionH relativeFrom="column">
                        <wp:posOffset>1502385</wp:posOffset>
                      </wp:positionH>
                      <wp:positionV relativeFrom="paragraph">
                        <wp:posOffset>309296</wp:posOffset>
                      </wp:positionV>
                      <wp:extent cx="45719" cy="47549"/>
                      <wp:effectExtent l="0" t="0" r="12065" b="10160"/>
                      <wp:wrapNone/>
                      <wp:docPr id="62" name="Овал 62"/>
                      <wp:cNvGraphicFramePr/>
                      <a:graphic xmlns:a="http://schemas.openxmlformats.org/drawingml/2006/main">
                        <a:graphicData uri="http://schemas.microsoft.com/office/word/2010/wordprocessingShape">
                          <wps:wsp>
                            <wps:cNvSpPr/>
                            <wps:spPr>
                              <a:xfrm>
                                <a:off x="0" y="0"/>
                                <a:ext cx="45719" cy="4754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2FF21F5" id="Овал 62" o:spid="_x0000_s1026" style="position:absolute;margin-left:118.3pt;margin-top:24.35pt;width:3.6pt;height:3.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" fillcolor="#5b9bd5 [3204]" strokecolor="#1f4d78 [1604]" strokeweight="1pt">
                      <v:stroke joinstyle="miter"/>
                    </v:oval>
                  </w:pict>
                </mc:Fallback>
              </mc:AlternateContent>
            </w:r>
            <w:r w:rsidRPr="002F4348">
              <w:rPr>
                <w:rFonts w:eastAsia="Times New Roman" w:cstheme="minorHAnsi"/>
                <w:noProof/>
                <w:sz w:val="28"/>
                <w:szCs w:val="28"/>
                <w:lang w:eastAsia="ru-RU"/>
              </w:rPr>
              <mc:AlternateContent>
                <mc:Choice Requires="wps">
                  <w:drawing>
                    <wp:anchor distT="0" distB="0" distL="114300" distR="114300" simplePos="0" relativeHeight="251683840" behindDoc="0" locked="0" layoutInCell="1" allowOverlap="1" wp14:anchorId="6BB9523A" wp14:editId="3F946E29">
                      <wp:simplePos x="0" y="0"/>
                      <wp:positionH relativeFrom="column">
                        <wp:posOffset>968655</wp:posOffset>
                      </wp:positionH>
                      <wp:positionV relativeFrom="paragraph">
                        <wp:posOffset>453975</wp:posOffset>
                      </wp:positionV>
                      <wp:extent cx="45720" cy="64008"/>
                      <wp:effectExtent l="0" t="0" r="11430" b="12700"/>
                      <wp:wrapNone/>
                      <wp:docPr id="61" name="Овал 61"/>
                      <wp:cNvGraphicFramePr/>
                      <a:graphic xmlns:a="http://schemas.openxmlformats.org/drawingml/2006/main">
                        <a:graphicData uri="http://schemas.microsoft.com/office/word/2010/wordprocessingShape">
                          <wps:wsp>
                            <wps:cNvSpPr/>
                            <wps:spPr>
                              <a:xfrm>
                                <a:off x="0" y="0"/>
                                <a:ext cx="45720" cy="64008"/>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8467BFC" id="Овал 61" o:spid="_x0000_s1026" style="position:absolute;margin-left:76.25pt;margin-top:35.75pt;width:3.6pt;height:5.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" fillcolor="#5b9bd5 [3204]" strokecolor="#1f4d78 [1604]" strokeweight="1pt">
                      <v:stroke joinstyle="miter"/>
                    </v:oval>
                  </w:pict>
                </mc:Fallback>
              </mc:AlternateContent>
            </w:r>
            <w:r w:rsidRPr="002F4348">
              <w:rPr>
                <w:rFonts w:eastAsia="Times New Roman" w:cstheme="minorHAnsi"/>
                <w:noProof/>
                <w:sz w:val="28"/>
                <w:szCs w:val="28"/>
                <w:lang w:eastAsia="ru-RU"/>
              </w:rPr>
              <mc:AlternateContent>
                <mc:Choice Requires="wps">
                  <w:drawing>
                    <wp:anchor distT="0" distB="0" distL="114300" distR="114300" simplePos="0" relativeHeight="251682816" behindDoc="0" locked="0" layoutInCell="1" allowOverlap="1" wp14:anchorId="3C52F4BC" wp14:editId="5583A1F8">
                      <wp:simplePos x="0" y="0"/>
                      <wp:positionH relativeFrom="column">
                        <wp:posOffset>946582</wp:posOffset>
                      </wp:positionH>
                      <wp:positionV relativeFrom="paragraph">
                        <wp:posOffset>314909</wp:posOffset>
                      </wp:positionV>
                      <wp:extent cx="47549" cy="45719"/>
                      <wp:effectExtent l="0" t="0" r="10160" b="12065"/>
                      <wp:wrapNone/>
                      <wp:docPr id="60" name="Овал 60"/>
                      <wp:cNvGraphicFramePr/>
                      <a:graphic xmlns:a="http://schemas.openxmlformats.org/drawingml/2006/main">
                        <a:graphicData uri="http://schemas.microsoft.com/office/word/2010/wordprocessingShape">
                          <wps:wsp>
                            <wps:cNvSpPr/>
                            <wps:spPr>
                              <a:xfrm>
                                <a:off x="0" y="0"/>
                                <a:ext cx="47549" cy="4571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B617E45" id="Овал 60" o:spid="_x0000_s1026" style="position:absolute;margin-left:74.55pt;margin-top:24.8pt;width:3.75pt;height:3.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" fillcolor="#5b9bd5 [3204]" strokecolor="#1f4d78 [1604]" strokeweight="1pt">
                      <v:stroke joinstyle="miter"/>
                    </v:oval>
                  </w:pict>
                </mc:Fallback>
              </mc:AlternateContent>
            </w:r>
            <w:r w:rsidRPr="002F4348">
              <w:rPr>
                <w:rFonts w:eastAsia="Times New Roman" w:cstheme="minorHAnsi"/>
                <w:noProof/>
                <w:sz w:val="28"/>
                <w:szCs w:val="28"/>
                <w:lang w:eastAsia="ru-RU"/>
              </w:rPr>
              <mc:AlternateContent>
                <mc:Choice Requires="wps">
                  <w:drawing>
                    <wp:anchor distT="0" distB="0" distL="114300" distR="114300" simplePos="0" relativeHeight="251681792" behindDoc="0" locked="0" layoutInCell="1" allowOverlap="1" wp14:anchorId="35E9807C" wp14:editId="59F2E345">
                      <wp:simplePos x="0" y="0"/>
                      <wp:positionH relativeFrom="column">
                        <wp:posOffset>943356</wp:posOffset>
                      </wp:positionH>
                      <wp:positionV relativeFrom="paragraph">
                        <wp:posOffset>130149</wp:posOffset>
                      </wp:positionV>
                      <wp:extent cx="47549" cy="54864"/>
                      <wp:effectExtent l="0" t="0" r="10160" b="21590"/>
                      <wp:wrapNone/>
                      <wp:docPr id="59" name="Овал 59"/>
                      <wp:cNvGraphicFramePr/>
                      <a:graphic xmlns:a="http://schemas.openxmlformats.org/drawingml/2006/main">
                        <a:graphicData uri="http://schemas.microsoft.com/office/word/2010/wordprocessingShape">
                          <wps:wsp>
                            <wps:cNvSpPr/>
                            <wps:spPr>
                              <a:xfrm>
                                <a:off x="0" y="0"/>
                                <a:ext cx="47549" cy="54864"/>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A257A51" id="Овал 59" o:spid="_x0000_s1026" style="position:absolute;margin-left:74.3pt;margin-top:10.25pt;width:3.75pt;height:4.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" fillcolor="#5b9bd5 [3204]" strokecolor="#1f4d78 [1604]" strokeweight="1pt">
                      <v:stroke joinstyle="miter"/>
                    </v:oval>
                  </w:pict>
                </mc:Fallback>
              </mc:AlternateContent>
            </w:r>
            <w:r w:rsidRPr="002F4348">
              <w:rPr>
                <w:rFonts w:eastAsia="Times New Roman" w:cstheme="minorHAnsi"/>
                <w:noProof/>
                <w:sz w:val="28"/>
                <w:szCs w:val="28"/>
                <w:lang w:eastAsia="ru-RU"/>
              </w:rPr>
              <mc:AlternateContent>
                <mc:Choice Requires="wps">
                  <w:drawing>
                    <wp:anchor distT="0" distB="0" distL="114300" distR="114300" simplePos="0" relativeHeight="251680768" behindDoc="0" locked="0" layoutInCell="1" allowOverlap="1" wp14:anchorId="5605C02E" wp14:editId="35AA970D">
                      <wp:simplePos x="0" y="0"/>
                      <wp:positionH relativeFrom="column">
                        <wp:posOffset>893267</wp:posOffset>
                      </wp:positionH>
                      <wp:positionV relativeFrom="paragraph">
                        <wp:posOffset>82220</wp:posOffset>
                      </wp:positionV>
                      <wp:extent cx="45719" cy="53035"/>
                      <wp:effectExtent l="0" t="0" r="12065" b="23495"/>
                      <wp:wrapNone/>
                      <wp:docPr id="58" name="Овал 58"/>
                      <wp:cNvGraphicFramePr/>
                      <a:graphic xmlns:a="http://schemas.openxmlformats.org/drawingml/2006/main">
                        <a:graphicData uri="http://schemas.microsoft.com/office/word/2010/wordprocessingShape">
                          <wps:wsp>
                            <wps:cNvSpPr/>
                            <wps:spPr>
                              <a:xfrm>
                                <a:off x="0" y="0"/>
                                <a:ext cx="45719" cy="5303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C891235" id="Овал 58" o:spid="_x0000_s1026" style="position:absolute;margin-left:70.35pt;margin-top:6.45pt;width:3.6pt;height:4.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" fillcolor="#5b9bd5 [3204]" strokecolor="#1f4d78 [1604]" strokeweight="1pt">
                      <v:stroke joinstyle="miter"/>
                    </v:oval>
                  </w:pict>
                </mc:Fallback>
              </mc:AlternateContent>
            </w:r>
            <w:r w:rsidRPr="002F4348">
              <w:rPr>
                <w:rFonts w:eastAsia="Times New Roman" w:cstheme="minorHAnsi"/>
                <w:noProof/>
                <w:sz w:val="28"/>
                <w:szCs w:val="28"/>
                <w:lang w:eastAsia="ru-RU"/>
              </w:rPr>
              <mc:AlternateContent>
                <mc:Choice Requires="wps">
                  <w:drawing>
                    <wp:anchor distT="0" distB="0" distL="114300" distR="114300" simplePos="0" relativeHeight="251679744" behindDoc="0" locked="0" layoutInCell="1" allowOverlap="1" wp14:anchorId="6C71AE9A" wp14:editId="604444D3">
                      <wp:simplePos x="0" y="0"/>
                      <wp:positionH relativeFrom="column">
                        <wp:posOffset>467614</wp:posOffset>
                      </wp:positionH>
                      <wp:positionV relativeFrom="paragraph">
                        <wp:posOffset>314985</wp:posOffset>
                      </wp:positionV>
                      <wp:extent cx="45719" cy="62180"/>
                      <wp:effectExtent l="0" t="0" r="12065" b="14605"/>
                      <wp:wrapNone/>
                      <wp:docPr id="57" name="Овал 57"/>
                      <wp:cNvGraphicFramePr/>
                      <a:graphic xmlns:a="http://schemas.openxmlformats.org/drawingml/2006/main">
                        <a:graphicData uri="http://schemas.microsoft.com/office/word/2010/wordprocessingShape">
                          <wps:wsp>
                            <wps:cNvSpPr/>
                            <wps:spPr>
                              <a:xfrm>
                                <a:off x="0" y="0"/>
                                <a:ext cx="45719" cy="6218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F4F1B87" id="Овал 57" o:spid="_x0000_s1026" style="position:absolute;margin-left:36.8pt;margin-top:24.8pt;width:3.6pt;height:4.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" fillcolor="#5b9bd5 [3204]" strokecolor="#1f4d78 [1604]" strokeweight="1pt">
                      <v:stroke joinstyle="miter"/>
                    </v:oval>
                  </w:pict>
                </mc:Fallback>
              </mc:AlternateContent>
            </w:r>
            <w:r w:rsidRPr="002F4348">
              <w:rPr>
                <w:rFonts w:eastAsia="Times New Roman" w:cstheme="minorHAnsi"/>
                <w:noProof/>
                <w:sz w:val="28"/>
                <w:szCs w:val="28"/>
                <w:lang w:eastAsia="ru-RU"/>
              </w:rPr>
              <mc:AlternateContent>
                <mc:Choice Requires="wps">
                  <w:drawing>
                    <wp:anchor distT="0" distB="0" distL="114300" distR="114300" simplePos="0" relativeHeight="251678720" behindDoc="0" locked="0" layoutInCell="1" allowOverlap="1" wp14:anchorId="36114EA9" wp14:editId="51037479">
                      <wp:simplePos x="0" y="0"/>
                      <wp:positionH relativeFrom="column">
                        <wp:posOffset>463702</wp:posOffset>
                      </wp:positionH>
                      <wp:positionV relativeFrom="paragraph">
                        <wp:posOffset>71679</wp:posOffset>
                      </wp:positionV>
                      <wp:extent cx="45719" cy="124359"/>
                      <wp:effectExtent l="0" t="0" r="12065" b="28575"/>
                      <wp:wrapNone/>
                      <wp:docPr id="56" name="Овал 56"/>
                      <wp:cNvGraphicFramePr/>
                      <a:graphic xmlns:a="http://schemas.openxmlformats.org/drawingml/2006/main">
                        <a:graphicData uri="http://schemas.microsoft.com/office/word/2010/wordprocessingShape">
                          <wps:wsp>
                            <wps:cNvSpPr/>
                            <wps:spPr>
                              <a:xfrm flipH="1">
                                <a:off x="0" y="0"/>
                                <a:ext cx="45719" cy="12435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8B03718" id="Овал 56" o:spid="_x0000_s1026" style="position:absolute;margin-left:36.5pt;margin-top:5.65pt;width:3.6pt;height:9.8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" fillcolor="#5b9bd5 [3204]" strokecolor="#1f4d78 [1604]" strokeweight="1pt">
                      <v:stroke joinstyle="miter"/>
                    </v:oval>
                  </w:pict>
                </mc:Fallback>
              </mc:AlternateContent>
            </w:r>
            <w:r w:rsidRPr="002F4348">
              <w:rPr>
                <w:rFonts w:eastAsia="Times New Roman" w:cstheme="minorHAnsi"/>
                <w:noProof/>
                <w:sz w:val="28"/>
                <w:szCs w:val="28"/>
                <w:lang w:eastAsia="ru-RU"/>
              </w:rPr>
              <w:drawing>
                <wp:inline distT="0" distB="0" distL="0" distR="0" wp14:anchorId="0C981FF3" wp14:editId="430E6686">
                  <wp:extent cx="470506" cy="654050"/>
                  <wp:effectExtent l="0" t="0" r="6350" b="0"/>
                  <wp:docPr id="19" name="Picture 3">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1C3DE40-DD1E-473B-942A-6E66476165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1C3DE40-DD1E-473B-942A-6E6647616552}"/>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88870" cy="679577"/>
                          </a:xfrm>
                          <a:prstGeom prst="rect">
                            <a:avLst/>
                          </a:prstGeom>
                          <a:noFill/>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ffectLst>
                                  <a:outerShdw dist="35921" dir="2700000" algn="ctr" rotWithShape="0">
                                    <a:srgbClr val="808080"/>
                                  </a:outerShdw>
                                </a:effectLst>
                              </a14:hiddenEffects>
                            </a:ext>
                          </a:extLst>
                        </pic:spPr>
                      </pic:pic>
                    </a:graphicData>
                  </a:graphic>
                </wp:inline>
              </w:drawing>
            </w:r>
            <w:r w:rsidRPr="002F4348">
              <w:rPr>
                <w:rFonts w:eastAsia="Times New Roman" w:cstheme="minorHAnsi"/>
                <w:noProof/>
                <w:sz w:val="28"/>
                <w:szCs w:val="28"/>
                <w:lang w:eastAsia="ru-RU"/>
              </w:rPr>
              <w:drawing>
                <wp:inline distT="0" distB="0" distL="0" distR="0" wp14:anchorId="1A7FF3D4" wp14:editId="39B9DAFE">
                  <wp:extent cx="470506" cy="654050"/>
                  <wp:effectExtent l="0" t="0" r="6350" b="0"/>
                  <wp:docPr id="20" name="Picture 3">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1C3DE40-DD1E-473B-942A-6E66476165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1C3DE40-DD1E-473B-942A-6E6647616552}"/>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88870" cy="679577"/>
                          </a:xfrm>
                          <a:prstGeom prst="rect">
                            <a:avLst/>
                          </a:prstGeom>
                          <a:noFill/>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ffectLst>
                                  <a:outerShdw dist="35921" dir="2700000" algn="ctr" rotWithShape="0">
                                    <a:srgbClr val="808080"/>
                                  </a:outerShdw>
                                </a:effectLst>
                              </a14:hiddenEffects>
                            </a:ext>
                          </a:extLst>
                        </pic:spPr>
                      </pic:pic>
                    </a:graphicData>
                  </a:graphic>
                </wp:inline>
              </w:drawing>
            </w:r>
            <w:r w:rsidRPr="002F4348">
              <w:rPr>
                <w:rFonts w:eastAsia="Times New Roman" w:cstheme="minorHAnsi"/>
                <w:noProof/>
                <w:sz w:val="28"/>
                <w:szCs w:val="28"/>
                <w:lang w:eastAsia="ru-RU"/>
              </w:rPr>
              <w:drawing>
                <wp:inline distT="0" distB="0" distL="0" distR="0" wp14:anchorId="2A1306FC" wp14:editId="36FFBAAE">
                  <wp:extent cx="470506" cy="654050"/>
                  <wp:effectExtent l="0" t="0" r="6350" b="0"/>
                  <wp:docPr id="21" name="Picture 3">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1C3DE40-DD1E-473B-942A-6E66476165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1C3DE40-DD1E-473B-942A-6E6647616552}"/>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88870" cy="679577"/>
                          </a:xfrm>
                          <a:prstGeom prst="rect">
                            <a:avLst/>
                          </a:prstGeom>
                          <a:noFill/>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ffectLst>
                                  <a:outerShdw dist="35921" dir="2700000" algn="ctr" rotWithShape="0">
                                    <a:srgbClr val="808080"/>
                                  </a:outerShdw>
                                </a:effectLst>
                              </a14:hiddenEffects>
                            </a:ext>
                          </a:extLst>
                        </pic:spPr>
                      </pic:pic>
                    </a:graphicData>
                  </a:graphic>
                </wp:inline>
              </w:drawing>
            </w:r>
            <w:r w:rsidRPr="002F4348">
              <w:rPr>
                <w:rFonts w:eastAsia="Times New Roman" w:cstheme="minorHAnsi"/>
                <w:noProof/>
                <w:sz w:val="28"/>
                <w:szCs w:val="28"/>
                <w:lang w:eastAsia="ru-RU"/>
              </w:rPr>
              <w:drawing>
                <wp:inline distT="0" distB="0" distL="0" distR="0" wp14:anchorId="0BA9637B" wp14:editId="7C5A16FC">
                  <wp:extent cx="470506" cy="654050"/>
                  <wp:effectExtent l="0" t="0" r="6350" b="0"/>
                  <wp:docPr id="26" name="Picture 3">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1C3DE40-DD1E-473B-942A-6E66476165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1C3DE40-DD1E-473B-942A-6E6647616552}"/>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88870" cy="679577"/>
                          </a:xfrm>
                          <a:prstGeom prst="rect">
                            <a:avLst/>
                          </a:prstGeom>
                          <a:noFill/>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ffectLst>
                                  <a:outerShdw dist="35921" dir="2700000" algn="ctr" rotWithShape="0">
                                    <a:srgbClr val="808080"/>
                                  </a:outerShdw>
                                </a:effectLst>
                              </a14:hiddenEffects>
                            </a:ext>
                          </a:extLst>
                        </pic:spPr>
                      </pic:pic>
                    </a:graphicData>
                  </a:graphic>
                </wp:inline>
              </w:drawing>
            </w:r>
          </w:p>
        </w:tc>
      </w:tr>
      <w:tr w:rsidR="002C7010" w:rsidRPr="002F4348" w14:paraId="610EDD52" w14:textId="77777777" w:rsidTr="003007A6">
        <w:tc>
          <w:tcPr>
            <w:tcW w:w="623" w:type="pct"/>
          </w:tcPr>
          <w:p w14:paraId="4C99C987" w14:textId="77777777" w:rsidR="002C7010" w:rsidRPr="002F4348" w:rsidRDefault="002C7010" w:rsidP="002C7010">
            <w:pPr>
              <w:ind w:firstLine="0"/>
              <w:rPr>
                <w:rFonts w:eastAsia="Calibri" w:cs="Times New Roman"/>
              </w:rPr>
            </w:pPr>
            <w:r w:rsidRPr="002F4348">
              <w:rPr>
                <w:rFonts w:eastAsia="Calibri" w:cs="Times New Roman"/>
              </w:rPr>
              <w:t xml:space="preserve">Стадия </w:t>
            </w:r>
            <w:r w:rsidRPr="002F4348">
              <w:rPr>
                <w:rFonts w:eastAsia="Calibri" w:cs="Times New Roman"/>
                <w:lang w:val="en-US"/>
              </w:rPr>
              <w:t>IV</w:t>
            </w:r>
          </w:p>
        </w:tc>
        <w:tc>
          <w:tcPr>
            <w:tcW w:w="2206" w:type="pct"/>
          </w:tcPr>
          <w:p w14:paraId="42D52FD6" w14:textId="77777777" w:rsidR="002C7010" w:rsidRPr="002F4348" w:rsidRDefault="002C7010" w:rsidP="00B153FC">
            <w:pPr>
              <w:numPr>
                <w:ilvl w:val="0"/>
                <w:numId w:val="28"/>
              </w:numPr>
              <w:spacing w:line="288" w:lineRule="auto"/>
              <w:contextualSpacing/>
              <w:jc w:val="left"/>
              <w:rPr>
                <w:rFonts w:eastAsia="Calibri" w:cs="Times New Roman"/>
              </w:rPr>
            </w:pPr>
            <w:r w:rsidRPr="002F4348">
              <w:rPr>
                <w:rFonts w:eastAsia="Calibri" w:cs="Times New Roman"/>
              </w:rPr>
              <w:t>Диссеминированное (многофокусное) поражение одного или нескольких экстралимфатических органов с или без поражения лимфатических узлов</w:t>
            </w:r>
          </w:p>
          <w:p w14:paraId="0798FEE2" w14:textId="77777777" w:rsidR="002C7010" w:rsidRPr="002F4348" w:rsidRDefault="002C7010" w:rsidP="00B153FC">
            <w:pPr>
              <w:numPr>
                <w:ilvl w:val="0"/>
                <w:numId w:val="28"/>
              </w:numPr>
              <w:spacing w:line="288" w:lineRule="auto"/>
              <w:contextualSpacing/>
              <w:jc w:val="left"/>
              <w:rPr>
                <w:rFonts w:eastAsia="Calibri" w:cs="Times New Roman"/>
              </w:rPr>
            </w:pPr>
            <w:r w:rsidRPr="002F4348">
              <w:rPr>
                <w:rFonts w:eastAsia="Calibri" w:cs="Times New Roman"/>
              </w:rPr>
              <w:t>Изолированное поражение экстралимфатического органа с поражением отдаленных (не регионарных) лимфатических узлов</w:t>
            </w:r>
          </w:p>
          <w:p w14:paraId="1376EB49" w14:textId="77777777" w:rsidR="002C7010" w:rsidRPr="002F4348" w:rsidRDefault="002C7010" w:rsidP="00B153FC">
            <w:pPr>
              <w:numPr>
                <w:ilvl w:val="0"/>
                <w:numId w:val="28"/>
              </w:numPr>
              <w:spacing w:line="288" w:lineRule="auto"/>
              <w:contextualSpacing/>
              <w:jc w:val="left"/>
              <w:rPr>
                <w:rFonts w:eastAsia="Calibri" w:cs="Times New Roman"/>
              </w:rPr>
            </w:pPr>
            <w:r w:rsidRPr="002F4348">
              <w:rPr>
                <w:rFonts w:eastAsia="Calibri" w:cs="Times New Roman"/>
              </w:rPr>
              <w:t>Поражение печени и/или костного мозга</w:t>
            </w:r>
          </w:p>
        </w:tc>
        <w:tc>
          <w:tcPr>
            <w:tcW w:w="2171" w:type="pct"/>
          </w:tcPr>
          <w:p w14:paraId="542D186D" w14:textId="77777777" w:rsidR="002C7010" w:rsidRPr="002F4348" w:rsidRDefault="004B7BA3" w:rsidP="002C7010">
            <w:pPr>
              <w:ind w:left="360" w:firstLine="0"/>
              <w:contextualSpacing/>
              <w:rPr>
                <w:rFonts w:ascii="Calibri" w:eastAsia="Calibri" w:hAnsi="Calibri" w:cs="Times New Roman"/>
              </w:rPr>
            </w:pPr>
            <w:r w:rsidRPr="002F4348">
              <w:rPr>
                <w:rFonts w:eastAsia="Times New Roman" w:cstheme="minorHAnsi"/>
                <w:noProof/>
                <w:sz w:val="28"/>
                <w:szCs w:val="28"/>
                <w:lang w:eastAsia="ru-RU"/>
              </w:rPr>
              <mc:AlternateContent>
                <mc:Choice Requires="wps">
                  <w:drawing>
                    <wp:anchor distT="0" distB="0" distL="114300" distR="114300" simplePos="0" relativeHeight="251702272" behindDoc="0" locked="0" layoutInCell="1" allowOverlap="1" wp14:anchorId="2730AF52" wp14:editId="11C29450">
                      <wp:simplePos x="0" y="0"/>
                      <wp:positionH relativeFrom="column">
                        <wp:posOffset>616874</wp:posOffset>
                      </wp:positionH>
                      <wp:positionV relativeFrom="paragraph">
                        <wp:posOffset>2225040</wp:posOffset>
                      </wp:positionV>
                      <wp:extent cx="88900" cy="102235"/>
                      <wp:effectExtent l="0" t="0" r="12700" b="12065"/>
                      <wp:wrapNone/>
                      <wp:docPr id="23" name="Овал 23"/>
                      <wp:cNvGraphicFramePr/>
                      <a:graphic xmlns:a="http://schemas.openxmlformats.org/drawingml/2006/main">
                        <a:graphicData uri="http://schemas.microsoft.com/office/word/2010/wordprocessingShape">
                          <wps:wsp>
                            <wps:cNvSpPr/>
                            <wps:spPr>
                              <a:xfrm flipH="1">
                                <a:off x="0" y="0"/>
                                <a:ext cx="88900" cy="102235"/>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9D7BC0C" id="Овал 23" o:spid="_x0000_s1026" style="position:absolute;margin-left:48.55pt;margin-top:175.2pt;width:7pt;height:8.05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" fillcolor="#5b9bd5" strokecolor="#41719c" strokeweight="1pt">
                      <v:stroke joinstyle="miter"/>
                    </v:oval>
                  </w:pict>
                </mc:Fallback>
              </mc:AlternateContent>
            </w:r>
            <w:r w:rsidR="002C7010" w:rsidRPr="002F4348">
              <w:rPr>
                <w:rFonts w:eastAsia="Times New Roman" w:cstheme="minorHAnsi"/>
                <w:noProof/>
                <w:sz w:val="28"/>
                <w:szCs w:val="28"/>
                <w:lang w:eastAsia="ru-RU"/>
              </w:rPr>
              <mc:AlternateContent>
                <mc:Choice Requires="wps">
                  <w:drawing>
                    <wp:anchor distT="0" distB="0" distL="114300" distR="114300" simplePos="0" relativeHeight="251703296" behindDoc="0" locked="0" layoutInCell="1" allowOverlap="1" wp14:anchorId="70C08B64" wp14:editId="25B05C5D">
                      <wp:simplePos x="0" y="0"/>
                      <wp:positionH relativeFrom="column">
                        <wp:posOffset>1049309</wp:posOffset>
                      </wp:positionH>
                      <wp:positionV relativeFrom="paragraph">
                        <wp:posOffset>2171700</wp:posOffset>
                      </wp:positionV>
                      <wp:extent cx="88900" cy="82550"/>
                      <wp:effectExtent l="0" t="0" r="12700" b="19050"/>
                      <wp:wrapNone/>
                      <wp:docPr id="22" name="Овал 22"/>
                      <wp:cNvGraphicFramePr/>
                      <a:graphic xmlns:a="http://schemas.openxmlformats.org/drawingml/2006/main">
                        <a:graphicData uri="http://schemas.microsoft.com/office/word/2010/wordprocessingShape">
                          <wps:wsp>
                            <wps:cNvSpPr/>
                            <wps:spPr>
                              <a:xfrm>
                                <a:off x="0" y="0"/>
                                <a:ext cx="88900" cy="8255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1339721" id="Овал 22" o:spid="_x0000_s1026" style="position:absolute;margin-left:82.6pt;margin-top:171pt;width:7pt;height:6.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" fillcolor="#5b9bd5" strokecolor="#41719c" strokeweight="1pt">
                      <v:stroke joinstyle="miter"/>
                    </v:oval>
                  </w:pict>
                </mc:Fallback>
              </mc:AlternateContent>
            </w:r>
            <w:r w:rsidR="002C7010" w:rsidRPr="002F4348">
              <w:rPr>
                <w:rFonts w:eastAsia="Times New Roman" w:cstheme="minorHAnsi"/>
                <w:noProof/>
                <w:sz w:val="28"/>
                <w:szCs w:val="28"/>
                <w:lang w:eastAsia="ru-RU"/>
              </w:rPr>
              <mc:AlternateContent>
                <mc:Choice Requires="wps">
                  <w:drawing>
                    <wp:anchor distT="0" distB="0" distL="114300" distR="114300" simplePos="0" relativeHeight="251701248" behindDoc="0" locked="0" layoutInCell="1" allowOverlap="1" wp14:anchorId="79D417F3" wp14:editId="58A7C002">
                      <wp:simplePos x="0" y="0"/>
                      <wp:positionH relativeFrom="column">
                        <wp:posOffset>723900</wp:posOffset>
                      </wp:positionH>
                      <wp:positionV relativeFrom="paragraph">
                        <wp:posOffset>688340</wp:posOffset>
                      </wp:positionV>
                      <wp:extent cx="45085" cy="45085"/>
                      <wp:effectExtent l="0" t="0" r="12065" b="12065"/>
                      <wp:wrapNone/>
                      <wp:docPr id="24" name="Овал 24"/>
                      <wp:cNvGraphicFramePr/>
                      <a:graphic xmlns:a="http://schemas.openxmlformats.org/drawingml/2006/main">
                        <a:graphicData uri="http://schemas.microsoft.com/office/word/2010/wordprocessingShape">
                          <wps:wsp>
                            <wps:cNvSpPr/>
                            <wps:spPr>
                              <a:xfrm flipH="1" flipV="1">
                                <a:off x="0" y="0"/>
                                <a:ext cx="45085" cy="45085"/>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C74F589" id="Овал 24" o:spid="_x0000_s1026" style="position:absolute;margin-left:57pt;margin-top:54.2pt;width:3.55pt;height:3.55pt;flip:x 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" fillcolor="#5b9bd5" strokecolor="#41719c" strokeweight="1pt">
                      <v:stroke joinstyle="miter"/>
                    </v:oval>
                  </w:pict>
                </mc:Fallback>
              </mc:AlternateContent>
            </w:r>
            <w:r w:rsidR="002C7010" w:rsidRPr="002F4348">
              <w:rPr>
                <w:rFonts w:eastAsia="Times New Roman" w:cstheme="minorHAnsi"/>
                <w:noProof/>
                <w:sz w:val="28"/>
                <w:szCs w:val="28"/>
                <w:lang w:eastAsia="ru-RU"/>
              </w:rPr>
              <mc:AlternateContent>
                <mc:Choice Requires="wps">
                  <w:drawing>
                    <wp:anchor distT="0" distB="0" distL="114300" distR="114300" simplePos="0" relativeHeight="251700224" behindDoc="0" locked="0" layoutInCell="1" allowOverlap="1" wp14:anchorId="367DFAF2" wp14:editId="1A10F72C">
                      <wp:simplePos x="0" y="0"/>
                      <wp:positionH relativeFrom="column">
                        <wp:posOffset>648335</wp:posOffset>
                      </wp:positionH>
                      <wp:positionV relativeFrom="paragraph">
                        <wp:posOffset>581660</wp:posOffset>
                      </wp:positionV>
                      <wp:extent cx="45085" cy="45085"/>
                      <wp:effectExtent l="0" t="0" r="12065" b="12065"/>
                      <wp:wrapNone/>
                      <wp:docPr id="25" name="Овал 25"/>
                      <wp:cNvGraphicFramePr/>
                      <a:graphic xmlns:a="http://schemas.openxmlformats.org/drawingml/2006/main">
                        <a:graphicData uri="http://schemas.microsoft.com/office/word/2010/wordprocessingShape">
                          <wps:wsp>
                            <wps:cNvSpPr/>
                            <wps:spPr>
                              <a:xfrm flipH="1" flipV="1">
                                <a:off x="0" y="0"/>
                                <a:ext cx="45085" cy="45085"/>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34F7BE5" id="Овал 25" o:spid="_x0000_s1026" style="position:absolute;margin-left:51.05pt;margin-top:45.8pt;width:3.55pt;height:3.55pt;flip:x 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" fillcolor="#5b9bd5" strokecolor="#41719c" strokeweight="1pt">
                      <v:stroke joinstyle="miter"/>
                    </v:oval>
                  </w:pict>
                </mc:Fallback>
              </mc:AlternateContent>
            </w:r>
            <w:r w:rsidR="002C7010" w:rsidRPr="002F4348">
              <w:rPr>
                <w:rFonts w:eastAsia="Times New Roman" w:cstheme="minorHAnsi"/>
                <w:noProof/>
                <w:sz w:val="28"/>
                <w:szCs w:val="28"/>
                <w:lang w:eastAsia="ru-RU"/>
              </w:rPr>
              <mc:AlternateContent>
                <mc:Choice Requires="wps">
                  <w:drawing>
                    <wp:anchor distT="0" distB="0" distL="114300" distR="114300" simplePos="0" relativeHeight="251699200" behindDoc="0" locked="0" layoutInCell="1" allowOverlap="1" wp14:anchorId="17E723FC" wp14:editId="195C3B96">
                      <wp:simplePos x="0" y="0"/>
                      <wp:positionH relativeFrom="column">
                        <wp:posOffset>715010</wp:posOffset>
                      </wp:positionH>
                      <wp:positionV relativeFrom="paragraph">
                        <wp:posOffset>455295</wp:posOffset>
                      </wp:positionV>
                      <wp:extent cx="45085" cy="45085"/>
                      <wp:effectExtent l="0" t="0" r="12065" b="12065"/>
                      <wp:wrapNone/>
                      <wp:docPr id="27" name="Овал 27"/>
                      <wp:cNvGraphicFramePr/>
                      <a:graphic xmlns:a="http://schemas.openxmlformats.org/drawingml/2006/main">
                        <a:graphicData uri="http://schemas.microsoft.com/office/word/2010/wordprocessingShape">
                          <wps:wsp>
                            <wps:cNvSpPr/>
                            <wps:spPr>
                              <a:xfrm flipH="1" flipV="1">
                                <a:off x="0" y="0"/>
                                <a:ext cx="45085" cy="45085"/>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A91E5A1" id="Овал 27" o:spid="_x0000_s1026" style="position:absolute;margin-left:56.3pt;margin-top:35.85pt;width:3.55pt;height:3.55pt;flip:x 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" fillcolor="#5b9bd5" strokecolor="#41719c" strokeweight="1pt">
                      <v:stroke joinstyle="miter"/>
                    </v:oval>
                  </w:pict>
                </mc:Fallback>
              </mc:AlternateContent>
            </w:r>
            <w:r w:rsidR="002C7010" w:rsidRPr="002F4348">
              <w:rPr>
                <w:rFonts w:eastAsia="Times New Roman" w:cstheme="minorHAnsi"/>
                <w:noProof/>
                <w:sz w:val="28"/>
                <w:szCs w:val="28"/>
                <w:lang w:eastAsia="ru-RU"/>
              </w:rPr>
              <mc:AlternateContent>
                <mc:Choice Requires="wps">
                  <w:drawing>
                    <wp:anchor distT="0" distB="0" distL="114300" distR="114300" simplePos="0" relativeHeight="251697152" behindDoc="0" locked="0" layoutInCell="1" allowOverlap="1" wp14:anchorId="0266B673" wp14:editId="3971FBCC">
                      <wp:simplePos x="0" y="0"/>
                      <wp:positionH relativeFrom="column">
                        <wp:posOffset>678180</wp:posOffset>
                      </wp:positionH>
                      <wp:positionV relativeFrom="paragraph">
                        <wp:posOffset>246380</wp:posOffset>
                      </wp:positionV>
                      <wp:extent cx="45085" cy="45085"/>
                      <wp:effectExtent l="0" t="0" r="12065" b="12065"/>
                      <wp:wrapNone/>
                      <wp:docPr id="28" name="Овал 28"/>
                      <wp:cNvGraphicFramePr/>
                      <a:graphic xmlns:a="http://schemas.openxmlformats.org/drawingml/2006/main">
                        <a:graphicData uri="http://schemas.microsoft.com/office/word/2010/wordprocessingShape">
                          <wps:wsp>
                            <wps:cNvSpPr/>
                            <wps:spPr>
                              <a:xfrm flipH="1" flipV="1">
                                <a:off x="0" y="0"/>
                                <a:ext cx="45085" cy="4508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A58ED9B" id="Овал 28" o:spid="_x0000_s1026" style="position:absolute;margin-left:53.4pt;margin-top:19.4pt;width:3.55pt;height:3.55pt;flip:x 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" fillcolor="#5b9bd5 [3204]" strokecolor="#1f4d78 [1604]" strokeweight="1pt">
                      <v:stroke joinstyle="miter"/>
                    </v:oval>
                  </w:pict>
                </mc:Fallback>
              </mc:AlternateContent>
            </w:r>
            <w:r w:rsidR="002C7010" w:rsidRPr="002F4348">
              <w:rPr>
                <w:rFonts w:eastAsia="Times New Roman" w:cstheme="minorHAnsi"/>
                <w:noProof/>
                <w:sz w:val="28"/>
                <w:szCs w:val="28"/>
                <w:lang w:eastAsia="ru-RU"/>
              </w:rPr>
              <mc:AlternateContent>
                <mc:Choice Requires="wps">
                  <w:drawing>
                    <wp:anchor distT="0" distB="0" distL="114300" distR="114300" simplePos="0" relativeHeight="251698176" behindDoc="0" locked="0" layoutInCell="1" allowOverlap="1" wp14:anchorId="64D5866B" wp14:editId="6E92A863">
                      <wp:simplePos x="0" y="0"/>
                      <wp:positionH relativeFrom="column">
                        <wp:posOffset>822960</wp:posOffset>
                      </wp:positionH>
                      <wp:positionV relativeFrom="paragraph">
                        <wp:posOffset>245110</wp:posOffset>
                      </wp:positionV>
                      <wp:extent cx="88900" cy="285750"/>
                      <wp:effectExtent l="0" t="0" r="25400" b="19050"/>
                      <wp:wrapNone/>
                      <wp:docPr id="29" name="Овал 29"/>
                      <wp:cNvGraphicFramePr/>
                      <a:graphic xmlns:a="http://schemas.openxmlformats.org/drawingml/2006/main">
                        <a:graphicData uri="http://schemas.microsoft.com/office/word/2010/wordprocessingShape">
                          <wps:wsp>
                            <wps:cNvSpPr/>
                            <wps:spPr>
                              <a:xfrm flipH="1" flipV="1">
                                <a:off x="0" y="0"/>
                                <a:ext cx="88900" cy="28575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1C9B81D" id="Овал 29" o:spid="_x0000_s1026" style="position:absolute;margin-left:64.8pt;margin-top:19.3pt;width:7pt;height:22.5pt;flip:x 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" fillcolor="#5b9bd5" strokecolor="#41719c" strokeweight="1pt">
                      <v:stroke joinstyle="miter"/>
                    </v:oval>
                  </w:pict>
                </mc:Fallback>
              </mc:AlternateContent>
            </w:r>
            <w:r w:rsidR="002C7010" w:rsidRPr="002F4348">
              <w:rPr>
                <w:rFonts w:eastAsia="Times New Roman" w:cstheme="minorHAnsi"/>
                <w:noProof/>
                <w:sz w:val="28"/>
                <w:szCs w:val="28"/>
                <w:lang w:eastAsia="ru-RU"/>
              </w:rPr>
              <w:drawing>
                <wp:inline distT="0" distB="0" distL="0" distR="0" wp14:anchorId="0B52BEED" wp14:editId="00733F60">
                  <wp:extent cx="1135122" cy="1577928"/>
                  <wp:effectExtent l="0" t="0" r="8255" b="3810"/>
                  <wp:docPr id="14343" name="Picture 3">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1C3DE40-DD1E-473B-942A-6E66476165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1C3DE40-DD1E-473B-942A-6E664761655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225670" cy="1703799"/>
                          </a:xfrm>
                          <a:prstGeom prst="rect">
                            <a:avLst/>
                          </a:prstGeom>
                          <a:noFill/>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ffectLst>
                                  <a:outerShdw dist="35921" dir="2700000" algn="ctr" rotWithShape="0">
                                    <a:srgbClr val="808080"/>
                                  </a:outerShdw>
                                </a:effectLst>
                              </a14:hiddenEffects>
                            </a:ext>
                          </a:extLst>
                        </pic:spPr>
                      </pic:pic>
                    </a:graphicData>
                  </a:graphic>
                </wp:inline>
              </w:drawing>
            </w:r>
            <w:r w:rsidR="002C7010" w:rsidRPr="002F4348">
              <w:rPr>
                <w:rFonts w:eastAsia="Times New Roman" w:cstheme="minorHAnsi"/>
                <w:noProof/>
                <w:sz w:val="28"/>
                <w:szCs w:val="28"/>
                <w:lang w:eastAsia="ru-RU"/>
              </w:rPr>
              <w:drawing>
                <wp:inline distT="0" distB="0" distL="0" distR="0" wp14:anchorId="6052FEF8" wp14:editId="6B0C59AB">
                  <wp:extent cx="1314450" cy="1827212"/>
                  <wp:effectExtent l="0" t="0" r="0" b="1905"/>
                  <wp:docPr id="14344" name="Picture 3">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1C3DE40-DD1E-473B-942A-6E66476165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1C3DE40-DD1E-473B-942A-6E6647616552}"/>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418917" cy="1972431"/>
                          </a:xfrm>
                          <a:prstGeom prst="rect">
                            <a:avLst/>
                          </a:prstGeom>
                          <a:noFill/>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ffectLst>
                                  <a:outerShdw dist="35921" dir="2700000" algn="ctr" rotWithShape="0">
                                    <a:srgbClr val="808080"/>
                                  </a:outerShdw>
                                </a:effectLst>
                              </a14:hiddenEffects>
                            </a:ext>
                          </a:extLst>
                        </pic:spPr>
                      </pic:pic>
                    </a:graphicData>
                  </a:graphic>
                </wp:inline>
              </w:drawing>
            </w:r>
          </w:p>
        </w:tc>
      </w:tr>
      <w:tr w:rsidR="002C7010" w:rsidRPr="002F4348" w14:paraId="2458F56B" w14:textId="77777777" w:rsidTr="003007A6">
        <w:tc>
          <w:tcPr>
            <w:tcW w:w="2829" w:type="pct"/>
            <w:gridSpan w:val="2"/>
          </w:tcPr>
          <w:p w14:paraId="124D76D2" w14:textId="77777777" w:rsidR="002C7010" w:rsidRPr="002F4348" w:rsidRDefault="002C7010" w:rsidP="002C7010">
            <w:pPr>
              <w:ind w:firstLine="0"/>
              <w:rPr>
                <w:rFonts w:eastAsia="Calibri" w:cs="Times New Roman"/>
              </w:rPr>
            </w:pPr>
            <w:r w:rsidRPr="002F4348">
              <w:rPr>
                <w:rFonts w:eastAsia="Calibri" w:cs="Times New Roman"/>
              </w:rPr>
              <w:t>Для всех стадий</w:t>
            </w:r>
          </w:p>
        </w:tc>
        <w:tc>
          <w:tcPr>
            <w:tcW w:w="2171" w:type="pct"/>
          </w:tcPr>
          <w:p w14:paraId="40D41C92" w14:textId="77777777" w:rsidR="002C7010" w:rsidRPr="002F4348" w:rsidRDefault="002C7010" w:rsidP="002C7010">
            <w:pPr>
              <w:ind w:firstLine="0"/>
              <w:rPr>
                <w:rFonts w:ascii="Calibri" w:eastAsia="Calibri" w:hAnsi="Calibri" w:cs="Times New Roman"/>
              </w:rPr>
            </w:pPr>
          </w:p>
        </w:tc>
      </w:tr>
      <w:tr w:rsidR="002C7010" w:rsidRPr="002F4348" w14:paraId="7C5088F9" w14:textId="77777777" w:rsidTr="003007A6">
        <w:tc>
          <w:tcPr>
            <w:tcW w:w="623" w:type="pct"/>
          </w:tcPr>
          <w:p w14:paraId="03CBBE53" w14:textId="77777777" w:rsidR="002C7010" w:rsidRPr="002F4348" w:rsidRDefault="002C7010" w:rsidP="002C7010">
            <w:pPr>
              <w:ind w:firstLine="0"/>
              <w:rPr>
                <w:rFonts w:eastAsia="Calibri" w:cs="Times New Roman"/>
              </w:rPr>
            </w:pPr>
            <w:r w:rsidRPr="002F4348">
              <w:rPr>
                <w:rFonts w:eastAsia="Calibri" w:cs="Times New Roman"/>
              </w:rPr>
              <w:t>А</w:t>
            </w:r>
          </w:p>
        </w:tc>
        <w:tc>
          <w:tcPr>
            <w:tcW w:w="2206" w:type="pct"/>
          </w:tcPr>
          <w:p w14:paraId="3A512F53" w14:textId="77777777" w:rsidR="002C7010" w:rsidRPr="002F4348" w:rsidRDefault="002C7010" w:rsidP="00B153FC">
            <w:pPr>
              <w:numPr>
                <w:ilvl w:val="0"/>
                <w:numId w:val="29"/>
              </w:numPr>
              <w:spacing w:line="288" w:lineRule="auto"/>
              <w:contextualSpacing/>
              <w:jc w:val="left"/>
              <w:rPr>
                <w:rFonts w:eastAsia="Calibri" w:cs="Times New Roman"/>
              </w:rPr>
            </w:pPr>
            <w:r w:rsidRPr="002F4348">
              <w:rPr>
                <w:rFonts w:eastAsia="Calibri" w:cs="Times New Roman"/>
              </w:rPr>
              <w:t>Отсутствие признаков В-стадии</w:t>
            </w:r>
          </w:p>
        </w:tc>
        <w:tc>
          <w:tcPr>
            <w:tcW w:w="2171" w:type="pct"/>
          </w:tcPr>
          <w:p w14:paraId="57914D55" w14:textId="77777777" w:rsidR="002C7010" w:rsidRPr="002F4348" w:rsidRDefault="002C7010" w:rsidP="002C7010">
            <w:pPr>
              <w:ind w:left="360" w:firstLine="0"/>
              <w:contextualSpacing/>
              <w:rPr>
                <w:rFonts w:ascii="Calibri" w:eastAsia="Calibri" w:hAnsi="Calibri" w:cs="Times New Roman"/>
              </w:rPr>
            </w:pPr>
          </w:p>
        </w:tc>
      </w:tr>
      <w:tr w:rsidR="002C7010" w:rsidRPr="002F4348" w14:paraId="5FFB94D3" w14:textId="77777777" w:rsidTr="003007A6">
        <w:tc>
          <w:tcPr>
            <w:tcW w:w="623" w:type="pct"/>
          </w:tcPr>
          <w:p w14:paraId="38A3A328" w14:textId="77777777" w:rsidR="002C7010" w:rsidRPr="002F4348" w:rsidRDefault="002C7010" w:rsidP="002C7010">
            <w:pPr>
              <w:ind w:firstLine="0"/>
              <w:rPr>
                <w:rFonts w:eastAsia="Calibri" w:cs="Times New Roman"/>
                <w:vertAlign w:val="superscript"/>
              </w:rPr>
            </w:pPr>
            <w:r w:rsidRPr="002F4348">
              <w:rPr>
                <w:rFonts w:eastAsia="Calibri" w:cs="Times New Roman"/>
              </w:rPr>
              <w:t>В</w:t>
            </w:r>
            <w:r w:rsidRPr="009D018C">
              <w:rPr>
                <w:rStyle w:val="af4"/>
              </w:rPr>
              <w:footnoteReference w:id="6"/>
            </w:r>
          </w:p>
        </w:tc>
        <w:tc>
          <w:tcPr>
            <w:tcW w:w="2206" w:type="pct"/>
          </w:tcPr>
          <w:p w14:paraId="78B7022E" w14:textId="77777777" w:rsidR="002C7010" w:rsidRPr="002F4348" w:rsidRDefault="002C7010" w:rsidP="002C7010">
            <w:pPr>
              <w:ind w:firstLine="0"/>
              <w:rPr>
                <w:rFonts w:eastAsia="Calibri" w:cs="Times New Roman"/>
              </w:rPr>
            </w:pPr>
            <w:r w:rsidRPr="002F4348">
              <w:rPr>
                <w:rFonts w:eastAsia="Calibri" w:cs="Times New Roman"/>
              </w:rPr>
              <w:t>Один или более из следующих симптомов:</w:t>
            </w:r>
          </w:p>
          <w:p w14:paraId="1FDB97F2" w14:textId="77777777" w:rsidR="002C7010" w:rsidRPr="002F4348" w:rsidRDefault="002C7010" w:rsidP="00B153FC">
            <w:pPr>
              <w:numPr>
                <w:ilvl w:val="0"/>
                <w:numId w:val="29"/>
              </w:numPr>
              <w:spacing w:line="288" w:lineRule="auto"/>
              <w:contextualSpacing/>
              <w:jc w:val="left"/>
              <w:rPr>
                <w:rFonts w:eastAsia="Calibri" w:cs="Times New Roman"/>
              </w:rPr>
            </w:pPr>
            <w:r w:rsidRPr="002F4348">
              <w:rPr>
                <w:rFonts w:eastAsia="Calibri" w:cs="Times New Roman"/>
              </w:rPr>
              <w:t>Лихорадка выше 38°С не менее трех дней подряд без признаков воспаления</w:t>
            </w:r>
          </w:p>
          <w:p w14:paraId="4660F4DB" w14:textId="77777777" w:rsidR="002C7010" w:rsidRPr="002F4348" w:rsidRDefault="002C7010" w:rsidP="00B153FC">
            <w:pPr>
              <w:numPr>
                <w:ilvl w:val="0"/>
                <w:numId w:val="29"/>
              </w:numPr>
              <w:spacing w:line="288" w:lineRule="auto"/>
              <w:contextualSpacing/>
              <w:jc w:val="left"/>
              <w:rPr>
                <w:rFonts w:eastAsia="Calibri" w:cs="Times New Roman"/>
              </w:rPr>
            </w:pPr>
            <w:r w:rsidRPr="002F4348">
              <w:rPr>
                <w:rFonts w:eastAsia="Calibri" w:cs="Times New Roman"/>
              </w:rPr>
              <w:t>Ночные профузные поты</w:t>
            </w:r>
          </w:p>
          <w:p w14:paraId="109E5C83" w14:textId="77777777" w:rsidR="002C7010" w:rsidRPr="002F4348" w:rsidRDefault="002C7010" w:rsidP="00B153FC">
            <w:pPr>
              <w:numPr>
                <w:ilvl w:val="0"/>
                <w:numId w:val="29"/>
              </w:numPr>
              <w:spacing w:line="288" w:lineRule="auto"/>
              <w:contextualSpacing/>
              <w:jc w:val="left"/>
              <w:rPr>
                <w:rFonts w:eastAsia="Calibri" w:cs="Times New Roman"/>
              </w:rPr>
            </w:pPr>
            <w:r w:rsidRPr="002F4348">
              <w:rPr>
                <w:rFonts w:eastAsia="Calibri" w:cs="Times New Roman"/>
              </w:rPr>
              <w:t>Похудание на 10% массы тела за последние 6 месяцев</w:t>
            </w:r>
          </w:p>
        </w:tc>
        <w:tc>
          <w:tcPr>
            <w:tcW w:w="2171" w:type="pct"/>
          </w:tcPr>
          <w:p w14:paraId="264FD719" w14:textId="77777777" w:rsidR="002C7010" w:rsidRPr="002F4348" w:rsidRDefault="002C7010" w:rsidP="002C7010">
            <w:pPr>
              <w:ind w:firstLine="0"/>
              <w:rPr>
                <w:rFonts w:ascii="Calibri" w:eastAsia="Calibri" w:hAnsi="Calibri" w:cs="Times New Roman"/>
              </w:rPr>
            </w:pPr>
          </w:p>
        </w:tc>
      </w:tr>
      <w:tr w:rsidR="002C7010" w:rsidRPr="002F4348" w14:paraId="5A555526" w14:textId="77777777" w:rsidTr="003007A6">
        <w:tc>
          <w:tcPr>
            <w:tcW w:w="623" w:type="pct"/>
          </w:tcPr>
          <w:p w14:paraId="51894C13" w14:textId="77777777" w:rsidR="002C7010" w:rsidRPr="002F4348" w:rsidRDefault="002C7010" w:rsidP="002C7010">
            <w:pPr>
              <w:ind w:firstLine="0"/>
              <w:rPr>
                <w:rFonts w:eastAsia="Calibri" w:cs="Times New Roman"/>
                <w:lang w:val="en-US"/>
              </w:rPr>
            </w:pPr>
            <w:r w:rsidRPr="002F4348">
              <w:rPr>
                <w:rFonts w:eastAsia="Calibri" w:cs="Times New Roman"/>
                <w:lang w:val="en-US"/>
              </w:rPr>
              <w:t>E</w:t>
            </w:r>
            <w:r w:rsidRPr="009D018C">
              <w:rPr>
                <w:rStyle w:val="af4"/>
              </w:rPr>
              <w:footnoteReference w:id="7"/>
            </w:r>
          </w:p>
        </w:tc>
        <w:tc>
          <w:tcPr>
            <w:tcW w:w="2206" w:type="pct"/>
          </w:tcPr>
          <w:p w14:paraId="1B38648C" w14:textId="77777777" w:rsidR="002C7010" w:rsidRPr="002F4348" w:rsidRDefault="002C7010" w:rsidP="00B153FC">
            <w:pPr>
              <w:numPr>
                <w:ilvl w:val="0"/>
                <w:numId w:val="30"/>
              </w:numPr>
              <w:spacing w:line="288" w:lineRule="auto"/>
              <w:contextualSpacing/>
              <w:jc w:val="left"/>
              <w:rPr>
                <w:rFonts w:eastAsia="Calibri" w:cs="Times New Roman"/>
              </w:rPr>
            </w:pPr>
            <w:r w:rsidRPr="002F4348">
              <w:rPr>
                <w:rFonts w:eastAsia="Calibri" w:cs="Times New Roman"/>
              </w:rPr>
              <w:t xml:space="preserve">Локализованное </w:t>
            </w:r>
            <w:r w:rsidR="004B7BA3" w:rsidRPr="002F4348">
              <w:rPr>
                <w:rFonts w:eastAsia="Calibri" w:cs="Times New Roman"/>
              </w:rPr>
              <w:t xml:space="preserve">(единственное) </w:t>
            </w:r>
            <w:r w:rsidRPr="002F4348">
              <w:rPr>
                <w:rFonts w:eastAsia="Calibri" w:cs="Times New Roman"/>
              </w:rPr>
              <w:t>экстранодальное поражение (</w:t>
            </w:r>
            <w:r w:rsidR="004B7BA3" w:rsidRPr="002F4348">
              <w:rPr>
                <w:rFonts w:eastAsia="Calibri" w:cs="Times New Roman"/>
              </w:rPr>
              <w:t xml:space="preserve">только </w:t>
            </w:r>
            <w:r w:rsidRPr="002F4348">
              <w:rPr>
                <w:rFonts w:eastAsia="Calibri" w:cs="Times New Roman"/>
              </w:rPr>
              <w:t xml:space="preserve">при </w:t>
            </w:r>
            <w:r w:rsidRPr="002F4348">
              <w:rPr>
                <w:rFonts w:eastAsia="Calibri" w:cs="Times New Roman"/>
                <w:lang w:val="en-US"/>
              </w:rPr>
              <w:t>I</w:t>
            </w:r>
            <w:r w:rsidRPr="002F4348">
              <w:rPr>
                <w:rFonts w:eastAsia="Calibri" w:cs="Times New Roman"/>
              </w:rPr>
              <w:t>-</w:t>
            </w:r>
            <w:r w:rsidRPr="002F4348">
              <w:rPr>
                <w:rFonts w:eastAsia="Calibri" w:cs="Times New Roman"/>
                <w:lang w:val="en-US"/>
              </w:rPr>
              <w:t>II</w:t>
            </w:r>
            <w:r w:rsidRPr="002F4348">
              <w:rPr>
                <w:rFonts w:eastAsia="Calibri" w:cs="Times New Roman"/>
              </w:rPr>
              <w:t xml:space="preserve"> стадиях):</w:t>
            </w:r>
          </w:p>
          <w:p w14:paraId="5D761B0F" w14:textId="77777777" w:rsidR="002C7010" w:rsidRPr="002F4348" w:rsidRDefault="002C7010" w:rsidP="00B153FC">
            <w:pPr>
              <w:pStyle w:val="afe"/>
              <w:numPr>
                <w:ilvl w:val="0"/>
                <w:numId w:val="30"/>
              </w:numPr>
              <w:spacing w:line="288" w:lineRule="auto"/>
              <w:jc w:val="left"/>
              <w:rPr>
                <w:rFonts w:eastAsia="Calibri" w:cs="Times New Roman"/>
              </w:rPr>
            </w:pPr>
            <w:r w:rsidRPr="002F4348">
              <w:rPr>
                <w:rFonts w:eastAsia="Calibri" w:cs="Times New Roman"/>
              </w:rPr>
              <w:t xml:space="preserve">Локализованное поражение одного экстралимфатического органа или ткани в пределах одного сегмента </w:t>
            </w:r>
            <w:r w:rsidR="004B7BA3" w:rsidRPr="002F4348">
              <w:rPr>
                <w:rFonts w:eastAsia="Calibri" w:cs="Times New Roman"/>
              </w:rPr>
              <w:t>с поражением только региональных</w:t>
            </w:r>
            <w:r w:rsidRPr="002F4348">
              <w:rPr>
                <w:rFonts w:eastAsia="Calibri" w:cs="Times New Roman"/>
              </w:rPr>
              <w:t xml:space="preserve"> лимфатических узлов </w:t>
            </w:r>
          </w:p>
          <w:p w14:paraId="16F9043D" w14:textId="77777777" w:rsidR="002C7010" w:rsidRPr="002F4348" w:rsidRDefault="004B7BA3" w:rsidP="00B153FC">
            <w:pPr>
              <w:pStyle w:val="afe"/>
              <w:numPr>
                <w:ilvl w:val="0"/>
                <w:numId w:val="30"/>
              </w:numPr>
              <w:spacing w:line="288" w:lineRule="auto"/>
              <w:jc w:val="left"/>
              <w:rPr>
                <w:rFonts w:eastAsia="Calibri" w:cs="Times New Roman"/>
              </w:rPr>
            </w:pPr>
            <w:r w:rsidRPr="002F4348">
              <w:rPr>
                <w:rFonts w:eastAsia="Calibri" w:cs="Times New Roman"/>
              </w:rPr>
              <w:t xml:space="preserve">При стадиях </w:t>
            </w:r>
            <w:r w:rsidR="002C7010" w:rsidRPr="002F4348">
              <w:rPr>
                <w:rFonts w:eastAsia="Calibri" w:cs="Times New Roman"/>
                <w:lang w:val="en-US"/>
              </w:rPr>
              <w:t>I</w:t>
            </w:r>
            <w:r w:rsidR="002C7010" w:rsidRPr="002F4348">
              <w:rPr>
                <w:rFonts w:eastAsia="Calibri" w:cs="Times New Roman"/>
              </w:rPr>
              <w:t xml:space="preserve"> или </w:t>
            </w:r>
            <w:r w:rsidR="002C7010" w:rsidRPr="002F4348">
              <w:rPr>
                <w:rFonts w:eastAsia="Calibri" w:cs="Times New Roman"/>
                <w:lang w:val="en-US"/>
              </w:rPr>
              <w:t>II</w:t>
            </w:r>
            <w:r w:rsidR="002C7010" w:rsidRPr="002F4348">
              <w:rPr>
                <w:rFonts w:eastAsia="Calibri" w:cs="Times New Roman"/>
              </w:rPr>
              <w:t xml:space="preserve"> с ограниченным экстранодальным вовлечением прилежащего органа или ткани    </w:t>
            </w:r>
          </w:p>
          <w:p w14:paraId="6A246050" w14:textId="77777777" w:rsidR="002C7010" w:rsidRPr="002F4348" w:rsidRDefault="002C7010" w:rsidP="004F0134">
            <w:pPr>
              <w:contextualSpacing/>
              <w:rPr>
                <w:rFonts w:eastAsia="Calibri" w:cs="Times New Roman"/>
              </w:rPr>
            </w:pPr>
          </w:p>
          <w:p w14:paraId="108FDA32" w14:textId="77777777" w:rsidR="002C7010" w:rsidRPr="002F4348" w:rsidRDefault="002C7010" w:rsidP="004F0134">
            <w:pPr>
              <w:contextualSpacing/>
              <w:rPr>
                <w:rFonts w:eastAsia="Calibri" w:cs="Times New Roman"/>
              </w:rPr>
            </w:pPr>
          </w:p>
          <w:p w14:paraId="79B270AD" w14:textId="77777777" w:rsidR="002C7010" w:rsidRPr="002F4348" w:rsidRDefault="002C7010" w:rsidP="004F0134">
            <w:pPr>
              <w:contextualSpacing/>
              <w:rPr>
                <w:rFonts w:eastAsia="Calibri" w:cs="Times New Roman"/>
              </w:rPr>
            </w:pPr>
          </w:p>
          <w:p w14:paraId="4D9985BF" w14:textId="77777777" w:rsidR="002C7010" w:rsidRPr="002F4348" w:rsidRDefault="002C7010" w:rsidP="004F0134">
            <w:pPr>
              <w:contextualSpacing/>
              <w:rPr>
                <w:rFonts w:eastAsia="Calibri" w:cs="Times New Roman"/>
              </w:rPr>
            </w:pPr>
          </w:p>
          <w:p w14:paraId="15ACD59E" w14:textId="77777777" w:rsidR="002C7010" w:rsidRPr="002F4348" w:rsidRDefault="002C7010" w:rsidP="004F0134">
            <w:pPr>
              <w:contextualSpacing/>
              <w:rPr>
                <w:rFonts w:eastAsia="Calibri" w:cs="Times New Roman"/>
              </w:rPr>
            </w:pPr>
          </w:p>
          <w:p w14:paraId="228BD116" w14:textId="77777777" w:rsidR="002C7010" w:rsidRPr="002F4348" w:rsidRDefault="002C7010" w:rsidP="004F0134">
            <w:pPr>
              <w:contextualSpacing/>
              <w:rPr>
                <w:rFonts w:eastAsia="Calibri" w:cs="Times New Roman"/>
              </w:rPr>
            </w:pPr>
          </w:p>
          <w:p w14:paraId="68E105CB" w14:textId="77777777" w:rsidR="002C7010" w:rsidRPr="002F4348" w:rsidRDefault="002C7010" w:rsidP="004F0134">
            <w:pPr>
              <w:contextualSpacing/>
              <w:rPr>
                <w:rFonts w:eastAsia="Calibri" w:cs="Times New Roman"/>
              </w:rPr>
            </w:pPr>
          </w:p>
          <w:p w14:paraId="1BA81D8E" w14:textId="77777777" w:rsidR="002C7010" w:rsidRPr="002F4348" w:rsidRDefault="002C7010" w:rsidP="004F0134">
            <w:pPr>
              <w:contextualSpacing/>
              <w:rPr>
                <w:rFonts w:eastAsia="Calibri" w:cs="Times New Roman"/>
              </w:rPr>
            </w:pPr>
          </w:p>
          <w:p w14:paraId="1B829E24" w14:textId="77777777" w:rsidR="002C7010" w:rsidRPr="002F4348" w:rsidRDefault="002C7010" w:rsidP="004F0134">
            <w:pPr>
              <w:contextualSpacing/>
              <w:rPr>
                <w:rFonts w:eastAsia="Calibri" w:cs="Times New Roman"/>
              </w:rPr>
            </w:pPr>
          </w:p>
          <w:p w14:paraId="7CF97E7A" w14:textId="77777777" w:rsidR="002C7010" w:rsidRPr="002F4348" w:rsidRDefault="002C7010" w:rsidP="004F0134">
            <w:pPr>
              <w:contextualSpacing/>
              <w:rPr>
                <w:rFonts w:eastAsia="Calibri" w:cs="Times New Roman"/>
              </w:rPr>
            </w:pPr>
          </w:p>
          <w:p w14:paraId="0A75FF64" w14:textId="77777777" w:rsidR="002C7010" w:rsidRPr="002F4348" w:rsidRDefault="002C7010" w:rsidP="004F0134">
            <w:pPr>
              <w:contextualSpacing/>
              <w:rPr>
                <w:rFonts w:eastAsia="Calibri" w:cs="Times New Roman"/>
              </w:rPr>
            </w:pPr>
          </w:p>
          <w:p w14:paraId="6BD3568C" w14:textId="77777777" w:rsidR="002C7010" w:rsidRPr="002F4348" w:rsidRDefault="002C7010" w:rsidP="004F0134">
            <w:pPr>
              <w:contextualSpacing/>
              <w:rPr>
                <w:rFonts w:eastAsia="Calibri" w:cs="Times New Roman"/>
              </w:rPr>
            </w:pPr>
          </w:p>
        </w:tc>
        <w:tc>
          <w:tcPr>
            <w:tcW w:w="2171" w:type="pct"/>
          </w:tcPr>
          <w:p w14:paraId="25AC340B" w14:textId="77777777" w:rsidR="002C7010" w:rsidRPr="002F4348" w:rsidRDefault="001F1449" w:rsidP="002C7010">
            <w:pPr>
              <w:ind w:left="360" w:firstLine="0"/>
              <w:contextualSpacing/>
              <w:rPr>
                <w:rFonts w:ascii="Calibri" w:eastAsia="Calibri" w:hAnsi="Calibri" w:cs="Times New Roman"/>
              </w:rPr>
            </w:pPr>
            <w:r w:rsidRPr="002F4348">
              <w:rPr>
                <w:rFonts w:eastAsia="Calibri" w:cs="Times New Roman"/>
                <w:noProof/>
                <w:lang w:eastAsia="ru-RU"/>
              </w:rPr>
              <mc:AlternateContent>
                <mc:Choice Requires="wps">
                  <w:drawing>
                    <wp:anchor distT="0" distB="0" distL="114300" distR="114300" simplePos="0" relativeHeight="251721728" behindDoc="0" locked="0" layoutInCell="1" allowOverlap="1" wp14:anchorId="53D8D7CD" wp14:editId="40DBB5DB">
                      <wp:simplePos x="0" y="0"/>
                      <wp:positionH relativeFrom="column">
                        <wp:posOffset>862330</wp:posOffset>
                      </wp:positionH>
                      <wp:positionV relativeFrom="paragraph">
                        <wp:posOffset>462280</wp:posOffset>
                      </wp:positionV>
                      <wp:extent cx="63500" cy="158750"/>
                      <wp:effectExtent l="0" t="0" r="12700" b="12700"/>
                      <wp:wrapNone/>
                      <wp:docPr id="9" name="Овал 9"/>
                      <wp:cNvGraphicFramePr/>
                      <a:graphic xmlns:a="http://schemas.openxmlformats.org/drawingml/2006/main">
                        <a:graphicData uri="http://schemas.microsoft.com/office/word/2010/wordprocessingShape">
                          <wps:wsp>
                            <wps:cNvSpPr/>
                            <wps:spPr>
                              <a:xfrm>
                                <a:off x="0" y="0"/>
                                <a:ext cx="63500" cy="15875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5361339" id="Овал 9" o:spid="_x0000_s1026" style="position:absolute;margin-left:67.9pt;margin-top:36.4pt;width:5pt;height:1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" fillcolor="#5b9bd5" strokecolor="#41719c" strokeweight="1pt">
                      <v:stroke joinstyle="miter"/>
                    </v:oval>
                  </w:pict>
                </mc:Fallback>
              </mc:AlternateContent>
            </w:r>
            <w:r w:rsidR="004B7BA3" w:rsidRPr="002F4348">
              <w:rPr>
                <w:rFonts w:eastAsia="Calibri" w:cs="Times New Roman"/>
                <w:noProof/>
                <w:lang w:eastAsia="ru-RU"/>
              </w:rPr>
              <mc:AlternateContent>
                <mc:Choice Requires="wps">
                  <w:drawing>
                    <wp:anchor distT="0" distB="0" distL="114300" distR="114300" simplePos="0" relativeHeight="251720704" behindDoc="0" locked="0" layoutInCell="1" allowOverlap="1" wp14:anchorId="47DC58FE" wp14:editId="6B4ED838">
                      <wp:simplePos x="0" y="0"/>
                      <wp:positionH relativeFrom="column">
                        <wp:posOffset>721360</wp:posOffset>
                      </wp:positionH>
                      <wp:positionV relativeFrom="paragraph">
                        <wp:posOffset>531495</wp:posOffset>
                      </wp:positionV>
                      <wp:extent cx="52070" cy="127000"/>
                      <wp:effectExtent l="0" t="0" r="24130" b="25400"/>
                      <wp:wrapNone/>
                      <wp:docPr id="8" name="Овал 8"/>
                      <wp:cNvGraphicFramePr/>
                      <a:graphic xmlns:a="http://schemas.openxmlformats.org/drawingml/2006/main">
                        <a:graphicData uri="http://schemas.microsoft.com/office/word/2010/wordprocessingShape">
                          <wps:wsp>
                            <wps:cNvSpPr/>
                            <wps:spPr>
                              <a:xfrm flipH="1">
                                <a:off x="0" y="0"/>
                                <a:ext cx="52070" cy="12700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1F98DD1" id="Овал 8" o:spid="_x0000_s1026" style="position:absolute;margin-left:56.8pt;margin-top:41.85pt;width:4.1pt;height:10pt;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" fillcolor="#5b9bd5" strokecolor="#41719c" strokeweight="1pt">
                      <v:stroke joinstyle="miter"/>
                    </v:oval>
                  </w:pict>
                </mc:Fallback>
              </mc:AlternateContent>
            </w:r>
            <w:r w:rsidR="002C7010" w:rsidRPr="002F4348">
              <w:rPr>
                <w:rFonts w:eastAsia="Times New Roman" w:cstheme="minorHAnsi"/>
                <w:noProof/>
                <w:sz w:val="28"/>
                <w:szCs w:val="28"/>
                <w:lang w:eastAsia="ru-RU"/>
              </w:rPr>
              <mc:AlternateContent>
                <mc:Choice Requires="wps">
                  <w:drawing>
                    <wp:anchor distT="0" distB="0" distL="114300" distR="114300" simplePos="0" relativeHeight="251716608" behindDoc="0" locked="0" layoutInCell="1" allowOverlap="1" wp14:anchorId="4AC9D547" wp14:editId="3C07E53A">
                      <wp:simplePos x="0" y="0"/>
                      <wp:positionH relativeFrom="column">
                        <wp:posOffset>943610</wp:posOffset>
                      </wp:positionH>
                      <wp:positionV relativeFrom="paragraph">
                        <wp:posOffset>3464560</wp:posOffset>
                      </wp:positionV>
                      <wp:extent cx="63500" cy="158750"/>
                      <wp:effectExtent l="0" t="0" r="12700" b="12700"/>
                      <wp:wrapNone/>
                      <wp:docPr id="88" name="Овал 88"/>
                      <wp:cNvGraphicFramePr/>
                      <a:graphic xmlns:a="http://schemas.openxmlformats.org/drawingml/2006/main">
                        <a:graphicData uri="http://schemas.microsoft.com/office/word/2010/wordprocessingShape">
                          <wps:wsp>
                            <wps:cNvSpPr/>
                            <wps:spPr>
                              <a:xfrm>
                                <a:off x="0" y="0"/>
                                <a:ext cx="63500" cy="15875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B343107" id="Овал 88" o:spid="_x0000_s1026" style="position:absolute;margin-left:74.3pt;margin-top:272.8pt;width:5pt;height:1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" fillcolor="#5b9bd5" strokecolor="#41719c" strokeweight="1pt">
                      <v:stroke joinstyle="miter"/>
                    </v:oval>
                  </w:pict>
                </mc:Fallback>
              </mc:AlternateContent>
            </w:r>
            <w:r w:rsidR="002C7010" w:rsidRPr="002F4348">
              <w:rPr>
                <w:rFonts w:eastAsia="Times New Roman" w:cstheme="minorHAnsi"/>
                <w:noProof/>
                <w:sz w:val="28"/>
                <w:szCs w:val="28"/>
                <w:lang w:eastAsia="ru-RU"/>
              </w:rPr>
              <mc:AlternateContent>
                <mc:Choice Requires="wps">
                  <w:drawing>
                    <wp:anchor distT="0" distB="0" distL="114300" distR="114300" simplePos="0" relativeHeight="251713536" behindDoc="0" locked="0" layoutInCell="1" allowOverlap="1" wp14:anchorId="15F1B325" wp14:editId="74725A72">
                      <wp:simplePos x="0" y="0"/>
                      <wp:positionH relativeFrom="column">
                        <wp:posOffset>664210</wp:posOffset>
                      </wp:positionH>
                      <wp:positionV relativeFrom="paragraph">
                        <wp:posOffset>3693160</wp:posOffset>
                      </wp:positionV>
                      <wp:extent cx="103252" cy="69850"/>
                      <wp:effectExtent l="0" t="0" r="11430" b="25400"/>
                      <wp:wrapNone/>
                      <wp:docPr id="35" name="Овал 35"/>
                      <wp:cNvGraphicFramePr/>
                      <a:graphic xmlns:a="http://schemas.openxmlformats.org/drawingml/2006/main">
                        <a:graphicData uri="http://schemas.microsoft.com/office/word/2010/wordprocessingShape">
                          <wps:wsp>
                            <wps:cNvSpPr/>
                            <wps:spPr>
                              <a:xfrm>
                                <a:off x="0" y="0"/>
                                <a:ext cx="103252" cy="6985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396B9CF" id="Овал 35" o:spid="_x0000_s1026" style="position:absolute;margin-left:52.3pt;margin-top:290.8pt;width:8.15pt;height:5.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" fillcolor="#5b9bd5" strokecolor="#41719c" strokeweight="1pt">
                      <v:stroke joinstyle="miter"/>
                    </v:oval>
                  </w:pict>
                </mc:Fallback>
              </mc:AlternateContent>
            </w:r>
            <w:r w:rsidR="002C7010" w:rsidRPr="002F4348">
              <w:rPr>
                <w:rFonts w:eastAsia="Times New Roman" w:cstheme="minorHAnsi"/>
                <w:noProof/>
                <w:sz w:val="28"/>
                <w:szCs w:val="28"/>
                <w:lang w:eastAsia="ru-RU"/>
              </w:rPr>
              <mc:AlternateContent>
                <mc:Choice Requires="wps">
                  <w:drawing>
                    <wp:anchor distT="0" distB="0" distL="114300" distR="114300" simplePos="0" relativeHeight="251714560" behindDoc="0" locked="0" layoutInCell="1" allowOverlap="1" wp14:anchorId="6204B69B" wp14:editId="69DE476D">
                      <wp:simplePos x="0" y="0"/>
                      <wp:positionH relativeFrom="column">
                        <wp:posOffset>880110</wp:posOffset>
                      </wp:positionH>
                      <wp:positionV relativeFrom="paragraph">
                        <wp:posOffset>3655060</wp:posOffset>
                      </wp:positionV>
                      <wp:extent cx="146050" cy="342900"/>
                      <wp:effectExtent l="19050" t="38100" r="44450" b="57150"/>
                      <wp:wrapNone/>
                      <wp:docPr id="86" name="Взрыв: 8 точек 86"/>
                      <wp:cNvGraphicFramePr/>
                      <a:graphic xmlns:a="http://schemas.openxmlformats.org/drawingml/2006/main">
                        <a:graphicData uri="http://schemas.microsoft.com/office/word/2010/wordprocessingShape">
                          <wps:wsp>
                            <wps:cNvSpPr/>
                            <wps:spPr>
                              <a:xfrm>
                                <a:off x="0" y="0"/>
                                <a:ext cx="146050" cy="342900"/>
                              </a:xfrm>
                              <a:prstGeom prst="irregularSeal1">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0FF7C55"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Взрыв: 8 точек 86" o:spid="_x0000_s1026" type="#_x0000_t71" style="position:absolute;margin-left:69.3pt;margin-top:287.8pt;width:11.5pt;height:27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" fillcolor="#5b9bd5 [3204]" strokecolor="#1f4d78 [1604]" strokeweight="1pt"/>
                  </w:pict>
                </mc:Fallback>
              </mc:AlternateContent>
            </w:r>
            <w:r w:rsidR="002C7010" w:rsidRPr="002F4348">
              <w:rPr>
                <w:rFonts w:eastAsia="Times New Roman" w:cstheme="minorHAnsi"/>
                <w:noProof/>
                <w:sz w:val="28"/>
                <w:szCs w:val="28"/>
                <w:lang w:eastAsia="ru-RU"/>
              </w:rPr>
              <mc:AlternateContent>
                <mc:Choice Requires="wps">
                  <w:drawing>
                    <wp:anchor distT="0" distB="0" distL="114300" distR="114300" simplePos="0" relativeHeight="251715584" behindDoc="0" locked="0" layoutInCell="1" allowOverlap="1" wp14:anchorId="0F6708C0" wp14:editId="7EC773A8">
                      <wp:simplePos x="0" y="0"/>
                      <wp:positionH relativeFrom="column">
                        <wp:posOffset>831850</wp:posOffset>
                      </wp:positionH>
                      <wp:positionV relativeFrom="paragraph">
                        <wp:posOffset>3669665</wp:posOffset>
                      </wp:positionV>
                      <wp:extent cx="96520" cy="285750"/>
                      <wp:effectExtent l="0" t="0" r="17780" b="19050"/>
                      <wp:wrapNone/>
                      <wp:docPr id="85" name="Овал 85"/>
                      <wp:cNvGraphicFramePr/>
                      <a:graphic xmlns:a="http://schemas.openxmlformats.org/drawingml/2006/main">
                        <a:graphicData uri="http://schemas.microsoft.com/office/word/2010/wordprocessingShape">
                          <wps:wsp>
                            <wps:cNvSpPr/>
                            <wps:spPr>
                              <a:xfrm>
                                <a:off x="0" y="0"/>
                                <a:ext cx="96520" cy="28575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6AFC22C" id="Овал 85" o:spid="_x0000_s1026" style="position:absolute;margin-left:65.5pt;margin-top:288.95pt;width:7.6pt;height:2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" fillcolor="#5b9bd5" strokecolor="#41719c" strokeweight="1pt">
                      <v:stroke joinstyle="miter"/>
                    </v:oval>
                  </w:pict>
                </mc:Fallback>
              </mc:AlternateContent>
            </w:r>
            <w:r w:rsidR="002C7010" w:rsidRPr="002F4348">
              <w:rPr>
                <w:rFonts w:eastAsia="Times New Roman" w:cstheme="minorHAnsi"/>
                <w:noProof/>
                <w:sz w:val="28"/>
                <w:szCs w:val="28"/>
                <w:lang w:eastAsia="ru-RU"/>
              </w:rPr>
              <mc:AlternateContent>
                <mc:Choice Requires="wps">
                  <w:drawing>
                    <wp:anchor distT="0" distB="0" distL="114300" distR="114300" simplePos="0" relativeHeight="251706368" behindDoc="0" locked="0" layoutInCell="1" allowOverlap="1" wp14:anchorId="44ACDFEE" wp14:editId="37177684">
                      <wp:simplePos x="0" y="0"/>
                      <wp:positionH relativeFrom="column">
                        <wp:posOffset>812800</wp:posOffset>
                      </wp:positionH>
                      <wp:positionV relativeFrom="paragraph">
                        <wp:posOffset>2059305</wp:posOffset>
                      </wp:positionV>
                      <wp:extent cx="101600" cy="241300"/>
                      <wp:effectExtent l="0" t="0" r="12700" b="25400"/>
                      <wp:wrapNone/>
                      <wp:docPr id="45" name="Овал 45"/>
                      <wp:cNvGraphicFramePr/>
                      <a:graphic xmlns:a="http://schemas.openxmlformats.org/drawingml/2006/main">
                        <a:graphicData uri="http://schemas.microsoft.com/office/word/2010/wordprocessingShape">
                          <wps:wsp>
                            <wps:cNvSpPr/>
                            <wps:spPr>
                              <a:xfrm>
                                <a:off x="0" y="0"/>
                                <a:ext cx="101600" cy="24130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BB3A0FB" id="Овал 45" o:spid="_x0000_s1026" style="position:absolute;margin-left:64pt;margin-top:162.15pt;width:8pt;height:1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" fillcolor="#5b9bd5" strokecolor="#41719c" strokeweight="1pt">
                      <v:stroke joinstyle="miter"/>
                    </v:oval>
                  </w:pict>
                </mc:Fallback>
              </mc:AlternateContent>
            </w:r>
            <w:r w:rsidR="002C7010" w:rsidRPr="002F4348">
              <w:rPr>
                <w:rFonts w:eastAsia="Times New Roman" w:cstheme="minorHAnsi"/>
                <w:noProof/>
                <w:sz w:val="28"/>
                <w:szCs w:val="28"/>
                <w:lang w:eastAsia="ru-RU"/>
              </w:rPr>
              <mc:AlternateContent>
                <mc:Choice Requires="wps">
                  <w:drawing>
                    <wp:anchor distT="0" distB="0" distL="114300" distR="114300" simplePos="0" relativeHeight="251705344" behindDoc="0" locked="0" layoutInCell="1" allowOverlap="1" wp14:anchorId="1A2A839E" wp14:editId="6C07F9D2">
                      <wp:simplePos x="0" y="0"/>
                      <wp:positionH relativeFrom="column">
                        <wp:posOffset>720997</wp:posOffset>
                      </wp:positionH>
                      <wp:positionV relativeFrom="paragraph">
                        <wp:posOffset>2056476</wp:posOffset>
                      </wp:positionV>
                      <wp:extent cx="143310" cy="376476"/>
                      <wp:effectExtent l="19050" t="76200" r="28575" b="81280"/>
                      <wp:wrapNone/>
                      <wp:docPr id="47" name="Взрыв: 14 точек 47"/>
                      <wp:cNvGraphicFramePr/>
                      <a:graphic xmlns:a="http://schemas.openxmlformats.org/drawingml/2006/main">
                        <a:graphicData uri="http://schemas.microsoft.com/office/word/2010/wordprocessingShape">
                          <wps:wsp>
                            <wps:cNvSpPr/>
                            <wps:spPr>
                              <a:xfrm rot="21028907">
                                <a:off x="0" y="0"/>
                                <a:ext cx="143310" cy="376476"/>
                              </a:xfrm>
                              <a:prstGeom prst="irregularSeal2">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67B24BE"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Взрыв: 14 точек 47" o:spid="_x0000_s1026" type="#_x0000_t72" style="position:absolute;margin-left:56.75pt;margin-top:161.95pt;width:11.3pt;height:29.65pt;rotation:-623786fd;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" fillcolor="#5b9bd5 [3204]" strokecolor="#1f4d78 [1604]" strokeweight="1pt"/>
                  </w:pict>
                </mc:Fallback>
              </mc:AlternateContent>
            </w:r>
            <w:r w:rsidR="002C7010" w:rsidRPr="002F4348">
              <w:rPr>
                <w:rFonts w:eastAsia="Times New Roman" w:cstheme="minorHAnsi"/>
                <w:noProof/>
                <w:sz w:val="28"/>
                <w:szCs w:val="28"/>
                <w:lang w:eastAsia="ru-RU"/>
              </w:rPr>
              <w:drawing>
                <wp:inline distT="0" distB="0" distL="0" distR="0" wp14:anchorId="0907DAB0" wp14:editId="0D5D4CE9">
                  <wp:extent cx="1247070" cy="1733550"/>
                  <wp:effectExtent l="0" t="0" r="0" b="0"/>
                  <wp:docPr id="14345" name="Picture 3">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1C3DE40-DD1E-473B-942A-6E66476165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1C3DE40-DD1E-473B-942A-6E6647616552}"/>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314378" cy="1827115"/>
                          </a:xfrm>
                          <a:prstGeom prst="rect">
                            <a:avLst/>
                          </a:prstGeom>
                          <a:noFill/>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ffectLst>
                                  <a:outerShdw dist="35921" dir="2700000" algn="ctr" rotWithShape="0">
                                    <a:srgbClr val="808080"/>
                                  </a:outerShdw>
                                </a:effectLst>
                              </a14:hiddenEffects>
                            </a:ext>
                          </a:extLst>
                        </pic:spPr>
                      </pic:pic>
                    </a:graphicData>
                  </a:graphic>
                </wp:inline>
              </w:drawing>
            </w:r>
            <w:r w:rsidR="002C7010" w:rsidRPr="002F4348">
              <w:rPr>
                <w:rFonts w:eastAsia="Times New Roman" w:cstheme="minorHAnsi"/>
                <w:noProof/>
                <w:sz w:val="28"/>
                <w:szCs w:val="28"/>
                <w:lang w:eastAsia="ru-RU"/>
              </w:rPr>
              <w:drawing>
                <wp:inline distT="0" distB="0" distL="0" distR="0" wp14:anchorId="4F5C383F" wp14:editId="1FE6AC2B">
                  <wp:extent cx="1117600" cy="1553573"/>
                  <wp:effectExtent l="0" t="0" r="6350" b="8890"/>
                  <wp:docPr id="14346" name="Picture 3">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1C3DE40-DD1E-473B-942A-6E66476165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1C3DE40-DD1E-473B-942A-6E6647616552}"/>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216731" cy="1691375"/>
                          </a:xfrm>
                          <a:prstGeom prst="rect">
                            <a:avLst/>
                          </a:prstGeom>
                          <a:noFill/>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ffectLst>
                                  <a:outerShdw dist="35921" dir="2700000" algn="ctr" rotWithShape="0">
                                    <a:srgbClr val="808080"/>
                                  </a:outerShdw>
                                </a:effectLst>
                              </a14:hiddenEffects>
                            </a:ext>
                          </a:extLst>
                        </pic:spPr>
                      </pic:pic>
                    </a:graphicData>
                  </a:graphic>
                </wp:inline>
              </w:drawing>
            </w:r>
            <w:r w:rsidR="002C7010" w:rsidRPr="002F4348">
              <w:rPr>
                <w:rFonts w:eastAsia="Times New Roman" w:cstheme="minorHAnsi"/>
                <w:noProof/>
                <w:sz w:val="28"/>
                <w:szCs w:val="28"/>
                <w:lang w:eastAsia="ru-RU"/>
              </w:rPr>
              <w:drawing>
                <wp:inline distT="0" distB="0" distL="0" distR="0" wp14:anchorId="6F67BAF2" wp14:editId="797BC122">
                  <wp:extent cx="1117600" cy="1553573"/>
                  <wp:effectExtent l="0" t="0" r="6350" b="8890"/>
                  <wp:docPr id="39" name="Picture 3">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1C3DE40-DD1E-473B-942A-6E66476165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1C3DE40-DD1E-473B-942A-6E6647616552}"/>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216731" cy="1691375"/>
                          </a:xfrm>
                          <a:prstGeom prst="rect">
                            <a:avLst/>
                          </a:prstGeom>
                          <a:noFill/>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ffectLst>
                                  <a:outerShdw dist="35921" dir="2700000" algn="ctr" rotWithShape="0">
                                    <a:srgbClr val="808080"/>
                                  </a:outerShdw>
                                </a:effectLst>
                              </a14:hiddenEffects>
                            </a:ext>
                          </a:extLst>
                        </pic:spPr>
                      </pic:pic>
                    </a:graphicData>
                  </a:graphic>
                </wp:inline>
              </w:drawing>
            </w:r>
            <w:r w:rsidR="002C7010" w:rsidRPr="002F4348">
              <w:rPr>
                <w:rFonts w:ascii="Calibri" w:eastAsia="Calibri" w:hAnsi="Calibri" w:cs="Times New Roman"/>
                <w:lang w:val="en-US"/>
              </w:rPr>
              <w:t xml:space="preserve"> </w:t>
            </w:r>
          </w:p>
        </w:tc>
      </w:tr>
      <w:tr w:rsidR="002C7010" w:rsidRPr="002F4348" w14:paraId="1DD10617" w14:textId="77777777" w:rsidTr="003007A6">
        <w:tc>
          <w:tcPr>
            <w:tcW w:w="623" w:type="pct"/>
          </w:tcPr>
          <w:p w14:paraId="16B073C4" w14:textId="77777777" w:rsidR="002C7010" w:rsidRPr="002F4348" w:rsidRDefault="002C7010" w:rsidP="002C7010">
            <w:pPr>
              <w:ind w:firstLine="0"/>
              <w:rPr>
                <w:rFonts w:eastAsia="Calibri" w:cs="Times New Roman"/>
                <w:lang w:val="en-US"/>
              </w:rPr>
            </w:pPr>
            <w:r w:rsidRPr="002F4348">
              <w:rPr>
                <w:rFonts w:eastAsia="Calibri" w:cs="Times New Roman"/>
                <w:lang w:val="en-US"/>
              </w:rPr>
              <w:t>S</w:t>
            </w:r>
          </w:p>
        </w:tc>
        <w:tc>
          <w:tcPr>
            <w:tcW w:w="2206" w:type="pct"/>
          </w:tcPr>
          <w:p w14:paraId="0A55DB55" w14:textId="77777777" w:rsidR="002C7010" w:rsidRPr="002F4348" w:rsidRDefault="002C7010" w:rsidP="00B153FC">
            <w:pPr>
              <w:numPr>
                <w:ilvl w:val="0"/>
                <w:numId w:val="30"/>
              </w:numPr>
              <w:spacing w:line="288" w:lineRule="auto"/>
              <w:contextualSpacing/>
              <w:jc w:val="left"/>
              <w:rPr>
                <w:rFonts w:eastAsia="Calibri" w:cs="Times New Roman"/>
              </w:rPr>
            </w:pPr>
            <w:r w:rsidRPr="002F4348">
              <w:rPr>
                <w:rFonts w:eastAsia="Calibri" w:cs="Times New Roman"/>
              </w:rPr>
              <w:t xml:space="preserve">Поражение селезенки (при </w:t>
            </w:r>
            <w:r w:rsidRPr="002F4348">
              <w:rPr>
                <w:rFonts w:eastAsia="Calibri" w:cs="Times New Roman"/>
                <w:lang w:val="en-US"/>
              </w:rPr>
              <w:t>I</w:t>
            </w:r>
            <w:r w:rsidRPr="002F4348">
              <w:rPr>
                <w:rFonts w:eastAsia="Calibri" w:cs="Times New Roman"/>
              </w:rPr>
              <w:t>-</w:t>
            </w:r>
            <w:r w:rsidRPr="002F4348">
              <w:rPr>
                <w:rFonts w:eastAsia="Calibri" w:cs="Times New Roman"/>
                <w:lang w:val="en-US"/>
              </w:rPr>
              <w:t>III</w:t>
            </w:r>
            <w:r w:rsidRPr="002F4348">
              <w:rPr>
                <w:rFonts w:eastAsia="Calibri" w:cs="Times New Roman"/>
              </w:rPr>
              <w:t xml:space="preserve"> стадиях)</w:t>
            </w:r>
          </w:p>
        </w:tc>
        <w:tc>
          <w:tcPr>
            <w:tcW w:w="2171" w:type="pct"/>
          </w:tcPr>
          <w:p w14:paraId="1ACBF70A" w14:textId="77777777" w:rsidR="002C7010" w:rsidRPr="002F4348" w:rsidRDefault="002C7010" w:rsidP="002C7010">
            <w:pPr>
              <w:ind w:left="360" w:firstLine="0"/>
              <w:contextualSpacing/>
              <w:rPr>
                <w:rFonts w:ascii="Calibri" w:eastAsia="Calibri" w:hAnsi="Calibri" w:cs="Times New Roman"/>
              </w:rPr>
            </w:pPr>
            <w:r w:rsidRPr="002F4348">
              <w:rPr>
                <w:rFonts w:ascii="Calibri" w:eastAsia="Calibri" w:hAnsi="Calibri" w:cs="Times New Roman"/>
                <w:noProof/>
                <w:lang w:eastAsia="ru-RU"/>
              </w:rPr>
              <mc:AlternateContent>
                <mc:Choice Requires="wps">
                  <w:drawing>
                    <wp:anchor distT="0" distB="0" distL="114300" distR="114300" simplePos="0" relativeHeight="251711488" behindDoc="0" locked="0" layoutInCell="1" allowOverlap="1" wp14:anchorId="1BAD32DC" wp14:editId="5E84DEFD">
                      <wp:simplePos x="0" y="0"/>
                      <wp:positionH relativeFrom="column">
                        <wp:posOffset>952500</wp:posOffset>
                      </wp:positionH>
                      <wp:positionV relativeFrom="paragraph">
                        <wp:posOffset>4003675</wp:posOffset>
                      </wp:positionV>
                      <wp:extent cx="76200" cy="95250"/>
                      <wp:effectExtent l="0" t="0" r="19050" b="19050"/>
                      <wp:wrapNone/>
                      <wp:docPr id="80" name="Овал 80"/>
                      <wp:cNvGraphicFramePr/>
                      <a:graphic xmlns:a="http://schemas.openxmlformats.org/drawingml/2006/main">
                        <a:graphicData uri="http://schemas.microsoft.com/office/word/2010/wordprocessingShape">
                          <wps:wsp>
                            <wps:cNvSpPr/>
                            <wps:spPr>
                              <a:xfrm flipV="1">
                                <a:off x="0" y="0"/>
                                <a:ext cx="76200" cy="9525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3355CE2" id="Овал 80" o:spid="_x0000_s1026" style="position:absolute;margin-left:75pt;margin-top:315.25pt;width:6pt;height:7.5pt;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" fillcolor="#5b9bd5" strokecolor="#41719c" strokeweight="1pt">
                      <v:stroke joinstyle="miter"/>
                    </v:oval>
                  </w:pict>
                </mc:Fallback>
              </mc:AlternateContent>
            </w:r>
            <w:r w:rsidRPr="002F4348">
              <w:rPr>
                <w:rFonts w:ascii="Calibri" w:eastAsia="Calibri" w:hAnsi="Calibri" w:cs="Times New Roman"/>
                <w:noProof/>
                <w:lang w:eastAsia="ru-RU"/>
              </w:rPr>
              <mc:AlternateContent>
                <mc:Choice Requires="wps">
                  <w:drawing>
                    <wp:anchor distT="0" distB="0" distL="114300" distR="114300" simplePos="0" relativeHeight="251712512" behindDoc="0" locked="0" layoutInCell="1" allowOverlap="1" wp14:anchorId="2A6B6B2D" wp14:editId="75FB59F6">
                      <wp:simplePos x="0" y="0"/>
                      <wp:positionH relativeFrom="column">
                        <wp:posOffset>791210</wp:posOffset>
                      </wp:positionH>
                      <wp:positionV relativeFrom="paragraph">
                        <wp:posOffset>3556635</wp:posOffset>
                      </wp:positionV>
                      <wp:extent cx="76200" cy="184150"/>
                      <wp:effectExtent l="0" t="0" r="19050" b="25400"/>
                      <wp:wrapNone/>
                      <wp:docPr id="81" name="Овал 81"/>
                      <wp:cNvGraphicFramePr/>
                      <a:graphic xmlns:a="http://schemas.openxmlformats.org/drawingml/2006/main">
                        <a:graphicData uri="http://schemas.microsoft.com/office/word/2010/wordprocessingShape">
                          <wps:wsp>
                            <wps:cNvSpPr/>
                            <wps:spPr>
                              <a:xfrm>
                                <a:off x="0" y="0"/>
                                <a:ext cx="76200" cy="18415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E8A1922" id="Овал 81" o:spid="_x0000_s1026" style="position:absolute;margin-left:62.3pt;margin-top:280.05pt;width:6pt;height:14.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" fillcolor="#5b9bd5" strokecolor="#41719c" strokeweight="1pt">
                      <v:stroke joinstyle="miter"/>
                    </v:oval>
                  </w:pict>
                </mc:Fallback>
              </mc:AlternateContent>
            </w:r>
            <w:r w:rsidRPr="002F4348">
              <w:rPr>
                <w:rFonts w:ascii="Calibri" w:eastAsia="Calibri" w:hAnsi="Calibri" w:cs="Times New Roman"/>
                <w:noProof/>
                <w:lang w:eastAsia="ru-RU"/>
              </w:rPr>
              <mc:AlternateContent>
                <mc:Choice Requires="wps">
                  <w:drawing>
                    <wp:anchor distT="0" distB="0" distL="114300" distR="114300" simplePos="0" relativeHeight="251710464" behindDoc="0" locked="0" layoutInCell="1" allowOverlap="1" wp14:anchorId="46B7308C" wp14:editId="7CCE4033">
                      <wp:simplePos x="0" y="0"/>
                      <wp:positionH relativeFrom="column">
                        <wp:posOffset>816610</wp:posOffset>
                      </wp:positionH>
                      <wp:positionV relativeFrom="paragraph">
                        <wp:posOffset>2781935</wp:posOffset>
                      </wp:positionV>
                      <wp:extent cx="77470" cy="139700"/>
                      <wp:effectExtent l="0" t="0" r="17780" b="12700"/>
                      <wp:wrapNone/>
                      <wp:docPr id="79" name="Овал 79"/>
                      <wp:cNvGraphicFramePr/>
                      <a:graphic xmlns:a="http://schemas.openxmlformats.org/drawingml/2006/main">
                        <a:graphicData uri="http://schemas.microsoft.com/office/word/2010/wordprocessingShape">
                          <wps:wsp>
                            <wps:cNvSpPr/>
                            <wps:spPr>
                              <a:xfrm flipV="1">
                                <a:off x="0" y="0"/>
                                <a:ext cx="77470" cy="13970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C7374E9" id="Овал 79" o:spid="_x0000_s1026" style="position:absolute;margin-left:64.3pt;margin-top:219.05pt;width:6.1pt;height:11pt;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" fillcolor="#5b9bd5" strokecolor="#41719c" strokeweight="1pt">
                      <v:stroke joinstyle="miter"/>
                    </v:oval>
                  </w:pict>
                </mc:Fallback>
              </mc:AlternateContent>
            </w:r>
            <w:r w:rsidRPr="002F4348">
              <w:rPr>
                <w:rFonts w:ascii="Calibri" w:eastAsia="Calibri" w:hAnsi="Calibri" w:cs="Times New Roman"/>
                <w:noProof/>
                <w:lang w:eastAsia="ru-RU"/>
              </w:rPr>
              <mc:AlternateContent>
                <mc:Choice Requires="wps">
                  <w:drawing>
                    <wp:anchor distT="0" distB="0" distL="114300" distR="114300" simplePos="0" relativeHeight="251709440" behindDoc="0" locked="0" layoutInCell="1" allowOverlap="1" wp14:anchorId="0F81E076" wp14:editId="048CD321">
                      <wp:simplePos x="0" y="0"/>
                      <wp:positionH relativeFrom="column">
                        <wp:posOffset>882650</wp:posOffset>
                      </wp:positionH>
                      <wp:positionV relativeFrom="paragraph">
                        <wp:posOffset>2435225</wp:posOffset>
                      </wp:positionV>
                      <wp:extent cx="76200" cy="95250"/>
                      <wp:effectExtent l="0" t="0" r="19050" b="19050"/>
                      <wp:wrapNone/>
                      <wp:docPr id="78" name="Овал 78"/>
                      <wp:cNvGraphicFramePr/>
                      <a:graphic xmlns:a="http://schemas.openxmlformats.org/drawingml/2006/main">
                        <a:graphicData uri="http://schemas.microsoft.com/office/word/2010/wordprocessingShape">
                          <wps:wsp>
                            <wps:cNvSpPr/>
                            <wps:spPr>
                              <a:xfrm flipV="1">
                                <a:off x="0" y="0"/>
                                <a:ext cx="76200" cy="9525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0AA6228" id="Овал 78" o:spid="_x0000_s1026" style="position:absolute;margin-left:69.5pt;margin-top:191.75pt;width:6pt;height:7.5pt;flip: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" fillcolor="#5b9bd5" strokecolor="#41719c" strokeweight="1pt">
                      <v:stroke joinstyle="miter"/>
                    </v:oval>
                  </w:pict>
                </mc:Fallback>
              </mc:AlternateContent>
            </w:r>
            <w:r w:rsidRPr="002F4348">
              <w:rPr>
                <w:rFonts w:ascii="Calibri" w:eastAsia="Calibri" w:hAnsi="Calibri" w:cs="Times New Roman"/>
                <w:noProof/>
                <w:lang w:eastAsia="ru-RU"/>
              </w:rPr>
              <mc:AlternateContent>
                <mc:Choice Requires="wps">
                  <w:drawing>
                    <wp:anchor distT="0" distB="0" distL="114300" distR="114300" simplePos="0" relativeHeight="251708416" behindDoc="0" locked="0" layoutInCell="1" allowOverlap="1" wp14:anchorId="298C5EAC" wp14:editId="0918C37B">
                      <wp:simplePos x="0" y="0"/>
                      <wp:positionH relativeFrom="column">
                        <wp:posOffset>1035050</wp:posOffset>
                      </wp:positionH>
                      <wp:positionV relativeFrom="paragraph">
                        <wp:posOffset>2373630</wp:posOffset>
                      </wp:positionV>
                      <wp:extent cx="76200" cy="95250"/>
                      <wp:effectExtent l="0" t="0" r="19050" b="19050"/>
                      <wp:wrapNone/>
                      <wp:docPr id="77" name="Овал 77"/>
                      <wp:cNvGraphicFramePr/>
                      <a:graphic xmlns:a="http://schemas.openxmlformats.org/drawingml/2006/main">
                        <a:graphicData uri="http://schemas.microsoft.com/office/word/2010/wordprocessingShape">
                          <wps:wsp>
                            <wps:cNvSpPr/>
                            <wps:spPr>
                              <a:xfrm flipV="1">
                                <a:off x="0" y="0"/>
                                <a:ext cx="76200" cy="9525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3BAD544" id="Овал 77" o:spid="_x0000_s1026" style="position:absolute;margin-left:81.5pt;margin-top:186.9pt;width:6pt;height:7.5pt;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" fillcolor="#5b9bd5" strokecolor="#41719c" strokeweight="1pt">
                      <v:stroke joinstyle="miter"/>
                    </v:oval>
                  </w:pict>
                </mc:Fallback>
              </mc:AlternateContent>
            </w:r>
            <w:r w:rsidRPr="002F4348">
              <w:rPr>
                <w:rFonts w:ascii="Calibri" w:eastAsia="Calibri" w:hAnsi="Calibri" w:cs="Times New Roman"/>
                <w:noProof/>
                <w:lang w:eastAsia="ru-RU"/>
              </w:rPr>
              <mc:AlternateContent>
                <mc:Choice Requires="wps">
                  <w:drawing>
                    <wp:anchor distT="0" distB="0" distL="114300" distR="114300" simplePos="0" relativeHeight="251707392" behindDoc="0" locked="0" layoutInCell="1" allowOverlap="1" wp14:anchorId="160FF4BE" wp14:editId="7D2CD331">
                      <wp:simplePos x="0" y="0"/>
                      <wp:positionH relativeFrom="column">
                        <wp:posOffset>969010</wp:posOffset>
                      </wp:positionH>
                      <wp:positionV relativeFrom="paragraph">
                        <wp:posOffset>686435</wp:posOffset>
                      </wp:positionV>
                      <wp:extent cx="76200" cy="95250"/>
                      <wp:effectExtent l="0" t="0" r="19050" b="19050"/>
                      <wp:wrapNone/>
                      <wp:docPr id="76" name="Овал 76"/>
                      <wp:cNvGraphicFramePr/>
                      <a:graphic xmlns:a="http://schemas.openxmlformats.org/drawingml/2006/main">
                        <a:graphicData uri="http://schemas.microsoft.com/office/word/2010/wordprocessingShape">
                          <wps:wsp>
                            <wps:cNvSpPr/>
                            <wps:spPr>
                              <a:xfrm flipV="1">
                                <a:off x="0" y="0"/>
                                <a:ext cx="76200" cy="952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BB17734" id="Овал 76" o:spid="_x0000_s1026" style="position:absolute;margin-left:76.3pt;margin-top:54.05pt;width:6pt;height:7.5pt;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" fillcolor="#5b9bd5 [3204]" strokecolor="#1f4d78 [1604]" strokeweight="1pt">
                      <v:stroke joinstyle="miter"/>
                    </v:oval>
                  </w:pict>
                </mc:Fallback>
              </mc:AlternateContent>
            </w:r>
            <w:r w:rsidRPr="002F4348">
              <w:rPr>
                <w:rFonts w:eastAsia="Times New Roman" w:cstheme="minorHAnsi"/>
                <w:noProof/>
                <w:sz w:val="28"/>
                <w:szCs w:val="28"/>
                <w:lang w:eastAsia="ru-RU"/>
              </w:rPr>
              <w:drawing>
                <wp:inline distT="0" distB="0" distL="0" distR="0" wp14:anchorId="3BAF0B84" wp14:editId="4559A596">
                  <wp:extent cx="1060335" cy="1473967"/>
                  <wp:effectExtent l="0" t="0" r="6985" b="0"/>
                  <wp:docPr id="31" name="Picture 3">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1C3DE40-DD1E-473B-942A-6E66476165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1C3DE40-DD1E-473B-942A-6E6647616552}"/>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182041" cy="1643150"/>
                          </a:xfrm>
                          <a:prstGeom prst="rect">
                            <a:avLst/>
                          </a:prstGeom>
                          <a:noFill/>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ffectLst>
                                  <a:outerShdw dist="35921" dir="2700000" algn="ctr" rotWithShape="0">
                                    <a:srgbClr val="808080"/>
                                  </a:outerShdw>
                                </a:effectLst>
                              </a14:hiddenEffects>
                            </a:ext>
                          </a:extLst>
                        </pic:spPr>
                      </pic:pic>
                    </a:graphicData>
                  </a:graphic>
                </wp:inline>
              </w:drawing>
            </w:r>
            <w:r w:rsidRPr="002F4348">
              <w:rPr>
                <w:rFonts w:eastAsia="Times New Roman" w:cstheme="minorHAnsi"/>
                <w:noProof/>
                <w:sz w:val="28"/>
                <w:szCs w:val="28"/>
                <w:lang w:eastAsia="ru-RU"/>
              </w:rPr>
              <w:drawing>
                <wp:inline distT="0" distB="0" distL="0" distR="0" wp14:anchorId="1B325525" wp14:editId="74F92443">
                  <wp:extent cx="1201387" cy="1670050"/>
                  <wp:effectExtent l="0" t="0" r="0" b="6350"/>
                  <wp:docPr id="32" name="Picture 3">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1C3DE40-DD1E-473B-942A-6E66476165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1C3DE40-DD1E-473B-942A-6E6647616552}"/>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301984" cy="1809890"/>
                          </a:xfrm>
                          <a:prstGeom prst="rect">
                            <a:avLst/>
                          </a:prstGeom>
                          <a:noFill/>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ffectLst>
                                  <a:outerShdw dist="35921" dir="2700000" algn="ctr" rotWithShape="0">
                                    <a:srgbClr val="808080"/>
                                  </a:outerShdw>
                                </a:effectLst>
                              </a14:hiddenEffects>
                            </a:ext>
                          </a:extLst>
                        </pic:spPr>
                      </pic:pic>
                    </a:graphicData>
                  </a:graphic>
                </wp:inline>
              </w:drawing>
            </w:r>
            <w:r w:rsidRPr="002F4348">
              <w:rPr>
                <w:rFonts w:eastAsia="Times New Roman" w:cstheme="minorHAnsi"/>
                <w:noProof/>
                <w:sz w:val="28"/>
                <w:szCs w:val="28"/>
                <w:lang w:eastAsia="ru-RU"/>
              </w:rPr>
              <w:drawing>
                <wp:inline distT="0" distB="0" distL="0" distR="0" wp14:anchorId="14F1048C" wp14:editId="7D48190A">
                  <wp:extent cx="1060450" cy="1474128"/>
                  <wp:effectExtent l="0" t="0" r="6350" b="0"/>
                  <wp:docPr id="33" name="Picture 3">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1C3DE40-DD1E-473B-942A-6E66476165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1C3DE40-DD1E-473B-942A-6E6647616552}"/>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174290" cy="1632376"/>
                          </a:xfrm>
                          <a:prstGeom prst="rect">
                            <a:avLst/>
                          </a:prstGeom>
                          <a:noFill/>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ffectLst>
                                  <a:outerShdw dist="35921" dir="2700000" algn="ctr" rotWithShape="0">
                                    <a:srgbClr val="808080"/>
                                  </a:outerShdw>
                                </a:effectLst>
                              </a14:hiddenEffects>
                            </a:ext>
                          </a:extLst>
                        </pic:spPr>
                      </pic:pic>
                    </a:graphicData>
                  </a:graphic>
                </wp:inline>
              </w:drawing>
            </w:r>
          </w:p>
        </w:tc>
      </w:tr>
      <w:tr w:rsidR="002C7010" w:rsidRPr="002F4348" w14:paraId="47C700E1" w14:textId="77777777" w:rsidTr="003007A6">
        <w:tc>
          <w:tcPr>
            <w:tcW w:w="623" w:type="pct"/>
          </w:tcPr>
          <w:p w14:paraId="76E35075" w14:textId="77777777" w:rsidR="002C7010" w:rsidRPr="002F4348" w:rsidRDefault="002C7010" w:rsidP="002C7010">
            <w:pPr>
              <w:ind w:firstLine="0"/>
              <w:rPr>
                <w:rFonts w:eastAsia="Calibri" w:cs="Times New Roman"/>
                <w:lang w:val="en-US"/>
              </w:rPr>
            </w:pPr>
            <w:r w:rsidRPr="002F4348">
              <w:rPr>
                <w:rFonts w:eastAsia="Calibri" w:cs="Times New Roman"/>
              </w:rPr>
              <w:t>Х</w:t>
            </w:r>
            <w:r w:rsidRPr="009D018C">
              <w:rPr>
                <w:rStyle w:val="af4"/>
              </w:rPr>
              <w:footnoteReference w:id="8"/>
            </w:r>
          </w:p>
        </w:tc>
        <w:tc>
          <w:tcPr>
            <w:tcW w:w="2206" w:type="pct"/>
          </w:tcPr>
          <w:p w14:paraId="099289E0" w14:textId="77777777" w:rsidR="002C7010" w:rsidRPr="002F4348" w:rsidRDefault="002C7010" w:rsidP="00B153FC">
            <w:pPr>
              <w:numPr>
                <w:ilvl w:val="0"/>
                <w:numId w:val="30"/>
              </w:numPr>
              <w:spacing w:line="288" w:lineRule="auto"/>
              <w:contextualSpacing/>
              <w:jc w:val="left"/>
              <w:rPr>
                <w:rFonts w:eastAsia="Calibri" w:cs="Times New Roman"/>
              </w:rPr>
            </w:pPr>
            <w:r w:rsidRPr="002F4348">
              <w:rPr>
                <w:rFonts w:eastAsia="Calibri" w:cs="Times New Roman"/>
              </w:rPr>
              <w:t>Массивное (</w:t>
            </w:r>
            <w:r w:rsidRPr="002F4348">
              <w:rPr>
                <w:rFonts w:eastAsia="Calibri" w:cs="Times New Roman"/>
                <w:lang w:val="en-US"/>
              </w:rPr>
              <w:t>bulky</w:t>
            </w:r>
            <w:r w:rsidRPr="002F4348">
              <w:rPr>
                <w:rFonts w:eastAsia="Calibri" w:cs="Times New Roman"/>
              </w:rPr>
              <w:t>) опухолевое поражение – очаг более 10 см в диаметре или медиастинально-торакальный индекс</w:t>
            </w:r>
            <w:r w:rsidRPr="009D018C">
              <w:rPr>
                <w:rStyle w:val="af4"/>
              </w:rPr>
              <w:footnoteReference w:id="9"/>
            </w:r>
            <w:r w:rsidRPr="002F4348">
              <w:rPr>
                <w:rFonts w:eastAsia="Calibri" w:cs="Times New Roman"/>
              </w:rPr>
              <w:t xml:space="preserve"> более 1/3</w:t>
            </w:r>
          </w:p>
        </w:tc>
        <w:tc>
          <w:tcPr>
            <w:tcW w:w="2171" w:type="pct"/>
          </w:tcPr>
          <w:p w14:paraId="55C0031B" w14:textId="77777777" w:rsidR="002C7010" w:rsidRPr="002F4348" w:rsidRDefault="002C7010" w:rsidP="002C7010">
            <w:pPr>
              <w:ind w:left="360" w:firstLine="0"/>
              <w:contextualSpacing/>
              <w:rPr>
                <w:rFonts w:ascii="Calibri" w:eastAsia="Calibri" w:hAnsi="Calibri" w:cs="Times New Roman"/>
              </w:rPr>
            </w:pPr>
            <w:r w:rsidRPr="002F4348">
              <w:rPr>
                <w:rFonts w:ascii="Calibri" w:eastAsia="Times New Roman" w:hAnsi="Calibri" w:cs="Calibri"/>
                <w:noProof/>
                <w:lang w:eastAsia="ru-RU"/>
              </w:rPr>
              <w:drawing>
                <wp:anchor distT="0" distB="0" distL="114300" distR="114300" simplePos="0" relativeHeight="251717632" behindDoc="0" locked="0" layoutInCell="1" allowOverlap="1" wp14:anchorId="51F59EF3" wp14:editId="56DFB61B">
                  <wp:simplePos x="0" y="0"/>
                  <wp:positionH relativeFrom="column">
                    <wp:posOffset>576580</wp:posOffset>
                  </wp:positionH>
                  <wp:positionV relativeFrom="paragraph">
                    <wp:posOffset>294640</wp:posOffset>
                  </wp:positionV>
                  <wp:extent cx="408305" cy="219710"/>
                  <wp:effectExtent l="0" t="0" r="0" b="8890"/>
                  <wp:wrapNone/>
                  <wp:docPr id="14348" name="Рисунок 14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8305" cy="219710"/>
                          </a:xfrm>
                          <a:prstGeom prst="rect">
                            <a:avLst/>
                          </a:prstGeom>
                          <a:noFill/>
                        </pic:spPr>
                      </pic:pic>
                    </a:graphicData>
                  </a:graphic>
                  <wp14:sizeRelV relativeFrom="margin">
                    <wp14:pctHeight>0</wp14:pctHeight>
                  </wp14:sizeRelV>
                </wp:anchor>
              </w:drawing>
            </w:r>
            <w:r w:rsidRPr="002F4348">
              <w:rPr>
                <w:rFonts w:eastAsia="Times New Roman" w:cstheme="minorHAnsi"/>
                <w:noProof/>
                <w:sz w:val="28"/>
                <w:szCs w:val="28"/>
                <w:lang w:eastAsia="ru-RU"/>
              </w:rPr>
              <w:drawing>
                <wp:inline distT="0" distB="0" distL="0" distR="0" wp14:anchorId="5F59FDE0" wp14:editId="1A6D72F0">
                  <wp:extent cx="1007249" cy="1400175"/>
                  <wp:effectExtent l="0" t="0" r="2540" b="0"/>
                  <wp:docPr id="36" name="Picture 3">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1C3DE40-DD1E-473B-942A-6E66476165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1C3DE40-DD1E-473B-942A-6E6647616552}"/>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073850" cy="1492757"/>
                          </a:xfrm>
                          <a:prstGeom prst="rect">
                            <a:avLst/>
                          </a:prstGeom>
                          <a:noFill/>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ffectLst>
                                  <a:outerShdw dist="35921" dir="2700000" algn="ctr" rotWithShape="0">
                                    <a:srgbClr val="808080"/>
                                  </a:outerShdw>
                                </a:effectLst>
                              </a14:hiddenEffects>
                            </a:ext>
                          </a:extLst>
                        </pic:spPr>
                      </pic:pic>
                    </a:graphicData>
                  </a:graphic>
                </wp:inline>
              </w:drawing>
            </w:r>
          </w:p>
          <w:p w14:paraId="42440D82" w14:textId="77777777" w:rsidR="002C7010" w:rsidRPr="002F4348" w:rsidRDefault="002C7010" w:rsidP="002C7010">
            <w:pPr>
              <w:ind w:left="360" w:firstLine="0"/>
              <w:contextualSpacing/>
              <w:rPr>
                <w:rFonts w:ascii="Calibri" w:eastAsia="Calibri" w:hAnsi="Calibri" w:cs="Times New Roman"/>
              </w:rPr>
            </w:pPr>
            <w:r w:rsidRPr="002F4348">
              <w:rPr>
                <w:rFonts w:ascii="Calibri" w:eastAsia="Times New Roman" w:hAnsi="Calibri" w:cs="Calibri"/>
                <w:noProof/>
                <w:lang w:eastAsia="ru-RU"/>
              </w:rPr>
              <w:drawing>
                <wp:anchor distT="0" distB="0" distL="114300" distR="114300" simplePos="0" relativeHeight="251718656" behindDoc="0" locked="0" layoutInCell="1" allowOverlap="1" wp14:anchorId="73DF1EA0" wp14:editId="51A6DE3B">
                  <wp:simplePos x="0" y="0"/>
                  <wp:positionH relativeFrom="column">
                    <wp:posOffset>492760</wp:posOffset>
                  </wp:positionH>
                  <wp:positionV relativeFrom="paragraph">
                    <wp:posOffset>178447</wp:posOffset>
                  </wp:positionV>
                  <wp:extent cx="533400" cy="443218"/>
                  <wp:effectExtent l="0" t="0" r="0" b="0"/>
                  <wp:wrapNone/>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5157" cy="444678"/>
                          </a:xfrm>
                          <a:prstGeom prst="rect">
                            <a:avLst/>
                          </a:prstGeom>
                          <a:noFill/>
                        </pic:spPr>
                      </pic:pic>
                    </a:graphicData>
                  </a:graphic>
                  <wp14:sizeRelH relativeFrom="margin">
                    <wp14:pctWidth>0</wp14:pctWidth>
                  </wp14:sizeRelH>
                  <wp14:sizeRelV relativeFrom="margin">
                    <wp14:pctHeight>0</wp14:pctHeight>
                  </wp14:sizeRelV>
                </wp:anchor>
              </w:drawing>
            </w:r>
            <w:r w:rsidRPr="002F4348">
              <w:rPr>
                <w:rFonts w:eastAsia="Times New Roman" w:cstheme="minorHAnsi"/>
                <w:noProof/>
                <w:sz w:val="28"/>
                <w:szCs w:val="28"/>
                <w:lang w:eastAsia="ru-RU"/>
              </w:rPr>
              <w:drawing>
                <wp:inline distT="0" distB="0" distL="0" distR="0" wp14:anchorId="09A84BE3" wp14:editId="1873FDC3">
                  <wp:extent cx="952432" cy="1323975"/>
                  <wp:effectExtent l="0" t="0" r="635" b="0"/>
                  <wp:docPr id="37" name="Picture 3">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1C3DE40-DD1E-473B-942A-6E66476165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1C3DE40-DD1E-473B-942A-6E6647616552}"/>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008656" cy="1402133"/>
                          </a:xfrm>
                          <a:prstGeom prst="rect">
                            <a:avLst/>
                          </a:prstGeom>
                          <a:noFill/>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ffectLst>
                                  <a:outerShdw dist="35921" dir="2700000" algn="ctr" rotWithShape="0">
                                    <a:srgbClr val="808080"/>
                                  </a:outerShdw>
                                </a:effectLst>
                              </a14:hiddenEffects>
                            </a:ext>
                          </a:extLst>
                        </pic:spPr>
                      </pic:pic>
                    </a:graphicData>
                  </a:graphic>
                </wp:inline>
              </w:drawing>
            </w:r>
          </w:p>
        </w:tc>
      </w:tr>
    </w:tbl>
    <w:p w14:paraId="38798A9C" w14:textId="77777777" w:rsidR="002C7010" w:rsidRPr="002F4348" w:rsidRDefault="002C7010" w:rsidP="002C7010">
      <w:pPr>
        <w:rPr>
          <w:rFonts w:ascii="Calibri" w:eastAsia="Calibri" w:hAnsi="Calibri" w:cs="Times New Roman"/>
        </w:rPr>
      </w:pPr>
    </w:p>
    <w:p w14:paraId="29C75877" w14:textId="77777777" w:rsidR="00A54C2B" w:rsidRPr="002F4348" w:rsidRDefault="00A54C2B" w:rsidP="00A54C2B">
      <w:pPr>
        <w:ind w:firstLine="567"/>
        <w:rPr>
          <w:rFonts w:eastAsia="Calibri" w:cs="Times New Roman"/>
        </w:rPr>
      </w:pPr>
      <w:r w:rsidRPr="002F4348">
        <w:rPr>
          <w:rFonts w:eastAsia="Times New Roman" w:cs="Times New Roman"/>
          <w:lang w:eastAsia="ru-RU"/>
        </w:rPr>
        <w:t xml:space="preserve">При установлении стадии лимфомы по критериям классификации </w:t>
      </w:r>
      <w:r w:rsidRPr="002F4348">
        <w:rPr>
          <w:rFonts w:eastAsia="Calibri" w:cs="Times New Roman"/>
          <w:lang w:val="en-US"/>
        </w:rPr>
        <w:t>Ann</w:t>
      </w:r>
      <w:r w:rsidRPr="002F4348">
        <w:rPr>
          <w:rFonts w:eastAsia="Calibri" w:cs="Times New Roman"/>
        </w:rPr>
        <w:t xml:space="preserve"> </w:t>
      </w:r>
      <w:r w:rsidRPr="002F4348">
        <w:rPr>
          <w:rFonts w:eastAsia="Calibri" w:cs="Times New Roman"/>
          <w:lang w:val="en-US"/>
        </w:rPr>
        <w:t>Arbor</w:t>
      </w:r>
      <w:r w:rsidRPr="002F4348">
        <w:rPr>
          <w:rFonts w:eastAsia="Calibri" w:cs="Times New Roman"/>
        </w:rPr>
        <w:t xml:space="preserve"> используется понятие «зона» (</w:t>
      </w:r>
      <w:r w:rsidRPr="002F4348">
        <w:rPr>
          <w:rFonts w:eastAsia="Calibri" w:cs="Times New Roman"/>
          <w:lang w:val="en-US"/>
        </w:rPr>
        <w:t>zone</w:t>
      </w:r>
      <w:r w:rsidRPr="002F4348">
        <w:rPr>
          <w:rFonts w:eastAsia="Calibri" w:cs="Times New Roman"/>
        </w:rPr>
        <w:t xml:space="preserve">) – рис </w:t>
      </w:r>
      <w:r w:rsidR="00C6417C" w:rsidRPr="002F4348">
        <w:rPr>
          <w:rFonts w:eastAsia="Calibri" w:cs="Times New Roman"/>
        </w:rPr>
        <w:t>7.</w:t>
      </w:r>
      <w:r w:rsidR="0064071E" w:rsidRPr="002F4348">
        <w:rPr>
          <w:rFonts w:eastAsia="Calibri" w:cs="Times New Roman"/>
        </w:rPr>
        <w:t>3</w:t>
      </w:r>
      <w:r w:rsidR="00C6417C" w:rsidRPr="002F4348">
        <w:rPr>
          <w:rFonts w:eastAsia="Calibri" w:cs="Times New Roman"/>
        </w:rPr>
        <w:t>.1</w:t>
      </w:r>
    </w:p>
    <w:p w14:paraId="5F99A63E" w14:textId="77777777" w:rsidR="00A54C2B" w:rsidRPr="002F4348" w:rsidRDefault="00A54C2B" w:rsidP="00A54C2B">
      <w:pPr>
        <w:jc w:val="right"/>
        <w:rPr>
          <w:rFonts w:eastAsia="Times New Roman" w:cs="Times New Roman"/>
          <w:lang w:eastAsia="ru-RU"/>
        </w:rPr>
      </w:pPr>
      <w:r w:rsidRPr="002F4348">
        <w:rPr>
          <w:rFonts w:eastAsia="Times New Roman" w:cs="Times New Roman"/>
          <w:lang w:eastAsia="ru-RU"/>
        </w:rPr>
        <w:t xml:space="preserve">Рисунок </w:t>
      </w:r>
      <w:r w:rsidR="00C6417C" w:rsidRPr="002F4348">
        <w:rPr>
          <w:rFonts w:eastAsia="Times New Roman" w:cs="Times New Roman"/>
          <w:lang w:eastAsia="ru-RU"/>
        </w:rPr>
        <w:t>7.</w:t>
      </w:r>
      <w:r w:rsidR="0064071E" w:rsidRPr="002F4348">
        <w:rPr>
          <w:rFonts w:eastAsia="Times New Roman" w:cs="Times New Roman"/>
          <w:lang w:eastAsia="ru-RU"/>
        </w:rPr>
        <w:t>3</w:t>
      </w:r>
      <w:r w:rsidR="00C6417C" w:rsidRPr="002F4348">
        <w:rPr>
          <w:rFonts w:eastAsia="Times New Roman" w:cs="Times New Roman"/>
          <w:lang w:eastAsia="ru-RU"/>
        </w:rPr>
        <w:t>.1</w:t>
      </w:r>
    </w:p>
    <w:p w14:paraId="248B90A3" w14:textId="77777777" w:rsidR="00A54C2B" w:rsidRPr="002F4348" w:rsidRDefault="00A54C2B" w:rsidP="00A54C2B">
      <w:pPr>
        <w:spacing w:before="100" w:beforeAutospacing="1" w:after="100" w:afterAutospacing="1"/>
        <w:jc w:val="center"/>
        <w:rPr>
          <w:rFonts w:eastAsia="Times New Roman" w:cs="Times New Roman"/>
          <w:lang w:eastAsia="ru-RU"/>
        </w:rPr>
      </w:pPr>
      <w:r w:rsidRPr="002F4348">
        <w:rPr>
          <w:rFonts w:eastAsia="Times New Roman" w:cs="Times New Roman"/>
          <w:lang w:eastAsia="ru-RU"/>
        </w:rPr>
        <w:t>Лимфатические зоны</w:t>
      </w:r>
    </w:p>
    <w:p w14:paraId="19387736" w14:textId="77777777" w:rsidR="00A54C2B" w:rsidRPr="002F4348" w:rsidRDefault="00A54C2B" w:rsidP="002C7010">
      <w:pPr>
        <w:rPr>
          <w:rFonts w:ascii="Calibri" w:eastAsia="Calibri" w:hAnsi="Calibri" w:cs="Times New Roman"/>
        </w:rPr>
      </w:pPr>
      <w:r w:rsidRPr="002F4348">
        <w:rPr>
          <w:noProof/>
          <w:lang w:eastAsia="ru-RU"/>
        </w:rPr>
        <w:drawing>
          <wp:inline distT="0" distB="0" distL="0" distR="0" wp14:anchorId="34DAE174" wp14:editId="4C080125">
            <wp:extent cx="4381500" cy="5120878"/>
            <wp:effectExtent l="0" t="0" r="0" b="3810"/>
            <wp:docPr id="14349" name="Рисунок 14349" descr="Картинки по запросу лимфатические зо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лимфатические зоны"/>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88861" cy="5129481"/>
                    </a:xfrm>
                    <a:prstGeom prst="rect">
                      <a:avLst/>
                    </a:prstGeom>
                    <a:noFill/>
                    <a:ln>
                      <a:noFill/>
                    </a:ln>
                  </pic:spPr>
                </pic:pic>
              </a:graphicData>
            </a:graphic>
          </wp:inline>
        </w:drawing>
      </w:r>
    </w:p>
    <w:p w14:paraId="26421CB9" w14:textId="77777777" w:rsidR="00A54C2B" w:rsidRPr="002F4348" w:rsidRDefault="00A54C2B" w:rsidP="002C7010">
      <w:pPr>
        <w:rPr>
          <w:rFonts w:ascii="Calibri" w:eastAsia="Calibri" w:hAnsi="Calibri" w:cs="Times New Roman"/>
        </w:rPr>
      </w:pPr>
    </w:p>
    <w:p w14:paraId="5154B155" w14:textId="77777777" w:rsidR="00A54C2B" w:rsidRPr="002F4348" w:rsidRDefault="00A54C2B" w:rsidP="00A54C2B">
      <w:pPr>
        <w:ind w:firstLine="567"/>
        <w:rPr>
          <w:bCs/>
          <w:lang w:eastAsia="ru-RU"/>
        </w:rPr>
      </w:pPr>
      <w:r w:rsidRPr="002F4348">
        <w:rPr>
          <w:bCs/>
          <w:lang w:eastAsia="ru-RU"/>
        </w:rPr>
        <w:t xml:space="preserve">После завершения стадирования </w:t>
      </w:r>
      <w:r w:rsidR="00035320" w:rsidRPr="002F4348">
        <w:rPr>
          <w:bCs/>
          <w:lang w:eastAsia="ru-RU"/>
        </w:rPr>
        <w:t xml:space="preserve">пациент </w:t>
      </w:r>
      <w:r w:rsidRPr="002F4348">
        <w:rPr>
          <w:bCs/>
          <w:lang w:eastAsia="ru-RU"/>
        </w:rPr>
        <w:t xml:space="preserve">должен быть отнесен к одной из прогностических групп: ранние стадии с благоприятным прогнозом, ранние стадии с неблагоприятным прогнозом и распространенные стадии (табл. </w:t>
      </w:r>
      <w:r w:rsidR="00C6417C" w:rsidRPr="002F4348">
        <w:rPr>
          <w:bCs/>
          <w:lang w:eastAsia="ru-RU"/>
        </w:rPr>
        <w:t>7.</w:t>
      </w:r>
      <w:r w:rsidR="0064071E" w:rsidRPr="002F4348">
        <w:rPr>
          <w:bCs/>
          <w:lang w:eastAsia="ru-RU"/>
        </w:rPr>
        <w:t>3</w:t>
      </w:r>
      <w:r w:rsidR="00C6417C" w:rsidRPr="002F4348">
        <w:rPr>
          <w:bCs/>
          <w:lang w:eastAsia="ru-RU"/>
        </w:rPr>
        <w:t>.2</w:t>
      </w:r>
      <w:r w:rsidR="00DD28C7" w:rsidRPr="002F4348">
        <w:rPr>
          <w:bCs/>
          <w:lang w:eastAsia="ru-RU"/>
        </w:rPr>
        <w:t>, 7.</w:t>
      </w:r>
      <w:r w:rsidR="0064071E" w:rsidRPr="002F4348">
        <w:rPr>
          <w:bCs/>
          <w:lang w:eastAsia="ru-RU"/>
        </w:rPr>
        <w:t>3</w:t>
      </w:r>
      <w:r w:rsidR="00DD28C7" w:rsidRPr="002F4348">
        <w:rPr>
          <w:bCs/>
          <w:lang w:eastAsia="ru-RU"/>
        </w:rPr>
        <w:t>.3</w:t>
      </w:r>
      <w:r w:rsidRPr="002F4348">
        <w:rPr>
          <w:bCs/>
          <w:lang w:eastAsia="ru-RU"/>
        </w:rPr>
        <w:t>) согласно критериям Немецкой группы по изучению ЛХ (</w:t>
      </w:r>
      <w:r w:rsidRPr="002F4348">
        <w:rPr>
          <w:bCs/>
          <w:lang w:val="en-US" w:eastAsia="ru-RU"/>
        </w:rPr>
        <w:t>GHSG</w:t>
      </w:r>
      <w:r w:rsidRPr="002F4348">
        <w:rPr>
          <w:bCs/>
          <w:lang w:eastAsia="ru-RU"/>
        </w:rPr>
        <w:t xml:space="preserve">). В группе </w:t>
      </w:r>
      <w:r w:rsidR="00035320" w:rsidRPr="002F4348">
        <w:rPr>
          <w:bCs/>
          <w:lang w:eastAsia="ru-RU"/>
        </w:rPr>
        <w:t xml:space="preserve">пациентов </w:t>
      </w:r>
      <w:r w:rsidRPr="002F4348">
        <w:rPr>
          <w:bCs/>
          <w:lang w:eastAsia="ru-RU"/>
        </w:rPr>
        <w:t xml:space="preserve">с распространенными стадиями для выбора терапии может использоваться также международный прогностический индекс (МПИ; табл. </w:t>
      </w:r>
      <w:r w:rsidR="0064071E" w:rsidRPr="002F4348">
        <w:rPr>
          <w:bCs/>
          <w:lang w:eastAsia="ru-RU"/>
        </w:rPr>
        <w:t>7.3.4</w:t>
      </w:r>
      <w:r w:rsidRPr="002F4348">
        <w:rPr>
          <w:bCs/>
          <w:lang w:eastAsia="ru-RU"/>
        </w:rPr>
        <w:t>).</w:t>
      </w:r>
    </w:p>
    <w:p w14:paraId="3923F8B3" w14:textId="77777777" w:rsidR="00A54C2B" w:rsidRPr="002F4348" w:rsidRDefault="00A54C2B" w:rsidP="00A54C2B">
      <w:pPr>
        <w:jc w:val="right"/>
        <w:rPr>
          <w:lang w:eastAsia="ru-RU"/>
        </w:rPr>
      </w:pPr>
      <w:r w:rsidRPr="002F4348">
        <w:rPr>
          <w:lang w:eastAsia="ru-RU"/>
        </w:rPr>
        <w:t xml:space="preserve">Таблица </w:t>
      </w:r>
      <w:r w:rsidR="00C6417C" w:rsidRPr="002F4348">
        <w:rPr>
          <w:lang w:eastAsia="ru-RU"/>
        </w:rPr>
        <w:t>7.</w:t>
      </w:r>
      <w:r w:rsidR="0064071E" w:rsidRPr="002F4348">
        <w:rPr>
          <w:lang w:eastAsia="ru-RU"/>
        </w:rPr>
        <w:t>3</w:t>
      </w:r>
      <w:r w:rsidR="00C6417C" w:rsidRPr="002F4348">
        <w:rPr>
          <w:lang w:eastAsia="ru-RU"/>
        </w:rPr>
        <w:t>.2</w:t>
      </w:r>
    </w:p>
    <w:p w14:paraId="3408B74E" w14:textId="77777777" w:rsidR="00DD28C7" w:rsidRPr="002F4348" w:rsidRDefault="00A54C2B" w:rsidP="00DF14AA">
      <w:pPr>
        <w:ind w:firstLine="0"/>
        <w:rPr>
          <w:lang w:eastAsia="ru-RU"/>
        </w:rPr>
      </w:pPr>
      <w:r w:rsidRPr="002F4348">
        <w:rPr>
          <w:lang w:eastAsia="ru-RU"/>
        </w:rPr>
        <w:t>Прогностические группы при лимфоме Ходжкина</w:t>
      </w:r>
      <w:r w:rsidR="00DD28C7" w:rsidRPr="002F4348">
        <w:rPr>
          <w:lang w:eastAsia="ru-RU"/>
        </w:rPr>
        <w:t xml:space="preserve"> для пациентов старше 18 лет</w:t>
      </w:r>
    </w:p>
    <w:p w14:paraId="4D6D01BA" w14:textId="77777777" w:rsidR="00A54C2B" w:rsidRPr="002F4348" w:rsidRDefault="00A54C2B" w:rsidP="00DF14AA">
      <w:pPr>
        <w:ind w:firstLine="0"/>
        <w:rPr>
          <w:lang w:eastAsia="ru-RU"/>
        </w:rPr>
      </w:pPr>
      <w:r w:rsidRPr="002F4348">
        <w:rPr>
          <w:lang w:eastAsia="ru-RU"/>
        </w:rPr>
        <w:t xml:space="preserve">Схема определения прогностической группы и выбора терапии по критериям </w:t>
      </w:r>
      <w:r w:rsidRPr="002F4348">
        <w:rPr>
          <w:lang w:val="en-US" w:eastAsia="ru-RU"/>
        </w:rPr>
        <w:t>GHSG</w:t>
      </w:r>
      <w:r w:rsidRPr="002F4348">
        <w:rPr>
          <w:lang w:eastAsia="ru-RU"/>
        </w:rPr>
        <w:t>.</w:t>
      </w:r>
    </w:p>
    <w:tbl>
      <w:tblPr>
        <w:tblStyle w:val="-11"/>
        <w:tblpPr w:leftFromText="180" w:rightFromText="180" w:vertAnchor="text" w:horzAnchor="margin" w:tblpXSpec="center" w:tblpYSpec="inside"/>
        <w:tblW w:w="9005" w:type="dxa"/>
        <w:tblLayout w:type="fixed"/>
        <w:tblLook w:val="0420" w:firstRow="1" w:lastRow="0" w:firstColumn="0" w:lastColumn="0" w:noHBand="0" w:noVBand="1"/>
      </w:tblPr>
      <w:tblGrid>
        <w:gridCol w:w="2491"/>
        <w:gridCol w:w="2295"/>
        <w:gridCol w:w="1276"/>
        <w:gridCol w:w="1597"/>
        <w:gridCol w:w="1346"/>
      </w:tblGrid>
      <w:tr w:rsidR="00DD28C7" w:rsidRPr="002F4348" w14:paraId="4DBA1427" w14:textId="77777777" w:rsidTr="00DF14AA">
        <w:trPr>
          <w:cnfStyle w:val="100000000000" w:firstRow="1" w:lastRow="0" w:firstColumn="0" w:lastColumn="0" w:oddVBand="0" w:evenVBand="0" w:oddHBand="0" w:evenHBand="0" w:firstRowFirstColumn="0" w:firstRowLastColumn="0" w:lastRowFirstColumn="0" w:lastRowLastColumn="0"/>
          <w:trHeight w:val="615"/>
        </w:trPr>
        <w:tc>
          <w:tcPr>
            <w:tcW w:w="2491" w:type="dxa"/>
            <w:vMerge w:val="restart"/>
            <w:vAlign w:val="center"/>
          </w:tcPr>
          <w:p w14:paraId="69E826F7" w14:textId="77777777" w:rsidR="00A54C2B" w:rsidRPr="002F4348" w:rsidRDefault="00A54C2B" w:rsidP="00DF14AA">
            <w:pPr>
              <w:ind w:right="596" w:firstLine="0"/>
              <w:jc w:val="left"/>
              <w:rPr>
                <w:rFonts w:cstheme="minorHAnsi"/>
                <w:lang w:eastAsia="ru-RU"/>
              </w:rPr>
            </w:pPr>
            <w:r w:rsidRPr="002F4348">
              <w:rPr>
                <w:rFonts w:cstheme="minorHAnsi"/>
                <w:lang w:eastAsia="ru-RU"/>
              </w:rPr>
              <w:t xml:space="preserve">Факторы риска по критериям </w:t>
            </w:r>
            <w:r w:rsidRPr="002F4348">
              <w:rPr>
                <w:rFonts w:cstheme="minorHAnsi"/>
                <w:lang w:val="en-US" w:eastAsia="ru-RU"/>
              </w:rPr>
              <w:t>GHSG</w:t>
            </w:r>
          </w:p>
        </w:tc>
        <w:tc>
          <w:tcPr>
            <w:tcW w:w="6514" w:type="dxa"/>
            <w:gridSpan w:val="4"/>
            <w:tcBorders>
              <w:bottom w:val="single" w:sz="6" w:space="0" w:color="auto"/>
            </w:tcBorders>
            <w:vAlign w:val="center"/>
          </w:tcPr>
          <w:p w14:paraId="0A2BCF3D" w14:textId="77777777" w:rsidR="00A54C2B" w:rsidRPr="002F4348" w:rsidRDefault="00A54C2B" w:rsidP="00DF14AA">
            <w:pPr>
              <w:ind w:right="596" w:firstLine="0"/>
              <w:jc w:val="center"/>
              <w:rPr>
                <w:rFonts w:cstheme="minorHAnsi"/>
                <w:lang w:val="en-US" w:eastAsia="ru-RU"/>
              </w:rPr>
            </w:pPr>
            <w:r w:rsidRPr="002F4348">
              <w:rPr>
                <w:rFonts w:cstheme="minorHAnsi"/>
                <w:lang w:eastAsia="ru-RU"/>
              </w:rPr>
              <w:t>Стадия (</w:t>
            </w:r>
            <w:r w:rsidRPr="002F4348">
              <w:rPr>
                <w:rFonts w:cstheme="minorHAnsi"/>
                <w:lang w:val="en-US" w:eastAsia="ru-RU"/>
              </w:rPr>
              <w:t>Ann Arbor)</w:t>
            </w:r>
          </w:p>
        </w:tc>
      </w:tr>
      <w:tr w:rsidR="00DD28C7" w:rsidRPr="002F4348" w14:paraId="659CD5C7" w14:textId="77777777" w:rsidTr="00DF14AA">
        <w:trPr>
          <w:trHeight w:val="968"/>
        </w:trPr>
        <w:tc>
          <w:tcPr>
            <w:tcW w:w="0" w:type="dxa"/>
            <w:vMerge/>
            <w:vAlign w:val="center"/>
          </w:tcPr>
          <w:p w14:paraId="76A3F076" w14:textId="77777777" w:rsidR="00A54C2B" w:rsidRPr="002F4348" w:rsidRDefault="00A54C2B" w:rsidP="00DF14AA">
            <w:pPr>
              <w:ind w:right="596" w:firstLine="0"/>
              <w:rPr>
                <w:rFonts w:cstheme="minorHAnsi"/>
                <w:lang w:eastAsia="ru-RU"/>
              </w:rPr>
            </w:pPr>
          </w:p>
        </w:tc>
        <w:tc>
          <w:tcPr>
            <w:tcW w:w="2295" w:type="dxa"/>
            <w:tcBorders>
              <w:top w:val="single" w:sz="4" w:space="0" w:color="auto"/>
            </w:tcBorders>
            <w:vAlign w:val="center"/>
          </w:tcPr>
          <w:p w14:paraId="0A4CC5F9" w14:textId="77777777" w:rsidR="00A54C2B" w:rsidRPr="002F4348" w:rsidRDefault="00A54C2B" w:rsidP="00DF14AA">
            <w:pPr>
              <w:ind w:right="596" w:firstLine="0"/>
              <w:jc w:val="center"/>
              <w:rPr>
                <w:rFonts w:cstheme="minorHAnsi"/>
                <w:b/>
                <w:lang w:val="en-US" w:eastAsia="ru-RU"/>
              </w:rPr>
            </w:pPr>
            <w:r w:rsidRPr="002F4348">
              <w:rPr>
                <w:rFonts w:cstheme="minorHAnsi"/>
                <w:b/>
                <w:lang w:val="en-US" w:eastAsia="ru-RU"/>
              </w:rPr>
              <w:t>IA, IB, IIA</w:t>
            </w:r>
          </w:p>
        </w:tc>
        <w:tc>
          <w:tcPr>
            <w:tcW w:w="1276" w:type="dxa"/>
            <w:tcBorders>
              <w:top w:val="single" w:sz="6" w:space="0" w:color="auto"/>
            </w:tcBorders>
            <w:vAlign w:val="center"/>
          </w:tcPr>
          <w:p w14:paraId="3E539289" w14:textId="77777777" w:rsidR="00A54C2B" w:rsidRPr="002F4348" w:rsidRDefault="00A54C2B" w:rsidP="00DF14AA">
            <w:pPr>
              <w:ind w:right="596" w:firstLine="0"/>
              <w:jc w:val="center"/>
              <w:rPr>
                <w:rFonts w:cstheme="minorHAnsi"/>
                <w:b/>
                <w:lang w:val="en-US" w:eastAsia="ru-RU"/>
              </w:rPr>
            </w:pPr>
            <w:r w:rsidRPr="002F4348">
              <w:rPr>
                <w:rFonts w:cstheme="minorHAnsi"/>
                <w:b/>
                <w:lang w:val="en-US" w:eastAsia="ru-RU"/>
              </w:rPr>
              <w:t>IIB</w:t>
            </w:r>
          </w:p>
        </w:tc>
        <w:tc>
          <w:tcPr>
            <w:tcW w:w="1597" w:type="dxa"/>
            <w:tcBorders>
              <w:top w:val="single" w:sz="6" w:space="0" w:color="auto"/>
            </w:tcBorders>
            <w:vAlign w:val="center"/>
          </w:tcPr>
          <w:p w14:paraId="27296AA3" w14:textId="77777777" w:rsidR="00A54C2B" w:rsidRPr="002F4348" w:rsidRDefault="00A54C2B" w:rsidP="00DF14AA">
            <w:pPr>
              <w:ind w:right="596" w:firstLine="0"/>
              <w:jc w:val="center"/>
              <w:rPr>
                <w:rFonts w:cstheme="minorHAnsi"/>
                <w:b/>
                <w:lang w:val="en-US" w:eastAsia="ru-RU"/>
              </w:rPr>
            </w:pPr>
            <w:r w:rsidRPr="002F4348">
              <w:rPr>
                <w:rFonts w:cstheme="minorHAnsi"/>
                <w:b/>
                <w:lang w:val="en-US" w:eastAsia="ru-RU"/>
              </w:rPr>
              <w:t>IIIA, IIIB</w:t>
            </w:r>
          </w:p>
        </w:tc>
        <w:tc>
          <w:tcPr>
            <w:tcW w:w="0" w:type="dxa"/>
            <w:tcBorders>
              <w:top w:val="single" w:sz="6" w:space="0" w:color="auto"/>
            </w:tcBorders>
            <w:vAlign w:val="center"/>
          </w:tcPr>
          <w:p w14:paraId="7AECB306" w14:textId="77777777" w:rsidR="00A54C2B" w:rsidRPr="002F4348" w:rsidRDefault="00A54C2B" w:rsidP="00DF14AA">
            <w:pPr>
              <w:ind w:right="596" w:firstLine="0"/>
              <w:jc w:val="center"/>
              <w:rPr>
                <w:rFonts w:cstheme="minorHAnsi"/>
                <w:b/>
                <w:lang w:val="en-US" w:eastAsia="ru-RU"/>
              </w:rPr>
            </w:pPr>
            <w:r w:rsidRPr="002F4348">
              <w:rPr>
                <w:rFonts w:cstheme="minorHAnsi"/>
                <w:b/>
                <w:lang w:val="en-US" w:eastAsia="ru-RU"/>
              </w:rPr>
              <w:t>IVA, IVB</w:t>
            </w:r>
          </w:p>
        </w:tc>
      </w:tr>
      <w:tr w:rsidR="00DD28C7" w:rsidRPr="002F4348" w14:paraId="52BF5D34" w14:textId="77777777" w:rsidTr="00DF14AA">
        <w:trPr>
          <w:trHeight w:val="553"/>
        </w:trPr>
        <w:tc>
          <w:tcPr>
            <w:tcW w:w="0" w:type="dxa"/>
            <w:vAlign w:val="center"/>
          </w:tcPr>
          <w:p w14:paraId="4CC22303" w14:textId="77777777" w:rsidR="00A54C2B" w:rsidRPr="002F4348" w:rsidRDefault="00A54C2B" w:rsidP="00DF14AA">
            <w:pPr>
              <w:ind w:right="596" w:firstLine="0"/>
              <w:jc w:val="left"/>
              <w:rPr>
                <w:rFonts w:cstheme="minorHAnsi"/>
                <w:b/>
                <w:lang w:eastAsia="ru-RU"/>
              </w:rPr>
            </w:pPr>
            <w:r w:rsidRPr="002F4348">
              <w:rPr>
                <w:rFonts w:cstheme="minorHAnsi"/>
                <w:b/>
                <w:lang w:eastAsia="ru-RU"/>
              </w:rPr>
              <w:t>Нет</w:t>
            </w:r>
          </w:p>
        </w:tc>
        <w:tc>
          <w:tcPr>
            <w:tcW w:w="3571" w:type="dxa"/>
            <w:gridSpan w:val="2"/>
            <w:shd w:val="clear" w:color="auto" w:fill="C5E0B3" w:themeFill="accent6" w:themeFillTint="66"/>
            <w:vAlign w:val="center"/>
          </w:tcPr>
          <w:p w14:paraId="4EC5FD42" w14:textId="77777777" w:rsidR="00A54C2B" w:rsidRPr="002F4348" w:rsidRDefault="00A54C2B" w:rsidP="00DF14AA">
            <w:pPr>
              <w:ind w:right="596" w:firstLine="0"/>
              <w:jc w:val="center"/>
              <w:rPr>
                <w:rFonts w:cstheme="minorHAnsi"/>
                <w:lang w:eastAsia="ru-RU"/>
              </w:rPr>
            </w:pPr>
            <w:r w:rsidRPr="002F4348">
              <w:rPr>
                <w:rFonts w:cstheme="minorHAnsi"/>
                <w:lang w:eastAsia="ru-RU"/>
              </w:rPr>
              <w:t>Ранние стадии</w:t>
            </w:r>
          </w:p>
          <w:p w14:paraId="1C91BEA5" w14:textId="77777777" w:rsidR="00A54C2B" w:rsidRPr="002F4348" w:rsidRDefault="00A54C2B" w:rsidP="00DF14AA">
            <w:pPr>
              <w:ind w:right="596" w:firstLine="0"/>
              <w:jc w:val="center"/>
              <w:rPr>
                <w:rFonts w:cstheme="minorHAnsi"/>
                <w:lang w:eastAsia="ru-RU"/>
              </w:rPr>
            </w:pPr>
            <w:r w:rsidRPr="002F4348">
              <w:rPr>
                <w:rFonts w:cstheme="minorHAnsi"/>
                <w:lang w:eastAsia="ru-RU"/>
              </w:rPr>
              <w:t>благоприятный прогноз</w:t>
            </w:r>
          </w:p>
        </w:tc>
        <w:tc>
          <w:tcPr>
            <w:tcW w:w="2943" w:type="dxa"/>
            <w:gridSpan w:val="2"/>
            <w:vMerge w:val="restart"/>
            <w:shd w:val="clear" w:color="auto" w:fill="F4B083" w:themeFill="accent2" w:themeFillTint="99"/>
            <w:vAlign w:val="center"/>
          </w:tcPr>
          <w:p w14:paraId="1E4B8879" w14:textId="77777777" w:rsidR="00A54C2B" w:rsidRPr="002F4348" w:rsidRDefault="00A54C2B" w:rsidP="00DF14AA">
            <w:pPr>
              <w:ind w:right="596" w:firstLine="0"/>
              <w:jc w:val="center"/>
              <w:rPr>
                <w:rFonts w:cstheme="minorHAnsi"/>
                <w:lang w:eastAsia="ru-RU"/>
              </w:rPr>
            </w:pPr>
            <w:r w:rsidRPr="002F4348">
              <w:rPr>
                <w:rFonts w:cstheme="minorHAnsi"/>
                <w:lang w:eastAsia="ru-RU"/>
              </w:rPr>
              <w:t>Распространенные стадии</w:t>
            </w:r>
          </w:p>
        </w:tc>
      </w:tr>
      <w:tr w:rsidR="00DD28C7" w:rsidRPr="002F4348" w14:paraId="43562919" w14:textId="77777777" w:rsidTr="00DF14AA">
        <w:trPr>
          <w:trHeight w:val="1123"/>
        </w:trPr>
        <w:tc>
          <w:tcPr>
            <w:tcW w:w="0" w:type="dxa"/>
            <w:vAlign w:val="center"/>
          </w:tcPr>
          <w:p w14:paraId="1267662A" w14:textId="77777777" w:rsidR="00A54C2B" w:rsidRPr="002F4348" w:rsidRDefault="00A54C2B" w:rsidP="00DF14AA">
            <w:pPr>
              <w:ind w:right="596" w:firstLine="0"/>
              <w:jc w:val="left"/>
              <w:rPr>
                <w:rFonts w:cstheme="minorHAnsi"/>
                <w:b/>
                <w:lang w:eastAsia="ru-RU"/>
              </w:rPr>
            </w:pPr>
            <w:r w:rsidRPr="002F4348">
              <w:rPr>
                <w:rFonts w:cstheme="minorHAnsi"/>
                <w:b/>
                <w:lang w:eastAsia="ru-RU"/>
              </w:rPr>
              <w:t>Поражено ≥3 областей*</w:t>
            </w:r>
          </w:p>
        </w:tc>
        <w:tc>
          <w:tcPr>
            <w:tcW w:w="3571" w:type="dxa"/>
            <w:gridSpan w:val="2"/>
            <w:vMerge w:val="restart"/>
            <w:shd w:val="clear" w:color="auto" w:fill="FFE599" w:themeFill="accent4" w:themeFillTint="66"/>
            <w:vAlign w:val="center"/>
          </w:tcPr>
          <w:p w14:paraId="23C71DAB" w14:textId="77777777" w:rsidR="00A54C2B" w:rsidRPr="002F4348" w:rsidRDefault="00A54C2B" w:rsidP="00DF14AA">
            <w:pPr>
              <w:ind w:right="596" w:firstLine="0"/>
              <w:jc w:val="center"/>
              <w:rPr>
                <w:rFonts w:cstheme="minorHAnsi"/>
                <w:lang w:eastAsia="ru-RU"/>
              </w:rPr>
            </w:pPr>
            <w:r w:rsidRPr="002F4348">
              <w:rPr>
                <w:rFonts w:cstheme="minorHAnsi"/>
                <w:lang w:eastAsia="ru-RU"/>
              </w:rPr>
              <w:t>Ранние стадии</w:t>
            </w:r>
          </w:p>
          <w:p w14:paraId="28C9FCBE" w14:textId="77777777" w:rsidR="00A54C2B" w:rsidRPr="002F4348" w:rsidRDefault="00A54C2B" w:rsidP="00DF14AA">
            <w:pPr>
              <w:ind w:right="596" w:firstLine="0"/>
              <w:jc w:val="center"/>
              <w:rPr>
                <w:rFonts w:cstheme="minorHAnsi"/>
                <w:lang w:eastAsia="ru-RU"/>
              </w:rPr>
            </w:pPr>
            <w:r w:rsidRPr="002F4348">
              <w:rPr>
                <w:rFonts w:cstheme="minorHAnsi"/>
                <w:lang w:eastAsia="ru-RU"/>
              </w:rPr>
              <w:t>Неблагоприятный прогноз</w:t>
            </w:r>
          </w:p>
        </w:tc>
        <w:tc>
          <w:tcPr>
            <w:tcW w:w="2943" w:type="dxa"/>
            <w:gridSpan w:val="2"/>
            <w:vMerge/>
            <w:shd w:val="clear" w:color="auto" w:fill="F4B083" w:themeFill="accent2" w:themeFillTint="99"/>
          </w:tcPr>
          <w:p w14:paraId="67F1D3C5" w14:textId="77777777" w:rsidR="00A54C2B" w:rsidRPr="002F4348" w:rsidRDefault="00A54C2B" w:rsidP="00DF14AA">
            <w:pPr>
              <w:ind w:right="596" w:firstLine="0"/>
              <w:rPr>
                <w:rFonts w:cs="Times New Roman"/>
                <w:lang w:eastAsia="ru-RU"/>
              </w:rPr>
            </w:pPr>
          </w:p>
        </w:tc>
      </w:tr>
      <w:tr w:rsidR="00DD28C7" w:rsidRPr="002F4348" w14:paraId="7408E585" w14:textId="77777777" w:rsidTr="00DF14AA">
        <w:trPr>
          <w:trHeight w:val="615"/>
        </w:trPr>
        <w:tc>
          <w:tcPr>
            <w:tcW w:w="0" w:type="dxa"/>
            <w:vAlign w:val="center"/>
          </w:tcPr>
          <w:p w14:paraId="5B737993" w14:textId="77777777" w:rsidR="00A54C2B" w:rsidRPr="002F4348" w:rsidRDefault="00A54C2B" w:rsidP="00DF14AA">
            <w:pPr>
              <w:ind w:right="596" w:firstLine="0"/>
              <w:jc w:val="left"/>
              <w:rPr>
                <w:rFonts w:cstheme="minorHAnsi"/>
                <w:b/>
                <w:lang w:eastAsia="ru-RU"/>
              </w:rPr>
            </w:pPr>
            <w:r w:rsidRPr="002F4348">
              <w:rPr>
                <w:rFonts w:cstheme="minorHAnsi"/>
                <w:b/>
                <w:lang w:eastAsia="ru-RU"/>
              </w:rPr>
              <w:t>Высокая СОЭ**</w:t>
            </w:r>
          </w:p>
        </w:tc>
        <w:tc>
          <w:tcPr>
            <w:tcW w:w="3571" w:type="dxa"/>
            <w:gridSpan w:val="2"/>
            <w:vMerge/>
            <w:tcBorders>
              <w:bottom w:val="single" w:sz="4" w:space="0" w:color="FFD966" w:themeColor="accent4" w:themeTint="99"/>
            </w:tcBorders>
            <w:shd w:val="clear" w:color="auto" w:fill="FFE599" w:themeFill="accent4" w:themeFillTint="66"/>
            <w:vAlign w:val="center"/>
          </w:tcPr>
          <w:p w14:paraId="780BDFE7" w14:textId="77777777" w:rsidR="00A54C2B" w:rsidRPr="002F4348" w:rsidRDefault="00A54C2B" w:rsidP="00DF14AA">
            <w:pPr>
              <w:ind w:right="596" w:firstLine="0"/>
              <w:rPr>
                <w:rFonts w:cstheme="minorHAnsi"/>
                <w:lang w:eastAsia="ru-RU"/>
              </w:rPr>
            </w:pPr>
          </w:p>
        </w:tc>
        <w:tc>
          <w:tcPr>
            <w:tcW w:w="2943" w:type="dxa"/>
            <w:gridSpan w:val="2"/>
            <w:vMerge/>
            <w:shd w:val="clear" w:color="auto" w:fill="F4B083" w:themeFill="accent2" w:themeFillTint="99"/>
          </w:tcPr>
          <w:p w14:paraId="7A99A982" w14:textId="77777777" w:rsidR="00A54C2B" w:rsidRPr="002F4348" w:rsidRDefault="00A54C2B" w:rsidP="00DF14AA">
            <w:pPr>
              <w:ind w:right="596" w:firstLine="0"/>
              <w:rPr>
                <w:rFonts w:cs="Times New Roman"/>
                <w:lang w:eastAsia="ru-RU"/>
              </w:rPr>
            </w:pPr>
          </w:p>
        </w:tc>
      </w:tr>
      <w:tr w:rsidR="00DD28C7" w:rsidRPr="002F4348" w14:paraId="12D7E428" w14:textId="77777777" w:rsidTr="00DF14AA">
        <w:trPr>
          <w:trHeight w:val="1123"/>
        </w:trPr>
        <w:tc>
          <w:tcPr>
            <w:tcW w:w="0" w:type="dxa"/>
            <w:vAlign w:val="center"/>
          </w:tcPr>
          <w:p w14:paraId="145A24EB" w14:textId="77777777" w:rsidR="00A54C2B" w:rsidRPr="002F4348" w:rsidRDefault="00A54C2B" w:rsidP="00DF14AA">
            <w:pPr>
              <w:ind w:right="596" w:firstLine="0"/>
              <w:jc w:val="left"/>
              <w:rPr>
                <w:rFonts w:cstheme="minorHAnsi"/>
                <w:b/>
                <w:lang w:eastAsia="ru-RU"/>
              </w:rPr>
            </w:pPr>
            <w:r w:rsidRPr="002F4348">
              <w:rPr>
                <w:rFonts w:cstheme="minorHAnsi"/>
                <w:b/>
                <w:lang w:eastAsia="ru-RU"/>
              </w:rPr>
              <w:t>Массивные л/у в средостении***</w:t>
            </w:r>
          </w:p>
        </w:tc>
        <w:tc>
          <w:tcPr>
            <w:tcW w:w="2295" w:type="dxa"/>
            <w:vMerge w:val="restart"/>
            <w:tcBorders>
              <w:top w:val="single" w:sz="4" w:space="0" w:color="auto"/>
            </w:tcBorders>
            <w:shd w:val="clear" w:color="auto" w:fill="F7CAAC" w:themeFill="accent2" w:themeFillTint="66"/>
            <w:vAlign w:val="center"/>
          </w:tcPr>
          <w:p w14:paraId="6146F9C0" w14:textId="77777777" w:rsidR="00A54C2B" w:rsidRPr="002F4348" w:rsidRDefault="00A54C2B" w:rsidP="00DF14AA">
            <w:pPr>
              <w:ind w:right="596" w:firstLine="0"/>
              <w:jc w:val="center"/>
              <w:rPr>
                <w:rFonts w:cstheme="minorHAnsi"/>
                <w:lang w:eastAsia="ru-RU"/>
              </w:rPr>
            </w:pPr>
            <w:r w:rsidRPr="002F4348">
              <w:rPr>
                <w:rFonts w:cstheme="minorHAnsi"/>
                <w:lang w:eastAsia="ru-RU"/>
              </w:rPr>
              <w:t>Ранние стадии</w:t>
            </w:r>
          </w:p>
          <w:p w14:paraId="7AE8254B" w14:textId="77777777" w:rsidR="00A54C2B" w:rsidRPr="002F4348" w:rsidRDefault="00A54C2B" w:rsidP="00DF14AA">
            <w:pPr>
              <w:ind w:right="596" w:firstLine="0"/>
              <w:jc w:val="center"/>
              <w:rPr>
                <w:rFonts w:cstheme="minorHAnsi"/>
                <w:lang w:eastAsia="ru-RU"/>
              </w:rPr>
            </w:pPr>
            <w:r w:rsidRPr="002F4348">
              <w:rPr>
                <w:rFonts w:cstheme="minorHAnsi"/>
                <w:lang w:eastAsia="ru-RU"/>
              </w:rPr>
              <w:t>Неблагоприятный прогноз</w:t>
            </w:r>
          </w:p>
          <w:p w14:paraId="36EBB9B0" w14:textId="77777777" w:rsidR="00A54C2B" w:rsidRPr="002F4348" w:rsidRDefault="00A54C2B" w:rsidP="00DF14AA">
            <w:pPr>
              <w:ind w:right="596" w:firstLine="0"/>
              <w:jc w:val="center"/>
              <w:rPr>
                <w:rFonts w:cstheme="minorHAnsi"/>
                <w:lang w:eastAsia="ru-RU"/>
              </w:rPr>
            </w:pPr>
            <w:r w:rsidRPr="002F4348">
              <w:rPr>
                <w:rFonts w:cstheme="minorHAnsi"/>
                <w:lang w:eastAsia="ru-RU"/>
              </w:rPr>
              <w:t>(с обязательной верификацией ПЭТ/КТ)</w:t>
            </w:r>
          </w:p>
        </w:tc>
        <w:tc>
          <w:tcPr>
            <w:tcW w:w="1276" w:type="dxa"/>
            <w:vMerge w:val="restart"/>
            <w:tcBorders>
              <w:top w:val="single" w:sz="4" w:space="0" w:color="auto"/>
              <w:right w:val="single" w:sz="4" w:space="0" w:color="F4B083" w:themeColor="accent2" w:themeTint="99"/>
            </w:tcBorders>
            <w:shd w:val="clear" w:color="auto" w:fill="F4B083" w:themeFill="accent2" w:themeFillTint="99"/>
          </w:tcPr>
          <w:p w14:paraId="0C3F7021" w14:textId="77777777" w:rsidR="00A54C2B" w:rsidRPr="002F4348" w:rsidRDefault="00A54C2B" w:rsidP="00DF14AA">
            <w:pPr>
              <w:ind w:right="596" w:firstLine="0"/>
              <w:rPr>
                <w:rFonts w:cstheme="minorHAnsi"/>
                <w:lang w:eastAsia="ru-RU"/>
              </w:rPr>
            </w:pPr>
          </w:p>
        </w:tc>
        <w:tc>
          <w:tcPr>
            <w:tcW w:w="2943" w:type="dxa"/>
            <w:gridSpan w:val="2"/>
            <w:vMerge/>
            <w:tcBorders>
              <w:left w:val="single" w:sz="4" w:space="0" w:color="F4B083" w:themeColor="accent2" w:themeTint="99"/>
            </w:tcBorders>
            <w:shd w:val="clear" w:color="auto" w:fill="F4B083" w:themeFill="accent2" w:themeFillTint="99"/>
          </w:tcPr>
          <w:p w14:paraId="78BD57A2" w14:textId="77777777" w:rsidR="00A54C2B" w:rsidRPr="002F4348" w:rsidRDefault="00A54C2B" w:rsidP="00DF14AA">
            <w:pPr>
              <w:ind w:right="596" w:firstLine="0"/>
              <w:rPr>
                <w:rFonts w:cs="Times New Roman"/>
                <w:lang w:eastAsia="ru-RU"/>
              </w:rPr>
            </w:pPr>
          </w:p>
        </w:tc>
      </w:tr>
      <w:tr w:rsidR="00DD28C7" w:rsidRPr="002F4348" w14:paraId="5B1B8BFF" w14:textId="77777777" w:rsidTr="00DF14AA">
        <w:trPr>
          <w:trHeight w:val="553"/>
        </w:trPr>
        <w:tc>
          <w:tcPr>
            <w:tcW w:w="0" w:type="dxa"/>
            <w:vAlign w:val="center"/>
          </w:tcPr>
          <w:p w14:paraId="7F588135" w14:textId="77777777" w:rsidR="00A54C2B" w:rsidRPr="002F4348" w:rsidRDefault="00A54C2B" w:rsidP="00DF14AA">
            <w:pPr>
              <w:ind w:right="596" w:firstLine="0"/>
              <w:jc w:val="left"/>
              <w:rPr>
                <w:rFonts w:ascii="Arial" w:hAnsi="Arial" w:cs="Arial"/>
                <w:b/>
                <w:lang w:eastAsia="ru-RU"/>
              </w:rPr>
            </w:pPr>
            <w:r w:rsidRPr="002F4348">
              <w:rPr>
                <w:rFonts w:cstheme="minorHAnsi"/>
                <w:b/>
                <w:lang w:eastAsia="ru-RU"/>
              </w:rPr>
              <w:t>Стадия Е</w:t>
            </w:r>
          </w:p>
        </w:tc>
        <w:tc>
          <w:tcPr>
            <w:tcW w:w="2295" w:type="dxa"/>
            <w:vMerge/>
            <w:shd w:val="clear" w:color="auto" w:fill="F7CAAC" w:themeFill="accent2" w:themeFillTint="66"/>
          </w:tcPr>
          <w:p w14:paraId="0161D4AE" w14:textId="77777777" w:rsidR="00A54C2B" w:rsidRPr="002F4348" w:rsidRDefault="00A54C2B" w:rsidP="00DF14AA">
            <w:pPr>
              <w:ind w:right="596" w:firstLine="0"/>
              <w:rPr>
                <w:rFonts w:ascii="Arial" w:hAnsi="Arial" w:cs="Arial"/>
                <w:lang w:eastAsia="ru-RU"/>
              </w:rPr>
            </w:pPr>
          </w:p>
        </w:tc>
        <w:tc>
          <w:tcPr>
            <w:tcW w:w="1276" w:type="dxa"/>
            <w:vMerge/>
            <w:tcBorders>
              <w:right w:val="single" w:sz="4" w:space="0" w:color="F4B083" w:themeColor="accent2" w:themeTint="99"/>
            </w:tcBorders>
            <w:shd w:val="clear" w:color="auto" w:fill="F4B083" w:themeFill="accent2" w:themeFillTint="99"/>
          </w:tcPr>
          <w:p w14:paraId="2128C598" w14:textId="77777777" w:rsidR="00A54C2B" w:rsidRPr="002F4348" w:rsidRDefault="00A54C2B" w:rsidP="00DF14AA">
            <w:pPr>
              <w:ind w:right="596" w:firstLine="0"/>
              <w:rPr>
                <w:rFonts w:cs="Times New Roman"/>
                <w:lang w:eastAsia="ru-RU"/>
              </w:rPr>
            </w:pPr>
          </w:p>
        </w:tc>
        <w:tc>
          <w:tcPr>
            <w:tcW w:w="2943" w:type="dxa"/>
            <w:gridSpan w:val="2"/>
            <w:vMerge/>
            <w:tcBorders>
              <w:left w:val="single" w:sz="4" w:space="0" w:color="F4B083" w:themeColor="accent2" w:themeTint="99"/>
            </w:tcBorders>
            <w:shd w:val="clear" w:color="auto" w:fill="F4B083" w:themeFill="accent2" w:themeFillTint="99"/>
          </w:tcPr>
          <w:p w14:paraId="34311C68" w14:textId="77777777" w:rsidR="00A54C2B" w:rsidRPr="002F4348" w:rsidRDefault="00A54C2B" w:rsidP="00DF14AA">
            <w:pPr>
              <w:ind w:right="596" w:firstLine="0"/>
              <w:rPr>
                <w:rFonts w:cs="Times New Roman"/>
                <w:lang w:eastAsia="ru-RU"/>
              </w:rPr>
            </w:pPr>
          </w:p>
        </w:tc>
      </w:tr>
    </w:tbl>
    <w:p w14:paraId="4AD69F66" w14:textId="77777777" w:rsidR="00A54C2B" w:rsidRPr="002F4348" w:rsidRDefault="00A54C2B" w:rsidP="002C7010">
      <w:pPr>
        <w:rPr>
          <w:rFonts w:ascii="Calibri" w:eastAsia="Calibri" w:hAnsi="Calibri" w:cs="Times New Roman"/>
        </w:rPr>
      </w:pPr>
    </w:p>
    <w:p w14:paraId="26ADE17A" w14:textId="77777777" w:rsidR="00A54C2B" w:rsidRPr="002F4348" w:rsidRDefault="00A54C2B" w:rsidP="00A54C2B">
      <w:pPr>
        <w:rPr>
          <w:lang w:eastAsia="ru-RU"/>
        </w:rPr>
      </w:pPr>
      <w:r w:rsidRPr="002F4348">
        <w:rPr>
          <w:lang w:eastAsia="ru-RU"/>
        </w:rPr>
        <w:t xml:space="preserve">*При определении прогностической группы используется понятие «область» поражения, которое может включать несколько зон (рис. </w:t>
      </w:r>
      <w:r w:rsidR="00C6417C" w:rsidRPr="002F4348">
        <w:rPr>
          <w:lang w:eastAsia="ru-RU"/>
        </w:rPr>
        <w:t>7.</w:t>
      </w:r>
      <w:r w:rsidR="0064071E" w:rsidRPr="002F4348">
        <w:rPr>
          <w:lang w:eastAsia="ru-RU"/>
        </w:rPr>
        <w:t>3</w:t>
      </w:r>
      <w:r w:rsidR="00C6417C" w:rsidRPr="002F4348">
        <w:rPr>
          <w:lang w:eastAsia="ru-RU"/>
        </w:rPr>
        <w:t>.2</w:t>
      </w:r>
      <w:r w:rsidRPr="002F4348">
        <w:rPr>
          <w:lang w:eastAsia="ru-RU"/>
        </w:rPr>
        <w:t>):</w:t>
      </w:r>
    </w:p>
    <w:p w14:paraId="77AFBB7E" w14:textId="77777777" w:rsidR="00A54C2B" w:rsidRPr="002F4348" w:rsidRDefault="00A54C2B" w:rsidP="00B153FC">
      <w:pPr>
        <w:pStyle w:val="afe"/>
        <w:numPr>
          <w:ilvl w:val="0"/>
          <w:numId w:val="31"/>
        </w:numPr>
        <w:spacing w:line="288" w:lineRule="auto"/>
        <w:rPr>
          <w:rFonts w:cstheme="minorHAnsi"/>
        </w:rPr>
      </w:pPr>
      <w:r w:rsidRPr="002F4348">
        <w:rPr>
          <w:rFonts w:cstheme="minorHAnsi"/>
        </w:rPr>
        <w:t>правые шейные + правые над-/подключичные лимфатические узлы;</w:t>
      </w:r>
    </w:p>
    <w:p w14:paraId="2BB8B721" w14:textId="77777777" w:rsidR="00A54C2B" w:rsidRPr="002F4348" w:rsidRDefault="00A54C2B" w:rsidP="00B153FC">
      <w:pPr>
        <w:pStyle w:val="afe"/>
        <w:numPr>
          <w:ilvl w:val="0"/>
          <w:numId w:val="31"/>
        </w:numPr>
        <w:spacing w:line="288" w:lineRule="auto"/>
        <w:rPr>
          <w:rFonts w:cstheme="minorHAnsi"/>
        </w:rPr>
      </w:pPr>
      <w:r w:rsidRPr="002F4348">
        <w:rPr>
          <w:rFonts w:cstheme="minorHAnsi"/>
        </w:rPr>
        <w:t>левые шейные + левые над-/подключичные лимфатические узлы;</w:t>
      </w:r>
    </w:p>
    <w:p w14:paraId="68562542" w14:textId="77777777" w:rsidR="00A54C2B" w:rsidRPr="002F4348" w:rsidRDefault="00A54C2B" w:rsidP="00B153FC">
      <w:pPr>
        <w:pStyle w:val="afe"/>
        <w:numPr>
          <w:ilvl w:val="0"/>
          <w:numId w:val="31"/>
        </w:numPr>
        <w:spacing w:line="288" w:lineRule="auto"/>
        <w:rPr>
          <w:rFonts w:cstheme="minorHAnsi"/>
        </w:rPr>
      </w:pPr>
      <w:r w:rsidRPr="002F4348">
        <w:rPr>
          <w:rFonts w:cstheme="minorHAnsi"/>
        </w:rPr>
        <w:t>лимфатические узлы правого/ левого корня + медиастинальные;</w:t>
      </w:r>
    </w:p>
    <w:p w14:paraId="4BE03EA0" w14:textId="77777777" w:rsidR="00A54C2B" w:rsidRPr="002F4348" w:rsidRDefault="00A54C2B" w:rsidP="00B153FC">
      <w:pPr>
        <w:pStyle w:val="afe"/>
        <w:numPr>
          <w:ilvl w:val="0"/>
          <w:numId w:val="31"/>
        </w:numPr>
        <w:spacing w:line="288" w:lineRule="auto"/>
        <w:rPr>
          <w:rFonts w:cstheme="minorHAnsi"/>
        </w:rPr>
      </w:pPr>
      <w:r w:rsidRPr="002F4348">
        <w:rPr>
          <w:rFonts w:cstheme="minorHAnsi"/>
        </w:rPr>
        <w:t>правые подмышечные лимфатические узлы;</w:t>
      </w:r>
    </w:p>
    <w:p w14:paraId="74CF5E4F" w14:textId="77777777" w:rsidR="00A54C2B" w:rsidRPr="002F4348" w:rsidRDefault="00A54C2B" w:rsidP="00B153FC">
      <w:pPr>
        <w:pStyle w:val="afe"/>
        <w:numPr>
          <w:ilvl w:val="0"/>
          <w:numId w:val="31"/>
        </w:numPr>
        <w:spacing w:line="288" w:lineRule="auto"/>
        <w:rPr>
          <w:rFonts w:cstheme="minorHAnsi"/>
        </w:rPr>
      </w:pPr>
      <w:r w:rsidRPr="002F4348">
        <w:rPr>
          <w:rFonts w:cstheme="minorHAnsi"/>
        </w:rPr>
        <w:t>левые подмышечные лимфатические узлы;</w:t>
      </w:r>
    </w:p>
    <w:p w14:paraId="5261E2E7" w14:textId="77777777" w:rsidR="00A54C2B" w:rsidRPr="002F4348" w:rsidRDefault="00A54C2B" w:rsidP="00B153FC">
      <w:pPr>
        <w:pStyle w:val="afe"/>
        <w:numPr>
          <w:ilvl w:val="0"/>
          <w:numId w:val="31"/>
        </w:numPr>
        <w:spacing w:line="288" w:lineRule="auto"/>
        <w:rPr>
          <w:rFonts w:cstheme="minorHAnsi"/>
        </w:rPr>
      </w:pPr>
      <w:r w:rsidRPr="002F4348">
        <w:rPr>
          <w:rFonts w:cstheme="minorHAnsi"/>
        </w:rPr>
        <w:t>верхние абдоминальные лимфатические узлы (ворот печени, ворот селезенки, чревные);</w:t>
      </w:r>
    </w:p>
    <w:p w14:paraId="104A8878" w14:textId="77777777" w:rsidR="00A54C2B" w:rsidRPr="002F4348" w:rsidRDefault="00A54C2B" w:rsidP="00B153FC">
      <w:pPr>
        <w:pStyle w:val="afe"/>
        <w:numPr>
          <w:ilvl w:val="0"/>
          <w:numId w:val="31"/>
        </w:numPr>
        <w:spacing w:line="288" w:lineRule="auto"/>
        <w:rPr>
          <w:rFonts w:cstheme="minorHAnsi"/>
        </w:rPr>
      </w:pPr>
      <w:r w:rsidRPr="002F4348">
        <w:rPr>
          <w:rFonts w:cstheme="minorHAnsi"/>
        </w:rPr>
        <w:t>средние абдоминальные лимфатические узлы (парааортальные и мезентериальные);</w:t>
      </w:r>
    </w:p>
    <w:p w14:paraId="16622130" w14:textId="77777777" w:rsidR="00A54C2B" w:rsidRPr="002F4348" w:rsidRDefault="00A54C2B" w:rsidP="00B153FC">
      <w:pPr>
        <w:pStyle w:val="afe"/>
        <w:numPr>
          <w:ilvl w:val="0"/>
          <w:numId w:val="31"/>
        </w:numPr>
        <w:spacing w:line="288" w:lineRule="auto"/>
        <w:rPr>
          <w:rFonts w:cstheme="minorHAnsi"/>
        </w:rPr>
      </w:pPr>
      <w:r w:rsidRPr="002F4348">
        <w:rPr>
          <w:rFonts w:cstheme="minorHAnsi"/>
        </w:rPr>
        <w:t>правые подвздошные лимфатические узлы;</w:t>
      </w:r>
    </w:p>
    <w:p w14:paraId="4D9FEDC0" w14:textId="77777777" w:rsidR="00A54C2B" w:rsidRPr="002F4348" w:rsidRDefault="00A54C2B" w:rsidP="00B153FC">
      <w:pPr>
        <w:pStyle w:val="afe"/>
        <w:numPr>
          <w:ilvl w:val="0"/>
          <w:numId w:val="31"/>
        </w:numPr>
        <w:spacing w:line="288" w:lineRule="auto"/>
        <w:rPr>
          <w:rFonts w:cstheme="minorHAnsi"/>
        </w:rPr>
      </w:pPr>
      <w:r w:rsidRPr="002F4348">
        <w:rPr>
          <w:rFonts w:cstheme="minorHAnsi"/>
        </w:rPr>
        <w:t>левые подвздошные лимфатические узлы;</w:t>
      </w:r>
    </w:p>
    <w:p w14:paraId="0B70CB40" w14:textId="77777777" w:rsidR="00A54C2B" w:rsidRPr="002F4348" w:rsidRDefault="00A54C2B" w:rsidP="00B153FC">
      <w:pPr>
        <w:pStyle w:val="afe"/>
        <w:numPr>
          <w:ilvl w:val="0"/>
          <w:numId w:val="31"/>
        </w:numPr>
        <w:spacing w:line="288" w:lineRule="auto"/>
        <w:rPr>
          <w:rFonts w:cstheme="minorHAnsi"/>
        </w:rPr>
      </w:pPr>
      <w:r w:rsidRPr="002F4348">
        <w:rPr>
          <w:rFonts w:cstheme="minorHAnsi"/>
        </w:rPr>
        <w:t>правые паховые + бедренные лимфатические узлы;</w:t>
      </w:r>
    </w:p>
    <w:p w14:paraId="01320A54" w14:textId="77777777" w:rsidR="00A54C2B" w:rsidRPr="002F4348" w:rsidRDefault="00A54C2B" w:rsidP="00B153FC">
      <w:pPr>
        <w:pStyle w:val="afe"/>
        <w:numPr>
          <w:ilvl w:val="0"/>
          <w:numId w:val="31"/>
        </w:numPr>
        <w:spacing w:line="288" w:lineRule="auto"/>
        <w:rPr>
          <w:rFonts w:cstheme="minorHAnsi"/>
        </w:rPr>
      </w:pPr>
      <w:r w:rsidRPr="002F4348">
        <w:rPr>
          <w:rFonts w:cstheme="minorHAnsi"/>
        </w:rPr>
        <w:t>левые паховые + бедренные лимфатические узлы.</w:t>
      </w:r>
    </w:p>
    <w:p w14:paraId="77C2F534" w14:textId="77777777" w:rsidR="00DD28C7" w:rsidRPr="002F4348" w:rsidRDefault="00DD28C7" w:rsidP="00DF14AA">
      <w:pPr>
        <w:spacing w:line="288" w:lineRule="auto"/>
        <w:rPr>
          <w:rFonts w:cstheme="minorHAnsi"/>
        </w:rPr>
      </w:pPr>
    </w:p>
    <w:p w14:paraId="0D45D10B" w14:textId="77777777" w:rsidR="00DD28C7" w:rsidRPr="002F4348" w:rsidRDefault="00DD28C7" w:rsidP="00A54C2B">
      <w:pPr>
        <w:rPr>
          <w:lang w:eastAsia="ru-RU"/>
        </w:rPr>
      </w:pPr>
    </w:p>
    <w:p w14:paraId="4A714978" w14:textId="77777777" w:rsidR="00A54C2B" w:rsidRPr="002F4348" w:rsidRDefault="00A54C2B" w:rsidP="00A54C2B">
      <w:pPr>
        <w:jc w:val="right"/>
        <w:rPr>
          <w:lang w:eastAsia="ru-RU"/>
        </w:rPr>
      </w:pPr>
      <w:r w:rsidRPr="002F4348">
        <w:rPr>
          <w:lang w:eastAsia="ru-RU"/>
        </w:rPr>
        <w:t xml:space="preserve">Рисунок </w:t>
      </w:r>
      <w:r w:rsidR="00C6417C" w:rsidRPr="002F4348">
        <w:rPr>
          <w:lang w:eastAsia="ru-RU"/>
        </w:rPr>
        <w:t>7.</w:t>
      </w:r>
      <w:r w:rsidR="0064071E" w:rsidRPr="002F4348">
        <w:rPr>
          <w:lang w:eastAsia="ru-RU"/>
        </w:rPr>
        <w:t>3</w:t>
      </w:r>
      <w:r w:rsidR="00C6417C" w:rsidRPr="002F4348">
        <w:rPr>
          <w:lang w:eastAsia="ru-RU"/>
        </w:rPr>
        <w:t>.2</w:t>
      </w:r>
    </w:p>
    <w:p w14:paraId="771C5C74" w14:textId="77777777" w:rsidR="00A54C2B" w:rsidRPr="002F4348" w:rsidRDefault="00A54C2B" w:rsidP="00A54C2B">
      <w:pPr>
        <w:jc w:val="center"/>
        <w:rPr>
          <w:lang w:eastAsia="ru-RU"/>
        </w:rPr>
      </w:pPr>
      <w:r w:rsidRPr="002F4348">
        <w:rPr>
          <w:lang w:eastAsia="ru-RU"/>
        </w:rPr>
        <w:t xml:space="preserve">Области лимфатических коллекторов для определения прогностической группы по системе </w:t>
      </w:r>
      <w:r w:rsidRPr="002F4348">
        <w:rPr>
          <w:lang w:val="en-US" w:eastAsia="ru-RU"/>
        </w:rPr>
        <w:t>GHSG</w:t>
      </w:r>
    </w:p>
    <w:p w14:paraId="1613C282" w14:textId="77777777" w:rsidR="00A54C2B" w:rsidRPr="002F4348" w:rsidRDefault="00A54C2B" w:rsidP="002C7010">
      <w:pPr>
        <w:rPr>
          <w:rFonts w:ascii="Calibri" w:eastAsia="Calibri" w:hAnsi="Calibri" w:cs="Times New Roman"/>
        </w:rPr>
      </w:pPr>
      <w:r w:rsidRPr="002F4348">
        <w:rPr>
          <w:noProof/>
          <w:lang w:eastAsia="ru-RU"/>
        </w:rPr>
        <w:drawing>
          <wp:inline distT="0" distB="0" distL="0" distR="0" wp14:anchorId="6A20D8C2" wp14:editId="09286F09">
            <wp:extent cx="2029559" cy="3182820"/>
            <wp:effectExtent l="0" t="0" r="8890" b="0"/>
            <wp:docPr id="14347" name="Рисунок 34">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CC4D30F-37BE-49CC-9953-0E1A04ACBF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4">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CC4D30F-37BE-49CC-9953-0E1A04ACBF49}"/>
                        </a:ext>
                      </a:extLst>
                    </pic:cNvPr>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2029559" cy="3182820"/>
                    </a:xfrm>
                    <a:prstGeom prst="rect">
                      <a:avLst/>
                    </a:prstGeom>
                  </pic:spPr>
                </pic:pic>
              </a:graphicData>
            </a:graphic>
          </wp:inline>
        </w:drawing>
      </w:r>
    </w:p>
    <w:p w14:paraId="0F19AC27" w14:textId="77777777" w:rsidR="00A54C2B" w:rsidRPr="002F4348" w:rsidRDefault="00A54C2B" w:rsidP="00A54C2B">
      <w:pPr>
        <w:rPr>
          <w:rFonts w:cs="Times New Roman"/>
          <w:lang w:eastAsia="ru-RU"/>
        </w:rPr>
      </w:pPr>
      <w:r w:rsidRPr="002F4348">
        <w:rPr>
          <w:lang w:eastAsia="ru-RU"/>
        </w:rPr>
        <w:t xml:space="preserve">** </w:t>
      </w:r>
      <w:r w:rsidRPr="002F4348">
        <w:rPr>
          <w:rFonts w:cs="Times New Roman"/>
          <w:lang w:eastAsia="ru-RU"/>
        </w:rPr>
        <w:t xml:space="preserve">СОЭ&gt;30 мм/час при стадии </w:t>
      </w:r>
      <w:r w:rsidRPr="002F4348">
        <w:rPr>
          <w:rFonts w:cs="Times New Roman"/>
          <w:lang w:val="en-US" w:eastAsia="ru-RU"/>
        </w:rPr>
        <w:t>B</w:t>
      </w:r>
      <w:r w:rsidRPr="002F4348">
        <w:rPr>
          <w:rFonts w:cs="Times New Roman"/>
          <w:lang w:eastAsia="ru-RU"/>
        </w:rPr>
        <w:t xml:space="preserve"> и СОЭ&gt;50мм/час при стадии А по Панченкову (&gt;35 или &gt;65 по Вестергрену)</w:t>
      </w:r>
    </w:p>
    <w:p w14:paraId="66EE0D1D" w14:textId="77777777" w:rsidR="00A54C2B" w:rsidRPr="002F4348" w:rsidRDefault="00A54C2B" w:rsidP="00A54C2B">
      <w:pPr>
        <w:rPr>
          <w:rFonts w:cs="Times New Roman"/>
          <w:lang w:eastAsia="ru-RU"/>
        </w:rPr>
      </w:pPr>
      <w:r w:rsidRPr="002F4348">
        <w:rPr>
          <w:rFonts w:cs="Times New Roman"/>
          <w:lang w:eastAsia="ru-RU"/>
        </w:rPr>
        <w:t xml:space="preserve">*** Массивные л/у в средостении – максимальный диаметр опухоли более 1/3 максимального диаметра грудной клетки на прямой рентгенограмме грудной клетки </w:t>
      </w:r>
      <w:r w:rsidR="000A6EAB" w:rsidRPr="002F4348">
        <w:rPr>
          <w:rFonts w:cs="Times New Roman"/>
          <w:lang w:eastAsia="ru-RU"/>
        </w:rPr>
        <w:t>или более 10 см по максимальному диаметру конгломерата</w:t>
      </w:r>
      <w:r w:rsidRPr="002F4348">
        <w:rPr>
          <w:rFonts w:cs="Times New Roman"/>
          <w:lang w:eastAsia="ru-RU"/>
        </w:rPr>
        <w:t xml:space="preserve">          </w:t>
      </w:r>
    </w:p>
    <w:p w14:paraId="5579ED2C" w14:textId="77777777" w:rsidR="000A6EAB" w:rsidRPr="002F4348" w:rsidRDefault="000A6EAB" w:rsidP="004B7BA3">
      <w:pPr>
        <w:jc w:val="right"/>
        <w:rPr>
          <w:lang w:eastAsia="ru-RU"/>
        </w:rPr>
      </w:pPr>
    </w:p>
    <w:p w14:paraId="418C9071" w14:textId="77777777" w:rsidR="004B7BA3" w:rsidRPr="002F4348" w:rsidRDefault="004B7BA3" w:rsidP="004B7BA3">
      <w:pPr>
        <w:jc w:val="right"/>
        <w:rPr>
          <w:lang w:eastAsia="ru-RU"/>
        </w:rPr>
      </w:pPr>
      <w:r w:rsidRPr="002F4348">
        <w:rPr>
          <w:lang w:eastAsia="ru-RU"/>
        </w:rPr>
        <w:t>Таблица 7.3.3</w:t>
      </w:r>
    </w:p>
    <w:p w14:paraId="488E28A0" w14:textId="77777777" w:rsidR="004B7BA3" w:rsidRPr="002F4348" w:rsidRDefault="004B7BA3" w:rsidP="004B7BA3">
      <w:pPr>
        <w:rPr>
          <w:lang w:eastAsia="ru-RU"/>
        </w:rPr>
      </w:pPr>
      <w:r w:rsidRPr="002F4348">
        <w:rPr>
          <w:lang w:eastAsia="ru-RU"/>
        </w:rPr>
        <w:t>Определение терапевтических групп (риска) для пациентов до 18 лет.</w:t>
      </w:r>
    </w:p>
    <w:p w14:paraId="10B95958" w14:textId="77777777" w:rsidR="004B7BA3" w:rsidRPr="002F4348" w:rsidRDefault="004B7BA3" w:rsidP="004B7BA3">
      <w:pPr>
        <w:ind w:hanging="567"/>
        <w:rPr>
          <w:lang w:eastAsia="ru-RU"/>
        </w:rPr>
      </w:pPr>
      <w:r w:rsidRPr="002F4348">
        <w:rPr>
          <w:noProof/>
          <w:lang w:eastAsia="ru-RU"/>
        </w:rPr>
        <w:drawing>
          <wp:inline distT="0" distB="0" distL="0" distR="0" wp14:anchorId="6F38569A" wp14:editId="5F5F43D6">
            <wp:extent cx="5940425" cy="1267912"/>
            <wp:effectExtent l="0" t="0" r="3175" b="2540"/>
            <wp:docPr id="7" name="Изображение 7" descr="Изображение выглядит как снимок экрана&#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940425" cy="1267912"/>
                    </a:xfrm>
                    <a:prstGeom prst="rect">
                      <a:avLst/>
                    </a:prstGeom>
                  </pic:spPr>
                </pic:pic>
              </a:graphicData>
            </a:graphic>
          </wp:inline>
        </w:drawing>
      </w:r>
    </w:p>
    <w:p w14:paraId="31A548EE" w14:textId="77777777" w:rsidR="004B7BA3" w:rsidRPr="002F4348" w:rsidRDefault="004B7BA3" w:rsidP="00A54C2B">
      <w:pPr>
        <w:rPr>
          <w:lang w:eastAsia="ru-RU"/>
        </w:rPr>
      </w:pPr>
    </w:p>
    <w:p w14:paraId="2CEBA2A3" w14:textId="77777777" w:rsidR="00A54C2B" w:rsidRPr="002F4348" w:rsidRDefault="00A54C2B" w:rsidP="00A54C2B">
      <w:pPr>
        <w:jc w:val="right"/>
        <w:rPr>
          <w:lang w:eastAsia="ru-RU"/>
        </w:rPr>
      </w:pPr>
      <w:r w:rsidRPr="002F4348">
        <w:rPr>
          <w:lang w:eastAsia="ru-RU"/>
        </w:rPr>
        <w:t xml:space="preserve">Таблица </w:t>
      </w:r>
      <w:r w:rsidR="00C6417C" w:rsidRPr="002F4348">
        <w:rPr>
          <w:lang w:eastAsia="ru-RU"/>
        </w:rPr>
        <w:t>7.</w:t>
      </w:r>
      <w:r w:rsidR="0064071E" w:rsidRPr="002F4348">
        <w:rPr>
          <w:lang w:eastAsia="ru-RU"/>
        </w:rPr>
        <w:t>3</w:t>
      </w:r>
      <w:r w:rsidR="00C6417C" w:rsidRPr="002F4348">
        <w:rPr>
          <w:lang w:eastAsia="ru-RU"/>
        </w:rPr>
        <w:t>.</w:t>
      </w:r>
      <w:r w:rsidR="0064071E" w:rsidRPr="002F4348">
        <w:rPr>
          <w:lang w:eastAsia="ru-RU"/>
        </w:rPr>
        <w:t>4</w:t>
      </w:r>
    </w:p>
    <w:p w14:paraId="66CB0853" w14:textId="77777777" w:rsidR="00A54C2B" w:rsidRPr="002F4348" w:rsidRDefault="00A54C2B" w:rsidP="00A54C2B">
      <w:pPr>
        <w:jc w:val="center"/>
        <w:rPr>
          <w:lang w:eastAsia="ru-RU"/>
        </w:rPr>
      </w:pPr>
      <w:r w:rsidRPr="002F4348">
        <w:rPr>
          <w:lang w:eastAsia="ru-RU"/>
        </w:rPr>
        <w:t>Международный прогностический индекс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A54C2B" w:rsidRPr="002F4348" w14:paraId="33E14D5C" w14:textId="77777777" w:rsidTr="003007A6">
        <w:tc>
          <w:tcPr>
            <w:tcW w:w="5000" w:type="pct"/>
            <w:shd w:val="clear" w:color="auto" w:fill="auto"/>
          </w:tcPr>
          <w:p w14:paraId="160B5270" w14:textId="77777777" w:rsidR="00A54C2B" w:rsidRPr="002F4348" w:rsidRDefault="00A54C2B" w:rsidP="00A54C2B">
            <w:pPr>
              <w:spacing w:line="240" w:lineRule="auto"/>
              <w:jc w:val="center"/>
              <w:rPr>
                <w:lang w:eastAsia="ru-RU"/>
              </w:rPr>
            </w:pPr>
            <w:r w:rsidRPr="002F4348">
              <w:rPr>
                <w:lang w:eastAsia="ru-RU"/>
              </w:rPr>
              <w:t>Международный</w:t>
            </w:r>
          </w:p>
          <w:p w14:paraId="4B6656F2" w14:textId="77777777" w:rsidR="00A54C2B" w:rsidRPr="002F4348" w:rsidRDefault="00A54C2B" w:rsidP="00A54C2B">
            <w:pPr>
              <w:spacing w:line="240" w:lineRule="auto"/>
              <w:jc w:val="center"/>
              <w:rPr>
                <w:lang w:eastAsia="ru-RU"/>
              </w:rPr>
            </w:pPr>
            <w:r w:rsidRPr="002F4348">
              <w:rPr>
                <w:lang w:eastAsia="ru-RU"/>
              </w:rPr>
              <w:t>прогностический индекс</w:t>
            </w:r>
          </w:p>
          <w:p w14:paraId="30226DF6" w14:textId="77777777" w:rsidR="00A54C2B" w:rsidRPr="002F4348" w:rsidRDefault="00A54C2B" w:rsidP="00A54C2B">
            <w:pPr>
              <w:spacing w:line="240" w:lineRule="auto"/>
              <w:jc w:val="center"/>
              <w:rPr>
                <w:lang w:eastAsia="ru-RU"/>
              </w:rPr>
            </w:pPr>
            <w:r w:rsidRPr="002F4348">
              <w:rPr>
                <w:lang w:eastAsia="ru-RU"/>
              </w:rPr>
              <w:t>(каждый фактор = 1)</w:t>
            </w:r>
          </w:p>
        </w:tc>
      </w:tr>
      <w:tr w:rsidR="00A54C2B" w:rsidRPr="002F4348" w14:paraId="6A9BD061" w14:textId="77777777" w:rsidTr="003007A6">
        <w:tc>
          <w:tcPr>
            <w:tcW w:w="5000" w:type="pct"/>
            <w:shd w:val="clear" w:color="auto" w:fill="auto"/>
          </w:tcPr>
          <w:p w14:paraId="656197D7" w14:textId="77777777" w:rsidR="00A54C2B" w:rsidRPr="002F4348" w:rsidRDefault="00A54C2B" w:rsidP="00B153FC">
            <w:pPr>
              <w:pStyle w:val="afe"/>
              <w:numPr>
                <w:ilvl w:val="0"/>
                <w:numId w:val="32"/>
              </w:numPr>
              <w:spacing w:line="288" w:lineRule="auto"/>
              <w:rPr>
                <w:lang w:eastAsia="ru-RU"/>
              </w:rPr>
            </w:pPr>
            <w:r w:rsidRPr="002F4348">
              <w:rPr>
                <w:lang w:eastAsia="ru-RU"/>
              </w:rPr>
              <w:t>Альбумин &lt;40 г/л</w:t>
            </w:r>
          </w:p>
          <w:p w14:paraId="6C0AEFA4" w14:textId="77777777" w:rsidR="00A54C2B" w:rsidRPr="002F4348" w:rsidRDefault="00A54C2B" w:rsidP="00B153FC">
            <w:pPr>
              <w:pStyle w:val="afe"/>
              <w:numPr>
                <w:ilvl w:val="0"/>
                <w:numId w:val="32"/>
              </w:numPr>
              <w:spacing w:line="288" w:lineRule="auto"/>
              <w:rPr>
                <w:lang w:eastAsia="ru-RU"/>
              </w:rPr>
            </w:pPr>
            <w:r w:rsidRPr="002F4348">
              <w:rPr>
                <w:lang w:eastAsia="ru-RU"/>
              </w:rPr>
              <w:t>Гемоглобин &lt;105 г/л</w:t>
            </w:r>
          </w:p>
          <w:p w14:paraId="7A984CED" w14:textId="77777777" w:rsidR="00A54C2B" w:rsidRPr="002F4348" w:rsidRDefault="00A54C2B" w:rsidP="00B153FC">
            <w:pPr>
              <w:pStyle w:val="afe"/>
              <w:numPr>
                <w:ilvl w:val="0"/>
                <w:numId w:val="32"/>
              </w:numPr>
              <w:spacing w:line="288" w:lineRule="auto"/>
              <w:rPr>
                <w:lang w:eastAsia="ru-RU"/>
              </w:rPr>
            </w:pPr>
            <w:r w:rsidRPr="002F4348">
              <w:rPr>
                <w:lang w:eastAsia="ru-RU"/>
              </w:rPr>
              <w:t>Мужской пол</w:t>
            </w:r>
          </w:p>
          <w:p w14:paraId="3FCC2519" w14:textId="77777777" w:rsidR="00A54C2B" w:rsidRPr="002F4348" w:rsidRDefault="00A54C2B" w:rsidP="00B153FC">
            <w:pPr>
              <w:pStyle w:val="afe"/>
              <w:numPr>
                <w:ilvl w:val="0"/>
                <w:numId w:val="32"/>
              </w:numPr>
              <w:spacing w:line="288" w:lineRule="auto"/>
              <w:rPr>
                <w:lang w:eastAsia="ru-RU"/>
              </w:rPr>
            </w:pPr>
            <w:r w:rsidRPr="002F4348">
              <w:rPr>
                <w:lang w:eastAsia="ru-RU"/>
              </w:rPr>
              <w:t>Возраст ≥45 лет</w:t>
            </w:r>
          </w:p>
          <w:p w14:paraId="15B7F372" w14:textId="77777777" w:rsidR="00A54C2B" w:rsidRPr="002F4348" w:rsidRDefault="00A54C2B" w:rsidP="00B153FC">
            <w:pPr>
              <w:pStyle w:val="afe"/>
              <w:numPr>
                <w:ilvl w:val="0"/>
                <w:numId w:val="32"/>
              </w:numPr>
              <w:spacing w:line="288" w:lineRule="auto"/>
              <w:rPr>
                <w:lang w:eastAsia="ru-RU"/>
              </w:rPr>
            </w:pPr>
            <w:r w:rsidRPr="002F4348">
              <w:rPr>
                <w:lang w:eastAsia="ru-RU"/>
              </w:rPr>
              <w:t xml:space="preserve">Стадия </w:t>
            </w:r>
            <w:r w:rsidRPr="002F4348">
              <w:rPr>
                <w:lang w:val="en-US" w:eastAsia="ru-RU"/>
              </w:rPr>
              <w:t>IV</w:t>
            </w:r>
          </w:p>
          <w:p w14:paraId="4D031B34" w14:textId="77777777" w:rsidR="00A54C2B" w:rsidRPr="002F4348" w:rsidRDefault="00A54C2B" w:rsidP="00B153FC">
            <w:pPr>
              <w:pStyle w:val="afe"/>
              <w:numPr>
                <w:ilvl w:val="0"/>
                <w:numId w:val="32"/>
              </w:numPr>
              <w:spacing w:line="288" w:lineRule="auto"/>
              <w:rPr>
                <w:lang w:eastAsia="ru-RU"/>
              </w:rPr>
            </w:pPr>
            <w:r w:rsidRPr="002F4348">
              <w:rPr>
                <w:lang w:eastAsia="ru-RU"/>
              </w:rPr>
              <w:t>Лейкоцитоз ≥15 × 10</w:t>
            </w:r>
            <w:r w:rsidRPr="002F4348">
              <w:rPr>
                <w:vertAlign w:val="superscript"/>
                <w:lang w:eastAsia="ru-RU"/>
              </w:rPr>
              <w:t>9</w:t>
            </w:r>
            <w:r w:rsidRPr="002F4348">
              <w:rPr>
                <w:lang w:eastAsia="ru-RU"/>
              </w:rPr>
              <w:t>/л</w:t>
            </w:r>
          </w:p>
          <w:p w14:paraId="0B377BFA" w14:textId="77777777" w:rsidR="00A54C2B" w:rsidRPr="002F4348" w:rsidRDefault="00A54C2B" w:rsidP="00B153FC">
            <w:pPr>
              <w:pStyle w:val="afe"/>
              <w:numPr>
                <w:ilvl w:val="0"/>
                <w:numId w:val="32"/>
              </w:numPr>
              <w:spacing w:line="288" w:lineRule="auto"/>
              <w:rPr>
                <w:lang w:eastAsia="ru-RU"/>
              </w:rPr>
            </w:pPr>
            <w:r w:rsidRPr="002F4348">
              <w:rPr>
                <w:lang w:eastAsia="ru-RU"/>
              </w:rPr>
              <w:t>Лимфопения &lt;8% при подсчете формулы крови или &lt;0,6</w:t>
            </w:r>
            <w:r w:rsidRPr="002F4348">
              <w:rPr>
                <w:lang w:val="en-US" w:eastAsia="ru-RU"/>
              </w:rPr>
              <w:t> </w:t>
            </w:r>
            <w:r w:rsidRPr="002F4348">
              <w:rPr>
                <w:lang w:eastAsia="ru-RU"/>
              </w:rPr>
              <w:t>×</w:t>
            </w:r>
            <w:r w:rsidRPr="002F4348">
              <w:rPr>
                <w:lang w:val="en-US" w:eastAsia="ru-RU"/>
              </w:rPr>
              <w:t> </w:t>
            </w:r>
            <w:r w:rsidRPr="002F4348">
              <w:rPr>
                <w:lang w:eastAsia="ru-RU"/>
              </w:rPr>
              <w:t>10</w:t>
            </w:r>
            <w:r w:rsidRPr="002F4348">
              <w:rPr>
                <w:vertAlign w:val="superscript"/>
                <w:lang w:eastAsia="ru-RU"/>
              </w:rPr>
              <w:t>9</w:t>
            </w:r>
            <w:r w:rsidRPr="002F4348">
              <w:rPr>
                <w:lang w:eastAsia="ru-RU"/>
              </w:rPr>
              <w:t>/л</w:t>
            </w:r>
          </w:p>
        </w:tc>
      </w:tr>
    </w:tbl>
    <w:p w14:paraId="7695F9AB" w14:textId="77777777" w:rsidR="00A54C2B" w:rsidRPr="002F4348" w:rsidRDefault="00A54C2B" w:rsidP="002C7010">
      <w:pPr>
        <w:rPr>
          <w:rFonts w:ascii="Calibri" w:eastAsia="Calibri" w:hAnsi="Calibri" w:cs="Times New Roman"/>
        </w:rPr>
      </w:pPr>
    </w:p>
    <w:p w14:paraId="72980C8E" w14:textId="77777777" w:rsidR="00546683" w:rsidRPr="002F4348" w:rsidRDefault="00546683" w:rsidP="00546683">
      <w:pPr>
        <w:pStyle w:val="2"/>
      </w:pPr>
      <w:bookmarkStart w:id="59" w:name="_Toc65586406"/>
      <w:r w:rsidRPr="002F4348">
        <w:t>7.</w:t>
      </w:r>
      <w:r w:rsidR="0064071E" w:rsidRPr="002F4348">
        <w:t>4</w:t>
      </w:r>
      <w:r w:rsidRPr="002F4348">
        <w:t>. Оценка ответа на лечение при лимфомах</w:t>
      </w:r>
      <w:bookmarkEnd w:id="59"/>
    </w:p>
    <w:p w14:paraId="4E26921B" w14:textId="77777777" w:rsidR="00546683" w:rsidRPr="002F4348" w:rsidRDefault="00546683" w:rsidP="008762E9">
      <w:r w:rsidRPr="002F4348">
        <w:t xml:space="preserve">Оценка ответа на лечение проводится в соответствии с обновленными критериями, предложенными Международной рабочей группой по лимфомам в 2007 году </w:t>
      </w:r>
      <w:r w:rsidRPr="002F4348">
        <w:fldChar w:fldCharType="begin" w:fldLock="1"/>
      </w:r>
      <w:r w:rsidR="00A850F7" w:rsidRPr="002F4348">
        <w:instrText>ADDIN CSL_CITATION {"citationItems":[{"id":"ITEM-1","itemData":{"DOI":"10.1200/JCO.2006.09.2403","ISSN":"0732183X","abstract":"PURPOSE Standardized response criteria are needed to interpret and compare clinical trials and for approval of new therapeutic agents by regulatory agencies. METHODS The International Working Group response criteria (Cheson et al, J Clin Oncol 17:1244, 1999) were widely adopted, but required reassessment because of identified limitations and the increased use of [18F]fluorodeoxyglucose-positron emission tomography (PET), immunohistochemistry (IHC), and flow cytometry. The International Harmonization Project was convened to provide updated recommendations. RESULTS New guidelines are presented incorporating PET, IHC, and flow cytometry for definitions of response in non-Hodgkin's and Hodgkin's lymphoma. Standardized definitions of end points are provided. CONCLUSION We hope that these guidelines will be adopted widely by study groups, pharmaceutical and biotechnology companies, and regulatory agencies to facilitate the development of new and more effective therapies to improve the outcome of patients with lymphoma.","author":[{"dropping-particle":"","family":"Cheson","given":"Bruce D.","non-dropping-particle":"","parse-names":false,"suffix":""},{"dropping-particle":"","family":"Pfistner","given":"Beate","non-dropping-particle":"","parse-names":false,"suffix":""},{"dropping-particle":"","family":"Juweid","given":"Malik E.","non-dropping-particle":"","parse-names":false,"suffix":""},{"dropping-particle":"","family":"Gascoyne","given":"Randy D.","non-dropping-particle":"","parse-names":false,"suffix":""},{"dropping-particle":"","family":"Specht","given":"Lena","non-dropping-particle":"","parse-names":false,"suffix":""},{"dropping-particle":"","family":"Horning","given":"Sandra J.","non-dropping-particle":"","parse-names":false,"suffix":""},{"dropping-particle":"","family":"Coiffier","given":"Bertrand","non-dropping-particle":"","parse-names":false,"suffix":""},{"dropping-particle":"","family":"Fisher","given":"Richard I.","non-dropping-particle":"","parse-names":false,"suffix":""},{"dropping-particle":"","family":"Hagenbeek","given":"Anton","non-dropping-particle":"","parse-names":false,"suffix":""},{"dropping-particle":"","family":"Zucca","given":"Emanuele","non-dropping-particle":"","parse-names":false,"suffix":""},{"dropping-particle":"","family":"Rosen","given":"Steven T.","non-dropping-particle":"","parse-names":false,"suffix":""},{"dropping-particle":"","family":"Stroobants","given":"Sigrid","non-dropping-particle":"","parse-names":false,"suffix":""},{"dropping-particle":"","family":"Lister","given":"T. Andrew","non-dropping-particle":"","parse-names":false,"suffix":""},{"dropping-particle":"","family":"Hoppe","given":"Richard T.","non-dropping-particle":"","parse-names":false,"suffix":""},{"dropping-particle":"","family":"Dreyling","given":"Martin","non-dropping-particle":"","parse-names":false,"suffix":""},{"dropping-particle":"","family":"Tobinai","given":"Kensei","non-dropping-particle":"","parse-names":false,"suffix":""},{"dropping-particle":"","family":"Vose","given":"Julie M.","non-dropping-particle":"","parse-names":false,"suffix":""},{"dropping-particle":"","family":"Connors","given":"Joseph M.","non-dropping-particle":"","parse-names":false,"suffix":""},{"dropping-particle":"","family":"Federico","given":"Massimo","non-dropping-particle":"","parse-names":false,"suffix":""},{"dropping-particle":"","family":"Diehl","given":"Volker","non-dropping-particle":"","parse-names":false,"suffix":""}],"container-title":"Journal of Clinical Oncology","id":"ITEM-1","issue":"5","issued":{"date-parts":[["2007"]]},"page":"579-586","title":"Revised response criteria for malignant lymphoma","type":"article","volume":"25"},"uris":["http://www.mendeley.com/documents/?uuid=d5df0e7b-5398-4b59-b14e-8bfb6547123d","http://www.mendeley.com/documents/?uuid=54621e2a-fa6c-3787-a396-2fbb20883fe7"]}],"mendeley":{"formattedCitation":"[62]","plainTextFormattedCitation":"[62]","previouslyFormattedCitation":"[62]"},"properties":{"noteIndex":0},"schema":"https://github.com/citation-style-language/schema/raw/master/csl-citation.json"}</w:instrText>
      </w:r>
      <w:r w:rsidRPr="002F4348">
        <w:fldChar w:fldCharType="separate"/>
      </w:r>
      <w:r w:rsidR="004126B6" w:rsidRPr="002F4348">
        <w:rPr>
          <w:noProof/>
        </w:rPr>
        <w:t>[62]</w:t>
      </w:r>
      <w:r w:rsidRPr="002F4348">
        <w:fldChar w:fldCharType="end"/>
      </w:r>
      <w:r w:rsidRPr="002F4348">
        <w:t>.</w:t>
      </w:r>
    </w:p>
    <w:p w14:paraId="38BFECA7" w14:textId="77777777" w:rsidR="00546683" w:rsidRPr="002F4348" w:rsidRDefault="00546683" w:rsidP="008762E9">
      <w:pPr>
        <w:rPr>
          <w:rFonts w:eastAsia="Calibri" w:cs="Times New Roman"/>
          <w:i/>
          <w:u w:val="single"/>
        </w:rPr>
      </w:pPr>
      <w:r w:rsidRPr="002F4348">
        <w:rPr>
          <w:rFonts w:eastAsia="Calibri" w:cs="Times New Roman"/>
          <w:i/>
          <w:u w:val="single"/>
        </w:rPr>
        <w:t>Полная ремиссия</w:t>
      </w:r>
      <w:r w:rsidRPr="002F4348">
        <w:rPr>
          <w:rFonts w:eastAsia="Calibri" w:cs="Times New Roman"/>
          <w:i/>
          <w:u w:val="single"/>
          <w:lang w:val="en-US"/>
        </w:rPr>
        <w:t xml:space="preserve"> (</w:t>
      </w:r>
      <w:r w:rsidRPr="002F4348">
        <w:rPr>
          <w:rFonts w:eastAsia="Calibri" w:cs="Times New Roman"/>
          <w:i/>
          <w:u w:val="single"/>
        </w:rPr>
        <w:t>ПР</w:t>
      </w:r>
      <w:r w:rsidRPr="002F4348">
        <w:rPr>
          <w:rFonts w:eastAsia="Calibri" w:cs="Times New Roman"/>
          <w:i/>
          <w:u w:val="single"/>
          <w:lang w:val="en-US"/>
        </w:rPr>
        <w:t>)</w:t>
      </w:r>
      <w:r w:rsidRPr="002F4348">
        <w:rPr>
          <w:rFonts w:eastAsia="Calibri" w:cs="Times New Roman"/>
          <w:i/>
          <w:u w:val="single"/>
        </w:rPr>
        <w:t>:</w:t>
      </w:r>
    </w:p>
    <w:p w14:paraId="35E68A27" w14:textId="77777777" w:rsidR="00546683" w:rsidRPr="002F4348" w:rsidRDefault="00546683" w:rsidP="00B153FC">
      <w:pPr>
        <w:numPr>
          <w:ilvl w:val="0"/>
          <w:numId w:val="33"/>
        </w:numPr>
        <w:contextualSpacing/>
        <w:rPr>
          <w:rFonts w:eastAsia="Calibri" w:cs="Times New Roman"/>
        </w:rPr>
      </w:pPr>
      <w:r w:rsidRPr="002F4348">
        <w:rPr>
          <w:rFonts w:eastAsia="Calibri" w:cs="Times New Roman"/>
        </w:rPr>
        <w:t>Полное исчезновение всех проявлений заболевания, в том числе выявляемых при помощи лабораторных и лучевых методов диагностики, а также клинических симптомов, если они имели место до начала лечения.</w:t>
      </w:r>
    </w:p>
    <w:p w14:paraId="684EB895" w14:textId="77777777" w:rsidR="00546683" w:rsidRPr="002F4348" w:rsidRDefault="00546683" w:rsidP="00B153FC">
      <w:pPr>
        <w:numPr>
          <w:ilvl w:val="0"/>
          <w:numId w:val="33"/>
        </w:numPr>
        <w:contextualSpacing/>
        <w:rPr>
          <w:rFonts w:eastAsia="Calibri" w:cs="Times New Roman"/>
        </w:rPr>
      </w:pPr>
      <w:r w:rsidRPr="002F4348">
        <w:rPr>
          <w:rFonts w:eastAsia="Calibri" w:cs="Times New Roman"/>
        </w:rPr>
        <w:t>Размеры лимфатических узлов:</w:t>
      </w:r>
    </w:p>
    <w:p w14:paraId="2F0C11BC" w14:textId="77777777" w:rsidR="00546683" w:rsidRPr="002F4348" w:rsidRDefault="00546683" w:rsidP="00B153FC">
      <w:pPr>
        <w:numPr>
          <w:ilvl w:val="1"/>
          <w:numId w:val="33"/>
        </w:numPr>
        <w:contextualSpacing/>
        <w:rPr>
          <w:rFonts w:eastAsia="Calibri" w:cs="Times New Roman"/>
        </w:rPr>
      </w:pPr>
      <w:r w:rsidRPr="002F4348">
        <w:rPr>
          <w:rFonts w:eastAsia="Calibri" w:cs="Times New Roman"/>
        </w:rPr>
        <w:t>≤ 1,5см по наибольшему диаметру, если до начала лечения размеры лимфатических узлов были больше 1,5 см</w:t>
      </w:r>
    </w:p>
    <w:p w14:paraId="7D111875" w14:textId="77777777" w:rsidR="00546683" w:rsidRPr="002F4348" w:rsidRDefault="00546683" w:rsidP="00B153FC">
      <w:pPr>
        <w:numPr>
          <w:ilvl w:val="1"/>
          <w:numId w:val="33"/>
        </w:numPr>
        <w:contextualSpacing/>
        <w:rPr>
          <w:rFonts w:eastAsia="Calibri" w:cs="Times New Roman"/>
        </w:rPr>
      </w:pPr>
      <w:r w:rsidRPr="002F4348">
        <w:rPr>
          <w:rFonts w:eastAsia="Calibri" w:cs="Times New Roman"/>
        </w:rPr>
        <w:t>≤ 1,0см по наибольшему диаметру, если до начала лечения размеры лимфатических узлов были 1,5 – 1,1см</w:t>
      </w:r>
    </w:p>
    <w:p w14:paraId="13E4456E" w14:textId="77777777" w:rsidR="00546683" w:rsidRPr="002F4348" w:rsidRDefault="00546683" w:rsidP="00B153FC">
      <w:pPr>
        <w:numPr>
          <w:ilvl w:val="0"/>
          <w:numId w:val="33"/>
        </w:numPr>
        <w:contextualSpacing/>
        <w:rPr>
          <w:rFonts w:eastAsia="Calibri" w:cs="Times New Roman"/>
        </w:rPr>
      </w:pPr>
      <w:r w:rsidRPr="002F4348">
        <w:rPr>
          <w:rFonts w:eastAsia="Calibri" w:cs="Times New Roman"/>
        </w:rPr>
        <w:t>Печень, селезенка, если были увеличены до начала лечения, не пальпируются, по данным лучевых методов объемные образования в них не выявляются.</w:t>
      </w:r>
    </w:p>
    <w:p w14:paraId="3748496E" w14:textId="77777777" w:rsidR="00546683" w:rsidRPr="002F4348" w:rsidRDefault="00546683" w:rsidP="00B153FC">
      <w:pPr>
        <w:numPr>
          <w:ilvl w:val="0"/>
          <w:numId w:val="33"/>
        </w:numPr>
        <w:contextualSpacing/>
        <w:rPr>
          <w:rFonts w:eastAsia="Calibri" w:cs="Times New Roman"/>
        </w:rPr>
      </w:pPr>
      <w:r w:rsidRPr="002F4348">
        <w:rPr>
          <w:rFonts w:eastAsia="Calibri" w:cs="Times New Roman"/>
        </w:rPr>
        <w:t xml:space="preserve">Костный мозг без признаков опухолевого поражения. Если результат морфологического исследования костного мозга неоднозначный, наличие или отсутствие поражения должно определяться иммуногистохимически. </w:t>
      </w:r>
    </w:p>
    <w:p w14:paraId="6B35CAD7" w14:textId="77777777" w:rsidR="000A6EAB" w:rsidRPr="002F4348" w:rsidRDefault="000A6EAB" w:rsidP="000A6EAB">
      <w:pPr>
        <w:rPr>
          <w:rFonts w:eastAsia="Calibri" w:cs="Times New Roman"/>
        </w:rPr>
      </w:pPr>
      <w:bookmarkStart w:id="60" w:name="_Hlk508045558"/>
      <w:r w:rsidRPr="002F4348">
        <w:rPr>
          <w:rFonts w:eastAsia="Calibri" w:cs="Times New Roman"/>
        </w:rPr>
        <w:t>Для ЛХ ПР считается подтвержденной, если достигнутый эффект сохраняется не менее 3 месяцев или констатируется дальнейшее улучшение</w:t>
      </w:r>
      <w:bookmarkEnd w:id="60"/>
      <w:r w:rsidRPr="002F4348">
        <w:rPr>
          <w:rFonts w:eastAsia="Calibri" w:cs="Times New Roman"/>
        </w:rPr>
        <w:t xml:space="preserve">. </w:t>
      </w:r>
    </w:p>
    <w:p w14:paraId="09B377B2" w14:textId="77777777" w:rsidR="00546683" w:rsidRPr="002F4348" w:rsidRDefault="00546683" w:rsidP="008762E9">
      <w:pPr>
        <w:rPr>
          <w:rFonts w:eastAsia="Calibri" w:cs="Times New Roman"/>
          <w:i/>
          <w:u w:val="single"/>
        </w:rPr>
      </w:pPr>
      <w:r w:rsidRPr="002F4348">
        <w:rPr>
          <w:rFonts w:eastAsia="Calibri" w:cs="Times New Roman"/>
          <w:i/>
          <w:u w:val="single"/>
        </w:rPr>
        <w:t xml:space="preserve">Неуверенная полная ремиссия (ПРн) констатируется только у </w:t>
      </w:r>
      <w:r w:rsidR="00B119C4" w:rsidRPr="002F4348">
        <w:rPr>
          <w:rFonts w:eastAsia="Calibri" w:cs="Times New Roman"/>
          <w:i/>
          <w:u w:val="single"/>
        </w:rPr>
        <w:t>пациентов</w:t>
      </w:r>
      <w:r w:rsidRPr="002F4348">
        <w:rPr>
          <w:rFonts w:eastAsia="Calibri" w:cs="Times New Roman"/>
          <w:i/>
          <w:u w:val="single"/>
        </w:rPr>
        <w:t>, которым не выполнялась ПЭТ-КТ для оценки эффекта:</w:t>
      </w:r>
    </w:p>
    <w:p w14:paraId="45039632" w14:textId="77777777" w:rsidR="00546683" w:rsidRPr="002F4348" w:rsidRDefault="00546683" w:rsidP="00B153FC">
      <w:pPr>
        <w:numPr>
          <w:ilvl w:val="0"/>
          <w:numId w:val="34"/>
        </w:numPr>
        <w:contextualSpacing/>
        <w:rPr>
          <w:rFonts w:eastAsia="Calibri" w:cs="Times New Roman"/>
        </w:rPr>
      </w:pPr>
      <w:r w:rsidRPr="002F4348">
        <w:rPr>
          <w:rFonts w:eastAsia="Calibri" w:cs="Times New Roman"/>
        </w:rPr>
        <w:t>Остаточные изменения, выявляемые только при помощи лучевых методов исследования (особенно это касается остаточных объемных образований в месте массивного опухолевого поражения, чаще всего в средостении), в случае сокращения опухоли более чем на 75% от исходных размеров по сумме двух наибольших её диаметров. Эти остаточные изменения не должны увеличиваться в течение более чем 3 месяцев.</w:t>
      </w:r>
    </w:p>
    <w:p w14:paraId="35A5CE49" w14:textId="77777777" w:rsidR="00546683" w:rsidRPr="002F4348" w:rsidRDefault="00546683" w:rsidP="00B153FC">
      <w:pPr>
        <w:numPr>
          <w:ilvl w:val="0"/>
          <w:numId w:val="34"/>
        </w:numPr>
        <w:contextualSpacing/>
        <w:rPr>
          <w:rFonts w:eastAsia="Calibri" w:cs="Times New Roman"/>
        </w:rPr>
      </w:pPr>
      <w:r w:rsidRPr="002F4348">
        <w:rPr>
          <w:rFonts w:eastAsia="Calibri" w:cs="Times New Roman"/>
        </w:rPr>
        <w:t>По другим показателям – соответствие критериям полной ремиссии.</w:t>
      </w:r>
    </w:p>
    <w:p w14:paraId="34E7A35B" w14:textId="77777777" w:rsidR="00546683" w:rsidRPr="002F4348" w:rsidRDefault="00546683" w:rsidP="008762E9">
      <w:pPr>
        <w:rPr>
          <w:rFonts w:eastAsia="Calibri" w:cs="Times New Roman"/>
          <w:i/>
          <w:u w:val="single"/>
        </w:rPr>
      </w:pPr>
      <w:r w:rsidRPr="002F4348">
        <w:rPr>
          <w:rFonts w:eastAsia="Calibri" w:cs="Times New Roman"/>
          <w:i/>
          <w:u w:val="single"/>
        </w:rPr>
        <w:t>Частичная ремиссия (ЧР):</w:t>
      </w:r>
    </w:p>
    <w:p w14:paraId="3572B5EC" w14:textId="77777777" w:rsidR="00546683" w:rsidRPr="002F4348" w:rsidRDefault="00546683" w:rsidP="00B153FC">
      <w:pPr>
        <w:numPr>
          <w:ilvl w:val="0"/>
          <w:numId w:val="35"/>
        </w:numPr>
        <w:contextualSpacing/>
        <w:rPr>
          <w:rFonts w:eastAsia="Calibri" w:cs="Times New Roman"/>
        </w:rPr>
      </w:pPr>
      <w:r w:rsidRPr="002F4348">
        <w:rPr>
          <w:rFonts w:eastAsia="Calibri" w:cs="Times New Roman"/>
        </w:rPr>
        <w:t>Уменьшение суммы диаметров всех измеряемых очагов (лимфоузлов и/или очагов экстранодального поражения) не менее чем на 50%. Если размеры пораженных очагов менее 3см по наибольшему диаметру, то 2 наибольших очага должны уменьшиться не менее, чем на 50% по наибольшему диаметру. При наличии более чем 6 очагов поражения более 3 см, достаточна оценка 6 наибольших очагов, доступных четкому измерению в двух перпендикулярных направлениях. При наличии медиастинальных и/или ретроперитонеальных очагов поражения, они обязательно должны учитываться при измерении.</w:t>
      </w:r>
    </w:p>
    <w:p w14:paraId="0CB9ECBD" w14:textId="77777777" w:rsidR="00546683" w:rsidRPr="002F4348" w:rsidRDefault="00546683" w:rsidP="00B153FC">
      <w:pPr>
        <w:numPr>
          <w:ilvl w:val="0"/>
          <w:numId w:val="35"/>
        </w:numPr>
        <w:ind w:left="714" w:hanging="357"/>
        <w:contextualSpacing/>
        <w:rPr>
          <w:rFonts w:eastAsia="Calibri" w:cs="Times New Roman"/>
        </w:rPr>
      </w:pPr>
      <w:r w:rsidRPr="002F4348">
        <w:rPr>
          <w:rFonts w:eastAsia="Calibri" w:cs="Times New Roman"/>
        </w:rPr>
        <w:t>Отсутствие новых очагов поражения, отсутствие признаков увеличени</w:t>
      </w:r>
      <w:r w:rsidR="000A6EAB" w:rsidRPr="002F4348">
        <w:rPr>
          <w:rFonts w:eastAsia="Calibri" w:cs="Times New Roman"/>
        </w:rPr>
        <w:t>я</w:t>
      </w:r>
      <w:r w:rsidRPr="002F4348">
        <w:rPr>
          <w:rFonts w:eastAsia="Calibri" w:cs="Times New Roman"/>
        </w:rPr>
        <w:t xml:space="preserve"> какого-либо из ранее диагностированных очагов поражения.</w:t>
      </w:r>
    </w:p>
    <w:p w14:paraId="53BBC582" w14:textId="77777777" w:rsidR="00546683" w:rsidRPr="002F4348" w:rsidRDefault="00546683" w:rsidP="00B153FC">
      <w:pPr>
        <w:numPr>
          <w:ilvl w:val="0"/>
          <w:numId w:val="35"/>
        </w:numPr>
        <w:contextualSpacing/>
        <w:rPr>
          <w:rFonts w:eastAsia="Calibri" w:cs="Times New Roman"/>
        </w:rPr>
      </w:pPr>
      <w:r w:rsidRPr="002F4348">
        <w:rPr>
          <w:rFonts w:eastAsia="Calibri" w:cs="Times New Roman"/>
        </w:rPr>
        <w:t xml:space="preserve">В случае исходного поражения костного мозга, статус костного мозга для определения ЧР не значим. Однако при сохранении поражения костного мозга в процессе и/или после завершения лечения, обязательно уточнение характеристики опухолевых клеток. </w:t>
      </w:r>
      <w:r w:rsidR="00B119C4" w:rsidRPr="002F4348">
        <w:rPr>
          <w:rFonts w:eastAsia="Calibri" w:cs="Times New Roman"/>
        </w:rPr>
        <w:t xml:space="preserve">Пациенты </w:t>
      </w:r>
      <w:r w:rsidRPr="002F4348">
        <w:rPr>
          <w:rFonts w:eastAsia="Calibri" w:cs="Times New Roman"/>
        </w:rPr>
        <w:t>с исходным поражением костного мозга, у которых после завершения лечения клинически диагностируется ПР, но при этом сохраняется поражение костного мозга или костный мозг не может быть оценен, относятся к ЧР.</w:t>
      </w:r>
    </w:p>
    <w:p w14:paraId="6594E491" w14:textId="77777777" w:rsidR="00546683" w:rsidRPr="002F4348" w:rsidRDefault="00546683" w:rsidP="008762E9">
      <w:pPr>
        <w:rPr>
          <w:rFonts w:eastAsia="Calibri" w:cs="Times New Roman"/>
          <w:i/>
          <w:u w:val="single"/>
        </w:rPr>
      </w:pPr>
      <w:r w:rsidRPr="002F4348">
        <w:rPr>
          <w:rFonts w:eastAsia="Calibri" w:cs="Times New Roman"/>
          <w:i/>
          <w:u w:val="single"/>
        </w:rPr>
        <w:t>Стабилизация</w:t>
      </w:r>
    </w:p>
    <w:p w14:paraId="1C116E70" w14:textId="77777777" w:rsidR="00546683" w:rsidRPr="002F4348" w:rsidRDefault="00546683" w:rsidP="008762E9">
      <w:pPr>
        <w:ind w:left="709"/>
        <w:rPr>
          <w:rFonts w:eastAsia="Calibri" w:cs="Times New Roman"/>
        </w:rPr>
      </w:pPr>
      <w:r w:rsidRPr="002F4348">
        <w:rPr>
          <w:rFonts w:eastAsia="Calibri" w:cs="Times New Roman"/>
        </w:rPr>
        <w:t>Показатели опухоли не соответствуют ни критериям ПР или ЧР, ни критериям прогрессирования.</w:t>
      </w:r>
    </w:p>
    <w:p w14:paraId="63C67768" w14:textId="77777777" w:rsidR="00546683" w:rsidRPr="002F4348" w:rsidRDefault="00546683" w:rsidP="008762E9">
      <w:pPr>
        <w:rPr>
          <w:rFonts w:eastAsia="Calibri" w:cs="Times New Roman"/>
          <w:i/>
          <w:u w:val="single"/>
        </w:rPr>
      </w:pPr>
      <w:r w:rsidRPr="002F4348">
        <w:rPr>
          <w:rFonts w:eastAsia="Calibri" w:cs="Times New Roman"/>
          <w:i/>
          <w:u w:val="single"/>
        </w:rPr>
        <w:t>Рецидив (после ПР) или прогрессирование (после ЧР или стабилизации)</w:t>
      </w:r>
    </w:p>
    <w:p w14:paraId="4FDFBDE0" w14:textId="77777777" w:rsidR="00546683" w:rsidRPr="002F4348" w:rsidRDefault="00546683" w:rsidP="00B153FC">
      <w:pPr>
        <w:numPr>
          <w:ilvl w:val="0"/>
          <w:numId w:val="36"/>
        </w:numPr>
        <w:contextualSpacing/>
        <w:rPr>
          <w:rFonts w:eastAsia="Calibri" w:cs="Times New Roman"/>
          <w:u w:val="single"/>
        </w:rPr>
      </w:pPr>
      <w:r w:rsidRPr="002F4348">
        <w:rPr>
          <w:rFonts w:eastAsia="Calibri" w:cs="Times New Roman"/>
        </w:rPr>
        <w:t>Появление новых очагов (увеличение лимфатических узлов или объемных образований экстранодальных локализаций) более 1,5 см в наибольшем измерении в процессе или после завершения лечения, вне зависимости от изменения размеров других очагов поражения.</w:t>
      </w:r>
    </w:p>
    <w:p w14:paraId="55842632" w14:textId="77777777" w:rsidR="00546683" w:rsidRPr="002F4348" w:rsidRDefault="00546683" w:rsidP="00B153FC">
      <w:pPr>
        <w:numPr>
          <w:ilvl w:val="0"/>
          <w:numId w:val="36"/>
        </w:numPr>
        <w:contextualSpacing/>
        <w:rPr>
          <w:rFonts w:eastAsia="Calibri" w:cs="Times New Roman"/>
          <w:u w:val="single"/>
        </w:rPr>
      </w:pPr>
      <w:r w:rsidRPr="002F4348">
        <w:rPr>
          <w:rFonts w:eastAsia="Calibri" w:cs="Times New Roman"/>
        </w:rPr>
        <w:t xml:space="preserve">Увеличение как минимум одного уже известного очага более чем на 25% от минимального. Для очагов менее 1 см в наибольшем измерении – увеличение до 1,5 см и более. </w:t>
      </w:r>
    </w:p>
    <w:p w14:paraId="49BA349D" w14:textId="77777777" w:rsidR="00D3063E" w:rsidRPr="002F4348" w:rsidRDefault="00D3063E" w:rsidP="00D3063E">
      <w:pPr>
        <w:pStyle w:val="2"/>
      </w:pPr>
      <w:bookmarkStart w:id="61" w:name="_Toc65586407"/>
      <w:r w:rsidRPr="002F4348">
        <w:t xml:space="preserve">7.5 Особенности </w:t>
      </w:r>
      <w:r w:rsidR="00CF18C6" w:rsidRPr="002F4348">
        <w:t>планирования</w:t>
      </w:r>
      <w:r w:rsidRPr="002F4348">
        <w:t xml:space="preserve"> дозы ЛТ на критические структуры при облучении пациентов младше 18 лет</w:t>
      </w:r>
      <w:r w:rsidR="00BB661F" w:rsidRPr="002F4348">
        <w:t>.</w:t>
      </w:r>
      <w:bookmarkEnd w:id="61"/>
      <w:r w:rsidR="00BB661F" w:rsidRPr="002F4348">
        <w:t xml:space="preserve"> </w:t>
      </w:r>
    </w:p>
    <w:p w14:paraId="07814CD2" w14:textId="77777777" w:rsidR="00D3063E" w:rsidRPr="002F4348" w:rsidRDefault="00D3063E" w:rsidP="00D3063E">
      <w:pPr>
        <w:rPr>
          <w:b/>
          <w:bCs/>
        </w:rPr>
      </w:pPr>
      <w:r w:rsidRPr="002F4348">
        <w:rPr>
          <w:b/>
          <w:bCs/>
        </w:rPr>
        <w:t xml:space="preserve">Костная система. </w:t>
      </w:r>
    </w:p>
    <w:p w14:paraId="066CC958" w14:textId="77777777" w:rsidR="00D3063E" w:rsidRPr="002F4348" w:rsidRDefault="00D3063E" w:rsidP="00D3063E">
      <w:r w:rsidRPr="002F4348">
        <w:t>Радиочувствительность является наибольшей у детей младшего возраста (до 6 лет) и в</w:t>
      </w:r>
      <w:r w:rsidR="00BB661F" w:rsidRPr="002F4348">
        <w:t xml:space="preserve"> препубертатном </w:t>
      </w:r>
      <w:r w:rsidRPr="002F4348">
        <w:t>период</w:t>
      </w:r>
      <w:r w:rsidR="00BB661F" w:rsidRPr="002F4348">
        <w:t>е</w:t>
      </w:r>
      <w:r w:rsidRPr="002F4348">
        <w:t xml:space="preserve"> (11-13 лет). Следует ограничивать дозу на ростовые пластинки трубчатых костей (не более 20 Гр). Несимметричное облучение осевого скелета может привести к кифозу или сколиозу, тогда как симметричное облучение приводит к уменьшению роста. Чтобы избежать развития сколиоза облучение позвоночника на всем протяжении PTV должно быть симметричным. Не допустимо создавать градиент дозы в телах позвонков более 20%. </w:t>
      </w:r>
    </w:p>
    <w:p w14:paraId="1674D929" w14:textId="77777777" w:rsidR="00D3063E" w:rsidRPr="002F4348" w:rsidRDefault="00D3063E" w:rsidP="00D3063E">
      <w:pPr>
        <w:rPr>
          <w:b/>
          <w:bCs/>
        </w:rPr>
      </w:pPr>
      <w:r w:rsidRPr="002F4348">
        <w:rPr>
          <w:b/>
          <w:bCs/>
        </w:rPr>
        <w:t xml:space="preserve">Спинной мозг. </w:t>
      </w:r>
    </w:p>
    <w:p w14:paraId="1BBBC979" w14:textId="77777777" w:rsidR="00D3063E" w:rsidRPr="002F4348" w:rsidRDefault="00D3063E" w:rsidP="00D3063E">
      <w:r w:rsidRPr="002F4348">
        <w:t>У детей до шести лет ЦНС проходит процесс созревания и поэтому она особенно радиочувствительна. Максимальная доза на шейный отдел спинного мозга не должна превышать 20 Гр.</w:t>
      </w:r>
      <w:r w:rsidR="00BB661F" w:rsidRPr="002F4348">
        <w:t xml:space="preserve"> Следует избегать доз больше 30 Гр на спинной мозг, и индивидуальное планирование должно быть направлено </w:t>
      </w:r>
      <w:r w:rsidRPr="002F4348">
        <w:t xml:space="preserve">на минимизацию дозы на спинной мозг без влияния на запланированную дозу в мишени. </w:t>
      </w:r>
    </w:p>
    <w:p w14:paraId="0E2CD6B1" w14:textId="77777777" w:rsidR="00D3063E" w:rsidRPr="002F4348" w:rsidRDefault="00D3063E" w:rsidP="00D3063E">
      <w:pPr>
        <w:rPr>
          <w:b/>
          <w:bCs/>
        </w:rPr>
      </w:pPr>
      <w:r w:rsidRPr="002F4348">
        <w:rPr>
          <w:b/>
          <w:bCs/>
        </w:rPr>
        <w:t xml:space="preserve">Легкие. </w:t>
      </w:r>
    </w:p>
    <w:p w14:paraId="6934EC76" w14:textId="77777777" w:rsidR="00D3063E" w:rsidRPr="002F4348" w:rsidRDefault="00D3063E" w:rsidP="00D3063E">
      <w:r w:rsidRPr="002F4348">
        <w:t>Толерантность легких у детей малоизучена и, по-видимому, существенно не различается у взрослых и детей школьного возраста. Доза, указанная в данных рекомендациях (12-15 Гр) для тотального облучения легкого с малой вероятностью может привести к значительному ухудшению функции легких. Тем не менее, облучение всего легкого в дозе 1</w:t>
      </w:r>
      <w:r w:rsidR="00BB661F" w:rsidRPr="002F4348">
        <w:t>2</w:t>
      </w:r>
      <w:r w:rsidRPr="002F4348">
        <w:t xml:space="preserve"> Гр у детей младше 6 лет может привести к постоянному снижению жизненной емкости легких. </w:t>
      </w:r>
    </w:p>
    <w:p w14:paraId="2E60527F" w14:textId="77777777" w:rsidR="00D3063E" w:rsidRPr="002F4348" w:rsidRDefault="00D3063E" w:rsidP="00D3063E">
      <w:r w:rsidRPr="002F4348">
        <w:rPr>
          <w:b/>
          <w:bCs/>
        </w:rPr>
        <w:t>Сердце</w:t>
      </w:r>
      <w:r w:rsidRPr="002F4348">
        <w:t>.</w:t>
      </w:r>
    </w:p>
    <w:p w14:paraId="40498DA1" w14:textId="77777777" w:rsidR="00D3063E" w:rsidRPr="002F4348" w:rsidRDefault="00D3063E" w:rsidP="00D3063E">
      <w:r w:rsidRPr="002F4348">
        <w:t>Нарушение функции миокарда и артерий может произойти после длительного латентного периода (20 лет и более) как отдаленное последствие радиационно-индуцированной пролиферации эндотелия. Нет четкой информации о влиянии возраста на момент облучения. Облучение сердца должно быть максимально сокращено, особенно в сочетании с применением кардиотоксических антрациклинов, которые могут снизить общую толерантность сердца.</w:t>
      </w:r>
      <w:r w:rsidR="00063D1A" w:rsidRPr="002F4348">
        <w:t xml:space="preserve"> Возможен фиброз и кальциноз клапанов вплоть до образования пороков.</w:t>
      </w:r>
      <w:r w:rsidRPr="002F4348">
        <w:t xml:space="preserve"> Таким образом</w:t>
      </w:r>
      <w:r w:rsidR="00470887" w:rsidRPr="002F4348">
        <w:t>,</w:t>
      </w:r>
      <w:r w:rsidRPr="002F4348">
        <w:t xml:space="preserve"> облучаемый объем сердца и доза на сердце должны быть сведены к минимуму. Не </w:t>
      </w:r>
      <w:r w:rsidR="00063D1A" w:rsidRPr="002F4348">
        <w:t xml:space="preserve">рекомендуется </w:t>
      </w:r>
      <w:r w:rsidRPr="002F4348">
        <w:t xml:space="preserve">превышение дозы на сердце 30 Гр. </w:t>
      </w:r>
    </w:p>
    <w:p w14:paraId="60CB3BDE" w14:textId="77777777" w:rsidR="00D3063E" w:rsidRPr="002F4348" w:rsidRDefault="00D3063E" w:rsidP="00D3063E">
      <w:pPr>
        <w:rPr>
          <w:b/>
          <w:bCs/>
        </w:rPr>
      </w:pPr>
      <w:r w:rsidRPr="002F4348">
        <w:rPr>
          <w:b/>
          <w:bCs/>
        </w:rPr>
        <w:t xml:space="preserve">Молочные железы. </w:t>
      </w:r>
    </w:p>
    <w:p w14:paraId="6FC4A071" w14:textId="77777777" w:rsidR="00D3063E" w:rsidRPr="002F4348" w:rsidRDefault="00D3063E" w:rsidP="00D3063E">
      <w:r w:rsidRPr="002F4348">
        <w:t>Поздних неблагоприятных детерминированных эффектов на полностью развитые молочные железы не следует ожидать.</w:t>
      </w:r>
      <w:r w:rsidR="00063D1A" w:rsidRPr="002F4348">
        <w:t xml:space="preserve"> В то же время, </w:t>
      </w:r>
      <w:r w:rsidRPr="002F4348">
        <w:t>неразвитые ювенильные молочные железы обладают высокой радиочувствительностью. После облучения неразвитой молочной железы в дозе от 5 до 10 Гр, может возникнуть гипоплазия или аплазия всей молочной железы или ее части в подростковом возрасте.</w:t>
      </w:r>
    </w:p>
    <w:p w14:paraId="654C055C" w14:textId="77777777" w:rsidR="00D3063E" w:rsidRPr="002F4348" w:rsidRDefault="00D3063E" w:rsidP="00D3063E">
      <w:pPr>
        <w:rPr>
          <w:b/>
          <w:bCs/>
        </w:rPr>
      </w:pPr>
      <w:r w:rsidRPr="002F4348">
        <w:rPr>
          <w:b/>
          <w:bCs/>
        </w:rPr>
        <w:t xml:space="preserve">Почки. </w:t>
      </w:r>
    </w:p>
    <w:p w14:paraId="3076936F" w14:textId="77777777" w:rsidR="00D3063E" w:rsidRPr="002F4348" w:rsidRDefault="00D3063E" w:rsidP="00D3063E">
      <w:r w:rsidRPr="002F4348">
        <w:t xml:space="preserve">Почки очень радиочувствительны. Нет четкой информации о влиянии возраста на момент облучения. Рекомендуемая толерантная доза облучения всей почки составляет 12 Гр. При облучении целого органа в данной дозе не ожидается никаких существенных долгосрочных неблагоприятных последствий. </w:t>
      </w:r>
      <w:r w:rsidRPr="002F4348">
        <w:rPr>
          <w:color w:val="000000"/>
        </w:rPr>
        <w:t>Ч</w:t>
      </w:r>
      <w:r w:rsidRPr="002F4348">
        <w:t>астично</w:t>
      </w:r>
      <w:r w:rsidRPr="002F4348">
        <w:rPr>
          <w:color w:val="000000"/>
        </w:rPr>
        <w:t xml:space="preserve">е </w:t>
      </w:r>
      <w:r w:rsidRPr="002F4348">
        <w:t>облучении почки (например</w:t>
      </w:r>
      <w:r w:rsidR="00063D1A" w:rsidRPr="002F4348">
        <w:t>,</w:t>
      </w:r>
      <w:r w:rsidRPr="002F4348">
        <w:t xml:space="preserve"> верхний левый полюс почки при облучении селезенки и ножки селезенки)</w:t>
      </w:r>
      <w:r w:rsidRPr="002F4348">
        <w:rPr>
          <w:color w:val="000000"/>
        </w:rPr>
        <w:t xml:space="preserve"> в дозе </w:t>
      </w:r>
      <w:r w:rsidRPr="002F4348">
        <w:t>20 Гр или более</w:t>
      </w:r>
      <w:r w:rsidRPr="002F4348">
        <w:rPr>
          <w:color w:val="000000"/>
        </w:rPr>
        <w:t xml:space="preserve"> </w:t>
      </w:r>
      <w:r w:rsidRPr="002F4348">
        <w:t>может привести к фиброзу верхнего полюса почки и вызвать локальные функциональные нарушения.</w:t>
      </w:r>
    </w:p>
    <w:p w14:paraId="5002CA36" w14:textId="77777777" w:rsidR="00D3063E" w:rsidRPr="002F4348" w:rsidRDefault="00D3063E" w:rsidP="00D3063E">
      <w:pPr>
        <w:rPr>
          <w:b/>
          <w:bCs/>
        </w:rPr>
      </w:pPr>
      <w:r w:rsidRPr="002F4348">
        <w:rPr>
          <w:b/>
          <w:bCs/>
        </w:rPr>
        <w:t xml:space="preserve">Печень. </w:t>
      </w:r>
    </w:p>
    <w:p w14:paraId="16145F00" w14:textId="77777777" w:rsidR="00D3063E" w:rsidRPr="002F4348" w:rsidRDefault="00063D1A" w:rsidP="00D3063E">
      <w:r w:rsidRPr="002F4348">
        <w:t xml:space="preserve">Рекомендуется рассматривать толерантную дозу для </w:t>
      </w:r>
      <w:r w:rsidR="00D3063E" w:rsidRPr="002F4348">
        <w:t>всего органа 15 Гр. Это относится и к</w:t>
      </w:r>
      <w:r w:rsidR="00D3063E" w:rsidRPr="002F4348">
        <w:rPr>
          <w:color w:val="000000"/>
        </w:rPr>
        <w:t xml:space="preserve"> </w:t>
      </w:r>
      <w:r w:rsidR="00D3063E" w:rsidRPr="002F4348">
        <w:t>лучев</w:t>
      </w:r>
      <w:r w:rsidR="00D3063E" w:rsidRPr="002F4348">
        <w:rPr>
          <w:color w:val="000000"/>
        </w:rPr>
        <w:t xml:space="preserve">ой </w:t>
      </w:r>
      <w:r w:rsidR="00D3063E" w:rsidRPr="002F4348">
        <w:t>терапи</w:t>
      </w:r>
      <w:r w:rsidR="00D3063E" w:rsidRPr="002F4348">
        <w:rPr>
          <w:color w:val="000000"/>
        </w:rPr>
        <w:t>и</w:t>
      </w:r>
      <w:r w:rsidR="00D3063E" w:rsidRPr="002F4348">
        <w:t xml:space="preserve"> печени при диссеминированном заболевании органа. Частичное облучение печени (например</w:t>
      </w:r>
      <w:r w:rsidRPr="002F4348">
        <w:t>,</w:t>
      </w:r>
      <w:r w:rsidR="00D3063E" w:rsidRPr="002F4348">
        <w:t xml:space="preserve"> при лучевой терапии верхней части парааортальной области) в дозах 20 Гр и более, не приведет к клинически значимому снижению функции печени в целом. </w:t>
      </w:r>
    </w:p>
    <w:p w14:paraId="268D2D43" w14:textId="77777777" w:rsidR="00D3063E" w:rsidRPr="002F4348" w:rsidRDefault="00D3063E" w:rsidP="00D3063E">
      <w:pPr>
        <w:rPr>
          <w:b/>
          <w:bCs/>
        </w:rPr>
      </w:pPr>
      <w:r w:rsidRPr="002F4348">
        <w:rPr>
          <w:b/>
          <w:bCs/>
        </w:rPr>
        <w:t xml:space="preserve">Щитовидная железа. </w:t>
      </w:r>
    </w:p>
    <w:p w14:paraId="110E27E7" w14:textId="77777777" w:rsidR="00D3063E" w:rsidRPr="002F4348" w:rsidRDefault="00D3063E" w:rsidP="00D3063E">
      <w:r w:rsidRPr="002F4348">
        <w:t>У пациентов может развиться субклинический гипотиреоз после латентного периода 3-4 года или более после облучения органа в дозе 20 Гр или более. Субклинический гипотиреоз может разрешиться спонтанно и потребность проведения терапии в данном случае является спорной. Риск снижения функции щитовидной железы</w:t>
      </w:r>
      <w:r w:rsidRPr="002F4348">
        <w:rPr>
          <w:color w:val="000000"/>
        </w:rPr>
        <w:t xml:space="preserve"> </w:t>
      </w:r>
      <w:r w:rsidRPr="002F4348">
        <w:t>возрастает с увеличением дозы облучения до 30 Гр и может привести к клиническому</w:t>
      </w:r>
      <w:r w:rsidRPr="002F4348">
        <w:rPr>
          <w:color w:val="000000"/>
        </w:rPr>
        <w:t xml:space="preserve"> </w:t>
      </w:r>
      <w:r w:rsidRPr="002F4348">
        <w:t>гипотиреозу, который потребует проведени</w:t>
      </w:r>
      <w:r w:rsidRPr="002F4348">
        <w:rPr>
          <w:color w:val="000000"/>
        </w:rPr>
        <w:t>я</w:t>
      </w:r>
      <w:r w:rsidRPr="002F4348">
        <w:t xml:space="preserve"> заместительной гормональной терапии. </w:t>
      </w:r>
    </w:p>
    <w:p w14:paraId="671D841C" w14:textId="77777777" w:rsidR="00D3063E" w:rsidRPr="002F4348" w:rsidRDefault="00D3063E" w:rsidP="00D3063E">
      <w:pPr>
        <w:rPr>
          <w:b/>
          <w:bCs/>
        </w:rPr>
      </w:pPr>
      <w:r w:rsidRPr="002F4348">
        <w:rPr>
          <w:b/>
          <w:bCs/>
        </w:rPr>
        <w:t xml:space="preserve">Яички. </w:t>
      </w:r>
    </w:p>
    <w:p w14:paraId="7262130A" w14:textId="77777777" w:rsidR="00D3063E" w:rsidRPr="002F4348" w:rsidRDefault="00D3063E" w:rsidP="00D3063E">
      <w:r w:rsidRPr="002F4348">
        <w:t>Яички являются наиболее радиочувствительным органом. Доза 1-2 Гр может привести к необратимому нарушению сперматогенеза. Поэтому яички должны быть защищены вовремя</w:t>
      </w:r>
      <w:r w:rsidRPr="002F4348">
        <w:rPr>
          <w:color w:val="000000"/>
        </w:rPr>
        <w:t xml:space="preserve"> </w:t>
      </w:r>
      <w:r w:rsidRPr="002F4348">
        <w:t>облучение подвздошной и/или паховой областей с помощью современных методик облучения или путем</w:t>
      </w:r>
      <w:r w:rsidRPr="002F4348">
        <w:rPr>
          <w:color w:val="000000"/>
        </w:rPr>
        <w:t xml:space="preserve"> </w:t>
      </w:r>
      <w:r w:rsidRPr="002F4348">
        <w:t xml:space="preserve">прямого экранирования. </w:t>
      </w:r>
    </w:p>
    <w:p w14:paraId="378163EA" w14:textId="77777777" w:rsidR="00D3063E" w:rsidRPr="002F4348" w:rsidRDefault="00D3063E" w:rsidP="00D3063E">
      <w:pPr>
        <w:rPr>
          <w:b/>
          <w:bCs/>
        </w:rPr>
      </w:pPr>
      <w:bookmarkStart w:id="62" w:name="_gjdgxs" w:colFirst="0" w:colLast="0"/>
      <w:bookmarkEnd w:id="62"/>
      <w:r w:rsidRPr="002F4348">
        <w:rPr>
          <w:b/>
          <w:bCs/>
        </w:rPr>
        <w:t xml:space="preserve">Яичники. </w:t>
      </w:r>
    </w:p>
    <w:p w14:paraId="79E2D674" w14:textId="77777777" w:rsidR="00D3063E" w:rsidRPr="002F4348" w:rsidRDefault="00D3063E" w:rsidP="00D3063E">
      <w:r w:rsidRPr="002F4348">
        <w:t>После накопленной дозы 5-10 Гр в яичниках индуцируется гибель клеток ооцитов, что приводит к бесплодию. Эндокринная недостаточность возникает после достижения более высоких доз (около 10-15 Гр). В таких случаях может потребоваться заместительная гормональная терапия в зависимости от гормонального статуса в пубертатный период. Чтобы избежать нарушения функции яичников, по крайней мере один яичник должен быть защищен от действия в том числе и рассеянного излучения.</w:t>
      </w:r>
      <w:r w:rsidR="00063D1A" w:rsidRPr="002F4348">
        <w:t xml:space="preserve"> Рекомендуется рассмотреть оперативное выведение яичников из полей предполагаемого облучения (овариопексия).</w:t>
      </w:r>
    </w:p>
    <w:p w14:paraId="0E4A272A" w14:textId="77777777" w:rsidR="00063D1A" w:rsidRPr="002F4348" w:rsidRDefault="00063D1A" w:rsidP="00D3063E">
      <w:pPr>
        <w:rPr>
          <w:b/>
          <w:bCs/>
        </w:rPr>
      </w:pPr>
      <w:r w:rsidRPr="002F4348">
        <w:rPr>
          <w:b/>
          <w:bCs/>
        </w:rPr>
        <w:t>Вторичные опухоли</w:t>
      </w:r>
    </w:p>
    <w:p w14:paraId="4DCD3605" w14:textId="4C651E01" w:rsidR="00063D1A" w:rsidRDefault="00063D1A" w:rsidP="00D3063E">
      <w:r w:rsidRPr="002F4348">
        <w:t>Лучевая терапия в детском возрасте увеличивает риск развития</w:t>
      </w:r>
      <w:r w:rsidR="00233F79" w:rsidRPr="002F4348">
        <w:t xml:space="preserve"> широкого спектра</w:t>
      </w:r>
      <w:r w:rsidRPr="002F4348">
        <w:t xml:space="preserve"> вторичных опухолей. Наиболее часто встречается рак молочной железы у женщин, которым в детском возрасте проводилась лучевая терапия на область средостения и подмышечные области. В связи с этим рекомендуется регулярное обследование молочных желез на выявление рака </w:t>
      </w:r>
      <w:r w:rsidR="00233F79" w:rsidRPr="002F4348">
        <w:t>у женщин старше 25 лет или через 8 лет после проведения ЛТ. После облучения шейных лимфоузлов повышается риск развития опухолей, в т. ч. злокачественных, щитовидной железы.</w:t>
      </w:r>
    </w:p>
    <w:p w14:paraId="5E3CE66D" w14:textId="77777777" w:rsidR="009E748A" w:rsidRDefault="009E748A" w:rsidP="00D3063E"/>
    <w:p w14:paraId="030C88F4" w14:textId="3F55C1CE" w:rsidR="0036594F" w:rsidRDefault="009E748A" w:rsidP="0036594F">
      <w:pPr>
        <w:pStyle w:val="2"/>
      </w:pPr>
      <w:bookmarkStart w:id="63" w:name="_Toc65586408"/>
      <w:r w:rsidRPr="002F4348">
        <w:t>7.</w:t>
      </w:r>
      <w:r>
        <w:t xml:space="preserve">6. </w:t>
      </w:r>
      <w:r w:rsidR="0036594F" w:rsidRPr="005E31D3">
        <w:rPr>
          <w:lang w:eastAsia="ru-RU"/>
        </w:rPr>
        <w:t>Профилактика и лечение тошноты и рвоты</w:t>
      </w:r>
      <w:bookmarkEnd w:id="63"/>
      <w:r w:rsidR="0036594F" w:rsidRPr="009600FA">
        <w:rPr>
          <w:lang w:eastAsia="ru-RU"/>
        </w:rPr>
        <w:t xml:space="preserve"> </w:t>
      </w:r>
    </w:p>
    <w:p w14:paraId="6B5BD4E7" w14:textId="7627FF1A" w:rsidR="0036594F" w:rsidRPr="001957E3" w:rsidRDefault="0036594F" w:rsidP="0036594F">
      <w:r w:rsidRPr="001957E3">
        <w:t xml:space="preserve">Одним из частых клинически значимых побочных эффектов </w:t>
      </w:r>
      <w:r>
        <w:t>П</w:t>
      </w:r>
      <w:r w:rsidRPr="001957E3">
        <w:t>ХТ является тошнота и рвота. Эти побочные явления приводят не только к ухудшению самочувствия пациента, снижению качества жизни, но и препятствуют применению лекарственных препаратов в пероральной форме, а также приему пищи. Появление новых комбинаций противоопухолевых средств приводит к улучшению результатов терапии онкогематологических больных, однако выраженная тошнота и рвота могут ограничивать применение химиопрепаратов в полных дозах, отрицательно влиять на приверженность больных лечению. В связи с этим контроль тошноты и рвоты играет жизненно важную роль в сопроводительной терапии больных гемобластозами</w:t>
      </w:r>
      <w:r>
        <w:t xml:space="preserve"> </w:t>
      </w:r>
      <w:r>
        <w:fldChar w:fldCharType="begin" w:fldLock="1"/>
      </w:r>
      <w:r w:rsidR="005F3BE6">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[66,74–79]","plainTextFormattedCitation":"[66,74–79]","previouslyFormattedCitation":"[66,74–79]"},"properties":{"noteIndex":0},"schema":"https://github.com/citation-style-language/schema/raw/master/csl-citation.json"}</w:instrText>
      </w:r>
      <w:r>
        <w:fldChar w:fldCharType="separate"/>
      </w:r>
      <w:r w:rsidRPr="0036594F">
        <w:rPr>
          <w:noProof/>
        </w:rPr>
        <w:t>[66,74–79]</w:t>
      </w:r>
      <w:r>
        <w:fldChar w:fldCharType="end"/>
      </w:r>
      <w:r w:rsidRPr="001957E3">
        <w:t xml:space="preserve">. </w:t>
      </w:r>
    </w:p>
    <w:p w14:paraId="3D039F6C" w14:textId="77777777" w:rsidR="0036594F" w:rsidRPr="001957E3" w:rsidRDefault="0036594F" w:rsidP="0036594F">
      <w:r w:rsidRPr="001957E3">
        <w:t>Тошнота и рвота развиваются при возбуждении рвотного центра несколькими путями - при воздействии нейротрансмиттеров на его рецепторы, или при поступлении в него импульсов от хеморецепторов триггерной зоны. Химическими веществами, вызывающими активацию рвотного центра, являются дофамин, серотонин, гистамин, ацетилхолин и субстанция Р (нейрокинин-1 - NK-1). Противорвотные препараты избирательно блокируют какой-либо из перечисленных нейротрансмиттеров.</w:t>
      </w:r>
    </w:p>
    <w:p w14:paraId="4F07D5AA" w14:textId="77777777" w:rsidR="0036594F" w:rsidRDefault="0036594F" w:rsidP="0036594F">
      <w:pPr>
        <w:pStyle w:val="Normal11"/>
        <w:tabs>
          <w:tab w:val="left" w:pos="0"/>
        </w:tabs>
        <w:spacing w:line="360" w:lineRule="auto"/>
        <w:ind w:firstLine="699"/>
        <w:jc w:val="both"/>
        <w:rPr>
          <w:rFonts w:cs="Times New Roman"/>
          <w:bCs/>
          <w:i/>
          <w:iCs/>
          <w:u w:val="single"/>
          <w:shd w:val="clear" w:color="auto" w:fill="FFFFFF"/>
        </w:rPr>
      </w:pPr>
    </w:p>
    <w:p w14:paraId="7A9CB604" w14:textId="77777777" w:rsidR="0036594F" w:rsidRPr="00733870" w:rsidRDefault="0036594F" w:rsidP="0036594F">
      <w:pPr>
        <w:pStyle w:val="Normal11"/>
        <w:tabs>
          <w:tab w:val="left" w:pos="0"/>
        </w:tabs>
        <w:spacing w:line="360" w:lineRule="auto"/>
        <w:ind w:firstLine="699"/>
        <w:jc w:val="both"/>
        <w:rPr>
          <w:rFonts w:cs="Times New Roman"/>
          <w:bCs/>
          <w:i/>
          <w:iCs/>
          <w:u w:val="single"/>
          <w:shd w:val="clear" w:color="auto" w:fill="FFFFFF"/>
        </w:rPr>
      </w:pPr>
      <w:r w:rsidRPr="00733870">
        <w:rPr>
          <w:rFonts w:cs="Times New Roman"/>
          <w:bCs/>
          <w:i/>
          <w:iCs/>
          <w:u w:val="single"/>
          <w:shd w:val="clear" w:color="auto" w:fill="FFFFFF"/>
        </w:rPr>
        <w:t>Типы тошноты и рвоты</w:t>
      </w:r>
    </w:p>
    <w:p w14:paraId="68FFC0CB" w14:textId="77777777" w:rsidR="0036594F" w:rsidRPr="001957E3" w:rsidRDefault="0036594F" w:rsidP="00B153FC">
      <w:pPr>
        <w:pStyle w:val="afe"/>
        <w:numPr>
          <w:ilvl w:val="0"/>
          <w:numId w:val="48"/>
        </w:numPr>
        <w:contextualSpacing w:val="0"/>
      </w:pPr>
      <w:r w:rsidRPr="001957E3">
        <w:t xml:space="preserve">Острая рвота – развивается в первые 24 ч после </w:t>
      </w:r>
      <w:r>
        <w:t>П</w:t>
      </w:r>
      <w:r w:rsidRPr="001957E3">
        <w:t>ХТ; отличается высокой интенсивностью; редко сопровождается тошнотой.</w:t>
      </w:r>
    </w:p>
    <w:p w14:paraId="36942A00" w14:textId="77777777" w:rsidR="0036594F" w:rsidRPr="001957E3" w:rsidRDefault="0036594F" w:rsidP="00B153FC">
      <w:pPr>
        <w:pStyle w:val="afe"/>
        <w:numPr>
          <w:ilvl w:val="0"/>
          <w:numId w:val="48"/>
        </w:numPr>
        <w:contextualSpacing w:val="0"/>
      </w:pPr>
      <w:r w:rsidRPr="001957E3">
        <w:t xml:space="preserve">Отсроченная рвота – развивается на 2-5 сутки после начала </w:t>
      </w:r>
      <w:r>
        <w:t>П</w:t>
      </w:r>
      <w:r w:rsidRPr="001957E3">
        <w:t>ХТ; менее интенсивна, чем острая; часто сопровождается постоянной тошнотой.</w:t>
      </w:r>
    </w:p>
    <w:p w14:paraId="6D1C1E4F" w14:textId="77777777" w:rsidR="0036594F" w:rsidRPr="001957E3" w:rsidRDefault="0036594F" w:rsidP="00B153FC">
      <w:pPr>
        <w:pStyle w:val="afe"/>
        <w:numPr>
          <w:ilvl w:val="0"/>
          <w:numId w:val="48"/>
        </w:numPr>
        <w:contextualSpacing w:val="0"/>
      </w:pPr>
      <w:r w:rsidRPr="001957E3">
        <w:t xml:space="preserve">Условно-рефлекторная рвота – развивается как условный рефлекс на </w:t>
      </w:r>
      <w:r>
        <w:t>П</w:t>
      </w:r>
      <w:r w:rsidRPr="001957E3">
        <w:t xml:space="preserve">ХТ и/или сопутствующие ей манипуляции и окружающую обстановку; риск ее развития увеличивается с количеством курсов </w:t>
      </w:r>
      <w:r>
        <w:t>П</w:t>
      </w:r>
      <w:r w:rsidRPr="001957E3">
        <w:t xml:space="preserve">ХТ; может сохраняться в течение длительного времени после окончания </w:t>
      </w:r>
      <w:r>
        <w:t>П</w:t>
      </w:r>
      <w:r w:rsidRPr="001957E3">
        <w:t>ХТ.</w:t>
      </w:r>
    </w:p>
    <w:p w14:paraId="6AC3B482" w14:textId="77777777" w:rsidR="0036594F" w:rsidRPr="001957E3" w:rsidRDefault="0036594F" w:rsidP="00B153FC">
      <w:pPr>
        <w:pStyle w:val="afe"/>
        <w:numPr>
          <w:ilvl w:val="0"/>
          <w:numId w:val="48"/>
        </w:numPr>
        <w:contextualSpacing w:val="0"/>
      </w:pPr>
      <w:r w:rsidRPr="001957E3">
        <w:t>Неконтролируемая тошнота и рвота – развивается на фоне адекватной антиэметической профилактики и требует дополнительной коррекции.</w:t>
      </w:r>
    </w:p>
    <w:p w14:paraId="70F0CA26" w14:textId="77777777" w:rsidR="0036594F" w:rsidRPr="001957E3" w:rsidRDefault="0036594F" w:rsidP="00B153FC">
      <w:pPr>
        <w:pStyle w:val="afe"/>
        <w:numPr>
          <w:ilvl w:val="0"/>
          <w:numId w:val="48"/>
        </w:numPr>
        <w:contextualSpacing w:val="0"/>
      </w:pPr>
      <w:r w:rsidRPr="001957E3">
        <w:t xml:space="preserve">Рефрактерная рвота – возникает на последующих курсах </w:t>
      </w:r>
      <w:r>
        <w:t>П</w:t>
      </w:r>
      <w:r w:rsidRPr="001957E3">
        <w:t>ХТ при неэффективности противорвотной профилактики и / или препаратов резерва на предыдущих курсах лечения.</w:t>
      </w:r>
    </w:p>
    <w:p w14:paraId="6087F55C" w14:textId="77777777" w:rsidR="0036594F" w:rsidRDefault="0036594F" w:rsidP="0036594F">
      <w:pPr>
        <w:pStyle w:val="Normal11"/>
        <w:tabs>
          <w:tab w:val="left" w:pos="0"/>
        </w:tabs>
        <w:spacing w:line="360" w:lineRule="auto"/>
        <w:ind w:left="0" w:firstLine="0"/>
        <w:jc w:val="both"/>
        <w:rPr>
          <w:rFonts w:cs="Times New Roman"/>
          <w:b/>
          <w:shd w:val="clear" w:color="auto" w:fill="FFFFFF"/>
        </w:rPr>
      </w:pPr>
    </w:p>
    <w:p w14:paraId="5ADCB771" w14:textId="77777777" w:rsidR="0036594F" w:rsidRPr="00733870" w:rsidRDefault="0036594F" w:rsidP="0036594F">
      <w:pPr>
        <w:pStyle w:val="Normal11"/>
        <w:tabs>
          <w:tab w:val="left" w:pos="426"/>
        </w:tabs>
        <w:spacing w:line="360" w:lineRule="auto"/>
        <w:ind w:left="0" w:firstLine="426"/>
        <w:jc w:val="both"/>
        <w:rPr>
          <w:rFonts w:cs="Times New Roman"/>
          <w:bCs/>
          <w:i/>
          <w:iCs/>
          <w:u w:val="single"/>
          <w:shd w:val="clear" w:color="auto" w:fill="FFFFFF"/>
        </w:rPr>
      </w:pPr>
      <w:r w:rsidRPr="00733870">
        <w:rPr>
          <w:rFonts w:cs="Times New Roman"/>
          <w:bCs/>
          <w:i/>
          <w:iCs/>
          <w:u w:val="single"/>
          <w:shd w:val="clear" w:color="auto" w:fill="FFFFFF"/>
        </w:rPr>
        <w:t>Эметогенный потенциал противоопухолевых препаратов</w:t>
      </w:r>
    </w:p>
    <w:p w14:paraId="60764EE7" w14:textId="436FC98B" w:rsidR="0036594F" w:rsidRPr="001957E3" w:rsidRDefault="0036594F" w:rsidP="0036594F">
      <w:r w:rsidRPr="001957E3">
        <w:t>Эметогенность – это риск развития рвоты у больных, получающих противоопухолевый препарат (в монорежиме, без противорвотной терапии). Выделено 4 градации эметогенного потенциала</w:t>
      </w:r>
      <w:r>
        <w:t xml:space="preserve"> (см. таблицу 1) </w:t>
      </w:r>
      <w:r>
        <w:fldChar w:fldCharType="begin" w:fldLock="1"/>
      </w:r>
      <w:r w:rsidR="005F3BE6">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[66,74–79]","plainTextFormattedCitation":"[66,74–79]","previouslyFormattedCitation":"[66,74–79]"},"properties":{"noteIndex":0},"schema":"https://github.com/citation-style-language/schema/raw/master/csl-citation.json"}</w:instrText>
      </w:r>
      <w:r>
        <w:fldChar w:fldCharType="separate"/>
      </w:r>
      <w:r w:rsidRPr="0036594F">
        <w:rPr>
          <w:noProof/>
        </w:rPr>
        <w:t>[66,74–79]</w:t>
      </w:r>
      <w:r>
        <w:fldChar w:fldCharType="end"/>
      </w:r>
      <w:r w:rsidRPr="001957E3">
        <w:t>:</w:t>
      </w:r>
    </w:p>
    <w:p w14:paraId="35BDE07D" w14:textId="77777777" w:rsidR="0036594F" w:rsidRPr="001957E3" w:rsidRDefault="0036594F" w:rsidP="00B153FC">
      <w:pPr>
        <w:pStyle w:val="afe"/>
        <w:numPr>
          <w:ilvl w:val="0"/>
          <w:numId w:val="49"/>
        </w:numPr>
        <w:contextualSpacing w:val="0"/>
      </w:pPr>
      <w:r w:rsidRPr="001957E3">
        <w:t xml:space="preserve">минимальный </w:t>
      </w:r>
      <w:r>
        <w:t>–</w:t>
      </w:r>
      <w:r w:rsidRPr="001957E3">
        <w:t xml:space="preserve"> развитие рвоты менее чем у 10% </w:t>
      </w:r>
      <w:r>
        <w:t>пациентов</w:t>
      </w:r>
      <w:r w:rsidRPr="001957E3">
        <w:t>;</w:t>
      </w:r>
    </w:p>
    <w:p w14:paraId="5059FCD1" w14:textId="77777777" w:rsidR="0036594F" w:rsidRPr="001957E3" w:rsidRDefault="0036594F" w:rsidP="00B153FC">
      <w:pPr>
        <w:pStyle w:val="afe"/>
        <w:numPr>
          <w:ilvl w:val="0"/>
          <w:numId w:val="49"/>
        </w:numPr>
        <w:contextualSpacing w:val="0"/>
      </w:pPr>
      <w:r w:rsidRPr="001957E3">
        <w:t xml:space="preserve">низкий </w:t>
      </w:r>
      <w:r>
        <w:t>–</w:t>
      </w:r>
      <w:r w:rsidRPr="001957E3">
        <w:t xml:space="preserve"> развитие рвоты у 10 - 30% </w:t>
      </w:r>
      <w:r>
        <w:t>пациентов</w:t>
      </w:r>
      <w:r w:rsidRPr="001957E3">
        <w:t>;</w:t>
      </w:r>
    </w:p>
    <w:p w14:paraId="2744BCDD" w14:textId="77777777" w:rsidR="0036594F" w:rsidRPr="001957E3" w:rsidRDefault="0036594F" w:rsidP="00B153FC">
      <w:pPr>
        <w:pStyle w:val="afe"/>
        <w:numPr>
          <w:ilvl w:val="0"/>
          <w:numId w:val="49"/>
        </w:numPr>
        <w:contextualSpacing w:val="0"/>
      </w:pPr>
      <w:r w:rsidRPr="001957E3">
        <w:t xml:space="preserve">средний </w:t>
      </w:r>
      <w:r>
        <w:t>–</w:t>
      </w:r>
      <w:r w:rsidRPr="001957E3">
        <w:t xml:space="preserve"> развитие рвоты у 30 - 90% </w:t>
      </w:r>
      <w:r>
        <w:t>пациентов</w:t>
      </w:r>
      <w:r w:rsidRPr="001957E3">
        <w:t>;</w:t>
      </w:r>
    </w:p>
    <w:p w14:paraId="130E2315" w14:textId="77777777" w:rsidR="0036594F" w:rsidRDefault="0036594F" w:rsidP="00B153FC">
      <w:pPr>
        <w:pStyle w:val="afe"/>
        <w:numPr>
          <w:ilvl w:val="0"/>
          <w:numId w:val="49"/>
        </w:numPr>
        <w:contextualSpacing w:val="0"/>
      </w:pPr>
      <w:r w:rsidRPr="001957E3">
        <w:t xml:space="preserve">высокий </w:t>
      </w:r>
      <w:r>
        <w:t>–</w:t>
      </w:r>
      <w:r w:rsidRPr="001957E3">
        <w:t xml:space="preserve"> развитие рвоты более чем у 90% </w:t>
      </w:r>
      <w:r>
        <w:t>пациентов</w:t>
      </w:r>
      <w:r w:rsidRPr="001957E3">
        <w:t>.</w:t>
      </w:r>
    </w:p>
    <w:p w14:paraId="2064AA55" w14:textId="77777777" w:rsidR="0036594F" w:rsidRDefault="0036594F" w:rsidP="0036594F">
      <w:pPr>
        <w:ind w:firstLine="0"/>
      </w:pPr>
    </w:p>
    <w:p w14:paraId="50E74037" w14:textId="77777777" w:rsidR="0036594F" w:rsidRPr="001957E3" w:rsidRDefault="0036594F" w:rsidP="0036594F">
      <w:pPr>
        <w:ind w:firstLine="0"/>
      </w:pPr>
      <w:r>
        <w:t>Таблица 1. Уровень эметогенности основных противоопухолевых препаратов</w:t>
      </w:r>
    </w:p>
    <w:tbl>
      <w:tblPr>
        <w:tblStyle w:val="aff9"/>
        <w:tblW w:w="0" w:type="auto"/>
        <w:tblInd w:w="10" w:type="dxa"/>
        <w:tblLook w:val="04A0" w:firstRow="1" w:lastRow="0" w:firstColumn="1" w:lastColumn="0" w:noHBand="0" w:noVBand="1"/>
      </w:tblPr>
      <w:tblGrid>
        <w:gridCol w:w="1837"/>
        <w:gridCol w:w="3746"/>
        <w:gridCol w:w="3746"/>
      </w:tblGrid>
      <w:tr w:rsidR="0036594F" w14:paraId="7D72AB40" w14:textId="77777777" w:rsidTr="002D3EBF">
        <w:trPr>
          <w:trHeight w:val="692"/>
        </w:trPr>
        <w:tc>
          <w:tcPr>
            <w:tcW w:w="1837" w:type="dxa"/>
          </w:tcPr>
          <w:p w14:paraId="529766CE" w14:textId="77777777" w:rsidR="0036594F" w:rsidRPr="00DE20E4" w:rsidRDefault="0036594F" w:rsidP="002D3EBF">
            <w:pPr>
              <w:pStyle w:val="Normal11"/>
              <w:shd w:val="clear" w:color="auto" w:fill="auto"/>
              <w:tabs>
                <w:tab w:val="left" w:pos="0"/>
              </w:tabs>
              <w:spacing w:line="360" w:lineRule="auto"/>
              <w:ind w:left="57" w:right="57" w:firstLine="0"/>
              <w:jc w:val="both"/>
              <w:rPr>
                <w:rFonts w:cs="Times New Roman"/>
                <w:b/>
                <w:sz w:val="22"/>
                <w:szCs w:val="22"/>
                <w:shd w:val="clear" w:color="auto" w:fill="FFFFFF"/>
              </w:rPr>
            </w:pPr>
            <w:r w:rsidRPr="00DE20E4">
              <w:rPr>
                <w:rFonts w:cs="Times New Roman"/>
                <w:b/>
                <w:sz w:val="22"/>
                <w:szCs w:val="22"/>
                <w:shd w:val="clear" w:color="auto" w:fill="FFFFFF"/>
              </w:rPr>
              <w:t>Уровень эметогенности</w:t>
            </w:r>
          </w:p>
        </w:tc>
        <w:tc>
          <w:tcPr>
            <w:tcW w:w="3746" w:type="dxa"/>
          </w:tcPr>
          <w:p w14:paraId="154FCB19" w14:textId="77777777" w:rsidR="0036594F" w:rsidRPr="00DE20E4" w:rsidRDefault="0036594F" w:rsidP="002D3EBF">
            <w:pPr>
              <w:pStyle w:val="Normal11"/>
              <w:shd w:val="clear" w:color="auto" w:fill="auto"/>
              <w:tabs>
                <w:tab w:val="left" w:pos="0"/>
              </w:tabs>
              <w:spacing w:line="360" w:lineRule="auto"/>
              <w:ind w:left="57" w:right="57" w:firstLine="0"/>
              <w:rPr>
                <w:rFonts w:cs="Times New Roman"/>
                <w:b/>
                <w:sz w:val="22"/>
                <w:szCs w:val="22"/>
                <w:shd w:val="clear" w:color="auto" w:fill="FFFFFF"/>
              </w:rPr>
            </w:pPr>
            <w:r w:rsidRPr="00DE20E4">
              <w:rPr>
                <w:rFonts w:cs="Times New Roman"/>
                <w:b/>
                <w:sz w:val="22"/>
                <w:szCs w:val="22"/>
                <w:shd w:val="clear" w:color="auto" w:fill="FFFFFF"/>
              </w:rPr>
              <w:t>Противоопухолевые препараты для внутривенного введения</w:t>
            </w:r>
          </w:p>
        </w:tc>
        <w:tc>
          <w:tcPr>
            <w:tcW w:w="3746" w:type="dxa"/>
          </w:tcPr>
          <w:p w14:paraId="312F44E4" w14:textId="77777777" w:rsidR="0036594F" w:rsidRPr="00DE20E4" w:rsidRDefault="0036594F" w:rsidP="002D3EBF">
            <w:pPr>
              <w:pStyle w:val="Normal11"/>
              <w:shd w:val="clear" w:color="auto" w:fill="auto"/>
              <w:tabs>
                <w:tab w:val="left" w:pos="0"/>
              </w:tabs>
              <w:spacing w:line="360" w:lineRule="auto"/>
              <w:ind w:left="57" w:right="57" w:firstLine="0"/>
              <w:rPr>
                <w:rFonts w:cs="Times New Roman"/>
                <w:b/>
                <w:sz w:val="22"/>
                <w:szCs w:val="22"/>
                <w:shd w:val="clear" w:color="auto" w:fill="FFFFFF"/>
              </w:rPr>
            </w:pPr>
            <w:r w:rsidRPr="00DE20E4">
              <w:rPr>
                <w:rFonts w:cs="Times New Roman"/>
                <w:b/>
                <w:sz w:val="22"/>
                <w:szCs w:val="22"/>
                <w:shd w:val="clear" w:color="auto" w:fill="FFFFFF"/>
              </w:rPr>
              <w:t xml:space="preserve">Противоопухолевые препараты для перорального приема </w:t>
            </w:r>
          </w:p>
        </w:tc>
      </w:tr>
      <w:tr w:rsidR="0036594F" w14:paraId="4A5F5F8A" w14:textId="77777777" w:rsidTr="002D3EBF">
        <w:trPr>
          <w:trHeight w:val="692"/>
        </w:trPr>
        <w:tc>
          <w:tcPr>
            <w:tcW w:w="1837" w:type="dxa"/>
          </w:tcPr>
          <w:p w14:paraId="3320C0F2" w14:textId="77777777" w:rsidR="0036594F" w:rsidRDefault="0036594F" w:rsidP="002D3EBF">
            <w:pPr>
              <w:pStyle w:val="Normal11"/>
              <w:shd w:val="clear" w:color="auto" w:fill="auto"/>
              <w:tabs>
                <w:tab w:val="left" w:pos="0"/>
              </w:tabs>
              <w:spacing w:line="360" w:lineRule="auto"/>
              <w:ind w:left="57" w:right="57" w:firstLine="0"/>
              <w:jc w:val="both"/>
              <w:rPr>
                <w:sz w:val="22"/>
                <w:szCs w:val="22"/>
              </w:rPr>
            </w:pPr>
            <w:r w:rsidRPr="00DE20E4">
              <w:rPr>
                <w:sz w:val="22"/>
                <w:szCs w:val="22"/>
              </w:rPr>
              <w:t xml:space="preserve">Высокий </w:t>
            </w:r>
          </w:p>
          <w:p w14:paraId="0A96BFC9" w14:textId="77777777" w:rsidR="0036594F" w:rsidRPr="00DE20E4" w:rsidRDefault="0036594F" w:rsidP="002D3EBF">
            <w:pPr>
              <w:pStyle w:val="Normal11"/>
              <w:shd w:val="clear" w:color="auto" w:fill="auto"/>
              <w:tabs>
                <w:tab w:val="left" w:pos="0"/>
              </w:tabs>
              <w:spacing w:line="360" w:lineRule="auto"/>
              <w:ind w:left="57" w:right="57" w:firstLine="0"/>
              <w:jc w:val="both"/>
              <w:rPr>
                <w:rFonts w:cs="Times New Roman"/>
                <w:sz w:val="22"/>
                <w:szCs w:val="22"/>
                <w:shd w:val="clear" w:color="auto" w:fill="FFFFFF"/>
              </w:rPr>
            </w:pPr>
            <w:r w:rsidRPr="00DE20E4">
              <w:rPr>
                <w:sz w:val="22"/>
                <w:szCs w:val="22"/>
              </w:rPr>
              <w:t>(</w:t>
            </w:r>
            <w:r w:rsidRPr="00DE20E4">
              <w:rPr>
                <w:rFonts w:cs="Times New Roman"/>
                <w:sz w:val="22"/>
                <w:szCs w:val="22"/>
                <w:shd w:val="clear" w:color="auto" w:fill="FFFFFF"/>
              </w:rPr>
              <w:t>&gt;</w:t>
            </w:r>
            <w:r>
              <w:rPr>
                <w:sz w:val="22"/>
                <w:szCs w:val="22"/>
              </w:rPr>
              <w:t>90 %</w:t>
            </w:r>
            <w:r w:rsidRPr="00DE20E4">
              <w:rPr>
                <w:sz w:val="22"/>
                <w:szCs w:val="22"/>
              </w:rPr>
              <w:t>)</w:t>
            </w:r>
          </w:p>
        </w:tc>
        <w:tc>
          <w:tcPr>
            <w:tcW w:w="3746" w:type="dxa"/>
          </w:tcPr>
          <w:p w14:paraId="54483A84" w14:textId="77777777" w:rsidR="0036594F" w:rsidRPr="00DE20E4" w:rsidRDefault="0036594F" w:rsidP="00B153FC">
            <w:pPr>
              <w:pStyle w:val="Normal11"/>
              <w:numPr>
                <w:ilvl w:val="0"/>
                <w:numId w:val="44"/>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 xml:space="preserve">комбинация антрациклин / циклофосфамид </w:t>
            </w:r>
          </w:p>
          <w:p w14:paraId="71F9B224" w14:textId="77777777" w:rsidR="0036594F" w:rsidRPr="00DE20E4" w:rsidRDefault="0036594F" w:rsidP="00B153FC">
            <w:pPr>
              <w:pStyle w:val="Normal11"/>
              <w:numPr>
                <w:ilvl w:val="0"/>
                <w:numId w:val="44"/>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дакарбазин</w:t>
            </w:r>
          </w:p>
          <w:p w14:paraId="13340744" w14:textId="77777777" w:rsidR="0036594F" w:rsidRPr="00DE20E4" w:rsidRDefault="0036594F" w:rsidP="00B153FC">
            <w:pPr>
              <w:pStyle w:val="Normal11"/>
              <w:numPr>
                <w:ilvl w:val="0"/>
                <w:numId w:val="44"/>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кармустин</w:t>
            </w:r>
          </w:p>
          <w:p w14:paraId="4E077CAA" w14:textId="77777777" w:rsidR="0036594F" w:rsidRPr="00DE20E4" w:rsidRDefault="0036594F" w:rsidP="00B153FC">
            <w:pPr>
              <w:pStyle w:val="Normal11"/>
              <w:numPr>
                <w:ilvl w:val="0"/>
                <w:numId w:val="44"/>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мехлорэтамин</w:t>
            </w:r>
          </w:p>
          <w:p w14:paraId="1046721B" w14:textId="77777777" w:rsidR="0036594F" w:rsidRPr="00DE20E4" w:rsidRDefault="0036594F" w:rsidP="00B153FC">
            <w:pPr>
              <w:pStyle w:val="Normal11"/>
              <w:numPr>
                <w:ilvl w:val="0"/>
                <w:numId w:val="44"/>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стрептозоцин</w:t>
            </w:r>
          </w:p>
          <w:p w14:paraId="7994424F" w14:textId="77777777" w:rsidR="0036594F" w:rsidRPr="00DE20E4" w:rsidRDefault="0036594F" w:rsidP="00B153FC">
            <w:pPr>
              <w:pStyle w:val="Normal11"/>
              <w:numPr>
                <w:ilvl w:val="0"/>
                <w:numId w:val="44"/>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циклофосфамид ≥ 1500 мг / м</w:t>
            </w:r>
            <w:r w:rsidRPr="00046796">
              <w:rPr>
                <w:rFonts w:cs="Times New Roman"/>
                <w:sz w:val="22"/>
                <w:szCs w:val="22"/>
                <w:shd w:val="clear" w:color="auto" w:fill="FFFFFF"/>
                <w:vertAlign w:val="superscript"/>
              </w:rPr>
              <w:t>2</w:t>
            </w:r>
          </w:p>
          <w:p w14:paraId="47C0BBFF" w14:textId="77777777" w:rsidR="0036594F" w:rsidRPr="00DE20E4" w:rsidRDefault="0036594F" w:rsidP="00B153FC">
            <w:pPr>
              <w:pStyle w:val="Normal11"/>
              <w:numPr>
                <w:ilvl w:val="0"/>
                <w:numId w:val="44"/>
              </w:numPr>
              <w:shd w:val="clear" w:color="auto" w:fill="auto"/>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цисплатин</w:t>
            </w:r>
          </w:p>
        </w:tc>
        <w:tc>
          <w:tcPr>
            <w:tcW w:w="3746" w:type="dxa"/>
          </w:tcPr>
          <w:p w14:paraId="47F903AC" w14:textId="77777777" w:rsidR="0036594F" w:rsidRPr="00DE20E4" w:rsidRDefault="0036594F" w:rsidP="00B153FC">
            <w:pPr>
              <w:pStyle w:val="Normal11"/>
              <w:numPr>
                <w:ilvl w:val="0"/>
                <w:numId w:val="44"/>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гексаметилмеламин</w:t>
            </w:r>
          </w:p>
          <w:p w14:paraId="370EB5C0" w14:textId="77777777" w:rsidR="0036594F" w:rsidRPr="00DE20E4" w:rsidRDefault="0036594F" w:rsidP="00B153FC">
            <w:pPr>
              <w:pStyle w:val="Normal11"/>
              <w:numPr>
                <w:ilvl w:val="0"/>
                <w:numId w:val="44"/>
              </w:numPr>
              <w:shd w:val="clear" w:color="auto" w:fill="auto"/>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прокарбазин</w:t>
            </w:r>
          </w:p>
        </w:tc>
      </w:tr>
      <w:tr w:rsidR="0036594F" w14:paraId="5C026BB6" w14:textId="77777777" w:rsidTr="002D3EBF">
        <w:trPr>
          <w:trHeight w:val="692"/>
        </w:trPr>
        <w:tc>
          <w:tcPr>
            <w:tcW w:w="1837" w:type="dxa"/>
          </w:tcPr>
          <w:p w14:paraId="47E11456" w14:textId="77777777" w:rsidR="0036594F" w:rsidRPr="00DE20E4" w:rsidRDefault="0036594F" w:rsidP="002D3EBF">
            <w:pPr>
              <w:pStyle w:val="Normal11"/>
              <w:shd w:val="clear" w:color="auto" w:fill="auto"/>
              <w:tabs>
                <w:tab w:val="left" w:pos="0"/>
              </w:tabs>
              <w:spacing w:line="360" w:lineRule="auto"/>
              <w:ind w:left="57" w:right="57" w:firstLine="0"/>
              <w:jc w:val="both"/>
              <w:rPr>
                <w:rFonts w:cs="Times New Roman"/>
                <w:sz w:val="22"/>
                <w:szCs w:val="22"/>
                <w:shd w:val="clear" w:color="auto" w:fill="FFFFFF"/>
              </w:rPr>
            </w:pPr>
            <w:r w:rsidRPr="00DE20E4">
              <w:rPr>
                <w:sz w:val="22"/>
                <w:szCs w:val="22"/>
              </w:rPr>
              <w:t>Умеренный (30–90 %)</w:t>
            </w:r>
          </w:p>
        </w:tc>
        <w:tc>
          <w:tcPr>
            <w:tcW w:w="3746" w:type="dxa"/>
          </w:tcPr>
          <w:p w14:paraId="20D613F7" w14:textId="77777777" w:rsidR="0036594F" w:rsidRPr="00DE20E4" w:rsidRDefault="0036594F" w:rsidP="00B153FC">
            <w:pPr>
              <w:pStyle w:val="Normal11"/>
              <w:numPr>
                <w:ilvl w:val="0"/>
                <w:numId w:val="45"/>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азацитидин</w:t>
            </w:r>
          </w:p>
          <w:p w14:paraId="4FC8B3B6" w14:textId="77777777" w:rsidR="0036594F" w:rsidRPr="00DE20E4" w:rsidRDefault="0036594F" w:rsidP="00B153FC">
            <w:pPr>
              <w:pStyle w:val="Normal11"/>
              <w:numPr>
                <w:ilvl w:val="0"/>
                <w:numId w:val="45"/>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алемтузумаб</w:t>
            </w:r>
          </w:p>
          <w:p w14:paraId="61A323CF" w14:textId="77777777" w:rsidR="0036594F" w:rsidRPr="00DE20E4" w:rsidRDefault="0036594F" w:rsidP="00B153FC">
            <w:pPr>
              <w:pStyle w:val="Normal11"/>
              <w:numPr>
                <w:ilvl w:val="0"/>
                <w:numId w:val="45"/>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бендамустин</w:t>
            </w:r>
          </w:p>
          <w:p w14:paraId="4AA19C1B" w14:textId="77777777" w:rsidR="0036594F" w:rsidRPr="00DE20E4" w:rsidRDefault="0036594F" w:rsidP="00B153FC">
            <w:pPr>
              <w:pStyle w:val="Normal11"/>
              <w:numPr>
                <w:ilvl w:val="0"/>
                <w:numId w:val="45"/>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бусульфан</w:t>
            </w:r>
          </w:p>
          <w:p w14:paraId="34EEA4D5" w14:textId="77777777" w:rsidR="0036594F" w:rsidRPr="00DE20E4" w:rsidRDefault="0036594F" w:rsidP="00B153FC">
            <w:pPr>
              <w:pStyle w:val="Normal11"/>
              <w:numPr>
                <w:ilvl w:val="0"/>
                <w:numId w:val="45"/>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даунорубицин</w:t>
            </w:r>
          </w:p>
          <w:p w14:paraId="42363DDF" w14:textId="77777777" w:rsidR="0036594F" w:rsidRPr="00DE20E4" w:rsidRDefault="0036594F" w:rsidP="00B153FC">
            <w:pPr>
              <w:pStyle w:val="Normal11"/>
              <w:numPr>
                <w:ilvl w:val="0"/>
                <w:numId w:val="45"/>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доксорубицин</w:t>
            </w:r>
          </w:p>
          <w:p w14:paraId="35F05A38" w14:textId="77777777" w:rsidR="0036594F" w:rsidRPr="00DE20E4" w:rsidRDefault="0036594F" w:rsidP="00B153FC">
            <w:pPr>
              <w:pStyle w:val="Normal11"/>
              <w:numPr>
                <w:ilvl w:val="0"/>
                <w:numId w:val="45"/>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идарубицин</w:t>
            </w:r>
          </w:p>
          <w:p w14:paraId="60C1F7C0" w14:textId="77777777" w:rsidR="0036594F" w:rsidRPr="00DE20E4" w:rsidRDefault="0036594F" w:rsidP="00B153FC">
            <w:pPr>
              <w:pStyle w:val="Normal11"/>
              <w:numPr>
                <w:ilvl w:val="0"/>
                <w:numId w:val="45"/>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иринотекан</w:t>
            </w:r>
          </w:p>
          <w:p w14:paraId="0C4A5FB0" w14:textId="77777777" w:rsidR="0036594F" w:rsidRPr="002C441B" w:rsidRDefault="0036594F" w:rsidP="00B153FC">
            <w:pPr>
              <w:pStyle w:val="Normal11"/>
              <w:numPr>
                <w:ilvl w:val="0"/>
                <w:numId w:val="45"/>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 xml:space="preserve">иринотекан </w:t>
            </w:r>
            <w:r w:rsidRPr="002C441B">
              <w:rPr>
                <w:rFonts w:cs="Times New Roman"/>
                <w:sz w:val="22"/>
                <w:szCs w:val="22"/>
                <w:shd w:val="clear" w:color="auto" w:fill="FFFFFF"/>
              </w:rPr>
              <w:t>[</w:t>
            </w:r>
            <w:r w:rsidRPr="00DE20E4">
              <w:rPr>
                <w:rFonts w:cs="Times New Roman"/>
                <w:sz w:val="22"/>
                <w:szCs w:val="22"/>
                <w:shd w:val="clear" w:color="auto" w:fill="FFFFFF"/>
              </w:rPr>
              <w:t>липосомальная форма</w:t>
            </w:r>
            <w:r w:rsidRPr="002C441B">
              <w:rPr>
                <w:rFonts w:cs="Times New Roman"/>
                <w:sz w:val="22"/>
                <w:szCs w:val="22"/>
                <w:shd w:val="clear" w:color="auto" w:fill="FFFFFF"/>
              </w:rPr>
              <w:t>]</w:t>
            </w:r>
          </w:p>
          <w:p w14:paraId="1C459BBC" w14:textId="77777777" w:rsidR="0036594F" w:rsidRPr="00DE20E4" w:rsidRDefault="0036594F" w:rsidP="00B153FC">
            <w:pPr>
              <w:pStyle w:val="Normal11"/>
              <w:numPr>
                <w:ilvl w:val="0"/>
                <w:numId w:val="45"/>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ифосфамид</w:t>
            </w:r>
          </w:p>
          <w:p w14:paraId="35744900" w14:textId="77777777" w:rsidR="0036594F" w:rsidRPr="00DE20E4" w:rsidRDefault="0036594F" w:rsidP="00B153FC">
            <w:pPr>
              <w:pStyle w:val="Normal11"/>
              <w:numPr>
                <w:ilvl w:val="0"/>
                <w:numId w:val="45"/>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карбоплатин</w:t>
            </w:r>
          </w:p>
          <w:p w14:paraId="49214656" w14:textId="77777777" w:rsidR="0036594F" w:rsidRPr="00DE20E4" w:rsidRDefault="0036594F" w:rsidP="00B153FC">
            <w:pPr>
              <w:pStyle w:val="Normal11"/>
              <w:numPr>
                <w:ilvl w:val="0"/>
                <w:numId w:val="45"/>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клофарабин</w:t>
            </w:r>
          </w:p>
          <w:p w14:paraId="1C943A12" w14:textId="77777777" w:rsidR="0036594F" w:rsidRPr="00DE20E4" w:rsidRDefault="0036594F" w:rsidP="00B153FC">
            <w:pPr>
              <w:pStyle w:val="Normal11"/>
              <w:numPr>
                <w:ilvl w:val="0"/>
                <w:numId w:val="45"/>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оксалиплатин</w:t>
            </w:r>
          </w:p>
          <w:p w14:paraId="7D847C6F" w14:textId="77777777" w:rsidR="0036594F" w:rsidRPr="00DE20E4" w:rsidRDefault="0036594F" w:rsidP="00B153FC">
            <w:pPr>
              <w:pStyle w:val="Normal11"/>
              <w:numPr>
                <w:ilvl w:val="0"/>
                <w:numId w:val="45"/>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 xml:space="preserve">ромидепсин </w:t>
            </w:r>
          </w:p>
          <w:p w14:paraId="5EA69B7E" w14:textId="77777777" w:rsidR="0036594F" w:rsidRPr="00DE20E4" w:rsidRDefault="0036594F" w:rsidP="00B153FC">
            <w:pPr>
              <w:pStyle w:val="Normal11"/>
              <w:numPr>
                <w:ilvl w:val="0"/>
                <w:numId w:val="45"/>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темозоломид</w:t>
            </w:r>
          </w:p>
          <w:p w14:paraId="38A823A4" w14:textId="77777777" w:rsidR="0036594F" w:rsidRPr="00DE20E4" w:rsidRDefault="0036594F" w:rsidP="00B153FC">
            <w:pPr>
              <w:pStyle w:val="Normal11"/>
              <w:numPr>
                <w:ilvl w:val="0"/>
                <w:numId w:val="45"/>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тиотепа</w:t>
            </w:r>
          </w:p>
          <w:p w14:paraId="256C0F84" w14:textId="77777777" w:rsidR="0036594F" w:rsidRPr="00DE20E4" w:rsidRDefault="0036594F" w:rsidP="00B153FC">
            <w:pPr>
              <w:pStyle w:val="Normal11"/>
              <w:numPr>
                <w:ilvl w:val="0"/>
                <w:numId w:val="45"/>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трабектедин</w:t>
            </w:r>
          </w:p>
          <w:p w14:paraId="3D9BF2A0" w14:textId="77777777" w:rsidR="0036594F" w:rsidRPr="00DE20E4" w:rsidRDefault="0036594F" w:rsidP="00B153FC">
            <w:pPr>
              <w:pStyle w:val="Normal11"/>
              <w:numPr>
                <w:ilvl w:val="0"/>
                <w:numId w:val="45"/>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циклофосфамид &lt;1500 мг / м</w:t>
            </w:r>
            <w:r w:rsidRPr="00046796">
              <w:rPr>
                <w:rFonts w:cs="Times New Roman"/>
                <w:sz w:val="22"/>
                <w:szCs w:val="22"/>
                <w:shd w:val="clear" w:color="auto" w:fill="FFFFFF"/>
                <w:vertAlign w:val="superscript"/>
              </w:rPr>
              <w:t>2</w:t>
            </w:r>
          </w:p>
          <w:p w14:paraId="22B7BC65" w14:textId="77777777" w:rsidR="0036594F" w:rsidRPr="00DE20E4" w:rsidRDefault="0036594F" w:rsidP="00B153FC">
            <w:pPr>
              <w:pStyle w:val="Normal11"/>
              <w:numPr>
                <w:ilvl w:val="0"/>
                <w:numId w:val="45"/>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цитарабин</w:t>
            </w:r>
            <w:r>
              <w:rPr>
                <w:rFonts w:cs="Times New Roman"/>
                <w:sz w:val="22"/>
                <w:szCs w:val="22"/>
                <w:shd w:val="clear" w:color="auto" w:fill="FFFFFF"/>
              </w:rPr>
              <w:t xml:space="preserve"> </w:t>
            </w:r>
            <w:r w:rsidRPr="00DE20E4">
              <w:rPr>
                <w:rFonts w:cs="Times New Roman"/>
                <w:sz w:val="22"/>
                <w:szCs w:val="22"/>
                <w:shd w:val="clear" w:color="auto" w:fill="FFFFFF"/>
              </w:rPr>
              <w:t>&gt;1000 мг / м</w:t>
            </w:r>
            <w:r w:rsidRPr="00046796">
              <w:rPr>
                <w:rFonts w:cs="Times New Roman"/>
                <w:sz w:val="22"/>
                <w:szCs w:val="22"/>
                <w:shd w:val="clear" w:color="auto" w:fill="FFFFFF"/>
                <w:vertAlign w:val="superscript"/>
              </w:rPr>
              <w:t>2</w:t>
            </w:r>
          </w:p>
          <w:p w14:paraId="7DC3211D" w14:textId="77777777" w:rsidR="0036594F" w:rsidRPr="00DE20E4" w:rsidRDefault="0036594F" w:rsidP="00B153FC">
            <w:pPr>
              <w:pStyle w:val="Normal11"/>
              <w:numPr>
                <w:ilvl w:val="0"/>
                <w:numId w:val="45"/>
              </w:numPr>
              <w:shd w:val="clear" w:color="auto" w:fill="auto"/>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эпирубицин</w:t>
            </w:r>
          </w:p>
        </w:tc>
        <w:tc>
          <w:tcPr>
            <w:tcW w:w="3746" w:type="dxa"/>
          </w:tcPr>
          <w:p w14:paraId="41DA5F1B" w14:textId="77777777" w:rsidR="0036594F" w:rsidRPr="00DE20E4" w:rsidRDefault="0036594F" w:rsidP="00B153FC">
            <w:pPr>
              <w:pStyle w:val="Normal11"/>
              <w:numPr>
                <w:ilvl w:val="0"/>
                <w:numId w:val="45"/>
              </w:numPr>
              <w:tabs>
                <w:tab w:val="left" w:pos="0"/>
              </w:tabs>
              <w:spacing w:line="360" w:lineRule="auto"/>
              <w:ind w:left="57" w:right="57"/>
              <w:rPr>
                <w:rFonts w:cs="Times New Roman"/>
                <w:sz w:val="22"/>
                <w:szCs w:val="22"/>
                <w:shd w:val="clear" w:color="auto" w:fill="FFFFFF"/>
              </w:rPr>
            </w:pPr>
            <w:r>
              <w:rPr>
                <w:rFonts w:cs="Times New Roman"/>
                <w:sz w:val="22"/>
                <w:szCs w:val="22"/>
                <w:shd w:val="clear" w:color="auto" w:fill="FFFFFF"/>
              </w:rPr>
              <w:t>б</w:t>
            </w:r>
            <w:r w:rsidRPr="00DE20E4">
              <w:rPr>
                <w:rFonts w:cs="Times New Roman"/>
                <w:sz w:val="22"/>
                <w:szCs w:val="22"/>
                <w:shd w:val="clear" w:color="auto" w:fill="FFFFFF"/>
              </w:rPr>
              <w:t>осутиниб</w:t>
            </w:r>
          </w:p>
          <w:p w14:paraId="717F552A" w14:textId="77777777" w:rsidR="0036594F" w:rsidRPr="00DE20E4" w:rsidRDefault="0036594F" w:rsidP="00B153FC">
            <w:pPr>
              <w:pStyle w:val="Normal11"/>
              <w:numPr>
                <w:ilvl w:val="0"/>
                <w:numId w:val="45"/>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винорельбин</w:t>
            </w:r>
          </w:p>
          <w:p w14:paraId="3CF31B9A" w14:textId="77777777" w:rsidR="0036594F" w:rsidRDefault="0036594F" w:rsidP="00B153FC">
            <w:pPr>
              <w:pStyle w:val="Normal11"/>
              <w:numPr>
                <w:ilvl w:val="0"/>
                <w:numId w:val="45"/>
              </w:numPr>
              <w:shd w:val="clear" w:color="auto" w:fill="auto"/>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иматиниб</w:t>
            </w:r>
          </w:p>
          <w:p w14:paraId="5576B9C9" w14:textId="77777777" w:rsidR="0036594F" w:rsidRPr="00DE20E4" w:rsidRDefault="0036594F" w:rsidP="00B153FC">
            <w:pPr>
              <w:pStyle w:val="Normal11"/>
              <w:numPr>
                <w:ilvl w:val="0"/>
                <w:numId w:val="45"/>
              </w:numPr>
              <w:shd w:val="clear" w:color="auto" w:fill="auto"/>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кабозантиниб</w:t>
            </w:r>
          </w:p>
          <w:p w14:paraId="46C241DD" w14:textId="77777777" w:rsidR="0036594F" w:rsidRPr="00DE20E4" w:rsidRDefault="0036594F" w:rsidP="00B153FC">
            <w:pPr>
              <w:pStyle w:val="Normal11"/>
              <w:numPr>
                <w:ilvl w:val="0"/>
                <w:numId w:val="45"/>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кризотиниб</w:t>
            </w:r>
          </w:p>
          <w:p w14:paraId="2565A011" w14:textId="77777777" w:rsidR="0036594F" w:rsidRPr="00DE20E4" w:rsidRDefault="0036594F" w:rsidP="00B153FC">
            <w:pPr>
              <w:pStyle w:val="Normal11"/>
              <w:numPr>
                <w:ilvl w:val="0"/>
                <w:numId w:val="45"/>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ленватиниб</w:t>
            </w:r>
          </w:p>
          <w:p w14:paraId="46BA6B6A" w14:textId="77777777" w:rsidR="0036594F" w:rsidRDefault="0036594F" w:rsidP="00B153FC">
            <w:pPr>
              <w:pStyle w:val="Normal11"/>
              <w:numPr>
                <w:ilvl w:val="0"/>
                <w:numId w:val="45"/>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темозоломид</w:t>
            </w:r>
          </w:p>
          <w:p w14:paraId="78B7A708" w14:textId="77777777" w:rsidR="0036594F" w:rsidRPr="00DE20E4" w:rsidRDefault="0036594F" w:rsidP="00B153FC">
            <w:pPr>
              <w:pStyle w:val="Normal11"/>
              <w:numPr>
                <w:ilvl w:val="0"/>
                <w:numId w:val="45"/>
              </w:numPr>
              <w:tabs>
                <w:tab w:val="left" w:pos="0"/>
              </w:tabs>
              <w:spacing w:line="360" w:lineRule="auto"/>
              <w:ind w:left="57" w:right="57"/>
              <w:rPr>
                <w:rFonts w:cs="Times New Roman"/>
                <w:sz w:val="22"/>
                <w:szCs w:val="22"/>
                <w:shd w:val="clear" w:color="auto" w:fill="FFFFFF"/>
              </w:rPr>
            </w:pPr>
            <w:r>
              <w:rPr>
                <w:rFonts w:cs="Times New Roman"/>
                <w:sz w:val="22"/>
                <w:szCs w:val="22"/>
                <w:shd w:val="clear" w:color="auto" w:fill="FFFFFF"/>
              </w:rPr>
              <w:t>трифлуридин-типирацил</w:t>
            </w:r>
          </w:p>
          <w:p w14:paraId="388FE2D4" w14:textId="77777777" w:rsidR="0036594F" w:rsidRPr="00DE20E4" w:rsidRDefault="0036594F" w:rsidP="00B153FC">
            <w:pPr>
              <w:pStyle w:val="Normal11"/>
              <w:numPr>
                <w:ilvl w:val="0"/>
                <w:numId w:val="45"/>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церитиниб</w:t>
            </w:r>
          </w:p>
          <w:p w14:paraId="02FDC1DA" w14:textId="77777777" w:rsidR="0036594F" w:rsidRPr="00DE20E4" w:rsidRDefault="0036594F" w:rsidP="00B153FC">
            <w:pPr>
              <w:pStyle w:val="Normal11"/>
              <w:numPr>
                <w:ilvl w:val="0"/>
                <w:numId w:val="45"/>
              </w:numPr>
              <w:shd w:val="clear" w:color="auto" w:fill="auto"/>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циклофосфамид</w:t>
            </w:r>
          </w:p>
        </w:tc>
      </w:tr>
      <w:tr w:rsidR="0036594F" w14:paraId="155E9614" w14:textId="77777777" w:rsidTr="002D3EBF">
        <w:trPr>
          <w:trHeight w:val="692"/>
        </w:trPr>
        <w:tc>
          <w:tcPr>
            <w:tcW w:w="1837" w:type="dxa"/>
          </w:tcPr>
          <w:p w14:paraId="63EB02B4" w14:textId="77777777" w:rsidR="0036594F" w:rsidRDefault="0036594F" w:rsidP="002D3EBF">
            <w:pPr>
              <w:pStyle w:val="Normal11"/>
              <w:shd w:val="clear" w:color="auto" w:fill="auto"/>
              <w:tabs>
                <w:tab w:val="left" w:pos="0"/>
              </w:tabs>
              <w:spacing w:line="360" w:lineRule="auto"/>
              <w:ind w:left="57" w:right="57" w:firstLine="0"/>
              <w:jc w:val="both"/>
              <w:rPr>
                <w:sz w:val="22"/>
                <w:szCs w:val="22"/>
              </w:rPr>
            </w:pPr>
            <w:r w:rsidRPr="00DE20E4">
              <w:rPr>
                <w:sz w:val="22"/>
                <w:szCs w:val="22"/>
              </w:rPr>
              <w:t xml:space="preserve">Низкий </w:t>
            </w:r>
          </w:p>
          <w:p w14:paraId="49D39F36" w14:textId="77777777" w:rsidR="0036594F" w:rsidRPr="00DE20E4" w:rsidRDefault="0036594F" w:rsidP="002D3EBF">
            <w:pPr>
              <w:pStyle w:val="Normal11"/>
              <w:shd w:val="clear" w:color="auto" w:fill="auto"/>
              <w:tabs>
                <w:tab w:val="left" w:pos="0"/>
              </w:tabs>
              <w:spacing w:line="360" w:lineRule="auto"/>
              <w:ind w:left="57" w:right="57" w:firstLine="0"/>
              <w:jc w:val="both"/>
              <w:rPr>
                <w:rFonts w:cs="Times New Roman"/>
                <w:sz w:val="22"/>
                <w:szCs w:val="22"/>
                <w:shd w:val="clear" w:color="auto" w:fill="FFFFFF"/>
              </w:rPr>
            </w:pPr>
            <w:r w:rsidRPr="00DE20E4">
              <w:rPr>
                <w:sz w:val="22"/>
                <w:szCs w:val="22"/>
              </w:rPr>
              <w:t>(10–30 %)</w:t>
            </w:r>
          </w:p>
        </w:tc>
        <w:tc>
          <w:tcPr>
            <w:tcW w:w="3746" w:type="dxa"/>
          </w:tcPr>
          <w:p w14:paraId="568FC311" w14:textId="77777777" w:rsidR="0036594F" w:rsidRPr="00DE20E4" w:rsidRDefault="0036594F" w:rsidP="00B153FC">
            <w:pPr>
              <w:pStyle w:val="Normal11"/>
              <w:numPr>
                <w:ilvl w:val="0"/>
                <w:numId w:val="46"/>
              </w:numPr>
              <w:tabs>
                <w:tab w:val="left" w:pos="0"/>
              </w:tabs>
              <w:spacing w:line="360" w:lineRule="auto"/>
              <w:ind w:left="57" w:right="57"/>
              <w:rPr>
                <w:rFonts w:cs="Times New Roman"/>
                <w:sz w:val="22"/>
                <w:szCs w:val="22"/>
                <w:shd w:val="clear" w:color="auto" w:fill="FFFFFF"/>
              </w:rPr>
            </w:pPr>
            <w:r>
              <w:rPr>
                <w:rFonts w:cs="Times New Roman"/>
                <w:sz w:val="22"/>
                <w:szCs w:val="22"/>
                <w:shd w:val="clear" w:color="auto" w:fill="FFFFFF"/>
              </w:rPr>
              <w:t>а</w:t>
            </w:r>
            <w:r w:rsidRPr="00DE20E4">
              <w:rPr>
                <w:rFonts w:cs="Times New Roman"/>
                <w:sz w:val="22"/>
                <w:szCs w:val="22"/>
                <w:shd w:val="clear" w:color="auto" w:fill="FFFFFF"/>
              </w:rPr>
              <w:t>тезолизумаб</w:t>
            </w:r>
          </w:p>
          <w:p w14:paraId="643B44F5" w14:textId="77777777" w:rsidR="0036594F" w:rsidRPr="00DE20E4" w:rsidRDefault="0036594F" w:rsidP="00B153FC">
            <w:pPr>
              <w:pStyle w:val="Normal11"/>
              <w:numPr>
                <w:ilvl w:val="0"/>
                <w:numId w:val="46"/>
              </w:numPr>
              <w:tabs>
                <w:tab w:val="left" w:pos="0"/>
              </w:tabs>
              <w:spacing w:line="360" w:lineRule="auto"/>
              <w:ind w:left="57" w:right="57"/>
              <w:rPr>
                <w:rFonts w:cs="Times New Roman"/>
                <w:sz w:val="22"/>
                <w:szCs w:val="22"/>
                <w:shd w:val="clear" w:color="auto" w:fill="FFFFFF"/>
              </w:rPr>
            </w:pPr>
            <w:r>
              <w:rPr>
                <w:rFonts w:cs="Times New Roman"/>
                <w:sz w:val="22"/>
                <w:szCs w:val="22"/>
                <w:shd w:val="clear" w:color="auto" w:fill="FFFFFF"/>
              </w:rPr>
              <w:t>а</w:t>
            </w:r>
            <w:r w:rsidRPr="00DE20E4">
              <w:rPr>
                <w:rFonts w:cs="Times New Roman"/>
                <w:sz w:val="22"/>
                <w:szCs w:val="22"/>
                <w:shd w:val="clear" w:color="auto" w:fill="FFFFFF"/>
              </w:rPr>
              <w:t>флиберцепт</w:t>
            </w:r>
          </w:p>
          <w:p w14:paraId="50D1466A" w14:textId="77777777" w:rsidR="0036594F" w:rsidRPr="00DE20E4" w:rsidRDefault="0036594F" w:rsidP="00B153FC">
            <w:pPr>
              <w:pStyle w:val="Normal11"/>
              <w:numPr>
                <w:ilvl w:val="0"/>
                <w:numId w:val="46"/>
              </w:numPr>
              <w:tabs>
                <w:tab w:val="left" w:pos="0"/>
              </w:tabs>
              <w:spacing w:line="360" w:lineRule="auto"/>
              <w:ind w:left="57" w:right="57"/>
              <w:rPr>
                <w:rFonts w:cs="Times New Roman"/>
                <w:sz w:val="22"/>
                <w:szCs w:val="22"/>
                <w:shd w:val="clear" w:color="auto" w:fill="FFFFFF"/>
              </w:rPr>
            </w:pPr>
            <w:r>
              <w:rPr>
                <w:rFonts w:cs="Times New Roman"/>
                <w:sz w:val="22"/>
                <w:szCs w:val="22"/>
                <w:shd w:val="clear" w:color="auto" w:fill="FFFFFF"/>
              </w:rPr>
              <w:t>б</w:t>
            </w:r>
            <w:r w:rsidRPr="00DE20E4">
              <w:rPr>
                <w:rFonts w:cs="Times New Roman"/>
                <w:sz w:val="22"/>
                <w:szCs w:val="22"/>
                <w:shd w:val="clear" w:color="auto" w:fill="FFFFFF"/>
              </w:rPr>
              <w:t>елиностат</w:t>
            </w:r>
          </w:p>
          <w:p w14:paraId="0787416E" w14:textId="77777777" w:rsidR="0036594F" w:rsidRPr="00DE20E4" w:rsidRDefault="0036594F" w:rsidP="00B153FC">
            <w:pPr>
              <w:pStyle w:val="Normal11"/>
              <w:numPr>
                <w:ilvl w:val="0"/>
                <w:numId w:val="4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блинатумомаб</w:t>
            </w:r>
          </w:p>
          <w:p w14:paraId="6AE5C22B" w14:textId="77777777" w:rsidR="0036594F" w:rsidRPr="00DE20E4" w:rsidRDefault="0036594F" w:rsidP="00B153FC">
            <w:pPr>
              <w:pStyle w:val="Normal11"/>
              <w:numPr>
                <w:ilvl w:val="0"/>
                <w:numId w:val="4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бортезомиб</w:t>
            </w:r>
          </w:p>
          <w:p w14:paraId="0B56E815" w14:textId="77777777" w:rsidR="0036594F" w:rsidRPr="00DE20E4" w:rsidRDefault="0036594F" w:rsidP="00B153FC">
            <w:pPr>
              <w:pStyle w:val="Normal11"/>
              <w:numPr>
                <w:ilvl w:val="0"/>
                <w:numId w:val="4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брентуксимаб</w:t>
            </w:r>
          </w:p>
          <w:p w14:paraId="201215DE" w14:textId="77777777" w:rsidR="0036594F" w:rsidRPr="00DE20E4" w:rsidRDefault="0036594F" w:rsidP="00B153FC">
            <w:pPr>
              <w:pStyle w:val="Normal11"/>
              <w:numPr>
                <w:ilvl w:val="0"/>
                <w:numId w:val="4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винфлунин</w:t>
            </w:r>
          </w:p>
          <w:p w14:paraId="70DDADE0" w14:textId="77777777" w:rsidR="0036594F" w:rsidRPr="00DE20E4" w:rsidRDefault="0036594F" w:rsidP="00B153FC">
            <w:pPr>
              <w:pStyle w:val="Normal11"/>
              <w:numPr>
                <w:ilvl w:val="0"/>
                <w:numId w:val="4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гемцитабин</w:t>
            </w:r>
          </w:p>
          <w:p w14:paraId="03646E7A" w14:textId="77777777" w:rsidR="0036594F" w:rsidRPr="00DE20E4" w:rsidRDefault="0036594F" w:rsidP="00B153FC">
            <w:pPr>
              <w:pStyle w:val="Normal11"/>
              <w:numPr>
                <w:ilvl w:val="0"/>
                <w:numId w:val="4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доксорубици</w:t>
            </w:r>
            <w:r>
              <w:rPr>
                <w:rFonts w:cs="Times New Roman"/>
                <w:sz w:val="22"/>
                <w:szCs w:val="22"/>
                <w:shd w:val="clear" w:color="auto" w:fill="FFFFFF"/>
              </w:rPr>
              <w:t xml:space="preserve">н </w:t>
            </w:r>
            <w:r w:rsidRPr="00DE20E4">
              <w:rPr>
                <w:rFonts w:cs="Times New Roman"/>
                <w:sz w:val="22"/>
                <w:szCs w:val="22"/>
                <w:shd w:val="clear" w:color="auto" w:fill="FFFFFF"/>
              </w:rPr>
              <w:t>пегилированный</w:t>
            </w:r>
            <w:r>
              <w:rPr>
                <w:rFonts w:cs="Times New Roman"/>
                <w:sz w:val="22"/>
                <w:szCs w:val="22"/>
                <w:shd w:val="clear" w:color="auto" w:fill="FFFFFF"/>
              </w:rPr>
              <w:t xml:space="preserve"> </w:t>
            </w:r>
            <w:r w:rsidRPr="00DE20E4">
              <w:rPr>
                <w:rFonts w:cs="Times New Roman"/>
                <w:sz w:val="22"/>
                <w:szCs w:val="22"/>
                <w:shd w:val="clear" w:color="auto" w:fill="FFFFFF"/>
              </w:rPr>
              <w:t>липосомальный</w:t>
            </w:r>
          </w:p>
          <w:p w14:paraId="3EEEFACA" w14:textId="77777777" w:rsidR="0036594F" w:rsidRPr="00DE20E4" w:rsidRDefault="0036594F" w:rsidP="00B153FC">
            <w:pPr>
              <w:pStyle w:val="Normal11"/>
              <w:numPr>
                <w:ilvl w:val="0"/>
                <w:numId w:val="4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доцетаксел</w:t>
            </w:r>
          </w:p>
          <w:p w14:paraId="7117E142" w14:textId="77777777" w:rsidR="0036594F" w:rsidRPr="00DE20E4" w:rsidRDefault="0036594F" w:rsidP="00B153FC">
            <w:pPr>
              <w:pStyle w:val="Normal11"/>
              <w:numPr>
                <w:ilvl w:val="0"/>
                <w:numId w:val="4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иксабепилон</w:t>
            </w:r>
          </w:p>
          <w:p w14:paraId="3C29A4ED" w14:textId="77777777" w:rsidR="0036594F" w:rsidRPr="00DE20E4" w:rsidRDefault="0036594F" w:rsidP="00B153FC">
            <w:pPr>
              <w:pStyle w:val="Normal11"/>
              <w:numPr>
                <w:ilvl w:val="0"/>
                <w:numId w:val="4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ипилимумаб</w:t>
            </w:r>
          </w:p>
          <w:p w14:paraId="24A8ECFE" w14:textId="77777777" w:rsidR="0036594F" w:rsidRPr="00DE20E4" w:rsidRDefault="0036594F" w:rsidP="00B153FC">
            <w:pPr>
              <w:pStyle w:val="Normal11"/>
              <w:numPr>
                <w:ilvl w:val="0"/>
                <w:numId w:val="4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кабазитаксел</w:t>
            </w:r>
          </w:p>
          <w:p w14:paraId="7F989E64" w14:textId="77777777" w:rsidR="0036594F" w:rsidRPr="00DE20E4" w:rsidRDefault="0036594F" w:rsidP="00B153FC">
            <w:pPr>
              <w:pStyle w:val="Normal11"/>
              <w:numPr>
                <w:ilvl w:val="0"/>
                <w:numId w:val="4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карфилзомиб</w:t>
            </w:r>
          </w:p>
          <w:p w14:paraId="1D016588" w14:textId="77777777" w:rsidR="0036594F" w:rsidRPr="00DE20E4" w:rsidRDefault="0036594F" w:rsidP="00B153FC">
            <w:pPr>
              <w:pStyle w:val="Normal11"/>
              <w:numPr>
                <w:ilvl w:val="0"/>
                <w:numId w:val="4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катумаксумаб</w:t>
            </w:r>
          </w:p>
          <w:p w14:paraId="59A0C7FB" w14:textId="77777777" w:rsidR="0036594F" w:rsidRPr="00DE20E4" w:rsidRDefault="0036594F" w:rsidP="00B153FC">
            <w:pPr>
              <w:pStyle w:val="Normal11"/>
              <w:numPr>
                <w:ilvl w:val="0"/>
                <w:numId w:val="4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метотрексат</w:t>
            </w:r>
          </w:p>
          <w:p w14:paraId="0824BD28" w14:textId="77777777" w:rsidR="0036594F" w:rsidRPr="00DE20E4" w:rsidRDefault="0036594F" w:rsidP="00B153FC">
            <w:pPr>
              <w:pStyle w:val="Normal11"/>
              <w:numPr>
                <w:ilvl w:val="0"/>
                <w:numId w:val="4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митоксантрон</w:t>
            </w:r>
          </w:p>
          <w:p w14:paraId="04795A43" w14:textId="77777777" w:rsidR="0036594F" w:rsidRPr="00DE20E4" w:rsidRDefault="0036594F" w:rsidP="00B153FC">
            <w:pPr>
              <w:pStyle w:val="Normal11"/>
              <w:numPr>
                <w:ilvl w:val="0"/>
                <w:numId w:val="4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митомицин</w:t>
            </w:r>
          </w:p>
          <w:p w14:paraId="3E886EB1" w14:textId="77777777" w:rsidR="0036594F" w:rsidRPr="00DE20E4" w:rsidRDefault="0036594F" w:rsidP="00B153FC">
            <w:pPr>
              <w:pStyle w:val="Normal11"/>
              <w:numPr>
                <w:ilvl w:val="0"/>
                <w:numId w:val="4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наб-паклитаксел</w:t>
            </w:r>
          </w:p>
          <w:p w14:paraId="130B588A" w14:textId="77777777" w:rsidR="0036594F" w:rsidRPr="00DE20E4" w:rsidRDefault="0036594F" w:rsidP="00B153FC">
            <w:pPr>
              <w:pStyle w:val="Normal11"/>
              <w:numPr>
                <w:ilvl w:val="0"/>
                <w:numId w:val="4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нецитумумаб</w:t>
            </w:r>
          </w:p>
          <w:p w14:paraId="3550709D" w14:textId="77777777" w:rsidR="0036594F" w:rsidRPr="00DE20E4" w:rsidRDefault="0036594F" w:rsidP="00B153FC">
            <w:pPr>
              <w:pStyle w:val="Normal11"/>
              <w:numPr>
                <w:ilvl w:val="0"/>
                <w:numId w:val="4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паклитаксел</w:t>
            </w:r>
          </w:p>
          <w:p w14:paraId="69FCFFA3" w14:textId="77777777" w:rsidR="0036594F" w:rsidRPr="00DE20E4" w:rsidRDefault="0036594F" w:rsidP="00B153FC">
            <w:pPr>
              <w:pStyle w:val="Normal11"/>
              <w:numPr>
                <w:ilvl w:val="0"/>
                <w:numId w:val="4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панитумумаб</w:t>
            </w:r>
          </w:p>
          <w:p w14:paraId="29E810CB" w14:textId="77777777" w:rsidR="0036594F" w:rsidRPr="00DE20E4" w:rsidRDefault="0036594F" w:rsidP="00B153FC">
            <w:pPr>
              <w:pStyle w:val="Normal11"/>
              <w:numPr>
                <w:ilvl w:val="0"/>
                <w:numId w:val="4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пеметрексед</w:t>
            </w:r>
          </w:p>
          <w:p w14:paraId="46D909E5" w14:textId="77777777" w:rsidR="0036594F" w:rsidRPr="00DE20E4" w:rsidRDefault="0036594F" w:rsidP="00B153FC">
            <w:pPr>
              <w:pStyle w:val="Normal11"/>
              <w:numPr>
                <w:ilvl w:val="0"/>
                <w:numId w:val="4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пертузумаб</w:t>
            </w:r>
          </w:p>
          <w:p w14:paraId="0F5D8158" w14:textId="77777777" w:rsidR="0036594F" w:rsidRPr="00DE20E4" w:rsidRDefault="0036594F" w:rsidP="00B153FC">
            <w:pPr>
              <w:pStyle w:val="Normal11"/>
              <w:numPr>
                <w:ilvl w:val="0"/>
                <w:numId w:val="4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темсиролимус</w:t>
            </w:r>
          </w:p>
          <w:p w14:paraId="1137B6B5" w14:textId="77777777" w:rsidR="0036594F" w:rsidRPr="00DE20E4" w:rsidRDefault="0036594F" w:rsidP="00B153FC">
            <w:pPr>
              <w:pStyle w:val="Normal11"/>
              <w:numPr>
                <w:ilvl w:val="0"/>
                <w:numId w:val="4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топотекан</w:t>
            </w:r>
          </w:p>
          <w:p w14:paraId="2168F7E7" w14:textId="77777777" w:rsidR="0036594F" w:rsidRPr="00DE20E4" w:rsidRDefault="0036594F" w:rsidP="00B153FC">
            <w:pPr>
              <w:pStyle w:val="Normal11"/>
              <w:numPr>
                <w:ilvl w:val="0"/>
                <w:numId w:val="4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трастузумаб-эмтанзин</w:t>
            </w:r>
          </w:p>
          <w:p w14:paraId="52FB0A98" w14:textId="77777777" w:rsidR="0036594F" w:rsidRPr="00DE20E4" w:rsidRDefault="0036594F" w:rsidP="00B153FC">
            <w:pPr>
              <w:pStyle w:val="Normal11"/>
              <w:numPr>
                <w:ilvl w:val="0"/>
                <w:numId w:val="4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цетуксимаб</w:t>
            </w:r>
          </w:p>
          <w:p w14:paraId="03D25379" w14:textId="77777777" w:rsidR="0036594F" w:rsidRPr="00DE20E4" w:rsidRDefault="0036594F" w:rsidP="00B153FC">
            <w:pPr>
              <w:pStyle w:val="Normal11"/>
              <w:numPr>
                <w:ilvl w:val="0"/>
                <w:numId w:val="4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цитарабин ≤ 1000 мг / м</w:t>
            </w:r>
            <w:r w:rsidRPr="00046796">
              <w:rPr>
                <w:rFonts w:cs="Times New Roman"/>
                <w:sz w:val="22"/>
                <w:szCs w:val="22"/>
                <w:shd w:val="clear" w:color="auto" w:fill="FFFFFF"/>
                <w:vertAlign w:val="superscript"/>
              </w:rPr>
              <w:t>2</w:t>
            </w:r>
          </w:p>
          <w:p w14:paraId="36D8EBCD" w14:textId="77777777" w:rsidR="0036594F" w:rsidRPr="00DE20E4" w:rsidRDefault="0036594F" w:rsidP="00B153FC">
            <w:pPr>
              <w:pStyle w:val="Normal11"/>
              <w:numPr>
                <w:ilvl w:val="0"/>
                <w:numId w:val="4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элотузумаб</w:t>
            </w:r>
          </w:p>
          <w:p w14:paraId="3ADADCB5" w14:textId="77777777" w:rsidR="0036594F" w:rsidRPr="00DE20E4" w:rsidRDefault="0036594F" w:rsidP="00B153FC">
            <w:pPr>
              <w:pStyle w:val="Normal11"/>
              <w:numPr>
                <w:ilvl w:val="0"/>
                <w:numId w:val="46"/>
              </w:numPr>
              <w:tabs>
                <w:tab w:val="left" w:pos="0"/>
                <w:tab w:val="left" w:pos="1515"/>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эрибулин</w:t>
            </w:r>
            <w:r w:rsidRPr="00DE20E4">
              <w:rPr>
                <w:rFonts w:cs="Times New Roman"/>
                <w:sz w:val="22"/>
                <w:szCs w:val="22"/>
                <w:shd w:val="clear" w:color="auto" w:fill="FFFFFF"/>
              </w:rPr>
              <w:tab/>
            </w:r>
          </w:p>
          <w:p w14:paraId="7951DF4C" w14:textId="77777777" w:rsidR="0036594F" w:rsidRPr="00DE20E4" w:rsidRDefault="0036594F" w:rsidP="00B153FC">
            <w:pPr>
              <w:pStyle w:val="Normal11"/>
              <w:numPr>
                <w:ilvl w:val="0"/>
                <w:numId w:val="4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этопозид</w:t>
            </w:r>
          </w:p>
          <w:p w14:paraId="54F054C1" w14:textId="77777777" w:rsidR="0036594F" w:rsidRPr="00DE20E4" w:rsidRDefault="0036594F" w:rsidP="00B153FC">
            <w:pPr>
              <w:pStyle w:val="Normal11"/>
              <w:numPr>
                <w:ilvl w:val="0"/>
                <w:numId w:val="46"/>
              </w:numPr>
              <w:shd w:val="clear" w:color="auto" w:fill="auto"/>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5</w:t>
            </w:r>
            <w:r w:rsidRPr="00DE20E4">
              <w:rPr>
                <w:rFonts w:ascii="MS Mincho" w:eastAsia="MS Mincho" w:hAnsi="MS Mincho" w:cs="MS Mincho" w:hint="eastAsia"/>
                <w:sz w:val="22"/>
                <w:szCs w:val="22"/>
                <w:shd w:val="clear" w:color="auto" w:fill="FFFFFF"/>
              </w:rPr>
              <w:t>‑</w:t>
            </w:r>
            <w:r w:rsidRPr="00DE20E4">
              <w:rPr>
                <w:rFonts w:cs="Times New Roman"/>
                <w:sz w:val="22"/>
                <w:szCs w:val="22"/>
                <w:shd w:val="clear" w:color="auto" w:fill="FFFFFF"/>
              </w:rPr>
              <w:t>фторурацил</w:t>
            </w:r>
          </w:p>
        </w:tc>
        <w:tc>
          <w:tcPr>
            <w:tcW w:w="3746" w:type="dxa"/>
          </w:tcPr>
          <w:p w14:paraId="22F04A8E" w14:textId="77777777" w:rsidR="0036594F" w:rsidRPr="00DE20E4" w:rsidRDefault="0036594F" w:rsidP="00B153FC">
            <w:pPr>
              <w:pStyle w:val="Normal11"/>
              <w:numPr>
                <w:ilvl w:val="0"/>
                <w:numId w:val="46"/>
              </w:numPr>
              <w:tabs>
                <w:tab w:val="left" w:pos="0"/>
              </w:tabs>
              <w:spacing w:line="360" w:lineRule="auto"/>
              <w:ind w:left="57" w:right="57"/>
              <w:rPr>
                <w:rFonts w:cs="Times New Roman"/>
                <w:sz w:val="22"/>
                <w:szCs w:val="22"/>
                <w:shd w:val="clear" w:color="auto" w:fill="FFFFFF"/>
              </w:rPr>
            </w:pPr>
            <w:r>
              <w:rPr>
                <w:rFonts w:cs="Times New Roman"/>
                <w:sz w:val="22"/>
                <w:szCs w:val="22"/>
                <w:shd w:val="clear" w:color="auto" w:fill="FFFFFF"/>
              </w:rPr>
              <w:t>а</w:t>
            </w:r>
            <w:r w:rsidRPr="00DE20E4">
              <w:rPr>
                <w:rFonts w:cs="Times New Roman"/>
                <w:sz w:val="22"/>
                <w:szCs w:val="22"/>
                <w:shd w:val="clear" w:color="auto" w:fill="FFFFFF"/>
              </w:rPr>
              <w:t>ксатиниб</w:t>
            </w:r>
          </w:p>
          <w:p w14:paraId="7768E646" w14:textId="77777777" w:rsidR="0036594F" w:rsidRPr="00015EAB" w:rsidRDefault="0036594F" w:rsidP="00B153FC">
            <w:pPr>
              <w:pStyle w:val="Normal11"/>
              <w:numPr>
                <w:ilvl w:val="0"/>
                <w:numId w:val="46"/>
              </w:numPr>
              <w:tabs>
                <w:tab w:val="left" w:pos="0"/>
              </w:tabs>
              <w:spacing w:line="360" w:lineRule="auto"/>
              <w:ind w:left="57" w:right="57"/>
              <w:rPr>
                <w:rFonts w:cs="Times New Roman"/>
                <w:sz w:val="22"/>
                <w:szCs w:val="22"/>
                <w:shd w:val="clear" w:color="auto" w:fill="FFFFFF"/>
              </w:rPr>
            </w:pPr>
            <w:r>
              <w:rPr>
                <w:rFonts w:cs="Times New Roman"/>
                <w:sz w:val="22"/>
                <w:szCs w:val="22"/>
                <w:shd w:val="clear" w:color="auto" w:fill="FFFFFF"/>
              </w:rPr>
              <w:t>а</w:t>
            </w:r>
            <w:r w:rsidRPr="00015EAB">
              <w:rPr>
                <w:rFonts w:cs="Times New Roman"/>
                <w:sz w:val="22"/>
                <w:szCs w:val="22"/>
                <w:shd w:val="clear" w:color="auto" w:fill="FFFFFF"/>
              </w:rPr>
              <w:t xml:space="preserve">лектиниб </w:t>
            </w:r>
          </w:p>
          <w:p w14:paraId="0E571095" w14:textId="77777777" w:rsidR="0036594F" w:rsidRPr="00015EAB" w:rsidRDefault="0036594F" w:rsidP="00B153FC">
            <w:pPr>
              <w:pStyle w:val="Normal11"/>
              <w:numPr>
                <w:ilvl w:val="0"/>
                <w:numId w:val="46"/>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афатиниб</w:t>
            </w:r>
          </w:p>
          <w:p w14:paraId="3D23CF10" w14:textId="77777777" w:rsidR="0036594F" w:rsidRPr="00015EAB" w:rsidRDefault="0036594F" w:rsidP="00B153FC">
            <w:pPr>
              <w:pStyle w:val="Normal11"/>
              <w:numPr>
                <w:ilvl w:val="0"/>
                <w:numId w:val="46"/>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вандетаниб</w:t>
            </w:r>
          </w:p>
          <w:p w14:paraId="21CB75BA" w14:textId="77777777" w:rsidR="0036594F" w:rsidRPr="00015EAB" w:rsidRDefault="0036594F" w:rsidP="00B153FC">
            <w:pPr>
              <w:pStyle w:val="Normal11"/>
              <w:numPr>
                <w:ilvl w:val="0"/>
                <w:numId w:val="46"/>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венетоклакс</w:t>
            </w:r>
          </w:p>
          <w:p w14:paraId="15701D0A" w14:textId="77777777" w:rsidR="0036594F" w:rsidRPr="00015EAB" w:rsidRDefault="0036594F" w:rsidP="00B153FC">
            <w:pPr>
              <w:pStyle w:val="Normal11"/>
              <w:numPr>
                <w:ilvl w:val="0"/>
                <w:numId w:val="46"/>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вориностат</w:t>
            </w:r>
          </w:p>
          <w:p w14:paraId="0916D284" w14:textId="77777777" w:rsidR="0036594F" w:rsidRPr="00015EAB" w:rsidRDefault="0036594F" w:rsidP="00B153FC">
            <w:pPr>
              <w:pStyle w:val="Normal11"/>
              <w:numPr>
                <w:ilvl w:val="0"/>
                <w:numId w:val="46"/>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дабрафениб</w:t>
            </w:r>
          </w:p>
          <w:p w14:paraId="4B96C92D" w14:textId="77777777" w:rsidR="0036594F" w:rsidRPr="00015EAB" w:rsidRDefault="0036594F" w:rsidP="00B153FC">
            <w:pPr>
              <w:pStyle w:val="Normal11"/>
              <w:numPr>
                <w:ilvl w:val="0"/>
                <w:numId w:val="46"/>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дазатиниб</w:t>
            </w:r>
          </w:p>
          <w:p w14:paraId="72B0982A" w14:textId="77777777" w:rsidR="0036594F" w:rsidRPr="00015EAB" w:rsidRDefault="0036594F" w:rsidP="00B153FC">
            <w:pPr>
              <w:pStyle w:val="Normal11"/>
              <w:numPr>
                <w:ilvl w:val="0"/>
                <w:numId w:val="46"/>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ибрутиниб</w:t>
            </w:r>
          </w:p>
          <w:p w14:paraId="7BCA74C5" w14:textId="77777777" w:rsidR="0036594F" w:rsidRPr="00015EAB" w:rsidRDefault="0036594F" w:rsidP="00B153FC">
            <w:pPr>
              <w:pStyle w:val="Normal11"/>
              <w:numPr>
                <w:ilvl w:val="0"/>
                <w:numId w:val="46"/>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 xml:space="preserve">иделалисиб </w:t>
            </w:r>
          </w:p>
          <w:p w14:paraId="20EEB0F7" w14:textId="77777777" w:rsidR="0036594F" w:rsidRPr="00015EAB" w:rsidRDefault="0036594F" w:rsidP="00B153FC">
            <w:pPr>
              <w:pStyle w:val="Normal11"/>
              <w:numPr>
                <w:ilvl w:val="0"/>
                <w:numId w:val="46"/>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иксазомиб</w:t>
            </w:r>
          </w:p>
          <w:p w14:paraId="0007AFE7" w14:textId="77777777" w:rsidR="0036594F" w:rsidRPr="00015EAB" w:rsidRDefault="0036594F" w:rsidP="00B153FC">
            <w:pPr>
              <w:pStyle w:val="Normal11"/>
              <w:numPr>
                <w:ilvl w:val="0"/>
                <w:numId w:val="46"/>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капецитабин</w:t>
            </w:r>
          </w:p>
          <w:p w14:paraId="41F3DEED" w14:textId="77777777" w:rsidR="0036594F" w:rsidRPr="00015EAB" w:rsidRDefault="0036594F" w:rsidP="00B153FC">
            <w:pPr>
              <w:pStyle w:val="Normal11"/>
              <w:numPr>
                <w:ilvl w:val="0"/>
                <w:numId w:val="46"/>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кобиметиниб</w:t>
            </w:r>
          </w:p>
          <w:p w14:paraId="43BBF1CE" w14:textId="77777777" w:rsidR="0036594F" w:rsidRPr="00015EAB" w:rsidRDefault="0036594F" w:rsidP="00B153FC">
            <w:pPr>
              <w:pStyle w:val="Normal11"/>
              <w:numPr>
                <w:ilvl w:val="0"/>
                <w:numId w:val="46"/>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лапатиниб</w:t>
            </w:r>
          </w:p>
          <w:p w14:paraId="1C384CCC" w14:textId="77777777" w:rsidR="0036594F" w:rsidRPr="00015EAB" w:rsidRDefault="0036594F" w:rsidP="00B153FC">
            <w:pPr>
              <w:pStyle w:val="Normal11"/>
              <w:numPr>
                <w:ilvl w:val="0"/>
                <w:numId w:val="46"/>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леналидомид</w:t>
            </w:r>
          </w:p>
          <w:p w14:paraId="36E6E33C" w14:textId="77777777" w:rsidR="0036594F" w:rsidRPr="00015EAB" w:rsidRDefault="0036594F" w:rsidP="00B153FC">
            <w:pPr>
              <w:pStyle w:val="Normal11"/>
              <w:numPr>
                <w:ilvl w:val="0"/>
                <w:numId w:val="46"/>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нилотиниб</w:t>
            </w:r>
          </w:p>
          <w:p w14:paraId="52A84651" w14:textId="77777777" w:rsidR="0036594F" w:rsidRPr="00015EAB" w:rsidRDefault="0036594F" w:rsidP="00B153FC">
            <w:pPr>
              <w:pStyle w:val="Normal11"/>
              <w:numPr>
                <w:ilvl w:val="0"/>
                <w:numId w:val="46"/>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олапариб</w:t>
            </w:r>
          </w:p>
          <w:p w14:paraId="1C9E833F" w14:textId="77777777" w:rsidR="0036594F" w:rsidRPr="00015EAB" w:rsidRDefault="0036594F" w:rsidP="00B153FC">
            <w:pPr>
              <w:pStyle w:val="Normal11"/>
              <w:numPr>
                <w:ilvl w:val="0"/>
                <w:numId w:val="46"/>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осимертиниб</w:t>
            </w:r>
          </w:p>
          <w:p w14:paraId="081DB7FF" w14:textId="77777777" w:rsidR="0036594F" w:rsidRPr="00015EAB" w:rsidRDefault="0036594F" w:rsidP="00B153FC">
            <w:pPr>
              <w:pStyle w:val="Normal11"/>
              <w:numPr>
                <w:ilvl w:val="0"/>
                <w:numId w:val="46"/>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пазопаниб</w:t>
            </w:r>
          </w:p>
          <w:p w14:paraId="77285646" w14:textId="77777777" w:rsidR="0036594F" w:rsidRPr="00015EAB" w:rsidRDefault="0036594F" w:rsidP="00B153FC">
            <w:pPr>
              <w:pStyle w:val="Normal11"/>
              <w:numPr>
                <w:ilvl w:val="0"/>
                <w:numId w:val="46"/>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палбоциклиб</w:t>
            </w:r>
          </w:p>
          <w:p w14:paraId="6182B4D0" w14:textId="77777777" w:rsidR="0036594F" w:rsidRPr="00015EAB" w:rsidRDefault="0036594F" w:rsidP="00B153FC">
            <w:pPr>
              <w:pStyle w:val="Normal11"/>
              <w:numPr>
                <w:ilvl w:val="0"/>
                <w:numId w:val="46"/>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панобиностат</w:t>
            </w:r>
          </w:p>
          <w:p w14:paraId="6E5F734A" w14:textId="77777777" w:rsidR="0036594F" w:rsidRPr="00015EAB" w:rsidRDefault="0036594F" w:rsidP="00B153FC">
            <w:pPr>
              <w:pStyle w:val="Normal11"/>
              <w:numPr>
                <w:ilvl w:val="0"/>
                <w:numId w:val="46"/>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понатиниб</w:t>
            </w:r>
          </w:p>
          <w:p w14:paraId="5ED6D504" w14:textId="77777777" w:rsidR="0036594F" w:rsidRPr="00015EAB" w:rsidRDefault="0036594F" w:rsidP="00B153FC">
            <w:pPr>
              <w:pStyle w:val="Normal11"/>
              <w:numPr>
                <w:ilvl w:val="0"/>
                <w:numId w:val="46"/>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регорафениб</w:t>
            </w:r>
          </w:p>
          <w:p w14:paraId="72B6F376" w14:textId="77777777" w:rsidR="0036594F" w:rsidRPr="00015EAB" w:rsidRDefault="0036594F" w:rsidP="00B153FC">
            <w:pPr>
              <w:pStyle w:val="Normal11"/>
              <w:numPr>
                <w:ilvl w:val="0"/>
                <w:numId w:val="46"/>
              </w:numPr>
              <w:tabs>
                <w:tab w:val="left" w:pos="0"/>
              </w:tabs>
              <w:spacing w:line="360" w:lineRule="auto"/>
              <w:ind w:left="57" w:right="57"/>
              <w:rPr>
                <w:rFonts w:cs="Times New Roman"/>
                <w:sz w:val="22"/>
                <w:szCs w:val="22"/>
                <w:shd w:val="clear" w:color="auto" w:fill="FFFFFF"/>
              </w:rPr>
            </w:pPr>
            <w:r w:rsidRPr="00015EAB">
              <w:rPr>
                <w:rFonts w:cs="Times New Roman"/>
                <w:sz w:val="22"/>
                <w:szCs w:val="22"/>
                <w:shd w:val="clear" w:color="auto" w:fill="FFFFFF"/>
              </w:rPr>
              <w:t>сонидегиб</w:t>
            </w:r>
          </w:p>
          <w:p w14:paraId="6FA6DD1E" w14:textId="77777777" w:rsidR="0036594F" w:rsidRPr="00DE20E4" w:rsidRDefault="0036594F" w:rsidP="00B153FC">
            <w:pPr>
              <w:pStyle w:val="Normal11"/>
              <w:numPr>
                <w:ilvl w:val="0"/>
                <w:numId w:val="4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сунитиниб</w:t>
            </w:r>
          </w:p>
          <w:p w14:paraId="6F7DAD6C" w14:textId="77777777" w:rsidR="0036594F" w:rsidRPr="00DE20E4" w:rsidRDefault="0036594F" w:rsidP="00B153FC">
            <w:pPr>
              <w:pStyle w:val="Normal11"/>
              <w:numPr>
                <w:ilvl w:val="0"/>
                <w:numId w:val="4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талидомид</w:t>
            </w:r>
          </w:p>
          <w:p w14:paraId="43730D3B" w14:textId="77777777" w:rsidR="0036594F" w:rsidRPr="00DE20E4" w:rsidRDefault="0036594F" w:rsidP="00B153FC">
            <w:pPr>
              <w:pStyle w:val="Normal11"/>
              <w:numPr>
                <w:ilvl w:val="0"/>
                <w:numId w:val="4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тегафур-урацил</w:t>
            </w:r>
          </w:p>
          <w:p w14:paraId="2FCF7A29" w14:textId="77777777" w:rsidR="0036594F" w:rsidRPr="00DE20E4" w:rsidRDefault="0036594F" w:rsidP="00B153FC">
            <w:pPr>
              <w:pStyle w:val="Normal11"/>
              <w:numPr>
                <w:ilvl w:val="0"/>
                <w:numId w:val="4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траметиниб</w:t>
            </w:r>
          </w:p>
          <w:p w14:paraId="458E35AF" w14:textId="77777777" w:rsidR="0036594F" w:rsidRPr="00DE20E4" w:rsidRDefault="0036594F" w:rsidP="00B153FC">
            <w:pPr>
              <w:pStyle w:val="Normal11"/>
              <w:numPr>
                <w:ilvl w:val="0"/>
                <w:numId w:val="46"/>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флударабин</w:t>
            </w:r>
          </w:p>
          <w:p w14:paraId="7BAE5CA7" w14:textId="77777777" w:rsidR="0036594F" w:rsidRPr="00DE20E4" w:rsidRDefault="0036594F" w:rsidP="00B153FC">
            <w:pPr>
              <w:pStyle w:val="Normal11"/>
              <w:numPr>
                <w:ilvl w:val="0"/>
                <w:numId w:val="46"/>
              </w:numPr>
              <w:shd w:val="clear" w:color="auto" w:fill="auto"/>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эверолимус</w:t>
            </w:r>
          </w:p>
          <w:p w14:paraId="6B2569F4" w14:textId="77777777" w:rsidR="0036594F" w:rsidRPr="00DE20E4" w:rsidRDefault="0036594F" w:rsidP="00B153FC">
            <w:pPr>
              <w:pStyle w:val="Normal11"/>
              <w:numPr>
                <w:ilvl w:val="0"/>
                <w:numId w:val="46"/>
              </w:numPr>
              <w:shd w:val="clear" w:color="auto" w:fill="auto"/>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 xml:space="preserve">этопозид </w:t>
            </w:r>
          </w:p>
        </w:tc>
      </w:tr>
      <w:tr w:rsidR="0036594F" w14:paraId="1325824C" w14:textId="77777777" w:rsidTr="002D3EBF">
        <w:trPr>
          <w:trHeight w:val="692"/>
        </w:trPr>
        <w:tc>
          <w:tcPr>
            <w:tcW w:w="1837" w:type="dxa"/>
          </w:tcPr>
          <w:p w14:paraId="68B0280C" w14:textId="77777777" w:rsidR="0036594F" w:rsidRPr="00DE20E4" w:rsidRDefault="0036594F" w:rsidP="002D3EBF">
            <w:pPr>
              <w:pStyle w:val="Normal11"/>
              <w:shd w:val="clear" w:color="auto" w:fill="auto"/>
              <w:tabs>
                <w:tab w:val="left" w:pos="0"/>
              </w:tabs>
              <w:spacing w:line="360" w:lineRule="auto"/>
              <w:ind w:left="57" w:right="57" w:firstLine="0"/>
              <w:jc w:val="both"/>
              <w:rPr>
                <w:rFonts w:cs="Times New Roman"/>
                <w:sz w:val="22"/>
                <w:szCs w:val="22"/>
                <w:shd w:val="clear" w:color="auto" w:fill="FFFFFF"/>
              </w:rPr>
            </w:pPr>
            <w:r w:rsidRPr="00DE20E4">
              <w:rPr>
                <w:sz w:val="22"/>
                <w:szCs w:val="22"/>
              </w:rPr>
              <w:t>Минимальный (&lt;10 %)</w:t>
            </w:r>
          </w:p>
        </w:tc>
        <w:tc>
          <w:tcPr>
            <w:tcW w:w="3746" w:type="dxa"/>
          </w:tcPr>
          <w:p w14:paraId="48FD49B2" w14:textId="77777777" w:rsidR="0036594F" w:rsidRPr="00DE20E4" w:rsidRDefault="0036594F" w:rsidP="00B153FC">
            <w:pPr>
              <w:pStyle w:val="Normal11"/>
              <w:numPr>
                <w:ilvl w:val="0"/>
                <w:numId w:val="47"/>
              </w:numPr>
              <w:tabs>
                <w:tab w:val="left" w:pos="0"/>
              </w:tabs>
              <w:spacing w:line="360" w:lineRule="auto"/>
              <w:ind w:left="57" w:right="57"/>
              <w:rPr>
                <w:rFonts w:cs="Times New Roman"/>
                <w:sz w:val="22"/>
                <w:szCs w:val="22"/>
                <w:shd w:val="clear" w:color="auto" w:fill="FFFFFF"/>
              </w:rPr>
            </w:pPr>
            <w:r>
              <w:rPr>
                <w:rFonts w:cs="Times New Roman"/>
                <w:sz w:val="22"/>
                <w:szCs w:val="22"/>
                <w:shd w:val="clear" w:color="auto" w:fill="FFFFFF"/>
              </w:rPr>
              <w:t>б</w:t>
            </w:r>
            <w:r w:rsidRPr="00DE20E4">
              <w:rPr>
                <w:rFonts w:cs="Times New Roman"/>
                <w:sz w:val="22"/>
                <w:szCs w:val="22"/>
                <w:shd w:val="clear" w:color="auto" w:fill="FFFFFF"/>
              </w:rPr>
              <w:t>евацизумаб</w:t>
            </w:r>
          </w:p>
          <w:p w14:paraId="38011CBD" w14:textId="77777777" w:rsidR="0036594F" w:rsidRPr="00DE20E4" w:rsidRDefault="0036594F" w:rsidP="00B153FC">
            <w:pPr>
              <w:pStyle w:val="Normal11"/>
              <w:numPr>
                <w:ilvl w:val="0"/>
                <w:numId w:val="4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блеомицин</w:t>
            </w:r>
          </w:p>
          <w:p w14:paraId="1DB847CB" w14:textId="77777777" w:rsidR="0036594F" w:rsidRPr="00DE20E4" w:rsidRDefault="0036594F" w:rsidP="00B153FC">
            <w:pPr>
              <w:pStyle w:val="Normal11"/>
              <w:numPr>
                <w:ilvl w:val="0"/>
                <w:numId w:val="4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винбластин</w:t>
            </w:r>
          </w:p>
          <w:p w14:paraId="41A6F503" w14:textId="77777777" w:rsidR="0036594F" w:rsidRPr="00DE20E4" w:rsidRDefault="0036594F" w:rsidP="00B153FC">
            <w:pPr>
              <w:pStyle w:val="Normal11"/>
              <w:numPr>
                <w:ilvl w:val="0"/>
                <w:numId w:val="4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винкристин</w:t>
            </w:r>
          </w:p>
          <w:p w14:paraId="3D124BC2" w14:textId="77777777" w:rsidR="0036594F" w:rsidRPr="00DE20E4" w:rsidRDefault="0036594F" w:rsidP="00B153FC">
            <w:pPr>
              <w:pStyle w:val="Normal11"/>
              <w:numPr>
                <w:ilvl w:val="0"/>
                <w:numId w:val="4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винорельбин</w:t>
            </w:r>
          </w:p>
          <w:p w14:paraId="01F118E3" w14:textId="77777777" w:rsidR="0036594F" w:rsidRPr="00DE20E4" w:rsidRDefault="0036594F" w:rsidP="00B153FC">
            <w:pPr>
              <w:pStyle w:val="Normal11"/>
              <w:numPr>
                <w:ilvl w:val="0"/>
                <w:numId w:val="4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даратумумаб</w:t>
            </w:r>
          </w:p>
          <w:p w14:paraId="195473EA" w14:textId="77777777" w:rsidR="0036594F" w:rsidRPr="00DE20E4" w:rsidRDefault="0036594F" w:rsidP="00B153FC">
            <w:pPr>
              <w:pStyle w:val="Normal11"/>
              <w:numPr>
                <w:ilvl w:val="0"/>
                <w:numId w:val="4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кладрибин</w:t>
            </w:r>
          </w:p>
          <w:p w14:paraId="57EF9B5F" w14:textId="77777777" w:rsidR="0036594F" w:rsidRPr="00DE20E4" w:rsidRDefault="0036594F" w:rsidP="00B153FC">
            <w:pPr>
              <w:pStyle w:val="Normal11"/>
              <w:numPr>
                <w:ilvl w:val="0"/>
                <w:numId w:val="4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ниволумаб</w:t>
            </w:r>
          </w:p>
          <w:p w14:paraId="1E28614F" w14:textId="77777777" w:rsidR="0036594F" w:rsidRPr="00DE20E4" w:rsidRDefault="0036594F" w:rsidP="00B153FC">
            <w:pPr>
              <w:pStyle w:val="Normal11"/>
              <w:numPr>
                <w:ilvl w:val="0"/>
                <w:numId w:val="4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обинутузумаб</w:t>
            </w:r>
          </w:p>
          <w:p w14:paraId="0E29C65B" w14:textId="77777777" w:rsidR="0036594F" w:rsidRPr="00DE20E4" w:rsidRDefault="0036594F" w:rsidP="00B153FC">
            <w:pPr>
              <w:pStyle w:val="Normal11"/>
              <w:numPr>
                <w:ilvl w:val="0"/>
                <w:numId w:val="4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офатумумаб</w:t>
            </w:r>
          </w:p>
          <w:p w14:paraId="73AB3C70" w14:textId="77777777" w:rsidR="0036594F" w:rsidRPr="00DE20E4" w:rsidRDefault="0036594F" w:rsidP="00B153FC">
            <w:pPr>
              <w:pStyle w:val="Normal11"/>
              <w:numPr>
                <w:ilvl w:val="0"/>
                <w:numId w:val="4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пембролизумаб</w:t>
            </w:r>
          </w:p>
          <w:p w14:paraId="0B3A9B6A" w14:textId="77777777" w:rsidR="0036594F" w:rsidRPr="00DE20E4" w:rsidRDefault="0036594F" w:rsidP="00B153FC">
            <w:pPr>
              <w:pStyle w:val="Normal11"/>
              <w:numPr>
                <w:ilvl w:val="0"/>
                <w:numId w:val="4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пиксантрон</w:t>
            </w:r>
          </w:p>
          <w:p w14:paraId="6268D566" w14:textId="77777777" w:rsidR="0036594F" w:rsidRPr="00DE20E4" w:rsidRDefault="0036594F" w:rsidP="00B153FC">
            <w:pPr>
              <w:pStyle w:val="Normal11"/>
              <w:numPr>
                <w:ilvl w:val="0"/>
                <w:numId w:val="4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пралатрексат</w:t>
            </w:r>
          </w:p>
          <w:p w14:paraId="6ACF841E" w14:textId="77777777" w:rsidR="0036594F" w:rsidRPr="00DE20E4" w:rsidRDefault="0036594F" w:rsidP="00B153FC">
            <w:pPr>
              <w:pStyle w:val="Normal11"/>
              <w:numPr>
                <w:ilvl w:val="0"/>
                <w:numId w:val="4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рамуцирумаб</w:t>
            </w:r>
          </w:p>
          <w:p w14:paraId="360C597A" w14:textId="77777777" w:rsidR="0036594F" w:rsidRPr="00FA793D" w:rsidRDefault="0036594F" w:rsidP="00B153FC">
            <w:pPr>
              <w:pStyle w:val="Normal11"/>
              <w:numPr>
                <w:ilvl w:val="0"/>
                <w:numId w:val="47"/>
              </w:numPr>
              <w:tabs>
                <w:tab w:val="left" w:pos="0"/>
              </w:tabs>
              <w:spacing w:line="360" w:lineRule="auto"/>
              <w:ind w:left="57" w:right="57"/>
              <w:rPr>
                <w:rFonts w:cs="Times New Roman"/>
                <w:sz w:val="22"/>
                <w:szCs w:val="22"/>
                <w:shd w:val="clear" w:color="auto" w:fill="FFFFFF"/>
              </w:rPr>
            </w:pPr>
            <w:r w:rsidRPr="00FA793D">
              <w:rPr>
                <w:rFonts w:cs="Times New Roman"/>
                <w:sz w:val="22"/>
                <w:szCs w:val="22"/>
                <w:shd w:val="clear" w:color="auto" w:fill="FFFFFF"/>
              </w:rPr>
              <w:t>ритуксимаб</w:t>
            </w:r>
          </w:p>
          <w:p w14:paraId="12D16A6D" w14:textId="77777777" w:rsidR="0036594F" w:rsidRPr="00FA793D" w:rsidRDefault="0036594F" w:rsidP="00B153FC">
            <w:pPr>
              <w:pStyle w:val="Normal11"/>
              <w:numPr>
                <w:ilvl w:val="0"/>
                <w:numId w:val="47"/>
              </w:numPr>
              <w:tabs>
                <w:tab w:val="left" w:pos="0"/>
              </w:tabs>
              <w:spacing w:line="360" w:lineRule="auto"/>
              <w:ind w:left="57" w:right="57"/>
              <w:rPr>
                <w:rFonts w:cs="Times New Roman"/>
                <w:sz w:val="22"/>
                <w:szCs w:val="22"/>
                <w:shd w:val="clear" w:color="auto" w:fill="FFFFFF"/>
              </w:rPr>
            </w:pPr>
            <w:r w:rsidRPr="00FA793D">
              <w:rPr>
                <w:rFonts w:cs="Times New Roman"/>
                <w:sz w:val="22"/>
                <w:szCs w:val="22"/>
                <w:shd w:val="clear" w:color="auto" w:fill="FFFFFF"/>
              </w:rPr>
              <w:t>трастузумаб</w:t>
            </w:r>
          </w:p>
          <w:p w14:paraId="06EC878E" w14:textId="77777777" w:rsidR="0036594F" w:rsidRPr="00FA793D" w:rsidRDefault="0036594F" w:rsidP="00B153FC">
            <w:pPr>
              <w:pStyle w:val="Normal11"/>
              <w:numPr>
                <w:ilvl w:val="0"/>
                <w:numId w:val="47"/>
              </w:numPr>
              <w:shd w:val="clear" w:color="auto" w:fill="auto"/>
              <w:tabs>
                <w:tab w:val="left" w:pos="0"/>
              </w:tabs>
              <w:spacing w:line="360" w:lineRule="auto"/>
              <w:ind w:left="57" w:right="57"/>
              <w:rPr>
                <w:rFonts w:cs="Times New Roman"/>
                <w:sz w:val="22"/>
                <w:szCs w:val="22"/>
                <w:shd w:val="clear" w:color="auto" w:fill="FFFFFF"/>
              </w:rPr>
            </w:pPr>
            <w:r w:rsidRPr="00FA793D">
              <w:rPr>
                <w:rFonts w:cs="Times New Roman"/>
                <w:sz w:val="22"/>
                <w:szCs w:val="22"/>
                <w:shd w:val="clear" w:color="auto" w:fill="FFFFFF"/>
              </w:rPr>
              <w:t>флударабин</w:t>
            </w:r>
          </w:p>
          <w:p w14:paraId="3B190FA7" w14:textId="77777777" w:rsidR="0036594F" w:rsidRPr="00DE20E4" w:rsidRDefault="0036594F" w:rsidP="00B153FC">
            <w:pPr>
              <w:pStyle w:val="Normal11"/>
              <w:numPr>
                <w:ilvl w:val="0"/>
                <w:numId w:val="47"/>
              </w:numPr>
              <w:shd w:val="clear" w:color="auto" w:fill="auto"/>
              <w:tabs>
                <w:tab w:val="left" w:pos="0"/>
              </w:tabs>
              <w:spacing w:line="360" w:lineRule="auto"/>
              <w:ind w:left="57" w:right="57"/>
              <w:rPr>
                <w:rFonts w:cs="Times New Roman"/>
                <w:sz w:val="22"/>
                <w:szCs w:val="22"/>
                <w:shd w:val="clear" w:color="auto" w:fill="FFFFFF"/>
              </w:rPr>
            </w:pPr>
            <w:r w:rsidRPr="00FA793D">
              <w:rPr>
                <w:rFonts w:cs="Times New Roman"/>
                <w:sz w:val="22"/>
                <w:szCs w:val="22"/>
                <w:shd w:val="clear" w:color="auto" w:fill="FFFFFF"/>
              </w:rPr>
              <w:t>2-хлордеоксиаденозин</w:t>
            </w:r>
          </w:p>
        </w:tc>
        <w:tc>
          <w:tcPr>
            <w:tcW w:w="3746" w:type="dxa"/>
          </w:tcPr>
          <w:p w14:paraId="4B7A54EE" w14:textId="77777777" w:rsidR="0036594F" w:rsidRPr="00DE20E4" w:rsidRDefault="0036594F" w:rsidP="00B153FC">
            <w:pPr>
              <w:pStyle w:val="Normal11"/>
              <w:numPr>
                <w:ilvl w:val="0"/>
                <w:numId w:val="47"/>
              </w:numPr>
              <w:tabs>
                <w:tab w:val="left" w:pos="0"/>
              </w:tabs>
              <w:spacing w:line="360" w:lineRule="auto"/>
              <w:ind w:left="57" w:right="57"/>
              <w:rPr>
                <w:rFonts w:cs="Times New Roman"/>
                <w:sz w:val="22"/>
                <w:szCs w:val="22"/>
                <w:shd w:val="clear" w:color="auto" w:fill="FFFFFF"/>
              </w:rPr>
            </w:pPr>
            <w:r>
              <w:rPr>
                <w:rFonts w:cs="Times New Roman"/>
                <w:sz w:val="22"/>
                <w:szCs w:val="22"/>
                <w:shd w:val="clear" w:color="auto" w:fill="FFFFFF"/>
              </w:rPr>
              <w:t>б</w:t>
            </w:r>
            <w:r w:rsidRPr="00DE20E4">
              <w:rPr>
                <w:rFonts w:cs="Times New Roman"/>
                <w:sz w:val="22"/>
                <w:szCs w:val="22"/>
                <w:shd w:val="clear" w:color="auto" w:fill="FFFFFF"/>
              </w:rPr>
              <w:t>усульфан</w:t>
            </w:r>
          </w:p>
          <w:p w14:paraId="2F191171" w14:textId="77777777" w:rsidR="0036594F" w:rsidRPr="00DE20E4" w:rsidRDefault="0036594F" w:rsidP="00B153FC">
            <w:pPr>
              <w:pStyle w:val="Normal11"/>
              <w:numPr>
                <w:ilvl w:val="0"/>
                <w:numId w:val="47"/>
              </w:numPr>
              <w:tabs>
                <w:tab w:val="left" w:pos="0"/>
              </w:tabs>
              <w:spacing w:line="360" w:lineRule="auto"/>
              <w:ind w:left="57" w:right="57"/>
              <w:rPr>
                <w:rFonts w:cs="Times New Roman"/>
                <w:sz w:val="22"/>
                <w:szCs w:val="22"/>
                <w:shd w:val="clear" w:color="auto" w:fill="FFFFFF"/>
              </w:rPr>
            </w:pPr>
            <w:r>
              <w:rPr>
                <w:rFonts w:cs="Times New Roman"/>
                <w:sz w:val="22"/>
                <w:szCs w:val="22"/>
                <w:shd w:val="clear" w:color="auto" w:fill="FFFFFF"/>
              </w:rPr>
              <w:t>в</w:t>
            </w:r>
            <w:r w:rsidRPr="00DE20E4">
              <w:rPr>
                <w:rFonts w:cs="Times New Roman"/>
                <w:sz w:val="22"/>
                <w:szCs w:val="22"/>
                <w:shd w:val="clear" w:color="auto" w:fill="FFFFFF"/>
              </w:rPr>
              <w:t>емурафениб</w:t>
            </w:r>
          </w:p>
          <w:p w14:paraId="6FBEF3DD" w14:textId="77777777" w:rsidR="0036594F" w:rsidRPr="00DE20E4" w:rsidRDefault="0036594F" w:rsidP="00B153FC">
            <w:pPr>
              <w:pStyle w:val="Normal11"/>
              <w:numPr>
                <w:ilvl w:val="0"/>
                <w:numId w:val="4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висмодегиб</w:t>
            </w:r>
          </w:p>
          <w:p w14:paraId="0B9E60FF" w14:textId="77777777" w:rsidR="0036594F" w:rsidRPr="00DE20E4" w:rsidRDefault="0036594F" w:rsidP="00B153FC">
            <w:pPr>
              <w:pStyle w:val="Normal11"/>
              <w:numPr>
                <w:ilvl w:val="0"/>
                <w:numId w:val="4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гефитиниб</w:t>
            </w:r>
          </w:p>
          <w:p w14:paraId="55FBC5EA" w14:textId="77777777" w:rsidR="0036594F" w:rsidRPr="00DE20E4" w:rsidRDefault="0036594F" w:rsidP="00B153FC">
            <w:pPr>
              <w:pStyle w:val="Normal11"/>
              <w:numPr>
                <w:ilvl w:val="0"/>
                <w:numId w:val="4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гидроксиуреа</w:t>
            </w:r>
          </w:p>
          <w:p w14:paraId="36E49373" w14:textId="77777777" w:rsidR="0036594F" w:rsidRPr="00DE20E4" w:rsidRDefault="0036594F" w:rsidP="00B153FC">
            <w:pPr>
              <w:pStyle w:val="Normal11"/>
              <w:numPr>
                <w:ilvl w:val="0"/>
                <w:numId w:val="4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мелфалан</w:t>
            </w:r>
          </w:p>
          <w:p w14:paraId="79F97CC3" w14:textId="77777777" w:rsidR="0036594F" w:rsidRPr="00DE20E4" w:rsidRDefault="0036594F" w:rsidP="00B153FC">
            <w:pPr>
              <w:pStyle w:val="Normal11"/>
              <w:numPr>
                <w:ilvl w:val="0"/>
                <w:numId w:val="4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метотрексат</w:t>
            </w:r>
          </w:p>
          <w:p w14:paraId="73344ACF" w14:textId="77777777" w:rsidR="0036594F" w:rsidRPr="00DE20E4" w:rsidRDefault="0036594F" w:rsidP="00B153FC">
            <w:pPr>
              <w:pStyle w:val="Normal11"/>
              <w:numPr>
                <w:ilvl w:val="0"/>
                <w:numId w:val="4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помалидомид</w:t>
            </w:r>
          </w:p>
          <w:p w14:paraId="3826DEB6" w14:textId="77777777" w:rsidR="0036594F" w:rsidRPr="00DE20E4" w:rsidRDefault="0036594F" w:rsidP="00B153FC">
            <w:pPr>
              <w:pStyle w:val="Normal11"/>
              <w:numPr>
                <w:ilvl w:val="0"/>
                <w:numId w:val="4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руксолитиниб</w:t>
            </w:r>
          </w:p>
          <w:p w14:paraId="463ABB2B" w14:textId="77777777" w:rsidR="0036594F" w:rsidRPr="00DE20E4" w:rsidRDefault="0036594F" w:rsidP="00B153FC">
            <w:pPr>
              <w:pStyle w:val="Normal11"/>
              <w:numPr>
                <w:ilvl w:val="0"/>
                <w:numId w:val="4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сорафениб</w:t>
            </w:r>
          </w:p>
          <w:p w14:paraId="562B2C4C" w14:textId="77777777" w:rsidR="0036594F" w:rsidRPr="00DE20E4" w:rsidRDefault="0036594F" w:rsidP="00B153FC">
            <w:pPr>
              <w:pStyle w:val="Normal11"/>
              <w:numPr>
                <w:ilvl w:val="0"/>
                <w:numId w:val="4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хлорамбуцил</w:t>
            </w:r>
          </w:p>
          <w:p w14:paraId="514F4AFB" w14:textId="77777777" w:rsidR="0036594F" w:rsidRPr="00DE20E4" w:rsidRDefault="0036594F" w:rsidP="00B153FC">
            <w:pPr>
              <w:pStyle w:val="Normal11"/>
              <w:numPr>
                <w:ilvl w:val="0"/>
                <w:numId w:val="4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эрлотиниб</w:t>
            </w:r>
          </w:p>
          <w:p w14:paraId="69FC642F" w14:textId="77777777" w:rsidR="0036594F" w:rsidRPr="00DE20E4" w:rsidRDefault="0036594F" w:rsidP="00B153FC">
            <w:pPr>
              <w:pStyle w:val="Normal11"/>
              <w:numPr>
                <w:ilvl w:val="0"/>
                <w:numId w:val="47"/>
              </w:numPr>
              <w:tabs>
                <w:tab w:val="left" w:pos="0"/>
              </w:tabs>
              <w:spacing w:line="360" w:lineRule="auto"/>
              <w:ind w:left="57" w:right="57"/>
              <w:rPr>
                <w:rFonts w:cs="Times New Roman"/>
                <w:sz w:val="22"/>
                <w:szCs w:val="22"/>
                <w:shd w:val="clear" w:color="auto" w:fill="FFFFFF"/>
              </w:rPr>
            </w:pPr>
            <w:r w:rsidRPr="00DE20E4">
              <w:rPr>
                <w:rFonts w:cs="Times New Roman"/>
                <w:sz w:val="22"/>
                <w:szCs w:val="22"/>
                <w:shd w:val="clear" w:color="auto" w:fill="FFFFFF"/>
              </w:rPr>
              <w:t>6</w:t>
            </w:r>
            <w:r w:rsidRPr="00DE20E4">
              <w:rPr>
                <w:rFonts w:ascii="MS Mincho" w:eastAsia="MS Mincho" w:hAnsi="MS Mincho" w:cs="MS Mincho" w:hint="eastAsia"/>
                <w:sz w:val="22"/>
                <w:szCs w:val="22"/>
                <w:shd w:val="clear" w:color="auto" w:fill="FFFFFF"/>
              </w:rPr>
              <w:t>‑</w:t>
            </w:r>
            <w:r w:rsidRPr="00DE20E4">
              <w:rPr>
                <w:rFonts w:cs="Times New Roman"/>
                <w:sz w:val="22"/>
                <w:szCs w:val="22"/>
                <w:shd w:val="clear" w:color="auto" w:fill="FFFFFF"/>
              </w:rPr>
              <w:t>тиогуанин</w:t>
            </w:r>
          </w:p>
          <w:p w14:paraId="129C5996" w14:textId="77777777" w:rsidR="0036594F" w:rsidRPr="00DE20E4" w:rsidRDefault="0036594F" w:rsidP="002D3EBF">
            <w:pPr>
              <w:pStyle w:val="Normal11"/>
              <w:shd w:val="clear" w:color="auto" w:fill="auto"/>
              <w:tabs>
                <w:tab w:val="left" w:pos="0"/>
              </w:tabs>
              <w:spacing w:line="360" w:lineRule="auto"/>
              <w:ind w:left="57" w:right="57" w:firstLine="0"/>
              <w:rPr>
                <w:rFonts w:cs="Times New Roman"/>
                <w:sz w:val="22"/>
                <w:szCs w:val="22"/>
                <w:shd w:val="clear" w:color="auto" w:fill="FFFFFF"/>
              </w:rPr>
            </w:pPr>
          </w:p>
        </w:tc>
      </w:tr>
    </w:tbl>
    <w:p w14:paraId="210456EF" w14:textId="77777777" w:rsidR="0036594F" w:rsidRDefault="0036594F" w:rsidP="0036594F"/>
    <w:p w14:paraId="3E87C094" w14:textId="0262C88D" w:rsidR="0036594F" w:rsidRDefault="0036594F" w:rsidP="0036594F">
      <w:r w:rsidRPr="001957E3">
        <w:t>Рекомендации экспертов по принципам противорвотного (антиэметогенного) лечения основываются на том, в какую категорию эметогенного потенциала входит цитостатик</w:t>
      </w:r>
      <w:r>
        <w:t xml:space="preserve"> </w:t>
      </w:r>
      <w:r>
        <w:fldChar w:fldCharType="begin" w:fldLock="1"/>
      </w:r>
      <w:r w:rsidR="005F3BE6">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[66,74–79]","plainTextFormattedCitation":"[66,74–79]","previouslyFormattedCitation":"[66,74–79]"},"properties":{"noteIndex":0},"schema":"https://github.com/citation-style-language/schema/raw/master/csl-citation.json"}</w:instrText>
      </w:r>
      <w:r>
        <w:fldChar w:fldCharType="separate"/>
      </w:r>
      <w:r w:rsidRPr="0036594F">
        <w:rPr>
          <w:noProof/>
        </w:rPr>
        <w:t>[66,74–79]</w:t>
      </w:r>
      <w:r>
        <w:fldChar w:fldCharType="end"/>
      </w:r>
      <w:r w:rsidRPr="001957E3">
        <w:t xml:space="preserve">. Эметогенный потенциал препаратов для внутривенного введения определяется, как правило, для режима однодневного введения, то есть определяется эметогенность разовой дозы. В основу эметогенной классификации таблетированных препаратов положен учет эметогенности полного курса лечения. Эметогенность комбинированного режима </w:t>
      </w:r>
      <w:r>
        <w:t>П</w:t>
      </w:r>
      <w:r w:rsidRPr="001957E3">
        <w:t>ХТ определяется, как правило, препаратом, обладающим наибольшим эметогенным потенциалом. Это положение является абсолютно верным для режимов, включающих высокоэметогенные цитостатики. Комбинация средне-эметогенных цитостатиков может повышать эметогенность режима в целом.</w:t>
      </w:r>
    </w:p>
    <w:p w14:paraId="78F3B89E" w14:textId="77777777" w:rsidR="0036594F" w:rsidRPr="001957E3" w:rsidRDefault="0036594F" w:rsidP="0036594F"/>
    <w:p w14:paraId="38FE70D9" w14:textId="77777777" w:rsidR="0036594F" w:rsidRPr="00376A77" w:rsidRDefault="0036594F" w:rsidP="0036594F">
      <w:pPr>
        <w:pStyle w:val="Normal11"/>
        <w:tabs>
          <w:tab w:val="left" w:pos="0"/>
        </w:tabs>
        <w:spacing w:line="360" w:lineRule="auto"/>
        <w:ind w:firstLine="699"/>
        <w:jc w:val="both"/>
        <w:rPr>
          <w:rFonts w:cs="Times New Roman"/>
          <w:bCs/>
          <w:i/>
          <w:iCs/>
          <w:u w:val="single"/>
          <w:shd w:val="clear" w:color="auto" w:fill="FFFFFF"/>
        </w:rPr>
      </w:pPr>
      <w:r w:rsidRPr="00376A77">
        <w:rPr>
          <w:rFonts w:cs="Times New Roman"/>
          <w:bCs/>
          <w:i/>
          <w:iCs/>
          <w:u w:val="single"/>
          <w:shd w:val="clear" w:color="auto" w:fill="FFFFFF"/>
        </w:rPr>
        <w:t>Противорвотные препараты</w:t>
      </w:r>
    </w:p>
    <w:p w14:paraId="143BFA98" w14:textId="05F4EE3C" w:rsidR="0036594F" w:rsidRPr="0030741F" w:rsidRDefault="0036594F" w:rsidP="0036594F">
      <w:r w:rsidRPr="0030741F">
        <w:t>Для клинического применения используется 5 групп препаратов, обладающих противорвотным действием</w:t>
      </w:r>
      <w:r>
        <w:t xml:space="preserve"> </w:t>
      </w:r>
      <w:r>
        <w:fldChar w:fldCharType="begin" w:fldLock="1"/>
      </w:r>
      <w:r w:rsidR="005F3BE6">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[66,74–79]","plainTextFormattedCitation":"[66,74–79]","previouslyFormattedCitation":"[66,74–79]"},"properties":{"noteIndex":0},"schema":"https://github.com/citation-style-language/schema/raw/master/csl-citation.json"}</w:instrText>
      </w:r>
      <w:r>
        <w:fldChar w:fldCharType="separate"/>
      </w:r>
      <w:r w:rsidRPr="0036594F">
        <w:rPr>
          <w:noProof/>
        </w:rPr>
        <w:t>[66,74–79]</w:t>
      </w:r>
      <w:r>
        <w:fldChar w:fldCharType="end"/>
      </w:r>
      <w:r w:rsidRPr="0030741F">
        <w:t>:</w:t>
      </w:r>
    </w:p>
    <w:p w14:paraId="5C0950D0" w14:textId="77777777" w:rsidR="0036594F" w:rsidRDefault="0036594F" w:rsidP="00B153FC">
      <w:pPr>
        <w:pStyle w:val="afe"/>
        <w:numPr>
          <w:ilvl w:val="0"/>
          <w:numId w:val="50"/>
        </w:numPr>
        <w:contextualSpacing w:val="0"/>
      </w:pPr>
      <w:r w:rsidRPr="00340360">
        <w:rPr>
          <w:i/>
          <w:iCs/>
        </w:rPr>
        <w:t>Антагонисты 5-HT3-рецепторов (HT - гидрокситриптамин)</w:t>
      </w:r>
      <w:r>
        <w:t xml:space="preserve">. </w:t>
      </w:r>
      <w:r w:rsidRPr="00376A77">
        <w:t xml:space="preserve">Эта группа препаратов включает ондансетрон, гранисетрон, трописетрон, палоносетрон. Механизм действия препаратов обусловлен способностью селективно блокировать серотониновые 5-HT3-рецепторы, предупреждая возникновение рвотного рефлекса вследствие стимуляции афферентных волокон блуждающего нерва серотонином, выделяющимся из энтерохромаффинных клеток слизистой оболочки ЖКТ. Антагонисты 5-HT3-рецепторов также угнетают центральные звенья рвотного рефлекса, блокируя 5-HT3-рецепторы дна IV желудочка головного мозга. Препараты назначаются за 30-60 минут до ХТ. В таблице </w:t>
      </w:r>
      <w:r>
        <w:t>А3.</w:t>
      </w:r>
      <w:r w:rsidRPr="00376A77">
        <w:t>2</w:t>
      </w:r>
      <w:r>
        <w:t>.2</w:t>
      </w:r>
      <w:r w:rsidRPr="00376A77">
        <w:t xml:space="preserve"> указан режим дозирования антагонистов 5-HT3-рецепторов.</w:t>
      </w:r>
      <w:r>
        <w:t xml:space="preserve"> Необходим</w:t>
      </w:r>
      <w:r w:rsidRPr="00F4328A">
        <w:t xml:space="preserve"> мониторинг ЭКГ, электролитов у больных с признаками кардиальных нарушений. Антагонисты 5-HT3-рецепторов могут удлинять интервал QT, в связи с чем у пациентов с синдромом удлинения QT следует избегать применения 5-HT3-антагонистов, за исключением палоносетрона, который не оказывает влияния на интервал QT. Палоносетрон – высокоселективный антагонист серотониновых рецепторов, имеющий самый длительный период полувыведения (до 40 часов). Применяется однократно с 1-го дня 1-го цикла при однодневном курсе </w:t>
      </w:r>
      <w:r>
        <w:t>П</w:t>
      </w:r>
      <w:r w:rsidRPr="00F4328A">
        <w:t xml:space="preserve">ХТ и через день - при многодневном курсе </w:t>
      </w:r>
      <w:r>
        <w:t>П</w:t>
      </w:r>
      <w:r w:rsidRPr="00F4328A">
        <w:t>ХТ.</w:t>
      </w:r>
    </w:p>
    <w:p w14:paraId="6C6E3338" w14:textId="77777777" w:rsidR="0036594F" w:rsidRDefault="0036594F" w:rsidP="0036594F">
      <w:pPr>
        <w:pStyle w:val="Normal11"/>
        <w:tabs>
          <w:tab w:val="left" w:pos="0"/>
        </w:tabs>
        <w:spacing w:line="360" w:lineRule="auto"/>
        <w:jc w:val="both"/>
        <w:rPr>
          <w:rFonts w:cs="Times New Roman"/>
          <w:bCs/>
        </w:rPr>
      </w:pPr>
    </w:p>
    <w:p w14:paraId="5AAFEE9E" w14:textId="77777777" w:rsidR="0036594F" w:rsidRPr="0070602A" w:rsidRDefault="0036594F" w:rsidP="0036594F">
      <w:pPr>
        <w:pStyle w:val="Normal11"/>
        <w:tabs>
          <w:tab w:val="left" w:pos="0"/>
        </w:tabs>
        <w:spacing w:line="360" w:lineRule="auto"/>
        <w:jc w:val="both"/>
        <w:rPr>
          <w:rFonts w:cs="Times New Roman"/>
          <w:bCs/>
        </w:rPr>
      </w:pPr>
      <w:r w:rsidRPr="0070602A">
        <w:rPr>
          <w:rFonts w:cs="Times New Roman"/>
          <w:bCs/>
        </w:rPr>
        <w:t xml:space="preserve">Таблица </w:t>
      </w:r>
      <w:r>
        <w:rPr>
          <w:rFonts w:cs="Times New Roman"/>
          <w:bCs/>
        </w:rPr>
        <w:t>А3.2.</w:t>
      </w:r>
      <w:r w:rsidRPr="0070602A">
        <w:rPr>
          <w:rFonts w:cs="Times New Roman"/>
          <w:bCs/>
        </w:rPr>
        <w:t xml:space="preserve">2. Режим дозирования антагонистов 5-HT3-рецепторов </w:t>
      </w:r>
    </w:p>
    <w:tbl>
      <w:tblPr>
        <w:tblStyle w:val="aff9"/>
        <w:tblW w:w="0" w:type="auto"/>
        <w:jc w:val="center"/>
        <w:tblLook w:val="04A0" w:firstRow="1" w:lastRow="0" w:firstColumn="1" w:lastColumn="0" w:noHBand="0" w:noVBand="1"/>
      </w:tblPr>
      <w:tblGrid>
        <w:gridCol w:w="2220"/>
        <w:gridCol w:w="2756"/>
        <w:gridCol w:w="3557"/>
      </w:tblGrid>
      <w:tr w:rsidR="0036594F" w:rsidRPr="0079248E" w14:paraId="58FB6E1F" w14:textId="77777777" w:rsidTr="002D3EBF">
        <w:trPr>
          <w:jc w:val="center"/>
        </w:trPr>
        <w:tc>
          <w:tcPr>
            <w:tcW w:w="2220" w:type="dxa"/>
          </w:tcPr>
          <w:p w14:paraId="2A62063B" w14:textId="77777777" w:rsidR="0036594F" w:rsidRPr="0079248E" w:rsidRDefault="0036594F" w:rsidP="002D3EBF">
            <w:pPr>
              <w:tabs>
                <w:tab w:val="left" w:pos="0"/>
              </w:tabs>
              <w:ind w:left="57" w:right="57" w:firstLine="0"/>
              <w:jc w:val="center"/>
              <w:rPr>
                <w:szCs w:val="24"/>
                <w:lang w:eastAsia="ru-RU"/>
              </w:rPr>
            </w:pPr>
            <w:r w:rsidRPr="0079248E">
              <w:rPr>
                <w:szCs w:val="24"/>
                <w:lang w:eastAsia="ru-RU"/>
              </w:rPr>
              <w:t>Препарат</w:t>
            </w:r>
          </w:p>
        </w:tc>
        <w:tc>
          <w:tcPr>
            <w:tcW w:w="2756" w:type="dxa"/>
          </w:tcPr>
          <w:p w14:paraId="0D95CF51" w14:textId="77777777" w:rsidR="0036594F" w:rsidRPr="0079248E" w:rsidRDefault="0036594F" w:rsidP="002D3EBF">
            <w:pPr>
              <w:tabs>
                <w:tab w:val="left" w:pos="0"/>
              </w:tabs>
              <w:ind w:left="57" w:right="57" w:firstLine="0"/>
              <w:jc w:val="center"/>
              <w:rPr>
                <w:szCs w:val="24"/>
                <w:lang w:eastAsia="ru-RU"/>
              </w:rPr>
            </w:pPr>
            <w:r w:rsidRPr="0079248E">
              <w:rPr>
                <w:szCs w:val="24"/>
                <w:lang w:eastAsia="ru-RU"/>
              </w:rPr>
              <w:t>Разовая доза, мг</w:t>
            </w:r>
          </w:p>
        </w:tc>
        <w:tc>
          <w:tcPr>
            <w:tcW w:w="3557" w:type="dxa"/>
          </w:tcPr>
          <w:p w14:paraId="473F0DA6" w14:textId="77777777" w:rsidR="0036594F" w:rsidRPr="0079248E" w:rsidRDefault="0036594F" w:rsidP="002D3EBF">
            <w:pPr>
              <w:tabs>
                <w:tab w:val="left" w:pos="0"/>
              </w:tabs>
              <w:ind w:left="57" w:right="57" w:firstLine="0"/>
              <w:jc w:val="center"/>
              <w:rPr>
                <w:szCs w:val="24"/>
                <w:lang w:eastAsia="ru-RU"/>
              </w:rPr>
            </w:pPr>
            <w:r w:rsidRPr="00835D9B">
              <w:rPr>
                <w:szCs w:val="24"/>
                <w:lang w:eastAsia="ru-RU"/>
              </w:rPr>
              <w:t>Способ применения</w:t>
            </w:r>
            <w:r>
              <w:rPr>
                <w:szCs w:val="24"/>
                <w:lang w:eastAsia="ru-RU"/>
              </w:rPr>
              <w:t xml:space="preserve"> </w:t>
            </w:r>
          </w:p>
        </w:tc>
      </w:tr>
      <w:tr w:rsidR="0036594F" w:rsidRPr="0030741F" w14:paraId="2FE2423E" w14:textId="77777777" w:rsidTr="002D3EBF">
        <w:trPr>
          <w:jc w:val="center"/>
        </w:trPr>
        <w:tc>
          <w:tcPr>
            <w:tcW w:w="2220" w:type="dxa"/>
          </w:tcPr>
          <w:p w14:paraId="40BC8CC7" w14:textId="77777777" w:rsidR="0036594F" w:rsidRPr="0030741F" w:rsidRDefault="0036594F" w:rsidP="002D3EBF">
            <w:pPr>
              <w:tabs>
                <w:tab w:val="left" w:pos="0"/>
              </w:tabs>
              <w:ind w:left="57" w:right="57" w:firstLine="0"/>
              <w:rPr>
                <w:szCs w:val="24"/>
                <w:lang w:eastAsia="ru-RU"/>
              </w:rPr>
            </w:pPr>
            <w:r w:rsidRPr="0030741F">
              <w:rPr>
                <w:szCs w:val="24"/>
                <w:lang w:eastAsia="ru-RU"/>
              </w:rPr>
              <w:t>Ондансетрон</w:t>
            </w:r>
          </w:p>
        </w:tc>
        <w:tc>
          <w:tcPr>
            <w:tcW w:w="2756" w:type="dxa"/>
          </w:tcPr>
          <w:p w14:paraId="1C718F41" w14:textId="77777777" w:rsidR="0036594F" w:rsidRPr="0030741F" w:rsidRDefault="0036594F" w:rsidP="002D3EBF">
            <w:pPr>
              <w:tabs>
                <w:tab w:val="left" w:pos="0"/>
              </w:tabs>
              <w:ind w:left="57" w:right="57" w:firstLine="0"/>
              <w:rPr>
                <w:szCs w:val="24"/>
                <w:lang w:eastAsia="ru-RU"/>
              </w:rPr>
            </w:pPr>
            <w:r w:rsidRPr="0030741F">
              <w:rPr>
                <w:szCs w:val="24"/>
                <w:lang w:eastAsia="ru-RU"/>
              </w:rPr>
              <w:t>8</w:t>
            </w:r>
          </w:p>
          <w:p w14:paraId="4B9165BD" w14:textId="77777777" w:rsidR="0036594F" w:rsidRDefault="0036594F" w:rsidP="002D3EBF">
            <w:pPr>
              <w:tabs>
                <w:tab w:val="left" w:pos="0"/>
              </w:tabs>
              <w:ind w:left="57" w:right="57" w:firstLine="0"/>
              <w:rPr>
                <w:szCs w:val="24"/>
                <w:lang w:eastAsia="ru-RU"/>
              </w:rPr>
            </w:pPr>
            <w:r w:rsidRPr="0030741F">
              <w:rPr>
                <w:szCs w:val="24"/>
                <w:lang w:eastAsia="ru-RU"/>
              </w:rPr>
              <w:t xml:space="preserve">16 </w:t>
            </w:r>
          </w:p>
          <w:p w14:paraId="23F8D52F" w14:textId="77777777" w:rsidR="0036594F" w:rsidRPr="0030741F" w:rsidRDefault="0036594F" w:rsidP="002D3EBF">
            <w:pPr>
              <w:tabs>
                <w:tab w:val="left" w:pos="0"/>
              </w:tabs>
              <w:ind w:left="57" w:right="57" w:firstLine="0"/>
              <w:rPr>
                <w:szCs w:val="24"/>
                <w:lang w:eastAsia="ru-RU"/>
              </w:rPr>
            </w:pPr>
            <w:r>
              <w:rPr>
                <w:szCs w:val="24"/>
                <w:lang w:eastAsia="ru-RU"/>
              </w:rPr>
              <w:t>8</w:t>
            </w:r>
          </w:p>
        </w:tc>
        <w:tc>
          <w:tcPr>
            <w:tcW w:w="3557" w:type="dxa"/>
          </w:tcPr>
          <w:p w14:paraId="1C173788" w14:textId="77777777" w:rsidR="0036594F" w:rsidRPr="00C36F88" w:rsidRDefault="0036594F" w:rsidP="002D3EBF">
            <w:pPr>
              <w:tabs>
                <w:tab w:val="left" w:pos="0"/>
              </w:tabs>
              <w:ind w:left="57" w:right="57" w:firstLine="0"/>
              <w:rPr>
                <w:szCs w:val="24"/>
                <w:lang w:eastAsia="ru-RU"/>
              </w:rPr>
            </w:pPr>
            <w:r w:rsidRPr="00C36F88">
              <w:rPr>
                <w:szCs w:val="24"/>
                <w:lang w:eastAsia="ru-RU"/>
              </w:rPr>
              <w:t xml:space="preserve">в/в </w:t>
            </w:r>
          </w:p>
          <w:p w14:paraId="41BA0C83" w14:textId="77777777" w:rsidR="0036594F" w:rsidRPr="00C36F88" w:rsidRDefault="0036594F" w:rsidP="002D3EBF">
            <w:pPr>
              <w:tabs>
                <w:tab w:val="left" w:pos="0"/>
              </w:tabs>
              <w:ind w:left="57" w:right="57" w:firstLine="0"/>
              <w:rPr>
                <w:szCs w:val="24"/>
                <w:lang w:eastAsia="ru-RU"/>
              </w:rPr>
            </w:pPr>
            <w:r w:rsidRPr="00C36F88">
              <w:rPr>
                <w:szCs w:val="24"/>
                <w:lang w:eastAsia="ru-RU"/>
              </w:rPr>
              <w:t>внутрь</w:t>
            </w:r>
          </w:p>
          <w:p w14:paraId="197EC899" w14:textId="77777777" w:rsidR="0036594F" w:rsidRPr="00C36F88" w:rsidRDefault="0036594F" w:rsidP="002D3EBF">
            <w:pPr>
              <w:tabs>
                <w:tab w:val="left" w:pos="0"/>
              </w:tabs>
              <w:ind w:left="57" w:right="57" w:firstLine="0"/>
              <w:rPr>
                <w:szCs w:val="24"/>
                <w:lang w:eastAsia="ru-RU"/>
              </w:rPr>
            </w:pPr>
            <w:r w:rsidRPr="00C36F88">
              <w:rPr>
                <w:szCs w:val="24"/>
                <w:lang w:eastAsia="ru-RU"/>
              </w:rPr>
              <w:t>суппозитории ректальные</w:t>
            </w:r>
          </w:p>
        </w:tc>
      </w:tr>
      <w:tr w:rsidR="0036594F" w:rsidRPr="0030741F" w14:paraId="5CB30CBA" w14:textId="77777777" w:rsidTr="002D3EBF">
        <w:trPr>
          <w:jc w:val="center"/>
        </w:trPr>
        <w:tc>
          <w:tcPr>
            <w:tcW w:w="2220" w:type="dxa"/>
          </w:tcPr>
          <w:p w14:paraId="161401E5" w14:textId="77777777" w:rsidR="0036594F" w:rsidRPr="0030741F" w:rsidRDefault="0036594F" w:rsidP="002D3EBF">
            <w:pPr>
              <w:tabs>
                <w:tab w:val="left" w:pos="0"/>
              </w:tabs>
              <w:ind w:left="57" w:right="57" w:firstLine="0"/>
              <w:rPr>
                <w:szCs w:val="24"/>
                <w:lang w:eastAsia="ru-RU"/>
              </w:rPr>
            </w:pPr>
            <w:r w:rsidRPr="0030741F">
              <w:rPr>
                <w:szCs w:val="24"/>
                <w:lang w:eastAsia="ru-RU"/>
              </w:rPr>
              <w:t>Гранисетрон</w:t>
            </w:r>
          </w:p>
        </w:tc>
        <w:tc>
          <w:tcPr>
            <w:tcW w:w="2756" w:type="dxa"/>
          </w:tcPr>
          <w:p w14:paraId="1899589B" w14:textId="77777777" w:rsidR="0036594F" w:rsidRPr="0030741F" w:rsidRDefault="0036594F" w:rsidP="002D3EBF">
            <w:pPr>
              <w:tabs>
                <w:tab w:val="left" w:pos="0"/>
              </w:tabs>
              <w:ind w:left="57" w:right="57" w:firstLine="0"/>
              <w:rPr>
                <w:szCs w:val="24"/>
                <w:lang w:eastAsia="ru-RU"/>
              </w:rPr>
            </w:pPr>
            <w:r w:rsidRPr="0030741F">
              <w:rPr>
                <w:szCs w:val="24"/>
                <w:lang w:eastAsia="ru-RU"/>
              </w:rPr>
              <w:t>1-3</w:t>
            </w:r>
          </w:p>
          <w:p w14:paraId="4DE8DE71" w14:textId="77777777" w:rsidR="0036594F" w:rsidRPr="0030741F" w:rsidRDefault="0036594F" w:rsidP="002D3EBF">
            <w:pPr>
              <w:tabs>
                <w:tab w:val="left" w:pos="0"/>
              </w:tabs>
              <w:ind w:left="57" w:right="57" w:firstLine="0"/>
              <w:rPr>
                <w:szCs w:val="24"/>
                <w:lang w:eastAsia="ru-RU"/>
              </w:rPr>
            </w:pPr>
            <w:r w:rsidRPr="0030741F">
              <w:rPr>
                <w:szCs w:val="24"/>
                <w:lang w:eastAsia="ru-RU"/>
              </w:rPr>
              <w:t>2</w:t>
            </w:r>
          </w:p>
        </w:tc>
        <w:tc>
          <w:tcPr>
            <w:tcW w:w="3557" w:type="dxa"/>
          </w:tcPr>
          <w:p w14:paraId="79AA6E5D" w14:textId="77777777" w:rsidR="0036594F" w:rsidRPr="0030741F" w:rsidRDefault="0036594F" w:rsidP="002D3EBF">
            <w:pPr>
              <w:tabs>
                <w:tab w:val="left" w:pos="0"/>
              </w:tabs>
              <w:ind w:left="57" w:right="57" w:firstLine="0"/>
              <w:rPr>
                <w:szCs w:val="24"/>
                <w:lang w:eastAsia="ru-RU"/>
              </w:rPr>
            </w:pPr>
            <w:r w:rsidRPr="0030741F">
              <w:rPr>
                <w:szCs w:val="24"/>
                <w:lang w:eastAsia="ru-RU"/>
              </w:rPr>
              <w:t xml:space="preserve">в/в  </w:t>
            </w:r>
          </w:p>
          <w:p w14:paraId="1A58D368" w14:textId="77777777" w:rsidR="0036594F" w:rsidRPr="0030741F" w:rsidRDefault="0036594F" w:rsidP="002D3EBF">
            <w:pPr>
              <w:ind w:left="57" w:right="57" w:firstLine="0"/>
              <w:rPr>
                <w:szCs w:val="24"/>
              </w:rPr>
            </w:pPr>
            <w:r w:rsidRPr="0030741F">
              <w:rPr>
                <w:szCs w:val="24"/>
                <w:lang w:eastAsia="ru-RU"/>
              </w:rPr>
              <w:t>внутрь</w:t>
            </w:r>
          </w:p>
        </w:tc>
      </w:tr>
      <w:tr w:rsidR="0036594F" w:rsidRPr="0030741F" w14:paraId="7D14B2CC" w14:textId="77777777" w:rsidTr="002D3EBF">
        <w:trPr>
          <w:jc w:val="center"/>
        </w:trPr>
        <w:tc>
          <w:tcPr>
            <w:tcW w:w="2220" w:type="dxa"/>
          </w:tcPr>
          <w:p w14:paraId="5BFC3481" w14:textId="77777777" w:rsidR="0036594F" w:rsidRPr="0030741F" w:rsidRDefault="0036594F" w:rsidP="002D3EBF">
            <w:pPr>
              <w:tabs>
                <w:tab w:val="left" w:pos="0"/>
              </w:tabs>
              <w:ind w:left="57" w:right="57" w:firstLine="0"/>
              <w:rPr>
                <w:szCs w:val="24"/>
                <w:lang w:eastAsia="ru-RU"/>
              </w:rPr>
            </w:pPr>
            <w:r w:rsidRPr="0030741F">
              <w:rPr>
                <w:szCs w:val="24"/>
                <w:lang w:eastAsia="ru-RU"/>
              </w:rPr>
              <w:t>Трописетрон</w:t>
            </w:r>
          </w:p>
        </w:tc>
        <w:tc>
          <w:tcPr>
            <w:tcW w:w="2756" w:type="dxa"/>
          </w:tcPr>
          <w:p w14:paraId="75771925" w14:textId="77777777" w:rsidR="0036594F" w:rsidRPr="0030741F" w:rsidRDefault="0036594F" w:rsidP="002D3EBF">
            <w:pPr>
              <w:tabs>
                <w:tab w:val="left" w:pos="0"/>
              </w:tabs>
              <w:ind w:left="57" w:right="57" w:firstLine="0"/>
              <w:rPr>
                <w:szCs w:val="24"/>
                <w:lang w:eastAsia="ru-RU"/>
              </w:rPr>
            </w:pPr>
            <w:r w:rsidRPr="0030741F">
              <w:rPr>
                <w:szCs w:val="24"/>
                <w:lang w:eastAsia="ru-RU"/>
              </w:rPr>
              <w:t xml:space="preserve">5 </w:t>
            </w:r>
          </w:p>
        </w:tc>
        <w:tc>
          <w:tcPr>
            <w:tcW w:w="3557" w:type="dxa"/>
          </w:tcPr>
          <w:p w14:paraId="750C89F0" w14:textId="77777777" w:rsidR="0036594F" w:rsidRPr="0030741F" w:rsidRDefault="0036594F" w:rsidP="002D3EBF">
            <w:pPr>
              <w:ind w:left="57" w:right="57" w:firstLine="0"/>
              <w:rPr>
                <w:szCs w:val="24"/>
              </w:rPr>
            </w:pPr>
            <w:r w:rsidRPr="0030741F">
              <w:rPr>
                <w:szCs w:val="24"/>
                <w:lang w:eastAsia="ru-RU"/>
              </w:rPr>
              <w:t>в/в или внутрь</w:t>
            </w:r>
          </w:p>
        </w:tc>
      </w:tr>
      <w:tr w:rsidR="0036594F" w:rsidRPr="0030741F" w14:paraId="55B56333" w14:textId="77777777" w:rsidTr="002D3EBF">
        <w:trPr>
          <w:jc w:val="center"/>
        </w:trPr>
        <w:tc>
          <w:tcPr>
            <w:tcW w:w="2220" w:type="dxa"/>
          </w:tcPr>
          <w:p w14:paraId="1E1C2AA2" w14:textId="77777777" w:rsidR="0036594F" w:rsidRPr="0030741F" w:rsidRDefault="0036594F" w:rsidP="002D3EBF">
            <w:pPr>
              <w:tabs>
                <w:tab w:val="left" w:pos="0"/>
              </w:tabs>
              <w:ind w:left="57" w:right="57" w:firstLine="0"/>
              <w:rPr>
                <w:szCs w:val="24"/>
                <w:lang w:eastAsia="ru-RU"/>
              </w:rPr>
            </w:pPr>
            <w:r w:rsidRPr="0030741F">
              <w:rPr>
                <w:szCs w:val="24"/>
              </w:rPr>
              <w:t>Палоносетрон</w:t>
            </w:r>
          </w:p>
        </w:tc>
        <w:tc>
          <w:tcPr>
            <w:tcW w:w="2756" w:type="dxa"/>
          </w:tcPr>
          <w:p w14:paraId="399C3955" w14:textId="77777777" w:rsidR="0036594F" w:rsidRPr="0030741F" w:rsidRDefault="0036594F" w:rsidP="002D3EBF">
            <w:pPr>
              <w:tabs>
                <w:tab w:val="left" w:pos="0"/>
              </w:tabs>
              <w:ind w:left="57" w:right="57" w:firstLine="0"/>
              <w:rPr>
                <w:szCs w:val="24"/>
                <w:lang w:eastAsia="ru-RU"/>
              </w:rPr>
            </w:pPr>
            <w:r w:rsidRPr="0030741F">
              <w:rPr>
                <w:szCs w:val="24"/>
                <w:lang w:eastAsia="ru-RU"/>
              </w:rPr>
              <w:t>0,25</w:t>
            </w:r>
          </w:p>
        </w:tc>
        <w:tc>
          <w:tcPr>
            <w:tcW w:w="3557" w:type="dxa"/>
          </w:tcPr>
          <w:p w14:paraId="3950395C" w14:textId="77777777" w:rsidR="0036594F" w:rsidRPr="0030741F" w:rsidRDefault="0036594F" w:rsidP="002D3EBF">
            <w:pPr>
              <w:ind w:left="57" w:right="57" w:firstLine="0"/>
              <w:rPr>
                <w:szCs w:val="24"/>
              </w:rPr>
            </w:pPr>
            <w:r w:rsidRPr="0030741F">
              <w:rPr>
                <w:szCs w:val="24"/>
                <w:lang w:eastAsia="ru-RU"/>
              </w:rPr>
              <w:t>в/в</w:t>
            </w:r>
          </w:p>
        </w:tc>
      </w:tr>
    </w:tbl>
    <w:p w14:paraId="2AAB8122" w14:textId="77777777" w:rsidR="0036594F" w:rsidRPr="0030741F" w:rsidRDefault="0036594F" w:rsidP="0036594F"/>
    <w:p w14:paraId="1085B485" w14:textId="77777777" w:rsidR="0036594F" w:rsidRPr="0030741F" w:rsidRDefault="0036594F" w:rsidP="00B153FC">
      <w:pPr>
        <w:pStyle w:val="afe"/>
        <w:numPr>
          <w:ilvl w:val="0"/>
          <w:numId w:val="50"/>
        </w:numPr>
        <w:contextualSpacing w:val="0"/>
      </w:pPr>
      <w:r w:rsidRPr="00E04057">
        <w:rPr>
          <w:i/>
          <w:iCs/>
        </w:rPr>
        <w:t>Кортикостероиды</w:t>
      </w:r>
      <w:r>
        <w:t>.</w:t>
      </w:r>
      <w:r w:rsidRPr="00E04057">
        <w:t xml:space="preserve"> </w:t>
      </w:r>
      <w:r>
        <w:t>Если схема ХТ содержит кортикостероиды, дополнительного назначения дексаметазона с противорвотной целью не требуется. Добавление дексаметазона к антагонистам серотониновых рецепторов позволяет уменьшить риск появления острой тошноты и рвоты и предотвращает развитие отсроченной тошноты и рвоты. Кроме того, он обладает самостоятельной противорвотной активностью и может использоваться в монотерапии для профилактики острой рвоты после введения низкоэметогенных цитостатиков. Препарат назначается в дозе 12 мг внутривенно однократно за 30–60 минут до ХТ. В случае высокоэметогенной терапии в последующие дни назначается внутрь в дозе 8 мг два раза в сутки, продолжительностью до 5 дней.</w:t>
      </w:r>
    </w:p>
    <w:p w14:paraId="746B0A82" w14:textId="77777777" w:rsidR="0036594F" w:rsidRDefault="0036594F" w:rsidP="00B153FC">
      <w:pPr>
        <w:pStyle w:val="afe"/>
        <w:numPr>
          <w:ilvl w:val="0"/>
          <w:numId w:val="50"/>
        </w:numPr>
        <w:contextualSpacing w:val="0"/>
      </w:pPr>
      <w:r w:rsidRPr="00E04057">
        <w:rPr>
          <w:i/>
          <w:iCs/>
        </w:rPr>
        <w:t>Антагонисты рецепторов нейрокинина-1 (NK-1)</w:t>
      </w:r>
      <w:r>
        <w:t>. В эту группу препаратов входят апрепитант и фосапрепитант. Апрепитант – селективный высокоаффинный антагонист рецепторов NK-1 центрального механизма действия (за счет связывания с NK1-рецепторами головного мозга). Центральное действие апрепитанта обладает большой продолжительностью, причем он ингибирует как острую, так и отсроченную фазы рвоты, а также повышает противорвотную активность антагонистов 5-НТ3-рецепторов (например, ондансетрона) и глюкокортикостероидов (дексаметазона).  Антагонисты NK1-рецепторов являются умеренными ингибиторами CYP3A4, что необходимо учитывать при одновременном использовании препаратов, метаболизируемых этой же системой (так, апрепитант снижает эффективность гормональных контрацептивов, в связи с чем, необходимо использовать альтернативные методы контрацепции; апрепитант повышает концентрацию кортикостероидов, в связи с чем в комбинации с апрепитантом доза дексаметазона должна быть снижена приблизительно на 50%; у пациентов, поручающих варфарин, необходимо дополнительно контролировать уровень международного нормализованного отношения). Антагонисты NK1-рецепторов применяют в комбинации с кортикостероидами и антагонистами серотониновых 5-НТ3-рецепторов. Апрепитант принимается за час до ХТ, фосапрепитант вводится за 30 минут до ХТ в дозах, представленных в таблице А3.2.3.</w:t>
      </w:r>
    </w:p>
    <w:p w14:paraId="497F2645" w14:textId="77777777" w:rsidR="0036594F" w:rsidRDefault="0036594F" w:rsidP="0036594F">
      <w:pPr>
        <w:ind w:firstLine="0"/>
        <w:rPr>
          <w:bCs/>
          <w:szCs w:val="24"/>
        </w:rPr>
      </w:pPr>
    </w:p>
    <w:p w14:paraId="2DEC0773" w14:textId="77777777" w:rsidR="0036594F" w:rsidRPr="008578C0" w:rsidRDefault="0036594F" w:rsidP="0036594F">
      <w:pPr>
        <w:ind w:firstLine="0"/>
        <w:rPr>
          <w:bCs/>
          <w:szCs w:val="24"/>
          <w:lang w:eastAsia="ru-RU"/>
        </w:rPr>
      </w:pPr>
      <w:r w:rsidRPr="008578C0">
        <w:rPr>
          <w:bCs/>
          <w:szCs w:val="24"/>
        </w:rPr>
        <w:t xml:space="preserve">Таблица </w:t>
      </w:r>
      <w:r>
        <w:rPr>
          <w:bCs/>
          <w:szCs w:val="24"/>
        </w:rPr>
        <w:t>А.</w:t>
      </w:r>
      <w:r w:rsidRPr="008578C0">
        <w:rPr>
          <w:bCs/>
          <w:szCs w:val="24"/>
        </w:rPr>
        <w:t>3</w:t>
      </w:r>
      <w:r>
        <w:rPr>
          <w:bCs/>
          <w:szCs w:val="24"/>
        </w:rPr>
        <w:t>.2.3</w:t>
      </w:r>
      <w:r w:rsidRPr="008578C0">
        <w:rPr>
          <w:bCs/>
          <w:szCs w:val="24"/>
        </w:rPr>
        <w:t xml:space="preserve">. Режим дозирования антагонистов </w:t>
      </w:r>
      <w:r w:rsidRPr="008578C0">
        <w:rPr>
          <w:bCs/>
          <w:szCs w:val="24"/>
          <w:lang w:eastAsia="ru-RU"/>
        </w:rPr>
        <w:t>NK1-рецепторов</w:t>
      </w:r>
    </w:p>
    <w:tbl>
      <w:tblPr>
        <w:tblStyle w:val="aff9"/>
        <w:tblW w:w="0" w:type="auto"/>
        <w:jc w:val="center"/>
        <w:tblLook w:val="04A0" w:firstRow="1" w:lastRow="0" w:firstColumn="1" w:lastColumn="0" w:noHBand="0" w:noVBand="1"/>
      </w:tblPr>
      <w:tblGrid>
        <w:gridCol w:w="2263"/>
        <w:gridCol w:w="2103"/>
        <w:gridCol w:w="4701"/>
      </w:tblGrid>
      <w:tr w:rsidR="0036594F" w:rsidRPr="003F4776" w14:paraId="1748DCDD" w14:textId="77777777" w:rsidTr="002D3EBF">
        <w:trPr>
          <w:jc w:val="center"/>
        </w:trPr>
        <w:tc>
          <w:tcPr>
            <w:tcW w:w="2263" w:type="dxa"/>
          </w:tcPr>
          <w:p w14:paraId="52E68D36" w14:textId="77777777" w:rsidR="0036594F" w:rsidRPr="003F4776" w:rsidRDefault="0036594F" w:rsidP="002D3EBF">
            <w:pPr>
              <w:tabs>
                <w:tab w:val="left" w:pos="0"/>
              </w:tabs>
              <w:ind w:left="57" w:right="57" w:firstLine="0"/>
              <w:rPr>
                <w:bCs/>
                <w:szCs w:val="24"/>
                <w:lang w:eastAsia="ru-RU"/>
              </w:rPr>
            </w:pPr>
            <w:r w:rsidRPr="003F4776">
              <w:rPr>
                <w:bCs/>
                <w:szCs w:val="24"/>
                <w:lang w:eastAsia="ru-RU"/>
              </w:rPr>
              <w:t>Препарат</w:t>
            </w:r>
          </w:p>
        </w:tc>
        <w:tc>
          <w:tcPr>
            <w:tcW w:w="2103" w:type="dxa"/>
          </w:tcPr>
          <w:p w14:paraId="71C42090" w14:textId="77777777" w:rsidR="0036594F" w:rsidRPr="003F4776" w:rsidRDefault="0036594F" w:rsidP="002D3EBF">
            <w:pPr>
              <w:tabs>
                <w:tab w:val="left" w:pos="0"/>
              </w:tabs>
              <w:ind w:left="57" w:right="57" w:firstLine="0"/>
              <w:rPr>
                <w:bCs/>
                <w:szCs w:val="24"/>
                <w:lang w:eastAsia="ru-RU"/>
              </w:rPr>
            </w:pPr>
            <w:r w:rsidRPr="003F4776">
              <w:rPr>
                <w:bCs/>
                <w:szCs w:val="24"/>
                <w:lang w:eastAsia="ru-RU"/>
              </w:rPr>
              <w:t>Разовая доза, мг</w:t>
            </w:r>
          </w:p>
        </w:tc>
        <w:tc>
          <w:tcPr>
            <w:tcW w:w="4701" w:type="dxa"/>
          </w:tcPr>
          <w:p w14:paraId="0C222D40" w14:textId="77777777" w:rsidR="0036594F" w:rsidRPr="003F4776" w:rsidRDefault="0036594F" w:rsidP="002D3EBF">
            <w:pPr>
              <w:tabs>
                <w:tab w:val="left" w:pos="0"/>
              </w:tabs>
              <w:ind w:left="57" w:right="57" w:firstLine="0"/>
              <w:rPr>
                <w:bCs/>
                <w:szCs w:val="24"/>
                <w:lang w:eastAsia="ru-RU"/>
              </w:rPr>
            </w:pPr>
            <w:r w:rsidRPr="003F4776">
              <w:rPr>
                <w:bCs/>
                <w:szCs w:val="24"/>
                <w:lang w:eastAsia="ru-RU"/>
              </w:rPr>
              <w:t xml:space="preserve">Способ применения  / </w:t>
            </w:r>
          </w:p>
          <w:p w14:paraId="162EAA53" w14:textId="77777777" w:rsidR="0036594F" w:rsidRPr="003F4776" w:rsidRDefault="0036594F" w:rsidP="002D3EBF">
            <w:pPr>
              <w:tabs>
                <w:tab w:val="left" w:pos="0"/>
              </w:tabs>
              <w:ind w:left="57" w:right="57" w:firstLine="0"/>
              <w:rPr>
                <w:bCs/>
                <w:szCs w:val="24"/>
                <w:lang w:eastAsia="ru-RU"/>
              </w:rPr>
            </w:pPr>
            <w:r w:rsidRPr="003F4776">
              <w:rPr>
                <w:bCs/>
                <w:szCs w:val="24"/>
                <w:lang w:eastAsia="ru-RU"/>
              </w:rPr>
              <w:t>Режим дозирования</w:t>
            </w:r>
          </w:p>
        </w:tc>
      </w:tr>
      <w:tr w:rsidR="0036594F" w:rsidRPr="0030741F" w14:paraId="0666AF0D" w14:textId="77777777" w:rsidTr="002D3EBF">
        <w:trPr>
          <w:jc w:val="center"/>
        </w:trPr>
        <w:tc>
          <w:tcPr>
            <w:tcW w:w="2263" w:type="dxa"/>
          </w:tcPr>
          <w:p w14:paraId="614DD24A" w14:textId="77777777" w:rsidR="0036594F" w:rsidRPr="0030741F" w:rsidRDefault="0036594F" w:rsidP="002D3EBF">
            <w:pPr>
              <w:tabs>
                <w:tab w:val="left" w:pos="0"/>
              </w:tabs>
              <w:ind w:left="57" w:right="57" w:firstLine="0"/>
              <w:rPr>
                <w:szCs w:val="24"/>
                <w:lang w:eastAsia="ru-RU"/>
              </w:rPr>
            </w:pPr>
            <w:r w:rsidRPr="0030741F">
              <w:rPr>
                <w:szCs w:val="24"/>
                <w:lang w:eastAsia="ru-RU"/>
              </w:rPr>
              <w:t>Апрепитант</w:t>
            </w:r>
          </w:p>
        </w:tc>
        <w:tc>
          <w:tcPr>
            <w:tcW w:w="2103" w:type="dxa"/>
          </w:tcPr>
          <w:p w14:paraId="01895015" w14:textId="77777777" w:rsidR="0036594F" w:rsidRPr="0030741F" w:rsidRDefault="0036594F" w:rsidP="002D3EBF">
            <w:pPr>
              <w:tabs>
                <w:tab w:val="left" w:pos="0"/>
              </w:tabs>
              <w:ind w:left="57" w:right="57" w:firstLine="0"/>
              <w:rPr>
                <w:szCs w:val="24"/>
                <w:lang w:eastAsia="ru-RU"/>
              </w:rPr>
            </w:pPr>
            <w:r w:rsidRPr="0030741F">
              <w:rPr>
                <w:szCs w:val="24"/>
                <w:lang w:eastAsia="ru-RU"/>
              </w:rPr>
              <w:t xml:space="preserve">125  </w:t>
            </w:r>
          </w:p>
          <w:p w14:paraId="0BD1D806" w14:textId="77777777" w:rsidR="0036594F" w:rsidRPr="0030741F" w:rsidRDefault="0036594F" w:rsidP="002D3EBF">
            <w:pPr>
              <w:tabs>
                <w:tab w:val="left" w:pos="0"/>
              </w:tabs>
              <w:ind w:left="57" w:right="57" w:firstLine="0"/>
              <w:rPr>
                <w:szCs w:val="24"/>
                <w:lang w:eastAsia="ru-RU"/>
              </w:rPr>
            </w:pPr>
            <w:r w:rsidRPr="0030741F">
              <w:rPr>
                <w:szCs w:val="24"/>
                <w:lang w:eastAsia="ru-RU"/>
              </w:rPr>
              <w:t xml:space="preserve">80 </w:t>
            </w:r>
          </w:p>
        </w:tc>
        <w:tc>
          <w:tcPr>
            <w:tcW w:w="4701" w:type="dxa"/>
          </w:tcPr>
          <w:p w14:paraId="0C591FF9" w14:textId="77777777" w:rsidR="0036594F" w:rsidRPr="0030741F" w:rsidRDefault="0036594F" w:rsidP="002D3EBF">
            <w:pPr>
              <w:tabs>
                <w:tab w:val="left" w:pos="0"/>
              </w:tabs>
              <w:ind w:left="57" w:right="57" w:firstLine="0"/>
              <w:rPr>
                <w:szCs w:val="24"/>
                <w:lang w:eastAsia="ru-RU"/>
              </w:rPr>
            </w:pPr>
            <w:r w:rsidRPr="0030741F">
              <w:rPr>
                <w:szCs w:val="24"/>
                <w:lang w:eastAsia="ru-RU"/>
              </w:rPr>
              <w:t>Внутрь в 1 день</w:t>
            </w:r>
          </w:p>
          <w:p w14:paraId="522C3E81" w14:textId="77777777" w:rsidR="0036594F" w:rsidRPr="0030741F" w:rsidRDefault="0036594F" w:rsidP="002D3EBF">
            <w:pPr>
              <w:tabs>
                <w:tab w:val="left" w:pos="0"/>
              </w:tabs>
              <w:ind w:left="57" w:right="57" w:firstLine="0"/>
              <w:rPr>
                <w:szCs w:val="24"/>
                <w:lang w:eastAsia="ru-RU"/>
              </w:rPr>
            </w:pPr>
            <w:r w:rsidRPr="0030741F">
              <w:rPr>
                <w:szCs w:val="24"/>
                <w:lang w:eastAsia="ru-RU"/>
              </w:rPr>
              <w:t xml:space="preserve">Внутрь во 2 и </w:t>
            </w:r>
            <w:r>
              <w:rPr>
                <w:szCs w:val="24"/>
                <w:lang w:eastAsia="ru-RU"/>
              </w:rPr>
              <w:t>3</w:t>
            </w:r>
            <w:r w:rsidRPr="0030741F">
              <w:rPr>
                <w:szCs w:val="24"/>
                <w:lang w:eastAsia="ru-RU"/>
              </w:rPr>
              <w:t xml:space="preserve"> дни </w:t>
            </w:r>
            <w:r>
              <w:rPr>
                <w:szCs w:val="24"/>
                <w:lang w:eastAsia="ru-RU"/>
              </w:rPr>
              <w:t>П</w:t>
            </w:r>
            <w:r w:rsidRPr="0030741F">
              <w:rPr>
                <w:szCs w:val="24"/>
                <w:lang w:eastAsia="ru-RU"/>
              </w:rPr>
              <w:t>ХТ</w:t>
            </w:r>
          </w:p>
        </w:tc>
      </w:tr>
      <w:tr w:rsidR="0036594F" w:rsidRPr="0030741F" w14:paraId="474C9531" w14:textId="77777777" w:rsidTr="002D3EBF">
        <w:trPr>
          <w:jc w:val="center"/>
        </w:trPr>
        <w:tc>
          <w:tcPr>
            <w:tcW w:w="2263" w:type="dxa"/>
          </w:tcPr>
          <w:p w14:paraId="2C5628CA" w14:textId="77777777" w:rsidR="0036594F" w:rsidRPr="0030741F" w:rsidRDefault="0036594F" w:rsidP="002D3EBF">
            <w:pPr>
              <w:tabs>
                <w:tab w:val="left" w:pos="0"/>
              </w:tabs>
              <w:ind w:left="57" w:right="57" w:firstLine="0"/>
              <w:rPr>
                <w:szCs w:val="24"/>
                <w:lang w:eastAsia="ru-RU"/>
              </w:rPr>
            </w:pPr>
            <w:r w:rsidRPr="0030741F">
              <w:rPr>
                <w:bCs/>
                <w:szCs w:val="24"/>
              </w:rPr>
              <w:t>Фосапрепитант</w:t>
            </w:r>
          </w:p>
        </w:tc>
        <w:tc>
          <w:tcPr>
            <w:tcW w:w="2103" w:type="dxa"/>
          </w:tcPr>
          <w:p w14:paraId="0067A787" w14:textId="77777777" w:rsidR="0036594F" w:rsidRPr="0030741F" w:rsidRDefault="0036594F" w:rsidP="002D3EBF">
            <w:pPr>
              <w:tabs>
                <w:tab w:val="left" w:pos="0"/>
              </w:tabs>
              <w:ind w:left="57" w:right="57" w:firstLine="0"/>
              <w:rPr>
                <w:szCs w:val="24"/>
                <w:lang w:eastAsia="ru-RU"/>
              </w:rPr>
            </w:pPr>
            <w:r w:rsidRPr="0030741F">
              <w:rPr>
                <w:szCs w:val="24"/>
                <w:lang w:eastAsia="ru-RU"/>
              </w:rPr>
              <w:t>150</w:t>
            </w:r>
          </w:p>
        </w:tc>
        <w:tc>
          <w:tcPr>
            <w:tcW w:w="4701" w:type="dxa"/>
          </w:tcPr>
          <w:p w14:paraId="239286DD" w14:textId="77777777" w:rsidR="0036594F" w:rsidRPr="0030741F" w:rsidRDefault="0036594F" w:rsidP="002D3EBF">
            <w:pPr>
              <w:tabs>
                <w:tab w:val="left" w:pos="0"/>
              </w:tabs>
              <w:ind w:left="57" w:right="57" w:firstLine="0"/>
              <w:rPr>
                <w:szCs w:val="24"/>
              </w:rPr>
            </w:pPr>
            <w:r w:rsidRPr="0030741F">
              <w:rPr>
                <w:szCs w:val="24"/>
                <w:lang w:eastAsia="ru-RU"/>
              </w:rPr>
              <w:t>В/в однократно</w:t>
            </w:r>
          </w:p>
        </w:tc>
      </w:tr>
    </w:tbl>
    <w:p w14:paraId="600456E9" w14:textId="77777777" w:rsidR="0036594F" w:rsidRPr="0030741F" w:rsidRDefault="0036594F" w:rsidP="0036594F">
      <w:pPr>
        <w:pStyle w:val="afe"/>
        <w:ind w:left="1069" w:firstLine="0"/>
      </w:pPr>
    </w:p>
    <w:p w14:paraId="218707E1" w14:textId="77777777" w:rsidR="0036594F" w:rsidRPr="0030741F" w:rsidRDefault="0036594F" w:rsidP="00B153FC">
      <w:pPr>
        <w:pStyle w:val="afe"/>
        <w:numPr>
          <w:ilvl w:val="0"/>
          <w:numId w:val="50"/>
        </w:numPr>
        <w:contextualSpacing w:val="0"/>
      </w:pPr>
      <w:r w:rsidRPr="003F4776">
        <w:rPr>
          <w:i/>
          <w:iCs/>
        </w:rPr>
        <w:t>Блокаторы рецепторов допамина</w:t>
      </w:r>
      <w:r>
        <w:t>. В эту группу входят бензамиды (метоклопрамид, итоприд), фенотиазины (хлорпромазин или аминазин, прометазин, метопемазин), бутирофеноны (дроперидол, галоперидол), бензодиазепины (диазепам, лоразепам, альпрозолам). Препараты обладают седативными и анксиолитическими свойствами. Метоклопрамид, широко использовавшийся ранее в высоких дозах для профилактики острой тошноты и рвоты после высоко- и среднеэметогенной ПХТ, в настоящее время применяется реже, так как при сопоставимой эффективности с антагонистами серотониновых рецепторов имеет значительное количество выраженных побочных эффектов. Согласно международным рекомендациям, использование метоклопрамида допустимо в стандартных дозах для профилактики острой тошноты и рвоты после низкоэметогенной химиотерапии, для профилактики отсроченной рвоты в комбинации с дексаметазоном. Режим дозирования – 10 мг 1 - 4 раза в сутки внутривенно или внутрь. Добавление блокаторов рецепторов допамина к схеме противорвотной терапии проводится по показаниям на усмотрение лечащего врача.</w:t>
      </w:r>
    </w:p>
    <w:p w14:paraId="54461768" w14:textId="77777777" w:rsidR="0036594F" w:rsidRDefault="0036594F" w:rsidP="00B153FC">
      <w:pPr>
        <w:pStyle w:val="afe"/>
        <w:numPr>
          <w:ilvl w:val="0"/>
          <w:numId w:val="50"/>
        </w:numPr>
        <w:contextualSpacing w:val="0"/>
      </w:pPr>
      <w:r w:rsidRPr="000F06CA">
        <w:rPr>
          <w:i/>
          <w:iCs/>
        </w:rPr>
        <w:t>Нейролептики</w:t>
      </w:r>
      <w:r>
        <w:t xml:space="preserve">. </w:t>
      </w:r>
      <w:r w:rsidRPr="00B328AA">
        <w:t xml:space="preserve">Добавление нейролептиков к схеме противорвотной терапии проводится по показаниям на усмотрение лечащего врача (например, при возникновении неконтролируемой тошноты и рвоты – оланзапин 5–10 мг в сутки внутрь). </w:t>
      </w:r>
    </w:p>
    <w:p w14:paraId="1FFCD45D" w14:textId="77777777" w:rsidR="0036594F" w:rsidRPr="00B328AA" w:rsidRDefault="0036594F" w:rsidP="0036594F"/>
    <w:p w14:paraId="416BB69F" w14:textId="77777777" w:rsidR="0036594F" w:rsidRPr="00F10383" w:rsidRDefault="0036594F" w:rsidP="0036594F">
      <w:pPr>
        <w:pStyle w:val="Normal11"/>
        <w:tabs>
          <w:tab w:val="left" w:pos="0"/>
        </w:tabs>
        <w:spacing w:line="360" w:lineRule="auto"/>
        <w:ind w:firstLine="699"/>
        <w:jc w:val="both"/>
        <w:rPr>
          <w:rFonts w:cs="Times New Roman"/>
          <w:bCs/>
          <w:i/>
          <w:iCs/>
          <w:u w:val="single"/>
          <w:shd w:val="clear" w:color="auto" w:fill="FFFFFF"/>
        </w:rPr>
      </w:pPr>
      <w:r w:rsidRPr="00F10383">
        <w:rPr>
          <w:rFonts w:cs="Times New Roman"/>
          <w:bCs/>
          <w:i/>
          <w:iCs/>
          <w:u w:val="single"/>
          <w:shd w:val="clear" w:color="auto" w:fill="FFFFFF"/>
        </w:rPr>
        <w:t xml:space="preserve">Принципы профилактики и терапии тошноты и рвоты. </w:t>
      </w:r>
    </w:p>
    <w:p w14:paraId="5C49CC80" w14:textId="1A1BD2DC" w:rsidR="0036594F" w:rsidRPr="00B328AA" w:rsidRDefault="0036594F" w:rsidP="0036594F">
      <w:r w:rsidRPr="00B328AA">
        <w:t>Эксперты Международной ассоциации по поддерживающему лечению в онкологии (MASCC) разработали принципы антиэметической терапии, согласно которым используются следующие алогритм и методы профилактики тошноты и рвоты</w:t>
      </w:r>
      <w:r>
        <w:t xml:space="preserve"> </w:t>
      </w:r>
      <w:r>
        <w:fldChar w:fldCharType="begin" w:fldLock="1"/>
      </w:r>
      <w:r w:rsidR="005F3BE6">
        <w:instrText>ADDIN CSL_CITATION {"citationItems":[{"id":"ITEM-1","itemData":{"DOI":"10.1007/s00520-018-4464-y","ISSN":"14337339","PMID":"30284039","abstract":"Chemotherapy-induced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Cancer","id":"ITEM-1","issue":"1","issued":{"date-parts":[["2019","1","1"]]},"page":"87-95","publisher":"Springer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-2","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онкологии.","id":"ITEM-2","issued":{"date-parts":[["2018"]]},"page":"502-511","title":"Практические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[66,79]","plainTextFormattedCitation":"[66,79]","previouslyFormattedCitation":"[66,79]"},"properties":{"noteIndex":0},"schema":"https://github.com/citation-style-language/schema/raw/master/csl-citation.json"}</w:instrText>
      </w:r>
      <w:r>
        <w:fldChar w:fldCharType="separate"/>
      </w:r>
      <w:r w:rsidRPr="0036594F">
        <w:rPr>
          <w:noProof/>
        </w:rPr>
        <w:t>[66,79]</w:t>
      </w:r>
      <w:r>
        <w:fldChar w:fldCharType="end"/>
      </w:r>
      <w:r w:rsidRPr="00B328AA">
        <w:t xml:space="preserve">. </w:t>
      </w:r>
    </w:p>
    <w:p w14:paraId="16372311" w14:textId="77777777" w:rsidR="0036594F" w:rsidRPr="00FB3FAC" w:rsidRDefault="0036594F" w:rsidP="0036594F">
      <w:pPr>
        <w:tabs>
          <w:tab w:val="left" w:pos="0"/>
        </w:tabs>
        <w:rPr>
          <w:bCs/>
          <w:szCs w:val="24"/>
        </w:rPr>
      </w:pPr>
      <w:r w:rsidRPr="00FB3FAC">
        <w:rPr>
          <w:bCs/>
          <w:szCs w:val="24"/>
        </w:rPr>
        <w:t>Алгоритм профилактики и терапии тошноты и рвоты:</w:t>
      </w:r>
    </w:p>
    <w:p w14:paraId="5C491179" w14:textId="77777777" w:rsidR="0036594F" w:rsidRPr="00B328AA" w:rsidRDefault="0036594F" w:rsidP="00B153FC">
      <w:pPr>
        <w:pStyle w:val="afe"/>
        <w:numPr>
          <w:ilvl w:val="0"/>
          <w:numId w:val="50"/>
        </w:numPr>
        <w:contextualSpacing w:val="0"/>
      </w:pPr>
      <w:r w:rsidRPr="00B328AA">
        <w:t xml:space="preserve">Определить эметогенный потенциал назначенного режима ХТ </w:t>
      </w:r>
    </w:p>
    <w:p w14:paraId="7A30480A" w14:textId="77777777" w:rsidR="0036594F" w:rsidRPr="00B328AA" w:rsidRDefault="0036594F" w:rsidP="00B153FC">
      <w:pPr>
        <w:pStyle w:val="afe"/>
        <w:numPr>
          <w:ilvl w:val="0"/>
          <w:numId w:val="50"/>
        </w:numPr>
        <w:contextualSpacing w:val="0"/>
      </w:pPr>
      <w:r w:rsidRPr="00B328AA">
        <w:t>Назначить профилактическую терапию, исходя из эметогенности режима ХТ, начиная с первого курса</w:t>
      </w:r>
    </w:p>
    <w:p w14:paraId="294895DB" w14:textId="77777777" w:rsidR="0036594F" w:rsidRPr="00B328AA" w:rsidRDefault="0036594F" w:rsidP="00B153FC">
      <w:pPr>
        <w:pStyle w:val="afe"/>
        <w:numPr>
          <w:ilvl w:val="0"/>
          <w:numId w:val="50"/>
        </w:numPr>
        <w:contextualSpacing w:val="0"/>
      </w:pPr>
      <w:r w:rsidRPr="00B328AA">
        <w:t>Назначить лечение в случае развития тошноты и рвоты на фоне профилактической терапии</w:t>
      </w:r>
    </w:p>
    <w:p w14:paraId="60A9AD87" w14:textId="77777777" w:rsidR="0036594F" w:rsidRPr="00B328AA" w:rsidRDefault="0036594F" w:rsidP="00B153FC">
      <w:pPr>
        <w:pStyle w:val="afe"/>
        <w:numPr>
          <w:ilvl w:val="0"/>
          <w:numId w:val="50"/>
        </w:numPr>
        <w:contextualSpacing w:val="0"/>
      </w:pPr>
      <w:r w:rsidRPr="00B328AA">
        <w:t>В случае развития тошноты и рвоты внести изменения в профилактическую терапию на последующих циклах ХТ</w:t>
      </w:r>
    </w:p>
    <w:p w14:paraId="6872EC02" w14:textId="77777777" w:rsidR="0036594F" w:rsidRPr="00B328AA" w:rsidRDefault="0036594F" w:rsidP="00B153FC">
      <w:pPr>
        <w:pStyle w:val="afe"/>
        <w:numPr>
          <w:ilvl w:val="0"/>
          <w:numId w:val="50"/>
        </w:numPr>
        <w:contextualSpacing w:val="0"/>
      </w:pPr>
      <w:r w:rsidRPr="00B328AA">
        <w:t>Критерием эффективности противорвотной терапии является полное отсутствие (полный контроль) рвоты и тошноты в течение 24 часов (период развития острой рвоты) с момента введения противоопухолевых препаратов.</w:t>
      </w:r>
    </w:p>
    <w:p w14:paraId="1BD4EC02" w14:textId="77777777" w:rsidR="0036594F" w:rsidRDefault="0036594F" w:rsidP="0036594F">
      <w:pPr>
        <w:tabs>
          <w:tab w:val="left" w:pos="0"/>
        </w:tabs>
        <w:rPr>
          <w:b/>
          <w:szCs w:val="24"/>
        </w:rPr>
      </w:pPr>
    </w:p>
    <w:p w14:paraId="526ED60D" w14:textId="77777777" w:rsidR="0036594F" w:rsidRPr="00FB3FAC" w:rsidRDefault="0036594F" w:rsidP="0036594F">
      <w:pPr>
        <w:pStyle w:val="Normal11"/>
        <w:tabs>
          <w:tab w:val="left" w:pos="0"/>
        </w:tabs>
        <w:spacing w:line="360" w:lineRule="auto"/>
        <w:ind w:firstLine="699"/>
        <w:jc w:val="both"/>
        <w:rPr>
          <w:rFonts w:cs="Times New Roman"/>
          <w:bCs/>
          <w:i/>
          <w:iCs/>
          <w:u w:val="single"/>
          <w:shd w:val="clear" w:color="auto" w:fill="FFFFFF"/>
        </w:rPr>
      </w:pPr>
      <w:r w:rsidRPr="00FB3FAC">
        <w:rPr>
          <w:rFonts w:cs="Times New Roman"/>
          <w:bCs/>
          <w:i/>
          <w:iCs/>
          <w:u w:val="single"/>
          <w:shd w:val="clear" w:color="auto" w:fill="FFFFFF"/>
        </w:rPr>
        <w:t>Профилактика острой и отсроченной тошноты и рвоты при высоко-эметогенной ХТ</w:t>
      </w:r>
    </w:p>
    <w:p w14:paraId="01169BF3" w14:textId="1A6D52DE" w:rsidR="0036594F" w:rsidRPr="00B328AA" w:rsidRDefault="0036594F" w:rsidP="0036594F">
      <w:r w:rsidRPr="00B328AA">
        <w:t>Профилактика тошноты и рвоты должна начинаться до начала ХТ и проводиться не менее 2-3 дней после ее окончания. Антиэметики назначают во все дни ХТ ежедневно (исключение: палоносетрон – через день) на основе эметогенного потенциала цитостатиков, вводимых в тот или иной день. Выбор противорвотной комбинации осуществляется на основе компонента ХТ, обладающего наибольшей эметогенностью. В настоящее время наиболее эффективной антиэметической комбинацией является комбинация противорвотных препаратов, включающая антагонист NK1-рецепторов + антагонист рецепторов серотонина (5-HT3) + дексаметазон (не добавляют при наличии дексаметазона в схеме ХТ). Дополнительно по показаниям на усмотрение лечащего врача могут применяться бензодиазепины, блокаторы H2-рецепторов гистамина, ингибиторы протонной помпы. Может быть назначен апрепитант в дозе 125 мг в 1 день и 80 мг в последующие дни</w:t>
      </w:r>
      <w:r>
        <w:t xml:space="preserve"> </w:t>
      </w:r>
      <w:r>
        <w:fldChar w:fldCharType="begin" w:fldLock="1"/>
      </w:r>
      <w:r w:rsidR="005F3BE6">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[66,74–79]","plainTextFormattedCitation":"[66,74–79]","previouslyFormattedCitation":"[66,74–79]"},"properties":{"noteIndex":0},"schema":"https://github.com/citation-style-language/schema/raw/master/csl-citation.json"}</w:instrText>
      </w:r>
      <w:r>
        <w:fldChar w:fldCharType="separate"/>
      </w:r>
      <w:r w:rsidRPr="0036594F">
        <w:rPr>
          <w:noProof/>
        </w:rPr>
        <w:t>[66,74–79]</w:t>
      </w:r>
      <w:r>
        <w:fldChar w:fldCharType="end"/>
      </w:r>
      <w:r w:rsidRPr="00B328AA">
        <w:t>.</w:t>
      </w:r>
    </w:p>
    <w:p w14:paraId="5B6969FB" w14:textId="77777777" w:rsidR="0036594F" w:rsidRPr="0030741F" w:rsidRDefault="0036594F" w:rsidP="0036594F">
      <w:pPr>
        <w:tabs>
          <w:tab w:val="left" w:pos="0"/>
        </w:tabs>
        <w:rPr>
          <w:szCs w:val="24"/>
        </w:rPr>
      </w:pPr>
    </w:p>
    <w:p w14:paraId="76139E92" w14:textId="77777777" w:rsidR="0036594F" w:rsidRPr="00FB3FAC" w:rsidRDefault="0036594F" w:rsidP="0036594F">
      <w:pPr>
        <w:pStyle w:val="Normal11"/>
        <w:tabs>
          <w:tab w:val="left" w:pos="0"/>
        </w:tabs>
        <w:spacing w:line="360" w:lineRule="auto"/>
        <w:ind w:firstLine="699"/>
        <w:jc w:val="both"/>
        <w:rPr>
          <w:rFonts w:cs="Times New Roman"/>
          <w:bCs/>
          <w:i/>
          <w:iCs/>
          <w:u w:val="single"/>
          <w:shd w:val="clear" w:color="auto" w:fill="FFFFFF"/>
        </w:rPr>
      </w:pPr>
      <w:r w:rsidRPr="00FB3FAC">
        <w:rPr>
          <w:rFonts w:cs="Times New Roman"/>
          <w:bCs/>
          <w:i/>
          <w:iCs/>
          <w:u w:val="single"/>
          <w:shd w:val="clear" w:color="auto" w:fill="FFFFFF"/>
        </w:rPr>
        <w:t>Профилактика острой и отсроченной тошноты и рвоты при умеренно-эметогенной ХТ</w:t>
      </w:r>
    </w:p>
    <w:p w14:paraId="69B72AEB" w14:textId="0919339E" w:rsidR="0036594F" w:rsidRPr="00B328AA" w:rsidRDefault="0036594F" w:rsidP="0036594F">
      <w:r w:rsidRPr="00B328AA">
        <w:t>Профилактика тошноты и рвоты должна начинаться до начала ХТ и проводиться при необходимости еще 2-3 дня после ее окончания. В настоящее время наиболее эффективной антиэметической комбинацией является комбинация противорвотных препаратов, включающая антагонист рецепторов серотонина (5-HT3) + дексаметазон. При некоторых умеренно-эметогенных режимах, включающих карбоплатин, рекомендовано назначение апрепитанта/фосапрепитанта в комбинации с 5-НТ3-антагонистом и дексаметазоном</w:t>
      </w:r>
      <w:r>
        <w:t xml:space="preserve"> </w:t>
      </w:r>
      <w:r>
        <w:fldChar w:fldCharType="begin" w:fldLock="1"/>
      </w:r>
      <w:r w:rsidR="005F3BE6">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[66,74–79]","plainTextFormattedCitation":"[66,74–79]","previouslyFormattedCitation":"[66,74–79]"},"properties":{"noteIndex":0},"schema":"https://github.com/citation-style-language/schema/raw/master/csl-citation.json"}</w:instrText>
      </w:r>
      <w:r>
        <w:fldChar w:fldCharType="separate"/>
      </w:r>
      <w:r w:rsidRPr="0036594F">
        <w:rPr>
          <w:noProof/>
        </w:rPr>
        <w:t>[66,74–79]</w:t>
      </w:r>
      <w:r>
        <w:fldChar w:fldCharType="end"/>
      </w:r>
      <w:r w:rsidRPr="00B328AA">
        <w:t>.</w:t>
      </w:r>
    </w:p>
    <w:p w14:paraId="32F65828" w14:textId="77777777" w:rsidR="0036594F" w:rsidRDefault="0036594F" w:rsidP="0036594F">
      <w:pPr>
        <w:pStyle w:val="Normal11"/>
        <w:tabs>
          <w:tab w:val="left" w:pos="0"/>
        </w:tabs>
        <w:spacing w:line="360" w:lineRule="auto"/>
        <w:ind w:firstLine="699"/>
        <w:jc w:val="both"/>
        <w:rPr>
          <w:rFonts w:cs="Times New Roman"/>
          <w:bCs/>
          <w:i/>
          <w:iCs/>
          <w:u w:val="single"/>
          <w:shd w:val="clear" w:color="auto" w:fill="FFFFFF"/>
        </w:rPr>
      </w:pPr>
    </w:p>
    <w:p w14:paraId="2FA0C7C1" w14:textId="77777777" w:rsidR="0036594F" w:rsidRPr="00FB3FAC" w:rsidRDefault="0036594F" w:rsidP="0036594F">
      <w:pPr>
        <w:pStyle w:val="Normal11"/>
        <w:tabs>
          <w:tab w:val="left" w:pos="0"/>
        </w:tabs>
        <w:spacing w:line="360" w:lineRule="auto"/>
        <w:ind w:firstLine="699"/>
        <w:jc w:val="both"/>
        <w:rPr>
          <w:rFonts w:cs="Times New Roman"/>
          <w:bCs/>
          <w:i/>
          <w:iCs/>
          <w:u w:val="single"/>
          <w:shd w:val="clear" w:color="auto" w:fill="FFFFFF"/>
        </w:rPr>
      </w:pPr>
      <w:r w:rsidRPr="00FB3FAC">
        <w:rPr>
          <w:rFonts w:cs="Times New Roman"/>
          <w:bCs/>
          <w:i/>
          <w:iCs/>
          <w:u w:val="single"/>
          <w:shd w:val="clear" w:color="auto" w:fill="FFFFFF"/>
        </w:rPr>
        <w:t>Профилактика острой и отсроченной тошноты и рвоты при низко-эметогенной и минимально-эметогенной ХТ</w:t>
      </w:r>
    </w:p>
    <w:p w14:paraId="461C0D0E" w14:textId="2E7826CE" w:rsidR="0036594F" w:rsidRPr="00B328AA" w:rsidRDefault="0036594F" w:rsidP="0036594F">
      <w:r w:rsidRPr="00B328AA">
        <w:t>Для профилактики тошноты и рвоты при химиотерапии с низкой эметогенностью следует использовать только один из препаратов: дексаметазон, антагонист 5-HT3-рецепторов или антагонист рецепторов допамина (например, метоклопрамид). При минимально-эметогенной ХТ профилактика тошноты и рвоты не требуется</w:t>
      </w:r>
      <w:r>
        <w:t xml:space="preserve"> </w:t>
      </w:r>
      <w:r>
        <w:fldChar w:fldCharType="begin" w:fldLock="1"/>
      </w:r>
      <w:r w:rsidR="005F3BE6">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[66,74–79]","plainTextFormattedCitation":"[66,74–79]","previouslyFormattedCitation":"[66,74–79]"},"properties":{"noteIndex":0},"schema":"https://github.com/citation-style-language/schema/raw/master/csl-citation.json"}</w:instrText>
      </w:r>
      <w:r>
        <w:fldChar w:fldCharType="separate"/>
      </w:r>
      <w:r w:rsidRPr="0036594F">
        <w:rPr>
          <w:noProof/>
        </w:rPr>
        <w:t>[66,74–79]</w:t>
      </w:r>
      <w:r>
        <w:fldChar w:fldCharType="end"/>
      </w:r>
      <w:r w:rsidRPr="00B328AA">
        <w:t>.</w:t>
      </w:r>
    </w:p>
    <w:p w14:paraId="3D2DB90A" w14:textId="77777777" w:rsidR="0036594F" w:rsidRDefault="0036594F" w:rsidP="0036594F">
      <w:pPr>
        <w:pStyle w:val="Normal11"/>
        <w:tabs>
          <w:tab w:val="left" w:pos="0"/>
        </w:tabs>
        <w:spacing w:line="360" w:lineRule="auto"/>
        <w:ind w:firstLine="699"/>
        <w:jc w:val="both"/>
        <w:rPr>
          <w:rFonts w:cs="Times New Roman"/>
          <w:bCs/>
          <w:i/>
          <w:iCs/>
          <w:u w:val="single"/>
          <w:shd w:val="clear" w:color="auto" w:fill="FFFFFF"/>
        </w:rPr>
      </w:pPr>
    </w:p>
    <w:p w14:paraId="1E207E24" w14:textId="77777777" w:rsidR="0036594F" w:rsidRPr="00FB3FAC" w:rsidRDefault="0036594F" w:rsidP="0036594F">
      <w:pPr>
        <w:pStyle w:val="Normal11"/>
        <w:tabs>
          <w:tab w:val="left" w:pos="0"/>
        </w:tabs>
        <w:spacing w:line="360" w:lineRule="auto"/>
        <w:ind w:firstLine="699"/>
        <w:jc w:val="both"/>
        <w:rPr>
          <w:rFonts w:cs="Times New Roman"/>
          <w:bCs/>
          <w:i/>
          <w:iCs/>
          <w:u w:val="single"/>
          <w:shd w:val="clear" w:color="auto" w:fill="FFFFFF"/>
        </w:rPr>
      </w:pPr>
      <w:r w:rsidRPr="00FB3FAC">
        <w:rPr>
          <w:rFonts w:cs="Times New Roman"/>
          <w:bCs/>
          <w:i/>
          <w:iCs/>
          <w:u w:val="single"/>
          <w:shd w:val="clear" w:color="auto" w:fill="FFFFFF"/>
        </w:rPr>
        <w:t xml:space="preserve">Профилактика тошноты и рвоты при лучевой терапии </w:t>
      </w:r>
    </w:p>
    <w:p w14:paraId="5F93E5D2" w14:textId="29318320" w:rsidR="0036594F" w:rsidRPr="00B328AA" w:rsidRDefault="0036594F" w:rsidP="0036594F">
      <w:r w:rsidRPr="00B328AA">
        <w:t>При облучении верхней половины туловища и конечностей в большинстве случаев антиэметическая терапия не требуется. При необходимости назначения антиэметиков эметогенный потенциал определяется по максимально эметогенному воздействию (по зоне лучевой нагрузки или по лекарственному препарату, в случае сочетания лучевой терапии и ХТ) и с учетом зоны облучения. Антиэметики (в основном антагонисты 5-НТ3-рецепторов) чаще применяют неивазивным путем (перорально, ректально) за 30-60 мин до облучения. При недостаточной эффективности антагонистов 5-НТ3-рецепторов в монотерапии возможно присоединение глюкокортикоидов</w:t>
      </w:r>
      <w:r>
        <w:t xml:space="preserve"> </w:t>
      </w:r>
      <w:r>
        <w:fldChar w:fldCharType="begin" w:fldLock="1"/>
      </w:r>
      <w:r w:rsidR="005F3BE6">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[66,74–79]","plainTextFormattedCitation":"[66,74–79]","previouslyFormattedCitation":"[66,74–79]"},"properties":{"noteIndex":0},"schema":"https://github.com/citation-style-language/schema/raw/master/csl-citation.json"}</w:instrText>
      </w:r>
      <w:r>
        <w:fldChar w:fldCharType="separate"/>
      </w:r>
      <w:r w:rsidRPr="0036594F">
        <w:rPr>
          <w:noProof/>
        </w:rPr>
        <w:t>[66,74–79]</w:t>
      </w:r>
      <w:r>
        <w:fldChar w:fldCharType="end"/>
      </w:r>
      <w:r w:rsidRPr="00B328AA">
        <w:t>.</w:t>
      </w:r>
    </w:p>
    <w:p w14:paraId="47E492B7" w14:textId="77777777" w:rsidR="0036594F" w:rsidRDefault="0036594F" w:rsidP="0036594F">
      <w:pPr>
        <w:pStyle w:val="Normal11"/>
        <w:tabs>
          <w:tab w:val="left" w:pos="0"/>
        </w:tabs>
        <w:spacing w:line="360" w:lineRule="auto"/>
        <w:ind w:firstLine="699"/>
        <w:jc w:val="both"/>
        <w:rPr>
          <w:rFonts w:cs="Times New Roman"/>
          <w:bCs/>
          <w:i/>
          <w:iCs/>
          <w:u w:val="single"/>
          <w:shd w:val="clear" w:color="auto" w:fill="FFFFFF"/>
        </w:rPr>
      </w:pPr>
    </w:p>
    <w:p w14:paraId="26DD3FC3" w14:textId="77777777" w:rsidR="0036594F" w:rsidRPr="00FB3FAC" w:rsidRDefault="0036594F" w:rsidP="0036594F">
      <w:pPr>
        <w:pStyle w:val="Normal11"/>
        <w:tabs>
          <w:tab w:val="left" w:pos="0"/>
        </w:tabs>
        <w:spacing w:line="360" w:lineRule="auto"/>
        <w:ind w:firstLine="699"/>
        <w:jc w:val="both"/>
        <w:rPr>
          <w:rFonts w:cs="Times New Roman"/>
          <w:bCs/>
          <w:i/>
          <w:iCs/>
          <w:u w:val="single"/>
          <w:shd w:val="clear" w:color="auto" w:fill="FFFFFF"/>
        </w:rPr>
      </w:pPr>
      <w:r w:rsidRPr="00FB3FAC">
        <w:rPr>
          <w:rFonts w:cs="Times New Roman"/>
          <w:bCs/>
          <w:i/>
          <w:iCs/>
          <w:u w:val="single"/>
          <w:shd w:val="clear" w:color="auto" w:fill="FFFFFF"/>
        </w:rPr>
        <w:t>Терапия неконтролируемой тошноты и рвоты</w:t>
      </w:r>
    </w:p>
    <w:p w14:paraId="10E3E80C" w14:textId="078018B2" w:rsidR="0036594F" w:rsidRPr="00B328AA" w:rsidRDefault="0036594F" w:rsidP="0036594F">
      <w:r w:rsidRPr="00B328AA">
        <w:t>При возникновении неконтролируемой тошноты и рвоты, несмотря на плановое назначение стандартной для эметогенности данного режима ХТ антиэметической схемы, необходимо исключить причины, не связанные с непосредственным назначением цитостатиков (патология ЖКТ, электролитные нарушения, гипергликемия, уремия, метастазы в головной мозг, побочное действие опиоидных анальгетиков, психофизиологические причины). В случае их исключения необходимо перевести пациента на схему профилактики с низко-эметогенного потенциала на умеренно-эметогенный и с умеренно-эметогенного на высоко-эметогенный. При возникновении неконтролируемой тошноты и рвоты на фоне стандартных противорвотных схем (без использования апрепитанта или фосапрепитанта) необходимо при последующих курсах ввести в противорвотный режим апрепитант или фосапрепитант</w:t>
      </w:r>
      <w:r>
        <w:t xml:space="preserve"> </w:t>
      </w:r>
      <w:r>
        <w:fldChar w:fldCharType="begin" w:fldLock="1"/>
      </w:r>
      <w:r w:rsidR="005F3BE6">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[66,74–79]","plainTextFormattedCitation":"[66,74–79]","previouslyFormattedCitation":"[66,74–79]"},"properties":{"noteIndex":0},"schema":"https://github.com/citation-style-language/schema/raw/master/csl-citation.json"}</w:instrText>
      </w:r>
      <w:r>
        <w:fldChar w:fldCharType="separate"/>
      </w:r>
      <w:r w:rsidRPr="0036594F">
        <w:rPr>
          <w:noProof/>
        </w:rPr>
        <w:t>[66,74–79]</w:t>
      </w:r>
      <w:r>
        <w:fldChar w:fldCharType="end"/>
      </w:r>
      <w:r w:rsidRPr="00B328AA">
        <w:t xml:space="preserve">. </w:t>
      </w:r>
    </w:p>
    <w:p w14:paraId="1249BD6C" w14:textId="77777777" w:rsidR="0036594F" w:rsidRPr="00B328AA" w:rsidRDefault="0036594F" w:rsidP="0036594F">
      <w:r w:rsidRPr="00B328AA">
        <w:t>Развитие неконтролируемой или рефрактерной рвоты может развиться у пациентов с так называемым сверхбыстрым метаболическим фенотипом (ускоренный метаболизм антагонистов 5-HT3-рецепторов в печени). В таком случае целесообразна смена 5-HT3-блокатора на другой антиэметик данного класса препаратов.</w:t>
      </w:r>
    </w:p>
    <w:p w14:paraId="31F4A064" w14:textId="77777777" w:rsidR="0036594F" w:rsidRPr="00B328AA" w:rsidRDefault="0036594F" w:rsidP="0036594F">
      <w:r w:rsidRPr="00B328AA">
        <w:t>Кроме того, следует выполнять ряд общих принципов профилактики и лечения тошноты и рвоты:</w:t>
      </w:r>
    </w:p>
    <w:p w14:paraId="10B9F319" w14:textId="77777777" w:rsidR="0036594F" w:rsidRPr="00B328AA" w:rsidRDefault="0036594F" w:rsidP="00B153FC">
      <w:pPr>
        <w:pStyle w:val="afe"/>
        <w:numPr>
          <w:ilvl w:val="0"/>
          <w:numId w:val="50"/>
        </w:numPr>
        <w:contextualSpacing w:val="0"/>
      </w:pPr>
      <w:r w:rsidRPr="00B328AA">
        <w:t>Назначать антиэметики строго по часам, а не при появлении тошноты или рвоты.</w:t>
      </w:r>
    </w:p>
    <w:p w14:paraId="48AFC698" w14:textId="77777777" w:rsidR="0036594F" w:rsidRPr="00B328AA" w:rsidRDefault="0036594F" w:rsidP="00B153FC">
      <w:pPr>
        <w:pStyle w:val="afe"/>
        <w:numPr>
          <w:ilvl w:val="0"/>
          <w:numId w:val="50"/>
        </w:numPr>
        <w:contextualSpacing w:val="0"/>
      </w:pPr>
      <w:r w:rsidRPr="00B328AA">
        <w:t xml:space="preserve">Оценивать предпочтительный путь введения препаратов (парентерально, в ректальных суппозиториях, или внутрь). </w:t>
      </w:r>
    </w:p>
    <w:p w14:paraId="1A629E1F" w14:textId="77777777" w:rsidR="0036594F" w:rsidRPr="00B328AA" w:rsidRDefault="0036594F" w:rsidP="00B153FC">
      <w:pPr>
        <w:pStyle w:val="afe"/>
        <w:numPr>
          <w:ilvl w:val="0"/>
          <w:numId w:val="50"/>
        </w:numPr>
        <w:contextualSpacing w:val="0"/>
      </w:pPr>
      <w:r w:rsidRPr="00B328AA">
        <w:t>Осуществлять адекватную гидратацию и коррекцию электролитов.</w:t>
      </w:r>
    </w:p>
    <w:p w14:paraId="5458CA20" w14:textId="77777777" w:rsidR="0036594F" w:rsidRPr="00B328AA" w:rsidRDefault="0036594F" w:rsidP="00B153FC">
      <w:pPr>
        <w:pStyle w:val="afe"/>
        <w:numPr>
          <w:ilvl w:val="0"/>
          <w:numId w:val="50"/>
        </w:numPr>
        <w:contextualSpacing w:val="0"/>
      </w:pPr>
      <w:r w:rsidRPr="00B328AA">
        <w:t>Добавлять при диспепсии Н2-блокаторы или блокаторы протонной помпы.</w:t>
      </w:r>
    </w:p>
    <w:p w14:paraId="6D4F16AC" w14:textId="77777777" w:rsidR="0036594F" w:rsidRPr="0006238A" w:rsidRDefault="0036594F" w:rsidP="0036594F">
      <w:pPr>
        <w:tabs>
          <w:tab w:val="left" w:pos="0"/>
        </w:tabs>
        <w:rPr>
          <w:rFonts w:eastAsia="GaramondC-Light"/>
          <w:color w:val="000000"/>
          <w:szCs w:val="24"/>
        </w:rPr>
      </w:pPr>
      <w:r w:rsidRPr="0006238A">
        <w:rPr>
          <w:rFonts w:eastAsia="GaramondC-Light"/>
          <w:color w:val="000000"/>
          <w:szCs w:val="24"/>
        </w:rPr>
        <w:t>При возникновении неконтролируемой тошноты и рвоты на фоне трехкомпонентной противорвотной схемы стандартного подхода нет</w:t>
      </w:r>
      <w:r>
        <w:rPr>
          <w:rFonts w:eastAsia="GaramondC-Light"/>
          <w:color w:val="000000"/>
          <w:szCs w:val="24"/>
        </w:rPr>
        <w:t>, с</w:t>
      </w:r>
      <w:r w:rsidRPr="0006238A">
        <w:rPr>
          <w:rFonts w:eastAsia="GaramondC-Light"/>
          <w:color w:val="000000"/>
          <w:szCs w:val="24"/>
        </w:rPr>
        <w:t xml:space="preserve">ледует рассмотреть добавление препаратов иного класса из </w:t>
      </w:r>
      <w:r>
        <w:rPr>
          <w:rFonts w:eastAsia="GaramondC-Light"/>
          <w:color w:val="000000"/>
          <w:szCs w:val="24"/>
        </w:rPr>
        <w:t xml:space="preserve">группы </w:t>
      </w:r>
      <w:r w:rsidRPr="0006238A">
        <w:rPr>
          <w:rFonts w:eastAsia="GaramondC-Light"/>
          <w:color w:val="000000"/>
          <w:szCs w:val="24"/>
        </w:rPr>
        <w:t>резерва:</w:t>
      </w:r>
      <w:r>
        <w:rPr>
          <w:rFonts w:eastAsia="GaramondC-Light"/>
          <w:color w:val="000000"/>
          <w:szCs w:val="24"/>
        </w:rPr>
        <w:t xml:space="preserve"> </w:t>
      </w:r>
    </w:p>
    <w:p w14:paraId="0E25B7A7" w14:textId="77777777" w:rsidR="0036594F" w:rsidRPr="00B328AA" w:rsidRDefault="0036594F" w:rsidP="00B153FC">
      <w:pPr>
        <w:pStyle w:val="afe"/>
        <w:numPr>
          <w:ilvl w:val="0"/>
          <w:numId w:val="50"/>
        </w:numPr>
        <w:contextualSpacing w:val="0"/>
      </w:pPr>
      <w:r w:rsidRPr="00B328AA">
        <w:t>бензодиазепины (например, лоразепам по 0,5–2 мг каждые 4–6 ч);</w:t>
      </w:r>
    </w:p>
    <w:p w14:paraId="58033C30" w14:textId="77777777" w:rsidR="0036594F" w:rsidRPr="00B328AA" w:rsidRDefault="0036594F" w:rsidP="00B153FC">
      <w:pPr>
        <w:pStyle w:val="afe"/>
        <w:numPr>
          <w:ilvl w:val="0"/>
          <w:numId w:val="50"/>
        </w:numPr>
        <w:contextualSpacing w:val="0"/>
      </w:pPr>
      <w:r w:rsidRPr="00B328AA">
        <w:t>блокаторы рецепторов допамина (например, метоклопрамид по 20 мг каждые 6 ч);</w:t>
      </w:r>
    </w:p>
    <w:p w14:paraId="0F28D1F6" w14:textId="77777777" w:rsidR="0036594F" w:rsidRPr="00B328AA" w:rsidRDefault="0036594F" w:rsidP="00B153FC">
      <w:pPr>
        <w:pStyle w:val="afe"/>
        <w:numPr>
          <w:ilvl w:val="0"/>
          <w:numId w:val="50"/>
        </w:numPr>
        <w:contextualSpacing w:val="0"/>
      </w:pPr>
      <w:r w:rsidRPr="00B328AA">
        <w:t>фенотиазины (например, аминазин 25 мг 4 раза в сутки);</w:t>
      </w:r>
    </w:p>
    <w:p w14:paraId="2C0B79A6" w14:textId="77777777" w:rsidR="0036594F" w:rsidRPr="00B328AA" w:rsidRDefault="0036594F" w:rsidP="00B153FC">
      <w:pPr>
        <w:pStyle w:val="afe"/>
        <w:numPr>
          <w:ilvl w:val="0"/>
          <w:numId w:val="50"/>
        </w:numPr>
        <w:contextualSpacing w:val="0"/>
      </w:pPr>
      <w:r w:rsidRPr="00B328AA">
        <w:t>бутирофеноны (например, галоперидол 1–2 мг каждые 4–6 ч).</w:t>
      </w:r>
    </w:p>
    <w:p w14:paraId="4F46A062" w14:textId="77777777" w:rsidR="0036594F" w:rsidRPr="00B328AA" w:rsidRDefault="0036594F" w:rsidP="0036594F">
      <w:r w:rsidRPr="00B328AA">
        <w:t>Возможно также использование альтернативного варианта профилактики тошноты и рвоты:</w:t>
      </w:r>
    </w:p>
    <w:p w14:paraId="6383A997" w14:textId="77777777" w:rsidR="0036594F" w:rsidRPr="00B53E48" w:rsidRDefault="0036594F" w:rsidP="00B153FC">
      <w:pPr>
        <w:pStyle w:val="afe"/>
        <w:numPr>
          <w:ilvl w:val="0"/>
          <w:numId w:val="50"/>
        </w:numPr>
        <w:contextualSpacing w:val="0"/>
      </w:pPr>
      <w:r w:rsidRPr="00B53E48">
        <w:t>оланзапин 5–10 мг в сутки внутрь с 1 по 3 дни;</w:t>
      </w:r>
    </w:p>
    <w:p w14:paraId="4D0DE577" w14:textId="77777777" w:rsidR="0036594F" w:rsidRPr="00B53E48" w:rsidRDefault="0036594F" w:rsidP="00B153FC">
      <w:pPr>
        <w:pStyle w:val="afe"/>
        <w:numPr>
          <w:ilvl w:val="0"/>
          <w:numId w:val="50"/>
        </w:numPr>
        <w:contextualSpacing w:val="0"/>
      </w:pPr>
      <w:r w:rsidRPr="00B53E48">
        <w:t>палоносетрон 0,25 мг в/в за 60 минут до ХТ в 1 день однократно;</w:t>
      </w:r>
    </w:p>
    <w:p w14:paraId="2928D761" w14:textId="77777777" w:rsidR="0036594F" w:rsidRPr="00B53E48" w:rsidRDefault="0036594F" w:rsidP="00B153FC">
      <w:pPr>
        <w:pStyle w:val="afe"/>
        <w:numPr>
          <w:ilvl w:val="0"/>
          <w:numId w:val="50"/>
        </w:numPr>
        <w:contextualSpacing w:val="0"/>
      </w:pPr>
      <w:r w:rsidRPr="00B53E48">
        <w:t>дексаметазон 20 мг в/в за 30 минут до ХТ в 1 день.</w:t>
      </w:r>
    </w:p>
    <w:p w14:paraId="1EDB7337" w14:textId="77777777" w:rsidR="0036594F" w:rsidRDefault="0036594F" w:rsidP="0036594F">
      <w:pPr>
        <w:pStyle w:val="Normal11"/>
        <w:tabs>
          <w:tab w:val="left" w:pos="0"/>
        </w:tabs>
        <w:spacing w:line="360" w:lineRule="auto"/>
        <w:ind w:firstLine="699"/>
        <w:jc w:val="both"/>
        <w:rPr>
          <w:rFonts w:cs="Times New Roman"/>
          <w:bCs/>
          <w:i/>
          <w:iCs/>
          <w:u w:val="single"/>
          <w:shd w:val="clear" w:color="auto" w:fill="FFFFFF"/>
        </w:rPr>
      </w:pPr>
    </w:p>
    <w:p w14:paraId="63DFC9B0" w14:textId="77777777" w:rsidR="0036594F" w:rsidRPr="00FB3FAC" w:rsidRDefault="0036594F" w:rsidP="0036594F">
      <w:pPr>
        <w:pStyle w:val="Normal11"/>
        <w:tabs>
          <w:tab w:val="left" w:pos="0"/>
        </w:tabs>
        <w:spacing w:line="360" w:lineRule="auto"/>
        <w:ind w:firstLine="699"/>
        <w:jc w:val="both"/>
        <w:rPr>
          <w:rFonts w:cs="Times New Roman"/>
          <w:bCs/>
          <w:i/>
          <w:iCs/>
          <w:u w:val="single"/>
          <w:shd w:val="clear" w:color="auto" w:fill="FFFFFF"/>
        </w:rPr>
      </w:pPr>
      <w:r w:rsidRPr="00FB3FAC">
        <w:rPr>
          <w:rFonts w:cs="Times New Roman"/>
          <w:bCs/>
          <w:i/>
          <w:iCs/>
          <w:u w:val="single"/>
          <w:shd w:val="clear" w:color="auto" w:fill="FFFFFF"/>
        </w:rPr>
        <w:t>Профилактика и терапия условно-рефлекторной рвоты</w:t>
      </w:r>
    </w:p>
    <w:p w14:paraId="1B49546F" w14:textId="3CE90AC2" w:rsidR="0036594F" w:rsidRDefault="0036594F" w:rsidP="0036594F">
      <w:r w:rsidRPr="00B328AA">
        <w:t>Для профилактики и лечения условно-рефлекторной тошноты и рвоты, в первую очередь, важна оптимальная профилактика тошноты и рвоты в каждом цикле ХТ. Также, с учетом психогенного механизма, применяют бензодиазепины (например, лоразепам по 0,5-2 мг на ночь накануне и утром перед ХТ), и нефармакологические методы – психотерапия, гипноз, системная десенсибилизация</w:t>
      </w:r>
      <w:r>
        <w:t xml:space="preserve"> </w:t>
      </w:r>
      <w:r>
        <w:fldChar w:fldCharType="begin" w:fldLock="1"/>
      </w:r>
      <w:r w:rsidR="005F3BE6">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[66,74–79]","plainTextFormattedCitation":"[66,74–79]","previouslyFormattedCitation":"[66,74–79]"},"properties":{"noteIndex":0},"schema":"https://github.com/citation-style-language/schema/raw/master/csl-citation.json"}</w:instrText>
      </w:r>
      <w:r>
        <w:fldChar w:fldCharType="separate"/>
      </w:r>
      <w:r w:rsidRPr="0036594F">
        <w:rPr>
          <w:noProof/>
        </w:rPr>
        <w:t>[66,74–79]</w:t>
      </w:r>
      <w:r>
        <w:fldChar w:fldCharType="end"/>
      </w:r>
      <w:r w:rsidRPr="00B328AA">
        <w:t>.</w:t>
      </w:r>
    </w:p>
    <w:p w14:paraId="5C2946AA" w14:textId="3688C3EC" w:rsidR="004B6FD6" w:rsidRDefault="004B6FD6" w:rsidP="0036594F"/>
    <w:p w14:paraId="49625E1B" w14:textId="6191F6BF" w:rsidR="00B153FC" w:rsidRPr="003C1AEB" w:rsidRDefault="004B6FD6" w:rsidP="00B153FC">
      <w:pPr>
        <w:pStyle w:val="2"/>
      </w:pPr>
      <w:bookmarkStart w:id="64" w:name="_Toc65586409"/>
      <w:r w:rsidRPr="002F4348">
        <w:t>7.</w:t>
      </w:r>
      <w:r w:rsidR="00310CCB">
        <w:t xml:space="preserve">7. </w:t>
      </w:r>
      <w:bookmarkStart w:id="65" w:name="_Toc64295967"/>
      <w:bookmarkStart w:id="66" w:name="_Toc64479399"/>
      <w:r w:rsidR="00B153FC" w:rsidRPr="003C1AEB">
        <w:rPr>
          <w:u w:color="000000"/>
          <w:lang w:eastAsia="ru-RU"/>
        </w:rPr>
        <w:t>Профилактика язвенной болезни желудка и 12-перстной кишки на фоне терапии глюкокортикостероидами</w:t>
      </w:r>
      <w:bookmarkEnd w:id="64"/>
      <w:bookmarkEnd w:id="65"/>
      <w:bookmarkEnd w:id="66"/>
    </w:p>
    <w:p w14:paraId="528F697A" w14:textId="0F5DC4E4" w:rsidR="00B153FC" w:rsidRDefault="00B153FC" w:rsidP="00B153FC">
      <w:r w:rsidRPr="00C96416">
        <w:t xml:space="preserve">В абсолютное большинство протоколов противоопухолевого лечения </w:t>
      </w:r>
      <w:r>
        <w:t>онко</w:t>
      </w:r>
      <w:r w:rsidRPr="003A77F4">
        <w:t>гематологических заболеваний</w:t>
      </w:r>
      <w:r w:rsidRPr="00C96416">
        <w:t xml:space="preserve"> включены высокие дозы глюкокортикостероидов (ГКС). Язва желудка или двенадцатиперстной кишки является одним из серьёзных побочных эффектов терапии ГКС. Механизм ульцерогенного действия ГКС заключается в повышении секреции соляной кислоты в желудке, изменении качественного состава слизи, торможении регенерации поверхностного эпителия. При сочетанном применении </w:t>
      </w:r>
      <w:r>
        <w:t xml:space="preserve">ГКС с </w:t>
      </w:r>
      <w:r w:rsidRPr="00C96416">
        <w:t>нестероидны</w:t>
      </w:r>
      <w:r>
        <w:t>ми</w:t>
      </w:r>
      <w:r w:rsidRPr="00C96416">
        <w:t xml:space="preserve"> противовоспалительны</w:t>
      </w:r>
      <w:r>
        <w:t>ми</w:t>
      </w:r>
      <w:r w:rsidRPr="00C96416">
        <w:t xml:space="preserve"> средств</w:t>
      </w:r>
      <w:r>
        <w:t xml:space="preserve">ами и антикоагулянтами </w:t>
      </w:r>
      <w:r w:rsidRPr="00C96416">
        <w:t>риск развития стероидных язв возрастает.</w:t>
      </w:r>
      <w:r>
        <w:t xml:space="preserve"> В связи с ульцерогенностью, при использовании ГКС необходимо проводить антисекреторную терапию с целью профилактики стероидных язв </w:t>
      </w:r>
      <w:r>
        <w:fldChar w:fldCharType="begin" w:fldLock="1"/>
      </w:r>
      <w:r w:rsidR="00D70CEE">
        <w:instrText>ADDIN CSL_CITATION {"citationItems":[{"id":"ITEM-1","itemData":{"DOI":"10.1136/bmjopen-2013-004587","ISSN":"20446055","PMID":"24833682","abstract":"Objective: To assess whether corticosteroids are associated with increased risk of gastrointestinal bleeding or perforation. Design: Systematic review and meta-analysis of randomised, double-blind, controlled trials comparing a corticosteroid to placebo for any medical condition or in healthy participants. Studies with steroids given either locally, as a single dose, or in crossover studies were excluded. Data sources: Literature search using MEDLINE, EMBASE and Cochrane Database of Systematic Reviews between 1983 and 22 May 2013. Outcome measure: Outcome measures were the occurrence of gastrointestinal bleeding or perforation. Predefined subgroup analyses were carried out for disease severity, use of non-steroidal anti-inflammatory drugs (NSAIDs) or gastroprotective drugs, and history of peptic ulcer. Results: 159 studies (N=33 253) were included. In total, 804 (2.4%) patients had a gastrointestinal bleeding or perforation (2.9% and 2.0% for corticosteroids and placebo). Corticosteroids increased the risk of gastrointestinal bleeding or perforation by 40% (OR 1.43, 95% CI 1.22 to 1.66). The risk was increased for hospitalised patients (OR 1.42, 95% CI 1.22 to 1.66). For patients in ambulatory care, the increased risk was not statistically significant (OR 1.63, 95% CI 0.42 to 6.34). Only 11 gastrointestinal bleeds or perforations occurred among 8651 patients in ambulatory care (0.13%). Increased risk was still present in subgroup analyses (studies with NSAID use excluded; OR 1.44, 95% CI 1.20 to 1.71, peptic ulcer as an exclusion criterion excluded; OR 1.47, 95% CI 1.21 to 1.78, and use of gastroprotective drugs excluded; OR 1.42, 95% CI 1.21 to 1.67). Conclusions: Corticosteroid use was associated with increased risk of gastrointestinal bleeding and perforation. The increased risk was statistically significant for hospitalised patients only. For patients in ambulatory care, the total occurrence of bleeding or perforation was very low, and the increased risk was not statistically significant.","author":[{"dropping-particle":"","family":"Narum","given":"Sigrid","non-dropping-particle":"","parse-names":false,"suffix":""},{"dropping-particle":"","family":"Westergren","given":"Tone","non-dropping-particle":"","parse-names":false,"suffix":""},{"dropping-particle":"","family":"Klemp","given":"Marianne","non-dropping-particle":"","parse-names":false,"suffix":""}],"container-title":"BMJ Open","id":"ITEM-1","issue":"5","issued":{"date-parts":[["2014"]]},"publisher":"BMJ Publishing Group","title":"Corticosteroids and risk of gastrointestinal bleeding: A systematic review and meta-analysis","type":"article-journal","volume":"4"},"uris":["http://www.mendeley.com/documents/?uuid=e701298a-dc65-3059-b1f1-21f394625ffe"]},{"id":"ITEM-2","itemData":{"DOI":"10.1111/j.1365-2796.1994.tb00855.x","ISSN":"0954-6820","PMID":"7989897","abstract":"OBJECTIVES This meta-analysis was performed to determine whether corticosteroid therapy induces the development of peptic ulcer and other putative complications of steroid therapy. DESIGN A retrospective investigation in which we analysed all the randomized, double-blind, controlled trials (RDBCT) in which steroids had been administered that we were able to identify. The number of episodes of peptic ulcer, dermatological effects, sepsis, diabetes, hypertension, osteoporosis, psychosis and tuberculosis reported in both the placebo and steroid groups were compared. SETTING The international medical literature was analysed for any RDBCT in which any steroid or ACTH had been administered in any dosage for any duration, and any putative complication of steroid therapy was reported. SUBJECTS Of 1857 articles, 93 satisfied our requirements and were analysed by the meta-analytic techniques of Peto, DerSimonian and Laird. A total of 6602 patients were included. MAIN OUTCOME MEASURES The relative frequencies of each of these eight 'complications' were compared in the placebo and steroid groups using conventional statistics and meta-analysis. The relative frequencies of 'annualized' subgroups of patients who received treatment for 1 to 7 days, 1 week to 1 month, 1 to 3 months and more than 3 months, were similarly analysed. RESULTS Nine of 3267 patients in the placebo group (0.3%) and 13 of 3335 patients in the steroid group (0.4%) were reported to develop peptic ulcer (P &gt; 0.05). The dermatological cosmetic effects of steroid therapy were observed more frequently in the steroid group (P &lt; 0.001), as was diabetes (P &lt; 0.001), hypertension (P &lt; 0.01) and psychosis (P &lt; 0.001). Sepsis, osteoporosis and tuberculosis all occurred more frequently in the steroid than in the placebo group, but the differences are not statistically significant. CONCLUSIONS Peptic ulcer is a rare complication of corticosteroid therapy that should not be considered a contraindication when steroid therapy is indicated.","author":[{"dropping-particle":"","family":"Conn","given":"H O","non-dropping-particle":"","parse-names":false,"suffix":""},{"dropping-particle":"","family":"Poynard","given":"T","non-dropping-particle":"","parse-names":false,"suffix":""}],"container-title":"Journal of internal medicine","id":"ITEM-2","issue":"6","issued":{"date-parts":[["1994","12"]]},"page":"619-32","publisher":"J Intern Med","title":"Corticosteroids and peptic ulcer: meta-analysis of adverse events during steroid therapy.","type":"article-journal","volume":"236"},"uris":["http://www.mendeley.com/documents/?uuid=84af1729-7cf0-45a4-828e-6c0ee9132476"]}],"mendeley":{"formattedCitation":"[80,81]","plainTextFormattedCitation":"[80,81]","previouslyFormattedCitation":"[80,81]"},"properties":{"noteIndex":0},"schema":"https://github.com/citation-style-language/schema/raw/master/csl-citation.json"}</w:instrText>
      </w:r>
      <w:r>
        <w:fldChar w:fldCharType="separate"/>
      </w:r>
      <w:r w:rsidR="005F3BE6" w:rsidRPr="005F3BE6">
        <w:rPr>
          <w:noProof/>
        </w:rPr>
        <w:t>[80,81]</w:t>
      </w:r>
      <w:r>
        <w:fldChar w:fldCharType="end"/>
      </w:r>
      <w:r>
        <w:t>.</w:t>
      </w:r>
    </w:p>
    <w:p w14:paraId="62CE3DDE" w14:textId="77777777" w:rsidR="00B153FC" w:rsidRDefault="00B153FC" w:rsidP="00B153FC"/>
    <w:p w14:paraId="1D28519B" w14:textId="77777777" w:rsidR="00B153FC" w:rsidRPr="00A56C81" w:rsidRDefault="00B153FC" w:rsidP="00B153FC">
      <w:pPr>
        <w:pStyle w:val="Normal11"/>
        <w:tabs>
          <w:tab w:val="left" w:pos="0"/>
        </w:tabs>
        <w:spacing w:line="360" w:lineRule="auto"/>
        <w:ind w:firstLine="699"/>
        <w:jc w:val="both"/>
        <w:rPr>
          <w:rFonts w:cs="Times New Roman"/>
          <w:bCs/>
          <w:i/>
          <w:iCs/>
          <w:u w:val="single"/>
          <w:shd w:val="clear" w:color="auto" w:fill="FFFFFF"/>
        </w:rPr>
      </w:pPr>
      <w:r w:rsidRPr="00A56C81">
        <w:rPr>
          <w:rFonts w:cs="Times New Roman"/>
          <w:bCs/>
          <w:i/>
          <w:iCs/>
          <w:u w:val="single"/>
          <w:shd w:val="clear" w:color="auto" w:fill="FFFFFF"/>
        </w:rPr>
        <w:t>Диагностика язвенной болезни желудка и 12-перстной кишки при применении ГСК</w:t>
      </w:r>
    </w:p>
    <w:p w14:paraId="2ECF66A0" w14:textId="77777777" w:rsidR="00B153FC" w:rsidRDefault="00B153FC" w:rsidP="00B153FC">
      <w:r w:rsidRPr="00C96416">
        <w:t xml:space="preserve">Формирование язв </w:t>
      </w:r>
      <w:r>
        <w:t xml:space="preserve">ЖКТ </w:t>
      </w:r>
      <w:r w:rsidRPr="00C96416">
        <w:t xml:space="preserve">может проявляться диспепсическими явлениями и </w:t>
      </w:r>
      <w:r>
        <w:t xml:space="preserve">абдоминальными </w:t>
      </w:r>
      <w:r w:rsidRPr="00C96416">
        <w:t>болями, но нередко протекает и бессимптомно, манифестируя кровотечением или пер</w:t>
      </w:r>
      <w:r>
        <w:t xml:space="preserve">форацией. </w:t>
      </w:r>
    </w:p>
    <w:p w14:paraId="65A0CE42" w14:textId="77777777" w:rsidR="00B153FC" w:rsidRPr="003A77F4" w:rsidRDefault="00B153FC" w:rsidP="00B153FC">
      <w:r>
        <w:t>Для диагностики язвенного поражения ЖКТ применяется э</w:t>
      </w:r>
      <w:r w:rsidRPr="006252FA">
        <w:t>зофагодуоденоскопия</w:t>
      </w:r>
      <w:r>
        <w:t xml:space="preserve">, при необходимости </w:t>
      </w:r>
      <w:r w:rsidRPr="003A77F4">
        <w:t xml:space="preserve">с биопсийным исследованием и тестом на наличие </w:t>
      </w:r>
      <w:r w:rsidRPr="003A77F4">
        <w:rPr>
          <w:lang w:val="en-US"/>
        </w:rPr>
        <w:t>H</w:t>
      </w:r>
      <w:r w:rsidRPr="003A77F4">
        <w:t xml:space="preserve">. </w:t>
      </w:r>
      <w:r w:rsidRPr="003A77F4">
        <w:rPr>
          <w:lang w:val="en-US"/>
        </w:rPr>
        <w:t>Pylori</w:t>
      </w:r>
      <w:r w:rsidRPr="003A77F4">
        <w:t>.</w:t>
      </w:r>
    </w:p>
    <w:p w14:paraId="6515946A" w14:textId="77777777" w:rsidR="00B153FC" w:rsidRDefault="00B153FC" w:rsidP="00B153FC">
      <w:pPr>
        <w:pStyle w:val="Normal11"/>
        <w:tabs>
          <w:tab w:val="left" w:pos="0"/>
        </w:tabs>
        <w:spacing w:line="360" w:lineRule="auto"/>
        <w:ind w:firstLine="699"/>
        <w:jc w:val="both"/>
        <w:rPr>
          <w:rFonts w:cs="Times New Roman"/>
          <w:bCs/>
          <w:i/>
          <w:iCs/>
          <w:u w:val="single"/>
          <w:shd w:val="clear" w:color="auto" w:fill="FFFFFF"/>
        </w:rPr>
      </w:pPr>
    </w:p>
    <w:p w14:paraId="07EB8991" w14:textId="77777777" w:rsidR="00B153FC" w:rsidRPr="00A56C81" w:rsidRDefault="00B153FC" w:rsidP="00B153FC">
      <w:pPr>
        <w:pStyle w:val="Normal11"/>
        <w:tabs>
          <w:tab w:val="left" w:pos="0"/>
        </w:tabs>
        <w:spacing w:line="360" w:lineRule="auto"/>
        <w:ind w:firstLine="699"/>
        <w:jc w:val="both"/>
        <w:rPr>
          <w:rFonts w:cs="Times New Roman"/>
          <w:bCs/>
          <w:i/>
          <w:iCs/>
          <w:u w:val="single"/>
          <w:shd w:val="clear" w:color="auto" w:fill="FFFFFF"/>
        </w:rPr>
      </w:pPr>
      <w:r w:rsidRPr="00A56C81">
        <w:rPr>
          <w:rFonts w:cs="Times New Roman"/>
          <w:bCs/>
          <w:i/>
          <w:iCs/>
          <w:u w:val="single"/>
          <w:shd w:val="clear" w:color="auto" w:fill="FFFFFF"/>
        </w:rPr>
        <w:t>Профилактика язвенной болезни желудка и 12-перстной кишки при применении ГКС.</w:t>
      </w:r>
    </w:p>
    <w:p w14:paraId="72093818" w14:textId="7D11C2AA" w:rsidR="00B153FC" w:rsidRDefault="00B153FC" w:rsidP="00B153FC">
      <w:r w:rsidRPr="00A56C81">
        <w:t xml:space="preserve">По результатам </w:t>
      </w:r>
      <w:r w:rsidRPr="00C96416">
        <w:t>мета</w:t>
      </w:r>
      <w:r>
        <w:t>-</w:t>
      </w:r>
      <w:r w:rsidRPr="00C96416">
        <w:t>анализа 300 работ</w:t>
      </w:r>
      <w:r>
        <w:fldChar w:fldCharType="begin" w:fldLock="1"/>
      </w:r>
      <w:r w:rsidR="00D70CEE">
        <w:instrText>ADDIN CSL_CITATION {"citationItems":[{"id":"ITEM-1","itemData":{"DOI":"10.1016/0016-5085(90)91015-X","ISSN":"00165085","PMID":"2142113","abstract":"The optimal degree and duration of suppression of gastric acidity required for the healing of peptic ulcers has never been established. Although very potent inhibitors of acid secretion are now available, the need for this degree of suppression has not been shown, and there is a possibility of adverse effects because of pronounced acid inhibition. Therefore, a model has been constructed that defines the relationship between duodenal ulcer healing and antisecretory therapy. Acid suppression data were obtained directly from investigators as raw data from 24-hour studies of acid secretion. Twenty-one experiments from seven investigators provided 490 24-hour studies using 19 different treatment regimens. Healing data were collected from a metaanalysis of published clinical trials of duodenal ulcer healing. A total of 144 published trials in 14,208 patients provided healing data at several endoscopic endpoints for the 19 drug regimens for which acidity data were provided. Weighted least-squares polynomial regression analysis was used to define those parameters of antisecretory therapy that contributed most to duodenal ulcer healing and to define the shape of the response surface. A highly significant correlation (r = 0.9814) was found between healing and the degree of acid suppression, the duration of acid suppression, and the length of therapy. The shape of the contour expressing this relationship shows that healing increases as the duration of suppression increases and as gastric pH increases. However, suppression that increased pH beyond 3.0 was not found to increase ulcer healing further. It is concluded that a longer duration of antisecretory effect and/or a longer duration of therapy are of greater importance than potency for duodenal ulcer healing. © 1990.","author":[{"dropping-particle":"","family":"Burget","given":"Douglas W.","non-dropping-particle":"","parse-names":false,"suffix":""},{"dropping-particle":"","family":"Chiverton","given":"Stephen G.","non-dropping-particle":"","parse-names":false,"suffix":""},{"dropping-particle":"","family":"Hunt","given":"Richard H.","non-dropping-particle":"","parse-names":false,"suffix":""}],"container-title":"Gastroenterology","id":"ITEM-1","issue":"2","issued":{"date-parts":[["1990","8"]]},"page":"345-351","publisher":"Gastroenterology","title":"Is there an optimal degree of acid suppression for healing of duodenal ulcers? A model of the relationship between ulcer healing and acid suppression","type":"article-journal","volume":"99"},"uris":["http://www.mendeley.com/documents/?uuid=55c5fe56-6faa-4e55-bfe2-e8e5c51854a2"]}],"mendeley":{"formattedCitation":"[82]","plainTextFormattedCitation":"[82]","previouslyFormattedCitation":"[82]"},"properties":{"noteIndex":0},"schema":"https://github.com/citation-style-language/schema/raw/master/csl-citation.json"}</w:instrText>
      </w:r>
      <w:r>
        <w:fldChar w:fldCharType="separate"/>
      </w:r>
      <w:r w:rsidR="005F3BE6" w:rsidRPr="005F3BE6">
        <w:rPr>
          <w:noProof/>
        </w:rPr>
        <w:t>[82]</w:t>
      </w:r>
      <w:r>
        <w:fldChar w:fldCharType="end"/>
      </w:r>
      <w:r>
        <w:t xml:space="preserve">, </w:t>
      </w:r>
      <w:r w:rsidRPr="00C96416">
        <w:t>язвы желудка и двенадцатиперстной кишки рубцуются практически во всех случаях, если рН внутрижелудочного содержимого поддерживается более 3</w:t>
      </w:r>
      <w:r>
        <w:t xml:space="preserve"> </w:t>
      </w:r>
      <w:r w:rsidRPr="00C96416">
        <w:t xml:space="preserve">в течение суток </w:t>
      </w:r>
      <w:r>
        <w:t>на протяжении</w:t>
      </w:r>
      <w:r w:rsidRPr="00C96416">
        <w:t xml:space="preserve"> 18 часо</w:t>
      </w:r>
      <w:r>
        <w:t>в</w:t>
      </w:r>
      <w:r w:rsidRPr="00C96416">
        <w:t xml:space="preserve">. С учетом указанного правила в качестве противоязвенной терапии в настоящее время могут рассматриваться антациды, блокаторы Н2-гистаминовых рецепторов и ингибиторы протонной помпы </w:t>
      </w:r>
      <w:r>
        <w:t>(</w:t>
      </w:r>
      <w:r w:rsidRPr="00C96416">
        <w:t>ИПП</w:t>
      </w:r>
      <w:r>
        <w:t>)</w:t>
      </w:r>
      <w:r w:rsidRPr="00C96416">
        <w:t>. Согласно одному из последних мета</w:t>
      </w:r>
      <w:r>
        <w:t>-</w:t>
      </w:r>
      <w:r w:rsidRPr="00C96416">
        <w:t xml:space="preserve">анализов, при использовании </w:t>
      </w:r>
      <w:r>
        <w:t xml:space="preserve">ИПП </w:t>
      </w:r>
      <w:r w:rsidRPr="00C96416">
        <w:t>и</w:t>
      </w:r>
      <w:r>
        <w:t>ли</w:t>
      </w:r>
      <w:r w:rsidRPr="00C96416">
        <w:t xml:space="preserve"> блокатор</w:t>
      </w:r>
      <w:r>
        <w:t>ов</w:t>
      </w:r>
      <w:r w:rsidRPr="00C96416">
        <w:t xml:space="preserve"> Н2-гистаминовых рецепторов достоверно эффективнее достигается рубцевание язвенного дефекта, а также снижается риск повторного крово</w:t>
      </w:r>
      <w:r>
        <w:t>течения</w:t>
      </w:r>
      <w:r w:rsidRPr="00C96416">
        <w:t xml:space="preserve">. Лишь препараты этих двух групп позволяют достигать и поддерживать необходимую рН-среду желудка, при которой происходит заживление гастродуоденальных язв. </w:t>
      </w:r>
    </w:p>
    <w:p w14:paraId="66B9E84D" w14:textId="424D852D" w:rsidR="00B153FC" w:rsidRPr="00C96416" w:rsidRDefault="00B153FC" w:rsidP="00B153FC">
      <w:r w:rsidRPr="00A56C81">
        <w:t>В настоящее время с антисекреторной целью для п</w:t>
      </w:r>
      <w:r w:rsidRPr="00294C11">
        <w:t>рофилактик</w:t>
      </w:r>
      <w:r>
        <w:t xml:space="preserve">и </w:t>
      </w:r>
      <w:r w:rsidRPr="00294C11">
        <w:t>язвенной болезни желудка и двенадцатиперстной кишки, в том числе на фоне терапии глюкокортикостероидами</w:t>
      </w:r>
      <w:r>
        <w:t xml:space="preserve">, </w:t>
      </w:r>
      <w:r w:rsidRPr="00A56C81">
        <w:t>применяются два класса п</w:t>
      </w:r>
      <w:r w:rsidRPr="00C96416">
        <w:t>репаратов: ингибиторы протонной помпы и блокаторы Н2-гистаминовых рецепторов</w:t>
      </w:r>
      <w:r>
        <w:t xml:space="preserve"> </w:t>
      </w:r>
      <w:r>
        <w:fldChar w:fldCharType="begin" w:fldLock="1"/>
      </w:r>
      <w:r w:rsidR="00D70CEE">
        <w:instrText>ADDIN CSL_CITATION {"citationItems":[{"id":"ITEM-1","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колопроктологии.","id":"ITEM-1","issue":"1","issued":{"date-parts":[["2020"]]},"page":"49-70","title":"Диагностика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общества).","type":"article-journal","volume":"30"},"uris":["http://www.mendeley.com/documents/?uuid=858a1835-2f3b-419a-91b4-8a8e3ef10cc9"]},{"id":"ITEM-2","itemData":{"DOI":"10.1016/S2468-1253(18)30037-2","ISSN":"24681253","PMID":"29475806","abstract":"Background: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Hepatology","id":"ITEM-2","issue":"4","issued":{"date-parts":[["2018","4","1"]]},"page":"231-241","publisher":"Elsevier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mendeley":{"formattedCitation":"[83,84]","plainTextFormattedCitation":"[83,84]","previouslyFormattedCitation":"[83,84]"},"properties":{"noteIndex":0},"schema":"https://github.com/citation-style-language/schema/raw/master/csl-citation.json"}</w:instrText>
      </w:r>
      <w:r>
        <w:fldChar w:fldCharType="separate"/>
      </w:r>
      <w:r w:rsidR="005F3BE6" w:rsidRPr="005F3BE6">
        <w:rPr>
          <w:noProof/>
        </w:rPr>
        <w:t>[83,84]</w:t>
      </w:r>
      <w:r>
        <w:fldChar w:fldCharType="end"/>
      </w:r>
      <w:r w:rsidRPr="00C96416">
        <w:t>.</w:t>
      </w:r>
    </w:p>
    <w:p w14:paraId="0511CE48" w14:textId="77777777" w:rsidR="00B153FC" w:rsidRDefault="00B153FC" w:rsidP="00B153FC">
      <w:pPr>
        <w:pStyle w:val="Normal11"/>
        <w:tabs>
          <w:tab w:val="left" w:pos="0"/>
        </w:tabs>
        <w:spacing w:line="360" w:lineRule="auto"/>
        <w:ind w:firstLine="699"/>
        <w:jc w:val="both"/>
        <w:rPr>
          <w:rFonts w:cs="Times New Roman"/>
          <w:bCs/>
          <w:i/>
          <w:iCs/>
          <w:u w:val="single"/>
          <w:shd w:val="clear" w:color="auto" w:fill="FFFFFF"/>
        </w:rPr>
      </w:pPr>
    </w:p>
    <w:p w14:paraId="172360BF" w14:textId="77777777" w:rsidR="00B153FC" w:rsidRPr="00A56C81" w:rsidRDefault="00B153FC" w:rsidP="00B153FC">
      <w:pPr>
        <w:pStyle w:val="Normal11"/>
        <w:tabs>
          <w:tab w:val="left" w:pos="0"/>
        </w:tabs>
        <w:spacing w:line="360" w:lineRule="auto"/>
        <w:ind w:firstLine="699"/>
        <w:jc w:val="both"/>
        <w:rPr>
          <w:rFonts w:cs="Times New Roman"/>
          <w:bCs/>
          <w:i/>
          <w:iCs/>
          <w:u w:val="single"/>
          <w:shd w:val="clear" w:color="auto" w:fill="FFFFFF"/>
        </w:rPr>
      </w:pPr>
      <w:r w:rsidRPr="00A56C81">
        <w:rPr>
          <w:rFonts w:cs="Times New Roman"/>
          <w:bCs/>
          <w:i/>
          <w:iCs/>
          <w:u w:val="single"/>
          <w:shd w:val="clear" w:color="auto" w:fill="FFFFFF"/>
        </w:rPr>
        <w:t>Ингибиторы протонной помпы (ИПП)</w:t>
      </w:r>
    </w:p>
    <w:p w14:paraId="434348E4" w14:textId="1F1E266E" w:rsidR="00B153FC" w:rsidRDefault="00B153FC" w:rsidP="00B153FC">
      <w:r w:rsidRPr="00C96416">
        <w:t xml:space="preserve">Ингибиторы протоновой помпы (ингибиторы протонового насоса, блокаторы протонного насоса, блокаторы Н+/К+-АТФазы, блокаторы водородной помпы) — антисекреторные лекарственные </w:t>
      </w:r>
      <w:r>
        <w:t xml:space="preserve">препараты, </w:t>
      </w:r>
      <w:r w:rsidRPr="00C96416">
        <w:t>блокир</w:t>
      </w:r>
      <w:r>
        <w:t>ующие Н+/К+-АТФазу</w:t>
      </w:r>
      <w:r w:rsidRPr="00C96416">
        <w:t xml:space="preserve"> обкладочных (париетальных) клеток слизистой оболочки желудка</w:t>
      </w:r>
      <w:r>
        <w:t xml:space="preserve"> и уменьшающие </w:t>
      </w:r>
      <w:r w:rsidRPr="00C96416">
        <w:t>секреци</w:t>
      </w:r>
      <w:r>
        <w:t>ю</w:t>
      </w:r>
      <w:r w:rsidRPr="00C96416">
        <w:t xml:space="preserve"> соляной кислоты</w:t>
      </w:r>
      <w:r>
        <w:t xml:space="preserve">, путем </w:t>
      </w:r>
      <w:r w:rsidRPr="00C96416">
        <w:t>проник</w:t>
      </w:r>
      <w:r>
        <w:t>новения</w:t>
      </w:r>
      <w:r w:rsidRPr="00C96416">
        <w:t xml:space="preserve"> в париетальные клетки слизистой оболочки желудка</w:t>
      </w:r>
      <w:r>
        <w:t xml:space="preserve">, </w:t>
      </w:r>
      <w:r w:rsidRPr="00C96416">
        <w:t>концентр</w:t>
      </w:r>
      <w:r>
        <w:t>ации</w:t>
      </w:r>
      <w:r w:rsidRPr="00C96416">
        <w:t xml:space="preserve"> в секреторных канальцах</w:t>
      </w:r>
      <w:r>
        <w:t>, и активации</w:t>
      </w:r>
      <w:r w:rsidRPr="00C96416">
        <w:t xml:space="preserve"> при кислом значении рН. </w:t>
      </w:r>
      <w:r>
        <w:t xml:space="preserve">При активации </w:t>
      </w:r>
      <w:r w:rsidRPr="00C96416">
        <w:t>ИПП образуют прочные ковалентные связи с меркаптогруппами цистеиновых остатков Н+/К+-АТФазы, блокиру</w:t>
      </w:r>
      <w:r>
        <w:t>я</w:t>
      </w:r>
      <w:r w:rsidRPr="00C96416">
        <w:t xml:space="preserve"> действие протонной помпы</w:t>
      </w:r>
      <w:r>
        <w:t xml:space="preserve"> так</w:t>
      </w:r>
      <w:r w:rsidRPr="00C96416">
        <w:t xml:space="preserve">, </w:t>
      </w:r>
      <w:r>
        <w:t xml:space="preserve">что </w:t>
      </w:r>
      <w:r w:rsidRPr="00C96416">
        <w:t xml:space="preserve">она </w:t>
      </w:r>
      <w:r>
        <w:t>необратимо исключается</w:t>
      </w:r>
      <w:r w:rsidRPr="00C96416">
        <w:t xml:space="preserve"> из процесса секреции соляной кислоты. Влияние ИПП на последнюю стадию процесса образования соляной кислоты в желудке является дозозависимым и обеспечивает высокоэффективное ингибирование базальной и стимулированной секреции</w:t>
      </w:r>
      <w:r>
        <w:t xml:space="preserve"> соляной кислоты независимо от</w:t>
      </w:r>
      <w:r w:rsidRPr="00C96416">
        <w:t xml:space="preserve"> фактора</w:t>
      </w:r>
      <w:r>
        <w:t xml:space="preserve"> его вызывающего</w:t>
      </w:r>
      <w:r w:rsidRPr="00C96416">
        <w:t>.</w:t>
      </w:r>
      <w:r>
        <w:t xml:space="preserve"> В группу препаратов ИПП входят о</w:t>
      </w:r>
      <w:r w:rsidRPr="00C96416">
        <w:t>мепразол</w:t>
      </w:r>
      <w:r>
        <w:t>, лансопразол, п</w:t>
      </w:r>
      <w:r w:rsidRPr="00C96416">
        <w:t>антопразол</w:t>
      </w:r>
      <w:r>
        <w:t xml:space="preserve">, рабепразол, </w:t>
      </w:r>
      <w:r w:rsidRPr="00C96416">
        <w:t>зомепразол</w:t>
      </w:r>
      <w:r>
        <w:t xml:space="preserve">, применяемые во время проведения курсов специфической противоопухолевой терапии, включающей системные ГКС, в указанных в таблице 1 дозах </w:t>
      </w:r>
      <w:r>
        <w:fldChar w:fldCharType="begin" w:fldLock="1"/>
      </w:r>
      <w:r w:rsidR="00D70CEE">
        <w:instrText>ADDIN CSL_CITATION {"citationItems":[{"id":"ITEM-1","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колопроктологии.","id":"ITEM-1","issue":"1","issued":{"date-parts":[["2020"]]},"page":"49-70","title":"Диагностика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общества).","type":"article-journal","volume":"30"},"uris":["http://www.mendeley.com/documents/?uuid=858a1835-2f3b-419a-91b4-8a8e3ef10cc9"]},{"id":"ITEM-2","itemData":{"DOI":"10.1016/S2468-1253(18)30037-2","ISSN":"24681253","PMID":"29475806","abstract":"Background: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Hepatology","id":"ITEM-2","issue":"4","issued":{"date-parts":[["2018","4","1"]]},"page":"231-241","publisher":"Elsevier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trials","type":"article-journal","volume":"3"},"uris":["http://www.mendeley.com/documents/?uuid=f1962b3a-e3e6-3474-95a8-4fc5245efa04"]},{"id":"ITEM-3","itemData":{"DOI":"10.4103/1319-3767.199117","ISSN":"1319-3767","abstract":"Background/Aim: To compare the efficacy and tolerance of different proton pump inhibitors (PPIs) in different doses for patients with duodenal ulcers. Materials and Methods: An electronic database was searched to collect all randomized clinical trials (RCTs), and a pairwise and network meta-analysis were performed. Results: A total of 24 RCTs involving 6188 patients were included. The network meta-analysis showed that there were no significant differences for the 4-week healing rate of duodenal ulcer treated with different PPI regimens except pantoprazle 40 mg/d versus lansoprazole 15 mg/d [Relative risk (RR) = 3.57; 95% confidence interval (CI) = 1.36-10.31)] and lansoprazole 30 mg/d versus lansoprazole 15 mg/d (RR = 2.45; 95% CI = 1.01-6.14). In comparison with H2receptor antagonists (H2RA), pantoprazole 40 mg/d and lansoprazole 30 mg/d significantly increase the healing rate (RR = 2.96; 95% CI = 1.78-5.14 and RR = 2.04; 95% CI = 1.13-3.53, respectively). There was no significant difference for the rate of adverse events between different regimens, including H2RA for a duration of 4-week of follow up. Conclusion: There was no significant difference for the efficacy and tolerance between the ordinary doses of different PPIs with the exception of lansoprazle 15 mg/d.","author":[{"dropping-particle":"","family":"Hu","given":"Zhan-Hong","non-dropping-particle":"","parse-names":false,"suffix":""},{"dropping-particle":"","family":"Shi","given":"Ai-Ming","non-dropping-particle":"","parse-names":false,"suffix":""},{"dropping-particle":"","family":"Hu","given":"Duan-Min","non-dropping-particle":"","parse-names":false,"suffix":""},{"dropping-particle":"","family":"Bao","given":"Jun-Jie","non-dropping-particle":"","parse-names":false,"suffix":""}],"container-title":"Saudi Journal of Gastroenterology","id":"ITEM-3","issue":"1","issued":{"date-parts":[["2017","1","1"]]},"page":"11","publisher":"Medknow Publications","title":"Efficacy of proton pump inhibitors for patients with duodenal ulcers: A pairwise and network meta-analysis of randomized controlled trials","type":"article-journal","volume":"23"},"uris":["http://www.mendeley.com/documents/?uuid=d523d0fc-026a-365d-b2ac-773ed8aed036"]}],"mendeley":{"formattedCitation":"[83–85]","plainTextFormattedCitation":"[83–85]","previouslyFormattedCitation":"[83–85]"},"properties":{"noteIndex":0},"schema":"https://github.com/citation-style-language/schema/raw/master/csl-citation.json"}</w:instrText>
      </w:r>
      <w:r>
        <w:fldChar w:fldCharType="separate"/>
      </w:r>
      <w:r w:rsidR="005F3BE6" w:rsidRPr="005F3BE6">
        <w:rPr>
          <w:noProof/>
        </w:rPr>
        <w:t>[83–85]</w:t>
      </w:r>
      <w:r>
        <w:fldChar w:fldCharType="end"/>
      </w:r>
      <w:r>
        <w:t xml:space="preserve">. </w:t>
      </w:r>
    </w:p>
    <w:p w14:paraId="075033F0" w14:textId="77777777" w:rsidR="00B153FC" w:rsidRDefault="00B153FC" w:rsidP="00B153FC">
      <w:pPr>
        <w:rPr>
          <w:b/>
        </w:rPr>
      </w:pPr>
    </w:p>
    <w:p w14:paraId="2AE54140" w14:textId="629041BC" w:rsidR="00B153FC" w:rsidRPr="005B1687" w:rsidRDefault="00B153FC" w:rsidP="00B153FC">
      <w:pPr>
        <w:rPr>
          <w:bCs/>
        </w:rPr>
      </w:pPr>
      <w:r w:rsidRPr="005B1687">
        <w:rPr>
          <w:bCs/>
        </w:rPr>
        <w:t>Таблица 1. Режим дозирования ИПП с целью профилактики язвенной болезни</w:t>
      </w:r>
    </w:p>
    <w:tbl>
      <w:tblPr>
        <w:tblStyle w:val="aff9"/>
        <w:tblW w:w="0" w:type="auto"/>
        <w:jc w:val="center"/>
        <w:tblLook w:val="04A0" w:firstRow="1" w:lastRow="0" w:firstColumn="1" w:lastColumn="0" w:noHBand="0" w:noVBand="1"/>
      </w:tblPr>
      <w:tblGrid>
        <w:gridCol w:w="2220"/>
        <w:gridCol w:w="2344"/>
        <w:gridCol w:w="3713"/>
      </w:tblGrid>
      <w:tr w:rsidR="00B153FC" w:rsidRPr="00C96416" w14:paraId="395C3D3D" w14:textId="77777777" w:rsidTr="002D3EBF">
        <w:trPr>
          <w:jc w:val="center"/>
        </w:trPr>
        <w:tc>
          <w:tcPr>
            <w:tcW w:w="2220" w:type="dxa"/>
          </w:tcPr>
          <w:p w14:paraId="3804FD88" w14:textId="77777777" w:rsidR="00B153FC" w:rsidRPr="00C96416" w:rsidRDefault="00B153FC" w:rsidP="002D3EBF">
            <w:pPr>
              <w:tabs>
                <w:tab w:val="left" w:pos="0"/>
              </w:tabs>
              <w:ind w:left="57" w:right="57" w:firstLine="0"/>
              <w:rPr>
                <w:b/>
                <w:szCs w:val="24"/>
                <w:lang w:eastAsia="ru-RU"/>
              </w:rPr>
            </w:pPr>
            <w:r>
              <w:rPr>
                <w:b/>
                <w:szCs w:val="24"/>
                <w:lang w:eastAsia="ru-RU"/>
              </w:rPr>
              <w:t>Препарат</w:t>
            </w:r>
          </w:p>
        </w:tc>
        <w:tc>
          <w:tcPr>
            <w:tcW w:w="2344" w:type="dxa"/>
          </w:tcPr>
          <w:p w14:paraId="327F169C" w14:textId="77777777" w:rsidR="00B153FC" w:rsidRPr="00C96416" w:rsidRDefault="00B153FC" w:rsidP="002D3EBF">
            <w:pPr>
              <w:tabs>
                <w:tab w:val="left" w:pos="0"/>
              </w:tabs>
              <w:ind w:left="57" w:right="57" w:firstLine="0"/>
              <w:rPr>
                <w:b/>
                <w:szCs w:val="24"/>
                <w:lang w:eastAsia="ru-RU"/>
              </w:rPr>
            </w:pPr>
            <w:r w:rsidRPr="00C96416">
              <w:rPr>
                <w:b/>
                <w:szCs w:val="24"/>
                <w:lang w:eastAsia="ru-RU"/>
              </w:rPr>
              <w:t xml:space="preserve">Суточная </w:t>
            </w:r>
            <w:r>
              <w:rPr>
                <w:b/>
                <w:szCs w:val="24"/>
                <w:lang w:eastAsia="ru-RU"/>
              </w:rPr>
              <w:t>д</w:t>
            </w:r>
            <w:r w:rsidRPr="00C96416">
              <w:rPr>
                <w:b/>
                <w:szCs w:val="24"/>
                <w:lang w:eastAsia="ru-RU"/>
              </w:rPr>
              <w:t>оза, мг</w:t>
            </w:r>
          </w:p>
        </w:tc>
        <w:tc>
          <w:tcPr>
            <w:tcW w:w="3713" w:type="dxa"/>
          </w:tcPr>
          <w:p w14:paraId="50932E18" w14:textId="77777777" w:rsidR="00B153FC" w:rsidRPr="00C96416" w:rsidRDefault="00B153FC" w:rsidP="002D3EBF">
            <w:pPr>
              <w:tabs>
                <w:tab w:val="left" w:pos="0"/>
              </w:tabs>
              <w:ind w:left="57" w:right="57" w:firstLine="0"/>
              <w:rPr>
                <w:b/>
                <w:szCs w:val="24"/>
                <w:lang w:eastAsia="ru-RU"/>
              </w:rPr>
            </w:pPr>
            <w:r>
              <w:rPr>
                <w:b/>
                <w:szCs w:val="24"/>
                <w:lang w:eastAsia="ru-RU"/>
              </w:rPr>
              <w:t>Способ применения и р</w:t>
            </w:r>
            <w:r w:rsidRPr="00C96416">
              <w:rPr>
                <w:b/>
                <w:szCs w:val="24"/>
                <w:lang w:eastAsia="ru-RU"/>
              </w:rPr>
              <w:t>ежим дозирования</w:t>
            </w:r>
          </w:p>
        </w:tc>
      </w:tr>
      <w:tr w:rsidR="00B153FC" w:rsidRPr="00C96416" w14:paraId="5F7158FD" w14:textId="77777777" w:rsidTr="002D3EBF">
        <w:trPr>
          <w:jc w:val="center"/>
        </w:trPr>
        <w:tc>
          <w:tcPr>
            <w:tcW w:w="2220" w:type="dxa"/>
          </w:tcPr>
          <w:p w14:paraId="22A623EE" w14:textId="77777777" w:rsidR="00B153FC" w:rsidRPr="00C96416" w:rsidRDefault="00B153FC" w:rsidP="002D3EBF">
            <w:pPr>
              <w:tabs>
                <w:tab w:val="left" w:pos="0"/>
              </w:tabs>
              <w:ind w:left="57" w:right="57" w:firstLine="0"/>
              <w:rPr>
                <w:szCs w:val="24"/>
                <w:lang w:eastAsia="ru-RU"/>
              </w:rPr>
            </w:pPr>
            <w:r w:rsidRPr="00C96416">
              <w:rPr>
                <w:szCs w:val="24"/>
                <w:lang w:eastAsia="ru-RU"/>
              </w:rPr>
              <w:t>Омепразол</w:t>
            </w:r>
          </w:p>
        </w:tc>
        <w:tc>
          <w:tcPr>
            <w:tcW w:w="2344" w:type="dxa"/>
          </w:tcPr>
          <w:p w14:paraId="5ABD21F9" w14:textId="77777777" w:rsidR="00B153FC" w:rsidRDefault="00B153FC" w:rsidP="002D3EBF">
            <w:pPr>
              <w:tabs>
                <w:tab w:val="left" w:pos="0"/>
              </w:tabs>
              <w:ind w:left="57" w:right="57" w:firstLine="0"/>
              <w:rPr>
                <w:szCs w:val="24"/>
                <w:lang w:eastAsia="ru-RU"/>
              </w:rPr>
            </w:pPr>
            <w:r w:rsidRPr="00C96416">
              <w:rPr>
                <w:szCs w:val="24"/>
                <w:lang w:eastAsia="ru-RU"/>
              </w:rPr>
              <w:t>20</w:t>
            </w:r>
          </w:p>
          <w:p w14:paraId="24CD365C" w14:textId="77777777" w:rsidR="00B153FC" w:rsidRPr="00C96416" w:rsidRDefault="00B153FC" w:rsidP="002D3EBF">
            <w:pPr>
              <w:tabs>
                <w:tab w:val="left" w:pos="0"/>
              </w:tabs>
              <w:ind w:left="57" w:right="57" w:firstLine="0"/>
              <w:rPr>
                <w:szCs w:val="24"/>
                <w:lang w:eastAsia="ru-RU"/>
              </w:rPr>
            </w:pPr>
            <w:r>
              <w:rPr>
                <w:szCs w:val="24"/>
                <w:lang w:eastAsia="ru-RU"/>
              </w:rPr>
              <w:t>40</w:t>
            </w:r>
          </w:p>
        </w:tc>
        <w:tc>
          <w:tcPr>
            <w:tcW w:w="3713" w:type="dxa"/>
          </w:tcPr>
          <w:p w14:paraId="6FAB2649" w14:textId="77777777" w:rsidR="00B153FC" w:rsidRPr="00B56E4C" w:rsidRDefault="00B153FC" w:rsidP="002D3EBF">
            <w:pPr>
              <w:tabs>
                <w:tab w:val="left" w:pos="0"/>
              </w:tabs>
              <w:ind w:left="57" w:right="57" w:firstLine="0"/>
              <w:rPr>
                <w:szCs w:val="24"/>
                <w:lang w:eastAsia="ru-RU"/>
              </w:rPr>
            </w:pPr>
            <w:r>
              <w:rPr>
                <w:szCs w:val="24"/>
                <w:lang w:eastAsia="ru-RU"/>
              </w:rPr>
              <w:t>Внутрь, 1 раз в сутки;</w:t>
            </w:r>
          </w:p>
          <w:p w14:paraId="13E8A792" w14:textId="77777777" w:rsidR="00B153FC" w:rsidRPr="00D221D8" w:rsidRDefault="00B153FC" w:rsidP="002D3EBF">
            <w:pPr>
              <w:tabs>
                <w:tab w:val="left" w:pos="0"/>
              </w:tabs>
              <w:ind w:left="57" w:right="57" w:firstLine="0"/>
              <w:rPr>
                <w:szCs w:val="24"/>
                <w:lang w:eastAsia="ru-RU"/>
              </w:rPr>
            </w:pPr>
            <w:r>
              <w:rPr>
                <w:szCs w:val="24"/>
                <w:lang w:eastAsia="ru-RU"/>
              </w:rPr>
              <w:t xml:space="preserve"> в/в, 1 раз в сутки</w:t>
            </w:r>
          </w:p>
        </w:tc>
      </w:tr>
      <w:tr w:rsidR="00B153FC" w:rsidRPr="00C96416" w14:paraId="7C754EEB" w14:textId="77777777" w:rsidTr="002D3EBF">
        <w:trPr>
          <w:jc w:val="center"/>
        </w:trPr>
        <w:tc>
          <w:tcPr>
            <w:tcW w:w="2220" w:type="dxa"/>
          </w:tcPr>
          <w:p w14:paraId="1A6FD0A8" w14:textId="77777777" w:rsidR="00B153FC" w:rsidRPr="00C96416" w:rsidRDefault="00B153FC" w:rsidP="002D3EBF">
            <w:pPr>
              <w:tabs>
                <w:tab w:val="left" w:pos="0"/>
              </w:tabs>
              <w:ind w:left="57" w:right="57" w:firstLine="0"/>
              <w:rPr>
                <w:szCs w:val="24"/>
                <w:lang w:eastAsia="ru-RU"/>
              </w:rPr>
            </w:pPr>
            <w:r w:rsidRPr="00C96416">
              <w:rPr>
                <w:szCs w:val="24"/>
                <w:lang w:eastAsia="ru-RU"/>
              </w:rPr>
              <w:t>Лансопразол</w:t>
            </w:r>
          </w:p>
        </w:tc>
        <w:tc>
          <w:tcPr>
            <w:tcW w:w="2344" w:type="dxa"/>
          </w:tcPr>
          <w:p w14:paraId="4EA48257" w14:textId="77777777" w:rsidR="00B153FC" w:rsidRPr="00C96416" w:rsidRDefault="00B153FC" w:rsidP="002D3EBF">
            <w:pPr>
              <w:tabs>
                <w:tab w:val="left" w:pos="0"/>
              </w:tabs>
              <w:ind w:left="57" w:right="57" w:firstLine="0"/>
              <w:rPr>
                <w:szCs w:val="24"/>
                <w:lang w:eastAsia="ru-RU"/>
              </w:rPr>
            </w:pPr>
            <w:r w:rsidRPr="00C96416">
              <w:rPr>
                <w:szCs w:val="24"/>
                <w:lang w:eastAsia="ru-RU"/>
              </w:rPr>
              <w:t>30</w:t>
            </w:r>
          </w:p>
        </w:tc>
        <w:tc>
          <w:tcPr>
            <w:tcW w:w="3713" w:type="dxa"/>
          </w:tcPr>
          <w:p w14:paraId="18291E1F" w14:textId="77777777" w:rsidR="00B153FC" w:rsidRDefault="00B153FC" w:rsidP="002D3EBF">
            <w:pPr>
              <w:ind w:left="57" w:right="57" w:firstLine="0"/>
            </w:pPr>
            <w:r w:rsidRPr="00826EC3">
              <w:rPr>
                <w:szCs w:val="24"/>
                <w:lang w:eastAsia="ru-RU"/>
              </w:rPr>
              <w:t>Внутрь, 1 раз в сутки</w:t>
            </w:r>
          </w:p>
        </w:tc>
      </w:tr>
      <w:tr w:rsidR="00B153FC" w:rsidRPr="00C96416" w14:paraId="4AAD1D7C" w14:textId="77777777" w:rsidTr="002D3EBF">
        <w:trPr>
          <w:jc w:val="center"/>
        </w:trPr>
        <w:tc>
          <w:tcPr>
            <w:tcW w:w="2220" w:type="dxa"/>
          </w:tcPr>
          <w:p w14:paraId="3B618E66" w14:textId="77777777" w:rsidR="00B153FC" w:rsidRPr="00C96416" w:rsidRDefault="00B153FC" w:rsidP="002D3EBF">
            <w:pPr>
              <w:tabs>
                <w:tab w:val="left" w:pos="0"/>
              </w:tabs>
              <w:ind w:left="57" w:right="57" w:firstLine="0"/>
              <w:rPr>
                <w:szCs w:val="24"/>
                <w:lang w:eastAsia="ru-RU"/>
              </w:rPr>
            </w:pPr>
            <w:r>
              <w:rPr>
                <w:szCs w:val="24"/>
                <w:lang w:eastAsia="ru-RU"/>
              </w:rPr>
              <w:t>П</w:t>
            </w:r>
            <w:r w:rsidRPr="00C96416">
              <w:rPr>
                <w:szCs w:val="24"/>
                <w:lang w:eastAsia="ru-RU"/>
              </w:rPr>
              <w:t>антопразол</w:t>
            </w:r>
          </w:p>
        </w:tc>
        <w:tc>
          <w:tcPr>
            <w:tcW w:w="2344" w:type="dxa"/>
          </w:tcPr>
          <w:p w14:paraId="28A0B0CE" w14:textId="77777777" w:rsidR="00B153FC" w:rsidRPr="00C96416" w:rsidRDefault="00B153FC" w:rsidP="002D3EBF">
            <w:pPr>
              <w:tabs>
                <w:tab w:val="left" w:pos="0"/>
              </w:tabs>
              <w:ind w:left="57" w:right="57" w:firstLine="0"/>
              <w:rPr>
                <w:szCs w:val="24"/>
                <w:lang w:eastAsia="ru-RU"/>
              </w:rPr>
            </w:pPr>
            <w:r w:rsidRPr="00C96416">
              <w:rPr>
                <w:szCs w:val="24"/>
                <w:lang w:eastAsia="ru-RU"/>
              </w:rPr>
              <w:t>40</w:t>
            </w:r>
          </w:p>
        </w:tc>
        <w:tc>
          <w:tcPr>
            <w:tcW w:w="3713" w:type="dxa"/>
          </w:tcPr>
          <w:p w14:paraId="37AB88D5" w14:textId="77777777" w:rsidR="00B153FC" w:rsidRDefault="00B153FC" w:rsidP="002D3EBF">
            <w:pPr>
              <w:ind w:left="57" w:right="57" w:firstLine="0"/>
            </w:pPr>
            <w:r w:rsidRPr="00826EC3">
              <w:rPr>
                <w:szCs w:val="24"/>
                <w:lang w:eastAsia="ru-RU"/>
              </w:rPr>
              <w:t>Внутрь, 1 раз в сутки</w:t>
            </w:r>
          </w:p>
        </w:tc>
      </w:tr>
      <w:tr w:rsidR="00B153FC" w:rsidRPr="00C96416" w14:paraId="57F9F5CC" w14:textId="77777777" w:rsidTr="002D3EBF">
        <w:trPr>
          <w:jc w:val="center"/>
        </w:trPr>
        <w:tc>
          <w:tcPr>
            <w:tcW w:w="2220" w:type="dxa"/>
          </w:tcPr>
          <w:p w14:paraId="6E50EA2C" w14:textId="77777777" w:rsidR="00B153FC" w:rsidRPr="00C96416" w:rsidRDefault="00B153FC" w:rsidP="002D3EBF">
            <w:pPr>
              <w:tabs>
                <w:tab w:val="left" w:pos="0"/>
              </w:tabs>
              <w:ind w:left="57" w:right="57" w:firstLine="0"/>
              <w:rPr>
                <w:szCs w:val="24"/>
                <w:lang w:eastAsia="ru-RU"/>
              </w:rPr>
            </w:pPr>
            <w:r>
              <w:rPr>
                <w:szCs w:val="24"/>
              </w:rPr>
              <w:t>Р</w:t>
            </w:r>
            <w:r w:rsidRPr="00C96416">
              <w:rPr>
                <w:szCs w:val="24"/>
              </w:rPr>
              <w:t>абепразол</w:t>
            </w:r>
          </w:p>
        </w:tc>
        <w:tc>
          <w:tcPr>
            <w:tcW w:w="2344" w:type="dxa"/>
          </w:tcPr>
          <w:p w14:paraId="313488CE" w14:textId="77777777" w:rsidR="00B153FC" w:rsidRPr="00C96416" w:rsidRDefault="00B153FC" w:rsidP="002D3EBF">
            <w:pPr>
              <w:tabs>
                <w:tab w:val="left" w:pos="0"/>
              </w:tabs>
              <w:ind w:left="57" w:right="57" w:firstLine="0"/>
              <w:rPr>
                <w:szCs w:val="24"/>
                <w:lang w:eastAsia="ru-RU"/>
              </w:rPr>
            </w:pPr>
            <w:r w:rsidRPr="00C96416">
              <w:rPr>
                <w:szCs w:val="24"/>
                <w:lang w:eastAsia="ru-RU"/>
              </w:rPr>
              <w:t>20</w:t>
            </w:r>
          </w:p>
        </w:tc>
        <w:tc>
          <w:tcPr>
            <w:tcW w:w="3713" w:type="dxa"/>
          </w:tcPr>
          <w:p w14:paraId="47711330" w14:textId="77777777" w:rsidR="00B153FC" w:rsidRDefault="00B153FC" w:rsidP="002D3EBF">
            <w:pPr>
              <w:ind w:left="57" w:right="57" w:firstLine="0"/>
            </w:pPr>
            <w:r w:rsidRPr="00826EC3">
              <w:rPr>
                <w:szCs w:val="24"/>
                <w:lang w:eastAsia="ru-RU"/>
              </w:rPr>
              <w:t>Внутрь, 1 раз в сутки</w:t>
            </w:r>
          </w:p>
        </w:tc>
      </w:tr>
      <w:tr w:rsidR="00B153FC" w:rsidRPr="00C96416" w14:paraId="4FC53601" w14:textId="77777777" w:rsidTr="002D3EBF">
        <w:trPr>
          <w:jc w:val="center"/>
        </w:trPr>
        <w:tc>
          <w:tcPr>
            <w:tcW w:w="2220" w:type="dxa"/>
          </w:tcPr>
          <w:p w14:paraId="2B577963" w14:textId="77777777" w:rsidR="00B153FC" w:rsidRPr="00C96416" w:rsidRDefault="00B153FC" w:rsidP="002D3EBF">
            <w:pPr>
              <w:tabs>
                <w:tab w:val="left" w:pos="0"/>
              </w:tabs>
              <w:ind w:left="57" w:right="57" w:firstLine="0"/>
              <w:rPr>
                <w:szCs w:val="24"/>
              </w:rPr>
            </w:pPr>
            <w:r>
              <w:rPr>
                <w:szCs w:val="24"/>
              </w:rPr>
              <w:t>Э</w:t>
            </w:r>
            <w:r w:rsidRPr="00C96416">
              <w:rPr>
                <w:szCs w:val="24"/>
              </w:rPr>
              <w:t>зомепразол</w:t>
            </w:r>
          </w:p>
        </w:tc>
        <w:tc>
          <w:tcPr>
            <w:tcW w:w="2344" w:type="dxa"/>
          </w:tcPr>
          <w:p w14:paraId="55D8A27B" w14:textId="77777777" w:rsidR="00B153FC" w:rsidRPr="00C96416" w:rsidRDefault="00B153FC" w:rsidP="002D3EBF">
            <w:pPr>
              <w:tabs>
                <w:tab w:val="left" w:pos="0"/>
              </w:tabs>
              <w:ind w:left="57" w:right="57" w:firstLine="0"/>
              <w:rPr>
                <w:szCs w:val="24"/>
                <w:lang w:eastAsia="ru-RU"/>
              </w:rPr>
            </w:pPr>
            <w:r w:rsidRPr="00C96416">
              <w:rPr>
                <w:szCs w:val="24"/>
                <w:lang w:eastAsia="ru-RU"/>
              </w:rPr>
              <w:t>20</w:t>
            </w:r>
          </w:p>
        </w:tc>
        <w:tc>
          <w:tcPr>
            <w:tcW w:w="3713" w:type="dxa"/>
          </w:tcPr>
          <w:p w14:paraId="72DE2884" w14:textId="77777777" w:rsidR="00B153FC" w:rsidRDefault="00B153FC" w:rsidP="002D3EBF">
            <w:pPr>
              <w:ind w:left="57" w:right="57" w:firstLine="0"/>
            </w:pPr>
            <w:r w:rsidRPr="00826EC3">
              <w:rPr>
                <w:szCs w:val="24"/>
                <w:lang w:eastAsia="ru-RU"/>
              </w:rPr>
              <w:t>Внутрь</w:t>
            </w:r>
            <w:r>
              <w:rPr>
                <w:szCs w:val="24"/>
                <w:lang w:eastAsia="ru-RU"/>
              </w:rPr>
              <w:t xml:space="preserve"> или в/в</w:t>
            </w:r>
            <w:r w:rsidRPr="00826EC3">
              <w:rPr>
                <w:szCs w:val="24"/>
                <w:lang w:eastAsia="ru-RU"/>
              </w:rPr>
              <w:t>, 1 раз в сутки</w:t>
            </w:r>
          </w:p>
        </w:tc>
      </w:tr>
    </w:tbl>
    <w:p w14:paraId="5BB5AD7C" w14:textId="77777777" w:rsidR="00B153FC" w:rsidRDefault="00B153FC" w:rsidP="00B153FC">
      <w:pPr>
        <w:pStyle w:val="Normal11"/>
        <w:tabs>
          <w:tab w:val="left" w:pos="0"/>
        </w:tabs>
        <w:spacing w:line="360" w:lineRule="auto"/>
        <w:ind w:left="0" w:firstLine="0"/>
        <w:jc w:val="both"/>
        <w:rPr>
          <w:rFonts w:cs="Times New Roman"/>
        </w:rPr>
      </w:pPr>
    </w:p>
    <w:p w14:paraId="63CD682E" w14:textId="77777777" w:rsidR="00B153FC" w:rsidRPr="00C96416" w:rsidRDefault="00B153FC" w:rsidP="00B153FC">
      <w:r>
        <w:t>Время суток и прием пищи не влияют на активность ИПП. Коррекции дозы при почечной недостаточности не требуется. При невозможности перорального приема ИПП вводятся внутривенно.</w:t>
      </w:r>
    </w:p>
    <w:p w14:paraId="5A228965" w14:textId="77777777" w:rsidR="00B153FC" w:rsidRDefault="00B153FC" w:rsidP="00B153FC">
      <w:pPr>
        <w:pStyle w:val="Normal11"/>
        <w:tabs>
          <w:tab w:val="left" w:pos="0"/>
        </w:tabs>
        <w:spacing w:line="360" w:lineRule="auto"/>
        <w:ind w:firstLine="699"/>
        <w:jc w:val="both"/>
        <w:rPr>
          <w:rFonts w:cs="Times New Roman"/>
          <w:bCs/>
          <w:i/>
          <w:iCs/>
          <w:u w:val="single"/>
          <w:shd w:val="clear" w:color="auto" w:fill="FFFFFF"/>
        </w:rPr>
      </w:pPr>
    </w:p>
    <w:p w14:paraId="79FDDBFA" w14:textId="77777777" w:rsidR="00B153FC" w:rsidRPr="00A56C81" w:rsidRDefault="00B153FC" w:rsidP="00B153FC">
      <w:pPr>
        <w:pStyle w:val="Normal11"/>
        <w:tabs>
          <w:tab w:val="left" w:pos="0"/>
        </w:tabs>
        <w:spacing w:line="360" w:lineRule="auto"/>
        <w:ind w:firstLine="699"/>
        <w:jc w:val="both"/>
        <w:rPr>
          <w:rFonts w:cs="Times New Roman"/>
          <w:bCs/>
          <w:i/>
          <w:iCs/>
          <w:u w:val="single"/>
          <w:shd w:val="clear" w:color="auto" w:fill="FFFFFF"/>
        </w:rPr>
      </w:pPr>
      <w:r w:rsidRPr="00A56C81">
        <w:rPr>
          <w:rFonts w:cs="Times New Roman"/>
          <w:bCs/>
          <w:i/>
          <w:iCs/>
          <w:u w:val="single"/>
          <w:shd w:val="clear" w:color="auto" w:fill="FFFFFF"/>
        </w:rPr>
        <w:t xml:space="preserve">Блокаторы Н2-гистаминовых рецепторов </w:t>
      </w:r>
    </w:p>
    <w:p w14:paraId="1AED026E" w14:textId="77777777" w:rsidR="00B153FC" w:rsidRPr="00A56C81" w:rsidRDefault="00B153FC" w:rsidP="00B153FC">
      <w:r w:rsidRPr="00A56C81">
        <w:t xml:space="preserve">Секреторные реакции желудка при действии экзогенного или эндогенного гистамина реализуются через Н2-гистаминорецепторы. Блокаторы гистаминовых Н2-рецепторов являются конкурентными антагонистами гистамина и подавляют вызванную различными раздражителями секрецию соляной кислоты за счет вытеснения гистамина из связи с Н2-рецепторами париетальных клеток. Препараты этой группы поддерживают показатели внутрижелудочного рН &gt; 3 на протяжении суток. Применение Н2-блокаторов в течение 1-1,5 месяца приводит к рубцеванию язвенного дефекта у 70–80 % пациентов с дуоденальными язвами и у 55–60 % пациентов с язвами желудка. Тем не менее, после внедрения ИПП в клиническую практику в качестве базисной антисекреторной терапии, Н2-блокаторы применяются реже, главным образом при невозможности применения ИПП. </w:t>
      </w:r>
    </w:p>
    <w:p w14:paraId="1182EC23" w14:textId="3EF0422A" w:rsidR="00B153FC" w:rsidRDefault="00B153FC" w:rsidP="00B153FC">
      <w:r w:rsidRPr="00A56C81">
        <w:t xml:space="preserve">В группу препаратов – блокаторов Н2-гистаминовых рецепторов входят ранитидин, фамотидин, применяемые во время проведения курсов противоопухолевой терапии, включающей системные ГКС, в указанных в таблице </w:t>
      </w:r>
      <w:r>
        <w:t>А3.3.</w:t>
      </w:r>
      <w:r w:rsidRPr="00A56C81">
        <w:t>2 дозах</w:t>
      </w:r>
      <w:r w:rsidRPr="0016000A">
        <w:t xml:space="preserve"> </w:t>
      </w:r>
      <w:r>
        <w:t xml:space="preserve"> </w:t>
      </w:r>
      <w:r>
        <w:fldChar w:fldCharType="begin" w:fldLock="1"/>
      </w:r>
      <w:r w:rsidR="00D70CEE">
        <w:instrText>ADDIN CSL_CITATION {"citationItems":[{"id":"ITEM-1","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колопроктологии.","id":"ITEM-1","issue":"1","issued":{"date-parts":[["2020"]]},"page":"49-70","title":"Диагностика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общества).","type":"article-journal","volume":"30"},"uris":["http://www.mendeley.com/documents/?uuid=858a1835-2f3b-419a-91b4-8a8e3ef10cc9"]},{"id":"ITEM-2","itemData":{"DOI":"10.1016/S2468-1253(18)30037-2","ISSN":"24681253","PMID":"29475806","abstract":"Background: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Hepatology","id":"ITEM-2","issue":"4","issued":{"date-parts":[["2018","4","1"]]},"page":"231-241","publisher":"Elsevier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id":"ITEM-3","itemData":{"author":[{"dropping-particle":"","family":"Poynard","given":"T.","non-dropping-particle":"","parse-names":false,"suffix":""},{"dropping-particle":"","family":"Lemaire","given":"M.","non-dropping-particle":"","parse-names":false,"suffix":""},{"dropping-particle":"","family":"Agostini","given":"H.","non-dropping-particle":"","parse-names":false,"suffix":""}],"container-title":"European Journal of Gastroenterology and Hepatology","id":"ITEM-3","issue":"7","issued":{"date-parts":[["1995"]]},"page":"661-665","title":"Meta-analysis of randomized clinical trials comparing lansoprazole with ranitidine or famotidine in the treatment of acute duodenal ulcer","type":"article-journal","volume":"7"},"uris":["http://www.mendeley.com/documents/?uuid=5db0b11d-6521-4aed-b5ed-29192f1bbc07"]}],"mendeley":{"formattedCitation":"[83,84,86]","plainTextFormattedCitation":"[83,84,86]","previouslyFormattedCitation":"[83,84,86]"},"properties":{"noteIndex":0},"schema":"https://github.com/citation-style-language/schema/raw/master/csl-citation.json"}</w:instrText>
      </w:r>
      <w:r>
        <w:fldChar w:fldCharType="separate"/>
      </w:r>
      <w:r w:rsidR="005F3BE6" w:rsidRPr="005F3BE6">
        <w:rPr>
          <w:noProof/>
        </w:rPr>
        <w:t>[83,84,86]</w:t>
      </w:r>
      <w:r>
        <w:fldChar w:fldCharType="end"/>
      </w:r>
      <w:r w:rsidRPr="00A56C81">
        <w:t>.</w:t>
      </w:r>
    </w:p>
    <w:p w14:paraId="66A9BAB4" w14:textId="77777777" w:rsidR="00B153FC" w:rsidRDefault="00B153FC" w:rsidP="00B153FC">
      <w:pPr>
        <w:rPr>
          <w:b/>
          <w:szCs w:val="24"/>
        </w:rPr>
      </w:pPr>
    </w:p>
    <w:p w14:paraId="186C69E1" w14:textId="360E4B60" w:rsidR="00B153FC" w:rsidRPr="00F76AD4" w:rsidRDefault="00B153FC" w:rsidP="00B153FC">
      <w:pPr>
        <w:rPr>
          <w:bCs/>
        </w:rPr>
      </w:pPr>
      <w:r w:rsidRPr="00F76AD4">
        <w:rPr>
          <w:bCs/>
          <w:szCs w:val="24"/>
        </w:rPr>
        <w:t xml:space="preserve">Таблица 2. Режим дозирования блокаторов Н2-гистаминовых рецепторов </w:t>
      </w:r>
    </w:p>
    <w:tbl>
      <w:tblPr>
        <w:tblStyle w:val="aff9"/>
        <w:tblW w:w="0" w:type="auto"/>
        <w:jc w:val="center"/>
        <w:tblLook w:val="04A0" w:firstRow="1" w:lastRow="0" w:firstColumn="1" w:lastColumn="0" w:noHBand="0" w:noVBand="1"/>
      </w:tblPr>
      <w:tblGrid>
        <w:gridCol w:w="1942"/>
        <w:gridCol w:w="2268"/>
        <w:gridCol w:w="3358"/>
      </w:tblGrid>
      <w:tr w:rsidR="00B153FC" w:rsidRPr="00C96416" w14:paraId="1561D9E5" w14:textId="77777777" w:rsidTr="002D3EBF">
        <w:trPr>
          <w:jc w:val="center"/>
        </w:trPr>
        <w:tc>
          <w:tcPr>
            <w:tcW w:w="1942" w:type="dxa"/>
          </w:tcPr>
          <w:p w14:paraId="12269217" w14:textId="77777777" w:rsidR="00B153FC" w:rsidRPr="00C96416" w:rsidRDefault="00B153FC" w:rsidP="002D3EBF">
            <w:pPr>
              <w:tabs>
                <w:tab w:val="left" w:pos="0"/>
              </w:tabs>
              <w:ind w:firstLine="0"/>
              <w:rPr>
                <w:b/>
                <w:szCs w:val="24"/>
                <w:lang w:eastAsia="ru-RU"/>
              </w:rPr>
            </w:pPr>
            <w:r w:rsidRPr="00C96416">
              <w:rPr>
                <w:b/>
                <w:szCs w:val="24"/>
                <w:lang w:eastAsia="ru-RU"/>
              </w:rPr>
              <w:t>Препараты</w:t>
            </w:r>
          </w:p>
        </w:tc>
        <w:tc>
          <w:tcPr>
            <w:tcW w:w="2268" w:type="dxa"/>
          </w:tcPr>
          <w:p w14:paraId="6CBF3C6B" w14:textId="77777777" w:rsidR="00B153FC" w:rsidRPr="00C96416" w:rsidRDefault="00B153FC" w:rsidP="002D3EBF">
            <w:pPr>
              <w:tabs>
                <w:tab w:val="left" w:pos="0"/>
              </w:tabs>
              <w:ind w:firstLine="0"/>
              <w:rPr>
                <w:b/>
                <w:szCs w:val="24"/>
                <w:lang w:eastAsia="ru-RU"/>
              </w:rPr>
            </w:pPr>
            <w:r w:rsidRPr="00C96416">
              <w:rPr>
                <w:b/>
                <w:szCs w:val="24"/>
                <w:lang w:eastAsia="ru-RU"/>
              </w:rPr>
              <w:t xml:space="preserve">Суточная </w:t>
            </w:r>
            <w:r>
              <w:rPr>
                <w:b/>
                <w:szCs w:val="24"/>
                <w:lang w:eastAsia="ru-RU"/>
              </w:rPr>
              <w:t>д</w:t>
            </w:r>
            <w:r w:rsidRPr="00C96416">
              <w:rPr>
                <w:b/>
                <w:szCs w:val="24"/>
                <w:lang w:eastAsia="ru-RU"/>
              </w:rPr>
              <w:t>оза, мг</w:t>
            </w:r>
          </w:p>
        </w:tc>
        <w:tc>
          <w:tcPr>
            <w:tcW w:w="3358" w:type="dxa"/>
          </w:tcPr>
          <w:p w14:paraId="7F7DBA52" w14:textId="77777777" w:rsidR="00B153FC" w:rsidRPr="00C96416" w:rsidRDefault="00B153FC" w:rsidP="002D3EBF">
            <w:pPr>
              <w:tabs>
                <w:tab w:val="left" w:pos="0"/>
              </w:tabs>
              <w:ind w:firstLine="0"/>
              <w:rPr>
                <w:b/>
                <w:szCs w:val="24"/>
                <w:lang w:eastAsia="ru-RU"/>
              </w:rPr>
            </w:pPr>
            <w:r w:rsidRPr="00C96416">
              <w:rPr>
                <w:b/>
                <w:szCs w:val="24"/>
                <w:lang w:eastAsia="ru-RU"/>
              </w:rPr>
              <w:t>Режим дозирования</w:t>
            </w:r>
          </w:p>
        </w:tc>
      </w:tr>
      <w:tr w:rsidR="00B153FC" w:rsidRPr="00C96416" w14:paraId="0D30DCF0" w14:textId="77777777" w:rsidTr="002D3EBF">
        <w:trPr>
          <w:jc w:val="center"/>
        </w:trPr>
        <w:tc>
          <w:tcPr>
            <w:tcW w:w="1942" w:type="dxa"/>
          </w:tcPr>
          <w:p w14:paraId="65F0F4A4" w14:textId="77777777" w:rsidR="00B153FC" w:rsidRPr="00C96416" w:rsidRDefault="00B153FC" w:rsidP="002D3EBF">
            <w:pPr>
              <w:tabs>
                <w:tab w:val="left" w:pos="0"/>
              </w:tabs>
              <w:ind w:firstLine="0"/>
              <w:rPr>
                <w:szCs w:val="24"/>
                <w:lang w:eastAsia="ru-RU"/>
              </w:rPr>
            </w:pPr>
            <w:r>
              <w:rPr>
                <w:szCs w:val="24"/>
                <w:lang w:eastAsia="ru-RU"/>
              </w:rPr>
              <w:t>Ранитидин</w:t>
            </w:r>
          </w:p>
        </w:tc>
        <w:tc>
          <w:tcPr>
            <w:tcW w:w="2268" w:type="dxa"/>
          </w:tcPr>
          <w:p w14:paraId="67E6183C" w14:textId="77777777" w:rsidR="00B153FC" w:rsidRPr="00C96416" w:rsidRDefault="00B153FC" w:rsidP="002D3EBF">
            <w:pPr>
              <w:tabs>
                <w:tab w:val="left" w:pos="0"/>
              </w:tabs>
              <w:rPr>
                <w:szCs w:val="24"/>
                <w:lang w:eastAsia="ru-RU"/>
              </w:rPr>
            </w:pPr>
            <w:r>
              <w:rPr>
                <w:szCs w:val="24"/>
                <w:lang w:eastAsia="ru-RU"/>
              </w:rPr>
              <w:t>150</w:t>
            </w:r>
          </w:p>
        </w:tc>
        <w:tc>
          <w:tcPr>
            <w:tcW w:w="3358" w:type="dxa"/>
          </w:tcPr>
          <w:p w14:paraId="013C9BC7" w14:textId="77777777" w:rsidR="00B153FC" w:rsidRPr="00C96416" w:rsidRDefault="00B153FC" w:rsidP="002D3EBF">
            <w:pPr>
              <w:tabs>
                <w:tab w:val="left" w:pos="0"/>
              </w:tabs>
              <w:ind w:firstLine="0"/>
              <w:rPr>
                <w:szCs w:val="24"/>
                <w:lang w:eastAsia="ru-RU"/>
              </w:rPr>
            </w:pPr>
            <w:r>
              <w:rPr>
                <w:szCs w:val="24"/>
                <w:lang w:eastAsia="ru-RU"/>
              </w:rPr>
              <w:t>Внутрь, 1 раз в сутки, на ночь</w:t>
            </w:r>
          </w:p>
        </w:tc>
      </w:tr>
      <w:tr w:rsidR="00B153FC" w:rsidRPr="00C96416" w14:paraId="6FA17801" w14:textId="77777777" w:rsidTr="002D3EBF">
        <w:trPr>
          <w:jc w:val="center"/>
        </w:trPr>
        <w:tc>
          <w:tcPr>
            <w:tcW w:w="1942" w:type="dxa"/>
          </w:tcPr>
          <w:p w14:paraId="2698AD25" w14:textId="77777777" w:rsidR="00B153FC" w:rsidRPr="00C96416" w:rsidRDefault="00B153FC" w:rsidP="002D3EBF">
            <w:pPr>
              <w:tabs>
                <w:tab w:val="left" w:pos="0"/>
              </w:tabs>
              <w:ind w:firstLine="0"/>
              <w:rPr>
                <w:szCs w:val="24"/>
                <w:lang w:eastAsia="ru-RU"/>
              </w:rPr>
            </w:pPr>
            <w:r>
              <w:rPr>
                <w:szCs w:val="24"/>
                <w:lang w:eastAsia="ru-RU"/>
              </w:rPr>
              <w:t>Фамотидин</w:t>
            </w:r>
          </w:p>
        </w:tc>
        <w:tc>
          <w:tcPr>
            <w:tcW w:w="2268" w:type="dxa"/>
          </w:tcPr>
          <w:p w14:paraId="4A372E22" w14:textId="77777777" w:rsidR="00B153FC" w:rsidRPr="00C96416" w:rsidRDefault="00B153FC" w:rsidP="002D3EBF">
            <w:pPr>
              <w:tabs>
                <w:tab w:val="left" w:pos="0"/>
              </w:tabs>
              <w:rPr>
                <w:szCs w:val="24"/>
                <w:lang w:eastAsia="ru-RU"/>
              </w:rPr>
            </w:pPr>
            <w:r>
              <w:rPr>
                <w:szCs w:val="24"/>
                <w:lang w:eastAsia="ru-RU"/>
              </w:rPr>
              <w:t>2</w:t>
            </w:r>
            <w:r w:rsidRPr="00C96416">
              <w:rPr>
                <w:szCs w:val="24"/>
                <w:lang w:eastAsia="ru-RU"/>
              </w:rPr>
              <w:t xml:space="preserve">0 </w:t>
            </w:r>
          </w:p>
        </w:tc>
        <w:tc>
          <w:tcPr>
            <w:tcW w:w="3358" w:type="dxa"/>
          </w:tcPr>
          <w:p w14:paraId="41F1ADB3" w14:textId="77777777" w:rsidR="00B153FC" w:rsidRDefault="00B153FC" w:rsidP="002D3EBF">
            <w:pPr>
              <w:ind w:firstLine="0"/>
            </w:pPr>
            <w:r w:rsidRPr="00826EC3">
              <w:rPr>
                <w:szCs w:val="24"/>
                <w:lang w:eastAsia="ru-RU"/>
              </w:rPr>
              <w:t>Внутрь, 1 раз в сутки</w:t>
            </w:r>
            <w:r>
              <w:rPr>
                <w:szCs w:val="24"/>
                <w:lang w:eastAsia="ru-RU"/>
              </w:rPr>
              <w:t>, на ночь</w:t>
            </w:r>
          </w:p>
        </w:tc>
      </w:tr>
    </w:tbl>
    <w:p w14:paraId="6738E496" w14:textId="625FEB0E" w:rsidR="0036594F" w:rsidRDefault="0036594F" w:rsidP="0036594F">
      <w:pPr>
        <w:pStyle w:val="Normal11"/>
        <w:tabs>
          <w:tab w:val="left" w:pos="0"/>
        </w:tabs>
        <w:spacing w:line="360" w:lineRule="auto"/>
        <w:ind w:firstLine="699"/>
        <w:jc w:val="both"/>
        <w:rPr>
          <w:rFonts w:cs="Times New Roman"/>
          <w:noProof/>
        </w:rPr>
      </w:pPr>
    </w:p>
    <w:p w14:paraId="3B9068FC" w14:textId="1EEE76A9" w:rsidR="001C2557" w:rsidRDefault="002109A2" w:rsidP="001C2557">
      <w:pPr>
        <w:pStyle w:val="2"/>
      </w:pPr>
      <w:bookmarkStart w:id="67" w:name="_Toc65586410"/>
      <w:r w:rsidRPr="002F4348">
        <w:t>7.</w:t>
      </w:r>
      <w:r>
        <w:t xml:space="preserve">8. </w:t>
      </w:r>
      <w:bookmarkStart w:id="68" w:name="_Toc64295957"/>
      <w:bookmarkStart w:id="69" w:name="_Toc64479345"/>
      <w:bookmarkStart w:id="70" w:name="_Toc11747750"/>
      <w:bookmarkStart w:id="71" w:name="_Toc24572135"/>
      <w:r w:rsidR="001C2557">
        <w:t>Профилактика, диагностика и лечение тромботических осложнений</w:t>
      </w:r>
      <w:bookmarkEnd w:id="67"/>
      <w:bookmarkEnd w:id="68"/>
      <w:bookmarkEnd w:id="69"/>
    </w:p>
    <w:p w14:paraId="2E18665D" w14:textId="27519EDF" w:rsidR="001C2557" w:rsidRDefault="001C2557" w:rsidP="001C2557">
      <w:pPr>
        <w:rPr>
          <w:rFonts w:eastAsia="Times New Roman"/>
          <w:szCs w:val="24"/>
          <w:lang w:eastAsia="ru-RU"/>
        </w:rPr>
      </w:pPr>
      <w:r>
        <w:rPr>
          <w:szCs w:val="24"/>
          <w:lang w:eastAsia="ru-RU"/>
        </w:rPr>
        <w:t>При гематологических заболеваниях, как первично, так и в процессе их лечения часто возникают тромботические осложнения, требующие профилактики и терапии. Частота тромботических нарушений при опухолях системы крови различна, проведение химиотерапии (ХТ) увеличивает частоту тромботических осложнений практически в 2 раза с 2.21% до 4.24% относительно исходного уровня</w:t>
      </w:r>
      <w:r w:rsidRPr="002470CB">
        <w:rPr>
          <w:szCs w:val="24"/>
          <w:lang w:eastAsia="ru-RU"/>
        </w:rPr>
        <w:t xml:space="preserve"> </w:t>
      </w:r>
      <w:r>
        <w:rPr>
          <w:szCs w:val="24"/>
          <w:lang w:eastAsia="ru-RU"/>
        </w:rPr>
        <w:fldChar w:fldCharType="begin" w:fldLock="1"/>
      </w:r>
      <w:r w:rsidR="002F7BDD">
        <w:rPr>
          <w:szCs w:val="24"/>
          <w:lang w:eastAsia="ru-RU"/>
        </w:rPr>
        <w:instrText>ADDIN CSL_CITATION {"citationItems":[{"id":"ITEM-1","itemData":{"DOI":"10.1016/j.critrevonc.2018.02.003","ISSN":"18790461","PMID":"29548485","abstract":"Venous Thromboembolism (VTE) frequently complicates the course of hematologic malignancies (HM) and its incidence is similar to that observed in high-risk solid tumors. Despite that, pharmacologic prophylaxis and treatment of VTE in patients with HM is challenging, mainly because a severe thrombocytopenia frequently complicates the course of treatments or may be present since diagnosis, thus increasing the risk of bleeding. Therefore, in this setting, safe and effective methods of VTE prophylaxis and treatment have not been well defined and hematologists generally refer to guidelines produced for cancer patients that give indications on anticoagulation in patients with thrombocytopenia. In this review, besides to summarize the incidence and the available data on prophylaxis and treatment of VTE in HM, we give some advices on how to use antithrombotic drugs in patients with HM according to platelets count.","author":[{"dropping-particle":"","family":"Annibali","given":"Ombretta","non-dropping-particle":"","parse-names":false,"suffix":""},{"dropping-particle":"","family":"Napolitano","given":"Mariasanta","non-dropping-particle":"","parse-names":false,"suffix":""},{"dropping-particle":"","family":"Avvisati","given":"Giuseppe","non-dropping-particle":"","parse-names":false,"suffix":""},{"dropping-particle":"","family":"Siragusa","given":"Sergio","non-dropping-particle":"","parse-names":false,"suffix":""}],"container-title":"Critical Reviews in Oncology/Hematology","id":"ITEM-1","issued":{"date-parts":[["2018","4","1"]]},"page":"41-50","publisher":"Elsevier Ireland Ltd","title":"Incidence of venous thromboembolism and use of anticoagulation in hematological malignancies: Critical review of the literature","type":"article","volume":"124"},"uris":["http://www.mendeley.com/documents/?uuid=22f80e37-ad15-39e0-a4bd-123ad1adb983"]},{"id":"ITEM-2","itemData":{"DOI":"10.1097/CCO.0b013e3283592331","ISSN":"10408746","PMID":"23014188","abstract":"Purpose of Review: This review summarizes the current knowledge of the epidemiology, prophylaxis, and treatment of venous thromboembolism (VTE) in patients with lymphoma, multiple myeloma or acute leukemia. Recent Findings: Hematologic malignancies are associated with a high risk of thrombotic complications. The incidence of these events is greatly variable and is influenced by many factors, including the type and the stage of disease, antitumor therapies, and the use of central venous device (CVD). Epidemiological data allow an estimate of the incidence of VTE in acute leukemia, lymphomas, and multiple myeloma. The effect of chemotherapy on the incidence of thrombosis is particularly evident in acute leukemia as it causes the exacerbation of the clotting/bleeding syndrome typical of this disease. The role of chemotherapy is also relevant in lymphoma, and in multiple myeloma, in which the use of immunomodulating agents, in combination with chemotherapy and steroids significantly increases the risk of VTE. Summary: Thrombotic complications have a significant impact on morbidity and mortality of hematological cancer patients, therefore, in this setting, the issue of thromboprophylaxis to prevent VTE is important. However, no clear recommendation in these conditions is available, with the exception of multiple myeloma. Large prospective randomized clinical trials are needed to establish the best practice for prevention and treatment of VTE in these types of malignant diseases. © 2012 Wolters Kluwer Health | Lippincott Williams &amp; Wilkins.","author":[{"dropping-particle":"","family":"Falanga","given":"Anna","non-dropping-particle":"","parse-names":false,"suffix":""},{"dropping-particle":"","family":"Marchetti","given":"Marina","non-dropping-particle":"","parse-names":false,"suffix":""},{"dropping-particle":"","family":"Russo","given":"Laura","non-dropping-particle":"","parse-names":false,"suffix":""}],"container-title":"Current Opinion in Oncology","id":"ITEM-2","issue":"6","issued":{"date-parts":[["2012","11"]]},"page":"702-710","publisher":"Curr Opin Oncol","title":"Venous thromboembolism in the hematologic malignancies","type":"article","volume":"24"},"uris":["http://www.mendeley.com/documents/?uuid=59d797ff-66d3-3605-b564-548d92885ee6"]}],"mendeley":{"formattedCitation":"[87,88]","plainTextFormattedCitation":"[87,88]","previouslyFormattedCitation":"[87,88]"},"properties":{"noteIndex":0},"schema":"https://github.com/citation-style-language/schema/raw/master/csl-citation.json"}</w:instrText>
      </w:r>
      <w:r>
        <w:rPr>
          <w:szCs w:val="24"/>
          <w:lang w:eastAsia="ru-RU"/>
        </w:rPr>
        <w:fldChar w:fldCharType="separate"/>
      </w:r>
      <w:r w:rsidR="00D70CEE" w:rsidRPr="00D70CEE">
        <w:rPr>
          <w:noProof/>
          <w:szCs w:val="24"/>
          <w:lang w:eastAsia="ru-RU"/>
        </w:rPr>
        <w:t>[87,88]</w:t>
      </w:r>
      <w:r>
        <w:rPr>
          <w:szCs w:val="24"/>
          <w:lang w:eastAsia="ru-RU"/>
        </w:rPr>
        <w:fldChar w:fldCharType="end"/>
      </w:r>
      <w:r>
        <w:rPr>
          <w:szCs w:val="24"/>
          <w:lang w:eastAsia="ru-RU"/>
        </w:rPr>
        <w:t xml:space="preserve">. </w:t>
      </w:r>
      <w:r>
        <w:rPr>
          <w:rFonts w:eastAsia="Times New Roman"/>
          <w:szCs w:val="24"/>
          <w:lang w:eastAsia="ru-RU"/>
        </w:rPr>
        <w:t xml:space="preserve">Причинами тромбозов у пациентов онкогематологическими заболеваниями, в частности с лимфомами, могут быть </w:t>
      </w:r>
      <w:r>
        <w:fldChar w:fldCharType="begin" w:fldLock="1"/>
      </w:r>
      <w:r w:rsidR="002F7BDD">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[89]","plainTextFormattedCitation":"[89]","previouslyFormattedCitation":"[89]"},"properties":{"noteIndex":0},"schema":"https://github.com/citation-style-language/schema/raw/master/csl-citation.json"}</w:instrText>
      </w:r>
      <w:r>
        <w:fldChar w:fldCharType="separate"/>
      </w:r>
      <w:r w:rsidR="00D70CEE" w:rsidRPr="00D70CEE">
        <w:rPr>
          <w:noProof/>
        </w:rPr>
        <w:t>[89]</w:t>
      </w:r>
      <w:r>
        <w:fldChar w:fldCharType="end"/>
      </w:r>
      <w:r>
        <w:rPr>
          <w:rFonts w:eastAsia="Times New Roman"/>
          <w:szCs w:val="24"/>
          <w:lang w:eastAsia="ru-RU"/>
        </w:rPr>
        <w:t>:</w:t>
      </w:r>
    </w:p>
    <w:p w14:paraId="791BB6F4" w14:textId="77777777" w:rsidR="001C2557" w:rsidRPr="00F62DEE" w:rsidRDefault="001C2557" w:rsidP="001C2557">
      <w:pPr>
        <w:numPr>
          <w:ilvl w:val="0"/>
          <w:numId w:val="57"/>
        </w:numPr>
        <w:rPr>
          <w:rFonts w:eastAsia="Times New Roman"/>
          <w:szCs w:val="24"/>
          <w:lang w:eastAsia="ru-RU"/>
        </w:rPr>
      </w:pPr>
      <w:r w:rsidRPr="00E5560E">
        <w:rPr>
          <w:rFonts w:eastAsia="Times New Roman"/>
          <w:szCs w:val="24"/>
          <w:lang w:eastAsia="ru-RU"/>
        </w:rPr>
        <w:t>механические факторы (сдавление опухолью кровеносного сосуда, центральный или периферический венозные катетеры, нарушение целостности эндотелия некоторыми химиопрепаратами и др.);</w:t>
      </w:r>
    </w:p>
    <w:p w14:paraId="37469F2F" w14:textId="77777777" w:rsidR="001C2557" w:rsidRPr="00F62DEE" w:rsidRDefault="001C2557" w:rsidP="001C2557">
      <w:pPr>
        <w:numPr>
          <w:ilvl w:val="0"/>
          <w:numId w:val="57"/>
        </w:numPr>
        <w:rPr>
          <w:rFonts w:eastAsia="Times New Roman"/>
          <w:szCs w:val="24"/>
          <w:lang w:eastAsia="ru-RU"/>
        </w:rPr>
      </w:pPr>
      <w:r w:rsidRPr="00E5560E">
        <w:rPr>
          <w:rFonts w:eastAsia="Times New Roman"/>
          <w:szCs w:val="24"/>
          <w:lang w:eastAsia="ru-RU"/>
        </w:rPr>
        <w:t>коагулогические факторы (повышение или снижение активности факторов свертывания крови, повышение агрегационных свойств тромбоцитов и гипертромбоцитоз);</w:t>
      </w:r>
    </w:p>
    <w:p w14:paraId="2B55A152" w14:textId="77777777" w:rsidR="001C2557" w:rsidRPr="00F62DEE" w:rsidRDefault="001C2557" w:rsidP="001C2557">
      <w:pPr>
        <w:numPr>
          <w:ilvl w:val="0"/>
          <w:numId w:val="57"/>
        </w:numPr>
        <w:rPr>
          <w:rFonts w:eastAsia="Times New Roman"/>
          <w:szCs w:val="24"/>
          <w:lang w:eastAsia="ru-RU"/>
        </w:rPr>
      </w:pPr>
      <w:r w:rsidRPr="00E5560E">
        <w:rPr>
          <w:rFonts w:eastAsia="Times New Roman"/>
          <w:szCs w:val="24"/>
          <w:lang w:eastAsia="ru-RU"/>
        </w:rPr>
        <w:t xml:space="preserve">реологические факторы (в том числе за счет гиперлейкоцитоза, эритроцитоза, гипертромбоцитоза); </w:t>
      </w:r>
    </w:p>
    <w:p w14:paraId="0F1A9910" w14:textId="77777777" w:rsidR="001C2557" w:rsidRPr="00F62DEE" w:rsidRDefault="001C2557" w:rsidP="001C2557">
      <w:pPr>
        <w:numPr>
          <w:ilvl w:val="0"/>
          <w:numId w:val="57"/>
        </w:numPr>
        <w:rPr>
          <w:rFonts w:eastAsia="Times New Roman"/>
          <w:szCs w:val="24"/>
          <w:lang w:eastAsia="ru-RU"/>
        </w:rPr>
      </w:pPr>
      <w:r w:rsidRPr="00E5560E">
        <w:rPr>
          <w:rFonts w:eastAsia="Times New Roman"/>
          <w:szCs w:val="24"/>
          <w:lang w:eastAsia="ru-RU"/>
        </w:rPr>
        <w:t>химиолучевая терапия.</w:t>
      </w:r>
    </w:p>
    <w:p w14:paraId="0A6EBF3A" w14:textId="77777777" w:rsidR="001C2557" w:rsidRDefault="001C2557" w:rsidP="001C2557">
      <w:pPr>
        <w:rPr>
          <w:rFonts w:eastAsia="Times New Roman"/>
          <w:szCs w:val="24"/>
          <w:lang w:eastAsia="ru-RU"/>
        </w:rPr>
      </w:pPr>
      <w:r>
        <w:rPr>
          <w:rFonts w:eastAsia="Times New Roman"/>
          <w:szCs w:val="24"/>
          <w:lang w:eastAsia="ru-RU"/>
        </w:rPr>
        <w:t>Эти факторы часто сочетаются друг с другом.</w:t>
      </w:r>
    </w:p>
    <w:p w14:paraId="55AAC153" w14:textId="77777777" w:rsidR="001C2557" w:rsidRDefault="001C2557" w:rsidP="001C2557">
      <w:pPr>
        <w:ind w:firstLine="567"/>
        <w:rPr>
          <w:rFonts w:eastAsia="Times New Roman"/>
          <w:szCs w:val="24"/>
          <w:lang w:eastAsia="ru-RU"/>
        </w:rPr>
      </w:pPr>
    </w:p>
    <w:p w14:paraId="12C78245" w14:textId="77777777" w:rsidR="001C2557" w:rsidRPr="00E5560E" w:rsidRDefault="001C2557" w:rsidP="001C2557">
      <w:pPr>
        <w:rPr>
          <w:rFonts w:eastAsia="Times New Roman"/>
          <w:i/>
          <w:iCs/>
          <w:szCs w:val="24"/>
          <w:u w:val="single"/>
          <w:lang w:eastAsia="ru-RU"/>
        </w:rPr>
      </w:pPr>
      <w:r w:rsidRPr="00E5560E">
        <w:rPr>
          <w:rFonts w:eastAsia="Times New Roman"/>
          <w:i/>
          <w:iCs/>
          <w:szCs w:val="24"/>
          <w:u w:val="single"/>
          <w:lang w:eastAsia="ru-RU"/>
        </w:rPr>
        <w:t>Клинические проявления тромботических осложнений.</w:t>
      </w:r>
    </w:p>
    <w:p w14:paraId="0ADD40E0" w14:textId="77777777" w:rsidR="001C2557" w:rsidRDefault="001C2557" w:rsidP="001C2557">
      <w:pPr>
        <w:rPr>
          <w:rFonts w:eastAsia="Times New Roman"/>
          <w:szCs w:val="24"/>
          <w:lang w:eastAsia="ru-RU"/>
        </w:rPr>
      </w:pPr>
      <w:r>
        <w:rPr>
          <w:rFonts w:eastAsia="Times New Roman"/>
          <w:szCs w:val="24"/>
          <w:lang w:eastAsia="ru-RU"/>
        </w:rPr>
        <w:t xml:space="preserve">Тромботические осложнения имеют гетерогенные проявления и подтверждаются различными лабораторными (коагулологическими, молекулярно-генетическими, биохимическими, цитологическими) и инструментальными методами. </w:t>
      </w:r>
    </w:p>
    <w:p w14:paraId="650E8081" w14:textId="2F4D5E5C" w:rsidR="001C2557" w:rsidRDefault="001C2557" w:rsidP="001C2557">
      <w:pPr>
        <w:rPr>
          <w:rFonts w:eastAsia="Times New Roman"/>
          <w:szCs w:val="24"/>
          <w:lang w:eastAsia="ru-RU"/>
        </w:rPr>
      </w:pPr>
      <w:r>
        <w:rPr>
          <w:rFonts w:eastAsia="Times New Roman"/>
          <w:szCs w:val="24"/>
          <w:lang w:eastAsia="ru-RU"/>
        </w:rPr>
        <w:t xml:space="preserve">Для тромбозов характерны следующие признаки </w:t>
      </w:r>
      <w:r>
        <w:fldChar w:fldCharType="begin" w:fldLock="1"/>
      </w:r>
      <w:r w:rsidR="002F7BDD">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[89,90]","plainTextFormattedCitation":"[89,90]","previouslyFormattedCitation":"[89,90]"},"properties":{"noteIndex":0},"schema":"https://github.com/citation-style-language/schema/raw/master/csl-citation.json"}</w:instrText>
      </w:r>
      <w:r>
        <w:fldChar w:fldCharType="separate"/>
      </w:r>
      <w:r w:rsidR="00D70CEE" w:rsidRPr="00D70CEE">
        <w:rPr>
          <w:noProof/>
        </w:rPr>
        <w:t>[89,90]</w:t>
      </w:r>
      <w:r>
        <w:fldChar w:fldCharType="end"/>
      </w:r>
      <w:r>
        <w:rPr>
          <w:rFonts w:eastAsia="Times New Roman"/>
          <w:szCs w:val="24"/>
          <w:lang w:eastAsia="ru-RU"/>
        </w:rPr>
        <w:t xml:space="preserve">: </w:t>
      </w:r>
    </w:p>
    <w:p w14:paraId="7864B85D" w14:textId="77777777" w:rsidR="001C2557" w:rsidRDefault="001C2557" w:rsidP="001C2557">
      <w:pPr>
        <w:numPr>
          <w:ilvl w:val="0"/>
          <w:numId w:val="62"/>
        </w:numPr>
        <w:rPr>
          <w:rFonts w:eastAsia="Times New Roman"/>
          <w:szCs w:val="24"/>
          <w:lang w:eastAsia="ru-RU"/>
        </w:rPr>
      </w:pPr>
      <w:r>
        <w:rPr>
          <w:rFonts w:eastAsia="Times New Roman"/>
          <w:szCs w:val="24"/>
          <w:lang w:eastAsia="ru-RU"/>
        </w:rPr>
        <w:t>отек на месте тромбоза (венозный тромбоз);</w:t>
      </w:r>
    </w:p>
    <w:p w14:paraId="4B01D061" w14:textId="77777777" w:rsidR="001C2557" w:rsidRDefault="001C2557" w:rsidP="001C2557">
      <w:pPr>
        <w:numPr>
          <w:ilvl w:val="0"/>
          <w:numId w:val="62"/>
        </w:numPr>
        <w:rPr>
          <w:rFonts w:eastAsia="Times New Roman"/>
          <w:szCs w:val="24"/>
          <w:lang w:eastAsia="ru-RU"/>
        </w:rPr>
      </w:pPr>
      <w:r>
        <w:rPr>
          <w:rFonts w:eastAsia="Times New Roman"/>
          <w:szCs w:val="24"/>
          <w:lang w:eastAsia="ru-RU"/>
        </w:rPr>
        <w:t>умеренные болевые ощущения - чувство распирания, постоянные локальные боли (венозные и артериальные тромбозы);</w:t>
      </w:r>
    </w:p>
    <w:p w14:paraId="1FA3F82D" w14:textId="77777777" w:rsidR="001C2557" w:rsidRDefault="001C2557" w:rsidP="001C2557">
      <w:pPr>
        <w:numPr>
          <w:ilvl w:val="0"/>
          <w:numId w:val="62"/>
        </w:numPr>
        <w:rPr>
          <w:rFonts w:eastAsia="Times New Roman"/>
          <w:szCs w:val="24"/>
          <w:lang w:eastAsia="ru-RU"/>
        </w:rPr>
      </w:pPr>
      <w:r>
        <w:rPr>
          <w:rFonts w:eastAsia="Times New Roman"/>
          <w:szCs w:val="24"/>
          <w:lang w:eastAsia="ru-RU"/>
        </w:rPr>
        <w:t xml:space="preserve">повышение кожной температуры непосредственно в области тромбоза (венозные тромбозы); </w:t>
      </w:r>
    </w:p>
    <w:p w14:paraId="70748F24" w14:textId="77777777" w:rsidR="001C2557" w:rsidRDefault="001C2557" w:rsidP="001C2557">
      <w:pPr>
        <w:numPr>
          <w:ilvl w:val="0"/>
          <w:numId w:val="62"/>
        </w:numPr>
        <w:rPr>
          <w:rFonts w:eastAsia="Times New Roman"/>
          <w:szCs w:val="24"/>
          <w:lang w:eastAsia="ru-RU"/>
        </w:rPr>
      </w:pPr>
      <w:r>
        <w:rPr>
          <w:rFonts w:eastAsia="Times New Roman"/>
          <w:szCs w:val="24"/>
          <w:lang w:eastAsia="ru-RU"/>
        </w:rPr>
        <w:t>резкая болезненность, цианоз (синюшность), снижение температуры в области тромбообразования и прилежащих тканях (артериальные тромбозы);</w:t>
      </w:r>
    </w:p>
    <w:p w14:paraId="42A44C24" w14:textId="77777777" w:rsidR="001C2557" w:rsidRDefault="001C2557" w:rsidP="001C2557">
      <w:pPr>
        <w:numPr>
          <w:ilvl w:val="0"/>
          <w:numId w:val="62"/>
        </w:numPr>
        <w:rPr>
          <w:rFonts w:eastAsia="Times New Roman"/>
          <w:szCs w:val="24"/>
          <w:lang w:eastAsia="ru-RU"/>
        </w:rPr>
      </w:pPr>
      <w:r>
        <w:rPr>
          <w:rFonts w:eastAsia="Times New Roman"/>
          <w:szCs w:val="24"/>
          <w:lang w:eastAsia="ru-RU"/>
        </w:rPr>
        <w:t>перемежающаяся хромота (артериальные тромбозы);</w:t>
      </w:r>
    </w:p>
    <w:p w14:paraId="3409E8DB" w14:textId="77777777" w:rsidR="001C2557" w:rsidRDefault="001C2557" w:rsidP="001C2557">
      <w:pPr>
        <w:numPr>
          <w:ilvl w:val="0"/>
          <w:numId w:val="62"/>
        </w:numPr>
        <w:rPr>
          <w:rFonts w:eastAsia="Times New Roman"/>
          <w:szCs w:val="24"/>
          <w:lang w:eastAsia="ru-RU"/>
        </w:rPr>
      </w:pPr>
      <w:r>
        <w:rPr>
          <w:rFonts w:eastAsia="Times New Roman"/>
          <w:szCs w:val="24"/>
          <w:lang w:eastAsia="ru-RU"/>
        </w:rPr>
        <w:t>при незначительных неокклюзирующих венозных и артериальных тромбозах клинические проявления могут быть минимальными или отсутствовать;</w:t>
      </w:r>
    </w:p>
    <w:p w14:paraId="7B36E2FC" w14:textId="77777777" w:rsidR="001C2557" w:rsidRDefault="001C2557" w:rsidP="001C2557">
      <w:pPr>
        <w:numPr>
          <w:ilvl w:val="0"/>
          <w:numId w:val="62"/>
        </w:numPr>
        <w:rPr>
          <w:rFonts w:eastAsia="Times New Roman"/>
          <w:szCs w:val="24"/>
          <w:lang w:eastAsia="ru-RU"/>
        </w:rPr>
      </w:pPr>
      <w:r>
        <w:rPr>
          <w:rFonts w:eastAsia="Times New Roman"/>
          <w:szCs w:val="24"/>
          <w:lang w:eastAsia="ru-RU"/>
        </w:rPr>
        <w:t>головные боли, неврологическая симптоматика, нарушение сознания (признаки ишемического инсульта).</w:t>
      </w:r>
    </w:p>
    <w:p w14:paraId="03AEDE0E" w14:textId="77777777" w:rsidR="001C2557" w:rsidRDefault="001C2557" w:rsidP="001C2557">
      <w:pPr>
        <w:numPr>
          <w:ilvl w:val="0"/>
          <w:numId w:val="62"/>
        </w:numPr>
        <w:rPr>
          <w:rFonts w:eastAsia="Times New Roman"/>
          <w:szCs w:val="24"/>
          <w:lang w:eastAsia="ru-RU"/>
        </w:rPr>
      </w:pPr>
      <w:r>
        <w:rPr>
          <w:szCs w:val="24"/>
        </w:rPr>
        <w:t>синдром сдавления венозного ствола или вены;</w:t>
      </w:r>
    </w:p>
    <w:p w14:paraId="66895FFA" w14:textId="77777777" w:rsidR="001C2557" w:rsidRDefault="001C2557" w:rsidP="001C2557">
      <w:pPr>
        <w:numPr>
          <w:ilvl w:val="0"/>
          <w:numId w:val="62"/>
        </w:numPr>
        <w:rPr>
          <w:rFonts w:eastAsia="Times New Roman"/>
          <w:szCs w:val="24"/>
          <w:lang w:eastAsia="ru-RU"/>
        </w:rPr>
      </w:pPr>
      <w:r>
        <w:rPr>
          <w:szCs w:val="24"/>
        </w:rPr>
        <w:t>расширение венозной сети;</w:t>
      </w:r>
    </w:p>
    <w:p w14:paraId="3F33F00F" w14:textId="77777777" w:rsidR="001C2557" w:rsidRDefault="001C2557" w:rsidP="001C2557">
      <w:pPr>
        <w:numPr>
          <w:ilvl w:val="0"/>
          <w:numId w:val="62"/>
        </w:numPr>
        <w:rPr>
          <w:rFonts w:eastAsia="Times New Roman"/>
          <w:szCs w:val="24"/>
          <w:lang w:eastAsia="ru-RU"/>
        </w:rPr>
      </w:pPr>
      <w:r>
        <w:rPr>
          <w:szCs w:val="24"/>
        </w:rPr>
        <w:t xml:space="preserve"> признаки дыхательной недостаточности при тромбоэмболии легочной артерии (ТЭЛА).</w:t>
      </w:r>
    </w:p>
    <w:p w14:paraId="468D3B0D" w14:textId="77777777" w:rsidR="001C2557" w:rsidRDefault="001C2557" w:rsidP="001C2557">
      <w:pPr>
        <w:rPr>
          <w:rFonts w:eastAsia="Times New Roman"/>
          <w:szCs w:val="24"/>
          <w:lang w:eastAsia="ru-RU"/>
        </w:rPr>
      </w:pPr>
      <w:r>
        <w:rPr>
          <w:szCs w:val="24"/>
        </w:rPr>
        <w:t xml:space="preserve">Для оценки риска развития тромботических нарушений и их рецидивов при лимфоме необходим тщательный сбор анамнеза с уточнением наличия тромбозов у пациента и родственников первой линии, а также оценка общего состояния пациента и выявление сопутствующих заболеваний. </w:t>
      </w:r>
    </w:p>
    <w:p w14:paraId="331F4621" w14:textId="77777777" w:rsidR="001C2557" w:rsidRDefault="001C2557" w:rsidP="001C2557">
      <w:pPr>
        <w:pStyle w:val="Numlist"/>
        <w:spacing w:line="360" w:lineRule="auto"/>
        <w:ind w:firstLine="360"/>
        <w:jc w:val="both"/>
        <w:rPr>
          <w:b/>
        </w:rPr>
      </w:pPr>
    </w:p>
    <w:p w14:paraId="51D222C0" w14:textId="342E2860" w:rsidR="001C2557" w:rsidRDefault="001C2557" w:rsidP="001C2557">
      <w:pPr>
        <w:pStyle w:val="Numlist"/>
        <w:spacing w:line="360" w:lineRule="auto"/>
        <w:ind w:firstLine="360"/>
        <w:jc w:val="both"/>
      </w:pPr>
      <w:r w:rsidRPr="00D74B57">
        <w:rPr>
          <w:bCs/>
          <w:i/>
          <w:iCs/>
          <w:u w:val="single"/>
        </w:rPr>
        <w:t>Лабораторная диагностика</w:t>
      </w:r>
      <w:r>
        <w:rPr>
          <w:b/>
        </w:rPr>
        <w:t xml:space="preserve"> </w:t>
      </w:r>
      <w:r>
        <w:t xml:space="preserve">тромботических осложнений должна включать следующие исследования </w:t>
      </w:r>
      <w:r>
        <w:fldChar w:fldCharType="begin" w:fldLock="1"/>
      </w:r>
      <w:r w:rsidR="002F7BDD">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[89,90]","plainTextFormattedCitation":"[89,90]","previouslyFormattedCitation":"[89,90]"},"properties":{"noteIndex":0},"schema":"https://github.com/citation-style-language/schema/raw/master/csl-citation.json"}</w:instrText>
      </w:r>
      <w:r>
        <w:fldChar w:fldCharType="separate"/>
      </w:r>
      <w:r w:rsidR="00D70CEE" w:rsidRPr="00D70CEE">
        <w:rPr>
          <w:noProof/>
        </w:rPr>
        <w:t>[89,90]</w:t>
      </w:r>
      <w:r>
        <w:fldChar w:fldCharType="end"/>
      </w:r>
      <w:r>
        <w:t xml:space="preserve">: </w:t>
      </w:r>
    </w:p>
    <w:p w14:paraId="058BF386" w14:textId="77777777" w:rsidR="001C2557" w:rsidRDefault="001C2557" w:rsidP="001C2557">
      <w:r>
        <w:t xml:space="preserve">1) </w:t>
      </w:r>
      <w:r>
        <w:rPr>
          <w:szCs w:val="24"/>
        </w:rPr>
        <w:t>Исследование периферической крови с подсчетом количества эритроцитов, гемоглобина и гематокрита, тромбоцитов (с подсчетом в мазке по Фонио), лейкоцитов, лейкоцитарной формулы – обязательно при диагностике, далее по показаниям с целью оценки динамики гематологических показателей и для контроля эффективности лечения</w:t>
      </w:r>
      <w:r>
        <w:t>.</w:t>
      </w:r>
    </w:p>
    <w:p w14:paraId="650A1200" w14:textId="77777777" w:rsidR="001C2557" w:rsidRDefault="001C2557" w:rsidP="001C2557">
      <w:pPr>
        <w:rPr>
          <w:szCs w:val="24"/>
        </w:rPr>
      </w:pPr>
      <w:r>
        <w:rPr>
          <w:szCs w:val="24"/>
        </w:rPr>
        <w:t>2) Коагулограмма с определением следующих показателей:</w:t>
      </w:r>
    </w:p>
    <w:p w14:paraId="4E617E4A" w14:textId="77777777" w:rsidR="001C2557" w:rsidRDefault="001C2557" w:rsidP="001C2557">
      <w:pPr>
        <w:pStyle w:val="afe"/>
        <w:widowControl w:val="0"/>
        <w:numPr>
          <w:ilvl w:val="0"/>
          <w:numId w:val="56"/>
        </w:numPr>
        <w:ind w:left="1418" w:hanging="567"/>
        <w:rPr>
          <w:szCs w:val="24"/>
        </w:rPr>
      </w:pPr>
      <w:r>
        <w:rPr>
          <w:szCs w:val="24"/>
        </w:rPr>
        <w:t>активированное частичное тромбопластиновое время (АЧТВ);</w:t>
      </w:r>
    </w:p>
    <w:p w14:paraId="0D36B321" w14:textId="77777777" w:rsidR="001C2557" w:rsidRDefault="001C2557" w:rsidP="001C2557">
      <w:pPr>
        <w:pStyle w:val="afe"/>
        <w:widowControl w:val="0"/>
        <w:numPr>
          <w:ilvl w:val="0"/>
          <w:numId w:val="56"/>
        </w:numPr>
        <w:ind w:left="1418" w:hanging="567"/>
        <w:rPr>
          <w:szCs w:val="24"/>
        </w:rPr>
      </w:pPr>
      <w:r>
        <w:rPr>
          <w:szCs w:val="24"/>
        </w:rPr>
        <w:t>тромбиновое время (ТВ);</w:t>
      </w:r>
    </w:p>
    <w:p w14:paraId="0682AF17" w14:textId="77777777" w:rsidR="001C2557" w:rsidRDefault="001C2557" w:rsidP="001C2557">
      <w:pPr>
        <w:pStyle w:val="afe"/>
        <w:widowControl w:val="0"/>
        <w:numPr>
          <w:ilvl w:val="0"/>
          <w:numId w:val="56"/>
        </w:numPr>
        <w:ind w:left="1418" w:hanging="567"/>
        <w:rPr>
          <w:szCs w:val="24"/>
        </w:rPr>
      </w:pPr>
      <w:r>
        <w:rPr>
          <w:szCs w:val="24"/>
        </w:rPr>
        <w:t>протромбин по Квику (международное нормализованное отношение - МНО);</w:t>
      </w:r>
    </w:p>
    <w:p w14:paraId="5E83BE60" w14:textId="77777777" w:rsidR="001C2557" w:rsidRDefault="001C2557" w:rsidP="001C2557">
      <w:pPr>
        <w:pStyle w:val="afe"/>
        <w:widowControl w:val="0"/>
        <w:numPr>
          <w:ilvl w:val="0"/>
          <w:numId w:val="56"/>
        </w:numPr>
        <w:ind w:left="1418" w:hanging="567"/>
        <w:rPr>
          <w:szCs w:val="24"/>
        </w:rPr>
      </w:pPr>
      <w:r>
        <w:rPr>
          <w:szCs w:val="24"/>
        </w:rPr>
        <w:t>плазменная концентрация фибриногена;</w:t>
      </w:r>
    </w:p>
    <w:p w14:paraId="7F2B4B7A" w14:textId="77777777" w:rsidR="001C2557" w:rsidRDefault="001C2557" w:rsidP="001C2557">
      <w:pPr>
        <w:pStyle w:val="afe"/>
        <w:widowControl w:val="0"/>
        <w:numPr>
          <w:ilvl w:val="0"/>
          <w:numId w:val="56"/>
        </w:numPr>
        <w:ind w:left="1418" w:hanging="567"/>
        <w:rPr>
          <w:szCs w:val="24"/>
        </w:rPr>
      </w:pPr>
      <w:r>
        <w:rPr>
          <w:szCs w:val="24"/>
        </w:rPr>
        <w:t xml:space="preserve">плазменная концентрация антитромбина III (АТ </w:t>
      </w:r>
      <w:r>
        <w:rPr>
          <w:szCs w:val="24"/>
          <w:lang w:val="en-US"/>
        </w:rPr>
        <w:t>III</w:t>
      </w:r>
      <w:r>
        <w:rPr>
          <w:szCs w:val="24"/>
        </w:rPr>
        <w:t>), особенно для групп высокого риска, в частности, получающих L-аспарагиназу;</w:t>
      </w:r>
    </w:p>
    <w:p w14:paraId="3AFB8906" w14:textId="77777777" w:rsidR="001C2557" w:rsidRDefault="001C2557" w:rsidP="001C2557">
      <w:pPr>
        <w:pStyle w:val="afe"/>
        <w:widowControl w:val="0"/>
        <w:numPr>
          <w:ilvl w:val="0"/>
          <w:numId w:val="56"/>
        </w:numPr>
        <w:ind w:left="1418" w:hanging="567"/>
        <w:rPr>
          <w:szCs w:val="24"/>
        </w:rPr>
      </w:pPr>
      <w:r>
        <w:rPr>
          <w:szCs w:val="24"/>
        </w:rPr>
        <w:t>агрегация тромбоцитов, индуцированная АДФ и адреналином для пациентов, получающих терапию, соответственно клопидогрелом или ацетилсалициловой кислотой;</w:t>
      </w:r>
    </w:p>
    <w:p w14:paraId="5EC46ED7" w14:textId="3287EE4F" w:rsidR="001C2557" w:rsidRDefault="001C2557" w:rsidP="001C2557">
      <w:pPr>
        <w:pStyle w:val="afe"/>
        <w:widowControl w:val="0"/>
        <w:numPr>
          <w:ilvl w:val="0"/>
          <w:numId w:val="56"/>
        </w:numPr>
        <w:ind w:left="1418" w:hanging="567"/>
        <w:rPr>
          <w:szCs w:val="24"/>
        </w:rPr>
      </w:pPr>
      <w:r>
        <w:rPr>
          <w:szCs w:val="24"/>
        </w:rPr>
        <w:t>D-димер</w:t>
      </w:r>
      <w:r>
        <w:rPr>
          <w:szCs w:val="24"/>
          <w:lang w:val="en-US"/>
        </w:rPr>
        <w:t xml:space="preserve"> </w:t>
      </w:r>
      <w:r>
        <w:rPr>
          <w:szCs w:val="24"/>
          <w:lang w:val="en-US"/>
        </w:rPr>
        <w:fldChar w:fldCharType="begin" w:fldLock="1"/>
      </w:r>
      <w:r w:rsidR="002F7BDD">
        <w:rPr>
          <w:szCs w:val="24"/>
          <w:lang w:val="en-US"/>
        </w:rPr>
        <w:instrText>ADDIN CSL_CITATION {"citationItems":[{"id":"ITEM-1","itemData":{"author":[{"dropping-particle":"","family":"Greenberg","given":"C.S.","non-dropping-particle":"","parse-names":false,"suffix":""}],"container-title":"Clinical Advances in Hematology &amp; Oncology","id":"ITEM-1","issue":"8","issued":{"date-parts":[["2017"]]},"page":"580-583","title":"The role of D-dimer testing in clinical hematology and oncology","type":"article-journal","volume":"15"},"uris":["http://www.mendeley.com/documents/?uuid=bcd25bdb-3f17-4690-af2f-221107e95f2a"]}],"mendeley":{"formattedCitation":"[91]","plainTextFormattedCitation":"[91]","previouslyFormattedCitation":"[91]"},"properties":{"noteIndex":0},"schema":"https://github.com/citation-style-language/schema/raw/master/csl-citation.json"}</w:instrText>
      </w:r>
      <w:r>
        <w:rPr>
          <w:szCs w:val="24"/>
          <w:lang w:val="en-US"/>
        </w:rPr>
        <w:fldChar w:fldCharType="separate"/>
      </w:r>
      <w:r w:rsidR="00D70CEE" w:rsidRPr="00D70CEE">
        <w:rPr>
          <w:noProof/>
          <w:szCs w:val="24"/>
          <w:lang w:val="en-US"/>
        </w:rPr>
        <w:t>[91]</w:t>
      </w:r>
      <w:r>
        <w:rPr>
          <w:szCs w:val="24"/>
          <w:lang w:val="en-US"/>
        </w:rPr>
        <w:fldChar w:fldCharType="end"/>
      </w:r>
      <w:r>
        <w:rPr>
          <w:szCs w:val="24"/>
        </w:rPr>
        <w:t>;</w:t>
      </w:r>
    </w:p>
    <w:p w14:paraId="30DD08C5" w14:textId="77777777" w:rsidR="001C2557" w:rsidRDefault="001C2557" w:rsidP="001C2557">
      <w:pPr>
        <w:pStyle w:val="afe"/>
        <w:widowControl w:val="0"/>
        <w:numPr>
          <w:ilvl w:val="0"/>
          <w:numId w:val="56"/>
        </w:numPr>
        <w:ind w:left="1418" w:hanging="567"/>
        <w:rPr>
          <w:szCs w:val="24"/>
        </w:rPr>
      </w:pPr>
      <w:r>
        <w:rPr>
          <w:szCs w:val="24"/>
        </w:rPr>
        <w:t>протеин С;</w:t>
      </w:r>
    </w:p>
    <w:p w14:paraId="2AA63F2A" w14:textId="77777777" w:rsidR="001C2557" w:rsidRDefault="001C2557" w:rsidP="001C2557">
      <w:pPr>
        <w:pStyle w:val="afe"/>
        <w:widowControl w:val="0"/>
        <w:numPr>
          <w:ilvl w:val="0"/>
          <w:numId w:val="56"/>
        </w:numPr>
        <w:ind w:left="1418" w:hanging="567"/>
        <w:rPr>
          <w:szCs w:val="24"/>
        </w:rPr>
      </w:pPr>
      <w:r>
        <w:rPr>
          <w:szCs w:val="24"/>
        </w:rPr>
        <w:t xml:space="preserve">протеин </w:t>
      </w:r>
      <w:r>
        <w:rPr>
          <w:szCs w:val="24"/>
          <w:lang w:val="en-US"/>
        </w:rPr>
        <w:t>S</w:t>
      </w:r>
      <w:r>
        <w:rPr>
          <w:szCs w:val="24"/>
        </w:rPr>
        <w:t>;</w:t>
      </w:r>
    </w:p>
    <w:p w14:paraId="46D200AE" w14:textId="77777777" w:rsidR="001C2557" w:rsidRDefault="001C2557" w:rsidP="001C2557">
      <w:pPr>
        <w:pStyle w:val="afe"/>
        <w:widowControl w:val="0"/>
        <w:numPr>
          <w:ilvl w:val="0"/>
          <w:numId w:val="56"/>
        </w:numPr>
        <w:ind w:left="1418" w:hanging="567"/>
        <w:rPr>
          <w:szCs w:val="24"/>
        </w:rPr>
      </w:pPr>
      <w:r>
        <w:rPr>
          <w:szCs w:val="24"/>
        </w:rPr>
        <w:t>XIIa-зависимый фибринолиз;</w:t>
      </w:r>
    </w:p>
    <w:p w14:paraId="0170E590" w14:textId="77777777" w:rsidR="001C2557" w:rsidRDefault="001C2557" w:rsidP="001C2557">
      <w:pPr>
        <w:widowControl w:val="0"/>
        <w:rPr>
          <w:szCs w:val="24"/>
        </w:rPr>
      </w:pPr>
      <w:r>
        <w:rPr>
          <w:szCs w:val="24"/>
        </w:rPr>
        <w:t>Для исследования показателей гемостаза забор крови производят строго натощак, с помощью вакуумных пробирок. Забор крови из катетеров запрещен. Кровь набирают в пробирки, содержащие 3,2% цитрат натрия в соотношении 1:9. Исследование должно проводиться в течение 2-х часов после забора крови.  Достоверность результатов агрегабельности тромбоцитов можно оценить только при содержании в крови тромбоцитов ≥ 100 х 10</w:t>
      </w:r>
      <w:r>
        <w:rPr>
          <w:szCs w:val="24"/>
          <w:vertAlign w:val="superscript"/>
        </w:rPr>
        <w:t>9</w:t>
      </w:r>
      <w:r>
        <w:rPr>
          <w:szCs w:val="24"/>
        </w:rPr>
        <w:t>/л.</w:t>
      </w:r>
    </w:p>
    <w:p w14:paraId="63236A53" w14:textId="5B328FEA" w:rsidR="001C2557" w:rsidRDefault="001C2557" w:rsidP="001C2557">
      <w:pPr>
        <w:widowControl w:val="0"/>
        <w:rPr>
          <w:szCs w:val="24"/>
        </w:rPr>
      </w:pPr>
      <w:r>
        <w:rPr>
          <w:szCs w:val="24"/>
        </w:rPr>
        <w:t xml:space="preserve">Повышенная концентрация </w:t>
      </w:r>
      <w:r>
        <w:rPr>
          <w:szCs w:val="24"/>
          <w:lang w:val="en-US"/>
        </w:rPr>
        <w:t>D</w:t>
      </w:r>
      <w:r>
        <w:rPr>
          <w:szCs w:val="24"/>
        </w:rPr>
        <w:t>-димера у онкогематологических больных встречается при различных ситуациях, не всегда обусловленных венозными тромбо-эмболическими осложнениями (ВТЭО): синдром диссеминированного внутрисосудистого свертывания (ДВС-синдром), гиперфибринолиз, сепсис, поражения печени, серповидноклеточная анемия и др</w:t>
      </w:r>
      <w:r w:rsidR="0056368F">
        <w:rPr>
          <w:szCs w:val="24"/>
        </w:rPr>
        <w:t>.</w:t>
      </w:r>
      <w:r w:rsidRPr="00B06F48">
        <w:rPr>
          <w:szCs w:val="24"/>
        </w:rPr>
        <w:t xml:space="preserve"> </w:t>
      </w:r>
      <w:r>
        <w:rPr>
          <w:szCs w:val="24"/>
        </w:rPr>
        <w:fldChar w:fldCharType="begin" w:fldLock="1"/>
      </w:r>
      <w:r w:rsidR="002F7BDD">
        <w:rPr>
          <w:szCs w:val="24"/>
        </w:rPr>
        <w:instrText>ADDIN CSL_CITATION {"citationItems":[{"id":"ITEM-1","itemData":{"author":[{"dropping-particle":"","family":"Greenberg","given":"C.S.","non-dropping-particle":"","parse-names":false,"suffix":""}],"container-title":"Clinical Advances in Hematology &amp; Oncology","id":"ITEM-1","issue":"8","issued":{"date-parts":[["2017"]]},"page":"580-583","title":"The role of D-dimer testing in clinical hematology and oncology","type":"article-journal","volume":"15"},"uris":["http://www.mendeley.com/documents/?uuid=bcd25bdb-3f17-4690-af2f-221107e95f2a"]}],"mendeley":{"formattedCitation":"[91]","plainTextFormattedCitation":"[91]","previouslyFormattedCitation":"[91]"},"properties":{"noteIndex":0},"schema":"https://github.com/citation-style-language/schema/raw/master/csl-citation.json"}</w:instrText>
      </w:r>
      <w:r>
        <w:rPr>
          <w:szCs w:val="24"/>
        </w:rPr>
        <w:fldChar w:fldCharType="separate"/>
      </w:r>
      <w:r w:rsidR="00D70CEE" w:rsidRPr="00D70CEE">
        <w:rPr>
          <w:noProof/>
          <w:szCs w:val="24"/>
        </w:rPr>
        <w:t>[91]</w:t>
      </w:r>
      <w:r>
        <w:rPr>
          <w:szCs w:val="24"/>
        </w:rPr>
        <w:fldChar w:fldCharType="end"/>
      </w:r>
      <w:r>
        <w:rPr>
          <w:szCs w:val="24"/>
        </w:rPr>
        <w:t xml:space="preserve">. Поэтому не рекомендуется начинать тромбопрофилактику ориентируясь только на повышенную концентрацию </w:t>
      </w:r>
      <w:r>
        <w:rPr>
          <w:szCs w:val="24"/>
          <w:lang w:val="en-US"/>
        </w:rPr>
        <w:t>D</w:t>
      </w:r>
      <w:r>
        <w:rPr>
          <w:szCs w:val="24"/>
        </w:rPr>
        <w:t>-димера. При концентрации D-димера выше порогового значения рекомендуется дополнительное проведение инструментальных методов обследования.</w:t>
      </w:r>
    </w:p>
    <w:p w14:paraId="60B2E804" w14:textId="77777777" w:rsidR="001C2557" w:rsidRPr="00494FA4" w:rsidRDefault="001C2557" w:rsidP="001C2557">
      <w:pPr>
        <w:rPr>
          <w:szCs w:val="24"/>
        </w:rPr>
      </w:pPr>
      <w:r>
        <w:rPr>
          <w:szCs w:val="24"/>
        </w:rPr>
        <w:t xml:space="preserve">3) Биохимический анализ крови: общий белок, альбумины, общий и прямой/непрямой билирубин, АСТ, АЛТ, ЛДГ, мочевая кислота, мочевина, креатинин, щелочная фосфатаза, </w:t>
      </w:r>
      <w:r w:rsidRPr="002B7BF0">
        <w:rPr>
          <w:szCs w:val="24"/>
        </w:rPr>
        <w:t xml:space="preserve">холестерин, триглицериды, индекс атерогенности </w:t>
      </w:r>
      <w:r>
        <w:rPr>
          <w:szCs w:val="24"/>
        </w:rPr>
        <w:t xml:space="preserve">– на этапе диагностике, далее по показаниям. </w:t>
      </w:r>
      <w:r w:rsidRPr="00494FA4">
        <w:rPr>
          <w:rStyle w:val="affb"/>
          <w:iCs/>
          <w:shd w:val="clear" w:color="auto" w:fill="FFFFFF"/>
        </w:rPr>
        <w:t>В</w:t>
      </w:r>
      <w:r w:rsidRPr="00111FC7">
        <w:rPr>
          <w:rStyle w:val="affc"/>
        </w:rPr>
        <w:t xml:space="preserve">ыполнение биохимического анализа крови необходимо для уточнения функциональной способности печени, что важно для выбора адекватной терапии. </w:t>
      </w:r>
    </w:p>
    <w:p w14:paraId="4A7BBC0B" w14:textId="77777777" w:rsidR="001C2557" w:rsidRDefault="001C2557" w:rsidP="001C2557">
      <w:pPr>
        <w:rPr>
          <w:szCs w:val="24"/>
        </w:rPr>
      </w:pPr>
      <w:r>
        <w:rPr>
          <w:szCs w:val="24"/>
        </w:rPr>
        <w:t>4) Определение концентрации гомоцистеина – важно в диагностике гипергомоцистеинемии.</w:t>
      </w:r>
    </w:p>
    <w:p w14:paraId="07E9BCA1" w14:textId="77777777" w:rsidR="001C2557" w:rsidRDefault="001C2557" w:rsidP="001C2557">
      <w:r>
        <w:t xml:space="preserve">5) Исследование мутации генов факторов, участвующих в гемостазе (протромбина G20210A, фактора V Лейден, </w:t>
      </w:r>
      <w:r w:rsidRPr="00A042E1">
        <w:t>метилентетрагидрофолатредуктазы</w:t>
      </w:r>
      <w:r>
        <w:t>), важно для верификации формы и варианта наследственных тромбофилий, определяется по показаниям.</w:t>
      </w:r>
    </w:p>
    <w:p w14:paraId="2CF61CAB" w14:textId="77777777" w:rsidR="001C2557" w:rsidRPr="00494FA4" w:rsidRDefault="001C2557" w:rsidP="001C2557">
      <w:pPr>
        <w:rPr>
          <w:szCs w:val="24"/>
        </w:rPr>
      </w:pPr>
      <w:r>
        <w:t xml:space="preserve">6) Тромбоэластография, пространственная тромбодинамика и определение тромбинового потенциала – по показаниям. </w:t>
      </w:r>
    </w:p>
    <w:p w14:paraId="78B69E17" w14:textId="77777777" w:rsidR="001C2557" w:rsidRDefault="001C2557" w:rsidP="001C2557">
      <w:pPr>
        <w:pStyle w:val="Numlist"/>
        <w:spacing w:line="360" w:lineRule="auto"/>
        <w:jc w:val="both"/>
      </w:pPr>
      <w:r>
        <w:t>Лабораторную оценку состояния системы свертывания крови осуществляют при первичном обследовании больного, до начала проведения специфической терапии, в том числе перед каждым курсом ХТ (по показаниям), а также в случае развития тромботических нарушений на любом этапе диагностики, наблюдения, лечения.</w:t>
      </w:r>
    </w:p>
    <w:p w14:paraId="10DBCD9F" w14:textId="77777777" w:rsidR="001C2557" w:rsidRDefault="001C2557" w:rsidP="001C2557">
      <w:pPr>
        <w:rPr>
          <w:b/>
          <w:szCs w:val="24"/>
        </w:rPr>
      </w:pPr>
    </w:p>
    <w:p w14:paraId="5B6C0A94" w14:textId="60A4C357" w:rsidR="001C2557" w:rsidRDefault="001C2557" w:rsidP="001C2557">
      <w:pPr>
        <w:rPr>
          <w:szCs w:val="24"/>
        </w:rPr>
      </w:pPr>
      <w:r w:rsidRPr="004C1787">
        <w:rPr>
          <w:bCs/>
          <w:i/>
          <w:iCs/>
          <w:szCs w:val="24"/>
          <w:u w:val="single"/>
        </w:rPr>
        <w:t>Инструментальная диагностика</w:t>
      </w:r>
      <w:r>
        <w:rPr>
          <w:szCs w:val="24"/>
        </w:rPr>
        <w:t xml:space="preserve"> рекомендуется для определения выраженности и уточнения локализации тромботических осложнений. Выбор метода зависит от клинической картины и данных лабораторного обследования. Проводятся следующие виды исследования </w:t>
      </w:r>
      <w:r>
        <w:fldChar w:fldCharType="begin" w:fldLock="1"/>
      </w:r>
      <w:r w:rsidR="002F7BDD">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[89,90]","plainTextFormattedCitation":"[89,90]","previouslyFormattedCitation":"[89,90]"},"properties":{"noteIndex":0},"schema":"https://github.com/citation-style-language/schema/raw/master/csl-citation.json"}</w:instrText>
      </w:r>
      <w:r>
        <w:fldChar w:fldCharType="separate"/>
      </w:r>
      <w:r w:rsidR="00D70CEE" w:rsidRPr="00D70CEE">
        <w:rPr>
          <w:noProof/>
        </w:rPr>
        <w:t>[89,90]</w:t>
      </w:r>
      <w:r>
        <w:fldChar w:fldCharType="end"/>
      </w:r>
      <w:r>
        <w:rPr>
          <w:szCs w:val="24"/>
        </w:rPr>
        <w:t>:</w:t>
      </w:r>
    </w:p>
    <w:p w14:paraId="5ADEA3FC" w14:textId="77777777" w:rsidR="001C2557" w:rsidRDefault="001C2557" w:rsidP="001C2557">
      <w:pPr>
        <w:pStyle w:val="afe"/>
        <w:numPr>
          <w:ilvl w:val="0"/>
          <w:numId w:val="61"/>
        </w:numPr>
        <w:spacing w:after="200"/>
        <w:ind w:left="1134"/>
        <w:rPr>
          <w:szCs w:val="24"/>
        </w:rPr>
      </w:pPr>
      <w:r>
        <w:rPr>
          <w:szCs w:val="24"/>
        </w:rPr>
        <w:t>УЗИ сосудов, при котором определяются локализация тромбоза, размеры тромба, окклюзирующий или неокклюзирующий характер тромбоза, флотирующий или нефлотирующий характер тромба.</w:t>
      </w:r>
    </w:p>
    <w:p w14:paraId="2A45DAAE" w14:textId="77777777" w:rsidR="001C2557" w:rsidRDefault="001C2557" w:rsidP="001C2557">
      <w:pPr>
        <w:pStyle w:val="afe"/>
        <w:numPr>
          <w:ilvl w:val="0"/>
          <w:numId w:val="61"/>
        </w:numPr>
        <w:ind w:left="1134"/>
        <w:rPr>
          <w:bCs/>
          <w:szCs w:val="24"/>
        </w:rPr>
      </w:pPr>
      <w:r>
        <w:rPr>
          <w:bCs/>
          <w:szCs w:val="24"/>
        </w:rPr>
        <w:t xml:space="preserve">УЗИ органов брюшной полости (размеры печени, селезенки, </w:t>
      </w:r>
      <w:r w:rsidRPr="00A042E1">
        <w:rPr>
          <w:bCs/>
          <w:szCs w:val="24"/>
        </w:rPr>
        <w:t>вены портальной системы и собственные вены печени</w:t>
      </w:r>
      <w:r>
        <w:rPr>
          <w:bCs/>
          <w:szCs w:val="24"/>
        </w:rPr>
        <w:t>), гемодинамические критерии портальной гипертензии при органомегалии и подозрении на тромбоз.</w:t>
      </w:r>
    </w:p>
    <w:p w14:paraId="54E320C6" w14:textId="77777777" w:rsidR="001C2557" w:rsidRDefault="001C2557" w:rsidP="001C2557">
      <w:pPr>
        <w:pStyle w:val="afe"/>
        <w:numPr>
          <w:ilvl w:val="0"/>
          <w:numId w:val="61"/>
        </w:numPr>
        <w:ind w:left="1134"/>
        <w:rPr>
          <w:bCs/>
          <w:szCs w:val="24"/>
        </w:rPr>
      </w:pPr>
      <w:r w:rsidRPr="0065075D">
        <w:rPr>
          <w:iCs/>
          <w:szCs w:val="24"/>
        </w:rPr>
        <w:t xml:space="preserve">КТ </w:t>
      </w:r>
      <w:r w:rsidRPr="0065075D">
        <w:rPr>
          <w:bCs/>
          <w:szCs w:val="24"/>
        </w:rPr>
        <w:t xml:space="preserve">органов грудной клетки и брюшной полости с внутривенным контрастным </w:t>
      </w:r>
      <w:r>
        <w:rPr>
          <w:bCs/>
          <w:szCs w:val="24"/>
        </w:rPr>
        <w:t xml:space="preserve">усилением </w:t>
      </w:r>
      <w:r w:rsidRPr="0065075D">
        <w:rPr>
          <w:bCs/>
          <w:szCs w:val="24"/>
        </w:rPr>
        <w:t>для диагностики ТЭЛА, тромбоза вен и артерий брюшной полости, инфарктов паренхиматозных органов, оценки коллатералей.</w:t>
      </w:r>
    </w:p>
    <w:p w14:paraId="286D246C" w14:textId="77777777" w:rsidR="001C2557" w:rsidRPr="004C1787" w:rsidRDefault="001C2557" w:rsidP="001C2557">
      <w:pPr>
        <w:pStyle w:val="afe"/>
        <w:numPr>
          <w:ilvl w:val="0"/>
          <w:numId w:val="61"/>
        </w:numPr>
        <w:ind w:left="1134"/>
        <w:rPr>
          <w:bCs/>
          <w:szCs w:val="24"/>
        </w:rPr>
      </w:pPr>
      <w:r w:rsidRPr="004C1787">
        <w:rPr>
          <w:iCs/>
          <w:color w:val="000000"/>
          <w:szCs w:val="24"/>
        </w:rPr>
        <w:t>Магнитно-резонансная томография (МРТ)</w:t>
      </w:r>
      <w:r w:rsidRPr="004C1787">
        <w:rPr>
          <w:i/>
          <w:iCs/>
          <w:color w:val="000000"/>
          <w:szCs w:val="24"/>
        </w:rPr>
        <w:t xml:space="preserve"> </w:t>
      </w:r>
      <w:r w:rsidRPr="004C1787">
        <w:rPr>
          <w:szCs w:val="24"/>
        </w:rPr>
        <w:t>с внутривенным контрастным усилением головного мозга для выявления тромботических изменений в сосудах головного мозга, ишемических инсультов, кровоизлияний в головной мозг. МРТ органов грудной клетки и брюшной полости – при невозможности проведения КТ.</w:t>
      </w:r>
    </w:p>
    <w:p w14:paraId="7E1B0A90" w14:textId="77777777" w:rsidR="001C2557" w:rsidRPr="004C1787" w:rsidRDefault="001C2557" w:rsidP="001C2557">
      <w:pPr>
        <w:pStyle w:val="afe"/>
        <w:numPr>
          <w:ilvl w:val="0"/>
          <w:numId w:val="61"/>
        </w:numPr>
        <w:ind w:left="1134"/>
        <w:rPr>
          <w:bCs/>
          <w:szCs w:val="24"/>
        </w:rPr>
      </w:pPr>
      <w:r w:rsidRPr="004C1787">
        <w:rPr>
          <w:iCs/>
          <w:szCs w:val="24"/>
        </w:rPr>
        <w:t xml:space="preserve">Эзофагогастродуоденоскопия (ЭГДС) </w:t>
      </w:r>
      <w:r w:rsidRPr="004C1787">
        <w:rPr>
          <w:szCs w:val="24"/>
        </w:rPr>
        <w:t>с целью определения наличия варикозно расширенных вен пищевода и желудка даже при отсутствии симптоматики портальной гипертензии (в том числе и портальной гипертензионной гастропатии). Этот метод исследования может носить как диагностический, так и лечебный характер в отношении источника возникшего кровотечения. Желудочно-кишечное кровотечение, в том числе и анамнестическое, должно рассматриваться как абсолютное показание к неотложному эндоскопическому исследованию, которое тем эффективнее, чем раньше выполнено от начала кровотечения. Очень важным моментом диагностической ЭГДС является определение источника кровотечения: варикозно расширенные вены пищевода и/или язвы желудка или двенадцатиперстной кишки, а</w:t>
      </w:r>
      <w:r w:rsidRPr="004C1787">
        <w:rPr>
          <w:i/>
          <w:color w:val="4472C4" w:themeColor="accent5"/>
          <w:szCs w:val="24"/>
        </w:rPr>
        <w:t xml:space="preserve"> </w:t>
      </w:r>
      <w:r w:rsidRPr="004C1787">
        <w:rPr>
          <w:szCs w:val="24"/>
        </w:rPr>
        <w:t>также оценка степени</w:t>
      </w:r>
      <w:r w:rsidRPr="004C1787">
        <w:rPr>
          <w:i/>
          <w:color w:val="4472C4" w:themeColor="accent5"/>
          <w:szCs w:val="24"/>
        </w:rPr>
        <w:t xml:space="preserve"> </w:t>
      </w:r>
      <w:r w:rsidRPr="004C1787">
        <w:rPr>
          <w:szCs w:val="24"/>
        </w:rPr>
        <w:t>устойчивости гемостаза из обнаруженных источников. Исследование выполняется всем пациентам на этапе диагностики, далее проводится мониторинг при выявлении патологии каждые 6 месяцев, и по показаниям.</w:t>
      </w:r>
    </w:p>
    <w:p w14:paraId="6E713384" w14:textId="77777777" w:rsidR="001C2557" w:rsidRPr="004C1787" w:rsidRDefault="001C2557" w:rsidP="001C2557">
      <w:pPr>
        <w:pStyle w:val="afe"/>
        <w:numPr>
          <w:ilvl w:val="0"/>
          <w:numId w:val="61"/>
        </w:numPr>
        <w:ind w:left="1134"/>
        <w:rPr>
          <w:bCs/>
          <w:szCs w:val="24"/>
        </w:rPr>
      </w:pPr>
      <w:r w:rsidRPr="004C1787">
        <w:rPr>
          <w:iCs/>
          <w:szCs w:val="24"/>
        </w:rPr>
        <w:t xml:space="preserve">Рентгенологическое исследование пищевода и желудка </w:t>
      </w:r>
      <w:r w:rsidRPr="004C1787">
        <w:rPr>
          <w:szCs w:val="24"/>
        </w:rPr>
        <w:t xml:space="preserve">позволяет определить протяжённость варикозного расширения вен по длине пищевода, состояние нижнего пищеводного сфинктера и его функциональные возможности (по показаниям).  </w:t>
      </w:r>
    </w:p>
    <w:p w14:paraId="07D23CE0" w14:textId="77777777" w:rsidR="001C2557" w:rsidRPr="004C1787" w:rsidRDefault="001C2557" w:rsidP="001C2557">
      <w:pPr>
        <w:pStyle w:val="afe"/>
        <w:numPr>
          <w:ilvl w:val="0"/>
          <w:numId w:val="61"/>
        </w:numPr>
        <w:ind w:left="1134"/>
        <w:rPr>
          <w:bCs/>
          <w:szCs w:val="24"/>
        </w:rPr>
      </w:pPr>
      <w:r w:rsidRPr="004C1787">
        <w:rPr>
          <w:szCs w:val="24"/>
        </w:rPr>
        <w:t>Контрастные артерио- и венографии выявляют локализацию и анатомические особенности тромботических процессов.</w:t>
      </w:r>
    </w:p>
    <w:p w14:paraId="277622D6" w14:textId="77777777" w:rsidR="001C2557" w:rsidRPr="004C1787" w:rsidRDefault="001C2557" w:rsidP="001C2557">
      <w:pPr>
        <w:pStyle w:val="afe"/>
        <w:numPr>
          <w:ilvl w:val="0"/>
          <w:numId w:val="61"/>
        </w:numPr>
        <w:ind w:left="1134"/>
        <w:rPr>
          <w:bCs/>
          <w:szCs w:val="24"/>
        </w:rPr>
      </w:pPr>
      <w:r w:rsidRPr="004C1787">
        <w:rPr>
          <w:szCs w:val="24"/>
        </w:rPr>
        <w:t>ЭхоКГ для оценки легочной гипертензии.</w:t>
      </w:r>
    </w:p>
    <w:p w14:paraId="7A232DD3" w14:textId="77777777" w:rsidR="001C2557" w:rsidRPr="004C1787" w:rsidRDefault="001C2557" w:rsidP="001C2557">
      <w:pPr>
        <w:pStyle w:val="afe"/>
        <w:numPr>
          <w:ilvl w:val="0"/>
          <w:numId w:val="61"/>
        </w:numPr>
        <w:ind w:left="1134"/>
        <w:rPr>
          <w:bCs/>
          <w:szCs w:val="24"/>
        </w:rPr>
      </w:pPr>
      <w:r>
        <w:t>Для установления объема опухолевого поражения и степени компрессии сосудов опухолью возможно проведение по показаниям КТ и УЗИ органов и полостей.</w:t>
      </w:r>
    </w:p>
    <w:p w14:paraId="32A1FFCC" w14:textId="77777777" w:rsidR="001C2557" w:rsidRDefault="001C2557" w:rsidP="001C2557">
      <w:pPr>
        <w:pStyle w:val="Numlist"/>
        <w:spacing w:line="360" w:lineRule="auto"/>
        <w:ind w:firstLine="709"/>
        <w:jc w:val="both"/>
        <w:rPr>
          <w:b/>
        </w:rPr>
      </w:pPr>
    </w:p>
    <w:p w14:paraId="0BDF109A" w14:textId="54DF1812" w:rsidR="001C2557" w:rsidRDefault="001C2557" w:rsidP="001C2557">
      <w:pPr>
        <w:pStyle w:val="Numlist"/>
        <w:spacing w:line="360" w:lineRule="auto"/>
        <w:ind w:firstLine="709"/>
        <w:jc w:val="both"/>
      </w:pPr>
      <w:r w:rsidRPr="004C1787">
        <w:rPr>
          <w:bCs/>
          <w:i/>
          <w:iCs/>
        </w:rPr>
        <w:t>Консультации специалистов</w:t>
      </w:r>
      <w:r>
        <w:t xml:space="preserve"> проводятся при необходимости уточнения тактики ведения пациентов с тромботическими осложнениями. По показаниям возможны консультации: ангиохирурга, травматолога-ортопеда, хирурга, уролога, невролога, кардиолога, ревматолога, оториноларинголога, гепатолога и др. специалистов </w:t>
      </w:r>
      <w:r>
        <w:fldChar w:fldCharType="begin" w:fldLock="1"/>
      </w:r>
      <w:r w:rsidR="002F7BDD">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[89]","plainTextFormattedCitation":"[89]","previouslyFormattedCitation":"[89]"},"properties":{"noteIndex":0},"schema":"https://github.com/citation-style-language/schema/raw/master/csl-citation.json"}</w:instrText>
      </w:r>
      <w:r>
        <w:fldChar w:fldCharType="separate"/>
      </w:r>
      <w:r w:rsidR="00D70CEE" w:rsidRPr="00D70CEE">
        <w:rPr>
          <w:noProof/>
        </w:rPr>
        <w:t>[89]</w:t>
      </w:r>
      <w:r>
        <w:fldChar w:fldCharType="end"/>
      </w:r>
      <w:r>
        <w:t>.</w:t>
      </w:r>
    </w:p>
    <w:p w14:paraId="078C8F1C" w14:textId="77777777" w:rsidR="001C2557" w:rsidRDefault="001C2557" w:rsidP="001C2557">
      <w:pPr>
        <w:rPr>
          <w:b/>
          <w:szCs w:val="24"/>
        </w:rPr>
      </w:pPr>
    </w:p>
    <w:p w14:paraId="365ACA43" w14:textId="77777777" w:rsidR="001C2557" w:rsidRPr="004C1787" w:rsidRDefault="001C2557" w:rsidP="001C2557">
      <w:pPr>
        <w:rPr>
          <w:bCs/>
          <w:i/>
          <w:iCs/>
          <w:szCs w:val="24"/>
          <w:u w:val="single"/>
        </w:rPr>
      </w:pPr>
      <w:r w:rsidRPr="004C1787">
        <w:rPr>
          <w:bCs/>
          <w:i/>
          <w:iCs/>
          <w:szCs w:val="24"/>
          <w:u w:val="single"/>
        </w:rPr>
        <w:t xml:space="preserve">Общие принципы профилактики ВТЭО у гематологических больных. </w:t>
      </w:r>
    </w:p>
    <w:p w14:paraId="540E42CE" w14:textId="77777777" w:rsidR="001C2557" w:rsidRDefault="001C2557" w:rsidP="001C2557">
      <w:pPr>
        <w:pStyle w:val="Numlist"/>
        <w:spacing w:line="360" w:lineRule="auto"/>
        <w:jc w:val="both"/>
      </w:pPr>
      <w:r>
        <w:t>Риск тромботических осложнений при проведении ХТ может быть высоким и низким. На высокий риск развития тромботических нарушений указывают тромбозы в анамнезе; привычное невынашивание беременности; одновременное выявление трех и более показателей, характеризующих гиперкоагуляционное состояние, а именно укорочение (замедление) АЧТВ, повышение концентрации протромбина, фибриногена, D-димера, угнетение (замедление) XIIa-зависимого фибринолиза; повышение количества тромбоцитов и их агрегабельности; гиперкоагуляция при тромбоэластографии, тромбодинамике, в тесте определения тромбинового потенциала; генетические тромбофилии (мутации генов протромбина G20210A, фактора V Лейден); дефицит АТ III, протеина С и протеина S; гипергомоцистеинемия; наличие АФС; применение овариопротекторов и глюкокортикоидов.</w:t>
      </w:r>
    </w:p>
    <w:p w14:paraId="4225CA34" w14:textId="77777777" w:rsidR="001C2557" w:rsidRPr="00F855C8" w:rsidRDefault="001C2557" w:rsidP="001C2557">
      <w:pPr>
        <w:rPr>
          <w:szCs w:val="24"/>
        </w:rPr>
      </w:pPr>
      <w:r>
        <w:rPr>
          <w:szCs w:val="24"/>
        </w:rPr>
        <w:t>С целью определения тактики ведения пациента у</w:t>
      </w:r>
      <w:r w:rsidRPr="00F855C8">
        <w:rPr>
          <w:szCs w:val="24"/>
        </w:rPr>
        <w:t xml:space="preserve"> каждого больного должна быть оценена степень риска развития ВТЭО; у больных, получающих лекарственную противоопухолевую терапию, следует учитывать до</w:t>
      </w:r>
      <w:r>
        <w:rPr>
          <w:szCs w:val="24"/>
        </w:rPr>
        <w:t>полнительные факторы риска ВТЭО.</w:t>
      </w:r>
      <w:r w:rsidRPr="00F855C8">
        <w:rPr>
          <w:szCs w:val="24"/>
        </w:rPr>
        <w:t xml:space="preserve"> </w:t>
      </w:r>
    </w:p>
    <w:p w14:paraId="3ECAFFE9" w14:textId="5D7A8BC4" w:rsidR="001C2557" w:rsidRPr="00111FC7" w:rsidRDefault="001C2557" w:rsidP="001C2557">
      <w:pPr>
        <w:ind w:firstLine="708"/>
        <w:rPr>
          <w:szCs w:val="24"/>
        </w:rPr>
      </w:pPr>
      <w:r w:rsidRPr="00111FC7">
        <w:rPr>
          <w:szCs w:val="24"/>
        </w:rPr>
        <w:t>Профилактические мероприятия следует проводить у всех больных, относящихся к группам риска</w:t>
      </w:r>
      <w:r>
        <w:rPr>
          <w:szCs w:val="24"/>
        </w:rPr>
        <w:t xml:space="preserve"> </w:t>
      </w:r>
      <w:r>
        <w:fldChar w:fldCharType="begin" w:fldLock="1"/>
      </w:r>
      <w:r w:rsidR="002F7BDD">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[89,90]","plainTextFormattedCitation":"[89,90]","previouslyFormattedCitation":"[89,90]"},"properties":{"noteIndex":0},"schema":"https://github.com/citation-style-language/schema/raw/master/csl-citation.json"}</w:instrText>
      </w:r>
      <w:r>
        <w:fldChar w:fldCharType="separate"/>
      </w:r>
      <w:r w:rsidR="00D70CEE" w:rsidRPr="00D70CEE">
        <w:rPr>
          <w:noProof/>
        </w:rPr>
        <w:t>[89,90]</w:t>
      </w:r>
      <w:r>
        <w:fldChar w:fldCharType="end"/>
      </w:r>
      <w:r w:rsidRPr="00111FC7">
        <w:rPr>
          <w:szCs w:val="24"/>
        </w:rPr>
        <w:t>:</w:t>
      </w:r>
    </w:p>
    <w:p w14:paraId="0CC87161" w14:textId="77777777" w:rsidR="001C2557" w:rsidRDefault="001C2557" w:rsidP="001C2557">
      <w:pPr>
        <w:pStyle w:val="afe"/>
        <w:numPr>
          <w:ilvl w:val="0"/>
          <w:numId w:val="52"/>
        </w:numPr>
        <w:rPr>
          <w:szCs w:val="24"/>
        </w:rPr>
      </w:pPr>
      <w:r>
        <w:rPr>
          <w:szCs w:val="24"/>
        </w:rPr>
        <w:t>обеспечение максимально возможной активности мышц нижних конечностей пациентов, находящихся на длительном постельном режиме, местные процедуры, увеличивающие объемный поток крови через глубокие вены нижних конечностей (эластическая компрессия нижних конечностей, перемежающаяся пневмокомпрессия, венозный насос для стопы);</w:t>
      </w:r>
    </w:p>
    <w:p w14:paraId="00B240A7" w14:textId="77777777" w:rsidR="001C2557" w:rsidRDefault="001C2557" w:rsidP="001C2557">
      <w:pPr>
        <w:pStyle w:val="afe"/>
        <w:numPr>
          <w:ilvl w:val="0"/>
          <w:numId w:val="52"/>
        </w:numPr>
        <w:rPr>
          <w:szCs w:val="24"/>
        </w:rPr>
      </w:pPr>
      <w:r>
        <w:rPr>
          <w:szCs w:val="24"/>
        </w:rPr>
        <w:t>массаж, активные и пассивные нагрузки на верхние конечности, улучшающие циркуляцию крови; механические способы профилактики (компрессионный трикотаж, перемежающаяся пневматическая компрессия);</w:t>
      </w:r>
    </w:p>
    <w:p w14:paraId="5166F2CD" w14:textId="77777777" w:rsidR="001C2557" w:rsidRPr="0019724D" w:rsidRDefault="001C2557" w:rsidP="001C2557">
      <w:pPr>
        <w:pStyle w:val="afe"/>
        <w:numPr>
          <w:ilvl w:val="0"/>
          <w:numId w:val="52"/>
        </w:numPr>
        <w:rPr>
          <w:szCs w:val="24"/>
        </w:rPr>
      </w:pPr>
      <w:r>
        <w:rPr>
          <w:szCs w:val="24"/>
        </w:rPr>
        <w:t>о</w:t>
      </w:r>
      <w:r w:rsidRPr="0019724D">
        <w:rPr>
          <w:szCs w:val="24"/>
        </w:rPr>
        <w:t xml:space="preserve">собенно важно применять механические способы профилактики при наличии противопоказаний к использованию антикоагулянтов; </w:t>
      </w:r>
    </w:p>
    <w:p w14:paraId="757D7BC9" w14:textId="77777777" w:rsidR="001C2557" w:rsidRDefault="001C2557" w:rsidP="001C2557">
      <w:pPr>
        <w:pStyle w:val="afe"/>
        <w:numPr>
          <w:ilvl w:val="0"/>
          <w:numId w:val="52"/>
        </w:numPr>
        <w:rPr>
          <w:szCs w:val="24"/>
        </w:rPr>
      </w:pPr>
      <w:r>
        <w:rPr>
          <w:szCs w:val="24"/>
        </w:rPr>
        <w:t>у больных с крайне высоким риском ВТЭО медикаментозная и механическая профилактика должны сочетаться;</w:t>
      </w:r>
    </w:p>
    <w:p w14:paraId="6A02C71A" w14:textId="77777777" w:rsidR="001C2557" w:rsidRDefault="001C2557" w:rsidP="001C2557">
      <w:pPr>
        <w:pStyle w:val="afe"/>
        <w:numPr>
          <w:ilvl w:val="0"/>
          <w:numId w:val="52"/>
        </w:numPr>
        <w:rPr>
          <w:szCs w:val="24"/>
        </w:rPr>
      </w:pPr>
      <w:r>
        <w:rPr>
          <w:szCs w:val="24"/>
        </w:rPr>
        <w:t xml:space="preserve">проведение лекарственной тромбопрофилактики прямыми (парентеральными и пероральными) и непрямыми антикоагулянтами; </w:t>
      </w:r>
    </w:p>
    <w:p w14:paraId="079D1EAB" w14:textId="77777777" w:rsidR="001C2557" w:rsidRDefault="001C2557" w:rsidP="001C2557">
      <w:pPr>
        <w:pStyle w:val="afe"/>
        <w:numPr>
          <w:ilvl w:val="0"/>
          <w:numId w:val="52"/>
        </w:numPr>
        <w:rPr>
          <w:szCs w:val="24"/>
        </w:rPr>
      </w:pPr>
      <w:r>
        <w:rPr>
          <w:szCs w:val="24"/>
        </w:rPr>
        <w:t xml:space="preserve">наличие острого кровотечения является абсолютным противопоказанием к назначению препаратов антикоагулянтного, антитромботического и антиагрегантного действия; </w:t>
      </w:r>
    </w:p>
    <w:p w14:paraId="31AE4104" w14:textId="77777777" w:rsidR="001C2557" w:rsidRDefault="001C2557" w:rsidP="001C2557">
      <w:pPr>
        <w:pStyle w:val="afe"/>
        <w:numPr>
          <w:ilvl w:val="0"/>
          <w:numId w:val="52"/>
        </w:numPr>
        <w:rPr>
          <w:szCs w:val="24"/>
        </w:rPr>
      </w:pPr>
      <w:r>
        <w:rPr>
          <w:szCs w:val="24"/>
        </w:rPr>
        <w:t xml:space="preserve">установка кава-фильтра в нижней полой вене при повторных ТЭЛА при применении адекватной схемы антикоагулянтной лекарственной профилактики;  </w:t>
      </w:r>
    </w:p>
    <w:p w14:paraId="05010774" w14:textId="77777777" w:rsidR="001C2557" w:rsidRDefault="001C2557" w:rsidP="001C2557">
      <w:pPr>
        <w:pStyle w:val="afe"/>
        <w:numPr>
          <w:ilvl w:val="0"/>
          <w:numId w:val="52"/>
        </w:numPr>
        <w:rPr>
          <w:szCs w:val="24"/>
        </w:rPr>
      </w:pPr>
      <w:r>
        <w:rPr>
          <w:szCs w:val="24"/>
        </w:rPr>
        <w:t xml:space="preserve">у пациентов после оперативных вмешательств - максимальная и возможно более ранняя активизация, включая методы пассивной нагрузки. </w:t>
      </w:r>
    </w:p>
    <w:p w14:paraId="1387AE2E" w14:textId="77777777" w:rsidR="001C2557" w:rsidRDefault="001C2557" w:rsidP="001C2557">
      <w:pPr>
        <w:pStyle w:val="afe"/>
        <w:numPr>
          <w:ilvl w:val="0"/>
          <w:numId w:val="51"/>
        </w:numPr>
        <w:rPr>
          <w:szCs w:val="24"/>
        </w:rPr>
      </w:pPr>
      <w:r>
        <w:rPr>
          <w:szCs w:val="24"/>
        </w:rPr>
        <w:t>Проводить профилактику следует до тех пор, пока сохраняется высокий риск развития тромботических осложнений (месяцы и годы).</w:t>
      </w:r>
    </w:p>
    <w:p w14:paraId="5731E7A9" w14:textId="77777777" w:rsidR="001C2557" w:rsidRDefault="001C2557" w:rsidP="001C2557">
      <w:pPr>
        <w:pStyle w:val="3"/>
        <w:keepLines w:val="0"/>
        <w:spacing w:before="0"/>
        <w:rPr>
          <w:rFonts w:ascii="Times New Roman" w:hAnsi="Times New Roman"/>
          <w:b/>
          <w:bCs/>
          <w:i/>
          <w:iCs/>
          <w:color w:val="auto"/>
          <w:u w:val="single"/>
          <w:lang w:eastAsia="ru-RU"/>
        </w:rPr>
      </w:pPr>
    </w:p>
    <w:p w14:paraId="30912D24" w14:textId="77777777" w:rsidR="001C2557" w:rsidRPr="00F149A1" w:rsidRDefault="001C2557" w:rsidP="001C2557">
      <w:pPr>
        <w:pStyle w:val="afd"/>
        <w:spacing w:beforeAutospacing="0" w:afterAutospacing="0" w:line="360" w:lineRule="auto"/>
        <w:rPr>
          <w:i/>
          <w:iCs/>
          <w:u w:val="single"/>
        </w:rPr>
      </w:pPr>
      <w:r w:rsidRPr="00F149A1">
        <w:rPr>
          <w:i/>
          <w:iCs/>
          <w:u w:val="single"/>
        </w:rPr>
        <w:t>Профилактика и лечение тромботических нарушений у онкогематологических пациентов.</w:t>
      </w:r>
    </w:p>
    <w:p w14:paraId="4C7D8363" w14:textId="22903688" w:rsidR="001C2557" w:rsidRDefault="001C2557" w:rsidP="001C2557">
      <w:pPr>
        <w:ind w:firstLine="360"/>
        <w:contextualSpacing/>
        <w:rPr>
          <w:rFonts w:eastAsia="Times New Roman"/>
          <w:szCs w:val="24"/>
          <w:lang w:eastAsia="ru-RU"/>
        </w:rPr>
      </w:pPr>
      <w:r>
        <w:rPr>
          <w:rFonts w:eastAsia="Times New Roman"/>
          <w:szCs w:val="24"/>
          <w:lang w:eastAsia="ru-RU"/>
        </w:rPr>
        <w:t xml:space="preserve">При выявлении ВТЭО и определении его давности, локализации, распространенности, назначается соответствующая терапия </w:t>
      </w:r>
      <w:r>
        <w:fldChar w:fldCharType="begin" w:fldLock="1"/>
      </w:r>
      <w:r w:rsidR="002F7BDD">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[89,90]","plainTextFormattedCitation":"[89,90]","previouslyFormattedCitation":"[89,90]"},"properties":{"noteIndex":0},"schema":"https://github.com/citation-style-language/schema/raw/master/csl-citation.json"}</w:instrText>
      </w:r>
      <w:r>
        <w:fldChar w:fldCharType="separate"/>
      </w:r>
      <w:r w:rsidR="00D70CEE" w:rsidRPr="00D70CEE">
        <w:rPr>
          <w:noProof/>
        </w:rPr>
        <w:t>[89,90]</w:t>
      </w:r>
      <w:r>
        <w:fldChar w:fldCharType="end"/>
      </w:r>
      <w:r>
        <w:rPr>
          <w:rFonts w:eastAsia="Times New Roman"/>
          <w:szCs w:val="24"/>
          <w:lang w:eastAsia="ru-RU"/>
        </w:rPr>
        <w:t>. Терапия должна проводиться в течение всего периода проведения специфической терапии основного гематологического заболевания в стационарных и/или амбулаторных условиях. Пациенты с острыми тромбозами чаще всего нуждаются в госпитализации в стационар.</w:t>
      </w:r>
    </w:p>
    <w:p w14:paraId="0626477B" w14:textId="77777777" w:rsidR="001C2557" w:rsidRDefault="001C2557" w:rsidP="001C2557">
      <w:pPr>
        <w:rPr>
          <w:rFonts w:eastAsia="Times New Roman"/>
          <w:szCs w:val="24"/>
          <w:u w:val="single"/>
          <w:lang w:eastAsia="ru-RU"/>
        </w:rPr>
      </w:pPr>
    </w:p>
    <w:p w14:paraId="0590FD59" w14:textId="77777777" w:rsidR="001C2557" w:rsidRDefault="001C2557" w:rsidP="001C2557">
      <w:pPr>
        <w:rPr>
          <w:rFonts w:eastAsia="Times New Roman"/>
          <w:szCs w:val="24"/>
          <w:u w:val="single"/>
          <w:lang w:eastAsia="ru-RU"/>
        </w:rPr>
      </w:pPr>
      <w:r>
        <w:rPr>
          <w:rFonts w:eastAsia="Times New Roman"/>
          <w:szCs w:val="24"/>
          <w:u w:val="single"/>
          <w:lang w:eastAsia="ru-RU"/>
        </w:rPr>
        <w:t>Медикаментозная терапия.</w:t>
      </w:r>
    </w:p>
    <w:p w14:paraId="2653F3A2" w14:textId="2566C111" w:rsidR="001C2557" w:rsidRPr="003F7AC3" w:rsidRDefault="001C2557" w:rsidP="001C2557">
      <w:pPr>
        <w:ind w:firstLine="708"/>
        <w:rPr>
          <w:rFonts w:eastAsia="Times New Roman"/>
          <w:szCs w:val="24"/>
          <w:lang w:eastAsia="ru-RU"/>
        </w:rPr>
      </w:pPr>
      <w:r w:rsidRPr="003F7AC3">
        <w:rPr>
          <w:rFonts w:eastAsia="Times New Roman"/>
          <w:szCs w:val="24"/>
          <w:lang w:eastAsia="ru-RU"/>
        </w:rPr>
        <w:t>1) Антикоагулянтная терапия</w:t>
      </w:r>
      <w:r>
        <w:rPr>
          <w:rFonts w:eastAsia="Times New Roman"/>
          <w:szCs w:val="24"/>
          <w:lang w:eastAsia="ru-RU"/>
        </w:rPr>
        <w:t xml:space="preserve"> </w:t>
      </w:r>
      <w:r>
        <w:fldChar w:fldCharType="begin" w:fldLock="1"/>
      </w:r>
      <w:r w:rsidR="002F7BDD">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терапия","type":"article-journal","volume":"61"},"uris":["http://www.mendeley.com/documents/?uuid=9198cd60-8a8e-46bc-9cfc-b0a20a2d96ea"]},{"id":"ITEM-2","itemData":{"DOI":"10.1016/j.critrevonc.2018.02.003","ISSN":"18790461","PMID":"29548485","abstract":"Venous Thromboembolism (VTE) frequently complicates the course of hematologic malignancies (HM) and its incidence is similar to that observed in high-risk solid tumors. Despite that, pharmacologic prophylaxis and treatment of VTE in patients with HM is challenging, mainly because a severe thrombocytopenia frequently complicates the course of treatments or may be present since diagnosis, thus increasing the risk of bleeding. Therefore, in this setting, safe and effective methods of VTE prophylaxis and treatment have not been well defined and hematologists generally refer to guidelines produced for cancer patients that give indications on anticoagulation in patients with thrombocytopenia. In this review, besides to summarize the incidence and the available data on prophylaxis and treatment of VTE in HM, we give some advices on how to use antithrombotic drugs in patients with HM according to platelets count.","author":[{"dropping-particle":"","family":"Annibali","given":"Ombretta","non-dropping-particle":"","parse-names":false,"suffix":""},{"dropping-particle":"","family":"Napolitano","given":"Mariasanta","non-dropping-particle":"","parse-names":false,"suffix":""},{"dropping-particle":"","family":"Avvisati","given":"Giuseppe","non-dropping-particle":"","parse-names":false,"suffix":""},{"dropping-particle":"","family":"Siragusa","given":"Sergio","non-dropping-particle":"","parse-names":false,"suffix":""}],"container-title":"Critical Reviews in Oncology/Hematology","id":"ITEM-2","issued":{"date-parts":[["2018","4","1"]]},"page":"41-50","publisher":"Elsevier Ireland Ltd","title":"Incidence of venous thromboembolism and use of anticoagulation in hematological malignancies: Critical review of the literature","type":"article","volume":"124"},"uris":["http://www.mendeley.com/documents/?uuid=22f80e37-ad15-39e0-a4bd-123ad1adb983"]},{"id":"ITEM-3","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-3","issued":{"date-parts":[["2010"]]},"number-of-pages":"192","title":"Практическая коагулология","type":"book"},"uris":["http://www.mendeley.com/documents/?uuid=36d7b04e-d654-47d2-a073-3cc2bb6e80ce"]}],"mendeley":{"formattedCitation":"[87,89,90]","plainTextFormattedCitation":"[87,89,90]","previouslyFormattedCitation":"[87,89,90]"},"properties":{"noteIndex":0},"schema":"https://github.com/citation-style-language/schema/raw/master/csl-citation.json"}</w:instrText>
      </w:r>
      <w:r>
        <w:fldChar w:fldCharType="separate"/>
      </w:r>
      <w:r w:rsidR="00D70CEE" w:rsidRPr="00D70CEE">
        <w:rPr>
          <w:noProof/>
        </w:rPr>
        <w:t>[87,89,90]</w:t>
      </w:r>
      <w:r>
        <w:fldChar w:fldCharType="end"/>
      </w:r>
      <w:r>
        <w:rPr>
          <w:rFonts w:eastAsia="Times New Roman"/>
          <w:szCs w:val="24"/>
          <w:lang w:eastAsia="ru-RU"/>
        </w:rPr>
        <w:t>.</w:t>
      </w:r>
    </w:p>
    <w:p w14:paraId="7DB65F72" w14:textId="612A0031" w:rsidR="001C2557" w:rsidRDefault="001C2557" w:rsidP="001C2557">
      <w:pPr>
        <w:widowControl w:val="0"/>
        <w:rPr>
          <w:rFonts w:eastAsia="Times New Roman"/>
          <w:szCs w:val="24"/>
          <w:lang w:eastAsia="ru-RU"/>
        </w:rPr>
      </w:pPr>
      <w:r>
        <w:rPr>
          <w:rFonts w:eastAsia="Times New Roman"/>
          <w:szCs w:val="24"/>
          <w:lang w:eastAsia="ru-RU"/>
        </w:rPr>
        <w:t>Осуществляется лечение нефракционированным гепарином (НФГ), предпочтительно путем постоянного внутривенного введения при помощи инфузомата</w:t>
      </w:r>
      <w:r w:rsidRPr="00987C04">
        <w:rPr>
          <w:rFonts w:eastAsia="Times New Roman"/>
          <w:szCs w:val="24"/>
          <w:lang w:eastAsia="ru-RU"/>
        </w:rPr>
        <w:t xml:space="preserve"> </w:t>
      </w:r>
      <w:r>
        <w:rPr>
          <w:rFonts w:eastAsia="Times New Roman"/>
          <w:szCs w:val="24"/>
          <w:lang w:eastAsia="ru-RU"/>
        </w:rPr>
        <w:fldChar w:fldCharType="begin" w:fldLock="1"/>
      </w:r>
      <w:r w:rsidR="002F7BDD">
        <w:rPr>
          <w:rFonts w:eastAsia="Times New Roman"/>
          <w:szCs w:val="24"/>
          <w:lang w:eastAsia="ru-RU"/>
        </w:rPr>
        <w:instrText>ADDIN CSL_CITATION {"citationItems":[{"id":"ITEM-1","itemData":{"author":[{"dropping-particle":"","family":"Weitz","given":"I. C.","non-dropping-particle":"","parse-names":false,"suffix":""},{"dropping-particle":"","family":"Israel","given":"V. K.","non-dropping-particle":"","parse-names":false,"suffix":""},{"dropping-particle":"","family":"Waisman","given":"James R","non-dropping-particle":"","parse-names":false,"suffix":""},{"dropping-particle":"","family":"Presant","given":"Cary A","non-dropping-particle":"","parse-names":false,"suffix":""},{"dropping-particle":"","family":"Rochanda","given":"Leanne","non-dropping-particle":"","parse-names":false,"suffix":""},{"dropping-particle":"","family":"Liebman","given":"Howard A","non-dropping-particle":"","parse-names":false,"suffix":""}],"container-title":"Thrombosis and Haemostasis","id":"ITEM-1","issue":"2","issued":{"date-parts":[["2002"]]},"page":"213-220","title":"Chemotherapy-induced activation of hemostasis: effect of a low molecular weight heparin (dalteparin sodium) on plasma markers of hemostatic activation","type":"article-journal","volume":"88"},"uris":["http://www.mendeley.com/documents/?uuid=4bd2d375-bafa-4614-b494-989a99e4214d"]}],"mendeley":{"formattedCitation":"[92]","plainTextFormattedCitation":"[92]","previouslyFormattedCitation":"[92]"},"properties":{"noteIndex":0},"schema":"https://github.com/citation-style-language/schema/raw/master/csl-citation.json"}</w:instrText>
      </w:r>
      <w:r>
        <w:rPr>
          <w:rFonts w:eastAsia="Times New Roman"/>
          <w:szCs w:val="24"/>
          <w:lang w:eastAsia="ru-RU"/>
        </w:rPr>
        <w:fldChar w:fldCharType="separate"/>
      </w:r>
      <w:r w:rsidR="00D70CEE" w:rsidRPr="00D70CEE">
        <w:rPr>
          <w:rFonts w:eastAsia="Times New Roman"/>
          <w:noProof/>
          <w:szCs w:val="24"/>
          <w:lang w:eastAsia="ru-RU"/>
        </w:rPr>
        <w:t>[92]</w:t>
      </w:r>
      <w:r>
        <w:rPr>
          <w:rFonts w:eastAsia="Times New Roman"/>
          <w:szCs w:val="24"/>
          <w:lang w:eastAsia="ru-RU"/>
        </w:rPr>
        <w:fldChar w:fldCharType="end"/>
      </w:r>
      <w:r>
        <w:rPr>
          <w:rFonts w:eastAsia="Times New Roman"/>
          <w:szCs w:val="24"/>
          <w:lang w:eastAsia="ru-RU"/>
        </w:rPr>
        <w:t xml:space="preserve">. Доза гепарина подбирается по АЧТВ, которое должно составлять 1,5-2 нормы. Начальная доза гепарина составляет 1000 МЕ/час. Профилактические и лечебные режимы введения НФГ представлены в таблицах 1 и 2. </w:t>
      </w:r>
    </w:p>
    <w:p w14:paraId="58789133" w14:textId="0CFF6485" w:rsidR="001C2557" w:rsidRDefault="001C2557" w:rsidP="001C2557">
      <w:pPr>
        <w:widowControl w:val="0"/>
        <w:rPr>
          <w:szCs w:val="24"/>
        </w:rPr>
      </w:pPr>
      <w:r>
        <w:rPr>
          <w:rFonts w:eastAsia="Times New Roman"/>
          <w:szCs w:val="24"/>
          <w:lang w:eastAsia="ru-RU"/>
        </w:rPr>
        <w:t>Если количество тромбоцитов в крови меньше 100 </w:t>
      </w:r>
      <w:r>
        <w:rPr>
          <w:szCs w:val="24"/>
        </w:rPr>
        <w:t>х 1</w:t>
      </w:r>
      <w:r>
        <w:rPr>
          <w:rFonts w:eastAsia="Times New Roman"/>
          <w:szCs w:val="24"/>
          <w:lang w:eastAsia="ru-RU"/>
        </w:rPr>
        <w:t>0</w:t>
      </w:r>
      <w:r>
        <w:rPr>
          <w:rFonts w:eastAsia="Times New Roman"/>
          <w:szCs w:val="24"/>
          <w:vertAlign w:val="superscript"/>
          <w:lang w:eastAsia="ru-RU"/>
        </w:rPr>
        <w:t>9</w:t>
      </w:r>
      <w:r>
        <w:rPr>
          <w:rFonts w:eastAsia="Times New Roman"/>
          <w:szCs w:val="24"/>
          <w:lang w:eastAsia="ru-RU"/>
        </w:rPr>
        <w:t>/л, дозу НФГ снижают вдвое; если меньше 50</w:t>
      </w:r>
      <w:r>
        <w:rPr>
          <w:szCs w:val="24"/>
        </w:rPr>
        <w:t>х1</w:t>
      </w:r>
      <w:r>
        <w:rPr>
          <w:rFonts w:eastAsia="Times New Roman"/>
          <w:szCs w:val="24"/>
          <w:lang w:eastAsia="ru-RU"/>
        </w:rPr>
        <w:t>0</w:t>
      </w:r>
      <w:r>
        <w:rPr>
          <w:rFonts w:eastAsia="Times New Roman"/>
          <w:szCs w:val="24"/>
          <w:vertAlign w:val="superscript"/>
          <w:lang w:eastAsia="ru-RU"/>
        </w:rPr>
        <w:t>9</w:t>
      </w:r>
      <w:r>
        <w:rPr>
          <w:rFonts w:eastAsia="Times New Roman"/>
          <w:szCs w:val="24"/>
          <w:lang w:eastAsia="ru-RU"/>
        </w:rPr>
        <w:t>/л, НФГ отменяют. При развитии геморрагического синдрома любой тяжести введение НФГ прекращают и вводят протамина сульфат или свежезамороженную плазму (СЗП) 10</w:t>
      </w:r>
      <w:r>
        <w:rPr>
          <w:i/>
          <w:szCs w:val="24"/>
        </w:rPr>
        <w:t>—</w:t>
      </w:r>
      <w:r>
        <w:rPr>
          <w:rFonts w:eastAsia="Times New Roman"/>
          <w:szCs w:val="24"/>
          <w:lang w:eastAsia="ru-RU"/>
        </w:rPr>
        <w:t xml:space="preserve">15 мл на кг массы тела. При гепаринотерапии обязателен контроль количества тромбоцитов в крови каждые 2-3 дня. В случае развития гепарин-индуцированной тромбоцитопении </w:t>
      </w:r>
      <w:r>
        <w:rPr>
          <w:rFonts w:eastAsia="Times New Roman"/>
          <w:szCs w:val="24"/>
          <w:lang w:val="en-US" w:eastAsia="ru-RU"/>
        </w:rPr>
        <w:t>II</w:t>
      </w:r>
      <w:r>
        <w:rPr>
          <w:rFonts w:eastAsia="Times New Roman"/>
          <w:szCs w:val="24"/>
          <w:lang w:eastAsia="ru-RU"/>
        </w:rPr>
        <w:t xml:space="preserve"> типа (ГИТ </w:t>
      </w:r>
      <w:r>
        <w:rPr>
          <w:rFonts w:eastAsia="Times New Roman"/>
          <w:szCs w:val="24"/>
          <w:lang w:val="en-US" w:eastAsia="ru-RU"/>
        </w:rPr>
        <w:t>II</w:t>
      </w:r>
      <w:r>
        <w:rPr>
          <w:rFonts w:eastAsia="Times New Roman"/>
          <w:szCs w:val="24"/>
          <w:lang w:eastAsia="ru-RU"/>
        </w:rPr>
        <w:t>) любые формы гепарина отменяются, не допускается промывка гепарином катетеров. При этом с антикоагулянтной целью применяются фондапаринукс или прямые оральные антикоагулянты (</w:t>
      </w:r>
      <w:r>
        <w:rPr>
          <w:szCs w:val="24"/>
        </w:rPr>
        <w:t>ривароксабан, дабигатран, апиксабан)</w:t>
      </w:r>
      <w:r w:rsidRPr="00E425CD">
        <w:rPr>
          <w:szCs w:val="24"/>
        </w:rPr>
        <w:t xml:space="preserve"> </w:t>
      </w:r>
      <w:r>
        <w:rPr>
          <w:szCs w:val="24"/>
        </w:rPr>
        <w:fldChar w:fldCharType="begin" w:fldLock="1"/>
      </w:r>
      <w:r w:rsidR="002F7BDD">
        <w:rPr>
          <w:szCs w:val="24"/>
        </w:rPr>
        <w:instrText>ADDIN CSL_CITATION {"citationItems":[{"id":"ITEM-1","itemData":{"DOI":"10.1016/j.thromres.2015.01.009","ISSN":"18792472","PMID":"25613925","abstract":"Background Heparin induced thrombocytopenia (HIT) is a potentially catastrophic syndrome with a high incidence of vascular thrombosis. There are little data on the efficacy of new oral anticoagulants (NOAC) in this setting. This study reports on the outcome of patients with HIT, treated with NOAC. Materials and Methods We retrospectively identified 22 patients with HIT who were treated by our group with a combination of NOAC and a short course of argatroban. These patients were evaluated in a prospective fashion for development of outcomes at a mean follow up of 19 ± 3 months. Results There were a total of 5 deep and 2 superficial vein thromboses diagnosed at index hospitalization. No patient developed arterial thrombosis. All patients tolerated NOAC and their platelet count normalized before discharge. At 19 months of follow-up, 6 patients had died of non-thrombotic causes. There was no bleeding, limb loss or recurrent venous thromboembolism in any patient. Conclusions In patients with HIT, a short course of parenteral treatment with argatroban followed by administration of a NOAC is highly safe and effective in prevention of thrombosis and normalization of platelet count. Development of HIT however, portends a poor prognosis independent of vascular thrombosis.","author":[{"dropping-particle":"","family":"Sharifi","given":"Mohsen","non-dropping-particle":"","parse-names":false,"suffix":""},{"dropping-particle":"","family":"Bay","given":"Curt","non-dropping-particle":"","parse-names":false,"suffix":""},{"dropping-particle":"","family":"Vajo","given":"Zoltan","non-dropping-particle":"","parse-names":false,"suffix":""},{"dropping-particle":"","family":"Freeman","given":"Wilbur","non-dropping-particle":"","parse-names":false,"suffix":""},{"dropping-particle":"","family":"Sharifi","given":"Mirali","non-dropping-particle":"","parse-names":false,"suffix":""},{"dropping-particle":"","family":"Schwartz","given":"Frederic","non-dropping-particle":"","parse-names":false,"suffix":""}],"container-title":"Thrombosis Research","id":"ITEM-1","issue":"4","issued":{"date-parts":[["2015","4","1"]]},"page":"607-609","publisher":"Elsevier Ltd","title":"New oral anticoagulants in the treatment of heparin- Induced thrombocytopenia","type":"article-journal","volume":"135"},"uris":["http://www.mendeley.com/documents/?uuid=c18762a2-54f4-3dcb-8daf-003be3aa9168"]}],"mendeley":{"formattedCitation":"[93]","plainTextFormattedCitation":"[93]","previouslyFormattedCitation":"[93]"},"properties":{"noteIndex":0},"schema":"https://github.com/citation-style-language/schema/raw/master/csl-citation.json"}</w:instrText>
      </w:r>
      <w:r>
        <w:rPr>
          <w:szCs w:val="24"/>
        </w:rPr>
        <w:fldChar w:fldCharType="separate"/>
      </w:r>
      <w:r w:rsidR="00D70CEE" w:rsidRPr="00D70CEE">
        <w:rPr>
          <w:noProof/>
          <w:szCs w:val="24"/>
        </w:rPr>
        <w:t>[93]</w:t>
      </w:r>
      <w:r>
        <w:rPr>
          <w:szCs w:val="24"/>
        </w:rPr>
        <w:fldChar w:fldCharType="end"/>
      </w:r>
      <w:r>
        <w:rPr>
          <w:szCs w:val="24"/>
        </w:rPr>
        <w:t xml:space="preserve">. </w:t>
      </w:r>
    </w:p>
    <w:p w14:paraId="246723E0" w14:textId="77777777" w:rsidR="001C2557" w:rsidRDefault="001C2557" w:rsidP="001C2557">
      <w:pPr>
        <w:widowControl w:val="0"/>
        <w:rPr>
          <w:szCs w:val="24"/>
        </w:rPr>
      </w:pPr>
      <w:r>
        <w:rPr>
          <w:szCs w:val="24"/>
        </w:rPr>
        <w:t>ГИТ необходимо дифференцировать с миелотоксической тромбоцитопенией. Дифференциальным признаком является панцитопения при миелотоксичности и изолированная тромбоцитопения при ГИТ. Изолированное снижение тромбоцитов может быть и при инфекционных осложнениях – как признак потребления при микротромбировании.</w:t>
      </w:r>
    </w:p>
    <w:p w14:paraId="23D813C1" w14:textId="77777777" w:rsidR="001C2557" w:rsidRDefault="001C2557" w:rsidP="001C2557">
      <w:pPr>
        <w:widowControl w:val="0"/>
        <w:rPr>
          <w:rFonts w:eastAsia="Times New Roman"/>
          <w:szCs w:val="24"/>
          <w:lang w:eastAsia="ru-RU"/>
        </w:rPr>
      </w:pPr>
      <w:r>
        <w:rPr>
          <w:rFonts w:eastAsia="Times New Roman"/>
          <w:szCs w:val="24"/>
          <w:lang w:eastAsia="ru-RU"/>
        </w:rPr>
        <w:t>Альтернативой НФГ является подкожное введение низкомолекулярного гепарина (НМГ). Доза подбирается из расчета 100 анти-</w:t>
      </w:r>
      <w:r>
        <w:rPr>
          <w:rFonts w:eastAsia="Times New Roman"/>
          <w:szCs w:val="24"/>
          <w:lang w:val="en-US" w:eastAsia="ru-RU"/>
        </w:rPr>
        <w:t>Xa</w:t>
      </w:r>
      <w:r>
        <w:rPr>
          <w:rFonts w:eastAsia="Times New Roman"/>
          <w:szCs w:val="24"/>
          <w:lang w:eastAsia="ru-RU"/>
        </w:rPr>
        <w:t xml:space="preserve"> МЕ на кг массы тела. Препарат НМГ вводится подкожно 1-2 раза в день. Профилактические и лечебные режимы введения НМГ представлены в таблицах 1 и 2. </w:t>
      </w:r>
    </w:p>
    <w:p w14:paraId="337AA29D" w14:textId="77777777" w:rsidR="001C2557" w:rsidRDefault="001C2557" w:rsidP="001C2557">
      <w:pPr>
        <w:rPr>
          <w:rFonts w:eastAsia="Times New Roman"/>
          <w:szCs w:val="24"/>
          <w:lang w:eastAsia="ru-RU"/>
        </w:rPr>
      </w:pPr>
      <w:r>
        <w:rPr>
          <w:rFonts w:eastAsia="Times New Roman"/>
          <w:szCs w:val="24"/>
          <w:lang w:eastAsia="ru-RU"/>
        </w:rPr>
        <w:t>Для контроля используется анти-</w:t>
      </w:r>
      <w:r>
        <w:rPr>
          <w:rFonts w:eastAsia="Times New Roman"/>
          <w:szCs w:val="24"/>
          <w:lang w:val="en-US" w:eastAsia="ru-RU"/>
        </w:rPr>
        <w:t>X</w:t>
      </w:r>
      <w:r>
        <w:rPr>
          <w:rFonts w:eastAsia="Times New Roman"/>
          <w:szCs w:val="24"/>
          <w:lang w:eastAsia="ru-RU"/>
        </w:rPr>
        <w:t>а активность, максимальный пик которой должен составлять 0,3-1,0 МЕ/мл через 3-4 часа после введения НМГ, а именно:</w:t>
      </w:r>
    </w:p>
    <w:p w14:paraId="02BD302A" w14:textId="77777777" w:rsidR="001C2557" w:rsidRDefault="001C2557" w:rsidP="001C2557">
      <w:pPr>
        <w:pStyle w:val="afe"/>
        <w:numPr>
          <w:ilvl w:val="0"/>
          <w:numId w:val="51"/>
        </w:numPr>
        <w:ind w:left="1134"/>
        <w:rPr>
          <w:szCs w:val="24"/>
        </w:rPr>
      </w:pPr>
      <w:r>
        <w:rPr>
          <w:szCs w:val="24"/>
        </w:rPr>
        <w:t xml:space="preserve">при профилактической дозе НМГ – 0,3-0,4 МЕ/мл плазмы, </w:t>
      </w:r>
    </w:p>
    <w:p w14:paraId="2EED678B" w14:textId="77777777" w:rsidR="001C2557" w:rsidRDefault="001C2557" w:rsidP="001C2557">
      <w:pPr>
        <w:pStyle w:val="afe"/>
        <w:numPr>
          <w:ilvl w:val="0"/>
          <w:numId w:val="53"/>
        </w:numPr>
        <w:ind w:left="1134"/>
        <w:rPr>
          <w:szCs w:val="24"/>
        </w:rPr>
      </w:pPr>
      <w:r>
        <w:rPr>
          <w:szCs w:val="24"/>
        </w:rPr>
        <w:t>при лечебной дозе НМГ при введении 2 р/сут – 0,5-1,0 МЕ/мл плазмы,</w:t>
      </w:r>
    </w:p>
    <w:p w14:paraId="64AA0062" w14:textId="77777777" w:rsidR="001C2557" w:rsidRDefault="001C2557" w:rsidP="001C2557">
      <w:pPr>
        <w:pStyle w:val="afe"/>
        <w:numPr>
          <w:ilvl w:val="0"/>
          <w:numId w:val="53"/>
        </w:numPr>
        <w:ind w:left="1134"/>
        <w:rPr>
          <w:szCs w:val="24"/>
        </w:rPr>
      </w:pPr>
      <w:r>
        <w:rPr>
          <w:szCs w:val="24"/>
        </w:rPr>
        <w:t>при лечебной дозе НМГ при введении 1 р/сут – 1,0-2,0 МЕ/мл плазмы.</w:t>
      </w:r>
    </w:p>
    <w:p w14:paraId="68DDABFB" w14:textId="77777777" w:rsidR="001C2557" w:rsidRDefault="001C2557" w:rsidP="001C2557">
      <w:pPr>
        <w:ind w:left="708"/>
        <w:rPr>
          <w:bCs/>
          <w:szCs w:val="24"/>
        </w:rPr>
      </w:pPr>
    </w:p>
    <w:p w14:paraId="1B1BAA1B" w14:textId="77777777" w:rsidR="001C2557" w:rsidRPr="00B46409" w:rsidRDefault="001C2557" w:rsidP="001C2557">
      <w:pPr>
        <w:ind w:firstLine="0"/>
        <w:rPr>
          <w:bCs/>
          <w:szCs w:val="24"/>
        </w:rPr>
      </w:pPr>
      <w:r>
        <w:rPr>
          <w:bCs/>
          <w:szCs w:val="24"/>
        </w:rPr>
        <w:t>Таблица 1</w:t>
      </w:r>
      <w:r w:rsidRPr="00B46409">
        <w:rPr>
          <w:bCs/>
          <w:szCs w:val="24"/>
        </w:rPr>
        <w:t xml:space="preserve">. Дозы антикоагулянтных препаратов </w:t>
      </w:r>
      <w:r w:rsidRPr="00B46409">
        <w:rPr>
          <w:bCs/>
          <w:iCs/>
          <w:szCs w:val="24"/>
        </w:rPr>
        <w:t>для профилактики</w:t>
      </w:r>
      <w:r>
        <w:rPr>
          <w:bCs/>
          <w:iCs/>
          <w:szCs w:val="24"/>
        </w:rPr>
        <w:t xml:space="preserve"> </w:t>
      </w:r>
      <w:r w:rsidRPr="00B46409">
        <w:rPr>
          <w:bCs/>
          <w:szCs w:val="24"/>
        </w:rPr>
        <w:t>тромботических осложнений</w:t>
      </w:r>
    </w:p>
    <w:tbl>
      <w:tblPr>
        <w:tblStyle w:val="1f8"/>
        <w:tblW w:w="867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998"/>
        <w:gridCol w:w="4678"/>
      </w:tblGrid>
      <w:tr w:rsidR="001C2557" w:rsidRPr="00B46409" w14:paraId="4DC1D00F" w14:textId="77777777" w:rsidTr="002D3EBF">
        <w:trPr>
          <w:trHeight w:val="452"/>
        </w:trPr>
        <w:tc>
          <w:tcPr>
            <w:tcW w:w="3998" w:type="dxa"/>
            <w:shd w:val="clear" w:color="auto" w:fill="auto"/>
          </w:tcPr>
          <w:p w14:paraId="0F599332" w14:textId="77777777" w:rsidR="001C2557" w:rsidRPr="00B46409" w:rsidRDefault="001C2557" w:rsidP="002D3EBF">
            <w:pPr>
              <w:ind w:firstLine="0"/>
              <w:jc w:val="center"/>
              <w:rPr>
                <w:rFonts w:cs="Times New Roman"/>
                <w:bCs/>
                <w:szCs w:val="24"/>
              </w:rPr>
            </w:pPr>
            <w:r w:rsidRPr="00B46409">
              <w:rPr>
                <w:rFonts w:eastAsiaTheme="majorEastAsia" w:cs="Times New Roman"/>
                <w:bCs/>
                <w:szCs w:val="24"/>
              </w:rPr>
              <w:t>Терапия</w:t>
            </w:r>
          </w:p>
        </w:tc>
        <w:tc>
          <w:tcPr>
            <w:tcW w:w="4678" w:type="dxa"/>
            <w:shd w:val="clear" w:color="auto" w:fill="auto"/>
          </w:tcPr>
          <w:p w14:paraId="7A70A047" w14:textId="77777777" w:rsidR="001C2557" w:rsidRPr="00B46409" w:rsidRDefault="001C2557" w:rsidP="002D3EBF">
            <w:pPr>
              <w:ind w:firstLine="0"/>
              <w:jc w:val="center"/>
              <w:rPr>
                <w:rFonts w:cs="Times New Roman"/>
                <w:bCs/>
                <w:szCs w:val="24"/>
              </w:rPr>
            </w:pPr>
            <w:r w:rsidRPr="00B46409">
              <w:rPr>
                <w:rFonts w:eastAsiaTheme="majorEastAsia" w:cs="Times New Roman"/>
                <w:bCs/>
                <w:szCs w:val="24"/>
              </w:rPr>
              <w:t>Дозы</w:t>
            </w:r>
          </w:p>
        </w:tc>
      </w:tr>
      <w:tr w:rsidR="001C2557" w:rsidRPr="00B46409" w14:paraId="4E40B83A" w14:textId="77777777" w:rsidTr="002D3EBF">
        <w:trPr>
          <w:trHeight w:val="452"/>
        </w:trPr>
        <w:tc>
          <w:tcPr>
            <w:tcW w:w="3998" w:type="dxa"/>
            <w:shd w:val="clear" w:color="auto" w:fill="auto"/>
          </w:tcPr>
          <w:p w14:paraId="1F57AA7D" w14:textId="77777777" w:rsidR="001C2557" w:rsidRPr="00B46409" w:rsidRDefault="001C2557" w:rsidP="002D3EBF">
            <w:pPr>
              <w:ind w:firstLine="0"/>
              <w:rPr>
                <w:rFonts w:cs="Times New Roman"/>
                <w:bCs/>
                <w:szCs w:val="24"/>
              </w:rPr>
            </w:pPr>
            <w:r w:rsidRPr="00B46409">
              <w:rPr>
                <w:rFonts w:eastAsiaTheme="majorEastAsia" w:cs="Times New Roman"/>
                <w:bCs/>
                <w:szCs w:val="24"/>
              </w:rPr>
              <w:t>Нефракционированный гепарин</w:t>
            </w:r>
          </w:p>
        </w:tc>
        <w:tc>
          <w:tcPr>
            <w:tcW w:w="4678" w:type="dxa"/>
            <w:shd w:val="clear" w:color="auto" w:fill="auto"/>
          </w:tcPr>
          <w:p w14:paraId="01344B7D" w14:textId="77777777" w:rsidR="001C2557" w:rsidRPr="00B46409" w:rsidRDefault="001C2557" w:rsidP="002D3EBF">
            <w:pPr>
              <w:ind w:firstLine="0"/>
              <w:rPr>
                <w:rFonts w:cs="Times New Roman"/>
                <w:bCs/>
                <w:szCs w:val="24"/>
              </w:rPr>
            </w:pPr>
            <w:r>
              <w:rPr>
                <w:rFonts w:eastAsiaTheme="majorEastAsia" w:cs="Times New Roman"/>
                <w:bCs/>
                <w:szCs w:val="24"/>
              </w:rPr>
              <w:t>500 МЕ/час</w:t>
            </w:r>
            <w:r w:rsidRPr="00B46409">
              <w:rPr>
                <w:rFonts w:eastAsiaTheme="majorEastAsia" w:cs="Times New Roman"/>
                <w:bCs/>
                <w:szCs w:val="24"/>
              </w:rPr>
              <w:t xml:space="preserve"> </w:t>
            </w:r>
            <w:r>
              <w:rPr>
                <w:rFonts w:eastAsiaTheme="majorEastAsia" w:cs="Times New Roman"/>
                <w:bCs/>
                <w:szCs w:val="24"/>
              </w:rPr>
              <w:t>в/в непрерывно</w:t>
            </w:r>
            <w:r w:rsidRPr="00A4634E">
              <w:rPr>
                <w:rFonts w:eastAsia="Times New Roman" w:cs="Times New Roman"/>
                <w:bCs/>
                <w:color w:val="000000" w:themeColor="dark1" w:themeShade="BF"/>
                <w:kern w:val="2"/>
                <w:szCs w:val="24"/>
                <w:lang w:eastAsia="ru-RU"/>
              </w:rPr>
              <w:t xml:space="preserve"> под контролем АЧТВ</w:t>
            </w:r>
          </w:p>
        </w:tc>
      </w:tr>
      <w:tr w:rsidR="001C2557" w:rsidRPr="00B46409" w14:paraId="243E013B" w14:textId="77777777" w:rsidTr="002D3EBF">
        <w:trPr>
          <w:trHeight w:val="452"/>
        </w:trPr>
        <w:tc>
          <w:tcPr>
            <w:tcW w:w="3998" w:type="dxa"/>
            <w:shd w:val="clear" w:color="auto" w:fill="auto"/>
          </w:tcPr>
          <w:p w14:paraId="23E85D4B" w14:textId="77777777" w:rsidR="001C2557" w:rsidRPr="00B46409" w:rsidRDefault="001C2557" w:rsidP="002D3EBF">
            <w:pPr>
              <w:ind w:firstLine="0"/>
              <w:rPr>
                <w:rFonts w:cs="Times New Roman"/>
                <w:bCs/>
                <w:szCs w:val="24"/>
              </w:rPr>
            </w:pPr>
            <w:r w:rsidRPr="00B46409">
              <w:rPr>
                <w:rFonts w:eastAsiaTheme="majorEastAsia" w:cs="Times New Roman"/>
                <w:bCs/>
                <w:szCs w:val="24"/>
              </w:rPr>
              <w:t>Далтепарин натрия</w:t>
            </w:r>
          </w:p>
        </w:tc>
        <w:tc>
          <w:tcPr>
            <w:tcW w:w="4678" w:type="dxa"/>
            <w:shd w:val="clear" w:color="auto" w:fill="auto"/>
          </w:tcPr>
          <w:p w14:paraId="244FCB7B" w14:textId="77777777" w:rsidR="001C2557" w:rsidRPr="00B46409" w:rsidRDefault="001C2557" w:rsidP="002D3EBF">
            <w:pPr>
              <w:ind w:firstLine="0"/>
              <w:rPr>
                <w:rFonts w:cs="Times New Roman"/>
                <w:bCs/>
                <w:szCs w:val="24"/>
              </w:rPr>
            </w:pPr>
            <w:r w:rsidRPr="00B46409">
              <w:rPr>
                <w:rFonts w:eastAsiaTheme="majorEastAsia" w:cs="Times New Roman"/>
                <w:bCs/>
                <w:szCs w:val="24"/>
              </w:rPr>
              <w:t>5000 МЕ 1 раз в день, п/к</w:t>
            </w:r>
          </w:p>
        </w:tc>
      </w:tr>
      <w:tr w:rsidR="001C2557" w:rsidRPr="00B46409" w14:paraId="67ABC042" w14:textId="77777777" w:rsidTr="002D3EBF">
        <w:trPr>
          <w:trHeight w:val="452"/>
        </w:trPr>
        <w:tc>
          <w:tcPr>
            <w:tcW w:w="3998" w:type="dxa"/>
            <w:shd w:val="clear" w:color="auto" w:fill="auto"/>
          </w:tcPr>
          <w:p w14:paraId="79C1FC36" w14:textId="77777777" w:rsidR="001C2557" w:rsidRPr="00B46409" w:rsidRDefault="001C2557" w:rsidP="002D3EBF">
            <w:pPr>
              <w:ind w:firstLine="0"/>
              <w:rPr>
                <w:rFonts w:cs="Times New Roman"/>
                <w:bCs/>
                <w:szCs w:val="24"/>
              </w:rPr>
            </w:pPr>
            <w:r w:rsidRPr="00B46409">
              <w:rPr>
                <w:rFonts w:eastAsiaTheme="majorEastAsia" w:cs="Times New Roman"/>
                <w:bCs/>
                <w:szCs w:val="24"/>
              </w:rPr>
              <w:t>Эноксапарин натрия</w:t>
            </w:r>
          </w:p>
        </w:tc>
        <w:tc>
          <w:tcPr>
            <w:tcW w:w="4678" w:type="dxa"/>
            <w:shd w:val="clear" w:color="auto" w:fill="auto"/>
          </w:tcPr>
          <w:p w14:paraId="21F5A445" w14:textId="77777777" w:rsidR="001C2557" w:rsidRPr="00B46409" w:rsidRDefault="001C2557" w:rsidP="002D3EBF">
            <w:pPr>
              <w:ind w:firstLine="0"/>
              <w:rPr>
                <w:rFonts w:cs="Times New Roman"/>
                <w:bCs/>
                <w:szCs w:val="24"/>
              </w:rPr>
            </w:pPr>
            <w:r w:rsidRPr="00B46409">
              <w:rPr>
                <w:rFonts w:eastAsiaTheme="majorEastAsia" w:cs="Times New Roman"/>
                <w:bCs/>
                <w:szCs w:val="24"/>
              </w:rPr>
              <w:t>0,4 мл 1 раз в день, п/к</w:t>
            </w:r>
          </w:p>
        </w:tc>
      </w:tr>
      <w:tr w:rsidR="001C2557" w:rsidRPr="00B46409" w14:paraId="6D19E78F" w14:textId="77777777" w:rsidTr="002D3EBF">
        <w:trPr>
          <w:trHeight w:val="452"/>
        </w:trPr>
        <w:tc>
          <w:tcPr>
            <w:tcW w:w="3998" w:type="dxa"/>
            <w:shd w:val="clear" w:color="auto" w:fill="auto"/>
          </w:tcPr>
          <w:p w14:paraId="42FB91F9" w14:textId="77777777" w:rsidR="001C2557" w:rsidRPr="00B46409" w:rsidRDefault="001C2557" w:rsidP="002D3EBF">
            <w:pPr>
              <w:ind w:firstLine="0"/>
              <w:rPr>
                <w:rFonts w:cs="Times New Roman"/>
                <w:bCs/>
                <w:szCs w:val="24"/>
              </w:rPr>
            </w:pPr>
            <w:r w:rsidRPr="00B46409">
              <w:rPr>
                <w:rFonts w:eastAsiaTheme="majorEastAsia" w:cs="Times New Roman"/>
                <w:bCs/>
                <w:szCs w:val="24"/>
              </w:rPr>
              <w:t>Надропарин кальция</w:t>
            </w:r>
          </w:p>
        </w:tc>
        <w:tc>
          <w:tcPr>
            <w:tcW w:w="4678" w:type="dxa"/>
            <w:shd w:val="clear" w:color="auto" w:fill="auto"/>
          </w:tcPr>
          <w:p w14:paraId="481BC9CF" w14:textId="77777777" w:rsidR="001C2557" w:rsidRPr="00B46409" w:rsidRDefault="001C2557" w:rsidP="002D3EBF">
            <w:pPr>
              <w:ind w:firstLine="0"/>
              <w:rPr>
                <w:rFonts w:cs="Times New Roman"/>
                <w:bCs/>
                <w:szCs w:val="24"/>
              </w:rPr>
            </w:pPr>
            <w:r w:rsidRPr="00B46409">
              <w:rPr>
                <w:rFonts w:eastAsiaTheme="majorEastAsia" w:cs="Times New Roman"/>
                <w:bCs/>
                <w:szCs w:val="24"/>
              </w:rPr>
              <w:t>0,3 мл 1 раз в день, п/к</w:t>
            </w:r>
          </w:p>
        </w:tc>
      </w:tr>
      <w:tr w:rsidR="001C2557" w:rsidRPr="00B46409" w14:paraId="391A1932" w14:textId="77777777" w:rsidTr="002D3EBF">
        <w:trPr>
          <w:trHeight w:val="452"/>
        </w:trPr>
        <w:tc>
          <w:tcPr>
            <w:tcW w:w="3998" w:type="dxa"/>
            <w:shd w:val="clear" w:color="auto" w:fill="auto"/>
          </w:tcPr>
          <w:p w14:paraId="15D53F3B" w14:textId="77777777" w:rsidR="001C2557" w:rsidRPr="00B46409" w:rsidRDefault="001C2557" w:rsidP="002D3EBF">
            <w:pPr>
              <w:ind w:firstLine="0"/>
              <w:rPr>
                <w:rFonts w:cs="Times New Roman"/>
                <w:bCs/>
                <w:szCs w:val="24"/>
              </w:rPr>
            </w:pPr>
            <w:r w:rsidRPr="00B46409">
              <w:rPr>
                <w:rFonts w:eastAsiaTheme="majorEastAsia" w:cs="Times New Roman"/>
                <w:bCs/>
                <w:szCs w:val="24"/>
              </w:rPr>
              <w:t>Фондапаринукс натрия</w:t>
            </w:r>
          </w:p>
        </w:tc>
        <w:tc>
          <w:tcPr>
            <w:tcW w:w="4678" w:type="dxa"/>
            <w:shd w:val="clear" w:color="auto" w:fill="auto"/>
          </w:tcPr>
          <w:p w14:paraId="30E76BAA" w14:textId="77777777" w:rsidR="001C2557" w:rsidRPr="00B46409" w:rsidRDefault="001C2557" w:rsidP="002D3EBF">
            <w:pPr>
              <w:ind w:firstLine="0"/>
              <w:rPr>
                <w:rFonts w:cs="Times New Roman"/>
                <w:bCs/>
                <w:szCs w:val="24"/>
              </w:rPr>
            </w:pPr>
            <w:r w:rsidRPr="00B46409">
              <w:rPr>
                <w:rFonts w:eastAsiaTheme="majorEastAsia" w:cs="Times New Roman"/>
                <w:bCs/>
                <w:szCs w:val="24"/>
              </w:rPr>
              <w:t>2,5 мг 1 раз в день, п/к</w:t>
            </w:r>
          </w:p>
        </w:tc>
      </w:tr>
      <w:tr w:rsidR="001C2557" w:rsidRPr="00B46409" w14:paraId="79B5FA84" w14:textId="77777777" w:rsidTr="002D3EBF">
        <w:trPr>
          <w:trHeight w:val="452"/>
        </w:trPr>
        <w:tc>
          <w:tcPr>
            <w:tcW w:w="3998" w:type="dxa"/>
            <w:shd w:val="clear" w:color="auto" w:fill="auto"/>
          </w:tcPr>
          <w:p w14:paraId="39457519" w14:textId="77777777" w:rsidR="001C2557" w:rsidRPr="00A4634E" w:rsidRDefault="001C2557"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Варфарин</w:t>
            </w:r>
          </w:p>
        </w:tc>
        <w:tc>
          <w:tcPr>
            <w:tcW w:w="4678" w:type="dxa"/>
            <w:shd w:val="clear" w:color="auto" w:fill="auto"/>
          </w:tcPr>
          <w:p w14:paraId="38AA0312" w14:textId="77777777" w:rsidR="001C2557" w:rsidRPr="00A4634E" w:rsidRDefault="001C2557"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 xml:space="preserve">Перорально, </w:t>
            </w:r>
            <w:r>
              <w:rPr>
                <w:rFonts w:eastAsia="Times New Roman" w:cs="Times New Roman"/>
                <w:bCs/>
                <w:color w:val="000000" w:themeColor="dark1" w:themeShade="BF"/>
                <w:kern w:val="2"/>
                <w:szCs w:val="24"/>
                <w:lang w:eastAsia="ru-RU"/>
              </w:rPr>
              <w:t>под контролем МНО (ц</w:t>
            </w:r>
            <w:r w:rsidRPr="00A4634E">
              <w:rPr>
                <w:rFonts w:eastAsia="Times New Roman" w:cs="Times New Roman"/>
                <w:bCs/>
                <w:color w:val="000000" w:themeColor="dark1" w:themeShade="BF"/>
                <w:kern w:val="2"/>
                <w:szCs w:val="24"/>
                <w:lang w:eastAsia="ru-RU"/>
              </w:rPr>
              <w:t>елевые значе</w:t>
            </w:r>
            <w:r>
              <w:rPr>
                <w:rFonts w:eastAsia="Times New Roman" w:cs="Times New Roman"/>
                <w:bCs/>
                <w:color w:val="000000" w:themeColor="dark1" w:themeShade="BF"/>
                <w:kern w:val="2"/>
                <w:szCs w:val="24"/>
                <w:lang w:eastAsia="ru-RU"/>
              </w:rPr>
              <w:t>ния МНО: 2.0-2.5)</w:t>
            </w:r>
            <w:r w:rsidRPr="00A4634E">
              <w:rPr>
                <w:rFonts w:eastAsia="Times New Roman" w:cs="Times New Roman"/>
                <w:bCs/>
                <w:color w:val="000000" w:themeColor="dark1" w:themeShade="BF"/>
                <w:kern w:val="2"/>
                <w:szCs w:val="24"/>
                <w:lang w:eastAsia="ru-RU"/>
              </w:rPr>
              <w:t xml:space="preserve">, </w:t>
            </w:r>
          </w:p>
          <w:p w14:paraId="6D448BD9" w14:textId="77777777" w:rsidR="001C2557" w:rsidRPr="00A4634E" w:rsidRDefault="001C2557"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после НМГ или НФГ</w:t>
            </w:r>
          </w:p>
        </w:tc>
      </w:tr>
      <w:tr w:rsidR="001C2557" w:rsidRPr="00B46409" w14:paraId="06746DE6" w14:textId="77777777" w:rsidTr="002D3EBF">
        <w:trPr>
          <w:trHeight w:val="452"/>
        </w:trPr>
        <w:tc>
          <w:tcPr>
            <w:tcW w:w="3998" w:type="dxa"/>
            <w:shd w:val="clear" w:color="auto" w:fill="auto"/>
          </w:tcPr>
          <w:p w14:paraId="55588F5D" w14:textId="77777777" w:rsidR="001C2557" w:rsidRPr="00A4634E" w:rsidRDefault="001C2557"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Ривароксабан</w:t>
            </w:r>
          </w:p>
        </w:tc>
        <w:tc>
          <w:tcPr>
            <w:tcW w:w="4678" w:type="dxa"/>
            <w:shd w:val="clear" w:color="auto" w:fill="auto"/>
          </w:tcPr>
          <w:p w14:paraId="4180D4E7" w14:textId="77777777" w:rsidR="001C2557" w:rsidRPr="00A4634E" w:rsidRDefault="001C2557" w:rsidP="002D3EBF">
            <w:pPr>
              <w:ind w:firstLine="0"/>
              <w:rPr>
                <w:rFonts w:eastAsia="Times New Roman" w:cs="Times New Roman"/>
                <w:szCs w:val="24"/>
                <w:lang w:eastAsia="ru-RU"/>
              </w:rPr>
            </w:pPr>
            <w:r>
              <w:rPr>
                <w:rFonts w:eastAsia="Times New Roman" w:cs="Times New Roman"/>
                <w:bCs/>
                <w:color w:val="000000" w:themeColor="dark1" w:themeShade="BF"/>
                <w:kern w:val="2"/>
                <w:szCs w:val="24"/>
                <w:lang w:eastAsia="ru-RU"/>
              </w:rPr>
              <w:t>10-</w:t>
            </w:r>
            <w:r w:rsidRPr="00A4634E">
              <w:rPr>
                <w:rFonts w:eastAsia="Times New Roman" w:cs="Times New Roman"/>
                <w:bCs/>
                <w:color w:val="000000" w:themeColor="dark1" w:themeShade="BF"/>
                <w:kern w:val="2"/>
                <w:szCs w:val="24"/>
                <w:lang w:eastAsia="ru-RU"/>
              </w:rPr>
              <w:t>20 мг утром, перорально</w:t>
            </w:r>
          </w:p>
        </w:tc>
      </w:tr>
      <w:tr w:rsidR="001C2557" w:rsidRPr="00B46409" w14:paraId="2DE340E1" w14:textId="77777777" w:rsidTr="002D3EBF">
        <w:trPr>
          <w:trHeight w:val="452"/>
        </w:trPr>
        <w:tc>
          <w:tcPr>
            <w:tcW w:w="3998" w:type="dxa"/>
            <w:shd w:val="clear" w:color="auto" w:fill="auto"/>
          </w:tcPr>
          <w:p w14:paraId="3BA8CB13" w14:textId="77777777" w:rsidR="001C2557" w:rsidRPr="00A4634E" w:rsidRDefault="001C2557"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Апиксабан</w:t>
            </w:r>
          </w:p>
        </w:tc>
        <w:tc>
          <w:tcPr>
            <w:tcW w:w="4678" w:type="dxa"/>
            <w:shd w:val="clear" w:color="auto" w:fill="auto"/>
          </w:tcPr>
          <w:p w14:paraId="55836C6C" w14:textId="77777777" w:rsidR="001C2557" w:rsidRPr="00A4634E" w:rsidRDefault="001C2557" w:rsidP="002D3EBF">
            <w:pPr>
              <w:ind w:firstLine="0"/>
              <w:rPr>
                <w:rFonts w:eastAsia="Times New Roman" w:cs="Times New Roman"/>
                <w:szCs w:val="24"/>
                <w:lang w:eastAsia="ru-RU"/>
              </w:rPr>
            </w:pPr>
            <w:r>
              <w:rPr>
                <w:rFonts w:eastAsia="Times New Roman" w:cs="Times New Roman"/>
                <w:bCs/>
                <w:color w:val="000000" w:themeColor="dark1" w:themeShade="BF"/>
                <w:kern w:val="2"/>
                <w:szCs w:val="24"/>
                <w:lang w:eastAsia="ru-RU"/>
              </w:rPr>
              <w:t>2,5</w:t>
            </w:r>
            <w:r w:rsidRPr="00A4634E">
              <w:rPr>
                <w:rFonts w:eastAsia="Times New Roman" w:cs="Times New Roman"/>
                <w:bCs/>
                <w:color w:val="000000" w:themeColor="dark1" w:themeShade="BF"/>
                <w:kern w:val="2"/>
                <w:szCs w:val="24"/>
                <w:lang w:eastAsia="ru-RU"/>
              </w:rPr>
              <w:t xml:space="preserve"> мг х 2 р/сутки, перорально</w:t>
            </w:r>
          </w:p>
        </w:tc>
      </w:tr>
      <w:tr w:rsidR="001C2557" w:rsidRPr="00B46409" w14:paraId="638BE19E" w14:textId="77777777" w:rsidTr="002D3EBF">
        <w:trPr>
          <w:trHeight w:val="452"/>
        </w:trPr>
        <w:tc>
          <w:tcPr>
            <w:tcW w:w="3998" w:type="dxa"/>
            <w:shd w:val="clear" w:color="auto" w:fill="auto"/>
          </w:tcPr>
          <w:p w14:paraId="023CC2D2" w14:textId="77777777" w:rsidR="001C2557" w:rsidRPr="00A4634E" w:rsidRDefault="001C2557"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Дабигатран этексилат</w:t>
            </w:r>
          </w:p>
        </w:tc>
        <w:tc>
          <w:tcPr>
            <w:tcW w:w="4678" w:type="dxa"/>
            <w:shd w:val="clear" w:color="auto" w:fill="auto"/>
          </w:tcPr>
          <w:p w14:paraId="700AA5E9" w14:textId="77777777" w:rsidR="001C2557" w:rsidRPr="00A4634E" w:rsidRDefault="001C2557" w:rsidP="002D3EBF">
            <w:pPr>
              <w:ind w:firstLine="0"/>
              <w:rPr>
                <w:rFonts w:eastAsia="Times New Roman" w:cs="Times New Roman"/>
                <w:szCs w:val="24"/>
                <w:lang w:eastAsia="ru-RU"/>
              </w:rPr>
            </w:pPr>
            <w:r>
              <w:rPr>
                <w:rFonts w:eastAsia="Times New Roman" w:cs="Times New Roman"/>
                <w:bCs/>
                <w:color w:val="000000" w:themeColor="dark1" w:themeShade="BF"/>
                <w:kern w:val="2"/>
                <w:szCs w:val="24"/>
                <w:lang w:eastAsia="ru-RU"/>
              </w:rPr>
              <w:t>110-</w:t>
            </w:r>
            <w:r w:rsidRPr="00A4634E">
              <w:rPr>
                <w:rFonts w:eastAsia="Times New Roman" w:cs="Times New Roman"/>
                <w:bCs/>
                <w:color w:val="000000" w:themeColor="dark1" w:themeShade="BF"/>
                <w:kern w:val="2"/>
                <w:szCs w:val="24"/>
                <w:lang w:eastAsia="ru-RU"/>
              </w:rPr>
              <w:t>150 мг х 2р/сутки, перорально</w:t>
            </w:r>
          </w:p>
        </w:tc>
      </w:tr>
    </w:tbl>
    <w:p w14:paraId="085B52A1" w14:textId="77777777" w:rsidR="001C2557" w:rsidRDefault="001C2557" w:rsidP="001C2557">
      <w:pPr>
        <w:rPr>
          <w:b/>
          <w:bCs/>
          <w:szCs w:val="24"/>
        </w:rPr>
      </w:pPr>
    </w:p>
    <w:p w14:paraId="327D9101" w14:textId="77777777" w:rsidR="001C2557" w:rsidRPr="00A4634E" w:rsidRDefault="001C2557" w:rsidP="001C2557">
      <w:pPr>
        <w:ind w:firstLine="0"/>
        <w:rPr>
          <w:szCs w:val="24"/>
        </w:rPr>
      </w:pPr>
      <w:r w:rsidRPr="00A4634E">
        <w:rPr>
          <w:bCs/>
          <w:szCs w:val="24"/>
        </w:rPr>
        <w:t xml:space="preserve">Таблица </w:t>
      </w:r>
      <w:r>
        <w:rPr>
          <w:bCs/>
          <w:szCs w:val="24"/>
        </w:rPr>
        <w:t>2</w:t>
      </w:r>
      <w:r w:rsidRPr="00A4634E">
        <w:rPr>
          <w:bCs/>
          <w:szCs w:val="24"/>
        </w:rPr>
        <w:t xml:space="preserve">. Режимы антикоагулянтной терапии </w:t>
      </w:r>
      <w:r w:rsidRPr="00A4634E">
        <w:rPr>
          <w:bCs/>
          <w:iCs/>
          <w:szCs w:val="24"/>
        </w:rPr>
        <w:t xml:space="preserve">для лечения </w:t>
      </w:r>
      <w:r w:rsidRPr="00A4634E">
        <w:rPr>
          <w:bCs/>
          <w:szCs w:val="24"/>
        </w:rPr>
        <w:t>тромботических осложнений</w:t>
      </w:r>
    </w:p>
    <w:tbl>
      <w:tblPr>
        <w:tblStyle w:val="1f8"/>
        <w:tblW w:w="867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573"/>
        <w:gridCol w:w="5103"/>
      </w:tblGrid>
      <w:tr w:rsidR="001C2557" w:rsidRPr="00A4634E" w14:paraId="020D165A" w14:textId="77777777" w:rsidTr="002D3EBF">
        <w:trPr>
          <w:trHeight w:val="333"/>
        </w:trPr>
        <w:tc>
          <w:tcPr>
            <w:tcW w:w="3573" w:type="dxa"/>
            <w:shd w:val="clear" w:color="auto" w:fill="auto"/>
          </w:tcPr>
          <w:p w14:paraId="163094C7" w14:textId="77777777" w:rsidR="001C2557" w:rsidRPr="00A4634E" w:rsidRDefault="001C2557" w:rsidP="002D3EBF">
            <w:pPr>
              <w:ind w:firstLine="0"/>
              <w:jc w:val="center"/>
              <w:rPr>
                <w:rFonts w:eastAsia="Times New Roman" w:cs="Times New Roman"/>
                <w:szCs w:val="24"/>
                <w:lang w:eastAsia="ru-RU"/>
              </w:rPr>
            </w:pPr>
            <w:r>
              <w:rPr>
                <w:rFonts w:eastAsia="Times New Roman" w:cs="Times New Roman"/>
                <w:bCs/>
                <w:color w:val="000000" w:themeColor="text1" w:themeShade="BF"/>
                <w:kern w:val="2"/>
                <w:szCs w:val="24"/>
                <w:lang w:eastAsia="ru-RU"/>
              </w:rPr>
              <w:t>Препарат</w:t>
            </w:r>
          </w:p>
        </w:tc>
        <w:tc>
          <w:tcPr>
            <w:tcW w:w="5103" w:type="dxa"/>
            <w:shd w:val="clear" w:color="auto" w:fill="auto"/>
          </w:tcPr>
          <w:p w14:paraId="60C85FB9" w14:textId="77777777" w:rsidR="001C2557" w:rsidRPr="00A4634E" w:rsidRDefault="001C2557" w:rsidP="002D3EBF">
            <w:pPr>
              <w:ind w:firstLine="0"/>
              <w:jc w:val="center"/>
              <w:rPr>
                <w:rFonts w:eastAsia="Times New Roman" w:cs="Times New Roman"/>
                <w:szCs w:val="24"/>
                <w:lang w:eastAsia="ru-RU"/>
              </w:rPr>
            </w:pPr>
            <w:r w:rsidRPr="00A4634E">
              <w:rPr>
                <w:rFonts w:eastAsia="Times New Roman" w:cs="Times New Roman"/>
                <w:bCs/>
                <w:color w:val="000000" w:themeColor="text1" w:themeShade="BF"/>
                <w:kern w:val="2"/>
                <w:szCs w:val="24"/>
                <w:lang w:eastAsia="ru-RU"/>
              </w:rPr>
              <w:t>Доза</w:t>
            </w:r>
          </w:p>
        </w:tc>
      </w:tr>
      <w:tr w:rsidR="001C2557" w:rsidRPr="00A4634E" w14:paraId="62BD61A6" w14:textId="77777777" w:rsidTr="002D3EBF">
        <w:trPr>
          <w:trHeight w:val="574"/>
        </w:trPr>
        <w:tc>
          <w:tcPr>
            <w:tcW w:w="3573" w:type="dxa"/>
            <w:shd w:val="clear" w:color="auto" w:fill="auto"/>
          </w:tcPr>
          <w:p w14:paraId="4B1F1B83" w14:textId="77777777" w:rsidR="001C2557" w:rsidRPr="00A4634E" w:rsidRDefault="001C2557"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Нефракционированный гепарин</w:t>
            </w:r>
          </w:p>
        </w:tc>
        <w:tc>
          <w:tcPr>
            <w:tcW w:w="5103" w:type="dxa"/>
            <w:shd w:val="clear" w:color="auto" w:fill="auto"/>
          </w:tcPr>
          <w:p w14:paraId="036F5FDD" w14:textId="77777777" w:rsidR="001C2557" w:rsidRPr="00A4634E" w:rsidRDefault="001C2557" w:rsidP="002D3EBF">
            <w:pPr>
              <w:ind w:firstLine="0"/>
              <w:rPr>
                <w:rFonts w:eastAsia="Times New Roman" w:cs="Times New Roman"/>
                <w:szCs w:val="24"/>
                <w:lang w:eastAsia="ru-RU"/>
              </w:rPr>
            </w:pPr>
            <w:r>
              <w:rPr>
                <w:rFonts w:eastAsia="Times New Roman" w:cs="Times New Roman"/>
                <w:bCs/>
                <w:color w:val="000000" w:themeColor="dark1" w:themeShade="BF"/>
                <w:kern w:val="2"/>
                <w:szCs w:val="24"/>
                <w:lang w:eastAsia="ru-RU"/>
              </w:rPr>
              <w:t>1000 МЕ/час в/в непрерывно</w:t>
            </w:r>
            <w:r w:rsidRPr="00A4634E">
              <w:rPr>
                <w:rFonts w:eastAsia="Times New Roman" w:cs="Times New Roman"/>
                <w:bCs/>
                <w:color w:val="000000" w:themeColor="dark1" w:themeShade="BF"/>
                <w:kern w:val="2"/>
                <w:szCs w:val="24"/>
                <w:lang w:eastAsia="ru-RU"/>
              </w:rPr>
              <w:t xml:space="preserve"> под контролем АЧТВ</w:t>
            </w:r>
          </w:p>
        </w:tc>
      </w:tr>
      <w:tr w:rsidR="001C2557" w:rsidRPr="00A4634E" w14:paraId="66171E48" w14:textId="77777777" w:rsidTr="002D3EBF">
        <w:trPr>
          <w:trHeight w:val="574"/>
        </w:trPr>
        <w:tc>
          <w:tcPr>
            <w:tcW w:w="3573" w:type="dxa"/>
            <w:shd w:val="clear" w:color="auto" w:fill="auto"/>
          </w:tcPr>
          <w:p w14:paraId="1657F845" w14:textId="77777777" w:rsidR="001C2557" w:rsidRPr="00A4634E" w:rsidRDefault="001C2557"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Далтепарин натрия</w:t>
            </w:r>
          </w:p>
        </w:tc>
        <w:tc>
          <w:tcPr>
            <w:tcW w:w="5103" w:type="dxa"/>
            <w:shd w:val="clear" w:color="auto" w:fill="auto"/>
          </w:tcPr>
          <w:p w14:paraId="47DC362C" w14:textId="77777777" w:rsidR="001C2557" w:rsidRPr="00A4634E" w:rsidRDefault="001C2557" w:rsidP="002D3EBF">
            <w:pPr>
              <w:ind w:firstLine="0"/>
              <w:rPr>
                <w:rFonts w:eastAsia="Times New Roman" w:cs="Times New Roman"/>
                <w:szCs w:val="24"/>
                <w:lang w:eastAsia="ru-RU"/>
              </w:rPr>
            </w:pPr>
            <w:r>
              <w:rPr>
                <w:rFonts w:eastAsia="Times New Roman" w:cs="Times New Roman"/>
                <w:bCs/>
                <w:color w:val="000000" w:themeColor="dark1" w:themeShade="BF"/>
                <w:kern w:val="2"/>
                <w:szCs w:val="24"/>
                <w:lang w:eastAsia="ru-RU"/>
              </w:rPr>
              <w:t xml:space="preserve">100 МЕ/кг каждые 12 ч или 200 МЕ/кг 1 раз в день, </w:t>
            </w:r>
            <w:r w:rsidRPr="00A4634E">
              <w:rPr>
                <w:rFonts w:eastAsia="Times New Roman" w:cs="Times New Roman"/>
                <w:bCs/>
                <w:color w:val="000000" w:themeColor="dark1" w:themeShade="BF"/>
                <w:kern w:val="2"/>
                <w:szCs w:val="24"/>
                <w:lang w:eastAsia="ru-RU"/>
              </w:rPr>
              <w:t>п/к</w:t>
            </w:r>
          </w:p>
        </w:tc>
      </w:tr>
      <w:tr w:rsidR="001C2557" w:rsidRPr="00A4634E" w14:paraId="446ED9DB" w14:textId="77777777" w:rsidTr="002D3EBF">
        <w:trPr>
          <w:trHeight w:val="333"/>
        </w:trPr>
        <w:tc>
          <w:tcPr>
            <w:tcW w:w="3573" w:type="dxa"/>
            <w:shd w:val="clear" w:color="auto" w:fill="auto"/>
          </w:tcPr>
          <w:p w14:paraId="1FF1AA5E" w14:textId="77777777" w:rsidR="001C2557" w:rsidRPr="00A4634E" w:rsidRDefault="001C2557"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Эноксапарин натрия</w:t>
            </w:r>
          </w:p>
        </w:tc>
        <w:tc>
          <w:tcPr>
            <w:tcW w:w="5103" w:type="dxa"/>
            <w:shd w:val="clear" w:color="auto" w:fill="auto"/>
          </w:tcPr>
          <w:p w14:paraId="15219571" w14:textId="77777777" w:rsidR="001C2557" w:rsidRPr="00A4634E" w:rsidRDefault="001C2557"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 xml:space="preserve">100 МЕ/кг каждые 12 ч </w:t>
            </w:r>
            <w:r>
              <w:rPr>
                <w:rFonts w:eastAsia="Times New Roman" w:cs="Times New Roman"/>
                <w:bCs/>
                <w:color w:val="000000" w:themeColor="dark1" w:themeShade="BF"/>
                <w:kern w:val="2"/>
                <w:szCs w:val="24"/>
                <w:lang w:eastAsia="ru-RU"/>
              </w:rPr>
              <w:t>или</w:t>
            </w:r>
            <w:r w:rsidRPr="00A4634E">
              <w:rPr>
                <w:rFonts w:eastAsia="Times New Roman" w:cs="Times New Roman"/>
                <w:bCs/>
                <w:color w:val="000000" w:themeColor="dark1" w:themeShade="BF"/>
                <w:kern w:val="2"/>
                <w:szCs w:val="24"/>
                <w:lang w:eastAsia="ru-RU"/>
              </w:rPr>
              <w:t xml:space="preserve"> 1,5 мг/кг 1 раз в день, п/к</w:t>
            </w:r>
          </w:p>
        </w:tc>
      </w:tr>
      <w:tr w:rsidR="001C2557" w:rsidRPr="00A4634E" w14:paraId="0832E1BD" w14:textId="77777777" w:rsidTr="002D3EBF">
        <w:trPr>
          <w:trHeight w:val="333"/>
        </w:trPr>
        <w:tc>
          <w:tcPr>
            <w:tcW w:w="3573" w:type="dxa"/>
            <w:shd w:val="clear" w:color="auto" w:fill="auto"/>
          </w:tcPr>
          <w:p w14:paraId="6BA87D2C" w14:textId="77777777" w:rsidR="001C2557" w:rsidRPr="00A4634E" w:rsidRDefault="001C2557"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Надропарин кальция</w:t>
            </w:r>
          </w:p>
        </w:tc>
        <w:tc>
          <w:tcPr>
            <w:tcW w:w="5103" w:type="dxa"/>
            <w:shd w:val="clear" w:color="auto" w:fill="auto"/>
          </w:tcPr>
          <w:p w14:paraId="39D7004A" w14:textId="77777777" w:rsidR="001C2557" w:rsidRPr="00A4634E" w:rsidRDefault="001C2557"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86 МЕ/кг х 2 раза в день, п/к</w:t>
            </w:r>
          </w:p>
        </w:tc>
      </w:tr>
      <w:tr w:rsidR="001C2557" w:rsidRPr="00A4634E" w14:paraId="6EBD02EE" w14:textId="77777777" w:rsidTr="002D3EBF">
        <w:trPr>
          <w:trHeight w:val="821"/>
        </w:trPr>
        <w:tc>
          <w:tcPr>
            <w:tcW w:w="3573" w:type="dxa"/>
            <w:shd w:val="clear" w:color="auto" w:fill="auto"/>
          </w:tcPr>
          <w:p w14:paraId="230AD4BF" w14:textId="77777777" w:rsidR="001C2557" w:rsidRPr="00A4634E" w:rsidRDefault="001C2557"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Фондапаринукс натрия</w:t>
            </w:r>
          </w:p>
        </w:tc>
        <w:tc>
          <w:tcPr>
            <w:tcW w:w="5103" w:type="dxa"/>
            <w:shd w:val="clear" w:color="auto" w:fill="auto"/>
          </w:tcPr>
          <w:p w14:paraId="719068FE" w14:textId="77777777" w:rsidR="001C2557" w:rsidRPr="00A4634E" w:rsidRDefault="001C2557"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менее 50 кг: 5 мг 1 раз в день</w:t>
            </w:r>
            <w:r>
              <w:rPr>
                <w:rFonts w:eastAsia="Times New Roman" w:cs="Times New Roman"/>
                <w:bCs/>
                <w:color w:val="000000" w:themeColor="dark1" w:themeShade="BF"/>
                <w:kern w:val="2"/>
                <w:szCs w:val="24"/>
                <w:lang w:eastAsia="ru-RU"/>
              </w:rPr>
              <w:t>, п/к</w:t>
            </w:r>
          </w:p>
          <w:p w14:paraId="4C18CEA9" w14:textId="77777777" w:rsidR="001C2557" w:rsidRPr="00A4634E" w:rsidRDefault="001C2557"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50—100 кг: 7,5 мг 1 раз в д</w:t>
            </w:r>
            <w:r>
              <w:rPr>
                <w:rFonts w:eastAsia="Times New Roman" w:cs="Times New Roman"/>
                <w:bCs/>
                <w:color w:val="000000" w:themeColor="dark1" w:themeShade="BF"/>
                <w:kern w:val="2"/>
                <w:szCs w:val="24"/>
                <w:lang w:eastAsia="ru-RU"/>
              </w:rPr>
              <w:t xml:space="preserve">ень, п/к                         </w:t>
            </w:r>
            <w:r w:rsidRPr="00A4634E">
              <w:rPr>
                <w:rFonts w:eastAsia="Times New Roman" w:cs="Times New Roman"/>
                <w:bCs/>
                <w:color w:val="000000" w:themeColor="dark1" w:themeShade="BF"/>
                <w:kern w:val="2"/>
                <w:szCs w:val="24"/>
                <w:lang w:eastAsia="ru-RU"/>
              </w:rPr>
              <w:t>более 100 кг: 10 мг 1 раз в день</w:t>
            </w:r>
            <w:r>
              <w:rPr>
                <w:rFonts w:eastAsia="Times New Roman" w:cs="Times New Roman"/>
                <w:bCs/>
                <w:color w:val="000000" w:themeColor="dark1" w:themeShade="BF"/>
                <w:kern w:val="2"/>
                <w:szCs w:val="24"/>
                <w:lang w:eastAsia="ru-RU"/>
              </w:rPr>
              <w:t>, п/к</w:t>
            </w:r>
          </w:p>
        </w:tc>
      </w:tr>
      <w:tr w:rsidR="001C2557" w:rsidRPr="00A4634E" w14:paraId="7C7A8CFC" w14:textId="77777777" w:rsidTr="002D3EBF">
        <w:trPr>
          <w:trHeight w:val="821"/>
        </w:trPr>
        <w:tc>
          <w:tcPr>
            <w:tcW w:w="3573" w:type="dxa"/>
            <w:shd w:val="clear" w:color="auto" w:fill="auto"/>
          </w:tcPr>
          <w:p w14:paraId="642666FC" w14:textId="77777777" w:rsidR="001C2557" w:rsidRPr="00A4634E" w:rsidRDefault="001C2557"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Варфарин</w:t>
            </w:r>
          </w:p>
        </w:tc>
        <w:tc>
          <w:tcPr>
            <w:tcW w:w="5103" w:type="dxa"/>
            <w:shd w:val="clear" w:color="auto" w:fill="auto"/>
          </w:tcPr>
          <w:p w14:paraId="3049BB92" w14:textId="77777777" w:rsidR="001C2557" w:rsidRPr="00A4634E" w:rsidRDefault="001C2557"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 xml:space="preserve">Перорально, целевые значения МНО: 2.0—3.0, </w:t>
            </w:r>
          </w:p>
          <w:p w14:paraId="17ADAAB5" w14:textId="77777777" w:rsidR="001C2557" w:rsidRPr="00A4634E" w:rsidRDefault="001C2557"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после НМГ или НФГ</w:t>
            </w:r>
          </w:p>
        </w:tc>
      </w:tr>
      <w:tr w:rsidR="001C2557" w:rsidRPr="00A4634E" w14:paraId="61FEC772" w14:textId="77777777" w:rsidTr="002D3EBF">
        <w:trPr>
          <w:trHeight w:val="387"/>
        </w:trPr>
        <w:tc>
          <w:tcPr>
            <w:tcW w:w="3573" w:type="dxa"/>
            <w:shd w:val="clear" w:color="auto" w:fill="auto"/>
          </w:tcPr>
          <w:p w14:paraId="047F9856" w14:textId="77777777" w:rsidR="001C2557" w:rsidRPr="00A4634E" w:rsidRDefault="001C2557"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Ривароксабан</w:t>
            </w:r>
          </w:p>
        </w:tc>
        <w:tc>
          <w:tcPr>
            <w:tcW w:w="5103" w:type="dxa"/>
            <w:shd w:val="clear" w:color="auto" w:fill="auto"/>
          </w:tcPr>
          <w:p w14:paraId="2E03C73A" w14:textId="77777777" w:rsidR="001C2557" w:rsidRPr="00A4634E" w:rsidRDefault="001C2557"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15 мг х 2 р/сутки в течение 21 дня, далее 20 мг утром, перорально</w:t>
            </w:r>
          </w:p>
        </w:tc>
      </w:tr>
      <w:tr w:rsidR="001C2557" w:rsidRPr="00A4634E" w14:paraId="15C7FA05" w14:textId="77777777" w:rsidTr="002D3EBF">
        <w:trPr>
          <w:trHeight w:val="333"/>
        </w:trPr>
        <w:tc>
          <w:tcPr>
            <w:tcW w:w="3573" w:type="dxa"/>
            <w:shd w:val="clear" w:color="auto" w:fill="auto"/>
          </w:tcPr>
          <w:p w14:paraId="06365648" w14:textId="77777777" w:rsidR="001C2557" w:rsidRPr="00A4634E" w:rsidRDefault="001C2557"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Апиксабан</w:t>
            </w:r>
          </w:p>
        </w:tc>
        <w:tc>
          <w:tcPr>
            <w:tcW w:w="5103" w:type="dxa"/>
            <w:shd w:val="clear" w:color="auto" w:fill="auto"/>
          </w:tcPr>
          <w:p w14:paraId="6D98B0EA" w14:textId="77777777" w:rsidR="001C2557" w:rsidRPr="00A4634E" w:rsidRDefault="001C2557"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5,0 мг х 2 р/сутки, перорально</w:t>
            </w:r>
          </w:p>
        </w:tc>
      </w:tr>
      <w:tr w:rsidR="001C2557" w:rsidRPr="00A4634E" w14:paraId="3D31C815" w14:textId="77777777" w:rsidTr="002D3EBF">
        <w:trPr>
          <w:trHeight w:val="333"/>
        </w:trPr>
        <w:tc>
          <w:tcPr>
            <w:tcW w:w="3573" w:type="dxa"/>
            <w:shd w:val="clear" w:color="auto" w:fill="auto"/>
          </w:tcPr>
          <w:p w14:paraId="33CF52C8" w14:textId="77777777" w:rsidR="001C2557" w:rsidRPr="00A4634E" w:rsidRDefault="001C2557"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Дабигатран этексилат</w:t>
            </w:r>
          </w:p>
        </w:tc>
        <w:tc>
          <w:tcPr>
            <w:tcW w:w="5103" w:type="dxa"/>
            <w:shd w:val="clear" w:color="auto" w:fill="auto"/>
          </w:tcPr>
          <w:p w14:paraId="33A788A4" w14:textId="77777777" w:rsidR="001C2557" w:rsidRPr="00A4634E" w:rsidRDefault="001C2557"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150 мг х 2р/сутки, перорально</w:t>
            </w:r>
          </w:p>
        </w:tc>
      </w:tr>
    </w:tbl>
    <w:p w14:paraId="51647C59" w14:textId="77777777" w:rsidR="001C2557" w:rsidRDefault="001C2557" w:rsidP="001C2557">
      <w:pPr>
        <w:ind w:firstLine="360"/>
        <w:rPr>
          <w:rFonts w:eastAsia="Times New Roman"/>
          <w:szCs w:val="24"/>
          <w:lang w:eastAsia="ru-RU"/>
        </w:rPr>
      </w:pPr>
    </w:p>
    <w:p w14:paraId="17033A9A" w14:textId="77777777" w:rsidR="001C2557" w:rsidRDefault="001C2557" w:rsidP="001C2557">
      <w:pPr>
        <w:rPr>
          <w:szCs w:val="24"/>
        </w:rPr>
      </w:pPr>
      <w:r>
        <w:rPr>
          <w:rFonts w:eastAsia="Times New Roman"/>
          <w:szCs w:val="24"/>
          <w:lang w:eastAsia="ru-RU"/>
        </w:rPr>
        <w:t>При длительной терапии НМГ рекомендуется мониторинг анти-Ха активности и коррекция дозы НМГ (при необходимости) один раз в месяц.</w:t>
      </w:r>
    </w:p>
    <w:p w14:paraId="71EBD85F" w14:textId="77777777" w:rsidR="001C2557" w:rsidRDefault="001C2557" w:rsidP="001C2557">
      <w:pPr>
        <w:rPr>
          <w:rFonts w:eastAsia="Times New Roman"/>
          <w:szCs w:val="24"/>
          <w:lang w:eastAsia="ru-RU"/>
        </w:rPr>
      </w:pPr>
      <w:r>
        <w:rPr>
          <w:szCs w:val="24"/>
        </w:rPr>
        <w:t xml:space="preserve">Мониторинг анти-Ха активности абсолютно необходим в случае рецидивирующего тромбоза при использовании терапевтических доз НМГ или у пациентов с почечной недостаточностью. </w:t>
      </w:r>
      <w:r>
        <w:rPr>
          <w:rFonts w:eastAsia="Times New Roman"/>
          <w:szCs w:val="24"/>
          <w:lang w:eastAsia="ru-RU"/>
        </w:rPr>
        <w:t>Больным с нарушением функции почек рекомендуется коррекция дозы НМГ и мониторинг анти-Ха активности с частотой один раз в неделю. Для больных с клинически выраженной почечной недостаточностью (клиренс креатинина &lt;30 мл/мин) дозу НМГ корректируют таким образом, чтобы она соответствовала уровню анти-Ха 0,2</w:t>
      </w:r>
      <w:r>
        <w:rPr>
          <w:i/>
          <w:szCs w:val="24"/>
        </w:rPr>
        <w:t>—</w:t>
      </w:r>
      <w:r>
        <w:rPr>
          <w:rFonts w:eastAsia="Times New Roman"/>
          <w:szCs w:val="24"/>
          <w:lang w:eastAsia="ru-RU"/>
        </w:rPr>
        <w:t xml:space="preserve">0,3 </w:t>
      </w:r>
      <w:r>
        <w:rPr>
          <w:szCs w:val="24"/>
        </w:rPr>
        <w:t>анти-</w:t>
      </w:r>
      <w:r>
        <w:rPr>
          <w:szCs w:val="24"/>
          <w:lang w:val="en-US"/>
        </w:rPr>
        <w:t>Xa</w:t>
      </w:r>
      <w:r>
        <w:rPr>
          <w:szCs w:val="24"/>
        </w:rPr>
        <w:t xml:space="preserve"> МЕ</w:t>
      </w:r>
      <w:r>
        <w:rPr>
          <w:rFonts w:eastAsia="Times New Roman"/>
          <w:szCs w:val="24"/>
          <w:lang w:eastAsia="ru-RU"/>
        </w:rPr>
        <w:t xml:space="preserve">/мл. </w:t>
      </w:r>
    </w:p>
    <w:p w14:paraId="7FD897B7" w14:textId="77777777" w:rsidR="001C2557" w:rsidRDefault="001C2557" w:rsidP="001C2557">
      <w:pPr>
        <w:rPr>
          <w:szCs w:val="24"/>
        </w:rPr>
      </w:pPr>
      <w:r>
        <w:rPr>
          <w:szCs w:val="24"/>
        </w:rPr>
        <w:t>Для выявления возможного накопления НМГ после нескольких введений следует проанализировать анти-Ха активность через 4 часа после третьего введения, если НМГ вводится дважды в день, или через 4 часа после второго введения, если препарат вводится один раз в сутки.</w:t>
      </w:r>
    </w:p>
    <w:p w14:paraId="33413434" w14:textId="77777777" w:rsidR="001C2557" w:rsidRDefault="001C2557" w:rsidP="001C2557">
      <w:pPr>
        <w:rPr>
          <w:szCs w:val="24"/>
        </w:rPr>
      </w:pPr>
      <w:r>
        <w:rPr>
          <w:szCs w:val="24"/>
        </w:rPr>
        <w:t>Коррекция дозы НМГ у онкогематологических пациентов в связи с высоким риском кровотечений по причине тромбоцитопений заключается в двукратном снижении дозы при количестве тромбоцитов &lt;70×10</w:t>
      </w:r>
      <w:r>
        <w:rPr>
          <w:szCs w:val="24"/>
          <w:vertAlign w:val="superscript"/>
        </w:rPr>
        <w:t>9</w:t>
      </w:r>
      <w:r>
        <w:rPr>
          <w:szCs w:val="24"/>
        </w:rPr>
        <w:t>/л; временная отмена НМГ при количестве тромбоцитов &lt;30×10</w:t>
      </w:r>
      <w:r>
        <w:rPr>
          <w:szCs w:val="24"/>
          <w:vertAlign w:val="superscript"/>
        </w:rPr>
        <w:t>9</w:t>
      </w:r>
      <w:r>
        <w:rPr>
          <w:szCs w:val="24"/>
        </w:rPr>
        <w:t>/л. При острых тромбозах и тромбоцитопении в отсутствии геморрагических проявлений целесообразно использовать внутривенное с помощью инфузомата введение НФГ под контролем АЧТВ.</w:t>
      </w:r>
    </w:p>
    <w:p w14:paraId="677C77F2" w14:textId="77777777" w:rsidR="001C2557" w:rsidRDefault="001C2557" w:rsidP="001C2557">
      <w:pPr>
        <w:rPr>
          <w:rFonts w:eastAsia="Times New Roman"/>
          <w:szCs w:val="24"/>
          <w:lang w:eastAsia="ru-RU"/>
        </w:rPr>
      </w:pPr>
      <w:r>
        <w:rPr>
          <w:rFonts w:eastAsia="Times New Roman"/>
          <w:szCs w:val="24"/>
          <w:lang w:eastAsia="ru-RU"/>
        </w:rPr>
        <w:t xml:space="preserve">В отдельных случаях тромбозов, а также при ГИТ </w:t>
      </w:r>
      <w:r>
        <w:rPr>
          <w:rFonts w:eastAsia="Times New Roman"/>
          <w:szCs w:val="24"/>
          <w:lang w:val="en-US" w:eastAsia="ru-RU"/>
        </w:rPr>
        <w:t>II</w:t>
      </w:r>
      <w:r>
        <w:rPr>
          <w:rFonts w:eastAsia="Times New Roman"/>
          <w:szCs w:val="24"/>
          <w:lang w:eastAsia="ru-RU"/>
        </w:rPr>
        <w:t xml:space="preserve"> применяется фондапаринукс 5 мг подкожно (п/к) 1 раз в день при весе пациента более 50кг. При весе пациента 75 кг и более фондапаринукс вводится в дозе 7,5 мг.</w:t>
      </w:r>
    </w:p>
    <w:p w14:paraId="2D125C93" w14:textId="48888FCC" w:rsidR="001C2557" w:rsidRDefault="001C2557" w:rsidP="001C2557">
      <w:pPr>
        <w:rPr>
          <w:rFonts w:eastAsia="Times New Roman"/>
          <w:szCs w:val="24"/>
          <w:lang w:eastAsia="ru-RU"/>
        </w:rPr>
      </w:pPr>
      <w:r>
        <w:rPr>
          <w:rFonts w:eastAsia="Times New Roman"/>
          <w:szCs w:val="24"/>
          <w:lang w:eastAsia="ru-RU"/>
        </w:rPr>
        <w:t>Прямые оральные антикоагулянты (ПОАК)</w:t>
      </w:r>
      <w:r>
        <w:rPr>
          <w:rFonts w:eastAsia="Times New Roman"/>
          <w:szCs w:val="24"/>
          <w:lang w:val="en-US" w:eastAsia="ru-RU"/>
        </w:rPr>
        <w:t xml:space="preserve"> </w:t>
      </w:r>
      <w:r>
        <w:rPr>
          <w:szCs w:val="24"/>
        </w:rPr>
        <w:fldChar w:fldCharType="begin" w:fldLock="1"/>
      </w:r>
      <w:r w:rsidR="002F7BDD">
        <w:rPr>
          <w:szCs w:val="24"/>
        </w:rPr>
        <w:instrText>ADDIN CSL_CITATION {"citationItems":[{"id":"ITEM-1","itemData":{"DOI":"10.1016/j.thromres.2015.01.009","ISSN":"18792472","PMID":"25613925","abstract":"Background Heparin induced thrombocytopenia (HIT) is a potentially catastrophic syndrome with a high incidence of vascular thrombosis. There are little data on the efficacy of new oral anticoagulants (NOAC) in this setting. This study reports on the outcome of patients with HIT, treated with NOAC. Materials and Methods We retrospectively identified 22 patients with HIT who were treated by our group with a combination of NOAC and a short course of argatroban. These patients were evaluated in a prospective fashion for development of outcomes at a mean follow up of 19 ± 3 months. Results There were a total of 5 deep and 2 superficial vein thromboses diagnosed at index hospitalization. No patient developed arterial thrombosis. All patients tolerated NOAC and their platelet count normalized before discharge. At 19 months of follow-up, 6 patients had died of non-thrombotic causes. There was no bleeding, limb loss or recurrent venous thromboembolism in any patient. Conclusions In patients with HIT, a short course of parenteral treatment with argatroban followed by administration of a NOAC is highly safe and effective in prevention of thrombosis and normalization of platelet count. Development of HIT however, portends a poor prognosis independent of vascular thrombosis.","author":[{"dropping-particle":"","family":"Sharifi","given":"Mohsen","non-dropping-particle":"","parse-names":false,"suffix":""},{"dropping-particle":"","family":"Bay","given":"Curt","non-dropping-particle":"","parse-names":false,"suffix":""},{"dropping-particle":"","family":"Vajo","given":"Zoltan","non-dropping-particle":"","parse-names":false,"suffix":""},{"dropping-particle":"","family":"Freeman","given":"Wilbur","non-dropping-particle":"","parse-names":false,"suffix":""},{"dropping-particle":"","family":"Sharifi","given":"Mirali","non-dropping-particle":"","parse-names":false,"suffix":""},{"dropping-particle":"","family":"Schwartz","given":"Frederic","non-dropping-particle":"","parse-names":false,"suffix":""}],"container-title":"Thrombosis Research","id":"ITEM-1","issue":"4","issued":{"date-parts":[["2015","4","1"]]},"page":"607-609","publisher":"Elsevier Ltd","title":"New oral anticoagulants in the treatment of heparin- Induced thrombocytopenia","type":"article-journal","volume":"135"},"uris":["http://www.mendeley.com/documents/?uuid=c18762a2-54f4-3dcb-8daf-003be3aa9168"]}],"mendeley":{"formattedCitation":"[93]","plainTextFormattedCitation":"[93]","previouslyFormattedCitation":"[93]"},"properties":{"noteIndex":0},"schema":"https://github.com/citation-style-language/schema/raw/master/csl-citation.json"}</w:instrText>
      </w:r>
      <w:r>
        <w:rPr>
          <w:szCs w:val="24"/>
        </w:rPr>
        <w:fldChar w:fldCharType="separate"/>
      </w:r>
      <w:r w:rsidR="00D70CEE" w:rsidRPr="00D70CEE">
        <w:rPr>
          <w:noProof/>
          <w:szCs w:val="24"/>
        </w:rPr>
        <w:t>[93]</w:t>
      </w:r>
      <w:r>
        <w:rPr>
          <w:szCs w:val="24"/>
        </w:rPr>
        <w:fldChar w:fldCharType="end"/>
      </w:r>
      <w:r>
        <w:rPr>
          <w:rFonts w:eastAsia="Times New Roman"/>
          <w:szCs w:val="24"/>
          <w:lang w:eastAsia="ru-RU"/>
        </w:rPr>
        <w:t xml:space="preserve">: </w:t>
      </w:r>
    </w:p>
    <w:p w14:paraId="34764F31" w14:textId="77777777" w:rsidR="001C2557" w:rsidRPr="00C83EC0" w:rsidRDefault="001C2557" w:rsidP="001C2557">
      <w:pPr>
        <w:pStyle w:val="afe"/>
        <w:numPr>
          <w:ilvl w:val="0"/>
          <w:numId w:val="63"/>
        </w:numPr>
        <w:ind w:left="1134"/>
        <w:contextualSpacing w:val="0"/>
        <w:rPr>
          <w:szCs w:val="24"/>
        </w:rPr>
      </w:pPr>
      <w:r w:rsidRPr="00C83EC0">
        <w:rPr>
          <w:szCs w:val="24"/>
        </w:rPr>
        <w:t>ривароксабан в дозе 15 мг 2 раза в сутки во время еды в первые 3 недели, затем в дозе 20 мг 1 раз в сутки во время еды. Доза ривароксабана должна быть скорректирована у пациентов с нарушенной выделительной функцией почек. Следует помнить, что протромбиновое время и АЧТВ не отражают истинной концентрации и эффект ПОАК;</w:t>
      </w:r>
    </w:p>
    <w:p w14:paraId="39C8D1D5" w14:textId="77777777" w:rsidR="001C2557" w:rsidRPr="00C83EC0" w:rsidRDefault="001C2557" w:rsidP="001C2557">
      <w:pPr>
        <w:pStyle w:val="afe"/>
        <w:numPr>
          <w:ilvl w:val="0"/>
          <w:numId w:val="63"/>
        </w:numPr>
        <w:ind w:left="1134"/>
        <w:contextualSpacing w:val="0"/>
        <w:rPr>
          <w:rFonts w:eastAsia="Times New Roman"/>
          <w:szCs w:val="24"/>
          <w:lang w:eastAsia="ru-RU"/>
        </w:rPr>
      </w:pPr>
      <w:r w:rsidRPr="00C83EC0">
        <w:rPr>
          <w:rFonts w:eastAsia="Times New Roman"/>
          <w:szCs w:val="24"/>
          <w:lang w:eastAsia="ru-RU"/>
        </w:rPr>
        <w:t>дабигатрана этексилат назначают в дозе 150 г 2 раза в сутки; исследование тромбинового времени помогает подбирать необходимую дозу дабигатрана этексилата. При его удлинении более 120</w:t>
      </w:r>
      <w:r w:rsidRPr="00C83EC0">
        <w:rPr>
          <w:i/>
          <w:szCs w:val="24"/>
        </w:rPr>
        <w:t>—</w:t>
      </w:r>
      <w:r w:rsidRPr="00C83EC0">
        <w:rPr>
          <w:rFonts w:eastAsia="Times New Roman"/>
          <w:szCs w:val="24"/>
          <w:lang w:eastAsia="ru-RU"/>
        </w:rPr>
        <w:t xml:space="preserve">150 сек дозу препарата уменьшают до 110 мг 2 раза в сутки. Больным старше 75 лет дабигатрана этексилата назначают в дозе 75 мг 2 раза в сутки; </w:t>
      </w:r>
    </w:p>
    <w:p w14:paraId="6826B9B5" w14:textId="77777777" w:rsidR="001C2557" w:rsidRPr="00C83EC0" w:rsidRDefault="001C2557" w:rsidP="001C2557">
      <w:pPr>
        <w:pStyle w:val="afe"/>
        <w:numPr>
          <w:ilvl w:val="0"/>
          <w:numId w:val="63"/>
        </w:numPr>
        <w:ind w:left="1134"/>
        <w:contextualSpacing w:val="0"/>
        <w:rPr>
          <w:rFonts w:eastAsia="Times New Roman"/>
          <w:szCs w:val="24"/>
          <w:lang w:eastAsia="ru-RU"/>
        </w:rPr>
      </w:pPr>
      <w:r w:rsidRPr="00C83EC0">
        <w:rPr>
          <w:rFonts w:eastAsia="Times New Roman"/>
          <w:szCs w:val="24"/>
          <w:lang w:eastAsia="ru-RU"/>
        </w:rPr>
        <w:t>апиксабан применяют в дозе 5 мг 2 раза в сутки. Больным старше 75 лет апиксабан назначают в дозе 2,5 мг 2 раза в сутки. Лабораторный контроль не проводится;</w:t>
      </w:r>
    </w:p>
    <w:p w14:paraId="30AF5316" w14:textId="77777777" w:rsidR="001C2557" w:rsidRPr="00C83EC0" w:rsidRDefault="001C2557" w:rsidP="001C2557">
      <w:pPr>
        <w:pStyle w:val="afe"/>
        <w:numPr>
          <w:ilvl w:val="0"/>
          <w:numId w:val="63"/>
        </w:numPr>
        <w:ind w:left="1134"/>
        <w:contextualSpacing w:val="0"/>
        <w:rPr>
          <w:rFonts w:eastAsia="Times New Roman"/>
          <w:szCs w:val="24"/>
          <w:lang w:eastAsia="ru-RU"/>
        </w:rPr>
      </w:pPr>
      <w:r w:rsidRPr="00C83EC0">
        <w:rPr>
          <w:rFonts w:eastAsia="Times New Roman"/>
          <w:szCs w:val="24"/>
          <w:lang w:eastAsia="ru-RU"/>
        </w:rPr>
        <w:t>сулодексид 250 ЛЕ х 2 раза в день.</w:t>
      </w:r>
    </w:p>
    <w:p w14:paraId="51132FE8" w14:textId="77777777" w:rsidR="001C2557" w:rsidRDefault="001C2557" w:rsidP="001C2557">
      <w:pPr>
        <w:rPr>
          <w:szCs w:val="24"/>
        </w:rPr>
      </w:pPr>
      <w:r>
        <w:rPr>
          <w:rFonts w:eastAsia="Times New Roman"/>
          <w:szCs w:val="24"/>
          <w:lang w:eastAsia="ru-RU"/>
        </w:rPr>
        <w:t xml:space="preserve">Антагонист витамина К (АВК) – варфарин. </w:t>
      </w:r>
      <w:r>
        <w:rPr>
          <w:szCs w:val="24"/>
        </w:rPr>
        <w:t>Препарат следует принимать один раз в день в фиксированное время (предпочтительнее вечером) после еды. Доза варфарина корригируется по показателю МНО</w:t>
      </w:r>
      <w:r>
        <w:rPr>
          <w:rFonts w:eastAsia="Times New Roman"/>
          <w:szCs w:val="24"/>
          <w:lang w:eastAsia="ru-RU"/>
        </w:rPr>
        <w:t>. Целевые значения МНО при лечении варфарином составляют 2-2,5. У пациентов с искусственными клапанами сердца МНО на терапии варфарином должно составлять 3.0-4.0.</w:t>
      </w:r>
      <w:r>
        <w:rPr>
          <w:rFonts w:ascii="Arial" w:eastAsia="Times New Roman" w:hAnsi="Arial" w:cs="Arial"/>
          <w:color w:val="FF0000"/>
          <w:szCs w:val="24"/>
          <w:lang w:eastAsia="ru-RU"/>
        </w:rPr>
        <w:t xml:space="preserve"> </w:t>
      </w:r>
      <w:r>
        <w:rPr>
          <w:szCs w:val="24"/>
        </w:rPr>
        <w:t xml:space="preserve">Начальная доза препарата для пациентов, которые ранее не применяли варфарин, составляет 2,5-5,0 мг/сут. Для пациентов, которые ранее применяли варфарин, рекомендуемая стартовая доза составляет двойную дозу известной поддерживающей дозы препарата и назначается в течение первых 2-х дней. В случае необходимости перевода пациента с инъекций НМГ на длительный прием АВК, рекомендуется в течение первых 4-5 дней приема варфарина продолжать инъекции НМГ в профилактической дозе во избежание тромботических осложнений вследствие угнетения активности протеина С АВК. Первый контроль MHO следует проводить через 24-48 часов после начала приема варфарина. На протяжении первой недели определение MHO рекомендуется проводить ежедневно. </w:t>
      </w:r>
      <w:r>
        <w:rPr>
          <w:rFonts w:eastAsia="Times New Roman"/>
          <w:szCs w:val="24"/>
          <w:lang w:eastAsia="ru-RU"/>
        </w:rPr>
        <w:t xml:space="preserve">Через 3-4 дня одновременного применения варфарина и гепарина проводят исследование МНО. При достижении МНО 2,0 и более - гепарин отменяется. Если МНО меньше 2,0, то дозу варфарина увеличивают на 0,5 таблетки и продолжают одновременные применение варфарина и гепарина в течение 3 дней. Вновь проводят исследование МНО. Если МНО 2,0 и более, то гепарин отменяется. </w:t>
      </w:r>
      <w:r>
        <w:rPr>
          <w:szCs w:val="24"/>
        </w:rPr>
        <w:t>Схема подбора дозы варфарина представлена в таблице 3. В дальнейшем лабораторный контроль проводят регулярно каждые 4-8 недель.</w:t>
      </w:r>
    </w:p>
    <w:p w14:paraId="6821CAF8" w14:textId="77777777" w:rsidR="001C2557" w:rsidRDefault="001C2557" w:rsidP="001C2557">
      <w:pPr>
        <w:ind w:firstLine="708"/>
        <w:rPr>
          <w:szCs w:val="24"/>
        </w:rPr>
      </w:pPr>
    </w:p>
    <w:p w14:paraId="73747750" w14:textId="77777777" w:rsidR="001C2557" w:rsidRPr="00B46409" w:rsidRDefault="001C2557" w:rsidP="001C2557">
      <w:pPr>
        <w:ind w:firstLine="0"/>
        <w:rPr>
          <w:szCs w:val="24"/>
        </w:rPr>
      </w:pPr>
      <w:r w:rsidRPr="00B46409">
        <w:rPr>
          <w:szCs w:val="24"/>
        </w:rPr>
        <w:t xml:space="preserve">Таблица </w:t>
      </w:r>
      <w:r>
        <w:rPr>
          <w:szCs w:val="24"/>
        </w:rPr>
        <w:t>3</w:t>
      </w:r>
      <w:r w:rsidRPr="00B46409">
        <w:rPr>
          <w:szCs w:val="24"/>
        </w:rPr>
        <w:t xml:space="preserve">. </w:t>
      </w:r>
      <w:r w:rsidRPr="00B46409">
        <w:rPr>
          <w:bCs/>
          <w:szCs w:val="24"/>
        </w:rPr>
        <w:t>Коррекция дозы варфарина в зависимости от МНО</w:t>
      </w:r>
    </w:p>
    <w:tbl>
      <w:tblPr>
        <w:tblStyle w:val="1f8"/>
        <w:tblW w:w="89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4394"/>
        <w:gridCol w:w="4570"/>
      </w:tblGrid>
      <w:tr w:rsidR="001C2557" w14:paraId="3C41600D" w14:textId="77777777" w:rsidTr="002D3EBF">
        <w:trPr>
          <w:trHeight w:val="374"/>
        </w:trPr>
        <w:tc>
          <w:tcPr>
            <w:tcW w:w="4394" w:type="dxa"/>
            <w:shd w:val="clear" w:color="auto" w:fill="auto"/>
          </w:tcPr>
          <w:p w14:paraId="5612357E" w14:textId="77777777" w:rsidR="001C2557" w:rsidRPr="007C4816" w:rsidRDefault="001C2557" w:rsidP="002D3EBF">
            <w:pPr>
              <w:ind w:firstLine="0"/>
              <w:jc w:val="center"/>
              <w:rPr>
                <w:rFonts w:cs="Times New Roman"/>
                <w:szCs w:val="24"/>
              </w:rPr>
            </w:pPr>
            <w:r w:rsidRPr="007C4816">
              <w:rPr>
                <w:rFonts w:eastAsiaTheme="majorEastAsia" w:cs="Times New Roman"/>
                <w:bCs/>
                <w:szCs w:val="24"/>
              </w:rPr>
              <w:t xml:space="preserve"> </w:t>
            </w:r>
            <w:r>
              <w:rPr>
                <w:rFonts w:eastAsiaTheme="majorEastAsia" w:cs="Times New Roman"/>
                <w:bCs/>
                <w:szCs w:val="24"/>
              </w:rPr>
              <w:t>Дни приема варфарина 2-5</w:t>
            </w:r>
          </w:p>
        </w:tc>
        <w:tc>
          <w:tcPr>
            <w:tcW w:w="4570" w:type="dxa"/>
            <w:shd w:val="clear" w:color="auto" w:fill="auto"/>
          </w:tcPr>
          <w:p w14:paraId="139AFF50" w14:textId="77777777" w:rsidR="001C2557" w:rsidRPr="007C4816" w:rsidRDefault="001C2557" w:rsidP="002D3EBF">
            <w:pPr>
              <w:ind w:firstLine="0"/>
              <w:jc w:val="center"/>
              <w:rPr>
                <w:rFonts w:cs="Times New Roman"/>
                <w:szCs w:val="24"/>
              </w:rPr>
            </w:pPr>
            <w:r w:rsidRPr="007C4816">
              <w:rPr>
                <w:rFonts w:eastAsiaTheme="majorEastAsia" w:cs="Times New Roman"/>
                <w:bCs/>
                <w:szCs w:val="24"/>
              </w:rPr>
              <w:t xml:space="preserve"> </w:t>
            </w:r>
            <w:r>
              <w:rPr>
                <w:rFonts w:eastAsiaTheme="majorEastAsia" w:cs="Times New Roman"/>
                <w:bCs/>
                <w:szCs w:val="24"/>
              </w:rPr>
              <w:t>Дни приема варфарина 6 и далее</w:t>
            </w:r>
          </w:p>
        </w:tc>
      </w:tr>
      <w:tr w:rsidR="001C2557" w14:paraId="063DFF29" w14:textId="77777777" w:rsidTr="002D3EBF">
        <w:trPr>
          <w:trHeight w:val="714"/>
        </w:trPr>
        <w:tc>
          <w:tcPr>
            <w:tcW w:w="4394" w:type="dxa"/>
            <w:shd w:val="clear" w:color="auto" w:fill="auto"/>
          </w:tcPr>
          <w:p w14:paraId="330EB135" w14:textId="77777777" w:rsidR="001C2557" w:rsidRPr="007C4816" w:rsidRDefault="001C2557" w:rsidP="002D3EBF">
            <w:pPr>
              <w:ind w:firstLine="0"/>
              <w:rPr>
                <w:rFonts w:cs="Times New Roman"/>
                <w:szCs w:val="24"/>
              </w:rPr>
            </w:pPr>
            <w:r w:rsidRPr="007C4816">
              <w:rPr>
                <w:rFonts w:eastAsiaTheme="majorEastAsia" w:cs="Times New Roman"/>
                <w:bCs/>
                <w:szCs w:val="24"/>
              </w:rPr>
              <w:t>МНО</w:t>
            </w:r>
            <w:r>
              <w:rPr>
                <w:rFonts w:eastAsiaTheme="majorEastAsia" w:cs="Times New Roman"/>
                <w:bCs/>
                <w:szCs w:val="24"/>
              </w:rPr>
              <w:t xml:space="preserve"> 1.1–</w:t>
            </w:r>
            <w:r w:rsidRPr="007C4816">
              <w:rPr>
                <w:rFonts w:eastAsiaTheme="majorEastAsia" w:cs="Times New Roman"/>
                <w:bCs/>
                <w:szCs w:val="24"/>
              </w:rPr>
              <w:t>1.3 – повторить инициальную дозу</w:t>
            </w:r>
          </w:p>
        </w:tc>
        <w:tc>
          <w:tcPr>
            <w:tcW w:w="4570" w:type="dxa"/>
            <w:shd w:val="clear" w:color="auto" w:fill="auto"/>
          </w:tcPr>
          <w:p w14:paraId="55B119F7" w14:textId="77777777" w:rsidR="001C2557" w:rsidRPr="007C4816" w:rsidRDefault="001C2557" w:rsidP="002D3EBF">
            <w:pPr>
              <w:ind w:firstLine="0"/>
              <w:rPr>
                <w:rFonts w:cs="Times New Roman"/>
                <w:szCs w:val="24"/>
              </w:rPr>
            </w:pPr>
            <w:r w:rsidRPr="007C4816">
              <w:rPr>
                <w:rFonts w:eastAsiaTheme="majorEastAsia" w:cs="Times New Roman"/>
                <w:bCs/>
                <w:szCs w:val="24"/>
              </w:rPr>
              <w:t>МНО</w:t>
            </w:r>
            <w:r>
              <w:rPr>
                <w:rFonts w:eastAsiaTheme="majorEastAsia" w:cs="Times New Roman"/>
                <w:bCs/>
                <w:szCs w:val="24"/>
              </w:rPr>
              <w:t xml:space="preserve"> 1.1–</w:t>
            </w:r>
            <w:r w:rsidRPr="007C4816">
              <w:rPr>
                <w:rFonts w:eastAsiaTheme="majorEastAsia" w:cs="Times New Roman"/>
                <w:bCs/>
                <w:szCs w:val="24"/>
              </w:rPr>
              <w:t>1.4 – увеличить дозу на 20%</w:t>
            </w:r>
          </w:p>
        </w:tc>
      </w:tr>
      <w:tr w:rsidR="001C2557" w14:paraId="4B4FAA84" w14:textId="77777777" w:rsidTr="002D3EBF">
        <w:trPr>
          <w:trHeight w:val="515"/>
        </w:trPr>
        <w:tc>
          <w:tcPr>
            <w:tcW w:w="4394" w:type="dxa"/>
            <w:shd w:val="clear" w:color="auto" w:fill="auto"/>
          </w:tcPr>
          <w:p w14:paraId="137286FD" w14:textId="77777777" w:rsidR="001C2557" w:rsidRPr="007C4816" w:rsidRDefault="001C2557" w:rsidP="002D3EBF">
            <w:pPr>
              <w:ind w:firstLine="0"/>
              <w:rPr>
                <w:rFonts w:cs="Times New Roman"/>
                <w:szCs w:val="24"/>
              </w:rPr>
            </w:pPr>
            <w:r w:rsidRPr="007C4816">
              <w:rPr>
                <w:rFonts w:eastAsiaTheme="majorEastAsia" w:cs="Times New Roman"/>
                <w:bCs/>
                <w:szCs w:val="24"/>
              </w:rPr>
              <w:t>МНО 1.4–1.9 – 50% инициальной дозы</w:t>
            </w:r>
          </w:p>
        </w:tc>
        <w:tc>
          <w:tcPr>
            <w:tcW w:w="4570" w:type="dxa"/>
            <w:shd w:val="clear" w:color="auto" w:fill="auto"/>
          </w:tcPr>
          <w:p w14:paraId="2BB14924" w14:textId="77777777" w:rsidR="001C2557" w:rsidRPr="007C4816" w:rsidRDefault="001C2557" w:rsidP="002D3EBF">
            <w:pPr>
              <w:ind w:firstLine="0"/>
              <w:rPr>
                <w:rFonts w:cs="Times New Roman"/>
                <w:szCs w:val="24"/>
              </w:rPr>
            </w:pPr>
            <w:r w:rsidRPr="007C4816">
              <w:rPr>
                <w:rFonts w:eastAsiaTheme="majorEastAsia" w:cs="Times New Roman"/>
                <w:bCs/>
                <w:szCs w:val="24"/>
              </w:rPr>
              <w:t xml:space="preserve">МНО </w:t>
            </w:r>
            <w:r>
              <w:rPr>
                <w:rFonts w:eastAsiaTheme="majorEastAsia" w:cs="Times New Roman"/>
                <w:bCs/>
                <w:szCs w:val="24"/>
              </w:rPr>
              <w:t>1.5–</w:t>
            </w:r>
            <w:r w:rsidRPr="007C4816">
              <w:rPr>
                <w:rFonts w:eastAsiaTheme="majorEastAsia" w:cs="Times New Roman"/>
                <w:bCs/>
                <w:szCs w:val="24"/>
              </w:rPr>
              <w:t>1.9 – увеличить дозу на 10%</w:t>
            </w:r>
          </w:p>
        </w:tc>
      </w:tr>
      <w:tr w:rsidR="001C2557" w14:paraId="406E7274" w14:textId="77777777" w:rsidTr="002D3EBF">
        <w:trPr>
          <w:trHeight w:val="539"/>
        </w:trPr>
        <w:tc>
          <w:tcPr>
            <w:tcW w:w="4394" w:type="dxa"/>
            <w:shd w:val="clear" w:color="auto" w:fill="auto"/>
          </w:tcPr>
          <w:p w14:paraId="4A4D6BE2" w14:textId="77777777" w:rsidR="001C2557" w:rsidRPr="007C4816" w:rsidRDefault="001C2557" w:rsidP="002D3EBF">
            <w:pPr>
              <w:ind w:firstLine="0"/>
              <w:rPr>
                <w:rFonts w:cs="Times New Roman"/>
                <w:szCs w:val="24"/>
              </w:rPr>
            </w:pPr>
            <w:r w:rsidRPr="007C4816">
              <w:rPr>
                <w:rFonts w:eastAsiaTheme="majorEastAsia" w:cs="Times New Roman"/>
                <w:bCs/>
                <w:szCs w:val="24"/>
              </w:rPr>
              <w:t xml:space="preserve">МНО </w:t>
            </w:r>
            <w:r>
              <w:rPr>
                <w:rFonts w:eastAsiaTheme="majorEastAsia" w:cs="Times New Roman"/>
                <w:bCs/>
                <w:szCs w:val="24"/>
              </w:rPr>
              <w:t>2.0</w:t>
            </w:r>
            <w:r w:rsidRPr="007C4816">
              <w:rPr>
                <w:rFonts w:eastAsiaTheme="majorEastAsia" w:cs="Times New Roman"/>
                <w:bCs/>
                <w:szCs w:val="24"/>
              </w:rPr>
              <w:t>–3.0 – 50% инициальной дозы</w:t>
            </w:r>
          </w:p>
        </w:tc>
        <w:tc>
          <w:tcPr>
            <w:tcW w:w="4570" w:type="dxa"/>
            <w:shd w:val="clear" w:color="auto" w:fill="auto"/>
          </w:tcPr>
          <w:p w14:paraId="1730A674" w14:textId="77777777" w:rsidR="001C2557" w:rsidRPr="007C4816" w:rsidRDefault="001C2557" w:rsidP="002D3EBF">
            <w:pPr>
              <w:ind w:firstLine="0"/>
              <w:rPr>
                <w:rFonts w:cs="Times New Roman"/>
                <w:szCs w:val="24"/>
              </w:rPr>
            </w:pPr>
            <w:r w:rsidRPr="007C4816">
              <w:rPr>
                <w:rFonts w:eastAsiaTheme="majorEastAsia" w:cs="Times New Roman"/>
                <w:bCs/>
                <w:szCs w:val="24"/>
              </w:rPr>
              <w:t xml:space="preserve">МНО </w:t>
            </w:r>
            <w:r>
              <w:rPr>
                <w:rFonts w:eastAsiaTheme="majorEastAsia" w:cs="Times New Roman"/>
                <w:bCs/>
                <w:szCs w:val="24"/>
              </w:rPr>
              <w:t>2.0</w:t>
            </w:r>
            <w:r w:rsidRPr="007C4816">
              <w:rPr>
                <w:rFonts w:eastAsiaTheme="majorEastAsia" w:cs="Times New Roman"/>
                <w:bCs/>
                <w:szCs w:val="24"/>
              </w:rPr>
              <w:t>–3.0 – продолжать без изменений</w:t>
            </w:r>
          </w:p>
        </w:tc>
      </w:tr>
      <w:tr w:rsidR="001C2557" w14:paraId="6668A5D5" w14:textId="77777777" w:rsidTr="002D3EBF">
        <w:trPr>
          <w:trHeight w:val="437"/>
        </w:trPr>
        <w:tc>
          <w:tcPr>
            <w:tcW w:w="4394" w:type="dxa"/>
            <w:shd w:val="clear" w:color="auto" w:fill="auto"/>
          </w:tcPr>
          <w:p w14:paraId="68299C76" w14:textId="77777777" w:rsidR="001C2557" w:rsidRPr="007C4816" w:rsidRDefault="001C2557" w:rsidP="002D3EBF">
            <w:pPr>
              <w:ind w:firstLine="0"/>
              <w:rPr>
                <w:rFonts w:cs="Times New Roman"/>
                <w:szCs w:val="24"/>
              </w:rPr>
            </w:pPr>
            <w:r w:rsidRPr="007C4816">
              <w:rPr>
                <w:rFonts w:eastAsiaTheme="majorEastAsia" w:cs="Times New Roman"/>
                <w:bCs/>
                <w:szCs w:val="24"/>
              </w:rPr>
              <w:t>МНО 3.1–3.5 – 25% инициальной дозы</w:t>
            </w:r>
          </w:p>
        </w:tc>
        <w:tc>
          <w:tcPr>
            <w:tcW w:w="4570" w:type="dxa"/>
            <w:shd w:val="clear" w:color="auto" w:fill="auto"/>
          </w:tcPr>
          <w:p w14:paraId="1F645048" w14:textId="77777777" w:rsidR="001C2557" w:rsidRPr="007C4816" w:rsidRDefault="001C2557" w:rsidP="002D3EBF">
            <w:pPr>
              <w:ind w:firstLine="0"/>
              <w:rPr>
                <w:rFonts w:cs="Times New Roman"/>
                <w:szCs w:val="24"/>
              </w:rPr>
            </w:pPr>
            <w:r w:rsidRPr="007C4816">
              <w:rPr>
                <w:rFonts w:eastAsiaTheme="majorEastAsia" w:cs="Times New Roman"/>
                <w:bCs/>
                <w:szCs w:val="24"/>
              </w:rPr>
              <w:t xml:space="preserve">МНО </w:t>
            </w:r>
            <w:r>
              <w:rPr>
                <w:rFonts w:eastAsiaTheme="majorEastAsia" w:cs="Times New Roman"/>
                <w:bCs/>
                <w:szCs w:val="24"/>
              </w:rPr>
              <w:t>3.1–</w:t>
            </w:r>
            <w:r w:rsidRPr="007C4816">
              <w:rPr>
                <w:rFonts w:eastAsiaTheme="majorEastAsia" w:cs="Times New Roman"/>
                <w:bCs/>
                <w:szCs w:val="24"/>
              </w:rPr>
              <w:t>3.5 – уменьшить дозу на 10%</w:t>
            </w:r>
          </w:p>
        </w:tc>
      </w:tr>
      <w:tr w:rsidR="001C2557" w14:paraId="5EDBDA24" w14:textId="77777777" w:rsidTr="002D3EBF">
        <w:trPr>
          <w:trHeight w:val="565"/>
        </w:trPr>
        <w:tc>
          <w:tcPr>
            <w:tcW w:w="4394" w:type="dxa"/>
            <w:vMerge w:val="restart"/>
            <w:shd w:val="clear" w:color="auto" w:fill="auto"/>
          </w:tcPr>
          <w:p w14:paraId="57AEC7C0" w14:textId="77777777" w:rsidR="001C2557" w:rsidRPr="007C4816" w:rsidRDefault="001C2557" w:rsidP="002D3EBF">
            <w:pPr>
              <w:ind w:firstLine="0"/>
              <w:rPr>
                <w:rFonts w:cs="Times New Roman"/>
                <w:szCs w:val="24"/>
              </w:rPr>
            </w:pPr>
            <w:r w:rsidRPr="007C4816">
              <w:rPr>
                <w:rFonts w:eastAsiaTheme="majorEastAsia" w:cs="Times New Roman"/>
                <w:bCs/>
                <w:szCs w:val="24"/>
              </w:rPr>
              <w:t>МНО &gt;</w:t>
            </w:r>
            <w:r w:rsidRPr="007C4816">
              <w:rPr>
                <w:rFonts w:eastAsiaTheme="majorEastAsia" w:cs="Times New Roman"/>
                <w:bCs/>
                <w:szCs w:val="24"/>
                <w:lang w:val="pl-PL"/>
              </w:rPr>
              <w:t xml:space="preserve"> 3</w:t>
            </w:r>
            <w:r w:rsidRPr="007C4816">
              <w:rPr>
                <w:rFonts w:eastAsiaTheme="majorEastAsia" w:cs="Times New Roman"/>
                <w:bCs/>
                <w:szCs w:val="24"/>
              </w:rPr>
              <w:t xml:space="preserve">.5 – пауза до тех пор, пока МНО не станет &lt; 3.5, затем начать повторный прием </w:t>
            </w:r>
            <w:r>
              <w:rPr>
                <w:rFonts w:eastAsiaTheme="majorEastAsia" w:cs="Times New Roman"/>
                <w:bCs/>
                <w:szCs w:val="24"/>
              </w:rPr>
              <w:t>50% предшествующей дозы</w:t>
            </w:r>
          </w:p>
          <w:p w14:paraId="6731F5C0" w14:textId="77777777" w:rsidR="001C2557" w:rsidRPr="007C4816" w:rsidRDefault="001C2557" w:rsidP="002D3EBF">
            <w:pPr>
              <w:ind w:firstLine="0"/>
              <w:jc w:val="center"/>
              <w:rPr>
                <w:rFonts w:cs="Times New Roman"/>
                <w:szCs w:val="24"/>
              </w:rPr>
            </w:pPr>
          </w:p>
        </w:tc>
        <w:tc>
          <w:tcPr>
            <w:tcW w:w="4570" w:type="dxa"/>
            <w:shd w:val="clear" w:color="auto" w:fill="auto"/>
          </w:tcPr>
          <w:p w14:paraId="02ADC143" w14:textId="77777777" w:rsidR="001C2557" w:rsidRPr="007C4816" w:rsidRDefault="001C2557" w:rsidP="002D3EBF">
            <w:pPr>
              <w:ind w:firstLine="0"/>
              <w:rPr>
                <w:rFonts w:cs="Times New Roman"/>
                <w:szCs w:val="24"/>
              </w:rPr>
            </w:pPr>
            <w:r w:rsidRPr="007C4816">
              <w:rPr>
                <w:rFonts w:eastAsiaTheme="majorEastAsia" w:cs="Times New Roman"/>
                <w:bCs/>
                <w:szCs w:val="24"/>
              </w:rPr>
              <w:t xml:space="preserve">МНО </w:t>
            </w:r>
            <w:r>
              <w:rPr>
                <w:rFonts w:eastAsiaTheme="majorEastAsia" w:cs="Times New Roman"/>
                <w:bCs/>
                <w:szCs w:val="24"/>
              </w:rPr>
              <w:t>3.6</w:t>
            </w:r>
            <w:r w:rsidRPr="007C4816">
              <w:rPr>
                <w:rFonts w:eastAsiaTheme="majorEastAsia" w:cs="Times New Roman"/>
                <w:bCs/>
                <w:szCs w:val="24"/>
              </w:rPr>
              <w:t>–4.0 – однократно 50% дозы, затем в уменьшенной на 20%</w:t>
            </w:r>
            <w:r>
              <w:rPr>
                <w:rFonts w:eastAsiaTheme="majorEastAsia" w:cs="Times New Roman"/>
                <w:bCs/>
                <w:szCs w:val="24"/>
              </w:rPr>
              <w:t xml:space="preserve"> дозе</w:t>
            </w:r>
          </w:p>
        </w:tc>
      </w:tr>
      <w:tr w:rsidR="001C2557" w14:paraId="7F727027" w14:textId="77777777" w:rsidTr="002D3EBF">
        <w:trPr>
          <w:trHeight w:val="755"/>
        </w:trPr>
        <w:tc>
          <w:tcPr>
            <w:tcW w:w="4394" w:type="dxa"/>
            <w:vMerge/>
            <w:shd w:val="clear" w:color="auto" w:fill="auto"/>
          </w:tcPr>
          <w:p w14:paraId="334C76C4" w14:textId="77777777" w:rsidR="001C2557" w:rsidRPr="007C4816" w:rsidRDefault="001C2557" w:rsidP="002D3EBF">
            <w:pPr>
              <w:ind w:firstLine="0"/>
              <w:jc w:val="center"/>
              <w:rPr>
                <w:rFonts w:eastAsiaTheme="majorEastAsia" w:cs="Times New Roman"/>
                <w:bCs/>
                <w:szCs w:val="24"/>
              </w:rPr>
            </w:pPr>
          </w:p>
        </w:tc>
        <w:tc>
          <w:tcPr>
            <w:tcW w:w="4570" w:type="dxa"/>
            <w:shd w:val="clear" w:color="auto" w:fill="auto"/>
          </w:tcPr>
          <w:p w14:paraId="177505F6" w14:textId="77777777" w:rsidR="001C2557" w:rsidRPr="007C4816" w:rsidRDefault="001C2557" w:rsidP="002D3EBF">
            <w:pPr>
              <w:ind w:firstLine="0"/>
              <w:rPr>
                <w:rFonts w:cs="Times New Roman"/>
                <w:szCs w:val="24"/>
              </w:rPr>
            </w:pPr>
            <w:r w:rsidRPr="007C4816">
              <w:rPr>
                <w:rFonts w:eastAsiaTheme="majorEastAsia" w:cs="Times New Roman"/>
                <w:bCs/>
                <w:szCs w:val="24"/>
              </w:rPr>
              <w:t>МНО &gt; 4.0 пауза до тех пор, пока МНО не станет &lt; 3.5, затем начать повторный прием (25% предшествующей дозы)</w:t>
            </w:r>
          </w:p>
        </w:tc>
      </w:tr>
    </w:tbl>
    <w:p w14:paraId="64457470" w14:textId="77777777" w:rsidR="001C2557" w:rsidRDefault="001C2557" w:rsidP="001C2557">
      <w:pPr>
        <w:rPr>
          <w:strike/>
          <w:szCs w:val="24"/>
        </w:rPr>
      </w:pPr>
    </w:p>
    <w:p w14:paraId="5790D8A8" w14:textId="77777777" w:rsidR="001C2557" w:rsidRDefault="001C2557" w:rsidP="001C2557">
      <w:pPr>
        <w:rPr>
          <w:rFonts w:eastAsia="Times New Roman"/>
          <w:szCs w:val="24"/>
          <w:lang w:eastAsia="ru-RU"/>
        </w:rPr>
      </w:pPr>
      <w:r>
        <w:rPr>
          <w:rFonts w:eastAsia="Times New Roman"/>
          <w:szCs w:val="24"/>
          <w:lang w:eastAsia="ru-RU"/>
        </w:rPr>
        <w:t xml:space="preserve">В случае если при лечении варфарином появляется патологическая кровоточивость, необходимо определить протромбин по Квику (МНО), отменить варфарин. В лечении тяжелых варфариновых кровотечений используются: концентраты протромбинового комплекса или свежезамороженная плазма (СЗП). </w:t>
      </w:r>
    </w:p>
    <w:p w14:paraId="6AD49B6A" w14:textId="77777777" w:rsidR="001C2557" w:rsidRDefault="001C2557" w:rsidP="001C2557">
      <w:pPr>
        <w:rPr>
          <w:szCs w:val="24"/>
        </w:rPr>
      </w:pPr>
      <w:r>
        <w:rPr>
          <w:szCs w:val="24"/>
        </w:rPr>
        <w:t>Перевод пациентов с парентеральных препаратов на прямые пероральные антитромботические средства может производиться по следующему алгоритму:</w:t>
      </w:r>
    </w:p>
    <w:p w14:paraId="795B3168" w14:textId="77777777" w:rsidR="001C2557" w:rsidRDefault="001C2557" w:rsidP="001C2557">
      <w:pPr>
        <w:pStyle w:val="afe"/>
        <w:numPr>
          <w:ilvl w:val="0"/>
          <w:numId w:val="54"/>
        </w:numPr>
        <w:ind w:left="1134"/>
        <w:rPr>
          <w:szCs w:val="24"/>
        </w:rPr>
      </w:pPr>
      <w:r>
        <w:rPr>
          <w:szCs w:val="24"/>
        </w:rPr>
        <w:t>лечение прямыми пероральными антикоагулянтами должно быть начато за 0-2 часа до следующего планового введения парентерального антикоагулянта;</w:t>
      </w:r>
    </w:p>
    <w:p w14:paraId="3A836562" w14:textId="77777777" w:rsidR="001C2557" w:rsidRDefault="001C2557" w:rsidP="001C2557">
      <w:pPr>
        <w:pStyle w:val="afe"/>
        <w:numPr>
          <w:ilvl w:val="0"/>
          <w:numId w:val="54"/>
        </w:numPr>
        <w:ind w:left="1134"/>
        <w:rPr>
          <w:szCs w:val="24"/>
        </w:rPr>
      </w:pPr>
      <w:r>
        <w:rPr>
          <w:szCs w:val="24"/>
        </w:rPr>
        <w:t>замена введения очередной дозы парентерального препарата приемом дозы перорального антикоагулянта для НМГ и фондапаринукса – через 24 часа, для НФГ – через 8 часов (для ривароксабана – прием пероральной формы сразу после отмены НФГ).</w:t>
      </w:r>
    </w:p>
    <w:p w14:paraId="5DD52B27" w14:textId="77777777" w:rsidR="001C2557" w:rsidRDefault="001C2557" w:rsidP="001C2557">
      <w:pPr>
        <w:rPr>
          <w:rFonts w:eastAsia="Times New Roman"/>
          <w:szCs w:val="24"/>
          <w:lang w:eastAsia="ru-RU"/>
        </w:rPr>
      </w:pPr>
      <w:r>
        <w:rPr>
          <w:rFonts w:eastAsia="Times New Roman"/>
          <w:szCs w:val="24"/>
          <w:lang w:eastAsia="ru-RU"/>
        </w:rPr>
        <w:t>Препараты АВК и ПОАК можно использовать в виде монотерапии для профилактики тромботических нарушений во время ХТ и других видов специфического лечения.</w:t>
      </w:r>
    </w:p>
    <w:p w14:paraId="55E56D1B" w14:textId="77777777" w:rsidR="001C2557" w:rsidRDefault="001C2557" w:rsidP="001C2557">
      <w:pPr>
        <w:rPr>
          <w:szCs w:val="24"/>
        </w:rPr>
      </w:pPr>
      <w:r>
        <w:rPr>
          <w:szCs w:val="24"/>
        </w:rPr>
        <w:t>В настоящее время перевод пациентов с приема пероральных антикоагулянтов к парентеральному введению антикоагулянтов осуществляется по следующему алгоритму:</w:t>
      </w:r>
    </w:p>
    <w:p w14:paraId="5D977AE6" w14:textId="77777777" w:rsidR="001C2557" w:rsidRDefault="001C2557" w:rsidP="001C2557">
      <w:pPr>
        <w:pStyle w:val="afe"/>
        <w:numPr>
          <w:ilvl w:val="0"/>
          <w:numId w:val="55"/>
        </w:numPr>
        <w:ind w:left="1134"/>
        <w:rPr>
          <w:szCs w:val="24"/>
        </w:rPr>
      </w:pPr>
      <w:r>
        <w:rPr>
          <w:szCs w:val="24"/>
        </w:rPr>
        <w:t>для дабигатрана этексилата или ривароксабана необходим перерыв 24 часа с приема последней дозы, после чего нужно ввести парентеральный антикоагулянт;</w:t>
      </w:r>
    </w:p>
    <w:p w14:paraId="1752BE72" w14:textId="77777777" w:rsidR="001C2557" w:rsidRDefault="001C2557" w:rsidP="001C2557">
      <w:pPr>
        <w:pStyle w:val="afe"/>
        <w:numPr>
          <w:ilvl w:val="0"/>
          <w:numId w:val="55"/>
        </w:numPr>
        <w:ind w:left="1134"/>
        <w:rPr>
          <w:szCs w:val="24"/>
        </w:rPr>
      </w:pPr>
      <w:r>
        <w:rPr>
          <w:szCs w:val="24"/>
        </w:rPr>
        <w:t>для апиксабана – выждать 12 часов с приема последней дозы и ввести парентеральный антикоагулянт.</w:t>
      </w:r>
    </w:p>
    <w:p w14:paraId="5C60DCAD" w14:textId="77777777" w:rsidR="001C2557" w:rsidRDefault="001C2557" w:rsidP="001C2557">
      <w:pPr>
        <w:ind w:firstLine="708"/>
        <w:rPr>
          <w:bCs/>
          <w:szCs w:val="24"/>
        </w:rPr>
      </w:pPr>
      <w:r>
        <w:rPr>
          <w:bCs/>
          <w:szCs w:val="24"/>
        </w:rPr>
        <w:t>Гематологическим пациентам с высоким риском тромботических осложнений необходимо обязательное проведение антитромботической профилактики в случае проведения хирургического вмешательства. Дозы и режимы лекарственных препаратов представлены в таблице 4.</w:t>
      </w:r>
    </w:p>
    <w:p w14:paraId="0AFEBAB5" w14:textId="77777777" w:rsidR="001C2557" w:rsidRDefault="001C2557" w:rsidP="001C2557">
      <w:pPr>
        <w:ind w:firstLine="0"/>
        <w:rPr>
          <w:bCs/>
          <w:szCs w:val="24"/>
        </w:rPr>
      </w:pPr>
    </w:p>
    <w:p w14:paraId="694D6DC5" w14:textId="77777777" w:rsidR="001C2557" w:rsidRPr="00B46409" w:rsidRDefault="001C2557" w:rsidP="001C2557">
      <w:pPr>
        <w:ind w:firstLine="0"/>
        <w:rPr>
          <w:bCs/>
          <w:szCs w:val="24"/>
        </w:rPr>
      </w:pPr>
      <w:r w:rsidRPr="00B46409">
        <w:rPr>
          <w:bCs/>
          <w:szCs w:val="24"/>
        </w:rPr>
        <w:t xml:space="preserve">Таблица </w:t>
      </w:r>
      <w:r>
        <w:rPr>
          <w:bCs/>
          <w:szCs w:val="24"/>
        </w:rPr>
        <w:t>4</w:t>
      </w:r>
      <w:r w:rsidRPr="00B46409">
        <w:rPr>
          <w:bCs/>
          <w:szCs w:val="24"/>
        </w:rPr>
        <w:t xml:space="preserve">. Дозы антикоагулянтных препаратов </w:t>
      </w:r>
      <w:r w:rsidRPr="00B46409">
        <w:rPr>
          <w:bCs/>
          <w:iCs/>
          <w:szCs w:val="24"/>
        </w:rPr>
        <w:t>для профилактики</w:t>
      </w:r>
      <w:r>
        <w:rPr>
          <w:bCs/>
          <w:iCs/>
          <w:szCs w:val="24"/>
        </w:rPr>
        <w:t xml:space="preserve"> </w:t>
      </w:r>
      <w:r w:rsidRPr="00B46409">
        <w:rPr>
          <w:bCs/>
          <w:szCs w:val="24"/>
        </w:rPr>
        <w:t>тромботических осложнений при проведении хирургических вмешательств</w:t>
      </w:r>
    </w:p>
    <w:tbl>
      <w:tblPr>
        <w:tblStyle w:val="1f8"/>
        <w:tblW w:w="793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258"/>
        <w:gridCol w:w="4680"/>
      </w:tblGrid>
      <w:tr w:rsidR="001C2557" w:rsidRPr="00B46409" w14:paraId="076304DF" w14:textId="77777777" w:rsidTr="002D3EBF">
        <w:trPr>
          <w:trHeight w:val="452"/>
        </w:trPr>
        <w:tc>
          <w:tcPr>
            <w:tcW w:w="3258" w:type="dxa"/>
            <w:shd w:val="clear" w:color="auto" w:fill="auto"/>
          </w:tcPr>
          <w:p w14:paraId="5A790B5C" w14:textId="77777777" w:rsidR="001C2557" w:rsidRPr="00B46409" w:rsidRDefault="001C2557" w:rsidP="002D3EBF">
            <w:pPr>
              <w:ind w:firstLine="0"/>
              <w:rPr>
                <w:rFonts w:cs="Times New Roman"/>
                <w:bCs/>
                <w:szCs w:val="24"/>
              </w:rPr>
            </w:pPr>
            <w:r w:rsidRPr="00B46409">
              <w:rPr>
                <w:rFonts w:eastAsiaTheme="majorEastAsia" w:cs="Times New Roman"/>
                <w:bCs/>
                <w:szCs w:val="24"/>
              </w:rPr>
              <w:t>Нефракционированный гепарин</w:t>
            </w:r>
          </w:p>
        </w:tc>
        <w:tc>
          <w:tcPr>
            <w:tcW w:w="4680" w:type="dxa"/>
            <w:shd w:val="clear" w:color="auto" w:fill="auto"/>
          </w:tcPr>
          <w:p w14:paraId="70B5BEBB" w14:textId="77777777" w:rsidR="001C2557" w:rsidRPr="00B46409" w:rsidRDefault="001C2557" w:rsidP="002D3EBF">
            <w:pPr>
              <w:ind w:firstLine="0"/>
              <w:rPr>
                <w:rFonts w:cs="Times New Roman"/>
                <w:bCs/>
                <w:szCs w:val="24"/>
              </w:rPr>
            </w:pPr>
            <w:r w:rsidRPr="00B46409">
              <w:rPr>
                <w:rFonts w:eastAsiaTheme="majorEastAsia" w:cs="Times New Roman"/>
                <w:bCs/>
                <w:szCs w:val="24"/>
              </w:rPr>
              <w:t>5000 МЕ за 10—12 ч перед операцией и 5000 МЕ 1 раз в день после, п/к</w:t>
            </w:r>
          </w:p>
        </w:tc>
      </w:tr>
      <w:tr w:rsidR="001C2557" w:rsidRPr="00B46409" w14:paraId="1E13408D" w14:textId="77777777" w:rsidTr="002D3EBF">
        <w:trPr>
          <w:trHeight w:val="452"/>
        </w:trPr>
        <w:tc>
          <w:tcPr>
            <w:tcW w:w="3258" w:type="dxa"/>
            <w:shd w:val="clear" w:color="auto" w:fill="auto"/>
          </w:tcPr>
          <w:p w14:paraId="7CBE9914" w14:textId="77777777" w:rsidR="001C2557" w:rsidRPr="00B46409" w:rsidRDefault="001C2557" w:rsidP="002D3EBF">
            <w:pPr>
              <w:ind w:firstLine="0"/>
              <w:rPr>
                <w:rFonts w:cs="Times New Roman"/>
                <w:bCs/>
                <w:szCs w:val="24"/>
              </w:rPr>
            </w:pPr>
            <w:r w:rsidRPr="00B46409">
              <w:rPr>
                <w:rFonts w:eastAsiaTheme="majorEastAsia" w:cs="Times New Roman"/>
                <w:bCs/>
                <w:szCs w:val="24"/>
              </w:rPr>
              <w:t>Далтепарин натрия</w:t>
            </w:r>
          </w:p>
        </w:tc>
        <w:tc>
          <w:tcPr>
            <w:tcW w:w="4680" w:type="dxa"/>
            <w:shd w:val="clear" w:color="auto" w:fill="auto"/>
          </w:tcPr>
          <w:p w14:paraId="37038BB4" w14:textId="77777777" w:rsidR="001C2557" w:rsidRPr="00B46409" w:rsidRDefault="001C2557" w:rsidP="002D3EBF">
            <w:pPr>
              <w:ind w:firstLine="0"/>
              <w:rPr>
                <w:rFonts w:cs="Times New Roman"/>
                <w:bCs/>
                <w:szCs w:val="24"/>
              </w:rPr>
            </w:pPr>
            <w:r w:rsidRPr="00B46409">
              <w:rPr>
                <w:rFonts w:eastAsiaTheme="majorEastAsia" w:cs="Times New Roman"/>
                <w:bCs/>
                <w:szCs w:val="24"/>
              </w:rPr>
              <w:t>5000 МЕ за 10—12 ч перед операцией и 5000 МЕ 1 раз в день после, п/к</w:t>
            </w:r>
          </w:p>
        </w:tc>
      </w:tr>
      <w:tr w:rsidR="001C2557" w:rsidRPr="00B46409" w14:paraId="0512FEE7" w14:textId="77777777" w:rsidTr="002D3EBF">
        <w:trPr>
          <w:trHeight w:val="561"/>
        </w:trPr>
        <w:tc>
          <w:tcPr>
            <w:tcW w:w="3258" w:type="dxa"/>
            <w:shd w:val="clear" w:color="auto" w:fill="auto"/>
          </w:tcPr>
          <w:p w14:paraId="63A011A0" w14:textId="77777777" w:rsidR="001C2557" w:rsidRPr="00B46409" w:rsidRDefault="001C2557" w:rsidP="002D3EBF">
            <w:pPr>
              <w:ind w:firstLine="0"/>
              <w:rPr>
                <w:rFonts w:cs="Times New Roman"/>
                <w:bCs/>
                <w:szCs w:val="24"/>
              </w:rPr>
            </w:pPr>
            <w:r w:rsidRPr="00B46409">
              <w:rPr>
                <w:rFonts w:eastAsiaTheme="majorEastAsia" w:cs="Times New Roman"/>
                <w:bCs/>
                <w:szCs w:val="24"/>
              </w:rPr>
              <w:t>Эноксапарин натрия</w:t>
            </w:r>
          </w:p>
        </w:tc>
        <w:tc>
          <w:tcPr>
            <w:tcW w:w="4680" w:type="dxa"/>
            <w:shd w:val="clear" w:color="auto" w:fill="auto"/>
          </w:tcPr>
          <w:p w14:paraId="0ED10E01" w14:textId="77777777" w:rsidR="001C2557" w:rsidRPr="00B46409" w:rsidRDefault="001C2557" w:rsidP="002D3EBF">
            <w:pPr>
              <w:ind w:firstLine="0"/>
              <w:rPr>
                <w:rFonts w:cs="Times New Roman"/>
                <w:bCs/>
                <w:szCs w:val="24"/>
              </w:rPr>
            </w:pPr>
            <w:r w:rsidRPr="00B46409">
              <w:rPr>
                <w:rFonts w:eastAsiaTheme="majorEastAsia" w:cs="Times New Roman"/>
                <w:bCs/>
                <w:szCs w:val="24"/>
              </w:rPr>
              <w:t>0,4 мл за 10—12 ч перед операцией и 0,4 мл 1 раз в день после, п/к</w:t>
            </w:r>
          </w:p>
        </w:tc>
      </w:tr>
      <w:tr w:rsidR="001C2557" w:rsidRPr="00B46409" w14:paraId="140BDB8F" w14:textId="77777777" w:rsidTr="002D3EBF">
        <w:trPr>
          <w:trHeight w:val="452"/>
        </w:trPr>
        <w:tc>
          <w:tcPr>
            <w:tcW w:w="3258" w:type="dxa"/>
            <w:shd w:val="clear" w:color="auto" w:fill="auto"/>
          </w:tcPr>
          <w:p w14:paraId="44C9A2C8" w14:textId="77777777" w:rsidR="001C2557" w:rsidRPr="00B46409" w:rsidRDefault="001C2557" w:rsidP="002D3EBF">
            <w:pPr>
              <w:ind w:firstLine="0"/>
              <w:rPr>
                <w:rFonts w:cs="Times New Roman"/>
                <w:bCs/>
                <w:szCs w:val="24"/>
              </w:rPr>
            </w:pPr>
            <w:r w:rsidRPr="00B46409">
              <w:rPr>
                <w:rFonts w:eastAsiaTheme="majorEastAsia" w:cs="Times New Roman"/>
                <w:bCs/>
                <w:szCs w:val="24"/>
              </w:rPr>
              <w:t>Надропарин кальция</w:t>
            </w:r>
          </w:p>
        </w:tc>
        <w:tc>
          <w:tcPr>
            <w:tcW w:w="4680" w:type="dxa"/>
            <w:shd w:val="clear" w:color="auto" w:fill="auto"/>
          </w:tcPr>
          <w:p w14:paraId="0676BBB6" w14:textId="77777777" w:rsidR="001C2557" w:rsidRPr="00B46409" w:rsidRDefault="001C2557" w:rsidP="002D3EBF">
            <w:pPr>
              <w:ind w:firstLine="0"/>
              <w:rPr>
                <w:rFonts w:cs="Times New Roman"/>
                <w:bCs/>
                <w:szCs w:val="24"/>
              </w:rPr>
            </w:pPr>
            <w:r w:rsidRPr="00B46409">
              <w:rPr>
                <w:rFonts w:eastAsiaTheme="majorEastAsia" w:cs="Times New Roman"/>
                <w:bCs/>
                <w:szCs w:val="24"/>
              </w:rPr>
              <w:t>0,3 мл за 10—12 ч перед операцией и 0,3 мл 1 раз в день после, п/к</w:t>
            </w:r>
          </w:p>
        </w:tc>
      </w:tr>
      <w:tr w:rsidR="001C2557" w:rsidRPr="00B46409" w14:paraId="1F89034A" w14:textId="77777777" w:rsidTr="002D3EBF">
        <w:trPr>
          <w:trHeight w:val="780"/>
        </w:trPr>
        <w:tc>
          <w:tcPr>
            <w:tcW w:w="3258" w:type="dxa"/>
            <w:shd w:val="clear" w:color="auto" w:fill="auto"/>
          </w:tcPr>
          <w:p w14:paraId="25F2B765" w14:textId="77777777" w:rsidR="001C2557" w:rsidRPr="00B46409" w:rsidRDefault="001C2557" w:rsidP="002D3EBF">
            <w:pPr>
              <w:ind w:firstLine="0"/>
              <w:rPr>
                <w:rFonts w:cs="Times New Roman"/>
                <w:bCs/>
                <w:szCs w:val="24"/>
              </w:rPr>
            </w:pPr>
            <w:r w:rsidRPr="00B46409">
              <w:rPr>
                <w:rFonts w:eastAsiaTheme="majorEastAsia" w:cs="Times New Roman"/>
                <w:bCs/>
                <w:szCs w:val="24"/>
              </w:rPr>
              <w:t>Фондапаринукс натрия</w:t>
            </w:r>
          </w:p>
        </w:tc>
        <w:tc>
          <w:tcPr>
            <w:tcW w:w="4680" w:type="dxa"/>
            <w:shd w:val="clear" w:color="auto" w:fill="auto"/>
          </w:tcPr>
          <w:p w14:paraId="6B726B3D" w14:textId="77777777" w:rsidR="001C2557" w:rsidRPr="00B46409" w:rsidRDefault="001C2557" w:rsidP="002D3EBF">
            <w:pPr>
              <w:ind w:firstLine="0"/>
              <w:rPr>
                <w:rFonts w:cs="Times New Roman"/>
                <w:bCs/>
                <w:szCs w:val="24"/>
              </w:rPr>
            </w:pPr>
            <w:r w:rsidRPr="00B46409">
              <w:rPr>
                <w:rFonts w:eastAsiaTheme="majorEastAsia" w:cs="Times New Roman"/>
                <w:bCs/>
                <w:szCs w:val="24"/>
              </w:rPr>
              <w:t>2,5 мг ежедневно 1 раз в день перед оперативным лечением и через 6—8 ч после, п/к</w:t>
            </w:r>
          </w:p>
        </w:tc>
      </w:tr>
    </w:tbl>
    <w:p w14:paraId="664FF8BC" w14:textId="77777777" w:rsidR="001C2557" w:rsidRDefault="001C2557" w:rsidP="001C2557">
      <w:pPr>
        <w:rPr>
          <w:b/>
          <w:bCs/>
          <w:szCs w:val="24"/>
        </w:rPr>
      </w:pPr>
    </w:p>
    <w:p w14:paraId="25062FBF" w14:textId="77777777" w:rsidR="001C2557" w:rsidRPr="00C14067" w:rsidRDefault="001C2557" w:rsidP="001C2557">
      <w:pPr>
        <w:rPr>
          <w:rFonts w:eastAsia="Times New Roman"/>
          <w:szCs w:val="24"/>
          <w:lang w:eastAsia="ru-RU"/>
        </w:rPr>
      </w:pPr>
      <w:r>
        <w:rPr>
          <w:rFonts w:eastAsia="Times New Roman"/>
          <w:szCs w:val="24"/>
          <w:lang w:eastAsia="ru-RU"/>
        </w:rPr>
        <w:t>Длительность терапии определяется причиной, видом и локализацией тромботического осложнения. Обязательно учитываются данные анамнеза пациента по предшествующим тромботическим событиям. В некоторых ситуациях антикоагулянтная терапия проводится пожизненно.</w:t>
      </w:r>
    </w:p>
    <w:p w14:paraId="796277FE" w14:textId="77777777" w:rsidR="001C2557" w:rsidRDefault="001C2557" w:rsidP="001C2557">
      <w:pPr>
        <w:rPr>
          <w:rFonts w:eastAsia="Times New Roman"/>
          <w:szCs w:val="24"/>
          <w:u w:val="single"/>
          <w:lang w:eastAsia="ru-RU"/>
        </w:rPr>
      </w:pPr>
    </w:p>
    <w:p w14:paraId="51A241A9" w14:textId="5D890855" w:rsidR="001C2557" w:rsidRPr="00307C3E" w:rsidRDefault="001C2557" w:rsidP="001C2557">
      <w:pPr>
        <w:rPr>
          <w:rFonts w:eastAsia="Times New Roman"/>
          <w:szCs w:val="24"/>
          <w:lang w:eastAsia="ru-RU"/>
        </w:rPr>
      </w:pPr>
      <w:r w:rsidRPr="00307C3E">
        <w:rPr>
          <w:rFonts w:eastAsia="Times New Roman"/>
          <w:szCs w:val="24"/>
          <w:lang w:eastAsia="ru-RU"/>
        </w:rPr>
        <w:t>2) Фибринолитическая терапия</w:t>
      </w:r>
      <w:r>
        <w:rPr>
          <w:rFonts w:eastAsia="Times New Roman"/>
          <w:szCs w:val="24"/>
          <w:lang w:eastAsia="ru-RU"/>
        </w:rPr>
        <w:t xml:space="preserve"> </w:t>
      </w:r>
      <w:r>
        <w:fldChar w:fldCharType="begin" w:fldLock="1"/>
      </w:r>
      <w:r w:rsidR="002F7BDD">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[89,90]","plainTextFormattedCitation":"[89,90]","previouslyFormattedCitation":"[89,90]"},"properties":{"noteIndex":0},"schema":"https://github.com/citation-style-language/schema/raw/master/csl-citation.json"}</w:instrText>
      </w:r>
      <w:r>
        <w:fldChar w:fldCharType="separate"/>
      </w:r>
      <w:r w:rsidR="00D70CEE" w:rsidRPr="00D70CEE">
        <w:rPr>
          <w:noProof/>
        </w:rPr>
        <w:t>[89,90]</w:t>
      </w:r>
      <w:r>
        <w:fldChar w:fldCharType="end"/>
      </w:r>
      <w:r w:rsidRPr="00307C3E">
        <w:rPr>
          <w:rFonts w:eastAsia="Times New Roman"/>
          <w:szCs w:val="24"/>
          <w:lang w:eastAsia="ru-RU"/>
        </w:rPr>
        <w:t>.</w:t>
      </w:r>
    </w:p>
    <w:p w14:paraId="58BDC9EF" w14:textId="77777777" w:rsidR="001C2557" w:rsidRDefault="001C2557" w:rsidP="001C2557">
      <w:pPr>
        <w:rPr>
          <w:rFonts w:eastAsia="Times New Roman"/>
          <w:sz w:val="28"/>
          <w:szCs w:val="28"/>
          <w:lang w:eastAsia="ru-RU"/>
        </w:rPr>
      </w:pPr>
      <w:r>
        <w:rPr>
          <w:rFonts w:eastAsia="Times New Roman"/>
          <w:szCs w:val="24"/>
          <w:lang w:eastAsia="ru-RU"/>
        </w:rPr>
        <w:t xml:space="preserve">Тромболизис эффективен при ТЭЛА, в раннем периоде острого инфаркта миокарда и ишемического инсульта, тромбозе синусов головного мозга, а также при угрозе формирования гангрены вследствие венозной окклюзии. С целью тромболизиса используются такие препараты, как стрептокиназа, урокиназа, алтеплаза. Дозы фибринолитических препаратов и режимы их применения различны и зависят от показаний. </w:t>
      </w:r>
    </w:p>
    <w:p w14:paraId="03F8B1FD" w14:textId="77777777" w:rsidR="001C2557" w:rsidRDefault="001C2557" w:rsidP="001C2557">
      <w:pPr>
        <w:rPr>
          <w:rFonts w:eastAsia="Times New Roman"/>
          <w:szCs w:val="24"/>
          <w:u w:val="single"/>
          <w:lang w:eastAsia="ru-RU"/>
        </w:rPr>
      </w:pPr>
    </w:p>
    <w:p w14:paraId="76D0FA6B" w14:textId="4E553F75" w:rsidR="001C2557" w:rsidRPr="00307C3E" w:rsidRDefault="001C2557" w:rsidP="001C2557">
      <w:pPr>
        <w:rPr>
          <w:rFonts w:eastAsia="Times New Roman"/>
          <w:szCs w:val="24"/>
          <w:lang w:eastAsia="ru-RU"/>
        </w:rPr>
      </w:pPr>
      <w:r w:rsidRPr="00307C3E">
        <w:rPr>
          <w:rFonts w:eastAsia="Times New Roman"/>
          <w:szCs w:val="24"/>
          <w:lang w:eastAsia="ru-RU"/>
        </w:rPr>
        <w:t>3) Антиагрегантная терапия</w:t>
      </w:r>
      <w:r>
        <w:rPr>
          <w:rFonts w:eastAsia="Times New Roman"/>
          <w:szCs w:val="24"/>
          <w:lang w:eastAsia="ru-RU"/>
        </w:rPr>
        <w:t xml:space="preserve"> </w:t>
      </w:r>
      <w:r>
        <w:fldChar w:fldCharType="begin" w:fldLock="1"/>
      </w:r>
      <w:r w:rsidR="002F7BDD">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[89,90]","plainTextFormattedCitation":"[89,90]","previouslyFormattedCitation":"[89,90]"},"properties":{"noteIndex":0},"schema":"https://github.com/citation-style-language/schema/raw/master/csl-citation.json"}</w:instrText>
      </w:r>
      <w:r>
        <w:fldChar w:fldCharType="separate"/>
      </w:r>
      <w:r w:rsidR="00D70CEE" w:rsidRPr="00D70CEE">
        <w:rPr>
          <w:noProof/>
        </w:rPr>
        <w:t>[89,90]</w:t>
      </w:r>
      <w:r>
        <w:fldChar w:fldCharType="end"/>
      </w:r>
      <w:r w:rsidRPr="00307C3E">
        <w:rPr>
          <w:rFonts w:eastAsia="Times New Roman"/>
          <w:szCs w:val="24"/>
          <w:lang w:eastAsia="ru-RU"/>
        </w:rPr>
        <w:t>.</w:t>
      </w:r>
    </w:p>
    <w:p w14:paraId="4A23CDF6" w14:textId="77777777" w:rsidR="001C2557" w:rsidRDefault="001C2557" w:rsidP="001C2557">
      <w:pPr>
        <w:rPr>
          <w:rFonts w:eastAsia="Times New Roman"/>
          <w:szCs w:val="24"/>
          <w:lang w:eastAsia="ru-RU"/>
        </w:rPr>
      </w:pPr>
      <w:r w:rsidRPr="00A4634E">
        <w:rPr>
          <w:rFonts w:eastAsia="Times New Roman"/>
          <w:szCs w:val="24"/>
          <w:lang w:eastAsia="ru-RU"/>
        </w:rPr>
        <w:t>Антиагрегантная терапия</w:t>
      </w:r>
      <w:r>
        <w:rPr>
          <w:rFonts w:eastAsia="Times New Roman"/>
          <w:szCs w:val="24"/>
          <w:lang w:eastAsia="ru-RU"/>
        </w:rPr>
        <w:t xml:space="preserve"> применяется при артериальных тромбозах, венозных тромбозах, гипертромбоцитозах.  Используются следующие препараты:</w:t>
      </w:r>
    </w:p>
    <w:p w14:paraId="5AA13034" w14:textId="77777777" w:rsidR="001C2557" w:rsidRDefault="001C2557" w:rsidP="001C2557">
      <w:pPr>
        <w:numPr>
          <w:ilvl w:val="0"/>
          <w:numId w:val="58"/>
        </w:numPr>
        <w:ind w:left="1134"/>
        <w:rPr>
          <w:rFonts w:eastAsia="Times New Roman"/>
          <w:szCs w:val="24"/>
          <w:lang w:eastAsia="ru-RU"/>
        </w:rPr>
      </w:pPr>
      <w:r>
        <w:rPr>
          <w:rFonts w:eastAsia="Times New Roman"/>
          <w:szCs w:val="24"/>
          <w:lang w:eastAsia="ru-RU"/>
        </w:rPr>
        <w:t xml:space="preserve">Ацетилсалициловая кислота 75-150 мг в сутки. Подбор осуществляют с учетом показателей адреналин-индуцированной агрегации тромбоцитов. Агрегация должна составлять менее 50%. </w:t>
      </w:r>
    </w:p>
    <w:p w14:paraId="74C332EC" w14:textId="77777777" w:rsidR="001C2557" w:rsidRDefault="001C2557" w:rsidP="001C2557">
      <w:pPr>
        <w:pStyle w:val="afe"/>
        <w:numPr>
          <w:ilvl w:val="0"/>
          <w:numId w:val="58"/>
        </w:numPr>
        <w:ind w:left="1134"/>
        <w:rPr>
          <w:rFonts w:eastAsia="Times New Roman"/>
          <w:szCs w:val="24"/>
          <w:lang w:eastAsia="ru-RU"/>
        </w:rPr>
      </w:pPr>
      <w:r w:rsidRPr="00A4634E">
        <w:rPr>
          <w:rFonts w:eastAsia="Times New Roman"/>
          <w:szCs w:val="24"/>
          <w:lang w:eastAsia="ru-RU"/>
        </w:rPr>
        <w:t xml:space="preserve">Клопидогрел (непрямой ингибитор АДФ-рецептора тромбоцитов </w:t>
      </w:r>
      <w:r w:rsidRPr="00A4634E">
        <w:rPr>
          <w:rFonts w:eastAsia="Times New Roman"/>
          <w:szCs w:val="24"/>
          <w:lang w:val="en-US" w:eastAsia="ru-RU"/>
        </w:rPr>
        <w:t>P</w:t>
      </w:r>
      <w:r w:rsidRPr="00A4634E">
        <w:rPr>
          <w:rFonts w:eastAsia="Times New Roman"/>
          <w:szCs w:val="24"/>
          <w:lang w:eastAsia="ru-RU"/>
        </w:rPr>
        <w:t>2</w:t>
      </w:r>
      <w:r w:rsidRPr="00A4634E">
        <w:rPr>
          <w:rFonts w:eastAsia="Times New Roman"/>
          <w:szCs w:val="24"/>
          <w:lang w:val="en-US" w:eastAsia="ru-RU"/>
        </w:rPr>
        <w:t>Y</w:t>
      </w:r>
      <w:r w:rsidRPr="00A4634E">
        <w:rPr>
          <w:rFonts w:eastAsia="Times New Roman"/>
          <w:szCs w:val="24"/>
          <w:lang w:eastAsia="ru-RU"/>
        </w:rPr>
        <w:t>12) 75 мг/сут; в острых случаях клопидогрел принимается внутрь в дозе 300–600 мг/сут. Подбор осуществляют с учетом АДФ-индуцированной агрегации тромбоцитов. Агрегация должна составлять менее 45</w:t>
      </w:r>
      <w:r w:rsidRPr="00A4634E">
        <w:rPr>
          <w:i/>
          <w:szCs w:val="24"/>
        </w:rPr>
        <w:t>—</w:t>
      </w:r>
      <w:r w:rsidRPr="00A4634E">
        <w:rPr>
          <w:rFonts w:eastAsia="Times New Roman"/>
          <w:szCs w:val="24"/>
          <w:lang w:eastAsia="ru-RU"/>
        </w:rPr>
        <w:t xml:space="preserve">50%. </w:t>
      </w:r>
    </w:p>
    <w:p w14:paraId="7F85877C" w14:textId="77777777" w:rsidR="001C2557" w:rsidRPr="00A4634E" w:rsidRDefault="001C2557" w:rsidP="001C2557">
      <w:pPr>
        <w:pStyle w:val="afe"/>
        <w:numPr>
          <w:ilvl w:val="0"/>
          <w:numId w:val="58"/>
        </w:numPr>
        <w:ind w:left="1134"/>
        <w:rPr>
          <w:rFonts w:eastAsia="Times New Roman"/>
          <w:szCs w:val="24"/>
          <w:lang w:eastAsia="ru-RU"/>
        </w:rPr>
      </w:pPr>
      <w:r w:rsidRPr="00A4634E">
        <w:rPr>
          <w:rFonts w:eastAsia="Times New Roman"/>
          <w:szCs w:val="24"/>
          <w:lang w:eastAsia="ru-RU"/>
        </w:rPr>
        <w:t>Дипиридамол 25-75 мг/сут.</w:t>
      </w:r>
    </w:p>
    <w:p w14:paraId="40AB94B6" w14:textId="77777777" w:rsidR="001C2557" w:rsidRDefault="001C2557" w:rsidP="001C2557">
      <w:pPr>
        <w:numPr>
          <w:ilvl w:val="0"/>
          <w:numId w:val="58"/>
        </w:numPr>
        <w:ind w:left="1134"/>
        <w:rPr>
          <w:rFonts w:eastAsia="Times New Roman"/>
          <w:szCs w:val="24"/>
          <w:lang w:eastAsia="ru-RU"/>
        </w:rPr>
      </w:pPr>
      <w:r>
        <w:rPr>
          <w:rFonts w:eastAsia="Times New Roman"/>
          <w:szCs w:val="24"/>
          <w:lang w:eastAsia="ru-RU"/>
        </w:rPr>
        <w:t>Пентоксифиллин 0,1 х 3 раза в день; или 400 мг 2-3раза в день.</w:t>
      </w:r>
    </w:p>
    <w:p w14:paraId="1174DCEB" w14:textId="77777777" w:rsidR="001C2557" w:rsidRPr="003A104D" w:rsidRDefault="001C2557" w:rsidP="001C2557">
      <w:pPr>
        <w:pStyle w:val="afe"/>
        <w:numPr>
          <w:ilvl w:val="0"/>
          <w:numId w:val="58"/>
        </w:numPr>
        <w:spacing w:after="200"/>
        <w:ind w:left="1134"/>
      </w:pPr>
      <w:r>
        <w:rPr>
          <w:rFonts w:eastAsia="Times New Roman"/>
          <w:szCs w:val="24"/>
          <w:lang w:eastAsia="ru-RU"/>
        </w:rPr>
        <w:t>Тикагрелор (прямой ингибитор АДФ-рецептора тромбоцитов Р2</w:t>
      </w:r>
      <w:r>
        <w:rPr>
          <w:rFonts w:eastAsia="Times New Roman"/>
          <w:szCs w:val="24"/>
          <w:lang w:val="en-US" w:eastAsia="ru-RU"/>
        </w:rPr>
        <w:t>Y</w:t>
      </w:r>
      <w:r>
        <w:rPr>
          <w:rFonts w:eastAsia="Times New Roman"/>
          <w:szCs w:val="24"/>
          <w:lang w:eastAsia="ru-RU"/>
        </w:rPr>
        <w:t>12) 90 мг х 2 раза в день совместно с ацетилсалициловой кислотой. Применяется при проведении химиотерапии у больных ишемической болезнью сердца. Подбор осуществляют с учетом АДФ-индуцированной агрегации тромбоцитов. Агрегация должна составлять менее 30</w:t>
      </w:r>
      <w:r>
        <w:rPr>
          <w:szCs w:val="24"/>
        </w:rPr>
        <w:t>—4</w:t>
      </w:r>
      <w:r>
        <w:rPr>
          <w:rFonts w:eastAsia="Times New Roman"/>
          <w:szCs w:val="24"/>
          <w:lang w:eastAsia="ru-RU"/>
        </w:rPr>
        <w:t>0%.</w:t>
      </w:r>
    </w:p>
    <w:p w14:paraId="4B4BCBD5" w14:textId="77777777" w:rsidR="001C2557" w:rsidRPr="00A4634E" w:rsidRDefault="001C2557" w:rsidP="001C2557">
      <w:pPr>
        <w:pStyle w:val="afe"/>
        <w:numPr>
          <w:ilvl w:val="0"/>
          <w:numId w:val="58"/>
        </w:numPr>
        <w:spacing w:after="200"/>
        <w:ind w:left="1134"/>
      </w:pPr>
      <w:r w:rsidRPr="00A4634E">
        <w:rPr>
          <w:rFonts w:eastAsia="Times New Roman"/>
          <w:szCs w:val="24"/>
          <w:lang w:eastAsia="ru-RU"/>
        </w:rPr>
        <w:t>Прасугрел (прямой ингибитор АДФ-рецептора тромбоцитов P2Y12) 10мг: 1 день 6 таб., затем 1 таб. в день с ацетилсалициловой кислотой. Применяется при проведении химиотерапии у больных с ишемической болезнью сердца. Подбор осуществляется с учетом АДФ-индуцир</w:t>
      </w:r>
      <w:r>
        <w:rPr>
          <w:rFonts w:eastAsia="Times New Roman"/>
          <w:szCs w:val="24"/>
          <w:lang w:eastAsia="ru-RU"/>
        </w:rPr>
        <w:t>ованной агрегации тромбоцитов (а</w:t>
      </w:r>
      <w:r w:rsidRPr="00A4634E">
        <w:rPr>
          <w:rFonts w:eastAsia="Times New Roman"/>
          <w:szCs w:val="24"/>
          <w:lang w:eastAsia="ru-RU"/>
        </w:rPr>
        <w:t>грегация должна составлять менее 30-40%</w:t>
      </w:r>
      <w:r>
        <w:rPr>
          <w:rFonts w:eastAsia="Times New Roman"/>
          <w:szCs w:val="24"/>
          <w:lang w:eastAsia="ru-RU"/>
        </w:rPr>
        <w:t>)</w:t>
      </w:r>
      <w:r w:rsidRPr="00A4634E">
        <w:rPr>
          <w:rFonts w:eastAsia="Times New Roman"/>
          <w:szCs w:val="24"/>
          <w:lang w:eastAsia="ru-RU"/>
        </w:rPr>
        <w:t>.</w:t>
      </w:r>
    </w:p>
    <w:p w14:paraId="35D78784" w14:textId="4FAEA81A" w:rsidR="001C2557" w:rsidRPr="003A104D" w:rsidRDefault="001C2557" w:rsidP="001C2557">
      <w:pPr>
        <w:pStyle w:val="afe"/>
        <w:numPr>
          <w:ilvl w:val="0"/>
          <w:numId w:val="58"/>
        </w:numPr>
        <w:spacing w:after="200"/>
        <w:ind w:left="1134"/>
      </w:pPr>
      <w:r w:rsidRPr="00542A92">
        <w:rPr>
          <w:szCs w:val="24"/>
        </w:rPr>
        <w:t>Изосорбида мононитрат</w:t>
      </w:r>
      <w:r w:rsidRPr="003A104D">
        <w:rPr>
          <w:rFonts w:eastAsia="Times New Roman"/>
          <w:szCs w:val="24"/>
          <w:lang w:eastAsia="ru-RU"/>
        </w:rPr>
        <w:t xml:space="preserve"> 40 мг х 1-2 раза в день. Обладает наряду с дезагрегационными свойствами выраженным сосудорасширяющим эффектом.</w:t>
      </w:r>
    </w:p>
    <w:p w14:paraId="2876A454" w14:textId="77777777" w:rsidR="001C2557" w:rsidRDefault="001C2557" w:rsidP="001C2557">
      <w:pPr>
        <w:pStyle w:val="afe"/>
        <w:numPr>
          <w:ilvl w:val="0"/>
          <w:numId w:val="58"/>
        </w:numPr>
        <w:spacing w:after="200"/>
        <w:ind w:left="1134"/>
      </w:pPr>
      <w:r w:rsidRPr="003A104D">
        <w:rPr>
          <w:rFonts w:eastAsia="Times New Roman"/>
          <w:szCs w:val="24"/>
          <w:lang w:eastAsia="ru-RU"/>
        </w:rPr>
        <w:t>Возможно использование никотиновой кислоты в инъекционной или таблетированной формах. Доза никотиновой кислоты подбирается по эритематозному эффекту, который проявляется легким покраснением лица и верхней половины туловища, тахикардией, небольшим чувством жара.</w:t>
      </w:r>
    </w:p>
    <w:p w14:paraId="6A8AE808" w14:textId="0D0149AD" w:rsidR="001C2557" w:rsidRDefault="001C2557" w:rsidP="001C2557">
      <w:pPr>
        <w:rPr>
          <w:rFonts w:eastAsia="Times New Roman"/>
          <w:szCs w:val="24"/>
          <w:lang w:eastAsia="ru-RU"/>
        </w:rPr>
      </w:pPr>
      <w:r w:rsidRPr="006F5CEC">
        <w:rPr>
          <w:rFonts w:eastAsia="Times New Roman"/>
          <w:szCs w:val="24"/>
          <w:lang w:eastAsia="ru-RU"/>
        </w:rPr>
        <w:t>4)  Вазопротекторная терапия</w:t>
      </w:r>
      <w:r>
        <w:rPr>
          <w:rFonts w:eastAsia="Times New Roman"/>
          <w:szCs w:val="24"/>
          <w:lang w:eastAsia="ru-RU"/>
        </w:rPr>
        <w:t xml:space="preserve"> </w:t>
      </w:r>
      <w:r>
        <w:fldChar w:fldCharType="begin" w:fldLock="1"/>
      </w:r>
      <w:r w:rsidR="002F7BDD">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[89]","plainTextFormattedCitation":"[89]","previouslyFormattedCitation":"[89]"},"properties":{"noteIndex":0},"schema":"https://github.com/citation-style-language/schema/raw/master/csl-citation.json"}</w:instrText>
      </w:r>
      <w:r>
        <w:fldChar w:fldCharType="separate"/>
      </w:r>
      <w:r w:rsidR="00D70CEE" w:rsidRPr="00D70CEE">
        <w:rPr>
          <w:noProof/>
        </w:rPr>
        <w:t>[89]</w:t>
      </w:r>
      <w:r>
        <w:fldChar w:fldCharType="end"/>
      </w:r>
      <w:r w:rsidRPr="006F5CEC">
        <w:rPr>
          <w:rFonts w:eastAsia="Times New Roman"/>
          <w:szCs w:val="24"/>
          <w:lang w:eastAsia="ru-RU"/>
        </w:rPr>
        <w:t>:</w:t>
      </w:r>
    </w:p>
    <w:p w14:paraId="6DF4599D" w14:textId="77777777" w:rsidR="001C2557" w:rsidRDefault="001C2557" w:rsidP="001C2557">
      <w:pPr>
        <w:pStyle w:val="afe"/>
        <w:numPr>
          <w:ilvl w:val="0"/>
          <w:numId w:val="64"/>
        </w:numPr>
        <w:contextualSpacing w:val="0"/>
        <w:rPr>
          <w:rFonts w:eastAsia="Times New Roman"/>
          <w:szCs w:val="24"/>
          <w:lang w:eastAsia="ru-RU"/>
        </w:rPr>
      </w:pPr>
      <w:r w:rsidRPr="00440427">
        <w:rPr>
          <w:color w:val="333333"/>
          <w:szCs w:val="24"/>
        </w:rPr>
        <w:t>сухой экстракт красных листьев винограда</w:t>
      </w:r>
      <w:r w:rsidRPr="00440427">
        <w:rPr>
          <w:rFonts w:eastAsia="Times New Roman"/>
          <w:szCs w:val="24"/>
          <w:lang w:eastAsia="ru-RU"/>
        </w:rPr>
        <w:t xml:space="preserve"> 2 капс. утром натощак;</w:t>
      </w:r>
    </w:p>
    <w:p w14:paraId="521ECCA7" w14:textId="77777777" w:rsidR="001C2557" w:rsidRDefault="001C2557" w:rsidP="001C2557">
      <w:pPr>
        <w:pStyle w:val="afe"/>
        <w:numPr>
          <w:ilvl w:val="0"/>
          <w:numId w:val="64"/>
        </w:numPr>
        <w:contextualSpacing w:val="0"/>
        <w:rPr>
          <w:rFonts w:eastAsia="Times New Roman"/>
          <w:szCs w:val="24"/>
          <w:lang w:eastAsia="ru-RU"/>
        </w:rPr>
      </w:pPr>
      <w:r w:rsidRPr="00440427">
        <w:rPr>
          <w:rFonts w:eastAsia="Times New Roman"/>
          <w:szCs w:val="24"/>
          <w:lang w:eastAsia="ru-RU"/>
        </w:rPr>
        <w:t>диосмин-содержащие препараты;</w:t>
      </w:r>
    </w:p>
    <w:p w14:paraId="029DFCD0" w14:textId="5F76254A" w:rsidR="001C2557" w:rsidRPr="00440427" w:rsidRDefault="001C2557" w:rsidP="001C2557">
      <w:pPr>
        <w:pStyle w:val="afe"/>
        <w:numPr>
          <w:ilvl w:val="0"/>
          <w:numId w:val="64"/>
        </w:numPr>
        <w:contextualSpacing w:val="0"/>
        <w:rPr>
          <w:rFonts w:eastAsia="Times New Roman"/>
          <w:szCs w:val="24"/>
          <w:lang w:eastAsia="ru-RU"/>
        </w:rPr>
      </w:pPr>
      <w:r w:rsidRPr="00440427">
        <w:rPr>
          <w:rFonts w:eastAsia="Times New Roman"/>
          <w:szCs w:val="24"/>
          <w:lang w:eastAsia="ru-RU"/>
        </w:rPr>
        <w:t>алпростадил 20 мкг в/в капельно 1 раз в сутки 10-14 дней.</w:t>
      </w:r>
    </w:p>
    <w:p w14:paraId="01F85863" w14:textId="77777777" w:rsidR="001C2557" w:rsidRDefault="001C2557" w:rsidP="001C2557">
      <w:pPr>
        <w:rPr>
          <w:rFonts w:eastAsia="Times New Roman"/>
          <w:szCs w:val="24"/>
          <w:u w:val="single"/>
          <w:lang w:eastAsia="ru-RU"/>
        </w:rPr>
      </w:pPr>
    </w:p>
    <w:p w14:paraId="2F637083" w14:textId="715E702C" w:rsidR="001C2557" w:rsidRDefault="001C2557" w:rsidP="001C2557">
      <w:pPr>
        <w:rPr>
          <w:rFonts w:eastAsia="Times New Roman"/>
          <w:szCs w:val="24"/>
          <w:lang w:eastAsia="ru-RU"/>
        </w:rPr>
      </w:pPr>
      <w:r w:rsidRPr="00440427">
        <w:rPr>
          <w:rFonts w:eastAsia="Times New Roman"/>
          <w:szCs w:val="24"/>
          <w:lang w:eastAsia="ru-RU"/>
        </w:rPr>
        <w:t>5) Коррекция тромбофилических состояний</w:t>
      </w:r>
      <w:r>
        <w:rPr>
          <w:rFonts w:eastAsia="Times New Roman"/>
          <w:szCs w:val="24"/>
          <w:lang w:eastAsia="ru-RU"/>
        </w:rPr>
        <w:t xml:space="preserve"> </w:t>
      </w:r>
      <w:r>
        <w:fldChar w:fldCharType="begin" w:fldLock="1"/>
      </w:r>
      <w:r w:rsidR="002F7BDD">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[89]","plainTextFormattedCitation":"[89]","previouslyFormattedCitation":"[89]"},"properties":{"noteIndex":0},"schema":"https://github.com/citation-style-language/schema/raw/master/csl-citation.json"}</w:instrText>
      </w:r>
      <w:r>
        <w:fldChar w:fldCharType="separate"/>
      </w:r>
      <w:r w:rsidR="00D70CEE" w:rsidRPr="00D70CEE">
        <w:rPr>
          <w:noProof/>
        </w:rPr>
        <w:t>[89]</w:t>
      </w:r>
      <w:r>
        <w:fldChar w:fldCharType="end"/>
      </w:r>
      <w:r w:rsidRPr="00440427">
        <w:rPr>
          <w:rFonts w:eastAsia="Times New Roman"/>
          <w:szCs w:val="24"/>
          <w:lang w:eastAsia="ru-RU"/>
        </w:rPr>
        <w:t>:</w:t>
      </w:r>
    </w:p>
    <w:p w14:paraId="14E011F4" w14:textId="77777777" w:rsidR="001C2557" w:rsidRDefault="001C2557" w:rsidP="001C2557">
      <w:pPr>
        <w:pStyle w:val="afe"/>
        <w:numPr>
          <w:ilvl w:val="0"/>
          <w:numId w:val="66"/>
        </w:numPr>
        <w:contextualSpacing w:val="0"/>
        <w:rPr>
          <w:rFonts w:eastAsia="Times New Roman"/>
          <w:szCs w:val="24"/>
          <w:lang w:eastAsia="ru-RU"/>
        </w:rPr>
      </w:pPr>
      <w:r w:rsidRPr="00B54A88">
        <w:rPr>
          <w:rFonts w:eastAsia="Times New Roman"/>
          <w:szCs w:val="24"/>
          <w:lang w:eastAsia="ru-RU"/>
        </w:rPr>
        <w:t>При гипергомоцистеинемии используются витамины В6, В12, фолиевая кислота.</w:t>
      </w:r>
    </w:p>
    <w:p w14:paraId="731D6A98" w14:textId="77777777" w:rsidR="001C2557" w:rsidRPr="00B54A88" w:rsidRDefault="001C2557" w:rsidP="001C2557">
      <w:pPr>
        <w:pStyle w:val="afe"/>
        <w:numPr>
          <w:ilvl w:val="0"/>
          <w:numId w:val="66"/>
        </w:numPr>
        <w:contextualSpacing w:val="0"/>
        <w:rPr>
          <w:rFonts w:eastAsia="Times New Roman"/>
          <w:szCs w:val="24"/>
          <w:lang w:eastAsia="ru-RU"/>
        </w:rPr>
      </w:pPr>
      <w:r w:rsidRPr="00B54A88">
        <w:rPr>
          <w:rFonts w:eastAsia="Times New Roman"/>
          <w:szCs w:val="24"/>
          <w:lang w:eastAsia="ru-RU"/>
        </w:rPr>
        <w:t xml:space="preserve">При применении гепаринов может развиться резистентность к ним, наиболее часто обусловленная дефицитом АТ III вследствие его увеличенного потребления, длительной гепаринотерапией, патологией печени и действием лекарственных препаратов. Препарат Антитромбин </w:t>
      </w:r>
      <w:r w:rsidRPr="00B54A88">
        <w:rPr>
          <w:rFonts w:eastAsia="Times New Roman"/>
          <w:szCs w:val="24"/>
          <w:lang w:val="en-US" w:eastAsia="ru-RU"/>
        </w:rPr>
        <w:t>III</w:t>
      </w:r>
      <w:r w:rsidRPr="00B54A88">
        <w:rPr>
          <w:rFonts w:eastAsia="Times New Roman"/>
          <w:szCs w:val="24"/>
          <w:lang w:eastAsia="ru-RU"/>
        </w:rPr>
        <w:t xml:space="preserve"> показан также при наследственном и приобретенном дефиците АТ </w:t>
      </w:r>
      <w:r w:rsidRPr="00B54A88">
        <w:rPr>
          <w:rFonts w:eastAsia="Times New Roman"/>
          <w:szCs w:val="24"/>
          <w:lang w:val="en-US" w:eastAsia="ru-RU"/>
        </w:rPr>
        <w:t>III</w:t>
      </w:r>
      <w:r w:rsidRPr="00B54A88">
        <w:rPr>
          <w:rFonts w:eastAsia="Times New Roman"/>
          <w:szCs w:val="24"/>
          <w:lang w:eastAsia="ru-RU"/>
        </w:rPr>
        <w:t>.</w:t>
      </w:r>
    </w:p>
    <w:p w14:paraId="4A8F48D2" w14:textId="77777777" w:rsidR="001C2557" w:rsidRPr="00B54A88" w:rsidRDefault="001C2557" w:rsidP="001C2557">
      <w:pPr>
        <w:pStyle w:val="afe"/>
        <w:numPr>
          <w:ilvl w:val="0"/>
          <w:numId w:val="65"/>
        </w:numPr>
        <w:contextualSpacing w:val="0"/>
        <w:rPr>
          <w:rFonts w:eastAsia="Times New Roman"/>
          <w:szCs w:val="24"/>
          <w:lang w:eastAsia="ru-RU"/>
        </w:rPr>
      </w:pPr>
      <w:r w:rsidRPr="00B54A88">
        <w:rPr>
          <w:rFonts w:eastAsia="Times New Roman"/>
          <w:szCs w:val="24"/>
          <w:lang w:eastAsia="ru-RU"/>
        </w:rPr>
        <w:t xml:space="preserve">Для коррекции дефицита АТ </w:t>
      </w:r>
      <w:r w:rsidRPr="00B54A88">
        <w:rPr>
          <w:rFonts w:eastAsia="Times New Roman"/>
          <w:szCs w:val="24"/>
          <w:lang w:val="en-US" w:eastAsia="ru-RU"/>
        </w:rPr>
        <w:t>III</w:t>
      </w:r>
      <w:r w:rsidRPr="00B54A88">
        <w:rPr>
          <w:rFonts w:eastAsia="Times New Roman"/>
          <w:szCs w:val="24"/>
          <w:lang w:eastAsia="ru-RU"/>
        </w:rPr>
        <w:t xml:space="preserve"> используют СЗП или концентрат АТ III в дозе, рассчитываемой по формуле:</w:t>
      </w:r>
    </w:p>
    <w:p w14:paraId="75E98703" w14:textId="77777777" w:rsidR="001C2557" w:rsidRDefault="001C2557" w:rsidP="001C2557">
      <w:pPr>
        <w:pStyle w:val="afe"/>
        <w:numPr>
          <w:ilvl w:val="0"/>
          <w:numId w:val="65"/>
        </w:numPr>
        <w:contextualSpacing w:val="0"/>
        <w:rPr>
          <w:rFonts w:eastAsia="Times New Roman"/>
          <w:szCs w:val="24"/>
          <w:lang w:eastAsia="ru-RU"/>
        </w:rPr>
      </w:pPr>
      <w:r w:rsidRPr="00B54A88">
        <w:rPr>
          <w:rFonts w:eastAsia="Times New Roman"/>
          <w:szCs w:val="24"/>
          <w:lang w:eastAsia="ru-RU"/>
        </w:rPr>
        <w:t xml:space="preserve">Необходимая доза АТ </w:t>
      </w:r>
      <w:r w:rsidRPr="00B54A88">
        <w:rPr>
          <w:rFonts w:eastAsia="Times New Roman"/>
          <w:szCs w:val="24"/>
          <w:lang w:val="en-US" w:eastAsia="ru-RU"/>
        </w:rPr>
        <w:t>III</w:t>
      </w:r>
      <w:r w:rsidRPr="00B54A88">
        <w:rPr>
          <w:rFonts w:eastAsia="Times New Roman"/>
          <w:szCs w:val="24"/>
          <w:lang w:eastAsia="ru-RU"/>
        </w:rPr>
        <w:t xml:space="preserve"> (ME) = масса тела (кг) × (целевое значение – исходная  активность АТ </w:t>
      </w:r>
      <w:r w:rsidRPr="00B54A88">
        <w:rPr>
          <w:rFonts w:eastAsia="Times New Roman"/>
          <w:szCs w:val="24"/>
          <w:lang w:val="en-US" w:eastAsia="ru-RU"/>
        </w:rPr>
        <w:t>III</w:t>
      </w:r>
      <w:r w:rsidRPr="00B54A88">
        <w:rPr>
          <w:rFonts w:eastAsia="Times New Roman"/>
          <w:szCs w:val="24"/>
          <w:lang w:eastAsia="ru-RU"/>
        </w:rPr>
        <w:t xml:space="preserve"> (%)) × 0.5</w:t>
      </w:r>
    </w:p>
    <w:p w14:paraId="1AED7F6B" w14:textId="77777777" w:rsidR="001C2557" w:rsidRDefault="001C2557" w:rsidP="001C2557">
      <w:pPr>
        <w:pStyle w:val="afe"/>
        <w:numPr>
          <w:ilvl w:val="0"/>
          <w:numId w:val="65"/>
        </w:numPr>
        <w:contextualSpacing w:val="0"/>
        <w:rPr>
          <w:rFonts w:eastAsia="Times New Roman"/>
          <w:szCs w:val="24"/>
          <w:lang w:eastAsia="ru-RU"/>
        </w:rPr>
      </w:pPr>
      <w:r w:rsidRPr="00B54A88">
        <w:rPr>
          <w:rFonts w:eastAsia="Times New Roman"/>
          <w:szCs w:val="24"/>
          <w:lang w:eastAsia="ru-RU"/>
        </w:rPr>
        <w:t xml:space="preserve">При дефиците плазменных антикоагулянтов, таких как АТ </w:t>
      </w:r>
      <w:r w:rsidRPr="00B54A88">
        <w:rPr>
          <w:rFonts w:eastAsia="Times New Roman"/>
          <w:szCs w:val="24"/>
          <w:lang w:val="en-US" w:eastAsia="ru-RU"/>
        </w:rPr>
        <w:t>III</w:t>
      </w:r>
      <w:r w:rsidRPr="00B54A88">
        <w:rPr>
          <w:rFonts w:eastAsia="Times New Roman"/>
          <w:szCs w:val="24"/>
          <w:lang w:eastAsia="ru-RU"/>
        </w:rPr>
        <w:t xml:space="preserve">, протеин С, протеин </w:t>
      </w:r>
      <w:r w:rsidRPr="00B54A88">
        <w:rPr>
          <w:rFonts w:eastAsia="Times New Roman"/>
          <w:szCs w:val="24"/>
          <w:lang w:val="en-US" w:eastAsia="ru-RU"/>
        </w:rPr>
        <w:t>S</w:t>
      </w:r>
      <w:r w:rsidRPr="00B54A88">
        <w:rPr>
          <w:rFonts w:eastAsia="Times New Roman"/>
          <w:szCs w:val="24"/>
          <w:lang w:eastAsia="ru-RU"/>
        </w:rPr>
        <w:t xml:space="preserve"> применяется СЗП. </w:t>
      </w:r>
    </w:p>
    <w:p w14:paraId="243DF321" w14:textId="77777777" w:rsidR="001C2557" w:rsidRDefault="001C2557" w:rsidP="001C2557">
      <w:pPr>
        <w:pStyle w:val="afe"/>
        <w:numPr>
          <w:ilvl w:val="0"/>
          <w:numId w:val="65"/>
        </w:numPr>
        <w:contextualSpacing w:val="0"/>
        <w:rPr>
          <w:rFonts w:eastAsia="Times New Roman"/>
          <w:szCs w:val="24"/>
          <w:lang w:eastAsia="ru-RU"/>
        </w:rPr>
      </w:pPr>
      <w:r w:rsidRPr="00B54A88">
        <w:rPr>
          <w:rFonts w:eastAsia="Times New Roman"/>
          <w:szCs w:val="24"/>
          <w:lang w:eastAsia="ru-RU"/>
        </w:rPr>
        <w:t xml:space="preserve">При глубоком дефиците протеина С возможно использование препарата очищенного протеина С (Сепротин).  </w:t>
      </w:r>
    </w:p>
    <w:p w14:paraId="77A508DC" w14:textId="77777777" w:rsidR="001C2557" w:rsidRPr="00B54A88" w:rsidRDefault="001C2557" w:rsidP="001C2557">
      <w:pPr>
        <w:pStyle w:val="afe"/>
        <w:numPr>
          <w:ilvl w:val="0"/>
          <w:numId w:val="65"/>
        </w:numPr>
        <w:contextualSpacing w:val="0"/>
        <w:rPr>
          <w:rFonts w:eastAsia="Times New Roman"/>
          <w:szCs w:val="24"/>
          <w:lang w:eastAsia="ru-RU"/>
        </w:rPr>
      </w:pPr>
      <w:r w:rsidRPr="00B54A88">
        <w:rPr>
          <w:rFonts w:eastAsia="Times New Roman"/>
          <w:szCs w:val="24"/>
          <w:lang w:eastAsia="ru-RU"/>
        </w:rPr>
        <w:t>В комплексной терапии АФС может быть эффективна комбинация: дипиридамол, витамин Е, плаквенил.</w:t>
      </w:r>
    </w:p>
    <w:p w14:paraId="1151D1E4" w14:textId="77777777" w:rsidR="001C2557" w:rsidRDefault="001C2557" w:rsidP="001C2557">
      <w:pPr>
        <w:rPr>
          <w:rFonts w:eastAsia="Times New Roman"/>
          <w:szCs w:val="24"/>
          <w:lang w:eastAsia="ru-RU"/>
        </w:rPr>
      </w:pPr>
    </w:p>
    <w:p w14:paraId="0AEDD5F2" w14:textId="77777777" w:rsidR="001C2557" w:rsidRDefault="001C2557" w:rsidP="001C2557">
      <w:pPr>
        <w:rPr>
          <w:rFonts w:eastAsia="Times New Roman"/>
          <w:szCs w:val="24"/>
          <w:u w:val="single"/>
          <w:lang w:eastAsia="ru-RU"/>
        </w:rPr>
      </w:pPr>
      <w:r>
        <w:rPr>
          <w:rFonts w:eastAsia="Times New Roman"/>
          <w:szCs w:val="24"/>
          <w:u w:val="single"/>
          <w:lang w:eastAsia="ru-RU"/>
        </w:rPr>
        <w:t xml:space="preserve">Инструментальные методы лечения. </w:t>
      </w:r>
    </w:p>
    <w:p w14:paraId="61356EA4" w14:textId="08E79EAA" w:rsidR="001C2557" w:rsidRDefault="001C2557" w:rsidP="001C2557">
      <w:pPr>
        <w:widowControl w:val="0"/>
        <w:rPr>
          <w:szCs w:val="24"/>
        </w:rPr>
      </w:pPr>
      <w:r w:rsidRPr="00482DE7">
        <w:rPr>
          <w:rFonts w:eastAsia="Times New Roman"/>
          <w:szCs w:val="24"/>
          <w:lang w:eastAsia="ru-RU"/>
        </w:rPr>
        <w:t>1)  Кава-фильтр</w:t>
      </w:r>
      <w:r>
        <w:rPr>
          <w:rFonts w:eastAsia="Times New Roman"/>
          <w:szCs w:val="24"/>
          <w:lang w:eastAsia="ru-RU"/>
        </w:rPr>
        <w:t xml:space="preserve"> устанавливается либо для профилактики ТЭЛА (если были эпизоды ТЭЛА ранее), либо при наличии флотирующего тромба в крупных венозных стволах </w:t>
      </w:r>
      <w:r>
        <w:fldChar w:fldCharType="begin" w:fldLock="1"/>
      </w:r>
      <w:r w:rsidR="002F7BDD">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[89]","plainTextFormattedCitation":"[89]","previouslyFormattedCitation":"[89]"},"properties":{"noteIndex":0},"schema":"https://github.com/citation-style-language/schema/raw/master/csl-citation.json"}</w:instrText>
      </w:r>
      <w:r>
        <w:fldChar w:fldCharType="separate"/>
      </w:r>
      <w:r w:rsidR="00D70CEE" w:rsidRPr="00D70CEE">
        <w:rPr>
          <w:noProof/>
        </w:rPr>
        <w:t>[89]</w:t>
      </w:r>
      <w:r>
        <w:fldChar w:fldCharType="end"/>
      </w:r>
      <w:r>
        <w:rPr>
          <w:rFonts w:eastAsia="Times New Roman"/>
          <w:szCs w:val="24"/>
          <w:lang w:eastAsia="ru-RU"/>
        </w:rPr>
        <w:t>.</w:t>
      </w:r>
      <w:r>
        <w:rPr>
          <w:szCs w:val="24"/>
        </w:rPr>
        <w:t xml:space="preserve"> Показаниями для постановки венозного кава-фильтра является неэффективность или невозможность проведения антикоагулянтной терапии у больных с тромбозами глубоких вен нижних конечностей в следующих случаях:</w:t>
      </w:r>
    </w:p>
    <w:p w14:paraId="59E27F97" w14:textId="77777777" w:rsidR="001C2557" w:rsidRPr="005650C3" w:rsidRDefault="001C2557" w:rsidP="001C2557">
      <w:pPr>
        <w:pStyle w:val="afe"/>
        <w:numPr>
          <w:ilvl w:val="0"/>
          <w:numId w:val="65"/>
        </w:numPr>
        <w:contextualSpacing w:val="0"/>
        <w:rPr>
          <w:rFonts w:eastAsia="Times New Roman"/>
          <w:szCs w:val="24"/>
          <w:lang w:eastAsia="ru-RU"/>
        </w:rPr>
      </w:pPr>
      <w:r w:rsidRPr="005650C3">
        <w:rPr>
          <w:rFonts w:eastAsia="Times New Roman"/>
          <w:szCs w:val="24"/>
          <w:lang w:eastAsia="ru-RU"/>
        </w:rPr>
        <w:t>рецидивирующая ТЭЛА, несмотря на адекватную антикоагулянтную терапию;</w:t>
      </w:r>
    </w:p>
    <w:p w14:paraId="6145A0EA" w14:textId="77777777" w:rsidR="001C2557" w:rsidRPr="005650C3" w:rsidRDefault="001C2557" w:rsidP="001C2557">
      <w:pPr>
        <w:pStyle w:val="afe"/>
        <w:numPr>
          <w:ilvl w:val="0"/>
          <w:numId w:val="65"/>
        </w:numPr>
        <w:contextualSpacing w:val="0"/>
        <w:rPr>
          <w:rFonts w:eastAsia="Times New Roman"/>
          <w:szCs w:val="24"/>
          <w:lang w:eastAsia="ru-RU"/>
        </w:rPr>
      </w:pPr>
      <w:r w:rsidRPr="005650C3">
        <w:rPr>
          <w:rFonts w:eastAsia="Times New Roman"/>
          <w:szCs w:val="24"/>
          <w:lang w:eastAsia="ru-RU"/>
        </w:rPr>
        <w:t>наличие противопоказаний к антикоагулянтной терапии;</w:t>
      </w:r>
    </w:p>
    <w:p w14:paraId="473B21C6" w14:textId="77777777" w:rsidR="001C2557" w:rsidRPr="005650C3" w:rsidRDefault="001C2557" w:rsidP="001C2557">
      <w:pPr>
        <w:pStyle w:val="afe"/>
        <w:numPr>
          <w:ilvl w:val="0"/>
          <w:numId w:val="65"/>
        </w:numPr>
        <w:contextualSpacing w:val="0"/>
        <w:rPr>
          <w:rFonts w:eastAsia="Times New Roman"/>
          <w:szCs w:val="24"/>
          <w:lang w:eastAsia="ru-RU"/>
        </w:rPr>
      </w:pPr>
      <w:r w:rsidRPr="005650C3">
        <w:rPr>
          <w:rFonts w:eastAsia="Times New Roman"/>
          <w:szCs w:val="24"/>
          <w:lang w:eastAsia="ru-RU"/>
        </w:rPr>
        <w:t>осложнения антикоагулянтной терапии, делающие невозможным</w:t>
      </w:r>
    </w:p>
    <w:p w14:paraId="428B90EE" w14:textId="77777777" w:rsidR="001C2557" w:rsidRPr="005650C3" w:rsidRDefault="001C2557" w:rsidP="001C2557">
      <w:pPr>
        <w:pStyle w:val="afe"/>
        <w:numPr>
          <w:ilvl w:val="0"/>
          <w:numId w:val="65"/>
        </w:numPr>
        <w:contextualSpacing w:val="0"/>
        <w:rPr>
          <w:rFonts w:eastAsia="Times New Roman"/>
          <w:szCs w:val="24"/>
          <w:lang w:eastAsia="ru-RU"/>
        </w:rPr>
      </w:pPr>
      <w:r w:rsidRPr="005650C3">
        <w:rPr>
          <w:rFonts w:eastAsia="Times New Roman"/>
          <w:szCs w:val="24"/>
          <w:lang w:eastAsia="ru-RU"/>
        </w:rPr>
        <w:t>дальнейшую гипокоагуляцию;</w:t>
      </w:r>
    </w:p>
    <w:p w14:paraId="7F43D8CB" w14:textId="77777777" w:rsidR="001C2557" w:rsidRPr="005650C3" w:rsidRDefault="001C2557" w:rsidP="001C2557">
      <w:pPr>
        <w:pStyle w:val="afe"/>
        <w:numPr>
          <w:ilvl w:val="0"/>
          <w:numId w:val="65"/>
        </w:numPr>
        <w:contextualSpacing w:val="0"/>
        <w:rPr>
          <w:rFonts w:eastAsia="Times New Roman"/>
          <w:szCs w:val="24"/>
          <w:lang w:eastAsia="ru-RU"/>
        </w:rPr>
      </w:pPr>
      <w:r w:rsidRPr="005650C3">
        <w:rPr>
          <w:rFonts w:eastAsia="Times New Roman"/>
          <w:szCs w:val="24"/>
          <w:lang w:eastAsia="ru-RU"/>
        </w:rPr>
        <w:t>невозможность достигнуть или поддерживать лечебный антикоагулянтный эффект.</w:t>
      </w:r>
    </w:p>
    <w:p w14:paraId="68E0D7E2" w14:textId="77777777" w:rsidR="001C2557" w:rsidRPr="00A13E2A" w:rsidRDefault="001C2557" w:rsidP="001C2557">
      <w:pPr>
        <w:rPr>
          <w:rFonts w:eastAsia="Times New Roman"/>
          <w:szCs w:val="24"/>
          <w:lang w:eastAsia="ru-RU"/>
        </w:rPr>
      </w:pPr>
      <w:r w:rsidRPr="00A13E2A">
        <w:rPr>
          <w:rFonts w:eastAsia="Times New Roman"/>
          <w:szCs w:val="24"/>
          <w:lang w:eastAsia="ru-RU"/>
        </w:rPr>
        <w:t>При исчезновении угрозы ВТЭО кава-фильтр удаляется (обычно через 1,5-2 мес).</w:t>
      </w:r>
    </w:p>
    <w:p w14:paraId="14C6E7EC" w14:textId="77777777" w:rsidR="001C2557" w:rsidRDefault="001C2557" w:rsidP="001C2557">
      <w:pPr>
        <w:ind w:left="1459"/>
        <w:rPr>
          <w:rFonts w:eastAsia="Times New Roman"/>
          <w:szCs w:val="24"/>
          <w:lang w:eastAsia="ru-RU"/>
        </w:rPr>
      </w:pPr>
    </w:p>
    <w:p w14:paraId="2DBC1503" w14:textId="5D4F5144" w:rsidR="001C2557" w:rsidRDefault="001C2557" w:rsidP="001C2557">
      <w:pPr>
        <w:rPr>
          <w:rFonts w:eastAsia="Times New Roman"/>
          <w:szCs w:val="24"/>
          <w:lang w:eastAsia="ru-RU"/>
        </w:rPr>
      </w:pPr>
      <w:r w:rsidRPr="00482DE7">
        <w:rPr>
          <w:rFonts w:eastAsia="Times New Roman"/>
          <w:szCs w:val="24"/>
          <w:lang w:eastAsia="ru-RU"/>
        </w:rPr>
        <w:t>2) Эндоваскулярная тромбоэкстракция</w:t>
      </w:r>
      <w:r>
        <w:rPr>
          <w:rFonts w:eastAsia="Times New Roman"/>
          <w:szCs w:val="24"/>
          <w:lang w:eastAsia="ru-RU"/>
        </w:rPr>
        <w:t xml:space="preserve"> используется при острых тромбозах сосудов головного мозга, ТЭЛА, остром коронарном синдроме, а также при угрозе формирования некрозов тканей и органов </w:t>
      </w:r>
      <w:r>
        <w:fldChar w:fldCharType="begin" w:fldLock="1"/>
      </w:r>
      <w:r w:rsidR="002F7BDD">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[89]","plainTextFormattedCitation":"[89]","previouslyFormattedCitation":"[89]"},"properties":{"noteIndex":0},"schema":"https://github.com/citation-style-language/schema/raw/master/csl-citation.json"}</w:instrText>
      </w:r>
      <w:r>
        <w:fldChar w:fldCharType="separate"/>
      </w:r>
      <w:r w:rsidR="00D70CEE" w:rsidRPr="00D70CEE">
        <w:rPr>
          <w:noProof/>
        </w:rPr>
        <w:t>[89]</w:t>
      </w:r>
      <w:r>
        <w:fldChar w:fldCharType="end"/>
      </w:r>
      <w:r>
        <w:rPr>
          <w:rFonts w:eastAsia="Times New Roman"/>
          <w:szCs w:val="24"/>
          <w:lang w:eastAsia="ru-RU"/>
        </w:rPr>
        <w:t xml:space="preserve">. При необходимости устанавливаются различные сосудистые стенты. </w:t>
      </w:r>
    </w:p>
    <w:p w14:paraId="237EEA7C" w14:textId="77777777" w:rsidR="001C2557" w:rsidRDefault="001C2557" w:rsidP="001C2557">
      <w:pPr>
        <w:ind w:left="708" w:firstLine="708"/>
        <w:rPr>
          <w:rFonts w:eastAsia="Times New Roman"/>
          <w:szCs w:val="24"/>
          <w:lang w:eastAsia="ru-RU"/>
        </w:rPr>
      </w:pPr>
    </w:p>
    <w:p w14:paraId="56F65B15" w14:textId="77777777" w:rsidR="001C2557" w:rsidRDefault="001C2557" w:rsidP="001C2557">
      <w:pPr>
        <w:rPr>
          <w:rFonts w:eastAsia="Times New Roman"/>
          <w:szCs w:val="24"/>
          <w:lang w:eastAsia="ru-RU"/>
        </w:rPr>
      </w:pPr>
      <w:r w:rsidRPr="00482DE7">
        <w:rPr>
          <w:rFonts w:eastAsia="Times New Roman"/>
          <w:szCs w:val="24"/>
          <w:lang w:eastAsia="ru-RU"/>
        </w:rPr>
        <w:t>3) Плазмаферез (ПФ)</w:t>
      </w:r>
      <w:r>
        <w:rPr>
          <w:rFonts w:eastAsia="Times New Roman"/>
          <w:szCs w:val="24"/>
          <w:lang w:eastAsia="ru-RU"/>
        </w:rPr>
        <w:t xml:space="preserve"> эффективен в комплексной терапии АФС и катастрофического АФС, ТТП и других видах ТМА, гипергомоцистеинемии, повышении активности факторов свертывания крови, при рецидивирующих тромбозах с угрозой развития тяжелых трофических нарушений. Объем, интенсивность, способы замещения ПФ зависят от характеристики заболеваний. </w:t>
      </w:r>
    </w:p>
    <w:p w14:paraId="44110BC5" w14:textId="77777777" w:rsidR="001C2557" w:rsidRDefault="001C2557" w:rsidP="001C2557">
      <w:pPr>
        <w:ind w:left="1429"/>
        <w:rPr>
          <w:rFonts w:eastAsia="Times New Roman"/>
          <w:szCs w:val="24"/>
          <w:lang w:eastAsia="ru-RU"/>
        </w:rPr>
      </w:pPr>
    </w:p>
    <w:p w14:paraId="5CFD67EB" w14:textId="77777777" w:rsidR="001C2557" w:rsidRPr="00111FC7" w:rsidRDefault="001C2557" w:rsidP="001C2557">
      <w:pPr>
        <w:ind w:firstLine="708"/>
        <w:rPr>
          <w:rFonts w:eastAsia="Times New Roman"/>
          <w:szCs w:val="24"/>
          <w:u w:val="single"/>
          <w:lang w:eastAsia="ru-RU"/>
        </w:rPr>
      </w:pPr>
      <w:r w:rsidRPr="00111FC7">
        <w:rPr>
          <w:rFonts w:eastAsia="Times New Roman"/>
          <w:szCs w:val="24"/>
          <w:u w:val="single"/>
          <w:lang w:eastAsia="ru-RU"/>
        </w:rPr>
        <w:t xml:space="preserve">Хирургическое лечение.   </w:t>
      </w:r>
    </w:p>
    <w:p w14:paraId="00889D08" w14:textId="77777777" w:rsidR="001C2557" w:rsidRPr="00A13E2A" w:rsidRDefault="001C2557" w:rsidP="001C2557">
      <w:pPr>
        <w:contextualSpacing/>
        <w:rPr>
          <w:rFonts w:eastAsia="Times New Roman"/>
          <w:b/>
          <w:szCs w:val="24"/>
          <w:lang w:eastAsia="ru-RU"/>
        </w:rPr>
      </w:pPr>
      <w:r w:rsidRPr="00A13E2A">
        <w:rPr>
          <w:rFonts w:eastAsia="Times New Roman"/>
          <w:szCs w:val="24"/>
          <w:lang w:eastAsia="ru-RU"/>
        </w:rPr>
        <w:t xml:space="preserve">Диагностику и лечение артериальных тромбозов необходимо строго осуществлять совместно с ангиохирургом, часто в условиях специализированного ангиологического хирургического стационара. При ТЭЛА с тяжелыми гемодинамическими расстройствами (АД в легочной артерии более 60-65 мм.рт.ст.) показано хирургическое удаление тромбов из легочной артерии.  </w:t>
      </w:r>
    </w:p>
    <w:p w14:paraId="13FCFCA6" w14:textId="77777777" w:rsidR="001C2557" w:rsidRPr="00A13E2A" w:rsidRDefault="001C2557" w:rsidP="001C2557">
      <w:pPr>
        <w:rPr>
          <w:rFonts w:eastAsia="Times New Roman"/>
          <w:b/>
          <w:szCs w:val="24"/>
          <w:lang w:eastAsia="ru-RU"/>
        </w:rPr>
      </w:pPr>
      <w:r w:rsidRPr="00A13E2A">
        <w:rPr>
          <w:rFonts w:eastAsia="Times New Roman"/>
          <w:szCs w:val="24"/>
          <w:lang w:eastAsia="ru-RU"/>
        </w:rPr>
        <w:t>При развитии некротических изменений в результате окклюзирующих тромбозов показано экстренное хирургическое пособие.</w:t>
      </w:r>
    </w:p>
    <w:p w14:paraId="6B751D62" w14:textId="77777777" w:rsidR="001C2557" w:rsidRPr="00A13E2A" w:rsidRDefault="001C2557" w:rsidP="001C2557">
      <w:pPr>
        <w:rPr>
          <w:rFonts w:eastAsia="Times New Roman"/>
          <w:b/>
          <w:szCs w:val="24"/>
          <w:lang w:eastAsia="ru-RU"/>
        </w:rPr>
      </w:pPr>
      <w:r w:rsidRPr="00A13E2A">
        <w:rPr>
          <w:rFonts w:eastAsia="Times New Roman"/>
          <w:szCs w:val="24"/>
          <w:lang w:eastAsia="ru-RU"/>
        </w:rPr>
        <w:t xml:space="preserve">При флотирующих тромбах возможны применение эндоваскулярной тромбоэкстракции, установка кава-фильтра, хирургическая перевязка сосудов, прошивание нижней полой вены и др. </w:t>
      </w:r>
    </w:p>
    <w:p w14:paraId="06F51CF9" w14:textId="77777777" w:rsidR="001C2557" w:rsidRDefault="001C2557" w:rsidP="001C2557">
      <w:pPr>
        <w:rPr>
          <w:rFonts w:eastAsia="Times New Roman"/>
          <w:szCs w:val="24"/>
          <w:lang w:eastAsia="ru-RU"/>
        </w:rPr>
      </w:pPr>
      <w:r>
        <w:rPr>
          <w:rFonts w:eastAsia="Times New Roman"/>
          <w:szCs w:val="24"/>
          <w:lang w:eastAsia="ru-RU"/>
        </w:rPr>
        <w:t xml:space="preserve">Целью терапии тромбозов является максимально возможное лизирование тромбов и максимальная реканализация сосуда. Длительность терапии тромбоза составляет, как правило, не менее 3-х месяцев. Однако продолжительность лечения тромбозов по показаниям может составлять от 6 до 12 мес. При некоторых тромбофилиях профилактическая антитромботическая терапия может продолжаться пожизненно. </w:t>
      </w:r>
    </w:p>
    <w:p w14:paraId="04652898" w14:textId="77777777" w:rsidR="001C2557" w:rsidRDefault="001C2557" w:rsidP="001C2557">
      <w:pPr>
        <w:rPr>
          <w:szCs w:val="24"/>
        </w:rPr>
      </w:pPr>
      <w:r>
        <w:rPr>
          <w:szCs w:val="24"/>
        </w:rPr>
        <w:t xml:space="preserve">При сохранении таких факторов риска, как иммобилизация, гнойная инфекция, длительная катетеризация центральных сосудов, продолжающаяся ХТ или другие виды специфической терапии, сахарный диабет, сохраняющаяся злокачественная опухоль, генетические тромбофилии (исключая дефицит АТ </w:t>
      </w:r>
      <w:r>
        <w:rPr>
          <w:szCs w:val="24"/>
          <w:lang w:val="en-US"/>
        </w:rPr>
        <w:t>III</w:t>
      </w:r>
      <w:r>
        <w:rPr>
          <w:szCs w:val="24"/>
        </w:rPr>
        <w:t xml:space="preserve">), целесообразно продлить антикоагулянтную профилактику. В этом случае дополнительным аргументом может служить сохранение тромбинемии (высокая концентрация </w:t>
      </w:r>
      <w:r>
        <w:rPr>
          <w:szCs w:val="24"/>
          <w:lang w:val="en-US"/>
        </w:rPr>
        <w:t>D</w:t>
      </w:r>
      <w:r>
        <w:rPr>
          <w:szCs w:val="24"/>
        </w:rPr>
        <w:t>-димера), а также признаки замедления кровотока в глубоких венах нижних конечностей или таза при УЗДГ. Завершение противотромботического курса проводится индивидуально с учетом динамики факторов риска и тромбинемии.</w:t>
      </w:r>
    </w:p>
    <w:p w14:paraId="37D3022C" w14:textId="77777777" w:rsidR="001C2557" w:rsidRDefault="001C2557" w:rsidP="001C2557">
      <w:pPr>
        <w:pStyle w:val="afd"/>
        <w:spacing w:beforeAutospacing="0" w:afterAutospacing="0" w:line="360" w:lineRule="auto"/>
      </w:pPr>
    </w:p>
    <w:p w14:paraId="3507193E" w14:textId="77777777" w:rsidR="001C2557" w:rsidRPr="00670BE6" w:rsidRDefault="001C2557" w:rsidP="001C2557">
      <w:pPr>
        <w:pStyle w:val="afd"/>
        <w:spacing w:beforeAutospacing="0" w:afterAutospacing="0" w:line="360" w:lineRule="auto"/>
        <w:rPr>
          <w:i/>
          <w:iCs/>
          <w:u w:val="single"/>
        </w:rPr>
      </w:pPr>
      <w:r w:rsidRPr="00A75075">
        <w:rPr>
          <w:i/>
          <w:iCs/>
          <w:u w:val="single"/>
        </w:rPr>
        <w:t xml:space="preserve">Особенности профилактики и лечения ВТЭО </w:t>
      </w:r>
      <w:bookmarkStart w:id="72" w:name="_Toc535849609"/>
      <w:r w:rsidRPr="00A75075">
        <w:rPr>
          <w:i/>
          <w:iCs/>
          <w:u w:val="single"/>
        </w:rPr>
        <w:t>при лимфо</w:t>
      </w:r>
      <w:bookmarkEnd w:id="72"/>
      <w:r w:rsidRPr="00A75075">
        <w:rPr>
          <w:i/>
          <w:iCs/>
          <w:u w:val="single"/>
        </w:rPr>
        <w:t>мах</w:t>
      </w:r>
    </w:p>
    <w:p w14:paraId="6C602F65" w14:textId="6D08EC0C" w:rsidR="001C2557" w:rsidRDefault="001C2557" w:rsidP="001C2557">
      <w:r>
        <w:rPr>
          <w:szCs w:val="24"/>
        </w:rPr>
        <w:t>Частота возникновения ВТЭО при лимфомах колеблется от 1,5 до 59,5% и зависит от варианта лимфомы, стадии заболевания, ее локализации</w:t>
      </w:r>
      <w:r w:rsidRPr="00EF10DB">
        <w:rPr>
          <w:szCs w:val="24"/>
        </w:rPr>
        <w:t xml:space="preserve"> </w:t>
      </w:r>
      <w:r>
        <w:rPr>
          <w:szCs w:val="24"/>
        </w:rPr>
        <w:fldChar w:fldCharType="begin" w:fldLock="1"/>
      </w:r>
      <w:r w:rsidR="002F7BDD">
        <w:rPr>
          <w:szCs w:val="24"/>
        </w:rPr>
        <w:instrText>ADDIN CSL_CITATION {"citationItems":[{"id":"ITEM-1","itemData":{"DOI":"10.1016/j.thromres.2016.05.008","ISSN":"18792472","PMID":"27208462","abstract":"Introduction Patients with non-Hodgkin lymphoma (NHL) have an increased risk of venous thromboembolism (VTE). Current risk-prediction models classify NHL as a single entity. We aimed to quantify the difference in VTE risk in follicular lymphoma (FL) versus diffuse large B cell lymphoma (DLBCL). Methods Using a prospective cohort study, we identified 2730 patients (2037 DLBCL; 693 FL) within the Veteran's Administration Central Cancer Registry. A competing risk model assessed the association between VTE risk and histology in the first year after NHL diagnosis. We assessed the effect of additional risk factors for VTE in NHL. Results In univariate analysis, DLBCL was associated with increased risk of VTE compared to FL in the first year after diagnosis; this association was no longer significant in adjusted analysis (adjusted hazard ratio (aHR) 1.52; 95% CI 0.97-2.40). Major risk factors for VTE included history of VTE before NHL diagnosis (aHR 4.73, p ≤ 0.0001) and time period during chemotherapy administration (aHR 7.60, p ≤ 0.0001). Additional risk factors included: stage III/IV disease (p = 0.02), BMI ≥ 30 (p = 0.02), B-symptoms (p = 0.02), and doxorubicin (p = 0.04). The cumulative incidence of VTE was highest in the period following diagnosis and decreased over time for both histologies. Conclusion DLBCL is associated with increased risk of VTE compared to FL. This risk is markedly attenuated when adjusting for additional risk factors. The strongest predictors for development of VTE included: time period during chemotherapy administration (especially doxorubicin) and history of VTE. This knowledge can assist clinicians in identifying NHL patients at high risk for VTE.","author":[{"dropping-particle":"","family":"Sanfilippo","given":"K. M.","non-dropping-particle":"","parse-names":false,"suffix":""},{"dropping-particle":"","family":"Wang","given":"T. F.","non-dropping-particle":"","parse-names":false,"suffix":""},{"dropping-particle":"","family":"Gage","given":"B. F.","non-dropping-particle":"","parse-names":false,"suffix":""},{"dropping-particle":"","family":"Luo","given":"S.","non-dropping-particle":"","parse-names":false,"suffix":""},{"dropping-particle":"","family":"Riedell","given":"P.","non-dropping-particle":"","parse-names":false,"suffix":""},{"dropping-particle":"","family":"Carson","given":"K. R.","non-dropping-particle":"","parse-names":false,"suffix":""}],"container-title":"Thrombosis Research","id":"ITEM-1","issued":{"date-parts":[["2016","7","1"]]},"page":"86-90","publisher":"Elsevier Ltd","title":"Incidence of venous thromboembolism in patients with non-Hodgkin lymphoma","type":"article-journal","volume":"143"},"uris":["http://www.mendeley.com/documents/?uuid=7b8bbbe4-fc75-35bc-b4a6-c3fcc6ae90cc"]},{"id":"ITEM-2","itemData":{"DOI":"10.1016/j.thromres.2012.03.019","ISSN":"18792472","PMID":"22507288","abstract":"Introduction: Venous thromboembolism (VTE) may be associated with treatment failure rate and quality of life deterioration in lymphoma patients. However, the majority of data regarding VTE has come from retrospective studies done in Western countries. Materials and methods: We analyzed VTE, including pulmonary embolism and deep vein thrombosis, from Asian patients enrolled a prospective cohort study. All patients were newly diagnosed Hodgkin's lymphoma (HL) and non-Hodgkin's lymphoma (NHL). Results: A total of 686 patients were analyzed, and the median follow-up duration was 21.8 months. There were 54 cases of VTE including deep vein thrombosis alone (33/54, 61.1%) and pulmonary embolism (21/54, 38.9%). The median time to VTE was 1.97 months, and the one-year actuarial incidence was 7.9%. The global incidence of VTE was higher in patients with NHL (51/641, 8.0%) than HL (3/45, 6.7%). All cases of VTE occurred in patients receiving chemotherapy whereas no VTE in patients without chemotherapy. VTE was also independently associated with age older than 60 years and primary central nervous system (CNS) lymphoma. No VTE-related deaths were reported among all cases of VTE. Thus, overall survival was not different between patients with and without VTE. The subgroup analysis of patients with diffuse large B-cell lymphoma showed 8.9% of one-year actuarial incidence, but the occurrence of VTE did not influence its overall survival, either. Conclusions: The incidence of VTE in our study population was comparable to that of Western countries, and VTE was associated with chemotherapy, brain involvement and old age. © 2012 Elsevier Ltd.","author":[{"dropping-particle":"","family":"Park","given":"Lee Chun","non-dropping-particle":"","parse-names":false,"suffix":""},{"dropping-particle":"","family":"Woo","given":"Sook Young","non-dropping-particle":"","parse-names":false,"suffix":""},{"dropping-particle":"","family":"Kim","given":"Seonwoo","non-dropping-particle":"","parse-names":false,"suffix":""},{"dropping-particle":"","family":"Jeon","given":"Hyejin","non-dropping-particle":"","parse-names":false,"suffix":""},{"dropping-particle":"","family":"Ko","given":"Young Hyeh","non-dropping-particle":"","parse-names":false,"suffix":""},{"dropping-particle":"","family":"Kim","given":"Seok Jin","non-dropping-particle":"","parse-names":false,"suffix":""},{"dropping-particle":"","family":"Kim","given":"Won Seog","non-dropping-particle":"","parse-names":false,"suffix":""}],"container-title":"Thrombosis Research","id":"ITEM-2","issue":"3","issued":{"date-parts":[["2012"]]},"page":"e6","publisher":"Elsevier Ltd","title":"Incidence, risk factors and clinical features of venous thromboembolism in newly diagnosed lymphoma patients: Results from a prospective cohort study with Asian population","type":"article-journal","volume":"130"},"uris":["http://www.mendeley.com/documents/?uuid=3cf2b606-ef7e-3c57-a3c7-2a7b45850867"]}],"mendeley":{"formattedCitation":"[94,95]","plainTextFormattedCitation":"[94,95]","previouslyFormattedCitation":"[94,95]"},"properties":{"noteIndex":0},"schema":"https://github.com/citation-style-language/schema/raw/master/csl-citation.json"}</w:instrText>
      </w:r>
      <w:r>
        <w:rPr>
          <w:szCs w:val="24"/>
        </w:rPr>
        <w:fldChar w:fldCharType="separate"/>
      </w:r>
      <w:r w:rsidR="00D70CEE" w:rsidRPr="00D70CEE">
        <w:rPr>
          <w:noProof/>
          <w:szCs w:val="24"/>
        </w:rPr>
        <w:t>[94,95]</w:t>
      </w:r>
      <w:r>
        <w:rPr>
          <w:szCs w:val="24"/>
        </w:rPr>
        <w:fldChar w:fldCharType="end"/>
      </w:r>
      <w:r>
        <w:rPr>
          <w:szCs w:val="24"/>
        </w:rPr>
        <w:t xml:space="preserve">. Наибольшая частота ВТЭО отмечается у больных лимфомами ЦНС, при которых риск их возникновения увеличивается в 4,19 раз, а также при первичной медиастинальный В-крупноклеточной лимфоме. При лимфомах высокой степени злокачественности риск ВТЭО выше, чем при лимфомах низкой степени злокачественности (8.3% против 6.3%). Развитию ВТЭО способствует сдавление венозных сосудов опухолевой массой, которое встречается у 22% больных лимфомами </w:t>
      </w:r>
      <w:r>
        <w:rPr>
          <w:szCs w:val="24"/>
        </w:rPr>
        <w:fldChar w:fldCharType="begin" w:fldLock="1"/>
      </w:r>
      <w:r w:rsidR="002F7BDD">
        <w:rPr>
          <w:szCs w:val="24"/>
        </w:rPr>
        <w:instrText>ADDIN CSL_CITATION {"citationItems":[{"id":"ITEM-1","itemData":{"DOI":"10.1016/j.thromres.2016.05.008","ISSN":"18792472","PMID":"27208462","abstract":"Introduction Patients with non-Hodgkin lymphoma (NHL) have an increased risk of venous thromboembolism (VTE). Current risk-prediction models classify NHL as a single entity. We aimed to quantify the difference in VTE risk in follicular lymphoma (FL) versus diffuse large B cell lymphoma (DLBCL). Methods Using a prospective cohort study, we identified 2730 patients (2037 DLBCL; 693 FL) within the Veteran's Administration Central Cancer Registry. A competing risk model assessed the association between VTE risk and histology in the first year after NHL diagnosis. We assessed the effect of additional risk factors for VTE in NHL. Results In univariate analysis, DLBCL was associated with increased risk of VTE compared to FL in the first year after diagnosis; this association was no longer significant in adjusted analysis (adjusted hazard ratio (aHR) 1.52; 95% CI 0.97-2.40). Major risk factors for VTE included history of VTE before NHL diagnosis (aHR 4.73, p ≤ 0.0001) and time period during chemotherapy administration (aHR 7.60, p ≤ 0.0001). Additional risk factors included: stage III/IV disease (p = 0.02), BMI ≥ 30 (p = 0.02), B-symptoms (p = 0.02), and doxorubicin (p = 0.04). The cumulative incidence of VTE was highest in the period following diagnosis and decreased over time for both histologies. Conclusion DLBCL is associated with increased risk of VTE compared to FL. This risk is markedly attenuated when adjusting for additional risk factors. The strongest predictors for development of VTE included: time period during chemotherapy administration (especially doxorubicin) and history of VTE. This knowledge can assist clinicians in identifying NHL patients at high risk for VTE.","author":[{"dropping-particle":"","family":"Sanfilippo","given":"K. M.","non-dropping-particle":"","parse-names":false,"suffix":""},{"dropping-particle":"","family":"Wang","given":"T. F.","non-dropping-particle":"","parse-names":false,"suffix":""},{"dropping-particle":"","family":"Gage","given":"B. F.","non-dropping-particle":"","parse-names":false,"suffix":""},{"dropping-particle":"","family":"Luo","given":"S.","non-dropping-particle":"","parse-names":false,"suffix":""},{"dropping-particle":"","family":"Riedell","given":"P.","non-dropping-particle":"","parse-names":false,"suffix":""},{"dropping-particle":"","family":"Carson","given":"K. R.","non-dropping-particle":"","parse-names":false,"suffix":""}],"container-title":"Thrombosis Research","id":"ITEM-1","issued":{"date-parts":[["2016","7","1"]]},"page":"86-90","publisher":"Elsevier Ltd","title":"Incidence of venous thromboembolism in patients with non-Hodgkin lymphoma","type":"article-journal","volume":"143"},"uris":["http://www.mendeley.com/documents/?uuid=7b8bbbe4-fc75-35bc-b4a6-c3fcc6ae90cc"]},{"id":"ITEM-2","itemData":{"DOI":"10.1016/j.thromres.2012.03.019","ISSN":"18792472","PMID":"22507288","abstract":"Introduction: Venous thromboembolism (VTE) may be associated with treatment failure rate and quality of life deterioration in lymphoma patients. However, the majority of data regarding VTE has come from retrospective studies done in Western countries. Materials and methods: We analyzed VTE, including pulmonary embolism and deep vein thrombosis, from Asian patients enrolled a prospective cohort study. All patients were newly diagnosed Hodgkin's lymphoma (HL) and non-Hodgkin's lymphoma (NHL). Results: A total of 686 patients were analyzed, and the median follow-up duration was 21.8 months. There were 54 cases of VTE including deep vein thrombosis alone (33/54, 61.1%) and pulmonary embolism (21/54, 38.9%). The median time to VTE was 1.97 months, and the one-year actuarial incidence was 7.9%. The global incidence of VTE was higher in patients with NHL (51/641, 8.0%) than HL (3/45, 6.7%). All cases of VTE occurred in patients receiving chemotherapy whereas no VTE in patients without chemotherapy. VTE was also independently associated with age older than 60 years and primary central nervous system (CNS) lymphoma. No VTE-related deaths were reported among all cases of VTE. Thus, overall survival was not different between patients with and without VTE. The subgroup analysis of patients with diffuse large B-cell lymphoma showed 8.9% of one-year actuarial incidence, but the occurrence of VTE did not influence its overall survival, either. Conclusions: The incidence of VTE in our study population was comparable to that of Western countries, and VTE was associated with chemotherapy, brain involvement and old age. © 2012 Elsevier Ltd.","author":[{"dropping-particle":"","family":"Park","given":"Lee Chun","non-dropping-particle":"","parse-names":false,"suffix":""},{"dropping-particle":"","family":"Woo","given":"Sook Young","non-dropping-particle":"","parse-names":false,"suffix":""},{"dropping-particle":"","family":"Kim","given":"Seonwoo","non-dropping-particle":"","parse-names":false,"suffix":""},{"dropping-particle":"","family":"Jeon","given":"Hyejin","non-dropping-particle":"","parse-names":false,"suffix":""},{"dropping-particle":"","family":"Ko","given":"Young Hyeh","non-dropping-particle":"","parse-names":false,"suffix":""},{"dropping-particle":"","family":"Kim","given":"Seok Jin","non-dropping-particle":"","parse-names":false,"suffix":""},{"dropping-particle":"","family":"Kim","given":"Won Seog","non-dropping-particle":"","parse-names":false,"suffix":""}],"container-title":"Thrombosis Research","id":"ITEM-2","issue":"3","issued":{"date-parts":[["2012"]]},"page":"e6","publisher":"Elsevier Ltd","title":"Incidence, risk factors and clinical features of venous thromboembolism in newly diagnosed lymphoma patients: Results from a prospective cohort study with Asian population","type":"article-journal","volume":"130"},"uris":["http://www.mendeley.com/documents/?uuid=3cf2b606-ef7e-3c57-a3c7-2a7b45850867"]}],"mendeley":{"formattedCitation":"[94,95]","plainTextFormattedCitation":"[94,95]","previouslyFormattedCitation":"[94,95]"},"properties":{"noteIndex":0},"schema":"https://github.com/citation-style-language/schema/raw/master/csl-citation.json"}</w:instrText>
      </w:r>
      <w:r>
        <w:rPr>
          <w:szCs w:val="24"/>
        </w:rPr>
        <w:fldChar w:fldCharType="separate"/>
      </w:r>
      <w:r w:rsidR="00D70CEE" w:rsidRPr="00D70CEE">
        <w:rPr>
          <w:noProof/>
          <w:szCs w:val="24"/>
        </w:rPr>
        <w:t>[94,95]</w:t>
      </w:r>
      <w:r>
        <w:rPr>
          <w:szCs w:val="24"/>
        </w:rPr>
        <w:fldChar w:fldCharType="end"/>
      </w:r>
      <w:r>
        <w:rPr>
          <w:szCs w:val="24"/>
        </w:rPr>
        <w:t>.</w:t>
      </w:r>
    </w:p>
    <w:p w14:paraId="410727A8" w14:textId="77777777" w:rsidR="001C2557" w:rsidRDefault="001C2557" w:rsidP="001C2557">
      <w:pPr>
        <w:rPr>
          <w:szCs w:val="24"/>
        </w:rPr>
      </w:pPr>
      <w:r>
        <w:rPr>
          <w:szCs w:val="24"/>
        </w:rPr>
        <w:t xml:space="preserve">При лимфомах факторами риска ВТЭО являются возраст старше 60 лет, интоксикационный синдром, а также ХТ и лучевая терапия. В частности, после ХТ в течение первых 3 мес. лечения более, чем в 70% случаев, у больных регистрируются ВТЭО.  </w:t>
      </w:r>
    </w:p>
    <w:p w14:paraId="4A893C83" w14:textId="77777777" w:rsidR="001C2557" w:rsidRDefault="001C2557" w:rsidP="001C2557">
      <w:pPr>
        <w:widowControl w:val="0"/>
        <w:rPr>
          <w:szCs w:val="24"/>
        </w:rPr>
      </w:pPr>
      <w:r w:rsidRPr="00C86B9A">
        <w:rPr>
          <w:szCs w:val="24"/>
        </w:rPr>
        <w:t>Среди больных, которым проведена ауто- или аллоТГСК, ВТЭО выявляется в 4,6%</w:t>
      </w:r>
      <w:r>
        <w:rPr>
          <w:szCs w:val="24"/>
        </w:rPr>
        <w:t xml:space="preserve"> случаев. Риск ВТЭО выше у больных с тромбоцитопенией потребления, с предшествующими тромбозами и при наличии реакции «трансплантат против хозяина». </w:t>
      </w:r>
    </w:p>
    <w:p w14:paraId="0DE33753" w14:textId="77777777" w:rsidR="001C2557" w:rsidRDefault="001C2557" w:rsidP="001C2557">
      <w:pPr>
        <w:rPr>
          <w:szCs w:val="24"/>
        </w:rPr>
      </w:pPr>
      <w:r>
        <w:rPr>
          <w:szCs w:val="24"/>
        </w:rPr>
        <w:t xml:space="preserve">При решении вопроса о проведения профилактики необходимо учитывать индивидуальный риск развития ВТЭО (табл. 5). </w:t>
      </w:r>
    </w:p>
    <w:p w14:paraId="60CE1470" w14:textId="77777777" w:rsidR="001C2557" w:rsidRDefault="001C2557" w:rsidP="001C2557">
      <w:pPr>
        <w:ind w:firstLine="0"/>
        <w:rPr>
          <w:szCs w:val="24"/>
        </w:rPr>
      </w:pPr>
    </w:p>
    <w:p w14:paraId="5CF2E9BF" w14:textId="77777777" w:rsidR="001C2557" w:rsidRPr="00947086" w:rsidRDefault="001C2557" w:rsidP="001C2557">
      <w:pPr>
        <w:ind w:firstLine="0"/>
        <w:rPr>
          <w:szCs w:val="24"/>
        </w:rPr>
      </w:pPr>
      <w:r w:rsidRPr="00947086">
        <w:rPr>
          <w:szCs w:val="24"/>
        </w:rPr>
        <w:t>Таблица 5. Оценка риска развития ВТЭО у пациентов с лимфомами и множественной миеломой</w:t>
      </w:r>
    </w:p>
    <w:tbl>
      <w:tblPr>
        <w:tblStyle w:val="aff9"/>
        <w:tblW w:w="8080" w:type="dxa"/>
        <w:tblInd w:w="817" w:type="dxa"/>
        <w:tblLook w:val="04A0" w:firstRow="1" w:lastRow="0" w:firstColumn="1" w:lastColumn="0" w:noHBand="0" w:noVBand="1"/>
      </w:tblPr>
      <w:tblGrid>
        <w:gridCol w:w="4536"/>
        <w:gridCol w:w="3544"/>
      </w:tblGrid>
      <w:tr w:rsidR="001C2557" w14:paraId="4E1BACF5" w14:textId="77777777" w:rsidTr="002D3EBF">
        <w:tc>
          <w:tcPr>
            <w:tcW w:w="4536" w:type="dxa"/>
            <w:shd w:val="clear" w:color="auto" w:fill="auto"/>
          </w:tcPr>
          <w:p w14:paraId="6DFE3527" w14:textId="77777777" w:rsidR="001C2557" w:rsidRPr="00947086" w:rsidRDefault="001C2557" w:rsidP="002D3EBF">
            <w:pPr>
              <w:ind w:firstLine="0"/>
              <w:jc w:val="center"/>
              <w:rPr>
                <w:szCs w:val="24"/>
              </w:rPr>
            </w:pPr>
            <w:r w:rsidRPr="00947086">
              <w:rPr>
                <w:szCs w:val="24"/>
              </w:rPr>
              <w:t>Факторы риска</w:t>
            </w:r>
          </w:p>
        </w:tc>
        <w:tc>
          <w:tcPr>
            <w:tcW w:w="3544" w:type="dxa"/>
            <w:shd w:val="clear" w:color="auto" w:fill="auto"/>
          </w:tcPr>
          <w:p w14:paraId="4C4A012B" w14:textId="77777777" w:rsidR="001C2557" w:rsidRPr="00947086" w:rsidRDefault="001C2557" w:rsidP="002D3EBF">
            <w:pPr>
              <w:ind w:firstLine="0"/>
              <w:jc w:val="center"/>
              <w:rPr>
                <w:szCs w:val="24"/>
              </w:rPr>
            </w:pPr>
            <w:r w:rsidRPr="00947086">
              <w:rPr>
                <w:szCs w:val="24"/>
              </w:rPr>
              <w:t>Рекомендуемые действия</w:t>
            </w:r>
          </w:p>
        </w:tc>
      </w:tr>
      <w:tr w:rsidR="001C2557" w14:paraId="5AC2554B" w14:textId="77777777" w:rsidTr="002D3EBF">
        <w:tc>
          <w:tcPr>
            <w:tcW w:w="4536" w:type="dxa"/>
            <w:shd w:val="clear" w:color="auto" w:fill="auto"/>
          </w:tcPr>
          <w:p w14:paraId="16C700C8" w14:textId="77777777" w:rsidR="001C2557" w:rsidRDefault="001C2557" w:rsidP="002D3EBF">
            <w:pPr>
              <w:rPr>
                <w:szCs w:val="24"/>
              </w:rPr>
            </w:pPr>
            <w:r>
              <w:rPr>
                <w:szCs w:val="24"/>
              </w:rPr>
              <w:t>Индивидуальные для пациента:</w:t>
            </w:r>
          </w:p>
          <w:p w14:paraId="6B75C0F6" w14:textId="77777777" w:rsidR="001C2557" w:rsidRDefault="001C2557" w:rsidP="001C2557">
            <w:pPr>
              <w:pStyle w:val="afe"/>
              <w:numPr>
                <w:ilvl w:val="0"/>
                <w:numId w:val="59"/>
              </w:numPr>
              <w:jc w:val="left"/>
              <w:rPr>
                <w:szCs w:val="24"/>
              </w:rPr>
            </w:pPr>
            <w:r>
              <w:rPr>
                <w:szCs w:val="24"/>
              </w:rPr>
              <w:t>ожирение (ИМТ ≥ 30 кг/м</w:t>
            </w:r>
            <w:r>
              <w:rPr>
                <w:szCs w:val="24"/>
                <w:vertAlign w:val="superscript"/>
              </w:rPr>
              <w:t>2</w:t>
            </w:r>
            <w:r>
              <w:rPr>
                <w:szCs w:val="24"/>
              </w:rPr>
              <w:t>)</w:t>
            </w:r>
          </w:p>
          <w:p w14:paraId="1F788213" w14:textId="77777777" w:rsidR="001C2557" w:rsidRDefault="001C2557" w:rsidP="001C2557">
            <w:pPr>
              <w:pStyle w:val="afe"/>
              <w:numPr>
                <w:ilvl w:val="0"/>
                <w:numId w:val="59"/>
              </w:numPr>
              <w:jc w:val="left"/>
              <w:rPr>
                <w:szCs w:val="24"/>
              </w:rPr>
            </w:pPr>
            <w:r>
              <w:rPr>
                <w:szCs w:val="24"/>
              </w:rPr>
              <w:t>ВТЭО в анамнезе</w:t>
            </w:r>
          </w:p>
          <w:p w14:paraId="6D22CB2C" w14:textId="77777777" w:rsidR="001C2557" w:rsidRDefault="001C2557" w:rsidP="001C2557">
            <w:pPr>
              <w:pStyle w:val="afe"/>
              <w:numPr>
                <w:ilvl w:val="0"/>
                <w:numId w:val="59"/>
              </w:numPr>
              <w:jc w:val="left"/>
              <w:rPr>
                <w:szCs w:val="24"/>
              </w:rPr>
            </w:pPr>
            <w:r>
              <w:rPr>
                <w:szCs w:val="24"/>
              </w:rPr>
              <w:t>ЦВК или водители ритма</w:t>
            </w:r>
          </w:p>
          <w:p w14:paraId="6AD940A2" w14:textId="77777777" w:rsidR="001C2557" w:rsidRDefault="001C2557" w:rsidP="001C2557">
            <w:pPr>
              <w:pStyle w:val="afe"/>
              <w:numPr>
                <w:ilvl w:val="0"/>
                <w:numId w:val="59"/>
              </w:numPr>
              <w:jc w:val="left"/>
              <w:rPr>
                <w:szCs w:val="24"/>
              </w:rPr>
            </w:pPr>
            <w:r>
              <w:rPr>
                <w:szCs w:val="24"/>
              </w:rPr>
              <w:t>сопутствующие заболевания (ИБС, ХБП, сахарный диабет, инфекции, иммобилизация)</w:t>
            </w:r>
          </w:p>
          <w:p w14:paraId="2B916530" w14:textId="77777777" w:rsidR="001C2557" w:rsidRDefault="001C2557" w:rsidP="001C2557">
            <w:pPr>
              <w:pStyle w:val="afe"/>
              <w:numPr>
                <w:ilvl w:val="0"/>
                <w:numId w:val="59"/>
              </w:numPr>
              <w:jc w:val="left"/>
              <w:rPr>
                <w:szCs w:val="24"/>
              </w:rPr>
            </w:pPr>
            <w:r>
              <w:rPr>
                <w:szCs w:val="24"/>
              </w:rPr>
              <w:t>хирургия, анестезия, травмы</w:t>
            </w:r>
          </w:p>
          <w:p w14:paraId="03E3B04B" w14:textId="77777777" w:rsidR="001C2557" w:rsidRDefault="001C2557" w:rsidP="001C2557">
            <w:pPr>
              <w:pStyle w:val="afe"/>
              <w:numPr>
                <w:ilvl w:val="0"/>
                <w:numId w:val="59"/>
              </w:numPr>
              <w:jc w:val="left"/>
              <w:rPr>
                <w:szCs w:val="24"/>
              </w:rPr>
            </w:pPr>
            <w:r>
              <w:rPr>
                <w:szCs w:val="24"/>
              </w:rPr>
              <w:t>применение эритропоэтина</w:t>
            </w:r>
          </w:p>
          <w:p w14:paraId="50EED628" w14:textId="77777777" w:rsidR="001C2557" w:rsidRDefault="001C2557" w:rsidP="001C2557">
            <w:pPr>
              <w:pStyle w:val="afe"/>
              <w:numPr>
                <w:ilvl w:val="0"/>
                <w:numId w:val="59"/>
              </w:numPr>
              <w:jc w:val="left"/>
              <w:rPr>
                <w:b/>
                <w:szCs w:val="24"/>
              </w:rPr>
            </w:pPr>
            <w:r>
              <w:rPr>
                <w:szCs w:val="24"/>
              </w:rPr>
              <w:t>тромбофилии</w:t>
            </w:r>
          </w:p>
        </w:tc>
        <w:tc>
          <w:tcPr>
            <w:tcW w:w="3544" w:type="dxa"/>
            <w:vMerge w:val="restart"/>
            <w:shd w:val="clear" w:color="auto" w:fill="auto"/>
            <w:vAlign w:val="center"/>
          </w:tcPr>
          <w:p w14:paraId="759A9D1C" w14:textId="77777777" w:rsidR="001C2557" w:rsidRPr="00947086" w:rsidRDefault="001C2557" w:rsidP="002D3EBF">
            <w:pPr>
              <w:pStyle w:val="afe"/>
              <w:ind w:firstLine="0"/>
              <w:rPr>
                <w:szCs w:val="24"/>
                <w:u w:val="single"/>
              </w:rPr>
            </w:pPr>
            <w:r w:rsidRPr="00947086">
              <w:rPr>
                <w:szCs w:val="24"/>
                <w:u w:val="single"/>
              </w:rPr>
              <w:t>0– 1 факторов риска:</w:t>
            </w:r>
          </w:p>
          <w:p w14:paraId="478A408B" w14:textId="77777777" w:rsidR="001C2557" w:rsidRDefault="001C2557" w:rsidP="002D3EBF">
            <w:pPr>
              <w:ind w:firstLine="0"/>
              <w:jc w:val="center"/>
              <w:rPr>
                <w:szCs w:val="24"/>
              </w:rPr>
            </w:pPr>
            <w:r>
              <w:rPr>
                <w:szCs w:val="24"/>
              </w:rPr>
              <w:t>- ацетилсалициловая кислота 75-325 мг/сут</w:t>
            </w:r>
          </w:p>
          <w:p w14:paraId="1DDAFAA0" w14:textId="77777777" w:rsidR="001C2557" w:rsidRDefault="001C2557" w:rsidP="002D3EBF">
            <w:pPr>
              <w:pStyle w:val="afe"/>
              <w:ind w:left="375" w:firstLine="0"/>
              <w:jc w:val="center"/>
              <w:rPr>
                <w:szCs w:val="24"/>
              </w:rPr>
            </w:pPr>
          </w:p>
          <w:p w14:paraId="74CD95B4" w14:textId="77777777" w:rsidR="001C2557" w:rsidRPr="00947086" w:rsidRDefault="001C2557" w:rsidP="002D3EBF">
            <w:pPr>
              <w:ind w:firstLine="0"/>
              <w:jc w:val="center"/>
              <w:rPr>
                <w:szCs w:val="24"/>
                <w:u w:val="single"/>
              </w:rPr>
            </w:pPr>
            <w:r w:rsidRPr="00947086">
              <w:rPr>
                <w:szCs w:val="24"/>
                <w:u w:val="single"/>
              </w:rPr>
              <w:t>≥ 2 фактора риска:</w:t>
            </w:r>
          </w:p>
          <w:p w14:paraId="0DF50278" w14:textId="77777777" w:rsidR="001C2557" w:rsidRDefault="001C2557" w:rsidP="002D3EBF">
            <w:pPr>
              <w:ind w:firstLine="0"/>
              <w:rPr>
                <w:szCs w:val="24"/>
              </w:rPr>
            </w:pPr>
            <w:r>
              <w:rPr>
                <w:szCs w:val="24"/>
              </w:rPr>
              <w:t>- НМГ (эквивалентно 40 мг/сут эноксапарина натрия) или</w:t>
            </w:r>
          </w:p>
          <w:p w14:paraId="0B6C749D" w14:textId="77777777" w:rsidR="001C2557" w:rsidRDefault="001C2557" w:rsidP="002D3EBF">
            <w:pPr>
              <w:ind w:firstLine="0"/>
              <w:rPr>
                <w:b/>
                <w:szCs w:val="24"/>
              </w:rPr>
            </w:pPr>
            <w:r>
              <w:rPr>
                <w:b/>
                <w:szCs w:val="24"/>
              </w:rPr>
              <w:t xml:space="preserve">- </w:t>
            </w:r>
            <w:r w:rsidRPr="00AD6DDA">
              <w:rPr>
                <w:szCs w:val="24"/>
              </w:rPr>
              <w:t>Прямые оральные антикоагулянты</w:t>
            </w:r>
          </w:p>
        </w:tc>
      </w:tr>
      <w:tr w:rsidR="001C2557" w14:paraId="16BBD97E" w14:textId="77777777" w:rsidTr="002D3EBF">
        <w:tc>
          <w:tcPr>
            <w:tcW w:w="4536" w:type="dxa"/>
            <w:shd w:val="clear" w:color="auto" w:fill="auto"/>
          </w:tcPr>
          <w:p w14:paraId="6C4F092B" w14:textId="77777777" w:rsidR="001C2557" w:rsidRDefault="001C2557" w:rsidP="002D3EBF">
            <w:pPr>
              <w:rPr>
                <w:szCs w:val="24"/>
              </w:rPr>
            </w:pPr>
            <w:r>
              <w:rPr>
                <w:szCs w:val="24"/>
              </w:rPr>
              <w:t>У пациентов с ММ:</w:t>
            </w:r>
          </w:p>
          <w:p w14:paraId="2F1F982E" w14:textId="77777777" w:rsidR="001C2557" w:rsidRDefault="001C2557" w:rsidP="001C2557">
            <w:pPr>
              <w:pStyle w:val="afe"/>
              <w:numPr>
                <w:ilvl w:val="0"/>
                <w:numId w:val="60"/>
              </w:numPr>
              <w:jc w:val="left"/>
              <w:rPr>
                <w:szCs w:val="24"/>
              </w:rPr>
            </w:pPr>
            <w:r>
              <w:rPr>
                <w:szCs w:val="24"/>
              </w:rPr>
              <w:t>гипервискозный синдром</w:t>
            </w:r>
          </w:p>
          <w:p w14:paraId="6A1DE35E" w14:textId="77777777" w:rsidR="001C2557" w:rsidRDefault="001C2557" w:rsidP="001C2557">
            <w:pPr>
              <w:pStyle w:val="afe"/>
              <w:numPr>
                <w:ilvl w:val="0"/>
                <w:numId w:val="60"/>
              </w:numPr>
              <w:jc w:val="left"/>
              <w:rPr>
                <w:szCs w:val="24"/>
              </w:rPr>
            </w:pPr>
            <w:r>
              <w:rPr>
                <w:szCs w:val="24"/>
              </w:rPr>
              <w:t>применение ингибиторов ангиогенеза в комбинации с</w:t>
            </w:r>
          </w:p>
          <w:p w14:paraId="17A87201" w14:textId="77777777" w:rsidR="001C2557" w:rsidRDefault="001C2557" w:rsidP="002D3EBF">
            <w:pPr>
              <w:rPr>
                <w:szCs w:val="24"/>
              </w:rPr>
            </w:pPr>
            <w:r>
              <w:rPr>
                <w:szCs w:val="24"/>
              </w:rPr>
              <w:t>- высокими дозами дексаметазона (≥ 480 мг/мес);</w:t>
            </w:r>
          </w:p>
          <w:p w14:paraId="342A5692" w14:textId="77777777" w:rsidR="001C2557" w:rsidRDefault="001C2557" w:rsidP="002D3EBF">
            <w:pPr>
              <w:rPr>
                <w:szCs w:val="24"/>
              </w:rPr>
            </w:pPr>
            <w:r>
              <w:rPr>
                <w:szCs w:val="24"/>
              </w:rPr>
              <w:t>- доксорубицином;</w:t>
            </w:r>
          </w:p>
          <w:p w14:paraId="57480072" w14:textId="77777777" w:rsidR="001C2557" w:rsidRDefault="001C2557" w:rsidP="002D3EBF">
            <w:pPr>
              <w:rPr>
                <w:b/>
                <w:szCs w:val="24"/>
              </w:rPr>
            </w:pPr>
            <w:r>
              <w:rPr>
                <w:szCs w:val="24"/>
              </w:rPr>
              <w:t>- в схемах ПХТ</w:t>
            </w:r>
          </w:p>
        </w:tc>
        <w:tc>
          <w:tcPr>
            <w:tcW w:w="3544" w:type="dxa"/>
            <w:vMerge/>
            <w:shd w:val="clear" w:color="auto" w:fill="auto"/>
          </w:tcPr>
          <w:p w14:paraId="0045F45A" w14:textId="77777777" w:rsidR="001C2557" w:rsidRDefault="001C2557" w:rsidP="002D3EBF">
            <w:pPr>
              <w:jc w:val="center"/>
              <w:rPr>
                <w:b/>
                <w:szCs w:val="24"/>
              </w:rPr>
            </w:pPr>
          </w:p>
        </w:tc>
      </w:tr>
    </w:tbl>
    <w:p w14:paraId="3F93847A" w14:textId="77777777" w:rsidR="001C2557" w:rsidRDefault="001C2557" w:rsidP="001C2557">
      <w:pPr>
        <w:rPr>
          <w:szCs w:val="24"/>
        </w:rPr>
      </w:pPr>
    </w:p>
    <w:p w14:paraId="194E0C07" w14:textId="4D920EB7" w:rsidR="001C2557" w:rsidRDefault="001C2557" w:rsidP="001C2557">
      <w:pPr>
        <w:ind w:firstLine="708"/>
        <w:rPr>
          <w:szCs w:val="24"/>
        </w:rPr>
      </w:pPr>
      <w:r>
        <w:rPr>
          <w:szCs w:val="24"/>
        </w:rPr>
        <w:t xml:space="preserve">Определение продолжительности антитромботической профилактики должно проводиться на основании оценки сохранения/прекращения действия факторов риска развития тромбоза. К таким факторам, в первую очередь, относятся активность основного заболевания, химио- и лучевая терапия, ограничение подвижности пациента, наличие у него воспалительной активности инфекционного или неинфекционного генеза, дыхательной или сердечной недостаточности. В случае неполного устранения провоцирующих тромбоз факторов и сохранения высокого риска развития ВТЭО необходимо продолжение антитромботической профилактики. На начальной стадии антитромботической профилактики у пациентов с 0-1 фактором риска ВТЭО может применяться ацетилсалициловая кислота; у пациентов с ≥ 2 факторами риска препаратами выбора являются НМГ или ПОАК. Нет однозначных преимуществ тех или иных НМГ или ПОАК. </w:t>
      </w:r>
    </w:p>
    <w:p w14:paraId="774B6289" w14:textId="22101CBB" w:rsidR="00A75075" w:rsidRDefault="00A75075" w:rsidP="001C2557">
      <w:pPr>
        <w:ind w:firstLine="708"/>
        <w:rPr>
          <w:szCs w:val="24"/>
        </w:rPr>
      </w:pPr>
    </w:p>
    <w:p w14:paraId="3EC16504" w14:textId="71BEA76F" w:rsidR="006E7E66" w:rsidRPr="006E7E66" w:rsidRDefault="00A75075" w:rsidP="006E7E66">
      <w:pPr>
        <w:pStyle w:val="2"/>
      </w:pPr>
      <w:bookmarkStart w:id="73" w:name="_Toc65586411"/>
      <w:r w:rsidRPr="002F4348">
        <w:t>7.</w:t>
      </w:r>
      <w:r>
        <w:t xml:space="preserve">9. </w:t>
      </w:r>
      <w:r w:rsidR="006E7E66" w:rsidRPr="00BA72AB">
        <w:t>Внутричерепные кровоизлияния у гематологических пациентов – тактика нейрохирургического лечения</w:t>
      </w:r>
      <w:bookmarkEnd w:id="73"/>
    </w:p>
    <w:p w14:paraId="575EF871" w14:textId="057DD2C7" w:rsidR="006E7E66" w:rsidRPr="00BA72AB" w:rsidRDefault="006E7E66" w:rsidP="006E7E66">
      <w:pPr>
        <w:tabs>
          <w:tab w:val="left" w:pos="709"/>
        </w:tabs>
        <w:rPr>
          <w:rFonts w:cs="Times New Roman"/>
          <w:szCs w:val="24"/>
        </w:rPr>
      </w:pPr>
      <w:r w:rsidRPr="00BA72AB">
        <w:rPr>
          <w:rFonts w:cs="Times New Roman"/>
          <w:szCs w:val="24"/>
        </w:rPr>
        <w:t>Внутричерепные кровоизлияния (ВЧК) – это нередкое (ожидаемое) осложнение основного заболевания и/или специфического (в том числе, химиотерапевтического) лечения у гематологических пациентов, в том числе, со всеми видами лейкозов и лимфом, часто сопряженное с патологией плазменного и/или тромбоцитарного гемостаза</w:t>
      </w:r>
      <w:r>
        <w:rPr>
          <w:rFonts w:cs="Times New Roman"/>
          <w:szCs w:val="24"/>
        </w:rPr>
        <w:t xml:space="preserve"> </w:t>
      </w:r>
      <w:r>
        <w:rPr>
          <w:rFonts w:cs="Times New Roman"/>
          <w:bCs/>
          <w:i/>
          <w:iCs/>
          <w:szCs w:val="24"/>
          <w:u w:val="single"/>
        </w:rPr>
        <w:fldChar w:fldCharType="begin" w:fldLock="1"/>
      </w:r>
      <w:r w:rsidR="00D43181">
        <w:rPr>
          <w:rFonts w:cs="Times New Roman"/>
          <w:bCs/>
          <w:i/>
          <w:iCs/>
          <w:szCs w:val="24"/>
          <w:u w:val="single"/>
        </w:rPr>
        <w:instrText>ADDIN CSL_CITATION {"citationItems":[{"id":"ITEM-1","itemData":{"author":[{"dropping-particle":"","family":"Мамонов","given":"В.Е.","non-dropping-particle":"","parse-names":false,"suffix":""}],"container-title":"Гематология и трансфузиология","id":"ITEM-1","issue":"S1","issued":{"date-parts":[["2020"]]},"page":"174-175","title":"Неотложная нейрохирургия внутричерепных кровоизлияний у пациентов гематологического стационара","type":"article-journal","volume":"65"},"uris":["http://www.mendeley.com/documents/?uuid=e8b83040-80c7-4e36-8d57-5e123af5e4a6"]}],"mendeley":{"formattedCitation":"[96]","plainTextFormattedCitation":"[96]","previouslyFormattedCitation":"[96]"},"properties":{"noteIndex":0},"schema":"https://github.com/citation-style-language/schema/raw/master/csl-citation.json"}</w:instrText>
      </w:r>
      <w:r>
        <w:rPr>
          <w:rFonts w:cs="Times New Roman"/>
          <w:bCs/>
          <w:i/>
          <w:iCs/>
          <w:szCs w:val="24"/>
          <w:u w:val="single"/>
        </w:rPr>
        <w:fldChar w:fldCharType="separate"/>
      </w:r>
      <w:r w:rsidR="002F7BDD" w:rsidRPr="002F7BDD">
        <w:rPr>
          <w:rFonts w:cs="Times New Roman"/>
          <w:bCs/>
          <w:iCs/>
          <w:noProof/>
          <w:szCs w:val="24"/>
        </w:rPr>
        <w:t>[96]</w:t>
      </w:r>
      <w:r>
        <w:rPr>
          <w:rFonts w:cs="Times New Roman"/>
          <w:bCs/>
          <w:i/>
          <w:iCs/>
          <w:szCs w:val="24"/>
          <w:u w:val="single"/>
        </w:rPr>
        <w:fldChar w:fldCharType="end"/>
      </w:r>
      <w:r w:rsidRPr="00BA72AB">
        <w:rPr>
          <w:rFonts w:cs="Times New Roman"/>
          <w:szCs w:val="24"/>
        </w:rPr>
        <w:t>. Без оказания неотложной нейрохирургической помощи массивные ВЧК у гематологических больных закономерно приводят к фатальному исходу. Из всех ВЧК, требующих оперативного лечения, наиболее часто у гематологических пациентов встречаются следующие (в порядке убывания): внутримозговая гематома с признаками внутричерепной гипертензии и дислокационного синдрома (в т.</w:t>
      </w:r>
      <w:r w:rsidR="00452D51">
        <w:rPr>
          <w:rFonts w:cs="Times New Roman"/>
          <w:szCs w:val="24"/>
          <w:lang w:val="en-US"/>
        </w:rPr>
        <w:t> </w:t>
      </w:r>
      <w:r w:rsidRPr="00BA72AB">
        <w:rPr>
          <w:rFonts w:cs="Times New Roman"/>
          <w:szCs w:val="24"/>
        </w:rPr>
        <w:t>ч. с прорывом в желудочки) по данным компьютерной томографии (КТ) головного мозга; острые и подострые субдуральные (СДГ) и острые эпидуральные гематомы (ЭДГ); декомпенсация хронической субдуральной гематомы (ХСДГ).</w:t>
      </w:r>
    </w:p>
    <w:p w14:paraId="716DEBE7" w14:textId="77777777" w:rsidR="006E7E66" w:rsidRPr="00BA72AB" w:rsidRDefault="006E7E66" w:rsidP="006E7E66">
      <w:pPr>
        <w:tabs>
          <w:tab w:val="left" w:pos="709"/>
        </w:tabs>
        <w:rPr>
          <w:rFonts w:cs="Times New Roman"/>
          <w:szCs w:val="24"/>
        </w:rPr>
      </w:pPr>
      <w:r w:rsidRPr="00BA72AB">
        <w:rPr>
          <w:rFonts w:cs="Times New Roman"/>
          <w:szCs w:val="24"/>
        </w:rPr>
        <w:t xml:space="preserve"> Основные причины ВЧК у гематологических пациентов – черепно-мозговая травма, нарушение венозного оттока (тромбоз синусов головного мозга), гипертонический криз, артериовенозная мальформация. При  этом у пациентов могут не выявляться нарушения гемостаза, или иметься различные его нарушения –  тромбоцитопения менее 50х10</w:t>
      </w:r>
      <w:r w:rsidRPr="00BA72AB">
        <w:rPr>
          <w:rFonts w:cs="Times New Roman"/>
          <w:szCs w:val="24"/>
          <w:vertAlign w:val="superscript"/>
        </w:rPr>
        <w:t>9</w:t>
      </w:r>
      <w:r w:rsidRPr="00BA72AB">
        <w:rPr>
          <w:rFonts w:cs="Times New Roman"/>
          <w:szCs w:val="24"/>
        </w:rPr>
        <w:t xml:space="preserve">/л и/или нарушение плазменного гемостаза (гипокоагуляция). </w:t>
      </w:r>
    </w:p>
    <w:p w14:paraId="20FFE97E" w14:textId="77777777" w:rsidR="006E7E66" w:rsidRPr="00BA72AB" w:rsidRDefault="006E7E66" w:rsidP="006E7E66">
      <w:pPr>
        <w:pStyle w:val="afe"/>
        <w:tabs>
          <w:tab w:val="left" w:pos="709"/>
        </w:tabs>
        <w:ind w:left="0"/>
        <w:rPr>
          <w:rFonts w:cs="Times New Roman"/>
          <w:szCs w:val="24"/>
        </w:rPr>
      </w:pPr>
      <w:r w:rsidRPr="00BA72AB">
        <w:rPr>
          <w:rFonts w:cs="Times New Roman"/>
          <w:szCs w:val="24"/>
        </w:rPr>
        <w:t>Нейрохирургическое вмешательство позволяет сохранить жизнь у 60% гематологических пациентов с массивными ВЧК и продолжить лечение основного онкогематологического заболевания, при этом регресса неврологической симптоматики удаётся добиться у более чем 40% оперированных больных.</w:t>
      </w:r>
    </w:p>
    <w:p w14:paraId="14AD41E5" w14:textId="77777777" w:rsidR="006E7E66" w:rsidRDefault="006E7E66" w:rsidP="006E7E66">
      <w:pPr>
        <w:pStyle w:val="afe"/>
        <w:rPr>
          <w:rFonts w:cs="Times New Roman"/>
          <w:bCs/>
          <w:i/>
          <w:iCs/>
          <w:szCs w:val="24"/>
          <w:u w:val="single"/>
        </w:rPr>
      </w:pPr>
    </w:p>
    <w:p w14:paraId="55C5ADBB" w14:textId="77777777" w:rsidR="006E7E66" w:rsidRPr="00452D51" w:rsidRDefault="006E7E66" w:rsidP="00452D51">
      <w:pPr>
        <w:ind w:firstLine="708"/>
        <w:rPr>
          <w:rFonts w:cs="Times New Roman"/>
          <w:bCs/>
          <w:i/>
          <w:iCs/>
          <w:szCs w:val="24"/>
          <w:u w:val="single"/>
        </w:rPr>
      </w:pPr>
      <w:r w:rsidRPr="00452D51">
        <w:rPr>
          <w:rFonts w:cs="Times New Roman"/>
          <w:bCs/>
          <w:i/>
          <w:iCs/>
          <w:szCs w:val="24"/>
          <w:u w:val="single"/>
        </w:rPr>
        <w:t>Клиническая картина</w:t>
      </w:r>
    </w:p>
    <w:p w14:paraId="1BA6B9F9" w14:textId="77777777" w:rsidR="006E7E66" w:rsidRPr="00BA72AB" w:rsidRDefault="006E7E66" w:rsidP="006E7E66">
      <w:pPr>
        <w:ind w:firstLine="708"/>
        <w:rPr>
          <w:rFonts w:cs="Times New Roman"/>
          <w:szCs w:val="24"/>
        </w:rPr>
      </w:pPr>
      <w:r w:rsidRPr="00BA72AB">
        <w:rPr>
          <w:rFonts w:cs="Times New Roman"/>
          <w:szCs w:val="24"/>
        </w:rPr>
        <w:t>Клиническая картина ВЧК зависит от локализации кровоизлияния.</w:t>
      </w:r>
    </w:p>
    <w:p w14:paraId="66395388" w14:textId="77777777" w:rsidR="006E7E66" w:rsidRPr="00BA72AB" w:rsidRDefault="006E7E66" w:rsidP="006E7E66">
      <w:pPr>
        <w:ind w:firstLine="708"/>
        <w:rPr>
          <w:rFonts w:cs="Times New Roman"/>
          <w:szCs w:val="24"/>
        </w:rPr>
      </w:pPr>
      <w:r w:rsidRPr="00BA72AB">
        <w:rPr>
          <w:rFonts w:cs="Times New Roman"/>
          <w:b/>
          <w:i/>
          <w:szCs w:val="24"/>
        </w:rPr>
        <w:t xml:space="preserve">Эпидуральные и острые субдуральные гематомы </w:t>
      </w:r>
      <w:r w:rsidRPr="00BA72AB">
        <w:rPr>
          <w:rFonts w:cs="Times New Roman"/>
          <w:szCs w:val="24"/>
        </w:rPr>
        <w:t xml:space="preserve"> в большинстве случаев связаны с травмой. Спонтанные субдуральные гематомы выявляются у пациентов с грубой патологией плазменного и/или тромбоцитарного гемостаза. В клинической картине ЭДГ и СДГ присутствуют общемозговые симптомы – головная боль, тошнота, рвота, вялость, сонливость, апатия или тревожность, угнетение сознания. Быстро развивается гипертензионно-дислокационный стволовой синдром, который проявляется тяжёлым или крайне тяжелым состоянием, угнетением сознания до комы, выраженными стволовыми расстройствами, гемодинамическими нарушениями – артериальная гипертензия/гипотензия, брадикардия. Выделяют острые СДГ – до 2-х суток с момента травмы, подострые СДГ – до 14 суток, хронические СДГ – более 14 суток. ХСДГ</w:t>
      </w:r>
      <w:r w:rsidRPr="00BA72AB">
        <w:rPr>
          <w:rFonts w:cs="Times New Roman"/>
          <w:color w:val="FF0000"/>
          <w:szCs w:val="24"/>
        </w:rPr>
        <w:t xml:space="preserve"> </w:t>
      </w:r>
      <w:r w:rsidRPr="00BA72AB">
        <w:rPr>
          <w:rFonts w:cs="Times New Roman"/>
          <w:szCs w:val="24"/>
        </w:rPr>
        <w:t>характеризуются наличием капсулы, изолирующей СДГ от окружающего ликворного пространства.</w:t>
      </w:r>
    </w:p>
    <w:p w14:paraId="40466C96" w14:textId="77777777" w:rsidR="006E7E66" w:rsidRPr="00BA72AB" w:rsidRDefault="006E7E66" w:rsidP="006E7E66">
      <w:pPr>
        <w:ind w:firstLine="708"/>
        <w:rPr>
          <w:rFonts w:cs="Times New Roman"/>
          <w:szCs w:val="24"/>
        </w:rPr>
      </w:pPr>
      <w:r w:rsidRPr="00BA72AB">
        <w:rPr>
          <w:rFonts w:cs="Times New Roman"/>
          <w:b/>
          <w:i/>
          <w:szCs w:val="24"/>
        </w:rPr>
        <w:t xml:space="preserve">Хроническая субдуральная гематома (ХСДГ) </w:t>
      </w:r>
      <w:r w:rsidRPr="00BA72AB">
        <w:rPr>
          <w:rFonts w:cs="Times New Roman"/>
          <w:szCs w:val="24"/>
        </w:rPr>
        <w:t>часто выявляется как находка при выполнении магнитно-резонансной томографии (МРТ) или КТ головного мозга у гематологических пациентов. Клинически ХСДГ может протекать бессимптомно, либо вызывать клинику гипертензионно-дисциркуляторного синдрома (угнетение сознания до умеренного или глубокого оглушения, головная боль, тошнота, рвота, психомоторное возбуждение, судорожный синдром, афатические нарушения, пирамидная недостаточность).</w:t>
      </w:r>
    </w:p>
    <w:p w14:paraId="68C08AB6" w14:textId="77777777" w:rsidR="006E7E66" w:rsidRPr="00BA72AB" w:rsidRDefault="006E7E66" w:rsidP="006E7E66">
      <w:pPr>
        <w:ind w:firstLine="708"/>
        <w:rPr>
          <w:rFonts w:cs="Times New Roman"/>
          <w:szCs w:val="24"/>
        </w:rPr>
      </w:pPr>
      <w:r w:rsidRPr="00BA72AB">
        <w:rPr>
          <w:rFonts w:cs="Times New Roman"/>
          <w:b/>
          <w:i/>
          <w:szCs w:val="24"/>
        </w:rPr>
        <w:t xml:space="preserve">Субарахноидальные кровоизлияния (САК) </w:t>
      </w:r>
      <w:r w:rsidRPr="00BA72AB">
        <w:rPr>
          <w:rFonts w:cs="Times New Roman"/>
          <w:szCs w:val="24"/>
        </w:rPr>
        <w:t xml:space="preserve">у гематологических пациентов встречаются часто как спутник кровоизлияний других локализаций либо спонтанное геморрагическое осложнение, не связанное с грубой цереброваскулярной патологией.  Как правило, клиническая картина соответствует </w:t>
      </w:r>
      <w:r w:rsidRPr="00BA72AB">
        <w:rPr>
          <w:rFonts w:cs="Times New Roman"/>
          <w:szCs w:val="24"/>
          <w:lang w:val="en-US"/>
        </w:rPr>
        <w:t>I</w:t>
      </w:r>
      <w:r w:rsidRPr="00BA72AB">
        <w:rPr>
          <w:rFonts w:cs="Times New Roman"/>
          <w:szCs w:val="24"/>
        </w:rPr>
        <w:t>-</w:t>
      </w:r>
      <w:r w:rsidRPr="00BA72AB">
        <w:rPr>
          <w:rFonts w:cs="Times New Roman"/>
          <w:szCs w:val="24"/>
          <w:lang w:val="en-US"/>
        </w:rPr>
        <w:t>II</w:t>
      </w:r>
      <w:r w:rsidRPr="00BA72AB">
        <w:rPr>
          <w:rFonts w:cs="Times New Roman"/>
          <w:szCs w:val="24"/>
        </w:rPr>
        <w:t xml:space="preserve"> стадии по классификации </w:t>
      </w:r>
      <w:r w:rsidRPr="00BA72AB">
        <w:rPr>
          <w:rFonts w:cs="Times New Roman"/>
          <w:szCs w:val="24"/>
          <w:lang w:val="en-US"/>
        </w:rPr>
        <w:t>Hunt</w:t>
      </w:r>
      <w:r w:rsidRPr="00BA72AB">
        <w:rPr>
          <w:rFonts w:cs="Times New Roman"/>
          <w:szCs w:val="24"/>
        </w:rPr>
        <w:t>&amp;</w:t>
      </w:r>
      <w:r w:rsidRPr="00BA72AB">
        <w:rPr>
          <w:rFonts w:cs="Times New Roman"/>
          <w:szCs w:val="24"/>
          <w:lang w:val="en-US"/>
        </w:rPr>
        <w:t>Hess</w:t>
      </w:r>
      <w:r w:rsidRPr="00BA72AB">
        <w:rPr>
          <w:rFonts w:cs="Times New Roman"/>
          <w:szCs w:val="24"/>
        </w:rPr>
        <w:t>, проявляется головной болью и менингеальной симптоматикой. Причиной развития САК у гематологических больных как правило служит патология плазменного и/или тромбоцитарного гемостаза. Гораздо реже наблюдаются классические САК, связанные с разрывом артериальной аневризмы или артериовенозной мальформации. В этих случаях клиническая картина определяется генерализованным вазоспазмом, может сопровождаться развитием гипертензионно-дислокационного синдрома вследствие образования внутричерепных гематом.</w:t>
      </w:r>
    </w:p>
    <w:p w14:paraId="3D964840" w14:textId="77777777" w:rsidR="006E7E66" w:rsidRPr="00BA72AB" w:rsidRDefault="006E7E66" w:rsidP="006E7E66">
      <w:pPr>
        <w:ind w:firstLine="708"/>
        <w:rPr>
          <w:rFonts w:cs="Times New Roman"/>
          <w:szCs w:val="24"/>
        </w:rPr>
      </w:pPr>
      <w:r w:rsidRPr="00BA72AB">
        <w:rPr>
          <w:rFonts w:cs="Times New Roman"/>
          <w:b/>
          <w:i/>
          <w:szCs w:val="24"/>
        </w:rPr>
        <w:t xml:space="preserve">Внутримозговые, внутрижелудочковые и сочетанные гематомы, </w:t>
      </w:r>
      <w:r w:rsidRPr="00BA72AB">
        <w:rPr>
          <w:rFonts w:cs="Times New Roman"/>
          <w:szCs w:val="24"/>
        </w:rPr>
        <w:t>наряду с патологией плазменного и/или тромбоцитарного гемостаза, в своем развитии связаны с артериальной гипертензией либо тромбозом венозных синусов. При остром нарушении мозгового кровообращения (ОНМК) по геморрагическому типу клиническая неврологическая симптоматика, помимо гипертензионно-дислокационного синдрома, зависит от того, в бассейне какой мозговой артерии произошло кровоизлияние. Гемипарез является характерным проявлением данного типа ВЧК. Наиболее часто ОНМК развивается в бассейне средней мозговой артерии и сопровождается прорывом крови в желудочки мозга. Состояние пациентов оценивается как крайне тяжелой, прогноз неблагоприятный.</w:t>
      </w:r>
    </w:p>
    <w:p w14:paraId="495E9AD0" w14:textId="77777777" w:rsidR="006E7E66" w:rsidRPr="00BA72AB" w:rsidRDefault="006E7E66" w:rsidP="006E7E66">
      <w:pPr>
        <w:ind w:firstLine="708"/>
        <w:rPr>
          <w:rFonts w:cs="Times New Roman"/>
          <w:szCs w:val="24"/>
        </w:rPr>
      </w:pPr>
      <w:r w:rsidRPr="00BA72AB">
        <w:rPr>
          <w:rFonts w:cs="Times New Roman"/>
          <w:szCs w:val="24"/>
        </w:rPr>
        <w:t>Напротив, спонтанные внутримозговые гематомы нетипичных для ОНМК локализаций часто связаны с тромбозом синусов головного мозга. Клиническая картина в этих случаях более благоприятная, гипертензионно-дислокационный синдром прогрессирует медленно, отмечается появление парезов с контрлатеральной стороны, развитие афатических и ментальных расстройств.</w:t>
      </w:r>
    </w:p>
    <w:p w14:paraId="4D65F60D" w14:textId="77777777" w:rsidR="006E7E66" w:rsidRPr="00BA72AB" w:rsidRDefault="006E7E66" w:rsidP="006E7E66">
      <w:pPr>
        <w:ind w:firstLine="708"/>
        <w:rPr>
          <w:rFonts w:cs="Times New Roman"/>
          <w:szCs w:val="24"/>
        </w:rPr>
      </w:pPr>
      <w:r w:rsidRPr="00BA72AB">
        <w:rPr>
          <w:rFonts w:cs="Times New Roman"/>
          <w:b/>
          <w:i/>
          <w:szCs w:val="24"/>
        </w:rPr>
        <w:t xml:space="preserve">Субтенториальные кровоизлияния </w:t>
      </w:r>
      <w:r w:rsidRPr="00BA72AB">
        <w:rPr>
          <w:rFonts w:cs="Times New Roman"/>
          <w:szCs w:val="24"/>
        </w:rPr>
        <w:t>локализуются в структурах головного мозга под наметом мозжечка. Клиническая картина определяется степенью воздействия на стволовые структуры мозга и локализацией кровоизлияния. Пациентов может беспокоить головная боль, тошнота, рвота, нарушение походки, головокружение. При развитии поражения стволовых структур возникает угнетение сознания, гемодинамические и дыхательные расстройства.</w:t>
      </w:r>
    </w:p>
    <w:p w14:paraId="5B9D3E6B" w14:textId="77777777" w:rsidR="006E7E66" w:rsidRDefault="006E7E66" w:rsidP="006E7E66">
      <w:pPr>
        <w:rPr>
          <w:rFonts w:cs="Times New Roman"/>
          <w:bCs/>
          <w:i/>
          <w:iCs/>
          <w:szCs w:val="24"/>
          <w:u w:val="single"/>
        </w:rPr>
      </w:pPr>
    </w:p>
    <w:p w14:paraId="3A7065B7" w14:textId="77777777" w:rsidR="006E7E66" w:rsidRPr="00212356" w:rsidRDefault="006E7E66" w:rsidP="006E7E66">
      <w:pPr>
        <w:rPr>
          <w:rFonts w:cs="Times New Roman"/>
          <w:bCs/>
          <w:i/>
          <w:iCs/>
          <w:szCs w:val="24"/>
          <w:u w:val="single"/>
        </w:rPr>
      </w:pPr>
      <w:r w:rsidRPr="00212356">
        <w:rPr>
          <w:rFonts w:cs="Times New Roman"/>
          <w:bCs/>
          <w:i/>
          <w:iCs/>
          <w:szCs w:val="24"/>
          <w:u w:val="single"/>
        </w:rPr>
        <w:t>Инструментальная диагностика.</w:t>
      </w:r>
    </w:p>
    <w:p w14:paraId="04FAE4F7" w14:textId="61A0D79F" w:rsidR="006E7E66" w:rsidRPr="00BA72AB" w:rsidRDefault="006E7E66" w:rsidP="006E7E66">
      <w:pPr>
        <w:rPr>
          <w:rFonts w:cs="Times New Roman"/>
          <w:szCs w:val="24"/>
        </w:rPr>
      </w:pPr>
      <w:r w:rsidRPr="00BA72AB">
        <w:rPr>
          <w:rFonts w:cs="Times New Roman"/>
          <w:szCs w:val="24"/>
        </w:rPr>
        <w:t>КТ головного мозга рекомендуется практически всем пациентам с гематологическим заболеванием при поступлении в стационар.  Это необходимо для определения исходного статуса и динамики изменений как при наличии у пациентов неврологической симптоматики, так и без нее. При необходимости выполняется МРТ головного мозга.</w:t>
      </w:r>
    </w:p>
    <w:p w14:paraId="282E9626" w14:textId="77777777" w:rsidR="006E7E66" w:rsidRPr="00BA72AB" w:rsidRDefault="006E7E66" w:rsidP="006E7E66">
      <w:pPr>
        <w:rPr>
          <w:rFonts w:cs="Times New Roman"/>
          <w:szCs w:val="24"/>
        </w:rPr>
      </w:pPr>
      <w:r w:rsidRPr="00BA72AB">
        <w:rPr>
          <w:rFonts w:cs="Times New Roman"/>
          <w:szCs w:val="24"/>
        </w:rPr>
        <w:t>Любое нарушение неврологического статуса, включая субъективное беспокойство пациента требует выполнения КТ/МРТ головного мозга для исключения ВЧК, учитывая возможность быстрого развития и прогрессирования ВЧК у гематологических пациентов.</w:t>
      </w:r>
    </w:p>
    <w:p w14:paraId="1E42EF0C" w14:textId="77777777" w:rsidR="006E7E66" w:rsidRPr="00BA72AB" w:rsidRDefault="006E7E66" w:rsidP="006E7E66">
      <w:pPr>
        <w:rPr>
          <w:rFonts w:cs="Times New Roman"/>
          <w:szCs w:val="24"/>
        </w:rPr>
      </w:pPr>
      <w:r w:rsidRPr="00BA72AB">
        <w:rPr>
          <w:rFonts w:cs="Times New Roman"/>
          <w:szCs w:val="24"/>
        </w:rPr>
        <w:t>КТ или МРТ головного мозга с внутривенным контрастированием выполняется в качестве дополнительного обследования и дифференциальной диагностики ВЧК с другой неврологической патологией.</w:t>
      </w:r>
    </w:p>
    <w:p w14:paraId="08D95E87" w14:textId="77777777" w:rsidR="006E7E66" w:rsidRDefault="006E7E66" w:rsidP="006E7E66">
      <w:pPr>
        <w:rPr>
          <w:rFonts w:cs="Times New Roman"/>
          <w:szCs w:val="24"/>
        </w:rPr>
      </w:pPr>
      <w:r w:rsidRPr="00BA72AB">
        <w:rPr>
          <w:rFonts w:cs="Times New Roman"/>
          <w:szCs w:val="24"/>
        </w:rPr>
        <w:t>Ангиография выполняется при подозрении на тромбоз венозных синусов, артериальную аневризму или артериовенозную мальформацию при выявлении признаков САК.</w:t>
      </w:r>
    </w:p>
    <w:p w14:paraId="160C193E" w14:textId="77777777" w:rsidR="006E7E66" w:rsidRPr="00BA72AB" w:rsidRDefault="006E7E66" w:rsidP="006E7E66">
      <w:pPr>
        <w:rPr>
          <w:rFonts w:cs="Times New Roman"/>
          <w:szCs w:val="24"/>
        </w:rPr>
      </w:pPr>
    </w:p>
    <w:p w14:paraId="69311BD7" w14:textId="77777777" w:rsidR="006E7E66" w:rsidRPr="00212356" w:rsidRDefault="006E7E66" w:rsidP="006E7E66">
      <w:pPr>
        <w:rPr>
          <w:rFonts w:cs="Times New Roman"/>
          <w:bCs/>
          <w:i/>
          <w:iCs/>
          <w:szCs w:val="24"/>
          <w:u w:val="single"/>
        </w:rPr>
      </w:pPr>
      <w:r w:rsidRPr="00212356">
        <w:rPr>
          <w:rFonts w:cs="Times New Roman"/>
          <w:bCs/>
          <w:i/>
          <w:iCs/>
          <w:szCs w:val="24"/>
          <w:u w:val="single"/>
        </w:rPr>
        <w:t>Лабораторная диагностика.</w:t>
      </w:r>
    </w:p>
    <w:p w14:paraId="1C05E96A" w14:textId="77777777" w:rsidR="006E7E66" w:rsidRPr="00BA72AB" w:rsidRDefault="006E7E66" w:rsidP="006E7E66">
      <w:pPr>
        <w:rPr>
          <w:rFonts w:cs="Times New Roman"/>
          <w:szCs w:val="24"/>
        </w:rPr>
      </w:pPr>
      <w:r w:rsidRPr="00BA72AB">
        <w:rPr>
          <w:rFonts w:cs="Times New Roman"/>
          <w:szCs w:val="24"/>
        </w:rPr>
        <w:t xml:space="preserve">Лабораторная диагностика заключается в выявлении патологии плазменного и тромбоцитарного гемостаза, а также мониторинге терапии выявленных нарушений. </w:t>
      </w:r>
    </w:p>
    <w:p w14:paraId="29D846F9" w14:textId="77777777" w:rsidR="006E7E66" w:rsidRPr="00BA72AB" w:rsidRDefault="006E7E66" w:rsidP="006E7E66">
      <w:pPr>
        <w:rPr>
          <w:rFonts w:cs="Times New Roman"/>
          <w:szCs w:val="24"/>
        </w:rPr>
      </w:pPr>
      <w:r w:rsidRPr="00BA72AB">
        <w:rPr>
          <w:rFonts w:cs="Times New Roman"/>
          <w:szCs w:val="24"/>
        </w:rPr>
        <w:t xml:space="preserve">Рекомендуемые исследования для выявления патологии гемостаза: </w:t>
      </w:r>
    </w:p>
    <w:p w14:paraId="69279286" w14:textId="77777777" w:rsidR="006E7E66" w:rsidRPr="00BA72AB" w:rsidRDefault="006E7E66" w:rsidP="006E7E66">
      <w:pPr>
        <w:pStyle w:val="afe"/>
        <w:numPr>
          <w:ilvl w:val="0"/>
          <w:numId w:val="69"/>
        </w:numPr>
        <w:rPr>
          <w:rFonts w:cs="Times New Roman"/>
          <w:szCs w:val="24"/>
        </w:rPr>
      </w:pPr>
      <w:r w:rsidRPr="00BA72AB">
        <w:rPr>
          <w:rFonts w:cs="Times New Roman"/>
          <w:szCs w:val="24"/>
        </w:rPr>
        <w:t xml:space="preserve">общий (клинический) анализ крови развернутый, с подсчетом количества тромбоцитов в крови по мазку (по Фонио), </w:t>
      </w:r>
    </w:p>
    <w:p w14:paraId="2E2D173E" w14:textId="77777777" w:rsidR="006E7E66" w:rsidRPr="00BA72AB" w:rsidRDefault="006E7E66" w:rsidP="006E7E66">
      <w:pPr>
        <w:pStyle w:val="afe"/>
        <w:numPr>
          <w:ilvl w:val="0"/>
          <w:numId w:val="69"/>
        </w:numPr>
        <w:rPr>
          <w:rFonts w:cs="Times New Roman"/>
          <w:szCs w:val="24"/>
        </w:rPr>
      </w:pPr>
      <w:r w:rsidRPr="00BA72AB">
        <w:rPr>
          <w:rFonts w:cs="Times New Roman"/>
          <w:szCs w:val="24"/>
        </w:rPr>
        <w:t xml:space="preserve">агрегация тромбоцитов с АДФ и ристомицином, </w:t>
      </w:r>
    </w:p>
    <w:p w14:paraId="12E162F8" w14:textId="77777777" w:rsidR="006E7E66" w:rsidRPr="00BA72AB" w:rsidRDefault="006E7E66" w:rsidP="006E7E66">
      <w:pPr>
        <w:pStyle w:val="afe"/>
        <w:numPr>
          <w:ilvl w:val="0"/>
          <w:numId w:val="69"/>
        </w:numPr>
        <w:rPr>
          <w:rFonts w:cs="Times New Roman"/>
          <w:szCs w:val="24"/>
        </w:rPr>
      </w:pPr>
      <w:r w:rsidRPr="00BA72AB">
        <w:rPr>
          <w:rFonts w:cs="Times New Roman"/>
          <w:szCs w:val="24"/>
        </w:rPr>
        <w:t xml:space="preserve">коагулограмма – активированное частичное тромбопластиновое время (АЧТВ), протромбин, фибриноген, Д-димер, антитромбин </w:t>
      </w:r>
      <w:r w:rsidRPr="00BA72AB">
        <w:rPr>
          <w:rFonts w:cs="Times New Roman"/>
          <w:szCs w:val="24"/>
          <w:lang w:val="en-US"/>
        </w:rPr>
        <w:t>III</w:t>
      </w:r>
      <w:r w:rsidRPr="00BA72AB">
        <w:rPr>
          <w:rFonts w:cs="Times New Roman"/>
          <w:szCs w:val="24"/>
        </w:rPr>
        <w:t xml:space="preserve"> и др.</w:t>
      </w:r>
    </w:p>
    <w:p w14:paraId="6B9E7578" w14:textId="77777777" w:rsidR="006E7E66" w:rsidRPr="00BA72AB" w:rsidRDefault="006E7E66" w:rsidP="006E7E66">
      <w:pPr>
        <w:pStyle w:val="afe"/>
        <w:numPr>
          <w:ilvl w:val="0"/>
          <w:numId w:val="69"/>
        </w:numPr>
        <w:rPr>
          <w:rFonts w:cs="Times New Roman"/>
          <w:szCs w:val="24"/>
        </w:rPr>
      </w:pPr>
      <w:r w:rsidRPr="00BA72AB">
        <w:rPr>
          <w:rFonts w:cs="Times New Roman"/>
          <w:szCs w:val="24"/>
        </w:rPr>
        <w:t>тромбоэластография (при необходимости).</w:t>
      </w:r>
    </w:p>
    <w:p w14:paraId="390D7155" w14:textId="77777777" w:rsidR="006E7E66" w:rsidRPr="00BA72AB" w:rsidRDefault="006E7E66" w:rsidP="006E7E66">
      <w:pPr>
        <w:pStyle w:val="afe"/>
        <w:numPr>
          <w:ilvl w:val="0"/>
          <w:numId w:val="69"/>
        </w:numPr>
        <w:rPr>
          <w:rFonts w:cs="Times New Roman"/>
          <w:szCs w:val="24"/>
        </w:rPr>
      </w:pPr>
      <w:r w:rsidRPr="00BA72AB">
        <w:rPr>
          <w:rFonts w:cs="Times New Roman"/>
          <w:szCs w:val="24"/>
        </w:rPr>
        <w:t xml:space="preserve">маркеры тромбофилии (при тромбозе мозговых синусов): АЧТВ, протромбин, фибриноген, тромбиновое время, XII-а зависимый фибринолиз, протеины С и S, гомоцистеин, агрегация тромбоцитов, Д-димер, волчаночный антикоагулянт, антитела к бета2 гликопротеину 1, антитела к кардиолипину, мутации генов: V фактора Лейден, метилентетрагидрофолат-редуктазы, протромбина.  </w:t>
      </w:r>
    </w:p>
    <w:p w14:paraId="53C1A3B8" w14:textId="77777777" w:rsidR="006E7E66" w:rsidRDefault="006E7E66" w:rsidP="006E7E66">
      <w:pPr>
        <w:rPr>
          <w:rFonts w:cs="Times New Roman"/>
          <w:bCs/>
          <w:i/>
          <w:iCs/>
          <w:szCs w:val="24"/>
          <w:u w:val="single"/>
        </w:rPr>
      </w:pPr>
    </w:p>
    <w:p w14:paraId="46B29B84" w14:textId="064B4DF3" w:rsidR="006E7E66" w:rsidRPr="00212356" w:rsidRDefault="006E7E66" w:rsidP="006E7E66">
      <w:pPr>
        <w:rPr>
          <w:rFonts w:cs="Times New Roman"/>
          <w:bCs/>
          <w:i/>
          <w:iCs/>
          <w:szCs w:val="24"/>
          <w:u w:val="single"/>
        </w:rPr>
      </w:pPr>
      <w:r w:rsidRPr="00212356">
        <w:rPr>
          <w:rFonts w:cs="Times New Roman"/>
          <w:bCs/>
          <w:i/>
          <w:iCs/>
          <w:szCs w:val="24"/>
          <w:u w:val="single"/>
        </w:rPr>
        <w:t>Лечение</w:t>
      </w:r>
      <w:r>
        <w:rPr>
          <w:rFonts w:cs="Times New Roman"/>
          <w:bCs/>
          <w:i/>
          <w:iCs/>
          <w:szCs w:val="24"/>
          <w:u w:val="single"/>
        </w:rPr>
        <w:t xml:space="preserve"> </w:t>
      </w:r>
      <w:r>
        <w:rPr>
          <w:rFonts w:cs="Times New Roman"/>
          <w:bCs/>
          <w:i/>
          <w:iCs/>
          <w:szCs w:val="24"/>
          <w:u w:val="single"/>
        </w:rPr>
        <w:fldChar w:fldCharType="begin" w:fldLock="1"/>
      </w:r>
      <w:r w:rsidR="00D43181">
        <w:rPr>
          <w:rFonts w:cs="Times New Roman"/>
          <w:bCs/>
          <w:i/>
          <w:iCs/>
          <w:szCs w:val="24"/>
          <w:u w:val="single"/>
        </w:rPr>
        <w:instrText>ADDIN CSL_CITATION {"citationItems":[{"id":"ITEM-1","itemData":{"author":[{"dropping-particle":"","family":"Мамонов","given":"В.Е.","non-dropping-particle":"","parse-names":false,"suffix":""}],"container-title":"Гематология и трансфузиология","id":"ITEM-1","issue":"S1","issued":{"date-parts":[["2020"]]},"page":"174-175","title":"Неотложная нейрохирургия внутричерепных кровоизлияний у пациентов гематологического стационара","type":"article-journal","volume":"65"},"uris":["http://www.mendeley.com/documents/?uuid=e8b83040-80c7-4e36-8d57-5e123af5e4a6"]}],"mendeley":{"formattedCitation":"[96]","plainTextFormattedCitation":"[96]","previouslyFormattedCitation":"[96]"},"properties":{"noteIndex":0},"schema":"https://github.com/citation-style-language/schema/raw/master/csl-citation.json"}</w:instrText>
      </w:r>
      <w:r>
        <w:rPr>
          <w:rFonts w:cs="Times New Roman"/>
          <w:bCs/>
          <w:i/>
          <w:iCs/>
          <w:szCs w:val="24"/>
          <w:u w:val="single"/>
        </w:rPr>
        <w:fldChar w:fldCharType="separate"/>
      </w:r>
      <w:r w:rsidR="002F7BDD" w:rsidRPr="002F7BDD">
        <w:rPr>
          <w:rFonts w:cs="Times New Roman"/>
          <w:bCs/>
          <w:iCs/>
          <w:noProof/>
          <w:szCs w:val="24"/>
        </w:rPr>
        <w:t>[96]</w:t>
      </w:r>
      <w:r>
        <w:rPr>
          <w:rFonts w:cs="Times New Roman"/>
          <w:bCs/>
          <w:i/>
          <w:iCs/>
          <w:szCs w:val="24"/>
          <w:u w:val="single"/>
        </w:rPr>
        <w:fldChar w:fldCharType="end"/>
      </w:r>
    </w:p>
    <w:p w14:paraId="4D04F058" w14:textId="77777777" w:rsidR="006E7E66" w:rsidRPr="00BA72AB" w:rsidRDefault="006E7E66" w:rsidP="006E7E66">
      <w:pPr>
        <w:pStyle w:val="afe"/>
        <w:ind w:left="0" w:firstLine="720"/>
        <w:rPr>
          <w:rFonts w:cs="Times New Roman"/>
          <w:szCs w:val="24"/>
        </w:rPr>
      </w:pPr>
      <w:r w:rsidRPr="00BA72AB">
        <w:rPr>
          <w:rFonts w:cs="Times New Roman"/>
          <w:szCs w:val="24"/>
        </w:rPr>
        <w:t xml:space="preserve">Цель лечения ВЧК заключается в достижении эффективного гемостаза для остановки кровотечения и борьба с гипертензионно-дислокационным синдромом. В случаях небольших по объёму ВЧК, не угрожающих жизни пациента, при достижении эффективного гемостаза санагенез гематомы происходит в течение 2-3 недель. Нейрохирургическое вмешательство в данной ситуации не требуется. </w:t>
      </w:r>
    </w:p>
    <w:p w14:paraId="51852E31" w14:textId="77777777" w:rsidR="006E7E66" w:rsidRPr="00BA72AB" w:rsidRDefault="006E7E66" w:rsidP="006E7E66">
      <w:pPr>
        <w:pStyle w:val="afe"/>
        <w:ind w:left="0" w:firstLine="720"/>
        <w:rPr>
          <w:rFonts w:cs="Times New Roman"/>
          <w:szCs w:val="24"/>
        </w:rPr>
      </w:pPr>
      <w:r w:rsidRPr="00BA72AB">
        <w:rPr>
          <w:rFonts w:cs="Times New Roman"/>
          <w:szCs w:val="24"/>
        </w:rPr>
        <w:t xml:space="preserve">При выявлении ВЧК пациент переводится в реанимационное отделение, где проводится экстренная диагностика состояния гемостаза, и проводится коррекция тромбоцитопении и гипокоагуляции. Пациентам с дефицитом факторов свертывания препараты факторов </w:t>
      </w:r>
      <w:r w:rsidRPr="00BA72AB">
        <w:rPr>
          <w:rFonts w:cs="Times New Roman"/>
          <w:szCs w:val="24"/>
          <w:lang w:val="en-US"/>
        </w:rPr>
        <w:t>VIII</w:t>
      </w:r>
      <w:r w:rsidRPr="00BA72AB">
        <w:rPr>
          <w:rFonts w:cs="Times New Roman"/>
          <w:szCs w:val="24"/>
        </w:rPr>
        <w:t xml:space="preserve">, </w:t>
      </w:r>
      <w:r w:rsidRPr="00BA72AB">
        <w:rPr>
          <w:rFonts w:cs="Times New Roman"/>
          <w:szCs w:val="24"/>
          <w:lang w:val="en-US"/>
        </w:rPr>
        <w:t>IX</w:t>
      </w:r>
      <w:r w:rsidRPr="00BA72AB">
        <w:rPr>
          <w:rFonts w:cs="Times New Roman"/>
          <w:szCs w:val="24"/>
        </w:rPr>
        <w:t xml:space="preserve">, рекомбинантного активированного фактора </w:t>
      </w:r>
      <w:r w:rsidRPr="00BA72AB">
        <w:rPr>
          <w:rFonts w:cs="Times New Roman"/>
          <w:szCs w:val="24"/>
          <w:lang w:val="en-US"/>
        </w:rPr>
        <w:t>VII</w:t>
      </w:r>
      <w:r w:rsidRPr="00BA72AB">
        <w:rPr>
          <w:rFonts w:cs="Times New Roman"/>
          <w:szCs w:val="24"/>
        </w:rPr>
        <w:t xml:space="preserve"> или препарат активированного протромбинового комплекса (при наличии ингибитора) вводятся в рекомендуемых дозах при подозрении на ВЧК ещё до направления на КТ головного мозга.</w:t>
      </w:r>
    </w:p>
    <w:p w14:paraId="7D49FFEA" w14:textId="77777777" w:rsidR="006E7E66" w:rsidRPr="00BA72AB" w:rsidRDefault="006E7E66" w:rsidP="006E7E66">
      <w:pPr>
        <w:pStyle w:val="afe"/>
        <w:ind w:left="0" w:firstLine="720"/>
        <w:rPr>
          <w:rFonts w:cs="Times New Roman"/>
          <w:szCs w:val="24"/>
        </w:rPr>
      </w:pPr>
      <w:r w:rsidRPr="00BA72AB">
        <w:rPr>
          <w:rFonts w:cs="Times New Roman"/>
          <w:szCs w:val="24"/>
        </w:rPr>
        <w:t>После достижения эффективного гемостаза мультидисциплинарной командой (гематолог, нейрохирург, реаниматолог) решается вопрос о возможности и целесообразности выполнения нейрохирургического вмешательства. Цель нейрохирургической операции – борьба с гипертензионно-дислокационным синдромом. Операция выполняется по жизненным показаниям. При оказании ургентной нейрохирургической помощи гематологическим пациентам принципиальным является фактор времени. Оптимальным является выполнение трепанации черепа не позднее 4-х часов с момента диагностики ВЧК. Нужно учитывать, что у гематологических пациентов редко удаётся добиться идеального гемостаза и редко удаётся выявить непосредственный источник кровотечения. Необходимо, как правило, использовать дополнительные местные гемостатические материалы – Тахокомб, Серджисел. Операция заканчивается дренированием полости гематомы тонким дренажем с пассивной аспирацией.</w:t>
      </w:r>
    </w:p>
    <w:p w14:paraId="1AEBA65A" w14:textId="77777777" w:rsidR="006E7E66" w:rsidRPr="00BA72AB" w:rsidRDefault="006E7E66" w:rsidP="006E7E66">
      <w:pPr>
        <w:pStyle w:val="afe"/>
        <w:ind w:left="0" w:firstLine="720"/>
        <w:rPr>
          <w:rFonts w:cs="Times New Roman"/>
          <w:szCs w:val="24"/>
        </w:rPr>
      </w:pPr>
      <w:r w:rsidRPr="00BA72AB">
        <w:rPr>
          <w:rFonts w:cs="Times New Roman"/>
          <w:szCs w:val="24"/>
        </w:rPr>
        <w:t>При острых субдуральных и эпидуральных гематомах, при развитии у пациента гипертензионно-дислокационного синдрома и смещения срединных структур головного мозга более 9 мм выполняется костно-пластическая краниотомия, удаление и дренирование гематомы головного мозга. При выявлении на операции признаков отёка / набухания вещества головного мозга объём вмешательства расширяется до декомпрессивной трепанации с пластикой твердой мозговой оболочки.</w:t>
      </w:r>
    </w:p>
    <w:p w14:paraId="5D59855D" w14:textId="77777777" w:rsidR="006E7E66" w:rsidRPr="00BA72AB" w:rsidRDefault="006E7E66" w:rsidP="006E7E66">
      <w:pPr>
        <w:pStyle w:val="afe"/>
        <w:ind w:left="0" w:firstLine="720"/>
        <w:rPr>
          <w:rFonts w:cs="Times New Roman"/>
          <w:szCs w:val="24"/>
        </w:rPr>
      </w:pPr>
      <w:r w:rsidRPr="00BA72AB">
        <w:rPr>
          <w:rFonts w:cs="Times New Roman"/>
          <w:szCs w:val="24"/>
        </w:rPr>
        <w:t xml:space="preserve">Субарахноидальные кровоизлияния (САК) у гематологических пациентов, как правило, требуют консервативного лечения, либо эндоваскулярной диагностики и эндоваскулярного нейрохирургического лечения. Показания к эндоваскулярному вмешательству также определяются коллегиально специалистами: нейрохирург, ангиохирург, реаниматолог, гематолог. </w:t>
      </w:r>
    </w:p>
    <w:p w14:paraId="4E5E233E" w14:textId="77777777" w:rsidR="006E7E66" w:rsidRPr="00BA72AB" w:rsidRDefault="006E7E66" w:rsidP="006E7E66">
      <w:pPr>
        <w:pStyle w:val="afe"/>
        <w:ind w:left="0" w:firstLine="720"/>
        <w:rPr>
          <w:rFonts w:cs="Times New Roman"/>
          <w:szCs w:val="24"/>
        </w:rPr>
      </w:pPr>
      <w:r w:rsidRPr="00BA72AB">
        <w:rPr>
          <w:rFonts w:cs="Times New Roman"/>
          <w:szCs w:val="24"/>
        </w:rPr>
        <w:t>Внутримозговые гематомы и внутрижелудочковые кровоизлияния у гематологических пациентов требуют нейрохирургического вмешательства только по жизненным показаниям, так как любая дополнительная травма вещества головного мозга при удалении внутримозговых гематом усугубляет неврологических дефицит, и кроме того, у гематологических пациентов имеется высокий риск рецидива гематомы. При нетипичных локализациях спонтанных внутримозговых гематом требуется исключить тромбоз венозных синусов. При подтверждении тромбоза целесообразно выполнить эндоваскулярное вмешательство с целью восстановления кровотока (локальный эндоваскулярный трансвенозный тромболизис, эндоваскулярная тромбэктомия аспирационная). В случае принятия решения об открытом оперативном вмешательстве выполняется декомпрессивная краниотомия, удаление и дренирование внутримозговой гематомы. При кровоизлиянии в желудочки головного мозга у гематологических пациентов выполнение только вентрикулостомии неэффективно.</w:t>
      </w:r>
    </w:p>
    <w:p w14:paraId="0C7ACEEE" w14:textId="77777777" w:rsidR="006E7E66" w:rsidRPr="00BA72AB" w:rsidRDefault="006E7E66" w:rsidP="006E7E66">
      <w:pPr>
        <w:pStyle w:val="afe"/>
        <w:ind w:left="0" w:firstLine="720"/>
        <w:rPr>
          <w:rFonts w:cs="Times New Roman"/>
          <w:szCs w:val="24"/>
        </w:rPr>
      </w:pPr>
      <w:r w:rsidRPr="00BA72AB">
        <w:rPr>
          <w:rFonts w:cs="Times New Roman"/>
          <w:szCs w:val="24"/>
        </w:rPr>
        <w:t>Хронические субдуральные гематомы (ХСДГ) требуют нейрохирургического лечения в плановом порядке при наличии клинических проявлений. Свою эффективность у гематологических пациентов показал подход, заключающийся в выполнении закрытого дренирования ХСДГ.</w:t>
      </w:r>
    </w:p>
    <w:p w14:paraId="4FF8C80B" w14:textId="0D920353" w:rsidR="006E7E66" w:rsidRPr="0005409C" w:rsidRDefault="006E7E66" w:rsidP="0040053D">
      <w:pPr>
        <w:pStyle w:val="afe"/>
        <w:ind w:left="0" w:firstLine="720"/>
        <w:rPr>
          <w:rFonts w:cs="Times New Roman"/>
          <w:szCs w:val="24"/>
        </w:rPr>
      </w:pPr>
      <w:r w:rsidRPr="00BA72AB">
        <w:rPr>
          <w:rFonts w:cs="Times New Roman"/>
          <w:szCs w:val="24"/>
        </w:rPr>
        <w:t xml:space="preserve">По клиническим показаниям производится гемотрансфузионная терапия: трансфузии тромбоконцентрата, свежезамороженной плазмы, криопреципитата, эритроцитсодержащих компонентов крови. При тромбозах венозных синусов подбор антикоагулянтной терапии производится индивидуально с учетом лабораторных данных и факторов риска кровотечения. Исход нейрохирургических вмешательств при ВЧК зависит </w:t>
      </w:r>
      <w:r w:rsidRPr="0005409C">
        <w:rPr>
          <w:rFonts w:cs="Times New Roman"/>
          <w:szCs w:val="24"/>
        </w:rPr>
        <w:t>от комплекса факторов (таб.1)</w:t>
      </w:r>
    </w:p>
    <w:p w14:paraId="161F2AC3" w14:textId="77777777" w:rsidR="006E7E66" w:rsidRDefault="006E7E66" w:rsidP="006E7E66">
      <w:pPr>
        <w:rPr>
          <w:rFonts w:cs="Times New Roman"/>
          <w:szCs w:val="24"/>
        </w:rPr>
      </w:pPr>
    </w:p>
    <w:p w14:paraId="44B8295F" w14:textId="77777777" w:rsidR="006E7E66" w:rsidRPr="00BA72AB" w:rsidRDefault="006E7E66" w:rsidP="006E7E66">
      <w:pPr>
        <w:rPr>
          <w:rFonts w:cs="Times New Roman"/>
          <w:szCs w:val="24"/>
        </w:rPr>
      </w:pPr>
      <w:r w:rsidRPr="0005409C">
        <w:rPr>
          <w:rFonts w:cs="Times New Roman"/>
          <w:szCs w:val="24"/>
        </w:rPr>
        <w:t>Таблица 1. Прогностические факторы исхода нейрохирургических вмешательств при ВЧК</w:t>
      </w:r>
      <w:r w:rsidRPr="00BA72AB">
        <w:rPr>
          <w:rFonts w:cs="Times New Roman"/>
          <w:szCs w:val="24"/>
        </w:rPr>
        <w:t xml:space="preserve"> у гематологических пациентов.</w:t>
      </w:r>
    </w:p>
    <w:tbl>
      <w:tblPr>
        <w:tblStyle w:val="aff9"/>
        <w:tblW w:w="0" w:type="auto"/>
        <w:tblLook w:val="04A0" w:firstRow="1" w:lastRow="0" w:firstColumn="1" w:lastColumn="0" w:noHBand="0" w:noVBand="1"/>
      </w:tblPr>
      <w:tblGrid>
        <w:gridCol w:w="4672"/>
        <w:gridCol w:w="4673"/>
      </w:tblGrid>
      <w:tr w:rsidR="006E7E66" w:rsidRPr="00BA72AB" w14:paraId="310BBDCD" w14:textId="77777777" w:rsidTr="00452D51">
        <w:tc>
          <w:tcPr>
            <w:tcW w:w="4672" w:type="dxa"/>
          </w:tcPr>
          <w:p w14:paraId="6817F3A2" w14:textId="77777777" w:rsidR="006E7E66" w:rsidRPr="00BA72AB" w:rsidRDefault="006E7E66" w:rsidP="00436E18">
            <w:pPr>
              <w:ind w:left="57" w:right="57" w:firstLine="0"/>
              <w:jc w:val="center"/>
              <w:rPr>
                <w:rFonts w:cs="Times New Roman"/>
                <w:szCs w:val="24"/>
              </w:rPr>
            </w:pPr>
            <w:r w:rsidRPr="00BA72AB">
              <w:rPr>
                <w:rFonts w:cs="Times New Roman"/>
                <w:szCs w:val="24"/>
              </w:rPr>
              <w:t>Благоприятные факторы</w:t>
            </w:r>
          </w:p>
        </w:tc>
        <w:tc>
          <w:tcPr>
            <w:tcW w:w="4673" w:type="dxa"/>
          </w:tcPr>
          <w:p w14:paraId="79EA6AAF" w14:textId="77777777" w:rsidR="006E7E66" w:rsidRPr="00BA72AB" w:rsidRDefault="006E7E66" w:rsidP="00436E18">
            <w:pPr>
              <w:ind w:left="57" w:right="57" w:firstLine="0"/>
              <w:jc w:val="center"/>
              <w:rPr>
                <w:rFonts w:cs="Times New Roman"/>
                <w:szCs w:val="24"/>
              </w:rPr>
            </w:pPr>
            <w:r w:rsidRPr="00BA72AB">
              <w:rPr>
                <w:rFonts w:cs="Times New Roman"/>
                <w:szCs w:val="24"/>
              </w:rPr>
              <w:t>Неблагоприятные факторы</w:t>
            </w:r>
          </w:p>
        </w:tc>
      </w:tr>
      <w:tr w:rsidR="006E7E66" w:rsidRPr="00BA72AB" w14:paraId="2D8351B1" w14:textId="77777777" w:rsidTr="00452D51">
        <w:tc>
          <w:tcPr>
            <w:tcW w:w="4672" w:type="dxa"/>
          </w:tcPr>
          <w:p w14:paraId="2A7D2FA0" w14:textId="77777777" w:rsidR="006E7E66" w:rsidRPr="00BA72AB" w:rsidRDefault="006E7E66" w:rsidP="00436E18">
            <w:pPr>
              <w:numPr>
                <w:ilvl w:val="0"/>
                <w:numId w:val="67"/>
              </w:numPr>
              <w:ind w:left="57" w:right="57" w:firstLine="0"/>
              <w:rPr>
                <w:rFonts w:cs="Times New Roman"/>
                <w:szCs w:val="24"/>
              </w:rPr>
            </w:pPr>
            <w:r w:rsidRPr="00BA72AB">
              <w:rPr>
                <w:rFonts w:cs="Times New Roman"/>
                <w:szCs w:val="24"/>
              </w:rPr>
              <w:t>оболочечные гематомы</w:t>
            </w:r>
          </w:p>
          <w:p w14:paraId="1F98D1E9" w14:textId="77777777" w:rsidR="006E7E66" w:rsidRPr="00BA72AB" w:rsidRDefault="006E7E66" w:rsidP="00436E18">
            <w:pPr>
              <w:numPr>
                <w:ilvl w:val="0"/>
                <w:numId w:val="67"/>
              </w:numPr>
              <w:ind w:left="57" w:right="57" w:firstLine="0"/>
              <w:rPr>
                <w:rFonts w:cs="Times New Roman"/>
                <w:szCs w:val="24"/>
              </w:rPr>
            </w:pPr>
            <w:r w:rsidRPr="00BA72AB">
              <w:rPr>
                <w:rFonts w:cs="Times New Roman"/>
                <w:szCs w:val="24"/>
              </w:rPr>
              <w:t>диагностика в течение первых 4 часов</w:t>
            </w:r>
          </w:p>
          <w:p w14:paraId="44B9A7BE" w14:textId="77777777" w:rsidR="006E7E66" w:rsidRPr="00BA72AB" w:rsidRDefault="006E7E66" w:rsidP="00436E18">
            <w:pPr>
              <w:numPr>
                <w:ilvl w:val="0"/>
                <w:numId w:val="67"/>
              </w:numPr>
              <w:ind w:left="57" w:right="57" w:firstLine="0"/>
              <w:rPr>
                <w:rFonts w:cs="Times New Roman"/>
                <w:szCs w:val="24"/>
              </w:rPr>
            </w:pPr>
            <w:r w:rsidRPr="00BA72AB">
              <w:rPr>
                <w:rFonts w:cs="Times New Roman"/>
                <w:szCs w:val="24"/>
              </w:rPr>
              <w:t>контролируемые нарушения гемостаза</w:t>
            </w:r>
          </w:p>
          <w:p w14:paraId="21650489" w14:textId="77777777" w:rsidR="006E7E66" w:rsidRPr="00BA72AB" w:rsidRDefault="006E7E66" w:rsidP="00436E18">
            <w:pPr>
              <w:numPr>
                <w:ilvl w:val="0"/>
                <w:numId w:val="67"/>
              </w:numPr>
              <w:ind w:left="57" w:right="57" w:firstLine="0"/>
              <w:rPr>
                <w:rFonts w:cs="Times New Roman"/>
                <w:szCs w:val="24"/>
              </w:rPr>
            </w:pPr>
            <w:r w:rsidRPr="00BA72AB">
              <w:rPr>
                <w:rFonts w:cs="Times New Roman"/>
                <w:szCs w:val="24"/>
              </w:rPr>
              <w:t>супратенториальная локализация</w:t>
            </w:r>
          </w:p>
          <w:p w14:paraId="3B6BAD73" w14:textId="77777777" w:rsidR="006E7E66" w:rsidRPr="00BA72AB" w:rsidRDefault="006E7E66" w:rsidP="00436E18">
            <w:pPr>
              <w:numPr>
                <w:ilvl w:val="0"/>
                <w:numId w:val="67"/>
              </w:numPr>
              <w:ind w:left="57" w:right="57" w:firstLine="0"/>
              <w:rPr>
                <w:rFonts w:cs="Times New Roman"/>
                <w:szCs w:val="24"/>
              </w:rPr>
            </w:pPr>
            <w:r w:rsidRPr="00BA72AB">
              <w:rPr>
                <w:rFonts w:cs="Times New Roman"/>
                <w:szCs w:val="24"/>
              </w:rPr>
              <w:t>уровень сознания – более 8 баллов ШКГ</w:t>
            </w:r>
          </w:p>
        </w:tc>
        <w:tc>
          <w:tcPr>
            <w:tcW w:w="4673" w:type="dxa"/>
          </w:tcPr>
          <w:p w14:paraId="2CE9D8AA" w14:textId="77777777" w:rsidR="006E7E66" w:rsidRPr="00BA72AB" w:rsidRDefault="006E7E66" w:rsidP="00436E18">
            <w:pPr>
              <w:numPr>
                <w:ilvl w:val="0"/>
                <w:numId w:val="68"/>
              </w:numPr>
              <w:ind w:left="57" w:right="57" w:firstLine="0"/>
              <w:rPr>
                <w:rFonts w:cs="Times New Roman"/>
                <w:szCs w:val="24"/>
              </w:rPr>
            </w:pPr>
            <w:r w:rsidRPr="00BA72AB">
              <w:rPr>
                <w:rFonts w:cs="Times New Roman"/>
                <w:szCs w:val="24"/>
              </w:rPr>
              <w:t>внутримозговые, внутрижелудочковые и сочетанные гематомы</w:t>
            </w:r>
          </w:p>
          <w:p w14:paraId="2229BAF7" w14:textId="77777777" w:rsidR="006E7E66" w:rsidRPr="00BA72AB" w:rsidRDefault="006E7E66" w:rsidP="00436E18">
            <w:pPr>
              <w:numPr>
                <w:ilvl w:val="0"/>
                <w:numId w:val="68"/>
              </w:numPr>
              <w:ind w:left="57" w:right="57" w:firstLine="0"/>
              <w:rPr>
                <w:rFonts w:cs="Times New Roman"/>
                <w:szCs w:val="24"/>
              </w:rPr>
            </w:pPr>
            <w:r w:rsidRPr="00BA72AB">
              <w:rPr>
                <w:rFonts w:cs="Times New Roman"/>
                <w:szCs w:val="24"/>
              </w:rPr>
              <w:t>поздняя диагностика</w:t>
            </w:r>
          </w:p>
          <w:p w14:paraId="35F65AF7" w14:textId="77777777" w:rsidR="006E7E66" w:rsidRPr="00BA72AB" w:rsidRDefault="006E7E66" w:rsidP="00436E18">
            <w:pPr>
              <w:numPr>
                <w:ilvl w:val="0"/>
                <w:numId w:val="68"/>
              </w:numPr>
              <w:ind w:left="57" w:right="57" w:firstLine="0"/>
              <w:rPr>
                <w:rFonts w:cs="Times New Roman"/>
                <w:szCs w:val="24"/>
              </w:rPr>
            </w:pPr>
            <w:r w:rsidRPr="00BA72AB">
              <w:rPr>
                <w:rFonts w:cs="Times New Roman"/>
                <w:szCs w:val="24"/>
              </w:rPr>
              <w:t>неконтролируемые нарушения гемостаза</w:t>
            </w:r>
          </w:p>
          <w:p w14:paraId="470C8947" w14:textId="77777777" w:rsidR="006E7E66" w:rsidRPr="00BA72AB" w:rsidRDefault="006E7E66" w:rsidP="00436E18">
            <w:pPr>
              <w:numPr>
                <w:ilvl w:val="0"/>
                <w:numId w:val="68"/>
              </w:numPr>
              <w:ind w:left="57" w:right="57" w:firstLine="0"/>
              <w:rPr>
                <w:rFonts w:cs="Times New Roman"/>
                <w:szCs w:val="24"/>
              </w:rPr>
            </w:pPr>
            <w:r w:rsidRPr="00BA72AB">
              <w:rPr>
                <w:rFonts w:cs="Times New Roman"/>
                <w:szCs w:val="24"/>
              </w:rPr>
              <w:t>субтенториальная локализация</w:t>
            </w:r>
          </w:p>
          <w:p w14:paraId="46FB3093" w14:textId="77777777" w:rsidR="006E7E66" w:rsidRPr="00BA72AB" w:rsidRDefault="006E7E66" w:rsidP="00436E18">
            <w:pPr>
              <w:numPr>
                <w:ilvl w:val="0"/>
                <w:numId w:val="68"/>
              </w:numPr>
              <w:ind w:left="57" w:right="57" w:firstLine="0"/>
              <w:rPr>
                <w:rFonts w:cs="Times New Roman"/>
                <w:szCs w:val="24"/>
              </w:rPr>
            </w:pPr>
            <w:r w:rsidRPr="00BA72AB">
              <w:rPr>
                <w:rFonts w:cs="Times New Roman"/>
                <w:szCs w:val="24"/>
              </w:rPr>
              <w:t>глубокое угнетение сознания менее 8 баллов ШКГ</w:t>
            </w:r>
          </w:p>
        </w:tc>
      </w:tr>
    </w:tbl>
    <w:p w14:paraId="21E1C86C" w14:textId="77777777" w:rsidR="006E7E66" w:rsidRPr="00BA72AB" w:rsidRDefault="006E7E66" w:rsidP="006E7E66">
      <w:pPr>
        <w:pStyle w:val="afe"/>
        <w:rPr>
          <w:rFonts w:cs="Times New Roman"/>
          <w:b/>
          <w:szCs w:val="24"/>
        </w:rPr>
      </w:pPr>
    </w:p>
    <w:p w14:paraId="4434968F" w14:textId="7E21C224" w:rsidR="009E610C" w:rsidRPr="009E610C" w:rsidRDefault="00436E18" w:rsidP="009E610C">
      <w:pPr>
        <w:pStyle w:val="2"/>
      </w:pPr>
      <w:bookmarkStart w:id="74" w:name="_Toc65586412"/>
      <w:r w:rsidRPr="009E610C">
        <w:t>7.</w:t>
      </w:r>
      <w:r w:rsidR="009A6517" w:rsidRPr="009E610C">
        <w:t xml:space="preserve">10. </w:t>
      </w:r>
      <w:r w:rsidR="009E610C" w:rsidRPr="009E610C">
        <w:t>Профилактика, диагностика и лечение асептических остеонекрозов.</w:t>
      </w:r>
      <w:bookmarkEnd w:id="74"/>
    </w:p>
    <w:p w14:paraId="57252892" w14:textId="60EC03DA" w:rsidR="009E610C" w:rsidRPr="002E0BCA" w:rsidRDefault="009E610C" w:rsidP="009E610C">
      <w:pPr>
        <w:ind w:firstLine="708"/>
        <w:rPr>
          <w:szCs w:val="24"/>
        </w:rPr>
      </w:pPr>
      <w:r w:rsidRPr="002E0BCA">
        <w:rPr>
          <w:szCs w:val="24"/>
        </w:rPr>
        <w:t>Асептический остеонекроз (АОН) относится к группе вторичных остеонекрозов. Его развитие связано с нарушением кровоснабжения и гибелью костных клеток в определенном участке костной ткани на фоне химиотерапии или воздействия глюкокортикостероидов.</w:t>
      </w:r>
      <w:r>
        <w:rPr>
          <w:szCs w:val="24"/>
        </w:rPr>
        <w:t xml:space="preserve"> </w:t>
      </w:r>
    </w:p>
    <w:p w14:paraId="479252EA" w14:textId="5A5EA67C" w:rsidR="009E610C" w:rsidRDefault="009E610C" w:rsidP="009E610C">
      <w:pPr>
        <w:ind w:firstLine="708"/>
        <w:rPr>
          <w:szCs w:val="24"/>
        </w:rPr>
      </w:pPr>
      <w:r w:rsidRPr="002E0BCA">
        <w:rPr>
          <w:szCs w:val="24"/>
        </w:rPr>
        <w:t>АОН у</w:t>
      </w:r>
      <w:r w:rsidR="00D239A9">
        <w:rPr>
          <w:szCs w:val="24"/>
        </w:rPr>
        <w:t xml:space="preserve"> пациентов, получающих противоопухолевую лекарственную терапию, </w:t>
      </w:r>
      <w:r w:rsidRPr="002E0BCA">
        <w:rPr>
          <w:szCs w:val="24"/>
        </w:rPr>
        <w:t xml:space="preserve">преимущественно локализуется в длинных трубчатых костях. По расположению в трубчатой кости очаги могут выявляться как вне связи с эпифизами, это медуллярные остеонекрозы, так и поражать эпифизы, суставные отделы трубчатых костей. В этих случаях остеонекроз определяют как асептический некроз, и далее название эпифиза, например </w:t>
      </w:r>
      <w:r w:rsidR="00082344">
        <w:rPr>
          <w:szCs w:val="24"/>
        </w:rPr>
        <w:t>«</w:t>
      </w:r>
      <w:r w:rsidRPr="002E0BCA">
        <w:rPr>
          <w:szCs w:val="24"/>
        </w:rPr>
        <w:t>асептический некроз головки бедренной кости</w:t>
      </w:r>
      <w:r w:rsidR="00082344">
        <w:rPr>
          <w:szCs w:val="24"/>
        </w:rPr>
        <w:t>»</w:t>
      </w:r>
      <w:r w:rsidRPr="002E0BCA">
        <w:rPr>
          <w:szCs w:val="24"/>
        </w:rPr>
        <w:t xml:space="preserve"> и т.</w:t>
      </w:r>
      <w:r w:rsidR="00370CD1">
        <w:rPr>
          <w:szCs w:val="24"/>
          <w:lang w:val="en-US"/>
        </w:rPr>
        <w:t> </w:t>
      </w:r>
      <w:r w:rsidRPr="002E0BCA">
        <w:rPr>
          <w:szCs w:val="24"/>
        </w:rPr>
        <w:t>п. Как синоним, часто используется определение – аваскулярный некроз (АВН) головки бедренной кости или других локализаций остеонекрозов эпифизов длинных костей, хотя, словосочетание «асептический некроз» более точно отражает патологический процесс (аваскулярный некроз кости часто сопровождает инфекционные заболевания костей и суставов, что не относится к рассматриваемой проблеме).</w:t>
      </w:r>
    </w:p>
    <w:p w14:paraId="5383A7BC" w14:textId="77777777" w:rsidR="009E610C" w:rsidRDefault="009E610C" w:rsidP="009E610C">
      <w:pPr>
        <w:ind w:firstLine="708"/>
      </w:pPr>
    </w:p>
    <w:p w14:paraId="7CC6B122" w14:textId="77777777" w:rsidR="009E610C" w:rsidRPr="00314E71" w:rsidRDefault="009E610C" w:rsidP="009E610C">
      <w:pPr>
        <w:rPr>
          <w:i/>
          <w:iCs/>
          <w:u w:val="single"/>
        </w:rPr>
      </w:pPr>
      <w:r w:rsidRPr="00314E71">
        <w:rPr>
          <w:i/>
          <w:iCs/>
          <w:u w:val="single"/>
        </w:rPr>
        <w:t>Диагностика</w:t>
      </w:r>
    </w:p>
    <w:p w14:paraId="56B97881" w14:textId="24EF2A9C" w:rsidR="009E610C" w:rsidRDefault="00C2583B" w:rsidP="009E610C">
      <w:pPr>
        <w:ind w:firstLine="708"/>
        <w:rPr>
          <w:szCs w:val="24"/>
        </w:rPr>
      </w:pPr>
      <w:r>
        <w:t>В</w:t>
      </w:r>
      <w:r w:rsidR="009E610C" w:rsidRPr="00E66B41">
        <w:rPr>
          <w:szCs w:val="24"/>
        </w:rPr>
        <w:t xml:space="preserve">ыявить остеонекроз возможно при рентгенографии и КТ костей по характерному признаку – наличие географической формы тонкой линии остеосклероза, которая формируется при прорастании костной ткани из непораженного участка в очаг остеонекроза. При секвестрировании выявляется полоска просветления по форме очага. Рентгенография и КТ костей и суставов используются также при планировании оперативных вмешательств на поздних стадиях остеонекроза при развитии деформации суставного отдела длинной трубчатой кости. </w:t>
      </w:r>
      <w:r w:rsidR="009E610C" w:rsidRPr="002E0BCA">
        <w:rPr>
          <w:szCs w:val="24"/>
        </w:rPr>
        <w:t>Дополнить инструментальную диагностику может двухэнергетическая рентгеновская денситометрия, которая позволяет выявить проявления системного остеопороза и состояние костной ткани в области установленных имплантов, если пациентам выполнялось эндопротезирование суставов.</w:t>
      </w:r>
    </w:p>
    <w:p w14:paraId="2450C91A" w14:textId="06425C98" w:rsidR="009E610C" w:rsidRPr="00314E71" w:rsidRDefault="009E610C" w:rsidP="009E610C">
      <w:pPr>
        <w:ind w:firstLine="708"/>
        <w:rPr>
          <w:szCs w:val="24"/>
        </w:rPr>
      </w:pPr>
      <w:r>
        <w:rPr>
          <w:szCs w:val="24"/>
        </w:rPr>
        <w:t xml:space="preserve">Всем </w:t>
      </w:r>
      <w:r>
        <w:t xml:space="preserve">пациентам с подозрением на асептический остеонекроз необходимо выполнять </w:t>
      </w:r>
      <w:r w:rsidRPr="00314E71">
        <w:rPr>
          <w:szCs w:val="24"/>
        </w:rPr>
        <w:t xml:space="preserve">исследовать маркеры костного метаболизма (уровень кальция крови, уровень кальция суточной мочи, паратгормон, активность щелочной фосфатазы, 25-(ОН) вит </w:t>
      </w:r>
      <w:r w:rsidRPr="00314E71">
        <w:rPr>
          <w:szCs w:val="24"/>
          <w:lang w:val="en-US"/>
        </w:rPr>
        <w:t>D</w:t>
      </w:r>
      <w:r w:rsidRPr="00314E71">
        <w:rPr>
          <w:szCs w:val="24"/>
        </w:rPr>
        <w:t xml:space="preserve">, </w:t>
      </w:r>
      <w:r w:rsidRPr="00C2583B">
        <w:rPr>
          <w:b/>
          <w:bCs/>
          <w:szCs w:val="24"/>
        </w:rPr>
        <w:t>д</w:t>
      </w:r>
      <w:r w:rsidRPr="00C2583B">
        <w:rPr>
          <w:rStyle w:val="affb"/>
          <w:b w:val="0"/>
          <w:bCs w:val="0"/>
          <w:szCs w:val="24"/>
        </w:rPr>
        <w:t>езоксипиридинолин</w:t>
      </w:r>
      <w:r w:rsidRPr="00314E71">
        <w:rPr>
          <w:szCs w:val="24"/>
        </w:rPr>
        <w:t xml:space="preserve"> (ДПИД)  или </w:t>
      </w:r>
      <w:r w:rsidRPr="00314E71">
        <w:rPr>
          <w:szCs w:val="24"/>
          <w:lang w:val="en-US"/>
        </w:rPr>
        <w:t>beta</w:t>
      </w:r>
      <w:r w:rsidRPr="00314E71">
        <w:rPr>
          <w:szCs w:val="24"/>
        </w:rPr>
        <w:t>-</w:t>
      </w:r>
      <w:r w:rsidRPr="00314E71">
        <w:rPr>
          <w:szCs w:val="24"/>
          <w:lang w:val="en-US"/>
        </w:rPr>
        <w:t>crocc</w:t>
      </w:r>
      <w:r w:rsidRPr="00314E71">
        <w:rPr>
          <w:szCs w:val="24"/>
        </w:rPr>
        <w:t xml:space="preserve"> </w:t>
      </w:r>
      <w:r w:rsidRPr="00314E71">
        <w:rPr>
          <w:szCs w:val="24"/>
          <w:lang w:val="en-US"/>
        </w:rPr>
        <w:t>laps</w:t>
      </w:r>
      <w:r w:rsidRPr="00314E71">
        <w:rPr>
          <w:szCs w:val="24"/>
        </w:rPr>
        <w:t>, остеокальцин), которые могут помочь в определении тактики дальнейшего сопроводительного лечения и назначении специфической терапии остеопороза.</w:t>
      </w:r>
    </w:p>
    <w:p w14:paraId="4A3FB4EC" w14:textId="77777777" w:rsidR="009E610C" w:rsidRDefault="009E610C" w:rsidP="009E610C">
      <w:pPr>
        <w:rPr>
          <w:b/>
          <w:bCs/>
          <w:i/>
          <w:szCs w:val="24"/>
        </w:rPr>
      </w:pPr>
    </w:p>
    <w:p w14:paraId="090CB0B5" w14:textId="77777777" w:rsidR="009E610C" w:rsidRPr="00314E71" w:rsidRDefault="009E610C" w:rsidP="009E610C">
      <w:pPr>
        <w:rPr>
          <w:i/>
          <w:szCs w:val="24"/>
          <w:u w:val="single"/>
        </w:rPr>
      </w:pPr>
      <w:r w:rsidRPr="00314E71">
        <w:rPr>
          <w:i/>
          <w:szCs w:val="24"/>
          <w:u w:val="single"/>
        </w:rPr>
        <w:t xml:space="preserve">Классификация остеонекроза головки бедренной кости по </w:t>
      </w:r>
      <w:r w:rsidRPr="00314E71">
        <w:rPr>
          <w:i/>
          <w:szCs w:val="24"/>
          <w:u w:val="single"/>
          <w:lang w:val="en-US"/>
        </w:rPr>
        <w:t>ARCO</w:t>
      </w:r>
      <w:r w:rsidRPr="00314E71">
        <w:rPr>
          <w:i/>
          <w:szCs w:val="24"/>
          <w:u w:val="single"/>
        </w:rPr>
        <w:t xml:space="preserve"> (</w:t>
      </w:r>
      <w:r w:rsidRPr="00314E71">
        <w:rPr>
          <w:i/>
          <w:szCs w:val="24"/>
          <w:u w:val="single"/>
          <w:lang w:val="en-US"/>
        </w:rPr>
        <w:t>Association</w:t>
      </w:r>
      <w:r w:rsidRPr="00314E71">
        <w:rPr>
          <w:i/>
          <w:szCs w:val="24"/>
          <w:u w:val="single"/>
        </w:rPr>
        <w:t xml:space="preserve"> </w:t>
      </w:r>
      <w:r w:rsidRPr="00314E71">
        <w:rPr>
          <w:i/>
          <w:szCs w:val="24"/>
          <w:u w:val="single"/>
          <w:lang w:val="en-US"/>
        </w:rPr>
        <w:t>Research</w:t>
      </w:r>
      <w:r w:rsidRPr="00314E71">
        <w:rPr>
          <w:i/>
          <w:szCs w:val="24"/>
          <w:u w:val="single"/>
        </w:rPr>
        <w:t xml:space="preserve"> </w:t>
      </w:r>
      <w:r w:rsidRPr="00314E71">
        <w:rPr>
          <w:i/>
          <w:szCs w:val="24"/>
          <w:u w:val="single"/>
          <w:lang w:val="en-US"/>
        </w:rPr>
        <w:t>Circulation</w:t>
      </w:r>
      <w:r w:rsidRPr="00314E71">
        <w:rPr>
          <w:i/>
          <w:szCs w:val="24"/>
          <w:u w:val="single"/>
        </w:rPr>
        <w:t xml:space="preserve"> </w:t>
      </w:r>
      <w:r w:rsidRPr="00314E71">
        <w:rPr>
          <w:i/>
          <w:szCs w:val="24"/>
          <w:u w:val="single"/>
          <w:lang w:val="en-US"/>
        </w:rPr>
        <w:t>Osseous</w:t>
      </w:r>
      <w:r w:rsidRPr="00314E71">
        <w:rPr>
          <w:i/>
          <w:szCs w:val="24"/>
          <w:u w:val="single"/>
        </w:rPr>
        <w:t>):</w:t>
      </w:r>
    </w:p>
    <w:p w14:paraId="46E3C39B" w14:textId="77777777" w:rsidR="009E610C" w:rsidRPr="002E0BCA" w:rsidRDefault="009E610C" w:rsidP="009E610C">
      <w:pPr>
        <w:rPr>
          <w:szCs w:val="24"/>
        </w:rPr>
      </w:pPr>
      <w:r w:rsidRPr="002E0BCA">
        <w:rPr>
          <w:bCs/>
          <w:szCs w:val="24"/>
          <w:u w:val="single"/>
        </w:rPr>
        <w:t>Стадия 0:</w:t>
      </w:r>
      <w:r w:rsidRPr="002E0BCA">
        <w:rPr>
          <w:szCs w:val="24"/>
        </w:rPr>
        <w:t xml:space="preserve"> жалоб нет. Клинически без патологии. Остеонекроз при гистологическом исследовании.</w:t>
      </w:r>
    </w:p>
    <w:p w14:paraId="2AD3DF76" w14:textId="77777777" w:rsidR="009E610C" w:rsidRPr="002E0BCA" w:rsidRDefault="009E610C" w:rsidP="009E610C">
      <w:pPr>
        <w:rPr>
          <w:szCs w:val="24"/>
        </w:rPr>
      </w:pPr>
      <w:r w:rsidRPr="002E0BCA">
        <w:rPr>
          <w:bCs/>
          <w:szCs w:val="24"/>
          <w:u w:val="single"/>
        </w:rPr>
        <w:t>Стадия 1:</w:t>
      </w:r>
      <w:r w:rsidRPr="002E0BCA">
        <w:rPr>
          <w:szCs w:val="24"/>
        </w:rPr>
        <w:t xml:space="preserve"> рентгенологически без патологии. При МРТ или радионуклидном исследовании (сцинтиография костей) – остеонекроз.</w:t>
      </w:r>
    </w:p>
    <w:p w14:paraId="1D3076A7" w14:textId="77777777" w:rsidR="009E610C" w:rsidRPr="002E0BCA" w:rsidRDefault="009E610C" w:rsidP="009E610C">
      <w:pPr>
        <w:rPr>
          <w:szCs w:val="24"/>
        </w:rPr>
      </w:pPr>
      <w:r w:rsidRPr="002E0BCA">
        <w:rPr>
          <w:bCs/>
          <w:szCs w:val="24"/>
          <w:u w:val="single"/>
        </w:rPr>
        <w:t>Стадия 2:</w:t>
      </w:r>
      <w:r w:rsidRPr="002E0BCA">
        <w:rPr>
          <w:szCs w:val="24"/>
        </w:rPr>
        <w:t xml:space="preserve"> на рентгенограммах при МРТ выявляются ранние признаки остеонекроза. Форма головки не нарушена, субхондральный симптом полумесяца отсутствует.</w:t>
      </w:r>
    </w:p>
    <w:p w14:paraId="6744B4C4" w14:textId="77777777" w:rsidR="009E610C" w:rsidRPr="002E0BCA" w:rsidRDefault="009E610C" w:rsidP="009E610C">
      <w:pPr>
        <w:ind w:firstLine="708"/>
        <w:rPr>
          <w:szCs w:val="24"/>
        </w:rPr>
      </w:pPr>
      <w:r w:rsidRPr="002E0BCA">
        <w:rPr>
          <w:szCs w:val="24"/>
        </w:rPr>
        <w:t xml:space="preserve">Подгруппы в зависимости от площади поражения суставной поверхности: </w:t>
      </w:r>
    </w:p>
    <w:p w14:paraId="51D7A3B6" w14:textId="77777777" w:rsidR="009E610C" w:rsidRPr="002E0BCA" w:rsidRDefault="009E610C" w:rsidP="009E610C">
      <w:pPr>
        <w:ind w:firstLine="708"/>
        <w:rPr>
          <w:szCs w:val="24"/>
        </w:rPr>
      </w:pPr>
      <w:r w:rsidRPr="002E0BCA">
        <w:rPr>
          <w:szCs w:val="24"/>
          <w:lang w:val="en-US"/>
        </w:rPr>
        <w:t>A</w:t>
      </w:r>
      <w:r w:rsidRPr="002E0BCA">
        <w:rPr>
          <w:szCs w:val="24"/>
        </w:rPr>
        <w:t xml:space="preserve"> – менее 15%</w:t>
      </w:r>
    </w:p>
    <w:p w14:paraId="58B05528" w14:textId="77777777" w:rsidR="009E610C" w:rsidRPr="002E0BCA" w:rsidRDefault="009E610C" w:rsidP="009E610C">
      <w:pPr>
        <w:ind w:firstLine="708"/>
        <w:rPr>
          <w:szCs w:val="24"/>
        </w:rPr>
      </w:pPr>
      <w:r w:rsidRPr="002E0BCA">
        <w:rPr>
          <w:szCs w:val="24"/>
          <w:lang w:val="en-US"/>
        </w:rPr>
        <w:t>B</w:t>
      </w:r>
      <w:r w:rsidRPr="002E0BCA">
        <w:rPr>
          <w:szCs w:val="24"/>
        </w:rPr>
        <w:t xml:space="preserve"> – 15-30%</w:t>
      </w:r>
    </w:p>
    <w:p w14:paraId="7FBFC9C7" w14:textId="77777777" w:rsidR="009E610C" w:rsidRPr="002E0BCA" w:rsidRDefault="009E610C" w:rsidP="009E610C">
      <w:pPr>
        <w:ind w:firstLine="708"/>
        <w:rPr>
          <w:szCs w:val="24"/>
        </w:rPr>
      </w:pPr>
      <w:r w:rsidRPr="002E0BCA">
        <w:rPr>
          <w:szCs w:val="24"/>
          <w:lang w:val="en-US"/>
        </w:rPr>
        <w:t>C</w:t>
      </w:r>
      <w:r w:rsidRPr="002E0BCA">
        <w:rPr>
          <w:szCs w:val="24"/>
        </w:rPr>
        <w:t xml:space="preserve"> – более 30%</w:t>
      </w:r>
    </w:p>
    <w:p w14:paraId="7BACC6DC" w14:textId="77777777" w:rsidR="009E610C" w:rsidRPr="002E0BCA" w:rsidRDefault="009E610C" w:rsidP="009E610C">
      <w:pPr>
        <w:rPr>
          <w:szCs w:val="24"/>
        </w:rPr>
      </w:pPr>
      <w:r w:rsidRPr="002E0BCA">
        <w:rPr>
          <w:bCs/>
          <w:szCs w:val="24"/>
          <w:u w:val="single"/>
        </w:rPr>
        <w:t>Стадия 3:</w:t>
      </w:r>
      <w:r w:rsidRPr="002E0BCA">
        <w:rPr>
          <w:szCs w:val="24"/>
        </w:rPr>
        <w:t xml:space="preserve"> на рентгенограммах имеется симптом полумесяца, но сферичность головки сохранена.</w:t>
      </w:r>
    </w:p>
    <w:p w14:paraId="2E55D198" w14:textId="77777777" w:rsidR="009E610C" w:rsidRPr="002E0BCA" w:rsidRDefault="009E610C" w:rsidP="009E610C">
      <w:pPr>
        <w:ind w:firstLine="708"/>
        <w:rPr>
          <w:szCs w:val="24"/>
        </w:rPr>
      </w:pPr>
      <w:r w:rsidRPr="002E0BCA">
        <w:rPr>
          <w:szCs w:val="24"/>
        </w:rPr>
        <w:t>Подгруппы в зависимости от соотношения размера полумесяца к размеру суставной поверхности:</w:t>
      </w:r>
    </w:p>
    <w:p w14:paraId="2D568ECF" w14:textId="77777777" w:rsidR="009E610C" w:rsidRPr="002E0BCA" w:rsidRDefault="009E610C" w:rsidP="009E610C">
      <w:pPr>
        <w:ind w:firstLine="708"/>
        <w:rPr>
          <w:szCs w:val="24"/>
        </w:rPr>
      </w:pPr>
      <w:r w:rsidRPr="002E0BCA">
        <w:rPr>
          <w:szCs w:val="24"/>
          <w:lang w:val="en-US"/>
        </w:rPr>
        <w:t>A</w:t>
      </w:r>
      <w:r w:rsidRPr="002E0BCA">
        <w:rPr>
          <w:szCs w:val="24"/>
        </w:rPr>
        <w:t xml:space="preserve"> – менее 15%</w:t>
      </w:r>
    </w:p>
    <w:p w14:paraId="6CB165D3" w14:textId="77777777" w:rsidR="009E610C" w:rsidRPr="002E0BCA" w:rsidRDefault="009E610C" w:rsidP="009E610C">
      <w:pPr>
        <w:ind w:firstLine="708"/>
        <w:rPr>
          <w:szCs w:val="24"/>
        </w:rPr>
      </w:pPr>
      <w:r w:rsidRPr="002E0BCA">
        <w:rPr>
          <w:szCs w:val="24"/>
          <w:lang w:val="en-US"/>
        </w:rPr>
        <w:t>B</w:t>
      </w:r>
      <w:r w:rsidRPr="002E0BCA">
        <w:rPr>
          <w:szCs w:val="24"/>
        </w:rPr>
        <w:t xml:space="preserve"> – 15-30%</w:t>
      </w:r>
    </w:p>
    <w:p w14:paraId="6C9C4C8E" w14:textId="77777777" w:rsidR="009E610C" w:rsidRPr="002E0BCA" w:rsidRDefault="009E610C" w:rsidP="009E610C">
      <w:pPr>
        <w:ind w:firstLine="708"/>
        <w:rPr>
          <w:szCs w:val="24"/>
        </w:rPr>
      </w:pPr>
      <w:r w:rsidRPr="002E0BCA">
        <w:rPr>
          <w:szCs w:val="24"/>
          <w:lang w:val="en-US"/>
        </w:rPr>
        <w:t>C</w:t>
      </w:r>
      <w:r w:rsidRPr="002E0BCA">
        <w:rPr>
          <w:szCs w:val="24"/>
        </w:rPr>
        <w:t xml:space="preserve"> – более 30%</w:t>
      </w:r>
    </w:p>
    <w:p w14:paraId="4331DBFF" w14:textId="77777777" w:rsidR="009E610C" w:rsidRPr="002E0BCA" w:rsidRDefault="009E610C" w:rsidP="009E610C">
      <w:pPr>
        <w:rPr>
          <w:szCs w:val="24"/>
        </w:rPr>
      </w:pPr>
      <w:r w:rsidRPr="002E0BCA">
        <w:rPr>
          <w:bCs/>
          <w:szCs w:val="24"/>
          <w:u w:val="single"/>
        </w:rPr>
        <w:t>Стадия 4:</w:t>
      </w:r>
      <w:r w:rsidRPr="002E0BCA">
        <w:rPr>
          <w:szCs w:val="24"/>
        </w:rPr>
        <w:t xml:space="preserve"> признаки уплощения или коллапса головки.</w:t>
      </w:r>
    </w:p>
    <w:p w14:paraId="6AD19B94" w14:textId="77777777" w:rsidR="009E610C" w:rsidRPr="002E0BCA" w:rsidRDefault="009E610C" w:rsidP="009E610C">
      <w:pPr>
        <w:ind w:firstLine="708"/>
        <w:rPr>
          <w:szCs w:val="24"/>
        </w:rPr>
      </w:pPr>
      <w:r w:rsidRPr="002E0BCA">
        <w:rPr>
          <w:szCs w:val="24"/>
        </w:rPr>
        <w:t>Подгруппы:</w:t>
      </w:r>
    </w:p>
    <w:p w14:paraId="064A63B9" w14:textId="77777777" w:rsidR="009E610C" w:rsidRPr="002E0BCA" w:rsidRDefault="009E610C" w:rsidP="009E610C">
      <w:pPr>
        <w:ind w:firstLine="708"/>
        <w:rPr>
          <w:szCs w:val="24"/>
        </w:rPr>
      </w:pPr>
      <w:r w:rsidRPr="002E0BCA">
        <w:rPr>
          <w:szCs w:val="24"/>
          <w:lang w:val="en-US"/>
        </w:rPr>
        <w:t>A</w:t>
      </w:r>
      <w:r w:rsidRPr="002E0BCA">
        <w:rPr>
          <w:szCs w:val="24"/>
        </w:rPr>
        <w:t xml:space="preserve"> – менее 15% суставной поверхности.</w:t>
      </w:r>
    </w:p>
    <w:p w14:paraId="6EE0537F" w14:textId="77777777" w:rsidR="009E610C" w:rsidRPr="002E0BCA" w:rsidRDefault="009E610C" w:rsidP="009E610C">
      <w:pPr>
        <w:ind w:firstLine="708"/>
        <w:rPr>
          <w:szCs w:val="24"/>
        </w:rPr>
      </w:pPr>
      <w:r w:rsidRPr="002E0BCA">
        <w:rPr>
          <w:szCs w:val="24"/>
          <w:lang w:val="en-US"/>
        </w:rPr>
        <w:t>B</w:t>
      </w:r>
      <w:r w:rsidRPr="002E0BCA">
        <w:rPr>
          <w:szCs w:val="24"/>
        </w:rPr>
        <w:t xml:space="preserve"> – 15-30% суставной поверхности.</w:t>
      </w:r>
    </w:p>
    <w:p w14:paraId="2EF01E2F" w14:textId="77777777" w:rsidR="009E610C" w:rsidRPr="002E0BCA" w:rsidRDefault="009E610C" w:rsidP="009E610C">
      <w:pPr>
        <w:ind w:firstLine="708"/>
        <w:rPr>
          <w:szCs w:val="24"/>
        </w:rPr>
      </w:pPr>
      <w:r w:rsidRPr="002E0BCA">
        <w:rPr>
          <w:szCs w:val="24"/>
          <w:lang w:val="en-US"/>
        </w:rPr>
        <w:t>C</w:t>
      </w:r>
      <w:r w:rsidRPr="002E0BCA">
        <w:rPr>
          <w:szCs w:val="24"/>
        </w:rPr>
        <w:t xml:space="preserve"> – более 30% суставной поверхности.</w:t>
      </w:r>
    </w:p>
    <w:p w14:paraId="4CC2AC0B" w14:textId="77777777" w:rsidR="009E610C" w:rsidRPr="002E0BCA" w:rsidRDefault="009E610C" w:rsidP="009E610C">
      <w:pPr>
        <w:rPr>
          <w:szCs w:val="24"/>
        </w:rPr>
      </w:pPr>
      <w:r w:rsidRPr="002E0BCA">
        <w:rPr>
          <w:bCs/>
          <w:szCs w:val="24"/>
          <w:u w:val="single"/>
        </w:rPr>
        <w:t>Стадия 5:</w:t>
      </w:r>
      <w:r>
        <w:rPr>
          <w:bCs/>
          <w:szCs w:val="24"/>
          <w:u w:val="single"/>
        </w:rPr>
        <w:t xml:space="preserve"> </w:t>
      </w:r>
      <w:r w:rsidRPr="002E0BCA">
        <w:rPr>
          <w:szCs w:val="24"/>
        </w:rPr>
        <w:t>то же, что и выше, но имеется сужение суставной щели (вторичный артроз)</w:t>
      </w:r>
    </w:p>
    <w:p w14:paraId="634EF9F6" w14:textId="77777777" w:rsidR="009E610C" w:rsidRPr="002E0BCA" w:rsidRDefault="009E610C" w:rsidP="009E610C">
      <w:pPr>
        <w:rPr>
          <w:szCs w:val="24"/>
        </w:rPr>
      </w:pPr>
      <w:r w:rsidRPr="002E0BCA">
        <w:rPr>
          <w:bCs/>
          <w:szCs w:val="24"/>
          <w:u w:val="single"/>
        </w:rPr>
        <w:t>Стадия 6:</w:t>
      </w:r>
      <w:r w:rsidRPr="002E0BCA">
        <w:rPr>
          <w:szCs w:val="24"/>
        </w:rPr>
        <w:t xml:space="preserve"> то же, что и выше, но имеется выраженная деструкция суставных поверхностей.</w:t>
      </w:r>
    </w:p>
    <w:p w14:paraId="67D835A5" w14:textId="77777777" w:rsidR="009E610C" w:rsidRDefault="009E610C" w:rsidP="009E610C">
      <w:pPr>
        <w:rPr>
          <w:b/>
          <w:szCs w:val="24"/>
        </w:rPr>
      </w:pPr>
    </w:p>
    <w:p w14:paraId="6C8EEEA1" w14:textId="77777777" w:rsidR="009E610C" w:rsidRPr="00314E71" w:rsidRDefault="009E610C" w:rsidP="009E610C">
      <w:pPr>
        <w:rPr>
          <w:bCs/>
          <w:i/>
          <w:iCs/>
          <w:szCs w:val="24"/>
          <w:u w:val="single"/>
        </w:rPr>
      </w:pPr>
      <w:r w:rsidRPr="00314E71">
        <w:rPr>
          <w:bCs/>
          <w:i/>
          <w:iCs/>
          <w:szCs w:val="24"/>
          <w:u w:val="single"/>
        </w:rPr>
        <w:t>Лечение</w:t>
      </w:r>
    </w:p>
    <w:p w14:paraId="426581B6" w14:textId="77777777" w:rsidR="009E610C" w:rsidRPr="00314E71" w:rsidRDefault="009E610C" w:rsidP="009E610C">
      <w:pPr>
        <w:rPr>
          <w:b/>
          <w:szCs w:val="24"/>
        </w:rPr>
      </w:pPr>
      <w:r w:rsidRPr="00314E71">
        <w:rPr>
          <w:b/>
          <w:szCs w:val="24"/>
        </w:rPr>
        <w:t>Консервативное лечение:</w:t>
      </w:r>
    </w:p>
    <w:p w14:paraId="4B2DFA42" w14:textId="77777777" w:rsidR="009E610C" w:rsidRPr="002E0BCA" w:rsidRDefault="009E610C" w:rsidP="009E610C">
      <w:pPr>
        <w:pStyle w:val="afe"/>
        <w:numPr>
          <w:ilvl w:val="0"/>
          <w:numId w:val="70"/>
        </w:numPr>
        <w:spacing w:after="160"/>
        <w:rPr>
          <w:szCs w:val="24"/>
        </w:rPr>
      </w:pPr>
      <w:r w:rsidRPr="002E0BCA">
        <w:rPr>
          <w:szCs w:val="24"/>
        </w:rPr>
        <w:t>Охранительный режим</w:t>
      </w:r>
    </w:p>
    <w:p w14:paraId="3DE69955" w14:textId="77777777" w:rsidR="009E610C" w:rsidRPr="002E0BCA" w:rsidRDefault="009E610C" w:rsidP="009E610C">
      <w:pPr>
        <w:pStyle w:val="afe"/>
        <w:numPr>
          <w:ilvl w:val="0"/>
          <w:numId w:val="70"/>
        </w:numPr>
        <w:spacing w:after="160"/>
        <w:rPr>
          <w:szCs w:val="24"/>
        </w:rPr>
      </w:pPr>
      <w:r w:rsidRPr="002E0BCA">
        <w:rPr>
          <w:szCs w:val="24"/>
        </w:rPr>
        <w:t>Нормализация костного метаболизма</w:t>
      </w:r>
    </w:p>
    <w:p w14:paraId="5295262C" w14:textId="77777777" w:rsidR="009E610C" w:rsidRPr="002E0BCA" w:rsidRDefault="009E610C" w:rsidP="009E610C">
      <w:pPr>
        <w:pStyle w:val="afe"/>
        <w:numPr>
          <w:ilvl w:val="0"/>
          <w:numId w:val="70"/>
        </w:numPr>
        <w:spacing w:after="160"/>
        <w:rPr>
          <w:szCs w:val="24"/>
        </w:rPr>
      </w:pPr>
      <w:r w:rsidRPr="002E0BCA">
        <w:rPr>
          <w:szCs w:val="24"/>
        </w:rPr>
        <w:t xml:space="preserve">Обезболивание </w:t>
      </w:r>
    </w:p>
    <w:p w14:paraId="3EE64D16" w14:textId="77777777" w:rsidR="009E610C" w:rsidRPr="002E0BCA" w:rsidRDefault="009E610C" w:rsidP="009E610C">
      <w:pPr>
        <w:rPr>
          <w:szCs w:val="24"/>
        </w:rPr>
      </w:pPr>
      <w:r w:rsidRPr="002E0BCA">
        <w:rPr>
          <w:szCs w:val="24"/>
        </w:rPr>
        <w:t>Таблица 1. Базисная терапия препаратами кальция и альфакальцидола при остеонекрозе.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9E610C" w:rsidRPr="002E0BCA" w14:paraId="4A228F31" w14:textId="77777777" w:rsidTr="002D3EBF">
        <w:tc>
          <w:tcPr>
            <w:tcW w:w="3115" w:type="dxa"/>
          </w:tcPr>
          <w:p w14:paraId="24281C6F" w14:textId="77777777" w:rsidR="009E610C" w:rsidRPr="002E0BCA" w:rsidRDefault="009E610C" w:rsidP="002D3EBF">
            <w:pPr>
              <w:pStyle w:val="Default"/>
              <w:jc w:val="center"/>
            </w:pPr>
            <w:r w:rsidRPr="002E0BCA">
              <w:t>Исходный показатель кальция крови</w:t>
            </w:r>
          </w:p>
        </w:tc>
        <w:tc>
          <w:tcPr>
            <w:tcW w:w="3115" w:type="dxa"/>
          </w:tcPr>
          <w:p w14:paraId="31D7A731" w14:textId="77777777" w:rsidR="009E610C" w:rsidRPr="002E0BCA" w:rsidRDefault="009E610C" w:rsidP="002D3EBF">
            <w:pPr>
              <w:pStyle w:val="Default"/>
              <w:jc w:val="center"/>
            </w:pPr>
            <w:r w:rsidRPr="002E0BCA">
              <w:t>Доза альфакальцидола</w:t>
            </w:r>
          </w:p>
          <w:p w14:paraId="3935C69D" w14:textId="77777777" w:rsidR="009E610C" w:rsidRPr="002E0BCA" w:rsidRDefault="009E610C" w:rsidP="002D3EBF">
            <w:pPr>
              <w:jc w:val="center"/>
              <w:rPr>
                <w:szCs w:val="24"/>
              </w:rPr>
            </w:pPr>
          </w:p>
        </w:tc>
        <w:tc>
          <w:tcPr>
            <w:tcW w:w="3115" w:type="dxa"/>
          </w:tcPr>
          <w:p w14:paraId="5F113745" w14:textId="77777777" w:rsidR="009E610C" w:rsidRPr="002E0BCA" w:rsidRDefault="009E610C" w:rsidP="002D3EBF">
            <w:pPr>
              <w:pStyle w:val="Default"/>
              <w:jc w:val="center"/>
            </w:pPr>
            <w:r w:rsidRPr="002E0BCA">
              <w:t>Доза препаратов кальция</w:t>
            </w:r>
          </w:p>
          <w:p w14:paraId="328241C9" w14:textId="77777777" w:rsidR="009E610C" w:rsidRPr="002E0BCA" w:rsidRDefault="009E610C" w:rsidP="002D3EBF">
            <w:pPr>
              <w:jc w:val="center"/>
              <w:rPr>
                <w:szCs w:val="24"/>
              </w:rPr>
            </w:pPr>
          </w:p>
        </w:tc>
      </w:tr>
      <w:tr w:rsidR="009E610C" w:rsidRPr="002E0BCA" w14:paraId="091F123B" w14:textId="77777777" w:rsidTr="002D3EBF">
        <w:tc>
          <w:tcPr>
            <w:tcW w:w="3115" w:type="dxa"/>
          </w:tcPr>
          <w:p w14:paraId="2ADC161B" w14:textId="77777777" w:rsidR="009E610C" w:rsidRPr="002E0BCA" w:rsidRDefault="009E610C" w:rsidP="002D3EBF">
            <w:pPr>
              <w:pStyle w:val="Default"/>
              <w:jc w:val="both"/>
            </w:pPr>
            <w:r w:rsidRPr="002E0BCA">
              <w:t xml:space="preserve">2,35 ммоль/л и выше </w:t>
            </w:r>
          </w:p>
          <w:p w14:paraId="5848D257" w14:textId="77777777" w:rsidR="009E610C" w:rsidRPr="002E0BCA" w:rsidRDefault="009E610C" w:rsidP="002D3EBF">
            <w:pPr>
              <w:rPr>
                <w:szCs w:val="24"/>
              </w:rPr>
            </w:pPr>
          </w:p>
        </w:tc>
        <w:tc>
          <w:tcPr>
            <w:tcW w:w="3115" w:type="dxa"/>
          </w:tcPr>
          <w:p w14:paraId="7CBA26D9" w14:textId="77777777" w:rsidR="009E610C" w:rsidRPr="002E0BCA" w:rsidRDefault="009E610C" w:rsidP="002D3EBF">
            <w:pPr>
              <w:pStyle w:val="Default"/>
              <w:jc w:val="both"/>
            </w:pPr>
            <w:r w:rsidRPr="002E0BCA">
              <w:t xml:space="preserve">0,5–0,75 мкг ежедневно в течение 3 мес. с контролем уровня кальция каждые 3 месяца в течение 1 года для коррекции дозы препарата </w:t>
            </w:r>
          </w:p>
          <w:p w14:paraId="0C714B78" w14:textId="77777777" w:rsidR="009E610C" w:rsidRPr="002E0BCA" w:rsidRDefault="009E610C" w:rsidP="002D3EBF">
            <w:pPr>
              <w:rPr>
                <w:szCs w:val="24"/>
              </w:rPr>
            </w:pPr>
          </w:p>
        </w:tc>
        <w:tc>
          <w:tcPr>
            <w:tcW w:w="3115" w:type="dxa"/>
          </w:tcPr>
          <w:p w14:paraId="7168FF27" w14:textId="77777777" w:rsidR="009E610C" w:rsidRPr="002E0BCA" w:rsidRDefault="009E610C" w:rsidP="002D3EBF">
            <w:pPr>
              <w:pStyle w:val="Default"/>
              <w:jc w:val="both"/>
            </w:pPr>
            <w:r w:rsidRPr="002E0BCA">
              <w:t xml:space="preserve">С 1-го дня лечения оссеин- гидроксиапатитный комплекс по 1 таблетки 2 раза в день или препарат кальция 500–1000 мг в сутки в течение всего периода лечения </w:t>
            </w:r>
          </w:p>
          <w:p w14:paraId="64115CB9" w14:textId="77777777" w:rsidR="009E610C" w:rsidRPr="002E0BCA" w:rsidRDefault="009E610C" w:rsidP="002D3EBF">
            <w:pPr>
              <w:rPr>
                <w:szCs w:val="24"/>
              </w:rPr>
            </w:pPr>
          </w:p>
        </w:tc>
      </w:tr>
      <w:tr w:rsidR="009E610C" w:rsidRPr="002E0BCA" w14:paraId="5EC5CB29" w14:textId="77777777" w:rsidTr="002D3EBF">
        <w:tc>
          <w:tcPr>
            <w:tcW w:w="3115" w:type="dxa"/>
          </w:tcPr>
          <w:p w14:paraId="080B1FED" w14:textId="77777777" w:rsidR="009E610C" w:rsidRPr="002E0BCA" w:rsidRDefault="009E610C" w:rsidP="002D3EBF">
            <w:pPr>
              <w:pStyle w:val="Default"/>
            </w:pPr>
            <w:r w:rsidRPr="002E0BCA">
              <w:t xml:space="preserve">2,0 –2,30 ммоль/л </w:t>
            </w:r>
          </w:p>
        </w:tc>
        <w:tc>
          <w:tcPr>
            <w:tcW w:w="3115" w:type="dxa"/>
          </w:tcPr>
          <w:p w14:paraId="2DD48D4F" w14:textId="77777777" w:rsidR="009E610C" w:rsidRPr="002E0BCA" w:rsidRDefault="009E610C" w:rsidP="002D3EBF">
            <w:pPr>
              <w:pStyle w:val="Default"/>
            </w:pPr>
            <w:r w:rsidRPr="002E0BCA">
              <w:t xml:space="preserve">0,75–1,0 мкг ежедневно в течение 3 мес. с контролем кальция крови 1 раз в 3 мес. в течение всего периода лечения </w:t>
            </w:r>
          </w:p>
        </w:tc>
        <w:tc>
          <w:tcPr>
            <w:tcW w:w="3115" w:type="dxa"/>
          </w:tcPr>
          <w:p w14:paraId="4E3DCABE" w14:textId="77777777" w:rsidR="009E610C" w:rsidRPr="002E0BCA" w:rsidRDefault="009E610C" w:rsidP="002D3EBF">
            <w:pPr>
              <w:pStyle w:val="Default"/>
            </w:pPr>
            <w:r w:rsidRPr="002E0BCA">
              <w:t xml:space="preserve">С 1-го дня лечения оссеин- гидроксиапатитный комплекс по 2 таблетки 2 раза в день первые 3 мес., далее по 1 таблетке 2 раза в день или препарат кальция 500–1000 мг в течение всего периода лечения </w:t>
            </w:r>
          </w:p>
          <w:p w14:paraId="3397B9F5" w14:textId="77777777" w:rsidR="009E610C" w:rsidRPr="002E0BCA" w:rsidRDefault="009E610C" w:rsidP="002D3EBF">
            <w:pPr>
              <w:pStyle w:val="Default"/>
            </w:pPr>
          </w:p>
        </w:tc>
      </w:tr>
    </w:tbl>
    <w:p w14:paraId="650FD7F5" w14:textId="77777777" w:rsidR="009E610C" w:rsidRPr="002E0BCA" w:rsidRDefault="009E610C" w:rsidP="009E610C">
      <w:pPr>
        <w:rPr>
          <w:szCs w:val="24"/>
        </w:rPr>
      </w:pPr>
    </w:p>
    <w:p w14:paraId="2BDCB9B5" w14:textId="77777777" w:rsidR="009E610C" w:rsidRPr="00314E71" w:rsidRDefault="009E610C" w:rsidP="009E610C">
      <w:pPr>
        <w:rPr>
          <w:b/>
          <w:szCs w:val="24"/>
        </w:rPr>
      </w:pPr>
      <w:r>
        <w:rPr>
          <w:b/>
          <w:szCs w:val="24"/>
        </w:rPr>
        <w:t>Хирургическое</w:t>
      </w:r>
      <w:r w:rsidRPr="00314E71">
        <w:rPr>
          <w:b/>
          <w:szCs w:val="24"/>
        </w:rPr>
        <w:t xml:space="preserve"> лечение:</w:t>
      </w:r>
    </w:p>
    <w:p w14:paraId="4DCD1737" w14:textId="77777777" w:rsidR="009E610C" w:rsidRDefault="009E610C" w:rsidP="009E610C">
      <w:pPr>
        <w:rPr>
          <w:szCs w:val="24"/>
        </w:rPr>
      </w:pPr>
      <w:r w:rsidRPr="002E0BCA">
        <w:rPr>
          <w:szCs w:val="24"/>
        </w:rPr>
        <w:t>Начиная со стадии 3</w:t>
      </w:r>
      <w:r w:rsidRPr="002E0BCA">
        <w:rPr>
          <w:szCs w:val="24"/>
          <w:lang w:val="en-US"/>
        </w:rPr>
        <w:t>B</w:t>
      </w:r>
      <w:r w:rsidRPr="002E0BCA">
        <w:rPr>
          <w:szCs w:val="24"/>
        </w:rPr>
        <w:t xml:space="preserve"> консервативное лечение малоэффективно. Этим пациентам показано хирургическое лечение в объёме тотального эндопротезирования тазобедренного сустава. Иные варианты оперативного лечения, как ресурфейсинг головки бедра, остеоперфорация (туннелизация) и пластика васкуляризованными трансплантатами у гематологических пациентов увеличивают риски послеоперационных осложнений и не могут быть рекомендованы. Оперативное лечение выполняется в плановом порядке после достижения стойкой ремиссии гематологического заболевания. </w:t>
      </w:r>
    </w:p>
    <w:p w14:paraId="5000773D" w14:textId="267745A1" w:rsidR="009E610C" w:rsidRPr="00BE507B" w:rsidRDefault="009E610C" w:rsidP="009E610C">
      <w:pPr>
        <w:rPr>
          <w:szCs w:val="24"/>
        </w:rPr>
      </w:pPr>
      <w:r>
        <w:rPr>
          <w:szCs w:val="24"/>
        </w:rPr>
        <w:t>В</w:t>
      </w:r>
      <w:r w:rsidRPr="00BE507B">
        <w:rPr>
          <w:szCs w:val="24"/>
        </w:rPr>
        <w:t xml:space="preserve"> послеоперационном периоде в течение года</w:t>
      </w:r>
      <w:r>
        <w:rPr>
          <w:szCs w:val="24"/>
        </w:rPr>
        <w:t xml:space="preserve"> пациентам с остеонекрозом должна проводиться</w:t>
      </w:r>
      <w:r w:rsidRPr="00BE507B">
        <w:rPr>
          <w:szCs w:val="24"/>
        </w:rPr>
        <w:t xml:space="preserve"> фармакотерапи</w:t>
      </w:r>
      <w:r>
        <w:rPr>
          <w:szCs w:val="24"/>
        </w:rPr>
        <w:t>я</w:t>
      </w:r>
      <w:r w:rsidRPr="00BE507B">
        <w:rPr>
          <w:szCs w:val="24"/>
        </w:rPr>
        <w:t xml:space="preserve"> остеопороза, направленн</w:t>
      </w:r>
      <w:r>
        <w:rPr>
          <w:szCs w:val="24"/>
        </w:rPr>
        <w:t>ая</w:t>
      </w:r>
      <w:r w:rsidRPr="00BE507B">
        <w:rPr>
          <w:szCs w:val="24"/>
        </w:rPr>
        <w:t xml:space="preserve"> на нормализацию нарушенного метаболизма костной ткани.</w:t>
      </w:r>
    </w:p>
    <w:p w14:paraId="3CEB4C55" w14:textId="77777777" w:rsidR="009E610C" w:rsidRPr="002E0BCA" w:rsidRDefault="009E610C" w:rsidP="009E610C">
      <w:pPr>
        <w:pStyle w:val="Literature"/>
        <w:ind w:left="0" w:firstLine="0"/>
        <w:rPr>
          <w:szCs w:val="24"/>
        </w:rPr>
      </w:pPr>
    </w:p>
    <w:p w14:paraId="36CBD342" w14:textId="5E94891E" w:rsidR="00B61B7C" w:rsidRDefault="00621E4D" w:rsidP="00B61B7C">
      <w:pPr>
        <w:pStyle w:val="2"/>
      </w:pPr>
      <w:bookmarkStart w:id="75" w:name="_Toc65586413"/>
      <w:r w:rsidRPr="009E610C">
        <w:t>7.1</w:t>
      </w:r>
      <w:r>
        <w:t xml:space="preserve">1. </w:t>
      </w:r>
      <w:bookmarkStart w:id="76" w:name="_Toc57985408"/>
      <w:bookmarkStart w:id="77" w:name="_Toc64295959"/>
      <w:r w:rsidR="00B61B7C" w:rsidRPr="00761653">
        <w:t xml:space="preserve">Диагностика и лечение </w:t>
      </w:r>
      <w:r w:rsidR="00B61B7C">
        <w:t xml:space="preserve">бактериальных </w:t>
      </w:r>
      <w:r w:rsidR="00B61B7C" w:rsidRPr="00761653">
        <w:t>инфекционных осложнений</w:t>
      </w:r>
      <w:bookmarkEnd w:id="75"/>
      <w:bookmarkEnd w:id="76"/>
      <w:bookmarkEnd w:id="77"/>
    </w:p>
    <w:p w14:paraId="44744D83" w14:textId="784BFE1C" w:rsidR="00B61B7C" w:rsidRDefault="00B61B7C" w:rsidP="00B61B7C">
      <w:pPr>
        <w:contextualSpacing/>
      </w:pPr>
      <w:r w:rsidRPr="00761653">
        <w:t xml:space="preserve">Инфекции являются ведущими осложнениями при лечении заболеваний системы крови. Наиболее высокая частота определяется у </w:t>
      </w:r>
      <w:r>
        <w:t>пациентов с</w:t>
      </w:r>
      <w:r w:rsidRPr="00761653">
        <w:t xml:space="preserve"> острыми лейкозами и у реципиентов аллогенного трансплантата стволовых гемопоэтических клеток (ТГСК), варьирует от 30 до 90%. </w:t>
      </w:r>
      <w:r>
        <w:t>Так, у</w:t>
      </w:r>
      <w:r w:rsidRPr="00761653">
        <w:t xml:space="preserve"> </w:t>
      </w:r>
      <w:r>
        <w:t>пациентов с</w:t>
      </w:r>
      <w:r w:rsidRPr="00761653">
        <w:t xml:space="preserve"> острыми миелоидными лейкозами инфекционные осложнения составляют 80-90% на этап</w:t>
      </w:r>
      <w:r>
        <w:t>ах</w:t>
      </w:r>
      <w:r w:rsidRPr="00761653">
        <w:t xml:space="preserve"> индукции</w:t>
      </w:r>
      <w:r>
        <w:t xml:space="preserve"> и</w:t>
      </w:r>
      <w:r w:rsidRPr="00761653">
        <w:t xml:space="preserve"> консолидации</w:t>
      </w:r>
      <w:r>
        <w:t xml:space="preserve"> ремиссии</w:t>
      </w:r>
      <w:r w:rsidRPr="00761653">
        <w:t xml:space="preserve">; у </w:t>
      </w:r>
      <w:r>
        <w:t>пациентов</w:t>
      </w:r>
      <w:r w:rsidRPr="00761653">
        <w:t xml:space="preserve">острыми лимфоидными лейкозами </w:t>
      </w:r>
      <w:r>
        <w:t xml:space="preserve">инфекции развиваются </w:t>
      </w:r>
      <w:r w:rsidRPr="00761653">
        <w:t xml:space="preserve">преимущественно </w:t>
      </w:r>
      <w:r>
        <w:t>на этапе</w:t>
      </w:r>
      <w:r w:rsidRPr="00761653">
        <w:t xml:space="preserve"> индукции </w:t>
      </w:r>
      <w:r>
        <w:t xml:space="preserve">ремиссии </w:t>
      </w:r>
      <w:r w:rsidRPr="00761653">
        <w:t xml:space="preserve">(55%), реже – в </w:t>
      </w:r>
      <w:r>
        <w:t xml:space="preserve">период </w:t>
      </w:r>
      <w:r w:rsidRPr="00761653">
        <w:t xml:space="preserve">консолидации </w:t>
      </w:r>
      <w:r>
        <w:t xml:space="preserve">ремиссии </w:t>
      </w:r>
      <w:r w:rsidRPr="00761653">
        <w:t xml:space="preserve">(10%), у реципиентов аллогенных ТГСК </w:t>
      </w:r>
      <w:r>
        <w:t xml:space="preserve">– </w:t>
      </w:r>
      <w:r w:rsidRPr="00761653">
        <w:t>в период гранулоцитопении на этапе приживления гемопоэтических клеток (40-70%) и при развитии реакции “трансплантат против хозяина” (10-70%)</w:t>
      </w:r>
      <w:r>
        <w:t xml:space="preserve"> </w:t>
      </w:r>
      <w:r>
        <w:fldChar w:fldCharType="begin" w:fldLock="1"/>
      </w:r>
      <w:r w:rsidR="00B0402F">
        <w:instrText>ADDIN CSL_CITATION {"citationItems":[{"id":"ITEM-1","itemData":{"author":[{"dropping-particle":"","family":"Охмат","given":"В.А.","non-dropping-particle":"","parse-names":false,"suffix":""},{"dropping-particle":"","family":"Клясова","given":"Г.А.","non-dropping-particle":"","parse-names":false,"suffix":""},{"dropping-particle":"","family":"Паровичникова","given":"Е.Н.","non-dropping-particle":"","parse-names":false,"suffix":""},{"dropping-particle":"","family":"Троицкая","given":"В.В.","non-dropping-particle":"","parse-names":false,"suffix":""},{"dropping-particle":"","family":"Грибанова","given":"Е.О.","non-dropping-particle":"","parse-names":false,"suffix":""},{"dropping-particle":"","family":"Мальчикова","given":"А.О.","non-dropping-particle":"","parse-names":false,"suffix":""}],"container-title":"Гематология и трансфузиология","id":"ITEM-1","issue":"1","issued":{"date-parts":[["2017"]]},"page":"9-15","title":"Спектр и этиология инфекционных осложнений у больных острыми миелоидными лейкозами на этапах индукции и консолидации ремиссии","type":"article-journal","volume":"62"},"uris":["http://www.mendeley.com/documents/?uuid=670c7c5c-e2e4-48d9-8249-1d0418a53840"]},{"id":"ITEM-2","itemData":{"author":[{"dropping-particle":"","family":"Охмат","given":"В.А.","non-dropping-particle":"","parse-names":false,"suffix":""},{"dropping-particle":"","family":"Клясова","given":"Г.А.","non-dropping-particle":"","parse-names":false,"suffix":""},{"dropping-particle":"","family":"Паровичникова","given":"Е.Н.","non-dropping-particle":"","parse-names":false,"suffix":""},{"dropping-particle":"","family":"Троицкая","given":"В.В.","non-dropping-particle":"","parse-names":false,"suffix":""},{"dropping-particle":"","family":"Грибанова","given":"Е.О.","non-dropping-particle":"","parse-names":false,"suffix":""},{"dropping-particle":"","family":"Мальчикова","given":"А.О.","non-dropping-particle":"","parse-names":false,"suffix":""},{"dropping-particle":"","family":"Коробова","given":"А.Г.","non-dropping-particle":"","parse-names":false,"suffix":""},{"dropping-particle":"","family":"Фролова","given":"И.Н.","non-dropping-particle":"","parse-names":false,"suffix":""},{"dropping-particle":"","family":"Савченко","given":"В.Г.","non-dropping-particle":"","parse-names":false,"suffix":""}],"container-title":"Онкогематология","id":"ITEM-2","issue":"3","issued":{"date-parts":[["2017"]]},"page":"31-40","title":"Инфекционные осложнения у взрослых больных острыми лимфобластными лейкозами на разных этапах химиотерапии по протоколу ОЛЛ-2009.","type":"article-journal","volume":"12"},"uris":["http://www.mendeley.com/documents/?uuid=810418fa-d337-48c2-843d-da3d3f2ec2c8"]}],"mendeley":{"formattedCitation":"[97,98]","plainTextFormattedCitation":"[97,98]","previouslyFormattedCitation":"[97,98]"},"properties":{"noteIndex":0},"schema":"https://github.com/citation-style-language/schema/raw/master/csl-citation.json"}</w:instrText>
      </w:r>
      <w:r>
        <w:fldChar w:fldCharType="separate"/>
      </w:r>
      <w:r w:rsidR="00D43181" w:rsidRPr="00D43181">
        <w:rPr>
          <w:noProof/>
        </w:rPr>
        <w:t>[97,98]</w:t>
      </w:r>
      <w:r>
        <w:fldChar w:fldCharType="end"/>
      </w:r>
      <w:r w:rsidRPr="00761653">
        <w:t xml:space="preserve">. У других категорий </w:t>
      </w:r>
      <w:r>
        <w:t>пациентов</w:t>
      </w:r>
      <w:r w:rsidRPr="00761653">
        <w:t xml:space="preserve"> </w:t>
      </w:r>
      <w:r>
        <w:t xml:space="preserve">с лейкозами и лимфомами </w:t>
      </w:r>
      <w:r w:rsidRPr="00761653">
        <w:t xml:space="preserve">частота инфекционных осложнений варьирует от 10 до 30%, </w:t>
      </w:r>
      <w:r>
        <w:t xml:space="preserve">она </w:t>
      </w:r>
      <w:r w:rsidRPr="00761653">
        <w:t xml:space="preserve">выше в </w:t>
      </w:r>
      <w:r>
        <w:t xml:space="preserve">период </w:t>
      </w:r>
      <w:r w:rsidRPr="00761653">
        <w:t>индукции</w:t>
      </w:r>
      <w:r>
        <w:t xml:space="preserve"> ремиссии</w:t>
      </w:r>
      <w:r w:rsidRPr="00761653">
        <w:t>, при резистентном варианте опухоли, при высокодозной химиотерапии</w:t>
      </w:r>
      <w:r>
        <w:t xml:space="preserve">, </w:t>
      </w:r>
      <w:r w:rsidRPr="0076198F">
        <w:t>при сопуствующей гипогаммаглобулинемии, в период вынужденной гиподинамии и постоянного постельного режима</w:t>
      </w:r>
      <w:r w:rsidRPr="00761653">
        <w:t xml:space="preserve">.  </w:t>
      </w:r>
    </w:p>
    <w:p w14:paraId="3CCE7FD2" w14:textId="77777777" w:rsidR="00B61B7C" w:rsidRPr="00761653" w:rsidRDefault="00B61B7C" w:rsidP="00B61B7C">
      <w:pPr>
        <w:ind w:firstLine="708"/>
      </w:pPr>
      <w:r w:rsidRPr="00761653">
        <w:t xml:space="preserve">Инфекционные осложнения у </w:t>
      </w:r>
      <w:r>
        <w:t>пациентов</w:t>
      </w:r>
      <w:r w:rsidRPr="00761653">
        <w:t xml:space="preserve"> с </w:t>
      </w:r>
      <w:r>
        <w:t>лимфомами</w:t>
      </w:r>
      <w:r w:rsidRPr="00761653">
        <w:t xml:space="preserve"> характеризуются разнообразием как по этиологии, так и по локализации инфекционного процесса. </w:t>
      </w:r>
      <w:r>
        <w:t xml:space="preserve">Ниже </w:t>
      </w:r>
      <w:r w:rsidRPr="00761653">
        <w:t xml:space="preserve">представлен комплекс лабораторных исследований для диагностики инфекционных осложнений, а также подходы к их терапии, которые отличаются </w:t>
      </w:r>
      <w:r>
        <w:t>в зависимости от наличия/отсутствия</w:t>
      </w:r>
      <w:r w:rsidRPr="00761653">
        <w:t xml:space="preserve"> нейтропении.</w:t>
      </w:r>
    </w:p>
    <w:p w14:paraId="590A5DF9" w14:textId="77777777" w:rsidR="00B61B7C" w:rsidRDefault="00B61B7C" w:rsidP="00B61B7C">
      <w:pPr>
        <w:widowControl w:val="0"/>
        <w:autoSpaceDE w:val="0"/>
        <w:autoSpaceDN w:val="0"/>
        <w:adjustRightInd w:val="0"/>
        <w:ind w:right="49"/>
        <w:contextualSpacing/>
      </w:pPr>
      <w:r w:rsidRPr="00761653">
        <w:t xml:space="preserve">Основным фактором, определяющим развитие инфекционных осложнений у </w:t>
      </w:r>
      <w:r>
        <w:t xml:space="preserve">гематологических пациентов, </w:t>
      </w:r>
      <w:r w:rsidRPr="00761653">
        <w:t>является нейтропения (нейтрофил</w:t>
      </w:r>
      <w:r>
        <w:t>ы</w:t>
      </w:r>
      <w:r w:rsidRPr="00761653">
        <w:t xml:space="preserve"> &lt;</w:t>
      </w:r>
      <w:r>
        <w:t xml:space="preserve"> </w:t>
      </w:r>
      <w:r w:rsidRPr="00761653">
        <w:t>0,5</w:t>
      </w:r>
      <w:r>
        <w:t> </w:t>
      </w:r>
      <w:r w:rsidRPr="00761653">
        <w:t>х</w:t>
      </w:r>
      <w:r>
        <w:t> </w:t>
      </w:r>
      <w:r w:rsidRPr="00761653">
        <w:t>10</w:t>
      </w:r>
      <w:r w:rsidRPr="00761653">
        <w:rPr>
          <w:vertAlign w:val="superscript"/>
        </w:rPr>
        <w:t>9</w:t>
      </w:r>
      <w:r w:rsidRPr="00761653">
        <w:t>/л) или лейкопения (лейкоцит</w:t>
      </w:r>
      <w:r>
        <w:t>ы</w:t>
      </w:r>
      <w:r w:rsidRPr="00761653">
        <w:t xml:space="preserve"> ≤ 1</w:t>
      </w:r>
      <w:r>
        <w:t> </w:t>
      </w:r>
      <w:r w:rsidRPr="00761653">
        <w:t>000</w:t>
      </w:r>
      <w:r>
        <w:t> </w:t>
      </w:r>
      <w:r w:rsidRPr="00761653">
        <w:t>х</w:t>
      </w:r>
      <w:r>
        <w:t> </w:t>
      </w:r>
      <w:r w:rsidRPr="00761653">
        <w:t>10</w:t>
      </w:r>
      <w:r w:rsidRPr="00761653">
        <w:rPr>
          <w:vertAlign w:val="superscript"/>
        </w:rPr>
        <w:t>9</w:t>
      </w:r>
      <w:r w:rsidRPr="00761653">
        <w:t>/л)</w:t>
      </w:r>
      <w:r>
        <w:t xml:space="preserve">, а также </w:t>
      </w:r>
      <w:r w:rsidRPr="00761653">
        <w:t>длительность</w:t>
      </w:r>
      <w:r>
        <w:t xml:space="preserve"> нейтропении –</w:t>
      </w:r>
      <w:r w:rsidRPr="00761653">
        <w:t xml:space="preserve"> </w:t>
      </w:r>
      <w:r>
        <w:t>ч</w:t>
      </w:r>
      <w:r w:rsidRPr="00761653">
        <w:t xml:space="preserve">астота инфекций существенно возрастает при длительности нейтропении </w:t>
      </w:r>
      <w:r>
        <w:t>более</w:t>
      </w:r>
      <w:r w:rsidRPr="00761653">
        <w:t xml:space="preserve"> 10 дней. Риск развития инфекций возрастает при нарушении фагоцитарной функции</w:t>
      </w:r>
      <w:r>
        <w:t xml:space="preserve"> нейтрофилов</w:t>
      </w:r>
      <w:r w:rsidRPr="00761653">
        <w:t>, при дефектах клеточного и гуморального иммунитета, повреждении слизистых оболочек желудочно-кишечного тракта</w:t>
      </w:r>
      <w:r>
        <w:t xml:space="preserve"> (</w:t>
      </w:r>
      <w:r w:rsidRPr="00761653">
        <w:t>особенно мукозитах III-IV степени</w:t>
      </w:r>
      <w:r>
        <w:t>)</w:t>
      </w:r>
      <w:r w:rsidRPr="00761653">
        <w:t>, наличии центрального венозного катетера (ЦВК). Источником развити</w:t>
      </w:r>
      <w:r>
        <w:t>я</w:t>
      </w:r>
      <w:r w:rsidRPr="00761653">
        <w:t xml:space="preserve"> инфекции, как правило, является желудочно-кишечный тракт, когда активно происходит транслокация микрооргани</w:t>
      </w:r>
      <w:r>
        <w:t>з</w:t>
      </w:r>
      <w:r w:rsidRPr="00761653">
        <w:t xml:space="preserve">мов со слизистой оболочки, поврежденной в результате химиотерапии. Другие </w:t>
      </w:r>
      <w:r>
        <w:t xml:space="preserve">основные </w:t>
      </w:r>
      <w:r w:rsidRPr="00761653">
        <w:t xml:space="preserve">входные ворота инфекции при нейтропении – ЦВК. </w:t>
      </w:r>
    </w:p>
    <w:p w14:paraId="7DC40C9E" w14:textId="77777777" w:rsidR="00B61B7C" w:rsidRDefault="00B61B7C" w:rsidP="00B61B7C">
      <w:pPr>
        <w:widowControl w:val="0"/>
        <w:autoSpaceDE w:val="0"/>
        <w:autoSpaceDN w:val="0"/>
        <w:adjustRightInd w:val="0"/>
        <w:ind w:right="49"/>
        <w:contextualSpacing/>
        <w:rPr>
          <w:b/>
        </w:rPr>
      </w:pPr>
    </w:p>
    <w:p w14:paraId="65251091" w14:textId="77777777" w:rsidR="00B61B7C" w:rsidRPr="005A451C" w:rsidRDefault="00B61B7C" w:rsidP="00B61B7C">
      <w:pPr>
        <w:widowControl w:val="0"/>
        <w:autoSpaceDE w:val="0"/>
        <w:autoSpaceDN w:val="0"/>
        <w:adjustRightInd w:val="0"/>
        <w:ind w:right="49"/>
        <w:contextualSpacing/>
        <w:rPr>
          <w:bCs/>
          <w:i/>
          <w:iCs/>
          <w:u w:val="single"/>
        </w:rPr>
      </w:pPr>
      <w:r w:rsidRPr="005A451C">
        <w:rPr>
          <w:bCs/>
          <w:i/>
          <w:iCs/>
          <w:u w:val="single"/>
        </w:rPr>
        <w:t>Этиология инфекционных осложнений</w:t>
      </w:r>
    </w:p>
    <w:p w14:paraId="59F97E97" w14:textId="10A20EE3" w:rsidR="00B61B7C" w:rsidRPr="00761653" w:rsidRDefault="00B61B7C" w:rsidP="00B61B7C">
      <w:pPr>
        <w:widowControl w:val="0"/>
        <w:autoSpaceDE w:val="0"/>
        <w:autoSpaceDN w:val="0"/>
        <w:adjustRightInd w:val="0"/>
        <w:ind w:right="49"/>
        <w:contextualSpacing/>
      </w:pPr>
      <w:r w:rsidRPr="00761653">
        <w:t xml:space="preserve">Этиологическая структура возбудителей у </w:t>
      </w:r>
      <w:r>
        <w:t>гематологических пациентов, в том числе, пациентов с лимфомами, разнообразна</w:t>
      </w:r>
      <w:r w:rsidRPr="00761653">
        <w:t xml:space="preserve"> и включает бактерии, грибы (дрожжевые и плесневые), герпесвирусы. В первые 7-10 дней инфекционный процесс, как правило, бывает обусловлен бактериями, а по мере удлинения нейтропении возрастает риск возникновения инвазивного аспергиллеза</w:t>
      </w:r>
      <w:r>
        <w:t xml:space="preserve"> </w:t>
      </w:r>
      <w:r>
        <w:fldChar w:fldCharType="begin" w:fldLock="1"/>
      </w:r>
      <w:r w:rsidR="00B0402F">
        <w:instrText>ADDIN CSL_CITATION {"citationItems":[{"id":"ITEM-1","itemData":{"author":[{"dropping-particle":"","family":"Охмат","given":"В.А.","non-dropping-particle":"","parse-names":false,"suffix":""},{"dropping-particle":"","family":"Клясова","given":"Г.А.","non-dropping-particle":"","parse-names":false,"suffix":""},{"dropping-particle":"","family":"Паровичникова","given":"Е.Н.","non-dropping-particle":"","parse-names":false,"suffix":""},{"dropping-particle":"","family":"Троицкая","given":"В.В.","non-dropping-particle":"","parse-names":false,"suffix":""},{"dropping-particle":"","family":"Грибанова","given":"Е.О.","non-dropping-particle":"","parse-names":false,"suffix":""},{"dropping-particle":"","family":"Мальчикова","given":"А.О.","non-dropping-particle":"","parse-names":false,"suffix":""}],"container-title":"Гематология и трансфузиология","id":"ITEM-1","issue":"1","issued":{"date-parts":[["2017"]]},"page":"9-15","title":"Спектр и этиология инфекционных осложнений у больных острыми миелоидными лейкозами на этапах индукции и консолидации ремиссии","type":"article-journal","volume":"62"},"uris":["http://www.mendeley.com/documents/?uuid=670c7c5c-e2e4-48d9-8249-1d0418a53840"]}],"mendeley":{"formattedCitation":"[97]","plainTextFormattedCitation":"[97]","previouslyFormattedCitation":"[97]"},"properties":{"noteIndex":0},"schema":"https://github.com/citation-style-language/schema/raw/master/csl-citation.json"}</w:instrText>
      </w:r>
      <w:r>
        <w:fldChar w:fldCharType="separate"/>
      </w:r>
      <w:r w:rsidR="00D43181" w:rsidRPr="00D43181">
        <w:rPr>
          <w:noProof/>
        </w:rPr>
        <w:t>[97]</w:t>
      </w:r>
      <w:r>
        <w:fldChar w:fldCharType="end"/>
      </w:r>
      <w:r w:rsidRPr="00761653">
        <w:t>. В этиологии инфекций кровотока на долю грамотрицательных бактерий приходится 49,7%, грамположительных бактерий - 42,7%, дрожжеподобных грибов – 7,4%</w:t>
      </w:r>
      <w:r>
        <w:t xml:space="preserve"> </w:t>
      </w:r>
      <w:r>
        <w:fldChar w:fldCharType="begin" w:fldLock="1"/>
      </w:r>
      <w:r w:rsidR="00B0402F">
        <w:instrText>ADDIN CSL_CITATION {"citationItems":[{"id":"ITEM-1","itemData":{"author":[{"dropping-particle":"","family":"Клясова","given":"Г.А.","non-dropping-particle":"","parse-names":false,"suffix":""},{"dropping-particle":"","family":"Сперанская","given":"Л.Л.","non-dropping-particle":"","parse-names":false,"suffix":""},{"dropping-particle":"","family":"Миронова","given":"А.В.","non-dropping-particle":"","parse-names":false,"suffix":""},{"dropping-particle":"","family":"Масчан","given":"М.А.","non-dropping-particle":"","parse-names":false,"suffix":""},{"dropping-particle":"","family":"Байдильдина","given":"Д.Д.","non-dropping-particle":"","parse-names":false,"suffix":""},{"dropping-particle":"","family":"Верещагина","given":"С.А.","non-dropping-particle":"","parse-names":false,"suffix":""}],"container-title":"Гематология и трансфузиология","id":"ITEM-1","issue":"1","issued":{"date-parts":[["2007"]]},"page":"11-18","title":"Возбудители сепсиса у иммунокомпрометированных больных: структура и проблемы антибиотикорезистентности (результаты многоцентрового исследования)","type":"article-journal","volume":"52"},"uris":["http://www.mendeley.com/documents/?uuid=a67a3b5b-694b-4305-ae30-c4295284ead1"]}],"mendeley":{"formattedCitation":"[99]","plainTextFormattedCitation":"[99]","previouslyFormattedCitation":"[99]"},"properties":{"noteIndex":0},"schema":"https://github.com/citation-style-language/schema/raw/master/csl-citation.json"}</w:instrText>
      </w:r>
      <w:r>
        <w:fldChar w:fldCharType="separate"/>
      </w:r>
      <w:r w:rsidR="00D43181" w:rsidRPr="00D43181">
        <w:rPr>
          <w:noProof/>
        </w:rPr>
        <w:t>[99]</w:t>
      </w:r>
      <w:r>
        <w:fldChar w:fldCharType="end"/>
      </w:r>
      <w:r w:rsidRPr="00761653">
        <w:t xml:space="preserve">. Основными возбудителями сепсиса являются </w:t>
      </w:r>
      <w:r w:rsidRPr="00761653">
        <w:rPr>
          <w:i/>
          <w:iCs/>
        </w:rPr>
        <w:t>Escherichia coli</w:t>
      </w:r>
      <w:r w:rsidRPr="00761653">
        <w:t xml:space="preserve"> (17,8%), коагулазонегативные стафилококки (17,4%), </w:t>
      </w:r>
      <w:r w:rsidRPr="00761653">
        <w:rPr>
          <w:i/>
          <w:iCs/>
        </w:rPr>
        <w:t>Enterococcus</w:t>
      </w:r>
      <w:r w:rsidRPr="00761653">
        <w:t xml:space="preserve"> spp. (10,3%), </w:t>
      </w:r>
      <w:r w:rsidRPr="00761653">
        <w:rPr>
          <w:i/>
          <w:iCs/>
        </w:rPr>
        <w:t>Pseudomonas aeruginosa</w:t>
      </w:r>
      <w:r w:rsidRPr="00761653">
        <w:t xml:space="preserve"> (7,6%), </w:t>
      </w:r>
      <w:r w:rsidRPr="00761653">
        <w:rPr>
          <w:i/>
          <w:iCs/>
        </w:rPr>
        <w:t>Klebsiella pneumoniae</w:t>
      </w:r>
      <w:r w:rsidRPr="00761653">
        <w:t xml:space="preserve"> (8,2%). В последние годы увеличилась детекция </w:t>
      </w:r>
      <w:r w:rsidRPr="00761653">
        <w:rPr>
          <w:i/>
          <w:iCs/>
        </w:rPr>
        <w:t>Acinetobacte</w:t>
      </w:r>
      <w:r w:rsidRPr="00761653">
        <w:rPr>
          <w:i/>
        </w:rPr>
        <w:t>r</w:t>
      </w:r>
      <w:r w:rsidRPr="00761653">
        <w:t xml:space="preserve"> spp. и </w:t>
      </w:r>
      <w:r w:rsidRPr="00761653">
        <w:rPr>
          <w:i/>
          <w:iCs/>
        </w:rPr>
        <w:t>Stenotrophomonas maltophilia</w:t>
      </w:r>
      <w:r w:rsidRPr="00761653">
        <w:t xml:space="preserve">, и они входят в число пяти ведущих грамотрицательных бактерий при инфекциях кровотока после </w:t>
      </w:r>
      <w:r w:rsidRPr="00761653">
        <w:rPr>
          <w:i/>
          <w:iCs/>
        </w:rPr>
        <w:t>E.coli</w:t>
      </w:r>
      <w:r w:rsidRPr="00761653">
        <w:t xml:space="preserve">, </w:t>
      </w:r>
      <w:r w:rsidRPr="00761653">
        <w:rPr>
          <w:i/>
          <w:iCs/>
        </w:rPr>
        <w:t>K. pneumoniae, P.aeruginosa</w:t>
      </w:r>
      <w:r w:rsidRPr="00761653">
        <w:t>.</w:t>
      </w:r>
    </w:p>
    <w:p w14:paraId="537A409E" w14:textId="436262BD" w:rsidR="00B61B7C" w:rsidRPr="00761653" w:rsidRDefault="00B61B7C" w:rsidP="00B61B7C">
      <w:pPr>
        <w:widowControl w:val="0"/>
        <w:autoSpaceDE w:val="0"/>
        <w:autoSpaceDN w:val="0"/>
        <w:adjustRightInd w:val="0"/>
        <w:ind w:right="49"/>
        <w:contextualSpacing/>
      </w:pPr>
      <w:r w:rsidRPr="00761653">
        <w:t>Основными механизмами устойчивости у энтеробактерий являются продукция бета-лактамаз расширенного спектра (БЛРС</w:t>
      </w:r>
      <w:r>
        <w:t>) –</w:t>
      </w:r>
      <w:r w:rsidRPr="00761653">
        <w:t xml:space="preserve"> </w:t>
      </w:r>
      <w:r>
        <w:t xml:space="preserve">в </w:t>
      </w:r>
      <w:r w:rsidRPr="00761653">
        <w:t xml:space="preserve">40-50% </w:t>
      </w:r>
      <w:r>
        <w:t xml:space="preserve">случаев, </w:t>
      </w:r>
      <w:r w:rsidRPr="00761653">
        <w:t xml:space="preserve">и детекция карбапенемаз, преимущественно у </w:t>
      </w:r>
      <w:r w:rsidRPr="00761653">
        <w:rPr>
          <w:i/>
        </w:rPr>
        <w:t xml:space="preserve">K. pneumoniae </w:t>
      </w:r>
      <w:r w:rsidRPr="00761653">
        <w:t xml:space="preserve">(10-30%). Устойчивость </w:t>
      </w:r>
      <w:r w:rsidRPr="00761653">
        <w:rPr>
          <w:i/>
        </w:rPr>
        <w:t>P. aerugino</w:t>
      </w:r>
      <w:r w:rsidRPr="00761653">
        <w:t xml:space="preserve">sa составляет к карбапенемам и колистину 40-50% и 29%, соответственно, шатммов </w:t>
      </w:r>
      <w:r w:rsidRPr="00761653">
        <w:rPr>
          <w:i/>
        </w:rPr>
        <w:t>Acinetobacter baumannii</w:t>
      </w:r>
      <w:r w:rsidRPr="00761653">
        <w:t xml:space="preserve"> к карбапенемам - 65-70%</w:t>
      </w:r>
      <w:r>
        <w:t xml:space="preserve"> </w:t>
      </w:r>
      <w:r>
        <w:fldChar w:fldCharType="begin" w:fldLock="1"/>
      </w:r>
      <w:r w:rsidR="00B0402F">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mendeley":{"formattedCitation":"[100]","plainTextFormattedCitation":"[100]","previouslyFormattedCitation":"[100]"},"properties":{"noteIndex":0},"schema":"https://github.com/citation-style-language/schema/raw/master/csl-citation.json"}</w:instrText>
      </w:r>
      <w:r>
        <w:fldChar w:fldCharType="separate"/>
      </w:r>
      <w:r w:rsidR="00D43181" w:rsidRPr="00D43181">
        <w:rPr>
          <w:noProof/>
        </w:rPr>
        <w:t>[100]</w:t>
      </w:r>
      <w:r>
        <w:fldChar w:fldCharType="end"/>
      </w:r>
      <w:r w:rsidRPr="00761653">
        <w:t xml:space="preserve">. Среди грамположительных бактерий отмечена устойчивость </w:t>
      </w:r>
      <w:r w:rsidRPr="00761653">
        <w:rPr>
          <w:i/>
          <w:iCs/>
        </w:rPr>
        <w:t xml:space="preserve">Enterococcus faecium </w:t>
      </w:r>
      <w:r w:rsidRPr="00761653">
        <w:t xml:space="preserve">к ванкомицину (15%). Для грибов рода </w:t>
      </w:r>
      <w:r w:rsidRPr="00761653">
        <w:rPr>
          <w:i/>
        </w:rPr>
        <w:t>Candida</w:t>
      </w:r>
      <w:r w:rsidRPr="00761653">
        <w:t xml:space="preserve"> характерно снижение доли </w:t>
      </w:r>
      <w:r w:rsidRPr="00761653">
        <w:rPr>
          <w:i/>
        </w:rPr>
        <w:t>С. albicans</w:t>
      </w:r>
      <w:r w:rsidRPr="00761653">
        <w:t xml:space="preserve"> до 30% и широкое видовое разнообразие </w:t>
      </w:r>
      <w:r w:rsidRPr="00761653">
        <w:rPr>
          <w:i/>
          <w:iCs/>
        </w:rPr>
        <w:t>Candida</w:t>
      </w:r>
      <w:r w:rsidRPr="00761653">
        <w:t xml:space="preserve"> non-</w:t>
      </w:r>
      <w:r w:rsidRPr="00761653">
        <w:rPr>
          <w:i/>
          <w:iCs/>
        </w:rPr>
        <w:t>albicans</w:t>
      </w:r>
      <w:r>
        <w:rPr>
          <w:i/>
          <w:iCs/>
        </w:rPr>
        <w:t xml:space="preserve"> </w:t>
      </w:r>
      <w:r>
        <w:rPr>
          <w:i/>
          <w:iCs/>
        </w:rPr>
        <w:fldChar w:fldCharType="begin" w:fldLock="1"/>
      </w:r>
      <w:r w:rsidR="00B0402F">
        <w:rPr>
          <w:i/>
          <w:iCs/>
        </w:rPr>
        <w:instrText>ADDIN CSL_CITATION {"citationItems":[{"id":"ITEM-1","itemData":{"author":[{"dropping-particle":"","family":"Клясова","given":"Г.А.","non-dropping-particle":"","parse-names":false,"suffix":""},{"dropping-particle":"","family":"Сперанская","given":"Л.Л.","non-dropping-particle":"","parse-names":false,"suffix":""},{"dropping-particle":"","family":"Миронова","given":"А.В.","non-dropping-particle":"","parse-names":false,"suffix":""},{"dropping-particle":"","family":"Масчан","given":"М.А.","non-dropping-particle":"","parse-names":false,"suffix":""},{"dropping-particle":"","family":"Байдильдина","given":"Д.Д.","non-dropping-particle":"","parse-names":false,"suffix":""},{"dropping-particle":"","family":"Верещагина","given":"С.А.","non-dropping-particle":"","parse-names":false,"suffix":""}],"container-title":"Гематология и трансфузиология","id":"ITEM-1","issue":"1","issued":{"date-parts":[["2007"]]},"page":"11-18","title":"Возбудители сепсиса у иммунокомпрометированных больных: структура и проблемы антибиотикорезистентности (результаты многоцентрового исследования)","type":"article-journal","volume":"52"},"uris":["http://www.mendeley.com/documents/?uuid=a67a3b5b-694b-4305-ae30-c4295284ead1"]}],"mendeley":{"formattedCitation":"[99]","plainTextFormattedCitation":"[99]","previouslyFormattedCitation":"[99]"},"properties":{"noteIndex":0},"schema":"https://github.com/citation-style-language/schema/raw/master/csl-citation.json"}</w:instrText>
      </w:r>
      <w:r>
        <w:rPr>
          <w:i/>
          <w:iCs/>
        </w:rPr>
        <w:fldChar w:fldCharType="separate"/>
      </w:r>
      <w:r w:rsidR="00D43181" w:rsidRPr="00D43181">
        <w:rPr>
          <w:iCs/>
          <w:noProof/>
        </w:rPr>
        <w:t>[99]</w:t>
      </w:r>
      <w:r>
        <w:rPr>
          <w:i/>
          <w:iCs/>
        </w:rPr>
        <w:fldChar w:fldCharType="end"/>
      </w:r>
      <w:r w:rsidRPr="00761653">
        <w:t>.</w:t>
      </w:r>
    </w:p>
    <w:p w14:paraId="140DDE78" w14:textId="77777777" w:rsidR="00B61B7C" w:rsidRDefault="00B61B7C" w:rsidP="00B61B7C">
      <w:pPr>
        <w:widowControl w:val="0"/>
        <w:autoSpaceDE w:val="0"/>
        <w:autoSpaceDN w:val="0"/>
        <w:adjustRightInd w:val="0"/>
        <w:ind w:right="49"/>
        <w:contextualSpacing/>
        <w:rPr>
          <w:b/>
        </w:rPr>
      </w:pPr>
    </w:p>
    <w:p w14:paraId="731C58BD" w14:textId="77777777" w:rsidR="00B61B7C" w:rsidRPr="00CD4DE7" w:rsidRDefault="00B61B7C" w:rsidP="00B61B7C">
      <w:pPr>
        <w:widowControl w:val="0"/>
        <w:autoSpaceDE w:val="0"/>
        <w:autoSpaceDN w:val="0"/>
        <w:adjustRightInd w:val="0"/>
        <w:ind w:right="49"/>
        <w:contextualSpacing/>
        <w:rPr>
          <w:bCs/>
          <w:i/>
          <w:iCs/>
          <w:u w:val="single"/>
        </w:rPr>
      </w:pPr>
      <w:r w:rsidRPr="00CD4DE7">
        <w:rPr>
          <w:bCs/>
          <w:i/>
          <w:iCs/>
          <w:u w:val="single"/>
        </w:rPr>
        <w:t>Клинические проявления инфекций</w:t>
      </w:r>
    </w:p>
    <w:p w14:paraId="21853EE0" w14:textId="77777777" w:rsidR="00B61B7C" w:rsidRDefault="00B61B7C" w:rsidP="00B61B7C">
      <w:pPr>
        <w:widowControl w:val="0"/>
        <w:autoSpaceDE w:val="0"/>
        <w:autoSpaceDN w:val="0"/>
        <w:adjustRightInd w:val="0"/>
        <w:ind w:right="49"/>
        <w:contextualSpacing/>
      </w:pPr>
      <w:r w:rsidRPr="00761653">
        <w:t xml:space="preserve">Для инфекций периода нейтропении/лейкопении характерными признаками являются </w:t>
      </w:r>
    </w:p>
    <w:p w14:paraId="0FC9E6BA" w14:textId="77777777" w:rsidR="00B61B7C" w:rsidRDefault="00B61B7C" w:rsidP="00B20852">
      <w:pPr>
        <w:pStyle w:val="afe"/>
        <w:widowControl w:val="0"/>
        <w:numPr>
          <w:ilvl w:val="0"/>
          <w:numId w:val="71"/>
        </w:numPr>
        <w:autoSpaceDE w:val="0"/>
        <w:autoSpaceDN w:val="0"/>
        <w:adjustRightInd w:val="0"/>
        <w:ind w:right="49"/>
      </w:pPr>
      <w:r w:rsidRPr="00940E71">
        <w:t xml:space="preserve">скудность </w:t>
      </w:r>
      <w:r>
        <w:t xml:space="preserve">клинических проявлений; </w:t>
      </w:r>
    </w:p>
    <w:p w14:paraId="4FA52EC2" w14:textId="77777777" w:rsidR="00B61B7C" w:rsidRDefault="00B61B7C" w:rsidP="00B20852">
      <w:pPr>
        <w:pStyle w:val="afe"/>
        <w:widowControl w:val="0"/>
        <w:numPr>
          <w:ilvl w:val="0"/>
          <w:numId w:val="71"/>
        </w:numPr>
        <w:autoSpaceDE w:val="0"/>
        <w:autoSpaceDN w:val="0"/>
        <w:adjustRightInd w:val="0"/>
        <w:ind w:right="49"/>
      </w:pPr>
      <w:r w:rsidRPr="00940E71">
        <w:t>вероятность наличия одновременно разных возбудителей и разной локал</w:t>
      </w:r>
      <w:r>
        <w:t xml:space="preserve">изации инфекционного процесса; </w:t>
      </w:r>
    </w:p>
    <w:p w14:paraId="0EFFA35E" w14:textId="77777777" w:rsidR="00B61B7C" w:rsidRPr="00940E71" w:rsidRDefault="00B61B7C" w:rsidP="00B20852">
      <w:pPr>
        <w:pStyle w:val="afe"/>
        <w:widowControl w:val="0"/>
        <w:numPr>
          <w:ilvl w:val="0"/>
          <w:numId w:val="71"/>
        </w:numPr>
        <w:autoSpaceDE w:val="0"/>
        <w:autoSpaceDN w:val="0"/>
        <w:adjustRightInd w:val="0"/>
        <w:ind w:right="49"/>
      </w:pPr>
      <w:r w:rsidRPr="00940E71">
        <w:t xml:space="preserve">возможность появления других возбудителей и другого по локализации инфекционного процесса по мере удлинения </w:t>
      </w:r>
      <w:r>
        <w:t xml:space="preserve">периода </w:t>
      </w:r>
      <w:r w:rsidRPr="00940E71">
        <w:t xml:space="preserve">нейтропении. </w:t>
      </w:r>
    </w:p>
    <w:p w14:paraId="002B0D4B" w14:textId="77777777" w:rsidR="00B61B7C" w:rsidRPr="00761653" w:rsidRDefault="00B61B7C" w:rsidP="00B61B7C">
      <w:pPr>
        <w:widowControl w:val="0"/>
        <w:autoSpaceDE w:val="0"/>
        <w:autoSpaceDN w:val="0"/>
        <w:adjustRightInd w:val="0"/>
        <w:ind w:right="49"/>
        <w:contextualSpacing/>
      </w:pPr>
      <w:r w:rsidRPr="00761653">
        <w:t>Под лихорадкой подразумевают однократно зарегистрированное повышение температуры тела ≥38,0°С, не связанное с другими причинами</w:t>
      </w:r>
      <w:r>
        <w:t xml:space="preserve"> (</w:t>
      </w:r>
      <w:r w:rsidRPr="00761653">
        <w:t>реакции на трансфузии компонентов крови</w:t>
      </w:r>
      <w:r>
        <w:t xml:space="preserve">, на </w:t>
      </w:r>
      <w:r w:rsidRPr="00761653">
        <w:t>вводимы</w:t>
      </w:r>
      <w:r>
        <w:t>е</w:t>
      </w:r>
      <w:r w:rsidRPr="00761653">
        <w:t xml:space="preserve"> медикамент</w:t>
      </w:r>
      <w:r>
        <w:t>ы</w:t>
      </w:r>
      <w:r w:rsidRPr="00761653">
        <w:t>, опухолевая лихоракдка</w:t>
      </w:r>
      <w:r>
        <w:t>)</w:t>
      </w:r>
      <w:r w:rsidRPr="00761653">
        <w:t>.</w:t>
      </w:r>
    </w:p>
    <w:p w14:paraId="0EA995F2" w14:textId="77777777" w:rsidR="00B61B7C" w:rsidRPr="00761653" w:rsidRDefault="00B61B7C" w:rsidP="00B61B7C">
      <w:pPr>
        <w:widowControl w:val="0"/>
        <w:autoSpaceDE w:val="0"/>
        <w:autoSpaceDN w:val="0"/>
        <w:adjustRightInd w:val="0"/>
        <w:ind w:right="49"/>
        <w:contextualSpacing/>
      </w:pPr>
      <w:r w:rsidRPr="00761653">
        <w:t xml:space="preserve">Существует обобщающий термин “фебрильная нейтропения”, включающий все случаи фебрильной температуры у </w:t>
      </w:r>
      <w:r>
        <w:t>пациентов</w:t>
      </w:r>
      <w:r w:rsidRPr="00761653">
        <w:t xml:space="preserve"> с нейтропенией/лейкопенией. К клинически доказанным относят случаи инфекции, которые удается верифицировать с помощью физикальных или инструментальных методов диагностики при отсутствии микробиологического подтверждения. Наиболее частыми проявлениями клинически дока</w:t>
      </w:r>
      <w:r>
        <w:t>занных инфекций</w:t>
      </w:r>
      <w:r w:rsidRPr="00761653">
        <w:t xml:space="preserve"> являются пневмония, инфекция мягких тканей, инфекция промежности</w:t>
      </w:r>
      <w:r>
        <w:t xml:space="preserve"> (в т. ч. парапроктит)</w:t>
      </w:r>
      <w:r w:rsidRPr="00761653">
        <w:t xml:space="preserve">. Микробиологическим подтверждением инфекции в период гранулоцитопении в большинстве случаев является выделение микроорганизмов из гемокультуры. </w:t>
      </w:r>
    </w:p>
    <w:p w14:paraId="1AEA1206" w14:textId="77777777" w:rsidR="00B61B7C" w:rsidRDefault="00B61B7C" w:rsidP="00B61B7C">
      <w:pPr>
        <w:widowControl w:val="0"/>
        <w:autoSpaceDE w:val="0"/>
        <w:autoSpaceDN w:val="0"/>
        <w:adjustRightInd w:val="0"/>
        <w:ind w:right="49"/>
        <w:contextualSpacing/>
        <w:rPr>
          <w:b/>
        </w:rPr>
      </w:pPr>
    </w:p>
    <w:p w14:paraId="20C23F5D" w14:textId="77777777" w:rsidR="00B61B7C" w:rsidRPr="00CD4DE7" w:rsidRDefault="00B61B7C" w:rsidP="00B61B7C">
      <w:pPr>
        <w:widowControl w:val="0"/>
        <w:autoSpaceDE w:val="0"/>
        <w:autoSpaceDN w:val="0"/>
        <w:adjustRightInd w:val="0"/>
        <w:ind w:right="49"/>
        <w:contextualSpacing/>
        <w:rPr>
          <w:bCs/>
          <w:i/>
          <w:iCs/>
          <w:u w:val="single"/>
        </w:rPr>
      </w:pPr>
      <w:r w:rsidRPr="00CD4DE7">
        <w:rPr>
          <w:bCs/>
          <w:i/>
          <w:iCs/>
          <w:u w:val="single"/>
        </w:rPr>
        <w:t>Диагностика инфекционных осложнений.</w:t>
      </w:r>
    </w:p>
    <w:p w14:paraId="57058DE7" w14:textId="77777777" w:rsidR="00B61B7C" w:rsidRPr="0076198F" w:rsidRDefault="00B61B7C" w:rsidP="00B61B7C">
      <w:pPr>
        <w:tabs>
          <w:tab w:val="left" w:pos="0"/>
          <w:tab w:val="left" w:pos="567"/>
        </w:tabs>
      </w:pPr>
      <w:r w:rsidRPr="0076198F">
        <w:t xml:space="preserve">Во всех случаях </w:t>
      </w:r>
      <w:r>
        <w:t xml:space="preserve">вероятного или установленного </w:t>
      </w:r>
      <w:r w:rsidRPr="0076198F">
        <w:t>инфекционного процесса следует активно проводить диагностику, направленную на выявление, как очагов инфекции, так и этиологических агентов.</w:t>
      </w:r>
    </w:p>
    <w:p w14:paraId="0B21BCD3" w14:textId="77777777" w:rsidR="00B61B7C" w:rsidRPr="0076198F" w:rsidRDefault="00B61B7C" w:rsidP="00B61B7C">
      <w:pPr>
        <w:tabs>
          <w:tab w:val="left" w:pos="0"/>
          <w:tab w:val="left" w:pos="567"/>
        </w:tabs>
      </w:pPr>
      <w:r w:rsidRPr="0076198F">
        <w:t xml:space="preserve">При подозрении на инфекцию образцы клинического материала от </w:t>
      </w:r>
      <w:r>
        <w:t>пациента</w:t>
      </w:r>
      <w:r w:rsidRPr="0076198F">
        <w:t xml:space="preserve"> должны быть взяты незамедлительно. </w:t>
      </w:r>
      <w:r>
        <w:t>Необходимо</w:t>
      </w:r>
      <w:r w:rsidRPr="0076198F">
        <w:t xml:space="preserve"> пристально</w:t>
      </w:r>
      <w:r>
        <w:t>е</w:t>
      </w:r>
      <w:r w:rsidRPr="0076198F">
        <w:t xml:space="preserve"> внимания и проведени</w:t>
      </w:r>
      <w:r>
        <w:t>е</w:t>
      </w:r>
      <w:r w:rsidRPr="0076198F">
        <w:t xml:space="preserve"> тщательных микробиологических исследований у </w:t>
      </w:r>
      <w:r>
        <w:t>пациентов</w:t>
      </w:r>
      <w:r w:rsidRPr="0076198F">
        <w:t>, принимающих глюкокортико</w:t>
      </w:r>
      <w:r>
        <w:t>стероиды, и у лиц пожилого возраста, так как у</w:t>
      </w:r>
      <w:r w:rsidRPr="0076198F">
        <w:t xml:space="preserve"> этой группы пациентов у 70% тяжелобольных в возрасте </w:t>
      </w:r>
      <w:r>
        <w:t>старше</w:t>
      </w:r>
      <w:r w:rsidRPr="0076198F">
        <w:t xml:space="preserve"> 66 лет септицемия может протекать </w:t>
      </w:r>
      <w:r>
        <w:t xml:space="preserve">с нормотермией или умеренным </w:t>
      </w:r>
      <w:r w:rsidRPr="0076198F">
        <w:t>субфебрил</w:t>
      </w:r>
      <w:r>
        <w:t>итетом</w:t>
      </w:r>
      <w:r w:rsidRPr="0076198F">
        <w:t xml:space="preserve">. </w:t>
      </w:r>
    </w:p>
    <w:p w14:paraId="28559F54" w14:textId="77777777" w:rsidR="00B61B7C" w:rsidRPr="0076198F" w:rsidRDefault="00B61B7C" w:rsidP="00B61B7C">
      <w:pPr>
        <w:tabs>
          <w:tab w:val="left" w:pos="0"/>
          <w:tab w:val="left" w:pos="567"/>
        </w:tabs>
      </w:pPr>
      <w:r w:rsidRPr="0076198F">
        <w:t xml:space="preserve">При нейтропении ежедневно проводят тщательный осмотр пациента, который наряду с обычными терапевтическими стандартами обследования </w:t>
      </w:r>
      <w:r>
        <w:t>включает следующие подходы:</w:t>
      </w:r>
      <w:r w:rsidRPr="0076198F">
        <w:t xml:space="preserve"> </w:t>
      </w:r>
    </w:p>
    <w:p w14:paraId="77CE2796" w14:textId="77777777" w:rsidR="00B61B7C" w:rsidRPr="0076198F" w:rsidRDefault="00B61B7C" w:rsidP="00B20852">
      <w:pPr>
        <w:pStyle w:val="afe"/>
        <w:numPr>
          <w:ilvl w:val="0"/>
          <w:numId w:val="82"/>
        </w:numPr>
        <w:tabs>
          <w:tab w:val="left" w:pos="0"/>
          <w:tab w:val="left" w:pos="567"/>
        </w:tabs>
        <w:ind w:left="993" w:hanging="426"/>
        <w:contextualSpacing w:val="0"/>
      </w:pPr>
      <w:r w:rsidRPr="0076198F">
        <w:t>активный опрос больного относительно возможных симптомов инфекции, включая наличие болей по ходу пищевода, в промежности</w:t>
      </w:r>
      <w:r>
        <w:t>;</w:t>
      </w:r>
    </w:p>
    <w:p w14:paraId="3AD1B009" w14:textId="77777777" w:rsidR="00B61B7C" w:rsidRPr="0076198F" w:rsidRDefault="00B61B7C" w:rsidP="00B20852">
      <w:pPr>
        <w:pStyle w:val="afe"/>
        <w:numPr>
          <w:ilvl w:val="0"/>
          <w:numId w:val="82"/>
        </w:numPr>
        <w:tabs>
          <w:tab w:val="left" w:pos="0"/>
          <w:tab w:val="left" w:pos="567"/>
        </w:tabs>
        <w:ind w:left="993" w:hanging="426"/>
        <w:contextualSpacing w:val="0"/>
      </w:pPr>
      <w:r w:rsidRPr="0076198F">
        <w:t>ежедневный осмотр слизистой оболочки полости рта при нейтропении, особенно периодонта. Обращают внимание на рыхлость, отек слизистой оболочки (мукозит), наличие налетов, язв</w:t>
      </w:r>
      <w:r>
        <w:t>;</w:t>
      </w:r>
    </w:p>
    <w:p w14:paraId="195B1D91" w14:textId="77777777" w:rsidR="00B61B7C" w:rsidRPr="0076198F" w:rsidRDefault="00B61B7C" w:rsidP="00B20852">
      <w:pPr>
        <w:pStyle w:val="afe"/>
        <w:numPr>
          <w:ilvl w:val="0"/>
          <w:numId w:val="82"/>
        </w:numPr>
        <w:tabs>
          <w:tab w:val="left" w:pos="0"/>
          <w:tab w:val="left" w:pos="567"/>
        </w:tabs>
        <w:ind w:left="993" w:hanging="426"/>
        <w:contextualSpacing w:val="0"/>
      </w:pPr>
      <w:r w:rsidRPr="0076198F">
        <w:t>осмотр кожи в отношении возможного появления септикопиемических очагов при лихорадке, даже в отсутствие жалоб</w:t>
      </w:r>
      <w:r>
        <w:t xml:space="preserve"> (п</w:t>
      </w:r>
      <w:r w:rsidRPr="0076198F">
        <w:t>ри лечении глюкокортико</w:t>
      </w:r>
      <w:r>
        <w:t>стеро</w:t>
      </w:r>
      <w:r w:rsidRPr="0076198F">
        <w:t>идами септикопиемические очаги могут быть при нормальной температуре</w:t>
      </w:r>
      <w:r>
        <w:t xml:space="preserve"> тела);</w:t>
      </w:r>
    </w:p>
    <w:p w14:paraId="578A046A" w14:textId="77777777" w:rsidR="00B61B7C" w:rsidRPr="0076198F" w:rsidRDefault="00B61B7C" w:rsidP="00B20852">
      <w:pPr>
        <w:pStyle w:val="afe"/>
        <w:numPr>
          <w:ilvl w:val="0"/>
          <w:numId w:val="82"/>
        </w:numPr>
        <w:tabs>
          <w:tab w:val="left" w:pos="0"/>
          <w:tab w:val="left" w:pos="567"/>
        </w:tabs>
        <w:ind w:left="993" w:hanging="426"/>
        <w:contextualSpacing w:val="0"/>
      </w:pPr>
      <w:r w:rsidRPr="0076198F">
        <w:t>осмотр места установки венозного катетера</w:t>
      </w:r>
      <w:r>
        <w:t>;</w:t>
      </w:r>
      <w:r w:rsidRPr="0076198F">
        <w:t xml:space="preserve"> </w:t>
      </w:r>
    </w:p>
    <w:p w14:paraId="64D82DF2" w14:textId="77777777" w:rsidR="00B61B7C" w:rsidRPr="0076198F" w:rsidRDefault="00B61B7C" w:rsidP="00B20852">
      <w:pPr>
        <w:pStyle w:val="afe"/>
        <w:numPr>
          <w:ilvl w:val="0"/>
          <w:numId w:val="82"/>
        </w:numPr>
        <w:tabs>
          <w:tab w:val="left" w:pos="0"/>
          <w:tab w:val="left" w:pos="567"/>
        </w:tabs>
        <w:ind w:left="993" w:hanging="426"/>
        <w:contextualSpacing w:val="0"/>
      </w:pPr>
      <w:r w:rsidRPr="0076198F">
        <w:t>внимательная аускультация грудной клетки</w:t>
      </w:r>
      <w:r>
        <w:t xml:space="preserve"> (ж</w:t>
      </w:r>
      <w:r w:rsidRPr="0076198F">
        <w:t>есткое дыхание в отсутствие хрипов, минимальное количество влажных хрипов на ограниченном участке могут быть начальным проявлением пневмонии</w:t>
      </w:r>
      <w:r>
        <w:t>);</w:t>
      </w:r>
      <w:r w:rsidRPr="0076198F">
        <w:t xml:space="preserve"> </w:t>
      </w:r>
    </w:p>
    <w:p w14:paraId="54679C24" w14:textId="77777777" w:rsidR="00B61B7C" w:rsidRPr="0076198F" w:rsidRDefault="00B61B7C" w:rsidP="00B20852">
      <w:pPr>
        <w:pStyle w:val="afe"/>
        <w:numPr>
          <w:ilvl w:val="0"/>
          <w:numId w:val="82"/>
        </w:numPr>
        <w:tabs>
          <w:tab w:val="left" w:pos="0"/>
          <w:tab w:val="left" w:pos="567"/>
        </w:tabs>
        <w:ind w:left="993" w:hanging="426"/>
        <w:contextualSpacing w:val="0"/>
      </w:pPr>
      <w:r w:rsidRPr="0076198F">
        <w:t>тщательная пальпация живота</w:t>
      </w:r>
      <w:r>
        <w:t xml:space="preserve"> (п</w:t>
      </w:r>
      <w:r w:rsidRPr="0076198F">
        <w:t>ервые симптомы псевдомембранозного колита —</w:t>
      </w:r>
      <w:r>
        <w:t xml:space="preserve"> </w:t>
      </w:r>
      <w:r w:rsidRPr="0076198F">
        <w:t>появление боли или «урчание» при пальпации в правой подвздошной области (область слепой кишки).</w:t>
      </w:r>
    </w:p>
    <w:p w14:paraId="25DDFB41" w14:textId="77777777" w:rsidR="00B61B7C" w:rsidRDefault="00B61B7C" w:rsidP="00B61B7C">
      <w:pPr>
        <w:widowControl w:val="0"/>
        <w:autoSpaceDE w:val="0"/>
        <w:autoSpaceDN w:val="0"/>
        <w:adjustRightInd w:val="0"/>
        <w:ind w:right="49"/>
        <w:contextualSpacing/>
      </w:pPr>
      <w:r w:rsidRPr="00761653">
        <w:t xml:space="preserve">Для </w:t>
      </w:r>
      <w:r w:rsidRPr="00284D51">
        <w:rPr>
          <w:i/>
          <w:iCs/>
        </w:rPr>
        <w:t>микробиологического исследования крови</w:t>
      </w:r>
      <w:r w:rsidRPr="00761653">
        <w:t xml:space="preserve"> используют автоматический анализатор для гемокультур. Проводят исследование у </w:t>
      </w:r>
      <w:r>
        <w:t>пациентов</w:t>
      </w:r>
      <w:r w:rsidRPr="00761653">
        <w:t xml:space="preserve"> с температурой ≥38°С или наличии септикопиемических очагов на коже. Кровь берут одновременно из вены и из ЦВК или из двух разных вен в 2-4 флакона (аэробы/анаэробы), предназначенных для инкубирования в автоматическом анализаторе для гемокультур. На основании разницы во времени регистрации положительной гемокультуры, взятой одновременно из ЦВК и из вены может быть заподозрено инфицирование ЦВК. В этом случае положительная гемокультура, взятая из ЦВК, опережает на 2 часа и более положительную гемокультуру из вены. Кровь для микробиологического исследования проводят с максимальным соблюдением правил асептики, в каждый флакон вводят 10 мл крови </w:t>
      </w:r>
      <w:r>
        <w:t>пациента</w:t>
      </w:r>
      <w:r w:rsidRPr="00761653">
        <w:t xml:space="preserve">. Введение меньшего объема крови снижает вероятность получения положительной гемокультуры. При инфекции кровотока выделение коагулазонегативных стафилококков и </w:t>
      </w:r>
      <w:r w:rsidRPr="00761653">
        <w:rPr>
          <w:i/>
          <w:iCs/>
        </w:rPr>
        <w:t xml:space="preserve">Corynebacterium </w:t>
      </w:r>
      <w:r w:rsidRPr="00761653">
        <w:t xml:space="preserve">spp. должно быть подтверждено двумя положительными гемокультурами, поскольку эти микроорганизмы принадлежат к облигатной микрофлоре, и детекция их только в одном из двух флаконов расценивается как контаминация исследуемых образцов крови (облигатная микрофлора). </w:t>
      </w:r>
    </w:p>
    <w:p w14:paraId="4FFCAED9" w14:textId="77777777" w:rsidR="00B61B7C" w:rsidRPr="00761653" w:rsidRDefault="00B61B7C" w:rsidP="00B61B7C">
      <w:pPr>
        <w:widowControl w:val="0"/>
        <w:autoSpaceDE w:val="0"/>
        <w:autoSpaceDN w:val="0"/>
        <w:adjustRightInd w:val="0"/>
        <w:ind w:right="49"/>
        <w:contextualSpacing/>
      </w:pPr>
      <w:r w:rsidRPr="00284D51">
        <w:rPr>
          <w:i/>
          <w:iCs/>
        </w:rPr>
        <w:t>Центральный венозный катетер (ЦВК) удаляют и направляют на микробиологическое исследование при подозрении на катетер-ассоциированную инфекцию</w:t>
      </w:r>
      <w:r w:rsidRPr="00761653">
        <w:t xml:space="preserve"> (разница во времени детекции положительной гемокультуры, взятой одновременно из вены и из ЦВК), при выделении из гемокультуры дрожжевых или плесневых грибов, при переводе </w:t>
      </w:r>
      <w:r>
        <w:t>пациента</w:t>
      </w:r>
      <w:r w:rsidRPr="00761653">
        <w:t xml:space="preserve"> из другого стационара с ЦВК (высокая вероятность инфицирования ЦВК). Для бактериологического исследования в лабораторию направляют асептически удаленный дистальный отрезок катетера длиной 5-6 см в стерильной емкости. Исследование ЦВК проводят полуколичественным (метод Маки) или количественным методом. Диагностически значимым подтверждением инфицирования ЦВК является выделение микроорганизмов в количестве ≥15 колониеобразующих единиц (КОЕ) при полуколичественном исследовании, или ≥10</w:t>
      </w:r>
      <w:r w:rsidRPr="00761653">
        <w:rPr>
          <w:vertAlign w:val="superscript"/>
        </w:rPr>
        <w:t>3</w:t>
      </w:r>
      <w:r w:rsidRPr="00761653">
        <w:t xml:space="preserve"> КОЕ/мл - при количественном исследовании. </w:t>
      </w:r>
    </w:p>
    <w:p w14:paraId="2BCCAA8D" w14:textId="77777777" w:rsidR="00B61B7C" w:rsidRPr="00761653" w:rsidRDefault="00B61B7C" w:rsidP="00B61B7C">
      <w:pPr>
        <w:widowControl w:val="0"/>
        <w:autoSpaceDE w:val="0"/>
        <w:autoSpaceDN w:val="0"/>
        <w:adjustRightInd w:val="0"/>
        <w:ind w:right="49"/>
        <w:contextualSpacing/>
      </w:pPr>
      <w:r w:rsidRPr="00761653">
        <w:t>При наличии признаков воспаления и отделяемого в месте установки ЦВК проводят микробиологическое исследование мазков из этой области. Исследуют мазки на наличие нетуберкулезных микобактерий, если изменения на коже в области ЦВК приобретают хронический характер. Не проводят рутинное исследование всех удаленных катетеров.</w:t>
      </w:r>
    </w:p>
    <w:p w14:paraId="65B7B664" w14:textId="77777777" w:rsidR="00B61B7C" w:rsidRPr="00761653" w:rsidRDefault="00B61B7C" w:rsidP="00B61B7C">
      <w:pPr>
        <w:widowControl w:val="0"/>
        <w:tabs>
          <w:tab w:val="left" w:pos="0"/>
        </w:tabs>
        <w:autoSpaceDE w:val="0"/>
        <w:autoSpaceDN w:val="0"/>
        <w:adjustRightInd w:val="0"/>
        <w:ind w:right="49"/>
        <w:contextualSpacing/>
      </w:pPr>
      <w:r w:rsidRPr="00761653">
        <w:t>Показаниями для</w:t>
      </w:r>
      <w:r>
        <w:t xml:space="preserve"> </w:t>
      </w:r>
      <w:r w:rsidRPr="00284D51">
        <w:rPr>
          <w:i/>
          <w:iCs/>
        </w:rPr>
        <w:t>микробиологического исследования мочи</w:t>
      </w:r>
      <w:r w:rsidRPr="00761653">
        <w:t xml:space="preserve"> являются клинические симптомы инфекции мочевыводящих путей, лейкоцитурия, температура более 5 дней в период нейтропении. Для </w:t>
      </w:r>
      <w:r>
        <w:t xml:space="preserve">микробиологического </w:t>
      </w:r>
      <w:r w:rsidRPr="00761653">
        <w:t>исследования направляют утреннюю среднюю порцию мочи</w:t>
      </w:r>
      <w:r>
        <w:t xml:space="preserve">, </w:t>
      </w:r>
      <w:r w:rsidRPr="00D40538">
        <w:t>проводят исследования на наличие различных бактериальных патогенов</w:t>
      </w:r>
      <w:r>
        <w:t>, начиная с наиболее частых в гематологической практике (см. ниже)</w:t>
      </w:r>
      <w:r w:rsidRPr="00D40538">
        <w:t xml:space="preserve">. Бактериурия </w:t>
      </w:r>
      <w:r w:rsidRPr="00761653">
        <w:t xml:space="preserve">является диагностически значимой, если выделен </w:t>
      </w:r>
      <w:r w:rsidRPr="00761653">
        <w:rPr>
          <w:bCs/>
        </w:rPr>
        <w:t>один микроорганизм</w:t>
      </w:r>
      <w:r w:rsidRPr="00761653">
        <w:t xml:space="preserve"> в количестве ≥10</w:t>
      </w:r>
      <w:r w:rsidRPr="00761653">
        <w:rPr>
          <w:vertAlign w:val="superscript"/>
        </w:rPr>
        <w:t>3</w:t>
      </w:r>
      <w:r w:rsidRPr="00761653">
        <w:t> КОЕ/мл. Микробиологическое исследование мочи повторяют на следующий день, если выделены два микрорганизма в количестве ≥10</w:t>
      </w:r>
      <w:r w:rsidRPr="00761653">
        <w:rPr>
          <w:vertAlign w:val="superscript"/>
        </w:rPr>
        <w:t>3</w:t>
      </w:r>
      <w:r w:rsidRPr="00761653">
        <w:t xml:space="preserve"> КОЕ/мл. Повторное выделение тех же микроорганизмов, как в первом исследовании, подтверждает наличие инфекции мочевыводящих путей. В гематологии наиболее частыми возбудителями инфекции мочевыводящих путей в стационаре являются энтеробактерии, среди них </w:t>
      </w:r>
      <w:r w:rsidRPr="00761653">
        <w:rPr>
          <w:i/>
          <w:iCs/>
        </w:rPr>
        <w:t>E. coli,</w:t>
      </w:r>
      <w:r w:rsidRPr="00761653">
        <w:t xml:space="preserve"> далее следуют </w:t>
      </w:r>
      <w:r w:rsidRPr="00761653">
        <w:rPr>
          <w:i/>
          <w:iCs/>
        </w:rPr>
        <w:t>Enterococcus</w:t>
      </w:r>
      <w:r w:rsidRPr="00761653">
        <w:t xml:space="preserve"> spp., </w:t>
      </w:r>
      <w:r w:rsidRPr="00761653">
        <w:rPr>
          <w:i/>
          <w:iCs/>
        </w:rPr>
        <w:t>P. aeruginosa.</w:t>
      </w:r>
      <w:r w:rsidRPr="00761653">
        <w:t xml:space="preserve"> Неоднократное выделение из мочи </w:t>
      </w:r>
      <w:r w:rsidRPr="00761653">
        <w:rPr>
          <w:i/>
          <w:iCs/>
        </w:rPr>
        <w:t>Сandida</w:t>
      </w:r>
      <w:r w:rsidRPr="00761653">
        <w:t xml:space="preserve"> spp. у </w:t>
      </w:r>
      <w:r>
        <w:t>пациентов</w:t>
      </w:r>
      <w:r w:rsidRPr="00761653">
        <w:t xml:space="preserve"> с фебрильной нейтропенией может свидетельствовать о высокой вероятности наличия диссеминированного инвазивного кандидоза. Определяют чувствительность к антибиотикам всех микроорганизмов, выделенных в диагностически значимых количествах.</w:t>
      </w:r>
    </w:p>
    <w:p w14:paraId="53DD0BFE" w14:textId="77777777" w:rsidR="00B61B7C" w:rsidRPr="00761653" w:rsidRDefault="00B61B7C" w:rsidP="00B61B7C">
      <w:pPr>
        <w:widowControl w:val="0"/>
        <w:tabs>
          <w:tab w:val="left" w:pos="0"/>
        </w:tabs>
        <w:autoSpaceDE w:val="0"/>
        <w:autoSpaceDN w:val="0"/>
        <w:adjustRightInd w:val="0"/>
        <w:ind w:right="49"/>
        <w:contextualSpacing/>
      </w:pPr>
      <w:r w:rsidRPr="00761653">
        <w:t>Показания к</w:t>
      </w:r>
      <w:r>
        <w:t xml:space="preserve"> </w:t>
      </w:r>
      <w:r w:rsidRPr="00284D51">
        <w:rPr>
          <w:i/>
          <w:iCs/>
        </w:rPr>
        <w:t>микроскопическому, микробиологическому и молекулярно-биологическому исследованию спинномозговой жидкости</w:t>
      </w:r>
      <w:r>
        <w:t xml:space="preserve"> </w:t>
      </w:r>
      <w:r w:rsidRPr="00761653">
        <w:t>– наличие симптомов менингита, «мозговая» симптоматика на фоне фебрильной нейтропении, обнаружение очага (очагов) в головном мозге при компьютерной томографии</w:t>
      </w:r>
      <w:r>
        <w:t>/спиральной компьютерной томографии</w:t>
      </w:r>
      <w:r w:rsidRPr="00761653">
        <w:t xml:space="preserve"> (КТ</w:t>
      </w:r>
      <w:r>
        <w:t>/СКТ)</w:t>
      </w:r>
      <w:r w:rsidRPr="00761653">
        <w:t xml:space="preserve"> или магнитно-резонансной томографии (МРТ). Исследование спинномозговой жидкости (СМЖ) включает микроскопию, посев на бактерии и грибы, определение антигена </w:t>
      </w:r>
      <w:r w:rsidRPr="00761653">
        <w:rPr>
          <w:i/>
          <w:iCs/>
        </w:rPr>
        <w:t xml:space="preserve">Cryptococcus </w:t>
      </w:r>
      <w:r w:rsidRPr="00761653">
        <w:t xml:space="preserve">spp. (глюкороксиломаннан), определение антигена </w:t>
      </w:r>
      <w:r w:rsidRPr="00761653">
        <w:rPr>
          <w:i/>
          <w:iCs/>
        </w:rPr>
        <w:t>Aspergillus</w:t>
      </w:r>
      <w:r w:rsidRPr="00761653">
        <w:t xml:space="preserve"> spp. (галактоманнан) у </w:t>
      </w:r>
      <w:r>
        <w:t>пациентов</w:t>
      </w:r>
      <w:r w:rsidRPr="00761653">
        <w:t xml:space="preserve"> с инвазивным аспергиллезом легких или околоносовых пазух, определение дезоксирибонуклеиновой кислоты (ДНК) герпесвирусов методом полимеразной цепной реакции (ПЦР), при наличии нейтрофильного цитоза – определение антигенов бактерий (</w:t>
      </w:r>
      <w:r w:rsidRPr="00761653">
        <w:rPr>
          <w:i/>
          <w:iCs/>
        </w:rPr>
        <w:t>Streptococcus pneumoniae, Haemophilus</w:t>
      </w:r>
      <w:r w:rsidRPr="00761653">
        <w:t xml:space="preserve"> </w:t>
      </w:r>
      <w:r w:rsidRPr="00761653">
        <w:rPr>
          <w:i/>
          <w:iCs/>
        </w:rPr>
        <w:t>influenzae, Neisseria meningitidis,</w:t>
      </w:r>
      <w:r w:rsidRPr="00761653">
        <w:t xml:space="preserve"> стрептококки группы В), при наличии очагов в головном мозге – определение ДНК </w:t>
      </w:r>
      <w:r w:rsidRPr="00761653">
        <w:rPr>
          <w:i/>
          <w:iCs/>
        </w:rPr>
        <w:t>Toxoplasma gondii</w:t>
      </w:r>
      <w:r w:rsidRPr="00761653">
        <w:t xml:space="preserve"> методом ПЦР (группу риска представляют реципиенты аллогенной ТГСК).</w:t>
      </w:r>
    </w:p>
    <w:p w14:paraId="6221FE2A" w14:textId="77777777" w:rsidR="00B61B7C" w:rsidRPr="00C73751" w:rsidRDefault="00B61B7C" w:rsidP="00B61B7C">
      <w:pPr>
        <w:widowControl w:val="0"/>
        <w:tabs>
          <w:tab w:val="left" w:pos="0"/>
        </w:tabs>
        <w:autoSpaceDE w:val="0"/>
        <w:autoSpaceDN w:val="0"/>
        <w:adjustRightInd w:val="0"/>
        <w:ind w:right="49"/>
        <w:contextualSpacing/>
      </w:pPr>
      <w:r w:rsidRPr="00284D51">
        <w:rPr>
          <w:i/>
          <w:iCs/>
        </w:rPr>
        <w:t>Микробиологическое исследование кала</w:t>
      </w:r>
      <w:r>
        <w:t xml:space="preserve"> проводят </w:t>
      </w:r>
      <w:r w:rsidRPr="00761653">
        <w:t xml:space="preserve">у </w:t>
      </w:r>
      <w:r>
        <w:t>пациентов с диареей для о</w:t>
      </w:r>
      <w:r w:rsidRPr="00C73751">
        <w:t>пределени</w:t>
      </w:r>
      <w:r>
        <w:t>я</w:t>
      </w:r>
      <w:r w:rsidRPr="00C73751">
        <w:t xml:space="preserve"> токсинов </w:t>
      </w:r>
      <w:r w:rsidRPr="00C73751">
        <w:rPr>
          <w:i/>
        </w:rPr>
        <w:t>Clostridioides difficile</w:t>
      </w:r>
      <w:r w:rsidRPr="00C73751">
        <w:t xml:space="preserve"> в кале</w:t>
      </w:r>
      <w:r>
        <w:t xml:space="preserve">. </w:t>
      </w:r>
      <w:r w:rsidRPr="00C73751">
        <w:t xml:space="preserve">Если результат этого теста оказывается отрицательным, проводят количественное исследование на условно-патогенные микроорганизмы, а также на </w:t>
      </w:r>
      <w:r w:rsidRPr="00C73751">
        <w:rPr>
          <w:i/>
        </w:rPr>
        <w:t>С</w:t>
      </w:r>
      <w:r w:rsidRPr="00DB1FCB">
        <w:rPr>
          <w:i/>
        </w:rPr>
        <w:t>ryptosporidium</w:t>
      </w:r>
      <w:r w:rsidRPr="00C73751">
        <w:rPr>
          <w:i/>
        </w:rPr>
        <w:t xml:space="preserve"> </w:t>
      </w:r>
      <w:r w:rsidRPr="00DB1FCB">
        <w:rPr>
          <w:i/>
        </w:rPr>
        <w:t>parvum</w:t>
      </w:r>
      <w:r w:rsidRPr="00C73751">
        <w:rPr>
          <w:i/>
        </w:rPr>
        <w:t xml:space="preserve">, </w:t>
      </w:r>
      <w:r w:rsidRPr="00DB1FCB">
        <w:rPr>
          <w:i/>
        </w:rPr>
        <w:t>Salmonella</w:t>
      </w:r>
      <w:r w:rsidRPr="00C73751">
        <w:rPr>
          <w:i/>
        </w:rPr>
        <w:t xml:space="preserve"> </w:t>
      </w:r>
      <w:r w:rsidRPr="00DB1FCB">
        <w:rPr>
          <w:i/>
        </w:rPr>
        <w:t>spp</w:t>
      </w:r>
      <w:r w:rsidRPr="00C73751">
        <w:rPr>
          <w:i/>
        </w:rPr>
        <w:t xml:space="preserve">., </w:t>
      </w:r>
      <w:r w:rsidRPr="00DB1FCB">
        <w:rPr>
          <w:i/>
        </w:rPr>
        <w:t>Shigella</w:t>
      </w:r>
      <w:r w:rsidRPr="00C73751">
        <w:rPr>
          <w:i/>
        </w:rPr>
        <w:t xml:space="preserve"> </w:t>
      </w:r>
      <w:r w:rsidRPr="00DB1FCB">
        <w:rPr>
          <w:i/>
        </w:rPr>
        <w:t>spp</w:t>
      </w:r>
      <w:r w:rsidRPr="00C73751">
        <w:rPr>
          <w:i/>
        </w:rPr>
        <w:t xml:space="preserve">., </w:t>
      </w:r>
      <w:r w:rsidRPr="00DB1FCB">
        <w:rPr>
          <w:i/>
        </w:rPr>
        <w:t>Listeria</w:t>
      </w:r>
      <w:r w:rsidRPr="00C73751">
        <w:rPr>
          <w:i/>
        </w:rPr>
        <w:t xml:space="preserve"> </w:t>
      </w:r>
      <w:r w:rsidRPr="00DB1FCB">
        <w:rPr>
          <w:i/>
        </w:rPr>
        <w:t>spp</w:t>
      </w:r>
      <w:r w:rsidRPr="00C73751">
        <w:rPr>
          <w:i/>
        </w:rPr>
        <w:t xml:space="preserve">., </w:t>
      </w:r>
      <w:r w:rsidRPr="00DB1FCB">
        <w:rPr>
          <w:i/>
        </w:rPr>
        <w:t>Yersenia</w:t>
      </w:r>
      <w:r w:rsidRPr="00C73751">
        <w:rPr>
          <w:i/>
        </w:rPr>
        <w:t xml:space="preserve"> </w:t>
      </w:r>
      <w:r w:rsidRPr="00DB1FCB">
        <w:rPr>
          <w:i/>
        </w:rPr>
        <w:t>spp</w:t>
      </w:r>
      <w:r w:rsidRPr="00C73751">
        <w:rPr>
          <w:i/>
        </w:rPr>
        <w:t>.</w:t>
      </w:r>
      <w:r w:rsidRPr="00C73751">
        <w:t xml:space="preserve">, вирусы (ротавирусы, аденовирусы). Энтероколиты могут быть обусловлены </w:t>
      </w:r>
      <w:r w:rsidRPr="00DB1FCB">
        <w:rPr>
          <w:i/>
        </w:rPr>
        <w:t>Candida</w:t>
      </w:r>
      <w:r w:rsidRPr="00C73751">
        <w:rPr>
          <w:i/>
        </w:rPr>
        <w:t xml:space="preserve"> </w:t>
      </w:r>
      <w:r w:rsidRPr="00DB1FCB">
        <w:rPr>
          <w:i/>
        </w:rPr>
        <w:t>spp</w:t>
      </w:r>
      <w:r w:rsidRPr="00C73751">
        <w:t xml:space="preserve">. При количественном исследовании кала следует обращать внимание на выделение штаммов </w:t>
      </w:r>
      <w:r w:rsidRPr="00DB1FCB">
        <w:rPr>
          <w:i/>
        </w:rPr>
        <w:t>Pseudomonas</w:t>
      </w:r>
      <w:r w:rsidRPr="00C73751">
        <w:rPr>
          <w:i/>
        </w:rPr>
        <w:t xml:space="preserve"> </w:t>
      </w:r>
      <w:r w:rsidRPr="00DB1FCB">
        <w:rPr>
          <w:i/>
        </w:rPr>
        <w:t>aeruginosa</w:t>
      </w:r>
      <w:r w:rsidRPr="00C73751">
        <w:t>, энтеробактерий (</w:t>
      </w:r>
      <w:r w:rsidRPr="00DB1FCB">
        <w:rPr>
          <w:i/>
        </w:rPr>
        <w:t>Escherichia</w:t>
      </w:r>
      <w:r w:rsidRPr="00C73751">
        <w:rPr>
          <w:i/>
        </w:rPr>
        <w:t xml:space="preserve"> </w:t>
      </w:r>
      <w:r w:rsidRPr="00DB1FCB">
        <w:rPr>
          <w:i/>
        </w:rPr>
        <w:t>coli</w:t>
      </w:r>
      <w:r w:rsidRPr="00C73751">
        <w:rPr>
          <w:i/>
        </w:rPr>
        <w:t xml:space="preserve">, </w:t>
      </w:r>
      <w:r w:rsidRPr="00DB1FCB">
        <w:rPr>
          <w:i/>
        </w:rPr>
        <w:t>Klebsiella</w:t>
      </w:r>
      <w:r w:rsidRPr="00C73751">
        <w:rPr>
          <w:i/>
        </w:rPr>
        <w:t xml:space="preserve"> </w:t>
      </w:r>
      <w:r w:rsidRPr="00DB1FCB">
        <w:rPr>
          <w:i/>
        </w:rPr>
        <w:t>spp</w:t>
      </w:r>
      <w:r w:rsidRPr="00C73751">
        <w:rPr>
          <w:i/>
        </w:rPr>
        <w:t>.),</w:t>
      </w:r>
      <w:r w:rsidRPr="00C73751">
        <w:t xml:space="preserve"> продуцирующих БЛРС или карбапенемазы. У больных с персистирующей фебрильной нейтропенией и отсутствием положительной гемокультуры эти микроорганизмы могут быть причиной инфекции. </w:t>
      </w:r>
    </w:p>
    <w:p w14:paraId="4D208ADE" w14:textId="77777777" w:rsidR="00B61B7C" w:rsidRPr="00761653" w:rsidRDefault="00B61B7C" w:rsidP="00B61B7C">
      <w:pPr>
        <w:widowControl w:val="0"/>
        <w:tabs>
          <w:tab w:val="left" w:pos="0"/>
        </w:tabs>
        <w:autoSpaceDE w:val="0"/>
        <w:autoSpaceDN w:val="0"/>
        <w:adjustRightInd w:val="0"/>
        <w:ind w:right="49"/>
        <w:contextualSpacing/>
      </w:pPr>
      <w:r w:rsidRPr="00284D51">
        <w:rPr>
          <w:i/>
          <w:iCs/>
        </w:rPr>
        <w:t>Микробиологическое исследование мазка со слизистой оболочки носоглотки</w:t>
      </w:r>
      <w:r>
        <w:t xml:space="preserve"> проводят при наличии</w:t>
      </w:r>
      <w:r w:rsidRPr="00761653">
        <w:t xml:space="preserve"> признаков </w:t>
      </w:r>
      <w:r>
        <w:t>стоматита (</w:t>
      </w:r>
      <w:r w:rsidRPr="00761653">
        <w:t>мукозита</w:t>
      </w:r>
      <w:r>
        <w:t>)</w:t>
      </w:r>
      <w:r w:rsidRPr="00761653">
        <w:t xml:space="preserve">. Проводят культуральное исследование на грамотрицательные бактерии и дрожжевые грибы. При выделении грамотрицательных бактерий осуществляют идентификацию до вида, определение чувствительности к антибиотикам, детекцию продукции β-лактамаз расишернного спектра (БЛРС) у энтеробактерий, постановку теста modified carbapenem inactivation method (mCIM) или carbapenem inactivation method (CIM) для определения продукции карбапенемаз среди карбапенемоустойчивых энтеробактерий и </w:t>
      </w:r>
      <w:r w:rsidRPr="00761653">
        <w:rPr>
          <w:i/>
          <w:iCs/>
        </w:rPr>
        <w:t>P. aeruginosa</w:t>
      </w:r>
      <w:r w:rsidRPr="00761653">
        <w:rPr>
          <w:iCs/>
        </w:rPr>
        <w:t xml:space="preserve">, определение групп карбапенемаз методом ПЦР при положительном тесте mCIM (или CIM). </w:t>
      </w:r>
      <w:r w:rsidRPr="00761653">
        <w:t xml:space="preserve">При выделении дрожжевых грибов со слизистой оболочки ротоглотки проводят только идентификацию до вида. </w:t>
      </w:r>
    </w:p>
    <w:p w14:paraId="747C38EB" w14:textId="77777777" w:rsidR="00B61B7C" w:rsidRPr="00761653" w:rsidRDefault="00B61B7C" w:rsidP="00B61B7C">
      <w:pPr>
        <w:widowControl w:val="0"/>
        <w:autoSpaceDE w:val="0"/>
        <w:autoSpaceDN w:val="0"/>
        <w:adjustRightInd w:val="0"/>
        <w:ind w:right="49"/>
        <w:contextualSpacing/>
      </w:pPr>
      <w:r w:rsidRPr="00284D51">
        <w:rPr>
          <w:i/>
          <w:iCs/>
        </w:rPr>
        <w:t>Микробиологическое исследование соскоба или биоптата со слизистой оболочки пищевода</w:t>
      </w:r>
      <w:r w:rsidRPr="00284D51">
        <w:rPr>
          <w:b/>
          <w:bCs/>
        </w:rPr>
        <w:t xml:space="preserve"> </w:t>
      </w:r>
      <w:r w:rsidRPr="00284D51">
        <w:t>проводят при клиническоой картине эзофагита, боли по ходу пищевода. Во</w:t>
      </w:r>
      <w:r w:rsidRPr="00761653">
        <w:t xml:space="preserve"> время эзофагоскопии проводят соскоб со слизистой оболочки пищевода (браш-метод при нейтропении) или биопсию (вне нейтропении и тромбоцитопении). Проводят культуральное исследование на бактерии и дрожжевые грибы, определение ДНК герпесвирусов </w:t>
      </w:r>
      <w:r>
        <w:t>(</w:t>
      </w:r>
      <w:r w:rsidRPr="00C73751">
        <w:t xml:space="preserve">ДНК вируса простого герпеса, </w:t>
      </w:r>
      <w:r>
        <w:t>цитомегаловируса)</w:t>
      </w:r>
      <w:r w:rsidRPr="00761653">
        <w:t xml:space="preserve"> методом ПЦР, идентификацию и определение чувствительности всех выделенных микроорганизмов</w:t>
      </w:r>
      <w:r>
        <w:t>, гистологическое исследование (с иммуногистохимическим исследованием при необходимости)</w:t>
      </w:r>
      <w:r w:rsidRPr="00761653">
        <w:t>.</w:t>
      </w:r>
    </w:p>
    <w:p w14:paraId="5CA07A24" w14:textId="77777777" w:rsidR="00B61B7C" w:rsidRPr="00761653" w:rsidRDefault="00B61B7C" w:rsidP="00B61B7C">
      <w:pPr>
        <w:widowControl w:val="0"/>
        <w:autoSpaceDE w:val="0"/>
        <w:autoSpaceDN w:val="0"/>
        <w:adjustRightInd w:val="0"/>
        <w:ind w:right="49"/>
        <w:contextualSpacing/>
      </w:pPr>
      <w:r w:rsidRPr="00284D51">
        <w:rPr>
          <w:i/>
          <w:iCs/>
        </w:rPr>
        <w:t>Микробиологическое исследование ректальных мазков</w:t>
      </w:r>
      <w:r w:rsidRPr="00284D51">
        <w:rPr>
          <w:b/>
          <w:bCs/>
        </w:rPr>
        <w:t xml:space="preserve"> </w:t>
      </w:r>
      <w:r w:rsidRPr="00284D51">
        <w:t>проводят с целью детекции</w:t>
      </w:r>
      <w:r w:rsidRPr="00761653">
        <w:t xml:space="preserve"> колонизации слизистой оболочки кишечника полирезистентными грамотрицательными бактериями и грибами рода </w:t>
      </w:r>
      <w:r w:rsidRPr="00761653">
        <w:rPr>
          <w:i/>
        </w:rPr>
        <w:t>Candida</w:t>
      </w:r>
      <w:r w:rsidRPr="00761653">
        <w:t>.</w:t>
      </w:r>
    </w:p>
    <w:p w14:paraId="137AB124" w14:textId="77777777" w:rsidR="00B61B7C" w:rsidRDefault="00B61B7C" w:rsidP="00B61B7C">
      <w:pPr>
        <w:widowControl w:val="0"/>
        <w:tabs>
          <w:tab w:val="left" w:pos="0"/>
        </w:tabs>
        <w:autoSpaceDE w:val="0"/>
        <w:autoSpaceDN w:val="0"/>
        <w:adjustRightInd w:val="0"/>
        <w:ind w:right="49"/>
        <w:contextualSpacing/>
      </w:pPr>
      <w:r w:rsidRPr="00761653">
        <w:t xml:space="preserve">Исследование </w:t>
      </w:r>
      <w:r>
        <w:t>показано:</w:t>
      </w:r>
      <w:r w:rsidRPr="00761653">
        <w:t xml:space="preserve"> </w:t>
      </w:r>
    </w:p>
    <w:p w14:paraId="64EA616E" w14:textId="77777777" w:rsidR="00B61B7C" w:rsidRPr="00C73751" w:rsidRDefault="00B61B7C" w:rsidP="00B20852">
      <w:pPr>
        <w:pStyle w:val="afe"/>
        <w:widowControl w:val="0"/>
        <w:numPr>
          <w:ilvl w:val="0"/>
          <w:numId w:val="72"/>
        </w:numPr>
        <w:tabs>
          <w:tab w:val="left" w:pos="0"/>
        </w:tabs>
        <w:autoSpaceDE w:val="0"/>
        <w:autoSpaceDN w:val="0"/>
        <w:adjustRightInd w:val="0"/>
        <w:ind w:right="49"/>
      </w:pPr>
      <w:r w:rsidRPr="00CB604C">
        <w:t>при инфекции промежности</w:t>
      </w:r>
      <w:r>
        <w:t>, в</w:t>
      </w:r>
      <w:r w:rsidRPr="00C73751">
        <w:t>оспалени</w:t>
      </w:r>
      <w:r>
        <w:t>и</w:t>
      </w:r>
      <w:r w:rsidRPr="00C73751">
        <w:t xml:space="preserve"> или повреждени</w:t>
      </w:r>
      <w:r>
        <w:t>и</w:t>
      </w:r>
      <w:r w:rsidRPr="00C73751">
        <w:t xml:space="preserve"> слизистой прямой кишки (трещина, парапроктит и др.);</w:t>
      </w:r>
    </w:p>
    <w:p w14:paraId="0EA8B160" w14:textId="77777777" w:rsidR="00B61B7C" w:rsidRDefault="00B61B7C" w:rsidP="00B20852">
      <w:pPr>
        <w:pStyle w:val="afe"/>
        <w:widowControl w:val="0"/>
        <w:numPr>
          <w:ilvl w:val="0"/>
          <w:numId w:val="72"/>
        </w:numPr>
        <w:tabs>
          <w:tab w:val="left" w:pos="0"/>
        </w:tabs>
        <w:autoSpaceDE w:val="0"/>
        <w:autoSpaceDN w:val="0"/>
        <w:adjustRightInd w:val="0"/>
        <w:ind w:right="49"/>
      </w:pPr>
      <w:r w:rsidRPr="00CB604C">
        <w:t xml:space="preserve">у </w:t>
      </w:r>
      <w:r>
        <w:t>пациентов</w:t>
      </w:r>
      <w:r w:rsidRPr="00CB604C">
        <w:t xml:space="preserve"> с персистирующей фебрильной нейтропенией длительностью от 4-5 дней и отсутствием диагностически значимых результатов исследований; </w:t>
      </w:r>
    </w:p>
    <w:p w14:paraId="78A95F60" w14:textId="77777777" w:rsidR="00B61B7C" w:rsidRDefault="00B61B7C" w:rsidP="00B20852">
      <w:pPr>
        <w:pStyle w:val="afe"/>
        <w:widowControl w:val="0"/>
        <w:numPr>
          <w:ilvl w:val="0"/>
          <w:numId w:val="72"/>
        </w:numPr>
        <w:tabs>
          <w:tab w:val="left" w:pos="0"/>
        </w:tabs>
        <w:autoSpaceDE w:val="0"/>
        <w:autoSpaceDN w:val="0"/>
        <w:adjustRightInd w:val="0"/>
        <w:ind w:right="49"/>
      </w:pPr>
      <w:r w:rsidRPr="00CB604C">
        <w:t xml:space="preserve">в качестве скрининга в группе высокого риска развития инфекций у </w:t>
      </w:r>
      <w:r>
        <w:t>пациентов</w:t>
      </w:r>
      <w:r w:rsidRPr="00CB604C">
        <w:t xml:space="preserve"> острыми лейкозами и у реципиентов аллогенного костного мозга при поступлении в стационар, затем каждые 7 дней до восстановления гранулоцитов в крови или лейкоцитов &gt;1,0</w:t>
      </w:r>
      <w:r>
        <w:t> </w:t>
      </w:r>
      <w:r w:rsidRPr="00CB604C">
        <w:t>×</w:t>
      </w:r>
      <w:r>
        <w:t> </w:t>
      </w:r>
      <w:r w:rsidRPr="00CB604C">
        <w:t>10</w:t>
      </w:r>
      <w:r w:rsidRPr="00CB604C">
        <w:rPr>
          <w:vertAlign w:val="superscript"/>
        </w:rPr>
        <w:t>9</w:t>
      </w:r>
      <w:r w:rsidRPr="00CB604C">
        <w:t xml:space="preserve">/л; </w:t>
      </w:r>
    </w:p>
    <w:p w14:paraId="14BCEC39" w14:textId="6E0739FD" w:rsidR="00B61B7C" w:rsidRPr="00CB604C" w:rsidRDefault="00B61B7C" w:rsidP="00B61B7C">
      <w:pPr>
        <w:widowControl w:val="0"/>
        <w:tabs>
          <w:tab w:val="left" w:pos="0"/>
        </w:tabs>
        <w:autoSpaceDE w:val="0"/>
        <w:autoSpaceDN w:val="0"/>
        <w:adjustRightInd w:val="0"/>
        <w:ind w:right="49"/>
      </w:pPr>
      <w:r w:rsidRPr="00CB604C">
        <w:t xml:space="preserve">С учетом выделенных микроорганизмов может быть проведена коррекция антимикробной терапии при отсутствии диагностически значимых результатов исследований из клинически значимых образцов у </w:t>
      </w:r>
      <w:r>
        <w:t>пациентов</w:t>
      </w:r>
      <w:r w:rsidRPr="00CB604C">
        <w:t xml:space="preserve"> с персистирующей фебрильной нейтропенией. Обращают внимание на выделение полирезистентных грамотрицательных бактерий – </w:t>
      </w:r>
      <w:r w:rsidRPr="00CB604C">
        <w:rPr>
          <w:i/>
          <w:iCs/>
        </w:rPr>
        <w:t>P. aeruginosa,</w:t>
      </w:r>
      <w:r w:rsidRPr="00CB604C">
        <w:rPr>
          <w:i/>
        </w:rPr>
        <w:t xml:space="preserve"> A. baumannii, S. maltophilia</w:t>
      </w:r>
      <w:r w:rsidRPr="00CB604C">
        <w:t xml:space="preserve">, энтеробактерий с продукцией БЛРС или карбапенемаз, </w:t>
      </w:r>
    </w:p>
    <w:p w14:paraId="2EBF1469" w14:textId="77777777" w:rsidR="00B61B7C" w:rsidRDefault="00B61B7C" w:rsidP="00B61B7C">
      <w:pPr>
        <w:widowControl w:val="0"/>
        <w:tabs>
          <w:tab w:val="left" w:pos="0"/>
        </w:tabs>
        <w:autoSpaceDE w:val="0"/>
        <w:autoSpaceDN w:val="0"/>
        <w:adjustRightInd w:val="0"/>
        <w:ind w:right="49"/>
        <w:contextualSpacing/>
      </w:pPr>
      <w:r w:rsidRPr="00284D51">
        <w:rPr>
          <w:i/>
          <w:iCs/>
        </w:rPr>
        <w:t>Микробиологическое исследование мазка со слизистой оболочки носовых ходов</w:t>
      </w:r>
      <w:r w:rsidRPr="00225D7F">
        <w:rPr>
          <w:i/>
          <w:iCs/>
          <w:u w:val="single"/>
        </w:rPr>
        <w:t xml:space="preserve"> </w:t>
      </w:r>
      <w:r>
        <w:t>проводят по следующим показаниям:</w:t>
      </w:r>
    </w:p>
    <w:p w14:paraId="737EC17B" w14:textId="77777777" w:rsidR="00B61B7C" w:rsidRDefault="00B61B7C" w:rsidP="00B20852">
      <w:pPr>
        <w:pStyle w:val="afe"/>
        <w:widowControl w:val="0"/>
        <w:numPr>
          <w:ilvl w:val="0"/>
          <w:numId w:val="73"/>
        </w:numPr>
        <w:tabs>
          <w:tab w:val="left" w:pos="0"/>
        </w:tabs>
        <w:autoSpaceDE w:val="0"/>
        <w:autoSpaceDN w:val="0"/>
        <w:adjustRightInd w:val="0"/>
        <w:ind w:right="49"/>
      </w:pPr>
      <w:r w:rsidRPr="00CB604C">
        <w:t>наличие некроза слизистой оболочки носового хода</w:t>
      </w:r>
      <w:r>
        <w:t xml:space="preserve"> (</w:t>
      </w:r>
      <w:r w:rsidRPr="00CB604C">
        <w:t>посев только на плесневые (мицелиальные) грибы</w:t>
      </w:r>
      <w:r>
        <w:t>)</w:t>
      </w:r>
      <w:r w:rsidRPr="00CB604C">
        <w:t xml:space="preserve">; </w:t>
      </w:r>
    </w:p>
    <w:p w14:paraId="60D17482" w14:textId="77777777" w:rsidR="00B61B7C" w:rsidRPr="00CB604C" w:rsidRDefault="00B61B7C" w:rsidP="00B20852">
      <w:pPr>
        <w:pStyle w:val="afe"/>
        <w:widowControl w:val="0"/>
        <w:numPr>
          <w:ilvl w:val="0"/>
          <w:numId w:val="73"/>
        </w:numPr>
        <w:tabs>
          <w:tab w:val="left" w:pos="0"/>
        </w:tabs>
        <w:autoSpaceDE w:val="0"/>
        <w:autoSpaceDN w:val="0"/>
        <w:adjustRightInd w:val="0"/>
        <w:ind w:right="49"/>
      </w:pPr>
      <w:r w:rsidRPr="00CB604C">
        <w:t xml:space="preserve">исследование колонизации </w:t>
      </w:r>
      <w:r w:rsidRPr="00CB604C">
        <w:rPr>
          <w:i/>
        </w:rPr>
        <w:t>Staphylococcus aureus</w:t>
      </w:r>
      <w:r w:rsidRPr="00CB604C">
        <w:t xml:space="preserve"> у больных с пиодермией.  </w:t>
      </w:r>
    </w:p>
    <w:p w14:paraId="5E6F7D8F" w14:textId="77777777" w:rsidR="00B61B7C" w:rsidRPr="00761653" w:rsidRDefault="00B61B7C" w:rsidP="00B61B7C">
      <w:pPr>
        <w:widowControl w:val="0"/>
        <w:autoSpaceDE w:val="0"/>
        <w:autoSpaceDN w:val="0"/>
        <w:adjustRightInd w:val="0"/>
        <w:ind w:right="-93"/>
        <w:contextualSpacing/>
        <w:rPr>
          <w:b/>
          <w:bCs/>
        </w:rPr>
      </w:pPr>
      <w:r w:rsidRPr="00284D51">
        <w:rPr>
          <w:i/>
          <w:iCs/>
        </w:rPr>
        <w:t>Микробиологическое исследование биоптатов / соскобов / отделяемого пораженных участков кожи</w:t>
      </w:r>
      <w:r w:rsidRPr="00284D51">
        <w:rPr>
          <w:b/>
          <w:bCs/>
        </w:rPr>
        <w:t xml:space="preserve"> </w:t>
      </w:r>
      <w:r w:rsidRPr="00284D51">
        <w:t>проводят при наличии септикопиемических очагов кожи (инфильтраты в</w:t>
      </w:r>
      <w:r w:rsidRPr="00761653">
        <w:t xml:space="preserve"> дерме любых размеров, возникшие при </w:t>
      </w:r>
      <w:r>
        <w:t>гипертермии</w:t>
      </w:r>
      <w:r w:rsidRPr="00761653">
        <w:t>) или других образований на коже.</w:t>
      </w:r>
      <w:r w:rsidRPr="00761653">
        <w:rPr>
          <w:b/>
          <w:bCs/>
        </w:rPr>
        <w:t xml:space="preserve"> </w:t>
      </w:r>
      <w:r w:rsidRPr="00761653">
        <w:t xml:space="preserve">Проводят гистологическое и микробиологическое </w:t>
      </w:r>
      <w:r>
        <w:t xml:space="preserve">(культуральное) </w:t>
      </w:r>
      <w:r w:rsidRPr="00761653">
        <w:t xml:space="preserve">исследование на наличие </w:t>
      </w:r>
      <w:r>
        <w:t xml:space="preserve">бактерий, </w:t>
      </w:r>
      <w:r w:rsidRPr="00761653">
        <w:t>грибов</w:t>
      </w:r>
      <w:r>
        <w:t>, туберкуляза</w:t>
      </w:r>
      <w:r w:rsidRPr="00761653">
        <w:t xml:space="preserve">; </w:t>
      </w:r>
      <w:r>
        <w:t xml:space="preserve">микроскопическое исследование </w:t>
      </w:r>
      <w:r w:rsidRPr="00761653">
        <w:t>с окраской по Граму, Цилю-Нильсену, калькофлюором белым.</w:t>
      </w:r>
    </w:p>
    <w:p w14:paraId="7630CB16" w14:textId="77777777" w:rsidR="00B61B7C" w:rsidRPr="009F2603" w:rsidRDefault="00B61B7C" w:rsidP="00B61B7C">
      <w:pPr>
        <w:widowControl w:val="0"/>
        <w:autoSpaceDE w:val="0"/>
        <w:autoSpaceDN w:val="0"/>
        <w:adjustRightInd w:val="0"/>
        <w:contextualSpacing/>
        <w:rPr>
          <w:b/>
          <w:bCs/>
        </w:rPr>
      </w:pPr>
      <w:r w:rsidRPr="00284D51">
        <w:rPr>
          <w:i/>
          <w:iCs/>
        </w:rPr>
        <w:t>Исследование жидкости бронхоальвеолярного лаважа</w:t>
      </w:r>
      <w:r w:rsidRPr="00284D51">
        <w:t xml:space="preserve"> (БАЛ) проводят при наличии</w:t>
      </w:r>
      <w:r w:rsidRPr="00761653">
        <w:t xml:space="preserve"> изменений в легких. Исследование </w:t>
      </w:r>
      <w:r>
        <w:t xml:space="preserve">лаважной </w:t>
      </w:r>
      <w:r w:rsidRPr="00761653">
        <w:t xml:space="preserve">жидкости включает цитологию мазков, микроскопию мазков световую (окраска по Граму, Цилю-Нильсену) и флуоресцентную (окраска калькофлуором белым для детекции мицелия грибов), микробиологическое </w:t>
      </w:r>
      <w:r>
        <w:t xml:space="preserve">(культуральное) </w:t>
      </w:r>
      <w:r w:rsidRPr="00761653">
        <w:t xml:space="preserve">исследование на бактерии, включая </w:t>
      </w:r>
      <w:r w:rsidRPr="00761653">
        <w:rPr>
          <w:i/>
          <w:iCs/>
        </w:rPr>
        <w:t>Legionella</w:t>
      </w:r>
      <w:r w:rsidRPr="00761653">
        <w:t xml:space="preserve"> spp., и грибы, флюоресцентную микроскопию </w:t>
      </w:r>
      <w:r w:rsidRPr="00761653">
        <w:rPr>
          <w:i/>
          <w:iCs/>
        </w:rPr>
        <w:t xml:space="preserve">Pneumocystis jirovecii, </w:t>
      </w:r>
      <w:r>
        <w:rPr>
          <w:iCs/>
        </w:rPr>
        <w:t xml:space="preserve">молекулярно-биологическое исследование для </w:t>
      </w:r>
      <w:r w:rsidRPr="00761653">
        <w:t>определени</w:t>
      </w:r>
      <w:r>
        <w:t>я</w:t>
      </w:r>
      <w:r w:rsidRPr="00761653">
        <w:t xml:space="preserve"> ДНК </w:t>
      </w:r>
      <w:r w:rsidRPr="00761653">
        <w:rPr>
          <w:i/>
          <w:iCs/>
        </w:rPr>
        <w:t xml:space="preserve">P. jirovecii </w:t>
      </w:r>
      <w:r w:rsidRPr="00761653">
        <w:t>методом ПЦР, определени</w:t>
      </w:r>
      <w:r>
        <w:t>я</w:t>
      </w:r>
      <w:r w:rsidRPr="00761653">
        <w:t xml:space="preserve"> антигена </w:t>
      </w:r>
      <w:r w:rsidRPr="00761653">
        <w:rPr>
          <w:i/>
          <w:iCs/>
        </w:rPr>
        <w:t>Aspergillus</w:t>
      </w:r>
      <w:r w:rsidRPr="00761653">
        <w:t xml:space="preserve"> (галактоманнан) в жидкости БАЛ, </w:t>
      </w:r>
      <w:r>
        <w:t xml:space="preserve">молекулярно-биологичесие </w:t>
      </w:r>
      <w:r w:rsidRPr="00761653">
        <w:t>исследовани</w:t>
      </w:r>
      <w:r>
        <w:t>я</w:t>
      </w:r>
      <w:r w:rsidRPr="00761653">
        <w:t xml:space="preserve"> на микобактерии методом ПЦР, </w:t>
      </w:r>
      <w:r>
        <w:t xml:space="preserve">для </w:t>
      </w:r>
      <w:r w:rsidRPr="00761653">
        <w:t>определени</w:t>
      </w:r>
      <w:r>
        <w:t>я</w:t>
      </w:r>
      <w:r w:rsidRPr="00761653">
        <w:t xml:space="preserve"> ДНК </w:t>
      </w:r>
      <w:r w:rsidRPr="00761653">
        <w:rPr>
          <w:i/>
          <w:iCs/>
        </w:rPr>
        <w:t xml:space="preserve">Mycoplasma pneumoniae </w:t>
      </w:r>
      <w:r w:rsidRPr="00761653">
        <w:rPr>
          <w:iCs/>
        </w:rPr>
        <w:t>и</w:t>
      </w:r>
      <w:r w:rsidRPr="00761653">
        <w:rPr>
          <w:i/>
          <w:iCs/>
        </w:rPr>
        <w:t xml:space="preserve"> Chlamydophila pneumoniae</w:t>
      </w:r>
      <w:r w:rsidRPr="00761653">
        <w:t xml:space="preserve"> методом ПЦР, определени</w:t>
      </w:r>
      <w:r>
        <w:t>я</w:t>
      </w:r>
      <w:r w:rsidRPr="00761653">
        <w:t xml:space="preserve"> ДНК герпес вирусов и респираторных вирусов (Influenza, Parainfluenza, RSV, Coronavirus, Human metapneumovirus, H1N1) методом ПЦР.</w:t>
      </w:r>
    </w:p>
    <w:p w14:paraId="48EBF9A9" w14:textId="77777777" w:rsidR="00B61B7C" w:rsidRPr="00284D51" w:rsidRDefault="00B61B7C" w:rsidP="00B61B7C">
      <w:pPr>
        <w:widowControl w:val="0"/>
        <w:tabs>
          <w:tab w:val="left" w:pos="1134"/>
        </w:tabs>
        <w:autoSpaceDE w:val="0"/>
        <w:autoSpaceDN w:val="0"/>
        <w:adjustRightInd w:val="0"/>
        <w:contextualSpacing/>
        <w:rPr>
          <w:b/>
        </w:rPr>
      </w:pPr>
      <w:r w:rsidRPr="00284D51">
        <w:rPr>
          <w:i/>
          <w:iCs/>
        </w:rPr>
        <w:t>Определение антигена Legionella pneumophila в моче</w:t>
      </w:r>
      <w:r w:rsidRPr="00284D51">
        <w:rPr>
          <w:b/>
        </w:rPr>
        <w:t xml:space="preserve"> </w:t>
      </w:r>
      <w:r w:rsidRPr="00284D51">
        <w:t>проводится при наличии</w:t>
      </w:r>
      <w:r w:rsidRPr="00761653">
        <w:t xml:space="preserve"> </w:t>
      </w:r>
      <w:r w:rsidRPr="00284D51">
        <w:t>пневмонии с очагами консолидации.</w:t>
      </w:r>
    </w:p>
    <w:p w14:paraId="1FD5AD2D" w14:textId="77777777" w:rsidR="00B61B7C" w:rsidRPr="00284D51" w:rsidRDefault="00B61B7C" w:rsidP="00B61B7C">
      <w:pPr>
        <w:widowControl w:val="0"/>
        <w:autoSpaceDE w:val="0"/>
        <w:autoSpaceDN w:val="0"/>
        <w:adjustRightInd w:val="0"/>
        <w:contextualSpacing/>
        <w:rPr>
          <w:bCs/>
        </w:rPr>
      </w:pPr>
      <w:r w:rsidRPr="00284D51">
        <w:rPr>
          <w:i/>
          <w:iCs/>
        </w:rPr>
        <w:t>Исследование антигена Aspergillus (галактоманнан) в сыворотке крови, в жидкости БАЛ, в СМЖ</w:t>
      </w:r>
      <w:r w:rsidRPr="00284D51">
        <w:rPr>
          <w:bCs/>
          <w:iCs/>
        </w:rPr>
        <w:t xml:space="preserve"> показано в следующих клинических ситуациях:</w:t>
      </w:r>
      <w:r w:rsidRPr="00284D51">
        <w:rPr>
          <w:bCs/>
        </w:rPr>
        <w:t xml:space="preserve"> </w:t>
      </w:r>
    </w:p>
    <w:p w14:paraId="63615696" w14:textId="77777777" w:rsidR="00B61B7C" w:rsidRPr="00833774" w:rsidRDefault="00B61B7C" w:rsidP="00B20852">
      <w:pPr>
        <w:pStyle w:val="afe"/>
        <w:widowControl w:val="0"/>
        <w:numPr>
          <w:ilvl w:val="0"/>
          <w:numId w:val="74"/>
        </w:numPr>
        <w:tabs>
          <w:tab w:val="left" w:pos="0"/>
        </w:tabs>
        <w:autoSpaceDE w:val="0"/>
        <w:autoSpaceDN w:val="0"/>
        <w:adjustRightInd w:val="0"/>
      </w:pPr>
      <w:r w:rsidRPr="00833774">
        <w:rPr>
          <w:bCs/>
        </w:rPr>
        <w:t xml:space="preserve">мониторинг в период нейтропении у </w:t>
      </w:r>
      <w:r>
        <w:rPr>
          <w:bCs/>
        </w:rPr>
        <w:t>пациентов</w:t>
      </w:r>
      <w:r w:rsidRPr="00833774">
        <w:rPr>
          <w:bCs/>
        </w:rPr>
        <w:t xml:space="preserve"> острыми миело</w:t>
      </w:r>
      <w:r>
        <w:rPr>
          <w:bCs/>
        </w:rPr>
        <w:t>идными лейкозами и у реципиентов</w:t>
      </w:r>
      <w:r w:rsidRPr="00833774">
        <w:rPr>
          <w:bCs/>
        </w:rPr>
        <w:t xml:space="preserve"> аллогеннных гемопоэтических клеток, если не проводится профилактики противогрибковыми препаратами, активными</w:t>
      </w:r>
      <w:r>
        <w:rPr>
          <w:bCs/>
        </w:rPr>
        <w:t xml:space="preserve"> в отношении плесневых грибов; </w:t>
      </w:r>
    </w:p>
    <w:p w14:paraId="28439E06" w14:textId="77777777" w:rsidR="00B61B7C" w:rsidRDefault="00B61B7C" w:rsidP="00B20852">
      <w:pPr>
        <w:pStyle w:val="afe"/>
        <w:widowControl w:val="0"/>
        <w:numPr>
          <w:ilvl w:val="0"/>
          <w:numId w:val="74"/>
        </w:numPr>
        <w:tabs>
          <w:tab w:val="left" w:pos="0"/>
        </w:tabs>
        <w:autoSpaceDE w:val="0"/>
        <w:autoSpaceDN w:val="0"/>
        <w:adjustRightInd w:val="0"/>
      </w:pPr>
      <w:r w:rsidRPr="00680401">
        <w:t>у пациентов с факторами риска (длительность нейтропении от 10 дней и более, применени</w:t>
      </w:r>
      <w:r>
        <w:t>е глюкокортикоидов, флударабина</w:t>
      </w:r>
      <w:r w:rsidRPr="00680401">
        <w:t>) и р</w:t>
      </w:r>
      <w:r>
        <w:t>ади</w:t>
      </w:r>
      <w:r w:rsidRPr="00680401">
        <w:t xml:space="preserve">ологическими признаками, характерными для инвазивного аспергиллеза, в период нейтропении. </w:t>
      </w:r>
    </w:p>
    <w:p w14:paraId="45120460" w14:textId="77777777" w:rsidR="00B61B7C" w:rsidRDefault="00B61B7C" w:rsidP="00B20852">
      <w:pPr>
        <w:pStyle w:val="afe"/>
        <w:widowControl w:val="0"/>
        <w:numPr>
          <w:ilvl w:val="0"/>
          <w:numId w:val="74"/>
        </w:numPr>
        <w:tabs>
          <w:tab w:val="left" w:pos="0"/>
        </w:tabs>
        <w:autoSpaceDE w:val="0"/>
        <w:autoSpaceDN w:val="0"/>
        <w:adjustRightInd w:val="0"/>
      </w:pPr>
      <w:r>
        <w:t xml:space="preserve">при клинико-радиологических признаках, подозрительных в отношении инвазивного аспергилеза, независимо от </w:t>
      </w:r>
      <w:r w:rsidRPr="00680401">
        <w:t>нейтропении.</w:t>
      </w:r>
    </w:p>
    <w:p w14:paraId="5F3EB98E" w14:textId="4991F705" w:rsidR="00B61B7C" w:rsidRPr="00761653" w:rsidRDefault="00B61B7C" w:rsidP="00B61B7C">
      <w:pPr>
        <w:widowControl w:val="0"/>
        <w:tabs>
          <w:tab w:val="left" w:pos="0"/>
        </w:tabs>
        <w:autoSpaceDE w:val="0"/>
        <w:autoSpaceDN w:val="0"/>
        <w:adjustRightInd w:val="0"/>
      </w:pPr>
      <w:r>
        <w:rPr>
          <w:bCs/>
        </w:rPr>
        <w:tab/>
      </w:r>
      <w:r w:rsidRPr="00680401">
        <w:rPr>
          <w:bCs/>
        </w:rPr>
        <w:t>И</w:t>
      </w:r>
      <w:r w:rsidRPr="00680401">
        <w:t xml:space="preserve">сследование проводят не менее двух раз в течение 5 дней. Антиген </w:t>
      </w:r>
      <w:r w:rsidRPr="00680401">
        <w:rPr>
          <w:i/>
          <w:iCs/>
        </w:rPr>
        <w:t>Aspergillus</w:t>
      </w:r>
      <w:r w:rsidRPr="00680401">
        <w:t xml:space="preserve"> исследуют до назначения противогрибковых препаратов, активных в отношении мицелиальных грибов. Тест включен в критерии диагностики инвазивного аспергиллеза.</w:t>
      </w:r>
      <w:r>
        <w:t xml:space="preserve"> </w:t>
      </w:r>
      <w:r w:rsidRPr="00761653">
        <w:t xml:space="preserve">Положительные значения индекса оптической плотности определения антигена </w:t>
      </w:r>
      <w:r w:rsidRPr="00761653">
        <w:rPr>
          <w:i/>
          <w:iCs/>
        </w:rPr>
        <w:t>Aspergillus</w:t>
      </w:r>
      <w:r w:rsidRPr="00761653">
        <w:t xml:space="preserve"> в сыворотке крови</w:t>
      </w:r>
      <w:r>
        <w:t xml:space="preserve">: </w:t>
      </w:r>
      <w:r w:rsidRPr="00761653">
        <w:t xml:space="preserve"> ≥0,5, в жидкости БАЛ</w:t>
      </w:r>
      <w:r>
        <w:t>:</w:t>
      </w:r>
      <w:r w:rsidRPr="00761653">
        <w:t xml:space="preserve"> ≥1,0, в СМЖ</w:t>
      </w:r>
      <w:r>
        <w:t>:</w:t>
      </w:r>
      <w:r w:rsidRPr="00761653">
        <w:t xml:space="preserve"> ≥1,0</w:t>
      </w:r>
      <w:r>
        <w:t xml:space="preserve"> </w:t>
      </w:r>
      <w:r>
        <w:fldChar w:fldCharType="begin" w:fldLock="1"/>
      </w:r>
      <w:r w:rsidR="00B0402F">
        <w:instrText>ADDIN CSL_CITATION {"citationItems":[{"id":"ITEM-1","itemData":{"DOI":"10.1038/bmt.2010.175","ISSN":"14765365","abstract":"In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Transplantation","id":"ITEM-1","issue":"5","issued":{"date-parts":[["2011"]]},"page":"709-718","publisher":"Nature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mendeley":{"formattedCitation":"[101]","plainTextFormattedCitation":"[101]","previouslyFormattedCitation":"[101]"},"properties":{"noteIndex":0},"schema":"https://github.com/citation-style-language/schema/raw/master/csl-citation.json"}</w:instrText>
      </w:r>
      <w:r>
        <w:fldChar w:fldCharType="separate"/>
      </w:r>
      <w:r w:rsidR="00D43181" w:rsidRPr="00D43181">
        <w:rPr>
          <w:noProof/>
        </w:rPr>
        <w:t>[101]</w:t>
      </w:r>
      <w:r>
        <w:fldChar w:fldCharType="end"/>
      </w:r>
      <w:r w:rsidRPr="00761653">
        <w:t xml:space="preserve">. </w:t>
      </w:r>
    </w:p>
    <w:p w14:paraId="04615EE5" w14:textId="77777777" w:rsidR="00B61B7C" w:rsidRPr="00284D51" w:rsidRDefault="00B61B7C" w:rsidP="00B61B7C">
      <w:pPr>
        <w:widowControl w:val="0"/>
        <w:tabs>
          <w:tab w:val="left" w:pos="0"/>
        </w:tabs>
        <w:autoSpaceDE w:val="0"/>
        <w:autoSpaceDN w:val="0"/>
        <w:adjustRightInd w:val="0"/>
        <w:contextualSpacing/>
      </w:pPr>
      <w:r w:rsidRPr="00284D51">
        <w:rPr>
          <w:i/>
          <w:iCs/>
        </w:rPr>
        <w:t>Исследование антигена Candida (маннан) и антител Candida (антиманнан) в сыворотке крови</w:t>
      </w:r>
      <w:r w:rsidRPr="00284D51">
        <w:t xml:space="preserve"> проводят по следующим показаниям:</w:t>
      </w:r>
    </w:p>
    <w:p w14:paraId="268236A8" w14:textId="77777777" w:rsidR="00B61B7C" w:rsidRDefault="00B61B7C" w:rsidP="00B20852">
      <w:pPr>
        <w:pStyle w:val="afe"/>
        <w:widowControl w:val="0"/>
        <w:numPr>
          <w:ilvl w:val="0"/>
          <w:numId w:val="75"/>
        </w:numPr>
        <w:tabs>
          <w:tab w:val="left" w:pos="0"/>
        </w:tabs>
        <w:autoSpaceDE w:val="0"/>
        <w:autoSpaceDN w:val="0"/>
        <w:adjustRightInd w:val="0"/>
      </w:pPr>
      <w:r w:rsidRPr="00315F82">
        <w:t xml:space="preserve">множественные очаги в печени и/или селезенке (подозрение на гепатолиенальный кандидоз); </w:t>
      </w:r>
    </w:p>
    <w:p w14:paraId="6C779F19" w14:textId="77777777" w:rsidR="00B61B7C" w:rsidRDefault="00B61B7C" w:rsidP="00B20852">
      <w:pPr>
        <w:pStyle w:val="afe"/>
        <w:widowControl w:val="0"/>
        <w:numPr>
          <w:ilvl w:val="0"/>
          <w:numId w:val="75"/>
        </w:numPr>
        <w:tabs>
          <w:tab w:val="left" w:pos="0"/>
        </w:tabs>
        <w:autoSpaceDE w:val="0"/>
        <w:autoSpaceDN w:val="0"/>
        <w:adjustRightInd w:val="0"/>
      </w:pPr>
      <w:r w:rsidRPr="00315F82">
        <w:t xml:space="preserve">предполагаемый инвазивный кандидоз у больных с длительной (более 7-10 дней) персистирующей температурой. </w:t>
      </w:r>
    </w:p>
    <w:p w14:paraId="441F7AA4" w14:textId="77777777" w:rsidR="00B61B7C" w:rsidRPr="00315F82" w:rsidRDefault="00B61B7C" w:rsidP="00B61B7C">
      <w:pPr>
        <w:widowControl w:val="0"/>
        <w:tabs>
          <w:tab w:val="left" w:pos="0"/>
        </w:tabs>
        <w:autoSpaceDE w:val="0"/>
        <w:autoSpaceDN w:val="0"/>
        <w:adjustRightInd w:val="0"/>
      </w:pPr>
      <w:r>
        <w:tab/>
      </w:r>
      <w:r w:rsidRPr="00315F82">
        <w:t xml:space="preserve">Образец для исследования </w:t>
      </w:r>
      <w:r>
        <w:t>–</w:t>
      </w:r>
      <w:r w:rsidRPr="00315F82">
        <w:t xml:space="preserve"> кровь. Результат исследования считается положи</w:t>
      </w:r>
      <w:r>
        <w:t xml:space="preserve">тельным при следующих значениях: </w:t>
      </w:r>
      <w:r w:rsidRPr="00315F82">
        <w:t xml:space="preserve">антиген </w:t>
      </w:r>
      <w:r w:rsidRPr="00315F82">
        <w:rPr>
          <w:i/>
          <w:iCs/>
        </w:rPr>
        <w:t>Candida</w:t>
      </w:r>
      <w:r w:rsidRPr="00315F82">
        <w:t xml:space="preserve"> (маннан) ≥125 пг/мл; антитела </w:t>
      </w:r>
      <w:r w:rsidRPr="00315F82">
        <w:rPr>
          <w:i/>
          <w:iCs/>
        </w:rPr>
        <w:t>Candida</w:t>
      </w:r>
      <w:r w:rsidRPr="00315F82">
        <w:t xml:space="preserve"> (антиманнан) ≥10 МЕ/мл. Тест не включен в критерии диагностики инвазивного кандидоза. Тест имеет высокое отрицательное прогностическое значение. При положительных значениях нельзя исключить наличие инвазивного кандидоза. Чувствительность и специфичность составляют около 50—60%. У </w:t>
      </w:r>
      <w:r>
        <w:t xml:space="preserve">пациентов </w:t>
      </w:r>
      <w:r w:rsidRPr="00315F82">
        <w:t xml:space="preserve">с колонизацией слизистых оболочек </w:t>
      </w:r>
      <w:r w:rsidRPr="00315F82">
        <w:rPr>
          <w:i/>
        </w:rPr>
        <w:t>Candida</w:t>
      </w:r>
      <w:r w:rsidRPr="00315F82">
        <w:t xml:space="preserve"> spp могут быть положительные значения антиманнана.</w:t>
      </w:r>
    </w:p>
    <w:p w14:paraId="06B0C976" w14:textId="77777777" w:rsidR="00B61B7C" w:rsidRPr="00284D51" w:rsidRDefault="00B61B7C" w:rsidP="00B61B7C">
      <w:pPr>
        <w:widowControl w:val="0"/>
        <w:autoSpaceDE w:val="0"/>
        <w:autoSpaceDN w:val="0"/>
        <w:adjustRightInd w:val="0"/>
        <w:contextualSpacing/>
      </w:pPr>
      <w:r w:rsidRPr="00284D51">
        <w:rPr>
          <w:i/>
          <w:iCs/>
        </w:rPr>
        <w:t>Определение антигена Cryptocococcus (глюкуроноксиломаннан)</w:t>
      </w:r>
      <w:r w:rsidRPr="00284D51">
        <w:t xml:space="preserve"> выполняется при</w:t>
      </w:r>
      <w:r>
        <w:t xml:space="preserve"> </w:t>
      </w:r>
      <w:r w:rsidRPr="00761653">
        <w:t>подозрени</w:t>
      </w:r>
      <w:r>
        <w:t>и</w:t>
      </w:r>
      <w:r w:rsidRPr="00761653">
        <w:t xml:space="preserve"> на инфекцию, вызванную криптококком, у </w:t>
      </w:r>
      <w:r>
        <w:t>пациентов с факторами риска (Т-клеточный</w:t>
      </w:r>
      <w:r w:rsidRPr="00761653">
        <w:t xml:space="preserve"> иммунодефицит) возникновения этой инфекции. Группу риска </w:t>
      </w:r>
      <w:r>
        <w:t xml:space="preserve">в том числе </w:t>
      </w:r>
      <w:r w:rsidRPr="00761653">
        <w:t xml:space="preserve">составляют </w:t>
      </w:r>
      <w:r>
        <w:t>пациенты, получающие</w:t>
      </w:r>
      <w:r w:rsidRPr="00761653">
        <w:t xml:space="preserve"> лечение глюкокортикоидами, флударабином, </w:t>
      </w:r>
      <w:r>
        <w:t>и др</w:t>
      </w:r>
      <w:r w:rsidRPr="00761653">
        <w:t xml:space="preserve">. Определяют антиген в СМЖ, в крови, жидкости БАЛ, моче. Тест включен в критерии диагностики инвазивного криптоккоза. Исследование проводят с помощью латекс-теста </w:t>
      </w:r>
      <w:r w:rsidRPr="00284D51">
        <w:t>(качественный анализ).</w:t>
      </w:r>
    </w:p>
    <w:p w14:paraId="472D6C37" w14:textId="77777777" w:rsidR="00B61B7C" w:rsidRPr="00284D51" w:rsidRDefault="00B61B7C" w:rsidP="00B61B7C">
      <w:pPr>
        <w:widowControl w:val="0"/>
        <w:autoSpaceDE w:val="0"/>
        <w:autoSpaceDN w:val="0"/>
        <w:adjustRightInd w:val="0"/>
        <w:contextualSpacing/>
      </w:pPr>
      <w:r w:rsidRPr="00284D51">
        <w:rPr>
          <w:i/>
          <w:iCs/>
        </w:rPr>
        <w:t>Исследование антитела Мycoplasma pneumoniae (IgM, IgG), Chlamydophila pneumoniae (IgM, IgG) в крови выполняется</w:t>
      </w:r>
      <w:r w:rsidRPr="00284D51">
        <w:t xml:space="preserve"> при пневмонии, возникшей амбулаторно.</w:t>
      </w:r>
    </w:p>
    <w:p w14:paraId="349D443C" w14:textId="77777777" w:rsidR="00B61B7C" w:rsidRPr="00284D51" w:rsidRDefault="00B61B7C" w:rsidP="00B61B7C">
      <w:pPr>
        <w:widowControl w:val="0"/>
        <w:tabs>
          <w:tab w:val="left" w:pos="0"/>
        </w:tabs>
        <w:autoSpaceDE w:val="0"/>
        <w:autoSpaceDN w:val="0"/>
        <w:adjustRightInd w:val="0"/>
        <w:contextualSpacing/>
      </w:pPr>
      <w:r w:rsidRPr="00284D51">
        <w:t xml:space="preserve">Показаниями к проведению </w:t>
      </w:r>
      <w:r w:rsidRPr="00284D51">
        <w:rPr>
          <w:i/>
          <w:iCs/>
        </w:rPr>
        <w:t>КТ/СКТ органов грудной полости являются:</w:t>
      </w:r>
    </w:p>
    <w:p w14:paraId="104F8BDD" w14:textId="77777777" w:rsidR="00B61B7C" w:rsidRDefault="00B61B7C" w:rsidP="00B20852">
      <w:pPr>
        <w:pStyle w:val="afe"/>
        <w:widowControl w:val="0"/>
        <w:numPr>
          <w:ilvl w:val="0"/>
          <w:numId w:val="76"/>
        </w:numPr>
        <w:tabs>
          <w:tab w:val="left" w:pos="0"/>
        </w:tabs>
        <w:autoSpaceDE w:val="0"/>
        <w:autoSpaceDN w:val="0"/>
        <w:adjustRightInd w:val="0"/>
      </w:pPr>
      <w:r w:rsidRPr="00016F8E">
        <w:t xml:space="preserve">пневмония (аускультативные признаки); </w:t>
      </w:r>
    </w:p>
    <w:p w14:paraId="56B55D7F" w14:textId="77777777" w:rsidR="00B61B7C" w:rsidRDefault="00B61B7C" w:rsidP="00B20852">
      <w:pPr>
        <w:pStyle w:val="afe"/>
        <w:widowControl w:val="0"/>
        <w:numPr>
          <w:ilvl w:val="0"/>
          <w:numId w:val="76"/>
        </w:numPr>
        <w:tabs>
          <w:tab w:val="left" w:pos="0"/>
        </w:tabs>
        <w:autoSpaceDE w:val="0"/>
        <w:autoSpaceDN w:val="0"/>
        <w:adjustRightInd w:val="0"/>
      </w:pPr>
      <w:r w:rsidRPr="00016F8E">
        <w:t xml:space="preserve">персистирующая фебрильная нейтропения от 3 дней и более, независимо от физикальной картины в легких; </w:t>
      </w:r>
    </w:p>
    <w:p w14:paraId="06D0C488" w14:textId="77777777" w:rsidR="00B61B7C" w:rsidRDefault="00B61B7C" w:rsidP="00B20852">
      <w:pPr>
        <w:pStyle w:val="afe"/>
        <w:widowControl w:val="0"/>
        <w:numPr>
          <w:ilvl w:val="0"/>
          <w:numId w:val="76"/>
        </w:numPr>
        <w:tabs>
          <w:tab w:val="left" w:pos="0"/>
        </w:tabs>
        <w:autoSpaceDE w:val="0"/>
        <w:autoSpaceDN w:val="0"/>
        <w:adjustRightInd w:val="0"/>
      </w:pPr>
      <w:r w:rsidRPr="00016F8E">
        <w:t xml:space="preserve">контроль выявленных изменений в легких через 7-14 дней в зависимости от состояния больного и диагностированной инфекции. </w:t>
      </w:r>
    </w:p>
    <w:p w14:paraId="12103E65" w14:textId="77777777" w:rsidR="00B61B7C" w:rsidRPr="00761653" w:rsidRDefault="00B61B7C" w:rsidP="00B61B7C">
      <w:pPr>
        <w:widowControl w:val="0"/>
        <w:tabs>
          <w:tab w:val="left" w:pos="0"/>
        </w:tabs>
        <w:autoSpaceDE w:val="0"/>
        <w:autoSpaceDN w:val="0"/>
        <w:adjustRightInd w:val="0"/>
      </w:pPr>
      <w:r>
        <w:tab/>
      </w:r>
      <w:r w:rsidRPr="00016F8E">
        <w:t>КТ/СКТ во всех случаях без проводят без предварительной рентгенографии грудной клетки.</w:t>
      </w:r>
      <w:r>
        <w:t xml:space="preserve"> </w:t>
      </w:r>
      <w:r w:rsidRPr="00761653">
        <w:t xml:space="preserve">Рентгенография органов грудной клетки относится к малоинформативным методам исследования у </w:t>
      </w:r>
      <w:r>
        <w:t xml:space="preserve">гематологических пациентов, предпочтительно </w:t>
      </w:r>
      <w:r w:rsidRPr="00761653">
        <w:t>для диагностики инфекционных осложнений</w:t>
      </w:r>
      <w:r>
        <w:t xml:space="preserve"> применять КТ/СКТ</w:t>
      </w:r>
      <w:r w:rsidRPr="00761653">
        <w:t>.</w:t>
      </w:r>
    </w:p>
    <w:p w14:paraId="143669E2" w14:textId="77777777" w:rsidR="00B61B7C" w:rsidRPr="008572A7" w:rsidRDefault="00B61B7C" w:rsidP="00B61B7C">
      <w:pPr>
        <w:widowControl w:val="0"/>
        <w:autoSpaceDE w:val="0"/>
        <w:autoSpaceDN w:val="0"/>
        <w:adjustRightInd w:val="0"/>
        <w:contextualSpacing/>
        <w:rPr>
          <w:b/>
          <w:bCs/>
          <w:u w:val="single"/>
        </w:rPr>
      </w:pPr>
      <w:r w:rsidRPr="00284D51">
        <w:rPr>
          <w:i/>
          <w:iCs/>
        </w:rPr>
        <w:t>Ультразвуковое исследование (УЗИ), КТ/СКТ, МРТ органов брюшной полости</w:t>
      </w:r>
      <w:r w:rsidRPr="00284D51">
        <w:rPr>
          <w:b/>
          <w:bCs/>
        </w:rPr>
        <w:t xml:space="preserve"> </w:t>
      </w:r>
      <w:r w:rsidRPr="00284D51">
        <w:t>для</w:t>
      </w:r>
      <w:r>
        <w:t xml:space="preserve"> уточнения инфекционного процесса проводят по клиническим показаниям, в том числе:</w:t>
      </w:r>
    </w:p>
    <w:p w14:paraId="0688B7A1" w14:textId="77777777" w:rsidR="00B61B7C" w:rsidRDefault="00B61B7C" w:rsidP="00B20852">
      <w:pPr>
        <w:pStyle w:val="afe"/>
        <w:widowControl w:val="0"/>
        <w:numPr>
          <w:ilvl w:val="0"/>
          <w:numId w:val="77"/>
        </w:numPr>
        <w:tabs>
          <w:tab w:val="left" w:pos="0"/>
        </w:tabs>
        <w:autoSpaceDE w:val="0"/>
        <w:autoSpaceDN w:val="0"/>
        <w:adjustRightInd w:val="0"/>
      </w:pPr>
      <w:r w:rsidRPr="00016F8E">
        <w:t>сохраняющаяся лихорадка (колебания температуры в течение суток от 37 до 39°С), особенно у больных вне лейкопении (</w:t>
      </w:r>
      <w:r>
        <w:t xml:space="preserve">для </w:t>
      </w:r>
      <w:r w:rsidRPr="00016F8E">
        <w:t>диагности</w:t>
      </w:r>
      <w:r>
        <w:t>ки</w:t>
      </w:r>
      <w:r w:rsidRPr="00016F8E">
        <w:t xml:space="preserve"> гепатолиенального кандидоза); </w:t>
      </w:r>
    </w:p>
    <w:p w14:paraId="45F95BA0" w14:textId="77777777" w:rsidR="00B61B7C" w:rsidRDefault="00B61B7C" w:rsidP="00B20852">
      <w:pPr>
        <w:pStyle w:val="afe"/>
        <w:widowControl w:val="0"/>
        <w:numPr>
          <w:ilvl w:val="0"/>
          <w:numId w:val="77"/>
        </w:numPr>
        <w:tabs>
          <w:tab w:val="left" w:pos="0"/>
        </w:tabs>
        <w:autoSpaceDE w:val="0"/>
        <w:autoSpaceDN w:val="0"/>
        <w:adjustRightInd w:val="0"/>
      </w:pPr>
      <w:r>
        <w:t>при диагностированнмм аспергиллезе</w:t>
      </w:r>
      <w:r w:rsidRPr="00016F8E">
        <w:t xml:space="preserve"> легких или мукормикоз</w:t>
      </w:r>
      <w:r>
        <w:t>е</w:t>
      </w:r>
      <w:r w:rsidRPr="00016F8E">
        <w:t xml:space="preserve"> (</w:t>
      </w:r>
      <w:r>
        <w:t xml:space="preserve">для </w:t>
      </w:r>
      <w:r w:rsidRPr="00016F8E">
        <w:t>исключ</w:t>
      </w:r>
      <w:r>
        <w:t>ения</w:t>
      </w:r>
      <w:r w:rsidRPr="00016F8E">
        <w:t xml:space="preserve"> диссеминаци</w:t>
      </w:r>
      <w:r>
        <w:t>и</w:t>
      </w:r>
      <w:r w:rsidRPr="00016F8E">
        <w:t xml:space="preserve">); </w:t>
      </w:r>
    </w:p>
    <w:p w14:paraId="0A3CF58D" w14:textId="77777777" w:rsidR="00B61B7C" w:rsidRDefault="00B61B7C" w:rsidP="00B20852">
      <w:pPr>
        <w:pStyle w:val="afe"/>
        <w:widowControl w:val="0"/>
        <w:numPr>
          <w:ilvl w:val="0"/>
          <w:numId w:val="77"/>
        </w:numPr>
        <w:tabs>
          <w:tab w:val="left" w:pos="0"/>
        </w:tabs>
        <w:autoSpaceDE w:val="0"/>
        <w:autoSpaceDN w:val="0"/>
        <w:adjustRightInd w:val="0"/>
      </w:pPr>
      <w:r>
        <w:t xml:space="preserve">для </w:t>
      </w:r>
      <w:r w:rsidRPr="00016F8E">
        <w:t>контрол</w:t>
      </w:r>
      <w:r>
        <w:t>я</w:t>
      </w:r>
      <w:r w:rsidRPr="00016F8E">
        <w:t xml:space="preserve"> выявленных</w:t>
      </w:r>
      <w:r>
        <w:t xml:space="preserve"> ранее</w:t>
      </w:r>
      <w:r w:rsidRPr="00016F8E">
        <w:t xml:space="preserve"> изменений. </w:t>
      </w:r>
    </w:p>
    <w:p w14:paraId="5FA4CF54" w14:textId="77777777" w:rsidR="00B61B7C" w:rsidRPr="00016F8E" w:rsidRDefault="00B61B7C" w:rsidP="00B61B7C">
      <w:pPr>
        <w:widowControl w:val="0"/>
        <w:tabs>
          <w:tab w:val="left" w:pos="0"/>
        </w:tabs>
        <w:autoSpaceDE w:val="0"/>
        <w:autoSpaceDN w:val="0"/>
        <w:adjustRightInd w:val="0"/>
      </w:pPr>
      <w:r>
        <w:tab/>
      </w:r>
      <w:r w:rsidRPr="00016F8E">
        <w:t>При диагностике гепатолиенального кандидоза контрольное исследование проводят не ранее чем через 1 мес терапии системными противогрибковыми препаратами</w:t>
      </w:r>
      <w:r>
        <w:t>,</w:t>
      </w:r>
      <w:r w:rsidRPr="00016F8E">
        <w:t xml:space="preserve"> вне лейкопении.</w:t>
      </w:r>
    </w:p>
    <w:p w14:paraId="50B2B0B1" w14:textId="77777777" w:rsidR="00B61B7C" w:rsidRPr="008572A7" w:rsidRDefault="00B61B7C" w:rsidP="00B61B7C">
      <w:pPr>
        <w:widowControl w:val="0"/>
        <w:tabs>
          <w:tab w:val="left" w:pos="0"/>
        </w:tabs>
        <w:autoSpaceDE w:val="0"/>
        <w:autoSpaceDN w:val="0"/>
        <w:adjustRightInd w:val="0"/>
        <w:contextualSpacing/>
        <w:rPr>
          <w:b/>
          <w:u w:val="single"/>
        </w:rPr>
      </w:pPr>
      <w:r w:rsidRPr="00284D51">
        <w:rPr>
          <w:i/>
          <w:iCs/>
        </w:rPr>
        <w:t>КТ или МРТ головного мозга</w:t>
      </w:r>
      <w:r w:rsidRPr="00284D51">
        <w:rPr>
          <w:bCs/>
        </w:rPr>
        <w:t xml:space="preserve"> </w:t>
      </w:r>
      <w:r w:rsidRPr="00284D51">
        <w:t>проводят для исключения инфекционного поражения</w:t>
      </w:r>
      <w:r>
        <w:t xml:space="preserve"> головного мозга:</w:t>
      </w:r>
    </w:p>
    <w:p w14:paraId="723154B5" w14:textId="77777777" w:rsidR="00B61B7C" w:rsidRDefault="00B61B7C" w:rsidP="00B20852">
      <w:pPr>
        <w:pStyle w:val="afe"/>
        <w:widowControl w:val="0"/>
        <w:numPr>
          <w:ilvl w:val="0"/>
          <w:numId w:val="78"/>
        </w:numPr>
        <w:tabs>
          <w:tab w:val="left" w:pos="0"/>
        </w:tabs>
        <w:autoSpaceDE w:val="0"/>
        <w:autoSpaceDN w:val="0"/>
        <w:adjustRightInd w:val="0"/>
      </w:pPr>
      <w:r>
        <w:t>при наличии</w:t>
      </w:r>
      <w:r w:rsidRPr="00016F8E">
        <w:t xml:space="preserve"> симптомов </w:t>
      </w:r>
      <w:r>
        <w:t>поражения</w:t>
      </w:r>
      <w:r w:rsidRPr="00016F8E">
        <w:t xml:space="preserve"> центральной нервной системы (ЦНС)</w:t>
      </w:r>
      <w:r>
        <w:t>;</w:t>
      </w:r>
    </w:p>
    <w:p w14:paraId="698B9EDC" w14:textId="77777777" w:rsidR="00B61B7C" w:rsidRPr="00016F8E" w:rsidRDefault="00B61B7C" w:rsidP="00B20852">
      <w:pPr>
        <w:pStyle w:val="afe"/>
        <w:widowControl w:val="0"/>
        <w:numPr>
          <w:ilvl w:val="0"/>
          <w:numId w:val="78"/>
        </w:numPr>
        <w:tabs>
          <w:tab w:val="left" w:pos="0"/>
        </w:tabs>
        <w:autoSpaceDE w:val="0"/>
        <w:autoSpaceDN w:val="0"/>
        <w:adjustRightInd w:val="0"/>
      </w:pPr>
      <w:r w:rsidRPr="00016F8E">
        <w:t>при диагностике инвазивного аспергиллеза легких/околоносовых пазух или мукормикоза (</w:t>
      </w:r>
      <w:r>
        <w:t xml:space="preserve">для </w:t>
      </w:r>
      <w:r w:rsidRPr="00016F8E">
        <w:t>исключ</w:t>
      </w:r>
      <w:r>
        <w:t>ения</w:t>
      </w:r>
      <w:r w:rsidRPr="00016F8E">
        <w:t xml:space="preserve"> диссеминаци</w:t>
      </w:r>
      <w:r>
        <w:t>и</w:t>
      </w:r>
      <w:r w:rsidRPr="00016F8E">
        <w:t>).</w:t>
      </w:r>
    </w:p>
    <w:p w14:paraId="2C5A488C" w14:textId="77777777" w:rsidR="00B61B7C" w:rsidRPr="00284D51" w:rsidRDefault="00B61B7C" w:rsidP="00B61B7C">
      <w:pPr>
        <w:widowControl w:val="0"/>
        <w:tabs>
          <w:tab w:val="left" w:pos="0"/>
        </w:tabs>
        <w:autoSpaceDE w:val="0"/>
        <w:autoSpaceDN w:val="0"/>
        <w:adjustRightInd w:val="0"/>
        <w:contextualSpacing/>
        <w:rPr>
          <w:i/>
          <w:iCs/>
        </w:rPr>
      </w:pPr>
      <w:r w:rsidRPr="00284D51">
        <w:rPr>
          <w:i/>
          <w:iCs/>
        </w:rPr>
        <w:t>Эхокардиография (ЭхоКГ), включая чрезпищеводную ЭхоКГ</w:t>
      </w:r>
    </w:p>
    <w:p w14:paraId="1E9DE88C" w14:textId="77777777" w:rsidR="00B61B7C" w:rsidRDefault="00B61B7C" w:rsidP="00B61B7C">
      <w:pPr>
        <w:widowControl w:val="0"/>
        <w:tabs>
          <w:tab w:val="left" w:pos="0"/>
        </w:tabs>
        <w:autoSpaceDE w:val="0"/>
        <w:autoSpaceDN w:val="0"/>
        <w:adjustRightInd w:val="0"/>
        <w:contextualSpacing/>
      </w:pPr>
      <w:r>
        <w:t>Проводится для исключения бактериального эндокардита, особенно в случае:</w:t>
      </w:r>
    </w:p>
    <w:p w14:paraId="2AEEF37D" w14:textId="77777777" w:rsidR="00B61B7C" w:rsidRDefault="00B61B7C" w:rsidP="00B20852">
      <w:pPr>
        <w:pStyle w:val="afe"/>
        <w:widowControl w:val="0"/>
        <w:numPr>
          <w:ilvl w:val="0"/>
          <w:numId w:val="79"/>
        </w:numPr>
        <w:tabs>
          <w:tab w:val="left" w:pos="0"/>
        </w:tabs>
        <w:autoSpaceDE w:val="0"/>
        <w:autoSpaceDN w:val="0"/>
        <w:adjustRightInd w:val="0"/>
      </w:pPr>
      <w:r w:rsidRPr="00016F8E">
        <w:t>микробиологически подтвержденн</w:t>
      </w:r>
      <w:r>
        <w:t>ой</w:t>
      </w:r>
      <w:r w:rsidRPr="00016F8E">
        <w:t xml:space="preserve"> инфекци</w:t>
      </w:r>
      <w:r>
        <w:t>и</w:t>
      </w:r>
      <w:r w:rsidRPr="00016F8E">
        <w:t xml:space="preserve">, вызванная </w:t>
      </w:r>
      <w:r w:rsidRPr="00016F8E">
        <w:rPr>
          <w:i/>
        </w:rPr>
        <w:t>S. aureus</w:t>
      </w:r>
      <w:r w:rsidRPr="00016F8E">
        <w:t xml:space="preserve">; </w:t>
      </w:r>
    </w:p>
    <w:p w14:paraId="2BFFD7D4" w14:textId="77777777" w:rsidR="00B61B7C" w:rsidRDefault="00B61B7C" w:rsidP="00B20852">
      <w:pPr>
        <w:pStyle w:val="afe"/>
        <w:widowControl w:val="0"/>
        <w:numPr>
          <w:ilvl w:val="0"/>
          <w:numId w:val="79"/>
        </w:numPr>
        <w:tabs>
          <w:tab w:val="left" w:pos="0"/>
        </w:tabs>
        <w:autoSpaceDE w:val="0"/>
        <w:autoSpaceDN w:val="0"/>
        <w:adjustRightInd w:val="0"/>
      </w:pPr>
      <w:r>
        <w:t>длительной</w:t>
      </w:r>
      <w:r w:rsidRPr="00016F8E">
        <w:t xml:space="preserve"> (</w:t>
      </w:r>
      <w:r>
        <w:t>более</w:t>
      </w:r>
      <w:r w:rsidRPr="00016F8E">
        <w:t xml:space="preserve"> 10-14 дней) персистирующ</w:t>
      </w:r>
      <w:r>
        <w:t>ей</w:t>
      </w:r>
      <w:r w:rsidRPr="00016F8E">
        <w:t xml:space="preserve"> </w:t>
      </w:r>
      <w:r>
        <w:t>гипертермии</w:t>
      </w:r>
      <w:r w:rsidRPr="00016F8E">
        <w:t xml:space="preserve">, особенно у больных вне лейкопении. </w:t>
      </w:r>
    </w:p>
    <w:p w14:paraId="1107BC8E" w14:textId="77777777" w:rsidR="00B61B7C" w:rsidRPr="00016F8E" w:rsidRDefault="00B61B7C" w:rsidP="00B61B7C">
      <w:pPr>
        <w:widowControl w:val="0"/>
        <w:tabs>
          <w:tab w:val="left" w:pos="0"/>
        </w:tabs>
        <w:autoSpaceDE w:val="0"/>
        <w:autoSpaceDN w:val="0"/>
        <w:adjustRightInd w:val="0"/>
      </w:pPr>
      <w:r w:rsidRPr="00016F8E">
        <w:t xml:space="preserve">Чрезпищеводную ЭхоКГ назначают при сохраняющейся </w:t>
      </w:r>
      <w:r>
        <w:t>гипертермии</w:t>
      </w:r>
      <w:r w:rsidRPr="00016F8E">
        <w:t xml:space="preserve"> и отрицательн</w:t>
      </w:r>
      <w:r>
        <w:t>ых результатах</w:t>
      </w:r>
      <w:r w:rsidRPr="00016F8E">
        <w:t xml:space="preserve"> ЭхоКГ. </w:t>
      </w:r>
    </w:p>
    <w:p w14:paraId="70D95392" w14:textId="77777777" w:rsidR="00B61B7C" w:rsidRPr="00761653" w:rsidRDefault="00B61B7C" w:rsidP="00B61B7C">
      <w:pPr>
        <w:widowControl w:val="0"/>
        <w:autoSpaceDE w:val="0"/>
        <w:autoSpaceDN w:val="0"/>
        <w:adjustRightInd w:val="0"/>
        <w:contextualSpacing/>
      </w:pPr>
      <w:r w:rsidRPr="00761653">
        <w:t>В табл. 1 суммированы диагностические исследования у больных с гематологическими заболеваниями и инфекциями.</w:t>
      </w:r>
    </w:p>
    <w:p w14:paraId="5C680CE3" w14:textId="77777777" w:rsidR="00B61B7C" w:rsidRDefault="00B61B7C" w:rsidP="00B61B7C">
      <w:pPr>
        <w:widowControl w:val="0"/>
        <w:autoSpaceDE w:val="0"/>
        <w:autoSpaceDN w:val="0"/>
        <w:adjustRightInd w:val="0"/>
        <w:ind w:firstLine="0"/>
        <w:contextualSpacing/>
      </w:pPr>
    </w:p>
    <w:p w14:paraId="1EC33C41" w14:textId="77777777" w:rsidR="00B61B7C" w:rsidRPr="00761653" w:rsidRDefault="00B61B7C" w:rsidP="00B61B7C">
      <w:pPr>
        <w:widowControl w:val="0"/>
        <w:autoSpaceDE w:val="0"/>
        <w:autoSpaceDN w:val="0"/>
        <w:adjustRightInd w:val="0"/>
        <w:ind w:firstLine="0"/>
        <w:contextualSpacing/>
      </w:pPr>
      <w:r w:rsidRPr="00761653">
        <w:t>Таблица 1. Показания к проведению диагностических исследований у больных с гематологическими заболеваниями и инфекциями.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6096"/>
      </w:tblGrid>
      <w:tr w:rsidR="00B61B7C" w:rsidRPr="00761653" w14:paraId="01947466" w14:textId="77777777" w:rsidTr="002D3EBF">
        <w:trPr>
          <w:trHeight w:val="93"/>
        </w:trPr>
        <w:tc>
          <w:tcPr>
            <w:tcW w:w="3510" w:type="dxa"/>
            <w:tcMar>
              <w:top w:w="100" w:type="nil"/>
              <w:right w:w="100" w:type="nil"/>
            </w:tcMar>
            <w:vAlign w:val="center"/>
          </w:tcPr>
          <w:p w14:paraId="42EB50A5" w14:textId="77777777" w:rsidR="00B61B7C" w:rsidRPr="00761653" w:rsidRDefault="00B61B7C" w:rsidP="002D3EBF">
            <w:pPr>
              <w:widowControl w:val="0"/>
              <w:autoSpaceDE w:val="0"/>
              <w:autoSpaceDN w:val="0"/>
              <w:adjustRightInd w:val="0"/>
              <w:spacing w:line="240" w:lineRule="auto"/>
              <w:ind w:left="57" w:right="57" w:firstLine="0"/>
              <w:jc w:val="center"/>
              <w:rPr>
                <w:b/>
                <w:bCs/>
              </w:rPr>
            </w:pPr>
            <w:r w:rsidRPr="00761653">
              <w:rPr>
                <w:b/>
                <w:bCs/>
              </w:rPr>
              <w:t>Показания</w:t>
            </w:r>
          </w:p>
        </w:tc>
        <w:tc>
          <w:tcPr>
            <w:tcW w:w="6096" w:type="dxa"/>
            <w:tcMar>
              <w:top w:w="100" w:type="nil"/>
              <w:right w:w="100" w:type="nil"/>
            </w:tcMar>
            <w:vAlign w:val="center"/>
          </w:tcPr>
          <w:p w14:paraId="5881AB46" w14:textId="77777777" w:rsidR="00B61B7C" w:rsidRPr="00761653" w:rsidRDefault="00B61B7C" w:rsidP="002D3EBF">
            <w:pPr>
              <w:widowControl w:val="0"/>
              <w:autoSpaceDE w:val="0"/>
              <w:autoSpaceDN w:val="0"/>
              <w:adjustRightInd w:val="0"/>
              <w:spacing w:line="240" w:lineRule="auto"/>
              <w:ind w:left="57" w:right="57" w:firstLine="0"/>
              <w:jc w:val="center"/>
              <w:rPr>
                <w:b/>
                <w:bCs/>
              </w:rPr>
            </w:pPr>
            <w:r w:rsidRPr="00761653">
              <w:rPr>
                <w:b/>
                <w:bCs/>
              </w:rPr>
              <w:t>Исследование</w:t>
            </w:r>
          </w:p>
        </w:tc>
      </w:tr>
      <w:tr w:rsidR="00B61B7C" w:rsidRPr="00265B67" w14:paraId="18A6EDE2" w14:textId="77777777" w:rsidTr="002D3EBF">
        <w:trPr>
          <w:trHeight w:val="702"/>
        </w:trPr>
        <w:tc>
          <w:tcPr>
            <w:tcW w:w="3510" w:type="dxa"/>
            <w:tcMar>
              <w:top w:w="100" w:type="nil"/>
              <w:right w:w="100" w:type="nil"/>
            </w:tcMar>
            <w:vAlign w:val="center"/>
          </w:tcPr>
          <w:p w14:paraId="374229F9" w14:textId="77777777" w:rsidR="00B61B7C" w:rsidRPr="00761653" w:rsidRDefault="00B61B7C" w:rsidP="002D3EBF">
            <w:pPr>
              <w:widowControl w:val="0"/>
              <w:autoSpaceDE w:val="0"/>
              <w:autoSpaceDN w:val="0"/>
              <w:adjustRightInd w:val="0"/>
              <w:spacing w:line="240" w:lineRule="auto"/>
              <w:ind w:left="57" w:right="57" w:firstLine="0"/>
            </w:pPr>
            <w:r w:rsidRPr="00761653">
              <w:t xml:space="preserve">Температура ≥38°С, </w:t>
            </w:r>
          </w:p>
          <w:p w14:paraId="005102CA" w14:textId="77777777" w:rsidR="00B61B7C" w:rsidRPr="00761653" w:rsidRDefault="00B61B7C" w:rsidP="002D3EBF">
            <w:pPr>
              <w:widowControl w:val="0"/>
              <w:autoSpaceDE w:val="0"/>
              <w:autoSpaceDN w:val="0"/>
              <w:adjustRightInd w:val="0"/>
              <w:spacing w:line="240" w:lineRule="auto"/>
              <w:ind w:left="57" w:right="57" w:firstLine="0"/>
            </w:pPr>
            <w:r w:rsidRPr="00761653">
              <w:t>впервые возникшая</w:t>
            </w:r>
          </w:p>
        </w:tc>
        <w:tc>
          <w:tcPr>
            <w:tcW w:w="6096" w:type="dxa"/>
            <w:tcMar>
              <w:top w:w="100" w:type="nil"/>
              <w:right w:w="100" w:type="nil"/>
            </w:tcMar>
            <w:vAlign w:val="center"/>
          </w:tcPr>
          <w:p w14:paraId="3EE4A958" w14:textId="77777777" w:rsidR="00B61B7C" w:rsidRPr="00761653" w:rsidRDefault="00B61B7C" w:rsidP="002D3EBF">
            <w:pPr>
              <w:widowControl w:val="0"/>
              <w:autoSpaceDE w:val="0"/>
              <w:autoSpaceDN w:val="0"/>
              <w:adjustRightInd w:val="0"/>
              <w:spacing w:line="240" w:lineRule="auto"/>
              <w:ind w:left="57" w:right="57" w:firstLine="0"/>
            </w:pPr>
            <w:r w:rsidRPr="00761653">
              <w:t xml:space="preserve">Взятие крови в 2 флакона для гемокультуры </w:t>
            </w:r>
          </w:p>
          <w:p w14:paraId="65416405" w14:textId="77777777" w:rsidR="00B61B7C" w:rsidRPr="00761653" w:rsidRDefault="00B61B7C" w:rsidP="002D3EBF">
            <w:pPr>
              <w:widowControl w:val="0"/>
              <w:autoSpaceDE w:val="0"/>
              <w:autoSpaceDN w:val="0"/>
              <w:adjustRightInd w:val="0"/>
              <w:spacing w:line="240" w:lineRule="auto"/>
              <w:ind w:left="57" w:right="57" w:firstLine="0"/>
            </w:pPr>
            <w:r w:rsidRPr="00761653">
              <w:t>(вена-катетер или вена-вена)</w:t>
            </w:r>
          </w:p>
        </w:tc>
      </w:tr>
      <w:tr w:rsidR="00B61B7C" w:rsidRPr="00265B67" w14:paraId="00278AF6" w14:textId="77777777" w:rsidTr="002D3EBF">
        <w:trPr>
          <w:trHeight w:val="841"/>
        </w:trPr>
        <w:tc>
          <w:tcPr>
            <w:tcW w:w="3510" w:type="dxa"/>
            <w:tcMar>
              <w:top w:w="100" w:type="nil"/>
              <w:right w:w="100" w:type="nil"/>
            </w:tcMar>
            <w:vAlign w:val="center"/>
          </w:tcPr>
          <w:p w14:paraId="5700B750" w14:textId="77777777" w:rsidR="00B61B7C" w:rsidRPr="00761653" w:rsidRDefault="00B61B7C" w:rsidP="002D3EBF">
            <w:pPr>
              <w:widowControl w:val="0"/>
              <w:autoSpaceDE w:val="0"/>
              <w:autoSpaceDN w:val="0"/>
              <w:adjustRightInd w:val="0"/>
              <w:spacing w:line="240" w:lineRule="auto"/>
              <w:ind w:left="57" w:right="57" w:firstLine="0"/>
            </w:pPr>
            <w:r w:rsidRPr="00761653">
              <w:t>Температура ≥38°С в течение</w:t>
            </w:r>
          </w:p>
          <w:p w14:paraId="51856B74" w14:textId="77777777" w:rsidR="00B61B7C" w:rsidRPr="00761653" w:rsidRDefault="00B61B7C" w:rsidP="002D3EBF">
            <w:pPr>
              <w:widowControl w:val="0"/>
              <w:autoSpaceDE w:val="0"/>
              <w:autoSpaceDN w:val="0"/>
              <w:adjustRightInd w:val="0"/>
              <w:spacing w:line="240" w:lineRule="auto"/>
              <w:ind w:left="57" w:right="57" w:firstLine="0"/>
            </w:pPr>
            <w:r w:rsidRPr="00761653">
              <w:t xml:space="preserve"> ≥ 5 дней и лейкопения </w:t>
            </w:r>
          </w:p>
        </w:tc>
        <w:tc>
          <w:tcPr>
            <w:tcW w:w="6096" w:type="dxa"/>
            <w:tcMar>
              <w:top w:w="100" w:type="nil"/>
              <w:right w:w="100" w:type="nil"/>
            </w:tcMar>
            <w:vAlign w:val="center"/>
          </w:tcPr>
          <w:p w14:paraId="0678107E" w14:textId="77777777" w:rsidR="00B61B7C" w:rsidRPr="00761653" w:rsidRDefault="00B61B7C" w:rsidP="002D3EBF">
            <w:pPr>
              <w:spacing w:line="240" w:lineRule="auto"/>
              <w:ind w:left="57" w:right="57" w:firstLine="0"/>
              <w:contextualSpacing/>
              <w:rPr>
                <w:rFonts w:eastAsia="MS Mincho"/>
              </w:rPr>
            </w:pPr>
            <w:r w:rsidRPr="00761653">
              <w:t>Повторное взятие крови для гемокультуры 1 раз в неделю</w:t>
            </w:r>
          </w:p>
          <w:p w14:paraId="471D72F6" w14:textId="77777777" w:rsidR="00B61B7C" w:rsidRPr="00761653" w:rsidRDefault="00B61B7C" w:rsidP="002D3EBF">
            <w:pPr>
              <w:spacing w:line="240" w:lineRule="auto"/>
              <w:ind w:left="57" w:right="57" w:firstLine="0"/>
              <w:contextualSpacing/>
            </w:pPr>
            <w:r w:rsidRPr="00761653">
              <w:t>Микробиологическое исследование мочи</w:t>
            </w:r>
          </w:p>
          <w:p w14:paraId="4FD02241" w14:textId="77777777" w:rsidR="00B61B7C" w:rsidRPr="00761653" w:rsidRDefault="00B61B7C" w:rsidP="002D3EBF">
            <w:pPr>
              <w:spacing w:line="240" w:lineRule="auto"/>
              <w:ind w:left="57" w:right="57" w:firstLine="0"/>
              <w:contextualSpacing/>
            </w:pPr>
            <w:r w:rsidRPr="00761653">
              <w:t>Ректальный мазок</w:t>
            </w:r>
          </w:p>
          <w:p w14:paraId="7EBEFE1D" w14:textId="77777777" w:rsidR="00B61B7C" w:rsidRPr="00761653" w:rsidRDefault="00B61B7C" w:rsidP="002D3EBF">
            <w:pPr>
              <w:spacing w:line="240" w:lineRule="auto"/>
              <w:ind w:left="57" w:right="57" w:firstLine="0"/>
              <w:contextualSpacing/>
            </w:pPr>
            <w:r w:rsidRPr="00761653">
              <w:t>КТВР легких</w:t>
            </w:r>
          </w:p>
        </w:tc>
      </w:tr>
      <w:tr w:rsidR="00B61B7C" w:rsidRPr="00975FC1" w14:paraId="004587CE" w14:textId="77777777" w:rsidTr="002D3EBF">
        <w:trPr>
          <w:trHeight w:val="1491"/>
        </w:trPr>
        <w:tc>
          <w:tcPr>
            <w:tcW w:w="3510" w:type="dxa"/>
            <w:tcMar>
              <w:top w:w="100" w:type="nil"/>
              <w:right w:w="100" w:type="nil"/>
            </w:tcMar>
            <w:vAlign w:val="center"/>
          </w:tcPr>
          <w:p w14:paraId="080AAC8D" w14:textId="77777777" w:rsidR="00B61B7C" w:rsidRPr="00761653" w:rsidRDefault="00B61B7C" w:rsidP="002D3EBF">
            <w:pPr>
              <w:widowControl w:val="0"/>
              <w:autoSpaceDE w:val="0"/>
              <w:autoSpaceDN w:val="0"/>
              <w:adjustRightInd w:val="0"/>
              <w:spacing w:line="240" w:lineRule="auto"/>
              <w:ind w:left="57" w:right="57" w:firstLine="0"/>
            </w:pPr>
            <w:r w:rsidRPr="00761653">
              <w:t>Температура ≥38°С, длительная, сохраняется после «выхода» из нейтропении</w:t>
            </w:r>
          </w:p>
        </w:tc>
        <w:tc>
          <w:tcPr>
            <w:tcW w:w="6096" w:type="dxa"/>
            <w:tcMar>
              <w:top w:w="100" w:type="nil"/>
              <w:right w:w="100" w:type="nil"/>
            </w:tcMar>
            <w:vAlign w:val="center"/>
          </w:tcPr>
          <w:p w14:paraId="1C8A6502" w14:textId="77777777" w:rsidR="00B61B7C" w:rsidRPr="00761653" w:rsidRDefault="00B61B7C" w:rsidP="002D3EBF">
            <w:pPr>
              <w:spacing w:line="240" w:lineRule="auto"/>
              <w:ind w:left="57" w:right="57" w:firstLine="0"/>
              <w:contextualSpacing/>
              <w:rPr>
                <w:rFonts w:eastAsia="MS Mincho"/>
              </w:rPr>
            </w:pPr>
            <w:r w:rsidRPr="00761653">
              <w:t>УЗИ брюшной полости</w:t>
            </w:r>
          </w:p>
          <w:p w14:paraId="0451C008" w14:textId="77777777" w:rsidR="00B61B7C" w:rsidRPr="00761653" w:rsidRDefault="00B61B7C" w:rsidP="002D3EBF">
            <w:pPr>
              <w:spacing w:line="240" w:lineRule="auto"/>
              <w:ind w:left="57" w:right="57" w:firstLine="0"/>
              <w:contextualSpacing/>
            </w:pPr>
            <w:r w:rsidRPr="00761653">
              <w:t xml:space="preserve">Определение антигена </w:t>
            </w:r>
            <w:r w:rsidRPr="00761653">
              <w:rPr>
                <w:i/>
              </w:rPr>
              <w:t>Candida</w:t>
            </w:r>
            <w:r w:rsidRPr="00761653">
              <w:t xml:space="preserve"> (маннан) и антител </w:t>
            </w:r>
            <w:r w:rsidRPr="00761653">
              <w:rPr>
                <w:i/>
              </w:rPr>
              <w:t>Candida</w:t>
            </w:r>
            <w:r w:rsidRPr="00761653">
              <w:t xml:space="preserve"> (антиманнан) в крови</w:t>
            </w:r>
          </w:p>
          <w:p w14:paraId="4F40B3FB" w14:textId="77777777" w:rsidR="00B61B7C" w:rsidRPr="00761653" w:rsidRDefault="00B61B7C" w:rsidP="002D3EBF">
            <w:pPr>
              <w:spacing w:line="240" w:lineRule="auto"/>
              <w:ind w:left="57" w:right="57" w:firstLine="0"/>
              <w:contextualSpacing/>
            </w:pPr>
            <w:r w:rsidRPr="00761653">
              <w:t>КТВР или МРТ органов брюшной полости при неинформативном УЗИ</w:t>
            </w:r>
          </w:p>
        </w:tc>
      </w:tr>
      <w:tr w:rsidR="00B61B7C" w:rsidRPr="00975FC1" w14:paraId="44039A60" w14:textId="77777777" w:rsidTr="002D3EBF">
        <w:trPr>
          <w:trHeight w:val="1731"/>
        </w:trPr>
        <w:tc>
          <w:tcPr>
            <w:tcW w:w="3510" w:type="dxa"/>
            <w:tcMar>
              <w:top w:w="100" w:type="nil"/>
              <w:right w:w="100" w:type="nil"/>
            </w:tcMar>
            <w:vAlign w:val="center"/>
          </w:tcPr>
          <w:p w14:paraId="06779CF1" w14:textId="77777777" w:rsidR="00B61B7C" w:rsidRPr="00761653" w:rsidRDefault="00B61B7C" w:rsidP="002D3EBF">
            <w:pPr>
              <w:widowControl w:val="0"/>
              <w:autoSpaceDE w:val="0"/>
              <w:autoSpaceDN w:val="0"/>
              <w:adjustRightInd w:val="0"/>
              <w:spacing w:line="240" w:lineRule="auto"/>
              <w:ind w:left="57" w:right="57" w:firstLine="0"/>
            </w:pPr>
            <w:r w:rsidRPr="00761653">
              <w:t>Катетер-ассоциированная инфекция</w:t>
            </w:r>
          </w:p>
        </w:tc>
        <w:tc>
          <w:tcPr>
            <w:tcW w:w="6096" w:type="dxa"/>
            <w:tcMar>
              <w:top w:w="100" w:type="nil"/>
              <w:right w:w="100" w:type="nil"/>
            </w:tcMar>
            <w:vAlign w:val="center"/>
          </w:tcPr>
          <w:p w14:paraId="35CC7862" w14:textId="77777777" w:rsidR="00B61B7C" w:rsidRPr="00761653" w:rsidRDefault="00B61B7C" w:rsidP="002D3EBF">
            <w:pPr>
              <w:widowControl w:val="0"/>
              <w:autoSpaceDE w:val="0"/>
              <w:autoSpaceDN w:val="0"/>
              <w:adjustRightInd w:val="0"/>
              <w:spacing w:line="240" w:lineRule="auto"/>
              <w:ind w:left="57" w:right="57" w:firstLine="0"/>
              <w:contextualSpacing/>
              <w:rPr>
                <w:rFonts w:eastAsia="MS Mincho"/>
              </w:rPr>
            </w:pPr>
            <w:r w:rsidRPr="00761653">
              <w:t>Взятие одновременно крови из вены и из ЦВК для микробиологического исследования</w:t>
            </w:r>
          </w:p>
          <w:p w14:paraId="00331D9C" w14:textId="77777777" w:rsidR="00B61B7C" w:rsidRPr="00761653" w:rsidRDefault="00B61B7C" w:rsidP="002D3EBF">
            <w:pPr>
              <w:widowControl w:val="0"/>
              <w:autoSpaceDE w:val="0"/>
              <w:autoSpaceDN w:val="0"/>
              <w:adjustRightInd w:val="0"/>
              <w:spacing w:line="240" w:lineRule="auto"/>
              <w:ind w:left="57" w:right="57" w:firstLine="0"/>
              <w:contextualSpacing/>
            </w:pPr>
            <w:r w:rsidRPr="00761653">
              <w:t>Положительная гемокультура из ЦВК получена раньше на 2 часа и более чем из вены – удаление ЦВК ввиду высокой вероятности его инфицирования</w:t>
            </w:r>
          </w:p>
        </w:tc>
      </w:tr>
      <w:tr w:rsidR="00B61B7C" w:rsidRPr="00265B67" w14:paraId="53774D02" w14:textId="77777777" w:rsidTr="002D3EBF">
        <w:trPr>
          <w:trHeight w:val="698"/>
        </w:trPr>
        <w:tc>
          <w:tcPr>
            <w:tcW w:w="3510" w:type="dxa"/>
            <w:tcMar>
              <w:top w:w="100" w:type="nil"/>
              <w:right w:w="100" w:type="nil"/>
            </w:tcMar>
            <w:vAlign w:val="center"/>
          </w:tcPr>
          <w:p w14:paraId="59463143" w14:textId="77777777" w:rsidR="00B61B7C" w:rsidRPr="00761653" w:rsidRDefault="00B61B7C" w:rsidP="002D3EBF">
            <w:pPr>
              <w:widowControl w:val="0"/>
              <w:autoSpaceDE w:val="0"/>
              <w:autoSpaceDN w:val="0"/>
              <w:adjustRightInd w:val="0"/>
              <w:spacing w:line="240" w:lineRule="auto"/>
              <w:ind w:left="57" w:right="57" w:firstLine="0"/>
            </w:pPr>
            <w:r w:rsidRPr="00761653">
              <w:t xml:space="preserve">Ожидаемая нейтропения (лейкопения) &gt;10 дней </w:t>
            </w:r>
          </w:p>
        </w:tc>
        <w:tc>
          <w:tcPr>
            <w:tcW w:w="6096" w:type="dxa"/>
            <w:tcMar>
              <w:top w:w="100" w:type="nil"/>
              <w:right w:w="100" w:type="nil"/>
            </w:tcMar>
            <w:vAlign w:val="center"/>
          </w:tcPr>
          <w:p w14:paraId="74DCBE23" w14:textId="77777777" w:rsidR="00B61B7C" w:rsidRPr="00761653" w:rsidRDefault="00B61B7C" w:rsidP="002D3EBF">
            <w:pPr>
              <w:widowControl w:val="0"/>
              <w:autoSpaceDE w:val="0"/>
              <w:autoSpaceDN w:val="0"/>
              <w:adjustRightInd w:val="0"/>
              <w:spacing w:line="240" w:lineRule="auto"/>
              <w:ind w:left="57" w:right="57" w:firstLine="0"/>
            </w:pPr>
            <w:r w:rsidRPr="00761653">
              <w:t xml:space="preserve">Исследование крови на антиген </w:t>
            </w:r>
            <w:r w:rsidRPr="00761653">
              <w:rPr>
                <w:i/>
                <w:iCs/>
              </w:rPr>
              <w:t>Aspergillus</w:t>
            </w:r>
            <w:r w:rsidRPr="00761653">
              <w:t xml:space="preserve"> 2 раза в неделю</w:t>
            </w:r>
          </w:p>
        </w:tc>
      </w:tr>
      <w:tr w:rsidR="00B61B7C" w:rsidRPr="00761653" w14:paraId="49826BFB" w14:textId="77777777" w:rsidTr="002D3EBF">
        <w:trPr>
          <w:trHeight w:val="556"/>
        </w:trPr>
        <w:tc>
          <w:tcPr>
            <w:tcW w:w="3510" w:type="dxa"/>
            <w:tcMar>
              <w:top w:w="100" w:type="nil"/>
              <w:right w:w="100" w:type="nil"/>
            </w:tcMar>
            <w:vAlign w:val="center"/>
          </w:tcPr>
          <w:p w14:paraId="22D22F27" w14:textId="77777777" w:rsidR="00B61B7C" w:rsidRPr="00761653" w:rsidRDefault="00B61B7C" w:rsidP="002D3EBF">
            <w:pPr>
              <w:widowControl w:val="0"/>
              <w:autoSpaceDE w:val="0"/>
              <w:autoSpaceDN w:val="0"/>
              <w:adjustRightInd w:val="0"/>
              <w:spacing w:line="240" w:lineRule="auto"/>
              <w:ind w:left="57" w:right="57" w:firstLine="0"/>
            </w:pPr>
            <w:r w:rsidRPr="00761653">
              <w:t>Стоматит</w:t>
            </w:r>
          </w:p>
        </w:tc>
        <w:tc>
          <w:tcPr>
            <w:tcW w:w="6096" w:type="dxa"/>
            <w:tcMar>
              <w:top w:w="100" w:type="nil"/>
              <w:right w:w="100" w:type="nil"/>
            </w:tcMar>
            <w:vAlign w:val="center"/>
          </w:tcPr>
          <w:p w14:paraId="7467B472" w14:textId="77777777" w:rsidR="00B61B7C" w:rsidRPr="00761653" w:rsidRDefault="00B61B7C" w:rsidP="002D3EBF">
            <w:pPr>
              <w:widowControl w:val="0"/>
              <w:autoSpaceDE w:val="0"/>
              <w:autoSpaceDN w:val="0"/>
              <w:adjustRightInd w:val="0"/>
              <w:spacing w:line="240" w:lineRule="auto"/>
              <w:ind w:left="57" w:right="57" w:firstLine="0"/>
            </w:pPr>
            <w:r w:rsidRPr="00761653">
              <w:t>Мазок со слизистой ротоглотки</w:t>
            </w:r>
          </w:p>
        </w:tc>
      </w:tr>
      <w:tr w:rsidR="00B61B7C" w:rsidRPr="00265B67" w14:paraId="427B5DBC" w14:textId="77777777" w:rsidTr="002D3EBF">
        <w:trPr>
          <w:trHeight w:val="976"/>
        </w:trPr>
        <w:tc>
          <w:tcPr>
            <w:tcW w:w="3510" w:type="dxa"/>
            <w:tcMar>
              <w:top w:w="100" w:type="nil"/>
              <w:right w:w="100" w:type="nil"/>
            </w:tcMar>
            <w:vAlign w:val="center"/>
          </w:tcPr>
          <w:p w14:paraId="2B754BAF" w14:textId="77777777" w:rsidR="00B61B7C" w:rsidRPr="00761653" w:rsidRDefault="00B61B7C" w:rsidP="002D3EBF">
            <w:pPr>
              <w:widowControl w:val="0"/>
              <w:autoSpaceDE w:val="0"/>
              <w:autoSpaceDN w:val="0"/>
              <w:adjustRightInd w:val="0"/>
              <w:spacing w:line="240" w:lineRule="auto"/>
              <w:ind w:left="57" w:right="57" w:firstLine="0"/>
            </w:pPr>
            <w:r w:rsidRPr="00761653">
              <w:t>Эзофагит</w:t>
            </w:r>
          </w:p>
        </w:tc>
        <w:tc>
          <w:tcPr>
            <w:tcW w:w="6096" w:type="dxa"/>
            <w:tcMar>
              <w:top w:w="100" w:type="nil"/>
              <w:right w:w="100" w:type="nil"/>
            </w:tcMar>
            <w:vAlign w:val="center"/>
          </w:tcPr>
          <w:p w14:paraId="4DE547B3" w14:textId="77777777" w:rsidR="00B61B7C" w:rsidRPr="00761653" w:rsidRDefault="00B61B7C" w:rsidP="002D3EBF">
            <w:pPr>
              <w:widowControl w:val="0"/>
              <w:autoSpaceDE w:val="0"/>
              <w:autoSpaceDN w:val="0"/>
              <w:adjustRightInd w:val="0"/>
              <w:spacing w:line="240" w:lineRule="auto"/>
              <w:ind w:left="57" w:right="57" w:firstLine="0"/>
            </w:pPr>
            <w:r w:rsidRPr="00761653">
              <w:t>Эзофагоскопия (тромбоцитов не менее 50x10</w:t>
            </w:r>
            <w:r w:rsidRPr="00761653">
              <w:rPr>
                <w:vertAlign w:val="superscript"/>
              </w:rPr>
              <w:t>9</w:t>
            </w:r>
            <w:r w:rsidRPr="00761653">
              <w:t>/л)</w:t>
            </w:r>
          </w:p>
          <w:p w14:paraId="6FFC70AC" w14:textId="77777777" w:rsidR="00B61B7C" w:rsidRPr="00761653" w:rsidRDefault="00B61B7C" w:rsidP="002D3EBF">
            <w:pPr>
              <w:widowControl w:val="0"/>
              <w:autoSpaceDE w:val="0"/>
              <w:autoSpaceDN w:val="0"/>
              <w:adjustRightInd w:val="0"/>
              <w:spacing w:line="240" w:lineRule="auto"/>
              <w:ind w:left="57" w:right="57" w:firstLine="0"/>
            </w:pPr>
            <w:r w:rsidRPr="00761653">
              <w:t>Исследование - соскоб (браш-метод) со слизистой оболочки или биопсия</w:t>
            </w:r>
          </w:p>
        </w:tc>
      </w:tr>
      <w:tr w:rsidR="00B61B7C" w:rsidRPr="00265B67" w14:paraId="3CA88D4C" w14:textId="77777777" w:rsidTr="002D3EBF">
        <w:trPr>
          <w:trHeight w:val="704"/>
        </w:trPr>
        <w:tc>
          <w:tcPr>
            <w:tcW w:w="3510" w:type="dxa"/>
            <w:tcMar>
              <w:top w:w="100" w:type="nil"/>
              <w:right w:w="100" w:type="nil"/>
            </w:tcMar>
            <w:vAlign w:val="center"/>
          </w:tcPr>
          <w:p w14:paraId="11C7DAD4" w14:textId="77777777" w:rsidR="00B61B7C" w:rsidRPr="00761653" w:rsidRDefault="00B61B7C" w:rsidP="002D3EBF">
            <w:pPr>
              <w:widowControl w:val="0"/>
              <w:autoSpaceDE w:val="0"/>
              <w:autoSpaceDN w:val="0"/>
              <w:adjustRightInd w:val="0"/>
              <w:spacing w:line="240" w:lineRule="auto"/>
              <w:ind w:left="57" w:right="57" w:firstLine="0"/>
            </w:pPr>
            <w:r w:rsidRPr="00761653">
              <w:t>Некроз слизистой оболочки носового хода</w:t>
            </w:r>
          </w:p>
        </w:tc>
        <w:tc>
          <w:tcPr>
            <w:tcW w:w="6096" w:type="dxa"/>
            <w:tcMar>
              <w:top w:w="100" w:type="nil"/>
              <w:right w:w="100" w:type="nil"/>
            </w:tcMar>
            <w:vAlign w:val="center"/>
          </w:tcPr>
          <w:p w14:paraId="3B22AF36" w14:textId="77777777" w:rsidR="00B61B7C" w:rsidRPr="00761653" w:rsidRDefault="00B61B7C" w:rsidP="002D3EBF">
            <w:pPr>
              <w:widowControl w:val="0"/>
              <w:autoSpaceDE w:val="0"/>
              <w:autoSpaceDN w:val="0"/>
              <w:adjustRightInd w:val="0"/>
              <w:spacing w:line="240" w:lineRule="auto"/>
              <w:ind w:left="57" w:right="57" w:firstLine="0"/>
            </w:pPr>
            <w:r w:rsidRPr="00761653">
              <w:t>Мазок со слизистой оболочки носа</w:t>
            </w:r>
          </w:p>
        </w:tc>
      </w:tr>
      <w:tr w:rsidR="00B61B7C" w:rsidRPr="00265B67" w14:paraId="5A8F31CF" w14:textId="77777777" w:rsidTr="002D3EBF">
        <w:trPr>
          <w:trHeight w:val="701"/>
        </w:trPr>
        <w:tc>
          <w:tcPr>
            <w:tcW w:w="3510" w:type="dxa"/>
            <w:tcMar>
              <w:top w:w="100" w:type="nil"/>
              <w:right w:w="100" w:type="nil"/>
            </w:tcMar>
            <w:vAlign w:val="center"/>
          </w:tcPr>
          <w:p w14:paraId="29417EEB" w14:textId="77777777" w:rsidR="00B61B7C" w:rsidRPr="00761653" w:rsidRDefault="00B61B7C" w:rsidP="002D3EBF">
            <w:pPr>
              <w:widowControl w:val="0"/>
              <w:autoSpaceDE w:val="0"/>
              <w:autoSpaceDN w:val="0"/>
              <w:adjustRightInd w:val="0"/>
              <w:spacing w:line="240" w:lineRule="auto"/>
              <w:ind w:left="57" w:right="57" w:firstLine="0"/>
            </w:pPr>
            <w:r w:rsidRPr="00761653">
              <w:t>Гайморит</w:t>
            </w:r>
          </w:p>
        </w:tc>
        <w:tc>
          <w:tcPr>
            <w:tcW w:w="6096" w:type="dxa"/>
            <w:tcMar>
              <w:top w:w="100" w:type="nil"/>
              <w:right w:w="100" w:type="nil"/>
            </w:tcMar>
            <w:vAlign w:val="center"/>
          </w:tcPr>
          <w:p w14:paraId="50AEBCD6" w14:textId="77777777" w:rsidR="00B61B7C" w:rsidRPr="00761653" w:rsidRDefault="00B61B7C" w:rsidP="002D3EBF">
            <w:pPr>
              <w:widowControl w:val="0"/>
              <w:autoSpaceDE w:val="0"/>
              <w:autoSpaceDN w:val="0"/>
              <w:adjustRightInd w:val="0"/>
              <w:spacing w:line="240" w:lineRule="auto"/>
              <w:ind w:left="57" w:right="57" w:firstLine="0"/>
            </w:pPr>
            <w:r w:rsidRPr="00761653">
              <w:t>Исследование содержимого околоносовой пазухи, полученной при пункции</w:t>
            </w:r>
          </w:p>
        </w:tc>
      </w:tr>
      <w:tr w:rsidR="00B61B7C" w:rsidRPr="00761653" w14:paraId="655CDAED" w14:textId="77777777" w:rsidTr="002D3EBF">
        <w:trPr>
          <w:trHeight w:val="825"/>
        </w:trPr>
        <w:tc>
          <w:tcPr>
            <w:tcW w:w="3510" w:type="dxa"/>
            <w:tcMar>
              <w:top w:w="100" w:type="nil"/>
              <w:right w:w="100" w:type="nil"/>
            </w:tcMar>
            <w:vAlign w:val="center"/>
          </w:tcPr>
          <w:p w14:paraId="4276CAC2" w14:textId="77777777" w:rsidR="00B61B7C" w:rsidRPr="00761653" w:rsidRDefault="00B61B7C" w:rsidP="002D3EBF">
            <w:pPr>
              <w:widowControl w:val="0"/>
              <w:autoSpaceDE w:val="0"/>
              <w:autoSpaceDN w:val="0"/>
              <w:adjustRightInd w:val="0"/>
              <w:spacing w:line="240" w:lineRule="auto"/>
              <w:ind w:left="57" w:right="57" w:firstLine="0"/>
            </w:pPr>
            <w:r w:rsidRPr="00761653">
              <w:t>Симптомы инфекции мочевыводящих путей</w:t>
            </w:r>
          </w:p>
          <w:p w14:paraId="624D5847" w14:textId="77777777" w:rsidR="00B61B7C" w:rsidRPr="00761653" w:rsidRDefault="00B61B7C" w:rsidP="002D3EBF">
            <w:pPr>
              <w:widowControl w:val="0"/>
              <w:autoSpaceDE w:val="0"/>
              <w:autoSpaceDN w:val="0"/>
              <w:adjustRightInd w:val="0"/>
              <w:spacing w:line="240" w:lineRule="auto"/>
              <w:ind w:left="57" w:right="57" w:firstLine="0"/>
            </w:pPr>
            <w:r w:rsidRPr="00761653">
              <w:t>Лейкоцитурия</w:t>
            </w:r>
          </w:p>
        </w:tc>
        <w:tc>
          <w:tcPr>
            <w:tcW w:w="6096" w:type="dxa"/>
            <w:tcMar>
              <w:top w:w="100" w:type="nil"/>
              <w:right w:w="100" w:type="nil"/>
            </w:tcMar>
            <w:vAlign w:val="center"/>
          </w:tcPr>
          <w:p w14:paraId="4C4099E6" w14:textId="77777777" w:rsidR="00B61B7C" w:rsidRPr="00761653" w:rsidRDefault="00B61B7C" w:rsidP="002D3EBF">
            <w:pPr>
              <w:widowControl w:val="0"/>
              <w:autoSpaceDE w:val="0"/>
              <w:autoSpaceDN w:val="0"/>
              <w:adjustRightInd w:val="0"/>
              <w:spacing w:line="240" w:lineRule="auto"/>
              <w:ind w:left="57" w:right="57" w:firstLine="0"/>
            </w:pPr>
            <w:r w:rsidRPr="00761653">
              <w:t>Микробиологическое исследование мочи</w:t>
            </w:r>
          </w:p>
        </w:tc>
      </w:tr>
      <w:tr w:rsidR="00B61B7C" w:rsidRPr="00265B67" w14:paraId="1A702A5F" w14:textId="77777777" w:rsidTr="002D3EBF">
        <w:trPr>
          <w:trHeight w:val="1016"/>
        </w:trPr>
        <w:tc>
          <w:tcPr>
            <w:tcW w:w="3510" w:type="dxa"/>
            <w:tcMar>
              <w:top w:w="100" w:type="nil"/>
              <w:right w:w="100" w:type="nil"/>
            </w:tcMar>
            <w:vAlign w:val="center"/>
          </w:tcPr>
          <w:p w14:paraId="3647B627" w14:textId="77777777" w:rsidR="00B61B7C" w:rsidRPr="00761653" w:rsidRDefault="00B61B7C" w:rsidP="002D3EBF">
            <w:pPr>
              <w:widowControl w:val="0"/>
              <w:autoSpaceDE w:val="0"/>
              <w:autoSpaceDN w:val="0"/>
              <w:adjustRightInd w:val="0"/>
              <w:spacing w:line="240" w:lineRule="auto"/>
              <w:ind w:left="57" w:right="57" w:firstLine="0"/>
            </w:pPr>
            <w:r w:rsidRPr="00761653">
              <w:t>Пневмония</w:t>
            </w:r>
          </w:p>
        </w:tc>
        <w:tc>
          <w:tcPr>
            <w:tcW w:w="6096" w:type="dxa"/>
            <w:tcMar>
              <w:top w:w="100" w:type="nil"/>
              <w:right w:w="100" w:type="nil"/>
            </w:tcMar>
          </w:tcPr>
          <w:p w14:paraId="7823B9E6" w14:textId="77777777" w:rsidR="00B61B7C" w:rsidRPr="00761653" w:rsidRDefault="00B61B7C" w:rsidP="002D3EBF">
            <w:pPr>
              <w:widowControl w:val="0"/>
              <w:autoSpaceDE w:val="0"/>
              <w:autoSpaceDN w:val="0"/>
              <w:adjustRightInd w:val="0"/>
              <w:spacing w:line="240" w:lineRule="auto"/>
              <w:ind w:left="57" w:right="57" w:firstLine="0"/>
              <w:contextualSpacing/>
            </w:pPr>
            <w:r w:rsidRPr="00761653">
              <w:t>КТВР легких</w:t>
            </w:r>
          </w:p>
          <w:p w14:paraId="0D9FB48E" w14:textId="77777777" w:rsidR="00B61B7C" w:rsidRPr="00761653" w:rsidRDefault="00B61B7C" w:rsidP="002D3EBF">
            <w:pPr>
              <w:widowControl w:val="0"/>
              <w:autoSpaceDE w:val="0"/>
              <w:autoSpaceDN w:val="0"/>
              <w:adjustRightInd w:val="0"/>
              <w:spacing w:line="240" w:lineRule="auto"/>
              <w:ind w:left="57" w:right="57" w:firstLine="0"/>
              <w:contextualSpacing/>
            </w:pPr>
            <w:r w:rsidRPr="00761653">
              <w:t>Бронхоальвеолярный лаваж после КТВР легких</w:t>
            </w:r>
          </w:p>
          <w:p w14:paraId="42DE52C6" w14:textId="77777777" w:rsidR="00B61B7C" w:rsidRPr="00761653" w:rsidRDefault="00B61B7C" w:rsidP="002D3EBF">
            <w:pPr>
              <w:widowControl w:val="0"/>
              <w:autoSpaceDE w:val="0"/>
              <w:autoSpaceDN w:val="0"/>
              <w:adjustRightInd w:val="0"/>
              <w:spacing w:line="240" w:lineRule="auto"/>
              <w:ind w:left="57" w:right="57" w:firstLine="0"/>
              <w:contextualSpacing/>
              <w:rPr>
                <w:rFonts w:eastAsia="MS Mincho"/>
              </w:rPr>
            </w:pPr>
            <w:r w:rsidRPr="00761653">
              <w:t xml:space="preserve">Полное исследование жидкости БАЛ (микроскопия, микробиологическое исследование на бактерии и грибы, определение галактоманнана, флюоресцентная микроскопия на </w:t>
            </w:r>
            <w:r w:rsidRPr="00761653">
              <w:rPr>
                <w:i/>
                <w:iCs/>
              </w:rPr>
              <w:t xml:space="preserve">P. jirovecii, </w:t>
            </w:r>
            <w:r w:rsidRPr="00761653">
              <w:t xml:space="preserve">определение ДНК вирусов, </w:t>
            </w:r>
            <w:r w:rsidRPr="00761653">
              <w:rPr>
                <w:i/>
                <w:iCs/>
              </w:rPr>
              <w:t>P</w:t>
            </w:r>
            <w:r w:rsidRPr="00761653">
              <w:rPr>
                <w:i/>
                <w:iCs/>
                <w:strike/>
              </w:rPr>
              <w:t>.</w:t>
            </w:r>
            <w:r w:rsidRPr="00761653">
              <w:rPr>
                <w:i/>
                <w:iCs/>
              </w:rPr>
              <w:t xml:space="preserve"> jirovecii</w:t>
            </w:r>
            <w:r w:rsidRPr="00761653">
              <w:t>,</w:t>
            </w:r>
            <w:r w:rsidRPr="00761653">
              <w:rPr>
                <w:i/>
                <w:iCs/>
              </w:rPr>
              <w:t xml:space="preserve"> M. pneumoniae, C. pneumoniae</w:t>
            </w:r>
            <w:r w:rsidRPr="00761653">
              <w:t>)</w:t>
            </w:r>
          </w:p>
          <w:p w14:paraId="661A4FB1" w14:textId="77777777" w:rsidR="00B61B7C" w:rsidRPr="00761653" w:rsidRDefault="00B61B7C" w:rsidP="002D3EBF">
            <w:pPr>
              <w:widowControl w:val="0"/>
              <w:autoSpaceDE w:val="0"/>
              <w:autoSpaceDN w:val="0"/>
              <w:adjustRightInd w:val="0"/>
              <w:spacing w:line="240" w:lineRule="auto"/>
              <w:ind w:left="57" w:right="57" w:firstLine="0"/>
              <w:contextualSpacing/>
            </w:pPr>
            <w:r w:rsidRPr="00761653">
              <w:t xml:space="preserve">Исследование крови на антиген </w:t>
            </w:r>
            <w:r w:rsidRPr="00761653">
              <w:rPr>
                <w:i/>
                <w:iCs/>
              </w:rPr>
              <w:t>Aspergillus</w:t>
            </w:r>
          </w:p>
        </w:tc>
      </w:tr>
      <w:tr w:rsidR="00B61B7C" w:rsidRPr="00265B67" w14:paraId="7D26D6A4" w14:textId="77777777" w:rsidTr="002D3EBF">
        <w:trPr>
          <w:trHeight w:val="360"/>
        </w:trPr>
        <w:tc>
          <w:tcPr>
            <w:tcW w:w="3510" w:type="dxa"/>
            <w:tcMar>
              <w:top w:w="100" w:type="nil"/>
              <w:right w:w="100" w:type="nil"/>
            </w:tcMar>
          </w:tcPr>
          <w:p w14:paraId="5C1635A8" w14:textId="77777777" w:rsidR="00B61B7C" w:rsidRPr="00761653" w:rsidRDefault="00B61B7C" w:rsidP="002D3EBF">
            <w:pPr>
              <w:widowControl w:val="0"/>
              <w:autoSpaceDE w:val="0"/>
              <w:autoSpaceDN w:val="0"/>
              <w:adjustRightInd w:val="0"/>
              <w:spacing w:line="240" w:lineRule="auto"/>
              <w:ind w:left="57" w:right="57" w:firstLine="0"/>
            </w:pPr>
            <w:r w:rsidRPr="00761653">
              <w:t>Cимптомы менингита</w:t>
            </w:r>
          </w:p>
          <w:p w14:paraId="5B15623E" w14:textId="77777777" w:rsidR="00B61B7C" w:rsidRPr="00761653" w:rsidRDefault="00B61B7C" w:rsidP="002D3EBF">
            <w:pPr>
              <w:widowControl w:val="0"/>
              <w:autoSpaceDE w:val="0"/>
              <w:autoSpaceDN w:val="0"/>
              <w:adjustRightInd w:val="0"/>
              <w:spacing w:line="240" w:lineRule="auto"/>
              <w:ind w:left="57" w:right="57" w:firstLine="0"/>
              <w:rPr>
                <w:rFonts w:eastAsia="MS Mincho"/>
              </w:rPr>
            </w:pPr>
            <w:r w:rsidRPr="00761653">
              <w:t>«Мозговая» симптоматика на фоне лихорадки и нейтропении</w:t>
            </w:r>
          </w:p>
          <w:p w14:paraId="5E66DA29" w14:textId="77777777" w:rsidR="00B61B7C" w:rsidRPr="00761653" w:rsidRDefault="00B61B7C" w:rsidP="002D3EBF">
            <w:pPr>
              <w:widowControl w:val="0"/>
              <w:autoSpaceDE w:val="0"/>
              <w:autoSpaceDN w:val="0"/>
              <w:adjustRightInd w:val="0"/>
              <w:spacing w:line="240" w:lineRule="auto"/>
              <w:ind w:left="57" w:right="57" w:firstLine="0"/>
            </w:pPr>
            <w:r w:rsidRPr="00761653">
              <w:t>Обнаружение очага (очагов) в головном мозге</w:t>
            </w:r>
          </w:p>
        </w:tc>
        <w:tc>
          <w:tcPr>
            <w:tcW w:w="6096" w:type="dxa"/>
            <w:tcMar>
              <w:top w:w="100" w:type="nil"/>
              <w:right w:w="100" w:type="nil"/>
            </w:tcMar>
            <w:vAlign w:val="center"/>
          </w:tcPr>
          <w:p w14:paraId="2ACC377B" w14:textId="77777777" w:rsidR="00B61B7C" w:rsidRPr="00761653" w:rsidRDefault="00B61B7C" w:rsidP="002D3EBF">
            <w:pPr>
              <w:widowControl w:val="0"/>
              <w:autoSpaceDE w:val="0"/>
              <w:autoSpaceDN w:val="0"/>
              <w:adjustRightInd w:val="0"/>
              <w:spacing w:line="240" w:lineRule="auto"/>
              <w:ind w:left="57" w:right="57" w:firstLine="0"/>
              <w:contextualSpacing/>
              <w:rPr>
                <w:rFonts w:eastAsia="MS Mincho"/>
              </w:rPr>
            </w:pPr>
            <w:r w:rsidRPr="00761653">
              <w:t>Люмбальная пункция</w:t>
            </w:r>
          </w:p>
          <w:p w14:paraId="77792254" w14:textId="77777777" w:rsidR="00B61B7C" w:rsidRPr="00761653" w:rsidRDefault="00B61B7C" w:rsidP="002D3EBF">
            <w:pPr>
              <w:widowControl w:val="0"/>
              <w:autoSpaceDE w:val="0"/>
              <w:autoSpaceDN w:val="0"/>
              <w:adjustRightInd w:val="0"/>
              <w:spacing w:line="240" w:lineRule="auto"/>
              <w:ind w:left="57" w:right="57" w:firstLine="0"/>
              <w:contextualSpacing/>
            </w:pPr>
            <w:r w:rsidRPr="00761653">
              <w:t xml:space="preserve">Полное исследование СМЖ (см. текст), включая исследование на антиген </w:t>
            </w:r>
            <w:r w:rsidRPr="00761653">
              <w:rPr>
                <w:i/>
                <w:iCs/>
              </w:rPr>
              <w:t>Cryptococcus</w:t>
            </w:r>
            <w:r w:rsidRPr="00761653">
              <w:t xml:space="preserve"> (глюкуроноксиломаннан)</w:t>
            </w:r>
          </w:p>
        </w:tc>
      </w:tr>
      <w:tr w:rsidR="00B61B7C" w:rsidRPr="00265B67" w14:paraId="2E33F265" w14:textId="77777777" w:rsidTr="002D3EBF">
        <w:trPr>
          <w:trHeight w:val="93"/>
        </w:trPr>
        <w:tc>
          <w:tcPr>
            <w:tcW w:w="3510" w:type="dxa"/>
            <w:tcMar>
              <w:top w:w="100" w:type="nil"/>
              <w:right w:w="100" w:type="nil"/>
            </w:tcMar>
            <w:vAlign w:val="center"/>
          </w:tcPr>
          <w:p w14:paraId="56054198" w14:textId="77777777" w:rsidR="00B61B7C" w:rsidRPr="00761653" w:rsidRDefault="00B61B7C" w:rsidP="002D3EBF">
            <w:pPr>
              <w:widowControl w:val="0"/>
              <w:autoSpaceDE w:val="0"/>
              <w:autoSpaceDN w:val="0"/>
              <w:adjustRightInd w:val="0"/>
              <w:spacing w:line="240" w:lineRule="auto"/>
              <w:ind w:left="57" w:right="57" w:firstLine="0"/>
            </w:pPr>
            <w:r w:rsidRPr="00761653">
              <w:t>Диарея</w:t>
            </w:r>
          </w:p>
        </w:tc>
        <w:tc>
          <w:tcPr>
            <w:tcW w:w="6096" w:type="dxa"/>
            <w:tcMar>
              <w:top w:w="100" w:type="nil"/>
              <w:right w:w="100" w:type="nil"/>
            </w:tcMar>
          </w:tcPr>
          <w:p w14:paraId="22B25357" w14:textId="77777777" w:rsidR="00B61B7C" w:rsidRPr="00761653" w:rsidRDefault="00B61B7C" w:rsidP="002D3EBF">
            <w:pPr>
              <w:widowControl w:val="0"/>
              <w:autoSpaceDE w:val="0"/>
              <w:autoSpaceDN w:val="0"/>
              <w:adjustRightInd w:val="0"/>
              <w:spacing w:line="240" w:lineRule="auto"/>
              <w:ind w:left="57" w:right="57" w:firstLine="0"/>
            </w:pPr>
            <w:r w:rsidRPr="00761653">
              <w:t xml:space="preserve">Исследование кала на токсин </w:t>
            </w:r>
            <w:r w:rsidRPr="00761653">
              <w:rPr>
                <w:i/>
                <w:iCs/>
              </w:rPr>
              <w:t>C. difficile</w:t>
            </w:r>
          </w:p>
        </w:tc>
      </w:tr>
      <w:tr w:rsidR="00B61B7C" w:rsidRPr="00265B67" w14:paraId="3096A652" w14:textId="77777777" w:rsidTr="002D3EBF">
        <w:trPr>
          <w:trHeight w:val="187"/>
        </w:trPr>
        <w:tc>
          <w:tcPr>
            <w:tcW w:w="3510" w:type="dxa"/>
            <w:tcMar>
              <w:top w:w="100" w:type="nil"/>
              <w:right w:w="100" w:type="nil"/>
            </w:tcMar>
            <w:vAlign w:val="center"/>
          </w:tcPr>
          <w:p w14:paraId="19E6D29A" w14:textId="77777777" w:rsidR="00B61B7C" w:rsidRPr="00761653" w:rsidRDefault="00B61B7C" w:rsidP="002D3EBF">
            <w:pPr>
              <w:widowControl w:val="0"/>
              <w:autoSpaceDE w:val="0"/>
              <w:autoSpaceDN w:val="0"/>
              <w:adjustRightInd w:val="0"/>
              <w:spacing w:line="240" w:lineRule="auto"/>
              <w:ind w:left="57" w:right="57" w:firstLine="0"/>
              <w:contextualSpacing/>
              <w:rPr>
                <w:rFonts w:eastAsia="MS Mincho"/>
              </w:rPr>
            </w:pPr>
            <w:r w:rsidRPr="00761653">
              <w:t>Парапроктит</w:t>
            </w:r>
          </w:p>
          <w:p w14:paraId="472A237B" w14:textId="77777777" w:rsidR="00B61B7C" w:rsidRPr="00761653" w:rsidRDefault="00B61B7C" w:rsidP="002D3EBF">
            <w:pPr>
              <w:widowControl w:val="0"/>
              <w:autoSpaceDE w:val="0"/>
              <w:autoSpaceDN w:val="0"/>
              <w:adjustRightInd w:val="0"/>
              <w:spacing w:line="240" w:lineRule="auto"/>
              <w:ind w:left="57" w:right="57" w:firstLine="0"/>
              <w:contextualSpacing/>
            </w:pPr>
            <w:r w:rsidRPr="00761653">
              <w:t>Трещина в области прямой кишки</w:t>
            </w:r>
          </w:p>
        </w:tc>
        <w:tc>
          <w:tcPr>
            <w:tcW w:w="6096" w:type="dxa"/>
            <w:tcMar>
              <w:top w:w="100" w:type="nil"/>
              <w:right w:w="100" w:type="nil"/>
            </w:tcMar>
            <w:vAlign w:val="center"/>
          </w:tcPr>
          <w:p w14:paraId="369FEEBD" w14:textId="77777777" w:rsidR="00B61B7C" w:rsidRPr="00761653" w:rsidRDefault="00B61B7C" w:rsidP="002D3EBF">
            <w:pPr>
              <w:widowControl w:val="0"/>
              <w:autoSpaceDE w:val="0"/>
              <w:autoSpaceDN w:val="0"/>
              <w:adjustRightInd w:val="0"/>
              <w:spacing w:line="240" w:lineRule="auto"/>
              <w:ind w:left="57" w:right="57" w:firstLine="0"/>
            </w:pPr>
            <w:r w:rsidRPr="00761653">
              <w:t>Мазок со слизистой оболочки прямой кишки</w:t>
            </w:r>
          </w:p>
        </w:tc>
      </w:tr>
      <w:tr w:rsidR="00B61B7C" w:rsidRPr="00265B67" w14:paraId="48BB6104" w14:textId="77777777" w:rsidTr="002D3EBF">
        <w:trPr>
          <w:trHeight w:val="200"/>
        </w:trPr>
        <w:tc>
          <w:tcPr>
            <w:tcW w:w="3510" w:type="dxa"/>
            <w:tcMar>
              <w:top w:w="100" w:type="nil"/>
              <w:right w:w="100" w:type="nil"/>
            </w:tcMar>
            <w:vAlign w:val="center"/>
          </w:tcPr>
          <w:p w14:paraId="1E777394" w14:textId="77777777" w:rsidR="00B61B7C" w:rsidRPr="00761653" w:rsidRDefault="00B61B7C" w:rsidP="002D3EBF">
            <w:pPr>
              <w:widowControl w:val="0"/>
              <w:autoSpaceDE w:val="0"/>
              <w:autoSpaceDN w:val="0"/>
              <w:adjustRightInd w:val="0"/>
              <w:spacing w:line="240" w:lineRule="auto"/>
              <w:ind w:left="57" w:right="57" w:firstLine="0"/>
              <w:contextualSpacing/>
            </w:pPr>
            <w:r w:rsidRPr="00761653">
              <w:t>Образования (инфильтраты) на коже</w:t>
            </w:r>
          </w:p>
        </w:tc>
        <w:tc>
          <w:tcPr>
            <w:tcW w:w="6096" w:type="dxa"/>
            <w:tcMar>
              <w:top w:w="100" w:type="nil"/>
              <w:right w:w="100" w:type="nil"/>
            </w:tcMar>
            <w:vAlign w:val="center"/>
          </w:tcPr>
          <w:p w14:paraId="6799BBCC" w14:textId="77777777" w:rsidR="00B61B7C" w:rsidRPr="00761653" w:rsidRDefault="00B61B7C" w:rsidP="002D3EBF">
            <w:pPr>
              <w:widowControl w:val="0"/>
              <w:autoSpaceDE w:val="0"/>
              <w:autoSpaceDN w:val="0"/>
              <w:adjustRightInd w:val="0"/>
              <w:spacing w:line="240" w:lineRule="auto"/>
              <w:ind w:left="57" w:right="57" w:firstLine="0"/>
              <w:contextualSpacing/>
            </w:pPr>
            <w:r w:rsidRPr="00761653">
              <w:t>Биопсия</w:t>
            </w:r>
          </w:p>
          <w:p w14:paraId="0FC66272" w14:textId="77777777" w:rsidR="00B61B7C" w:rsidRPr="00761653" w:rsidRDefault="00B61B7C" w:rsidP="002D3EBF">
            <w:pPr>
              <w:widowControl w:val="0"/>
              <w:autoSpaceDE w:val="0"/>
              <w:autoSpaceDN w:val="0"/>
              <w:adjustRightInd w:val="0"/>
              <w:spacing w:line="240" w:lineRule="auto"/>
              <w:ind w:left="57" w:right="57" w:firstLine="0"/>
              <w:contextualSpacing/>
            </w:pPr>
            <w:r w:rsidRPr="00761653">
              <w:t>Микробиологическое и гистологическое исследование биоптата</w:t>
            </w:r>
          </w:p>
        </w:tc>
      </w:tr>
    </w:tbl>
    <w:p w14:paraId="5785B9BB" w14:textId="77777777" w:rsidR="00B61B7C" w:rsidRDefault="00B61B7C" w:rsidP="00B61B7C">
      <w:pPr>
        <w:widowControl w:val="0"/>
        <w:tabs>
          <w:tab w:val="left" w:pos="1134"/>
        </w:tabs>
        <w:autoSpaceDE w:val="0"/>
        <w:autoSpaceDN w:val="0"/>
        <w:adjustRightInd w:val="0"/>
        <w:ind w:right="-130"/>
        <w:contextualSpacing/>
        <w:rPr>
          <w:b/>
          <w:bCs/>
        </w:rPr>
      </w:pPr>
    </w:p>
    <w:p w14:paraId="40332EA0" w14:textId="77777777" w:rsidR="00B61B7C" w:rsidRPr="00284D51" w:rsidRDefault="00B61B7C" w:rsidP="00B61B7C">
      <w:pPr>
        <w:widowControl w:val="0"/>
        <w:autoSpaceDE w:val="0"/>
        <w:autoSpaceDN w:val="0"/>
        <w:adjustRightInd w:val="0"/>
        <w:ind w:right="49"/>
        <w:contextualSpacing/>
        <w:rPr>
          <w:bCs/>
          <w:i/>
          <w:iCs/>
          <w:u w:val="single"/>
        </w:rPr>
      </w:pPr>
      <w:r w:rsidRPr="00284D51">
        <w:rPr>
          <w:bCs/>
          <w:i/>
          <w:iCs/>
          <w:u w:val="single"/>
        </w:rPr>
        <w:t>Показания к назначению антибактериальной терапии первого этапа</w:t>
      </w:r>
    </w:p>
    <w:p w14:paraId="069074FD" w14:textId="77777777" w:rsidR="00B61B7C" w:rsidRPr="0076198F" w:rsidRDefault="00B61B7C" w:rsidP="00B61B7C">
      <w:pPr>
        <w:tabs>
          <w:tab w:val="left" w:pos="0"/>
          <w:tab w:val="left" w:pos="567"/>
        </w:tabs>
      </w:pPr>
      <w:r w:rsidRPr="005971E1">
        <w:t>В первые сутки, как правило, единственным симптомом ифнекционного осложнения</w:t>
      </w:r>
      <w:r>
        <w:t xml:space="preserve"> </w:t>
      </w:r>
      <w:r w:rsidRPr="0076198F">
        <w:t>бывает лишь повышение температуры</w:t>
      </w:r>
      <w:r>
        <w:t xml:space="preserve"> тела</w:t>
      </w:r>
      <w:r w:rsidRPr="0076198F">
        <w:t xml:space="preserve">, а информацию о бактериемии или пневмонии у больных с нейтропенией удается получить не раньше, чем на второй день инфекционного эпизода. В связи с этим основным принципом терапии инфекционных осложнений у </w:t>
      </w:r>
      <w:r>
        <w:t xml:space="preserve">гематологических пациентов </w:t>
      </w:r>
      <w:r w:rsidRPr="0076198F">
        <w:t>с фебрильной нейтропенией</w:t>
      </w:r>
      <w:r>
        <w:t xml:space="preserve">, особенно из группы риска, куда относятся пациенты с лимфомами (онкогематология, иммунодефицитные состояния) </w:t>
      </w:r>
      <w:r w:rsidRPr="0076198F">
        <w:t xml:space="preserve">является эмпирический подход к назначению антибактериальных препаратов, когда их применяют при первых признаках инфекции, при лихорадке до идентификации возбудителей инфекции. В то же время эмпирический подход к назначению антибиотиков является относительным, поскольку выбор антимикробных препаратов определяется ретроспективным анализом верифицированных возбудителей и их антибиотикочувствительностью. </w:t>
      </w:r>
    </w:p>
    <w:p w14:paraId="6EE4BE9C" w14:textId="77777777" w:rsidR="00B61B7C" w:rsidRDefault="00B61B7C" w:rsidP="00B61B7C">
      <w:pPr>
        <w:widowControl w:val="0"/>
        <w:tabs>
          <w:tab w:val="left" w:pos="1134"/>
        </w:tabs>
        <w:autoSpaceDE w:val="0"/>
        <w:autoSpaceDN w:val="0"/>
        <w:adjustRightInd w:val="0"/>
        <w:ind w:right="-130"/>
        <w:contextualSpacing/>
      </w:pPr>
      <w:r>
        <w:rPr>
          <w:bCs/>
        </w:rPr>
        <w:t>Показанием к назначению антибактериальных препаратов является п</w:t>
      </w:r>
      <w:r w:rsidRPr="00761653">
        <w:t xml:space="preserve">овышение температуры ≥38,0°С, сохраняющееся в течение 2 часов и не связанное с введением пирогенных препаратов (например, компонентов крови, факторов роста и др.) </w:t>
      </w:r>
      <w:r w:rsidRPr="008B181D">
        <w:rPr>
          <w:b/>
          <w:i/>
          <w:iCs/>
        </w:rPr>
        <w:t>или</w:t>
      </w:r>
      <w:r w:rsidRPr="00761653">
        <w:rPr>
          <w:b/>
          <w:bCs/>
        </w:rPr>
        <w:t xml:space="preserve"> </w:t>
      </w:r>
      <w:r w:rsidRPr="00761653">
        <w:t xml:space="preserve">наличие очага инфекции (например, пневмония, парапроктит и др.) вне зависимости от показателей температуры. </w:t>
      </w:r>
    </w:p>
    <w:p w14:paraId="5871696C" w14:textId="77777777" w:rsidR="00B61B7C" w:rsidRPr="00761653" w:rsidRDefault="00B61B7C" w:rsidP="00B61B7C">
      <w:pPr>
        <w:widowControl w:val="0"/>
        <w:tabs>
          <w:tab w:val="left" w:pos="1134"/>
        </w:tabs>
        <w:autoSpaceDE w:val="0"/>
        <w:autoSpaceDN w:val="0"/>
        <w:adjustRightInd w:val="0"/>
        <w:ind w:right="-130"/>
        <w:contextualSpacing/>
      </w:pPr>
      <w:r w:rsidRPr="00761653">
        <w:t>При фебрильной нейтропении в 1-й линии назначают внутривенно антибиотик с активностью против грамотрицательных бактерий, включая синегнойную палочку - пиперациллин/тазобактам (4,5 г х 3 раза) или цефоперазон/сульбактам</w:t>
      </w:r>
      <w:r w:rsidRPr="00761653">
        <w:rPr>
          <w:b/>
          <w:bCs/>
        </w:rPr>
        <w:t xml:space="preserve"> (</w:t>
      </w:r>
      <w:r w:rsidRPr="00761653">
        <w:t>4 г х 2 раза). В клиниках с низкой частотой детекции энтеробактерий с продукцией БЛРС допустимо назначение цефепима</w:t>
      </w:r>
      <w:r w:rsidRPr="00761653">
        <w:rPr>
          <w:b/>
          <w:bCs/>
        </w:rPr>
        <w:t xml:space="preserve"> (</w:t>
      </w:r>
      <w:r w:rsidRPr="00761653">
        <w:t>2 г х 2 раза) или цефтазидима</w:t>
      </w:r>
      <w:r w:rsidRPr="00761653">
        <w:rPr>
          <w:b/>
          <w:bCs/>
        </w:rPr>
        <w:t xml:space="preserve"> (</w:t>
      </w:r>
      <w:r w:rsidRPr="00761653">
        <w:t xml:space="preserve">2 г х 3 раза). Препарат выбора для беременных с заболеваниями системы крови – цефепим. При неэффективности и отсутствии информативных микробиологических исследований проводят замену антибиотиков 1й линии на антипсевдомонадный карбапенем (имипенем, меропенем или дорипенем). В 1й линии </w:t>
      </w:r>
      <w:r>
        <w:t xml:space="preserve">терапии </w:t>
      </w:r>
      <w:r w:rsidRPr="00761653">
        <w:t xml:space="preserve">фебрильной нейтропении не назначают цефтриаксон, цефоперазон, фторхинолоны. </w:t>
      </w:r>
    </w:p>
    <w:p w14:paraId="11E62CBA" w14:textId="77777777" w:rsidR="00B61B7C" w:rsidRPr="00761653" w:rsidRDefault="00B61B7C" w:rsidP="00B61B7C">
      <w:pPr>
        <w:widowControl w:val="0"/>
        <w:autoSpaceDE w:val="0"/>
        <w:autoSpaceDN w:val="0"/>
        <w:adjustRightInd w:val="0"/>
        <w:ind w:right="-220"/>
        <w:contextualSpacing/>
      </w:pPr>
      <w:r w:rsidRPr="00761653">
        <w:t>Показаниями к назначению антипсевдомонадных карбапенемов (имипенема/циластатина, меропенема, дорипенема) в 1-й линии фебрильной нейтропениии являются септический шок; пневмония с дыхательной недостаточностью.</w:t>
      </w:r>
    </w:p>
    <w:p w14:paraId="464EA2E7" w14:textId="77777777" w:rsidR="00B61B7C" w:rsidRPr="00761653" w:rsidRDefault="00B61B7C" w:rsidP="00B61B7C">
      <w:pPr>
        <w:widowControl w:val="0"/>
        <w:tabs>
          <w:tab w:val="left" w:pos="1134"/>
        </w:tabs>
        <w:autoSpaceDE w:val="0"/>
        <w:autoSpaceDN w:val="0"/>
        <w:adjustRightInd w:val="0"/>
        <w:ind w:right="-220"/>
        <w:contextualSpacing/>
      </w:pPr>
      <w:r w:rsidRPr="00761653">
        <w:t xml:space="preserve">Модификацию противомикробной терапии проводят на основании клинических симптомов, инструментальных и микробиологических исследований. У больных с персистирующей фебрильной нейтропенией и отрицательной гемокультурой при модификации учитывают чувствительность грамотрицательных бактерий, колонизирующих слизистые оболочки желудочно-кишечного тракта. При неэффективности карбапенемов и сохранении нейтропении добавляют противогрибковые препараты – эхинокандин (каспофунгин, микафунгин или анидулафунгин), вориконазол, амфотерицин В; орофарингеальном кандидозе и эзофагите - флуконазол. </w:t>
      </w:r>
    </w:p>
    <w:p w14:paraId="51CC4EC2" w14:textId="77777777" w:rsidR="00B61B7C" w:rsidRDefault="00B61B7C" w:rsidP="00B61B7C">
      <w:pPr>
        <w:widowControl w:val="0"/>
        <w:autoSpaceDE w:val="0"/>
        <w:autoSpaceDN w:val="0"/>
        <w:adjustRightInd w:val="0"/>
        <w:ind w:right="49"/>
        <w:contextualSpacing/>
        <w:rPr>
          <w:bCs/>
          <w:u w:val="single"/>
        </w:rPr>
      </w:pPr>
    </w:p>
    <w:p w14:paraId="25F65653" w14:textId="77777777" w:rsidR="00B61B7C" w:rsidRPr="00284D51" w:rsidRDefault="00B61B7C" w:rsidP="00B61B7C">
      <w:pPr>
        <w:widowControl w:val="0"/>
        <w:autoSpaceDE w:val="0"/>
        <w:autoSpaceDN w:val="0"/>
        <w:adjustRightInd w:val="0"/>
        <w:ind w:right="49"/>
        <w:contextualSpacing/>
        <w:rPr>
          <w:bCs/>
          <w:i/>
          <w:iCs/>
          <w:u w:val="single"/>
        </w:rPr>
      </w:pPr>
      <w:r w:rsidRPr="00284D51">
        <w:rPr>
          <w:bCs/>
          <w:i/>
          <w:iCs/>
          <w:u w:val="single"/>
        </w:rPr>
        <w:t>Эмпирическое назначение противогрибковых препаратов</w:t>
      </w:r>
    </w:p>
    <w:p w14:paraId="765A6C91" w14:textId="77777777" w:rsidR="00B61B7C" w:rsidRPr="00761653" w:rsidRDefault="00B61B7C" w:rsidP="00B61B7C">
      <w:pPr>
        <w:widowControl w:val="0"/>
        <w:autoSpaceDE w:val="0"/>
        <w:autoSpaceDN w:val="0"/>
        <w:adjustRightInd w:val="0"/>
        <w:ind w:right="-211"/>
        <w:contextualSpacing/>
      </w:pPr>
      <w:r w:rsidRPr="00761653">
        <w:t>Эмпирическое назначение противогрибковых препаратов проводят на 4-7-й дни персистирующей фебрильной нейтропении в группе высокого риска возникновения инвазивных микозов (</w:t>
      </w:r>
      <w:r>
        <w:t>пациенты с</w:t>
      </w:r>
      <w:r w:rsidRPr="00761653">
        <w:t xml:space="preserve"> острым лейкозом, миелодиспластическим синдромом, реципиенты аллогенных ТГСК</w:t>
      </w:r>
      <w:r>
        <w:t>, агрессивными лимфомами, при длительной терапии глюкортикостероидами и др.</w:t>
      </w:r>
      <w:r w:rsidRPr="00761653">
        <w:t>), при условии отсутствия у них других клинических симптомов, а также р</w:t>
      </w:r>
      <w:r>
        <w:t>адиоло</w:t>
      </w:r>
      <w:r w:rsidRPr="00761653">
        <w:t xml:space="preserve">гических и лабораторных данных за иную инфекцию или другой инвазивный микоз. Препарат выбора – каспофунгин (в 1-й день 70 мг, далее по 50 мг внутривенно 1 раз в сутки), микафунгин (100 мг один раз в сутки внутривенно), анидулафунгин (в 1-й день 200 мг, далее по 100 мг 1 раз в сутки, внутривенно); альтернативные – вориконазол (в 1-й день по 6мг/кг внутривенно 2 раза в сутки, в последующие дни по 4 мг/кг внутривенно 2 раза в сутки, с переходом на пероральный прием по 200 мг 2 раза в сутки), амфотерицин В (0,8—1,0 мг/кг внутривенно 1 раз в сутки), липидные формы амфотерицина В (3 мг/кг внутривенно 1 раз в сутки). Как правило, тепература нормализуется в течение первых трех дней применения антимикотиков, и общая </w:t>
      </w:r>
      <w:r w:rsidRPr="00761653">
        <w:rPr>
          <w:bCs/>
        </w:rPr>
        <w:t>длительность применения противогрибковых препаратов</w:t>
      </w:r>
      <w:r w:rsidRPr="00761653">
        <w:t xml:space="preserve"> составляет 10-14 дней.</w:t>
      </w:r>
    </w:p>
    <w:p w14:paraId="0603DC48" w14:textId="77777777" w:rsidR="00B61B7C" w:rsidRDefault="00B61B7C" w:rsidP="00B61B7C">
      <w:pPr>
        <w:widowControl w:val="0"/>
        <w:autoSpaceDE w:val="0"/>
        <w:autoSpaceDN w:val="0"/>
        <w:adjustRightInd w:val="0"/>
        <w:ind w:right="49"/>
        <w:contextualSpacing/>
        <w:rPr>
          <w:bCs/>
          <w:u w:val="single"/>
        </w:rPr>
      </w:pPr>
    </w:p>
    <w:p w14:paraId="5D267552" w14:textId="77777777" w:rsidR="00B61B7C" w:rsidRPr="00284D51" w:rsidRDefault="00B61B7C" w:rsidP="00B61B7C">
      <w:pPr>
        <w:widowControl w:val="0"/>
        <w:autoSpaceDE w:val="0"/>
        <w:autoSpaceDN w:val="0"/>
        <w:adjustRightInd w:val="0"/>
        <w:ind w:right="49"/>
        <w:contextualSpacing/>
        <w:rPr>
          <w:bCs/>
          <w:i/>
          <w:iCs/>
          <w:u w:val="single"/>
        </w:rPr>
      </w:pPr>
      <w:r w:rsidRPr="00284D51">
        <w:rPr>
          <w:bCs/>
          <w:i/>
          <w:iCs/>
          <w:u w:val="single"/>
        </w:rPr>
        <w:t>Превентивная терапия инвазивного микоза</w:t>
      </w:r>
    </w:p>
    <w:p w14:paraId="276FA95A" w14:textId="77777777" w:rsidR="00B61B7C" w:rsidRPr="00761653" w:rsidRDefault="00B61B7C" w:rsidP="00B61B7C">
      <w:pPr>
        <w:widowControl w:val="0"/>
        <w:autoSpaceDE w:val="0"/>
        <w:autoSpaceDN w:val="0"/>
        <w:adjustRightInd w:val="0"/>
        <w:ind w:right="-211"/>
        <w:contextualSpacing/>
      </w:pPr>
      <w:r w:rsidRPr="00761653">
        <w:rPr>
          <w:bCs/>
        </w:rPr>
        <w:t xml:space="preserve">Показаниями </w:t>
      </w:r>
      <w:r w:rsidRPr="00761653">
        <w:t>к превентивному назначению противогрибковых препаратов являются пневмония с р</w:t>
      </w:r>
      <w:r>
        <w:t>адио</w:t>
      </w:r>
      <w:r w:rsidRPr="00761653">
        <w:t>логическими признаками</w:t>
      </w:r>
      <w:r>
        <w:t>,</w:t>
      </w:r>
      <w:r w:rsidRPr="00761653">
        <w:t xml:space="preserve"> нехарактерными для инвазивного аспергиллеза, которая сохраняется или прогрессирует на фоне применения антибиотиков у </w:t>
      </w:r>
      <w:r>
        <w:t>пациентов</w:t>
      </w:r>
      <w:r w:rsidRPr="00761653">
        <w:t xml:space="preserve"> с факторами риска возникновения инвазивного аспергиллеза (нейтропения от 10 дней и более) или </w:t>
      </w:r>
      <w:r>
        <w:t xml:space="preserve">при </w:t>
      </w:r>
      <w:r w:rsidRPr="00761653">
        <w:t>положительн</w:t>
      </w:r>
      <w:r>
        <w:t>ом</w:t>
      </w:r>
      <w:r w:rsidRPr="00761653">
        <w:t xml:space="preserve"> результат</w:t>
      </w:r>
      <w:r>
        <w:t>е</w:t>
      </w:r>
      <w:r w:rsidRPr="00761653">
        <w:t xml:space="preserve"> определения антигена </w:t>
      </w:r>
      <w:r w:rsidRPr="00761653">
        <w:rPr>
          <w:i/>
          <w:iCs/>
        </w:rPr>
        <w:t xml:space="preserve">Aspergillus </w:t>
      </w:r>
      <w:r w:rsidRPr="00761653">
        <w:t xml:space="preserve">spp. (галактоманнан) в крови в отсутствие пневмонии. Превентивное назначение противогрибковых препаратов проводят </w:t>
      </w:r>
      <w:r>
        <w:t>пациентам</w:t>
      </w:r>
      <w:r w:rsidRPr="00761653">
        <w:t>, входящим в группу высокого риска возникновения инвазивного аспергиллеза (острый лейкоз, миелодиспластический синдром, апластическая анемия, реципиенты аллогенных СГК).</w:t>
      </w:r>
    </w:p>
    <w:p w14:paraId="01C09E04" w14:textId="77777777" w:rsidR="00B61B7C" w:rsidRPr="00761653" w:rsidRDefault="00B61B7C" w:rsidP="00B61B7C">
      <w:pPr>
        <w:widowControl w:val="0"/>
        <w:autoSpaceDE w:val="0"/>
        <w:autoSpaceDN w:val="0"/>
        <w:adjustRightInd w:val="0"/>
        <w:ind w:right="-211"/>
        <w:contextualSpacing/>
      </w:pPr>
      <w:r w:rsidRPr="00761653">
        <w:rPr>
          <w:bCs/>
        </w:rPr>
        <w:t>Лечение включает назначение в</w:t>
      </w:r>
      <w:r w:rsidRPr="00761653">
        <w:t>ориконазола, в первый день по 6 мг/кг внутривенно 2 раза в сутки, в последующие дни по 4 мг/кг внутривенно 2 раза в сутки, с переходом на пероральный прием по 200 мг 2 раза в сутки.</w:t>
      </w:r>
    </w:p>
    <w:p w14:paraId="557ABB65" w14:textId="77777777" w:rsidR="00B61B7C" w:rsidRDefault="00B61B7C" w:rsidP="00B61B7C">
      <w:pPr>
        <w:widowControl w:val="0"/>
        <w:tabs>
          <w:tab w:val="left" w:pos="1134"/>
        </w:tabs>
        <w:autoSpaceDE w:val="0"/>
        <w:autoSpaceDN w:val="0"/>
        <w:adjustRightInd w:val="0"/>
        <w:ind w:right="49"/>
        <w:contextualSpacing/>
        <w:rPr>
          <w:b/>
        </w:rPr>
      </w:pPr>
    </w:p>
    <w:p w14:paraId="6073F785" w14:textId="77777777" w:rsidR="00B61B7C" w:rsidRPr="00284D51" w:rsidRDefault="00B61B7C" w:rsidP="00B61B7C">
      <w:pPr>
        <w:widowControl w:val="0"/>
        <w:autoSpaceDE w:val="0"/>
        <w:autoSpaceDN w:val="0"/>
        <w:adjustRightInd w:val="0"/>
        <w:ind w:right="49"/>
        <w:contextualSpacing/>
        <w:rPr>
          <w:bCs/>
          <w:i/>
          <w:iCs/>
          <w:u w:val="single"/>
        </w:rPr>
      </w:pPr>
      <w:r w:rsidRPr="00284D51">
        <w:rPr>
          <w:bCs/>
          <w:i/>
          <w:iCs/>
          <w:u w:val="single"/>
        </w:rPr>
        <w:t>Лечение микробиологически подтвержденных инфекций</w:t>
      </w:r>
    </w:p>
    <w:p w14:paraId="5BEB9463" w14:textId="77777777" w:rsidR="00B61B7C" w:rsidRPr="00761653" w:rsidRDefault="00B61B7C" w:rsidP="00B61B7C">
      <w:pPr>
        <w:widowControl w:val="0"/>
        <w:tabs>
          <w:tab w:val="left" w:pos="1134"/>
        </w:tabs>
        <w:autoSpaceDE w:val="0"/>
        <w:autoSpaceDN w:val="0"/>
        <w:adjustRightInd w:val="0"/>
        <w:ind w:right="49"/>
        <w:contextualSpacing/>
        <w:rPr>
          <w:b/>
        </w:rPr>
      </w:pPr>
      <w:r w:rsidRPr="00761653">
        <w:rPr>
          <w:b/>
        </w:rPr>
        <w:t>Грамотрицательные возбудители</w:t>
      </w:r>
    </w:p>
    <w:p w14:paraId="77A88974" w14:textId="77777777" w:rsidR="00B61B7C" w:rsidRPr="00284D51" w:rsidRDefault="00B61B7C" w:rsidP="00B61B7C">
      <w:pPr>
        <w:widowControl w:val="0"/>
        <w:tabs>
          <w:tab w:val="left" w:pos="1134"/>
        </w:tabs>
        <w:autoSpaceDE w:val="0"/>
        <w:autoSpaceDN w:val="0"/>
        <w:adjustRightInd w:val="0"/>
        <w:ind w:right="49"/>
        <w:contextualSpacing/>
        <w:rPr>
          <w:bCs/>
          <w:i/>
          <w:iCs/>
        </w:rPr>
      </w:pPr>
      <w:r w:rsidRPr="00284D51">
        <w:rPr>
          <w:bCs/>
          <w:i/>
          <w:iCs/>
        </w:rPr>
        <w:t>Энтеробактерии с продукцией БЛРС, Enterobacter spp</w:t>
      </w:r>
    </w:p>
    <w:p w14:paraId="17AE3223" w14:textId="77777777" w:rsidR="00B61B7C" w:rsidRPr="00761653" w:rsidRDefault="00B61B7C" w:rsidP="00B61B7C">
      <w:pPr>
        <w:widowControl w:val="0"/>
        <w:tabs>
          <w:tab w:val="left" w:pos="1134"/>
        </w:tabs>
        <w:autoSpaceDE w:val="0"/>
        <w:autoSpaceDN w:val="0"/>
        <w:adjustRightInd w:val="0"/>
        <w:ind w:right="49"/>
        <w:contextualSpacing/>
      </w:pPr>
      <w:r w:rsidRPr="00761653">
        <w:t xml:space="preserve">Препарат выбора – антипсевдомонадный карбапенем (имипенем, меропенем или дорипенем). вне нейтропениии, особенно при инфекции мочевыводящих путей, может быть использован эртапенем. Назначение карбапенемов в стандартных дозах. </w:t>
      </w:r>
    </w:p>
    <w:p w14:paraId="10C61A19" w14:textId="77777777" w:rsidR="00B61B7C" w:rsidRPr="00284D51" w:rsidRDefault="00B61B7C" w:rsidP="00B61B7C">
      <w:pPr>
        <w:widowControl w:val="0"/>
        <w:tabs>
          <w:tab w:val="left" w:pos="1134"/>
        </w:tabs>
        <w:autoSpaceDE w:val="0"/>
        <w:autoSpaceDN w:val="0"/>
        <w:adjustRightInd w:val="0"/>
        <w:ind w:right="49"/>
        <w:contextualSpacing/>
        <w:rPr>
          <w:bCs/>
          <w:i/>
          <w:iCs/>
        </w:rPr>
      </w:pPr>
      <w:r w:rsidRPr="00284D51">
        <w:rPr>
          <w:bCs/>
          <w:i/>
          <w:iCs/>
        </w:rPr>
        <w:t xml:space="preserve">Энтеробактерии с продукцией карбапенемаз </w:t>
      </w:r>
    </w:p>
    <w:p w14:paraId="1AE3D919" w14:textId="77777777" w:rsidR="00B61B7C" w:rsidRPr="00761653" w:rsidRDefault="00B61B7C" w:rsidP="00B61B7C">
      <w:pPr>
        <w:widowControl w:val="0"/>
        <w:tabs>
          <w:tab w:val="left" w:pos="1134"/>
        </w:tabs>
        <w:autoSpaceDE w:val="0"/>
        <w:autoSpaceDN w:val="0"/>
        <w:adjustRightInd w:val="0"/>
        <w:ind w:right="49"/>
        <w:contextualSpacing/>
      </w:pPr>
      <w:r w:rsidRPr="00761653">
        <w:t>Лечение проводят сочетанием антибиотиков согласно чувствителньости. Препарат выбора при детекции карбапенемаз групп KPC, OXA-48 - цефтазидим-авибактам (2,5 г каждые 8 часов, введение в течение 2 часов), при детекции металлоферментов (NDM) – сочетание цефтазидима-авибактама с азтреонамом (по 2 г 3 раза в сутки). Препараты, используемые в лечении инфекций, вызванных карбапенемазопродуцирующими бактериями представлены в табл</w:t>
      </w:r>
      <w:r>
        <w:t>ице 2.</w:t>
      </w:r>
      <w:r w:rsidRPr="00761653">
        <w:t xml:space="preserve"> Тигециклин имеет низкие концентрации в крови и в моче, проявляет бактериостатическое действие, не относится к препаратам выбора при инфекциях кровотока. При инфекциях кровотока назначают тигециклин только при отсутствии других опций в лечении.</w:t>
      </w:r>
    </w:p>
    <w:p w14:paraId="320C4769" w14:textId="77777777" w:rsidR="00B61B7C" w:rsidRDefault="00B61B7C" w:rsidP="00B61B7C">
      <w:pPr>
        <w:ind w:firstLine="0"/>
      </w:pPr>
    </w:p>
    <w:p w14:paraId="1C1C4AE2" w14:textId="77777777" w:rsidR="00B61B7C" w:rsidRPr="00761653" w:rsidRDefault="00B61B7C" w:rsidP="00B61B7C">
      <w:pPr>
        <w:ind w:firstLine="0"/>
      </w:pPr>
      <w:r w:rsidRPr="00761653">
        <w:t>Таблица 2. Дозы антибиотиков</w:t>
      </w:r>
      <w:r>
        <w:t>,</w:t>
      </w:r>
      <w:r w:rsidRPr="00761653">
        <w:t xml:space="preserve"> рекомендуемые для лечения инфекций, вызванных энтеробактериями с продукцией карбапенемаз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6520"/>
      </w:tblGrid>
      <w:tr w:rsidR="00B61B7C" w:rsidRPr="00761653" w14:paraId="014394B6" w14:textId="77777777" w:rsidTr="002D3EBF">
        <w:trPr>
          <w:trHeight w:val="555"/>
        </w:trPr>
        <w:tc>
          <w:tcPr>
            <w:tcW w:w="3227" w:type="dxa"/>
            <w:vAlign w:val="center"/>
          </w:tcPr>
          <w:p w14:paraId="04717B60" w14:textId="77777777" w:rsidR="00B61B7C" w:rsidRPr="00761653" w:rsidRDefault="00B61B7C" w:rsidP="002D3EBF">
            <w:pPr>
              <w:ind w:left="57" w:right="57" w:firstLine="0"/>
              <w:jc w:val="center"/>
              <w:rPr>
                <w:szCs w:val="24"/>
                <w:lang w:val="en-US"/>
              </w:rPr>
            </w:pPr>
            <w:r w:rsidRPr="00761653">
              <w:rPr>
                <w:szCs w:val="24"/>
              </w:rPr>
              <w:t>Препарат</w:t>
            </w:r>
          </w:p>
        </w:tc>
        <w:tc>
          <w:tcPr>
            <w:tcW w:w="6520" w:type="dxa"/>
            <w:vAlign w:val="center"/>
          </w:tcPr>
          <w:p w14:paraId="1096B8FE" w14:textId="77777777" w:rsidR="00B61B7C" w:rsidRPr="00761653" w:rsidRDefault="00B61B7C" w:rsidP="002D3EBF">
            <w:pPr>
              <w:ind w:left="57" w:right="57" w:firstLine="0"/>
              <w:jc w:val="center"/>
              <w:rPr>
                <w:szCs w:val="24"/>
                <w:lang w:val="en-US"/>
              </w:rPr>
            </w:pPr>
            <w:r w:rsidRPr="00761653">
              <w:rPr>
                <w:szCs w:val="24"/>
              </w:rPr>
              <w:t>Доза</w:t>
            </w:r>
          </w:p>
        </w:tc>
      </w:tr>
      <w:tr w:rsidR="00B61B7C" w:rsidRPr="00265B67" w14:paraId="5767DECA" w14:textId="77777777" w:rsidTr="002D3EBF">
        <w:trPr>
          <w:trHeight w:val="421"/>
        </w:trPr>
        <w:tc>
          <w:tcPr>
            <w:tcW w:w="3227" w:type="dxa"/>
          </w:tcPr>
          <w:p w14:paraId="18ACB295" w14:textId="77777777" w:rsidR="00B61B7C" w:rsidRPr="00761653" w:rsidRDefault="00B61B7C" w:rsidP="002D3EBF">
            <w:pPr>
              <w:ind w:left="57" w:right="57" w:firstLine="0"/>
              <w:rPr>
                <w:szCs w:val="24"/>
              </w:rPr>
            </w:pPr>
            <w:r w:rsidRPr="00761653">
              <w:rPr>
                <w:szCs w:val="24"/>
              </w:rPr>
              <w:t>Цефтазидим-авибактам</w:t>
            </w:r>
          </w:p>
        </w:tc>
        <w:tc>
          <w:tcPr>
            <w:tcW w:w="6520" w:type="dxa"/>
          </w:tcPr>
          <w:p w14:paraId="344BB4E7" w14:textId="77777777" w:rsidR="00B61B7C" w:rsidRPr="00761653" w:rsidRDefault="00B61B7C" w:rsidP="002D3EBF">
            <w:pPr>
              <w:ind w:left="57" w:right="57" w:firstLine="0"/>
              <w:rPr>
                <w:szCs w:val="24"/>
              </w:rPr>
            </w:pPr>
            <w:r w:rsidRPr="00761653">
              <w:rPr>
                <w:szCs w:val="24"/>
              </w:rPr>
              <w:t>2,5 г каждые 8 часов, длительность инфузии 2 часа</w:t>
            </w:r>
          </w:p>
        </w:tc>
      </w:tr>
      <w:tr w:rsidR="00B61B7C" w:rsidRPr="00975FC1" w14:paraId="125F0D79" w14:textId="77777777" w:rsidTr="002D3EBF">
        <w:trPr>
          <w:trHeight w:val="825"/>
        </w:trPr>
        <w:tc>
          <w:tcPr>
            <w:tcW w:w="3227" w:type="dxa"/>
          </w:tcPr>
          <w:p w14:paraId="46DADDE9" w14:textId="77777777" w:rsidR="00B61B7C" w:rsidRPr="00761653" w:rsidRDefault="00B61B7C" w:rsidP="002D3EBF">
            <w:pPr>
              <w:ind w:left="57" w:right="57" w:firstLine="0"/>
              <w:rPr>
                <w:szCs w:val="24"/>
                <w:lang w:val="en-US"/>
              </w:rPr>
            </w:pPr>
            <w:r w:rsidRPr="00761653">
              <w:rPr>
                <w:szCs w:val="24"/>
              </w:rPr>
              <w:t>Меропенем</w:t>
            </w:r>
          </w:p>
        </w:tc>
        <w:tc>
          <w:tcPr>
            <w:tcW w:w="6520" w:type="dxa"/>
          </w:tcPr>
          <w:p w14:paraId="558012CD" w14:textId="77777777" w:rsidR="00B61B7C" w:rsidRPr="00761653" w:rsidRDefault="00B61B7C" w:rsidP="002D3EBF">
            <w:pPr>
              <w:ind w:left="57" w:right="57" w:firstLine="0"/>
              <w:rPr>
                <w:szCs w:val="24"/>
              </w:rPr>
            </w:pPr>
            <w:r w:rsidRPr="00761653">
              <w:rPr>
                <w:szCs w:val="24"/>
              </w:rPr>
              <w:t xml:space="preserve">2 г каждые 8 часов </w:t>
            </w:r>
          </w:p>
          <w:p w14:paraId="2D5E368A" w14:textId="77777777" w:rsidR="00B61B7C" w:rsidRPr="00761653" w:rsidRDefault="00B61B7C" w:rsidP="002D3EBF">
            <w:pPr>
              <w:ind w:left="57" w:right="57" w:firstLine="0"/>
              <w:rPr>
                <w:szCs w:val="24"/>
              </w:rPr>
            </w:pPr>
            <w:r w:rsidRPr="00761653">
              <w:rPr>
                <w:szCs w:val="24"/>
              </w:rPr>
              <w:t>пролонгированная инфузия в течение 3х часов</w:t>
            </w:r>
          </w:p>
        </w:tc>
      </w:tr>
      <w:tr w:rsidR="00B61B7C" w:rsidRPr="00761653" w14:paraId="49740F29" w14:textId="77777777" w:rsidTr="002D3EBF">
        <w:trPr>
          <w:trHeight w:val="270"/>
        </w:trPr>
        <w:tc>
          <w:tcPr>
            <w:tcW w:w="3227" w:type="dxa"/>
          </w:tcPr>
          <w:p w14:paraId="63949D6B" w14:textId="77777777" w:rsidR="00B61B7C" w:rsidRPr="00761653" w:rsidRDefault="00B61B7C" w:rsidP="002D3EBF">
            <w:pPr>
              <w:ind w:left="57" w:right="57" w:firstLine="0"/>
              <w:rPr>
                <w:szCs w:val="24"/>
                <w:lang w:val="en-US"/>
              </w:rPr>
            </w:pPr>
            <w:r w:rsidRPr="00761653">
              <w:rPr>
                <w:szCs w:val="24"/>
              </w:rPr>
              <w:t>Имипенем</w:t>
            </w:r>
          </w:p>
        </w:tc>
        <w:tc>
          <w:tcPr>
            <w:tcW w:w="6520" w:type="dxa"/>
          </w:tcPr>
          <w:p w14:paraId="5767F021" w14:textId="77777777" w:rsidR="00B61B7C" w:rsidRPr="00761653" w:rsidRDefault="00B61B7C" w:rsidP="002D3EBF">
            <w:pPr>
              <w:ind w:left="57" w:right="57" w:firstLine="0"/>
              <w:rPr>
                <w:szCs w:val="24"/>
              </w:rPr>
            </w:pPr>
            <w:r w:rsidRPr="00761653">
              <w:rPr>
                <w:szCs w:val="24"/>
              </w:rPr>
              <w:t>1 г каждые 8 часов</w:t>
            </w:r>
          </w:p>
        </w:tc>
      </w:tr>
      <w:tr w:rsidR="00B61B7C" w:rsidRPr="00975FC1" w14:paraId="34D39B0E" w14:textId="77777777" w:rsidTr="002D3EBF">
        <w:tc>
          <w:tcPr>
            <w:tcW w:w="3227" w:type="dxa"/>
          </w:tcPr>
          <w:p w14:paraId="04766453" w14:textId="77777777" w:rsidR="00B61B7C" w:rsidRPr="00761653" w:rsidRDefault="00B61B7C" w:rsidP="002D3EBF">
            <w:pPr>
              <w:ind w:left="57" w:right="57" w:firstLine="0"/>
              <w:rPr>
                <w:szCs w:val="24"/>
                <w:lang w:val="en-US"/>
              </w:rPr>
            </w:pPr>
            <w:r w:rsidRPr="00761653">
              <w:rPr>
                <w:szCs w:val="24"/>
              </w:rPr>
              <w:t>Дорипенем</w:t>
            </w:r>
          </w:p>
        </w:tc>
        <w:tc>
          <w:tcPr>
            <w:tcW w:w="6520" w:type="dxa"/>
          </w:tcPr>
          <w:p w14:paraId="4CF3821E" w14:textId="77777777" w:rsidR="00B61B7C" w:rsidRPr="00761653" w:rsidRDefault="00B61B7C" w:rsidP="002D3EBF">
            <w:pPr>
              <w:ind w:left="57" w:right="57" w:firstLine="0"/>
              <w:rPr>
                <w:szCs w:val="24"/>
              </w:rPr>
            </w:pPr>
            <w:r w:rsidRPr="00761653">
              <w:rPr>
                <w:szCs w:val="24"/>
              </w:rPr>
              <w:t>1 г каждые 8 часов, продленная инфузия (4 часа)</w:t>
            </w:r>
          </w:p>
        </w:tc>
      </w:tr>
      <w:tr w:rsidR="00B61B7C" w:rsidRPr="00265B67" w14:paraId="2EF68809" w14:textId="77777777" w:rsidTr="002D3EBF">
        <w:tc>
          <w:tcPr>
            <w:tcW w:w="3227" w:type="dxa"/>
          </w:tcPr>
          <w:p w14:paraId="34F03FFA" w14:textId="77777777" w:rsidR="00B61B7C" w:rsidRPr="00761653" w:rsidRDefault="00B61B7C" w:rsidP="002D3EBF">
            <w:pPr>
              <w:ind w:left="57" w:right="57" w:firstLine="0"/>
              <w:rPr>
                <w:szCs w:val="24"/>
                <w:lang w:val="en-US"/>
              </w:rPr>
            </w:pPr>
            <w:r w:rsidRPr="00761653">
              <w:rPr>
                <w:szCs w:val="24"/>
              </w:rPr>
              <w:t>Эртапенем</w:t>
            </w:r>
          </w:p>
        </w:tc>
        <w:tc>
          <w:tcPr>
            <w:tcW w:w="6520" w:type="dxa"/>
          </w:tcPr>
          <w:p w14:paraId="7FD33621" w14:textId="77777777" w:rsidR="00B61B7C" w:rsidRPr="00761653" w:rsidRDefault="00B61B7C" w:rsidP="002D3EBF">
            <w:pPr>
              <w:ind w:left="57" w:right="57" w:firstLine="0"/>
              <w:rPr>
                <w:szCs w:val="24"/>
              </w:rPr>
            </w:pPr>
            <w:r w:rsidRPr="00761653">
              <w:rPr>
                <w:szCs w:val="24"/>
              </w:rPr>
              <w:t>1 г каждые 24 часа или 1г каждые 12 час</w:t>
            </w:r>
          </w:p>
          <w:p w14:paraId="64D087CC" w14:textId="77777777" w:rsidR="00B61B7C" w:rsidRPr="00761653" w:rsidRDefault="00B61B7C" w:rsidP="002D3EBF">
            <w:pPr>
              <w:ind w:left="57" w:right="57" w:firstLine="0"/>
              <w:rPr>
                <w:szCs w:val="24"/>
              </w:rPr>
            </w:pPr>
            <w:r w:rsidRPr="00761653">
              <w:rPr>
                <w:szCs w:val="24"/>
              </w:rPr>
              <w:t>Используют в режиме “два карбапенема” при отсутствии других опций</w:t>
            </w:r>
          </w:p>
        </w:tc>
      </w:tr>
      <w:tr w:rsidR="00B61B7C" w:rsidRPr="00975FC1" w14:paraId="28870038" w14:textId="77777777" w:rsidTr="002D3EBF">
        <w:tc>
          <w:tcPr>
            <w:tcW w:w="3227" w:type="dxa"/>
          </w:tcPr>
          <w:p w14:paraId="42CD7C77" w14:textId="77777777" w:rsidR="00B61B7C" w:rsidRPr="00761653" w:rsidRDefault="00B61B7C" w:rsidP="002D3EBF">
            <w:pPr>
              <w:ind w:left="57" w:right="57" w:firstLine="0"/>
              <w:rPr>
                <w:szCs w:val="24"/>
              </w:rPr>
            </w:pPr>
            <w:r w:rsidRPr="00761653">
              <w:rPr>
                <w:szCs w:val="24"/>
              </w:rPr>
              <w:t>Колистин</w:t>
            </w:r>
          </w:p>
        </w:tc>
        <w:tc>
          <w:tcPr>
            <w:tcW w:w="6520" w:type="dxa"/>
          </w:tcPr>
          <w:p w14:paraId="602CA7BD" w14:textId="77777777" w:rsidR="00B61B7C" w:rsidRPr="00761653" w:rsidRDefault="00B61B7C" w:rsidP="002D3EBF">
            <w:pPr>
              <w:ind w:left="57" w:right="57" w:firstLine="0"/>
              <w:rPr>
                <w:szCs w:val="24"/>
              </w:rPr>
            </w:pPr>
            <w:r w:rsidRPr="00761653">
              <w:rPr>
                <w:szCs w:val="24"/>
              </w:rPr>
              <w:t>Нагрузочная доза 9 млн МЕ, в первый день, однократно, далее по 4,5 млн МЕ</w:t>
            </w:r>
            <w:r w:rsidRPr="00761653">
              <w:rPr>
                <w:color w:val="4D5156"/>
                <w:szCs w:val="24"/>
                <w:shd w:val="clear" w:color="auto" w:fill="FFFFFF"/>
              </w:rPr>
              <w:t xml:space="preserve"> </w:t>
            </w:r>
            <w:r w:rsidRPr="00761653">
              <w:rPr>
                <w:szCs w:val="24"/>
              </w:rPr>
              <w:t xml:space="preserve">каждые 12 час </w:t>
            </w:r>
          </w:p>
          <w:p w14:paraId="2C2BD494" w14:textId="77777777" w:rsidR="00B61B7C" w:rsidRPr="00761653" w:rsidRDefault="00B61B7C" w:rsidP="002D3EBF">
            <w:pPr>
              <w:ind w:left="57" w:right="57" w:firstLine="0"/>
              <w:rPr>
                <w:szCs w:val="24"/>
              </w:rPr>
            </w:pPr>
            <w:r w:rsidRPr="00761653">
              <w:rPr>
                <w:szCs w:val="24"/>
              </w:rPr>
              <w:t>Ингаляции 1-3 млн МЕ каждые 8 часов</w:t>
            </w:r>
          </w:p>
        </w:tc>
      </w:tr>
      <w:tr w:rsidR="00B61B7C" w:rsidRPr="00265B67" w14:paraId="0152EED0" w14:textId="77777777" w:rsidTr="002D3EBF">
        <w:tc>
          <w:tcPr>
            <w:tcW w:w="3227" w:type="dxa"/>
          </w:tcPr>
          <w:p w14:paraId="5E201EA3" w14:textId="77777777" w:rsidR="00B61B7C" w:rsidRPr="00761653" w:rsidRDefault="00B61B7C" w:rsidP="002D3EBF">
            <w:pPr>
              <w:ind w:left="57" w:right="57" w:firstLine="0"/>
              <w:rPr>
                <w:szCs w:val="24"/>
              </w:rPr>
            </w:pPr>
            <w:r w:rsidRPr="00761653">
              <w:rPr>
                <w:szCs w:val="24"/>
              </w:rPr>
              <w:t>Полимиксин В</w:t>
            </w:r>
          </w:p>
        </w:tc>
        <w:tc>
          <w:tcPr>
            <w:tcW w:w="6520" w:type="dxa"/>
          </w:tcPr>
          <w:p w14:paraId="11443932" w14:textId="77777777" w:rsidR="00B61B7C" w:rsidRPr="00761653" w:rsidRDefault="00B61B7C" w:rsidP="002D3EBF">
            <w:pPr>
              <w:ind w:left="57" w:right="57" w:firstLine="0"/>
              <w:rPr>
                <w:szCs w:val="24"/>
              </w:rPr>
            </w:pPr>
            <w:r w:rsidRPr="00761653">
              <w:rPr>
                <w:szCs w:val="24"/>
              </w:rPr>
              <w:t xml:space="preserve">Нагрузочная доза 2-2,5 мг/кг, далее 1,25-1,5 мг/кг каждые 12 час </w:t>
            </w:r>
          </w:p>
        </w:tc>
      </w:tr>
      <w:tr w:rsidR="00B61B7C" w:rsidRPr="00265B67" w14:paraId="51A60E5E" w14:textId="77777777" w:rsidTr="002D3EBF">
        <w:tc>
          <w:tcPr>
            <w:tcW w:w="3227" w:type="dxa"/>
          </w:tcPr>
          <w:p w14:paraId="65A04527" w14:textId="77777777" w:rsidR="00B61B7C" w:rsidRPr="00761653" w:rsidRDefault="00B61B7C" w:rsidP="002D3EBF">
            <w:pPr>
              <w:ind w:left="57" w:right="57" w:firstLine="0"/>
              <w:rPr>
                <w:szCs w:val="24"/>
              </w:rPr>
            </w:pPr>
            <w:r w:rsidRPr="00761653">
              <w:rPr>
                <w:szCs w:val="24"/>
              </w:rPr>
              <w:t>Тигециклин</w:t>
            </w:r>
          </w:p>
        </w:tc>
        <w:tc>
          <w:tcPr>
            <w:tcW w:w="6520" w:type="dxa"/>
          </w:tcPr>
          <w:p w14:paraId="5089CDB9" w14:textId="77777777" w:rsidR="00B61B7C" w:rsidRPr="00761653" w:rsidRDefault="00B61B7C" w:rsidP="002D3EBF">
            <w:pPr>
              <w:ind w:left="57" w:right="57" w:firstLine="0"/>
              <w:rPr>
                <w:szCs w:val="24"/>
              </w:rPr>
            </w:pPr>
            <w:r w:rsidRPr="00761653">
              <w:rPr>
                <w:szCs w:val="24"/>
              </w:rPr>
              <w:t>Первая доза 100 мг, далее каждые 12 часов по 50 мг</w:t>
            </w:r>
          </w:p>
        </w:tc>
      </w:tr>
      <w:tr w:rsidR="00B61B7C" w:rsidRPr="00265B67" w14:paraId="0CB70CF0" w14:textId="77777777" w:rsidTr="002D3EBF">
        <w:tc>
          <w:tcPr>
            <w:tcW w:w="3227" w:type="dxa"/>
          </w:tcPr>
          <w:p w14:paraId="6A821605" w14:textId="77777777" w:rsidR="00B61B7C" w:rsidRPr="00761653" w:rsidRDefault="00B61B7C" w:rsidP="002D3EBF">
            <w:pPr>
              <w:ind w:left="57" w:right="57" w:firstLine="0"/>
              <w:rPr>
                <w:szCs w:val="24"/>
                <w:lang w:val="en-US"/>
              </w:rPr>
            </w:pPr>
            <w:r w:rsidRPr="00761653">
              <w:rPr>
                <w:szCs w:val="24"/>
              </w:rPr>
              <w:t>Гентамицин</w:t>
            </w:r>
            <w:r w:rsidRPr="00761653">
              <w:rPr>
                <w:szCs w:val="24"/>
                <w:lang w:val="en-US"/>
              </w:rPr>
              <w:t xml:space="preserve">, </w:t>
            </w:r>
          </w:p>
          <w:p w14:paraId="1B93B0E9" w14:textId="77777777" w:rsidR="00B61B7C" w:rsidRPr="00761653" w:rsidRDefault="00B61B7C" w:rsidP="002D3EBF">
            <w:pPr>
              <w:ind w:left="57" w:right="57" w:firstLine="0"/>
              <w:rPr>
                <w:szCs w:val="24"/>
                <w:lang w:val="en-US"/>
              </w:rPr>
            </w:pPr>
            <w:r w:rsidRPr="00761653">
              <w:rPr>
                <w:szCs w:val="24"/>
              </w:rPr>
              <w:t>тобрамицин</w:t>
            </w:r>
          </w:p>
        </w:tc>
        <w:tc>
          <w:tcPr>
            <w:tcW w:w="6520" w:type="dxa"/>
          </w:tcPr>
          <w:p w14:paraId="0BF68E20" w14:textId="77777777" w:rsidR="00B61B7C" w:rsidRPr="00761653" w:rsidRDefault="00B61B7C" w:rsidP="002D3EBF">
            <w:pPr>
              <w:ind w:left="57" w:right="57" w:firstLine="0"/>
              <w:rPr>
                <w:szCs w:val="24"/>
              </w:rPr>
            </w:pPr>
            <w:r w:rsidRPr="00761653">
              <w:rPr>
                <w:szCs w:val="24"/>
              </w:rPr>
              <w:t>5-7 мг/кг/сутки, введение в течение 1 часа</w:t>
            </w:r>
          </w:p>
        </w:tc>
      </w:tr>
      <w:tr w:rsidR="00B61B7C" w:rsidRPr="00265B67" w14:paraId="532CCF01" w14:textId="77777777" w:rsidTr="002D3EBF">
        <w:tc>
          <w:tcPr>
            <w:tcW w:w="3227" w:type="dxa"/>
          </w:tcPr>
          <w:p w14:paraId="65780636" w14:textId="77777777" w:rsidR="00B61B7C" w:rsidRPr="00761653" w:rsidRDefault="00B61B7C" w:rsidP="002D3EBF">
            <w:pPr>
              <w:ind w:left="57" w:right="57" w:firstLine="0"/>
              <w:rPr>
                <w:szCs w:val="24"/>
                <w:lang w:val="en-US"/>
              </w:rPr>
            </w:pPr>
            <w:r w:rsidRPr="00761653">
              <w:rPr>
                <w:szCs w:val="24"/>
              </w:rPr>
              <w:t>Амикацин</w:t>
            </w:r>
          </w:p>
        </w:tc>
        <w:tc>
          <w:tcPr>
            <w:tcW w:w="6520" w:type="dxa"/>
          </w:tcPr>
          <w:p w14:paraId="48933A35" w14:textId="77777777" w:rsidR="00B61B7C" w:rsidRPr="00761653" w:rsidRDefault="00B61B7C" w:rsidP="002D3EBF">
            <w:pPr>
              <w:ind w:left="57" w:right="57" w:firstLine="0"/>
              <w:rPr>
                <w:szCs w:val="24"/>
              </w:rPr>
            </w:pPr>
            <w:r w:rsidRPr="00761653">
              <w:rPr>
                <w:szCs w:val="24"/>
              </w:rPr>
              <w:t>15-20 мг/кг/сутки, введение в течение 1 часа</w:t>
            </w:r>
          </w:p>
        </w:tc>
      </w:tr>
      <w:tr w:rsidR="00B61B7C" w:rsidRPr="00265B67" w14:paraId="71856705" w14:textId="77777777" w:rsidTr="002D3EBF">
        <w:tc>
          <w:tcPr>
            <w:tcW w:w="3227" w:type="dxa"/>
          </w:tcPr>
          <w:p w14:paraId="790E4BB3" w14:textId="77777777" w:rsidR="00B61B7C" w:rsidRPr="00761653" w:rsidRDefault="00B61B7C" w:rsidP="002D3EBF">
            <w:pPr>
              <w:ind w:left="57" w:right="57" w:firstLine="0"/>
              <w:rPr>
                <w:szCs w:val="24"/>
              </w:rPr>
            </w:pPr>
            <w:r w:rsidRPr="00761653">
              <w:rPr>
                <w:szCs w:val="24"/>
              </w:rPr>
              <w:t>Фосфомицин</w:t>
            </w:r>
          </w:p>
        </w:tc>
        <w:tc>
          <w:tcPr>
            <w:tcW w:w="6520" w:type="dxa"/>
          </w:tcPr>
          <w:p w14:paraId="347B1946" w14:textId="77777777" w:rsidR="00B61B7C" w:rsidRPr="00761653" w:rsidRDefault="00B61B7C" w:rsidP="002D3EBF">
            <w:pPr>
              <w:ind w:left="57" w:right="57" w:firstLine="0"/>
              <w:rPr>
                <w:szCs w:val="24"/>
              </w:rPr>
            </w:pPr>
            <w:r w:rsidRPr="00761653">
              <w:rPr>
                <w:szCs w:val="24"/>
              </w:rPr>
              <w:t>По 4 г каждые 6 час или по 8 г каждые 8 час (суммарно 16-24 г)</w:t>
            </w:r>
          </w:p>
        </w:tc>
      </w:tr>
      <w:tr w:rsidR="00B61B7C" w:rsidRPr="00761653" w14:paraId="5C5F52C1" w14:textId="77777777" w:rsidTr="002D3EBF">
        <w:tc>
          <w:tcPr>
            <w:tcW w:w="3227" w:type="dxa"/>
          </w:tcPr>
          <w:p w14:paraId="25CE2DCB" w14:textId="77777777" w:rsidR="00B61B7C" w:rsidRPr="00761653" w:rsidRDefault="00B61B7C" w:rsidP="002D3EBF">
            <w:pPr>
              <w:ind w:left="57" w:right="57" w:firstLine="0"/>
              <w:rPr>
                <w:szCs w:val="24"/>
              </w:rPr>
            </w:pPr>
            <w:r w:rsidRPr="00761653">
              <w:rPr>
                <w:szCs w:val="24"/>
              </w:rPr>
              <w:t>Азтреонам</w:t>
            </w:r>
          </w:p>
        </w:tc>
        <w:tc>
          <w:tcPr>
            <w:tcW w:w="6520" w:type="dxa"/>
          </w:tcPr>
          <w:p w14:paraId="71BF8BB3" w14:textId="77777777" w:rsidR="00B61B7C" w:rsidRPr="00761653" w:rsidRDefault="00B61B7C" w:rsidP="002D3EBF">
            <w:pPr>
              <w:ind w:left="57" w:right="57" w:firstLine="0"/>
              <w:rPr>
                <w:szCs w:val="24"/>
              </w:rPr>
            </w:pPr>
            <w:r w:rsidRPr="00761653">
              <w:rPr>
                <w:szCs w:val="24"/>
              </w:rPr>
              <w:t>2 г каждые 8 часов</w:t>
            </w:r>
          </w:p>
        </w:tc>
      </w:tr>
    </w:tbl>
    <w:p w14:paraId="4FF69259" w14:textId="77777777" w:rsidR="00B61B7C" w:rsidRDefault="00B61B7C" w:rsidP="00B61B7C">
      <w:pPr>
        <w:widowControl w:val="0"/>
        <w:tabs>
          <w:tab w:val="left" w:pos="1134"/>
        </w:tabs>
        <w:autoSpaceDE w:val="0"/>
        <w:autoSpaceDN w:val="0"/>
        <w:adjustRightInd w:val="0"/>
        <w:ind w:right="49"/>
        <w:contextualSpacing/>
        <w:rPr>
          <w:bCs/>
          <w:i/>
          <w:u w:val="single"/>
        </w:rPr>
      </w:pPr>
    </w:p>
    <w:p w14:paraId="4159512D" w14:textId="77777777" w:rsidR="00B61B7C" w:rsidRPr="00284D51" w:rsidRDefault="00B61B7C" w:rsidP="00B61B7C">
      <w:pPr>
        <w:widowControl w:val="0"/>
        <w:tabs>
          <w:tab w:val="left" w:pos="1134"/>
        </w:tabs>
        <w:autoSpaceDE w:val="0"/>
        <w:autoSpaceDN w:val="0"/>
        <w:adjustRightInd w:val="0"/>
        <w:ind w:right="49"/>
        <w:contextualSpacing/>
        <w:rPr>
          <w:bCs/>
        </w:rPr>
      </w:pPr>
      <w:r w:rsidRPr="00284D51">
        <w:rPr>
          <w:bCs/>
          <w:i/>
        </w:rPr>
        <w:t>Pseudomonas aeruginosa</w:t>
      </w:r>
    </w:p>
    <w:p w14:paraId="1A8BF3F5" w14:textId="5AD2DFE6" w:rsidR="00B61B7C" w:rsidRPr="00761653" w:rsidRDefault="00B61B7C" w:rsidP="00B61B7C">
      <w:pPr>
        <w:widowControl w:val="0"/>
        <w:tabs>
          <w:tab w:val="left" w:pos="1134"/>
        </w:tabs>
        <w:autoSpaceDE w:val="0"/>
        <w:autoSpaceDN w:val="0"/>
        <w:adjustRightInd w:val="0"/>
        <w:ind w:right="49"/>
        <w:contextualSpacing/>
      </w:pPr>
      <w:r w:rsidRPr="00761653">
        <w:t xml:space="preserve">Выбор антибиотиков проводится согласно чувствительности выделенных штаммов. Лечение проводят сочетанием антибиотиков. При инфекциях кровотока, вызванных </w:t>
      </w:r>
      <w:r w:rsidRPr="00761653">
        <w:rPr>
          <w:i/>
        </w:rPr>
        <w:t>P. aeruginosa,</w:t>
      </w:r>
      <w:r w:rsidRPr="00761653">
        <w:t xml:space="preserve"> часто наблюдается диссеминация в легких, и в этих случаях необходимо использовать антибиотики, для которых характерна высокая концентрация в легких. Такими параметрами обладает цефтолозан-тазобактам, который активен против карбапенем-резистентных </w:t>
      </w:r>
      <w:r w:rsidRPr="00761653">
        <w:rPr>
          <w:i/>
        </w:rPr>
        <w:t>P. aeruginosa</w:t>
      </w:r>
      <w:r w:rsidRPr="00761653">
        <w:t xml:space="preserve"> без продукции карбапенемаз</w:t>
      </w:r>
      <w:r>
        <w:t xml:space="preserve"> </w:t>
      </w:r>
      <w:r>
        <w:fldChar w:fldCharType="begin" w:fldLock="1"/>
      </w:r>
      <w:r w:rsidR="00B0402F">
        <w:instrText>ADDIN CSL_CITATION {"citationItems":[{"id":"ITEM-1","itemData":{"DOI":"10.1016/S1473-3099(19)30403-7","ISSN":"14744457","PMID":"31563344","abstract":"Background: Nosocomial pneumonia due to antimicrobial-resistant pathogens is associated with high mortality. We assessed the efficacy and safety of the combination antibacterial drug ceftolozane–tazobactam versus meropenem for treatment of Gram-negative nosocomial pneumonia. Methods: We conducted a randomised, controlled, double-blind, non-inferiority trial at 263 hospitals in 34 countries. Eligible patients were aged 18 years or older, were undergoing mechanical ventilation, and had nosocomial pneumonia (either ventilator-associated pneumonia or ventilated hospital-acquired pneumonia). Patients were randomly assigned (1:1) with block randomisation (block size four), stratified by type of nosocomial pneumonia and age (&lt;65 years vs ≥65 years), to receive either 3 g ceftolozane–tazobactam or 1 g meropenem intravenously every 8 h for 8–14 days. The primary endpoint was 28-day all-cause mortality (at a 10% non-inferiority margin). The key secondary endpoint was clinical response at the test-of-cure visit (7–14 days after the end of therapy; 12·5% non-inferiority margin). Both endpoints were assessed in the intention-to-treat population. Investigators, study staff, patients, and patients' representatives were masked to treatment assignment. Safety was assessed in all randomly assigned patients who received study treatment. This trial was registered with ClinicalTrials.gov, NCT02070757. Findings: Between Jan 16, 2015, and April 27, 2018, 726 patients were enrolled and randomly assigned, 362 to the ceftolozane–tazobactam group and 364 to the meropenem group. Overall, 519 (71%) patients had ventilator-associated pneumonia, 239 (33%) had Acute Physiology and Chronic Health Evaluation II scores of at least 20, and 668 (92%) were in the intensive care unit. At 28 days, 87 (24·0%) patients in the ceftolozane–tazobactam group and 92 (25·3%) in the meropenem group had died (weighted treatment difference 1·1% [95% CI −5·1 to 7·4]). At the test-of-cure visit 197 (54%) patients in the ceftolozane–tazobactam group and 194 (53%) in the meropenem group were clinically cured (weighted treatment difference 1·1% [95% CI −6·2 to 8·3]). Ceftolozane–tazobactam was thus non-inferior to meropenem in terms of both 28-day all-cause mortality and clinical cure at test of cure. Treatment-related adverse events occurred in 38 (11%) of 361 patients in the ceftolozane–tazobactam group and 27 (8%) of 359 in the meropenem group. Eight (2%) patients in the ceftolozane–tazobactam group and t…","author":[{"dropping-particle":"","family":"Kollef","given":"Marin H.","non-dropping-particle":"","parse-names":false,"suffix":""},{"dropping-particle":"","family":"Nováček","given":"Martin","non-dropping-particle":"","parse-names":false,"suffix":""},{"dropping-particle":"","family":"Kivistik","given":"Ülo","non-dropping-particle":"","parse-names":false,"suffix":""},{"dropping-particle":"","family":"Réa-Neto","given":"Álvaro","non-dropping-particle":"","parse-names":false,"suffix":""},{"dropping-particle":"","family":"Shime","given":"Nobuaki","non-dropping-particle":"","parse-names":false,"suffix":""},{"dropping-particle":"","family":"Martin-Loeches","given":"Ignacio","non-dropping-particle":"","parse-names":false,"suffix":""},{"dropping-particle":"","family":"Timsit","given":"Jean François","non-dropping-particle":"","parse-names":false,"suffix":""},{"dropping-particle":"","family":"Wunderink","given":"Richard G.","non-dropping-particle":"","parse-names":false,"suffix":""},{"dropping-particle":"","family":"Bruno","given":"Christopher J.","non-dropping-particle":"","parse-names":false,"suffix":""},{"dropping-particle":"","family":"Huntington","given":"Jennifer A.","non-dropping-particle":"","parse-names":false,"suffix":""},{"dropping-particle":"","family":"Lin","given":"Gina","non-dropping-particle":"","parse-names":false,"suffix":""},{"dropping-particle":"","family":"Yu","given":"Brian","non-dropping-particle":"","parse-names":false,"suffix":""},{"dropping-particle":"","family":"Butterton","given":"Joan R.","non-dropping-particle":"","parse-names":false,"suffix":""},{"dropping-particle":"","family":"Rhee","given":"Elizabeth G.","non-dropping-particle":"","parse-names":false,"suffix":""}],"container-title":"The Lancet Infectious Diseases","id":"ITEM-1","issue":"12","issued":{"date-parts":[["2019","12","1"]]},"page":"1299-1311","publisher":"Lancet Publishing Group","title":"Ceftolozane–tazobactam versus meropenem for treatment of nosocomial pneumonia (ASPECT-NP): a randomised, controlled, double-blind, phase 3, non-inferiority trial","type":"article-journal","volume":"19"},"uris":["http://www.mendeley.com/documents/?uuid=779e70f2-916f-3769-b6db-f94034eaa2bf"]}],"mendeley":{"formattedCitation":"[102]","plainTextFormattedCitation":"[102]","previouslyFormattedCitation":"[102]"},"properties":{"noteIndex":0},"schema":"https://github.com/citation-style-language/schema/raw/master/csl-citation.json"}</w:instrText>
      </w:r>
      <w:r>
        <w:fldChar w:fldCharType="separate"/>
      </w:r>
      <w:r w:rsidR="00D43181" w:rsidRPr="00D43181">
        <w:rPr>
          <w:noProof/>
        </w:rPr>
        <w:t>[102]</w:t>
      </w:r>
      <w:r>
        <w:fldChar w:fldCharType="end"/>
      </w:r>
      <w:r w:rsidRPr="00761653">
        <w:t>. Препараты для лечения представлены в табл</w:t>
      </w:r>
      <w:r>
        <w:t>ице 3.</w:t>
      </w:r>
      <w:r w:rsidRPr="00761653">
        <w:t xml:space="preserve"> </w:t>
      </w:r>
    </w:p>
    <w:p w14:paraId="061AB1DC" w14:textId="77777777" w:rsidR="00B61B7C" w:rsidRDefault="00B61B7C" w:rsidP="00B61B7C">
      <w:pPr>
        <w:ind w:hanging="142"/>
      </w:pPr>
    </w:p>
    <w:p w14:paraId="4925ECB5" w14:textId="77777777" w:rsidR="00B61B7C" w:rsidRPr="00761653" w:rsidRDefault="00B61B7C" w:rsidP="00B61B7C">
      <w:pPr>
        <w:ind w:hanging="142"/>
      </w:pPr>
      <w:r w:rsidRPr="00761653">
        <w:t xml:space="preserve">Таблица 3. Лечение инфекций, вызванных </w:t>
      </w:r>
      <w:r w:rsidRPr="00761653">
        <w:rPr>
          <w:i/>
        </w:rPr>
        <w:t>Pseudomonas aeruginosa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237"/>
      </w:tblGrid>
      <w:tr w:rsidR="00B61B7C" w:rsidRPr="00761653" w14:paraId="6F8BE5F5" w14:textId="77777777" w:rsidTr="002D3EBF">
        <w:tc>
          <w:tcPr>
            <w:tcW w:w="3510" w:type="dxa"/>
            <w:vAlign w:val="center"/>
          </w:tcPr>
          <w:p w14:paraId="4EF6C6E7" w14:textId="77777777" w:rsidR="00B61B7C" w:rsidRPr="00761653" w:rsidRDefault="00B61B7C" w:rsidP="002D3EBF">
            <w:pPr>
              <w:ind w:left="57" w:right="57" w:firstLine="0"/>
              <w:jc w:val="center"/>
              <w:rPr>
                <w:szCs w:val="24"/>
              </w:rPr>
            </w:pPr>
            <w:r w:rsidRPr="00761653">
              <w:rPr>
                <w:szCs w:val="24"/>
              </w:rPr>
              <w:t>Препарат</w:t>
            </w:r>
          </w:p>
        </w:tc>
        <w:tc>
          <w:tcPr>
            <w:tcW w:w="6237" w:type="dxa"/>
            <w:vAlign w:val="center"/>
          </w:tcPr>
          <w:p w14:paraId="6C395C04" w14:textId="77777777" w:rsidR="00B61B7C" w:rsidRPr="00761653" w:rsidRDefault="00B61B7C" w:rsidP="002D3EBF">
            <w:pPr>
              <w:ind w:left="57" w:right="57" w:firstLine="0"/>
              <w:jc w:val="center"/>
              <w:rPr>
                <w:szCs w:val="24"/>
              </w:rPr>
            </w:pPr>
            <w:r w:rsidRPr="00761653">
              <w:rPr>
                <w:szCs w:val="24"/>
              </w:rPr>
              <w:t>Доза</w:t>
            </w:r>
          </w:p>
        </w:tc>
      </w:tr>
      <w:tr w:rsidR="00B61B7C" w:rsidRPr="00265B67" w14:paraId="7EB6F1FA" w14:textId="77777777" w:rsidTr="002D3EBF">
        <w:tc>
          <w:tcPr>
            <w:tcW w:w="3510" w:type="dxa"/>
          </w:tcPr>
          <w:p w14:paraId="6501E668" w14:textId="77777777" w:rsidR="00B61B7C" w:rsidRPr="00761653" w:rsidRDefault="00B61B7C" w:rsidP="002D3EBF">
            <w:pPr>
              <w:ind w:left="57" w:right="57" w:firstLine="0"/>
              <w:rPr>
                <w:szCs w:val="24"/>
              </w:rPr>
            </w:pPr>
            <w:r w:rsidRPr="00761653">
              <w:rPr>
                <w:szCs w:val="24"/>
              </w:rPr>
              <w:t>Цефтолозан/тазобактам</w:t>
            </w:r>
          </w:p>
        </w:tc>
        <w:tc>
          <w:tcPr>
            <w:tcW w:w="6237" w:type="dxa"/>
          </w:tcPr>
          <w:p w14:paraId="14F10E1C" w14:textId="77777777" w:rsidR="00B61B7C" w:rsidRPr="00761653" w:rsidRDefault="00B61B7C" w:rsidP="002D3EBF">
            <w:pPr>
              <w:ind w:left="57" w:right="57" w:firstLine="0"/>
              <w:rPr>
                <w:szCs w:val="24"/>
              </w:rPr>
            </w:pPr>
            <w:r w:rsidRPr="00761653">
              <w:rPr>
                <w:szCs w:val="24"/>
              </w:rPr>
              <w:t>1,5 или 3 г каждые 8 часов, инфузия в течение 1 часа (при пневмонии по 3 г х 3 раза)</w:t>
            </w:r>
          </w:p>
        </w:tc>
      </w:tr>
      <w:tr w:rsidR="00B61B7C" w:rsidRPr="00265B67" w14:paraId="4CBA4B8E" w14:textId="77777777" w:rsidTr="002D3EBF">
        <w:tc>
          <w:tcPr>
            <w:tcW w:w="3510" w:type="dxa"/>
          </w:tcPr>
          <w:p w14:paraId="4B6E11A9" w14:textId="77777777" w:rsidR="00B61B7C" w:rsidRPr="00761653" w:rsidRDefault="00B61B7C" w:rsidP="002D3EBF">
            <w:pPr>
              <w:ind w:left="57" w:right="57" w:firstLine="0"/>
              <w:rPr>
                <w:szCs w:val="24"/>
              </w:rPr>
            </w:pPr>
            <w:r w:rsidRPr="00761653">
              <w:rPr>
                <w:szCs w:val="24"/>
              </w:rPr>
              <w:t>Цефтазидим</w:t>
            </w:r>
          </w:p>
        </w:tc>
        <w:tc>
          <w:tcPr>
            <w:tcW w:w="6237" w:type="dxa"/>
          </w:tcPr>
          <w:p w14:paraId="58A85463" w14:textId="77777777" w:rsidR="00B61B7C" w:rsidRPr="00761653" w:rsidRDefault="00B61B7C" w:rsidP="002D3EBF">
            <w:pPr>
              <w:ind w:left="57" w:right="57" w:firstLine="0"/>
              <w:rPr>
                <w:szCs w:val="24"/>
              </w:rPr>
            </w:pPr>
            <w:r w:rsidRPr="00761653">
              <w:rPr>
                <w:szCs w:val="24"/>
              </w:rPr>
              <w:t>Нагрузочная доза 1-2 г, затем 6 г/сут, непрерывная инфузии в течение 24 ч</w:t>
            </w:r>
          </w:p>
        </w:tc>
      </w:tr>
      <w:tr w:rsidR="00B61B7C" w:rsidRPr="00975FC1" w14:paraId="3E927EE7" w14:textId="77777777" w:rsidTr="002D3EBF">
        <w:tc>
          <w:tcPr>
            <w:tcW w:w="3510" w:type="dxa"/>
          </w:tcPr>
          <w:p w14:paraId="21F16E83" w14:textId="77777777" w:rsidR="00B61B7C" w:rsidRPr="00761653" w:rsidRDefault="00B61B7C" w:rsidP="002D3EBF">
            <w:pPr>
              <w:ind w:left="57" w:right="57" w:firstLine="0"/>
              <w:rPr>
                <w:szCs w:val="24"/>
              </w:rPr>
            </w:pPr>
            <w:r w:rsidRPr="00761653">
              <w:rPr>
                <w:szCs w:val="24"/>
              </w:rPr>
              <w:t>Цефепим</w:t>
            </w:r>
          </w:p>
        </w:tc>
        <w:tc>
          <w:tcPr>
            <w:tcW w:w="6237" w:type="dxa"/>
          </w:tcPr>
          <w:p w14:paraId="46296EF5" w14:textId="77777777" w:rsidR="00B61B7C" w:rsidRPr="00761653" w:rsidRDefault="00B61B7C" w:rsidP="002D3EBF">
            <w:pPr>
              <w:ind w:left="57" w:right="57" w:firstLine="0"/>
              <w:rPr>
                <w:szCs w:val="24"/>
              </w:rPr>
            </w:pPr>
            <w:r w:rsidRPr="00761653">
              <w:rPr>
                <w:szCs w:val="24"/>
              </w:rPr>
              <w:t>Нагрузочная доза 15 мг/кг в течение 30 мин, затем 6 г/сут посредством непрерывной инфузии в течение 24 часов</w:t>
            </w:r>
          </w:p>
        </w:tc>
      </w:tr>
      <w:tr w:rsidR="00B61B7C" w:rsidRPr="00975FC1" w14:paraId="6ED16853" w14:textId="77777777" w:rsidTr="002D3EBF">
        <w:tc>
          <w:tcPr>
            <w:tcW w:w="3510" w:type="dxa"/>
          </w:tcPr>
          <w:p w14:paraId="151B2BDA" w14:textId="77777777" w:rsidR="00B61B7C" w:rsidRPr="00761653" w:rsidRDefault="00B61B7C" w:rsidP="002D3EBF">
            <w:pPr>
              <w:ind w:left="57" w:right="57" w:firstLine="0"/>
              <w:rPr>
                <w:szCs w:val="24"/>
              </w:rPr>
            </w:pPr>
            <w:r w:rsidRPr="00761653">
              <w:rPr>
                <w:szCs w:val="24"/>
              </w:rPr>
              <w:t>Пиперациллин/тазобактам</w:t>
            </w:r>
          </w:p>
        </w:tc>
        <w:tc>
          <w:tcPr>
            <w:tcW w:w="6237" w:type="dxa"/>
          </w:tcPr>
          <w:p w14:paraId="4E6E0C0F" w14:textId="77777777" w:rsidR="00B61B7C" w:rsidRPr="00761653" w:rsidRDefault="00B61B7C" w:rsidP="002D3EBF">
            <w:pPr>
              <w:ind w:left="57" w:right="57" w:firstLine="0"/>
              <w:rPr>
                <w:szCs w:val="24"/>
              </w:rPr>
            </w:pPr>
            <w:r w:rsidRPr="00761653">
              <w:rPr>
                <w:szCs w:val="24"/>
              </w:rPr>
              <w:t>Нагрузочная доза 2,25 г затем 16,2 г/сут посредством непрерывной инфузии в течение 24 часов</w:t>
            </w:r>
          </w:p>
        </w:tc>
      </w:tr>
      <w:tr w:rsidR="00B61B7C" w:rsidRPr="00975FC1" w14:paraId="0D5502EA" w14:textId="77777777" w:rsidTr="002D3EBF">
        <w:tc>
          <w:tcPr>
            <w:tcW w:w="3510" w:type="dxa"/>
          </w:tcPr>
          <w:p w14:paraId="729C1FED" w14:textId="77777777" w:rsidR="00B61B7C" w:rsidRPr="00761653" w:rsidRDefault="00B61B7C" w:rsidP="002D3EBF">
            <w:pPr>
              <w:ind w:left="57" w:right="57" w:firstLine="0"/>
              <w:rPr>
                <w:szCs w:val="24"/>
              </w:rPr>
            </w:pPr>
            <w:r w:rsidRPr="00761653">
              <w:rPr>
                <w:szCs w:val="24"/>
              </w:rPr>
              <w:t>Цефтазидим/авибактам</w:t>
            </w:r>
          </w:p>
        </w:tc>
        <w:tc>
          <w:tcPr>
            <w:tcW w:w="6237" w:type="dxa"/>
          </w:tcPr>
          <w:p w14:paraId="6A81B6F7" w14:textId="77777777" w:rsidR="00B61B7C" w:rsidRPr="00761653" w:rsidRDefault="00B61B7C" w:rsidP="002D3EBF">
            <w:pPr>
              <w:ind w:left="57" w:right="57" w:firstLine="0"/>
              <w:rPr>
                <w:szCs w:val="24"/>
              </w:rPr>
            </w:pPr>
            <w:r w:rsidRPr="00761653">
              <w:rPr>
                <w:szCs w:val="24"/>
              </w:rPr>
              <w:t>2,5 г каждые 8 часов, продленная инфузия в течение 2 часов</w:t>
            </w:r>
          </w:p>
        </w:tc>
      </w:tr>
      <w:tr w:rsidR="00B61B7C" w:rsidRPr="00975FC1" w14:paraId="71ECE952" w14:textId="77777777" w:rsidTr="002D3EBF">
        <w:tc>
          <w:tcPr>
            <w:tcW w:w="3510" w:type="dxa"/>
          </w:tcPr>
          <w:p w14:paraId="115D950A" w14:textId="77777777" w:rsidR="00B61B7C" w:rsidRPr="00761653" w:rsidRDefault="00B61B7C" w:rsidP="002D3EBF">
            <w:pPr>
              <w:ind w:left="57" w:right="57" w:firstLine="0"/>
              <w:rPr>
                <w:szCs w:val="24"/>
              </w:rPr>
            </w:pPr>
            <w:r w:rsidRPr="00761653">
              <w:rPr>
                <w:szCs w:val="24"/>
              </w:rPr>
              <w:t>Азтреонам</w:t>
            </w:r>
          </w:p>
        </w:tc>
        <w:tc>
          <w:tcPr>
            <w:tcW w:w="6237" w:type="dxa"/>
          </w:tcPr>
          <w:p w14:paraId="4E2B65CB" w14:textId="77777777" w:rsidR="00B61B7C" w:rsidRPr="00761653" w:rsidRDefault="00B61B7C" w:rsidP="002D3EBF">
            <w:pPr>
              <w:ind w:left="57" w:right="57" w:firstLine="0"/>
              <w:rPr>
                <w:szCs w:val="24"/>
              </w:rPr>
            </w:pPr>
            <w:r w:rsidRPr="00761653">
              <w:rPr>
                <w:szCs w:val="24"/>
              </w:rPr>
              <w:t>Нагрузочная доза 1-2 г, затем 6 г/сут посредством непрерывной инфузии в течение 24 часов</w:t>
            </w:r>
          </w:p>
        </w:tc>
      </w:tr>
      <w:tr w:rsidR="00B61B7C" w:rsidRPr="00265B67" w14:paraId="2E54A883" w14:textId="77777777" w:rsidTr="002D3EBF">
        <w:tc>
          <w:tcPr>
            <w:tcW w:w="3510" w:type="dxa"/>
          </w:tcPr>
          <w:p w14:paraId="28BFE10E" w14:textId="77777777" w:rsidR="00B61B7C" w:rsidRPr="00761653" w:rsidRDefault="00B61B7C" w:rsidP="002D3EBF">
            <w:pPr>
              <w:ind w:left="57" w:right="57" w:firstLine="0"/>
              <w:rPr>
                <w:szCs w:val="24"/>
              </w:rPr>
            </w:pPr>
            <w:r w:rsidRPr="00761653">
              <w:rPr>
                <w:szCs w:val="24"/>
              </w:rPr>
              <w:t>Дорипенем</w:t>
            </w:r>
          </w:p>
        </w:tc>
        <w:tc>
          <w:tcPr>
            <w:tcW w:w="6237" w:type="dxa"/>
          </w:tcPr>
          <w:p w14:paraId="6429B013" w14:textId="77777777" w:rsidR="00B61B7C" w:rsidRPr="00761653" w:rsidRDefault="00B61B7C" w:rsidP="002D3EBF">
            <w:pPr>
              <w:ind w:left="57" w:right="57" w:firstLine="0"/>
              <w:rPr>
                <w:szCs w:val="24"/>
              </w:rPr>
            </w:pPr>
            <w:r w:rsidRPr="00761653">
              <w:rPr>
                <w:szCs w:val="24"/>
              </w:rPr>
              <w:t>1 г каждые 8 часов, инфузия в течение 4 часов</w:t>
            </w:r>
          </w:p>
        </w:tc>
      </w:tr>
      <w:tr w:rsidR="00B61B7C" w:rsidRPr="00265B67" w14:paraId="6586F8EC" w14:textId="77777777" w:rsidTr="002D3EBF">
        <w:tc>
          <w:tcPr>
            <w:tcW w:w="3510" w:type="dxa"/>
          </w:tcPr>
          <w:p w14:paraId="00D17ABE" w14:textId="77777777" w:rsidR="00B61B7C" w:rsidRPr="00761653" w:rsidRDefault="00B61B7C" w:rsidP="002D3EBF">
            <w:pPr>
              <w:ind w:left="57" w:right="57" w:firstLine="0"/>
              <w:rPr>
                <w:szCs w:val="24"/>
              </w:rPr>
            </w:pPr>
            <w:r w:rsidRPr="00761653">
              <w:rPr>
                <w:szCs w:val="24"/>
              </w:rPr>
              <w:t>Меропенем</w:t>
            </w:r>
          </w:p>
        </w:tc>
        <w:tc>
          <w:tcPr>
            <w:tcW w:w="6237" w:type="dxa"/>
          </w:tcPr>
          <w:p w14:paraId="7F5E73A2" w14:textId="77777777" w:rsidR="00B61B7C" w:rsidRPr="00761653" w:rsidRDefault="00B61B7C" w:rsidP="002D3EBF">
            <w:pPr>
              <w:ind w:left="57" w:right="57" w:firstLine="0"/>
              <w:rPr>
                <w:szCs w:val="24"/>
              </w:rPr>
            </w:pPr>
            <w:r w:rsidRPr="00761653">
              <w:rPr>
                <w:szCs w:val="24"/>
              </w:rPr>
              <w:t>Нагрузочная доза 1-2 г, затем по 2 г каждые 8 часов, продленная инфузия в течение 3 часов</w:t>
            </w:r>
          </w:p>
        </w:tc>
      </w:tr>
      <w:tr w:rsidR="00B61B7C" w:rsidRPr="00975FC1" w14:paraId="34E735BF" w14:textId="77777777" w:rsidTr="002D3EBF">
        <w:tc>
          <w:tcPr>
            <w:tcW w:w="3510" w:type="dxa"/>
          </w:tcPr>
          <w:p w14:paraId="060870D8" w14:textId="77777777" w:rsidR="00B61B7C" w:rsidRPr="00761653" w:rsidRDefault="00B61B7C" w:rsidP="002D3EBF">
            <w:pPr>
              <w:ind w:left="57" w:right="57" w:firstLine="0"/>
              <w:rPr>
                <w:szCs w:val="24"/>
              </w:rPr>
            </w:pPr>
            <w:r w:rsidRPr="00761653">
              <w:rPr>
                <w:szCs w:val="24"/>
              </w:rPr>
              <w:t>Имипенем</w:t>
            </w:r>
          </w:p>
        </w:tc>
        <w:tc>
          <w:tcPr>
            <w:tcW w:w="6237" w:type="dxa"/>
          </w:tcPr>
          <w:p w14:paraId="0CDDD2A8" w14:textId="77777777" w:rsidR="00B61B7C" w:rsidRPr="00761653" w:rsidRDefault="00B61B7C" w:rsidP="002D3EBF">
            <w:pPr>
              <w:ind w:left="57" w:right="57" w:firstLine="0"/>
              <w:rPr>
                <w:szCs w:val="24"/>
              </w:rPr>
            </w:pPr>
            <w:r w:rsidRPr="00761653">
              <w:rPr>
                <w:szCs w:val="24"/>
              </w:rPr>
              <w:t>1 г каждые 6-8 часов, в/в</w:t>
            </w:r>
          </w:p>
        </w:tc>
      </w:tr>
      <w:tr w:rsidR="00B61B7C" w:rsidRPr="00975FC1" w14:paraId="07C39E8F" w14:textId="77777777" w:rsidTr="002D3EBF">
        <w:tc>
          <w:tcPr>
            <w:tcW w:w="3510" w:type="dxa"/>
          </w:tcPr>
          <w:p w14:paraId="2505BB80" w14:textId="77777777" w:rsidR="00B61B7C" w:rsidRPr="00761653" w:rsidRDefault="00B61B7C" w:rsidP="002D3EBF">
            <w:pPr>
              <w:ind w:left="57" w:right="57" w:firstLine="0"/>
              <w:rPr>
                <w:szCs w:val="24"/>
              </w:rPr>
            </w:pPr>
            <w:r w:rsidRPr="00761653">
              <w:rPr>
                <w:szCs w:val="24"/>
              </w:rPr>
              <w:t>Фосфомицин</w:t>
            </w:r>
          </w:p>
        </w:tc>
        <w:tc>
          <w:tcPr>
            <w:tcW w:w="6237" w:type="dxa"/>
          </w:tcPr>
          <w:p w14:paraId="67F6F28B" w14:textId="77777777" w:rsidR="00B61B7C" w:rsidRPr="00761653" w:rsidRDefault="00B61B7C" w:rsidP="002D3EBF">
            <w:pPr>
              <w:ind w:left="57" w:right="57" w:firstLine="0"/>
              <w:rPr>
                <w:szCs w:val="24"/>
              </w:rPr>
            </w:pPr>
            <w:r w:rsidRPr="00761653">
              <w:rPr>
                <w:szCs w:val="24"/>
              </w:rPr>
              <w:t xml:space="preserve">Нагрузочная доза 2-4 г, затем по 16-24 г посредством непрерывной инфузии в течение 24 часов </w:t>
            </w:r>
          </w:p>
        </w:tc>
      </w:tr>
      <w:tr w:rsidR="00B61B7C" w:rsidRPr="00975FC1" w14:paraId="74A2661B" w14:textId="77777777" w:rsidTr="002D3EBF">
        <w:tc>
          <w:tcPr>
            <w:tcW w:w="3510" w:type="dxa"/>
          </w:tcPr>
          <w:p w14:paraId="76A6822D" w14:textId="77777777" w:rsidR="00B61B7C" w:rsidRPr="00761653" w:rsidRDefault="00B61B7C" w:rsidP="002D3EBF">
            <w:pPr>
              <w:ind w:left="57" w:right="57" w:firstLine="0"/>
              <w:rPr>
                <w:szCs w:val="24"/>
              </w:rPr>
            </w:pPr>
            <w:r w:rsidRPr="00761653">
              <w:rPr>
                <w:szCs w:val="24"/>
              </w:rPr>
              <w:t>Колистин</w:t>
            </w:r>
          </w:p>
        </w:tc>
        <w:tc>
          <w:tcPr>
            <w:tcW w:w="6237" w:type="dxa"/>
          </w:tcPr>
          <w:p w14:paraId="6CDCFB52" w14:textId="77777777" w:rsidR="00B61B7C" w:rsidRPr="00761653" w:rsidRDefault="00B61B7C" w:rsidP="002D3EBF">
            <w:pPr>
              <w:ind w:left="57" w:right="57" w:firstLine="0"/>
              <w:rPr>
                <w:szCs w:val="24"/>
              </w:rPr>
            </w:pPr>
            <w:r w:rsidRPr="00761653">
              <w:rPr>
                <w:szCs w:val="24"/>
              </w:rPr>
              <w:t>Нагрузочная доза 6-9 млн МЕ, затем по 4,5 млн МЕ каждые 12 часов</w:t>
            </w:r>
          </w:p>
        </w:tc>
      </w:tr>
      <w:tr w:rsidR="00B61B7C" w:rsidRPr="00265B67" w14:paraId="11A6012D" w14:textId="77777777" w:rsidTr="002D3EBF">
        <w:tc>
          <w:tcPr>
            <w:tcW w:w="3510" w:type="dxa"/>
          </w:tcPr>
          <w:p w14:paraId="15341A9D" w14:textId="77777777" w:rsidR="00B61B7C" w:rsidRPr="00761653" w:rsidRDefault="00B61B7C" w:rsidP="002D3EBF">
            <w:pPr>
              <w:ind w:left="57" w:right="57" w:firstLine="0"/>
              <w:rPr>
                <w:szCs w:val="24"/>
              </w:rPr>
            </w:pPr>
            <w:r w:rsidRPr="00761653">
              <w:rPr>
                <w:szCs w:val="24"/>
              </w:rPr>
              <w:t>Полимиксин В</w:t>
            </w:r>
          </w:p>
        </w:tc>
        <w:tc>
          <w:tcPr>
            <w:tcW w:w="6237" w:type="dxa"/>
          </w:tcPr>
          <w:p w14:paraId="0AEDB5CE" w14:textId="77777777" w:rsidR="00B61B7C" w:rsidRPr="00761653" w:rsidRDefault="00B61B7C" w:rsidP="002D3EBF">
            <w:pPr>
              <w:ind w:left="57" w:right="57" w:firstLine="0"/>
              <w:rPr>
                <w:szCs w:val="24"/>
              </w:rPr>
            </w:pPr>
            <w:r w:rsidRPr="00761653">
              <w:rPr>
                <w:szCs w:val="24"/>
              </w:rPr>
              <w:t xml:space="preserve">Нагрузочная доза 2-2,5 мг/кг, инфузия в течение 2 часов, далее по </w:t>
            </w:r>
          </w:p>
          <w:p w14:paraId="5C645F39" w14:textId="77777777" w:rsidR="00B61B7C" w:rsidRPr="00761653" w:rsidRDefault="00B61B7C" w:rsidP="002D3EBF">
            <w:pPr>
              <w:ind w:left="57" w:right="57" w:firstLine="0"/>
              <w:rPr>
                <w:szCs w:val="24"/>
              </w:rPr>
            </w:pPr>
            <w:r w:rsidRPr="00761653">
              <w:rPr>
                <w:szCs w:val="24"/>
              </w:rPr>
              <w:t>1,25-1,5 мг/кг каждые 12 часов, инфузия в течение 1 часа</w:t>
            </w:r>
          </w:p>
        </w:tc>
      </w:tr>
      <w:tr w:rsidR="00B61B7C" w:rsidRPr="00265B67" w14:paraId="1BA746AF" w14:textId="77777777" w:rsidTr="002D3EBF">
        <w:tc>
          <w:tcPr>
            <w:tcW w:w="3510" w:type="dxa"/>
          </w:tcPr>
          <w:p w14:paraId="2887CB4E" w14:textId="77777777" w:rsidR="00B61B7C" w:rsidRPr="00761653" w:rsidRDefault="00B61B7C" w:rsidP="002D3EBF">
            <w:pPr>
              <w:ind w:left="57" w:right="57" w:firstLine="0"/>
              <w:rPr>
                <w:szCs w:val="24"/>
              </w:rPr>
            </w:pPr>
            <w:r w:rsidRPr="00761653">
              <w:rPr>
                <w:szCs w:val="24"/>
              </w:rPr>
              <w:t>Ципрофлоксацин</w:t>
            </w:r>
          </w:p>
        </w:tc>
        <w:tc>
          <w:tcPr>
            <w:tcW w:w="6237" w:type="dxa"/>
          </w:tcPr>
          <w:p w14:paraId="7C8F2C66" w14:textId="77777777" w:rsidR="00B61B7C" w:rsidRPr="00761653" w:rsidRDefault="00B61B7C" w:rsidP="002D3EBF">
            <w:pPr>
              <w:ind w:left="57" w:right="57" w:firstLine="0"/>
              <w:rPr>
                <w:szCs w:val="24"/>
              </w:rPr>
            </w:pPr>
            <w:r w:rsidRPr="00761653">
              <w:rPr>
                <w:szCs w:val="24"/>
              </w:rPr>
              <w:t>400 мг каждые 8 часов, инфузия в течение 30-60 минут</w:t>
            </w:r>
          </w:p>
        </w:tc>
      </w:tr>
      <w:tr w:rsidR="00B61B7C" w:rsidRPr="00265B67" w14:paraId="5729EDAC" w14:textId="77777777" w:rsidTr="002D3EBF">
        <w:tc>
          <w:tcPr>
            <w:tcW w:w="3510" w:type="dxa"/>
          </w:tcPr>
          <w:p w14:paraId="7B4F6456" w14:textId="77777777" w:rsidR="00B61B7C" w:rsidRPr="00761653" w:rsidRDefault="00B61B7C" w:rsidP="002D3EBF">
            <w:pPr>
              <w:ind w:left="57" w:right="57" w:firstLine="0"/>
              <w:rPr>
                <w:szCs w:val="24"/>
              </w:rPr>
            </w:pPr>
            <w:r w:rsidRPr="00761653">
              <w:rPr>
                <w:szCs w:val="24"/>
              </w:rPr>
              <w:t>Левофлоксацин</w:t>
            </w:r>
          </w:p>
        </w:tc>
        <w:tc>
          <w:tcPr>
            <w:tcW w:w="6237" w:type="dxa"/>
          </w:tcPr>
          <w:p w14:paraId="2FC9435C" w14:textId="77777777" w:rsidR="00B61B7C" w:rsidRPr="00761653" w:rsidRDefault="00B61B7C" w:rsidP="002D3EBF">
            <w:pPr>
              <w:ind w:left="57" w:right="57" w:firstLine="0"/>
              <w:rPr>
                <w:szCs w:val="24"/>
              </w:rPr>
            </w:pPr>
            <w:r w:rsidRPr="00761653">
              <w:rPr>
                <w:szCs w:val="24"/>
              </w:rPr>
              <w:t>500 мг каждые 12 часов, инфузия в течение 50-60 минут</w:t>
            </w:r>
          </w:p>
        </w:tc>
      </w:tr>
      <w:tr w:rsidR="00B61B7C" w:rsidRPr="00265B67" w14:paraId="14A7D4EC" w14:textId="77777777" w:rsidTr="002D3EBF">
        <w:tc>
          <w:tcPr>
            <w:tcW w:w="3510" w:type="dxa"/>
          </w:tcPr>
          <w:p w14:paraId="7E8FC3BC" w14:textId="77777777" w:rsidR="00B61B7C" w:rsidRPr="00761653" w:rsidRDefault="00B61B7C" w:rsidP="002D3EBF">
            <w:pPr>
              <w:ind w:left="57" w:right="57" w:firstLine="0"/>
              <w:rPr>
                <w:szCs w:val="24"/>
              </w:rPr>
            </w:pPr>
            <w:r w:rsidRPr="00761653">
              <w:rPr>
                <w:szCs w:val="24"/>
              </w:rPr>
              <w:t>Тобрамицин</w:t>
            </w:r>
          </w:p>
        </w:tc>
        <w:tc>
          <w:tcPr>
            <w:tcW w:w="6237" w:type="dxa"/>
          </w:tcPr>
          <w:p w14:paraId="6C5504D8" w14:textId="77777777" w:rsidR="00B61B7C" w:rsidRPr="00761653" w:rsidRDefault="00B61B7C" w:rsidP="002D3EBF">
            <w:pPr>
              <w:ind w:left="57" w:right="57" w:firstLine="0"/>
              <w:rPr>
                <w:szCs w:val="24"/>
              </w:rPr>
            </w:pPr>
            <w:r w:rsidRPr="00761653">
              <w:rPr>
                <w:szCs w:val="24"/>
              </w:rPr>
              <w:t>8 мг/кг 1 раз/сут, инфузия в течение 60 мин</w:t>
            </w:r>
          </w:p>
        </w:tc>
      </w:tr>
      <w:tr w:rsidR="00B61B7C" w:rsidRPr="00265B67" w14:paraId="5F0688EE" w14:textId="77777777" w:rsidTr="002D3EBF">
        <w:tc>
          <w:tcPr>
            <w:tcW w:w="3510" w:type="dxa"/>
          </w:tcPr>
          <w:p w14:paraId="05A01E5B" w14:textId="77777777" w:rsidR="00B61B7C" w:rsidRPr="00761653" w:rsidRDefault="00B61B7C" w:rsidP="002D3EBF">
            <w:pPr>
              <w:ind w:left="57" w:right="57" w:firstLine="0"/>
              <w:rPr>
                <w:szCs w:val="24"/>
              </w:rPr>
            </w:pPr>
            <w:r w:rsidRPr="00761653">
              <w:rPr>
                <w:szCs w:val="24"/>
              </w:rPr>
              <w:t>Амикацин</w:t>
            </w:r>
          </w:p>
        </w:tc>
        <w:tc>
          <w:tcPr>
            <w:tcW w:w="6237" w:type="dxa"/>
          </w:tcPr>
          <w:p w14:paraId="6AB93A82" w14:textId="77777777" w:rsidR="00B61B7C" w:rsidRPr="00761653" w:rsidRDefault="00B61B7C" w:rsidP="002D3EBF">
            <w:pPr>
              <w:ind w:left="57" w:right="57" w:firstLine="0"/>
              <w:rPr>
                <w:szCs w:val="24"/>
              </w:rPr>
            </w:pPr>
            <w:r w:rsidRPr="00761653">
              <w:rPr>
                <w:szCs w:val="24"/>
              </w:rPr>
              <w:t xml:space="preserve">25 мг/кг 1 раз/сут, инфузия в течение 60 минут </w:t>
            </w:r>
          </w:p>
        </w:tc>
      </w:tr>
    </w:tbl>
    <w:p w14:paraId="18C00E65" w14:textId="77777777" w:rsidR="00B61B7C" w:rsidRDefault="00B61B7C" w:rsidP="00B61B7C">
      <w:pPr>
        <w:widowControl w:val="0"/>
        <w:tabs>
          <w:tab w:val="left" w:pos="1134"/>
        </w:tabs>
        <w:autoSpaceDE w:val="0"/>
        <w:autoSpaceDN w:val="0"/>
        <w:adjustRightInd w:val="0"/>
        <w:ind w:right="49"/>
        <w:contextualSpacing/>
        <w:rPr>
          <w:bCs/>
          <w:i/>
          <w:u w:val="single"/>
        </w:rPr>
      </w:pPr>
    </w:p>
    <w:p w14:paraId="1AF4FCCE" w14:textId="77777777" w:rsidR="00B61B7C" w:rsidRPr="00284D51" w:rsidRDefault="00B61B7C" w:rsidP="00B61B7C">
      <w:pPr>
        <w:widowControl w:val="0"/>
        <w:tabs>
          <w:tab w:val="left" w:pos="1134"/>
        </w:tabs>
        <w:autoSpaceDE w:val="0"/>
        <w:autoSpaceDN w:val="0"/>
        <w:adjustRightInd w:val="0"/>
        <w:ind w:right="49"/>
        <w:contextualSpacing/>
        <w:rPr>
          <w:bCs/>
          <w:i/>
        </w:rPr>
      </w:pPr>
      <w:r w:rsidRPr="00284D51">
        <w:rPr>
          <w:bCs/>
          <w:i/>
        </w:rPr>
        <w:t>Acinetobacter baumannii</w:t>
      </w:r>
    </w:p>
    <w:p w14:paraId="43932295" w14:textId="77777777" w:rsidR="00B61B7C" w:rsidRPr="00761653" w:rsidRDefault="00B61B7C" w:rsidP="00B61B7C">
      <w:pPr>
        <w:widowControl w:val="0"/>
        <w:tabs>
          <w:tab w:val="left" w:pos="1134"/>
        </w:tabs>
        <w:autoSpaceDE w:val="0"/>
        <w:autoSpaceDN w:val="0"/>
        <w:adjustRightInd w:val="0"/>
        <w:ind w:right="49"/>
        <w:contextualSpacing/>
      </w:pPr>
      <w:r w:rsidRPr="00761653">
        <w:t xml:space="preserve">Характерным является ограничение потенциально активных </w:t>
      </w:r>
      <w:r w:rsidRPr="00761653">
        <w:rPr>
          <w:i/>
        </w:rPr>
        <w:t xml:space="preserve">in vitro </w:t>
      </w:r>
      <w:r w:rsidRPr="00761653">
        <w:t xml:space="preserve">препаратов, наличие высокой резистентности. Для лечения используют цефоперазон/сульбактам, карбапенем антипсевдомонадный, полимиксин или колистин, тигециклин (дозирование как при инфекции, вызванной </w:t>
      </w:r>
      <w:r w:rsidRPr="00761653">
        <w:rPr>
          <w:i/>
        </w:rPr>
        <w:t>P. aeruginosa</w:t>
      </w:r>
      <w:r w:rsidRPr="00761653">
        <w:t>).</w:t>
      </w:r>
    </w:p>
    <w:p w14:paraId="7EA28D5C" w14:textId="77777777" w:rsidR="00B61B7C" w:rsidRPr="00284D51" w:rsidRDefault="00B61B7C" w:rsidP="00B61B7C">
      <w:pPr>
        <w:widowControl w:val="0"/>
        <w:tabs>
          <w:tab w:val="left" w:pos="1134"/>
        </w:tabs>
        <w:autoSpaceDE w:val="0"/>
        <w:autoSpaceDN w:val="0"/>
        <w:adjustRightInd w:val="0"/>
        <w:ind w:right="49"/>
        <w:contextualSpacing/>
        <w:rPr>
          <w:bCs/>
        </w:rPr>
      </w:pPr>
      <w:r w:rsidRPr="00284D51">
        <w:rPr>
          <w:bCs/>
          <w:i/>
        </w:rPr>
        <w:t>Stenotrophomonas maltophilia</w:t>
      </w:r>
    </w:p>
    <w:p w14:paraId="3D15FD74" w14:textId="77777777" w:rsidR="00B61B7C" w:rsidRPr="00761653" w:rsidRDefault="00B61B7C" w:rsidP="00B61B7C">
      <w:pPr>
        <w:widowControl w:val="0"/>
        <w:tabs>
          <w:tab w:val="left" w:pos="1134"/>
        </w:tabs>
        <w:autoSpaceDE w:val="0"/>
        <w:autoSpaceDN w:val="0"/>
        <w:adjustRightInd w:val="0"/>
        <w:ind w:right="49"/>
        <w:contextualSpacing/>
      </w:pPr>
      <w:r w:rsidRPr="00761653">
        <w:t>Препарат выбора – триметоприм/сульфаметоксазол, расчет дозы проводят по триметоприму 15 мг/кг/сутки.</w:t>
      </w:r>
    </w:p>
    <w:p w14:paraId="0FA92EE0" w14:textId="77777777" w:rsidR="00B61B7C" w:rsidRDefault="00B61B7C" w:rsidP="00B61B7C">
      <w:pPr>
        <w:widowControl w:val="0"/>
        <w:tabs>
          <w:tab w:val="left" w:pos="317"/>
          <w:tab w:val="left" w:pos="8715"/>
        </w:tabs>
        <w:autoSpaceDE w:val="0"/>
        <w:autoSpaceDN w:val="0"/>
        <w:adjustRightInd w:val="0"/>
        <w:ind w:right="49"/>
        <w:contextualSpacing/>
        <w:rPr>
          <w:b/>
        </w:rPr>
      </w:pPr>
    </w:p>
    <w:p w14:paraId="6877F1C8" w14:textId="77777777" w:rsidR="00B61B7C" w:rsidRPr="00761653" w:rsidRDefault="00B61B7C" w:rsidP="00B61B7C">
      <w:pPr>
        <w:widowControl w:val="0"/>
        <w:tabs>
          <w:tab w:val="left" w:pos="317"/>
          <w:tab w:val="left" w:pos="8715"/>
        </w:tabs>
        <w:autoSpaceDE w:val="0"/>
        <w:autoSpaceDN w:val="0"/>
        <w:adjustRightInd w:val="0"/>
        <w:ind w:right="49"/>
        <w:contextualSpacing/>
        <w:rPr>
          <w:b/>
          <w:iCs/>
        </w:rPr>
      </w:pPr>
      <w:r w:rsidRPr="00761653">
        <w:rPr>
          <w:b/>
        </w:rPr>
        <w:t>Грамположительные возбудители</w:t>
      </w:r>
    </w:p>
    <w:p w14:paraId="5C837E84" w14:textId="77777777" w:rsidR="00B61B7C" w:rsidRPr="00284D51" w:rsidRDefault="00B61B7C" w:rsidP="00B61B7C">
      <w:pPr>
        <w:widowControl w:val="0"/>
        <w:tabs>
          <w:tab w:val="left" w:pos="317"/>
          <w:tab w:val="left" w:pos="8715"/>
        </w:tabs>
        <w:autoSpaceDE w:val="0"/>
        <w:autoSpaceDN w:val="0"/>
        <w:adjustRightInd w:val="0"/>
        <w:ind w:right="49"/>
        <w:contextualSpacing/>
        <w:rPr>
          <w:i/>
          <w:iCs/>
        </w:rPr>
      </w:pPr>
      <w:r w:rsidRPr="00284D51">
        <w:rPr>
          <w:i/>
          <w:iCs/>
        </w:rPr>
        <w:t>Коагулазонегативные стафилококки</w:t>
      </w:r>
    </w:p>
    <w:p w14:paraId="3B996745" w14:textId="77777777" w:rsidR="00B61B7C" w:rsidRPr="00761653" w:rsidRDefault="00B61B7C" w:rsidP="00B61B7C">
      <w:pPr>
        <w:widowControl w:val="0"/>
        <w:tabs>
          <w:tab w:val="left" w:pos="317"/>
          <w:tab w:val="left" w:pos="8715"/>
        </w:tabs>
        <w:autoSpaceDE w:val="0"/>
        <w:autoSpaceDN w:val="0"/>
        <w:adjustRightInd w:val="0"/>
        <w:ind w:right="49"/>
        <w:contextualSpacing/>
        <w:rPr>
          <w:bCs/>
        </w:rPr>
      </w:pPr>
      <w:r w:rsidRPr="00761653">
        <w:rPr>
          <w:bCs/>
        </w:rPr>
        <w:t>Явялются причиной бактериемий (2</w:t>
      </w:r>
      <w:r>
        <w:rPr>
          <w:bCs/>
        </w:rPr>
        <w:t>-</w:t>
      </w:r>
      <w:r w:rsidRPr="00761653">
        <w:rPr>
          <w:bCs/>
        </w:rPr>
        <w:t xml:space="preserve">е место) и катетер-ассоциированных инфекций. Подтверждают инфекцию двумя положительными гемокультурами. Около 80% штаммов устойчивые к оксациллину. Препарат выбора для лечения – ванкомицин. </w:t>
      </w:r>
    </w:p>
    <w:p w14:paraId="071B8954" w14:textId="77777777" w:rsidR="00B61B7C" w:rsidRPr="00284D51" w:rsidRDefault="00B61B7C" w:rsidP="00B61B7C">
      <w:pPr>
        <w:widowControl w:val="0"/>
        <w:tabs>
          <w:tab w:val="left" w:pos="317"/>
          <w:tab w:val="left" w:pos="8715"/>
        </w:tabs>
        <w:autoSpaceDE w:val="0"/>
        <w:autoSpaceDN w:val="0"/>
        <w:adjustRightInd w:val="0"/>
        <w:ind w:right="49"/>
        <w:contextualSpacing/>
      </w:pPr>
      <w:r w:rsidRPr="00284D51">
        <w:rPr>
          <w:i/>
        </w:rPr>
        <w:t>Enterococcus</w:t>
      </w:r>
      <w:r w:rsidRPr="00284D51">
        <w:t xml:space="preserve"> spp. </w:t>
      </w:r>
    </w:p>
    <w:p w14:paraId="46700507" w14:textId="77777777" w:rsidR="00B61B7C" w:rsidRPr="00761653" w:rsidRDefault="00B61B7C" w:rsidP="00B61B7C">
      <w:pPr>
        <w:widowControl w:val="0"/>
        <w:tabs>
          <w:tab w:val="left" w:pos="317"/>
          <w:tab w:val="left" w:pos="8715"/>
        </w:tabs>
        <w:autoSpaceDE w:val="0"/>
        <w:autoSpaceDN w:val="0"/>
        <w:adjustRightInd w:val="0"/>
        <w:ind w:right="49"/>
        <w:contextualSpacing/>
        <w:rPr>
          <w:bCs/>
        </w:rPr>
      </w:pPr>
      <w:r>
        <w:rPr>
          <w:bCs/>
        </w:rPr>
        <w:t xml:space="preserve">У гематологических пациентов в основном вызывают </w:t>
      </w:r>
      <w:r w:rsidRPr="00761653">
        <w:rPr>
          <w:bCs/>
        </w:rPr>
        <w:t xml:space="preserve">инфекции кровотока, далее следуют инфекции мочевыводящих путей, редко – эндокардиты. Штаммы </w:t>
      </w:r>
      <w:r w:rsidRPr="00761653">
        <w:rPr>
          <w:bCs/>
          <w:i/>
        </w:rPr>
        <w:t>E. faecium</w:t>
      </w:r>
      <w:r w:rsidRPr="00761653">
        <w:rPr>
          <w:bCs/>
        </w:rPr>
        <w:t xml:space="preserve"> (70%) преобладают над E</w:t>
      </w:r>
      <w:r w:rsidRPr="00761653">
        <w:rPr>
          <w:bCs/>
          <w:i/>
        </w:rPr>
        <w:t>. faecalis</w:t>
      </w:r>
      <w:r w:rsidRPr="00761653">
        <w:rPr>
          <w:bCs/>
        </w:rPr>
        <w:t xml:space="preserve"> (30%). Препарат выбора в лечении инфекций, вызванных E. faecalis - ампициллин (97% чувствительные). Антибиотикорезистентность более высокая среди </w:t>
      </w:r>
      <w:r w:rsidRPr="00761653">
        <w:rPr>
          <w:bCs/>
          <w:i/>
        </w:rPr>
        <w:t xml:space="preserve">E. faecium </w:t>
      </w:r>
      <w:r w:rsidRPr="00761653">
        <w:rPr>
          <w:bCs/>
        </w:rPr>
        <w:t xml:space="preserve">- около 15% устойчивые к ванкомицину. При выделении ванкомицин-резистентных </w:t>
      </w:r>
      <w:r w:rsidRPr="00761653">
        <w:rPr>
          <w:bCs/>
          <w:i/>
        </w:rPr>
        <w:t>E. faecium</w:t>
      </w:r>
      <w:r w:rsidRPr="00761653">
        <w:rPr>
          <w:bCs/>
        </w:rPr>
        <w:t xml:space="preserve"> из гемокультуры препаратами выбора являются даптомицин (доза 10-12 мг/кг/сутки), линезолид.</w:t>
      </w:r>
    </w:p>
    <w:p w14:paraId="527DA925" w14:textId="77777777" w:rsidR="00B61B7C" w:rsidRPr="00284D51" w:rsidRDefault="00B61B7C" w:rsidP="00B61B7C">
      <w:pPr>
        <w:widowControl w:val="0"/>
        <w:tabs>
          <w:tab w:val="left" w:pos="317"/>
          <w:tab w:val="left" w:pos="8715"/>
        </w:tabs>
        <w:autoSpaceDE w:val="0"/>
        <w:autoSpaceDN w:val="0"/>
        <w:adjustRightInd w:val="0"/>
        <w:ind w:right="49"/>
        <w:contextualSpacing/>
        <w:rPr>
          <w:i/>
        </w:rPr>
      </w:pPr>
      <w:r w:rsidRPr="00284D51">
        <w:rPr>
          <w:i/>
        </w:rPr>
        <w:t>Staphylococcus aureus</w:t>
      </w:r>
    </w:p>
    <w:p w14:paraId="39CED4D9" w14:textId="77777777" w:rsidR="00B61B7C" w:rsidRPr="00761653" w:rsidRDefault="00B61B7C" w:rsidP="00B61B7C">
      <w:pPr>
        <w:widowControl w:val="0"/>
        <w:tabs>
          <w:tab w:val="left" w:pos="317"/>
          <w:tab w:val="left" w:pos="8715"/>
        </w:tabs>
        <w:autoSpaceDE w:val="0"/>
        <w:autoSpaceDN w:val="0"/>
        <w:adjustRightInd w:val="0"/>
        <w:ind w:right="49"/>
        <w:contextualSpacing/>
        <w:rPr>
          <w:bCs/>
        </w:rPr>
      </w:pPr>
      <w:r>
        <w:rPr>
          <w:bCs/>
        </w:rPr>
        <w:t xml:space="preserve">У гематологических пациентов могут быть причиной </w:t>
      </w:r>
      <w:r w:rsidRPr="00761653">
        <w:rPr>
          <w:bCs/>
        </w:rPr>
        <w:t>инфекции кровотока, пневмонии, инфекции к</w:t>
      </w:r>
      <w:r>
        <w:rPr>
          <w:bCs/>
        </w:rPr>
        <w:t>ожи и мягких тканей, эндокардита</w:t>
      </w:r>
      <w:r w:rsidRPr="00761653">
        <w:rPr>
          <w:bCs/>
        </w:rPr>
        <w:t>. Около 20%-30% штаммов являются устойчивыми к оксациллину. Антибиотики, используемые для лечения указаны в таблице 4. При тяжелом течении инфекции в отдельных случаях сочетают даптомицин с линезолидом. Длительность лечения не менее 2-х недель.</w:t>
      </w:r>
    </w:p>
    <w:p w14:paraId="4EC84B98" w14:textId="77777777" w:rsidR="00B61B7C" w:rsidRPr="00761653" w:rsidRDefault="00B61B7C" w:rsidP="00B61B7C">
      <w:pPr>
        <w:widowControl w:val="0"/>
        <w:tabs>
          <w:tab w:val="left" w:pos="317"/>
          <w:tab w:val="left" w:pos="8715"/>
        </w:tabs>
        <w:autoSpaceDE w:val="0"/>
        <w:autoSpaceDN w:val="0"/>
        <w:adjustRightInd w:val="0"/>
        <w:ind w:right="49"/>
        <w:contextualSpacing/>
        <w:rPr>
          <w:bCs/>
        </w:rPr>
      </w:pPr>
      <w:r w:rsidRPr="00761653">
        <w:rPr>
          <w:bCs/>
        </w:rPr>
        <w:t xml:space="preserve">Другие грамположительные бактерии редко вызывают инфекции, лечение их </w:t>
      </w:r>
      <w:r>
        <w:rPr>
          <w:bCs/>
        </w:rPr>
        <w:t xml:space="preserve">такое же, </w:t>
      </w:r>
      <w:r w:rsidRPr="00761653">
        <w:rPr>
          <w:bCs/>
        </w:rPr>
        <w:t xml:space="preserve">как у других категорий </w:t>
      </w:r>
      <w:r>
        <w:rPr>
          <w:bCs/>
        </w:rPr>
        <w:t>пациентов.</w:t>
      </w:r>
    </w:p>
    <w:p w14:paraId="7508D9FC" w14:textId="77777777" w:rsidR="00B61B7C" w:rsidRDefault="00B61B7C" w:rsidP="00B61B7C">
      <w:pPr>
        <w:ind w:hanging="142"/>
      </w:pPr>
    </w:p>
    <w:p w14:paraId="6F9F9B98" w14:textId="77777777" w:rsidR="00B61B7C" w:rsidRPr="00761653" w:rsidRDefault="00B61B7C" w:rsidP="00B61B7C">
      <w:pPr>
        <w:ind w:hanging="142"/>
        <w:rPr>
          <w:i/>
        </w:rPr>
      </w:pPr>
      <w:r w:rsidRPr="00761653">
        <w:t xml:space="preserve">Таблица 4. Лечение инфекций, вызванных </w:t>
      </w:r>
      <w:r w:rsidRPr="00761653">
        <w:rPr>
          <w:i/>
        </w:rPr>
        <w:t xml:space="preserve">Staphylococcus aureus </w:t>
      </w:r>
      <w:r w:rsidRPr="00761653">
        <w:t>и</w:t>
      </w:r>
      <w:r w:rsidRPr="00761653">
        <w:rPr>
          <w:i/>
        </w:rPr>
        <w:t xml:space="preserve"> Enterococcus faecium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835"/>
        <w:gridCol w:w="4395"/>
      </w:tblGrid>
      <w:tr w:rsidR="00B61B7C" w:rsidRPr="00761653" w14:paraId="5D87F590" w14:textId="77777777" w:rsidTr="002D3EBF">
        <w:tc>
          <w:tcPr>
            <w:tcW w:w="2376" w:type="dxa"/>
            <w:vAlign w:val="center"/>
          </w:tcPr>
          <w:p w14:paraId="59210A95" w14:textId="77777777" w:rsidR="00B61B7C" w:rsidRPr="00761653" w:rsidRDefault="00B61B7C" w:rsidP="002D3EBF">
            <w:pPr>
              <w:spacing w:line="240" w:lineRule="auto"/>
              <w:ind w:left="57" w:right="57" w:firstLine="0"/>
              <w:jc w:val="center"/>
              <w:rPr>
                <w:szCs w:val="24"/>
              </w:rPr>
            </w:pPr>
            <w:r w:rsidRPr="00761653">
              <w:rPr>
                <w:szCs w:val="24"/>
              </w:rPr>
              <w:t>Микроорганизм</w:t>
            </w:r>
          </w:p>
        </w:tc>
        <w:tc>
          <w:tcPr>
            <w:tcW w:w="2835" w:type="dxa"/>
            <w:vAlign w:val="center"/>
          </w:tcPr>
          <w:p w14:paraId="639FD36A" w14:textId="77777777" w:rsidR="00B61B7C" w:rsidRPr="00761653" w:rsidRDefault="00B61B7C" w:rsidP="002D3EBF">
            <w:pPr>
              <w:spacing w:line="240" w:lineRule="auto"/>
              <w:ind w:left="57" w:right="57" w:firstLine="0"/>
              <w:jc w:val="center"/>
              <w:rPr>
                <w:szCs w:val="24"/>
              </w:rPr>
            </w:pPr>
            <w:r w:rsidRPr="00761653">
              <w:rPr>
                <w:szCs w:val="24"/>
              </w:rPr>
              <w:t>Препарат</w:t>
            </w:r>
          </w:p>
        </w:tc>
        <w:tc>
          <w:tcPr>
            <w:tcW w:w="4395" w:type="dxa"/>
            <w:vAlign w:val="center"/>
          </w:tcPr>
          <w:p w14:paraId="057E68D2" w14:textId="77777777" w:rsidR="00B61B7C" w:rsidRPr="00761653" w:rsidRDefault="00B61B7C" w:rsidP="002D3EBF">
            <w:pPr>
              <w:spacing w:line="240" w:lineRule="auto"/>
              <w:ind w:left="57" w:right="57" w:firstLine="0"/>
              <w:jc w:val="center"/>
              <w:rPr>
                <w:szCs w:val="24"/>
              </w:rPr>
            </w:pPr>
            <w:r w:rsidRPr="00761653">
              <w:rPr>
                <w:szCs w:val="24"/>
              </w:rPr>
              <w:t>Доза</w:t>
            </w:r>
          </w:p>
        </w:tc>
      </w:tr>
      <w:tr w:rsidR="00B61B7C" w:rsidRPr="00975FC1" w14:paraId="08FA5E93" w14:textId="77777777" w:rsidTr="002D3EBF">
        <w:tc>
          <w:tcPr>
            <w:tcW w:w="2376" w:type="dxa"/>
            <w:vMerge w:val="restart"/>
          </w:tcPr>
          <w:p w14:paraId="43E474C5" w14:textId="77777777" w:rsidR="00B61B7C" w:rsidRPr="00761653" w:rsidRDefault="00B61B7C" w:rsidP="002D3EBF">
            <w:pPr>
              <w:spacing w:line="240" w:lineRule="auto"/>
              <w:ind w:left="57" w:right="57" w:firstLine="0"/>
              <w:rPr>
                <w:szCs w:val="24"/>
                <w:highlight w:val="green"/>
              </w:rPr>
            </w:pPr>
            <w:r w:rsidRPr="00761653">
              <w:rPr>
                <w:i/>
                <w:szCs w:val="24"/>
              </w:rPr>
              <w:t>S. aureus</w:t>
            </w:r>
            <w:r w:rsidRPr="00761653">
              <w:rPr>
                <w:szCs w:val="24"/>
              </w:rPr>
              <w:t>, чувствительные к оксациллину</w:t>
            </w:r>
          </w:p>
        </w:tc>
        <w:tc>
          <w:tcPr>
            <w:tcW w:w="2835" w:type="dxa"/>
          </w:tcPr>
          <w:p w14:paraId="2E609324" w14:textId="77777777" w:rsidR="00B61B7C" w:rsidRPr="00761653" w:rsidRDefault="00B61B7C" w:rsidP="002D3EBF">
            <w:pPr>
              <w:spacing w:line="240" w:lineRule="auto"/>
              <w:ind w:left="57" w:right="57" w:firstLine="0"/>
              <w:rPr>
                <w:szCs w:val="24"/>
              </w:rPr>
            </w:pPr>
            <w:r w:rsidRPr="00761653">
              <w:rPr>
                <w:szCs w:val="24"/>
              </w:rPr>
              <w:t>Оксациллин</w:t>
            </w:r>
          </w:p>
        </w:tc>
        <w:tc>
          <w:tcPr>
            <w:tcW w:w="4395" w:type="dxa"/>
          </w:tcPr>
          <w:p w14:paraId="49F9A34B" w14:textId="77777777" w:rsidR="00B61B7C" w:rsidRPr="00761653" w:rsidRDefault="00B61B7C" w:rsidP="002D3EBF">
            <w:pPr>
              <w:spacing w:line="240" w:lineRule="auto"/>
              <w:ind w:left="57" w:right="57" w:firstLine="0"/>
              <w:rPr>
                <w:szCs w:val="24"/>
              </w:rPr>
            </w:pPr>
            <w:r w:rsidRPr="00761653">
              <w:rPr>
                <w:szCs w:val="24"/>
              </w:rPr>
              <w:t>1-2 г каждые 4 часа, в/в</w:t>
            </w:r>
          </w:p>
        </w:tc>
      </w:tr>
      <w:tr w:rsidR="00B61B7C" w:rsidRPr="00975FC1" w14:paraId="3A11FDD7" w14:textId="77777777" w:rsidTr="002D3EBF">
        <w:tc>
          <w:tcPr>
            <w:tcW w:w="2376" w:type="dxa"/>
            <w:vMerge/>
          </w:tcPr>
          <w:p w14:paraId="080AD737" w14:textId="77777777" w:rsidR="00B61B7C" w:rsidRPr="00761653" w:rsidRDefault="00B61B7C" w:rsidP="002D3EBF">
            <w:pPr>
              <w:spacing w:line="240" w:lineRule="auto"/>
              <w:ind w:left="57" w:right="57" w:firstLine="0"/>
              <w:rPr>
                <w:szCs w:val="24"/>
              </w:rPr>
            </w:pPr>
          </w:p>
        </w:tc>
        <w:tc>
          <w:tcPr>
            <w:tcW w:w="2835" w:type="dxa"/>
          </w:tcPr>
          <w:p w14:paraId="22EF1A18" w14:textId="77777777" w:rsidR="00B61B7C" w:rsidRPr="00761653" w:rsidRDefault="00B61B7C" w:rsidP="002D3EBF">
            <w:pPr>
              <w:spacing w:line="240" w:lineRule="auto"/>
              <w:ind w:left="57" w:right="57" w:firstLine="0"/>
              <w:rPr>
                <w:szCs w:val="24"/>
              </w:rPr>
            </w:pPr>
            <w:r w:rsidRPr="00761653">
              <w:rPr>
                <w:szCs w:val="24"/>
              </w:rPr>
              <w:t>Цефазолин</w:t>
            </w:r>
          </w:p>
        </w:tc>
        <w:tc>
          <w:tcPr>
            <w:tcW w:w="4395" w:type="dxa"/>
          </w:tcPr>
          <w:p w14:paraId="49C8DEA3" w14:textId="77777777" w:rsidR="00B61B7C" w:rsidRPr="00761653" w:rsidRDefault="00B61B7C" w:rsidP="002D3EBF">
            <w:pPr>
              <w:spacing w:line="240" w:lineRule="auto"/>
              <w:ind w:left="57" w:right="57" w:firstLine="0"/>
              <w:rPr>
                <w:szCs w:val="24"/>
              </w:rPr>
            </w:pPr>
            <w:r w:rsidRPr="00761653">
              <w:rPr>
                <w:szCs w:val="24"/>
              </w:rPr>
              <w:t>1-2 г каждые 8 часов (максимальная доза 12 г/сут), в/в</w:t>
            </w:r>
          </w:p>
        </w:tc>
      </w:tr>
      <w:tr w:rsidR="00B61B7C" w:rsidRPr="00265B67" w14:paraId="04D3EBC9" w14:textId="77777777" w:rsidTr="002D3EBF">
        <w:tc>
          <w:tcPr>
            <w:tcW w:w="2376" w:type="dxa"/>
            <w:vMerge/>
          </w:tcPr>
          <w:p w14:paraId="5F43E6CA" w14:textId="77777777" w:rsidR="00B61B7C" w:rsidRPr="00761653" w:rsidRDefault="00B61B7C" w:rsidP="002D3EBF">
            <w:pPr>
              <w:spacing w:line="240" w:lineRule="auto"/>
              <w:ind w:left="57" w:right="57" w:firstLine="0"/>
              <w:rPr>
                <w:szCs w:val="24"/>
              </w:rPr>
            </w:pPr>
          </w:p>
        </w:tc>
        <w:tc>
          <w:tcPr>
            <w:tcW w:w="2835" w:type="dxa"/>
          </w:tcPr>
          <w:p w14:paraId="4AF9AA60" w14:textId="77777777" w:rsidR="00B61B7C" w:rsidRPr="00761653" w:rsidRDefault="00B61B7C" w:rsidP="002D3EBF">
            <w:pPr>
              <w:spacing w:line="240" w:lineRule="auto"/>
              <w:ind w:left="57" w:right="57" w:firstLine="0"/>
              <w:rPr>
                <w:szCs w:val="24"/>
              </w:rPr>
            </w:pPr>
            <w:r w:rsidRPr="00761653">
              <w:rPr>
                <w:szCs w:val="24"/>
              </w:rPr>
              <w:t>Цефтаролин</w:t>
            </w:r>
          </w:p>
        </w:tc>
        <w:tc>
          <w:tcPr>
            <w:tcW w:w="4395" w:type="dxa"/>
          </w:tcPr>
          <w:p w14:paraId="6709FA4B" w14:textId="77777777" w:rsidR="00B61B7C" w:rsidRPr="00761653" w:rsidRDefault="00B61B7C" w:rsidP="002D3EBF">
            <w:pPr>
              <w:spacing w:line="240" w:lineRule="auto"/>
              <w:ind w:left="57" w:right="57" w:firstLine="0"/>
              <w:rPr>
                <w:szCs w:val="24"/>
              </w:rPr>
            </w:pPr>
            <w:r w:rsidRPr="00761653">
              <w:rPr>
                <w:szCs w:val="24"/>
              </w:rPr>
              <w:t>600 мг каждые 12 часов, инфузия в течение 5-60 минут</w:t>
            </w:r>
          </w:p>
        </w:tc>
      </w:tr>
      <w:tr w:rsidR="00B61B7C" w:rsidRPr="00265B67" w14:paraId="007BBCF2" w14:textId="77777777" w:rsidTr="002D3EBF">
        <w:tc>
          <w:tcPr>
            <w:tcW w:w="2376" w:type="dxa"/>
            <w:vMerge/>
          </w:tcPr>
          <w:p w14:paraId="51093E02" w14:textId="77777777" w:rsidR="00B61B7C" w:rsidRPr="00761653" w:rsidRDefault="00B61B7C" w:rsidP="002D3EBF">
            <w:pPr>
              <w:spacing w:line="240" w:lineRule="auto"/>
              <w:ind w:left="57" w:right="57" w:firstLine="0"/>
              <w:rPr>
                <w:szCs w:val="24"/>
                <w:highlight w:val="yellow"/>
              </w:rPr>
            </w:pPr>
          </w:p>
        </w:tc>
        <w:tc>
          <w:tcPr>
            <w:tcW w:w="2835" w:type="dxa"/>
          </w:tcPr>
          <w:p w14:paraId="6A9CB135" w14:textId="77777777" w:rsidR="00B61B7C" w:rsidRPr="00761653" w:rsidRDefault="00B61B7C" w:rsidP="002D3EBF">
            <w:pPr>
              <w:spacing w:line="240" w:lineRule="auto"/>
              <w:ind w:left="57" w:right="57" w:firstLine="0"/>
              <w:rPr>
                <w:szCs w:val="24"/>
              </w:rPr>
            </w:pPr>
            <w:r w:rsidRPr="00761653">
              <w:rPr>
                <w:szCs w:val="24"/>
              </w:rPr>
              <w:t>Ванкомицин</w:t>
            </w:r>
          </w:p>
        </w:tc>
        <w:tc>
          <w:tcPr>
            <w:tcW w:w="4395" w:type="dxa"/>
          </w:tcPr>
          <w:p w14:paraId="18474055" w14:textId="77777777" w:rsidR="00B61B7C" w:rsidRPr="00761653" w:rsidRDefault="00B61B7C" w:rsidP="002D3EBF">
            <w:pPr>
              <w:spacing w:line="240" w:lineRule="auto"/>
              <w:ind w:left="57" w:right="57" w:firstLine="0"/>
              <w:rPr>
                <w:szCs w:val="24"/>
              </w:rPr>
            </w:pPr>
            <w:r w:rsidRPr="00761653">
              <w:rPr>
                <w:szCs w:val="24"/>
              </w:rPr>
              <w:t xml:space="preserve">Нагрузочная доза 25-30 мг/кг, затем 15-20 мг/кг каждые 8-12 часов (разовая доза не должна превышать 2 г), инфузия в течение 1,5-2 часов </w:t>
            </w:r>
          </w:p>
        </w:tc>
      </w:tr>
      <w:tr w:rsidR="00B61B7C" w:rsidRPr="00265B67" w14:paraId="656A7817" w14:textId="77777777" w:rsidTr="002D3EBF">
        <w:tc>
          <w:tcPr>
            <w:tcW w:w="2376" w:type="dxa"/>
            <w:vMerge w:val="restart"/>
          </w:tcPr>
          <w:p w14:paraId="260C4F01" w14:textId="77777777" w:rsidR="00B61B7C" w:rsidRPr="00761653" w:rsidRDefault="00B61B7C" w:rsidP="002D3EBF">
            <w:pPr>
              <w:spacing w:line="240" w:lineRule="auto"/>
              <w:ind w:left="57" w:right="57" w:firstLine="0"/>
              <w:rPr>
                <w:szCs w:val="24"/>
              </w:rPr>
            </w:pPr>
            <w:r w:rsidRPr="00761653">
              <w:rPr>
                <w:i/>
                <w:szCs w:val="24"/>
              </w:rPr>
              <w:t>S. aureus,</w:t>
            </w:r>
            <w:r w:rsidRPr="00761653">
              <w:rPr>
                <w:szCs w:val="24"/>
              </w:rPr>
              <w:t xml:space="preserve"> устойчивые к оксациллину</w:t>
            </w:r>
          </w:p>
        </w:tc>
        <w:tc>
          <w:tcPr>
            <w:tcW w:w="2835" w:type="dxa"/>
          </w:tcPr>
          <w:p w14:paraId="413FB0F5" w14:textId="77777777" w:rsidR="00B61B7C" w:rsidRPr="00761653" w:rsidRDefault="00B61B7C" w:rsidP="002D3EBF">
            <w:pPr>
              <w:spacing w:line="240" w:lineRule="auto"/>
              <w:ind w:left="57" w:right="57" w:firstLine="0"/>
              <w:rPr>
                <w:szCs w:val="24"/>
              </w:rPr>
            </w:pPr>
            <w:r w:rsidRPr="00761653">
              <w:rPr>
                <w:szCs w:val="24"/>
              </w:rPr>
              <w:t>Ванкомицин</w:t>
            </w:r>
          </w:p>
        </w:tc>
        <w:tc>
          <w:tcPr>
            <w:tcW w:w="4395" w:type="dxa"/>
          </w:tcPr>
          <w:p w14:paraId="437472F2" w14:textId="77777777" w:rsidR="00B61B7C" w:rsidRPr="00761653" w:rsidRDefault="00B61B7C" w:rsidP="002D3EBF">
            <w:pPr>
              <w:spacing w:line="240" w:lineRule="auto"/>
              <w:ind w:left="57" w:right="57" w:firstLine="0"/>
              <w:rPr>
                <w:szCs w:val="24"/>
              </w:rPr>
            </w:pPr>
            <w:r w:rsidRPr="00761653">
              <w:rPr>
                <w:szCs w:val="24"/>
              </w:rPr>
              <w:t xml:space="preserve">Нагрузочная доза 25-30 мг/кг, затем 15-20 мг/кг каждые 8-12 часов (разовая доза не должна превышать 2 г), инфузия в течение 1,5-2 часов (не рекомендован к назначению при инфекциях, вызванных </w:t>
            </w:r>
            <w:r w:rsidRPr="00761653">
              <w:rPr>
                <w:i/>
                <w:szCs w:val="24"/>
              </w:rPr>
              <w:t>S. aureus</w:t>
            </w:r>
            <w:r w:rsidRPr="00761653">
              <w:rPr>
                <w:szCs w:val="24"/>
              </w:rPr>
              <w:t xml:space="preserve"> с МПК ванкомицина &gt; 1 мкг/мл ввиду низкой клинической эффективности)</w:t>
            </w:r>
          </w:p>
        </w:tc>
      </w:tr>
      <w:tr w:rsidR="00B61B7C" w:rsidRPr="00975FC1" w14:paraId="503BF625" w14:textId="77777777" w:rsidTr="002D3EBF">
        <w:tc>
          <w:tcPr>
            <w:tcW w:w="2376" w:type="dxa"/>
            <w:vMerge/>
          </w:tcPr>
          <w:p w14:paraId="408E03D1" w14:textId="77777777" w:rsidR="00B61B7C" w:rsidRPr="00761653" w:rsidRDefault="00B61B7C" w:rsidP="002D3EBF">
            <w:pPr>
              <w:spacing w:line="240" w:lineRule="auto"/>
              <w:ind w:left="57" w:right="57" w:firstLine="0"/>
              <w:rPr>
                <w:szCs w:val="24"/>
              </w:rPr>
            </w:pPr>
          </w:p>
        </w:tc>
        <w:tc>
          <w:tcPr>
            <w:tcW w:w="2835" w:type="dxa"/>
          </w:tcPr>
          <w:p w14:paraId="23352D43" w14:textId="77777777" w:rsidR="00B61B7C" w:rsidRPr="00761653" w:rsidRDefault="00B61B7C" w:rsidP="002D3EBF">
            <w:pPr>
              <w:spacing w:line="240" w:lineRule="auto"/>
              <w:ind w:left="57" w:right="57" w:firstLine="0"/>
              <w:rPr>
                <w:szCs w:val="24"/>
              </w:rPr>
            </w:pPr>
            <w:r w:rsidRPr="00761653">
              <w:rPr>
                <w:szCs w:val="24"/>
              </w:rPr>
              <w:t>Линезолид</w:t>
            </w:r>
          </w:p>
        </w:tc>
        <w:tc>
          <w:tcPr>
            <w:tcW w:w="4395" w:type="dxa"/>
          </w:tcPr>
          <w:p w14:paraId="4A162FFE" w14:textId="77777777" w:rsidR="00B61B7C" w:rsidRPr="00761653" w:rsidRDefault="00B61B7C" w:rsidP="002D3EBF">
            <w:pPr>
              <w:spacing w:line="240" w:lineRule="auto"/>
              <w:ind w:left="57" w:right="57" w:firstLine="0"/>
              <w:rPr>
                <w:szCs w:val="24"/>
              </w:rPr>
            </w:pPr>
            <w:r w:rsidRPr="00761653">
              <w:rPr>
                <w:szCs w:val="24"/>
              </w:rPr>
              <w:t>600 мг каждые 12 часов, в/в или внутрь</w:t>
            </w:r>
          </w:p>
        </w:tc>
      </w:tr>
      <w:tr w:rsidR="00B61B7C" w:rsidRPr="00975FC1" w14:paraId="45D66122" w14:textId="77777777" w:rsidTr="002D3EBF">
        <w:tc>
          <w:tcPr>
            <w:tcW w:w="2376" w:type="dxa"/>
            <w:vMerge/>
          </w:tcPr>
          <w:p w14:paraId="275EBF3C" w14:textId="77777777" w:rsidR="00B61B7C" w:rsidRPr="00761653" w:rsidRDefault="00B61B7C" w:rsidP="002D3EBF">
            <w:pPr>
              <w:spacing w:line="240" w:lineRule="auto"/>
              <w:ind w:left="57" w:right="57" w:firstLine="0"/>
              <w:rPr>
                <w:szCs w:val="24"/>
              </w:rPr>
            </w:pPr>
          </w:p>
        </w:tc>
        <w:tc>
          <w:tcPr>
            <w:tcW w:w="2835" w:type="dxa"/>
          </w:tcPr>
          <w:p w14:paraId="78DB39CF" w14:textId="77777777" w:rsidR="00B61B7C" w:rsidRPr="00761653" w:rsidRDefault="00B61B7C" w:rsidP="002D3EBF">
            <w:pPr>
              <w:spacing w:line="240" w:lineRule="auto"/>
              <w:ind w:left="57" w:right="57" w:firstLine="0"/>
              <w:rPr>
                <w:szCs w:val="24"/>
              </w:rPr>
            </w:pPr>
            <w:r w:rsidRPr="00761653">
              <w:rPr>
                <w:szCs w:val="24"/>
              </w:rPr>
              <w:t>Тедизолид</w:t>
            </w:r>
          </w:p>
        </w:tc>
        <w:tc>
          <w:tcPr>
            <w:tcW w:w="4395" w:type="dxa"/>
          </w:tcPr>
          <w:p w14:paraId="0D45B250" w14:textId="77777777" w:rsidR="00B61B7C" w:rsidRPr="00761653" w:rsidRDefault="00B61B7C" w:rsidP="002D3EBF">
            <w:pPr>
              <w:spacing w:line="240" w:lineRule="auto"/>
              <w:ind w:left="57" w:right="57" w:firstLine="0"/>
              <w:rPr>
                <w:szCs w:val="24"/>
              </w:rPr>
            </w:pPr>
            <w:r w:rsidRPr="00761653">
              <w:rPr>
                <w:szCs w:val="24"/>
              </w:rPr>
              <w:t>200 мг каждые 24 часа, внутрь или в/в инфузия в течение 1 часа (не применяют для лечения инфекций кровотока и пневмонии)</w:t>
            </w:r>
          </w:p>
        </w:tc>
      </w:tr>
      <w:tr w:rsidR="00B61B7C" w:rsidRPr="00265B67" w14:paraId="304BC7D6" w14:textId="77777777" w:rsidTr="002D3EBF">
        <w:tc>
          <w:tcPr>
            <w:tcW w:w="2376" w:type="dxa"/>
            <w:vMerge/>
          </w:tcPr>
          <w:p w14:paraId="4C59266C" w14:textId="77777777" w:rsidR="00B61B7C" w:rsidRPr="00761653" w:rsidRDefault="00B61B7C" w:rsidP="002D3EBF">
            <w:pPr>
              <w:spacing w:line="240" w:lineRule="auto"/>
              <w:ind w:left="57" w:right="57" w:firstLine="0"/>
              <w:rPr>
                <w:szCs w:val="24"/>
              </w:rPr>
            </w:pPr>
          </w:p>
        </w:tc>
        <w:tc>
          <w:tcPr>
            <w:tcW w:w="2835" w:type="dxa"/>
          </w:tcPr>
          <w:p w14:paraId="1323EB9B" w14:textId="77777777" w:rsidR="00B61B7C" w:rsidRPr="00761653" w:rsidRDefault="00B61B7C" w:rsidP="002D3EBF">
            <w:pPr>
              <w:spacing w:line="240" w:lineRule="auto"/>
              <w:ind w:left="57" w:right="57" w:firstLine="0"/>
              <w:rPr>
                <w:szCs w:val="24"/>
              </w:rPr>
            </w:pPr>
            <w:r w:rsidRPr="00761653">
              <w:rPr>
                <w:szCs w:val="24"/>
              </w:rPr>
              <w:t>Даптомицин</w:t>
            </w:r>
          </w:p>
        </w:tc>
        <w:tc>
          <w:tcPr>
            <w:tcW w:w="4395" w:type="dxa"/>
          </w:tcPr>
          <w:p w14:paraId="64126223" w14:textId="77777777" w:rsidR="00B61B7C" w:rsidRPr="00761653" w:rsidRDefault="00B61B7C" w:rsidP="002D3EBF">
            <w:pPr>
              <w:spacing w:line="240" w:lineRule="auto"/>
              <w:ind w:left="57" w:right="57" w:firstLine="0"/>
              <w:rPr>
                <w:szCs w:val="24"/>
              </w:rPr>
            </w:pPr>
            <w:r w:rsidRPr="00761653">
              <w:rPr>
                <w:szCs w:val="24"/>
              </w:rPr>
              <w:t>10-12 мг/кг каждые 24 часа, инфузия в течение 30 минут (препарат не применяют для лечения пневмонии)</w:t>
            </w:r>
          </w:p>
        </w:tc>
      </w:tr>
      <w:tr w:rsidR="00B61B7C" w:rsidRPr="00265B67" w14:paraId="4627236C" w14:textId="77777777" w:rsidTr="002D3EBF">
        <w:tc>
          <w:tcPr>
            <w:tcW w:w="2376" w:type="dxa"/>
            <w:vMerge/>
          </w:tcPr>
          <w:p w14:paraId="663E1E87" w14:textId="77777777" w:rsidR="00B61B7C" w:rsidRPr="00761653" w:rsidRDefault="00B61B7C" w:rsidP="002D3EBF">
            <w:pPr>
              <w:spacing w:line="240" w:lineRule="auto"/>
              <w:ind w:left="57" w:right="57" w:firstLine="0"/>
              <w:rPr>
                <w:szCs w:val="24"/>
              </w:rPr>
            </w:pPr>
          </w:p>
        </w:tc>
        <w:tc>
          <w:tcPr>
            <w:tcW w:w="2835" w:type="dxa"/>
          </w:tcPr>
          <w:p w14:paraId="78260D50" w14:textId="77777777" w:rsidR="00B61B7C" w:rsidRPr="00761653" w:rsidRDefault="00B61B7C" w:rsidP="002D3EBF">
            <w:pPr>
              <w:spacing w:line="240" w:lineRule="auto"/>
              <w:ind w:left="57" w:right="57" w:firstLine="0"/>
              <w:rPr>
                <w:szCs w:val="24"/>
              </w:rPr>
            </w:pPr>
            <w:r w:rsidRPr="00761653">
              <w:rPr>
                <w:szCs w:val="24"/>
              </w:rPr>
              <w:t>Телаванцин</w:t>
            </w:r>
          </w:p>
        </w:tc>
        <w:tc>
          <w:tcPr>
            <w:tcW w:w="4395" w:type="dxa"/>
          </w:tcPr>
          <w:p w14:paraId="66D9A1F5" w14:textId="77777777" w:rsidR="00B61B7C" w:rsidRPr="00761653" w:rsidRDefault="00B61B7C" w:rsidP="002D3EBF">
            <w:pPr>
              <w:spacing w:line="240" w:lineRule="auto"/>
              <w:ind w:left="57" w:right="57" w:firstLine="0"/>
              <w:rPr>
                <w:szCs w:val="24"/>
              </w:rPr>
            </w:pPr>
            <w:r w:rsidRPr="00761653">
              <w:rPr>
                <w:szCs w:val="24"/>
              </w:rPr>
              <w:t>10 мг/кг каждые 24 часа, инфузия в течение 1 часа</w:t>
            </w:r>
          </w:p>
        </w:tc>
      </w:tr>
      <w:tr w:rsidR="00B61B7C" w:rsidRPr="00265B67" w14:paraId="78BACE4F" w14:textId="77777777" w:rsidTr="002D3EBF">
        <w:tc>
          <w:tcPr>
            <w:tcW w:w="2376" w:type="dxa"/>
            <w:vMerge/>
          </w:tcPr>
          <w:p w14:paraId="6686C3E5" w14:textId="77777777" w:rsidR="00B61B7C" w:rsidRPr="00761653" w:rsidRDefault="00B61B7C" w:rsidP="002D3EBF">
            <w:pPr>
              <w:spacing w:line="240" w:lineRule="auto"/>
              <w:ind w:left="57" w:right="57" w:firstLine="0"/>
              <w:rPr>
                <w:szCs w:val="24"/>
              </w:rPr>
            </w:pPr>
          </w:p>
        </w:tc>
        <w:tc>
          <w:tcPr>
            <w:tcW w:w="2835" w:type="dxa"/>
          </w:tcPr>
          <w:p w14:paraId="5B1603FA" w14:textId="77777777" w:rsidR="00B61B7C" w:rsidRPr="00761653" w:rsidRDefault="00B61B7C" w:rsidP="002D3EBF">
            <w:pPr>
              <w:spacing w:line="240" w:lineRule="auto"/>
              <w:ind w:left="57" w:right="57" w:firstLine="0"/>
              <w:rPr>
                <w:szCs w:val="24"/>
              </w:rPr>
            </w:pPr>
            <w:r w:rsidRPr="00761653">
              <w:rPr>
                <w:szCs w:val="24"/>
              </w:rPr>
              <w:t>Далбаванцин</w:t>
            </w:r>
          </w:p>
        </w:tc>
        <w:tc>
          <w:tcPr>
            <w:tcW w:w="4395" w:type="dxa"/>
          </w:tcPr>
          <w:p w14:paraId="76A37B36" w14:textId="77777777" w:rsidR="00B61B7C" w:rsidRPr="00761653" w:rsidRDefault="00B61B7C" w:rsidP="002D3EBF">
            <w:pPr>
              <w:spacing w:line="240" w:lineRule="auto"/>
              <w:ind w:left="57" w:right="57" w:firstLine="0"/>
              <w:rPr>
                <w:szCs w:val="24"/>
              </w:rPr>
            </w:pPr>
            <w:r w:rsidRPr="00761653">
              <w:rPr>
                <w:szCs w:val="24"/>
              </w:rPr>
              <w:t>1000 мг, инфузия в течение 30 мин, затем через неделю 500мг , инфузия в течение 30 мин</w:t>
            </w:r>
          </w:p>
        </w:tc>
      </w:tr>
      <w:tr w:rsidR="00B61B7C" w:rsidRPr="00975FC1" w14:paraId="5275F923" w14:textId="77777777" w:rsidTr="002D3EBF">
        <w:tc>
          <w:tcPr>
            <w:tcW w:w="2376" w:type="dxa"/>
            <w:vMerge/>
          </w:tcPr>
          <w:p w14:paraId="3189AB1B" w14:textId="77777777" w:rsidR="00B61B7C" w:rsidRPr="00761653" w:rsidRDefault="00B61B7C" w:rsidP="002D3EBF">
            <w:pPr>
              <w:spacing w:line="240" w:lineRule="auto"/>
              <w:ind w:left="57" w:right="57" w:firstLine="0"/>
              <w:rPr>
                <w:szCs w:val="24"/>
              </w:rPr>
            </w:pPr>
          </w:p>
        </w:tc>
        <w:tc>
          <w:tcPr>
            <w:tcW w:w="2835" w:type="dxa"/>
          </w:tcPr>
          <w:p w14:paraId="0975EEC6" w14:textId="77777777" w:rsidR="00B61B7C" w:rsidRPr="00761653" w:rsidRDefault="00B61B7C" w:rsidP="002D3EBF">
            <w:pPr>
              <w:spacing w:line="240" w:lineRule="auto"/>
              <w:ind w:left="57" w:right="57" w:firstLine="0"/>
              <w:rPr>
                <w:szCs w:val="24"/>
              </w:rPr>
            </w:pPr>
            <w:r w:rsidRPr="00761653">
              <w:rPr>
                <w:szCs w:val="24"/>
              </w:rPr>
              <w:t>Тигециклин</w:t>
            </w:r>
          </w:p>
        </w:tc>
        <w:tc>
          <w:tcPr>
            <w:tcW w:w="4395" w:type="dxa"/>
          </w:tcPr>
          <w:p w14:paraId="0C55CBBE" w14:textId="77777777" w:rsidR="00B61B7C" w:rsidRPr="00761653" w:rsidRDefault="00B61B7C" w:rsidP="002D3EBF">
            <w:pPr>
              <w:spacing w:line="240" w:lineRule="auto"/>
              <w:ind w:left="57" w:right="57" w:firstLine="0"/>
              <w:rPr>
                <w:szCs w:val="24"/>
              </w:rPr>
            </w:pPr>
            <w:r w:rsidRPr="00761653">
              <w:rPr>
                <w:szCs w:val="24"/>
              </w:rPr>
              <w:t>Нагрузочная доза 100 мг, затем по 50 мг каждые 12 часов (не показан для лечения инфекций кровотока), в/в (применяют при интрабдоминальной инфекции, при инфекции кожи и мягких тканей)</w:t>
            </w:r>
          </w:p>
        </w:tc>
      </w:tr>
      <w:tr w:rsidR="00B61B7C" w:rsidRPr="00265B67" w14:paraId="4AB32F5B" w14:textId="77777777" w:rsidTr="002D3EBF">
        <w:tc>
          <w:tcPr>
            <w:tcW w:w="2376" w:type="dxa"/>
            <w:vMerge/>
          </w:tcPr>
          <w:p w14:paraId="12E387A3" w14:textId="77777777" w:rsidR="00B61B7C" w:rsidRPr="00761653" w:rsidRDefault="00B61B7C" w:rsidP="002D3EBF">
            <w:pPr>
              <w:spacing w:line="240" w:lineRule="auto"/>
              <w:ind w:left="57" w:right="57" w:firstLine="0"/>
              <w:rPr>
                <w:szCs w:val="24"/>
              </w:rPr>
            </w:pPr>
          </w:p>
        </w:tc>
        <w:tc>
          <w:tcPr>
            <w:tcW w:w="2835" w:type="dxa"/>
          </w:tcPr>
          <w:p w14:paraId="3DD73C7A" w14:textId="77777777" w:rsidR="00B61B7C" w:rsidRPr="00761653" w:rsidRDefault="00B61B7C" w:rsidP="002D3EBF">
            <w:pPr>
              <w:spacing w:line="240" w:lineRule="auto"/>
              <w:ind w:left="57" w:right="57" w:firstLine="0"/>
              <w:rPr>
                <w:szCs w:val="24"/>
              </w:rPr>
            </w:pPr>
            <w:r w:rsidRPr="00761653">
              <w:rPr>
                <w:szCs w:val="24"/>
              </w:rPr>
              <w:t>Цефтаролин</w:t>
            </w:r>
          </w:p>
        </w:tc>
        <w:tc>
          <w:tcPr>
            <w:tcW w:w="4395" w:type="dxa"/>
          </w:tcPr>
          <w:p w14:paraId="0537DA02" w14:textId="77777777" w:rsidR="00B61B7C" w:rsidRPr="00761653" w:rsidRDefault="00B61B7C" w:rsidP="002D3EBF">
            <w:pPr>
              <w:spacing w:line="240" w:lineRule="auto"/>
              <w:ind w:left="57" w:right="57" w:firstLine="0"/>
              <w:rPr>
                <w:szCs w:val="24"/>
              </w:rPr>
            </w:pPr>
            <w:r w:rsidRPr="00761653">
              <w:rPr>
                <w:szCs w:val="24"/>
              </w:rPr>
              <w:t>600 мг каждые 12 часов, инфузия в течение 5-60 минут</w:t>
            </w:r>
          </w:p>
        </w:tc>
      </w:tr>
      <w:tr w:rsidR="00B61B7C" w:rsidRPr="00265B67" w14:paraId="7A733F20" w14:textId="77777777" w:rsidTr="002D3EBF">
        <w:tc>
          <w:tcPr>
            <w:tcW w:w="2376" w:type="dxa"/>
          </w:tcPr>
          <w:p w14:paraId="572C8B7A" w14:textId="77777777" w:rsidR="00B61B7C" w:rsidRPr="00761653" w:rsidRDefault="00B61B7C" w:rsidP="002D3EBF">
            <w:pPr>
              <w:spacing w:line="240" w:lineRule="auto"/>
              <w:ind w:left="57" w:right="57" w:firstLine="0"/>
              <w:rPr>
                <w:szCs w:val="24"/>
              </w:rPr>
            </w:pPr>
            <w:r w:rsidRPr="00761653">
              <w:rPr>
                <w:i/>
                <w:szCs w:val="24"/>
              </w:rPr>
              <w:t xml:space="preserve">E. faecium, </w:t>
            </w:r>
            <w:r w:rsidRPr="00761653">
              <w:rPr>
                <w:szCs w:val="24"/>
              </w:rPr>
              <w:t>чувствительные к ванкомицину</w:t>
            </w:r>
          </w:p>
        </w:tc>
        <w:tc>
          <w:tcPr>
            <w:tcW w:w="2835" w:type="dxa"/>
          </w:tcPr>
          <w:p w14:paraId="62EFA3DB" w14:textId="77777777" w:rsidR="00B61B7C" w:rsidRPr="00761653" w:rsidRDefault="00B61B7C" w:rsidP="002D3EBF">
            <w:pPr>
              <w:spacing w:line="240" w:lineRule="auto"/>
              <w:ind w:left="57" w:right="57" w:firstLine="0"/>
              <w:rPr>
                <w:szCs w:val="24"/>
              </w:rPr>
            </w:pPr>
            <w:r w:rsidRPr="00761653">
              <w:rPr>
                <w:szCs w:val="24"/>
              </w:rPr>
              <w:t>Ванкомицин</w:t>
            </w:r>
          </w:p>
        </w:tc>
        <w:tc>
          <w:tcPr>
            <w:tcW w:w="4395" w:type="dxa"/>
          </w:tcPr>
          <w:p w14:paraId="1E6DEEEA" w14:textId="77777777" w:rsidR="00B61B7C" w:rsidRPr="00761653" w:rsidRDefault="00B61B7C" w:rsidP="002D3EBF">
            <w:pPr>
              <w:spacing w:line="240" w:lineRule="auto"/>
              <w:ind w:left="57" w:right="57" w:firstLine="0"/>
              <w:rPr>
                <w:szCs w:val="24"/>
              </w:rPr>
            </w:pPr>
            <w:r w:rsidRPr="00761653">
              <w:rPr>
                <w:szCs w:val="24"/>
              </w:rPr>
              <w:t>Нагрузочная доза 25-30 мг/кг, затем 15-20 мг/кг каждые 8-12 часов, (разовая доза не должна превышать 2 г), инфузия в течение 1,5-2 часов</w:t>
            </w:r>
          </w:p>
        </w:tc>
      </w:tr>
      <w:tr w:rsidR="00B61B7C" w:rsidRPr="00265B67" w14:paraId="3D631ACF" w14:textId="77777777" w:rsidTr="002D3EBF">
        <w:tc>
          <w:tcPr>
            <w:tcW w:w="2376" w:type="dxa"/>
            <w:vMerge w:val="restart"/>
          </w:tcPr>
          <w:p w14:paraId="3249B0B4" w14:textId="77777777" w:rsidR="00B61B7C" w:rsidRPr="00761653" w:rsidRDefault="00B61B7C" w:rsidP="002D3EBF">
            <w:pPr>
              <w:spacing w:line="240" w:lineRule="auto"/>
              <w:ind w:left="57" w:right="57" w:firstLine="0"/>
              <w:rPr>
                <w:szCs w:val="24"/>
              </w:rPr>
            </w:pPr>
            <w:r w:rsidRPr="00761653">
              <w:rPr>
                <w:i/>
                <w:szCs w:val="24"/>
              </w:rPr>
              <w:t>E.faecium,</w:t>
            </w:r>
            <w:r w:rsidRPr="00761653">
              <w:rPr>
                <w:szCs w:val="24"/>
              </w:rPr>
              <w:t xml:space="preserve"> устойчивые к ванкомицину</w:t>
            </w:r>
          </w:p>
        </w:tc>
        <w:tc>
          <w:tcPr>
            <w:tcW w:w="2835" w:type="dxa"/>
          </w:tcPr>
          <w:p w14:paraId="500CA974" w14:textId="77777777" w:rsidR="00B61B7C" w:rsidRPr="00761653" w:rsidRDefault="00B61B7C" w:rsidP="002D3EBF">
            <w:pPr>
              <w:spacing w:line="240" w:lineRule="auto"/>
              <w:ind w:left="57" w:right="57" w:firstLine="0"/>
              <w:rPr>
                <w:szCs w:val="24"/>
              </w:rPr>
            </w:pPr>
            <w:r w:rsidRPr="00761653">
              <w:rPr>
                <w:szCs w:val="24"/>
              </w:rPr>
              <w:t>Даптомицин</w:t>
            </w:r>
          </w:p>
        </w:tc>
        <w:tc>
          <w:tcPr>
            <w:tcW w:w="4395" w:type="dxa"/>
          </w:tcPr>
          <w:p w14:paraId="10CDAC99" w14:textId="77777777" w:rsidR="00B61B7C" w:rsidRPr="00761653" w:rsidRDefault="00B61B7C" w:rsidP="002D3EBF">
            <w:pPr>
              <w:spacing w:line="240" w:lineRule="auto"/>
              <w:ind w:left="57" w:right="57" w:firstLine="0"/>
              <w:rPr>
                <w:szCs w:val="24"/>
              </w:rPr>
            </w:pPr>
            <w:r w:rsidRPr="00761653">
              <w:rPr>
                <w:szCs w:val="24"/>
              </w:rPr>
              <w:t>10-12 мг/кг каждые 24 часа, инфузия в течение 30 мин</w:t>
            </w:r>
          </w:p>
        </w:tc>
      </w:tr>
      <w:tr w:rsidR="00B61B7C" w:rsidRPr="00975FC1" w14:paraId="6976D3DF" w14:textId="77777777" w:rsidTr="002D3EBF">
        <w:tc>
          <w:tcPr>
            <w:tcW w:w="2376" w:type="dxa"/>
            <w:vMerge/>
          </w:tcPr>
          <w:p w14:paraId="1E085E01" w14:textId="77777777" w:rsidR="00B61B7C" w:rsidRPr="00761653" w:rsidRDefault="00B61B7C" w:rsidP="002D3EBF">
            <w:pPr>
              <w:spacing w:line="240" w:lineRule="auto"/>
              <w:ind w:left="57" w:right="57" w:firstLine="0"/>
              <w:rPr>
                <w:szCs w:val="24"/>
              </w:rPr>
            </w:pPr>
          </w:p>
        </w:tc>
        <w:tc>
          <w:tcPr>
            <w:tcW w:w="2835" w:type="dxa"/>
          </w:tcPr>
          <w:p w14:paraId="420B07EE" w14:textId="77777777" w:rsidR="00B61B7C" w:rsidRPr="00761653" w:rsidRDefault="00B61B7C" w:rsidP="002D3EBF">
            <w:pPr>
              <w:spacing w:line="240" w:lineRule="auto"/>
              <w:ind w:left="57" w:right="57" w:firstLine="0"/>
              <w:rPr>
                <w:szCs w:val="24"/>
              </w:rPr>
            </w:pPr>
            <w:r w:rsidRPr="00761653">
              <w:rPr>
                <w:szCs w:val="24"/>
              </w:rPr>
              <w:t>Линезолид</w:t>
            </w:r>
          </w:p>
        </w:tc>
        <w:tc>
          <w:tcPr>
            <w:tcW w:w="4395" w:type="dxa"/>
          </w:tcPr>
          <w:p w14:paraId="3C3C1ED0" w14:textId="77777777" w:rsidR="00B61B7C" w:rsidRPr="00761653" w:rsidRDefault="00B61B7C" w:rsidP="002D3EBF">
            <w:pPr>
              <w:spacing w:line="240" w:lineRule="auto"/>
              <w:ind w:left="57" w:right="57" w:firstLine="0"/>
              <w:rPr>
                <w:szCs w:val="24"/>
              </w:rPr>
            </w:pPr>
            <w:r w:rsidRPr="00761653">
              <w:rPr>
                <w:szCs w:val="24"/>
              </w:rPr>
              <w:t>600 мг каждые 12 часов, в/в или внутрь (следует применять при инфекциях, вызванных штаммами с МПК даптомицина &gt; 4 мкг/мл)</w:t>
            </w:r>
          </w:p>
        </w:tc>
      </w:tr>
      <w:tr w:rsidR="00B61B7C" w:rsidRPr="00975FC1" w14:paraId="3A38C4EC" w14:textId="77777777" w:rsidTr="002D3EBF">
        <w:tc>
          <w:tcPr>
            <w:tcW w:w="2376" w:type="dxa"/>
            <w:vMerge/>
          </w:tcPr>
          <w:p w14:paraId="0EAB08B4" w14:textId="77777777" w:rsidR="00B61B7C" w:rsidRPr="00761653" w:rsidRDefault="00B61B7C" w:rsidP="002D3EBF">
            <w:pPr>
              <w:spacing w:line="240" w:lineRule="auto"/>
              <w:ind w:left="57" w:right="57" w:firstLine="0"/>
              <w:rPr>
                <w:szCs w:val="24"/>
              </w:rPr>
            </w:pPr>
          </w:p>
        </w:tc>
        <w:tc>
          <w:tcPr>
            <w:tcW w:w="2835" w:type="dxa"/>
          </w:tcPr>
          <w:p w14:paraId="52798A13" w14:textId="77777777" w:rsidR="00B61B7C" w:rsidRPr="00761653" w:rsidRDefault="00B61B7C" w:rsidP="002D3EBF">
            <w:pPr>
              <w:spacing w:line="240" w:lineRule="auto"/>
              <w:ind w:left="57" w:right="57" w:firstLine="0"/>
              <w:rPr>
                <w:szCs w:val="24"/>
              </w:rPr>
            </w:pPr>
            <w:r w:rsidRPr="00761653">
              <w:rPr>
                <w:szCs w:val="24"/>
              </w:rPr>
              <w:t>Тедизолид</w:t>
            </w:r>
          </w:p>
        </w:tc>
        <w:tc>
          <w:tcPr>
            <w:tcW w:w="4395" w:type="dxa"/>
          </w:tcPr>
          <w:p w14:paraId="1BB2ECF2" w14:textId="77777777" w:rsidR="00B61B7C" w:rsidRPr="00761653" w:rsidRDefault="00B61B7C" w:rsidP="002D3EBF">
            <w:pPr>
              <w:spacing w:line="240" w:lineRule="auto"/>
              <w:ind w:left="57" w:right="57" w:firstLine="0"/>
              <w:rPr>
                <w:szCs w:val="24"/>
              </w:rPr>
            </w:pPr>
            <w:r w:rsidRPr="00761653">
              <w:rPr>
                <w:szCs w:val="24"/>
              </w:rPr>
              <w:t>200 мг каждые 24 часа, внутрь или в/в инфузия в течение 1 часа (не применяют в лечении инфекций кровотока и пневмонии)</w:t>
            </w:r>
          </w:p>
        </w:tc>
      </w:tr>
      <w:tr w:rsidR="00B61B7C" w:rsidRPr="00265B67" w14:paraId="0650DBB0" w14:textId="77777777" w:rsidTr="002D3EBF">
        <w:tc>
          <w:tcPr>
            <w:tcW w:w="2376" w:type="dxa"/>
            <w:vMerge/>
          </w:tcPr>
          <w:p w14:paraId="2EE776BD" w14:textId="77777777" w:rsidR="00B61B7C" w:rsidRPr="00761653" w:rsidRDefault="00B61B7C" w:rsidP="002D3EBF">
            <w:pPr>
              <w:spacing w:line="240" w:lineRule="auto"/>
              <w:ind w:left="57" w:right="57" w:firstLine="0"/>
              <w:rPr>
                <w:szCs w:val="24"/>
              </w:rPr>
            </w:pPr>
          </w:p>
        </w:tc>
        <w:tc>
          <w:tcPr>
            <w:tcW w:w="2835" w:type="dxa"/>
          </w:tcPr>
          <w:p w14:paraId="00C304CF" w14:textId="77777777" w:rsidR="00B61B7C" w:rsidRPr="00761653" w:rsidRDefault="00B61B7C" w:rsidP="002D3EBF">
            <w:pPr>
              <w:spacing w:line="240" w:lineRule="auto"/>
              <w:ind w:left="57" w:right="57" w:firstLine="0"/>
              <w:rPr>
                <w:szCs w:val="24"/>
              </w:rPr>
            </w:pPr>
            <w:r w:rsidRPr="00761653">
              <w:rPr>
                <w:szCs w:val="24"/>
              </w:rPr>
              <w:t>Тигециклин</w:t>
            </w:r>
          </w:p>
        </w:tc>
        <w:tc>
          <w:tcPr>
            <w:tcW w:w="4395" w:type="dxa"/>
          </w:tcPr>
          <w:p w14:paraId="549C2C00" w14:textId="77777777" w:rsidR="00B61B7C" w:rsidRPr="00761653" w:rsidRDefault="00B61B7C" w:rsidP="002D3EBF">
            <w:pPr>
              <w:spacing w:line="240" w:lineRule="auto"/>
              <w:ind w:left="57" w:right="57" w:firstLine="0"/>
              <w:rPr>
                <w:szCs w:val="24"/>
              </w:rPr>
            </w:pPr>
            <w:r w:rsidRPr="00761653">
              <w:rPr>
                <w:szCs w:val="24"/>
              </w:rPr>
              <w:t>Нагрузочная доза 100 мг, затем по 50 мг каждые 12 часов (не показан для лечения инфекций кровотока, инфекций мочевыводящих путей)</w:t>
            </w:r>
          </w:p>
        </w:tc>
      </w:tr>
    </w:tbl>
    <w:p w14:paraId="6708AC27" w14:textId="77777777" w:rsidR="00B61B7C" w:rsidRDefault="00B61B7C" w:rsidP="00B61B7C">
      <w:pPr>
        <w:widowControl w:val="0"/>
        <w:autoSpaceDE w:val="0"/>
        <w:autoSpaceDN w:val="0"/>
        <w:adjustRightInd w:val="0"/>
        <w:ind w:right="49"/>
        <w:contextualSpacing/>
        <w:rPr>
          <w:b/>
          <w:bCs/>
          <w:iCs/>
        </w:rPr>
      </w:pPr>
    </w:p>
    <w:p w14:paraId="52C13D5E" w14:textId="77777777" w:rsidR="00B61B7C" w:rsidRPr="00761653" w:rsidRDefault="00B61B7C" w:rsidP="00B61B7C">
      <w:pPr>
        <w:widowControl w:val="0"/>
        <w:autoSpaceDE w:val="0"/>
        <w:autoSpaceDN w:val="0"/>
        <w:adjustRightInd w:val="0"/>
        <w:ind w:left="709" w:right="49" w:firstLine="0"/>
        <w:contextualSpacing/>
        <w:rPr>
          <w:bCs/>
          <w:iCs/>
        </w:rPr>
      </w:pPr>
      <w:r w:rsidRPr="00761653">
        <w:rPr>
          <w:b/>
          <w:bCs/>
          <w:iCs/>
        </w:rPr>
        <w:t>Отдельные инфекции, требующие особого лечения, у иммунокомпрометированных больных</w:t>
      </w:r>
      <w:r w:rsidRPr="00761653">
        <w:rPr>
          <w:bCs/>
          <w:iCs/>
        </w:rPr>
        <w:t xml:space="preserve">. </w:t>
      </w:r>
    </w:p>
    <w:p w14:paraId="5A5C19E3" w14:textId="77777777" w:rsidR="00B61B7C" w:rsidRPr="00284D51" w:rsidRDefault="00B61B7C" w:rsidP="00B61B7C">
      <w:pPr>
        <w:widowControl w:val="0"/>
        <w:autoSpaceDE w:val="0"/>
        <w:autoSpaceDN w:val="0"/>
        <w:adjustRightInd w:val="0"/>
        <w:ind w:right="49"/>
        <w:contextualSpacing/>
        <w:rPr>
          <w:i/>
          <w:iCs/>
        </w:rPr>
      </w:pPr>
      <w:r w:rsidRPr="00284D51">
        <w:rPr>
          <w:i/>
          <w:iCs/>
        </w:rPr>
        <w:t xml:space="preserve">Listeria monocytogenes </w:t>
      </w:r>
    </w:p>
    <w:p w14:paraId="1A59F208" w14:textId="0B74E045" w:rsidR="00B61B7C" w:rsidRPr="00761653" w:rsidRDefault="00B61B7C" w:rsidP="00B61B7C">
      <w:pPr>
        <w:widowControl w:val="0"/>
        <w:autoSpaceDE w:val="0"/>
        <w:autoSpaceDN w:val="0"/>
        <w:adjustRightInd w:val="0"/>
        <w:ind w:right="49"/>
        <w:contextualSpacing/>
      </w:pPr>
      <w:r w:rsidRPr="00D27DBA">
        <w:rPr>
          <w:bCs/>
          <w:i/>
          <w:iCs/>
        </w:rPr>
        <w:t>Listeria monocytogenes (</w:t>
      </w:r>
      <w:r w:rsidRPr="00D27DBA">
        <w:rPr>
          <w:i/>
        </w:rPr>
        <w:t xml:space="preserve">L. monocytogenes) </w:t>
      </w:r>
      <w:r>
        <w:rPr>
          <w:bCs/>
          <w:iCs/>
        </w:rPr>
        <w:t>в</w:t>
      </w:r>
      <w:r w:rsidRPr="00761653">
        <w:rPr>
          <w:iCs/>
        </w:rPr>
        <w:t xml:space="preserve">ызывают </w:t>
      </w:r>
      <w:r w:rsidRPr="00761653">
        <w:t>инфекции кровотока и менингоэнцефалит. Инфекция возникает преимущественно у больных с нарушениями Т-клеточного звена иммунитета</w:t>
      </w:r>
      <w:r w:rsidRPr="00F674EC">
        <w:t xml:space="preserve"> </w:t>
      </w:r>
      <w:r>
        <w:fldChar w:fldCharType="begin" w:fldLock="1"/>
      </w:r>
      <w:r w:rsidR="00B0402F">
        <w:instrText>ADDIN CSL_CITATION {"citationItems":[{"id":"ITEM-1","itemData":{"DOI":"10.3324/haematol.2013.091330","ISSN":"15928721","PMID":"24323984","abstract":"The detection of multi-resistant bacterial pathogens, particularly those to carbapenemases, in leukemic and stem cell transplant patients forces the use of old or non-conventional agents as the only remaining treatment options. These include colistin/polymyxin B, tigecycline, fosfomycin and various anti-gram-positive agents. Data on the use of these agents in leukemic patients are scanty, with only linezolid subjected to formal trials. The Expert Group of the 4th European Conference on Infections in Leukemia has developed guidelines for their use in these patient populations. Targeted therapy should be based on (i) in vitro susceptibility data, (ii) knowledge of the best treatment option against the particular species or phenotype of bacteria, (iii) pharmacokinetic/pharmacodynamic data, and (iv) careful assessment of the risk-benefit balance. For infections due to resistant Gram-negative bacteria, these agents should be preferably used in combination with other agents that remain active in vitro, because of suboptimal efficacy (e.g., tigecy-cline) and the risk of emergent resistance (e.g., fosfomycin). The paucity of new antibacterial drugs in the near future should lead us to limit the use of these drugs to situations where no alternative exists. © 2013 Ferrata Storti Foundation.","author":[{"dropping-particle":"","family":"Averbuch","given":"Diana","non-dropping-particle":"","parse-names":false,"suffix":""},{"dropping-particle":"","family":"Cordonnier","given":"Catherine","non-dropping-particle":"","parse-names":false,"suffix":""},{"dropping-particle":"","family":"Livermore","given":"David M.","non-dropping-particle":"","parse-names":false,"suffix":""},{"dropping-particle":"","family":"Mikulska","given":"Małgorzata","non-dropping-particle":"","parse-names":false,"suffix":""},{"dropping-particle":"","family":"Orasch","given":"Christina","non-dropping-particle":"","parse-names":false,"suffix":""},{"dropping-particle":"","family":"Viscoli","given":"Claudio","non-dropping-particle":"","parse-names":false,"suffix":""},{"dropping-particle":"","family":"Gyssens","given":"Inge C.","non-dropping-particle":"","parse-names":false,"suffix":""},{"dropping-particle":"V.","family":"Kern","given":"Winfried","non-dropping-particle":"","parse-names":false,"suffix":""},{"dropping-particle":"","family":"Klyasova","given":"Galina","non-dropping-particle":"","parse-names":false,"suffix":""},{"dropping-particle":"","family":"Marchetti","given":"Oscar","non-dropping-particle":"","parse-names":false,"suffix":""},{"dropping-particle":"","family":"Engelhard","given":"Dan","non-dropping-particle":"","parse-names":false,"suffix":""},{"dropping-particle":"","family":"Akova","given":"Murat","non-dropping-particle":"","parse-names":false,"suffix":""}],"container-title":"Haematologica","id":"ITEM-1","issue":"12","issued":{"date-parts":[["2013","12","1"]]},"page":"1836-1847","publisher":"Ferrata Storti Foundation","title":"Targeted therapy against multi-resistant bacteria in leukemic and hematopoietic stem cell transplant recipients: Guidelines of the 4th European conference on Infections in Leukemia (ECIL-4, 2011)","type":"article-journal","volume":"98"},"uris":["http://www.mendeley.com/documents/?uuid=49d65b4a-286f-48de-9fa8-11535bbffaa2"]}],"mendeley":{"formattedCitation":"[103]","plainTextFormattedCitation":"[103]","previouslyFormattedCitation":"[103]"},"properties":{"noteIndex":0},"schema":"https://github.com/citation-style-language/schema/raw/master/csl-citation.json"}</w:instrText>
      </w:r>
      <w:r>
        <w:fldChar w:fldCharType="separate"/>
      </w:r>
      <w:r w:rsidR="00D43181" w:rsidRPr="00D43181">
        <w:rPr>
          <w:noProof/>
        </w:rPr>
        <w:t>[103]</w:t>
      </w:r>
      <w:r>
        <w:fldChar w:fldCharType="end"/>
      </w:r>
      <w:r w:rsidRPr="00761653">
        <w:t xml:space="preserve">. Характерным является стремительное развитие инфекции – в течение 2-3 часов изменяется клиническая картина: возникает нарушение сознания вплоть до комы, определяются ригидность затылочных мышц и положительный симптом Кернига. Препарат выбора для лечения </w:t>
      </w:r>
      <w:r w:rsidRPr="00761653">
        <w:rPr>
          <w:bCs/>
        </w:rPr>
        <w:t xml:space="preserve">инфекции, вызванной </w:t>
      </w:r>
      <w:r w:rsidRPr="00761653">
        <w:rPr>
          <w:bCs/>
          <w:i/>
          <w:iCs/>
        </w:rPr>
        <w:t>L. monocytogenes</w:t>
      </w:r>
      <w:r w:rsidRPr="00761653">
        <w:rPr>
          <w:b/>
          <w:bCs/>
        </w:rPr>
        <w:t xml:space="preserve">, </w:t>
      </w:r>
      <w:r w:rsidRPr="00761653">
        <w:t xml:space="preserve">ампициллин по 2 г внутривенно 6 раз в сутки, при менингоэнцефалите – в сочетание с гентамицином 5мг/кг/сутки, внутривенно. </w:t>
      </w:r>
      <w:r w:rsidRPr="00761653">
        <w:rPr>
          <w:bCs/>
        </w:rPr>
        <w:t xml:space="preserve">Больным с нейтропенией и инфекцией ЦНС дополнительно назначают меропенем по 2 г х 3 раза. Меропенем отменяют при восстановлении гранулоцитов и продолжают лечение сочетанием ампициллина с гентамицином. </w:t>
      </w:r>
      <w:r w:rsidRPr="00761653">
        <w:rPr>
          <w:iCs/>
        </w:rPr>
        <w:t xml:space="preserve">Альтернативный препарат - </w:t>
      </w:r>
      <w:r w:rsidRPr="00761653">
        <w:t>триметоприм/сульфаметоксазол (расчет дозы по триметоприму 15 мг/кг в сутки, дозу разделяют на 3 приема). Такая доза используется у больных с вовлечением и без вовлечения ЦНС в инфекционный процесс.</w:t>
      </w:r>
      <w:r w:rsidRPr="00761653">
        <w:rPr>
          <w:bCs/>
        </w:rPr>
        <w:t xml:space="preserve"> Длительность лечения инфекции без вовлечения ЦНС составляет 14 дней, менингита - </w:t>
      </w:r>
      <w:r w:rsidRPr="00761653">
        <w:t>21 день, энцефалита или абсцессов в головном мозге - от 6 недель и более, эндокардита - 4-6 недель.</w:t>
      </w:r>
      <w:r w:rsidRPr="00761653">
        <w:rPr>
          <w:bCs/>
        </w:rPr>
        <w:t xml:space="preserve"> </w:t>
      </w:r>
      <w:r w:rsidRPr="00761653">
        <w:t>При инфекции ЦНС отмену антибиотиков выполняют только при полной регрессии изменений в головном мозге.</w:t>
      </w:r>
    </w:p>
    <w:p w14:paraId="07A6EB36" w14:textId="77777777" w:rsidR="00B61B7C" w:rsidRPr="00284D51" w:rsidRDefault="00B61B7C" w:rsidP="00B61B7C">
      <w:pPr>
        <w:widowControl w:val="0"/>
        <w:autoSpaceDE w:val="0"/>
        <w:autoSpaceDN w:val="0"/>
        <w:adjustRightInd w:val="0"/>
        <w:ind w:right="49"/>
        <w:contextualSpacing/>
        <w:rPr>
          <w:bCs/>
          <w:i/>
        </w:rPr>
      </w:pPr>
      <w:r w:rsidRPr="00284D51">
        <w:rPr>
          <w:bCs/>
          <w:i/>
        </w:rPr>
        <w:t xml:space="preserve">Legionella pneumophila </w:t>
      </w:r>
    </w:p>
    <w:p w14:paraId="299A22FA" w14:textId="77777777" w:rsidR="00B61B7C" w:rsidRPr="00761653" w:rsidRDefault="00B61B7C" w:rsidP="00B61B7C">
      <w:pPr>
        <w:ind w:firstLine="708"/>
      </w:pPr>
      <w:r w:rsidRPr="00761653">
        <w:rPr>
          <w:i/>
        </w:rPr>
        <w:t>Legionella</w:t>
      </w:r>
      <w:r w:rsidRPr="000D7B76">
        <w:rPr>
          <w:i/>
        </w:rPr>
        <w:t xml:space="preserve"> </w:t>
      </w:r>
      <w:r w:rsidRPr="00761653">
        <w:rPr>
          <w:i/>
        </w:rPr>
        <w:t>pneumophila</w:t>
      </w:r>
      <w:r w:rsidRPr="000D7B76">
        <w:rPr>
          <w:i/>
        </w:rPr>
        <w:t xml:space="preserve"> (</w:t>
      </w:r>
      <w:r w:rsidRPr="00761653">
        <w:rPr>
          <w:i/>
        </w:rPr>
        <w:t>L</w:t>
      </w:r>
      <w:r w:rsidRPr="000D7B76">
        <w:rPr>
          <w:i/>
        </w:rPr>
        <w:t xml:space="preserve">. </w:t>
      </w:r>
      <w:r w:rsidRPr="00761653">
        <w:rPr>
          <w:i/>
        </w:rPr>
        <w:t>pneumophila</w:t>
      </w:r>
      <w:r w:rsidRPr="000D7B76">
        <w:rPr>
          <w:i/>
        </w:rPr>
        <w:t>)</w:t>
      </w:r>
      <w:r w:rsidRPr="000D7B76">
        <w:t xml:space="preserve"> </w:t>
      </w:r>
      <w:r>
        <w:rPr>
          <w:i/>
        </w:rPr>
        <w:t>я</w:t>
      </w:r>
      <w:r w:rsidRPr="00761653">
        <w:t>вля</w:t>
      </w:r>
      <w:r>
        <w:t>ю</w:t>
      </w:r>
      <w:r w:rsidRPr="00761653">
        <w:t>тся</w:t>
      </w:r>
      <w:r w:rsidRPr="000D7B76">
        <w:t xml:space="preserve"> </w:t>
      </w:r>
      <w:r w:rsidRPr="00761653">
        <w:t>грамотрицательным</w:t>
      </w:r>
      <w:r w:rsidRPr="000D7B76">
        <w:t xml:space="preserve"> </w:t>
      </w:r>
      <w:r w:rsidRPr="00761653">
        <w:t>бактериями</w:t>
      </w:r>
      <w:r w:rsidRPr="000D7B76">
        <w:t xml:space="preserve">, </w:t>
      </w:r>
      <w:r>
        <w:t>в</w:t>
      </w:r>
      <w:r w:rsidRPr="00761653">
        <w:t>ызывают</w:t>
      </w:r>
      <w:r w:rsidRPr="000D7B76">
        <w:t xml:space="preserve"> </w:t>
      </w:r>
      <w:r w:rsidRPr="00761653">
        <w:t>пневмонии</w:t>
      </w:r>
      <w:r w:rsidRPr="000D7B76">
        <w:t xml:space="preserve">. </w:t>
      </w:r>
      <w:r w:rsidRPr="00761653">
        <w:t>Препараты выбора для лечения</w:t>
      </w:r>
      <w:r>
        <w:t xml:space="preserve"> </w:t>
      </w:r>
      <w:r w:rsidRPr="00761653">
        <w:rPr>
          <w:i/>
        </w:rPr>
        <w:t>L</w:t>
      </w:r>
      <w:r w:rsidRPr="00D27DBA">
        <w:rPr>
          <w:i/>
        </w:rPr>
        <w:t xml:space="preserve">. </w:t>
      </w:r>
      <w:r w:rsidRPr="00761653">
        <w:rPr>
          <w:i/>
        </w:rPr>
        <w:t>pneumophila</w:t>
      </w:r>
      <w:r w:rsidRPr="00D27DBA">
        <w:t xml:space="preserve"> – </w:t>
      </w:r>
      <w:r w:rsidRPr="00761653">
        <w:t xml:space="preserve"> - моксифлоксацин (400 мг 1 раз в сутки) или левофлоксацин (500 мг - 750 мг 1 раз в сутки) или азитромицин (500 мг 1 раз в сутки), альтернативный препарат - ципрофлоксацин (400 мг внутривенно 3 раза в сутки или 750 мг внутрь 2 раза в сутки), при тяжелом течении - сочетание фторхинолона с тигециклином (1-е введение 100 мг, далее по 50 мг каждые 12 часов). Длительность лечения составляет от 8 до 21 дня, при тяжелом течении и у реципиентов аллогенных ТГСК – более продолжительный период.</w:t>
      </w:r>
    </w:p>
    <w:p w14:paraId="193C98AE" w14:textId="77777777" w:rsidR="00B61B7C" w:rsidRPr="00284D51" w:rsidRDefault="00B61B7C" w:rsidP="00B61B7C">
      <w:pPr>
        <w:widowControl w:val="0"/>
        <w:autoSpaceDE w:val="0"/>
        <w:autoSpaceDN w:val="0"/>
        <w:adjustRightInd w:val="0"/>
        <w:ind w:right="49"/>
        <w:contextualSpacing/>
        <w:rPr>
          <w:i/>
          <w:iCs/>
        </w:rPr>
      </w:pPr>
      <w:r w:rsidRPr="00284D51">
        <w:rPr>
          <w:i/>
          <w:iCs/>
        </w:rPr>
        <w:t xml:space="preserve">Clostridioides difficile </w:t>
      </w:r>
    </w:p>
    <w:p w14:paraId="44BA061B" w14:textId="67A182DB" w:rsidR="00B61B7C" w:rsidRPr="00761653" w:rsidRDefault="00B61B7C" w:rsidP="00B61B7C">
      <w:pPr>
        <w:widowControl w:val="0"/>
        <w:autoSpaceDE w:val="0"/>
        <w:autoSpaceDN w:val="0"/>
        <w:adjustRightInd w:val="0"/>
        <w:ind w:right="49"/>
        <w:contextualSpacing/>
        <w:rPr>
          <w:strike/>
        </w:rPr>
      </w:pPr>
      <w:r w:rsidRPr="00761653">
        <w:t xml:space="preserve">Факторами патогенности </w:t>
      </w:r>
      <w:r w:rsidRPr="00D27DBA">
        <w:rPr>
          <w:bCs/>
          <w:i/>
          <w:iCs/>
        </w:rPr>
        <w:t>Clostridioides difficile</w:t>
      </w:r>
      <w:r>
        <w:rPr>
          <w:bCs/>
          <w:i/>
          <w:iCs/>
        </w:rPr>
        <w:t xml:space="preserve"> (</w:t>
      </w:r>
      <w:r w:rsidRPr="00761653">
        <w:rPr>
          <w:i/>
          <w:iCs/>
        </w:rPr>
        <w:t xml:space="preserve">C. </w:t>
      </w:r>
      <w:r>
        <w:rPr>
          <w:i/>
          <w:iCs/>
        </w:rPr>
        <w:t>d</w:t>
      </w:r>
      <w:r w:rsidRPr="00761653">
        <w:rPr>
          <w:i/>
          <w:iCs/>
        </w:rPr>
        <w:t>ifficile</w:t>
      </w:r>
      <w:r>
        <w:rPr>
          <w:i/>
          <w:iCs/>
        </w:rPr>
        <w:t>)</w:t>
      </w:r>
      <w:r w:rsidRPr="00761653">
        <w:t xml:space="preserve"> являются токсины A и В</w:t>
      </w:r>
      <w:r w:rsidRPr="00F674EC">
        <w:t xml:space="preserve"> </w:t>
      </w:r>
      <w:r>
        <w:fldChar w:fldCharType="begin" w:fldLock="1"/>
      </w:r>
      <w:r w:rsidR="00B0402F">
        <w:instrText>ADDIN CSL_CITATION {"citationItems":[{"id":"ITEM-1","itemData":{"DOI":"10.1111/1469-0691.12418","ISSN":"14690691","PMID":"24118601","abstract":"In 2009 the first European Society of Clinical Microbiology and Infection (ESCMID) treatment guidance document for Clostridium difficile infection (CDI) was published. The guideline has been applied widely in clinical practice. In this document an update and review on the comparative effectiveness of the currently available treatment modalities of CDI is given, thereby providing evidence-based recommendations on this issue. A computerized literature search was carried out to investigate randomized and non-randomized trials investigating the effect of an intervention on the clinical outcome of CDI. The Grades of Recommendation Assessment, Development and Evaluation (GRADE) system was used to grade the strength of our recommendations and the quality of the evidence. The ESCMID and an international team of experts from 11 European countries supported the process. To improve clinical guidance in the treatment of CDI, recommendations are specified for various patient groups, e.g. initial non-severe disease, severe CDI, first recurrence or risk for recurrent disease, multiple recurrences and treatment of CDI when oral administration is not possible. Treatment options that are reviewed include: antibiotics, toxin-binding resins and polymers, immunotherapy, probiotics, and faecal or bacterial intestinal transplantation. Except for very mild CDI that is clearly induced by antibiotic usage antibiotic treatment is advised. The main antibiotics that are recommended are metronidazole, vancomycin and fidaxomicin. Faecal transplantation is strongly recommended for multiple recurrent CDI. In case of perforation of the colon and/or systemic inflammation and deteriorating clinical condition despite antibiotic therapy, total abdominal colectomy or diverting loop ileostomy combined with colonic lavage is recommended. © 2013 The Authors Clinical Microbiology and Infection © 2013 European Society of Clinical Microbiology and Infectious Diseases.","author":[{"dropping-particle":"","family":"Debast","given":"S. B.","non-dropping-particle":"","parse-names":false,"suffix":""},{"dropping-particle":"","family":"Bauer","given":"M. P.","non-dropping-particle":"","parse-names":false,"suffix":""},{"dropping-particle":"","family":"Kuijper","given":"E. J.","non-dropping-particle":"","parse-names":false,"suffix":""},{"dropping-particle":"","family":"Allerberger","given":"F.","non-dropping-particle":"","parse-names":false,"suffix":""},{"dropping-particle":"","family":"Bouza","given":"E.","non-dropping-particle":"","parse-names":false,"suffix":""},{"dropping-particle":"","family":"Coia","given":"J. E.","non-dropping-particle":"","parse-names":false,"suffix":""},{"dropping-particle":"","family":"Cornely","given":"O. A.","non-dropping-particle":"","parse-names":false,"suffix":""},{"dropping-particle":"","family":"Fitzpatrick","given":"F.","non-dropping-particle":"","parse-names":false,"suffix":""},{"dropping-particle":"","family":"Guery","given":"B.","non-dropping-particle":"","parse-names":false,"suffix":""},{"dropping-particle":"","family":"Wilcox","given":"M.","non-dropping-particle":"","parse-names":false,"suffix":""},{"dropping-particle":"","family":"Nathwani","given":"D.","non-dropping-particle":"","parse-names":false,"suffix":""},{"dropping-particle":"","family":"Norén","given":"T.","non-dropping-particle":"","parse-names":false,"suffix":""},{"dropping-particle":"","family":"Olesen","given":"B.","non-dropping-particle":"","parse-names":false,"suffix":""},{"dropping-particle":"","family":"Rakoczi","given":"E.","non-dropping-particle":"","parse-names":false,"suffix":""},{"dropping-particle":"","family":"Welte","given":"T.","non-dropping-particle":"","parse-names":false,"suffix":""},{"dropping-particle":"","family":"Widmer","given":"A. F.","non-dropping-particle":"","parse-names":false,"suffix":""}],"container-title":"Clinical Microbiology and Infection","id":"ITEM-1","issue":"S2","issued":{"date-parts":[["2014"]]},"page":"1-26","publisher":"Blackwell Publishing Ltd","title":"European society of clinical microbiology and infectious diseases: Update of the treatment guidance document for Clostridium difficile infection","type":"article-journal","volume":"20"},"uris":["http://www.mendeley.com/documents/?uuid=e95ffe26-9199-3b8c-aa7a-4bac71d0214d"]}],"mendeley":{"formattedCitation":"[104]","plainTextFormattedCitation":"[104]","previouslyFormattedCitation":"[104]"},"properties":{"noteIndex":0},"schema":"https://github.com/citation-style-language/schema/raw/master/csl-citation.json"}</w:instrText>
      </w:r>
      <w:r>
        <w:fldChar w:fldCharType="separate"/>
      </w:r>
      <w:r w:rsidR="00D43181" w:rsidRPr="00D43181">
        <w:rPr>
          <w:noProof/>
        </w:rPr>
        <w:t>[104]</w:t>
      </w:r>
      <w:r>
        <w:fldChar w:fldCharType="end"/>
      </w:r>
      <w:r w:rsidRPr="00761653">
        <w:t>. Токсин А —</w:t>
      </w:r>
      <w:r>
        <w:t xml:space="preserve"> </w:t>
      </w:r>
      <w:r w:rsidRPr="00761653">
        <w:t xml:space="preserve">энтеротоксин, нарушает барьерную функцию слизистой оболочки кишечника. Токсин В — цитотоксин, оказывает цитопатический эффект, сильнее токсина А в 1000 раз, наличие его является обязательным для развития инфекции. Около 10% штаммов </w:t>
      </w:r>
      <w:r w:rsidRPr="00761653">
        <w:rPr>
          <w:i/>
          <w:iCs/>
        </w:rPr>
        <w:t>C. difficile</w:t>
      </w:r>
      <w:r w:rsidRPr="00761653">
        <w:t xml:space="preserve"> продуцируют бинарный токсин. Штаммы </w:t>
      </w:r>
      <w:r w:rsidRPr="00761653">
        <w:rPr>
          <w:i/>
          <w:iCs/>
        </w:rPr>
        <w:t>C. difficile</w:t>
      </w:r>
      <w:r w:rsidRPr="00761653">
        <w:t xml:space="preserve">, не продуцирующие токсины, не являются патогенными. Клиническими проявления инфекции, вызванной </w:t>
      </w:r>
      <w:r w:rsidRPr="00761653">
        <w:rPr>
          <w:i/>
          <w:iCs/>
        </w:rPr>
        <w:t>C. difficile</w:t>
      </w:r>
      <w:r w:rsidRPr="00761653">
        <w:rPr>
          <w:iCs/>
        </w:rPr>
        <w:t>,</w:t>
      </w:r>
      <w:r w:rsidRPr="00761653">
        <w:t xml:space="preserve"> являются диарея, ассоциированная с </w:t>
      </w:r>
      <w:r w:rsidRPr="00761653">
        <w:rPr>
          <w:i/>
          <w:iCs/>
        </w:rPr>
        <w:t>C. difficile</w:t>
      </w:r>
      <w:r w:rsidRPr="00761653">
        <w:t xml:space="preserve"> (наличие диареи + положительный токсин </w:t>
      </w:r>
      <w:r w:rsidRPr="00761653">
        <w:rPr>
          <w:i/>
          <w:iCs/>
        </w:rPr>
        <w:t>C.difficile</w:t>
      </w:r>
      <w:r w:rsidRPr="00761653">
        <w:t xml:space="preserve"> в кале), псевдомембранозный колит (эндоскопическая диагностика). Лечение диареи, обусловленной </w:t>
      </w:r>
      <w:r w:rsidRPr="00761653">
        <w:rPr>
          <w:i/>
          <w:iCs/>
        </w:rPr>
        <w:t>C. difficile</w:t>
      </w:r>
      <w:r w:rsidRPr="00761653">
        <w:t xml:space="preserve"> включает, помимо назначения антибиотиков, отмену, по-возможности, или/и сокращение числа используемых антибиотиков широкого спектра действия, ингибиторов протонной помпы</w:t>
      </w:r>
      <w:r w:rsidRPr="00F674EC">
        <w:t xml:space="preserve"> </w:t>
      </w:r>
      <w:r>
        <w:fldChar w:fldCharType="begin" w:fldLock="1"/>
      </w:r>
      <w:r w:rsidR="00B0402F">
        <w:instrText>ADDIN CSL_CITATION {"citationItems":[{"id":"ITEM-1","itemData":{"DOI":"10.1016/S1473-3099(19)30403-7","ISSN":"14744457","PMID":"31563344","abstract":"Background: Nosocomial pneumonia due to antimicrobial-resistant pathogens is associated with high mortality. We assessed the efficacy and safety of the combination antibacterial drug ceftolozane–tazobactam versus meropenem for treatment of Gram-negative nosocomial pneumonia. Methods: We conducted a randomised, controlled, double-blind, non-inferiority trial at 263 hospitals in 34 countries. Eligible patients were aged 18 years or older, were undergoing mechanical ventilation, and had nosocomial pneumonia (either ventilator-associated pneumonia or ventilated hospital-acquired pneumonia). Patients were randomly assigned (1:1) with block randomisation (block size four), stratified by type of nosocomial pneumonia and age (&lt;65 years vs ≥65 years), to receive either 3 g ceftolozane–tazobactam or 1 g meropenem intravenously every 8 h for 8–14 days. The primary endpoint was 28-day all-cause mortality (at a 10% non-inferiority margin). The key secondary endpoint was clinical response at the test-of-cure visit (7–14 days after the end of therapy; 12·5% non-inferiority margin). Both endpoints were assessed in the intention-to-treat population. Investigators, study staff, patients, and patients' representatives were masked to treatment assignment. Safety was assessed in all randomly assigned patients who received study treatment. This trial was registered with ClinicalTrials.gov, NCT02070757. Findings: Between Jan 16, 2015, and April 27, 2018, 726 patients were enrolled and randomly assigned, 362 to the ceftolozane–tazobactam group and 364 to the meropenem group. Overall, 519 (71%) patients had ventilator-associated pneumonia, 239 (33%) had Acute Physiology and Chronic Health Evaluation II scores of at least 20, and 668 (92%) were in the intensive care unit. At 28 days, 87 (24·0%) patients in the ceftolozane–tazobactam group and 92 (25·3%) in the meropenem group had died (weighted treatment difference 1·1% [95% CI −5·1 to 7·4]). At the test-of-cure visit 197 (54%) patients in the ceftolozane–tazobactam group and 194 (53%) in the meropenem group were clinically cured (weighted treatment difference 1·1% [95% CI −6·2 to 8·3]). Ceftolozane–tazobactam was thus non-inferior to meropenem in terms of both 28-day all-cause mortality and clinical cure at test of cure. Treatment-related adverse events occurred in 38 (11%) of 361 patients in the ceftolozane–tazobactam group and 27 (8%) of 359 in the meropenem group. Eight (2%) patients in the ceftolozane–tazobactam group and t…","author":[{"dropping-particle":"","family":"Kollef","given":"Marin H.","non-dropping-particle":"","parse-names":false,"suffix":""},{"dropping-particle":"","family":"Nováček","given":"Martin","non-dropping-particle":"","parse-names":false,"suffix":""},{"dropping-particle":"","family":"Kivistik","given":"Ülo","non-dropping-particle":"","parse-names":false,"suffix":""},{"dropping-particle":"","family":"Réa-Neto","given":"Álvaro","non-dropping-particle":"","parse-names":false,"suffix":""},{"dropping-particle":"","family":"Shime","given":"Nobuaki","non-dropping-particle":"","parse-names":false,"suffix":""},{"dropping-particle":"","family":"Martin-Loeches","given":"Ignacio","non-dropping-particle":"","parse-names":false,"suffix":""},{"dropping-particle":"","family":"Timsit","given":"Jean François","non-dropping-particle":"","parse-names":false,"suffix":""},{"dropping-particle":"","family":"Wunderink","given":"Richard G.","non-dropping-particle":"","parse-names":false,"suffix":""},{"dropping-particle":"","family":"Bruno","given":"Christopher J.","non-dropping-particle":"","parse-names":false,"suffix":""},{"dropping-particle":"","family":"Huntington","given":"Jennifer A.","non-dropping-particle":"","parse-names":false,"suffix":""},{"dropping-particle":"","family":"Lin","given":"Gina","non-dropping-particle":"","parse-names":false,"suffix":""},{"dropping-particle":"","family":"Yu","given":"Brian","non-dropping-particle":"","parse-names":false,"suffix":""},{"dropping-particle":"","family":"Butterton","given":"Joan R.","non-dropping-particle":"","parse-names":false,"suffix":""},{"dropping-particle":"","family":"Rhee","given":"Elizabeth G.","non-dropping-particle":"","parse-names":false,"suffix":""}],"container-title":"The Lancet Infectious Diseases","id":"ITEM-1","issue":"12","issued":{"date-parts":[["2019","12","1"]]},"page":"1299-1311","publisher":"Lancet Publishing Group","title":"Ceftolozane–tazobactam versus meropenem for treatment of nosocomial pneumonia (ASPECT-NP): a randomised, controlled, double-blind, phase 3, non-inferiority trial","type":"article-journal","volume":"19"},"uris":["http://www.mendeley.com/documents/?uuid=779e70f2-916f-3769-b6db-f94034eaa2bf"]}],"mendeley":{"formattedCitation":"[102]","plainTextFormattedCitation":"[102]","previouslyFormattedCitation":"[102]"},"properties":{"noteIndex":0},"schema":"https://github.com/citation-style-language/schema/raw/master/csl-citation.json"}</w:instrText>
      </w:r>
      <w:r>
        <w:fldChar w:fldCharType="separate"/>
      </w:r>
      <w:r w:rsidR="00D43181" w:rsidRPr="00D43181">
        <w:rPr>
          <w:noProof/>
        </w:rPr>
        <w:t>[102]</w:t>
      </w:r>
      <w:r>
        <w:fldChar w:fldCharType="end"/>
      </w:r>
      <w:r w:rsidRPr="00761653">
        <w:t xml:space="preserve">. </w:t>
      </w:r>
      <w:r w:rsidRPr="00761653">
        <w:rPr>
          <w:bCs/>
        </w:rPr>
        <w:t>При нетяжелом течении инфекции</w:t>
      </w:r>
      <w:r w:rsidRPr="00761653">
        <w:t xml:space="preserve"> (диарея, температура, боль в животе) - метронидазол по 500 мг 3 раза в сутки перорально или внутривенно, </w:t>
      </w:r>
      <w:r w:rsidRPr="00761653">
        <w:rPr>
          <w:bCs/>
        </w:rPr>
        <w:t>при тяжелом течении</w:t>
      </w:r>
      <w:r w:rsidRPr="00761653">
        <w:t xml:space="preserve"> (повышение уровня креатинина на 50% и более от исходного значения, снижение уровня альбумина) </w:t>
      </w:r>
      <w:r>
        <w:t>–</w:t>
      </w:r>
      <w:r w:rsidRPr="00761653">
        <w:t xml:space="preserve"> в</w:t>
      </w:r>
      <w:r>
        <w:t>а</w:t>
      </w:r>
      <w:r w:rsidRPr="00761653">
        <w:t xml:space="preserve">нкомицин по 125 мг 4 раза в день перорально или введение в зонд, оро – или назогастральный, при рефрактерном течении - используют сочетание метронидазола с ванкомицином (метронидазол по 500 мг 3 раза в сутки внутривенно, ванкомицин по 500 мг 4 раза в день через оро- или назогастральный зонд). </w:t>
      </w:r>
      <w:r w:rsidRPr="00761653">
        <w:rPr>
          <w:bCs/>
        </w:rPr>
        <w:t>Длительность лечения</w:t>
      </w:r>
      <w:r w:rsidRPr="00761653">
        <w:t xml:space="preserve"> составляет 10-14 дней.</w:t>
      </w:r>
    </w:p>
    <w:p w14:paraId="2F890ACF" w14:textId="77777777" w:rsidR="00B61B7C" w:rsidRDefault="00B61B7C" w:rsidP="00B61B7C">
      <w:pPr>
        <w:widowControl w:val="0"/>
        <w:tabs>
          <w:tab w:val="left" w:pos="317"/>
          <w:tab w:val="left" w:pos="8715"/>
        </w:tabs>
        <w:autoSpaceDE w:val="0"/>
        <w:autoSpaceDN w:val="0"/>
        <w:adjustRightInd w:val="0"/>
        <w:ind w:right="49"/>
        <w:contextualSpacing/>
        <w:rPr>
          <w:b/>
          <w:iCs/>
        </w:rPr>
      </w:pPr>
    </w:p>
    <w:p w14:paraId="3770683D" w14:textId="77777777" w:rsidR="00B61B7C" w:rsidRPr="00284D51" w:rsidRDefault="00B61B7C" w:rsidP="00B61B7C">
      <w:pPr>
        <w:widowControl w:val="0"/>
        <w:autoSpaceDE w:val="0"/>
        <w:autoSpaceDN w:val="0"/>
        <w:adjustRightInd w:val="0"/>
        <w:ind w:right="49"/>
        <w:contextualSpacing/>
        <w:rPr>
          <w:bCs/>
          <w:i/>
          <w:iCs/>
          <w:u w:val="single"/>
        </w:rPr>
      </w:pPr>
      <w:r w:rsidRPr="00284D51">
        <w:rPr>
          <w:bCs/>
          <w:i/>
          <w:iCs/>
          <w:u w:val="single"/>
        </w:rPr>
        <w:t>Назначение антибиотиков в зависимости от локализации инфекции</w:t>
      </w:r>
    </w:p>
    <w:p w14:paraId="6E5BB91C" w14:textId="77777777" w:rsidR="00B61B7C" w:rsidRPr="00284D51" w:rsidRDefault="00B61B7C" w:rsidP="00B61B7C">
      <w:pPr>
        <w:widowControl w:val="0"/>
        <w:tabs>
          <w:tab w:val="left" w:pos="0"/>
        </w:tabs>
        <w:autoSpaceDE w:val="0"/>
        <w:autoSpaceDN w:val="0"/>
        <w:adjustRightInd w:val="0"/>
        <w:ind w:right="49"/>
        <w:contextualSpacing/>
        <w:rPr>
          <w:bCs/>
          <w:i/>
          <w:iCs/>
        </w:rPr>
      </w:pPr>
      <w:r w:rsidRPr="00284D51">
        <w:rPr>
          <w:bCs/>
          <w:i/>
          <w:iCs/>
        </w:rPr>
        <w:t>Мукозит. Гингивит</w:t>
      </w:r>
    </w:p>
    <w:p w14:paraId="4FD955EA" w14:textId="77777777" w:rsidR="00B61B7C" w:rsidRPr="00761653" w:rsidRDefault="00B61B7C" w:rsidP="00B61B7C">
      <w:pPr>
        <w:widowControl w:val="0"/>
        <w:tabs>
          <w:tab w:val="left" w:pos="0"/>
        </w:tabs>
        <w:autoSpaceDE w:val="0"/>
        <w:autoSpaceDN w:val="0"/>
        <w:adjustRightInd w:val="0"/>
        <w:ind w:right="49"/>
        <w:contextualSpacing/>
      </w:pPr>
      <w:r w:rsidRPr="00761653">
        <w:t xml:space="preserve">Чаще обусловлен грибами рода </w:t>
      </w:r>
      <w:r w:rsidRPr="00761653">
        <w:rPr>
          <w:i/>
        </w:rPr>
        <w:t>Candida</w:t>
      </w:r>
      <w:r w:rsidRPr="00761653">
        <w:t xml:space="preserve"> и герпес-вирусами, реже грамотрицательными бактериями (</w:t>
      </w:r>
      <w:r w:rsidRPr="00761653">
        <w:rPr>
          <w:i/>
        </w:rPr>
        <w:t>P. aeruginosa</w:t>
      </w:r>
      <w:r w:rsidRPr="00761653">
        <w:t xml:space="preserve">, </w:t>
      </w:r>
      <w:r w:rsidRPr="00761653">
        <w:rPr>
          <w:i/>
        </w:rPr>
        <w:t>S. malthopilia</w:t>
      </w:r>
      <w:r w:rsidRPr="00761653">
        <w:t>, бактериями порядка Enterobacterales). Лечение согласно выделенным микроорганизмам. При мукозите III-IV степени - ванкомицин, или даптомицин, или линезолид ввиду высокой вероятности развития сепсиса, обусловленного стрептококками</w:t>
      </w:r>
      <w:r w:rsidRPr="00761653">
        <w:rPr>
          <w:b/>
          <w:bCs/>
        </w:rPr>
        <w:t xml:space="preserve"> </w:t>
      </w:r>
      <w:r w:rsidRPr="00761653">
        <w:t xml:space="preserve">группы </w:t>
      </w:r>
      <w:r w:rsidRPr="00761653">
        <w:rPr>
          <w:i/>
          <w:iCs/>
        </w:rPr>
        <w:t>viridans</w:t>
      </w:r>
      <w:r w:rsidRPr="00761653">
        <w:t xml:space="preserve">. </w:t>
      </w:r>
    </w:p>
    <w:p w14:paraId="5FC1DDD4" w14:textId="77777777" w:rsidR="00B61B7C" w:rsidRPr="00284D51" w:rsidRDefault="00B61B7C" w:rsidP="00B61B7C">
      <w:pPr>
        <w:widowControl w:val="0"/>
        <w:tabs>
          <w:tab w:val="left" w:pos="0"/>
        </w:tabs>
        <w:autoSpaceDE w:val="0"/>
        <w:autoSpaceDN w:val="0"/>
        <w:adjustRightInd w:val="0"/>
        <w:ind w:right="49"/>
        <w:contextualSpacing/>
        <w:rPr>
          <w:bCs/>
          <w:i/>
          <w:iCs/>
        </w:rPr>
      </w:pPr>
      <w:r w:rsidRPr="00284D51">
        <w:rPr>
          <w:bCs/>
          <w:i/>
          <w:iCs/>
        </w:rPr>
        <w:t>Пневмония</w:t>
      </w:r>
    </w:p>
    <w:p w14:paraId="2B67F678" w14:textId="77777777" w:rsidR="00B61B7C" w:rsidRPr="00761653" w:rsidRDefault="00B61B7C" w:rsidP="00B61B7C">
      <w:pPr>
        <w:widowControl w:val="0"/>
        <w:tabs>
          <w:tab w:val="left" w:pos="0"/>
        </w:tabs>
        <w:autoSpaceDE w:val="0"/>
        <w:autoSpaceDN w:val="0"/>
        <w:adjustRightInd w:val="0"/>
        <w:ind w:right="49"/>
        <w:contextualSpacing/>
      </w:pPr>
      <w:r w:rsidRPr="00761653">
        <w:t xml:space="preserve">При стабильной ситуации выполняют БАЛ и дальнейшую модификацию антимикробной терапии осуществляют по результатам микробиологического исследования. При нестабильном соматическом состоянии или невозможности выполнения БАЛ назначают карбапенем (меропенем или имипенем/циластатин или дорипенем) и отменяют антибиотики первого этапа у больных с фебрильной нейтропенией. Вориконазол добавляют к лечению при пневмонии, резистентной к лечению антибиотиками, больным с нейтропенией от 10 дней и более или при лечении глюкокортикоидами, при условии, что не выявлены другие потенциальные возбудители пневмонии. Вориконазол назначают внутривенно, в 1-й день по 6 мг/кг 2 раза в сутки, в последующие дни по 4 мг/кг 2 раза в сутки, с переходом в дальнейшем на пероральную форму по 200 мг 2 раза в сутки, прием таблеток натощак или через 1 час после еды. </w:t>
      </w:r>
    </w:p>
    <w:p w14:paraId="4E671503" w14:textId="77777777" w:rsidR="00B61B7C" w:rsidRPr="00284D51" w:rsidRDefault="00B61B7C" w:rsidP="00B61B7C">
      <w:pPr>
        <w:widowControl w:val="0"/>
        <w:autoSpaceDE w:val="0"/>
        <w:autoSpaceDN w:val="0"/>
        <w:adjustRightInd w:val="0"/>
        <w:ind w:right="49"/>
        <w:contextualSpacing/>
        <w:rPr>
          <w:bCs/>
          <w:i/>
        </w:rPr>
      </w:pPr>
      <w:r w:rsidRPr="00284D51">
        <w:rPr>
          <w:bCs/>
          <w:i/>
        </w:rPr>
        <w:t>Инфекция перианальной области (парапроктит, обострение геморроя и другие)</w:t>
      </w:r>
    </w:p>
    <w:p w14:paraId="639DEF80" w14:textId="77777777" w:rsidR="00B61B7C" w:rsidRPr="00761653" w:rsidRDefault="00B61B7C" w:rsidP="00B61B7C">
      <w:pPr>
        <w:widowControl w:val="0"/>
        <w:autoSpaceDE w:val="0"/>
        <w:autoSpaceDN w:val="0"/>
        <w:adjustRightInd w:val="0"/>
        <w:ind w:right="49"/>
        <w:contextualSpacing/>
      </w:pPr>
      <w:r>
        <w:t xml:space="preserve">Диагностику и тактику лечения перианальной области – см. ниже в настоящей главе. </w:t>
      </w:r>
      <w:r w:rsidRPr="00761653">
        <w:t xml:space="preserve">Схемы антимикробной терапии включаяют препараты с активностью против грамотрицательных и анаэробных бактерий (цефоперазон/сульбактам + амикацин, или цефепим + амикацин + метронидазол или антипсевдомонадный карбапенем). При неэффективности добавляют антибиотики, активные против грамположительных бактерий (ванкомицин или телаванцин или линезолид или тедизолид или даптомицин), при выделении </w:t>
      </w:r>
      <w:r w:rsidRPr="00761653">
        <w:rPr>
          <w:i/>
        </w:rPr>
        <w:t>Candida</w:t>
      </w:r>
      <w:r w:rsidRPr="00761653">
        <w:t xml:space="preserve"> spp. из ректального мазка – флуконазол (400 мг в/в 1 раз в сутки). </w:t>
      </w:r>
    </w:p>
    <w:p w14:paraId="3CF9F26B" w14:textId="77777777" w:rsidR="00B61B7C" w:rsidRDefault="00B61B7C" w:rsidP="00B61B7C">
      <w:pPr>
        <w:widowControl w:val="0"/>
        <w:autoSpaceDE w:val="0"/>
        <w:autoSpaceDN w:val="0"/>
        <w:adjustRightInd w:val="0"/>
        <w:ind w:right="49"/>
        <w:contextualSpacing/>
        <w:rPr>
          <w:b/>
          <w:bCs/>
        </w:rPr>
      </w:pPr>
    </w:p>
    <w:p w14:paraId="5BD5C272" w14:textId="77777777" w:rsidR="00B61B7C" w:rsidRPr="00284D51" w:rsidRDefault="00B61B7C" w:rsidP="00B61B7C">
      <w:pPr>
        <w:widowControl w:val="0"/>
        <w:autoSpaceDE w:val="0"/>
        <w:autoSpaceDN w:val="0"/>
        <w:adjustRightInd w:val="0"/>
        <w:ind w:right="49"/>
        <w:contextualSpacing/>
        <w:rPr>
          <w:bCs/>
          <w:i/>
          <w:iCs/>
          <w:u w:val="single"/>
        </w:rPr>
      </w:pPr>
      <w:r w:rsidRPr="00284D51">
        <w:rPr>
          <w:bCs/>
          <w:i/>
          <w:iCs/>
          <w:u w:val="single"/>
        </w:rPr>
        <w:t>Критерии прекращения противомикробной терапии</w:t>
      </w:r>
    </w:p>
    <w:p w14:paraId="32916582" w14:textId="77777777" w:rsidR="00B61B7C" w:rsidRPr="00761653" w:rsidRDefault="00B61B7C" w:rsidP="00B61B7C">
      <w:pPr>
        <w:widowControl w:val="0"/>
        <w:autoSpaceDE w:val="0"/>
        <w:autoSpaceDN w:val="0"/>
        <w:adjustRightInd w:val="0"/>
        <w:ind w:right="49"/>
        <w:contextualSpacing/>
      </w:pPr>
      <w:r w:rsidRPr="00284D51">
        <w:rPr>
          <w:i/>
          <w:iCs/>
        </w:rPr>
        <w:t>При лихорадке неясной этиологии</w:t>
      </w:r>
      <w:r w:rsidRPr="00284D51">
        <w:rPr>
          <w:b/>
          <w:bCs/>
        </w:rPr>
        <w:t xml:space="preserve"> </w:t>
      </w:r>
      <w:r w:rsidRPr="00284D51">
        <w:t>в период нейтропении/лейкопении антибиотики</w:t>
      </w:r>
      <w:r w:rsidRPr="00761653">
        <w:t xml:space="preserve"> отменяют через 72 часа, если у </w:t>
      </w:r>
      <w:r>
        <w:t>пациента</w:t>
      </w:r>
      <w:r w:rsidRPr="00761653">
        <w:t xml:space="preserve"> не было эпизода нестабильной гемодинамики в данный эпизод инфекции и нормальная температура отмечается в течение 48 ч. </w:t>
      </w:r>
    </w:p>
    <w:p w14:paraId="0EEFFAC1" w14:textId="77777777" w:rsidR="00B61B7C" w:rsidRPr="00761653" w:rsidRDefault="00B61B7C" w:rsidP="00B61B7C">
      <w:pPr>
        <w:widowControl w:val="0"/>
        <w:autoSpaceDE w:val="0"/>
        <w:autoSpaceDN w:val="0"/>
        <w:adjustRightInd w:val="0"/>
        <w:ind w:right="49"/>
        <w:contextualSpacing/>
      </w:pPr>
      <w:r w:rsidRPr="00284D51">
        <w:rPr>
          <w:i/>
          <w:iCs/>
        </w:rPr>
        <w:t>При клинически и микробиологически доказанной инфекции</w:t>
      </w:r>
      <w:r w:rsidRPr="00284D51">
        <w:t xml:space="preserve"> длительность</w:t>
      </w:r>
      <w:r w:rsidRPr="00761653">
        <w:t xml:space="preserve"> применения антибиотиков составляет не менее 7 дней, при соблюдении условий, что нормальная температура наблюдается не менее 4-х дней, очаги инфекции полностью регрессировали, достигнута (или предполагается) микробиологическая эрадикация возбудителя подтвержденной инфекции. После отмены антибиотиков продолжиют наблюдение </w:t>
      </w:r>
      <w:r>
        <w:t>пациента</w:t>
      </w:r>
      <w:r w:rsidRPr="00761653">
        <w:t xml:space="preserve"> с нейтропенией/лейкопенией в течение последующих 24-48 ч, и в случае появления температуры вновь назначают антибиотики. </w:t>
      </w:r>
    </w:p>
    <w:p w14:paraId="27737F61" w14:textId="77777777" w:rsidR="00B61B7C" w:rsidRDefault="00B61B7C" w:rsidP="00B61B7C">
      <w:pPr>
        <w:widowControl w:val="0"/>
        <w:autoSpaceDE w:val="0"/>
        <w:autoSpaceDN w:val="0"/>
        <w:adjustRightInd w:val="0"/>
        <w:ind w:right="49"/>
        <w:contextualSpacing/>
        <w:rPr>
          <w:b/>
          <w:bCs/>
        </w:rPr>
      </w:pPr>
    </w:p>
    <w:p w14:paraId="14EA67BC" w14:textId="77777777" w:rsidR="00B61B7C" w:rsidRPr="00284D51" w:rsidRDefault="00B61B7C" w:rsidP="00B61B7C">
      <w:pPr>
        <w:widowControl w:val="0"/>
        <w:autoSpaceDE w:val="0"/>
        <w:autoSpaceDN w:val="0"/>
        <w:adjustRightInd w:val="0"/>
        <w:ind w:right="49"/>
        <w:contextualSpacing/>
        <w:rPr>
          <w:bCs/>
          <w:i/>
          <w:iCs/>
          <w:u w:val="single"/>
        </w:rPr>
      </w:pPr>
      <w:r w:rsidRPr="00284D51">
        <w:rPr>
          <w:bCs/>
          <w:i/>
          <w:iCs/>
          <w:u w:val="single"/>
        </w:rPr>
        <w:t>Лечение пациентов в амбулаторных условиях</w:t>
      </w:r>
    </w:p>
    <w:p w14:paraId="7F9A5350" w14:textId="77777777" w:rsidR="00B61B7C" w:rsidRDefault="00B61B7C" w:rsidP="00B61B7C">
      <w:pPr>
        <w:widowControl w:val="0"/>
        <w:autoSpaceDE w:val="0"/>
        <w:autoSpaceDN w:val="0"/>
        <w:adjustRightInd w:val="0"/>
        <w:ind w:right="49"/>
        <w:contextualSpacing/>
      </w:pPr>
      <w:r w:rsidRPr="00761653">
        <w:t xml:space="preserve">Амбулаторное лечение инфекционных осложнений в период нейтропении/лейкопении </w:t>
      </w:r>
      <w:r w:rsidRPr="00D40538">
        <w:t xml:space="preserve">проводят в большинстве случаев при условии, что ожидаемая длительность ее не будет превышать 5-10 дней и единственный симптом инфекции – температура менее 39,0°С; при этом нет значимых изменений в легких по данным радиологических исследований; отсутствует артериальная гипотензия и дыхательная недостаточность; нет клиники декомпенсации </w:t>
      </w:r>
      <w:r w:rsidRPr="00761653">
        <w:t xml:space="preserve">хронических заболеваний легких и сахарного диабета; нет нарушения сознания; отсутствует кровотечение; на предыдущих курсах химиотерапии не было инвазивного аспергиллеза. При ухудшении состояния больной должен быть </w:t>
      </w:r>
      <w:r w:rsidRPr="00D40538">
        <w:t xml:space="preserve">экстренно </w:t>
      </w:r>
      <w:r w:rsidRPr="00761653">
        <w:t xml:space="preserve">госпитализирован в стационар в любое время суток. </w:t>
      </w:r>
    </w:p>
    <w:p w14:paraId="5E7B10DB" w14:textId="77777777" w:rsidR="00B61B7C" w:rsidRDefault="00B61B7C" w:rsidP="00B61B7C">
      <w:pPr>
        <w:widowControl w:val="0"/>
        <w:autoSpaceDE w:val="0"/>
        <w:autoSpaceDN w:val="0"/>
        <w:adjustRightInd w:val="0"/>
        <w:ind w:right="49"/>
        <w:contextualSpacing/>
      </w:pPr>
      <w:r w:rsidRPr="00761653">
        <w:t xml:space="preserve">Амбулаторно назначают сочетание амоксициллина/клавуланата (625 мг внутрь 3 раза в сутки) с ципрофлоксацином (0,5 г внутрь 2 раза в сутки) </w:t>
      </w:r>
      <w:r w:rsidRPr="00761653">
        <w:rPr>
          <w:i/>
          <w:iCs/>
        </w:rPr>
        <w:t xml:space="preserve">или </w:t>
      </w:r>
      <w:r w:rsidRPr="00761653">
        <w:t xml:space="preserve">левофлоксацин (по 0,5 г внутрь 1 раз в сутки) </w:t>
      </w:r>
      <w:r w:rsidRPr="00761653">
        <w:rPr>
          <w:i/>
          <w:iCs/>
        </w:rPr>
        <w:t>или</w:t>
      </w:r>
      <w:r w:rsidRPr="00761653">
        <w:t xml:space="preserve"> моксифлоксацин (0,4 г внутрь1 раз в сутки).</w:t>
      </w:r>
    </w:p>
    <w:p w14:paraId="324297DF" w14:textId="77777777" w:rsidR="00B61B7C" w:rsidRDefault="00B61B7C" w:rsidP="00B61B7C">
      <w:pPr>
        <w:widowControl w:val="0"/>
        <w:autoSpaceDE w:val="0"/>
        <w:autoSpaceDN w:val="0"/>
        <w:adjustRightInd w:val="0"/>
        <w:ind w:right="49"/>
        <w:contextualSpacing/>
        <w:jc w:val="left"/>
        <w:rPr>
          <w:b/>
        </w:rPr>
      </w:pPr>
    </w:p>
    <w:p w14:paraId="3FC91895" w14:textId="77777777" w:rsidR="00B61B7C" w:rsidRPr="00284D51" w:rsidRDefault="00B61B7C" w:rsidP="00B61B7C">
      <w:pPr>
        <w:widowControl w:val="0"/>
        <w:autoSpaceDE w:val="0"/>
        <w:autoSpaceDN w:val="0"/>
        <w:adjustRightInd w:val="0"/>
        <w:ind w:right="49"/>
        <w:contextualSpacing/>
        <w:rPr>
          <w:bCs/>
          <w:i/>
          <w:iCs/>
          <w:u w:val="single"/>
        </w:rPr>
      </w:pPr>
      <w:r w:rsidRPr="00284D51">
        <w:rPr>
          <w:bCs/>
          <w:i/>
          <w:iCs/>
          <w:u w:val="single"/>
        </w:rPr>
        <w:t xml:space="preserve">Перианальная инфекция </w:t>
      </w:r>
    </w:p>
    <w:p w14:paraId="20C0EC6A" w14:textId="77777777" w:rsidR="00B61B7C" w:rsidRPr="009A4DCC" w:rsidRDefault="00B61B7C" w:rsidP="00B61B7C">
      <w:pPr>
        <w:widowControl w:val="0"/>
        <w:autoSpaceDE w:val="0"/>
        <w:autoSpaceDN w:val="0"/>
        <w:adjustRightInd w:val="0"/>
        <w:ind w:right="49"/>
        <w:contextualSpacing/>
      </w:pPr>
      <w:r>
        <w:t>Перианальная инфекция чаще встречается при нейтропении, которая</w:t>
      </w:r>
      <w:r w:rsidRPr="009A4DCC">
        <w:t xml:space="preserve"> существенным образом меняет клинику и течение инфекционных процессов, формирование воспалительных изменений в тканях может быть отсроченным и иметь атипичные формы; так, формирование абсцессов в условиях нейтропении происходит редко, изменения в тканях могут представлять собой воспалител</w:t>
      </w:r>
      <w:r>
        <w:t>ьные инфильтраты и некрозы</w:t>
      </w:r>
      <w:r w:rsidRPr="009A4DCC">
        <w:t>. Кроме того, нейтропения определяет возможность для появления дополнительных механизмов инфицирования – распространения микроорганизмов в ткани и кровоток со слизистой кишечника, через повреждения кожи анального канала и перианальной области. Поэтому в условиях нейтропении частыми источниками инфицирования параректальной клетчатки становятся анальные трещины, язвы, эрозивные проктиты, дерматиты и другие процессы, нарушающие барьерну</w:t>
      </w:r>
      <w:r>
        <w:t>ю функцию кожи и слизистой</w:t>
      </w:r>
      <w:r w:rsidRPr="009A4DCC">
        <w:t>.</w:t>
      </w:r>
      <w:r>
        <w:t xml:space="preserve"> </w:t>
      </w:r>
      <w:r w:rsidRPr="009A4DCC">
        <w:t xml:space="preserve">Опасность перианальной инфекции на фоне нейтропении обусловлена высокой </w:t>
      </w:r>
      <w:r>
        <w:t>(до 30%) вероятностью сепсиса</w:t>
      </w:r>
      <w:r w:rsidRPr="009A4DCC">
        <w:t xml:space="preserve">. </w:t>
      </w:r>
    </w:p>
    <w:p w14:paraId="243A61A5" w14:textId="77777777" w:rsidR="00B61B7C" w:rsidRPr="00284D51" w:rsidRDefault="00B61B7C" w:rsidP="00B61B7C">
      <w:pPr>
        <w:ind w:firstLine="708"/>
        <w:rPr>
          <w:bCs/>
          <w:i/>
          <w:iCs/>
        </w:rPr>
      </w:pPr>
      <w:r w:rsidRPr="00284D51">
        <w:rPr>
          <w:bCs/>
          <w:i/>
          <w:iCs/>
        </w:rPr>
        <w:t>Клиническая картина.</w:t>
      </w:r>
    </w:p>
    <w:p w14:paraId="6EC0C730" w14:textId="77777777" w:rsidR="00B61B7C" w:rsidRPr="009A4DCC" w:rsidRDefault="00B61B7C" w:rsidP="00B61B7C">
      <w:pPr>
        <w:ind w:firstLine="708"/>
      </w:pPr>
      <w:r w:rsidRPr="009A4DCC">
        <w:t>Признаками перианальной инфекции обычно являются ан</w:t>
      </w:r>
      <w:r>
        <w:t>оректальная боль и лихорадка</w:t>
      </w:r>
      <w:r w:rsidRPr="009A4DCC">
        <w:t>. Оценка характера изменений в тканях является основой для выбора тактики лечения.</w:t>
      </w:r>
    </w:p>
    <w:p w14:paraId="74A66AE1" w14:textId="77777777" w:rsidR="00B61B7C" w:rsidRPr="00284D51" w:rsidRDefault="00B61B7C" w:rsidP="00B61B7C">
      <w:pPr>
        <w:ind w:firstLine="708"/>
        <w:rPr>
          <w:bCs/>
          <w:i/>
          <w:iCs/>
        </w:rPr>
      </w:pPr>
      <w:r w:rsidRPr="00284D51">
        <w:rPr>
          <w:bCs/>
          <w:i/>
          <w:iCs/>
        </w:rPr>
        <w:t>Диагностика.</w:t>
      </w:r>
    </w:p>
    <w:p w14:paraId="2F5F300D" w14:textId="77777777" w:rsidR="00B61B7C" w:rsidRPr="009A4DCC" w:rsidRDefault="00B61B7C" w:rsidP="00B20852">
      <w:pPr>
        <w:pStyle w:val="afe"/>
        <w:numPr>
          <w:ilvl w:val="0"/>
          <w:numId w:val="80"/>
        </w:numPr>
      </w:pPr>
      <w:r w:rsidRPr="009A4DCC">
        <w:t>Осмотр колопроктолога (первичный и повторно в динамике)</w:t>
      </w:r>
    </w:p>
    <w:p w14:paraId="71C3355E" w14:textId="77777777" w:rsidR="00B61B7C" w:rsidRPr="009A4DCC" w:rsidRDefault="00B61B7C" w:rsidP="00B20852">
      <w:pPr>
        <w:pStyle w:val="afe"/>
        <w:numPr>
          <w:ilvl w:val="0"/>
          <w:numId w:val="80"/>
        </w:numPr>
      </w:pPr>
      <w:r w:rsidRPr="009A4DCC">
        <w:t>МРТ органов малого таза.</w:t>
      </w:r>
    </w:p>
    <w:p w14:paraId="68E33E66" w14:textId="77777777" w:rsidR="00B61B7C" w:rsidRPr="009A4DCC" w:rsidRDefault="00B61B7C" w:rsidP="00B20852">
      <w:pPr>
        <w:pStyle w:val="afe"/>
        <w:numPr>
          <w:ilvl w:val="0"/>
          <w:numId w:val="80"/>
        </w:numPr>
      </w:pPr>
      <w:r>
        <w:t>КТ/СКТ</w:t>
      </w:r>
      <w:r w:rsidRPr="009A4DCC">
        <w:t xml:space="preserve"> органов малого таза</w:t>
      </w:r>
    </w:p>
    <w:p w14:paraId="70DDB494" w14:textId="77777777" w:rsidR="00B61B7C" w:rsidRPr="00AE580F" w:rsidRDefault="00B61B7C" w:rsidP="00B20852">
      <w:pPr>
        <w:pStyle w:val="afe"/>
        <w:numPr>
          <w:ilvl w:val="0"/>
          <w:numId w:val="80"/>
        </w:numPr>
      </w:pPr>
      <w:r>
        <w:t>Бактериологическое исследование</w:t>
      </w:r>
    </w:p>
    <w:p w14:paraId="046596B1" w14:textId="77777777" w:rsidR="00B61B7C" w:rsidRPr="009A4DCC" w:rsidRDefault="00B61B7C" w:rsidP="00B61B7C">
      <w:pPr>
        <w:ind w:firstLine="708"/>
      </w:pPr>
      <w:r w:rsidRPr="009A4DCC">
        <w:t>Диагноз перианальной инфекции устанавливается клинически на основании симптомов</w:t>
      </w:r>
      <w:r>
        <w:t>,</w:t>
      </w:r>
      <w:r w:rsidRPr="009A4DCC">
        <w:t xml:space="preserve"> характеризующих воспаление: перианальная боль, эритема, скопление жидк</w:t>
      </w:r>
      <w:r>
        <w:t>ости или образование свища</w:t>
      </w:r>
      <w:r w:rsidRPr="009A4DCC">
        <w:t>. При обследовании пациентов с нейтропенией важно учитывать, что инвазивные диагностические процедуры (ректальное исследование и ректоскопии) у этой категории больных связаны с опасностью диссеминации</w:t>
      </w:r>
      <w:r>
        <w:t xml:space="preserve"> инфекции в ткани и кровоток</w:t>
      </w:r>
      <w:r w:rsidRPr="009A4DCC">
        <w:t>. Если диагноз перианальной инфекции сомнителен у пациента с перианальной болью и недостаточностью клинических признаков, проводится визуализация с помощью МРТ или КТ</w:t>
      </w:r>
      <w:r>
        <w:t>/СКТ органов малого таза</w:t>
      </w:r>
      <w:r w:rsidRPr="009A4DCC">
        <w:t>. МРТ признаками перианальной инфекции является наличие полостей в параректальной клетчатке, скоплений жидкости, дефектов стенки прямой кишки и свищевых ходов. У больных с нейтропенией при наличии клинических данных достаточным МРТ-признаком перианальной инфекции является наличие отека па</w:t>
      </w:r>
      <w:r>
        <w:t>раректальной клетчатки</w:t>
      </w:r>
      <w:r w:rsidRPr="009A4DCC">
        <w:t>. Для выявления характера микрофлоры, назначения и модификации антибактериальной терапии проводят микробиологическое, молекулярное и др. исследования мазков со слизистой прямой кишки, отделяемого свища, поверхности раны</w:t>
      </w:r>
      <w:r>
        <w:t>, соскоба кожи перианальной области</w:t>
      </w:r>
      <w:r w:rsidRPr="009A4DCC">
        <w:t xml:space="preserve">. </w:t>
      </w:r>
    </w:p>
    <w:p w14:paraId="4852C0C5" w14:textId="77777777" w:rsidR="00B61B7C" w:rsidRPr="00284D51" w:rsidRDefault="00B61B7C" w:rsidP="00B61B7C">
      <w:pPr>
        <w:ind w:firstLine="708"/>
        <w:rPr>
          <w:bCs/>
          <w:i/>
          <w:iCs/>
        </w:rPr>
      </w:pPr>
      <w:r w:rsidRPr="00284D51">
        <w:rPr>
          <w:bCs/>
          <w:i/>
          <w:iCs/>
        </w:rPr>
        <w:t>Лечение</w:t>
      </w:r>
    </w:p>
    <w:p w14:paraId="29BA0F73" w14:textId="77777777" w:rsidR="00B61B7C" w:rsidRPr="00F36465" w:rsidRDefault="00B61B7C" w:rsidP="00B20852">
      <w:pPr>
        <w:pStyle w:val="afe"/>
        <w:numPr>
          <w:ilvl w:val="0"/>
          <w:numId w:val="81"/>
        </w:numPr>
      </w:pPr>
      <w:r w:rsidRPr="00F36465">
        <w:t>Антибактериальная терапия</w:t>
      </w:r>
      <w:r>
        <w:t xml:space="preserve"> (см. выше)</w:t>
      </w:r>
    </w:p>
    <w:p w14:paraId="61EF65FF" w14:textId="77777777" w:rsidR="00B61B7C" w:rsidRPr="00F22A59" w:rsidRDefault="00B61B7C" w:rsidP="00B20852">
      <w:pPr>
        <w:pStyle w:val="afe"/>
        <w:numPr>
          <w:ilvl w:val="0"/>
          <w:numId w:val="81"/>
        </w:numPr>
      </w:pPr>
      <w:r>
        <w:t>Хирургическое пособие</w:t>
      </w:r>
    </w:p>
    <w:p w14:paraId="3828E2D2" w14:textId="77777777" w:rsidR="00B61B7C" w:rsidRPr="009A4DCC" w:rsidRDefault="00B61B7C" w:rsidP="00B61B7C">
      <w:pPr>
        <w:ind w:firstLine="708"/>
      </w:pPr>
      <w:r w:rsidRPr="009A4DCC">
        <w:t>Для пациентов страдающих нейтропенией или иной формой иммуносупресии, аноректальные инфекции рассматриваются как состояние, требующее неотложного лечения с помощью антибиотиков, что позволяется остановить развитие аноректал</w:t>
      </w:r>
      <w:r>
        <w:t>ьной инфекции и сепсиса</w:t>
      </w:r>
      <w:r w:rsidRPr="009A4DCC">
        <w:t>. Показано применение на первом этапе антимикробных препаратов, проявляющих активность в отношении грамотрицательных бактерий, включа</w:t>
      </w:r>
      <w:r>
        <w:t>я синегнойную палочку</w:t>
      </w:r>
      <w:r w:rsidRPr="009A4DCC">
        <w:t xml:space="preserve">, введение антимикробных препаратов проводится только </w:t>
      </w:r>
      <w:r>
        <w:t xml:space="preserve">внутрь и </w:t>
      </w:r>
      <w:r w:rsidRPr="009A4DCC">
        <w:t xml:space="preserve">внутривенно. </w:t>
      </w:r>
    </w:p>
    <w:p w14:paraId="13925D72" w14:textId="77777777" w:rsidR="00B61B7C" w:rsidRPr="009A4DCC" w:rsidRDefault="00B61B7C" w:rsidP="00B61B7C">
      <w:pPr>
        <w:ind w:firstLine="708"/>
      </w:pPr>
      <w:r w:rsidRPr="009A4DCC">
        <w:t>Показанием к операции является формировани</w:t>
      </w:r>
      <w:r>
        <w:t>е абсцесса или некроза</w:t>
      </w:r>
      <w:r w:rsidRPr="009A4DCC">
        <w:t>. Выполняют дрениро</w:t>
      </w:r>
      <w:r>
        <w:t>вание полостей, некрэктомию</w:t>
      </w:r>
      <w:r w:rsidRPr="009A4DCC">
        <w:t>. В ряде случаев (флегмона таза, свищи 3-4 степени сложности) оперативное дренирование сочетают с наложением отводящей колостомы. Хирургическое вмешательство должно быть проведено на фоне антибактериальной терапии под общим обезболиванием. Антибактериальная терапия должна быть продолжена в послеоперационном периоде до исче</w:t>
      </w:r>
      <w:r>
        <w:t>зновения признаков инфекции</w:t>
      </w:r>
      <w:r w:rsidRPr="009A4DCC">
        <w:t xml:space="preserve">. </w:t>
      </w:r>
    </w:p>
    <w:p w14:paraId="71179901" w14:textId="77777777" w:rsidR="00B61B7C" w:rsidRPr="009A4DCC" w:rsidRDefault="00B61B7C" w:rsidP="00B61B7C">
      <w:pPr>
        <w:ind w:firstLine="708"/>
      </w:pPr>
      <w:r w:rsidRPr="009A4DCC">
        <w:t>Пациенты с абсолютным количеством нейтрофилов более 1000х10</w:t>
      </w:r>
      <w:r w:rsidRPr="009A4DCC">
        <w:rPr>
          <w:vertAlign w:val="superscript"/>
        </w:rPr>
        <w:t>9</w:t>
      </w:r>
      <w:r w:rsidRPr="009A4DCC">
        <w:t xml:space="preserve">/л имеют более высокие показатели излечения при хирургическом дренировании, пациенты с более низким количеством нейтрофилов и / или отсутствием флюктуации более успешно лечатся </w:t>
      </w:r>
      <w:r>
        <w:t xml:space="preserve">применением </w:t>
      </w:r>
      <w:r w:rsidRPr="009A4DCC">
        <w:t>только антибиотик</w:t>
      </w:r>
      <w:r>
        <w:t>ов</w:t>
      </w:r>
      <w:r w:rsidRPr="009A4DCC">
        <w:t xml:space="preserve">. </w:t>
      </w:r>
    </w:p>
    <w:p w14:paraId="3155BD37" w14:textId="77777777" w:rsidR="00B61B7C" w:rsidRPr="00284D51" w:rsidRDefault="00B61B7C" w:rsidP="00B61B7C">
      <w:pPr>
        <w:ind w:firstLine="708"/>
      </w:pPr>
      <w:r w:rsidRPr="009A4DCC">
        <w:t xml:space="preserve">Прогноз при перианальной инфекции зависит от клинической ситуации. Показатель летальности непосредственно связанный с перианальными инфекционными осложнениями среди онкогематологических пациентов </w:t>
      </w:r>
      <w:r>
        <w:t>при адекватных подходах составляет менее 5%</w:t>
      </w:r>
      <w:r w:rsidRPr="009A4DCC">
        <w:t>.</w:t>
      </w:r>
    </w:p>
    <w:p w14:paraId="29DC254F" w14:textId="78B87842" w:rsidR="009E610C" w:rsidRDefault="009E610C" w:rsidP="009E610C">
      <w:pPr>
        <w:ind w:right="49"/>
        <w:contextualSpacing/>
        <w:rPr>
          <w:b/>
          <w:sz w:val="28"/>
          <w:szCs w:val="24"/>
        </w:rPr>
      </w:pPr>
    </w:p>
    <w:p w14:paraId="64A72E4D" w14:textId="2F670485" w:rsidR="00B20852" w:rsidRPr="00B20852" w:rsidRDefault="00E3070F" w:rsidP="00B20852">
      <w:pPr>
        <w:pStyle w:val="2"/>
      </w:pPr>
      <w:bookmarkStart w:id="78" w:name="_Toc65586414"/>
      <w:r w:rsidRPr="009E610C">
        <w:t>7.1</w:t>
      </w:r>
      <w:r>
        <w:t xml:space="preserve">2. </w:t>
      </w:r>
      <w:r w:rsidR="00B20852" w:rsidRPr="00262806">
        <w:t>Вирусные инфекции у пациентов с гематологическими заболеваниями</w:t>
      </w:r>
      <w:bookmarkEnd w:id="78"/>
    </w:p>
    <w:p w14:paraId="581590AE" w14:textId="77777777" w:rsidR="00B20852" w:rsidRDefault="00B20852" w:rsidP="00B20852">
      <w:pPr>
        <w:ind w:firstLine="708"/>
        <w:rPr>
          <w:rFonts w:cs="Times New Roman"/>
        </w:rPr>
      </w:pPr>
      <w:r w:rsidRPr="0028579C">
        <w:rPr>
          <w:rFonts w:cs="Times New Roman"/>
        </w:rPr>
        <w:t xml:space="preserve">Герпесвирусные инфекции диагностируют </w:t>
      </w:r>
      <w:r>
        <w:rPr>
          <w:rFonts w:cs="Times New Roman"/>
        </w:rPr>
        <w:t>чаще</w:t>
      </w:r>
      <w:r w:rsidRPr="0028579C">
        <w:rPr>
          <w:rFonts w:cs="Times New Roman"/>
        </w:rPr>
        <w:t xml:space="preserve"> всего у </w:t>
      </w:r>
      <w:r>
        <w:rPr>
          <w:rFonts w:cs="Times New Roman"/>
        </w:rPr>
        <w:t>гематологических пациентов с</w:t>
      </w:r>
      <w:r w:rsidRPr="0028579C">
        <w:rPr>
          <w:rFonts w:cs="Times New Roman"/>
        </w:rPr>
        <w:t xml:space="preserve"> лимфопролиферативными заболеваниями и у реципиентов аллогенных </w:t>
      </w:r>
      <w:r w:rsidRPr="00053026">
        <w:rPr>
          <w:rFonts w:cs="Times New Roman"/>
        </w:rPr>
        <w:t>гемопоэтических стволовых клеток</w:t>
      </w:r>
      <w:r w:rsidRPr="0028579C">
        <w:rPr>
          <w:rFonts w:cs="Times New Roman"/>
        </w:rPr>
        <w:t xml:space="preserve"> </w:t>
      </w:r>
      <w:r>
        <w:rPr>
          <w:rFonts w:cs="Times New Roman"/>
        </w:rPr>
        <w:t>(</w:t>
      </w:r>
      <w:r w:rsidRPr="0028579C">
        <w:rPr>
          <w:rFonts w:cs="Times New Roman"/>
        </w:rPr>
        <w:t>ТГСК</w:t>
      </w:r>
      <w:r>
        <w:rPr>
          <w:rFonts w:cs="Times New Roman"/>
        </w:rPr>
        <w:t>)</w:t>
      </w:r>
      <w:r w:rsidRPr="0028579C">
        <w:rPr>
          <w:rFonts w:cs="Times New Roman"/>
        </w:rPr>
        <w:t xml:space="preserve">. </w:t>
      </w:r>
      <w:r>
        <w:rPr>
          <w:rFonts w:cs="Times New Roman"/>
        </w:rPr>
        <w:t>Для диагностики герпесвирусных инфекций проводят комплекс необходимых инструментальных исследований для получения материала – исследование полости рта, промежности, влагалища, прямой кишки, эзофагогастродуоденоскопия, бронхоальвеалярный лаваж, люмбальная пункция, пункция/биопсия ткани/очага поражения любой локализации, выявленных при УЗИ, КТ/СКТ, МРТ органов и полостей, или физикально (</w:t>
      </w:r>
      <w:r w:rsidRPr="0028579C">
        <w:rPr>
          <w:rFonts w:cs="Times New Roman"/>
        </w:rPr>
        <w:t>везикул</w:t>
      </w:r>
      <w:r>
        <w:rPr>
          <w:rFonts w:cs="Times New Roman"/>
        </w:rPr>
        <w:t>ы</w:t>
      </w:r>
      <w:r w:rsidRPr="0028579C">
        <w:rPr>
          <w:rFonts w:cs="Times New Roman"/>
        </w:rPr>
        <w:t>, “корочки” с везикул</w:t>
      </w:r>
      <w:r>
        <w:rPr>
          <w:rFonts w:cs="Times New Roman"/>
        </w:rPr>
        <w:t xml:space="preserve">), </w:t>
      </w:r>
      <w:r w:rsidRPr="0028579C">
        <w:rPr>
          <w:rFonts w:cs="Times New Roman"/>
        </w:rPr>
        <w:t>сыворотк</w:t>
      </w:r>
      <w:r>
        <w:rPr>
          <w:rFonts w:cs="Times New Roman"/>
        </w:rPr>
        <w:t>а</w:t>
      </w:r>
      <w:r w:rsidRPr="0028579C">
        <w:rPr>
          <w:rFonts w:cs="Times New Roman"/>
        </w:rPr>
        <w:t xml:space="preserve"> крови</w:t>
      </w:r>
      <w:r>
        <w:rPr>
          <w:rFonts w:cs="Times New Roman"/>
        </w:rPr>
        <w:t>, и др</w:t>
      </w:r>
      <w:r w:rsidRPr="0028579C">
        <w:rPr>
          <w:rFonts w:cs="Times New Roman"/>
        </w:rPr>
        <w:t>.</w:t>
      </w:r>
    </w:p>
    <w:p w14:paraId="4E5C5806" w14:textId="77777777" w:rsidR="00B20852" w:rsidRDefault="00B20852" w:rsidP="00B20852">
      <w:pPr>
        <w:ind w:firstLine="708"/>
        <w:rPr>
          <w:rFonts w:cs="Times New Roman"/>
        </w:rPr>
      </w:pPr>
    </w:p>
    <w:p w14:paraId="47A9BED6" w14:textId="77777777" w:rsidR="00B20852" w:rsidRPr="00A14D1D" w:rsidRDefault="00B20852" w:rsidP="00B20852">
      <w:pPr>
        <w:rPr>
          <w:rFonts w:cs="Times New Roman"/>
          <w:bCs/>
          <w:i/>
          <w:iCs/>
          <w:u w:val="single"/>
        </w:rPr>
      </w:pPr>
      <w:r w:rsidRPr="00A14D1D">
        <w:rPr>
          <w:rFonts w:cs="Times New Roman"/>
          <w:bCs/>
          <w:i/>
          <w:iCs/>
          <w:u w:val="single"/>
        </w:rPr>
        <w:t>Вирусы простого герпеса 1 и 2 типа (Herpes simplex virus, HSV)</w:t>
      </w:r>
    </w:p>
    <w:p w14:paraId="560AFDB8" w14:textId="02443C81" w:rsidR="00B20852" w:rsidRPr="00867D9A" w:rsidRDefault="00B20852" w:rsidP="00B20852">
      <w:pPr>
        <w:ind w:firstLine="708"/>
        <w:rPr>
          <w:rFonts w:cs="Times New Roman"/>
        </w:rPr>
      </w:pPr>
      <w:r>
        <w:rPr>
          <w:rFonts w:cs="Times New Roman"/>
        </w:rPr>
        <w:t>HSV</w:t>
      </w:r>
      <w:r w:rsidRPr="006B215F">
        <w:rPr>
          <w:rFonts w:cs="Times New Roman"/>
        </w:rPr>
        <w:t xml:space="preserve"> вызывают у </w:t>
      </w:r>
      <w:r>
        <w:rPr>
          <w:rFonts w:cs="Times New Roman"/>
        </w:rPr>
        <w:t>пациентов</w:t>
      </w:r>
      <w:r w:rsidRPr="006B215F">
        <w:rPr>
          <w:rFonts w:cs="Times New Roman"/>
        </w:rPr>
        <w:t xml:space="preserve"> гематологическими заболеваниями прежде всего </w:t>
      </w:r>
      <w:r w:rsidRPr="0028579C">
        <w:rPr>
          <w:rFonts w:cs="Times New Roman"/>
        </w:rPr>
        <w:t xml:space="preserve">повреждение слизистых оболочек (мукозиты), чаще HSV 1 тип. До 80% взрослых </w:t>
      </w:r>
      <w:r>
        <w:rPr>
          <w:rFonts w:cs="Times New Roman"/>
        </w:rPr>
        <w:t xml:space="preserve">пациентов с </w:t>
      </w:r>
      <w:r w:rsidRPr="0028579C">
        <w:rPr>
          <w:rFonts w:cs="Times New Roman"/>
        </w:rPr>
        <w:t>острыми миелоидными лейкозами (ОМЛ) являются серопозитивными</w:t>
      </w:r>
      <w:r>
        <w:rPr>
          <w:rFonts w:cs="Times New Roman"/>
        </w:rPr>
        <w:t xml:space="preserve"> по HSV</w:t>
      </w:r>
      <w:r w:rsidRPr="0028579C">
        <w:rPr>
          <w:rFonts w:cs="Times New Roman"/>
        </w:rPr>
        <w:t>. Мукозиты, вызванные HSV, являются</w:t>
      </w:r>
      <w:r>
        <w:rPr>
          <w:rFonts w:cs="Times New Roman"/>
        </w:rPr>
        <w:t>,</w:t>
      </w:r>
      <w:r w:rsidRPr="0028579C">
        <w:rPr>
          <w:rFonts w:cs="Times New Roman"/>
        </w:rPr>
        <w:t xml:space="preserve"> как правило</w:t>
      </w:r>
      <w:r>
        <w:rPr>
          <w:rFonts w:cs="Times New Roman"/>
        </w:rPr>
        <w:t>,</w:t>
      </w:r>
      <w:r w:rsidRPr="0028579C">
        <w:rPr>
          <w:rFonts w:cs="Times New Roman"/>
        </w:rPr>
        <w:t xml:space="preserve"> проявлением реактивации латентной вирусной инфекции во время курсов полихимиотерапии (ПХТ) и у реципиентов ТГСК. Частота мукозитов, вызванных HSV, среди серопозитивных</w:t>
      </w:r>
      <w:r>
        <w:rPr>
          <w:rFonts w:cs="Times New Roman"/>
        </w:rPr>
        <w:t xml:space="preserve"> пациентов ОМЛ во время ПХТ составляет 61%- 66%</w:t>
      </w:r>
      <w:r w:rsidRPr="006B215F">
        <w:rPr>
          <w:rFonts w:cs="Times New Roman"/>
        </w:rPr>
        <w:t xml:space="preserve">, среди реципиентов аллогенных ТГСК достигает 80%, из них основная доля в первые 4 недели после ТГСК. При реактивации </w:t>
      </w:r>
      <w:r>
        <w:rPr>
          <w:rFonts w:cs="Times New Roman"/>
        </w:rPr>
        <w:t>HSV</w:t>
      </w:r>
      <w:r w:rsidRPr="006B215F">
        <w:rPr>
          <w:rFonts w:cs="Times New Roman"/>
        </w:rPr>
        <w:t xml:space="preserve"> орофарингеальные дефекты на слизистой оболочке возникают у 85-90%, в области промежности (генитальный гесрпес) – у 10-15% больных. Другая манифестация реактивации </w:t>
      </w:r>
      <w:r>
        <w:rPr>
          <w:rFonts w:cs="Times New Roman"/>
        </w:rPr>
        <w:t>HSV</w:t>
      </w:r>
      <w:r w:rsidRPr="006B215F">
        <w:rPr>
          <w:rFonts w:cs="Times New Roman"/>
        </w:rPr>
        <w:t xml:space="preserve"> – это эзофагит (10%). К редким проявлениям </w:t>
      </w:r>
      <w:r w:rsidRPr="00867D9A">
        <w:rPr>
          <w:rFonts w:cs="Times New Roman"/>
        </w:rPr>
        <w:t xml:space="preserve">относят пневмонию (2-3% при отсутствии профилактики), гепатиты, менингит, энцефалит </w:t>
      </w:r>
      <w:r w:rsidRPr="00867D9A">
        <w:rPr>
          <w:rFonts w:cs="Times New Roman"/>
        </w:rPr>
        <w:fldChar w:fldCharType="begin" w:fldLock="1"/>
      </w:r>
      <w:r w:rsidR="00BA021B">
        <w:rPr>
          <w:rFonts w:cs="Times New Roman"/>
        </w:rPr>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[105]","plainTextFormattedCitation":"[105]","previouslyFormattedCitation":"[105]"},"properties":{"noteIndex":0},"schema":"https://github.com/citation-style-language/schema/raw/master/csl-citation.json"}</w:instrText>
      </w:r>
      <w:r w:rsidRPr="00867D9A">
        <w:rPr>
          <w:rFonts w:cs="Times New Roman"/>
        </w:rPr>
        <w:fldChar w:fldCharType="separate"/>
      </w:r>
      <w:r w:rsidR="00B0402F" w:rsidRPr="00B0402F">
        <w:rPr>
          <w:rFonts w:cs="Times New Roman"/>
          <w:noProof/>
        </w:rPr>
        <w:t>[105]</w:t>
      </w:r>
      <w:r w:rsidRPr="00867D9A">
        <w:rPr>
          <w:rFonts w:cs="Times New Roman"/>
        </w:rPr>
        <w:fldChar w:fldCharType="end"/>
      </w:r>
      <w:r w:rsidRPr="00867D9A">
        <w:rPr>
          <w:rFonts w:cs="Times New Roman"/>
        </w:rPr>
        <w:t>.</w:t>
      </w:r>
    </w:p>
    <w:p w14:paraId="7EB45DD9" w14:textId="77777777" w:rsidR="00B20852" w:rsidRPr="00867D9A" w:rsidRDefault="00B20852" w:rsidP="00B20852">
      <w:pPr>
        <w:ind w:firstLine="708"/>
        <w:rPr>
          <w:rFonts w:cs="Times New Roman"/>
          <w:bCs/>
          <w:i/>
          <w:iCs/>
        </w:rPr>
      </w:pPr>
      <w:r w:rsidRPr="00867D9A">
        <w:rPr>
          <w:rFonts w:cs="Times New Roman"/>
          <w:bCs/>
          <w:i/>
          <w:iCs/>
        </w:rPr>
        <w:t>Диагностика</w:t>
      </w:r>
    </w:p>
    <w:p w14:paraId="68813E26" w14:textId="28FB5952" w:rsidR="00B20852" w:rsidRPr="006B215F" w:rsidRDefault="00B20852" w:rsidP="00B20852">
      <w:pPr>
        <w:ind w:firstLine="708"/>
        <w:rPr>
          <w:rFonts w:cs="Times New Roman"/>
        </w:rPr>
      </w:pPr>
      <w:r w:rsidRPr="006B215F">
        <w:rPr>
          <w:rFonts w:cs="Times New Roman"/>
        </w:rPr>
        <w:t>Серологические тесты (выявление антител</w:t>
      </w:r>
      <w:r>
        <w:rPr>
          <w:rFonts w:cs="Times New Roman"/>
        </w:rPr>
        <w:t xml:space="preserve"> в крови, биологических жидкостях</w:t>
      </w:r>
      <w:r w:rsidRPr="006B215F">
        <w:rPr>
          <w:rFonts w:cs="Times New Roman"/>
        </w:rPr>
        <w:t>) проводят до индукционного курса П</w:t>
      </w:r>
      <w:r>
        <w:rPr>
          <w:rFonts w:cs="Times New Roman"/>
        </w:rPr>
        <w:t>ХТ и</w:t>
      </w:r>
      <w:r w:rsidRPr="006B215F">
        <w:rPr>
          <w:rFonts w:cs="Times New Roman"/>
        </w:rPr>
        <w:t xml:space="preserve"> перед ТГСК с целью выявдения серопозитивных пациентов</w:t>
      </w:r>
      <w:r>
        <w:rPr>
          <w:rFonts w:cs="Times New Roman"/>
        </w:rPr>
        <w:t xml:space="preserve"> </w:t>
      </w:r>
      <w:r w:rsidRPr="00867D9A">
        <w:rPr>
          <w:rFonts w:cs="Times New Roman"/>
        </w:rPr>
        <w:fldChar w:fldCharType="begin" w:fldLock="1"/>
      </w:r>
      <w:r w:rsidR="00BA021B">
        <w:rPr>
          <w:rFonts w:cs="Times New Roman"/>
        </w:rPr>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[105]","plainTextFormattedCitation":"[105]","previouslyFormattedCitation":"[105]"},"properties":{"noteIndex":0},"schema":"https://github.com/citation-style-language/schema/raw/master/csl-citation.json"}</w:instrText>
      </w:r>
      <w:r w:rsidRPr="00867D9A">
        <w:rPr>
          <w:rFonts w:cs="Times New Roman"/>
        </w:rPr>
        <w:fldChar w:fldCharType="separate"/>
      </w:r>
      <w:r w:rsidR="00B0402F" w:rsidRPr="00B0402F">
        <w:rPr>
          <w:rFonts w:cs="Times New Roman"/>
          <w:noProof/>
        </w:rPr>
        <w:t>[105]</w:t>
      </w:r>
      <w:r w:rsidRPr="00867D9A">
        <w:rPr>
          <w:rFonts w:cs="Times New Roman"/>
        </w:rPr>
        <w:fldChar w:fldCharType="end"/>
      </w:r>
      <w:r w:rsidRPr="006B215F">
        <w:rPr>
          <w:rFonts w:cs="Times New Roman"/>
        </w:rPr>
        <w:t>.</w:t>
      </w:r>
    </w:p>
    <w:p w14:paraId="413A1C6F" w14:textId="0B66FAFC" w:rsidR="00B20852" w:rsidRPr="006B215F" w:rsidRDefault="00B20852" w:rsidP="00B20852">
      <w:pPr>
        <w:ind w:firstLine="708"/>
        <w:rPr>
          <w:rFonts w:cs="Times New Roman"/>
        </w:rPr>
      </w:pPr>
      <w:r w:rsidRPr="006B215F">
        <w:rPr>
          <w:rFonts w:cs="Times New Roman"/>
        </w:rPr>
        <w:t xml:space="preserve">Для диагностики инфекции необходимо выявление вирусного генома </w:t>
      </w:r>
      <w:r>
        <w:rPr>
          <w:rFonts w:cs="Times New Roman"/>
        </w:rPr>
        <w:t xml:space="preserve">при молекулярно-биологическом исследовании </w:t>
      </w:r>
      <w:r w:rsidRPr="006B215F">
        <w:rPr>
          <w:rFonts w:cs="Times New Roman"/>
        </w:rPr>
        <w:t xml:space="preserve">методом </w:t>
      </w:r>
      <w:r w:rsidRPr="0028579C">
        <w:rPr>
          <w:rFonts w:cs="Times New Roman"/>
        </w:rPr>
        <w:t>полимеразной цепной реакции (ПЦР). Исследуемые</w:t>
      </w:r>
      <w:r w:rsidRPr="006B215F">
        <w:rPr>
          <w:rFonts w:cs="Times New Roman"/>
        </w:rPr>
        <w:t xml:space="preserve"> образцы – сыворотка крови, отделяемой со слизистой ротогл</w:t>
      </w:r>
      <w:r>
        <w:rPr>
          <w:rFonts w:cs="Times New Roman"/>
        </w:rPr>
        <w:t>отки (</w:t>
      </w:r>
      <w:r w:rsidRPr="006B215F">
        <w:rPr>
          <w:rFonts w:cs="Times New Roman"/>
        </w:rPr>
        <w:t xml:space="preserve">при наличии признаков мукозита) или со слизистой пищевода, </w:t>
      </w:r>
      <w:r>
        <w:rPr>
          <w:rFonts w:cs="Times New Roman"/>
        </w:rPr>
        <w:t xml:space="preserve">аспираты и </w:t>
      </w:r>
      <w:r w:rsidRPr="006B215F">
        <w:rPr>
          <w:rFonts w:cs="Times New Roman"/>
        </w:rPr>
        <w:t>биоптаты слизистых и органов</w:t>
      </w:r>
      <w:r>
        <w:rPr>
          <w:rFonts w:cs="Times New Roman"/>
        </w:rPr>
        <w:t xml:space="preserve"> </w:t>
      </w:r>
      <w:r w:rsidRPr="00867D9A">
        <w:rPr>
          <w:rFonts w:cs="Times New Roman"/>
        </w:rPr>
        <w:fldChar w:fldCharType="begin" w:fldLock="1"/>
      </w:r>
      <w:r w:rsidR="00BA021B">
        <w:rPr>
          <w:rFonts w:cs="Times New Roman"/>
        </w:rPr>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[105]","plainTextFormattedCitation":"[105]","previouslyFormattedCitation":"[105]"},"properties":{"noteIndex":0},"schema":"https://github.com/citation-style-language/schema/raw/master/csl-citation.json"}</w:instrText>
      </w:r>
      <w:r w:rsidRPr="00867D9A">
        <w:rPr>
          <w:rFonts w:cs="Times New Roman"/>
        </w:rPr>
        <w:fldChar w:fldCharType="separate"/>
      </w:r>
      <w:r w:rsidR="00B0402F" w:rsidRPr="00B0402F">
        <w:rPr>
          <w:rFonts w:cs="Times New Roman"/>
          <w:noProof/>
        </w:rPr>
        <w:t>[105]</w:t>
      </w:r>
      <w:r w:rsidRPr="00867D9A">
        <w:rPr>
          <w:rFonts w:cs="Times New Roman"/>
        </w:rPr>
        <w:fldChar w:fldCharType="end"/>
      </w:r>
      <w:r w:rsidRPr="006B215F">
        <w:rPr>
          <w:rFonts w:cs="Times New Roman"/>
        </w:rPr>
        <w:t>.</w:t>
      </w:r>
    </w:p>
    <w:p w14:paraId="6D61A5FD" w14:textId="77777777" w:rsidR="00B20852" w:rsidRPr="00CA38D1" w:rsidRDefault="00B20852" w:rsidP="00B20852">
      <w:pPr>
        <w:ind w:firstLine="708"/>
        <w:rPr>
          <w:rFonts w:cs="Times New Roman"/>
          <w:bCs/>
          <w:i/>
          <w:iCs/>
        </w:rPr>
      </w:pPr>
      <w:r w:rsidRPr="00CA38D1">
        <w:rPr>
          <w:rFonts w:cs="Times New Roman"/>
          <w:bCs/>
          <w:i/>
          <w:iCs/>
        </w:rPr>
        <w:t>Лечение</w:t>
      </w:r>
    </w:p>
    <w:p w14:paraId="5629C8AE" w14:textId="00D83F14" w:rsidR="00B20852" w:rsidRPr="006B215F" w:rsidRDefault="00B20852" w:rsidP="00B20852">
      <w:pPr>
        <w:ind w:firstLine="708"/>
        <w:rPr>
          <w:rFonts w:cs="Times New Roman"/>
        </w:rPr>
      </w:pPr>
      <w:r w:rsidRPr="006B215F">
        <w:rPr>
          <w:rFonts w:cs="Times New Roman"/>
        </w:rPr>
        <w:t>Назначают ацикловир в дозе 250 мг/м</w:t>
      </w:r>
      <w:r w:rsidRPr="00CA38D1">
        <w:rPr>
          <w:rFonts w:cs="Times New Roman"/>
          <w:vertAlign w:val="superscript"/>
        </w:rPr>
        <w:t>2</w:t>
      </w:r>
      <w:r w:rsidRPr="006B215F">
        <w:rPr>
          <w:rFonts w:cs="Times New Roman"/>
        </w:rPr>
        <w:t xml:space="preserve"> или 5 мг/кг каждые 8 часов в течение 7-10 дней. При нетяжелых мукозитах проводят лечение пероральной формой препаратов- ацикловир по 200 и 5 раз или по 400 мг 5 раз в сутки, валацикловир – по 500 мг х 2 раза, фамцикловир по 500 мг 2 раза в течение 10 дней. При пневмонии или менингите используют высокие дозы ацикловира внутривенно 500 мг/м</w:t>
      </w:r>
      <w:r w:rsidRPr="006B215F">
        <w:rPr>
          <w:rFonts w:cs="Times New Roman"/>
          <w:vertAlign w:val="superscript"/>
        </w:rPr>
        <w:t xml:space="preserve">2 </w:t>
      </w:r>
      <w:r w:rsidRPr="006B215F">
        <w:rPr>
          <w:rFonts w:cs="Times New Roman"/>
        </w:rPr>
        <w:t>или 10 мг/кг каждые 8 часов в течение 14-21 дня</w:t>
      </w:r>
      <w:r>
        <w:rPr>
          <w:rFonts w:cs="Times New Roman"/>
        </w:rPr>
        <w:t xml:space="preserve"> </w:t>
      </w:r>
      <w:r w:rsidRPr="00867D9A">
        <w:rPr>
          <w:rFonts w:cs="Times New Roman"/>
        </w:rPr>
        <w:fldChar w:fldCharType="begin" w:fldLock="1"/>
      </w:r>
      <w:r w:rsidR="00BA021B">
        <w:rPr>
          <w:rFonts w:cs="Times New Roman"/>
        </w:rPr>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[105]","plainTextFormattedCitation":"[105]","previouslyFormattedCitation":"[105]"},"properties":{"noteIndex":0},"schema":"https://github.com/citation-style-language/schema/raw/master/csl-citation.json"}</w:instrText>
      </w:r>
      <w:r w:rsidRPr="00867D9A">
        <w:rPr>
          <w:rFonts w:cs="Times New Roman"/>
        </w:rPr>
        <w:fldChar w:fldCharType="separate"/>
      </w:r>
      <w:r w:rsidR="00B0402F" w:rsidRPr="00B0402F">
        <w:rPr>
          <w:rFonts w:cs="Times New Roman"/>
          <w:noProof/>
        </w:rPr>
        <w:t>[105]</w:t>
      </w:r>
      <w:r w:rsidRPr="00867D9A">
        <w:rPr>
          <w:rFonts w:cs="Times New Roman"/>
        </w:rPr>
        <w:fldChar w:fldCharType="end"/>
      </w:r>
      <w:r w:rsidRPr="006B215F">
        <w:rPr>
          <w:rFonts w:cs="Times New Roman"/>
        </w:rPr>
        <w:t>.</w:t>
      </w:r>
    </w:p>
    <w:p w14:paraId="1C049919" w14:textId="4C2550B5" w:rsidR="00B20852" w:rsidRDefault="00B20852" w:rsidP="00B20852">
      <w:pPr>
        <w:ind w:firstLine="708"/>
        <w:rPr>
          <w:rFonts w:cs="Times New Roman"/>
        </w:rPr>
      </w:pPr>
      <w:r w:rsidRPr="006B215F">
        <w:rPr>
          <w:rFonts w:cs="Times New Roman"/>
        </w:rPr>
        <w:t xml:space="preserve">Длительный прием ацикловира редко приводит к развитию резистентности. Резистентность к ацикловиру является следствием длительной реактивации </w:t>
      </w:r>
      <w:r>
        <w:rPr>
          <w:rFonts w:cs="Times New Roman"/>
        </w:rPr>
        <w:t>HSV.</w:t>
      </w:r>
      <w:r w:rsidRPr="006B215F">
        <w:rPr>
          <w:rFonts w:cs="Times New Roman"/>
        </w:rPr>
        <w:t xml:space="preserve"> В этих случаях назначают фоскарнет внутривенно 60 м</w:t>
      </w:r>
      <w:r>
        <w:rPr>
          <w:rFonts w:cs="Times New Roman"/>
        </w:rPr>
        <w:t>г/кг каждые 12 час или 40 мг/кг</w:t>
      </w:r>
      <w:r w:rsidRPr="006B215F">
        <w:rPr>
          <w:rFonts w:cs="Times New Roman"/>
        </w:rPr>
        <w:t xml:space="preserve"> каждые 8 час в течение 7-21 дня или до ликвидации симптомов инфекции</w:t>
      </w:r>
      <w:r>
        <w:rPr>
          <w:rFonts w:cs="Times New Roman"/>
        </w:rPr>
        <w:t xml:space="preserve"> </w:t>
      </w:r>
      <w:r w:rsidRPr="00867D9A">
        <w:rPr>
          <w:rFonts w:cs="Times New Roman"/>
        </w:rPr>
        <w:fldChar w:fldCharType="begin" w:fldLock="1"/>
      </w:r>
      <w:r w:rsidR="00BA021B">
        <w:rPr>
          <w:rFonts w:cs="Times New Roman"/>
        </w:rPr>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[105]","plainTextFormattedCitation":"[105]","previouslyFormattedCitation":"[105]"},"properties":{"noteIndex":0},"schema":"https://github.com/citation-style-language/schema/raw/master/csl-citation.json"}</w:instrText>
      </w:r>
      <w:r w:rsidRPr="00867D9A">
        <w:rPr>
          <w:rFonts w:cs="Times New Roman"/>
        </w:rPr>
        <w:fldChar w:fldCharType="separate"/>
      </w:r>
      <w:r w:rsidR="00B0402F" w:rsidRPr="00B0402F">
        <w:rPr>
          <w:rFonts w:cs="Times New Roman"/>
          <w:noProof/>
        </w:rPr>
        <w:t>[105]</w:t>
      </w:r>
      <w:r w:rsidRPr="00867D9A">
        <w:rPr>
          <w:rFonts w:cs="Times New Roman"/>
        </w:rPr>
        <w:fldChar w:fldCharType="end"/>
      </w:r>
      <w:r w:rsidRPr="006B215F">
        <w:rPr>
          <w:rFonts w:cs="Times New Roman"/>
        </w:rPr>
        <w:t>.</w:t>
      </w:r>
    </w:p>
    <w:p w14:paraId="77721E68" w14:textId="77777777" w:rsidR="00B20852" w:rsidRPr="006B215F" w:rsidRDefault="00B20852" w:rsidP="00B20852">
      <w:pPr>
        <w:ind w:firstLine="708"/>
        <w:rPr>
          <w:rFonts w:cs="Times New Roman"/>
        </w:rPr>
      </w:pPr>
    </w:p>
    <w:p w14:paraId="7005832D" w14:textId="77777777" w:rsidR="00B20852" w:rsidRPr="00861C01" w:rsidRDefault="00B20852" w:rsidP="00B20852">
      <w:pPr>
        <w:rPr>
          <w:rFonts w:cs="Times New Roman"/>
          <w:bCs/>
          <w:i/>
          <w:iCs/>
          <w:u w:val="single"/>
        </w:rPr>
      </w:pPr>
      <w:r w:rsidRPr="00861C01">
        <w:rPr>
          <w:rFonts w:cs="Times New Roman"/>
          <w:bCs/>
          <w:i/>
          <w:iCs/>
          <w:u w:val="single"/>
        </w:rPr>
        <w:t xml:space="preserve">Герпес зостер вирус (Herpes zoster virus, HZV) </w:t>
      </w:r>
    </w:p>
    <w:p w14:paraId="1E8637E1" w14:textId="77777777" w:rsidR="00B20852" w:rsidRPr="00EE012F" w:rsidRDefault="00B20852" w:rsidP="00B20852">
      <w:pPr>
        <w:ind w:firstLine="708"/>
        <w:rPr>
          <w:rFonts w:cs="Times New Roman"/>
        </w:rPr>
      </w:pPr>
      <w:r w:rsidRPr="006B215F">
        <w:rPr>
          <w:rFonts w:cs="Times New Roman"/>
        </w:rPr>
        <w:t xml:space="preserve">У реципиентов ТГСК инфекция </w:t>
      </w:r>
      <w:r w:rsidRPr="0028579C">
        <w:rPr>
          <w:rFonts w:cs="Times New Roman"/>
        </w:rPr>
        <w:t>чаще возникает в течение первых 24 месяцев. Группу риска составляют больные с хронической реакцией «трансплантат против хозяина» (РТПХ). Другие факторы включают наличие острого лейкоза или лимфопролиферативного</w:t>
      </w:r>
      <w:r w:rsidRPr="006B215F">
        <w:rPr>
          <w:rFonts w:cs="Times New Roman"/>
        </w:rPr>
        <w:t xml:space="preserve"> заболевания в качестве диагноза до ТГСК, во</w:t>
      </w:r>
      <w:r>
        <w:rPr>
          <w:rFonts w:cs="Times New Roman"/>
        </w:rPr>
        <w:t>зраст старше 50 лет, проведение</w:t>
      </w:r>
      <w:r w:rsidRPr="006B215F">
        <w:rPr>
          <w:rFonts w:cs="Times New Roman"/>
        </w:rPr>
        <w:t xml:space="preserve"> миелоаблативного режима, </w:t>
      </w:r>
      <w:r>
        <w:rPr>
          <w:rFonts w:cs="Times New Roman"/>
        </w:rPr>
        <w:t>CD</w:t>
      </w:r>
      <w:r w:rsidRPr="006B215F">
        <w:rPr>
          <w:rFonts w:cs="Times New Roman"/>
        </w:rPr>
        <w:t>34+</w:t>
      </w:r>
      <w:r>
        <w:rPr>
          <w:rFonts w:cs="Times New Roman"/>
        </w:rPr>
        <w:t xml:space="preserve"> селектированная аллогенная или аутологичная ТГСК, наличие дефицита одновременно CD</w:t>
      </w:r>
      <w:r w:rsidRPr="006B215F">
        <w:rPr>
          <w:rFonts w:cs="Times New Roman"/>
        </w:rPr>
        <w:t xml:space="preserve">4(+) и </w:t>
      </w:r>
      <w:r>
        <w:rPr>
          <w:rFonts w:cs="Times New Roman"/>
        </w:rPr>
        <w:t>CD</w:t>
      </w:r>
      <w:r w:rsidRPr="006B215F">
        <w:rPr>
          <w:rFonts w:cs="Times New Roman"/>
        </w:rPr>
        <w:t>8(+) лимфоцитов на 30</w:t>
      </w:r>
      <w:r>
        <w:rPr>
          <w:rFonts w:cs="Times New Roman"/>
        </w:rPr>
        <w:t>-</w:t>
      </w:r>
      <w:r w:rsidRPr="006B215F">
        <w:rPr>
          <w:rFonts w:cs="Times New Roman"/>
        </w:rPr>
        <w:t xml:space="preserve">й день после ТГСК. </w:t>
      </w:r>
      <w:r>
        <w:rPr>
          <w:rFonts w:cs="Times New Roman"/>
        </w:rPr>
        <w:t>Гематологические пациенты с лимфопролиферативными заболеваниями составляют группу повышенного риска, независимо от этапа лечения / наблюдения.</w:t>
      </w:r>
    </w:p>
    <w:p w14:paraId="1E1A872F" w14:textId="77777777" w:rsidR="00B20852" w:rsidRPr="006B215F" w:rsidRDefault="00B20852" w:rsidP="00B20852">
      <w:pPr>
        <w:ind w:firstLine="708"/>
        <w:rPr>
          <w:rFonts w:cs="Times New Roman"/>
        </w:rPr>
      </w:pPr>
      <w:r w:rsidRPr="006B215F">
        <w:rPr>
          <w:rFonts w:cs="Times New Roman"/>
        </w:rPr>
        <w:t xml:space="preserve">Инфекция, вызванная </w:t>
      </w:r>
      <w:r>
        <w:rPr>
          <w:rFonts w:cs="Times New Roman"/>
        </w:rPr>
        <w:t>HZV</w:t>
      </w:r>
      <w:r w:rsidRPr="006B215F">
        <w:rPr>
          <w:rFonts w:cs="Times New Roman"/>
        </w:rPr>
        <w:t xml:space="preserve">, характеризуется поражением межпозвоночных ганглиев, множественными высыпаниями на коже по ходу вовлеченных в процесс нервов, часто сопровождающимися сильными болями, возможно развитие энцефалита, гепатита, пневмонии. Описаны случаи локализации </w:t>
      </w:r>
      <w:r>
        <w:rPr>
          <w:rFonts w:cs="Times New Roman"/>
        </w:rPr>
        <w:t>боли в эпигастральной области,</w:t>
      </w:r>
      <w:r w:rsidRPr="006B215F">
        <w:rPr>
          <w:rFonts w:cs="Times New Roman"/>
        </w:rPr>
        <w:t xml:space="preserve"> абдоминальные с развитием паралитической кишечной непроходимости.</w:t>
      </w:r>
    </w:p>
    <w:p w14:paraId="7AC0E4BF" w14:textId="77777777" w:rsidR="00B20852" w:rsidRPr="006B215F" w:rsidRDefault="00B20852" w:rsidP="00B20852">
      <w:pPr>
        <w:ind w:firstLine="708"/>
        <w:rPr>
          <w:rFonts w:cs="Times New Roman"/>
        </w:rPr>
      </w:pPr>
      <w:r w:rsidRPr="006B215F">
        <w:rPr>
          <w:rFonts w:cs="Times New Roman"/>
        </w:rPr>
        <w:t xml:space="preserve">Диагностику проводят на основании </w:t>
      </w:r>
      <w:r>
        <w:rPr>
          <w:rFonts w:cs="Times New Roman"/>
        </w:rPr>
        <w:t xml:space="preserve">выявления </w:t>
      </w:r>
      <w:r w:rsidRPr="0028579C">
        <w:rPr>
          <w:rFonts w:cs="Times New Roman"/>
        </w:rPr>
        <w:t xml:space="preserve">дезоксирибонуклеиновой кислоты (ДНК) вируса </w:t>
      </w:r>
      <w:r>
        <w:rPr>
          <w:rFonts w:cs="Times New Roman"/>
        </w:rPr>
        <w:t xml:space="preserve">при молекулярно-биологическом исследовании </w:t>
      </w:r>
      <w:r w:rsidRPr="0028579C">
        <w:rPr>
          <w:rFonts w:cs="Times New Roman"/>
        </w:rPr>
        <w:t>методом ПЦР. Исследуют содержимое везикул, “корочки” с везикул, биоптаты тканей, мазки со слизистой зева, спинномозговую жидкость (СМЖ), сыворотку крови</w:t>
      </w:r>
      <w:r>
        <w:rPr>
          <w:rFonts w:cs="Times New Roman"/>
        </w:rPr>
        <w:t>, и др</w:t>
      </w:r>
      <w:r w:rsidRPr="0028579C">
        <w:rPr>
          <w:rFonts w:cs="Times New Roman"/>
        </w:rPr>
        <w:t>.</w:t>
      </w:r>
    </w:p>
    <w:p w14:paraId="551468F3" w14:textId="77777777" w:rsidR="00B20852" w:rsidRDefault="00B20852" w:rsidP="00B20852">
      <w:pPr>
        <w:ind w:firstLine="708"/>
        <w:rPr>
          <w:rFonts w:cs="Times New Roman"/>
        </w:rPr>
      </w:pPr>
      <w:r w:rsidRPr="006B215F">
        <w:rPr>
          <w:rFonts w:cs="Times New Roman"/>
        </w:rPr>
        <w:t>Лечение проводят ацикловиром внутривенно в дозе 500 мг/м</w:t>
      </w:r>
      <w:r w:rsidRPr="006B215F">
        <w:rPr>
          <w:rFonts w:cs="Times New Roman"/>
          <w:vertAlign w:val="superscript"/>
        </w:rPr>
        <w:t>2</w:t>
      </w:r>
      <w:r w:rsidRPr="006B215F">
        <w:rPr>
          <w:rFonts w:cs="Times New Roman"/>
        </w:rPr>
        <w:t xml:space="preserve">, введение каждые 8 часов. При стабилизации состояния возможен переход на пероральный прием препаратов – валацикловир (по 100 мг 3 раза), фамцикловир (по 500 мг 3 раза), ацикловир (800 мг 5 раз). Общая длительность лечения составляет не менее 7 дней. В случае ацикловир-резистентных </w:t>
      </w:r>
      <w:r>
        <w:rPr>
          <w:rFonts w:cs="Times New Roman"/>
        </w:rPr>
        <w:t xml:space="preserve">HZV используют фоскарнет (60 мг/кг каждые 12 час внутривенно) в течение 2 недель. </w:t>
      </w:r>
    </w:p>
    <w:p w14:paraId="0B0B0BF8" w14:textId="77777777" w:rsidR="00B20852" w:rsidRDefault="00B20852" w:rsidP="00B20852">
      <w:pPr>
        <w:ind w:firstLine="708"/>
        <w:rPr>
          <w:rFonts w:cs="Times New Roman"/>
        </w:rPr>
      </w:pPr>
    </w:p>
    <w:p w14:paraId="41D6ECD4" w14:textId="77777777" w:rsidR="00B20852" w:rsidRPr="007F7F8C" w:rsidRDefault="00B20852" w:rsidP="00B20852">
      <w:pPr>
        <w:rPr>
          <w:rFonts w:cs="Times New Roman"/>
          <w:bCs/>
          <w:i/>
          <w:iCs/>
          <w:u w:val="single"/>
        </w:rPr>
      </w:pPr>
      <w:r w:rsidRPr="007F7F8C">
        <w:rPr>
          <w:rFonts w:cs="Times New Roman"/>
          <w:bCs/>
          <w:i/>
          <w:iCs/>
          <w:u w:val="single"/>
        </w:rPr>
        <w:t>Цитомегаловирус (Cytomegalovirus, CMV)</w:t>
      </w:r>
    </w:p>
    <w:p w14:paraId="6D4862A5" w14:textId="1A8EC56A" w:rsidR="00B20852" w:rsidRPr="00E42938" w:rsidRDefault="00B20852" w:rsidP="00B20852">
      <w:pPr>
        <w:ind w:firstLine="708"/>
        <w:rPr>
          <w:rFonts w:cs="Times New Roman"/>
        </w:rPr>
      </w:pPr>
      <w:r w:rsidRPr="0028579C">
        <w:rPr>
          <w:rFonts w:cs="Times New Roman"/>
        </w:rPr>
        <w:t xml:space="preserve">CMV остается частым осложнением </w:t>
      </w:r>
      <w:r>
        <w:rPr>
          <w:rFonts w:cs="Times New Roman"/>
        </w:rPr>
        <w:t xml:space="preserve">у гематологических пациентов, в частности, </w:t>
      </w:r>
      <w:r w:rsidRPr="0028579C">
        <w:rPr>
          <w:rFonts w:cs="Times New Roman"/>
        </w:rPr>
        <w:t>у реципиентов аллогенных ТГСК, может быть причиной заболевания как на раннем, так и позднем этапе после ТГСК, приводит к угнетению костно-мозгового кровообращения. Виремия при лимфоидных гематологических заболеваниях (ХЛЛ, лимфомы, острый лимфобластный лейкоз) и множественной миеломе достигает 13,6% в то время при миелоидны</w:t>
      </w:r>
      <w:r>
        <w:rPr>
          <w:rFonts w:cs="Times New Roman"/>
        </w:rPr>
        <w:t>х гемобластозах составляет 3,9%.</w:t>
      </w:r>
      <w:r w:rsidRPr="0028579C">
        <w:rPr>
          <w:rFonts w:cs="Times New Roman"/>
        </w:rPr>
        <w:t xml:space="preserve"> Выделяют CMV</w:t>
      </w:r>
      <w:r>
        <w:rPr>
          <w:rFonts w:cs="Times New Roman"/>
        </w:rPr>
        <w:t>-</w:t>
      </w:r>
      <w:r w:rsidRPr="0028579C">
        <w:rPr>
          <w:rFonts w:cs="Times New Roman"/>
        </w:rPr>
        <w:t>инфекцию и CMV</w:t>
      </w:r>
      <w:r>
        <w:rPr>
          <w:rFonts w:cs="Times New Roman"/>
        </w:rPr>
        <w:t>-</w:t>
      </w:r>
      <w:r w:rsidRPr="0028579C">
        <w:rPr>
          <w:rFonts w:cs="Times New Roman"/>
        </w:rPr>
        <w:t>заболевание. При CMV</w:t>
      </w:r>
      <w:r>
        <w:rPr>
          <w:rFonts w:cs="Times New Roman"/>
        </w:rPr>
        <w:t>-</w:t>
      </w:r>
      <w:r w:rsidRPr="0028579C">
        <w:rPr>
          <w:rFonts w:cs="Times New Roman"/>
        </w:rPr>
        <w:t>инфекции определяется виремия и температура в сочетании или без подавления костно-мозгового кроветворения. В случае CMV</w:t>
      </w:r>
      <w:r>
        <w:rPr>
          <w:rFonts w:cs="Times New Roman"/>
        </w:rPr>
        <w:t>-</w:t>
      </w:r>
      <w:r w:rsidRPr="0028579C">
        <w:rPr>
          <w:rFonts w:cs="Times New Roman"/>
        </w:rPr>
        <w:t xml:space="preserve">заболевания вирус определяется в биоптате или из образцов, полученных в ходе инвазивных вмешательств (жидкость бронхоальвеолярного лаважа, СМЖ), </w:t>
      </w:r>
      <w:r>
        <w:rPr>
          <w:rFonts w:cs="Times New Roman"/>
        </w:rPr>
        <w:t>с</w:t>
      </w:r>
      <w:r w:rsidRPr="0028579C">
        <w:rPr>
          <w:rFonts w:cs="Times New Roman"/>
        </w:rPr>
        <w:t xml:space="preserve"> наличием</w:t>
      </w:r>
      <w:r w:rsidRPr="006B215F">
        <w:rPr>
          <w:rFonts w:cs="Times New Roman"/>
        </w:rPr>
        <w:t xml:space="preserve"> симптомов, ассоциированных с </w:t>
      </w:r>
      <w:r>
        <w:rPr>
          <w:rFonts w:cs="Times New Roman"/>
        </w:rPr>
        <w:t xml:space="preserve">локализацией мест получения </w:t>
      </w:r>
      <w:r w:rsidRPr="006B215F">
        <w:rPr>
          <w:rFonts w:cs="Times New Roman"/>
        </w:rPr>
        <w:t>образц</w:t>
      </w:r>
      <w:r>
        <w:rPr>
          <w:rFonts w:cs="Times New Roman"/>
        </w:rPr>
        <w:t>ов</w:t>
      </w:r>
      <w:r w:rsidRPr="006B215F">
        <w:rPr>
          <w:rFonts w:cs="Times New Roman"/>
        </w:rPr>
        <w:t xml:space="preserve"> исследования. Наряду с пневмонией, энцефалитом, ретинитом может развиться </w:t>
      </w:r>
      <w:r>
        <w:rPr>
          <w:rFonts w:cs="Times New Roman"/>
        </w:rPr>
        <w:t>CMV-</w:t>
      </w:r>
      <w:r w:rsidRPr="006B215F">
        <w:rPr>
          <w:rFonts w:cs="Times New Roman"/>
        </w:rPr>
        <w:t xml:space="preserve">гастроинтестинальное заболевание, диагностика которого </w:t>
      </w:r>
      <w:r w:rsidRPr="00E42938">
        <w:rPr>
          <w:rFonts w:cs="Times New Roman"/>
        </w:rPr>
        <w:t xml:space="preserve">является наиболее трудной, особенно у пациентов с РТПХ </w:t>
      </w:r>
      <w:r w:rsidRPr="00E42938">
        <w:rPr>
          <w:rFonts w:cs="Times New Roman"/>
        </w:rPr>
        <w:fldChar w:fldCharType="begin" w:fldLock="1"/>
      </w:r>
      <w:r w:rsidR="00BA021B">
        <w:rPr>
          <w:rFonts w:cs="Times New Roman"/>
        </w:rPr>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[106]","plainTextFormattedCitation":"[106]","previouslyFormattedCitation":"[106]"},"properties":{"noteIndex":0},"schema":"https://github.com/citation-style-language/schema/raw/master/csl-citation.json"}</w:instrText>
      </w:r>
      <w:r w:rsidRPr="00E42938">
        <w:rPr>
          <w:rFonts w:cs="Times New Roman"/>
        </w:rPr>
        <w:fldChar w:fldCharType="separate"/>
      </w:r>
      <w:r w:rsidR="00B0402F" w:rsidRPr="00B0402F">
        <w:rPr>
          <w:rFonts w:cs="Times New Roman"/>
          <w:noProof/>
        </w:rPr>
        <w:t>[106]</w:t>
      </w:r>
      <w:r w:rsidRPr="00E42938">
        <w:rPr>
          <w:rFonts w:cs="Times New Roman"/>
        </w:rPr>
        <w:fldChar w:fldCharType="end"/>
      </w:r>
      <w:r w:rsidRPr="00E42938">
        <w:rPr>
          <w:rFonts w:cs="Times New Roman"/>
        </w:rPr>
        <w:t xml:space="preserve">. </w:t>
      </w:r>
    </w:p>
    <w:p w14:paraId="0CFD47C9" w14:textId="77777777" w:rsidR="00B20852" w:rsidRPr="007F7F8C" w:rsidRDefault="00B20852" w:rsidP="00B20852">
      <w:pPr>
        <w:ind w:firstLine="708"/>
        <w:rPr>
          <w:rFonts w:cs="Times New Roman"/>
          <w:bCs/>
          <w:i/>
          <w:iCs/>
        </w:rPr>
      </w:pPr>
      <w:r w:rsidRPr="007F7F8C">
        <w:rPr>
          <w:rFonts w:cs="Times New Roman"/>
          <w:bCs/>
          <w:i/>
          <w:iCs/>
        </w:rPr>
        <w:t>Диагностика</w:t>
      </w:r>
    </w:p>
    <w:p w14:paraId="6BB79699" w14:textId="77777777" w:rsidR="00B20852" w:rsidRPr="006B215F" w:rsidRDefault="00B20852" w:rsidP="00B20852">
      <w:pPr>
        <w:ind w:firstLine="708"/>
        <w:rPr>
          <w:rFonts w:cs="Times New Roman"/>
        </w:rPr>
      </w:pPr>
      <w:r w:rsidRPr="006B215F">
        <w:rPr>
          <w:rFonts w:cs="Times New Roman"/>
        </w:rPr>
        <w:t xml:space="preserve">У реципиентов </w:t>
      </w:r>
      <w:r>
        <w:rPr>
          <w:rFonts w:cs="Times New Roman"/>
        </w:rPr>
        <w:t xml:space="preserve">до </w:t>
      </w:r>
      <w:r w:rsidRPr="006B215F">
        <w:rPr>
          <w:rFonts w:cs="Times New Roman"/>
        </w:rPr>
        <w:t xml:space="preserve">ТГСК исследуют наличие антител </w:t>
      </w:r>
      <w:r>
        <w:rPr>
          <w:rFonts w:cs="Times New Roman"/>
        </w:rPr>
        <w:t>CMV.</w:t>
      </w:r>
    </w:p>
    <w:p w14:paraId="7D196EB4" w14:textId="0866313A" w:rsidR="00B20852" w:rsidRPr="006B215F" w:rsidRDefault="00B20852" w:rsidP="00B20852">
      <w:pPr>
        <w:ind w:firstLine="708"/>
        <w:rPr>
          <w:rFonts w:cs="Times New Roman"/>
        </w:rPr>
      </w:pPr>
      <w:r w:rsidRPr="006B215F">
        <w:rPr>
          <w:rFonts w:cs="Times New Roman"/>
        </w:rPr>
        <w:t xml:space="preserve">Для диагностики инфекции или заболевания используют </w:t>
      </w:r>
      <w:r w:rsidRPr="00B67A55">
        <w:rPr>
          <w:rFonts w:cs="Times New Roman"/>
        </w:rPr>
        <w:t>молекулярно-биологическое исследование на цитомегаловирус, включая количественное исследование</w:t>
      </w:r>
      <w:r>
        <w:rPr>
          <w:rFonts w:cs="Times New Roman"/>
        </w:rPr>
        <w:t xml:space="preserve"> </w:t>
      </w:r>
      <w:r w:rsidRPr="006B215F">
        <w:rPr>
          <w:rFonts w:cs="Times New Roman"/>
        </w:rPr>
        <w:t xml:space="preserve"> мето</w:t>
      </w:r>
      <w:r>
        <w:rPr>
          <w:rFonts w:cs="Times New Roman"/>
        </w:rPr>
        <w:t>дом</w:t>
      </w:r>
      <w:r w:rsidRPr="006B215F">
        <w:rPr>
          <w:rFonts w:cs="Times New Roman"/>
        </w:rPr>
        <w:t xml:space="preserve"> ПЦР</w:t>
      </w:r>
      <w:r>
        <w:rPr>
          <w:rFonts w:cs="Times New Roman"/>
        </w:rPr>
        <w:t xml:space="preserve"> </w:t>
      </w:r>
      <w:r w:rsidRPr="00E42938">
        <w:rPr>
          <w:rFonts w:cs="Times New Roman"/>
        </w:rPr>
        <w:fldChar w:fldCharType="begin" w:fldLock="1"/>
      </w:r>
      <w:r w:rsidR="00BA021B">
        <w:rPr>
          <w:rFonts w:cs="Times New Roman"/>
        </w:rPr>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[106]","plainTextFormattedCitation":"[106]","previouslyFormattedCitation":"[106]"},"properties":{"noteIndex":0},"schema":"https://github.com/citation-style-language/schema/raw/master/csl-citation.json"}</w:instrText>
      </w:r>
      <w:r w:rsidRPr="00E42938">
        <w:rPr>
          <w:rFonts w:cs="Times New Roman"/>
        </w:rPr>
        <w:fldChar w:fldCharType="separate"/>
      </w:r>
      <w:r w:rsidR="00B0402F" w:rsidRPr="00B0402F">
        <w:rPr>
          <w:rFonts w:cs="Times New Roman"/>
          <w:noProof/>
        </w:rPr>
        <w:t>[106]</w:t>
      </w:r>
      <w:r w:rsidRPr="00E42938">
        <w:rPr>
          <w:rFonts w:cs="Times New Roman"/>
        </w:rPr>
        <w:fldChar w:fldCharType="end"/>
      </w:r>
      <w:r w:rsidRPr="006B215F">
        <w:rPr>
          <w:rFonts w:cs="Times New Roman"/>
        </w:rPr>
        <w:t>. Всем реципиентам аллогенной ТГ</w:t>
      </w:r>
      <w:r>
        <w:rPr>
          <w:rFonts w:cs="Times New Roman"/>
        </w:rPr>
        <w:t>СК следует проводить мониторинг</w:t>
      </w:r>
      <w:r w:rsidRPr="006B215F">
        <w:rPr>
          <w:rFonts w:cs="Times New Roman"/>
        </w:rPr>
        <w:t xml:space="preserve"> определения ДНК </w:t>
      </w:r>
      <w:r>
        <w:rPr>
          <w:rFonts w:cs="Times New Roman"/>
        </w:rPr>
        <w:t>CMV</w:t>
      </w:r>
      <w:r w:rsidRPr="006B215F">
        <w:rPr>
          <w:rFonts w:cs="Times New Roman"/>
        </w:rPr>
        <w:t xml:space="preserve"> не реже чем 1 раз в неделю. Длительность мониторинга составляет не менее 100 дней. Удлинение мониторинга рекомендовано у реципиентов с острой или хронической РТПХ, имевших </w:t>
      </w:r>
      <w:r>
        <w:rPr>
          <w:rFonts w:cs="Times New Roman"/>
        </w:rPr>
        <w:t>CMV</w:t>
      </w:r>
      <w:r w:rsidRPr="006B215F">
        <w:rPr>
          <w:rFonts w:cs="Times New Roman"/>
        </w:rPr>
        <w:t xml:space="preserve"> инфекцию в раннем периоде ТГСК, а также у реципиентов после несовместимой или неродственной ТГСК.</w:t>
      </w:r>
    </w:p>
    <w:p w14:paraId="53B8EACC" w14:textId="77777777" w:rsidR="00B20852" w:rsidRPr="007F7F8C" w:rsidRDefault="00B20852" w:rsidP="00B20852">
      <w:pPr>
        <w:ind w:firstLine="708"/>
        <w:rPr>
          <w:rFonts w:cs="Times New Roman"/>
          <w:bCs/>
          <w:i/>
          <w:iCs/>
        </w:rPr>
      </w:pPr>
      <w:r w:rsidRPr="007F7F8C">
        <w:rPr>
          <w:rFonts w:cs="Times New Roman"/>
          <w:bCs/>
          <w:i/>
          <w:iCs/>
        </w:rPr>
        <w:t>Лечение</w:t>
      </w:r>
    </w:p>
    <w:p w14:paraId="7814743D" w14:textId="5DA5E1B8" w:rsidR="00B20852" w:rsidRPr="006B215F" w:rsidRDefault="00B20852" w:rsidP="00B20852">
      <w:pPr>
        <w:ind w:firstLine="708"/>
        <w:rPr>
          <w:rFonts w:cs="Times New Roman"/>
        </w:rPr>
      </w:pPr>
      <w:r w:rsidRPr="006B215F">
        <w:rPr>
          <w:rFonts w:cs="Times New Roman"/>
        </w:rPr>
        <w:t>Препаратом 1 линии является ганцикловир (внутривенно, 10 мг/кг/сутки, дозу разделяют на два приема)</w:t>
      </w:r>
      <w:r>
        <w:rPr>
          <w:rFonts w:cs="Times New Roman"/>
        </w:rPr>
        <w:t xml:space="preserve"> </w:t>
      </w:r>
      <w:r w:rsidRPr="00E42938">
        <w:rPr>
          <w:rFonts w:cs="Times New Roman"/>
        </w:rPr>
        <w:fldChar w:fldCharType="begin" w:fldLock="1"/>
      </w:r>
      <w:r w:rsidR="00BA021B">
        <w:rPr>
          <w:rFonts w:cs="Times New Roman"/>
        </w:rPr>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[106]","plainTextFormattedCitation":"[106]","previouslyFormattedCitation":"[106]"},"properties":{"noteIndex":0},"schema":"https://github.com/citation-style-language/schema/raw/master/csl-citation.json"}</w:instrText>
      </w:r>
      <w:r w:rsidRPr="00E42938">
        <w:rPr>
          <w:rFonts w:cs="Times New Roman"/>
        </w:rPr>
        <w:fldChar w:fldCharType="separate"/>
      </w:r>
      <w:r w:rsidR="00B0402F" w:rsidRPr="00B0402F">
        <w:rPr>
          <w:rFonts w:cs="Times New Roman"/>
          <w:noProof/>
        </w:rPr>
        <w:t>[106]</w:t>
      </w:r>
      <w:r w:rsidRPr="00E42938">
        <w:rPr>
          <w:rFonts w:cs="Times New Roman"/>
        </w:rPr>
        <w:fldChar w:fldCharType="end"/>
      </w:r>
      <w:r w:rsidRPr="006B215F">
        <w:rPr>
          <w:rFonts w:cs="Times New Roman"/>
        </w:rPr>
        <w:t>. При резистентности назначают фоскарнет. Длительность лечения составляет не мене 2 недель. Назначают поддерживающую терапию ганцикловиром, если виремия продолжает определяться через 2 недели</w:t>
      </w:r>
      <w:r>
        <w:rPr>
          <w:rFonts w:cs="Times New Roman"/>
        </w:rPr>
        <w:t xml:space="preserve"> </w:t>
      </w:r>
      <w:r w:rsidRPr="00E42938">
        <w:rPr>
          <w:rFonts w:cs="Times New Roman"/>
        </w:rPr>
        <w:fldChar w:fldCharType="begin" w:fldLock="1"/>
      </w:r>
      <w:r w:rsidR="00BA021B">
        <w:rPr>
          <w:rFonts w:cs="Times New Roman"/>
        </w:rPr>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[106]","plainTextFormattedCitation":"[106]","previouslyFormattedCitation":"[106]"},"properties":{"noteIndex":0},"schema":"https://github.com/citation-style-language/schema/raw/master/csl-citation.json"}</w:instrText>
      </w:r>
      <w:r w:rsidRPr="00E42938">
        <w:rPr>
          <w:rFonts w:cs="Times New Roman"/>
        </w:rPr>
        <w:fldChar w:fldCharType="separate"/>
      </w:r>
      <w:r w:rsidR="00B0402F" w:rsidRPr="00B0402F">
        <w:rPr>
          <w:rFonts w:cs="Times New Roman"/>
          <w:noProof/>
        </w:rPr>
        <w:t>[106]</w:t>
      </w:r>
      <w:r w:rsidRPr="00E42938">
        <w:rPr>
          <w:rFonts w:cs="Times New Roman"/>
        </w:rPr>
        <w:fldChar w:fldCharType="end"/>
      </w:r>
      <w:r w:rsidRPr="006B215F">
        <w:rPr>
          <w:rFonts w:cs="Times New Roman"/>
        </w:rPr>
        <w:t>.</w:t>
      </w:r>
    </w:p>
    <w:p w14:paraId="43BC4A16" w14:textId="77777777" w:rsidR="00B20852" w:rsidRDefault="00B20852" w:rsidP="00B20852">
      <w:pPr>
        <w:rPr>
          <w:rFonts w:cs="Times New Roman"/>
          <w:bCs/>
          <w:i/>
          <w:iCs/>
          <w:u w:val="single"/>
        </w:rPr>
      </w:pPr>
    </w:p>
    <w:p w14:paraId="297306A2" w14:textId="77777777" w:rsidR="00B20852" w:rsidRPr="00E42938" w:rsidRDefault="00B20852" w:rsidP="00B20852">
      <w:pPr>
        <w:rPr>
          <w:rFonts w:cs="Times New Roman"/>
          <w:bCs/>
          <w:i/>
          <w:iCs/>
          <w:u w:val="single"/>
        </w:rPr>
      </w:pPr>
      <w:r w:rsidRPr="00E42938">
        <w:rPr>
          <w:rFonts w:cs="Times New Roman"/>
          <w:bCs/>
          <w:i/>
          <w:iCs/>
          <w:u w:val="single"/>
        </w:rPr>
        <w:t>Вирус Эпштейна-Барр (Epstein-Barr virus – EBV)</w:t>
      </w:r>
    </w:p>
    <w:p w14:paraId="3CD24A1F" w14:textId="40E59D52" w:rsidR="00B20852" w:rsidRDefault="00B20852" w:rsidP="00B20852">
      <w:pPr>
        <w:ind w:firstLine="708"/>
        <w:rPr>
          <w:rFonts w:cs="Times New Roman"/>
        </w:rPr>
      </w:pPr>
      <w:r w:rsidRPr="003605AD">
        <w:rPr>
          <w:rFonts w:cs="Times New Roman"/>
        </w:rPr>
        <w:t xml:space="preserve">Проявления </w:t>
      </w:r>
      <w:r>
        <w:rPr>
          <w:rFonts w:cs="Times New Roman"/>
        </w:rPr>
        <w:t>EBV</w:t>
      </w:r>
      <w:r w:rsidRPr="00275E66">
        <w:rPr>
          <w:rFonts w:cs="Times New Roman"/>
        </w:rPr>
        <w:t>-</w:t>
      </w:r>
      <w:r w:rsidRPr="003605AD">
        <w:rPr>
          <w:rFonts w:cs="Times New Roman"/>
        </w:rPr>
        <w:t xml:space="preserve">инфекции могут быть в виде </w:t>
      </w:r>
      <w:r>
        <w:rPr>
          <w:rFonts w:cs="Times New Roman"/>
        </w:rPr>
        <w:t>инфекционного мононуклеоза, хронической EBV</w:t>
      </w:r>
      <w:r w:rsidRPr="00275E66">
        <w:rPr>
          <w:rFonts w:cs="Times New Roman"/>
        </w:rPr>
        <w:t>-</w:t>
      </w:r>
      <w:r>
        <w:rPr>
          <w:rFonts w:cs="Times New Roman"/>
        </w:rPr>
        <w:t>инфекции, EBV-ассоциированной опухоли. В некоторых случаях проявлением реактивации бывает энцефалит, пневмония и гепатит. Частота EBV-ассоциированного лимфопролиферативного заболевания составляет у реципиентов аутологичных ТГСК около 0, 07%, аллогенных ТГСК – 0,45-4%</w:t>
      </w:r>
      <w:r w:rsidRPr="006B215F">
        <w:rPr>
          <w:rFonts w:cs="Times New Roman"/>
        </w:rPr>
        <w:t>;</w:t>
      </w:r>
      <w:r>
        <w:rPr>
          <w:rFonts w:cs="Times New Roman"/>
        </w:rPr>
        <w:t xml:space="preserve"> наиболее высокий показатель после гаплоидентичной ТГСК (до 25%) и после деплеции Т-клеток (12-29%). Реципиенты после неродственной или частично совместимой ТГСК или после деплеции Т-клеток составляют группу риска в отношении развития EBV</w:t>
      </w:r>
      <w:r w:rsidRPr="006B215F">
        <w:rPr>
          <w:rFonts w:cs="Times New Roman"/>
        </w:rPr>
        <w:t xml:space="preserve"> </w:t>
      </w:r>
      <w:r>
        <w:rPr>
          <w:rFonts w:cs="Times New Roman"/>
        </w:rPr>
        <w:t xml:space="preserve">ассоциированной опухоли </w:t>
      </w:r>
      <w:r w:rsidRPr="00867D9A">
        <w:rPr>
          <w:rFonts w:cs="Times New Roman"/>
        </w:rPr>
        <w:fldChar w:fldCharType="begin" w:fldLock="1"/>
      </w:r>
      <w:r w:rsidR="00BA021B">
        <w:rPr>
          <w:rFonts w:cs="Times New Roman"/>
        </w:rPr>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[105]","plainTextFormattedCitation":"[105]","previouslyFormattedCitation":"[105]"},"properties":{"noteIndex":0},"schema":"https://github.com/citation-style-language/schema/raw/master/csl-citation.json"}</w:instrText>
      </w:r>
      <w:r w:rsidRPr="00867D9A">
        <w:rPr>
          <w:rFonts w:cs="Times New Roman"/>
        </w:rPr>
        <w:fldChar w:fldCharType="separate"/>
      </w:r>
      <w:r w:rsidR="00B0402F" w:rsidRPr="00B0402F">
        <w:rPr>
          <w:rFonts w:cs="Times New Roman"/>
          <w:noProof/>
        </w:rPr>
        <w:t>[105]</w:t>
      </w:r>
      <w:r w:rsidRPr="00867D9A">
        <w:rPr>
          <w:rFonts w:cs="Times New Roman"/>
        </w:rPr>
        <w:fldChar w:fldCharType="end"/>
      </w:r>
      <w:r>
        <w:rPr>
          <w:rFonts w:cs="Times New Roman"/>
        </w:rPr>
        <w:t>.</w:t>
      </w:r>
    </w:p>
    <w:p w14:paraId="6A7255DC" w14:textId="77777777" w:rsidR="00B20852" w:rsidRPr="006B215F" w:rsidRDefault="00B20852" w:rsidP="00B20852">
      <w:pPr>
        <w:ind w:firstLine="708"/>
        <w:rPr>
          <w:rFonts w:cs="Times New Roman"/>
        </w:rPr>
      </w:pPr>
      <w:r>
        <w:rPr>
          <w:rFonts w:cs="Times New Roman"/>
        </w:rPr>
        <w:t>Диагностика – детекция ДНК EBV</w:t>
      </w:r>
      <w:r w:rsidRPr="006B215F">
        <w:rPr>
          <w:rFonts w:cs="Times New Roman"/>
        </w:rPr>
        <w:t xml:space="preserve"> методом ПЦР (количественный метод). Мониторинг </w:t>
      </w:r>
      <w:r>
        <w:rPr>
          <w:rFonts w:cs="Times New Roman"/>
        </w:rPr>
        <w:t>ДНК EBV</w:t>
      </w:r>
      <w:r w:rsidRPr="006B215F">
        <w:rPr>
          <w:rFonts w:cs="Times New Roman"/>
        </w:rPr>
        <w:t xml:space="preserve"> в группе высо</w:t>
      </w:r>
      <w:r>
        <w:rPr>
          <w:rFonts w:cs="Times New Roman"/>
        </w:rPr>
        <w:t>ко</w:t>
      </w:r>
      <w:r w:rsidRPr="006B215F">
        <w:rPr>
          <w:rFonts w:cs="Times New Roman"/>
        </w:rPr>
        <w:t xml:space="preserve">го риска (аллогенная ТГСК) необходимо проводить еженедельно в течение 3х месяцев после ТГСК, более продолжительный период – при хронической РТПХ, после </w:t>
      </w:r>
      <w:r>
        <w:rPr>
          <w:rFonts w:cs="Times New Roman"/>
        </w:rPr>
        <w:t>гаплоидентичной ТГСК, а также среди пациентов с ранней реактивацией EBV</w:t>
      </w:r>
      <w:r w:rsidRPr="006B215F">
        <w:rPr>
          <w:rFonts w:cs="Times New Roman"/>
        </w:rPr>
        <w:t>.</w:t>
      </w:r>
    </w:p>
    <w:p w14:paraId="3F54C784" w14:textId="393D2E87" w:rsidR="00B20852" w:rsidRPr="003605AD" w:rsidRDefault="00B20852" w:rsidP="00B20852">
      <w:pPr>
        <w:ind w:firstLine="708"/>
        <w:rPr>
          <w:rFonts w:cs="Times New Roman"/>
        </w:rPr>
      </w:pPr>
      <w:r w:rsidRPr="006B215F">
        <w:rPr>
          <w:rFonts w:cs="Times New Roman"/>
        </w:rPr>
        <w:t xml:space="preserve">Лечение </w:t>
      </w:r>
      <w:r>
        <w:rPr>
          <w:rFonts w:cs="Times New Roman"/>
        </w:rPr>
        <w:t xml:space="preserve">EBV-ассоциированного лимфопролиферативного заболевания проводят ритуксимабом </w:t>
      </w:r>
      <w:r w:rsidRPr="00867D9A">
        <w:rPr>
          <w:rFonts w:cs="Times New Roman"/>
        </w:rPr>
        <w:fldChar w:fldCharType="begin" w:fldLock="1"/>
      </w:r>
      <w:r w:rsidR="00BA021B">
        <w:rPr>
          <w:rFonts w:cs="Times New Roman"/>
        </w:rPr>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[105]","plainTextFormattedCitation":"[105]","previouslyFormattedCitation":"[105]"},"properties":{"noteIndex":0},"schema":"https://github.com/citation-style-language/schema/raw/master/csl-citation.json"}</w:instrText>
      </w:r>
      <w:r w:rsidRPr="00867D9A">
        <w:rPr>
          <w:rFonts w:cs="Times New Roman"/>
        </w:rPr>
        <w:fldChar w:fldCharType="separate"/>
      </w:r>
      <w:r w:rsidR="00B0402F" w:rsidRPr="00B0402F">
        <w:rPr>
          <w:rFonts w:cs="Times New Roman"/>
          <w:noProof/>
        </w:rPr>
        <w:t>[105]</w:t>
      </w:r>
      <w:r w:rsidRPr="00867D9A">
        <w:rPr>
          <w:rFonts w:cs="Times New Roman"/>
        </w:rPr>
        <w:fldChar w:fldCharType="end"/>
      </w:r>
      <w:r>
        <w:rPr>
          <w:rFonts w:cs="Times New Roman"/>
        </w:rPr>
        <w:t>. Антивирусные препараты и иммуноглобулин не рекомендованы для лечения.</w:t>
      </w:r>
    </w:p>
    <w:p w14:paraId="3276F0B1" w14:textId="77777777" w:rsidR="00B20852" w:rsidRDefault="00B20852" w:rsidP="00B20852">
      <w:pPr>
        <w:rPr>
          <w:rFonts w:cs="Times New Roman"/>
          <w:bCs/>
          <w:i/>
          <w:iCs/>
          <w:u w:val="single"/>
        </w:rPr>
      </w:pPr>
    </w:p>
    <w:p w14:paraId="17FC72B2" w14:textId="77777777" w:rsidR="00B20852" w:rsidRPr="00023E68" w:rsidRDefault="00B20852" w:rsidP="00B20852">
      <w:pPr>
        <w:rPr>
          <w:rFonts w:cs="Times New Roman"/>
          <w:bCs/>
          <w:i/>
          <w:iCs/>
          <w:u w:val="single"/>
        </w:rPr>
      </w:pPr>
      <w:r w:rsidRPr="00023E68">
        <w:rPr>
          <w:rFonts w:cs="Times New Roman"/>
          <w:bCs/>
          <w:i/>
          <w:iCs/>
          <w:u w:val="single"/>
        </w:rPr>
        <w:t>Вирус герпеса человека 6 типа (Human herpes virus 6 – HHV-6)</w:t>
      </w:r>
    </w:p>
    <w:p w14:paraId="4AC8D993" w14:textId="1C8449DB" w:rsidR="00B20852" w:rsidRPr="006B215F" w:rsidRDefault="00B20852" w:rsidP="00B20852">
      <w:pPr>
        <w:ind w:firstLine="708"/>
        <w:rPr>
          <w:rFonts w:cs="Times New Roman"/>
        </w:rPr>
      </w:pPr>
      <w:r>
        <w:rPr>
          <w:rFonts w:cs="Times New Roman"/>
        </w:rPr>
        <w:t>Среди</w:t>
      </w:r>
      <w:r w:rsidRPr="006B215F">
        <w:rPr>
          <w:rFonts w:cs="Times New Roman"/>
          <w:b/>
        </w:rPr>
        <w:t xml:space="preserve"> </w:t>
      </w:r>
      <w:r w:rsidRPr="00620C7D">
        <w:rPr>
          <w:rFonts w:cs="Times New Roman"/>
        </w:rPr>
        <w:t>HHV</w:t>
      </w:r>
      <w:r w:rsidRPr="006B215F">
        <w:rPr>
          <w:rFonts w:cs="Times New Roman"/>
        </w:rPr>
        <w:t xml:space="preserve">6 выделяют тип А и тип В. </w:t>
      </w:r>
      <w:r>
        <w:rPr>
          <w:rFonts w:cs="Times New Roman"/>
        </w:rPr>
        <w:t xml:space="preserve">Реактивация вируса может приводить к развитию энцефалита, угнетению костно-мозгового кроветворения, пневмонии, быть причиной диареи. Энцефалит, вызванный </w:t>
      </w:r>
      <w:r w:rsidRPr="005B1B4B">
        <w:rPr>
          <w:rFonts w:cs="Times New Roman"/>
        </w:rPr>
        <w:t>HHV</w:t>
      </w:r>
      <w:r w:rsidRPr="006B215F">
        <w:rPr>
          <w:rFonts w:cs="Times New Roman"/>
        </w:rPr>
        <w:t xml:space="preserve">6, является редким проявлением инфекции, описаны случаи при неродственной ТГСК. В СМЖ </w:t>
      </w:r>
      <w:r>
        <w:rPr>
          <w:rFonts w:cs="Times New Roman"/>
        </w:rPr>
        <w:t>пациентов с</w:t>
      </w:r>
      <w:r w:rsidRPr="006B215F">
        <w:rPr>
          <w:rFonts w:cs="Times New Roman"/>
        </w:rPr>
        <w:t xml:space="preserve"> энцефалитом </w:t>
      </w:r>
      <w:r w:rsidRPr="005B1B4B">
        <w:rPr>
          <w:rFonts w:cs="Times New Roman"/>
        </w:rPr>
        <w:t>HHV</w:t>
      </w:r>
      <w:r>
        <w:rPr>
          <w:rFonts w:cs="Times New Roman"/>
        </w:rPr>
        <w:t>-</w:t>
      </w:r>
      <w:r w:rsidRPr="006B215F">
        <w:rPr>
          <w:rFonts w:cs="Times New Roman"/>
        </w:rPr>
        <w:t xml:space="preserve">6 определяется повышенный уровень белка, в половине случаев бывает плеоцитоз. </w:t>
      </w:r>
      <w:r w:rsidRPr="0028579C">
        <w:rPr>
          <w:rFonts w:cs="Times New Roman"/>
        </w:rPr>
        <w:t>Компьютерная томография головного мозга</w:t>
      </w:r>
      <w:r w:rsidRPr="006B215F">
        <w:rPr>
          <w:rFonts w:cs="Times New Roman"/>
        </w:rPr>
        <w:t xml:space="preserve"> может быть нормальной, изменения </w:t>
      </w:r>
      <w:r w:rsidRPr="0028579C">
        <w:rPr>
          <w:rFonts w:cs="Times New Roman"/>
        </w:rPr>
        <w:t>определяются при магнитно-резонансной томографии</w:t>
      </w:r>
      <w:r>
        <w:rPr>
          <w:rFonts w:cs="Times New Roman"/>
        </w:rPr>
        <w:t xml:space="preserve"> </w:t>
      </w:r>
      <w:r w:rsidRPr="00E42938">
        <w:rPr>
          <w:rFonts w:cs="Times New Roman"/>
        </w:rPr>
        <w:fldChar w:fldCharType="begin" w:fldLock="1"/>
      </w:r>
      <w:r w:rsidR="00BA021B">
        <w:rPr>
          <w:rFonts w:cs="Times New Roman"/>
        </w:rPr>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[106]","plainTextFormattedCitation":"[106]","previouslyFormattedCitation":"[106]"},"properties":{"noteIndex":0},"schema":"https://github.com/citation-style-language/schema/raw/master/csl-citation.json"}</w:instrText>
      </w:r>
      <w:r w:rsidRPr="00E42938">
        <w:rPr>
          <w:rFonts w:cs="Times New Roman"/>
        </w:rPr>
        <w:fldChar w:fldCharType="separate"/>
      </w:r>
      <w:r w:rsidR="00B0402F" w:rsidRPr="00B0402F">
        <w:rPr>
          <w:rFonts w:cs="Times New Roman"/>
          <w:noProof/>
        </w:rPr>
        <w:t>[106]</w:t>
      </w:r>
      <w:r w:rsidRPr="00E42938">
        <w:rPr>
          <w:rFonts w:cs="Times New Roman"/>
        </w:rPr>
        <w:fldChar w:fldCharType="end"/>
      </w:r>
      <w:r w:rsidRPr="006B215F">
        <w:rPr>
          <w:rFonts w:cs="Times New Roman"/>
        </w:rPr>
        <w:t xml:space="preserve">. </w:t>
      </w:r>
    </w:p>
    <w:p w14:paraId="164FBE1D" w14:textId="77777777" w:rsidR="00B20852" w:rsidRDefault="00B20852" w:rsidP="00B20852">
      <w:pPr>
        <w:ind w:firstLine="708"/>
        <w:rPr>
          <w:rFonts w:cs="Times New Roman"/>
        </w:rPr>
      </w:pPr>
      <w:r>
        <w:rPr>
          <w:rFonts w:cs="Times New Roman"/>
        </w:rPr>
        <w:t xml:space="preserve">Диагностика проводится на основании молекулярно-биологического исследования на </w:t>
      </w:r>
      <w:r w:rsidRPr="00620C7D">
        <w:rPr>
          <w:rFonts w:cs="Times New Roman"/>
        </w:rPr>
        <w:t>HHV</w:t>
      </w:r>
      <w:r w:rsidRPr="006B215F">
        <w:rPr>
          <w:rFonts w:cs="Times New Roman"/>
        </w:rPr>
        <w:t>6</w:t>
      </w:r>
      <w:r>
        <w:rPr>
          <w:rFonts w:cs="Times New Roman"/>
        </w:rPr>
        <w:t xml:space="preserve">, выявляющая ДНК вируса методом ПЦР в крови, в СМЖ, других биологических субстратах,  в том числе, количественным методом. </w:t>
      </w:r>
    </w:p>
    <w:p w14:paraId="0C3D0C9F" w14:textId="003856C9" w:rsidR="00B20852" w:rsidRDefault="00B20852" w:rsidP="00B20852">
      <w:pPr>
        <w:ind w:firstLine="708"/>
        <w:rPr>
          <w:rFonts w:cs="Times New Roman"/>
        </w:rPr>
      </w:pPr>
      <w:r>
        <w:rPr>
          <w:rFonts w:cs="Times New Roman"/>
        </w:rPr>
        <w:t xml:space="preserve">Лечение включает назначение ганцикловира или фоскарнета, возможно сочетанное применение препаратов </w:t>
      </w:r>
      <w:r w:rsidRPr="00E42938">
        <w:rPr>
          <w:rFonts w:cs="Times New Roman"/>
        </w:rPr>
        <w:fldChar w:fldCharType="begin" w:fldLock="1"/>
      </w:r>
      <w:r w:rsidR="00BA021B">
        <w:rPr>
          <w:rFonts w:cs="Times New Roman"/>
        </w:rPr>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[106]","plainTextFormattedCitation":"[106]","previouslyFormattedCitation":"[106]"},"properties":{"noteIndex":0},"schema":"https://github.com/citation-style-language/schema/raw/master/csl-citation.json"}</w:instrText>
      </w:r>
      <w:r w:rsidRPr="00E42938">
        <w:rPr>
          <w:rFonts w:cs="Times New Roman"/>
        </w:rPr>
        <w:fldChar w:fldCharType="separate"/>
      </w:r>
      <w:r w:rsidR="00B0402F" w:rsidRPr="00B0402F">
        <w:rPr>
          <w:rFonts w:cs="Times New Roman"/>
          <w:noProof/>
        </w:rPr>
        <w:t>[106]</w:t>
      </w:r>
      <w:r w:rsidRPr="00E42938">
        <w:rPr>
          <w:rFonts w:cs="Times New Roman"/>
        </w:rPr>
        <w:fldChar w:fldCharType="end"/>
      </w:r>
      <w:r w:rsidRPr="006B215F">
        <w:rPr>
          <w:rFonts w:cs="Times New Roman"/>
        </w:rPr>
        <w:t>.</w:t>
      </w:r>
      <w:r>
        <w:rPr>
          <w:rFonts w:cs="Times New Roman"/>
        </w:rPr>
        <w:t xml:space="preserve"> Профилактика в отношении HHV</w:t>
      </w:r>
      <w:r w:rsidRPr="006B215F">
        <w:rPr>
          <w:rFonts w:cs="Times New Roman"/>
        </w:rPr>
        <w:t>-6</w:t>
      </w:r>
      <w:r>
        <w:rPr>
          <w:rFonts w:cs="Times New Roman"/>
        </w:rPr>
        <w:t xml:space="preserve"> не проводится.</w:t>
      </w:r>
    </w:p>
    <w:p w14:paraId="0C6601F6" w14:textId="77777777" w:rsidR="00CC29B1" w:rsidRPr="00C1743E" w:rsidRDefault="00CC29B1" w:rsidP="00B20852">
      <w:pPr>
        <w:ind w:firstLine="708"/>
        <w:rPr>
          <w:rFonts w:cs="Times New Roman"/>
        </w:rPr>
      </w:pPr>
    </w:p>
    <w:p w14:paraId="4D884F95" w14:textId="2886D3EA" w:rsidR="0037636A" w:rsidRPr="007531B6" w:rsidRDefault="00B0402F" w:rsidP="00BA021B">
      <w:pPr>
        <w:pStyle w:val="2"/>
      </w:pPr>
      <w:bookmarkStart w:id="79" w:name="_Toc65586415"/>
      <w:r w:rsidRPr="009E610C">
        <w:t>7.1</w:t>
      </w:r>
      <w:r>
        <w:t xml:space="preserve">3. </w:t>
      </w:r>
      <w:bookmarkStart w:id="80" w:name="_Toc57985410"/>
      <w:bookmarkStart w:id="81" w:name="_Toc64478031"/>
      <w:bookmarkStart w:id="82" w:name="_Toc520213128"/>
      <w:r w:rsidR="0037636A">
        <w:t>Д</w:t>
      </w:r>
      <w:r w:rsidR="0037636A" w:rsidRPr="007531B6">
        <w:t>иагностика и лечение инфекций</w:t>
      </w:r>
      <w:r w:rsidR="0037636A">
        <w:t xml:space="preserve">, </w:t>
      </w:r>
      <w:r w:rsidR="0037636A" w:rsidRPr="007531B6">
        <w:t>вызванных грибами</w:t>
      </w:r>
      <w:bookmarkEnd w:id="79"/>
      <w:bookmarkEnd w:id="80"/>
      <w:bookmarkEnd w:id="81"/>
    </w:p>
    <w:p w14:paraId="0161DE59" w14:textId="77777777" w:rsidR="0037636A" w:rsidRPr="0002711B" w:rsidRDefault="0037636A" w:rsidP="0037636A">
      <w:pPr>
        <w:ind w:firstLine="708"/>
      </w:pPr>
      <w:r>
        <w:t>Высокотехнологичные методы лечения и особенности иммунодефицита у пациентов с гематологическими заболеваниями ассоциированы с увеличением частоты оппортунистических инфекций и прежде всего инфекционных осложнений, вызванных грибами. В структуре инвазивных микозов ведущую позицию занимает инвазивный аспергиллез, далее следует инвазивный кандидоз, возрастает частота микозов, вызванных другими плесневыми грибами. В приложении представлены характеристика инфекционного процесса, вызванного грибами, особенности диагностики и лечения в зависимости от выделенного возбудителя.</w:t>
      </w:r>
    </w:p>
    <w:p w14:paraId="229BC04B" w14:textId="77777777" w:rsidR="0037636A" w:rsidRDefault="0037636A" w:rsidP="0037636A">
      <w:pPr>
        <w:widowControl w:val="0"/>
        <w:autoSpaceDE w:val="0"/>
        <w:autoSpaceDN w:val="0"/>
        <w:adjustRightInd w:val="0"/>
        <w:ind w:right="51"/>
        <w:contextualSpacing/>
        <w:rPr>
          <w:b/>
          <w:bCs/>
        </w:rPr>
      </w:pPr>
    </w:p>
    <w:p w14:paraId="4C2CCD6C" w14:textId="5948DD23" w:rsidR="0037636A" w:rsidRPr="00084B8B" w:rsidRDefault="0037636A" w:rsidP="0037636A">
      <w:pPr>
        <w:widowControl w:val="0"/>
        <w:autoSpaceDE w:val="0"/>
        <w:autoSpaceDN w:val="0"/>
        <w:adjustRightInd w:val="0"/>
        <w:ind w:right="49"/>
        <w:contextualSpacing/>
        <w:rPr>
          <w:bCs/>
          <w:u w:val="single"/>
        </w:rPr>
      </w:pPr>
      <w:r w:rsidRPr="00F87280">
        <w:rPr>
          <w:bCs/>
          <w:u w:val="single"/>
        </w:rPr>
        <w:t>Диагностика и лечение кандидоза</w:t>
      </w:r>
      <w:r>
        <w:rPr>
          <w:bCs/>
          <w:u w:val="single"/>
          <w:lang w:val="en-US"/>
        </w:rPr>
        <w:t xml:space="preserve"> </w:t>
      </w:r>
      <w:r>
        <w:rPr>
          <w:b/>
        </w:rPr>
        <w:fldChar w:fldCharType="begin" w:fldLock="1"/>
      </w:r>
      <w:r w:rsidR="00987CCD">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-4","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mendeley":{"formattedCitation":"[100,101,107,108]","plainTextFormattedCitation":"[100,101,107,108]","previouslyFormattedCitation":"[100,101,107,108]"},"properties":{"noteIndex":0},"schema":"https://github.com/citation-style-language/schema/raw/master/csl-citation.json"}</w:instrText>
      </w:r>
      <w:r>
        <w:rPr>
          <w:b/>
        </w:rPr>
        <w:fldChar w:fldCharType="separate"/>
      </w:r>
      <w:r w:rsidR="00BA021B" w:rsidRPr="00BA021B">
        <w:rPr>
          <w:noProof/>
        </w:rPr>
        <w:t>[100,101,107,108]</w:t>
      </w:r>
      <w:r>
        <w:rPr>
          <w:b/>
        </w:rPr>
        <w:fldChar w:fldCharType="end"/>
      </w:r>
    </w:p>
    <w:p w14:paraId="6DD174D9" w14:textId="77777777" w:rsidR="0037636A" w:rsidRPr="0014445B" w:rsidRDefault="0037636A" w:rsidP="0037636A">
      <w:pPr>
        <w:widowControl w:val="0"/>
        <w:autoSpaceDE w:val="0"/>
        <w:autoSpaceDN w:val="0"/>
        <w:adjustRightInd w:val="0"/>
        <w:ind w:right="51"/>
        <w:contextualSpacing/>
        <w:rPr>
          <w:b/>
          <w:bCs/>
        </w:rPr>
      </w:pPr>
      <w:r w:rsidRPr="0014445B">
        <w:rPr>
          <w:b/>
          <w:bCs/>
        </w:rPr>
        <w:t>Кандидоз полости рта и глотки (орофарингеальный кандидоз)</w:t>
      </w:r>
    </w:p>
    <w:p w14:paraId="177C8B71" w14:textId="77777777" w:rsidR="0037636A" w:rsidRPr="00F87280" w:rsidRDefault="0037636A" w:rsidP="0037636A">
      <w:pPr>
        <w:widowControl w:val="0"/>
        <w:autoSpaceDE w:val="0"/>
        <w:autoSpaceDN w:val="0"/>
        <w:adjustRightInd w:val="0"/>
        <w:ind w:right="51"/>
        <w:contextualSpacing/>
        <w:rPr>
          <w:i/>
          <w:iCs/>
        </w:rPr>
      </w:pPr>
      <w:r w:rsidRPr="00F87280">
        <w:rPr>
          <w:i/>
          <w:iCs/>
          <w:u w:val="single"/>
        </w:rPr>
        <w:t>Возбудители</w:t>
      </w:r>
    </w:p>
    <w:p w14:paraId="1FFE2307" w14:textId="77777777" w:rsidR="0037636A" w:rsidRPr="00DA2BC8" w:rsidRDefault="0037636A" w:rsidP="0037636A">
      <w:pPr>
        <w:widowControl w:val="0"/>
        <w:autoSpaceDE w:val="0"/>
        <w:autoSpaceDN w:val="0"/>
        <w:adjustRightInd w:val="0"/>
        <w:ind w:right="51"/>
        <w:contextualSpacing/>
      </w:pPr>
      <w:r w:rsidRPr="00DA2BC8">
        <w:t xml:space="preserve">Среди возбудителей преобладают </w:t>
      </w:r>
      <w:r w:rsidRPr="00DA2BC8">
        <w:rPr>
          <w:i/>
          <w:iCs/>
        </w:rPr>
        <w:t>Candida albicans,</w:t>
      </w:r>
      <w:r w:rsidRPr="00DA2BC8">
        <w:t xml:space="preserve"> часто в сочетании с бактериями. Другие виды выделяют реже </w:t>
      </w:r>
      <w:r>
        <w:t>(в основном, у пациентов,</w:t>
      </w:r>
      <w:r w:rsidRPr="00DA2BC8">
        <w:t xml:space="preserve"> длительно принимающих противогрибковые препараты</w:t>
      </w:r>
      <w:r>
        <w:t>)</w:t>
      </w:r>
      <w:r w:rsidRPr="00DA2BC8">
        <w:t>.</w:t>
      </w:r>
    </w:p>
    <w:p w14:paraId="73928720" w14:textId="77777777" w:rsidR="0037636A" w:rsidRPr="00F87280" w:rsidRDefault="0037636A" w:rsidP="0037636A">
      <w:pPr>
        <w:widowControl w:val="0"/>
        <w:autoSpaceDE w:val="0"/>
        <w:autoSpaceDN w:val="0"/>
        <w:adjustRightInd w:val="0"/>
        <w:ind w:right="51"/>
        <w:contextualSpacing/>
        <w:rPr>
          <w:i/>
          <w:iCs/>
          <w:u w:val="single"/>
        </w:rPr>
      </w:pPr>
      <w:r w:rsidRPr="00F87280">
        <w:rPr>
          <w:i/>
          <w:iCs/>
          <w:u w:val="single"/>
        </w:rPr>
        <w:t>Факторы риска</w:t>
      </w:r>
    </w:p>
    <w:p w14:paraId="5756D0AF" w14:textId="77777777" w:rsidR="0037636A" w:rsidRPr="00DA2BC8" w:rsidRDefault="0037636A" w:rsidP="0037636A">
      <w:pPr>
        <w:widowControl w:val="0"/>
        <w:autoSpaceDE w:val="0"/>
        <w:autoSpaceDN w:val="0"/>
        <w:adjustRightInd w:val="0"/>
        <w:ind w:right="51"/>
        <w:contextualSpacing/>
      </w:pPr>
      <w:r w:rsidRPr="00DA2BC8">
        <w:t>Основными факторами риска являются нейтропения, применение антибиотиков, глюкокортикоидов, цитостатиков и иммунодепрессантов, проведение лучевой терапии.</w:t>
      </w:r>
    </w:p>
    <w:p w14:paraId="38909F5E" w14:textId="77777777" w:rsidR="0037636A" w:rsidRPr="00F87280" w:rsidRDefault="0037636A" w:rsidP="0037636A">
      <w:pPr>
        <w:widowControl w:val="0"/>
        <w:autoSpaceDE w:val="0"/>
        <w:autoSpaceDN w:val="0"/>
        <w:adjustRightInd w:val="0"/>
        <w:ind w:right="51"/>
        <w:contextualSpacing/>
        <w:rPr>
          <w:i/>
          <w:iCs/>
          <w:u w:val="single"/>
        </w:rPr>
      </w:pPr>
      <w:r w:rsidRPr="00F87280">
        <w:rPr>
          <w:i/>
          <w:iCs/>
          <w:u w:val="single"/>
        </w:rPr>
        <w:t>Симптомы инфекции</w:t>
      </w:r>
    </w:p>
    <w:p w14:paraId="1F3EB22A" w14:textId="77777777" w:rsidR="0037636A" w:rsidRPr="00DA2BC8" w:rsidRDefault="0037636A" w:rsidP="0037636A">
      <w:pPr>
        <w:widowControl w:val="0"/>
        <w:autoSpaceDE w:val="0"/>
        <w:autoSpaceDN w:val="0"/>
        <w:adjustRightInd w:val="0"/>
        <w:ind w:right="51"/>
        <w:contextualSpacing/>
      </w:pPr>
      <w:r w:rsidRPr="00DA2BC8">
        <w:t>Клинические проявления орофарингеального кандидоза - налеты белого цвета или гиперемия слизистой оболочки ротоглотки, боль в полости рта.</w:t>
      </w:r>
    </w:p>
    <w:p w14:paraId="4345C701" w14:textId="77777777" w:rsidR="0037636A" w:rsidRPr="00F87280" w:rsidRDefault="0037636A" w:rsidP="0037636A">
      <w:pPr>
        <w:widowControl w:val="0"/>
        <w:autoSpaceDE w:val="0"/>
        <w:autoSpaceDN w:val="0"/>
        <w:adjustRightInd w:val="0"/>
        <w:ind w:right="51"/>
        <w:contextualSpacing/>
        <w:rPr>
          <w:i/>
          <w:iCs/>
          <w:u w:val="single"/>
        </w:rPr>
      </w:pPr>
      <w:r w:rsidRPr="00F87280">
        <w:rPr>
          <w:i/>
          <w:iCs/>
          <w:u w:val="single"/>
        </w:rPr>
        <w:t>Диагностика</w:t>
      </w:r>
    </w:p>
    <w:p w14:paraId="66F051B8" w14:textId="77777777" w:rsidR="0037636A" w:rsidRPr="00DA2BC8" w:rsidRDefault="0037636A" w:rsidP="0037636A">
      <w:pPr>
        <w:widowControl w:val="0"/>
        <w:autoSpaceDE w:val="0"/>
        <w:autoSpaceDN w:val="0"/>
        <w:adjustRightInd w:val="0"/>
        <w:ind w:right="51"/>
        <w:contextualSpacing/>
      </w:pPr>
      <w:r w:rsidRPr="00DA2BC8">
        <w:t>При наличии симптомов берут мазок с измененной слизистой оболочки для микробиологического исследования (</w:t>
      </w:r>
      <w:r>
        <w:t xml:space="preserve">культуральное исследование, </w:t>
      </w:r>
      <w:r w:rsidRPr="00DA2BC8">
        <w:t xml:space="preserve">посев). При выделении </w:t>
      </w:r>
      <w:r w:rsidRPr="00DA2BC8">
        <w:rPr>
          <w:i/>
          <w:iCs/>
        </w:rPr>
        <w:t>Candida</w:t>
      </w:r>
      <w:r w:rsidRPr="00DA2BC8">
        <w:t xml:space="preserve"> spp. проводят идентификацию до вида. Чувствительность к противогрибковым препаратам определяют при длительном, рецидивирующем орофарингеальном кандидозе </w:t>
      </w:r>
    </w:p>
    <w:p w14:paraId="2C7BF050" w14:textId="77777777" w:rsidR="0037636A" w:rsidRPr="00F87280" w:rsidRDefault="0037636A" w:rsidP="0037636A">
      <w:pPr>
        <w:widowControl w:val="0"/>
        <w:autoSpaceDE w:val="0"/>
        <w:autoSpaceDN w:val="0"/>
        <w:adjustRightInd w:val="0"/>
        <w:ind w:right="51"/>
        <w:contextualSpacing/>
        <w:rPr>
          <w:i/>
          <w:iCs/>
        </w:rPr>
      </w:pPr>
      <w:r w:rsidRPr="00F87280">
        <w:rPr>
          <w:i/>
          <w:iCs/>
          <w:u w:val="single"/>
        </w:rPr>
        <w:t>Показания к назначению противогрибковых препаратов</w:t>
      </w:r>
    </w:p>
    <w:p w14:paraId="29BEF931" w14:textId="77777777" w:rsidR="0037636A" w:rsidRPr="00DA2BC8" w:rsidRDefault="0037636A" w:rsidP="0037636A">
      <w:pPr>
        <w:widowControl w:val="0"/>
        <w:autoSpaceDE w:val="0"/>
        <w:autoSpaceDN w:val="0"/>
        <w:adjustRightInd w:val="0"/>
        <w:ind w:right="51"/>
        <w:contextualSpacing/>
      </w:pPr>
      <w:r w:rsidRPr="00DA2BC8">
        <w:t xml:space="preserve">Наличие симптомов и выделение </w:t>
      </w:r>
      <w:r w:rsidRPr="00DA2BC8">
        <w:rPr>
          <w:i/>
          <w:iCs/>
        </w:rPr>
        <w:t xml:space="preserve">Candida </w:t>
      </w:r>
      <w:r w:rsidRPr="00DA2BC8">
        <w:t xml:space="preserve">spp. в мазках со слизистой ротоглотки. </w:t>
      </w:r>
    </w:p>
    <w:p w14:paraId="1E6A9542" w14:textId="77777777" w:rsidR="0037636A" w:rsidRPr="00F87280" w:rsidRDefault="0037636A" w:rsidP="0037636A">
      <w:pPr>
        <w:widowControl w:val="0"/>
        <w:autoSpaceDE w:val="0"/>
        <w:autoSpaceDN w:val="0"/>
        <w:adjustRightInd w:val="0"/>
        <w:ind w:right="51"/>
        <w:contextualSpacing/>
        <w:rPr>
          <w:i/>
          <w:iCs/>
          <w:u w:val="single"/>
        </w:rPr>
      </w:pPr>
      <w:r w:rsidRPr="00F87280">
        <w:rPr>
          <w:i/>
          <w:iCs/>
          <w:u w:val="single"/>
        </w:rPr>
        <w:t xml:space="preserve">Лечение </w:t>
      </w:r>
    </w:p>
    <w:p w14:paraId="79ECD140" w14:textId="77777777" w:rsidR="0037636A" w:rsidRPr="00DA2BC8" w:rsidRDefault="0037636A" w:rsidP="0037636A">
      <w:pPr>
        <w:widowControl w:val="0"/>
        <w:autoSpaceDE w:val="0"/>
        <w:autoSpaceDN w:val="0"/>
        <w:adjustRightInd w:val="0"/>
        <w:ind w:right="51"/>
        <w:contextualSpacing/>
        <w:rPr>
          <w:b/>
          <w:bCs/>
        </w:rPr>
      </w:pPr>
      <w:r w:rsidRPr="00DA2BC8">
        <w:rPr>
          <w:bCs/>
        </w:rPr>
        <w:t>Препарат выбора</w:t>
      </w:r>
      <w:r w:rsidRPr="00DA2BC8">
        <w:t xml:space="preserve"> — флуконазол, по 400 мг 1 раз в сутки внутрь или внутривенно.</w:t>
      </w:r>
      <w:r w:rsidRPr="00DA2BC8">
        <w:rPr>
          <w:b/>
          <w:bCs/>
        </w:rPr>
        <w:t xml:space="preserve"> </w:t>
      </w:r>
      <w:r w:rsidRPr="00DA2BC8">
        <w:t xml:space="preserve">Флуконазол не назначают при выделении </w:t>
      </w:r>
      <w:r w:rsidRPr="00DA2BC8">
        <w:rPr>
          <w:i/>
          <w:iCs/>
        </w:rPr>
        <w:t>C. krusei</w:t>
      </w:r>
      <w:r w:rsidRPr="00DA2BC8">
        <w:t xml:space="preserve"> или </w:t>
      </w:r>
      <w:r w:rsidRPr="00DA2BC8">
        <w:rPr>
          <w:i/>
          <w:iCs/>
        </w:rPr>
        <w:t xml:space="preserve">C. glabrata. </w:t>
      </w:r>
      <w:r w:rsidRPr="00DA2BC8">
        <w:rPr>
          <w:iCs/>
        </w:rPr>
        <w:t>При</w:t>
      </w:r>
      <w:r w:rsidRPr="00DA2BC8">
        <w:rPr>
          <w:i/>
          <w:iCs/>
        </w:rPr>
        <w:t xml:space="preserve"> </w:t>
      </w:r>
      <w:r w:rsidRPr="00DA2BC8">
        <w:t xml:space="preserve">детекции </w:t>
      </w:r>
      <w:r w:rsidRPr="00DA2BC8">
        <w:rPr>
          <w:i/>
          <w:iCs/>
        </w:rPr>
        <w:t xml:space="preserve">С. krusei </w:t>
      </w:r>
      <w:r w:rsidRPr="00DA2BC8">
        <w:t>или</w:t>
      </w:r>
      <w:r w:rsidRPr="00DA2BC8">
        <w:rPr>
          <w:i/>
          <w:iCs/>
        </w:rPr>
        <w:t xml:space="preserve"> C. glabrata</w:t>
      </w:r>
      <w:r w:rsidRPr="00DA2BC8">
        <w:rPr>
          <w:iCs/>
        </w:rPr>
        <w:t xml:space="preserve"> применяют</w:t>
      </w:r>
      <w:r w:rsidRPr="00DA2BC8">
        <w:rPr>
          <w:i/>
          <w:iCs/>
        </w:rPr>
        <w:t xml:space="preserve"> </w:t>
      </w:r>
      <w:r w:rsidRPr="00DA2BC8">
        <w:t xml:space="preserve">нистатин (5-8 гр в сутки), при выраженном мукозите у больных с фебрильной лейкопенией – эхиноканадин (микафунгин или каспофунгин, или анидулафунгин). </w:t>
      </w:r>
      <w:r w:rsidRPr="00DA2BC8">
        <w:rPr>
          <w:bCs/>
        </w:rPr>
        <w:t xml:space="preserve">При неэффективном применении флуконазола проводят замену на </w:t>
      </w:r>
      <w:r w:rsidRPr="00DA2BC8">
        <w:t xml:space="preserve">эхиноканадин (микафунгин по 100 мг 1 раза в сутки или каспофунгин в 1-й день 70 мг, а затем 50 мг в сутки, анидулафунгин в 1-й день 200 мг, а затем по 100 мг в сутки), позаконазол (суспензия, внутрь после еды), по 400 мг 2 раза в сутки в течение 3 дней, затем по 400 мг 1 раз в день; или вориконазол (таблетки), по 200 мг 2 раза в сутки внутрь; или амфотерицин В, 0,3-0,5 мг/кг/сут внутривенно. </w:t>
      </w:r>
      <w:r w:rsidRPr="00DA2BC8">
        <w:rPr>
          <w:bCs/>
        </w:rPr>
        <w:t>Длительность лечения</w:t>
      </w:r>
      <w:r w:rsidRPr="00DA2BC8">
        <w:t xml:space="preserve"> составляет 7-10 дней. Более длительное применение системных противогрибковых препаратов приводит к появлению флуконазолрезистентных штаммов грибов.</w:t>
      </w:r>
    </w:p>
    <w:p w14:paraId="0D248102" w14:textId="77777777" w:rsidR="0037636A" w:rsidRPr="0014445B" w:rsidRDefault="0037636A" w:rsidP="0037636A">
      <w:pPr>
        <w:widowControl w:val="0"/>
        <w:autoSpaceDE w:val="0"/>
        <w:autoSpaceDN w:val="0"/>
        <w:adjustRightInd w:val="0"/>
        <w:ind w:right="50"/>
        <w:contextualSpacing/>
        <w:rPr>
          <w:b/>
          <w:bCs/>
        </w:rPr>
      </w:pPr>
      <w:r w:rsidRPr="0014445B">
        <w:rPr>
          <w:b/>
          <w:bCs/>
        </w:rPr>
        <w:t>Кандидоз пищевода</w:t>
      </w:r>
    </w:p>
    <w:p w14:paraId="4C75EDD6" w14:textId="77777777" w:rsidR="0037636A" w:rsidRPr="00F87280" w:rsidRDefault="0037636A" w:rsidP="0037636A">
      <w:pPr>
        <w:widowControl w:val="0"/>
        <w:autoSpaceDE w:val="0"/>
        <w:autoSpaceDN w:val="0"/>
        <w:adjustRightInd w:val="0"/>
        <w:ind w:right="50"/>
        <w:contextualSpacing/>
        <w:rPr>
          <w:i/>
          <w:iCs/>
          <w:u w:val="single"/>
        </w:rPr>
      </w:pPr>
      <w:r w:rsidRPr="00F87280">
        <w:rPr>
          <w:i/>
          <w:iCs/>
          <w:u w:val="single"/>
        </w:rPr>
        <w:t>Возбудители</w:t>
      </w:r>
    </w:p>
    <w:p w14:paraId="633208DA" w14:textId="77777777" w:rsidR="0037636A" w:rsidRPr="00DA2BC8" w:rsidRDefault="0037636A" w:rsidP="0037636A">
      <w:pPr>
        <w:widowControl w:val="0"/>
        <w:autoSpaceDE w:val="0"/>
        <w:autoSpaceDN w:val="0"/>
        <w:adjustRightInd w:val="0"/>
        <w:ind w:right="50"/>
        <w:contextualSpacing/>
      </w:pPr>
      <w:r w:rsidRPr="00DA2BC8">
        <w:t xml:space="preserve">Среди возбудителей преобладают </w:t>
      </w:r>
      <w:r w:rsidRPr="00DA2BC8">
        <w:rPr>
          <w:i/>
          <w:iCs/>
        </w:rPr>
        <w:t>C. albicans.</w:t>
      </w:r>
    </w:p>
    <w:p w14:paraId="118A726F" w14:textId="77777777" w:rsidR="0037636A" w:rsidRPr="00DA2BC8" w:rsidRDefault="0037636A" w:rsidP="0037636A">
      <w:pPr>
        <w:widowControl w:val="0"/>
        <w:autoSpaceDE w:val="0"/>
        <w:autoSpaceDN w:val="0"/>
        <w:adjustRightInd w:val="0"/>
        <w:ind w:right="50"/>
        <w:contextualSpacing/>
      </w:pPr>
      <w:r w:rsidRPr="00F87280">
        <w:rPr>
          <w:i/>
          <w:iCs/>
          <w:u w:val="single"/>
        </w:rPr>
        <w:t>Факторы риска</w:t>
      </w:r>
      <w:r w:rsidRPr="00DA2BC8">
        <w:t xml:space="preserve"> те же, что при орофарингеальном кандидозе.</w:t>
      </w:r>
    </w:p>
    <w:p w14:paraId="0754BAA2" w14:textId="77777777" w:rsidR="0037636A" w:rsidRPr="00F87280" w:rsidRDefault="0037636A" w:rsidP="0037636A">
      <w:pPr>
        <w:widowControl w:val="0"/>
        <w:autoSpaceDE w:val="0"/>
        <w:autoSpaceDN w:val="0"/>
        <w:adjustRightInd w:val="0"/>
        <w:ind w:right="50"/>
        <w:contextualSpacing/>
        <w:rPr>
          <w:i/>
          <w:iCs/>
          <w:u w:val="single"/>
        </w:rPr>
      </w:pPr>
      <w:r w:rsidRPr="00F87280">
        <w:rPr>
          <w:i/>
          <w:iCs/>
          <w:u w:val="single"/>
        </w:rPr>
        <w:t>Симптомы инфекции</w:t>
      </w:r>
    </w:p>
    <w:p w14:paraId="58889611" w14:textId="77777777" w:rsidR="0037636A" w:rsidRPr="00DA2BC8" w:rsidRDefault="0037636A" w:rsidP="0037636A">
      <w:pPr>
        <w:widowControl w:val="0"/>
        <w:autoSpaceDE w:val="0"/>
        <w:autoSpaceDN w:val="0"/>
        <w:adjustRightInd w:val="0"/>
        <w:ind w:right="50"/>
        <w:contextualSpacing/>
      </w:pPr>
      <w:r w:rsidRPr="00DA2BC8">
        <w:t>Клинические проявления кандидозного эзофагита — боль по ходу пищевода при глотании, боль или дискомфорт за грудиной в покое. Преобладает поражение дистального отдела пищевода.</w:t>
      </w:r>
    </w:p>
    <w:p w14:paraId="0AF1F361" w14:textId="77777777" w:rsidR="0037636A" w:rsidRPr="00F87280" w:rsidRDefault="0037636A" w:rsidP="0037636A">
      <w:pPr>
        <w:widowControl w:val="0"/>
        <w:autoSpaceDE w:val="0"/>
        <w:autoSpaceDN w:val="0"/>
        <w:adjustRightInd w:val="0"/>
        <w:ind w:right="50"/>
        <w:contextualSpacing/>
        <w:rPr>
          <w:i/>
          <w:iCs/>
        </w:rPr>
      </w:pPr>
      <w:r w:rsidRPr="00F87280">
        <w:rPr>
          <w:i/>
          <w:iCs/>
          <w:u w:val="single"/>
        </w:rPr>
        <w:t>Диагностика</w:t>
      </w:r>
    </w:p>
    <w:p w14:paraId="7F12849C" w14:textId="77777777" w:rsidR="0037636A" w:rsidRPr="00DA2BC8" w:rsidRDefault="0037636A" w:rsidP="0037636A">
      <w:pPr>
        <w:widowControl w:val="0"/>
        <w:autoSpaceDE w:val="0"/>
        <w:autoSpaceDN w:val="0"/>
        <w:adjustRightInd w:val="0"/>
        <w:ind w:right="50"/>
        <w:contextualSpacing/>
      </w:pPr>
      <w:r w:rsidRPr="00DA2BC8">
        <w:t>Проводят эзофагоскопию, при которой выявляют гиперемию или фибриновые налеты на слизистой оболочке пищевода. С измененной слизистой оболочки пищевода берут соскоб браш-методом (при гранулоцитопении и тромбоцитопении) или биоптат (если тромбоцитов в гемограмме более 50,0×10</w:t>
      </w:r>
      <w:r w:rsidRPr="00DA2BC8">
        <w:rPr>
          <w:vertAlign w:val="superscript"/>
        </w:rPr>
        <w:t>9</w:t>
      </w:r>
      <w:r w:rsidRPr="00DA2BC8">
        <w:t xml:space="preserve">/л) для микробиологического исследования. При выделении </w:t>
      </w:r>
      <w:r w:rsidRPr="00DA2BC8">
        <w:rPr>
          <w:i/>
          <w:iCs/>
        </w:rPr>
        <w:t>Candida</w:t>
      </w:r>
      <w:r w:rsidRPr="00DA2BC8">
        <w:t xml:space="preserve"> spp. проводят идентификацию до вида и определение чувствительности. Биоптат пищевода исследуют в лаборатории микробиологии (микроскопия и </w:t>
      </w:r>
      <w:r>
        <w:t>культуральное исследование/</w:t>
      </w:r>
      <w:r w:rsidRPr="00DA2BC8">
        <w:t>посев), вирусологии (</w:t>
      </w:r>
      <w:r>
        <w:t>молекулярно-биологическое определение</w:t>
      </w:r>
      <w:r w:rsidRPr="00DA2BC8">
        <w:t xml:space="preserve"> ДНК герпес-вирусов методом ПЦР) и гистологии</w:t>
      </w:r>
      <w:r>
        <w:t xml:space="preserve"> (гистологическое исследование биоптата)</w:t>
      </w:r>
      <w:r w:rsidRPr="00DA2BC8">
        <w:t>.</w:t>
      </w:r>
    </w:p>
    <w:p w14:paraId="0476539B" w14:textId="77777777" w:rsidR="0037636A" w:rsidRPr="00F87280" w:rsidRDefault="0037636A" w:rsidP="0037636A">
      <w:pPr>
        <w:widowControl w:val="0"/>
        <w:autoSpaceDE w:val="0"/>
        <w:autoSpaceDN w:val="0"/>
        <w:adjustRightInd w:val="0"/>
        <w:ind w:right="50"/>
        <w:contextualSpacing/>
        <w:rPr>
          <w:i/>
          <w:iCs/>
          <w:u w:val="single"/>
        </w:rPr>
      </w:pPr>
      <w:r w:rsidRPr="00F87280">
        <w:rPr>
          <w:i/>
          <w:iCs/>
          <w:u w:val="single"/>
        </w:rPr>
        <w:t>Показания к назначению противогрибковых препаратов</w:t>
      </w:r>
    </w:p>
    <w:p w14:paraId="4A720965" w14:textId="77777777" w:rsidR="0037636A" w:rsidRPr="00DA2BC8" w:rsidRDefault="0037636A" w:rsidP="0037636A">
      <w:pPr>
        <w:widowControl w:val="0"/>
        <w:autoSpaceDE w:val="0"/>
        <w:autoSpaceDN w:val="0"/>
        <w:adjustRightInd w:val="0"/>
        <w:ind w:right="50"/>
        <w:contextualSpacing/>
      </w:pPr>
      <w:r w:rsidRPr="00DA2BC8">
        <w:t xml:space="preserve">Наличие симптомов эзофагита и выделение дрожжевых грибов со слизистой оболочки пищевода при эзофагоскопии. Если невозможно провести эзофагоскопию, то противогрибковые препараты назначают на основании клинических проявлений эзофагита. </w:t>
      </w:r>
    </w:p>
    <w:p w14:paraId="13DF485A" w14:textId="77777777" w:rsidR="0037636A" w:rsidRPr="00F87280" w:rsidRDefault="0037636A" w:rsidP="0037636A">
      <w:pPr>
        <w:widowControl w:val="0"/>
        <w:autoSpaceDE w:val="0"/>
        <w:autoSpaceDN w:val="0"/>
        <w:adjustRightInd w:val="0"/>
        <w:ind w:right="50"/>
        <w:contextualSpacing/>
        <w:rPr>
          <w:i/>
          <w:iCs/>
          <w:u w:val="single"/>
        </w:rPr>
      </w:pPr>
      <w:r w:rsidRPr="00F87280">
        <w:rPr>
          <w:i/>
          <w:iCs/>
          <w:u w:val="single"/>
        </w:rPr>
        <w:t>Лечение</w:t>
      </w:r>
    </w:p>
    <w:p w14:paraId="77E7644E" w14:textId="77777777" w:rsidR="0037636A" w:rsidRPr="00DA2BC8" w:rsidRDefault="0037636A" w:rsidP="0037636A">
      <w:pPr>
        <w:widowControl w:val="0"/>
        <w:autoSpaceDE w:val="0"/>
        <w:autoSpaceDN w:val="0"/>
        <w:adjustRightInd w:val="0"/>
        <w:ind w:right="50"/>
        <w:contextualSpacing/>
      </w:pPr>
      <w:r w:rsidRPr="00DA2BC8">
        <w:t>Во всех случаях назначают системные противогрибковые препараты. Препараты, обладающие местным действием, для лечения не используют. По возможности сокращают число используемых антибиотиков или отменяют их.</w:t>
      </w:r>
    </w:p>
    <w:p w14:paraId="03000CB6" w14:textId="77777777" w:rsidR="0037636A" w:rsidRPr="00DA2BC8" w:rsidRDefault="0037636A" w:rsidP="0037636A">
      <w:pPr>
        <w:widowControl w:val="0"/>
        <w:autoSpaceDE w:val="0"/>
        <w:autoSpaceDN w:val="0"/>
        <w:adjustRightInd w:val="0"/>
        <w:ind w:right="50"/>
        <w:contextualSpacing/>
      </w:pPr>
      <w:r w:rsidRPr="00DA2BC8">
        <w:rPr>
          <w:bCs/>
        </w:rPr>
        <w:t xml:space="preserve">Препарат выбора (исключение </w:t>
      </w:r>
      <w:r w:rsidRPr="00DA2BC8">
        <w:rPr>
          <w:bCs/>
          <w:i/>
          <w:iCs/>
        </w:rPr>
        <w:t>C. krusei</w:t>
      </w:r>
      <w:r w:rsidRPr="00DA2BC8">
        <w:rPr>
          <w:bCs/>
        </w:rPr>
        <w:t xml:space="preserve"> или </w:t>
      </w:r>
      <w:r w:rsidRPr="00DA2BC8">
        <w:rPr>
          <w:bCs/>
          <w:i/>
          <w:iCs/>
        </w:rPr>
        <w:t>C. glabrata</w:t>
      </w:r>
      <w:r w:rsidRPr="00DA2BC8">
        <w:rPr>
          <w:bCs/>
        </w:rPr>
        <w:t>)</w:t>
      </w:r>
      <w:r w:rsidRPr="00DA2BC8">
        <w:t xml:space="preserve"> — флуконазол, по 400 мг 1 раз в сутки внутрь или внутривенно. </w:t>
      </w:r>
      <w:r w:rsidRPr="00DA2BC8">
        <w:rPr>
          <w:bCs/>
        </w:rPr>
        <w:t>Альтернативные препараты</w:t>
      </w:r>
      <w:r w:rsidRPr="00DA2BC8">
        <w:t xml:space="preserve"> - каспофунгин по 50 мг внутривенно 1 раз в сутки, в 1-й день 70 мг; микафунгин по 100 мг внутривенно 1 раз в сутки; анидулафунгин по 100 мг внутривенно 1 раз в сутки, в 1-й день 200 мг; вориконазол по 3 мг/кг внутривенно 2 раза в сутки, в 1-й день по 6 мг/кг 2 раза в сутки или по 200 мг внутрь 2 раза в сутки; итраконазол (суспензия) по 200 мг 2 раза в сутки внутрь (натощак); позаконазол (суспензия) по 400 мг 2 раза в сутки (после приема пищи); амфотерицин В по 0,5-0,7 мг/кг внутривенно 1 раз в сутки. </w:t>
      </w:r>
      <w:r w:rsidRPr="00DA2BC8">
        <w:rPr>
          <w:bCs/>
        </w:rPr>
        <w:t>При неэффективности флуконазола</w:t>
      </w:r>
      <w:r w:rsidRPr="00DA2BC8">
        <w:t xml:space="preserve"> выбор препарата проводят на основании видовой идентификации </w:t>
      </w:r>
      <w:r w:rsidRPr="00DA2BC8">
        <w:rPr>
          <w:i/>
          <w:iCs/>
        </w:rPr>
        <w:t>Candida</w:t>
      </w:r>
      <w:r w:rsidRPr="00DA2BC8">
        <w:t xml:space="preserve"> spp. и определения чувствительности. Препарат выбора при эзофагите, вызванном </w:t>
      </w:r>
      <w:r w:rsidRPr="00DA2BC8">
        <w:rPr>
          <w:i/>
        </w:rPr>
        <w:t>C. krusei</w:t>
      </w:r>
      <w:r w:rsidRPr="00DA2BC8">
        <w:t xml:space="preserve"> или </w:t>
      </w:r>
      <w:r w:rsidRPr="00DA2BC8">
        <w:rPr>
          <w:i/>
        </w:rPr>
        <w:t>C. glabrata</w:t>
      </w:r>
      <w:r w:rsidRPr="00DA2BC8">
        <w:t xml:space="preserve"> – эхинокандин (каспофунгин или микафунгин или анидулафунгин). Не проводят замену флуконазола на азолы (итраконазол или вориконазол, или позаконазол) ввиду перекрестной резистентности. Допустима замена флуконазола на вориконазол при выделении </w:t>
      </w:r>
      <w:r w:rsidRPr="00DA2BC8">
        <w:rPr>
          <w:i/>
          <w:iCs/>
        </w:rPr>
        <w:t>C. krusei.</w:t>
      </w:r>
      <w:r w:rsidRPr="00DA2BC8">
        <w:t xml:space="preserve"> </w:t>
      </w:r>
      <w:r w:rsidRPr="00DA2BC8">
        <w:rPr>
          <w:bCs/>
        </w:rPr>
        <w:t xml:space="preserve">Длительность лечения </w:t>
      </w:r>
      <w:r w:rsidRPr="00DA2BC8">
        <w:t>составляет 14-21 день.</w:t>
      </w:r>
    </w:p>
    <w:p w14:paraId="33F445B6" w14:textId="77777777" w:rsidR="0037636A" w:rsidRPr="0014445B" w:rsidRDefault="0037636A" w:rsidP="0037636A">
      <w:pPr>
        <w:widowControl w:val="0"/>
        <w:autoSpaceDE w:val="0"/>
        <w:autoSpaceDN w:val="0"/>
        <w:adjustRightInd w:val="0"/>
        <w:ind w:right="50"/>
        <w:contextualSpacing/>
        <w:rPr>
          <w:b/>
          <w:bCs/>
        </w:rPr>
      </w:pPr>
      <w:r w:rsidRPr="0014445B">
        <w:rPr>
          <w:b/>
          <w:bCs/>
        </w:rPr>
        <w:t>Инвазивный кандидоз</w:t>
      </w:r>
    </w:p>
    <w:p w14:paraId="3D23154F" w14:textId="77777777" w:rsidR="0037636A" w:rsidRPr="00DA2BC8" w:rsidRDefault="0037636A" w:rsidP="0037636A">
      <w:pPr>
        <w:widowControl w:val="0"/>
        <w:autoSpaceDE w:val="0"/>
        <w:autoSpaceDN w:val="0"/>
        <w:adjustRightInd w:val="0"/>
        <w:ind w:right="50"/>
        <w:contextualSpacing/>
      </w:pPr>
      <w:r w:rsidRPr="00DA2BC8">
        <w:rPr>
          <w:bCs/>
        </w:rPr>
        <w:t xml:space="preserve">Наличие симптомов инфекции и выделение  </w:t>
      </w:r>
      <w:r w:rsidRPr="00DA2BC8">
        <w:rPr>
          <w:bCs/>
          <w:i/>
        </w:rPr>
        <w:t>Candida</w:t>
      </w:r>
      <w:r w:rsidRPr="00DA2BC8">
        <w:rPr>
          <w:bCs/>
        </w:rPr>
        <w:t xml:space="preserve"> spp из стерильных в норме образцов (</w:t>
      </w:r>
      <w:r w:rsidRPr="00DA2BC8">
        <w:t xml:space="preserve">кровь, биоптаты органов и тканей, аспираты). Наиболее частым проявлениям является кандидемия. При кандидемии у больных с нейтропенией может развиться острый диссеминированный кандидоз в результате диссеминации кандид, септический шок, полиорганная недостаточность, смерть. Выделение </w:t>
      </w:r>
      <w:r w:rsidRPr="00DA2BC8">
        <w:rPr>
          <w:i/>
          <w:iCs/>
        </w:rPr>
        <w:t>Candida</w:t>
      </w:r>
      <w:r w:rsidRPr="00DA2BC8">
        <w:t xml:space="preserve"> spp. со слизистых оболочек, включая биоптаты слизистых, из мокроты, из жидкости БАЛ, из мочи не относят к инвазивному кандидозу. Диагноз кандидозной пневмонии не устанавливают на основании выделения </w:t>
      </w:r>
      <w:r w:rsidRPr="00DA2BC8">
        <w:rPr>
          <w:i/>
          <w:iCs/>
        </w:rPr>
        <w:t>Candida</w:t>
      </w:r>
      <w:r w:rsidRPr="00DA2BC8">
        <w:t xml:space="preserve"> spp. из мокроты или жидкости БАЛ, независимо от их количественного содержания в этих образцах. Выделение </w:t>
      </w:r>
      <w:r w:rsidRPr="00DA2BC8">
        <w:rPr>
          <w:i/>
          <w:iCs/>
        </w:rPr>
        <w:t>Candida</w:t>
      </w:r>
      <w:r w:rsidRPr="00DA2BC8">
        <w:t xml:space="preserve"> spp. из мокроты, жидкости БАЛ свидетельствует о колонизации дрожжевыми грибами слизистой оболочки дыхательных путей. Кандидозная пневмония может быть заподозрена только у больных с кандидемией.</w:t>
      </w:r>
    </w:p>
    <w:p w14:paraId="05F55F67" w14:textId="77777777" w:rsidR="0037636A" w:rsidRPr="00F87280" w:rsidRDefault="0037636A" w:rsidP="0037636A">
      <w:pPr>
        <w:widowControl w:val="0"/>
        <w:autoSpaceDE w:val="0"/>
        <w:autoSpaceDN w:val="0"/>
        <w:adjustRightInd w:val="0"/>
        <w:ind w:right="50"/>
        <w:contextualSpacing/>
        <w:rPr>
          <w:i/>
          <w:iCs/>
          <w:u w:val="single"/>
        </w:rPr>
      </w:pPr>
      <w:r w:rsidRPr="00F87280">
        <w:rPr>
          <w:i/>
          <w:iCs/>
          <w:u w:val="single"/>
        </w:rPr>
        <w:t>Возбудители</w:t>
      </w:r>
    </w:p>
    <w:p w14:paraId="3159B4E1" w14:textId="77777777" w:rsidR="0037636A" w:rsidRPr="005D3BBD" w:rsidRDefault="0037636A" w:rsidP="0037636A">
      <w:pPr>
        <w:widowControl w:val="0"/>
        <w:autoSpaceDE w:val="0"/>
        <w:autoSpaceDN w:val="0"/>
        <w:adjustRightInd w:val="0"/>
        <w:ind w:right="50"/>
        <w:contextualSpacing/>
        <w:rPr>
          <w:lang w:val="en-US"/>
        </w:rPr>
      </w:pPr>
      <w:r w:rsidRPr="00DA2BC8">
        <w:t xml:space="preserve">Основными возбудителями являются </w:t>
      </w:r>
      <w:r w:rsidRPr="00DA2BC8">
        <w:rPr>
          <w:i/>
          <w:iCs/>
        </w:rPr>
        <w:t>C. albicans,</w:t>
      </w:r>
      <w:r w:rsidRPr="00DA2BC8">
        <w:t xml:space="preserve"> но частота их не превышает 30-40%. Возрастает</w:t>
      </w:r>
      <w:r w:rsidRPr="005D3BBD">
        <w:rPr>
          <w:lang w:val="en-US"/>
        </w:rPr>
        <w:t xml:space="preserve"> </w:t>
      </w:r>
      <w:r w:rsidRPr="00DA2BC8">
        <w:t>доля</w:t>
      </w:r>
      <w:r w:rsidRPr="005D3BBD">
        <w:rPr>
          <w:lang w:val="en-US"/>
        </w:rPr>
        <w:t xml:space="preserve"> </w:t>
      </w:r>
      <w:r w:rsidRPr="00DA2BC8">
        <w:t>выделения</w:t>
      </w:r>
      <w:r w:rsidRPr="005D3BBD">
        <w:rPr>
          <w:lang w:val="en-US"/>
        </w:rPr>
        <w:t xml:space="preserve"> </w:t>
      </w:r>
      <w:r w:rsidRPr="005D3BBD">
        <w:rPr>
          <w:i/>
          <w:iCs/>
          <w:lang w:val="en-US"/>
        </w:rPr>
        <w:t>Candida</w:t>
      </w:r>
      <w:r w:rsidRPr="005D3BBD">
        <w:rPr>
          <w:lang w:val="en-US"/>
        </w:rPr>
        <w:t xml:space="preserve"> non-</w:t>
      </w:r>
      <w:r w:rsidRPr="005D3BBD">
        <w:rPr>
          <w:i/>
          <w:iCs/>
          <w:lang w:val="en-US"/>
        </w:rPr>
        <w:t>albicans,</w:t>
      </w:r>
      <w:r w:rsidRPr="005D3BBD">
        <w:rPr>
          <w:lang w:val="en-US"/>
        </w:rPr>
        <w:t xml:space="preserve"> </w:t>
      </w:r>
      <w:r w:rsidRPr="00DA2BC8">
        <w:t>таких</w:t>
      </w:r>
      <w:r w:rsidRPr="005D3BBD">
        <w:rPr>
          <w:lang w:val="en-US"/>
        </w:rPr>
        <w:t xml:space="preserve"> </w:t>
      </w:r>
      <w:r w:rsidRPr="00DA2BC8">
        <w:t>как</w:t>
      </w:r>
      <w:r w:rsidRPr="005D3BBD">
        <w:rPr>
          <w:lang w:val="en-US"/>
        </w:rPr>
        <w:t xml:space="preserve"> </w:t>
      </w:r>
      <w:r w:rsidRPr="005D3BBD">
        <w:rPr>
          <w:i/>
          <w:iCs/>
          <w:lang w:val="en-US"/>
        </w:rPr>
        <w:t>Candida parapsilosis</w:t>
      </w:r>
      <w:r w:rsidRPr="005D3BBD">
        <w:rPr>
          <w:lang w:val="en-US"/>
        </w:rPr>
        <w:t xml:space="preserve"> (5-30%), </w:t>
      </w:r>
      <w:r w:rsidRPr="005D3BBD">
        <w:rPr>
          <w:i/>
          <w:iCs/>
          <w:lang w:val="en-US"/>
        </w:rPr>
        <w:t>Candida tropicalis</w:t>
      </w:r>
      <w:r w:rsidRPr="005D3BBD">
        <w:rPr>
          <w:lang w:val="en-US"/>
        </w:rPr>
        <w:t xml:space="preserve"> (5-10%), </w:t>
      </w:r>
      <w:r w:rsidRPr="005D3BBD">
        <w:rPr>
          <w:i/>
          <w:iCs/>
          <w:lang w:val="en-US"/>
        </w:rPr>
        <w:t>C. glabrata</w:t>
      </w:r>
      <w:r w:rsidRPr="005D3BBD">
        <w:rPr>
          <w:lang w:val="en-US"/>
        </w:rPr>
        <w:t xml:space="preserve"> (3-25%), </w:t>
      </w:r>
      <w:r w:rsidRPr="005D3BBD">
        <w:rPr>
          <w:i/>
          <w:iCs/>
          <w:lang w:val="en-US"/>
        </w:rPr>
        <w:t>C. krusei</w:t>
      </w:r>
      <w:r w:rsidRPr="005D3BBD">
        <w:rPr>
          <w:lang w:val="en-US"/>
        </w:rPr>
        <w:t xml:space="preserve"> (3-10%). </w:t>
      </w:r>
    </w:p>
    <w:p w14:paraId="597CF9FF" w14:textId="77777777" w:rsidR="0037636A" w:rsidRPr="00F87280" w:rsidRDefault="0037636A" w:rsidP="0037636A">
      <w:pPr>
        <w:widowControl w:val="0"/>
        <w:autoSpaceDE w:val="0"/>
        <w:autoSpaceDN w:val="0"/>
        <w:adjustRightInd w:val="0"/>
        <w:ind w:right="50"/>
        <w:contextualSpacing/>
        <w:rPr>
          <w:i/>
          <w:iCs/>
          <w:u w:val="single"/>
        </w:rPr>
      </w:pPr>
      <w:r w:rsidRPr="00F87280">
        <w:rPr>
          <w:i/>
          <w:iCs/>
          <w:u w:val="single"/>
        </w:rPr>
        <w:t>Факторы риска</w:t>
      </w:r>
    </w:p>
    <w:p w14:paraId="2A8F98CF" w14:textId="77777777" w:rsidR="0037636A" w:rsidRPr="00DA2BC8" w:rsidRDefault="0037636A" w:rsidP="0037636A">
      <w:pPr>
        <w:widowControl w:val="0"/>
        <w:autoSpaceDE w:val="0"/>
        <w:autoSpaceDN w:val="0"/>
        <w:adjustRightInd w:val="0"/>
        <w:ind w:right="50"/>
        <w:contextualSpacing/>
      </w:pPr>
      <w:r w:rsidRPr="00DA2BC8">
        <w:t>Факторами риска являются нейтропения, колонизация кандидами слизистых оболочек, применение антибиотиков широкого спектра действия, а также глюкокортикоидов, цитостатиков, иммунодепрессантов; абдоминальные операции, наличие центральных венозных катетеров, проведение полного парентерального питания, прием антацидов, Н</w:t>
      </w:r>
      <w:r w:rsidRPr="00DA2BC8">
        <w:rPr>
          <w:vertAlign w:val="subscript"/>
        </w:rPr>
        <w:t>2</w:t>
      </w:r>
      <w:r w:rsidRPr="00DA2BC8">
        <w:t>-блокаторов и иных средств, снижающих кислотность желудочного сока.</w:t>
      </w:r>
    </w:p>
    <w:p w14:paraId="61E609A0" w14:textId="77777777" w:rsidR="0037636A" w:rsidRPr="00F87280" w:rsidRDefault="0037636A" w:rsidP="0037636A">
      <w:pPr>
        <w:widowControl w:val="0"/>
        <w:autoSpaceDE w:val="0"/>
        <w:autoSpaceDN w:val="0"/>
        <w:adjustRightInd w:val="0"/>
        <w:ind w:right="50"/>
        <w:contextualSpacing/>
        <w:rPr>
          <w:i/>
          <w:iCs/>
        </w:rPr>
      </w:pPr>
      <w:r w:rsidRPr="00F87280">
        <w:rPr>
          <w:i/>
          <w:iCs/>
          <w:u w:val="single"/>
        </w:rPr>
        <w:t>Симптомы инфекции</w:t>
      </w:r>
    </w:p>
    <w:p w14:paraId="510C2374" w14:textId="77777777" w:rsidR="0037636A" w:rsidRPr="00DA2BC8" w:rsidRDefault="0037636A" w:rsidP="0037636A">
      <w:pPr>
        <w:widowControl w:val="0"/>
        <w:autoSpaceDE w:val="0"/>
        <w:autoSpaceDN w:val="0"/>
        <w:adjustRightInd w:val="0"/>
        <w:ind w:right="50"/>
        <w:contextualSpacing/>
      </w:pPr>
      <w:r w:rsidRPr="00DA2BC8">
        <w:t>Клинические симптомы кандидемии неспецифичны. Преобладает лихорадка, которая сохраняется или повторно возникает на фоне лечения антибиотиками широкого спектра действия. В 10-15% случаев отмечается диссеминация в дерму кожи (отсевы) в виде мелких 0,3—0,6 см папулезных образований розовато-красноватого цвета или подкожных абсцессов</w:t>
      </w:r>
      <w:r>
        <w:t>, в</w:t>
      </w:r>
      <w:r w:rsidRPr="00DA2BC8">
        <w:t xml:space="preserve"> части случаев беспокоит выраженная боль в мышца</w:t>
      </w:r>
      <w:r>
        <w:t>х</w:t>
      </w:r>
      <w:r w:rsidRPr="00DA2BC8">
        <w:t>. Диссеминация кандид происходит гематогенно в любой орган</w:t>
      </w:r>
      <w:r>
        <w:t>; у взрослых гематологических</w:t>
      </w:r>
      <w:r w:rsidRPr="00DA2BC8">
        <w:t xml:space="preserve"> </w:t>
      </w:r>
      <w:r>
        <w:t>пациентов</w:t>
      </w:r>
      <w:r w:rsidRPr="00DA2BC8">
        <w:t xml:space="preserve"> преобладает инвазия в печень и/или селезенку (гепатолиенальный кандидоз), у 9-15% возникает эндофтальмит (снижение остроты зрения вплоть до слепоты). </w:t>
      </w:r>
    </w:p>
    <w:p w14:paraId="59B8FB4C" w14:textId="77777777" w:rsidR="0037636A" w:rsidRPr="00F87280" w:rsidRDefault="0037636A" w:rsidP="0037636A">
      <w:pPr>
        <w:widowControl w:val="0"/>
        <w:autoSpaceDE w:val="0"/>
        <w:autoSpaceDN w:val="0"/>
        <w:adjustRightInd w:val="0"/>
        <w:ind w:right="50"/>
        <w:contextualSpacing/>
        <w:rPr>
          <w:i/>
          <w:iCs/>
        </w:rPr>
      </w:pPr>
      <w:r w:rsidRPr="00F87280">
        <w:rPr>
          <w:i/>
          <w:iCs/>
          <w:u w:val="single"/>
        </w:rPr>
        <w:t>Диагностика</w:t>
      </w:r>
    </w:p>
    <w:p w14:paraId="288D6A81" w14:textId="77777777" w:rsidR="0037636A" w:rsidRPr="00DA2BC8" w:rsidRDefault="0037636A" w:rsidP="0037636A">
      <w:pPr>
        <w:widowControl w:val="0"/>
        <w:autoSpaceDE w:val="0"/>
        <w:autoSpaceDN w:val="0"/>
        <w:adjustRightInd w:val="0"/>
        <w:ind w:right="50"/>
        <w:contextualSpacing/>
      </w:pPr>
      <w:r w:rsidRPr="00DA2BC8">
        <w:t xml:space="preserve">Диагноз инвазивного кандидоза ставят на основании выделения грибов из стерильных в норме образцов при микроскопии (прямая микроскопия, цитология или гистология) или в культуре (посев). К стерильным образцам относят кровь, биоптаты органов и тканей, аспираты. При подозрении на кандидемию кровь для микробиолгического исследования берут в 4 флакона для гемокультур, при необходимости исследование повторяют. При выделении </w:t>
      </w:r>
      <w:r w:rsidRPr="00DA2BC8">
        <w:rPr>
          <w:i/>
          <w:iCs/>
        </w:rPr>
        <w:t>Candida</w:t>
      </w:r>
      <w:r w:rsidRPr="00DA2BC8">
        <w:t xml:space="preserve"> spp. из гемокультуры проводят ежедневно дополнительные посевы крови до получения двух отрицательных результатов подряд; для исключения диссеминации - офтальмоскопию с расширением зрачка (консультация офтальмолога), а также ультразвуковое исследование (УЗИ) или компьютерную томографию</w:t>
      </w:r>
      <w:r>
        <w:t>/спиральную компьютерную томографию</w:t>
      </w:r>
      <w:r w:rsidRPr="00DA2BC8">
        <w:t xml:space="preserve"> (КТ</w:t>
      </w:r>
      <w:r>
        <w:t>/СКТ</w:t>
      </w:r>
      <w:r w:rsidRPr="00DA2BC8">
        <w:t>) с контрастированием, или магнитно-резонансную томографию (МРТ) органов брюшной полости. Инструментальные исследования повторяют при восстановлении гранулоцитов (&gt;0,5×10</w:t>
      </w:r>
      <w:r w:rsidRPr="00DA2BC8">
        <w:rPr>
          <w:vertAlign w:val="superscript"/>
        </w:rPr>
        <w:t>9</w:t>
      </w:r>
      <w:r w:rsidRPr="00DA2BC8">
        <w:t xml:space="preserve">/л). Все штаммы </w:t>
      </w:r>
      <w:r w:rsidRPr="00DA2BC8">
        <w:rPr>
          <w:i/>
          <w:iCs/>
        </w:rPr>
        <w:t>Candida</w:t>
      </w:r>
      <w:r w:rsidRPr="00DA2BC8">
        <w:t xml:space="preserve"> spp., выделенные из стерильных в норме образцов, идентифицируют до вида и исследуют чувствительность к противогрибковым препаратам. На фоне лечения инвазивного кандидоза противогрибковыми препаратами может изменяться чувствительность (возможно формирование приобретенной резистентности) и вид возбудителя.</w:t>
      </w:r>
    </w:p>
    <w:p w14:paraId="543B8CD0" w14:textId="77777777" w:rsidR="0037636A" w:rsidRPr="00DA2BC8" w:rsidRDefault="0037636A" w:rsidP="0037636A">
      <w:pPr>
        <w:widowControl w:val="0"/>
        <w:autoSpaceDE w:val="0"/>
        <w:autoSpaceDN w:val="0"/>
        <w:adjustRightInd w:val="0"/>
        <w:ind w:right="50"/>
        <w:contextualSpacing/>
      </w:pPr>
      <w:r w:rsidRPr="00DA2BC8">
        <w:t xml:space="preserve">Серологическими маркерами инвазивного кандидоза являются антиген </w:t>
      </w:r>
      <w:r w:rsidRPr="00DA2BC8">
        <w:rPr>
          <w:i/>
          <w:iCs/>
        </w:rPr>
        <w:t>Candida</w:t>
      </w:r>
      <w:r w:rsidRPr="00DA2BC8">
        <w:t xml:space="preserve"> (маннан) и антитела к </w:t>
      </w:r>
      <w:r w:rsidRPr="00DA2BC8">
        <w:rPr>
          <w:i/>
          <w:iCs/>
        </w:rPr>
        <w:t>Candida</w:t>
      </w:r>
      <w:r w:rsidRPr="00DA2BC8">
        <w:t xml:space="preserve"> (антиманнан). Чувствительность тестов выше, если определяют оба показателя одновременно и неоднократно. Для теста характерным является высокое отрицательное прогностическое значение. При гепатолиенальном кандидозе чувствительность серологических маркеров определяется выше. Тест не включен в критерии диагностики инвазивного кандидоза. </w:t>
      </w:r>
    </w:p>
    <w:p w14:paraId="0B95D903" w14:textId="77777777" w:rsidR="0037636A" w:rsidRPr="00DA2BC8" w:rsidRDefault="0037636A" w:rsidP="0037636A">
      <w:pPr>
        <w:widowControl w:val="0"/>
        <w:autoSpaceDE w:val="0"/>
        <w:autoSpaceDN w:val="0"/>
        <w:adjustRightInd w:val="0"/>
        <w:ind w:right="50"/>
        <w:contextualSpacing/>
      </w:pPr>
      <w:r w:rsidRPr="00DA2BC8">
        <w:t xml:space="preserve">На основании положительных результатов определения серологических маркеров у </w:t>
      </w:r>
      <w:r>
        <w:t>пациента</w:t>
      </w:r>
      <w:r w:rsidRPr="00DA2BC8">
        <w:t xml:space="preserve"> можно лишь предполагать наличие инвазивного кандидоза. В клинической практике определение антигена (маннан) и антител (антиманнан) может быть существенным подспорьем для назначения современных противогрибковых препаратов больным с фебрильной нейтропенией.</w:t>
      </w:r>
    </w:p>
    <w:p w14:paraId="0EB30C94" w14:textId="77777777" w:rsidR="0037636A" w:rsidRPr="00DA2BC8" w:rsidRDefault="0037636A" w:rsidP="0037636A">
      <w:pPr>
        <w:widowControl w:val="0"/>
        <w:autoSpaceDE w:val="0"/>
        <w:autoSpaceDN w:val="0"/>
        <w:adjustRightInd w:val="0"/>
        <w:ind w:right="50"/>
        <w:contextualSpacing/>
      </w:pPr>
      <w:r w:rsidRPr="00DA2BC8">
        <w:t xml:space="preserve">К диссеминированному кандидозу относят те случаи, когда в течение 2 недель после выделения </w:t>
      </w:r>
      <w:r w:rsidRPr="00DA2BC8">
        <w:rPr>
          <w:i/>
          <w:iCs/>
        </w:rPr>
        <w:t xml:space="preserve">Candida </w:t>
      </w:r>
      <w:r w:rsidRPr="00DA2BC8">
        <w:t xml:space="preserve">spp. из гемокультуры выявляют очаги в печени и/или селезенке либо экссудат в сетчатке при офтальмоскопии. Различают острый и хронический диссеминированный кандидоз. При остром диссеминированном кандидозе имеется непосредственная связь обнаруженных признаков с кандидозным сепсисом, а при хроническом диссеминированном кандидозе этой связи нет. </w:t>
      </w:r>
    </w:p>
    <w:p w14:paraId="05F63DFF" w14:textId="77777777" w:rsidR="0037636A" w:rsidRPr="00F87280" w:rsidRDefault="0037636A" w:rsidP="0037636A">
      <w:pPr>
        <w:widowControl w:val="0"/>
        <w:autoSpaceDE w:val="0"/>
        <w:autoSpaceDN w:val="0"/>
        <w:adjustRightInd w:val="0"/>
        <w:ind w:right="50"/>
        <w:contextualSpacing/>
        <w:rPr>
          <w:bCs/>
          <w:i/>
          <w:iCs/>
          <w:u w:val="single"/>
        </w:rPr>
      </w:pPr>
      <w:r w:rsidRPr="00F87280">
        <w:rPr>
          <w:bCs/>
          <w:i/>
          <w:iCs/>
          <w:u w:val="single"/>
        </w:rPr>
        <w:t>Лечение</w:t>
      </w:r>
    </w:p>
    <w:p w14:paraId="52B503E7" w14:textId="77777777" w:rsidR="0037636A" w:rsidRDefault="0037636A" w:rsidP="0037636A">
      <w:pPr>
        <w:widowControl w:val="0"/>
        <w:autoSpaceDE w:val="0"/>
        <w:autoSpaceDN w:val="0"/>
        <w:adjustRightInd w:val="0"/>
        <w:ind w:right="50"/>
        <w:contextualSpacing/>
        <w:rPr>
          <w:bCs/>
        </w:rPr>
      </w:pPr>
      <w:r w:rsidRPr="00DA2BC8">
        <w:rPr>
          <w:bCs/>
        </w:rPr>
        <w:t>Основными принципами лечения кандидемии (инвазивного кандидоза) являются</w:t>
      </w:r>
      <w:r>
        <w:rPr>
          <w:bCs/>
        </w:rPr>
        <w:t>:</w:t>
      </w:r>
    </w:p>
    <w:p w14:paraId="05638B77" w14:textId="77777777" w:rsidR="0037636A" w:rsidRDefault="0037636A" w:rsidP="0037636A">
      <w:pPr>
        <w:pStyle w:val="afe"/>
        <w:widowControl w:val="0"/>
        <w:numPr>
          <w:ilvl w:val="0"/>
          <w:numId w:val="83"/>
        </w:numPr>
        <w:autoSpaceDE w:val="0"/>
        <w:autoSpaceDN w:val="0"/>
        <w:adjustRightInd w:val="0"/>
        <w:ind w:right="50"/>
        <w:rPr>
          <w:bCs/>
        </w:rPr>
      </w:pPr>
      <w:r w:rsidRPr="007531B6">
        <w:t>назначение эффективного противогрибкового препарата;</w:t>
      </w:r>
      <w:r w:rsidRPr="007531B6">
        <w:rPr>
          <w:bCs/>
        </w:rPr>
        <w:t xml:space="preserve"> </w:t>
      </w:r>
    </w:p>
    <w:p w14:paraId="56E9FFD6" w14:textId="77777777" w:rsidR="0037636A" w:rsidRDefault="0037636A" w:rsidP="0037636A">
      <w:pPr>
        <w:pStyle w:val="afe"/>
        <w:widowControl w:val="0"/>
        <w:numPr>
          <w:ilvl w:val="0"/>
          <w:numId w:val="83"/>
        </w:numPr>
        <w:autoSpaceDE w:val="0"/>
        <w:autoSpaceDN w:val="0"/>
        <w:adjustRightInd w:val="0"/>
        <w:ind w:right="50"/>
        <w:rPr>
          <w:bCs/>
        </w:rPr>
      </w:pPr>
      <w:r w:rsidRPr="007531B6">
        <w:t>удаление сосудистого катетера;</w:t>
      </w:r>
      <w:r w:rsidRPr="007531B6">
        <w:rPr>
          <w:bCs/>
        </w:rPr>
        <w:t xml:space="preserve"> </w:t>
      </w:r>
    </w:p>
    <w:p w14:paraId="6A08AA01" w14:textId="77777777" w:rsidR="0037636A" w:rsidRPr="007531B6" w:rsidRDefault="0037636A" w:rsidP="0037636A">
      <w:pPr>
        <w:pStyle w:val="afe"/>
        <w:widowControl w:val="0"/>
        <w:numPr>
          <w:ilvl w:val="0"/>
          <w:numId w:val="83"/>
        </w:numPr>
        <w:autoSpaceDE w:val="0"/>
        <w:autoSpaceDN w:val="0"/>
        <w:adjustRightInd w:val="0"/>
        <w:ind w:right="50"/>
        <w:rPr>
          <w:bCs/>
        </w:rPr>
      </w:pPr>
      <w:r w:rsidRPr="007531B6">
        <w:t xml:space="preserve">устранение или уменьшение факторов риска, приведших к развитию кандидемии. </w:t>
      </w:r>
    </w:p>
    <w:p w14:paraId="696ECC77" w14:textId="77777777" w:rsidR="0037636A" w:rsidRPr="00DA2BC8" w:rsidRDefault="0037636A" w:rsidP="0037636A">
      <w:pPr>
        <w:widowControl w:val="0"/>
        <w:autoSpaceDE w:val="0"/>
        <w:autoSpaceDN w:val="0"/>
        <w:adjustRightInd w:val="0"/>
        <w:ind w:right="50"/>
        <w:contextualSpacing/>
      </w:pPr>
      <w:r w:rsidRPr="00DA2BC8">
        <w:t xml:space="preserve">Препараты выбора для лечения инвазивного кандидоза (кандидемии) – эхинокандины, которые в отличие от азолов оказывают фунгицидное действие на кандиды. Замена эхинокандинов на флуконазол возможна только при выделении флуконазолчувствительных </w:t>
      </w:r>
      <w:r w:rsidRPr="00DA2BC8">
        <w:rPr>
          <w:i/>
          <w:iCs/>
        </w:rPr>
        <w:t xml:space="preserve">Candida </w:t>
      </w:r>
      <w:r w:rsidRPr="00DA2BC8">
        <w:t xml:space="preserve">spp. и стабильном состоянии пациента. </w:t>
      </w:r>
      <w:r w:rsidRPr="00DA2BC8">
        <w:rPr>
          <w:bCs/>
        </w:rPr>
        <w:t xml:space="preserve">Из группы эхинокандинов назначают один из препаратов – </w:t>
      </w:r>
      <w:r w:rsidRPr="00DA2BC8">
        <w:t xml:space="preserve">каспофунгин (в 1-й день 70 мг, далее по 50 мг внутривенно 1 раз в сутки); микафунгин (по 100 мг внутривенно 1 раз в сутки); анидулафунгин (в 1-й день 200 мг, далее по 100 мг внутривенно 1 раз в сутки). </w:t>
      </w:r>
      <w:r w:rsidRPr="00DA2BC8">
        <w:rPr>
          <w:iCs/>
        </w:rPr>
        <w:t>Эхинокандины – это единственные препараты, применение которых при инвазивном кандидозе привело к достоверно значимому увеличению числа излечений и к снижению летальности в сравнении с другими антимикотиками (азолами, липи</w:t>
      </w:r>
      <w:r>
        <w:rPr>
          <w:iCs/>
        </w:rPr>
        <w:t>дными формами амфотерицина В)</w:t>
      </w:r>
      <w:r w:rsidRPr="00DA2BC8">
        <w:rPr>
          <w:iCs/>
        </w:rPr>
        <w:t>. Не используют сочетание противогрибковых препаратов в 1-й линии терапии кандидемии (инвазивного кандидоза)</w:t>
      </w:r>
      <w:r w:rsidRPr="00DA2BC8">
        <w:t xml:space="preserve">. Альтернативные препараты для лечения инвазивного кандидоза - вориконазол ( в 1-й день по 6 мг/кг внутривенно 2 раза в сутки, в последующие дни по 3 мг/кг внутривенно 2 раза в сутки или по 200 мг внутрь 2 раза в сутки); амфотерицин В (0,7-1,0 мг/кг внутривенно 1 раз в сутки). </w:t>
      </w:r>
      <w:r w:rsidRPr="00DA2BC8">
        <w:rPr>
          <w:iCs/>
        </w:rPr>
        <w:t>Амфотерицин В назначают только при отсутствии других опций для лечения ввиду его высокой токсичности и низкой эффективности.</w:t>
      </w:r>
      <w:r w:rsidRPr="00DA2BC8">
        <w:t xml:space="preserve"> Флуконазол в качестве препарата 1-й линии не используют у больных с гематологическими заболеваниями. </w:t>
      </w:r>
      <w:r w:rsidRPr="00DA2BC8">
        <w:rPr>
          <w:iCs/>
        </w:rPr>
        <w:t>При сочетании</w:t>
      </w:r>
      <w:r w:rsidRPr="00DA2BC8">
        <w:rPr>
          <w:i/>
          <w:iCs/>
        </w:rPr>
        <w:t xml:space="preserve"> </w:t>
      </w:r>
      <w:r w:rsidRPr="00DA2BC8">
        <w:rPr>
          <w:iCs/>
        </w:rPr>
        <w:t>кандидемии и инвазивного аспергиллеза</w:t>
      </w:r>
      <w:r w:rsidRPr="00DA2BC8">
        <w:rPr>
          <w:i/>
          <w:iCs/>
        </w:rPr>
        <w:t xml:space="preserve"> </w:t>
      </w:r>
      <w:r w:rsidRPr="00DA2BC8">
        <w:rPr>
          <w:iCs/>
        </w:rPr>
        <w:t>назначают вориконазол</w:t>
      </w:r>
      <w:r w:rsidRPr="00DA2BC8">
        <w:t xml:space="preserve"> (в 1-й день по 6 мг/кг внутривенно 2 раза в сутки, в последующие дни по 3 мг/кг внутривенно 2 раза в сутки или по 200 мг 2 раза в сутки внутрь) или липидную форму амфотерицина В (5 мг/кг, внутривенно, 1 раз в сутки). </w:t>
      </w:r>
    </w:p>
    <w:p w14:paraId="5AA6E4D8" w14:textId="636FF2C5" w:rsidR="0037636A" w:rsidRPr="00DA2BC8" w:rsidRDefault="0037636A" w:rsidP="0037636A">
      <w:pPr>
        <w:widowControl w:val="0"/>
        <w:autoSpaceDE w:val="0"/>
        <w:autoSpaceDN w:val="0"/>
        <w:adjustRightInd w:val="0"/>
        <w:ind w:right="50"/>
        <w:contextualSpacing/>
        <w:rPr>
          <w:b/>
          <w:bCs/>
        </w:rPr>
      </w:pPr>
      <w:r w:rsidRPr="00DA2BC8">
        <w:t xml:space="preserve">Для штаммов </w:t>
      </w:r>
      <w:r w:rsidRPr="00DA2BC8">
        <w:rPr>
          <w:i/>
          <w:iCs/>
        </w:rPr>
        <w:t xml:space="preserve">Candida </w:t>
      </w:r>
      <w:r w:rsidRPr="00DA2BC8">
        <w:rPr>
          <w:iCs/>
        </w:rPr>
        <w:t xml:space="preserve">spp. характерным является высокая способность к формированию биопленок, которая составляет 50% и преобладает у </w:t>
      </w:r>
      <w:r w:rsidRPr="00DA2BC8">
        <w:rPr>
          <w:i/>
          <w:iCs/>
        </w:rPr>
        <w:t>C. tropicalis</w:t>
      </w:r>
      <w:r w:rsidRPr="00DA2BC8">
        <w:rPr>
          <w:iCs/>
        </w:rPr>
        <w:t xml:space="preserve"> и </w:t>
      </w:r>
      <w:r w:rsidRPr="00DA2BC8">
        <w:rPr>
          <w:i/>
          <w:iCs/>
        </w:rPr>
        <w:t>C. krusei</w:t>
      </w:r>
      <w:r w:rsidRPr="00DA2BC8">
        <w:rPr>
          <w:iCs/>
        </w:rPr>
        <w:t xml:space="preserve"> (80%)</w:t>
      </w:r>
      <w:r>
        <w:rPr>
          <w:iCs/>
        </w:rPr>
        <w:t xml:space="preserve"> </w:t>
      </w:r>
      <w:r>
        <w:rPr>
          <w:iCs/>
        </w:rPr>
        <w:fldChar w:fldCharType="begin" w:fldLock="1"/>
      </w:r>
      <w:r w:rsidR="00987CCD">
        <w:rPr>
          <w:iCs/>
        </w:rPr>
        <w:instrText>ADDIN CSL_CITATION {"citationItems":[{"id":"ITEM-1","itemData":{"author":[{"dropping-particle":"","family":"Мальчикова","given":"А.О.","non-dropping-particle":"","parse-names":false,"suffix":""},{"dropping-particle":"","family":"Клясова","given":"Г.А.","non-dropping-particle":"","parse-names":false,"suffix":""}],"container-title":"Клиническая микробиология и антимикробная химиотерапия","id":"ITEM-1","issue":"2","issued":{"date-parts":[["2018"]]},"page":"126-130","title":"Формирование биопленок у изолятов Candida spp, выделенных из гемокультуры от больных с опухолями системы крови","type":"article-journal","volume":"20"},"uris":["http://www.mendeley.com/documents/?uuid=14b71eb8-c05c-48f8-844b-d37bf0031d16"]}],"mendeley":{"formattedCitation":"[109]","plainTextFormattedCitation":"[109]","previouslyFormattedCitation":"[109]"},"properties":{"noteIndex":0},"schema":"https://github.com/citation-style-language/schema/raw/master/csl-citation.json"}</w:instrText>
      </w:r>
      <w:r>
        <w:rPr>
          <w:iCs/>
        </w:rPr>
        <w:fldChar w:fldCharType="separate"/>
      </w:r>
      <w:r w:rsidR="00BA021B" w:rsidRPr="00BA021B">
        <w:rPr>
          <w:iCs/>
          <w:noProof/>
        </w:rPr>
        <w:t>[109]</w:t>
      </w:r>
      <w:r>
        <w:rPr>
          <w:iCs/>
        </w:rPr>
        <w:fldChar w:fldCharType="end"/>
      </w:r>
      <w:r w:rsidRPr="00DA2BC8">
        <w:rPr>
          <w:iCs/>
        </w:rPr>
        <w:t xml:space="preserve">. Удаление центрального венозного катетера (ЦВК) является обязательным у больных вне гранулоцитопении и в случаях повторного выделения </w:t>
      </w:r>
      <w:r w:rsidRPr="00DA2BC8">
        <w:rPr>
          <w:i/>
          <w:iCs/>
        </w:rPr>
        <w:t xml:space="preserve">Candida </w:t>
      </w:r>
      <w:r w:rsidRPr="00DA2BC8">
        <w:rPr>
          <w:iCs/>
        </w:rPr>
        <w:t xml:space="preserve">spp. из гемокультуры на фоне терапиии противогрибковыми </w:t>
      </w:r>
      <w:r>
        <w:rPr>
          <w:iCs/>
        </w:rPr>
        <w:t>препаратами</w:t>
      </w:r>
      <w:r w:rsidRPr="005A06BE">
        <w:rPr>
          <w:iCs/>
        </w:rPr>
        <w:t>.</w:t>
      </w:r>
      <w:r w:rsidRPr="00DA2BC8">
        <w:rPr>
          <w:iCs/>
        </w:rPr>
        <w:t xml:space="preserve"> Не проводят замену ЦВК по проводнику.</w:t>
      </w:r>
    </w:p>
    <w:p w14:paraId="4FA616B9" w14:textId="77777777" w:rsidR="0037636A" w:rsidRPr="00DA2BC8" w:rsidRDefault="0037636A" w:rsidP="0037636A">
      <w:pPr>
        <w:widowControl w:val="0"/>
        <w:autoSpaceDE w:val="0"/>
        <w:autoSpaceDN w:val="0"/>
        <w:adjustRightInd w:val="0"/>
        <w:ind w:right="50"/>
        <w:contextualSpacing/>
      </w:pPr>
      <w:r w:rsidRPr="00DA2BC8">
        <w:rPr>
          <w:bCs/>
        </w:rPr>
        <w:t xml:space="preserve">Устранение или уменьшение факторов риска у </w:t>
      </w:r>
      <w:r>
        <w:rPr>
          <w:bCs/>
        </w:rPr>
        <w:t>пациентов</w:t>
      </w:r>
      <w:r w:rsidRPr="00DA2BC8">
        <w:rPr>
          <w:bCs/>
        </w:rPr>
        <w:t xml:space="preserve"> с инвазивным кандидозом включает </w:t>
      </w:r>
      <w:r w:rsidRPr="00DA2BC8">
        <w:t>сокращение по возможности используемых антибиотиков и изменение тактики цитостатической терапии.</w:t>
      </w:r>
    </w:p>
    <w:p w14:paraId="31C29265" w14:textId="77777777" w:rsidR="0037636A" w:rsidRPr="00CB7689" w:rsidRDefault="0037636A" w:rsidP="0037636A">
      <w:pPr>
        <w:widowControl w:val="0"/>
        <w:autoSpaceDE w:val="0"/>
        <w:autoSpaceDN w:val="0"/>
        <w:adjustRightInd w:val="0"/>
        <w:ind w:right="50"/>
        <w:contextualSpacing/>
        <w:rPr>
          <w:i/>
          <w:iCs/>
          <w:u w:val="single"/>
        </w:rPr>
      </w:pPr>
      <w:r w:rsidRPr="00CB7689">
        <w:rPr>
          <w:i/>
          <w:iCs/>
          <w:u w:val="single"/>
        </w:rPr>
        <w:t>Длительность лечения</w:t>
      </w:r>
    </w:p>
    <w:p w14:paraId="107708B5" w14:textId="77777777" w:rsidR="0037636A" w:rsidRPr="00DA2BC8" w:rsidRDefault="0037636A" w:rsidP="0037636A">
      <w:pPr>
        <w:widowControl w:val="0"/>
        <w:autoSpaceDE w:val="0"/>
        <w:autoSpaceDN w:val="0"/>
        <w:adjustRightInd w:val="0"/>
        <w:ind w:right="50"/>
        <w:contextualSpacing/>
      </w:pPr>
      <w:r w:rsidRPr="00DA2BC8">
        <w:t>Противогрибковый препарат отменяют при наличии всех следующих критериев - регрессия клинических проявлений инфекции; число гранулоцитов в гемограмме более 0,5×10</w:t>
      </w:r>
      <w:r w:rsidRPr="00DA2BC8">
        <w:rPr>
          <w:vertAlign w:val="superscript"/>
        </w:rPr>
        <w:t>9</w:t>
      </w:r>
      <w:r w:rsidRPr="00DA2BC8">
        <w:t xml:space="preserve">/л; не менее двух недель от последней положительной гемокультуры; регрессия очагов диссеминации кандидоза в случаях их развития. </w:t>
      </w:r>
    </w:p>
    <w:p w14:paraId="4195BD54" w14:textId="77777777" w:rsidR="0037636A" w:rsidRPr="00DA2BC8" w:rsidRDefault="0037636A" w:rsidP="0037636A">
      <w:pPr>
        <w:widowControl w:val="0"/>
        <w:autoSpaceDE w:val="0"/>
        <w:autoSpaceDN w:val="0"/>
        <w:adjustRightInd w:val="0"/>
        <w:ind w:right="50"/>
        <w:contextualSpacing/>
      </w:pPr>
      <w:r w:rsidRPr="00CB7689">
        <w:rPr>
          <w:i/>
          <w:iCs/>
          <w:u w:val="single"/>
        </w:rPr>
        <w:t>Персистирующая кандидемия включает</w:t>
      </w:r>
      <w:r w:rsidRPr="00DA2BC8">
        <w:rPr>
          <w:b/>
          <w:bCs/>
        </w:rPr>
        <w:t xml:space="preserve"> </w:t>
      </w:r>
      <w:r w:rsidRPr="00DA2BC8">
        <w:t xml:space="preserve">наличие симптомов сепсиса и повторное выделение </w:t>
      </w:r>
      <w:r w:rsidRPr="00DA2BC8">
        <w:rPr>
          <w:i/>
          <w:iCs/>
        </w:rPr>
        <w:t>Candida</w:t>
      </w:r>
      <w:r w:rsidRPr="00DA2BC8">
        <w:t xml:space="preserve"> spp. из гемокультуры.</w:t>
      </w:r>
      <w:r w:rsidRPr="00DA2BC8">
        <w:rPr>
          <w:b/>
          <w:bCs/>
        </w:rPr>
        <w:t xml:space="preserve"> </w:t>
      </w:r>
      <w:r w:rsidRPr="00DA2BC8">
        <w:t>При персистирующей кандидемии крайне важно исследовать чувствительность грибов к антимикотикам ввиду формирования вторичной резистентности; повторить инструментальные исследования с целью исключения диссеминации.</w:t>
      </w:r>
      <w:r w:rsidRPr="00DA2BC8">
        <w:rPr>
          <w:bCs/>
        </w:rPr>
        <w:t xml:space="preserve"> В этих случаях </w:t>
      </w:r>
      <w:r w:rsidRPr="00DA2BC8">
        <w:t xml:space="preserve">замену на антимикотик другой группы проводят согласно видовой принадлежности </w:t>
      </w:r>
      <w:r w:rsidRPr="00DA2BC8">
        <w:rPr>
          <w:i/>
        </w:rPr>
        <w:t>Candida</w:t>
      </w:r>
      <w:r w:rsidRPr="00DA2BC8">
        <w:t xml:space="preserve"> spp. и результатам чувствительностию.</w:t>
      </w:r>
    </w:p>
    <w:p w14:paraId="288D147C" w14:textId="77777777" w:rsidR="0037636A" w:rsidRPr="0014445B" w:rsidRDefault="0037636A" w:rsidP="0037636A">
      <w:pPr>
        <w:widowControl w:val="0"/>
        <w:autoSpaceDE w:val="0"/>
        <w:autoSpaceDN w:val="0"/>
        <w:adjustRightInd w:val="0"/>
        <w:ind w:right="50"/>
        <w:contextualSpacing/>
        <w:rPr>
          <w:b/>
          <w:bCs/>
        </w:rPr>
      </w:pPr>
      <w:r w:rsidRPr="0014445B">
        <w:rPr>
          <w:b/>
          <w:bCs/>
        </w:rPr>
        <w:t>Хронический диссеминированный (гепатолиенальный) кандидоз</w:t>
      </w:r>
    </w:p>
    <w:p w14:paraId="4757B223" w14:textId="77777777" w:rsidR="0037636A" w:rsidRPr="00CB7689" w:rsidRDefault="0037636A" w:rsidP="0037636A">
      <w:pPr>
        <w:widowControl w:val="0"/>
        <w:autoSpaceDE w:val="0"/>
        <w:autoSpaceDN w:val="0"/>
        <w:adjustRightInd w:val="0"/>
        <w:ind w:right="50"/>
        <w:contextualSpacing/>
        <w:rPr>
          <w:i/>
          <w:iCs/>
        </w:rPr>
      </w:pPr>
      <w:r w:rsidRPr="00CB7689">
        <w:rPr>
          <w:i/>
          <w:iCs/>
          <w:u w:val="single"/>
        </w:rPr>
        <w:t>Симптомы</w:t>
      </w:r>
    </w:p>
    <w:p w14:paraId="0A59C16F" w14:textId="77777777" w:rsidR="0037636A" w:rsidRPr="00DA2BC8" w:rsidRDefault="0037636A" w:rsidP="0037636A">
      <w:pPr>
        <w:widowControl w:val="0"/>
        <w:autoSpaceDE w:val="0"/>
        <w:autoSpaceDN w:val="0"/>
        <w:adjustRightInd w:val="0"/>
        <w:ind w:right="50"/>
        <w:contextualSpacing/>
      </w:pPr>
      <w:r w:rsidRPr="00DA2BC8">
        <w:t>Ведущий симптом — лихорадка на фоне лечения антибиотиками, которая возникает в период гранулоцитопении и сохраняется при повышении уровня лейкоцитов (гранулоцитов &gt;0,5×10</w:t>
      </w:r>
      <w:r w:rsidRPr="00DA2BC8">
        <w:rPr>
          <w:vertAlign w:val="superscript"/>
        </w:rPr>
        <w:t>9</w:t>
      </w:r>
      <w:r w:rsidRPr="00DA2BC8">
        <w:t>/л). Для этого варианта инвазивного микоза очень характерной является температурная кривая –</w:t>
      </w:r>
      <w:r>
        <w:t xml:space="preserve"> </w:t>
      </w:r>
      <w:r w:rsidRPr="00DA2BC8">
        <w:t xml:space="preserve">колебания температуры от 36,7ºС-37,5°С утром до 39ºС-40ºС в вечернее время, которые возникают в период гранулоцитопении и сохраняются после восстановления гранулоцитов. </w:t>
      </w:r>
    </w:p>
    <w:p w14:paraId="305E7533" w14:textId="77777777" w:rsidR="0037636A" w:rsidRPr="00CB7689" w:rsidRDefault="0037636A" w:rsidP="0037636A">
      <w:pPr>
        <w:widowControl w:val="0"/>
        <w:autoSpaceDE w:val="0"/>
        <w:autoSpaceDN w:val="0"/>
        <w:adjustRightInd w:val="0"/>
        <w:ind w:right="50"/>
        <w:contextualSpacing/>
        <w:rPr>
          <w:i/>
          <w:iCs/>
        </w:rPr>
      </w:pPr>
      <w:r w:rsidRPr="00CB7689">
        <w:rPr>
          <w:i/>
          <w:iCs/>
          <w:u w:val="single"/>
        </w:rPr>
        <w:t>Диагностика</w:t>
      </w:r>
    </w:p>
    <w:p w14:paraId="32C2F002" w14:textId="77777777" w:rsidR="0037636A" w:rsidRPr="00DA2BC8" w:rsidRDefault="0037636A" w:rsidP="0037636A">
      <w:pPr>
        <w:widowControl w:val="0"/>
        <w:autoSpaceDE w:val="0"/>
        <w:autoSpaceDN w:val="0"/>
        <w:adjustRightInd w:val="0"/>
        <w:ind w:right="50"/>
        <w:contextualSpacing/>
      </w:pPr>
      <w:r w:rsidRPr="00DA2BC8">
        <w:t>Проводят УЗИ, КТ или МРТ (наиболее высокая чувствительность) печени и селезенки. Характерным является обнаружение множественных очагов деструкции до 2 см. Чаще вовлекаются печень и селезенка, реже почки. По возможности проводят биопсию этих образований с проведением микробиологических (прямая микроскопия, посев) и гистологических иследований. Отрицательные результаты биопсии не исключают наличие гепатолиенального кандидоза. При лечении гепатолиенального кандидоза контрольные исследования (УЗИ, КТ или МРТ) проводят не ранее чем через 3-4 недели и обязательно вне нейтропении. Обращают внимание на размеры очагов и их плотность. Исследование в период нейтропении может дать ложноположительные результаты о сокращении размеров очагов.</w:t>
      </w:r>
    </w:p>
    <w:p w14:paraId="7B7E4554" w14:textId="77777777" w:rsidR="0037636A" w:rsidRPr="00DA2BC8" w:rsidRDefault="0037636A" w:rsidP="0037636A">
      <w:pPr>
        <w:widowControl w:val="0"/>
        <w:autoSpaceDE w:val="0"/>
        <w:autoSpaceDN w:val="0"/>
        <w:adjustRightInd w:val="0"/>
        <w:ind w:right="50"/>
        <w:contextualSpacing/>
      </w:pPr>
      <w:r w:rsidRPr="00DA2BC8">
        <w:t>При гепатолиенальном кандидозе проводят определение серологичесик</w:t>
      </w:r>
      <w:r>
        <w:t>и</w:t>
      </w:r>
      <w:r w:rsidRPr="00DA2BC8">
        <w:t>х маркеров (маннан и антиманнан).</w:t>
      </w:r>
    </w:p>
    <w:p w14:paraId="3636A818" w14:textId="77777777" w:rsidR="0037636A" w:rsidRPr="00DA2BC8" w:rsidRDefault="0037636A" w:rsidP="0037636A">
      <w:pPr>
        <w:widowControl w:val="0"/>
        <w:autoSpaceDE w:val="0"/>
        <w:autoSpaceDN w:val="0"/>
        <w:adjustRightInd w:val="0"/>
        <w:ind w:right="50"/>
        <w:contextualSpacing/>
      </w:pPr>
      <w:r w:rsidRPr="00CB7689">
        <w:rPr>
          <w:i/>
          <w:iCs/>
          <w:u w:val="single"/>
        </w:rPr>
        <w:t>Показанием к назначению противогрибковых препаратов</w:t>
      </w:r>
      <w:r w:rsidRPr="00DA2BC8">
        <w:rPr>
          <w:b/>
          <w:bCs/>
        </w:rPr>
        <w:t xml:space="preserve"> </w:t>
      </w:r>
      <w:r w:rsidRPr="00DA2BC8">
        <w:rPr>
          <w:bCs/>
        </w:rPr>
        <w:t>являются</w:t>
      </w:r>
      <w:r w:rsidRPr="00DA2BC8">
        <w:rPr>
          <w:b/>
          <w:bCs/>
        </w:rPr>
        <w:t xml:space="preserve"> </w:t>
      </w:r>
      <w:r w:rsidRPr="00DA2BC8">
        <w:t>лихорадка на фоне лечения антибиотиками, которая сохраняется при повышении количества лейкоцитов (гранулоцитов более 0,5×10</w:t>
      </w:r>
      <w:r w:rsidRPr="00DA2BC8">
        <w:rPr>
          <w:vertAlign w:val="superscript"/>
        </w:rPr>
        <w:t>9</w:t>
      </w:r>
      <w:r w:rsidRPr="00DA2BC8">
        <w:t>/л) и выявление множественных очагов в печени и/или селезенке по данным УЗИ, КТ или МРТ. Препаратами выбора в лечении гепатолиенального кандидоза являются эхинокандин (каспофунгин или микафунгин) или липидная форма амфотерицина В (3 мг/кг в сутки, внутривенно); альтернативный препарат - амфотерицин В (0,7-1,0 мг/кг). Дозирование эхинокандина проводят как при кандидемии. После ликвидации температуры (через 1-2 недели) проводят замену этих препаратов на флуконазол (400 мг внутрь или внутривенно 1 раз в сутки) ввиду необходимости продолжительного периода лечения данной патологии.</w:t>
      </w:r>
    </w:p>
    <w:p w14:paraId="69DB6EDE" w14:textId="77777777" w:rsidR="0037636A" w:rsidRPr="00DA2BC8" w:rsidRDefault="0037636A" w:rsidP="0037636A">
      <w:pPr>
        <w:widowControl w:val="0"/>
        <w:autoSpaceDE w:val="0"/>
        <w:autoSpaceDN w:val="0"/>
        <w:adjustRightInd w:val="0"/>
        <w:ind w:right="50"/>
        <w:contextualSpacing/>
      </w:pPr>
      <w:r w:rsidRPr="00CB7689">
        <w:rPr>
          <w:i/>
          <w:iCs/>
          <w:u w:val="single"/>
        </w:rPr>
        <w:t>Длительность лечения</w:t>
      </w:r>
      <w:r w:rsidRPr="00DA2BC8">
        <w:t xml:space="preserve"> составляет от 3 до 6 месяцев. При ранней отмене противогрибкового препарата наблюдается высокая частота рецидивов инфекции. Критериями отмены противогрибкового препарата являются кальцификация или регрессия очагов.</w:t>
      </w:r>
    </w:p>
    <w:p w14:paraId="223925CC" w14:textId="77777777" w:rsidR="0037636A" w:rsidRPr="0014445B" w:rsidRDefault="0037636A" w:rsidP="0037636A">
      <w:pPr>
        <w:widowControl w:val="0"/>
        <w:autoSpaceDE w:val="0"/>
        <w:autoSpaceDN w:val="0"/>
        <w:adjustRightInd w:val="0"/>
        <w:ind w:right="50"/>
        <w:contextualSpacing/>
        <w:rPr>
          <w:b/>
          <w:bCs/>
        </w:rPr>
      </w:pPr>
      <w:r w:rsidRPr="0014445B">
        <w:rPr>
          <w:b/>
          <w:bCs/>
        </w:rPr>
        <w:t>Инвазивный кандидоз центральной нервной системы (ЦНС)</w:t>
      </w:r>
    </w:p>
    <w:p w14:paraId="056BD336" w14:textId="77777777" w:rsidR="0037636A" w:rsidRPr="00DA2BC8" w:rsidRDefault="0037636A" w:rsidP="0037636A">
      <w:pPr>
        <w:widowControl w:val="0"/>
        <w:autoSpaceDE w:val="0"/>
        <w:autoSpaceDN w:val="0"/>
        <w:adjustRightInd w:val="0"/>
        <w:ind w:right="50"/>
        <w:contextualSpacing/>
        <w:rPr>
          <w:b/>
          <w:bCs/>
        </w:rPr>
      </w:pPr>
      <w:r w:rsidRPr="00DA2BC8">
        <w:t xml:space="preserve">У взрослых </w:t>
      </w:r>
      <w:r>
        <w:t>гематологических пациентов</w:t>
      </w:r>
      <w:r w:rsidRPr="00DA2BC8">
        <w:t xml:space="preserve"> инвазивный кандидоз ЦНС возникает при диссеминации кандид из крови или является осложнением нейрохирургических операций (шунтирование и др.). Проявления кандидоза ЦНС - менингит (ведущее), </w:t>
      </w:r>
      <w:r>
        <w:t xml:space="preserve">также </w:t>
      </w:r>
      <w:r w:rsidRPr="00DA2BC8">
        <w:t>возможны множественные абсцессы в веществе головного мозга, большого размера солитарный абсцесс, эпидуральные абсцессы.</w:t>
      </w:r>
    </w:p>
    <w:p w14:paraId="149278C4" w14:textId="77777777" w:rsidR="0037636A" w:rsidRPr="00DA2BC8" w:rsidRDefault="0037636A" w:rsidP="0037636A">
      <w:pPr>
        <w:widowControl w:val="0"/>
        <w:autoSpaceDE w:val="0"/>
        <w:autoSpaceDN w:val="0"/>
        <w:adjustRightInd w:val="0"/>
        <w:ind w:right="50"/>
        <w:contextualSpacing/>
      </w:pPr>
      <w:r w:rsidRPr="00CB7689">
        <w:rPr>
          <w:i/>
          <w:iCs/>
          <w:u w:val="single"/>
        </w:rPr>
        <w:t>Симптомы</w:t>
      </w:r>
      <w:r w:rsidRPr="00DA2BC8">
        <w:rPr>
          <w:b/>
          <w:bCs/>
        </w:rPr>
        <w:t xml:space="preserve"> </w:t>
      </w:r>
      <w:r w:rsidRPr="00DA2BC8">
        <w:t>аналогичны симптомам бактериального менингита. При абсцедировании появляется очаговая симптоматика поражения ЦНС.</w:t>
      </w:r>
    </w:p>
    <w:p w14:paraId="522FA8E1" w14:textId="77777777" w:rsidR="0037636A" w:rsidRPr="00CB7689" w:rsidRDefault="0037636A" w:rsidP="0037636A">
      <w:pPr>
        <w:widowControl w:val="0"/>
        <w:autoSpaceDE w:val="0"/>
        <w:autoSpaceDN w:val="0"/>
        <w:adjustRightInd w:val="0"/>
        <w:ind w:right="50"/>
        <w:contextualSpacing/>
        <w:rPr>
          <w:i/>
          <w:iCs/>
        </w:rPr>
      </w:pPr>
      <w:r w:rsidRPr="00CB7689">
        <w:rPr>
          <w:i/>
          <w:iCs/>
          <w:u w:val="single"/>
        </w:rPr>
        <w:t>Диагностика</w:t>
      </w:r>
    </w:p>
    <w:p w14:paraId="096EA9FE" w14:textId="77777777" w:rsidR="0037636A" w:rsidRPr="00DA2BC8" w:rsidRDefault="0037636A" w:rsidP="0037636A">
      <w:pPr>
        <w:widowControl w:val="0"/>
        <w:autoSpaceDE w:val="0"/>
        <w:autoSpaceDN w:val="0"/>
        <w:adjustRightInd w:val="0"/>
        <w:ind w:right="50"/>
        <w:contextualSpacing/>
      </w:pPr>
      <w:r w:rsidRPr="00DA2BC8">
        <w:t xml:space="preserve">Обнаружение </w:t>
      </w:r>
      <w:r w:rsidRPr="00DA2BC8">
        <w:rPr>
          <w:i/>
          <w:iCs/>
        </w:rPr>
        <w:t>Candida</w:t>
      </w:r>
      <w:r w:rsidRPr="00DA2BC8">
        <w:t xml:space="preserve"> spp. при микроскопии либо в культуре спинномозговой жидкости (СМЖ) или биоптатов головного мозга. При кандидозном менингите, как и при бактериальном, в СМЖ определяется нейтрофильный плеоцитоз. </w:t>
      </w:r>
      <w:r>
        <w:t xml:space="preserve">Выполняется КТ/МРТ головного мозга (по показаниям с контрастированием) для оценки локализации, размеров, динамики очага (очагов) поражения. </w:t>
      </w:r>
      <w:r w:rsidRPr="00DA2BC8">
        <w:t>Специфические р</w:t>
      </w:r>
      <w:r>
        <w:t>адио</w:t>
      </w:r>
      <w:r w:rsidRPr="00DA2BC8">
        <w:t>логические признаки абсцессов кандидозной этиологии отсутствуют.</w:t>
      </w:r>
    </w:p>
    <w:p w14:paraId="757C181D" w14:textId="77777777" w:rsidR="0037636A" w:rsidRPr="00CB7689" w:rsidRDefault="0037636A" w:rsidP="0037636A">
      <w:pPr>
        <w:widowControl w:val="0"/>
        <w:tabs>
          <w:tab w:val="left" w:pos="-90"/>
        </w:tabs>
        <w:autoSpaceDE w:val="0"/>
        <w:autoSpaceDN w:val="0"/>
        <w:adjustRightInd w:val="0"/>
        <w:ind w:right="50"/>
        <w:contextualSpacing/>
        <w:rPr>
          <w:i/>
          <w:iCs/>
          <w:u w:val="single"/>
        </w:rPr>
      </w:pPr>
      <w:r w:rsidRPr="00CB7689">
        <w:rPr>
          <w:i/>
          <w:iCs/>
          <w:u w:val="single"/>
        </w:rPr>
        <w:t>Лечение</w:t>
      </w:r>
    </w:p>
    <w:p w14:paraId="34B5FC22" w14:textId="77777777" w:rsidR="0037636A" w:rsidRPr="00DA2BC8" w:rsidRDefault="0037636A" w:rsidP="0037636A">
      <w:pPr>
        <w:widowControl w:val="0"/>
        <w:tabs>
          <w:tab w:val="left" w:pos="-90"/>
        </w:tabs>
        <w:autoSpaceDE w:val="0"/>
        <w:autoSpaceDN w:val="0"/>
        <w:adjustRightInd w:val="0"/>
        <w:ind w:right="50"/>
        <w:contextualSpacing/>
      </w:pPr>
      <w:r w:rsidRPr="00DA2BC8">
        <w:rPr>
          <w:bCs/>
        </w:rPr>
        <w:t xml:space="preserve">Стартовая терапия (первые недели) – монотерапия липидной формы амфотерицина В (3-5 мг/кг </w:t>
      </w:r>
      <w:r w:rsidRPr="00DA2BC8">
        <w:t xml:space="preserve">внутривенно 1 раз в сутки) или в сочетании в течение первых недель с флуцитозином (25 мг/кг внутривенно 4 раза в сутки). Альтернативный препарат – вориконазол (в 1-й день по 6 мг/кг внутривенно 2 раза в сутки, затем по 4 мг/кг 2 раза в сутки с последующим переходом на пероральную форму по 200 мг внутрь 2 раза в сутки). </w:t>
      </w:r>
      <w:r w:rsidRPr="00DA2BC8">
        <w:rPr>
          <w:bCs/>
        </w:rPr>
        <w:t>При стабилизации</w:t>
      </w:r>
      <w:r w:rsidRPr="00DA2BC8">
        <w:rPr>
          <w:b/>
          <w:bCs/>
        </w:rPr>
        <w:t xml:space="preserve"> </w:t>
      </w:r>
      <w:r w:rsidRPr="00DA2BC8">
        <w:t xml:space="preserve">состояния после лечения липидной формой амфотерицина В назначают флуконазол при выделении флуконазолчувствительных </w:t>
      </w:r>
      <w:r w:rsidRPr="00DA2BC8">
        <w:rPr>
          <w:i/>
          <w:iCs/>
        </w:rPr>
        <w:t>Candida</w:t>
      </w:r>
      <w:r w:rsidRPr="00DA2BC8">
        <w:t xml:space="preserve"> spp (400-800 мг внутривенно 1 раз в сутки). </w:t>
      </w:r>
    </w:p>
    <w:p w14:paraId="449677E6" w14:textId="77777777" w:rsidR="0037636A" w:rsidRPr="00DA2BC8" w:rsidRDefault="0037636A" w:rsidP="0037636A">
      <w:pPr>
        <w:widowControl w:val="0"/>
        <w:tabs>
          <w:tab w:val="left" w:pos="-90"/>
        </w:tabs>
        <w:autoSpaceDE w:val="0"/>
        <w:autoSpaceDN w:val="0"/>
        <w:adjustRightInd w:val="0"/>
        <w:ind w:right="50"/>
        <w:contextualSpacing/>
      </w:pPr>
      <w:r w:rsidRPr="00DA2BC8">
        <w:t>Вориконазол и флуконазол хорошо проникают через гематоэнцефалический барьер. Итраконазол, позаконазол, амфотерицин В и его липидные формы плохо проходят через гематоэнцефалический барьер. При лечении липидными формами амфотерицина В в веществе головного мозга создаются высокие концентрации, причем у липосомального амфотерицина В они выше, чем у липидного комплекса или обычного амфотерицина В. Комбинация амфотерицина В с флуцитозином обладает синергидным действием. Лечение кандидоза ЦНС не проводят эхинокандинами.</w:t>
      </w:r>
    </w:p>
    <w:p w14:paraId="5B827A56" w14:textId="77777777" w:rsidR="0037636A" w:rsidRPr="00CB7689" w:rsidRDefault="0037636A" w:rsidP="0037636A">
      <w:pPr>
        <w:widowControl w:val="0"/>
        <w:autoSpaceDE w:val="0"/>
        <w:autoSpaceDN w:val="0"/>
        <w:adjustRightInd w:val="0"/>
        <w:ind w:right="50"/>
        <w:contextualSpacing/>
        <w:rPr>
          <w:i/>
          <w:iCs/>
          <w:u w:val="single"/>
        </w:rPr>
      </w:pPr>
      <w:r w:rsidRPr="00CB7689">
        <w:rPr>
          <w:i/>
          <w:iCs/>
          <w:u w:val="single"/>
        </w:rPr>
        <w:t>Длительность лечения</w:t>
      </w:r>
    </w:p>
    <w:p w14:paraId="379C0F88" w14:textId="77777777" w:rsidR="0037636A" w:rsidRPr="00DA2BC8" w:rsidRDefault="0037636A" w:rsidP="0037636A">
      <w:pPr>
        <w:widowControl w:val="0"/>
        <w:autoSpaceDE w:val="0"/>
        <w:autoSpaceDN w:val="0"/>
        <w:adjustRightInd w:val="0"/>
        <w:ind w:right="50"/>
        <w:contextualSpacing/>
      </w:pPr>
      <w:r w:rsidRPr="00DA2BC8">
        <w:t>Лечение занимает продолжительный период — до ликвидации всех клинических и р</w:t>
      </w:r>
      <w:r>
        <w:t>адио</w:t>
      </w:r>
      <w:r w:rsidRPr="00DA2BC8">
        <w:t>логических симптомов инфекции, нормализации состава СМЖ. Нейрохирургическим больным удаляют инфицированные шунты.</w:t>
      </w:r>
    </w:p>
    <w:p w14:paraId="790CA986" w14:textId="77777777" w:rsidR="0037636A" w:rsidRPr="00444F93" w:rsidRDefault="0037636A" w:rsidP="0037636A">
      <w:pPr>
        <w:widowControl w:val="0"/>
        <w:autoSpaceDE w:val="0"/>
        <w:autoSpaceDN w:val="0"/>
        <w:adjustRightInd w:val="0"/>
        <w:ind w:right="50"/>
        <w:contextualSpacing/>
        <w:rPr>
          <w:b/>
          <w:bCs/>
        </w:rPr>
      </w:pPr>
      <w:r w:rsidRPr="00444F93">
        <w:rPr>
          <w:b/>
          <w:bCs/>
        </w:rPr>
        <w:t>Кандидозный эндофтальмит</w:t>
      </w:r>
    </w:p>
    <w:p w14:paraId="75D060B4" w14:textId="77777777" w:rsidR="0037636A" w:rsidRDefault="0037636A" w:rsidP="0037636A">
      <w:pPr>
        <w:widowControl w:val="0"/>
        <w:autoSpaceDE w:val="0"/>
        <w:autoSpaceDN w:val="0"/>
        <w:adjustRightInd w:val="0"/>
        <w:ind w:right="50"/>
        <w:contextualSpacing/>
      </w:pPr>
      <w:r w:rsidRPr="00DA2BC8">
        <w:t>Кандидозный эндофтальмит - воспаление внутренних оболочек глаза с формированием абсцесса (абсцессов) в стекловидном теле</w:t>
      </w:r>
      <w:r>
        <w:t>, в</w:t>
      </w:r>
      <w:r w:rsidRPr="00DA2BC8">
        <w:t>озникает при диссеминации кандид из крови.</w:t>
      </w:r>
      <w:r>
        <w:t xml:space="preserve"> </w:t>
      </w:r>
      <w:r w:rsidRPr="00DA2BC8">
        <w:t xml:space="preserve">Основной симптом - снижение остроты зрения вплоть до развития слепоты. Во всех случаях необходима консультация офтальмолога. При офтальмоскопии на сетчатке определяют множественные белесоватые очаги. </w:t>
      </w:r>
      <w:r>
        <w:t>Выполняют КТ/МРТ головы (по показаниям с контрастированием) для оценки локализации, размеров, динамики очага (очагов) поражения.</w:t>
      </w:r>
    </w:p>
    <w:p w14:paraId="561AD04D" w14:textId="77777777" w:rsidR="0037636A" w:rsidRPr="00DA2BC8" w:rsidRDefault="0037636A" w:rsidP="0037636A">
      <w:pPr>
        <w:widowControl w:val="0"/>
        <w:autoSpaceDE w:val="0"/>
        <w:autoSpaceDN w:val="0"/>
        <w:adjustRightInd w:val="0"/>
        <w:ind w:right="50"/>
        <w:contextualSpacing/>
      </w:pPr>
      <w:r w:rsidRPr="00DA2BC8">
        <w:rPr>
          <w:bCs/>
        </w:rPr>
        <w:t xml:space="preserve">При обширном поражении назначают </w:t>
      </w:r>
      <w:r w:rsidRPr="00DA2BC8">
        <w:t xml:space="preserve">амфотерицин В (0,7-1 мг/кг внутривенно 1 раз в сутки) в сочетании с флуцитозином (25 мг/кг внутривенно 4 раза в сутки), </w:t>
      </w:r>
      <w:r w:rsidRPr="00DA2BC8">
        <w:rPr>
          <w:bCs/>
        </w:rPr>
        <w:t xml:space="preserve">при нетяжелых проявлениях - </w:t>
      </w:r>
      <w:r w:rsidRPr="00DA2BC8">
        <w:t xml:space="preserve">флуконазол (400-800 мг внутривенно или внутрь 1 раз в сутки), при </w:t>
      </w:r>
      <w:r w:rsidRPr="00DA2BC8">
        <w:rPr>
          <w:bCs/>
        </w:rPr>
        <w:t xml:space="preserve">отсутствие эффекта </w:t>
      </w:r>
      <w:r w:rsidRPr="00DA2BC8">
        <w:t xml:space="preserve">- вориконазол, липидные формы амфотерицина В. Не используют эхинокандины. В стекловидном теле создается высокая концентрация вориконазола, низкая концентрация - эхинокандинов (каспофунгина, микафунгина, анидулафунгина). </w:t>
      </w:r>
      <w:r w:rsidRPr="00DA2BC8">
        <w:rPr>
          <w:bCs/>
        </w:rPr>
        <w:t>Длительность лечения</w:t>
      </w:r>
      <w:r w:rsidRPr="00DA2BC8">
        <w:t xml:space="preserve"> составляет 4-6 недель. Критерии отмены противогрибковых препаратов - ликвидация клинических симптомов инфекции и регрессия или стабилизация размеров очагов, выявляемых при офтальмоскопии.</w:t>
      </w:r>
    </w:p>
    <w:p w14:paraId="5DB5FE00" w14:textId="77777777" w:rsidR="0037636A" w:rsidRPr="00444F93" w:rsidRDefault="0037636A" w:rsidP="0037636A">
      <w:pPr>
        <w:widowControl w:val="0"/>
        <w:autoSpaceDE w:val="0"/>
        <w:autoSpaceDN w:val="0"/>
        <w:adjustRightInd w:val="0"/>
        <w:ind w:right="51"/>
        <w:contextualSpacing/>
        <w:rPr>
          <w:b/>
          <w:bCs/>
        </w:rPr>
      </w:pPr>
      <w:r w:rsidRPr="00444F93">
        <w:rPr>
          <w:b/>
          <w:bCs/>
        </w:rPr>
        <w:t>Кандидозный эндокардит, перикардит, миокардит, тромбофлебит</w:t>
      </w:r>
    </w:p>
    <w:p w14:paraId="29DE32A6" w14:textId="77777777" w:rsidR="0037636A" w:rsidRPr="00DA2BC8" w:rsidRDefault="0037636A" w:rsidP="0037636A">
      <w:pPr>
        <w:widowControl w:val="0"/>
        <w:tabs>
          <w:tab w:val="left" w:pos="-90"/>
        </w:tabs>
        <w:autoSpaceDE w:val="0"/>
        <w:autoSpaceDN w:val="0"/>
        <w:adjustRightInd w:val="0"/>
        <w:ind w:left="90" w:right="51"/>
        <w:contextualSpacing/>
      </w:pPr>
      <w:r w:rsidRPr="00DA2BC8">
        <w:t xml:space="preserve">У иммунокомпрометированных </w:t>
      </w:r>
      <w:r>
        <w:t xml:space="preserve">пацентов  ХЛЛ/ЛМЛ </w:t>
      </w:r>
      <w:r w:rsidRPr="00DA2BC8">
        <w:t xml:space="preserve">эти осложнения возникают при гематогенной диссеминации </w:t>
      </w:r>
      <w:r w:rsidRPr="00DA2BC8">
        <w:rPr>
          <w:i/>
          <w:iCs/>
        </w:rPr>
        <w:t>Candida</w:t>
      </w:r>
      <w:r w:rsidRPr="00DA2BC8">
        <w:t xml:space="preserve"> spp.</w:t>
      </w:r>
      <w:r>
        <w:t>; с</w:t>
      </w:r>
      <w:r w:rsidRPr="00DA2BC8">
        <w:rPr>
          <w:bCs/>
        </w:rPr>
        <w:t>имптомы</w:t>
      </w:r>
      <w:r w:rsidRPr="00DA2BC8">
        <w:t xml:space="preserve"> </w:t>
      </w:r>
      <w:r>
        <w:t xml:space="preserve">соответствуют аналогичной локализации инфекции </w:t>
      </w:r>
      <w:r w:rsidRPr="00DA2BC8">
        <w:t>бактериальн</w:t>
      </w:r>
      <w:r>
        <w:t>ой</w:t>
      </w:r>
      <w:r w:rsidRPr="00DA2BC8">
        <w:t xml:space="preserve"> </w:t>
      </w:r>
      <w:r>
        <w:t>природы</w:t>
      </w:r>
      <w:r w:rsidRPr="00DA2BC8">
        <w:t xml:space="preserve">. </w:t>
      </w:r>
      <w:r>
        <w:t xml:space="preserve">Для диагностики проводят необходимые инструменитальные и лабораторные исследования – ЭКГ, ЭхоКГ, КТ/МРТ органов грудной полости, доплерографические исследования, УЗИ сосудов, консультация кардиолога, кардиохирурга, ангиохирурга, микробиологические (бактериологические) исследования крови, микробиологические (бактериологические), цитологические и гистологические исследования биоптататов. </w:t>
      </w:r>
      <w:r w:rsidRPr="00DA2BC8">
        <w:t xml:space="preserve">Диагноз устанавливают на основании обнаружения </w:t>
      </w:r>
      <w:r w:rsidRPr="00DA2BC8">
        <w:rPr>
          <w:i/>
          <w:iCs/>
        </w:rPr>
        <w:t>Candida</w:t>
      </w:r>
      <w:r w:rsidRPr="00DA2BC8">
        <w:t xml:space="preserve"> spp. в материале из пораженных клапанов сердца или присутствия непосредственной связи между выделением </w:t>
      </w:r>
      <w:r w:rsidRPr="00DA2BC8">
        <w:rPr>
          <w:i/>
          <w:iCs/>
        </w:rPr>
        <w:t xml:space="preserve">Candida </w:t>
      </w:r>
      <w:r w:rsidRPr="00DA2BC8">
        <w:t xml:space="preserve">spp. из гемокультуры и появлением симптомов диссеминации инфекционного процесса. </w:t>
      </w:r>
      <w:r w:rsidRPr="00DA2BC8">
        <w:rPr>
          <w:bCs/>
        </w:rPr>
        <w:t xml:space="preserve">Препарат выбора - </w:t>
      </w:r>
      <w:r w:rsidRPr="00DA2BC8">
        <w:t xml:space="preserve">каспофунгин, </w:t>
      </w:r>
      <w:r w:rsidRPr="00DA2BC8">
        <w:rPr>
          <w:bCs/>
        </w:rPr>
        <w:t>альтернативный препарат – липидные формы амфотерицина В.</w:t>
      </w:r>
      <w:r w:rsidRPr="00DA2BC8">
        <w:t xml:space="preserve"> Флуконазол назначают </w:t>
      </w:r>
      <w:r w:rsidRPr="00DA2BC8">
        <w:rPr>
          <w:bCs/>
        </w:rPr>
        <w:t xml:space="preserve">при стабилизации симптомов инфекции и выделении флуконазолчувствительных </w:t>
      </w:r>
      <w:r w:rsidRPr="00DA2BC8">
        <w:rPr>
          <w:bCs/>
          <w:i/>
          <w:iCs/>
        </w:rPr>
        <w:t>Candida</w:t>
      </w:r>
      <w:r w:rsidRPr="00DA2BC8">
        <w:rPr>
          <w:bCs/>
        </w:rPr>
        <w:t xml:space="preserve"> spp.</w:t>
      </w:r>
      <w:r w:rsidRPr="00DA2BC8">
        <w:t xml:space="preserve"> </w:t>
      </w:r>
      <w:r w:rsidRPr="00DA2BC8">
        <w:rPr>
          <w:bCs/>
        </w:rPr>
        <w:t xml:space="preserve">Оперативное лечение включает </w:t>
      </w:r>
      <w:r w:rsidRPr="00DA2BC8">
        <w:t xml:space="preserve">удаление инфицированных клапанов сердца, перикардэктомия при перикардите. </w:t>
      </w:r>
      <w:r w:rsidRPr="00DA2BC8">
        <w:rPr>
          <w:bCs/>
        </w:rPr>
        <w:t>Длительность лечения</w:t>
      </w:r>
      <w:r w:rsidRPr="00DA2BC8">
        <w:t xml:space="preserve"> кандидозного эндокардита после хирургического вмешательства составляет не менее 6 недель; при наличии абсцессов и других осложнений - более продолжительный период. Если операцию на клапанах не проводят, то назначают пожизненно флуконазол в дозе 400-800 мг в сутки внутрь или внутривенно 1 раз в сутки. Лечение кандидозного перикардита и миокардита продолжается несколько месяцев.</w:t>
      </w:r>
    </w:p>
    <w:p w14:paraId="4C49CC51" w14:textId="77777777" w:rsidR="0037636A" w:rsidRPr="00444F93" w:rsidRDefault="0037636A" w:rsidP="0037636A">
      <w:pPr>
        <w:widowControl w:val="0"/>
        <w:autoSpaceDE w:val="0"/>
        <w:autoSpaceDN w:val="0"/>
        <w:adjustRightInd w:val="0"/>
        <w:ind w:right="51"/>
        <w:contextualSpacing/>
        <w:rPr>
          <w:b/>
          <w:bCs/>
        </w:rPr>
      </w:pPr>
      <w:r w:rsidRPr="00444F93">
        <w:rPr>
          <w:b/>
          <w:bCs/>
        </w:rPr>
        <w:t>Кандидоз мочевыводящих путей</w:t>
      </w:r>
    </w:p>
    <w:p w14:paraId="46301A3D" w14:textId="77777777" w:rsidR="0037636A" w:rsidRPr="00DA2BC8" w:rsidRDefault="0037636A" w:rsidP="0037636A">
      <w:pPr>
        <w:widowControl w:val="0"/>
        <w:autoSpaceDE w:val="0"/>
        <w:autoSpaceDN w:val="0"/>
        <w:adjustRightInd w:val="0"/>
        <w:ind w:right="51"/>
        <w:contextualSpacing/>
      </w:pPr>
      <w:r w:rsidRPr="00DA2BC8">
        <w:t xml:space="preserve">Клинические проявления </w:t>
      </w:r>
      <w:r>
        <w:t xml:space="preserve">кандидоза мочевых путей – </w:t>
      </w:r>
      <w:r w:rsidRPr="00DA2BC8">
        <w:t xml:space="preserve">цистит, пиелонефорит, </w:t>
      </w:r>
      <w:r w:rsidRPr="00444F93">
        <w:t>острый диссеминированный кандидоз</w:t>
      </w:r>
      <w:r w:rsidRPr="00DA2BC8">
        <w:t xml:space="preserve">. К факторам риска относят факторы, индуцирующие развитие инвазивного кандидоза, дополнительный фактор </w:t>
      </w:r>
      <w:r>
        <w:t>–</w:t>
      </w:r>
      <w:r w:rsidRPr="00DA2BC8">
        <w:t xml:space="preserve"> катетеризация мочевого пузыря. При кандидозном цистите </w:t>
      </w:r>
      <w:r>
        <w:t>характерны</w:t>
      </w:r>
      <w:r w:rsidRPr="00DA2BC8">
        <w:t xml:space="preserve"> частые болезненные мочеиспускания; при пиелонефрите </w:t>
      </w:r>
      <w:r>
        <w:t>–</w:t>
      </w:r>
      <w:r w:rsidRPr="00DA2BC8">
        <w:t xml:space="preserve"> боль в поясничной области, боль при мочеиспускании, температура; при гематогенной диссеминации кандид может быть только лихорадка. </w:t>
      </w:r>
      <w:r>
        <w:t xml:space="preserve">Для диагностики проводят необходимые иснтрументальные и лабораторные исследования – клинический, микробиологический анализы мочи, УЗИ почек и мочевыводящих путей, мочевого пузыря, КТ/МРТ почек и мочевыводящих путей, мочевого пузыря, органов малого таза у мужчин и женщин. </w:t>
      </w:r>
      <w:r w:rsidRPr="00DA2BC8">
        <w:t xml:space="preserve">Диагноз ставят на основании выделения </w:t>
      </w:r>
      <w:r w:rsidRPr="00DA2BC8">
        <w:rPr>
          <w:i/>
          <w:iCs/>
        </w:rPr>
        <w:t>Candida</w:t>
      </w:r>
      <w:r w:rsidRPr="00DA2BC8">
        <w:t xml:space="preserve"> spp. из мочи. Необходимо провести идентификацию возбудителя до вида и определить его чувствительность.</w:t>
      </w:r>
    </w:p>
    <w:p w14:paraId="3E6B75B2" w14:textId="77777777" w:rsidR="0037636A" w:rsidRDefault="0037636A" w:rsidP="0037636A">
      <w:pPr>
        <w:widowControl w:val="0"/>
        <w:autoSpaceDE w:val="0"/>
        <w:autoSpaceDN w:val="0"/>
        <w:adjustRightInd w:val="0"/>
        <w:ind w:right="51"/>
        <w:contextualSpacing/>
      </w:pPr>
      <w:r w:rsidRPr="00DA2BC8">
        <w:rPr>
          <w:bCs/>
        </w:rPr>
        <w:t xml:space="preserve">Показанием к назначению противогрибковых препаратов являются </w:t>
      </w:r>
      <w:r w:rsidRPr="00DA2BC8">
        <w:t xml:space="preserve">наличие признаков инфекции и неоднократное (не менее двух раз) выделение </w:t>
      </w:r>
      <w:r w:rsidRPr="00DA2BC8">
        <w:rPr>
          <w:i/>
          <w:iCs/>
        </w:rPr>
        <w:t>Candida</w:t>
      </w:r>
      <w:r w:rsidRPr="00DA2BC8">
        <w:t xml:space="preserve"> spp. из мочи, а также бессимптомная кандидурия у больных с нейтропенией. Бессимптомная кандидурия у больных </w:t>
      </w:r>
      <w:r w:rsidRPr="00DA2BC8">
        <w:rPr>
          <w:bCs/>
        </w:rPr>
        <w:t>вне нейтропении</w:t>
      </w:r>
      <w:r w:rsidRPr="00DA2BC8">
        <w:t xml:space="preserve"> свидетельствует о колонизации слизистой оболочки нижних отделов мочевыводящих путей кандидами, лечение противогрибковым</w:t>
      </w:r>
      <w:r>
        <w:t>и препаратами не проводят. У этой категории</w:t>
      </w:r>
      <w:r w:rsidRPr="00DA2BC8">
        <w:t xml:space="preserve"> </w:t>
      </w:r>
      <w:r>
        <w:t>пациентов</w:t>
      </w:r>
      <w:r w:rsidRPr="00DA2BC8">
        <w:t xml:space="preserve"> устранение факторов риска, например отмена антибиотиков или глюкокортикоидов, либо удаление катетера из мочевого пузыря, приводит к прекращению выделения кандид из мочи. </w:t>
      </w:r>
    </w:p>
    <w:p w14:paraId="3B8EF7D8" w14:textId="77777777" w:rsidR="0037636A" w:rsidRPr="00DA2BC8" w:rsidRDefault="0037636A" w:rsidP="0037636A">
      <w:pPr>
        <w:widowControl w:val="0"/>
        <w:autoSpaceDE w:val="0"/>
        <w:autoSpaceDN w:val="0"/>
        <w:adjustRightInd w:val="0"/>
        <w:ind w:right="51"/>
        <w:contextualSpacing/>
        <w:rPr>
          <w:b/>
        </w:rPr>
      </w:pPr>
      <w:r w:rsidRPr="00DA2BC8">
        <w:rPr>
          <w:bCs/>
        </w:rPr>
        <w:t xml:space="preserve">Лечение </w:t>
      </w:r>
      <w:r w:rsidRPr="00DA2BC8">
        <w:rPr>
          <w:bCs/>
          <w:iCs/>
        </w:rPr>
        <w:t>кандидозного цистита включает назначение флуконазола (400 мг) в случаях детекции</w:t>
      </w:r>
      <w:r w:rsidRPr="00DA2BC8">
        <w:rPr>
          <w:bCs/>
        </w:rPr>
        <w:t xml:space="preserve"> флуконазолчувствительных </w:t>
      </w:r>
      <w:r w:rsidRPr="00DA2BC8">
        <w:rPr>
          <w:bCs/>
          <w:i/>
          <w:iCs/>
        </w:rPr>
        <w:t xml:space="preserve">Candida </w:t>
      </w:r>
      <w:r w:rsidRPr="00DA2BC8">
        <w:rPr>
          <w:bCs/>
        </w:rPr>
        <w:t>spp., применение</w:t>
      </w:r>
      <w:r w:rsidRPr="00DA2BC8">
        <w:t xml:space="preserve"> амфотерицин В (0,3-0,6 мг/кг внутривенно 1 раз в сутки) – при флуконазолустойчивых </w:t>
      </w:r>
      <w:r w:rsidRPr="00DA2BC8">
        <w:rPr>
          <w:bCs/>
          <w:i/>
          <w:iCs/>
        </w:rPr>
        <w:t xml:space="preserve">Candida </w:t>
      </w:r>
      <w:r w:rsidRPr="00DA2BC8">
        <w:rPr>
          <w:bCs/>
        </w:rPr>
        <w:t>spp</w:t>
      </w:r>
      <w:r w:rsidRPr="00DA2BC8">
        <w:t xml:space="preserve">. Орошение мочевого пузыря амфотерицином В допустимо лишь при выделении флуконазолрезистентных </w:t>
      </w:r>
      <w:r w:rsidRPr="00DA2BC8">
        <w:rPr>
          <w:i/>
          <w:iCs/>
        </w:rPr>
        <w:t xml:space="preserve">Candida </w:t>
      </w:r>
      <w:r w:rsidRPr="00DA2BC8">
        <w:t xml:space="preserve">spp., например </w:t>
      </w:r>
      <w:r w:rsidRPr="00DA2BC8">
        <w:rPr>
          <w:i/>
          <w:iCs/>
        </w:rPr>
        <w:t>С</w:t>
      </w:r>
      <w:r w:rsidRPr="00DA2BC8">
        <w:rPr>
          <w:iCs/>
          <w:strike/>
        </w:rPr>
        <w:t>.</w:t>
      </w:r>
      <w:r w:rsidRPr="00DA2BC8">
        <w:rPr>
          <w:i/>
          <w:iCs/>
        </w:rPr>
        <w:t xml:space="preserve"> glabrata</w:t>
      </w:r>
      <w:r w:rsidRPr="00DA2BC8">
        <w:t xml:space="preserve">. Необходимо отметить, что при таком методе лечения наблюдается высокая частота рецидивов. Лечение </w:t>
      </w:r>
      <w:r w:rsidRPr="00DA2BC8">
        <w:rPr>
          <w:bCs/>
          <w:iCs/>
        </w:rPr>
        <w:t>кандидозного пиелонефрита проводят теми же антимикотиками.</w:t>
      </w:r>
      <w:r w:rsidRPr="00DA2BC8">
        <w:t xml:space="preserve"> Липидные формы амфотерицина В не применяют для лечения кандидозного пиелонефрита по причине низкой концентрации препарата в паренхиме почек. По той же причине не назначают эхинокандиды и вориконазол.</w:t>
      </w:r>
    </w:p>
    <w:p w14:paraId="76C6EC90" w14:textId="77777777" w:rsidR="0037636A" w:rsidRDefault="0037636A" w:rsidP="0037636A">
      <w:pPr>
        <w:widowControl w:val="0"/>
        <w:autoSpaceDE w:val="0"/>
        <w:autoSpaceDN w:val="0"/>
        <w:adjustRightInd w:val="0"/>
        <w:ind w:right="51"/>
        <w:contextualSpacing/>
      </w:pPr>
      <w:r w:rsidRPr="00DA2BC8">
        <w:rPr>
          <w:bCs/>
        </w:rPr>
        <w:t>Длительность лечения</w:t>
      </w:r>
      <w:r w:rsidRPr="00DA2BC8">
        <w:rPr>
          <w:b/>
          <w:bCs/>
        </w:rPr>
        <w:t xml:space="preserve"> </w:t>
      </w:r>
      <w:r w:rsidRPr="00DA2BC8">
        <w:t xml:space="preserve">кандидозного цистита флуконазолом составляет 2 недели. Если цистит вызван флуконазолрезистентными </w:t>
      </w:r>
      <w:r w:rsidRPr="00DA2BC8">
        <w:rPr>
          <w:i/>
          <w:iCs/>
        </w:rPr>
        <w:t xml:space="preserve">Candida </w:t>
      </w:r>
      <w:r w:rsidRPr="00DA2BC8">
        <w:t>spp., то лечение амфотерицином В проводят в течение 7-10 дней. Продолжительность лечения кандидозного пиелонефрита составляет 2 недели.</w:t>
      </w:r>
    </w:p>
    <w:p w14:paraId="486E3B03" w14:textId="77777777" w:rsidR="0037636A" w:rsidRPr="00DA2BC8" w:rsidRDefault="0037636A" w:rsidP="0037636A">
      <w:pPr>
        <w:widowControl w:val="0"/>
        <w:autoSpaceDE w:val="0"/>
        <w:autoSpaceDN w:val="0"/>
        <w:adjustRightInd w:val="0"/>
        <w:ind w:right="51"/>
        <w:contextualSpacing/>
      </w:pPr>
    </w:p>
    <w:p w14:paraId="47DAAEBE" w14:textId="41F75314" w:rsidR="0037636A" w:rsidRPr="00084B8B" w:rsidRDefault="0037636A" w:rsidP="0037636A">
      <w:pPr>
        <w:widowControl w:val="0"/>
        <w:autoSpaceDE w:val="0"/>
        <w:autoSpaceDN w:val="0"/>
        <w:adjustRightInd w:val="0"/>
        <w:ind w:right="49"/>
        <w:contextualSpacing/>
        <w:rPr>
          <w:bCs/>
          <w:u w:val="single"/>
        </w:rPr>
      </w:pPr>
      <w:r w:rsidRPr="00CB7689">
        <w:rPr>
          <w:bCs/>
          <w:u w:val="single"/>
        </w:rPr>
        <w:t>Диагностика и лечение криптококкоза</w:t>
      </w:r>
      <w:r w:rsidRPr="00144984">
        <w:rPr>
          <w:bCs/>
          <w:u w:val="single"/>
        </w:rPr>
        <w:t xml:space="preserve"> </w:t>
      </w:r>
      <w:r>
        <w:rPr>
          <w:b/>
        </w:rPr>
        <w:fldChar w:fldCharType="begin" w:fldLock="1"/>
      </w:r>
      <w:r w:rsidR="00987CCD">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mendeley":{"formattedCitation":"[100,101,107]","plainTextFormattedCitation":"[100,101,107]","previouslyFormattedCitation":"[100,101,107]"},"properties":{"noteIndex":0},"schema":"https://github.com/citation-style-language/schema/raw/master/csl-citation.json"}</w:instrText>
      </w:r>
      <w:r>
        <w:rPr>
          <w:b/>
        </w:rPr>
        <w:fldChar w:fldCharType="separate"/>
      </w:r>
      <w:r w:rsidR="00BA021B" w:rsidRPr="00BA021B">
        <w:rPr>
          <w:noProof/>
        </w:rPr>
        <w:t>[100,101,107]</w:t>
      </w:r>
      <w:r>
        <w:rPr>
          <w:b/>
        </w:rPr>
        <w:fldChar w:fldCharType="end"/>
      </w:r>
    </w:p>
    <w:p w14:paraId="2B6E81E5" w14:textId="77777777" w:rsidR="0037636A" w:rsidRPr="00DA2BC8" w:rsidRDefault="0037636A" w:rsidP="0037636A">
      <w:pPr>
        <w:widowControl w:val="0"/>
        <w:autoSpaceDE w:val="0"/>
        <w:autoSpaceDN w:val="0"/>
        <w:adjustRightInd w:val="0"/>
        <w:ind w:right="50"/>
        <w:contextualSpacing/>
      </w:pPr>
      <w:r w:rsidRPr="00DA2BC8">
        <w:t xml:space="preserve">Инфекция возникает преимущественно у </w:t>
      </w:r>
      <w:r>
        <w:t>пациентов</w:t>
      </w:r>
      <w:r w:rsidRPr="00DA2BC8">
        <w:t xml:space="preserve"> с Т-клеточным иммунодефицитом, </w:t>
      </w:r>
      <w:r>
        <w:t>в первую очередь,</w:t>
      </w:r>
      <w:r w:rsidRPr="00DA2BC8">
        <w:t xml:space="preserve"> у </w:t>
      </w:r>
      <w:r>
        <w:t>гематологических пациентов</w:t>
      </w:r>
      <w:r w:rsidRPr="00DA2BC8">
        <w:t xml:space="preserve"> с лимфатическими опухолями</w:t>
      </w:r>
      <w:r>
        <w:t>, в том числе, ХЛЛ/ЛМЛ,</w:t>
      </w:r>
      <w:r w:rsidRPr="00DA2BC8">
        <w:t xml:space="preserve"> и характеризуется частым поражением ЦНС в виде менингита или менингоэнцефалита. Основным возбудителем криптококкоза является </w:t>
      </w:r>
      <w:r w:rsidRPr="00DA2BC8">
        <w:rPr>
          <w:i/>
          <w:iCs/>
        </w:rPr>
        <w:t>Cryptococcus neoformans</w:t>
      </w:r>
      <w:r w:rsidRPr="00DA2BC8">
        <w:t xml:space="preserve">, реже заболевание вызывают </w:t>
      </w:r>
      <w:r w:rsidRPr="00DA2BC8">
        <w:rPr>
          <w:i/>
          <w:iCs/>
        </w:rPr>
        <w:t>C. gattii</w:t>
      </w:r>
      <w:r w:rsidRPr="00DA2BC8">
        <w:t xml:space="preserve">, крайне редко – </w:t>
      </w:r>
      <w:r w:rsidRPr="00DA2BC8">
        <w:rPr>
          <w:i/>
          <w:iCs/>
        </w:rPr>
        <w:t>C. laurentii</w:t>
      </w:r>
      <w:r w:rsidRPr="00DA2BC8">
        <w:t xml:space="preserve"> и </w:t>
      </w:r>
      <w:r w:rsidRPr="00DA2BC8">
        <w:rPr>
          <w:i/>
          <w:iCs/>
        </w:rPr>
        <w:t>С. albidus</w:t>
      </w:r>
      <w:r w:rsidRPr="00DA2BC8">
        <w:t>. К факторам риска относят применение глюкокортикоидных и иммуносупрессивных препаратов, таких как флударабин</w:t>
      </w:r>
      <w:r>
        <w:t xml:space="preserve"> и др</w:t>
      </w:r>
      <w:r w:rsidRPr="00DA2BC8">
        <w:t>.</w:t>
      </w:r>
    </w:p>
    <w:p w14:paraId="497A03FC" w14:textId="77777777" w:rsidR="0037636A" w:rsidRPr="00CB7689" w:rsidRDefault="0037636A" w:rsidP="0037636A">
      <w:pPr>
        <w:widowControl w:val="0"/>
        <w:autoSpaceDE w:val="0"/>
        <w:autoSpaceDN w:val="0"/>
        <w:adjustRightInd w:val="0"/>
        <w:ind w:right="50"/>
        <w:contextualSpacing/>
        <w:rPr>
          <w:i/>
          <w:iCs/>
          <w:u w:val="single"/>
        </w:rPr>
      </w:pPr>
      <w:r w:rsidRPr="00CB7689">
        <w:rPr>
          <w:i/>
          <w:iCs/>
          <w:u w:val="single"/>
        </w:rPr>
        <w:t>Симптомы</w:t>
      </w:r>
    </w:p>
    <w:p w14:paraId="68F7B38F" w14:textId="77777777" w:rsidR="0037636A" w:rsidRPr="00DA2BC8" w:rsidRDefault="0037636A" w:rsidP="0037636A">
      <w:pPr>
        <w:widowControl w:val="0"/>
        <w:autoSpaceDE w:val="0"/>
        <w:autoSpaceDN w:val="0"/>
        <w:adjustRightInd w:val="0"/>
        <w:ind w:right="50"/>
        <w:contextualSpacing/>
      </w:pPr>
      <w:r w:rsidRPr="00DA2BC8">
        <w:t xml:space="preserve">Основное проявление – менингоэнцефалит. У </w:t>
      </w:r>
      <w:r>
        <w:t>гематологических пациентов</w:t>
      </w:r>
      <w:r w:rsidRPr="00DA2BC8">
        <w:t xml:space="preserve">, в отличие от ВИЧ-инфицированных пациентов, симптомы криптококкового менингита и менигоэнцефалита не столь выражены, чаще всего беспокоят повышение температуры, головная боль, нарушение сознания, а при запоздалом лечении развивается сопор. У 30-50% </w:t>
      </w:r>
      <w:r>
        <w:t>пациентов</w:t>
      </w:r>
      <w:r w:rsidRPr="00DA2BC8">
        <w:t xml:space="preserve"> с криптококкозом удается выделить </w:t>
      </w:r>
      <w:r w:rsidRPr="00DA2BC8">
        <w:rPr>
          <w:i/>
          <w:iCs/>
        </w:rPr>
        <w:t>Cryptococcus</w:t>
      </w:r>
      <w:r w:rsidRPr="00DA2BC8">
        <w:t xml:space="preserve"> spp</w:t>
      </w:r>
      <w:r>
        <w:t>. из гемокультуры. У 25-50% пациентов с</w:t>
      </w:r>
      <w:r w:rsidRPr="00DA2BC8">
        <w:t xml:space="preserve"> криптококкозом возникает диссеминация в других органов, такие как простата, кожа, печень, почки, селезенка и кости. Инфицирование простаты может являться источником реактивации криптококкоза после прекращения лечения. Клинические проявления криптококкоза неспецифичны и зависят от локализации процесса. </w:t>
      </w:r>
    </w:p>
    <w:p w14:paraId="01B06D10" w14:textId="77777777" w:rsidR="0037636A" w:rsidRPr="00CB7689" w:rsidRDefault="0037636A" w:rsidP="0037636A">
      <w:pPr>
        <w:widowControl w:val="0"/>
        <w:autoSpaceDE w:val="0"/>
        <w:autoSpaceDN w:val="0"/>
        <w:adjustRightInd w:val="0"/>
        <w:ind w:right="50"/>
        <w:contextualSpacing/>
        <w:rPr>
          <w:i/>
          <w:iCs/>
          <w:u w:val="single"/>
        </w:rPr>
      </w:pPr>
      <w:r w:rsidRPr="00CB7689">
        <w:rPr>
          <w:i/>
          <w:iCs/>
          <w:u w:val="single"/>
        </w:rPr>
        <w:t>Диагностика</w:t>
      </w:r>
    </w:p>
    <w:p w14:paraId="6854B8CE" w14:textId="77777777" w:rsidR="0037636A" w:rsidRPr="00C17F87" w:rsidRDefault="0037636A" w:rsidP="0037636A">
      <w:pPr>
        <w:widowControl w:val="0"/>
        <w:autoSpaceDE w:val="0"/>
        <w:autoSpaceDN w:val="0"/>
        <w:adjustRightInd w:val="0"/>
        <w:ind w:right="50"/>
        <w:contextualSpacing/>
      </w:pPr>
      <w:r>
        <w:t xml:space="preserve">Для диагностики проводят необходимые иснтрументальные и лабораторные исследования, манипуляции – КТ/МРТ грудной, брюшной полостей, малого таза, костей, головного и спинного мозга (по показаниям с контрастированием), люмбальные пункции с исследованием физико-химических свойств ликвора, а также цитологическим, молекулярно-биологическим исследованием, посевы (микробиологические / бактериологические исследования) крови и ликвора, другие исследования и консультации специалистов (невролога, окулиста, нейрохирурга, уролога, хирурга  и др. по показаниям). </w:t>
      </w:r>
    </w:p>
    <w:p w14:paraId="1542A74F" w14:textId="77777777" w:rsidR="0037636A" w:rsidRDefault="0037636A" w:rsidP="0037636A">
      <w:pPr>
        <w:widowControl w:val="0"/>
        <w:autoSpaceDE w:val="0"/>
        <w:autoSpaceDN w:val="0"/>
        <w:adjustRightInd w:val="0"/>
        <w:ind w:right="50"/>
        <w:contextualSpacing/>
      </w:pPr>
      <w:r w:rsidRPr="00DA2BC8">
        <w:t>Диагноз устанавливают на основании</w:t>
      </w:r>
      <w:r>
        <w:t>:</w:t>
      </w:r>
    </w:p>
    <w:p w14:paraId="39193E78" w14:textId="77777777" w:rsidR="0037636A" w:rsidRDefault="0037636A" w:rsidP="0037636A">
      <w:pPr>
        <w:pStyle w:val="afe"/>
        <w:widowControl w:val="0"/>
        <w:numPr>
          <w:ilvl w:val="0"/>
          <w:numId w:val="84"/>
        </w:numPr>
        <w:autoSpaceDE w:val="0"/>
        <w:autoSpaceDN w:val="0"/>
        <w:adjustRightInd w:val="0"/>
        <w:ind w:right="50"/>
      </w:pPr>
      <w:r w:rsidRPr="00444F93">
        <w:t xml:space="preserve">выделения </w:t>
      </w:r>
      <w:r w:rsidRPr="00444F93">
        <w:rPr>
          <w:i/>
          <w:iCs/>
        </w:rPr>
        <w:t xml:space="preserve">Cryptococcus </w:t>
      </w:r>
      <w:r w:rsidRPr="00444F93">
        <w:t xml:space="preserve">spp. из гемокультуры или СМЖ, или обнаружения дрожжеподобных грибов в СМЖ при микроскопии; </w:t>
      </w:r>
    </w:p>
    <w:p w14:paraId="187E40FC" w14:textId="77777777" w:rsidR="0037636A" w:rsidRDefault="0037636A" w:rsidP="0037636A">
      <w:pPr>
        <w:pStyle w:val="afe"/>
        <w:widowControl w:val="0"/>
        <w:numPr>
          <w:ilvl w:val="0"/>
          <w:numId w:val="84"/>
        </w:numPr>
        <w:autoSpaceDE w:val="0"/>
        <w:autoSpaceDN w:val="0"/>
        <w:adjustRightInd w:val="0"/>
        <w:ind w:right="50"/>
      </w:pPr>
      <w:r w:rsidRPr="00444F93">
        <w:t xml:space="preserve">определения положительного антигена </w:t>
      </w:r>
      <w:r w:rsidRPr="00444F93">
        <w:rPr>
          <w:i/>
          <w:iCs/>
        </w:rPr>
        <w:t xml:space="preserve">Cryptococcus </w:t>
      </w:r>
      <w:r w:rsidRPr="00444F93">
        <w:t xml:space="preserve">(глюкуроноксиломаннан) в СМЖ. </w:t>
      </w:r>
    </w:p>
    <w:p w14:paraId="3E8FD0A6" w14:textId="77777777" w:rsidR="0037636A" w:rsidRPr="00444F93" w:rsidRDefault="0037636A" w:rsidP="0037636A">
      <w:pPr>
        <w:widowControl w:val="0"/>
        <w:autoSpaceDE w:val="0"/>
        <w:autoSpaceDN w:val="0"/>
        <w:adjustRightInd w:val="0"/>
        <w:ind w:right="50" w:firstLine="708"/>
      </w:pPr>
      <w:r w:rsidRPr="00444F93">
        <w:t xml:space="preserve">Ложноположительные результаты антигена </w:t>
      </w:r>
      <w:r w:rsidRPr="00444F93">
        <w:rPr>
          <w:i/>
          <w:iCs/>
        </w:rPr>
        <w:t xml:space="preserve">Cryptococcus </w:t>
      </w:r>
      <w:r w:rsidRPr="00444F93">
        <w:t xml:space="preserve">могут быть при инфекциях, вызванными </w:t>
      </w:r>
      <w:r w:rsidRPr="00444F93">
        <w:rPr>
          <w:i/>
          <w:iCs/>
        </w:rPr>
        <w:t>Trichosporon</w:t>
      </w:r>
      <w:r w:rsidRPr="00444F93">
        <w:t xml:space="preserve"> или </w:t>
      </w:r>
      <w:r w:rsidRPr="00444F93">
        <w:rPr>
          <w:i/>
          <w:iCs/>
        </w:rPr>
        <w:t>Capnocytophaga canimorsus</w:t>
      </w:r>
      <w:r w:rsidRPr="00444F93">
        <w:t xml:space="preserve">, или </w:t>
      </w:r>
      <w:r w:rsidRPr="00444F93">
        <w:rPr>
          <w:i/>
          <w:iCs/>
        </w:rPr>
        <w:t>Stomatococcus mucilaginosis,</w:t>
      </w:r>
      <w:r w:rsidRPr="00444F93">
        <w:t xml:space="preserve"> или при обнаружении ревматоидного фактора. </w:t>
      </w:r>
    </w:p>
    <w:p w14:paraId="2E4446A0" w14:textId="77777777" w:rsidR="0037636A" w:rsidRPr="00CB7689" w:rsidRDefault="0037636A" w:rsidP="0037636A">
      <w:pPr>
        <w:widowControl w:val="0"/>
        <w:autoSpaceDE w:val="0"/>
        <w:autoSpaceDN w:val="0"/>
        <w:adjustRightInd w:val="0"/>
        <w:ind w:right="50"/>
        <w:contextualSpacing/>
        <w:rPr>
          <w:i/>
          <w:iCs/>
          <w:u w:val="single"/>
        </w:rPr>
      </w:pPr>
      <w:r w:rsidRPr="00CB7689">
        <w:rPr>
          <w:i/>
          <w:iCs/>
          <w:u w:val="single"/>
        </w:rPr>
        <w:t>Лечение</w:t>
      </w:r>
    </w:p>
    <w:p w14:paraId="0C562532" w14:textId="77777777" w:rsidR="0037636A" w:rsidRPr="00DA2BC8" w:rsidRDefault="0037636A" w:rsidP="0037636A">
      <w:pPr>
        <w:widowControl w:val="0"/>
        <w:autoSpaceDE w:val="0"/>
        <w:autoSpaceDN w:val="0"/>
        <w:adjustRightInd w:val="0"/>
        <w:ind w:right="50"/>
        <w:contextualSpacing/>
      </w:pPr>
      <w:r w:rsidRPr="00DA2BC8">
        <w:t xml:space="preserve">Лечение криптококкоза длительное и включает этапы индукции, консолидации и поддерживания. </w:t>
      </w:r>
      <w:r w:rsidRPr="00DA2BC8">
        <w:rPr>
          <w:bCs/>
        </w:rPr>
        <w:t>Этап индукции составляет</w:t>
      </w:r>
      <w:r w:rsidRPr="00DA2BC8">
        <w:t xml:space="preserve"> от 2 до 6 недель и включает назначение амфотерицина В (0,7-1,0 мг/кг внутривенно в сутки) или сочетание амфотерицина В (0,7-1,0 мг/кг) с флуцитозином (100 мг/кг в сутки, эту дозу разделяют на 4 приема). Флуцитозин вводят не более 2 недель. При криптококкозе ЦНС длительность этого этапа лечения составляет 6 недель. Липидную форму амфотерицина В (липосомальный амфотерицин В 3-4 мг/кг или липидный комплекс амфотерицина В 5 мг/кг) назначают при непереносимости или токсичности, возникшей при использовании обычного амфотерцина В. </w:t>
      </w:r>
      <w:r w:rsidRPr="00DA2BC8">
        <w:rPr>
          <w:bCs/>
        </w:rPr>
        <w:t>Этап консолидации</w:t>
      </w:r>
      <w:r w:rsidRPr="00DA2BC8">
        <w:t xml:space="preserve"> длится 8 недель</w:t>
      </w:r>
      <w:r>
        <w:t xml:space="preserve">, </w:t>
      </w:r>
      <w:r w:rsidRPr="00DA2BC8">
        <w:t xml:space="preserve">для лечнения используют флуконазол (400 мг 1 раз в сутки внутривенно или перорально), далее на </w:t>
      </w:r>
      <w:r w:rsidRPr="00DA2BC8">
        <w:rPr>
          <w:bCs/>
        </w:rPr>
        <w:t>этапе поддерживания доза флуконазола составляет</w:t>
      </w:r>
      <w:r w:rsidRPr="00DA2BC8">
        <w:t xml:space="preserve"> 200 мг 1 раз в сутки внутривенно или перорально. Альтернативный препарат для лечения криптококкоза – вориконазол (дозирование как при инвазивном аспергиллезе).</w:t>
      </w:r>
    </w:p>
    <w:p w14:paraId="5FDDA410" w14:textId="77777777" w:rsidR="0037636A" w:rsidRDefault="0037636A" w:rsidP="0037636A">
      <w:pPr>
        <w:pStyle w:val="afe"/>
        <w:widowControl w:val="0"/>
        <w:autoSpaceDE w:val="0"/>
        <w:autoSpaceDN w:val="0"/>
        <w:adjustRightInd w:val="0"/>
        <w:ind w:left="1069" w:right="50" w:firstLine="0"/>
        <w:rPr>
          <w:b/>
          <w:bCs/>
        </w:rPr>
      </w:pPr>
    </w:p>
    <w:p w14:paraId="54EBDCCB" w14:textId="1BC9E9E1" w:rsidR="0037636A" w:rsidRPr="00084B8B" w:rsidRDefault="0037636A" w:rsidP="0037636A">
      <w:pPr>
        <w:widowControl w:val="0"/>
        <w:autoSpaceDE w:val="0"/>
        <w:autoSpaceDN w:val="0"/>
        <w:adjustRightInd w:val="0"/>
        <w:ind w:right="49"/>
        <w:contextualSpacing/>
        <w:rPr>
          <w:bCs/>
          <w:u w:val="single"/>
        </w:rPr>
      </w:pPr>
      <w:r w:rsidRPr="00CB7689">
        <w:rPr>
          <w:bCs/>
          <w:u w:val="single"/>
        </w:rPr>
        <w:t>Микозы, вызванные редкими дрожжеподобными грибами</w:t>
      </w:r>
      <w:r w:rsidRPr="00084B8B">
        <w:rPr>
          <w:bCs/>
          <w:u w:val="single"/>
        </w:rPr>
        <w:t xml:space="preserve"> </w:t>
      </w:r>
      <w:r>
        <w:rPr>
          <w:b/>
        </w:rPr>
        <w:fldChar w:fldCharType="begin" w:fldLock="1"/>
      </w:r>
      <w:r w:rsidR="00987CCD">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mendeley":{"formattedCitation":"[100,101,107]","plainTextFormattedCitation":"[100,101,107]","previouslyFormattedCitation":"[100,101,107]"},"properties":{"noteIndex":0},"schema":"https://github.com/citation-style-language/schema/raw/master/csl-citation.json"}</w:instrText>
      </w:r>
      <w:r>
        <w:rPr>
          <w:b/>
        </w:rPr>
        <w:fldChar w:fldCharType="separate"/>
      </w:r>
      <w:r w:rsidR="00BA021B" w:rsidRPr="00BA021B">
        <w:rPr>
          <w:noProof/>
        </w:rPr>
        <w:t>[100,101,107]</w:t>
      </w:r>
      <w:r>
        <w:rPr>
          <w:b/>
        </w:rPr>
        <w:fldChar w:fldCharType="end"/>
      </w:r>
    </w:p>
    <w:p w14:paraId="77822F8F" w14:textId="77777777" w:rsidR="0037636A" w:rsidRPr="00DA2BC8" w:rsidRDefault="0037636A" w:rsidP="0037636A">
      <w:pPr>
        <w:widowControl w:val="0"/>
        <w:autoSpaceDE w:val="0"/>
        <w:autoSpaceDN w:val="0"/>
        <w:adjustRightInd w:val="0"/>
        <w:ind w:right="50"/>
        <w:contextualSpacing/>
      </w:pPr>
      <w:r w:rsidRPr="00DA2BC8">
        <w:t>Общая характеристика для грибов этой группы –</w:t>
      </w:r>
      <w:r>
        <w:t xml:space="preserve"> </w:t>
      </w:r>
      <w:r w:rsidRPr="00DA2BC8">
        <w:t xml:space="preserve">низкая вирулентность, широкое распространение в природе, частая колонизация кожи и слизистых оболочек человека, природная устойчивость к эхинокандинам, за исключением </w:t>
      </w:r>
      <w:r w:rsidRPr="00DA2BC8">
        <w:rPr>
          <w:i/>
          <w:iCs/>
        </w:rPr>
        <w:t>Saccharomyces</w:t>
      </w:r>
      <w:r w:rsidRPr="00DA2BC8">
        <w:t xml:space="preserve"> spp., вызывают поверхностные инфекции в общей популяции </w:t>
      </w:r>
      <w:r>
        <w:t>пациентов</w:t>
      </w:r>
      <w:r w:rsidRPr="00DA2BC8">
        <w:t xml:space="preserve">. Грибы этой категории редко вызывают инвазивные микозы у имммунокомпрометированных </w:t>
      </w:r>
      <w:r>
        <w:t>пациентов</w:t>
      </w:r>
      <w:r w:rsidRPr="00DA2BC8">
        <w:t xml:space="preserve">х. В общей структуре фунгемий редкие дрожжеподобные грибы занимают от 1% до 5%. Как правило, микробиологическим подтверждением является выделение грибов из гемокультуры. Заболевание возникает у тяжелой категории </w:t>
      </w:r>
      <w:r>
        <w:t>гематологических пациентов</w:t>
      </w:r>
      <w:r w:rsidRPr="00DA2BC8">
        <w:t xml:space="preserve">, включая </w:t>
      </w:r>
      <w:r>
        <w:t>пациентов с</w:t>
      </w:r>
      <w:r w:rsidRPr="00DA2BC8">
        <w:t xml:space="preserve"> острыми л</w:t>
      </w:r>
      <w:r>
        <w:t>ейкозами, реципиентов аллогенных</w:t>
      </w:r>
      <w:r w:rsidRPr="00DA2BC8">
        <w:t xml:space="preserve"> СГК</w:t>
      </w:r>
      <w:r>
        <w:t xml:space="preserve"> и др.</w:t>
      </w:r>
      <w:r w:rsidRPr="00DA2BC8">
        <w:t xml:space="preserve"> Крайне важно провести идентификацию до вида всех дрожжеподобных грибов, выделенных из стерильных локусов, с помощью современных тест-систем или масс-спектрометрии. К редким дрожжеподобным грибам относят </w:t>
      </w:r>
      <w:r w:rsidRPr="00DA2BC8">
        <w:rPr>
          <w:i/>
          <w:iCs/>
        </w:rPr>
        <w:t xml:space="preserve">Geotrichum </w:t>
      </w:r>
      <w:r w:rsidRPr="00DA2BC8">
        <w:t xml:space="preserve">spp., </w:t>
      </w:r>
      <w:r w:rsidRPr="00DA2BC8">
        <w:rPr>
          <w:i/>
          <w:iCs/>
        </w:rPr>
        <w:t>Rhodotorula</w:t>
      </w:r>
      <w:r w:rsidRPr="00DA2BC8">
        <w:t xml:space="preserve"> spp., </w:t>
      </w:r>
      <w:r w:rsidRPr="00DA2BC8">
        <w:rPr>
          <w:i/>
          <w:iCs/>
        </w:rPr>
        <w:t>Saccharomyces</w:t>
      </w:r>
      <w:r w:rsidRPr="00DA2BC8">
        <w:t xml:space="preserve"> spp., </w:t>
      </w:r>
      <w:r w:rsidRPr="00DA2BC8">
        <w:rPr>
          <w:i/>
          <w:iCs/>
        </w:rPr>
        <w:t>Trichosporon</w:t>
      </w:r>
      <w:r w:rsidRPr="00DA2BC8">
        <w:t xml:space="preserve"> spp., </w:t>
      </w:r>
      <w:r w:rsidRPr="00DA2BC8">
        <w:rPr>
          <w:i/>
          <w:iCs/>
        </w:rPr>
        <w:t>Malassezia</w:t>
      </w:r>
      <w:r w:rsidRPr="00DA2BC8">
        <w:t xml:space="preserve"> spp., </w:t>
      </w:r>
      <w:r w:rsidRPr="00DA2BC8">
        <w:rPr>
          <w:i/>
          <w:iCs/>
        </w:rPr>
        <w:t>Pichia anomala, Saprochaete capitata</w:t>
      </w:r>
    </w:p>
    <w:p w14:paraId="58677CA8" w14:textId="77777777" w:rsidR="0037636A" w:rsidRPr="00E93A18" w:rsidRDefault="0037636A" w:rsidP="0037636A">
      <w:pPr>
        <w:widowControl w:val="0"/>
        <w:autoSpaceDE w:val="0"/>
        <w:autoSpaceDN w:val="0"/>
        <w:adjustRightInd w:val="0"/>
        <w:ind w:right="50"/>
        <w:contextualSpacing/>
        <w:rPr>
          <w:i/>
          <w:iCs/>
          <w:lang w:val="en-US"/>
        </w:rPr>
      </w:pPr>
      <w:r w:rsidRPr="00C553B6">
        <w:rPr>
          <w:i/>
          <w:iCs/>
          <w:u w:val="single"/>
        </w:rPr>
        <w:t>Микозы</w:t>
      </w:r>
      <w:r w:rsidRPr="00E93A18">
        <w:rPr>
          <w:i/>
          <w:iCs/>
          <w:u w:val="single"/>
          <w:lang w:val="en-US"/>
        </w:rPr>
        <w:t xml:space="preserve">, </w:t>
      </w:r>
      <w:r w:rsidRPr="00C553B6">
        <w:rPr>
          <w:i/>
          <w:iCs/>
          <w:u w:val="single"/>
        </w:rPr>
        <w:t>вызванные</w:t>
      </w:r>
      <w:r w:rsidRPr="00E93A18">
        <w:rPr>
          <w:i/>
          <w:iCs/>
          <w:u w:val="single"/>
          <w:lang w:val="en-US"/>
        </w:rPr>
        <w:t xml:space="preserve"> </w:t>
      </w:r>
      <w:r w:rsidRPr="00C553B6">
        <w:rPr>
          <w:i/>
          <w:iCs/>
          <w:u w:val="single"/>
          <w:lang w:val="en-US"/>
        </w:rPr>
        <w:t>Saprochaete</w:t>
      </w:r>
      <w:r w:rsidRPr="00E93A18">
        <w:rPr>
          <w:i/>
          <w:iCs/>
          <w:u w:val="single"/>
          <w:lang w:val="en-US"/>
        </w:rPr>
        <w:t xml:space="preserve"> </w:t>
      </w:r>
      <w:r w:rsidRPr="00C553B6">
        <w:rPr>
          <w:i/>
          <w:iCs/>
          <w:u w:val="single"/>
          <w:lang w:val="en-US"/>
        </w:rPr>
        <w:t>capitat</w:t>
      </w:r>
      <w:r w:rsidRPr="00C553B6">
        <w:rPr>
          <w:i/>
          <w:iCs/>
          <w:lang w:val="en-US"/>
        </w:rPr>
        <w:t>a</w:t>
      </w:r>
      <w:r w:rsidRPr="00E93A18">
        <w:rPr>
          <w:i/>
          <w:iCs/>
          <w:u w:val="single"/>
          <w:lang w:val="en-US"/>
        </w:rPr>
        <w:t xml:space="preserve"> (</w:t>
      </w:r>
      <w:r w:rsidRPr="00C553B6">
        <w:rPr>
          <w:i/>
          <w:iCs/>
          <w:u w:val="single"/>
        </w:rPr>
        <w:t>синонимы</w:t>
      </w:r>
      <w:r w:rsidRPr="00E93A18">
        <w:rPr>
          <w:i/>
          <w:iCs/>
          <w:u w:val="single"/>
          <w:lang w:val="en-US"/>
        </w:rPr>
        <w:t xml:space="preserve"> </w:t>
      </w:r>
      <w:r w:rsidRPr="00C553B6">
        <w:rPr>
          <w:i/>
          <w:iCs/>
          <w:u w:val="single"/>
          <w:lang w:val="en-US"/>
        </w:rPr>
        <w:t>Trichosporon</w:t>
      </w:r>
      <w:r w:rsidRPr="00E93A18">
        <w:rPr>
          <w:i/>
          <w:iCs/>
          <w:u w:val="single"/>
          <w:lang w:val="en-US"/>
        </w:rPr>
        <w:t xml:space="preserve"> </w:t>
      </w:r>
      <w:r w:rsidRPr="00C553B6">
        <w:rPr>
          <w:i/>
          <w:iCs/>
          <w:u w:val="single"/>
          <w:lang w:val="en-US"/>
        </w:rPr>
        <w:t>capitatum</w:t>
      </w:r>
      <w:r w:rsidRPr="00E93A18">
        <w:rPr>
          <w:i/>
          <w:iCs/>
          <w:u w:val="single"/>
          <w:lang w:val="en-US"/>
        </w:rPr>
        <w:t xml:space="preserve">, </w:t>
      </w:r>
      <w:r w:rsidRPr="00C553B6">
        <w:rPr>
          <w:i/>
          <w:iCs/>
          <w:u w:val="single"/>
          <w:lang w:val="en-US"/>
        </w:rPr>
        <w:t>Geotrichum</w:t>
      </w:r>
      <w:r w:rsidRPr="00E93A18">
        <w:rPr>
          <w:i/>
          <w:iCs/>
          <w:u w:val="single"/>
          <w:lang w:val="en-US"/>
        </w:rPr>
        <w:t xml:space="preserve"> </w:t>
      </w:r>
      <w:r w:rsidRPr="00C553B6">
        <w:rPr>
          <w:i/>
          <w:iCs/>
          <w:u w:val="single"/>
          <w:lang w:val="en-US"/>
        </w:rPr>
        <w:t>capitatum</w:t>
      </w:r>
      <w:r w:rsidRPr="00E93A18">
        <w:rPr>
          <w:i/>
          <w:iCs/>
          <w:u w:val="single"/>
          <w:lang w:val="en-US"/>
        </w:rPr>
        <w:t xml:space="preserve">, </w:t>
      </w:r>
      <w:r w:rsidRPr="00C553B6">
        <w:rPr>
          <w:i/>
          <w:iCs/>
          <w:u w:val="single"/>
          <w:lang w:val="en-US"/>
        </w:rPr>
        <w:t>Ascotrichosporon</w:t>
      </w:r>
      <w:r w:rsidRPr="00E93A18">
        <w:rPr>
          <w:i/>
          <w:iCs/>
          <w:u w:val="single"/>
          <w:lang w:val="en-US"/>
        </w:rPr>
        <w:t xml:space="preserve"> </w:t>
      </w:r>
      <w:r w:rsidRPr="00C553B6">
        <w:rPr>
          <w:i/>
          <w:iCs/>
          <w:u w:val="single"/>
          <w:lang w:val="en-US"/>
        </w:rPr>
        <w:t>capitatum</w:t>
      </w:r>
      <w:r w:rsidRPr="00E93A18">
        <w:rPr>
          <w:i/>
          <w:iCs/>
          <w:u w:val="single"/>
          <w:lang w:val="en-US"/>
        </w:rPr>
        <w:t xml:space="preserve">, </w:t>
      </w:r>
      <w:r w:rsidRPr="00C553B6">
        <w:rPr>
          <w:i/>
          <w:iCs/>
          <w:u w:val="single"/>
          <w:lang w:val="en-US"/>
        </w:rPr>
        <w:t>Blastoschizomyces</w:t>
      </w:r>
      <w:r w:rsidRPr="00E93A18">
        <w:rPr>
          <w:i/>
          <w:iCs/>
          <w:u w:val="single"/>
          <w:lang w:val="en-US"/>
        </w:rPr>
        <w:t xml:space="preserve"> </w:t>
      </w:r>
      <w:r w:rsidRPr="00C553B6">
        <w:rPr>
          <w:i/>
          <w:iCs/>
          <w:u w:val="single"/>
          <w:lang w:val="en-US"/>
        </w:rPr>
        <w:t>capitatus</w:t>
      </w:r>
      <w:r w:rsidRPr="00E93A18">
        <w:rPr>
          <w:i/>
          <w:iCs/>
          <w:u w:val="single"/>
          <w:lang w:val="en-US"/>
        </w:rPr>
        <w:t>)</w:t>
      </w:r>
    </w:p>
    <w:p w14:paraId="15260EAD" w14:textId="77777777" w:rsidR="0037636A" w:rsidRPr="00DA2BC8" w:rsidRDefault="0037636A" w:rsidP="0037636A">
      <w:pPr>
        <w:widowControl w:val="0"/>
        <w:autoSpaceDE w:val="0"/>
        <w:autoSpaceDN w:val="0"/>
        <w:adjustRightInd w:val="0"/>
        <w:ind w:right="50"/>
        <w:contextualSpacing/>
        <w:rPr>
          <w:b/>
          <w:bCs/>
          <w:i/>
          <w:iCs/>
        </w:rPr>
      </w:pPr>
      <w:r w:rsidRPr="00DA2BC8">
        <w:t xml:space="preserve">В структуре фунгемий не превышают 0,5%. Фунгемии, вызванные </w:t>
      </w:r>
      <w:r w:rsidRPr="00DA2BC8">
        <w:rPr>
          <w:i/>
          <w:iCs/>
        </w:rPr>
        <w:t>S. capitat</w:t>
      </w:r>
      <w:r w:rsidRPr="00DA2BC8">
        <w:rPr>
          <w:i/>
        </w:rPr>
        <w:t>a</w:t>
      </w:r>
      <w:r w:rsidRPr="00DA2BC8">
        <w:t xml:space="preserve"> в сравнении с </w:t>
      </w:r>
      <w:r w:rsidRPr="00DA2BC8">
        <w:rPr>
          <w:i/>
          <w:iCs/>
        </w:rPr>
        <w:t>Candida</w:t>
      </w:r>
      <w:r w:rsidRPr="00DA2BC8">
        <w:t xml:space="preserve"> spp, характеризуются высокой частотой диссеминации в паренхиматозные органы (60-80%) и высокой летальностью (50-60%). К факторам риска относят нейтропению, наличие ЦВК.</w:t>
      </w:r>
      <w:r w:rsidRPr="00DA2BC8">
        <w:rPr>
          <w:b/>
          <w:bCs/>
          <w:i/>
          <w:iCs/>
        </w:rPr>
        <w:t xml:space="preserve"> </w:t>
      </w:r>
      <w:r w:rsidRPr="00DA2BC8">
        <w:rPr>
          <w:bCs/>
        </w:rPr>
        <w:t>Диагноз ставят на основании выделения</w:t>
      </w:r>
      <w:r w:rsidRPr="00DA2BC8">
        <w:rPr>
          <w:b/>
          <w:bCs/>
        </w:rPr>
        <w:t xml:space="preserve"> </w:t>
      </w:r>
      <w:r w:rsidRPr="00DA2BC8">
        <w:rPr>
          <w:i/>
          <w:iCs/>
        </w:rPr>
        <w:t>S. capitat</w:t>
      </w:r>
      <w:r w:rsidRPr="00DA2BC8">
        <w:rPr>
          <w:i/>
        </w:rPr>
        <w:t>a</w:t>
      </w:r>
      <w:r w:rsidRPr="00DA2BC8">
        <w:t xml:space="preserve"> из гемокультуры, хотя бы однократном, или из биоптатов органов и тканей. Идентификацию до вида проводят с помощью современных тест-систем или масс-спектрометрии, а не на основании микроскопии или культуральных свойств. </w:t>
      </w:r>
      <w:r w:rsidRPr="00DA2BC8">
        <w:rPr>
          <w:bCs/>
          <w:iCs/>
        </w:rPr>
        <w:t xml:space="preserve">Во всех случаях </w:t>
      </w:r>
      <w:r w:rsidRPr="00DA2BC8">
        <w:t xml:space="preserve">выделении </w:t>
      </w:r>
      <w:r w:rsidRPr="00DA2BC8">
        <w:rPr>
          <w:i/>
          <w:iCs/>
        </w:rPr>
        <w:t>S. capitat</w:t>
      </w:r>
      <w:r w:rsidRPr="00DA2BC8">
        <w:rPr>
          <w:i/>
        </w:rPr>
        <w:t>a</w:t>
      </w:r>
      <w:r w:rsidRPr="00DA2BC8">
        <w:t xml:space="preserve"> из гемокультуры выполняют КТ (с контрастированием) или МРТ органов брюшной полости ввиду высокой вероятности диссеминации. Симптомы инфекции, вызванной </w:t>
      </w:r>
      <w:r w:rsidRPr="00DA2BC8">
        <w:rPr>
          <w:i/>
          <w:iCs/>
        </w:rPr>
        <w:t>S. capitat</w:t>
      </w:r>
      <w:r w:rsidRPr="00DA2BC8">
        <w:rPr>
          <w:i/>
        </w:rPr>
        <w:t>a</w:t>
      </w:r>
      <w:r w:rsidRPr="00DA2BC8">
        <w:t xml:space="preserve">, аналогичны симптомам при кандидемии – высокая температура, озноб, гипотензия. </w:t>
      </w:r>
      <w:r w:rsidRPr="00DA2BC8">
        <w:rPr>
          <w:bCs/>
        </w:rPr>
        <w:t>Лечение включает</w:t>
      </w:r>
      <w:r w:rsidRPr="00DA2BC8">
        <w:rPr>
          <w:b/>
          <w:bCs/>
        </w:rPr>
        <w:t xml:space="preserve"> </w:t>
      </w:r>
      <w:r w:rsidRPr="00DA2BC8">
        <w:t>удаление ЦВК во всех случаях, назначение вориконазола (1-й день 12 мг/кг/сутки, внутривенно, доза разделяется на два приема, далее – 8 мг/кг/сутки, при стабилизации состояния – перевод на пероральную форму вориконазола по 200 мг х 2 раза в сутки) или амфотерицина В (1 мг/кг/сутки (+/- флуцитозин)). При отсутствиии эффекта от монотерапии можно использовать сочетание вориконазола с амфотерицином В. Амфотерицина В заменяют на липидные формы амфотерицина В (доза 3-5 мг/кг/сутки) в случаях повышения креатинина, непереносимости амофотерицина В, неэффективности.</w:t>
      </w:r>
      <w:r w:rsidRPr="00DA2BC8">
        <w:rPr>
          <w:b/>
          <w:bCs/>
          <w:i/>
          <w:iCs/>
        </w:rPr>
        <w:t xml:space="preserve"> </w:t>
      </w:r>
      <w:r w:rsidRPr="00DA2BC8">
        <w:t xml:space="preserve">Против </w:t>
      </w:r>
      <w:r w:rsidRPr="00DA2BC8">
        <w:rPr>
          <w:i/>
          <w:iCs/>
        </w:rPr>
        <w:t>S. capitata</w:t>
      </w:r>
      <w:r w:rsidRPr="00DA2BC8">
        <w:t xml:space="preserve"> проявляют активность </w:t>
      </w:r>
      <w:r w:rsidRPr="00DA2BC8">
        <w:rPr>
          <w:i/>
          <w:iCs/>
        </w:rPr>
        <w:t>in vitro</w:t>
      </w:r>
      <w:r w:rsidRPr="00DA2BC8">
        <w:t xml:space="preserve"> также итраконазол и позаконазол, не активен -- флуконазол.</w:t>
      </w:r>
      <w:r w:rsidRPr="00DA2BC8">
        <w:rPr>
          <w:b/>
          <w:bCs/>
          <w:i/>
          <w:iCs/>
        </w:rPr>
        <w:t xml:space="preserve"> </w:t>
      </w:r>
      <w:r w:rsidRPr="00DA2BC8">
        <w:t xml:space="preserve">Не рекомендовано применение эхинокандины по причине природной резистентности </w:t>
      </w:r>
      <w:r w:rsidRPr="00DA2BC8">
        <w:rPr>
          <w:i/>
          <w:iCs/>
        </w:rPr>
        <w:t>S. capitata.</w:t>
      </w:r>
    </w:p>
    <w:p w14:paraId="700DCDEC" w14:textId="77777777" w:rsidR="0037636A" w:rsidRPr="00C553B6" w:rsidRDefault="0037636A" w:rsidP="0037636A">
      <w:pPr>
        <w:widowControl w:val="0"/>
        <w:autoSpaceDE w:val="0"/>
        <w:autoSpaceDN w:val="0"/>
        <w:adjustRightInd w:val="0"/>
        <w:ind w:right="50"/>
        <w:contextualSpacing/>
        <w:rPr>
          <w:i/>
          <w:iCs/>
          <w:u w:val="single"/>
        </w:rPr>
      </w:pPr>
      <w:r w:rsidRPr="00C553B6">
        <w:rPr>
          <w:i/>
          <w:iCs/>
          <w:u w:val="single"/>
        </w:rPr>
        <w:t>Микозы, вызванные Malassezia spp.</w:t>
      </w:r>
    </w:p>
    <w:p w14:paraId="5CA1D716" w14:textId="77777777" w:rsidR="0037636A" w:rsidRPr="00DA2BC8" w:rsidRDefault="0037636A" w:rsidP="0037636A">
      <w:pPr>
        <w:widowControl w:val="0"/>
        <w:autoSpaceDE w:val="0"/>
        <w:autoSpaceDN w:val="0"/>
        <w:adjustRightInd w:val="0"/>
        <w:ind w:right="50"/>
        <w:contextualSpacing/>
      </w:pPr>
      <w:r w:rsidRPr="00DA2BC8">
        <w:t xml:space="preserve">Ведущие возбудителями инвазивных микозов у человека - </w:t>
      </w:r>
      <w:r w:rsidRPr="00DA2BC8">
        <w:rPr>
          <w:i/>
          <w:iCs/>
        </w:rPr>
        <w:t xml:space="preserve">M. furfur </w:t>
      </w:r>
      <w:r w:rsidRPr="00DA2BC8">
        <w:t xml:space="preserve">и </w:t>
      </w:r>
      <w:r w:rsidRPr="00DA2BC8">
        <w:rPr>
          <w:i/>
          <w:iCs/>
        </w:rPr>
        <w:t>M.</w:t>
      </w:r>
      <w:r w:rsidRPr="00DA2BC8">
        <w:t xml:space="preserve"> </w:t>
      </w:r>
      <w:r w:rsidRPr="00DA2BC8">
        <w:rPr>
          <w:i/>
          <w:iCs/>
        </w:rPr>
        <w:t>pachydermatis</w:t>
      </w:r>
      <w:r w:rsidRPr="00DA2BC8">
        <w:t xml:space="preserve">, являются липофильными грибами. Основным проявлением инфекции служит фунгемия, также могут возникать перитонит, эндокардит, пневмония, остеомиелит, менингит. Инфекции, вызванные </w:t>
      </w:r>
      <w:r w:rsidRPr="00DA2BC8">
        <w:rPr>
          <w:i/>
          <w:iCs/>
        </w:rPr>
        <w:t>Malassezia</w:t>
      </w:r>
      <w:r w:rsidRPr="00DA2BC8">
        <w:t xml:space="preserve"> spp. характеризуются нетяжелым течением и низкой летальностью. Ввиду липофильной природы большинства </w:t>
      </w:r>
      <w:r w:rsidRPr="00DA2BC8">
        <w:rPr>
          <w:i/>
          <w:iCs/>
        </w:rPr>
        <w:t xml:space="preserve">Malassezia </w:t>
      </w:r>
      <w:r w:rsidRPr="00DA2BC8">
        <w:t xml:space="preserve">spp., инфекция развивается у больных, получающих парентеральное питание, содержащее жирные кислоты. К другим факторам риска относят наличие ЦВК, перитонеального диализа, иммуносупрессии, тяжелой сопутствующей патологии. Возможны эпидемические вспышки в стационаре. </w:t>
      </w:r>
      <w:r w:rsidRPr="00DA2BC8">
        <w:rPr>
          <w:bCs/>
        </w:rPr>
        <w:t>Диагностика включает</w:t>
      </w:r>
      <w:r w:rsidRPr="00DA2BC8">
        <w:t xml:space="preserve"> выделение </w:t>
      </w:r>
      <w:r w:rsidRPr="00DA2BC8">
        <w:rPr>
          <w:i/>
          <w:iCs/>
        </w:rPr>
        <w:t>Malassezia</w:t>
      </w:r>
      <w:r w:rsidRPr="00DA2BC8">
        <w:t xml:space="preserve"> spp. из гемокультуры или других стерильных образцов (асцитическая жидкость, ликвор, биоптаты органов). Для детекции </w:t>
      </w:r>
      <w:r w:rsidRPr="00DA2BC8">
        <w:rPr>
          <w:i/>
          <w:iCs/>
        </w:rPr>
        <w:t>Malassezia</w:t>
      </w:r>
      <w:r w:rsidRPr="00DA2BC8">
        <w:t xml:space="preserve"> spp. необходимо в питательную среду добавлять жиры (например, стерильное оливковое масло) ввиду их липофильной природы. </w:t>
      </w:r>
      <w:r w:rsidRPr="00DA2BC8">
        <w:rPr>
          <w:bCs/>
        </w:rPr>
        <w:t>Лечение</w:t>
      </w:r>
      <w:r w:rsidRPr="00DA2BC8">
        <w:rPr>
          <w:b/>
          <w:bCs/>
        </w:rPr>
        <w:t xml:space="preserve"> </w:t>
      </w:r>
      <w:r w:rsidRPr="00DA2BC8">
        <w:rPr>
          <w:bCs/>
        </w:rPr>
        <w:t>включает у</w:t>
      </w:r>
      <w:r w:rsidRPr="00DA2BC8">
        <w:t xml:space="preserve">даление ЦВК, прекращение парентерального питания, </w:t>
      </w:r>
      <w:r w:rsidRPr="00DA2BC8">
        <w:rPr>
          <w:bCs/>
        </w:rPr>
        <w:t xml:space="preserve">назначение </w:t>
      </w:r>
      <w:r w:rsidRPr="00DA2BC8">
        <w:t xml:space="preserve">флуконазола  (400 мг), или амфотерицин В (1 мг/кг), или вориконазола (1-й день 12 мг/кг, далее 8 мг/кг). Не рекомендовано назначать эхинокандины ввиду природной резистентности </w:t>
      </w:r>
      <w:r w:rsidRPr="00DA2BC8">
        <w:rPr>
          <w:i/>
          <w:iCs/>
        </w:rPr>
        <w:t>Malassezia</w:t>
      </w:r>
      <w:r w:rsidRPr="00DA2BC8">
        <w:t xml:space="preserve"> spp.</w:t>
      </w:r>
    </w:p>
    <w:p w14:paraId="47C546AD" w14:textId="77777777" w:rsidR="0037636A" w:rsidRPr="00C553B6" w:rsidRDefault="0037636A" w:rsidP="0037636A">
      <w:pPr>
        <w:widowControl w:val="0"/>
        <w:autoSpaceDE w:val="0"/>
        <w:autoSpaceDN w:val="0"/>
        <w:adjustRightInd w:val="0"/>
        <w:ind w:right="50"/>
        <w:contextualSpacing/>
        <w:rPr>
          <w:i/>
          <w:iCs/>
          <w:u w:val="single"/>
        </w:rPr>
      </w:pPr>
      <w:r w:rsidRPr="00C553B6">
        <w:rPr>
          <w:i/>
          <w:iCs/>
          <w:u w:val="single"/>
        </w:rPr>
        <w:t>Микозы, вызванные Trichosporon spp.</w:t>
      </w:r>
    </w:p>
    <w:p w14:paraId="763532F6" w14:textId="77777777" w:rsidR="0037636A" w:rsidRPr="00DA2BC8" w:rsidRDefault="0037636A" w:rsidP="0037636A">
      <w:pPr>
        <w:widowControl w:val="0"/>
        <w:autoSpaceDE w:val="0"/>
        <w:autoSpaceDN w:val="0"/>
        <w:adjustRightInd w:val="0"/>
        <w:ind w:right="50"/>
        <w:contextualSpacing/>
      </w:pPr>
      <w:r w:rsidRPr="00DA2BC8">
        <w:t xml:space="preserve">Эти грибы очень широко распространены в окружающей среде, часто колонизируют кожу, особенно перианальную область, иногда слизистые оболочки верхних дыхательных путей и желудочно-кишечного тракта. Основным проявлением инвазивных микозов, вызванных </w:t>
      </w:r>
      <w:r w:rsidRPr="00DA2BC8">
        <w:rPr>
          <w:i/>
          <w:iCs/>
        </w:rPr>
        <w:t>Trichosporon</w:t>
      </w:r>
      <w:r w:rsidRPr="00DA2BC8">
        <w:t xml:space="preserve"> spp. у </w:t>
      </w:r>
      <w:r>
        <w:t>гематологических пациентов</w:t>
      </w:r>
      <w:r w:rsidRPr="00DA2BC8">
        <w:t xml:space="preserve"> является фунгемия (75%) с последующей диссеминацией в различные органы и ткани организма. Наиболее часто инфекция сопровождается появлением септико-пиемических очагов на коже (50%). Возможны и другие проявления, такие как эндокардит, перитонит, менингит, пиелонефрит и т.д. Для инвазивных микозов, вызванных </w:t>
      </w:r>
      <w:r w:rsidRPr="00DA2BC8">
        <w:rPr>
          <w:i/>
          <w:iCs/>
        </w:rPr>
        <w:t>Trichosporon</w:t>
      </w:r>
      <w:r w:rsidRPr="00DA2BC8">
        <w:t xml:space="preserve"> spp. у больных гемобластозами, характерна высокая летальность (55-80%). Основные возбудители - </w:t>
      </w:r>
      <w:r w:rsidRPr="00DA2BC8">
        <w:rPr>
          <w:i/>
          <w:iCs/>
        </w:rPr>
        <w:t>Trichosporon asahii</w:t>
      </w:r>
      <w:r w:rsidRPr="00DA2BC8">
        <w:t xml:space="preserve"> и </w:t>
      </w:r>
      <w:r w:rsidRPr="00DA2BC8">
        <w:rPr>
          <w:i/>
          <w:iCs/>
        </w:rPr>
        <w:t>Trichosporon dermatis</w:t>
      </w:r>
      <w:r w:rsidRPr="00DA2BC8">
        <w:t xml:space="preserve">. Основными факторами риска развития инфекции являются наличие ЦВК, пребывание в ОРИТ, перитонеальный диализ, лечение глюкокортикостероидами, химиотерапия, внутривенные инъекции наркотических веществ. </w:t>
      </w:r>
      <w:r w:rsidRPr="00DA2BC8">
        <w:rPr>
          <w:bCs/>
        </w:rPr>
        <w:t>Диагностика включает</w:t>
      </w:r>
      <w:r w:rsidRPr="00DA2BC8">
        <w:rPr>
          <w:b/>
          <w:bCs/>
        </w:rPr>
        <w:t xml:space="preserve"> </w:t>
      </w:r>
      <w:r w:rsidRPr="00DA2BC8">
        <w:t xml:space="preserve">выделение </w:t>
      </w:r>
      <w:r w:rsidRPr="00DA2BC8">
        <w:rPr>
          <w:i/>
          <w:iCs/>
        </w:rPr>
        <w:t>Trichosporon</w:t>
      </w:r>
      <w:r w:rsidRPr="00DA2BC8">
        <w:t xml:space="preserve"> spp. из гемокультуры </w:t>
      </w:r>
      <w:r>
        <w:t xml:space="preserve">(кровь) </w:t>
      </w:r>
      <w:r w:rsidRPr="00DA2BC8">
        <w:t>или других стерильных образцов (асцитическая жидкость, ликвор, биоптаты органов</w:t>
      </w:r>
      <w:r>
        <w:t>, и др.</w:t>
      </w:r>
      <w:r w:rsidRPr="00DA2BC8">
        <w:t xml:space="preserve">). Выделение </w:t>
      </w:r>
      <w:r w:rsidRPr="00DA2BC8">
        <w:rPr>
          <w:i/>
          <w:iCs/>
        </w:rPr>
        <w:t>Trichosporon</w:t>
      </w:r>
      <w:r w:rsidRPr="00DA2BC8">
        <w:t xml:space="preserve"> spp. из мочи при наличии гематурии может свидетельствовать о наличии пиелонефрита. Дрожжеподобные грибы </w:t>
      </w:r>
      <w:r w:rsidRPr="00DA2BC8">
        <w:rPr>
          <w:i/>
          <w:iCs/>
        </w:rPr>
        <w:t>Trichosporon</w:t>
      </w:r>
      <w:r w:rsidRPr="00DA2BC8">
        <w:t xml:space="preserve"> spp. продуцируют антигены </w:t>
      </w:r>
      <w:r w:rsidRPr="00DA2BC8">
        <w:rPr>
          <w:i/>
          <w:iCs/>
        </w:rPr>
        <w:t>Cryptococcus</w:t>
      </w:r>
      <w:r w:rsidRPr="00DA2BC8">
        <w:t xml:space="preserve"> spp. (глюкуроноксоломаннан) и </w:t>
      </w:r>
      <w:r w:rsidRPr="00DA2BC8">
        <w:rPr>
          <w:i/>
          <w:iCs/>
        </w:rPr>
        <w:t xml:space="preserve">Aspergillus </w:t>
      </w:r>
      <w:r w:rsidRPr="00DA2BC8">
        <w:t xml:space="preserve">(галактоманнан), поэтому может быть перекрестная реакция для этих антигенов при инфекции, вызванной </w:t>
      </w:r>
      <w:r w:rsidRPr="00DA2BC8">
        <w:rPr>
          <w:i/>
          <w:iCs/>
        </w:rPr>
        <w:t xml:space="preserve">Trichosporon </w:t>
      </w:r>
      <w:r w:rsidRPr="00DA2BC8">
        <w:t xml:space="preserve">spp. На основании обнаружения одновременно положительных антигенов глюкуроноксоломаннана и галактоманнана можно заподозрить инфекцию, вызванную </w:t>
      </w:r>
      <w:r w:rsidRPr="00DA2BC8">
        <w:rPr>
          <w:i/>
          <w:iCs/>
        </w:rPr>
        <w:t>Trichosporon</w:t>
      </w:r>
      <w:r w:rsidRPr="00DA2BC8">
        <w:t xml:space="preserve"> spp., и провести дополнительные исследования гемокультуры. </w:t>
      </w:r>
    </w:p>
    <w:p w14:paraId="71F0F895" w14:textId="77777777" w:rsidR="0037636A" w:rsidRPr="00DA2BC8" w:rsidRDefault="0037636A" w:rsidP="0037636A">
      <w:pPr>
        <w:widowControl w:val="0"/>
        <w:autoSpaceDE w:val="0"/>
        <w:autoSpaceDN w:val="0"/>
        <w:adjustRightInd w:val="0"/>
        <w:ind w:right="50"/>
        <w:contextualSpacing/>
        <w:rPr>
          <w:b/>
          <w:bCs/>
        </w:rPr>
      </w:pPr>
      <w:r w:rsidRPr="00DA2BC8">
        <w:rPr>
          <w:bCs/>
        </w:rPr>
        <w:t xml:space="preserve">Лечение включает </w:t>
      </w:r>
      <w:r w:rsidRPr="00DA2BC8">
        <w:t xml:space="preserve">удаление ЦВК, </w:t>
      </w:r>
      <w:r w:rsidRPr="00DA2BC8">
        <w:rPr>
          <w:bCs/>
        </w:rPr>
        <w:t xml:space="preserve">назначение </w:t>
      </w:r>
      <w:r w:rsidRPr="00DA2BC8">
        <w:t xml:space="preserve">вориконазола в стандартных дозах, альтернативный препарат – флуконазол. Активность флуконазола в отношении </w:t>
      </w:r>
      <w:r w:rsidRPr="00DA2BC8">
        <w:rPr>
          <w:i/>
          <w:iCs/>
        </w:rPr>
        <w:t>Trichosporon</w:t>
      </w:r>
      <w:r w:rsidRPr="00DA2BC8">
        <w:t xml:space="preserve"> spp. вариабельная. Назначение амфотерицина В не рекомендовано ввиду низкой активности в лечении этих инфекций (16-24%).</w:t>
      </w:r>
      <w:r w:rsidRPr="00DA2BC8">
        <w:rPr>
          <w:b/>
          <w:bCs/>
        </w:rPr>
        <w:t xml:space="preserve"> </w:t>
      </w:r>
      <w:r w:rsidRPr="00DA2BC8">
        <w:t xml:space="preserve">Изоляты </w:t>
      </w:r>
      <w:r w:rsidRPr="00DA2BC8">
        <w:rPr>
          <w:i/>
          <w:iCs/>
        </w:rPr>
        <w:t xml:space="preserve">Trichosporon </w:t>
      </w:r>
      <w:r w:rsidRPr="00DA2BC8">
        <w:t>spp. проявляют природную устойчивость к эхинокандинам.</w:t>
      </w:r>
    </w:p>
    <w:p w14:paraId="447D57A7" w14:textId="77777777" w:rsidR="0037636A" w:rsidRPr="00C553B6" w:rsidRDefault="0037636A" w:rsidP="0037636A">
      <w:pPr>
        <w:widowControl w:val="0"/>
        <w:autoSpaceDE w:val="0"/>
        <w:autoSpaceDN w:val="0"/>
        <w:adjustRightInd w:val="0"/>
        <w:ind w:right="50"/>
        <w:contextualSpacing/>
        <w:rPr>
          <w:i/>
          <w:iCs/>
          <w:u w:val="single"/>
        </w:rPr>
      </w:pPr>
      <w:r w:rsidRPr="00C553B6">
        <w:rPr>
          <w:i/>
          <w:iCs/>
          <w:u w:val="single"/>
        </w:rPr>
        <w:t>Микозы, вызванные Rhodotorula spp.</w:t>
      </w:r>
    </w:p>
    <w:p w14:paraId="17986E53" w14:textId="77777777" w:rsidR="0037636A" w:rsidRPr="00DA2BC8" w:rsidRDefault="0037636A" w:rsidP="0037636A">
      <w:pPr>
        <w:widowControl w:val="0"/>
        <w:autoSpaceDE w:val="0"/>
        <w:autoSpaceDN w:val="0"/>
        <w:adjustRightInd w:val="0"/>
        <w:ind w:right="50"/>
        <w:contextualSpacing/>
      </w:pPr>
      <w:r>
        <w:t>Эта разновидность грибов ч</w:t>
      </w:r>
      <w:r w:rsidRPr="00DA2BC8">
        <w:t>асто образу</w:t>
      </w:r>
      <w:r>
        <w:t>е</w:t>
      </w:r>
      <w:r w:rsidRPr="00DA2BC8">
        <w:t>т биопленки и способн</w:t>
      </w:r>
      <w:r>
        <w:t>а</w:t>
      </w:r>
      <w:r w:rsidRPr="00DA2BC8">
        <w:t xml:space="preserve"> колонизировать продукты питания, предметы личной гигиены (зубные щетки, душевые принадлежности), различное медицинское оборудование. Основным проявлением инфекции является инфекция кровотока (79%) и в большинстве случаев она ассоциирована с инфицированием ЦВК. Также описаны случаи перитонита, эндокардита, менингита и др. Летальность при инвазивных микозах, вызванных </w:t>
      </w:r>
      <w:r w:rsidRPr="00DA2BC8">
        <w:rPr>
          <w:i/>
          <w:iCs/>
        </w:rPr>
        <w:t>Rhodotorula</w:t>
      </w:r>
      <w:r w:rsidRPr="00DA2BC8">
        <w:t xml:space="preserve"> spp., составляет 12%-14%. Основной возбудитель – </w:t>
      </w:r>
      <w:r w:rsidRPr="00DA2BC8">
        <w:rPr>
          <w:i/>
          <w:iCs/>
        </w:rPr>
        <w:t>R. mucilaginosa (R. rubra)</w:t>
      </w:r>
      <w:r w:rsidRPr="00DA2BC8">
        <w:t xml:space="preserve">, реже </w:t>
      </w:r>
      <w:r w:rsidRPr="00DA2BC8">
        <w:rPr>
          <w:i/>
          <w:iCs/>
        </w:rPr>
        <w:t>R. glutinis</w:t>
      </w:r>
      <w:r w:rsidRPr="00DA2BC8">
        <w:t xml:space="preserve"> и </w:t>
      </w:r>
      <w:r w:rsidRPr="00DA2BC8">
        <w:rPr>
          <w:i/>
          <w:iCs/>
        </w:rPr>
        <w:t>R. minuta.</w:t>
      </w:r>
      <w:r w:rsidRPr="00DA2BC8">
        <w:t xml:space="preserve"> </w:t>
      </w:r>
      <w:r w:rsidRPr="00DA2BC8">
        <w:rPr>
          <w:bCs/>
        </w:rPr>
        <w:t>Факторами риска являются н</w:t>
      </w:r>
      <w:r w:rsidRPr="00DA2BC8">
        <w:t xml:space="preserve">аличие ЦВК, иммуносупрессия, обширные ожоги, перитонеальный диализ, цирроз печени, абдоминальные операции, введение наркотических препаратов. </w:t>
      </w:r>
      <w:r w:rsidRPr="00DA2BC8">
        <w:rPr>
          <w:bCs/>
        </w:rPr>
        <w:t xml:space="preserve">Диагностика основана на </w:t>
      </w:r>
      <w:r w:rsidRPr="00DA2BC8">
        <w:t xml:space="preserve">выделении </w:t>
      </w:r>
      <w:r w:rsidRPr="00DA2BC8">
        <w:rPr>
          <w:i/>
          <w:iCs/>
        </w:rPr>
        <w:t>Rhodotorula</w:t>
      </w:r>
      <w:r w:rsidRPr="00DA2BC8">
        <w:t xml:space="preserve"> spp. из гемокультуры или других стерильных образцов (асцитическая жидкость, ликвор, биоптаты органов).</w:t>
      </w:r>
    </w:p>
    <w:p w14:paraId="4DCD12A9" w14:textId="77777777" w:rsidR="0037636A" w:rsidRPr="00DA2BC8" w:rsidRDefault="0037636A" w:rsidP="0037636A">
      <w:pPr>
        <w:widowControl w:val="0"/>
        <w:autoSpaceDE w:val="0"/>
        <w:autoSpaceDN w:val="0"/>
        <w:adjustRightInd w:val="0"/>
        <w:ind w:right="50"/>
        <w:contextualSpacing/>
      </w:pPr>
      <w:r w:rsidRPr="00DA2BC8">
        <w:rPr>
          <w:bCs/>
        </w:rPr>
        <w:t>Лечение включает</w:t>
      </w:r>
      <w:r w:rsidRPr="00DA2BC8">
        <w:rPr>
          <w:b/>
          <w:bCs/>
        </w:rPr>
        <w:t xml:space="preserve"> </w:t>
      </w:r>
      <w:r w:rsidRPr="00DA2BC8">
        <w:t xml:space="preserve">удаление ЦВК, назначение </w:t>
      </w:r>
      <w:r w:rsidRPr="00DA2BC8">
        <w:rPr>
          <w:bCs/>
        </w:rPr>
        <w:t>а</w:t>
      </w:r>
      <w:r w:rsidRPr="00DA2BC8">
        <w:t>мфотерицина В (1 мг/кг/сутки) в монотерапии или в сочетании с флуцитозином,</w:t>
      </w:r>
      <w:r w:rsidRPr="00DA2BC8">
        <w:rPr>
          <w:bCs/>
        </w:rPr>
        <w:t xml:space="preserve"> альтернативный препарат – липидная форма</w:t>
      </w:r>
      <w:r w:rsidRPr="00DA2BC8">
        <w:rPr>
          <w:b/>
          <w:bCs/>
        </w:rPr>
        <w:t xml:space="preserve"> </w:t>
      </w:r>
      <w:r w:rsidRPr="00DA2BC8">
        <w:t>амфотерицина В (3 мг/кг/сутки).</w:t>
      </w:r>
    </w:p>
    <w:p w14:paraId="4F51B330" w14:textId="77777777" w:rsidR="0037636A" w:rsidRPr="00C553B6" w:rsidRDefault="0037636A" w:rsidP="0037636A">
      <w:pPr>
        <w:widowControl w:val="0"/>
        <w:autoSpaceDE w:val="0"/>
        <w:autoSpaceDN w:val="0"/>
        <w:adjustRightInd w:val="0"/>
        <w:ind w:right="50"/>
        <w:contextualSpacing/>
        <w:rPr>
          <w:i/>
          <w:iCs/>
          <w:u w:val="single"/>
        </w:rPr>
      </w:pPr>
      <w:r w:rsidRPr="00C553B6">
        <w:rPr>
          <w:i/>
          <w:iCs/>
          <w:u w:val="single"/>
        </w:rPr>
        <w:t>Микозы, вызванные Saccharomyces spp.</w:t>
      </w:r>
    </w:p>
    <w:p w14:paraId="0C541175" w14:textId="77777777" w:rsidR="0037636A" w:rsidRPr="00DA2BC8" w:rsidRDefault="0037636A" w:rsidP="0037636A">
      <w:pPr>
        <w:widowControl w:val="0"/>
        <w:autoSpaceDE w:val="0"/>
        <w:autoSpaceDN w:val="0"/>
        <w:adjustRightInd w:val="0"/>
        <w:ind w:right="50"/>
        <w:contextualSpacing/>
      </w:pPr>
      <w:r w:rsidRPr="00DA2BC8">
        <w:t xml:space="preserve">Основные представители - </w:t>
      </w:r>
      <w:r w:rsidRPr="00DA2BC8">
        <w:rPr>
          <w:i/>
          <w:iCs/>
        </w:rPr>
        <w:t>Saccharomyces cerevisiae</w:t>
      </w:r>
      <w:r w:rsidRPr="00DA2BC8">
        <w:t xml:space="preserve"> (пекарские дрожжи) и </w:t>
      </w:r>
      <w:r w:rsidRPr="00DA2BC8">
        <w:rPr>
          <w:i/>
          <w:iCs/>
        </w:rPr>
        <w:t>Saccharomyces boulardii</w:t>
      </w:r>
      <w:r w:rsidRPr="00DA2BC8">
        <w:t xml:space="preserve"> (используют в качестве пробиотика при лечении диареи). Оба этих вида филогенетически родственны </w:t>
      </w:r>
      <w:r w:rsidRPr="00DA2BC8">
        <w:rPr>
          <w:i/>
          <w:iCs/>
        </w:rPr>
        <w:t>C. glabrata</w:t>
      </w:r>
      <w:r w:rsidRPr="00DA2BC8">
        <w:t xml:space="preserve">. В этой связи, клинические проявления, диагностика и лечение инфекции схожи с таковыми при кандидемии. Ведущими факторами риска инфекции являются прием пробиотиков, содержащих возбудитель, или пребывание в одной палате с </w:t>
      </w:r>
      <w:r>
        <w:t>пациентом</w:t>
      </w:r>
      <w:r w:rsidRPr="00DA2BC8">
        <w:t xml:space="preserve">, получающим пробиотики. Другими факторами являются нейтропения, кахексия, наличие ЦВК. </w:t>
      </w:r>
      <w:r w:rsidRPr="00DA2BC8">
        <w:rPr>
          <w:bCs/>
        </w:rPr>
        <w:t xml:space="preserve">Диагностика основана на </w:t>
      </w:r>
      <w:r w:rsidRPr="00DA2BC8">
        <w:t xml:space="preserve">выделении </w:t>
      </w:r>
      <w:r w:rsidRPr="00DA2BC8">
        <w:rPr>
          <w:i/>
          <w:iCs/>
        </w:rPr>
        <w:t>Saccharomyces</w:t>
      </w:r>
      <w:r w:rsidRPr="00DA2BC8">
        <w:t xml:space="preserve"> spp., из гемокультуры или других стерильных образцов (асцитическая жидкость, ликвор, биоптаты органов). </w:t>
      </w:r>
      <w:r w:rsidRPr="00DA2BC8">
        <w:rPr>
          <w:bCs/>
        </w:rPr>
        <w:t>Лечение включает отмену</w:t>
      </w:r>
      <w:r w:rsidRPr="00DA2BC8">
        <w:rPr>
          <w:b/>
          <w:bCs/>
        </w:rPr>
        <w:t xml:space="preserve"> </w:t>
      </w:r>
      <w:r w:rsidRPr="00DA2BC8">
        <w:t xml:space="preserve">пробиотика, содержащего </w:t>
      </w:r>
      <w:r w:rsidRPr="00DA2BC8">
        <w:rPr>
          <w:i/>
          <w:iCs/>
        </w:rPr>
        <w:t>S. boulardii</w:t>
      </w:r>
      <w:r w:rsidRPr="00DA2BC8">
        <w:t xml:space="preserve"> (если назначали), назначение препарата выбора - амфотерицина В (1 мг/кг/сутки) или </w:t>
      </w:r>
      <w:r w:rsidRPr="00DA2BC8">
        <w:rPr>
          <w:bCs/>
        </w:rPr>
        <w:t>альтернативного препарата</w:t>
      </w:r>
      <w:r w:rsidRPr="00DA2BC8">
        <w:rPr>
          <w:b/>
          <w:bCs/>
        </w:rPr>
        <w:t xml:space="preserve"> </w:t>
      </w:r>
      <w:r w:rsidRPr="00DA2BC8">
        <w:t>-</w:t>
      </w:r>
      <w:r w:rsidRPr="00DA2BC8">
        <w:rPr>
          <w:bCs/>
        </w:rPr>
        <w:t xml:space="preserve"> липидной формы </w:t>
      </w:r>
      <w:r w:rsidRPr="00DA2BC8">
        <w:t xml:space="preserve">амфотерицина В (3 мг/кг/сутки) или эхинокандина (каспофунгин или микафунгин, или анидулафунгин, в стандартных дозах). </w:t>
      </w:r>
    </w:p>
    <w:p w14:paraId="102E60E4" w14:textId="77777777" w:rsidR="0037636A" w:rsidRPr="00C553B6" w:rsidRDefault="0037636A" w:rsidP="0037636A">
      <w:pPr>
        <w:widowControl w:val="0"/>
        <w:autoSpaceDE w:val="0"/>
        <w:autoSpaceDN w:val="0"/>
        <w:adjustRightInd w:val="0"/>
        <w:ind w:right="50"/>
        <w:contextualSpacing/>
        <w:rPr>
          <w:i/>
          <w:iCs/>
          <w:u w:val="single"/>
          <w:lang w:val="en-US"/>
        </w:rPr>
      </w:pPr>
      <w:r w:rsidRPr="00C553B6">
        <w:rPr>
          <w:i/>
          <w:iCs/>
          <w:u w:val="single"/>
        </w:rPr>
        <w:t>Микозы</w:t>
      </w:r>
      <w:r w:rsidRPr="00C553B6">
        <w:rPr>
          <w:i/>
          <w:iCs/>
          <w:u w:val="single"/>
          <w:lang w:val="en-US"/>
        </w:rPr>
        <w:t xml:space="preserve">, </w:t>
      </w:r>
      <w:r w:rsidRPr="00C553B6">
        <w:rPr>
          <w:i/>
          <w:iCs/>
          <w:u w:val="single"/>
        </w:rPr>
        <w:t>вызванные</w:t>
      </w:r>
      <w:r w:rsidRPr="00C553B6">
        <w:rPr>
          <w:i/>
          <w:iCs/>
          <w:u w:val="single"/>
          <w:lang w:val="en-US"/>
        </w:rPr>
        <w:t xml:space="preserve"> Geotrichum candidum (Galactomyces candidus)</w:t>
      </w:r>
    </w:p>
    <w:p w14:paraId="5E47C4D2" w14:textId="77777777" w:rsidR="0037636A" w:rsidRPr="00453773" w:rsidRDefault="0037636A" w:rsidP="0037636A">
      <w:pPr>
        <w:widowControl w:val="0"/>
        <w:autoSpaceDE w:val="0"/>
        <w:autoSpaceDN w:val="0"/>
        <w:adjustRightInd w:val="0"/>
        <w:ind w:right="50"/>
        <w:contextualSpacing/>
        <w:rPr>
          <w:bCs/>
        </w:rPr>
      </w:pPr>
      <w:r w:rsidRPr="00DA2BC8">
        <w:t xml:space="preserve">Генетически родственны </w:t>
      </w:r>
      <w:r w:rsidRPr="00DA2BC8">
        <w:rPr>
          <w:i/>
          <w:iCs/>
        </w:rPr>
        <w:t>S. Capitata</w:t>
      </w:r>
      <w:r>
        <w:rPr>
          <w:i/>
          <w:iCs/>
        </w:rPr>
        <w:t xml:space="preserve">; </w:t>
      </w:r>
      <w:r w:rsidRPr="00453773">
        <w:rPr>
          <w:iCs/>
        </w:rPr>
        <w:t>о</w:t>
      </w:r>
      <w:r w:rsidRPr="00DA2BC8">
        <w:t xml:space="preserve">писаны единичные случаи инвазивной инфекции у </w:t>
      </w:r>
      <w:r>
        <w:t>гематологических пациентов, с</w:t>
      </w:r>
      <w:r w:rsidRPr="00DA2BC8">
        <w:t xml:space="preserve">пособны вызывать эпидемические вспышки в стационарах. </w:t>
      </w:r>
      <w:r w:rsidRPr="00DA2BC8">
        <w:rPr>
          <w:bCs/>
        </w:rPr>
        <w:t xml:space="preserve">В основе диагностики </w:t>
      </w:r>
      <w:r w:rsidRPr="00DA2BC8">
        <w:t xml:space="preserve">выделение грибов из гемокультуры </w:t>
      </w:r>
      <w:r>
        <w:t xml:space="preserve">(кровь) </w:t>
      </w:r>
      <w:r w:rsidRPr="00DA2BC8">
        <w:t>или других стерильных образцов (асцитическая жидкость, ликвор, биоптаты органов</w:t>
      </w:r>
      <w:r>
        <w:t xml:space="preserve"> и др.</w:t>
      </w:r>
      <w:r w:rsidRPr="00DA2BC8">
        <w:t xml:space="preserve">). </w:t>
      </w:r>
      <w:r w:rsidRPr="00DA2BC8">
        <w:rPr>
          <w:bCs/>
        </w:rPr>
        <w:t>Препаратом выбора является а</w:t>
      </w:r>
      <w:r w:rsidRPr="00DA2BC8">
        <w:t xml:space="preserve">мфотерицин В (1 мг/кг/сутки), </w:t>
      </w:r>
      <w:r w:rsidRPr="00DA2BC8">
        <w:rPr>
          <w:bCs/>
        </w:rPr>
        <w:t>альтернатив</w:t>
      </w:r>
      <w:r>
        <w:rPr>
          <w:bCs/>
        </w:rPr>
        <w:t>а</w:t>
      </w:r>
      <w:r w:rsidRPr="00DA2BC8">
        <w:rPr>
          <w:bCs/>
        </w:rPr>
        <w:t xml:space="preserve"> </w:t>
      </w:r>
      <w:r>
        <w:rPr>
          <w:bCs/>
        </w:rPr>
        <w:t>–</w:t>
      </w:r>
      <w:r w:rsidRPr="00DA2BC8">
        <w:rPr>
          <w:bCs/>
        </w:rPr>
        <w:t xml:space="preserve"> липидные формы </w:t>
      </w:r>
      <w:r w:rsidRPr="00DA2BC8">
        <w:t>амфотерицина В (3 мг/кг/сутки). Применение флуконазола, вориконазола и эхинокандинов не рекомендовано.</w:t>
      </w:r>
    </w:p>
    <w:p w14:paraId="02569CC3" w14:textId="77777777" w:rsidR="0037636A" w:rsidRDefault="0037636A" w:rsidP="0037636A">
      <w:pPr>
        <w:widowControl w:val="0"/>
        <w:autoSpaceDE w:val="0"/>
        <w:autoSpaceDN w:val="0"/>
        <w:adjustRightInd w:val="0"/>
        <w:ind w:right="50"/>
        <w:contextualSpacing/>
        <w:rPr>
          <w:b/>
          <w:bCs/>
        </w:rPr>
      </w:pPr>
    </w:p>
    <w:p w14:paraId="4FC88A9A" w14:textId="0E3EAC43" w:rsidR="0037636A" w:rsidRPr="00084B8B" w:rsidRDefault="0037636A" w:rsidP="0037636A">
      <w:pPr>
        <w:widowControl w:val="0"/>
        <w:autoSpaceDE w:val="0"/>
        <w:autoSpaceDN w:val="0"/>
        <w:adjustRightInd w:val="0"/>
        <w:ind w:right="49"/>
        <w:contextualSpacing/>
        <w:rPr>
          <w:bCs/>
          <w:u w:val="single"/>
        </w:rPr>
      </w:pPr>
      <w:r w:rsidRPr="009B5EC6">
        <w:rPr>
          <w:bCs/>
          <w:u w:val="single"/>
        </w:rPr>
        <w:t>Инвазивный аспергиллез</w:t>
      </w:r>
      <w:r>
        <w:rPr>
          <w:bCs/>
          <w:u w:val="single"/>
          <w:lang w:val="en-US"/>
        </w:rPr>
        <w:t xml:space="preserve"> </w:t>
      </w:r>
      <w:r>
        <w:rPr>
          <w:b/>
        </w:rPr>
        <w:fldChar w:fldCharType="begin" w:fldLock="1"/>
      </w:r>
      <w:r w:rsidR="00987CCD">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-4","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patients","type":"article-journal","volume":"102"},"uris":["http://www.mendeley.com/documents/?uuid=56063fed-25f6-3324-a2f1-f316166613f0"]},{"id":"ITEM-5","itemData":{"DOI":"10.1016/j.cmi.2018.01.002","ISSN":"14690691","PMID":"29544767","abstract":"The European Society for Clinical Microbiology and Infectious Diseases, the European Confederation of Medical Mycology and the European Respiratory Society Joint Clinical Guidelines focus on diagnosis and management of aspergillosis. Of the numerous recommendations, a few are summarized here. Chest computed tomography as well as bronchoscopy with bronchoalveolar lavage (BAL) in patients with suspicion of pulmonary invasive aspergillosis (IA) are strongly recommended. For diagnosis, direct microscopy, preferably using optical brighteners, histopathology and culture are strongly recommended. Serum and BAL galactomannan measures are recommended as markers for the diagnosis of IA. PCR should be considered in conjunction with other diagnostic tests. Pathogen identification to species complex level is strongly recommended for all clinically relevant Aspergillus isolates; antifungal susceptibility testing should be performed in patients with invasive disease in regions with resistance found in contemporary surveillance programmes. Isavuconazole and voriconazole are the preferred agents for first-line treatment of pulmonary IA, whereas liposomal amphotericin B is moderately supported. Combinations of antifungals as primary treatment options are not recommended. Therapeutic drug monitoring is strongly recommended for patients receiving posaconazole suspension or any form of voriconazole for IA treatment, and in refractory disease, where a personalized approach considering reversal of predisposing factors, switching drug class and surgical intervention is also strongly recommended. Primary prophylaxis with posaconazole is strongly recommended in patients with acute myelogenous leukaemia or myelodysplastic syndrome receiving induction chemotherapy. Secondary prophylaxis is strongly recommended in high-risk patients. We strongly recommend treatment duration based on clinical improvement, degree of immunosuppression and response on imaging.","author":[{"dropping-particle":"","family":"Ullmann","given":"A. J.","non-dropping-particle":"","parse-names":false,"suffix":""},{"dropping-particle":"","family":"Aguado","given":"J. M.","non-dropping-particle":"","parse-names":false,"suffix":""},{"dropping-particle":"","family":"Arikan-Akdagli","given":"S.","non-dropping-particle":"","parse-names":false,"suffix":""},{"dropping-particle":"","family":"Denning","given":"D. W.","non-dropping-particle":"","parse-names":false,"suffix":""},{"dropping-particle":"","family":"Groll","given":"A. H.","non-dropping-particle":"","parse-names":false,"suffix":""},{"dropping-particle":"","family":"Lagrou","given":"K.","non-dropping-particle":"","parse-names":false,"suffix":""},{"dropping-particle":"","family":"Lass-Flörl","given":"C.","non-dropping-particle":"","parse-names":false,"suffix":""},{"dropping-particle":"","family":"Lewis","given":"R. E.","non-dropping-particle":"","parse-names":false,"suffix":""},{"dropping-particle":"","family":"Munoz","given":"P.","non-dropping-particle":"","parse-names":false,"suffix":""},{"dropping-particle":"","family":"Verweij","given":"P. E.","non-dropping-particle":"","parse-names":false,"suffix":""},{"dropping-particle":"","family":"Warris","given":"A.","non-dropping-particle":"","parse-names":false,"suffix":""},{"dropping-particle":"","family":"Ader","given":"F.","non-dropping-particle":"","parse-names":false,"suffix":""},{"dropping-particle":"","family":"Akova","given":"M.","non-dropping-particle":"","parse-names":false,"suffix":""},{"dropping-particle":"","family":"Arendrup","given":"M. C.","non-dropping-particle":"","parse-names":false,"suffix":""},{"dropping-particle":"","family":"Barnes","given":"R. A.","non-dropping-particle":"","parse-names":false,"suffix":""},{"dropping-particle":"","family":"Beigelman-Aubry","given":"C.","non-dropping-particle":"","parse-names":false,"suffix":""},{"dropping-particle":"","family":"Blot","given":"S.","non-dropping-particle":"","parse-names":false,"suffix":""},{"dropping-particle":"","family":"Bouza","given":"E.","non-dropping-particle":"","parse-names":false,"suffix":""},{"dropping-particle":"","family":"Brüggemann","given":"R. J.M.","non-dropping-particle":"","parse-names":false,"suffix":""},{"dropping-particle":"","family":"Buchheidt","given":"D.","non-dropping-particle":"","parse-names":false,"suffix":""},{"dropping-particle":"","family":"Cadranel","given":"J.","non-dropping-particle":"","parse-names":false,"suffix":""},{"dropping-particle":"","family":"Castagnola","given":"E.","non-dropping-particle":"","parse-names":false,"suffix":""},{"dropping-particle":"","family":"Chakrabarti","given":"A.","non-dropping-particle":"","parse-names":false,"suffix":""},{"dropping-particle":"","family":"Cuenca-Estrella","given":"M.","non-dropping-particle":"","parse-names":false,"suffix":""},{"dropping-particle":"","family":"Dimopoulos","given":"G.","non-dropping-particle":"","parse-names":false,"suffix":""},{"dropping-particle":"","family":"Fortun","given":"J.","non-dropping-particle":"","parse-names":false,"suffix":""},{"dropping-particle":"","family":"Gangneux","given":"J. P.","non-dropping-particle":"","parse-names":false,"suffix":""},{"dropping-particle":"","family":"Garbino","given":"J.","non-dropping-particle":"","parse-names":false,"suffix":""},{"dropping-particle":"","family":"Heinz","given":"W. J.","non-dropping-particle":"","parse-names":false,"suffix":""},{"dropping-particle":"","family":"Herbrecht","given":"R.","non-dropping-particle":"","parse-names":false,"suffix":""},{"dropping-particle":"","family":"Heussel","given":"C. P.","non-dropping-particle":"","parse-names":false,"suffix":""},{"dropping-particle":"","family":"Kibbler","given":"C. C.","non-dropping-particle":"","parse-names":false,"suffix":""},{"dropping-particle":"","family":"Klimko","given":"N.","non-dropping-particle":"","parse-names":false,"suffix":""},{"dropping-particle":"","family":"Kullberg","given":"B. J.","non-dropping-particle":"","parse-names":false,"suffix":""},{"dropping-particle":"","family":"Lange","given":"C.","non-dropping-particle":"","parse-names":false,"suffix":""},{"dropping-particle":"","family":"Lehrnbecher","given":"T.","non-dropping-particle":"","parse-names":false,"suffix":""},{"dropping-particle":"","family":"Löffler","given":"J.","non-dropping-particle":"","parse-names":false,"suffix":""},{"dropping-particle":"","family":"Lortholary","given":"O.","non-dropping-particle":"","parse-names":false,"suffix":""},{"dropping-particle":"","family":"Maertens","given":"J.","non-dropping-particle":"","parse-names":false,"suffix":""},{"dropping-particle":"","family":"Marchetti","given":"O.","non-dropping-particle":"","parse-names":false,"suffix":""},{"dropping-particle":"","family":"Meis","given":"J. F.","non-dropping-particle":"","parse-names":false,"suffix":""},{"dropping-particle":"","family":"Pagano","given":"L.","non-dropping-particle":"","parse-names":false,"suffix":""},{"dropping-particle":"","family":"Ribaud","given":"P.","non-dropping-particle":"","parse-names":false,"suffix":""},{"dropping-particle":"","family":"Richardson","given":"M.","non-dropping-particle":"","parse-names":false,"suffix":""},{"dropping-particle":"","family":"Roilides","given":"E.","non-dropping-particle":"","parse-names":false,"suffix":""},{"dropping-particle":"","family":"Ruhnke","given":"M.","non-dropping-particle":"","parse-names":false,"suffix":""},{"dropping-particle":"","family":"Sanguinetti","given":"M.","non-dropping-particle":"","parse-names":false,"suffix":""},{"dropping-particle":"","family":"Sheppard","given":"D. C.","non-dropping-particle":"","parse-names":false,"suffix":""},{"dropping-particle":"","family":"Sinkó","given":"J.","non-dropping-particle":"","parse-names":false,"suffix":""},{"dropping-particle":"","family":"Skiada","given":"A.","non-dropping-particle":"","parse-names":false,"suffix":""},{"dropping-particle":"","family":"Vehreschild","given":"M. J.G.T.","non-dropping-particle":"","parse-names":false,"suffix":""},{"dropping-particle":"","family":"Viscoli","given":"C.","non-dropping-particle":"","parse-names":false,"suffix":""},{"dropping-particle":"","family":"Cornely","given":"O. A.","non-dropping-particle":"","parse-names":false,"suffix":""}],"container-title":"Clinical Microbiology and Infection","id":"ITEM-5","issued":{"date-parts":[["2018","5","1"]]},"page":"e1-e38","publisher":"Elsevier B.V.","title":"Diagnosis and management of Aspergillus diseases: executive summary of the 2017 ESCMID-ECMM-ERS guideline","type":"article-journal","volume":"24"},"uris":["http://www.mendeley.com/documents/?uuid=5eaef361-0e16-3d87-bd2e-021d8493d891"]}],"mendeley":{"formattedCitation":"[100,101,107,108,110]","plainTextFormattedCitation":"[100,101,107,108,110]","previouslyFormattedCitation":"[100,101,107,108,110]"},"properties":{"noteIndex":0},"schema":"https://github.com/citation-style-language/schema/raw/master/csl-citation.json"}</w:instrText>
      </w:r>
      <w:r>
        <w:rPr>
          <w:b/>
        </w:rPr>
        <w:fldChar w:fldCharType="separate"/>
      </w:r>
      <w:r w:rsidR="00BA021B" w:rsidRPr="00BA021B">
        <w:rPr>
          <w:noProof/>
        </w:rPr>
        <w:t>[100,101,107,108,110]</w:t>
      </w:r>
      <w:r>
        <w:rPr>
          <w:b/>
        </w:rPr>
        <w:fldChar w:fldCharType="end"/>
      </w:r>
    </w:p>
    <w:p w14:paraId="5B7A24C4" w14:textId="77777777" w:rsidR="0037636A" w:rsidRPr="00DA2BC8" w:rsidRDefault="0037636A" w:rsidP="0037636A">
      <w:pPr>
        <w:widowControl w:val="0"/>
        <w:autoSpaceDE w:val="0"/>
        <w:autoSpaceDN w:val="0"/>
        <w:adjustRightInd w:val="0"/>
        <w:ind w:right="50"/>
        <w:contextualSpacing/>
      </w:pPr>
      <w:r w:rsidRPr="00DA2BC8">
        <w:t xml:space="preserve">Инвазивный аспергиллез является ведущей грибковой инфекцией в современной гематологии. В структуре инвазивных микозов у </w:t>
      </w:r>
      <w:r>
        <w:t xml:space="preserve">гематологических пациентов </w:t>
      </w:r>
      <w:r w:rsidRPr="00DA2BC8">
        <w:t xml:space="preserve">доля инвазивного аспергиллеза достигает 80%. Первичный очаг локализуется в легких (90-95%) и в придаточных пазухах носа (5-10%). Инвазивный аспергиллез преобладает у реципиентов аллогенных ТСГК, особенно неродственных, у </w:t>
      </w:r>
      <w:r>
        <w:t>пациентов с</w:t>
      </w:r>
      <w:r w:rsidRPr="00DA2BC8">
        <w:t xml:space="preserve"> острыми миелоидными лейкозами и миелодиспластическом синдром</w:t>
      </w:r>
      <w:r>
        <w:t>ом</w:t>
      </w:r>
      <w:r w:rsidRPr="00DA2BC8">
        <w:t xml:space="preserve">. </w:t>
      </w:r>
      <w:r w:rsidRPr="00DA2BC8">
        <w:rPr>
          <w:bCs/>
        </w:rPr>
        <w:t xml:space="preserve">Основные возбудители </w:t>
      </w:r>
      <w:r w:rsidRPr="00DA2BC8">
        <w:rPr>
          <w:i/>
          <w:iCs/>
        </w:rPr>
        <w:t>Aspergillus fumigatus</w:t>
      </w:r>
      <w:r w:rsidRPr="00DA2BC8">
        <w:t xml:space="preserve"> и </w:t>
      </w:r>
      <w:r w:rsidRPr="00DA2BC8">
        <w:rPr>
          <w:i/>
          <w:iCs/>
        </w:rPr>
        <w:t>Aspergillus flavus</w:t>
      </w:r>
      <w:r w:rsidRPr="00DA2BC8">
        <w:t xml:space="preserve">, реже - </w:t>
      </w:r>
      <w:r w:rsidRPr="00DA2BC8">
        <w:rPr>
          <w:i/>
          <w:iCs/>
        </w:rPr>
        <w:t>Aspergillus niger</w:t>
      </w:r>
      <w:r w:rsidRPr="00DA2BC8">
        <w:t xml:space="preserve"> и другие виды.</w:t>
      </w:r>
    </w:p>
    <w:p w14:paraId="77E1567B" w14:textId="77777777" w:rsidR="0037636A" w:rsidRPr="009B5EC6" w:rsidRDefault="0037636A" w:rsidP="0037636A">
      <w:pPr>
        <w:widowControl w:val="0"/>
        <w:autoSpaceDE w:val="0"/>
        <w:autoSpaceDN w:val="0"/>
        <w:adjustRightInd w:val="0"/>
        <w:ind w:right="50"/>
        <w:contextualSpacing/>
        <w:rPr>
          <w:i/>
          <w:iCs/>
          <w:u w:val="single"/>
        </w:rPr>
      </w:pPr>
      <w:r w:rsidRPr="009B5EC6">
        <w:rPr>
          <w:i/>
          <w:iCs/>
          <w:u w:val="single"/>
        </w:rPr>
        <w:t>Факторы риска</w:t>
      </w:r>
    </w:p>
    <w:p w14:paraId="1ABFA060" w14:textId="77777777" w:rsidR="0037636A" w:rsidRPr="00DA2BC8" w:rsidRDefault="0037636A" w:rsidP="0037636A">
      <w:pPr>
        <w:widowControl w:val="0"/>
        <w:autoSpaceDE w:val="0"/>
        <w:autoSpaceDN w:val="0"/>
        <w:adjustRightInd w:val="0"/>
        <w:ind w:right="50"/>
        <w:contextualSpacing/>
      </w:pPr>
      <w:r w:rsidRPr="00DA2BC8">
        <w:t>Основными факторами, индуцирующими развитие инвазивного аспергиллеза, являются гранулоцитопения (нейтрофилов менее 0,5×10</w:t>
      </w:r>
      <w:r w:rsidRPr="00DA2BC8">
        <w:rPr>
          <w:vertAlign w:val="superscript"/>
        </w:rPr>
        <w:t>9</w:t>
      </w:r>
      <w:r w:rsidRPr="00DA2BC8">
        <w:t>/л) длительностью от 10 дней и более на момент диагностики или в течение 60 дней до развития инвазивного аспергиллеза; трансплантация аллогенных ТГСК, лечение глюкокортикоидами и другими препаратами, приводящими к подавлению функции T-лимфоцитов. Частота инвазивного аспергиллеза возрастает в период эпидемии вирусных инфекций.</w:t>
      </w:r>
    </w:p>
    <w:p w14:paraId="447847BC" w14:textId="77777777" w:rsidR="0037636A" w:rsidRPr="00453773" w:rsidRDefault="0037636A" w:rsidP="0037636A">
      <w:pPr>
        <w:widowControl w:val="0"/>
        <w:autoSpaceDE w:val="0"/>
        <w:autoSpaceDN w:val="0"/>
        <w:adjustRightInd w:val="0"/>
        <w:ind w:right="50"/>
        <w:contextualSpacing/>
        <w:rPr>
          <w:b/>
          <w:bCs/>
        </w:rPr>
      </w:pPr>
      <w:r w:rsidRPr="00453773">
        <w:rPr>
          <w:b/>
          <w:bCs/>
        </w:rPr>
        <w:t>Инвазивный аспергиллез легких</w:t>
      </w:r>
    </w:p>
    <w:p w14:paraId="5564CE5D" w14:textId="77777777" w:rsidR="0037636A" w:rsidRPr="009B5EC6" w:rsidRDefault="0037636A" w:rsidP="0037636A">
      <w:pPr>
        <w:widowControl w:val="0"/>
        <w:autoSpaceDE w:val="0"/>
        <w:autoSpaceDN w:val="0"/>
        <w:adjustRightInd w:val="0"/>
        <w:ind w:right="50"/>
        <w:contextualSpacing/>
        <w:rPr>
          <w:i/>
          <w:iCs/>
        </w:rPr>
      </w:pPr>
      <w:r w:rsidRPr="009B5EC6">
        <w:rPr>
          <w:i/>
          <w:iCs/>
          <w:u w:val="single"/>
        </w:rPr>
        <w:t>Симптомы</w:t>
      </w:r>
      <w:r w:rsidRPr="009B5EC6">
        <w:rPr>
          <w:i/>
          <w:iCs/>
        </w:rPr>
        <w:t xml:space="preserve"> </w:t>
      </w:r>
    </w:p>
    <w:p w14:paraId="174DA22D" w14:textId="77777777" w:rsidR="0037636A" w:rsidRPr="00DA2BC8" w:rsidRDefault="0037636A" w:rsidP="0037636A">
      <w:pPr>
        <w:widowControl w:val="0"/>
        <w:autoSpaceDE w:val="0"/>
        <w:autoSpaceDN w:val="0"/>
        <w:adjustRightInd w:val="0"/>
        <w:ind w:right="50"/>
        <w:contextualSpacing/>
      </w:pPr>
      <w:r w:rsidRPr="00DA2BC8">
        <w:t xml:space="preserve">Начальные признаки скудные, в большинстве случаев бывает только лихорадка. У 15-20% </w:t>
      </w:r>
      <w:r>
        <w:t>пациентов</w:t>
      </w:r>
      <w:r w:rsidRPr="00DA2BC8">
        <w:t xml:space="preserve"> инвазивным аспергиллезом температура быва</w:t>
      </w:r>
      <w:r>
        <w:t>ет нормальной или субфебрильной</w:t>
      </w:r>
      <w:r w:rsidRPr="00DA2BC8">
        <w:t xml:space="preserve">. Другими симптомами являются кашель, сухой или с мокротой, кровохарканье, боль в грудной клетке, одышка. При прогрессировании инфекции может возникнуть легочное кровотечение, дыхательная недостаточность, спонтанный пневмоторакс. У 30-40% больных происходит диссеминация инвазивного аспергиллеза, чаще в головной мозг или печень. </w:t>
      </w:r>
    </w:p>
    <w:p w14:paraId="18534A67" w14:textId="77777777" w:rsidR="0037636A" w:rsidRPr="009B5EC6" w:rsidRDefault="0037636A" w:rsidP="0037636A">
      <w:pPr>
        <w:widowControl w:val="0"/>
        <w:autoSpaceDE w:val="0"/>
        <w:autoSpaceDN w:val="0"/>
        <w:adjustRightInd w:val="0"/>
        <w:ind w:right="50"/>
        <w:contextualSpacing/>
        <w:rPr>
          <w:i/>
          <w:iCs/>
          <w:u w:val="single"/>
        </w:rPr>
      </w:pPr>
      <w:r w:rsidRPr="009B5EC6">
        <w:rPr>
          <w:i/>
          <w:iCs/>
          <w:u w:val="single"/>
        </w:rPr>
        <w:t>Диагностика инвазивного аспергиллеза легких</w:t>
      </w:r>
    </w:p>
    <w:p w14:paraId="4E5A11C8" w14:textId="77777777" w:rsidR="0037636A" w:rsidRPr="00DA2BC8" w:rsidRDefault="0037636A" w:rsidP="0037636A">
      <w:pPr>
        <w:widowControl w:val="0"/>
        <w:autoSpaceDE w:val="0"/>
        <w:autoSpaceDN w:val="0"/>
        <w:adjustRightInd w:val="0"/>
        <w:ind w:right="50"/>
        <w:contextualSpacing/>
      </w:pPr>
      <w:r w:rsidRPr="00DA2BC8">
        <w:rPr>
          <w:bCs/>
        </w:rPr>
        <w:t>Диагноз инвазивного аспергиллеза устанавливают</w:t>
      </w:r>
      <w:r w:rsidRPr="00DA2BC8">
        <w:t xml:space="preserve"> на основании наличия факторов риска, характерных изменений</w:t>
      </w:r>
      <w:r>
        <w:t xml:space="preserve"> при радиологическом исследовании (КТ/СКТ легких)</w:t>
      </w:r>
      <w:r w:rsidRPr="00DA2BC8">
        <w:t>, микологического подтвержден</w:t>
      </w:r>
      <w:r>
        <w:t>и</w:t>
      </w:r>
      <w:r w:rsidRPr="00DA2BC8">
        <w:t xml:space="preserve">я, включающего культуральное и/или серологические исследования. </w:t>
      </w:r>
    </w:p>
    <w:p w14:paraId="7069009E" w14:textId="77777777" w:rsidR="0037636A" w:rsidRPr="009B5EC6" w:rsidRDefault="0037636A" w:rsidP="0037636A">
      <w:pPr>
        <w:widowControl w:val="0"/>
        <w:autoSpaceDE w:val="0"/>
        <w:autoSpaceDN w:val="0"/>
        <w:adjustRightInd w:val="0"/>
        <w:ind w:right="50"/>
        <w:contextualSpacing/>
        <w:rPr>
          <w:i/>
          <w:iCs/>
          <w:u w:val="single"/>
        </w:rPr>
      </w:pPr>
      <w:r w:rsidRPr="009B5EC6">
        <w:rPr>
          <w:i/>
          <w:iCs/>
          <w:u w:val="single"/>
        </w:rPr>
        <w:t>Радиологические особенности инвазивного аспергиллеза легких</w:t>
      </w:r>
    </w:p>
    <w:p w14:paraId="07499ADF" w14:textId="77777777" w:rsidR="0037636A" w:rsidRPr="00DA2BC8" w:rsidRDefault="0037636A" w:rsidP="0037636A">
      <w:pPr>
        <w:widowControl w:val="0"/>
        <w:tabs>
          <w:tab w:val="left" w:pos="317"/>
        </w:tabs>
        <w:autoSpaceDE w:val="0"/>
        <w:autoSpaceDN w:val="0"/>
        <w:adjustRightInd w:val="0"/>
        <w:ind w:right="50"/>
        <w:contextualSpacing/>
      </w:pPr>
      <w:r w:rsidRPr="00DA2BC8">
        <w:t xml:space="preserve">Ранняя диагностика инвазивного аспергиллеза легких возможна только по данным </w:t>
      </w:r>
      <w:r>
        <w:t>КТ</w:t>
      </w:r>
      <w:r w:rsidRPr="00DA2BC8">
        <w:t xml:space="preserve">. Рентгенографию </w:t>
      </w:r>
      <w:r>
        <w:t xml:space="preserve">рутинно </w:t>
      </w:r>
      <w:r w:rsidRPr="00DA2BC8">
        <w:t>не используют в диагностике инвазивного аспергиллеза по причине позднего выявления изменений в легких. Радиологические проявления инвазивного аспергиллеза легких не являются строго специфичными. На раннем этапе инфекции определяется симптом «ореола» (область разрежения, которая представляет собой геморрагический инфильтрат, окружающий некротизированную ткань легкого), в более отдаленные сроки - симптом «серпа» (формирование воздушной полости в виде полумесяца) или образование полости. Характерными также являются очаги с ровными контурами или инфильтраты треугольной формы, обращенные основанием к плевре, преобладает субплевральное расположение очагов. У реципиентов аллогенных ГСК вне нейтропении, получающих лечение преднизолоном по поводу РТПХ доминируют изменения в легких, неспецифичные для инвазивного аспергиллеза, – это центролобулярные очаги небольших размеров или изменения по типу бронхиолита. При диагностике инвазивного аспергиллеза следует провести КТ или МРТ головного мозга с целью исключения диссеминации. У больных, излеченных от инвазивного аспергиллеза, могут определяться в легких остаточные изменения в виде паренхиматозных тяжей или небольших полостей.</w:t>
      </w:r>
    </w:p>
    <w:p w14:paraId="2DC71F06" w14:textId="77777777" w:rsidR="0037636A" w:rsidRPr="00DA2BC8" w:rsidRDefault="0037636A" w:rsidP="0037636A">
      <w:pPr>
        <w:widowControl w:val="0"/>
        <w:autoSpaceDE w:val="0"/>
        <w:autoSpaceDN w:val="0"/>
        <w:adjustRightInd w:val="0"/>
        <w:ind w:right="50"/>
        <w:contextualSpacing/>
      </w:pPr>
      <w:r w:rsidRPr="00EB3571">
        <w:rPr>
          <w:bCs/>
          <w:i/>
          <w:iCs/>
          <w:u w:val="single"/>
        </w:rPr>
        <w:t>Микологические исследования</w:t>
      </w:r>
      <w:r w:rsidRPr="00DA2BC8">
        <w:t xml:space="preserve"> включают выделение культуры </w:t>
      </w:r>
      <w:r w:rsidRPr="00DA2BC8">
        <w:rPr>
          <w:i/>
          <w:iCs/>
        </w:rPr>
        <w:t>Aspergillus</w:t>
      </w:r>
      <w:r w:rsidRPr="00DA2BC8">
        <w:t xml:space="preserve"> из мокроты, жидкости БАЛ или биоптата легкого либо обнаружение истинного септированного мицелия из биоптата (аспирата) при гистологическом или цитологическом исследовании; определение положительного антигена </w:t>
      </w:r>
      <w:r w:rsidRPr="00DA2BC8">
        <w:rPr>
          <w:i/>
          <w:iCs/>
        </w:rPr>
        <w:t>Aspergillus</w:t>
      </w:r>
      <w:r w:rsidRPr="00DA2BC8">
        <w:t xml:space="preserve"> (галактоманнан) в сыворотке (индекс оптической плотности ≥0,5) и/или в жидкости БАЛ (индекс оптической плотности от 1,0 и более).</w:t>
      </w:r>
    </w:p>
    <w:p w14:paraId="4AFE03FE" w14:textId="77777777" w:rsidR="0037636A" w:rsidRPr="00EB3571" w:rsidRDefault="0037636A" w:rsidP="0037636A">
      <w:pPr>
        <w:widowControl w:val="0"/>
        <w:autoSpaceDE w:val="0"/>
        <w:autoSpaceDN w:val="0"/>
        <w:adjustRightInd w:val="0"/>
        <w:ind w:right="50"/>
        <w:contextualSpacing/>
        <w:rPr>
          <w:i/>
          <w:iCs/>
          <w:u w:val="single"/>
        </w:rPr>
      </w:pPr>
      <w:r w:rsidRPr="00EB3571">
        <w:rPr>
          <w:i/>
          <w:iCs/>
          <w:u w:val="single"/>
        </w:rPr>
        <w:t>Мониторинг исследований</w:t>
      </w:r>
    </w:p>
    <w:p w14:paraId="0DEC06CF" w14:textId="77777777" w:rsidR="0037636A" w:rsidRPr="00DA2BC8" w:rsidRDefault="0037636A" w:rsidP="0037636A">
      <w:pPr>
        <w:widowControl w:val="0"/>
        <w:tabs>
          <w:tab w:val="left" w:pos="317"/>
        </w:tabs>
        <w:autoSpaceDE w:val="0"/>
        <w:autoSpaceDN w:val="0"/>
        <w:adjustRightInd w:val="0"/>
        <w:ind w:right="50"/>
        <w:contextualSpacing/>
      </w:pPr>
      <w:r w:rsidRPr="00DA2BC8">
        <w:t>В процессе лечения инвазивного аспергиллеза повторяют КТ</w:t>
      </w:r>
      <w:r>
        <w:t xml:space="preserve">/СКТ легких </w:t>
      </w:r>
      <w:r w:rsidRPr="00DA2BC8">
        <w:t xml:space="preserve"> каждые 2-3 недели, при клинической неэффективности лечения - через 1 неделю от начала терапии, при стабилизации клинических проявлений инфекции – реже; определение антигена </w:t>
      </w:r>
      <w:r w:rsidRPr="00DA2BC8">
        <w:rPr>
          <w:i/>
          <w:iCs/>
        </w:rPr>
        <w:t>Aspergillus</w:t>
      </w:r>
      <w:r w:rsidRPr="00DA2BC8">
        <w:t xml:space="preserve"> (галактоманнан) в крови - 1 раз в неделю, если тест был положительным. Повторные положительные результаты определения галактоманнана (индекс оптической плотности &gt;0,5) в период лечения инвазивного аспергиллеза относятся к неблагоприятным факторам прогноза и свидетельсвуют об отсутствии контроля над инфекцией. </w:t>
      </w:r>
    </w:p>
    <w:p w14:paraId="32CDFD61" w14:textId="77777777" w:rsidR="0037636A" w:rsidRPr="00DA2BC8" w:rsidRDefault="0037636A" w:rsidP="0037636A">
      <w:pPr>
        <w:widowControl w:val="0"/>
        <w:autoSpaceDE w:val="0"/>
        <w:autoSpaceDN w:val="0"/>
        <w:adjustRightInd w:val="0"/>
        <w:ind w:right="50"/>
        <w:contextualSpacing/>
      </w:pPr>
      <w:r w:rsidRPr="00DA2BC8">
        <w:t>При повышении нейтрофилов (более 0,5×10</w:t>
      </w:r>
      <w:r w:rsidRPr="00DA2BC8">
        <w:rPr>
          <w:vertAlign w:val="superscript"/>
        </w:rPr>
        <w:t>9</w:t>
      </w:r>
      <w:r w:rsidRPr="00DA2BC8">
        <w:t xml:space="preserve">/л) объем поражения в легких может увеличиваться на фоне улучшения клинического состояния </w:t>
      </w:r>
      <w:r>
        <w:t>пациента</w:t>
      </w:r>
      <w:r w:rsidRPr="00DA2BC8">
        <w:t>. Модификацию противогрибковой терапии не проводят.</w:t>
      </w:r>
    </w:p>
    <w:p w14:paraId="237E4556" w14:textId="77777777" w:rsidR="0037636A" w:rsidRPr="00DA2BC8" w:rsidRDefault="0037636A" w:rsidP="0037636A">
      <w:pPr>
        <w:widowControl w:val="0"/>
        <w:autoSpaceDE w:val="0"/>
        <w:autoSpaceDN w:val="0"/>
        <w:adjustRightInd w:val="0"/>
        <w:ind w:right="50"/>
        <w:contextualSpacing/>
      </w:pPr>
      <w:r w:rsidRPr="00DA2BC8">
        <w:t xml:space="preserve">Радиологические проявления, характерные для инвазивного аспергиллеза, могут быть при инфекции, вызванной другими микроорганизмами, или при иных патологических состояниях. Это следует учитывать, особенно когда диагноз инвазивного аспергиллеза установлен только на основании данных радиологического исследования без микологического подтверждения. </w:t>
      </w:r>
    </w:p>
    <w:p w14:paraId="3E36B894" w14:textId="77777777" w:rsidR="0037636A" w:rsidRPr="00EB3571" w:rsidRDefault="0037636A" w:rsidP="0037636A">
      <w:pPr>
        <w:widowControl w:val="0"/>
        <w:autoSpaceDE w:val="0"/>
        <w:autoSpaceDN w:val="0"/>
        <w:adjustRightInd w:val="0"/>
        <w:ind w:right="50"/>
        <w:contextualSpacing/>
        <w:rPr>
          <w:i/>
        </w:rPr>
      </w:pPr>
      <w:r w:rsidRPr="00EB3571">
        <w:rPr>
          <w:i/>
          <w:u w:val="single"/>
        </w:rPr>
        <w:t xml:space="preserve">Лечение инвазивного аспергиллеза </w:t>
      </w:r>
    </w:p>
    <w:p w14:paraId="5453D26B" w14:textId="77777777" w:rsidR="0037636A" w:rsidRPr="00DA2BC8" w:rsidRDefault="0037636A" w:rsidP="0037636A">
      <w:pPr>
        <w:widowControl w:val="0"/>
        <w:autoSpaceDE w:val="0"/>
        <w:autoSpaceDN w:val="0"/>
        <w:adjustRightInd w:val="0"/>
        <w:ind w:right="50"/>
        <w:contextualSpacing/>
      </w:pPr>
      <w:r w:rsidRPr="00DA2BC8">
        <w:t>Основными принципами эффективной терапии инвазивного аспергиллеза являются своевременная диагностика; незамедлительное назначение антимикотиков при подозрении на инвазивный аспергиллез; назначение эффективных препаратов на первом этапе лечения.</w:t>
      </w:r>
    </w:p>
    <w:p w14:paraId="2EBC25BE" w14:textId="77777777" w:rsidR="0037636A" w:rsidRPr="00DA2BC8" w:rsidRDefault="0037636A" w:rsidP="0037636A">
      <w:pPr>
        <w:widowControl w:val="0"/>
        <w:tabs>
          <w:tab w:val="left" w:pos="317"/>
        </w:tabs>
        <w:autoSpaceDE w:val="0"/>
        <w:autoSpaceDN w:val="0"/>
        <w:adjustRightInd w:val="0"/>
        <w:ind w:right="50"/>
        <w:contextualSpacing/>
      </w:pPr>
      <w:r w:rsidRPr="00DA2BC8">
        <w:rPr>
          <w:bCs/>
        </w:rPr>
        <w:t>Препаратами выбора являются</w:t>
      </w:r>
      <w:r w:rsidRPr="00DA2BC8">
        <w:rPr>
          <w:b/>
          <w:bCs/>
        </w:rPr>
        <w:t xml:space="preserve"> </w:t>
      </w:r>
      <w:r w:rsidRPr="00DA2BC8">
        <w:t xml:space="preserve">вориконазол (в 1-й первый день по 6 мг/кг внутривенно 2 раза в сутки, в последующие дни по 4 мг/кг внутривенно 2 раза в сутки, с переходом в дальнейшем на пероральную форму по 200 мг 2 раза в сутки, у больных с высокой массой тела пероральная доза составляет 8 мг/кг, максимально - по 300 мг х 2 раза, прием натощак или через 1 час после еды), изавуконазол по 200 мг каждые 8 час в течение </w:t>
      </w:r>
      <w:r>
        <w:t xml:space="preserve">2 дней, далее по </w:t>
      </w:r>
      <w:r w:rsidRPr="00DA2BC8">
        <w:t>200 мг 1 раз в сутки внутривенно или перорально [</w:t>
      </w:r>
      <w:r w:rsidRPr="00EC3182">
        <w:t>6</w:t>
      </w:r>
      <w:r w:rsidRPr="00DA2BC8">
        <w:t xml:space="preserve">]. Изавуконазол в сравнении с вориконазолом имеет достоверно ниже токсичность, разрешен больным с отклонениями в функции печени, проявляет активность не только против </w:t>
      </w:r>
      <w:r w:rsidRPr="00DA2BC8">
        <w:rPr>
          <w:i/>
        </w:rPr>
        <w:t>Aspergillus</w:t>
      </w:r>
      <w:r w:rsidRPr="00DA2BC8">
        <w:t xml:space="preserve">, но и грибов рода </w:t>
      </w:r>
      <w:r w:rsidRPr="00DA2BC8">
        <w:rPr>
          <w:i/>
        </w:rPr>
        <w:t>Mucorales</w:t>
      </w:r>
      <w:r w:rsidRPr="00DA2BC8">
        <w:t xml:space="preserve">. Больным печеночными порфириями не назначают азолы, для лечения используют эхинокандин. </w:t>
      </w:r>
      <w:r w:rsidRPr="00DA2BC8">
        <w:rPr>
          <w:bCs/>
        </w:rPr>
        <w:t xml:space="preserve">Альтернативные антимикотики для лечения инвазивного аспергиллеза легких - </w:t>
      </w:r>
      <w:r w:rsidRPr="00DA2BC8">
        <w:t>липидный комплекс амфотерицина В (5 мг/кг/сутки внутривенно), липосомальный амфотерициин В (3 мг/кг/сутки), каспофунгин (в 1-й день 70 мг, затем 50 мг внутривенно 1 раз в сутки), микафунгин (100 мг 1 раз в сутки внутривенно). Лечение амфотерицином В инвазивного аспергиллеза легких не показано.</w:t>
      </w:r>
    </w:p>
    <w:p w14:paraId="0300BFD2" w14:textId="77777777" w:rsidR="0037636A" w:rsidRPr="00DA2BC8" w:rsidRDefault="0037636A" w:rsidP="0037636A">
      <w:pPr>
        <w:widowControl w:val="0"/>
        <w:tabs>
          <w:tab w:val="left" w:pos="317"/>
        </w:tabs>
        <w:autoSpaceDE w:val="0"/>
        <w:autoSpaceDN w:val="0"/>
        <w:adjustRightInd w:val="0"/>
        <w:ind w:right="50"/>
        <w:contextualSpacing/>
      </w:pPr>
      <w:r w:rsidRPr="00DA2BC8">
        <w:rPr>
          <w:iCs/>
        </w:rPr>
        <w:t>Не используют сочетание противогрибковых препаратов в качестве терапии первой линии инвазивного аспергиллеза.</w:t>
      </w:r>
    </w:p>
    <w:p w14:paraId="4ECB8DF1" w14:textId="77777777" w:rsidR="0037636A" w:rsidRPr="00DA2BC8" w:rsidRDefault="0037636A" w:rsidP="0037636A">
      <w:pPr>
        <w:widowControl w:val="0"/>
        <w:autoSpaceDE w:val="0"/>
        <w:autoSpaceDN w:val="0"/>
        <w:adjustRightInd w:val="0"/>
        <w:ind w:right="50"/>
        <w:contextualSpacing/>
        <w:rPr>
          <w:bCs/>
        </w:rPr>
      </w:pPr>
      <w:r w:rsidRPr="00DA2BC8">
        <w:rPr>
          <w:bCs/>
        </w:rPr>
        <w:t xml:space="preserve">Хирургическое лечение инвазивного аспергиллеза легких включает удаление очага, который </w:t>
      </w:r>
      <w:r w:rsidRPr="00DA2BC8">
        <w:t>расположен около крупных сосудов или перикарда, или в наличии активное кровохарканье из отдельного очага, или инвазия в плевральную полость/ребра.</w:t>
      </w:r>
    </w:p>
    <w:p w14:paraId="7211284C" w14:textId="77777777" w:rsidR="0037636A" w:rsidRPr="00DA2BC8" w:rsidRDefault="0037636A" w:rsidP="0037636A">
      <w:pPr>
        <w:widowControl w:val="0"/>
        <w:autoSpaceDE w:val="0"/>
        <w:autoSpaceDN w:val="0"/>
        <w:adjustRightInd w:val="0"/>
        <w:ind w:right="50"/>
        <w:contextualSpacing/>
      </w:pPr>
      <w:r w:rsidRPr="00DA2BC8">
        <w:rPr>
          <w:bCs/>
        </w:rPr>
        <w:t xml:space="preserve">Применение противогрибковых препаратов длительное и </w:t>
      </w:r>
      <w:r w:rsidRPr="00DA2BC8">
        <w:t>составляет не менее 6-12 недель. Критерием для отмены антимиоктиков является регрессия очагов в легких. Отрицательные результаты определения галактоманнана в сыворотке крови или в жидкости БАЛ в процессе лечения не являются основанием для прекращения противогрибковой терапии.</w:t>
      </w:r>
    </w:p>
    <w:p w14:paraId="1743E2F9" w14:textId="77777777" w:rsidR="0037636A" w:rsidRPr="008F73A5" w:rsidRDefault="0037636A" w:rsidP="0037636A">
      <w:pPr>
        <w:widowControl w:val="0"/>
        <w:autoSpaceDE w:val="0"/>
        <w:autoSpaceDN w:val="0"/>
        <w:adjustRightInd w:val="0"/>
        <w:ind w:right="50"/>
        <w:contextualSpacing/>
        <w:rPr>
          <w:b/>
          <w:bCs/>
        </w:rPr>
      </w:pPr>
      <w:r w:rsidRPr="008F73A5">
        <w:rPr>
          <w:b/>
          <w:bCs/>
        </w:rPr>
        <w:t>Инвазивный аспергиллезный риносинусит</w:t>
      </w:r>
    </w:p>
    <w:p w14:paraId="22672B92" w14:textId="77777777" w:rsidR="0037636A" w:rsidRPr="00DA2BC8" w:rsidRDefault="0037636A" w:rsidP="0037636A">
      <w:pPr>
        <w:widowControl w:val="0"/>
        <w:autoSpaceDE w:val="0"/>
        <w:autoSpaceDN w:val="0"/>
        <w:adjustRightInd w:val="0"/>
        <w:ind w:right="50"/>
        <w:contextualSpacing/>
      </w:pPr>
      <w:r w:rsidRPr="00EB3571">
        <w:rPr>
          <w:i/>
          <w:iCs/>
          <w:u w:val="single"/>
        </w:rPr>
        <w:t>Симптомы</w:t>
      </w:r>
      <w:r w:rsidRPr="00DA2BC8">
        <w:rPr>
          <w:bCs/>
        </w:rPr>
        <w:t xml:space="preserve"> включают </w:t>
      </w:r>
      <w:r w:rsidRPr="00DA2BC8">
        <w:t xml:space="preserve">затруднение носового дыхания, выраженную локальную боль в области пораженной околоносовой пазухи, периорбитальный отек на стороне поражения, асимметрию лица. </w:t>
      </w:r>
      <w:r>
        <w:t>При осмотре оториноларинголом н</w:t>
      </w:r>
      <w:r w:rsidRPr="00DA2BC8">
        <w:t>а слизистой оболочке нижней стенки и/или перегородки носового хода определяют некроз или изъязвления. В дальнейшем возникает деструкция мягкого и твердого неба, деструкция костей лицевой части черепа.</w:t>
      </w:r>
    </w:p>
    <w:p w14:paraId="6AFF53F5" w14:textId="77777777" w:rsidR="0037636A" w:rsidRDefault="0037636A" w:rsidP="0037636A">
      <w:pPr>
        <w:widowControl w:val="0"/>
        <w:autoSpaceDE w:val="0"/>
        <w:autoSpaceDN w:val="0"/>
        <w:adjustRightInd w:val="0"/>
        <w:ind w:right="50"/>
        <w:contextualSpacing/>
      </w:pPr>
      <w:r w:rsidRPr="00EB3571">
        <w:rPr>
          <w:i/>
          <w:iCs/>
          <w:u w:val="single"/>
        </w:rPr>
        <w:t>Диагноз аспергиллезного риносинусита</w:t>
      </w:r>
      <w:r w:rsidRPr="00DA2BC8">
        <w:rPr>
          <w:b/>
          <w:bCs/>
        </w:rPr>
        <w:t xml:space="preserve"> </w:t>
      </w:r>
      <w:r w:rsidRPr="00DA2BC8">
        <w:rPr>
          <w:bCs/>
        </w:rPr>
        <w:t>устанавливают на основании</w:t>
      </w:r>
      <w:r w:rsidRPr="00DA2BC8">
        <w:rPr>
          <w:b/>
          <w:bCs/>
        </w:rPr>
        <w:t xml:space="preserve"> </w:t>
      </w:r>
      <w:r w:rsidRPr="00DA2BC8">
        <w:t>радиологических призна</w:t>
      </w:r>
      <w:r>
        <w:t>ков (МРТ носоротоглотки)</w:t>
      </w:r>
      <w:r w:rsidRPr="00DA2BC8">
        <w:t xml:space="preserve"> и выделения культуры </w:t>
      </w:r>
      <w:r w:rsidRPr="00DA2BC8">
        <w:rPr>
          <w:i/>
          <w:iCs/>
        </w:rPr>
        <w:t xml:space="preserve">Aspergillus </w:t>
      </w:r>
      <w:r w:rsidRPr="00DA2BC8">
        <w:t>spp. из биоптата некротизированной слизистой оболочки носа или аспирата придаточных пазух носа либо обнаружение мицелия грибов при гистологическом или цитологическом исследовании биоптата (аспирата).</w:t>
      </w:r>
    </w:p>
    <w:p w14:paraId="6044C8A0" w14:textId="77777777" w:rsidR="0037636A" w:rsidRPr="00DA2BC8" w:rsidRDefault="0037636A" w:rsidP="0037636A">
      <w:pPr>
        <w:widowControl w:val="0"/>
        <w:autoSpaceDE w:val="0"/>
        <w:autoSpaceDN w:val="0"/>
        <w:adjustRightInd w:val="0"/>
        <w:ind w:right="50"/>
        <w:contextualSpacing/>
      </w:pPr>
      <w:r w:rsidRPr="00EB3571">
        <w:rPr>
          <w:i/>
          <w:iCs/>
          <w:u w:val="single"/>
        </w:rPr>
        <w:t>Для лечения</w:t>
      </w:r>
      <w:r w:rsidRPr="00DA2BC8">
        <w:rPr>
          <w:b/>
          <w:bCs/>
        </w:rPr>
        <w:t xml:space="preserve"> </w:t>
      </w:r>
      <w:r w:rsidRPr="00DA2BC8">
        <w:t>используют те же препараты, что при инвазивном аспергиллезе легких.</w:t>
      </w:r>
    </w:p>
    <w:p w14:paraId="49D18E3F" w14:textId="77777777" w:rsidR="0037636A" w:rsidRPr="001828E6" w:rsidRDefault="0037636A" w:rsidP="0037636A">
      <w:pPr>
        <w:widowControl w:val="0"/>
        <w:autoSpaceDE w:val="0"/>
        <w:autoSpaceDN w:val="0"/>
        <w:adjustRightInd w:val="0"/>
        <w:ind w:right="50"/>
        <w:contextualSpacing/>
        <w:rPr>
          <w:b/>
          <w:bCs/>
        </w:rPr>
      </w:pPr>
      <w:r w:rsidRPr="001828E6">
        <w:rPr>
          <w:b/>
          <w:bCs/>
        </w:rPr>
        <w:t xml:space="preserve">Резистентный инвазивный аспергиллез </w:t>
      </w:r>
    </w:p>
    <w:p w14:paraId="074AE4DA" w14:textId="77777777" w:rsidR="0037636A" w:rsidRPr="00DA2BC8" w:rsidRDefault="0037636A" w:rsidP="0037636A">
      <w:pPr>
        <w:widowControl w:val="0"/>
        <w:autoSpaceDE w:val="0"/>
        <w:autoSpaceDN w:val="0"/>
        <w:adjustRightInd w:val="0"/>
        <w:ind w:right="50"/>
        <w:contextualSpacing/>
      </w:pPr>
      <w:r w:rsidRPr="00DA2BC8">
        <w:rPr>
          <w:bCs/>
        </w:rPr>
        <w:t>В критерии резистентного течения входят</w:t>
      </w:r>
      <w:r w:rsidRPr="00DA2BC8">
        <w:rPr>
          <w:b/>
          <w:bCs/>
        </w:rPr>
        <w:t xml:space="preserve"> </w:t>
      </w:r>
      <w:r w:rsidRPr="00DA2BC8">
        <w:t>сохранение клинических признаков инфекции и отрицательная динамика в легких по данным КТВР не ранее чем через 7-14 дней от начала лечения.</w:t>
      </w:r>
    </w:p>
    <w:p w14:paraId="5F3A2A21" w14:textId="77777777" w:rsidR="0037636A" w:rsidRPr="00DA2BC8" w:rsidRDefault="0037636A" w:rsidP="0037636A">
      <w:pPr>
        <w:widowControl w:val="0"/>
        <w:autoSpaceDE w:val="0"/>
        <w:autoSpaceDN w:val="0"/>
        <w:adjustRightInd w:val="0"/>
        <w:ind w:right="50"/>
        <w:contextualSpacing/>
        <w:rPr>
          <w:b/>
          <w:bCs/>
          <w:i/>
          <w:iCs/>
        </w:rPr>
      </w:pPr>
      <w:r w:rsidRPr="00DA2BC8">
        <w:rPr>
          <w:bCs/>
          <w:iCs/>
        </w:rPr>
        <w:t>Проводят модификацию противогрибковой терапии, которая включает</w:t>
      </w:r>
      <w:r w:rsidRPr="00DA2BC8">
        <w:rPr>
          <w:b/>
          <w:bCs/>
          <w:i/>
          <w:iCs/>
        </w:rPr>
        <w:t xml:space="preserve"> </w:t>
      </w:r>
      <w:r w:rsidRPr="00DA2BC8">
        <w:t>добавление второго антимикотика к ранее назначенному (например, к вориконазолу добавляют эхинокандин), или назначают противогрибковый препарат другой группы, отменяя препарат первой линии (назначение липидного комплекса амфотерицина В 5 мг/кг/сутки или липосомального амфотерицина В 5 мг/кг/сутки).</w:t>
      </w:r>
    </w:p>
    <w:p w14:paraId="556F10E6" w14:textId="77777777" w:rsidR="0037636A" w:rsidRPr="00047807" w:rsidRDefault="0037636A" w:rsidP="0037636A">
      <w:pPr>
        <w:widowControl w:val="0"/>
        <w:autoSpaceDE w:val="0"/>
        <w:autoSpaceDN w:val="0"/>
        <w:adjustRightInd w:val="0"/>
        <w:ind w:right="50"/>
        <w:contextualSpacing/>
        <w:rPr>
          <w:b/>
          <w:bCs/>
        </w:rPr>
      </w:pPr>
      <w:r w:rsidRPr="00047807">
        <w:rPr>
          <w:b/>
          <w:bCs/>
        </w:rPr>
        <w:t>Инвазивный аспергиллез ЦНС</w:t>
      </w:r>
    </w:p>
    <w:p w14:paraId="20E82A63" w14:textId="77777777" w:rsidR="0037636A" w:rsidRPr="00DA2BC8" w:rsidRDefault="0037636A" w:rsidP="0037636A">
      <w:pPr>
        <w:widowControl w:val="0"/>
        <w:autoSpaceDE w:val="0"/>
        <w:autoSpaceDN w:val="0"/>
        <w:adjustRightInd w:val="0"/>
        <w:ind w:right="50"/>
        <w:contextualSpacing/>
        <w:rPr>
          <w:bCs/>
        </w:rPr>
      </w:pPr>
      <w:r w:rsidRPr="00DA2BC8">
        <w:t xml:space="preserve">Поражение аспергиллами ЦНС происходит в результате диссеминации - гематогенной или из соседнего органа (инвазия грибов из околоносовых пазух). </w:t>
      </w:r>
      <w:r w:rsidRPr="00DA2BC8">
        <w:rPr>
          <w:bCs/>
        </w:rPr>
        <w:t xml:space="preserve">В критерии диагностики входят </w:t>
      </w:r>
      <w:r w:rsidRPr="00DA2BC8">
        <w:t xml:space="preserve">неврологические симптомы, выявление очагов в головном мозге при </w:t>
      </w:r>
      <w:r>
        <w:t>КТ/СКТ</w:t>
      </w:r>
      <w:r w:rsidRPr="00DA2BC8">
        <w:t xml:space="preserve"> или МРТ</w:t>
      </w:r>
      <w:r>
        <w:t xml:space="preserve"> (по показаниям с контрастированием)</w:t>
      </w:r>
      <w:r w:rsidRPr="00DA2BC8">
        <w:t>;</w:t>
      </w:r>
      <w:r w:rsidRPr="00DA2BC8">
        <w:rPr>
          <w:bCs/>
        </w:rPr>
        <w:t xml:space="preserve"> </w:t>
      </w:r>
      <w:r w:rsidRPr="00DA2BC8">
        <w:t xml:space="preserve">наличие первичного очага инвазии аспергиллами в легких или околоносовых пазухах. В части случаев может быть определен положительный антиген </w:t>
      </w:r>
      <w:r w:rsidRPr="00DA2BC8">
        <w:rPr>
          <w:i/>
          <w:iCs/>
        </w:rPr>
        <w:t>Aspergillus</w:t>
      </w:r>
      <w:r w:rsidRPr="00DA2BC8">
        <w:t xml:space="preserve"> (галактоманнана) в СМЖ (индекс оптической плотности ≥1</w:t>
      </w:r>
      <w:r>
        <w:t>)</w:t>
      </w:r>
      <w:r w:rsidRPr="00EC3182">
        <w:t>.</w:t>
      </w:r>
      <w:r w:rsidRPr="00DA2BC8">
        <w:rPr>
          <w:b/>
          <w:bCs/>
          <w:i/>
          <w:iCs/>
        </w:rPr>
        <w:t xml:space="preserve"> </w:t>
      </w:r>
      <w:r w:rsidRPr="00DA2BC8">
        <w:t>Препарат выбора для лечения инвазивного аспергиллеза ЦНС – липосомальный амфотерицин В (5-10 мг/кг/сутки) или липидный комплекс амфотерицина В (5 мг/кг /сутки); альтернативный – вориконазол (дозы как при лечении инвазивного аспергиллеза легких) или изавуконазол.</w:t>
      </w:r>
      <w:r w:rsidRPr="00DA2BC8">
        <w:rPr>
          <w:b/>
          <w:bCs/>
        </w:rPr>
        <w:t xml:space="preserve"> </w:t>
      </w:r>
      <w:r w:rsidRPr="00DA2BC8">
        <w:rPr>
          <w:bCs/>
        </w:rPr>
        <w:t xml:space="preserve">Если лечение проводили липидной формой амфотерицина В, то после стабилизации состояния, но не ранее чем через 2 недели, можно перейти на пероральный прием азолов (вориконазол, изавуконазол, позаконазол). </w:t>
      </w:r>
      <w:r w:rsidRPr="00DA2BC8">
        <w:t>Противогрибковые препараты, включая амфотерицин В, интратекально или в очаг поражения не вводят.</w:t>
      </w:r>
      <w:r w:rsidRPr="00DA2BC8">
        <w:rPr>
          <w:bCs/>
        </w:rPr>
        <w:t xml:space="preserve"> Хирургическое лечение</w:t>
      </w:r>
      <w:r w:rsidRPr="00DA2BC8">
        <w:t xml:space="preserve"> заключается в резекции очага в головном мозге, которую проводят при условии, что не будет усугубления неврологических нарушений. Лечение длительное, составляет несколько месяцев.</w:t>
      </w:r>
    </w:p>
    <w:p w14:paraId="05AEE1D9" w14:textId="77777777" w:rsidR="0037636A" w:rsidRDefault="0037636A" w:rsidP="0037636A">
      <w:pPr>
        <w:widowControl w:val="0"/>
        <w:autoSpaceDE w:val="0"/>
        <w:autoSpaceDN w:val="0"/>
        <w:adjustRightInd w:val="0"/>
        <w:ind w:right="50"/>
        <w:contextualSpacing/>
        <w:rPr>
          <w:b/>
          <w:bCs/>
        </w:rPr>
      </w:pPr>
    </w:p>
    <w:p w14:paraId="211AF90E" w14:textId="4D682C51" w:rsidR="0037636A" w:rsidRPr="00084B8B" w:rsidRDefault="0037636A" w:rsidP="0037636A">
      <w:pPr>
        <w:widowControl w:val="0"/>
        <w:autoSpaceDE w:val="0"/>
        <w:autoSpaceDN w:val="0"/>
        <w:adjustRightInd w:val="0"/>
        <w:ind w:right="49"/>
        <w:contextualSpacing/>
        <w:rPr>
          <w:bCs/>
          <w:u w:val="single"/>
        </w:rPr>
      </w:pPr>
      <w:r w:rsidRPr="00EB3571">
        <w:rPr>
          <w:bCs/>
          <w:u w:val="single"/>
        </w:rPr>
        <w:t>Диагностика и лечение мукормикоза</w:t>
      </w:r>
      <w:r>
        <w:rPr>
          <w:bCs/>
          <w:u w:val="single"/>
          <w:lang w:val="en-US"/>
        </w:rPr>
        <w:t xml:space="preserve"> </w:t>
      </w:r>
      <w:r>
        <w:rPr>
          <w:b/>
        </w:rPr>
        <w:fldChar w:fldCharType="begin" w:fldLock="1"/>
      </w:r>
      <w:r w:rsidR="00987CCD">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-4","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patients","type":"article-journal","volume":"102"},"uris":["http://www.mendeley.com/documents/?uuid=56063fed-25f6-3324-a2f1-f316166613f0"]},{"id":"ITEM-5","itemData":{"DOI":"10.1016/S1473-3099(19)30312-3","ISSN":"14744457","PMID":"31699664","abstract":"Mucormycosis is a difficult to diagnose rare disease with high morbidity and mortality. Diagnosis is often delayed, and disease tends to progress rapidly. Urgent surgical and medical intervention is lifesaving. Guidance on the complex multidisciplinary management has potential to improve prognosis, but approaches differ between health-care settings. From January, 2018, authors from 33 countries in all United Nations regions analysed the published evidence on mucormycosis management and provided consensus recommendations addressing differences between the regions of the world as part of the “One World One Guideline” initiative of the European Confederation of Medical Mycology (ECMM). Diagnostic management does not differ greatly between world regions. Upon suspicion of mucormycosis appropriate imaging is strongly recommended to document extent of disease and is followed by strongly recommended surgical intervention. First-line treatment with high-dose liposomal amphotericin B is strongly recommended, while intravenous isavuconazole and intravenous or delayed release tablet posaconazole are recommended with moderate strength. Both triazoles are strongly recommended salvage treatments. Amphotericin B deoxycholate is recommended against, because of substantial toxicity, but may be the only option in resource limited settings. Management of mucormycosis depends on recognising disease patterns and on early diagnosis. Limited availability of contemporary treatments burdens patients in low and middle income settings. Areas of uncertainty were identified and future research directions specified.","author":[{"dropping-particle":"","family":"Cornely","given":"Oliver A.","non-dropping-particle":"","parse-names":false,"suffix":""},{"dropping-particle":"","family":"Alastruey-Izquierdo","given":"Ana","non-dropping-particle":"","parse-names":false,"suffix":""},{"dropping-particle":"","family":"Arenz","given":"Dorothee","non-dropping-particle":"","parse-names":false,"suffix":""},{"dropping-particle":"","family":"Chen","given":"Sharon C.A.","non-dropping-particle":"","parse-names":false,"suffix":""},{"dropping-particle":"","family":"Dannaoui","given":"Eric","non-dropping-particle":"","parse-names":false,"suffix":""},{"dropping-particle":"","family":"Hochhegger","given":"Bruno","non-dropping-particle":"","parse-names":false,"suffix":""},{"dropping-particle":"","family":"Hoenigl","given":"Martin","non-dropping-particle":"","parse-names":false,"suffix":""},{"dropping-particle":"","family":"Jensen","given":"Henrik E.","non-dropping-particle":"","parse-names":false,"suffix":""},{"dropping-particle":"","family":"Lagrou","given":"Katrien","non-dropping-particle":"","parse-names":false,"suffix":""},{"dropping-particle":"","family":"Lewis","given":"Russell E.","non-dropping-particle":"","parse-names":false,"suffix":""},{"dropping-particle":"","family":"Mellinghoff","given":"Sibylle C.","non-dropping-particle":"","parse-names":false,"suffix":""},{"dropping-particle":"","family":"Mer","given":"Mervyn","non-dropping-particle":"","parse-names":false,"suffix":""},{"dropping-particle":"","family":"Pana","given":"Zoi D.","non-dropping-particle":"","parse-names":false,"suffix":""},{"dropping-particle":"","family":"Seidel","given":"Danila","non-dropping-particle":"","parse-names":false,"suffix":""},{"dropping-particle":"","family":"Sheppard","given":"Donald C.","non-dropping-particle":"","parse-names":false,"suffix":""},{"dropping-particle":"","family":"Wahba","given":"Roger","non-dropping-particle":"","parse-names":false,"suffix":""},{"dropping-particle":"","family":"Akova","given":"Murat","non-dropping-particle":"","parse-names":false,"suffix":""},{"dropping-particle":"","family":"Alanio","given":"Alexandre","non-dropping-particle":"","parse-names":false,"suffix":""},{"dropping-particle":"","family":"Al-Hatmi","given":"Abdullah M.S.","non-dropping-particle":"","parse-names":false,"suffix":""},{"dropping-particle":"","family":"Arikan-Akdagli","given":"Sevtap","non-dropping-particle":"","parse-names":false,"suffix":""},{"dropping-particle":"","family":"Badali","given":"Hamid","non-dropping-particle":"","parse-names":false,"suffix":""},{"dropping-particle":"","family":"Ben-Ami","given":"Ronen","non-dropping-particle":"","parse-names":false,"suffix":""},{"dropping-particle":"","family":"Bonifaz","given":"Alexandro","non-dropping-particle":"","parse-names":false,"suffix":""},{"dropping-particle":"","family":"Bretagne","given":"Stéphane","non-dropping-particle":"","parse-names":false,"suffix":""},{"dropping-particle":"","family":"Castagnola","given":"Elio","non-dropping-particle":"","parse-names":false,"suffix":""},{"dropping-particle":"","family":"Chayakulkeeree","given":"Methee","non-dropping-particle":"","parse-names":false,"suffix":""},{"dropping-particle":"","family":"Colombo","given":"Arnaldo L.","non-dropping-particle":"","parse-names":false,"suffix":""},{"dropping-particle":"","family":"Corzo-León","given":"Dora E.","non-dropping-particle":"","parse-names":false,"suffix":""},{"dropping-particle":"","family":"Drgona","given":"Lubos","non-dropping-particle":"","parse-names":false,"suffix":""},{"dropping-particle":"","family":"Groll","given":"Andreas H.","non-dropping-particle":"","parse-names":false,"suffix":""},{"dropping-particle":"","family":"Guinea","given":"Jesus","non-dropping-particle":"","parse-names":false,"suffix":""},{"dropping-particle":"","family":"Heussel","given":"Claus Peter","non-dropping-particle":"","parse-names":false,"suffix":""},{"dropping-particle":"","family":"Ibrahim","given":"Ashraf S.","non-dropping-particle":"","parse-names":false,"suffix":""},{"dropping-particle":"","family":"Kanj","given":"Souha S.","non-dropping-particle":"","parse-names":false,"suffix":""},{"dropping-particle":"","family":"Klimko","given":"Nikolay","non-dropping-particle":"","parse-names":false,"suffix":""},{"dropping-particle":"","family":"Lackner","given":"Michaela","non-dropping-particle":"","parse-names":false,"suffix":""},{"dropping-particle":"","family":"Lamoth","given":"Frederic","non-dropping-particle":"","parse-names":false,"suffix":""},{"dropping-particle":"","family":"Lanternier","given":"Fanny","non-dropping-particle":"","parse-names":false,"suffix":""},{"dropping-particle":"","family":"Lass-Floerl","given":"Cornelia","non-dropping-particle":"","parse-names":false,"suffix":""},{"dropping-particle":"","family":"Lee","given":"Dong Gun","non-dropping-particle":"","parse-names":false,"suffix":""},{"dropping-particle":"","family":"Lehrnbecher","given":"Thomas","non-dropping-particle":"","parse-names":false,"suffix":""},{"dropping-particle":"","family":"Lmimouni","given":"Badre E.","non-dropping-particle":"","parse-names":false,"suffix":""},{"dropping-particle":"","family":"Mares","given":"Mihai","non-dropping-particle":"","parse-names":false,"suffix":""},{"dropping-particle":"","family":"Maschmeyer","given":"Georg","non-dropping-particle":"","parse-names":false,"suffix":""},{"dropping-particle":"","family":"Meis","given":"Jacques F.","non-dropping-particle":"","parse-names":false,"suffix":""},{"dropping-particle":"","family":"Meletiadis","given":"Joseph","non-dropping-particle":"","parse-names":false,"suffix":""},{"dropping-particle":"","family":"Morrissey","given":"C. Orla","non-dropping-particle":"","parse-names":false,"suffix":""},{"dropping-particle":"","family":"Nucci","given":"Marcio","non-dropping-particle":"","parse-names":false,"suffix":""},{"dropping-particle":"","family":"Oladele","given":"Rita","non-dropping-particle":"","parse-names":false,"suffix":""},{"dropping-particle":"","family":"Pagano","given":"Livio","non-dropping-particle":"","parse-names":false,"suffix":""},{"dropping-particle":"","family":"Pasqualotto","given":"Alessandro","non-dropping-particle":"","parse-names":false,"suffix":""},{"dropping-particle":"","family":"Patel","given":"Atul","non-dropping-particle":"","parse-names":false,"suffix":""},{"dropping-particle":"","family":"Racil","given":"Zdenek","non-dropping-particle":"","parse-names":false,"suffix":""},{"dropping-particle":"","family":"Richardson","given":"Malcolm","non-dropping-particle":"","parse-names":false,"suffix":""},{"dropping-particle":"","family":"Roilides","given":"Emmanuel","non-dropping-particle":"","parse-names":false,"suffix":""},{"dropping-particle":"","family":"Ruhnke","given":"Markus","non-dropping-particle":"","parse-names":false,"suffix":""},{"dropping-particle":"","family":"Seyedmousavi","given":"Seyedmojtaba","non-dropping-particle":"","parse-names":false,"suffix":""},{"dropping-particle":"","family":"Sidharthan","given":"Neeraj","non-dropping-particle":"","parse-names":false,"suffix":""},{"dropping-particle":"","family":"Singh","given":"Nina","non-dropping-particle":"","parse-names":false,"suffix":""},{"dropping-particle":"","family":"Sinko","given":"János","non-dropping-particle":"","parse-names":false,"suffix":""},{"dropping-particle":"","family":"Skiada","given":"Anna","non-dropping-particle":"","parse-names":false,"suffix":""},{"dropping-particle":"","family":"Slavin","given":"Monica","non-dropping-particle":"","parse-names":false,"suffix":""},{"dropping-particle":"","family":"Soman","given":"Rajeev","non-dropping-particle":"","parse-names":false,"suffix":""},{"dropping-particle":"","family":"Spellberg","given":"Brad","non-dropping-particle":"","parse-names":false,"suffix":""},{"dropping-particle":"","family":"Steinbach","given":"William","non-dropping-particle":"","parse-names":false,"suffix":""},{"dropping-particle":"","family":"Tan","given":"Ban Hock","non-dropping-particle":"","parse-names":false,"suffix":""},{"dropping-particle":"","family":"Ullmann","given":"Andrew J.","non-dropping-particle":"","parse-names":false,"suffix":""},{"dropping-particle":"","family":"Vehreschild","given":"Jörg J.","non-dropping-particle":"","parse-names":false,"suffix":""},{"dropping-particle":"","family":"Vehreschild","given":"Maria J.G.T.","non-dropping-particle":"","parse-names":false,"suffix":""},{"dropping-particle":"","family":"Walsh","given":"Thomas J.","non-dropping-particle":"","parse-names":false,"suffix":""},{"dropping-particle":"","family":"White","given":"P. Lewis","non-dropping-particle":"","parse-names":false,"suffix":""},{"dropping-particle":"","family":"Wiederhold","given":"Nathan P.","non-dropping-particle":"","parse-names":false,"suffix":""},{"dropping-particle":"","family":"Zaoutis","given":"Theoklis","non-dropping-particle":"","parse-names":false,"suffix":""},{"dropping-particle":"","family":"Chakrabarti","given":"Arunaloke","non-dropping-particle":"","parse-names":false,"suffix":""}],"container-title":"The Lancet Infectious Diseases","id":"ITEM-5","issue":"12","issued":{"date-parts":[["2019","12","1"]]},"page":"e405-e421","publisher":"Lancet Publishing Group","title":"Global guideline for the diagnosis and management of mucormycosis: an initiative of the European Confederation of Medical Mycology in cooperation with the Mycoses Study Group Education and Research Consortium","type":"article","volume":"19"},"uris":["http://www.mendeley.com/documents/?uuid=fc978cfc-9076-3684-a701-eca666f38a46"]}],"mendeley":{"formattedCitation":"[100,101,107,108,111]","plainTextFormattedCitation":"[100,101,107,108,111]","previouslyFormattedCitation":"[100,101,107,108,111]"},"properties":{"noteIndex":0},"schema":"https://github.com/citation-style-language/schema/raw/master/csl-citation.json"}</w:instrText>
      </w:r>
      <w:r>
        <w:rPr>
          <w:b/>
        </w:rPr>
        <w:fldChar w:fldCharType="separate"/>
      </w:r>
      <w:r w:rsidR="00BA021B" w:rsidRPr="00BA021B">
        <w:rPr>
          <w:noProof/>
        </w:rPr>
        <w:t>[100,101,107,108,111]</w:t>
      </w:r>
      <w:r>
        <w:rPr>
          <w:b/>
        </w:rPr>
        <w:fldChar w:fldCharType="end"/>
      </w:r>
    </w:p>
    <w:p w14:paraId="22D162E8" w14:textId="77777777" w:rsidR="0037636A" w:rsidRPr="00DA2BC8" w:rsidRDefault="0037636A" w:rsidP="0037636A">
      <w:pPr>
        <w:widowControl w:val="0"/>
        <w:autoSpaceDE w:val="0"/>
        <w:autoSpaceDN w:val="0"/>
        <w:adjustRightInd w:val="0"/>
        <w:ind w:right="50"/>
        <w:contextualSpacing/>
      </w:pPr>
      <w:r w:rsidRPr="00DA2BC8">
        <w:t>Мукормикоз занимает вторую позицию после инвазивного аспергиллеза в спектре инвазивных микозо</w:t>
      </w:r>
      <w:r>
        <w:t>в, вызванных плесневыми грибами</w:t>
      </w:r>
      <w:r w:rsidRPr="00DA2BC8">
        <w:t xml:space="preserve"> у </w:t>
      </w:r>
      <w:r>
        <w:t>гематологических пациентов</w:t>
      </w:r>
      <w:r w:rsidRPr="00DA2BC8">
        <w:t xml:space="preserve">. Частота мукормикоза у </w:t>
      </w:r>
      <w:r>
        <w:t>гематологических пациентов</w:t>
      </w:r>
      <w:r w:rsidRPr="00DA2BC8">
        <w:t xml:space="preserve"> не превышает 0,5%, в структуре инвазивных микозов составляет </w:t>
      </w:r>
      <w:r>
        <w:t>3-5</w:t>
      </w:r>
      <w:r w:rsidRPr="00DA2BC8">
        <w:t xml:space="preserve">. Мукормикоз преобладает у больных острыми лейкозами и реципиентов аллогенных СГК, характеризуется агрессивным течением с преимущественным поражением легких, частой диссеминацией (25-40%), высокой летальностью (50—60%). </w:t>
      </w:r>
      <w:r w:rsidRPr="00DA2BC8">
        <w:rPr>
          <w:bCs/>
        </w:rPr>
        <w:t xml:space="preserve">Возбудители </w:t>
      </w:r>
      <w:r w:rsidRPr="00DA2BC8">
        <w:t xml:space="preserve">– мицелиальные грибы </w:t>
      </w:r>
      <w:r w:rsidRPr="00DA2BC8">
        <w:rPr>
          <w:i/>
          <w:iCs/>
        </w:rPr>
        <w:t>Mucorales</w:t>
      </w:r>
      <w:r w:rsidRPr="00DA2BC8">
        <w:t xml:space="preserve">, среди них наиболее часто инфекцию у человека вызывают </w:t>
      </w:r>
      <w:r w:rsidRPr="00DA2BC8">
        <w:rPr>
          <w:i/>
          <w:iCs/>
        </w:rPr>
        <w:t>Rhizopus</w:t>
      </w:r>
      <w:r w:rsidRPr="00DA2BC8">
        <w:t xml:space="preserve"> spp., </w:t>
      </w:r>
      <w:r w:rsidRPr="00DA2BC8">
        <w:rPr>
          <w:i/>
          <w:iCs/>
        </w:rPr>
        <w:t>Mucor</w:t>
      </w:r>
      <w:r w:rsidRPr="00DA2BC8">
        <w:t xml:space="preserve"> spp., </w:t>
      </w:r>
      <w:r w:rsidRPr="00DA2BC8">
        <w:rPr>
          <w:i/>
          <w:iCs/>
        </w:rPr>
        <w:t>Lichtheimia</w:t>
      </w:r>
      <w:r w:rsidRPr="00DA2BC8">
        <w:t xml:space="preserve"> (</w:t>
      </w:r>
      <w:r w:rsidRPr="00DA2BC8">
        <w:rPr>
          <w:i/>
          <w:iCs/>
        </w:rPr>
        <w:t>Absidia</w:t>
      </w:r>
      <w:r w:rsidRPr="00DA2BC8">
        <w:t xml:space="preserve">) spp., </w:t>
      </w:r>
      <w:r w:rsidRPr="00DA2BC8">
        <w:rPr>
          <w:i/>
          <w:iCs/>
        </w:rPr>
        <w:t>Cunninghamella</w:t>
      </w:r>
      <w:r w:rsidRPr="00DA2BC8">
        <w:t xml:space="preserve"> spp., </w:t>
      </w:r>
      <w:r w:rsidRPr="00DA2BC8">
        <w:rPr>
          <w:i/>
          <w:iCs/>
        </w:rPr>
        <w:t>Rhizomucor</w:t>
      </w:r>
      <w:r w:rsidRPr="00DA2BC8">
        <w:t xml:space="preserve"> spp., </w:t>
      </w:r>
      <w:r w:rsidRPr="00DA2BC8">
        <w:rPr>
          <w:i/>
          <w:iCs/>
        </w:rPr>
        <w:t>Apophysomyces</w:t>
      </w:r>
      <w:r w:rsidRPr="00DA2BC8">
        <w:t xml:space="preserve"> spp., </w:t>
      </w:r>
      <w:r w:rsidRPr="00DA2BC8">
        <w:rPr>
          <w:i/>
          <w:iCs/>
        </w:rPr>
        <w:t>Saksenaea</w:t>
      </w:r>
      <w:r w:rsidRPr="00DA2BC8">
        <w:t xml:space="preserve"> spp.</w:t>
      </w:r>
    </w:p>
    <w:p w14:paraId="55CC296F" w14:textId="77777777" w:rsidR="0037636A" w:rsidRPr="00DA2BC8" w:rsidRDefault="0037636A" w:rsidP="0037636A">
      <w:pPr>
        <w:widowControl w:val="0"/>
        <w:autoSpaceDE w:val="0"/>
        <w:autoSpaceDN w:val="0"/>
        <w:adjustRightInd w:val="0"/>
        <w:ind w:right="50"/>
        <w:contextualSpacing/>
      </w:pPr>
      <w:r w:rsidRPr="00686506">
        <w:rPr>
          <w:i/>
          <w:iCs/>
          <w:u w:val="single"/>
        </w:rPr>
        <w:t>Факторы риска</w:t>
      </w:r>
      <w:r w:rsidRPr="00DA2BC8">
        <w:t xml:space="preserve"> возникновения мукормикоза во многом схожи с таковыми для инвазивного аспергиллеза и включают длительную гранулоцитопению (нейтрофилов менее 0,5 × 10</w:t>
      </w:r>
      <w:r w:rsidRPr="00DA2BC8">
        <w:rPr>
          <w:vertAlign w:val="superscript"/>
        </w:rPr>
        <w:t>9</w:t>
      </w:r>
      <w:r w:rsidRPr="00DA2BC8">
        <w:t xml:space="preserve">/л), трансплантацию аллогенных СГК, отсутствие ремиссии гемобластоза, лечение глюкокортикостероидами и другими иммуносупрессивными препаратами. К дополнительным факторам риска, ассоциированным с развитием мукормикоза, относят сахарный диабет, тяжелые травмы и обширные ожоги. Следует отметить, что вориконазол не активен в отношении </w:t>
      </w:r>
      <w:r w:rsidRPr="00DA2BC8">
        <w:rPr>
          <w:i/>
          <w:iCs/>
        </w:rPr>
        <w:t>Mucorale</w:t>
      </w:r>
      <w:r w:rsidRPr="00DA2BC8">
        <w:t xml:space="preserve">s, и в период его применения может возникать мукормикоз. Важным компонентом метаболизма </w:t>
      </w:r>
      <w:r w:rsidRPr="00DA2BC8">
        <w:rPr>
          <w:i/>
          <w:iCs/>
        </w:rPr>
        <w:t xml:space="preserve">Mucorales </w:t>
      </w:r>
      <w:r w:rsidRPr="00DA2BC8">
        <w:t xml:space="preserve">является железо, поэтому </w:t>
      </w:r>
      <w:r>
        <w:t>пациентов</w:t>
      </w:r>
      <w:r w:rsidRPr="00DA2BC8">
        <w:t xml:space="preserve"> с гемосидерозом относят к группе высокого риска по возникновению мукормикоза, как и пациентов, получающих лечение дефероксамином. </w:t>
      </w:r>
    </w:p>
    <w:p w14:paraId="145E6849" w14:textId="77777777" w:rsidR="0037636A" w:rsidRPr="00047807" w:rsidRDefault="0037636A" w:rsidP="0037636A">
      <w:pPr>
        <w:widowControl w:val="0"/>
        <w:autoSpaceDE w:val="0"/>
        <w:autoSpaceDN w:val="0"/>
        <w:adjustRightInd w:val="0"/>
        <w:ind w:right="50"/>
        <w:contextualSpacing/>
        <w:rPr>
          <w:b/>
          <w:bCs/>
        </w:rPr>
      </w:pPr>
      <w:r w:rsidRPr="00047807">
        <w:rPr>
          <w:b/>
          <w:bCs/>
        </w:rPr>
        <w:t>Мукормикоз легких</w:t>
      </w:r>
    </w:p>
    <w:p w14:paraId="04D36DA6" w14:textId="77777777" w:rsidR="0037636A" w:rsidRPr="00686506" w:rsidRDefault="0037636A" w:rsidP="0037636A">
      <w:pPr>
        <w:widowControl w:val="0"/>
        <w:autoSpaceDE w:val="0"/>
        <w:autoSpaceDN w:val="0"/>
        <w:adjustRightInd w:val="0"/>
        <w:ind w:right="50"/>
        <w:contextualSpacing/>
        <w:rPr>
          <w:i/>
          <w:iCs/>
          <w:u w:val="single"/>
        </w:rPr>
      </w:pPr>
      <w:r w:rsidRPr="00686506">
        <w:rPr>
          <w:i/>
          <w:iCs/>
          <w:u w:val="single"/>
        </w:rPr>
        <w:t>Симптомы</w:t>
      </w:r>
    </w:p>
    <w:p w14:paraId="3E222477" w14:textId="77777777" w:rsidR="0037636A" w:rsidRPr="00DA2BC8" w:rsidRDefault="0037636A" w:rsidP="0037636A">
      <w:pPr>
        <w:widowControl w:val="0"/>
        <w:autoSpaceDE w:val="0"/>
        <w:autoSpaceDN w:val="0"/>
        <w:adjustRightInd w:val="0"/>
        <w:ind w:right="50"/>
        <w:contextualSpacing/>
      </w:pPr>
      <w:r w:rsidRPr="00DA2BC8">
        <w:t xml:space="preserve">Клинические проявления скудные, неспецифичные, схожи с таковыми при инвазивном аспергиллезе легких. Нередко присутствует непродуктивный кашель, прогрессирующая дыхательная недостаточность, плевральная боль. При наличии плеврита может выслушиваться шум трения плевры. Инвазия мицелия грибов в сосуды вызывает некроз окружающих тканей и приводит к образованию полостей и фатальным легочным кровотечениям. У </w:t>
      </w:r>
      <w:r>
        <w:t>гематологических пациентов</w:t>
      </w:r>
      <w:r w:rsidRPr="00DA2BC8">
        <w:t xml:space="preserve"> часто бывает диссеминация инфекции вследствие инвазии грибов в окружающие ткани и органы (бронхи, плевру, грудную стенку, диафрагму, печень и др.), или гематогенно (в головной мозг, селезенку, почки, сердце, мягкие ткани и т. д.). Для диссеминированной формы инфекции характерны симптомы, соответствующие локализации очагов поражения. </w:t>
      </w:r>
    </w:p>
    <w:p w14:paraId="3EDDB4AF" w14:textId="77777777" w:rsidR="0037636A" w:rsidRPr="00DA2BC8" w:rsidRDefault="0037636A" w:rsidP="0037636A">
      <w:pPr>
        <w:widowControl w:val="0"/>
        <w:autoSpaceDE w:val="0"/>
        <w:autoSpaceDN w:val="0"/>
        <w:adjustRightInd w:val="0"/>
        <w:ind w:right="50"/>
        <w:contextualSpacing/>
        <w:rPr>
          <w:b/>
          <w:bCs/>
        </w:rPr>
      </w:pPr>
      <w:r w:rsidRPr="00686506">
        <w:rPr>
          <w:i/>
          <w:iCs/>
          <w:u w:val="single"/>
        </w:rPr>
        <w:t>Диагностика мукормикоза легких</w:t>
      </w:r>
      <w:r w:rsidRPr="00DA2BC8">
        <w:rPr>
          <w:b/>
          <w:bCs/>
        </w:rPr>
        <w:t xml:space="preserve"> </w:t>
      </w:r>
      <w:r w:rsidRPr="00DA2BC8">
        <w:rPr>
          <w:bCs/>
        </w:rPr>
        <w:t xml:space="preserve">включает присутствие факторов риска, радиологические изменения в легких и наличие микологического подтверждения инфекции. </w:t>
      </w:r>
    </w:p>
    <w:p w14:paraId="5A69740A" w14:textId="77777777" w:rsidR="0037636A" w:rsidRPr="00686506" w:rsidRDefault="0037636A" w:rsidP="0037636A">
      <w:pPr>
        <w:widowControl w:val="0"/>
        <w:autoSpaceDE w:val="0"/>
        <w:autoSpaceDN w:val="0"/>
        <w:adjustRightInd w:val="0"/>
        <w:ind w:right="50"/>
        <w:contextualSpacing/>
        <w:rPr>
          <w:i/>
          <w:iCs/>
          <w:u w:val="single"/>
        </w:rPr>
      </w:pPr>
      <w:r w:rsidRPr="00686506">
        <w:rPr>
          <w:i/>
          <w:iCs/>
          <w:u w:val="single"/>
        </w:rPr>
        <w:t>Радиологические особенности мукормикоза легких</w:t>
      </w:r>
    </w:p>
    <w:p w14:paraId="1A959500" w14:textId="77777777" w:rsidR="0037636A" w:rsidRPr="00DA2BC8" w:rsidRDefault="0037636A" w:rsidP="0037636A">
      <w:pPr>
        <w:widowControl w:val="0"/>
        <w:autoSpaceDE w:val="0"/>
        <w:autoSpaceDN w:val="0"/>
        <w:adjustRightInd w:val="0"/>
        <w:ind w:right="50"/>
        <w:contextualSpacing/>
      </w:pPr>
      <w:r w:rsidRPr="00DA2BC8">
        <w:t>Основа радиологической диагностики – это КТ</w:t>
      </w:r>
      <w:r>
        <w:t>/СКТ</w:t>
      </w:r>
      <w:r w:rsidRPr="00DA2BC8">
        <w:t>. Радиологические проявления мукормикоза неспецифичны и часто схожи с инвазивным аспергиллезом. Выделяют ряд радиологических признаков, которые в большей степени характерны для мукормикоза, чем для инвазивного аспергиллеза, и включают симптом «обратного ореола» (просветление в центре очага или зоны консолидации), плевральный выпот, наличие от 10 и более очагов в легких.</w:t>
      </w:r>
    </w:p>
    <w:p w14:paraId="7781F404" w14:textId="77777777" w:rsidR="0037636A" w:rsidRPr="00686506" w:rsidRDefault="0037636A" w:rsidP="0037636A">
      <w:pPr>
        <w:widowControl w:val="0"/>
        <w:autoSpaceDE w:val="0"/>
        <w:autoSpaceDN w:val="0"/>
        <w:adjustRightInd w:val="0"/>
        <w:ind w:right="50"/>
        <w:contextualSpacing/>
        <w:rPr>
          <w:bCs/>
          <w:i/>
          <w:iCs/>
        </w:rPr>
      </w:pPr>
      <w:r w:rsidRPr="00686506">
        <w:rPr>
          <w:bCs/>
          <w:i/>
          <w:iCs/>
          <w:u w:val="single"/>
        </w:rPr>
        <w:t>Микологическая диагностика мукормикоза</w:t>
      </w:r>
    </w:p>
    <w:p w14:paraId="4F7B478C" w14:textId="77777777" w:rsidR="0037636A" w:rsidRPr="00DA2BC8" w:rsidRDefault="0037636A" w:rsidP="0037636A">
      <w:pPr>
        <w:widowControl w:val="0"/>
        <w:autoSpaceDE w:val="0"/>
        <w:autoSpaceDN w:val="0"/>
        <w:adjustRightInd w:val="0"/>
        <w:ind w:right="50"/>
        <w:contextualSpacing/>
      </w:pPr>
      <w:r w:rsidRPr="00DA2BC8">
        <w:t xml:space="preserve">Нет серологических маркеров диагностики. Исследуют жидкость БАЛ или биоптаты органов. Диагноз устанавливают на основании обнаружения несептированного мицелия при флуоресцентной микроскопии либо при гистологическом исследовании биоптата, или детекции культуры грибов </w:t>
      </w:r>
      <w:r w:rsidRPr="00DA2BC8">
        <w:rPr>
          <w:i/>
          <w:iCs/>
        </w:rPr>
        <w:t>Mucorales</w:t>
      </w:r>
      <w:r w:rsidRPr="00DA2BC8">
        <w:t xml:space="preserve"> из исследуемых образцов. Вероятность получения культуры </w:t>
      </w:r>
      <w:r w:rsidRPr="00DA2BC8">
        <w:rPr>
          <w:i/>
          <w:iCs/>
        </w:rPr>
        <w:t xml:space="preserve">Mucorales </w:t>
      </w:r>
      <w:r w:rsidRPr="00DA2BC8">
        <w:rPr>
          <w:iCs/>
        </w:rPr>
        <w:t xml:space="preserve">выше из биоптатов, чем из жидкости БАЛ. </w:t>
      </w:r>
    </w:p>
    <w:p w14:paraId="477496B5" w14:textId="77777777" w:rsidR="0037636A" w:rsidRPr="00686506" w:rsidRDefault="0037636A" w:rsidP="0037636A">
      <w:pPr>
        <w:widowControl w:val="0"/>
        <w:autoSpaceDE w:val="0"/>
        <w:autoSpaceDN w:val="0"/>
        <w:adjustRightInd w:val="0"/>
        <w:ind w:right="50"/>
        <w:contextualSpacing/>
        <w:rPr>
          <w:i/>
          <w:iCs/>
          <w:u w:val="single"/>
        </w:rPr>
      </w:pPr>
      <w:r w:rsidRPr="00686506">
        <w:rPr>
          <w:i/>
          <w:iCs/>
          <w:u w:val="single"/>
        </w:rPr>
        <w:t>Лечение мукормикоза легких</w:t>
      </w:r>
    </w:p>
    <w:p w14:paraId="5EC67737" w14:textId="77777777" w:rsidR="0037636A" w:rsidRPr="00DA2BC8" w:rsidRDefault="0037636A" w:rsidP="0037636A">
      <w:pPr>
        <w:widowControl w:val="0"/>
        <w:autoSpaceDE w:val="0"/>
        <w:autoSpaceDN w:val="0"/>
        <w:adjustRightInd w:val="0"/>
        <w:ind w:right="50"/>
        <w:contextualSpacing/>
      </w:pPr>
      <w:r w:rsidRPr="00DA2BC8">
        <w:t xml:space="preserve">Мукормикоз характеризуется крайне агрессивным течением. Лечение необходимо начинать при первых признаках инфекции, поскольку промедление в назначении антимикотиков приводит к увеличению частоты летальных исходов. </w:t>
      </w:r>
      <w:r w:rsidRPr="00DA2BC8">
        <w:rPr>
          <w:bCs/>
        </w:rPr>
        <w:t>Препаратами выбора для лечения являются липидные формы амфотерицина В (</w:t>
      </w:r>
      <w:r w:rsidRPr="00DA2BC8">
        <w:t>липосомальный амфотерицин или липидный комплекс амфотерицина В 5 мг/кг/сутки), альтернативный - изавуконазол (изавуконазол по 200 мг каждые 8 час в течение 2 дней (6 доз), далее по 200 мг 1 раз в сутки внутривенно или перорально). Замену липидной формы амфотерицина В на позаконазол проводят при одновременном наличии следующих условий: положительная динамика в легких по данным КТВР, стабильном состоянии больного, отсутствии мукозита и диареи, полноценном питании, отсутствии нарушения функции печени.</w:t>
      </w:r>
    </w:p>
    <w:p w14:paraId="7ED87489" w14:textId="77777777" w:rsidR="0037636A" w:rsidRPr="00DA2BC8" w:rsidRDefault="0037636A" w:rsidP="0037636A">
      <w:pPr>
        <w:widowControl w:val="0"/>
        <w:autoSpaceDE w:val="0"/>
        <w:autoSpaceDN w:val="0"/>
        <w:adjustRightInd w:val="0"/>
        <w:ind w:right="50"/>
        <w:contextualSpacing/>
      </w:pPr>
      <w:r w:rsidRPr="00DA2BC8">
        <w:t>При диссеминации Mucorales в головной мозг препаратом выбора является липосомальный амфотерицин, дозирование может быть увеличено до 10 мг/кг в сутки. При неэффективности к липидным формам амфотерицина В добавляют эхинокандин или позаконазол.</w:t>
      </w:r>
    </w:p>
    <w:p w14:paraId="50FB99C3" w14:textId="77777777" w:rsidR="0037636A" w:rsidRPr="00686506" w:rsidRDefault="0037636A" w:rsidP="0037636A">
      <w:pPr>
        <w:widowControl w:val="0"/>
        <w:autoSpaceDE w:val="0"/>
        <w:autoSpaceDN w:val="0"/>
        <w:adjustRightInd w:val="0"/>
        <w:ind w:right="50"/>
        <w:contextualSpacing/>
        <w:rPr>
          <w:i/>
          <w:iCs/>
          <w:u w:val="single"/>
        </w:rPr>
      </w:pPr>
      <w:r w:rsidRPr="00686506">
        <w:rPr>
          <w:i/>
          <w:iCs/>
          <w:u w:val="single"/>
        </w:rPr>
        <w:t>Хирургическое лечение мукормикоза легких</w:t>
      </w:r>
    </w:p>
    <w:p w14:paraId="5F46C08E" w14:textId="77777777" w:rsidR="0037636A" w:rsidRPr="00DA2BC8" w:rsidRDefault="0037636A" w:rsidP="0037636A">
      <w:pPr>
        <w:widowControl w:val="0"/>
        <w:autoSpaceDE w:val="0"/>
        <w:autoSpaceDN w:val="0"/>
        <w:adjustRightInd w:val="0"/>
        <w:ind w:right="50"/>
        <w:contextualSpacing/>
      </w:pPr>
      <w:r w:rsidRPr="00DA2BC8">
        <w:rPr>
          <w:i/>
          <w:iCs/>
        </w:rPr>
        <w:t>При локализованной форме</w:t>
      </w:r>
      <w:r w:rsidRPr="00DA2BC8">
        <w:t xml:space="preserve"> мукормикоза легких показано хирургическое лечение во всех случаях, если позволяет состояние </w:t>
      </w:r>
      <w:r>
        <w:t>пациента</w:t>
      </w:r>
      <w:r w:rsidRPr="00DA2BC8">
        <w:t xml:space="preserve">. Операцию выполняют при стабилизации состояния больного. </w:t>
      </w:r>
      <w:r w:rsidRPr="00DA2BC8">
        <w:rPr>
          <w:i/>
          <w:iCs/>
        </w:rPr>
        <w:t>При диссеминации</w:t>
      </w:r>
      <w:r w:rsidRPr="00DA2BC8">
        <w:t xml:space="preserve"> необходимость хирургического лечения определяется индивидуально.</w:t>
      </w:r>
    </w:p>
    <w:p w14:paraId="3855E4F3" w14:textId="77777777" w:rsidR="0037636A" w:rsidRPr="00DA2BC8" w:rsidRDefault="0037636A" w:rsidP="0037636A">
      <w:pPr>
        <w:widowControl w:val="0"/>
        <w:autoSpaceDE w:val="0"/>
        <w:autoSpaceDN w:val="0"/>
        <w:adjustRightInd w:val="0"/>
        <w:ind w:right="50"/>
        <w:contextualSpacing/>
      </w:pPr>
      <w:r w:rsidRPr="00686506">
        <w:t>Лечение</w:t>
      </w:r>
      <w:r w:rsidRPr="00DA2BC8">
        <w:rPr>
          <w:b/>
          <w:bCs/>
        </w:rPr>
        <w:t xml:space="preserve"> </w:t>
      </w:r>
      <w:r w:rsidRPr="00DA2BC8">
        <w:t xml:space="preserve">мукормикоза антимикотиками длительное, несколько месяцев. Критерием для отмены противогрибковых препаратов является регрессия очагов в легких. Всем больных, имевших мукормикоз в анамнезе, во время очередных курсов ПХТ проводят профилактику позаконазолом по 200 мг 3 раза в сутки в суспензии или изавуконазолом (см. вторичная профилактика). </w:t>
      </w:r>
    </w:p>
    <w:p w14:paraId="523CFE31" w14:textId="77777777" w:rsidR="0037636A" w:rsidRPr="00047807" w:rsidRDefault="0037636A" w:rsidP="0037636A">
      <w:pPr>
        <w:widowControl w:val="0"/>
        <w:autoSpaceDE w:val="0"/>
        <w:autoSpaceDN w:val="0"/>
        <w:adjustRightInd w:val="0"/>
        <w:ind w:right="51"/>
        <w:contextualSpacing/>
        <w:rPr>
          <w:b/>
          <w:bCs/>
        </w:rPr>
      </w:pPr>
      <w:r w:rsidRPr="00047807">
        <w:rPr>
          <w:b/>
          <w:bCs/>
        </w:rPr>
        <w:t>Мукормикоз придаточных пазух носа</w:t>
      </w:r>
    </w:p>
    <w:p w14:paraId="08F07552" w14:textId="77777777" w:rsidR="0037636A" w:rsidRPr="00DA2BC8" w:rsidRDefault="0037636A" w:rsidP="0037636A">
      <w:pPr>
        <w:widowControl w:val="0"/>
        <w:autoSpaceDE w:val="0"/>
        <w:autoSpaceDN w:val="0"/>
        <w:adjustRightInd w:val="0"/>
        <w:ind w:right="51"/>
        <w:contextualSpacing/>
      </w:pPr>
      <w:r w:rsidRPr="00DA2BC8">
        <w:t xml:space="preserve">Эта локализация инфекции наиболее характерна для </w:t>
      </w:r>
      <w:r>
        <w:t xml:space="preserve">гематологических пациентов с </w:t>
      </w:r>
      <w:r w:rsidRPr="00DA2BC8">
        <w:t xml:space="preserve">сахарным диабетом. Клиническая картина аналогична инвазивному аспергиллезному риносинуситу, но мукормикоз протекает более агрессивно, и в течение нескольких дней происходит вовлечение в инфекционный процесс окружающих мягких тканей (некроз) с деструкцией костей черепа и инвазией грибов в орбиту и головной мозг. Как правило, наблюдается одностороннее поражение грибами </w:t>
      </w:r>
      <w:r w:rsidRPr="00DA2BC8">
        <w:rPr>
          <w:i/>
        </w:rPr>
        <w:t>Mucorale</w:t>
      </w:r>
      <w:r w:rsidRPr="00DA2BC8">
        <w:rPr>
          <w:i/>
          <w:iCs/>
        </w:rPr>
        <w:t>s</w:t>
      </w:r>
      <w:r w:rsidRPr="00DA2BC8">
        <w:t xml:space="preserve"> придаточных пазух носа. </w:t>
      </w:r>
    </w:p>
    <w:p w14:paraId="0BD18443" w14:textId="77777777" w:rsidR="0037636A" w:rsidRPr="00DA2BC8" w:rsidRDefault="0037636A" w:rsidP="0037636A">
      <w:pPr>
        <w:widowControl w:val="0"/>
        <w:autoSpaceDE w:val="0"/>
        <w:autoSpaceDN w:val="0"/>
        <w:adjustRightInd w:val="0"/>
        <w:ind w:right="51"/>
        <w:contextualSpacing/>
      </w:pPr>
      <w:r w:rsidRPr="00DA2BC8">
        <w:t xml:space="preserve">Начальные симптомы заболевания включают боль, отек и покраснение на стороне поражения. В дальнейшем возникает некроз или изъязвления на слизистой оболочке носовых ходов, коже. Часто бывает гематогенненная диссеминация. Клиническая картина соответствует локализации очага поражения. </w:t>
      </w:r>
    </w:p>
    <w:p w14:paraId="7FCBBE06" w14:textId="77777777" w:rsidR="0037636A" w:rsidRPr="00DA2BC8" w:rsidRDefault="0037636A" w:rsidP="0037636A">
      <w:pPr>
        <w:widowControl w:val="0"/>
        <w:autoSpaceDE w:val="0"/>
        <w:autoSpaceDN w:val="0"/>
        <w:adjustRightInd w:val="0"/>
        <w:ind w:right="51"/>
        <w:contextualSpacing/>
      </w:pPr>
      <w:r w:rsidRPr="00686506">
        <w:rPr>
          <w:i/>
          <w:iCs/>
          <w:u w:val="single"/>
        </w:rPr>
        <w:t>Диагностика мукормикозного риносинусита</w:t>
      </w:r>
      <w:r w:rsidRPr="00DA2BC8">
        <w:rPr>
          <w:b/>
          <w:bCs/>
        </w:rPr>
        <w:t xml:space="preserve"> </w:t>
      </w:r>
      <w:r w:rsidRPr="00DA2BC8">
        <w:rPr>
          <w:bCs/>
        </w:rPr>
        <w:t>включает наличие</w:t>
      </w:r>
      <w:r w:rsidRPr="00DA2BC8">
        <w:rPr>
          <w:b/>
          <w:bCs/>
        </w:rPr>
        <w:t xml:space="preserve"> </w:t>
      </w:r>
      <w:r w:rsidRPr="00DA2BC8">
        <w:t>радиологических признаков риносинусита, деструкции костей черепа</w:t>
      </w:r>
      <w:r>
        <w:t xml:space="preserve"> при КТ/СКТ/МРТ</w:t>
      </w:r>
      <w:r w:rsidRPr="00DA2BC8">
        <w:t>;</w:t>
      </w:r>
      <w:r w:rsidRPr="00DA2BC8">
        <w:rPr>
          <w:b/>
          <w:bCs/>
        </w:rPr>
        <w:t xml:space="preserve"> </w:t>
      </w:r>
      <w:r w:rsidRPr="00DA2BC8">
        <w:t xml:space="preserve">выделение культуры </w:t>
      </w:r>
      <w:r w:rsidRPr="00DA2BC8">
        <w:rPr>
          <w:i/>
        </w:rPr>
        <w:t>Mucorales</w:t>
      </w:r>
      <w:r w:rsidRPr="00DA2BC8">
        <w:t xml:space="preserve"> из биоптата некротизированной слизистой оболочки носа или аспирата придаточных пазух носа или обнаружение несептированного мицелия грибов при гистологическом или цитологическом исследовании биоптата (аспирата). </w:t>
      </w:r>
    </w:p>
    <w:p w14:paraId="4645FB84" w14:textId="77777777" w:rsidR="0037636A" w:rsidRPr="00DA2BC8" w:rsidRDefault="0037636A" w:rsidP="0037636A">
      <w:pPr>
        <w:widowControl w:val="0"/>
        <w:autoSpaceDE w:val="0"/>
        <w:autoSpaceDN w:val="0"/>
        <w:adjustRightInd w:val="0"/>
        <w:ind w:right="51"/>
        <w:contextualSpacing/>
        <w:rPr>
          <w:b/>
          <w:bCs/>
        </w:rPr>
      </w:pPr>
      <w:r w:rsidRPr="00686506">
        <w:rPr>
          <w:i/>
          <w:iCs/>
          <w:u w:val="single"/>
        </w:rPr>
        <w:t>Лечение мукормикоза придаточных пазух носа</w:t>
      </w:r>
      <w:r w:rsidRPr="00DA2BC8">
        <w:t xml:space="preserve"> является комбинированным и включает назначение противогрибковых препаратов в сочетании с оперативным лечением. Применяют те же антимикотики, что при мукормикозе легких.</w:t>
      </w:r>
      <w:r w:rsidRPr="00DA2BC8">
        <w:rPr>
          <w:bCs/>
        </w:rPr>
        <w:t xml:space="preserve"> </w:t>
      </w:r>
      <w:r w:rsidRPr="00DA2BC8">
        <w:t xml:space="preserve">Хирургическую резекцию очага поражения обязательно выполняют в пределах здоровых тканей. </w:t>
      </w:r>
    </w:p>
    <w:p w14:paraId="05CEE33A" w14:textId="77777777" w:rsidR="0037636A" w:rsidRPr="00047807" w:rsidRDefault="0037636A" w:rsidP="0037636A">
      <w:pPr>
        <w:widowControl w:val="0"/>
        <w:autoSpaceDE w:val="0"/>
        <w:autoSpaceDN w:val="0"/>
        <w:adjustRightInd w:val="0"/>
        <w:ind w:right="51"/>
        <w:contextualSpacing/>
        <w:rPr>
          <w:b/>
          <w:bCs/>
        </w:rPr>
      </w:pPr>
      <w:r w:rsidRPr="00047807">
        <w:rPr>
          <w:b/>
          <w:bCs/>
        </w:rPr>
        <w:t>Мукормикоз кожи и мягких тканей</w:t>
      </w:r>
    </w:p>
    <w:p w14:paraId="6CEFED9A" w14:textId="77777777" w:rsidR="0037636A" w:rsidRPr="00DA2BC8" w:rsidRDefault="0037636A" w:rsidP="0037636A">
      <w:pPr>
        <w:widowControl w:val="0"/>
        <w:autoSpaceDE w:val="0"/>
        <w:autoSpaceDN w:val="0"/>
        <w:adjustRightInd w:val="0"/>
        <w:ind w:right="51"/>
        <w:contextualSpacing/>
      </w:pPr>
      <w:r w:rsidRPr="00DA2BC8">
        <w:t xml:space="preserve">Такая локализация инфекции преобладает у </w:t>
      </w:r>
      <w:r>
        <w:t>пациентов</w:t>
      </w:r>
      <w:r w:rsidRPr="00DA2BC8">
        <w:t xml:space="preserve"> с обширными травмами и ожогами. В некоторых случаях может быть следствием инвазивных медицинских процедур при использовании медицинского оборудования, контаминированного грибами </w:t>
      </w:r>
      <w:r w:rsidRPr="00DA2BC8">
        <w:rPr>
          <w:i/>
        </w:rPr>
        <w:t>Mucorales</w:t>
      </w:r>
      <w:r w:rsidRPr="00DA2BC8">
        <w:t xml:space="preserve">. </w:t>
      </w:r>
    </w:p>
    <w:p w14:paraId="4B7B1C5D" w14:textId="77777777" w:rsidR="0037636A" w:rsidRPr="00DA2BC8" w:rsidRDefault="0037636A" w:rsidP="0037636A">
      <w:pPr>
        <w:widowControl w:val="0"/>
        <w:autoSpaceDE w:val="0"/>
        <w:autoSpaceDN w:val="0"/>
        <w:adjustRightInd w:val="0"/>
        <w:ind w:right="51"/>
        <w:contextualSpacing/>
      </w:pPr>
      <w:r w:rsidRPr="00DA2BC8">
        <w:t xml:space="preserve">Симптомы мукормикоза кожи и мягких тканей включают наличие признаков воспаления (гиперемии, болезненности, уплотнения) в области очага инфекции с некрозом в центре, который появляется в течение короткого временного промежутка (1-4 суток). Инвазия грибов происходит в окружающие ткани, включая подкожно-жировую клетчатку и мышцы. При прорастании сосудов происходит гематогенная диссеминация мукормикоза в другие органы и ткани. Для диагностики мукормикоза мягких тканей необходимо провести краевую биопсию области поражения. </w:t>
      </w:r>
      <w:r w:rsidRPr="00DA2BC8">
        <w:rPr>
          <w:bCs/>
        </w:rPr>
        <w:t xml:space="preserve">Диагноз устанавливают на основании </w:t>
      </w:r>
      <w:r w:rsidRPr="00DA2BC8">
        <w:t xml:space="preserve">выделения культуры </w:t>
      </w:r>
      <w:r w:rsidRPr="00DA2BC8">
        <w:rPr>
          <w:i/>
        </w:rPr>
        <w:t>Mucorales</w:t>
      </w:r>
      <w:r w:rsidRPr="00DA2BC8">
        <w:t xml:space="preserve"> из биоптата некротизированной ткани либо обнаружения несептированного мицелия грибов при флуоресцентной микроскопии или гистологическом исследовании. </w:t>
      </w:r>
      <w:r w:rsidRPr="00DA2BC8">
        <w:rPr>
          <w:bCs/>
        </w:rPr>
        <w:t xml:space="preserve">Лечение мукормикоза мягких тканей во всех случяах комбринированное, включающее обязательную резекцию некроза до здоровых фрагментов и назначение антимикотиков, как </w:t>
      </w:r>
      <w:r w:rsidRPr="00DA2BC8">
        <w:t>при мукормикозе легких.</w:t>
      </w:r>
    </w:p>
    <w:p w14:paraId="4CFBF985" w14:textId="77777777" w:rsidR="0037636A" w:rsidRDefault="0037636A" w:rsidP="0037636A">
      <w:pPr>
        <w:widowControl w:val="0"/>
        <w:autoSpaceDE w:val="0"/>
        <w:autoSpaceDN w:val="0"/>
        <w:adjustRightInd w:val="0"/>
        <w:ind w:right="50"/>
        <w:contextualSpacing/>
        <w:rPr>
          <w:b/>
          <w:bCs/>
        </w:rPr>
      </w:pPr>
    </w:p>
    <w:p w14:paraId="79A04612" w14:textId="21B6C530" w:rsidR="0037636A" w:rsidRPr="00144984" w:rsidRDefault="0037636A" w:rsidP="0037636A">
      <w:pPr>
        <w:widowControl w:val="0"/>
        <w:autoSpaceDE w:val="0"/>
        <w:autoSpaceDN w:val="0"/>
        <w:adjustRightInd w:val="0"/>
        <w:ind w:right="49"/>
        <w:contextualSpacing/>
        <w:rPr>
          <w:bCs/>
          <w:u w:val="single"/>
        </w:rPr>
      </w:pPr>
      <w:r w:rsidRPr="00686506">
        <w:rPr>
          <w:bCs/>
          <w:u w:val="single"/>
        </w:rPr>
        <w:t xml:space="preserve">Диагностика и лечение инвазивных микозов, вызванных редкими плесневыми грибами </w:t>
      </w:r>
      <w:r>
        <w:rPr>
          <w:b/>
        </w:rPr>
        <w:fldChar w:fldCharType="begin" w:fldLock="1"/>
      </w:r>
      <w:r w:rsidR="00987CCD">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infections","type":"article-journal","volume":"20"},"uris":["http://www.mendeley.com/documents/?uuid=5a6b3e24-e337-3cd9-bb20-08cd60455554"]},{"id":"ITEM-4","itemData":{"DOI":"10.1111/1469-0691.12465","ISSN":"14690691","PMID":"24548001","abstract":"Mycoses summarized in the hyalohyphomycosis group are heterogeneous, defined by the presence of hyaline (non-dematiaceous) hyphae. The number of organisms implicated in hyalohyphomycosis is increasing and the most clinically important species belong to the genera Fusarium, Scedosporium, Acremonium, Scopulariopsis, Purpureocillium and Paecilomyces. Severely immunocompromised patients are particularly vulnerable to infection, and clinical manifestations range from colonization to chronic localized lesions to acute invasive and/or disseminated diseases. Diagnosis usually requires isolation and identification of the infecting pathogen. A poor prognosis is associated with fusariosis and early therapy of localized disease is important to prevent progression to a more aggressive or disseminated infection. Therapy should include voriconazole and surgical debridement where possible or posaconazole as salvage treatment. Voriconazole represents the first-line treatment of infections due to members of the genus Scedosporium. For Acremonium spp., Scopulariopsis spp., Purpureocillium spp. and Paecilomyces spp. the optimal antifungal treatment has not been established. Management usually consists of surgery and antifungal treatment, depending on the clinical presentation. © 2014 European Society of Clinical Microbiology and Infectious Diseases.","author":[{"dropping-particle":"","family":"Tortorano","given":"A. M.","non-dropping-particle":"","parse-names":false,"suffix":""},{"dropping-particle":"","family":"Richardson","given":"M.","non-dropping-particle":"","parse-names":false,"suffix":""},{"dropping-particle":"","family":"Roilides","given":"E.","non-dropping-particle":"","parse-names":false,"suffix":""},{"dropping-particle":"","family":"Diepeningen","given":"A.","non-dropping-particle":"van","parse-names":false,"suffix":""},{"dropping-particle":"","family":"Caira","given":"M.","non-dropping-particle":"","parse-names":false,"suffix":""},{"dropping-particle":"","family":"Munoz","given":"P.","non-dropping-particle":"","parse-names":false,"suffix":""},{"dropping-particle":"","family":"Johnson","given":"E.","non-dropping-particle":"","parse-names":false,"suffix":""},{"dropping-particle":"","family":"Meletiadis","given":"J.","non-dropping-particle":"","parse-names":false,"suffix":""},{"dropping-particle":"","family":"Pana","given":"Z. D.","non-dropping-particle":"","parse-names":false,"suffix":""},{"dropping-particle":"","family":"Lackner","given":"M.","non-dropping-particle":"","parse-names":false,"suffix":""},{"dropping-particle":"","family":"Verweij","given":"P.","non-dropping-particle":"","parse-names":false,"suffix":""},{"dropping-particle":"","family":"Freiberger","given":"T.","non-dropping-particle":"","parse-names":false,"suffix":""},{"dropping-particle":"","family":"Cornely","given":"O. A.","non-dropping-particle":"","parse-names":false,"suffix":""},{"dropping-particle":"","family":"Arikan-Akdagli","given":"S.","non-dropping-particle":"","parse-names":false,"suffix":""},{"dropping-particle":"","family":"Dannaoui","given":"E.","non-dropping-particle":"","parse-names":false,"suffix":""},{"dropping-particle":"","family":"Groll","given":"A. H.","non-dropping-particle":"","parse-names":false,"suffix":""},{"dropping-particle":"","family":"Lagrou","given":"K.","non-dropping-particle":"","parse-names":false,"suffix":""},{"dropping-particle":"","family":"Chakrabarti","given":"A.","non-dropping-particle":"","parse-names":false,"suffix":""},{"dropping-particle":"","family":"Lanternier","given":"F.","non-dropping-particle":"","parse-names":false,"suffix":""},{"dropping-particle":"","family":"Pagano","given":"L.","non-dropping-particle":"","parse-names":false,"suffix":""},{"dropping-particle":"","family":"Skiada","given":"A.","non-dropping-particle":"","parse-names":false,"suffix":""},{"dropping-particle":"","family":"Akova","given":"M.","non-dropping-particle":"","parse-names":false,"suffix":""},{"dropping-particle":"","family":"Arendrup","given":"M. C.","non-dropping-particle":"","parse-names":false,"suffix":""},{"dropping-particle":"","family":"Boekhout","given":"T.","non-dropping-particle":"","parse-names":false,"suffix":""},{"dropping-particle":"","family":"Chowdhary","given":"A.","non-dropping-particle":"","parse-names":false,"suffix":""},{"dropping-particle":"","family":"Cuenca-Estrella","given":"M.","non-dropping-particle":"","parse-names":false,"suffix":""},{"dropping-particle":"","family":"Guinea","given":"J.","non-dropping-particle":"","parse-names":false,"suffix":""},{"dropping-particle":"","family":"Guarro","given":"J.","non-dropping-particle":"","parse-names":false,"suffix":""},{"dropping-particle":"","family":"Hoog","given":"S.","non-dropping-particle":"de","parse-names":false,"suffix":""},{"dropping-particle":"","family":"Hope","given":"W.","non-dropping-particle":"","parse-names":false,"suffix":""},{"dropping-particle":"","family":"Kathuria","given":"S.","non-dropping-particle":"","parse-names":false,"suffix":""},{"dropping-particle":"","family":"Lortholary","given":"O.","non-dropping-particle":"","parse-names":false,"suffix":""},{"dropping-particle":"","family":"Meis","given":"J. F.","non-dropping-particle":"","parse-names":false,"suffix":""},{"dropping-particle":"","family":"Ullmann","given":"A. J.","non-dropping-particle":"","parse-names":false,"suffix":""},{"dropping-particle":"","family":"Petrikkos","given":"G.","non-dropping-particle":"","parse-names":false,"suffix":""},{"dropping-particle":"","family":"Lass-Flörl","given":"C.","non-dropping-particle":"","parse-names":false,"suffix":""}],"container-title":"Clinical Microbiology and Infection","id":"ITEM-4","issue":"S3","issued":{"date-parts":[["2014"]]},"page":"27-46","publisher":"Blackwell Publishing Ltd","title":"ESCMID and ECMM joint guidelines on diagnosis and management of hyalohyphomycosis: Fusarium spp., Scedosporium spp. and others","type":"article-journal","volume":"20"},"uris":["http://www.mendeley.com/documents/?uuid=a2a77bc6-7c62-3766-9352-c711579a66f5"]}],"mendeley":{"formattedCitation":"[100,101,107,112]","plainTextFormattedCitation":"[100,101,107,112]","previouslyFormattedCitation":"[100,101,107,112]"},"properties":{"noteIndex":0},"schema":"https://github.com/citation-style-language/schema/raw/master/csl-citation.json"}</w:instrText>
      </w:r>
      <w:r>
        <w:rPr>
          <w:b/>
        </w:rPr>
        <w:fldChar w:fldCharType="separate"/>
      </w:r>
      <w:r w:rsidR="00BA021B" w:rsidRPr="00BA021B">
        <w:rPr>
          <w:noProof/>
        </w:rPr>
        <w:t>[100,101,107,112]</w:t>
      </w:r>
      <w:r>
        <w:rPr>
          <w:b/>
        </w:rPr>
        <w:fldChar w:fldCharType="end"/>
      </w:r>
    </w:p>
    <w:p w14:paraId="14AD09D1" w14:textId="77777777" w:rsidR="0037636A" w:rsidRPr="00144984" w:rsidRDefault="0037636A" w:rsidP="0037636A">
      <w:pPr>
        <w:widowControl w:val="0"/>
        <w:autoSpaceDE w:val="0"/>
        <w:autoSpaceDN w:val="0"/>
        <w:adjustRightInd w:val="0"/>
        <w:ind w:right="50" w:firstLine="708"/>
        <w:rPr>
          <w:b/>
          <w:bCs/>
        </w:rPr>
      </w:pPr>
      <w:r>
        <w:rPr>
          <w:bCs/>
        </w:rPr>
        <w:t>У</w:t>
      </w:r>
      <w:r w:rsidRPr="00144984">
        <w:rPr>
          <w:bCs/>
        </w:rPr>
        <w:t xml:space="preserve"> </w:t>
      </w:r>
      <w:r>
        <w:rPr>
          <w:bCs/>
        </w:rPr>
        <w:t>гематологических</w:t>
      </w:r>
      <w:r w:rsidRPr="00144984">
        <w:rPr>
          <w:bCs/>
        </w:rPr>
        <w:t xml:space="preserve"> </w:t>
      </w:r>
      <w:r>
        <w:rPr>
          <w:bCs/>
        </w:rPr>
        <w:t>пациентов</w:t>
      </w:r>
      <w:r w:rsidRPr="00144984">
        <w:rPr>
          <w:bCs/>
        </w:rPr>
        <w:t xml:space="preserve"> </w:t>
      </w:r>
      <w:r>
        <w:rPr>
          <w:bCs/>
        </w:rPr>
        <w:t>ввиду</w:t>
      </w:r>
      <w:r w:rsidRPr="00144984">
        <w:rPr>
          <w:bCs/>
        </w:rPr>
        <w:t xml:space="preserve"> </w:t>
      </w:r>
      <w:r>
        <w:rPr>
          <w:bCs/>
        </w:rPr>
        <w:t>иммуносупрессии</w:t>
      </w:r>
      <w:r w:rsidRPr="00144984">
        <w:rPr>
          <w:bCs/>
        </w:rPr>
        <w:t xml:space="preserve">, </w:t>
      </w:r>
      <w:r>
        <w:rPr>
          <w:bCs/>
        </w:rPr>
        <w:t>вызванной</w:t>
      </w:r>
      <w:r w:rsidRPr="00144984">
        <w:rPr>
          <w:bCs/>
        </w:rPr>
        <w:t xml:space="preserve"> </w:t>
      </w:r>
      <w:r>
        <w:rPr>
          <w:bCs/>
        </w:rPr>
        <w:t>как</w:t>
      </w:r>
      <w:r w:rsidRPr="00144984">
        <w:rPr>
          <w:bCs/>
        </w:rPr>
        <w:t xml:space="preserve"> </w:t>
      </w:r>
      <w:r>
        <w:rPr>
          <w:bCs/>
        </w:rPr>
        <w:t>самим</w:t>
      </w:r>
      <w:r w:rsidRPr="00144984">
        <w:rPr>
          <w:bCs/>
        </w:rPr>
        <w:t xml:space="preserve"> </w:t>
      </w:r>
      <w:r>
        <w:rPr>
          <w:bCs/>
        </w:rPr>
        <w:t>заболеванием</w:t>
      </w:r>
      <w:r w:rsidRPr="00144984">
        <w:rPr>
          <w:bCs/>
        </w:rPr>
        <w:t xml:space="preserve">, </w:t>
      </w:r>
      <w:r>
        <w:rPr>
          <w:bCs/>
        </w:rPr>
        <w:t>так</w:t>
      </w:r>
      <w:r w:rsidRPr="00144984">
        <w:rPr>
          <w:bCs/>
        </w:rPr>
        <w:t xml:space="preserve"> </w:t>
      </w:r>
      <w:r>
        <w:rPr>
          <w:bCs/>
        </w:rPr>
        <w:t>и</w:t>
      </w:r>
      <w:r w:rsidRPr="00144984">
        <w:rPr>
          <w:bCs/>
        </w:rPr>
        <w:t xml:space="preserve"> </w:t>
      </w:r>
      <w:r>
        <w:rPr>
          <w:bCs/>
        </w:rPr>
        <w:t>специфической</w:t>
      </w:r>
      <w:r w:rsidRPr="00144984">
        <w:rPr>
          <w:bCs/>
        </w:rPr>
        <w:t xml:space="preserve"> </w:t>
      </w:r>
      <w:r>
        <w:rPr>
          <w:bCs/>
        </w:rPr>
        <w:t>терапией</w:t>
      </w:r>
      <w:r w:rsidRPr="00144984">
        <w:rPr>
          <w:bCs/>
        </w:rPr>
        <w:t xml:space="preserve"> </w:t>
      </w:r>
      <w:r>
        <w:rPr>
          <w:bCs/>
        </w:rPr>
        <w:t>гематологического</w:t>
      </w:r>
      <w:r w:rsidRPr="00144984">
        <w:rPr>
          <w:bCs/>
        </w:rPr>
        <w:t xml:space="preserve"> </w:t>
      </w:r>
      <w:r>
        <w:rPr>
          <w:bCs/>
        </w:rPr>
        <w:t>заболевания</w:t>
      </w:r>
      <w:r w:rsidRPr="00144984">
        <w:rPr>
          <w:bCs/>
        </w:rPr>
        <w:t xml:space="preserve">, </w:t>
      </w:r>
      <w:r>
        <w:rPr>
          <w:bCs/>
        </w:rPr>
        <w:t>могут</w:t>
      </w:r>
      <w:r w:rsidRPr="00144984">
        <w:rPr>
          <w:bCs/>
        </w:rPr>
        <w:t xml:space="preserve"> </w:t>
      </w:r>
      <w:r>
        <w:rPr>
          <w:bCs/>
        </w:rPr>
        <w:t>встречаться</w:t>
      </w:r>
      <w:r w:rsidRPr="00144984">
        <w:rPr>
          <w:bCs/>
        </w:rPr>
        <w:t xml:space="preserve"> </w:t>
      </w:r>
      <w:r w:rsidRPr="00E41F19">
        <w:rPr>
          <w:bCs/>
        </w:rPr>
        <w:t>инвазивные</w:t>
      </w:r>
      <w:r w:rsidRPr="00144984">
        <w:rPr>
          <w:bCs/>
        </w:rPr>
        <w:t xml:space="preserve"> </w:t>
      </w:r>
      <w:r w:rsidRPr="00E41F19">
        <w:rPr>
          <w:bCs/>
        </w:rPr>
        <w:t>микозы</w:t>
      </w:r>
      <w:r w:rsidRPr="00144984">
        <w:rPr>
          <w:bCs/>
        </w:rPr>
        <w:t xml:space="preserve">, </w:t>
      </w:r>
      <w:r w:rsidRPr="00E41F19">
        <w:rPr>
          <w:bCs/>
        </w:rPr>
        <w:t>вызванные</w:t>
      </w:r>
      <w:r w:rsidRPr="00144984">
        <w:rPr>
          <w:bCs/>
        </w:rPr>
        <w:t xml:space="preserve"> </w:t>
      </w:r>
      <w:r w:rsidRPr="00E41F19">
        <w:rPr>
          <w:bCs/>
        </w:rPr>
        <w:t>редкими</w:t>
      </w:r>
      <w:r w:rsidRPr="00144984">
        <w:rPr>
          <w:bCs/>
        </w:rPr>
        <w:t xml:space="preserve"> </w:t>
      </w:r>
      <w:r w:rsidRPr="00E41F19">
        <w:rPr>
          <w:bCs/>
        </w:rPr>
        <w:t>плесневыми</w:t>
      </w:r>
      <w:r w:rsidRPr="00144984">
        <w:rPr>
          <w:bCs/>
        </w:rPr>
        <w:t xml:space="preserve"> </w:t>
      </w:r>
      <w:r w:rsidRPr="00E41F19">
        <w:rPr>
          <w:bCs/>
        </w:rPr>
        <w:t>грибами</w:t>
      </w:r>
      <w:r w:rsidRPr="00144984">
        <w:rPr>
          <w:bCs/>
        </w:rPr>
        <w:t>.</w:t>
      </w:r>
    </w:p>
    <w:p w14:paraId="4D5E5258" w14:textId="77777777" w:rsidR="0037636A" w:rsidRPr="00144984" w:rsidRDefault="0037636A" w:rsidP="0037636A">
      <w:pPr>
        <w:widowControl w:val="0"/>
        <w:autoSpaceDE w:val="0"/>
        <w:autoSpaceDN w:val="0"/>
        <w:adjustRightInd w:val="0"/>
        <w:ind w:right="50"/>
        <w:contextualSpacing/>
        <w:rPr>
          <w:i/>
          <w:iCs/>
          <w:u w:val="single"/>
        </w:rPr>
      </w:pPr>
      <w:r w:rsidRPr="00686506">
        <w:rPr>
          <w:i/>
          <w:iCs/>
          <w:u w:val="single"/>
        </w:rPr>
        <w:t>Фузариоз</w:t>
      </w:r>
      <w:r w:rsidRPr="00144984">
        <w:rPr>
          <w:i/>
          <w:iCs/>
          <w:u w:val="single"/>
        </w:rPr>
        <w:t xml:space="preserve"> </w:t>
      </w:r>
    </w:p>
    <w:p w14:paraId="3689D562" w14:textId="77777777" w:rsidR="0037636A" w:rsidRPr="00DA2BC8" w:rsidRDefault="0037636A" w:rsidP="0037636A">
      <w:pPr>
        <w:widowControl w:val="0"/>
        <w:autoSpaceDE w:val="0"/>
        <w:autoSpaceDN w:val="0"/>
        <w:adjustRightInd w:val="0"/>
        <w:ind w:right="50"/>
        <w:contextualSpacing/>
      </w:pPr>
      <w:r w:rsidRPr="00DA2BC8">
        <w:t>Основными</w:t>
      </w:r>
      <w:r w:rsidRPr="00144984">
        <w:t xml:space="preserve"> </w:t>
      </w:r>
      <w:r w:rsidRPr="00DA2BC8">
        <w:t>возбудителями</w:t>
      </w:r>
      <w:r w:rsidRPr="00144984">
        <w:t xml:space="preserve"> </w:t>
      </w:r>
      <w:r w:rsidRPr="00DA2BC8">
        <w:t>являются</w:t>
      </w:r>
      <w:r w:rsidRPr="00144984">
        <w:t xml:space="preserve"> </w:t>
      </w:r>
      <w:r w:rsidRPr="00FB256D">
        <w:rPr>
          <w:i/>
          <w:iCs/>
          <w:lang w:val="en-US"/>
        </w:rPr>
        <w:t>Fusarium</w:t>
      </w:r>
      <w:r w:rsidRPr="00144984">
        <w:rPr>
          <w:i/>
          <w:iCs/>
        </w:rPr>
        <w:t xml:space="preserve"> </w:t>
      </w:r>
      <w:r w:rsidRPr="00FB256D">
        <w:rPr>
          <w:i/>
          <w:iCs/>
          <w:lang w:val="en-US"/>
        </w:rPr>
        <w:t>solani</w:t>
      </w:r>
      <w:r w:rsidRPr="00144984">
        <w:t xml:space="preserve"> </w:t>
      </w:r>
      <w:r w:rsidRPr="00DA2BC8">
        <w:t>и</w:t>
      </w:r>
      <w:r w:rsidRPr="00144984">
        <w:t xml:space="preserve"> </w:t>
      </w:r>
      <w:r w:rsidRPr="00FB256D">
        <w:rPr>
          <w:i/>
          <w:iCs/>
          <w:lang w:val="en-US"/>
        </w:rPr>
        <w:t>Fusarium</w:t>
      </w:r>
      <w:r w:rsidRPr="00144984">
        <w:rPr>
          <w:i/>
          <w:iCs/>
        </w:rPr>
        <w:t xml:space="preserve"> </w:t>
      </w:r>
      <w:r w:rsidRPr="00FB256D">
        <w:rPr>
          <w:i/>
          <w:iCs/>
          <w:lang w:val="en-US"/>
        </w:rPr>
        <w:t>oxysporum</w:t>
      </w:r>
      <w:r w:rsidRPr="00144984">
        <w:t xml:space="preserve">. </w:t>
      </w:r>
      <w:r w:rsidRPr="00DA2BC8">
        <w:t>Фузариоз</w:t>
      </w:r>
      <w:r w:rsidRPr="00144984">
        <w:t xml:space="preserve"> </w:t>
      </w:r>
      <w:r w:rsidRPr="00DA2BC8">
        <w:t>развивается</w:t>
      </w:r>
      <w:r w:rsidRPr="00144984">
        <w:t xml:space="preserve"> </w:t>
      </w:r>
      <w:r w:rsidRPr="00DA2BC8">
        <w:t>преимущественно</w:t>
      </w:r>
      <w:r w:rsidRPr="00144984">
        <w:t xml:space="preserve"> </w:t>
      </w:r>
      <w:r w:rsidRPr="00DA2BC8">
        <w:t>у</w:t>
      </w:r>
      <w:r w:rsidRPr="00144984">
        <w:t xml:space="preserve"> </w:t>
      </w:r>
      <w:r>
        <w:t>онкогематологических</w:t>
      </w:r>
      <w:r w:rsidRPr="00144984">
        <w:t xml:space="preserve"> </w:t>
      </w:r>
      <w:r>
        <w:t>пациентов</w:t>
      </w:r>
      <w:r w:rsidRPr="00DA2BC8">
        <w:t xml:space="preserve">, в основном у </w:t>
      </w:r>
      <w:r>
        <w:t>пациентов с острыми миелоидными лейкозами</w:t>
      </w:r>
      <w:r w:rsidRPr="00DA2BC8">
        <w:t xml:space="preserve"> и у реципиентов аллогенных СГК. Ведущим фактором риска возникновения фузариоза является наличие гранулоцитопении. В отличие от других видов мицелиальных грибов, основным проявлением инфекции, вызванной </w:t>
      </w:r>
      <w:r w:rsidRPr="00DA2BC8">
        <w:rPr>
          <w:i/>
          <w:iCs/>
        </w:rPr>
        <w:t xml:space="preserve">Fusarium </w:t>
      </w:r>
      <w:r w:rsidRPr="00DA2BC8">
        <w:t xml:space="preserve">spp., является фунгемия (40-60%) с образованием септико-пиемических очагов на коже (60-80%), а также вовлечение в инфекционный процесс легких и придаточных пазух носа. Для фузариоза характерно наличие на коже множества септико-пиемических очагов в виде уплотненных эритематозных макул или папул, болезненных, с некрозом в центре. Летальность при фузариозе высокая и достигает 50-70% у иммунокомпрометированных больных. </w:t>
      </w:r>
      <w:r w:rsidRPr="00DA2BC8">
        <w:rPr>
          <w:bCs/>
        </w:rPr>
        <w:t xml:space="preserve">Для диагностики фузариоза должна быть получена культура </w:t>
      </w:r>
      <w:r w:rsidRPr="00DA2BC8">
        <w:rPr>
          <w:i/>
          <w:iCs/>
        </w:rPr>
        <w:t>Fusarium</w:t>
      </w:r>
      <w:r w:rsidRPr="00DA2BC8">
        <w:t xml:space="preserve"> spp. из крови или других стерильных образцов (биоптаты кожи и органов, аспират придаточных пазух носа), жидкости БАЛ или мокроты. При фузариозе может быть определен ложно-положительный антиген </w:t>
      </w:r>
      <w:r w:rsidRPr="00DA2BC8">
        <w:rPr>
          <w:i/>
          <w:iCs/>
        </w:rPr>
        <w:t>Aspergillus</w:t>
      </w:r>
      <w:r w:rsidRPr="00DA2BC8">
        <w:t xml:space="preserve"> (галактоманнан). Радиологические изменения в легких и придаточных пазухах носа при фузариозе неспецифичны и схожи с инвазивным аспергиллезом. </w:t>
      </w:r>
      <w:r w:rsidRPr="00DA2BC8">
        <w:rPr>
          <w:iCs/>
        </w:rPr>
        <w:t>Грибы</w:t>
      </w:r>
      <w:r w:rsidRPr="00DA2BC8">
        <w:rPr>
          <w:i/>
          <w:iCs/>
        </w:rPr>
        <w:t xml:space="preserve"> Fusaruim </w:t>
      </w:r>
      <w:r w:rsidRPr="00DA2BC8">
        <w:t xml:space="preserve">spp. характеризуются низкими параметрами чувствительности и могут быть устойчивыми ко всем препаратам из группы азолов. </w:t>
      </w:r>
    </w:p>
    <w:p w14:paraId="60CBDB27" w14:textId="77777777" w:rsidR="0037636A" w:rsidRPr="00DA2BC8" w:rsidRDefault="0037636A" w:rsidP="0037636A">
      <w:pPr>
        <w:widowControl w:val="0"/>
        <w:autoSpaceDE w:val="0"/>
        <w:autoSpaceDN w:val="0"/>
        <w:adjustRightInd w:val="0"/>
        <w:ind w:right="50"/>
        <w:contextualSpacing/>
        <w:rPr>
          <w:b/>
          <w:bCs/>
        </w:rPr>
      </w:pPr>
      <w:r w:rsidRPr="00DA2BC8">
        <w:rPr>
          <w:bCs/>
        </w:rPr>
        <w:t xml:space="preserve">Препаратом выбора для лечения является </w:t>
      </w:r>
      <w:r w:rsidRPr="00DA2BC8">
        <w:t xml:space="preserve">вориконазол (в 1-й день по 6 мг/кг внутривенно 2 раза в сутки, затем по 4 мг/кг внутривенно 2 раза в сутки, с переходом на пероральную форму по 200 мг 2 раза в сутки, прием натощак или через 1 час после еды), </w:t>
      </w:r>
      <w:r w:rsidRPr="00DA2BC8">
        <w:rPr>
          <w:bCs/>
        </w:rPr>
        <w:t xml:space="preserve">альтернативные препараты - </w:t>
      </w:r>
      <w:r w:rsidRPr="00DA2BC8">
        <w:t>липосомальный амфотерицин В (5 мг/кг)</w:t>
      </w:r>
      <w:r w:rsidRPr="00DA2BC8">
        <w:rPr>
          <w:bCs/>
        </w:rPr>
        <w:t>, л</w:t>
      </w:r>
      <w:r w:rsidRPr="00DA2BC8">
        <w:t>ипидный комплекс амфотерицина В (5 мг/кг), позаконазол (суспензия, по 400 мг 2 раза в сутки, после еды).</w:t>
      </w:r>
      <w:r w:rsidRPr="00DA2BC8">
        <w:rPr>
          <w:bCs/>
        </w:rPr>
        <w:t xml:space="preserve"> </w:t>
      </w:r>
      <w:r w:rsidRPr="00DA2BC8">
        <w:t xml:space="preserve">Не показано сочетание противогрибковых препаратов в качестве стартовой терапии. Не назначают эхинокандин ввиду природной устойчивости. </w:t>
      </w:r>
    </w:p>
    <w:p w14:paraId="07A35D1C" w14:textId="77777777" w:rsidR="0037636A" w:rsidRPr="00686506" w:rsidRDefault="0037636A" w:rsidP="0037636A">
      <w:pPr>
        <w:widowControl w:val="0"/>
        <w:autoSpaceDE w:val="0"/>
        <w:autoSpaceDN w:val="0"/>
        <w:adjustRightInd w:val="0"/>
        <w:ind w:right="51"/>
        <w:contextualSpacing/>
        <w:rPr>
          <w:i/>
          <w:iCs/>
          <w:u w:val="single"/>
        </w:rPr>
      </w:pPr>
      <w:r w:rsidRPr="00686506">
        <w:rPr>
          <w:i/>
          <w:iCs/>
          <w:u w:val="single"/>
        </w:rPr>
        <w:t xml:space="preserve">Сцедоспориоз </w:t>
      </w:r>
    </w:p>
    <w:p w14:paraId="2137AAE7" w14:textId="77777777" w:rsidR="0037636A" w:rsidRPr="00DA2BC8" w:rsidRDefault="0037636A" w:rsidP="0037636A">
      <w:pPr>
        <w:widowControl w:val="0"/>
        <w:autoSpaceDE w:val="0"/>
        <w:autoSpaceDN w:val="0"/>
        <w:adjustRightInd w:val="0"/>
        <w:ind w:right="51"/>
        <w:contextualSpacing/>
      </w:pPr>
      <w:r w:rsidRPr="00DA2BC8">
        <w:t xml:space="preserve">Основными возбудителя сцедоспориоза являются </w:t>
      </w:r>
      <w:r w:rsidRPr="00DA2BC8">
        <w:rPr>
          <w:i/>
          <w:iCs/>
        </w:rPr>
        <w:t>Scedosporium apiospermium</w:t>
      </w:r>
      <w:r w:rsidRPr="00DA2BC8">
        <w:t xml:space="preserve"> и </w:t>
      </w:r>
      <w:r w:rsidRPr="00DA2BC8">
        <w:rPr>
          <w:i/>
          <w:iCs/>
        </w:rPr>
        <w:t>Scedosporium prolificans</w:t>
      </w:r>
      <w:r w:rsidRPr="00DA2BC8">
        <w:t xml:space="preserve">. У иммунокомпрометированных больных преобладает диссеминированная форма инфекции с преимущественным поражением кожи, придаточных пазух носа, легких и центральной нервной системы. При сцедоспориозе головного мозга, в отличие от инвазивного аспергиллеза, может не быть изменений в легких или придаточных пазухах носа. </w:t>
      </w:r>
      <w:r w:rsidRPr="00DA2BC8">
        <w:rPr>
          <w:i/>
          <w:iCs/>
        </w:rPr>
        <w:t>S. prolificans</w:t>
      </w:r>
      <w:r w:rsidRPr="00DA2BC8">
        <w:t xml:space="preserve">, как и </w:t>
      </w:r>
      <w:r w:rsidRPr="00DA2BC8">
        <w:rPr>
          <w:i/>
          <w:iCs/>
        </w:rPr>
        <w:t>Fusarium</w:t>
      </w:r>
      <w:r w:rsidRPr="00DA2BC8">
        <w:t xml:space="preserve"> spp., с высокой частотой (&gt;50%) выделяют из гемокультуры. Для инфекций, вызванных </w:t>
      </w:r>
      <w:r w:rsidRPr="00DA2BC8">
        <w:rPr>
          <w:i/>
          <w:iCs/>
        </w:rPr>
        <w:t>S. prolificans</w:t>
      </w:r>
      <w:r w:rsidRPr="00DA2BC8">
        <w:t xml:space="preserve">, характерна очень высокая летальность (до 95%) среди больных опухолями системы крови ввиду наличия устойчивости этого микроорганизма ко многим противогрибковым препаратам, а в ряде случаев ко всем антимикотикам. </w:t>
      </w:r>
      <w:r w:rsidRPr="00DA2BC8">
        <w:rPr>
          <w:bCs/>
        </w:rPr>
        <w:t xml:space="preserve">Критерии диагностики сцедоспориоза включают </w:t>
      </w:r>
      <w:r w:rsidRPr="00DA2BC8">
        <w:t xml:space="preserve">выделение </w:t>
      </w:r>
      <w:r w:rsidRPr="00DA2BC8">
        <w:rPr>
          <w:i/>
          <w:iCs/>
        </w:rPr>
        <w:t xml:space="preserve">Scedosporium </w:t>
      </w:r>
      <w:r w:rsidRPr="00DA2BC8">
        <w:t xml:space="preserve">spp. из гемокультуры или других стерильных образцов (аспират из придаточных пазух носа, биоптаты тканей и органов), жидкости БАЛ, мокроты. </w:t>
      </w:r>
      <w:r w:rsidRPr="00DA2BC8">
        <w:rPr>
          <w:bCs/>
        </w:rPr>
        <w:t>Препарат выбора –</w:t>
      </w:r>
      <w:r w:rsidRPr="00DA2BC8">
        <w:t xml:space="preserve"> вориконазол (дозирование как при аспергиллезе), </w:t>
      </w:r>
      <w:r w:rsidRPr="00DA2BC8">
        <w:rPr>
          <w:bCs/>
        </w:rPr>
        <w:t>альтернативные - л</w:t>
      </w:r>
      <w:r w:rsidRPr="00DA2BC8">
        <w:t>ипосомальный или липидный комплекс амфотерцина В (5 мг/кг) или позаконазол (по 400 мг х 2 раза в сутки). Возможно применение сочетания антимикотиков.</w:t>
      </w:r>
    </w:p>
    <w:p w14:paraId="6FA42E71" w14:textId="77777777" w:rsidR="0037636A" w:rsidRPr="00686506" w:rsidRDefault="0037636A" w:rsidP="0037636A">
      <w:pPr>
        <w:widowControl w:val="0"/>
        <w:autoSpaceDE w:val="0"/>
        <w:autoSpaceDN w:val="0"/>
        <w:adjustRightInd w:val="0"/>
        <w:ind w:right="51"/>
        <w:contextualSpacing/>
        <w:rPr>
          <w:i/>
          <w:iCs/>
          <w:u w:val="single"/>
        </w:rPr>
      </w:pPr>
      <w:r w:rsidRPr="00686506">
        <w:rPr>
          <w:i/>
          <w:iCs/>
          <w:u w:val="single"/>
        </w:rPr>
        <w:t>Инфекции, вызванные Acremonium spp.</w:t>
      </w:r>
    </w:p>
    <w:p w14:paraId="08968CAE" w14:textId="77777777" w:rsidR="0037636A" w:rsidRPr="00DA2BC8" w:rsidRDefault="0037636A" w:rsidP="0037636A">
      <w:pPr>
        <w:widowControl w:val="0"/>
        <w:autoSpaceDE w:val="0"/>
        <w:autoSpaceDN w:val="0"/>
        <w:adjustRightInd w:val="0"/>
        <w:ind w:right="51"/>
        <w:contextualSpacing/>
      </w:pPr>
      <w:r>
        <w:t>Эти г</w:t>
      </w:r>
      <w:r w:rsidRPr="00DA2BC8">
        <w:t xml:space="preserve">рибы широко распространены в окружающей среде. Описаны случаи перитонита, инфицирования диализной фистулы, остеомиелита, менингита после спинномозговой анестезии, эндокардита после операции на клапанах, пневмонии, вызванные </w:t>
      </w:r>
      <w:r w:rsidRPr="00DA2BC8">
        <w:rPr>
          <w:i/>
          <w:iCs/>
        </w:rPr>
        <w:t xml:space="preserve">Acremonium </w:t>
      </w:r>
      <w:r w:rsidRPr="00DA2BC8">
        <w:t xml:space="preserve">spp., инфекции кровотока. Диагностика инфекций, вызванных </w:t>
      </w:r>
      <w:r w:rsidRPr="00DA2BC8">
        <w:rPr>
          <w:i/>
          <w:iCs/>
        </w:rPr>
        <w:t>Acremonium</w:t>
      </w:r>
      <w:r w:rsidRPr="00DA2BC8">
        <w:t xml:space="preserve"> spp</w:t>
      </w:r>
      <w:r>
        <w:t>. включает выделение культуры этих</w:t>
      </w:r>
      <w:r w:rsidRPr="00DA2BC8">
        <w:t xml:space="preserve"> грибов из локуса поражения</w:t>
      </w:r>
      <w:r>
        <w:t>, выявленного при соответствующей инструментальной диагностике (УЗИ, ЭхоКГ, КТ/СКТ, МРТ пораженных областей) и манипуляциях – люмбальная пункция, плевральная пункция, пункция брюшной полости, пункция/биопсия очага поражения</w:t>
      </w:r>
      <w:r w:rsidRPr="00DA2BC8">
        <w:t>. Лечение проводится вориконазолом или амфотерицином В или позаконазолом (стандартные дозы).</w:t>
      </w:r>
    </w:p>
    <w:p w14:paraId="129FAAC8" w14:textId="77777777" w:rsidR="0037636A" w:rsidRDefault="0037636A" w:rsidP="0037636A">
      <w:pPr>
        <w:widowControl w:val="0"/>
        <w:autoSpaceDE w:val="0"/>
        <w:autoSpaceDN w:val="0"/>
        <w:adjustRightInd w:val="0"/>
        <w:ind w:right="50"/>
        <w:contextualSpacing/>
        <w:rPr>
          <w:b/>
          <w:bCs/>
        </w:rPr>
      </w:pPr>
    </w:p>
    <w:p w14:paraId="12677DA5" w14:textId="0306196E" w:rsidR="0037636A" w:rsidRPr="00084B8B" w:rsidRDefault="0037636A" w:rsidP="0037636A">
      <w:pPr>
        <w:widowControl w:val="0"/>
        <w:autoSpaceDE w:val="0"/>
        <w:autoSpaceDN w:val="0"/>
        <w:adjustRightInd w:val="0"/>
        <w:ind w:right="50"/>
        <w:contextualSpacing/>
        <w:rPr>
          <w:b/>
        </w:rPr>
      </w:pPr>
      <w:r w:rsidRPr="00686506">
        <w:rPr>
          <w:bCs/>
          <w:u w:val="single"/>
        </w:rPr>
        <w:t>Диагностика и лечение пневмоцистной пневмонии</w:t>
      </w:r>
      <w:r w:rsidRPr="00084B8B">
        <w:rPr>
          <w:bCs/>
          <w:u w:val="single"/>
        </w:rPr>
        <w:t xml:space="preserve"> </w:t>
      </w:r>
      <w:r>
        <w:rPr>
          <w:b/>
        </w:rPr>
        <w:fldChar w:fldCharType="begin" w:fldLock="1"/>
      </w:r>
      <w:r w:rsidR="00987CCD">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infections","type":"article-journal","volume":"20"},"uris":["http://www.mendeley.com/documents/?uuid=5a6b3e24-e337-3cd9-bb20-08cd60455554"]},{"id":"ITEM-4","itemData":{"DOI":"10.1093/jac/dkw158","ISSN":"14602091","PMID":"27550993","abstract":"The initiation of systemic antimicrobial treatment of Pneumocystis jirovecii pneumonia (PCP) is triggered by clinical signs and symptoms, typical radiological and occasionally laboratory findings in patients at risk of this infection. Diagnostic proof by bronchoalveolar lavage should not delay the start of treatment. Most patients with haematological malignancies present with a severe PCP; therefore, antimicrobial therapy should be started intravenously. High-dose trimethoprim/sulfamethoxazole is the treatment of choice. In patients with documented intolerance to this regimen, the preferred alternative is the combination of primaquine plus clindamycin. Treatment success should be first evaluated after 1 week, and in case of clinical non-response, pulmonary CT scan and bronchoalveolar lavage should be repeated to look for secondary or co-infections. Treatment duration typically is 3 weeks and secondary anti-PCP prophylaxis is indicated in all patients thereafter. In patients with critical respiratory failure, non-invasive ventilation is not significantly superior to intubation and mechanical ventilation. The administration of glucocorticoids must be decided on a case-by-case basis.","author":[{"dropping-particle":"","family":"Maschmeyer","given":"Georg","non-dropping-particle":"","parse-names":false,"suffix":""},{"dropping-particle":"","family":"Helweg-Larsen","given":"Jannik","non-dropping-particle":"","parse-names":false,"suffix":""},{"dropping-particle":"","family":"Pagano","given":"Livio","non-dropping-particle":"","parse-names":false,"suffix":""},{"dropping-particle":"","family":"Robin","given":"Christine","non-dropping-particle":"","parse-names":false,"suffix":""},{"dropping-particle":"","family":"Cordonnier","given":"Catherine","non-dropping-particle":"","parse-names":false,"suffix":""},{"dropping-particle":"","family":"Schellongowski","given":"Peter","non-dropping-particle":"","parse-names":false,"suffix":""}],"container-title":"The Journal of antimicrobial chemotherapy","id":"ITEM-4","issue":"9","issued":{"date-parts":[["2016","9","1"]]},"page":"2405-2413","publisher":"J Antimicrob Chemother","title":"ECIL guidelines for treatment of Pneumocystis jirovecii pneumonia in non-HIV-infected haematology patients","type":"article-journal","volume":"71"},"uris":["http://www.mendeley.com/documents/?uuid=2f829fda-f017-3f84-8bbc-ec72967bb7a9"]}],"mendeley":{"formattedCitation":"[100,101,107,113]","plainTextFormattedCitation":"[100,101,107,113]","previouslyFormattedCitation":"[100,101,107,113]"},"properties":{"noteIndex":0},"schema":"https://github.com/citation-style-language/schema/raw/master/csl-citation.json"}</w:instrText>
      </w:r>
      <w:r>
        <w:rPr>
          <w:b/>
        </w:rPr>
        <w:fldChar w:fldCharType="separate"/>
      </w:r>
      <w:r w:rsidR="00BA021B" w:rsidRPr="00BA021B">
        <w:rPr>
          <w:noProof/>
        </w:rPr>
        <w:t>[100,101,107,113]</w:t>
      </w:r>
      <w:r>
        <w:rPr>
          <w:b/>
        </w:rPr>
        <w:fldChar w:fldCharType="end"/>
      </w:r>
    </w:p>
    <w:p w14:paraId="274BE541" w14:textId="77777777" w:rsidR="0037636A" w:rsidRPr="00DA2BC8" w:rsidRDefault="0037636A" w:rsidP="0037636A">
      <w:pPr>
        <w:widowControl w:val="0"/>
        <w:autoSpaceDE w:val="0"/>
        <w:autoSpaceDN w:val="0"/>
        <w:adjustRightInd w:val="0"/>
        <w:ind w:right="50"/>
        <w:contextualSpacing/>
      </w:pPr>
      <w:r w:rsidRPr="00DA2BC8">
        <w:t>До</w:t>
      </w:r>
      <w:r w:rsidRPr="00FB256D">
        <w:t xml:space="preserve"> </w:t>
      </w:r>
      <w:r w:rsidRPr="00DA2BC8">
        <w:t>недавнего</w:t>
      </w:r>
      <w:r w:rsidRPr="00FB256D">
        <w:t xml:space="preserve"> </w:t>
      </w:r>
      <w:r w:rsidRPr="00DA2BC8">
        <w:t>времени</w:t>
      </w:r>
      <w:r w:rsidRPr="00FB256D">
        <w:t xml:space="preserve"> </w:t>
      </w:r>
      <w:r w:rsidRPr="00DA2BC8">
        <w:t>большинство</w:t>
      </w:r>
      <w:r w:rsidRPr="00FB256D">
        <w:t xml:space="preserve"> </w:t>
      </w:r>
      <w:r w:rsidRPr="00DA2BC8">
        <w:t>специалистов</w:t>
      </w:r>
      <w:r w:rsidRPr="00FB256D">
        <w:t xml:space="preserve"> </w:t>
      </w:r>
      <w:r w:rsidRPr="00DA2BC8">
        <w:t>относили</w:t>
      </w:r>
      <w:r w:rsidRPr="00FB256D">
        <w:t xml:space="preserve"> </w:t>
      </w:r>
      <w:r w:rsidRPr="00FB256D">
        <w:rPr>
          <w:i/>
          <w:iCs/>
          <w:lang w:val="en-US"/>
        </w:rPr>
        <w:t>Pneumocystis</w:t>
      </w:r>
      <w:r w:rsidRPr="00FB256D">
        <w:rPr>
          <w:i/>
          <w:iCs/>
        </w:rPr>
        <w:t xml:space="preserve"> </w:t>
      </w:r>
      <w:r w:rsidRPr="00FB256D">
        <w:rPr>
          <w:i/>
          <w:iCs/>
          <w:lang w:val="en-US"/>
        </w:rPr>
        <w:t>jirovecii</w:t>
      </w:r>
      <w:r w:rsidRPr="00FB256D">
        <w:t xml:space="preserve"> (</w:t>
      </w:r>
      <w:r w:rsidRPr="00DA2BC8">
        <w:t>ранее</w:t>
      </w:r>
      <w:r w:rsidRPr="00FB256D">
        <w:t xml:space="preserve"> </w:t>
      </w:r>
      <w:r w:rsidRPr="00FB256D">
        <w:rPr>
          <w:i/>
          <w:iCs/>
          <w:lang w:val="en-US"/>
        </w:rPr>
        <w:t>Pneumocystis</w:t>
      </w:r>
      <w:r w:rsidRPr="00FB256D">
        <w:rPr>
          <w:i/>
          <w:iCs/>
        </w:rPr>
        <w:t xml:space="preserve"> </w:t>
      </w:r>
      <w:r w:rsidRPr="00FB256D">
        <w:rPr>
          <w:i/>
          <w:iCs/>
          <w:lang w:val="en-US"/>
        </w:rPr>
        <w:t>carinii</w:t>
      </w:r>
      <w:r w:rsidRPr="00FB256D">
        <w:t xml:space="preserve">) </w:t>
      </w:r>
      <w:r w:rsidRPr="00DA2BC8">
        <w:t>к</w:t>
      </w:r>
      <w:r w:rsidRPr="00FB256D">
        <w:t xml:space="preserve"> </w:t>
      </w:r>
      <w:r w:rsidRPr="00DA2BC8">
        <w:t>простейшим</w:t>
      </w:r>
      <w:r w:rsidRPr="00FB256D">
        <w:t xml:space="preserve">. </w:t>
      </w:r>
      <w:r w:rsidRPr="00DA2BC8">
        <w:t xml:space="preserve">Это подтверждалось эффективным лечением пневмоцистной инфекции препаратами с антипротозойной активностью и безуспешной терапией противогрибковыми препаратами, а также отсутствием некоторых веществ в клеточной стенке пневмоцист, характерных для грибов, например, эргостерола. В настоящее время </w:t>
      </w:r>
      <w:r w:rsidRPr="00DA2BC8">
        <w:rPr>
          <w:i/>
          <w:iCs/>
        </w:rPr>
        <w:t>P. jirovecii</w:t>
      </w:r>
      <w:r w:rsidRPr="00DA2BC8">
        <w:t xml:space="preserve"> отнесены к дрожжеподобным грибам, сходным с патогенами растений, на основании идентичности строения ряда клеточных структур, гомологичности ферментных систем, фрагментов рибонуклеиновых кислот (16S pРНК, 5S pРНК).</w:t>
      </w:r>
    </w:p>
    <w:p w14:paraId="25A6BEF0" w14:textId="77777777" w:rsidR="0037636A" w:rsidRPr="00DA2BC8" w:rsidRDefault="0037636A" w:rsidP="0037636A">
      <w:pPr>
        <w:widowControl w:val="0"/>
        <w:autoSpaceDE w:val="0"/>
        <w:autoSpaceDN w:val="0"/>
        <w:adjustRightInd w:val="0"/>
        <w:ind w:right="50"/>
        <w:contextualSpacing/>
      </w:pPr>
      <w:r w:rsidRPr="00DA2BC8">
        <w:t xml:space="preserve">В общей популяции передача возбудителя происходит при непосредственном контакте с носителем </w:t>
      </w:r>
      <w:r w:rsidRPr="00DA2BC8">
        <w:rPr>
          <w:i/>
          <w:iCs/>
        </w:rPr>
        <w:t>P. jirovecii</w:t>
      </w:r>
      <w:r w:rsidRPr="00DA2BC8">
        <w:t xml:space="preserve">. У иммунокомпрометированных </w:t>
      </w:r>
      <w:r>
        <w:t>пациентов</w:t>
      </w:r>
      <w:r w:rsidRPr="00DA2BC8">
        <w:t xml:space="preserve"> </w:t>
      </w:r>
      <w:r w:rsidRPr="00DA2BC8">
        <w:rPr>
          <w:i/>
          <w:iCs/>
        </w:rPr>
        <w:t>P. jirovecii</w:t>
      </w:r>
      <w:r w:rsidRPr="00DA2BC8">
        <w:t xml:space="preserve"> вызывают тяжелую пневмонию, в большинстве случаев сопровождающейся острой дыхательной недостаточностью. Пневмоцистная пневмония возникает, прежде всего, у реципиентов аллогенных СГК, </w:t>
      </w:r>
      <w:r>
        <w:t xml:space="preserve">пациентов с </w:t>
      </w:r>
      <w:r w:rsidRPr="00DA2BC8">
        <w:t>острыми лимфобластными лейкозами</w:t>
      </w:r>
      <w:r>
        <w:t xml:space="preserve">, </w:t>
      </w:r>
      <w:r w:rsidRPr="00DA2BC8">
        <w:t xml:space="preserve">лимфопролиферативными заболеваниями, включая </w:t>
      </w:r>
      <w:r>
        <w:t>пациентов</w:t>
      </w:r>
      <w:r w:rsidRPr="00DA2BC8">
        <w:t xml:space="preserve"> хроническим лимфолейкозом, лимфомами, множественной миеломой. Сопутствующие заболевания, такие как хроническая обструктивная болезнь легких и бронхиальная астма также ассоциированы с развитием этой инфекции. Активная профилактика пневмоцистных пневмоний привели к существенному снижению частоты подобных осложнений. Развитие пневмоцистной пневмонии на фоне профилактического приема ко-тримоксазола бывает обусловлено чаще всего нарушениями в режиме приема препарата, а не резистентнотсью. Летальность от пневмоцистной пневмонии у </w:t>
      </w:r>
      <w:r>
        <w:t>гематологических пациентов</w:t>
      </w:r>
      <w:r w:rsidRPr="00DA2BC8">
        <w:t xml:space="preserve"> может достигать 30-50%, особенно у реципиентов аллогенных СГК. </w:t>
      </w:r>
    </w:p>
    <w:p w14:paraId="08F7CC3E" w14:textId="77777777" w:rsidR="0037636A" w:rsidRPr="00686506" w:rsidRDefault="0037636A" w:rsidP="0037636A">
      <w:pPr>
        <w:widowControl w:val="0"/>
        <w:autoSpaceDE w:val="0"/>
        <w:autoSpaceDN w:val="0"/>
        <w:adjustRightInd w:val="0"/>
        <w:ind w:right="50"/>
        <w:contextualSpacing/>
        <w:rPr>
          <w:i/>
          <w:iCs/>
        </w:rPr>
      </w:pPr>
      <w:r w:rsidRPr="00686506">
        <w:rPr>
          <w:i/>
          <w:iCs/>
          <w:u w:val="single"/>
        </w:rPr>
        <w:t>Факторы риска</w:t>
      </w:r>
    </w:p>
    <w:p w14:paraId="25630BD7" w14:textId="77777777" w:rsidR="0037636A" w:rsidRPr="00DA2BC8" w:rsidRDefault="0037636A" w:rsidP="0037636A">
      <w:pPr>
        <w:widowControl w:val="0"/>
        <w:autoSpaceDE w:val="0"/>
        <w:autoSpaceDN w:val="0"/>
        <w:adjustRightInd w:val="0"/>
        <w:ind w:right="50"/>
        <w:contextualSpacing/>
      </w:pPr>
      <w:r w:rsidRPr="00DA2BC8">
        <w:t xml:space="preserve">Пневмоцистная пневмония возникает прежде всего у </w:t>
      </w:r>
      <w:r>
        <w:t>пациентов</w:t>
      </w:r>
      <w:r w:rsidRPr="00DA2BC8">
        <w:t xml:space="preserve"> с дефицитом Т-клеточного звена иммунитета, лимфоцитопенией, низким уровнем CD4+ клеток. Основной предрасполагающий фактор в развитии пневмоцистной пневмонии – это прием глюкокортикоидов. К другим факторам относят использование цитостатических препаратов (флюдарабин</w:t>
      </w:r>
      <w:r>
        <w:t>а, винкристина, циклофосфамида</w:t>
      </w:r>
      <w:r w:rsidRPr="00DA2BC8">
        <w:t xml:space="preserve">), моноклональных антител (ритуксимаба, </w:t>
      </w:r>
      <w:r>
        <w:t>обину</w:t>
      </w:r>
      <w:r w:rsidRPr="00DA2BC8">
        <w:t xml:space="preserve">тузумаба), трансплантация СГК, РТПХ. </w:t>
      </w:r>
    </w:p>
    <w:p w14:paraId="63C9FC1D" w14:textId="77777777" w:rsidR="0037636A" w:rsidRPr="00686506" w:rsidRDefault="0037636A" w:rsidP="0037636A">
      <w:pPr>
        <w:widowControl w:val="0"/>
        <w:autoSpaceDE w:val="0"/>
        <w:autoSpaceDN w:val="0"/>
        <w:adjustRightInd w:val="0"/>
        <w:ind w:right="50"/>
        <w:contextualSpacing/>
        <w:rPr>
          <w:i/>
          <w:iCs/>
          <w:u w:val="single"/>
        </w:rPr>
      </w:pPr>
      <w:r w:rsidRPr="00686506">
        <w:rPr>
          <w:i/>
          <w:iCs/>
          <w:u w:val="single"/>
        </w:rPr>
        <w:t>Симптомы</w:t>
      </w:r>
    </w:p>
    <w:p w14:paraId="56D9C98A" w14:textId="77777777" w:rsidR="0037636A" w:rsidRPr="00DA2BC8" w:rsidRDefault="0037636A" w:rsidP="0037636A">
      <w:pPr>
        <w:widowControl w:val="0"/>
        <w:autoSpaceDE w:val="0"/>
        <w:autoSpaceDN w:val="0"/>
        <w:adjustRightInd w:val="0"/>
        <w:ind w:right="50"/>
        <w:contextualSpacing/>
      </w:pPr>
      <w:r w:rsidRPr="00DA2BC8">
        <w:t xml:space="preserve">Начальные признаки инфекции включают лихорадку (90%), сухой кашель, одышку, затем быстро возникает острая дыхательная недостаточность. У части </w:t>
      </w:r>
      <w:r>
        <w:t>пациентов</w:t>
      </w:r>
      <w:r w:rsidRPr="00DA2BC8">
        <w:t xml:space="preserve">, получающих кортикостероиды, клиническая картина может быть стертой и ухудшение происходит только после снижения дозы или отмены этих препаратов. При осмотре </w:t>
      </w:r>
      <w:r>
        <w:t>пациента</w:t>
      </w:r>
      <w:r w:rsidRPr="00DA2BC8">
        <w:t xml:space="preserve"> с пневмоцистной пневмонией выявляется, прежде всего, несоответствие между физикальными данными и тяжестью </w:t>
      </w:r>
      <w:r>
        <w:t>состояния</w:t>
      </w:r>
      <w:r w:rsidRPr="00DA2BC8">
        <w:t xml:space="preserve">, когда крайне скудная аускультативная симптоматика сочетается с выраженной дыхательной недостаточностью (одышка, артериальная гипоксемия, респираторный алкалоз). </w:t>
      </w:r>
    </w:p>
    <w:p w14:paraId="7C158746" w14:textId="77777777" w:rsidR="0037636A" w:rsidRPr="00DA2BC8" w:rsidRDefault="0037636A" w:rsidP="0037636A">
      <w:pPr>
        <w:widowControl w:val="0"/>
        <w:autoSpaceDE w:val="0"/>
        <w:autoSpaceDN w:val="0"/>
        <w:adjustRightInd w:val="0"/>
        <w:ind w:right="50"/>
        <w:contextualSpacing/>
      </w:pPr>
      <w:r w:rsidRPr="00DA2BC8">
        <w:rPr>
          <w:bCs/>
        </w:rPr>
        <w:t>Диагностика включает о</w:t>
      </w:r>
      <w:r w:rsidRPr="00DA2BC8">
        <w:t xml:space="preserve">бнаружение цист, трофозоидов при флуоресцентной микроскопии (метод непрямой иммунофлюоресценции) или ДНК </w:t>
      </w:r>
      <w:r w:rsidRPr="00DA2BC8">
        <w:rPr>
          <w:i/>
          <w:iCs/>
        </w:rPr>
        <w:t>P. jirovecii</w:t>
      </w:r>
      <w:r w:rsidRPr="00DA2BC8">
        <w:t xml:space="preserve"> методом ПЦР в образцах жидкости БАЛ.</w:t>
      </w:r>
      <w:r w:rsidRPr="00DA2BC8">
        <w:rPr>
          <w:bCs/>
        </w:rPr>
        <w:t xml:space="preserve"> </w:t>
      </w:r>
      <w:r w:rsidRPr="00DA2BC8">
        <w:t xml:space="preserve">Образцы индуцированной мокроты или смывыв со слизистой оболочки бронхов и верхних дыхательных путей не используют для диагностики пневмоцистной инфекции у </w:t>
      </w:r>
      <w:r>
        <w:t>гематологических пациентов</w:t>
      </w:r>
      <w:r w:rsidRPr="00DA2BC8">
        <w:t xml:space="preserve"> ввиду их низкой чувствительности. </w:t>
      </w:r>
    </w:p>
    <w:p w14:paraId="60F387F5" w14:textId="77777777" w:rsidR="0037636A" w:rsidRPr="00DA2BC8" w:rsidRDefault="0037636A" w:rsidP="0037636A">
      <w:pPr>
        <w:widowControl w:val="0"/>
        <w:autoSpaceDE w:val="0"/>
        <w:autoSpaceDN w:val="0"/>
        <w:adjustRightInd w:val="0"/>
        <w:ind w:right="50"/>
        <w:contextualSpacing/>
      </w:pPr>
      <w:r w:rsidRPr="00DA2BC8">
        <w:t xml:space="preserve">Неоднократное обнаружение ДНК пневмоцист при повторных исследованиях жидкости БАЛ не является критерием неэффективного лечения при наличии положительной клинической динамики. </w:t>
      </w:r>
      <w:r w:rsidRPr="00DA2BC8">
        <w:rPr>
          <w:i/>
          <w:iCs/>
        </w:rPr>
        <w:t>P. jirovecii</w:t>
      </w:r>
      <w:r w:rsidRPr="00DA2BC8">
        <w:t xml:space="preserve"> могут определяться в жидкости БАЛ в течение нескольких дней и даже недель при успешном лечении пневмоцистной пневмонии. </w:t>
      </w:r>
    </w:p>
    <w:p w14:paraId="79B3A1D6" w14:textId="77777777" w:rsidR="0037636A" w:rsidRPr="00DA2BC8" w:rsidRDefault="0037636A" w:rsidP="0037636A">
      <w:pPr>
        <w:widowControl w:val="0"/>
        <w:autoSpaceDE w:val="0"/>
        <w:autoSpaceDN w:val="0"/>
        <w:adjustRightInd w:val="0"/>
        <w:ind w:right="50"/>
        <w:contextualSpacing/>
      </w:pPr>
      <w:r w:rsidRPr="00DA2BC8">
        <w:t>У реципиентов аллогенных СГК пневмоцистная пневмония примерно в половине случаев сочетается с цитамегаловирусной инфекцией.</w:t>
      </w:r>
    </w:p>
    <w:p w14:paraId="7B5474CB" w14:textId="77777777" w:rsidR="0037636A" w:rsidRPr="00DA2BC8" w:rsidRDefault="0037636A" w:rsidP="0037636A">
      <w:pPr>
        <w:widowControl w:val="0"/>
        <w:autoSpaceDE w:val="0"/>
        <w:autoSpaceDN w:val="0"/>
        <w:adjustRightInd w:val="0"/>
        <w:ind w:right="50"/>
        <w:contextualSpacing/>
      </w:pPr>
      <w:r w:rsidRPr="00DA2BC8">
        <w:t xml:space="preserve">Повышение уровня лактатдегидрогеназы в сыворотке крови при пневмоцистной пневмонии более характерно для ВИЧ-инфицированных больных, а не для больных опухолями системы крови. </w:t>
      </w:r>
    </w:p>
    <w:p w14:paraId="721178DE" w14:textId="77777777" w:rsidR="0037636A" w:rsidRPr="00686506" w:rsidRDefault="0037636A" w:rsidP="0037636A">
      <w:pPr>
        <w:widowControl w:val="0"/>
        <w:autoSpaceDE w:val="0"/>
        <w:autoSpaceDN w:val="0"/>
        <w:adjustRightInd w:val="0"/>
        <w:ind w:right="50"/>
        <w:contextualSpacing/>
        <w:rPr>
          <w:bCs/>
          <w:i/>
          <w:iCs/>
          <w:u w:val="single"/>
        </w:rPr>
      </w:pPr>
      <w:r w:rsidRPr="00686506">
        <w:rPr>
          <w:bCs/>
          <w:i/>
          <w:iCs/>
          <w:u w:val="single"/>
        </w:rPr>
        <w:t>Радиологические особенности пневмоцистной пневмонии</w:t>
      </w:r>
    </w:p>
    <w:p w14:paraId="2356D6DC" w14:textId="77777777" w:rsidR="0037636A" w:rsidRPr="00DA2BC8" w:rsidRDefault="0037636A" w:rsidP="0037636A">
      <w:pPr>
        <w:widowControl w:val="0"/>
        <w:autoSpaceDE w:val="0"/>
        <w:autoSpaceDN w:val="0"/>
        <w:adjustRightInd w:val="0"/>
        <w:ind w:right="50"/>
        <w:contextualSpacing/>
      </w:pPr>
      <w:r w:rsidRPr="00DA2BC8">
        <w:t>Заподозрить пневмоцистную пневмонию можно только по данным КТ</w:t>
      </w:r>
      <w:r>
        <w:t>/СКТ</w:t>
      </w:r>
      <w:r w:rsidRPr="00DA2BC8">
        <w:t>.</w:t>
      </w:r>
      <w:r w:rsidRPr="00DA2BC8">
        <w:rPr>
          <w:b/>
        </w:rPr>
        <w:t xml:space="preserve"> </w:t>
      </w:r>
    </w:p>
    <w:p w14:paraId="557D734A" w14:textId="77777777" w:rsidR="0037636A" w:rsidRPr="00DA2BC8" w:rsidRDefault="0037636A" w:rsidP="0037636A">
      <w:pPr>
        <w:widowControl w:val="0"/>
        <w:autoSpaceDE w:val="0"/>
        <w:autoSpaceDN w:val="0"/>
        <w:adjustRightInd w:val="0"/>
        <w:ind w:right="50"/>
        <w:contextualSpacing/>
      </w:pPr>
      <w:r w:rsidRPr="00DA2BC8">
        <w:t>При радиологическом исследовании легких обнаруживают облаковидную, туманную, по типу снежной бури или матового стекла, билатеральную инфильтрацию, чаще в прикорневых отделах легких. В то же время могут быть выявлены участки консолидации, буллы (10%), особенно в верхних долях легких, которые могут приводить к образованию пневмоторакса. Признаки плеврита бывают редко, за исключением реципиентов аллогенных СГК. В некоторых случаях определяют одиночные или множественные очаги в легких, описаны случаи симптома «обратного ореола» и каверн по данным КТ</w:t>
      </w:r>
      <w:r>
        <w:t>/СКТ</w:t>
      </w:r>
      <w:r w:rsidRPr="00DA2BC8">
        <w:t xml:space="preserve"> легких. </w:t>
      </w:r>
    </w:p>
    <w:p w14:paraId="48BCAEA8" w14:textId="77777777" w:rsidR="0037636A" w:rsidRPr="00DA2BC8" w:rsidRDefault="0037636A" w:rsidP="0037636A">
      <w:pPr>
        <w:widowControl w:val="0"/>
        <w:autoSpaceDE w:val="0"/>
        <w:autoSpaceDN w:val="0"/>
        <w:adjustRightInd w:val="0"/>
        <w:ind w:right="50"/>
        <w:contextualSpacing/>
        <w:rPr>
          <w:b/>
          <w:bCs/>
        </w:rPr>
      </w:pPr>
      <w:r w:rsidRPr="00DA2BC8">
        <w:rPr>
          <w:bCs/>
        </w:rPr>
        <w:t>Препаратом выбора является т</w:t>
      </w:r>
      <w:r w:rsidRPr="00DA2BC8">
        <w:t>риметоприм/сульфаметоксазол, который назначают из расчета по триметоприму 15-20 мг/кг в сутки, внутривенно, дозу разделяют на 3 приема.</w:t>
      </w:r>
    </w:p>
    <w:p w14:paraId="09853588" w14:textId="77777777" w:rsidR="0037636A" w:rsidRPr="00DA2BC8" w:rsidRDefault="0037636A" w:rsidP="0037636A">
      <w:pPr>
        <w:widowControl w:val="0"/>
        <w:autoSpaceDE w:val="0"/>
        <w:autoSpaceDN w:val="0"/>
        <w:adjustRightInd w:val="0"/>
        <w:ind w:right="50"/>
        <w:contextualSpacing/>
      </w:pPr>
      <w:r w:rsidRPr="00DA2BC8">
        <w:rPr>
          <w:bCs/>
        </w:rPr>
        <w:t xml:space="preserve">У </w:t>
      </w:r>
      <w:r w:rsidRPr="00DA2BC8">
        <w:t xml:space="preserve">нетяжелых </w:t>
      </w:r>
      <w:r>
        <w:t>пациентов</w:t>
      </w:r>
      <w:r w:rsidRPr="00DA2BC8">
        <w:t xml:space="preserve"> пневмоцистной пневмонией без дыхательной недостаточности, при условии отсутствия мукозита и нормальной функции желудочно-кишечного тракта (нет диареи), может быть использован триметоприм/сульфаметоксазол перорально в тех же дозах, как и для внутривенного назначения. Концентрация триметоприма/сульфаметоксазола в сыворотке крови является эквивалентной при использовании его внутривенно или перорально (в случае нормальной функции желудочно-кишечного тракта). Внутривенная форма триметоприма/сульфаметоксазола может быть заменена на пероральную без изменения дозирования препарата, как продолжение лечения, при клиническом улучшении состояния и нормальной абсорбции в желудочно-кишечном тракте. </w:t>
      </w:r>
    </w:p>
    <w:p w14:paraId="5663555B" w14:textId="406602E6" w:rsidR="0037636A" w:rsidRDefault="0037636A" w:rsidP="0037636A">
      <w:pPr>
        <w:widowControl w:val="0"/>
        <w:autoSpaceDE w:val="0"/>
        <w:autoSpaceDN w:val="0"/>
        <w:adjustRightInd w:val="0"/>
        <w:ind w:right="50"/>
        <w:contextualSpacing/>
      </w:pPr>
      <w:r w:rsidRPr="00DA2BC8">
        <w:t xml:space="preserve">Не рекомендовано назначать метотрексат в период терапии триметопримом/сульфаметоксазолом из-за развития побочных эффектов. </w:t>
      </w:r>
      <w:r w:rsidRPr="00DA2BC8">
        <w:rPr>
          <w:bCs/>
        </w:rPr>
        <w:t xml:space="preserve">Препаратами 2-го ряда являются </w:t>
      </w:r>
      <w:r w:rsidRPr="00DA2BC8">
        <w:t xml:space="preserve">пентамидин (4 мг/кг 1 раз в сутки, внутривенно, максимальная суточная доза 300 мг), сочетание примахина (30 мг внутрь 1 раз в сутки) и клиндамицина (600 мг внутривенно 3 раза в сутки). При неэффективности к триметоприму/сульфаметоксазолу добавляют каспофунгин (в 1-й день 70 мг, затем и по 50 мг внутривенно 1 раз в сутки). </w:t>
      </w:r>
      <w:r w:rsidRPr="00DA2BC8">
        <w:rPr>
          <w:iCs/>
        </w:rPr>
        <w:t>Не проводят одним эхинокандином</w:t>
      </w:r>
      <w:r w:rsidRPr="00DA2BC8">
        <w:t xml:space="preserve"> </w:t>
      </w:r>
      <w:r w:rsidRPr="00DA2BC8">
        <w:rPr>
          <w:iCs/>
        </w:rPr>
        <w:t>лечение пневмоцистной пневмонии (нет исследований).</w:t>
      </w:r>
      <w:r w:rsidRPr="00DA2BC8">
        <w:t xml:space="preserve"> Не рекомендовано назначение кортикостероидов всем больным с пневмоцистной пневмонией и дыхательной недостаточностью. Решение о добавлении кортикостероидов </w:t>
      </w:r>
      <w:r>
        <w:t>пациентам</w:t>
      </w:r>
      <w:r w:rsidRPr="00DA2BC8">
        <w:t xml:space="preserve"> с пневмоцистной пневмонией и дыхательной недостаточностью следует рассматривать индивидуально в каждом случае. </w:t>
      </w:r>
      <w:r w:rsidRPr="00DA2BC8">
        <w:rPr>
          <w:bCs/>
        </w:rPr>
        <w:t>Длительность лечения</w:t>
      </w:r>
      <w:r w:rsidRPr="00DA2BC8">
        <w:t xml:space="preserve"> пневмоцистной пневмонии составляет от 2 до 3-х недель.</w:t>
      </w:r>
    </w:p>
    <w:p w14:paraId="248A132E" w14:textId="76040488" w:rsidR="00CC29B1" w:rsidRDefault="00CC29B1" w:rsidP="0037636A">
      <w:pPr>
        <w:widowControl w:val="0"/>
        <w:autoSpaceDE w:val="0"/>
        <w:autoSpaceDN w:val="0"/>
        <w:adjustRightInd w:val="0"/>
        <w:ind w:right="50"/>
        <w:contextualSpacing/>
      </w:pPr>
    </w:p>
    <w:p w14:paraId="1A368C12" w14:textId="179C7CA5" w:rsidR="00987CCD" w:rsidRPr="00987CCD" w:rsidRDefault="00CC29B1" w:rsidP="00987CCD">
      <w:pPr>
        <w:pStyle w:val="2"/>
      </w:pPr>
      <w:bookmarkStart w:id="83" w:name="_Toc65586416"/>
      <w:r w:rsidRPr="009E610C">
        <w:t>7.1</w:t>
      </w:r>
      <w:r>
        <w:t xml:space="preserve">4. </w:t>
      </w:r>
      <w:r w:rsidR="00987CCD" w:rsidRPr="00C15639">
        <w:t>Диагностика и лечение септического шока и острой дыхательной недостаточности у гематологических пациентов</w:t>
      </w:r>
      <w:bookmarkEnd w:id="83"/>
    </w:p>
    <w:p w14:paraId="39A85A24" w14:textId="77777777" w:rsidR="00987CCD" w:rsidRPr="00C15639" w:rsidRDefault="00987CCD" w:rsidP="00987CCD">
      <w:pPr>
        <w:pStyle w:val="Normal11"/>
        <w:spacing w:before="0"/>
      </w:pPr>
    </w:p>
    <w:p w14:paraId="0A96FB7C" w14:textId="77777777" w:rsidR="00987CCD" w:rsidRPr="00C15639" w:rsidRDefault="00987CCD" w:rsidP="0080004F">
      <w:pPr>
        <w:pStyle w:val="Normal11"/>
        <w:spacing w:before="0" w:line="360" w:lineRule="auto"/>
        <w:jc w:val="both"/>
        <w:rPr>
          <w:i/>
          <w:u w:val="single"/>
        </w:rPr>
      </w:pPr>
      <w:r w:rsidRPr="00C15639">
        <w:rPr>
          <w:i/>
          <w:u w:val="single"/>
        </w:rPr>
        <w:t>Сепсис и септический шок</w:t>
      </w:r>
    </w:p>
    <w:p w14:paraId="5D3A86CE" w14:textId="77777777" w:rsidR="00987CCD" w:rsidRPr="00C15639" w:rsidRDefault="00987CCD" w:rsidP="0080004F">
      <w:pPr>
        <w:pStyle w:val="Normal11"/>
        <w:spacing w:before="0" w:line="360" w:lineRule="auto"/>
        <w:ind w:firstLine="699"/>
        <w:jc w:val="both"/>
      </w:pPr>
      <w:r w:rsidRPr="00C15639">
        <w:t>Сепсис — это угрожающая жизни органная дисфункция, вызванная нарушенным ответом организма больного на инфекцию. Сепсис регистрируется у 30% онкогематологических больных после проведения курсов химиотерапии и является одной из наиболее частых причин перевода их в отделение реанимации и интенсивной терапии (ОРИТ).</w:t>
      </w:r>
    </w:p>
    <w:p w14:paraId="295286F9" w14:textId="77777777" w:rsidR="00987CCD" w:rsidRPr="00C15639" w:rsidRDefault="00987CCD" w:rsidP="00987CCD">
      <w:pPr>
        <w:ind w:firstLine="699"/>
        <w:rPr>
          <w:szCs w:val="24"/>
          <w:lang w:eastAsia="ru-RU"/>
        </w:rPr>
      </w:pPr>
      <w:r w:rsidRPr="00C15639">
        <w:rPr>
          <w:szCs w:val="24"/>
          <w:lang w:eastAsia="ru-RU"/>
        </w:rPr>
        <w:t>Сепсис является одним из факторов риска смертности у онкогематологических пациентов. Одним из наиболее тяжелых проявлений сепсиса является септический шок, который у этой категории больных является независимым предиктором летального исхода. Септический шок является одной из наиболее частых причин госпитализации в ОРИТ – 42%, а также является самой частой причиной смерти. Выживаемость при септическом шоке у больных в состоянии агранулоцитоза, по некоторым данным, составляет всего 27%. Хотя за последнее время выживаемость у онкогематологических пациентов с септическим шоком увеличилась, однако смертность все еще остается высокой и во многом зависит от оснащенности палаты интенсивной терапии, действий персонала при лечении больных с септическим шоком.</w:t>
      </w:r>
    </w:p>
    <w:p w14:paraId="5E10B4C7" w14:textId="77777777" w:rsidR="00987CCD" w:rsidRPr="00C15639" w:rsidRDefault="00987CCD" w:rsidP="00987CCD">
      <w:pPr>
        <w:ind w:firstLine="699"/>
        <w:rPr>
          <w:szCs w:val="24"/>
          <w:lang w:eastAsia="ru-RU"/>
        </w:rPr>
      </w:pPr>
      <w:r w:rsidRPr="00C15639">
        <w:rPr>
          <w:szCs w:val="24"/>
          <w:lang w:eastAsia="ru-RU"/>
        </w:rPr>
        <w:t>Изучение клинических проявлений сепсиса у онкогематологических больных показало, что в 35% случаев его первые симптомы возникают в течение недели до выделения бактерий из крови, причем значимо чаще при сепсисе, обусловленном неферментирующими бактериями (56%) в сравнении с энтеробактериями (26%). У 33% больных гемобластозами лихорадка возникала лишь за сутки до развития септического шока. У онкогематологических больных обычно имеет место снижение уровня Ig</w:t>
      </w:r>
      <w:r w:rsidRPr="00C15639">
        <w:rPr>
          <w:szCs w:val="24"/>
          <w:lang w:val="en-US" w:eastAsia="ru-RU"/>
        </w:rPr>
        <w:t>G</w:t>
      </w:r>
      <w:r w:rsidRPr="00C15639">
        <w:rPr>
          <w:szCs w:val="24"/>
          <w:lang w:eastAsia="ru-RU"/>
        </w:rPr>
        <w:t xml:space="preserve"> и </w:t>
      </w:r>
      <w:r w:rsidRPr="00C15639">
        <w:rPr>
          <w:szCs w:val="24"/>
          <w:lang w:val="en-US" w:eastAsia="ru-RU"/>
        </w:rPr>
        <w:t>IgM</w:t>
      </w:r>
      <w:r w:rsidRPr="00C15639">
        <w:rPr>
          <w:szCs w:val="24"/>
          <w:lang w:eastAsia="ru-RU"/>
        </w:rPr>
        <w:t>, персистирует нейтропения, что также способствует развитию инфекционных осложнений. Таким образом, можно говорить о расширении понятия сепсис в онкогематологии. Необходимо подозревать сепсис у каждого больного онкогематологическим заболеванием или депрессией кроветоворения с фебрильной лихорадкой и даже нормальными уровнями маркеров воспаления, начинать или видоизменять таким пациентам антибиотическую терапию как можно раньше. Необходимо активное проведение комплекса диагностических исследований, повторение их, изменение тактики антимикробной терапии при отрицательных результатах у этих больных.</w:t>
      </w:r>
    </w:p>
    <w:p w14:paraId="41F42A95" w14:textId="77777777" w:rsidR="00987CCD" w:rsidRPr="00C15639" w:rsidRDefault="00987CCD" w:rsidP="00987CCD">
      <w:pPr>
        <w:ind w:firstLine="699"/>
        <w:rPr>
          <w:szCs w:val="24"/>
          <w:lang w:eastAsia="ru-RU"/>
        </w:rPr>
      </w:pPr>
      <w:r w:rsidRPr="00C15639">
        <w:rPr>
          <w:szCs w:val="24"/>
          <w:lang w:eastAsia="ru-RU"/>
        </w:rPr>
        <w:t xml:space="preserve">Определение понятия «сепсис» за последние годы претерпело ряд существенных изменений. </w:t>
      </w:r>
    </w:p>
    <w:p w14:paraId="4F126C5F" w14:textId="77777777" w:rsidR="00987CCD" w:rsidRPr="00C15639" w:rsidRDefault="00987CCD" w:rsidP="00987CCD">
      <w:pPr>
        <w:ind w:firstLine="699"/>
        <w:rPr>
          <w:szCs w:val="24"/>
          <w:lang w:eastAsia="ru-RU"/>
        </w:rPr>
      </w:pPr>
      <w:r w:rsidRPr="00C15639">
        <w:rPr>
          <w:szCs w:val="24"/>
          <w:lang w:eastAsia="ru-RU"/>
        </w:rPr>
        <w:t xml:space="preserve">В 1991 г. на согласительной конференции Американского колледжа пульмонологов и Общества специалистов критической медицины — ACCP/SCCM, состоявшейся в Чикаго, было дано определение сепсиса как системной реакции организма на инфекционный очаг («Сепсис-1»). Согласно этой концепции, выделяли синдром системного воспалительной реакции, сепсис, тяжелый сепсис, синдром полиорганной дисфункции, септической шок. </w:t>
      </w:r>
    </w:p>
    <w:p w14:paraId="10D454FA" w14:textId="77777777" w:rsidR="00987CCD" w:rsidRPr="00C15639" w:rsidRDefault="00987CCD" w:rsidP="00987CCD">
      <w:pPr>
        <w:ind w:firstLine="699"/>
        <w:rPr>
          <w:szCs w:val="24"/>
          <w:lang w:eastAsia="ru-RU"/>
        </w:rPr>
      </w:pPr>
      <w:r w:rsidRPr="00C15639">
        <w:rPr>
          <w:szCs w:val="24"/>
          <w:lang w:eastAsia="ru-RU"/>
        </w:rPr>
        <w:t>В 2001 г. в этом определении был расширен список диагностических критериев, однако определение сепсиса, септического шока и органной дисфункции осталось в основном без изменений («Сепсис-2»).</w:t>
      </w:r>
    </w:p>
    <w:p w14:paraId="3CCCB3D7" w14:textId="0988BD0F" w:rsidR="00987CCD" w:rsidRPr="00C15639" w:rsidRDefault="00987CCD" w:rsidP="00987CCD">
      <w:pPr>
        <w:rPr>
          <w:szCs w:val="24"/>
          <w:lang w:eastAsia="ru-RU"/>
        </w:rPr>
      </w:pPr>
      <w:r w:rsidRPr="00C15639">
        <w:rPr>
          <w:szCs w:val="24"/>
          <w:lang w:eastAsia="ru-RU"/>
        </w:rPr>
        <w:t>В январе 2014 г. Европейское общество специалистов интенсивной терапии (European Society of Intensive Care Medicine) и Общество специалистов критической медицины (Society of Critical Care Medicine) создали рабочую группу по разработке нового определения сепсиса. Это новое определение сепсиса и его осложнений получило название «Сепсис-3»</w:t>
      </w:r>
      <w:r w:rsidRPr="005E58DC">
        <w:rPr>
          <w:szCs w:val="24"/>
          <w:lang w:eastAsia="ru-RU"/>
        </w:rPr>
        <w:t xml:space="preserve"> </w:t>
      </w:r>
      <w:r>
        <w:rPr>
          <w:szCs w:val="24"/>
          <w:lang w:eastAsia="ru-RU"/>
        </w:rPr>
        <w:fldChar w:fldCharType="begin" w:fldLock="1"/>
      </w:r>
      <w:r w:rsidR="00A07851">
        <w:rPr>
          <w:szCs w:val="24"/>
          <w:lang w:eastAsia="ru-RU"/>
        </w:rPr>
        <w:instrText>ADDIN CSL_CITATION {"citationItems":[{"id":"ITEM-1","itemData":{"DOI":"10.1001/jama.2016.0287","ISSN":"15383598","PMID":"26903338","abstract":"IMPORTANCE: Definitions of sepsis and septic shock were last revised in 2001. Considerable advances have since been made into the pathobiology (changes in organ function, morphology, cell biology, biochemistry, immunology, and circulation), management, and epidemiology of sepsis, suggesting the need for reexamination. OBJECTIVE: To evaluate and, as needed, update definitions for sepsis and septic shock. PROCESS A task force (n = 19) with expertise in sepsis pathobiology, clinical trials, and epidemiology was convened by the Society of Critical Care Medicine and the European Society of Intensive Care Medicine. Definitions and clinical criteria were generated through meetings, Delphi processes, analysis of electronic health record databases, and voting, followed by circulation to international professional societies, requesting peer review and endorsement (by 31 societies listed in the Acknowledgment). KEY FINDINGS FROMEVIDENCE SYNTHESIS: Limitations of previous definitions included an excessive focus on inflammation, the misleading model that sepsis follows a continuum through severe sepsis to shock, and inadequate specificity and sensitivity of the systemic inflammatory response syndrome (SIRS) criteria. Multiple definitions and terminologies are currently in use for sepsis, septic shock, and organ dysfunction, leading to discrepancies in reported incidence and observed mortality. The task force concluded the term severe sepsis was redundant. RECOMMENDATIONS: Sepsis should be defined as life-threatening organ dysfunction caused by a dysregulated host response to infection. For clinical operationalization, organ dysfunction can be represented by an increase in the Sequential [Sepsis-related] Organ Failure Assessment (SOFA) score of 2 points or more, which is associated with an in-hospital mortality greater than 10%. Septic shock should be defined as a subset of sepsis in which particularly profound circulatory, cellular, and metabolic abnormalities are associated with a greater risk of mortality than with sepsis alone. Patients with septic shock can be clinically identified by a vasopressor requirement to maintain a mean arterial pressure of 65mmHg or greater and serum lactate level greater than 2 mmol/L (&gt;18mg/dL) in the absence of hypovolemia. This combination is associated with hospital mortality rates greater than 40%. In out-of-hospital, emergency department, or general hospital ward settings, adult patients with suspected infection can be rapidly i…","author":[{"dropping-particle":"","family":"Singer","given":"Mervyn","non-dropping-particle":"","parse-names":false,"suffix":""},{"dropping-particle":"","family":"Deutschman","given":"Clifford S.","non-dropping-particle":"","parse-names":false,"suffix":""},{"dropping-particle":"","family":"Seymour","given":"Christopherwarren","non-dropping-particle":"","parse-names":false,"suffix":""},{"dropping-particle":"","family":"Shankar-Hari","given":"Manu","non-dropping-particle":"","parse-names":false,"suffix":""},{"dropping-particle":"","family":"Annane","given":"Djillali","non-dropping-particle":"","parse-names":false,"suffix":""},{"dropping-particle":"","family":"Bauer","given":"Michael","non-dropping-particle":"","parse-names":false,"suffix":""},{"dropping-particle":"","family":"Bellomo","given":"Rinaldo","non-dropping-particle":"","parse-names":false,"suffix":""},{"dropping-particle":"","family":"Bernard","given":"Gordon R.","non-dropping-particle":"","parse-names":false,"suffix":""},{"dropping-particle":"","family":"Chiche","given":"Jean Daniel","non-dropping-particle":"","parse-names":false,"suffix":""},{"dropping-particle":"","family":"Coopersmith","given":"Craig M.","non-dropping-particle":"","parse-names":false,"suffix":""},{"dropping-particle":"","family":"Hotchkiss","given":"Richard S.","non-dropping-particle":"","parse-names":false,"suffix":""},{"dropping-particle":"","family":"Levy","given":"Mitchell M.","non-dropping-particle":"","parse-names":false,"suffix":""},{"dropping-particle":"","family":"Marshall","given":"John C.","non-dropping-particle":"","parse-names":false,"suffix":""},{"dropping-particle":"","family":"Martin","given":"Greg S.","non-dropping-particle":"","parse-names":false,"suffix":""},{"dropping-particle":"","family":"Opal","given":"Steven M.","non-dropping-particle":"","parse-names":false,"suffix":""},{"dropping-particle":"","family":"Rubenfeld","given":"Gordon D.","non-dropping-particle":"","parse-names":false,"suffix":""},{"dropping-particle":"Der","family":"Poll","given":"Tomvan","non-dropping-particle":"","parse-names":false,"suffix":""},{"dropping-particle":"","family":"Vincent","given":"Jean Louis","non-dropping-particle":"","parse-names":false,"suffix":""},{"dropping-particle":"","family":"Angus","given":"Derek C.","non-dropping-particle":"","parse-names":false,"suffix":""}],"container-title":"JAMA - Journal of the American Medical Association","id":"ITEM-1","issue":"8","issued":{"date-parts":[["2016","2","23"]]},"page":"801-810","publisher":"American Medical Association","title":"The third international consensus definitions for sepsis and septic shock (sepsis-3)","type":"article","volume":"315"},"uris":["http://www.mendeley.com/documents/?uuid=7a82ce29-56d4-3507-a1c5-e9dc199012e8"]}],"mendeley":{"formattedCitation":"[114]","plainTextFormattedCitation":"[114]","previouslyFormattedCitation":"[114]"},"properties":{"noteIndex":0},"schema":"https://github.com/citation-style-language/schema/raw/master/csl-citation.json"}</w:instrText>
      </w:r>
      <w:r>
        <w:rPr>
          <w:szCs w:val="24"/>
          <w:lang w:eastAsia="ru-RU"/>
        </w:rPr>
        <w:fldChar w:fldCharType="separate"/>
      </w:r>
      <w:r w:rsidRPr="00987CCD">
        <w:rPr>
          <w:noProof/>
          <w:szCs w:val="24"/>
          <w:lang w:eastAsia="ru-RU"/>
        </w:rPr>
        <w:t>[114]</w:t>
      </w:r>
      <w:r>
        <w:rPr>
          <w:szCs w:val="24"/>
          <w:lang w:eastAsia="ru-RU"/>
        </w:rPr>
        <w:fldChar w:fldCharType="end"/>
      </w:r>
      <w:r w:rsidRPr="00C15639">
        <w:rPr>
          <w:szCs w:val="24"/>
          <w:lang w:eastAsia="ru-RU"/>
        </w:rPr>
        <w:t>.</w:t>
      </w:r>
    </w:p>
    <w:p w14:paraId="141C21B7" w14:textId="77777777" w:rsidR="00987CCD" w:rsidRDefault="00987CCD" w:rsidP="00987CCD">
      <w:pPr>
        <w:ind w:firstLine="708"/>
        <w:rPr>
          <w:b/>
          <w:bCs/>
          <w:lang w:eastAsia="ru-RU"/>
        </w:rPr>
      </w:pPr>
    </w:p>
    <w:p w14:paraId="16461E75" w14:textId="77777777" w:rsidR="00987CCD" w:rsidRPr="00955814" w:rsidRDefault="00987CCD" w:rsidP="00987CCD">
      <w:pPr>
        <w:ind w:firstLine="708"/>
        <w:rPr>
          <w:b/>
          <w:bCs/>
          <w:lang w:eastAsia="ru-RU"/>
        </w:rPr>
      </w:pPr>
      <w:r w:rsidRPr="00955814">
        <w:rPr>
          <w:b/>
          <w:bCs/>
          <w:lang w:eastAsia="ru-RU"/>
        </w:rPr>
        <w:t>«Сепсис-3»: отличительные особенности</w:t>
      </w:r>
    </w:p>
    <w:p w14:paraId="1B0B3218" w14:textId="77777777" w:rsidR="00987CCD" w:rsidRPr="00C15639" w:rsidRDefault="00987CCD" w:rsidP="00987CCD">
      <w:pPr>
        <w:rPr>
          <w:b/>
          <w:szCs w:val="24"/>
        </w:rPr>
      </w:pPr>
      <w:r w:rsidRPr="00C15639">
        <w:rPr>
          <w:b/>
          <w:szCs w:val="24"/>
        </w:rPr>
        <w:t>1. Системная воспалительная реакция в настоящее время не рассматривается как критерий сепсиса.</w:t>
      </w:r>
    </w:p>
    <w:p w14:paraId="178D700E" w14:textId="77777777" w:rsidR="00987CCD" w:rsidRPr="00C15639" w:rsidRDefault="00987CCD" w:rsidP="00987CCD">
      <w:pPr>
        <w:rPr>
          <w:b/>
          <w:bCs/>
          <w:szCs w:val="24"/>
        </w:rPr>
      </w:pPr>
      <w:r w:rsidRPr="00C15639">
        <w:rPr>
          <w:szCs w:val="24"/>
          <w:lang w:eastAsia="ru-RU"/>
        </w:rPr>
        <w:t>Сепсис — это угрожающая жизни органная дисфункция, вызванная нарушенным ответом организма больного на инфекцию.</w:t>
      </w:r>
    </w:p>
    <w:p w14:paraId="28107871" w14:textId="77777777" w:rsidR="00987CCD" w:rsidRPr="00C15639" w:rsidRDefault="00987CCD" w:rsidP="00987CCD">
      <w:pPr>
        <w:rPr>
          <w:b/>
          <w:szCs w:val="24"/>
        </w:rPr>
      </w:pPr>
      <w:r w:rsidRPr="00C15639">
        <w:rPr>
          <w:b/>
          <w:szCs w:val="24"/>
        </w:rPr>
        <w:t xml:space="preserve">2. Системная воспалительная реакция заменена шкалой органной недостаточности </w:t>
      </w:r>
      <w:r w:rsidRPr="00C15639">
        <w:rPr>
          <w:b/>
          <w:szCs w:val="24"/>
          <w:lang w:val="en-US"/>
        </w:rPr>
        <w:t>qSOFA</w:t>
      </w:r>
      <w:r w:rsidRPr="00C15639">
        <w:rPr>
          <w:b/>
          <w:szCs w:val="24"/>
        </w:rPr>
        <w:t xml:space="preserve"> (</w:t>
      </w:r>
      <w:r w:rsidRPr="00C15639">
        <w:rPr>
          <w:b/>
          <w:szCs w:val="24"/>
          <w:lang w:val="en-US"/>
        </w:rPr>
        <w:t>quick</w:t>
      </w:r>
      <w:r w:rsidRPr="00C15639">
        <w:rPr>
          <w:b/>
          <w:szCs w:val="24"/>
        </w:rPr>
        <w:t xml:space="preserve"> </w:t>
      </w:r>
      <w:r w:rsidRPr="00C15639">
        <w:rPr>
          <w:b/>
          <w:szCs w:val="24"/>
          <w:lang w:val="en-US"/>
        </w:rPr>
        <w:t>Sequential</w:t>
      </w:r>
      <w:r w:rsidRPr="00C15639">
        <w:rPr>
          <w:b/>
          <w:szCs w:val="24"/>
        </w:rPr>
        <w:t xml:space="preserve"> </w:t>
      </w:r>
      <w:r w:rsidRPr="00C15639">
        <w:rPr>
          <w:b/>
          <w:szCs w:val="24"/>
          <w:lang w:val="en-US"/>
        </w:rPr>
        <w:t>Organ</w:t>
      </w:r>
      <w:r w:rsidRPr="00C15639">
        <w:rPr>
          <w:b/>
          <w:szCs w:val="24"/>
        </w:rPr>
        <w:t xml:space="preserve"> </w:t>
      </w:r>
      <w:r w:rsidRPr="00C15639">
        <w:rPr>
          <w:b/>
          <w:szCs w:val="24"/>
          <w:lang w:val="en-US"/>
        </w:rPr>
        <w:t>Failure</w:t>
      </w:r>
      <w:r w:rsidRPr="00C15639">
        <w:rPr>
          <w:b/>
          <w:szCs w:val="24"/>
        </w:rPr>
        <w:t xml:space="preserve"> </w:t>
      </w:r>
      <w:r w:rsidRPr="00C15639">
        <w:rPr>
          <w:b/>
          <w:szCs w:val="24"/>
          <w:lang w:val="en-US"/>
        </w:rPr>
        <w:t>Assessment</w:t>
      </w:r>
      <w:r w:rsidRPr="00C15639">
        <w:rPr>
          <w:b/>
          <w:szCs w:val="24"/>
        </w:rPr>
        <w:t>).</w:t>
      </w:r>
    </w:p>
    <w:p w14:paraId="1AE9591A" w14:textId="77777777" w:rsidR="00987CCD" w:rsidRPr="00C15639" w:rsidRDefault="00987CCD" w:rsidP="00987CCD">
      <w:pPr>
        <w:rPr>
          <w:szCs w:val="24"/>
          <w:lang w:eastAsia="ru-RU"/>
        </w:rPr>
      </w:pPr>
      <w:r w:rsidRPr="00C15639">
        <w:rPr>
          <w:szCs w:val="24"/>
          <w:lang w:eastAsia="ru-RU"/>
        </w:rPr>
        <w:t>Новые критерии qSOFA разработаны в качестве быстрого и простого инструмента, позволяющего идентифицировать сепсис в любых условиях. В отличие от SOFA, для шкалы qSOFA не требуются лабораторные тесты.</w:t>
      </w:r>
    </w:p>
    <w:p w14:paraId="050BE9F4" w14:textId="77777777" w:rsidR="00987CCD" w:rsidRPr="00C15639" w:rsidRDefault="00987CCD" w:rsidP="00987CCD">
      <w:pPr>
        <w:rPr>
          <w:szCs w:val="24"/>
          <w:lang w:eastAsia="ru-RU"/>
        </w:rPr>
      </w:pPr>
      <w:r w:rsidRPr="00C15639">
        <w:rPr>
          <w:szCs w:val="24"/>
          <w:lang w:eastAsia="ru-RU"/>
        </w:rPr>
        <w:t>Положительная шкала qSOFA помогает клиницисту увидеть органную дисфункцию, начать или эскалировать терапию, согласно принятым в интенсивной терапии правилам.</w:t>
      </w:r>
    </w:p>
    <w:p w14:paraId="351AEF43" w14:textId="77777777" w:rsidR="00987CCD" w:rsidRPr="00C15639" w:rsidRDefault="00987CCD" w:rsidP="00987CCD">
      <w:pPr>
        <w:rPr>
          <w:szCs w:val="24"/>
          <w:lang w:eastAsia="ru-RU"/>
        </w:rPr>
      </w:pPr>
      <w:r w:rsidRPr="00C15639">
        <w:rPr>
          <w:szCs w:val="24"/>
          <w:lang w:eastAsia="ru-RU"/>
        </w:rPr>
        <w:t>Диагноз сепсиса устанавливается при подозрении на инфекцию и положительной qSOFA, то есть ≥ 2 критериев из следующих:</w:t>
      </w:r>
    </w:p>
    <w:p w14:paraId="6559AAF7" w14:textId="77777777" w:rsidR="00987CCD" w:rsidRPr="00C15639" w:rsidRDefault="00987CCD" w:rsidP="00987CCD">
      <w:pPr>
        <w:pStyle w:val="Number1"/>
        <w:spacing w:before="0"/>
        <w:ind w:firstLine="709"/>
        <w:rPr>
          <w:szCs w:val="24"/>
        </w:rPr>
      </w:pPr>
      <w:r w:rsidRPr="00C15639">
        <w:rPr>
          <w:szCs w:val="24"/>
        </w:rPr>
        <w:t>1.</w:t>
      </w:r>
      <w:r w:rsidRPr="00C15639">
        <w:rPr>
          <w:szCs w:val="24"/>
        </w:rPr>
        <w:tab/>
        <w:t>Нарушенный ментальный статус (шкала комы Глазго &lt; 15).</w:t>
      </w:r>
    </w:p>
    <w:p w14:paraId="3C00A677" w14:textId="77777777" w:rsidR="00987CCD" w:rsidRPr="00C15639" w:rsidRDefault="00987CCD" w:rsidP="00987CCD">
      <w:pPr>
        <w:pStyle w:val="Number1"/>
        <w:spacing w:before="0"/>
        <w:ind w:firstLine="709"/>
        <w:rPr>
          <w:szCs w:val="24"/>
        </w:rPr>
      </w:pPr>
      <w:r w:rsidRPr="00C15639">
        <w:rPr>
          <w:szCs w:val="24"/>
        </w:rPr>
        <w:t>2.</w:t>
      </w:r>
      <w:r w:rsidRPr="00C15639">
        <w:rPr>
          <w:szCs w:val="24"/>
        </w:rPr>
        <w:tab/>
        <w:t>Систолическое АД ≤ 100 мм рт. ст.</w:t>
      </w:r>
    </w:p>
    <w:p w14:paraId="7FFEE9CF" w14:textId="77777777" w:rsidR="00987CCD" w:rsidRPr="00C15639" w:rsidRDefault="00987CCD" w:rsidP="00987CCD">
      <w:pPr>
        <w:pStyle w:val="Number1"/>
        <w:spacing w:before="0"/>
        <w:ind w:firstLine="709"/>
        <w:rPr>
          <w:szCs w:val="24"/>
        </w:rPr>
      </w:pPr>
      <w:r w:rsidRPr="00C15639">
        <w:rPr>
          <w:szCs w:val="24"/>
        </w:rPr>
        <w:t>3.</w:t>
      </w:r>
      <w:r w:rsidRPr="00C15639">
        <w:rPr>
          <w:szCs w:val="24"/>
        </w:rPr>
        <w:tab/>
        <w:t>Число дыханий ≥ 22/мин.</w:t>
      </w:r>
    </w:p>
    <w:p w14:paraId="715CAE72" w14:textId="77777777" w:rsidR="00987CCD" w:rsidRPr="00C15639" w:rsidRDefault="00987CCD" w:rsidP="00987CCD">
      <w:pPr>
        <w:rPr>
          <w:b/>
          <w:bCs/>
          <w:szCs w:val="24"/>
        </w:rPr>
      </w:pPr>
      <w:r w:rsidRPr="00C15639">
        <w:rPr>
          <w:b/>
          <w:bCs/>
          <w:szCs w:val="24"/>
        </w:rPr>
        <w:t xml:space="preserve">3. Шкала органной недостаточности </w:t>
      </w:r>
      <w:r w:rsidRPr="00C15639">
        <w:rPr>
          <w:b/>
          <w:bCs/>
          <w:szCs w:val="24"/>
          <w:lang w:val="en-US"/>
        </w:rPr>
        <w:t>SOFA</w:t>
      </w:r>
      <w:r w:rsidRPr="00C15639">
        <w:rPr>
          <w:b/>
          <w:bCs/>
          <w:szCs w:val="24"/>
        </w:rPr>
        <w:t xml:space="preserve"> (</w:t>
      </w:r>
      <w:r w:rsidRPr="00C15639">
        <w:rPr>
          <w:b/>
          <w:szCs w:val="24"/>
        </w:rPr>
        <w:t xml:space="preserve">Sepsis-related Organ Failure Assessment) </w:t>
      </w:r>
      <w:r w:rsidRPr="00C15639">
        <w:rPr>
          <w:b/>
          <w:bCs/>
          <w:szCs w:val="24"/>
        </w:rPr>
        <w:t>используется в настоящее время для клинической характеристики септических больных.</w:t>
      </w:r>
    </w:p>
    <w:p w14:paraId="0B9D3C2F" w14:textId="77777777" w:rsidR="00987CCD" w:rsidRPr="00C15639" w:rsidRDefault="00987CCD" w:rsidP="00987CCD">
      <w:pPr>
        <w:rPr>
          <w:szCs w:val="24"/>
          <w:lang w:eastAsia="ru-RU"/>
        </w:rPr>
      </w:pPr>
      <w:r w:rsidRPr="00C15639">
        <w:rPr>
          <w:szCs w:val="24"/>
          <w:lang w:eastAsia="ru-RU"/>
        </w:rPr>
        <w:t>Шкалы SOFA и qSOFA — «родные братья». Шкала SOFA — «золотой стандарт» для идентификации органной дисфункции у септических больных (таб.1). SOFA является лучшим предиктором госпитальной летальности, чем системная воспалительная реакция, ≥ 2 баллов по шкале SOFA означает увеличение от 2 до 25 раз риска смертельного исхода. SOFA учитывает 6 различных систем органов, придавая от 1 до 4 баллов для каждой системы. Повышение на 2 балла означает увеличение риска госпитальной летальности.</w:t>
      </w:r>
    </w:p>
    <w:p w14:paraId="2A1A98CA" w14:textId="77777777" w:rsidR="00987CCD" w:rsidRDefault="00987CCD" w:rsidP="00987CCD">
      <w:pPr>
        <w:pStyle w:val="table-name"/>
        <w:spacing w:before="0"/>
        <w:ind w:firstLine="0"/>
        <w:rPr>
          <w:szCs w:val="24"/>
          <w:lang w:val="ru-RU"/>
        </w:rPr>
      </w:pPr>
    </w:p>
    <w:p w14:paraId="59643C52" w14:textId="77777777" w:rsidR="00987CCD" w:rsidRPr="00C15639" w:rsidRDefault="00987CCD" w:rsidP="00987CCD">
      <w:pPr>
        <w:pStyle w:val="table-name"/>
        <w:spacing w:before="0"/>
        <w:ind w:firstLine="0"/>
        <w:rPr>
          <w:szCs w:val="24"/>
          <w:lang w:val="ru-RU"/>
        </w:rPr>
      </w:pPr>
      <w:r w:rsidRPr="00C15639">
        <w:rPr>
          <w:szCs w:val="24"/>
          <w:lang w:val="ru-RU"/>
        </w:rPr>
        <w:t xml:space="preserve">Таблица 1. Шкала </w:t>
      </w:r>
      <w:r w:rsidRPr="00C15639">
        <w:rPr>
          <w:szCs w:val="24"/>
        </w:rPr>
        <w:t>Sepsis</w:t>
      </w:r>
      <w:r w:rsidRPr="00C15639">
        <w:rPr>
          <w:szCs w:val="24"/>
          <w:lang w:val="ru-RU"/>
        </w:rPr>
        <w:t>-</w:t>
      </w:r>
      <w:r w:rsidRPr="00C15639">
        <w:rPr>
          <w:szCs w:val="24"/>
        </w:rPr>
        <w:t>related</w:t>
      </w:r>
      <w:r w:rsidRPr="00C15639">
        <w:rPr>
          <w:szCs w:val="24"/>
          <w:lang w:val="ru-RU"/>
        </w:rPr>
        <w:t xml:space="preserve"> </w:t>
      </w:r>
      <w:r w:rsidRPr="00C15639">
        <w:rPr>
          <w:szCs w:val="24"/>
        </w:rPr>
        <w:t>Organ</w:t>
      </w:r>
      <w:r w:rsidRPr="00C15639">
        <w:rPr>
          <w:szCs w:val="24"/>
          <w:lang w:val="ru-RU"/>
        </w:rPr>
        <w:t xml:space="preserve"> </w:t>
      </w:r>
      <w:r w:rsidRPr="00C15639">
        <w:rPr>
          <w:szCs w:val="24"/>
        </w:rPr>
        <w:t>Failure</w:t>
      </w:r>
      <w:r w:rsidRPr="00C15639">
        <w:rPr>
          <w:szCs w:val="24"/>
          <w:lang w:val="ru-RU"/>
        </w:rPr>
        <w:t xml:space="preserve"> </w:t>
      </w:r>
      <w:r w:rsidRPr="00C15639">
        <w:rPr>
          <w:szCs w:val="24"/>
        </w:rPr>
        <w:t>Assessment</w:t>
      </w:r>
      <w:r w:rsidRPr="00C15639">
        <w:rPr>
          <w:szCs w:val="24"/>
          <w:lang w:val="ru-RU"/>
        </w:rPr>
        <w:t xml:space="preserve"> (</w:t>
      </w:r>
      <w:r w:rsidRPr="00C15639">
        <w:rPr>
          <w:szCs w:val="24"/>
        </w:rPr>
        <w:t>SOFA</w:t>
      </w:r>
      <w:r w:rsidRPr="00C15639">
        <w:rPr>
          <w:szCs w:val="24"/>
          <w:lang w:val="ru-RU"/>
        </w:rPr>
        <w:t xml:space="preserve">)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1128"/>
        <w:gridCol w:w="1417"/>
        <w:gridCol w:w="1843"/>
        <w:gridCol w:w="1984"/>
      </w:tblGrid>
      <w:tr w:rsidR="00987CCD" w:rsidRPr="00C15639" w14:paraId="693DFF11" w14:textId="77777777" w:rsidTr="002D3EBF">
        <w:trPr>
          <w:cantSplit/>
          <w:trHeight w:val="20"/>
        </w:trPr>
        <w:tc>
          <w:tcPr>
            <w:tcW w:w="2808" w:type="dxa"/>
            <w:vMerge w:val="restart"/>
            <w:vAlign w:val="center"/>
          </w:tcPr>
          <w:p w14:paraId="756B05CE" w14:textId="77777777" w:rsidR="00987CCD" w:rsidRPr="00C15639" w:rsidRDefault="00987CCD" w:rsidP="002D3EBF">
            <w:pPr>
              <w:pStyle w:val="table-head-bold"/>
              <w:numPr>
                <w:ilvl w:val="12"/>
                <w:numId w:val="0"/>
              </w:numPr>
              <w:spacing w:before="0"/>
              <w:ind w:firstLine="425"/>
              <w:rPr>
                <w:sz w:val="24"/>
                <w:szCs w:val="24"/>
              </w:rPr>
            </w:pPr>
            <w:r w:rsidRPr="00C15639">
              <w:rPr>
                <w:sz w:val="24"/>
                <w:szCs w:val="24"/>
              </w:rPr>
              <w:t>Системы органов</w:t>
            </w:r>
          </w:p>
        </w:tc>
        <w:tc>
          <w:tcPr>
            <w:tcW w:w="6372" w:type="dxa"/>
            <w:gridSpan w:val="4"/>
          </w:tcPr>
          <w:p w14:paraId="25CA9EE2" w14:textId="77777777" w:rsidR="00987CCD" w:rsidRPr="00C15639" w:rsidRDefault="00987CCD" w:rsidP="002D3EBF">
            <w:pPr>
              <w:pStyle w:val="table-head-bold"/>
              <w:numPr>
                <w:ilvl w:val="12"/>
                <w:numId w:val="0"/>
              </w:numPr>
              <w:spacing w:before="0"/>
              <w:ind w:firstLine="425"/>
              <w:rPr>
                <w:sz w:val="24"/>
                <w:szCs w:val="24"/>
              </w:rPr>
            </w:pPr>
            <w:r w:rsidRPr="00C15639">
              <w:rPr>
                <w:sz w:val="24"/>
                <w:szCs w:val="24"/>
              </w:rPr>
              <w:t>Баллы</w:t>
            </w:r>
          </w:p>
        </w:tc>
      </w:tr>
      <w:tr w:rsidR="00987CCD" w:rsidRPr="00C15639" w14:paraId="70078524" w14:textId="77777777" w:rsidTr="002D3EBF">
        <w:trPr>
          <w:cantSplit/>
          <w:trHeight w:val="20"/>
        </w:trPr>
        <w:tc>
          <w:tcPr>
            <w:tcW w:w="2808" w:type="dxa"/>
            <w:vMerge/>
          </w:tcPr>
          <w:p w14:paraId="0A6F2D82" w14:textId="77777777" w:rsidR="00987CCD" w:rsidRPr="00C15639" w:rsidRDefault="00987CCD" w:rsidP="002D3EBF">
            <w:pPr>
              <w:pStyle w:val="table-head-bold"/>
              <w:numPr>
                <w:ilvl w:val="12"/>
                <w:numId w:val="0"/>
              </w:numPr>
              <w:spacing w:before="0"/>
              <w:ind w:firstLine="425"/>
              <w:rPr>
                <w:sz w:val="24"/>
                <w:szCs w:val="24"/>
              </w:rPr>
            </w:pPr>
          </w:p>
        </w:tc>
        <w:tc>
          <w:tcPr>
            <w:tcW w:w="1128" w:type="dxa"/>
          </w:tcPr>
          <w:p w14:paraId="66319124" w14:textId="77777777" w:rsidR="00987CCD" w:rsidRPr="00C15639" w:rsidRDefault="00987CCD" w:rsidP="002D3EBF">
            <w:pPr>
              <w:pStyle w:val="table-head-bold"/>
              <w:numPr>
                <w:ilvl w:val="12"/>
                <w:numId w:val="0"/>
              </w:numPr>
              <w:spacing w:before="0"/>
              <w:ind w:firstLine="425"/>
              <w:rPr>
                <w:sz w:val="24"/>
                <w:szCs w:val="24"/>
              </w:rPr>
            </w:pPr>
            <w:r w:rsidRPr="00C15639">
              <w:rPr>
                <w:sz w:val="24"/>
                <w:szCs w:val="24"/>
              </w:rPr>
              <w:t>1</w:t>
            </w:r>
          </w:p>
        </w:tc>
        <w:tc>
          <w:tcPr>
            <w:tcW w:w="1417" w:type="dxa"/>
          </w:tcPr>
          <w:p w14:paraId="169A05C5" w14:textId="77777777" w:rsidR="00987CCD" w:rsidRPr="00C15639" w:rsidRDefault="00987CCD" w:rsidP="002D3EBF">
            <w:pPr>
              <w:pStyle w:val="table-head-bold"/>
              <w:numPr>
                <w:ilvl w:val="12"/>
                <w:numId w:val="0"/>
              </w:numPr>
              <w:spacing w:before="0"/>
              <w:ind w:firstLine="425"/>
              <w:rPr>
                <w:sz w:val="24"/>
                <w:szCs w:val="24"/>
              </w:rPr>
            </w:pPr>
            <w:r w:rsidRPr="00C15639">
              <w:rPr>
                <w:sz w:val="24"/>
                <w:szCs w:val="24"/>
              </w:rPr>
              <w:t>2</w:t>
            </w:r>
          </w:p>
        </w:tc>
        <w:tc>
          <w:tcPr>
            <w:tcW w:w="1843" w:type="dxa"/>
          </w:tcPr>
          <w:p w14:paraId="2DDC1B6D" w14:textId="77777777" w:rsidR="00987CCD" w:rsidRPr="00C15639" w:rsidRDefault="00987CCD" w:rsidP="002D3EBF">
            <w:pPr>
              <w:pStyle w:val="table-head-bold"/>
              <w:numPr>
                <w:ilvl w:val="12"/>
                <w:numId w:val="0"/>
              </w:numPr>
              <w:spacing w:before="0"/>
              <w:ind w:firstLine="425"/>
              <w:rPr>
                <w:sz w:val="24"/>
                <w:szCs w:val="24"/>
              </w:rPr>
            </w:pPr>
            <w:r w:rsidRPr="00C15639">
              <w:rPr>
                <w:sz w:val="24"/>
                <w:szCs w:val="24"/>
              </w:rPr>
              <w:t>3</w:t>
            </w:r>
          </w:p>
        </w:tc>
        <w:tc>
          <w:tcPr>
            <w:tcW w:w="1984" w:type="dxa"/>
          </w:tcPr>
          <w:p w14:paraId="7014FBA9" w14:textId="77777777" w:rsidR="00987CCD" w:rsidRPr="00C15639" w:rsidRDefault="00987CCD" w:rsidP="002D3EBF">
            <w:pPr>
              <w:pStyle w:val="table-head-bold"/>
              <w:numPr>
                <w:ilvl w:val="12"/>
                <w:numId w:val="0"/>
              </w:numPr>
              <w:spacing w:before="0"/>
              <w:ind w:firstLine="425"/>
              <w:rPr>
                <w:sz w:val="24"/>
                <w:szCs w:val="24"/>
              </w:rPr>
            </w:pPr>
            <w:r w:rsidRPr="00C15639">
              <w:rPr>
                <w:sz w:val="24"/>
                <w:szCs w:val="24"/>
              </w:rPr>
              <w:t>4</w:t>
            </w:r>
          </w:p>
        </w:tc>
      </w:tr>
      <w:tr w:rsidR="00987CCD" w:rsidRPr="00C15639" w14:paraId="6B8BECC5" w14:textId="77777777" w:rsidTr="002D3EBF">
        <w:trPr>
          <w:cantSplit/>
          <w:trHeight w:val="20"/>
        </w:trPr>
        <w:tc>
          <w:tcPr>
            <w:tcW w:w="2808" w:type="dxa"/>
          </w:tcPr>
          <w:p w14:paraId="6B8BB4EE" w14:textId="77777777" w:rsidR="00987CCD" w:rsidRPr="00C15639" w:rsidRDefault="00987CCD" w:rsidP="002D3EBF">
            <w:pPr>
              <w:pStyle w:val="table-text-0"/>
              <w:numPr>
                <w:ilvl w:val="12"/>
                <w:numId w:val="0"/>
              </w:numPr>
              <w:spacing w:before="0"/>
              <w:rPr>
                <w:b/>
                <w:sz w:val="24"/>
                <w:szCs w:val="24"/>
                <w:lang w:val="ru-RU"/>
              </w:rPr>
            </w:pPr>
            <w:r w:rsidRPr="00C15639">
              <w:rPr>
                <w:b/>
                <w:sz w:val="24"/>
                <w:szCs w:val="24"/>
                <w:lang w:val="ru-RU"/>
              </w:rPr>
              <w:t>Дыхание</w:t>
            </w:r>
          </w:p>
          <w:p w14:paraId="69A8FC3B" w14:textId="77777777" w:rsidR="00987CCD" w:rsidRPr="00C15639" w:rsidRDefault="00987CCD" w:rsidP="002D3EBF">
            <w:pPr>
              <w:pStyle w:val="table-text-0"/>
              <w:numPr>
                <w:ilvl w:val="12"/>
                <w:numId w:val="0"/>
              </w:numPr>
              <w:spacing w:before="0"/>
              <w:rPr>
                <w:sz w:val="24"/>
                <w:szCs w:val="24"/>
                <w:lang w:val="ru-RU"/>
              </w:rPr>
            </w:pPr>
            <w:r w:rsidRPr="00C15639">
              <w:rPr>
                <w:sz w:val="24"/>
                <w:szCs w:val="24"/>
              </w:rPr>
              <w:t>P</w:t>
            </w:r>
            <w:r w:rsidRPr="00C15639">
              <w:rPr>
                <w:sz w:val="24"/>
                <w:szCs w:val="24"/>
                <w:vertAlign w:val="subscript"/>
              </w:rPr>
              <w:t>a</w:t>
            </w:r>
            <w:r w:rsidRPr="00C15639">
              <w:rPr>
                <w:sz w:val="24"/>
                <w:szCs w:val="24"/>
              </w:rPr>
              <w:t>O</w:t>
            </w:r>
            <w:r w:rsidRPr="00C15639">
              <w:rPr>
                <w:sz w:val="24"/>
                <w:szCs w:val="24"/>
                <w:vertAlign w:val="subscript"/>
                <w:lang w:val="ru-RU"/>
              </w:rPr>
              <w:t>2</w:t>
            </w:r>
            <w:r w:rsidRPr="00C15639">
              <w:rPr>
                <w:sz w:val="24"/>
                <w:szCs w:val="24"/>
                <w:lang w:val="ru-RU"/>
              </w:rPr>
              <w:t>/</w:t>
            </w:r>
            <w:r w:rsidRPr="00C15639">
              <w:rPr>
                <w:sz w:val="24"/>
                <w:szCs w:val="24"/>
              </w:rPr>
              <w:t>F</w:t>
            </w:r>
            <w:r w:rsidRPr="00C15639">
              <w:rPr>
                <w:sz w:val="24"/>
                <w:szCs w:val="24"/>
                <w:vertAlign w:val="subscript"/>
              </w:rPr>
              <w:t>I</w:t>
            </w:r>
            <w:r w:rsidRPr="00C15639">
              <w:rPr>
                <w:sz w:val="24"/>
                <w:szCs w:val="24"/>
              </w:rPr>
              <w:t>O</w:t>
            </w:r>
            <w:r w:rsidRPr="00C15639">
              <w:rPr>
                <w:sz w:val="24"/>
                <w:szCs w:val="24"/>
                <w:vertAlign w:val="subscript"/>
                <w:lang w:val="ru-RU"/>
              </w:rPr>
              <w:t>2</w:t>
            </w:r>
            <w:r w:rsidRPr="00C15639">
              <w:rPr>
                <w:sz w:val="24"/>
                <w:szCs w:val="24"/>
                <w:lang w:val="ru-RU"/>
              </w:rPr>
              <w:t>, мм рт. ст.</w:t>
            </w:r>
          </w:p>
        </w:tc>
        <w:tc>
          <w:tcPr>
            <w:tcW w:w="1128" w:type="dxa"/>
            <w:vAlign w:val="center"/>
          </w:tcPr>
          <w:p w14:paraId="12E14152" w14:textId="77777777" w:rsidR="00987CCD" w:rsidRPr="00C15639" w:rsidRDefault="00987CCD" w:rsidP="002D3EBF">
            <w:pPr>
              <w:pStyle w:val="table-text-0"/>
              <w:numPr>
                <w:ilvl w:val="12"/>
                <w:numId w:val="0"/>
              </w:numPr>
              <w:spacing w:before="0"/>
              <w:rPr>
                <w:sz w:val="24"/>
                <w:szCs w:val="24"/>
              </w:rPr>
            </w:pPr>
            <w:r w:rsidRPr="00C15639">
              <w:rPr>
                <w:sz w:val="24"/>
                <w:szCs w:val="24"/>
              </w:rPr>
              <w:t>399—300</w:t>
            </w:r>
          </w:p>
        </w:tc>
        <w:tc>
          <w:tcPr>
            <w:tcW w:w="1417" w:type="dxa"/>
            <w:vAlign w:val="center"/>
          </w:tcPr>
          <w:p w14:paraId="6693B11E" w14:textId="77777777" w:rsidR="00987CCD" w:rsidRPr="00C15639" w:rsidRDefault="00987CCD" w:rsidP="002D3EBF">
            <w:pPr>
              <w:pStyle w:val="table-text-0"/>
              <w:numPr>
                <w:ilvl w:val="12"/>
                <w:numId w:val="0"/>
              </w:numPr>
              <w:spacing w:before="0"/>
              <w:rPr>
                <w:sz w:val="24"/>
                <w:szCs w:val="24"/>
              </w:rPr>
            </w:pPr>
            <w:r w:rsidRPr="00C15639">
              <w:rPr>
                <w:sz w:val="24"/>
                <w:szCs w:val="24"/>
              </w:rPr>
              <w:t>299—200</w:t>
            </w:r>
          </w:p>
        </w:tc>
        <w:tc>
          <w:tcPr>
            <w:tcW w:w="1843" w:type="dxa"/>
            <w:vAlign w:val="center"/>
          </w:tcPr>
          <w:p w14:paraId="4AFEACEE" w14:textId="77777777" w:rsidR="00987CCD" w:rsidRPr="00C15639" w:rsidRDefault="00987CCD" w:rsidP="002D3EBF">
            <w:pPr>
              <w:pStyle w:val="table-text-0"/>
              <w:numPr>
                <w:ilvl w:val="12"/>
                <w:numId w:val="0"/>
              </w:numPr>
              <w:spacing w:before="0"/>
              <w:rPr>
                <w:sz w:val="24"/>
                <w:szCs w:val="24"/>
              </w:rPr>
            </w:pPr>
            <w:r w:rsidRPr="00C15639">
              <w:rPr>
                <w:sz w:val="24"/>
                <w:szCs w:val="24"/>
              </w:rPr>
              <w:t>199—100</w:t>
            </w:r>
          </w:p>
        </w:tc>
        <w:tc>
          <w:tcPr>
            <w:tcW w:w="1984" w:type="dxa"/>
            <w:vAlign w:val="center"/>
          </w:tcPr>
          <w:p w14:paraId="273D08EB" w14:textId="77777777" w:rsidR="00987CCD" w:rsidRPr="00C15639" w:rsidRDefault="00987CCD" w:rsidP="002D3EBF">
            <w:pPr>
              <w:pStyle w:val="table-text-0"/>
              <w:numPr>
                <w:ilvl w:val="12"/>
                <w:numId w:val="0"/>
              </w:numPr>
              <w:spacing w:before="0"/>
              <w:rPr>
                <w:sz w:val="24"/>
                <w:szCs w:val="24"/>
              </w:rPr>
            </w:pPr>
            <w:r w:rsidRPr="00C15639">
              <w:rPr>
                <w:sz w:val="24"/>
                <w:szCs w:val="24"/>
              </w:rPr>
              <w:t>&lt; 100</w:t>
            </w:r>
          </w:p>
        </w:tc>
      </w:tr>
      <w:tr w:rsidR="00987CCD" w:rsidRPr="00C15639" w14:paraId="79C9FEF7" w14:textId="77777777" w:rsidTr="002D3EBF">
        <w:trPr>
          <w:cantSplit/>
          <w:trHeight w:val="20"/>
        </w:trPr>
        <w:tc>
          <w:tcPr>
            <w:tcW w:w="2808" w:type="dxa"/>
          </w:tcPr>
          <w:p w14:paraId="720733C1" w14:textId="77777777" w:rsidR="00987CCD" w:rsidRPr="00C15639" w:rsidRDefault="00987CCD" w:rsidP="002D3EBF">
            <w:pPr>
              <w:pStyle w:val="table-text-0"/>
              <w:numPr>
                <w:ilvl w:val="12"/>
                <w:numId w:val="0"/>
              </w:numPr>
              <w:spacing w:before="0"/>
              <w:rPr>
                <w:b/>
                <w:sz w:val="24"/>
                <w:szCs w:val="24"/>
              </w:rPr>
            </w:pPr>
            <w:r w:rsidRPr="00C15639">
              <w:rPr>
                <w:b/>
                <w:sz w:val="24"/>
                <w:szCs w:val="24"/>
              </w:rPr>
              <w:t>Коагуляция</w:t>
            </w:r>
          </w:p>
          <w:p w14:paraId="19596C6D" w14:textId="29446D7B" w:rsidR="00987CCD" w:rsidRPr="00C15639" w:rsidRDefault="00987CCD" w:rsidP="002D3EBF">
            <w:pPr>
              <w:pStyle w:val="table-text-0"/>
              <w:numPr>
                <w:ilvl w:val="12"/>
                <w:numId w:val="0"/>
              </w:numPr>
              <w:spacing w:before="0"/>
              <w:rPr>
                <w:sz w:val="24"/>
                <w:szCs w:val="24"/>
              </w:rPr>
            </w:pPr>
            <w:r w:rsidRPr="00C15639">
              <w:rPr>
                <w:sz w:val="24"/>
                <w:szCs w:val="24"/>
              </w:rPr>
              <w:t>Тромбоциты,</w:t>
            </w:r>
            <w:r w:rsidR="00900E2F">
              <w:rPr>
                <w:sz w:val="24"/>
                <w:szCs w:val="24"/>
                <w:lang w:val="ru-RU"/>
              </w:rPr>
              <w:t xml:space="preserve"> х </w:t>
            </w:r>
            <w:r w:rsidRPr="00C15639">
              <w:rPr>
                <w:sz w:val="24"/>
                <w:szCs w:val="24"/>
              </w:rPr>
              <w:t>10</w:t>
            </w:r>
            <w:r w:rsidRPr="00C15639">
              <w:rPr>
                <w:sz w:val="24"/>
                <w:szCs w:val="24"/>
                <w:vertAlign w:val="superscript"/>
              </w:rPr>
              <w:t>3</w:t>
            </w:r>
            <w:r w:rsidRPr="00C15639">
              <w:rPr>
                <w:sz w:val="24"/>
                <w:szCs w:val="24"/>
              </w:rPr>
              <w:t>/мм</w:t>
            </w:r>
            <w:r w:rsidRPr="00C15639">
              <w:rPr>
                <w:sz w:val="24"/>
                <w:szCs w:val="24"/>
                <w:vertAlign w:val="superscript"/>
              </w:rPr>
              <w:t>3</w:t>
            </w:r>
          </w:p>
        </w:tc>
        <w:tc>
          <w:tcPr>
            <w:tcW w:w="1128" w:type="dxa"/>
            <w:vAlign w:val="center"/>
          </w:tcPr>
          <w:p w14:paraId="16A14813" w14:textId="77777777" w:rsidR="00987CCD" w:rsidRPr="00C15639" w:rsidRDefault="00987CCD" w:rsidP="002D3EBF">
            <w:pPr>
              <w:pStyle w:val="table-text-0"/>
              <w:numPr>
                <w:ilvl w:val="12"/>
                <w:numId w:val="0"/>
              </w:numPr>
              <w:spacing w:before="0"/>
              <w:rPr>
                <w:sz w:val="24"/>
                <w:szCs w:val="24"/>
              </w:rPr>
            </w:pPr>
            <w:r w:rsidRPr="00C15639">
              <w:rPr>
                <w:sz w:val="24"/>
                <w:szCs w:val="24"/>
              </w:rPr>
              <w:t>&lt;</w:t>
            </w:r>
            <w:r w:rsidRPr="00C15639">
              <w:rPr>
                <w:sz w:val="24"/>
                <w:szCs w:val="24"/>
                <w:lang w:val="ru-RU"/>
              </w:rPr>
              <w:t> </w:t>
            </w:r>
            <w:r w:rsidRPr="00C15639">
              <w:rPr>
                <w:sz w:val="24"/>
                <w:szCs w:val="24"/>
              </w:rPr>
              <w:t>150</w:t>
            </w:r>
          </w:p>
        </w:tc>
        <w:tc>
          <w:tcPr>
            <w:tcW w:w="1417" w:type="dxa"/>
            <w:vAlign w:val="center"/>
          </w:tcPr>
          <w:p w14:paraId="4456B667" w14:textId="77777777" w:rsidR="00987CCD" w:rsidRPr="00C15639" w:rsidRDefault="00987CCD" w:rsidP="002D3EBF">
            <w:pPr>
              <w:pStyle w:val="table-text-0"/>
              <w:numPr>
                <w:ilvl w:val="12"/>
                <w:numId w:val="0"/>
              </w:numPr>
              <w:spacing w:before="0"/>
              <w:rPr>
                <w:sz w:val="24"/>
                <w:szCs w:val="24"/>
              </w:rPr>
            </w:pPr>
            <w:r w:rsidRPr="00C15639">
              <w:rPr>
                <w:sz w:val="24"/>
                <w:szCs w:val="24"/>
              </w:rPr>
              <w:t>&lt;</w:t>
            </w:r>
            <w:r w:rsidRPr="00C15639">
              <w:rPr>
                <w:sz w:val="24"/>
                <w:szCs w:val="24"/>
                <w:lang w:val="ru-RU"/>
              </w:rPr>
              <w:t> </w:t>
            </w:r>
            <w:r w:rsidRPr="00C15639">
              <w:rPr>
                <w:sz w:val="24"/>
                <w:szCs w:val="24"/>
              </w:rPr>
              <w:t>100</w:t>
            </w:r>
          </w:p>
        </w:tc>
        <w:tc>
          <w:tcPr>
            <w:tcW w:w="1843" w:type="dxa"/>
            <w:vAlign w:val="center"/>
          </w:tcPr>
          <w:p w14:paraId="4DA05B6B" w14:textId="77777777" w:rsidR="00987CCD" w:rsidRPr="00C15639" w:rsidRDefault="00987CCD" w:rsidP="002D3EBF">
            <w:pPr>
              <w:pStyle w:val="table-text-0"/>
              <w:numPr>
                <w:ilvl w:val="12"/>
                <w:numId w:val="0"/>
              </w:numPr>
              <w:spacing w:before="0"/>
              <w:rPr>
                <w:sz w:val="24"/>
                <w:szCs w:val="24"/>
              </w:rPr>
            </w:pPr>
            <w:r w:rsidRPr="00C15639">
              <w:rPr>
                <w:sz w:val="24"/>
                <w:szCs w:val="24"/>
              </w:rPr>
              <w:t>&lt;</w:t>
            </w:r>
            <w:r w:rsidRPr="00C15639">
              <w:rPr>
                <w:sz w:val="24"/>
                <w:szCs w:val="24"/>
                <w:lang w:val="ru-RU"/>
              </w:rPr>
              <w:t> </w:t>
            </w:r>
            <w:r w:rsidRPr="00C15639">
              <w:rPr>
                <w:sz w:val="24"/>
                <w:szCs w:val="24"/>
              </w:rPr>
              <w:t>50</w:t>
            </w:r>
          </w:p>
        </w:tc>
        <w:tc>
          <w:tcPr>
            <w:tcW w:w="1984" w:type="dxa"/>
            <w:vAlign w:val="center"/>
          </w:tcPr>
          <w:p w14:paraId="1BDFF516" w14:textId="77777777" w:rsidR="00987CCD" w:rsidRPr="00C15639" w:rsidRDefault="00987CCD" w:rsidP="002D3EBF">
            <w:pPr>
              <w:pStyle w:val="table-text-0"/>
              <w:numPr>
                <w:ilvl w:val="12"/>
                <w:numId w:val="0"/>
              </w:numPr>
              <w:spacing w:before="0"/>
              <w:rPr>
                <w:sz w:val="24"/>
                <w:szCs w:val="24"/>
              </w:rPr>
            </w:pPr>
            <w:r w:rsidRPr="00C15639">
              <w:rPr>
                <w:sz w:val="24"/>
                <w:szCs w:val="24"/>
              </w:rPr>
              <w:t>&lt;</w:t>
            </w:r>
            <w:r w:rsidRPr="00C15639">
              <w:rPr>
                <w:sz w:val="24"/>
                <w:szCs w:val="24"/>
                <w:lang w:val="ru-RU"/>
              </w:rPr>
              <w:t> </w:t>
            </w:r>
            <w:r w:rsidRPr="00C15639">
              <w:rPr>
                <w:sz w:val="24"/>
                <w:szCs w:val="24"/>
              </w:rPr>
              <w:t>20</w:t>
            </w:r>
          </w:p>
        </w:tc>
      </w:tr>
      <w:tr w:rsidR="00987CCD" w:rsidRPr="00C15639" w14:paraId="553A4299" w14:textId="77777777" w:rsidTr="002D3EBF">
        <w:trPr>
          <w:cantSplit/>
          <w:trHeight w:val="20"/>
        </w:trPr>
        <w:tc>
          <w:tcPr>
            <w:tcW w:w="2808" w:type="dxa"/>
          </w:tcPr>
          <w:p w14:paraId="55474FDA" w14:textId="77777777" w:rsidR="00987CCD" w:rsidRPr="00C15639" w:rsidRDefault="00987CCD" w:rsidP="002D3EBF">
            <w:pPr>
              <w:pStyle w:val="table-text-0"/>
              <w:numPr>
                <w:ilvl w:val="12"/>
                <w:numId w:val="0"/>
              </w:numPr>
              <w:spacing w:before="0"/>
              <w:rPr>
                <w:b/>
                <w:sz w:val="24"/>
                <w:szCs w:val="24"/>
                <w:lang w:val="ru-RU"/>
              </w:rPr>
            </w:pPr>
            <w:r w:rsidRPr="00C15639">
              <w:rPr>
                <w:b/>
                <w:sz w:val="24"/>
                <w:szCs w:val="24"/>
                <w:lang w:val="ru-RU"/>
              </w:rPr>
              <w:t>Печень</w:t>
            </w:r>
          </w:p>
          <w:p w14:paraId="2BCF3D6E" w14:textId="77777777" w:rsidR="00987CCD" w:rsidRPr="00C15639" w:rsidRDefault="00987CCD" w:rsidP="002D3EBF">
            <w:pPr>
              <w:pStyle w:val="table-text-0"/>
              <w:numPr>
                <w:ilvl w:val="12"/>
                <w:numId w:val="0"/>
              </w:numPr>
              <w:spacing w:before="0"/>
              <w:rPr>
                <w:sz w:val="24"/>
                <w:szCs w:val="24"/>
                <w:lang w:val="ru-RU"/>
              </w:rPr>
            </w:pPr>
            <w:r w:rsidRPr="00C15639">
              <w:rPr>
                <w:sz w:val="24"/>
                <w:szCs w:val="24"/>
                <w:lang w:val="ru-RU"/>
              </w:rPr>
              <w:t>Билирубин, мкмоль/л</w:t>
            </w:r>
          </w:p>
        </w:tc>
        <w:tc>
          <w:tcPr>
            <w:tcW w:w="1128" w:type="dxa"/>
            <w:vAlign w:val="center"/>
          </w:tcPr>
          <w:p w14:paraId="487479A1" w14:textId="77777777" w:rsidR="00987CCD" w:rsidRPr="00C15639" w:rsidRDefault="00987CCD" w:rsidP="002D3EBF">
            <w:pPr>
              <w:pStyle w:val="table-text-0"/>
              <w:numPr>
                <w:ilvl w:val="12"/>
                <w:numId w:val="0"/>
              </w:numPr>
              <w:spacing w:before="0"/>
              <w:rPr>
                <w:sz w:val="24"/>
                <w:szCs w:val="24"/>
                <w:lang w:val="ru-RU"/>
              </w:rPr>
            </w:pPr>
            <w:r w:rsidRPr="00C15639">
              <w:rPr>
                <w:sz w:val="24"/>
                <w:szCs w:val="24"/>
                <w:lang w:val="ru-RU"/>
              </w:rPr>
              <w:t>20—30</w:t>
            </w:r>
          </w:p>
        </w:tc>
        <w:tc>
          <w:tcPr>
            <w:tcW w:w="1417" w:type="dxa"/>
            <w:vAlign w:val="center"/>
          </w:tcPr>
          <w:p w14:paraId="376AF912" w14:textId="77777777" w:rsidR="00987CCD" w:rsidRPr="00C15639" w:rsidRDefault="00987CCD" w:rsidP="002D3EBF">
            <w:pPr>
              <w:pStyle w:val="table-text-0"/>
              <w:numPr>
                <w:ilvl w:val="12"/>
                <w:numId w:val="0"/>
              </w:numPr>
              <w:spacing w:before="0"/>
              <w:rPr>
                <w:sz w:val="24"/>
                <w:szCs w:val="24"/>
                <w:lang w:val="ru-RU"/>
              </w:rPr>
            </w:pPr>
            <w:r w:rsidRPr="00C15639">
              <w:rPr>
                <w:sz w:val="24"/>
                <w:szCs w:val="24"/>
                <w:lang w:val="ru-RU"/>
              </w:rPr>
              <w:t>33—101</w:t>
            </w:r>
          </w:p>
        </w:tc>
        <w:tc>
          <w:tcPr>
            <w:tcW w:w="1843" w:type="dxa"/>
            <w:vAlign w:val="center"/>
          </w:tcPr>
          <w:p w14:paraId="1DE1EA61" w14:textId="77777777" w:rsidR="00987CCD" w:rsidRPr="00C15639" w:rsidRDefault="00987CCD" w:rsidP="002D3EBF">
            <w:pPr>
              <w:pStyle w:val="table-text-0"/>
              <w:numPr>
                <w:ilvl w:val="12"/>
                <w:numId w:val="0"/>
              </w:numPr>
              <w:spacing w:before="0"/>
              <w:rPr>
                <w:sz w:val="24"/>
                <w:szCs w:val="24"/>
                <w:lang w:val="ru-RU"/>
              </w:rPr>
            </w:pPr>
            <w:r w:rsidRPr="00C15639">
              <w:rPr>
                <w:sz w:val="24"/>
                <w:szCs w:val="24"/>
                <w:lang w:val="ru-RU"/>
              </w:rPr>
              <w:t>102—204</w:t>
            </w:r>
          </w:p>
        </w:tc>
        <w:tc>
          <w:tcPr>
            <w:tcW w:w="1984" w:type="dxa"/>
            <w:vAlign w:val="center"/>
          </w:tcPr>
          <w:p w14:paraId="7EE93F9C" w14:textId="77777777" w:rsidR="00987CCD" w:rsidRPr="00C15639" w:rsidRDefault="00987CCD" w:rsidP="002D3EBF">
            <w:pPr>
              <w:pStyle w:val="table-text-0"/>
              <w:numPr>
                <w:ilvl w:val="12"/>
                <w:numId w:val="0"/>
              </w:numPr>
              <w:spacing w:before="0"/>
              <w:rPr>
                <w:sz w:val="24"/>
                <w:szCs w:val="24"/>
                <w:lang w:val="ru-RU"/>
              </w:rPr>
            </w:pPr>
            <w:r w:rsidRPr="00C15639">
              <w:rPr>
                <w:sz w:val="24"/>
                <w:szCs w:val="24"/>
                <w:lang w:val="ru-RU"/>
              </w:rPr>
              <w:t>&gt; 204</w:t>
            </w:r>
          </w:p>
        </w:tc>
      </w:tr>
      <w:tr w:rsidR="00987CCD" w:rsidRPr="00C15639" w14:paraId="2015339A" w14:textId="77777777" w:rsidTr="002D3EBF">
        <w:trPr>
          <w:cantSplit/>
          <w:trHeight w:val="20"/>
        </w:trPr>
        <w:tc>
          <w:tcPr>
            <w:tcW w:w="2808" w:type="dxa"/>
          </w:tcPr>
          <w:p w14:paraId="3719DC65" w14:textId="77777777" w:rsidR="00987CCD" w:rsidRPr="00C15639" w:rsidRDefault="00987CCD" w:rsidP="002D3EBF">
            <w:pPr>
              <w:pStyle w:val="table-text-0"/>
              <w:numPr>
                <w:ilvl w:val="12"/>
                <w:numId w:val="0"/>
              </w:numPr>
              <w:spacing w:before="0"/>
              <w:rPr>
                <w:b/>
                <w:sz w:val="24"/>
                <w:szCs w:val="24"/>
                <w:lang w:val="ru-RU"/>
              </w:rPr>
            </w:pPr>
            <w:r w:rsidRPr="00C15639">
              <w:rPr>
                <w:b/>
                <w:sz w:val="24"/>
                <w:szCs w:val="24"/>
                <w:lang w:val="ru-RU"/>
              </w:rPr>
              <w:t>Сердечно-сосудистая система</w:t>
            </w:r>
          </w:p>
          <w:p w14:paraId="7628EF59" w14:textId="77777777" w:rsidR="00987CCD" w:rsidRPr="00C15639" w:rsidRDefault="00987CCD" w:rsidP="002D3EBF">
            <w:pPr>
              <w:pStyle w:val="table-text-0"/>
              <w:numPr>
                <w:ilvl w:val="12"/>
                <w:numId w:val="0"/>
              </w:numPr>
              <w:spacing w:before="0"/>
              <w:rPr>
                <w:sz w:val="24"/>
                <w:szCs w:val="24"/>
                <w:lang w:val="ru-RU"/>
              </w:rPr>
            </w:pPr>
            <w:r w:rsidRPr="00C15639">
              <w:rPr>
                <w:sz w:val="24"/>
                <w:szCs w:val="24"/>
                <w:lang w:val="ru-RU"/>
              </w:rPr>
              <w:t>Артериальная гипотензия</w:t>
            </w:r>
          </w:p>
        </w:tc>
        <w:tc>
          <w:tcPr>
            <w:tcW w:w="1128" w:type="dxa"/>
            <w:vAlign w:val="center"/>
          </w:tcPr>
          <w:p w14:paraId="1B730F50" w14:textId="77777777" w:rsidR="00987CCD" w:rsidRPr="00C15639" w:rsidRDefault="00987CCD" w:rsidP="002D3EBF">
            <w:pPr>
              <w:pStyle w:val="table-text-0"/>
              <w:numPr>
                <w:ilvl w:val="12"/>
                <w:numId w:val="0"/>
              </w:numPr>
              <w:spacing w:before="0"/>
              <w:rPr>
                <w:sz w:val="24"/>
                <w:szCs w:val="24"/>
                <w:lang w:val="ru-RU"/>
              </w:rPr>
            </w:pPr>
            <w:r w:rsidRPr="00C15639">
              <w:rPr>
                <w:sz w:val="24"/>
                <w:szCs w:val="24"/>
                <w:lang w:val="ru-RU"/>
              </w:rPr>
              <w:t>АД ср &lt; 65 мм рт. ст.</w:t>
            </w:r>
          </w:p>
        </w:tc>
        <w:tc>
          <w:tcPr>
            <w:tcW w:w="1417" w:type="dxa"/>
            <w:vAlign w:val="center"/>
          </w:tcPr>
          <w:p w14:paraId="281F2BC8" w14:textId="77777777" w:rsidR="00987CCD" w:rsidRPr="00C15639" w:rsidRDefault="00987CCD" w:rsidP="002D3EBF">
            <w:pPr>
              <w:pStyle w:val="table-text-0"/>
              <w:numPr>
                <w:ilvl w:val="12"/>
                <w:numId w:val="0"/>
              </w:numPr>
              <w:spacing w:before="0"/>
              <w:rPr>
                <w:sz w:val="24"/>
                <w:szCs w:val="24"/>
                <w:lang w:val="ru-RU"/>
              </w:rPr>
            </w:pPr>
            <w:r w:rsidRPr="00C15639">
              <w:rPr>
                <w:sz w:val="24"/>
                <w:szCs w:val="24"/>
                <w:lang w:val="ru-RU"/>
              </w:rPr>
              <w:t>Допамин  &lt; 5 мкг/кг/мин или добутамин (любая доза)*</w:t>
            </w:r>
          </w:p>
        </w:tc>
        <w:tc>
          <w:tcPr>
            <w:tcW w:w="1843" w:type="dxa"/>
            <w:vAlign w:val="center"/>
          </w:tcPr>
          <w:p w14:paraId="4EDF6894" w14:textId="77777777" w:rsidR="00987CCD" w:rsidRPr="00C15639" w:rsidRDefault="00987CCD" w:rsidP="002D3EBF">
            <w:pPr>
              <w:pStyle w:val="table-text-0"/>
              <w:numPr>
                <w:ilvl w:val="12"/>
                <w:numId w:val="0"/>
              </w:numPr>
              <w:spacing w:before="0"/>
              <w:rPr>
                <w:sz w:val="24"/>
                <w:szCs w:val="24"/>
                <w:lang w:val="ru-RU"/>
              </w:rPr>
            </w:pPr>
            <w:r w:rsidRPr="00C15639">
              <w:rPr>
                <w:sz w:val="24"/>
                <w:szCs w:val="24"/>
                <w:lang w:val="ru-RU"/>
              </w:rPr>
              <w:t>Допамин &gt; 5 мкг/кг/мин, или адреналин ≤ 0,1 мкг/кг/мин или норадреналин ≤ 0,1 мкг/кг/мин</w:t>
            </w:r>
          </w:p>
        </w:tc>
        <w:tc>
          <w:tcPr>
            <w:tcW w:w="1984" w:type="dxa"/>
            <w:vAlign w:val="center"/>
          </w:tcPr>
          <w:p w14:paraId="6BBBD632" w14:textId="77777777" w:rsidR="00987CCD" w:rsidRPr="00C15639" w:rsidRDefault="00987CCD" w:rsidP="002D3EBF">
            <w:pPr>
              <w:pStyle w:val="table-text-0"/>
              <w:numPr>
                <w:ilvl w:val="12"/>
                <w:numId w:val="0"/>
              </w:numPr>
              <w:spacing w:before="0"/>
              <w:rPr>
                <w:sz w:val="24"/>
                <w:szCs w:val="24"/>
                <w:lang w:val="ru-RU"/>
              </w:rPr>
            </w:pPr>
            <w:r w:rsidRPr="00C15639">
              <w:rPr>
                <w:sz w:val="24"/>
                <w:szCs w:val="24"/>
                <w:lang w:val="ru-RU"/>
              </w:rPr>
              <w:t>Допамин &gt; 15 мкг/кг/мин, или адреналин &gt; 0,1 мкг/кг/мин, или норадреналин &gt; 0,1 мкг/кг/мин</w:t>
            </w:r>
          </w:p>
        </w:tc>
      </w:tr>
      <w:tr w:rsidR="00987CCD" w:rsidRPr="00C15639" w14:paraId="6E4E9B6C" w14:textId="77777777" w:rsidTr="002D3EBF">
        <w:trPr>
          <w:cantSplit/>
          <w:trHeight w:val="20"/>
        </w:trPr>
        <w:tc>
          <w:tcPr>
            <w:tcW w:w="2808" w:type="dxa"/>
          </w:tcPr>
          <w:p w14:paraId="68696319" w14:textId="77777777" w:rsidR="00987CCD" w:rsidRPr="00C15639" w:rsidRDefault="00987CCD" w:rsidP="002D3EBF">
            <w:pPr>
              <w:pStyle w:val="table-text-0"/>
              <w:numPr>
                <w:ilvl w:val="12"/>
                <w:numId w:val="0"/>
              </w:numPr>
              <w:spacing w:before="0"/>
              <w:rPr>
                <w:sz w:val="24"/>
                <w:szCs w:val="24"/>
                <w:lang w:val="ru-RU"/>
              </w:rPr>
            </w:pPr>
            <w:r w:rsidRPr="00C15639">
              <w:rPr>
                <w:sz w:val="24"/>
                <w:szCs w:val="24"/>
                <w:lang w:val="ru-RU"/>
              </w:rPr>
              <w:t>ЦНС</w:t>
            </w:r>
          </w:p>
          <w:p w14:paraId="2E0BB337" w14:textId="77777777" w:rsidR="00987CCD" w:rsidRPr="00C15639" w:rsidRDefault="00987CCD" w:rsidP="002D3EBF">
            <w:pPr>
              <w:pStyle w:val="table-text-0"/>
              <w:numPr>
                <w:ilvl w:val="12"/>
                <w:numId w:val="0"/>
              </w:numPr>
              <w:spacing w:before="0"/>
              <w:rPr>
                <w:sz w:val="24"/>
                <w:szCs w:val="24"/>
                <w:lang w:val="ru-RU"/>
              </w:rPr>
            </w:pPr>
            <w:r w:rsidRPr="00C15639">
              <w:rPr>
                <w:sz w:val="24"/>
                <w:szCs w:val="24"/>
                <w:lang w:val="ru-RU"/>
              </w:rPr>
              <w:t>Шкала комы Глазго, баллы</w:t>
            </w:r>
          </w:p>
        </w:tc>
        <w:tc>
          <w:tcPr>
            <w:tcW w:w="1128" w:type="dxa"/>
            <w:vAlign w:val="center"/>
          </w:tcPr>
          <w:p w14:paraId="11E7057F" w14:textId="77777777" w:rsidR="00987CCD" w:rsidRPr="00C15639" w:rsidRDefault="00987CCD" w:rsidP="002D3EBF">
            <w:pPr>
              <w:pStyle w:val="table-text-0"/>
              <w:numPr>
                <w:ilvl w:val="12"/>
                <w:numId w:val="0"/>
              </w:numPr>
              <w:spacing w:before="0"/>
              <w:rPr>
                <w:sz w:val="24"/>
                <w:szCs w:val="24"/>
                <w:lang w:val="ru-RU"/>
              </w:rPr>
            </w:pPr>
            <w:r w:rsidRPr="00C15639">
              <w:rPr>
                <w:sz w:val="24"/>
                <w:szCs w:val="24"/>
                <w:lang w:val="ru-RU"/>
              </w:rPr>
              <w:t>3—14</w:t>
            </w:r>
          </w:p>
        </w:tc>
        <w:tc>
          <w:tcPr>
            <w:tcW w:w="1417" w:type="dxa"/>
            <w:vAlign w:val="center"/>
          </w:tcPr>
          <w:p w14:paraId="66CA9BAC" w14:textId="77777777" w:rsidR="00987CCD" w:rsidRPr="00C15639" w:rsidRDefault="00987CCD" w:rsidP="002D3EBF">
            <w:pPr>
              <w:pStyle w:val="table-text-0"/>
              <w:numPr>
                <w:ilvl w:val="12"/>
                <w:numId w:val="0"/>
              </w:numPr>
              <w:spacing w:before="0"/>
              <w:rPr>
                <w:sz w:val="24"/>
                <w:szCs w:val="24"/>
                <w:lang w:val="ru-RU"/>
              </w:rPr>
            </w:pPr>
            <w:r w:rsidRPr="00C15639">
              <w:rPr>
                <w:sz w:val="24"/>
                <w:szCs w:val="24"/>
                <w:lang w:val="ru-RU"/>
              </w:rPr>
              <w:t>10—12</w:t>
            </w:r>
          </w:p>
        </w:tc>
        <w:tc>
          <w:tcPr>
            <w:tcW w:w="1843" w:type="dxa"/>
            <w:vAlign w:val="center"/>
          </w:tcPr>
          <w:p w14:paraId="05C2FAB7" w14:textId="77777777" w:rsidR="00987CCD" w:rsidRPr="00C15639" w:rsidRDefault="00987CCD" w:rsidP="002D3EBF">
            <w:pPr>
              <w:pStyle w:val="table-text-0"/>
              <w:numPr>
                <w:ilvl w:val="12"/>
                <w:numId w:val="0"/>
              </w:numPr>
              <w:spacing w:before="0"/>
              <w:rPr>
                <w:sz w:val="24"/>
                <w:szCs w:val="24"/>
                <w:lang w:val="ru-RU"/>
              </w:rPr>
            </w:pPr>
            <w:r w:rsidRPr="00C15639">
              <w:rPr>
                <w:sz w:val="24"/>
                <w:szCs w:val="24"/>
                <w:lang w:val="ru-RU"/>
              </w:rPr>
              <w:t>6—9</w:t>
            </w:r>
          </w:p>
        </w:tc>
        <w:tc>
          <w:tcPr>
            <w:tcW w:w="1984" w:type="dxa"/>
            <w:vAlign w:val="center"/>
          </w:tcPr>
          <w:p w14:paraId="2419012B" w14:textId="77777777" w:rsidR="00987CCD" w:rsidRPr="00C15639" w:rsidRDefault="00987CCD" w:rsidP="002D3EBF">
            <w:pPr>
              <w:pStyle w:val="table-text-0"/>
              <w:numPr>
                <w:ilvl w:val="12"/>
                <w:numId w:val="0"/>
              </w:numPr>
              <w:spacing w:before="0"/>
              <w:rPr>
                <w:sz w:val="24"/>
                <w:szCs w:val="24"/>
                <w:lang w:val="ru-RU"/>
              </w:rPr>
            </w:pPr>
            <w:r w:rsidRPr="00C15639">
              <w:rPr>
                <w:sz w:val="24"/>
                <w:szCs w:val="24"/>
                <w:lang w:val="ru-RU"/>
              </w:rPr>
              <w:t>&lt; 6</w:t>
            </w:r>
          </w:p>
        </w:tc>
      </w:tr>
      <w:tr w:rsidR="00987CCD" w:rsidRPr="00C15639" w14:paraId="3F94C0E5" w14:textId="77777777" w:rsidTr="002D3EBF">
        <w:trPr>
          <w:cantSplit/>
          <w:trHeight w:val="20"/>
        </w:trPr>
        <w:tc>
          <w:tcPr>
            <w:tcW w:w="2808" w:type="dxa"/>
            <w:tcBorders>
              <w:bottom w:val="nil"/>
            </w:tcBorders>
          </w:tcPr>
          <w:p w14:paraId="58AD5F0A" w14:textId="77777777" w:rsidR="00987CCD" w:rsidRPr="00C15639" w:rsidRDefault="00987CCD" w:rsidP="002D3EBF">
            <w:pPr>
              <w:pStyle w:val="table-text-0"/>
              <w:numPr>
                <w:ilvl w:val="12"/>
                <w:numId w:val="0"/>
              </w:numPr>
              <w:spacing w:before="0"/>
              <w:rPr>
                <w:b/>
                <w:sz w:val="24"/>
                <w:szCs w:val="24"/>
                <w:lang w:val="ru-RU"/>
              </w:rPr>
            </w:pPr>
            <w:r w:rsidRPr="00C15639">
              <w:rPr>
                <w:b/>
                <w:sz w:val="24"/>
                <w:szCs w:val="24"/>
                <w:lang w:val="ru-RU"/>
              </w:rPr>
              <w:t>Почки</w:t>
            </w:r>
          </w:p>
        </w:tc>
        <w:tc>
          <w:tcPr>
            <w:tcW w:w="1128" w:type="dxa"/>
            <w:tcBorders>
              <w:bottom w:val="nil"/>
            </w:tcBorders>
            <w:vAlign w:val="center"/>
          </w:tcPr>
          <w:p w14:paraId="0E23F68D" w14:textId="77777777" w:rsidR="00987CCD" w:rsidRPr="00C15639" w:rsidRDefault="00987CCD" w:rsidP="002D3EBF">
            <w:pPr>
              <w:pStyle w:val="table-text-0"/>
              <w:numPr>
                <w:ilvl w:val="12"/>
                <w:numId w:val="0"/>
              </w:numPr>
              <w:spacing w:before="0"/>
              <w:rPr>
                <w:sz w:val="24"/>
                <w:szCs w:val="24"/>
                <w:lang w:val="ru-RU"/>
              </w:rPr>
            </w:pPr>
          </w:p>
        </w:tc>
        <w:tc>
          <w:tcPr>
            <w:tcW w:w="1417" w:type="dxa"/>
            <w:tcBorders>
              <w:bottom w:val="nil"/>
            </w:tcBorders>
            <w:vAlign w:val="center"/>
          </w:tcPr>
          <w:p w14:paraId="14B632A0" w14:textId="77777777" w:rsidR="00987CCD" w:rsidRPr="00C15639" w:rsidRDefault="00987CCD" w:rsidP="002D3EBF">
            <w:pPr>
              <w:pStyle w:val="table-text-0"/>
              <w:numPr>
                <w:ilvl w:val="12"/>
                <w:numId w:val="0"/>
              </w:numPr>
              <w:spacing w:before="0"/>
              <w:rPr>
                <w:sz w:val="24"/>
                <w:szCs w:val="24"/>
                <w:lang w:val="ru-RU"/>
              </w:rPr>
            </w:pPr>
          </w:p>
        </w:tc>
        <w:tc>
          <w:tcPr>
            <w:tcW w:w="1843" w:type="dxa"/>
            <w:tcBorders>
              <w:bottom w:val="nil"/>
            </w:tcBorders>
            <w:vAlign w:val="center"/>
          </w:tcPr>
          <w:p w14:paraId="2CC0EED4" w14:textId="77777777" w:rsidR="00987CCD" w:rsidRPr="00C15639" w:rsidRDefault="00987CCD" w:rsidP="002D3EBF">
            <w:pPr>
              <w:pStyle w:val="table-text-0"/>
              <w:numPr>
                <w:ilvl w:val="12"/>
                <w:numId w:val="0"/>
              </w:numPr>
              <w:spacing w:before="0"/>
              <w:rPr>
                <w:sz w:val="24"/>
                <w:szCs w:val="24"/>
                <w:lang w:val="ru-RU"/>
              </w:rPr>
            </w:pPr>
          </w:p>
        </w:tc>
        <w:tc>
          <w:tcPr>
            <w:tcW w:w="1984" w:type="dxa"/>
            <w:tcBorders>
              <w:bottom w:val="nil"/>
            </w:tcBorders>
            <w:vAlign w:val="center"/>
          </w:tcPr>
          <w:p w14:paraId="00971888" w14:textId="77777777" w:rsidR="00987CCD" w:rsidRPr="00C15639" w:rsidRDefault="00987CCD" w:rsidP="002D3EBF">
            <w:pPr>
              <w:pStyle w:val="table-text-0"/>
              <w:numPr>
                <w:ilvl w:val="12"/>
                <w:numId w:val="0"/>
              </w:numPr>
              <w:spacing w:before="0"/>
              <w:rPr>
                <w:sz w:val="24"/>
                <w:szCs w:val="24"/>
                <w:lang w:val="ru-RU"/>
              </w:rPr>
            </w:pPr>
          </w:p>
        </w:tc>
      </w:tr>
      <w:tr w:rsidR="00987CCD" w:rsidRPr="00C15639" w14:paraId="48ABB2F3" w14:textId="77777777" w:rsidTr="002D3EBF">
        <w:trPr>
          <w:cantSplit/>
          <w:trHeight w:val="20"/>
        </w:trPr>
        <w:tc>
          <w:tcPr>
            <w:tcW w:w="2808" w:type="dxa"/>
            <w:tcBorders>
              <w:top w:val="nil"/>
              <w:bottom w:val="nil"/>
            </w:tcBorders>
          </w:tcPr>
          <w:p w14:paraId="48B8E077" w14:textId="77777777" w:rsidR="00987CCD" w:rsidRPr="00C15639" w:rsidRDefault="00987CCD" w:rsidP="002D3EBF">
            <w:pPr>
              <w:pStyle w:val="table-text-0"/>
              <w:numPr>
                <w:ilvl w:val="12"/>
                <w:numId w:val="0"/>
              </w:numPr>
              <w:spacing w:before="0"/>
              <w:rPr>
                <w:sz w:val="24"/>
                <w:szCs w:val="24"/>
                <w:lang w:val="ru-RU"/>
              </w:rPr>
            </w:pPr>
            <w:r w:rsidRPr="00C15639">
              <w:rPr>
                <w:sz w:val="24"/>
                <w:szCs w:val="24"/>
                <w:lang w:val="ru-RU"/>
              </w:rPr>
              <w:t>Креатинин, ммоль/л</w:t>
            </w:r>
          </w:p>
        </w:tc>
        <w:tc>
          <w:tcPr>
            <w:tcW w:w="1128" w:type="dxa"/>
            <w:tcBorders>
              <w:top w:val="nil"/>
            </w:tcBorders>
            <w:vAlign w:val="center"/>
          </w:tcPr>
          <w:p w14:paraId="77882146" w14:textId="77777777" w:rsidR="00987CCD" w:rsidRPr="00C15639" w:rsidRDefault="00987CCD" w:rsidP="002D3EBF">
            <w:pPr>
              <w:pStyle w:val="table-text-0"/>
              <w:numPr>
                <w:ilvl w:val="12"/>
                <w:numId w:val="0"/>
              </w:numPr>
              <w:spacing w:before="0"/>
              <w:rPr>
                <w:sz w:val="24"/>
                <w:szCs w:val="24"/>
                <w:lang w:val="ru-RU"/>
              </w:rPr>
            </w:pPr>
            <w:r w:rsidRPr="00C15639">
              <w:rPr>
                <w:sz w:val="24"/>
                <w:szCs w:val="24"/>
                <w:lang w:val="ru-RU"/>
              </w:rPr>
              <w:t>0,11—0,17</w:t>
            </w:r>
          </w:p>
        </w:tc>
        <w:tc>
          <w:tcPr>
            <w:tcW w:w="1417" w:type="dxa"/>
            <w:tcBorders>
              <w:top w:val="nil"/>
            </w:tcBorders>
            <w:vAlign w:val="center"/>
          </w:tcPr>
          <w:p w14:paraId="3C7177C9" w14:textId="77777777" w:rsidR="00987CCD" w:rsidRPr="00C15639" w:rsidRDefault="00987CCD" w:rsidP="002D3EBF">
            <w:pPr>
              <w:pStyle w:val="table-text-0"/>
              <w:numPr>
                <w:ilvl w:val="12"/>
                <w:numId w:val="0"/>
              </w:numPr>
              <w:spacing w:before="0"/>
              <w:rPr>
                <w:sz w:val="24"/>
                <w:szCs w:val="24"/>
                <w:lang w:val="ru-RU"/>
              </w:rPr>
            </w:pPr>
            <w:r w:rsidRPr="00C15639">
              <w:rPr>
                <w:sz w:val="24"/>
                <w:szCs w:val="24"/>
                <w:lang w:val="ru-RU"/>
              </w:rPr>
              <w:t>0,171—0,299</w:t>
            </w:r>
          </w:p>
        </w:tc>
        <w:tc>
          <w:tcPr>
            <w:tcW w:w="1843" w:type="dxa"/>
            <w:tcBorders>
              <w:top w:val="nil"/>
            </w:tcBorders>
            <w:vAlign w:val="center"/>
          </w:tcPr>
          <w:p w14:paraId="680D2F83" w14:textId="77777777" w:rsidR="00987CCD" w:rsidRPr="00C15639" w:rsidRDefault="00987CCD" w:rsidP="002D3EBF">
            <w:pPr>
              <w:pStyle w:val="table-text-0"/>
              <w:numPr>
                <w:ilvl w:val="12"/>
                <w:numId w:val="0"/>
              </w:numPr>
              <w:spacing w:before="0"/>
              <w:rPr>
                <w:sz w:val="24"/>
                <w:szCs w:val="24"/>
                <w:lang w:val="ru-RU"/>
              </w:rPr>
            </w:pPr>
            <w:r w:rsidRPr="00C15639">
              <w:rPr>
                <w:sz w:val="24"/>
                <w:szCs w:val="24"/>
                <w:lang w:val="ru-RU"/>
              </w:rPr>
              <w:t>0,3—0,44 или</w:t>
            </w:r>
          </w:p>
        </w:tc>
        <w:tc>
          <w:tcPr>
            <w:tcW w:w="1984" w:type="dxa"/>
            <w:tcBorders>
              <w:top w:val="nil"/>
            </w:tcBorders>
            <w:vAlign w:val="center"/>
          </w:tcPr>
          <w:p w14:paraId="5CE49818" w14:textId="77777777" w:rsidR="00987CCD" w:rsidRPr="00C15639" w:rsidRDefault="00987CCD" w:rsidP="002D3EBF">
            <w:pPr>
              <w:pStyle w:val="table-text-0"/>
              <w:numPr>
                <w:ilvl w:val="12"/>
                <w:numId w:val="0"/>
              </w:numPr>
              <w:spacing w:before="0"/>
              <w:rPr>
                <w:sz w:val="24"/>
                <w:szCs w:val="24"/>
                <w:lang w:val="ru-RU"/>
              </w:rPr>
            </w:pPr>
            <w:r w:rsidRPr="00C15639">
              <w:rPr>
                <w:sz w:val="24"/>
                <w:szCs w:val="24"/>
                <w:lang w:val="ru-RU"/>
              </w:rPr>
              <w:t>&gt; 0,44 или</w:t>
            </w:r>
          </w:p>
        </w:tc>
      </w:tr>
      <w:tr w:rsidR="00987CCD" w:rsidRPr="00C15639" w14:paraId="1A1CAB9B" w14:textId="77777777" w:rsidTr="002D3EBF">
        <w:trPr>
          <w:cantSplit/>
          <w:trHeight w:val="20"/>
        </w:trPr>
        <w:tc>
          <w:tcPr>
            <w:tcW w:w="2808" w:type="dxa"/>
            <w:tcBorders>
              <w:top w:val="nil"/>
            </w:tcBorders>
          </w:tcPr>
          <w:p w14:paraId="7DFCF322" w14:textId="77777777" w:rsidR="00987CCD" w:rsidRPr="00C15639" w:rsidRDefault="00987CCD" w:rsidP="002D3EBF">
            <w:pPr>
              <w:pStyle w:val="table-text-0"/>
              <w:numPr>
                <w:ilvl w:val="12"/>
                <w:numId w:val="0"/>
              </w:numPr>
              <w:spacing w:before="0"/>
              <w:rPr>
                <w:sz w:val="24"/>
                <w:szCs w:val="24"/>
                <w:lang w:val="ru-RU"/>
              </w:rPr>
            </w:pPr>
            <w:r w:rsidRPr="00C15639">
              <w:rPr>
                <w:sz w:val="24"/>
                <w:szCs w:val="24"/>
                <w:lang w:val="ru-RU"/>
              </w:rPr>
              <w:t>Диурез, мл/сут</w:t>
            </w:r>
          </w:p>
        </w:tc>
        <w:tc>
          <w:tcPr>
            <w:tcW w:w="1128" w:type="dxa"/>
            <w:vAlign w:val="center"/>
          </w:tcPr>
          <w:p w14:paraId="6C085DE7" w14:textId="77777777" w:rsidR="00987CCD" w:rsidRPr="00C15639" w:rsidRDefault="00987CCD" w:rsidP="002D3EBF">
            <w:pPr>
              <w:pStyle w:val="table-text-0"/>
              <w:numPr>
                <w:ilvl w:val="12"/>
                <w:numId w:val="0"/>
              </w:numPr>
              <w:spacing w:before="0"/>
              <w:rPr>
                <w:sz w:val="24"/>
                <w:szCs w:val="24"/>
                <w:lang w:val="ru-RU"/>
              </w:rPr>
            </w:pPr>
          </w:p>
        </w:tc>
        <w:tc>
          <w:tcPr>
            <w:tcW w:w="1417" w:type="dxa"/>
            <w:vAlign w:val="center"/>
          </w:tcPr>
          <w:p w14:paraId="18075F2E" w14:textId="77777777" w:rsidR="00987CCD" w:rsidRPr="00C15639" w:rsidRDefault="00987CCD" w:rsidP="002D3EBF">
            <w:pPr>
              <w:pStyle w:val="table-text-0"/>
              <w:numPr>
                <w:ilvl w:val="12"/>
                <w:numId w:val="0"/>
              </w:numPr>
              <w:spacing w:before="0"/>
              <w:rPr>
                <w:sz w:val="24"/>
                <w:szCs w:val="24"/>
                <w:lang w:val="ru-RU"/>
              </w:rPr>
            </w:pPr>
          </w:p>
        </w:tc>
        <w:tc>
          <w:tcPr>
            <w:tcW w:w="1843" w:type="dxa"/>
            <w:vAlign w:val="center"/>
          </w:tcPr>
          <w:p w14:paraId="6DDB2FB7" w14:textId="77777777" w:rsidR="00987CCD" w:rsidRPr="00C15639" w:rsidRDefault="00987CCD" w:rsidP="002D3EBF">
            <w:pPr>
              <w:pStyle w:val="table-text-0"/>
              <w:numPr>
                <w:ilvl w:val="12"/>
                <w:numId w:val="0"/>
              </w:numPr>
              <w:spacing w:before="0"/>
              <w:rPr>
                <w:sz w:val="24"/>
                <w:szCs w:val="24"/>
                <w:lang w:val="ru-RU"/>
              </w:rPr>
            </w:pPr>
            <w:r w:rsidRPr="00C15639">
              <w:rPr>
                <w:sz w:val="24"/>
                <w:szCs w:val="24"/>
                <w:lang w:val="ru-RU"/>
              </w:rPr>
              <w:t>&lt; 500 мл/сут</w:t>
            </w:r>
          </w:p>
        </w:tc>
        <w:tc>
          <w:tcPr>
            <w:tcW w:w="1984" w:type="dxa"/>
            <w:vAlign w:val="center"/>
          </w:tcPr>
          <w:p w14:paraId="0CC26EAD" w14:textId="77777777" w:rsidR="00987CCD" w:rsidRPr="00C15639" w:rsidRDefault="00987CCD" w:rsidP="002D3EBF">
            <w:pPr>
              <w:pStyle w:val="table-text-0"/>
              <w:numPr>
                <w:ilvl w:val="12"/>
                <w:numId w:val="0"/>
              </w:numPr>
              <w:spacing w:before="0"/>
              <w:rPr>
                <w:sz w:val="24"/>
                <w:szCs w:val="24"/>
                <w:lang w:val="ru-RU"/>
              </w:rPr>
            </w:pPr>
            <w:r w:rsidRPr="00C15639">
              <w:rPr>
                <w:sz w:val="24"/>
                <w:szCs w:val="24"/>
                <w:lang w:val="ru-RU"/>
              </w:rPr>
              <w:t>&lt; 200 мл/сут</w:t>
            </w:r>
          </w:p>
        </w:tc>
      </w:tr>
      <w:tr w:rsidR="00987CCD" w:rsidRPr="00C15639" w14:paraId="0E4C53FE" w14:textId="77777777" w:rsidTr="002D3EBF">
        <w:trPr>
          <w:cantSplit/>
          <w:trHeight w:val="20"/>
        </w:trPr>
        <w:tc>
          <w:tcPr>
            <w:tcW w:w="9180" w:type="dxa"/>
            <w:gridSpan w:val="5"/>
          </w:tcPr>
          <w:p w14:paraId="58F01B18" w14:textId="77777777" w:rsidR="00987CCD" w:rsidRPr="00C15639" w:rsidRDefault="00987CCD" w:rsidP="002D3EBF">
            <w:pPr>
              <w:pStyle w:val="table-ref"/>
              <w:spacing w:before="0" w:after="0"/>
              <w:rPr>
                <w:sz w:val="24"/>
                <w:szCs w:val="24"/>
              </w:rPr>
            </w:pPr>
            <w:r w:rsidRPr="00C15639">
              <w:rPr>
                <w:sz w:val="24"/>
                <w:szCs w:val="24"/>
              </w:rPr>
              <w:t>* Применение ≥ 1 ч; дозы в мкг/кг/мин.</w:t>
            </w:r>
          </w:p>
        </w:tc>
      </w:tr>
    </w:tbl>
    <w:p w14:paraId="213EFCCF" w14:textId="77777777" w:rsidR="00987CCD" w:rsidRPr="00C15639" w:rsidRDefault="00987CCD" w:rsidP="00987CCD">
      <w:pPr>
        <w:rPr>
          <w:szCs w:val="24"/>
        </w:rPr>
      </w:pPr>
    </w:p>
    <w:p w14:paraId="08755A42" w14:textId="77777777" w:rsidR="00987CCD" w:rsidRPr="0080004F" w:rsidRDefault="00987CCD" w:rsidP="0080004F">
      <w:pPr>
        <w:rPr>
          <w:szCs w:val="24"/>
        </w:rPr>
      </w:pPr>
      <w:r w:rsidRPr="0080004F">
        <w:rPr>
          <w:szCs w:val="24"/>
        </w:rPr>
        <w:t>Шкала qSOFA была создана из шкалы SOFA с помощью мультивариантного логистического регрессионного анализа. Положительная шкала SOFA — подозрение на инфекцию плюс наличие ≥ 2 баллов вследствие изменений вышеуказанных параметров.</w:t>
      </w:r>
    </w:p>
    <w:p w14:paraId="19144D47" w14:textId="77777777" w:rsidR="00987CCD" w:rsidRPr="0080004F" w:rsidRDefault="00987CCD" w:rsidP="0080004F">
      <w:pPr>
        <w:rPr>
          <w:szCs w:val="24"/>
        </w:rPr>
      </w:pPr>
      <w:r w:rsidRPr="0080004F">
        <w:rPr>
          <w:b/>
          <w:bCs/>
          <w:szCs w:val="24"/>
        </w:rPr>
        <w:t>4. Исключено понятие «тяжелый сепсис».</w:t>
      </w:r>
      <w:r w:rsidRPr="0080004F">
        <w:rPr>
          <w:szCs w:val="24"/>
        </w:rPr>
        <w:t xml:space="preserve"> «Сепсис» и «септический шок» — это две оставшиеся категории, поскольку, согласно новому определению, сепсис — это системный ответ на инфекцию, сопровождающихся развитием органной дисфункции. По сути то, что раньше называлось тяжелым сепсисом стало называться сепсисом, а то, что раньше называли просто «сепсис», отнесено к категории инфекции. Таким образом, сепсис, согласно определению «Сепсис-3», это инфекция, протекающая с органной дисфункцией. </w:t>
      </w:r>
    </w:p>
    <w:p w14:paraId="3AE55238" w14:textId="77777777" w:rsidR="00987CCD" w:rsidRPr="0080004F" w:rsidRDefault="00987CCD" w:rsidP="0080004F">
      <w:pPr>
        <w:rPr>
          <w:szCs w:val="24"/>
        </w:rPr>
      </w:pPr>
      <w:r w:rsidRPr="0080004F">
        <w:rPr>
          <w:b/>
          <w:bCs/>
          <w:szCs w:val="24"/>
        </w:rPr>
        <w:t>5. Лактат — обязательный критерий септического шока наряду с артериальной гипотензией.</w:t>
      </w:r>
      <w:r w:rsidRPr="0080004F">
        <w:rPr>
          <w:bCs/>
          <w:szCs w:val="24"/>
        </w:rPr>
        <w:t xml:space="preserve"> </w:t>
      </w:r>
      <w:r w:rsidRPr="0080004F">
        <w:rPr>
          <w:szCs w:val="24"/>
        </w:rPr>
        <w:t>Раньше лактат рассматривался как маркер органной дисфункции. В «Сепсис-3» уровень лактата &gt; 2 ммоль/л является обязательным для диагноза септического шока. Для диагноза септического шока у больных должна быть артериальная гипотензия (среднее АД &lt; 65 мм рт. ст.) и уровень лактата &gt; 2 ммоль/л, несмотря на адекватную волемическую нагрузку.</w:t>
      </w:r>
    </w:p>
    <w:p w14:paraId="0A8FF561" w14:textId="77777777" w:rsidR="00987CCD" w:rsidRPr="0080004F" w:rsidRDefault="00987CCD" w:rsidP="0080004F">
      <w:pPr>
        <w:rPr>
          <w:b/>
          <w:bCs/>
          <w:szCs w:val="24"/>
          <w:lang w:eastAsia="ru-RU"/>
        </w:rPr>
      </w:pPr>
    </w:p>
    <w:p w14:paraId="4FC54535" w14:textId="77777777" w:rsidR="00987CCD" w:rsidRPr="0080004F" w:rsidRDefault="00987CCD" w:rsidP="0080004F">
      <w:pPr>
        <w:rPr>
          <w:b/>
          <w:bCs/>
          <w:szCs w:val="24"/>
          <w:lang w:eastAsia="ru-RU"/>
        </w:rPr>
      </w:pPr>
      <w:r w:rsidRPr="0080004F">
        <w:rPr>
          <w:b/>
          <w:bCs/>
          <w:szCs w:val="24"/>
          <w:lang w:eastAsia="ru-RU"/>
        </w:rPr>
        <w:t>Эпидемиология сепсиса в гематологической клинике</w:t>
      </w:r>
    </w:p>
    <w:p w14:paraId="5DFCDA38" w14:textId="77777777" w:rsidR="00987CCD" w:rsidRPr="0080004F" w:rsidRDefault="00987CCD" w:rsidP="0080004F">
      <w:pPr>
        <w:pStyle w:val="Normal11"/>
        <w:spacing w:before="0" w:line="360" w:lineRule="auto"/>
        <w:ind w:firstLine="709"/>
        <w:jc w:val="both"/>
        <w:rPr>
          <w:color w:val="auto"/>
        </w:rPr>
      </w:pPr>
      <w:r w:rsidRPr="0080004F">
        <w:rPr>
          <w:color w:val="auto"/>
        </w:rPr>
        <w:t>Наиболее часто выделяемыми из крови микроорганизмами при развитии септического шока у гематологических пацентов являются грамотрицательные палочки — у 47% больных; грамположительные бактерии выявляются лишь у 3,3% больных; у 6,7% больных из крови одновременно высеваются как грамположительные, так грамотрицательные микроорганизмы. Фунгемия является причиной септического шока у 10% больных. У 33% больных с септическим шоком патогены в крови не обнаруживаются.</w:t>
      </w:r>
    </w:p>
    <w:p w14:paraId="484C79A0" w14:textId="77777777" w:rsidR="00987CCD" w:rsidRPr="0080004F" w:rsidRDefault="00987CCD" w:rsidP="0080004F">
      <w:pPr>
        <w:rPr>
          <w:i/>
          <w:szCs w:val="24"/>
        </w:rPr>
      </w:pPr>
      <w:r w:rsidRPr="0080004F">
        <w:rPr>
          <w:szCs w:val="24"/>
        </w:rPr>
        <w:t xml:space="preserve">Среди грамотрицательных микроорганизмов септический шок чаще всего вызывают </w:t>
      </w:r>
      <w:r w:rsidRPr="0080004F">
        <w:rPr>
          <w:i/>
          <w:szCs w:val="24"/>
        </w:rPr>
        <w:t>Klebsiella pneumoniae, Pseudomonas aeruginosa, Escherichia coli, Acinetobacter baumannii</w:t>
      </w:r>
      <w:r w:rsidRPr="0080004F">
        <w:rPr>
          <w:szCs w:val="24"/>
        </w:rPr>
        <w:t xml:space="preserve">, среди грамположительных — </w:t>
      </w:r>
      <w:r w:rsidRPr="0080004F">
        <w:rPr>
          <w:i/>
          <w:szCs w:val="24"/>
        </w:rPr>
        <w:t>Enterococcus faecalis</w:t>
      </w:r>
      <w:r w:rsidRPr="0080004F">
        <w:rPr>
          <w:szCs w:val="24"/>
        </w:rPr>
        <w:t xml:space="preserve">, среди грибов — </w:t>
      </w:r>
      <w:r w:rsidRPr="0080004F">
        <w:rPr>
          <w:i/>
          <w:szCs w:val="24"/>
        </w:rPr>
        <w:t>Candida cruzei, Candida tropicalis, Acremonium spp.</w:t>
      </w:r>
    </w:p>
    <w:p w14:paraId="38E2BC74" w14:textId="77777777" w:rsidR="00987CCD" w:rsidRPr="0080004F" w:rsidRDefault="00987CCD" w:rsidP="0080004F">
      <w:pPr>
        <w:rPr>
          <w:szCs w:val="24"/>
        </w:rPr>
      </w:pPr>
      <w:r w:rsidRPr="0080004F">
        <w:rPr>
          <w:szCs w:val="24"/>
        </w:rPr>
        <w:t xml:space="preserve">Наиболее частым первичным очагом инфекции при септическом шоке являются легкие (51%), на втором месте — инфекция кровотока (11%), кишечник (некротическая энтеропатия) (8%). У четверти больных, несмотря на тщательное обследование, первичный очаг инфекции не удается верифицировать. </w:t>
      </w:r>
    </w:p>
    <w:p w14:paraId="6D6472FF" w14:textId="77777777" w:rsidR="00987CCD" w:rsidRPr="0080004F" w:rsidRDefault="00987CCD" w:rsidP="0080004F">
      <w:pPr>
        <w:rPr>
          <w:b/>
          <w:bCs/>
          <w:szCs w:val="24"/>
        </w:rPr>
      </w:pPr>
      <w:r w:rsidRPr="0080004F">
        <w:rPr>
          <w:b/>
          <w:bCs/>
          <w:szCs w:val="24"/>
        </w:rPr>
        <w:t>Диагностические критерии сепсиса</w:t>
      </w:r>
    </w:p>
    <w:p w14:paraId="419C9E11" w14:textId="77777777" w:rsidR="00987CCD" w:rsidRPr="0080004F" w:rsidRDefault="00987CCD" w:rsidP="0080004F">
      <w:pPr>
        <w:pStyle w:val="Normal11"/>
        <w:spacing w:before="0" w:line="360" w:lineRule="auto"/>
        <w:ind w:firstLine="709"/>
        <w:jc w:val="both"/>
        <w:rPr>
          <w:color w:val="auto"/>
        </w:rPr>
      </w:pPr>
      <w:r w:rsidRPr="0080004F">
        <w:rPr>
          <w:color w:val="auto"/>
        </w:rPr>
        <w:t>Диагностические критерии сепсиса, согласно «Сепсис-3» = подозрение на инфекцию + положительная qSOFA, то есть ≥ 2 критериев из следующих:</w:t>
      </w:r>
    </w:p>
    <w:p w14:paraId="3068CEB7" w14:textId="77777777" w:rsidR="00987CCD" w:rsidRPr="0080004F" w:rsidRDefault="00987CCD" w:rsidP="0080004F">
      <w:pPr>
        <w:pStyle w:val="Number1"/>
        <w:spacing w:before="0"/>
        <w:ind w:firstLine="709"/>
        <w:rPr>
          <w:color w:val="auto"/>
          <w:szCs w:val="24"/>
        </w:rPr>
      </w:pPr>
      <w:r w:rsidRPr="0080004F">
        <w:rPr>
          <w:color w:val="auto"/>
          <w:szCs w:val="24"/>
        </w:rPr>
        <w:t>1. Нарушенный ментальный статус (шкала комы Глазго &lt; 15).</w:t>
      </w:r>
    </w:p>
    <w:p w14:paraId="3FCF0278" w14:textId="77777777" w:rsidR="00987CCD" w:rsidRPr="0080004F" w:rsidRDefault="00987CCD" w:rsidP="0080004F">
      <w:pPr>
        <w:pStyle w:val="Number1"/>
        <w:spacing w:before="0"/>
        <w:ind w:firstLine="709"/>
        <w:rPr>
          <w:color w:val="auto"/>
          <w:szCs w:val="24"/>
        </w:rPr>
      </w:pPr>
      <w:r w:rsidRPr="0080004F">
        <w:rPr>
          <w:color w:val="auto"/>
          <w:szCs w:val="24"/>
        </w:rPr>
        <w:t xml:space="preserve">2. Систолическое АД ≤ 100 мм рт. ст. </w:t>
      </w:r>
    </w:p>
    <w:p w14:paraId="039E9415" w14:textId="77777777" w:rsidR="00987CCD" w:rsidRPr="0080004F" w:rsidRDefault="00987CCD" w:rsidP="0080004F">
      <w:pPr>
        <w:pStyle w:val="Number1"/>
        <w:spacing w:before="0"/>
        <w:ind w:firstLine="709"/>
        <w:rPr>
          <w:color w:val="auto"/>
          <w:szCs w:val="24"/>
        </w:rPr>
      </w:pPr>
      <w:r w:rsidRPr="0080004F">
        <w:rPr>
          <w:color w:val="auto"/>
          <w:szCs w:val="24"/>
        </w:rPr>
        <w:t>3. Число дыханий ≥ 22/мин.</w:t>
      </w:r>
    </w:p>
    <w:p w14:paraId="75A39EFA" w14:textId="77777777" w:rsidR="00987CCD" w:rsidRPr="0080004F" w:rsidRDefault="00987CCD" w:rsidP="0080004F">
      <w:pPr>
        <w:rPr>
          <w:szCs w:val="24"/>
        </w:rPr>
      </w:pPr>
      <w:r w:rsidRPr="0080004F">
        <w:rPr>
          <w:b/>
          <w:bCs/>
          <w:szCs w:val="24"/>
          <w:lang w:eastAsia="en-GB"/>
        </w:rPr>
        <w:t>Септический шок</w:t>
      </w:r>
      <w:r w:rsidRPr="0080004F">
        <w:rPr>
          <w:szCs w:val="24"/>
          <w:lang w:eastAsia="en-GB"/>
        </w:rPr>
        <w:t> — это сепсис, протекающий с персистирующей артериальной гипотензией, требующей для поддержания среднего АД выше 65 мм рт. ст. применения вазопресоров, несмотря на адекватную волемическую нагрузку, и с уровнем сывороточного лактата &gt; 2 ммоль/л (18 мг/дл). При наличии этих критериев смертность превышает 40%.</w:t>
      </w:r>
    </w:p>
    <w:p w14:paraId="2116C340" w14:textId="77777777" w:rsidR="00987CCD" w:rsidRPr="0080004F" w:rsidRDefault="00987CCD" w:rsidP="0080004F">
      <w:pPr>
        <w:rPr>
          <w:szCs w:val="24"/>
          <w:lang w:eastAsia="en-GB"/>
        </w:rPr>
      </w:pPr>
      <w:r w:rsidRPr="0080004F">
        <w:rPr>
          <w:szCs w:val="24"/>
          <w:lang w:eastAsia="en-GB"/>
        </w:rPr>
        <w:t xml:space="preserve">Под артериальной гипотензией понимается снижение систолического АД &lt; 100 мм рт. ст. либо среднего АД &lt; 65 мм рт. ст. в течение более 1 часа, сохраняющееся, несмотря на адекватную инфузионную терапию. Критерием адекватности проводимой инфузионной терапии считается повышение ЦВД до 12 мм рт. ст., нормализация индекса </w:t>
      </w:r>
      <w:r w:rsidRPr="0080004F">
        <w:rPr>
          <w:szCs w:val="24"/>
        </w:rPr>
        <w:t>глобального конечно-диастолического объема (</w:t>
      </w:r>
      <w:r w:rsidRPr="0080004F">
        <w:rPr>
          <w:szCs w:val="24"/>
          <w:lang w:eastAsia="en-GB"/>
        </w:rPr>
        <w:t>ГКДО) по данным транспульмональной термодилюции, то есть &gt; 680 мл/м</w:t>
      </w:r>
      <w:r w:rsidRPr="0080004F">
        <w:rPr>
          <w:szCs w:val="24"/>
          <w:vertAlign w:val="superscript"/>
          <w:lang w:eastAsia="en-GB"/>
        </w:rPr>
        <w:t>2</w:t>
      </w:r>
      <w:r w:rsidRPr="0080004F">
        <w:rPr>
          <w:szCs w:val="24"/>
          <w:lang w:eastAsia="en-GB"/>
        </w:rPr>
        <w:t xml:space="preserve">. </w:t>
      </w:r>
    </w:p>
    <w:p w14:paraId="014D2D6B" w14:textId="77777777" w:rsidR="00987CCD" w:rsidRPr="0080004F" w:rsidRDefault="00987CCD" w:rsidP="0080004F">
      <w:pPr>
        <w:rPr>
          <w:szCs w:val="24"/>
          <w:lang w:eastAsia="en-GB"/>
        </w:rPr>
      </w:pPr>
      <w:r w:rsidRPr="0080004F">
        <w:rPr>
          <w:szCs w:val="24"/>
          <w:lang w:eastAsia="en-GB"/>
        </w:rPr>
        <w:t xml:space="preserve">Наличие бактериемии не является обязательным условием для диагностики септического шока. Считают, что больной выведен из состояния септического шока, если в течение суток без введения инотропных или вазопрессорных препаратов и волемической нагрузки систолическое АД стабилизируется на цифрах </w:t>
      </w:r>
      <w:r w:rsidRPr="0080004F">
        <w:rPr>
          <w:szCs w:val="24"/>
        </w:rPr>
        <w:t>≥</w:t>
      </w:r>
      <w:r w:rsidRPr="0080004F">
        <w:rPr>
          <w:szCs w:val="24"/>
          <w:lang w:eastAsia="en-GB"/>
        </w:rPr>
        <w:t> 90 мм рт. ст. и исчезают признаки нарушения тканевой перфузии.</w:t>
      </w:r>
    </w:p>
    <w:p w14:paraId="08D41A12" w14:textId="77777777" w:rsidR="00987CCD" w:rsidRPr="0080004F" w:rsidRDefault="00987CCD" w:rsidP="0080004F">
      <w:pPr>
        <w:rPr>
          <w:szCs w:val="24"/>
          <w:lang w:eastAsia="en-GB"/>
        </w:rPr>
      </w:pPr>
      <w:r w:rsidRPr="0080004F">
        <w:rPr>
          <w:szCs w:val="24"/>
          <w:lang w:eastAsia="en-GB"/>
        </w:rPr>
        <w:t>Под острой почечной недостаточностью понимают олигурию (диурез &lt; 0,5 мл/кг/ч) и/или повышение концентрации креатинина сыворотки &gt; 0,2 ммоль/л).</w:t>
      </w:r>
    </w:p>
    <w:p w14:paraId="4BF8E0DB" w14:textId="77777777" w:rsidR="00987CCD" w:rsidRPr="0080004F" w:rsidRDefault="00987CCD" w:rsidP="0080004F">
      <w:pPr>
        <w:rPr>
          <w:szCs w:val="24"/>
          <w:lang w:eastAsia="en-GB"/>
        </w:rPr>
      </w:pPr>
      <w:r w:rsidRPr="0080004F">
        <w:rPr>
          <w:szCs w:val="24"/>
          <w:lang w:eastAsia="en-GB"/>
        </w:rPr>
        <w:t xml:space="preserve">Печеночная дисфункция диагностируется при выявлении гипербилирубинемии &gt; 70 мкмоль/л и/или повышения активности трансаминаз в два раза и более от нормы. </w:t>
      </w:r>
    </w:p>
    <w:p w14:paraId="25D71F5E" w14:textId="77777777" w:rsidR="00987CCD" w:rsidRPr="0080004F" w:rsidRDefault="00987CCD" w:rsidP="0080004F">
      <w:pPr>
        <w:rPr>
          <w:szCs w:val="24"/>
          <w:lang w:eastAsia="en-GB"/>
        </w:rPr>
      </w:pPr>
      <w:r w:rsidRPr="0080004F">
        <w:rPr>
          <w:szCs w:val="24"/>
          <w:lang w:eastAsia="en-GB"/>
        </w:rPr>
        <w:t>Критерии острой дыхательной недостаточности — тахипноэ (число дыханий в покое &gt; 30/мин), артериальная гипоксемия (Р</w:t>
      </w:r>
      <w:r w:rsidRPr="0080004F">
        <w:rPr>
          <w:szCs w:val="24"/>
          <w:vertAlign w:val="subscript"/>
          <w:lang w:eastAsia="en-GB"/>
        </w:rPr>
        <w:t>a</w:t>
      </w:r>
      <w:r w:rsidRPr="0080004F">
        <w:rPr>
          <w:szCs w:val="24"/>
          <w:lang w:eastAsia="en-GB"/>
        </w:rPr>
        <w:t>О</w:t>
      </w:r>
      <w:r w:rsidRPr="0080004F">
        <w:rPr>
          <w:szCs w:val="24"/>
          <w:vertAlign w:val="subscript"/>
          <w:lang w:eastAsia="en-GB"/>
        </w:rPr>
        <w:t>2</w:t>
      </w:r>
      <w:r w:rsidRPr="0080004F">
        <w:rPr>
          <w:szCs w:val="24"/>
          <w:lang w:eastAsia="en-GB"/>
        </w:rPr>
        <w:t xml:space="preserve"> &lt; 60 мм рт. ст.) или гиперкапния (Р</w:t>
      </w:r>
      <w:r w:rsidRPr="0080004F">
        <w:rPr>
          <w:szCs w:val="24"/>
          <w:vertAlign w:val="subscript"/>
          <w:lang w:eastAsia="en-GB"/>
        </w:rPr>
        <w:t>а</w:t>
      </w:r>
      <w:r w:rsidRPr="0080004F">
        <w:rPr>
          <w:szCs w:val="24"/>
          <w:lang w:eastAsia="en-GB"/>
        </w:rPr>
        <w:t>СО</w:t>
      </w:r>
      <w:r w:rsidRPr="0080004F">
        <w:rPr>
          <w:szCs w:val="24"/>
          <w:vertAlign w:val="subscript"/>
          <w:lang w:eastAsia="en-GB"/>
        </w:rPr>
        <w:t>2</w:t>
      </w:r>
      <w:r w:rsidRPr="0080004F">
        <w:rPr>
          <w:szCs w:val="24"/>
          <w:lang w:eastAsia="en-GB"/>
        </w:rPr>
        <w:t xml:space="preserve"> &gt; 50 мм рт. ст.) при дыхании воздухом, появление обширного двустороннего поражения легких по рентгенологическим данным при отсутствии клинических признаков первичной сердечной недостаточности и хронического заболевания легких. </w:t>
      </w:r>
    </w:p>
    <w:p w14:paraId="48DB2739" w14:textId="77777777" w:rsidR="00987CCD" w:rsidRPr="0080004F" w:rsidRDefault="00987CCD" w:rsidP="0080004F">
      <w:pPr>
        <w:rPr>
          <w:szCs w:val="24"/>
          <w:lang w:eastAsia="en-GB"/>
        </w:rPr>
      </w:pPr>
      <w:r w:rsidRPr="0080004F">
        <w:rPr>
          <w:szCs w:val="24"/>
          <w:lang w:eastAsia="en-GB"/>
        </w:rPr>
        <w:t>Выраженность дыхательной недостаточности оценивается у больных по респираторному индексу, вычисляемому по формуле P</w:t>
      </w:r>
      <w:r w:rsidRPr="0080004F">
        <w:rPr>
          <w:szCs w:val="24"/>
          <w:vertAlign w:val="subscript"/>
          <w:lang w:eastAsia="en-GB"/>
        </w:rPr>
        <w:t>a</w:t>
      </w:r>
      <w:r w:rsidRPr="0080004F">
        <w:rPr>
          <w:szCs w:val="24"/>
          <w:lang w:eastAsia="en-GB"/>
        </w:rPr>
        <w:t>O</w:t>
      </w:r>
      <w:r w:rsidRPr="0080004F">
        <w:rPr>
          <w:szCs w:val="24"/>
          <w:vertAlign w:val="subscript"/>
          <w:lang w:eastAsia="en-GB"/>
        </w:rPr>
        <w:t>2</w:t>
      </w:r>
      <w:r w:rsidRPr="0080004F">
        <w:rPr>
          <w:szCs w:val="24"/>
          <w:lang w:eastAsia="en-GB"/>
        </w:rPr>
        <w:t>/F</w:t>
      </w:r>
      <w:r w:rsidRPr="0080004F">
        <w:rPr>
          <w:szCs w:val="24"/>
          <w:vertAlign w:val="subscript"/>
          <w:lang w:eastAsia="en-GB"/>
        </w:rPr>
        <w:t>I</w:t>
      </w:r>
      <w:r w:rsidRPr="0080004F">
        <w:rPr>
          <w:szCs w:val="24"/>
          <w:lang w:eastAsia="en-GB"/>
        </w:rPr>
        <w:t>O</w:t>
      </w:r>
      <w:r w:rsidRPr="0080004F">
        <w:rPr>
          <w:szCs w:val="24"/>
          <w:vertAlign w:val="subscript"/>
          <w:lang w:eastAsia="en-GB"/>
        </w:rPr>
        <w:t>2</w:t>
      </w:r>
      <w:r w:rsidRPr="0080004F">
        <w:rPr>
          <w:szCs w:val="24"/>
          <w:lang w:eastAsia="en-GB"/>
        </w:rPr>
        <w:t>, где P</w:t>
      </w:r>
      <w:r w:rsidRPr="0080004F">
        <w:rPr>
          <w:szCs w:val="24"/>
          <w:vertAlign w:val="subscript"/>
          <w:lang w:eastAsia="en-GB"/>
        </w:rPr>
        <w:t>a</w:t>
      </w:r>
      <w:r w:rsidRPr="0080004F">
        <w:rPr>
          <w:szCs w:val="24"/>
          <w:lang w:eastAsia="en-GB"/>
        </w:rPr>
        <w:t>O</w:t>
      </w:r>
      <w:r w:rsidRPr="0080004F">
        <w:rPr>
          <w:szCs w:val="24"/>
          <w:vertAlign w:val="subscript"/>
          <w:lang w:eastAsia="en-GB"/>
        </w:rPr>
        <w:t>2</w:t>
      </w:r>
      <w:r w:rsidRPr="0080004F">
        <w:rPr>
          <w:szCs w:val="24"/>
          <w:lang w:eastAsia="en-GB"/>
        </w:rPr>
        <w:t> — это напряжения кислорода в артериальной крови, а F</w:t>
      </w:r>
      <w:r w:rsidRPr="0080004F">
        <w:rPr>
          <w:szCs w:val="24"/>
          <w:vertAlign w:val="subscript"/>
          <w:lang w:eastAsia="en-GB"/>
        </w:rPr>
        <w:t>I</w:t>
      </w:r>
      <w:r w:rsidRPr="0080004F">
        <w:rPr>
          <w:szCs w:val="24"/>
          <w:lang w:eastAsia="en-GB"/>
        </w:rPr>
        <w:t>O</w:t>
      </w:r>
      <w:r w:rsidRPr="0080004F">
        <w:rPr>
          <w:szCs w:val="24"/>
          <w:vertAlign w:val="subscript"/>
          <w:lang w:eastAsia="en-GB"/>
        </w:rPr>
        <w:t>2</w:t>
      </w:r>
      <w:r w:rsidRPr="0080004F">
        <w:rPr>
          <w:szCs w:val="24"/>
          <w:lang w:eastAsia="en-GB"/>
        </w:rPr>
        <w:t> — процентное содержание кислорода во вдыхаемой смеси, выраженное в долях единицы. В норме этот показатель превышает 350—400 мм рт. ст.</w:t>
      </w:r>
    </w:p>
    <w:p w14:paraId="1A7C99E4" w14:textId="77777777" w:rsidR="00987CCD" w:rsidRPr="0080004F" w:rsidRDefault="00987CCD" w:rsidP="0080004F">
      <w:pPr>
        <w:rPr>
          <w:szCs w:val="24"/>
          <w:lang w:eastAsia="en-GB"/>
        </w:rPr>
      </w:pPr>
      <w:r w:rsidRPr="0080004F">
        <w:rPr>
          <w:szCs w:val="24"/>
          <w:lang w:eastAsia="en-GB"/>
        </w:rPr>
        <w:t>Некротическую энтеропатию диагностируют при появлении метеоризма, болей в животе, диареи при отсутствии признаков острого панкреатита.</w:t>
      </w:r>
    </w:p>
    <w:p w14:paraId="39286DAF" w14:textId="77777777" w:rsidR="00987CCD" w:rsidRPr="0080004F" w:rsidRDefault="00987CCD" w:rsidP="0080004F">
      <w:pPr>
        <w:ind w:firstLine="708"/>
        <w:rPr>
          <w:b/>
          <w:bCs/>
          <w:szCs w:val="24"/>
          <w:lang w:eastAsia="en-GB"/>
        </w:rPr>
      </w:pPr>
      <w:r w:rsidRPr="0080004F">
        <w:rPr>
          <w:b/>
          <w:bCs/>
          <w:szCs w:val="24"/>
          <w:lang w:eastAsia="en-GB"/>
        </w:rPr>
        <w:t>Алгоритм действий при поступлении больного в стационар с подозрением на септический шок</w:t>
      </w:r>
    </w:p>
    <w:p w14:paraId="5F04B2B5" w14:textId="77777777" w:rsidR="00987CCD" w:rsidRPr="0080004F" w:rsidRDefault="00987CCD" w:rsidP="0080004F">
      <w:pPr>
        <w:pStyle w:val="Number1"/>
        <w:spacing w:before="0"/>
        <w:rPr>
          <w:color w:val="auto"/>
          <w:szCs w:val="24"/>
        </w:rPr>
      </w:pPr>
      <w:r w:rsidRPr="0080004F">
        <w:rPr>
          <w:color w:val="auto"/>
          <w:szCs w:val="24"/>
        </w:rPr>
        <w:tab/>
        <w:t>1.</w:t>
      </w:r>
      <w:r w:rsidRPr="0080004F">
        <w:rPr>
          <w:color w:val="auto"/>
          <w:szCs w:val="24"/>
        </w:rPr>
        <w:tab/>
        <w:t>Взятие кровь для микробиологического исследования из периферической вены и/или из центрального катетера в объеме 8—10 мл во флаконы, предназначенные для культивирования аэробных бактерий (BACTEC PLUS Aerobic/F). При наличии у больного установленного центрального венозного катетера в связи с возможным его инфицированием необходимо удалить катетер с последующим посевом его кончика. В обязательном порядке пациенту устанавливается новый центральный венозный катетер под ультразвуковой навигацией.</w:t>
      </w:r>
    </w:p>
    <w:p w14:paraId="5248A551" w14:textId="77777777" w:rsidR="00987CCD" w:rsidRPr="0080004F" w:rsidRDefault="00987CCD" w:rsidP="0080004F">
      <w:pPr>
        <w:pStyle w:val="Number1"/>
        <w:spacing w:before="0"/>
        <w:rPr>
          <w:color w:val="auto"/>
          <w:szCs w:val="24"/>
        </w:rPr>
      </w:pPr>
      <w:r w:rsidRPr="0080004F">
        <w:rPr>
          <w:color w:val="auto"/>
          <w:szCs w:val="24"/>
        </w:rPr>
        <w:tab/>
        <w:t>2.</w:t>
      </w:r>
      <w:r w:rsidRPr="0080004F">
        <w:rPr>
          <w:color w:val="auto"/>
          <w:szCs w:val="24"/>
        </w:rPr>
        <w:tab/>
        <w:t xml:space="preserve">Выполнение посевов (микробиологических/бактериологических исследований) со слизистых прямой кишки, зева и мочи. </w:t>
      </w:r>
    </w:p>
    <w:p w14:paraId="47FAECEA" w14:textId="77777777" w:rsidR="00987CCD" w:rsidRPr="0080004F" w:rsidRDefault="00987CCD" w:rsidP="0080004F">
      <w:pPr>
        <w:pStyle w:val="Number1"/>
        <w:spacing w:before="0"/>
        <w:rPr>
          <w:color w:val="auto"/>
          <w:szCs w:val="24"/>
        </w:rPr>
      </w:pPr>
      <w:r w:rsidRPr="0080004F">
        <w:rPr>
          <w:color w:val="auto"/>
          <w:szCs w:val="24"/>
        </w:rPr>
        <w:tab/>
        <w:t>3.</w:t>
      </w:r>
      <w:r w:rsidRPr="0080004F">
        <w:rPr>
          <w:color w:val="auto"/>
          <w:szCs w:val="24"/>
        </w:rPr>
        <w:tab/>
        <w:t xml:space="preserve">Определение концентрации маркеров воспаления — сывороточная концентрация прокальцитонина и С-реактивного белка, плазменная концентрация пресепсина. При развитии септического шока концентрация прокальцитонина может оставаться в пределах нормальных значений (запаздывать), так как уровень прокальцитонина обычно повышается только через 10—12 часов после развития сепсиса. Поэтому рекомендуется повторно определять концентрацию прокальцитонина через 10—12 часов от развития септического шока. Уровни маркеров воспаления должны определяться в динамике. </w:t>
      </w:r>
    </w:p>
    <w:p w14:paraId="005FBAB5" w14:textId="77777777" w:rsidR="00987CCD" w:rsidRPr="0080004F" w:rsidRDefault="00987CCD" w:rsidP="0080004F">
      <w:pPr>
        <w:pStyle w:val="Normal11"/>
        <w:spacing w:before="0" w:line="360" w:lineRule="auto"/>
        <w:ind w:left="284" w:hanging="284"/>
        <w:jc w:val="both"/>
        <w:rPr>
          <w:color w:val="auto"/>
        </w:rPr>
      </w:pPr>
      <w:r w:rsidRPr="0080004F">
        <w:rPr>
          <w:color w:val="auto"/>
        </w:rPr>
        <w:tab/>
        <w:t>4.</w:t>
      </w:r>
      <w:r w:rsidRPr="0080004F">
        <w:rPr>
          <w:color w:val="auto"/>
        </w:rPr>
        <w:tab/>
        <w:t xml:space="preserve">Выполнение спиральной </w:t>
      </w:r>
      <w:r w:rsidRPr="0080004F">
        <w:rPr>
          <w:bCs/>
          <w:color w:val="auto"/>
        </w:rPr>
        <w:t xml:space="preserve">компьютерной томографии (СКТ) </w:t>
      </w:r>
      <w:r w:rsidRPr="0080004F">
        <w:rPr>
          <w:color w:val="auto"/>
        </w:rPr>
        <w:t>грудной клетки всем пациентам с подозрением на пневмонию, по результатам которой выявляется область наибольшего поражения, выполняется фибробронхоскопия с бронхоальвеолярным лаважом. (См. ниже раздел «</w:t>
      </w:r>
      <w:r w:rsidRPr="0080004F">
        <w:rPr>
          <w:kern w:val="36"/>
        </w:rPr>
        <w:t>Острая дыхательная недостаточность у гематологических пациентов» и Протокол</w:t>
      </w:r>
      <w:r w:rsidRPr="0080004F">
        <w:rPr>
          <w:color w:val="auto"/>
        </w:rPr>
        <w:t xml:space="preserve"> обследования пациентов с поражением легких (рис.1). </w:t>
      </w:r>
    </w:p>
    <w:p w14:paraId="738A623B" w14:textId="77777777" w:rsidR="00987CCD" w:rsidRPr="0080004F" w:rsidRDefault="00987CCD" w:rsidP="0080004F">
      <w:pPr>
        <w:pStyle w:val="Number1"/>
        <w:spacing w:before="0"/>
        <w:rPr>
          <w:color w:val="auto"/>
          <w:szCs w:val="24"/>
        </w:rPr>
      </w:pPr>
      <w:r w:rsidRPr="0080004F">
        <w:rPr>
          <w:color w:val="auto"/>
          <w:szCs w:val="24"/>
        </w:rPr>
        <w:tab/>
        <w:t>5.</w:t>
      </w:r>
      <w:r w:rsidRPr="0080004F">
        <w:rPr>
          <w:color w:val="auto"/>
          <w:szCs w:val="24"/>
        </w:rPr>
        <w:tab/>
        <w:t xml:space="preserve">Выполнение электрокардиографии и трансторакальной эхокардиографии всем пациментам, а также определение концентрации кардиомаркеров (тропонин I, КФК КФК-МБ) для исключения развития септической миокардиальной дисфункции или септического миокардита. </w:t>
      </w:r>
    </w:p>
    <w:p w14:paraId="1EE75F48" w14:textId="77777777" w:rsidR="00987CCD" w:rsidRPr="0080004F" w:rsidRDefault="00987CCD" w:rsidP="0080004F">
      <w:pPr>
        <w:pStyle w:val="Number1"/>
        <w:spacing w:before="0"/>
        <w:rPr>
          <w:color w:val="auto"/>
          <w:szCs w:val="24"/>
        </w:rPr>
      </w:pPr>
      <w:r w:rsidRPr="0080004F">
        <w:rPr>
          <w:color w:val="auto"/>
          <w:szCs w:val="24"/>
        </w:rPr>
        <w:tab/>
        <w:t>6.</w:t>
      </w:r>
      <w:r w:rsidRPr="0080004F">
        <w:rPr>
          <w:color w:val="auto"/>
          <w:szCs w:val="24"/>
        </w:rPr>
        <w:tab/>
        <w:t xml:space="preserve">Установление артериальной линии для инвазивного мониторинга АД и взятия проб крови для анализа кислотно-щелочного состояния, газов крови у всех пациентов. Устанавливается катетер в a. radialis или a. femoralis либо катетер </w:t>
      </w:r>
      <w:r w:rsidRPr="0080004F">
        <w:rPr>
          <w:color w:val="auto"/>
          <w:szCs w:val="24"/>
          <w:lang w:val="en-US"/>
        </w:rPr>
        <w:t>P</w:t>
      </w:r>
      <w:r w:rsidRPr="0080004F">
        <w:rPr>
          <w:color w:val="auto"/>
          <w:szCs w:val="24"/>
        </w:rPr>
        <w:t>i</w:t>
      </w:r>
      <w:r w:rsidRPr="0080004F">
        <w:rPr>
          <w:color w:val="auto"/>
          <w:szCs w:val="24"/>
          <w:lang w:val="en-US"/>
        </w:rPr>
        <w:t>CCO</w:t>
      </w:r>
      <w:r w:rsidRPr="0080004F">
        <w:rPr>
          <w:color w:val="auto"/>
          <w:szCs w:val="24"/>
        </w:rPr>
        <w:t>. Цель терапии — достижение среднего АД ≥ 65 мм рт. ст., ЦВД 8—12 мм рт. ст., диуреза &gt; 0,5 мл/кг/ч, S</w:t>
      </w:r>
      <w:r w:rsidRPr="0080004F">
        <w:rPr>
          <w:color w:val="auto"/>
          <w:szCs w:val="24"/>
          <w:vertAlign w:val="subscript"/>
        </w:rPr>
        <w:t>cv</w:t>
      </w:r>
      <w:r w:rsidRPr="0080004F">
        <w:rPr>
          <w:color w:val="auto"/>
          <w:szCs w:val="24"/>
        </w:rPr>
        <w:t>O</w:t>
      </w:r>
      <w:r w:rsidRPr="0080004F">
        <w:rPr>
          <w:color w:val="auto"/>
          <w:szCs w:val="24"/>
          <w:vertAlign w:val="subscript"/>
        </w:rPr>
        <w:t>2</w:t>
      </w:r>
      <w:r w:rsidRPr="0080004F">
        <w:rPr>
          <w:color w:val="auto"/>
          <w:szCs w:val="24"/>
        </w:rPr>
        <w:t xml:space="preserve"> ≥ 70%, индекса ГКДО ≥ 680 мл/м</w:t>
      </w:r>
      <w:r w:rsidRPr="0080004F">
        <w:rPr>
          <w:color w:val="auto"/>
          <w:szCs w:val="24"/>
          <w:vertAlign w:val="superscript"/>
        </w:rPr>
        <w:t>2</w:t>
      </w:r>
      <w:r w:rsidRPr="0080004F">
        <w:rPr>
          <w:color w:val="auto"/>
          <w:szCs w:val="24"/>
        </w:rPr>
        <w:t xml:space="preserve">. Индекс ГКДО необходимо оценивать в динамике. Но не надо стремиться к достижению условных норм индекса ГКДО при появлении признаков перегрузки объемом, так как это условные нормы не всегда отражают волемический статус пациента. </w:t>
      </w:r>
    </w:p>
    <w:p w14:paraId="2D3F19F6" w14:textId="77777777" w:rsidR="00987CCD" w:rsidRPr="0080004F" w:rsidRDefault="00987CCD" w:rsidP="0080004F">
      <w:pPr>
        <w:pStyle w:val="Number1"/>
        <w:spacing w:before="0"/>
        <w:rPr>
          <w:color w:val="auto"/>
          <w:szCs w:val="24"/>
        </w:rPr>
      </w:pPr>
      <w:r w:rsidRPr="0080004F">
        <w:rPr>
          <w:color w:val="auto"/>
          <w:szCs w:val="24"/>
        </w:rPr>
        <w:tab/>
        <w:t>7.</w:t>
      </w:r>
      <w:r w:rsidRPr="0080004F">
        <w:rPr>
          <w:color w:val="auto"/>
          <w:szCs w:val="24"/>
        </w:rPr>
        <w:tab/>
        <w:t>При катетеризации сосудов уровень тромбоцитов &lt; 20х10</w:t>
      </w:r>
      <w:r w:rsidRPr="0080004F">
        <w:rPr>
          <w:color w:val="auto"/>
          <w:szCs w:val="24"/>
          <w:vertAlign w:val="superscript"/>
        </w:rPr>
        <w:t>9</w:t>
      </w:r>
      <w:r w:rsidRPr="0080004F">
        <w:rPr>
          <w:color w:val="auto"/>
          <w:szCs w:val="24"/>
        </w:rPr>
        <w:t xml:space="preserve">/л является показанием для трансфузии концентрата тромбоцитов. Процедуры катетеризации сосудов следует выполнять под ультразвуковым контролем. В неотложных ситуациях катетеризация выполняется при любом уровне тромбоцитов. </w:t>
      </w:r>
    </w:p>
    <w:p w14:paraId="68D3ACCF" w14:textId="77777777" w:rsidR="00987CCD" w:rsidRPr="0080004F" w:rsidRDefault="00987CCD" w:rsidP="0080004F">
      <w:pPr>
        <w:pStyle w:val="Number1"/>
        <w:spacing w:before="0"/>
        <w:rPr>
          <w:color w:val="auto"/>
          <w:szCs w:val="24"/>
        </w:rPr>
      </w:pPr>
      <w:r w:rsidRPr="0080004F">
        <w:rPr>
          <w:color w:val="auto"/>
          <w:szCs w:val="24"/>
        </w:rPr>
        <w:tab/>
      </w:r>
      <w:r w:rsidRPr="0080004F">
        <w:rPr>
          <w:color w:val="auto"/>
          <w:szCs w:val="24"/>
        </w:rPr>
        <w:tab/>
        <w:t>8.</w:t>
      </w:r>
      <w:r w:rsidRPr="0080004F">
        <w:rPr>
          <w:color w:val="auto"/>
          <w:szCs w:val="24"/>
        </w:rPr>
        <w:tab/>
        <w:t>При возникновении подозрения на сепсис должна быть начата эмпирическая антибактериальная терапия с использованием одного или более препаратов, имеющих активность против всех потенциальных патогенов (бактерии и/или грибы) и создающих адекватную концентрацию в предполагаемых источниках сепсиса. Антибактериальная терапия должна быть видоизменена с учетом профиля чувствительности микроорганизма к антибиотикам в наиболее ранние сроки. Модификацию антибактериальной терапии проводят согласно результатам микробиологических исследований.</w:t>
      </w:r>
    </w:p>
    <w:p w14:paraId="1B99751E" w14:textId="77777777" w:rsidR="00987CCD" w:rsidRPr="0080004F" w:rsidRDefault="00987CCD" w:rsidP="0080004F">
      <w:pPr>
        <w:pStyle w:val="Number1"/>
        <w:spacing w:before="0"/>
        <w:rPr>
          <w:color w:val="auto"/>
          <w:szCs w:val="24"/>
        </w:rPr>
      </w:pPr>
      <w:r w:rsidRPr="0080004F">
        <w:rPr>
          <w:color w:val="auto"/>
          <w:szCs w:val="24"/>
        </w:rPr>
        <w:tab/>
        <w:t>9.</w:t>
      </w:r>
      <w:r w:rsidRPr="0080004F">
        <w:rPr>
          <w:color w:val="auto"/>
          <w:szCs w:val="24"/>
        </w:rPr>
        <w:tab/>
        <w:t>Волемическая нагрузка кристаллоидами — препаратами выбора в инфузионной терапии тяжелого сепсиса и септического шока. В инфузионной терапии сепсиса и септического шока не рекомендованы препараты гидроксиэтилкрахмала. Альбумин человека используется в инфузионной терапии тяжелого сепсиса и септического шока у пациентов, нуждающихся в значительных дозах кристаллоидов. Начальная водная нагрузка должна составлять не менее 30 мл/кг кристаллоидов (часть этой дозы можно заменить на альбумин человека). Для некоторых пациентов требуются большая доза и скорость введения. Начальной целью инфузии является ЦВД 8 мм рт. ст. (12 мм рт. ст. при проведении инвазивной вентиляции легких (ИВЛ). Часто инфузия необходима и в дальнейшем. Рекомендуется продолжать инфузию до тех пор, пока продолжается гемодинамическое улучшение (АД, ЧСС, темп диуреза, нормализация повышенного уровня лактата). Рекомендуется значительно уменьшить скорость инфузии, когда увеличение преднагрузки сердца (ЦВД) не приводит к гемодинамическому улучшению (возрастанию сердечного выброса). Таким образом, целевые значения жизненно важных параметров: ЦВД 8—12 мм рт. ст., индекс ГКДО 680 мл/м</w:t>
      </w:r>
      <w:r w:rsidRPr="0080004F">
        <w:rPr>
          <w:color w:val="auto"/>
          <w:szCs w:val="24"/>
          <w:vertAlign w:val="superscript"/>
        </w:rPr>
        <w:t>2</w:t>
      </w:r>
      <w:r w:rsidRPr="0080004F">
        <w:rPr>
          <w:color w:val="auto"/>
          <w:szCs w:val="24"/>
        </w:rPr>
        <w:t xml:space="preserve">, среднее АД 65 мм рт. ст., диурез 0,5 мл/кг в час, оксигенация в смешанной венозной крови 70% или в венозной крови из верхней полой вены 65%. </w:t>
      </w:r>
    </w:p>
    <w:p w14:paraId="692EB34C" w14:textId="77777777" w:rsidR="00987CCD" w:rsidRPr="0080004F" w:rsidRDefault="00987CCD" w:rsidP="0080004F">
      <w:pPr>
        <w:pStyle w:val="Number1"/>
        <w:spacing w:before="0"/>
        <w:rPr>
          <w:color w:val="auto"/>
          <w:szCs w:val="24"/>
        </w:rPr>
      </w:pPr>
      <w:r w:rsidRPr="0080004F">
        <w:rPr>
          <w:color w:val="auto"/>
          <w:szCs w:val="24"/>
        </w:rPr>
        <w:tab/>
        <w:t>10.</w:t>
      </w:r>
      <w:r w:rsidRPr="0080004F">
        <w:rPr>
          <w:color w:val="auto"/>
          <w:szCs w:val="24"/>
        </w:rPr>
        <w:tab/>
        <w:t>Вазопрессорная терапия должна начинаться при сохраняющемся в течение &gt; 1 часа, несмотря на инфузию адекватных объемов жидкости, систолическом АД &lt; 90 мм рт. ст. или среднем АД &lt; 65 мм рт. ст. Увеличение дозы препарата продолжается до достижения целевого уровня среднего АД ≥ 65 мм рт. ст. Норэпинефрин — препарат выбора среди вазопрессоров, его начальная доза 0,5—1 мкг/кг/мин. Эпинефрин может использоваться и в качестве второго вазопрессора и в качестве потенциальной замены норэпинефрина в случае, когда необходим дополнительный вазопрессор для поддержания адекватного артериального давления. Терлипрессин (Реместип) в дозе 1,3 мк/кг/ч может использоваться совместно с норэпинефрином как для поддержания среднего АД, так и для снижения дозы норэпинефрина. Допамин в качестве альтернативного вазопрессора должен использоваться только у строго определенных групп пациентов (например, у пациентов с низким риском тахиаритмии, у пациентов с брадикардией). Не следует использовать низкие дозы допамина для защиты почек. Инфузия добутамина в дозе до 20 мкг/кг в минуту может быть назначена или добавлена к вазопрессорам в следующих случаях: дисфункция миокарда, выражающаяся в виде роста давления наполнения и низкого сердечного выброса; сохраняющиеся симптомы гипоперфузии несмотря на достигнутый адекватный внутрисосудистый объем и нормальное среднее АД.</w:t>
      </w:r>
    </w:p>
    <w:p w14:paraId="3FA15BAD" w14:textId="77777777" w:rsidR="00987CCD" w:rsidRPr="0080004F" w:rsidRDefault="00987CCD" w:rsidP="0080004F">
      <w:pPr>
        <w:pStyle w:val="Number1"/>
        <w:spacing w:before="0"/>
        <w:rPr>
          <w:color w:val="auto"/>
          <w:szCs w:val="24"/>
        </w:rPr>
      </w:pPr>
      <w:r w:rsidRPr="0080004F">
        <w:rPr>
          <w:color w:val="auto"/>
          <w:szCs w:val="24"/>
        </w:rPr>
        <w:tab/>
        <w:t>11.</w:t>
      </w:r>
      <w:r w:rsidRPr="0080004F">
        <w:rPr>
          <w:color w:val="auto"/>
          <w:szCs w:val="24"/>
        </w:rPr>
        <w:tab/>
        <w:t xml:space="preserve">При развитии септического шока проводится терапия глюкокортикоидами: в первые сутки внутривенно вводится нагрузочная доза 100 мг гидрокортизона в виде болюсной короткой инфузии, а затем начинается круглосуточная инфузия препарата 200 мг/сут в виде внутривенной постоянной суточной инфузии. Гидрокортизон отменятся после прекращения использования вазопрессоров. Не используют гидрокортизон, если волемическая нагрузка и вазопрессорная терапия способны стабилизировать гемодинамику. </w:t>
      </w:r>
    </w:p>
    <w:p w14:paraId="2C46D95C" w14:textId="77777777" w:rsidR="00987CCD" w:rsidRPr="0080004F" w:rsidRDefault="00987CCD" w:rsidP="0080004F">
      <w:pPr>
        <w:pStyle w:val="Number1"/>
        <w:spacing w:before="0"/>
        <w:rPr>
          <w:color w:val="auto"/>
          <w:szCs w:val="24"/>
        </w:rPr>
      </w:pPr>
      <w:r w:rsidRPr="0080004F">
        <w:rPr>
          <w:color w:val="auto"/>
          <w:szCs w:val="24"/>
        </w:rPr>
        <w:tab/>
        <w:t>12.</w:t>
      </w:r>
      <w:r w:rsidRPr="0080004F">
        <w:rPr>
          <w:color w:val="auto"/>
          <w:szCs w:val="24"/>
        </w:rPr>
        <w:tab/>
        <w:t>Препараты крови: показанием для трансфузии эритроцитов является снижение уровня Hb &lt; 70 г/л (целевой уровень Hb — 70—90 г/л) у взрослых. Не следует использовать эритропоэтин в качестве специфической терапии анемии, связанной с тяжелым сепсисом. Трансфузию тромбоцитов рекомендовано проводить при снижении уровня тромбоцитов менее 20х10</w:t>
      </w:r>
      <w:r w:rsidRPr="0080004F">
        <w:rPr>
          <w:color w:val="auto"/>
          <w:szCs w:val="24"/>
          <w:vertAlign w:val="superscript"/>
        </w:rPr>
        <w:t>9</w:t>
      </w:r>
      <w:r w:rsidRPr="0080004F">
        <w:rPr>
          <w:color w:val="auto"/>
          <w:szCs w:val="24"/>
        </w:rPr>
        <w:t>/л либо при наличии геморрагического синдрома. Свежезамороженная плазма (СЗП) не должна применяться для коррекции лабораторных показателей при отсутствии кровотечения или планируемого инвазивного вмешательства. Трансфузия СЗП осуществляется только при развитии геморрагического синдрома.</w:t>
      </w:r>
    </w:p>
    <w:p w14:paraId="350D6C46" w14:textId="77777777" w:rsidR="00987CCD" w:rsidRPr="0080004F" w:rsidRDefault="00987CCD" w:rsidP="0080004F">
      <w:pPr>
        <w:pStyle w:val="Number1"/>
        <w:spacing w:before="0"/>
        <w:rPr>
          <w:color w:val="auto"/>
          <w:szCs w:val="24"/>
        </w:rPr>
      </w:pPr>
      <w:r w:rsidRPr="0080004F">
        <w:rPr>
          <w:color w:val="auto"/>
          <w:szCs w:val="24"/>
        </w:rPr>
        <w:tab/>
        <w:t>13.</w:t>
      </w:r>
      <w:r w:rsidRPr="0080004F">
        <w:rPr>
          <w:color w:val="auto"/>
          <w:szCs w:val="24"/>
        </w:rPr>
        <w:tab/>
        <w:t xml:space="preserve">Нет общих данных по проведению заместительной терапии донорскими иммуноглобулинами. Однако у 67% онкогематологических больных с сепсисом выявляется гуморальный иммунодефицит (снижение уровня одного из классов иммуноглобулинов). У пациентов с сепсисом при выявлении гуморального иммунодефицита необходимо проведение заместительной терапии препаратами IgG в зависимости в дозе 0,5 г/кг дней внутривенно. При дефиците иммуноглобулина М используется пентаглобин, обогащенный IgМ. Пентаглобин может использоваться также и без выявленного дефицита IgМ для лечения септического шока в дозе 5 мг/кг/сут в течение 3 дней в/в в виде непрерывной инфузии. </w:t>
      </w:r>
    </w:p>
    <w:p w14:paraId="5EFF88B4" w14:textId="77777777" w:rsidR="00987CCD" w:rsidRPr="0080004F" w:rsidRDefault="00987CCD" w:rsidP="0080004F">
      <w:pPr>
        <w:pStyle w:val="Number1"/>
        <w:spacing w:before="0"/>
        <w:rPr>
          <w:color w:val="auto"/>
          <w:szCs w:val="24"/>
        </w:rPr>
      </w:pPr>
      <w:r w:rsidRPr="0080004F">
        <w:rPr>
          <w:color w:val="auto"/>
          <w:szCs w:val="24"/>
        </w:rPr>
        <w:tab/>
        <w:t>14.</w:t>
      </w:r>
      <w:r w:rsidRPr="0080004F">
        <w:rPr>
          <w:color w:val="auto"/>
          <w:szCs w:val="24"/>
        </w:rPr>
        <w:tab/>
        <w:t xml:space="preserve">Заместительная почечная терапия. Возможно использование как процедуры гемодиализа, так и гемодиафильтрации. При развитии острой почечной недостаточности может проводиться гемодиализ, хотя предпочтительнее использовать гемодиафильтрацию. При развитии выраженных метаболических нарушений (лактат-ацидоз, электролитные нарушения) методом выбора является круглосуточная гемодиафильтрация. </w:t>
      </w:r>
    </w:p>
    <w:p w14:paraId="0C2C41FA" w14:textId="24F7AF7E" w:rsidR="00987CCD" w:rsidRPr="0080004F" w:rsidRDefault="00987CCD" w:rsidP="0080004F">
      <w:pPr>
        <w:pStyle w:val="Number1"/>
        <w:spacing w:before="0"/>
        <w:rPr>
          <w:color w:val="auto"/>
          <w:szCs w:val="24"/>
        </w:rPr>
      </w:pPr>
      <w:r w:rsidRPr="0080004F">
        <w:rPr>
          <w:color w:val="auto"/>
          <w:szCs w:val="24"/>
        </w:rPr>
        <w:tab/>
        <w:t>15.</w:t>
      </w:r>
      <w:r w:rsidRPr="0080004F">
        <w:rPr>
          <w:color w:val="auto"/>
          <w:szCs w:val="24"/>
        </w:rPr>
        <w:tab/>
        <w:t>При развитии острой дыхательной недостаточности, не</w:t>
      </w:r>
      <w:r w:rsidR="007F0356" w:rsidRPr="0080004F">
        <w:rPr>
          <w:color w:val="auto"/>
          <w:szCs w:val="24"/>
        </w:rPr>
        <w:t xml:space="preserve"> </w:t>
      </w:r>
      <w:r w:rsidRPr="0080004F">
        <w:rPr>
          <w:color w:val="auto"/>
          <w:szCs w:val="24"/>
        </w:rPr>
        <w:t>коррегируемой с помощью неинвазивных методов респираторной поддержки, больным интубируется трахея, и они переводятся на ИВЛ.</w:t>
      </w:r>
    </w:p>
    <w:p w14:paraId="18EBCC78" w14:textId="77777777" w:rsidR="00987CCD" w:rsidRPr="0080004F" w:rsidRDefault="00987CCD" w:rsidP="0080004F">
      <w:pPr>
        <w:pStyle w:val="Number1"/>
        <w:spacing w:before="0"/>
        <w:rPr>
          <w:color w:val="auto"/>
          <w:szCs w:val="24"/>
        </w:rPr>
      </w:pPr>
    </w:p>
    <w:p w14:paraId="290FD75C" w14:textId="77777777" w:rsidR="00987CCD" w:rsidRPr="0080004F" w:rsidRDefault="00987CCD" w:rsidP="0080004F">
      <w:pPr>
        <w:pStyle w:val="Number1"/>
        <w:spacing w:before="0"/>
        <w:rPr>
          <w:i/>
          <w:kern w:val="36"/>
          <w:szCs w:val="24"/>
          <w:u w:val="single"/>
        </w:rPr>
      </w:pPr>
      <w:r w:rsidRPr="0080004F">
        <w:rPr>
          <w:i/>
          <w:kern w:val="36"/>
          <w:szCs w:val="24"/>
          <w:u w:val="single"/>
        </w:rPr>
        <w:t>Острая дыхательная недостаточность у гематологических пациентов</w:t>
      </w:r>
    </w:p>
    <w:p w14:paraId="5FC5AE00" w14:textId="77777777" w:rsidR="00987CCD" w:rsidRPr="0080004F" w:rsidRDefault="00987CCD" w:rsidP="0080004F">
      <w:pPr>
        <w:rPr>
          <w:szCs w:val="24"/>
        </w:rPr>
      </w:pPr>
      <w:r w:rsidRPr="0080004F">
        <w:rPr>
          <w:szCs w:val="24"/>
        </w:rPr>
        <w:t>Легочная патология и возникающая вследствие нее острая дыхательная недостаточность (ОДН) являются частыми осложнениями у гематологических пациентов. ОДН может возникнуть на любых этапах гематологического заболевания: в дебюте, при проведении индукционной химиотерапии, на стадии миелотоксического агранулоцитоза и восстановления костномозгового кроветворения, во время ремиссии или поддерживающего лечения, при возникновении рецидива и т. д. ОДН является причиной перевода в реанимационное отделение каждого четвертого пациента онкогематологическим заболеванием.</w:t>
      </w:r>
    </w:p>
    <w:p w14:paraId="3DB11E13" w14:textId="77777777" w:rsidR="00987CCD" w:rsidRPr="0080004F" w:rsidRDefault="00987CCD" w:rsidP="0080004F">
      <w:pPr>
        <w:rPr>
          <w:b/>
          <w:bCs/>
          <w:szCs w:val="24"/>
        </w:rPr>
      </w:pPr>
      <w:r w:rsidRPr="0080004F">
        <w:rPr>
          <w:b/>
          <w:bCs/>
          <w:szCs w:val="24"/>
        </w:rPr>
        <w:t>Обструктивная ОДН</w:t>
      </w:r>
    </w:p>
    <w:p w14:paraId="4EDBA434" w14:textId="77777777" w:rsidR="00987CCD" w:rsidRPr="0080004F" w:rsidRDefault="00987CCD" w:rsidP="0080004F">
      <w:pPr>
        <w:rPr>
          <w:szCs w:val="24"/>
        </w:rPr>
      </w:pPr>
      <w:r w:rsidRPr="0080004F">
        <w:rPr>
          <w:szCs w:val="24"/>
        </w:rPr>
        <w:t>Обструктивная ОДН выявляется у 5—7% больных гемобластозами, и может быть вызвана окклюзией просвета трахеи увеличенными подслизистыми лимфатическими узлами, обструкцией бронхов опухолевыми массами, сдавлением бронхов перибронхиальными лимфатическими узлами или сужением просвета бронхов за счет эндобронхиальной инфильтрации опухолевыми клетками лимфоме или лейкозе. Так, при лимфоме Ходжкина до начала лечения в отсутствие ОДН функциональные легочные тесты почти в половине случаев обнаруживают нарушение проходимости дыхательных путей, которое проявляется во время вдоха; при этом при КТ умеренная или тяжелая деформация трахеи выявляется лишь у трети больных. Даже при отсутствии сужения просвета дыхательных путей опухолевыми массами окружающие трахею лимфатические узлы делают ее стенки более ригидными, что не позволяет ей расширяться при отрицательном внутригрудном давлении во время вдоха и замедляет тем самым скорость потока воздуха. Другими причинами обструктивной ОДН у больных с гемобластозами являются воспалительный процесс мягких тканей лица и шеи (нома), обструкция трахеи и главных бронхов аспергиллезной мицетомой, закупорка гортани при кандидозном поражении надгортанника, гематома в полости ротоглотки или гортани.</w:t>
      </w:r>
    </w:p>
    <w:p w14:paraId="5B374EE8" w14:textId="77777777" w:rsidR="00987CCD" w:rsidRPr="0080004F" w:rsidRDefault="00987CCD" w:rsidP="0080004F">
      <w:pPr>
        <w:rPr>
          <w:b/>
          <w:bCs/>
          <w:szCs w:val="24"/>
        </w:rPr>
      </w:pPr>
      <w:r w:rsidRPr="0080004F">
        <w:rPr>
          <w:b/>
          <w:bCs/>
          <w:szCs w:val="24"/>
        </w:rPr>
        <w:t>Паренхиматозная ОДН</w:t>
      </w:r>
    </w:p>
    <w:p w14:paraId="73DB0952" w14:textId="77777777" w:rsidR="00987CCD" w:rsidRPr="0080004F" w:rsidRDefault="00987CCD" w:rsidP="0080004F">
      <w:pPr>
        <w:rPr>
          <w:szCs w:val="24"/>
        </w:rPr>
      </w:pPr>
      <w:r w:rsidRPr="0080004F">
        <w:rPr>
          <w:szCs w:val="24"/>
        </w:rPr>
        <w:t>Паренхиматозные поражения легких являются основной причиной ОДН. Эта форма дыхательной недостаточности выявляется у 93—95% больных с гемобластозами. Поражение легких при гематологических заболеваниях может носить как инфекционный, так и неинфекционный характер.</w:t>
      </w:r>
    </w:p>
    <w:p w14:paraId="2723C5B0" w14:textId="77777777" w:rsidR="00450043" w:rsidRPr="0080004F" w:rsidRDefault="00450043" w:rsidP="0080004F">
      <w:pPr>
        <w:pStyle w:val="Number1"/>
        <w:spacing w:before="0"/>
        <w:rPr>
          <w:i/>
          <w:kern w:val="36"/>
          <w:szCs w:val="24"/>
          <w:u w:val="single"/>
        </w:rPr>
      </w:pPr>
    </w:p>
    <w:p w14:paraId="35019656" w14:textId="577E6634" w:rsidR="00987CCD" w:rsidRPr="0080004F" w:rsidRDefault="00987CCD" w:rsidP="0080004F">
      <w:pPr>
        <w:pStyle w:val="Number1"/>
        <w:spacing w:before="0"/>
        <w:rPr>
          <w:i/>
          <w:kern w:val="36"/>
          <w:szCs w:val="24"/>
          <w:u w:val="single"/>
        </w:rPr>
      </w:pPr>
      <w:r w:rsidRPr="0080004F">
        <w:rPr>
          <w:i/>
          <w:kern w:val="36"/>
          <w:szCs w:val="24"/>
          <w:u w:val="single"/>
        </w:rPr>
        <w:t>Инфекционные поражения легких</w:t>
      </w:r>
    </w:p>
    <w:p w14:paraId="18F12B59" w14:textId="77777777" w:rsidR="00987CCD" w:rsidRPr="0080004F" w:rsidRDefault="00987CCD" w:rsidP="0080004F">
      <w:pPr>
        <w:pStyle w:val="Number1"/>
        <w:spacing w:before="0"/>
        <w:ind w:left="0" w:firstLine="709"/>
        <w:rPr>
          <w:color w:val="auto"/>
          <w:szCs w:val="24"/>
        </w:rPr>
      </w:pPr>
      <w:r w:rsidRPr="0080004F">
        <w:rPr>
          <w:color w:val="auto"/>
          <w:szCs w:val="24"/>
        </w:rPr>
        <w:t xml:space="preserve">Пневмонии различной этиологии — наиболее частые причины ОДН. В половине случаев они вызываются </w:t>
      </w:r>
      <w:r w:rsidRPr="0080004F">
        <w:rPr>
          <w:bCs/>
          <w:color w:val="auto"/>
          <w:szCs w:val="24"/>
        </w:rPr>
        <w:t>бактериями</w:t>
      </w:r>
      <w:r w:rsidRPr="0080004F">
        <w:rPr>
          <w:color w:val="auto"/>
          <w:szCs w:val="24"/>
        </w:rPr>
        <w:t>, при этом чаще всего возбудителями являются грамотрицательные микроорганизмы</w:t>
      </w:r>
    </w:p>
    <w:p w14:paraId="7718C175" w14:textId="77777777" w:rsidR="00987CCD" w:rsidRPr="0080004F" w:rsidRDefault="00987CCD" w:rsidP="0080004F">
      <w:pPr>
        <w:rPr>
          <w:szCs w:val="24"/>
        </w:rPr>
      </w:pPr>
      <w:r w:rsidRPr="0080004F">
        <w:rPr>
          <w:szCs w:val="24"/>
        </w:rPr>
        <w:t xml:space="preserve">Основными грамотрицательными возбудителями </w:t>
      </w:r>
      <w:r w:rsidRPr="0080004F">
        <w:rPr>
          <w:b/>
          <w:szCs w:val="24"/>
        </w:rPr>
        <w:t>бактериальных пневмоний</w:t>
      </w:r>
      <w:r w:rsidRPr="0080004F">
        <w:rPr>
          <w:szCs w:val="24"/>
        </w:rPr>
        <w:t xml:space="preserve"> являются </w:t>
      </w:r>
      <w:r w:rsidRPr="0080004F">
        <w:rPr>
          <w:i/>
          <w:szCs w:val="24"/>
          <w:lang w:val="en-US"/>
        </w:rPr>
        <w:t>Pseudomonas</w:t>
      </w:r>
      <w:r w:rsidRPr="0080004F">
        <w:rPr>
          <w:i/>
          <w:szCs w:val="24"/>
        </w:rPr>
        <w:t xml:space="preserve"> </w:t>
      </w:r>
      <w:r w:rsidRPr="0080004F">
        <w:rPr>
          <w:i/>
          <w:szCs w:val="24"/>
          <w:lang w:val="en-US"/>
        </w:rPr>
        <w:t>aeruginosa</w:t>
      </w:r>
      <w:r w:rsidRPr="0080004F">
        <w:rPr>
          <w:szCs w:val="24"/>
        </w:rPr>
        <w:t xml:space="preserve">, </w:t>
      </w:r>
      <w:r w:rsidRPr="0080004F">
        <w:rPr>
          <w:i/>
          <w:szCs w:val="24"/>
          <w:lang w:val="en-US"/>
        </w:rPr>
        <w:t>Stenotrophomonas</w:t>
      </w:r>
      <w:r w:rsidRPr="0080004F">
        <w:rPr>
          <w:i/>
          <w:szCs w:val="24"/>
        </w:rPr>
        <w:t xml:space="preserve"> </w:t>
      </w:r>
      <w:r w:rsidRPr="0080004F">
        <w:rPr>
          <w:i/>
          <w:szCs w:val="24"/>
          <w:lang w:val="en-US"/>
        </w:rPr>
        <w:t>maltophilia</w:t>
      </w:r>
      <w:r w:rsidRPr="0080004F">
        <w:rPr>
          <w:i/>
          <w:szCs w:val="24"/>
        </w:rPr>
        <w:t xml:space="preserve">, </w:t>
      </w:r>
      <w:r w:rsidRPr="0080004F">
        <w:rPr>
          <w:i/>
          <w:szCs w:val="24"/>
          <w:lang w:val="en-US"/>
        </w:rPr>
        <w:t>Klebsiella</w:t>
      </w:r>
      <w:r w:rsidRPr="0080004F">
        <w:rPr>
          <w:i/>
          <w:szCs w:val="24"/>
        </w:rPr>
        <w:t xml:space="preserve"> </w:t>
      </w:r>
      <w:r w:rsidRPr="0080004F">
        <w:rPr>
          <w:i/>
          <w:szCs w:val="24"/>
          <w:lang w:val="en-US"/>
        </w:rPr>
        <w:t>pneumoniae</w:t>
      </w:r>
      <w:r w:rsidRPr="0080004F">
        <w:rPr>
          <w:i/>
          <w:szCs w:val="24"/>
        </w:rPr>
        <w:t xml:space="preserve">, </w:t>
      </w:r>
      <w:r w:rsidRPr="0080004F">
        <w:rPr>
          <w:i/>
          <w:szCs w:val="24"/>
          <w:lang w:val="en-US"/>
        </w:rPr>
        <w:t>Acinetobacter</w:t>
      </w:r>
      <w:r w:rsidRPr="0080004F">
        <w:rPr>
          <w:i/>
          <w:szCs w:val="24"/>
        </w:rPr>
        <w:t xml:space="preserve"> </w:t>
      </w:r>
      <w:r w:rsidRPr="0080004F">
        <w:rPr>
          <w:i/>
          <w:szCs w:val="24"/>
          <w:lang w:val="en-US"/>
        </w:rPr>
        <w:t>baumannii</w:t>
      </w:r>
      <w:r w:rsidRPr="0080004F">
        <w:rPr>
          <w:i/>
          <w:szCs w:val="24"/>
        </w:rPr>
        <w:t xml:space="preserve"> и </w:t>
      </w:r>
      <w:r w:rsidRPr="0080004F">
        <w:rPr>
          <w:i/>
          <w:szCs w:val="24"/>
          <w:lang w:val="en-US"/>
        </w:rPr>
        <w:t>Escherichia</w:t>
      </w:r>
      <w:r w:rsidRPr="0080004F">
        <w:rPr>
          <w:i/>
          <w:szCs w:val="24"/>
        </w:rPr>
        <w:t xml:space="preserve"> </w:t>
      </w:r>
      <w:r w:rsidRPr="0080004F">
        <w:rPr>
          <w:i/>
          <w:szCs w:val="24"/>
          <w:lang w:val="en-US"/>
        </w:rPr>
        <w:t>coli</w:t>
      </w:r>
      <w:r w:rsidRPr="0080004F">
        <w:rPr>
          <w:szCs w:val="24"/>
        </w:rPr>
        <w:t xml:space="preserve">, а также </w:t>
      </w:r>
      <w:r w:rsidRPr="0080004F">
        <w:rPr>
          <w:i/>
          <w:szCs w:val="24"/>
          <w:lang w:val="en-US"/>
        </w:rPr>
        <w:t>Legionella</w:t>
      </w:r>
      <w:r w:rsidRPr="0080004F">
        <w:rPr>
          <w:i/>
          <w:szCs w:val="24"/>
        </w:rPr>
        <w:t xml:space="preserve"> </w:t>
      </w:r>
      <w:r w:rsidRPr="0080004F">
        <w:rPr>
          <w:i/>
          <w:szCs w:val="24"/>
          <w:lang w:val="en-US"/>
        </w:rPr>
        <w:t>pneumophila</w:t>
      </w:r>
      <w:r w:rsidRPr="0080004F">
        <w:rPr>
          <w:szCs w:val="24"/>
        </w:rPr>
        <w:t xml:space="preserve">. Среди грамположительных бактерий чаще встречается </w:t>
      </w:r>
      <w:r w:rsidRPr="0080004F">
        <w:rPr>
          <w:i/>
          <w:szCs w:val="24"/>
        </w:rPr>
        <w:t>Staphylococcus aureus.</w:t>
      </w:r>
    </w:p>
    <w:p w14:paraId="0BC29454" w14:textId="77777777" w:rsidR="00987CCD" w:rsidRPr="0080004F" w:rsidRDefault="00987CCD" w:rsidP="0080004F">
      <w:pPr>
        <w:tabs>
          <w:tab w:val="left" w:pos="142"/>
        </w:tabs>
        <w:rPr>
          <w:szCs w:val="24"/>
        </w:rPr>
      </w:pPr>
      <w:r w:rsidRPr="0080004F">
        <w:rPr>
          <w:szCs w:val="24"/>
        </w:rPr>
        <w:t>Результативность исследования жидкости бронхоальвеолярного лаважа (БАЛ) зависит от продолжительности пребывания больных в ОРИТ. У пациентов, которые провели в ОРИТ 14 дней и более, чаще, чем при поступлении, диагностируется пневмония бактериальной этиологии (73% случаев против 39%). При этом увеличивается частота выявления грамотрицательных микроорганизмов при бактериальных пневмониях (с 21% при поступлении до 47% к 14 суткам). С увеличением длительности пребывания в ОРИТ чаще диагностируется также пневмония смешанной этиологии.</w:t>
      </w:r>
    </w:p>
    <w:p w14:paraId="42C10081" w14:textId="77777777" w:rsidR="00987CCD" w:rsidRPr="0080004F" w:rsidRDefault="00987CCD" w:rsidP="0080004F">
      <w:pPr>
        <w:tabs>
          <w:tab w:val="left" w:pos="142"/>
        </w:tabs>
        <w:rPr>
          <w:szCs w:val="24"/>
        </w:rPr>
      </w:pPr>
      <w:r w:rsidRPr="0080004F">
        <w:rPr>
          <w:szCs w:val="24"/>
        </w:rPr>
        <w:t>Грамположительные микроорганизмы в жидкости БАЛ (</w:t>
      </w:r>
      <w:r w:rsidRPr="0080004F">
        <w:rPr>
          <w:i/>
          <w:szCs w:val="24"/>
        </w:rPr>
        <w:t xml:space="preserve">S. </w:t>
      </w:r>
      <w:r w:rsidRPr="0080004F">
        <w:rPr>
          <w:i/>
          <w:szCs w:val="24"/>
          <w:lang w:val="en-US"/>
        </w:rPr>
        <w:t>a</w:t>
      </w:r>
      <w:r w:rsidRPr="0080004F">
        <w:rPr>
          <w:i/>
          <w:szCs w:val="24"/>
        </w:rPr>
        <w:t>ureus</w:t>
      </w:r>
      <w:r w:rsidRPr="0080004F">
        <w:rPr>
          <w:szCs w:val="24"/>
        </w:rPr>
        <w:t>)</w:t>
      </w:r>
      <w:r w:rsidRPr="0080004F">
        <w:rPr>
          <w:i/>
          <w:szCs w:val="24"/>
        </w:rPr>
        <w:t xml:space="preserve"> </w:t>
      </w:r>
      <w:r w:rsidRPr="0080004F">
        <w:rPr>
          <w:szCs w:val="24"/>
        </w:rPr>
        <w:t>выявляются в 21,4% случаев.</w:t>
      </w:r>
    </w:p>
    <w:p w14:paraId="013D323A" w14:textId="77777777" w:rsidR="00987CCD" w:rsidRPr="0080004F" w:rsidRDefault="00987CCD" w:rsidP="0080004F">
      <w:pPr>
        <w:rPr>
          <w:szCs w:val="24"/>
        </w:rPr>
      </w:pPr>
      <w:r w:rsidRPr="0080004F">
        <w:rPr>
          <w:szCs w:val="24"/>
        </w:rPr>
        <w:t xml:space="preserve">Инвазивный аспергиллез легких выявляется у 28% гематологических пациентов в ОРИТ. В двух третях случаев он диагностируется на основании положительного индекса оптической плотности в жидкости БАЛ в оставшейся трети случаев — при выявлении в ней мицелия грибов при микроскопии. Наличие одновременно антигена </w:t>
      </w:r>
      <w:r w:rsidRPr="0080004F">
        <w:rPr>
          <w:i/>
          <w:szCs w:val="24"/>
        </w:rPr>
        <w:t>Aspergillus</w:t>
      </w:r>
      <w:r w:rsidRPr="0080004F">
        <w:rPr>
          <w:szCs w:val="24"/>
        </w:rPr>
        <w:t xml:space="preserve"> и мицелия грибов наблюдается у 25% пациентов. При этом следует отметить, что лишь у 25% гематологических пациентов грибы рода </w:t>
      </w:r>
      <w:r w:rsidRPr="0080004F">
        <w:rPr>
          <w:i/>
          <w:szCs w:val="24"/>
        </w:rPr>
        <w:t>Aspergillus</w:t>
      </w:r>
      <w:r w:rsidRPr="0080004F">
        <w:rPr>
          <w:szCs w:val="24"/>
        </w:rPr>
        <w:t xml:space="preserve"> являются единственными возбудителями пневмонии; в остальных случаях в образцах жидкости БАЛ выявляются и другие патогены.</w:t>
      </w:r>
    </w:p>
    <w:p w14:paraId="23BC9AFC" w14:textId="77777777" w:rsidR="00987CCD" w:rsidRPr="0080004F" w:rsidRDefault="00987CCD" w:rsidP="0080004F">
      <w:pPr>
        <w:rPr>
          <w:szCs w:val="24"/>
        </w:rPr>
      </w:pPr>
      <w:r w:rsidRPr="0080004F">
        <w:rPr>
          <w:szCs w:val="24"/>
        </w:rPr>
        <w:t xml:space="preserve">Диагноз </w:t>
      </w:r>
      <w:r w:rsidRPr="0080004F">
        <w:rPr>
          <w:b/>
          <w:szCs w:val="24"/>
        </w:rPr>
        <w:t>вирусной пневмонии</w:t>
      </w:r>
      <w:r w:rsidRPr="0080004F">
        <w:rPr>
          <w:szCs w:val="24"/>
        </w:rPr>
        <w:t xml:space="preserve"> устанавливается по совокупности клиническо-радиологической картины и выявлению методом ПЦР вирусной ДНК в жидкости БАЛ и в крови. </w:t>
      </w:r>
      <w:r w:rsidRPr="0080004F">
        <w:rPr>
          <w:bCs/>
          <w:szCs w:val="24"/>
        </w:rPr>
        <w:t>Вирусы</w:t>
      </w:r>
      <w:r w:rsidRPr="0080004F">
        <w:rPr>
          <w:b/>
          <w:bCs/>
          <w:szCs w:val="24"/>
        </w:rPr>
        <w:t xml:space="preserve"> </w:t>
      </w:r>
      <w:r w:rsidRPr="0080004F">
        <w:rPr>
          <w:szCs w:val="24"/>
        </w:rPr>
        <w:t>являются вторыми по частоте после бактерий возбудителями, вызывающими ОДН при гематологических заболеваниях. Наряду с цитомегаловирусом (ЦМВ) причиной поражения легких и развития ОДН у больных с гемобластозами может быть вирус Эпштейна—Барр. Последний, инфицируя человеческие фибробласты, стимулирует в них продукцию цитокинов, в частности основного фактора роста фибробластов и ИЛ-1, что приводит к пролиферации фибробластов и развитию интерстициальной пневмонии. Цитомегаловирусные пневмонии у больных с гемобластозами после высокодозной химиотерапии встречаются в 4—52% случаев. Среди пациентов, перенесших трансплантацию гемопоэтических стволовых клеток (ТГСК), цитомегаловирусная пневмония развивается в 2—36% случаев. К факторам риска цитомегаловирусной пневмонии после трансплантации относят аллогенную трансплантацию, развитие реакции «трансплантат против хозяина» и наличие антител к вирусу в сыворотке перед трансплантацией. При ОДН у больных гемобластозами цитомегаловирусная пневмония диагностируется в 29% случаев.</w:t>
      </w:r>
    </w:p>
    <w:p w14:paraId="15928D11" w14:textId="77777777" w:rsidR="00987CCD" w:rsidRPr="0080004F" w:rsidRDefault="00987CCD" w:rsidP="0080004F">
      <w:pPr>
        <w:rPr>
          <w:szCs w:val="24"/>
        </w:rPr>
      </w:pPr>
      <w:r w:rsidRPr="0080004F">
        <w:rPr>
          <w:b/>
          <w:bCs/>
          <w:szCs w:val="24"/>
        </w:rPr>
        <w:t xml:space="preserve">Пневмоцистная пневмония </w:t>
      </w:r>
      <w:r w:rsidRPr="0080004F">
        <w:rPr>
          <w:szCs w:val="24"/>
        </w:rPr>
        <w:t>является причиной ОДН у гематологических пациентов в 10% случаев. Вариант основного заболевания рассматривается как фактор риска, поскольку определяет глубину и характер иммуносупрессии. Основной иммунный дефект, способствующий пневмоцистной инфекции, — это уменьшение числа СD4-клеток (</w:t>
      </w:r>
      <w:r w:rsidRPr="0080004F">
        <w:rPr>
          <w:szCs w:val="24"/>
          <w:lang w:val="en-US"/>
        </w:rPr>
        <w:t>T</w:t>
      </w:r>
      <w:r w:rsidRPr="0080004F">
        <w:rPr>
          <w:szCs w:val="24"/>
        </w:rPr>
        <w:t xml:space="preserve">-хелперов). Поражение </w:t>
      </w:r>
      <w:r w:rsidRPr="0080004F">
        <w:rPr>
          <w:szCs w:val="24"/>
          <w:lang w:val="en-US"/>
        </w:rPr>
        <w:t>T</w:t>
      </w:r>
      <w:r w:rsidRPr="0080004F">
        <w:rPr>
          <w:szCs w:val="24"/>
        </w:rPr>
        <w:t>-клеточного звена иммунитета свойственно лимфопролиферативным заболеваниям, и при них пневмоцистная пневмония встречается наиболее часто, но она возможна при любых других гематологичесикх заболеваниях, сопровождающихся иммуносупрессией – острых лейкозах, хроническом лимфолейкозе, лимфомах, множественной миеломе и других. До начала иммуносупрессивной терапии пневмоцистная инфекция у онкогематологических пациентов встречается редко, обычно она возникает через месяц после начала специфической терапии. Риск развития пневмоцистоза особенно высок в течение первых 5—6 мес после трансплантации костного мозга, а также у пациентов с реакцией «трансплантат против хозяина».</w:t>
      </w:r>
    </w:p>
    <w:p w14:paraId="3B374EB9" w14:textId="77777777" w:rsidR="00450043" w:rsidRPr="0080004F" w:rsidRDefault="00450043" w:rsidP="0080004F">
      <w:pPr>
        <w:pStyle w:val="Number1"/>
        <w:spacing w:before="0"/>
        <w:rPr>
          <w:i/>
          <w:kern w:val="36"/>
          <w:szCs w:val="24"/>
          <w:u w:val="single"/>
        </w:rPr>
      </w:pPr>
    </w:p>
    <w:p w14:paraId="323A8A26" w14:textId="540E148D" w:rsidR="00987CCD" w:rsidRPr="0080004F" w:rsidRDefault="00987CCD" w:rsidP="0080004F">
      <w:pPr>
        <w:pStyle w:val="Number1"/>
        <w:spacing w:before="0"/>
        <w:rPr>
          <w:i/>
          <w:kern w:val="36"/>
          <w:szCs w:val="24"/>
          <w:u w:val="single"/>
        </w:rPr>
      </w:pPr>
      <w:r w:rsidRPr="0080004F">
        <w:rPr>
          <w:i/>
          <w:kern w:val="36"/>
          <w:szCs w:val="24"/>
          <w:u w:val="single"/>
        </w:rPr>
        <w:t>Неинфекционные поражения легких</w:t>
      </w:r>
    </w:p>
    <w:p w14:paraId="0AD2A225" w14:textId="77777777" w:rsidR="00987CCD" w:rsidRPr="0080004F" w:rsidRDefault="00987CCD" w:rsidP="0080004F">
      <w:pPr>
        <w:rPr>
          <w:szCs w:val="24"/>
        </w:rPr>
      </w:pPr>
      <w:r w:rsidRPr="0080004F">
        <w:rPr>
          <w:b/>
          <w:bCs/>
          <w:szCs w:val="24"/>
        </w:rPr>
        <w:t xml:space="preserve">Опухолевые поражения легких </w:t>
      </w:r>
      <w:r w:rsidRPr="0080004F">
        <w:rPr>
          <w:szCs w:val="24"/>
        </w:rPr>
        <w:t>встречаются значительно чаще, чем диагностируются прижизненно. По данным гистологических исследований, частота лейкемических поражений легких колеблется от 8 до 77%. Выделяют паренхиматозные поражения, к которым относят лейкозную инфильтрацию интерстиция, и непаренхиматозные поражения, то есть инфильтрацию бронхов, сосудов и плевры, внутрисосудистые скопления лейкозных клеток (лейкостазы). Развитие ОДН до начала химиотерапии, а также наличие большого количества бластных клеток в крови косвенно свидетельствует о диффузной лейкозной инфильтрации легких. Так, на аутопсии при остром миелобластном лейкозе, когда число лейкоцитов больше 100х10</w:t>
      </w:r>
      <w:r w:rsidRPr="0080004F">
        <w:rPr>
          <w:szCs w:val="24"/>
          <w:vertAlign w:val="superscript"/>
        </w:rPr>
        <w:t>9</w:t>
      </w:r>
      <w:r w:rsidRPr="0080004F">
        <w:rPr>
          <w:szCs w:val="24"/>
        </w:rPr>
        <w:t xml:space="preserve">/л, лейкостазы в легких выявляются в 35% случаев. При миеломной болезни в легких нередко обнаруживаются плазмоклеточная и лимфоидная инфильтрация интерстициальной ткани, скопление парапротеина, отложение амилоида в альвеолах и межальвеолярных перегородках, кальцификация легких, выпот в плевральных полостях. При поражении легких лимфомой в легочной ткани может быть найдена клональная </w:t>
      </w:r>
      <w:r w:rsidRPr="0080004F">
        <w:rPr>
          <w:szCs w:val="24"/>
          <w:lang w:val="en-US"/>
        </w:rPr>
        <w:t>B</w:t>
      </w:r>
      <w:r w:rsidRPr="0080004F">
        <w:rPr>
          <w:szCs w:val="24"/>
        </w:rPr>
        <w:t>-клеточная пролиферация.</w:t>
      </w:r>
    </w:p>
    <w:p w14:paraId="4DA32877" w14:textId="77777777" w:rsidR="00987CCD" w:rsidRPr="0080004F" w:rsidRDefault="00987CCD" w:rsidP="0080004F">
      <w:pPr>
        <w:rPr>
          <w:szCs w:val="24"/>
        </w:rPr>
      </w:pPr>
      <w:r w:rsidRPr="0080004F">
        <w:rPr>
          <w:b/>
          <w:bCs/>
          <w:szCs w:val="24"/>
        </w:rPr>
        <w:t xml:space="preserve">Массивный клеточный цитолиз </w:t>
      </w:r>
      <w:r w:rsidRPr="0080004F">
        <w:rPr>
          <w:szCs w:val="24"/>
        </w:rPr>
        <w:t>является причиной ОДН у больных с гемобластозами в 4,4% случаев. Цитолитический синдром развивается вследствие быстрого массивного распада опухолевых клеток под действием химиотерапии. При описании этого синдрома основное внимание уделяется острой почечной недостаточности, гиперкалиемии и гиперурикемии, меньше известно о поражении легких, в то время, как при распаде опухолевых клеток выделяется большое количество биологически активных веществ, повышающих проницаемость мембран капилляров в легочной ткани.</w:t>
      </w:r>
    </w:p>
    <w:p w14:paraId="07543636" w14:textId="77777777" w:rsidR="00987CCD" w:rsidRPr="0080004F" w:rsidRDefault="00987CCD" w:rsidP="0080004F">
      <w:pPr>
        <w:rPr>
          <w:szCs w:val="24"/>
        </w:rPr>
      </w:pPr>
      <w:r w:rsidRPr="0080004F">
        <w:rPr>
          <w:b/>
          <w:bCs/>
          <w:szCs w:val="24"/>
        </w:rPr>
        <w:t xml:space="preserve">Ретиноидный синдром </w:t>
      </w:r>
      <w:r w:rsidRPr="0080004F">
        <w:rPr>
          <w:szCs w:val="24"/>
        </w:rPr>
        <w:t>возникает при лечении полностью трансретиноевой кислотой (третиноин) острого промиелоцитарного лейкоза. Ретиноидный синдром регистрируется у 6% больных с гемобластозами и ОДН. Частота этого синдрома среди больных, получающих третиноин, колеблется от 13 до 68%. Он возникает спустя 2—47 дней после начала терапии. При гистологическом исследовании легких у больных, умерших от ретиноидного синдрома, выявляют внутриальвеолярные миелоидные инфильтраты, отек, экcсудацию фибрина, легочный капиллярит, диффузные альвеолярные кровоизлияния.</w:t>
      </w:r>
    </w:p>
    <w:p w14:paraId="44B070A9" w14:textId="77777777" w:rsidR="00987CCD" w:rsidRPr="0080004F" w:rsidRDefault="00987CCD" w:rsidP="0080004F">
      <w:pPr>
        <w:rPr>
          <w:szCs w:val="24"/>
        </w:rPr>
      </w:pPr>
      <w:r w:rsidRPr="0080004F">
        <w:rPr>
          <w:bCs/>
          <w:szCs w:val="24"/>
        </w:rPr>
        <w:t>На</w:t>
      </w:r>
      <w:r w:rsidRPr="0080004F">
        <w:rPr>
          <w:b/>
          <w:bCs/>
          <w:szCs w:val="24"/>
        </w:rPr>
        <w:t xml:space="preserve"> неинфекционные поражения легких после трансплантации гемопоэтических стволовых клеток </w:t>
      </w:r>
      <w:r w:rsidRPr="0080004F">
        <w:rPr>
          <w:bCs/>
          <w:szCs w:val="24"/>
        </w:rPr>
        <w:t xml:space="preserve">в структуре ОДН приходится </w:t>
      </w:r>
      <w:r w:rsidRPr="0080004F">
        <w:rPr>
          <w:szCs w:val="24"/>
        </w:rPr>
        <w:t xml:space="preserve">2%. К ним относят интерстициальный легочный фиброз, облитерирующий бронхиолит, легочную форму веноокклюзионной болезни, альвеолярные кровоизлияния, синдром повышенной проницаемости капилляров. У гематологических пациентов, перенесших ТГСК, факторами риска поражений легких являются: 1) аллогенная трансплантация, при которой легочные осложнения возникают в 24% случаев; 2) реакция «трансплантат против хозяина»; 3) назначение циклоспорина и метотрексата для профилактики «вторичной болезни», при которой ОДН возникает чаще, чем у больных, у которых с этой целью удаляли из трансплантата </w:t>
      </w:r>
      <w:r w:rsidRPr="0080004F">
        <w:rPr>
          <w:szCs w:val="24"/>
          <w:lang w:val="en-US"/>
        </w:rPr>
        <w:t>T</w:t>
      </w:r>
      <w:r w:rsidRPr="0080004F">
        <w:rPr>
          <w:szCs w:val="24"/>
        </w:rPr>
        <w:t>-лимфоциты; 4) сниженный до трансплантации более чем на 80% объем форсированного выдоха за 1-ю секунду.</w:t>
      </w:r>
    </w:p>
    <w:p w14:paraId="3FDEE254" w14:textId="77777777" w:rsidR="00987CCD" w:rsidRPr="0080004F" w:rsidRDefault="00987CCD" w:rsidP="0080004F">
      <w:pPr>
        <w:rPr>
          <w:szCs w:val="24"/>
        </w:rPr>
      </w:pPr>
      <w:r w:rsidRPr="0080004F">
        <w:rPr>
          <w:szCs w:val="24"/>
        </w:rPr>
        <w:t>Выделяется ряд отличительных черт паренхиматозной ОДН при гематологических заболеваниях:</w:t>
      </w:r>
    </w:p>
    <w:p w14:paraId="649D8FAC" w14:textId="77777777" w:rsidR="00987CCD" w:rsidRPr="0080004F" w:rsidRDefault="00987CCD" w:rsidP="0080004F">
      <w:pPr>
        <w:pStyle w:val="Numlist"/>
        <w:numPr>
          <w:ilvl w:val="0"/>
          <w:numId w:val="85"/>
        </w:numPr>
        <w:autoSpaceDE w:val="0"/>
        <w:autoSpaceDN w:val="0"/>
        <w:adjustRightInd w:val="0"/>
        <w:spacing w:line="360" w:lineRule="auto"/>
        <w:jc w:val="both"/>
      </w:pPr>
      <w:r w:rsidRPr="0080004F">
        <w:rPr>
          <w:u w:val="single"/>
        </w:rPr>
        <w:t>Полиэтиологичность.</w:t>
      </w:r>
      <w:r w:rsidRPr="0080004F">
        <w:t xml:space="preserve"> </w:t>
      </w:r>
    </w:p>
    <w:p w14:paraId="0B9DAD8D" w14:textId="77777777" w:rsidR="00987CCD" w:rsidRPr="0080004F" w:rsidRDefault="00987CCD" w:rsidP="0080004F">
      <w:pPr>
        <w:pStyle w:val="Numlist"/>
        <w:spacing w:line="360" w:lineRule="auto"/>
        <w:jc w:val="both"/>
      </w:pPr>
      <w:r w:rsidRPr="0080004F">
        <w:t>Причинами ОДН могут быть поражения легких как инфекционного, так и неинфекционного генеза. Более чем у 50% гематологических пациентов поражения легких, приводящие к ОДН, обусловлены сразу несколькими причинами. Выделение той или иной этиологии поражения легких нередко носит условный характер.</w:t>
      </w:r>
    </w:p>
    <w:p w14:paraId="3B17BB90" w14:textId="77777777" w:rsidR="00987CCD" w:rsidRPr="0080004F" w:rsidRDefault="00987CCD" w:rsidP="0080004F">
      <w:pPr>
        <w:pStyle w:val="Numlist"/>
        <w:numPr>
          <w:ilvl w:val="0"/>
          <w:numId w:val="85"/>
        </w:numPr>
        <w:autoSpaceDE w:val="0"/>
        <w:autoSpaceDN w:val="0"/>
        <w:adjustRightInd w:val="0"/>
        <w:spacing w:line="360" w:lineRule="auto"/>
        <w:jc w:val="both"/>
      </w:pPr>
      <w:r w:rsidRPr="0080004F">
        <w:rPr>
          <w:u w:val="single"/>
        </w:rPr>
        <w:t>Однообразие и гетерогенность клинических проявлений.</w:t>
      </w:r>
      <w:r w:rsidRPr="0080004F">
        <w:t xml:space="preserve"> </w:t>
      </w:r>
    </w:p>
    <w:p w14:paraId="188345C7" w14:textId="77777777" w:rsidR="00987CCD" w:rsidRPr="0080004F" w:rsidRDefault="00987CCD" w:rsidP="0080004F">
      <w:pPr>
        <w:pStyle w:val="Numlist"/>
        <w:spacing w:line="360" w:lineRule="auto"/>
        <w:jc w:val="both"/>
      </w:pPr>
      <w:r w:rsidRPr="0080004F">
        <w:t>В основе поражений легких лежат различные патологические процессы, зачастую при этом имеющие внешне схожие проявления. С другой стороны, поражения легких, вызванные одной и той же причиной, у гематологических пациентов с различной степенью и формой иммуносупрессии могут протекать по-разному.</w:t>
      </w:r>
    </w:p>
    <w:p w14:paraId="7F189B30" w14:textId="77777777" w:rsidR="00987CCD" w:rsidRPr="0080004F" w:rsidRDefault="00987CCD" w:rsidP="0080004F">
      <w:pPr>
        <w:pStyle w:val="Numlist"/>
        <w:numPr>
          <w:ilvl w:val="0"/>
          <w:numId w:val="85"/>
        </w:numPr>
        <w:autoSpaceDE w:val="0"/>
        <w:autoSpaceDN w:val="0"/>
        <w:adjustRightInd w:val="0"/>
        <w:spacing w:line="360" w:lineRule="auto"/>
        <w:jc w:val="both"/>
      </w:pPr>
      <w:r w:rsidRPr="0080004F">
        <w:rPr>
          <w:u w:val="single"/>
        </w:rPr>
        <w:t>Тяжесть состояния</w:t>
      </w:r>
      <w:r w:rsidRPr="0080004F">
        <w:t xml:space="preserve">. </w:t>
      </w:r>
    </w:p>
    <w:p w14:paraId="6E066D9B" w14:textId="77777777" w:rsidR="00987CCD" w:rsidRPr="0080004F" w:rsidRDefault="00987CCD" w:rsidP="0080004F">
      <w:pPr>
        <w:pStyle w:val="Numlist"/>
        <w:spacing w:line="360" w:lineRule="auto"/>
        <w:jc w:val="both"/>
      </w:pPr>
      <w:r w:rsidRPr="0080004F">
        <w:t>Легочная патология при гематологических заболеваниях протекает тяжело – средняя сумма баллов по шкале АРАСНЕ II у этой категории пациентов при ОДН равна 23, а на основании отношения парциального давления кислорода в артериальной крови к фракции вдыхаемого кислорода (</w:t>
      </w:r>
      <w:r w:rsidRPr="0080004F">
        <w:rPr>
          <w:lang w:val="en-US"/>
        </w:rPr>
        <w:t>P</w:t>
      </w:r>
      <w:r w:rsidRPr="0080004F">
        <w:rPr>
          <w:vertAlign w:val="subscript"/>
          <w:lang w:val="en-US"/>
        </w:rPr>
        <w:t>a</w:t>
      </w:r>
      <w:r w:rsidRPr="0080004F">
        <w:rPr>
          <w:lang w:val="en-US"/>
        </w:rPr>
        <w:t>O</w:t>
      </w:r>
      <w:r w:rsidRPr="0080004F">
        <w:rPr>
          <w:vertAlign w:val="subscript"/>
        </w:rPr>
        <w:t>2</w:t>
      </w:r>
      <w:r w:rsidRPr="0080004F">
        <w:t>/F</w:t>
      </w:r>
      <w:r w:rsidRPr="0080004F">
        <w:rPr>
          <w:vertAlign w:val="subscript"/>
        </w:rPr>
        <w:t>I</w:t>
      </w:r>
      <w:r w:rsidRPr="0080004F">
        <w:rPr>
          <w:lang w:val="en-US"/>
        </w:rPr>
        <w:t>O</w:t>
      </w:r>
      <w:r w:rsidRPr="0080004F">
        <w:rPr>
          <w:vertAlign w:val="subscript"/>
        </w:rPr>
        <w:t>2</w:t>
      </w:r>
      <w:r w:rsidRPr="0080004F">
        <w:t>) большинству из этих больных можно поставить диагноз острого респираторного дистресс-синдрома.</w:t>
      </w:r>
    </w:p>
    <w:p w14:paraId="07A7C62D" w14:textId="77777777" w:rsidR="00987CCD" w:rsidRPr="0080004F" w:rsidRDefault="00987CCD" w:rsidP="0080004F">
      <w:pPr>
        <w:pStyle w:val="Numlist"/>
        <w:numPr>
          <w:ilvl w:val="0"/>
          <w:numId w:val="85"/>
        </w:numPr>
        <w:autoSpaceDE w:val="0"/>
        <w:autoSpaceDN w:val="0"/>
        <w:adjustRightInd w:val="0"/>
        <w:spacing w:line="360" w:lineRule="auto"/>
        <w:jc w:val="both"/>
      </w:pPr>
      <w:r w:rsidRPr="0080004F">
        <w:rPr>
          <w:u w:val="single"/>
        </w:rPr>
        <w:t xml:space="preserve">Частое сочетание легочной патологии с поражениями других органов и систем. </w:t>
      </w:r>
    </w:p>
    <w:p w14:paraId="4A6A715B" w14:textId="77777777" w:rsidR="00987CCD" w:rsidRPr="0080004F" w:rsidRDefault="00987CCD" w:rsidP="0080004F">
      <w:pPr>
        <w:pStyle w:val="Numlist"/>
        <w:spacing w:line="360" w:lineRule="auto"/>
        <w:jc w:val="both"/>
      </w:pPr>
      <w:r w:rsidRPr="0080004F">
        <w:t>Острая почечная недостаточность выявляется при ОДН у 42,5% гематологических пациентов, печеночная дисфункция — у 35%, левожелудочковая недостаточность — у 25%, нарушения сознания — у 25%.</w:t>
      </w:r>
    </w:p>
    <w:p w14:paraId="708B950F" w14:textId="77777777" w:rsidR="00987CCD" w:rsidRPr="0080004F" w:rsidRDefault="00987CCD" w:rsidP="0080004F">
      <w:pPr>
        <w:pStyle w:val="Numlist"/>
        <w:numPr>
          <w:ilvl w:val="0"/>
          <w:numId w:val="85"/>
        </w:numPr>
        <w:autoSpaceDE w:val="0"/>
        <w:autoSpaceDN w:val="0"/>
        <w:adjustRightInd w:val="0"/>
        <w:spacing w:line="360" w:lineRule="auto"/>
        <w:jc w:val="both"/>
      </w:pPr>
      <w:r w:rsidRPr="0080004F">
        <w:rPr>
          <w:u w:val="single"/>
        </w:rPr>
        <w:t>Скоротечность.</w:t>
      </w:r>
      <w:r w:rsidRPr="0080004F">
        <w:t xml:space="preserve"> </w:t>
      </w:r>
    </w:p>
    <w:p w14:paraId="35E25AF5" w14:textId="77777777" w:rsidR="00987CCD" w:rsidRPr="0080004F" w:rsidRDefault="00987CCD" w:rsidP="0080004F">
      <w:pPr>
        <w:pStyle w:val="Numlist"/>
        <w:spacing w:line="360" w:lineRule="auto"/>
        <w:ind w:firstLine="709"/>
        <w:jc w:val="both"/>
      </w:pPr>
      <w:r w:rsidRPr="0080004F">
        <w:t>От первых симптомов поражения легких до возникновения ОДН, требующей ИВЛ, проходит от нескольких часов до нескольких дней. При неблагоприятном исходе пациенты погибают в течение первой недели. Вследствие быстроты, с которое развивается легочная патология, необходимо обследовать гематологических пациентов в сжатые сроки, чтобы успеть начать эффективную этиотропную терапию.</w:t>
      </w:r>
    </w:p>
    <w:p w14:paraId="47C8423E" w14:textId="77777777" w:rsidR="00987CCD" w:rsidRPr="0080004F" w:rsidRDefault="00987CCD" w:rsidP="0080004F">
      <w:pPr>
        <w:rPr>
          <w:b/>
          <w:bCs/>
          <w:szCs w:val="24"/>
        </w:rPr>
      </w:pPr>
      <w:r w:rsidRPr="0080004F">
        <w:rPr>
          <w:b/>
          <w:bCs/>
          <w:szCs w:val="24"/>
        </w:rPr>
        <w:t xml:space="preserve">Обследование гематологических пациентов с поражениями легких </w:t>
      </w:r>
    </w:p>
    <w:p w14:paraId="68A22B2C" w14:textId="77777777" w:rsidR="00987CCD" w:rsidRPr="0080004F" w:rsidRDefault="00987CCD" w:rsidP="0080004F">
      <w:pPr>
        <w:rPr>
          <w:b/>
          <w:bCs/>
          <w:szCs w:val="24"/>
        </w:rPr>
      </w:pPr>
      <w:r w:rsidRPr="0080004F">
        <w:rPr>
          <w:b/>
          <w:bCs/>
          <w:szCs w:val="24"/>
        </w:rPr>
        <w:t>Клиническая картина</w:t>
      </w:r>
    </w:p>
    <w:p w14:paraId="305F3158" w14:textId="77777777" w:rsidR="00987CCD" w:rsidRPr="0080004F" w:rsidRDefault="00987CCD" w:rsidP="0080004F">
      <w:pPr>
        <w:rPr>
          <w:szCs w:val="24"/>
        </w:rPr>
      </w:pPr>
      <w:r w:rsidRPr="0080004F">
        <w:rPr>
          <w:bCs/>
          <w:szCs w:val="24"/>
        </w:rPr>
        <w:t xml:space="preserve">Жалобы </w:t>
      </w:r>
      <w:r w:rsidRPr="0080004F">
        <w:rPr>
          <w:szCs w:val="24"/>
        </w:rPr>
        <w:t>пациента, часто даже при выраженном поражении легких, скудные. Нередко первыми симптомами являются высокая лихорадка и одышка. Кашель может быть с мокротой, но чаще он сухой. При вовлечении в процесс плевры могут беспокоить боли при дыхании.</w:t>
      </w:r>
    </w:p>
    <w:p w14:paraId="4EF4C832" w14:textId="77777777" w:rsidR="00987CCD" w:rsidRPr="0080004F" w:rsidRDefault="00987CCD" w:rsidP="0080004F">
      <w:pPr>
        <w:rPr>
          <w:b/>
          <w:szCs w:val="24"/>
        </w:rPr>
      </w:pPr>
      <w:r w:rsidRPr="0080004F">
        <w:rPr>
          <w:b/>
          <w:szCs w:val="24"/>
        </w:rPr>
        <w:t>Данные анамнеза:</w:t>
      </w:r>
    </w:p>
    <w:p w14:paraId="1FB10E18" w14:textId="77777777" w:rsidR="00987CCD" w:rsidRPr="0080004F" w:rsidRDefault="00987CCD" w:rsidP="0080004F">
      <w:pPr>
        <w:rPr>
          <w:szCs w:val="24"/>
        </w:rPr>
      </w:pPr>
      <w:r w:rsidRPr="0080004F">
        <w:rPr>
          <w:szCs w:val="24"/>
        </w:rPr>
        <w:t xml:space="preserve">Легочная патология, возникшая в дебюте или при рецидиве гемобластоза, когда обнаруживаются гиперлейкоцитоз и большое число бластных клеток в периферической крови, может быть следствием поражения легких </w:t>
      </w:r>
      <w:r w:rsidRPr="0080004F">
        <w:rPr>
          <w:bCs/>
          <w:szCs w:val="24"/>
        </w:rPr>
        <w:t>опухолевыми клетками</w:t>
      </w:r>
      <w:r w:rsidRPr="0080004F">
        <w:rPr>
          <w:szCs w:val="24"/>
        </w:rPr>
        <w:t xml:space="preserve">. </w:t>
      </w:r>
    </w:p>
    <w:p w14:paraId="66765FB8" w14:textId="77777777" w:rsidR="00987CCD" w:rsidRPr="0080004F" w:rsidRDefault="00987CCD" w:rsidP="0080004F">
      <w:pPr>
        <w:rPr>
          <w:szCs w:val="24"/>
        </w:rPr>
      </w:pPr>
      <w:r w:rsidRPr="0080004F">
        <w:rPr>
          <w:szCs w:val="24"/>
        </w:rPr>
        <w:t xml:space="preserve">При длительной иммуносупрессивной терапии препаратами, подавляющими </w:t>
      </w:r>
      <w:r w:rsidRPr="0080004F">
        <w:rPr>
          <w:szCs w:val="24"/>
          <w:lang w:val="en-US"/>
        </w:rPr>
        <w:t>T</w:t>
      </w:r>
      <w:r w:rsidRPr="0080004F">
        <w:rPr>
          <w:szCs w:val="24"/>
        </w:rPr>
        <w:t>-клеточный иммунитет (</w:t>
      </w:r>
      <w:r w:rsidRPr="0080004F">
        <w:rPr>
          <w:bCs/>
          <w:szCs w:val="24"/>
        </w:rPr>
        <w:t>циклоспорин.</w:t>
      </w:r>
      <w:r w:rsidRPr="0080004F">
        <w:rPr>
          <w:szCs w:val="24"/>
        </w:rPr>
        <w:t xml:space="preserve"> глюкокортикоиды, флударабин и т. д.), велик риск цитомегаловирусной и/или пневмоцистной пневмонии. </w:t>
      </w:r>
    </w:p>
    <w:p w14:paraId="66430E1A" w14:textId="77777777" w:rsidR="00987CCD" w:rsidRPr="0080004F" w:rsidRDefault="00987CCD" w:rsidP="0080004F">
      <w:pPr>
        <w:rPr>
          <w:szCs w:val="24"/>
        </w:rPr>
      </w:pPr>
      <w:r w:rsidRPr="0080004F">
        <w:rPr>
          <w:szCs w:val="24"/>
        </w:rPr>
        <w:t xml:space="preserve">При поражении легких в период миелотоксического агранулоцитоза велика вероятность бактериальной и/или грибковой пневмонии. </w:t>
      </w:r>
    </w:p>
    <w:p w14:paraId="3580E9BE" w14:textId="77777777" w:rsidR="00987CCD" w:rsidRPr="0080004F" w:rsidRDefault="00987CCD" w:rsidP="0080004F">
      <w:pPr>
        <w:rPr>
          <w:szCs w:val="24"/>
        </w:rPr>
      </w:pPr>
      <w:r w:rsidRPr="0080004F">
        <w:rPr>
          <w:szCs w:val="24"/>
        </w:rPr>
        <w:t>Если изменения в легких возникают или прогрессируют, несмотря на лечение антибиотиками, то следует исключить инвазию легочной ткани грибами.</w:t>
      </w:r>
    </w:p>
    <w:p w14:paraId="2D93DFE3" w14:textId="77777777" w:rsidR="00987CCD" w:rsidRPr="0080004F" w:rsidRDefault="00987CCD" w:rsidP="0080004F">
      <w:pPr>
        <w:rPr>
          <w:szCs w:val="24"/>
        </w:rPr>
      </w:pPr>
      <w:r w:rsidRPr="0080004F">
        <w:rPr>
          <w:szCs w:val="24"/>
        </w:rPr>
        <w:t>Вариант заболевания системы крови позволяет отнести гематологического пациента с ОДН к группе риска по тем или иным факторам. Бактериальная пневмония одинаково часто встречается у пациентов с различными гематологическими заболеваниями, однако причиной ОДН она чаще всего служит у пациентов с острыми лейкозами. При хроническом лимфолейкозе пневмоцистная пневмония встречается чаще, чем при остром лейкозе, а у пациентов с лимфомами преобладает вирусная пневмония, которая у них выявляется чаще, чем поражение легких опухолевыми клетками.</w:t>
      </w:r>
    </w:p>
    <w:p w14:paraId="1D00D458" w14:textId="77777777" w:rsidR="00987CCD" w:rsidRPr="0080004F" w:rsidRDefault="00987CCD" w:rsidP="0080004F">
      <w:pPr>
        <w:rPr>
          <w:szCs w:val="24"/>
        </w:rPr>
      </w:pPr>
      <w:r w:rsidRPr="0080004F">
        <w:rPr>
          <w:szCs w:val="24"/>
        </w:rPr>
        <w:t>Возникновение легочной патологии нередко связано с предшествующим лечением. Срок от окончания химиотерапии до развития ОДН при бактериальных пневмониях значительно меньше, чем при пневмоцистных и вирусных пневмониях.</w:t>
      </w:r>
    </w:p>
    <w:p w14:paraId="43DEF562" w14:textId="77777777" w:rsidR="00987CCD" w:rsidRPr="0080004F" w:rsidRDefault="00987CCD" w:rsidP="0080004F">
      <w:pPr>
        <w:rPr>
          <w:szCs w:val="24"/>
        </w:rPr>
      </w:pPr>
      <w:r w:rsidRPr="0080004F">
        <w:rPr>
          <w:bCs/>
          <w:szCs w:val="24"/>
        </w:rPr>
        <w:t>Наличие миелотоксического агранулоцитоза</w:t>
      </w:r>
      <w:r w:rsidRPr="0080004F">
        <w:rPr>
          <w:b/>
          <w:bCs/>
          <w:szCs w:val="24"/>
        </w:rPr>
        <w:t xml:space="preserve"> </w:t>
      </w:r>
      <w:r w:rsidRPr="0080004F">
        <w:rPr>
          <w:szCs w:val="24"/>
        </w:rPr>
        <w:t>является решающим фактором, влияющим на возникновение легочной патологии. У пациентов с агранулоцитозом бактериальные и грибковые пневмонии встречаются значительно чаще, чем вирусные и пневмоцистные пневмонии или опухолевое поражение легких.</w:t>
      </w:r>
    </w:p>
    <w:p w14:paraId="5B787A08" w14:textId="77777777" w:rsidR="00987CCD" w:rsidRPr="0080004F" w:rsidRDefault="00987CCD" w:rsidP="0080004F">
      <w:pPr>
        <w:rPr>
          <w:b/>
          <w:bCs/>
          <w:szCs w:val="24"/>
        </w:rPr>
      </w:pPr>
      <w:r w:rsidRPr="0080004F">
        <w:rPr>
          <w:b/>
          <w:bCs/>
          <w:szCs w:val="24"/>
        </w:rPr>
        <w:t>Лабораторные исследования</w:t>
      </w:r>
    </w:p>
    <w:p w14:paraId="37EE5F0C" w14:textId="77777777" w:rsidR="00987CCD" w:rsidRPr="0080004F" w:rsidRDefault="00987CCD" w:rsidP="0080004F">
      <w:pPr>
        <w:pStyle w:val="afe"/>
        <w:numPr>
          <w:ilvl w:val="0"/>
          <w:numId w:val="86"/>
        </w:numPr>
        <w:rPr>
          <w:szCs w:val="24"/>
        </w:rPr>
      </w:pPr>
      <w:r w:rsidRPr="0080004F">
        <w:rPr>
          <w:szCs w:val="24"/>
        </w:rPr>
        <w:t>Рутинные общетерапевтические исследования – клинический анализ крови, биохимический анализ крови (мочевина, креатинин, билирубин (в том числе по фракциям), мочевая кислота, панкреатическая аимлаза, амилаза, липаза, альбумин, АЛТ/АСТ, КФК/КФК-МВ, глюкоза, калий, натрий, кальций ионизированный, хлор, другие параметры по показаниям), коагулограмма</w:t>
      </w:r>
      <w:r w:rsidRPr="0080004F">
        <w:rPr>
          <w:color w:val="FF0000"/>
          <w:szCs w:val="24"/>
        </w:rPr>
        <w:t xml:space="preserve"> </w:t>
      </w:r>
      <w:r w:rsidRPr="0080004F">
        <w:rPr>
          <w:szCs w:val="24"/>
        </w:rPr>
        <w:t xml:space="preserve">(АЧТВ, протромбин по Квику, тромбиновое время, фибриноген, антитромбин </w:t>
      </w:r>
      <w:r w:rsidRPr="0080004F">
        <w:rPr>
          <w:szCs w:val="24"/>
          <w:lang w:val="en-US"/>
        </w:rPr>
        <w:t>III</w:t>
      </w:r>
      <w:r w:rsidRPr="0080004F">
        <w:rPr>
          <w:szCs w:val="24"/>
        </w:rPr>
        <w:t>, другие параметры по показаниям);</w:t>
      </w:r>
    </w:p>
    <w:p w14:paraId="4EC1168A" w14:textId="77777777" w:rsidR="00987CCD" w:rsidRPr="0080004F" w:rsidRDefault="00987CCD" w:rsidP="0080004F">
      <w:pPr>
        <w:pStyle w:val="afe"/>
        <w:numPr>
          <w:ilvl w:val="0"/>
          <w:numId w:val="86"/>
        </w:numPr>
        <w:rPr>
          <w:szCs w:val="24"/>
        </w:rPr>
      </w:pPr>
      <w:r w:rsidRPr="0080004F">
        <w:rPr>
          <w:szCs w:val="24"/>
        </w:rPr>
        <w:t xml:space="preserve">Исследование газов артериальной крови – обязательно при обследовании пациента с подозрением на ОДН. </w:t>
      </w:r>
    </w:p>
    <w:p w14:paraId="608A9B66" w14:textId="77777777" w:rsidR="00987CCD" w:rsidRPr="0080004F" w:rsidRDefault="00987CCD" w:rsidP="0080004F">
      <w:pPr>
        <w:rPr>
          <w:b/>
          <w:bCs/>
          <w:szCs w:val="24"/>
        </w:rPr>
      </w:pPr>
      <w:r w:rsidRPr="0080004F">
        <w:rPr>
          <w:b/>
          <w:bCs/>
          <w:szCs w:val="24"/>
        </w:rPr>
        <w:t>Инструментальные исследования</w:t>
      </w:r>
    </w:p>
    <w:p w14:paraId="40788E24" w14:textId="77777777" w:rsidR="00987CCD" w:rsidRPr="0080004F" w:rsidRDefault="00987CCD" w:rsidP="0080004F">
      <w:pPr>
        <w:pStyle w:val="afe"/>
        <w:numPr>
          <w:ilvl w:val="0"/>
          <w:numId w:val="86"/>
        </w:numPr>
        <w:rPr>
          <w:szCs w:val="24"/>
        </w:rPr>
      </w:pPr>
      <w:r w:rsidRPr="0080004F">
        <w:rPr>
          <w:szCs w:val="24"/>
        </w:rPr>
        <w:t>Исследование показателей легочной вентиляции и резервов дыхания – позволяет оценить функциональную способность легких. Большое значение исследование функции внешнего дыхания имеет в диагностике облитерирующего бронхиолита, при котором на ранних стадиях выявляется уменьшение форсированного экспираторного потока, а позже — объема форсированного выдоха за 1-ю секунду и форсированной жизненной емкости легких.</w:t>
      </w:r>
    </w:p>
    <w:p w14:paraId="6BF1DF1B" w14:textId="77777777" w:rsidR="00987CCD" w:rsidRPr="0080004F" w:rsidRDefault="00987CCD" w:rsidP="0080004F">
      <w:pPr>
        <w:pStyle w:val="afe"/>
        <w:numPr>
          <w:ilvl w:val="0"/>
          <w:numId w:val="86"/>
        </w:numPr>
        <w:rPr>
          <w:szCs w:val="24"/>
        </w:rPr>
      </w:pPr>
      <w:r w:rsidRPr="0080004F">
        <w:rPr>
          <w:szCs w:val="24"/>
        </w:rPr>
        <w:t>Радиологическое исследование легких – в первую очередь, СКТ, поскольку рентгенологическое исследование легких, выполняемое в условиях ОРИТ на портативных рентгеновских установках, малоинформативно и не имеет существенного диагностического значения у иммунокомпрометированных гематологических пациентов. Небольшая мощность излучения портативного аппарата приводит к тому, что для снимка требуется большее время экспозиции, а пациенты с ОДН не могут надолго задержать дыхание, поэтому высок риск артефактов, связанных с дыханием. Короткое фокусное расстояние может приводить к эффекту увеличения теней на снимках, в частности сердечной тени. При использовании портативной рентгеновской установки для повторных снимков обычно не удается воспроизвести условия съемки, поэтому рентгенограммы трудно сопоставлять между собой. С помощью рентгеновских снимков можно лишь исключить экстрапульмональные причины ОДН (пневмоторакс, пневмомедиастинум, гидроторакс и т. д.) и провести первичную оценку состояния легочной ткани, поскольку у пациентов с агранулоцитозом пневмония протекает без нейтрофильной инфильтрации легочной ткани, и при лейкопении в первые дни развития пневмонии не обнаруживаются рентгенологические изменения в легких. Сложности в диагностике легочного поражения возникают не только при агранулоцитозе, но и при гиперлейкоцитозе – в ряде случаев у пациентов с гемобластозами, протекающими с гиперлейкоцитозом и лейкостазами, даже при развитии ОДН на рентгенограмме легких не находят изменений. Скудные рентгенографические изменения выявляются и при грибковых, вирусных и пневмоцистных пневмониях. При сравнении рентгенологического заключения с данными аутопсии при лейкемических повреждениях легких полное совпадение диагнозов обнаружено лишь в 3% случаев, частичное — в 60%, расхождение — в 38% случаев. Поэтому основным методом диагностики легочного поражения у гематологических пациентов является СКТ легких, при которой значимо чаще, чем при рентгенографии, обнаруживаются усиление и деформация легочного рисунка, выпот в плевральной полости, отек легочной ткани, перивазальные и перибронхиальные инфильтраты, утолщение и инфильтрация плевры, буллезные изменения легких. Проводить СКТ рекомендуется всем гематологическим пациентам с поражениями легких, но в обязательном порядке она показана при несоответствии между клиническими проявлениями и рентгенологическими изменениями в легких, при подозрении на полостные образования, при сохраняющемся легочном поражении, несмотря на проводимую терапию.</w:t>
      </w:r>
    </w:p>
    <w:p w14:paraId="3908FB75" w14:textId="77777777" w:rsidR="00987CCD" w:rsidRPr="0080004F" w:rsidRDefault="00987CCD" w:rsidP="0080004F">
      <w:pPr>
        <w:pStyle w:val="afe"/>
        <w:numPr>
          <w:ilvl w:val="0"/>
          <w:numId w:val="86"/>
        </w:numPr>
        <w:rPr>
          <w:szCs w:val="24"/>
        </w:rPr>
      </w:pPr>
      <w:r w:rsidRPr="0080004F">
        <w:rPr>
          <w:szCs w:val="24"/>
        </w:rPr>
        <w:t xml:space="preserve">При подозрении на ТЭЛА проводят СКТ с в/в контрастным усилением, позволяющим выявить тромб в ветвях легочной артерии. </w:t>
      </w:r>
      <w:bookmarkStart w:id="84" w:name="_Toc434240802"/>
    </w:p>
    <w:p w14:paraId="28A379AB" w14:textId="77777777" w:rsidR="00987CCD" w:rsidRPr="0080004F" w:rsidRDefault="00987CCD" w:rsidP="0080004F">
      <w:pPr>
        <w:pStyle w:val="afe"/>
        <w:numPr>
          <w:ilvl w:val="0"/>
          <w:numId w:val="86"/>
        </w:numPr>
        <w:rPr>
          <w:szCs w:val="24"/>
        </w:rPr>
      </w:pPr>
      <w:r w:rsidRPr="0080004F">
        <w:rPr>
          <w:szCs w:val="24"/>
        </w:rPr>
        <w:t xml:space="preserve">Ультразвуковая диагностика поражений легких и плевры </w:t>
      </w:r>
      <w:bookmarkEnd w:id="84"/>
      <w:r w:rsidRPr="0080004F">
        <w:rPr>
          <w:szCs w:val="24"/>
        </w:rPr>
        <w:t xml:space="preserve">– в последние годы в ОРИТ для выявления легочных поражений широкое применение находит ультразвуковое сканирование. Неинвазивность, быстрота выполнения, точность, доступность, мобильность, отсутствие необходимости в транспортировке больных позволяют рассматривать его как прикроватный метод диагностики. Много лет ультразвук не использовался для диагностики легочной патологии, поскольку считалось, что из-за содержащегося в них воздуха легкие не имеют акустического сопротивления. Однако при отеке легких, пневмонии, фиброзе легких содержание воздуха в легких снижается, происходит утолщение интралобулярных септ, которые находятся на поверхности висцеральной плевры, что создает акустическое сопротивление тканей легких, от них отражаются ультразвуковые волны, и на экране монитора формируется изображение. Для получения общей картины патологических изменений и визуализации глубоко расположенных объектов (например, ателектаз, долевая пневмония) применяют датчик с частотой 3—5 МГц. Для изучения поверхностных структур (плевра, мягкие ткани грудной стенки) применяют датчик с частотой 7—10 МГц. Для получения оптимального изображения объектов, находящихся в грудной полости на разной глубине, лучше иметь два разных по форме датчика с различным набором частот и, соответственно, функциональным предназначением. </w:t>
      </w:r>
      <w:bookmarkStart w:id="85" w:name="_Toc434240804"/>
    </w:p>
    <w:bookmarkEnd w:id="85"/>
    <w:p w14:paraId="227F5782" w14:textId="77777777" w:rsidR="00987CCD" w:rsidRPr="0080004F" w:rsidRDefault="00987CCD" w:rsidP="0080004F">
      <w:pPr>
        <w:pStyle w:val="afe"/>
        <w:numPr>
          <w:ilvl w:val="0"/>
          <w:numId w:val="86"/>
        </w:numPr>
        <w:rPr>
          <w:szCs w:val="24"/>
        </w:rPr>
      </w:pPr>
      <w:r w:rsidRPr="0080004F">
        <w:rPr>
          <w:szCs w:val="24"/>
        </w:rPr>
        <w:t xml:space="preserve">Микробиологическое исследование посевов со слизистой ротоглотки и прямой кишки – бактериологическое исследование мазков со слизистых оболочек ротоглотки и прямой кишки проводится на агаризованной среде Эндо для выявления грамотрицательных бактерий и на хромогенной селективной среде CHROMagarТМESBL (CHROMagar, Франция), предназначенной для прямого выделения энтеробактерий, вырабатывающих бета-лактамазы расширенного спектра действия. Между колонизацией слизистой ротоглотки бактериями и больничной пневмонией имеется взаимосвязь. Колонизация слизистой ротоглотки A. baumannii на 2 недели опережает появление этих микроорганизмов в жидкости БАЛ. P. aeruginosa выделяют со слизистой ротоглотки на 7 дней раньше, чем в жидкости БАЛ. </w:t>
      </w:r>
    </w:p>
    <w:p w14:paraId="0A4CED86" w14:textId="77777777" w:rsidR="00987CCD" w:rsidRPr="0080004F" w:rsidRDefault="00987CCD" w:rsidP="0080004F">
      <w:pPr>
        <w:pStyle w:val="afe"/>
        <w:numPr>
          <w:ilvl w:val="0"/>
          <w:numId w:val="86"/>
        </w:numPr>
        <w:rPr>
          <w:szCs w:val="24"/>
        </w:rPr>
      </w:pPr>
      <w:r w:rsidRPr="0080004F">
        <w:rPr>
          <w:szCs w:val="24"/>
        </w:rPr>
        <w:t>Исследование мокроты – исследование мокроты с целью верификации этиологии легочного поражения имеет низкую диагностическую ценность из-за возможной контаминации материала микрофлорой полости рта и вследствие особенностей воспалительного процесса в условиях нейтропении. Другой метод диагностики легочной инфекции — это исследование трахеального аспирата. Метод был предложен более 30 лет назад, однако вследствие частой бактериальной колонизации трахеобронхиального дерева получаемые с помощью трахеальной аспирации результаты часто не отражают истинной причины поражения легких. С помощью исследования трахеального аспирата нельзя выявить многие внутриклеточные микроорганизмы, такие как пневмоцисты, легионеллы.</w:t>
      </w:r>
    </w:p>
    <w:p w14:paraId="4440D23F" w14:textId="77777777" w:rsidR="00987CCD" w:rsidRPr="0080004F" w:rsidRDefault="00987CCD" w:rsidP="0080004F">
      <w:pPr>
        <w:pStyle w:val="afe"/>
        <w:numPr>
          <w:ilvl w:val="0"/>
          <w:numId w:val="86"/>
        </w:numPr>
        <w:rPr>
          <w:szCs w:val="24"/>
        </w:rPr>
      </w:pPr>
      <w:r w:rsidRPr="0080004F">
        <w:rPr>
          <w:szCs w:val="24"/>
        </w:rPr>
        <w:t>Фибробронхоскопия с БАЛ – является следующим этапом диагностики легочной патологии. Сроки проведения исследования зависят от клинической ситуации:</w:t>
      </w:r>
    </w:p>
    <w:p w14:paraId="05CE86F1" w14:textId="77777777" w:rsidR="00987CCD" w:rsidRPr="0080004F" w:rsidRDefault="00987CCD" w:rsidP="0080004F">
      <w:pPr>
        <w:pStyle w:val="afe"/>
        <w:numPr>
          <w:ilvl w:val="1"/>
          <w:numId w:val="86"/>
        </w:numPr>
        <w:rPr>
          <w:szCs w:val="24"/>
        </w:rPr>
      </w:pPr>
      <w:r w:rsidRPr="0080004F">
        <w:rPr>
          <w:szCs w:val="24"/>
        </w:rPr>
        <w:t>при очаговых поражениях легких, если антибиотики не назначались и легочный процесс не имеет скоротечного характера, может быть предпринята попытка лечения антибиотиками по результатам микробиологического исследования либо попытка эмпирической антибактериальной терапии в течение 2—7 дней (при прогрессировании заболевания эти сроки можно сократить);</w:t>
      </w:r>
    </w:p>
    <w:p w14:paraId="5F1B8D09" w14:textId="77777777" w:rsidR="00987CCD" w:rsidRPr="0080004F" w:rsidRDefault="00987CCD" w:rsidP="0080004F">
      <w:pPr>
        <w:pStyle w:val="afe"/>
        <w:numPr>
          <w:ilvl w:val="1"/>
          <w:numId w:val="86"/>
        </w:numPr>
        <w:rPr>
          <w:szCs w:val="24"/>
        </w:rPr>
      </w:pPr>
      <w:r w:rsidRPr="0080004F">
        <w:rPr>
          <w:szCs w:val="24"/>
        </w:rPr>
        <w:t>при ОДН БАЛ проводят сразу же, не теряя время на эмпирическую антибактериальную терапию.</w:t>
      </w:r>
    </w:p>
    <w:p w14:paraId="3EFE8908" w14:textId="77777777" w:rsidR="00987CCD" w:rsidRPr="0080004F" w:rsidRDefault="00987CCD" w:rsidP="0080004F">
      <w:pPr>
        <w:rPr>
          <w:szCs w:val="24"/>
        </w:rPr>
      </w:pPr>
      <w:r w:rsidRPr="0080004F">
        <w:rPr>
          <w:szCs w:val="24"/>
        </w:rPr>
        <w:t>Процедура БАЛ выполняется под контролем ЭКГ-мониторинга и пульс-оксиметрии. Обязательным условием во время бронхоскопии и проведения лаважа является S</w:t>
      </w:r>
      <w:r w:rsidRPr="0080004F">
        <w:rPr>
          <w:szCs w:val="24"/>
          <w:vertAlign w:val="subscript"/>
        </w:rPr>
        <w:t>a</w:t>
      </w:r>
      <w:r w:rsidRPr="0080004F">
        <w:rPr>
          <w:szCs w:val="24"/>
        </w:rPr>
        <w:t>O</w:t>
      </w:r>
      <w:r w:rsidRPr="0080004F">
        <w:rPr>
          <w:szCs w:val="24"/>
          <w:vertAlign w:val="subscript"/>
        </w:rPr>
        <w:t>2</w:t>
      </w:r>
      <w:r w:rsidRPr="0080004F">
        <w:rPr>
          <w:szCs w:val="24"/>
        </w:rPr>
        <w:t xml:space="preserve"> не ниже 90%. Бронхоскопия выполняется в условиях оксигенотерапии (ингаляция кислорода через носовые катетеры, с помощью маски Вентури либо маски с резервуаром, в которой вырезано боковое отверстие для бронхоскопа). Если не удается обеспечить достаточную оксигенацию крови, бронхоскопия выполняется в условиях неинвазивной вентиляции легких. Для анестезии верхних дыхательных путей применяют 10% раствор лидокаина в виде аэрозоля. При трансназальном введении бронхоскопа анестезию слизистой носа проводят аппликационно, установив в носовой ход турунду, смоченную растворами лидокаина и адреналина. У больных с тромбоцитопенией (число тромбоцитов &lt; 30 </w:t>
      </w:r>
      <w:r w:rsidRPr="0080004F">
        <w:rPr>
          <w:szCs w:val="24"/>
        </w:rPr>
        <w:t> 10</w:t>
      </w:r>
      <w:r w:rsidRPr="0080004F">
        <w:rPr>
          <w:szCs w:val="24"/>
          <w:vertAlign w:val="superscript"/>
        </w:rPr>
        <w:t>9</w:t>
      </w:r>
      <w:r w:rsidRPr="0080004F">
        <w:rPr>
          <w:szCs w:val="24"/>
        </w:rPr>
        <w:t> л</w:t>
      </w:r>
      <w:r w:rsidRPr="0080004F">
        <w:rPr>
          <w:szCs w:val="24"/>
          <w:vertAlign w:val="superscript"/>
        </w:rPr>
        <w:t>–1</w:t>
      </w:r>
      <w:r w:rsidRPr="0080004F">
        <w:rPr>
          <w:szCs w:val="24"/>
        </w:rPr>
        <w:t>), выраженной коагулопатией и кровоточивостью бронхоскоп проводят трансорально, поскольку трансназальное введение может осложниться носовым кровотечением.</w:t>
      </w:r>
    </w:p>
    <w:p w14:paraId="45DBCDED" w14:textId="77777777" w:rsidR="00987CCD" w:rsidRPr="0080004F" w:rsidRDefault="00987CCD" w:rsidP="0080004F">
      <w:pPr>
        <w:rPr>
          <w:szCs w:val="24"/>
        </w:rPr>
      </w:pPr>
      <w:r w:rsidRPr="0080004F">
        <w:rPr>
          <w:szCs w:val="24"/>
        </w:rPr>
        <w:t>Для локальной анестезии голосовых связок используют 10% раствор лидокаина, для анестезии бифуркации трахеи и шпор бронхов — 2% раствор лидокаина. Суммарная доза лидокаина за процедуру не должна превышать 600 мг. Если состояние больного тяжелое, и у него выражена ОДН, на время проведения бронхоскопии и лаважа он может быть переведен на ИВЛ. У больных на ИВЛ процедура выполняется под общей анестезией через адаптер респиратора, снабженный клапаном для бронхоскопа.</w:t>
      </w:r>
    </w:p>
    <w:p w14:paraId="1C77C4A8" w14:textId="77777777" w:rsidR="00987CCD" w:rsidRPr="0080004F" w:rsidRDefault="00987CCD" w:rsidP="0080004F">
      <w:pPr>
        <w:rPr>
          <w:szCs w:val="24"/>
        </w:rPr>
      </w:pPr>
      <w:r w:rsidRPr="0080004F">
        <w:rPr>
          <w:szCs w:val="24"/>
        </w:rPr>
        <w:t>При проведении бронхоскопа избегают отсасывания во избежание контаминации канала бронхоскопа. После осмотра трахеобронхиального дерева выполняют бронхоальвеолярный лаваж. Место проведения лаважа определяют по данным рентгенографии и КТ: либо в области наибольшего поражения, либо, при диффузном поражении легких, — в средней доле правого легкого или в язычковом сегменте левого легкого.</w:t>
      </w:r>
    </w:p>
    <w:p w14:paraId="39C0266A" w14:textId="77777777" w:rsidR="00987CCD" w:rsidRPr="0080004F" w:rsidRDefault="00987CCD" w:rsidP="0080004F">
      <w:pPr>
        <w:rPr>
          <w:szCs w:val="24"/>
        </w:rPr>
      </w:pPr>
      <w:r w:rsidRPr="0080004F">
        <w:rPr>
          <w:szCs w:val="24"/>
        </w:rPr>
        <w:t>К бронхоскопу через трехходовой краник присоединяется стерильный пластикатный мешок (как правило, мешки, используемые для забора крови, но без консерванта гемаконы). Лаваж выполняется путем введения подогретого до 37</w:t>
      </w:r>
      <w:r w:rsidRPr="0080004F">
        <w:rPr>
          <w:szCs w:val="24"/>
          <w:vertAlign w:val="superscript"/>
        </w:rPr>
        <w:t>о</w:t>
      </w:r>
      <w:r w:rsidRPr="0080004F">
        <w:rPr>
          <w:szCs w:val="24"/>
        </w:rPr>
        <w:t xml:space="preserve"> </w:t>
      </w:r>
      <w:r w:rsidRPr="0080004F">
        <w:rPr>
          <w:szCs w:val="24"/>
          <w:lang w:val="en-US"/>
        </w:rPr>
        <w:t>C</w:t>
      </w:r>
      <w:r w:rsidRPr="0080004F">
        <w:rPr>
          <w:szCs w:val="24"/>
        </w:rPr>
        <w:t xml:space="preserve"> физиологического раствора одноразовыми шприцами — 8 порций по 20 мл. Отсасывание должно быть мягким (под давлением меньше 50—80 мм рт. ст.), чтобы избежать коллапса альвеол и нарушения отсасывания жидкости. Первую порцию лаважной жидкости отделяют от остальных, поскольку она представляет собой преимущественно бронхиальный смыв и не отражает состав альвеолярной клеточной популяции. Остальную жидкость собирают в мешок. При процедуре возвращается 40—60% объема введенной жидкости. После окончания процедуры лаважная жидкость перемешивается и направляется на исследование.</w:t>
      </w:r>
    </w:p>
    <w:p w14:paraId="1B8E91FE" w14:textId="77777777" w:rsidR="00987CCD" w:rsidRPr="0080004F" w:rsidRDefault="00987CCD" w:rsidP="0080004F">
      <w:pPr>
        <w:rPr>
          <w:szCs w:val="24"/>
        </w:rPr>
      </w:pPr>
      <w:r w:rsidRPr="0080004F">
        <w:rPr>
          <w:szCs w:val="24"/>
        </w:rPr>
        <w:t>Хотя фибробронхоскопия и лаваж считаются безопасными процедурами, их проведение у больных с геморрагическим синдромом и артериальной гипоксемией требует специальной подготовки. При глубокой тромбоцитопении (число тромбоцитов &lt; 30 </w:t>
      </w:r>
      <w:r w:rsidRPr="0080004F">
        <w:rPr>
          <w:szCs w:val="24"/>
        </w:rPr>
        <w:t>10</w:t>
      </w:r>
      <w:r w:rsidRPr="0080004F">
        <w:rPr>
          <w:szCs w:val="24"/>
          <w:vertAlign w:val="superscript"/>
        </w:rPr>
        <w:t>9</w:t>
      </w:r>
      <w:r w:rsidRPr="0080004F">
        <w:rPr>
          <w:szCs w:val="24"/>
        </w:rPr>
        <w:t> л</w:t>
      </w:r>
      <w:r w:rsidRPr="0080004F">
        <w:rPr>
          <w:szCs w:val="24"/>
          <w:vertAlign w:val="superscript"/>
        </w:rPr>
        <w:t>–1</w:t>
      </w:r>
      <w:r w:rsidRPr="0080004F">
        <w:rPr>
          <w:szCs w:val="24"/>
        </w:rPr>
        <w:t>) перед процедурой производится переливание концентрата тромбоцитов (400—500 </w:t>
      </w:r>
      <w:r w:rsidRPr="0080004F">
        <w:rPr>
          <w:szCs w:val="24"/>
        </w:rPr>
        <w:t> 10</w:t>
      </w:r>
      <w:r w:rsidRPr="0080004F">
        <w:rPr>
          <w:szCs w:val="24"/>
          <w:vertAlign w:val="superscript"/>
        </w:rPr>
        <w:t xml:space="preserve">9 </w:t>
      </w:r>
      <w:r w:rsidRPr="0080004F">
        <w:rPr>
          <w:szCs w:val="24"/>
        </w:rPr>
        <w:t xml:space="preserve">клеток) </w:t>
      </w:r>
      <w:r w:rsidRPr="0080004F">
        <w:rPr>
          <w:szCs w:val="24"/>
          <w:lang w:val="en-US"/>
        </w:rPr>
        <w:t>c</w:t>
      </w:r>
      <w:r w:rsidRPr="0080004F">
        <w:rPr>
          <w:szCs w:val="24"/>
        </w:rPr>
        <w:t xml:space="preserve"> целью повышения числа тромбоцитов до 40—50 </w:t>
      </w:r>
      <w:r w:rsidRPr="0080004F">
        <w:rPr>
          <w:szCs w:val="24"/>
        </w:rPr>
        <w:t> 10</w:t>
      </w:r>
      <w:r w:rsidRPr="0080004F">
        <w:rPr>
          <w:szCs w:val="24"/>
          <w:vertAlign w:val="superscript"/>
        </w:rPr>
        <w:t>9</w:t>
      </w:r>
      <w:r w:rsidRPr="0080004F">
        <w:rPr>
          <w:szCs w:val="24"/>
        </w:rPr>
        <w:t> л</w:t>
      </w:r>
      <w:r w:rsidRPr="0080004F">
        <w:rPr>
          <w:szCs w:val="24"/>
          <w:vertAlign w:val="superscript"/>
        </w:rPr>
        <w:t>–1</w:t>
      </w:r>
      <w:r w:rsidRPr="0080004F">
        <w:rPr>
          <w:szCs w:val="24"/>
        </w:rPr>
        <w:t xml:space="preserve"> или нормализации времени кровотечения. Если геморрагический синдром обусловлен нарушениями коагуляционного гемостаза, то подготовка к бронхоскопии осуществляется переливанием свежезамороженной плазмы (500—1000 мл), криопреципитата и факторов свертывания до достижения нормального АЧТВ и повышения уровней факторов свертывания.</w:t>
      </w:r>
    </w:p>
    <w:p w14:paraId="47837CD0" w14:textId="77777777" w:rsidR="00987CCD" w:rsidRPr="0080004F" w:rsidRDefault="00987CCD" w:rsidP="0080004F">
      <w:pPr>
        <w:rPr>
          <w:szCs w:val="24"/>
        </w:rPr>
      </w:pPr>
      <w:r w:rsidRPr="0080004F">
        <w:rPr>
          <w:szCs w:val="24"/>
        </w:rPr>
        <w:t>Цитологическое исследование лаважа может помочь в диагностике опухолевых поражений легких у пациентов с гематологическими заболеваниями, но в основном помогает выявить возбудителя легочной инфекции, в том числе, цитомегаловирусной и пневмоцистной природы (возбудители этих инфекций в ряде случаев могут быть выявлены при окраске мазка БАЛ по Романовскому—Гимзе).</w:t>
      </w:r>
    </w:p>
    <w:p w14:paraId="1A58129A" w14:textId="77777777" w:rsidR="00987CCD" w:rsidRPr="0080004F" w:rsidRDefault="00987CCD" w:rsidP="0080004F">
      <w:pPr>
        <w:pStyle w:val="5"/>
        <w:spacing w:before="0" w:line="360" w:lineRule="auto"/>
        <w:ind w:firstLine="709"/>
        <w:rPr>
          <w:rFonts w:ascii="Times New Roman" w:hAnsi="Times New Roman"/>
          <w:b/>
          <w:color w:val="000000" w:themeColor="text1"/>
          <w:sz w:val="24"/>
          <w:szCs w:val="24"/>
        </w:rPr>
      </w:pPr>
      <w:r w:rsidRPr="0080004F">
        <w:rPr>
          <w:rFonts w:ascii="Times New Roman" w:hAnsi="Times New Roman"/>
          <w:b/>
          <w:color w:val="000000" w:themeColor="text1"/>
          <w:sz w:val="24"/>
          <w:szCs w:val="24"/>
        </w:rPr>
        <w:t>Бактериоскопия</w:t>
      </w:r>
    </w:p>
    <w:p w14:paraId="3FCE6C05" w14:textId="77777777" w:rsidR="00987CCD" w:rsidRPr="0080004F" w:rsidRDefault="00987CCD" w:rsidP="0080004F">
      <w:pPr>
        <w:rPr>
          <w:szCs w:val="24"/>
        </w:rPr>
      </w:pPr>
      <w:r w:rsidRPr="0080004F">
        <w:rPr>
          <w:szCs w:val="24"/>
        </w:rPr>
        <w:t>При микроскопии нативного материала для выявления бактерий и грибов проводят окрашивание по Граму и Романовскому—Гимзе, для выявления грибов — окрашивание калькофлуором белым. Для выявления кислотоустойчивых микроорганизмов (микобактерий туберкулеза, нокардий) просматривают препараты, окрашенные по Цилю—Нильсену. Данные микроскопии должны быть получены в первые же сутки после выполнения лаважа.</w:t>
      </w:r>
    </w:p>
    <w:p w14:paraId="6D12DFFE" w14:textId="77777777" w:rsidR="00987CCD" w:rsidRPr="0080004F" w:rsidRDefault="00987CCD" w:rsidP="0080004F">
      <w:pPr>
        <w:pStyle w:val="5"/>
        <w:spacing w:before="0" w:line="360" w:lineRule="auto"/>
        <w:ind w:firstLine="709"/>
        <w:rPr>
          <w:rFonts w:ascii="Times New Roman" w:hAnsi="Times New Roman"/>
          <w:b/>
          <w:color w:val="000000" w:themeColor="text1"/>
          <w:sz w:val="24"/>
          <w:szCs w:val="24"/>
        </w:rPr>
      </w:pPr>
      <w:r w:rsidRPr="0080004F">
        <w:rPr>
          <w:rFonts w:ascii="Times New Roman" w:hAnsi="Times New Roman"/>
          <w:b/>
          <w:color w:val="000000" w:themeColor="text1"/>
          <w:sz w:val="24"/>
          <w:szCs w:val="24"/>
        </w:rPr>
        <w:t>Посев на количественную культуру</w:t>
      </w:r>
    </w:p>
    <w:p w14:paraId="08280DDC" w14:textId="77777777" w:rsidR="00987CCD" w:rsidRPr="0080004F" w:rsidRDefault="00987CCD" w:rsidP="0080004F">
      <w:pPr>
        <w:rPr>
          <w:szCs w:val="24"/>
        </w:rPr>
      </w:pPr>
      <w:r w:rsidRPr="0080004F">
        <w:rPr>
          <w:szCs w:val="24"/>
        </w:rPr>
        <w:t>При микробиологическом исследовании с целью отличить колонизацию от инвазии микроорганизмами проводится количественный анализ лаважной жидкости. Клинически значимая инфекция возникает при наличии 10</w:t>
      </w:r>
      <w:r w:rsidRPr="0080004F">
        <w:rPr>
          <w:szCs w:val="24"/>
          <w:vertAlign w:val="superscript"/>
        </w:rPr>
        <w:t>4</w:t>
      </w:r>
      <w:r w:rsidRPr="0080004F">
        <w:rPr>
          <w:szCs w:val="24"/>
        </w:rPr>
        <w:t xml:space="preserve"> КОЕ на 1 г ткани легкого или при наличии более 10</w:t>
      </w:r>
      <w:r w:rsidRPr="0080004F">
        <w:rPr>
          <w:szCs w:val="24"/>
          <w:vertAlign w:val="superscript"/>
        </w:rPr>
        <w:t>5</w:t>
      </w:r>
      <w:r w:rsidRPr="0080004F">
        <w:rPr>
          <w:szCs w:val="24"/>
        </w:rPr>
        <w:t xml:space="preserve"> бактерий в 1 мл экссудата. Поскольку при лаваже происходит разведение секрета приблизительно в 100 раз, то рост 10</w:t>
      </w:r>
      <w:r w:rsidRPr="0080004F">
        <w:rPr>
          <w:szCs w:val="24"/>
          <w:vertAlign w:val="superscript"/>
        </w:rPr>
        <w:t>3</w:t>
      </w:r>
      <w:r w:rsidRPr="0080004F">
        <w:rPr>
          <w:szCs w:val="24"/>
        </w:rPr>
        <w:t>—10</w:t>
      </w:r>
      <w:r w:rsidRPr="0080004F">
        <w:rPr>
          <w:szCs w:val="24"/>
          <w:vertAlign w:val="superscript"/>
        </w:rPr>
        <w:t>4</w:t>
      </w:r>
      <w:r w:rsidRPr="0080004F">
        <w:rPr>
          <w:szCs w:val="24"/>
        </w:rPr>
        <w:t> КОЕ/мл соответствует присутствию 10</w:t>
      </w:r>
      <w:r w:rsidRPr="0080004F">
        <w:rPr>
          <w:szCs w:val="24"/>
          <w:vertAlign w:val="superscript"/>
        </w:rPr>
        <w:t>5</w:t>
      </w:r>
      <w:r w:rsidRPr="0080004F">
        <w:rPr>
          <w:szCs w:val="24"/>
        </w:rPr>
        <w:t>—10</w:t>
      </w:r>
      <w:r w:rsidRPr="0080004F">
        <w:rPr>
          <w:szCs w:val="24"/>
          <w:vertAlign w:val="superscript"/>
        </w:rPr>
        <w:t>6</w:t>
      </w:r>
      <w:r w:rsidRPr="0080004F">
        <w:rPr>
          <w:szCs w:val="24"/>
        </w:rPr>
        <w:t xml:space="preserve"> бактерий в легочном секрете. Именно эта величина принята за диагностически значимую для БАЛ. Однако у иммунокомпрометированных больных, большинство из которых к моменту выполнения БАЛ уже получают массивную антибактериальную терапию, даже 10</w:t>
      </w:r>
      <w:r w:rsidRPr="0080004F">
        <w:rPr>
          <w:szCs w:val="24"/>
          <w:vertAlign w:val="superscript"/>
        </w:rPr>
        <w:t>3</w:t>
      </w:r>
      <w:r w:rsidRPr="0080004F">
        <w:rPr>
          <w:szCs w:val="24"/>
        </w:rPr>
        <w:t> КОЕ/мл свидетельствует об этиологической роли микроорганизмов в поражении легких.</w:t>
      </w:r>
    </w:p>
    <w:p w14:paraId="03A86AB2" w14:textId="77777777" w:rsidR="00987CCD" w:rsidRPr="0080004F" w:rsidRDefault="00987CCD" w:rsidP="0080004F">
      <w:pPr>
        <w:rPr>
          <w:szCs w:val="24"/>
        </w:rPr>
      </w:pPr>
      <w:r w:rsidRPr="0080004F">
        <w:rPr>
          <w:szCs w:val="24"/>
        </w:rPr>
        <w:t xml:space="preserve">Для выявления легионеллеза исследуются образец лаважной жидкости и мочи пациента – в моче иммунохроматографическим методом выявляется растворимый липополисахаридный антиген </w:t>
      </w:r>
      <w:r w:rsidRPr="0080004F">
        <w:rPr>
          <w:szCs w:val="24"/>
          <w:lang w:val="en-US"/>
        </w:rPr>
        <w:t>Legionella</w:t>
      </w:r>
      <w:r w:rsidRPr="0080004F">
        <w:rPr>
          <w:szCs w:val="24"/>
        </w:rPr>
        <w:t xml:space="preserve"> </w:t>
      </w:r>
      <w:r w:rsidRPr="0080004F">
        <w:rPr>
          <w:szCs w:val="24"/>
          <w:lang w:val="en-US"/>
        </w:rPr>
        <w:t>pneumophila</w:t>
      </w:r>
      <w:r w:rsidRPr="0080004F">
        <w:rPr>
          <w:szCs w:val="24"/>
        </w:rPr>
        <w:t xml:space="preserve"> серогруппы 1.</w:t>
      </w:r>
    </w:p>
    <w:p w14:paraId="6F11E3DC" w14:textId="77777777" w:rsidR="00987CCD" w:rsidRPr="0080004F" w:rsidRDefault="00987CCD" w:rsidP="0080004F">
      <w:pPr>
        <w:pStyle w:val="5"/>
        <w:spacing w:before="0" w:line="360" w:lineRule="auto"/>
        <w:ind w:firstLine="709"/>
        <w:rPr>
          <w:rFonts w:ascii="Times New Roman" w:hAnsi="Times New Roman"/>
          <w:b/>
          <w:sz w:val="24"/>
          <w:szCs w:val="24"/>
        </w:rPr>
      </w:pPr>
      <w:r w:rsidRPr="0080004F">
        <w:rPr>
          <w:rFonts w:ascii="Times New Roman" w:hAnsi="Times New Roman"/>
          <w:b/>
          <w:color w:val="000000" w:themeColor="text1"/>
          <w:sz w:val="24"/>
          <w:szCs w:val="24"/>
        </w:rPr>
        <w:t>Исследование на пневмоцистную инфекцию</w:t>
      </w:r>
    </w:p>
    <w:p w14:paraId="1C5F6DC7" w14:textId="77777777" w:rsidR="00987CCD" w:rsidRPr="0080004F" w:rsidRDefault="00987CCD" w:rsidP="0080004F">
      <w:pPr>
        <w:rPr>
          <w:szCs w:val="24"/>
        </w:rPr>
      </w:pPr>
      <w:r w:rsidRPr="0080004F">
        <w:rPr>
          <w:szCs w:val="24"/>
        </w:rPr>
        <w:t xml:space="preserve">Наиболее доступным методом является выявление пневмоцист в мазках, окрашенных по Романовскому—Гимзе. Эта окраска позволяет выявить пневмоцисты на всех стадиях их жизненного цикла: на стадии цист, прецист, трофозоитов, — а также окрашивает экссудативный материал в виде «ячеистой пены». Недостатком метода является интенсивная окраска не только микроорганизмов, но и всего мазка, на фоне которого можно не заметить </w:t>
      </w:r>
      <w:r w:rsidRPr="0080004F">
        <w:rPr>
          <w:i/>
          <w:szCs w:val="24"/>
        </w:rPr>
        <w:t>Pneumocystis carinii</w:t>
      </w:r>
      <w:r w:rsidRPr="0080004F">
        <w:rPr>
          <w:szCs w:val="24"/>
        </w:rPr>
        <w:t xml:space="preserve">. Для выявления </w:t>
      </w:r>
      <w:r w:rsidRPr="0080004F">
        <w:rPr>
          <w:i/>
          <w:szCs w:val="24"/>
        </w:rPr>
        <w:t>P. carinii</w:t>
      </w:r>
      <w:r w:rsidRPr="0080004F">
        <w:rPr>
          <w:szCs w:val="24"/>
        </w:rPr>
        <w:t xml:space="preserve"> используется также импрегнация метенамин-серебряным нитратом по Гомори или серебром по Грокотту. Оба метода не выявляют трофозоиты и требуют для своей постановки длительного времени. В настоящее время появились наборы для модифицированной быстрой окраски серебром. Однако все эти виды окраски низкоспецифичны и могут не выявить пневмоцисты при небольшом количестве микроорганизмов в материале. Иммунофлюоресцентная окраска более чувствительна, чем окраска серебром или по Романовскому—Гимзе, что важно при малой контаминации материала пневмоцистами. Иммунофлюоресцентные методы основаны на использовании мышиных антител к пневмоцистам. Антитела могут быть специфично направлены либо только против цист, либо против трофозоитов, цист и спорозоитов и т. д. Антитела могут быть моно- и поликлональными. В последние годы показано, что характерная для пневмоцист последовательность ДНК может быть выявлена в мокроте, лаважной жидкости и легочной ткани с помощью ПЦР.</w:t>
      </w:r>
    </w:p>
    <w:p w14:paraId="140332B4" w14:textId="77777777" w:rsidR="00987CCD" w:rsidRPr="0080004F" w:rsidRDefault="00987CCD" w:rsidP="0080004F">
      <w:pPr>
        <w:pStyle w:val="5"/>
        <w:spacing w:before="0" w:line="360" w:lineRule="auto"/>
        <w:ind w:firstLine="709"/>
        <w:rPr>
          <w:rFonts w:ascii="Times New Roman" w:hAnsi="Times New Roman"/>
          <w:b/>
          <w:color w:val="000000" w:themeColor="text1"/>
          <w:sz w:val="24"/>
          <w:szCs w:val="24"/>
        </w:rPr>
      </w:pPr>
      <w:r w:rsidRPr="0080004F">
        <w:rPr>
          <w:rFonts w:ascii="Times New Roman" w:hAnsi="Times New Roman"/>
          <w:b/>
          <w:color w:val="000000" w:themeColor="text1"/>
          <w:sz w:val="24"/>
          <w:szCs w:val="24"/>
        </w:rPr>
        <w:t>Исследование лаважной жидкости на наличие ЦМВ</w:t>
      </w:r>
    </w:p>
    <w:p w14:paraId="59BCDAD6" w14:textId="77777777" w:rsidR="00987CCD" w:rsidRPr="0080004F" w:rsidRDefault="00987CCD" w:rsidP="0080004F">
      <w:pPr>
        <w:rPr>
          <w:szCs w:val="24"/>
        </w:rPr>
      </w:pPr>
      <w:r w:rsidRPr="0080004F">
        <w:rPr>
          <w:szCs w:val="24"/>
        </w:rPr>
        <w:t xml:space="preserve">Высокочувствительным методом выявления ЦМВ является ПЦР, позволяющая обнаружить очень малые количества ДНК вируса. Интерпретация результатов исследования на цитомегаловирусную инфекцию представляет большие сложности, поскольку выявление ЦМВ в лаважной жидкости не всегда бывает признаком инфекции, а может быть проявлением носительства вируса. Диагноз цитомегаловирусной пневмонии становится вероятным при обнаружении наряду с ДНК вируса в лаважной жидкости повышенного уровня антител к ЦМВ </w:t>
      </w:r>
      <w:r w:rsidRPr="0080004F">
        <w:rPr>
          <w:bCs/>
          <w:szCs w:val="24"/>
        </w:rPr>
        <w:t>в сыворотке (</w:t>
      </w:r>
      <w:r w:rsidRPr="0080004F">
        <w:rPr>
          <w:szCs w:val="24"/>
        </w:rPr>
        <w:t xml:space="preserve">в частности IgM), антигена вируса в лейкоцитах крови, а также при положительном результате теста в культуре диплоидных фибробластов человека, свидетельствующем о репликации вируса. Однако в условиях глубокой иммуносупрессии </w:t>
      </w:r>
      <w:r w:rsidRPr="0080004F">
        <w:rPr>
          <w:bCs/>
          <w:szCs w:val="24"/>
        </w:rPr>
        <w:t>серологический</w:t>
      </w:r>
      <w:r w:rsidRPr="0080004F">
        <w:rPr>
          <w:szCs w:val="24"/>
        </w:rPr>
        <w:t xml:space="preserve"> ответ на инфекцию может отсутствовать, цитомегаловирусная пневмония не обязательно сопровождается виремией, а для проведения теста в культуре фибробластов необходим слишком длительный срок (не менее 3 нед).</w:t>
      </w:r>
    </w:p>
    <w:p w14:paraId="3D242D77" w14:textId="77777777" w:rsidR="00987CCD" w:rsidRPr="0080004F" w:rsidRDefault="00987CCD" w:rsidP="0080004F">
      <w:pPr>
        <w:rPr>
          <w:szCs w:val="24"/>
        </w:rPr>
      </w:pPr>
      <w:r w:rsidRPr="0080004F">
        <w:rPr>
          <w:szCs w:val="24"/>
        </w:rPr>
        <w:t>В связи с этим, и со скоротечным течением поражения легких при ЦМВ-инфекции у гематологических пациентов обнаружение ЦМВ в лаважной жидкости должно рассматриваться как проявление цитомегаловирусной пневмонии и служить показанием для начала противовирусной терапии. У больных с поражением легких без ОДН (за исключением пациентов после трансплантации костного мозга, которые также относятся к группе высокого риска) может быть предпринята попытка лечения других причин легочной патологии и лишь при неэффективности последней назначают противовирусную терапию. Исследование жидкости БАЛ является важным этапом диагностики поражения легких, однако несмотря на весь комплекс исследований, в 38% случаев выявить этиологию поражения легких не удается, и в этих случаях иногда приходится прибегать к биопсии легкого.</w:t>
      </w:r>
    </w:p>
    <w:p w14:paraId="2FF11363" w14:textId="77777777" w:rsidR="00987CCD" w:rsidRPr="0080004F" w:rsidRDefault="00987CCD" w:rsidP="0080004F">
      <w:pPr>
        <w:rPr>
          <w:b/>
          <w:bCs/>
          <w:szCs w:val="24"/>
        </w:rPr>
      </w:pPr>
      <w:r w:rsidRPr="0080004F">
        <w:rPr>
          <w:b/>
          <w:bCs/>
          <w:szCs w:val="24"/>
        </w:rPr>
        <w:t>Биопсия легкого</w:t>
      </w:r>
    </w:p>
    <w:p w14:paraId="4E8178AF" w14:textId="77777777" w:rsidR="00987CCD" w:rsidRPr="0080004F" w:rsidRDefault="00987CCD" w:rsidP="0080004F">
      <w:pPr>
        <w:rPr>
          <w:szCs w:val="24"/>
        </w:rPr>
      </w:pPr>
      <w:r w:rsidRPr="0080004F">
        <w:rPr>
          <w:szCs w:val="24"/>
        </w:rPr>
        <w:t>Если проведенное исследование не выявило причины поражения легких, диагноз может быть поставлен с помощью биопсии легкого. Результаты, полученные при биопсии, можно разделить на специфические, по которым устанавливается причина поражения легких, и неспецифические — изменения, отражающие различные стадии острого повреждения легких, по которым нельзя установить</w:t>
      </w:r>
      <w:r w:rsidRPr="0080004F">
        <w:rPr>
          <w:bCs/>
          <w:szCs w:val="24"/>
        </w:rPr>
        <w:t xml:space="preserve"> его</w:t>
      </w:r>
      <w:r w:rsidRPr="0080004F">
        <w:rPr>
          <w:b/>
          <w:bCs/>
          <w:szCs w:val="24"/>
        </w:rPr>
        <w:t xml:space="preserve"> </w:t>
      </w:r>
      <w:r w:rsidRPr="0080004F">
        <w:rPr>
          <w:szCs w:val="24"/>
        </w:rPr>
        <w:t>этиологию: воспалительные изменения, фиброз, гиалиноз, хроническая пневмония и т. д.</w:t>
      </w:r>
    </w:p>
    <w:p w14:paraId="57FFA27F" w14:textId="77777777" w:rsidR="00987CCD" w:rsidRPr="0080004F" w:rsidRDefault="00987CCD" w:rsidP="0080004F">
      <w:pPr>
        <w:rPr>
          <w:szCs w:val="24"/>
        </w:rPr>
      </w:pPr>
      <w:r w:rsidRPr="0080004F">
        <w:rPr>
          <w:szCs w:val="24"/>
        </w:rPr>
        <w:t>Может быть выполнена трансбронхиальная, торакоскопическая либо открытая биопсия легкого.</w:t>
      </w:r>
      <w:r w:rsidRPr="0080004F">
        <w:rPr>
          <w:b/>
          <w:bCs/>
          <w:szCs w:val="24"/>
        </w:rPr>
        <w:t xml:space="preserve"> </w:t>
      </w:r>
      <w:r w:rsidRPr="0080004F">
        <w:rPr>
          <w:szCs w:val="24"/>
        </w:rPr>
        <w:t>Трансбронхиальная биопсия — наименее инвазивный метод получения легочной ткани. Однако число больных в гематологической клинике, которым может быть выполнена трансбронхиальная биопсия, невелико из-за высокой частоты осложнений, возникающих при выполнении биопсии, наиболее серьезными из которых являются пневмоторакс и кровотечение. Трансбронхиальная биопсия противопоказана больным с тромбоцитопенией, ДВС-синдромом, легочной гипертензией, уремией, глубокой анемией и больным, находящимся на ИВЛ. Точность диагностики при трансбронхиальной биопсии составляет лишь 26%. Поэтому трансбронхиальная биопсия проводится лишь у ограниченного круга больных, и ее отрицательный результат не позволяет полностью исключить причину поражения легких.</w:t>
      </w:r>
    </w:p>
    <w:p w14:paraId="0509C293" w14:textId="77777777" w:rsidR="00987CCD" w:rsidRPr="0080004F" w:rsidRDefault="00987CCD" w:rsidP="0080004F">
      <w:pPr>
        <w:rPr>
          <w:szCs w:val="24"/>
        </w:rPr>
      </w:pPr>
      <w:r w:rsidRPr="0080004F">
        <w:rPr>
          <w:szCs w:val="24"/>
        </w:rPr>
        <w:t>Открытую биопсию легкого называют золотым стандартом диагностики легочной патологии. В последние годы в качестве альтернативы открытой биопсии применяется торакоскопическая биопсия легкого. Эта процедура значительно менее травматична, чем открытая биопсия, и в то же время позволяет получить ткань легкого под визуальным контролем. Торакоскопическую биопсию невозможно выполнить при массивном спаечном процессе в плевральной полости, ее проведению мешает также выраженная эмфизема. Для выполнения торакоскопической биопсии биоптируемые участки должны быть доступны.</w:t>
      </w:r>
    </w:p>
    <w:p w14:paraId="627A2C1C" w14:textId="77777777" w:rsidR="00987CCD" w:rsidRPr="0080004F" w:rsidRDefault="00987CCD" w:rsidP="0080004F">
      <w:pPr>
        <w:rPr>
          <w:szCs w:val="24"/>
        </w:rPr>
      </w:pPr>
      <w:r w:rsidRPr="0080004F">
        <w:rPr>
          <w:szCs w:val="24"/>
        </w:rPr>
        <w:t>Биопсия легкого позволяет получить дополнительную информацию об этиологии поражения легких в 73% случаев. Среди видов патологии, дополнительно выявляемых при биопсии легкого, — вирусные, пневмоцистные, грибковые пневмонии, интерстициальный легочный фиброз, опухоли.</w:t>
      </w:r>
    </w:p>
    <w:p w14:paraId="03FB1C8C" w14:textId="77777777" w:rsidR="00987CCD" w:rsidRPr="0080004F" w:rsidRDefault="00987CCD" w:rsidP="0080004F">
      <w:pPr>
        <w:rPr>
          <w:szCs w:val="24"/>
        </w:rPr>
      </w:pPr>
      <w:r w:rsidRPr="0080004F">
        <w:rPr>
          <w:szCs w:val="24"/>
        </w:rPr>
        <w:t>После биопсии легкого модификация терапии проводится у 7—77% больных с гемобластозами, однако улучшение состояния в результате этого отмечалось лишь у 18—39% больных.</w:t>
      </w:r>
    </w:p>
    <w:p w14:paraId="5382C953" w14:textId="77777777" w:rsidR="00987CCD" w:rsidRPr="0080004F" w:rsidRDefault="00987CCD" w:rsidP="0080004F">
      <w:pPr>
        <w:rPr>
          <w:szCs w:val="24"/>
        </w:rPr>
      </w:pPr>
      <w:r w:rsidRPr="0080004F">
        <w:rPr>
          <w:szCs w:val="24"/>
        </w:rPr>
        <w:t>Таким образом, биопсия легкого может решить диагностические проблемы лишь при соблюдении ряда условий:</w:t>
      </w:r>
    </w:p>
    <w:p w14:paraId="5B726445" w14:textId="77777777" w:rsidR="00987CCD" w:rsidRPr="0080004F" w:rsidRDefault="00987CCD" w:rsidP="0080004F">
      <w:pPr>
        <w:pStyle w:val="afe"/>
        <w:numPr>
          <w:ilvl w:val="0"/>
          <w:numId w:val="86"/>
        </w:numPr>
        <w:rPr>
          <w:szCs w:val="24"/>
        </w:rPr>
      </w:pPr>
      <w:r w:rsidRPr="0080004F">
        <w:rPr>
          <w:szCs w:val="24"/>
        </w:rPr>
        <w:t>биопсия должна проводиться после выполнения всего комплекса менее инвазивных методов обследования, включая бронхоскопию с БАЛ, и попыток эмпирической терапии предполагаемой причины поражения легких;</w:t>
      </w:r>
    </w:p>
    <w:p w14:paraId="4E7D9337" w14:textId="77777777" w:rsidR="00987CCD" w:rsidRPr="0080004F" w:rsidRDefault="00987CCD" w:rsidP="0080004F">
      <w:pPr>
        <w:pStyle w:val="afe"/>
        <w:numPr>
          <w:ilvl w:val="0"/>
          <w:numId w:val="86"/>
        </w:numPr>
        <w:rPr>
          <w:szCs w:val="24"/>
        </w:rPr>
      </w:pPr>
      <w:r w:rsidRPr="0080004F">
        <w:rPr>
          <w:szCs w:val="24"/>
        </w:rPr>
        <w:t xml:space="preserve">эмпирическая терапия не должна быть длительной, а биопсия легкого не должна рассматриваться как крайняя мера, выполняемая лишь при ухудшении состояния пациента, ее необходимо проводить до развития ОДН. </w:t>
      </w:r>
    </w:p>
    <w:p w14:paraId="42859141" w14:textId="77777777" w:rsidR="00987CCD" w:rsidRPr="0080004F" w:rsidRDefault="00987CCD" w:rsidP="0080004F">
      <w:pPr>
        <w:pStyle w:val="afe"/>
        <w:numPr>
          <w:ilvl w:val="0"/>
          <w:numId w:val="86"/>
        </w:numPr>
        <w:rPr>
          <w:szCs w:val="24"/>
        </w:rPr>
      </w:pPr>
      <w:r w:rsidRPr="0080004F">
        <w:rPr>
          <w:szCs w:val="24"/>
        </w:rPr>
        <w:t>исследование полученного биопсийного материала должно включать в себя кроме цитологического и гистологического (при необходимости, иммуногистохимического) исследований, также поиск всех вероятных возбудителей микробиологическими, молекулярно-биологическими и др. методами иследований.</w:t>
      </w:r>
    </w:p>
    <w:p w14:paraId="19223026" w14:textId="77777777" w:rsidR="00987CCD" w:rsidRPr="0080004F" w:rsidRDefault="00987CCD" w:rsidP="0080004F">
      <w:pPr>
        <w:rPr>
          <w:b/>
          <w:bCs/>
          <w:szCs w:val="24"/>
        </w:rPr>
      </w:pPr>
      <w:r w:rsidRPr="0080004F">
        <w:rPr>
          <w:b/>
          <w:bCs/>
          <w:szCs w:val="24"/>
        </w:rPr>
        <w:t>Интерпретация результатов</w:t>
      </w:r>
    </w:p>
    <w:p w14:paraId="4F9DEADC" w14:textId="77777777" w:rsidR="00987CCD" w:rsidRPr="0080004F" w:rsidRDefault="00987CCD" w:rsidP="0080004F">
      <w:pPr>
        <w:pStyle w:val="Numlist"/>
        <w:spacing w:line="360" w:lineRule="auto"/>
        <w:ind w:firstLine="709"/>
        <w:jc w:val="both"/>
      </w:pPr>
      <w:r w:rsidRPr="0080004F">
        <w:t>1. Бактериальная пневмония диагностируется при выявлении в количественном посеве лаважной жидкости микроорганизмов в количестве 10</w:t>
      </w:r>
      <w:r w:rsidRPr="0080004F">
        <w:rPr>
          <w:vertAlign w:val="superscript"/>
        </w:rPr>
        <w:t>3</w:t>
      </w:r>
      <w:r w:rsidRPr="0080004F">
        <w:t> КОЕ/мл или выше. Выявления 10</w:t>
      </w:r>
      <w:r w:rsidRPr="0080004F">
        <w:rPr>
          <w:vertAlign w:val="superscript"/>
        </w:rPr>
        <w:t>1</w:t>
      </w:r>
      <w:r w:rsidRPr="0080004F">
        <w:t>—10</w:t>
      </w:r>
      <w:r w:rsidRPr="0080004F">
        <w:rPr>
          <w:vertAlign w:val="superscript"/>
        </w:rPr>
        <w:t>2</w:t>
      </w:r>
      <w:r w:rsidRPr="0080004F">
        <w:t> КОЕ/мл недостаточно для подтверждения бактериального характера поражения легких, однако рост в любом количестве высокопатогенных грамположительных (</w:t>
      </w:r>
      <w:r w:rsidRPr="0080004F">
        <w:rPr>
          <w:i/>
        </w:rPr>
        <w:t>S. aureus</w:t>
      </w:r>
      <w:r w:rsidRPr="0080004F">
        <w:t>) или грамотрицательных (</w:t>
      </w:r>
      <w:r w:rsidRPr="0080004F">
        <w:rPr>
          <w:i/>
        </w:rPr>
        <w:t>P. aeruginosa, Acinetobacter spp., S. maltophilia</w:t>
      </w:r>
      <w:r w:rsidRPr="0080004F">
        <w:t xml:space="preserve"> и др.) микроорганизмов должен учитываться при назначении антибактериальных препаратов.</w:t>
      </w:r>
    </w:p>
    <w:p w14:paraId="7847D794" w14:textId="77777777" w:rsidR="00987CCD" w:rsidRPr="0080004F" w:rsidRDefault="00987CCD" w:rsidP="0080004F">
      <w:pPr>
        <w:pStyle w:val="Numlist"/>
        <w:spacing w:line="360" w:lineRule="auto"/>
        <w:ind w:firstLine="709"/>
        <w:jc w:val="both"/>
      </w:pPr>
      <w:r w:rsidRPr="0080004F">
        <w:t xml:space="preserve">Исследование мочи иммунохроматографическим методом позволяет выявить растворимый антиген </w:t>
      </w:r>
      <w:r w:rsidRPr="0080004F">
        <w:rPr>
          <w:i/>
        </w:rPr>
        <w:t>Legionella pneumophila</w:t>
      </w:r>
      <w:r w:rsidRPr="0080004F">
        <w:t>, но только серогруппы 1. Ответ может быть получен уже в течение первых суток. Положительный результат является показанием к целенаправленной антибактериальной терапии легионеллеза («респираторные» фторхинолоны, макролиды). В то же время отрицательный результат исследования мочи не исключает легионеллеза, поскольку заболевание может быть вызвано другими серотипами возбудителя. Окончательно подтвердить или отвергнуть диагноз легионеллеза можно только бактериологически (выделение легионелл на селективном буферном угольно-дрожжевом агаре), для чего требуется не менее 5—7 дней.</w:t>
      </w:r>
    </w:p>
    <w:p w14:paraId="77264AEA" w14:textId="77777777" w:rsidR="00987CCD" w:rsidRPr="0080004F" w:rsidRDefault="00987CCD" w:rsidP="0080004F">
      <w:pPr>
        <w:pStyle w:val="Numlist"/>
        <w:spacing w:line="360" w:lineRule="auto"/>
        <w:ind w:firstLine="709"/>
        <w:jc w:val="both"/>
      </w:pPr>
      <w:r w:rsidRPr="0080004F">
        <w:t xml:space="preserve">До получения результатов исследования жидкости БАЛ при назначении антибиотиков могут учитываться результаты посевов со слизистой ротоглотки и прямой кишки. Выявление на слизистой ротоглотки у больных с пневмонией </w:t>
      </w:r>
      <w:r w:rsidRPr="0080004F">
        <w:rPr>
          <w:i/>
        </w:rPr>
        <w:t>A. baumannii</w:t>
      </w:r>
      <w:r w:rsidRPr="0080004F">
        <w:t xml:space="preserve"> или </w:t>
      </w:r>
      <w:r w:rsidRPr="0080004F">
        <w:rPr>
          <w:i/>
        </w:rPr>
        <w:t>P. aeruginosa</w:t>
      </w:r>
      <w:r w:rsidRPr="0080004F">
        <w:t xml:space="preserve"> с большой долей вероятности указывает на то, что именно эти патогены являются возбудителями пневмонии.</w:t>
      </w:r>
    </w:p>
    <w:p w14:paraId="1314E07B" w14:textId="77777777" w:rsidR="00987CCD" w:rsidRPr="0080004F" w:rsidRDefault="00987CCD" w:rsidP="0080004F">
      <w:pPr>
        <w:pStyle w:val="Numlist"/>
        <w:spacing w:line="360" w:lineRule="auto"/>
        <w:ind w:firstLine="709"/>
        <w:jc w:val="both"/>
      </w:pPr>
      <w:r w:rsidRPr="0080004F">
        <w:t>2. Аспергиллез подтверждается выявлением в лаважной жидкости мицелия грибов (при микроскопии) и повышенного уровня индекса оптической плотности галактоманнана (выше 1). В то же время повышение уровня индекса оптической плотности в лаважной жидкости, даже весьма значительное (в ряде случаев до 6—7), может быть ложным. Диагноз аспергиллеза становится более достоверным при соответствующей рентгенологической картине, одновременном выявлении повышенного (выше 0,5) уровня индекса оптической плотности галактоманнана в крови, выявлении мицелия грибов при микроскопии лаважной жидкости и росте аспергиллов при бактериологическом исследовании.</w:t>
      </w:r>
    </w:p>
    <w:p w14:paraId="22F490B3" w14:textId="77777777" w:rsidR="00987CCD" w:rsidRPr="0080004F" w:rsidRDefault="00987CCD" w:rsidP="0080004F">
      <w:pPr>
        <w:pStyle w:val="Numlist"/>
        <w:spacing w:line="360" w:lineRule="auto"/>
        <w:ind w:firstLine="709"/>
        <w:jc w:val="both"/>
      </w:pPr>
      <w:r w:rsidRPr="0080004F">
        <w:t>3. Туберкулез легких может быть диагностирован при выявлении микобактерий в лаважной жидкости при окраске ее по Цилю—Нильсену. При выявлении ДНК микобактерий методом ПЦР диагноз туберкулеза представляется более вероятным при наличии соответствующей клинической и рентгенологической картина и неэффективности терапии антибиотиками широкого спектра действия.</w:t>
      </w:r>
    </w:p>
    <w:p w14:paraId="1B5FD77B" w14:textId="77777777" w:rsidR="00987CCD" w:rsidRPr="0080004F" w:rsidRDefault="00987CCD" w:rsidP="0080004F">
      <w:pPr>
        <w:pStyle w:val="Numlist"/>
        <w:spacing w:line="360" w:lineRule="auto"/>
        <w:ind w:firstLine="709"/>
        <w:jc w:val="both"/>
      </w:pPr>
      <w:r w:rsidRPr="0080004F">
        <w:t>4. Пневмоцистная пневмония диагностируется при выявлении в лаважной жидкости или биоптате легкого пневмоцист одним из следующих методов: реакция иммунофлюоресценции; окраска по Романовскому—Гимзе, толуидиновым синим, гематоксилин-эозином или по Папаниколау; импрегнация метенамин-серебряным нитратом по Гомори или серебром по Грокотту. Обнаружение или отсутствие антипневмоцистных антител в сыворотке не является критерием диагноза.</w:t>
      </w:r>
    </w:p>
    <w:p w14:paraId="46DA42DB" w14:textId="77777777" w:rsidR="00987CCD" w:rsidRPr="0080004F" w:rsidRDefault="00987CCD" w:rsidP="0080004F">
      <w:pPr>
        <w:pStyle w:val="Numlist"/>
        <w:spacing w:line="360" w:lineRule="auto"/>
        <w:ind w:firstLine="709"/>
        <w:jc w:val="both"/>
      </w:pPr>
      <w:r w:rsidRPr="0080004F">
        <w:t>5. Диагноз цитомегаловирусной пневмонии представляется достоверным в следующих случаях: а) при наличии клинической картины интерстициальной пневмонии, развившейся у пациентов, входящих в группу риска (пациенты, перенесшие трансплантацию костного мозга, длительно получавшие иммуносупрессивную терапию, пациенты лимфопролиферативными заболеваниями и т. д.); б) при выявлении высокого титра антител к ЦМВ, относящихся к иммуноглобулинам класса М; в) при выявлении в лаважной жидкости или легочном биоптате ЦМВ; г) при положительном результате теста в культуре диплоидных фибробластов человека. В сомнительных случаях, когда в биологическом материале обнаруживается только ДНК или антиген вируса, принятие решения о начале противовирусной терапии должно исходить из конкретной клинической ситуации. Выявление ЦМВ в лаважной жидкости или биоптате легкого у пациентов с ОДН и перенесших трансплантацию костного мозга или интенсивную иммуносупрессивную и химиотерапию должно рассматриваться как проявление цитомегаловирусной пневмонии и являться показанием к началу противовирусной терапии. В остальных группах пациентов может быть предпринята попытка лечения других причин поражения легких и лишь при его неэффективности может быть назначена противовирусная терапия.</w:t>
      </w:r>
    </w:p>
    <w:p w14:paraId="3E4395BD" w14:textId="77777777" w:rsidR="00987CCD" w:rsidRPr="0080004F" w:rsidRDefault="00987CCD" w:rsidP="0080004F">
      <w:pPr>
        <w:pStyle w:val="Numlist"/>
        <w:spacing w:line="360" w:lineRule="auto"/>
        <w:ind w:firstLine="709"/>
        <w:jc w:val="both"/>
      </w:pPr>
      <w:r w:rsidRPr="0080004F">
        <w:t>6. Выявление опухолевых клеток в лаважной жидкости свидетельствует о поражении легких опухолью при условии, что эти клетки отсутствуют в периферической крови. При одновременном выявлении опухолевых клеток в периферической крови диагноз носит вероятностный характер, поскольку возможно их попадание в лаважную жидкость из крови. Поражение легких при гематологических заболеваниях может быть подтверждено исследованием биоптата легкого.</w:t>
      </w:r>
    </w:p>
    <w:p w14:paraId="41D446C1" w14:textId="77777777" w:rsidR="00987CCD" w:rsidRPr="0080004F" w:rsidRDefault="00987CCD" w:rsidP="0080004F">
      <w:pPr>
        <w:pStyle w:val="Numlist"/>
        <w:spacing w:line="360" w:lineRule="auto"/>
        <w:ind w:firstLine="709"/>
        <w:jc w:val="both"/>
      </w:pPr>
      <w:r w:rsidRPr="0080004F">
        <w:t>7. При неинфекционных поражениях легких (интерстициальном легочном фиброзе, облитерирующем бронхиолите, легочных формах реакции «трансплантат против хозяина» и т. д.) для подтверждения диагноза требуются биопсия легкого и гистологическое исследование.</w:t>
      </w:r>
    </w:p>
    <w:p w14:paraId="07AB44D1" w14:textId="77777777" w:rsidR="00987CCD" w:rsidRPr="0080004F" w:rsidRDefault="00987CCD" w:rsidP="0080004F">
      <w:pPr>
        <w:rPr>
          <w:b/>
          <w:bCs/>
          <w:szCs w:val="24"/>
        </w:rPr>
      </w:pPr>
      <w:r w:rsidRPr="0080004F">
        <w:rPr>
          <w:b/>
          <w:bCs/>
          <w:szCs w:val="24"/>
        </w:rPr>
        <w:t>Лечение острых паренхиматозных повреждений легких</w:t>
      </w:r>
    </w:p>
    <w:p w14:paraId="507BAC37" w14:textId="77777777" w:rsidR="00987CCD" w:rsidRPr="0080004F" w:rsidRDefault="00987CCD" w:rsidP="0080004F">
      <w:pPr>
        <w:rPr>
          <w:szCs w:val="24"/>
        </w:rPr>
      </w:pPr>
      <w:r w:rsidRPr="0080004F">
        <w:rPr>
          <w:szCs w:val="24"/>
        </w:rPr>
        <w:t>Лечение ОДН заключается в решении двух тесно взаимосвязанных задач: устранение повреждающего фактора и компенсация ОДН. Первая задача решается посредством этиотропной терапии, вторая — с помощью оксигенотерапии или респираторной поддержки.</w:t>
      </w:r>
    </w:p>
    <w:p w14:paraId="338A8CDA" w14:textId="77777777" w:rsidR="00987CCD" w:rsidRPr="0080004F" w:rsidRDefault="00987CCD" w:rsidP="0080004F">
      <w:pPr>
        <w:rPr>
          <w:szCs w:val="24"/>
        </w:rPr>
      </w:pPr>
      <w:r w:rsidRPr="0080004F">
        <w:rPr>
          <w:szCs w:val="24"/>
        </w:rPr>
        <w:t xml:space="preserve">Антибактериальная терапия пневмоний основывается на выявленном возбудителе и его чувствительности к антибиотикам. При развитии </w:t>
      </w:r>
      <w:r w:rsidRPr="0080004F">
        <w:rPr>
          <w:b/>
          <w:bCs/>
          <w:szCs w:val="24"/>
        </w:rPr>
        <w:t>ретиноидного синдрома</w:t>
      </w:r>
      <w:r w:rsidRPr="0080004F">
        <w:rPr>
          <w:szCs w:val="24"/>
        </w:rPr>
        <w:t xml:space="preserve"> назначают дексаметазон по схеме лечения ретиноидного синдрома. </w:t>
      </w:r>
      <w:r w:rsidRPr="0080004F">
        <w:rPr>
          <w:b/>
          <w:bCs/>
          <w:szCs w:val="24"/>
        </w:rPr>
        <w:t>Специфические опухолевые поражения легких у пациентов с гемобластозами</w:t>
      </w:r>
      <w:r w:rsidRPr="0080004F">
        <w:rPr>
          <w:szCs w:val="24"/>
        </w:rPr>
        <w:t xml:space="preserve"> являются показанием к незамедлительному началу противоопухолевой терапии. При ОДН, вызванной </w:t>
      </w:r>
      <w:r w:rsidRPr="0080004F">
        <w:rPr>
          <w:b/>
          <w:bCs/>
          <w:szCs w:val="24"/>
        </w:rPr>
        <w:t>цитолитическим синдромом,</w:t>
      </w:r>
      <w:r w:rsidRPr="0080004F">
        <w:rPr>
          <w:szCs w:val="24"/>
        </w:rPr>
        <w:t xml:space="preserve"> продолжают начатую ранее химиотерапию и одновременно принимают меры для профилактики других осложнений, вызываемых цитолизом (гиперурикемии, острой почечной недостаточности и т. д.): водная нагрузка, подщелачивание, назначение аллопуринола, проведение плазмафереза, цитафереза. Разрешение патологии легких наблюдается, как правило, одновременно со снижением количества лейкоцитов крови и развитием миелотоксического агранулоцитоза. При интерстициальном легочном фиброзе и облитерирующем бронхиолите назначают глюкокортикоиды, усиливают иммуносупрессивную терапию, если данное осложнение возникло при обострении реакции «трансплантат против хозяина».</w:t>
      </w:r>
    </w:p>
    <w:p w14:paraId="654A5CFC" w14:textId="77777777" w:rsidR="00987CCD" w:rsidRPr="0080004F" w:rsidRDefault="00987CCD" w:rsidP="0080004F">
      <w:pPr>
        <w:rPr>
          <w:b/>
          <w:bCs/>
          <w:szCs w:val="24"/>
        </w:rPr>
      </w:pPr>
      <w:r w:rsidRPr="0080004F">
        <w:rPr>
          <w:b/>
          <w:bCs/>
          <w:szCs w:val="24"/>
        </w:rPr>
        <w:t>Респираторная терапия острой дыхательной недостаточности</w:t>
      </w:r>
    </w:p>
    <w:p w14:paraId="70DE2EEC" w14:textId="77777777" w:rsidR="00987CCD" w:rsidRPr="0080004F" w:rsidRDefault="00987CCD" w:rsidP="0080004F">
      <w:pPr>
        <w:rPr>
          <w:szCs w:val="24"/>
        </w:rPr>
      </w:pPr>
      <w:r w:rsidRPr="0080004F">
        <w:rPr>
          <w:szCs w:val="24"/>
        </w:rPr>
        <w:t>Стратегическим принципом терапии ОДН при заболеваниях системы крови является этапность лечения: оксигенотерапия, неинвазивная вентиляция легких, ИВЛ.</w:t>
      </w:r>
    </w:p>
    <w:p w14:paraId="16BB0BD9" w14:textId="77777777" w:rsidR="00987CCD" w:rsidRPr="0080004F" w:rsidRDefault="00987CCD" w:rsidP="0080004F">
      <w:pPr>
        <w:rPr>
          <w:szCs w:val="24"/>
        </w:rPr>
      </w:pPr>
      <w:r w:rsidRPr="0080004F">
        <w:rPr>
          <w:szCs w:val="24"/>
        </w:rPr>
        <w:t>Лечение ОДН целесообразно начинать с оксигенотерапии через носовой кататер либо маску. При ее неэффективности начинают респираторную поддержку с помощью респиратора для неинвазивной вентиляции легких и лишь в случае неэффективности последней переводят больного на ИВЛ.</w:t>
      </w:r>
    </w:p>
    <w:p w14:paraId="20C23DE7" w14:textId="77777777" w:rsidR="00987CCD" w:rsidRPr="0080004F" w:rsidRDefault="00987CCD" w:rsidP="0080004F">
      <w:pPr>
        <w:pStyle w:val="4"/>
        <w:numPr>
          <w:ilvl w:val="12"/>
          <w:numId w:val="0"/>
        </w:numPr>
        <w:spacing w:before="0" w:line="360" w:lineRule="auto"/>
        <w:ind w:firstLine="709"/>
        <w:rPr>
          <w:rFonts w:ascii="Times New Roman" w:hAnsi="Times New Roman"/>
          <w:i w:val="0"/>
          <w:color w:val="000000" w:themeColor="text1"/>
          <w:sz w:val="24"/>
          <w:szCs w:val="24"/>
        </w:rPr>
      </w:pPr>
      <w:r w:rsidRPr="0080004F">
        <w:rPr>
          <w:rFonts w:ascii="Times New Roman" w:hAnsi="Times New Roman"/>
          <w:i w:val="0"/>
          <w:color w:val="000000" w:themeColor="text1"/>
          <w:sz w:val="24"/>
          <w:szCs w:val="24"/>
        </w:rPr>
        <w:t>Неинвазивная вентиляция легких в лечении острой дыхательной недостаточности</w:t>
      </w:r>
    </w:p>
    <w:p w14:paraId="56CD97FD" w14:textId="77777777" w:rsidR="00987CCD" w:rsidRPr="0080004F" w:rsidRDefault="00987CCD" w:rsidP="0080004F">
      <w:pPr>
        <w:rPr>
          <w:szCs w:val="24"/>
        </w:rPr>
      </w:pPr>
      <w:r w:rsidRPr="0080004F">
        <w:rPr>
          <w:szCs w:val="24"/>
        </w:rPr>
        <w:t>Неинвазивную вентиляцию легких необходимо рассматривать как первый этап респираторной поддержки при ОДН у гематологических пациентов. Показанием к неинвазивной вентиляции является гипоксемия (Р</w:t>
      </w:r>
      <w:r w:rsidRPr="0080004F">
        <w:rPr>
          <w:szCs w:val="24"/>
          <w:vertAlign w:val="subscript"/>
        </w:rPr>
        <w:t>а</w:t>
      </w:r>
      <w:r w:rsidRPr="0080004F">
        <w:rPr>
          <w:szCs w:val="24"/>
        </w:rPr>
        <w:t>О</w:t>
      </w:r>
      <w:r w:rsidRPr="0080004F">
        <w:rPr>
          <w:szCs w:val="24"/>
          <w:vertAlign w:val="subscript"/>
        </w:rPr>
        <w:t>2</w:t>
      </w:r>
      <w:r w:rsidRPr="0080004F">
        <w:rPr>
          <w:szCs w:val="24"/>
        </w:rPr>
        <w:t xml:space="preserve"> &lt; 60 мм рт. ст.), сохраняющаяся при ингаляции дыхательной смеси с </w:t>
      </w:r>
      <w:r w:rsidRPr="0080004F">
        <w:rPr>
          <w:szCs w:val="24"/>
          <w:lang w:val="en-US"/>
        </w:rPr>
        <w:t>F</w:t>
      </w:r>
      <w:r w:rsidRPr="0080004F">
        <w:rPr>
          <w:szCs w:val="24"/>
          <w:vertAlign w:val="subscript"/>
          <w:lang w:val="en-US"/>
        </w:rPr>
        <w:t>I</w:t>
      </w:r>
      <w:r w:rsidRPr="0080004F">
        <w:rPr>
          <w:szCs w:val="24"/>
          <w:lang w:val="en-US"/>
        </w:rPr>
        <w:t>O</w:t>
      </w:r>
      <w:r w:rsidRPr="0080004F">
        <w:rPr>
          <w:szCs w:val="24"/>
          <w:vertAlign w:val="subscript"/>
        </w:rPr>
        <w:t>2</w:t>
      </w:r>
      <w:r w:rsidRPr="0080004F">
        <w:rPr>
          <w:szCs w:val="24"/>
        </w:rPr>
        <w:t xml:space="preserve"> более 50%. По сравнению с оксигенотерапией, проводимой с помощью маски Вентури, неинвазивная вентиляция — более эффективный метод респираторной поддержки. Этот метод обеспечивает рекрутирование неаэрируемых альвеол и раздувание зон микроателектазов, в результате чего улучшаются вентиляционно-перфузионные отношения, повышается легочный комплайнс, уменьшается работа дыхательных мышц.</w:t>
      </w:r>
    </w:p>
    <w:p w14:paraId="284CB348" w14:textId="77777777" w:rsidR="00987CCD" w:rsidRPr="0080004F" w:rsidRDefault="00987CCD" w:rsidP="0080004F">
      <w:pPr>
        <w:rPr>
          <w:szCs w:val="24"/>
        </w:rPr>
      </w:pPr>
      <w:r w:rsidRPr="0080004F">
        <w:rPr>
          <w:szCs w:val="24"/>
        </w:rPr>
        <w:t>Неинвазивная вентиляции легких позволяет избежать интубации трахеи у гематологических пациентов и ОДН в 41% случаев. Именно с использованием неинвазивной вентиляции легких связаны успехи респираторной поддержки у онкогематологических пациентов.</w:t>
      </w:r>
    </w:p>
    <w:p w14:paraId="218699FD" w14:textId="77777777" w:rsidR="00987CCD" w:rsidRPr="0080004F" w:rsidRDefault="00987CCD" w:rsidP="0080004F">
      <w:pPr>
        <w:rPr>
          <w:szCs w:val="24"/>
        </w:rPr>
      </w:pPr>
      <w:r w:rsidRPr="0080004F">
        <w:rPr>
          <w:szCs w:val="24"/>
        </w:rPr>
        <w:t>К побочным эффектам неинвазивной вентиляции легких относятся мацерация кожи, гематомы на переносице, а при тромбоцитопении — также носовые кровотечения и геморрагический стоматит. Основными причинами неэффективности неинвазивной вентиляции у этих больных являются нарастание тяжести ОДН и нарушения сознания различного генеза (вследствие энцефалита, нейролейкемии, кровоизлияния в мозг).</w:t>
      </w:r>
    </w:p>
    <w:p w14:paraId="43CE47AA" w14:textId="77777777" w:rsidR="00987CCD" w:rsidRPr="00644EAD" w:rsidRDefault="00987CCD" w:rsidP="0080004F">
      <w:pPr>
        <w:pStyle w:val="4"/>
        <w:numPr>
          <w:ilvl w:val="12"/>
          <w:numId w:val="0"/>
        </w:numPr>
        <w:spacing w:before="0" w:line="360" w:lineRule="auto"/>
        <w:ind w:firstLine="709"/>
        <w:rPr>
          <w:rFonts w:ascii="Times New Roman" w:hAnsi="Times New Roman"/>
          <w:b/>
          <w:bCs/>
          <w:i w:val="0"/>
          <w:color w:val="000000" w:themeColor="text1"/>
          <w:sz w:val="24"/>
          <w:szCs w:val="24"/>
        </w:rPr>
      </w:pPr>
      <w:r w:rsidRPr="00644EAD">
        <w:rPr>
          <w:rFonts w:ascii="Times New Roman" w:hAnsi="Times New Roman"/>
          <w:b/>
          <w:bCs/>
          <w:i w:val="0"/>
          <w:color w:val="000000" w:themeColor="text1"/>
          <w:sz w:val="24"/>
          <w:szCs w:val="24"/>
        </w:rPr>
        <w:t>Искусственная вентиляция легких в лечении острой дыхательной недостаточности</w:t>
      </w:r>
    </w:p>
    <w:p w14:paraId="5BA02CE8" w14:textId="77777777" w:rsidR="00987CCD" w:rsidRPr="0080004F" w:rsidRDefault="00987CCD" w:rsidP="0080004F">
      <w:pPr>
        <w:rPr>
          <w:szCs w:val="24"/>
        </w:rPr>
      </w:pPr>
      <w:r w:rsidRPr="0080004F">
        <w:rPr>
          <w:szCs w:val="24"/>
        </w:rPr>
        <w:t>ИВЛ была и остается основным методом лечения тяжелой ОДН при заболеваниях системы крови. Проведение ИВЛ позволяет не только компенсировать ОДН у большинства больных, но и выполнять ряд лечебных и диагностических процедур (химиотерапия, бронхоскопия с БАЛ, биопсия легкого и т. д.).</w:t>
      </w:r>
    </w:p>
    <w:p w14:paraId="2AE7AC8E" w14:textId="77777777" w:rsidR="00987CCD" w:rsidRPr="0080004F" w:rsidRDefault="00987CCD" w:rsidP="0080004F">
      <w:pPr>
        <w:rPr>
          <w:szCs w:val="24"/>
        </w:rPr>
      </w:pPr>
      <w:r w:rsidRPr="0080004F">
        <w:rPr>
          <w:szCs w:val="24"/>
        </w:rPr>
        <w:t>Первым шагом при проведении ИВЛ является присоединение респиратора к дыхательным путям пациента, то есть обеспечение эндотрахеального доступа. Основные проблемы, возникающие при этом у пациентов с заболеваниями системы крови, связаны с нарушением проходимости дыхательных путей вследствие геморрагического синдрома, воспалительных изменений и отека мягких тканей или сдавлении дыхательных путей опухолевым конгломератом. В этой связи следует подчеркнуть важность выбора рациональной тактики при заведомо сложной интубации. При показаниях к экстренному переводу этих больных на ИВЛ выполняется оротрахеальная интубация. При невозможности по каким-либо причинам выполнить прямую ларингоскопию проводится интубация по фибробронхоскопу под местной анестезией при сохраненном сознании. При интубации этих больных в условиях общей анестезии с миорелаксацией велика опасность того, что не удастся добиться адекватной вентиляции с помощью маски и провести прямую ларингоскопию. При невозможности выполнить прямую ларингоскопию либо интубацию по фибробронхоскопу может быть произведена трахеостомия под местной анестезией.</w:t>
      </w:r>
    </w:p>
    <w:p w14:paraId="14D3891F" w14:textId="77777777" w:rsidR="00987CCD" w:rsidRPr="0080004F" w:rsidRDefault="00987CCD" w:rsidP="0080004F">
      <w:pPr>
        <w:rPr>
          <w:szCs w:val="24"/>
        </w:rPr>
      </w:pPr>
      <w:r w:rsidRPr="0080004F">
        <w:rPr>
          <w:szCs w:val="24"/>
        </w:rPr>
        <w:t>После интубации трахеи лишь у 15% гематологических пациентов не обнаруживается повреждений в дыхательных путях. Геморрагический трахеобронхит, кровоизлияния в слизистую и мягкие ткани трахеи и бронхов являются наиболее частыми клиническими и морфологическими формами поражения трахеобронхиального дерева: кровоизлияния в слизистую трахеи и бронхов встречаются у 67% пациентов. Тяжесть геморрагического трахеобронхита определяется не столько общим геморрагическим синдромом, сколько выраженностью местного воспаления в трахеобронхиальном дереве. В этих условиях оптимальным способом присоединения респиратора к дыхательным путям пациента является ранняя трахеостомия, выполняемая в течение первых трех суток после перевода больного на ИВЛ.</w:t>
      </w:r>
    </w:p>
    <w:p w14:paraId="12403352" w14:textId="77777777" w:rsidR="00987CCD" w:rsidRPr="0080004F" w:rsidRDefault="00987CCD" w:rsidP="0080004F">
      <w:pPr>
        <w:rPr>
          <w:szCs w:val="24"/>
        </w:rPr>
      </w:pPr>
      <w:r w:rsidRPr="0080004F">
        <w:rPr>
          <w:szCs w:val="24"/>
        </w:rPr>
        <w:t xml:space="preserve">Трахеостомия — оптимальный метод обеспечения проходимости дыхательных путей при длительной ИВЛ. По сравнению с трансларингеальной интубацией она </w:t>
      </w:r>
      <w:r w:rsidRPr="0080004F">
        <w:rPr>
          <w:bCs/>
          <w:szCs w:val="24"/>
        </w:rPr>
        <w:t>лучше переносится больными</w:t>
      </w:r>
      <w:r w:rsidRPr="0080004F">
        <w:rPr>
          <w:szCs w:val="24"/>
        </w:rPr>
        <w:t>, позволяет уменьшить сопротивление дыхательных путей и объем мертвого пространства, облегчить туалет дыхательных путей, избежать травмы голосовых связок.</w:t>
      </w:r>
    </w:p>
    <w:p w14:paraId="43FD8816" w14:textId="77777777" w:rsidR="00987CCD" w:rsidRPr="0080004F" w:rsidRDefault="00987CCD" w:rsidP="0080004F">
      <w:pPr>
        <w:rPr>
          <w:szCs w:val="24"/>
        </w:rPr>
      </w:pPr>
      <w:r w:rsidRPr="0080004F">
        <w:rPr>
          <w:szCs w:val="24"/>
        </w:rPr>
        <w:t>Обязательное условие респираторной терапии ОДН, особенно при наличии геморрагического синдрома — ежедневные санационные бронхоскопии.</w:t>
      </w:r>
    </w:p>
    <w:p w14:paraId="705A8FC7" w14:textId="77777777" w:rsidR="00987CCD" w:rsidRPr="0080004F" w:rsidRDefault="00987CCD" w:rsidP="0080004F">
      <w:pPr>
        <w:rPr>
          <w:szCs w:val="24"/>
        </w:rPr>
      </w:pPr>
    </w:p>
    <w:p w14:paraId="5D4AB2B0" w14:textId="77777777" w:rsidR="00987CCD" w:rsidRPr="0080004F" w:rsidRDefault="00987CCD" w:rsidP="0080004F">
      <w:pPr>
        <w:rPr>
          <w:szCs w:val="24"/>
        </w:rPr>
      </w:pPr>
      <w:r w:rsidRPr="0080004F">
        <w:rPr>
          <w:szCs w:val="24"/>
        </w:rPr>
        <w:t>Прогноз при ОДН гематологических пациентов зависит от характера поражения легких и выраженности нарушения их функции. Общая выживаемость больных с ОДН в палате интенсивной терапии составляет 51%, но она существенно различается в зависимости от выраженности ОДН и вида респираторной поддержки. Выживаемость пациентов, которым проводилась только оксигенотерапия, составляет 82%. Относительно высокая выживаемость (41%) достигнута среди пациентов, которым проводилась эффективная респираторная поддержка с помощью неинвазивной вентиляции легких. В то же время, несмотря на применение современных респираторов, пока не удалось добиться увеличения выживаемости пациентовх, которым проводилась ИВЛ (в настоящее время этот показатель не превышает 15%).</w:t>
      </w:r>
    </w:p>
    <w:p w14:paraId="15B5EB46" w14:textId="77777777" w:rsidR="00987CCD" w:rsidRPr="0080004F" w:rsidRDefault="00987CCD" w:rsidP="0080004F">
      <w:pPr>
        <w:rPr>
          <w:szCs w:val="24"/>
        </w:rPr>
      </w:pPr>
      <w:r w:rsidRPr="0080004F">
        <w:rPr>
          <w:szCs w:val="24"/>
        </w:rPr>
        <w:t xml:space="preserve">Помимо тяжести поражения легких неблагоприятными прогностическими факторами при ОДН у больных с гемобластозами являются: а) длительно сохраняющаяся нейтропения; б) поражение нескольких органов и систем; в) резистентность гемобластоза к химиотерапии; г) сочетание ОДН с септическим шоком, ОПН. </w:t>
      </w:r>
    </w:p>
    <w:p w14:paraId="7F0F8E07" w14:textId="77777777" w:rsidR="00987CCD" w:rsidRPr="0080004F" w:rsidRDefault="00987CCD" w:rsidP="0080004F">
      <w:pPr>
        <w:rPr>
          <w:szCs w:val="24"/>
        </w:rPr>
      </w:pPr>
      <w:r w:rsidRPr="0080004F">
        <w:rPr>
          <w:szCs w:val="24"/>
        </w:rPr>
        <w:t>Исход лечения ОДН во многом зависит от этиотропной терапии: при эмпирической терапии он будет хуже, чем при этиотропной, а выживаемость больных даже при одинаковых режимах ИВЛ будет отличаться в зависимости от поражения легких (бактериальные, вирусные и т. д.). Так, у гематологических пациентов смертность при ОДН установленной этиологии почти в два раза ниже, чем при ОДН невыясненной этиологии.</w:t>
      </w:r>
    </w:p>
    <w:p w14:paraId="12C8AC30" w14:textId="77777777" w:rsidR="00987CCD" w:rsidRPr="0080004F" w:rsidRDefault="00987CCD" w:rsidP="0080004F">
      <w:pPr>
        <w:rPr>
          <w:szCs w:val="24"/>
        </w:rPr>
      </w:pPr>
      <w:r w:rsidRPr="0080004F">
        <w:rPr>
          <w:szCs w:val="24"/>
        </w:rPr>
        <w:t>При интерстициальном легочном фиброзе и опухолевых поражениях легких прогноз чаще неблагоприятный, и значительно лучше — при пневмониях, ретиноидном и цитолитическом синдромах. Улучшить результаты интенсивной терапии при поражениях легких позволяют точная диагностика, переход от эмпирической к этиотропной терапии, перевод больного в палату интенсивной терапии, мониторинг сердечной, почечной и дыхательной функций, протезирование нарушенных функций органов и систем (ИВЛ, гемодиализ, инотропная терапия и т. д.) – рис.1.</w:t>
      </w:r>
    </w:p>
    <w:p w14:paraId="37827AD7" w14:textId="77777777" w:rsidR="00987CCD" w:rsidRPr="0080004F" w:rsidRDefault="00987CCD" w:rsidP="0080004F">
      <w:pPr>
        <w:rPr>
          <w:szCs w:val="24"/>
        </w:rPr>
        <w:sectPr w:rsidR="00987CCD" w:rsidRPr="0080004F">
          <w:pgSz w:w="11906" w:h="16838"/>
          <w:pgMar w:top="1134" w:right="850" w:bottom="1134" w:left="1701" w:header="708" w:footer="708" w:gutter="0"/>
          <w:cols w:space="708"/>
          <w:docGrid w:linePitch="360"/>
        </w:sectPr>
      </w:pPr>
    </w:p>
    <w:p w14:paraId="23AF55EF" w14:textId="77777777" w:rsidR="00987CCD" w:rsidRPr="00C15639" w:rsidRDefault="00987CCD" w:rsidP="00987CCD">
      <w:pPr>
        <w:rPr>
          <w:szCs w:val="24"/>
        </w:rPr>
      </w:pPr>
    </w:p>
    <w:p w14:paraId="188084C6" w14:textId="77777777" w:rsidR="00987CCD" w:rsidRPr="00C15639" w:rsidRDefault="00987CCD" w:rsidP="00987CCD">
      <w:pPr>
        <w:pStyle w:val="afffff1"/>
        <w:spacing w:after="0"/>
        <w:rPr>
          <w:i w:val="0"/>
          <w:lang w:val="ru-RU"/>
        </w:rPr>
      </w:pPr>
    </w:p>
    <w:p w14:paraId="15725655" w14:textId="77777777" w:rsidR="00987CCD" w:rsidRPr="00C15639" w:rsidRDefault="00987CCD" w:rsidP="00987CCD">
      <w:pPr>
        <w:rPr>
          <w:szCs w:val="24"/>
        </w:rPr>
      </w:pPr>
      <w:r w:rsidRPr="00C15639">
        <w:rPr>
          <w:bCs/>
          <w:szCs w:val="24"/>
        </w:rPr>
        <w:t>Рисунок 1.</w:t>
      </w:r>
      <w:r w:rsidRPr="00C15639">
        <w:rPr>
          <w:szCs w:val="24"/>
        </w:rPr>
        <w:t xml:space="preserve"> Протокол обследования больных с ОДН. </w:t>
      </w:r>
    </w:p>
    <w:p w14:paraId="5E66A968" w14:textId="77777777" w:rsidR="00987CCD" w:rsidRPr="00C15639" w:rsidRDefault="00987CCD" w:rsidP="00987CCD">
      <w:pPr>
        <w:pStyle w:val="afffff1"/>
        <w:spacing w:after="0"/>
        <w:rPr>
          <w:i w:val="0"/>
          <w:lang w:val="ru-RU"/>
        </w:rPr>
      </w:pPr>
    </w:p>
    <w:tbl>
      <w:tblPr>
        <w:tblW w:w="20037" w:type="dxa"/>
        <w:tblInd w:w="-1" w:type="dxa"/>
        <w:tblLayout w:type="fixed"/>
        <w:tblCellMar>
          <w:left w:w="70" w:type="dxa"/>
          <w:right w:w="70" w:type="dxa"/>
        </w:tblCellMar>
        <w:tblLook w:val="0000" w:firstRow="0" w:lastRow="0" w:firstColumn="0" w:lastColumn="0" w:noHBand="0" w:noVBand="0"/>
      </w:tblPr>
      <w:tblGrid>
        <w:gridCol w:w="8"/>
        <w:gridCol w:w="496"/>
        <w:gridCol w:w="140"/>
        <w:gridCol w:w="134"/>
        <w:gridCol w:w="286"/>
        <w:gridCol w:w="120"/>
        <w:gridCol w:w="17"/>
        <w:gridCol w:w="146"/>
        <w:gridCol w:w="146"/>
        <w:gridCol w:w="134"/>
        <w:gridCol w:w="8"/>
        <w:gridCol w:w="141"/>
        <w:gridCol w:w="276"/>
        <w:gridCol w:w="429"/>
        <w:gridCol w:w="8"/>
        <w:gridCol w:w="130"/>
        <w:gridCol w:w="146"/>
        <w:gridCol w:w="279"/>
        <w:gridCol w:w="8"/>
        <w:gridCol w:w="134"/>
        <w:gridCol w:w="4"/>
        <w:gridCol w:w="138"/>
        <w:gridCol w:w="8"/>
        <w:gridCol w:w="191"/>
        <w:gridCol w:w="374"/>
        <w:gridCol w:w="272"/>
        <w:gridCol w:w="289"/>
        <w:gridCol w:w="410"/>
        <w:gridCol w:w="2"/>
        <w:gridCol w:w="22"/>
        <w:gridCol w:w="103"/>
        <w:gridCol w:w="144"/>
        <w:gridCol w:w="31"/>
        <w:gridCol w:w="124"/>
        <w:gridCol w:w="8"/>
        <w:gridCol w:w="94"/>
        <w:gridCol w:w="851"/>
        <w:gridCol w:w="57"/>
        <w:gridCol w:w="242"/>
        <w:gridCol w:w="171"/>
        <w:gridCol w:w="296"/>
        <w:gridCol w:w="284"/>
        <w:gridCol w:w="218"/>
        <w:gridCol w:w="12"/>
        <w:gridCol w:w="9"/>
        <w:gridCol w:w="14"/>
        <w:gridCol w:w="134"/>
        <w:gridCol w:w="108"/>
        <w:gridCol w:w="137"/>
        <w:gridCol w:w="23"/>
        <w:gridCol w:w="148"/>
        <w:gridCol w:w="32"/>
        <w:gridCol w:w="146"/>
        <w:gridCol w:w="89"/>
        <w:gridCol w:w="343"/>
        <w:gridCol w:w="2"/>
        <w:gridCol w:w="8"/>
        <w:gridCol w:w="78"/>
        <w:gridCol w:w="54"/>
        <w:gridCol w:w="252"/>
        <w:gridCol w:w="177"/>
        <w:gridCol w:w="56"/>
        <w:gridCol w:w="24"/>
        <w:gridCol w:w="62"/>
        <w:gridCol w:w="90"/>
        <w:gridCol w:w="34"/>
        <w:gridCol w:w="156"/>
        <w:gridCol w:w="113"/>
        <w:gridCol w:w="50"/>
        <w:gridCol w:w="52"/>
        <w:gridCol w:w="69"/>
        <w:gridCol w:w="170"/>
        <w:gridCol w:w="333"/>
        <w:gridCol w:w="34"/>
        <w:gridCol w:w="197"/>
        <w:gridCol w:w="24"/>
        <w:gridCol w:w="9"/>
        <w:gridCol w:w="16"/>
        <w:gridCol w:w="166"/>
        <w:gridCol w:w="26"/>
        <w:gridCol w:w="86"/>
        <w:gridCol w:w="289"/>
        <w:gridCol w:w="33"/>
        <w:gridCol w:w="170"/>
        <w:gridCol w:w="29"/>
        <w:gridCol w:w="134"/>
        <w:gridCol w:w="112"/>
        <w:gridCol w:w="99"/>
        <w:gridCol w:w="30"/>
        <w:gridCol w:w="30"/>
        <w:gridCol w:w="54"/>
        <w:gridCol w:w="107"/>
        <w:gridCol w:w="36"/>
        <w:gridCol w:w="5"/>
        <w:gridCol w:w="82"/>
        <w:gridCol w:w="34"/>
        <w:gridCol w:w="67"/>
        <w:gridCol w:w="18"/>
        <w:gridCol w:w="89"/>
        <w:gridCol w:w="132"/>
        <w:gridCol w:w="158"/>
        <w:gridCol w:w="141"/>
        <w:gridCol w:w="263"/>
        <w:gridCol w:w="178"/>
        <w:gridCol w:w="26"/>
        <w:gridCol w:w="84"/>
        <w:gridCol w:w="82"/>
        <w:gridCol w:w="64"/>
        <w:gridCol w:w="2"/>
        <w:gridCol w:w="116"/>
        <w:gridCol w:w="70"/>
        <w:gridCol w:w="102"/>
        <w:gridCol w:w="139"/>
        <w:gridCol w:w="152"/>
        <w:gridCol w:w="149"/>
        <w:gridCol w:w="438"/>
        <w:gridCol w:w="22"/>
        <w:gridCol w:w="84"/>
        <w:gridCol w:w="148"/>
        <w:gridCol w:w="1"/>
        <w:gridCol w:w="115"/>
        <w:gridCol w:w="73"/>
        <w:gridCol w:w="243"/>
        <w:gridCol w:w="217"/>
        <w:gridCol w:w="86"/>
        <w:gridCol w:w="435"/>
        <w:gridCol w:w="254"/>
        <w:gridCol w:w="188"/>
        <w:gridCol w:w="192"/>
        <w:gridCol w:w="53"/>
        <w:gridCol w:w="305"/>
        <w:gridCol w:w="432"/>
        <w:gridCol w:w="1000"/>
        <w:gridCol w:w="1423"/>
        <w:gridCol w:w="8"/>
      </w:tblGrid>
      <w:tr w:rsidR="00987CCD" w:rsidRPr="00C15639" w14:paraId="2E9FFAF2" w14:textId="77777777" w:rsidTr="002D3EBF">
        <w:trPr>
          <w:gridBefore w:val="11"/>
          <w:gridAfter w:val="7"/>
          <w:wBefore w:w="1627" w:type="dxa"/>
          <w:wAfter w:w="3413" w:type="dxa"/>
        </w:trPr>
        <w:tc>
          <w:tcPr>
            <w:tcW w:w="7882" w:type="dxa"/>
            <w:gridSpan w:val="54"/>
            <w:tcBorders>
              <w:top w:val="single" w:sz="6" w:space="0" w:color="auto"/>
              <w:left w:val="single" w:sz="6" w:space="0" w:color="auto"/>
              <w:bottom w:val="single" w:sz="6" w:space="0" w:color="auto"/>
              <w:right w:val="single" w:sz="6" w:space="0" w:color="auto"/>
            </w:tcBorders>
          </w:tcPr>
          <w:p w14:paraId="237DF345" w14:textId="77777777" w:rsidR="00987CCD" w:rsidRPr="00C15639" w:rsidRDefault="00987CCD" w:rsidP="002D3EBF">
            <w:pPr>
              <w:pStyle w:val="1ff2"/>
              <w:spacing w:line="360" w:lineRule="auto"/>
              <w:jc w:val="center"/>
              <w:rPr>
                <w:sz w:val="24"/>
                <w:szCs w:val="24"/>
              </w:rPr>
            </w:pPr>
            <w:r w:rsidRPr="00C15639">
              <w:rPr>
                <w:sz w:val="24"/>
                <w:szCs w:val="24"/>
              </w:rPr>
              <w:t>Кашель, одышка, лихорадка, аускультативная картина</w:t>
            </w:r>
          </w:p>
        </w:tc>
        <w:tc>
          <w:tcPr>
            <w:tcW w:w="1423" w:type="dxa"/>
            <w:gridSpan w:val="14"/>
          </w:tcPr>
          <w:p w14:paraId="31EA548A" w14:textId="77777777" w:rsidR="00987CCD" w:rsidRPr="00C15639" w:rsidRDefault="00987CCD" w:rsidP="002D3EBF">
            <w:pPr>
              <w:rPr>
                <w:szCs w:val="24"/>
              </w:rPr>
            </w:pPr>
          </w:p>
        </w:tc>
        <w:tc>
          <w:tcPr>
            <w:tcW w:w="1423" w:type="dxa"/>
            <w:gridSpan w:val="18"/>
          </w:tcPr>
          <w:p w14:paraId="05BA0E00" w14:textId="77777777" w:rsidR="00987CCD" w:rsidRPr="00C15639" w:rsidRDefault="00987CCD" w:rsidP="002D3EBF">
            <w:pPr>
              <w:rPr>
                <w:szCs w:val="24"/>
              </w:rPr>
            </w:pPr>
          </w:p>
        </w:tc>
        <w:tc>
          <w:tcPr>
            <w:tcW w:w="1423" w:type="dxa"/>
            <w:gridSpan w:val="14"/>
          </w:tcPr>
          <w:p w14:paraId="4DB7BDA3" w14:textId="77777777" w:rsidR="00987CCD" w:rsidRPr="00C15639" w:rsidRDefault="00987CCD" w:rsidP="002D3EBF">
            <w:pPr>
              <w:rPr>
                <w:szCs w:val="24"/>
              </w:rPr>
            </w:pPr>
          </w:p>
        </w:tc>
        <w:tc>
          <w:tcPr>
            <w:tcW w:w="1423" w:type="dxa"/>
            <w:gridSpan w:val="11"/>
          </w:tcPr>
          <w:p w14:paraId="1CF2F36E" w14:textId="77777777" w:rsidR="00987CCD" w:rsidRPr="00C15639" w:rsidRDefault="00987CCD" w:rsidP="002D3EBF">
            <w:pPr>
              <w:rPr>
                <w:szCs w:val="24"/>
              </w:rPr>
            </w:pPr>
          </w:p>
        </w:tc>
        <w:tc>
          <w:tcPr>
            <w:tcW w:w="1423" w:type="dxa"/>
            <w:gridSpan w:val="6"/>
          </w:tcPr>
          <w:p w14:paraId="2F7174F0" w14:textId="77777777" w:rsidR="00987CCD" w:rsidRPr="00C15639" w:rsidRDefault="00987CCD" w:rsidP="002D3EBF">
            <w:pPr>
              <w:rPr>
                <w:szCs w:val="24"/>
              </w:rPr>
            </w:pPr>
          </w:p>
        </w:tc>
      </w:tr>
      <w:tr w:rsidR="00987CCD" w:rsidRPr="00C15639" w14:paraId="5602CCE7" w14:textId="77777777" w:rsidTr="002D3EBF">
        <w:trPr>
          <w:gridBefore w:val="1"/>
          <w:gridAfter w:val="59"/>
          <w:wAfter w:w="9296" w:type="dxa"/>
        </w:trPr>
        <w:tc>
          <w:tcPr>
            <w:tcW w:w="1485" w:type="dxa"/>
            <w:gridSpan w:val="8"/>
          </w:tcPr>
          <w:p w14:paraId="4A6AF4FF" w14:textId="77777777" w:rsidR="00987CCD" w:rsidRPr="00C15639" w:rsidRDefault="00987CCD" w:rsidP="002D3EBF">
            <w:pPr>
              <w:pStyle w:val="1ff2"/>
              <w:spacing w:line="360" w:lineRule="auto"/>
              <w:rPr>
                <w:sz w:val="24"/>
                <w:szCs w:val="24"/>
              </w:rPr>
            </w:pPr>
          </w:p>
        </w:tc>
        <w:tc>
          <w:tcPr>
            <w:tcW w:w="996" w:type="dxa"/>
            <w:gridSpan w:val="6"/>
          </w:tcPr>
          <w:p w14:paraId="0445C7BC" w14:textId="77777777" w:rsidR="00987CCD" w:rsidRPr="00C15639" w:rsidRDefault="00987CCD" w:rsidP="002D3EBF">
            <w:pPr>
              <w:pStyle w:val="1ff2"/>
              <w:spacing w:line="360" w:lineRule="auto"/>
              <w:rPr>
                <w:sz w:val="24"/>
                <w:szCs w:val="24"/>
              </w:rPr>
            </w:pPr>
          </w:p>
        </w:tc>
        <w:tc>
          <w:tcPr>
            <w:tcW w:w="2809" w:type="dxa"/>
            <w:gridSpan w:val="19"/>
            <w:tcBorders>
              <w:right w:val="single" w:sz="6" w:space="0" w:color="auto"/>
            </w:tcBorders>
          </w:tcPr>
          <w:p w14:paraId="040C3CC2" w14:textId="77777777" w:rsidR="00987CCD" w:rsidRPr="00C15639" w:rsidRDefault="00987CCD" w:rsidP="002D3EBF">
            <w:pPr>
              <w:pStyle w:val="1ff2"/>
              <w:spacing w:line="360" w:lineRule="auto"/>
              <w:jc w:val="center"/>
              <w:rPr>
                <w:sz w:val="24"/>
                <w:szCs w:val="24"/>
              </w:rPr>
            </w:pPr>
          </w:p>
        </w:tc>
        <w:tc>
          <w:tcPr>
            <w:tcW w:w="2635" w:type="dxa"/>
            <w:gridSpan w:val="15"/>
          </w:tcPr>
          <w:p w14:paraId="6483A090" w14:textId="77777777" w:rsidR="00987CCD" w:rsidRPr="00C15639" w:rsidRDefault="00987CCD" w:rsidP="002D3EBF">
            <w:pPr>
              <w:pStyle w:val="1ff2"/>
              <w:spacing w:line="360" w:lineRule="auto"/>
              <w:jc w:val="center"/>
              <w:rPr>
                <w:sz w:val="24"/>
                <w:szCs w:val="24"/>
              </w:rPr>
            </w:pPr>
          </w:p>
        </w:tc>
        <w:tc>
          <w:tcPr>
            <w:tcW w:w="1408" w:type="dxa"/>
            <w:gridSpan w:val="13"/>
          </w:tcPr>
          <w:p w14:paraId="28B39618" w14:textId="77777777" w:rsidR="00987CCD" w:rsidRPr="00C15639" w:rsidRDefault="00987CCD" w:rsidP="002D3EBF">
            <w:pPr>
              <w:rPr>
                <w:szCs w:val="24"/>
              </w:rPr>
            </w:pPr>
          </w:p>
        </w:tc>
        <w:tc>
          <w:tcPr>
            <w:tcW w:w="1408" w:type="dxa"/>
            <w:gridSpan w:val="14"/>
          </w:tcPr>
          <w:p w14:paraId="0C91F222" w14:textId="77777777" w:rsidR="00987CCD" w:rsidRPr="00C15639" w:rsidRDefault="00987CCD" w:rsidP="002D3EBF">
            <w:pPr>
              <w:rPr>
                <w:szCs w:val="24"/>
              </w:rPr>
            </w:pPr>
          </w:p>
        </w:tc>
      </w:tr>
      <w:tr w:rsidR="00987CCD" w:rsidRPr="00C15639" w14:paraId="6B274FDA" w14:textId="77777777" w:rsidTr="002D3EBF">
        <w:trPr>
          <w:gridBefore w:val="1"/>
          <w:gridAfter w:val="57"/>
          <w:wAfter w:w="9271" w:type="dxa"/>
        </w:trPr>
        <w:tc>
          <w:tcPr>
            <w:tcW w:w="1485" w:type="dxa"/>
            <w:gridSpan w:val="8"/>
          </w:tcPr>
          <w:p w14:paraId="447BAFDB" w14:textId="77777777" w:rsidR="00987CCD" w:rsidRPr="00C15639" w:rsidRDefault="00987CCD" w:rsidP="002D3EBF">
            <w:pPr>
              <w:pStyle w:val="1ff2"/>
              <w:spacing w:line="360" w:lineRule="auto"/>
              <w:rPr>
                <w:sz w:val="24"/>
                <w:szCs w:val="24"/>
              </w:rPr>
            </w:pPr>
          </w:p>
        </w:tc>
        <w:tc>
          <w:tcPr>
            <w:tcW w:w="1559" w:type="dxa"/>
            <w:gridSpan w:val="10"/>
          </w:tcPr>
          <w:p w14:paraId="58163AA6" w14:textId="77777777" w:rsidR="00987CCD" w:rsidRPr="00C15639" w:rsidRDefault="00987CCD" w:rsidP="002D3EBF">
            <w:pPr>
              <w:pStyle w:val="1ff2"/>
              <w:spacing w:line="360" w:lineRule="auto"/>
              <w:rPr>
                <w:sz w:val="24"/>
                <w:szCs w:val="24"/>
              </w:rPr>
            </w:pPr>
          </w:p>
        </w:tc>
        <w:tc>
          <w:tcPr>
            <w:tcW w:w="4744" w:type="dxa"/>
            <w:gridSpan w:val="29"/>
            <w:tcBorders>
              <w:top w:val="single" w:sz="6" w:space="0" w:color="auto"/>
              <w:left w:val="single" w:sz="6" w:space="0" w:color="auto"/>
              <w:bottom w:val="single" w:sz="6" w:space="0" w:color="auto"/>
              <w:right w:val="single" w:sz="6" w:space="0" w:color="auto"/>
            </w:tcBorders>
          </w:tcPr>
          <w:p w14:paraId="67D4E731" w14:textId="77777777" w:rsidR="00987CCD" w:rsidRPr="00C15639" w:rsidRDefault="00987CCD" w:rsidP="002D3EBF">
            <w:pPr>
              <w:pStyle w:val="1ff2"/>
              <w:spacing w:line="360" w:lineRule="auto"/>
              <w:jc w:val="center"/>
              <w:rPr>
                <w:sz w:val="24"/>
                <w:szCs w:val="24"/>
              </w:rPr>
            </w:pPr>
            <w:r w:rsidRPr="00C15639">
              <w:rPr>
                <w:sz w:val="24"/>
                <w:szCs w:val="24"/>
              </w:rPr>
              <w:t>Исследование газов артериальной крови</w:t>
            </w:r>
          </w:p>
        </w:tc>
        <w:tc>
          <w:tcPr>
            <w:tcW w:w="160" w:type="dxa"/>
            <w:gridSpan w:val="2"/>
          </w:tcPr>
          <w:p w14:paraId="6DB62A6D" w14:textId="77777777" w:rsidR="00987CCD" w:rsidRPr="00C15639" w:rsidRDefault="00987CCD" w:rsidP="002D3EBF">
            <w:pPr>
              <w:pStyle w:val="1ff2"/>
              <w:spacing w:line="360" w:lineRule="auto"/>
              <w:jc w:val="center"/>
              <w:rPr>
                <w:sz w:val="24"/>
                <w:szCs w:val="24"/>
              </w:rPr>
            </w:pPr>
          </w:p>
        </w:tc>
        <w:tc>
          <w:tcPr>
            <w:tcW w:w="1409" w:type="dxa"/>
            <w:gridSpan w:val="13"/>
          </w:tcPr>
          <w:p w14:paraId="00867975" w14:textId="77777777" w:rsidR="00987CCD" w:rsidRPr="00C15639" w:rsidRDefault="00987CCD" w:rsidP="002D3EBF">
            <w:pPr>
              <w:rPr>
                <w:szCs w:val="24"/>
              </w:rPr>
            </w:pPr>
          </w:p>
        </w:tc>
        <w:tc>
          <w:tcPr>
            <w:tcW w:w="1409" w:type="dxa"/>
            <w:gridSpan w:val="15"/>
          </w:tcPr>
          <w:p w14:paraId="41EE39AC" w14:textId="77777777" w:rsidR="00987CCD" w:rsidRPr="00C15639" w:rsidRDefault="00987CCD" w:rsidP="002D3EBF">
            <w:pPr>
              <w:rPr>
                <w:szCs w:val="24"/>
              </w:rPr>
            </w:pPr>
          </w:p>
        </w:tc>
      </w:tr>
      <w:tr w:rsidR="00987CCD" w:rsidRPr="00C15639" w14:paraId="74B9D845" w14:textId="77777777" w:rsidTr="002D3EBF">
        <w:trPr>
          <w:gridBefore w:val="1"/>
          <w:gridAfter w:val="59"/>
          <w:wAfter w:w="9296" w:type="dxa"/>
        </w:trPr>
        <w:tc>
          <w:tcPr>
            <w:tcW w:w="1485" w:type="dxa"/>
            <w:gridSpan w:val="8"/>
          </w:tcPr>
          <w:p w14:paraId="5E2F57BA" w14:textId="77777777" w:rsidR="00987CCD" w:rsidRPr="00C15639" w:rsidRDefault="00987CCD" w:rsidP="002D3EBF">
            <w:pPr>
              <w:pStyle w:val="1ff2"/>
              <w:spacing w:line="360" w:lineRule="auto"/>
              <w:rPr>
                <w:sz w:val="24"/>
                <w:szCs w:val="24"/>
              </w:rPr>
            </w:pPr>
          </w:p>
        </w:tc>
        <w:tc>
          <w:tcPr>
            <w:tcW w:w="996" w:type="dxa"/>
            <w:gridSpan w:val="6"/>
          </w:tcPr>
          <w:p w14:paraId="59456C63" w14:textId="77777777" w:rsidR="00987CCD" w:rsidRPr="00C15639" w:rsidRDefault="00987CCD" w:rsidP="002D3EBF">
            <w:pPr>
              <w:pStyle w:val="1ff2"/>
              <w:spacing w:line="360" w:lineRule="auto"/>
              <w:rPr>
                <w:sz w:val="24"/>
                <w:szCs w:val="24"/>
              </w:rPr>
            </w:pPr>
          </w:p>
        </w:tc>
        <w:tc>
          <w:tcPr>
            <w:tcW w:w="2809" w:type="dxa"/>
            <w:gridSpan w:val="19"/>
            <w:tcBorders>
              <w:right w:val="single" w:sz="6" w:space="0" w:color="auto"/>
            </w:tcBorders>
          </w:tcPr>
          <w:p w14:paraId="575BE86E" w14:textId="77777777" w:rsidR="00987CCD" w:rsidRPr="00C15639" w:rsidRDefault="00987CCD" w:rsidP="002D3EBF">
            <w:pPr>
              <w:pStyle w:val="1ff2"/>
              <w:spacing w:line="360" w:lineRule="auto"/>
              <w:jc w:val="center"/>
              <w:rPr>
                <w:sz w:val="24"/>
                <w:szCs w:val="24"/>
              </w:rPr>
            </w:pPr>
          </w:p>
        </w:tc>
        <w:tc>
          <w:tcPr>
            <w:tcW w:w="2635" w:type="dxa"/>
            <w:gridSpan w:val="15"/>
          </w:tcPr>
          <w:p w14:paraId="7BF0B553" w14:textId="77777777" w:rsidR="00987CCD" w:rsidRPr="00C15639" w:rsidRDefault="00987CCD" w:rsidP="002D3EBF">
            <w:pPr>
              <w:pStyle w:val="1ff2"/>
              <w:spacing w:line="360" w:lineRule="auto"/>
              <w:jc w:val="center"/>
              <w:rPr>
                <w:sz w:val="24"/>
                <w:szCs w:val="24"/>
              </w:rPr>
            </w:pPr>
          </w:p>
        </w:tc>
        <w:tc>
          <w:tcPr>
            <w:tcW w:w="1408" w:type="dxa"/>
            <w:gridSpan w:val="13"/>
          </w:tcPr>
          <w:p w14:paraId="5C692A89" w14:textId="77777777" w:rsidR="00987CCD" w:rsidRPr="00C15639" w:rsidRDefault="00987CCD" w:rsidP="002D3EBF">
            <w:pPr>
              <w:rPr>
                <w:szCs w:val="24"/>
              </w:rPr>
            </w:pPr>
          </w:p>
        </w:tc>
        <w:tc>
          <w:tcPr>
            <w:tcW w:w="1408" w:type="dxa"/>
            <w:gridSpan w:val="14"/>
          </w:tcPr>
          <w:p w14:paraId="4991AD80" w14:textId="77777777" w:rsidR="00987CCD" w:rsidRPr="00C15639" w:rsidRDefault="00987CCD" w:rsidP="002D3EBF">
            <w:pPr>
              <w:rPr>
                <w:szCs w:val="24"/>
              </w:rPr>
            </w:pPr>
          </w:p>
        </w:tc>
      </w:tr>
      <w:tr w:rsidR="00987CCD" w:rsidRPr="00C15639" w14:paraId="32371837" w14:textId="77777777" w:rsidTr="002D3EBF">
        <w:trPr>
          <w:gridBefore w:val="19"/>
          <w:gridAfter w:val="18"/>
          <w:wBefore w:w="3044" w:type="dxa"/>
          <w:wAfter w:w="5257" w:type="dxa"/>
          <w:cantSplit/>
        </w:trPr>
        <w:tc>
          <w:tcPr>
            <w:tcW w:w="4636" w:type="dxa"/>
            <w:gridSpan w:val="28"/>
            <w:tcBorders>
              <w:top w:val="single" w:sz="6" w:space="0" w:color="auto"/>
              <w:left w:val="single" w:sz="6" w:space="0" w:color="auto"/>
              <w:bottom w:val="single" w:sz="6" w:space="0" w:color="auto"/>
              <w:right w:val="single" w:sz="6" w:space="0" w:color="auto"/>
            </w:tcBorders>
          </w:tcPr>
          <w:p w14:paraId="18AAC7EE" w14:textId="77777777" w:rsidR="00987CCD" w:rsidRPr="00C15639" w:rsidRDefault="00987CCD" w:rsidP="002D3EBF">
            <w:pPr>
              <w:pStyle w:val="1ff2"/>
              <w:spacing w:line="360" w:lineRule="auto"/>
              <w:jc w:val="center"/>
              <w:rPr>
                <w:sz w:val="24"/>
                <w:szCs w:val="24"/>
              </w:rPr>
            </w:pPr>
            <w:r w:rsidRPr="00C15639">
              <w:rPr>
                <w:sz w:val="24"/>
                <w:szCs w:val="24"/>
              </w:rPr>
              <w:t>Ультразвуковое исследование легких</w:t>
            </w:r>
          </w:p>
        </w:tc>
        <w:tc>
          <w:tcPr>
            <w:tcW w:w="1420" w:type="dxa"/>
            <w:gridSpan w:val="13"/>
          </w:tcPr>
          <w:p w14:paraId="6AC4A87C" w14:textId="77777777" w:rsidR="00987CCD" w:rsidRPr="00C15639" w:rsidRDefault="00987CCD" w:rsidP="002D3EBF">
            <w:pPr>
              <w:rPr>
                <w:szCs w:val="24"/>
              </w:rPr>
            </w:pPr>
          </w:p>
        </w:tc>
        <w:tc>
          <w:tcPr>
            <w:tcW w:w="1420" w:type="dxa"/>
            <w:gridSpan w:val="14"/>
          </w:tcPr>
          <w:p w14:paraId="158091A3" w14:textId="77777777" w:rsidR="00987CCD" w:rsidRPr="00C15639" w:rsidRDefault="00987CCD" w:rsidP="002D3EBF">
            <w:pPr>
              <w:rPr>
                <w:szCs w:val="24"/>
              </w:rPr>
            </w:pPr>
          </w:p>
        </w:tc>
        <w:tc>
          <w:tcPr>
            <w:tcW w:w="1420" w:type="dxa"/>
            <w:gridSpan w:val="15"/>
          </w:tcPr>
          <w:p w14:paraId="005FE5F9" w14:textId="77777777" w:rsidR="00987CCD" w:rsidRPr="00C15639" w:rsidRDefault="00987CCD" w:rsidP="002D3EBF">
            <w:pPr>
              <w:rPr>
                <w:szCs w:val="24"/>
              </w:rPr>
            </w:pPr>
          </w:p>
        </w:tc>
        <w:tc>
          <w:tcPr>
            <w:tcW w:w="1420" w:type="dxa"/>
            <w:gridSpan w:val="16"/>
          </w:tcPr>
          <w:p w14:paraId="7A062711" w14:textId="77777777" w:rsidR="00987CCD" w:rsidRPr="00C15639" w:rsidRDefault="00987CCD" w:rsidP="002D3EBF">
            <w:pPr>
              <w:rPr>
                <w:szCs w:val="24"/>
              </w:rPr>
            </w:pPr>
          </w:p>
        </w:tc>
        <w:tc>
          <w:tcPr>
            <w:tcW w:w="1420" w:type="dxa"/>
            <w:gridSpan w:val="12"/>
          </w:tcPr>
          <w:p w14:paraId="5915BE6C" w14:textId="77777777" w:rsidR="00987CCD" w:rsidRPr="00C15639" w:rsidRDefault="00987CCD" w:rsidP="002D3EBF">
            <w:pPr>
              <w:rPr>
                <w:szCs w:val="24"/>
              </w:rPr>
            </w:pPr>
          </w:p>
        </w:tc>
      </w:tr>
      <w:tr w:rsidR="00987CCD" w:rsidRPr="00C15639" w14:paraId="5013AF95" w14:textId="77777777" w:rsidTr="002D3EBF">
        <w:trPr>
          <w:gridBefore w:val="3"/>
          <w:gridAfter w:val="37"/>
          <w:wBefore w:w="636" w:type="dxa"/>
          <w:wAfter w:w="7664" w:type="dxa"/>
          <w:cantSplit/>
        </w:trPr>
        <w:tc>
          <w:tcPr>
            <w:tcW w:w="4662" w:type="dxa"/>
            <w:gridSpan w:val="32"/>
            <w:tcBorders>
              <w:bottom w:val="single" w:sz="6" w:space="0" w:color="auto"/>
              <w:right w:val="single" w:sz="6" w:space="0" w:color="auto"/>
            </w:tcBorders>
          </w:tcPr>
          <w:p w14:paraId="06A8CDCD" w14:textId="77777777" w:rsidR="00987CCD" w:rsidRPr="00C15639" w:rsidRDefault="00987CCD" w:rsidP="002D3EBF">
            <w:pPr>
              <w:pStyle w:val="1ff2"/>
              <w:spacing w:line="360" w:lineRule="auto"/>
              <w:jc w:val="center"/>
              <w:rPr>
                <w:sz w:val="24"/>
                <w:szCs w:val="24"/>
              </w:rPr>
            </w:pPr>
          </w:p>
        </w:tc>
        <w:tc>
          <w:tcPr>
            <w:tcW w:w="1415" w:type="dxa"/>
            <w:gridSpan w:val="5"/>
          </w:tcPr>
          <w:p w14:paraId="14EBE075" w14:textId="77777777" w:rsidR="00987CCD" w:rsidRPr="00C15639" w:rsidRDefault="00987CCD" w:rsidP="002D3EBF">
            <w:pPr>
              <w:rPr>
                <w:szCs w:val="24"/>
              </w:rPr>
            </w:pPr>
          </w:p>
        </w:tc>
        <w:tc>
          <w:tcPr>
            <w:tcW w:w="1415" w:type="dxa"/>
            <w:gridSpan w:val="12"/>
          </w:tcPr>
          <w:p w14:paraId="380E97B6" w14:textId="77777777" w:rsidR="00987CCD" w:rsidRPr="00C15639" w:rsidRDefault="00987CCD" w:rsidP="002D3EBF">
            <w:pPr>
              <w:rPr>
                <w:szCs w:val="24"/>
              </w:rPr>
            </w:pPr>
          </w:p>
        </w:tc>
        <w:tc>
          <w:tcPr>
            <w:tcW w:w="1415" w:type="dxa"/>
            <w:gridSpan w:val="14"/>
          </w:tcPr>
          <w:p w14:paraId="22DEE53B" w14:textId="77777777" w:rsidR="00987CCD" w:rsidRPr="00C15639" w:rsidRDefault="00987CCD" w:rsidP="002D3EBF">
            <w:pPr>
              <w:rPr>
                <w:szCs w:val="24"/>
              </w:rPr>
            </w:pPr>
          </w:p>
        </w:tc>
        <w:tc>
          <w:tcPr>
            <w:tcW w:w="1415" w:type="dxa"/>
            <w:gridSpan w:val="14"/>
          </w:tcPr>
          <w:p w14:paraId="5C0CC02E" w14:textId="77777777" w:rsidR="00987CCD" w:rsidRPr="00C15639" w:rsidRDefault="00987CCD" w:rsidP="002D3EBF">
            <w:pPr>
              <w:rPr>
                <w:szCs w:val="24"/>
              </w:rPr>
            </w:pPr>
          </w:p>
        </w:tc>
        <w:tc>
          <w:tcPr>
            <w:tcW w:w="1415" w:type="dxa"/>
            <w:gridSpan w:val="18"/>
          </w:tcPr>
          <w:p w14:paraId="703583F1" w14:textId="77777777" w:rsidR="00987CCD" w:rsidRPr="00C15639" w:rsidRDefault="00987CCD" w:rsidP="002D3EBF">
            <w:pPr>
              <w:rPr>
                <w:szCs w:val="24"/>
              </w:rPr>
            </w:pPr>
          </w:p>
        </w:tc>
      </w:tr>
      <w:tr w:rsidR="00987CCD" w:rsidRPr="00C15639" w14:paraId="04C574DB" w14:textId="77777777" w:rsidTr="002D3EBF">
        <w:trPr>
          <w:gridBefore w:val="2"/>
          <w:wBefore w:w="496" w:type="dxa"/>
          <w:cantSplit/>
        </w:trPr>
        <w:tc>
          <w:tcPr>
            <w:tcW w:w="12397" w:type="dxa"/>
            <w:gridSpan w:val="100"/>
            <w:tcBorders>
              <w:top w:val="single" w:sz="6" w:space="0" w:color="auto"/>
              <w:left w:val="single" w:sz="6" w:space="0" w:color="auto"/>
              <w:bottom w:val="single" w:sz="6" w:space="0" w:color="auto"/>
              <w:right w:val="single" w:sz="6" w:space="0" w:color="auto"/>
            </w:tcBorders>
          </w:tcPr>
          <w:p w14:paraId="1E43CADC" w14:textId="77777777" w:rsidR="00987CCD" w:rsidRPr="00C15639" w:rsidRDefault="00987CCD" w:rsidP="002D3EBF">
            <w:pPr>
              <w:pStyle w:val="1ff2"/>
              <w:spacing w:line="360" w:lineRule="auto"/>
              <w:jc w:val="center"/>
              <w:rPr>
                <w:sz w:val="24"/>
                <w:szCs w:val="24"/>
              </w:rPr>
            </w:pPr>
            <w:r w:rsidRPr="00C15639">
              <w:rPr>
                <w:sz w:val="24"/>
                <w:szCs w:val="24"/>
              </w:rPr>
              <w:t>СКТ легких - желательна у всех больных. Абсолютные показания - наличие полостей, подозрение на поражение легких ЦМВ, пневмоцистами, грибами, опухолевыми клетками. При ОДН СКТ выполняется у всех больных</w:t>
            </w:r>
          </w:p>
        </w:tc>
        <w:tc>
          <w:tcPr>
            <w:tcW w:w="1427" w:type="dxa"/>
            <w:gridSpan w:val="13"/>
          </w:tcPr>
          <w:p w14:paraId="29CA2AB2" w14:textId="77777777" w:rsidR="00987CCD" w:rsidRPr="00C15639" w:rsidRDefault="00987CCD" w:rsidP="002D3EBF">
            <w:pPr>
              <w:rPr>
                <w:szCs w:val="24"/>
              </w:rPr>
            </w:pPr>
          </w:p>
        </w:tc>
        <w:tc>
          <w:tcPr>
            <w:tcW w:w="1427" w:type="dxa"/>
            <w:gridSpan w:val="10"/>
          </w:tcPr>
          <w:p w14:paraId="4BD4C129" w14:textId="77777777" w:rsidR="00987CCD" w:rsidRPr="00C15639" w:rsidRDefault="00987CCD" w:rsidP="002D3EBF">
            <w:pPr>
              <w:rPr>
                <w:szCs w:val="24"/>
              </w:rPr>
            </w:pPr>
          </w:p>
        </w:tc>
        <w:tc>
          <w:tcPr>
            <w:tcW w:w="1427" w:type="dxa"/>
            <w:gridSpan w:val="6"/>
          </w:tcPr>
          <w:p w14:paraId="3C031B36" w14:textId="77777777" w:rsidR="00987CCD" w:rsidRPr="00C15639" w:rsidRDefault="00987CCD" w:rsidP="002D3EBF">
            <w:pPr>
              <w:rPr>
                <w:szCs w:val="24"/>
              </w:rPr>
            </w:pPr>
          </w:p>
        </w:tc>
        <w:tc>
          <w:tcPr>
            <w:tcW w:w="1432" w:type="dxa"/>
            <w:gridSpan w:val="2"/>
          </w:tcPr>
          <w:p w14:paraId="5E37ADDF" w14:textId="77777777" w:rsidR="00987CCD" w:rsidRPr="00C15639" w:rsidRDefault="00987CCD" w:rsidP="002D3EBF">
            <w:pPr>
              <w:rPr>
                <w:szCs w:val="24"/>
              </w:rPr>
            </w:pPr>
          </w:p>
        </w:tc>
        <w:tc>
          <w:tcPr>
            <w:tcW w:w="1431" w:type="dxa"/>
            <w:gridSpan w:val="2"/>
          </w:tcPr>
          <w:p w14:paraId="19163A40" w14:textId="77777777" w:rsidR="00987CCD" w:rsidRPr="00C15639" w:rsidRDefault="00987CCD" w:rsidP="002D3EBF">
            <w:pPr>
              <w:rPr>
                <w:szCs w:val="24"/>
              </w:rPr>
            </w:pPr>
          </w:p>
        </w:tc>
      </w:tr>
      <w:tr w:rsidR="00987CCD" w:rsidRPr="00C15639" w14:paraId="3675AFE7" w14:textId="77777777" w:rsidTr="002D3EBF">
        <w:trPr>
          <w:gridBefore w:val="2"/>
          <w:gridAfter w:val="21"/>
          <w:wBefore w:w="496" w:type="dxa"/>
          <w:wAfter w:w="5866" w:type="dxa"/>
          <w:cantSplit/>
          <w:trHeight w:val="240"/>
        </w:trPr>
        <w:tc>
          <w:tcPr>
            <w:tcW w:w="2832" w:type="dxa"/>
            <w:gridSpan w:val="21"/>
            <w:tcBorders>
              <w:right w:val="single" w:sz="6" w:space="0" w:color="auto"/>
            </w:tcBorders>
          </w:tcPr>
          <w:p w14:paraId="2620B39A" w14:textId="77777777" w:rsidR="00987CCD" w:rsidRPr="00C15639" w:rsidRDefault="00987CCD" w:rsidP="002D3EBF">
            <w:pPr>
              <w:pStyle w:val="1ff2"/>
              <w:spacing w:line="360" w:lineRule="auto"/>
              <w:jc w:val="center"/>
              <w:rPr>
                <w:sz w:val="24"/>
                <w:szCs w:val="24"/>
              </w:rPr>
            </w:pPr>
          </w:p>
        </w:tc>
        <w:tc>
          <w:tcPr>
            <w:tcW w:w="5466" w:type="dxa"/>
            <w:gridSpan w:val="35"/>
            <w:tcBorders>
              <w:left w:val="nil"/>
              <w:right w:val="single" w:sz="6" w:space="0" w:color="auto"/>
            </w:tcBorders>
          </w:tcPr>
          <w:p w14:paraId="4F96DDB5" w14:textId="77777777" w:rsidR="00987CCD" w:rsidRPr="00C15639" w:rsidRDefault="00987CCD" w:rsidP="002D3EBF">
            <w:pPr>
              <w:pStyle w:val="1ff2"/>
              <w:spacing w:line="360" w:lineRule="auto"/>
              <w:rPr>
                <w:sz w:val="24"/>
                <w:szCs w:val="24"/>
              </w:rPr>
            </w:pPr>
          </w:p>
        </w:tc>
        <w:tc>
          <w:tcPr>
            <w:tcW w:w="1120" w:type="dxa"/>
            <w:gridSpan w:val="12"/>
            <w:tcBorders>
              <w:top w:val="single" w:sz="6" w:space="0" w:color="auto"/>
              <w:left w:val="nil"/>
            </w:tcBorders>
          </w:tcPr>
          <w:p w14:paraId="69C43C86" w14:textId="77777777" w:rsidR="00987CCD" w:rsidRPr="00C15639" w:rsidRDefault="00987CCD" w:rsidP="002D3EBF">
            <w:pPr>
              <w:pStyle w:val="1ff2"/>
              <w:spacing w:line="360" w:lineRule="auto"/>
              <w:jc w:val="center"/>
              <w:rPr>
                <w:sz w:val="24"/>
                <w:szCs w:val="24"/>
              </w:rPr>
            </w:pPr>
          </w:p>
        </w:tc>
        <w:tc>
          <w:tcPr>
            <w:tcW w:w="1419" w:type="dxa"/>
            <w:gridSpan w:val="12"/>
          </w:tcPr>
          <w:p w14:paraId="2852BD5E" w14:textId="77777777" w:rsidR="00987CCD" w:rsidRPr="00C15639" w:rsidRDefault="00987CCD" w:rsidP="002D3EBF">
            <w:pPr>
              <w:rPr>
                <w:szCs w:val="24"/>
              </w:rPr>
            </w:pPr>
          </w:p>
        </w:tc>
        <w:tc>
          <w:tcPr>
            <w:tcW w:w="1419" w:type="dxa"/>
            <w:gridSpan w:val="19"/>
          </w:tcPr>
          <w:p w14:paraId="09378D14" w14:textId="77777777" w:rsidR="00987CCD" w:rsidRPr="00C15639" w:rsidRDefault="00987CCD" w:rsidP="002D3EBF">
            <w:pPr>
              <w:rPr>
                <w:szCs w:val="24"/>
              </w:rPr>
            </w:pPr>
          </w:p>
        </w:tc>
        <w:tc>
          <w:tcPr>
            <w:tcW w:w="1419" w:type="dxa"/>
            <w:gridSpan w:val="13"/>
          </w:tcPr>
          <w:p w14:paraId="332BE825" w14:textId="77777777" w:rsidR="00987CCD" w:rsidRPr="00C15639" w:rsidRDefault="00987CCD" w:rsidP="002D3EBF">
            <w:pPr>
              <w:rPr>
                <w:szCs w:val="24"/>
              </w:rPr>
            </w:pPr>
          </w:p>
        </w:tc>
      </w:tr>
      <w:tr w:rsidR="00987CCD" w:rsidRPr="00C15639" w14:paraId="6DC21466" w14:textId="77777777" w:rsidTr="002D3EBF">
        <w:trPr>
          <w:gridBefore w:val="3"/>
          <w:gridAfter w:val="8"/>
          <w:wBefore w:w="636" w:type="dxa"/>
          <w:wAfter w:w="3601" w:type="dxa"/>
          <w:cantSplit/>
        </w:trPr>
        <w:tc>
          <w:tcPr>
            <w:tcW w:w="4530" w:type="dxa"/>
            <w:gridSpan w:val="30"/>
            <w:tcBorders>
              <w:top w:val="single" w:sz="6" w:space="0" w:color="auto"/>
              <w:left w:val="single" w:sz="6" w:space="0" w:color="auto"/>
              <w:bottom w:val="single" w:sz="6" w:space="0" w:color="auto"/>
              <w:right w:val="single" w:sz="6" w:space="0" w:color="auto"/>
            </w:tcBorders>
          </w:tcPr>
          <w:p w14:paraId="5BEA104D" w14:textId="77777777" w:rsidR="00987CCD" w:rsidRPr="00C15639" w:rsidRDefault="00987CCD" w:rsidP="002D3EBF">
            <w:pPr>
              <w:pStyle w:val="1ff2"/>
              <w:spacing w:line="360" w:lineRule="auto"/>
              <w:jc w:val="center"/>
              <w:rPr>
                <w:sz w:val="24"/>
                <w:szCs w:val="24"/>
              </w:rPr>
            </w:pPr>
            <w:r w:rsidRPr="00C15639">
              <w:rPr>
                <w:sz w:val="24"/>
                <w:szCs w:val="24"/>
              </w:rPr>
              <w:t>Диффузные изменения в легких</w:t>
            </w:r>
          </w:p>
        </w:tc>
        <w:tc>
          <w:tcPr>
            <w:tcW w:w="2380" w:type="dxa"/>
            <w:gridSpan w:val="13"/>
            <w:tcBorders>
              <w:left w:val="nil"/>
              <w:right w:val="single" w:sz="6" w:space="0" w:color="auto"/>
            </w:tcBorders>
          </w:tcPr>
          <w:p w14:paraId="3D803C94" w14:textId="77777777" w:rsidR="00987CCD" w:rsidRPr="00C15639" w:rsidRDefault="00987CCD" w:rsidP="002D3EBF">
            <w:pPr>
              <w:pStyle w:val="1ff2"/>
              <w:spacing w:line="360" w:lineRule="auto"/>
              <w:rPr>
                <w:sz w:val="24"/>
                <w:szCs w:val="24"/>
              </w:rPr>
            </w:pPr>
          </w:p>
        </w:tc>
        <w:tc>
          <w:tcPr>
            <w:tcW w:w="4621" w:type="dxa"/>
            <w:gridSpan w:val="47"/>
            <w:tcBorders>
              <w:top w:val="single" w:sz="6" w:space="0" w:color="auto"/>
              <w:left w:val="nil"/>
              <w:bottom w:val="single" w:sz="6" w:space="0" w:color="auto"/>
              <w:right w:val="single" w:sz="6" w:space="0" w:color="auto"/>
            </w:tcBorders>
          </w:tcPr>
          <w:p w14:paraId="7BA0D51A" w14:textId="77777777" w:rsidR="00987CCD" w:rsidRPr="00C15639" w:rsidRDefault="00987CCD" w:rsidP="002D3EBF">
            <w:pPr>
              <w:pStyle w:val="1ff2"/>
              <w:spacing w:line="360" w:lineRule="auto"/>
              <w:jc w:val="center"/>
              <w:rPr>
                <w:sz w:val="24"/>
                <w:szCs w:val="24"/>
              </w:rPr>
            </w:pPr>
            <w:r w:rsidRPr="00C15639">
              <w:rPr>
                <w:sz w:val="24"/>
                <w:szCs w:val="24"/>
              </w:rPr>
              <w:t>Очаговые изменения в легких</w:t>
            </w:r>
          </w:p>
        </w:tc>
        <w:tc>
          <w:tcPr>
            <w:tcW w:w="1423" w:type="dxa"/>
            <w:gridSpan w:val="15"/>
          </w:tcPr>
          <w:p w14:paraId="641C3064" w14:textId="77777777" w:rsidR="00987CCD" w:rsidRPr="00C15639" w:rsidRDefault="00987CCD" w:rsidP="002D3EBF">
            <w:pPr>
              <w:rPr>
                <w:szCs w:val="24"/>
              </w:rPr>
            </w:pPr>
          </w:p>
        </w:tc>
        <w:tc>
          <w:tcPr>
            <w:tcW w:w="1423" w:type="dxa"/>
            <w:gridSpan w:val="12"/>
          </w:tcPr>
          <w:p w14:paraId="2879668A" w14:textId="77777777" w:rsidR="00987CCD" w:rsidRPr="00C15639" w:rsidRDefault="00987CCD" w:rsidP="002D3EBF">
            <w:pPr>
              <w:rPr>
                <w:szCs w:val="24"/>
              </w:rPr>
            </w:pPr>
          </w:p>
        </w:tc>
        <w:tc>
          <w:tcPr>
            <w:tcW w:w="1423" w:type="dxa"/>
            <w:gridSpan w:val="7"/>
          </w:tcPr>
          <w:p w14:paraId="545F796C" w14:textId="77777777" w:rsidR="00987CCD" w:rsidRPr="00C15639" w:rsidRDefault="00987CCD" w:rsidP="002D3EBF">
            <w:pPr>
              <w:rPr>
                <w:szCs w:val="24"/>
              </w:rPr>
            </w:pPr>
          </w:p>
        </w:tc>
      </w:tr>
      <w:tr w:rsidR="00987CCD" w:rsidRPr="00C15639" w14:paraId="2D012D0D" w14:textId="77777777" w:rsidTr="002D3EBF">
        <w:trPr>
          <w:gridBefore w:val="19"/>
          <w:gridAfter w:val="21"/>
          <w:wBefore w:w="3044" w:type="dxa"/>
          <w:wAfter w:w="5866" w:type="dxa"/>
          <w:cantSplit/>
          <w:trHeight w:hRule="exact" w:val="240"/>
        </w:trPr>
        <w:tc>
          <w:tcPr>
            <w:tcW w:w="2348" w:type="dxa"/>
            <w:gridSpan w:val="17"/>
            <w:tcBorders>
              <w:left w:val="single" w:sz="6" w:space="0" w:color="auto"/>
            </w:tcBorders>
          </w:tcPr>
          <w:p w14:paraId="49958A09" w14:textId="77777777" w:rsidR="00987CCD" w:rsidRPr="00C15639" w:rsidRDefault="00987CCD" w:rsidP="002D3EBF">
            <w:pPr>
              <w:pStyle w:val="1ff2"/>
              <w:spacing w:line="360" w:lineRule="auto"/>
              <w:jc w:val="center"/>
              <w:rPr>
                <w:sz w:val="24"/>
                <w:szCs w:val="24"/>
              </w:rPr>
            </w:pPr>
          </w:p>
        </w:tc>
        <w:tc>
          <w:tcPr>
            <w:tcW w:w="3324" w:type="dxa"/>
            <w:gridSpan w:val="21"/>
            <w:tcBorders>
              <w:left w:val="nil"/>
              <w:right w:val="single" w:sz="6" w:space="0" w:color="auto"/>
            </w:tcBorders>
          </w:tcPr>
          <w:p w14:paraId="08DD5437" w14:textId="77777777" w:rsidR="00987CCD" w:rsidRPr="00C15639" w:rsidRDefault="00987CCD" w:rsidP="002D3EBF">
            <w:pPr>
              <w:pStyle w:val="1ff2"/>
              <w:spacing w:line="360" w:lineRule="auto"/>
              <w:rPr>
                <w:sz w:val="24"/>
                <w:szCs w:val="24"/>
              </w:rPr>
            </w:pPr>
          </w:p>
        </w:tc>
        <w:tc>
          <w:tcPr>
            <w:tcW w:w="1198" w:type="dxa"/>
            <w:gridSpan w:val="13"/>
            <w:tcBorders>
              <w:left w:val="nil"/>
            </w:tcBorders>
          </w:tcPr>
          <w:p w14:paraId="2DF46666" w14:textId="77777777" w:rsidR="00987CCD" w:rsidRPr="00C15639" w:rsidRDefault="00987CCD" w:rsidP="002D3EBF">
            <w:pPr>
              <w:pStyle w:val="1ff2"/>
              <w:spacing w:line="360" w:lineRule="auto"/>
              <w:jc w:val="center"/>
              <w:rPr>
                <w:sz w:val="24"/>
                <w:szCs w:val="24"/>
              </w:rPr>
            </w:pPr>
          </w:p>
        </w:tc>
        <w:tc>
          <w:tcPr>
            <w:tcW w:w="1419" w:type="dxa"/>
            <w:gridSpan w:val="12"/>
          </w:tcPr>
          <w:p w14:paraId="1409152C" w14:textId="77777777" w:rsidR="00987CCD" w:rsidRPr="00C15639" w:rsidRDefault="00987CCD" w:rsidP="002D3EBF">
            <w:pPr>
              <w:rPr>
                <w:szCs w:val="24"/>
              </w:rPr>
            </w:pPr>
          </w:p>
        </w:tc>
        <w:tc>
          <w:tcPr>
            <w:tcW w:w="1419" w:type="dxa"/>
            <w:gridSpan w:val="19"/>
          </w:tcPr>
          <w:p w14:paraId="3B7E02B7" w14:textId="77777777" w:rsidR="00987CCD" w:rsidRPr="00C15639" w:rsidRDefault="00987CCD" w:rsidP="002D3EBF">
            <w:pPr>
              <w:rPr>
                <w:szCs w:val="24"/>
              </w:rPr>
            </w:pPr>
          </w:p>
        </w:tc>
        <w:tc>
          <w:tcPr>
            <w:tcW w:w="1419" w:type="dxa"/>
            <w:gridSpan w:val="13"/>
          </w:tcPr>
          <w:p w14:paraId="6C3AF620" w14:textId="77777777" w:rsidR="00987CCD" w:rsidRPr="00C15639" w:rsidRDefault="00987CCD" w:rsidP="002D3EBF">
            <w:pPr>
              <w:rPr>
                <w:szCs w:val="24"/>
              </w:rPr>
            </w:pPr>
          </w:p>
        </w:tc>
      </w:tr>
      <w:tr w:rsidR="00987CCD" w:rsidRPr="00C15639" w14:paraId="56BF73AB" w14:textId="77777777" w:rsidTr="002D3EBF">
        <w:trPr>
          <w:gridBefore w:val="3"/>
          <w:gridAfter w:val="21"/>
          <w:wBefore w:w="636" w:type="dxa"/>
          <w:wAfter w:w="5866" w:type="dxa"/>
          <w:cantSplit/>
        </w:trPr>
        <w:tc>
          <w:tcPr>
            <w:tcW w:w="7460" w:type="dxa"/>
            <w:gridSpan w:val="48"/>
            <w:tcBorders>
              <w:top w:val="single" w:sz="6" w:space="0" w:color="auto"/>
              <w:left w:val="single" w:sz="6" w:space="0" w:color="auto"/>
              <w:bottom w:val="single" w:sz="6" w:space="0" w:color="auto"/>
              <w:right w:val="single" w:sz="6" w:space="0" w:color="auto"/>
            </w:tcBorders>
          </w:tcPr>
          <w:p w14:paraId="212A1647" w14:textId="77777777" w:rsidR="00987CCD" w:rsidRPr="00C15639" w:rsidRDefault="00987CCD" w:rsidP="002D3EBF">
            <w:pPr>
              <w:pStyle w:val="1ff2"/>
              <w:spacing w:line="360" w:lineRule="auto"/>
              <w:jc w:val="center"/>
              <w:rPr>
                <w:sz w:val="24"/>
                <w:szCs w:val="24"/>
              </w:rPr>
            </w:pPr>
            <w:r w:rsidRPr="00C15639">
              <w:rPr>
                <w:sz w:val="24"/>
                <w:szCs w:val="24"/>
              </w:rPr>
              <w:t>Исключить сердечную недостаточность, при показаниях - диуретики</w:t>
            </w:r>
          </w:p>
        </w:tc>
        <w:tc>
          <w:tcPr>
            <w:tcW w:w="620" w:type="dxa"/>
            <w:gridSpan w:val="6"/>
            <w:tcBorders>
              <w:left w:val="nil"/>
              <w:right w:val="single" w:sz="6" w:space="0" w:color="auto"/>
            </w:tcBorders>
          </w:tcPr>
          <w:p w14:paraId="66A5715D" w14:textId="77777777" w:rsidR="00987CCD" w:rsidRPr="00C15639" w:rsidRDefault="00987CCD" w:rsidP="002D3EBF">
            <w:pPr>
              <w:pStyle w:val="1ff2"/>
              <w:spacing w:line="360" w:lineRule="auto"/>
              <w:rPr>
                <w:sz w:val="24"/>
                <w:szCs w:val="24"/>
              </w:rPr>
            </w:pPr>
          </w:p>
        </w:tc>
        <w:tc>
          <w:tcPr>
            <w:tcW w:w="1198" w:type="dxa"/>
            <w:gridSpan w:val="13"/>
            <w:tcBorders>
              <w:left w:val="nil"/>
            </w:tcBorders>
          </w:tcPr>
          <w:p w14:paraId="73FAF93D" w14:textId="77777777" w:rsidR="00987CCD" w:rsidRPr="00C15639" w:rsidRDefault="00987CCD" w:rsidP="002D3EBF">
            <w:pPr>
              <w:pStyle w:val="1ff2"/>
              <w:spacing w:line="360" w:lineRule="auto"/>
              <w:jc w:val="center"/>
              <w:rPr>
                <w:sz w:val="24"/>
                <w:szCs w:val="24"/>
              </w:rPr>
            </w:pPr>
          </w:p>
        </w:tc>
        <w:tc>
          <w:tcPr>
            <w:tcW w:w="1419" w:type="dxa"/>
            <w:gridSpan w:val="12"/>
          </w:tcPr>
          <w:p w14:paraId="7E388E0B" w14:textId="77777777" w:rsidR="00987CCD" w:rsidRPr="00C15639" w:rsidRDefault="00987CCD" w:rsidP="002D3EBF">
            <w:pPr>
              <w:rPr>
                <w:szCs w:val="24"/>
              </w:rPr>
            </w:pPr>
          </w:p>
        </w:tc>
        <w:tc>
          <w:tcPr>
            <w:tcW w:w="1419" w:type="dxa"/>
            <w:gridSpan w:val="19"/>
          </w:tcPr>
          <w:p w14:paraId="5AAE49FC" w14:textId="77777777" w:rsidR="00987CCD" w:rsidRPr="00C15639" w:rsidRDefault="00987CCD" w:rsidP="002D3EBF">
            <w:pPr>
              <w:rPr>
                <w:szCs w:val="24"/>
              </w:rPr>
            </w:pPr>
          </w:p>
        </w:tc>
        <w:tc>
          <w:tcPr>
            <w:tcW w:w="1419" w:type="dxa"/>
            <w:gridSpan w:val="13"/>
          </w:tcPr>
          <w:p w14:paraId="6B592A7A" w14:textId="77777777" w:rsidR="00987CCD" w:rsidRPr="00C15639" w:rsidRDefault="00987CCD" w:rsidP="002D3EBF">
            <w:pPr>
              <w:rPr>
                <w:szCs w:val="24"/>
              </w:rPr>
            </w:pPr>
          </w:p>
        </w:tc>
      </w:tr>
      <w:tr w:rsidR="00987CCD" w:rsidRPr="00C15639" w14:paraId="582EAF5D" w14:textId="77777777" w:rsidTr="002D3EBF">
        <w:trPr>
          <w:gridBefore w:val="23"/>
          <w:gridAfter w:val="6"/>
          <w:wBefore w:w="3328" w:type="dxa"/>
          <w:wAfter w:w="3221" w:type="dxa"/>
          <w:cantSplit/>
        </w:trPr>
        <w:tc>
          <w:tcPr>
            <w:tcW w:w="565" w:type="dxa"/>
            <w:gridSpan w:val="2"/>
            <w:tcBorders>
              <w:left w:val="single" w:sz="6" w:space="0" w:color="auto"/>
              <w:bottom w:val="single" w:sz="6" w:space="0" w:color="auto"/>
            </w:tcBorders>
          </w:tcPr>
          <w:p w14:paraId="09C54FF3" w14:textId="77777777" w:rsidR="00987CCD" w:rsidRPr="00C15639" w:rsidRDefault="00987CCD" w:rsidP="002D3EBF">
            <w:pPr>
              <w:pStyle w:val="1ff2"/>
              <w:spacing w:line="360" w:lineRule="auto"/>
              <w:jc w:val="center"/>
              <w:rPr>
                <w:sz w:val="24"/>
                <w:szCs w:val="24"/>
              </w:rPr>
            </w:pPr>
          </w:p>
        </w:tc>
        <w:tc>
          <w:tcPr>
            <w:tcW w:w="4823" w:type="dxa"/>
            <w:gridSpan w:val="32"/>
            <w:tcBorders>
              <w:left w:val="nil"/>
            </w:tcBorders>
          </w:tcPr>
          <w:p w14:paraId="7198D52C" w14:textId="77777777" w:rsidR="00987CCD" w:rsidRPr="00C15639" w:rsidRDefault="00987CCD" w:rsidP="002D3EBF">
            <w:pPr>
              <w:pStyle w:val="1ff2"/>
              <w:spacing w:line="360" w:lineRule="auto"/>
              <w:jc w:val="center"/>
              <w:rPr>
                <w:sz w:val="24"/>
                <w:szCs w:val="24"/>
              </w:rPr>
            </w:pPr>
          </w:p>
        </w:tc>
        <w:tc>
          <w:tcPr>
            <w:tcW w:w="983" w:type="dxa"/>
            <w:gridSpan w:val="10"/>
            <w:tcBorders>
              <w:left w:val="single" w:sz="6" w:space="0" w:color="auto"/>
            </w:tcBorders>
          </w:tcPr>
          <w:p w14:paraId="0F36E629" w14:textId="77777777" w:rsidR="00987CCD" w:rsidRPr="00C15639" w:rsidRDefault="00987CCD" w:rsidP="002D3EBF">
            <w:pPr>
              <w:pStyle w:val="1ff2"/>
              <w:spacing w:line="360" w:lineRule="auto"/>
              <w:jc w:val="center"/>
              <w:rPr>
                <w:sz w:val="24"/>
                <w:szCs w:val="24"/>
              </w:rPr>
            </w:pPr>
          </w:p>
        </w:tc>
        <w:tc>
          <w:tcPr>
            <w:tcW w:w="163" w:type="dxa"/>
            <w:gridSpan w:val="2"/>
            <w:tcBorders>
              <w:left w:val="nil"/>
            </w:tcBorders>
          </w:tcPr>
          <w:p w14:paraId="48285908" w14:textId="77777777" w:rsidR="00987CCD" w:rsidRPr="00C15639" w:rsidRDefault="00987CCD" w:rsidP="002D3EBF">
            <w:pPr>
              <w:pStyle w:val="1ff2"/>
              <w:spacing w:line="360" w:lineRule="auto"/>
              <w:rPr>
                <w:sz w:val="24"/>
                <w:szCs w:val="24"/>
              </w:rPr>
            </w:pPr>
          </w:p>
        </w:tc>
        <w:tc>
          <w:tcPr>
            <w:tcW w:w="1504" w:type="dxa"/>
            <w:gridSpan w:val="14"/>
          </w:tcPr>
          <w:p w14:paraId="4EEC7334" w14:textId="77777777" w:rsidR="00987CCD" w:rsidRPr="00C15639" w:rsidRDefault="00987CCD" w:rsidP="002D3EBF">
            <w:pPr>
              <w:pStyle w:val="1ff2"/>
              <w:spacing w:line="360" w:lineRule="auto"/>
              <w:rPr>
                <w:sz w:val="24"/>
                <w:szCs w:val="24"/>
              </w:rPr>
            </w:pPr>
          </w:p>
        </w:tc>
        <w:tc>
          <w:tcPr>
            <w:tcW w:w="5450" w:type="dxa"/>
            <w:gridSpan w:val="46"/>
          </w:tcPr>
          <w:p w14:paraId="600C6FED" w14:textId="77777777" w:rsidR="00987CCD" w:rsidRPr="00C15639" w:rsidRDefault="00987CCD" w:rsidP="002D3EBF">
            <w:pPr>
              <w:pStyle w:val="1ff2"/>
              <w:spacing w:line="360" w:lineRule="auto"/>
              <w:jc w:val="center"/>
              <w:rPr>
                <w:sz w:val="24"/>
                <w:szCs w:val="24"/>
              </w:rPr>
            </w:pPr>
          </w:p>
        </w:tc>
      </w:tr>
      <w:tr w:rsidR="00987CCD" w:rsidRPr="00C15639" w14:paraId="3E187194" w14:textId="77777777" w:rsidTr="002D3EBF">
        <w:trPr>
          <w:gridBefore w:val="12"/>
          <w:gridAfter w:val="2"/>
          <w:wBefore w:w="1768" w:type="dxa"/>
          <w:wAfter w:w="1431" w:type="dxa"/>
          <w:cantSplit/>
        </w:trPr>
        <w:tc>
          <w:tcPr>
            <w:tcW w:w="3120" w:type="dxa"/>
            <w:gridSpan w:val="18"/>
            <w:tcBorders>
              <w:top w:val="single" w:sz="6" w:space="0" w:color="auto"/>
              <w:left w:val="single" w:sz="6" w:space="0" w:color="auto"/>
              <w:bottom w:val="single" w:sz="6" w:space="0" w:color="auto"/>
              <w:right w:val="single" w:sz="6" w:space="0" w:color="auto"/>
            </w:tcBorders>
          </w:tcPr>
          <w:p w14:paraId="120A5B94" w14:textId="77777777" w:rsidR="00987CCD" w:rsidRPr="00C15639" w:rsidRDefault="00987CCD" w:rsidP="002D3EBF">
            <w:pPr>
              <w:pStyle w:val="1ff2"/>
              <w:spacing w:line="360" w:lineRule="auto"/>
              <w:jc w:val="center"/>
              <w:rPr>
                <w:sz w:val="24"/>
                <w:szCs w:val="24"/>
              </w:rPr>
            </w:pPr>
            <w:r w:rsidRPr="00C15639">
              <w:rPr>
                <w:sz w:val="24"/>
                <w:szCs w:val="24"/>
              </w:rPr>
              <w:t>Сохраняются изменения</w:t>
            </w:r>
          </w:p>
        </w:tc>
        <w:tc>
          <w:tcPr>
            <w:tcW w:w="3828" w:type="dxa"/>
            <w:gridSpan w:val="27"/>
            <w:tcBorders>
              <w:left w:val="single" w:sz="6" w:space="0" w:color="auto"/>
              <w:right w:val="single" w:sz="6" w:space="0" w:color="auto"/>
            </w:tcBorders>
          </w:tcPr>
          <w:p w14:paraId="3267F99C" w14:textId="77777777" w:rsidR="00987CCD" w:rsidRPr="00C15639" w:rsidRDefault="00987CCD" w:rsidP="002D3EBF">
            <w:pPr>
              <w:pStyle w:val="1ff2"/>
              <w:spacing w:line="360" w:lineRule="auto"/>
              <w:jc w:val="center"/>
              <w:rPr>
                <w:sz w:val="24"/>
                <w:szCs w:val="24"/>
              </w:rPr>
            </w:pPr>
          </w:p>
        </w:tc>
        <w:tc>
          <w:tcPr>
            <w:tcW w:w="2650" w:type="dxa"/>
            <w:gridSpan w:val="26"/>
            <w:tcBorders>
              <w:left w:val="nil"/>
            </w:tcBorders>
          </w:tcPr>
          <w:p w14:paraId="59DF9C07" w14:textId="77777777" w:rsidR="00987CCD" w:rsidRPr="00C15639" w:rsidRDefault="00987CCD" w:rsidP="002D3EBF">
            <w:pPr>
              <w:pStyle w:val="1ff2"/>
              <w:spacing w:line="360" w:lineRule="auto"/>
              <w:jc w:val="center"/>
              <w:rPr>
                <w:sz w:val="24"/>
                <w:szCs w:val="24"/>
              </w:rPr>
            </w:pPr>
          </w:p>
        </w:tc>
        <w:tc>
          <w:tcPr>
            <w:tcW w:w="170" w:type="dxa"/>
            <w:tcBorders>
              <w:left w:val="nil"/>
            </w:tcBorders>
          </w:tcPr>
          <w:p w14:paraId="7271A7E2" w14:textId="77777777" w:rsidR="00987CCD" w:rsidRPr="00C15639" w:rsidRDefault="00987CCD" w:rsidP="002D3EBF">
            <w:pPr>
              <w:pStyle w:val="1ff2"/>
              <w:spacing w:line="360" w:lineRule="auto"/>
              <w:rPr>
                <w:sz w:val="24"/>
                <w:szCs w:val="24"/>
              </w:rPr>
            </w:pPr>
          </w:p>
        </w:tc>
        <w:tc>
          <w:tcPr>
            <w:tcW w:w="1620" w:type="dxa"/>
            <w:gridSpan w:val="19"/>
          </w:tcPr>
          <w:p w14:paraId="0D428629" w14:textId="77777777" w:rsidR="00987CCD" w:rsidRPr="00C15639" w:rsidRDefault="00987CCD" w:rsidP="002D3EBF">
            <w:pPr>
              <w:pStyle w:val="1ff2"/>
              <w:spacing w:line="360" w:lineRule="auto"/>
              <w:rPr>
                <w:sz w:val="24"/>
                <w:szCs w:val="24"/>
              </w:rPr>
            </w:pPr>
          </w:p>
        </w:tc>
        <w:tc>
          <w:tcPr>
            <w:tcW w:w="5450" w:type="dxa"/>
            <w:gridSpan w:val="30"/>
          </w:tcPr>
          <w:p w14:paraId="4C218C84" w14:textId="77777777" w:rsidR="00987CCD" w:rsidRPr="00C15639" w:rsidRDefault="00987CCD" w:rsidP="002D3EBF">
            <w:pPr>
              <w:pStyle w:val="1ff2"/>
              <w:spacing w:line="360" w:lineRule="auto"/>
              <w:jc w:val="center"/>
              <w:rPr>
                <w:sz w:val="24"/>
                <w:szCs w:val="24"/>
              </w:rPr>
            </w:pPr>
          </w:p>
        </w:tc>
      </w:tr>
      <w:tr w:rsidR="00987CCD" w:rsidRPr="00C15639" w14:paraId="1E490998" w14:textId="77777777" w:rsidTr="002D3EBF">
        <w:trPr>
          <w:gridAfter w:val="14"/>
          <w:wAfter w:w="4901" w:type="dxa"/>
          <w:cantSplit/>
        </w:trPr>
        <w:tc>
          <w:tcPr>
            <w:tcW w:w="4173" w:type="dxa"/>
            <w:gridSpan w:val="26"/>
            <w:tcBorders>
              <w:right w:val="single" w:sz="6" w:space="0" w:color="auto"/>
            </w:tcBorders>
          </w:tcPr>
          <w:p w14:paraId="4ACA1B7F" w14:textId="77777777" w:rsidR="00987CCD" w:rsidRPr="00C15639" w:rsidRDefault="00987CCD" w:rsidP="002D3EBF">
            <w:pPr>
              <w:pStyle w:val="1ff2"/>
              <w:spacing w:line="360" w:lineRule="auto"/>
              <w:jc w:val="center"/>
              <w:rPr>
                <w:sz w:val="24"/>
                <w:szCs w:val="24"/>
              </w:rPr>
            </w:pPr>
          </w:p>
        </w:tc>
        <w:tc>
          <w:tcPr>
            <w:tcW w:w="826" w:type="dxa"/>
            <w:gridSpan w:val="5"/>
            <w:tcBorders>
              <w:left w:val="nil"/>
            </w:tcBorders>
          </w:tcPr>
          <w:p w14:paraId="468DC415" w14:textId="77777777" w:rsidR="00987CCD" w:rsidRPr="00C15639" w:rsidRDefault="00987CCD" w:rsidP="002D3EBF">
            <w:pPr>
              <w:pStyle w:val="1ff2"/>
              <w:spacing w:line="360" w:lineRule="auto"/>
              <w:rPr>
                <w:sz w:val="24"/>
                <w:szCs w:val="24"/>
              </w:rPr>
            </w:pPr>
          </w:p>
        </w:tc>
        <w:tc>
          <w:tcPr>
            <w:tcW w:w="3715" w:type="dxa"/>
            <w:gridSpan w:val="24"/>
            <w:tcBorders>
              <w:right w:val="single" w:sz="6" w:space="0" w:color="auto"/>
            </w:tcBorders>
          </w:tcPr>
          <w:p w14:paraId="47A83784" w14:textId="77777777" w:rsidR="00987CCD" w:rsidRPr="00C15639" w:rsidRDefault="00987CCD" w:rsidP="002D3EBF">
            <w:pPr>
              <w:pStyle w:val="1ff2"/>
              <w:spacing w:line="360" w:lineRule="auto"/>
              <w:rPr>
                <w:sz w:val="24"/>
                <w:szCs w:val="24"/>
              </w:rPr>
            </w:pPr>
          </w:p>
        </w:tc>
        <w:tc>
          <w:tcPr>
            <w:tcW w:w="3582" w:type="dxa"/>
            <w:gridSpan w:val="41"/>
            <w:tcBorders>
              <w:left w:val="nil"/>
            </w:tcBorders>
          </w:tcPr>
          <w:p w14:paraId="1B668D49" w14:textId="77777777" w:rsidR="00987CCD" w:rsidRPr="00C15639" w:rsidRDefault="00987CCD" w:rsidP="002D3EBF">
            <w:pPr>
              <w:pStyle w:val="1ff2"/>
              <w:spacing w:line="360" w:lineRule="auto"/>
              <w:jc w:val="center"/>
              <w:rPr>
                <w:sz w:val="24"/>
                <w:szCs w:val="24"/>
              </w:rPr>
            </w:pPr>
          </w:p>
        </w:tc>
        <w:tc>
          <w:tcPr>
            <w:tcW w:w="1420" w:type="dxa"/>
            <w:gridSpan w:val="14"/>
          </w:tcPr>
          <w:p w14:paraId="4846E430" w14:textId="77777777" w:rsidR="00987CCD" w:rsidRPr="00C15639" w:rsidRDefault="00987CCD" w:rsidP="002D3EBF">
            <w:pPr>
              <w:rPr>
                <w:szCs w:val="24"/>
              </w:rPr>
            </w:pPr>
          </w:p>
        </w:tc>
        <w:tc>
          <w:tcPr>
            <w:tcW w:w="1420" w:type="dxa"/>
            <w:gridSpan w:val="11"/>
          </w:tcPr>
          <w:p w14:paraId="62ACE7E4" w14:textId="77777777" w:rsidR="00987CCD" w:rsidRPr="00C15639" w:rsidRDefault="00987CCD" w:rsidP="002D3EBF">
            <w:pPr>
              <w:rPr>
                <w:szCs w:val="24"/>
              </w:rPr>
            </w:pPr>
          </w:p>
        </w:tc>
      </w:tr>
      <w:tr w:rsidR="00987CCD" w:rsidRPr="00C15639" w14:paraId="66C1DDD9" w14:textId="77777777" w:rsidTr="002D3EBF">
        <w:trPr>
          <w:gridAfter w:val="1"/>
        </w:trPr>
        <w:tc>
          <w:tcPr>
            <w:tcW w:w="3186" w:type="dxa"/>
            <w:gridSpan w:val="20"/>
          </w:tcPr>
          <w:p w14:paraId="7301D80B" w14:textId="77777777" w:rsidR="00987CCD" w:rsidRPr="00C15639" w:rsidRDefault="00987CCD" w:rsidP="002D3EBF">
            <w:pPr>
              <w:pStyle w:val="1ff2"/>
              <w:spacing w:line="360" w:lineRule="auto"/>
              <w:rPr>
                <w:sz w:val="24"/>
                <w:szCs w:val="24"/>
              </w:rPr>
            </w:pPr>
          </w:p>
        </w:tc>
        <w:tc>
          <w:tcPr>
            <w:tcW w:w="9416" w:type="dxa"/>
            <w:gridSpan w:val="80"/>
            <w:tcBorders>
              <w:top w:val="single" w:sz="6" w:space="0" w:color="auto"/>
              <w:left w:val="single" w:sz="6" w:space="0" w:color="auto"/>
              <w:bottom w:val="single" w:sz="6" w:space="0" w:color="auto"/>
              <w:right w:val="single" w:sz="6" w:space="0" w:color="auto"/>
            </w:tcBorders>
          </w:tcPr>
          <w:p w14:paraId="28CA174F" w14:textId="77777777" w:rsidR="00987CCD" w:rsidRPr="00C15639" w:rsidRDefault="00987CCD" w:rsidP="002D3EBF">
            <w:pPr>
              <w:pStyle w:val="1ff2"/>
              <w:spacing w:line="360" w:lineRule="auto"/>
              <w:jc w:val="center"/>
              <w:rPr>
                <w:sz w:val="24"/>
                <w:szCs w:val="24"/>
              </w:rPr>
            </w:pPr>
            <w:r w:rsidRPr="00C15639">
              <w:rPr>
                <w:sz w:val="24"/>
                <w:szCs w:val="24"/>
              </w:rPr>
              <w:t>Фибробронхоскопия + бронхоальвеолярный лаваж</w:t>
            </w:r>
          </w:p>
        </w:tc>
        <w:tc>
          <w:tcPr>
            <w:tcW w:w="1425" w:type="dxa"/>
            <w:gridSpan w:val="13"/>
          </w:tcPr>
          <w:p w14:paraId="6BECE82B" w14:textId="77777777" w:rsidR="00987CCD" w:rsidRPr="00C15639" w:rsidRDefault="00987CCD" w:rsidP="002D3EBF">
            <w:pPr>
              <w:rPr>
                <w:szCs w:val="24"/>
              </w:rPr>
            </w:pPr>
          </w:p>
        </w:tc>
        <w:tc>
          <w:tcPr>
            <w:tcW w:w="1425" w:type="dxa"/>
            <w:gridSpan w:val="10"/>
          </w:tcPr>
          <w:p w14:paraId="7A93BBD8" w14:textId="77777777" w:rsidR="00987CCD" w:rsidRPr="00C15639" w:rsidRDefault="00987CCD" w:rsidP="002D3EBF">
            <w:pPr>
              <w:rPr>
                <w:szCs w:val="24"/>
              </w:rPr>
            </w:pPr>
          </w:p>
        </w:tc>
        <w:tc>
          <w:tcPr>
            <w:tcW w:w="1425" w:type="dxa"/>
            <w:gridSpan w:val="7"/>
          </w:tcPr>
          <w:p w14:paraId="109A41FC" w14:textId="77777777" w:rsidR="00987CCD" w:rsidRPr="00C15639" w:rsidRDefault="00987CCD" w:rsidP="002D3EBF">
            <w:pPr>
              <w:rPr>
                <w:szCs w:val="24"/>
              </w:rPr>
            </w:pPr>
          </w:p>
        </w:tc>
        <w:tc>
          <w:tcPr>
            <w:tcW w:w="3160" w:type="dxa"/>
            <w:gridSpan w:val="4"/>
          </w:tcPr>
          <w:p w14:paraId="08E22569" w14:textId="77777777" w:rsidR="00987CCD" w:rsidRPr="00C15639" w:rsidRDefault="00987CCD" w:rsidP="002D3EBF">
            <w:pPr>
              <w:rPr>
                <w:szCs w:val="24"/>
              </w:rPr>
            </w:pPr>
          </w:p>
        </w:tc>
      </w:tr>
      <w:tr w:rsidR="00987CCD" w:rsidRPr="00C15639" w14:paraId="65F18139" w14:textId="77777777" w:rsidTr="002D3EBF">
        <w:trPr>
          <w:gridAfter w:val="50"/>
          <w:wAfter w:w="8464" w:type="dxa"/>
          <w:cantSplit/>
        </w:trPr>
        <w:tc>
          <w:tcPr>
            <w:tcW w:w="1184" w:type="dxa"/>
            <w:gridSpan w:val="6"/>
          </w:tcPr>
          <w:p w14:paraId="3668AA38" w14:textId="77777777" w:rsidR="00987CCD" w:rsidRPr="00C15639" w:rsidRDefault="00987CCD" w:rsidP="002D3EBF">
            <w:pPr>
              <w:pStyle w:val="1ff2"/>
              <w:spacing w:line="360" w:lineRule="auto"/>
              <w:rPr>
                <w:sz w:val="24"/>
                <w:szCs w:val="24"/>
              </w:rPr>
            </w:pPr>
          </w:p>
        </w:tc>
        <w:tc>
          <w:tcPr>
            <w:tcW w:w="1297" w:type="dxa"/>
            <w:gridSpan w:val="8"/>
          </w:tcPr>
          <w:p w14:paraId="6856FEC2" w14:textId="77777777" w:rsidR="00987CCD" w:rsidRPr="00C15639" w:rsidRDefault="00987CCD" w:rsidP="002D3EBF">
            <w:pPr>
              <w:pStyle w:val="1ff2"/>
              <w:spacing w:line="360" w:lineRule="auto"/>
              <w:rPr>
                <w:sz w:val="24"/>
                <w:szCs w:val="24"/>
              </w:rPr>
            </w:pPr>
          </w:p>
        </w:tc>
        <w:tc>
          <w:tcPr>
            <w:tcW w:w="3770" w:type="dxa"/>
            <w:gridSpan w:val="23"/>
            <w:tcBorders>
              <w:right w:val="single" w:sz="6" w:space="0" w:color="auto"/>
            </w:tcBorders>
          </w:tcPr>
          <w:p w14:paraId="6C783F33" w14:textId="77777777" w:rsidR="00987CCD" w:rsidRPr="00C15639" w:rsidRDefault="00987CCD" w:rsidP="002D3EBF">
            <w:pPr>
              <w:pStyle w:val="1ff2"/>
              <w:spacing w:line="360" w:lineRule="auto"/>
              <w:rPr>
                <w:sz w:val="24"/>
                <w:szCs w:val="24"/>
              </w:rPr>
            </w:pPr>
          </w:p>
        </w:tc>
        <w:tc>
          <w:tcPr>
            <w:tcW w:w="1268" w:type="dxa"/>
            <w:gridSpan w:val="6"/>
          </w:tcPr>
          <w:p w14:paraId="5C1D88DA" w14:textId="77777777" w:rsidR="00987CCD" w:rsidRPr="00C15639" w:rsidRDefault="00987CCD" w:rsidP="002D3EBF">
            <w:pPr>
              <w:pStyle w:val="1ff2"/>
              <w:spacing w:line="360" w:lineRule="auto"/>
              <w:rPr>
                <w:sz w:val="24"/>
                <w:szCs w:val="24"/>
              </w:rPr>
            </w:pPr>
          </w:p>
        </w:tc>
        <w:tc>
          <w:tcPr>
            <w:tcW w:w="2642" w:type="dxa"/>
            <w:gridSpan w:val="29"/>
          </w:tcPr>
          <w:p w14:paraId="741800D0" w14:textId="77777777" w:rsidR="00987CCD" w:rsidRPr="00C15639" w:rsidRDefault="00987CCD" w:rsidP="002D3EBF">
            <w:pPr>
              <w:pStyle w:val="1ff2"/>
              <w:spacing w:line="360" w:lineRule="auto"/>
              <w:rPr>
                <w:sz w:val="24"/>
                <w:szCs w:val="24"/>
              </w:rPr>
            </w:pPr>
          </w:p>
        </w:tc>
        <w:tc>
          <w:tcPr>
            <w:tcW w:w="1412" w:type="dxa"/>
            <w:gridSpan w:val="13"/>
          </w:tcPr>
          <w:p w14:paraId="57E421CC" w14:textId="77777777" w:rsidR="00987CCD" w:rsidRPr="00C15639" w:rsidRDefault="00987CCD" w:rsidP="002D3EBF">
            <w:pPr>
              <w:rPr>
                <w:szCs w:val="24"/>
              </w:rPr>
            </w:pPr>
          </w:p>
        </w:tc>
      </w:tr>
      <w:tr w:rsidR="00987CCD" w:rsidRPr="00C15639" w14:paraId="211878CC" w14:textId="77777777" w:rsidTr="002D3EBF">
        <w:trPr>
          <w:gridBefore w:val="13"/>
          <w:gridAfter w:val="3"/>
          <w:wBefore w:w="2052" w:type="dxa"/>
          <w:wAfter w:w="2423" w:type="dxa"/>
          <w:cantSplit/>
        </w:trPr>
        <w:tc>
          <w:tcPr>
            <w:tcW w:w="8442" w:type="dxa"/>
            <w:gridSpan w:val="60"/>
            <w:tcBorders>
              <w:top w:val="single" w:sz="6" w:space="0" w:color="auto"/>
              <w:left w:val="single" w:sz="6" w:space="0" w:color="auto"/>
              <w:bottom w:val="single" w:sz="6" w:space="0" w:color="auto"/>
              <w:right w:val="single" w:sz="6" w:space="0" w:color="auto"/>
            </w:tcBorders>
          </w:tcPr>
          <w:p w14:paraId="7CF75A0B" w14:textId="77777777" w:rsidR="00987CCD" w:rsidRPr="00C15639" w:rsidRDefault="00987CCD" w:rsidP="002D3EBF">
            <w:pPr>
              <w:pStyle w:val="1ff2"/>
              <w:spacing w:line="360" w:lineRule="auto"/>
              <w:jc w:val="center"/>
              <w:rPr>
                <w:sz w:val="24"/>
                <w:szCs w:val="24"/>
              </w:rPr>
            </w:pPr>
            <w:r w:rsidRPr="00C15639">
              <w:rPr>
                <w:sz w:val="24"/>
                <w:szCs w:val="24"/>
              </w:rPr>
              <w:t>Исследование лаважной жидкости, сыворотки, мочи</w:t>
            </w:r>
          </w:p>
        </w:tc>
        <w:tc>
          <w:tcPr>
            <w:tcW w:w="1424" w:type="dxa"/>
            <w:gridSpan w:val="15"/>
          </w:tcPr>
          <w:p w14:paraId="38465F3E" w14:textId="77777777" w:rsidR="00987CCD" w:rsidRPr="00C15639" w:rsidRDefault="00987CCD" w:rsidP="002D3EBF">
            <w:pPr>
              <w:rPr>
                <w:szCs w:val="24"/>
              </w:rPr>
            </w:pPr>
          </w:p>
        </w:tc>
        <w:tc>
          <w:tcPr>
            <w:tcW w:w="1424" w:type="dxa"/>
            <w:gridSpan w:val="16"/>
          </w:tcPr>
          <w:p w14:paraId="7EC0A21D" w14:textId="77777777" w:rsidR="00987CCD" w:rsidRPr="00C15639" w:rsidRDefault="00987CCD" w:rsidP="002D3EBF">
            <w:pPr>
              <w:rPr>
                <w:szCs w:val="24"/>
              </w:rPr>
            </w:pPr>
          </w:p>
        </w:tc>
        <w:tc>
          <w:tcPr>
            <w:tcW w:w="1424" w:type="dxa"/>
            <w:gridSpan w:val="12"/>
          </w:tcPr>
          <w:p w14:paraId="3F183583" w14:textId="77777777" w:rsidR="00987CCD" w:rsidRPr="00C15639" w:rsidRDefault="00987CCD" w:rsidP="002D3EBF">
            <w:pPr>
              <w:rPr>
                <w:szCs w:val="24"/>
              </w:rPr>
            </w:pPr>
          </w:p>
        </w:tc>
        <w:tc>
          <w:tcPr>
            <w:tcW w:w="1424" w:type="dxa"/>
            <w:gridSpan w:val="10"/>
          </w:tcPr>
          <w:p w14:paraId="1EC9A98D" w14:textId="77777777" w:rsidR="00987CCD" w:rsidRPr="00C15639" w:rsidRDefault="00987CCD" w:rsidP="002D3EBF">
            <w:pPr>
              <w:rPr>
                <w:szCs w:val="24"/>
              </w:rPr>
            </w:pPr>
          </w:p>
        </w:tc>
        <w:tc>
          <w:tcPr>
            <w:tcW w:w="1424" w:type="dxa"/>
            <w:gridSpan w:val="6"/>
          </w:tcPr>
          <w:p w14:paraId="397A3A39" w14:textId="77777777" w:rsidR="00987CCD" w:rsidRPr="00C15639" w:rsidRDefault="00987CCD" w:rsidP="002D3EBF">
            <w:pPr>
              <w:rPr>
                <w:szCs w:val="24"/>
              </w:rPr>
            </w:pPr>
          </w:p>
        </w:tc>
      </w:tr>
      <w:tr w:rsidR="00987CCD" w:rsidRPr="00C15639" w14:paraId="21FBBEBB" w14:textId="77777777" w:rsidTr="002D3EBF">
        <w:trPr>
          <w:gridBefore w:val="4"/>
          <w:gridAfter w:val="28"/>
          <w:wBefore w:w="778" w:type="dxa"/>
          <w:wAfter w:w="6503" w:type="dxa"/>
          <w:cantSplit/>
        </w:trPr>
        <w:tc>
          <w:tcPr>
            <w:tcW w:w="849" w:type="dxa"/>
            <w:gridSpan w:val="6"/>
            <w:tcBorders>
              <w:top w:val="single" w:sz="6" w:space="0" w:color="auto"/>
              <w:left w:val="single" w:sz="6" w:space="0" w:color="auto"/>
              <w:bottom w:val="single" w:sz="6" w:space="0" w:color="auto"/>
            </w:tcBorders>
          </w:tcPr>
          <w:p w14:paraId="42DEE6A7" w14:textId="77777777" w:rsidR="00987CCD" w:rsidRPr="00C15639" w:rsidRDefault="00987CCD" w:rsidP="002D3EBF">
            <w:pPr>
              <w:pStyle w:val="1ff2"/>
              <w:spacing w:line="360" w:lineRule="auto"/>
              <w:rPr>
                <w:sz w:val="24"/>
                <w:szCs w:val="24"/>
              </w:rPr>
            </w:pPr>
          </w:p>
        </w:tc>
        <w:tc>
          <w:tcPr>
            <w:tcW w:w="1559" w:type="dxa"/>
            <w:gridSpan w:val="10"/>
            <w:tcBorders>
              <w:top w:val="single" w:sz="6" w:space="0" w:color="auto"/>
              <w:right w:val="single" w:sz="6" w:space="0" w:color="auto"/>
            </w:tcBorders>
          </w:tcPr>
          <w:p w14:paraId="7C436583" w14:textId="77777777" w:rsidR="00987CCD" w:rsidRPr="00C15639" w:rsidRDefault="00987CCD" w:rsidP="002D3EBF">
            <w:pPr>
              <w:pStyle w:val="1ff2"/>
              <w:spacing w:line="360" w:lineRule="auto"/>
              <w:rPr>
                <w:sz w:val="24"/>
                <w:szCs w:val="24"/>
              </w:rPr>
            </w:pPr>
          </w:p>
        </w:tc>
        <w:tc>
          <w:tcPr>
            <w:tcW w:w="1957" w:type="dxa"/>
            <w:gridSpan w:val="12"/>
            <w:tcBorders>
              <w:left w:val="single" w:sz="6" w:space="0" w:color="auto"/>
              <w:right w:val="single" w:sz="6" w:space="0" w:color="auto"/>
            </w:tcBorders>
          </w:tcPr>
          <w:p w14:paraId="409A526B" w14:textId="77777777" w:rsidR="00987CCD" w:rsidRPr="00C15639" w:rsidRDefault="00987CCD" w:rsidP="002D3EBF">
            <w:pPr>
              <w:pStyle w:val="1ff2"/>
              <w:spacing w:line="360" w:lineRule="auto"/>
              <w:rPr>
                <w:sz w:val="24"/>
                <w:szCs w:val="24"/>
              </w:rPr>
            </w:pPr>
          </w:p>
        </w:tc>
        <w:tc>
          <w:tcPr>
            <w:tcW w:w="3139" w:type="dxa"/>
            <w:gridSpan w:val="21"/>
            <w:tcBorders>
              <w:top w:val="single" w:sz="6" w:space="0" w:color="auto"/>
              <w:left w:val="single" w:sz="6" w:space="0" w:color="auto"/>
              <w:right w:val="single" w:sz="6" w:space="0" w:color="auto"/>
            </w:tcBorders>
          </w:tcPr>
          <w:p w14:paraId="7B58A836" w14:textId="77777777" w:rsidR="00987CCD" w:rsidRPr="00C15639" w:rsidRDefault="00987CCD" w:rsidP="002D3EBF">
            <w:pPr>
              <w:pStyle w:val="1ff2"/>
              <w:spacing w:line="360" w:lineRule="auto"/>
              <w:rPr>
                <w:sz w:val="24"/>
                <w:szCs w:val="24"/>
              </w:rPr>
            </w:pPr>
          </w:p>
        </w:tc>
        <w:tc>
          <w:tcPr>
            <w:tcW w:w="3425" w:type="dxa"/>
            <w:gridSpan w:val="33"/>
            <w:tcBorders>
              <w:top w:val="single" w:sz="6" w:space="0" w:color="auto"/>
              <w:left w:val="single" w:sz="6" w:space="0" w:color="auto"/>
              <w:right w:val="single" w:sz="6" w:space="0" w:color="auto"/>
            </w:tcBorders>
          </w:tcPr>
          <w:p w14:paraId="133A1B8D" w14:textId="77777777" w:rsidR="00987CCD" w:rsidRPr="00C15639" w:rsidRDefault="00987CCD" w:rsidP="002D3EBF">
            <w:pPr>
              <w:pStyle w:val="1ff2"/>
              <w:spacing w:line="360" w:lineRule="auto"/>
              <w:rPr>
                <w:sz w:val="24"/>
                <w:szCs w:val="24"/>
              </w:rPr>
            </w:pPr>
          </w:p>
        </w:tc>
        <w:tc>
          <w:tcPr>
            <w:tcW w:w="1827" w:type="dxa"/>
            <w:gridSpan w:val="21"/>
            <w:tcBorders>
              <w:left w:val="single" w:sz="6" w:space="0" w:color="auto"/>
            </w:tcBorders>
          </w:tcPr>
          <w:p w14:paraId="373FB47C" w14:textId="77777777" w:rsidR="00987CCD" w:rsidRPr="00C15639" w:rsidRDefault="00987CCD" w:rsidP="002D3EBF">
            <w:pPr>
              <w:pStyle w:val="1ff2"/>
              <w:spacing w:line="360" w:lineRule="auto"/>
              <w:rPr>
                <w:sz w:val="24"/>
                <w:szCs w:val="24"/>
              </w:rPr>
            </w:pPr>
          </w:p>
        </w:tc>
      </w:tr>
      <w:tr w:rsidR="00987CCD" w:rsidRPr="00C15639" w14:paraId="7BA77591" w14:textId="77777777" w:rsidTr="002D3EBF">
        <w:tblPrEx>
          <w:tblCellMar>
            <w:left w:w="71" w:type="dxa"/>
            <w:right w:w="71" w:type="dxa"/>
          </w:tblCellMar>
        </w:tblPrEx>
        <w:trPr>
          <w:gridAfter w:val="11"/>
          <w:wAfter w:w="4368" w:type="dxa"/>
          <w:cantSplit/>
        </w:trPr>
        <w:tc>
          <w:tcPr>
            <w:tcW w:w="2481" w:type="dxa"/>
            <w:gridSpan w:val="14"/>
            <w:tcBorders>
              <w:top w:val="single" w:sz="6" w:space="0" w:color="auto"/>
              <w:left w:val="single" w:sz="6" w:space="0" w:color="auto"/>
              <w:bottom w:val="single" w:sz="6" w:space="0" w:color="auto"/>
              <w:right w:val="single" w:sz="6" w:space="0" w:color="auto"/>
            </w:tcBorders>
          </w:tcPr>
          <w:p w14:paraId="51D0E2ED" w14:textId="77777777" w:rsidR="00987CCD" w:rsidRPr="00C15639" w:rsidRDefault="00987CCD" w:rsidP="002D3EBF">
            <w:pPr>
              <w:pStyle w:val="1ff2"/>
              <w:spacing w:line="360" w:lineRule="auto"/>
              <w:rPr>
                <w:sz w:val="24"/>
                <w:szCs w:val="24"/>
              </w:rPr>
            </w:pPr>
            <w:r w:rsidRPr="00C15639">
              <w:rPr>
                <w:sz w:val="24"/>
                <w:szCs w:val="24"/>
              </w:rPr>
              <w:t>Микробиологическое исследование + исследование на легионеллез (моча, лаваж)</w:t>
            </w:r>
          </w:p>
        </w:tc>
        <w:tc>
          <w:tcPr>
            <w:tcW w:w="2391" w:type="dxa"/>
            <w:gridSpan w:val="14"/>
            <w:tcBorders>
              <w:top w:val="single" w:sz="6" w:space="0" w:color="auto"/>
              <w:left w:val="single" w:sz="6" w:space="0" w:color="auto"/>
              <w:bottom w:val="single" w:sz="6" w:space="0" w:color="auto"/>
              <w:right w:val="single" w:sz="6" w:space="0" w:color="auto"/>
            </w:tcBorders>
          </w:tcPr>
          <w:p w14:paraId="559E7384" w14:textId="77777777" w:rsidR="00987CCD" w:rsidRPr="00C15639" w:rsidRDefault="00987CCD" w:rsidP="002D3EBF">
            <w:pPr>
              <w:pStyle w:val="1ff2"/>
              <w:spacing w:line="360" w:lineRule="auto"/>
              <w:jc w:val="center"/>
              <w:rPr>
                <w:sz w:val="24"/>
                <w:szCs w:val="24"/>
              </w:rPr>
            </w:pPr>
            <w:r w:rsidRPr="00C15639">
              <w:rPr>
                <w:sz w:val="24"/>
                <w:szCs w:val="24"/>
              </w:rPr>
              <w:t>Исследование на уровень галактоманнана лаважа, сыворотки.</w:t>
            </w:r>
          </w:p>
        </w:tc>
        <w:tc>
          <w:tcPr>
            <w:tcW w:w="2659" w:type="dxa"/>
            <w:gridSpan w:val="16"/>
            <w:tcBorders>
              <w:top w:val="single" w:sz="6" w:space="0" w:color="auto"/>
              <w:left w:val="single" w:sz="6" w:space="0" w:color="auto"/>
              <w:bottom w:val="single" w:sz="6" w:space="0" w:color="auto"/>
              <w:right w:val="single" w:sz="6" w:space="0" w:color="auto"/>
            </w:tcBorders>
          </w:tcPr>
          <w:p w14:paraId="3AC26B7D" w14:textId="77777777" w:rsidR="00987CCD" w:rsidRPr="00C15639" w:rsidRDefault="00987CCD" w:rsidP="002D3EBF">
            <w:pPr>
              <w:pStyle w:val="1ff2"/>
              <w:spacing w:line="360" w:lineRule="auto"/>
              <w:jc w:val="center"/>
              <w:rPr>
                <w:sz w:val="24"/>
                <w:szCs w:val="24"/>
              </w:rPr>
            </w:pPr>
            <w:r w:rsidRPr="00C15639">
              <w:rPr>
                <w:sz w:val="24"/>
                <w:szCs w:val="24"/>
              </w:rPr>
              <w:t>Бактериоскопия: окраски по Граму, Романовскому-Гимзе, Циль-Нильсену</w:t>
            </w:r>
          </w:p>
        </w:tc>
        <w:tc>
          <w:tcPr>
            <w:tcW w:w="1896" w:type="dxa"/>
            <w:gridSpan w:val="20"/>
            <w:tcBorders>
              <w:top w:val="single" w:sz="6" w:space="0" w:color="auto"/>
              <w:left w:val="single" w:sz="6" w:space="0" w:color="auto"/>
              <w:bottom w:val="single" w:sz="6" w:space="0" w:color="auto"/>
              <w:right w:val="single" w:sz="6" w:space="0" w:color="auto"/>
            </w:tcBorders>
          </w:tcPr>
          <w:p w14:paraId="4FA280C3" w14:textId="77777777" w:rsidR="00987CCD" w:rsidRPr="00C15639" w:rsidRDefault="00987CCD" w:rsidP="002D3EBF">
            <w:pPr>
              <w:pStyle w:val="1ff2"/>
              <w:spacing w:line="360" w:lineRule="auto"/>
              <w:jc w:val="center"/>
              <w:rPr>
                <w:sz w:val="24"/>
                <w:szCs w:val="24"/>
              </w:rPr>
            </w:pPr>
            <w:r w:rsidRPr="00C15639">
              <w:rPr>
                <w:sz w:val="24"/>
                <w:szCs w:val="24"/>
              </w:rPr>
              <w:t>Цитологическое исследование: окраска по Романовскому-Гимзе</w:t>
            </w:r>
          </w:p>
        </w:tc>
        <w:tc>
          <w:tcPr>
            <w:tcW w:w="2551" w:type="dxa"/>
            <w:gridSpan w:val="26"/>
            <w:tcBorders>
              <w:top w:val="single" w:sz="6" w:space="0" w:color="auto"/>
              <w:left w:val="single" w:sz="6" w:space="0" w:color="auto"/>
              <w:bottom w:val="single" w:sz="6" w:space="0" w:color="auto"/>
              <w:right w:val="single" w:sz="6" w:space="0" w:color="auto"/>
            </w:tcBorders>
          </w:tcPr>
          <w:p w14:paraId="28329754" w14:textId="77777777" w:rsidR="00987CCD" w:rsidRPr="00C15639" w:rsidRDefault="00987CCD" w:rsidP="002D3EBF">
            <w:pPr>
              <w:pStyle w:val="1ff2"/>
              <w:spacing w:line="360" w:lineRule="auto"/>
              <w:rPr>
                <w:sz w:val="24"/>
                <w:szCs w:val="24"/>
              </w:rPr>
            </w:pPr>
            <w:r w:rsidRPr="00C15639">
              <w:rPr>
                <w:sz w:val="24"/>
                <w:szCs w:val="24"/>
              </w:rPr>
              <w:t>Выявление пневмоцист в мазках по Романовскому-Гимза, РИФ</w:t>
            </w:r>
          </w:p>
        </w:tc>
        <w:tc>
          <w:tcPr>
            <w:tcW w:w="3691" w:type="dxa"/>
            <w:gridSpan w:val="34"/>
            <w:tcBorders>
              <w:top w:val="single" w:sz="6" w:space="0" w:color="auto"/>
              <w:bottom w:val="single" w:sz="6" w:space="0" w:color="auto"/>
              <w:right w:val="single" w:sz="6" w:space="0" w:color="auto"/>
            </w:tcBorders>
          </w:tcPr>
          <w:p w14:paraId="37E426DE" w14:textId="77777777" w:rsidR="00987CCD" w:rsidRPr="00C15639" w:rsidRDefault="00987CCD" w:rsidP="002D3EBF">
            <w:pPr>
              <w:pStyle w:val="1ff2"/>
              <w:spacing w:line="360" w:lineRule="auto"/>
              <w:rPr>
                <w:sz w:val="24"/>
                <w:szCs w:val="24"/>
              </w:rPr>
            </w:pPr>
            <w:r w:rsidRPr="00C15639">
              <w:rPr>
                <w:sz w:val="24"/>
                <w:szCs w:val="24"/>
              </w:rPr>
              <w:t>Выявление ЦМВ методом ПЦР (кровь, лаваж), определение</w:t>
            </w:r>
          </w:p>
          <w:p w14:paraId="46B3D2B6" w14:textId="77777777" w:rsidR="00987CCD" w:rsidRPr="00C15639" w:rsidRDefault="00987CCD" w:rsidP="002D3EBF">
            <w:pPr>
              <w:pStyle w:val="1ff2"/>
              <w:spacing w:line="360" w:lineRule="auto"/>
              <w:rPr>
                <w:sz w:val="24"/>
                <w:szCs w:val="24"/>
              </w:rPr>
            </w:pPr>
            <w:r w:rsidRPr="00C15639">
              <w:rPr>
                <w:sz w:val="24"/>
                <w:szCs w:val="24"/>
              </w:rPr>
              <w:t xml:space="preserve"> антител IgM и IgG в сыворотке</w:t>
            </w:r>
          </w:p>
        </w:tc>
      </w:tr>
      <w:tr w:rsidR="00987CCD" w:rsidRPr="00C15639" w14:paraId="1AC26F7E" w14:textId="77777777" w:rsidTr="002D3EBF">
        <w:trPr>
          <w:gridAfter w:val="43"/>
          <w:wAfter w:w="7898" w:type="dxa"/>
          <w:trHeight w:val="240"/>
        </w:trPr>
        <w:tc>
          <w:tcPr>
            <w:tcW w:w="1184" w:type="dxa"/>
            <w:gridSpan w:val="6"/>
          </w:tcPr>
          <w:p w14:paraId="625639A1" w14:textId="77777777" w:rsidR="00987CCD" w:rsidRPr="00C15639" w:rsidRDefault="00987CCD" w:rsidP="002D3EBF">
            <w:pPr>
              <w:pStyle w:val="1ff2"/>
              <w:spacing w:line="360" w:lineRule="auto"/>
              <w:rPr>
                <w:sz w:val="24"/>
                <w:szCs w:val="24"/>
              </w:rPr>
            </w:pPr>
          </w:p>
        </w:tc>
        <w:tc>
          <w:tcPr>
            <w:tcW w:w="443" w:type="dxa"/>
            <w:gridSpan w:val="4"/>
            <w:tcBorders>
              <w:left w:val="single" w:sz="6" w:space="0" w:color="auto"/>
            </w:tcBorders>
          </w:tcPr>
          <w:p w14:paraId="20EDBC5E" w14:textId="77777777" w:rsidR="00987CCD" w:rsidRPr="00C15639" w:rsidRDefault="00987CCD" w:rsidP="002D3EBF">
            <w:pPr>
              <w:pStyle w:val="1ff2"/>
              <w:spacing w:line="360" w:lineRule="auto"/>
              <w:rPr>
                <w:sz w:val="24"/>
                <w:szCs w:val="24"/>
              </w:rPr>
            </w:pPr>
          </w:p>
        </w:tc>
        <w:tc>
          <w:tcPr>
            <w:tcW w:w="425" w:type="dxa"/>
            <w:gridSpan w:val="3"/>
          </w:tcPr>
          <w:p w14:paraId="5B6024AF" w14:textId="77777777" w:rsidR="00987CCD" w:rsidRPr="00C15639" w:rsidRDefault="00987CCD" w:rsidP="002D3EBF">
            <w:pPr>
              <w:pStyle w:val="1ff2"/>
              <w:spacing w:line="360" w:lineRule="auto"/>
              <w:rPr>
                <w:sz w:val="24"/>
                <w:szCs w:val="24"/>
              </w:rPr>
            </w:pPr>
          </w:p>
        </w:tc>
        <w:tc>
          <w:tcPr>
            <w:tcW w:w="7233" w:type="dxa"/>
            <w:gridSpan w:val="48"/>
            <w:tcBorders>
              <w:right w:val="single" w:sz="6" w:space="0" w:color="auto"/>
            </w:tcBorders>
          </w:tcPr>
          <w:p w14:paraId="126C32CE" w14:textId="77777777" w:rsidR="00987CCD" w:rsidRPr="00C15639" w:rsidRDefault="00987CCD" w:rsidP="002D3EBF">
            <w:pPr>
              <w:pStyle w:val="1ff2"/>
              <w:spacing w:line="360" w:lineRule="auto"/>
              <w:rPr>
                <w:sz w:val="24"/>
                <w:szCs w:val="24"/>
              </w:rPr>
            </w:pPr>
          </w:p>
        </w:tc>
        <w:tc>
          <w:tcPr>
            <w:tcW w:w="1440" w:type="dxa"/>
            <w:gridSpan w:val="14"/>
            <w:tcBorders>
              <w:left w:val="nil"/>
            </w:tcBorders>
          </w:tcPr>
          <w:p w14:paraId="5BE5CB85" w14:textId="77777777" w:rsidR="00987CCD" w:rsidRPr="00C15639" w:rsidRDefault="00987CCD" w:rsidP="002D3EBF">
            <w:pPr>
              <w:pStyle w:val="1ff2"/>
              <w:spacing w:line="360" w:lineRule="auto"/>
              <w:rPr>
                <w:sz w:val="24"/>
                <w:szCs w:val="24"/>
              </w:rPr>
            </w:pPr>
          </w:p>
        </w:tc>
        <w:tc>
          <w:tcPr>
            <w:tcW w:w="1414" w:type="dxa"/>
            <w:gridSpan w:val="17"/>
          </w:tcPr>
          <w:p w14:paraId="19BDA07C" w14:textId="77777777" w:rsidR="00987CCD" w:rsidRPr="00C15639" w:rsidRDefault="00987CCD" w:rsidP="002D3EBF">
            <w:pPr>
              <w:rPr>
                <w:szCs w:val="24"/>
              </w:rPr>
            </w:pPr>
          </w:p>
        </w:tc>
      </w:tr>
      <w:tr w:rsidR="00987CCD" w:rsidRPr="00C15639" w14:paraId="07D8CC1F" w14:textId="77777777" w:rsidTr="002D3EBF">
        <w:trPr>
          <w:gridAfter w:val="17"/>
          <w:wAfter w:w="5165" w:type="dxa"/>
        </w:trPr>
        <w:tc>
          <w:tcPr>
            <w:tcW w:w="3044" w:type="dxa"/>
            <w:gridSpan w:val="18"/>
            <w:tcBorders>
              <w:top w:val="single" w:sz="6" w:space="0" w:color="auto"/>
              <w:left w:val="single" w:sz="6" w:space="0" w:color="auto"/>
              <w:bottom w:val="single" w:sz="6" w:space="0" w:color="auto"/>
              <w:right w:val="single" w:sz="6" w:space="0" w:color="auto"/>
            </w:tcBorders>
          </w:tcPr>
          <w:p w14:paraId="303C0253" w14:textId="77777777" w:rsidR="00987CCD" w:rsidRPr="00C15639" w:rsidRDefault="00987CCD" w:rsidP="002D3EBF">
            <w:pPr>
              <w:pStyle w:val="1ff2"/>
              <w:spacing w:line="360" w:lineRule="auto"/>
              <w:rPr>
                <w:sz w:val="24"/>
                <w:szCs w:val="24"/>
              </w:rPr>
            </w:pPr>
            <w:r w:rsidRPr="00C15639">
              <w:rPr>
                <w:sz w:val="24"/>
                <w:szCs w:val="24"/>
              </w:rPr>
              <w:t>Диагноз установлен</w:t>
            </w:r>
          </w:p>
        </w:tc>
        <w:tc>
          <w:tcPr>
            <w:tcW w:w="4496" w:type="dxa"/>
            <w:gridSpan w:val="27"/>
            <w:tcBorders>
              <w:left w:val="nil"/>
              <w:right w:val="single" w:sz="6" w:space="0" w:color="auto"/>
            </w:tcBorders>
          </w:tcPr>
          <w:p w14:paraId="093203EC" w14:textId="77777777" w:rsidR="00987CCD" w:rsidRPr="00C15639" w:rsidRDefault="00987CCD" w:rsidP="002D3EBF">
            <w:pPr>
              <w:pStyle w:val="1ff2"/>
              <w:spacing w:line="360" w:lineRule="auto"/>
              <w:jc w:val="center"/>
              <w:rPr>
                <w:sz w:val="24"/>
                <w:szCs w:val="24"/>
              </w:rPr>
            </w:pPr>
          </w:p>
        </w:tc>
        <w:tc>
          <w:tcPr>
            <w:tcW w:w="4279" w:type="dxa"/>
            <w:gridSpan w:val="42"/>
            <w:tcBorders>
              <w:top w:val="single" w:sz="6" w:space="0" w:color="auto"/>
              <w:left w:val="single" w:sz="6" w:space="0" w:color="auto"/>
              <w:bottom w:val="single" w:sz="6" w:space="0" w:color="auto"/>
              <w:right w:val="single" w:sz="6" w:space="0" w:color="auto"/>
            </w:tcBorders>
          </w:tcPr>
          <w:p w14:paraId="5ECD1913" w14:textId="77777777" w:rsidR="00987CCD" w:rsidRPr="00C15639" w:rsidRDefault="00987CCD" w:rsidP="002D3EBF">
            <w:pPr>
              <w:pStyle w:val="1ff2"/>
              <w:spacing w:line="360" w:lineRule="auto"/>
              <w:jc w:val="center"/>
              <w:rPr>
                <w:sz w:val="24"/>
                <w:szCs w:val="24"/>
              </w:rPr>
            </w:pPr>
            <w:r w:rsidRPr="00C15639">
              <w:rPr>
                <w:sz w:val="24"/>
                <w:szCs w:val="24"/>
              </w:rPr>
              <w:t>Диагноз не установлен</w:t>
            </w:r>
          </w:p>
        </w:tc>
        <w:tc>
          <w:tcPr>
            <w:tcW w:w="213" w:type="dxa"/>
            <w:gridSpan w:val="4"/>
          </w:tcPr>
          <w:p w14:paraId="7D47CB69" w14:textId="77777777" w:rsidR="00987CCD" w:rsidRPr="00C15639" w:rsidRDefault="00987CCD" w:rsidP="002D3EBF">
            <w:pPr>
              <w:pStyle w:val="1ff2"/>
              <w:spacing w:line="360" w:lineRule="auto"/>
              <w:rPr>
                <w:sz w:val="24"/>
                <w:szCs w:val="24"/>
              </w:rPr>
            </w:pPr>
          </w:p>
        </w:tc>
        <w:tc>
          <w:tcPr>
            <w:tcW w:w="1420" w:type="dxa"/>
            <w:gridSpan w:val="15"/>
          </w:tcPr>
          <w:p w14:paraId="46536F5C" w14:textId="77777777" w:rsidR="00987CCD" w:rsidRPr="00C15639" w:rsidRDefault="00987CCD" w:rsidP="002D3EBF">
            <w:pPr>
              <w:rPr>
                <w:szCs w:val="24"/>
              </w:rPr>
            </w:pPr>
          </w:p>
        </w:tc>
        <w:tc>
          <w:tcPr>
            <w:tcW w:w="1420" w:type="dxa"/>
            <w:gridSpan w:val="12"/>
          </w:tcPr>
          <w:p w14:paraId="09E3EBC6" w14:textId="77777777" w:rsidR="00987CCD" w:rsidRPr="00C15639" w:rsidRDefault="00987CCD" w:rsidP="002D3EBF">
            <w:pPr>
              <w:rPr>
                <w:szCs w:val="24"/>
              </w:rPr>
            </w:pPr>
          </w:p>
        </w:tc>
      </w:tr>
      <w:tr w:rsidR="00987CCD" w:rsidRPr="00C15639" w14:paraId="57413AF5" w14:textId="77777777" w:rsidTr="002D3EBF">
        <w:trPr>
          <w:gridAfter w:val="16"/>
          <w:wAfter w:w="5017" w:type="dxa"/>
        </w:trPr>
        <w:tc>
          <w:tcPr>
            <w:tcW w:w="1201" w:type="dxa"/>
            <w:gridSpan w:val="7"/>
            <w:tcBorders>
              <w:right w:val="single" w:sz="6" w:space="0" w:color="auto"/>
            </w:tcBorders>
          </w:tcPr>
          <w:p w14:paraId="231B75CA" w14:textId="77777777" w:rsidR="00987CCD" w:rsidRPr="00C15639" w:rsidRDefault="00987CCD" w:rsidP="002D3EBF">
            <w:pPr>
              <w:pStyle w:val="1ff2"/>
              <w:spacing w:line="360" w:lineRule="auto"/>
              <w:rPr>
                <w:sz w:val="24"/>
                <w:szCs w:val="24"/>
              </w:rPr>
            </w:pPr>
          </w:p>
        </w:tc>
        <w:tc>
          <w:tcPr>
            <w:tcW w:w="7655" w:type="dxa"/>
            <w:gridSpan w:val="52"/>
            <w:tcBorders>
              <w:left w:val="nil"/>
              <w:right w:val="single" w:sz="6" w:space="0" w:color="auto"/>
            </w:tcBorders>
          </w:tcPr>
          <w:p w14:paraId="6F828685" w14:textId="77777777" w:rsidR="00987CCD" w:rsidRPr="00C15639" w:rsidRDefault="00987CCD" w:rsidP="002D3EBF">
            <w:pPr>
              <w:pStyle w:val="1ff2"/>
              <w:spacing w:line="360" w:lineRule="auto"/>
              <w:jc w:val="center"/>
              <w:rPr>
                <w:sz w:val="24"/>
                <w:szCs w:val="24"/>
              </w:rPr>
            </w:pPr>
          </w:p>
        </w:tc>
        <w:tc>
          <w:tcPr>
            <w:tcW w:w="1902" w:type="dxa"/>
            <w:gridSpan w:val="18"/>
            <w:tcBorders>
              <w:left w:val="nil"/>
            </w:tcBorders>
          </w:tcPr>
          <w:p w14:paraId="7D6F88BC" w14:textId="77777777" w:rsidR="00987CCD" w:rsidRPr="00C15639" w:rsidRDefault="00987CCD" w:rsidP="002D3EBF">
            <w:pPr>
              <w:pStyle w:val="1ff2"/>
              <w:spacing w:line="360" w:lineRule="auto"/>
              <w:rPr>
                <w:sz w:val="24"/>
                <w:szCs w:val="24"/>
              </w:rPr>
            </w:pPr>
          </w:p>
        </w:tc>
        <w:tc>
          <w:tcPr>
            <w:tcW w:w="1422" w:type="dxa"/>
            <w:gridSpan w:val="17"/>
          </w:tcPr>
          <w:p w14:paraId="3ADD8E35" w14:textId="77777777" w:rsidR="00987CCD" w:rsidRPr="00C15639" w:rsidRDefault="00987CCD" w:rsidP="002D3EBF">
            <w:pPr>
              <w:rPr>
                <w:szCs w:val="24"/>
              </w:rPr>
            </w:pPr>
          </w:p>
        </w:tc>
        <w:tc>
          <w:tcPr>
            <w:tcW w:w="1420" w:type="dxa"/>
            <w:gridSpan w:val="15"/>
          </w:tcPr>
          <w:p w14:paraId="60A54F1C" w14:textId="77777777" w:rsidR="00987CCD" w:rsidRPr="00C15639" w:rsidRDefault="00987CCD" w:rsidP="002D3EBF">
            <w:pPr>
              <w:rPr>
                <w:szCs w:val="24"/>
              </w:rPr>
            </w:pPr>
          </w:p>
        </w:tc>
        <w:tc>
          <w:tcPr>
            <w:tcW w:w="1420" w:type="dxa"/>
            <w:gridSpan w:val="10"/>
          </w:tcPr>
          <w:p w14:paraId="40D8C66E" w14:textId="77777777" w:rsidR="00987CCD" w:rsidRPr="00C15639" w:rsidRDefault="00987CCD" w:rsidP="002D3EBF">
            <w:pPr>
              <w:rPr>
                <w:szCs w:val="24"/>
              </w:rPr>
            </w:pPr>
          </w:p>
        </w:tc>
      </w:tr>
      <w:tr w:rsidR="00987CCD" w:rsidRPr="00C15639" w14:paraId="514609D5" w14:textId="77777777" w:rsidTr="002D3EBF">
        <w:trPr>
          <w:gridAfter w:val="16"/>
          <w:wAfter w:w="5017" w:type="dxa"/>
        </w:trPr>
        <w:tc>
          <w:tcPr>
            <w:tcW w:w="3044" w:type="dxa"/>
            <w:gridSpan w:val="18"/>
            <w:tcBorders>
              <w:top w:val="single" w:sz="6" w:space="0" w:color="auto"/>
              <w:left w:val="single" w:sz="6" w:space="0" w:color="auto"/>
              <w:bottom w:val="single" w:sz="6" w:space="0" w:color="auto"/>
              <w:right w:val="single" w:sz="6" w:space="0" w:color="auto"/>
            </w:tcBorders>
          </w:tcPr>
          <w:p w14:paraId="7C7FB067" w14:textId="77777777" w:rsidR="00987CCD" w:rsidRPr="00C15639" w:rsidRDefault="00987CCD" w:rsidP="002D3EBF">
            <w:pPr>
              <w:pStyle w:val="1ff2"/>
              <w:spacing w:line="360" w:lineRule="auto"/>
              <w:jc w:val="center"/>
              <w:rPr>
                <w:sz w:val="24"/>
                <w:szCs w:val="24"/>
              </w:rPr>
            </w:pPr>
            <w:r w:rsidRPr="00C15639">
              <w:rPr>
                <w:sz w:val="24"/>
                <w:szCs w:val="24"/>
              </w:rPr>
              <w:t>Лечение 3-10 дней</w:t>
            </w:r>
          </w:p>
        </w:tc>
        <w:tc>
          <w:tcPr>
            <w:tcW w:w="5812" w:type="dxa"/>
            <w:gridSpan w:val="41"/>
            <w:tcBorders>
              <w:left w:val="nil"/>
              <w:right w:val="single" w:sz="6" w:space="0" w:color="auto"/>
            </w:tcBorders>
          </w:tcPr>
          <w:p w14:paraId="499F52BB" w14:textId="77777777" w:rsidR="00987CCD" w:rsidRPr="00C15639" w:rsidRDefault="00987CCD" w:rsidP="002D3EBF">
            <w:pPr>
              <w:pStyle w:val="1ff2"/>
              <w:spacing w:line="360" w:lineRule="auto"/>
              <w:jc w:val="center"/>
              <w:rPr>
                <w:sz w:val="24"/>
                <w:szCs w:val="24"/>
              </w:rPr>
            </w:pPr>
          </w:p>
        </w:tc>
        <w:tc>
          <w:tcPr>
            <w:tcW w:w="1902" w:type="dxa"/>
            <w:gridSpan w:val="18"/>
            <w:tcBorders>
              <w:left w:val="nil"/>
            </w:tcBorders>
          </w:tcPr>
          <w:p w14:paraId="0035BEC2" w14:textId="77777777" w:rsidR="00987CCD" w:rsidRPr="00C15639" w:rsidRDefault="00987CCD" w:rsidP="002D3EBF">
            <w:pPr>
              <w:pStyle w:val="1ff2"/>
              <w:spacing w:line="360" w:lineRule="auto"/>
              <w:rPr>
                <w:sz w:val="24"/>
                <w:szCs w:val="24"/>
              </w:rPr>
            </w:pPr>
          </w:p>
        </w:tc>
        <w:tc>
          <w:tcPr>
            <w:tcW w:w="1422" w:type="dxa"/>
            <w:gridSpan w:val="17"/>
          </w:tcPr>
          <w:p w14:paraId="28E3BE64" w14:textId="77777777" w:rsidR="00987CCD" w:rsidRPr="00C15639" w:rsidRDefault="00987CCD" w:rsidP="002D3EBF">
            <w:pPr>
              <w:rPr>
                <w:szCs w:val="24"/>
              </w:rPr>
            </w:pPr>
          </w:p>
        </w:tc>
        <w:tc>
          <w:tcPr>
            <w:tcW w:w="1420" w:type="dxa"/>
            <w:gridSpan w:val="15"/>
          </w:tcPr>
          <w:p w14:paraId="440BD8B9" w14:textId="77777777" w:rsidR="00987CCD" w:rsidRPr="00C15639" w:rsidRDefault="00987CCD" w:rsidP="002D3EBF">
            <w:pPr>
              <w:rPr>
                <w:szCs w:val="24"/>
              </w:rPr>
            </w:pPr>
          </w:p>
        </w:tc>
        <w:tc>
          <w:tcPr>
            <w:tcW w:w="1420" w:type="dxa"/>
            <w:gridSpan w:val="10"/>
          </w:tcPr>
          <w:p w14:paraId="158603A2" w14:textId="77777777" w:rsidR="00987CCD" w:rsidRPr="00C15639" w:rsidRDefault="00987CCD" w:rsidP="002D3EBF">
            <w:pPr>
              <w:rPr>
                <w:szCs w:val="24"/>
              </w:rPr>
            </w:pPr>
          </w:p>
        </w:tc>
      </w:tr>
      <w:tr w:rsidR="00987CCD" w:rsidRPr="00C15639" w14:paraId="6FE8F8FC" w14:textId="77777777" w:rsidTr="002D3EBF">
        <w:trPr>
          <w:gridAfter w:val="43"/>
          <w:wAfter w:w="7898" w:type="dxa"/>
        </w:trPr>
        <w:tc>
          <w:tcPr>
            <w:tcW w:w="1184" w:type="dxa"/>
            <w:gridSpan w:val="6"/>
          </w:tcPr>
          <w:p w14:paraId="06F42220" w14:textId="77777777" w:rsidR="00987CCD" w:rsidRPr="00C15639" w:rsidRDefault="00987CCD" w:rsidP="002D3EBF">
            <w:pPr>
              <w:pStyle w:val="1ff2"/>
              <w:spacing w:line="360" w:lineRule="auto"/>
              <w:rPr>
                <w:sz w:val="24"/>
                <w:szCs w:val="24"/>
              </w:rPr>
            </w:pPr>
          </w:p>
        </w:tc>
        <w:tc>
          <w:tcPr>
            <w:tcW w:w="1297" w:type="dxa"/>
            <w:gridSpan w:val="8"/>
            <w:tcBorders>
              <w:left w:val="single" w:sz="6" w:space="0" w:color="auto"/>
            </w:tcBorders>
          </w:tcPr>
          <w:p w14:paraId="5ECDCEC2" w14:textId="77777777" w:rsidR="00987CCD" w:rsidRPr="00C15639" w:rsidRDefault="00987CCD" w:rsidP="002D3EBF">
            <w:pPr>
              <w:pStyle w:val="1ff2"/>
              <w:spacing w:line="360" w:lineRule="auto"/>
              <w:rPr>
                <w:sz w:val="24"/>
                <w:szCs w:val="24"/>
              </w:rPr>
            </w:pPr>
          </w:p>
        </w:tc>
        <w:tc>
          <w:tcPr>
            <w:tcW w:w="1981" w:type="dxa"/>
            <w:gridSpan w:val="13"/>
            <w:tcBorders>
              <w:top w:val="single" w:sz="6" w:space="0" w:color="auto"/>
              <w:right w:val="single" w:sz="6" w:space="0" w:color="auto"/>
            </w:tcBorders>
          </w:tcPr>
          <w:p w14:paraId="1881DDF8" w14:textId="77777777" w:rsidR="00987CCD" w:rsidRPr="00C15639" w:rsidRDefault="00987CCD" w:rsidP="002D3EBF">
            <w:pPr>
              <w:pStyle w:val="1ff2"/>
              <w:spacing w:line="360" w:lineRule="auto"/>
              <w:rPr>
                <w:sz w:val="24"/>
                <w:szCs w:val="24"/>
              </w:rPr>
            </w:pPr>
          </w:p>
        </w:tc>
        <w:tc>
          <w:tcPr>
            <w:tcW w:w="4394" w:type="dxa"/>
            <w:gridSpan w:val="32"/>
            <w:tcBorders>
              <w:left w:val="nil"/>
            </w:tcBorders>
          </w:tcPr>
          <w:p w14:paraId="492D1F60" w14:textId="77777777" w:rsidR="00987CCD" w:rsidRPr="00C15639" w:rsidRDefault="00987CCD" w:rsidP="002D3EBF">
            <w:pPr>
              <w:pStyle w:val="1ff2"/>
              <w:spacing w:line="360" w:lineRule="auto"/>
              <w:rPr>
                <w:sz w:val="24"/>
                <w:szCs w:val="24"/>
              </w:rPr>
            </w:pPr>
          </w:p>
        </w:tc>
        <w:tc>
          <w:tcPr>
            <w:tcW w:w="1869" w:type="dxa"/>
            <w:gridSpan w:val="16"/>
            <w:tcBorders>
              <w:left w:val="single" w:sz="6" w:space="0" w:color="auto"/>
            </w:tcBorders>
          </w:tcPr>
          <w:p w14:paraId="63198D20" w14:textId="77777777" w:rsidR="00987CCD" w:rsidRPr="00C15639" w:rsidRDefault="00987CCD" w:rsidP="002D3EBF">
            <w:pPr>
              <w:pStyle w:val="1ff2"/>
              <w:spacing w:line="360" w:lineRule="auto"/>
              <w:rPr>
                <w:sz w:val="24"/>
                <w:szCs w:val="24"/>
              </w:rPr>
            </w:pPr>
          </w:p>
        </w:tc>
        <w:tc>
          <w:tcPr>
            <w:tcW w:w="1414" w:type="dxa"/>
            <w:gridSpan w:val="17"/>
          </w:tcPr>
          <w:p w14:paraId="6647EA00" w14:textId="77777777" w:rsidR="00987CCD" w:rsidRPr="00C15639" w:rsidRDefault="00987CCD" w:rsidP="002D3EBF">
            <w:pPr>
              <w:rPr>
                <w:szCs w:val="24"/>
              </w:rPr>
            </w:pPr>
          </w:p>
        </w:tc>
      </w:tr>
      <w:tr w:rsidR="00987CCD" w:rsidRPr="00C15639" w14:paraId="1599950B" w14:textId="77777777" w:rsidTr="002D3EBF">
        <w:trPr>
          <w:gridAfter w:val="26"/>
          <w:wAfter w:w="6437" w:type="dxa"/>
        </w:trPr>
        <w:tc>
          <w:tcPr>
            <w:tcW w:w="2619" w:type="dxa"/>
            <w:gridSpan w:val="16"/>
            <w:tcBorders>
              <w:top w:val="single" w:sz="6" w:space="0" w:color="auto"/>
              <w:left w:val="single" w:sz="6" w:space="0" w:color="auto"/>
              <w:bottom w:val="single" w:sz="6" w:space="0" w:color="auto"/>
              <w:right w:val="single" w:sz="6" w:space="0" w:color="auto"/>
            </w:tcBorders>
          </w:tcPr>
          <w:p w14:paraId="57A4C678" w14:textId="77777777" w:rsidR="00987CCD" w:rsidRPr="00C15639" w:rsidRDefault="00987CCD" w:rsidP="002D3EBF">
            <w:pPr>
              <w:pStyle w:val="1ff2"/>
              <w:spacing w:line="360" w:lineRule="auto"/>
              <w:rPr>
                <w:sz w:val="24"/>
                <w:szCs w:val="24"/>
              </w:rPr>
            </w:pPr>
            <w:r w:rsidRPr="00C15639">
              <w:rPr>
                <w:sz w:val="24"/>
                <w:szCs w:val="24"/>
              </w:rPr>
              <w:t>Лечение эффективно</w:t>
            </w:r>
          </w:p>
        </w:tc>
        <w:tc>
          <w:tcPr>
            <w:tcW w:w="425" w:type="dxa"/>
            <w:gridSpan w:val="2"/>
            <w:tcBorders>
              <w:left w:val="nil"/>
            </w:tcBorders>
          </w:tcPr>
          <w:p w14:paraId="675ECB39" w14:textId="77777777" w:rsidR="00987CCD" w:rsidRPr="00C15639" w:rsidRDefault="00987CCD" w:rsidP="002D3EBF">
            <w:pPr>
              <w:pStyle w:val="1ff2"/>
              <w:spacing w:line="360" w:lineRule="auto"/>
              <w:rPr>
                <w:sz w:val="24"/>
                <w:szCs w:val="24"/>
              </w:rPr>
            </w:pPr>
          </w:p>
        </w:tc>
        <w:tc>
          <w:tcPr>
            <w:tcW w:w="5327" w:type="dxa"/>
            <w:gridSpan w:val="36"/>
            <w:tcBorders>
              <w:top w:val="single" w:sz="6" w:space="0" w:color="auto"/>
              <w:left w:val="single" w:sz="6" w:space="0" w:color="auto"/>
              <w:bottom w:val="single" w:sz="6" w:space="0" w:color="auto"/>
              <w:right w:val="single" w:sz="6" w:space="0" w:color="auto"/>
            </w:tcBorders>
          </w:tcPr>
          <w:p w14:paraId="3AA73D8C" w14:textId="77777777" w:rsidR="00987CCD" w:rsidRPr="00C15639" w:rsidRDefault="00987CCD" w:rsidP="002D3EBF">
            <w:pPr>
              <w:pStyle w:val="1ff2"/>
              <w:spacing w:line="360" w:lineRule="auto"/>
              <w:jc w:val="center"/>
              <w:rPr>
                <w:sz w:val="24"/>
                <w:szCs w:val="24"/>
              </w:rPr>
            </w:pPr>
            <w:r w:rsidRPr="00C15639">
              <w:rPr>
                <w:sz w:val="24"/>
                <w:szCs w:val="24"/>
              </w:rPr>
              <w:t>Отсутствует или недостаточный эффект лечения</w:t>
            </w:r>
          </w:p>
        </w:tc>
        <w:tc>
          <w:tcPr>
            <w:tcW w:w="485" w:type="dxa"/>
            <w:gridSpan w:val="5"/>
            <w:tcBorders>
              <w:left w:val="nil"/>
            </w:tcBorders>
          </w:tcPr>
          <w:p w14:paraId="3CF0F6A8" w14:textId="77777777" w:rsidR="00987CCD" w:rsidRPr="00C15639" w:rsidRDefault="00987CCD" w:rsidP="002D3EBF">
            <w:pPr>
              <w:pStyle w:val="1ff2"/>
              <w:spacing w:line="360" w:lineRule="auto"/>
              <w:rPr>
                <w:sz w:val="24"/>
                <w:szCs w:val="24"/>
              </w:rPr>
            </w:pPr>
          </w:p>
        </w:tc>
        <w:tc>
          <w:tcPr>
            <w:tcW w:w="3324" w:type="dxa"/>
            <w:gridSpan w:val="35"/>
            <w:tcBorders>
              <w:left w:val="single" w:sz="6" w:space="0" w:color="auto"/>
            </w:tcBorders>
          </w:tcPr>
          <w:p w14:paraId="033359DC" w14:textId="77777777" w:rsidR="00987CCD" w:rsidRPr="00C15639" w:rsidRDefault="00987CCD" w:rsidP="002D3EBF">
            <w:pPr>
              <w:rPr>
                <w:szCs w:val="24"/>
              </w:rPr>
            </w:pPr>
          </w:p>
        </w:tc>
        <w:tc>
          <w:tcPr>
            <w:tcW w:w="1420" w:type="dxa"/>
            <w:gridSpan w:val="15"/>
          </w:tcPr>
          <w:p w14:paraId="640B03B1" w14:textId="77777777" w:rsidR="00987CCD" w:rsidRPr="00C15639" w:rsidRDefault="00987CCD" w:rsidP="002D3EBF">
            <w:pPr>
              <w:rPr>
                <w:szCs w:val="24"/>
              </w:rPr>
            </w:pPr>
          </w:p>
        </w:tc>
      </w:tr>
      <w:tr w:rsidR="00987CCD" w:rsidRPr="00C15639" w14:paraId="56E26CFC" w14:textId="77777777" w:rsidTr="002D3EBF">
        <w:trPr>
          <w:gridAfter w:val="43"/>
          <w:wAfter w:w="7898" w:type="dxa"/>
        </w:trPr>
        <w:tc>
          <w:tcPr>
            <w:tcW w:w="1184" w:type="dxa"/>
            <w:gridSpan w:val="6"/>
          </w:tcPr>
          <w:p w14:paraId="3FF77527" w14:textId="77777777" w:rsidR="00987CCD" w:rsidRPr="00C15639" w:rsidRDefault="00987CCD" w:rsidP="002D3EBF">
            <w:pPr>
              <w:pStyle w:val="1ff2"/>
              <w:spacing w:line="360" w:lineRule="auto"/>
              <w:rPr>
                <w:sz w:val="24"/>
                <w:szCs w:val="24"/>
              </w:rPr>
            </w:pPr>
          </w:p>
        </w:tc>
        <w:tc>
          <w:tcPr>
            <w:tcW w:w="1297" w:type="dxa"/>
            <w:gridSpan w:val="8"/>
          </w:tcPr>
          <w:p w14:paraId="13562ED0" w14:textId="77777777" w:rsidR="00987CCD" w:rsidRPr="00C15639" w:rsidRDefault="00987CCD" w:rsidP="002D3EBF">
            <w:pPr>
              <w:pStyle w:val="1ff2"/>
              <w:spacing w:line="360" w:lineRule="auto"/>
              <w:rPr>
                <w:sz w:val="24"/>
                <w:szCs w:val="24"/>
              </w:rPr>
            </w:pPr>
          </w:p>
        </w:tc>
        <w:tc>
          <w:tcPr>
            <w:tcW w:w="1046" w:type="dxa"/>
            <w:gridSpan w:val="10"/>
          </w:tcPr>
          <w:p w14:paraId="6C4EACA3" w14:textId="77777777" w:rsidR="00987CCD" w:rsidRPr="00C15639" w:rsidRDefault="00987CCD" w:rsidP="002D3EBF">
            <w:pPr>
              <w:pStyle w:val="1ff2"/>
              <w:spacing w:line="360" w:lineRule="auto"/>
              <w:rPr>
                <w:sz w:val="24"/>
                <w:szCs w:val="24"/>
              </w:rPr>
            </w:pPr>
          </w:p>
        </w:tc>
        <w:tc>
          <w:tcPr>
            <w:tcW w:w="3023" w:type="dxa"/>
            <w:gridSpan w:val="15"/>
            <w:tcBorders>
              <w:right w:val="single" w:sz="6" w:space="0" w:color="auto"/>
            </w:tcBorders>
          </w:tcPr>
          <w:p w14:paraId="2141E992" w14:textId="77777777" w:rsidR="00987CCD" w:rsidRPr="00C15639" w:rsidRDefault="00987CCD" w:rsidP="002D3EBF">
            <w:pPr>
              <w:pStyle w:val="1ff2"/>
              <w:spacing w:line="360" w:lineRule="auto"/>
              <w:rPr>
                <w:sz w:val="24"/>
                <w:szCs w:val="24"/>
              </w:rPr>
            </w:pPr>
          </w:p>
        </w:tc>
        <w:tc>
          <w:tcPr>
            <w:tcW w:w="2306" w:type="dxa"/>
            <w:gridSpan w:val="20"/>
            <w:tcBorders>
              <w:left w:val="nil"/>
              <w:right w:val="single" w:sz="6" w:space="0" w:color="auto"/>
            </w:tcBorders>
          </w:tcPr>
          <w:p w14:paraId="78AA3F5B" w14:textId="77777777" w:rsidR="00987CCD" w:rsidRPr="00C15639" w:rsidRDefault="00987CCD" w:rsidP="002D3EBF">
            <w:pPr>
              <w:pStyle w:val="1ff2"/>
              <w:spacing w:line="360" w:lineRule="auto"/>
              <w:rPr>
                <w:sz w:val="24"/>
                <w:szCs w:val="24"/>
              </w:rPr>
            </w:pPr>
          </w:p>
        </w:tc>
        <w:tc>
          <w:tcPr>
            <w:tcW w:w="3283" w:type="dxa"/>
            <w:gridSpan w:val="33"/>
            <w:tcBorders>
              <w:left w:val="nil"/>
            </w:tcBorders>
          </w:tcPr>
          <w:p w14:paraId="364D848A" w14:textId="77777777" w:rsidR="00987CCD" w:rsidRPr="00C15639" w:rsidRDefault="00987CCD" w:rsidP="002D3EBF">
            <w:pPr>
              <w:rPr>
                <w:szCs w:val="24"/>
              </w:rPr>
            </w:pPr>
          </w:p>
        </w:tc>
      </w:tr>
      <w:tr w:rsidR="00987CCD" w:rsidRPr="00C15639" w14:paraId="18071737" w14:textId="77777777" w:rsidTr="002D3EBF">
        <w:trPr>
          <w:gridAfter w:val="23"/>
          <w:wAfter w:w="6149" w:type="dxa"/>
        </w:trPr>
        <w:tc>
          <w:tcPr>
            <w:tcW w:w="3328" w:type="dxa"/>
            <w:gridSpan w:val="22"/>
          </w:tcPr>
          <w:p w14:paraId="477BEAFE" w14:textId="77777777" w:rsidR="00987CCD" w:rsidRPr="00C15639" w:rsidRDefault="00987CCD" w:rsidP="002D3EBF">
            <w:pPr>
              <w:pStyle w:val="1ff2"/>
              <w:spacing w:line="360" w:lineRule="auto"/>
              <w:rPr>
                <w:sz w:val="24"/>
                <w:szCs w:val="24"/>
              </w:rPr>
            </w:pPr>
          </w:p>
        </w:tc>
        <w:tc>
          <w:tcPr>
            <w:tcW w:w="6492" w:type="dxa"/>
            <w:gridSpan w:val="46"/>
            <w:tcBorders>
              <w:top w:val="single" w:sz="6" w:space="0" w:color="auto"/>
              <w:left w:val="single" w:sz="6" w:space="0" w:color="auto"/>
              <w:bottom w:val="single" w:sz="6" w:space="0" w:color="auto"/>
              <w:right w:val="single" w:sz="6" w:space="0" w:color="auto"/>
            </w:tcBorders>
          </w:tcPr>
          <w:p w14:paraId="77F2FE3E" w14:textId="77777777" w:rsidR="00987CCD" w:rsidRPr="00C15639" w:rsidRDefault="00987CCD" w:rsidP="002D3EBF">
            <w:pPr>
              <w:pStyle w:val="1ff2"/>
              <w:spacing w:line="360" w:lineRule="auto"/>
              <w:jc w:val="center"/>
              <w:rPr>
                <w:sz w:val="24"/>
                <w:szCs w:val="24"/>
              </w:rPr>
            </w:pPr>
            <w:r w:rsidRPr="00C15639">
              <w:rPr>
                <w:sz w:val="24"/>
                <w:szCs w:val="24"/>
              </w:rPr>
              <w:t xml:space="preserve">Биопсия легкого </w:t>
            </w:r>
          </w:p>
        </w:tc>
        <w:tc>
          <w:tcPr>
            <w:tcW w:w="171" w:type="dxa"/>
            <w:gridSpan w:val="3"/>
          </w:tcPr>
          <w:p w14:paraId="401086E9" w14:textId="77777777" w:rsidR="00987CCD" w:rsidRPr="00C15639" w:rsidRDefault="00987CCD" w:rsidP="002D3EBF">
            <w:pPr>
              <w:pStyle w:val="1ff2"/>
              <w:spacing w:line="360" w:lineRule="auto"/>
              <w:rPr>
                <w:sz w:val="24"/>
                <w:szCs w:val="24"/>
              </w:rPr>
            </w:pPr>
          </w:p>
        </w:tc>
        <w:tc>
          <w:tcPr>
            <w:tcW w:w="1061" w:type="dxa"/>
            <w:gridSpan w:val="10"/>
          </w:tcPr>
          <w:p w14:paraId="5514722F" w14:textId="77777777" w:rsidR="00987CCD" w:rsidRPr="00C15639" w:rsidRDefault="00987CCD" w:rsidP="002D3EBF">
            <w:pPr>
              <w:pStyle w:val="1ff2"/>
              <w:spacing w:line="360" w:lineRule="auto"/>
              <w:rPr>
                <w:sz w:val="24"/>
                <w:szCs w:val="24"/>
              </w:rPr>
            </w:pPr>
          </w:p>
        </w:tc>
        <w:tc>
          <w:tcPr>
            <w:tcW w:w="1418" w:type="dxa"/>
            <w:gridSpan w:val="18"/>
          </w:tcPr>
          <w:p w14:paraId="0C6D513D" w14:textId="77777777" w:rsidR="00987CCD" w:rsidRPr="00C15639" w:rsidRDefault="00987CCD" w:rsidP="002D3EBF">
            <w:pPr>
              <w:rPr>
                <w:szCs w:val="24"/>
              </w:rPr>
            </w:pPr>
          </w:p>
        </w:tc>
        <w:tc>
          <w:tcPr>
            <w:tcW w:w="1418" w:type="dxa"/>
            <w:gridSpan w:val="13"/>
          </w:tcPr>
          <w:p w14:paraId="58D254AB" w14:textId="77777777" w:rsidR="00987CCD" w:rsidRPr="00C15639" w:rsidRDefault="00987CCD" w:rsidP="002D3EBF">
            <w:pPr>
              <w:rPr>
                <w:szCs w:val="24"/>
              </w:rPr>
            </w:pPr>
          </w:p>
        </w:tc>
      </w:tr>
      <w:tr w:rsidR="00987CCD" w:rsidRPr="00C15639" w14:paraId="2B848FAC" w14:textId="77777777" w:rsidTr="002D3EBF">
        <w:trPr>
          <w:gridAfter w:val="40"/>
          <w:wAfter w:w="7775" w:type="dxa"/>
          <w:cantSplit/>
        </w:trPr>
        <w:tc>
          <w:tcPr>
            <w:tcW w:w="1064" w:type="dxa"/>
            <w:gridSpan w:val="5"/>
          </w:tcPr>
          <w:p w14:paraId="63124C74" w14:textId="77777777" w:rsidR="00987CCD" w:rsidRPr="00C15639" w:rsidRDefault="00987CCD" w:rsidP="002D3EBF">
            <w:pPr>
              <w:pStyle w:val="1ff2"/>
              <w:spacing w:line="360" w:lineRule="auto"/>
              <w:rPr>
                <w:sz w:val="24"/>
                <w:szCs w:val="24"/>
              </w:rPr>
            </w:pPr>
          </w:p>
        </w:tc>
        <w:tc>
          <w:tcPr>
            <w:tcW w:w="1701" w:type="dxa"/>
            <w:gridSpan w:val="12"/>
            <w:tcBorders>
              <w:top w:val="single" w:sz="6" w:space="0" w:color="auto"/>
              <w:left w:val="single" w:sz="6" w:space="0" w:color="auto"/>
            </w:tcBorders>
          </w:tcPr>
          <w:p w14:paraId="500BF62D" w14:textId="77777777" w:rsidR="00987CCD" w:rsidRPr="00C15639" w:rsidRDefault="00987CCD" w:rsidP="002D3EBF">
            <w:pPr>
              <w:pStyle w:val="1ff2"/>
              <w:spacing w:line="360" w:lineRule="auto"/>
              <w:rPr>
                <w:sz w:val="24"/>
                <w:szCs w:val="24"/>
              </w:rPr>
            </w:pPr>
          </w:p>
        </w:tc>
        <w:tc>
          <w:tcPr>
            <w:tcW w:w="2109" w:type="dxa"/>
            <w:gridSpan w:val="12"/>
            <w:tcBorders>
              <w:top w:val="single" w:sz="6" w:space="0" w:color="auto"/>
              <w:left w:val="single" w:sz="6" w:space="0" w:color="auto"/>
              <w:bottom w:val="single" w:sz="6" w:space="0" w:color="auto"/>
              <w:right w:val="single" w:sz="6" w:space="0" w:color="auto"/>
            </w:tcBorders>
          </w:tcPr>
          <w:p w14:paraId="75EFF5BC" w14:textId="77777777" w:rsidR="00987CCD" w:rsidRPr="00C15639" w:rsidRDefault="00987CCD" w:rsidP="002D3EBF">
            <w:pPr>
              <w:pStyle w:val="1ff2"/>
              <w:spacing w:line="360" w:lineRule="auto"/>
              <w:jc w:val="center"/>
              <w:rPr>
                <w:sz w:val="24"/>
                <w:szCs w:val="24"/>
              </w:rPr>
            </w:pPr>
          </w:p>
        </w:tc>
        <w:tc>
          <w:tcPr>
            <w:tcW w:w="2143" w:type="dxa"/>
            <w:gridSpan w:val="12"/>
            <w:tcBorders>
              <w:top w:val="single" w:sz="6" w:space="0" w:color="auto"/>
            </w:tcBorders>
          </w:tcPr>
          <w:p w14:paraId="11B321E3" w14:textId="77777777" w:rsidR="00987CCD" w:rsidRPr="00C15639" w:rsidRDefault="00987CCD" w:rsidP="002D3EBF">
            <w:pPr>
              <w:pStyle w:val="1ff2"/>
              <w:spacing w:line="360" w:lineRule="auto"/>
              <w:rPr>
                <w:sz w:val="24"/>
                <w:szCs w:val="24"/>
              </w:rPr>
            </w:pPr>
          </w:p>
        </w:tc>
        <w:tc>
          <w:tcPr>
            <w:tcW w:w="1699" w:type="dxa"/>
            <w:gridSpan w:val="15"/>
            <w:tcBorders>
              <w:top w:val="single" w:sz="6" w:space="0" w:color="auto"/>
              <w:left w:val="single" w:sz="6" w:space="0" w:color="auto"/>
              <w:right w:val="single" w:sz="6" w:space="0" w:color="auto"/>
            </w:tcBorders>
          </w:tcPr>
          <w:p w14:paraId="2027CD38" w14:textId="77777777" w:rsidR="00987CCD" w:rsidRPr="00C15639" w:rsidRDefault="00987CCD" w:rsidP="002D3EBF">
            <w:pPr>
              <w:pStyle w:val="1ff2"/>
              <w:spacing w:line="360" w:lineRule="auto"/>
              <w:rPr>
                <w:sz w:val="24"/>
                <w:szCs w:val="24"/>
              </w:rPr>
            </w:pPr>
          </w:p>
        </w:tc>
        <w:tc>
          <w:tcPr>
            <w:tcW w:w="3546" w:type="dxa"/>
            <w:gridSpan w:val="39"/>
            <w:tcBorders>
              <w:top w:val="single" w:sz="6" w:space="0" w:color="auto"/>
              <w:right w:val="single" w:sz="6" w:space="0" w:color="auto"/>
            </w:tcBorders>
          </w:tcPr>
          <w:p w14:paraId="31F8A952" w14:textId="77777777" w:rsidR="00987CCD" w:rsidRPr="00C15639" w:rsidRDefault="00987CCD" w:rsidP="002D3EBF">
            <w:pPr>
              <w:pStyle w:val="1ff2"/>
              <w:spacing w:line="360" w:lineRule="auto"/>
              <w:rPr>
                <w:sz w:val="24"/>
                <w:szCs w:val="24"/>
              </w:rPr>
            </w:pPr>
          </w:p>
        </w:tc>
      </w:tr>
      <w:tr w:rsidR="00987CCD" w:rsidRPr="00C15639" w14:paraId="01D330CB" w14:textId="77777777" w:rsidTr="002D3EBF">
        <w:trPr>
          <w:gridAfter w:val="1"/>
          <w:cantSplit/>
        </w:trPr>
        <w:tc>
          <w:tcPr>
            <w:tcW w:w="1347" w:type="dxa"/>
            <w:gridSpan w:val="8"/>
            <w:tcBorders>
              <w:top w:val="single" w:sz="6" w:space="0" w:color="auto"/>
              <w:left w:val="single" w:sz="6" w:space="0" w:color="auto"/>
              <w:bottom w:val="single" w:sz="6" w:space="0" w:color="auto"/>
              <w:right w:val="single" w:sz="6" w:space="0" w:color="auto"/>
            </w:tcBorders>
          </w:tcPr>
          <w:p w14:paraId="17888E02" w14:textId="77777777" w:rsidR="00987CCD" w:rsidRPr="00C15639" w:rsidRDefault="00987CCD" w:rsidP="002D3EBF">
            <w:pPr>
              <w:pStyle w:val="1ff2"/>
              <w:spacing w:line="360" w:lineRule="auto"/>
              <w:rPr>
                <w:sz w:val="24"/>
                <w:szCs w:val="24"/>
              </w:rPr>
            </w:pPr>
            <w:r w:rsidRPr="00C15639">
              <w:rPr>
                <w:sz w:val="24"/>
                <w:szCs w:val="24"/>
              </w:rPr>
              <w:t>Цитология отпечатков</w:t>
            </w:r>
          </w:p>
        </w:tc>
        <w:tc>
          <w:tcPr>
            <w:tcW w:w="1843" w:type="dxa"/>
            <w:gridSpan w:val="13"/>
            <w:tcBorders>
              <w:top w:val="single" w:sz="6" w:space="0" w:color="auto"/>
              <w:left w:val="single" w:sz="6" w:space="0" w:color="auto"/>
              <w:bottom w:val="single" w:sz="6" w:space="0" w:color="auto"/>
              <w:right w:val="single" w:sz="6" w:space="0" w:color="auto"/>
            </w:tcBorders>
          </w:tcPr>
          <w:p w14:paraId="6CBC9201" w14:textId="77777777" w:rsidR="00987CCD" w:rsidRPr="00C15639" w:rsidRDefault="00987CCD" w:rsidP="002D3EBF">
            <w:pPr>
              <w:pStyle w:val="1ff2"/>
              <w:spacing w:line="360" w:lineRule="auto"/>
              <w:jc w:val="center"/>
              <w:rPr>
                <w:sz w:val="24"/>
                <w:szCs w:val="24"/>
              </w:rPr>
            </w:pPr>
            <w:r w:rsidRPr="00C15639">
              <w:rPr>
                <w:sz w:val="24"/>
                <w:szCs w:val="24"/>
              </w:rPr>
              <w:t>Гистологическое исследование</w:t>
            </w:r>
          </w:p>
        </w:tc>
        <w:tc>
          <w:tcPr>
            <w:tcW w:w="3118" w:type="dxa"/>
            <w:gridSpan w:val="17"/>
            <w:tcBorders>
              <w:top w:val="single" w:sz="6" w:space="0" w:color="auto"/>
              <w:left w:val="single" w:sz="6" w:space="0" w:color="auto"/>
              <w:bottom w:val="single" w:sz="6" w:space="0" w:color="auto"/>
              <w:right w:val="single" w:sz="6" w:space="0" w:color="auto"/>
            </w:tcBorders>
          </w:tcPr>
          <w:p w14:paraId="193A21CF" w14:textId="77777777" w:rsidR="00987CCD" w:rsidRPr="00C15639" w:rsidRDefault="00987CCD" w:rsidP="002D3EBF">
            <w:pPr>
              <w:pStyle w:val="1ff2"/>
              <w:spacing w:line="360" w:lineRule="auto"/>
              <w:jc w:val="center"/>
              <w:rPr>
                <w:sz w:val="24"/>
                <w:szCs w:val="24"/>
              </w:rPr>
            </w:pPr>
            <w:r w:rsidRPr="00C15639">
              <w:rPr>
                <w:sz w:val="24"/>
                <w:szCs w:val="24"/>
              </w:rPr>
              <w:t>Бактериоскопия (окраски по Романовскому-Гимзе, Граму)</w:t>
            </w:r>
          </w:p>
        </w:tc>
        <w:tc>
          <w:tcPr>
            <w:tcW w:w="993" w:type="dxa"/>
            <w:gridSpan w:val="4"/>
            <w:tcBorders>
              <w:top w:val="single" w:sz="6" w:space="0" w:color="auto"/>
              <w:left w:val="single" w:sz="6" w:space="0" w:color="auto"/>
              <w:bottom w:val="single" w:sz="6" w:space="0" w:color="auto"/>
              <w:right w:val="single" w:sz="6" w:space="0" w:color="auto"/>
            </w:tcBorders>
          </w:tcPr>
          <w:p w14:paraId="662FB5F9" w14:textId="77777777" w:rsidR="00987CCD" w:rsidRPr="00C15639" w:rsidRDefault="00987CCD" w:rsidP="002D3EBF">
            <w:pPr>
              <w:pStyle w:val="1ff2"/>
              <w:spacing w:line="360" w:lineRule="auto"/>
              <w:jc w:val="center"/>
              <w:rPr>
                <w:sz w:val="24"/>
                <w:szCs w:val="24"/>
              </w:rPr>
            </w:pPr>
            <w:r w:rsidRPr="00C15639">
              <w:rPr>
                <w:sz w:val="24"/>
                <w:szCs w:val="24"/>
              </w:rPr>
              <w:t>Посев ткани</w:t>
            </w:r>
          </w:p>
        </w:tc>
        <w:tc>
          <w:tcPr>
            <w:tcW w:w="12736" w:type="dxa"/>
            <w:gridSpan w:val="92"/>
            <w:tcBorders>
              <w:top w:val="single" w:sz="6" w:space="0" w:color="auto"/>
              <w:left w:val="single" w:sz="6" w:space="0" w:color="auto"/>
              <w:bottom w:val="single" w:sz="6" w:space="0" w:color="auto"/>
              <w:right w:val="single" w:sz="6" w:space="0" w:color="auto"/>
            </w:tcBorders>
          </w:tcPr>
          <w:p w14:paraId="4F64FF00" w14:textId="77777777" w:rsidR="00987CCD" w:rsidRPr="00C15639" w:rsidRDefault="00987CCD" w:rsidP="002D3EBF">
            <w:pPr>
              <w:pStyle w:val="1ff2"/>
              <w:spacing w:line="360" w:lineRule="auto"/>
              <w:rPr>
                <w:sz w:val="24"/>
                <w:szCs w:val="24"/>
              </w:rPr>
            </w:pPr>
            <w:r w:rsidRPr="00C15639">
              <w:rPr>
                <w:sz w:val="24"/>
                <w:szCs w:val="24"/>
              </w:rPr>
              <w:t>Определение пневмоцист, ЦМВ, вируса Эпштейна-Барр</w:t>
            </w:r>
          </w:p>
          <w:p w14:paraId="70979244" w14:textId="77777777" w:rsidR="00987CCD" w:rsidRPr="00C15639" w:rsidRDefault="00987CCD" w:rsidP="002D3EBF">
            <w:pPr>
              <w:pStyle w:val="1ff2"/>
              <w:spacing w:line="360" w:lineRule="auto"/>
              <w:rPr>
                <w:sz w:val="24"/>
                <w:szCs w:val="24"/>
              </w:rPr>
            </w:pPr>
            <w:r w:rsidRPr="00C15639">
              <w:rPr>
                <w:sz w:val="24"/>
                <w:szCs w:val="24"/>
              </w:rPr>
              <w:t>Иммуногистохимическим методом</w:t>
            </w:r>
          </w:p>
        </w:tc>
      </w:tr>
    </w:tbl>
    <w:p w14:paraId="1E03996A" w14:textId="77777777" w:rsidR="00987CCD" w:rsidRPr="00C15639" w:rsidRDefault="00987CCD" w:rsidP="00987CCD">
      <w:pPr>
        <w:rPr>
          <w:szCs w:val="24"/>
        </w:rPr>
      </w:pPr>
      <w:r w:rsidRPr="00C15639">
        <w:rPr>
          <w:szCs w:val="24"/>
        </w:rPr>
        <w:t>СКТ — компьютерная томография; ПЦР — полимеразная цепная реакция; РИФ — реакция иммунофлюоресценции; ЦМВ — цитомегаловирус.</w:t>
      </w:r>
    </w:p>
    <w:p w14:paraId="0B213DCC" w14:textId="77777777" w:rsidR="00987CCD" w:rsidRDefault="00987CCD" w:rsidP="00987CCD">
      <w:pPr>
        <w:pStyle w:val="Number1"/>
        <w:spacing w:before="0"/>
        <w:rPr>
          <w:color w:val="auto"/>
          <w:szCs w:val="24"/>
        </w:rPr>
        <w:sectPr w:rsidR="00987CCD" w:rsidSect="00C15639">
          <w:pgSz w:w="16838" w:h="11906" w:orient="landscape"/>
          <w:pgMar w:top="850" w:right="1134" w:bottom="1701" w:left="1134" w:header="708" w:footer="708" w:gutter="0"/>
          <w:cols w:space="708"/>
          <w:docGrid w:linePitch="360"/>
        </w:sectPr>
      </w:pPr>
    </w:p>
    <w:p w14:paraId="0CD9C293" w14:textId="12A62637" w:rsidR="00A93FEC" w:rsidRPr="00A93FEC" w:rsidRDefault="000C0218" w:rsidP="00A93FEC">
      <w:pPr>
        <w:pStyle w:val="2"/>
      </w:pPr>
      <w:bookmarkStart w:id="86" w:name="_Toc65586417"/>
      <w:r w:rsidRPr="009E610C">
        <w:t>7.1</w:t>
      </w:r>
      <w:r>
        <w:t xml:space="preserve">5. </w:t>
      </w:r>
      <w:bookmarkStart w:id="87" w:name="_Toc64478740"/>
      <w:bookmarkStart w:id="88" w:name="_Toc535849612"/>
      <w:r w:rsidR="00A93FEC" w:rsidRPr="00F65F6F">
        <w:t>Диагностика и лечение почечной недостаточности в гематологии</w:t>
      </w:r>
      <w:bookmarkEnd w:id="86"/>
      <w:bookmarkEnd w:id="87"/>
    </w:p>
    <w:bookmarkEnd w:id="88"/>
    <w:p w14:paraId="3930BB2D" w14:textId="60880EF3" w:rsidR="00A93FEC" w:rsidRPr="00F65F6F" w:rsidRDefault="00A93FEC" w:rsidP="00A93FEC">
      <w:pPr>
        <w:ind w:firstLine="708"/>
        <w:rPr>
          <w:rFonts w:eastAsia="Times New Roman" w:cs="Times New Roman"/>
          <w:szCs w:val="24"/>
          <w:lang w:eastAsia="ru-RU"/>
        </w:rPr>
      </w:pPr>
      <w:r w:rsidRPr="00F65F6F">
        <w:rPr>
          <w:rFonts w:eastAsia="Times New Roman" w:cs="Times New Roman"/>
          <w:szCs w:val="24"/>
          <w:lang w:eastAsia="ru-RU"/>
        </w:rPr>
        <w:t>Поражения почек у гематологических пациентов имеют многофакторный характер, включающий течение основного заболевания, нефротоксичность проводимой терапии, а также развитие таких осложнений, как сепсис, нарушение водно-электролитного и кислотно-щелочного гомеостаза. Проявления нефрологической патологии  разнообразны</w:t>
      </w:r>
      <w:r>
        <w:rPr>
          <w:rFonts w:eastAsia="Times New Roman" w:cs="Times New Roman"/>
          <w:szCs w:val="24"/>
          <w:lang w:eastAsia="ru-RU"/>
        </w:rPr>
        <w:t xml:space="preserve"> </w:t>
      </w:r>
      <w:r w:rsidRPr="00F65F6F">
        <w:rPr>
          <w:rFonts w:eastAsia="Times New Roman" w:cs="Times New Roman"/>
          <w:szCs w:val="24"/>
          <w:lang w:eastAsia="ru-RU"/>
        </w:rPr>
        <w:t>и могут манифестировать на любом этапе течения гематологического заболевания: во время диагностики, наблюдения, в период проведения противоопухолевого лечения или после его завершения. Патогенетические механизмы и формы повреждения почек при заболеваниях системы крови также разнообразны и включают поражения, вызванные инфильтрацией опухолевыми клетками паренхимы почек, паранеопластические гломерулонефриты, сдавление увеличенными лимфатическими узлами мочевыводящих структур, отложение в структурах нефрона  моноклонального иммуноглобулина, его фрагментов или  амилоида, поражение сосудов, метаболические нарушения и пр. (таб.1)</w:t>
      </w:r>
      <w:r>
        <w:rPr>
          <w:rFonts w:eastAsia="Times New Roman" w:cs="Times New Roman"/>
          <w:szCs w:val="24"/>
          <w:lang w:eastAsia="ru-RU"/>
        </w:rPr>
        <w:t xml:space="preserve"> </w:t>
      </w:r>
      <w:r>
        <w:rPr>
          <w:rFonts w:eastAsia="Times New Roman" w:cs="Times New Roman"/>
          <w:szCs w:val="24"/>
          <w:lang w:eastAsia="ru-RU"/>
        </w:rPr>
        <w:fldChar w:fldCharType="begin" w:fldLock="1"/>
      </w:r>
      <w:r w:rsidR="00500503">
        <w:rPr>
          <w:rFonts w:eastAsia="Times New Roman" w:cs="Times New Roman"/>
          <w:szCs w:val="24"/>
          <w:lang w:eastAsia="ru-RU"/>
        </w:rPr>
        <w:instrText>ADDIN CSL_CITATION {"citationItems":[{"id":"ITEM-1","itemData":{"author":[{"dropping-particle":"","family":"Джумабаева","given":"Б.Т.","non-dropping-particle":"","parse-names":false,"suffix":""},{"dropping-particle":"","family":"Бирюкова","given":"Л.С.","non-dropping-particle":"","parse-names":false,"suffix":""},{"dropping-particle":"","family":"Варшавский","given":"В.А.","non-dropping-particle":"","parse-names":false,"suffix":""},{"dropping-particle":"","family":"Марьина","given":"С.А.","non-dropping-particle":"","parse-names":false,"suffix":""},{"dropping-particle":"","family":"Рощина","given":"Л.С.","non-dropping-particle":"","parse-names":false,"suffix":""},{"dropping-particle":"","family":"Джулакян","given":"У.Л.","non-dropping-particle":"","parse-names":false,"suffix":""},{"dropping-particle":"","family":"Столяревич","given":"Е.C.","non-dropping-particle":"","parse-names":false,"suffix":""}],"container-title":"Онкогематология","id":"ITEM-1","issue":"1","issued":{"date-parts":[["2017"]]},"page":"44-54","title":"Клинико-лабораторные и морфологические особенности поражения почек при лимфопролиферативных заболеваниях","type":"article-journal","volume":"7"},"uris":["http://www.mendeley.com/documents/?uuid=50a28e00-c058-46cf-b75a-5bfd40395f93"]},{"id":"ITEM-2","itemData":{"author":[{"dropping-particle":"","family":"Рехтина","given":"И.Г.","non-dropping-particle":"","parse-names":false,"suffix":""},{"dropping-particle":"","family":"Голицина","given":"Е.П.","non-dropping-particle":"","parse-names":false,"suffix":""},{"dropping-particle":"","family":"Варламова","given":"Е.Ю.","non-dropping-particle":"","parse-names":false,"suffix":""},{"dropping-particle":"","family":"Варшавский","given":"В.А.","non-dropping-particle":"","parse-names":false,"suffix":""},{"dropping-particle":"","family":"Киреева","given":"А.А.","non-dropping-particle":"","parse-names":false,"suffix":""},{"dropping-particle":"","family":"Бирюкова","given":"Л.С.","non-dropping-particle":"","parse-names":false,"suffix":""},{"dropping-particle":"","family":"Савченко","given":"В.Г.","non-dropping-particle":"","parse-names":false,"suffix":""}],"container-title":"Терапевтический архив","id":"ITEM-2","issue":"3","issued":{"date-parts":[["2013"]]},"page":"80-85","title":"Морфологические и иммунохимические особенности нефропатий при множественной миеломе с тяжелой почечной недостаточностью","type":"article-journal","volume":"85"},"uris":["http://www.mendeley.com/documents/?uuid=b7e4aa0d-a654-44bd-b363-35e45db6262e"]},{"id":"ITEM-3","itemData":{"author":[{"dropping-particle":"","family":"Ворожейкина","given":"Е.Г.","non-dropping-particle":"","parse-names":false,"suffix":""},{"dropping-particle":"","family":"Бирюкова","given":"Л.С.","non-dropping-particle":"","parse-names":false,"suffix":""},{"dropping-particle":"","family":"Савченко","given":"В.Г.","non-dropping-particle":"","parse-names":false,"suffix":""}],"container-title":"Гематология и трансфузиология","id":"ITEM-3","issue":"3","issued":{"date-parts":[["2011"]]},"page":"24-27","title":"Клинико-лабораторные проявления нефропатий у больных острыми лейкозами","type":"article-journal","volume":"56"},"uris":["http://www.mendeley.com/documents/?uuid=137272d3-cc35-4bfd-b2f3-d7af020af652"]}],"mendeley":{"formattedCitation":"[115–117]","plainTextFormattedCitation":"[115–117]","previouslyFormattedCitation":"[115–117]"},"properties":{"noteIndex":0},"schema":"https://github.com/citation-style-language/schema/raw/master/csl-citation.json"}</w:instrText>
      </w:r>
      <w:r>
        <w:rPr>
          <w:rFonts w:eastAsia="Times New Roman" w:cs="Times New Roman"/>
          <w:szCs w:val="24"/>
          <w:lang w:eastAsia="ru-RU"/>
        </w:rPr>
        <w:fldChar w:fldCharType="separate"/>
      </w:r>
      <w:r w:rsidR="00A07851" w:rsidRPr="00A07851">
        <w:rPr>
          <w:rFonts w:eastAsia="Times New Roman" w:cs="Times New Roman"/>
          <w:noProof/>
          <w:szCs w:val="24"/>
          <w:lang w:eastAsia="ru-RU"/>
        </w:rPr>
        <w:t>[115–117]</w:t>
      </w:r>
      <w:r>
        <w:rPr>
          <w:rFonts w:eastAsia="Times New Roman" w:cs="Times New Roman"/>
          <w:szCs w:val="24"/>
          <w:lang w:eastAsia="ru-RU"/>
        </w:rPr>
        <w:fldChar w:fldCharType="end"/>
      </w:r>
      <w:r w:rsidRPr="00F65F6F">
        <w:rPr>
          <w:rFonts w:eastAsia="Times New Roman" w:cs="Times New Roman"/>
          <w:szCs w:val="24"/>
          <w:lang w:eastAsia="ru-RU"/>
        </w:rPr>
        <w:t xml:space="preserve">. Кроме того, у гематологического пациента может иметься хроническая болезнь почек (ХБП) не опухолевого генеза (ХБП отмечается примерно у 15% населения). </w:t>
      </w:r>
    </w:p>
    <w:p w14:paraId="1D89811F" w14:textId="77777777" w:rsidR="00A93FEC" w:rsidRPr="00F65F6F" w:rsidRDefault="00A93FEC" w:rsidP="00A93FEC">
      <w:pPr>
        <w:rPr>
          <w:rFonts w:eastAsia="Times New Roman" w:cs="Times New Roman"/>
          <w:szCs w:val="24"/>
          <w:lang w:eastAsia="ru-RU"/>
        </w:rPr>
      </w:pPr>
    </w:p>
    <w:p w14:paraId="3F2B3896" w14:textId="4088858B" w:rsidR="00A93FEC" w:rsidRPr="00FB7761" w:rsidRDefault="00A93FEC" w:rsidP="00A93FEC">
      <w:pPr>
        <w:rPr>
          <w:rFonts w:eastAsia="Times New Roman" w:cs="Times New Roman"/>
          <w:szCs w:val="24"/>
          <w:lang w:eastAsia="ru-RU"/>
        </w:rPr>
      </w:pPr>
      <w:r w:rsidRPr="00F65F6F">
        <w:rPr>
          <w:rFonts w:eastAsia="Times New Roman" w:cs="Times New Roman"/>
          <w:szCs w:val="24"/>
          <w:lang w:eastAsia="ru-RU"/>
        </w:rPr>
        <w:t>Таблица 1. Этиопатогенетические механизмы поражения почек при гематологических заболеваниях и формы почечной патологии</w:t>
      </w:r>
      <w:r w:rsidRPr="00FB7761">
        <w:rPr>
          <w:rFonts w:eastAsia="Times New Roman" w:cs="Times New Roman"/>
          <w:szCs w:val="24"/>
          <w:lang w:eastAsia="ru-RU"/>
        </w:rPr>
        <w:t xml:space="preserve"> </w:t>
      </w:r>
      <w:r>
        <w:rPr>
          <w:rFonts w:eastAsia="Times New Roman" w:cs="Times New Roman"/>
          <w:szCs w:val="24"/>
          <w:lang w:eastAsia="ru-RU"/>
        </w:rPr>
        <w:fldChar w:fldCharType="begin" w:fldLock="1"/>
      </w:r>
      <w:r w:rsidR="00500503">
        <w:rPr>
          <w:rFonts w:eastAsia="Times New Roman" w:cs="Times New Roman"/>
          <w:szCs w:val="24"/>
          <w:lang w:eastAsia="ru-RU"/>
        </w:rPr>
        <w:instrText>ADDIN CSL_CITATION {"citationItems":[{"id":"ITEM-1","itemData":{"author":[{"dropping-particle":"","family":"Джумабаева","given":"Б.Т.","non-dropping-particle":"","parse-names":false,"suffix":""},{"dropping-particle":"","family":"Бирюкова","given":"Л.С.","non-dropping-particle":"","parse-names":false,"suffix":""},{"dropping-particle":"","family":"Варшавский","given":"В.А.","non-dropping-particle":"","parse-names":false,"suffix":""},{"dropping-particle":"","family":"Марьина","given":"С.А.","non-dropping-particle":"","parse-names":false,"suffix":""},{"dropping-particle":"","family":"Рощина","given":"Л.С.","non-dropping-particle":"","parse-names":false,"suffix":""},{"dropping-particle":"","family":"Джулакян","given":"У.Л.","non-dropping-particle":"","parse-names":false,"suffix":""},{"dropping-particle":"","family":"Столяревич","given":"Е.C.","non-dropping-particle":"","parse-names":false,"suffix":""}],"container-title":"Онкогематология","id":"ITEM-1","issue":"1","issued":{"date-parts":[["2017"]]},"page":"44-54","title":"Клинико-лабораторные и морфологические особенности поражения почек при лимфопролиферативных заболеваниях","type":"article-journal","volume":"7"},"uris":["http://www.mendeley.com/documents/?uuid=50a28e00-c058-46cf-b75a-5bfd40395f93"]},{"id":"ITEM-2","itemData":{"author":[{"dropping-particle":"","family":"Рехтина","given":"И.Г.","non-dropping-particle":"","parse-names":false,"suffix":""},{"dropping-particle":"","family":"Голицина","given":"Е.П.","non-dropping-particle":"","parse-names":false,"suffix":""},{"dropping-particle":"","family":"Варламова","given":"Е.Ю.","non-dropping-particle":"","parse-names":false,"suffix":""},{"dropping-particle":"","family":"Варшавский","given":"В.А.","non-dropping-particle":"","parse-names":false,"suffix":""},{"dropping-particle":"","family":"Киреева","given":"А.А.","non-dropping-particle":"","parse-names":false,"suffix":""},{"dropping-particle":"","family":"Бирюкова","given":"Л.С.","non-dropping-particle":"","parse-names":false,"suffix":""},{"dropping-particle":"","family":"Савченко","given":"В.Г.","non-dropping-particle":"","parse-names":false,"suffix":""}],"container-title":"Терапевтический архив","id":"ITEM-2","issue":"3","issued":{"date-parts":[["2013"]]},"page":"80-85","title":"Морфологические и иммунохимические особенности нефропатий при множественной миеломе с тяжелой почечной недостаточностью","type":"article-journal","volume":"85"},"uris":["http://www.mendeley.com/documents/?uuid=b7e4aa0d-a654-44bd-b363-35e45db6262e"]},{"id":"ITEM-3","itemData":{"author":[{"dropping-particle":"","family":"Ворожейкина","given":"Е.Г.","non-dropping-particle":"","parse-names":false,"suffix":""},{"dropping-particle":"","family":"Бирюкова","given":"Л.С.","non-dropping-particle":"","parse-names":false,"suffix":""},{"dropping-particle":"","family":"Савченко","given":"В.Г.","non-dropping-particle":"","parse-names":false,"suffix":""}],"container-title":"Гематология и трансфузиология","id":"ITEM-3","issue":"3","issued":{"date-parts":[["2011"]]},"page":"24-27","title":"Клинико-лабораторные проявления нефропатий у больных острыми лейкозами","type":"article-journal","volume":"56"},"uris":["http://www.mendeley.com/documents/?uuid=137272d3-cc35-4bfd-b2f3-d7af020af652"]}],"mendeley":{"formattedCitation":"[115–117]","plainTextFormattedCitation":"[115–117]","previouslyFormattedCitation":"[115–117]"},"properties":{"noteIndex":0},"schema":"https://github.com/citation-style-language/schema/raw/master/csl-citation.json"}</w:instrText>
      </w:r>
      <w:r>
        <w:rPr>
          <w:rFonts w:eastAsia="Times New Roman" w:cs="Times New Roman"/>
          <w:szCs w:val="24"/>
          <w:lang w:eastAsia="ru-RU"/>
        </w:rPr>
        <w:fldChar w:fldCharType="separate"/>
      </w:r>
      <w:r w:rsidR="00A07851" w:rsidRPr="00A07851">
        <w:rPr>
          <w:rFonts w:eastAsia="Times New Roman" w:cs="Times New Roman"/>
          <w:noProof/>
          <w:szCs w:val="24"/>
          <w:lang w:eastAsia="ru-RU"/>
        </w:rPr>
        <w:t>[115–117]</w:t>
      </w:r>
      <w:r>
        <w:rPr>
          <w:rFonts w:eastAsia="Times New Roman" w:cs="Times New Roman"/>
          <w:szCs w:val="24"/>
          <w:lang w:eastAsia="ru-RU"/>
        </w:rPr>
        <w:fldChar w:fldCharType="end"/>
      </w:r>
    </w:p>
    <w:tbl>
      <w:tblPr>
        <w:tblStyle w:val="aff9"/>
        <w:tblW w:w="0" w:type="auto"/>
        <w:tblInd w:w="675" w:type="dxa"/>
        <w:tblLook w:val="04A0" w:firstRow="1" w:lastRow="0" w:firstColumn="1" w:lastColumn="0" w:noHBand="0" w:noVBand="1"/>
      </w:tblPr>
      <w:tblGrid>
        <w:gridCol w:w="3969"/>
        <w:gridCol w:w="4393"/>
      </w:tblGrid>
      <w:tr w:rsidR="00A93FEC" w:rsidRPr="00F65F6F" w14:paraId="781BD812" w14:textId="77777777" w:rsidTr="002D3EBF">
        <w:trPr>
          <w:trHeight w:val="485"/>
        </w:trPr>
        <w:tc>
          <w:tcPr>
            <w:tcW w:w="3969" w:type="dxa"/>
          </w:tcPr>
          <w:p w14:paraId="7826A06A" w14:textId="77777777" w:rsidR="00A93FEC" w:rsidRPr="00F65F6F" w:rsidRDefault="00A93FEC" w:rsidP="00A07851">
            <w:pPr>
              <w:ind w:firstLine="0"/>
              <w:rPr>
                <w:rFonts w:eastAsia="Times New Roman" w:cs="Times New Roman"/>
                <w:szCs w:val="24"/>
                <w:lang w:eastAsia="ru-RU"/>
              </w:rPr>
            </w:pPr>
            <w:r w:rsidRPr="00F65F6F">
              <w:rPr>
                <w:rFonts w:eastAsia="Times New Roman" w:cs="Times New Roman"/>
                <w:szCs w:val="24"/>
                <w:lang w:eastAsia="ru-RU"/>
              </w:rPr>
              <w:t>Этиопатогенетические  механизмы</w:t>
            </w:r>
          </w:p>
        </w:tc>
        <w:tc>
          <w:tcPr>
            <w:tcW w:w="4393" w:type="dxa"/>
          </w:tcPr>
          <w:p w14:paraId="7CE4FF1C" w14:textId="77777777" w:rsidR="00A93FEC" w:rsidRPr="00F65F6F" w:rsidRDefault="00A93FEC" w:rsidP="00A07851">
            <w:pPr>
              <w:ind w:firstLine="0"/>
              <w:jc w:val="center"/>
              <w:rPr>
                <w:rFonts w:eastAsia="Times New Roman" w:cs="Times New Roman"/>
                <w:szCs w:val="24"/>
                <w:lang w:eastAsia="ru-RU"/>
              </w:rPr>
            </w:pPr>
            <w:r w:rsidRPr="00F65F6F">
              <w:rPr>
                <w:rFonts w:eastAsia="Times New Roman" w:cs="Times New Roman"/>
                <w:szCs w:val="24"/>
                <w:lang w:eastAsia="ru-RU"/>
              </w:rPr>
              <w:t>Формы почечной патологии</w:t>
            </w:r>
          </w:p>
        </w:tc>
      </w:tr>
      <w:tr w:rsidR="00A93FEC" w:rsidRPr="00F65F6F" w14:paraId="308FF78A" w14:textId="77777777" w:rsidTr="002D3EBF">
        <w:trPr>
          <w:trHeight w:val="936"/>
        </w:trPr>
        <w:tc>
          <w:tcPr>
            <w:tcW w:w="3969" w:type="dxa"/>
          </w:tcPr>
          <w:p w14:paraId="5F3D10F7" w14:textId="77777777" w:rsidR="00A93FEC" w:rsidRPr="00F65F6F" w:rsidRDefault="00A93FEC" w:rsidP="00A07851">
            <w:pPr>
              <w:ind w:firstLine="0"/>
              <w:rPr>
                <w:rFonts w:eastAsia="Times New Roman" w:cs="Times New Roman"/>
                <w:szCs w:val="24"/>
                <w:lang w:eastAsia="ru-RU"/>
              </w:rPr>
            </w:pPr>
            <w:r w:rsidRPr="00F65F6F">
              <w:rPr>
                <w:rFonts w:eastAsia="Times New Roman" w:cs="Times New Roman"/>
                <w:szCs w:val="24"/>
                <w:lang w:eastAsia="ru-RU"/>
              </w:rPr>
              <w:t xml:space="preserve">Поражения, вызванные инфильтрацией паренхимы почек </w:t>
            </w:r>
          </w:p>
        </w:tc>
        <w:tc>
          <w:tcPr>
            <w:tcW w:w="4393" w:type="dxa"/>
          </w:tcPr>
          <w:p w14:paraId="44C0B942" w14:textId="77777777" w:rsidR="00A93FEC" w:rsidRPr="00F65F6F" w:rsidRDefault="00A93FEC" w:rsidP="00A07851">
            <w:pPr>
              <w:ind w:firstLine="0"/>
              <w:contextualSpacing/>
              <w:rPr>
                <w:rFonts w:eastAsia="Times New Roman" w:cs="Times New Roman"/>
                <w:szCs w:val="24"/>
                <w:lang w:eastAsia="ru-RU"/>
              </w:rPr>
            </w:pPr>
            <w:r w:rsidRPr="00F65F6F">
              <w:rPr>
                <w:rFonts w:eastAsia="Times New Roman" w:cs="Times New Roman"/>
                <w:szCs w:val="24"/>
                <w:lang w:eastAsia="ru-RU"/>
              </w:rPr>
              <w:t>Диффузная и очаговая  интерстициальная опухолевая инфильтрация</w:t>
            </w:r>
          </w:p>
        </w:tc>
      </w:tr>
      <w:tr w:rsidR="00A93FEC" w:rsidRPr="00F65F6F" w14:paraId="7529B3BF" w14:textId="77777777" w:rsidTr="002D3EBF">
        <w:tc>
          <w:tcPr>
            <w:tcW w:w="3969" w:type="dxa"/>
          </w:tcPr>
          <w:p w14:paraId="1E182574" w14:textId="77777777" w:rsidR="00A93FEC" w:rsidRPr="00F65F6F" w:rsidRDefault="00A93FEC" w:rsidP="00A07851">
            <w:pPr>
              <w:ind w:firstLine="0"/>
              <w:rPr>
                <w:rFonts w:eastAsia="Times New Roman" w:cs="Times New Roman"/>
                <w:szCs w:val="24"/>
                <w:lang w:eastAsia="ru-RU"/>
              </w:rPr>
            </w:pPr>
            <w:r w:rsidRPr="00F65F6F">
              <w:rPr>
                <w:rFonts w:eastAsia="Times New Roman" w:cs="Times New Roman"/>
                <w:szCs w:val="24"/>
                <w:lang w:eastAsia="ru-RU"/>
              </w:rPr>
              <w:t>Поражения, вызванные механическим  воздействием опухоли</w:t>
            </w:r>
          </w:p>
        </w:tc>
        <w:tc>
          <w:tcPr>
            <w:tcW w:w="4393" w:type="dxa"/>
          </w:tcPr>
          <w:p w14:paraId="1F618F16" w14:textId="77777777" w:rsidR="00A93FEC" w:rsidRPr="00F65F6F" w:rsidRDefault="00A93FEC" w:rsidP="00A07851">
            <w:pPr>
              <w:tabs>
                <w:tab w:val="left" w:pos="284"/>
                <w:tab w:val="left" w:pos="567"/>
              </w:tabs>
              <w:suppressAutoHyphens/>
              <w:ind w:firstLine="0"/>
              <w:contextualSpacing/>
              <w:rPr>
                <w:rFonts w:eastAsia="Arial" w:cs="Times New Roman"/>
                <w:kern w:val="1"/>
                <w:szCs w:val="24"/>
              </w:rPr>
            </w:pPr>
            <w:r w:rsidRPr="00F65F6F">
              <w:rPr>
                <w:rFonts w:eastAsia="Arial" w:cs="Times New Roman"/>
                <w:kern w:val="1"/>
                <w:szCs w:val="24"/>
              </w:rPr>
              <w:t>Сдавление увеличенными лимфатическими узлами мочевыводящих</w:t>
            </w:r>
            <w:r w:rsidRPr="00F65F6F">
              <w:rPr>
                <w:rFonts w:eastAsia="Arial" w:cs="Times New Roman"/>
                <w:color w:val="000000" w:themeColor="text1"/>
                <w:kern w:val="1"/>
                <w:szCs w:val="24"/>
              </w:rPr>
              <w:t xml:space="preserve"> структур</w:t>
            </w:r>
          </w:p>
          <w:p w14:paraId="7CBAFE74" w14:textId="77777777" w:rsidR="00A93FEC" w:rsidRPr="00F65F6F" w:rsidRDefault="00A93FEC" w:rsidP="00A07851">
            <w:pPr>
              <w:tabs>
                <w:tab w:val="left" w:pos="284"/>
                <w:tab w:val="left" w:pos="567"/>
              </w:tabs>
              <w:suppressAutoHyphens/>
              <w:ind w:firstLine="0"/>
              <w:contextualSpacing/>
              <w:rPr>
                <w:rFonts w:eastAsia="Arial" w:cs="Times New Roman"/>
                <w:kern w:val="1"/>
                <w:szCs w:val="24"/>
              </w:rPr>
            </w:pPr>
            <w:r w:rsidRPr="00F65F6F">
              <w:rPr>
                <w:rFonts w:eastAsia="Arial" w:cs="Times New Roman"/>
                <w:kern w:val="1"/>
                <w:szCs w:val="24"/>
              </w:rPr>
              <w:t>Сдавление почечных сосудов</w:t>
            </w:r>
          </w:p>
          <w:p w14:paraId="2CC0A293" w14:textId="77777777" w:rsidR="00A93FEC" w:rsidRPr="00F65F6F" w:rsidRDefault="00A93FEC" w:rsidP="00A07851">
            <w:pPr>
              <w:tabs>
                <w:tab w:val="left" w:pos="284"/>
                <w:tab w:val="left" w:pos="567"/>
              </w:tabs>
              <w:suppressAutoHyphens/>
              <w:ind w:left="720" w:firstLine="0"/>
              <w:contextualSpacing/>
              <w:rPr>
                <w:rFonts w:eastAsia="Arial" w:cs="Times New Roman"/>
                <w:kern w:val="1"/>
                <w:szCs w:val="24"/>
              </w:rPr>
            </w:pPr>
          </w:p>
        </w:tc>
      </w:tr>
      <w:tr w:rsidR="00A93FEC" w:rsidRPr="00F65F6F" w14:paraId="296A4567" w14:textId="77777777" w:rsidTr="002D3EBF">
        <w:tc>
          <w:tcPr>
            <w:tcW w:w="3969" w:type="dxa"/>
          </w:tcPr>
          <w:p w14:paraId="5BE19820" w14:textId="77777777" w:rsidR="00A93FEC" w:rsidRPr="00F65F6F" w:rsidRDefault="00A93FEC" w:rsidP="00A07851">
            <w:pPr>
              <w:ind w:firstLine="0"/>
              <w:rPr>
                <w:rFonts w:eastAsia="Times New Roman" w:cs="Times New Roman"/>
                <w:szCs w:val="24"/>
                <w:lang w:eastAsia="ru-RU"/>
              </w:rPr>
            </w:pPr>
            <w:r w:rsidRPr="00F65F6F">
              <w:rPr>
                <w:rFonts w:eastAsia="Times New Roman" w:cs="Times New Roman"/>
                <w:szCs w:val="24"/>
                <w:lang w:eastAsia="ru-RU"/>
              </w:rPr>
              <w:t>Опухолевая гломерулопатия</w:t>
            </w:r>
          </w:p>
        </w:tc>
        <w:tc>
          <w:tcPr>
            <w:tcW w:w="4393" w:type="dxa"/>
          </w:tcPr>
          <w:p w14:paraId="7895F9A2" w14:textId="77777777" w:rsidR="00A93FEC" w:rsidRPr="00F65F6F" w:rsidRDefault="00A93FEC" w:rsidP="00A07851">
            <w:pPr>
              <w:tabs>
                <w:tab w:val="left" w:pos="284"/>
                <w:tab w:val="left" w:pos="567"/>
              </w:tabs>
              <w:suppressAutoHyphens/>
              <w:ind w:firstLine="0"/>
              <w:contextualSpacing/>
              <w:rPr>
                <w:rFonts w:eastAsia="Arial" w:cs="Times New Roman"/>
                <w:kern w:val="1"/>
                <w:szCs w:val="24"/>
              </w:rPr>
            </w:pPr>
            <w:r w:rsidRPr="00F65F6F">
              <w:rPr>
                <w:rFonts w:eastAsia="Arial" w:cs="Times New Roman"/>
                <w:kern w:val="1"/>
                <w:szCs w:val="24"/>
              </w:rPr>
              <w:t xml:space="preserve">Мезангиопролиферативный ГН  </w:t>
            </w:r>
          </w:p>
          <w:p w14:paraId="2C96BF47" w14:textId="77777777" w:rsidR="00A93FEC" w:rsidRPr="00F65F6F" w:rsidRDefault="00A93FEC" w:rsidP="00A07851">
            <w:pPr>
              <w:tabs>
                <w:tab w:val="left" w:pos="284"/>
                <w:tab w:val="left" w:pos="567"/>
              </w:tabs>
              <w:suppressAutoHyphens/>
              <w:ind w:firstLine="0"/>
              <w:contextualSpacing/>
              <w:rPr>
                <w:rFonts w:eastAsia="Arial" w:cs="Times New Roman"/>
                <w:kern w:val="1"/>
                <w:szCs w:val="24"/>
              </w:rPr>
            </w:pPr>
            <w:r w:rsidRPr="00F65F6F">
              <w:rPr>
                <w:rFonts w:eastAsia="Arial" w:cs="Times New Roman"/>
                <w:kern w:val="1"/>
                <w:szCs w:val="24"/>
              </w:rPr>
              <w:t>Мезангиокапиллярный ГН</w:t>
            </w:r>
          </w:p>
          <w:p w14:paraId="2E34D159" w14:textId="77777777" w:rsidR="00A93FEC" w:rsidRPr="00F65F6F" w:rsidRDefault="00A93FEC" w:rsidP="00A07851">
            <w:pPr>
              <w:tabs>
                <w:tab w:val="left" w:pos="284"/>
                <w:tab w:val="left" w:pos="567"/>
              </w:tabs>
              <w:suppressAutoHyphens/>
              <w:ind w:firstLine="0"/>
              <w:contextualSpacing/>
              <w:rPr>
                <w:rFonts w:eastAsia="Arial" w:cs="Times New Roman"/>
                <w:kern w:val="1"/>
                <w:szCs w:val="24"/>
              </w:rPr>
            </w:pPr>
            <w:r w:rsidRPr="00F65F6F">
              <w:rPr>
                <w:rFonts w:eastAsia="Arial" w:cs="Times New Roman"/>
                <w:kern w:val="1"/>
                <w:szCs w:val="24"/>
              </w:rPr>
              <w:t>Фибриллярный ГН</w:t>
            </w:r>
          </w:p>
          <w:p w14:paraId="3B5012E8" w14:textId="77777777" w:rsidR="00A93FEC" w:rsidRPr="00F65F6F" w:rsidRDefault="00A93FEC" w:rsidP="00A07851">
            <w:pPr>
              <w:tabs>
                <w:tab w:val="left" w:pos="284"/>
                <w:tab w:val="left" w:pos="567"/>
              </w:tabs>
              <w:suppressAutoHyphens/>
              <w:ind w:firstLine="0"/>
              <w:contextualSpacing/>
              <w:rPr>
                <w:rFonts w:eastAsia="Arial" w:cs="Times New Roman"/>
                <w:kern w:val="1"/>
                <w:szCs w:val="24"/>
              </w:rPr>
            </w:pPr>
            <w:r w:rsidRPr="00F65F6F">
              <w:rPr>
                <w:rFonts w:eastAsia="Arial" w:cs="Times New Roman"/>
                <w:kern w:val="1"/>
                <w:szCs w:val="24"/>
              </w:rPr>
              <w:t>Иммунотактоидный ГН</w:t>
            </w:r>
          </w:p>
          <w:p w14:paraId="09F22461" w14:textId="77777777" w:rsidR="00A93FEC" w:rsidRPr="00F65F6F" w:rsidRDefault="00A93FEC" w:rsidP="00A07851">
            <w:pPr>
              <w:tabs>
                <w:tab w:val="left" w:pos="284"/>
                <w:tab w:val="left" w:pos="567"/>
              </w:tabs>
              <w:suppressAutoHyphens/>
              <w:ind w:firstLine="0"/>
              <w:contextualSpacing/>
              <w:rPr>
                <w:rFonts w:eastAsia="Times New Roman" w:cs="Times New Roman"/>
                <w:szCs w:val="24"/>
                <w:lang w:eastAsia="ru-RU"/>
              </w:rPr>
            </w:pPr>
            <w:r w:rsidRPr="00F65F6F">
              <w:rPr>
                <w:rFonts w:eastAsia="Arial" w:cs="Times New Roman"/>
                <w:kern w:val="1"/>
                <w:szCs w:val="24"/>
              </w:rPr>
              <w:t>Гломерулопатии с минимальными изменениями</w:t>
            </w:r>
          </w:p>
        </w:tc>
      </w:tr>
      <w:tr w:rsidR="00A93FEC" w:rsidRPr="00F65F6F" w14:paraId="43AC6F55" w14:textId="77777777" w:rsidTr="002D3EBF">
        <w:tc>
          <w:tcPr>
            <w:tcW w:w="3969" w:type="dxa"/>
          </w:tcPr>
          <w:p w14:paraId="6CF541AE" w14:textId="77777777" w:rsidR="00A93FEC" w:rsidRPr="00F65F6F" w:rsidRDefault="00A93FEC" w:rsidP="00A07851">
            <w:pPr>
              <w:ind w:firstLine="0"/>
              <w:rPr>
                <w:rFonts w:eastAsia="Times New Roman" w:cs="Times New Roman"/>
                <w:szCs w:val="24"/>
                <w:lang w:eastAsia="ru-RU"/>
              </w:rPr>
            </w:pPr>
            <w:r w:rsidRPr="00F65F6F">
              <w:rPr>
                <w:rFonts w:eastAsia="Times New Roman" w:cs="Times New Roman"/>
                <w:szCs w:val="24"/>
                <w:lang w:eastAsia="ru-RU"/>
              </w:rPr>
              <w:t>Отложение моноклонального иммуноглобулина или его фрагментов  в структурах нефрона</w:t>
            </w:r>
          </w:p>
        </w:tc>
        <w:tc>
          <w:tcPr>
            <w:tcW w:w="4393" w:type="dxa"/>
          </w:tcPr>
          <w:p w14:paraId="17E59212" w14:textId="77777777" w:rsidR="00A93FEC" w:rsidRPr="00F65F6F" w:rsidRDefault="00A93FEC" w:rsidP="00A07851">
            <w:pPr>
              <w:ind w:firstLine="0"/>
              <w:contextualSpacing/>
              <w:rPr>
                <w:rFonts w:eastAsia="Times New Roman" w:cs="Times New Roman"/>
                <w:szCs w:val="24"/>
                <w:lang w:eastAsia="ru-RU"/>
              </w:rPr>
            </w:pPr>
            <w:r w:rsidRPr="00F65F6F">
              <w:rPr>
                <w:rFonts w:eastAsia="Times New Roman" w:cs="Times New Roman"/>
                <w:szCs w:val="24"/>
                <w:lang w:eastAsia="ru-RU"/>
              </w:rPr>
              <w:t>Сast- нефропатия</w:t>
            </w:r>
          </w:p>
          <w:p w14:paraId="5D2178B4" w14:textId="77777777" w:rsidR="00A93FEC" w:rsidRPr="00F65F6F" w:rsidRDefault="00A93FEC" w:rsidP="00A07851">
            <w:pPr>
              <w:ind w:firstLine="0"/>
              <w:contextualSpacing/>
              <w:rPr>
                <w:rFonts w:eastAsia="Times New Roman" w:cs="Times New Roman"/>
                <w:szCs w:val="24"/>
                <w:lang w:eastAsia="ru-RU"/>
              </w:rPr>
            </w:pPr>
            <w:r w:rsidRPr="00F65F6F">
              <w:rPr>
                <w:rFonts w:eastAsia="Times New Roman" w:cs="Times New Roman"/>
                <w:szCs w:val="24"/>
                <w:lang w:eastAsia="ru-RU"/>
              </w:rPr>
              <w:t>Амилоидоз</w:t>
            </w:r>
          </w:p>
          <w:p w14:paraId="68208C1F" w14:textId="77777777" w:rsidR="00A93FEC" w:rsidRPr="00F65F6F" w:rsidRDefault="00A93FEC" w:rsidP="00A07851">
            <w:pPr>
              <w:ind w:firstLine="0"/>
              <w:contextualSpacing/>
              <w:rPr>
                <w:rFonts w:eastAsia="Times New Roman" w:cs="Times New Roman"/>
                <w:szCs w:val="24"/>
                <w:lang w:eastAsia="ru-RU"/>
              </w:rPr>
            </w:pPr>
            <w:r w:rsidRPr="00F65F6F">
              <w:rPr>
                <w:rFonts w:eastAsia="Times New Roman" w:cs="Times New Roman"/>
                <w:szCs w:val="24"/>
                <w:lang w:eastAsia="ru-RU"/>
              </w:rPr>
              <w:t>Болезнь депозитов легких и тяжелых цепей</w:t>
            </w:r>
          </w:p>
        </w:tc>
      </w:tr>
      <w:tr w:rsidR="00A93FEC" w:rsidRPr="00F65F6F" w14:paraId="3343D13B" w14:textId="77777777" w:rsidTr="002D3EBF">
        <w:tc>
          <w:tcPr>
            <w:tcW w:w="3969" w:type="dxa"/>
          </w:tcPr>
          <w:p w14:paraId="4937E333" w14:textId="77777777" w:rsidR="00A93FEC" w:rsidRPr="00F65F6F" w:rsidRDefault="00A93FEC" w:rsidP="00A07851">
            <w:pPr>
              <w:ind w:firstLine="0"/>
              <w:contextualSpacing/>
              <w:rPr>
                <w:rFonts w:eastAsia="Times New Roman" w:cs="Times New Roman"/>
                <w:szCs w:val="24"/>
                <w:lang w:eastAsia="ru-RU"/>
              </w:rPr>
            </w:pPr>
            <w:r w:rsidRPr="00F65F6F">
              <w:rPr>
                <w:rFonts w:eastAsia="Times New Roman" w:cs="Times New Roman"/>
                <w:szCs w:val="24"/>
                <w:lang w:eastAsia="ru-RU"/>
              </w:rPr>
              <w:t>Поражение сосудов при различной гематологической патологии:</w:t>
            </w:r>
          </w:p>
          <w:p w14:paraId="0013F4C5" w14:textId="77777777" w:rsidR="00A93FEC" w:rsidRPr="00F65F6F" w:rsidRDefault="00A93FEC" w:rsidP="00A07851">
            <w:pPr>
              <w:ind w:firstLine="0"/>
              <w:contextualSpacing/>
              <w:rPr>
                <w:rFonts w:eastAsia="Times New Roman" w:cs="Times New Roman"/>
                <w:szCs w:val="24"/>
                <w:lang w:eastAsia="ru-RU"/>
              </w:rPr>
            </w:pPr>
            <w:r w:rsidRPr="00F65F6F">
              <w:rPr>
                <w:rFonts w:eastAsia="Times New Roman" w:cs="Times New Roman"/>
                <w:szCs w:val="24"/>
                <w:lang w:eastAsia="ru-RU"/>
              </w:rPr>
              <w:t>Тромботическая микроангиопатия</w:t>
            </w:r>
          </w:p>
          <w:p w14:paraId="18A1E9DC" w14:textId="77777777" w:rsidR="00A93FEC" w:rsidRPr="00F65F6F" w:rsidRDefault="00A93FEC" w:rsidP="00A07851">
            <w:pPr>
              <w:ind w:firstLine="0"/>
              <w:contextualSpacing/>
              <w:rPr>
                <w:rFonts w:eastAsia="Times New Roman" w:cs="Times New Roman"/>
                <w:szCs w:val="24"/>
                <w:lang w:eastAsia="ru-RU"/>
              </w:rPr>
            </w:pPr>
            <w:r w:rsidRPr="00F65F6F">
              <w:rPr>
                <w:rFonts w:eastAsia="Times New Roman" w:cs="Times New Roman"/>
                <w:szCs w:val="24"/>
                <w:lang w:eastAsia="ru-RU"/>
              </w:rPr>
              <w:t>Антифосфолипидный синдром</w:t>
            </w:r>
          </w:p>
          <w:p w14:paraId="16954A8F" w14:textId="77777777" w:rsidR="00A93FEC" w:rsidRPr="00F65F6F" w:rsidRDefault="00A93FEC" w:rsidP="00A07851">
            <w:pPr>
              <w:ind w:firstLine="0"/>
              <w:contextualSpacing/>
              <w:rPr>
                <w:rFonts w:eastAsia="Times New Roman" w:cs="Times New Roman"/>
                <w:szCs w:val="24"/>
                <w:lang w:eastAsia="ru-RU"/>
              </w:rPr>
            </w:pPr>
            <w:r w:rsidRPr="00F65F6F">
              <w:rPr>
                <w:rFonts w:eastAsia="Times New Roman" w:cs="Times New Roman"/>
                <w:szCs w:val="24"/>
                <w:lang w:eastAsia="ru-RU"/>
              </w:rPr>
              <w:t xml:space="preserve">Тромботическая тромбоцитопеническая пурпура </w:t>
            </w:r>
          </w:p>
          <w:p w14:paraId="785A0277" w14:textId="77777777" w:rsidR="00A93FEC" w:rsidRPr="00F65F6F" w:rsidRDefault="00A93FEC" w:rsidP="00A07851">
            <w:pPr>
              <w:ind w:firstLine="0"/>
              <w:contextualSpacing/>
              <w:rPr>
                <w:rFonts w:cs="Times New Roman"/>
                <w:szCs w:val="24"/>
              </w:rPr>
            </w:pPr>
            <w:r w:rsidRPr="00F65F6F">
              <w:rPr>
                <w:rFonts w:cs="Times New Roman"/>
                <w:szCs w:val="24"/>
              </w:rPr>
              <w:t>Пурпура  Шенлейна-Геноха</w:t>
            </w:r>
          </w:p>
          <w:p w14:paraId="301D97EB" w14:textId="77777777" w:rsidR="00A93FEC" w:rsidRPr="00F65F6F" w:rsidRDefault="00A93FEC" w:rsidP="00A07851">
            <w:pPr>
              <w:ind w:firstLine="0"/>
              <w:contextualSpacing/>
              <w:rPr>
                <w:rFonts w:cs="Times New Roman"/>
                <w:szCs w:val="24"/>
              </w:rPr>
            </w:pPr>
            <w:r w:rsidRPr="00F65F6F">
              <w:rPr>
                <w:rFonts w:eastAsia="Times New Roman" w:cs="Times New Roman"/>
                <w:szCs w:val="24"/>
                <w:lang w:eastAsia="ru-RU"/>
              </w:rPr>
              <w:t>Тромбоз почечных сосудов</w:t>
            </w:r>
          </w:p>
          <w:p w14:paraId="7A59F067" w14:textId="77777777" w:rsidR="00A93FEC" w:rsidRPr="00F65F6F" w:rsidRDefault="00A93FEC" w:rsidP="00A07851">
            <w:pPr>
              <w:ind w:firstLine="0"/>
              <w:contextualSpacing/>
              <w:rPr>
                <w:rFonts w:cs="Times New Roman"/>
                <w:szCs w:val="24"/>
              </w:rPr>
            </w:pPr>
            <w:r w:rsidRPr="00F65F6F">
              <w:rPr>
                <w:rFonts w:eastAsia="Times New Roman" w:cs="Times New Roman"/>
                <w:szCs w:val="24"/>
                <w:lang w:eastAsia="ru-RU"/>
              </w:rPr>
              <w:t>ДВС-синдром</w:t>
            </w:r>
          </w:p>
          <w:p w14:paraId="67689E0B" w14:textId="77777777" w:rsidR="00A93FEC" w:rsidRPr="00F65F6F" w:rsidRDefault="00A93FEC" w:rsidP="00A07851">
            <w:pPr>
              <w:ind w:firstLine="0"/>
              <w:contextualSpacing/>
              <w:rPr>
                <w:rFonts w:cs="Times New Roman"/>
                <w:szCs w:val="24"/>
              </w:rPr>
            </w:pPr>
            <w:r w:rsidRPr="00F65F6F">
              <w:rPr>
                <w:rFonts w:cs="Times New Roman"/>
                <w:szCs w:val="24"/>
              </w:rPr>
              <w:t>Радиационная нефропатия</w:t>
            </w:r>
          </w:p>
          <w:p w14:paraId="33840B4D" w14:textId="77777777" w:rsidR="00A93FEC" w:rsidRPr="00F65F6F" w:rsidRDefault="00A93FEC" w:rsidP="00A07851">
            <w:pPr>
              <w:ind w:firstLine="0"/>
              <w:contextualSpacing/>
              <w:rPr>
                <w:rFonts w:eastAsia="Times New Roman" w:cs="Times New Roman"/>
                <w:szCs w:val="24"/>
                <w:lang w:eastAsia="ru-RU"/>
              </w:rPr>
            </w:pPr>
            <w:r w:rsidRPr="00F65F6F">
              <w:rPr>
                <w:rFonts w:cs="Times New Roman"/>
                <w:szCs w:val="24"/>
              </w:rPr>
              <w:t>Болезнь Фабри</w:t>
            </w:r>
          </w:p>
        </w:tc>
        <w:tc>
          <w:tcPr>
            <w:tcW w:w="4393" w:type="dxa"/>
          </w:tcPr>
          <w:p w14:paraId="6BB253C0" w14:textId="77777777" w:rsidR="00A93FEC" w:rsidRPr="00F65F6F" w:rsidRDefault="00A93FEC" w:rsidP="00A07851">
            <w:pPr>
              <w:ind w:firstLine="0"/>
              <w:contextualSpacing/>
              <w:rPr>
                <w:rFonts w:cs="Times New Roman"/>
                <w:szCs w:val="24"/>
              </w:rPr>
            </w:pPr>
            <w:r w:rsidRPr="00F65F6F">
              <w:rPr>
                <w:rFonts w:cs="Times New Roman"/>
                <w:szCs w:val="24"/>
              </w:rPr>
              <w:t>Микроангиопатия, тромбоз сосудов почки</w:t>
            </w:r>
          </w:p>
        </w:tc>
      </w:tr>
      <w:tr w:rsidR="00A93FEC" w:rsidRPr="00F65F6F" w14:paraId="4EB5FB3B" w14:textId="77777777" w:rsidTr="002D3EBF">
        <w:tc>
          <w:tcPr>
            <w:tcW w:w="3969" w:type="dxa"/>
          </w:tcPr>
          <w:p w14:paraId="4BBE8E3D" w14:textId="77777777" w:rsidR="00A93FEC" w:rsidRPr="00F65F6F" w:rsidRDefault="00A93FEC" w:rsidP="00A07851">
            <w:pPr>
              <w:ind w:firstLine="0"/>
              <w:rPr>
                <w:rFonts w:eastAsia="Times New Roman" w:cs="Times New Roman"/>
                <w:szCs w:val="24"/>
                <w:lang w:eastAsia="ru-RU"/>
              </w:rPr>
            </w:pPr>
            <w:r w:rsidRPr="00F65F6F">
              <w:rPr>
                <w:rFonts w:eastAsia="Times New Roman" w:cs="Times New Roman"/>
                <w:szCs w:val="24"/>
                <w:lang w:eastAsia="ru-RU"/>
              </w:rPr>
              <w:t xml:space="preserve">Поражения, обусловленные метаболическими факторами при: </w:t>
            </w:r>
            <w:r w:rsidRPr="00F65F6F">
              <w:rPr>
                <w:rFonts w:cs="Times New Roman"/>
                <w:szCs w:val="24"/>
              </w:rPr>
              <w:t>Первичный и вторичный гемохроматоз                Нефрокальциноз, фосфорно-кальциевый литиаз                    Острый и хронический   цитолиз Гемолиз, миолиз         Гиперурикемия                  Сольтеряющая, гипокалиемическая почка</w:t>
            </w:r>
          </w:p>
        </w:tc>
        <w:tc>
          <w:tcPr>
            <w:tcW w:w="4393" w:type="dxa"/>
          </w:tcPr>
          <w:p w14:paraId="686390C6" w14:textId="77777777" w:rsidR="00A93FEC" w:rsidRPr="00642A7B" w:rsidRDefault="00A93FEC" w:rsidP="00A07851">
            <w:pPr>
              <w:ind w:firstLine="0"/>
              <w:contextualSpacing/>
              <w:rPr>
                <w:rFonts w:cs="Times New Roman"/>
                <w:szCs w:val="24"/>
              </w:rPr>
            </w:pPr>
            <w:r w:rsidRPr="00F65F6F">
              <w:rPr>
                <w:rFonts w:cs="Times New Roman"/>
                <w:szCs w:val="24"/>
              </w:rPr>
              <w:t xml:space="preserve">Смешанные </w:t>
            </w:r>
          </w:p>
        </w:tc>
      </w:tr>
    </w:tbl>
    <w:p w14:paraId="3673F794" w14:textId="77777777" w:rsidR="00A93FEC" w:rsidRDefault="00A93FEC" w:rsidP="00A93FEC">
      <w:pPr>
        <w:autoSpaceDE w:val="0"/>
        <w:contextualSpacing/>
        <w:rPr>
          <w:rFonts w:eastAsia="Times New Roman" w:cs="Times New Roman"/>
          <w:bCs/>
          <w:i/>
          <w:iCs/>
          <w:szCs w:val="24"/>
          <w:u w:val="single"/>
          <w:lang w:eastAsia="ru-RU"/>
        </w:rPr>
      </w:pPr>
    </w:p>
    <w:p w14:paraId="19EDA6E2" w14:textId="1231F6ED" w:rsidR="00A93FEC" w:rsidRPr="00DB270B" w:rsidRDefault="00A93FEC" w:rsidP="00A93FEC">
      <w:pPr>
        <w:autoSpaceDE w:val="0"/>
        <w:contextualSpacing/>
        <w:rPr>
          <w:rFonts w:cs="Times New Roman"/>
          <w:bCs/>
          <w:i/>
          <w:iCs/>
          <w:szCs w:val="24"/>
          <w:u w:val="single"/>
        </w:rPr>
      </w:pPr>
      <w:r w:rsidRPr="00DB270B">
        <w:rPr>
          <w:rFonts w:eastAsia="Times New Roman" w:cs="Times New Roman"/>
          <w:bCs/>
          <w:i/>
          <w:iCs/>
          <w:szCs w:val="24"/>
          <w:u w:val="single"/>
          <w:lang w:eastAsia="ru-RU"/>
        </w:rPr>
        <w:t>Основные синдромы с поражением почек при гематологических заболеваниях</w:t>
      </w:r>
      <w:r>
        <w:rPr>
          <w:rFonts w:eastAsia="Times New Roman" w:cs="Times New Roman"/>
          <w:bCs/>
          <w:i/>
          <w:iCs/>
          <w:szCs w:val="24"/>
          <w:u w:val="single"/>
          <w:lang w:eastAsia="ru-RU"/>
        </w:rPr>
        <w:t xml:space="preserve"> </w:t>
      </w:r>
      <w:r>
        <w:rPr>
          <w:rFonts w:eastAsia="Times New Roman" w:cs="Times New Roman"/>
          <w:szCs w:val="24"/>
          <w:lang w:eastAsia="ru-RU"/>
        </w:rPr>
        <w:fldChar w:fldCharType="begin" w:fldLock="1"/>
      </w:r>
      <w:r w:rsidR="00500503">
        <w:rPr>
          <w:rFonts w:eastAsia="Times New Roman" w:cs="Times New Roman"/>
          <w:szCs w:val="24"/>
          <w:lang w:eastAsia="ru-RU"/>
        </w:rPr>
        <w:instrText>ADDIN CSL_CITATION {"citationItems":[{"id":"ITEM-1","itemData":{"author":[{"dropping-particle":"","family":"Джумабаева","given":"Б.Т.","non-dropping-particle":"","parse-names":false,"suffix":""},{"dropping-particle":"","family":"Бирюкова","given":"Л.С.","non-dropping-particle":"","parse-names":false,"suffix":""},{"dropping-particle":"","family":"Варшавский","given":"В.А.","non-dropping-particle":"","parse-names":false,"suffix":""},{"dropping-particle":"","family":"Марьина","given":"С.А.","non-dropping-particle":"","parse-names":false,"suffix":""},{"dropping-particle":"","family":"Рощина","given":"Л.С.","non-dropping-particle":"","parse-names":false,"suffix":""},{"dropping-particle":"","family":"Джулакян","given":"У.Л.","non-dropping-particle":"","parse-names":false,"suffix":""},{"dropping-particle":"","family":"Столяревич","given":"Е.C.","non-dropping-particle":"","parse-names":false,"suffix":""}],"container-title":"Онкогематология","id":"ITEM-1","issue":"1","issued":{"date-parts":[["2017"]]},"page":"44-54","title":"Клинико-лабораторные и морфологические особенности поражения почек при лимфопролиферативных заболеваниях","type":"article-journal","volume":"7"},"uris":["http://www.mendeley.com/documents/?uuid=50a28e00-c058-46cf-b75a-5bfd40395f93"]},{"id":"ITEM-2","itemData":{"author":[{"dropping-particle":"","family":"Рехтина","given":"И.Г.","non-dropping-particle":"","parse-names":false,"suffix":""},{"dropping-particle":"","family":"Голицина","given":"Е.П.","non-dropping-particle":"","parse-names":false,"suffix":""},{"dropping-particle":"","family":"Варламова","given":"Е.Ю.","non-dropping-particle":"","parse-names":false,"suffix":""},{"dropping-particle":"","family":"Варшавский","given":"В.А.","non-dropping-particle":"","parse-names":false,"suffix":""},{"dropping-particle":"","family":"Киреева","given":"А.А.","non-dropping-particle":"","parse-names":false,"suffix":""},{"dropping-particle":"","family":"Бирюкова","given":"Л.С.","non-dropping-particle":"","parse-names":false,"suffix":""},{"dropping-particle":"","family":"Савченко","given":"В.Г.","non-dropping-particle":"","parse-names":false,"suffix":""}],"container-title":"Терапевтический архив","id":"ITEM-2","issue":"3","issued":{"date-parts":[["2013"]]},"page":"80-85","title":"Морфологические и иммунохимические особенности нефропатий при множественной миеломе с тяжелой почечной недостаточностью","type":"article-journal","volume":"85"},"uris":["http://www.mendeley.com/documents/?uuid=b7e4aa0d-a654-44bd-b363-35e45db6262e"]},{"id":"ITEM-3","itemData":{"author":[{"dropping-particle":"","family":"Ворожейкина","given":"Е.Г.","non-dropping-particle":"","parse-names":false,"suffix":""},{"dropping-particle":"","family":"Бирюкова","given":"Л.С.","non-dropping-particle":"","parse-names":false,"suffix":""},{"dropping-particle":"","family":"Савченко","given":"В.Г.","non-dropping-particle":"","parse-names":false,"suffix":""}],"container-title":"Гематология и трансфузиология","id":"ITEM-3","issue":"3","issued":{"date-parts":[["2011"]]},"page":"24-27","title":"Клинико-лабораторные проявления нефропатий у больных острыми лейкозами","type":"article-journal","volume":"56"},"uris":["http://www.mendeley.com/documents/?uuid=137272d3-cc35-4bfd-b2f3-d7af020af652"]}],"mendeley":{"formattedCitation":"[115–117]","plainTextFormattedCitation":"[115–117]","previouslyFormattedCitation":"[115–117]"},"properties":{"noteIndex":0},"schema":"https://github.com/citation-style-language/schema/raw/master/csl-citation.json"}</w:instrText>
      </w:r>
      <w:r>
        <w:rPr>
          <w:rFonts w:eastAsia="Times New Roman" w:cs="Times New Roman"/>
          <w:szCs w:val="24"/>
          <w:lang w:eastAsia="ru-RU"/>
        </w:rPr>
        <w:fldChar w:fldCharType="separate"/>
      </w:r>
      <w:r w:rsidR="00A07851" w:rsidRPr="00A07851">
        <w:rPr>
          <w:rFonts w:eastAsia="Times New Roman" w:cs="Times New Roman"/>
          <w:noProof/>
          <w:szCs w:val="24"/>
          <w:lang w:eastAsia="ru-RU"/>
        </w:rPr>
        <w:t>[115–117]</w:t>
      </w:r>
      <w:r>
        <w:rPr>
          <w:rFonts w:eastAsia="Times New Roman" w:cs="Times New Roman"/>
          <w:szCs w:val="24"/>
          <w:lang w:eastAsia="ru-RU"/>
        </w:rPr>
        <w:fldChar w:fldCharType="end"/>
      </w:r>
      <w:r w:rsidRPr="00DB270B">
        <w:rPr>
          <w:rFonts w:eastAsia="Times New Roman" w:cs="Times New Roman"/>
          <w:bCs/>
          <w:i/>
          <w:iCs/>
          <w:szCs w:val="24"/>
          <w:u w:val="single"/>
          <w:lang w:eastAsia="ru-RU"/>
        </w:rPr>
        <w:t xml:space="preserve">. </w:t>
      </w:r>
    </w:p>
    <w:p w14:paraId="4D27F5D5" w14:textId="77777777" w:rsidR="00A93FEC" w:rsidRPr="00F65F6F" w:rsidRDefault="00A93FEC" w:rsidP="00A93FEC">
      <w:pPr>
        <w:rPr>
          <w:rFonts w:eastAsia="Times New Roman" w:cs="Times New Roman"/>
          <w:szCs w:val="24"/>
          <w:lang w:eastAsia="ru-RU"/>
        </w:rPr>
      </w:pPr>
      <w:r w:rsidRPr="00DB270B">
        <w:rPr>
          <w:rFonts w:eastAsia="Times New Roman" w:cs="Times New Roman"/>
          <w:i/>
          <w:szCs w:val="24"/>
          <w:lang w:eastAsia="ru-RU"/>
        </w:rPr>
        <w:t>Синдром лизиса опухоли</w:t>
      </w:r>
      <w:r w:rsidRPr="00F65F6F">
        <w:rPr>
          <w:rFonts w:eastAsia="Times New Roman" w:cs="Times New Roman"/>
          <w:szCs w:val="24"/>
          <w:lang w:eastAsia="ru-RU"/>
        </w:rPr>
        <w:t xml:space="preserve"> сопровождается гиперфосфатемией, гиперкалиемией, гиперурикемией и/или гипокальциемией, что приводит к осаждению в почечных канальцах и паренхиме метаболитов нуклеиновых кислот, кристаллов мочевой кислоты и фосфата кальция с острой обструкцией мочевыводящих путей. Синдром лизиса опухоли развивается при спонтанной гибели опухолевых клеток или при их лизисе, индуцированном химиотерапией. Частота развития синдрома при неходжкинских лимфомах превышает 40%, а общая смертность при его развитии составляет от 0,9% до 17,5%.</w:t>
      </w:r>
    </w:p>
    <w:p w14:paraId="110EBC08" w14:textId="77777777" w:rsidR="00A93FEC" w:rsidRPr="00F65F6F" w:rsidRDefault="00A93FEC" w:rsidP="00A93FEC">
      <w:pPr>
        <w:rPr>
          <w:rFonts w:eastAsia="Times New Roman" w:cs="Times New Roman"/>
          <w:szCs w:val="24"/>
          <w:lang w:eastAsia="ru-RU"/>
        </w:rPr>
      </w:pPr>
      <w:r w:rsidRPr="00DB270B">
        <w:rPr>
          <w:rFonts w:eastAsia="Times New Roman" w:cs="Times New Roman"/>
          <w:i/>
          <w:szCs w:val="24"/>
          <w:lang w:eastAsia="ru-RU"/>
        </w:rPr>
        <w:t>Синдром Фанкони</w:t>
      </w:r>
      <w:r w:rsidRPr="00DB270B">
        <w:rPr>
          <w:rFonts w:eastAsia="Times New Roman" w:cs="Times New Roman"/>
          <w:szCs w:val="24"/>
          <w:lang w:eastAsia="ru-RU"/>
        </w:rPr>
        <w:t xml:space="preserve"> характеризуется нарушением функции проксимальных канальцев</w:t>
      </w:r>
      <w:r w:rsidRPr="00F65F6F">
        <w:rPr>
          <w:rFonts w:eastAsia="Times New Roman" w:cs="Times New Roman"/>
          <w:szCs w:val="24"/>
          <w:lang w:eastAsia="ru-RU"/>
        </w:rPr>
        <w:t xml:space="preserve"> и развитием тубулярного ацидоза, аминоацидурии, глюкозурии, фосфатурии, канальцевой протеинурии, гипокалиемии, гипоурикемии, полиурии с развитием дегидратации и почечной недостаточности разной степени выраженности. При морфологическом исследовании выявляются кристаллические (игольчатой формы) фибриллоподобные включения в эпителии проксимальных канальцев и тубулярная атрофия.</w:t>
      </w:r>
    </w:p>
    <w:p w14:paraId="7D50359A" w14:textId="77777777" w:rsidR="00A93FEC" w:rsidRPr="00F65F6F" w:rsidRDefault="00A93FEC" w:rsidP="00A93FEC">
      <w:pPr>
        <w:rPr>
          <w:rFonts w:eastAsia="Times New Roman" w:cs="Times New Roman"/>
          <w:szCs w:val="24"/>
          <w:lang w:eastAsia="ru-RU"/>
        </w:rPr>
      </w:pPr>
      <w:r w:rsidRPr="00DB270B">
        <w:rPr>
          <w:rFonts w:eastAsia="Times New Roman" w:cs="Times New Roman"/>
          <w:i/>
          <w:szCs w:val="24"/>
          <w:lang w:eastAsia="ru-RU"/>
        </w:rPr>
        <w:t>Гиперкальциемия</w:t>
      </w:r>
      <w:r w:rsidRPr="00DB270B">
        <w:rPr>
          <w:rFonts w:eastAsia="Times New Roman" w:cs="Times New Roman"/>
          <w:szCs w:val="24"/>
          <w:lang w:eastAsia="ru-RU"/>
        </w:rPr>
        <w:t xml:space="preserve"> развивается в результате остеолизиса и подавления функции</w:t>
      </w:r>
      <w:r w:rsidRPr="00F65F6F">
        <w:rPr>
          <w:rFonts w:eastAsia="Times New Roman" w:cs="Times New Roman"/>
          <w:szCs w:val="24"/>
          <w:lang w:eastAsia="ru-RU"/>
        </w:rPr>
        <w:t xml:space="preserve"> остеобластов под воздействием секретируемых опухолевыми клетками паратгормоноподобного белка (РТН-fP) или активной формы витамина D — 1, 25-дигитроокси-холекальциферола, которые стимулируют резорбцию костной ткани и/или реабсорбцию кальция в собирательных трубочках нефрона с развитием гиперкальцийурии. Поступление в сосудистое русло ионов кальция в количестве, значительно превышающем экскреторные возможности почек, приводит к снижению почечного плазмотока и развитию ОПП. </w:t>
      </w:r>
    </w:p>
    <w:p w14:paraId="092545B7" w14:textId="77777777" w:rsidR="00A93FEC" w:rsidRDefault="00A93FEC" w:rsidP="00A93FEC">
      <w:pPr>
        <w:rPr>
          <w:rFonts w:eastAsia="Times New Roman" w:cs="Times New Roman"/>
          <w:szCs w:val="24"/>
          <w:lang w:eastAsia="ru-RU"/>
        </w:rPr>
      </w:pPr>
      <w:r w:rsidRPr="00DB270B">
        <w:rPr>
          <w:rFonts w:eastAsia="Times New Roman" w:cs="Times New Roman"/>
          <w:i/>
          <w:szCs w:val="24"/>
          <w:lang w:eastAsia="ru-RU"/>
        </w:rPr>
        <w:t>Тромботическая микроангиопатия</w:t>
      </w:r>
      <w:r w:rsidRPr="00DB270B">
        <w:rPr>
          <w:rFonts w:eastAsia="Times New Roman" w:cs="Times New Roman"/>
          <w:szCs w:val="24"/>
          <w:lang w:eastAsia="ru-RU"/>
        </w:rPr>
        <w:t xml:space="preserve"> (ТМА) патогенетически объединяет</w:t>
      </w:r>
      <w:r w:rsidRPr="00F65F6F">
        <w:rPr>
          <w:rFonts w:eastAsia="Times New Roman" w:cs="Times New Roman"/>
          <w:szCs w:val="24"/>
          <w:lang w:eastAsia="ru-RU"/>
        </w:rPr>
        <w:t xml:space="preserve"> тромботическую тромбоцитопеническую пурпуру (ТТП), гемолитико-уремический синдром (ГУС), характеризуется сочетанием гемолитической анемии, тромбоцитопении и полиорганной патологией. Клинически наблюдается тяжелая артериальная гипертензия, протеинурия и гематурия различной степени выраженности, прогрессирующим ухудшением функции почек. </w:t>
      </w:r>
      <w:r w:rsidRPr="00F65F6F">
        <w:rPr>
          <w:rFonts w:eastAsia="Times New Roman" w:cs="Times New Roman"/>
          <w:color w:val="000000"/>
          <w:szCs w:val="24"/>
          <w:lang w:eastAsia="ru-RU"/>
        </w:rPr>
        <w:t xml:space="preserve">В патогенезе ГУС центральную роль играет первичное поражение эндотелия, активация эндотелина – 1 и цитокинов, что вызывает фокальную ишемию коркового слоя почек, стимуляцию   адгезии клеток и тромбообразование. </w:t>
      </w:r>
      <w:r w:rsidRPr="00F65F6F">
        <w:rPr>
          <w:rFonts w:eastAsia="Times New Roman" w:cs="Times New Roman"/>
          <w:szCs w:val="24"/>
          <w:lang w:eastAsia="ru-RU"/>
        </w:rPr>
        <w:t xml:space="preserve">В основе генеза гемолиза лежит механическое разрушение эритроцитов при прохождении их по измененной капиллярной сети, из–за их структурной неполноценности, обусловленной активацией перекисного окисления липидов клеточных мембран, приводящей к ухудшению деформируемости эритроцитов и снижению их устойчивости к механическому повреждению. Тромбоцитопения при ГУС обусловлена, как возросшим потреблением тромбоцитов, так и сокращением периода их жизни. ТТП обусловлена   дефицитом металлопротеазы </w:t>
      </w:r>
      <w:r w:rsidRPr="00F65F6F">
        <w:rPr>
          <w:rFonts w:eastAsia="Times New Roman" w:cs="Times New Roman"/>
          <w:szCs w:val="24"/>
          <w:lang w:val="en-US" w:eastAsia="ru-RU"/>
        </w:rPr>
        <w:t>ADAMTS</w:t>
      </w:r>
      <w:r w:rsidRPr="00F65F6F">
        <w:rPr>
          <w:rFonts w:eastAsia="Times New Roman" w:cs="Times New Roman"/>
          <w:szCs w:val="24"/>
          <w:lang w:eastAsia="ru-RU"/>
        </w:rPr>
        <w:t xml:space="preserve">-13, способной расщеплять крупные мультимеры фактора Виллебранда. Нерасщепленные мультимеры способствуют диссеминированной внутрисосудистой агрегации тромбоцитов. </w:t>
      </w:r>
    </w:p>
    <w:p w14:paraId="75F03F31" w14:textId="77777777" w:rsidR="00A93FEC" w:rsidRPr="00F65F6F" w:rsidRDefault="00A93FEC" w:rsidP="00A93FEC">
      <w:pPr>
        <w:rPr>
          <w:rFonts w:eastAsia="Times New Roman" w:cs="Times New Roman"/>
          <w:szCs w:val="24"/>
          <w:lang w:eastAsia="ru-RU"/>
        </w:rPr>
      </w:pPr>
    </w:p>
    <w:p w14:paraId="1CB5201B" w14:textId="013753E3" w:rsidR="00A93FEC" w:rsidRPr="006B722A" w:rsidRDefault="00A93FEC" w:rsidP="00A93FEC">
      <w:pPr>
        <w:pStyle w:val="afe"/>
        <w:ind w:left="786" w:firstLine="0"/>
        <w:rPr>
          <w:rFonts w:cs="Times New Roman"/>
          <w:bCs/>
          <w:i/>
          <w:iCs/>
          <w:szCs w:val="24"/>
          <w:u w:val="single"/>
        </w:rPr>
      </w:pPr>
      <w:r w:rsidRPr="006B722A">
        <w:rPr>
          <w:rFonts w:cs="Times New Roman"/>
          <w:bCs/>
          <w:i/>
          <w:iCs/>
          <w:szCs w:val="24"/>
          <w:u w:val="single"/>
        </w:rPr>
        <w:t>Диагностика острого повреждения почек и хронической болезни почек</w:t>
      </w:r>
      <w:r>
        <w:rPr>
          <w:rFonts w:cs="Times New Roman"/>
          <w:bCs/>
          <w:i/>
          <w:iCs/>
          <w:szCs w:val="24"/>
          <w:u w:val="single"/>
        </w:rPr>
        <w:t xml:space="preserve"> </w:t>
      </w:r>
      <w:r>
        <w:rPr>
          <w:rFonts w:eastAsia="Times New Roman" w:cs="Times New Roman"/>
          <w:szCs w:val="24"/>
          <w:lang w:eastAsia="ru-RU"/>
        </w:rPr>
        <w:fldChar w:fldCharType="begin" w:fldLock="1"/>
      </w:r>
      <w:r w:rsidR="00500503">
        <w:rPr>
          <w:rFonts w:eastAsia="Times New Roman" w:cs="Times New Roman"/>
          <w:szCs w:val="24"/>
          <w:lang w:eastAsia="ru-RU"/>
        </w:rPr>
        <w:instrText>ADDIN CSL_CITATION {"citationItems":[{"id":"ITEM-1","itemData":{"author":[{"dropping-particle":"","family":"Джумабаева","given":"Б.Т.","non-dropping-particle":"","parse-names":false,"suffix":""},{"dropping-particle":"","family":"Бирюкова","given":"Л.С.","non-dropping-particle":"","parse-names":false,"suffix":""},{"dropping-particle":"","family":"Варшавский","given":"В.А.","non-dropping-particle":"","parse-names":false,"suffix":""},{"dropping-particle":"","family":"Марьина","given":"С.А.","non-dropping-particle":"","parse-names":false,"suffix":""},{"dropping-particle":"","family":"Рощина","given":"Л.С.","non-dropping-particle":"","parse-names":false,"suffix":""},{"dropping-particle":"","family":"Джулакян","given":"У.Л.","non-dropping-particle":"","parse-names":false,"suffix":""},{"dropping-particle":"","family":"Столяревич","given":"Е.C.","non-dropping-particle":"","parse-names":false,"suffix":""}],"container-title":"Онкогематология","id":"ITEM-1","issue":"1","issued":{"date-parts":[["2017"]]},"page":"44-54","title":"Клинико-лабораторные и морфологические особенности поражения почек при лимфопролиферативных заболеваниях","type":"article-journal","volume":"7"},"uris":["http://www.mendeley.com/documents/?uuid=50a28e00-c058-46cf-b75a-5bfd40395f93"]},{"id":"ITEM-2","itemData":{"author":[{"dropping-particle":"","family":"Рехтина","given":"И.Г.","non-dropping-particle":"","parse-names":false,"suffix":""},{"dropping-particle":"","family":"Голицина","given":"Е.П.","non-dropping-particle":"","parse-names":false,"suffix":""},{"dropping-particle":"","family":"Варламова","given":"Е.Ю.","non-dropping-particle":"","parse-names":false,"suffix":""},{"dropping-particle":"","family":"Варшавский","given":"В.А.","non-dropping-particle":"","parse-names":false,"suffix":""},{"dropping-particle":"","family":"Киреева","given":"А.А.","non-dropping-particle":"","parse-names":false,"suffix":""},{"dropping-particle":"","family":"Бирюкова","given":"Л.С.","non-dropping-particle":"","parse-names":false,"suffix":""},{"dropping-particle":"","family":"Савченко","given":"В.Г.","non-dropping-particle":"","parse-names":false,"suffix":""}],"container-title":"Терапевтический архив","id":"ITEM-2","issue":"3","issued":{"date-parts":[["2013"]]},"page":"80-85","title":"Морфологические и иммунохимические особенности нефропатий при множественной миеломе с тяжелой почечной недостаточностью","type":"article-journal","volume":"85"},"uris":["http://www.mendeley.com/documents/?uuid=b7e4aa0d-a654-44bd-b363-35e45db6262e"]},{"id":"ITEM-3","itemData":{"author":[{"dropping-particle":"","family":"Ворожейкина","given":"Е.Г.","non-dropping-particle":"","parse-names":false,"suffix":""},{"dropping-particle":"","family":"Бирюкова","given":"Л.С.","non-dropping-particle":"","parse-names":false,"suffix":""},{"dropping-particle":"","family":"Савченко","given":"В.Г.","non-dropping-particle":"","parse-names":false,"suffix":""}],"container-title":"Гематология и трансфузиология","id":"ITEM-3","issue":"3","issued":{"date-parts":[["2011"]]},"page":"24-27","title":"Клинико-лабораторные проявления нефропатий у больных острыми лейкозами","type":"article-journal","volume":"56"},"uris":["http://www.mendeley.com/documents/?uuid=137272d3-cc35-4bfd-b2f3-d7af020af652"]}],"mendeley":{"formattedCitation":"[115–117]","plainTextFormattedCitation":"[115–117]","previouslyFormattedCitation":"[115–117]"},"properties":{"noteIndex":0},"schema":"https://github.com/citation-style-language/schema/raw/master/csl-citation.json"}</w:instrText>
      </w:r>
      <w:r>
        <w:rPr>
          <w:rFonts w:eastAsia="Times New Roman" w:cs="Times New Roman"/>
          <w:szCs w:val="24"/>
          <w:lang w:eastAsia="ru-RU"/>
        </w:rPr>
        <w:fldChar w:fldCharType="separate"/>
      </w:r>
      <w:r w:rsidR="00A07851" w:rsidRPr="00A07851">
        <w:rPr>
          <w:rFonts w:eastAsia="Times New Roman" w:cs="Times New Roman"/>
          <w:noProof/>
          <w:szCs w:val="24"/>
          <w:lang w:eastAsia="ru-RU"/>
        </w:rPr>
        <w:t>[115–117]</w:t>
      </w:r>
      <w:r>
        <w:rPr>
          <w:rFonts w:eastAsia="Times New Roman" w:cs="Times New Roman"/>
          <w:szCs w:val="24"/>
          <w:lang w:eastAsia="ru-RU"/>
        </w:rPr>
        <w:fldChar w:fldCharType="end"/>
      </w:r>
      <w:r w:rsidRPr="006B722A">
        <w:rPr>
          <w:rFonts w:cs="Times New Roman"/>
          <w:bCs/>
          <w:i/>
          <w:iCs/>
          <w:szCs w:val="24"/>
          <w:u w:val="single"/>
        </w:rPr>
        <w:t>.</w:t>
      </w:r>
    </w:p>
    <w:p w14:paraId="6B9D7576" w14:textId="77777777" w:rsidR="00A93FEC" w:rsidRPr="009332DB" w:rsidRDefault="00A93FEC" w:rsidP="00A93FEC">
      <w:pPr>
        <w:contextualSpacing/>
        <w:rPr>
          <w:rFonts w:cs="Times New Roman"/>
          <w:szCs w:val="24"/>
        </w:rPr>
      </w:pPr>
      <w:r w:rsidRPr="00F65F6F">
        <w:rPr>
          <w:rFonts w:cs="Times New Roman"/>
          <w:szCs w:val="24"/>
        </w:rPr>
        <w:t>Острое повреждение почек (ОПП)</w:t>
      </w:r>
      <w:r w:rsidRPr="00F65F6F">
        <w:rPr>
          <w:rFonts w:cs="Times New Roman"/>
          <w:i/>
          <w:szCs w:val="24"/>
        </w:rPr>
        <w:t xml:space="preserve"> – </w:t>
      </w:r>
      <w:r w:rsidRPr="00F65F6F">
        <w:rPr>
          <w:rFonts w:cs="Times New Roman"/>
          <w:szCs w:val="24"/>
        </w:rPr>
        <w:t xml:space="preserve">внезапное и устойчивое снижение гломерулярной фильтрации или объема мочи или того и другого вместе, </w:t>
      </w:r>
      <w:r w:rsidRPr="009332DB">
        <w:rPr>
          <w:rFonts w:cs="Times New Roman"/>
          <w:szCs w:val="24"/>
        </w:rPr>
        <w:t>сопровождающееся изменениями гомеостаза (таб.2).</w:t>
      </w:r>
    </w:p>
    <w:p w14:paraId="12B01EEA" w14:textId="77777777" w:rsidR="00A93FEC" w:rsidRPr="009332DB" w:rsidRDefault="00A93FEC" w:rsidP="00A93FEC">
      <w:pPr>
        <w:contextualSpacing/>
        <w:rPr>
          <w:rFonts w:cs="Times New Roman"/>
          <w:szCs w:val="24"/>
        </w:rPr>
      </w:pPr>
      <w:r w:rsidRPr="009332DB">
        <w:rPr>
          <w:rFonts w:cs="Times New Roman"/>
          <w:szCs w:val="24"/>
        </w:rPr>
        <w:t>Для диагностики ОПП достаточно наличия одного из трех следующих критериев:</w:t>
      </w:r>
    </w:p>
    <w:p w14:paraId="099EB1FB" w14:textId="77777777" w:rsidR="00A93FEC" w:rsidRPr="009332DB" w:rsidRDefault="00A93FEC" w:rsidP="00A93FEC">
      <w:pPr>
        <w:pStyle w:val="afe"/>
        <w:numPr>
          <w:ilvl w:val="0"/>
          <w:numId w:val="90"/>
        </w:numPr>
        <w:rPr>
          <w:rFonts w:cs="Times New Roman"/>
          <w:szCs w:val="24"/>
        </w:rPr>
      </w:pPr>
      <w:r w:rsidRPr="009332DB">
        <w:rPr>
          <w:rFonts w:cs="Times New Roman"/>
          <w:szCs w:val="24"/>
        </w:rPr>
        <w:t>повышение креатинина в сыворотке крови более чем на 26,5 мкмоль/л в течение 48 часов;</w:t>
      </w:r>
    </w:p>
    <w:p w14:paraId="281E9BCA" w14:textId="77777777" w:rsidR="00A93FEC" w:rsidRPr="009332DB" w:rsidRDefault="00A93FEC" w:rsidP="00A93FEC">
      <w:pPr>
        <w:pStyle w:val="afe"/>
        <w:numPr>
          <w:ilvl w:val="0"/>
          <w:numId w:val="90"/>
        </w:numPr>
        <w:rPr>
          <w:rFonts w:cs="Times New Roman"/>
          <w:szCs w:val="24"/>
        </w:rPr>
      </w:pPr>
      <w:r w:rsidRPr="009332DB">
        <w:rPr>
          <w:rFonts w:cs="Times New Roman"/>
          <w:szCs w:val="24"/>
        </w:rPr>
        <w:t>повышение креатинина крови не менее чем в 1,5 раза в течение 7 дней;</w:t>
      </w:r>
    </w:p>
    <w:p w14:paraId="394B514D" w14:textId="77777777" w:rsidR="00A93FEC" w:rsidRPr="009332DB" w:rsidRDefault="00A93FEC" w:rsidP="00A93FEC">
      <w:pPr>
        <w:pStyle w:val="afe"/>
        <w:numPr>
          <w:ilvl w:val="0"/>
          <w:numId w:val="90"/>
        </w:numPr>
        <w:rPr>
          <w:rFonts w:cs="Times New Roman"/>
          <w:szCs w:val="24"/>
        </w:rPr>
      </w:pPr>
      <w:r w:rsidRPr="009332DB">
        <w:rPr>
          <w:rFonts w:cs="Times New Roman"/>
          <w:szCs w:val="24"/>
        </w:rPr>
        <w:t>диурез менее 0,5 мл/кг/час за 6 часов (при условии нормоволемии).</w:t>
      </w:r>
    </w:p>
    <w:p w14:paraId="197AC44D" w14:textId="77777777" w:rsidR="00A93FEC" w:rsidRPr="009332DB" w:rsidRDefault="00A93FEC" w:rsidP="00A93FEC">
      <w:pPr>
        <w:ind w:left="360"/>
        <w:contextualSpacing/>
        <w:rPr>
          <w:rFonts w:cs="Times New Roman"/>
          <w:szCs w:val="24"/>
        </w:rPr>
      </w:pPr>
    </w:p>
    <w:p w14:paraId="15C982D6" w14:textId="77777777" w:rsidR="00A93FEC" w:rsidRPr="00F65F6F" w:rsidRDefault="00A93FEC" w:rsidP="00A93FEC">
      <w:pPr>
        <w:ind w:firstLine="708"/>
        <w:contextualSpacing/>
        <w:rPr>
          <w:rFonts w:cs="Times New Roman"/>
          <w:szCs w:val="24"/>
        </w:rPr>
      </w:pPr>
      <w:r w:rsidRPr="009332DB">
        <w:rPr>
          <w:rFonts w:cs="Times New Roman"/>
          <w:szCs w:val="24"/>
        </w:rPr>
        <w:t>Таблица 2. Стадии острого повреждения почек (KDIGO, 2012)</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
        <w:gridCol w:w="5288"/>
        <w:gridCol w:w="2409"/>
      </w:tblGrid>
      <w:tr w:rsidR="00A93FEC" w:rsidRPr="00F65F6F" w14:paraId="7D5D7DCC" w14:textId="77777777" w:rsidTr="002D3EBF">
        <w:tc>
          <w:tcPr>
            <w:tcW w:w="8646" w:type="dxa"/>
            <w:gridSpan w:val="3"/>
            <w:tcBorders>
              <w:top w:val="single" w:sz="4" w:space="0" w:color="auto"/>
              <w:left w:val="single" w:sz="4" w:space="0" w:color="auto"/>
              <w:bottom w:val="single" w:sz="4" w:space="0" w:color="auto"/>
              <w:right w:val="single" w:sz="4" w:space="0" w:color="auto"/>
            </w:tcBorders>
          </w:tcPr>
          <w:p w14:paraId="6EACFC71" w14:textId="77777777" w:rsidR="00A93FEC" w:rsidRPr="00F65F6F" w:rsidRDefault="00A93FEC" w:rsidP="00A07851">
            <w:pPr>
              <w:tabs>
                <w:tab w:val="left" w:pos="284"/>
                <w:tab w:val="left" w:pos="567"/>
              </w:tabs>
              <w:ind w:firstLine="0"/>
              <w:rPr>
                <w:rFonts w:eastAsia="Calibri" w:cs="Times New Roman"/>
                <w:szCs w:val="24"/>
              </w:rPr>
            </w:pPr>
            <w:r w:rsidRPr="00F65F6F">
              <w:rPr>
                <w:rFonts w:eastAsia="Calibri" w:cs="Times New Roman"/>
                <w:szCs w:val="24"/>
              </w:rPr>
              <w:t xml:space="preserve">                                           Критерии диагностики и стадии ОПП</w:t>
            </w:r>
          </w:p>
        </w:tc>
      </w:tr>
      <w:tr w:rsidR="00A93FEC" w:rsidRPr="00F65F6F" w14:paraId="09CC6A68" w14:textId="77777777" w:rsidTr="002D3EBF">
        <w:tc>
          <w:tcPr>
            <w:tcW w:w="949" w:type="dxa"/>
            <w:tcBorders>
              <w:top w:val="single" w:sz="4" w:space="0" w:color="auto"/>
              <w:left w:val="single" w:sz="4" w:space="0" w:color="auto"/>
              <w:bottom w:val="single" w:sz="4" w:space="0" w:color="auto"/>
              <w:right w:val="single" w:sz="4" w:space="0" w:color="auto"/>
            </w:tcBorders>
            <w:hideMark/>
          </w:tcPr>
          <w:p w14:paraId="06AFF9F8" w14:textId="77777777" w:rsidR="00A93FEC" w:rsidRPr="00F65F6F" w:rsidRDefault="00A93FEC" w:rsidP="00A07851">
            <w:pPr>
              <w:tabs>
                <w:tab w:val="left" w:pos="284"/>
                <w:tab w:val="left" w:pos="567"/>
              </w:tabs>
              <w:ind w:firstLine="0"/>
              <w:jc w:val="center"/>
              <w:rPr>
                <w:rFonts w:eastAsia="Calibri" w:cs="Times New Roman"/>
                <w:szCs w:val="24"/>
              </w:rPr>
            </w:pPr>
            <w:r w:rsidRPr="00F65F6F">
              <w:rPr>
                <w:rFonts w:eastAsia="Calibri" w:cs="Times New Roman"/>
                <w:szCs w:val="24"/>
              </w:rPr>
              <w:t>Стадия</w:t>
            </w:r>
          </w:p>
        </w:tc>
        <w:tc>
          <w:tcPr>
            <w:tcW w:w="5288" w:type="dxa"/>
            <w:tcBorders>
              <w:top w:val="single" w:sz="4" w:space="0" w:color="auto"/>
              <w:left w:val="single" w:sz="4" w:space="0" w:color="auto"/>
              <w:bottom w:val="single" w:sz="4" w:space="0" w:color="auto"/>
              <w:right w:val="single" w:sz="4" w:space="0" w:color="auto"/>
            </w:tcBorders>
            <w:hideMark/>
          </w:tcPr>
          <w:p w14:paraId="28154024" w14:textId="77777777" w:rsidR="00A93FEC" w:rsidRPr="00F65F6F" w:rsidRDefault="00A93FEC" w:rsidP="00A07851">
            <w:pPr>
              <w:tabs>
                <w:tab w:val="left" w:pos="284"/>
                <w:tab w:val="left" w:pos="567"/>
              </w:tabs>
              <w:ind w:firstLine="0"/>
              <w:jc w:val="center"/>
              <w:rPr>
                <w:rFonts w:eastAsia="Calibri" w:cs="Times New Roman"/>
                <w:szCs w:val="24"/>
              </w:rPr>
            </w:pPr>
            <w:r w:rsidRPr="00F65F6F">
              <w:rPr>
                <w:rFonts w:eastAsia="Calibri" w:cs="Times New Roman"/>
                <w:szCs w:val="24"/>
              </w:rPr>
              <w:t>Повышение уровня креатинина сыворотки крови</w:t>
            </w:r>
          </w:p>
        </w:tc>
        <w:tc>
          <w:tcPr>
            <w:tcW w:w="2409" w:type="dxa"/>
            <w:tcBorders>
              <w:top w:val="single" w:sz="4" w:space="0" w:color="auto"/>
              <w:left w:val="single" w:sz="4" w:space="0" w:color="auto"/>
              <w:bottom w:val="single" w:sz="4" w:space="0" w:color="auto"/>
              <w:right w:val="single" w:sz="4" w:space="0" w:color="auto"/>
            </w:tcBorders>
            <w:hideMark/>
          </w:tcPr>
          <w:p w14:paraId="524A5C86" w14:textId="77777777" w:rsidR="00A93FEC" w:rsidRPr="00F65F6F" w:rsidRDefault="00A93FEC" w:rsidP="00A07851">
            <w:pPr>
              <w:tabs>
                <w:tab w:val="left" w:pos="284"/>
                <w:tab w:val="left" w:pos="567"/>
              </w:tabs>
              <w:ind w:firstLine="0"/>
              <w:jc w:val="center"/>
              <w:rPr>
                <w:rFonts w:eastAsia="Calibri" w:cs="Times New Roman"/>
                <w:szCs w:val="24"/>
              </w:rPr>
            </w:pPr>
            <w:r w:rsidRPr="00F65F6F">
              <w:rPr>
                <w:rFonts w:eastAsia="Calibri" w:cs="Times New Roman"/>
                <w:szCs w:val="24"/>
              </w:rPr>
              <w:t>Диурез</w:t>
            </w:r>
          </w:p>
        </w:tc>
      </w:tr>
      <w:tr w:rsidR="00A93FEC" w:rsidRPr="00F65F6F" w14:paraId="590D0C69" w14:textId="77777777" w:rsidTr="002D3EBF">
        <w:tc>
          <w:tcPr>
            <w:tcW w:w="949" w:type="dxa"/>
            <w:tcBorders>
              <w:top w:val="single" w:sz="4" w:space="0" w:color="auto"/>
              <w:left w:val="single" w:sz="4" w:space="0" w:color="auto"/>
              <w:bottom w:val="single" w:sz="4" w:space="0" w:color="auto"/>
              <w:right w:val="single" w:sz="4" w:space="0" w:color="auto"/>
            </w:tcBorders>
            <w:hideMark/>
          </w:tcPr>
          <w:p w14:paraId="021AD693" w14:textId="77777777" w:rsidR="00A93FEC" w:rsidRPr="00F65F6F" w:rsidRDefault="00A93FEC" w:rsidP="00A07851">
            <w:pPr>
              <w:tabs>
                <w:tab w:val="left" w:pos="284"/>
                <w:tab w:val="left" w:pos="567"/>
              </w:tabs>
              <w:ind w:firstLine="0"/>
              <w:rPr>
                <w:rFonts w:eastAsia="Calibri" w:cs="Times New Roman"/>
                <w:szCs w:val="24"/>
              </w:rPr>
            </w:pPr>
            <w:r w:rsidRPr="00F65F6F">
              <w:rPr>
                <w:rFonts w:eastAsia="Calibri" w:cs="Times New Roman"/>
                <w:szCs w:val="24"/>
              </w:rPr>
              <w:t>1</w:t>
            </w:r>
          </w:p>
        </w:tc>
        <w:tc>
          <w:tcPr>
            <w:tcW w:w="5288" w:type="dxa"/>
            <w:tcBorders>
              <w:top w:val="single" w:sz="4" w:space="0" w:color="auto"/>
              <w:left w:val="single" w:sz="4" w:space="0" w:color="auto"/>
              <w:bottom w:val="single" w:sz="4" w:space="0" w:color="auto"/>
              <w:right w:val="single" w:sz="4" w:space="0" w:color="auto"/>
            </w:tcBorders>
            <w:hideMark/>
          </w:tcPr>
          <w:p w14:paraId="5AA6811E" w14:textId="77777777" w:rsidR="00A93FEC" w:rsidRPr="00F65F6F" w:rsidRDefault="00A93FEC" w:rsidP="00A07851">
            <w:pPr>
              <w:tabs>
                <w:tab w:val="left" w:pos="284"/>
                <w:tab w:val="left" w:pos="567"/>
              </w:tabs>
              <w:ind w:firstLine="0"/>
              <w:rPr>
                <w:rFonts w:eastAsia="Calibri" w:cs="Times New Roman"/>
                <w:szCs w:val="24"/>
              </w:rPr>
            </w:pPr>
            <w:r w:rsidRPr="00F65F6F">
              <w:rPr>
                <w:rFonts w:eastAsia="Calibri" w:cs="Times New Roman"/>
                <w:szCs w:val="24"/>
              </w:rPr>
              <w:t>в 1,5-1,9 раза выше исходного в течение недели</w:t>
            </w:r>
          </w:p>
          <w:p w14:paraId="40B45330" w14:textId="77777777" w:rsidR="00A93FEC" w:rsidRPr="00F65F6F" w:rsidRDefault="00A93FEC" w:rsidP="00A07851">
            <w:pPr>
              <w:tabs>
                <w:tab w:val="left" w:pos="284"/>
                <w:tab w:val="left" w:pos="567"/>
              </w:tabs>
              <w:ind w:firstLine="0"/>
              <w:rPr>
                <w:rFonts w:eastAsia="Calibri" w:cs="Times New Roman"/>
                <w:szCs w:val="24"/>
              </w:rPr>
            </w:pPr>
            <w:r w:rsidRPr="00F65F6F">
              <w:rPr>
                <w:rFonts w:eastAsia="Calibri" w:cs="Times New Roman"/>
                <w:szCs w:val="24"/>
              </w:rPr>
              <w:t>или</w:t>
            </w:r>
          </w:p>
          <w:p w14:paraId="60E82982" w14:textId="77777777" w:rsidR="00A93FEC" w:rsidRPr="00F65F6F" w:rsidRDefault="00A93FEC" w:rsidP="00A07851">
            <w:pPr>
              <w:tabs>
                <w:tab w:val="left" w:pos="284"/>
                <w:tab w:val="left" w:pos="567"/>
              </w:tabs>
              <w:ind w:firstLine="0"/>
              <w:rPr>
                <w:rFonts w:eastAsia="Calibri" w:cs="Times New Roman"/>
                <w:szCs w:val="24"/>
              </w:rPr>
            </w:pPr>
            <w:r w:rsidRPr="00F65F6F">
              <w:rPr>
                <w:rFonts w:eastAsia="Calibri" w:cs="Times New Roman"/>
                <w:szCs w:val="24"/>
              </w:rPr>
              <w:t>более чем на 26,5 мкмоль/л в течение 2 дней (48 часов)</w:t>
            </w:r>
          </w:p>
        </w:tc>
        <w:tc>
          <w:tcPr>
            <w:tcW w:w="2409" w:type="dxa"/>
            <w:tcBorders>
              <w:top w:val="single" w:sz="4" w:space="0" w:color="auto"/>
              <w:left w:val="single" w:sz="4" w:space="0" w:color="auto"/>
              <w:bottom w:val="single" w:sz="4" w:space="0" w:color="auto"/>
              <w:right w:val="single" w:sz="4" w:space="0" w:color="auto"/>
            </w:tcBorders>
            <w:hideMark/>
          </w:tcPr>
          <w:p w14:paraId="458D4E99" w14:textId="77777777" w:rsidR="00A93FEC" w:rsidRPr="00F65F6F" w:rsidRDefault="00A93FEC" w:rsidP="00A07851">
            <w:pPr>
              <w:tabs>
                <w:tab w:val="left" w:pos="284"/>
                <w:tab w:val="left" w:pos="567"/>
              </w:tabs>
              <w:ind w:firstLine="0"/>
              <w:rPr>
                <w:rFonts w:eastAsia="Calibri" w:cs="Times New Roman"/>
                <w:szCs w:val="24"/>
              </w:rPr>
            </w:pPr>
            <w:r w:rsidRPr="00F65F6F">
              <w:rPr>
                <w:rFonts w:eastAsia="Calibri" w:cs="Times New Roman"/>
                <w:szCs w:val="24"/>
              </w:rPr>
              <w:t>Менее 0,5 мл/кг/час в течение 6-12 часов</w:t>
            </w:r>
          </w:p>
        </w:tc>
      </w:tr>
      <w:tr w:rsidR="00A93FEC" w:rsidRPr="00F65F6F" w14:paraId="3DC0CF1C" w14:textId="77777777" w:rsidTr="002D3EBF">
        <w:trPr>
          <w:trHeight w:val="557"/>
        </w:trPr>
        <w:tc>
          <w:tcPr>
            <w:tcW w:w="949" w:type="dxa"/>
            <w:tcBorders>
              <w:top w:val="single" w:sz="4" w:space="0" w:color="auto"/>
              <w:left w:val="single" w:sz="4" w:space="0" w:color="auto"/>
              <w:bottom w:val="single" w:sz="4" w:space="0" w:color="auto"/>
              <w:right w:val="single" w:sz="4" w:space="0" w:color="auto"/>
            </w:tcBorders>
            <w:hideMark/>
          </w:tcPr>
          <w:p w14:paraId="64A20743" w14:textId="77777777" w:rsidR="00A93FEC" w:rsidRPr="00F65F6F" w:rsidRDefault="00A93FEC" w:rsidP="00A07851">
            <w:pPr>
              <w:tabs>
                <w:tab w:val="left" w:pos="284"/>
                <w:tab w:val="left" w:pos="567"/>
              </w:tabs>
              <w:ind w:firstLine="0"/>
              <w:rPr>
                <w:rFonts w:eastAsia="Calibri" w:cs="Times New Roman"/>
                <w:szCs w:val="24"/>
              </w:rPr>
            </w:pPr>
            <w:r w:rsidRPr="00F65F6F">
              <w:rPr>
                <w:rFonts w:eastAsia="Calibri" w:cs="Times New Roman"/>
                <w:szCs w:val="24"/>
              </w:rPr>
              <w:t>2</w:t>
            </w:r>
          </w:p>
        </w:tc>
        <w:tc>
          <w:tcPr>
            <w:tcW w:w="5288" w:type="dxa"/>
            <w:tcBorders>
              <w:top w:val="single" w:sz="4" w:space="0" w:color="auto"/>
              <w:left w:val="single" w:sz="4" w:space="0" w:color="auto"/>
              <w:bottom w:val="single" w:sz="4" w:space="0" w:color="auto"/>
              <w:right w:val="single" w:sz="4" w:space="0" w:color="auto"/>
            </w:tcBorders>
            <w:hideMark/>
          </w:tcPr>
          <w:p w14:paraId="36FD7D7E" w14:textId="77777777" w:rsidR="00A93FEC" w:rsidRPr="00F65F6F" w:rsidRDefault="00A93FEC" w:rsidP="00A07851">
            <w:pPr>
              <w:tabs>
                <w:tab w:val="left" w:pos="284"/>
                <w:tab w:val="left" w:pos="567"/>
              </w:tabs>
              <w:ind w:firstLine="0"/>
              <w:rPr>
                <w:rFonts w:eastAsia="Calibri" w:cs="Times New Roman"/>
                <w:szCs w:val="24"/>
              </w:rPr>
            </w:pPr>
            <w:r w:rsidRPr="00F65F6F">
              <w:rPr>
                <w:rFonts w:eastAsia="Calibri" w:cs="Times New Roman"/>
                <w:szCs w:val="24"/>
              </w:rPr>
              <w:t>в 2,0-2,9 раза выше исходного в течение нескольких дней</w:t>
            </w:r>
          </w:p>
        </w:tc>
        <w:tc>
          <w:tcPr>
            <w:tcW w:w="2409" w:type="dxa"/>
            <w:tcBorders>
              <w:top w:val="single" w:sz="4" w:space="0" w:color="auto"/>
              <w:left w:val="single" w:sz="4" w:space="0" w:color="auto"/>
              <w:bottom w:val="single" w:sz="4" w:space="0" w:color="auto"/>
              <w:right w:val="single" w:sz="4" w:space="0" w:color="auto"/>
            </w:tcBorders>
            <w:hideMark/>
          </w:tcPr>
          <w:p w14:paraId="35C410AF" w14:textId="77777777" w:rsidR="00A93FEC" w:rsidRPr="00F65F6F" w:rsidRDefault="00A93FEC" w:rsidP="00A07851">
            <w:pPr>
              <w:tabs>
                <w:tab w:val="left" w:pos="284"/>
                <w:tab w:val="left" w:pos="567"/>
              </w:tabs>
              <w:ind w:firstLine="0"/>
              <w:rPr>
                <w:rFonts w:eastAsia="Calibri" w:cs="Times New Roman"/>
                <w:szCs w:val="24"/>
              </w:rPr>
            </w:pPr>
            <w:r w:rsidRPr="00F65F6F">
              <w:rPr>
                <w:rFonts w:eastAsia="Calibri" w:cs="Times New Roman"/>
                <w:szCs w:val="24"/>
              </w:rPr>
              <w:t>Менее 0,5 мл/кг/час в течение более 12 часов</w:t>
            </w:r>
          </w:p>
        </w:tc>
      </w:tr>
      <w:tr w:rsidR="00A93FEC" w:rsidRPr="00F65F6F" w14:paraId="3F89F3BD" w14:textId="77777777" w:rsidTr="002D3EBF">
        <w:tc>
          <w:tcPr>
            <w:tcW w:w="949" w:type="dxa"/>
            <w:tcBorders>
              <w:top w:val="single" w:sz="4" w:space="0" w:color="auto"/>
              <w:left w:val="single" w:sz="4" w:space="0" w:color="auto"/>
              <w:bottom w:val="single" w:sz="4" w:space="0" w:color="auto"/>
              <w:right w:val="single" w:sz="4" w:space="0" w:color="auto"/>
            </w:tcBorders>
            <w:hideMark/>
          </w:tcPr>
          <w:p w14:paraId="28D62E3B" w14:textId="77777777" w:rsidR="00A93FEC" w:rsidRPr="00F65F6F" w:rsidRDefault="00A93FEC" w:rsidP="00A07851">
            <w:pPr>
              <w:tabs>
                <w:tab w:val="left" w:pos="284"/>
                <w:tab w:val="left" w:pos="567"/>
              </w:tabs>
              <w:ind w:firstLine="0"/>
              <w:rPr>
                <w:rFonts w:eastAsia="Calibri" w:cs="Times New Roman"/>
                <w:szCs w:val="24"/>
              </w:rPr>
            </w:pPr>
            <w:r w:rsidRPr="00F65F6F">
              <w:rPr>
                <w:rFonts w:eastAsia="Calibri" w:cs="Times New Roman"/>
                <w:szCs w:val="24"/>
              </w:rPr>
              <w:t>3</w:t>
            </w:r>
          </w:p>
        </w:tc>
        <w:tc>
          <w:tcPr>
            <w:tcW w:w="5288" w:type="dxa"/>
            <w:tcBorders>
              <w:top w:val="single" w:sz="4" w:space="0" w:color="auto"/>
              <w:left w:val="single" w:sz="4" w:space="0" w:color="auto"/>
              <w:bottom w:val="single" w:sz="4" w:space="0" w:color="auto"/>
              <w:right w:val="single" w:sz="4" w:space="0" w:color="auto"/>
            </w:tcBorders>
            <w:hideMark/>
          </w:tcPr>
          <w:p w14:paraId="3BB844BB" w14:textId="77777777" w:rsidR="00A93FEC" w:rsidRPr="00F65F6F" w:rsidRDefault="00A93FEC" w:rsidP="00A07851">
            <w:pPr>
              <w:tabs>
                <w:tab w:val="left" w:pos="284"/>
                <w:tab w:val="left" w:pos="567"/>
              </w:tabs>
              <w:ind w:firstLine="0"/>
              <w:rPr>
                <w:rFonts w:eastAsia="Calibri" w:cs="Times New Roman"/>
                <w:szCs w:val="24"/>
              </w:rPr>
            </w:pPr>
            <w:r w:rsidRPr="00F65F6F">
              <w:rPr>
                <w:rFonts w:eastAsia="Calibri" w:cs="Times New Roman"/>
                <w:szCs w:val="24"/>
              </w:rPr>
              <w:t>в 3,0 раза выше исходного в течение нескольких дней</w:t>
            </w:r>
          </w:p>
          <w:p w14:paraId="273195B9" w14:textId="77777777" w:rsidR="00A93FEC" w:rsidRPr="00F65F6F" w:rsidRDefault="00A93FEC" w:rsidP="00A07851">
            <w:pPr>
              <w:tabs>
                <w:tab w:val="left" w:pos="284"/>
                <w:tab w:val="left" w:pos="567"/>
              </w:tabs>
              <w:ind w:firstLine="0"/>
              <w:rPr>
                <w:rFonts w:eastAsia="Calibri" w:cs="Times New Roman"/>
                <w:szCs w:val="24"/>
              </w:rPr>
            </w:pPr>
            <w:r w:rsidRPr="00F65F6F">
              <w:rPr>
                <w:rFonts w:eastAsia="Calibri" w:cs="Times New Roman"/>
                <w:szCs w:val="24"/>
              </w:rPr>
              <w:t>и более 354 мкмоль/л</w:t>
            </w:r>
          </w:p>
          <w:p w14:paraId="3449A13D" w14:textId="77777777" w:rsidR="00A93FEC" w:rsidRPr="00F65F6F" w:rsidRDefault="00A93FEC" w:rsidP="00A07851">
            <w:pPr>
              <w:tabs>
                <w:tab w:val="left" w:pos="284"/>
                <w:tab w:val="left" w:pos="567"/>
              </w:tabs>
              <w:ind w:firstLine="0"/>
              <w:rPr>
                <w:rFonts w:eastAsia="Calibri" w:cs="Times New Roman"/>
                <w:szCs w:val="24"/>
              </w:rPr>
            </w:pPr>
            <w:r w:rsidRPr="00F65F6F">
              <w:rPr>
                <w:rFonts w:eastAsia="Calibri" w:cs="Times New Roman"/>
                <w:szCs w:val="24"/>
              </w:rPr>
              <w:t>или</w:t>
            </w:r>
            <w:r w:rsidRPr="00F65F6F">
              <w:rPr>
                <w:rFonts w:eastAsia="Calibri" w:cs="Times New Roman"/>
                <w:szCs w:val="24"/>
                <w:vertAlign w:val="superscript"/>
              </w:rPr>
              <w:t xml:space="preserve"> </w:t>
            </w:r>
            <w:r w:rsidRPr="00F65F6F">
              <w:rPr>
                <w:rFonts w:eastAsia="Calibri" w:cs="Times New Roman"/>
                <w:szCs w:val="24"/>
              </w:rPr>
              <w:t>расчетная СКФ* стала менее 35 мл/мин//1,73 м</w:t>
            </w:r>
            <w:r w:rsidRPr="00F65F6F">
              <w:rPr>
                <w:rFonts w:eastAsia="Calibri" w:cs="Times New Roman"/>
                <w:szCs w:val="24"/>
                <w:vertAlign w:val="superscript"/>
              </w:rPr>
              <w:t>2</w:t>
            </w:r>
          </w:p>
        </w:tc>
        <w:tc>
          <w:tcPr>
            <w:tcW w:w="2409" w:type="dxa"/>
            <w:tcBorders>
              <w:top w:val="single" w:sz="4" w:space="0" w:color="auto"/>
              <w:left w:val="single" w:sz="4" w:space="0" w:color="auto"/>
              <w:bottom w:val="single" w:sz="4" w:space="0" w:color="auto"/>
              <w:right w:val="single" w:sz="4" w:space="0" w:color="auto"/>
            </w:tcBorders>
            <w:hideMark/>
          </w:tcPr>
          <w:p w14:paraId="07BB827F" w14:textId="77777777" w:rsidR="00A93FEC" w:rsidRPr="00F65F6F" w:rsidRDefault="00A93FEC" w:rsidP="00A07851">
            <w:pPr>
              <w:tabs>
                <w:tab w:val="left" w:pos="284"/>
                <w:tab w:val="left" w:pos="567"/>
              </w:tabs>
              <w:ind w:firstLine="0"/>
              <w:rPr>
                <w:rFonts w:eastAsia="Calibri" w:cs="Times New Roman"/>
                <w:szCs w:val="24"/>
              </w:rPr>
            </w:pPr>
            <w:r w:rsidRPr="00F65F6F">
              <w:rPr>
                <w:rFonts w:eastAsia="Calibri" w:cs="Times New Roman"/>
                <w:szCs w:val="24"/>
              </w:rPr>
              <w:t>Менее 0,3 мл/кг/час в течение суток и дольше</w:t>
            </w:r>
          </w:p>
        </w:tc>
      </w:tr>
    </w:tbl>
    <w:p w14:paraId="2A587CF1" w14:textId="77777777" w:rsidR="00A93FEC" w:rsidRPr="00F65F6F" w:rsidRDefault="00A93FEC" w:rsidP="00A93FEC">
      <w:pPr>
        <w:tabs>
          <w:tab w:val="left" w:pos="284"/>
          <w:tab w:val="left" w:pos="567"/>
        </w:tabs>
        <w:contextualSpacing/>
        <w:rPr>
          <w:rFonts w:eastAsia="Calibri" w:cs="Times New Roman"/>
          <w:szCs w:val="24"/>
        </w:rPr>
      </w:pPr>
      <w:r w:rsidRPr="00F65F6F">
        <w:rPr>
          <w:rFonts w:eastAsia="Calibri" w:cs="Times New Roman"/>
          <w:szCs w:val="24"/>
        </w:rPr>
        <w:tab/>
      </w:r>
      <w:r w:rsidRPr="00F65F6F">
        <w:rPr>
          <w:rFonts w:eastAsia="Calibri" w:cs="Times New Roman"/>
          <w:szCs w:val="24"/>
        </w:rPr>
        <w:tab/>
        <w:t>* СКФ – скорость клубочковой фильтрации</w:t>
      </w:r>
    </w:p>
    <w:p w14:paraId="1FBDF6E1" w14:textId="77777777" w:rsidR="00A93FEC" w:rsidRDefault="00A93FEC" w:rsidP="00A93FEC">
      <w:pPr>
        <w:tabs>
          <w:tab w:val="left" w:pos="284"/>
          <w:tab w:val="left" w:pos="567"/>
        </w:tabs>
        <w:contextualSpacing/>
        <w:rPr>
          <w:rFonts w:eastAsia="Calibri" w:cs="Times New Roman"/>
          <w:szCs w:val="24"/>
        </w:rPr>
      </w:pPr>
      <w:r w:rsidRPr="00F65F6F">
        <w:rPr>
          <w:rFonts w:eastAsia="Calibri" w:cs="Times New Roman"/>
          <w:szCs w:val="24"/>
        </w:rPr>
        <w:tab/>
      </w:r>
      <w:r w:rsidRPr="00F65F6F">
        <w:rPr>
          <w:rFonts w:eastAsia="Calibri" w:cs="Times New Roman"/>
          <w:szCs w:val="24"/>
        </w:rPr>
        <w:tab/>
      </w:r>
    </w:p>
    <w:p w14:paraId="55B4DA99" w14:textId="77777777" w:rsidR="00A93FEC" w:rsidRPr="00F65F6F" w:rsidRDefault="00A93FEC" w:rsidP="00A93FEC">
      <w:pPr>
        <w:tabs>
          <w:tab w:val="left" w:pos="284"/>
          <w:tab w:val="left" w:pos="567"/>
        </w:tabs>
        <w:contextualSpacing/>
        <w:rPr>
          <w:rFonts w:eastAsia="Calibri" w:cs="Times New Roman"/>
          <w:szCs w:val="24"/>
        </w:rPr>
      </w:pPr>
      <w:r w:rsidRPr="00F65F6F">
        <w:rPr>
          <w:rFonts w:eastAsia="Calibri" w:cs="Times New Roman"/>
          <w:szCs w:val="24"/>
        </w:rPr>
        <w:t xml:space="preserve">Хроническая болезнь почек (ХБП) – синдром, характеризующийся стойким уменьшением массы действующих нефронов или их повреждением и проявляющийся изменением состава мочи, альбуминурией и/или снижением скорости клубочковой фильтрации (СКФ, в норме составляет 100-120 мл/мин), которые сохраняются в течение 3 и более месяцев. Критерием диагноза ХБП является наличие любого из следующих маркеров повреждения почек: </w:t>
      </w:r>
    </w:p>
    <w:p w14:paraId="1632F6A7" w14:textId="77777777" w:rsidR="00A93FEC" w:rsidRPr="009332DB" w:rsidRDefault="00A93FEC" w:rsidP="00A93FEC">
      <w:pPr>
        <w:pStyle w:val="afe"/>
        <w:numPr>
          <w:ilvl w:val="0"/>
          <w:numId w:val="91"/>
        </w:numPr>
        <w:tabs>
          <w:tab w:val="left" w:pos="284"/>
          <w:tab w:val="left" w:pos="567"/>
        </w:tabs>
        <w:rPr>
          <w:rFonts w:eastAsia="Calibri" w:cs="Times New Roman"/>
          <w:szCs w:val="24"/>
        </w:rPr>
      </w:pPr>
      <w:r w:rsidRPr="009332DB">
        <w:rPr>
          <w:rFonts w:eastAsia="Calibri" w:cs="Times New Roman"/>
          <w:szCs w:val="24"/>
        </w:rPr>
        <w:t>необратимых структурных изменений, выявленных методами медицинской визуализации или при морфологическом исследовании почечного биоптата;</w:t>
      </w:r>
    </w:p>
    <w:p w14:paraId="3C2D1AB1" w14:textId="77777777" w:rsidR="00A93FEC" w:rsidRPr="009332DB" w:rsidRDefault="00A93FEC" w:rsidP="00A93FEC">
      <w:pPr>
        <w:pStyle w:val="afe"/>
        <w:numPr>
          <w:ilvl w:val="0"/>
          <w:numId w:val="91"/>
        </w:numPr>
        <w:tabs>
          <w:tab w:val="left" w:pos="284"/>
          <w:tab w:val="left" w:pos="567"/>
        </w:tabs>
        <w:rPr>
          <w:rFonts w:eastAsia="Calibri" w:cs="Times New Roman"/>
          <w:szCs w:val="24"/>
        </w:rPr>
      </w:pPr>
      <w:r w:rsidRPr="009332DB">
        <w:rPr>
          <w:rFonts w:eastAsia="Calibri" w:cs="Times New Roman"/>
          <w:szCs w:val="24"/>
        </w:rPr>
        <w:t>выраженного изменения состава мочи или альбуминурии (более 30 мг/сут.), сохраняющихся при повторных исследованиях в течение не менее 3 мес.;</w:t>
      </w:r>
    </w:p>
    <w:p w14:paraId="2965D0B8" w14:textId="77777777" w:rsidR="00A93FEC" w:rsidRPr="009332DB" w:rsidRDefault="00A93FEC" w:rsidP="00A93FEC">
      <w:pPr>
        <w:pStyle w:val="afe"/>
        <w:numPr>
          <w:ilvl w:val="0"/>
          <w:numId w:val="91"/>
        </w:numPr>
        <w:tabs>
          <w:tab w:val="left" w:pos="284"/>
          <w:tab w:val="left" w:pos="567"/>
        </w:tabs>
        <w:rPr>
          <w:rFonts w:eastAsia="Calibri" w:cs="Times New Roman"/>
          <w:szCs w:val="24"/>
        </w:rPr>
      </w:pPr>
      <w:r w:rsidRPr="009332DB">
        <w:rPr>
          <w:rFonts w:eastAsia="Calibri" w:cs="Times New Roman"/>
          <w:szCs w:val="24"/>
        </w:rPr>
        <w:t>стойкого снижения СКФ до уровня менее 60 мл/мин./1,73 м</w:t>
      </w:r>
      <w:r w:rsidRPr="009332DB">
        <w:rPr>
          <w:rFonts w:eastAsia="Calibri" w:cs="Times New Roman"/>
          <w:szCs w:val="24"/>
          <w:vertAlign w:val="superscript"/>
        </w:rPr>
        <w:t>2</w:t>
      </w:r>
      <w:r w:rsidRPr="009332DB">
        <w:rPr>
          <w:rFonts w:eastAsia="Calibri" w:cs="Times New Roman"/>
          <w:szCs w:val="24"/>
        </w:rPr>
        <w:t xml:space="preserve"> (таб.3).</w:t>
      </w:r>
    </w:p>
    <w:p w14:paraId="4204E335" w14:textId="77777777" w:rsidR="00A93FEC" w:rsidRPr="009332DB" w:rsidRDefault="00A93FEC" w:rsidP="00A93FEC">
      <w:pPr>
        <w:tabs>
          <w:tab w:val="left" w:pos="284"/>
          <w:tab w:val="left" w:pos="567"/>
        </w:tabs>
        <w:rPr>
          <w:rFonts w:eastAsia="Calibri" w:cs="Times New Roman"/>
          <w:szCs w:val="24"/>
        </w:rPr>
      </w:pPr>
    </w:p>
    <w:p w14:paraId="508D4337" w14:textId="77777777" w:rsidR="00A93FEC" w:rsidRPr="00F65F6F" w:rsidRDefault="00A93FEC" w:rsidP="00A93FEC">
      <w:pPr>
        <w:tabs>
          <w:tab w:val="left" w:pos="284"/>
          <w:tab w:val="left" w:pos="567"/>
        </w:tabs>
        <w:ind w:left="708"/>
        <w:rPr>
          <w:rFonts w:eastAsia="Calibri" w:cs="Times New Roman"/>
          <w:szCs w:val="24"/>
        </w:rPr>
      </w:pPr>
      <w:r w:rsidRPr="009332DB">
        <w:rPr>
          <w:rFonts w:eastAsia="Calibri" w:cs="Times New Roman"/>
          <w:szCs w:val="24"/>
        </w:rPr>
        <w:t>Таблица 3. Стадии хронической болезни почек в зависимости от величины скорости клубочковой фильтрации (СКФ).</w:t>
      </w:r>
    </w:p>
    <w:tbl>
      <w:tblPr>
        <w:tblW w:w="822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3969"/>
        <w:gridCol w:w="1701"/>
      </w:tblGrid>
      <w:tr w:rsidR="00A93FEC" w:rsidRPr="00F65F6F" w14:paraId="2BAB8AD4" w14:textId="77777777" w:rsidTr="002D3EBF">
        <w:tc>
          <w:tcPr>
            <w:tcW w:w="2552" w:type="dxa"/>
            <w:tcBorders>
              <w:top w:val="single" w:sz="4" w:space="0" w:color="auto"/>
              <w:left w:val="single" w:sz="4" w:space="0" w:color="auto"/>
              <w:bottom w:val="single" w:sz="4" w:space="0" w:color="auto"/>
              <w:right w:val="single" w:sz="4" w:space="0" w:color="auto"/>
            </w:tcBorders>
            <w:hideMark/>
          </w:tcPr>
          <w:p w14:paraId="56588273" w14:textId="77777777" w:rsidR="00A93FEC" w:rsidRPr="00F65F6F" w:rsidRDefault="00A93FEC" w:rsidP="00A07851">
            <w:pPr>
              <w:tabs>
                <w:tab w:val="left" w:pos="284"/>
                <w:tab w:val="left" w:pos="567"/>
              </w:tabs>
              <w:ind w:firstLine="0"/>
              <w:rPr>
                <w:rFonts w:eastAsia="Calibri" w:cs="Times New Roman"/>
                <w:szCs w:val="24"/>
              </w:rPr>
            </w:pPr>
            <w:r w:rsidRPr="00F65F6F">
              <w:rPr>
                <w:rFonts w:eastAsia="Calibri" w:cs="Times New Roman"/>
                <w:szCs w:val="24"/>
              </w:rPr>
              <w:t>СКФ, мл/мин./1,73 м</w:t>
            </w:r>
            <w:r w:rsidRPr="00F65F6F">
              <w:rPr>
                <w:rFonts w:eastAsia="Calibri" w:cs="Times New Roman"/>
                <w:szCs w:val="24"/>
                <w:vertAlign w:val="superscript"/>
              </w:rPr>
              <w:t>2</w:t>
            </w:r>
          </w:p>
        </w:tc>
        <w:tc>
          <w:tcPr>
            <w:tcW w:w="3969" w:type="dxa"/>
            <w:tcBorders>
              <w:top w:val="single" w:sz="4" w:space="0" w:color="auto"/>
              <w:left w:val="single" w:sz="4" w:space="0" w:color="auto"/>
              <w:bottom w:val="single" w:sz="4" w:space="0" w:color="auto"/>
              <w:right w:val="single" w:sz="4" w:space="0" w:color="auto"/>
            </w:tcBorders>
            <w:hideMark/>
          </w:tcPr>
          <w:p w14:paraId="1C915E14" w14:textId="77777777" w:rsidR="00A93FEC" w:rsidRPr="00F65F6F" w:rsidRDefault="00A93FEC" w:rsidP="00A07851">
            <w:pPr>
              <w:tabs>
                <w:tab w:val="left" w:pos="284"/>
                <w:tab w:val="left" w:pos="567"/>
              </w:tabs>
              <w:ind w:firstLine="0"/>
              <w:rPr>
                <w:rFonts w:eastAsia="Calibri" w:cs="Times New Roman"/>
                <w:szCs w:val="24"/>
              </w:rPr>
            </w:pPr>
            <w:r w:rsidRPr="00F65F6F">
              <w:rPr>
                <w:rFonts w:eastAsia="Calibri" w:cs="Times New Roman"/>
                <w:szCs w:val="24"/>
              </w:rPr>
              <w:t>Мочевой синдром или изолированная альбуминурия</w:t>
            </w:r>
          </w:p>
        </w:tc>
        <w:tc>
          <w:tcPr>
            <w:tcW w:w="1701" w:type="dxa"/>
            <w:tcBorders>
              <w:top w:val="single" w:sz="4" w:space="0" w:color="auto"/>
              <w:left w:val="single" w:sz="4" w:space="0" w:color="auto"/>
              <w:bottom w:val="single" w:sz="4" w:space="0" w:color="auto"/>
              <w:right w:val="single" w:sz="4" w:space="0" w:color="auto"/>
            </w:tcBorders>
            <w:hideMark/>
          </w:tcPr>
          <w:p w14:paraId="0FD2F91D" w14:textId="77777777" w:rsidR="00A93FEC" w:rsidRPr="00F65F6F" w:rsidRDefault="00A93FEC" w:rsidP="00A07851">
            <w:pPr>
              <w:tabs>
                <w:tab w:val="left" w:pos="284"/>
                <w:tab w:val="left" w:pos="567"/>
              </w:tabs>
              <w:ind w:firstLine="0"/>
              <w:rPr>
                <w:rFonts w:eastAsia="Calibri" w:cs="Times New Roman"/>
                <w:szCs w:val="24"/>
              </w:rPr>
            </w:pPr>
            <w:r w:rsidRPr="00F65F6F">
              <w:rPr>
                <w:rFonts w:eastAsia="Calibri" w:cs="Times New Roman"/>
                <w:szCs w:val="24"/>
              </w:rPr>
              <w:t>Стадия ХБП</w:t>
            </w:r>
          </w:p>
        </w:tc>
      </w:tr>
      <w:tr w:rsidR="00A93FEC" w:rsidRPr="00F65F6F" w14:paraId="166F0C90" w14:textId="77777777" w:rsidTr="002D3EBF">
        <w:tc>
          <w:tcPr>
            <w:tcW w:w="2552" w:type="dxa"/>
            <w:tcBorders>
              <w:top w:val="single" w:sz="4" w:space="0" w:color="auto"/>
              <w:left w:val="single" w:sz="4" w:space="0" w:color="auto"/>
              <w:bottom w:val="single" w:sz="4" w:space="0" w:color="auto"/>
              <w:right w:val="single" w:sz="4" w:space="0" w:color="auto"/>
            </w:tcBorders>
            <w:hideMark/>
          </w:tcPr>
          <w:p w14:paraId="6EF9B0D1" w14:textId="77777777" w:rsidR="00A93FEC" w:rsidRPr="00F65F6F" w:rsidRDefault="00A93FEC" w:rsidP="00A07851">
            <w:pPr>
              <w:tabs>
                <w:tab w:val="left" w:pos="284"/>
                <w:tab w:val="left" w:pos="567"/>
              </w:tabs>
              <w:ind w:firstLine="0"/>
              <w:rPr>
                <w:rFonts w:eastAsia="Calibri" w:cs="Times New Roman"/>
                <w:szCs w:val="24"/>
              </w:rPr>
            </w:pPr>
            <w:r w:rsidRPr="00F65F6F">
              <w:rPr>
                <w:rFonts w:eastAsia="Calibri" w:cs="Times New Roman"/>
                <w:szCs w:val="24"/>
              </w:rPr>
              <w:t>Выше 90</w:t>
            </w:r>
          </w:p>
        </w:tc>
        <w:tc>
          <w:tcPr>
            <w:tcW w:w="3969" w:type="dxa"/>
            <w:tcBorders>
              <w:top w:val="single" w:sz="4" w:space="0" w:color="auto"/>
              <w:left w:val="single" w:sz="4" w:space="0" w:color="auto"/>
              <w:bottom w:val="single" w:sz="4" w:space="0" w:color="auto"/>
              <w:right w:val="single" w:sz="4" w:space="0" w:color="auto"/>
            </w:tcBorders>
            <w:hideMark/>
          </w:tcPr>
          <w:p w14:paraId="7C013EE7" w14:textId="77777777" w:rsidR="00A93FEC" w:rsidRPr="00F65F6F" w:rsidRDefault="00A93FEC" w:rsidP="00A07851">
            <w:pPr>
              <w:tabs>
                <w:tab w:val="left" w:pos="284"/>
                <w:tab w:val="left" w:pos="567"/>
              </w:tabs>
              <w:ind w:firstLine="0"/>
              <w:rPr>
                <w:rFonts w:eastAsia="Calibri" w:cs="Times New Roman"/>
                <w:szCs w:val="24"/>
              </w:rPr>
            </w:pPr>
            <w:r w:rsidRPr="00F65F6F">
              <w:rPr>
                <w:rFonts w:eastAsia="Calibri" w:cs="Times New Roman"/>
                <w:szCs w:val="24"/>
              </w:rPr>
              <w:t>Есть</w:t>
            </w:r>
          </w:p>
        </w:tc>
        <w:tc>
          <w:tcPr>
            <w:tcW w:w="1701" w:type="dxa"/>
            <w:tcBorders>
              <w:top w:val="single" w:sz="4" w:space="0" w:color="auto"/>
              <w:left w:val="single" w:sz="4" w:space="0" w:color="auto"/>
              <w:bottom w:val="single" w:sz="4" w:space="0" w:color="auto"/>
              <w:right w:val="single" w:sz="4" w:space="0" w:color="auto"/>
            </w:tcBorders>
            <w:hideMark/>
          </w:tcPr>
          <w:p w14:paraId="56D72338" w14:textId="77777777" w:rsidR="00A93FEC" w:rsidRPr="00F65F6F" w:rsidRDefault="00A93FEC" w:rsidP="00A07851">
            <w:pPr>
              <w:tabs>
                <w:tab w:val="left" w:pos="284"/>
                <w:tab w:val="left" w:pos="567"/>
              </w:tabs>
              <w:ind w:firstLine="0"/>
              <w:rPr>
                <w:rFonts w:eastAsia="Calibri" w:cs="Times New Roman"/>
                <w:szCs w:val="24"/>
              </w:rPr>
            </w:pPr>
            <w:r w:rsidRPr="00F65F6F">
              <w:rPr>
                <w:rFonts w:eastAsia="Calibri" w:cs="Times New Roman"/>
                <w:szCs w:val="24"/>
              </w:rPr>
              <w:t>1</w:t>
            </w:r>
          </w:p>
        </w:tc>
      </w:tr>
      <w:tr w:rsidR="00A93FEC" w:rsidRPr="00F65F6F" w14:paraId="4EF6DE32" w14:textId="77777777" w:rsidTr="002D3EBF">
        <w:tc>
          <w:tcPr>
            <w:tcW w:w="2552" w:type="dxa"/>
            <w:tcBorders>
              <w:top w:val="single" w:sz="4" w:space="0" w:color="auto"/>
              <w:left w:val="single" w:sz="4" w:space="0" w:color="auto"/>
              <w:bottom w:val="single" w:sz="4" w:space="0" w:color="auto"/>
              <w:right w:val="single" w:sz="4" w:space="0" w:color="auto"/>
            </w:tcBorders>
            <w:hideMark/>
          </w:tcPr>
          <w:p w14:paraId="3D41B566" w14:textId="77777777" w:rsidR="00A93FEC" w:rsidRPr="00F65F6F" w:rsidRDefault="00A93FEC" w:rsidP="00A07851">
            <w:pPr>
              <w:tabs>
                <w:tab w:val="left" w:pos="284"/>
                <w:tab w:val="left" w:pos="567"/>
              </w:tabs>
              <w:ind w:firstLine="0"/>
              <w:rPr>
                <w:rFonts w:eastAsia="Calibri" w:cs="Times New Roman"/>
                <w:szCs w:val="24"/>
              </w:rPr>
            </w:pPr>
            <w:r w:rsidRPr="00F65F6F">
              <w:rPr>
                <w:rFonts w:eastAsia="Calibri" w:cs="Times New Roman"/>
                <w:szCs w:val="24"/>
              </w:rPr>
              <w:t>60-89</w:t>
            </w:r>
          </w:p>
        </w:tc>
        <w:tc>
          <w:tcPr>
            <w:tcW w:w="3969" w:type="dxa"/>
            <w:tcBorders>
              <w:top w:val="single" w:sz="4" w:space="0" w:color="auto"/>
              <w:left w:val="single" w:sz="4" w:space="0" w:color="auto"/>
              <w:bottom w:val="single" w:sz="4" w:space="0" w:color="auto"/>
              <w:right w:val="single" w:sz="4" w:space="0" w:color="auto"/>
            </w:tcBorders>
            <w:hideMark/>
          </w:tcPr>
          <w:p w14:paraId="1CD8CFAA" w14:textId="77777777" w:rsidR="00A93FEC" w:rsidRPr="00F65F6F" w:rsidRDefault="00A93FEC" w:rsidP="00A07851">
            <w:pPr>
              <w:tabs>
                <w:tab w:val="left" w:pos="284"/>
                <w:tab w:val="left" w:pos="567"/>
              </w:tabs>
              <w:ind w:firstLine="0"/>
              <w:rPr>
                <w:rFonts w:eastAsia="Calibri" w:cs="Times New Roman"/>
                <w:szCs w:val="24"/>
              </w:rPr>
            </w:pPr>
            <w:r w:rsidRPr="00F65F6F">
              <w:rPr>
                <w:rFonts w:eastAsia="Calibri" w:cs="Times New Roman"/>
                <w:szCs w:val="24"/>
              </w:rPr>
              <w:t>Есть</w:t>
            </w:r>
          </w:p>
        </w:tc>
        <w:tc>
          <w:tcPr>
            <w:tcW w:w="1701" w:type="dxa"/>
            <w:tcBorders>
              <w:top w:val="single" w:sz="4" w:space="0" w:color="auto"/>
              <w:left w:val="single" w:sz="4" w:space="0" w:color="auto"/>
              <w:bottom w:val="single" w:sz="4" w:space="0" w:color="auto"/>
              <w:right w:val="single" w:sz="4" w:space="0" w:color="auto"/>
            </w:tcBorders>
            <w:hideMark/>
          </w:tcPr>
          <w:p w14:paraId="44A37CC8" w14:textId="77777777" w:rsidR="00A93FEC" w:rsidRPr="00F65F6F" w:rsidRDefault="00A93FEC" w:rsidP="00A07851">
            <w:pPr>
              <w:tabs>
                <w:tab w:val="left" w:pos="284"/>
                <w:tab w:val="left" w:pos="567"/>
              </w:tabs>
              <w:ind w:firstLine="0"/>
              <w:rPr>
                <w:rFonts w:eastAsia="Calibri" w:cs="Times New Roman"/>
                <w:szCs w:val="24"/>
              </w:rPr>
            </w:pPr>
            <w:r w:rsidRPr="00F65F6F">
              <w:rPr>
                <w:rFonts w:eastAsia="Calibri" w:cs="Times New Roman"/>
                <w:szCs w:val="24"/>
              </w:rPr>
              <w:t>2</w:t>
            </w:r>
          </w:p>
        </w:tc>
      </w:tr>
      <w:tr w:rsidR="00A93FEC" w:rsidRPr="00F65F6F" w14:paraId="48448FC7" w14:textId="77777777" w:rsidTr="002D3EBF">
        <w:tc>
          <w:tcPr>
            <w:tcW w:w="2552" w:type="dxa"/>
            <w:tcBorders>
              <w:top w:val="single" w:sz="4" w:space="0" w:color="auto"/>
              <w:left w:val="single" w:sz="4" w:space="0" w:color="auto"/>
              <w:bottom w:val="single" w:sz="4" w:space="0" w:color="auto"/>
              <w:right w:val="single" w:sz="4" w:space="0" w:color="auto"/>
            </w:tcBorders>
            <w:hideMark/>
          </w:tcPr>
          <w:p w14:paraId="6FB70053" w14:textId="77777777" w:rsidR="00A93FEC" w:rsidRPr="00F65F6F" w:rsidRDefault="00A93FEC" w:rsidP="00A07851">
            <w:pPr>
              <w:tabs>
                <w:tab w:val="left" w:pos="284"/>
                <w:tab w:val="left" w:pos="567"/>
              </w:tabs>
              <w:ind w:firstLine="0"/>
              <w:rPr>
                <w:rFonts w:eastAsia="Calibri" w:cs="Times New Roman"/>
                <w:szCs w:val="24"/>
              </w:rPr>
            </w:pPr>
            <w:r w:rsidRPr="00F65F6F">
              <w:rPr>
                <w:rFonts w:eastAsia="Calibri" w:cs="Times New Roman"/>
                <w:szCs w:val="24"/>
              </w:rPr>
              <w:t>45-59</w:t>
            </w:r>
          </w:p>
        </w:tc>
        <w:tc>
          <w:tcPr>
            <w:tcW w:w="3969" w:type="dxa"/>
            <w:tcBorders>
              <w:top w:val="single" w:sz="4" w:space="0" w:color="auto"/>
              <w:left w:val="single" w:sz="4" w:space="0" w:color="auto"/>
              <w:bottom w:val="single" w:sz="4" w:space="0" w:color="auto"/>
              <w:right w:val="single" w:sz="4" w:space="0" w:color="auto"/>
            </w:tcBorders>
            <w:hideMark/>
          </w:tcPr>
          <w:p w14:paraId="5A945A06" w14:textId="77777777" w:rsidR="00A93FEC" w:rsidRPr="00F65F6F" w:rsidRDefault="00A93FEC" w:rsidP="00A07851">
            <w:pPr>
              <w:tabs>
                <w:tab w:val="left" w:pos="284"/>
                <w:tab w:val="left" w:pos="567"/>
              </w:tabs>
              <w:ind w:firstLine="0"/>
              <w:rPr>
                <w:rFonts w:eastAsia="Calibri" w:cs="Times New Roman"/>
                <w:szCs w:val="24"/>
              </w:rPr>
            </w:pPr>
            <w:r w:rsidRPr="00F65F6F">
              <w:rPr>
                <w:rFonts w:eastAsia="Calibri" w:cs="Times New Roman"/>
                <w:szCs w:val="24"/>
              </w:rPr>
              <w:t>Не обязательно</w:t>
            </w:r>
          </w:p>
        </w:tc>
        <w:tc>
          <w:tcPr>
            <w:tcW w:w="1701" w:type="dxa"/>
            <w:tcBorders>
              <w:top w:val="single" w:sz="4" w:space="0" w:color="auto"/>
              <w:left w:val="single" w:sz="4" w:space="0" w:color="auto"/>
              <w:bottom w:val="single" w:sz="4" w:space="0" w:color="auto"/>
              <w:right w:val="single" w:sz="4" w:space="0" w:color="auto"/>
            </w:tcBorders>
            <w:hideMark/>
          </w:tcPr>
          <w:p w14:paraId="084E8B59" w14:textId="77777777" w:rsidR="00A93FEC" w:rsidRPr="00F65F6F" w:rsidRDefault="00A93FEC" w:rsidP="00A07851">
            <w:pPr>
              <w:tabs>
                <w:tab w:val="left" w:pos="284"/>
                <w:tab w:val="left" w:pos="567"/>
              </w:tabs>
              <w:ind w:firstLine="0"/>
              <w:rPr>
                <w:rFonts w:eastAsia="Calibri" w:cs="Times New Roman"/>
                <w:szCs w:val="24"/>
              </w:rPr>
            </w:pPr>
            <w:r w:rsidRPr="00F65F6F">
              <w:rPr>
                <w:rFonts w:eastAsia="Calibri" w:cs="Times New Roman"/>
                <w:szCs w:val="24"/>
              </w:rPr>
              <w:t>3а</w:t>
            </w:r>
          </w:p>
        </w:tc>
      </w:tr>
      <w:tr w:rsidR="00A93FEC" w:rsidRPr="00F65F6F" w14:paraId="05218604" w14:textId="77777777" w:rsidTr="002D3EBF">
        <w:tc>
          <w:tcPr>
            <w:tcW w:w="2552" w:type="dxa"/>
            <w:tcBorders>
              <w:top w:val="single" w:sz="4" w:space="0" w:color="auto"/>
              <w:left w:val="single" w:sz="4" w:space="0" w:color="auto"/>
              <w:bottom w:val="single" w:sz="4" w:space="0" w:color="auto"/>
              <w:right w:val="single" w:sz="4" w:space="0" w:color="auto"/>
            </w:tcBorders>
            <w:hideMark/>
          </w:tcPr>
          <w:p w14:paraId="094C92D9" w14:textId="77777777" w:rsidR="00A93FEC" w:rsidRPr="00F65F6F" w:rsidRDefault="00A93FEC" w:rsidP="00A07851">
            <w:pPr>
              <w:tabs>
                <w:tab w:val="left" w:pos="284"/>
                <w:tab w:val="left" w:pos="567"/>
              </w:tabs>
              <w:ind w:firstLine="0"/>
              <w:rPr>
                <w:rFonts w:eastAsia="Calibri" w:cs="Times New Roman"/>
                <w:szCs w:val="24"/>
              </w:rPr>
            </w:pPr>
            <w:r w:rsidRPr="00F65F6F">
              <w:rPr>
                <w:rFonts w:eastAsia="Calibri" w:cs="Times New Roman"/>
                <w:szCs w:val="24"/>
              </w:rPr>
              <w:t>30-44</w:t>
            </w:r>
          </w:p>
        </w:tc>
        <w:tc>
          <w:tcPr>
            <w:tcW w:w="3969" w:type="dxa"/>
            <w:tcBorders>
              <w:top w:val="single" w:sz="4" w:space="0" w:color="auto"/>
              <w:left w:val="single" w:sz="4" w:space="0" w:color="auto"/>
              <w:bottom w:val="single" w:sz="4" w:space="0" w:color="auto"/>
              <w:right w:val="single" w:sz="4" w:space="0" w:color="auto"/>
            </w:tcBorders>
            <w:hideMark/>
          </w:tcPr>
          <w:p w14:paraId="59AA423B" w14:textId="77777777" w:rsidR="00A93FEC" w:rsidRPr="00F65F6F" w:rsidRDefault="00A93FEC" w:rsidP="00A07851">
            <w:pPr>
              <w:tabs>
                <w:tab w:val="left" w:pos="284"/>
                <w:tab w:val="left" w:pos="567"/>
              </w:tabs>
              <w:ind w:firstLine="0"/>
              <w:rPr>
                <w:rFonts w:eastAsia="Calibri" w:cs="Times New Roman"/>
                <w:szCs w:val="24"/>
              </w:rPr>
            </w:pPr>
            <w:r w:rsidRPr="00F65F6F">
              <w:rPr>
                <w:rFonts w:eastAsia="Calibri" w:cs="Times New Roman"/>
                <w:szCs w:val="24"/>
              </w:rPr>
              <w:t>Не обязательно</w:t>
            </w:r>
          </w:p>
        </w:tc>
        <w:tc>
          <w:tcPr>
            <w:tcW w:w="1701" w:type="dxa"/>
            <w:tcBorders>
              <w:top w:val="single" w:sz="4" w:space="0" w:color="auto"/>
              <w:left w:val="single" w:sz="4" w:space="0" w:color="auto"/>
              <w:bottom w:val="single" w:sz="4" w:space="0" w:color="auto"/>
              <w:right w:val="single" w:sz="4" w:space="0" w:color="auto"/>
            </w:tcBorders>
            <w:hideMark/>
          </w:tcPr>
          <w:p w14:paraId="73BBC27F" w14:textId="77777777" w:rsidR="00A93FEC" w:rsidRPr="00F65F6F" w:rsidRDefault="00A93FEC" w:rsidP="00A07851">
            <w:pPr>
              <w:tabs>
                <w:tab w:val="left" w:pos="284"/>
                <w:tab w:val="left" w:pos="567"/>
              </w:tabs>
              <w:ind w:firstLine="0"/>
              <w:rPr>
                <w:rFonts w:eastAsia="Calibri" w:cs="Times New Roman"/>
                <w:szCs w:val="24"/>
              </w:rPr>
            </w:pPr>
            <w:r w:rsidRPr="00F65F6F">
              <w:rPr>
                <w:rFonts w:eastAsia="Calibri" w:cs="Times New Roman"/>
                <w:szCs w:val="24"/>
              </w:rPr>
              <w:t>3б</w:t>
            </w:r>
          </w:p>
        </w:tc>
      </w:tr>
      <w:tr w:rsidR="00A93FEC" w:rsidRPr="00F65F6F" w14:paraId="2F4FB18C" w14:textId="77777777" w:rsidTr="002D3EBF">
        <w:tc>
          <w:tcPr>
            <w:tcW w:w="2552" w:type="dxa"/>
            <w:tcBorders>
              <w:top w:val="single" w:sz="4" w:space="0" w:color="auto"/>
              <w:left w:val="single" w:sz="4" w:space="0" w:color="auto"/>
              <w:bottom w:val="single" w:sz="4" w:space="0" w:color="auto"/>
              <w:right w:val="single" w:sz="4" w:space="0" w:color="auto"/>
            </w:tcBorders>
            <w:hideMark/>
          </w:tcPr>
          <w:p w14:paraId="721EEEF0" w14:textId="77777777" w:rsidR="00A93FEC" w:rsidRPr="00F65F6F" w:rsidRDefault="00A93FEC" w:rsidP="00A07851">
            <w:pPr>
              <w:tabs>
                <w:tab w:val="left" w:pos="284"/>
                <w:tab w:val="left" w:pos="567"/>
              </w:tabs>
              <w:ind w:firstLine="0"/>
              <w:rPr>
                <w:rFonts w:eastAsia="Calibri" w:cs="Times New Roman"/>
                <w:szCs w:val="24"/>
              </w:rPr>
            </w:pPr>
            <w:r w:rsidRPr="00F65F6F">
              <w:rPr>
                <w:rFonts w:eastAsia="Calibri" w:cs="Times New Roman"/>
                <w:szCs w:val="24"/>
              </w:rPr>
              <w:t>15-29</w:t>
            </w:r>
          </w:p>
        </w:tc>
        <w:tc>
          <w:tcPr>
            <w:tcW w:w="3969" w:type="dxa"/>
            <w:tcBorders>
              <w:top w:val="single" w:sz="4" w:space="0" w:color="auto"/>
              <w:left w:val="single" w:sz="4" w:space="0" w:color="auto"/>
              <w:bottom w:val="single" w:sz="4" w:space="0" w:color="auto"/>
              <w:right w:val="single" w:sz="4" w:space="0" w:color="auto"/>
            </w:tcBorders>
            <w:hideMark/>
          </w:tcPr>
          <w:p w14:paraId="27C162D4" w14:textId="77777777" w:rsidR="00A93FEC" w:rsidRPr="00F65F6F" w:rsidRDefault="00A93FEC" w:rsidP="00A07851">
            <w:pPr>
              <w:tabs>
                <w:tab w:val="left" w:pos="284"/>
                <w:tab w:val="left" w:pos="567"/>
              </w:tabs>
              <w:ind w:firstLine="0"/>
              <w:rPr>
                <w:rFonts w:eastAsia="Calibri" w:cs="Times New Roman"/>
                <w:szCs w:val="24"/>
              </w:rPr>
            </w:pPr>
            <w:r w:rsidRPr="00F65F6F">
              <w:rPr>
                <w:rFonts w:eastAsia="Calibri" w:cs="Times New Roman"/>
                <w:szCs w:val="24"/>
              </w:rPr>
              <w:t>Не обязательно</w:t>
            </w:r>
          </w:p>
        </w:tc>
        <w:tc>
          <w:tcPr>
            <w:tcW w:w="1701" w:type="dxa"/>
            <w:tcBorders>
              <w:top w:val="single" w:sz="4" w:space="0" w:color="auto"/>
              <w:left w:val="single" w:sz="4" w:space="0" w:color="auto"/>
              <w:bottom w:val="single" w:sz="4" w:space="0" w:color="auto"/>
              <w:right w:val="single" w:sz="4" w:space="0" w:color="auto"/>
            </w:tcBorders>
            <w:hideMark/>
          </w:tcPr>
          <w:p w14:paraId="40F91963" w14:textId="77777777" w:rsidR="00A93FEC" w:rsidRPr="00F65F6F" w:rsidRDefault="00A93FEC" w:rsidP="00A07851">
            <w:pPr>
              <w:tabs>
                <w:tab w:val="left" w:pos="284"/>
                <w:tab w:val="left" w:pos="567"/>
              </w:tabs>
              <w:ind w:firstLine="0"/>
              <w:rPr>
                <w:rFonts w:eastAsia="Calibri" w:cs="Times New Roman"/>
                <w:szCs w:val="24"/>
              </w:rPr>
            </w:pPr>
            <w:r w:rsidRPr="00F65F6F">
              <w:rPr>
                <w:rFonts w:eastAsia="Calibri" w:cs="Times New Roman"/>
                <w:szCs w:val="24"/>
              </w:rPr>
              <w:t>4</w:t>
            </w:r>
          </w:p>
        </w:tc>
      </w:tr>
      <w:tr w:rsidR="00A93FEC" w:rsidRPr="00F65F6F" w14:paraId="01EAA70D" w14:textId="77777777" w:rsidTr="002D3EBF">
        <w:tc>
          <w:tcPr>
            <w:tcW w:w="2552" w:type="dxa"/>
            <w:tcBorders>
              <w:top w:val="single" w:sz="4" w:space="0" w:color="auto"/>
              <w:left w:val="single" w:sz="4" w:space="0" w:color="auto"/>
              <w:bottom w:val="single" w:sz="4" w:space="0" w:color="auto"/>
              <w:right w:val="single" w:sz="4" w:space="0" w:color="auto"/>
            </w:tcBorders>
            <w:hideMark/>
          </w:tcPr>
          <w:p w14:paraId="1F5B25BF" w14:textId="77777777" w:rsidR="00A93FEC" w:rsidRPr="00F65F6F" w:rsidRDefault="00A93FEC" w:rsidP="00A07851">
            <w:pPr>
              <w:tabs>
                <w:tab w:val="left" w:pos="284"/>
                <w:tab w:val="left" w:pos="567"/>
              </w:tabs>
              <w:ind w:firstLine="0"/>
              <w:rPr>
                <w:rFonts w:eastAsia="Calibri" w:cs="Times New Roman"/>
                <w:szCs w:val="24"/>
              </w:rPr>
            </w:pPr>
            <w:r w:rsidRPr="00F65F6F">
              <w:rPr>
                <w:rFonts w:eastAsia="Calibri" w:cs="Times New Roman"/>
                <w:szCs w:val="24"/>
              </w:rPr>
              <w:t>Ниже 15</w:t>
            </w:r>
          </w:p>
        </w:tc>
        <w:tc>
          <w:tcPr>
            <w:tcW w:w="3969" w:type="dxa"/>
            <w:tcBorders>
              <w:top w:val="single" w:sz="4" w:space="0" w:color="auto"/>
              <w:left w:val="single" w:sz="4" w:space="0" w:color="auto"/>
              <w:bottom w:val="single" w:sz="4" w:space="0" w:color="auto"/>
              <w:right w:val="single" w:sz="4" w:space="0" w:color="auto"/>
            </w:tcBorders>
            <w:hideMark/>
          </w:tcPr>
          <w:p w14:paraId="06C3DAB8" w14:textId="77777777" w:rsidR="00A93FEC" w:rsidRPr="00F65F6F" w:rsidRDefault="00A93FEC" w:rsidP="00A07851">
            <w:pPr>
              <w:tabs>
                <w:tab w:val="left" w:pos="284"/>
                <w:tab w:val="left" w:pos="567"/>
              </w:tabs>
              <w:ind w:firstLine="0"/>
              <w:rPr>
                <w:rFonts w:eastAsia="Calibri" w:cs="Times New Roman"/>
                <w:szCs w:val="24"/>
              </w:rPr>
            </w:pPr>
            <w:r w:rsidRPr="00F65F6F">
              <w:rPr>
                <w:rFonts w:eastAsia="Calibri" w:cs="Times New Roman"/>
                <w:szCs w:val="24"/>
              </w:rPr>
              <w:t>Не обязательно</w:t>
            </w:r>
          </w:p>
        </w:tc>
        <w:tc>
          <w:tcPr>
            <w:tcW w:w="1701" w:type="dxa"/>
            <w:tcBorders>
              <w:top w:val="single" w:sz="4" w:space="0" w:color="auto"/>
              <w:left w:val="single" w:sz="4" w:space="0" w:color="auto"/>
              <w:bottom w:val="single" w:sz="4" w:space="0" w:color="auto"/>
              <w:right w:val="single" w:sz="4" w:space="0" w:color="auto"/>
            </w:tcBorders>
            <w:hideMark/>
          </w:tcPr>
          <w:p w14:paraId="22AA7F84" w14:textId="77777777" w:rsidR="00A93FEC" w:rsidRPr="00F65F6F" w:rsidRDefault="00A93FEC" w:rsidP="00A07851">
            <w:pPr>
              <w:tabs>
                <w:tab w:val="left" w:pos="284"/>
                <w:tab w:val="left" w:pos="567"/>
              </w:tabs>
              <w:ind w:firstLine="0"/>
              <w:rPr>
                <w:rFonts w:eastAsia="Calibri" w:cs="Times New Roman"/>
                <w:szCs w:val="24"/>
              </w:rPr>
            </w:pPr>
            <w:r w:rsidRPr="00F65F6F">
              <w:rPr>
                <w:rFonts w:eastAsia="Calibri" w:cs="Times New Roman"/>
                <w:szCs w:val="24"/>
              </w:rPr>
              <w:t>5</w:t>
            </w:r>
          </w:p>
        </w:tc>
      </w:tr>
    </w:tbl>
    <w:p w14:paraId="221744C3" w14:textId="77777777" w:rsidR="00A93FEC" w:rsidRPr="00F65F6F" w:rsidRDefault="00A93FEC" w:rsidP="00A93FEC">
      <w:pPr>
        <w:ind w:left="360"/>
        <w:contextualSpacing/>
        <w:rPr>
          <w:rFonts w:cs="Times New Roman"/>
          <w:szCs w:val="24"/>
        </w:rPr>
      </w:pPr>
    </w:p>
    <w:p w14:paraId="71B5B8AB" w14:textId="51210A37" w:rsidR="00A93FEC" w:rsidRPr="00FE0E8C" w:rsidRDefault="00A93FEC" w:rsidP="00A93FEC">
      <w:pPr>
        <w:autoSpaceDE w:val="0"/>
        <w:contextualSpacing/>
        <w:rPr>
          <w:rFonts w:eastAsia="Times New Roman" w:cs="Times New Roman"/>
          <w:bCs/>
          <w:i/>
          <w:iCs/>
          <w:szCs w:val="24"/>
          <w:u w:val="single"/>
          <w:lang w:eastAsia="ru-RU"/>
        </w:rPr>
      </w:pPr>
      <w:r w:rsidRPr="00FE0E8C">
        <w:rPr>
          <w:rFonts w:eastAsia="Times New Roman" w:cs="Times New Roman"/>
          <w:bCs/>
          <w:i/>
          <w:iCs/>
          <w:szCs w:val="24"/>
          <w:u w:val="single"/>
          <w:lang w:eastAsia="ru-RU"/>
        </w:rPr>
        <w:t>Лабораторная и инструментальная диагностика патологии функции почек</w:t>
      </w:r>
      <w:r>
        <w:rPr>
          <w:rFonts w:eastAsia="Times New Roman" w:cs="Times New Roman"/>
          <w:bCs/>
          <w:i/>
          <w:iCs/>
          <w:szCs w:val="24"/>
          <w:u w:val="single"/>
          <w:lang w:eastAsia="ru-RU"/>
        </w:rPr>
        <w:t xml:space="preserve"> </w:t>
      </w:r>
      <w:r>
        <w:rPr>
          <w:rFonts w:eastAsia="Times New Roman" w:cs="Times New Roman"/>
          <w:szCs w:val="24"/>
          <w:lang w:eastAsia="ru-RU"/>
        </w:rPr>
        <w:fldChar w:fldCharType="begin" w:fldLock="1"/>
      </w:r>
      <w:r w:rsidR="00500503">
        <w:rPr>
          <w:rFonts w:eastAsia="Times New Roman" w:cs="Times New Roman"/>
          <w:szCs w:val="24"/>
          <w:lang w:eastAsia="ru-RU"/>
        </w:rPr>
        <w:instrText>ADDIN CSL_CITATION {"citationItems":[{"id":"ITEM-1","itemData":{"author":[{"dropping-particle":"","family":"Джумабаева","given":"Б.Т.","non-dropping-particle":"","parse-names":false,"suffix":""},{"dropping-particle":"","family":"Бирюкова","given":"Л.С.","non-dropping-particle":"","parse-names":false,"suffix":""},{"dropping-particle":"","family":"Варшавский","given":"В.А.","non-dropping-particle":"","parse-names":false,"suffix":""},{"dropping-particle":"","family":"Марьина","given":"С.А.","non-dropping-particle":"","parse-names":false,"suffix":""},{"dropping-particle":"","family":"Рощина","given":"Л.С.","non-dropping-particle":"","parse-names":false,"suffix":""},{"dropping-particle":"","family":"Джулакян","given":"У.Л.","non-dropping-particle":"","parse-names":false,"suffix":""},{"dropping-particle":"","family":"Столяревич","given":"Е.C.","non-dropping-particle":"","parse-names":false,"suffix":""}],"container-title":"Онкогематология","id":"ITEM-1","issue":"1","issued":{"date-parts":[["2017"]]},"page":"44-54","title":"Клинико-лабораторные и морфологические особенности поражения почек при лимфопролиферативных заболеваниях","type":"article-journal","volume":"7"},"uris":["http://www.mendeley.com/documents/?uuid=50a28e00-c058-46cf-b75a-5bfd40395f93"]},{"id":"ITEM-2","itemData":{"author":[{"dropping-particle":"","family":"Рехтина","given":"И.Г.","non-dropping-particle":"","parse-names":false,"suffix":""},{"dropping-particle":"","family":"Голицина","given":"Е.П.","non-dropping-particle":"","parse-names":false,"suffix":""},{"dropping-particle":"","family":"Варламова","given":"Е.Ю.","non-dropping-particle":"","parse-names":false,"suffix":""},{"dropping-particle":"","family":"Варшавский","given":"В.А.","non-dropping-particle":"","parse-names":false,"suffix":""},{"dropping-particle":"","family":"Киреева","given":"А.А.","non-dropping-particle":"","parse-names":false,"suffix":""},{"dropping-particle":"","family":"Бирюкова","given":"Л.С.","non-dropping-particle":"","parse-names":false,"suffix":""},{"dropping-particle":"","family":"Савченко","given":"В.Г.","non-dropping-particle":"","parse-names":false,"suffix":""}],"container-title":"Терапевтический архив","id":"ITEM-2","issue":"3","issued":{"date-parts":[["2013"]]},"page":"80-85","title":"Морфологические и иммунохимические особенности нефропатий при множественной миеломе с тяжелой почечной недостаточностью","type":"article-journal","volume":"85"},"uris":["http://www.mendeley.com/documents/?uuid=b7e4aa0d-a654-44bd-b363-35e45db6262e"]},{"id":"ITEM-3","itemData":{"author":[{"dropping-particle":"","family":"Ворожейкина","given":"Е.Г.","non-dropping-particle":"","parse-names":false,"suffix":""},{"dropping-particle":"","family":"Бирюкова","given":"Л.С.","non-dropping-particle":"","parse-names":false,"suffix":""},{"dropping-particle":"","family":"Савченко","given":"В.Г.","non-dropping-particle":"","parse-names":false,"suffix":""}],"container-title":"Гематология и трансфузиология","id":"ITEM-3","issue":"3","issued":{"date-parts":[["2011"]]},"page":"24-27","title":"Клинико-лабораторные проявления нефропатий у больных острыми лейкозами","type":"article-journal","volume":"56"},"uris":["http://www.mendeley.com/documents/?uuid=137272d3-cc35-4bfd-b2f3-d7af020af652"]}],"mendeley":{"formattedCitation":"[115–117]","plainTextFormattedCitation":"[115–117]","previouslyFormattedCitation":"[115–117]"},"properties":{"noteIndex":0},"schema":"https://github.com/citation-style-language/schema/raw/master/csl-citation.json"}</w:instrText>
      </w:r>
      <w:r>
        <w:rPr>
          <w:rFonts w:eastAsia="Times New Roman" w:cs="Times New Roman"/>
          <w:szCs w:val="24"/>
          <w:lang w:eastAsia="ru-RU"/>
        </w:rPr>
        <w:fldChar w:fldCharType="separate"/>
      </w:r>
      <w:r w:rsidR="00A07851" w:rsidRPr="00A07851">
        <w:rPr>
          <w:rFonts w:eastAsia="Times New Roman" w:cs="Times New Roman"/>
          <w:noProof/>
          <w:szCs w:val="24"/>
          <w:lang w:eastAsia="ru-RU"/>
        </w:rPr>
        <w:t>[115–117]</w:t>
      </w:r>
      <w:r>
        <w:rPr>
          <w:rFonts w:eastAsia="Times New Roman" w:cs="Times New Roman"/>
          <w:szCs w:val="24"/>
          <w:lang w:eastAsia="ru-RU"/>
        </w:rPr>
        <w:fldChar w:fldCharType="end"/>
      </w:r>
      <w:r w:rsidRPr="00FE0E8C">
        <w:rPr>
          <w:rFonts w:eastAsia="Times New Roman" w:cs="Times New Roman"/>
          <w:bCs/>
          <w:i/>
          <w:iCs/>
          <w:szCs w:val="24"/>
          <w:u w:val="single"/>
          <w:lang w:eastAsia="ru-RU"/>
        </w:rPr>
        <w:t>.</w:t>
      </w:r>
    </w:p>
    <w:p w14:paraId="637A6211" w14:textId="77777777" w:rsidR="00A93FEC" w:rsidRPr="00F65F6F" w:rsidRDefault="00A93FEC" w:rsidP="00A93FEC">
      <w:pPr>
        <w:contextualSpacing/>
        <w:rPr>
          <w:rFonts w:cs="Times New Roman"/>
          <w:b/>
          <w:szCs w:val="24"/>
        </w:rPr>
      </w:pPr>
      <w:r w:rsidRPr="00F65F6F">
        <w:rPr>
          <w:rFonts w:cs="Times New Roman"/>
          <w:szCs w:val="24"/>
        </w:rPr>
        <w:t>Полноценное нефрологическое обследование пациента до начала специфического лечения является принципиально важным как для ранней диагностики уже имеющихся изменений функционального состояния почек, оценки вероятности и предупреждения нефротоксичности планируемого лечения так и для своевременного начала заместительной почечной терапии. Обследование до начала лечения должно проводиться независимо от наличия или отсутствия нефрологических жалоб и/или отягощенного нефрологического анамнеза, в т.</w:t>
      </w:r>
      <w:r w:rsidRPr="006B10E6">
        <w:rPr>
          <w:rFonts w:cs="Times New Roman"/>
          <w:szCs w:val="24"/>
        </w:rPr>
        <w:t xml:space="preserve"> </w:t>
      </w:r>
      <w:r w:rsidRPr="00F65F6F">
        <w:rPr>
          <w:rFonts w:cs="Times New Roman"/>
          <w:szCs w:val="24"/>
        </w:rPr>
        <w:t>ч.  наличие артериальной гипертензии и ее длительность, никтурии.</w:t>
      </w:r>
    </w:p>
    <w:p w14:paraId="69112062" w14:textId="77777777" w:rsidR="00A93FEC" w:rsidRPr="00F65F6F" w:rsidRDefault="00A93FEC" w:rsidP="00A93FEC">
      <w:pPr>
        <w:contextualSpacing/>
        <w:rPr>
          <w:rFonts w:cs="Times New Roman"/>
          <w:szCs w:val="24"/>
        </w:rPr>
      </w:pPr>
      <w:r w:rsidRPr="00F65F6F">
        <w:rPr>
          <w:rFonts w:cs="Times New Roman"/>
          <w:szCs w:val="24"/>
        </w:rPr>
        <w:t>Базовое обследование включает:</w:t>
      </w:r>
    </w:p>
    <w:p w14:paraId="51143341" w14:textId="77777777" w:rsidR="00A93FEC" w:rsidRPr="00F65F6F" w:rsidRDefault="00A93FEC" w:rsidP="00A93FEC">
      <w:pPr>
        <w:pStyle w:val="afe"/>
        <w:numPr>
          <w:ilvl w:val="0"/>
          <w:numId w:val="87"/>
        </w:numPr>
        <w:rPr>
          <w:rFonts w:cs="Times New Roman"/>
          <w:szCs w:val="24"/>
        </w:rPr>
      </w:pPr>
      <w:r w:rsidRPr="00F65F6F">
        <w:rPr>
          <w:rFonts w:cs="Times New Roman"/>
          <w:szCs w:val="24"/>
        </w:rPr>
        <w:t>Общий анализ мочи с микроскопией мочевого осадка</w:t>
      </w:r>
    </w:p>
    <w:p w14:paraId="0EFF34C9" w14:textId="77777777" w:rsidR="00A93FEC" w:rsidRPr="00F65F6F" w:rsidRDefault="00A93FEC" w:rsidP="00A93FEC">
      <w:pPr>
        <w:pStyle w:val="afe"/>
        <w:numPr>
          <w:ilvl w:val="0"/>
          <w:numId w:val="87"/>
        </w:numPr>
        <w:rPr>
          <w:rFonts w:cs="Times New Roman"/>
          <w:szCs w:val="24"/>
        </w:rPr>
      </w:pPr>
      <w:r w:rsidRPr="00F65F6F">
        <w:rPr>
          <w:rFonts w:cs="Times New Roman"/>
          <w:szCs w:val="24"/>
        </w:rPr>
        <w:t>Определение уровня суточной альбуминурии</w:t>
      </w:r>
    </w:p>
    <w:p w14:paraId="6F98B345" w14:textId="77777777" w:rsidR="00A93FEC" w:rsidRPr="00F65F6F" w:rsidRDefault="00A93FEC" w:rsidP="00A93FEC">
      <w:pPr>
        <w:pStyle w:val="afe"/>
        <w:numPr>
          <w:ilvl w:val="0"/>
          <w:numId w:val="87"/>
        </w:numPr>
        <w:rPr>
          <w:rFonts w:cs="Times New Roman"/>
          <w:szCs w:val="24"/>
        </w:rPr>
      </w:pPr>
      <w:r w:rsidRPr="00F65F6F">
        <w:rPr>
          <w:rFonts w:cs="Times New Roman"/>
          <w:szCs w:val="24"/>
        </w:rPr>
        <w:t>Бактериологическое исследование мочи</w:t>
      </w:r>
    </w:p>
    <w:p w14:paraId="50225D5E" w14:textId="77777777" w:rsidR="00A93FEC" w:rsidRPr="00F65F6F" w:rsidRDefault="00A93FEC" w:rsidP="00A93FEC">
      <w:pPr>
        <w:pStyle w:val="afe"/>
        <w:numPr>
          <w:ilvl w:val="0"/>
          <w:numId w:val="87"/>
        </w:numPr>
        <w:rPr>
          <w:rFonts w:cs="Times New Roman"/>
          <w:szCs w:val="24"/>
        </w:rPr>
      </w:pPr>
      <w:r w:rsidRPr="00F65F6F">
        <w:rPr>
          <w:rFonts w:cs="Times New Roman"/>
          <w:szCs w:val="24"/>
        </w:rPr>
        <w:t>Определение концентрации креатинина и мочевины в сыворотке крови.</w:t>
      </w:r>
    </w:p>
    <w:p w14:paraId="5164D05D" w14:textId="77777777" w:rsidR="00A93FEC" w:rsidRPr="00FD6133" w:rsidRDefault="00A93FEC" w:rsidP="00A93FEC">
      <w:pPr>
        <w:pStyle w:val="afe"/>
        <w:numPr>
          <w:ilvl w:val="0"/>
          <w:numId w:val="87"/>
        </w:numPr>
        <w:rPr>
          <w:rFonts w:cs="Times New Roman"/>
          <w:szCs w:val="24"/>
        </w:rPr>
      </w:pPr>
      <w:r w:rsidRPr="00F65F6F">
        <w:rPr>
          <w:rFonts w:cs="Times New Roman"/>
          <w:szCs w:val="24"/>
        </w:rPr>
        <w:t>Определение расчетной скорости клубочковой фильтрации</w:t>
      </w:r>
      <w:r w:rsidRPr="00F65F6F">
        <w:rPr>
          <w:rFonts w:cs="Times New Roman"/>
          <w:color w:val="000000" w:themeColor="text1"/>
          <w:szCs w:val="24"/>
        </w:rPr>
        <w:t xml:space="preserve"> (рСКФ)</w:t>
      </w:r>
      <w:r w:rsidRPr="00F65F6F">
        <w:rPr>
          <w:rFonts w:cs="Times New Roman"/>
          <w:szCs w:val="24"/>
        </w:rPr>
        <w:t xml:space="preserve"> на основе </w:t>
      </w:r>
      <w:r w:rsidRPr="00FD6133">
        <w:rPr>
          <w:rFonts w:cs="Times New Roman"/>
          <w:szCs w:val="24"/>
        </w:rPr>
        <w:t xml:space="preserve">концентрации креатинина в сыворотке крови (таб.4). </w:t>
      </w:r>
    </w:p>
    <w:p w14:paraId="239A6B3C" w14:textId="77777777" w:rsidR="00A93FEC" w:rsidRPr="00FD6133" w:rsidRDefault="00A93FEC" w:rsidP="00A93FEC">
      <w:pPr>
        <w:pStyle w:val="afe"/>
        <w:ind w:firstLine="0"/>
        <w:rPr>
          <w:rFonts w:cs="Times New Roman"/>
          <w:szCs w:val="24"/>
        </w:rPr>
      </w:pPr>
      <w:r w:rsidRPr="00FD6133">
        <w:rPr>
          <w:rFonts w:cs="Times New Roman"/>
          <w:szCs w:val="24"/>
        </w:rPr>
        <w:t>Желательно пользоваться формулой CKD-EPI, обеспечивающей лучшую, чем традиционно применяемая формула Cockcroft–Gault, точность в широком диапазоне значений СКФ и отклонения массы тела пациента от нормальной. В отличие от формулы Cockcroft–Gault, формулы CKD-EPI определяют значение СКФ в размерности [мл/мин/1,73 м</w:t>
      </w:r>
      <w:r w:rsidRPr="00FD6133">
        <w:rPr>
          <w:rFonts w:cs="Times New Roman"/>
          <w:szCs w:val="24"/>
          <w:vertAlign w:val="superscript"/>
        </w:rPr>
        <w:t>2</w:t>
      </w:r>
      <w:r w:rsidRPr="00FD6133">
        <w:rPr>
          <w:rFonts w:cs="Times New Roman"/>
          <w:szCs w:val="24"/>
        </w:rPr>
        <w:t>], то есть уже приведенное к «нормальной» площади поверхности тела.</w:t>
      </w:r>
    </w:p>
    <w:p w14:paraId="7610A267" w14:textId="77777777" w:rsidR="00A93FEC" w:rsidRPr="00FD6133" w:rsidRDefault="00A93FEC" w:rsidP="00A93FEC">
      <w:pPr>
        <w:pStyle w:val="afe"/>
        <w:numPr>
          <w:ilvl w:val="0"/>
          <w:numId w:val="87"/>
        </w:numPr>
        <w:rPr>
          <w:rFonts w:cs="Times New Roman"/>
          <w:szCs w:val="24"/>
        </w:rPr>
      </w:pPr>
      <w:r w:rsidRPr="00FD6133">
        <w:rPr>
          <w:rFonts w:cs="Times New Roman"/>
          <w:szCs w:val="24"/>
        </w:rPr>
        <w:t>Ультразвуковое исследование (УЗИ) почек.</w:t>
      </w:r>
    </w:p>
    <w:p w14:paraId="77333FCD" w14:textId="77777777" w:rsidR="00A93FEC" w:rsidRPr="00FD6133" w:rsidRDefault="00A93FEC" w:rsidP="00A93FEC">
      <w:pPr>
        <w:pStyle w:val="afe"/>
        <w:numPr>
          <w:ilvl w:val="0"/>
          <w:numId w:val="87"/>
        </w:numPr>
        <w:rPr>
          <w:rFonts w:cs="Times New Roman"/>
          <w:szCs w:val="24"/>
        </w:rPr>
      </w:pPr>
      <w:r w:rsidRPr="00FD6133">
        <w:rPr>
          <w:rFonts w:cs="Times New Roman"/>
          <w:szCs w:val="24"/>
        </w:rPr>
        <w:t>Иммунохимическое исследование сыворотки крови и мочи (для  выявления секреции моноклонального парапротеина  и криоглобулина, свободных легких цепей, определения уровня бета -2 микроглобулина).</w:t>
      </w:r>
    </w:p>
    <w:p w14:paraId="04239B61" w14:textId="77777777" w:rsidR="00A93FEC" w:rsidRPr="00FD6133" w:rsidRDefault="00A93FEC" w:rsidP="00A93FEC">
      <w:pPr>
        <w:pStyle w:val="afe"/>
        <w:ind w:left="1776" w:firstLine="0"/>
        <w:rPr>
          <w:rFonts w:cs="Times New Roman"/>
          <w:szCs w:val="24"/>
        </w:rPr>
      </w:pPr>
    </w:p>
    <w:p w14:paraId="650C8E1C" w14:textId="77777777" w:rsidR="00A93FEC" w:rsidRPr="00F65F6F" w:rsidRDefault="00A93FEC" w:rsidP="00A93FEC">
      <w:pPr>
        <w:rPr>
          <w:rFonts w:cs="Times New Roman"/>
          <w:szCs w:val="24"/>
        </w:rPr>
      </w:pPr>
      <w:r w:rsidRPr="00FD6133">
        <w:rPr>
          <w:rFonts w:cs="Times New Roman"/>
          <w:szCs w:val="24"/>
        </w:rPr>
        <w:t>Таблица 4. Рекомендуемая формула расчета скорости клубочковой фильтрации CKD-EPI.</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7"/>
        <w:gridCol w:w="2213"/>
        <w:gridCol w:w="6039"/>
      </w:tblGrid>
      <w:tr w:rsidR="00A93FEC" w:rsidRPr="00F65F6F" w14:paraId="7A43EBE8" w14:textId="77777777" w:rsidTr="002D3EBF">
        <w:tc>
          <w:tcPr>
            <w:tcW w:w="1387" w:type="dxa"/>
            <w:tcBorders>
              <w:top w:val="single" w:sz="4" w:space="0" w:color="auto"/>
              <w:left w:val="single" w:sz="4" w:space="0" w:color="auto"/>
              <w:bottom w:val="single" w:sz="4" w:space="0" w:color="auto"/>
              <w:right w:val="single" w:sz="4" w:space="0" w:color="auto"/>
            </w:tcBorders>
            <w:hideMark/>
          </w:tcPr>
          <w:p w14:paraId="2DB4B904" w14:textId="77777777" w:rsidR="00A93FEC" w:rsidRPr="00F65F6F" w:rsidRDefault="00A93FEC" w:rsidP="00A07851">
            <w:pPr>
              <w:tabs>
                <w:tab w:val="left" w:pos="284"/>
                <w:tab w:val="left" w:pos="567"/>
              </w:tabs>
              <w:ind w:firstLine="0"/>
              <w:rPr>
                <w:rFonts w:eastAsia="Calibri" w:cs="Times New Roman"/>
                <w:szCs w:val="24"/>
              </w:rPr>
            </w:pPr>
            <w:r w:rsidRPr="00F65F6F">
              <w:rPr>
                <w:rFonts w:eastAsia="Calibri" w:cs="Times New Roman"/>
                <w:szCs w:val="24"/>
              </w:rPr>
              <w:t>Пол</w:t>
            </w:r>
          </w:p>
        </w:tc>
        <w:tc>
          <w:tcPr>
            <w:tcW w:w="2213" w:type="dxa"/>
            <w:tcBorders>
              <w:top w:val="single" w:sz="4" w:space="0" w:color="auto"/>
              <w:left w:val="single" w:sz="4" w:space="0" w:color="auto"/>
              <w:bottom w:val="single" w:sz="4" w:space="0" w:color="auto"/>
              <w:right w:val="single" w:sz="4" w:space="0" w:color="auto"/>
            </w:tcBorders>
            <w:hideMark/>
          </w:tcPr>
          <w:p w14:paraId="092A9710" w14:textId="77777777" w:rsidR="00A93FEC" w:rsidRPr="00F65F6F" w:rsidRDefault="00A93FEC" w:rsidP="00A07851">
            <w:pPr>
              <w:tabs>
                <w:tab w:val="left" w:pos="284"/>
                <w:tab w:val="left" w:pos="567"/>
              </w:tabs>
              <w:ind w:firstLine="0"/>
              <w:rPr>
                <w:rFonts w:eastAsia="Calibri" w:cs="Times New Roman"/>
                <w:szCs w:val="24"/>
              </w:rPr>
            </w:pPr>
            <w:r w:rsidRPr="00F65F6F">
              <w:rPr>
                <w:rFonts w:eastAsia="Calibri" w:cs="Times New Roman"/>
                <w:szCs w:val="24"/>
              </w:rPr>
              <w:t>Креатинин крови</w:t>
            </w:r>
          </w:p>
        </w:tc>
        <w:tc>
          <w:tcPr>
            <w:tcW w:w="6039" w:type="dxa"/>
            <w:tcBorders>
              <w:top w:val="single" w:sz="4" w:space="0" w:color="auto"/>
              <w:left w:val="single" w:sz="4" w:space="0" w:color="auto"/>
              <w:bottom w:val="single" w:sz="4" w:space="0" w:color="auto"/>
              <w:right w:val="single" w:sz="4" w:space="0" w:color="auto"/>
            </w:tcBorders>
            <w:hideMark/>
          </w:tcPr>
          <w:p w14:paraId="41F1F4AA" w14:textId="77777777" w:rsidR="00A93FEC" w:rsidRPr="00F65F6F" w:rsidRDefault="00A93FEC" w:rsidP="00A07851">
            <w:pPr>
              <w:tabs>
                <w:tab w:val="left" w:pos="284"/>
                <w:tab w:val="left" w:pos="567"/>
              </w:tabs>
              <w:ind w:firstLine="0"/>
              <w:rPr>
                <w:rFonts w:eastAsia="Calibri" w:cs="Times New Roman"/>
                <w:szCs w:val="24"/>
              </w:rPr>
            </w:pPr>
            <w:r w:rsidRPr="00F65F6F">
              <w:rPr>
                <w:rFonts w:eastAsia="Calibri" w:cs="Times New Roman"/>
                <w:szCs w:val="24"/>
              </w:rPr>
              <w:t>Расчетная СКФ (CKD-EPI, 2009-11) [мл/мин./1,73 м</w:t>
            </w:r>
            <w:r w:rsidRPr="00F65F6F">
              <w:rPr>
                <w:rFonts w:eastAsia="Calibri" w:cs="Times New Roman"/>
                <w:szCs w:val="24"/>
                <w:vertAlign w:val="superscript"/>
              </w:rPr>
              <w:t>2</w:t>
            </w:r>
            <w:r w:rsidRPr="00F65F6F">
              <w:rPr>
                <w:rFonts w:eastAsia="Calibri" w:cs="Times New Roman"/>
                <w:szCs w:val="24"/>
              </w:rPr>
              <w:t>]</w:t>
            </w:r>
          </w:p>
        </w:tc>
      </w:tr>
      <w:tr w:rsidR="00A93FEC" w:rsidRPr="00F65F6F" w14:paraId="083C6236" w14:textId="77777777" w:rsidTr="002D3EBF">
        <w:tc>
          <w:tcPr>
            <w:tcW w:w="9639" w:type="dxa"/>
            <w:gridSpan w:val="3"/>
            <w:tcBorders>
              <w:top w:val="single" w:sz="4" w:space="0" w:color="auto"/>
              <w:left w:val="single" w:sz="4" w:space="0" w:color="auto"/>
              <w:bottom w:val="single" w:sz="4" w:space="0" w:color="auto"/>
              <w:right w:val="single" w:sz="4" w:space="0" w:color="auto"/>
            </w:tcBorders>
            <w:hideMark/>
          </w:tcPr>
          <w:p w14:paraId="1ABE0E6E" w14:textId="77777777" w:rsidR="00A93FEC" w:rsidRPr="00F65F6F" w:rsidRDefault="00A93FEC" w:rsidP="00A07851">
            <w:pPr>
              <w:tabs>
                <w:tab w:val="left" w:pos="284"/>
                <w:tab w:val="left" w:pos="567"/>
              </w:tabs>
              <w:ind w:firstLine="0"/>
              <w:rPr>
                <w:rFonts w:eastAsia="Calibri" w:cs="Times New Roman"/>
                <w:szCs w:val="24"/>
              </w:rPr>
            </w:pPr>
            <w:r w:rsidRPr="00F65F6F">
              <w:rPr>
                <w:rFonts w:eastAsia="Calibri" w:cs="Times New Roman"/>
                <w:szCs w:val="24"/>
              </w:rPr>
              <w:t>Европейцы</w:t>
            </w:r>
          </w:p>
        </w:tc>
      </w:tr>
      <w:tr w:rsidR="00A93FEC" w:rsidRPr="00F65F6F" w14:paraId="70BC1CD4" w14:textId="77777777" w:rsidTr="002D3EBF">
        <w:tc>
          <w:tcPr>
            <w:tcW w:w="1387" w:type="dxa"/>
            <w:vMerge w:val="restart"/>
            <w:tcBorders>
              <w:top w:val="single" w:sz="4" w:space="0" w:color="auto"/>
              <w:left w:val="single" w:sz="4" w:space="0" w:color="auto"/>
              <w:bottom w:val="single" w:sz="4" w:space="0" w:color="auto"/>
              <w:right w:val="single" w:sz="4" w:space="0" w:color="auto"/>
            </w:tcBorders>
            <w:hideMark/>
          </w:tcPr>
          <w:p w14:paraId="0F9079B4" w14:textId="77777777" w:rsidR="00A93FEC" w:rsidRPr="00F65F6F" w:rsidRDefault="00A93FEC" w:rsidP="00A07851">
            <w:pPr>
              <w:tabs>
                <w:tab w:val="left" w:pos="284"/>
                <w:tab w:val="left" w:pos="567"/>
              </w:tabs>
              <w:ind w:firstLine="0"/>
              <w:rPr>
                <w:rFonts w:eastAsia="Calibri" w:cs="Times New Roman"/>
                <w:szCs w:val="24"/>
              </w:rPr>
            </w:pPr>
            <w:r w:rsidRPr="00F65F6F">
              <w:rPr>
                <w:rFonts w:eastAsia="Calibri" w:cs="Times New Roman"/>
                <w:szCs w:val="24"/>
              </w:rPr>
              <w:t>Женщины</w:t>
            </w:r>
          </w:p>
        </w:tc>
        <w:tc>
          <w:tcPr>
            <w:tcW w:w="2213" w:type="dxa"/>
            <w:tcBorders>
              <w:top w:val="single" w:sz="4" w:space="0" w:color="auto"/>
              <w:left w:val="single" w:sz="4" w:space="0" w:color="auto"/>
              <w:bottom w:val="single" w:sz="4" w:space="0" w:color="auto"/>
              <w:right w:val="single" w:sz="4" w:space="0" w:color="auto"/>
            </w:tcBorders>
            <w:hideMark/>
          </w:tcPr>
          <w:p w14:paraId="349997D4" w14:textId="77777777" w:rsidR="00A93FEC" w:rsidRPr="00F65F6F" w:rsidRDefault="00A93FEC" w:rsidP="00A07851">
            <w:pPr>
              <w:tabs>
                <w:tab w:val="left" w:pos="284"/>
                <w:tab w:val="left" w:pos="567"/>
              </w:tabs>
              <w:ind w:firstLine="0"/>
              <w:rPr>
                <w:rFonts w:eastAsia="Calibri" w:cs="Times New Roman"/>
                <w:szCs w:val="24"/>
              </w:rPr>
            </w:pPr>
            <w:r w:rsidRPr="00F65F6F">
              <w:rPr>
                <w:rFonts w:eastAsia="Calibri" w:cs="Times New Roman"/>
                <w:szCs w:val="24"/>
                <w:lang w:val="en-US"/>
              </w:rPr>
              <w:t>&lt;</w:t>
            </w:r>
            <w:r w:rsidRPr="00F65F6F">
              <w:rPr>
                <w:rFonts w:eastAsia="Calibri" w:cs="Times New Roman"/>
                <w:szCs w:val="24"/>
              </w:rPr>
              <w:t>62 мкмоль/л</w:t>
            </w:r>
          </w:p>
        </w:tc>
        <w:tc>
          <w:tcPr>
            <w:tcW w:w="6039" w:type="dxa"/>
            <w:tcBorders>
              <w:top w:val="single" w:sz="4" w:space="0" w:color="auto"/>
              <w:left w:val="single" w:sz="4" w:space="0" w:color="auto"/>
              <w:bottom w:val="single" w:sz="4" w:space="0" w:color="auto"/>
              <w:right w:val="single" w:sz="4" w:space="0" w:color="auto"/>
            </w:tcBorders>
            <w:hideMark/>
          </w:tcPr>
          <w:p w14:paraId="036264A7" w14:textId="77777777" w:rsidR="00A93FEC" w:rsidRPr="00F65F6F" w:rsidRDefault="00A93FEC" w:rsidP="00A07851">
            <w:pPr>
              <w:tabs>
                <w:tab w:val="left" w:pos="284"/>
                <w:tab w:val="left" w:pos="567"/>
              </w:tabs>
              <w:ind w:firstLine="0"/>
              <w:rPr>
                <w:rFonts w:eastAsia="Calibri" w:cs="Times New Roman"/>
                <w:szCs w:val="24"/>
              </w:rPr>
            </w:pPr>
            <w:r w:rsidRPr="00F65F6F">
              <w:rPr>
                <w:rFonts w:eastAsia="Calibri" w:cs="Times New Roman"/>
                <w:szCs w:val="24"/>
              </w:rPr>
              <w:t>144 × (0,993)</w:t>
            </w:r>
            <w:r w:rsidRPr="00F65F6F">
              <w:rPr>
                <w:rFonts w:eastAsia="Calibri" w:cs="Times New Roman"/>
                <w:szCs w:val="24"/>
                <w:vertAlign w:val="superscript"/>
              </w:rPr>
              <w:t xml:space="preserve"> Возраст</w:t>
            </w:r>
            <w:r w:rsidRPr="00F65F6F">
              <w:rPr>
                <w:rFonts w:eastAsia="Calibri" w:cs="Times New Roman"/>
                <w:szCs w:val="24"/>
              </w:rPr>
              <w:t xml:space="preserve"> × (креатинин крови/62)</w:t>
            </w:r>
            <w:r w:rsidRPr="00F65F6F">
              <w:rPr>
                <w:rFonts w:eastAsia="Calibri" w:cs="Times New Roman"/>
                <w:szCs w:val="24"/>
                <w:vertAlign w:val="superscript"/>
              </w:rPr>
              <w:t>−0,328</w:t>
            </w:r>
          </w:p>
        </w:tc>
      </w:tr>
      <w:tr w:rsidR="00A93FEC" w:rsidRPr="00F65F6F" w14:paraId="126155E2" w14:textId="77777777" w:rsidTr="002D3EBF">
        <w:tc>
          <w:tcPr>
            <w:tcW w:w="0" w:type="auto"/>
            <w:vMerge/>
            <w:tcBorders>
              <w:top w:val="single" w:sz="4" w:space="0" w:color="auto"/>
              <w:left w:val="single" w:sz="4" w:space="0" w:color="auto"/>
              <w:bottom w:val="single" w:sz="4" w:space="0" w:color="auto"/>
              <w:right w:val="single" w:sz="4" w:space="0" w:color="auto"/>
            </w:tcBorders>
            <w:vAlign w:val="center"/>
            <w:hideMark/>
          </w:tcPr>
          <w:p w14:paraId="7BAAD9C3" w14:textId="77777777" w:rsidR="00A93FEC" w:rsidRPr="00F65F6F" w:rsidRDefault="00A93FEC" w:rsidP="00A07851">
            <w:pPr>
              <w:ind w:firstLine="0"/>
              <w:rPr>
                <w:rFonts w:eastAsia="Calibri" w:cs="Times New Roman"/>
                <w:szCs w:val="24"/>
              </w:rPr>
            </w:pPr>
          </w:p>
        </w:tc>
        <w:tc>
          <w:tcPr>
            <w:tcW w:w="2213" w:type="dxa"/>
            <w:tcBorders>
              <w:top w:val="single" w:sz="4" w:space="0" w:color="auto"/>
              <w:left w:val="single" w:sz="4" w:space="0" w:color="auto"/>
              <w:bottom w:val="single" w:sz="4" w:space="0" w:color="auto"/>
              <w:right w:val="single" w:sz="4" w:space="0" w:color="auto"/>
            </w:tcBorders>
            <w:hideMark/>
          </w:tcPr>
          <w:p w14:paraId="64710BA4" w14:textId="77777777" w:rsidR="00A93FEC" w:rsidRPr="00F65F6F" w:rsidRDefault="00A93FEC" w:rsidP="00A07851">
            <w:pPr>
              <w:tabs>
                <w:tab w:val="left" w:pos="284"/>
                <w:tab w:val="left" w:pos="567"/>
              </w:tabs>
              <w:ind w:firstLine="0"/>
              <w:rPr>
                <w:rFonts w:eastAsia="Calibri" w:cs="Times New Roman"/>
                <w:szCs w:val="24"/>
              </w:rPr>
            </w:pPr>
            <w:r w:rsidRPr="00F65F6F">
              <w:rPr>
                <w:rFonts w:eastAsia="Calibri" w:cs="Times New Roman"/>
                <w:szCs w:val="24"/>
              </w:rPr>
              <w:t>≥62 мкмоль/л</w:t>
            </w:r>
          </w:p>
        </w:tc>
        <w:tc>
          <w:tcPr>
            <w:tcW w:w="6039" w:type="dxa"/>
            <w:tcBorders>
              <w:top w:val="single" w:sz="4" w:space="0" w:color="auto"/>
              <w:left w:val="single" w:sz="4" w:space="0" w:color="auto"/>
              <w:bottom w:val="single" w:sz="4" w:space="0" w:color="auto"/>
              <w:right w:val="single" w:sz="4" w:space="0" w:color="auto"/>
            </w:tcBorders>
            <w:hideMark/>
          </w:tcPr>
          <w:p w14:paraId="5FD891E1" w14:textId="77777777" w:rsidR="00A93FEC" w:rsidRPr="00F65F6F" w:rsidRDefault="00A93FEC" w:rsidP="00A07851">
            <w:pPr>
              <w:tabs>
                <w:tab w:val="left" w:pos="284"/>
                <w:tab w:val="left" w:pos="567"/>
              </w:tabs>
              <w:ind w:firstLine="0"/>
              <w:rPr>
                <w:rFonts w:eastAsia="Calibri" w:cs="Times New Roman"/>
                <w:szCs w:val="24"/>
              </w:rPr>
            </w:pPr>
            <w:r w:rsidRPr="00F65F6F">
              <w:rPr>
                <w:rFonts w:eastAsia="Calibri" w:cs="Times New Roman"/>
                <w:szCs w:val="24"/>
              </w:rPr>
              <w:t>144 × (0,993)</w:t>
            </w:r>
            <w:r w:rsidRPr="00F65F6F">
              <w:rPr>
                <w:rFonts w:eastAsia="Calibri" w:cs="Times New Roman"/>
                <w:szCs w:val="24"/>
                <w:vertAlign w:val="superscript"/>
              </w:rPr>
              <w:t xml:space="preserve"> Возраст</w:t>
            </w:r>
            <w:r w:rsidRPr="00F65F6F">
              <w:rPr>
                <w:rFonts w:eastAsia="Calibri" w:cs="Times New Roman"/>
                <w:szCs w:val="24"/>
              </w:rPr>
              <w:t xml:space="preserve"> × (креатинин крови/62)</w:t>
            </w:r>
            <w:r w:rsidRPr="00F65F6F">
              <w:rPr>
                <w:rFonts w:eastAsia="Calibri" w:cs="Times New Roman"/>
                <w:szCs w:val="24"/>
                <w:vertAlign w:val="superscript"/>
              </w:rPr>
              <w:t>−1,210</w:t>
            </w:r>
          </w:p>
        </w:tc>
      </w:tr>
      <w:tr w:rsidR="00A93FEC" w:rsidRPr="00F65F6F" w14:paraId="4BCB9548" w14:textId="77777777" w:rsidTr="002D3EBF">
        <w:tc>
          <w:tcPr>
            <w:tcW w:w="1387" w:type="dxa"/>
            <w:vMerge w:val="restart"/>
            <w:tcBorders>
              <w:top w:val="single" w:sz="4" w:space="0" w:color="auto"/>
              <w:left w:val="single" w:sz="4" w:space="0" w:color="auto"/>
              <w:bottom w:val="single" w:sz="4" w:space="0" w:color="auto"/>
              <w:right w:val="single" w:sz="4" w:space="0" w:color="auto"/>
            </w:tcBorders>
            <w:hideMark/>
          </w:tcPr>
          <w:p w14:paraId="3B287D38" w14:textId="77777777" w:rsidR="00A93FEC" w:rsidRPr="00F65F6F" w:rsidRDefault="00A93FEC" w:rsidP="00A07851">
            <w:pPr>
              <w:tabs>
                <w:tab w:val="left" w:pos="284"/>
                <w:tab w:val="left" w:pos="567"/>
              </w:tabs>
              <w:ind w:firstLine="0"/>
              <w:rPr>
                <w:rFonts w:eastAsia="Calibri" w:cs="Times New Roman"/>
                <w:szCs w:val="24"/>
              </w:rPr>
            </w:pPr>
            <w:r w:rsidRPr="00F65F6F">
              <w:rPr>
                <w:rFonts w:eastAsia="Calibri" w:cs="Times New Roman"/>
                <w:szCs w:val="24"/>
              </w:rPr>
              <w:t>Мужчины</w:t>
            </w:r>
          </w:p>
        </w:tc>
        <w:tc>
          <w:tcPr>
            <w:tcW w:w="2213" w:type="dxa"/>
            <w:tcBorders>
              <w:top w:val="single" w:sz="4" w:space="0" w:color="auto"/>
              <w:left w:val="single" w:sz="4" w:space="0" w:color="auto"/>
              <w:bottom w:val="single" w:sz="4" w:space="0" w:color="auto"/>
              <w:right w:val="single" w:sz="4" w:space="0" w:color="auto"/>
            </w:tcBorders>
            <w:hideMark/>
          </w:tcPr>
          <w:p w14:paraId="1B589713" w14:textId="77777777" w:rsidR="00A93FEC" w:rsidRPr="00F65F6F" w:rsidRDefault="00A93FEC" w:rsidP="00A07851">
            <w:pPr>
              <w:tabs>
                <w:tab w:val="left" w:pos="284"/>
                <w:tab w:val="left" w:pos="567"/>
              </w:tabs>
              <w:ind w:firstLine="0"/>
              <w:rPr>
                <w:rFonts w:eastAsia="Calibri" w:cs="Times New Roman"/>
                <w:szCs w:val="24"/>
              </w:rPr>
            </w:pPr>
            <w:r w:rsidRPr="00F65F6F">
              <w:rPr>
                <w:rFonts w:eastAsia="Calibri" w:cs="Times New Roman"/>
                <w:szCs w:val="24"/>
                <w:lang w:val="en-US"/>
              </w:rPr>
              <w:t>&lt;</w:t>
            </w:r>
            <w:r w:rsidRPr="00F65F6F">
              <w:rPr>
                <w:rFonts w:eastAsia="Calibri" w:cs="Times New Roman"/>
                <w:szCs w:val="24"/>
              </w:rPr>
              <w:t>80 мкмоль/л</w:t>
            </w:r>
          </w:p>
        </w:tc>
        <w:tc>
          <w:tcPr>
            <w:tcW w:w="6039" w:type="dxa"/>
            <w:tcBorders>
              <w:top w:val="single" w:sz="4" w:space="0" w:color="auto"/>
              <w:left w:val="single" w:sz="4" w:space="0" w:color="auto"/>
              <w:bottom w:val="single" w:sz="4" w:space="0" w:color="auto"/>
              <w:right w:val="single" w:sz="4" w:space="0" w:color="auto"/>
            </w:tcBorders>
            <w:hideMark/>
          </w:tcPr>
          <w:p w14:paraId="30A8838D" w14:textId="77777777" w:rsidR="00A93FEC" w:rsidRPr="00F65F6F" w:rsidRDefault="00A93FEC" w:rsidP="00A07851">
            <w:pPr>
              <w:tabs>
                <w:tab w:val="left" w:pos="284"/>
                <w:tab w:val="left" w:pos="567"/>
              </w:tabs>
              <w:ind w:firstLine="0"/>
              <w:rPr>
                <w:rFonts w:eastAsia="Calibri" w:cs="Times New Roman"/>
                <w:szCs w:val="24"/>
              </w:rPr>
            </w:pPr>
            <w:r w:rsidRPr="00F65F6F">
              <w:rPr>
                <w:rFonts w:eastAsia="Calibri" w:cs="Times New Roman"/>
                <w:szCs w:val="24"/>
              </w:rPr>
              <w:t>141 × (0,993)</w:t>
            </w:r>
            <w:r w:rsidRPr="00F65F6F">
              <w:rPr>
                <w:rFonts w:eastAsia="Calibri" w:cs="Times New Roman"/>
                <w:szCs w:val="24"/>
                <w:vertAlign w:val="superscript"/>
              </w:rPr>
              <w:t xml:space="preserve"> Возраст</w:t>
            </w:r>
            <w:r w:rsidRPr="00F65F6F">
              <w:rPr>
                <w:rFonts w:eastAsia="Calibri" w:cs="Times New Roman"/>
                <w:szCs w:val="24"/>
              </w:rPr>
              <w:t xml:space="preserve"> × (креатинин крови/80)</w:t>
            </w:r>
            <w:r w:rsidRPr="00F65F6F">
              <w:rPr>
                <w:rFonts w:eastAsia="Calibri" w:cs="Times New Roman"/>
                <w:szCs w:val="24"/>
                <w:vertAlign w:val="superscript"/>
              </w:rPr>
              <w:t>−0,412</w:t>
            </w:r>
          </w:p>
        </w:tc>
      </w:tr>
      <w:tr w:rsidR="00A93FEC" w:rsidRPr="00F65F6F" w14:paraId="504F2AB4" w14:textId="77777777" w:rsidTr="002D3EBF">
        <w:tc>
          <w:tcPr>
            <w:tcW w:w="0" w:type="auto"/>
            <w:vMerge/>
            <w:tcBorders>
              <w:top w:val="single" w:sz="4" w:space="0" w:color="auto"/>
              <w:left w:val="single" w:sz="4" w:space="0" w:color="auto"/>
              <w:bottom w:val="single" w:sz="4" w:space="0" w:color="auto"/>
              <w:right w:val="single" w:sz="4" w:space="0" w:color="auto"/>
            </w:tcBorders>
            <w:vAlign w:val="center"/>
            <w:hideMark/>
          </w:tcPr>
          <w:p w14:paraId="5C2ADBEC" w14:textId="77777777" w:rsidR="00A93FEC" w:rsidRPr="00F65F6F" w:rsidRDefault="00A93FEC" w:rsidP="00A07851">
            <w:pPr>
              <w:ind w:firstLine="0"/>
              <w:rPr>
                <w:rFonts w:eastAsia="Calibri" w:cs="Times New Roman"/>
                <w:szCs w:val="24"/>
              </w:rPr>
            </w:pPr>
          </w:p>
        </w:tc>
        <w:tc>
          <w:tcPr>
            <w:tcW w:w="2213" w:type="dxa"/>
            <w:tcBorders>
              <w:top w:val="single" w:sz="4" w:space="0" w:color="auto"/>
              <w:left w:val="single" w:sz="4" w:space="0" w:color="auto"/>
              <w:bottom w:val="single" w:sz="4" w:space="0" w:color="auto"/>
              <w:right w:val="single" w:sz="4" w:space="0" w:color="auto"/>
            </w:tcBorders>
            <w:hideMark/>
          </w:tcPr>
          <w:p w14:paraId="7343D4BB" w14:textId="77777777" w:rsidR="00A93FEC" w:rsidRPr="00F65F6F" w:rsidRDefault="00A93FEC" w:rsidP="00A07851">
            <w:pPr>
              <w:tabs>
                <w:tab w:val="left" w:pos="284"/>
                <w:tab w:val="left" w:pos="567"/>
              </w:tabs>
              <w:ind w:firstLine="0"/>
              <w:rPr>
                <w:rFonts w:eastAsia="Calibri" w:cs="Times New Roman"/>
                <w:szCs w:val="24"/>
              </w:rPr>
            </w:pPr>
            <w:r w:rsidRPr="00F65F6F">
              <w:rPr>
                <w:rFonts w:eastAsia="Calibri" w:cs="Times New Roman"/>
                <w:szCs w:val="24"/>
              </w:rPr>
              <w:t>≥80 мкмоль/л</w:t>
            </w:r>
          </w:p>
        </w:tc>
        <w:tc>
          <w:tcPr>
            <w:tcW w:w="6039" w:type="dxa"/>
            <w:tcBorders>
              <w:top w:val="single" w:sz="4" w:space="0" w:color="auto"/>
              <w:left w:val="single" w:sz="4" w:space="0" w:color="auto"/>
              <w:bottom w:val="single" w:sz="4" w:space="0" w:color="auto"/>
              <w:right w:val="single" w:sz="4" w:space="0" w:color="auto"/>
            </w:tcBorders>
            <w:hideMark/>
          </w:tcPr>
          <w:p w14:paraId="0C450EA3" w14:textId="77777777" w:rsidR="00A93FEC" w:rsidRPr="00F65F6F" w:rsidRDefault="00A93FEC" w:rsidP="00A07851">
            <w:pPr>
              <w:tabs>
                <w:tab w:val="left" w:pos="284"/>
                <w:tab w:val="left" w:pos="567"/>
              </w:tabs>
              <w:ind w:firstLine="0"/>
              <w:rPr>
                <w:rFonts w:eastAsia="Calibri" w:cs="Times New Roman"/>
                <w:szCs w:val="24"/>
              </w:rPr>
            </w:pPr>
            <w:r w:rsidRPr="00F65F6F">
              <w:rPr>
                <w:rFonts w:eastAsia="Calibri" w:cs="Times New Roman"/>
                <w:szCs w:val="24"/>
              </w:rPr>
              <w:t>141 × (0,993)</w:t>
            </w:r>
            <w:r w:rsidRPr="00F65F6F">
              <w:rPr>
                <w:rFonts w:eastAsia="Calibri" w:cs="Times New Roman"/>
                <w:szCs w:val="24"/>
                <w:vertAlign w:val="superscript"/>
              </w:rPr>
              <w:t xml:space="preserve"> Возраст</w:t>
            </w:r>
            <w:r w:rsidRPr="00F65F6F">
              <w:rPr>
                <w:rFonts w:eastAsia="Calibri" w:cs="Times New Roman"/>
                <w:szCs w:val="24"/>
              </w:rPr>
              <w:t xml:space="preserve"> × (креатинин крови/80)</w:t>
            </w:r>
            <w:r w:rsidRPr="00F65F6F">
              <w:rPr>
                <w:rFonts w:eastAsia="Calibri" w:cs="Times New Roman"/>
                <w:szCs w:val="24"/>
                <w:vertAlign w:val="superscript"/>
              </w:rPr>
              <w:t>−1,210</w:t>
            </w:r>
          </w:p>
        </w:tc>
      </w:tr>
      <w:tr w:rsidR="00A93FEC" w:rsidRPr="00F65F6F" w14:paraId="3673FC57" w14:textId="77777777" w:rsidTr="002D3EBF">
        <w:tc>
          <w:tcPr>
            <w:tcW w:w="9639" w:type="dxa"/>
            <w:gridSpan w:val="3"/>
            <w:tcBorders>
              <w:top w:val="single" w:sz="4" w:space="0" w:color="auto"/>
              <w:left w:val="single" w:sz="4" w:space="0" w:color="auto"/>
              <w:bottom w:val="single" w:sz="4" w:space="0" w:color="auto"/>
              <w:right w:val="single" w:sz="4" w:space="0" w:color="auto"/>
            </w:tcBorders>
            <w:hideMark/>
          </w:tcPr>
          <w:p w14:paraId="08260AAB" w14:textId="77777777" w:rsidR="00A93FEC" w:rsidRPr="00F65F6F" w:rsidRDefault="00A93FEC" w:rsidP="00A07851">
            <w:pPr>
              <w:tabs>
                <w:tab w:val="left" w:pos="284"/>
                <w:tab w:val="left" w:pos="567"/>
              </w:tabs>
              <w:ind w:firstLine="0"/>
              <w:rPr>
                <w:rFonts w:eastAsia="Calibri" w:cs="Times New Roman"/>
                <w:szCs w:val="24"/>
              </w:rPr>
            </w:pPr>
            <w:r w:rsidRPr="00F65F6F">
              <w:rPr>
                <w:rFonts w:eastAsia="Calibri" w:cs="Times New Roman"/>
                <w:szCs w:val="24"/>
              </w:rPr>
              <w:t>Азиаты</w:t>
            </w:r>
          </w:p>
        </w:tc>
      </w:tr>
      <w:tr w:rsidR="00A93FEC" w:rsidRPr="00F65F6F" w14:paraId="68FC16D1" w14:textId="77777777" w:rsidTr="002D3EBF">
        <w:tc>
          <w:tcPr>
            <w:tcW w:w="1387" w:type="dxa"/>
            <w:vMerge w:val="restart"/>
            <w:tcBorders>
              <w:top w:val="single" w:sz="4" w:space="0" w:color="auto"/>
              <w:left w:val="single" w:sz="4" w:space="0" w:color="auto"/>
              <w:bottom w:val="single" w:sz="4" w:space="0" w:color="auto"/>
              <w:right w:val="single" w:sz="4" w:space="0" w:color="auto"/>
            </w:tcBorders>
            <w:hideMark/>
          </w:tcPr>
          <w:p w14:paraId="1AA4749E" w14:textId="77777777" w:rsidR="00A93FEC" w:rsidRPr="00F65F6F" w:rsidRDefault="00A93FEC" w:rsidP="00A07851">
            <w:pPr>
              <w:tabs>
                <w:tab w:val="left" w:pos="284"/>
                <w:tab w:val="left" w:pos="567"/>
              </w:tabs>
              <w:ind w:firstLine="0"/>
              <w:rPr>
                <w:rFonts w:eastAsia="Calibri" w:cs="Times New Roman"/>
                <w:szCs w:val="24"/>
              </w:rPr>
            </w:pPr>
            <w:r w:rsidRPr="00F65F6F">
              <w:rPr>
                <w:rFonts w:eastAsia="Calibri" w:cs="Times New Roman"/>
                <w:szCs w:val="24"/>
              </w:rPr>
              <w:t>Женщины</w:t>
            </w:r>
          </w:p>
        </w:tc>
        <w:tc>
          <w:tcPr>
            <w:tcW w:w="2213" w:type="dxa"/>
            <w:tcBorders>
              <w:top w:val="single" w:sz="4" w:space="0" w:color="auto"/>
              <w:left w:val="single" w:sz="4" w:space="0" w:color="auto"/>
              <w:bottom w:val="single" w:sz="4" w:space="0" w:color="auto"/>
              <w:right w:val="single" w:sz="4" w:space="0" w:color="auto"/>
            </w:tcBorders>
            <w:hideMark/>
          </w:tcPr>
          <w:p w14:paraId="321A912A" w14:textId="77777777" w:rsidR="00A93FEC" w:rsidRPr="00F65F6F" w:rsidRDefault="00A93FEC" w:rsidP="00A07851">
            <w:pPr>
              <w:tabs>
                <w:tab w:val="left" w:pos="284"/>
                <w:tab w:val="left" w:pos="567"/>
              </w:tabs>
              <w:ind w:firstLine="0"/>
              <w:rPr>
                <w:rFonts w:eastAsia="Calibri" w:cs="Times New Roman"/>
                <w:szCs w:val="24"/>
              </w:rPr>
            </w:pPr>
            <w:r w:rsidRPr="00F65F6F">
              <w:rPr>
                <w:rFonts w:eastAsia="Calibri" w:cs="Times New Roman"/>
                <w:szCs w:val="24"/>
                <w:lang w:val="en-US"/>
              </w:rPr>
              <w:t>&lt;</w:t>
            </w:r>
            <w:r w:rsidRPr="00F65F6F">
              <w:rPr>
                <w:rFonts w:eastAsia="Calibri" w:cs="Times New Roman"/>
                <w:szCs w:val="24"/>
              </w:rPr>
              <w:t>62 мкмоль/л</w:t>
            </w:r>
          </w:p>
        </w:tc>
        <w:tc>
          <w:tcPr>
            <w:tcW w:w="6039" w:type="dxa"/>
            <w:tcBorders>
              <w:top w:val="single" w:sz="4" w:space="0" w:color="auto"/>
              <w:left w:val="single" w:sz="4" w:space="0" w:color="auto"/>
              <w:bottom w:val="single" w:sz="4" w:space="0" w:color="auto"/>
              <w:right w:val="single" w:sz="4" w:space="0" w:color="auto"/>
            </w:tcBorders>
            <w:hideMark/>
          </w:tcPr>
          <w:p w14:paraId="403FC1D6" w14:textId="77777777" w:rsidR="00A93FEC" w:rsidRPr="00F65F6F" w:rsidRDefault="00A93FEC" w:rsidP="00A07851">
            <w:pPr>
              <w:tabs>
                <w:tab w:val="left" w:pos="284"/>
                <w:tab w:val="left" w:pos="567"/>
              </w:tabs>
              <w:ind w:firstLine="0"/>
              <w:rPr>
                <w:rFonts w:eastAsia="Calibri" w:cs="Times New Roman"/>
                <w:szCs w:val="24"/>
              </w:rPr>
            </w:pPr>
            <w:r w:rsidRPr="00F65F6F">
              <w:rPr>
                <w:rFonts w:eastAsia="Calibri" w:cs="Times New Roman"/>
                <w:szCs w:val="24"/>
              </w:rPr>
              <w:t>151 × (0,993)</w:t>
            </w:r>
            <w:r w:rsidRPr="00F65F6F">
              <w:rPr>
                <w:rFonts w:eastAsia="Calibri" w:cs="Times New Roman"/>
                <w:szCs w:val="24"/>
                <w:vertAlign w:val="superscript"/>
              </w:rPr>
              <w:t xml:space="preserve"> Возраст</w:t>
            </w:r>
            <w:r w:rsidRPr="00F65F6F">
              <w:rPr>
                <w:rFonts w:eastAsia="Calibri" w:cs="Times New Roman"/>
                <w:szCs w:val="24"/>
              </w:rPr>
              <w:t xml:space="preserve"> × (креатинин крови/62)</w:t>
            </w:r>
            <w:r w:rsidRPr="00F65F6F">
              <w:rPr>
                <w:rFonts w:eastAsia="Calibri" w:cs="Times New Roman"/>
                <w:szCs w:val="24"/>
                <w:vertAlign w:val="superscript"/>
              </w:rPr>
              <w:t>−0,328</w:t>
            </w:r>
          </w:p>
        </w:tc>
      </w:tr>
      <w:tr w:rsidR="00A93FEC" w:rsidRPr="00F65F6F" w14:paraId="7E0B1B99" w14:textId="77777777" w:rsidTr="002D3EBF">
        <w:tc>
          <w:tcPr>
            <w:tcW w:w="0" w:type="auto"/>
            <w:vMerge/>
            <w:tcBorders>
              <w:top w:val="single" w:sz="4" w:space="0" w:color="auto"/>
              <w:left w:val="single" w:sz="4" w:space="0" w:color="auto"/>
              <w:bottom w:val="single" w:sz="4" w:space="0" w:color="auto"/>
              <w:right w:val="single" w:sz="4" w:space="0" w:color="auto"/>
            </w:tcBorders>
            <w:vAlign w:val="center"/>
            <w:hideMark/>
          </w:tcPr>
          <w:p w14:paraId="2A04353B" w14:textId="77777777" w:rsidR="00A93FEC" w:rsidRPr="00F65F6F" w:rsidRDefault="00A93FEC" w:rsidP="00A07851">
            <w:pPr>
              <w:ind w:firstLine="0"/>
              <w:rPr>
                <w:rFonts w:eastAsia="Calibri" w:cs="Times New Roman"/>
                <w:szCs w:val="24"/>
              </w:rPr>
            </w:pPr>
          </w:p>
        </w:tc>
        <w:tc>
          <w:tcPr>
            <w:tcW w:w="2213" w:type="dxa"/>
            <w:tcBorders>
              <w:top w:val="single" w:sz="4" w:space="0" w:color="auto"/>
              <w:left w:val="single" w:sz="4" w:space="0" w:color="auto"/>
              <w:bottom w:val="single" w:sz="4" w:space="0" w:color="auto"/>
              <w:right w:val="single" w:sz="4" w:space="0" w:color="auto"/>
            </w:tcBorders>
            <w:hideMark/>
          </w:tcPr>
          <w:p w14:paraId="7E7AE216" w14:textId="77777777" w:rsidR="00A93FEC" w:rsidRPr="00F65F6F" w:rsidRDefault="00A93FEC" w:rsidP="00A07851">
            <w:pPr>
              <w:tabs>
                <w:tab w:val="left" w:pos="284"/>
                <w:tab w:val="left" w:pos="567"/>
              </w:tabs>
              <w:ind w:firstLine="0"/>
              <w:rPr>
                <w:rFonts w:eastAsia="Calibri" w:cs="Times New Roman"/>
                <w:szCs w:val="24"/>
              </w:rPr>
            </w:pPr>
            <w:r w:rsidRPr="00F65F6F">
              <w:rPr>
                <w:rFonts w:eastAsia="Calibri" w:cs="Times New Roman"/>
                <w:szCs w:val="24"/>
              </w:rPr>
              <w:t>≥62 мкмоль/л</w:t>
            </w:r>
          </w:p>
        </w:tc>
        <w:tc>
          <w:tcPr>
            <w:tcW w:w="6039" w:type="dxa"/>
            <w:tcBorders>
              <w:top w:val="single" w:sz="4" w:space="0" w:color="auto"/>
              <w:left w:val="single" w:sz="4" w:space="0" w:color="auto"/>
              <w:bottom w:val="single" w:sz="4" w:space="0" w:color="auto"/>
              <w:right w:val="single" w:sz="4" w:space="0" w:color="auto"/>
            </w:tcBorders>
            <w:hideMark/>
          </w:tcPr>
          <w:p w14:paraId="4B405509" w14:textId="77777777" w:rsidR="00A93FEC" w:rsidRPr="00F65F6F" w:rsidRDefault="00A93FEC" w:rsidP="00A07851">
            <w:pPr>
              <w:tabs>
                <w:tab w:val="left" w:pos="284"/>
                <w:tab w:val="left" w:pos="567"/>
              </w:tabs>
              <w:ind w:firstLine="0"/>
              <w:rPr>
                <w:rFonts w:eastAsia="Calibri" w:cs="Times New Roman"/>
                <w:szCs w:val="24"/>
              </w:rPr>
            </w:pPr>
            <w:r w:rsidRPr="00F65F6F">
              <w:rPr>
                <w:rFonts w:eastAsia="Calibri" w:cs="Times New Roman"/>
                <w:szCs w:val="24"/>
              </w:rPr>
              <w:t>151 × (0,993)</w:t>
            </w:r>
            <w:r w:rsidRPr="00F65F6F">
              <w:rPr>
                <w:rFonts w:eastAsia="Calibri" w:cs="Times New Roman"/>
                <w:szCs w:val="24"/>
                <w:vertAlign w:val="superscript"/>
              </w:rPr>
              <w:t xml:space="preserve"> Возраст</w:t>
            </w:r>
            <w:r w:rsidRPr="00F65F6F">
              <w:rPr>
                <w:rFonts w:eastAsia="Calibri" w:cs="Times New Roman"/>
                <w:szCs w:val="24"/>
              </w:rPr>
              <w:t xml:space="preserve"> × (креатинин крови/62)</w:t>
            </w:r>
            <w:r w:rsidRPr="00F65F6F">
              <w:rPr>
                <w:rFonts w:eastAsia="Calibri" w:cs="Times New Roman"/>
                <w:szCs w:val="24"/>
                <w:vertAlign w:val="superscript"/>
              </w:rPr>
              <w:t>−1,210</w:t>
            </w:r>
          </w:p>
        </w:tc>
      </w:tr>
      <w:tr w:rsidR="00A93FEC" w:rsidRPr="00F65F6F" w14:paraId="2157F23E" w14:textId="77777777" w:rsidTr="002D3EBF">
        <w:tc>
          <w:tcPr>
            <w:tcW w:w="1387" w:type="dxa"/>
            <w:vMerge w:val="restart"/>
            <w:tcBorders>
              <w:top w:val="single" w:sz="4" w:space="0" w:color="auto"/>
              <w:left w:val="single" w:sz="4" w:space="0" w:color="auto"/>
              <w:bottom w:val="single" w:sz="4" w:space="0" w:color="auto"/>
              <w:right w:val="single" w:sz="4" w:space="0" w:color="auto"/>
            </w:tcBorders>
            <w:hideMark/>
          </w:tcPr>
          <w:p w14:paraId="0B2EBAEA" w14:textId="77777777" w:rsidR="00A93FEC" w:rsidRPr="00F65F6F" w:rsidRDefault="00A93FEC" w:rsidP="00A07851">
            <w:pPr>
              <w:tabs>
                <w:tab w:val="left" w:pos="284"/>
                <w:tab w:val="left" w:pos="567"/>
              </w:tabs>
              <w:ind w:firstLine="0"/>
              <w:rPr>
                <w:rFonts w:eastAsia="Calibri" w:cs="Times New Roman"/>
                <w:szCs w:val="24"/>
              </w:rPr>
            </w:pPr>
            <w:r w:rsidRPr="00F65F6F">
              <w:rPr>
                <w:rFonts w:eastAsia="Calibri" w:cs="Times New Roman"/>
                <w:szCs w:val="24"/>
              </w:rPr>
              <w:t>Мужчины</w:t>
            </w:r>
          </w:p>
        </w:tc>
        <w:tc>
          <w:tcPr>
            <w:tcW w:w="2213" w:type="dxa"/>
            <w:tcBorders>
              <w:top w:val="single" w:sz="4" w:space="0" w:color="auto"/>
              <w:left w:val="single" w:sz="4" w:space="0" w:color="auto"/>
              <w:bottom w:val="single" w:sz="4" w:space="0" w:color="auto"/>
              <w:right w:val="single" w:sz="4" w:space="0" w:color="auto"/>
            </w:tcBorders>
            <w:hideMark/>
          </w:tcPr>
          <w:p w14:paraId="1AC56014" w14:textId="77777777" w:rsidR="00A93FEC" w:rsidRPr="00F65F6F" w:rsidRDefault="00A93FEC" w:rsidP="00A07851">
            <w:pPr>
              <w:tabs>
                <w:tab w:val="left" w:pos="284"/>
                <w:tab w:val="left" w:pos="567"/>
              </w:tabs>
              <w:ind w:firstLine="0"/>
              <w:rPr>
                <w:rFonts w:eastAsia="Calibri" w:cs="Times New Roman"/>
                <w:szCs w:val="24"/>
              </w:rPr>
            </w:pPr>
            <w:r w:rsidRPr="00F65F6F">
              <w:rPr>
                <w:rFonts w:eastAsia="Calibri" w:cs="Times New Roman"/>
                <w:szCs w:val="24"/>
                <w:lang w:val="en-US"/>
              </w:rPr>
              <w:t>&lt;</w:t>
            </w:r>
            <w:r w:rsidRPr="00F65F6F">
              <w:rPr>
                <w:rFonts w:eastAsia="Calibri" w:cs="Times New Roman"/>
                <w:szCs w:val="24"/>
              </w:rPr>
              <w:t>80 мкмоль/л</w:t>
            </w:r>
          </w:p>
        </w:tc>
        <w:tc>
          <w:tcPr>
            <w:tcW w:w="6039" w:type="dxa"/>
            <w:tcBorders>
              <w:top w:val="single" w:sz="4" w:space="0" w:color="auto"/>
              <w:left w:val="single" w:sz="4" w:space="0" w:color="auto"/>
              <w:bottom w:val="single" w:sz="4" w:space="0" w:color="auto"/>
              <w:right w:val="single" w:sz="4" w:space="0" w:color="auto"/>
            </w:tcBorders>
            <w:hideMark/>
          </w:tcPr>
          <w:p w14:paraId="2103942B" w14:textId="77777777" w:rsidR="00A93FEC" w:rsidRPr="00F65F6F" w:rsidRDefault="00A93FEC" w:rsidP="00A07851">
            <w:pPr>
              <w:tabs>
                <w:tab w:val="left" w:pos="284"/>
                <w:tab w:val="left" w:pos="567"/>
              </w:tabs>
              <w:ind w:firstLine="0"/>
              <w:rPr>
                <w:rFonts w:eastAsia="Calibri" w:cs="Times New Roman"/>
                <w:szCs w:val="24"/>
              </w:rPr>
            </w:pPr>
            <w:r w:rsidRPr="00F65F6F">
              <w:rPr>
                <w:rFonts w:eastAsia="Calibri" w:cs="Times New Roman"/>
                <w:szCs w:val="24"/>
              </w:rPr>
              <w:t>149 × (0,993)</w:t>
            </w:r>
            <w:r w:rsidRPr="00F65F6F">
              <w:rPr>
                <w:rFonts w:eastAsia="Calibri" w:cs="Times New Roman"/>
                <w:szCs w:val="24"/>
                <w:vertAlign w:val="superscript"/>
              </w:rPr>
              <w:t xml:space="preserve"> Возраст</w:t>
            </w:r>
            <w:r w:rsidRPr="00F65F6F">
              <w:rPr>
                <w:rFonts w:eastAsia="Calibri" w:cs="Times New Roman"/>
                <w:szCs w:val="24"/>
              </w:rPr>
              <w:t xml:space="preserve"> × (креатинин крови/80)</w:t>
            </w:r>
            <w:r w:rsidRPr="00F65F6F">
              <w:rPr>
                <w:rFonts w:eastAsia="Calibri" w:cs="Times New Roman"/>
                <w:szCs w:val="24"/>
                <w:vertAlign w:val="superscript"/>
              </w:rPr>
              <w:t>−0,412</w:t>
            </w:r>
          </w:p>
        </w:tc>
      </w:tr>
      <w:tr w:rsidR="00A93FEC" w:rsidRPr="00F65F6F" w14:paraId="68294E20" w14:textId="77777777" w:rsidTr="002D3EBF">
        <w:tc>
          <w:tcPr>
            <w:tcW w:w="0" w:type="auto"/>
            <w:vMerge/>
            <w:tcBorders>
              <w:top w:val="single" w:sz="4" w:space="0" w:color="auto"/>
              <w:left w:val="single" w:sz="4" w:space="0" w:color="auto"/>
              <w:bottom w:val="single" w:sz="4" w:space="0" w:color="auto"/>
              <w:right w:val="single" w:sz="4" w:space="0" w:color="auto"/>
            </w:tcBorders>
            <w:vAlign w:val="center"/>
            <w:hideMark/>
          </w:tcPr>
          <w:p w14:paraId="45F4E5FA" w14:textId="77777777" w:rsidR="00A93FEC" w:rsidRPr="00F65F6F" w:rsidRDefault="00A93FEC" w:rsidP="00A07851">
            <w:pPr>
              <w:ind w:firstLine="0"/>
              <w:rPr>
                <w:rFonts w:eastAsia="Calibri" w:cs="Times New Roman"/>
                <w:szCs w:val="24"/>
              </w:rPr>
            </w:pPr>
          </w:p>
        </w:tc>
        <w:tc>
          <w:tcPr>
            <w:tcW w:w="2213" w:type="dxa"/>
            <w:tcBorders>
              <w:top w:val="single" w:sz="4" w:space="0" w:color="auto"/>
              <w:left w:val="single" w:sz="4" w:space="0" w:color="auto"/>
              <w:bottom w:val="single" w:sz="4" w:space="0" w:color="auto"/>
              <w:right w:val="single" w:sz="4" w:space="0" w:color="auto"/>
            </w:tcBorders>
            <w:hideMark/>
          </w:tcPr>
          <w:p w14:paraId="5F277D29" w14:textId="77777777" w:rsidR="00A93FEC" w:rsidRPr="00F65F6F" w:rsidRDefault="00A93FEC" w:rsidP="00A07851">
            <w:pPr>
              <w:tabs>
                <w:tab w:val="left" w:pos="284"/>
                <w:tab w:val="left" w:pos="567"/>
              </w:tabs>
              <w:ind w:firstLine="0"/>
              <w:rPr>
                <w:rFonts w:eastAsia="Calibri" w:cs="Times New Roman"/>
                <w:szCs w:val="24"/>
              </w:rPr>
            </w:pPr>
            <w:r w:rsidRPr="00F65F6F">
              <w:rPr>
                <w:rFonts w:eastAsia="Calibri" w:cs="Times New Roman"/>
                <w:szCs w:val="24"/>
              </w:rPr>
              <w:t>≥80 мкмоль/л</w:t>
            </w:r>
          </w:p>
        </w:tc>
        <w:tc>
          <w:tcPr>
            <w:tcW w:w="6039" w:type="dxa"/>
            <w:tcBorders>
              <w:top w:val="single" w:sz="4" w:space="0" w:color="auto"/>
              <w:left w:val="single" w:sz="4" w:space="0" w:color="auto"/>
              <w:bottom w:val="single" w:sz="4" w:space="0" w:color="auto"/>
              <w:right w:val="single" w:sz="4" w:space="0" w:color="auto"/>
            </w:tcBorders>
            <w:hideMark/>
          </w:tcPr>
          <w:p w14:paraId="08F989D4" w14:textId="77777777" w:rsidR="00A93FEC" w:rsidRPr="00F65F6F" w:rsidRDefault="00A93FEC" w:rsidP="00A07851">
            <w:pPr>
              <w:tabs>
                <w:tab w:val="left" w:pos="284"/>
                <w:tab w:val="left" w:pos="567"/>
              </w:tabs>
              <w:ind w:firstLine="0"/>
              <w:rPr>
                <w:rFonts w:eastAsia="Calibri" w:cs="Times New Roman"/>
                <w:szCs w:val="24"/>
              </w:rPr>
            </w:pPr>
            <w:r w:rsidRPr="00F65F6F">
              <w:rPr>
                <w:rFonts w:eastAsia="Calibri" w:cs="Times New Roman"/>
                <w:szCs w:val="24"/>
              </w:rPr>
              <w:t>149 × (0,993)</w:t>
            </w:r>
            <w:r w:rsidRPr="00F65F6F">
              <w:rPr>
                <w:rFonts w:eastAsia="Calibri" w:cs="Times New Roman"/>
                <w:szCs w:val="24"/>
                <w:vertAlign w:val="superscript"/>
              </w:rPr>
              <w:t xml:space="preserve"> Возраст</w:t>
            </w:r>
            <w:r w:rsidRPr="00F65F6F">
              <w:rPr>
                <w:rFonts w:eastAsia="Calibri" w:cs="Times New Roman"/>
                <w:szCs w:val="24"/>
              </w:rPr>
              <w:t xml:space="preserve"> × (креатинин крови/80)</w:t>
            </w:r>
            <w:r w:rsidRPr="00F65F6F">
              <w:rPr>
                <w:rFonts w:eastAsia="Calibri" w:cs="Times New Roman"/>
                <w:szCs w:val="24"/>
                <w:vertAlign w:val="superscript"/>
              </w:rPr>
              <w:t>−1,210</w:t>
            </w:r>
          </w:p>
        </w:tc>
      </w:tr>
    </w:tbl>
    <w:p w14:paraId="13A6FFBD" w14:textId="77777777" w:rsidR="00A93FEC" w:rsidRPr="00F65F6F" w:rsidRDefault="00A93FEC" w:rsidP="00A93FEC">
      <w:pPr>
        <w:tabs>
          <w:tab w:val="left" w:pos="284"/>
          <w:tab w:val="left" w:pos="567"/>
        </w:tabs>
        <w:rPr>
          <w:rFonts w:cs="Times New Roman"/>
          <w:szCs w:val="24"/>
        </w:rPr>
      </w:pPr>
    </w:p>
    <w:p w14:paraId="08ADAE89" w14:textId="77777777" w:rsidR="00A93FEC" w:rsidRPr="00F65F6F" w:rsidRDefault="00A93FEC" w:rsidP="00A93FEC">
      <w:pPr>
        <w:tabs>
          <w:tab w:val="left" w:pos="284"/>
          <w:tab w:val="left" w:pos="567"/>
        </w:tabs>
        <w:rPr>
          <w:rFonts w:cs="Times New Roman"/>
          <w:szCs w:val="24"/>
        </w:rPr>
      </w:pPr>
      <w:r w:rsidRPr="00F65F6F">
        <w:rPr>
          <w:rFonts w:cs="Times New Roman"/>
          <w:szCs w:val="24"/>
        </w:rPr>
        <w:t xml:space="preserve">Расчетные методы оценки СКФ не применимы в период развития и разрешения  ОПП, но могут оказаться полезными для оценки функции почек после ее стабилизации. Формулу </w:t>
      </w:r>
      <w:r w:rsidRPr="00F65F6F">
        <w:rPr>
          <w:rFonts w:cs="Times New Roman"/>
          <w:szCs w:val="24"/>
          <w:lang w:val="en-US"/>
        </w:rPr>
        <w:t>CRD</w:t>
      </w:r>
      <w:r w:rsidRPr="00F65F6F">
        <w:rPr>
          <w:rFonts w:cs="Times New Roman"/>
          <w:szCs w:val="24"/>
        </w:rPr>
        <w:t>-</w:t>
      </w:r>
      <w:r w:rsidRPr="00F65F6F">
        <w:rPr>
          <w:rFonts w:cs="Times New Roman"/>
          <w:szCs w:val="24"/>
          <w:lang w:val="en-US"/>
        </w:rPr>
        <w:t>EPI</w:t>
      </w:r>
      <w:r w:rsidRPr="00F65F6F">
        <w:rPr>
          <w:rFonts w:cs="Times New Roman"/>
          <w:szCs w:val="24"/>
        </w:rPr>
        <w:t xml:space="preserve">  не используют у детей до 18 лет, пациентов с нестандартными размерами тела (например, ампутация конечностей), выраженным истощением или ожирением (ИМТ&lt;15 и &gt; 40 кг/ м</w:t>
      </w:r>
      <w:r w:rsidRPr="00F65F6F">
        <w:rPr>
          <w:rFonts w:cs="Times New Roman"/>
          <w:szCs w:val="24"/>
          <w:vertAlign w:val="superscript"/>
        </w:rPr>
        <w:t>2</w:t>
      </w:r>
      <w:r w:rsidRPr="00F65F6F">
        <w:rPr>
          <w:rFonts w:cs="Times New Roman"/>
          <w:szCs w:val="24"/>
        </w:rPr>
        <w:t xml:space="preserve">), заболеваниями скелетной мускулатуры, параплегиями и квадраплегиями, вегетарианцев. Для оценки функционального состояния почек перед назначением нефротоксичных лекарственных средств и при решении вопроса о начале ЗПТ определение расчетной СКФ  необходимо дополнить данными о клиренсе эндогенного креатинина. Клиренс эндогенного креатинина определяется по формуле: </w:t>
      </w:r>
    </w:p>
    <w:p w14:paraId="0A0D6C14" w14:textId="77777777" w:rsidR="00A93FEC" w:rsidRPr="00F65F6F" w:rsidRDefault="00A93FEC" w:rsidP="00A93FEC">
      <w:pPr>
        <w:tabs>
          <w:tab w:val="left" w:pos="284"/>
          <w:tab w:val="left" w:pos="567"/>
        </w:tabs>
        <w:rPr>
          <w:rFonts w:cs="Times New Roman"/>
          <w:color w:val="202122"/>
          <w:szCs w:val="24"/>
          <w:shd w:val="clear" w:color="auto" w:fill="FFFFFF"/>
        </w:rPr>
      </w:pPr>
      <w:r w:rsidRPr="00F65F6F">
        <w:rPr>
          <w:rFonts w:cs="Times New Roman"/>
          <w:bCs/>
          <w:color w:val="202122"/>
          <w:szCs w:val="24"/>
          <w:shd w:val="clear" w:color="auto" w:fill="FFFFFF"/>
        </w:rPr>
        <w:t xml:space="preserve">СКФ = </w:t>
      </w:r>
      <w:r w:rsidRPr="00F65F6F">
        <w:rPr>
          <w:rFonts w:cs="Times New Roman"/>
          <w:bCs/>
          <w:color w:val="202122"/>
          <w:szCs w:val="24"/>
          <w:shd w:val="clear" w:color="auto" w:fill="FFFFFF"/>
          <w:lang w:val="en-US"/>
        </w:rPr>
        <w:t>Ucr</w:t>
      </w:r>
      <w:r w:rsidRPr="00F65F6F">
        <w:rPr>
          <w:rFonts w:cs="Times New Roman"/>
          <w:bCs/>
          <w:color w:val="202122"/>
          <w:szCs w:val="24"/>
          <w:shd w:val="clear" w:color="auto" w:fill="FFFFFF"/>
        </w:rPr>
        <w:t xml:space="preserve"> х V/ </w:t>
      </w:r>
      <w:r w:rsidRPr="00F65F6F">
        <w:rPr>
          <w:rFonts w:cs="Times New Roman"/>
          <w:bCs/>
          <w:color w:val="202122"/>
          <w:szCs w:val="24"/>
          <w:shd w:val="clear" w:color="auto" w:fill="FFFFFF"/>
          <w:lang w:val="en-US"/>
        </w:rPr>
        <w:t>Scr</w:t>
      </w:r>
    </w:p>
    <w:p w14:paraId="3FF7F87B" w14:textId="77777777" w:rsidR="00A93FEC" w:rsidRPr="00F65F6F" w:rsidRDefault="00A93FEC" w:rsidP="00A93FEC">
      <w:pPr>
        <w:tabs>
          <w:tab w:val="left" w:pos="284"/>
          <w:tab w:val="left" w:pos="567"/>
        </w:tabs>
        <w:rPr>
          <w:rFonts w:cs="Times New Roman"/>
          <w:color w:val="202122"/>
          <w:szCs w:val="24"/>
          <w:shd w:val="clear" w:color="auto" w:fill="FFFFFF"/>
        </w:rPr>
      </w:pPr>
      <w:r w:rsidRPr="00F65F6F">
        <w:rPr>
          <w:rFonts w:cs="Times New Roman"/>
          <w:color w:val="202122"/>
          <w:szCs w:val="24"/>
          <w:shd w:val="clear" w:color="auto" w:fill="FFFFFF"/>
        </w:rPr>
        <w:t xml:space="preserve">где V — объём мочи за данное время, мл/мин;  Scr — концентрация креатинина в сыворотке; </w:t>
      </w:r>
      <w:r w:rsidRPr="00F65F6F">
        <w:rPr>
          <w:rFonts w:cs="Times New Roman"/>
          <w:bCs/>
          <w:color w:val="202122"/>
          <w:szCs w:val="24"/>
          <w:shd w:val="clear" w:color="auto" w:fill="FFFFFF"/>
          <w:lang w:val="en-US"/>
        </w:rPr>
        <w:t>Ucr</w:t>
      </w:r>
      <w:r w:rsidRPr="00F65F6F">
        <w:rPr>
          <w:rFonts w:cs="Times New Roman"/>
          <w:color w:val="202122"/>
          <w:szCs w:val="24"/>
          <w:shd w:val="clear" w:color="auto" w:fill="FFFFFF"/>
        </w:rPr>
        <w:t xml:space="preserve"> — концентрация креатинина в моче. </w:t>
      </w:r>
    </w:p>
    <w:p w14:paraId="27046FE2" w14:textId="77777777" w:rsidR="00A93FEC" w:rsidRPr="00F65F6F" w:rsidRDefault="00A93FEC" w:rsidP="00A93FEC">
      <w:pPr>
        <w:tabs>
          <w:tab w:val="left" w:pos="284"/>
          <w:tab w:val="left" w:pos="567"/>
        </w:tabs>
        <w:ind w:firstLine="851"/>
        <w:rPr>
          <w:rFonts w:cs="Times New Roman"/>
          <w:szCs w:val="24"/>
        </w:rPr>
      </w:pPr>
      <w:r w:rsidRPr="00F65F6F">
        <w:rPr>
          <w:rFonts w:cs="Times New Roman"/>
          <w:color w:val="202122"/>
          <w:szCs w:val="24"/>
          <w:shd w:val="clear" w:color="auto" w:fill="FFFFFF"/>
        </w:rPr>
        <w:t>Помимо  классического интервала сбора мочи 24 часа, используют 4 или даже 2 часа.</w:t>
      </w:r>
    </w:p>
    <w:p w14:paraId="70450BD6" w14:textId="77777777" w:rsidR="00A93FEC" w:rsidRPr="00F65F6F" w:rsidRDefault="00A93FEC" w:rsidP="00A93FEC">
      <w:pPr>
        <w:tabs>
          <w:tab w:val="left" w:pos="284"/>
          <w:tab w:val="left" w:pos="567"/>
        </w:tabs>
        <w:rPr>
          <w:rFonts w:cs="Times New Roman"/>
          <w:szCs w:val="24"/>
        </w:rPr>
      </w:pPr>
      <w:r w:rsidRPr="00F65F6F">
        <w:rPr>
          <w:rFonts w:cs="Times New Roman"/>
          <w:szCs w:val="24"/>
        </w:rPr>
        <w:t xml:space="preserve">Если базовое обследование выявило патологию мочевыводящей системы, проводят дополнительные исследования. Сроки и объем их выполнения во время поведения лечения зависят от степени тяжести выявленных до лечения или появившихся за время лечения изменений функционального состояния почек, связанных с прогрессированием ХБП, развитием ОПП, проявлением нефротоксичности. </w:t>
      </w:r>
    </w:p>
    <w:p w14:paraId="23E40FAC" w14:textId="77777777" w:rsidR="00A93FEC" w:rsidRPr="00F65F6F" w:rsidRDefault="00A93FEC" w:rsidP="00A93FEC">
      <w:pPr>
        <w:tabs>
          <w:tab w:val="left" w:pos="284"/>
          <w:tab w:val="left" w:pos="567"/>
        </w:tabs>
        <w:rPr>
          <w:rFonts w:cs="Times New Roman"/>
          <w:szCs w:val="24"/>
        </w:rPr>
      </w:pPr>
      <w:r w:rsidRPr="00F65F6F">
        <w:rPr>
          <w:rFonts w:cs="Times New Roman"/>
          <w:szCs w:val="24"/>
        </w:rPr>
        <w:t>Дополнительное обследование:</w:t>
      </w:r>
    </w:p>
    <w:p w14:paraId="7F3A07EE" w14:textId="77777777" w:rsidR="00A93FEC" w:rsidRPr="002974AC" w:rsidRDefault="00A93FEC" w:rsidP="00A93FEC">
      <w:pPr>
        <w:pStyle w:val="afe"/>
        <w:numPr>
          <w:ilvl w:val="0"/>
          <w:numId w:val="92"/>
        </w:numPr>
        <w:ind w:left="709" w:hanging="425"/>
        <w:rPr>
          <w:rFonts w:cs="Times New Roman"/>
          <w:szCs w:val="24"/>
        </w:rPr>
      </w:pPr>
      <w:r w:rsidRPr="002974AC">
        <w:rPr>
          <w:rFonts w:cs="Times New Roman"/>
          <w:szCs w:val="24"/>
        </w:rPr>
        <w:t>Определение показателей  КЩС  (для выявления метаболического ацидоза)</w:t>
      </w:r>
    </w:p>
    <w:p w14:paraId="704F3C7B" w14:textId="77777777" w:rsidR="00A93FEC" w:rsidRPr="002974AC" w:rsidRDefault="00A93FEC" w:rsidP="00A93FEC">
      <w:pPr>
        <w:pStyle w:val="afe"/>
        <w:numPr>
          <w:ilvl w:val="0"/>
          <w:numId w:val="92"/>
        </w:numPr>
        <w:ind w:left="709" w:hanging="425"/>
        <w:rPr>
          <w:rFonts w:cs="Times New Roman"/>
          <w:szCs w:val="24"/>
        </w:rPr>
      </w:pPr>
      <w:r w:rsidRPr="002974AC">
        <w:rPr>
          <w:rFonts w:cs="Times New Roman"/>
          <w:szCs w:val="24"/>
        </w:rPr>
        <w:t>Определение концентрации ионов калия, натрия и кальция в плазме (для решения вопроса об экстренности начала проведения ЗПТ)</w:t>
      </w:r>
    </w:p>
    <w:p w14:paraId="2AD020D0" w14:textId="77777777" w:rsidR="00A93FEC" w:rsidRPr="002974AC" w:rsidRDefault="00A93FEC" w:rsidP="00A93FEC">
      <w:pPr>
        <w:pStyle w:val="afe"/>
        <w:numPr>
          <w:ilvl w:val="0"/>
          <w:numId w:val="92"/>
        </w:numPr>
        <w:ind w:left="709" w:hanging="425"/>
        <w:rPr>
          <w:rFonts w:cs="Times New Roman"/>
          <w:szCs w:val="24"/>
        </w:rPr>
      </w:pPr>
      <w:r w:rsidRPr="002974AC">
        <w:rPr>
          <w:rFonts w:cs="Times New Roman"/>
          <w:color w:val="000000" w:themeColor="text1"/>
          <w:szCs w:val="24"/>
        </w:rPr>
        <w:t xml:space="preserve">Магнитно-резонансная томография почек и мочевыводящих путей (позволяет определить </w:t>
      </w:r>
      <w:r w:rsidRPr="002974AC">
        <w:rPr>
          <w:rFonts w:cs="Times New Roman"/>
          <w:szCs w:val="24"/>
        </w:rPr>
        <w:t xml:space="preserve">структуру почечной ткани, наличия опухолевых образований и воспалительных процессов). </w:t>
      </w:r>
    </w:p>
    <w:p w14:paraId="0D879538" w14:textId="77777777" w:rsidR="00A93FEC" w:rsidRPr="002974AC" w:rsidRDefault="00A93FEC" w:rsidP="00A93FEC">
      <w:pPr>
        <w:pStyle w:val="afe"/>
        <w:ind w:left="709" w:hanging="1"/>
        <w:rPr>
          <w:rFonts w:cs="Times New Roman"/>
          <w:szCs w:val="24"/>
        </w:rPr>
      </w:pPr>
      <w:r w:rsidRPr="002974AC">
        <w:rPr>
          <w:rFonts w:cs="Times New Roman"/>
          <w:szCs w:val="24"/>
        </w:rPr>
        <w:t xml:space="preserve">Решение вопроса о контрастировании при крайней необходимости внутривенного введения рентгеноконтрастного препарата определяется консилиумом с участием гематолога, нефролога и рентгенолога. </w:t>
      </w:r>
    </w:p>
    <w:p w14:paraId="25744E07" w14:textId="77777777" w:rsidR="00A93FEC" w:rsidRPr="002974AC" w:rsidRDefault="00A93FEC" w:rsidP="00A93FEC">
      <w:pPr>
        <w:pStyle w:val="afe"/>
        <w:numPr>
          <w:ilvl w:val="0"/>
          <w:numId w:val="92"/>
        </w:numPr>
        <w:ind w:left="709" w:hanging="425"/>
        <w:rPr>
          <w:rFonts w:cs="Times New Roman"/>
          <w:szCs w:val="24"/>
        </w:rPr>
      </w:pPr>
      <w:r w:rsidRPr="002974AC">
        <w:rPr>
          <w:rFonts w:cs="Times New Roman"/>
          <w:szCs w:val="24"/>
        </w:rPr>
        <w:t>Радиоизотопная ренография (позволяет количественно определить скорость канальцевой секреции, время прохождения изотопа через почки и скорость его экскреции, что предоставит возможность оценить клиренсовую способность почек и состояние уродинамики верхних отделов мочевых путей).</w:t>
      </w:r>
    </w:p>
    <w:p w14:paraId="79E21D5C" w14:textId="77777777" w:rsidR="00A93FEC" w:rsidRPr="002974AC" w:rsidRDefault="00A93FEC" w:rsidP="00A93FEC">
      <w:pPr>
        <w:pStyle w:val="afe"/>
        <w:numPr>
          <w:ilvl w:val="0"/>
          <w:numId w:val="92"/>
        </w:numPr>
        <w:ind w:left="709" w:hanging="425"/>
        <w:rPr>
          <w:rFonts w:cs="Times New Roman"/>
          <w:szCs w:val="24"/>
        </w:rPr>
      </w:pPr>
      <w:r w:rsidRPr="002974AC">
        <w:rPr>
          <w:rFonts w:cs="Times New Roman"/>
          <w:szCs w:val="24"/>
        </w:rPr>
        <w:t xml:space="preserve">Биопсия почки (позволит выявить причину, характер почечных повреждений и их обратимость, что необходимо для решения вопроса о дальнейшем продолжении полихимиотерапии и ее интенсификации). </w:t>
      </w:r>
    </w:p>
    <w:p w14:paraId="728D42D0" w14:textId="77777777" w:rsidR="00A93FEC" w:rsidRPr="002974AC" w:rsidRDefault="00A93FEC" w:rsidP="00A93FEC">
      <w:pPr>
        <w:pStyle w:val="afe"/>
        <w:ind w:left="709" w:hanging="1"/>
        <w:rPr>
          <w:rFonts w:cs="Times New Roman"/>
          <w:szCs w:val="24"/>
        </w:rPr>
      </w:pPr>
      <w:r w:rsidRPr="002974AC">
        <w:rPr>
          <w:rFonts w:cs="Times New Roman"/>
          <w:szCs w:val="24"/>
        </w:rPr>
        <w:t xml:space="preserve">Решение о выполнении биопсии почки принимается консилиумом с участием гематолога и нефролога. В каждом случае определяется целесообразность выполнения биопсии почки, чтобы диагностические цели не превышали риск возможных осложнений. </w:t>
      </w:r>
    </w:p>
    <w:p w14:paraId="30491116" w14:textId="77777777" w:rsidR="00A93FEC" w:rsidRPr="00F65F6F" w:rsidRDefault="00A93FEC" w:rsidP="00A93FEC">
      <w:pPr>
        <w:shd w:val="clear" w:color="auto" w:fill="FFFFFF" w:themeFill="background1"/>
        <w:contextualSpacing/>
        <w:rPr>
          <w:rFonts w:cs="Times New Roman"/>
          <w:szCs w:val="24"/>
        </w:rPr>
      </w:pPr>
      <w:r w:rsidRPr="00F65F6F">
        <w:rPr>
          <w:rFonts w:cs="Times New Roman"/>
          <w:szCs w:val="24"/>
        </w:rPr>
        <w:t>Биопсия почки показана при:</w:t>
      </w:r>
    </w:p>
    <w:p w14:paraId="7E2145A4" w14:textId="77777777" w:rsidR="00A93FEC" w:rsidRPr="00F65F6F" w:rsidRDefault="00A93FEC" w:rsidP="00A93FEC">
      <w:pPr>
        <w:pStyle w:val="afe"/>
        <w:numPr>
          <w:ilvl w:val="0"/>
          <w:numId w:val="88"/>
        </w:numPr>
        <w:shd w:val="clear" w:color="auto" w:fill="FFFFFF" w:themeFill="background1"/>
        <w:rPr>
          <w:rFonts w:cs="Times New Roman"/>
          <w:szCs w:val="24"/>
        </w:rPr>
      </w:pPr>
      <w:r w:rsidRPr="00F65F6F">
        <w:rPr>
          <w:rFonts w:cs="Times New Roman"/>
          <w:szCs w:val="24"/>
        </w:rPr>
        <w:t>подозрении на опухолевое поражение почки;</w:t>
      </w:r>
    </w:p>
    <w:p w14:paraId="5D799DD0" w14:textId="77777777" w:rsidR="00A93FEC" w:rsidRPr="00F65F6F" w:rsidRDefault="00A93FEC" w:rsidP="00A93FEC">
      <w:pPr>
        <w:pStyle w:val="afe"/>
        <w:numPr>
          <w:ilvl w:val="0"/>
          <w:numId w:val="88"/>
        </w:numPr>
        <w:shd w:val="clear" w:color="auto" w:fill="FFFFFF" w:themeFill="background1"/>
        <w:rPr>
          <w:rFonts w:cs="Times New Roman"/>
          <w:szCs w:val="24"/>
        </w:rPr>
      </w:pPr>
      <w:r w:rsidRPr="00F65F6F">
        <w:rPr>
          <w:rFonts w:cs="Times New Roman"/>
          <w:szCs w:val="24"/>
        </w:rPr>
        <w:t>патологии почки неясной этиологии;</w:t>
      </w:r>
    </w:p>
    <w:p w14:paraId="1DA80A82" w14:textId="77777777" w:rsidR="00A93FEC" w:rsidRPr="00F65F6F" w:rsidRDefault="00A93FEC" w:rsidP="00A93FEC">
      <w:pPr>
        <w:pStyle w:val="afe"/>
        <w:numPr>
          <w:ilvl w:val="0"/>
          <w:numId w:val="88"/>
        </w:numPr>
        <w:shd w:val="clear" w:color="auto" w:fill="FFFFFF" w:themeFill="background1"/>
        <w:rPr>
          <w:rFonts w:cs="Times New Roman"/>
          <w:szCs w:val="24"/>
        </w:rPr>
      </w:pPr>
      <w:r w:rsidRPr="00F65F6F">
        <w:rPr>
          <w:rFonts w:cs="Times New Roman"/>
          <w:szCs w:val="24"/>
        </w:rPr>
        <w:t>нефротическом синдроме;</w:t>
      </w:r>
    </w:p>
    <w:p w14:paraId="52A7DDD0" w14:textId="77777777" w:rsidR="00A93FEC" w:rsidRPr="00F65F6F" w:rsidRDefault="00A93FEC" w:rsidP="00A93FEC">
      <w:pPr>
        <w:pStyle w:val="afe"/>
        <w:numPr>
          <w:ilvl w:val="0"/>
          <w:numId w:val="88"/>
        </w:numPr>
        <w:shd w:val="clear" w:color="auto" w:fill="FFFFFF" w:themeFill="background1"/>
        <w:rPr>
          <w:rFonts w:cs="Times New Roman"/>
          <w:szCs w:val="24"/>
        </w:rPr>
      </w:pPr>
      <w:r w:rsidRPr="00F65F6F">
        <w:rPr>
          <w:rFonts w:cs="Times New Roman"/>
          <w:szCs w:val="24"/>
        </w:rPr>
        <w:t>длительной, неуточненной микрогематурии</w:t>
      </w:r>
    </w:p>
    <w:p w14:paraId="0CF5646F" w14:textId="77777777" w:rsidR="00A93FEC" w:rsidRPr="00F65F6F" w:rsidRDefault="00A93FEC" w:rsidP="00A93FEC">
      <w:pPr>
        <w:pStyle w:val="afe"/>
        <w:numPr>
          <w:ilvl w:val="0"/>
          <w:numId w:val="88"/>
        </w:numPr>
        <w:shd w:val="clear" w:color="auto" w:fill="FFFFFF" w:themeFill="background1"/>
        <w:rPr>
          <w:rFonts w:cs="Times New Roman"/>
          <w:szCs w:val="24"/>
        </w:rPr>
      </w:pPr>
      <w:r w:rsidRPr="00F65F6F">
        <w:rPr>
          <w:rFonts w:cs="Times New Roman"/>
          <w:szCs w:val="24"/>
        </w:rPr>
        <w:t>быстром снижении функции почек и развитии острого повреждения почек.</w:t>
      </w:r>
    </w:p>
    <w:p w14:paraId="3D1AB112" w14:textId="77777777" w:rsidR="00A93FEC" w:rsidRPr="00F65F6F" w:rsidRDefault="00A93FEC" w:rsidP="00A93FEC">
      <w:pPr>
        <w:shd w:val="clear" w:color="auto" w:fill="FFFFFF" w:themeFill="background1"/>
        <w:contextualSpacing/>
        <w:rPr>
          <w:rFonts w:cs="Times New Roman"/>
          <w:szCs w:val="24"/>
        </w:rPr>
      </w:pPr>
      <w:r w:rsidRPr="00F65F6F">
        <w:rPr>
          <w:rFonts w:cs="Times New Roman"/>
          <w:szCs w:val="24"/>
        </w:rPr>
        <w:t>Необходимые условия для выполнения биопсии:</w:t>
      </w:r>
    </w:p>
    <w:p w14:paraId="4407C29A" w14:textId="77777777" w:rsidR="00A93FEC" w:rsidRPr="00F65F6F" w:rsidRDefault="00A93FEC" w:rsidP="00A93FEC">
      <w:pPr>
        <w:pStyle w:val="afe"/>
        <w:numPr>
          <w:ilvl w:val="0"/>
          <w:numId w:val="89"/>
        </w:numPr>
        <w:shd w:val="clear" w:color="auto" w:fill="FFFFFF" w:themeFill="background1"/>
        <w:rPr>
          <w:rFonts w:cs="Times New Roman"/>
          <w:szCs w:val="24"/>
        </w:rPr>
      </w:pPr>
      <w:r w:rsidRPr="00F65F6F">
        <w:rPr>
          <w:rFonts w:cs="Times New Roman"/>
          <w:szCs w:val="24"/>
        </w:rPr>
        <w:t>отсутствие аномалии развития почек (нефроптоз, неполное/полное удвоение почки и др.);</w:t>
      </w:r>
    </w:p>
    <w:p w14:paraId="78C15739" w14:textId="77777777" w:rsidR="00A93FEC" w:rsidRPr="00F65F6F" w:rsidRDefault="00A93FEC" w:rsidP="00A93FEC">
      <w:pPr>
        <w:pStyle w:val="afe"/>
        <w:numPr>
          <w:ilvl w:val="0"/>
          <w:numId w:val="89"/>
        </w:numPr>
        <w:shd w:val="clear" w:color="auto" w:fill="FFFFFF" w:themeFill="background1"/>
        <w:rPr>
          <w:rFonts w:cs="Times New Roman"/>
          <w:szCs w:val="24"/>
        </w:rPr>
      </w:pPr>
      <w:r w:rsidRPr="00F65F6F">
        <w:rPr>
          <w:rFonts w:cs="Times New Roman"/>
          <w:szCs w:val="24"/>
        </w:rPr>
        <w:t>отсутствие лейкоцитурии, бактериурии;</w:t>
      </w:r>
    </w:p>
    <w:p w14:paraId="2C3C1846" w14:textId="77777777" w:rsidR="00A93FEC" w:rsidRPr="00F65F6F" w:rsidRDefault="00A93FEC" w:rsidP="00A93FEC">
      <w:pPr>
        <w:pStyle w:val="afe"/>
        <w:numPr>
          <w:ilvl w:val="0"/>
          <w:numId w:val="89"/>
        </w:numPr>
        <w:shd w:val="clear" w:color="auto" w:fill="FFFFFF" w:themeFill="background1"/>
        <w:rPr>
          <w:rFonts w:cs="Times New Roman"/>
          <w:szCs w:val="24"/>
        </w:rPr>
      </w:pPr>
      <w:r w:rsidRPr="00F65F6F">
        <w:rPr>
          <w:rFonts w:cs="Times New Roman"/>
          <w:szCs w:val="24"/>
        </w:rPr>
        <w:t>количество тромбоцитов в периферической крови  ≥  70х10</w:t>
      </w:r>
      <w:r w:rsidRPr="00F65F6F">
        <w:rPr>
          <w:rFonts w:cs="Times New Roman"/>
          <w:szCs w:val="24"/>
          <w:vertAlign w:val="superscript"/>
        </w:rPr>
        <w:t>9</w:t>
      </w:r>
      <w:r w:rsidRPr="00F65F6F">
        <w:rPr>
          <w:rFonts w:cs="Times New Roman"/>
          <w:szCs w:val="24"/>
        </w:rPr>
        <w:t>/л;</w:t>
      </w:r>
    </w:p>
    <w:p w14:paraId="187C04EE" w14:textId="77777777" w:rsidR="00A93FEC" w:rsidRPr="00F65F6F" w:rsidRDefault="00A93FEC" w:rsidP="00A93FEC">
      <w:pPr>
        <w:pStyle w:val="afe"/>
        <w:numPr>
          <w:ilvl w:val="0"/>
          <w:numId w:val="89"/>
        </w:numPr>
        <w:shd w:val="clear" w:color="auto" w:fill="FFFFFF" w:themeFill="background1"/>
        <w:rPr>
          <w:rFonts w:cs="Times New Roman"/>
          <w:szCs w:val="24"/>
        </w:rPr>
      </w:pPr>
      <w:r w:rsidRPr="00F65F6F">
        <w:rPr>
          <w:rFonts w:cs="Times New Roman"/>
          <w:szCs w:val="24"/>
        </w:rPr>
        <w:t>контроль показателей тромбоэластограммы;</w:t>
      </w:r>
    </w:p>
    <w:p w14:paraId="68D5ED95" w14:textId="77777777" w:rsidR="00A93FEC" w:rsidRPr="00F65F6F" w:rsidRDefault="00A93FEC" w:rsidP="00A93FEC">
      <w:pPr>
        <w:pStyle w:val="afe"/>
        <w:numPr>
          <w:ilvl w:val="0"/>
          <w:numId w:val="89"/>
        </w:numPr>
        <w:shd w:val="clear" w:color="auto" w:fill="FFFFFF" w:themeFill="background1"/>
        <w:rPr>
          <w:rFonts w:cs="Times New Roman"/>
          <w:szCs w:val="24"/>
        </w:rPr>
      </w:pPr>
      <w:r w:rsidRPr="00F65F6F">
        <w:rPr>
          <w:rFonts w:cs="Times New Roman"/>
          <w:szCs w:val="24"/>
        </w:rPr>
        <w:t>предварительная коррекция выявленных  нарушений гемостаза.</w:t>
      </w:r>
    </w:p>
    <w:p w14:paraId="72086623" w14:textId="77777777" w:rsidR="00A93FEC" w:rsidRDefault="00A93FEC" w:rsidP="00A93FEC">
      <w:pPr>
        <w:shd w:val="clear" w:color="auto" w:fill="FFFFFF" w:themeFill="background1"/>
        <w:rPr>
          <w:rFonts w:cs="Times New Roman"/>
          <w:szCs w:val="24"/>
        </w:rPr>
      </w:pPr>
      <w:r w:rsidRPr="00F65F6F">
        <w:rPr>
          <w:rFonts w:cs="Times New Roman"/>
          <w:szCs w:val="24"/>
        </w:rPr>
        <w:t xml:space="preserve">Гистологическое исследование нефробиоптата позволяет выявить  наличие опухолевой  инфильтрации в паренхиме почки, оценить обратимость повреждения нефрона. Необходимо выполнить иммуногистохимическое, иммунофлюоресцентное и электронно-микроскопическое исследование нефробиоптата.  </w:t>
      </w:r>
    </w:p>
    <w:p w14:paraId="474333F7" w14:textId="77777777" w:rsidR="00A93FEC" w:rsidRPr="00F65F6F" w:rsidRDefault="00A93FEC" w:rsidP="00A93FEC">
      <w:pPr>
        <w:shd w:val="clear" w:color="auto" w:fill="FFFFFF" w:themeFill="background1"/>
        <w:rPr>
          <w:rFonts w:cs="Times New Roman"/>
          <w:szCs w:val="24"/>
        </w:rPr>
      </w:pPr>
    </w:p>
    <w:p w14:paraId="782D7041" w14:textId="79261DB4" w:rsidR="00A93FEC" w:rsidRPr="00FE0E8C" w:rsidRDefault="00A93FEC" w:rsidP="00A93FEC">
      <w:pPr>
        <w:autoSpaceDE w:val="0"/>
        <w:contextualSpacing/>
        <w:rPr>
          <w:rFonts w:eastAsia="Times New Roman" w:cs="Times New Roman"/>
          <w:bCs/>
          <w:i/>
          <w:iCs/>
          <w:szCs w:val="24"/>
          <w:u w:val="single"/>
          <w:lang w:eastAsia="ru-RU"/>
        </w:rPr>
      </w:pPr>
      <w:r w:rsidRPr="00FE0E8C">
        <w:rPr>
          <w:rFonts w:eastAsia="Times New Roman" w:cs="Times New Roman"/>
          <w:bCs/>
          <w:i/>
          <w:iCs/>
          <w:szCs w:val="24"/>
          <w:u w:val="single"/>
          <w:lang w:eastAsia="ru-RU"/>
        </w:rPr>
        <w:t>Рекомендации по лечению гематологических заболеваний, сопровождающихся поражением почек</w:t>
      </w:r>
      <w:r w:rsidRPr="00B90334">
        <w:rPr>
          <w:rFonts w:eastAsia="Times New Roman" w:cs="Times New Roman"/>
          <w:bCs/>
          <w:i/>
          <w:iCs/>
          <w:szCs w:val="24"/>
          <w:u w:val="single"/>
          <w:lang w:eastAsia="ru-RU"/>
        </w:rPr>
        <w:t xml:space="preserve"> </w:t>
      </w:r>
      <w:r>
        <w:rPr>
          <w:rFonts w:eastAsia="Times New Roman" w:cs="Times New Roman"/>
          <w:szCs w:val="24"/>
          <w:lang w:eastAsia="ru-RU"/>
        </w:rPr>
        <w:fldChar w:fldCharType="begin" w:fldLock="1"/>
      </w:r>
      <w:r w:rsidR="00500503">
        <w:rPr>
          <w:rFonts w:eastAsia="Times New Roman" w:cs="Times New Roman"/>
          <w:szCs w:val="24"/>
          <w:lang w:eastAsia="ru-RU"/>
        </w:rPr>
        <w:instrText>ADDIN CSL_CITATION {"citationItems":[{"id":"ITEM-1","itemData":{"author":[{"dropping-particle":"","family":"Джумабаева","given":"Б.Т.","non-dropping-particle":"","parse-names":false,"suffix":""},{"dropping-particle":"","family":"Бирюкова","given":"Л.С.","non-dropping-particle":"","parse-names":false,"suffix":""},{"dropping-particle":"","family":"Варшавский","given":"В.А.","non-dropping-particle":"","parse-names":false,"suffix":""},{"dropping-particle":"","family":"Марьина","given":"С.А.","non-dropping-particle":"","parse-names":false,"suffix":""},{"dropping-particle":"","family":"Рощина","given":"Л.С.","non-dropping-particle":"","parse-names":false,"suffix":""},{"dropping-particle":"","family":"Джулакян","given":"У.Л.","non-dropping-particle":"","parse-names":false,"suffix":""},{"dropping-particle":"","family":"Столяревич","given":"Е.C.","non-dropping-particle":"","parse-names":false,"suffix":""}],"container-title":"Онкогематология","id":"ITEM-1","issue":"1","issued":{"date-parts":[["2017"]]},"page":"44-54","title":"Клинико-лабораторные и морфологические особенности поражения почек при лимфопролиферативных заболеваниях","type":"article-journal","volume":"7"},"uris":["http://www.mendeley.com/documents/?uuid=50a28e00-c058-46cf-b75a-5bfd40395f93"]},{"id":"ITEM-2","itemData":{"author":[{"dropping-particle":"","family":"Рехтина","given":"И.Г.","non-dropping-particle":"","parse-names":false,"suffix":""},{"dropping-particle":"","family":"Голицина","given":"Е.П.","non-dropping-particle":"","parse-names":false,"suffix":""},{"dropping-particle":"","family":"Варламова","given":"Е.Ю.","non-dropping-particle":"","parse-names":false,"suffix":""},{"dropping-particle":"","family":"Варшавский","given":"В.А.","non-dropping-particle":"","parse-names":false,"suffix":""},{"dropping-particle":"","family":"Киреева","given":"А.А.","non-dropping-particle":"","parse-names":false,"suffix":""},{"dropping-particle":"","family":"Бирюкова","given":"Л.С.","non-dropping-particle":"","parse-names":false,"suffix":""},{"dropping-particle":"","family":"Савченко","given":"В.Г.","non-dropping-particle":"","parse-names":false,"suffix":""}],"container-title":"Терапевтический архив","id":"ITEM-2","issue":"3","issued":{"date-parts":[["2013"]]},"page":"80-85","title":"Морфологические и иммунохимические особенности нефропатий при множественной миеломе с тяжелой почечной недостаточностью","type":"article-journal","volume":"85"},"uris":["http://www.mendeley.com/documents/?uuid=b7e4aa0d-a654-44bd-b363-35e45db6262e"]},{"id":"ITEM-3","itemData":{"author":[{"dropping-particle":"","family":"Ворожейкина","given":"Е.Г.","non-dropping-particle":"","parse-names":false,"suffix":""},{"dropping-particle":"","family":"Бирюкова","given":"Л.С.","non-dropping-particle":"","parse-names":false,"suffix":""},{"dropping-particle":"","family":"Савченко","given":"В.Г.","non-dropping-particle":"","parse-names":false,"suffix":""}],"container-title":"Гематология и трансфузиология","id":"ITEM-3","issue":"3","issued":{"date-parts":[["2011"]]},"page":"24-27","title":"Клинико-лабораторные проявления нефропатий у больных острыми лейкозами","type":"article-journal","volume":"56"},"uris":["http://www.mendeley.com/documents/?uuid=137272d3-cc35-4bfd-b2f3-d7af020af652"]}],"mendeley":{"formattedCitation":"[115–117]","plainTextFormattedCitation":"[115–117]","previouslyFormattedCitation":"[115–117]"},"properties":{"noteIndex":0},"schema":"https://github.com/citation-style-language/schema/raw/master/csl-citation.json"}</w:instrText>
      </w:r>
      <w:r>
        <w:rPr>
          <w:rFonts w:eastAsia="Times New Roman" w:cs="Times New Roman"/>
          <w:szCs w:val="24"/>
          <w:lang w:eastAsia="ru-RU"/>
        </w:rPr>
        <w:fldChar w:fldCharType="separate"/>
      </w:r>
      <w:r w:rsidR="00A07851" w:rsidRPr="00A07851">
        <w:rPr>
          <w:rFonts w:eastAsia="Times New Roman" w:cs="Times New Roman"/>
          <w:noProof/>
          <w:szCs w:val="24"/>
          <w:lang w:eastAsia="ru-RU"/>
        </w:rPr>
        <w:t>[115–117]</w:t>
      </w:r>
      <w:r>
        <w:rPr>
          <w:rFonts w:eastAsia="Times New Roman" w:cs="Times New Roman"/>
          <w:szCs w:val="24"/>
          <w:lang w:eastAsia="ru-RU"/>
        </w:rPr>
        <w:fldChar w:fldCharType="end"/>
      </w:r>
      <w:r w:rsidRPr="00FE0E8C">
        <w:rPr>
          <w:rFonts w:eastAsia="Times New Roman" w:cs="Times New Roman"/>
          <w:bCs/>
          <w:i/>
          <w:iCs/>
          <w:szCs w:val="24"/>
          <w:u w:val="single"/>
          <w:lang w:eastAsia="ru-RU"/>
        </w:rPr>
        <w:t>.</w:t>
      </w:r>
    </w:p>
    <w:p w14:paraId="0238728A" w14:textId="77777777" w:rsidR="00A93FEC" w:rsidRPr="00CC1841" w:rsidRDefault="00A93FEC" w:rsidP="00A93FEC">
      <w:pPr>
        <w:widowControl w:val="0"/>
        <w:suppressAutoHyphens/>
        <w:rPr>
          <w:rFonts w:eastAsia="Calibri" w:cs="Times New Roman"/>
          <w:szCs w:val="24"/>
          <w:lang w:eastAsia="ar-SA"/>
        </w:rPr>
      </w:pPr>
      <w:r w:rsidRPr="00F65F6F">
        <w:rPr>
          <w:rFonts w:eastAsia="Arial" w:cs="Times New Roman"/>
          <w:kern w:val="1"/>
          <w:szCs w:val="24"/>
        </w:rPr>
        <w:t xml:space="preserve">В последние десятилетия достигнуты значительные успехи в лечении гематологических </w:t>
      </w:r>
      <w:r w:rsidRPr="00F65F6F">
        <w:rPr>
          <w:rFonts w:eastAsia="Times New Roman" w:cs="Times New Roman"/>
          <w:szCs w:val="24"/>
          <w:lang w:eastAsia="ar-SA"/>
        </w:rPr>
        <w:t>заболеваний, в особенности лейкозов и лимфом</w:t>
      </w:r>
      <w:r w:rsidRPr="00F65F6F">
        <w:rPr>
          <w:rFonts w:eastAsia="Arial" w:cs="Times New Roman"/>
          <w:kern w:val="1"/>
          <w:szCs w:val="24"/>
        </w:rPr>
        <w:t xml:space="preserve">, что связано с интенсификацией режимов терапии, включением таргетных препаратов, проведением высокодозной химиотерапии с трансплантацией гемопоэтических стволовых клеток. </w:t>
      </w:r>
      <w:r w:rsidRPr="00F65F6F">
        <w:rPr>
          <w:rFonts w:eastAsia="Times New Roman" w:cs="Times New Roman"/>
          <w:szCs w:val="24"/>
          <w:lang w:eastAsia="ar-SA"/>
        </w:rPr>
        <w:t>От в</w:t>
      </w:r>
      <w:r w:rsidRPr="00F65F6F">
        <w:rPr>
          <w:rFonts w:eastAsia="Times New Roman" w:cs="Times New Roman"/>
          <w:szCs w:val="24"/>
          <w:lang w:eastAsia="ru-RU"/>
        </w:rPr>
        <w:t xml:space="preserve">ыбора препаратов и определения интенсивности лечения </w:t>
      </w:r>
      <w:r w:rsidRPr="00F65F6F">
        <w:rPr>
          <w:rFonts w:eastAsia="Times New Roman" w:cs="Times New Roman"/>
          <w:szCs w:val="24"/>
          <w:lang w:eastAsia="ar-SA"/>
        </w:rPr>
        <w:t>зависит не только прогноз заболевания в целом, но и тяжесть возможных осложнений.</w:t>
      </w:r>
      <w:r w:rsidRPr="00F65F6F">
        <w:rPr>
          <w:rFonts w:eastAsia="Calibri" w:cs="Times New Roman"/>
          <w:szCs w:val="24"/>
          <w:lang w:eastAsia="ar-SA"/>
        </w:rPr>
        <w:t xml:space="preserve"> В связи с этим возникает необходимость поиска баланса между токсичностью и эффективностью лекарственных препаратов, поскольку ряд химиопрепаратов вызывают токсическое поражение почек, проявляющееся развитием почечной недостаточности, ТМА, ГУС, ТТП, ДВС, синдрома Фанкони, почечного несахарного диабета, электролитных нарушений и синдрома лизиса опухоли. Исходно вовлеченные в паранеопластический процесс почки наиболее уязвимы для токсического воздействия лекарственных препаратов. При химиотерапии пациентов с </w:t>
      </w:r>
      <w:r w:rsidRPr="00F65F6F">
        <w:rPr>
          <w:rFonts w:eastAsia="Calibri" w:cs="Times New Roman"/>
          <w:color w:val="000000"/>
          <w:szCs w:val="24"/>
          <w:lang w:eastAsia="ar-SA"/>
        </w:rPr>
        <w:t xml:space="preserve">гематологическими </w:t>
      </w:r>
      <w:r w:rsidRPr="00F65F6F">
        <w:rPr>
          <w:rFonts w:eastAsia="Calibri" w:cs="Times New Roman"/>
          <w:szCs w:val="24"/>
          <w:lang w:eastAsia="ar-SA"/>
        </w:rPr>
        <w:t>заболеваниями, ассоциированными с почечной недостаточностью, необходима коррекция дозы препарата в зависимости от</w:t>
      </w:r>
      <w:r w:rsidRPr="00F65F6F">
        <w:rPr>
          <w:rFonts w:eastAsia="Calibri" w:cs="Times New Roman"/>
          <w:color w:val="FF0000"/>
          <w:szCs w:val="24"/>
          <w:lang w:eastAsia="ar-SA"/>
        </w:rPr>
        <w:t xml:space="preserve"> </w:t>
      </w:r>
      <w:r w:rsidRPr="00F65F6F">
        <w:rPr>
          <w:rFonts w:eastAsia="Calibri" w:cs="Times New Roman"/>
          <w:color w:val="000000"/>
          <w:szCs w:val="24"/>
          <w:lang w:eastAsia="ar-SA"/>
        </w:rPr>
        <w:t xml:space="preserve">концентрации </w:t>
      </w:r>
      <w:r w:rsidRPr="00F65F6F">
        <w:rPr>
          <w:rFonts w:eastAsia="Calibri" w:cs="Times New Roman"/>
          <w:szCs w:val="24"/>
          <w:lang w:eastAsia="ar-SA"/>
        </w:rPr>
        <w:t xml:space="preserve">креатинина </w:t>
      </w:r>
      <w:r w:rsidRPr="00F65F6F">
        <w:rPr>
          <w:rFonts w:eastAsia="Calibri" w:cs="Times New Roman"/>
          <w:color w:val="000000"/>
          <w:szCs w:val="24"/>
          <w:lang w:eastAsia="ar-SA"/>
        </w:rPr>
        <w:t xml:space="preserve">в </w:t>
      </w:r>
      <w:r w:rsidRPr="00CC1841">
        <w:rPr>
          <w:rFonts w:eastAsia="Calibri" w:cs="Times New Roman"/>
          <w:color w:val="000000"/>
          <w:szCs w:val="24"/>
          <w:lang w:eastAsia="ar-SA"/>
        </w:rPr>
        <w:t xml:space="preserve">сыворотке </w:t>
      </w:r>
      <w:r w:rsidRPr="00CC1841">
        <w:rPr>
          <w:rFonts w:eastAsia="Calibri" w:cs="Times New Roman"/>
          <w:szCs w:val="24"/>
          <w:lang w:eastAsia="ar-SA"/>
        </w:rPr>
        <w:t xml:space="preserve">крови (таб. 5). </w:t>
      </w:r>
    </w:p>
    <w:p w14:paraId="4A8ED49A" w14:textId="77777777" w:rsidR="00A93FEC" w:rsidRPr="00CC1841" w:rsidRDefault="00A93FEC" w:rsidP="00A93FEC">
      <w:pPr>
        <w:tabs>
          <w:tab w:val="left" w:pos="284"/>
          <w:tab w:val="left" w:pos="567"/>
        </w:tabs>
        <w:suppressAutoHyphens/>
        <w:rPr>
          <w:rFonts w:eastAsia="Calibri" w:cs="Times New Roman"/>
          <w:szCs w:val="24"/>
          <w:lang w:eastAsia="ar-SA"/>
        </w:rPr>
      </w:pPr>
    </w:p>
    <w:p w14:paraId="647EE1D3" w14:textId="13BFE5DB" w:rsidR="00A93FEC" w:rsidRPr="00EE2ABD" w:rsidRDefault="00A93FEC" w:rsidP="00A93FEC">
      <w:pPr>
        <w:tabs>
          <w:tab w:val="left" w:pos="284"/>
          <w:tab w:val="left" w:pos="567"/>
        </w:tabs>
        <w:suppressAutoHyphens/>
        <w:rPr>
          <w:rFonts w:eastAsia="Calibri" w:cs="Times New Roman"/>
          <w:bCs/>
          <w:szCs w:val="24"/>
          <w:lang w:eastAsia="ar-SA"/>
        </w:rPr>
      </w:pPr>
      <w:r w:rsidRPr="00CC1841">
        <w:rPr>
          <w:rFonts w:eastAsia="Calibri" w:cs="Times New Roman"/>
          <w:bCs/>
          <w:szCs w:val="24"/>
          <w:lang w:eastAsia="ar-SA"/>
        </w:rPr>
        <w:t>Таблица 5. Коррекция дозы препаратов в зависимости от скорости клубочковой фильтрации</w:t>
      </w:r>
      <w:r w:rsidRPr="00EE2ABD">
        <w:rPr>
          <w:rFonts w:eastAsia="Calibri" w:cs="Times New Roman"/>
          <w:bCs/>
          <w:szCs w:val="24"/>
          <w:lang w:eastAsia="ar-SA"/>
        </w:rPr>
        <w:t xml:space="preserve"> </w:t>
      </w:r>
      <w:r>
        <w:rPr>
          <w:rFonts w:eastAsia="Times New Roman" w:cs="Times New Roman"/>
          <w:szCs w:val="24"/>
          <w:lang w:eastAsia="ru-RU"/>
        </w:rPr>
        <w:fldChar w:fldCharType="begin" w:fldLock="1"/>
      </w:r>
      <w:r w:rsidR="00500503">
        <w:rPr>
          <w:rFonts w:eastAsia="Times New Roman" w:cs="Times New Roman"/>
          <w:szCs w:val="24"/>
          <w:lang w:eastAsia="ru-RU"/>
        </w:rPr>
        <w:instrText>ADDIN CSL_CITATION {"citationItems":[{"id":"ITEM-1","itemData":{"author":[{"dropping-particle":"","family":"Джумабаева","given":"Б.Т.","non-dropping-particle":"","parse-names":false,"suffix":""},{"dropping-particle":"","family":"Бирюкова","given":"Л.С.","non-dropping-particle":"","parse-names":false,"suffix":""},{"dropping-particle":"","family":"Варшавский","given":"В.А.","non-dropping-particle":"","parse-names":false,"suffix":""},{"dropping-particle":"","family":"Марьина","given":"С.А.","non-dropping-particle":"","parse-names":false,"suffix":""},{"dropping-particle":"","family":"Рощина","given":"Л.С.","non-dropping-particle":"","parse-names":false,"suffix":""},{"dropping-particle":"","family":"Джулакян","given":"У.Л.","non-dropping-particle":"","parse-names":false,"suffix":""},{"dropping-particle":"","family":"Столяревич","given":"Е.C.","non-dropping-particle":"","parse-names":false,"suffix":""}],"container-title":"Онкогематология","id":"ITEM-1","issue":"1","issued":{"date-parts":[["2017"]]},"page":"44-54","title":"Клинико-лабораторные и морфологические особенности поражения почек при лимфопролиферативных заболеваниях","type":"article-journal","volume":"7"},"uris":["http://www.mendeley.com/documents/?uuid=50a28e00-c058-46cf-b75a-5bfd40395f93"]},{"id":"ITEM-2","itemData":{"author":[{"dropping-particle":"","family":"Рехтина","given":"И.Г.","non-dropping-particle":"","parse-names":false,"suffix":""},{"dropping-particle":"","family":"Голицина","given":"Е.П.","non-dropping-particle":"","parse-names":false,"suffix":""},{"dropping-particle":"","family":"Варламова","given":"Е.Ю.","non-dropping-particle":"","parse-names":false,"suffix":""},{"dropping-particle":"","family":"Варшавский","given":"В.А.","non-dropping-particle":"","parse-names":false,"suffix":""},{"dropping-particle":"","family":"Киреева","given":"А.А.","non-dropping-particle":"","parse-names":false,"suffix":""},{"dropping-particle":"","family":"Бирюкова","given":"Л.С.","non-dropping-particle":"","parse-names":false,"suffix":""},{"dropping-particle":"","family":"Савченко","given":"В.Г.","non-dropping-particle":"","parse-names":false,"suffix":""}],"container-title":"Терапевтический архив","id":"ITEM-2","issue":"3","issued":{"date-parts":[["2013"]]},"page":"80-85","title":"Морфологические и иммунохимические особенности нефропатий при множественной миеломе с тяжелой почечной недостаточностью","type":"article-journal","volume":"85"},"uris":["http://www.mendeley.com/documents/?uuid=b7e4aa0d-a654-44bd-b363-35e45db6262e"]},{"id":"ITEM-3","itemData":{"author":[{"dropping-particle":"","family":"Ворожейкина","given":"Е.Г.","non-dropping-particle":"","parse-names":false,"suffix":""},{"dropping-particle":"","family":"Бирюкова","given":"Л.С.","non-dropping-particle":"","parse-names":false,"suffix":""},{"dropping-particle":"","family":"Савченко","given":"В.Г.","non-dropping-particle":"","parse-names":false,"suffix":""}],"container-title":"Гематология и трансфузиология","id":"ITEM-3","issue":"3","issued":{"date-parts":[["2011"]]},"page":"24-27","title":"Клинико-лабораторные проявления нефропатий у больных острыми лейкозами","type":"article-journal","volume":"56"},"uris":["http://www.mendeley.com/documents/?uuid=137272d3-cc35-4bfd-b2f3-d7af020af652"]}],"mendeley":{"formattedCitation":"[115–117]","plainTextFormattedCitation":"[115–117]","previouslyFormattedCitation":"[115–117]"},"properties":{"noteIndex":0},"schema":"https://github.com/citation-style-language/schema/raw/master/csl-citation.json"}</w:instrText>
      </w:r>
      <w:r>
        <w:rPr>
          <w:rFonts w:eastAsia="Times New Roman" w:cs="Times New Roman"/>
          <w:szCs w:val="24"/>
          <w:lang w:eastAsia="ru-RU"/>
        </w:rPr>
        <w:fldChar w:fldCharType="separate"/>
      </w:r>
      <w:r w:rsidR="00A07851" w:rsidRPr="00A07851">
        <w:rPr>
          <w:rFonts w:eastAsia="Times New Roman" w:cs="Times New Roman"/>
          <w:noProof/>
          <w:szCs w:val="24"/>
          <w:lang w:eastAsia="ru-RU"/>
        </w:rPr>
        <w:t>[115–117]</w:t>
      </w:r>
      <w:r>
        <w:rPr>
          <w:rFonts w:eastAsia="Times New Roman" w:cs="Times New Roman"/>
          <w:szCs w:val="24"/>
          <w:lang w:eastAsia="ru-RU"/>
        </w:rPr>
        <w:fldChar w:fldCharType="end"/>
      </w:r>
    </w:p>
    <w:tbl>
      <w:tblPr>
        <w:tblStyle w:val="51"/>
        <w:tblW w:w="0" w:type="auto"/>
        <w:tblLook w:val="04A0" w:firstRow="1" w:lastRow="0" w:firstColumn="1" w:lastColumn="0" w:noHBand="0" w:noVBand="1"/>
      </w:tblPr>
      <w:tblGrid>
        <w:gridCol w:w="2899"/>
        <w:gridCol w:w="2261"/>
        <w:gridCol w:w="1851"/>
        <w:gridCol w:w="276"/>
        <w:gridCol w:w="2059"/>
      </w:tblGrid>
      <w:tr w:rsidR="00A93FEC" w:rsidRPr="00F65F6F" w14:paraId="2E2A3DD9" w14:textId="77777777" w:rsidTr="002D3EBF">
        <w:tc>
          <w:tcPr>
            <w:tcW w:w="2943" w:type="dxa"/>
            <w:vMerge w:val="restart"/>
            <w:hideMark/>
          </w:tcPr>
          <w:p w14:paraId="72AA503D" w14:textId="77777777" w:rsidR="00A93FEC" w:rsidRPr="00F65F6F" w:rsidRDefault="00A93FEC" w:rsidP="00A07851">
            <w:pPr>
              <w:tabs>
                <w:tab w:val="left" w:pos="284"/>
                <w:tab w:val="left" w:pos="567"/>
              </w:tabs>
              <w:suppressAutoHyphens/>
              <w:snapToGrid w:val="0"/>
              <w:spacing w:line="240" w:lineRule="auto"/>
              <w:ind w:firstLine="0"/>
              <w:rPr>
                <w:lang w:eastAsia="ar-SA"/>
              </w:rPr>
            </w:pPr>
            <w:r w:rsidRPr="00F65F6F">
              <w:rPr>
                <w:lang w:eastAsia="ar-SA"/>
              </w:rPr>
              <w:t>Лекарственный препарат</w:t>
            </w:r>
          </w:p>
        </w:tc>
        <w:tc>
          <w:tcPr>
            <w:tcW w:w="6633" w:type="dxa"/>
            <w:gridSpan w:val="4"/>
            <w:hideMark/>
          </w:tcPr>
          <w:p w14:paraId="0AD52648" w14:textId="77777777" w:rsidR="00A93FEC" w:rsidRPr="00F65F6F" w:rsidRDefault="00A93FEC" w:rsidP="00A07851">
            <w:pPr>
              <w:tabs>
                <w:tab w:val="left" w:pos="284"/>
                <w:tab w:val="left" w:pos="567"/>
              </w:tabs>
              <w:suppressAutoHyphens/>
              <w:snapToGrid w:val="0"/>
              <w:spacing w:line="240" w:lineRule="auto"/>
              <w:ind w:firstLine="0"/>
              <w:rPr>
                <w:lang w:eastAsia="ar-SA"/>
              </w:rPr>
            </w:pPr>
            <w:r w:rsidRPr="00F65F6F">
              <w:rPr>
                <w:color w:val="000000"/>
                <w:lang w:eastAsia="ar-SA"/>
              </w:rPr>
              <w:t>Уменьшение дозы лекарственных препаратов на указанный % от расчетной дозы, при скорости клубочковой фильтрации,</w:t>
            </w:r>
            <w:r w:rsidRPr="00F65F6F">
              <w:rPr>
                <w:lang w:eastAsia="ar-SA"/>
              </w:rPr>
              <w:t xml:space="preserve"> мл/мин</w:t>
            </w:r>
          </w:p>
        </w:tc>
      </w:tr>
      <w:tr w:rsidR="00A93FEC" w:rsidRPr="00F65F6F" w14:paraId="2AAADB33" w14:textId="77777777" w:rsidTr="002D3EBF">
        <w:tc>
          <w:tcPr>
            <w:tcW w:w="0" w:type="auto"/>
            <w:vMerge/>
            <w:hideMark/>
          </w:tcPr>
          <w:p w14:paraId="25936F52" w14:textId="77777777" w:rsidR="00A93FEC" w:rsidRPr="00F65F6F" w:rsidRDefault="00A93FEC" w:rsidP="00A07851">
            <w:pPr>
              <w:spacing w:line="240" w:lineRule="auto"/>
              <w:ind w:firstLine="0"/>
              <w:rPr>
                <w:lang w:eastAsia="ar-SA"/>
              </w:rPr>
            </w:pPr>
          </w:p>
        </w:tc>
        <w:tc>
          <w:tcPr>
            <w:tcW w:w="2315" w:type="dxa"/>
            <w:hideMark/>
          </w:tcPr>
          <w:p w14:paraId="24226D30" w14:textId="77777777" w:rsidR="00A93FEC" w:rsidRPr="00F65F6F" w:rsidRDefault="00A93FEC" w:rsidP="00A07851">
            <w:pPr>
              <w:tabs>
                <w:tab w:val="left" w:pos="284"/>
                <w:tab w:val="left" w:pos="567"/>
              </w:tabs>
              <w:suppressAutoHyphens/>
              <w:snapToGrid w:val="0"/>
              <w:spacing w:line="240" w:lineRule="auto"/>
              <w:ind w:firstLine="0"/>
              <w:rPr>
                <w:lang w:eastAsia="ar-SA"/>
              </w:rPr>
            </w:pPr>
            <w:r w:rsidRPr="00F65F6F">
              <w:rPr>
                <w:lang w:eastAsia="ar-SA"/>
              </w:rPr>
              <w:t>СКФ 60-30 мл/мин</w:t>
            </w:r>
          </w:p>
        </w:tc>
        <w:tc>
          <w:tcPr>
            <w:tcW w:w="2195" w:type="dxa"/>
            <w:gridSpan w:val="2"/>
            <w:hideMark/>
          </w:tcPr>
          <w:p w14:paraId="57C3A074" w14:textId="77777777" w:rsidR="00A93FEC" w:rsidRPr="00F65F6F" w:rsidRDefault="00A93FEC" w:rsidP="00A07851">
            <w:pPr>
              <w:tabs>
                <w:tab w:val="left" w:pos="284"/>
                <w:tab w:val="left" w:pos="567"/>
              </w:tabs>
              <w:suppressAutoHyphens/>
              <w:snapToGrid w:val="0"/>
              <w:spacing w:line="240" w:lineRule="auto"/>
              <w:ind w:firstLine="0"/>
              <w:rPr>
                <w:lang w:eastAsia="ar-SA"/>
              </w:rPr>
            </w:pPr>
            <w:r w:rsidRPr="00F65F6F">
              <w:rPr>
                <w:lang w:eastAsia="ar-SA"/>
              </w:rPr>
              <w:t xml:space="preserve">СКФ 29-10 мл/мин </w:t>
            </w:r>
          </w:p>
        </w:tc>
        <w:tc>
          <w:tcPr>
            <w:tcW w:w="2123" w:type="dxa"/>
            <w:hideMark/>
          </w:tcPr>
          <w:p w14:paraId="06EF7010" w14:textId="77777777" w:rsidR="00A93FEC" w:rsidRPr="00F65F6F" w:rsidRDefault="00A93FEC" w:rsidP="00A07851">
            <w:pPr>
              <w:tabs>
                <w:tab w:val="left" w:pos="284"/>
                <w:tab w:val="left" w:pos="567"/>
              </w:tabs>
              <w:suppressAutoHyphens/>
              <w:snapToGrid w:val="0"/>
              <w:spacing w:line="240" w:lineRule="auto"/>
              <w:ind w:firstLine="0"/>
              <w:rPr>
                <w:lang w:eastAsia="ar-SA"/>
              </w:rPr>
            </w:pPr>
            <w:r w:rsidRPr="00F65F6F">
              <w:rPr>
                <w:lang w:eastAsia="ar-SA"/>
              </w:rPr>
              <w:t>СКФ &lt;10 мл/мин</w:t>
            </w:r>
          </w:p>
        </w:tc>
      </w:tr>
      <w:tr w:rsidR="00A93FEC" w:rsidRPr="00F65F6F" w14:paraId="7B0F28A6" w14:textId="77777777" w:rsidTr="002D3EBF">
        <w:tc>
          <w:tcPr>
            <w:tcW w:w="2943" w:type="dxa"/>
            <w:hideMark/>
          </w:tcPr>
          <w:p w14:paraId="77A7EEA5" w14:textId="77777777" w:rsidR="00A93FEC" w:rsidRPr="00F65F6F" w:rsidRDefault="00A93FEC" w:rsidP="00A07851">
            <w:pPr>
              <w:tabs>
                <w:tab w:val="left" w:pos="284"/>
                <w:tab w:val="left" w:pos="567"/>
              </w:tabs>
              <w:suppressAutoHyphens/>
              <w:snapToGrid w:val="0"/>
              <w:spacing w:line="240" w:lineRule="auto"/>
              <w:ind w:firstLine="0"/>
              <w:rPr>
                <w:lang w:eastAsia="ar-SA"/>
              </w:rPr>
            </w:pPr>
            <w:r w:rsidRPr="00F65F6F">
              <w:rPr>
                <w:lang w:eastAsia="ar-SA"/>
              </w:rPr>
              <w:t>Блеомицин</w:t>
            </w:r>
          </w:p>
        </w:tc>
        <w:tc>
          <w:tcPr>
            <w:tcW w:w="2315" w:type="dxa"/>
            <w:hideMark/>
          </w:tcPr>
          <w:p w14:paraId="007B15D9" w14:textId="77777777" w:rsidR="00A93FEC" w:rsidRPr="00F65F6F" w:rsidRDefault="00A93FEC" w:rsidP="00A07851">
            <w:pPr>
              <w:tabs>
                <w:tab w:val="left" w:pos="284"/>
                <w:tab w:val="left" w:pos="567"/>
              </w:tabs>
              <w:suppressAutoHyphens/>
              <w:snapToGrid w:val="0"/>
              <w:spacing w:line="240" w:lineRule="auto"/>
              <w:ind w:firstLine="0"/>
              <w:rPr>
                <w:b/>
                <w:bCs/>
                <w:color w:val="FF0000"/>
                <w:lang w:eastAsia="ar-SA"/>
              </w:rPr>
            </w:pPr>
            <w:r w:rsidRPr="00F65F6F">
              <w:rPr>
                <w:lang w:eastAsia="ar-SA"/>
              </w:rPr>
              <w:t>50%</w:t>
            </w:r>
          </w:p>
        </w:tc>
        <w:tc>
          <w:tcPr>
            <w:tcW w:w="2195" w:type="dxa"/>
            <w:gridSpan w:val="2"/>
            <w:hideMark/>
          </w:tcPr>
          <w:p w14:paraId="0D01DA83" w14:textId="77777777" w:rsidR="00A93FEC" w:rsidRPr="00F65F6F" w:rsidRDefault="00A93FEC" w:rsidP="00A07851">
            <w:pPr>
              <w:tabs>
                <w:tab w:val="left" w:pos="284"/>
                <w:tab w:val="left" w:pos="567"/>
              </w:tabs>
              <w:suppressAutoHyphens/>
              <w:snapToGrid w:val="0"/>
              <w:spacing w:line="240" w:lineRule="auto"/>
              <w:ind w:firstLine="0"/>
              <w:rPr>
                <w:lang w:eastAsia="ar-SA"/>
              </w:rPr>
            </w:pPr>
            <w:r w:rsidRPr="00F65F6F">
              <w:rPr>
                <w:lang w:eastAsia="ar-SA"/>
              </w:rPr>
              <w:t>Отмена</w:t>
            </w:r>
          </w:p>
        </w:tc>
        <w:tc>
          <w:tcPr>
            <w:tcW w:w="2123" w:type="dxa"/>
            <w:hideMark/>
          </w:tcPr>
          <w:p w14:paraId="1B287B4E" w14:textId="77777777" w:rsidR="00A93FEC" w:rsidRPr="00F65F6F" w:rsidRDefault="00A93FEC" w:rsidP="00A07851">
            <w:pPr>
              <w:tabs>
                <w:tab w:val="left" w:pos="284"/>
                <w:tab w:val="left" w:pos="567"/>
              </w:tabs>
              <w:suppressAutoHyphens/>
              <w:snapToGrid w:val="0"/>
              <w:spacing w:line="240" w:lineRule="auto"/>
              <w:ind w:firstLine="0"/>
              <w:rPr>
                <w:lang w:eastAsia="ar-SA"/>
              </w:rPr>
            </w:pPr>
            <w:r w:rsidRPr="00F65F6F">
              <w:rPr>
                <w:lang w:eastAsia="ar-SA"/>
              </w:rPr>
              <w:t>Отмена</w:t>
            </w:r>
          </w:p>
        </w:tc>
      </w:tr>
      <w:tr w:rsidR="00A93FEC" w:rsidRPr="00F65F6F" w14:paraId="4701DCB4" w14:textId="77777777" w:rsidTr="002D3EBF">
        <w:tc>
          <w:tcPr>
            <w:tcW w:w="2943" w:type="dxa"/>
            <w:hideMark/>
          </w:tcPr>
          <w:p w14:paraId="0F97718A" w14:textId="77777777" w:rsidR="00A93FEC" w:rsidRPr="00F65F6F" w:rsidRDefault="00A93FEC" w:rsidP="00A07851">
            <w:pPr>
              <w:tabs>
                <w:tab w:val="left" w:pos="284"/>
                <w:tab w:val="left" w:pos="567"/>
              </w:tabs>
              <w:suppressAutoHyphens/>
              <w:snapToGrid w:val="0"/>
              <w:spacing w:line="240" w:lineRule="auto"/>
              <w:ind w:firstLine="0"/>
              <w:rPr>
                <w:lang w:eastAsia="ar-SA"/>
              </w:rPr>
            </w:pPr>
            <w:r w:rsidRPr="00F65F6F">
              <w:rPr>
                <w:lang w:eastAsia="ar-SA"/>
              </w:rPr>
              <w:t>Карбоплатин</w:t>
            </w:r>
          </w:p>
        </w:tc>
        <w:tc>
          <w:tcPr>
            <w:tcW w:w="6633" w:type="dxa"/>
            <w:gridSpan w:val="4"/>
            <w:hideMark/>
          </w:tcPr>
          <w:p w14:paraId="3FEB755A" w14:textId="77777777" w:rsidR="00A93FEC" w:rsidRPr="00F65F6F" w:rsidRDefault="00A93FEC" w:rsidP="00A07851">
            <w:pPr>
              <w:tabs>
                <w:tab w:val="left" w:pos="284"/>
                <w:tab w:val="left" w:pos="567"/>
              </w:tabs>
              <w:suppressAutoHyphens/>
              <w:snapToGrid w:val="0"/>
              <w:spacing w:line="240" w:lineRule="auto"/>
              <w:ind w:firstLine="0"/>
              <w:jc w:val="center"/>
              <w:rPr>
                <w:lang w:eastAsia="ar-SA"/>
              </w:rPr>
            </w:pPr>
            <w:r w:rsidRPr="00F65F6F">
              <w:rPr>
                <w:lang w:eastAsia="ar-SA"/>
              </w:rPr>
              <w:t>Расчет дозы препарата по формуле Калверта*</w:t>
            </w:r>
          </w:p>
        </w:tc>
      </w:tr>
      <w:tr w:rsidR="00A93FEC" w:rsidRPr="00F65F6F" w14:paraId="40072362" w14:textId="77777777" w:rsidTr="002D3EBF">
        <w:tc>
          <w:tcPr>
            <w:tcW w:w="2943" w:type="dxa"/>
            <w:hideMark/>
          </w:tcPr>
          <w:p w14:paraId="2D7CCB85" w14:textId="77777777" w:rsidR="00A93FEC" w:rsidRPr="00F65F6F" w:rsidRDefault="00A93FEC" w:rsidP="00A07851">
            <w:pPr>
              <w:tabs>
                <w:tab w:val="left" w:pos="284"/>
                <w:tab w:val="left" w:pos="567"/>
              </w:tabs>
              <w:suppressAutoHyphens/>
              <w:snapToGrid w:val="0"/>
              <w:spacing w:line="240" w:lineRule="auto"/>
              <w:ind w:firstLine="0"/>
              <w:rPr>
                <w:lang w:eastAsia="ar-SA"/>
              </w:rPr>
            </w:pPr>
            <w:r w:rsidRPr="00F65F6F">
              <w:rPr>
                <w:lang w:eastAsia="ar-SA"/>
              </w:rPr>
              <w:t>Цисплатин</w:t>
            </w:r>
          </w:p>
        </w:tc>
        <w:tc>
          <w:tcPr>
            <w:tcW w:w="2315" w:type="dxa"/>
            <w:hideMark/>
          </w:tcPr>
          <w:p w14:paraId="279876E6" w14:textId="77777777" w:rsidR="00A93FEC" w:rsidRPr="00F65F6F" w:rsidRDefault="00A93FEC" w:rsidP="00A07851">
            <w:pPr>
              <w:tabs>
                <w:tab w:val="left" w:pos="284"/>
                <w:tab w:val="left" w:pos="567"/>
              </w:tabs>
              <w:suppressAutoHyphens/>
              <w:snapToGrid w:val="0"/>
              <w:spacing w:line="240" w:lineRule="auto"/>
              <w:ind w:firstLine="0"/>
              <w:rPr>
                <w:lang w:eastAsia="ar-SA"/>
              </w:rPr>
            </w:pPr>
            <w:r w:rsidRPr="00F65F6F">
              <w:rPr>
                <w:lang w:eastAsia="ar-SA"/>
              </w:rPr>
              <w:t>50%</w:t>
            </w:r>
          </w:p>
        </w:tc>
        <w:tc>
          <w:tcPr>
            <w:tcW w:w="1903" w:type="dxa"/>
            <w:hideMark/>
          </w:tcPr>
          <w:p w14:paraId="1F161745" w14:textId="77777777" w:rsidR="00A93FEC" w:rsidRPr="00F65F6F" w:rsidRDefault="00A93FEC" w:rsidP="00A07851">
            <w:pPr>
              <w:tabs>
                <w:tab w:val="left" w:pos="284"/>
                <w:tab w:val="left" w:pos="567"/>
              </w:tabs>
              <w:suppressAutoHyphens/>
              <w:snapToGrid w:val="0"/>
              <w:spacing w:line="240" w:lineRule="auto"/>
              <w:ind w:firstLine="0"/>
              <w:rPr>
                <w:lang w:eastAsia="ar-SA"/>
              </w:rPr>
            </w:pPr>
            <w:r w:rsidRPr="00F65F6F">
              <w:rPr>
                <w:lang w:eastAsia="ar-SA"/>
              </w:rPr>
              <w:t>Отмена</w:t>
            </w:r>
          </w:p>
        </w:tc>
        <w:tc>
          <w:tcPr>
            <w:tcW w:w="2415" w:type="dxa"/>
            <w:gridSpan w:val="2"/>
            <w:hideMark/>
          </w:tcPr>
          <w:p w14:paraId="2D877102" w14:textId="77777777" w:rsidR="00A93FEC" w:rsidRPr="00F65F6F" w:rsidRDefault="00A93FEC" w:rsidP="00A07851">
            <w:pPr>
              <w:tabs>
                <w:tab w:val="left" w:pos="284"/>
                <w:tab w:val="left" w:pos="567"/>
              </w:tabs>
              <w:suppressAutoHyphens/>
              <w:snapToGrid w:val="0"/>
              <w:spacing w:line="240" w:lineRule="auto"/>
              <w:ind w:firstLine="0"/>
              <w:rPr>
                <w:lang w:eastAsia="ar-SA"/>
              </w:rPr>
            </w:pPr>
            <w:r w:rsidRPr="00F65F6F">
              <w:rPr>
                <w:lang w:eastAsia="ar-SA"/>
              </w:rPr>
              <w:t>Отмена</w:t>
            </w:r>
          </w:p>
        </w:tc>
      </w:tr>
      <w:tr w:rsidR="00A93FEC" w:rsidRPr="00F65F6F" w14:paraId="23712458" w14:textId="77777777" w:rsidTr="002D3EBF">
        <w:tc>
          <w:tcPr>
            <w:tcW w:w="2943" w:type="dxa"/>
            <w:hideMark/>
          </w:tcPr>
          <w:p w14:paraId="6CE52F48" w14:textId="77777777" w:rsidR="00A93FEC" w:rsidRPr="00F65F6F" w:rsidRDefault="00A93FEC" w:rsidP="00A07851">
            <w:pPr>
              <w:tabs>
                <w:tab w:val="left" w:pos="284"/>
                <w:tab w:val="left" w:pos="567"/>
              </w:tabs>
              <w:suppressAutoHyphens/>
              <w:snapToGrid w:val="0"/>
              <w:spacing w:line="240" w:lineRule="auto"/>
              <w:ind w:firstLine="0"/>
              <w:rPr>
                <w:lang w:eastAsia="ar-SA"/>
              </w:rPr>
            </w:pPr>
            <w:r w:rsidRPr="00F65F6F">
              <w:rPr>
                <w:lang w:eastAsia="ar-SA"/>
              </w:rPr>
              <w:t>Циклофосфамид</w:t>
            </w:r>
          </w:p>
        </w:tc>
        <w:tc>
          <w:tcPr>
            <w:tcW w:w="4218" w:type="dxa"/>
            <w:gridSpan w:val="2"/>
          </w:tcPr>
          <w:p w14:paraId="2F53BE57" w14:textId="77777777" w:rsidR="00A93FEC" w:rsidRPr="00F65F6F" w:rsidRDefault="00A93FEC" w:rsidP="00A07851">
            <w:pPr>
              <w:tabs>
                <w:tab w:val="left" w:pos="284"/>
                <w:tab w:val="left" w:pos="567"/>
              </w:tabs>
              <w:suppressAutoHyphens/>
              <w:snapToGrid w:val="0"/>
              <w:spacing w:line="240" w:lineRule="auto"/>
              <w:ind w:firstLine="0"/>
              <w:jc w:val="center"/>
              <w:rPr>
                <w:lang w:eastAsia="ar-SA"/>
              </w:rPr>
            </w:pPr>
            <w:r w:rsidRPr="00F65F6F">
              <w:rPr>
                <w:lang w:eastAsia="ar-SA"/>
              </w:rPr>
              <w:t>не требуется</w:t>
            </w:r>
          </w:p>
          <w:p w14:paraId="3AB9D9B6" w14:textId="77777777" w:rsidR="00A93FEC" w:rsidRPr="00F65F6F" w:rsidRDefault="00A93FEC" w:rsidP="00A07851">
            <w:pPr>
              <w:tabs>
                <w:tab w:val="left" w:pos="284"/>
                <w:tab w:val="left" w:pos="567"/>
              </w:tabs>
              <w:suppressAutoHyphens/>
              <w:snapToGrid w:val="0"/>
              <w:spacing w:line="240" w:lineRule="auto"/>
              <w:ind w:firstLine="0"/>
              <w:rPr>
                <w:lang w:eastAsia="ar-SA"/>
              </w:rPr>
            </w:pPr>
          </w:p>
        </w:tc>
        <w:tc>
          <w:tcPr>
            <w:tcW w:w="2415" w:type="dxa"/>
            <w:gridSpan w:val="2"/>
            <w:hideMark/>
          </w:tcPr>
          <w:p w14:paraId="06E1E740" w14:textId="77777777" w:rsidR="00A93FEC" w:rsidRPr="00F65F6F" w:rsidRDefault="00A93FEC" w:rsidP="00A07851">
            <w:pPr>
              <w:tabs>
                <w:tab w:val="left" w:pos="284"/>
                <w:tab w:val="left" w:pos="567"/>
              </w:tabs>
              <w:suppressAutoHyphens/>
              <w:snapToGrid w:val="0"/>
              <w:spacing w:line="240" w:lineRule="auto"/>
              <w:ind w:firstLine="0"/>
              <w:rPr>
                <w:lang w:eastAsia="ar-SA"/>
              </w:rPr>
            </w:pPr>
            <w:r w:rsidRPr="00F65F6F">
              <w:rPr>
                <w:lang w:eastAsia="ar-SA"/>
              </w:rPr>
              <w:t>50%</w:t>
            </w:r>
          </w:p>
        </w:tc>
      </w:tr>
      <w:tr w:rsidR="00A93FEC" w:rsidRPr="00F65F6F" w14:paraId="725EA7FA" w14:textId="77777777" w:rsidTr="002D3EBF">
        <w:tc>
          <w:tcPr>
            <w:tcW w:w="2943" w:type="dxa"/>
            <w:hideMark/>
          </w:tcPr>
          <w:p w14:paraId="468C103F" w14:textId="77777777" w:rsidR="00A93FEC" w:rsidRPr="00F65F6F" w:rsidRDefault="00A93FEC" w:rsidP="00A07851">
            <w:pPr>
              <w:tabs>
                <w:tab w:val="left" w:pos="284"/>
                <w:tab w:val="left" w:pos="567"/>
              </w:tabs>
              <w:suppressAutoHyphens/>
              <w:snapToGrid w:val="0"/>
              <w:spacing w:line="240" w:lineRule="auto"/>
              <w:ind w:firstLine="0"/>
              <w:rPr>
                <w:lang w:eastAsia="ar-SA"/>
              </w:rPr>
            </w:pPr>
            <w:r w:rsidRPr="00F65F6F">
              <w:rPr>
                <w:lang w:eastAsia="ar-SA"/>
              </w:rPr>
              <w:t>Цитозин-арабинозид</w:t>
            </w:r>
          </w:p>
        </w:tc>
        <w:tc>
          <w:tcPr>
            <w:tcW w:w="2315" w:type="dxa"/>
            <w:hideMark/>
          </w:tcPr>
          <w:p w14:paraId="06581748" w14:textId="77777777" w:rsidR="00A93FEC" w:rsidRPr="00F65F6F" w:rsidRDefault="00A93FEC" w:rsidP="00A07851">
            <w:pPr>
              <w:tabs>
                <w:tab w:val="left" w:pos="284"/>
                <w:tab w:val="left" w:pos="567"/>
              </w:tabs>
              <w:suppressAutoHyphens/>
              <w:snapToGrid w:val="0"/>
              <w:spacing w:line="240" w:lineRule="auto"/>
              <w:ind w:firstLine="0"/>
              <w:rPr>
                <w:lang w:eastAsia="ar-SA"/>
              </w:rPr>
            </w:pPr>
            <w:r w:rsidRPr="00F65F6F">
              <w:rPr>
                <w:lang w:eastAsia="ar-SA"/>
              </w:rPr>
              <w:t>50%</w:t>
            </w:r>
          </w:p>
        </w:tc>
        <w:tc>
          <w:tcPr>
            <w:tcW w:w="1903" w:type="dxa"/>
            <w:hideMark/>
          </w:tcPr>
          <w:p w14:paraId="7C81E930" w14:textId="77777777" w:rsidR="00A93FEC" w:rsidRPr="00EE2ABD" w:rsidRDefault="00A93FEC" w:rsidP="00A07851">
            <w:pPr>
              <w:tabs>
                <w:tab w:val="left" w:pos="284"/>
                <w:tab w:val="left" w:pos="567"/>
              </w:tabs>
              <w:suppressAutoHyphens/>
              <w:snapToGrid w:val="0"/>
              <w:spacing w:line="240" w:lineRule="auto"/>
              <w:ind w:firstLine="0"/>
              <w:rPr>
                <w:bCs/>
                <w:color w:val="FF0000"/>
                <w:lang w:eastAsia="ar-SA"/>
              </w:rPr>
            </w:pPr>
            <w:r w:rsidRPr="00F65F6F">
              <w:rPr>
                <w:bCs/>
                <w:lang w:eastAsia="ar-SA"/>
              </w:rPr>
              <w:t xml:space="preserve">Отмена </w:t>
            </w:r>
          </w:p>
        </w:tc>
        <w:tc>
          <w:tcPr>
            <w:tcW w:w="2415" w:type="dxa"/>
            <w:gridSpan w:val="2"/>
            <w:hideMark/>
          </w:tcPr>
          <w:p w14:paraId="1EDBD3F2" w14:textId="77777777" w:rsidR="00A93FEC" w:rsidRPr="00F65F6F" w:rsidRDefault="00A93FEC" w:rsidP="00A07851">
            <w:pPr>
              <w:tabs>
                <w:tab w:val="left" w:pos="284"/>
                <w:tab w:val="left" w:pos="567"/>
              </w:tabs>
              <w:suppressAutoHyphens/>
              <w:snapToGrid w:val="0"/>
              <w:spacing w:line="240" w:lineRule="auto"/>
              <w:ind w:firstLine="0"/>
              <w:rPr>
                <w:lang w:eastAsia="ar-SA"/>
              </w:rPr>
            </w:pPr>
            <w:r w:rsidRPr="00F65F6F">
              <w:rPr>
                <w:lang w:eastAsia="ar-SA"/>
              </w:rPr>
              <w:t>Отмена</w:t>
            </w:r>
          </w:p>
        </w:tc>
      </w:tr>
      <w:tr w:rsidR="00A93FEC" w:rsidRPr="00F65F6F" w14:paraId="00F81C04" w14:textId="77777777" w:rsidTr="002D3EBF">
        <w:tc>
          <w:tcPr>
            <w:tcW w:w="2943" w:type="dxa"/>
            <w:hideMark/>
          </w:tcPr>
          <w:p w14:paraId="345F2373" w14:textId="77777777" w:rsidR="00A93FEC" w:rsidRPr="00F65F6F" w:rsidRDefault="00A93FEC" w:rsidP="00A07851">
            <w:pPr>
              <w:tabs>
                <w:tab w:val="left" w:pos="284"/>
                <w:tab w:val="left" w:pos="567"/>
              </w:tabs>
              <w:suppressAutoHyphens/>
              <w:snapToGrid w:val="0"/>
              <w:spacing w:line="240" w:lineRule="auto"/>
              <w:ind w:firstLine="0"/>
              <w:rPr>
                <w:lang w:eastAsia="ar-SA"/>
              </w:rPr>
            </w:pPr>
            <w:r w:rsidRPr="00F65F6F">
              <w:rPr>
                <w:lang w:eastAsia="ar-SA"/>
              </w:rPr>
              <w:t>Дакарбазин</w:t>
            </w:r>
          </w:p>
        </w:tc>
        <w:tc>
          <w:tcPr>
            <w:tcW w:w="2315" w:type="dxa"/>
            <w:hideMark/>
          </w:tcPr>
          <w:p w14:paraId="40DFAF8B" w14:textId="77777777" w:rsidR="00A93FEC" w:rsidRPr="00F65F6F" w:rsidRDefault="00A93FEC" w:rsidP="00A07851">
            <w:pPr>
              <w:tabs>
                <w:tab w:val="left" w:pos="284"/>
                <w:tab w:val="left" w:pos="567"/>
              </w:tabs>
              <w:suppressAutoHyphens/>
              <w:snapToGrid w:val="0"/>
              <w:spacing w:line="240" w:lineRule="auto"/>
              <w:ind w:firstLine="0"/>
              <w:rPr>
                <w:lang w:eastAsia="ar-SA"/>
              </w:rPr>
            </w:pPr>
            <w:r w:rsidRPr="00F65F6F">
              <w:rPr>
                <w:lang w:eastAsia="ar-SA"/>
              </w:rPr>
              <w:t>25%</w:t>
            </w:r>
          </w:p>
        </w:tc>
        <w:tc>
          <w:tcPr>
            <w:tcW w:w="1903" w:type="dxa"/>
            <w:hideMark/>
          </w:tcPr>
          <w:p w14:paraId="605E4D3F" w14:textId="77777777" w:rsidR="00A93FEC" w:rsidRPr="00F65F6F" w:rsidRDefault="00A93FEC" w:rsidP="00A07851">
            <w:pPr>
              <w:tabs>
                <w:tab w:val="left" w:pos="284"/>
                <w:tab w:val="left" w:pos="567"/>
              </w:tabs>
              <w:suppressAutoHyphens/>
              <w:snapToGrid w:val="0"/>
              <w:spacing w:line="240" w:lineRule="auto"/>
              <w:ind w:firstLine="0"/>
              <w:rPr>
                <w:lang w:eastAsia="ar-SA"/>
              </w:rPr>
            </w:pPr>
            <w:r w:rsidRPr="00F65F6F">
              <w:rPr>
                <w:lang w:eastAsia="ar-SA"/>
              </w:rPr>
              <w:t>50%</w:t>
            </w:r>
          </w:p>
        </w:tc>
        <w:tc>
          <w:tcPr>
            <w:tcW w:w="2415" w:type="dxa"/>
            <w:gridSpan w:val="2"/>
            <w:hideMark/>
          </w:tcPr>
          <w:p w14:paraId="1CC65D5B" w14:textId="77777777" w:rsidR="00A93FEC" w:rsidRPr="00F65F6F" w:rsidRDefault="00A93FEC" w:rsidP="00A07851">
            <w:pPr>
              <w:tabs>
                <w:tab w:val="left" w:pos="284"/>
                <w:tab w:val="left" w:pos="567"/>
              </w:tabs>
              <w:suppressAutoHyphens/>
              <w:snapToGrid w:val="0"/>
              <w:spacing w:line="240" w:lineRule="auto"/>
              <w:ind w:firstLine="0"/>
              <w:rPr>
                <w:lang w:eastAsia="ar-SA"/>
              </w:rPr>
            </w:pPr>
            <w:r w:rsidRPr="00F65F6F">
              <w:rPr>
                <w:lang w:eastAsia="ar-SA"/>
              </w:rPr>
              <w:t>Отмена</w:t>
            </w:r>
          </w:p>
        </w:tc>
      </w:tr>
      <w:tr w:rsidR="00A93FEC" w:rsidRPr="00F65F6F" w14:paraId="4FA6C382" w14:textId="77777777" w:rsidTr="002D3EBF">
        <w:tc>
          <w:tcPr>
            <w:tcW w:w="2943" w:type="dxa"/>
            <w:hideMark/>
          </w:tcPr>
          <w:p w14:paraId="49578285" w14:textId="77777777" w:rsidR="00A93FEC" w:rsidRPr="00F65F6F" w:rsidRDefault="00A93FEC" w:rsidP="00A07851">
            <w:pPr>
              <w:tabs>
                <w:tab w:val="left" w:pos="284"/>
                <w:tab w:val="left" w:pos="567"/>
              </w:tabs>
              <w:suppressAutoHyphens/>
              <w:snapToGrid w:val="0"/>
              <w:spacing w:line="240" w:lineRule="auto"/>
              <w:ind w:firstLine="0"/>
              <w:rPr>
                <w:lang w:eastAsia="ar-SA"/>
              </w:rPr>
            </w:pPr>
            <w:r w:rsidRPr="00F65F6F">
              <w:rPr>
                <w:lang w:eastAsia="ar-SA"/>
              </w:rPr>
              <w:t>Этопозид</w:t>
            </w:r>
          </w:p>
        </w:tc>
        <w:tc>
          <w:tcPr>
            <w:tcW w:w="4218" w:type="dxa"/>
            <w:gridSpan w:val="2"/>
          </w:tcPr>
          <w:p w14:paraId="3D370395" w14:textId="77777777" w:rsidR="00A93FEC" w:rsidRPr="00F65F6F" w:rsidRDefault="00A93FEC" w:rsidP="00A07851">
            <w:pPr>
              <w:tabs>
                <w:tab w:val="left" w:pos="284"/>
                <w:tab w:val="left" w:pos="567"/>
              </w:tabs>
              <w:suppressAutoHyphens/>
              <w:snapToGrid w:val="0"/>
              <w:spacing w:line="240" w:lineRule="auto"/>
              <w:ind w:firstLine="0"/>
              <w:jc w:val="center"/>
              <w:rPr>
                <w:lang w:eastAsia="ar-SA"/>
              </w:rPr>
            </w:pPr>
            <w:r w:rsidRPr="00F65F6F">
              <w:rPr>
                <w:lang w:eastAsia="ar-SA"/>
              </w:rPr>
              <w:t>не требуется</w:t>
            </w:r>
          </w:p>
          <w:p w14:paraId="02913337" w14:textId="77777777" w:rsidR="00A93FEC" w:rsidRPr="00F65F6F" w:rsidRDefault="00A93FEC" w:rsidP="00A07851">
            <w:pPr>
              <w:tabs>
                <w:tab w:val="left" w:pos="284"/>
                <w:tab w:val="left" w:pos="567"/>
              </w:tabs>
              <w:suppressAutoHyphens/>
              <w:snapToGrid w:val="0"/>
              <w:spacing w:line="240" w:lineRule="auto"/>
              <w:ind w:firstLine="0"/>
              <w:rPr>
                <w:lang w:eastAsia="ar-SA"/>
              </w:rPr>
            </w:pPr>
          </w:p>
        </w:tc>
        <w:tc>
          <w:tcPr>
            <w:tcW w:w="2415" w:type="dxa"/>
            <w:gridSpan w:val="2"/>
            <w:hideMark/>
          </w:tcPr>
          <w:p w14:paraId="17666E6B" w14:textId="77777777" w:rsidR="00A93FEC" w:rsidRPr="00F65F6F" w:rsidRDefault="00A93FEC" w:rsidP="00A07851">
            <w:pPr>
              <w:tabs>
                <w:tab w:val="left" w:pos="284"/>
                <w:tab w:val="left" w:pos="567"/>
              </w:tabs>
              <w:suppressAutoHyphens/>
              <w:snapToGrid w:val="0"/>
              <w:spacing w:line="240" w:lineRule="auto"/>
              <w:ind w:firstLine="0"/>
              <w:rPr>
                <w:lang w:eastAsia="ar-SA"/>
              </w:rPr>
            </w:pPr>
            <w:r w:rsidRPr="00F65F6F">
              <w:rPr>
                <w:lang w:eastAsia="ar-SA"/>
              </w:rPr>
              <w:t>50%</w:t>
            </w:r>
          </w:p>
        </w:tc>
      </w:tr>
      <w:tr w:rsidR="00A93FEC" w:rsidRPr="00F65F6F" w14:paraId="6B328E1B" w14:textId="77777777" w:rsidTr="002D3EBF">
        <w:tc>
          <w:tcPr>
            <w:tcW w:w="2943" w:type="dxa"/>
            <w:hideMark/>
          </w:tcPr>
          <w:p w14:paraId="4BA72B64" w14:textId="77777777" w:rsidR="00A93FEC" w:rsidRPr="00F65F6F" w:rsidRDefault="00A93FEC" w:rsidP="00A07851">
            <w:pPr>
              <w:tabs>
                <w:tab w:val="left" w:pos="284"/>
                <w:tab w:val="left" w:pos="567"/>
              </w:tabs>
              <w:suppressAutoHyphens/>
              <w:snapToGrid w:val="0"/>
              <w:spacing w:line="240" w:lineRule="auto"/>
              <w:ind w:firstLine="0"/>
              <w:rPr>
                <w:lang w:eastAsia="ar-SA"/>
              </w:rPr>
            </w:pPr>
            <w:r w:rsidRPr="00F65F6F">
              <w:rPr>
                <w:lang w:eastAsia="ar-SA"/>
              </w:rPr>
              <w:t>Гемцитабин</w:t>
            </w:r>
          </w:p>
        </w:tc>
        <w:tc>
          <w:tcPr>
            <w:tcW w:w="4218" w:type="dxa"/>
            <w:gridSpan w:val="2"/>
            <w:hideMark/>
          </w:tcPr>
          <w:p w14:paraId="67387B02" w14:textId="77777777" w:rsidR="00A93FEC" w:rsidRPr="00F65F6F" w:rsidRDefault="00A93FEC" w:rsidP="00A07851">
            <w:pPr>
              <w:tabs>
                <w:tab w:val="left" w:pos="284"/>
                <w:tab w:val="left" w:pos="567"/>
              </w:tabs>
              <w:suppressAutoHyphens/>
              <w:snapToGrid w:val="0"/>
              <w:spacing w:line="240" w:lineRule="auto"/>
              <w:ind w:firstLine="0"/>
              <w:jc w:val="center"/>
              <w:rPr>
                <w:lang w:eastAsia="ar-SA"/>
              </w:rPr>
            </w:pPr>
            <w:r w:rsidRPr="00F65F6F">
              <w:rPr>
                <w:lang w:eastAsia="ar-SA"/>
              </w:rPr>
              <w:t>неизвестно</w:t>
            </w:r>
          </w:p>
        </w:tc>
        <w:tc>
          <w:tcPr>
            <w:tcW w:w="2415" w:type="dxa"/>
            <w:gridSpan w:val="2"/>
            <w:hideMark/>
          </w:tcPr>
          <w:p w14:paraId="7CD3FA34" w14:textId="77777777" w:rsidR="00A93FEC" w:rsidRPr="00F65F6F" w:rsidRDefault="00A93FEC" w:rsidP="00A07851">
            <w:pPr>
              <w:tabs>
                <w:tab w:val="left" w:pos="284"/>
                <w:tab w:val="left" w:pos="567"/>
              </w:tabs>
              <w:suppressAutoHyphens/>
              <w:snapToGrid w:val="0"/>
              <w:spacing w:line="240" w:lineRule="auto"/>
              <w:ind w:firstLine="0"/>
              <w:rPr>
                <w:lang w:eastAsia="ar-SA"/>
              </w:rPr>
            </w:pPr>
            <w:r w:rsidRPr="00F65F6F">
              <w:rPr>
                <w:lang w:eastAsia="ar-SA"/>
              </w:rPr>
              <w:t>отмена</w:t>
            </w:r>
          </w:p>
        </w:tc>
      </w:tr>
      <w:tr w:rsidR="00A93FEC" w:rsidRPr="00F65F6F" w14:paraId="34C5AF96" w14:textId="77777777" w:rsidTr="002D3EBF">
        <w:tc>
          <w:tcPr>
            <w:tcW w:w="2943" w:type="dxa"/>
            <w:hideMark/>
          </w:tcPr>
          <w:p w14:paraId="0D828D56" w14:textId="77777777" w:rsidR="00A93FEC" w:rsidRPr="00F65F6F" w:rsidRDefault="00A93FEC" w:rsidP="00A07851">
            <w:pPr>
              <w:tabs>
                <w:tab w:val="left" w:pos="284"/>
                <w:tab w:val="left" w:pos="567"/>
              </w:tabs>
              <w:suppressAutoHyphens/>
              <w:snapToGrid w:val="0"/>
              <w:spacing w:line="240" w:lineRule="auto"/>
              <w:ind w:firstLine="0"/>
              <w:rPr>
                <w:lang w:eastAsia="ar-SA"/>
              </w:rPr>
            </w:pPr>
            <w:r w:rsidRPr="00F65F6F">
              <w:rPr>
                <w:lang w:eastAsia="ar-SA"/>
              </w:rPr>
              <w:t>Доксорубицин</w:t>
            </w:r>
          </w:p>
        </w:tc>
        <w:tc>
          <w:tcPr>
            <w:tcW w:w="2315" w:type="dxa"/>
            <w:hideMark/>
          </w:tcPr>
          <w:p w14:paraId="6474C287" w14:textId="77777777" w:rsidR="00A93FEC" w:rsidRPr="00F65F6F" w:rsidRDefault="00A93FEC" w:rsidP="00A07851">
            <w:pPr>
              <w:tabs>
                <w:tab w:val="left" w:pos="284"/>
                <w:tab w:val="left" w:pos="567"/>
              </w:tabs>
              <w:suppressAutoHyphens/>
              <w:snapToGrid w:val="0"/>
              <w:spacing w:line="240" w:lineRule="auto"/>
              <w:ind w:firstLine="0"/>
              <w:rPr>
                <w:lang w:eastAsia="ar-SA"/>
              </w:rPr>
            </w:pPr>
            <w:r w:rsidRPr="00F65F6F">
              <w:rPr>
                <w:lang w:eastAsia="ar-SA"/>
              </w:rPr>
              <w:t>неизвестно</w:t>
            </w:r>
          </w:p>
        </w:tc>
        <w:tc>
          <w:tcPr>
            <w:tcW w:w="4318" w:type="dxa"/>
            <w:gridSpan w:val="3"/>
            <w:hideMark/>
          </w:tcPr>
          <w:p w14:paraId="6E57AE46" w14:textId="77777777" w:rsidR="00A93FEC" w:rsidRPr="00F65F6F" w:rsidRDefault="00A93FEC" w:rsidP="00A07851">
            <w:pPr>
              <w:tabs>
                <w:tab w:val="left" w:pos="284"/>
                <w:tab w:val="left" w:pos="567"/>
              </w:tabs>
              <w:suppressAutoHyphens/>
              <w:snapToGrid w:val="0"/>
              <w:spacing w:line="240" w:lineRule="auto"/>
              <w:ind w:firstLine="0"/>
              <w:jc w:val="center"/>
              <w:rPr>
                <w:lang w:eastAsia="ar-SA"/>
              </w:rPr>
            </w:pPr>
            <w:r w:rsidRPr="00F65F6F">
              <w:rPr>
                <w:lang w:eastAsia="ar-SA"/>
              </w:rPr>
              <w:t>отмена</w:t>
            </w:r>
          </w:p>
        </w:tc>
      </w:tr>
      <w:tr w:rsidR="00A93FEC" w:rsidRPr="00F65F6F" w14:paraId="6378F467" w14:textId="77777777" w:rsidTr="002D3EBF">
        <w:tc>
          <w:tcPr>
            <w:tcW w:w="2943" w:type="dxa"/>
            <w:hideMark/>
          </w:tcPr>
          <w:p w14:paraId="1EEDE696" w14:textId="77777777" w:rsidR="00A93FEC" w:rsidRPr="00F65F6F" w:rsidRDefault="00A93FEC" w:rsidP="00A07851">
            <w:pPr>
              <w:tabs>
                <w:tab w:val="left" w:pos="284"/>
                <w:tab w:val="left" w:pos="567"/>
              </w:tabs>
              <w:suppressAutoHyphens/>
              <w:snapToGrid w:val="0"/>
              <w:spacing w:line="240" w:lineRule="auto"/>
              <w:ind w:firstLine="0"/>
              <w:rPr>
                <w:lang w:eastAsia="ar-SA"/>
              </w:rPr>
            </w:pPr>
            <w:r w:rsidRPr="00F65F6F">
              <w:rPr>
                <w:lang w:eastAsia="ar-SA"/>
              </w:rPr>
              <w:t>Митомицин C</w:t>
            </w:r>
          </w:p>
        </w:tc>
        <w:tc>
          <w:tcPr>
            <w:tcW w:w="2315" w:type="dxa"/>
            <w:hideMark/>
          </w:tcPr>
          <w:p w14:paraId="27B3BAD9" w14:textId="77777777" w:rsidR="00A93FEC" w:rsidRPr="00F65F6F" w:rsidRDefault="00A93FEC" w:rsidP="00A07851">
            <w:pPr>
              <w:tabs>
                <w:tab w:val="left" w:pos="284"/>
                <w:tab w:val="left" w:pos="567"/>
              </w:tabs>
              <w:suppressAutoHyphens/>
              <w:snapToGrid w:val="0"/>
              <w:spacing w:line="240" w:lineRule="auto"/>
              <w:ind w:firstLine="0"/>
              <w:rPr>
                <w:lang w:eastAsia="ar-SA"/>
              </w:rPr>
            </w:pPr>
            <w:r w:rsidRPr="00F65F6F">
              <w:rPr>
                <w:lang w:eastAsia="ar-SA"/>
              </w:rPr>
              <w:t>25%</w:t>
            </w:r>
          </w:p>
        </w:tc>
        <w:tc>
          <w:tcPr>
            <w:tcW w:w="1903" w:type="dxa"/>
            <w:hideMark/>
          </w:tcPr>
          <w:p w14:paraId="3513CCB5" w14:textId="77777777" w:rsidR="00A93FEC" w:rsidRPr="00F65F6F" w:rsidRDefault="00A93FEC" w:rsidP="00A07851">
            <w:pPr>
              <w:tabs>
                <w:tab w:val="left" w:pos="284"/>
                <w:tab w:val="left" w:pos="567"/>
              </w:tabs>
              <w:suppressAutoHyphens/>
              <w:snapToGrid w:val="0"/>
              <w:spacing w:line="240" w:lineRule="auto"/>
              <w:ind w:firstLine="0"/>
              <w:rPr>
                <w:lang w:eastAsia="ar-SA"/>
              </w:rPr>
            </w:pPr>
            <w:r w:rsidRPr="00F65F6F">
              <w:rPr>
                <w:lang w:eastAsia="ar-SA"/>
              </w:rPr>
              <w:t>50%</w:t>
            </w:r>
          </w:p>
        </w:tc>
        <w:tc>
          <w:tcPr>
            <w:tcW w:w="2415" w:type="dxa"/>
            <w:gridSpan w:val="2"/>
            <w:hideMark/>
          </w:tcPr>
          <w:p w14:paraId="53A1063B" w14:textId="77777777" w:rsidR="00A93FEC" w:rsidRPr="00F65F6F" w:rsidRDefault="00A93FEC" w:rsidP="00A07851">
            <w:pPr>
              <w:tabs>
                <w:tab w:val="left" w:pos="284"/>
                <w:tab w:val="left" w:pos="567"/>
              </w:tabs>
              <w:suppressAutoHyphens/>
              <w:snapToGrid w:val="0"/>
              <w:spacing w:line="240" w:lineRule="auto"/>
              <w:ind w:firstLine="0"/>
              <w:rPr>
                <w:lang w:eastAsia="ar-SA"/>
              </w:rPr>
            </w:pPr>
            <w:r w:rsidRPr="00F65F6F">
              <w:rPr>
                <w:lang w:eastAsia="ar-SA"/>
              </w:rPr>
              <w:t>Отмена</w:t>
            </w:r>
          </w:p>
        </w:tc>
      </w:tr>
      <w:tr w:rsidR="00A93FEC" w:rsidRPr="00F65F6F" w14:paraId="0073C46E" w14:textId="77777777" w:rsidTr="002D3EBF">
        <w:tc>
          <w:tcPr>
            <w:tcW w:w="2943" w:type="dxa"/>
            <w:hideMark/>
          </w:tcPr>
          <w:p w14:paraId="3244EDA2" w14:textId="77777777" w:rsidR="00A93FEC" w:rsidRPr="00F65F6F" w:rsidRDefault="00A93FEC" w:rsidP="00A07851">
            <w:pPr>
              <w:tabs>
                <w:tab w:val="left" w:pos="284"/>
                <w:tab w:val="left" w:pos="567"/>
              </w:tabs>
              <w:suppressAutoHyphens/>
              <w:snapToGrid w:val="0"/>
              <w:spacing w:line="240" w:lineRule="auto"/>
              <w:ind w:firstLine="0"/>
              <w:rPr>
                <w:lang w:eastAsia="ar-SA"/>
              </w:rPr>
            </w:pPr>
            <w:r w:rsidRPr="00F65F6F">
              <w:rPr>
                <w:lang w:eastAsia="ar-SA"/>
              </w:rPr>
              <w:t>Флударабин</w:t>
            </w:r>
          </w:p>
        </w:tc>
        <w:tc>
          <w:tcPr>
            <w:tcW w:w="2315" w:type="dxa"/>
            <w:hideMark/>
          </w:tcPr>
          <w:p w14:paraId="195D2E01" w14:textId="77777777" w:rsidR="00A93FEC" w:rsidRPr="00F65F6F" w:rsidRDefault="00A93FEC" w:rsidP="00A07851">
            <w:pPr>
              <w:tabs>
                <w:tab w:val="left" w:pos="284"/>
                <w:tab w:val="left" w:pos="567"/>
              </w:tabs>
              <w:suppressAutoHyphens/>
              <w:snapToGrid w:val="0"/>
              <w:spacing w:line="240" w:lineRule="auto"/>
              <w:ind w:firstLine="0"/>
              <w:rPr>
                <w:lang w:eastAsia="ar-SA"/>
              </w:rPr>
            </w:pPr>
            <w:r w:rsidRPr="00F65F6F">
              <w:rPr>
                <w:lang w:eastAsia="ar-SA"/>
              </w:rPr>
              <w:t>25%</w:t>
            </w:r>
          </w:p>
        </w:tc>
        <w:tc>
          <w:tcPr>
            <w:tcW w:w="1903" w:type="dxa"/>
            <w:hideMark/>
          </w:tcPr>
          <w:p w14:paraId="26BAA126" w14:textId="77777777" w:rsidR="00A93FEC" w:rsidRPr="00F65F6F" w:rsidRDefault="00A93FEC" w:rsidP="00A07851">
            <w:pPr>
              <w:tabs>
                <w:tab w:val="left" w:pos="284"/>
                <w:tab w:val="left" w:pos="567"/>
              </w:tabs>
              <w:suppressAutoHyphens/>
              <w:snapToGrid w:val="0"/>
              <w:spacing w:line="240" w:lineRule="auto"/>
              <w:ind w:firstLine="0"/>
              <w:rPr>
                <w:lang w:eastAsia="ar-SA"/>
              </w:rPr>
            </w:pPr>
            <w:r w:rsidRPr="00F65F6F">
              <w:rPr>
                <w:lang w:eastAsia="ar-SA"/>
              </w:rPr>
              <w:t>50%</w:t>
            </w:r>
          </w:p>
        </w:tc>
        <w:tc>
          <w:tcPr>
            <w:tcW w:w="2415" w:type="dxa"/>
            <w:gridSpan w:val="2"/>
            <w:hideMark/>
          </w:tcPr>
          <w:p w14:paraId="60C4FEE7" w14:textId="77777777" w:rsidR="00A93FEC" w:rsidRPr="00F65F6F" w:rsidRDefault="00A93FEC" w:rsidP="00A07851">
            <w:pPr>
              <w:tabs>
                <w:tab w:val="left" w:pos="284"/>
                <w:tab w:val="left" w:pos="567"/>
              </w:tabs>
              <w:suppressAutoHyphens/>
              <w:snapToGrid w:val="0"/>
              <w:spacing w:line="240" w:lineRule="auto"/>
              <w:ind w:firstLine="0"/>
              <w:rPr>
                <w:lang w:eastAsia="ar-SA"/>
              </w:rPr>
            </w:pPr>
            <w:r w:rsidRPr="00F65F6F">
              <w:rPr>
                <w:lang w:eastAsia="ar-SA"/>
              </w:rPr>
              <w:t>Отмена</w:t>
            </w:r>
          </w:p>
        </w:tc>
      </w:tr>
      <w:tr w:rsidR="00A93FEC" w:rsidRPr="00F65F6F" w14:paraId="05A20F72" w14:textId="77777777" w:rsidTr="002D3EBF">
        <w:tc>
          <w:tcPr>
            <w:tcW w:w="2943" w:type="dxa"/>
            <w:hideMark/>
          </w:tcPr>
          <w:p w14:paraId="744361A3" w14:textId="77777777" w:rsidR="00A93FEC" w:rsidRPr="00F65F6F" w:rsidRDefault="00A93FEC" w:rsidP="00A07851">
            <w:pPr>
              <w:tabs>
                <w:tab w:val="left" w:pos="284"/>
                <w:tab w:val="left" w:pos="567"/>
              </w:tabs>
              <w:suppressAutoHyphens/>
              <w:snapToGrid w:val="0"/>
              <w:spacing w:line="240" w:lineRule="auto"/>
              <w:ind w:firstLine="0"/>
              <w:rPr>
                <w:lang w:eastAsia="ar-SA"/>
              </w:rPr>
            </w:pPr>
            <w:r w:rsidRPr="00F65F6F">
              <w:rPr>
                <w:lang w:eastAsia="ar-SA"/>
              </w:rPr>
              <w:t>Гидроксимочевина</w:t>
            </w:r>
          </w:p>
        </w:tc>
        <w:tc>
          <w:tcPr>
            <w:tcW w:w="2315" w:type="dxa"/>
            <w:hideMark/>
          </w:tcPr>
          <w:p w14:paraId="58059477" w14:textId="77777777" w:rsidR="00A93FEC" w:rsidRPr="00F65F6F" w:rsidRDefault="00A93FEC" w:rsidP="00A07851">
            <w:pPr>
              <w:tabs>
                <w:tab w:val="left" w:pos="284"/>
                <w:tab w:val="left" w:pos="567"/>
              </w:tabs>
              <w:suppressAutoHyphens/>
              <w:snapToGrid w:val="0"/>
              <w:spacing w:line="240" w:lineRule="auto"/>
              <w:ind w:firstLine="0"/>
              <w:rPr>
                <w:lang w:eastAsia="ar-SA"/>
              </w:rPr>
            </w:pPr>
            <w:r w:rsidRPr="00F65F6F">
              <w:rPr>
                <w:lang w:eastAsia="ar-SA"/>
              </w:rPr>
              <w:t>25%</w:t>
            </w:r>
          </w:p>
        </w:tc>
        <w:tc>
          <w:tcPr>
            <w:tcW w:w="1903" w:type="dxa"/>
            <w:hideMark/>
          </w:tcPr>
          <w:p w14:paraId="691D6DF9" w14:textId="77777777" w:rsidR="00A93FEC" w:rsidRPr="00F65F6F" w:rsidRDefault="00A93FEC" w:rsidP="00A07851">
            <w:pPr>
              <w:tabs>
                <w:tab w:val="left" w:pos="284"/>
                <w:tab w:val="left" w:pos="567"/>
              </w:tabs>
              <w:suppressAutoHyphens/>
              <w:snapToGrid w:val="0"/>
              <w:spacing w:line="240" w:lineRule="auto"/>
              <w:ind w:firstLine="0"/>
              <w:rPr>
                <w:lang w:eastAsia="ar-SA"/>
              </w:rPr>
            </w:pPr>
            <w:r w:rsidRPr="00F65F6F">
              <w:rPr>
                <w:lang w:eastAsia="ar-SA"/>
              </w:rPr>
              <w:t>75%</w:t>
            </w:r>
          </w:p>
        </w:tc>
        <w:tc>
          <w:tcPr>
            <w:tcW w:w="2415" w:type="dxa"/>
            <w:gridSpan w:val="2"/>
            <w:hideMark/>
          </w:tcPr>
          <w:p w14:paraId="2910D402" w14:textId="77777777" w:rsidR="00A93FEC" w:rsidRPr="00F65F6F" w:rsidRDefault="00A93FEC" w:rsidP="00A07851">
            <w:pPr>
              <w:tabs>
                <w:tab w:val="left" w:pos="284"/>
                <w:tab w:val="left" w:pos="567"/>
              </w:tabs>
              <w:suppressAutoHyphens/>
              <w:snapToGrid w:val="0"/>
              <w:spacing w:line="240" w:lineRule="auto"/>
              <w:ind w:firstLine="0"/>
              <w:rPr>
                <w:lang w:eastAsia="ar-SA"/>
              </w:rPr>
            </w:pPr>
            <w:r w:rsidRPr="00F65F6F">
              <w:rPr>
                <w:lang w:eastAsia="ar-SA"/>
              </w:rPr>
              <w:t>50%</w:t>
            </w:r>
          </w:p>
        </w:tc>
      </w:tr>
      <w:tr w:rsidR="00A93FEC" w:rsidRPr="00F65F6F" w14:paraId="0AB33D1D" w14:textId="77777777" w:rsidTr="002D3EBF">
        <w:tc>
          <w:tcPr>
            <w:tcW w:w="2943" w:type="dxa"/>
            <w:hideMark/>
          </w:tcPr>
          <w:p w14:paraId="35373D2A" w14:textId="77777777" w:rsidR="00A93FEC" w:rsidRPr="00F65F6F" w:rsidRDefault="00A93FEC" w:rsidP="00A07851">
            <w:pPr>
              <w:tabs>
                <w:tab w:val="left" w:pos="284"/>
                <w:tab w:val="left" w:pos="567"/>
              </w:tabs>
              <w:suppressAutoHyphens/>
              <w:snapToGrid w:val="0"/>
              <w:spacing w:line="240" w:lineRule="auto"/>
              <w:ind w:firstLine="0"/>
              <w:rPr>
                <w:lang w:eastAsia="ar-SA"/>
              </w:rPr>
            </w:pPr>
            <w:r w:rsidRPr="00F65F6F">
              <w:rPr>
                <w:lang w:eastAsia="ar-SA"/>
              </w:rPr>
              <w:t>Ифосфамид</w:t>
            </w:r>
          </w:p>
        </w:tc>
        <w:tc>
          <w:tcPr>
            <w:tcW w:w="2315" w:type="dxa"/>
            <w:hideMark/>
          </w:tcPr>
          <w:p w14:paraId="2332494E" w14:textId="77777777" w:rsidR="00A93FEC" w:rsidRPr="00F65F6F" w:rsidRDefault="00A93FEC" w:rsidP="00A07851">
            <w:pPr>
              <w:tabs>
                <w:tab w:val="left" w:pos="284"/>
                <w:tab w:val="left" w:pos="567"/>
              </w:tabs>
              <w:suppressAutoHyphens/>
              <w:snapToGrid w:val="0"/>
              <w:spacing w:line="240" w:lineRule="auto"/>
              <w:ind w:firstLine="0"/>
              <w:rPr>
                <w:lang w:eastAsia="ar-SA"/>
              </w:rPr>
            </w:pPr>
            <w:r w:rsidRPr="00F65F6F">
              <w:rPr>
                <w:lang w:eastAsia="ar-SA"/>
              </w:rPr>
              <w:t>25%</w:t>
            </w:r>
          </w:p>
        </w:tc>
        <w:tc>
          <w:tcPr>
            <w:tcW w:w="1903" w:type="dxa"/>
            <w:hideMark/>
          </w:tcPr>
          <w:p w14:paraId="5B32EF08" w14:textId="77777777" w:rsidR="00A93FEC" w:rsidRPr="00F65F6F" w:rsidRDefault="00A93FEC" w:rsidP="00A07851">
            <w:pPr>
              <w:tabs>
                <w:tab w:val="left" w:pos="284"/>
                <w:tab w:val="left" w:pos="567"/>
              </w:tabs>
              <w:suppressAutoHyphens/>
              <w:snapToGrid w:val="0"/>
              <w:spacing w:line="240" w:lineRule="auto"/>
              <w:ind w:firstLine="0"/>
              <w:rPr>
                <w:lang w:eastAsia="ar-SA"/>
              </w:rPr>
            </w:pPr>
            <w:r w:rsidRPr="00F65F6F">
              <w:rPr>
                <w:lang w:eastAsia="ar-SA"/>
              </w:rPr>
              <w:t>50%</w:t>
            </w:r>
          </w:p>
        </w:tc>
        <w:tc>
          <w:tcPr>
            <w:tcW w:w="2415" w:type="dxa"/>
            <w:gridSpan w:val="2"/>
            <w:hideMark/>
          </w:tcPr>
          <w:p w14:paraId="4C08DA80" w14:textId="77777777" w:rsidR="00A93FEC" w:rsidRPr="00F65F6F" w:rsidRDefault="00A93FEC" w:rsidP="00A07851">
            <w:pPr>
              <w:tabs>
                <w:tab w:val="left" w:pos="284"/>
                <w:tab w:val="left" w:pos="567"/>
              </w:tabs>
              <w:suppressAutoHyphens/>
              <w:snapToGrid w:val="0"/>
              <w:spacing w:line="240" w:lineRule="auto"/>
              <w:ind w:firstLine="0"/>
              <w:rPr>
                <w:lang w:eastAsia="ar-SA"/>
              </w:rPr>
            </w:pPr>
            <w:r w:rsidRPr="00F65F6F">
              <w:rPr>
                <w:lang w:eastAsia="ar-SA"/>
              </w:rPr>
              <w:t>Отмена</w:t>
            </w:r>
          </w:p>
        </w:tc>
      </w:tr>
      <w:tr w:rsidR="00A93FEC" w:rsidRPr="00F65F6F" w14:paraId="190A8717" w14:textId="77777777" w:rsidTr="002D3EBF">
        <w:tc>
          <w:tcPr>
            <w:tcW w:w="2943" w:type="dxa"/>
            <w:hideMark/>
          </w:tcPr>
          <w:p w14:paraId="193C487F" w14:textId="77777777" w:rsidR="00A93FEC" w:rsidRPr="00F65F6F" w:rsidRDefault="00A93FEC" w:rsidP="00A07851">
            <w:pPr>
              <w:tabs>
                <w:tab w:val="left" w:pos="284"/>
                <w:tab w:val="left" w:pos="567"/>
              </w:tabs>
              <w:suppressAutoHyphens/>
              <w:snapToGrid w:val="0"/>
              <w:spacing w:line="240" w:lineRule="auto"/>
              <w:ind w:firstLine="0"/>
              <w:rPr>
                <w:lang w:eastAsia="ar-SA"/>
              </w:rPr>
            </w:pPr>
            <w:r w:rsidRPr="00F65F6F">
              <w:rPr>
                <w:lang w:eastAsia="ar-SA"/>
              </w:rPr>
              <w:t>Мелфалан</w:t>
            </w:r>
          </w:p>
        </w:tc>
        <w:tc>
          <w:tcPr>
            <w:tcW w:w="2315" w:type="dxa"/>
            <w:hideMark/>
          </w:tcPr>
          <w:p w14:paraId="38B5E423" w14:textId="77777777" w:rsidR="00A93FEC" w:rsidRPr="00F65F6F" w:rsidRDefault="00A93FEC" w:rsidP="00A07851">
            <w:pPr>
              <w:tabs>
                <w:tab w:val="left" w:pos="284"/>
                <w:tab w:val="left" w:pos="567"/>
              </w:tabs>
              <w:suppressAutoHyphens/>
              <w:snapToGrid w:val="0"/>
              <w:spacing w:line="240" w:lineRule="auto"/>
              <w:ind w:firstLine="0"/>
              <w:rPr>
                <w:lang w:eastAsia="ar-SA"/>
              </w:rPr>
            </w:pPr>
            <w:r w:rsidRPr="00F65F6F">
              <w:rPr>
                <w:lang w:eastAsia="ar-SA"/>
              </w:rPr>
              <w:t>25%</w:t>
            </w:r>
          </w:p>
        </w:tc>
        <w:tc>
          <w:tcPr>
            <w:tcW w:w="1903" w:type="dxa"/>
            <w:hideMark/>
          </w:tcPr>
          <w:p w14:paraId="34FDEECD" w14:textId="77777777" w:rsidR="00A93FEC" w:rsidRPr="00F65F6F" w:rsidRDefault="00A93FEC" w:rsidP="00A07851">
            <w:pPr>
              <w:tabs>
                <w:tab w:val="left" w:pos="284"/>
                <w:tab w:val="left" w:pos="567"/>
              </w:tabs>
              <w:suppressAutoHyphens/>
              <w:snapToGrid w:val="0"/>
              <w:spacing w:line="240" w:lineRule="auto"/>
              <w:ind w:firstLine="0"/>
              <w:rPr>
                <w:lang w:eastAsia="ar-SA"/>
              </w:rPr>
            </w:pPr>
            <w:r w:rsidRPr="00F65F6F">
              <w:rPr>
                <w:lang w:eastAsia="ar-SA"/>
              </w:rPr>
              <w:t>75%</w:t>
            </w:r>
          </w:p>
        </w:tc>
        <w:tc>
          <w:tcPr>
            <w:tcW w:w="2415" w:type="dxa"/>
            <w:gridSpan w:val="2"/>
            <w:hideMark/>
          </w:tcPr>
          <w:p w14:paraId="0CBF1162" w14:textId="77777777" w:rsidR="00A93FEC" w:rsidRPr="00F65F6F" w:rsidRDefault="00A93FEC" w:rsidP="00A07851">
            <w:pPr>
              <w:tabs>
                <w:tab w:val="left" w:pos="284"/>
                <w:tab w:val="left" w:pos="567"/>
              </w:tabs>
              <w:suppressAutoHyphens/>
              <w:snapToGrid w:val="0"/>
              <w:spacing w:line="240" w:lineRule="auto"/>
              <w:ind w:firstLine="0"/>
              <w:rPr>
                <w:lang w:eastAsia="ar-SA"/>
              </w:rPr>
            </w:pPr>
            <w:r w:rsidRPr="00F65F6F">
              <w:rPr>
                <w:lang w:eastAsia="ar-SA"/>
              </w:rPr>
              <w:t>50%</w:t>
            </w:r>
          </w:p>
        </w:tc>
      </w:tr>
      <w:tr w:rsidR="00A93FEC" w:rsidRPr="00F65F6F" w14:paraId="5F9AAABF" w14:textId="77777777" w:rsidTr="002D3EBF">
        <w:tc>
          <w:tcPr>
            <w:tcW w:w="2943" w:type="dxa"/>
            <w:hideMark/>
          </w:tcPr>
          <w:p w14:paraId="43ED3075" w14:textId="77777777" w:rsidR="00A93FEC" w:rsidRPr="00F65F6F" w:rsidRDefault="00A93FEC" w:rsidP="00A07851">
            <w:pPr>
              <w:tabs>
                <w:tab w:val="left" w:pos="284"/>
                <w:tab w:val="left" w:pos="567"/>
              </w:tabs>
              <w:suppressAutoHyphens/>
              <w:snapToGrid w:val="0"/>
              <w:spacing w:line="240" w:lineRule="auto"/>
              <w:ind w:firstLine="0"/>
              <w:rPr>
                <w:lang w:eastAsia="ar-SA"/>
              </w:rPr>
            </w:pPr>
            <w:r w:rsidRPr="00F65F6F">
              <w:rPr>
                <w:lang w:eastAsia="ar-SA"/>
              </w:rPr>
              <w:t>Метотрексат</w:t>
            </w:r>
          </w:p>
        </w:tc>
        <w:tc>
          <w:tcPr>
            <w:tcW w:w="2315" w:type="dxa"/>
            <w:hideMark/>
          </w:tcPr>
          <w:p w14:paraId="7D68CDB2" w14:textId="77777777" w:rsidR="00A93FEC" w:rsidRPr="00F65F6F" w:rsidRDefault="00A93FEC" w:rsidP="00A07851">
            <w:pPr>
              <w:tabs>
                <w:tab w:val="left" w:pos="284"/>
                <w:tab w:val="left" w:pos="567"/>
              </w:tabs>
              <w:suppressAutoHyphens/>
              <w:snapToGrid w:val="0"/>
              <w:spacing w:line="240" w:lineRule="auto"/>
              <w:ind w:firstLine="0"/>
              <w:rPr>
                <w:lang w:eastAsia="ar-SA"/>
              </w:rPr>
            </w:pPr>
            <w:r w:rsidRPr="00F65F6F">
              <w:rPr>
                <w:lang w:eastAsia="ar-SA"/>
              </w:rPr>
              <w:t>50%</w:t>
            </w:r>
          </w:p>
        </w:tc>
        <w:tc>
          <w:tcPr>
            <w:tcW w:w="1903" w:type="dxa"/>
            <w:hideMark/>
          </w:tcPr>
          <w:p w14:paraId="38A813A9" w14:textId="77777777" w:rsidR="00A93FEC" w:rsidRPr="00F65F6F" w:rsidRDefault="00A93FEC" w:rsidP="00A07851">
            <w:pPr>
              <w:tabs>
                <w:tab w:val="left" w:pos="284"/>
                <w:tab w:val="left" w:pos="567"/>
              </w:tabs>
              <w:suppressAutoHyphens/>
              <w:snapToGrid w:val="0"/>
              <w:spacing w:line="240" w:lineRule="auto"/>
              <w:ind w:firstLine="0"/>
              <w:rPr>
                <w:lang w:eastAsia="ar-SA"/>
              </w:rPr>
            </w:pPr>
            <w:r w:rsidRPr="00F65F6F">
              <w:rPr>
                <w:lang w:eastAsia="ar-SA"/>
              </w:rPr>
              <w:t>Отмена</w:t>
            </w:r>
          </w:p>
        </w:tc>
        <w:tc>
          <w:tcPr>
            <w:tcW w:w="2415" w:type="dxa"/>
            <w:gridSpan w:val="2"/>
            <w:hideMark/>
          </w:tcPr>
          <w:p w14:paraId="230706C0" w14:textId="77777777" w:rsidR="00A93FEC" w:rsidRPr="00F65F6F" w:rsidRDefault="00A93FEC" w:rsidP="00A07851">
            <w:pPr>
              <w:tabs>
                <w:tab w:val="left" w:pos="284"/>
                <w:tab w:val="left" w:pos="567"/>
              </w:tabs>
              <w:suppressAutoHyphens/>
              <w:snapToGrid w:val="0"/>
              <w:spacing w:line="240" w:lineRule="auto"/>
              <w:ind w:firstLine="0"/>
              <w:rPr>
                <w:lang w:eastAsia="ar-SA"/>
              </w:rPr>
            </w:pPr>
            <w:r w:rsidRPr="00F65F6F">
              <w:rPr>
                <w:lang w:eastAsia="ar-SA"/>
              </w:rPr>
              <w:t>Отмена</w:t>
            </w:r>
          </w:p>
        </w:tc>
      </w:tr>
    </w:tbl>
    <w:p w14:paraId="4B9547AA" w14:textId="77777777" w:rsidR="00A93FEC" w:rsidRPr="00F65F6F" w:rsidRDefault="00A93FEC" w:rsidP="00A93FEC">
      <w:pPr>
        <w:suppressAutoHyphens/>
        <w:rPr>
          <w:rFonts w:eastAsia="Calibri" w:cs="Times New Roman"/>
          <w:szCs w:val="24"/>
          <w:lang w:eastAsia="ar-SA"/>
        </w:rPr>
      </w:pPr>
      <w:r w:rsidRPr="00F65F6F">
        <w:rPr>
          <w:rFonts w:eastAsia="Calibri" w:cs="Times New Roman"/>
          <w:szCs w:val="24"/>
          <w:lang w:eastAsia="ar-SA"/>
        </w:rPr>
        <w:t xml:space="preserve">Формула Калверта*: </w:t>
      </w:r>
      <w:r w:rsidRPr="00F65F6F">
        <w:rPr>
          <w:rFonts w:eastAsia="Calibri" w:cs="Times New Roman"/>
          <w:bCs/>
          <w:szCs w:val="24"/>
          <w:lang w:eastAsia="ar-SA"/>
        </w:rPr>
        <w:t>Доза препарата</w:t>
      </w:r>
      <w:r w:rsidRPr="00F65F6F">
        <w:rPr>
          <w:rFonts w:eastAsia="Calibri" w:cs="Times New Roman"/>
          <w:b/>
          <w:bCs/>
          <w:szCs w:val="24"/>
          <w:lang w:eastAsia="ar-SA"/>
        </w:rPr>
        <w:t xml:space="preserve"> </w:t>
      </w:r>
      <w:r w:rsidRPr="00F65F6F">
        <w:rPr>
          <w:rFonts w:eastAsia="Calibri" w:cs="Times New Roman"/>
          <w:szCs w:val="24"/>
          <w:lang w:eastAsia="ar-SA"/>
        </w:rPr>
        <w:t>(мг)</w:t>
      </w:r>
      <w:r w:rsidRPr="00F65F6F">
        <w:rPr>
          <w:rFonts w:eastAsia="Calibri" w:cs="Times New Roman"/>
          <w:b/>
          <w:bCs/>
          <w:szCs w:val="24"/>
          <w:lang w:eastAsia="ar-SA"/>
        </w:rPr>
        <w:t xml:space="preserve"> = </w:t>
      </w:r>
      <w:r w:rsidRPr="00F65F6F">
        <w:rPr>
          <w:rFonts w:eastAsia="Calibri" w:cs="Times New Roman"/>
          <w:szCs w:val="24"/>
          <w:lang w:eastAsia="ar-SA"/>
        </w:rPr>
        <w:t>[</w:t>
      </w:r>
      <w:r w:rsidRPr="00F65F6F">
        <w:rPr>
          <w:rFonts w:eastAsia="Calibri" w:cs="Times New Roman"/>
          <w:szCs w:val="24"/>
          <w:lang w:val="en-US" w:eastAsia="ar-SA"/>
        </w:rPr>
        <w:t>AUC</w:t>
      </w:r>
      <w:r w:rsidRPr="00F65F6F">
        <w:rPr>
          <w:rFonts w:eastAsia="Calibri" w:cs="Times New Roman"/>
          <w:szCs w:val="24"/>
          <w:lang w:eastAsia="ar-SA"/>
        </w:rPr>
        <w:t xml:space="preserve">(мг/мл </w:t>
      </w:r>
      <w:r w:rsidRPr="00F65F6F">
        <w:rPr>
          <w:rFonts w:eastAsia="Calibri" w:cs="Times New Roman"/>
          <w:szCs w:val="24"/>
          <w:lang w:val="en-US" w:eastAsia="ar-SA"/>
        </w:rPr>
        <w:t>x</w:t>
      </w:r>
      <w:r w:rsidRPr="00F65F6F">
        <w:rPr>
          <w:rFonts w:eastAsia="Calibri" w:cs="Times New Roman"/>
          <w:szCs w:val="24"/>
          <w:lang w:eastAsia="ar-SA"/>
        </w:rPr>
        <w:t xml:space="preserve"> мин)] </w:t>
      </w:r>
      <w:r w:rsidRPr="00F65F6F">
        <w:rPr>
          <w:rFonts w:eastAsia="Calibri" w:cs="Times New Roman"/>
          <w:szCs w:val="24"/>
          <w:lang w:val="en-US" w:eastAsia="ar-SA"/>
        </w:rPr>
        <w:t>x</w:t>
      </w:r>
      <w:r w:rsidRPr="00F65F6F">
        <w:rPr>
          <w:rFonts w:eastAsia="Calibri" w:cs="Times New Roman"/>
          <w:szCs w:val="24"/>
          <w:lang w:eastAsia="ar-SA"/>
        </w:rPr>
        <w:t xml:space="preserve"> [СКФ (мл/мин) +25], </w:t>
      </w:r>
    </w:p>
    <w:p w14:paraId="38EB1C46" w14:textId="77777777" w:rsidR="00A93FEC" w:rsidRPr="00F65F6F" w:rsidRDefault="00A93FEC" w:rsidP="00A93FEC">
      <w:pPr>
        <w:suppressAutoHyphens/>
        <w:rPr>
          <w:rFonts w:eastAsia="Calibri" w:cs="Times New Roman"/>
          <w:szCs w:val="24"/>
          <w:lang w:eastAsia="ar-SA"/>
        </w:rPr>
      </w:pPr>
      <w:r w:rsidRPr="00F65F6F">
        <w:rPr>
          <w:rFonts w:eastAsia="Calibri" w:cs="Times New Roman"/>
          <w:szCs w:val="24"/>
          <w:lang w:eastAsia="ar-SA"/>
        </w:rPr>
        <w:t>где AUC – эта концентрация препарата в крови в течение конкретного отрезка времени; СКФ – скорость клубочковой фильтрации.</w:t>
      </w:r>
    </w:p>
    <w:p w14:paraId="2EA88944" w14:textId="77777777" w:rsidR="00A93FEC" w:rsidRPr="00F65F6F" w:rsidRDefault="00A93FEC" w:rsidP="00A93FEC">
      <w:pPr>
        <w:suppressAutoHyphens/>
        <w:rPr>
          <w:rFonts w:eastAsia="Calibri" w:cs="Times New Roman"/>
          <w:szCs w:val="24"/>
          <w:lang w:eastAsia="ar-SA"/>
        </w:rPr>
      </w:pPr>
    </w:p>
    <w:p w14:paraId="12A6B565" w14:textId="77777777" w:rsidR="00A93FEC" w:rsidRPr="00ED50D9" w:rsidRDefault="00A93FEC" w:rsidP="00A93FEC">
      <w:pPr>
        <w:widowControl w:val="0"/>
        <w:suppressAutoHyphens/>
        <w:rPr>
          <w:rFonts w:eastAsia="Calibri" w:cs="Times New Roman"/>
          <w:szCs w:val="24"/>
          <w:lang w:eastAsia="ar-SA"/>
        </w:rPr>
      </w:pPr>
      <w:r w:rsidRPr="00ED50D9">
        <w:rPr>
          <w:rFonts w:eastAsia="Calibri" w:cs="Times New Roman"/>
          <w:szCs w:val="24"/>
          <w:lang w:eastAsia="ar-SA"/>
        </w:rPr>
        <w:t xml:space="preserve">Если больному проводится гемодиализ, то коррекцию дозы химиопрепаратов проводят в зависимости от фармакокинетики и от процента выведения препарата через мембрану диализатора (таб. 6). </w:t>
      </w:r>
    </w:p>
    <w:p w14:paraId="2089A64E" w14:textId="77777777" w:rsidR="00A93FEC" w:rsidRPr="00ED50D9" w:rsidRDefault="00A93FEC" w:rsidP="00A93FEC">
      <w:pPr>
        <w:suppressAutoHyphens/>
        <w:ind w:left="708"/>
        <w:rPr>
          <w:rFonts w:eastAsia="Calibri" w:cs="Times New Roman"/>
          <w:bCs/>
          <w:szCs w:val="24"/>
          <w:lang w:eastAsia="ar-SA"/>
        </w:rPr>
      </w:pPr>
    </w:p>
    <w:p w14:paraId="5BBDC42B" w14:textId="38A6BED2" w:rsidR="00A93FEC" w:rsidRPr="00EE2ABD" w:rsidRDefault="00A93FEC" w:rsidP="00A93FEC">
      <w:pPr>
        <w:suppressAutoHyphens/>
        <w:rPr>
          <w:rFonts w:eastAsia="Calibri" w:cs="Times New Roman"/>
          <w:bCs/>
          <w:szCs w:val="24"/>
          <w:lang w:eastAsia="ar-SA"/>
        </w:rPr>
      </w:pPr>
      <w:r w:rsidRPr="00ED50D9">
        <w:rPr>
          <w:rFonts w:eastAsia="Calibri" w:cs="Times New Roman"/>
          <w:bCs/>
          <w:szCs w:val="24"/>
          <w:lang w:eastAsia="ar-SA"/>
        </w:rPr>
        <w:t>Таблица 6. Рекомендации по коррекции дозы противоопухолевых препаратов у пациентов с почечной недостаточностью, находящихся на гемодиализе</w:t>
      </w:r>
      <w:r w:rsidRPr="00EE2ABD">
        <w:rPr>
          <w:rFonts w:eastAsia="Calibri" w:cs="Times New Roman"/>
          <w:bCs/>
          <w:szCs w:val="24"/>
          <w:lang w:eastAsia="ar-SA"/>
        </w:rPr>
        <w:t xml:space="preserve"> </w:t>
      </w:r>
      <w:r>
        <w:rPr>
          <w:rFonts w:eastAsia="Times New Roman" w:cs="Times New Roman"/>
          <w:szCs w:val="24"/>
          <w:lang w:eastAsia="ru-RU"/>
        </w:rPr>
        <w:fldChar w:fldCharType="begin" w:fldLock="1"/>
      </w:r>
      <w:r w:rsidR="00500503">
        <w:rPr>
          <w:rFonts w:eastAsia="Times New Roman" w:cs="Times New Roman"/>
          <w:szCs w:val="24"/>
          <w:lang w:eastAsia="ru-RU"/>
        </w:rPr>
        <w:instrText>ADDIN CSL_CITATION {"citationItems":[{"id":"ITEM-1","itemData":{"author":[{"dropping-particle":"","family":"Джумабаева","given":"Б.Т.","non-dropping-particle":"","parse-names":false,"suffix":""},{"dropping-particle":"","family":"Бирюкова","given":"Л.С.","non-dropping-particle":"","parse-names":false,"suffix":""},{"dropping-particle":"","family":"Варшавский","given":"В.А.","non-dropping-particle":"","parse-names":false,"suffix":""},{"dropping-particle":"","family":"Марьина","given":"С.А.","non-dropping-particle":"","parse-names":false,"suffix":""},{"dropping-particle":"","family":"Рощина","given":"Л.С.","non-dropping-particle":"","parse-names":false,"suffix":""},{"dropping-particle":"","family":"Джулакян","given":"У.Л.","non-dropping-particle":"","parse-names":false,"suffix":""},{"dropping-particle":"","family":"Столяревич","given":"Е.C.","non-dropping-particle":"","parse-names":false,"suffix":""}],"container-title":"Онкогематология","id":"ITEM-1","issue":"1","issued":{"date-parts":[["2017"]]},"page":"44-54","title":"Клинико-лабораторные и морфологические особенности поражения почек при лимфопролиферативных заболеваниях","type":"article-journal","volume":"7"},"uris":["http://www.mendeley.com/documents/?uuid=50a28e00-c058-46cf-b75a-5bfd40395f93"]},{"id":"ITEM-2","itemData":{"author":[{"dropping-particle":"","family":"Рехтина","given":"И.Г.","non-dropping-particle":"","parse-names":false,"suffix":""},{"dropping-particle":"","family":"Голицина","given":"Е.П.","non-dropping-particle":"","parse-names":false,"suffix":""},{"dropping-particle":"","family":"Варламова","given":"Е.Ю.","non-dropping-particle":"","parse-names":false,"suffix":""},{"dropping-particle":"","family":"Варшавский","given":"В.А.","non-dropping-particle":"","parse-names":false,"suffix":""},{"dropping-particle":"","family":"Киреева","given":"А.А.","non-dropping-particle":"","parse-names":false,"suffix":""},{"dropping-particle":"","family":"Бирюкова","given":"Л.С.","non-dropping-particle":"","parse-names":false,"suffix":""},{"dropping-particle":"","family":"Савченко","given":"В.Г.","non-dropping-particle":"","parse-names":false,"suffix":""}],"container-title":"Терапевтический архив","id":"ITEM-2","issue":"3","issued":{"date-parts":[["2013"]]},"page":"80-85","title":"Морфологические и иммунохимические особенности нефропатий при множественной миеломе с тяжелой почечной недостаточностью","type":"article-journal","volume":"85"},"uris":["http://www.mendeley.com/documents/?uuid=b7e4aa0d-a654-44bd-b363-35e45db6262e"]},{"id":"ITEM-3","itemData":{"author":[{"dropping-particle":"","family":"Ворожейкина","given":"Е.Г.","non-dropping-particle":"","parse-names":false,"suffix":""},{"dropping-particle":"","family":"Бирюкова","given":"Л.С.","non-dropping-particle":"","parse-names":false,"suffix":""},{"dropping-particle":"","family":"Савченко","given":"В.Г.","non-dropping-particle":"","parse-names":false,"suffix":""}],"container-title":"Гематология и трансфузиология","id":"ITEM-3","issue":"3","issued":{"date-parts":[["2011"]]},"page":"24-27","title":"Клинико-лабораторные проявления нефропатий у больных острыми лейкозами","type":"article-journal","volume":"56"},"uris":["http://www.mendeley.com/documents/?uuid=137272d3-cc35-4bfd-b2f3-d7af020af652"]}],"mendeley":{"formattedCitation":"[115–117]","plainTextFormattedCitation":"[115–117]","previouslyFormattedCitation":"[115–117]"},"properties":{"noteIndex":0},"schema":"https://github.com/citation-style-language/schema/raw/master/csl-citation.json"}</w:instrText>
      </w:r>
      <w:r>
        <w:rPr>
          <w:rFonts w:eastAsia="Times New Roman" w:cs="Times New Roman"/>
          <w:szCs w:val="24"/>
          <w:lang w:eastAsia="ru-RU"/>
        </w:rPr>
        <w:fldChar w:fldCharType="separate"/>
      </w:r>
      <w:r w:rsidR="00A07851" w:rsidRPr="00A07851">
        <w:rPr>
          <w:rFonts w:eastAsia="Times New Roman" w:cs="Times New Roman"/>
          <w:noProof/>
          <w:szCs w:val="24"/>
          <w:lang w:eastAsia="ru-RU"/>
        </w:rPr>
        <w:t>[115–117]</w:t>
      </w:r>
      <w:r>
        <w:rPr>
          <w:rFonts w:eastAsia="Times New Roman" w:cs="Times New Roman"/>
          <w:szCs w:val="24"/>
          <w:lang w:eastAsia="ru-RU"/>
        </w:rPr>
        <w:fldChar w:fldCharType="end"/>
      </w:r>
    </w:p>
    <w:tbl>
      <w:tblPr>
        <w:tblStyle w:val="51"/>
        <w:tblW w:w="0" w:type="auto"/>
        <w:tblLook w:val="04A0" w:firstRow="1" w:lastRow="0" w:firstColumn="1" w:lastColumn="0" w:noHBand="0" w:noVBand="1"/>
      </w:tblPr>
      <w:tblGrid>
        <w:gridCol w:w="2977"/>
        <w:gridCol w:w="6369"/>
      </w:tblGrid>
      <w:tr w:rsidR="00A93FEC" w:rsidRPr="00F65F6F" w14:paraId="4A44F657" w14:textId="77777777" w:rsidTr="002D3EBF">
        <w:tc>
          <w:tcPr>
            <w:tcW w:w="3061" w:type="dxa"/>
            <w:hideMark/>
          </w:tcPr>
          <w:p w14:paraId="1A1B8A8D" w14:textId="77777777" w:rsidR="00A93FEC" w:rsidRPr="00F65F6F" w:rsidRDefault="00A93FEC" w:rsidP="00A07851">
            <w:pPr>
              <w:tabs>
                <w:tab w:val="left" w:pos="284"/>
                <w:tab w:val="left" w:pos="567"/>
              </w:tabs>
              <w:suppressAutoHyphens/>
              <w:snapToGrid w:val="0"/>
              <w:ind w:firstLine="0"/>
              <w:jc w:val="center"/>
              <w:rPr>
                <w:lang w:eastAsia="ar-SA"/>
              </w:rPr>
            </w:pPr>
            <w:r w:rsidRPr="00F65F6F">
              <w:rPr>
                <w:lang w:eastAsia="ar-SA"/>
              </w:rPr>
              <w:t>Лекарственный препарат</w:t>
            </w:r>
          </w:p>
        </w:tc>
        <w:tc>
          <w:tcPr>
            <w:tcW w:w="6941" w:type="dxa"/>
            <w:hideMark/>
          </w:tcPr>
          <w:p w14:paraId="2D9F1066" w14:textId="77777777" w:rsidR="00A93FEC" w:rsidRPr="00F65F6F" w:rsidRDefault="00A93FEC" w:rsidP="00A07851">
            <w:pPr>
              <w:tabs>
                <w:tab w:val="left" w:pos="284"/>
                <w:tab w:val="left" w:pos="567"/>
              </w:tabs>
              <w:suppressAutoHyphens/>
              <w:snapToGrid w:val="0"/>
              <w:ind w:firstLine="0"/>
              <w:jc w:val="center"/>
              <w:rPr>
                <w:lang w:eastAsia="ar-SA"/>
              </w:rPr>
            </w:pPr>
            <w:r w:rsidRPr="00F65F6F">
              <w:rPr>
                <w:lang w:eastAsia="ar-SA"/>
              </w:rPr>
              <w:t>Рекомендации и комментарии</w:t>
            </w:r>
          </w:p>
        </w:tc>
      </w:tr>
      <w:tr w:rsidR="00A93FEC" w:rsidRPr="00F65F6F" w14:paraId="2DBE4B67" w14:textId="77777777" w:rsidTr="002D3EBF">
        <w:tc>
          <w:tcPr>
            <w:tcW w:w="3061" w:type="dxa"/>
            <w:hideMark/>
          </w:tcPr>
          <w:p w14:paraId="52AB46EA" w14:textId="77777777" w:rsidR="00A93FEC" w:rsidRPr="00F65F6F" w:rsidRDefault="00A93FEC" w:rsidP="00A07851">
            <w:pPr>
              <w:tabs>
                <w:tab w:val="left" w:pos="284"/>
                <w:tab w:val="left" w:pos="567"/>
              </w:tabs>
              <w:suppressAutoHyphens/>
              <w:snapToGrid w:val="0"/>
              <w:ind w:firstLine="0"/>
              <w:rPr>
                <w:lang w:eastAsia="ar-SA"/>
              </w:rPr>
            </w:pPr>
            <w:r w:rsidRPr="00F65F6F">
              <w:rPr>
                <w:lang w:eastAsia="ar-SA"/>
              </w:rPr>
              <w:t>Цисплатин</w:t>
            </w:r>
          </w:p>
        </w:tc>
        <w:tc>
          <w:tcPr>
            <w:tcW w:w="6941" w:type="dxa"/>
            <w:hideMark/>
          </w:tcPr>
          <w:p w14:paraId="0FCC5AA6" w14:textId="77777777" w:rsidR="00A93FEC" w:rsidRPr="00F65F6F" w:rsidRDefault="00A93FEC" w:rsidP="00A07851">
            <w:pPr>
              <w:tabs>
                <w:tab w:val="left" w:pos="284"/>
                <w:tab w:val="left" w:pos="567"/>
              </w:tabs>
              <w:suppressAutoHyphens/>
              <w:snapToGrid w:val="0"/>
              <w:ind w:firstLine="0"/>
              <w:rPr>
                <w:lang w:eastAsia="ar-SA"/>
              </w:rPr>
            </w:pPr>
            <w:r w:rsidRPr="00F65F6F">
              <w:rPr>
                <w:lang w:eastAsia="ar-SA"/>
              </w:rPr>
              <w:t>Дозу снижать на 50%. Выводится при гемодиализе</w:t>
            </w:r>
          </w:p>
        </w:tc>
      </w:tr>
      <w:tr w:rsidR="00A93FEC" w:rsidRPr="00F65F6F" w14:paraId="3C9C57B7" w14:textId="77777777" w:rsidTr="002D3EBF">
        <w:tc>
          <w:tcPr>
            <w:tcW w:w="3061" w:type="dxa"/>
            <w:hideMark/>
          </w:tcPr>
          <w:p w14:paraId="785F71A0" w14:textId="77777777" w:rsidR="00A93FEC" w:rsidRPr="00F65F6F" w:rsidRDefault="00A93FEC" w:rsidP="00A07851">
            <w:pPr>
              <w:tabs>
                <w:tab w:val="left" w:pos="284"/>
                <w:tab w:val="left" w:pos="567"/>
              </w:tabs>
              <w:suppressAutoHyphens/>
              <w:snapToGrid w:val="0"/>
              <w:ind w:firstLine="0"/>
              <w:rPr>
                <w:lang w:eastAsia="ar-SA"/>
              </w:rPr>
            </w:pPr>
            <w:r w:rsidRPr="00F65F6F">
              <w:rPr>
                <w:lang w:eastAsia="ar-SA"/>
              </w:rPr>
              <w:t>Карбоплатин</w:t>
            </w:r>
          </w:p>
        </w:tc>
        <w:tc>
          <w:tcPr>
            <w:tcW w:w="6941" w:type="dxa"/>
            <w:hideMark/>
          </w:tcPr>
          <w:p w14:paraId="009704B6" w14:textId="77777777" w:rsidR="00A93FEC" w:rsidRPr="00F65F6F" w:rsidRDefault="00A93FEC" w:rsidP="00A07851">
            <w:pPr>
              <w:tabs>
                <w:tab w:val="left" w:pos="284"/>
                <w:tab w:val="left" w:pos="567"/>
              </w:tabs>
              <w:suppressAutoHyphens/>
              <w:snapToGrid w:val="0"/>
              <w:ind w:firstLine="0"/>
              <w:rPr>
                <w:lang w:eastAsia="ar-SA"/>
              </w:rPr>
            </w:pPr>
            <w:r w:rsidRPr="00F65F6F">
              <w:rPr>
                <w:lang w:eastAsia="ar-SA"/>
              </w:rPr>
              <w:t>Период между введением препарата и гемодиализом не должен превышать 16 ч. Дозу рассчитывают по формуле Калверта с учетом СКФ</w:t>
            </w:r>
          </w:p>
        </w:tc>
      </w:tr>
      <w:tr w:rsidR="00A93FEC" w:rsidRPr="00F65F6F" w14:paraId="6DCE7092" w14:textId="77777777" w:rsidTr="002D3EBF">
        <w:tc>
          <w:tcPr>
            <w:tcW w:w="3061" w:type="dxa"/>
            <w:hideMark/>
          </w:tcPr>
          <w:p w14:paraId="54DDD7A7" w14:textId="77777777" w:rsidR="00A93FEC" w:rsidRPr="00F65F6F" w:rsidRDefault="00A93FEC" w:rsidP="00A07851">
            <w:pPr>
              <w:tabs>
                <w:tab w:val="left" w:pos="284"/>
                <w:tab w:val="left" w:pos="567"/>
              </w:tabs>
              <w:suppressAutoHyphens/>
              <w:snapToGrid w:val="0"/>
              <w:ind w:firstLine="0"/>
              <w:rPr>
                <w:lang w:eastAsia="ar-SA"/>
              </w:rPr>
            </w:pPr>
            <w:r w:rsidRPr="00F65F6F">
              <w:rPr>
                <w:lang w:eastAsia="ar-SA"/>
              </w:rPr>
              <w:t>Этопозид</w:t>
            </w:r>
          </w:p>
        </w:tc>
        <w:tc>
          <w:tcPr>
            <w:tcW w:w="6941" w:type="dxa"/>
            <w:hideMark/>
          </w:tcPr>
          <w:p w14:paraId="5DA7149B" w14:textId="77777777" w:rsidR="00A93FEC" w:rsidRPr="00F65F6F" w:rsidRDefault="00A93FEC" w:rsidP="00A07851">
            <w:pPr>
              <w:tabs>
                <w:tab w:val="left" w:pos="284"/>
                <w:tab w:val="left" w:pos="567"/>
              </w:tabs>
              <w:suppressAutoHyphens/>
              <w:ind w:firstLine="0"/>
              <w:rPr>
                <w:lang w:eastAsia="ar-SA"/>
              </w:rPr>
            </w:pPr>
            <w:r w:rsidRPr="00F65F6F">
              <w:rPr>
                <w:lang w:eastAsia="ar-SA"/>
              </w:rPr>
              <w:t>Около 40% препарата выводится почками. Дозу назначаемого препарата снижают на 60%. Плохо выводится при гемодиализе</w:t>
            </w:r>
          </w:p>
        </w:tc>
      </w:tr>
      <w:tr w:rsidR="00A93FEC" w:rsidRPr="00F65F6F" w14:paraId="5292C672" w14:textId="77777777" w:rsidTr="002D3EBF">
        <w:tc>
          <w:tcPr>
            <w:tcW w:w="3061" w:type="dxa"/>
            <w:hideMark/>
          </w:tcPr>
          <w:p w14:paraId="23C19151" w14:textId="77777777" w:rsidR="00A93FEC" w:rsidRPr="00F65F6F" w:rsidRDefault="00A93FEC" w:rsidP="00A07851">
            <w:pPr>
              <w:tabs>
                <w:tab w:val="left" w:pos="284"/>
                <w:tab w:val="left" w:pos="567"/>
              </w:tabs>
              <w:suppressAutoHyphens/>
              <w:snapToGrid w:val="0"/>
              <w:ind w:firstLine="0"/>
              <w:rPr>
                <w:lang w:eastAsia="ar-SA"/>
              </w:rPr>
            </w:pPr>
            <w:r w:rsidRPr="00F65F6F">
              <w:rPr>
                <w:lang w:eastAsia="ar-SA"/>
              </w:rPr>
              <w:t>Метотрексат</w:t>
            </w:r>
          </w:p>
        </w:tc>
        <w:tc>
          <w:tcPr>
            <w:tcW w:w="6941" w:type="dxa"/>
            <w:hideMark/>
          </w:tcPr>
          <w:p w14:paraId="53F0A911" w14:textId="77777777" w:rsidR="00A93FEC" w:rsidRPr="00F65F6F" w:rsidRDefault="00A93FEC" w:rsidP="00A07851">
            <w:pPr>
              <w:tabs>
                <w:tab w:val="left" w:pos="284"/>
                <w:tab w:val="left" w:pos="567"/>
              </w:tabs>
              <w:suppressAutoHyphens/>
              <w:snapToGrid w:val="0"/>
              <w:ind w:firstLine="0"/>
              <w:rPr>
                <w:lang w:eastAsia="ar-SA"/>
              </w:rPr>
            </w:pPr>
            <w:r w:rsidRPr="00F65F6F">
              <w:rPr>
                <w:lang w:eastAsia="ar-SA"/>
              </w:rPr>
              <w:t>Степень элиминации препарата увеличивается при удлинении диализа, но высокие дозы препарата сохраняются несколько дней. Назначается  лейковорин (фолиновая кислота) по 15 мг (10мг/м</w:t>
            </w:r>
            <w:r w:rsidRPr="00F65F6F">
              <w:rPr>
                <w:vertAlign w:val="superscript"/>
                <w:lang w:eastAsia="ar-SA"/>
              </w:rPr>
              <w:t>2</w:t>
            </w:r>
            <w:r w:rsidRPr="00F65F6F">
              <w:rPr>
                <w:lang w:eastAsia="ar-SA"/>
              </w:rPr>
              <w:t xml:space="preserve">) внутрь через каждые 6 часов пока концентрация метотрексата в плазме  не станет ниже 0,05 мкмоль. </w:t>
            </w:r>
          </w:p>
        </w:tc>
      </w:tr>
      <w:tr w:rsidR="00A93FEC" w:rsidRPr="00F65F6F" w14:paraId="5CC3364F" w14:textId="77777777" w:rsidTr="002D3EBF">
        <w:tc>
          <w:tcPr>
            <w:tcW w:w="3061" w:type="dxa"/>
            <w:hideMark/>
          </w:tcPr>
          <w:p w14:paraId="63D3D203" w14:textId="77777777" w:rsidR="00A93FEC" w:rsidRPr="00F65F6F" w:rsidRDefault="00A93FEC" w:rsidP="00A07851">
            <w:pPr>
              <w:tabs>
                <w:tab w:val="left" w:pos="284"/>
                <w:tab w:val="left" w:pos="567"/>
              </w:tabs>
              <w:suppressAutoHyphens/>
              <w:snapToGrid w:val="0"/>
              <w:ind w:firstLine="0"/>
              <w:rPr>
                <w:lang w:eastAsia="ar-SA"/>
              </w:rPr>
            </w:pPr>
            <w:r w:rsidRPr="00F65F6F">
              <w:rPr>
                <w:lang w:eastAsia="ar-SA"/>
              </w:rPr>
              <w:t>Ифосфамид Циклофосфамид,</w:t>
            </w:r>
          </w:p>
        </w:tc>
        <w:tc>
          <w:tcPr>
            <w:tcW w:w="6941" w:type="dxa"/>
            <w:hideMark/>
          </w:tcPr>
          <w:p w14:paraId="502CABAF" w14:textId="77777777" w:rsidR="00A93FEC" w:rsidRPr="00F65F6F" w:rsidRDefault="00A93FEC" w:rsidP="00A07851">
            <w:pPr>
              <w:tabs>
                <w:tab w:val="left" w:pos="284"/>
                <w:tab w:val="left" w:pos="567"/>
              </w:tabs>
              <w:suppressAutoHyphens/>
              <w:snapToGrid w:val="0"/>
              <w:ind w:firstLine="0"/>
              <w:rPr>
                <w:b/>
                <w:bCs/>
                <w:color w:val="FF0000"/>
                <w:lang w:eastAsia="ar-SA"/>
              </w:rPr>
            </w:pPr>
            <w:r w:rsidRPr="00F65F6F">
              <w:rPr>
                <w:lang w:eastAsia="ar-SA"/>
              </w:rPr>
              <w:t xml:space="preserve">Гемодиализ следует проводить через 12 ч после введения препарата с целью предотвратить его выведение в ранней фазе распределения </w:t>
            </w:r>
          </w:p>
        </w:tc>
      </w:tr>
      <w:tr w:rsidR="00A93FEC" w:rsidRPr="00F65F6F" w14:paraId="563E5237" w14:textId="77777777" w:rsidTr="002D3EBF">
        <w:tc>
          <w:tcPr>
            <w:tcW w:w="3061" w:type="dxa"/>
            <w:hideMark/>
          </w:tcPr>
          <w:p w14:paraId="48075774" w14:textId="77777777" w:rsidR="00A93FEC" w:rsidRPr="00F65F6F" w:rsidRDefault="00A93FEC" w:rsidP="00A07851">
            <w:pPr>
              <w:widowControl w:val="0"/>
              <w:tabs>
                <w:tab w:val="left" w:pos="284"/>
                <w:tab w:val="left" w:pos="567"/>
              </w:tabs>
              <w:suppressAutoHyphens/>
              <w:ind w:firstLine="0"/>
              <w:rPr>
                <w:lang w:eastAsia="ar-SA"/>
              </w:rPr>
            </w:pPr>
            <w:r w:rsidRPr="00F65F6F">
              <w:rPr>
                <w:rFonts w:eastAsia="Times New Roman"/>
                <w:lang w:eastAsia="ar-SA"/>
              </w:rPr>
              <w:t xml:space="preserve">Противоопухолевые антибиотики </w:t>
            </w:r>
            <w:r w:rsidRPr="00F65F6F">
              <w:rPr>
                <w:lang w:eastAsia="ar-SA"/>
              </w:rPr>
              <w:t>(митомицин С, дактиномицин)</w:t>
            </w:r>
          </w:p>
        </w:tc>
        <w:tc>
          <w:tcPr>
            <w:tcW w:w="6941" w:type="dxa"/>
            <w:hideMark/>
          </w:tcPr>
          <w:p w14:paraId="5CB2E66A" w14:textId="77777777" w:rsidR="00A93FEC" w:rsidRPr="00F65F6F" w:rsidRDefault="00A93FEC" w:rsidP="00A07851">
            <w:pPr>
              <w:tabs>
                <w:tab w:val="left" w:pos="284"/>
                <w:tab w:val="left" w:pos="567"/>
              </w:tabs>
              <w:suppressAutoHyphens/>
              <w:snapToGrid w:val="0"/>
              <w:ind w:firstLine="0"/>
              <w:rPr>
                <w:lang w:eastAsia="ar-SA"/>
              </w:rPr>
            </w:pPr>
            <w:r w:rsidRPr="00F65F6F">
              <w:rPr>
                <w:lang w:eastAsia="ar-SA"/>
              </w:rPr>
              <w:t>Препараты распределяются в тканях и очень медленно выводятся с мочой; период полувыведения длительный. Не рекомендуется назначать в высоких дозах</w:t>
            </w:r>
          </w:p>
        </w:tc>
      </w:tr>
      <w:tr w:rsidR="00A93FEC" w:rsidRPr="00F65F6F" w14:paraId="7D221CA0" w14:textId="77777777" w:rsidTr="002D3EBF">
        <w:tc>
          <w:tcPr>
            <w:tcW w:w="3061" w:type="dxa"/>
            <w:hideMark/>
          </w:tcPr>
          <w:p w14:paraId="2FE4DC6D" w14:textId="77777777" w:rsidR="00A93FEC" w:rsidRPr="00F65F6F" w:rsidRDefault="00A93FEC" w:rsidP="00A07851">
            <w:pPr>
              <w:tabs>
                <w:tab w:val="left" w:pos="284"/>
                <w:tab w:val="left" w:pos="567"/>
              </w:tabs>
              <w:suppressAutoHyphens/>
              <w:snapToGrid w:val="0"/>
              <w:ind w:firstLine="0"/>
              <w:rPr>
                <w:lang w:eastAsia="ar-SA"/>
              </w:rPr>
            </w:pPr>
            <w:r w:rsidRPr="00F65F6F">
              <w:rPr>
                <w:lang w:eastAsia="ar-SA"/>
              </w:rPr>
              <w:t>Антрациклины (доксорубицин, эпирубицин, даунорубицин)</w:t>
            </w:r>
          </w:p>
        </w:tc>
        <w:tc>
          <w:tcPr>
            <w:tcW w:w="6941" w:type="dxa"/>
            <w:hideMark/>
          </w:tcPr>
          <w:p w14:paraId="79E91045" w14:textId="77777777" w:rsidR="00A93FEC" w:rsidRPr="00F65F6F" w:rsidRDefault="00A93FEC" w:rsidP="00A07851">
            <w:pPr>
              <w:tabs>
                <w:tab w:val="left" w:pos="284"/>
                <w:tab w:val="left" w:pos="567"/>
              </w:tabs>
              <w:suppressAutoHyphens/>
              <w:snapToGrid w:val="0"/>
              <w:ind w:firstLine="0"/>
              <w:rPr>
                <w:b/>
                <w:bCs/>
                <w:color w:val="FF0000"/>
                <w:lang w:eastAsia="ar-SA"/>
              </w:rPr>
            </w:pPr>
            <w:r w:rsidRPr="00F65F6F">
              <w:rPr>
                <w:lang w:eastAsia="ar-SA"/>
              </w:rPr>
              <w:t xml:space="preserve">Не выводятся при гемодиализе. После введения препарата распределяется в тканях. Период полувыведения препарата длительный. Нет данных по редукции дозы препаратов. </w:t>
            </w:r>
            <w:r w:rsidRPr="00EE2ABD">
              <w:rPr>
                <w:lang w:eastAsia="ar-SA"/>
              </w:rPr>
              <w:t xml:space="preserve">Можно назначать липосомальные формы препаратов. </w:t>
            </w:r>
          </w:p>
        </w:tc>
      </w:tr>
      <w:tr w:rsidR="00A93FEC" w:rsidRPr="00F65F6F" w14:paraId="2A59B4EB" w14:textId="77777777" w:rsidTr="002D3EBF">
        <w:tc>
          <w:tcPr>
            <w:tcW w:w="3061" w:type="dxa"/>
            <w:hideMark/>
          </w:tcPr>
          <w:p w14:paraId="20B1262E" w14:textId="77777777" w:rsidR="00A93FEC" w:rsidRPr="00F65F6F" w:rsidRDefault="00A93FEC" w:rsidP="00A07851">
            <w:pPr>
              <w:tabs>
                <w:tab w:val="left" w:pos="284"/>
                <w:tab w:val="left" w:pos="567"/>
              </w:tabs>
              <w:suppressAutoHyphens/>
              <w:snapToGrid w:val="0"/>
              <w:ind w:firstLine="0"/>
              <w:rPr>
                <w:lang w:eastAsia="ar-SA"/>
              </w:rPr>
            </w:pPr>
            <w:r w:rsidRPr="00F65F6F">
              <w:rPr>
                <w:lang w:eastAsia="ar-SA"/>
              </w:rPr>
              <w:t>Винкаалкалоиды (винкристин, винбластин, виндезин)</w:t>
            </w:r>
          </w:p>
        </w:tc>
        <w:tc>
          <w:tcPr>
            <w:tcW w:w="6941" w:type="dxa"/>
            <w:hideMark/>
          </w:tcPr>
          <w:p w14:paraId="47127685" w14:textId="77777777" w:rsidR="00A93FEC" w:rsidRPr="00F65F6F" w:rsidRDefault="00A93FEC" w:rsidP="00A07851">
            <w:pPr>
              <w:tabs>
                <w:tab w:val="left" w:pos="284"/>
                <w:tab w:val="left" w:pos="567"/>
              </w:tabs>
              <w:suppressAutoHyphens/>
              <w:snapToGrid w:val="0"/>
              <w:ind w:firstLine="0"/>
              <w:rPr>
                <w:b/>
                <w:bCs/>
                <w:color w:val="FF0000"/>
                <w:lang w:eastAsia="ar-SA"/>
              </w:rPr>
            </w:pPr>
            <w:r w:rsidRPr="00F65F6F">
              <w:rPr>
                <w:lang w:eastAsia="ar-SA"/>
              </w:rPr>
              <w:t xml:space="preserve">Не диализируются из-за большого объема распределения в тканях и длительного периода полувыведения.  Необходимо следить за содержанием мочевой кислоты в плазме и обеспечить адекватный диурез для профилактики развития уратной нефропатиии. Нет данных по редукции дозы препарата. </w:t>
            </w:r>
          </w:p>
        </w:tc>
      </w:tr>
      <w:tr w:rsidR="00A93FEC" w:rsidRPr="00F65F6F" w14:paraId="106E7254" w14:textId="77777777" w:rsidTr="002D3EBF">
        <w:tc>
          <w:tcPr>
            <w:tcW w:w="3061" w:type="dxa"/>
            <w:hideMark/>
          </w:tcPr>
          <w:p w14:paraId="4E7E64BA" w14:textId="77777777" w:rsidR="00A93FEC" w:rsidRPr="00F65F6F" w:rsidRDefault="00A93FEC" w:rsidP="00A07851">
            <w:pPr>
              <w:tabs>
                <w:tab w:val="left" w:pos="284"/>
                <w:tab w:val="left" w:pos="567"/>
              </w:tabs>
              <w:suppressAutoHyphens/>
              <w:snapToGrid w:val="0"/>
              <w:ind w:firstLine="0"/>
              <w:rPr>
                <w:lang w:eastAsia="ar-SA"/>
              </w:rPr>
            </w:pPr>
            <w:r w:rsidRPr="00F65F6F">
              <w:rPr>
                <w:lang w:eastAsia="ar-SA"/>
              </w:rPr>
              <w:t>Бифосфонаты</w:t>
            </w:r>
          </w:p>
        </w:tc>
        <w:tc>
          <w:tcPr>
            <w:tcW w:w="6941" w:type="dxa"/>
            <w:hideMark/>
          </w:tcPr>
          <w:p w14:paraId="61EB06BD" w14:textId="77777777" w:rsidR="00A93FEC" w:rsidRPr="00F65F6F" w:rsidRDefault="00A93FEC" w:rsidP="00A07851">
            <w:pPr>
              <w:tabs>
                <w:tab w:val="left" w:pos="284"/>
                <w:tab w:val="left" w:pos="567"/>
              </w:tabs>
              <w:suppressAutoHyphens/>
              <w:snapToGrid w:val="0"/>
              <w:ind w:firstLine="0"/>
              <w:rPr>
                <w:lang w:eastAsia="ar-SA"/>
              </w:rPr>
            </w:pPr>
            <w:r w:rsidRPr="00F65F6F">
              <w:rPr>
                <w:lang w:eastAsia="ar-SA"/>
              </w:rPr>
              <w:t>С осторожностью применять у пациентов со СКФ менее 30 мл/мин</w:t>
            </w:r>
          </w:p>
        </w:tc>
      </w:tr>
    </w:tbl>
    <w:p w14:paraId="7824C90B" w14:textId="77777777" w:rsidR="00A93FEC" w:rsidRPr="00F65F6F" w:rsidRDefault="00A93FEC" w:rsidP="00A93FEC">
      <w:pPr>
        <w:rPr>
          <w:rFonts w:eastAsia="Calibri" w:cs="Times New Roman"/>
          <w:b/>
          <w:szCs w:val="24"/>
        </w:rPr>
      </w:pPr>
    </w:p>
    <w:p w14:paraId="0D17E658" w14:textId="727B6A86" w:rsidR="00FF7C87" w:rsidRPr="00FF7C87" w:rsidRDefault="00A07851" w:rsidP="00FF7C87">
      <w:pPr>
        <w:pStyle w:val="2"/>
      </w:pPr>
      <w:bookmarkStart w:id="89" w:name="_Toc65586418"/>
      <w:r w:rsidRPr="009E610C">
        <w:t>7.1</w:t>
      </w:r>
      <w:r>
        <w:t xml:space="preserve">6. </w:t>
      </w:r>
      <w:r w:rsidR="00FF7C87" w:rsidRPr="00DC46B0">
        <w:t>Кардиологическое обследование и лечение пациентов с гематологическими заболеваниями</w:t>
      </w:r>
      <w:bookmarkEnd w:id="89"/>
    </w:p>
    <w:p w14:paraId="50CBFF77" w14:textId="77777777" w:rsidR="00FF7C87" w:rsidRPr="00DC46B0" w:rsidRDefault="00FF7C87" w:rsidP="00FF7C87">
      <w:pPr>
        <w:rPr>
          <w:szCs w:val="24"/>
        </w:rPr>
      </w:pPr>
      <w:r w:rsidRPr="00DC46B0">
        <w:rPr>
          <w:szCs w:val="24"/>
        </w:rPr>
        <w:t xml:space="preserve">Накопленный опыт длительного наблюдения и лечения пациентов с онкогематологическими заболеваниями показывает, что кардиологические проблемы не только влияют на выбор гематологической терапии и возможность ее продолжения, но и существенно влияют на качество и продолжительность жизни, поэтому вопросы сопроводительного кардиологического ведения в гематологической практике крайне актуальны и важны. </w:t>
      </w:r>
    </w:p>
    <w:p w14:paraId="3D146301" w14:textId="3AD4A90D" w:rsidR="00FF7C87" w:rsidRPr="00DC46B0" w:rsidRDefault="00FF7C87" w:rsidP="00FF7C87">
      <w:pPr>
        <w:rPr>
          <w:szCs w:val="24"/>
        </w:rPr>
      </w:pPr>
      <w:r w:rsidRPr="00DC46B0">
        <w:rPr>
          <w:szCs w:val="24"/>
        </w:rPr>
        <w:t xml:space="preserve">       Поражения сердечно-сосудистой системы, выявляемые у гематологических больных, можно разделить на несколько категорий</w:t>
      </w:r>
      <w:r>
        <w:rPr>
          <w:szCs w:val="24"/>
        </w:rPr>
        <w:t xml:space="preserve"> </w:t>
      </w:r>
      <w:r>
        <w:rPr>
          <w:szCs w:val="24"/>
        </w:rPr>
        <w:fldChar w:fldCharType="begin" w:fldLock="1"/>
      </w:r>
      <w:r w:rsidR="00A60C8A">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[118]","plainTextFormattedCitation":"[118]","previouslyFormattedCitation":"[118]"},"properties":{"noteIndex":0},"schema":"https://github.com/citation-style-language/schema/raw/master/csl-citation.json"}</w:instrText>
      </w:r>
      <w:r>
        <w:rPr>
          <w:szCs w:val="24"/>
        </w:rPr>
        <w:fldChar w:fldCharType="separate"/>
      </w:r>
      <w:r w:rsidR="00500503" w:rsidRPr="00500503">
        <w:rPr>
          <w:noProof/>
          <w:szCs w:val="24"/>
        </w:rPr>
        <w:t>[118]</w:t>
      </w:r>
      <w:r>
        <w:rPr>
          <w:szCs w:val="24"/>
        </w:rPr>
        <w:fldChar w:fldCharType="end"/>
      </w:r>
      <w:r w:rsidRPr="00DC46B0">
        <w:rPr>
          <w:szCs w:val="24"/>
        </w:rPr>
        <w:t>:</w:t>
      </w:r>
    </w:p>
    <w:p w14:paraId="5226F0FC" w14:textId="77777777" w:rsidR="00FF7C87" w:rsidRPr="00DC46B0" w:rsidRDefault="00FF7C87" w:rsidP="00FF7C87">
      <w:pPr>
        <w:pStyle w:val="afe"/>
        <w:numPr>
          <w:ilvl w:val="0"/>
          <w:numId w:val="94"/>
        </w:numPr>
        <w:rPr>
          <w:szCs w:val="24"/>
        </w:rPr>
      </w:pPr>
      <w:r w:rsidRPr="00DC46B0">
        <w:rPr>
          <w:szCs w:val="24"/>
        </w:rPr>
        <w:t>Возникающие вследствие гематологической патологии, например:</w:t>
      </w:r>
    </w:p>
    <w:p w14:paraId="3AF7C24C" w14:textId="77777777" w:rsidR="00FF7C87" w:rsidRPr="00DC46B0" w:rsidRDefault="00FF7C87" w:rsidP="00FF7C87">
      <w:pPr>
        <w:pStyle w:val="afe"/>
        <w:numPr>
          <w:ilvl w:val="1"/>
          <w:numId w:val="94"/>
        </w:numPr>
        <w:rPr>
          <w:szCs w:val="24"/>
        </w:rPr>
      </w:pPr>
      <w:r w:rsidRPr="00DC46B0">
        <w:rPr>
          <w:szCs w:val="24"/>
        </w:rPr>
        <w:t xml:space="preserve">гипертрофия миокарда (чаще при длительно существующей анемии); </w:t>
      </w:r>
    </w:p>
    <w:p w14:paraId="4DE5B3C7" w14:textId="77777777" w:rsidR="00FF7C87" w:rsidRPr="00DC46B0" w:rsidRDefault="00FF7C87" w:rsidP="00FF7C87">
      <w:pPr>
        <w:pStyle w:val="afe"/>
        <w:numPr>
          <w:ilvl w:val="1"/>
          <w:numId w:val="94"/>
        </w:numPr>
        <w:rPr>
          <w:szCs w:val="24"/>
        </w:rPr>
      </w:pPr>
      <w:r w:rsidRPr="00DC46B0">
        <w:rPr>
          <w:szCs w:val="24"/>
        </w:rPr>
        <w:t xml:space="preserve">кардиопатический AL-амилоидоз (чаще при множественной миеломе, реже при других лимфопролиферативных заболеваниях); </w:t>
      </w:r>
    </w:p>
    <w:p w14:paraId="002EAECA" w14:textId="77777777" w:rsidR="00FF7C87" w:rsidRPr="00DC46B0" w:rsidRDefault="00FF7C87" w:rsidP="00FF7C87">
      <w:pPr>
        <w:pStyle w:val="afe"/>
        <w:numPr>
          <w:ilvl w:val="1"/>
          <w:numId w:val="94"/>
        </w:numPr>
        <w:rPr>
          <w:szCs w:val="24"/>
        </w:rPr>
      </w:pPr>
      <w:r w:rsidRPr="00DC46B0">
        <w:rPr>
          <w:szCs w:val="24"/>
        </w:rPr>
        <w:t>сдавление сердца опухолевым образованием средостения, часто с образованием выпота в перикард;</w:t>
      </w:r>
    </w:p>
    <w:p w14:paraId="19F43887" w14:textId="77777777" w:rsidR="00FF7C87" w:rsidRPr="00DC46B0" w:rsidRDefault="00FF7C87" w:rsidP="00FF7C87">
      <w:pPr>
        <w:pStyle w:val="afe"/>
        <w:numPr>
          <w:ilvl w:val="1"/>
          <w:numId w:val="94"/>
        </w:numPr>
        <w:rPr>
          <w:szCs w:val="24"/>
        </w:rPr>
      </w:pPr>
      <w:r w:rsidRPr="00DC46B0">
        <w:rPr>
          <w:szCs w:val="24"/>
        </w:rPr>
        <w:t>непосредственное опухолевое поражение миокарда и оболочек сердца (например, при лимфоме, множественной миеломе и др.).</w:t>
      </w:r>
    </w:p>
    <w:p w14:paraId="49294EE9" w14:textId="77777777" w:rsidR="00FF7C87" w:rsidRPr="00DC46B0" w:rsidRDefault="00FF7C87" w:rsidP="00FF7C87">
      <w:pPr>
        <w:pStyle w:val="afe"/>
        <w:numPr>
          <w:ilvl w:val="0"/>
          <w:numId w:val="94"/>
        </w:numPr>
        <w:rPr>
          <w:szCs w:val="24"/>
        </w:rPr>
      </w:pPr>
      <w:r w:rsidRPr="00DC46B0">
        <w:rPr>
          <w:szCs w:val="24"/>
        </w:rPr>
        <w:t xml:space="preserve">Кардиотоксическое поражение сердца и сосудов в результате воздействия лекарственных препаратов (развивающиеся как в период гематологического лечения, так и после его завершения). </w:t>
      </w:r>
    </w:p>
    <w:p w14:paraId="50C52DDF" w14:textId="77777777" w:rsidR="00FF7C87" w:rsidRPr="00DC46B0" w:rsidRDefault="00FF7C87" w:rsidP="00FF7C87">
      <w:pPr>
        <w:pStyle w:val="afe"/>
        <w:numPr>
          <w:ilvl w:val="0"/>
          <w:numId w:val="94"/>
        </w:numPr>
        <w:rPr>
          <w:szCs w:val="24"/>
        </w:rPr>
      </w:pPr>
      <w:r w:rsidRPr="00DC46B0">
        <w:rPr>
          <w:szCs w:val="24"/>
        </w:rPr>
        <w:t>Кардиотоксическое поражение сердца и сосудов в период или после проведения лучевой терапии (выпотной перикардит, острый коронарный синдром, поражения клапанов сердца, аорты, коронарных сосудов).</w:t>
      </w:r>
    </w:p>
    <w:p w14:paraId="377D9F46" w14:textId="77777777" w:rsidR="00FF7C87" w:rsidRPr="00DC46B0" w:rsidRDefault="00FF7C87" w:rsidP="00FF7C87">
      <w:pPr>
        <w:pStyle w:val="afe"/>
        <w:numPr>
          <w:ilvl w:val="0"/>
          <w:numId w:val="94"/>
        </w:numPr>
        <w:rPr>
          <w:szCs w:val="24"/>
        </w:rPr>
      </w:pPr>
      <w:r w:rsidRPr="00DC46B0">
        <w:rPr>
          <w:szCs w:val="24"/>
        </w:rPr>
        <w:t>Сопутствующая самостоятельная кардиологическая патология, не связанная с гематологическим заболеванием (артериальная гипертония, ишемическая болезнь сердца, аритмии, и др.)</w:t>
      </w:r>
    </w:p>
    <w:p w14:paraId="69542368" w14:textId="77777777" w:rsidR="00FF7C87" w:rsidRDefault="00FF7C87" w:rsidP="00FF7C87">
      <w:pPr>
        <w:rPr>
          <w:b/>
          <w:szCs w:val="24"/>
        </w:rPr>
      </w:pPr>
    </w:p>
    <w:p w14:paraId="5BDF4AF6" w14:textId="77777777" w:rsidR="00FF7C87" w:rsidRPr="00DC46B0" w:rsidRDefault="00FF7C87" w:rsidP="00FF7C87">
      <w:pPr>
        <w:rPr>
          <w:i/>
          <w:szCs w:val="24"/>
          <w:u w:val="single"/>
        </w:rPr>
      </w:pPr>
      <w:r w:rsidRPr="00DC46B0">
        <w:rPr>
          <w:i/>
          <w:szCs w:val="24"/>
          <w:u w:val="single"/>
        </w:rPr>
        <w:t>Диагностика кардиальной патологии у гематологических пациентов</w:t>
      </w:r>
    </w:p>
    <w:p w14:paraId="204B94B6" w14:textId="71AB7A5E" w:rsidR="00FF7C87" w:rsidRPr="00DC46B0" w:rsidRDefault="00FF7C87" w:rsidP="00FF7C87">
      <w:pPr>
        <w:ind w:firstLine="708"/>
        <w:rPr>
          <w:szCs w:val="24"/>
        </w:rPr>
      </w:pPr>
      <w:r w:rsidRPr="00DC46B0">
        <w:rPr>
          <w:szCs w:val="24"/>
        </w:rPr>
        <w:t>На этапе диагностики гематологического заболевания одновременно рекомендовано обследование для уточнения/исключения возможной кардиологической патологии</w:t>
      </w:r>
      <w:r w:rsidRPr="00F11B54">
        <w:rPr>
          <w:szCs w:val="24"/>
        </w:rPr>
        <w:t xml:space="preserve"> </w:t>
      </w:r>
      <w:r>
        <w:rPr>
          <w:szCs w:val="24"/>
        </w:rPr>
        <w:fldChar w:fldCharType="begin" w:fldLock="1"/>
      </w:r>
      <w:r w:rsidR="00A60C8A">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[118]","plainTextFormattedCitation":"[118]","previouslyFormattedCitation":"[118]"},"properties":{"noteIndex":0},"schema":"https://github.com/citation-style-language/schema/raw/master/csl-citation.json"}</w:instrText>
      </w:r>
      <w:r>
        <w:rPr>
          <w:szCs w:val="24"/>
        </w:rPr>
        <w:fldChar w:fldCharType="separate"/>
      </w:r>
      <w:r w:rsidR="00500503" w:rsidRPr="00500503">
        <w:rPr>
          <w:noProof/>
          <w:szCs w:val="24"/>
        </w:rPr>
        <w:t>[118]</w:t>
      </w:r>
      <w:r>
        <w:rPr>
          <w:szCs w:val="24"/>
        </w:rPr>
        <w:fldChar w:fldCharType="end"/>
      </w:r>
      <w:r w:rsidRPr="00DC46B0">
        <w:rPr>
          <w:szCs w:val="24"/>
        </w:rPr>
        <w:t>.</w:t>
      </w:r>
    </w:p>
    <w:p w14:paraId="0E94DFB0" w14:textId="77777777" w:rsidR="00FF7C87" w:rsidRPr="00DC46B0" w:rsidRDefault="00FF7C87" w:rsidP="00FF7C87">
      <w:pPr>
        <w:pStyle w:val="afe"/>
        <w:numPr>
          <w:ilvl w:val="0"/>
          <w:numId w:val="95"/>
        </w:numPr>
        <w:rPr>
          <w:szCs w:val="24"/>
        </w:rPr>
      </w:pPr>
      <w:r w:rsidRPr="00DC46B0">
        <w:rPr>
          <w:szCs w:val="24"/>
        </w:rPr>
        <w:t xml:space="preserve">Осмотр (консультация) врача-гематолога с выявлением симптомов, которые могут быть обусловлены кардиальной патологией (одышка, утомляемость, плохая переносимость нагрузки, отеки нижних конечностей, и т.д.); оценкой анамнеза: наличие ишемической болезни сердца (ИБС), артериальной гипертензии (АГ), аритмии, факторов риска, семейного анамнеза;  физикальное обследование с измерением артериального давления (АД). </w:t>
      </w:r>
    </w:p>
    <w:p w14:paraId="0056270D" w14:textId="77777777" w:rsidR="00FF7C87" w:rsidRPr="00DC46B0" w:rsidRDefault="00FF7C87" w:rsidP="00FF7C87">
      <w:pPr>
        <w:pStyle w:val="afe"/>
        <w:numPr>
          <w:ilvl w:val="0"/>
          <w:numId w:val="95"/>
        </w:numPr>
        <w:rPr>
          <w:szCs w:val="24"/>
        </w:rPr>
      </w:pPr>
      <w:r w:rsidRPr="00DC46B0">
        <w:rPr>
          <w:szCs w:val="24"/>
        </w:rPr>
        <w:t>Осмотр (консультация) врача-кардиолога (по показаниям)</w:t>
      </w:r>
    </w:p>
    <w:p w14:paraId="0424D579" w14:textId="77777777" w:rsidR="00FF7C87" w:rsidRDefault="00FF7C87" w:rsidP="00FF7C87">
      <w:pPr>
        <w:pStyle w:val="afe"/>
        <w:numPr>
          <w:ilvl w:val="0"/>
          <w:numId w:val="95"/>
        </w:numPr>
        <w:rPr>
          <w:szCs w:val="24"/>
        </w:rPr>
      </w:pPr>
      <w:r w:rsidRPr="00DC46B0">
        <w:rPr>
          <w:szCs w:val="24"/>
        </w:rPr>
        <w:t xml:space="preserve">Инструментальные исследования: </w:t>
      </w:r>
    </w:p>
    <w:p w14:paraId="141E3BD5" w14:textId="77777777" w:rsidR="00FF7C87" w:rsidRDefault="00FF7C87" w:rsidP="00FF7C87">
      <w:pPr>
        <w:pStyle w:val="afe"/>
        <w:numPr>
          <w:ilvl w:val="1"/>
          <w:numId w:val="95"/>
        </w:numPr>
        <w:rPr>
          <w:szCs w:val="24"/>
        </w:rPr>
      </w:pPr>
      <w:r w:rsidRPr="00DC46B0">
        <w:rPr>
          <w:szCs w:val="24"/>
        </w:rPr>
        <w:t>Электрокардиография (ЭКГ) в 12 отведениях. На всех этапах диагностики первичного гематологического заболевания и рецидива, перед проведением гематологического лечения, в процессе проведения лечения, при оценке эффективности лечения и в процессе динамического наблюдения, при рефрактерном течении, п</w:t>
      </w:r>
      <w:r w:rsidRPr="00DC46B0">
        <w:rPr>
          <w:rFonts w:eastAsia="Times New Roman"/>
          <w:szCs w:val="24"/>
          <w:lang w:eastAsia="ru-RU"/>
        </w:rPr>
        <w:t>ри развитии осложнений –  т.е. на любом этапе диагностики, лечения и наблюдения</w:t>
      </w:r>
      <w:r w:rsidRPr="00DC46B0">
        <w:rPr>
          <w:szCs w:val="24"/>
        </w:rPr>
        <w:t xml:space="preserve"> всем пациентам необходимо проведение ЭКГ.</w:t>
      </w:r>
    </w:p>
    <w:p w14:paraId="66EA170E" w14:textId="10B68CC9" w:rsidR="00FF7C87" w:rsidRDefault="00FF7C87" w:rsidP="00FF7C87">
      <w:pPr>
        <w:pStyle w:val="afe"/>
        <w:numPr>
          <w:ilvl w:val="1"/>
          <w:numId w:val="95"/>
        </w:numPr>
        <w:rPr>
          <w:szCs w:val="24"/>
        </w:rPr>
      </w:pPr>
      <w:r w:rsidRPr="00DC46B0">
        <w:rPr>
          <w:szCs w:val="24"/>
        </w:rPr>
        <w:t>Эхокардиография (ЭХО-КГ)</w:t>
      </w:r>
      <w:r>
        <w:rPr>
          <w:szCs w:val="24"/>
        </w:rPr>
        <w:t xml:space="preserve"> </w:t>
      </w:r>
      <w:r>
        <w:rPr>
          <w:szCs w:val="24"/>
        </w:rPr>
        <w:fldChar w:fldCharType="begin" w:fldLock="1"/>
      </w:r>
      <w:r w:rsidR="00A60C8A">
        <w:rPr>
          <w:szCs w:val="24"/>
        </w:rPr>
        <w:instrText>ADDIN CSL_CITATION {"citationItems":[{"id":"ITEM-1","itemData":{"author":[{"dropping-particle":"","family":"Васюк","given":"Ю.А.","non-dropping-particle":"","parse-names":false,"suffix":""},{"dropping-particle":"","family":"Несветов","given":"В.В.","non-dropping-particle":"","parse-names":false,"suffix":""},{"dropping-particle":"","family":"Школьник","given":"Е.Л.","non-dropping-particle":"","parse-names":false,"suffix":""},{"dropping-particle":"","family":"Фурсов","given":"С.А.","non-dropping-particle":"","parse-names":false,"suffix":""},{"dropping-particle":"","family":"Школьник","given":"Л.Д.","non-dropping-particle":"","parse-names":false,"suffix":""},{"dropping-particle":"","family":"Гендлин","given":"Г.Е.","non-dropping-particle":"","parse-names":false,"suffix":""},{"dropping-particle":"","family":"Емелина","given":"Е.И.","non-dropping-particle":"","parse-names":false,"suffix":""}],"container-title":"Кардиология","id":"ITEM-1","issue":"S4","issued":{"date-parts":[["2017"]]},"page":"31-17","title":"Возможности современных эхокардиографических технологий в ранней диагностике кардиотоксического действия химиотерапевтических препаратов антрациклинового ряда у онкологических больных.","type":"article-journal","volume":"57"},"uris":["http://www.mendeley.com/documents/?uuid=3fa599d7-1e0f-4994-84cd-b2b3148e9aa3"]}],"mendeley":{"formattedCitation":"[119]","plainTextFormattedCitation":"[119]","previouslyFormattedCitation":"[119]"},"properties":{"noteIndex":0},"schema":"https://github.com/citation-style-language/schema/raw/master/csl-citation.json"}</w:instrText>
      </w:r>
      <w:r>
        <w:rPr>
          <w:szCs w:val="24"/>
        </w:rPr>
        <w:fldChar w:fldCharType="separate"/>
      </w:r>
      <w:r w:rsidR="00500503" w:rsidRPr="00500503">
        <w:rPr>
          <w:noProof/>
          <w:szCs w:val="24"/>
        </w:rPr>
        <w:t>[119]</w:t>
      </w:r>
      <w:r>
        <w:rPr>
          <w:szCs w:val="24"/>
        </w:rPr>
        <w:fldChar w:fldCharType="end"/>
      </w:r>
      <w:r w:rsidRPr="00DC46B0">
        <w:rPr>
          <w:szCs w:val="24"/>
        </w:rPr>
        <w:t xml:space="preserve">. При наличии клинических показаний или при проведении лечения с возможными кардиотоксическими проявлениями, на любом вышеуказанном этапе рекомендуется дополнительно проведение ЭХО-КГ.  </w:t>
      </w:r>
    </w:p>
    <w:p w14:paraId="3D836258" w14:textId="77777777" w:rsidR="00FF7C87" w:rsidRDefault="00FF7C87" w:rsidP="00FF7C87">
      <w:pPr>
        <w:pStyle w:val="afe"/>
        <w:numPr>
          <w:ilvl w:val="0"/>
          <w:numId w:val="95"/>
        </w:numPr>
        <w:rPr>
          <w:szCs w:val="24"/>
        </w:rPr>
      </w:pPr>
      <w:r w:rsidRPr="00DC46B0">
        <w:rPr>
          <w:szCs w:val="24"/>
        </w:rPr>
        <w:t>Лабораторные исследования:</w:t>
      </w:r>
    </w:p>
    <w:p w14:paraId="74609B7D" w14:textId="77777777" w:rsidR="00FF7C87" w:rsidRDefault="00FF7C87" w:rsidP="00FF7C87">
      <w:pPr>
        <w:pStyle w:val="afe"/>
        <w:numPr>
          <w:ilvl w:val="1"/>
          <w:numId w:val="95"/>
        </w:numPr>
        <w:rPr>
          <w:szCs w:val="24"/>
        </w:rPr>
      </w:pPr>
      <w:r w:rsidRPr="00DC46B0">
        <w:rPr>
          <w:szCs w:val="24"/>
        </w:rPr>
        <w:t>Клинический анализ крови с определением гемоглобина, тромбоцитов, лейкоцитов, лейкоцитарной формулы, СОЭ;</w:t>
      </w:r>
    </w:p>
    <w:p w14:paraId="3939FC3A" w14:textId="77777777" w:rsidR="00FF7C87" w:rsidRPr="00DC46B0" w:rsidRDefault="00FF7C87" w:rsidP="00FF7C87">
      <w:pPr>
        <w:pStyle w:val="afe"/>
        <w:numPr>
          <w:ilvl w:val="1"/>
          <w:numId w:val="95"/>
        </w:numPr>
        <w:rPr>
          <w:szCs w:val="24"/>
        </w:rPr>
      </w:pPr>
      <w:r w:rsidRPr="00DC46B0">
        <w:rPr>
          <w:szCs w:val="24"/>
        </w:rPr>
        <w:t>Биохимический анализ крови с определением липидного спектра, глюкозы, креатинина, мочевины, мочевой кислоты, калия, натрия, аспартатаминотрансферазы (АСТ), аланинаминотрансферазы (АЛТ).</w:t>
      </w:r>
    </w:p>
    <w:p w14:paraId="008E139E" w14:textId="77777777" w:rsidR="00FF7C87" w:rsidRPr="00DC46B0" w:rsidRDefault="00FF7C87" w:rsidP="00FF7C87">
      <w:pPr>
        <w:rPr>
          <w:szCs w:val="24"/>
        </w:rPr>
      </w:pPr>
      <w:r w:rsidRPr="00DC46B0">
        <w:rPr>
          <w:szCs w:val="24"/>
        </w:rPr>
        <w:t>При выявлении (и/или для исключения) признаков кардиальной патологии, выявлении отклонений при первичном кардиологическом обследовании рекомендуется консультация кардиолога и проведение дополнительных исследований.</w:t>
      </w:r>
    </w:p>
    <w:p w14:paraId="65934001" w14:textId="77777777" w:rsidR="00FF7C87" w:rsidRDefault="00FF7C87" w:rsidP="00FF7C87">
      <w:pPr>
        <w:rPr>
          <w:b/>
          <w:szCs w:val="24"/>
        </w:rPr>
      </w:pPr>
    </w:p>
    <w:p w14:paraId="5D0B5BA0" w14:textId="4159CCA8" w:rsidR="00FF7C87" w:rsidRPr="00DC46B0" w:rsidRDefault="00FF7C87" w:rsidP="00FF7C87">
      <w:pPr>
        <w:rPr>
          <w:i/>
          <w:szCs w:val="24"/>
          <w:u w:val="single"/>
        </w:rPr>
      </w:pPr>
      <w:r w:rsidRPr="00DC46B0">
        <w:rPr>
          <w:i/>
          <w:szCs w:val="24"/>
          <w:u w:val="single"/>
        </w:rPr>
        <w:t>Дополнительное кардиологическое обследование</w:t>
      </w:r>
      <w:r>
        <w:rPr>
          <w:i/>
          <w:szCs w:val="24"/>
          <w:u w:val="single"/>
        </w:rPr>
        <w:t xml:space="preserve"> </w:t>
      </w:r>
      <w:r>
        <w:rPr>
          <w:szCs w:val="24"/>
        </w:rPr>
        <w:fldChar w:fldCharType="begin" w:fldLock="1"/>
      </w:r>
      <w:r w:rsidR="00A60C8A">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[118]","plainTextFormattedCitation":"[118]","previouslyFormattedCitation":"[118]"},"properties":{"noteIndex":0},"schema":"https://github.com/citation-style-language/schema/raw/master/csl-citation.json"}</w:instrText>
      </w:r>
      <w:r>
        <w:rPr>
          <w:szCs w:val="24"/>
        </w:rPr>
        <w:fldChar w:fldCharType="separate"/>
      </w:r>
      <w:r w:rsidR="00500503" w:rsidRPr="00500503">
        <w:rPr>
          <w:noProof/>
          <w:szCs w:val="24"/>
        </w:rPr>
        <w:t>[118]</w:t>
      </w:r>
      <w:r>
        <w:rPr>
          <w:szCs w:val="24"/>
        </w:rPr>
        <w:fldChar w:fldCharType="end"/>
      </w:r>
    </w:p>
    <w:p w14:paraId="17C6F8B2" w14:textId="77777777" w:rsidR="00FF7C87" w:rsidRPr="00DC46B0" w:rsidRDefault="00FF7C87" w:rsidP="00FF7C87">
      <w:pPr>
        <w:rPr>
          <w:szCs w:val="24"/>
          <w:u w:val="single"/>
        </w:rPr>
      </w:pPr>
      <w:r w:rsidRPr="00DC46B0">
        <w:rPr>
          <w:szCs w:val="24"/>
          <w:u w:val="single"/>
        </w:rPr>
        <w:t>Манипуляции:</w:t>
      </w:r>
    </w:p>
    <w:p w14:paraId="473F89E6" w14:textId="77777777" w:rsidR="00FF7C87" w:rsidRPr="00DC46B0" w:rsidRDefault="00FF7C87" w:rsidP="00FF7C87">
      <w:pPr>
        <w:pStyle w:val="afe"/>
        <w:numPr>
          <w:ilvl w:val="0"/>
          <w:numId w:val="96"/>
        </w:numPr>
        <w:rPr>
          <w:b/>
          <w:szCs w:val="24"/>
        </w:rPr>
      </w:pPr>
      <w:r w:rsidRPr="00DC46B0">
        <w:rPr>
          <w:i/>
          <w:szCs w:val="24"/>
        </w:rPr>
        <w:t>Суточное мониторирование ЭКГ по Холтеру</w:t>
      </w:r>
      <w:r w:rsidRPr="00DC46B0">
        <w:rPr>
          <w:szCs w:val="24"/>
        </w:rPr>
        <w:t xml:space="preserve"> –</w:t>
      </w:r>
      <w:r w:rsidRPr="00DC46B0">
        <w:rPr>
          <w:b/>
          <w:szCs w:val="24"/>
        </w:rPr>
        <w:t xml:space="preserve"> </w:t>
      </w:r>
      <w:r w:rsidRPr="00DC46B0">
        <w:rPr>
          <w:szCs w:val="24"/>
        </w:rPr>
        <w:t xml:space="preserve">рекомендуется пациентам при выявлении удлинения интервала </w:t>
      </w:r>
      <w:r w:rsidRPr="00DC46B0">
        <w:rPr>
          <w:szCs w:val="24"/>
          <w:lang w:val="en-US"/>
        </w:rPr>
        <w:t>QT</w:t>
      </w:r>
      <w:r w:rsidRPr="00DC46B0">
        <w:rPr>
          <w:szCs w:val="24"/>
        </w:rPr>
        <w:t xml:space="preserve">, ишемии миокарда, нарушений ритма и проводимости; диспозицией сегмента </w:t>
      </w:r>
      <w:r w:rsidRPr="00DC46B0">
        <w:rPr>
          <w:szCs w:val="24"/>
          <w:lang w:val="en-US"/>
        </w:rPr>
        <w:t>ST</w:t>
      </w:r>
      <w:r w:rsidRPr="00DC46B0">
        <w:rPr>
          <w:szCs w:val="24"/>
        </w:rPr>
        <w:t xml:space="preserve"> на ЭКГ; синусовой бради/тахикардией, при наличии жалоб на аритмию, эпизоды внезапной слабости, головокружений. Также проведение исследования рекомендуется при проведении лечения препаратами, способными вызывать кардиотоксические эффекты. Исследование проводится на любых этапах – в период диагностики гематологического заболевания, перед проведением гематологического лечения, в процессе проведения лечения, при оценке эффективности лечения и в процессе динамического наблюдения, при рефрактерном течении, п</w:t>
      </w:r>
      <w:r w:rsidRPr="00DC46B0">
        <w:rPr>
          <w:rFonts w:eastAsia="Times New Roman"/>
          <w:szCs w:val="24"/>
          <w:lang w:eastAsia="ru-RU"/>
        </w:rPr>
        <w:t>ри развитии осложнений (по показаниям</w:t>
      </w:r>
      <w:r w:rsidRPr="00DC46B0">
        <w:rPr>
          <w:szCs w:val="24"/>
        </w:rPr>
        <w:t>).</w:t>
      </w:r>
    </w:p>
    <w:p w14:paraId="6B9A1019" w14:textId="77777777" w:rsidR="00FF7C87" w:rsidRPr="00DC46B0" w:rsidRDefault="00FF7C87" w:rsidP="00FF7C87">
      <w:pPr>
        <w:pStyle w:val="afe"/>
        <w:numPr>
          <w:ilvl w:val="0"/>
          <w:numId w:val="96"/>
        </w:numPr>
        <w:rPr>
          <w:szCs w:val="24"/>
        </w:rPr>
      </w:pPr>
      <w:r w:rsidRPr="00DC46B0">
        <w:rPr>
          <w:i/>
          <w:szCs w:val="24"/>
        </w:rPr>
        <w:t>Суточное мониторирование АД</w:t>
      </w:r>
      <w:r w:rsidRPr="00DC46B0">
        <w:rPr>
          <w:b/>
          <w:szCs w:val="24"/>
        </w:rPr>
        <w:t xml:space="preserve"> </w:t>
      </w:r>
      <w:r w:rsidRPr="00DC46B0">
        <w:rPr>
          <w:szCs w:val="24"/>
        </w:rPr>
        <w:t xml:space="preserve">– рекомендуется пациентам с артериальной гипертензией (АГ), и при назначении лекарственных препаратов, способных вызывать АГ. Исследование проводится </w:t>
      </w:r>
      <w:r w:rsidRPr="00DC46B0">
        <w:rPr>
          <w:rFonts w:eastAsia="Times New Roman"/>
          <w:szCs w:val="24"/>
          <w:lang w:eastAsia="ru-RU"/>
        </w:rPr>
        <w:t>на любом этапе диагностики, лечения и наблюдения</w:t>
      </w:r>
      <w:r w:rsidRPr="00DC46B0">
        <w:rPr>
          <w:szCs w:val="24"/>
        </w:rPr>
        <w:t xml:space="preserve"> (по показаниям).</w:t>
      </w:r>
    </w:p>
    <w:p w14:paraId="10687D3B" w14:textId="77777777" w:rsidR="00FF7C87" w:rsidRPr="00DC46B0" w:rsidRDefault="00FF7C87" w:rsidP="00FF7C87">
      <w:pPr>
        <w:pStyle w:val="afe"/>
        <w:numPr>
          <w:ilvl w:val="0"/>
          <w:numId w:val="96"/>
        </w:numPr>
        <w:rPr>
          <w:szCs w:val="24"/>
        </w:rPr>
      </w:pPr>
      <w:r w:rsidRPr="00DC46B0">
        <w:rPr>
          <w:i/>
          <w:szCs w:val="24"/>
        </w:rPr>
        <w:t>Тредмил-тест</w:t>
      </w:r>
      <w:r w:rsidRPr="00DC46B0">
        <w:rPr>
          <w:szCs w:val="24"/>
        </w:rPr>
        <w:t xml:space="preserve"> – рекомендуется для диагностики ишемической болезни сердца (ИБС) при атипичном болевом синдроме, а также при назначении препаратов, способных вызвать ишемию миокарда. Исследование проводится </w:t>
      </w:r>
      <w:r w:rsidRPr="00DC46B0">
        <w:rPr>
          <w:rFonts w:eastAsia="Times New Roman"/>
          <w:szCs w:val="24"/>
          <w:lang w:eastAsia="ru-RU"/>
        </w:rPr>
        <w:t>на любом этапе диагностики, лечения и наблюдения</w:t>
      </w:r>
      <w:r w:rsidRPr="00DC46B0">
        <w:rPr>
          <w:szCs w:val="24"/>
        </w:rPr>
        <w:t xml:space="preserve"> (по показаниям).</w:t>
      </w:r>
    </w:p>
    <w:p w14:paraId="1398F483" w14:textId="77777777" w:rsidR="00FF7C87" w:rsidRPr="00DC46B0" w:rsidRDefault="00FF7C87" w:rsidP="00FF7C87">
      <w:pPr>
        <w:pStyle w:val="afe"/>
        <w:numPr>
          <w:ilvl w:val="0"/>
          <w:numId w:val="96"/>
        </w:numPr>
        <w:rPr>
          <w:szCs w:val="24"/>
        </w:rPr>
      </w:pPr>
      <w:r w:rsidRPr="00DC46B0">
        <w:rPr>
          <w:i/>
          <w:szCs w:val="24"/>
        </w:rPr>
        <w:t>МРТ сердца и сосудов (с контрастированием по показаниям)</w:t>
      </w:r>
      <w:r w:rsidRPr="00DC46B0">
        <w:rPr>
          <w:b/>
          <w:szCs w:val="24"/>
        </w:rPr>
        <w:t xml:space="preserve"> – </w:t>
      </w:r>
      <w:r w:rsidRPr="00DC46B0">
        <w:rPr>
          <w:szCs w:val="24"/>
        </w:rPr>
        <w:t xml:space="preserve">рекомендуется для диагностики патологии аорты, миокарда и оболочек сердца, выявления образований в полостях и на клапанах сердца, атеросклеротического поражения коронарных артерий. Исследование проводится </w:t>
      </w:r>
      <w:r w:rsidRPr="00DC46B0">
        <w:rPr>
          <w:rFonts w:eastAsia="Times New Roman"/>
          <w:szCs w:val="24"/>
          <w:lang w:eastAsia="ru-RU"/>
        </w:rPr>
        <w:t>на любом этапе диагностики, лечения и наблюдения</w:t>
      </w:r>
      <w:r w:rsidRPr="00DC46B0">
        <w:rPr>
          <w:szCs w:val="24"/>
        </w:rPr>
        <w:t xml:space="preserve"> (по показаниям).</w:t>
      </w:r>
    </w:p>
    <w:p w14:paraId="6DE90247" w14:textId="77777777" w:rsidR="00FF7C87" w:rsidRPr="00DC46B0" w:rsidRDefault="00FF7C87" w:rsidP="00FF7C87">
      <w:pPr>
        <w:pStyle w:val="afe"/>
        <w:numPr>
          <w:ilvl w:val="0"/>
          <w:numId w:val="96"/>
        </w:numPr>
        <w:rPr>
          <w:szCs w:val="24"/>
        </w:rPr>
      </w:pPr>
      <w:r w:rsidRPr="00DC46B0">
        <w:rPr>
          <w:szCs w:val="24"/>
        </w:rPr>
        <w:t xml:space="preserve">КТ сердца и сосудов </w:t>
      </w:r>
      <w:r w:rsidRPr="00DC46B0">
        <w:rPr>
          <w:b/>
          <w:szCs w:val="24"/>
        </w:rPr>
        <w:t xml:space="preserve">– </w:t>
      </w:r>
      <w:r w:rsidRPr="00DC46B0">
        <w:rPr>
          <w:szCs w:val="24"/>
        </w:rPr>
        <w:t xml:space="preserve">рекомендуется пациентам с притивопоказаниями к проведению МРТ (наличие водителя ритма, механических протезов, при подозрении на сдавливающий перикардит, и др). Исследование проводится </w:t>
      </w:r>
      <w:r w:rsidRPr="00DC46B0">
        <w:rPr>
          <w:rFonts w:eastAsia="Times New Roman"/>
          <w:szCs w:val="24"/>
          <w:lang w:eastAsia="ru-RU"/>
        </w:rPr>
        <w:t>на любом этапе диагностики, лечения и наблюдения</w:t>
      </w:r>
      <w:r w:rsidRPr="00DC46B0">
        <w:rPr>
          <w:szCs w:val="24"/>
        </w:rPr>
        <w:t xml:space="preserve"> (по показаниям).</w:t>
      </w:r>
    </w:p>
    <w:p w14:paraId="1F0962F1" w14:textId="77777777" w:rsidR="00FF7C87" w:rsidRPr="00DC46B0" w:rsidRDefault="00FF7C87" w:rsidP="00FF7C87">
      <w:pPr>
        <w:pStyle w:val="afe"/>
        <w:numPr>
          <w:ilvl w:val="0"/>
          <w:numId w:val="96"/>
        </w:numPr>
        <w:rPr>
          <w:szCs w:val="24"/>
        </w:rPr>
      </w:pPr>
      <w:r w:rsidRPr="00DC46B0">
        <w:rPr>
          <w:i/>
          <w:szCs w:val="24"/>
        </w:rPr>
        <w:t>Чреспищеводная эхокардиография (ЧПЭХО-КГ)</w:t>
      </w:r>
      <w:r w:rsidRPr="00DC46B0">
        <w:rPr>
          <w:b/>
          <w:szCs w:val="24"/>
        </w:rPr>
        <w:t xml:space="preserve"> – </w:t>
      </w:r>
      <w:r w:rsidRPr="00DC46B0">
        <w:rPr>
          <w:szCs w:val="24"/>
        </w:rPr>
        <w:t xml:space="preserve">рекомендуется для исключения тромбоза ушка левого предсердия; при врожденных пороках сердца; при выявлении образований на клапанах и в полостях сердца, при протезированных клапанах. Исследование проводится </w:t>
      </w:r>
      <w:r w:rsidRPr="00DC46B0">
        <w:rPr>
          <w:rFonts w:eastAsia="Times New Roman"/>
          <w:szCs w:val="24"/>
          <w:lang w:eastAsia="ru-RU"/>
        </w:rPr>
        <w:t>на любом этапе диагностики, лечения и наблюдения</w:t>
      </w:r>
      <w:r w:rsidRPr="00DC46B0">
        <w:rPr>
          <w:szCs w:val="24"/>
        </w:rPr>
        <w:t xml:space="preserve"> (по показаниям).</w:t>
      </w:r>
    </w:p>
    <w:p w14:paraId="462588D9" w14:textId="77777777" w:rsidR="00FF7C87" w:rsidRPr="00DC46B0" w:rsidRDefault="00FF7C87" w:rsidP="00FF7C87">
      <w:pPr>
        <w:pStyle w:val="afe"/>
        <w:numPr>
          <w:ilvl w:val="0"/>
          <w:numId w:val="96"/>
        </w:numPr>
        <w:rPr>
          <w:szCs w:val="24"/>
        </w:rPr>
      </w:pPr>
      <w:r w:rsidRPr="00DC46B0">
        <w:rPr>
          <w:i/>
          <w:szCs w:val="24"/>
        </w:rPr>
        <w:t>Коронароангиография (КАГ)</w:t>
      </w:r>
      <w:r w:rsidRPr="00DC46B0">
        <w:rPr>
          <w:b/>
          <w:szCs w:val="24"/>
        </w:rPr>
        <w:t xml:space="preserve"> – </w:t>
      </w:r>
      <w:r w:rsidRPr="00DC46B0">
        <w:rPr>
          <w:szCs w:val="24"/>
        </w:rPr>
        <w:t xml:space="preserve">рекомендуется при назначении гематологического лечения препаратами, способными вызвать ишемию, при наличии факторов риска ИБС; при стенокардии, не поддающейся лекарственной коррекции, или с эпизодами безболевой ишемии на фоне антиангинальной терапии. Исследование проводится </w:t>
      </w:r>
      <w:r w:rsidRPr="00DC46B0">
        <w:rPr>
          <w:rFonts w:eastAsia="Times New Roman"/>
          <w:szCs w:val="24"/>
          <w:lang w:eastAsia="ru-RU"/>
        </w:rPr>
        <w:t>на любом этапе диагностики, лечения и наблюдения</w:t>
      </w:r>
      <w:r w:rsidRPr="00DC46B0">
        <w:rPr>
          <w:szCs w:val="24"/>
        </w:rPr>
        <w:t xml:space="preserve"> (по показаниям).</w:t>
      </w:r>
    </w:p>
    <w:p w14:paraId="28FFC9BF" w14:textId="77777777" w:rsidR="00FF7C87" w:rsidRDefault="00FF7C87" w:rsidP="00FF7C87">
      <w:pPr>
        <w:rPr>
          <w:b/>
          <w:szCs w:val="24"/>
        </w:rPr>
      </w:pPr>
    </w:p>
    <w:p w14:paraId="77EB60DA" w14:textId="77777777" w:rsidR="00FF7C87" w:rsidRPr="00DC46B0" w:rsidRDefault="00FF7C87" w:rsidP="00FF7C87">
      <w:pPr>
        <w:rPr>
          <w:szCs w:val="24"/>
          <w:u w:val="single"/>
        </w:rPr>
      </w:pPr>
      <w:r w:rsidRPr="00DC46B0">
        <w:rPr>
          <w:szCs w:val="24"/>
          <w:u w:val="single"/>
        </w:rPr>
        <w:t xml:space="preserve">Лабораторные исследования: </w:t>
      </w:r>
    </w:p>
    <w:p w14:paraId="1BEF7B71" w14:textId="77777777" w:rsidR="00FF7C87" w:rsidRPr="00DC46B0" w:rsidRDefault="00FF7C87" w:rsidP="00FF7C87">
      <w:pPr>
        <w:numPr>
          <w:ilvl w:val="0"/>
          <w:numId w:val="97"/>
        </w:numPr>
        <w:rPr>
          <w:szCs w:val="24"/>
        </w:rPr>
      </w:pPr>
      <w:r w:rsidRPr="00DC46B0">
        <w:rPr>
          <w:szCs w:val="24"/>
        </w:rPr>
        <w:t xml:space="preserve">Кардиологические маркеры: тропонин </w:t>
      </w:r>
      <w:r w:rsidRPr="00DC46B0">
        <w:rPr>
          <w:szCs w:val="24"/>
          <w:lang w:val="en-US"/>
        </w:rPr>
        <w:t>I</w:t>
      </w:r>
      <w:r w:rsidRPr="00DC46B0">
        <w:rPr>
          <w:szCs w:val="24"/>
        </w:rPr>
        <w:t xml:space="preserve">, высокочувствительный тропонин, </w:t>
      </w:r>
      <w:r w:rsidRPr="00DC46B0">
        <w:rPr>
          <w:szCs w:val="24"/>
          <w:lang w:val="en-US"/>
        </w:rPr>
        <w:t>NTproBNP</w:t>
      </w:r>
      <w:r w:rsidRPr="00DC46B0">
        <w:rPr>
          <w:szCs w:val="24"/>
        </w:rPr>
        <w:t>.</w:t>
      </w:r>
    </w:p>
    <w:p w14:paraId="4D5F556C" w14:textId="77777777" w:rsidR="00FF7C87" w:rsidRPr="00DC46B0" w:rsidRDefault="00FF7C87" w:rsidP="00FF7C87">
      <w:pPr>
        <w:numPr>
          <w:ilvl w:val="0"/>
          <w:numId w:val="97"/>
        </w:numPr>
        <w:rPr>
          <w:szCs w:val="24"/>
        </w:rPr>
      </w:pPr>
      <w:r w:rsidRPr="00DC46B0">
        <w:rPr>
          <w:szCs w:val="24"/>
        </w:rPr>
        <w:t>Коагулограмма: активированное частичное тромбопластиновое время (АЧТВ), протромбин, фибриноген, тромбиновое время, XII-а зависимый фибринолиз, протеины С и S, гомоцистеин, агрегация тромбоцитов, Д-димер, волчаночный антикоагулянт, антитела к бета2 гликопротеину 1, антитела к кардиолипину, мутации генов V фактор Лейден, метилентетрагидрофолат редуктазы, протромбина (по показаниям).</w:t>
      </w:r>
    </w:p>
    <w:p w14:paraId="5D5CF2FD" w14:textId="77777777" w:rsidR="00FF7C87" w:rsidRPr="00DC46B0" w:rsidRDefault="00FF7C87" w:rsidP="00FF7C87">
      <w:pPr>
        <w:numPr>
          <w:ilvl w:val="0"/>
          <w:numId w:val="97"/>
        </w:numPr>
        <w:rPr>
          <w:szCs w:val="24"/>
        </w:rPr>
      </w:pPr>
      <w:r w:rsidRPr="00DC46B0">
        <w:rPr>
          <w:szCs w:val="24"/>
        </w:rPr>
        <w:t>Определение уровня калия и магния.</w:t>
      </w:r>
    </w:p>
    <w:p w14:paraId="51E2BD2F" w14:textId="77777777" w:rsidR="00FF7C87" w:rsidRPr="00DC46B0" w:rsidRDefault="00FF7C87" w:rsidP="00FF7C87">
      <w:pPr>
        <w:numPr>
          <w:ilvl w:val="0"/>
          <w:numId w:val="97"/>
        </w:numPr>
        <w:rPr>
          <w:szCs w:val="24"/>
        </w:rPr>
      </w:pPr>
      <w:r w:rsidRPr="00DC46B0">
        <w:rPr>
          <w:szCs w:val="24"/>
        </w:rPr>
        <w:t>Показатели липидного обмена: общий холестерин и фракции (липиды высокой, низкой, очень низкой плотности), триглицериды, индекс атерогенности).</w:t>
      </w:r>
    </w:p>
    <w:p w14:paraId="028095C9" w14:textId="77777777" w:rsidR="00FF7C87" w:rsidRPr="00DC46B0" w:rsidRDefault="00FF7C87" w:rsidP="00FF7C87">
      <w:pPr>
        <w:rPr>
          <w:szCs w:val="24"/>
        </w:rPr>
      </w:pPr>
      <w:r w:rsidRPr="00DC46B0">
        <w:rPr>
          <w:szCs w:val="24"/>
        </w:rPr>
        <w:t>При амбулаторном лечении пациенту необходимо самостоятельно вести дневник мониторирования АД, ЧСС, ряда симптомов, которые могут быть признаками в том числе кардиологической патологии (одышка, отеки, и др.) для своевременного дополнительного кардиологического обследования.</w:t>
      </w:r>
    </w:p>
    <w:p w14:paraId="19FEEE1A" w14:textId="7D5B61DB" w:rsidR="00FF7C87" w:rsidRDefault="00FF7C87" w:rsidP="00FF7C87">
      <w:pPr>
        <w:rPr>
          <w:szCs w:val="24"/>
        </w:rPr>
      </w:pPr>
      <w:r w:rsidRPr="00DC46B0">
        <w:rPr>
          <w:szCs w:val="24"/>
        </w:rPr>
        <w:t>Сроки и объем планового кардиологического обследования</w:t>
      </w:r>
      <w:r w:rsidRPr="00DC46B0">
        <w:rPr>
          <w:b/>
          <w:szCs w:val="24"/>
        </w:rPr>
        <w:t xml:space="preserve"> </w:t>
      </w:r>
      <w:r w:rsidRPr="00DC46B0">
        <w:rPr>
          <w:szCs w:val="24"/>
        </w:rPr>
        <w:t>зависят от наличия исходной кардиальной патологии и от типа проводимого лечения. При отсутствии исходно кардиальной патологии на фоне потенциально кардиотоксического лечения кардиологическое обследование рекомендовано проводить каждые 12 недель. Если имеется / выявлена кардиальная патология до / во время проведения потенциально кардиотоксического гематологического лечения кардиологическое обследование рекомендуется перед каждым курсом лечения или не реже, чем раз в 4 недели. После завершения кардиотоксичного лечения проведение кардиологического обследования рекомендуется не реже чем раз в 6 мес при наличии кардиальной патологии, и не реже, чем раз в 12 мес при ее отсутствии. Кардиомониторинг стандартно включает ЭКГ, ЭХО-КГ, консультацию кардиолога.</w:t>
      </w:r>
    </w:p>
    <w:p w14:paraId="64012A1F" w14:textId="77777777" w:rsidR="00FF7C87" w:rsidRPr="00DC46B0" w:rsidRDefault="00FF7C87" w:rsidP="00FF7C87">
      <w:pPr>
        <w:rPr>
          <w:szCs w:val="24"/>
        </w:rPr>
      </w:pPr>
    </w:p>
    <w:p w14:paraId="1BB9CD77" w14:textId="77777777" w:rsidR="00FF7C87" w:rsidRPr="00DC46B0" w:rsidRDefault="00FF7C87" w:rsidP="00FF7C87">
      <w:pPr>
        <w:rPr>
          <w:i/>
          <w:szCs w:val="24"/>
          <w:u w:val="single"/>
        </w:rPr>
      </w:pPr>
      <w:r w:rsidRPr="00DC46B0">
        <w:rPr>
          <w:i/>
          <w:szCs w:val="24"/>
          <w:u w:val="single"/>
        </w:rPr>
        <w:t>Кардиомониторинг гематологического пациента при проведении (потенциально) кардиотоксичного лечения.</w:t>
      </w:r>
    </w:p>
    <w:p w14:paraId="420C1EC7" w14:textId="40A89B70" w:rsidR="00FF7C87" w:rsidRPr="00DC46B0" w:rsidRDefault="00FF7C87" w:rsidP="00FF7C87">
      <w:pPr>
        <w:rPr>
          <w:szCs w:val="24"/>
        </w:rPr>
      </w:pPr>
      <w:r w:rsidRPr="00DC46B0">
        <w:rPr>
          <w:szCs w:val="24"/>
        </w:rPr>
        <w:t>Необходима настороженность в отношении возможных проявлений кардиотоксичности как в дебюте лечения, так и при его продолжении, поскольку некоторые проявления кардиотоксичности развиваются отсроченно и протекают малосимптомно, а некоторые проявления кардиотоксичности, напротив, развиваются молниеносно и требуют неотложных кардиологических мероприятий</w:t>
      </w:r>
      <w:r>
        <w:rPr>
          <w:szCs w:val="24"/>
        </w:rPr>
        <w:t xml:space="preserve"> </w:t>
      </w:r>
      <w:r>
        <w:rPr>
          <w:szCs w:val="24"/>
        </w:rPr>
        <w:fldChar w:fldCharType="begin" w:fldLock="1"/>
      </w:r>
      <w:r w:rsidR="00A60C8A">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[118]","plainTextFormattedCitation":"[118]","previouslyFormattedCitation":"[118]"},"properties":{"noteIndex":0},"schema":"https://github.com/citation-style-language/schema/raw/master/csl-citation.json"}</w:instrText>
      </w:r>
      <w:r>
        <w:rPr>
          <w:szCs w:val="24"/>
        </w:rPr>
        <w:fldChar w:fldCharType="separate"/>
      </w:r>
      <w:r w:rsidR="00500503" w:rsidRPr="00500503">
        <w:rPr>
          <w:noProof/>
          <w:szCs w:val="24"/>
        </w:rPr>
        <w:t>[118]</w:t>
      </w:r>
      <w:r>
        <w:rPr>
          <w:szCs w:val="24"/>
        </w:rPr>
        <w:fldChar w:fldCharType="end"/>
      </w:r>
      <w:r w:rsidRPr="00DC46B0">
        <w:rPr>
          <w:szCs w:val="24"/>
        </w:rPr>
        <w:t xml:space="preserve">.  </w:t>
      </w:r>
    </w:p>
    <w:p w14:paraId="66059C3F" w14:textId="77777777" w:rsidR="00FF7C87" w:rsidRPr="00DC46B0" w:rsidRDefault="00FF7C87" w:rsidP="00FF7C87">
      <w:pPr>
        <w:rPr>
          <w:b/>
          <w:szCs w:val="24"/>
        </w:rPr>
      </w:pPr>
      <w:r w:rsidRPr="00DC46B0">
        <w:rPr>
          <w:szCs w:val="24"/>
        </w:rPr>
        <w:t>Необходимо учитывать потенцирование кардиотоксических эффектов при совместном применении препаратов, а также индивидуальные реакции с развитием ранее не описанных проявлений кардиотоксичности, особенно у пациентов, имеющих заболевания сердечно-сосудистой системы в анамнезе.</w:t>
      </w:r>
      <w:r w:rsidRPr="00DC46B0">
        <w:rPr>
          <w:b/>
          <w:szCs w:val="24"/>
        </w:rPr>
        <w:t xml:space="preserve"> </w:t>
      </w:r>
      <w:r w:rsidRPr="00DC46B0">
        <w:rPr>
          <w:szCs w:val="24"/>
        </w:rPr>
        <w:t xml:space="preserve">При наличии или появлении кардиальных изменений и/или заболеваний сердечно-сосудистой системы, необходимо обсуждение с кардиологом возможности дальнейшего проведения гематологической терапии, необходимости ее коррекции, применение кардиологического лечения. </w:t>
      </w:r>
    </w:p>
    <w:p w14:paraId="00480292" w14:textId="77C10D60" w:rsidR="00FF7C87" w:rsidRPr="00DC46B0" w:rsidRDefault="00FF7C87" w:rsidP="00FF7C87">
      <w:pPr>
        <w:rPr>
          <w:szCs w:val="24"/>
        </w:rPr>
      </w:pPr>
      <w:r w:rsidRPr="00DC46B0">
        <w:rPr>
          <w:szCs w:val="24"/>
        </w:rPr>
        <w:t>При применении препаратов, обладающих кардиотоксичностью (антрациклины, алкилирующие агенты, ингибиторы протеасом, моноклональные антитела), необходимо учитывать исходную систолическую функцию левого желудочка сердца</w:t>
      </w:r>
      <w:r>
        <w:rPr>
          <w:szCs w:val="24"/>
        </w:rPr>
        <w:t xml:space="preserve"> </w:t>
      </w:r>
      <w:r>
        <w:rPr>
          <w:szCs w:val="24"/>
        </w:rPr>
        <w:fldChar w:fldCharType="begin" w:fldLock="1"/>
      </w:r>
      <w:r w:rsidR="00A60C8A">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[118]","plainTextFormattedCitation":"[118]","previouslyFormattedCitation":"[118]"},"properties":{"noteIndex":0},"schema":"https://github.com/citation-style-language/schema/raw/master/csl-citation.json"}</w:instrText>
      </w:r>
      <w:r>
        <w:rPr>
          <w:szCs w:val="24"/>
        </w:rPr>
        <w:fldChar w:fldCharType="separate"/>
      </w:r>
      <w:r w:rsidR="00500503" w:rsidRPr="00500503">
        <w:rPr>
          <w:noProof/>
          <w:szCs w:val="24"/>
        </w:rPr>
        <w:t>[118]</w:t>
      </w:r>
      <w:r>
        <w:rPr>
          <w:szCs w:val="24"/>
        </w:rPr>
        <w:fldChar w:fldCharType="end"/>
      </w:r>
      <w:r w:rsidRPr="00DC46B0">
        <w:rPr>
          <w:szCs w:val="24"/>
        </w:rPr>
        <w:t>:</w:t>
      </w:r>
    </w:p>
    <w:p w14:paraId="65973ACF" w14:textId="35C60DF1" w:rsidR="00FF7C87" w:rsidRPr="00DC46B0" w:rsidRDefault="00FF7C87" w:rsidP="00FF7C87">
      <w:pPr>
        <w:pStyle w:val="afe"/>
        <w:numPr>
          <w:ilvl w:val="0"/>
          <w:numId w:val="98"/>
        </w:numPr>
        <w:rPr>
          <w:szCs w:val="24"/>
        </w:rPr>
      </w:pPr>
      <w:r w:rsidRPr="00DC46B0">
        <w:rPr>
          <w:szCs w:val="24"/>
        </w:rPr>
        <w:t xml:space="preserve">Кардиотоксические химиопрепараты не должны рутинно применяться у больных  с фракцией выброса левого желудочка (ФВЛЖ) &lt; 30 %. Вопрос о назначении потенциально кардиотоксической противоопухолевой терапии в этом случае рекомендуется решать на консилиуме с участием кардиолога. </w:t>
      </w:r>
    </w:p>
    <w:p w14:paraId="75B7F1A3" w14:textId="77777777" w:rsidR="00FF7C87" w:rsidRPr="00DC46B0" w:rsidRDefault="00FF7C87" w:rsidP="00FF7C87">
      <w:pPr>
        <w:pStyle w:val="afe"/>
        <w:numPr>
          <w:ilvl w:val="0"/>
          <w:numId w:val="98"/>
        </w:numPr>
        <w:rPr>
          <w:szCs w:val="24"/>
        </w:rPr>
      </w:pPr>
      <w:r w:rsidRPr="00DC46B0">
        <w:rPr>
          <w:szCs w:val="24"/>
        </w:rPr>
        <w:t xml:space="preserve">При ФВЛЖ 30 – 50 % необходимо оценивать функцию левого желудочка по ЭхоКГ перед каждой новой дозой антрациклинов. </w:t>
      </w:r>
    </w:p>
    <w:p w14:paraId="2CBDEBA8" w14:textId="77777777" w:rsidR="00FF7C87" w:rsidRPr="00DC46B0" w:rsidRDefault="00FF7C87" w:rsidP="00FF7C87">
      <w:pPr>
        <w:pStyle w:val="afe"/>
        <w:numPr>
          <w:ilvl w:val="0"/>
          <w:numId w:val="98"/>
        </w:numPr>
        <w:rPr>
          <w:szCs w:val="24"/>
        </w:rPr>
      </w:pPr>
      <w:r w:rsidRPr="00DC46B0">
        <w:rPr>
          <w:szCs w:val="24"/>
        </w:rPr>
        <w:t>При ФВЛЖ ≥ 50 %, необходимо оценивать функцию левого желудочка по ЭхоКГ повторно при достижении суммарной дозы кардиотоксичных химиопрепаратов 300 – 350 мг/м</w:t>
      </w:r>
      <w:r w:rsidRPr="00DC46B0">
        <w:rPr>
          <w:szCs w:val="24"/>
          <w:vertAlign w:val="superscript"/>
        </w:rPr>
        <w:t>2</w:t>
      </w:r>
      <w:r w:rsidRPr="00DC46B0">
        <w:rPr>
          <w:szCs w:val="24"/>
        </w:rPr>
        <w:t>.</w:t>
      </w:r>
    </w:p>
    <w:p w14:paraId="0D06662C" w14:textId="77777777" w:rsidR="00FF7C87" w:rsidRDefault="00FF7C87" w:rsidP="00FF7C87">
      <w:pPr>
        <w:rPr>
          <w:szCs w:val="24"/>
          <w:u w:val="single"/>
        </w:rPr>
      </w:pPr>
    </w:p>
    <w:p w14:paraId="498A6D2A" w14:textId="46ED2789" w:rsidR="00FF7C87" w:rsidRPr="00DC46B0" w:rsidRDefault="00FF7C87" w:rsidP="00FF7C87">
      <w:pPr>
        <w:rPr>
          <w:szCs w:val="24"/>
        </w:rPr>
      </w:pPr>
      <w:r w:rsidRPr="00DC46B0">
        <w:rPr>
          <w:szCs w:val="24"/>
          <w:u w:val="single"/>
        </w:rPr>
        <w:t>Оценка безопасности продолжения лечения при использовании (потенциально) кардиотоксичных препаратов</w:t>
      </w:r>
      <w:r>
        <w:rPr>
          <w:szCs w:val="24"/>
          <w:u w:val="single"/>
        </w:rPr>
        <w:t xml:space="preserve"> </w:t>
      </w:r>
      <w:r>
        <w:rPr>
          <w:szCs w:val="24"/>
        </w:rPr>
        <w:fldChar w:fldCharType="begin" w:fldLock="1"/>
      </w:r>
      <w:r w:rsidR="00A60C8A">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[118]","plainTextFormattedCitation":"[118]","previouslyFormattedCitation":"[118]"},"properties":{"noteIndex":0},"schema":"https://github.com/citation-style-language/schema/raw/master/csl-citation.json"}</w:instrText>
      </w:r>
      <w:r>
        <w:rPr>
          <w:szCs w:val="24"/>
        </w:rPr>
        <w:fldChar w:fldCharType="separate"/>
      </w:r>
      <w:r w:rsidR="00500503" w:rsidRPr="00500503">
        <w:rPr>
          <w:noProof/>
          <w:szCs w:val="24"/>
        </w:rPr>
        <w:t>[118]</w:t>
      </w:r>
      <w:r>
        <w:rPr>
          <w:szCs w:val="24"/>
        </w:rPr>
        <w:fldChar w:fldCharType="end"/>
      </w:r>
      <w:r w:rsidRPr="00DC46B0">
        <w:rPr>
          <w:szCs w:val="24"/>
        </w:rPr>
        <w:t>:</w:t>
      </w:r>
    </w:p>
    <w:p w14:paraId="5E8AD386" w14:textId="77777777" w:rsidR="00FF7C87" w:rsidRPr="00DC46B0" w:rsidRDefault="00FF7C87" w:rsidP="00FF7C87">
      <w:pPr>
        <w:numPr>
          <w:ilvl w:val="0"/>
          <w:numId w:val="97"/>
        </w:numPr>
        <w:rPr>
          <w:szCs w:val="24"/>
        </w:rPr>
      </w:pPr>
      <w:r w:rsidRPr="00DC46B0">
        <w:rPr>
          <w:szCs w:val="24"/>
        </w:rPr>
        <w:t xml:space="preserve">Продолжение лечения – при отсутствии снижения ФВЛЖ, или снижение, но при уровне ФВЛЖ  ≥ 50 %. </w:t>
      </w:r>
    </w:p>
    <w:p w14:paraId="0EE1B1C5" w14:textId="77777777" w:rsidR="00FF7C87" w:rsidRPr="00DC46B0" w:rsidRDefault="00FF7C87" w:rsidP="00FF7C87">
      <w:pPr>
        <w:numPr>
          <w:ilvl w:val="0"/>
          <w:numId w:val="97"/>
        </w:numPr>
        <w:rPr>
          <w:szCs w:val="24"/>
        </w:rPr>
      </w:pPr>
      <w:r w:rsidRPr="00DC46B0">
        <w:rPr>
          <w:szCs w:val="24"/>
        </w:rPr>
        <w:t>Контроль через 3 недели – при снижение ФВЛЖ &lt; 50%. При сохраняющемся снижении ФВЛЖ &lt; 50% – обсудить возможность перерыва в лечении / альтернативного лечения.</w:t>
      </w:r>
    </w:p>
    <w:p w14:paraId="036D903D" w14:textId="77777777" w:rsidR="00FF7C87" w:rsidRPr="00DC46B0" w:rsidRDefault="00FF7C87" w:rsidP="00FF7C87">
      <w:pPr>
        <w:numPr>
          <w:ilvl w:val="0"/>
          <w:numId w:val="97"/>
        </w:numPr>
        <w:rPr>
          <w:szCs w:val="24"/>
        </w:rPr>
      </w:pPr>
      <w:r w:rsidRPr="00DC46B0">
        <w:rPr>
          <w:szCs w:val="24"/>
        </w:rPr>
        <w:t>Прекращение лечения, обсуждение альтернативного лечения – при снижении ФВЛЖ &lt; 40%.</w:t>
      </w:r>
    </w:p>
    <w:p w14:paraId="1D431415" w14:textId="77777777" w:rsidR="00FF7C87" w:rsidRPr="00DC46B0" w:rsidRDefault="00FF7C87" w:rsidP="00FF7C87">
      <w:pPr>
        <w:rPr>
          <w:szCs w:val="24"/>
        </w:rPr>
      </w:pPr>
    </w:p>
    <w:p w14:paraId="31662BA4" w14:textId="00BFF9CD" w:rsidR="00FF7C87" w:rsidRPr="00DC46B0" w:rsidRDefault="00FF7C87" w:rsidP="00FF7C87">
      <w:pPr>
        <w:rPr>
          <w:szCs w:val="24"/>
          <w:u w:val="single"/>
        </w:rPr>
      </w:pPr>
      <w:r w:rsidRPr="00DC46B0">
        <w:rPr>
          <w:szCs w:val="24"/>
          <w:u w:val="single"/>
        </w:rPr>
        <w:t>Степени кардиальных осложнений (нежелательных явлений)</w:t>
      </w:r>
      <w:r>
        <w:rPr>
          <w:szCs w:val="24"/>
          <w:u w:val="single"/>
        </w:rPr>
        <w:t xml:space="preserve"> </w:t>
      </w:r>
      <w:r>
        <w:rPr>
          <w:szCs w:val="24"/>
        </w:rPr>
        <w:fldChar w:fldCharType="begin" w:fldLock="1"/>
      </w:r>
      <w:r w:rsidR="00A60C8A">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[118]","plainTextFormattedCitation":"[118]","previouslyFormattedCitation":"[118]"},"properties":{"noteIndex":0},"schema":"https://github.com/citation-style-language/schema/raw/master/csl-citation.json"}</w:instrText>
      </w:r>
      <w:r>
        <w:rPr>
          <w:szCs w:val="24"/>
        </w:rPr>
        <w:fldChar w:fldCharType="separate"/>
      </w:r>
      <w:r w:rsidR="00500503" w:rsidRPr="00500503">
        <w:rPr>
          <w:noProof/>
          <w:szCs w:val="24"/>
        </w:rPr>
        <w:t>[118]</w:t>
      </w:r>
      <w:r>
        <w:rPr>
          <w:szCs w:val="24"/>
        </w:rPr>
        <w:fldChar w:fldCharType="end"/>
      </w:r>
      <w:r w:rsidRPr="00DC46B0">
        <w:rPr>
          <w:szCs w:val="24"/>
          <w:u w:val="single"/>
        </w:rPr>
        <w:t xml:space="preserve">: </w:t>
      </w:r>
    </w:p>
    <w:p w14:paraId="37A50D64" w14:textId="77777777" w:rsidR="00FF7C87" w:rsidRPr="00DC46B0" w:rsidRDefault="00FF7C87" w:rsidP="00FF7C87">
      <w:pPr>
        <w:numPr>
          <w:ilvl w:val="0"/>
          <w:numId w:val="97"/>
        </w:numPr>
        <w:rPr>
          <w:szCs w:val="24"/>
        </w:rPr>
      </w:pPr>
      <w:r w:rsidRPr="00DC46B0">
        <w:rPr>
          <w:szCs w:val="24"/>
        </w:rPr>
        <w:t xml:space="preserve">Первая степень: изменения сердечно-сосудистой системы, не оказывающие влияние на ее нормальное функционирование и не влияющими на прогноз (желудочковая и наджелудочковая экстрасистолия без гемодинамических нарушений, АВ-блокада 1 степени,  полная и неполная блокада правой ножки пучка Гиса, полная блокада левой ножки пучка Гиса, блокады ветвей левой ножки пучка Гиса). Лекарственная коррекция выявленных изменений не требуется; отмена гематологического лечения не требуется; динамическое наблюдение гематолога и кардиолога. </w:t>
      </w:r>
    </w:p>
    <w:p w14:paraId="51FF94DC" w14:textId="77777777" w:rsidR="00FF7C87" w:rsidRPr="00DC46B0" w:rsidRDefault="00FF7C87" w:rsidP="00FF7C87">
      <w:pPr>
        <w:numPr>
          <w:ilvl w:val="0"/>
          <w:numId w:val="97"/>
        </w:numPr>
        <w:rPr>
          <w:szCs w:val="24"/>
        </w:rPr>
      </w:pPr>
      <w:r w:rsidRPr="00DC46B0">
        <w:rPr>
          <w:szCs w:val="24"/>
        </w:rPr>
        <w:t xml:space="preserve">Вторая степень: умеренные изменения сердечно-сосудистой системы (развитие или усугубление АГ, развитие фибрилляции предсердий (ФП)). Проведение лекарственной коррекции; отмена гематологического лечения не требуется. </w:t>
      </w:r>
    </w:p>
    <w:p w14:paraId="54FEAC77" w14:textId="77777777" w:rsidR="00FF7C87" w:rsidRPr="00DC46B0" w:rsidRDefault="00FF7C87" w:rsidP="00FF7C87">
      <w:pPr>
        <w:numPr>
          <w:ilvl w:val="0"/>
          <w:numId w:val="97"/>
        </w:numPr>
        <w:rPr>
          <w:szCs w:val="24"/>
        </w:rPr>
      </w:pPr>
      <w:r w:rsidRPr="00DC46B0">
        <w:rPr>
          <w:szCs w:val="24"/>
        </w:rPr>
        <w:t>Третья степень: значимые, но не жизнеурожающее изменения сердечно-сосудистой системы (инфаркт миокарда, кардиомиопатия, снижение систолической функции левого желудочка с ФВЛЖ &lt; 50 %).  Проведение лекарственной коррекции, подбор постоянной кардиальной терапии (возможно стационарно). Обсуждение вопроса об изменении/отмене гематологического лечения.</w:t>
      </w:r>
    </w:p>
    <w:p w14:paraId="492B2453" w14:textId="77777777" w:rsidR="00FF7C87" w:rsidRPr="00DC46B0" w:rsidRDefault="00FF7C87" w:rsidP="00FF7C87">
      <w:pPr>
        <w:numPr>
          <w:ilvl w:val="0"/>
          <w:numId w:val="97"/>
        </w:numPr>
        <w:rPr>
          <w:szCs w:val="24"/>
        </w:rPr>
      </w:pPr>
      <w:r w:rsidRPr="00DC46B0">
        <w:rPr>
          <w:szCs w:val="24"/>
        </w:rPr>
        <w:t>Четвертая степень: жизнеугрожающие изменения сердечно-сосудистой системы (кардиогенный шок,  тромбоэмболия легочной артерии, жизнеугрожающие аритмии). Показано срочная госпитализация, отмена/коррекция гематологического лечения.</w:t>
      </w:r>
    </w:p>
    <w:p w14:paraId="171D6EDA" w14:textId="77777777" w:rsidR="00FF7C87" w:rsidRPr="00DC46B0" w:rsidRDefault="00FF7C87" w:rsidP="00FF7C87">
      <w:pPr>
        <w:numPr>
          <w:ilvl w:val="0"/>
          <w:numId w:val="97"/>
        </w:numPr>
        <w:rPr>
          <w:szCs w:val="24"/>
        </w:rPr>
      </w:pPr>
      <w:r w:rsidRPr="00DC46B0">
        <w:rPr>
          <w:szCs w:val="24"/>
        </w:rPr>
        <w:t>Пятая степень: летальный исход, связанный с кардиальным нежелательным явлением.</w:t>
      </w:r>
    </w:p>
    <w:p w14:paraId="5F326DD8" w14:textId="77777777" w:rsidR="00FF7C87" w:rsidRDefault="00FF7C87" w:rsidP="00FF7C87">
      <w:pPr>
        <w:rPr>
          <w:b/>
          <w:szCs w:val="24"/>
        </w:rPr>
      </w:pPr>
    </w:p>
    <w:p w14:paraId="2CACF0B4" w14:textId="77777777" w:rsidR="00FF7C87" w:rsidRPr="00DC46B0" w:rsidRDefault="00FF7C87" w:rsidP="00FF7C87">
      <w:pPr>
        <w:rPr>
          <w:i/>
          <w:szCs w:val="24"/>
          <w:u w:val="single"/>
        </w:rPr>
      </w:pPr>
      <w:r w:rsidRPr="00DC46B0">
        <w:rPr>
          <w:i/>
          <w:szCs w:val="24"/>
          <w:u w:val="single"/>
        </w:rPr>
        <w:t xml:space="preserve">Профилактика нежелательных кардиальных явлений при лечении в онкогематологии.  </w:t>
      </w:r>
    </w:p>
    <w:p w14:paraId="019AFF30" w14:textId="5A2D030C" w:rsidR="00FF7C87" w:rsidRPr="00DC46B0" w:rsidRDefault="00FF7C87" w:rsidP="00FF7C87">
      <w:pPr>
        <w:rPr>
          <w:szCs w:val="24"/>
        </w:rPr>
      </w:pPr>
      <w:r w:rsidRPr="00DC46B0">
        <w:rPr>
          <w:szCs w:val="24"/>
        </w:rPr>
        <w:t>Возникновение побочных кардиологических явлений может стать причиной прекращения гематологического лечения, ухудшения состояния пациента, сокращения продолжительность жизни при излеченном гематологическом заболевании</w:t>
      </w:r>
      <w:r>
        <w:rPr>
          <w:szCs w:val="24"/>
        </w:rPr>
        <w:t xml:space="preserve"> </w:t>
      </w:r>
      <w:r>
        <w:rPr>
          <w:szCs w:val="24"/>
        </w:rPr>
        <w:fldChar w:fldCharType="begin" w:fldLock="1"/>
      </w:r>
      <w:r w:rsidR="00A60C8A">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[118]","plainTextFormattedCitation":"[118]","previouslyFormattedCitation":"[118]"},"properties":{"noteIndex":0},"schema":"https://github.com/citation-style-language/schema/raw/master/csl-citation.json"}</w:instrText>
      </w:r>
      <w:r>
        <w:rPr>
          <w:szCs w:val="24"/>
        </w:rPr>
        <w:fldChar w:fldCharType="separate"/>
      </w:r>
      <w:r w:rsidR="00500503" w:rsidRPr="00500503">
        <w:rPr>
          <w:noProof/>
          <w:szCs w:val="24"/>
        </w:rPr>
        <w:t>[118]</w:t>
      </w:r>
      <w:r>
        <w:rPr>
          <w:szCs w:val="24"/>
        </w:rPr>
        <w:fldChar w:fldCharType="end"/>
      </w:r>
      <w:r w:rsidRPr="00DC46B0">
        <w:rPr>
          <w:szCs w:val="24"/>
        </w:rPr>
        <w:t xml:space="preserve">. </w:t>
      </w:r>
    </w:p>
    <w:p w14:paraId="323C8717" w14:textId="77777777" w:rsidR="00FF7C87" w:rsidRPr="00DC46B0" w:rsidRDefault="00FF7C87" w:rsidP="00FF7C87">
      <w:pPr>
        <w:rPr>
          <w:szCs w:val="24"/>
        </w:rPr>
      </w:pPr>
      <w:r w:rsidRPr="00DC46B0">
        <w:rPr>
          <w:szCs w:val="24"/>
        </w:rPr>
        <w:t>Нежелательные кардиальные явления 4</w:t>
      </w:r>
      <w:r>
        <w:rPr>
          <w:szCs w:val="24"/>
        </w:rPr>
        <w:t>-</w:t>
      </w:r>
      <w:r w:rsidRPr="00DC46B0">
        <w:rPr>
          <w:szCs w:val="24"/>
        </w:rPr>
        <w:t>5 степеней возникают достаточно редко. Возможно увеличение частоты нежелательных кардиологических явлений 1</w:t>
      </w:r>
      <w:r>
        <w:rPr>
          <w:szCs w:val="24"/>
        </w:rPr>
        <w:t>-</w:t>
      </w:r>
      <w:r w:rsidRPr="00DC46B0">
        <w:rPr>
          <w:szCs w:val="24"/>
        </w:rPr>
        <w:t>3 степени по мере увеличения количества пациентов, выздоровевших от тяжелых онкогематологических заболеваний. Стратегия Европейского кардиологического сообщества по профилактике и лечению побочных кардиологических явлений при химиотерапевтическом лечении представлена в таб.1.</w:t>
      </w:r>
    </w:p>
    <w:p w14:paraId="57174F1A" w14:textId="77777777" w:rsidR="00FF7C87" w:rsidRDefault="00FF7C87" w:rsidP="00FF7C87">
      <w:pPr>
        <w:rPr>
          <w:b/>
          <w:szCs w:val="24"/>
        </w:rPr>
      </w:pPr>
    </w:p>
    <w:p w14:paraId="3442844E" w14:textId="4CCCC555" w:rsidR="00FF7C87" w:rsidRPr="00DC46B0" w:rsidRDefault="00FF7C87" w:rsidP="00FF7C87">
      <w:pPr>
        <w:rPr>
          <w:szCs w:val="24"/>
        </w:rPr>
      </w:pPr>
      <w:r w:rsidRPr="00DC46B0">
        <w:rPr>
          <w:szCs w:val="24"/>
        </w:rPr>
        <w:t>Таблица 1. Стратегии, применяемые для снижения кардиотоксичности химиотерапии</w:t>
      </w:r>
      <w:r w:rsidRPr="00673F99">
        <w:rPr>
          <w:szCs w:val="24"/>
        </w:rPr>
        <w:t xml:space="preserve"> </w:t>
      </w:r>
      <w:r>
        <w:rPr>
          <w:szCs w:val="24"/>
        </w:rPr>
        <w:fldChar w:fldCharType="begin" w:fldLock="1"/>
      </w:r>
      <w:r w:rsidR="00A60C8A">
        <w:rPr>
          <w:szCs w:val="24"/>
        </w:rPr>
        <w:instrText>ADDIN CSL_CITATION {"citationItems":[{"id":"ITEM-1","itemData":{"DOI":"10.1093/eurheartj/ehw211","ISSN":"15229645","PMID":"27567406","author":[{"dropping-particle":"","family":"Zamorano","given":"Jose Luis","non-dropping-particle":"","parse-names":false,"suffix":""},{"dropping-particle":"","family":"Lancellotti","given":"Patrizio","non-dropping-particle":"","parse-names":false,"suffix":""},{"dropping-particle":"","family":"Rodriguez Muñoz","given":"Daniel","non-dropping-particle":"","parse-names":false,"suffix":""},{"dropping-particle":"","family":"Aboyans","given":"Victor","non-dropping-particle":"","parse-names":false,"suffix":""},{"dropping-particle":"","family":"Asteggiano","given":"Riccardo","non-dropping-particle":"","parse-names":false,"suffix":""},{"dropping-particle":"","family":"Galderisi","given":"Maurizio","non-dropping-particle":"","parse-names":false,"suffix":""},{"dropping-particle":"","family":"Habib","given":"Gilbert","non-dropping-particle":"","parse-names":false,"suffix":""},{"dropping-particle":"","family":"Lenihan","given":"Daniel J.","non-dropping-particle":"","parse-names":false,"suffix":""},{"dropping-particle":"","family":"Lip","given":"Gregory Y.H.","non-dropping-particle":"","parse-names":false,"suffix":""},{"dropping-particle":"","family":"Lyon","given":"Alexander R.","non-dropping-particle":"","parse-names":false,"suffix":""},{"dropping-particle":"","family":"Lopez Fernandez","given":"Teresa","non-dropping-particle":"","parse-names":false,"suffix":""},{"dropping-particle":"","family":"Mohty","given":"Dania","non-dropping-particle":"","parse-names":false,"suffix":""},{"dropping-particle":"","family":"Piepoli","given":"Massimo F.","non-dropping-particle":"","parse-names":false,"suffix":""},{"dropping-particle":"","family":"Tamargo","given":"Juan","non-dropping-particle":"","parse-names":false,"suffix":""},{"dropping-particle":"","family":"Torbicki","given":"Adam","non-dropping-particle":"","parse-names":false,"suffix":""},{"dropping-particle":"","family":"Suter","given":"Thomas M.","non-dropping-particle":"","parse-names":false,"suffix":""},{"dropping-particle":"","family":"Achenbach","given":"Stephan","non-dropping-particle":"","parse-names":false,"suffix":""},{"dropping-particle":"","family":"Agewall","given":"Stefan","non-dropping-particle":"","parse-names":false,"suffix":""},{"dropping-particle":"","family":"Badimon","given":"Lina","non-dropping-particle":"","parse-names":false,"suffix":""},{"dropping-particle":"","family":"Barón-Esquivias","given":"Gonzalo","non-dropping-particle":"","parse-names":false,"suffix":""},{"dropping-particle":"","family":"Baumgartner","given":"Helmut","non-dropping-particle":"","parse-names":false,"suffix":""},{"dropping-particle":"","family":"Bax","given":"Jeroen J.","non-dropping-particle":"","parse-names":false,"suffix":""},{"dropping-particle":"","family":"Bueno","given":"Héctor","non-dropping-particle":"","parse-names":false,"suffix":""},{"dropping-particle":"","family":"Carerj","given":"Scipione","non-dropping-particle":"","parse-names":false,"suffix":""},{"dropping-particle":"","family":"Dean","given":"Veronica","non-dropping-particle":"","parse-names":false,"suffix":""},{"dropping-particle":"","family":"Erol","given":"Çetin","non-dropping-particle":"","parse-names":false,"suffix":""},{"dropping-particle":"","family":"Fitzsimons","given":"Donna","non-dropping-particle":"","parse-names":false,"suffix":""},{"dropping-particle":"","family":"Gaemperli","given":"Oliver","non-dropping-particle":"","parse-names":false,"suffix":""},{"dropping-particle":"","family":"Kirchhof","given":"Paulus","non-dropping-particle":"","parse-names":false,"suffix":""},{"dropping-particle":"","family":"Kolh","given":"Philippe","non-dropping-particle":"","parse-names":false,"suffix":""},{"dropping-particle":"","family":"Nihoyannopoulos","given":"Petros","non-dropping-particle":"","parse-names":false,"suffix":""},{"dropping-particle":"","family":"Ponikowski","given":"Piotr","non-dropping-particle":"","parse-names":false,"suffix":""},{"dropping-particle":"","family":"Roffi","given":"Marco","non-dropping-particle":"","parse-names":false,"suffix":""},{"dropping-particle":"","family":"Vaz Carneiro","given":"António","non-dropping-particle":"","parse-names":false,"suffix":""},{"dropping-particle":"","family":"Windecker","given":"Stephan","non-dropping-particle":"","parse-names":false,"suffix":""},{"dropping-particle":"","family":"Minotti","given":"Giorgio","non-dropping-particle":"","parse-names":false,"suffix":""},{"dropping-particle":"","family":"Cardinale","given":"Daniela","non-dropping-particle":"","parse-names":false,"suffix":""},{"dropping-particle":"","family":"Curigliano","given":"Giuseppe","non-dropping-particle":"","parse-names":false,"suffix":""},{"dropping-particle":"","family":"Azambuja","given":"Evandro","non-dropping-particle":"De","parse-names":false,"suffix":""},{"dropping-particle":"","family":"Dent","given":"Susan","non-dropping-particle":"","parse-names":false,"suffix":""},{"dropping-particle":"","family":"Ero","given":"Cetin","non-dropping-particle":"","parse-names":false,"suffix":""},{"dropping-particle":"","family":"Ewer","given":"Michael S.","non-dropping-particle":"","parse-names":false,"suffix":""},{"dropping-particle":"","family":"Farmakis","given":"Dimitrios","non-dropping-particle":"","parse-names":false,"suffix":""},{"dropping-particle":"","family":"Fietkau","given":"Rainer","non-dropping-particle":"","parse-names":false,"suffix":""},{"dropping-particle":"","family":"Kohl","given":"Philippe","non-dropping-particle":"","parse-names":false,"suffix":""},{"dropping-particle":"","family":"McGale","given":"Paul","non-dropping-particle":"","parse-names":false,"suffix":""},{"dropping-particle":"","family":"Ringwald","given":"Juergen","non-dropping-particle":"","parse-names":false,"suffix":""},{"dropping-particle":"","family":"Schulz-Menger","given":"Jeanette","non-dropping-particle":"","parse-names":false,"suffix":""},{"dropping-particle":"","family":"Stebbing","given":"Justin","non-dropping-particle":"","parse-names":false,"suffix":""},{"dropping-particle":"","family":"Steiner","given":"Rudolf K.","non-dropping-particle":"","parse-names":false,"suffix":""},{"dropping-particle":"","family":"Szmit","given":"Sebastian","non-dropping-particle":"","parse-names":false,"suffix":""}],"container-title":"European Heart Journal","id":"ITEM-1","issue":"36","issued":{"date-parts":[["2016","9","21"]]},"page":"2768-2801","publisher":"Oxford University Press","title":"2016 ESC Position Paper on cancer treatments and cardiovascular toxicity developed under the auspices of the ESC Committee for Practice Guidelines","type":"article","volume":"37"},"uris":["http://www.mendeley.com/documents/?uuid=b14e6a9e-39a8-33b0-ba1a-2593548d6d16"]}],"mendeley":{"formattedCitation":"[120]","plainTextFormattedCitation":"[120]","previouslyFormattedCitation":"[120]"},"properties":{"noteIndex":0},"schema":"https://github.com/citation-style-language/schema/raw/master/csl-citation.json"}</w:instrText>
      </w:r>
      <w:r>
        <w:rPr>
          <w:szCs w:val="24"/>
        </w:rPr>
        <w:fldChar w:fldCharType="separate"/>
      </w:r>
      <w:r w:rsidR="00500503" w:rsidRPr="00500503">
        <w:rPr>
          <w:noProof/>
          <w:szCs w:val="24"/>
        </w:rPr>
        <w:t>[120]</w:t>
      </w:r>
      <w:r>
        <w:rPr>
          <w:szCs w:val="24"/>
        </w:rPr>
        <w:fldChar w:fldCharType="end"/>
      </w:r>
      <w:r w:rsidRPr="00DC46B0">
        <w:rPr>
          <w:szCs w:val="24"/>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0"/>
        <w:gridCol w:w="5070"/>
      </w:tblGrid>
      <w:tr w:rsidR="00FF7C87" w:rsidRPr="00DC46B0" w14:paraId="04FBA2ED" w14:textId="77777777" w:rsidTr="002D3EBF">
        <w:tc>
          <w:tcPr>
            <w:tcW w:w="4395" w:type="dxa"/>
            <w:shd w:val="clear" w:color="auto" w:fill="auto"/>
          </w:tcPr>
          <w:p w14:paraId="76DA7D0C" w14:textId="77777777" w:rsidR="00FF7C87" w:rsidRPr="00DC46B0" w:rsidRDefault="00FF7C87" w:rsidP="00A538AA">
            <w:pPr>
              <w:ind w:firstLine="0"/>
              <w:rPr>
                <w:szCs w:val="24"/>
              </w:rPr>
            </w:pPr>
            <w:r w:rsidRPr="00DC46B0">
              <w:rPr>
                <w:szCs w:val="24"/>
              </w:rPr>
              <w:t>Химиотерапевтические препараты</w:t>
            </w:r>
          </w:p>
        </w:tc>
        <w:tc>
          <w:tcPr>
            <w:tcW w:w="5209" w:type="dxa"/>
            <w:shd w:val="clear" w:color="auto" w:fill="auto"/>
          </w:tcPr>
          <w:p w14:paraId="36FC37F6" w14:textId="77777777" w:rsidR="00FF7C87" w:rsidRPr="00DC46B0" w:rsidRDefault="00FF7C87" w:rsidP="00A538AA">
            <w:pPr>
              <w:ind w:firstLine="0"/>
              <w:rPr>
                <w:szCs w:val="24"/>
              </w:rPr>
            </w:pPr>
            <w:r w:rsidRPr="00DC46B0">
              <w:rPr>
                <w:szCs w:val="24"/>
              </w:rPr>
              <w:t>Возможные кардиопротективные мероприятия</w:t>
            </w:r>
          </w:p>
        </w:tc>
      </w:tr>
      <w:tr w:rsidR="00FF7C87" w:rsidRPr="00DC46B0" w14:paraId="4F303545" w14:textId="77777777" w:rsidTr="002D3EBF">
        <w:tc>
          <w:tcPr>
            <w:tcW w:w="4395" w:type="dxa"/>
            <w:vMerge w:val="restart"/>
            <w:shd w:val="clear" w:color="auto" w:fill="auto"/>
          </w:tcPr>
          <w:p w14:paraId="44A6074F" w14:textId="77777777" w:rsidR="00FF7C87" w:rsidRPr="00DC46B0" w:rsidRDefault="00FF7C87" w:rsidP="00A538AA">
            <w:pPr>
              <w:ind w:firstLine="0"/>
              <w:rPr>
                <w:szCs w:val="24"/>
              </w:rPr>
            </w:pPr>
            <w:r w:rsidRPr="00DC46B0">
              <w:rPr>
                <w:szCs w:val="24"/>
              </w:rPr>
              <w:t>Любой вариант химиотерапевтического лечения</w:t>
            </w:r>
          </w:p>
        </w:tc>
        <w:tc>
          <w:tcPr>
            <w:tcW w:w="5209" w:type="dxa"/>
            <w:shd w:val="clear" w:color="auto" w:fill="auto"/>
          </w:tcPr>
          <w:p w14:paraId="307337CB" w14:textId="77777777" w:rsidR="00FF7C87" w:rsidRPr="00DC46B0" w:rsidRDefault="00FF7C87" w:rsidP="00A538AA">
            <w:pPr>
              <w:ind w:firstLine="0"/>
              <w:rPr>
                <w:szCs w:val="24"/>
              </w:rPr>
            </w:pPr>
            <w:r w:rsidRPr="00DC46B0">
              <w:rPr>
                <w:szCs w:val="24"/>
              </w:rPr>
              <w:t xml:space="preserve">Перед лечением выявить факторы риска сердечно-сосудистого заболевания и провести соответствующее лечение. </w:t>
            </w:r>
          </w:p>
        </w:tc>
      </w:tr>
      <w:tr w:rsidR="00FF7C87" w:rsidRPr="00DC46B0" w14:paraId="66325FE9" w14:textId="77777777" w:rsidTr="002D3EBF">
        <w:tc>
          <w:tcPr>
            <w:tcW w:w="4395" w:type="dxa"/>
            <w:vMerge/>
            <w:shd w:val="clear" w:color="auto" w:fill="auto"/>
          </w:tcPr>
          <w:p w14:paraId="07787FB2" w14:textId="77777777" w:rsidR="00FF7C87" w:rsidRPr="00DC46B0" w:rsidRDefault="00FF7C87" w:rsidP="00A538AA">
            <w:pPr>
              <w:ind w:firstLine="0"/>
              <w:rPr>
                <w:szCs w:val="24"/>
              </w:rPr>
            </w:pPr>
          </w:p>
        </w:tc>
        <w:tc>
          <w:tcPr>
            <w:tcW w:w="5209" w:type="dxa"/>
            <w:shd w:val="clear" w:color="auto" w:fill="auto"/>
          </w:tcPr>
          <w:p w14:paraId="34C78B28" w14:textId="77777777" w:rsidR="00FF7C87" w:rsidRPr="00DC46B0" w:rsidRDefault="00FF7C87" w:rsidP="00A538AA">
            <w:pPr>
              <w:ind w:firstLine="0"/>
              <w:rPr>
                <w:szCs w:val="24"/>
              </w:rPr>
            </w:pPr>
            <w:r w:rsidRPr="00DC46B0">
              <w:rPr>
                <w:szCs w:val="24"/>
              </w:rPr>
              <w:t>Лечить коморбидные состояния (ИБС, ХСН, АГ, БПА).</w:t>
            </w:r>
          </w:p>
        </w:tc>
      </w:tr>
      <w:tr w:rsidR="00FF7C87" w:rsidRPr="00DC46B0" w14:paraId="18B3DF93" w14:textId="77777777" w:rsidTr="002D3EBF">
        <w:tc>
          <w:tcPr>
            <w:tcW w:w="4395" w:type="dxa"/>
            <w:vMerge/>
            <w:shd w:val="clear" w:color="auto" w:fill="auto"/>
          </w:tcPr>
          <w:p w14:paraId="35965A71" w14:textId="77777777" w:rsidR="00FF7C87" w:rsidRPr="00DC46B0" w:rsidRDefault="00FF7C87" w:rsidP="00A538AA">
            <w:pPr>
              <w:ind w:firstLine="0"/>
              <w:rPr>
                <w:szCs w:val="24"/>
              </w:rPr>
            </w:pPr>
          </w:p>
        </w:tc>
        <w:tc>
          <w:tcPr>
            <w:tcW w:w="5209" w:type="dxa"/>
            <w:shd w:val="clear" w:color="auto" w:fill="auto"/>
          </w:tcPr>
          <w:p w14:paraId="641870FF" w14:textId="77777777" w:rsidR="00FF7C87" w:rsidRPr="00DC46B0" w:rsidRDefault="00FF7C87" w:rsidP="00A538AA">
            <w:pPr>
              <w:ind w:firstLine="0"/>
              <w:rPr>
                <w:szCs w:val="24"/>
              </w:rPr>
            </w:pPr>
            <w:r w:rsidRPr="00DC46B0">
              <w:rPr>
                <w:szCs w:val="24"/>
              </w:rPr>
              <w:t xml:space="preserve">Удлинение </w:t>
            </w:r>
            <w:r w:rsidRPr="00DC46B0">
              <w:rPr>
                <w:szCs w:val="24"/>
                <w:lang w:val="en-US"/>
              </w:rPr>
              <w:t>QTc</w:t>
            </w:r>
            <w:r w:rsidRPr="00DC46B0">
              <w:rPr>
                <w:szCs w:val="24"/>
              </w:rPr>
              <w:t xml:space="preserve"> и тахикардия типа «пируэт»: избегать препаратов, удлиняющих интервал </w:t>
            </w:r>
            <w:r w:rsidRPr="00DC46B0">
              <w:rPr>
                <w:szCs w:val="24"/>
                <w:lang w:val="en-US"/>
              </w:rPr>
              <w:t>QT</w:t>
            </w:r>
            <w:r w:rsidRPr="00DC46B0">
              <w:rPr>
                <w:szCs w:val="24"/>
              </w:rPr>
              <w:t>, коррекция электролитного дисбаланса.</w:t>
            </w:r>
          </w:p>
        </w:tc>
      </w:tr>
      <w:tr w:rsidR="00FF7C87" w:rsidRPr="00DC46B0" w14:paraId="75535221" w14:textId="77777777" w:rsidTr="002D3EBF">
        <w:tc>
          <w:tcPr>
            <w:tcW w:w="4395" w:type="dxa"/>
            <w:vMerge/>
            <w:shd w:val="clear" w:color="auto" w:fill="auto"/>
          </w:tcPr>
          <w:p w14:paraId="4794C452" w14:textId="77777777" w:rsidR="00FF7C87" w:rsidRPr="00DC46B0" w:rsidRDefault="00FF7C87" w:rsidP="00A538AA">
            <w:pPr>
              <w:ind w:firstLine="0"/>
              <w:rPr>
                <w:szCs w:val="24"/>
              </w:rPr>
            </w:pPr>
          </w:p>
        </w:tc>
        <w:tc>
          <w:tcPr>
            <w:tcW w:w="5209" w:type="dxa"/>
            <w:shd w:val="clear" w:color="auto" w:fill="auto"/>
          </w:tcPr>
          <w:p w14:paraId="313C674A" w14:textId="77777777" w:rsidR="00FF7C87" w:rsidRPr="00DC46B0" w:rsidRDefault="00FF7C87" w:rsidP="00A538AA">
            <w:pPr>
              <w:ind w:firstLine="0"/>
              <w:rPr>
                <w:szCs w:val="24"/>
              </w:rPr>
            </w:pPr>
            <w:r w:rsidRPr="00DC46B0">
              <w:rPr>
                <w:szCs w:val="24"/>
              </w:rPr>
              <w:t>Минимизировать лучевую нагрузку на сердце.</w:t>
            </w:r>
          </w:p>
        </w:tc>
      </w:tr>
      <w:tr w:rsidR="00FF7C87" w:rsidRPr="00DC46B0" w14:paraId="1EE3261C" w14:textId="77777777" w:rsidTr="002D3EBF">
        <w:tc>
          <w:tcPr>
            <w:tcW w:w="4395" w:type="dxa"/>
            <w:vMerge w:val="restart"/>
            <w:shd w:val="clear" w:color="auto" w:fill="auto"/>
          </w:tcPr>
          <w:p w14:paraId="1882AA6F" w14:textId="77777777" w:rsidR="00FF7C87" w:rsidRPr="00DC46B0" w:rsidRDefault="00FF7C87" w:rsidP="00A538AA">
            <w:pPr>
              <w:ind w:firstLine="0"/>
              <w:rPr>
                <w:szCs w:val="24"/>
              </w:rPr>
            </w:pPr>
            <w:r w:rsidRPr="00DC46B0">
              <w:rPr>
                <w:szCs w:val="24"/>
              </w:rPr>
              <w:t>Антрациклины и их аналоги</w:t>
            </w:r>
          </w:p>
        </w:tc>
        <w:tc>
          <w:tcPr>
            <w:tcW w:w="5209" w:type="dxa"/>
            <w:shd w:val="clear" w:color="auto" w:fill="auto"/>
          </w:tcPr>
          <w:p w14:paraId="67D13445" w14:textId="77777777" w:rsidR="00FF7C87" w:rsidRPr="00DC46B0" w:rsidRDefault="00FF7C87" w:rsidP="00A538AA">
            <w:pPr>
              <w:ind w:firstLine="0"/>
              <w:rPr>
                <w:szCs w:val="24"/>
              </w:rPr>
            </w:pPr>
            <w:r w:rsidRPr="00DC46B0">
              <w:rPr>
                <w:szCs w:val="24"/>
              </w:rPr>
              <w:t>Ограничивать суммарную дозу (мг/м</w:t>
            </w:r>
            <w:r w:rsidRPr="00DC46B0">
              <w:rPr>
                <w:szCs w:val="24"/>
                <w:vertAlign w:val="superscript"/>
              </w:rPr>
              <w:t>2</w:t>
            </w:r>
            <w:r w:rsidRPr="00DC46B0">
              <w:rPr>
                <w:szCs w:val="24"/>
              </w:rPr>
              <w:t>):</w:t>
            </w:r>
          </w:p>
          <w:p w14:paraId="5FCF3400" w14:textId="77777777" w:rsidR="00FF7C87" w:rsidRPr="00DC46B0" w:rsidRDefault="00FF7C87" w:rsidP="00A538AA">
            <w:pPr>
              <w:ind w:firstLine="0"/>
              <w:rPr>
                <w:szCs w:val="24"/>
              </w:rPr>
            </w:pPr>
            <w:r w:rsidRPr="00DC46B0">
              <w:rPr>
                <w:szCs w:val="24"/>
              </w:rPr>
              <w:t>Даунорубицин &lt; 800</w:t>
            </w:r>
          </w:p>
          <w:p w14:paraId="2B0AC449" w14:textId="77777777" w:rsidR="00FF7C87" w:rsidRPr="00DC46B0" w:rsidRDefault="00FF7C87" w:rsidP="00A538AA">
            <w:pPr>
              <w:ind w:firstLine="0"/>
              <w:rPr>
                <w:szCs w:val="24"/>
              </w:rPr>
            </w:pPr>
            <w:r w:rsidRPr="00DC46B0">
              <w:rPr>
                <w:szCs w:val="24"/>
              </w:rPr>
              <w:t>Доксорубицин &lt; 360</w:t>
            </w:r>
          </w:p>
          <w:p w14:paraId="5718E7A7" w14:textId="77777777" w:rsidR="00FF7C87" w:rsidRPr="00DC46B0" w:rsidRDefault="00FF7C87" w:rsidP="00A538AA">
            <w:pPr>
              <w:ind w:firstLine="0"/>
              <w:rPr>
                <w:szCs w:val="24"/>
              </w:rPr>
            </w:pPr>
            <w:r w:rsidRPr="00DC46B0">
              <w:rPr>
                <w:szCs w:val="24"/>
              </w:rPr>
              <w:t>Эпирубицин &lt; 720</w:t>
            </w:r>
          </w:p>
          <w:p w14:paraId="717BE847" w14:textId="77777777" w:rsidR="00FF7C87" w:rsidRPr="00DC46B0" w:rsidRDefault="00FF7C87" w:rsidP="00A538AA">
            <w:pPr>
              <w:ind w:firstLine="0"/>
              <w:rPr>
                <w:szCs w:val="24"/>
              </w:rPr>
            </w:pPr>
            <w:r w:rsidRPr="00DC46B0">
              <w:rPr>
                <w:szCs w:val="24"/>
              </w:rPr>
              <w:t>Митоксантрон &lt; 160</w:t>
            </w:r>
          </w:p>
          <w:p w14:paraId="398ADA3D" w14:textId="77777777" w:rsidR="00FF7C87" w:rsidRPr="00DC46B0" w:rsidRDefault="00FF7C87" w:rsidP="00A538AA">
            <w:pPr>
              <w:ind w:firstLine="0"/>
              <w:rPr>
                <w:szCs w:val="24"/>
              </w:rPr>
            </w:pPr>
            <w:r w:rsidRPr="00DC46B0">
              <w:rPr>
                <w:szCs w:val="24"/>
              </w:rPr>
              <w:t>Идарубицин &lt;150</w:t>
            </w:r>
          </w:p>
        </w:tc>
      </w:tr>
      <w:tr w:rsidR="00FF7C87" w:rsidRPr="00DC46B0" w14:paraId="4AC3D0D6" w14:textId="77777777" w:rsidTr="002D3EBF">
        <w:tc>
          <w:tcPr>
            <w:tcW w:w="4395" w:type="dxa"/>
            <w:vMerge/>
            <w:shd w:val="clear" w:color="auto" w:fill="auto"/>
          </w:tcPr>
          <w:p w14:paraId="0B39D2BF" w14:textId="77777777" w:rsidR="00FF7C87" w:rsidRPr="00DC46B0" w:rsidRDefault="00FF7C87" w:rsidP="00A538AA">
            <w:pPr>
              <w:ind w:firstLine="0"/>
              <w:rPr>
                <w:szCs w:val="24"/>
              </w:rPr>
            </w:pPr>
          </w:p>
        </w:tc>
        <w:tc>
          <w:tcPr>
            <w:tcW w:w="5209" w:type="dxa"/>
            <w:shd w:val="clear" w:color="auto" w:fill="auto"/>
          </w:tcPr>
          <w:p w14:paraId="4456A34E" w14:textId="77777777" w:rsidR="00FF7C87" w:rsidRPr="00DC46B0" w:rsidRDefault="00FF7C87" w:rsidP="00A538AA">
            <w:pPr>
              <w:ind w:firstLine="0"/>
              <w:rPr>
                <w:szCs w:val="24"/>
              </w:rPr>
            </w:pPr>
            <w:r w:rsidRPr="00DC46B0">
              <w:rPr>
                <w:szCs w:val="24"/>
              </w:rPr>
              <w:t>Применить липосомальный доксорубцин или длительную инфузию.</w:t>
            </w:r>
          </w:p>
        </w:tc>
      </w:tr>
      <w:tr w:rsidR="00FF7C87" w:rsidRPr="00DC46B0" w14:paraId="404FA3DC" w14:textId="77777777" w:rsidTr="002D3EBF">
        <w:tc>
          <w:tcPr>
            <w:tcW w:w="4395" w:type="dxa"/>
            <w:vMerge/>
            <w:shd w:val="clear" w:color="auto" w:fill="auto"/>
          </w:tcPr>
          <w:p w14:paraId="552F71FD" w14:textId="77777777" w:rsidR="00FF7C87" w:rsidRPr="00DC46B0" w:rsidRDefault="00FF7C87" w:rsidP="00A538AA">
            <w:pPr>
              <w:ind w:firstLine="0"/>
              <w:rPr>
                <w:szCs w:val="24"/>
              </w:rPr>
            </w:pPr>
          </w:p>
        </w:tc>
        <w:tc>
          <w:tcPr>
            <w:tcW w:w="5209" w:type="dxa"/>
            <w:shd w:val="clear" w:color="auto" w:fill="auto"/>
          </w:tcPr>
          <w:p w14:paraId="1834E55B" w14:textId="77777777" w:rsidR="00FF7C87" w:rsidRPr="00DC46B0" w:rsidRDefault="00FF7C87" w:rsidP="00A538AA">
            <w:pPr>
              <w:ind w:firstLine="0"/>
              <w:rPr>
                <w:szCs w:val="24"/>
              </w:rPr>
            </w:pPr>
            <w:r w:rsidRPr="00DC46B0">
              <w:rPr>
                <w:szCs w:val="24"/>
              </w:rPr>
              <w:t xml:space="preserve">Назначить ингибитор АПФ или АРА </w:t>
            </w:r>
          </w:p>
        </w:tc>
      </w:tr>
      <w:tr w:rsidR="00FF7C87" w:rsidRPr="00DC46B0" w14:paraId="3A3755EC" w14:textId="77777777" w:rsidTr="002D3EBF">
        <w:tc>
          <w:tcPr>
            <w:tcW w:w="4395" w:type="dxa"/>
            <w:vMerge/>
            <w:shd w:val="clear" w:color="auto" w:fill="auto"/>
          </w:tcPr>
          <w:p w14:paraId="4A4DF38E" w14:textId="77777777" w:rsidR="00FF7C87" w:rsidRPr="00DC46B0" w:rsidRDefault="00FF7C87" w:rsidP="00A538AA">
            <w:pPr>
              <w:ind w:firstLine="0"/>
              <w:rPr>
                <w:szCs w:val="24"/>
              </w:rPr>
            </w:pPr>
          </w:p>
        </w:tc>
        <w:tc>
          <w:tcPr>
            <w:tcW w:w="5209" w:type="dxa"/>
            <w:shd w:val="clear" w:color="auto" w:fill="auto"/>
          </w:tcPr>
          <w:p w14:paraId="2B85771D" w14:textId="77777777" w:rsidR="00FF7C87" w:rsidRPr="00DC46B0" w:rsidRDefault="00FF7C87" w:rsidP="00A538AA">
            <w:pPr>
              <w:ind w:firstLine="0"/>
              <w:rPr>
                <w:szCs w:val="24"/>
              </w:rPr>
            </w:pPr>
            <w:r w:rsidRPr="00DC46B0">
              <w:rPr>
                <w:szCs w:val="24"/>
              </w:rPr>
              <w:t xml:space="preserve">Назначить блокатор бета-адренергических рецепторов </w:t>
            </w:r>
          </w:p>
        </w:tc>
      </w:tr>
      <w:tr w:rsidR="00FF7C87" w:rsidRPr="00DC46B0" w14:paraId="64874F02" w14:textId="77777777" w:rsidTr="002D3EBF">
        <w:tc>
          <w:tcPr>
            <w:tcW w:w="4395" w:type="dxa"/>
            <w:vMerge/>
            <w:shd w:val="clear" w:color="auto" w:fill="auto"/>
          </w:tcPr>
          <w:p w14:paraId="77E81606" w14:textId="77777777" w:rsidR="00FF7C87" w:rsidRPr="00DC46B0" w:rsidRDefault="00FF7C87" w:rsidP="00A538AA">
            <w:pPr>
              <w:ind w:firstLine="0"/>
              <w:rPr>
                <w:szCs w:val="24"/>
              </w:rPr>
            </w:pPr>
          </w:p>
        </w:tc>
        <w:tc>
          <w:tcPr>
            <w:tcW w:w="5209" w:type="dxa"/>
            <w:shd w:val="clear" w:color="auto" w:fill="auto"/>
          </w:tcPr>
          <w:p w14:paraId="1DA1D579" w14:textId="77777777" w:rsidR="00FF7C87" w:rsidRPr="00DC46B0" w:rsidRDefault="00FF7C87" w:rsidP="00A538AA">
            <w:pPr>
              <w:ind w:firstLine="0"/>
              <w:rPr>
                <w:szCs w:val="24"/>
              </w:rPr>
            </w:pPr>
            <w:r w:rsidRPr="00DC46B0">
              <w:rPr>
                <w:szCs w:val="24"/>
              </w:rPr>
              <w:t>Назначить статины</w:t>
            </w:r>
          </w:p>
        </w:tc>
      </w:tr>
      <w:tr w:rsidR="00FF7C87" w:rsidRPr="00DC46B0" w14:paraId="3A9BC647" w14:textId="77777777" w:rsidTr="002D3EBF">
        <w:tc>
          <w:tcPr>
            <w:tcW w:w="4395" w:type="dxa"/>
            <w:vMerge/>
            <w:shd w:val="clear" w:color="auto" w:fill="auto"/>
          </w:tcPr>
          <w:p w14:paraId="35EEE794" w14:textId="77777777" w:rsidR="00FF7C87" w:rsidRPr="00DC46B0" w:rsidRDefault="00FF7C87" w:rsidP="00A538AA">
            <w:pPr>
              <w:ind w:firstLine="0"/>
              <w:rPr>
                <w:szCs w:val="24"/>
              </w:rPr>
            </w:pPr>
          </w:p>
        </w:tc>
        <w:tc>
          <w:tcPr>
            <w:tcW w:w="5209" w:type="dxa"/>
            <w:shd w:val="clear" w:color="auto" w:fill="auto"/>
          </w:tcPr>
          <w:p w14:paraId="2936E92A" w14:textId="77777777" w:rsidR="00FF7C87" w:rsidRPr="00DC46B0" w:rsidRDefault="00FF7C87" w:rsidP="00A538AA">
            <w:pPr>
              <w:ind w:firstLine="0"/>
              <w:rPr>
                <w:szCs w:val="24"/>
              </w:rPr>
            </w:pPr>
            <w:r w:rsidRPr="00DC46B0">
              <w:rPr>
                <w:szCs w:val="24"/>
              </w:rPr>
              <w:t>Осторожно ввести аэробные упражнения.</w:t>
            </w:r>
          </w:p>
        </w:tc>
      </w:tr>
    </w:tbl>
    <w:p w14:paraId="0512595A" w14:textId="77777777" w:rsidR="00FF7C87" w:rsidRPr="00DC46B0" w:rsidRDefault="00FF7C87" w:rsidP="00FF7C87">
      <w:pPr>
        <w:rPr>
          <w:szCs w:val="24"/>
        </w:rPr>
      </w:pPr>
    </w:p>
    <w:p w14:paraId="2BFA9715" w14:textId="76835A43" w:rsidR="00FF7C87" w:rsidRPr="00DC46B0" w:rsidRDefault="00FF7C87" w:rsidP="00FF7C87">
      <w:pPr>
        <w:rPr>
          <w:szCs w:val="24"/>
        </w:rPr>
      </w:pPr>
      <w:r w:rsidRPr="00DC46B0">
        <w:rPr>
          <w:szCs w:val="24"/>
        </w:rPr>
        <w:t>Вероятность развития кардиотоксичности особенно высока у пациентов, получающие лечение анрациклин-содержащими режимами. Для оценки возможности снижения кардиотоксических эффектов необходимо учитывать факторы риска развития антрациклиновой кардиотоксичности</w:t>
      </w:r>
      <w:r>
        <w:rPr>
          <w:szCs w:val="24"/>
        </w:rPr>
        <w:t xml:space="preserve"> </w:t>
      </w:r>
      <w:r>
        <w:rPr>
          <w:szCs w:val="24"/>
        </w:rPr>
        <w:fldChar w:fldCharType="begin" w:fldLock="1"/>
      </w:r>
      <w:r w:rsidR="00A60C8A">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[118]","plainTextFormattedCitation":"[118]","previouslyFormattedCitation":"[118]"},"properties":{"noteIndex":0},"schema":"https://github.com/citation-style-language/schema/raw/master/csl-citation.json"}</w:instrText>
      </w:r>
      <w:r>
        <w:rPr>
          <w:szCs w:val="24"/>
        </w:rPr>
        <w:fldChar w:fldCharType="separate"/>
      </w:r>
      <w:r w:rsidR="00500503" w:rsidRPr="00500503">
        <w:rPr>
          <w:noProof/>
          <w:szCs w:val="24"/>
        </w:rPr>
        <w:t>[118]</w:t>
      </w:r>
      <w:r>
        <w:rPr>
          <w:szCs w:val="24"/>
        </w:rPr>
        <w:fldChar w:fldCharType="end"/>
      </w:r>
      <w:r w:rsidRPr="00DC46B0">
        <w:rPr>
          <w:szCs w:val="24"/>
        </w:rPr>
        <w:t xml:space="preserve">: </w:t>
      </w:r>
    </w:p>
    <w:p w14:paraId="4782BBBF" w14:textId="77777777" w:rsidR="00FF7C87" w:rsidRPr="004F07FC" w:rsidRDefault="00FF7C87" w:rsidP="00FF7C87">
      <w:pPr>
        <w:pStyle w:val="afe"/>
        <w:numPr>
          <w:ilvl w:val="0"/>
          <w:numId w:val="99"/>
        </w:numPr>
        <w:rPr>
          <w:szCs w:val="24"/>
        </w:rPr>
      </w:pPr>
      <w:r w:rsidRPr="004F07FC">
        <w:rPr>
          <w:szCs w:val="24"/>
        </w:rPr>
        <w:t>суммарная доза (для доксорубицина доза, превышающая 500 - 550 мг/м</w:t>
      </w:r>
      <w:r w:rsidRPr="004F07FC">
        <w:rPr>
          <w:szCs w:val="24"/>
          <w:vertAlign w:val="superscript"/>
        </w:rPr>
        <w:t>2</w:t>
      </w:r>
      <w:r w:rsidRPr="004F07FC">
        <w:rPr>
          <w:szCs w:val="24"/>
        </w:rPr>
        <w:t>)</w:t>
      </w:r>
    </w:p>
    <w:p w14:paraId="7D697449" w14:textId="77777777" w:rsidR="00FF7C87" w:rsidRPr="004F07FC" w:rsidRDefault="00FF7C87" w:rsidP="00FF7C87">
      <w:pPr>
        <w:pStyle w:val="afe"/>
        <w:numPr>
          <w:ilvl w:val="0"/>
          <w:numId w:val="99"/>
        </w:numPr>
        <w:rPr>
          <w:szCs w:val="24"/>
        </w:rPr>
      </w:pPr>
      <w:r w:rsidRPr="004F07FC">
        <w:rPr>
          <w:szCs w:val="24"/>
        </w:rPr>
        <w:t>общая доза, введенная за день или курс химиотерапии</w:t>
      </w:r>
    </w:p>
    <w:p w14:paraId="519F15EC" w14:textId="77777777" w:rsidR="00FF7C87" w:rsidRPr="004F07FC" w:rsidRDefault="00FF7C87" w:rsidP="00FF7C87">
      <w:pPr>
        <w:pStyle w:val="afe"/>
        <w:numPr>
          <w:ilvl w:val="0"/>
          <w:numId w:val="99"/>
        </w:numPr>
        <w:rPr>
          <w:szCs w:val="24"/>
        </w:rPr>
      </w:pPr>
      <w:r w:rsidRPr="004F07FC">
        <w:rPr>
          <w:szCs w:val="24"/>
        </w:rPr>
        <w:t xml:space="preserve">скорость и порядок введения препаратов </w:t>
      </w:r>
    </w:p>
    <w:p w14:paraId="5F18CCE2" w14:textId="77777777" w:rsidR="00FF7C87" w:rsidRPr="004F07FC" w:rsidRDefault="00FF7C87" w:rsidP="00FF7C87">
      <w:pPr>
        <w:pStyle w:val="afe"/>
        <w:numPr>
          <w:ilvl w:val="0"/>
          <w:numId w:val="99"/>
        </w:numPr>
        <w:rPr>
          <w:szCs w:val="24"/>
        </w:rPr>
      </w:pPr>
      <w:r w:rsidRPr="004F07FC">
        <w:rPr>
          <w:szCs w:val="24"/>
        </w:rPr>
        <w:t>облучение средостения в анамнезе</w:t>
      </w:r>
    </w:p>
    <w:p w14:paraId="5578E53F" w14:textId="77777777" w:rsidR="00FF7C87" w:rsidRPr="004F07FC" w:rsidRDefault="00FF7C87" w:rsidP="00FF7C87">
      <w:pPr>
        <w:pStyle w:val="afe"/>
        <w:numPr>
          <w:ilvl w:val="0"/>
          <w:numId w:val="99"/>
        </w:numPr>
        <w:rPr>
          <w:szCs w:val="24"/>
        </w:rPr>
      </w:pPr>
      <w:r w:rsidRPr="004F07FC">
        <w:rPr>
          <w:szCs w:val="24"/>
        </w:rPr>
        <w:t>возраст (младше 15 и старше 65 лет)</w:t>
      </w:r>
    </w:p>
    <w:p w14:paraId="19FF985A" w14:textId="77777777" w:rsidR="00FF7C87" w:rsidRPr="004F07FC" w:rsidRDefault="00FF7C87" w:rsidP="00FF7C87">
      <w:pPr>
        <w:pStyle w:val="afe"/>
        <w:numPr>
          <w:ilvl w:val="0"/>
          <w:numId w:val="99"/>
        </w:numPr>
        <w:rPr>
          <w:szCs w:val="24"/>
        </w:rPr>
      </w:pPr>
      <w:r w:rsidRPr="004F07FC">
        <w:rPr>
          <w:szCs w:val="24"/>
        </w:rPr>
        <w:t>женский пол</w:t>
      </w:r>
    </w:p>
    <w:p w14:paraId="7D846ED6" w14:textId="77777777" w:rsidR="00FF7C87" w:rsidRPr="004F07FC" w:rsidRDefault="00FF7C87" w:rsidP="00FF7C87">
      <w:pPr>
        <w:pStyle w:val="afe"/>
        <w:numPr>
          <w:ilvl w:val="0"/>
          <w:numId w:val="99"/>
        </w:numPr>
        <w:rPr>
          <w:szCs w:val="24"/>
        </w:rPr>
      </w:pPr>
      <w:r w:rsidRPr="004F07FC">
        <w:rPr>
          <w:szCs w:val="24"/>
        </w:rPr>
        <w:t>одновременное введение нескольких противоопухолевых средств (антрациклино-вые антибиотики, циклофосфан, блеомицин, этопозид, цисплатин, винкристин, актиномицин, метотрексат)</w:t>
      </w:r>
    </w:p>
    <w:p w14:paraId="5C9D0625" w14:textId="77777777" w:rsidR="00FF7C87" w:rsidRPr="004F07FC" w:rsidRDefault="00FF7C87" w:rsidP="00FF7C87">
      <w:pPr>
        <w:pStyle w:val="afe"/>
        <w:numPr>
          <w:ilvl w:val="0"/>
          <w:numId w:val="99"/>
        </w:numPr>
        <w:rPr>
          <w:szCs w:val="24"/>
        </w:rPr>
      </w:pPr>
      <w:r w:rsidRPr="004F07FC">
        <w:rPr>
          <w:szCs w:val="24"/>
        </w:rPr>
        <w:t>предшествующая терапия антрациклинами</w:t>
      </w:r>
    </w:p>
    <w:p w14:paraId="0F01A3C5" w14:textId="77777777" w:rsidR="00FF7C87" w:rsidRPr="004F07FC" w:rsidRDefault="00FF7C87" w:rsidP="00FF7C87">
      <w:pPr>
        <w:pStyle w:val="afe"/>
        <w:numPr>
          <w:ilvl w:val="0"/>
          <w:numId w:val="99"/>
        </w:numPr>
        <w:rPr>
          <w:szCs w:val="24"/>
        </w:rPr>
      </w:pPr>
      <w:r w:rsidRPr="004F07FC">
        <w:rPr>
          <w:szCs w:val="24"/>
        </w:rPr>
        <w:t xml:space="preserve">сопутствующие заболевания сердечно-сосудистой системы </w:t>
      </w:r>
    </w:p>
    <w:p w14:paraId="4CF46660" w14:textId="77777777" w:rsidR="00FF7C87" w:rsidRPr="004F07FC" w:rsidRDefault="00FF7C87" w:rsidP="00FF7C87">
      <w:pPr>
        <w:pStyle w:val="afe"/>
        <w:numPr>
          <w:ilvl w:val="0"/>
          <w:numId w:val="99"/>
        </w:numPr>
        <w:rPr>
          <w:szCs w:val="24"/>
        </w:rPr>
      </w:pPr>
      <w:r w:rsidRPr="004F07FC">
        <w:rPr>
          <w:szCs w:val="24"/>
        </w:rPr>
        <w:t>дисбаланс электролитов (гипокалиемия, гипомагниемия).</w:t>
      </w:r>
    </w:p>
    <w:p w14:paraId="5708585A" w14:textId="77777777" w:rsidR="00FF7C87" w:rsidRPr="00DC46B0" w:rsidRDefault="00FF7C87" w:rsidP="00FF7C87">
      <w:pPr>
        <w:rPr>
          <w:szCs w:val="24"/>
        </w:rPr>
      </w:pPr>
    </w:p>
    <w:p w14:paraId="7632489D" w14:textId="238F7339" w:rsidR="00FF7C87" w:rsidRPr="00DC46B0" w:rsidRDefault="00FF7C87" w:rsidP="00FF7C87">
      <w:pPr>
        <w:rPr>
          <w:szCs w:val="24"/>
        </w:rPr>
      </w:pPr>
      <w:r w:rsidRPr="00DC46B0">
        <w:rPr>
          <w:szCs w:val="24"/>
        </w:rPr>
        <w:t>Основные лекарственные средства профилактики кардиотоксичности – назначаемые совместно эналаприл, карведилол и низкие дозы статинов</w:t>
      </w:r>
      <w:r>
        <w:rPr>
          <w:szCs w:val="24"/>
        </w:rPr>
        <w:t xml:space="preserve"> </w:t>
      </w:r>
      <w:r>
        <w:rPr>
          <w:szCs w:val="24"/>
        </w:rPr>
        <w:fldChar w:fldCharType="begin" w:fldLock="1"/>
      </w:r>
      <w:r w:rsidR="00A60C8A">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[118]","plainTextFormattedCitation":"[118]","previouslyFormattedCitation":"[118]"},"properties":{"noteIndex":0},"schema":"https://github.com/citation-style-language/schema/raw/master/csl-citation.json"}</w:instrText>
      </w:r>
      <w:r>
        <w:rPr>
          <w:szCs w:val="24"/>
        </w:rPr>
        <w:fldChar w:fldCharType="separate"/>
      </w:r>
      <w:r w:rsidR="00500503" w:rsidRPr="00500503">
        <w:rPr>
          <w:noProof/>
          <w:szCs w:val="24"/>
        </w:rPr>
        <w:t>[118]</w:t>
      </w:r>
      <w:r>
        <w:rPr>
          <w:szCs w:val="24"/>
        </w:rPr>
        <w:fldChar w:fldCharType="end"/>
      </w:r>
      <w:r w:rsidRPr="00DC46B0">
        <w:rPr>
          <w:szCs w:val="24"/>
        </w:rPr>
        <w:t>. Карведилол, вероятно, обладает наибольшими защитными свойствами из-за его антиоксидантной активности, способности блокировать апоптозные сигнальные пути, предполагаемой способности восстанавливать работу Ca2+-АТФ-азы и блокировать приток кальция в кардиомиоциты.</w:t>
      </w:r>
    </w:p>
    <w:p w14:paraId="021899AA" w14:textId="77777777" w:rsidR="00FF7C87" w:rsidRPr="00DC46B0" w:rsidRDefault="00FF7C87" w:rsidP="00FF7C87">
      <w:pPr>
        <w:rPr>
          <w:szCs w:val="24"/>
        </w:rPr>
      </w:pPr>
      <w:r w:rsidRPr="00DC46B0">
        <w:rPr>
          <w:szCs w:val="24"/>
        </w:rPr>
        <w:t>Подход к профилактике кардиотоксичности пациентов, получающих лечение по поводу онкогематологического заболевания, представлен в таб.</w:t>
      </w:r>
      <w:r>
        <w:rPr>
          <w:szCs w:val="24"/>
        </w:rPr>
        <w:t xml:space="preserve"> </w:t>
      </w:r>
      <w:r w:rsidRPr="00DC46B0">
        <w:rPr>
          <w:szCs w:val="24"/>
        </w:rPr>
        <w:t xml:space="preserve">2.    </w:t>
      </w:r>
    </w:p>
    <w:p w14:paraId="04CBAE28" w14:textId="77777777" w:rsidR="00FF7C87" w:rsidRDefault="00FF7C87" w:rsidP="00FF7C87">
      <w:pPr>
        <w:rPr>
          <w:b/>
          <w:szCs w:val="24"/>
        </w:rPr>
      </w:pPr>
    </w:p>
    <w:p w14:paraId="14E4EC22" w14:textId="7226FC66" w:rsidR="00FF7C87" w:rsidRPr="004F07FC" w:rsidRDefault="00FF7C87" w:rsidP="00FF7C87">
      <w:pPr>
        <w:rPr>
          <w:szCs w:val="24"/>
          <w:lang w:val="en-US"/>
        </w:rPr>
      </w:pPr>
      <w:r w:rsidRPr="004F07FC">
        <w:rPr>
          <w:szCs w:val="24"/>
        </w:rPr>
        <w:t xml:space="preserve">Таблица 2. </w:t>
      </w:r>
      <w:r w:rsidRPr="004F07FC">
        <w:rPr>
          <w:bCs/>
          <w:szCs w:val="24"/>
        </w:rPr>
        <w:t xml:space="preserve">Оценка риска кардиотоксичности при лечении опухолей </w:t>
      </w:r>
      <w:r>
        <w:rPr>
          <w:bCs/>
          <w:szCs w:val="24"/>
        </w:rPr>
        <w:fldChar w:fldCharType="begin" w:fldLock="1"/>
      </w:r>
      <w:r w:rsidR="00A60C8A">
        <w:rPr>
          <w:bCs/>
          <w:szCs w:val="24"/>
        </w:rPr>
        <w:instrText>ADDIN CSL_CITATION {"citationItems":[{"id":"ITEM-1","itemData":{"DOI":"10.1093/eurheartj/ehw211","ISSN":"15229645","PMID":"27567406","author":[{"dropping-particle":"","family":"Zamorano","given":"Jose Luis","non-dropping-particle":"","parse-names":false,"suffix":""},{"dropping-particle":"","family":"Lancellotti","given":"Patrizio","non-dropping-particle":"","parse-names":false,"suffix":""},{"dropping-particle":"","family":"Rodriguez Muñoz","given":"Daniel","non-dropping-particle":"","parse-names":false,"suffix":""},{"dropping-particle":"","family":"Aboyans","given":"Victor","non-dropping-particle":"","parse-names":false,"suffix":""},{"dropping-particle":"","family":"Asteggiano","given":"Riccardo","non-dropping-particle":"","parse-names":false,"suffix":""},{"dropping-particle":"","family":"Galderisi","given":"Maurizio","non-dropping-particle":"","parse-names":false,"suffix":""},{"dropping-particle":"","family":"Habib","given":"Gilbert","non-dropping-particle":"","parse-names":false,"suffix":""},{"dropping-particle":"","family":"Lenihan","given":"Daniel J.","non-dropping-particle":"","parse-names":false,"suffix":""},{"dropping-particle":"","family":"Lip","given":"Gregory Y.H.","non-dropping-particle":"","parse-names":false,"suffix":""},{"dropping-particle":"","family":"Lyon","given":"Alexander R.","non-dropping-particle":"","parse-names":false,"suffix":""},{"dropping-particle":"","family":"Lopez Fernandez","given":"Teresa","non-dropping-particle":"","parse-names":false,"suffix":""},{"dropping-particle":"","family":"Mohty","given":"Dania","non-dropping-particle":"","parse-names":false,"suffix":""},{"dropping-particle":"","family":"Piepoli","given":"Massimo F.","non-dropping-particle":"","parse-names":false,"suffix":""},{"dropping-particle":"","family":"Tamargo","given":"Juan","non-dropping-particle":"","parse-names":false,"suffix":""},{"dropping-particle":"","family":"Torbicki","given":"Adam","non-dropping-particle":"","parse-names":false,"suffix":""},{"dropping-particle":"","family":"Suter","given":"Thomas M.","non-dropping-particle":"","parse-names":false,"suffix":""},{"dropping-particle":"","family":"Achenbach","given":"Stephan","non-dropping-particle":"","parse-names":false,"suffix":""},{"dropping-particle":"","family":"Agewall","given":"Stefan","non-dropping-particle":"","parse-names":false,"suffix":""},{"dropping-particle":"","family":"Badimon","given":"Lina","non-dropping-particle":"","parse-names":false,"suffix":""},{"dropping-particle":"","family":"Barón-Esquivias","given":"Gonzalo","non-dropping-particle":"","parse-names":false,"suffix":""},{"dropping-particle":"","family":"Baumgartner","given":"Helmut","non-dropping-particle":"","parse-names":false,"suffix":""},{"dropping-particle":"","family":"Bax","given":"Jeroen J.","non-dropping-particle":"","parse-names":false,"suffix":""},{"dropping-particle":"","family":"Bueno","given":"Héctor","non-dropping-particle":"","parse-names":false,"suffix":""},{"dropping-particle":"","family":"Carerj","given":"Scipione","non-dropping-particle":"","parse-names":false,"suffix":""},{"dropping-particle":"","family":"Dean","given":"Veronica","non-dropping-particle":"","parse-names":false,"suffix":""},{"dropping-particle":"","family":"Erol","given":"Çetin","non-dropping-particle":"","parse-names":false,"suffix":""},{"dropping-particle":"","family":"Fitzsimons","given":"Donna","non-dropping-particle":"","parse-names":false,"suffix":""},{"dropping-particle":"","family":"Gaemperli","given":"Oliver","non-dropping-particle":"","parse-names":false,"suffix":""},{"dropping-particle":"","family":"Kirchhof","given":"Paulus","non-dropping-particle":"","parse-names":false,"suffix":""},{"dropping-particle":"","family":"Kolh","given":"Philippe","non-dropping-particle":"","parse-names":false,"suffix":""},{"dropping-particle":"","family":"Nihoyannopoulos","given":"Petros","non-dropping-particle":"","parse-names":false,"suffix":""},{"dropping-particle":"","family":"Ponikowski","given":"Piotr","non-dropping-particle":"","parse-names":false,"suffix":""},{"dropping-particle":"","family":"Roffi","given":"Marco","non-dropping-particle":"","parse-names":false,"suffix":""},{"dropping-particle":"","family":"Vaz Carneiro","given":"António","non-dropping-particle":"","parse-names":false,"suffix":""},{"dropping-particle":"","family":"Windecker","given":"Stephan","non-dropping-particle":"","parse-names":false,"suffix":""},{"dropping-particle":"","family":"Minotti","given":"Giorgio","non-dropping-particle":"","parse-names":false,"suffix":""},{"dropping-particle":"","family":"Cardinale","given":"Daniela","non-dropping-particle":"","parse-names":false,"suffix":""},{"dropping-particle":"","family":"Curigliano","given":"Giuseppe","non-dropping-particle":"","parse-names":false,"suffix":""},{"dropping-particle":"","family":"Azambuja","given":"Evandro","non-dropping-particle":"De","parse-names":false,"suffix":""},{"dropping-particle":"","family":"Dent","given":"Susan","non-dropping-particle":"","parse-names":false,"suffix":""},{"dropping-particle":"","family":"Ero","given":"Cetin","non-dropping-particle":"","parse-names":false,"suffix":""},{"dropping-particle":"","family":"Ewer","given":"Michael S.","non-dropping-particle":"","parse-names":false,"suffix":""},{"dropping-particle":"","family":"Farmakis","given":"Dimitrios","non-dropping-particle":"","parse-names":false,"suffix":""},{"dropping-particle":"","family":"Fietkau","given":"Rainer","non-dropping-particle":"","parse-names":false,"suffix":""},{"dropping-particle":"","family":"Kohl","given":"Philippe","non-dropping-particle":"","parse-names":false,"suffix":""},{"dropping-particle":"","family":"McGale","given":"Paul","non-dropping-particle":"","parse-names":false,"suffix":""},{"dropping-particle":"","family":"Ringwald","given":"Juergen","non-dropping-particle":"","parse-names":false,"suffix":""},{"dropping-particle":"","family":"Schulz-Menger","given":"Jeanette","non-dropping-particle":"","parse-names":false,"suffix":""},{"dropping-particle":"","family":"Stebbing","given":"Justin","non-dropping-particle":"","parse-names":false,"suffix":""},{"dropping-particle":"","family":"Steiner","given":"Rudolf K.","non-dropping-particle":"","parse-names":false,"suffix":""},{"dropping-particle":"","family":"Szmit","given":"Sebastian","non-dropping-particle":"","parse-names":false,"suffix":""}],"container-title":"European Heart Journal","id":"ITEM-1","issue":"36","issued":{"date-parts":[["2016","9","21"]]},"page":"2768-2801","publisher":"Oxford University Press","title":"2016 ESC Position Paper on cancer treatments and cardiovascular toxicity developed under the auspices of the ESC Committee for Practice Guidelines","type":"article","volume":"37"},"uris":["http://www.mendeley.com/documents/?uuid=b14e6a9e-39a8-33b0-ba1a-2593548d6d16"]},{"id":"ITEM-2","itemData":{"DOI":"10.1530/ERP-17-0013","ISSN":"20550464","abstract":"Cardio-oncology is a rapidly growing feld aimed at minimizing the effects of cardiovascular morbidity and mortality in cancer survivors. To meet this aim, patients are assessed at baseline to define their risk of cardiotoxicity and then followed closely during and after chemotherapy to assess for early signs or symptoms of cardiovascular disease. Cardiac imaging, and in particular, transthoracic echocardiography, plays an essential role in the baseline assessment and serial follow-up of cardio-oncology patients. The objectives of this paper are to review the mechanisms of cardiotoxicity of several common chemotherapeutic agents associated with an increased risk for left ventricular systolic dysfunction and to outline recommendations regarding the baseline assessment and serial follow-up of cardio-oncology patients with a focus on the role of echocardiography.","author":[{"dropping-particle":"","family":"Larsen","given":"Carolyn M.","non-dropping-particle":"","parse-names":false,"suffix":""},{"dropping-particle":"","family":"Mulvagh","given":"Sharon L.","non-dropping-particle":"","parse-names":false,"suffix":""}],"container-title":"Echo Research and Practice","id":"ITEM-2","issue":"1","issued":{"date-parts":[["2017","3","1"]]},"page":"R33-R41","publisher":"BioScientifica Ltd.","title":"Cardio-oncology: What you need to know now for clinical practice and echocardiography","type":"article","volume":"4"},"uris":["http://www.mendeley.com/documents/?uuid=8c6f1c03-ad49-3f5e-8b63-59b182a86311"]}],"mendeley":{"formattedCitation":"[120,121]","plainTextFormattedCitation":"[120,121]","previouslyFormattedCitation":"[120,121]"},"properties":{"noteIndex":0},"schema":"https://github.com/citation-style-language/schema/raw/master/csl-citation.json"}</w:instrText>
      </w:r>
      <w:r>
        <w:rPr>
          <w:bCs/>
          <w:szCs w:val="24"/>
        </w:rPr>
        <w:fldChar w:fldCharType="separate"/>
      </w:r>
      <w:r w:rsidR="00500503" w:rsidRPr="00500503">
        <w:rPr>
          <w:bCs/>
          <w:noProof/>
          <w:szCs w:val="24"/>
          <w:lang w:val="en-US"/>
        </w:rPr>
        <w:t>[120,121]</w:t>
      </w:r>
      <w:r>
        <w:rPr>
          <w:bCs/>
          <w:szCs w:val="24"/>
        </w:rPr>
        <w:fldChar w:fldCharType="end"/>
      </w:r>
      <w:r w:rsidRPr="004F07FC">
        <w:rPr>
          <w:bCs/>
          <w:szCs w:val="24"/>
          <w:lang w:val="en-US"/>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7"/>
        <w:gridCol w:w="2906"/>
        <w:gridCol w:w="4694"/>
      </w:tblGrid>
      <w:tr w:rsidR="00FF7C87" w:rsidRPr="00DC46B0" w14:paraId="18403D17" w14:textId="77777777" w:rsidTr="002D3EBF">
        <w:trPr>
          <w:trHeight w:val="570"/>
        </w:trPr>
        <w:tc>
          <w:tcPr>
            <w:tcW w:w="5053" w:type="dxa"/>
            <w:gridSpan w:val="2"/>
            <w:shd w:val="clear" w:color="auto" w:fill="auto"/>
            <w:hideMark/>
          </w:tcPr>
          <w:p w14:paraId="2D439648" w14:textId="77777777" w:rsidR="00FF7C87" w:rsidRPr="00DC46B0" w:rsidRDefault="00FF7C87" w:rsidP="00A538AA">
            <w:pPr>
              <w:ind w:firstLine="0"/>
              <w:rPr>
                <w:szCs w:val="24"/>
              </w:rPr>
            </w:pPr>
            <w:r w:rsidRPr="00DC46B0">
              <w:rPr>
                <w:bCs/>
                <w:szCs w:val="24"/>
              </w:rPr>
              <w:t xml:space="preserve">Риск, связанный с применяемым препаратом (% кардиальных осложнений препаратов) </w:t>
            </w:r>
          </w:p>
        </w:tc>
        <w:tc>
          <w:tcPr>
            <w:tcW w:w="4694" w:type="dxa"/>
            <w:shd w:val="clear" w:color="auto" w:fill="auto"/>
            <w:hideMark/>
          </w:tcPr>
          <w:p w14:paraId="14E90CC2" w14:textId="77777777" w:rsidR="00FF7C87" w:rsidRPr="00DC46B0" w:rsidRDefault="00FF7C87" w:rsidP="00A538AA">
            <w:pPr>
              <w:ind w:firstLine="0"/>
              <w:rPr>
                <w:bCs/>
                <w:szCs w:val="24"/>
              </w:rPr>
            </w:pPr>
            <w:r w:rsidRPr="00DC46B0">
              <w:rPr>
                <w:bCs/>
                <w:szCs w:val="24"/>
              </w:rPr>
              <w:t xml:space="preserve">Риск, связанный с пациентом </w:t>
            </w:r>
          </w:p>
          <w:p w14:paraId="4B9B19F9" w14:textId="77777777" w:rsidR="00FF7C87" w:rsidRPr="00DC46B0" w:rsidRDefault="00FF7C87" w:rsidP="00A538AA">
            <w:pPr>
              <w:ind w:firstLine="0"/>
              <w:rPr>
                <w:szCs w:val="24"/>
              </w:rPr>
            </w:pPr>
            <w:r w:rsidRPr="00DC46B0">
              <w:rPr>
                <w:bCs/>
                <w:szCs w:val="24"/>
              </w:rPr>
              <w:t>(каждый из факторов – 1 балл)</w:t>
            </w:r>
          </w:p>
        </w:tc>
      </w:tr>
      <w:tr w:rsidR="00FF7C87" w:rsidRPr="00DC46B0" w14:paraId="158737C4" w14:textId="77777777" w:rsidTr="002D3EBF">
        <w:trPr>
          <w:trHeight w:val="1095"/>
        </w:trPr>
        <w:tc>
          <w:tcPr>
            <w:tcW w:w="2147" w:type="dxa"/>
            <w:shd w:val="clear" w:color="auto" w:fill="auto"/>
            <w:hideMark/>
          </w:tcPr>
          <w:p w14:paraId="73744C0E" w14:textId="77777777" w:rsidR="00FF7C87" w:rsidRPr="00DC46B0" w:rsidRDefault="00FF7C87" w:rsidP="00A538AA">
            <w:pPr>
              <w:ind w:firstLine="0"/>
              <w:rPr>
                <w:szCs w:val="24"/>
              </w:rPr>
            </w:pPr>
            <w:r w:rsidRPr="00DC46B0">
              <w:rPr>
                <w:bCs/>
                <w:szCs w:val="24"/>
              </w:rPr>
              <w:t xml:space="preserve">Высокий риск – </w:t>
            </w:r>
            <w:r w:rsidRPr="00DC46B0">
              <w:rPr>
                <w:szCs w:val="24"/>
              </w:rPr>
              <w:t xml:space="preserve"> </w:t>
            </w:r>
            <w:r w:rsidRPr="00DC46B0">
              <w:rPr>
                <w:bCs/>
                <w:szCs w:val="24"/>
              </w:rPr>
              <w:t xml:space="preserve">4 балла </w:t>
            </w:r>
          </w:p>
        </w:tc>
        <w:tc>
          <w:tcPr>
            <w:tcW w:w="2906" w:type="dxa"/>
            <w:shd w:val="clear" w:color="auto" w:fill="auto"/>
            <w:hideMark/>
          </w:tcPr>
          <w:p w14:paraId="4F96B7D6" w14:textId="77777777" w:rsidR="00FF7C87" w:rsidRPr="00DC46B0" w:rsidRDefault="00FF7C87" w:rsidP="00A538AA">
            <w:pPr>
              <w:ind w:firstLine="0"/>
              <w:rPr>
                <w:bCs/>
                <w:szCs w:val="24"/>
              </w:rPr>
            </w:pPr>
            <w:r w:rsidRPr="00DC46B0">
              <w:rPr>
                <w:bCs/>
                <w:szCs w:val="24"/>
              </w:rPr>
              <w:t>Антрациклины (3 – 48%, в зависимости от суммарной дозы)</w:t>
            </w:r>
          </w:p>
          <w:p w14:paraId="6417653B" w14:textId="77777777" w:rsidR="00FF7C87" w:rsidRPr="00DC46B0" w:rsidRDefault="00FF7C87" w:rsidP="00A538AA">
            <w:pPr>
              <w:ind w:firstLine="0"/>
              <w:rPr>
                <w:bCs/>
                <w:szCs w:val="24"/>
              </w:rPr>
            </w:pPr>
            <w:r w:rsidRPr="00DC46B0">
              <w:rPr>
                <w:bCs/>
                <w:szCs w:val="24"/>
              </w:rPr>
              <w:t>Циклофосфан (7 – 28%) Ифосфамид (до 17% в зависимости от дозы) Клофарабин (27%)</w:t>
            </w:r>
          </w:p>
          <w:p w14:paraId="70937620" w14:textId="77777777" w:rsidR="00FF7C87" w:rsidRPr="00DC46B0" w:rsidRDefault="00FF7C87" w:rsidP="00A538AA">
            <w:pPr>
              <w:ind w:firstLine="0"/>
              <w:rPr>
                <w:szCs w:val="24"/>
              </w:rPr>
            </w:pPr>
            <w:r w:rsidRPr="00DC46B0">
              <w:rPr>
                <w:bCs/>
                <w:szCs w:val="24"/>
              </w:rPr>
              <w:t>Карфилзомиб (11 – 25%)</w:t>
            </w:r>
          </w:p>
        </w:tc>
        <w:tc>
          <w:tcPr>
            <w:tcW w:w="4694" w:type="dxa"/>
            <w:vMerge w:val="restart"/>
            <w:shd w:val="clear" w:color="auto" w:fill="auto"/>
            <w:hideMark/>
          </w:tcPr>
          <w:p w14:paraId="6427A6D4" w14:textId="77777777" w:rsidR="00FF7C87" w:rsidRPr="00DC46B0" w:rsidRDefault="00FF7C87" w:rsidP="00A538AA">
            <w:pPr>
              <w:numPr>
                <w:ilvl w:val="0"/>
                <w:numId w:val="93"/>
              </w:numPr>
              <w:tabs>
                <w:tab w:val="clear" w:pos="720"/>
              </w:tabs>
              <w:ind w:left="0" w:firstLine="0"/>
              <w:rPr>
                <w:szCs w:val="24"/>
              </w:rPr>
            </w:pPr>
            <w:r w:rsidRPr="00DC46B0">
              <w:rPr>
                <w:bCs/>
                <w:szCs w:val="24"/>
              </w:rPr>
              <w:t>Заболевание сердца или ХСН</w:t>
            </w:r>
          </w:p>
          <w:p w14:paraId="603800EF" w14:textId="77777777" w:rsidR="00FF7C87" w:rsidRPr="00DC46B0" w:rsidRDefault="00FF7C87" w:rsidP="00A538AA">
            <w:pPr>
              <w:numPr>
                <w:ilvl w:val="0"/>
                <w:numId w:val="93"/>
              </w:numPr>
              <w:tabs>
                <w:tab w:val="clear" w:pos="720"/>
              </w:tabs>
              <w:ind w:left="0" w:firstLine="0"/>
              <w:rPr>
                <w:szCs w:val="24"/>
              </w:rPr>
            </w:pPr>
            <w:r w:rsidRPr="00DC46B0">
              <w:rPr>
                <w:bCs/>
                <w:szCs w:val="24"/>
              </w:rPr>
              <w:t>ИБС или ее эквивалент (БПА)</w:t>
            </w:r>
          </w:p>
          <w:p w14:paraId="5F88BC92" w14:textId="77777777" w:rsidR="00FF7C87" w:rsidRPr="00DC46B0" w:rsidRDefault="00FF7C87" w:rsidP="00A538AA">
            <w:pPr>
              <w:numPr>
                <w:ilvl w:val="0"/>
                <w:numId w:val="93"/>
              </w:numPr>
              <w:tabs>
                <w:tab w:val="clear" w:pos="720"/>
              </w:tabs>
              <w:ind w:left="0" w:firstLine="0"/>
              <w:rPr>
                <w:szCs w:val="24"/>
              </w:rPr>
            </w:pPr>
            <w:r w:rsidRPr="00DC46B0">
              <w:rPr>
                <w:bCs/>
                <w:szCs w:val="24"/>
              </w:rPr>
              <w:t>АГ</w:t>
            </w:r>
          </w:p>
          <w:p w14:paraId="1BB70E86" w14:textId="77777777" w:rsidR="00FF7C87" w:rsidRPr="00DC46B0" w:rsidRDefault="00FF7C87" w:rsidP="00A538AA">
            <w:pPr>
              <w:numPr>
                <w:ilvl w:val="0"/>
                <w:numId w:val="93"/>
              </w:numPr>
              <w:tabs>
                <w:tab w:val="clear" w:pos="720"/>
              </w:tabs>
              <w:ind w:left="0" w:firstLine="0"/>
              <w:rPr>
                <w:szCs w:val="24"/>
              </w:rPr>
            </w:pPr>
            <w:r w:rsidRPr="00DC46B0">
              <w:rPr>
                <w:bCs/>
                <w:szCs w:val="24"/>
              </w:rPr>
              <w:t>Сахарный диабет</w:t>
            </w:r>
          </w:p>
          <w:p w14:paraId="58B4EA38" w14:textId="77777777" w:rsidR="00FF7C87" w:rsidRPr="00DC46B0" w:rsidRDefault="00FF7C87" w:rsidP="00A538AA">
            <w:pPr>
              <w:numPr>
                <w:ilvl w:val="0"/>
                <w:numId w:val="93"/>
              </w:numPr>
              <w:tabs>
                <w:tab w:val="clear" w:pos="720"/>
              </w:tabs>
              <w:ind w:left="0" w:firstLine="0"/>
              <w:rPr>
                <w:szCs w:val="24"/>
              </w:rPr>
            </w:pPr>
            <w:r w:rsidRPr="00DC46B0">
              <w:rPr>
                <w:bCs/>
                <w:szCs w:val="24"/>
              </w:rPr>
              <w:t>Предшествующее лечение антрациклинами</w:t>
            </w:r>
          </w:p>
          <w:p w14:paraId="2F8A4162" w14:textId="77777777" w:rsidR="00FF7C87" w:rsidRPr="00DC46B0" w:rsidRDefault="00FF7C87" w:rsidP="00A538AA">
            <w:pPr>
              <w:numPr>
                <w:ilvl w:val="0"/>
                <w:numId w:val="93"/>
              </w:numPr>
              <w:tabs>
                <w:tab w:val="clear" w:pos="720"/>
              </w:tabs>
              <w:ind w:left="0" w:firstLine="0"/>
              <w:rPr>
                <w:szCs w:val="24"/>
              </w:rPr>
            </w:pPr>
            <w:r w:rsidRPr="00DC46B0">
              <w:rPr>
                <w:bCs/>
                <w:szCs w:val="24"/>
              </w:rPr>
              <w:t xml:space="preserve">Предшествующая или совместная лучевая терапия </w:t>
            </w:r>
          </w:p>
          <w:p w14:paraId="65FB1AAD" w14:textId="77777777" w:rsidR="00FF7C87" w:rsidRPr="00DC46B0" w:rsidRDefault="00FF7C87" w:rsidP="00A538AA">
            <w:pPr>
              <w:numPr>
                <w:ilvl w:val="0"/>
                <w:numId w:val="93"/>
              </w:numPr>
              <w:tabs>
                <w:tab w:val="clear" w:pos="720"/>
              </w:tabs>
              <w:ind w:left="0" w:firstLine="0"/>
              <w:rPr>
                <w:szCs w:val="24"/>
              </w:rPr>
            </w:pPr>
            <w:r w:rsidRPr="00DC46B0">
              <w:rPr>
                <w:bCs/>
                <w:szCs w:val="24"/>
              </w:rPr>
              <w:t xml:space="preserve">Возраст </w:t>
            </w:r>
            <w:r w:rsidRPr="00DC46B0">
              <w:rPr>
                <w:bCs/>
                <w:szCs w:val="24"/>
                <w:lang w:val="en-US"/>
              </w:rPr>
              <w:t xml:space="preserve">&lt; </w:t>
            </w:r>
            <w:r w:rsidRPr="00DC46B0">
              <w:rPr>
                <w:bCs/>
                <w:szCs w:val="24"/>
              </w:rPr>
              <w:t xml:space="preserve">15 или </w:t>
            </w:r>
            <w:r w:rsidRPr="00DC46B0">
              <w:rPr>
                <w:bCs/>
                <w:szCs w:val="24"/>
                <w:lang w:val="en-US"/>
              </w:rPr>
              <w:t>&gt;</w:t>
            </w:r>
            <w:r w:rsidRPr="00DC46B0">
              <w:rPr>
                <w:bCs/>
                <w:szCs w:val="24"/>
              </w:rPr>
              <w:t xml:space="preserve"> 65 лет</w:t>
            </w:r>
          </w:p>
          <w:p w14:paraId="6D3B4306" w14:textId="77777777" w:rsidR="00FF7C87" w:rsidRPr="00DC46B0" w:rsidRDefault="00FF7C87" w:rsidP="00A538AA">
            <w:pPr>
              <w:numPr>
                <w:ilvl w:val="0"/>
                <w:numId w:val="93"/>
              </w:numPr>
              <w:tabs>
                <w:tab w:val="clear" w:pos="720"/>
              </w:tabs>
              <w:ind w:left="0" w:firstLine="0"/>
              <w:rPr>
                <w:szCs w:val="24"/>
              </w:rPr>
            </w:pPr>
            <w:r w:rsidRPr="00DC46B0">
              <w:rPr>
                <w:bCs/>
                <w:szCs w:val="24"/>
              </w:rPr>
              <w:t xml:space="preserve">Женский пол </w:t>
            </w:r>
          </w:p>
        </w:tc>
      </w:tr>
      <w:tr w:rsidR="00FF7C87" w:rsidRPr="00DC46B0" w14:paraId="099C6588" w14:textId="77777777" w:rsidTr="002D3EBF">
        <w:trPr>
          <w:trHeight w:val="762"/>
        </w:trPr>
        <w:tc>
          <w:tcPr>
            <w:tcW w:w="2147" w:type="dxa"/>
            <w:shd w:val="clear" w:color="auto" w:fill="auto"/>
            <w:hideMark/>
          </w:tcPr>
          <w:p w14:paraId="7F7313F8" w14:textId="77777777" w:rsidR="00FF7C87" w:rsidRPr="00DC46B0" w:rsidRDefault="00FF7C87" w:rsidP="00A538AA">
            <w:pPr>
              <w:ind w:firstLine="0"/>
              <w:rPr>
                <w:szCs w:val="24"/>
              </w:rPr>
            </w:pPr>
            <w:r w:rsidRPr="00DC46B0">
              <w:rPr>
                <w:bCs/>
                <w:szCs w:val="24"/>
              </w:rPr>
              <w:t xml:space="preserve">Промежуточный риск – 2 балла </w:t>
            </w:r>
          </w:p>
        </w:tc>
        <w:tc>
          <w:tcPr>
            <w:tcW w:w="2906" w:type="dxa"/>
            <w:shd w:val="clear" w:color="auto" w:fill="auto"/>
            <w:hideMark/>
          </w:tcPr>
          <w:p w14:paraId="7CD21304" w14:textId="77777777" w:rsidR="00FF7C87" w:rsidRPr="00DC46B0" w:rsidRDefault="00FF7C87" w:rsidP="00A538AA">
            <w:pPr>
              <w:ind w:firstLine="0"/>
              <w:rPr>
                <w:szCs w:val="24"/>
                <w:lang w:val="en-US"/>
              </w:rPr>
            </w:pPr>
            <w:r w:rsidRPr="00DC46B0">
              <w:rPr>
                <w:szCs w:val="24"/>
              </w:rPr>
              <w:t>Бортезомиб (2 – 5%)</w:t>
            </w:r>
          </w:p>
          <w:p w14:paraId="22307F75" w14:textId="77777777" w:rsidR="00FF7C87" w:rsidRPr="00DC46B0" w:rsidRDefault="00FF7C87" w:rsidP="00A538AA">
            <w:pPr>
              <w:ind w:firstLine="0"/>
              <w:rPr>
                <w:szCs w:val="24"/>
                <w:lang w:val="en-US"/>
              </w:rPr>
            </w:pPr>
            <w:r w:rsidRPr="00DC46B0">
              <w:rPr>
                <w:bCs/>
                <w:szCs w:val="24"/>
              </w:rPr>
              <w:t xml:space="preserve">Дазатиниб (2 – 4%), </w:t>
            </w:r>
          </w:p>
          <w:p w14:paraId="399680D9" w14:textId="77777777" w:rsidR="00FF7C87" w:rsidRPr="00DC46B0" w:rsidRDefault="00FF7C87" w:rsidP="00A538AA">
            <w:pPr>
              <w:ind w:firstLine="0"/>
              <w:rPr>
                <w:szCs w:val="24"/>
                <w:lang w:val="en-US"/>
              </w:rPr>
            </w:pPr>
            <w:r w:rsidRPr="00DC46B0">
              <w:rPr>
                <w:bCs/>
                <w:szCs w:val="24"/>
              </w:rPr>
              <w:t>Сорафениб (4 - %)</w:t>
            </w:r>
          </w:p>
        </w:tc>
        <w:tc>
          <w:tcPr>
            <w:tcW w:w="4694" w:type="dxa"/>
            <w:vMerge/>
            <w:shd w:val="clear" w:color="auto" w:fill="auto"/>
            <w:hideMark/>
          </w:tcPr>
          <w:p w14:paraId="5DD9DA66" w14:textId="77777777" w:rsidR="00FF7C87" w:rsidRPr="00DC46B0" w:rsidRDefault="00FF7C87" w:rsidP="00A538AA">
            <w:pPr>
              <w:ind w:firstLine="0"/>
              <w:rPr>
                <w:szCs w:val="24"/>
              </w:rPr>
            </w:pPr>
          </w:p>
        </w:tc>
      </w:tr>
      <w:tr w:rsidR="00FF7C87" w:rsidRPr="00DC46B0" w14:paraId="25B88493" w14:textId="77777777" w:rsidTr="002D3EBF">
        <w:trPr>
          <w:trHeight w:val="570"/>
        </w:trPr>
        <w:tc>
          <w:tcPr>
            <w:tcW w:w="2147" w:type="dxa"/>
            <w:shd w:val="clear" w:color="auto" w:fill="auto"/>
            <w:hideMark/>
          </w:tcPr>
          <w:p w14:paraId="4FEFCA27" w14:textId="77777777" w:rsidR="00FF7C87" w:rsidRPr="00DC46B0" w:rsidRDefault="00FF7C87" w:rsidP="00A538AA">
            <w:pPr>
              <w:ind w:firstLine="0"/>
              <w:rPr>
                <w:szCs w:val="24"/>
              </w:rPr>
            </w:pPr>
            <w:r w:rsidRPr="00DC46B0">
              <w:rPr>
                <w:bCs/>
                <w:szCs w:val="24"/>
              </w:rPr>
              <w:t xml:space="preserve">Низкий риск – 1 балл </w:t>
            </w:r>
          </w:p>
        </w:tc>
        <w:tc>
          <w:tcPr>
            <w:tcW w:w="2906" w:type="dxa"/>
            <w:shd w:val="clear" w:color="auto" w:fill="auto"/>
            <w:hideMark/>
          </w:tcPr>
          <w:p w14:paraId="3D2B1967" w14:textId="77777777" w:rsidR="00FF7C87" w:rsidRPr="00DC46B0" w:rsidRDefault="00FF7C87" w:rsidP="00A538AA">
            <w:pPr>
              <w:ind w:firstLine="0"/>
              <w:rPr>
                <w:szCs w:val="24"/>
              </w:rPr>
            </w:pPr>
            <w:r w:rsidRPr="00DC46B0">
              <w:rPr>
                <w:bCs/>
                <w:szCs w:val="24"/>
              </w:rPr>
              <w:t>Иматиниб (0,2 – 2,7%),</w:t>
            </w:r>
            <w:r w:rsidRPr="00DC46B0">
              <w:rPr>
                <w:bCs/>
                <w:szCs w:val="24"/>
                <w:lang w:val="en-US"/>
              </w:rPr>
              <w:t xml:space="preserve"> </w:t>
            </w:r>
            <w:r w:rsidRPr="00DC46B0">
              <w:rPr>
                <w:bCs/>
                <w:szCs w:val="24"/>
              </w:rPr>
              <w:t>Нилотиниб (1%).</w:t>
            </w:r>
          </w:p>
        </w:tc>
        <w:tc>
          <w:tcPr>
            <w:tcW w:w="4694" w:type="dxa"/>
            <w:vMerge/>
            <w:shd w:val="clear" w:color="auto" w:fill="auto"/>
            <w:hideMark/>
          </w:tcPr>
          <w:p w14:paraId="397A5916" w14:textId="77777777" w:rsidR="00FF7C87" w:rsidRPr="00DC46B0" w:rsidRDefault="00FF7C87" w:rsidP="00A538AA">
            <w:pPr>
              <w:ind w:firstLine="0"/>
              <w:rPr>
                <w:szCs w:val="24"/>
              </w:rPr>
            </w:pPr>
          </w:p>
        </w:tc>
      </w:tr>
      <w:tr w:rsidR="00FF7C87" w:rsidRPr="00DC46B0" w14:paraId="28637EE9" w14:textId="77777777" w:rsidTr="002D3EBF">
        <w:trPr>
          <w:trHeight w:val="570"/>
        </w:trPr>
        <w:tc>
          <w:tcPr>
            <w:tcW w:w="2147" w:type="dxa"/>
            <w:shd w:val="clear" w:color="auto" w:fill="auto"/>
            <w:hideMark/>
          </w:tcPr>
          <w:p w14:paraId="32C2BE3D" w14:textId="77777777" w:rsidR="00FF7C87" w:rsidRPr="00DC46B0" w:rsidRDefault="00FF7C87" w:rsidP="00A538AA">
            <w:pPr>
              <w:ind w:firstLine="0"/>
              <w:rPr>
                <w:szCs w:val="24"/>
              </w:rPr>
            </w:pPr>
            <w:r w:rsidRPr="00DC46B0">
              <w:rPr>
                <w:bCs/>
                <w:szCs w:val="24"/>
              </w:rPr>
              <w:t xml:space="preserve">Отсутствие риска (очень низкий риск)  – 0 баллов </w:t>
            </w:r>
          </w:p>
        </w:tc>
        <w:tc>
          <w:tcPr>
            <w:tcW w:w="2906" w:type="dxa"/>
            <w:shd w:val="clear" w:color="auto" w:fill="auto"/>
            <w:hideMark/>
          </w:tcPr>
          <w:p w14:paraId="740904E5" w14:textId="77777777" w:rsidR="00FF7C87" w:rsidRPr="00DC46B0" w:rsidRDefault="00FF7C87" w:rsidP="00A538AA">
            <w:pPr>
              <w:ind w:firstLine="0"/>
              <w:rPr>
                <w:bCs/>
                <w:szCs w:val="24"/>
              </w:rPr>
            </w:pPr>
            <w:r w:rsidRPr="00DC46B0">
              <w:rPr>
                <w:bCs/>
                <w:szCs w:val="24"/>
              </w:rPr>
              <w:t xml:space="preserve">Этопозид, </w:t>
            </w:r>
          </w:p>
          <w:p w14:paraId="190DC41F" w14:textId="77777777" w:rsidR="00FF7C87" w:rsidRPr="00DC46B0" w:rsidRDefault="00FF7C87" w:rsidP="00A538AA">
            <w:pPr>
              <w:ind w:firstLine="0"/>
              <w:rPr>
                <w:szCs w:val="24"/>
              </w:rPr>
            </w:pPr>
            <w:r w:rsidRPr="00DC46B0">
              <w:rPr>
                <w:bCs/>
                <w:szCs w:val="24"/>
              </w:rPr>
              <w:t>Ритуксимаб,</w:t>
            </w:r>
            <w:r w:rsidRPr="00DC46B0">
              <w:rPr>
                <w:szCs w:val="24"/>
              </w:rPr>
              <w:t xml:space="preserve"> </w:t>
            </w:r>
          </w:p>
          <w:p w14:paraId="4029A7B6" w14:textId="77777777" w:rsidR="00FF7C87" w:rsidRPr="00DC46B0" w:rsidRDefault="00FF7C87" w:rsidP="00A538AA">
            <w:pPr>
              <w:ind w:firstLine="0"/>
              <w:rPr>
                <w:szCs w:val="24"/>
              </w:rPr>
            </w:pPr>
          </w:p>
        </w:tc>
        <w:tc>
          <w:tcPr>
            <w:tcW w:w="4694" w:type="dxa"/>
            <w:vMerge/>
            <w:shd w:val="clear" w:color="auto" w:fill="auto"/>
            <w:hideMark/>
          </w:tcPr>
          <w:p w14:paraId="1913D1C7" w14:textId="77777777" w:rsidR="00FF7C87" w:rsidRPr="00DC46B0" w:rsidRDefault="00FF7C87" w:rsidP="00A538AA">
            <w:pPr>
              <w:ind w:firstLine="0"/>
              <w:rPr>
                <w:szCs w:val="24"/>
              </w:rPr>
            </w:pPr>
          </w:p>
        </w:tc>
      </w:tr>
      <w:tr w:rsidR="00FF7C87" w:rsidRPr="00DC46B0" w14:paraId="3A2F1CD6" w14:textId="77777777" w:rsidTr="002D3EBF">
        <w:trPr>
          <w:trHeight w:val="570"/>
        </w:trPr>
        <w:tc>
          <w:tcPr>
            <w:tcW w:w="9747" w:type="dxa"/>
            <w:gridSpan w:val="3"/>
            <w:shd w:val="clear" w:color="auto" w:fill="auto"/>
            <w:hideMark/>
          </w:tcPr>
          <w:p w14:paraId="0C086C4A" w14:textId="77777777" w:rsidR="00FF7C87" w:rsidRPr="00DC46B0" w:rsidRDefault="00FF7C87" w:rsidP="00A538AA">
            <w:pPr>
              <w:ind w:firstLine="0"/>
              <w:rPr>
                <w:szCs w:val="24"/>
              </w:rPr>
            </w:pPr>
            <w:r w:rsidRPr="00DC46B0">
              <w:rPr>
                <w:bCs/>
                <w:szCs w:val="24"/>
              </w:rPr>
              <w:t xml:space="preserve">Уровень риска – сумма баллов лекарственных и коморбидных  рисков: &gt; 6 – очень высокий, 5 – 6 – высокий, 3 – 4 – промежуточный, 1 – 2 – низкий, 0 – очень низкий </w:t>
            </w:r>
          </w:p>
        </w:tc>
      </w:tr>
    </w:tbl>
    <w:p w14:paraId="3C72224C" w14:textId="77777777" w:rsidR="00FF7C87" w:rsidRPr="00DC46B0" w:rsidRDefault="00FF7C87" w:rsidP="00FF7C87">
      <w:pPr>
        <w:rPr>
          <w:szCs w:val="24"/>
        </w:rPr>
      </w:pPr>
      <w:r w:rsidRPr="00DC46B0">
        <w:rPr>
          <w:szCs w:val="24"/>
        </w:rPr>
        <w:t xml:space="preserve">   </w:t>
      </w:r>
    </w:p>
    <w:p w14:paraId="019A8E50" w14:textId="61DDE459" w:rsidR="00FF7C87" w:rsidRPr="00DC46B0" w:rsidRDefault="00FF7C87" w:rsidP="00FF7C87">
      <w:pPr>
        <w:rPr>
          <w:szCs w:val="24"/>
        </w:rPr>
      </w:pPr>
      <w:r w:rsidRPr="00DC46B0">
        <w:rPr>
          <w:szCs w:val="24"/>
        </w:rPr>
        <w:t>Немодифицируемые факторы риска ИБС:</w:t>
      </w:r>
      <w:r w:rsidRPr="004F07FC">
        <w:rPr>
          <w:szCs w:val="24"/>
        </w:rPr>
        <w:t xml:space="preserve"> </w:t>
      </w:r>
      <w:r w:rsidRPr="00DC46B0">
        <w:rPr>
          <w:szCs w:val="24"/>
        </w:rPr>
        <w:t>возраст более 45 лет у мужчин и более 55 лет у женщин, мужской пол, наследственность (ранний атеросклероз у родственников, ранняя смерть родственников от ИБС)</w:t>
      </w:r>
      <w:r>
        <w:rPr>
          <w:szCs w:val="24"/>
        </w:rPr>
        <w:t xml:space="preserve"> </w:t>
      </w:r>
      <w:r>
        <w:rPr>
          <w:szCs w:val="24"/>
        </w:rPr>
        <w:fldChar w:fldCharType="begin" w:fldLock="1"/>
      </w:r>
      <w:r w:rsidR="00A60C8A">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[118]","plainTextFormattedCitation":"[118]","previouslyFormattedCitation":"[118]"},"properties":{"noteIndex":0},"schema":"https://github.com/citation-style-language/schema/raw/master/csl-citation.json"}</w:instrText>
      </w:r>
      <w:r>
        <w:rPr>
          <w:szCs w:val="24"/>
        </w:rPr>
        <w:fldChar w:fldCharType="separate"/>
      </w:r>
      <w:r w:rsidR="00500503" w:rsidRPr="00500503">
        <w:rPr>
          <w:noProof/>
          <w:szCs w:val="24"/>
        </w:rPr>
        <w:t>[118]</w:t>
      </w:r>
      <w:r>
        <w:rPr>
          <w:szCs w:val="24"/>
        </w:rPr>
        <w:fldChar w:fldCharType="end"/>
      </w:r>
      <w:r w:rsidRPr="00DC46B0">
        <w:rPr>
          <w:szCs w:val="24"/>
        </w:rPr>
        <w:t>.</w:t>
      </w:r>
    </w:p>
    <w:p w14:paraId="2152383B" w14:textId="453B9AE5" w:rsidR="00FF7C87" w:rsidRPr="00DC46B0" w:rsidRDefault="00FF7C87" w:rsidP="00FF7C87">
      <w:pPr>
        <w:rPr>
          <w:szCs w:val="24"/>
        </w:rPr>
      </w:pPr>
      <w:r w:rsidRPr="00DC46B0">
        <w:rPr>
          <w:szCs w:val="24"/>
        </w:rPr>
        <w:t>Модифицируемые факторы риска ИБС:</w:t>
      </w:r>
      <w:r w:rsidRPr="004F07FC">
        <w:rPr>
          <w:szCs w:val="24"/>
        </w:rPr>
        <w:t xml:space="preserve"> </w:t>
      </w:r>
      <w:r w:rsidRPr="00DC46B0">
        <w:rPr>
          <w:szCs w:val="24"/>
        </w:rPr>
        <w:t>АГ, курение, ожирение, недостаточная физическая активность; потенциально или частично модифицируемые – дислипидемия, сахарный диабет, психоэмоциональное перенапряжение</w:t>
      </w:r>
      <w:r>
        <w:rPr>
          <w:szCs w:val="24"/>
        </w:rPr>
        <w:t xml:space="preserve"> </w:t>
      </w:r>
      <w:r>
        <w:rPr>
          <w:szCs w:val="24"/>
        </w:rPr>
        <w:fldChar w:fldCharType="begin" w:fldLock="1"/>
      </w:r>
      <w:r w:rsidR="00A60C8A">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[118]","plainTextFormattedCitation":"[118]","previouslyFormattedCitation":"[118]"},"properties":{"noteIndex":0},"schema":"https://github.com/citation-style-language/schema/raw/master/csl-citation.json"}</w:instrText>
      </w:r>
      <w:r>
        <w:rPr>
          <w:szCs w:val="24"/>
        </w:rPr>
        <w:fldChar w:fldCharType="separate"/>
      </w:r>
      <w:r w:rsidR="00500503" w:rsidRPr="00500503">
        <w:rPr>
          <w:noProof/>
          <w:szCs w:val="24"/>
        </w:rPr>
        <w:t>[118]</w:t>
      </w:r>
      <w:r>
        <w:rPr>
          <w:szCs w:val="24"/>
        </w:rPr>
        <w:fldChar w:fldCharType="end"/>
      </w:r>
      <w:r w:rsidRPr="00DC46B0">
        <w:rPr>
          <w:szCs w:val="24"/>
        </w:rPr>
        <w:t xml:space="preserve">. </w:t>
      </w:r>
    </w:p>
    <w:p w14:paraId="6A43E681" w14:textId="6F42CE9A" w:rsidR="00FF7C87" w:rsidRPr="00DC46B0" w:rsidRDefault="00FF7C87" w:rsidP="00FF7C87">
      <w:pPr>
        <w:rPr>
          <w:szCs w:val="24"/>
        </w:rPr>
      </w:pPr>
      <w:r w:rsidRPr="00DC46B0">
        <w:rPr>
          <w:szCs w:val="24"/>
        </w:rPr>
        <w:t xml:space="preserve">При выявлении дислипидемии, сахарного диабета необходимо оценить показания к проведению и назначить при необходимости гиполипидемическую и гипогликемическую терапию </w:t>
      </w:r>
    </w:p>
    <w:p w14:paraId="49EEDB9C" w14:textId="77777777" w:rsidR="00FF7C87" w:rsidRPr="00DC46B0" w:rsidRDefault="00FF7C87" w:rsidP="00FF7C87">
      <w:pPr>
        <w:rPr>
          <w:szCs w:val="24"/>
        </w:rPr>
      </w:pPr>
      <w:r w:rsidRPr="00DC46B0">
        <w:rPr>
          <w:szCs w:val="24"/>
        </w:rPr>
        <w:t xml:space="preserve">В соответствии с риском развития поражения миокарда предлагается профилактическое лечение ингибитором ангиотензинпревращающего фермента (иАПФ) или антагонистами рецепторов ангиотензина </w:t>
      </w:r>
      <w:r w:rsidRPr="00DC46B0">
        <w:rPr>
          <w:szCs w:val="24"/>
          <w:lang w:val="en-US"/>
        </w:rPr>
        <w:t>II</w:t>
      </w:r>
      <w:r w:rsidRPr="00DC46B0">
        <w:rPr>
          <w:szCs w:val="24"/>
        </w:rPr>
        <w:t xml:space="preserve"> (АРА), карведилолом и статинами в низких дозах (таб. 3).  </w:t>
      </w:r>
    </w:p>
    <w:p w14:paraId="6B6BD1AD" w14:textId="77777777" w:rsidR="00FF7C87" w:rsidRDefault="00FF7C87" w:rsidP="00FF7C87">
      <w:pPr>
        <w:rPr>
          <w:b/>
          <w:szCs w:val="24"/>
        </w:rPr>
      </w:pPr>
    </w:p>
    <w:p w14:paraId="2257CA2B" w14:textId="7B6338DD" w:rsidR="00FF7C87" w:rsidRPr="004F07FC" w:rsidRDefault="00FF7C87" w:rsidP="00FF7C87">
      <w:pPr>
        <w:rPr>
          <w:szCs w:val="24"/>
        </w:rPr>
      </w:pPr>
      <w:r w:rsidRPr="004F07FC">
        <w:rPr>
          <w:szCs w:val="24"/>
        </w:rPr>
        <w:t xml:space="preserve">Таблица 3. Профилактика кардиотоксичности в соответствии с риском поражения миокарда </w:t>
      </w:r>
      <w:r>
        <w:rPr>
          <w:szCs w:val="24"/>
          <w:lang w:val="en-US"/>
        </w:rPr>
        <w:fldChar w:fldCharType="begin" w:fldLock="1"/>
      </w:r>
      <w:r w:rsidR="00A60C8A">
        <w:rPr>
          <w:szCs w:val="24"/>
          <w:lang w:val="en-US"/>
        </w:rPr>
        <w:instrText>ADDIN</w:instrText>
      </w:r>
      <w:r w:rsidR="00A60C8A" w:rsidRPr="009B44B4">
        <w:rPr>
          <w:szCs w:val="24"/>
        </w:rPr>
        <w:instrText xml:space="preserve"> </w:instrText>
      </w:r>
      <w:r w:rsidR="00A60C8A">
        <w:rPr>
          <w:szCs w:val="24"/>
          <w:lang w:val="en-US"/>
        </w:rPr>
        <w:instrText>CSL</w:instrText>
      </w:r>
      <w:r w:rsidR="00A60C8A" w:rsidRPr="009B44B4">
        <w:rPr>
          <w:szCs w:val="24"/>
        </w:rPr>
        <w:instrText>_</w:instrText>
      </w:r>
      <w:r w:rsidR="00A60C8A">
        <w:rPr>
          <w:szCs w:val="24"/>
          <w:lang w:val="en-US"/>
        </w:rPr>
        <w:instrText>CITATION</w:instrText>
      </w:r>
      <w:r w:rsidR="00A60C8A" w:rsidRPr="009B44B4">
        <w:rPr>
          <w:szCs w:val="24"/>
        </w:rPr>
        <w:instrText xml:space="preserve"> {"</w:instrText>
      </w:r>
      <w:r w:rsidR="00A60C8A">
        <w:rPr>
          <w:szCs w:val="24"/>
          <w:lang w:val="en-US"/>
        </w:rPr>
        <w:instrText>citationItems</w:instrText>
      </w:r>
      <w:r w:rsidR="00A60C8A" w:rsidRPr="009B44B4">
        <w:rPr>
          <w:szCs w:val="24"/>
        </w:rPr>
        <w:instrText>":[{"</w:instrText>
      </w:r>
      <w:r w:rsidR="00A60C8A">
        <w:rPr>
          <w:szCs w:val="24"/>
          <w:lang w:val="en-US"/>
        </w:rPr>
        <w:instrText>id</w:instrText>
      </w:r>
      <w:r w:rsidR="00A60C8A" w:rsidRPr="009B44B4">
        <w:rPr>
          <w:szCs w:val="24"/>
        </w:rPr>
        <w:instrText>":"</w:instrText>
      </w:r>
      <w:r w:rsidR="00A60C8A">
        <w:rPr>
          <w:szCs w:val="24"/>
          <w:lang w:val="en-US"/>
        </w:rPr>
        <w:instrText>ITEM</w:instrText>
      </w:r>
      <w:r w:rsidR="00A60C8A" w:rsidRPr="009B44B4">
        <w:rPr>
          <w:szCs w:val="24"/>
        </w:rPr>
        <w:instrText>-1","</w:instrText>
      </w:r>
      <w:r w:rsidR="00A60C8A">
        <w:rPr>
          <w:szCs w:val="24"/>
          <w:lang w:val="en-US"/>
        </w:rPr>
        <w:instrText>itemData</w:instrText>
      </w:r>
      <w:r w:rsidR="00A60C8A" w:rsidRPr="009B44B4">
        <w:rPr>
          <w:szCs w:val="24"/>
        </w:rPr>
        <w:instrText>":{"</w:instrText>
      </w:r>
      <w:r w:rsidR="00A60C8A">
        <w:rPr>
          <w:szCs w:val="24"/>
          <w:lang w:val="en-US"/>
        </w:rPr>
        <w:instrText>DOI</w:instrText>
      </w:r>
      <w:r w:rsidR="00A60C8A" w:rsidRPr="009B44B4">
        <w:rPr>
          <w:szCs w:val="24"/>
        </w:rPr>
        <w:instrText>":"10.1530/</w:instrText>
      </w:r>
      <w:r w:rsidR="00A60C8A">
        <w:rPr>
          <w:szCs w:val="24"/>
          <w:lang w:val="en-US"/>
        </w:rPr>
        <w:instrText>ERP</w:instrText>
      </w:r>
      <w:r w:rsidR="00A60C8A" w:rsidRPr="009B44B4">
        <w:rPr>
          <w:szCs w:val="24"/>
        </w:rPr>
        <w:instrText>-17-0013","</w:instrText>
      </w:r>
      <w:r w:rsidR="00A60C8A">
        <w:rPr>
          <w:szCs w:val="24"/>
          <w:lang w:val="en-US"/>
        </w:rPr>
        <w:instrText>ISSN</w:instrText>
      </w:r>
      <w:r w:rsidR="00A60C8A" w:rsidRPr="009B44B4">
        <w:rPr>
          <w:szCs w:val="24"/>
        </w:rPr>
        <w:instrText>":"20550464","</w:instrText>
      </w:r>
      <w:r w:rsidR="00A60C8A">
        <w:rPr>
          <w:szCs w:val="24"/>
          <w:lang w:val="en-US"/>
        </w:rPr>
        <w:instrText>abstract</w:instrText>
      </w:r>
      <w:r w:rsidR="00A60C8A" w:rsidRPr="009B44B4">
        <w:rPr>
          <w:szCs w:val="24"/>
        </w:rPr>
        <w:instrText>":"</w:instrText>
      </w:r>
      <w:r w:rsidR="00A60C8A">
        <w:rPr>
          <w:szCs w:val="24"/>
          <w:lang w:val="en-US"/>
        </w:rPr>
        <w:instrText>Cardio</w:instrText>
      </w:r>
      <w:r w:rsidR="00A60C8A" w:rsidRPr="009B44B4">
        <w:rPr>
          <w:szCs w:val="24"/>
        </w:rPr>
        <w:instrText>-</w:instrText>
      </w:r>
      <w:r w:rsidR="00A60C8A">
        <w:rPr>
          <w:szCs w:val="24"/>
          <w:lang w:val="en-US"/>
        </w:rPr>
        <w:instrText>oncology</w:instrText>
      </w:r>
      <w:r w:rsidR="00A60C8A" w:rsidRPr="009B44B4">
        <w:rPr>
          <w:szCs w:val="24"/>
        </w:rPr>
        <w:instrText xml:space="preserve"> </w:instrText>
      </w:r>
      <w:r w:rsidR="00A60C8A">
        <w:rPr>
          <w:szCs w:val="24"/>
          <w:lang w:val="en-US"/>
        </w:rPr>
        <w:instrText>is</w:instrText>
      </w:r>
      <w:r w:rsidR="00A60C8A" w:rsidRPr="009B44B4">
        <w:rPr>
          <w:szCs w:val="24"/>
        </w:rPr>
        <w:instrText xml:space="preserve"> </w:instrText>
      </w:r>
      <w:r w:rsidR="00A60C8A">
        <w:rPr>
          <w:szCs w:val="24"/>
          <w:lang w:val="en-US"/>
        </w:rPr>
        <w:instrText>a</w:instrText>
      </w:r>
      <w:r w:rsidR="00A60C8A" w:rsidRPr="009B44B4">
        <w:rPr>
          <w:szCs w:val="24"/>
        </w:rPr>
        <w:instrText xml:space="preserve"> </w:instrText>
      </w:r>
      <w:r w:rsidR="00A60C8A">
        <w:rPr>
          <w:szCs w:val="24"/>
          <w:lang w:val="en-US"/>
        </w:rPr>
        <w:instrText>rapidly</w:instrText>
      </w:r>
      <w:r w:rsidR="00A60C8A" w:rsidRPr="009B44B4">
        <w:rPr>
          <w:szCs w:val="24"/>
        </w:rPr>
        <w:instrText xml:space="preserve"> </w:instrText>
      </w:r>
      <w:r w:rsidR="00A60C8A">
        <w:rPr>
          <w:szCs w:val="24"/>
          <w:lang w:val="en-US"/>
        </w:rPr>
        <w:instrText>growing</w:instrText>
      </w:r>
      <w:r w:rsidR="00A60C8A" w:rsidRPr="009B44B4">
        <w:rPr>
          <w:szCs w:val="24"/>
        </w:rPr>
        <w:instrText xml:space="preserve"> </w:instrText>
      </w:r>
      <w:r w:rsidR="00A60C8A">
        <w:rPr>
          <w:szCs w:val="24"/>
          <w:lang w:val="en-US"/>
        </w:rPr>
        <w:instrText>feld</w:instrText>
      </w:r>
      <w:r w:rsidR="00A60C8A" w:rsidRPr="009B44B4">
        <w:rPr>
          <w:szCs w:val="24"/>
        </w:rPr>
        <w:instrText xml:space="preserve"> </w:instrText>
      </w:r>
      <w:r w:rsidR="00A60C8A">
        <w:rPr>
          <w:szCs w:val="24"/>
          <w:lang w:val="en-US"/>
        </w:rPr>
        <w:instrText>aimed</w:instrText>
      </w:r>
      <w:r w:rsidR="00A60C8A" w:rsidRPr="009B44B4">
        <w:rPr>
          <w:szCs w:val="24"/>
        </w:rPr>
        <w:instrText xml:space="preserve"> </w:instrText>
      </w:r>
      <w:r w:rsidR="00A60C8A">
        <w:rPr>
          <w:szCs w:val="24"/>
          <w:lang w:val="en-US"/>
        </w:rPr>
        <w:instrText>at</w:instrText>
      </w:r>
      <w:r w:rsidR="00A60C8A" w:rsidRPr="009B44B4">
        <w:rPr>
          <w:szCs w:val="24"/>
        </w:rPr>
        <w:instrText xml:space="preserve"> </w:instrText>
      </w:r>
      <w:r w:rsidR="00A60C8A">
        <w:rPr>
          <w:szCs w:val="24"/>
          <w:lang w:val="en-US"/>
        </w:rPr>
        <w:instrText>minimizing</w:instrText>
      </w:r>
      <w:r w:rsidR="00A60C8A" w:rsidRPr="009B44B4">
        <w:rPr>
          <w:szCs w:val="24"/>
        </w:rPr>
        <w:instrText xml:space="preserve"> </w:instrText>
      </w:r>
      <w:r w:rsidR="00A60C8A">
        <w:rPr>
          <w:szCs w:val="24"/>
          <w:lang w:val="en-US"/>
        </w:rPr>
        <w:instrText>the</w:instrText>
      </w:r>
      <w:r w:rsidR="00A60C8A" w:rsidRPr="009B44B4">
        <w:rPr>
          <w:szCs w:val="24"/>
        </w:rPr>
        <w:instrText xml:space="preserve"> </w:instrText>
      </w:r>
      <w:r w:rsidR="00A60C8A">
        <w:rPr>
          <w:szCs w:val="24"/>
          <w:lang w:val="en-US"/>
        </w:rPr>
        <w:instrText>effects</w:instrText>
      </w:r>
      <w:r w:rsidR="00A60C8A" w:rsidRPr="009B44B4">
        <w:rPr>
          <w:szCs w:val="24"/>
        </w:rPr>
        <w:instrText xml:space="preserve"> </w:instrText>
      </w:r>
      <w:r w:rsidR="00A60C8A">
        <w:rPr>
          <w:szCs w:val="24"/>
          <w:lang w:val="en-US"/>
        </w:rPr>
        <w:instrText>of</w:instrText>
      </w:r>
      <w:r w:rsidR="00A60C8A" w:rsidRPr="009B44B4">
        <w:rPr>
          <w:szCs w:val="24"/>
        </w:rPr>
        <w:instrText xml:space="preserve"> </w:instrText>
      </w:r>
      <w:r w:rsidR="00A60C8A">
        <w:rPr>
          <w:szCs w:val="24"/>
          <w:lang w:val="en-US"/>
        </w:rPr>
        <w:instrText>cardiovascular</w:instrText>
      </w:r>
      <w:r w:rsidR="00A60C8A" w:rsidRPr="009B44B4">
        <w:rPr>
          <w:szCs w:val="24"/>
        </w:rPr>
        <w:instrText xml:space="preserve"> </w:instrText>
      </w:r>
      <w:r w:rsidR="00A60C8A">
        <w:rPr>
          <w:szCs w:val="24"/>
          <w:lang w:val="en-US"/>
        </w:rPr>
        <w:instrText>morbidity</w:instrText>
      </w:r>
      <w:r w:rsidR="00A60C8A" w:rsidRPr="009B44B4">
        <w:rPr>
          <w:szCs w:val="24"/>
        </w:rPr>
        <w:instrText xml:space="preserve"> </w:instrText>
      </w:r>
      <w:r w:rsidR="00A60C8A">
        <w:rPr>
          <w:szCs w:val="24"/>
          <w:lang w:val="en-US"/>
        </w:rPr>
        <w:instrText>and</w:instrText>
      </w:r>
      <w:r w:rsidR="00A60C8A" w:rsidRPr="009B44B4">
        <w:rPr>
          <w:szCs w:val="24"/>
        </w:rPr>
        <w:instrText xml:space="preserve"> </w:instrText>
      </w:r>
      <w:r w:rsidR="00A60C8A">
        <w:rPr>
          <w:szCs w:val="24"/>
          <w:lang w:val="en-US"/>
        </w:rPr>
        <w:instrText>mortality</w:instrText>
      </w:r>
      <w:r w:rsidR="00A60C8A" w:rsidRPr="009B44B4">
        <w:rPr>
          <w:szCs w:val="24"/>
        </w:rPr>
        <w:instrText xml:space="preserve"> </w:instrText>
      </w:r>
      <w:r w:rsidR="00A60C8A">
        <w:rPr>
          <w:szCs w:val="24"/>
          <w:lang w:val="en-US"/>
        </w:rPr>
        <w:instrText>in</w:instrText>
      </w:r>
      <w:r w:rsidR="00A60C8A" w:rsidRPr="009B44B4">
        <w:rPr>
          <w:szCs w:val="24"/>
        </w:rPr>
        <w:instrText xml:space="preserve"> </w:instrText>
      </w:r>
      <w:r w:rsidR="00A60C8A">
        <w:rPr>
          <w:szCs w:val="24"/>
          <w:lang w:val="en-US"/>
        </w:rPr>
        <w:instrText>cancer</w:instrText>
      </w:r>
      <w:r w:rsidR="00A60C8A" w:rsidRPr="009B44B4">
        <w:rPr>
          <w:szCs w:val="24"/>
        </w:rPr>
        <w:instrText xml:space="preserve"> </w:instrText>
      </w:r>
      <w:r w:rsidR="00A60C8A">
        <w:rPr>
          <w:szCs w:val="24"/>
          <w:lang w:val="en-US"/>
        </w:rPr>
        <w:instrText>survivors</w:instrText>
      </w:r>
      <w:r w:rsidR="00A60C8A" w:rsidRPr="009B44B4">
        <w:rPr>
          <w:szCs w:val="24"/>
        </w:rPr>
        <w:instrText xml:space="preserve">. </w:instrText>
      </w:r>
      <w:r w:rsidR="00A60C8A">
        <w:rPr>
          <w:szCs w:val="24"/>
          <w:lang w:val="en-US"/>
        </w:rPr>
        <w:instrText>To</w:instrText>
      </w:r>
      <w:r w:rsidR="00A60C8A" w:rsidRPr="009B44B4">
        <w:rPr>
          <w:szCs w:val="24"/>
        </w:rPr>
        <w:instrText xml:space="preserve"> </w:instrText>
      </w:r>
      <w:r w:rsidR="00A60C8A">
        <w:rPr>
          <w:szCs w:val="24"/>
          <w:lang w:val="en-US"/>
        </w:rPr>
        <w:instrText>meet</w:instrText>
      </w:r>
      <w:r w:rsidR="00A60C8A" w:rsidRPr="009B44B4">
        <w:rPr>
          <w:szCs w:val="24"/>
        </w:rPr>
        <w:instrText xml:space="preserve"> </w:instrText>
      </w:r>
      <w:r w:rsidR="00A60C8A">
        <w:rPr>
          <w:szCs w:val="24"/>
          <w:lang w:val="en-US"/>
        </w:rPr>
        <w:instrText>this</w:instrText>
      </w:r>
      <w:r w:rsidR="00A60C8A" w:rsidRPr="009B44B4">
        <w:rPr>
          <w:szCs w:val="24"/>
        </w:rPr>
        <w:instrText xml:space="preserve"> </w:instrText>
      </w:r>
      <w:r w:rsidR="00A60C8A">
        <w:rPr>
          <w:szCs w:val="24"/>
          <w:lang w:val="en-US"/>
        </w:rPr>
        <w:instrText>aim</w:instrText>
      </w:r>
      <w:r w:rsidR="00A60C8A" w:rsidRPr="009B44B4">
        <w:rPr>
          <w:szCs w:val="24"/>
        </w:rPr>
        <w:instrText xml:space="preserve">, </w:instrText>
      </w:r>
      <w:r w:rsidR="00A60C8A">
        <w:rPr>
          <w:szCs w:val="24"/>
          <w:lang w:val="en-US"/>
        </w:rPr>
        <w:instrText>patients</w:instrText>
      </w:r>
      <w:r w:rsidR="00A60C8A" w:rsidRPr="009B44B4">
        <w:rPr>
          <w:szCs w:val="24"/>
        </w:rPr>
        <w:instrText xml:space="preserve"> </w:instrText>
      </w:r>
      <w:r w:rsidR="00A60C8A">
        <w:rPr>
          <w:szCs w:val="24"/>
          <w:lang w:val="en-US"/>
        </w:rPr>
        <w:instrText>are</w:instrText>
      </w:r>
      <w:r w:rsidR="00A60C8A" w:rsidRPr="009B44B4">
        <w:rPr>
          <w:szCs w:val="24"/>
        </w:rPr>
        <w:instrText xml:space="preserve"> </w:instrText>
      </w:r>
      <w:r w:rsidR="00A60C8A">
        <w:rPr>
          <w:szCs w:val="24"/>
          <w:lang w:val="en-US"/>
        </w:rPr>
        <w:instrText>assessed</w:instrText>
      </w:r>
      <w:r w:rsidR="00A60C8A" w:rsidRPr="009B44B4">
        <w:rPr>
          <w:szCs w:val="24"/>
        </w:rPr>
        <w:instrText xml:space="preserve"> </w:instrText>
      </w:r>
      <w:r w:rsidR="00A60C8A">
        <w:rPr>
          <w:szCs w:val="24"/>
          <w:lang w:val="en-US"/>
        </w:rPr>
        <w:instrText>at</w:instrText>
      </w:r>
      <w:r w:rsidR="00A60C8A" w:rsidRPr="009B44B4">
        <w:rPr>
          <w:szCs w:val="24"/>
        </w:rPr>
        <w:instrText xml:space="preserve"> </w:instrText>
      </w:r>
      <w:r w:rsidR="00A60C8A">
        <w:rPr>
          <w:szCs w:val="24"/>
          <w:lang w:val="en-US"/>
        </w:rPr>
        <w:instrText>baseline</w:instrText>
      </w:r>
      <w:r w:rsidR="00A60C8A" w:rsidRPr="009B44B4">
        <w:rPr>
          <w:szCs w:val="24"/>
        </w:rPr>
        <w:instrText xml:space="preserve"> </w:instrText>
      </w:r>
      <w:r w:rsidR="00A60C8A">
        <w:rPr>
          <w:szCs w:val="24"/>
          <w:lang w:val="en-US"/>
        </w:rPr>
        <w:instrText>to</w:instrText>
      </w:r>
      <w:r w:rsidR="00A60C8A" w:rsidRPr="009B44B4">
        <w:rPr>
          <w:szCs w:val="24"/>
        </w:rPr>
        <w:instrText xml:space="preserve"> </w:instrText>
      </w:r>
      <w:r w:rsidR="00A60C8A">
        <w:rPr>
          <w:szCs w:val="24"/>
          <w:lang w:val="en-US"/>
        </w:rPr>
        <w:instrText>define</w:instrText>
      </w:r>
      <w:r w:rsidR="00A60C8A" w:rsidRPr="009B44B4">
        <w:rPr>
          <w:szCs w:val="24"/>
        </w:rPr>
        <w:instrText xml:space="preserve"> </w:instrText>
      </w:r>
      <w:r w:rsidR="00A60C8A">
        <w:rPr>
          <w:szCs w:val="24"/>
          <w:lang w:val="en-US"/>
        </w:rPr>
        <w:instrText>their</w:instrText>
      </w:r>
      <w:r w:rsidR="00A60C8A" w:rsidRPr="009B44B4">
        <w:rPr>
          <w:szCs w:val="24"/>
        </w:rPr>
        <w:instrText xml:space="preserve"> </w:instrText>
      </w:r>
      <w:r w:rsidR="00A60C8A">
        <w:rPr>
          <w:szCs w:val="24"/>
          <w:lang w:val="en-US"/>
        </w:rPr>
        <w:instrText>risk</w:instrText>
      </w:r>
      <w:r w:rsidR="00A60C8A" w:rsidRPr="009B44B4">
        <w:rPr>
          <w:szCs w:val="24"/>
        </w:rPr>
        <w:instrText xml:space="preserve"> </w:instrText>
      </w:r>
      <w:r w:rsidR="00A60C8A">
        <w:rPr>
          <w:szCs w:val="24"/>
          <w:lang w:val="en-US"/>
        </w:rPr>
        <w:instrText>of</w:instrText>
      </w:r>
      <w:r w:rsidR="00A60C8A" w:rsidRPr="009B44B4">
        <w:rPr>
          <w:szCs w:val="24"/>
        </w:rPr>
        <w:instrText xml:space="preserve"> </w:instrText>
      </w:r>
      <w:r w:rsidR="00A60C8A">
        <w:rPr>
          <w:szCs w:val="24"/>
          <w:lang w:val="en-US"/>
        </w:rPr>
        <w:instrText>cardiotoxicity</w:instrText>
      </w:r>
      <w:r w:rsidR="00A60C8A" w:rsidRPr="009B44B4">
        <w:rPr>
          <w:szCs w:val="24"/>
        </w:rPr>
        <w:instrText xml:space="preserve"> </w:instrText>
      </w:r>
      <w:r w:rsidR="00A60C8A">
        <w:rPr>
          <w:szCs w:val="24"/>
          <w:lang w:val="en-US"/>
        </w:rPr>
        <w:instrText>and</w:instrText>
      </w:r>
      <w:r w:rsidR="00A60C8A" w:rsidRPr="009B44B4">
        <w:rPr>
          <w:szCs w:val="24"/>
        </w:rPr>
        <w:instrText xml:space="preserve"> </w:instrText>
      </w:r>
      <w:r w:rsidR="00A60C8A">
        <w:rPr>
          <w:szCs w:val="24"/>
          <w:lang w:val="en-US"/>
        </w:rPr>
        <w:instrText>then</w:instrText>
      </w:r>
      <w:r w:rsidR="00A60C8A" w:rsidRPr="009B44B4">
        <w:rPr>
          <w:szCs w:val="24"/>
        </w:rPr>
        <w:instrText xml:space="preserve"> </w:instrText>
      </w:r>
      <w:r w:rsidR="00A60C8A">
        <w:rPr>
          <w:szCs w:val="24"/>
          <w:lang w:val="en-US"/>
        </w:rPr>
        <w:instrText>followed</w:instrText>
      </w:r>
      <w:r w:rsidR="00A60C8A" w:rsidRPr="009B44B4">
        <w:rPr>
          <w:szCs w:val="24"/>
        </w:rPr>
        <w:instrText xml:space="preserve"> </w:instrText>
      </w:r>
      <w:r w:rsidR="00A60C8A">
        <w:rPr>
          <w:szCs w:val="24"/>
          <w:lang w:val="en-US"/>
        </w:rPr>
        <w:instrText>closely</w:instrText>
      </w:r>
      <w:r w:rsidR="00A60C8A" w:rsidRPr="009B44B4">
        <w:rPr>
          <w:szCs w:val="24"/>
        </w:rPr>
        <w:instrText xml:space="preserve"> </w:instrText>
      </w:r>
      <w:r w:rsidR="00A60C8A">
        <w:rPr>
          <w:szCs w:val="24"/>
          <w:lang w:val="en-US"/>
        </w:rPr>
        <w:instrText>during</w:instrText>
      </w:r>
      <w:r w:rsidR="00A60C8A" w:rsidRPr="009B44B4">
        <w:rPr>
          <w:szCs w:val="24"/>
        </w:rPr>
        <w:instrText xml:space="preserve"> </w:instrText>
      </w:r>
      <w:r w:rsidR="00A60C8A">
        <w:rPr>
          <w:szCs w:val="24"/>
          <w:lang w:val="en-US"/>
        </w:rPr>
        <w:instrText>and</w:instrText>
      </w:r>
      <w:r w:rsidR="00A60C8A" w:rsidRPr="009B44B4">
        <w:rPr>
          <w:szCs w:val="24"/>
        </w:rPr>
        <w:instrText xml:space="preserve"> </w:instrText>
      </w:r>
      <w:r w:rsidR="00A60C8A">
        <w:rPr>
          <w:szCs w:val="24"/>
          <w:lang w:val="en-US"/>
        </w:rPr>
        <w:instrText>after</w:instrText>
      </w:r>
      <w:r w:rsidR="00A60C8A" w:rsidRPr="009B44B4">
        <w:rPr>
          <w:szCs w:val="24"/>
        </w:rPr>
        <w:instrText xml:space="preserve"> </w:instrText>
      </w:r>
      <w:r w:rsidR="00A60C8A">
        <w:rPr>
          <w:szCs w:val="24"/>
          <w:lang w:val="en-US"/>
        </w:rPr>
        <w:instrText>chemotherapy</w:instrText>
      </w:r>
      <w:r w:rsidR="00A60C8A" w:rsidRPr="009B44B4">
        <w:rPr>
          <w:szCs w:val="24"/>
        </w:rPr>
        <w:instrText xml:space="preserve"> </w:instrText>
      </w:r>
      <w:r w:rsidR="00A60C8A">
        <w:rPr>
          <w:szCs w:val="24"/>
          <w:lang w:val="en-US"/>
        </w:rPr>
        <w:instrText>to</w:instrText>
      </w:r>
      <w:r w:rsidR="00A60C8A" w:rsidRPr="009B44B4">
        <w:rPr>
          <w:szCs w:val="24"/>
        </w:rPr>
        <w:instrText xml:space="preserve"> </w:instrText>
      </w:r>
      <w:r w:rsidR="00A60C8A">
        <w:rPr>
          <w:szCs w:val="24"/>
          <w:lang w:val="en-US"/>
        </w:rPr>
        <w:instrText>assess</w:instrText>
      </w:r>
      <w:r w:rsidR="00A60C8A" w:rsidRPr="009B44B4">
        <w:rPr>
          <w:szCs w:val="24"/>
        </w:rPr>
        <w:instrText xml:space="preserve"> </w:instrText>
      </w:r>
      <w:r w:rsidR="00A60C8A">
        <w:rPr>
          <w:szCs w:val="24"/>
          <w:lang w:val="en-US"/>
        </w:rPr>
        <w:instrText>for</w:instrText>
      </w:r>
      <w:r w:rsidR="00A60C8A" w:rsidRPr="009B44B4">
        <w:rPr>
          <w:szCs w:val="24"/>
        </w:rPr>
        <w:instrText xml:space="preserve"> </w:instrText>
      </w:r>
      <w:r w:rsidR="00A60C8A">
        <w:rPr>
          <w:szCs w:val="24"/>
          <w:lang w:val="en-US"/>
        </w:rPr>
        <w:instrText>early</w:instrText>
      </w:r>
      <w:r w:rsidR="00A60C8A" w:rsidRPr="009B44B4">
        <w:rPr>
          <w:szCs w:val="24"/>
        </w:rPr>
        <w:instrText xml:space="preserve"> </w:instrText>
      </w:r>
      <w:r w:rsidR="00A60C8A">
        <w:rPr>
          <w:szCs w:val="24"/>
          <w:lang w:val="en-US"/>
        </w:rPr>
        <w:instrText>signs</w:instrText>
      </w:r>
      <w:r w:rsidR="00A60C8A" w:rsidRPr="009B44B4">
        <w:rPr>
          <w:szCs w:val="24"/>
        </w:rPr>
        <w:instrText xml:space="preserve"> </w:instrText>
      </w:r>
      <w:r w:rsidR="00A60C8A">
        <w:rPr>
          <w:szCs w:val="24"/>
          <w:lang w:val="en-US"/>
        </w:rPr>
        <w:instrText>or</w:instrText>
      </w:r>
      <w:r w:rsidR="00A60C8A" w:rsidRPr="009B44B4">
        <w:rPr>
          <w:szCs w:val="24"/>
        </w:rPr>
        <w:instrText xml:space="preserve"> </w:instrText>
      </w:r>
      <w:r w:rsidR="00A60C8A">
        <w:rPr>
          <w:szCs w:val="24"/>
          <w:lang w:val="en-US"/>
        </w:rPr>
        <w:instrText>symptoms</w:instrText>
      </w:r>
      <w:r w:rsidR="00A60C8A" w:rsidRPr="009B44B4">
        <w:rPr>
          <w:szCs w:val="24"/>
        </w:rPr>
        <w:instrText xml:space="preserve"> </w:instrText>
      </w:r>
      <w:r w:rsidR="00A60C8A">
        <w:rPr>
          <w:szCs w:val="24"/>
          <w:lang w:val="en-US"/>
        </w:rPr>
        <w:instrText>of</w:instrText>
      </w:r>
      <w:r w:rsidR="00A60C8A" w:rsidRPr="009B44B4">
        <w:rPr>
          <w:szCs w:val="24"/>
        </w:rPr>
        <w:instrText xml:space="preserve"> </w:instrText>
      </w:r>
      <w:r w:rsidR="00A60C8A">
        <w:rPr>
          <w:szCs w:val="24"/>
          <w:lang w:val="en-US"/>
        </w:rPr>
        <w:instrText>cardiovascular</w:instrText>
      </w:r>
      <w:r w:rsidR="00A60C8A" w:rsidRPr="009B44B4">
        <w:rPr>
          <w:szCs w:val="24"/>
        </w:rPr>
        <w:instrText xml:space="preserve"> </w:instrText>
      </w:r>
      <w:r w:rsidR="00A60C8A">
        <w:rPr>
          <w:szCs w:val="24"/>
          <w:lang w:val="en-US"/>
        </w:rPr>
        <w:instrText>disease</w:instrText>
      </w:r>
      <w:r w:rsidR="00A60C8A" w:rsidRPr="009B44B4">
        <w:rPr>
          <w:szCs w:val="24"/>
        </w:rPr>
        <w:instrText xml:space="preserve">. </w:instrText>
      </w:r>
      <w:r w:rsidR="00A60C8A">
        <w:rPr>
          <w:szCs w:val="24"/>
          <w:lang w:val="en-US"/>
        </w:rPr>
        <w:instrText>Cardiac</w:instrText>
      </w:r>
      <w:r w:rsidR="00A60C8A" w:rsidRPr="009B44B4">
        <w:rPr>
          <w:szCs w:val="24"/>
        </w:rPr>
        <w:instrText xml:space="preserve"> </w:instrText>
      </w:r>
      <w:r w:rsidR="00A60C8A">
        <w:rPr>
          <w:szCs w:val="24"/>
          <w:lang w:val="en-US"/>
        </w:rPr>
        <w:instrText>imaging</w:instrText>
      </w:r>
      <w:r w:rsidR="00A60C8A" w:rsidRPr="009B44B4">
        <w:rPr>
          <w:szCs w:val="24"/>
        </w:rPr>
        <w:instrText xml:space="preserve">, </w:instrText>
      </w:r>
      <w:r w:rsidR="00A60C8A">
        <w:rPr>
          <w:szCs w:val="24"/>
          <w:lang w:val="en-US"/>
        </w:rPr>
        <w:instrText>and</w:instrText>
      </w:r>
      <w:r w:rsidR="00A60C8A" w:rsidRPr="009B44B4">
        <w:rPr>
          <w:szCs w:val="24"/>
        </w:rPr>
        <w:instrText xml:space="preserve"> </w:instrText>
      </w:r>
      <w:r w:rsidR="00A60C8A">
        <w:rPr>
          <w:szCs w:val="24"/>
          <w:lang w:val="en-US"/>
        </w:rPr>
        <w:instrText>in</w:instrText>
      </w:r>
      <w:r w:rsidR="00A60C8A" w:rsidRPr="009B44B4">
        <w:rPr>
          <w:szCs w:val="24"/>
        </w:rPr>
        <w:instrText xml:space="preserve"> </w:instrText>
      </w:r>
      <w:r w:rsidR="00A60C8A">
        <w:rPr>
          <w:szCs w:val="24"/>
          <w:lang w:val="en-US"/>
        </w:rPr>
        <w:instrText>particular</w:instrText>
      </w:r>
      <w:r w:rsidR="00A60C8A" w:rsidRPr="009B44B4">
        <w:rPr>
          <w:szCs w:val="24"/>
        </w:rPr>
        <w:instrText xml:space="preserve">, </w:instrText>
      </w:r>
      <w:r w:rsidR="00A60C8A">
        <w:rPr>
          <w:szCs w:val="24"/>
          <w:lang w:val="en-US"/>
        </w:rPr>
        <w:instrText>transthoracic</w:instrText>
      </w:r>
      <w:r w:rsidR="00A60C8A" w:rsidRPr="009B44B4">
        <w:rPr>
          <w:szCs w:val="24"/>
        </w:rPr>
        <w:instrText xml:space="preserve"> </w:instrText>
      </w:r>
      <w:r w:rsidR="00A60C8A">
        <w:rPr>
          <w:szCs w:val="24"/>
          <w:lang w:val="en-US"/>
        </w:rPr>
        <w:instrText>echocardiography</w:instrText>
      </w:r>
      <w:r w:rsidR="00A60C8A" w:rsidRPr="009B44B4">
        <w:rPr>
          <w:szCs w:val="24"/>
        </w:rPr>
        <w:instrText xml:space="preserve">, </w:instrText>
      </w:r>
      <w:r w:rsidR="00A60C8A">
        <w:rPr>
          <w:szCs w:val="24"/>
          <w:lang w:val="en-US"/>
        </w:rPr>
        <w:instrText>plays</w:instrText>
      </w:r>
      <w:r w:rsidR="00A60C8A" w:rsidRPr="009B44B4">
        <w:rPr>
          <w:szCs w:val="24"/>
        </w:rPr>
        <w:instrText xml:space="preserve"> </w:instrText>
      </w:r>
      <w:r w:rsidR="00A60C8A">
        <w:rPr>
          <w:szCs w:val="24"/>
          <w:lang w:val="en-US"/>
        </w:rPr>
        <w:instrText>an</w:instrText>
      </w:r>
      <w:r w:rsidR="00A60C8A" w:rsidRPr="009B44B4">
        <w:rPr>
          <w:szCs w:val="24"/>
        </w:rPr>
        <w:instrText xml:space="preserve"> </w:instrText>
      </w:r>
      <w:r w:rsidR="00A60C8A">
        <w:rPr>
          <w:szCs w:val="24"/>
          <w:lang w:val="en-US"/>
        </w:rPr>
        <w:instrText>essential</w:instrText>
      </w:r>
      <w:r w:rsidR="00A60C8A" w:rsidRPr="009B44B4">
        <w:rPr>
          <w:szCs w:val="24"/>
        </w:rPr>
        <w:instrText xml:space="preserve"> </w:instrText>
      </w:r>
      <w:r w:rsidR="00A60C8A">
        <w:rPr>
          <w:szCs w:val="24"/>
          <w:lang w:val="en-US"/>
        </w:rPr>
        <w:instrText>role</w:instrText>
      </w:r>
      <w:r w:rsidR="00A60C8A" w:rsidRPr="009B44B4">
        <w:rPr>
          <w:szCs w:val="24"/>
        </w:rPr>
        <w:instrText xml:space="preserve"> </w:instrText>
      </w:r>
      <w:r w:rsidR="00A60C8A">
        <w:rPr>
          <w:szCs w:val="24"/>
          <w:lang w:val="en-US"/>
        </w:rPr>
        <w:instrText>in</w:instrText>
      </w:r>
      <w:r w:rsidR="00A60C8A" w:rsidRPr="009B44B4">
        <w:rPr>
          <w:szCs w:val="24"/>
        </w:rPr>
        <w:instrText xml:space="preserve"> </w:instrText>
      </w:r>
      <w:r w:rsidR="00A60C8A">
        <w:rPr>
          <w:szCs w:val="24"/>
          <w:lang w:val="en-US"/>
        </w:rPr>
        <w:instrText>the</w:instrText>
      </w:r>
      <w:r w:rsidR="00A60C8A" w:rsidRPr="009B44B4">
        <w:rPr>
          <w:szCs w:val="24"/>
        </w:rPr>
        <w:instrText xml:space="preserve"> </w:instrText>
      </w:r>
      <w:r w:rsidR="00A60C8A">
        <w:rPr>
          <w:szCs w:val="24"/>
          <w:lang w:val="en-US"/>
        </w:rPr>
        <w:instrText>baseline</w:instrText>
      </w:r>
      <w:r w:rsidR="00A60C8A" w:rsidRPr="009B44B4">
        <w:rPr>
          <w:szCs w:val="24"/>
        </w:rPr>
        <w:instrText xml:space="preserve"> </w:instrText>
      </w:r>
      <w:r w:rsidR="00A60C8A">
        <w:rPr>
          <w:szCs w:val="24"/>
          <w:lang w:val="en-US"/>
        </w:rPr>
        <w:instrText>assessment</w:instrText>
      </w:r>
      <w:r w:rsidR="00A60C8A" w:rsidRPr="009B44B4">
        <w:rPr>
          <w:szCs w:val="24"/>
        </w:rPr>
        <w:instrText xml:space="preserve"> </w:instrText>
      </w:r>
      <w:r w:rsidR="00A60C8A">
        <w:rPr>
          <w:szCs w:val="24"/>
          <w:lang w:val="en-US"/>
        </w:rPr>
        <w:instrText>and</w:instrText>
      </w:r>
      <w:r w:rsidR="00A60C8A" w:rsidRPr="009B44B4">
        <w:rPr>
          <w:szCs w:val="24"/>
        </w:rPr>
        <w:instrText xml:space="preserve"> </w:instrText>
      </w:r>
      <w:r w:rsidR="00A60C8A">
        <w:rPr>
          <w:szCs w:val="24"/>
          <w:lang w:val="en-US"/>
        </w:rPr>
        <w:instrText>serial</w:instrText>
      </w:r>
      <w:r w:rsidR="00A60C8A" w:rsidRPr="009B44B4">
        <w:rPr>
          <w:szCs w:val="24"/>
        </w:rPr>
        <w:instrText xml:space="preserve"> </w:instrText>
      </w:r>
      <w:r w:rsidR="00A60C8A">
        <w:rPr>
          <w:szCs w:val="24"/>
          <w:lang w:val="en-US"/>
        </w:rPr>
        <w:instrText>follow</w:instrText>
      </w:r>
      <w:r w:rsidR="00A60C8A" w:rsidRPr="009B44B4">
        <w:rPr>
          <w:szCs w:val="24"/>
        </w:rPr>
        <w:instrText>-</w:instrText>
      </w:r>
      <w:r w:rsidR="00A60C8A">
        <w:rPr>
          <w:szCs w:val="24"/>
          <w:lang w:val="en-US"/>
        </w:rPr>
        <w:instrText>up</w:instrText>
      </w:r>
      <w:r w:rsidR="00A60C8A" w:rsidRPr="009B44B4">
        <w:rPr>
          <w:szCs w:val="24"/>
        </w:rPr>
        <w:instrText xml:space="preserve"> </w:instrText>
      </w:r>
      <w:r w:rsidR="00A60C8A">
        <w:rPr>
          <w:szCs w:val="24"/>
          <w:lang w:val="en-US"/>
        </w:rPr>
        <w:instrText>of</w:instrText>
      </w:r>
      <w:r w:rsidR="00A60C8A" w:rsidRPr="009B44B4">
        <w:rPr>
          <w:szCs w:val="24"/>
        </w:rPr>
        <w:instrText xml:space="preserve"> </w:instrText>
      </w:r>
      <w:r w:rsidR="00A60C8A">
        <w:rPr>
          <w:szCs w:val="24"/>
          <w:lang w:val="en-US"/>
        </w:rPr>
        <w:instrText>cardio</w:instrText>
      </w:r>
      <w:r w:rsidR="00A60C8A" w:rsidRPr="009B44B4">
        <w:rPr>
          <w:szCs w:val="24"/>
        </w:rPr>
        <w:instrText>-</w:instrText>
      </w:r>
      <w:r w:rsidR="00A60C8A">
        <w:rPr>
          <w:szCs w:val="24"/>
          <w:lang w:val="en-US"/>
        </w:rPr>
        <w:instrText>oncology</w:instrText>
      </w:r>
      <w:r w:rsidR="00A60C8A" w:rsidRPr="009B44B4">
        <w:rPr>
          <w:szCs w:val="24"/>
        </w:rPr>
        <w:instrText xml:space="preserve"> </w:instrText>
      </w:r>
      <w:r w:rsidR="00A60C8A">
        <w:rPr>
          <w:szCs w:val="24"/>
          <w:lang w:val="en-US"/>
        </w:rPr>
        <w:instrText>patients</w:instrText>
      </w:r>
      <w:r w:rsidR="00A60C8A" w:rsidRPr="009B44B4">
        <w:rPr>
          <w:szCs w:val="24"/>
        </w:rPr>
        <w:instrText xml:space="preserve">. </w:instrText>
      </w:r>
      <w:r w:rsidR="00A60C8A">
        <w:rPr>
          <w:szCs w:val="24"/>
          <w:lang w:val="en-US"/>
        </w:rPr>
        <w:instrText>The</w:instrText>
      </w:r>
      <w:r w:rsidR="00A60C8A" w:rsidRPr="009B44B4">
        <w:rPr>
          <w:szCs w:val="24"/>
        </w:rPr>
        <w:instrText xml:space="preserve"> </w:instrText>
      </w:r>
      <w:r w:rsidR="00A60C8A">
        <w:rPr>
          <w:szCs w:val="24"/>
          <w:lang w:val="en-US"/>
        </w:rPr>
        <w:instrText>objectives</w:instrText>
      </w:r>
      <w:r w:rsidR="00A60C8A" w:rsidRPr="009B44B4">
        <w:rPr>
          <w:szCs w:val="24"/>
        </w:rPr>
        <w:instrText xml:space="preserve"> </w:instrText>
      </w:r>
      <w:r w:rsidR="00A60C8A">
        <w:rPr>
          <w:szCs w:val="24"/>
          <w:lang w:val="en-US"/>
        </w:rPr>
        <w:instrText>of</w:instrText>
      </w:r>
      <w:r w:rsidR="00A60C8A" w:rsidRPr="009B44B4">
        <w:rPr>
          <w:szCs w:val="24"/>
        </w:rPr>
        <w:instrText xml:space="preserve"> </w:instrText>
      </w:r>
      <w:r w:rsidR="00A60C8A">
        <w:rPr>
          <w:szCs w:val="24"/>
          <w:lang w:val="en-US"/>
        </w:rPr>
        <w:instrText>this</w:instrText>
      </w:r>
      <w:r w:rsidR="00A60C8A" w:rsidRPr="009B44B4">
        <w:rPr>
          <w:szCs w:val="24"/>
        </w:rPr>
        <w:instrText xml:space="preserve"> </w:instrText>
      </w:r>
      <w:r w:rsidR="00A60C8A">
        <w:rPr>
          <w:szCs w:val="24"/>
          <w:lang w:val="en-US"/>
        </w:rPr>
        <w:instrText>paper</w:instrText>
      </w:r>
      <w:r w:rsidR="00A60C8A" w:rsidRPr="009B44B4">
        <w:rPr>
          <w:szCs w:val="24"/>
        </w:rPr>
        <w:instrText xml:space="preserve"> </w:instrText>
      </w:r>
      <w:r w:rsidR="00A60C8A">
        <w:rPr>
          <w:szCs w:val="24"/>
          <w:lang w:val="en-US"/>
        </w:rPr>
        <w:instrText>are</w:instrText>
      </w:r>
      <w:r w:rsidR="00A60C8A" w:rsidRPr="009B44B4">
        <w:rPr>
          <w:szCs w:val="24"/>
        </w:rPr>
        <w:instrText xml:space="preserve"> </w:instrText>
      </w:r>
      <w:r w:rsidR="00A60C8A">
        <w:rPr>
          <w:szCs w:val="24"/>
          <w:lang w:val="en-US"/>
        </w:rPr>
        <w:instrText>to</w:instrText>
      </w:r>
      <w:r w:rsidR="00A60C8A" w:rsidRPr="009B44B4">
        <w:rPr>
          <w:szCs w:val="24"/>
        </w:rPr>
        <w:instrText xml:space="preserve"> </w:instrText>
      </w:r>
      <w:r w:rsidR="00A60C8A">
        <w:rPr>
          <w:szCs w:val="24"/>
          <w:lang w:val="en-US"/>
        </w:rPr>
        <w:instrText>review</w:instrText>
      </w:r>
      <w:r w:rsidR="00A60C8A" w:rsidRPr="009B44B4">
        <w:rPr>
          <w:szCs w:val="24"/>
        </w:rPr>
        <w:instrText xml:space="preserve"> </w:instrText>
      </w:r>
      <w:r w:rsidR="00A60C8A">
        <w:rPr>
          <w:szCs w:val="24"/>
          <w:lang w:val="en-US"/>
        </w:rPr>
        <w:instrText>the</w:instrText>
      </w:r>
      <w:r w:rsidR="00A60C8A" w:rsidRPr="009B44B4">
        <w:rPr>
          <w:szCs w:val="24"/>
        </w:rPr>
        <w:instrText xml:space="preserve"> </w:instrText>
      </w:r>
      <w:r w:rsidR="00A60C8A">
        <w:rPr>
          <w:szCs w:val="24"/>
          <w:lang w:val="en-US"/>
        </w:rPr>
        <w:instrText>mechanisms</w:instrText>
      </w:r>
      <w:r w:rsidR="00A60C8A" w:rsidRPr="009B44B4">
        <w:rPr>
          <w:szCs w:val="24"/>
        </w:rPr>
        <w:instrText xml:space="preserve"> </w:instrText>
      </w:r>
      <w:r w:rsidR="00A60C8A">
        <w:rPr>
          <w:szCs w:val="24"/>
          <w:lang w:val="en-US"/>
        </w:rPr>
        <w:instrText>of</w:instrText>
      </w:r>
      <w:r w:rsidR="00A60C8A" w:rsidRPr="009B44B4">
        <w:rPr>
          <w:szCs w:val="24"/>
        </w:rPr>
        <w:instrText xml:space="preserve"> </w:instrText>
      </w:r>
      <w:r w:rsidR="00A60C8A">
        <w:rPr>
          <w:szCs w:val="24"/>
          <w:lang w:val="en-US"/>
        </w:rPr>
        <w:instrText>cardiotoxicity</w:instrText>
      </w:r>
      <w:r w:rsidR="00A60C8A" w:rsidRPr="009B44B4">
        <w:rPr>
          <w:szCs w:val="24"/>
        </w:rPr>
        <w:instrText xml:space="preserve"> </w:instrText>
      </w:r>
      <w:r w:rsidR="00A60C8A">
        <w:rPr>
          <w:szCs w:val="24"/>
          <w:lang w:val="en-US"/>
        </w:rPr>
        <w:instrText>of</w:instrText>
      </w:r>
      <w:r w:rsidR="00A60C8A" w:rsidRPr="009B44B4">
        <w:rPr>
          <w:szCs w:val="24"/>
        </w:rPr>
        <w:instrText xml:space="preserve"> </w:instrText>
      </w:r>
      <w:r w:rsidR="00A60C8A">
        <w:rPr>
          <w:szCs w:val="24"/>
          <w:lang w:val="en-US"/>
        </w:rPr>
        <w:instrText>several</w:instrText>
      </w:r>
      <w:r w:rsidR="00A60C8A" w:rsidRPr="009B44B4">
        <w:rPr>
          <w:szCs w:val="24"/>
        </w:rPr>
        <w:instrText xml:space="preserve"> </w:instrText>
      </w:r>
      <w:r w:rsidR="00A60C8A">
        <w:rPr>
          <w:szCs w:val="24"/>
          <w:lang w:val="en-US"/>
        </w:rPr>
        <w:instrText>common</w:instrText>
      </w:r>
      <w:r w:rsidR="00A60C8A" w:rsidRPr="009B44B4">
        <w:rPr>
          <w:szCs w:val="24"/>
        </w:rPr>
        <w:instrText xml:space="preserve"> </w:instrText>
      </w:r>
      <w:r w:rsidR="00A60C8A">
        <w:rPr>
          <w:szCs w:val="24"/>
          <w:lang w:val="en-US"/>
        </w:rPr>
        <w:instrText>chemotherapeutic</w:instrText>
      </w:r>
      <w:r w:rsidR="00A60C8A" w:rsidRPr="009B44B4">
        <w:rPr>
          <w:szCs w:val="24"/>
        </w:rPr>
        <w:instrText xml:space="preserve"> </w:instrText>
      </w:r>
      <w:r w:rsidR="00A60C8A">
        <w:rPr>
          <w:szCs w:val="24"/>
          <w:lang w:val="en-US"/>
        </w:rPr>
        <w:instrText>agents</w:instrText>
      </w:r>
      <w:r w:rsidR="00A60C8A" w:rsidRPr="009B44B4">
        <w:rPr>
          <w:szCs w:val="24"/>
        </w:rPr>
        <w:instrText xml:space="preserve"> </w:instrText>
      </w:r>
      <w:r w:rsidR="00A60C8A">
        <w:rPr>
          <w:szCs w:val="24"/>
          <w:lang w:val="en-US"/>
        </w:rPr>
        <w:instrText>associated</w:instrText>
      </w:r>
      <w:r w:rsidR="00A60C8A" w:rsidRPr="009B44B4">
        <w:rPr>
          <w:szCs w:val="24"/>
        </w:rPr>
        <w:instrText xml:space="preserve"> </w:instrText>
      </w:r>
      <w:r w:rsidR="00A60C8A">
        <w:rPr>
          <w:szCs w:val="24"/>
          <w:lang w:val="en-US"/>
        </w:rPr>
        <w:instrText>with</w:instrText>
      </w:r>
      <w:r w:rsidR="00A60C8A" w:rsidRPr="009B44B4">
        <w:rPr>
          <w:szCs w:val="24"/>
        </w:rPr>
        <w:instrText xml:space="preserve"> </w:instrText>
      </w:r>
      <w:r w:rsidR="00A60C8A">
        <w:rPr>
          <w:szCs w:val="24"/>
          <w:lang w:val="en-US"/>
        </w:rPr>
        <w:instrText>an</w:instrText>
      </w:r>
      <w:r w:rsidR="00A60C8A" w:rsidRPr="009B44B4">
        <w:rPr>
          <w:szCs w:val="24"/>
        </w:rPr>
        <w:instrText xml:space="preserve"> </w:instrText>
      </w:r>
      <w:r w:rsidR="00A60C8A">
        <w:rPr>
          <w:szCs w:val="24"/>
          <w:lang w:val="en-US"/>
        </w:rPr>
        <w:instrText>increased</w:instrText>
      </w:r>
      <w:r w:rsidR="00A60C8A" w:rsidRPr="009B44B4">
        <w:rPr>
          <w:szCs w:val="24"/>
        </w:rPr>
        <w:instrText xml:space="preserve"> </w:instrText>
      </w:r>
      <w:r w:rsidR="00A60C8A">
        <w:rPr>
          <w:szCs w:val="24"/>
          <w:lang w:val="en-US"/>
        </w:rPr>
        <w:instrText>risk</w:instrText>
      </w:r>
      <w:r w:rsidR="00A60C8A" w:rsidRPr="009B44B4">
        <w:rPr>
          <w:szCs w:val="24"/>
        </w:rPr>
        <w:instrText xml:space="preserve"> </w:instrText>
      </w:r>
      <w:r w:rsidR="00A60C8A">
        <w:rPr>
          <w:szCs w:val="24"/>
          <w:lang w:val="en-US"/>
        </w:rPr>
        <w:instrText>for</w:instrText>
      </w:r>
      <w:r w:rsidR="00A60C8A" w:rsidRPr="009B44B4">
        <w:rPr>
          <w:szCs w:val="24"/>
        </w:rPr>
        <w:instrText xml:space="preserve"> </w:instrText>
      </w:r>
      <w:r w:rsidR="00A60C8A">
        <w:rPr>
          <w:szCs w:val="24"/>
          <w:lang w:val="en-US"/>
        </w:rPr>
        <w:instrText>left</w:instrText>
      </w:r>
      <w:r w:rsidR="00A60C8A" w:rsidRPr="009B44B4">
        <w:rPr>
          <w:szCs w:val="24"/>
        </w:rPr>
        <w:instrText xml:space="preserve"> </w:instrText>
      </w:r>
      <w:r w:rsidR="00A60C8A">
        <w:rPr>
          <w:szCs w:val="24"/>
          <w:lang w:val="en-US"/>
        </w:rPr>
        <w:instrText>ventricular</w:instrText>
      </w:r>
      <w:r w:rsidR="00A60C8A" w:rsidRPr="009B44B4">
        <w:rPr>
          <w:szCs w:val="24"/>
        </w:rPr>
        <w:instrText xml:space="preserve"> </w:instrText>
      </w:r>
      <w:r w:rsidR="00A60C8A">
        <w:rPr>
          <w:szCs w:val="24"/>
          <w:lang w:val="en-US"/>
        </w:rPr>
        <w:instrText>systolic</w:instrText>
      </w:r>
      <w:r w:rsidR="00A60C8A" w:rsidRPr="009B44B4">
        <w:rPr>
          <w:szCs w:val="24"/>
        </w:rPr>
        <w:instrText xml:space="preserve"> </w:instrText>
      </w:r>
      <w:r w:rsidR="00A60C8A">
        <w:rPr>
          <w:szCs w:val="24"/>
          <w:lang w:val="en-US"/>
        </w:rPr>
        <w:instrText>dysfunction</w:instrText>
      </w:r>
      <w:r w:rsidR="00A60C8A" w:rsidRPr="009B44B4">
        <w:rPr>
          <w:szCs w:val="24"/>
        </w:rPr>
        <w:instrText xml:space="preserve"> </w:instrText>
      </w:r>
      <w:r w:rsidR="00A60C8A">
        <w:rPr>
          <w:szCs w:val="24"/>
          <w:lang w:val="en-US"/>
        </w:rPr>
        <w:instrText>and</w:instrText>
      </w:r>
      <w:r w:rsidR="00A60C8A" w:rsidRPr="009B44B4">
        <w:rPr>
          <w:szCs w:val="24"/>
        </w:rPr>
        <w:instrText xml:space="preserve"> </w:instrText>
      </w:r>
      <w:r w:rsidR="00A60C8A">
        <w:rPr>
          <w:szCs w:val="24"/>
          <w:lang w:val="en-US"/>
        </w:rPr>
        <w:instrText>to</w:instrText>
      </w:r>
      <w:r w:rsidR="00A60C8A" w:rsidRPr="009B44B4">
        <w:rPr>
          <w:szCs w:val="24"/>
        </w:rPr>
        <w:instrText xml:space="preserve"> </w:instrText>
      </w:r>
      <w:r w:rsidR="00A60C8A">
        <w:rPr>
          <w:szCs w:val="24"/>
          <w:lang w:val="en-US"/>
        </w:rPr>
        <w:instrText>outline</w:instrText>
      </w:r>
      <w:r w:rsidR="00A60C8A" w:rsidRPr="009B44B4">
        <w:rPr>
          <w:szCs w:val="24"/>
        </w:rPr>
        <w:instrText xml:space="preserve"> </w:instrText>
      </w:r>
      <w:r w:rsidR="00A60C8A">
        <w:rPr>
          <w:szCs w:val="24"/>
          <w:lang w:val="en-US"/>
        </w:rPr>
        <w:instrText>recommendations</w:instrText>
      </w:r>
      <w:r w:rsidR="00A60C8A" w:rsidRPr="009B44B4">
        <w:rPr>
          <w:szCs w:val="24"/>
        </w:rPr>
        <w:instrText xml:space="preserve"> </w:instrText>
      </w:r>
      <w:r w:rsidR="00A60C8A">
        <w:rPr>
          <w:szCs w:val="24"/>
          <w:lang w:val="en-US"/>
        </w:rPr>
        <w:instrText>regarding</w:instrText>
      </w:r>
      <w:r w:rsidR="00A60C8A" w:rsidRPr="009B44B4">
        <w:rPr>
          <w:szCs w:val="24"/>
        </w:rPr>
        <w:instrText xml:space="preserve"> </w:instrText>
      </w:r>
      <w:r w:rsidR="00A60C8A">
        <w:rPr>
          <w:szCs w:val="24"/>
          <w:lang w:val="en-US"/>
        </w:rPr>
        <w:instrText>the</w:instrText>
      </w:r>
      <w:r w:rsidR="00A60C8A" w:rsidRPr="009B44B4">
        <w:rPr>
          <w:szCs w:val="24"/>
        </w:rPr>
        <w:instrText xml:space="preserve"> </w:instrText>
      </w:r>
      <w:r w:rsidR="00A60C8A">
        <w:rPr>
          <w:szCs w:val="24"/>
          <w:lang w:val="en-US"/>
        </w:rPr>
        <w:instrText>baseline</w:instrText>
      </w:r>
      <w:r w:rsidR="00A60C8A" w:rsidRPr="009B44B4">
        <w:rPr>
          <w:szCs w:val="24"/>
        </w:rPr>
        <w:instrText xml:space="preserve"> </w:instrText>
      </w:r>
      <w:r w:rsidR="00A60C8A">
        <w:rPr>
          <w:szCs w:val="24"/>
          <w:lang w:val="en-US"/>
        </w:rPr>
        <w:instrText>assessment</w:instrText>
      </w:r>
      <w:r w:rsidR="00A60C8A" w:rsidRPr="009B44B4">
        <w:rPr>
          <w:szCs w:val="24"/>
        </w:rPr>
        <w:instrText xml:space="preserve"> </w:instrText>
      </w:r>
      <w:r w:rsidR="00A60C8A">
        <w:rPr>
          <w:szCs w:val="24"/>
          <w:lang w:val="en-US"/>
        </w:rPr>
        <w:instrText>and</w:instrText>
      </w:r>
      <w:r w:rsidR="00A60C8A" w:rsidRPr="009B44B4">
        <w:rPr>
          <w:szCs w:val="24"/>
        </w:rPr>
        <w:instrText xml:space="preserve"> </w:instrText>
      </w:r>
      <w:r w:rsidR="00A60C8A">
        <w:rPr>
          <w:szCs w:val="24"/>
          <w:lang w:val="en-US"/>
        </w:rPr>
        <w:instrText>serial</w:instrText>
      </w:r>
      <w:r w:rsidR="00A60C8A" w:rsidRPr="009B44B4">
        <w:rPr>
          <w:szCs w:val="24"/>
        </w:rPr>
        <w:instrText xml:space="preserve"> </w:instrText>
      </w:r>
      <w:r w:rsidR="00A60C8A">
        <w:rPr>
          <w:szCs w:val="24"/>
          <w:lang w:val="en-US"/>
        </w:rPr>
        <w:instrText>follow</w:instrText>
      </w:r>
      <w:r w:rsidR="00A60C8A" w:rsidRPr="009B44B4">
        <w:rPr>
          <w:szCs w:val="24"/>
        </w:rPr>
        <w:instrText>-</w:instrText>
      </w:r>
      <w:r w:rsidR="00A60C8A">
        <w:rPr>
          <w:szCs w:val="24"/>
          <w:lang w:val="en-US"/>
        </w:rPr>
        <w:instrText>up</w:instrText>
      </w:r>
      <w:r w:rsidR="00A60C8A" w:rsidRPr="009B44B4">
        <w:rPr>
          <w:szCs w:val="24"/>
        </w:rPr>
        <w:instrText xml:space="preserve"> </w:instrText>
      </w:r>
      <w:r w:rsidR="00A60C8A">
        <w:rPr>
          <w:szCs w:val="24"/>
          <w:lang w:val="en-US"/>
        </w:rPr>
        <w:instrText>of</w:instrText>
      </w:r>
      <w:r w:rsidR="00A60C8A" w:rsidRPr="009B44B4">
        <w:rPr>
          <w:szCs w:val="24"/>
        </w:rPr>
        <w:instrText xml:space="preserve"> </w:instrText>
      </w:r>
      <w:r w:rsidR="00A60C8A">
        <w:rPr>
          <w:szCs w:val="24"/>
          <w:lang w:val="en-US"/>
        </w:rPr>
        <w:instrText>cardio</w:instrText>
      </w:r>
      <w:r w:rsidR="00A60C8A" w:rsidRPr="009B44B4">
        <w:rPr>
          <w:szCs w:val="24"/>
        </w:rPr>
        <w:instrText>-</w:instrText>
      </w:r>
      <w:r w:rsidR="00A60C8A">
        <w:rPr>
          <w:szCs w:val="24"/>
          <w:lang w:val="en-US"/>
        </w:rPr>
        <w:instrText>oncology</w:instrText>
      </w:r>
      <w:r w:rsidR="00A60C8A" w:rsidRPr="009B44B4">
        <w:rPr>
          <w:szCs w:val="24"/>
        </w:rPr>
        <w:instrText xml:space="preserve"> </w:instrText>
      </w:r>
      <w:r w:rsidR="00A60C8A">
        <w:rPr>
          <w:szCs w:val="24"/>
          <w:lang w:val="en-US"/>
        </w:rPr>
        <w:instrText>patients</w:instrText>
      </w:r>
      <w:r w:rsidR="00A60C8A" w:rsidRPr="009B44B4">
        <w:rPr>
          <w:szCs w:val="24"/>
        </w:rPr>
        <w:instrText xml:space="preserve"> </w:instrText>
      </w:r>
      <w:r w:rsidR="00A60C8A">
        <w:rPr>
          <w:szCs w:val="24"/>
          <w:lang w:val="en-US"/>
        </w:rPr>
        <w:instrText>with</w:instrText>
      </w:r>
      <w:r w:rsidR="00A60C8A" w:rsidRPr="009B44B4">
        <w:rPr>
          <w:szCs w:val="24"/>
        </w:rPr>
        <w:instrText xml:space="preserve"> </w:instrText>
      </w:r>
      <w:r w:rsidR="00A60C8A">
        <w:rPr>
          <w:szCs w:val="24"/>
          <w:lang w:val="en-US"/>
        </w:rPr>
        <w:instrText>a</w:instrText>
      </w:r>
      <w:r w:rsidR="00A60C8A" w:rsidRPr="009B44B4">
        <w:rPr>
          <w:szCs w:val="24"/>
        </w:rPr>
        <w:instrText xml:space="preserve"> </w:instrText>
      </w:r>
      <w:r w:rsidR="00A60C8A">
        <w:rPr>
          <w:szCs w:val="24"/>
          <w:lang w:val="en-US"/>
        </w:rPr>
        <w:instrText>focus</w:instrText>
      </w:r>
      <w:r w:rsidR="00A60C8A" w:rsidRPr="009B44B4">
        <w:rPr>
          <w:szCs w:val="24"/>
        </w:rPr>
        <w:instrText xml:space="preserve"> </w:instrText>
      </w:r>
      <w:r w:rsidR="00A60C8A">
        <w:rPr>
          <w:szCs w:val="24"/>
          <w:lang w:val="en-US"/>
        </w:rPr>
        <w:instrText>on</w:instrText>
      </w:r>
      <w:r w:rsidR="00A60C8A" w:rsidRPr="009B44B4">
        <w:rPr>
          <w:szCs w:val="24"/>
        </w:rPr>
        <w:instrText xml:space="preserve"> </w:instrText>
      </w:r>
      <w:r w:rsidR="00A60C8A">
        <w:rPr>
          <w:szCs w:val="24"/>
          <w:lang w:val="en-US"/>
        </w:rPr>
        <w:instrText>the</w:instrText>
      </w:r>
      <w:r w:rsidR="00A60C8A" w:rsidRPr="009B44B4">
        <w:rPr>
          <w:szCs w:val="24"/>
        </w:rPr>
        <w:instrText xml:space="preserve"> </w:instrText>
      </w:r>
      <w:r w:rsidR="00A60C8A">
        <w:rPr>
          <w:szCs w:val="24"/>
          <w:lang w:val="en-US"/>
        </w:rPr>
        <w:instrText>role</w:instrText>
      </w:r>
      <w:r w:rsidR="00A60C8A" w:rsidRPr="009B44B4">
        <w:rPr>
          <w:szCs w:val="24"/>
        </w:rPr>
        <w:instrText xml:space="preserve"> </w:instrText>
      </w:r>
      <w:r w:rsidR="00A60C8A">
        <w:rPr>
          <w:szCs w:val="24"/>
          <w:lang w:val="en-US"/>
        </w:rPr>
        <w:instrText>of</w:instrText>
      </w:r>
      <w:r w:rsidR="00A60C8A" w:rsidRPr="009B44B4">
        <w:rPr>
          <w:szCs w:val="24"/>
        </w:rPr>
        <w:instrText xml:space="preserve"> </w:instrText>
      </w:r>
      <w:r w:rsidR="00A60C8A">
        <w:rPr>
          <w:szCs w:val="24"/>
          <w:lang w:val="en-US"/>
        </w:rPr>
        <w:instrText>echocardiography</w:instrText>
      </w:r>
      <w:r w:rsidR="00A60C8A" w:rsidRPr="009B44B4">
        <w:rPr>
          <w:szCs w:val="24"/>
        </w:rPr>
        <w:instrText>.","</w:instrText>
      </w:r>
      <w:r w:rsidR="00A60C8A">
        <w:rPr>
          <w:szCs w:val="24"/>
          <w:lang w:val="en-US"/>
        </w:rPr>
        <w:instrText>author</w:instrText>
      </w:r>
      <w:r w:rsidR="00A60C8A" w:rsidRPr="009B44B4">
        <w:rPr>
          <w:szCs w:val="24"/>
        </w:rPr>
        <w:instrText>":[{"</w:instrText>
      </w:r>
      <w:r w:rsidR="00A60C8A">
        <w:rPr>
          <w:szCs w:val="24"/>
          <w:lang w:val="en-US"/>
        </w:rPr>
        <w:instrText>dropping</w:instrText>
      </w:r>
      <w:r w:rsidR="00A60C8A" w:rsidRPr="009B44B4">
        <w:rPr>
          <w:szCs w:val="24"/>
        </w:rPr>
        <w:instrText>-</w:instrText>
      </w:r>
      <w:r w:rsidR="00A60C8A">
        <w:rPr>
          <w:szCs w:val="24"/>
          <w:lang w:val="en-US"/>
        </w:rPr>
        <w:instrText>particle</w:instrText>
      </w:r>
      <w:r w:rsidR="00A60C8A" w:rsidRPr="009B44B4">
        <w:rPr>
          <w:szCs w:val="24"/>
        </w:rPr>
        <w:instrText>":"","</w:instrText>
      </w:r>
      <w:r w:rsidR="00A60C8A">
        <w:rPr>
          <w:szCs w:val="24"/>
          <w:lang w:val="en-US"/>
        </w:rPr>
        <w:instrText>family</w:instrText>
      </w:r>
      <w:r w:rsidR="00A60C8A" w:rsidRPr="009B44B4">
        <w:rPr>
          <w:szCs w:val="24"/>
        </w:rPr>
        <w:instrText>":"</w:instrText>
      </w:r>
      <w:r w:rsidR="00A60C8A">
        <w:rPr>
          <w:szCs w:val="24"/>
          <w:lang w:val="en-US"/>
        </w:rPr>
        <w:instrText>Larsen</w:instrText>
      </w:r>
      <w:r w:rsidR="00A60C8A" w:rsidRPr="009B44B4">
        <w:rPr>
          <w:szCs w:val="24"/>
        </w:rPr>
        <w:instrText>","</w:instrText>
      </w:r>
      <w:r w:rsidR="00A60C8A">
        <w:rPr>
          <w:szCs w:val="24"/>
          <w:lang w:val="en-US"/>
        </w:rPr>
        <w:instrText>given</w:instrText>
      </w:r>
      <w:r w:rsidR="00A60C8A" w:rsidRPr="009B44B4">
        <w:rPr>
          <w:szCs w:val="24"/>
        </w:rPr>
        <w:instrText>":"</w:instrText>
      </w:r>
      <w:r w:rsidR="00A60C8A">
        <w:rPr>
          <w:szCs w:val="24"/>
          <w:lang w:val="en-US"/>
        </w:rPr>
        <w:instrText>Carolyn</w:instrText>
      </w:r>
      <w:r w:rsidR="00A60C8A" w:rsidRPr="009B44B4">
        <w:rPr>
          <w:szCs w:val="24"/>
        </w:rPr>
        <w:instrText xml:space="preserve"> </w:instrText>
      </w:r>
      <w:r w:rsidR="00A60C8A">
        <w:rPr>
          <w:szCs w:val="24"/>
          <w:lang w:val="en-US"/>
        </w:rPr>
        <w:instrText>M</w:instrText>
      </w:r>
      <w:r w:rsidR="00A60C8A" w:rsidRPr="009B44B4">
        <w:rPr>
          <w:szCs w:val="24"/>
        </w:rPr>
        <w:instrText>.","</w:instrText>
      </w:r>
      <w:r w:rsidR="00A60C8A">
        <w:rPr>
          <w:szCs w:val="24"/>
          <w:lang w:val="en-US"/>
        </w:rPr>
        <w:instrText>non</w:instrText>
      </w:r>
      <w:r w:rsidR="00A60C8A" w:rsidRPr="009B44B4">
        <w:rPr>
          <w:szCs w:val="24"/>
        </w:rPr>
        <w:instrText>-</w:instrText>
      </w:r>
      <w:r w:rsidR="00A60C8A">
        <w:rPr>
          <w:szCs w:val="24"/>
          <w:lang w:val="en-US"/>
        </w:rPr>
        <w:instrText>dropping</w:instrText>
      </w:r>
      <w:r w:rsidR="00A60C8A" w:rsidRPr="009B44B4">
        <w:rPr>
          <w:szCs w:val="24"/>
        </w:rPr>
        <w:instrText>-</w:instrText>
      </w:r>
      <w:r w:rsidR="00A60C8A">
        <w:rPr>
          <w:szCs w:val="24"/>
          <w:lang w:val="en-US"/>
        </w:rPr>
        <w:instrText>particle</w:instrText>
      </w:r>
      <w:r w:rsidR="00A60C8A" w:rsidRPr="009B44B4">
        <w:rPr>
          <w:szCs w:val="24"/>
        </w:rPr>
        <w:instrText>":"","</w:instrText>
      </w:r>
      <w:r w:rsidR="00A60C8A">
        <w:rPr>
          <w:szCs w:val="24"/>
          <w:lang w:val="en-US"/>
        </w:rPr>
        <w:instrText>parse</w:instrText>
      </w:r>
      <w:r w:rsidR="00A60C8A" w:rsidRPr="009B44B4">
        <w:rPr>
          <w:szCs w:val="24"/>
        </w:rPr>
        <w:instrText>-</w:instrText>
      </w:r>
      <w:r w:rsidR="00A60C8A">
        <w:rPr>
          <w:szCs w:val="24"/>
          <w:lang w:val="en-US"/>
        </w:rPr>
        <w:instrText>names</w:instrText>
      </w:r>
      <w:r w:rsidR="00A60C8A" w:rsidRPr="009B44B4">
        <w:rPr>
          <w:szCs w:val="24"/>
        </w:rPr>
        <w:instrText>":</w:instrText>
      </w:r>
      <w:r w:rsidR="00A60C8A">
        <w:rPr>
          <w:szCs w:val="24"/>
          <w:lang w:val="en-US"/>
        </w:rPr>
        <w:instrText>false</w:instrText>
      </w:r>
      <w:r w:rsidR="00A60C8A" w:rsidRPr="009B44B4">
        <w:rPr>
          <w:szCs w:val="24"/>
        </w:rPr>
        <w:instrText>,"</w:instrText>
      </w:r>
      <w:r w:rsidR="00A60C8A">
        <w:rPr>
          <w:szCs w:val="24"/>
          <w:lang w:val="en-US"/>
        </w:rPr>
        <w:instrText>suffix</w:instrText>
      </w:r>
      <w:r w:rsidR="00A60C8A" w:rsidRPr="009B44B4">
        <w:rPr>
          <w:szCs w:val="24"/>
        </w:rPr>
        <w:instrText>":""},{"</w:instrText>
      </w:r>
      <w:r w:rsidR="00A60C8A">
        <w:rPr>
          <w:szCs w:val="24"/>
          <w:lang w:val="en-US"/>
        </w:rPr>
        <w:instrText>dropping</w:instrText>
      </w:r>
      <w:r w:rsidR="00A60C8A" w:rsidRPr="009B44B4">
        <w:rPr>
          <w:szCs w:val="24"/>
        </w:rPr>
        <w:instrText>-</w:instrText>
      </w:r>
      <w:r w:rsidR="00A60C8A">
        <w:rPr>
          <w:szCs w:val="24"/>
          <w:lang w:val="en-US"/>
        </w:rPr>
        <w:instrText>particle</w:instrText>
      </w:r>
      <w:r w:rsidR="00A60C8A" w:rsidRPr="009B44B4">
        <w:rPr>
          <w:szCs w:val="24"/>
        </w:rPr>
        <w:instrText>":"","</w:instrText>
      </w:r>
      <w:r w:rsidR="00A60C8A">
        <w:rPr>
          <w:szCs w:val="24"/>
          <w:lang w:val="en-US"/>
        </w:rPr>
        <w:instrText>family</w:instrText>
      </w:r>
      <w:r w:rsidR="00A60C8A" w:rsidRPr="009B44B4">
        <w:rPr>
          <w:szCs w:val="24"/>
        </w:rPr>
        <w:instrText>":"</w:instrText>
      </w:r>
      <w:r w:rsidR="00A60C8A">
        <w:rPr>
          <w:szCs w:val="24"/>
          <w:lang w:val="en-US"/>
        </w:rPr>
        <w:instrText>Mulvagh</w:instrText>
      </w:r>
      <w:r w:rsidR="00A60C8A" w:rsidRPr="009B44B4">
        <w:rPr>
          <w:szCs w:val="24"/>
        </w:rPr>
        <w:instrText>","</w:instrText>
      </w:r>
      <w:r w:rsidR="00A60C8A">
        <w:rPr>
          <w:szCs w:val="24"/>
          <w:lang w:val="en-US"/>
        </w:rPr>
        <w:instrText>given</w:instrText>
      </w:r>
      <w:r w:rsidR="00A60C8A" w:rsidRPr="009B44B4">
        <w:rPr>
          <w:szCs w:val="24"/>
        </w:rPr>
        <w:instrText>":"</w:instrText>
      </w:r>
      <w:r w:rsidR="00A60C8A">
        <w:rPr>
          <w:szCs w:val="24"/>
          <w:lang w:val="en-US"/>
        </w:rPr>
        <w:instrText>Sharon</w:instrText>
      </w:r>
      <w:r w:rsidR="00A60C8A" w:rsidRPr="009B44B4">
        <w:rPr>
          <w:szCs w:val="24"/>
        </w:rPr>
        <w:instrText xml:space="preserve"> </w:instrText>
      </w:r>
      <w:r w:rsidR="00A60C8A">
        <w:rPr>
          <w:szCs w:val="24"/>
          <w:lang w:val="en-US"/>
        </w:rPr>
        <w:instrText>L</w:instrText>
      </w:r>
      <w:r w:rsidR="00A60C8A" w:rsidRPr="009B44B4">
        <w:rPr>
          <w:szCs w:val="24"/>
        </w:rPr>
        <w:instrText>.","</w:instrText>
      </w:r>
      <w:r w:rsidR="00A60C8A">
        <w:rPr>
          <w:szCs w:val="24"/>
          <w:lang w:val="en-US"/>
        </w:rPr>
        <w:instrText>non</w:instrText>
      </w:r>
      <w:r w:rsidR="00A60C8A" w:rsidRPr="009B44B4">
        <w:rPr>
          <w:szCs w:val="24"/>
        </w:rPr>
        <w:instrText>-</w:instrText>
      </w:r>
      <w:r w:rsidR="00A60C8A">
        <w:rPr>
          <w:szCs w:val="24"/>
          <w:lang w:val="en-US"/>
        </w:rPr>
        <w:instrText>dropping</w:instrText>
      </w:r>
      <w:r w:rsidR="00A60C8A" w:rsidRPr="009B44B4">
        <w:rPr>
          <w:szCs w:val="24"/>
        </w:rPr>
        <w:instrText>-</w:instrText>
      </w:r>
      <w:r w:rsidR="00A60C8A">
        <w:rPr>
          <w:szCs w:val="24"/>
          <w:lang w:val="en-US"/>
        </w:rPr>
        <w:instrText>particle</w:instrText>
      </w:r>
      <w:r w:rsidR="00A60C8A" w:rsidRPr="009B44B4">
        <w:rPr>
          <w:szCs w:val="24"/>
        </w:rPr>
        <w:instrText>":"","</w:instrText>
      </w:r>
      <w:r w:rsidR="00A60C8A">
        <w:rPr>
          <w:szCs w:val="24"/>
          <w:lang w:val="en-US"/>
        </w:rPr>
        <w:instrText>parse</w:instrText>
      </w:r>
      <w:r w:rsidR="00A60C8A" w:rsidRPr="009B44B4">
        <w:rPr>
          <w:szCs w:val="24"/>
        </w:rPr>
        <w:instrText>-</w:instrText>
      </w:r>
      <w:r w:rsidR="00A60C8A">
        <w:rPr>
          <w:szCs w:val="24"/>
          <w:lang w:val="en-US"/>
        </w:rPr>
        <w:instrText>names</w:instrText>
      </w:r>
      <w:r w:rsidR="00A60C8A" w:rsidRPr="009B44B4">
        <w:rPr>
          <w:szCs w:val="24"/>
        </w:rPr>
        <w:instrText>":</w:instrText>
      </w:r>
      <w:r w:rsidR="00A60C8A">
        <w:rPr>
          <w:szCs w:val="24"/>
          <w:lang w:val="en-US"/>
        </w:rPr>
        <w:instrText>false</w:instrText>
      </w:r>
      <w:r w:rsidR="00A60C8A" w:rsidRPr="009B44B4">
        <w:rPr>
          <w:szCs w:val="24"/>
        </w:rPr>
        <w:instrText>,"</w:instrText>
      </w:r>
      <w:r w:rsidR="00A60C8A">
        <w:rPr>
          <w:szCs w:val="24"/>
          <w:lang w:val="en-US"/>
        </w:rPr>
        <w:instrText>suffix</w:instrText>
      </w:r>
      <w:r w:rsidR="00A60C8A" w:rsidRPr="009B44B4">
        <w:rPr>
          <w:szCs w:val="24"/>
        </w:rPr>
        <w:instrText>":""}],"</w:instrText>
      </w:r>
      <w:r w:rsidR="00A60C8A">
        <w:rPr>
          <w:szCs w:val="24"/>
          <w:lang w:val="en-US"/>
        </w:rPr>
        <w:instrText>container</w:instrText>
      </w:r>
      <w:r w:rsidR="00A60C8A" w:rsidRPr="009B44B4">
        <w:rPr>
          <w:szCs w:val="24"/>
        </w:rPr>
        <w:instrText>-</w:instrText>
      </w:r>
      <w:r w:rsidR="00A60C8A">
        <w:rPr>
          <w:szCs w:val="24"/>
          <w:lang w:val="en-US"/>
        </w:rPr>
        <w:instrText>title</w:instrText>
      </w:r>
      <w:r w:rsidR="00A60C8A" w:rsidRPr="009B44B4">
        <w:rPr>
          <w:szCs w:val="24"/>
        </w:rPr>
        <w:instrText>":"</w:instrText>
      </w:r>
      <w:r w:rsidR="00A60C8A">
        <w:rPr>
          <w:szCs w:val="24"/>
          <w:lang w:val="en-US"/>
        </w:rPr>
        <w:instrText>Echo</w:instrText>
      </w:r>
      <w:r w:rsidR="00A60C8A" w:rsidRPr="009B44B4">
        <w:rPr>
          <w:szCs w:val="24"/>
        </w:rPr>
        <w:instrText xml:space="preserve"> </w:instrText>
      </w:r>
      <w:r w:rsidR="00A60C8A">
        <w:rPr>
          <w:szCs w:val="24"/>
          <w:lang w:val="en-US"/>
        </w:rPr>
        <w:instrText>Research</w:instrText>
      </w:r>
      <w:r w:rsidR="00A60C8A" w:rsidRPr="009B44B4">
        <w:rPr>
          <w:szCs w:val="24"/>
        </w:rPr>
        <w:instrText xml:space="preserve"> </w:instrText>
      </w:r>
      <w:r w:rsidR="00A60C8A">
        <w:rPr>
          <w:szCs w:val="24"/>
          <w:lang w:val="en-US"/>
        </w:rPr>
        <w:instrText>and</w:instrText>
      </w:r>
      <w:r w:rsidR="00A60C8A" w:rsidRPr="009B44B4">
        <w:rPr>
          <w:szCs w:val="24"/>
        </w:rPr>
        <w:instrText xml:space="preserve"> </w:instrText>
      </w:r>
      <w:r w:rsidR="00A60C8A">
        <w:rPr>
          <w:szCs w:val="24"/>
          <w:lang w:val="en-US"/>
        </w:rPr>
        <w:instrText>Practice</w:instrText>
      </w:r>
      <w:r w:rsidR="00A60C8A" w:rsidRPr="009B44B4">
        <w:rPr>
          <w:szCs w:val="24"/>
        </w:rPr>
        <w:instrText>","</w:instrText>
      </w:r>
      <w:r w:rsidR="00A60C8A">
        <w:rPr>
          <w:szCs w:val="24"/>
          <w:lang w:val="en-US"/>
        </w:rPr>
        <w:instrText>id</w:instrText>
      </w:r>
      <w:r w:rsidR="00A60C8A" w:rsidRPr="009B44B4">
        <w:rPr>
          <w:szCs w:val="24"/>
        </w:rPr>
        <w:instrText>":"</w:instrText>
      </w:r>
      <w:r w:rsidR="00A60C8A">
        <w:rPr>
          <w:szCs w:val="24"/>
          <w:lang w:val="en-US"/>
        </w:rPr>
        <w:instrText>ITEM</w:instrText>
      </w:r>
      <w:r w:rsidR="00A60C8A" w:rsidRPr="009B44B4">
        <w:rPr>
          <w:szCs w:val="24"/>
        </w:rPr>
        <w:instrText>-1","</w:instrText>
      </w:r>
      <w:r w:rsidR="00A60C8A">
        <w:rPr>
          <w:szCs w:val="24"/>
          <w:lang w:val="en-US"/>
        </w:rPr>
        <w:instrText>issue</w:instrText>
      </w:r>
      <w:r w:rsidR="00A60C8A" w:rsidRPr="009B44B4">
        <w:rPr>
          <w:szCs w:val="24"/>
        </w:rPr>
        <w:instrText>":"1","</w:instrText>
      </w:r>
      <w:r w:rsidR="00A60C8A">
        <w:rPr>
          <w:szCs w:val="24"/>
          <w:lang w:val="en-US"/>
        </w:rPr>
        <w:instrText>issued</w:instrText>
      </w:r>
      <w:r w:rsidR="00A60C8A" w:rsidRPr="009B44B4">
        <w:rPr>
          <w:szCs w:val="24"/>
        </w:rPr>
        <w:instrText>":{"</w:instrText>
      </w:r>
      <w:r w:rsidR="00A60C8A">
        <w:rPr>
          <w:szCs w:val="24"/>
          <w:lang w:val="en-US"/>
        </w:rPr>
        <w:instrText>date</w:instrText>
      </w:r>
      <w:r w:rsidR="00A60C8A" w:rsidRPr="009B44B4">
        <w:rPr>
          <w:szCs w:val="24"/>
        </w:rPr>
        <w:instrText>-</w:instrText>
      </w:r>
      <w:r w:rsidR="00A60C8A">
        <w:rPr>
          <w:szCs w:val="24"/>
          <w:lang w:val="en-US"/>
        </w:rPr>
        <w:instrText>parts</w:instrText>
      </w:r>
      <w:r w:rsidR="00A60C8A" w:rsidRPr="009B44B4">
        <w:rPr>
          <w:szCs w:val="24"/>
        </w:rPr>
        <w:instrText>":[["2017","3","1"]]},"</w:instrText>
      </w:r>
      <w:r w:rsidR="00A60C8A">
        <w:rPr>
          <w:szCs w:val="24"/>
          <w:lang w:val="en-US"/>
        </w:rPr>
        <w:instrText>page</w:instrText>
      </w:r>
      <w:r w:rsidR="00A60C8A" w:rsidRPr="009B44B4">
        <w:rPr>
          <w:szCs w:val="24"/>
        </w:rPr>
        <w:instrText>":"</w:instrText>
      </w:r>
      <w:r w:rsidR="00A60C8A">
        <w:rPr>
          <w:szCs w:val="24"/>
          <w:lang w:val="en-US"/>
        </w:rPr>
        <w:instrText>R</w:instrText>
      </w:r>
      <w:r w:rsidR="00A60C8A" w:rsidRPr="009B44B4">
        <w:rPr>
          <w:szCs w:val="24"/>
        </w:rPr>
        <w:instrText>33-</w:instrText>
      </w:r>
      <w:r w:rsidR="00A60C8A">
        <w:rPr>
          <w:szCs w:val="24"/>
          <w:lang w:val="en-US"/>
        </w:rPr>
        <w:instrText>R</w:instrText>
      </w:r>
      <w:r w:rsidR="00A60C8A" w:rsidRPr="009B44B4">
        <w:rPr>
          <w:szCs w:val="24"/>
        </w:rPr>
        <w:instrText>41","</w:instrText>
      </w:r>
      <w:r w:rsidR="00A60C8A">
        <w:rPr>
          <w:szCs w:val="24"/>
          <w:lang w:val="en-US"/>
        </w:rPr>
        <w:instrText>publisher</w:instrText>
      </w:r>
      <w:r w:rsidR="00A60C8A" w:rsidRPr="009B44B4">
        <w:rPr>
          <w:szCs w:val="24"/>
        </w:rPr>
        <w:instrText>":"</w:instrText>
      </w:r>
      <w:r w:rsidR="00A60C8A">
        <w:rPr>
          <w:szCs w:val="24"/>
          <w:lang w:val="en-US"/>
        </w:rPr>
        <w:instrText>BioScientifica</w:instrText>
      </w:r>
      <w:r w:rsidR="00A60C8A" w:rsidRPr="009B44B4">
        <w:rPr>
          <w:szCs w:val="24"/>
        </w:rPr>
        <w:instrText xml:space="preserve"> </w:instrText>
      </w:r>
      <w:r w:rsidR="00A60C8A">
        <w:rPr>
          <w:szCs w:val="24"/>
          <w:lang w:val="en-US"/>
        </w:rPr>
        <w:instrText>Ltd</w:instrText>
      </w:r>
      <w:r w:rsidR="00A60C8A" w:rsidRPr="009B44B4">
        <w:rPr>
          <w:szCs w:val="24"/>
        </w:rPr>
        <w:instrText>.","</w:instrText>
      </w:r>
      <w:r w:rsidR="00A60C8A">
        <w:rPr>
          <w:szCs w:val="24"/>
          <w:lang w:val="en-US"/>
        </w:rPr>
        <w:instrText>title</w:instrText>
      </w:r>
      <w:r w:rsidR="00A60C8A" w:rsidRPr="009B44B4">
        <w:rPr>
          <w:szCs w:val="24"/>
        </w:rPr>
        <w:instrText>":"</w:instrText>
      </w:r>
      <w:r w:rsidR="00A60C8A">
        <w:rPr>
          <w:szCs w:val="24"/>
          <w:lang w:val="en-US"/>
        </w:rPr>
        <w:instrText>Cardio</w:instrText>
      </w:r>
      <w:r w:rsidR="00A60C8A" w:rsidRPr="009B44B4">
        <w:rPr>
          <w:szCs w:val="24"/>
        </w:rPr>
        <w:instrText>-</w:instrText>
      </w:r>
      <w:r w:rsidR="00A60C8A">
        <w:rPr>
          <w:szCs w:val="24"/>
          <w:lang w:val="en-US"/>
        </w:rPr>
        <w:instrText>oncology</w:instrText>
      </w:r>
      <w:r w:rsidR="00A60C8A" w:rsidRPr="009B44B4">
        <w:rPr>
          <w:szCs w:val="24"/>
        </w:rPr>
        <w:instrText xml:space="preserve">: </w:instrText>
      </w:r>
      <w:r w:rsidR="00A60C8A">
        <w:rPr>
          <w:szCs w:val="24"/>
          <w:lang w:val="en-US"/>
        </w:rPr>
        <w:instrText>What</w:instrText>
      </w:r>
      <w:r w:rsidR="00A60C8A" w:rsidRPr="009B44B4">
        <w:rPr>
          <w:szCs w:val="24"/>
        </w:rPr>
        <w:instrText xml:space="preserve"> </w:instrText>
      </w:r>
      <w:r w:rsidR="00A60C8A">
        <w:rPr>
          <w:szCs w:val="24"/>
          <w:lang w:val="en-US"/>
        </w:rPr>
        <w:instrText>you</w:instrText>
      </w:r>
      <w:r w:rsidR="00A60C8A" w:rsidRPr="009B44B4">
        <w:rPr>
          <w:szCs w:val="24"/>
        </w:rPr>
        <w:instrText xml:space="preserve"> </w:instrText>
      </w:r>
      <w:r w:rsidR="00A60C8A">
        <w:rPr>
          <w:szCs w:val="24"/>
          <w:lang w:val="en-US"/>
        </w:rPr>
        <w:instrText>need</w:instrText>
      </w:r>
      <w:r w:rsidR="00A60C8A" w:rsidRPr="009B44B4">
        <w:rPr>
          <w:szCs w:val="24"/>
        </w:rPr>
        <w:instrText xml:space="preserve"> </w:instrText>
      </w:r>
      <w:r w:rsidR="00A60C8A">
        <w:rPr>
          <w:szCs w:val="24"/>
          <w:lang w:val="en-US"/>
        </w:rPr>
        <w:instrText>to</w:instrText>
      </w:r>
      <w:r w:rsidR="00A60C8A" w:rsidRPr="009B44B4">
        <w:rPr>
          <w:szCs w:val="24"/>
        </w:rPr>
        <w:instrText xml:space="preserve"> </w:instrText>
      </w:r>
      <w:r w:rsidR="00A60C8A">
        <w:rPr>
          <w:szCs w:val="24"/>
          <w:lang w:val="en-US"/>
        </w:rPr>
        <w:instrText>know</w:instrText>
      </w:r>
      <w:r w:rsidR="00A60C8A" w:rsidRPr="009B44B4">
        <w:rPr>
          <w:szCs w:val="24"/>
        </w:rPr>
        <w:instrText xml:space="preserve"> </w:instrText>
      </w:r>
      <w:r w:rsidR="00A60C8A">
        <w:rPr>
          <w:szCs w:val="24"/>
          <w:lang w:val="en-US"/>
        </w:rPr>
        <w:instrText>now</w:instrText>
      </w:r>
      <w:r w:rsidR="00A60C8A" w:rsidRPr="009B44B4">
        <w:rPr>
          <w:szCs w:val="24"/>
        </w:rPr>
        <w:instrText xml:space="preserve"> </w:instrText>
      </w:r>
      <w:r w:rsidR="00A60C8A">
        <w:rPr>
          <w:szCs w:val="24"/>
          <w:lang w:val="en-US"/>
        </w:rPr>
        <w:instrText>for</w:instrText>
      </w:r>
      <w:r w:rsidR="00A60C8A" w:rsidRPr="009B44B4">
        <w:rPr>
          <w:szCs w:val="24"/>
        </w:rPr>
        <w:instrText xml:space="preserve"> </w:instrText>
      </w:r>
      <w:r w:rsidR="00A60C8A">
        <w:rPr>
          <w:szCs w:val="24"/>
          <w:lang w:val="en-US"/>
        </w:rPr>
        <w:instrText>clinical</w:instrText>
      </w:r>
      <w:r w:rsidR="00A60C8A" w:rsidRPr="009B44B4">
        <w:rPr>
          <w:szCs w:val="24"/>
        </w:rPr>
        <w:instrText xml:space="preserve"> </w:instrText>
      </w:r>
      <w:r w:rsidR="00A60C8A">
        <w:rPr>
          <w:szCs w:val="24"/>
          <w:lang w:val="en-US"/>
        </w:rPr>
        <w:instrText>practice</w:instrText>
      </w:r>
      <w:r w:rsidR="00A60C8A" w:rsidRPr="009B44B4">
        <w:rPr>
          <w:szCs w:val="24"/>
        </w:rPr>
        <w:instrText xml:space="preserve"> </w:instrText>
      </w:r>
      <w:r w:rsidR="00A60C8A">
        <w:rPr>
          <w:szCs w:val="24"/>
          <w:lang w:val="en-US"/>
        </w:rPr>
        <w:instrText>and</w:instrText>
      </w:r>
      <w:r w:rsidR="00A60C8A" w:rsidRPr="009B44B4">
        <w:rPr>
          <w:szCs w:val="24"/>
        </w:rPr>
        <w:instrText xml:space="preserve"> </w:instrText>
      </w:r>
      <w:r w:rsidR="00A60C8A">
        <w:rPr>
          <w:szCs w:val="24"/>
          <w:lang w:val="en-US"/>
        </w:rPr>
        <w:instrText>echocardiography</w:instrText>
      </w:r>
      <w:r w:rsidR="00A60C8A" w:rsidRPr="009B44B4">
        <w:rPr>
          <w:szCs w:val="24"/>
        </w:rPr>
        <w:instrText>","</w:instrText>
      </w:r>
      <w:r w:rsidR="00A60C8A">
        <w:rPr>
          <w:szCs w:val="24"/>
          <w:lang w:val="en-US"/>
        </w:rPr>
        <w:instrText>type</w:instrText>
      </w:r>
      <w:r w:rsidR="00A60C8A" w:rsidRPr="009B44B4">
        <w:rPr>
          <w:szCs w:val="24"/>
        </w:rPr>
        <w:instrText>":"</w:instrText>
      </w:r>
      <w:r w:rsidR="00A60C8A">
        <w:rPr>
          <w:szCs w:val="24"/>
          <w:lang w:val="en-US"/>
        </w:rPr>
        <w:instrText>article</w:instrText>
      </w:r>
      <w:r w:rsidR="00A60C8A" w:rsidRPr="009B44B4">
        <w:rPr>
          <w:szCs w:val="24"/>
        </w:rPr>
        <w:instrText>","</w:instrText>
      </w:r>
      <w:r w:rsidR="00A60C8A">
        <w:rPr>
          <w:szCs w:val="24"/>
          <w:lang w:val="en-US"/>
        </w:rPr>
        <w:instrText>volume</w:instrText>
      </w:r>
      <w:r w:rsidR="00A60C8A" w:rsidRPr="009B44B4">
        <w:rPr>
          <w:szCs w:val="24"/>
        </w:rPr>
        <w:instrText>":"4"},"</w:instrText>
      </w:r>
      <w:r w:rsidR="00A60C8A">
        <w:rPr>
          <w:szCs w:val="24"/>
          <w:lang w:val="en-US"/>
        </w:rPr>
        <w:instrText>uris</w:instrText>
      </w:r>
      <w:r w:rsidR="00A60C8A" w:rsidRPr="009B44B4">
        <w:rPr>
          <w:szCs w:val="24"/>
        </w:rPr>
        <w:instrText>":["</w:instrText>
      </w:r>
      <w:r w:rsidR="00A60C8A">
        <w:rPr>
          <w:szCs w:val="24"/>
          <w:lang w:val="en-US"/>
        </w:rPr>
        <w:instrText>http</w:instrText>
      </w:r>
      <w:r w:rsidR="00A60C8A" w:rsidRPr="009B44B4">
        <w:rPr>
          <w:szCs w:val="24"/>
        </w:rPr>
        <w:instrText>://</w:instrText>
      </w:r>
      <w:r w:rsidR="00A60C8A">
        <w:rPr>
          <w:szCs w:val="24"/>
          <w:lang w:val="en-US"/>
        </w:rPr>
        <w:instrText>www</w:instrText>
      </w:r>
      <w:r w:rsidR="00A60C8A" w:rsidRPr="009B44B4">
        <w:rPr>
          <w:szCs w:val="24"/>
        </w:rPr>
        <w:instrText>.</w:instrText>
      </w:r>
      <w:r w:rsidR="00A60C8A">
        <w:rPr>
          <w:szCs w:val="24"/>
          <w:lang w:val="en-US"/>
        </w:rPr>
        <w:instrText>mendeley</w:instrText>
      </w:r>
      <w:r w:rsidR="00A60C8A" w:rsidRPr="009B44B4">
        <w:rPr>
          <w:szCs w:val="24"/>
        </w:rPr>
        <w:instrText>.</w:instrText>
      </w:r>
      <w:r w:rsidR="00A60C8A">
        <w:rPr>
          <w:szCs w:val="24"/>
          <w:lang w:val="en-US"/>
        </w:rPr>
        <w:instrText>com</w:instrText>
      </w:r>
      <w:r w:rsidR="00A60C8A" w:rsidRPr="009B44B4">
        <w:rPr>
          <w:szCs w:val="24"/>
        </w:rPr>
        <w:instrText>/</w:instrText>
      </w:r>
      <w:r w:rsidR="00A60C8A">
        <w:rPr>
          <w:szCs w:val="24"/>
          <w:lang w:val="en-US"/>
        </w:rPr>
        <w:instrText>documents</w:instrText>
      </w:r>
      <w:r w:rsidR="00A60C8A" w:rsidRPr="009B44B4">
        <w:rPr>
          <w:szCs w:val="24"/>
        </w:rPr>
        <w:instrText>/?</w:instrText>
      </w:r>
      <w:r w:rsidR="00A60C8A">
        <w:rPr>
          <w:szCs w:val="24"/>
          <w:lang w:val="en-US"/>
        </w:rPr>
        <w:instrText>uuid</w:instrText>
      </w:r>
      <w:r w:rsidR="00A60C8A" w:rsidRPr="009B44B4">
        <w:rPr>
          <w:szCs w:val="24"/>
        </w:rPr>
        <w:instrText>=8</w:instrText>
      </w:r>
      <w:r w:rsidR="00A60C8A">
        <w:rPr>
          <w:szCs w:val="24"/>
          <w:lang w:val="en-US"/>
        </w:rPr>
        <w:instrText>c</w:instrText>
      </w:r>
      <w:r w:rsidR="00A60C8A" w:rsidRPr="009B44B4">
        <w:rPr>
          <w:szCs w:val="24"/>
        </w:rPr>
        <w:instrText>6</w:instrText>
      </w:r>
      <w:r w:rsidR="00A60C8A">
        <w:rPr>
          <w:szCs w:val="24"/>
          <w:lang w:val="en-US"/>
        </w:rPr>
        <w:instrText>f</w:instrText>
      </w:r>
      <w:r w:rsidR="00A60C8A" w:rsidRPr="009B44B4">
        <w:rPr>
          <w:szCs w:val="24"/>
        </w:rPr>
        <w:instrText>1</w:instrText>
      </w:r>
      <w:r w:rsidR="00A60C8A">
        <w:rPr>
          <w:szCs w:val="24"/>
          <w:lang w:val="en-US"/>
        </w:rPr>
        <w:instrText>c</w:instrText>
      </w:r>
      <w:r w:rsidR="00A60C8A" w:rsidRPr="009B44B4">
        <w:rPr>
          <w:szCs w:val="24"/>
        </w:rPr>
        <w:instrText>03-</w:instrText>
      </w:r>
      <w:r w:rsidR="00A60C8A">
        <w:rPr>
          <w:szCs w:val="24"/>
          <w:lang w:val="en-US"/>
        </w:rPr>
        <w:instrText>ad</w:instrText>
      </w:r>
      <w:r w:rsidR="00A60C8A" w:rsidRPr="009B44B4">
        <w:rPr>
          <w:szCs w:val="24"/>
        </w:rPr>
        <w:instrText>49-3</w:instrText>
      </w:r>
      <w:r w:rsidR="00A60C8A">
        <w:rPr>
          <w:szCs w:val="24"/>
          <w:lang w:val="en-US"/>
        </w:rPr>
        <w:instrText>f</w:instrText>
      </w:r>
      <w:r w:rsidR="00A60C8A" w:rsidRPr="009B44B4">
        <w:rPr>
          <w:szCs w:val="24"/>
        </w:rPr>
        <w:instrText>5</w:instrText>
      </w:r>
      <w:r w:rsidR="00A60C8A">
        <w:rPr>
          <w:szCs w:val="24"/>
          <w:lang w:val="en-US"/>
        </w:rPr>
        <w:instrText>e</w:instrText>
      </w:r>
      <w:r w:rsidR="00A60C8A" w:rsidRPr="009B44B4">
        <w:rPr>
          <w:szCs w:val="24"/>
        </w:rPr>
        <w:instrText>-8</w:instrText>
      </w:r>
      <w:r w:rsidR="00A60C8A">
        <w:rPr>
          <w:szCs w:val="24"/>
          <w:lang w:val="en-US"/>
        </w:rPr>
        <w:instrText>b</w:instrText>
      </w:r>
      <w:r w:rsidR="00A60C8A" w:rsidRPr="009B44B4">
        <w:rPr>
          <w:szCs w:val="24"/>
        </w:rPr>
        <w:instrText>63-59</w:instrText>
      </w:r>
      <w:r w:rsidR="00A60C8A">
        <w:rPr>
          <w:szCs w:val="24"/>
          <w:lang w:val="en-US"/>
        </w:rPr>
        <w:instrText>b</w:instrText>
      </w:r>
      <w:r w:rsidR="00A60C8A" w:rsidRPr="009B44B4">
        <w:rPr>
          <w:szCs w:val="24"/>
        </w:rPr>
        <w:instrText>182</w:instrText>
      </w:r>
      <w:r w:rsidR="00A60C8A">
        <w:rPr>
          <w:szCs w:val="24"/>
          <w:lang w:val="en-US"/>
        </w:rPr>
        <w:instrText>a</w:instrText>
      </w:r>
      <w:r w:rsidR="00A60C8A" w:rsidRPr="009B44B4">
        <w:rPr>
          <w:szCs w:val="24"/>
        </w:rPr>
        <w:instrText>86311"]}],"</w:instrText>
      </w:r>
      <w:r w:rsidR="00A60C8A">
        <w:rPr>
          <w:szCs w:val="24"/>
          <w:lang w:val="en-US"/>
        </w:rPr>
        <w:instrText>mendeley</w:instrText>
      </w:r>
      <w:r w:rsidR="00A60C8A" w:rsidRPr="009B44B4">
        <w:rPr>
          <w:szCs w:val="24"/>
        </w:rPr>
        <w:instrText>":{"</w:instrText>
      </w:r>
      <w:r w:rsidR="00A60C8A">
        <w:rPr>
          <w:szCs w:val="24"/>
          <w:lang w:val="en-US"/>
        </w:rPr>
        <w:instrText>formattedCitation</w:instrText>
      </w:r>
      <w:r w:rsidR="00A60C8A" w:rsidRPr="009B44B4">
        <w:rPr>
          <w:szCs w:val="24"/>
        </w:rPr>
        <w:instrText>":"[121]","</w:instrText>
      </w:r>
      <w:r w:rsidR="00A60C8A">
        <w:rPr>
          <w:szCs w:val="24"/>
          <w:lang w:val="en-US"/>
        </w:rPr>
        <w:instrText>plainTextFormattedCitation</w:instrText>
      </w:r>
      <w:r w:rsidR="00A60C8A" w:rsidRPr="009B44B4">
        <w:rPr>
          <w:szCs w:val="24"/>
        </w:rPr>
        <w:instrText>":"[121]","</w:instrText>
      </w:r>
      <w:r w:rsidR="00A60C8A">
        <w:rPr>
          <w:szCs w:val="24"/>
          <w:lang w:val="en-US"/>
        </w:rPr>
        <w:instrText>previouslyFormattedCitation</w:instrText>
      </w:r>
      <w:r w:rsidR="00A60C8A" w:rsidRPr="009B44B4">
        <w:rPr>
          <w:szCs w:val="24"/>
        </w:rPr>
        <w:instrText>":"[121]"},"</w:instrText>
      </w:r>
      <w:r w:rsidR="00A60C8A">
        <w:rPr>
          <w:szCs w:val="24"/>
          <w:lang w:val="en-US"/>
        </w:rPr>
        <w:instrText>properties</w:instrText>
      </w:r>
      <w:r w:rsidR="00A60C8A" w:rsidRPr="009B44B4">
        <w:rPr>
          <w:szCs w:val="24"/>
        </w:rPr>
        <w:instrText>":{"</w:instrText>
      </w:r>
      <w:r w:rsidR="00A60C8A">
        <w:rPr>
          <w:szCs w:val="24"/>
          <w:lang w:val="en-US"/>
        </w:rPr>
        <w:instrText>noteIndex</w:instrText>
      </w:r>
      <w:r w:rsidR="00A60C8A" w:rsidRPr="009B44B4">
        <w:rPr>
          <w:szCs w:val="24"/>
        </w:rPr>
        <w:instrText>":0},"</w:instrText>
      </w:r>
      <w:r w:rsidR="00A60C8A">
        <w:rPr>
          <w:szCs w:val="24"/>
          <w:lang w:val="en-US"/>
        </w:rPr>
        <w:instrText>schema</w:instrText>
      </w:r>
      <w:r w:rsidR="00A60C8A" w:rsidRPr="009B44B4">
        <w:rPr>
          <w:szCs w:val="24"/>
        </w:rPr>
        <w:instrText>":"</w:instrText>
      </w:r>
      <w:r w:rsidR="00A60C8A">
        <w:rPr>
          <w:szCs w:val="24"/>
          <w:lang w:val="en-US"/>
        </w:rPr>
        <w:instrText>https</w:instrText>
      </w:r>
      <w:r w:rsidR="00A60C8A" w:rsidRPr="009B44B4">
        <w:rPr>
          <w:szCs w:val="24"/>
        </w:rPr>
        <w:instrText>://</w:instrText>
      </w:r>
      <w:r w:rsidR="00A60C8A">
        <w:rPr>
          <w:szCs w:val="24"/>
          <w:lang w:val="en-US"/>
        </w:rPr>
        <w:instrText>github</w:instrText>
      </w:r>
      <w:r w:rsidR="00A60C8A" w:rsidRPr="009B44B4">
        <w:rPr>
          <w:szCs w:val="24"/>
        </w:rPr>
        <w:instrText>.</w:instrText>
      </w:r>
      <w:r w:rsidR="00A60C8A">
        <w:rPr>
          <w:szCs w:val="24"/>
          <w:lang w:val="en-US"/>
        </w:rPr>
        <w:instrText>com</w:instrText>
      </w:r>
      <w:r w:rsidR="00A60C8A" w:rsidRPr="009B44B4">
        <w:rPr>
          <w:szCs w:val="24"/>
        </w:rPr>
        <w:instrText>/</w:instrText>
      </w:r>
      <w:r w:rsidR="00A60C8A">
        <w:rPr>
          <w:szCs w:val="24"/>
          <w:lang w:val="en-US"/>
        </w:rPr>
        <w:instrText>citation</w:instrText>
      </w:r>
      <w:r w:rsidR="00A60C8A" w:rsidRPr="009B44B4">
        <w:rPr>
          <w:szCs w:val="24"/>
        </w:rPr>
        <w:instrText>-</w:instrText>
      </w:r>
      <w:r w:rsidR="00A60C8A">
        <w:rPr>
          <w:szCs w:val="24"/>
          <w:lang w:val="en-US"/>
        </w:rPr>
        <w:instrText>style</w:instrText>
      </w:r>
      <w:r w:rsidR="00A60C8A" w:rsidRPr="009B44B4">
        <w:rPr>
          <w:szCs w:val="24"/>
        </w:rPr>
        <w:instrText>-</w:instrText>
      </w:r>
      <w:r w:rsidR="00A60C8A">
        <w:rPr>
          <w:szCs w:val="24"/>
          <w:lang w:val="en-US"/>
        </w:rPr>
        <w:instrText>language</w:instrText>
      </w:r>
      <w:r w:rsidR="00A60C8A" w:rsidRPr="009B44B4">
        <w:rPr>
          <w:szCs w:val="24"/>
        </w:rPr>
        <w:instrText>/</w:instrText>
      </w:r>
      <w:r w:rsidR="00A60C8A">
        <w:rPr>
          <w:szCs w:val="24"/>
          <w:lang w:val="en-US"/>
        </w:rPr>
        <w:instrText>schema</w:instrText>
      </w:r>
      <w:r w:rsidR="00A60C8A" w:rsidRPr="009B44B4">
        <w:rPr>
          <w:szCs w:val="24"/>
        </w:rPr>
        <w:instrText>/</w:instrText>
      </w:r>
      <w:r w:rsidR="00A60C8A">
        <w:rPr>
          <w:szCs w:val="24"/>
          <w:lang w:val="en-US"/>
        </w:rPr>
        <w:instrText>raw</w:instrText>
      </w:r>
      <w:r w:rsidR="00A60C8A" w:rsidRPr="009B44B4">
        <w:rPr>
          <w:szCs w:val="24"/>
        </w:rPr>
        <w:instrText>/</w:instrText>
      </w:r>
      <w:r w:rsidR="00A60C8A">
        <w:rPr>
          <w:szCs w:val="24"/>
          <w:lang w:val="en-US"/>
        </w:rPr>
        <w:instrText>master</w:instrText>
      </w:r>
      <w:r w:rsidR="00A60C8A" w:rsidRPr="009B44B4">
        <w:rPr>
          <w:szCs w:val="24"/>
        </w:rPr>
        <w:instrText>/</w:instrText>
      </w:r>
      <w:r w:rsidR="00A60C8A">
        <w:rPr>
          <w:szCs w:val="24"/>
          <w:lang w:val="en-US"/>
        </w:rPr>
        <w:instrText>csl</w:instrText>
      </w:r>
      <w:r w:rsidR="00A60C8A" w:rsidRPr="009B44B4">
        <w:rPr>
          <w:szCs w:val="24"/>
        </w:rPr>
        <w:instrText>-</w:instrText>
      </w:r>
      <w:r w:rsidR="00A60C8A">
        <w:rPr>
          <w:szCs w:val="24"/>
          <w:lang w:val="en-US"/>
        </w:rPr>
        <w:instrText>citation</w:instrText>
      </w:r>
      <w:r w:rsidR="00A60C8A" w:rsidRPr="009B44B4">
        <w:rPr>
          <w:szCs w:val="24"/>
        </w:rPr>
        <w:instrText>.</w:instrText>
      </w:r>
      <w:r w:rsidR="00A60C8A">
        <w:rPr>
          <w:szCs w:val="24"/>
          <w:lang w:val="en-US"/>
        </w:rPr>
        <w:instrText>json</w:instrText>
      </w:r>
      <w:r w:rsidR="00A60C8A" w:rsidRPr="009B44B4">
        <w:rPr>
          <w:szCs w:val="24"/>
        </w:rPr>
        <w:instrText>"}</w:instrText>
      </w:r>
      <w:r>
        <w:rPr>
          <w:szCs w:val="24"/>
          <w:lang w:val="en-US"/>
        </w:rPr>
        <w:fldChar w:fldCharType="separate"/>
      </w:r>
      <w:r w:rsidR="00500503" w:rsidRPr="00500503">
        <w:rPr>
          <w:noProof/>
          <w:szCs w:val="24"/>
        </w:rPr>
        <w:t>[121]</w:t>
      </w:r>
      <w:r>
        <w:rPr>
          <w:szCs w:val="24"/>
          <w:lang w:val="en-US"/>
        </w:rPr>
        <w:fldChar w:fldCharType="end"/>
      </w:r>
      <w:r w:rsidRPr="004F07FC">
        <w:rPr>
          <w:szCs w:val="24"/>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513"/>
      </w:tblGrid>
      <w:tr w:rsidR="00FF7C87" w:rsidRPr="00DC46B0" w14:paraId="2C09A4C3" w14:textId="77777777" w:rsidTr="002D3EBF">
        <w:trPr>
          <w:trHeight w:val="584"/>
        </w:trPr>
        <w:tc>
          <w:tcPr>
            <w:tcW w:w="1951" w:type="dxa"/>
            <w:shd w:val="clear" w:color="auto" w:fill="auto"/>
            <w:hideMark/>
          </w:tcPr>
          <w:p w14:paraId="1CF391E4" w14:textId="77777777" w:rsidR="00FF7C87" w:rsidRPr="00DC46B0" w:rsidRDefault="00FF7C87" w:rsidP="00A538AA">
            <w:pPr>
              <w:ind w:firstLine="0"/>
              <w:rPr>
                <w:b/>
                <w:bCs/>
                <w:szCs w:val="24"/>
              </w:rPr>
            </w:pPr>
            <w:r w:rsidRPr="00DC46B0">
              <w:rPr>
                <w:b/>
                <w:bCs/>
                <w:szCs w:val="24"/>
              </w:rPr>
              <w:t>Риск</w:t>
            </w:r>
          </w:p>
        </w:tc>
        <w:tc>
          <w:tcPr>
            <w:tcW w:w="7513" w:type="dxa"/>
            <w:shd w:val="clear" w:color="auto" w:fill="auto"/>
            <w:hideMark/>
          </w:tcPr>
          <w:p w14:paraId="47308921" w14:textId="77777777" w:rsidR="00FF7C87" w:rsidRPr="00DC46B0" w:rsidRDefault="00FF7C87" w:rsidP="00A538AA">
            <w:pPr>
              <w:ind w:firstLine="0"/>
              <w:rPr>
                <w:b/>
                <w:bCs/>
                <w:szCs w:val="24"/>
              </w:rPr>
            </w:pPr>
            <w:r w:rsidRPr="00DC46B0">
              <w:rPr>
                <w:b/>
                <w:bCs/>
                <w:szCs w:val="24"/>
              </w:rPr>
              <w:t xml:space="preserve">                                     Рекомендации</w:t>
            </w:r>
          </w:p>
        </w:tc>
      </w:tr>
      <w:tr w:rsidR="00FF7C87" w:rsidRPr="00DC46B0" w14:paraId="678A05AD" w14:textId="77777777" w:rsidTr="002D3EBF">
        <w:trPr>
          <w:trHeight w:val="584"/>
        </w:trPr>
        <w:tc>
          <w:tcPr>
            <w:tcW w:w="1951" w:type="dxa"/>
            <w:shd w:val="clear" w:color="auto" w:fill="auto"/>
            <w:hideMark/>
          </w:tcPr>
          <w:p w14:paraId="0902844A" w14:textId="77777777" w:rsidR="00FF7C87" w:rsidRPr="00DC46B0" w:rsidRDefault="00FF7C87" w:rsidP="00A538AA">
            <w:pPr>
              <w:ind w:firstLine="0"/>
              <w:rPr>
                <w:bCs/>
                <w:szCs w:val="24"/>
              </w:rPr>
            </w:pPr>
            <w:r w:rsidRPr="00DC46B0">
              <w:rPr>
                <w:bCs/>
                <w:szCs w:val="24"/>
              </w:rPr>
              <w:t xml:space="preserve">Очень высокий риск </w:t>
            </w:r>
          </w:p>
        </w:tc>
        <w:tc>
          <w:tcPr>
            <w:tcW w:w="7513" w:type="dxa"/>
            <w:shd w:val="clear" w:color="auto" w:fill="auto"/>
            <w:hideMark/>
          </w:tcPr>
          <w:p w14:paraId="4099CE3E" w14:textId="77777777" w:rsidR="00FF7C87" w:rsidRPr="00DC46B0" w:rsidRDefault="00FF7C87" w:rsidP="00A538AA">
            <w:pPr>
              <w:ind w:firstLine="0"/>
              <w:rPr>
                <w:bCs/>
                <w:szCs w:val="24"/>
              </w:rPr>
            </w:pPr>
            <w:r w:rsidRPr="00DC46B0">
              <w:rPr>
                <w:bCs/>
                <w:szCs w:val="24"/>
              </w:rPr>
              <w:t>За 1 неделю до ХТ начать иАПФ/АРА, карведилол, статины в низких дозах</w:t>
            </w:r>
            <w:r w:rsidRPr="00DC46B0">
              <w:rPr>
                <w:b/>
                <w:bCs/>
                <w:szCs w:val="24"/>
              </w:rPr>
              <w:t>.</w:t>
            </w:r>
            <w:r w:rsidRPr="00DC46B0">
              <w:rPr>
                <w:bCs/>
                <w:szCs w:val="24"/>
              </w:rPr>
              <w:t xml:space="preserve">  Далее, на фоне ХТ при стабильном состоянии  титровать по переносимости. </w:t>
            </w:r>
          </w:p>
        </w:tc>
      </w:tr>
      <w:tr w:rsidR="00FF7C87" w:rsidRPr="00DC46B0" w14:paraId="50221609" w14:textId="77777777" w:rsidTr="002D3EBF">
        <w:trPr>
          <w:trHeight w:val="357"/>
        </w:trPr>
        <w:tc>
          <w:tcPr>
            <w:tcW w:w="1951" w:type="dxa"/>
            <w:shd w:val="clear" w:color="auto" w:fill="auto"/>
            <w:hideMark/>
          </w:tcPr>
          <w:p w14:paraId="35089FEE" w14:textId="77777777" w:rsidR="00FF7C87" w:rsidRPr="00DC46B0" w:rsidRDefault="00FF7C87" w:rsidP="00A538AA">
            <w:pPr>
              <w:ind w:firstLine="0"/>
              <w:rPr>
                <w:bCs/>
                <w:szCs w:val="24"/>
              </w:rPr>
            </w:pPr>
            <w:r w:rsidRPr="00DC46B0">
              <w:rPr>
                <w:bCs/>
                <w:szCs w:val="24"/>
              </w:rPr>
              <w:t xml:space="preserve">Высокий риск </w:t>
            </w:r>
          </w:p>
        </w:tc>
        <w:tc>
          <w:tcPr>
            <w:tcW w:w="7513" w:type="dxa"/>
            <w:shd w:val="clear" w:color="auto" w:fill="auto"/>
            <w:hideMark/>
          </w:tcPr>
          <w:p w14:paraId="26EC3E63" w14:textId="77777777" w:rsidR="00FF7C87" w:rsidRPr="00DC46B0" w:rsidRDefault="00FF7C87" w:rsidP="00A538AA">
            <w:pPr>
              <w:ind w:firstLine="0"/>
              <w:rPr>
                <w:bCs/>
                <w:szCs w:val="24"/>
              </w:rPr>
            </w:pPr>
            <w:r w:rsidRPr="00DC46B0">
              <w:rPr>
                <w:bCs/>
                <w:szCs w:val="24"/>
              </w:rPr>
              <w:t xml:space="preserve">Начать иАПФ/АРА, карведилол и/или статины.  </w:t>
            </w:r>
          </w:p>
        </w:tc>
      </w:tr>
      <w:tr w:rsidR="00FF7C87" w:rsidRPr="00DC46B0" w14:paraId="2B4662A7" w14:textId="77777777" w:rsidTr="002D3EBF">
        <w:trPr>
          <w:trHeight w:val="584"/>
        </w:trPr>
        <w:tc>
          <w:tcPr>
            <w:tcW w:w="1951" w:type="dxa"/>
            <w:shd w:val="clear" w:color="auto" w:fill="auto"/>
            <w:hideMark/>
          </w:tcPr>
          <w:p w14:paraId="46B42858" w14:textId="77777777" w:rsidR="00FF7C87" w:rsidRPr="00DC46B0" w:rsidRDefault="00FF7C87" w:rsidP="00A538AA">
            <w:pPr>
              <w:ind w:firstLine="0"/>
              <w:rPr>
                <w:bCs/>
                <w:szCs w:val="24"/>
              </w:rPr>
            </w:pPr>
            <w:r w:rsidRPr="00DC46B0">
              <w:rPr>
                <w:bCs/>
                <w:szCs w:val="24"/>
              </w:rPr>
              <w:t xml:space="preserve">Промежуточный риск </w:t>
            </w:r>
          </w:p>
        </w:tc>
        <w:tc>
          <w:tcPr>
            <w:tcW w:w="7513" w:type="dxa"/>
            <w:shd w:val="clear" w:color="auto" w:fill="auto"/>
            <w:hideMark/>
          </w:tcPr>
          <w:p w14:paraId="087C7FFB" w14:textId="77777777" w:rsidR="00FF7C87" w:rsidRPr="00DC46B0" w:rsidRDefault="00FF7C87" w:rsidP="00A538AA">
            <w:pPr>
              <w:ind w:firstLine="0"/>
              <w:rPr>
                <w:bCs/>
                <w:szCs w:val="24"/>
              </w:rPr>
            </w:pPr>
            <w:r w:rsidRPr="00DC46B0">
              <w:rPr>
                <w:bCs/>
                <w:szCs w:val="24"/>
              </w:rPr>
              <w:t>Обсудить</w:t>
            </w:r>
            <w:r w:rsidRPr="00DC46B0">
              <w:rPr>
                <w:b/>
                <w:bCs/>
                <w:i/>
                <w:szCs w:val="24"/>
              </w:rPr>
              <w:t xml:space="preserve"> </w:t>
            </w:r>
            <w:r w:rsidRPr="00DC46B0">
              <w:rPr>
                <w:bCs/>
                <w:szCs w:val="24"/>
              </w:rPr>
              <w:t xml:space="preserve">необходимость медикаментозной профилактики. </w:t>
            </w:r>
          </w:p>
        </w:tc>
      </w:tr>
      <w:tr w:rsidR="00FF7C87" w:rsidRPr="00DC46B0" w14:paraId="0C8967E0" w14:textId="77777777" w:rsidTr="002D3EBF">
        <w:trPr>
          <w:trHeight w:val="356"/>
        </w:trPr>
        <w:tc>
          <w:tcPr>
            <w:tcW w:w="1951" w:type="dxa"/>
            <w:shd w:val="clear" w:color="auto" w:fill="auto"/>
            <w:hideMark/>
          </w:tcPr>
          <w:p w14:paraId="4643696C" w14:textId="77777777" w:rsidR="00FF7C87" w:rsidRPr="00DC46B0" w:rsidRDefault="00FF7C87" w:rsidP="00A538AA">
            <w:pPr>
              <w:ind w:firstLine="0"/>
              <w:rPr>
                <w:bCs/>
                <w:szCs w:val="24"/>
              </w:rPr>
            </w:pPr>
            <w:r w:rsidRPr="00DC46B0">
              <w:rPr>
                <w:bCs/>
                <w:szCs w:val="24"/>
              </w:rPr>
              <w:t xml:space="preserve">Низкий риск </w:t>
            </w:r>
          </w:p>
        </w:tc>
        <w:tc>
          <w:tcPr>
            <w:tcW w:w="7513" w:type="dxa"/>
            <w:shd w:val="clear" w:color="auto" w:fill="auto"/>
            <w:hideMark/>
          </w:tcPr>
          <w:p w14:paraId="23303C63" w14:textId="77777777" w:rsidR="00FF7C87" w:rsidRPr="00DC46B0" w:rsidRDefault="00FF7C87" w:rsidP="00A538AA">
            <w:pPr>
              <w:ind w:firstLine="0"/>
              <w:rPr>
                <w:bCs/>
                <w:szCs w:val="24"/>
              </w:rPr>
            </w:pPr>
            <w:r w:rsidRPr="00DC46B0">
              <w:rPr>
                <w:bCs/>
                <w:szCs w:val="24"/>
              </w:rPr>
              <w:t xml:space="preserve">Только мониторинг состояния. </w:t>
            </w:r>
          </w:p>
        </w:tc>
      </w:tr>
      <w:tr w:rsidR="00FF7C87" w:rsidRPr="00DC46B0" w14:paraId="431440B0" w14:textId="77777777" w:rsidTr="002D3EBF">
        <w:trPr>
          <w:trHeight w:val="417"/>
        </w:trPr>
        <w:tc>
          <w:tcPr>
            <w:tcW w:w="1951" w:type="dxa"/>
            <w:shd w:val="clear" w:color="auto" w:fill="auto"/>
            <w:hideMark/>
          </w:tcPr>
          <w:p w14:paraId="0E62C1E9" w14:textId="77777777" w:rsidR="00FF7C87" w:rsidRPr="00DC46B0" w:rsidRDefault="00FF7C87" w:rsidP="00A538AA">
            <w:pPr>
              <w:ind w:firstLine="0"/>
              <w:rPr>
                <w:bCs/>
                <w:szCs w:val="24"/>
              </w:rPr>
            </w:pPr>
            <w:r w:rsidRPr="00DC46B0">
              <w:rPr>
                <w:bCs/>
                <w:szCs w:val="24"/>
              </w:rPr>
              <w:t xml:space="preserve">Очень низкий риск </w:t>
            </w:r>
          </w:p>
        </w:tc>
        <w:tc>
          <w:tcPr>
            <w:tcW w:w="7513" w:type="dxa"/>
            <w:shd w:val="clear" w:color="auto" w:fill="auto"/>
            <w:hideMark/>
          </w:tcPr>
          <w:p w14:paraId="7DB5D0B2" w14:textId="77777777" w:rsidR="00FF7C87" w:rsidRPr="00DC46B0" w:rsidRDefault="00FF7C87" w:rsidP="00A538AA">
            <w:pPr>
              <w:ind w:firstLine="0"/>
              <w:rPr>
                <w:bCs/>
                <w:szCs w:val="24"/>
              </w:rPr>
            </w:pPr>
            <w:r w:rsidRPr="00DC46B0">
              <w:rPr>
                <w:bCs/>
                <w:szCs w:val="24"/>
              </w:rPr>
              <w:t xml:space="preserve">Только мониторинг состояния. </w:t>
            </w:r>
          </w:p>
        </w:tc>
      </w:tr>
    </w:tbl>
    <w:p w14:paraId="7B027BDF" w14:textId="77777777" w:rsidR="00FF7C87" w:rsidRPr="00DC46B0" w:rsidRDefault="00FF7C87" w:rsidP="00FF7C87">
      <w:pPr>
        <w:rPr>
          <w:szCs w:val="24"/>
        </w:rPr>
      </w:pPr>
    </w:p>
    <w:p w14:paraId="29571558" w14:textId="77777777" w:rsidR="00FF7C87" w:rsidRDefault="00FF7C87" w:rsidP="00FF7C87">
      <w:pPr>
        <w:rPr>
          <w:szCs w:val="24"/>
        </w:rPr>
      </w:pPr>
      <w:r w:rsidRPr="00DC46B0">
        <w:rPr>
          <w:szCs w:val="24"/>
        </w:rPr>
        <w:t xml:space="preserve">Рекомендуется тщательный мониторинг состояния больных, получающих гематологическое противоопухолевое лечение, в том числе даже с низким и очень низким рисками развития осложнений (таб. 4). </w:t>
      </w:r>
    </w:p>
    <w:p w14:paraId="0CDAAA36" w14:textId="77777777" w:rsidR="00FF7C87" w:rsidRPr="00DC46B0" w:rsidRDefault="00FF7C87" w:rsidP="00FF7C87">
      <w:pPr>
        <w:rPr>
          <w:szCs w:val="24"/>
        </w:rPr>
      </w:pPr>
    </w:p>
    <w:p w14:paraId="3BC099E8" w14:textId="5F61C762" w:rsidR="00FF7C87" w:rsidRPr="004F07FC" w:rsidRDefault="00FF7C87" w:rsidP="00FF7C87">
      <w:pPr>
        <w:rPr>
          <w:szCs w:val="24"/>
        </w:rPr>
      </w:pPr>
      <w:r w:rsidRPr="004F07FC">
        <w:rPr>
          <w:bCs/>
          <w:szCs w:val="24"/>
        </w:rPr>
        <w:t xml:space="preserve">Таблица 4. Мониторинг  пациентов в  зависимости  от  риска  кардиотоксичности </w:t>
      </w:r>
      <w:r>
        <w:rPr>
          <w:bCs/>
          <w:szCs w:val="24"/>
        </w:rPr>
        <w:fldChar w:fldCharType="begin" w:fldLock="1"/>
      </w:r>
      <w:r w:rsidR="00A60C8A">
        <w:rPr>
          <w:bCs/>
          <w:szCs w:val="24"/>
        </w:rPr>
        <w:instrText>ADDIN CSL_CITATION {"citationItems":[{"id":"ITEM-1","itemData":{"DOI":"10.1530/ERP-17-0013","ISSN":"20550464","abstract":"Cardio-oncology is a rapidly growing feld aimed at minimizing the effects of cardiovascular morbidity and mortality in cancer survivors. To meet this aim, patients are assessed at baseline to define their risk of cardiotoxicity and then followed closely during and after chemotherapy to assess for early signs or symptoms of cardiovascular disease. Cardiac imaging, and in particular, transthoracic echocardiography, plays an essential role in the baseline assessment and serial follow-up of cardio-oncology patients. The objectives of this paper are to review the mechanisms of cardiotoxicity of several common chemotherapeutic agents associated with an increased risk for left ventricular systolic dysfunction and to outline recommendations regarding the baseline assessment and serial follow-up of cardio-oncology patients with a focus on the role of echocardiography.","author":[{"dropping-particle":"","family":"Larsen","given":"Carolyn M.","non-dropping-particle":"","parse-names":false,"suffix":""},{"dropping-particle":"","family":"Mulvagh","given":"Sharon L.","non-dropping-particle":"","parse-names":false,"suffix":""}],"container-title":"Echo Research and Practice","id":"ITEM-1","issue":"1","issued":{"date-parts":[["2017","3","1"]]},"page":"R33-R41","publisher":"BioScientifica Ltd.","title":"Cardio-oncology: What you need to know now for clinical practice and echocardiography","type":"article","volume":"4"},"uris":["http://www.mendeley.com/documents/?uuid=8c6f1c03-ad49-3f5e-8b63-59b182a86311"]}],"mendeley":{"formattedCitation":"[121]","plainTextFormattedCitation":"[121]","previouslyFormattedCitation":"[121]"},"properties":{"noteIndex":0},"schema":"https://github.com/citation-style-language/schema/raw/master/csl-citation.json"}</w:instrText>
      </w:r>
      <w:r>
        <w:rPr>
          <w:bCs/>
          <w:szCs w:val="24"/>
        </w:rPr>
        <w:fldChar w:fldCharType="separate"/>
      </w:r>
      <w:r w:rsidR="00500503" w:rsidRPr="00500503">
        <w:rPr>
          <w:bCs/>
          <w:noProof/>
          <w:szCs w:val="24"/>
        </w:rPr>
        <w:t>[121]</w:t>
      </w:r>
      <w:r>
        <w:rPr>
          <w:bCs/>
          <w:szCs w:val="24"/>
        </w:rPr>
        <w:fldChar w:fldCharType="end"/>
      </w:r>
      <w:r w:rsidRPr="004F07FC">
        <w:rPr>
          <w:bCs/>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395"/>
      </w:tblGrid>
      <w:tr w:rsidR="00FF7C87" w:rsidRPr="00DC46B0" w14:paraId="3DBC0364" w14:textId="77777777" w:rsidTr="002D3EBF">
        <w:tc>
          <w:tcPr>
            <w:tcW w:w="1951" w:type="dxa"/>
            <w:shd w:val="clear" w:color="auto" w:fill="auto"/>
          </w:tcPr>
          <w:p w14:paraId="66DD2D46" w14:textId="77777777" w:rsidR="00FF7C87" w:rsidRPr="00DC46B0" w:rsidRDefault="00FF7C87" w:rsidP="00A538AA">
            <w:pPr>
              <w:ind w:firstLine="0"/>
              <w:rPr>
                <w:b/>
                <w:bCs/>
                <w:szCs w:val="24"/>
              </w:rPr>
            </w:pPr>
            <w:r w:rsidRPr="00DC46B0">
              <w:rPr>
                <w:b/>
                <w:bCs/>
                <w:szCs w:val="24"/>
              </w:rPr>
              <w:t xml:space="preserve">      Оценка</w:t>
            </w:r>
          </w:p>
          <w:p w14:paraId="4E1EC805" w14:textId="77777777" w:rsidR="00FF7C87" w:rsidRPr="00DC46B0" w:rsidRDefault="00FF7C87" w:rsidP="00A538AA">
            <w:pPr>
              <w:ind w:firstLine="0"/>
              <w:rPr>
                <w:b/>
                <w:szCs w:val="24"/>
              </w:rPr>
            </w:pPr>
            <w:r w:rsidRPr="00DC46B0">
              <w:rPr>
                <w:b/>
                <w:bCs/>
                <w:szCs w:val="24"/>
              </w:rPr>
              <w:t xml:space="preserve">       риска</w:t>
            </w:r>
          </w:p>
        </w:tc>
        <w:tc>
          <w:tcPr>
            <w:tcW w:w="7620" w:type="dxa"/>
            <w:shd w:val="clear" w:color="auto" w:fill="auto"/>
          </w:tcPr>
          <w:p w14:paraId="0DEC4FBF" w14:textId="77777777" w:rsidR="00FF7C87" w:rsidRPr="00DC46B0" w:rsidRDefault="00FF7C87" w:rsidP="00A538AA">
            <w:pPr>
              <w:ind w:firstLine="0"/>
              <w:jc w:val="center"/>
              <w:rPr>
                <w:b/>
                <w:szCs w:val="24"/>
              </w:rPr>
            </w:pPr>
            <w:r w:rsidRPr="00DC46B0">
              <w:rPr>
                <w:b/>
                <w:bCs/>
                <w:szCs w:val="24"/>
              </w:rPr>
              <w:t>Обследование</w:t>
            </w:r>
          </w:p>
        </w:tc>
      </w:tr>
      <w:tr w:rsidR="00FF7C87" w:rsidRPr="00DC46B0" w14:paraId="33BEAA3A" w14:textId="77777777" w:rsidTr="002D3EBF">
        <w:tc>
          <w:tcPr>
            <w:tcW w:w="1951" w:type="dxa"/>
            <w:shd w:val="clear" w:color="auto" w:fill="auto"/>
          </w:tcPr>
          <w:p w14:paraId="70DAE539" w14:textId="77777777" w:rsidR="00FF7C87" w:rsidRPr="00DC46B0" w:rsidRDefault="00FF7C87" w:rsidP="00A538AA">
            <w:pPr>
              <w:ind w:firstLine="0"/>
              <w:rPr>
                <w:szCs w:val="24"/>
              </w:rPr>
            </w:pPr>
            <w:r w:rsidRPr="00DC46B0">
              <w:rPr>
                <w:bCs/>
                <w:szCs w:val="24"/>
              </w:rPr>
              <w:t>Очень высокий риск</w:t>
            </w:r>
          </w:p>
        </w:tc>
        <w:tc>
          <w:tcPr>
            <w:tcW w:w="7620" w:type="dxa"/>
            <w:shd w:val="clear" w:color="auto" w:fill="auto"/>
          </w:tcPr>
          <w:p w14:paraId="1898AA01" w14:textId="77777777" w:rsidR="00FF7C87" w:rsidRPr="00DC46B0" w:rsidRDefault="00FF7C87" w:rsidP="00A538AA">
            <w:pPr>
              <w:ind w:firstLine="0"/>
              <w:rPr>
                <w:szCs w:val="24"/>
              </w:rPr>
            </w:pPr>
            <w:r w:rsidRPr="00DC46B0">
              <w:rPr>
                <w:bCs/>
                <w:szCs w:val="24"/>
              </w:rPr>
              <w:t xml:space="preserve">ЭхоКГ с оценкой </w:t>
            </w:r>
            <w:r w:rsidRPr="00DC46B0">
              <w:rPr>
                <w:szCs w:val="24"/>
              </w:rPr>
              <w:t xml:space="preserve">глобальной продольной деформации </w:t>
            </w:r>
            <w:r w:rsidRPr="00DC46B0">
              <w:rPr>
                <w:bCs/>
                <w:szCs w:val="24"/>
              </w:rPr>
              <w:t>миокарда</w:t>
            </w:r>
            <w:r w:rsidRPr="00DC46B0">
              <w:rPr>
                <w:szCs w:val="24"/>
              </w:rPr>
              <w:t xml:space="preserve"> левого желудочка сердца</w:t>
            </w:r>
            <w:r w:rsidRPr="00DC46B0">
              <w:rPr>
                <w:bCs/>
                <w:szCs w:val="24"/>
              </w:rPr>
              <w:t xml:space="preserve"> перед началом химиотерапии, перед каждым последующим курсом, в конце лечения, на 3, 6 и 12-й месяцы после лечения. Желательно: ЭКГ, </w:t>
            </w:r>
            <w:r w:rsidRPr="00DC46B0">
              <w:rPr>
                <w:bCs/>
                <w:szCs w:val="24"/>
                <w:lang w:val="en-US"/>
              </w:rPr>
              <w:t>cTn</w:t>
            </w:r>
            <w:r w:rsidRPr="00DC46B0">
              <w:rPr>
                <w:bCs/>
                <w:szCs w:val="24"/>
              </w:rPr>
              <w:t>, ЭхоКГ во время химиотерапии.</w:t>
            </w:r>
          </w:p>
        </w:tc>
      </w:tr>
      <w:tr w:rsidR="00FF7C87" w:rsidRPr="00DC46B0" w14:paraId="421765BB" w14:textId="77777777" w:rsidTr="002D3EBF">
        <w:tc>
          <w:tcPr>
            <w:tcW w:w="1951" w:type="dxa"/>
            <w:shd w:val="clear" w:color="auto" w:fill="auto"/>
          </w:tcPr>
          <w:p w14:paraId="34953FF3" w14:textId="77777777" w:rsidR="00FF7C87" w:rsidRPr="00DC46B0" w:rsidRDefault="00FF7C87" w:rsidP="00A538AA">
            <w:pPr>
              <w:ind w:firstLine="0"/>
              <w:rPr>
                <w:szCs w:val="24"/>
              </w:rPr>
            </w:pPr>
            <w:r w:rsidRPr="00DC46B0">
              <w:rPr>
                <w:bCs/>
                <w:szCs w:val="24"/>
              </w:rPr>
              <w:t>Высокий риск</w:t>
            </w:r>
          </w:p>
        </w:tc>
        <w:tc>
          <w:tcPr>
            <w:tcW w:w="7620" w:type="dxa"/>
            <w:shd w:val="clear" w:color="auto" w:fill="auto"/>
          </w:tcPr>
          <w:p w14:paraId="5CC30EB0" w14:textId="77777777" w:rsidR="00FF7C87" w:rsidRPr="00DC46B0" w:rsidRDefault="00FF7C87" w:rsidP="00A538AA">
            <w:pPr>
              <w:ind w:firstLine="0"/>
              <w:rPr>
                <w:szCs w:val="24"/>
              </w:rPr>
            </w:pPr>
            <w:r w:rsidRPr="00DC46B0">
              <w:rPr>
                <w:bCs/>
                <w:szCs w:val="24"/>
              </w:rPr>
              <w:t xml:space="preserve">ЭхоКГ с оценкой </w:t>
            </w:r>
            <w:r w:rsidRPr="00DC46B0">
              <w:rPr>
                <w:szCs w:val="24"/>
              </w:rPr>
              <w:t xml:space="preserve">глобальной продольной деформации </w:t>
            </w:r>
            <w:r w:rsidRPr="00DC46B0">
              <w:rPr>
                <w:bCs/>
                <w:szCs w:val="24"/>
              </w:rPr>
              <w:t>миокарда</w:t>
            </w:r>
            <w:r w:rsidRPr="00DC46B0">
              <w:rPr>
                <w:szCs w:val="24"/>
              </w:rPr>
              <w:t xml:space="preserve"> левого желудочка сердца</w:t>
            </w:r>
            <w:r w:rsidRPr="00DC46B0">
              <w:rPr>
                <w:bCs/>
                <w:szCs w:val="24"/>
              </w:rPr>
              <w:t xml:space="preserve"> после каждого третьего курса, в конце лечения, через 3, 6 и 12 месяцев после лечения. Желательно: ЭКГ, </w:t>
            </w:r>
            <w:r w:rsidRPr="00DC46B0">
              <w:rPr>
                <w:bCs/>
                <w:szCs w:val="24"/>
                <w:lang w:val="en-US"/>
              </w:rPr>
              <w:t>cTn</w:t>
            </w:r>
            <w:r w:rsidRPr="00DC46B0">
              <w:rPr>
                <w:bCs/>
                <w:szCs w:val="24"/>
              </w:rPr>
              <w:t>, ЭхоКГ во время химиотерапии.</w:t>
            </w:r>
          </w:p>
        </w:tc>
      </w:tr>
      <w:tr w:rsidR="00FF7C87" w:rsidRPr="00DC46B0" w14:paraId="32520DE6" w14:textId="77777777" w:rsidTr="002D3EBF">
        <w:tc>
          <w:tcPr>
            <w:tcW w:w="1951" w:type="dxa"/>
            <w:shd w:val="clear" w:color="auto" w:fill="auto"/>
          </w:tcPr>
          <w:p w14:paraId="16A69113" w14:textId="77777777" w:rsidR="00FF7C87" w:rsidRPr="00DC46B0" w:rsidRDefault="00FF7C87" w:rsidP="00A538AA">
            <w:pPr>
              <w:ind w:firstLine="0"/>
              <w:rPr>
                <w:szCs w:val="24"/>
              </w:rPr>
            </w:pPr>
            <w:r w:rsidRPr="00DC46B0">
              <w:rPr>
                <w:bCs/>
                <w:szCs w:val="24"/>
              </w:rPr>
              <w:t>Промежуточный риск</w:t>
            </w:r>
          </w:p>
        </w:tc>
        <w:tc>
          <w:tcPr>
            <w:tcW w:w="7620" w:type="dxa"/>
            <w:shd w:val="clear" w:color="auto" w:fill="auto"/>
          </w:tcPr>
          <w:p w14:paraId="0F184D16" w14:textId="77777777" w:rsidR="00FF7C87" w:rsidRPr="00DC46B0" w:rsidRDefault="00FF7C87" w:rsidP="00A538AA">
            <w:pPr>
              <w:ind w:firstLine="0"/>
              <w:rPr>
                <w:szCs w:val="24"/>
              </w:rPr>
            </w:pPr>
            <w:r w:rsidRPr="00DC46B0">
              <w:rPr>
                <w:bCs/>
                <w:szCs w:val="24"/>
              </w:rPr>
              <w:t xml:space="preserve">ЭхоКГ с оценкой </w:t>
            </w:r>
            <w:r w:rsidRPr="00DC46B0">
              <w:rPr>
                <w:szCs w:val="24"/>
              </w:rPr>
              <w:t xml:space="preserve">глобальной продольной деформации </w:t>
            </w:r>
            <w:r w:rsidRPr="00DC46B0">
              <w:rPr>
                <w:bCs/>
                <w:szCs w:val="24"/>
              </w:rPr>
              <w:t>миокарда</w:t>
            </w:r>
            <w:r w:rsidRPr="00DC46B0">
              <w:rPr>
                <w:szCs w:val="24"/>
              </w:rPr>
              <w:t xml:space="preserve"> левого желудочка сердца</w:t>
            </w:r>
            <w:r w:rsidRPr="00DC46B0">
              <w:rPr>
                <w:bCs/>
                <w:szCs w:val="24"/>
              </w:rPr>
              <w:t xml:space="preserve"> в середине и в конце лечения, через 3 и 6 месяцев после лечения. Желательно: ЭКГ, </w:t>
            </w:r>
            <w:r w:rsidRPr="00DC46B0">
              <w:rPr>
                <w:bCs/>
                <w:szCs w:val="24"/>
                <w:lang w:val="en-US"/>
              </w:rPr>
              <w:t>cTn</w:t>
            </w:r>
            <w:r w:rsidRPr="00DC46B0">
              <w:rPr>
                <w:bCs/>
                <w:szCs w:val="24"/>
              </w:rPr>
              <w:t>, ЭхоКГ во время химиотерапии.</w:t>
            </w:r>
          </w:p>
        </w:tc>
      </w:tr>
      <w:tr w:rsidR="00FF7C87" w:rsidRPr="00DC46B0" w14:paraId="760E6FEF" w14:textId="77777777" w:rsidTr="002D3EBF">
        <w:tc>
          <w:tcPr>
            <w:tcW w:w="1951" w:type="dxa"/>
            <w:shd w:val="clear" w:color="auto" w:fill="auto"/>
          </w:tcPr>
          <w:p w14:paraId="10EC0048" w14:textId="77777777" w:rsidR="00FF7C87" w:rsidRPr="00DC46B0" w:rsidRDefault="00FF7C87" w:rsidP="00A538AA">
            <w:pPr>
              <w:ind w:firstLine="0"/>
              <w:rPr>
                <w:szCs w:val="24"/>
              </w:rPr>
            </w:pPr>
            <w:r w:rsidRPr="00DC46B0">
              <w:rPr>
                <w:bCs/>
                <w:szCs w:val="24"/>
              </w:rPr>
              <w:t>Низкий риск</w:t>
            </w:r>
          </w:p>
        </w:tc>
        <w:tc>
          <w:tcPr>
            <w:tcW w:w="7620" w:type="dxa"/>
            <w:shd w:val="clear" w:color="auto" w:fill="auto"/>
          </w:tcPr>
          <w:p w14:paraId="48D387D2" w14:textId="77777777" w:rsidR="00FF7C87" w:rsidRPr="00DC46B0" w:rsidRDefault="00FF7C87" w:rsidP="00A538AA">
            <w:pPr>
              <w:ind w:firstLine="0"/>
              <w:rPr>
                <w:szCs w:val="24"/>
              </w:rPr>
            </w:pPr>
            <w:r w:rsidRPr="00DC46B0">
              <w:rPr>
                <w:bCs/>
                <w:szCs w:val="24"/>
              </w:rPr>
              <w:t xml:space="preserve">По возможности ЭхоКГ с оценкой </w:t>
            </w:r>
            <w:r w:rsidRPr="00DC46B0">
              <w:rPr>
                <w:szCs w:val="24"/>
              </w:rPr>
              <w:t xml:space="preserve">глобальной продольной деформации </w:t>
            </w:r>
            <w:r w:rsidRPr="00DC46B0">
              <w:rPr>
                <w:bCs/>
                <w:szCs w:val="24"/>
              </w:rPr>
              <w:t>миокарда</w:t>
            </w:r>
            <w:r w:rsidRPr="00DC46B0">
              <w:rPr>
                <w:szCs w:val="24"/>
              </w:rPr>
              <w:t xml:space="preserve"> левого желудочка сердца</w:t>
            </w:r>
            <w:r w:rsidRPr="00DC46B0">
              <w:rPr>
                <w:bCs/>
                <w:szCs w:val="24"/>
              </w:rPr>
              <w:t xml:space="preserve"> и/или ЭКГ, </w:t>
            </w:r>
            <w:r w:rsidRPr="00DC46B0">
              <w:rPr>
                <w:bCs/>
                <w:szCs w:val="24"/>
                <w:lang w:val="en-US"/>
              </w:rPr>
              <w:t>cTn</w:t>
            </w:r>
            <w:r w:rsidRPr="00DC46B0">
              <w:rPr>
                <w:bCs/>
                <w:szCs w:val="24"/>
              </w:rPr>
              <w:t>, в конце химиотерапии.</w:t>
            </w:r>
          </w:p>
        </w:tc>
      </w:tr>
      <w:tr w:rsidR="00FF7C87" w:rsidRPr="00DC46B0" w14:paraId="673F5802" w14:textId="77777777" w:rsidTr="002D3EBF">
        <w:tc>
          <w:tcPr>
            <w:tcW w:w="1951" w:type="dxa"/>
            <w:shd w:val="clear" w:color="auto" w:fill="auto"/>
          </w:tcPr>
          <w:p w14:paraId="22E90C34" w14:textId="77777777" w:rsidR="00FF7C87" w:rsidRPr="00DC46B0" w:rsidRDefault="00FF7C87" w:rsidP="00A538AA">
            <w:pPr>
              <w:ind w:firstLine="0"/>
              <w:rPr>
                <w:szCs w:val="24"/>
              </w:rPr>
            </w:pPr>
            <w:r w:rsidRPr="00DC46B0">
              <w:rPr>
                <w:bCs/>
                <w:szCs w:val="24"/>
              </w:rPr>
              <w:t>Очень низкий риск</w:t>
            </w:r>
          </w:p>
        </w:tc>
        <w:tc>
          <w:tcPr>
            <w:tcW w:w="7620" w:type="dxa"/>
            <w:shd w:val="clear" w:color="auto" w:fill="auto"/>
          </w:tcPr>
          <w:p w14:paraId="6185DB6A" w14:textId="77777777" w:rsidR="00FF7C87" w:rsidRPr="00DC46B0" w:rsidRDefault="00FF7C87" w:rsidP="00A538AA">
            <w:pPr>
              <w:ind w:firstLine="0"/>
              <w:rPr>
                <w:szCs w:val="24"/>
              </w:rPr>
            </w:pPr>
            <w:r w:rsidRPr="00DC46B0">
              <w:rPr>
                <w:bCs/>
                <w:szCs w:val="24"/>
              </w:rPr>
              <w:t xml:space="preserve">По возможности ЭхоКГ с оценкой </w:t>
            </w:r>
            <w:r w:rsidRPr="00DC46B0">
              <w:rPr>
                <w:szCs w:val="24"/>
              </w:rPr>
              <w:t xml:space="preserve">глобальной продольной деформации </w:t>
            </w:r>
            <w:r w:rsidRPr="00DC46B0">
              <w:rPr>
                <w:bCs/>
                <w:szCs w:val="24"/>
              </w:rPr>
              <w:t>миокарда</w:t>
            </w:r>
            <w:r w:rsidRPr="00DC46B0">
              <w:rPr>
                <w:szCs w:val="24"/>
              </w:rPr>
              <w:t xml:space="preserve"> левого желудочка сердца</w:t>
            </w:r>
            <w:r w:rsidRPr="00DC46B0">
              <w:rPr>
                <w:bCs/>
                <w:szCs w:val="24"/>
              </w:rPr>
              <w:t xml:space="preserve"> и/или ЭКГ, </w:t>
            </w:r>
            <w:r w:rsidRPr="00DC46B0">
              <w:rPr>
                <w:bCs/>
                <w:szCs w:val="24"/>
                <w:lang w:val="en-US"/>
              </w:rPr>
              <w:t>cTn</w:t>
            </w:r>
            <w:r w:rsidRPr="00DC46B0">
              <w:rPr>
                <w:bCs/>
                <w:szCs w:val="24"/>
              </w:rPr>
              <w:t>, в конце химиотерапии.</w:t>
            </w:r>
          </w:p>
        </w:tc>
      </w:tr>
    </w:tbl>
    <w:p w14:paraId="04203127" w14:textId="77777777" w:rsidR="00FF7C87" w:rsidRPr="00DC46B0" w:rsidRDefault="00FF7C87" w:rsidP="00FF7C87">
      <w:pPr>
        <w:rPr>
          <w:szCs w:val="24"/>
        </w:rPr>
      </w:pPr>
    </w:p>
    <w:p w14:paraId="620A5246" w14:textId="2A6D83AB" w:rsidR="00FF7C87" w:rsidRPr="00DC46B0" w:rsidRDefault="00FF7C87" w:rsidP="00FF7C87">
      <w:pPr>
        <w:rPr>
          <w:szCs w:val="24"/>
        </w:rPr>
      </w:pPr>
      <w:r w:rsidRPr="00DC46B0">
        <w:rPr>
          <w:szCs w:val="24"/>
        </w:rPr>
        <w:t xml:space="preserve">Такой подход необходим для профилактики кардиотоксичности, проявляющейся тяжелой сердечной недостаточностью. Другие тяжелые осложнения – желудочковая тахикардия/фибрилляция желудочков сердца/внезапная смерть – могут развиться при введении (даже при первом) препарата антрациклинового ряда или бортезомиба, карфилзомиба, ритуксимаба, ромидепсина. Поэтому первые введения этих препаратов желательно проводить при тщательном мониторинге, в помещении, в котором возможна электрическая дефибрилляция.  </w:t>
      </w:r>
    </w:p>
    <w:p w14:paraId="41032E9B" w14:textId="4660FD07" w:rsidR="00FF7C87" w:rsidRPr="00DC46B0" w:rsidRDefault="00FF7C87" w:rsidP="00FF7C87">
      <w:pPr>
        <w:rPr>
          <w:szCs w:val="24"/>
        </w:rPr>
      </w:pPr>
      <w:r w:rsidRPr="00DC46B0">
        <w:rPr>
          <w:szCs w:val="24"/>
        </w:rPr>
        <w:t>Довольно многие противоопухолевые препараты удлиняют интервал QT на ЭКГ (что способствует возникновению фибрилляции желудочков и внезапной смерти) –доксорубицин, бозутиниб, дазатиниб, нилотиниб, понатиниб, препараты триоксида мышьяка, вемурафениб и другие. Возможность удлинения интервала QT значительно увеличивается у пациентов с сердечно-сосудистыми заболеваниями или принимающих лекарства, индуцирующие удлинение электрокардиографического желудочкового комплекса. Пациенты, получающие лечение этими препаратами, должны пройти, кроме других видов обследования, суточное мониторирование ЭКГ.</w:t>
      </w:r>
    </w:p>
    <w:p w14:paraId="321FCEB8" w14:textId="77777777" w:rsidR="00FF7C87" w:rsidRPr="00DC46B0" w:rsidRDefault="00FF7C87" w:rsidP="00FF7C87">
      <w:pPr>
        <w:rPr>
          <w:szCs w:val="24"/>
        </w:rPr>
      </w:pPr>
      <w:r w:rsidRPr="00DC46B0">
        <w:rPr>
          <w:szCs w:val="24"/>
        </w:rPr>
        <w:t>Несколько менее тяжелые осложнения – брадикардия и атриовентрикулярная блокада 2 и 3 степеней, однако нередко требует имплантации кардиостимулятора. Препараты, которые могут вызывать брадиаритмию – антрациклины, бортезомиб, циклофосфан, ритуксимаб, ибрутиниб, талидомид. Факторы риска брадикардии, синоатриальной, атриовентрикулярной блокад – перенесенный инфаркт миокарда (особенно нижней локализации), синдромы и Ленегра, гиперкалиемия (в т.</w:t>
      </w:r>
      <w:r w:rsidRPr="004F07FC">
        <w:rPr>
          <w:szCs w:val="24"/>
        </w:rPr>
        <w:t xml:space="preserve"> </w:t>
      </w:r>
      <w:r w:rsidRPr="00DC46B0">
        <w:rPr>
          <w:szCs w:val="24"/>
        </w:rPr>
        <w:t xml:space="preserve">ч., вследствие синдрома лизиса опухоли), старческий возраст. </w:t>
      </w:r>
    </w:p>
    <w:p w14:paraId="094A3D97" w14:textId="77777777" w:rsidR="00FF7C87" w:rsidRPr="00DC46B0" w:rsidRDefault="00FF7C87" w:rsidP="00FF7C87">
      <w:pPr>
        <w:rPr>
          <w:szCs w:val="24"/>
        </w:rPr>
      </w:pPr>
      <w:r w:rsidRPr="00DC46B0">
        <w:rPr>
          <w:szCs w:val="24"/>
        </w:rPr>
        <w:t>Кардиологическими нежелательными явлениями 1</w:t>
      </w:r>
      <w:r w:rsidRPr="00EB1E6B">
        <w:rPr>
          <w:szCs w:val="24"/>
        </w:rPr>
        <w:t>-</w:t>
      </w:r>
      <w:r w:rsidRPr="00DC46B0">
        <w:rPr>
          <w:szCs w:val="24"/>
        </w:rPr>
        <w:t>2 степени нередко являются АГ и ФП. ФП может возникать на фоне лечения ибрутинибом, циклофосфаном, изофосамидом, мельфаланом, антрациклинами, интерферонами, ритуксимабом, понатинибом. ФП нужно лечить совместно с кардиологом, чаще всего противоопухолевое лечение можно не прерывать. Сложность заключается в профилактике кардиоэмболического синдрома (прежде всего инсульта), возникающего при этом нарушении ритма. Профилактика состоит из назначения антикоагулянтов в соответствии со шкалой CHA</w:t>
      </w:r>
      <w:r w:rsidRPr="00DC46B0">
        <w:rPr>
          <w:szCs w:val="24"/>
          <w:vertAlign w:val="subscript"/>
        </w:rPr>
        <w:t>2</w:t>
      </w:r>
      <w:r w:rsidRPr="00DC46B0">
        <w:rPr>
          <w:szCs w:val="24"/>
        </w:rPr>
        <w:t>DS</w:t>
      </w:r>
      <w:r w:rsidRPr="00DC46B0">
        <w:rPr>
          <w:szCs w:val="24"/>
          <w:vertAlign w:val="subscript"/>
        </w:rPr>
        <w:t>2</w:t>
      </w:r>
      <w:r w:rsidRPr="00DC46B0">
        <w:rPr>
          <w:szCs w:val="24"/>
        </w:rPr>
        <w:t>Vasc. В то же время, при онкогематологических заболеваниях нередко имеется склонность к кровоточивости, а также некоторые препараты, применяемые для лечения этих больных (ибрутиниб) также индуцируют гипокоагуляцию. В таких случаях применяют новые антикоагулянты - ривароксабан, апиксабан, (некоторые авторы предпочитают их дабигатрану). АГ лечится по общим правилам гипотензивной терапии с учетом возможного взаимодействия гипотензивных средств с противоопухолевыми препаратами.</w:t>
      </w:r>
    </w:p>
    <w:p w14:paraId="00298E0B" w14:textId="77777777" w:rsidR="00FF7C87" w:rsidRDefault="00FF7C87" w:rsidP="00FF7C87">
      <w:pPr>
        <w:rPr>
          <w:b/>
          <w:szCs w:val="24"/>
        </w:rPr>
      </w:pPr>
    </w:p>
    <w:p w14:paraId="553AFAB6" w14:textId="77777777" w:rsidR="00FF7C87" w:rsidRPr="004F07FC" w:rsidRDefault="00FF7C87" w:rsidP="00FF7C87">
      <w:pPr>
        <w:rPr>
          <w:i/>
          <w:szCs w:val="24"/>
          <w:u w:val="single"/>
        </w:rPr>
      </w:pPr>
      <w:r w:rsidRPr="004F07FC">
        <w:rPr>
          <w:i/>
          <w:szCs w:val="24"/>
          <w:u w:val="single"/>
        </w:rPr>
        <w:t xml:space="preserve">Кардиологическое лечение гематологического пациента. </w:t>
      </w:r>
    </w:p>
    <w:p w14:paraId="52B0F33B" w14:textId="77777777" w:rsidR="00FF7C87" w:rsidRPr="00DC46B0" w:rsidRDefault="00FF7C87" w:rsidP="00FF7C87">
      <w:pPr>
        <w:rPr>
          <w:szCs w:val="24"/>
        </w:rPr>
      </w:pPr>
      <w:r w:rsidRPr="00DC46B0">
        <w:rPr>
          <w:szCs w:val="24"/>
        </w:rPr>
        <w:t xml:space="preserve">Лекарственные препараты для лечения сердечно-сосудистых заболеваний у гематологических пациентов, их комбинации и дозовые режимы подбираются индивидуально в зависимости от показаний, с учетом диагностированного гематологического заболевания и планируемого гематологического лечения. </w:t>
      </w:r>
    </w:p>
    <w:p w14:paraId="697001DC" w14:textId="77777777" w:rsidR="00FF7C87" w:rsidRPr="00DC46B0" w:rsidRDefault="00FF7C87" w:rsidP="00FF7C87">
      <w:pPr>
        <w:rPr>
          <w:szCs w:val="24"/>
        </w:rPr>
      </w:pPr>
      <w:r w:rsidRPr="00DC46B0">
        <w:rPr>
          <w:szCs w:val="24"/>
        </w:rPr>
        <w:t xml:space="preserve">Спектр основных применяемых сердечно-сосудистых препаратов:  </w:t>
      </w:r>
    </w:p>
    <w:p w14:paraId="0904568D" w14:textId="77777777" w:rsidR="00FF7C87" w:rsidRPr="004F07FC" w:rsidRDefault="00FF7C87" w:rsidP="00FF7C87">
      <w:pPr>
        <w:pStyle w:val="afe"/>
        <w:numPr>
          <w:ilvl w:val="0"/>
          <w:numId w:val="100"/>
        </w:numPr>
        <w:rPr>
          <w:szCs w:val="24"/>
        </w:rPr>
      </w:pPr>
      <w:r w:rsidRPr="004F07FC">
        <w:rPr>
          <w:szCs w:val="24"/>
        </w:rPr>
        <w:t xml:space="preserve">Ингибиторы ангиотензинпревращающего фермента – Эналаприл, Периндоприл, Рамиприл,  Лизиноприл, Фозиноприл, Моэксиприл и др. </w:t>
      </w:r>
    </w:p>
    <w:p w14:paraId="06791BD8" w14:textId="77777777" w:rsidR="00FF7C87" w:rsidRPr="004F07FC" w:rsidRDefault="00FF7C87" w:rsidP="00FF7C87">
      <w:pPr>
        <w:pStyle w:val="afe"/>
        <w:numPr>
          <w:ilvl w:val="0"/>
          <w:numId w:val="100"/>
        </w:numPr>
        <w:rPr>
          <w:szCs w:val="24"/>
        </w:rPr>
      </w:pPr>
      <w:r w:rsidRPr="004F07FC">
        <w:rPr>
          <w:szCs w:val="24"/>
        </w:rPr>
        <w:t>Антагонисты рецепторов ангиотензина II – Лозартан, Валсартан, Кандесартан, Телмисартан и др.</w:t>
      </w:r>
    </w:p>
    <w:p w14:paraId="6F2DDEEB" w14:textId="77777777" w:rsidR="00FF7C87" w:rsidRPr="004F07FC" w:rsidRDefault="00FF7C87" w:rsidP="00FF7C87">
      <w:pPr>
        <w:pStyle w:val="afe"/>
        <w:numPr>
          <w:ilvl w:val="0"/>
          <w:numId w:val="100"/>
        </w:numPr>
        <w:rPr>
          <w:szCs w:val="24"/>
        </w:rPr>
      </w:pPr>
      <w:r w:rsidRPr="004F07FC">
        <w:rPr>
          <w:szCs w:val="24"/>
        </w:rPr>
        <w:t xml:space="preserve">Ингибиторы ангиотензиновых рецепторов и неприлизина – комбинированное </w:t>
      </w:r>
      <w:r w:rsidRPr="004F07FC">
        <w:rPr>
          <w:rStyle w:val="1fc"/>
          <w:szCs w:val="24"/>
        </w:rPr>
        <w:t xml:space="preserve">гипотензивное средство </w:t>
      </w:r>
      <w:r w:rsidRPr="004F07FC">
        <w:rPr>
          <w:szCs w:val="24"/>
        </w:rPr>
        <w:t>Валсартан /сакубитрил, и др.</w:t>
      </w:r>
    </w:p>
    <w:p w14:paraId="4DCDD914" w14:textId="77777777" w:rsidR="00FF7C87" w:rsidRPr="004F07FC" w:rsidRDefault="00FF7C87" w:rsidP="00FF7C87">
      <w:pPr>
        <w:pStyle w:val="afe"/>
        <w:numPr>
          <w:ilvl w:val="0"/>
          <w:numId w:val="100"/>
        </w:numPr>
        <w:rPr>
          <w:szCs w:val="24"/>
        </w:rPr>
      </w:pPr>
      <w:r w:rsidRPr="004F07FC">
        <w:rPr>
          <w:szCs w:val="24"/>
        </w:rPr>
        <w:t>Бета-адреноблокаторы – Бисопролол, Метопролол, Карведилол, Небиволол и др.</w:t>
      </w:r>
    </w:p>
    <w:p w14:paraId="6D0DA9E8" w14:textId="77777777" w:rsidR="00FF7C87" w:rsidRPr="004F07FC" w:rsidRDefault="00FF7C87" w:rsidP="00FF7C87">
      <w:pPr>
        <w:pStyle w:val="afe"/>
        <w:numPr>
          <w:ilvl w:val="0"/>
          <w:numId w:val="100"/>
        </w:numPr>
        <w:rPr>
          <w:szCs w:val="24"/>
        </w:rPr>
      </w:pPr>
      <w:r w:rsidRPr="004F07FC">
        <w:rPr>
          <w:szCs w:val="24"/>
        </w:rPr>
        <w:t>Антагонисты кальция (дигидропиридины) – Амлодипин, Лерканидипин, Фелодипин и др.</w:t>
      </w:r>
    </w:p>
    <w:p w14:paraId="403C1AB9" w14:textId="77777777" w:rsidR="00FF7C87" w:rsidRPr="004F07FC" w:rsidRDefault="00FF7C87" w:rsidP="00FF7C87">
      <w:pPr>
        <w:pStyle w:val="afe"/>
        <w:numPr>
          <w:ilvl w:val="0"/>
          <w:numId w:val="100"/>
        </w:numPr>
        <w:rPr>
          <w:szCs w:val="24"/>
        </w:rPr>
      </w:pPr>
      <w:r w:rsidRPr="004F07FC">
        <w:rPr>
          <w:szCs w:val="24"/>
        </w:rPr>
        <w:t>Агонисты имидазолиновых рецепторов – Моксонидин, Рилменидин и др.</w:t>
      </w:r>
    </w:p>
    <w:p w14:paraId="5CDA0558" w14:textId="77777777" w:rsidR="00FF7C87" w:rsidRPr="004F07FC" w:rsidRDefault="00FF7C87" w:rsidP="00FF7C87">
      <w:pPr>
        <w:pStyle w:val="afe"/>
        <w:numPr>
          <w:ilvl w:val="0"/>
          <w:numId w:val="100"/>
        </w:numPr>
        <w:rPr>
          <w:szCs w:val="24"/>
        </w:rPr>
      </w:pPr>
      <w:r w:rsidRPr="004F07FC">
        <w:rPr>
          <w:szCs w:val="24"/>
        </w:rPr>
        <w:t>Антикоагулянты – Нефракционированный гепарин, Низкомолекулярные гепарины, витамин К-зависимые антикоагулянты (Варфарин), витамин К-независимые антикоагулянты (Апиксксабан, Ривароксабан, Дабигатран) и др.</w:t>
      </w:r>
    </w:p>
    <w:p w14:paraId="330BEE84" w14:textId="77777777" w:rsidR="00FF7C87" w:rsidRPr="004F07FC" w:rsidRDefault="00FF7C87" w:rsidP="00FF7C87">
      <w:pPr>
        <w:pStyle w:val="afe"/>
        <w:numPr>
          <w:ilvl w:val="0"/>
          <w:numId w:val="100"/>
        </w:numPr>
        <w:rPr>
          <w:szCs w:val="24"/>
        </w:rPr>
      </w:pPr>
      <w:r w:rsidRPr="004F07FC">
        <w:rPr>
          <w:szCs w:val="24"/>
        </w:rPr>
        <w:t>Антиагреганты – Аспирин, Клопидогрел и др.</w:t>
      </w:r>
    </w:p>
    <w:p w14:paraId="6BCA06DB" w14:textId="77777777" w:rsidR="00FF7C87" w:rsidRPr="004F07FC" w:rsidRDefault="00FF7C87" w:rsidP="00FF7C87">
      <w:pPr>
        <w:pStyle w:val="afe"/>
        <w:numPr>
          <w:ilvl w:val="0"/>
          <w:numId w:val="100"/>
        </w:numPr>
        <w:rPr>
          <w:szCs w:val="24"/>
        </w:rPr>
      </w:pPr>
      <w:r w:rsidRPr="004F07FC">
        <w:rPr>
          <w:szCs w:val="24"/>
        </w:rPr>
        <w:t>Диуретики – калийсберегающие (Спиронолоктон, Эплеренон и др.), тиазидоподобные (Гидрохлортиазид, Хлорталидон, Клопамид, Индапамид), петлевые (Фуросемид, Торасемид, Этакриновая кислота и др.).</w:t>
      </w:r>
    </w:p>
    <w:p w14:paraId="4075F5A5" w14:textId="77777777" w:rsidR="00FF7C87" w:rsidRPr="004F07FC" w:rsidRDefault="00FF7C87" w:rsidP="00FF7C87">
      <w:pPr>
        <w:pStyle w:val="afe"/>
        <w:numPr>
          <w:ilvl w:val="0"/>
          <w:numId w:val="100"/>
        </w:numPr>
        <w:rPr>
          <w:szCs w:val="24"/>
        </w:rPr>
      </w:pPr>
      <w:r w:rsidRPr="004F07FC">
        <w:rPr>
          <w:szCs w:val="24"/>
        </w:rPr>
        <w:t>Статины – Розувастатин, Симвастатин, Аторвастатин и др.</w:t>
      </w:r>
    </w:p>
    <w:p w14:paraId="085D9EF9" w14:textId="77777777" w:rsidR="00FF7C87" w:rsidRPr="004F07FC" w:rsidRDefault="00FF7C87" w:rsidP="00FF7C87">
      <w:pPr>
        <w:pStyle w:val="afe"/>
        <w:numPr>
          <w:ilvl w:val="0"/>
          <w:numId w:val="100"/>
        </w:numPr>
        <w:rPr>
          <w:szCs w:val="24"/>
        </w:rPr>
      </w:pPr>
      <w:r w:rsidRPr="004F07FC">
        <w:rPr>
          <w:szCs w:val="24"/>
        </w:rPr>
        <w:t>Антиаритмические средства – Соталол, Амиодарон, Этацизин, Новокаинамид, и др.</w:t>
      </w:r>
    </w:p>
    <w:p w14:paraId="0AA87CBE" w14:textId="77777777" w:rsidR="00FF7C87" w:rsidRPr="004F07FC" w:rsidRDefault="00FF7C87" w:rsidP="00FF7C87">
      <w:pPr>
        <w:pStyle w:val="afe"/>
        <w:numPr>
          <w:ilvl w:val="0"/>
          <w:numId w:val="100"/>
        </w:numPr>
        <w:rPr>
          <w:szCs w:val="24"/>
        </w:rPr>
      </w:pPr>
      <w:r w:rsidRPr="004F07FC">
        <w:rPr>
          <w:szCs w:val="24"/>
        </w:rPr>
        <w:t>Нитровазодилататоры – Изосорбида динитрат, Изосорбида-5-мононитрат, Глицерила тринитрат, и др.</w:t>
      </w:r>
    </w:p>
    <w:p w14:paraId="7CC64708" w14:textId="77777777" w:rsidR="00FF7C87" w:rsidRPr="004F07FC" w:rsidRDefault="00FF7C87" w:rsidP="00FF7C87">
      <w:pPr>
        <w:pStyle w:val="afe"/>
        <w:numPr>
          <w:ilvl w:val="0"/>
          <w:numId w:val="100"/>
        </w:numPr>
        <w:rPr>
          <w:szCs w:val="24"/>
        </w:rPr>
      </w:pPr>
      <w:r w:rsidRPr="004F07FC">
        <w:rPr>
          <w:szCs w:val="24"/>
        </w:rPr>
        <w:t>Сердечные гликозиды –Дигоксин  и др.</w:t>
      </w:r>
    </w:p>
    <w:p w14:paraId="5D9FFF15" w14:textId="77777777" w:rsidR="00FF7C87" w:rsidRPr="00DC46B0" w:rsidRDefault="00FF7C87" w:rsidP="00FF7C87">
      <w:pPr>
        <w:rPr>
          <w:szCs w:val="24"/>
        </w:rPr>
      </w:pPr>
    </w:p>
    <w:p w14:paraId="5E09A829" w14:textId="77777777" w:rsidR="00FF7C87" w:rsidRPr="00DC46B0" w:rsidRDefault="00FF7C87" w:rsidP="00FF7C87">
      <w:pPr>
        <w:rPr>
          <w:szCs w:val="24"/>
        </w:rPr>
      </w:pPr>
      <w:r w:rsidRPr="00DC46B0">
        <w:rPr>
          <w:szCs w:val="24"/>
        </w:rPr>
        <w:t>Выбор терапии требует анализа межлекарственных взаимодействий и возможного потенцирования эффектов различных препаратов (кардиологических и гематологических). Для профилактики, диагностики и лечения кардиальной патологии у гематологического пациента необходимо своевременно и адекватно мониторировать функцию сердечно-сосудистой системы и вести пациента во взаимодействии гематолога и кардиолога.</w:t>
      </w:r>
    </w:p>
    <w:p w14:paraId="20C96A79" w14:textId="77777777" w:rsidR="00A538AA" w:rsidRDefault="00A538AA" w:rsidP="00A538AA">
      <w:pPr>
        <w:pStyle w:val="2"/>
      </w:pPr>
    </w:p>
    <w:p w14:paraId="5E0752B6" w14:textId="22998DB1" w:rsidR="0002592F" w:rsidRPr="0002592F" w:rsidRDefault="00A538AA" w:rsidP="0002592F">
      <w:pPr>
        <w:pStyle w:val="2"/>
      </w:pPr>
      <w:bookmarkStart w:id="90" w:name="_Toc65586419"/>
      <w:r w:rsidRPr="009E610C">
        <w:t>7.1</w:t>
      </w:r>
      <w:r>
        <w:t xml:space="preserve">7. </w:t>
      </w:r>
      <w:r w:rsidR="0002592F" w:rsidRPr="00DE09DF">
        <w:t>Диагностика и лечение психических расстройств у пациентов с гематологическими заболеваниями</w:t>
      </w:r>
      <w:bookmarkEnd w:id="90"/>
    </w:p>
    <w:p w14:paraId="5ABE7E9A" w14:textId="52E786DF" w:rsidR="0002592F" w:rsidRDefault="0002592F" w:rsidP="0002592F">
      <w:pPr>
        <w:pStyle w:val="1ff2"/>
        <w:spacing w:line="360" w:lineRule="auto"/>
        <w:ind w:firstLine="709"/>
        <w:jc w:val="both"/>
        <w:rPr>
          <w:sz w:val="24"/>
          <w:szCs w:val="24"/>
        </w:rPr>
      </w:pPr>
      <w:r w:rsidRPr="00512369">
        <w:rPr>
          <w:sz w:val="24"/>
          <w:szCs w:val="24"/>
        </w:rPr>
        <w:t xml:space="preserve">Эффективное лечение заболеваний системы крови может быть достигнуто только за счет реализации в полном объеме принципов, основанных на соблюдении дозы и интенсивности химиотерапевтического воздействия, что предполагает выполнение протокола лечения в максимально полном объеме. Нарушение этого принципа неизбежно приведет к нарушению принципа лечения. Затруднять реализацию протокола могут такие факторы, как токсические, инфекционные осложнения, и в </w:t>
      </w:r>
      <w:r>
        <w:rPr>
          <w:sz w:val="24"/>
          <w:szCs w:val="24"/>
        </w:rPr>
        <w:t>том числе</w:t>
      </w:r>
      <w:r w:rsidRPr="00512369">
        <w:rPr>
          <w:sz w:val="24"/>
          <w:szCs w:val="24"/>
        </w:rPr>
        <w:t xml:space="preserve"> психические нарушения. Кроме того, последние существенно нарушают качество жизни пациентов. Следовательно, их купирование является важным не только само по себе, но и способствует реализации химиотерапевтического протокола в полном объеме, т.</w:t>
      </w:r>
      <w:r>
        <w:rPr>
          <w:sz w:val="24"/>
          <w:szCs w:val="24"/>
          <w:lang w:val="en-US"/>
        </w:rPr>
        <w:t> </w:t>
      </w:r>
      <w:r w:rsidRPr="00512369">
        <w:rPr>
          <w:sz w:val="24"/>
          <w:szCs w:val="24"/>
        </w:rPr>
        <w:t>е. влияет на результаты лечения. Психические расстройства при заболевани</w:t>
      </w:r>
      <w:r>
        <w:rPr>
          <w:sz w:val="24"/>
          <w:szCs w:val="24"/>
        </w:rPr>
        <w:t>ях</w:t>
      </w:r>
      <w:r w:rsidRPr="00512369">
        <w:rPr>
          <w:sz w:val="24"/>
          <w:szCs w:val="24"/>
        </w:rPr>
        <w:t xml:space="preserve"> системы крови характеризуются достаточно высокой частотой встречаемости, </w:t>
      </w:r>
      <w:r>
        <w:rPr>
          <w:sz w:val="24"/>
          <w:szCs w:val="24"/>
        </w:rPr>
        <w:t>п</w:t>
      </w:r>
      <w:r w:rsidRPr="00512369">
        <w:rPr>
          <w:sz w:val="24"/>
          <w:szCs w:val="24"/>
        </w:rPr>
        <w:t>о данным различных авторов составляющей</w:t>
      </w:r>
      <w:r>
        <w:rPr>
          <w:sz w:val="24"/>
          <w:szCs w:val="24"/>
        </w:rPr>
        <w:t xml:space="preserve"> </w:t>
      </w:r>
      <w:r w:rsidRPr="00512369">
        <w:rPr>
          <w:sz w:val="24"/>
          <w:szCs w:val="24"/>
        </w:rPr>
        <w:t xml:space="preserve"> 9,6-71,3%, в зависимости от используемых критериев и методов оценки психических расстройств</w:t>
      </w:r>
      <w:r w:rsidRPr="00070BE4">
        <w:rPr>
          <w:sz w:val="24"/>
          <w:szCs w:val="24"/>
        </w:rPr>
        <w:t xml:space="preserve"> </w:t>
      </w:r>
      <w:r>
        <w:rPr>
          <w:sz w:val="24"/>
          <w:szCs w:val="24"/>
        </w:rPr>
        <w:fldChar w:fldCharType="begin" w:fldLock="1"/>
      </w:r>
      <w:r w:rsidR="00053AE8">
        <w:rPr>
          <w:sz w:val="24"/>
          <w:szCs w:val="24"/>
        </w:rPr>
        <w:instrText>ADDIN CSL_CITATION {"citationItems":[{"id":"ITEM-1","itemData":{"DOI":"10.1200/JCO.2002.07.101","ISSN":"0732183X","PMID":"11919251","abstract":"Purpose: To determine the prevalence of psychiatric disorders during hospitalization for hematopoietic stem-cell transplantation (SCT) and to estimate their impact on hospital length of stay (LOS). Patients and Methods: In a prospective inpatient study conducted from July 1994 to August 1997, 220 patients aged 16 to 65 years received SCT for hematologic cancer at a single institution. Patients received a psychiatric assessment at hospital admission and weekly during hospitalization until discharge or death, yielding a total of 1,062 psychiatric interviews performed. Psychiatric disorders were determined on the basis of the Diagnostic and Statistical Manual of Mental Disorders, Fourth Edition. Univariate and multivariate linear regression analyses were used to identify variables associated with LOS. Results: Overall psychiatric disorder prevalence was 44.1%; an adjustment disorder was diagnosed in 22.7% of patients, a mood disorder in 14.1%, an anxiety disorder in 8.2%, and delirium in 7.3%. After adjusting for admission and in-hospital risk factors, diagnosis of any mood, anxiety, or adjustment disorder (P = .022), chronic myelogenous leukemia (P = .003), Karnofsky performance score less than 90 at hospital admission (P = .025), and higher regimen-related toxicity (P &lt; .001) were associated with a longer LOS. Acute lymphoblastic leukemia (P = .009), non Hodgkin's lymphoma (P = .04), use of peripheral-blood stem cells (P &lt; .001), second year of study (P &lt; .001), and third year of study (P &lt; .001) were associated with a shorter LOS. Conclusion: Our data indicate high psychiatric morbidity and an association with longer LOS, underscoring the need for early recognition and effective treatment. © 2002 by American Society of Clinical Oncology.","author":[{"dropping-particle":"","family":"Prieto","given":"Jesús M.","non-dropping-particle":"","parse-names":false,"suffix":""},{"dropping-particle":"","family":"Blanch","given":"Jordi","non-dropping-particle":"","parse-names":false,"suffix":""},{"dropping-particle":"","family":"Atala","given":"Jorge","non-dropping-particle":"","parse-names":false,"suffix":""},{"dropping-particle":"","family":"Carreras","given":"Enric","non-dropping-particle":"","parse-names":false,"suffix":""},{"dropping-particle":"","family":"Rovira","given":"Montserrat","non-dropping-particle":"","parse-names":false,"suffix":""},{"dropping-particle":"","family":"Cirera","given":"Esteve","non-dropping-particle":"","parse-names":false,"suffix":""},{"dropping-particle":"","family":"Gastó","given":"Cristóbal","non-dropping-particle":"","parse-names":false,"suffix":""}],"container-title":"Journal of Clinical Oncology","id":"ITEM-1","issue":"7","issued":{"date-parts":[["2002","4","1"]]},"page":"1907-1917","publisher":"J Clin Oncol","title":"Psychiatric morbidity and impact on hospital length of stay among hematologic cancer patients receiving stem-cell transplantation","type":"article-journal","volume":"20"},"uris":["http://www.mendeley.com/documents/?uuid=b68ecace-88cd-3b2e-8319-91582dc057b0"]},{"id":"ITEM-2","itemData":{"DOI":"10.1016/S1470-2045(11)70002-X","ISSN":"14702045","PMID":"21251875","abstract":"Background: Substantial uncertainty exists about prevalence of mood disorders in patients with cancer, including those in oncological, haematological, and palliative-care settings. We aimed to quantitatively summarise the prevalence of depression, anxiety, and adjustments disorders in these settings. Methods: We searched Medline, PsycINFO, Embase, and Web of Knowledge for studies that examined well-defined depression, anxiety, and adjustment disorder in adults with cancer in oncological, haematological, and palliative-care settings. We restricted studies to those using psychiatric interviews. Studies were reviewed in accordance with PRISMA guidelines and a proportion meta-analysis was done. Findings: We identified 24 studies with 4007 individuals across seven countries in palliative-care settings. Meta-analytical pooled prevalence of depression defined by the Diagnostic and Statistical Manual of Mental Disorders (DSM) or International Classification of Diseases (ICD) criteria was 16·5% (95% CI 13·1-20·3), 14·3% (11·1-17·9) for DSM-defined major depression, and 9·6% (3·6-18·1) for DSM-defined minor depression. Prevalence of adjustment disorder alone was 15·4% (10·1-21·6) and of anxiety disorders 9·8% (6·8-13·2). Prevalence of all types of depression combined was of 24·6% (17·5-32·4), depression or adjustment disorder 24·7% (20·8-28·8), and all types of mood disorder 29·0% (10·1-52·9). We identified 70 studies with 10 071 individuals across 14 countries in oncological and haematological settings. Prevalence of depression by DSM or ICD criteria was 16·3% (13·4-19·5); for DSM-defined major depression it was 14·9% (12·2-17·7) and for DSM-defined minor depression 19·2% (9·1-31·9). Prevalence of adjustment disorder was 19·4% (14·5-24·8), anxiety 10·3% (5·1-17·0), and dysthymia 2·7% (1·7-4·0). Combination diagnoses were common; all types of depression occurred in 20·7% (12·9-29·8) of patients, depression or adjustment disorder in 31·6% (25·0-38·7), and any mood disorder in 38·2% (28·4-48·6). There were few consistent correlates of depression: there was no effect of age, sex, or clinical setting and inadequate data to examine cancer type and illness duration. Interpretation: Interview-defined depression and anxiety is less common in patients with cancer than previously thought, although some combination of mood disorders occurs in 30-40% of patients in hospital settings without a significant difference between palliative-care and non-palliative-care settings. Cl…","author":[{"dropping-particle":"","family":"Mitchell","given":"Alex J.","non-dropping-particle":"","parse-names":false,"suffix":""},{"dropping-particle":"","family":"Chan","given":"Melissa","non-dropping-particle":"","parse-names":false,"suffix":""},{"dropping-particle":"","family":"Bhatti","given":"Henna","non-dropping-particle":"","parse-names":false,"suffix":""},{"dropping-particle":"","family":"Halton","given":"Marie","non-dropping-particle":"","parse-names":false,"suffix":""},{"dropping-particle":"","family":"Grassi","given":"Luigi","non-dropping-particle":"","parse-names":false,"suffix":""},{"dropping-particle":"","family":"Johansen","given":"Christoffer","non-dropping-particle":"","parse-names":false,"suffix":""},{"dropping-particle":"","family":"Meader","given":"Nicholas","non-dropping-particle":"","parse-names":false,"suffix":""}],"container-title":"The Lancet Oncology","id":"ITEM-2","issue":"2","issued":{"date-parts":[["2011","2"]]},"page":"160-174","publisher":"Lancet Oncol","title":"Prevalence of depression, anxiety, and adjustment disorder in oncological, haematological, and palliative-care settings: A meta-analysis of 94 interview-based studies","type":"article-journal","volume":"12"},"uris":["http://www.mendeley.com/documents/?uuid=0f9b5be6-7f93-39b0-b12e-e53970fd252f"]}],"mendeley":{"formattedCitation":"[122,123]","plainTextFormattedCitation":"[122,123]","previouslyFormattedCitation":"[122,123]"},"properties":{"noteIndex":0},"schema":"https://github.com/citation-style-language/schema/raw/master/csl-citation.json"}</w:instrText>
      </w:r>
      <w:r>
        <w:rPr>
          <w:sz w:val="24"/>
          <w:szCs w:val="24"/>
        </w:rPr>
        <w:fldChar w:fldCharType="separate"/>
      </w:r>
      <w:r w:rsidR="00A60C8A" w:rsidRPr="00A60C8A">
        <w:rPr>
          <w:noProof/>
          <w:sz w:val="24"/>
          <w:szCs w:val="24"/>
        </w:rPr>
        <w:t>[122,123]</w:t>
      </w:r>
      <w:r>
        <w:rPr>
          <w:sz w:val="24"/>
          <w:szCs w:val="24"/>
        </w:rPr>
        <w:fldChar w:fldCharType="end"/>
      </w:r>
      <w:r w:rsidRPr="00512369">
        <w:rPr>
          <w:sz w:val="24"/>
          <w:szCs w:val="24"/>
        </w:rPr>
        <w:t>.</w:t>
      </w:r>
    </w:p>
    <w:p w14:paraId="590BAF70" w14:textId="77777777" w:rsidR="0002592F" w:rsidRPr="00512369" w:rsidRDefault="0002592F" w:rsidP="0002592F">
      <w:pPr>
        <w:pStyle w:val="1ff2"/>
        <w:spacing w:line="360" w:lineRule="auto"/>
        <w:ind w:firstLine="709"/>
        <w:jc w:val="both"/>
        <w:rPr>
          <w:sz w:val="24"/>
          <w:szCs w:val="24"/>
        </w:rPr>
      </w:pPr>
    </w:p>
    <w:p w14:paraId="30563F32" w14:textId="77777777" w:rsidR="0002592F" w:rsidRPr="00070BE4" w:rsidRDefault="0002592F" w:rsidP="0002592F">
      <w:pPr>
        <w:rPr>
          <w:rFonts w:cs="Times New Roman"/>
          <w:i/>
          <w:szCs w:val="24"/>
          <w:u w:val="single"/>
        </w:rPr>
      </w:pPr>
      <w:r w:rsidRPr="00070BE4">
        <w:rPr>
          <w:rFonts w:cs="Times New Roman"/>
          <w:i/>
          <w:szCs w:val="24"/>
          <w:u w:val="single"/>
        </w:rPr>
        <w:t>Клинические проявления</w:t>
      </w:r>
    </w:p>
    <w:p w14:paraId="77C31D07" w14:textId="77DD947E" w:rsidR="0002592F" w:rsidRDefault="0002592F" w:rsidP="0002592F">
      <w:pPr>
        <w:pStyle w:val="1ff2"/>
        <w:spacing w:line="360" w:lineRule="auto"/>
        <w:ind w:firstLine="709"/>
        <w:jc w:val="both"/>
        <w:rPr>
          <w:sz w:val="24"/>
          <w:szCs w:val="24"/>
        </w:rPr>
      </w:pPr>
      <w:r w:rsidRPr="00512369">
        <w:rPr>
          <w:sz w:val="24"/>
          <w:szCs w:val="24"/>
        </w:rPr>
        <w:t xml:space="preserve">Среди психических расстройств у больных </w:t>
      </w:r>
      <w:r>
        <w:rPr>
          <w:sz w:val="24"/>
          <w:szCs w:val="24"/>
        </w:rPr>
        <w:t xml:space="preserve">с </w:t>
      </w:r>
      <w:r w:rsidRPr="003319F9">
        <w:rPr>
          <w:sz w:val="24"/>
          <w:szCs w:val="24"/>
        </w:rPr>
        <w:t>гематологическими заболеваниями</w:t>
      </w:r>
      <w:r w:rsidRPr="00512369">
        <w:rPr>
          <w:sz w:val="24"/>
          <w:szCs w:val="24"/>
        </w:rPr>
        <w:t xml:space="preserve"> традиционно рассматриваются </w:t>
      </w:r>
      <w:r>
        <w:rPr>
          <w:sz w:val="24"/>
          <w:szCs w:val="24"/>
        </w:rPr>
        <w:t>две</w:t>
      </w:r>
      <w:r w:rsidRPr="00512369">
        <w:rPr>
          <w:sz w:val="24"/>
          <w:szCs w:val="24"/>
        </w:rPr>
        <w:t xml:space="preserve"> категории нарушений</w:t>
      </w:r>
      <w:r>
        <w:rPr>
          <w:sz w:val="24"/>
          <w:szCs w:val="24"/>
        </w:rPr>
        <w:t>:</w:t>
      </w:r>
    </w:p>
    <w:p w14:paraId="133D9AC5" w14:textId="77777777" w:rsidR="0002592F" w:rsidRDefault="0002592F" w:rsidP="0002592F">
      <w:pPr>
        <w:pStyle w:val="1ff2"/>
        <w:numPr>
          <w:ilvl w:val="0"/>
          <w:numId w:val="101"/>
        </w:numPr>
        <w:overflowPunct/>
        <w:autoSpaceDE/>
        <w:autoSpaceDN/>
        <w:adjustRightInd/>
        <w:spacing w:line="360" w:lineRule="auto"/>
        <w:jc w:val="both"/>
        <w:textAlignment w:val="auto"/>
        <w:rPr>
          <w:sz w:val="24"/>
          <w:szCs w:val="24"/>
        </w:rPr>
      </w:pPr>
      <w:r w:rsidRPr="00512369">
        <w:rPr>
          <w:sz w:val="24"/>
          <w:szCs w:val="24"/>
        </w:rPr>
        <w:t>соматогенные психозы</w:t>
      </w:r>
      <w:r>
        <w:rPr>
          <w:sz w:val="24"/>
          <w:szCs w:val="24"/>
        </w:rPr>
        <w:t>, включающие:</w:t>
      </w:r>
    </w:p>
    <w:p w14:paraId="3D67298B" w14:textId="77777777" w:rsidR="0002592F" w:rsidRDefault="0002592F" w:rsidP="0002592F">
      <w:pPr>
        <w:pStyle w:val="1ff2"/>
        <w:numPr>
          <w:ilvl w:val="1"/>
          <w:numId w:val="101"/>
        </w:numPr>
        <w:overflowPunct/>
        <w:autoSpaceDE/>
        <w:autoSpaceDN/>
        <w:adjustRightInd/>
        <w:spacing w:line="360" w:lineRule="auto"/>
        <w:jc w:val="both"/>
        <w:textAlignment w:val="auto"/>
        <w:rPr>
          <w:sz w:val="24"/>
          <w:szCs w:val="24"/>
        </w:rPr>
      </w:pPr>
      <w:r w:rsidRPr="00512369">
        <w:rPr>
          <w:sz w:val="24"/>
          <w:szCs w:val="24"/>
        </w:rPr>
        <w:t>делирий (F05.0 Делирий не на фоне демен</w:t>
      </w:r>
      <w:r>
        <w:rPr>
          <w:sz w:val="24"/>
          <w:szCs w:val="24"/>
        </w:rPr>
        <w:t xml:space="preserve">ции, так описанный); </w:t>
      </w:r>
    </w:p>
    <w:p w14:paraId="39B19941" w14:textId="77777777" w:rsidR="0002592F" w:rsidRDefault="0002592F" w:rsidP="0002592F">
      <w:pPr>
        <w:pStyle w:val="1ff2"/>
        <w:numPr>
          <w:ilvl w:val="1"/>
          <w:numId w:val="101"/>
        </w:numPr>
        <w:overflowPunct/>
        <w:autoSpaceDE/>
        <w:autoSpaceDN/>
        <w:adjustRightInd/>
        <w:spacing w:line="360" w:lineRule="auto"/>
        <w:jc w:val="both"/>
        <w:textAlignment w:val="auto"/>
        <w:rPr>
          <w:sz w:val="24"/>
          <w:szCs w:val="24"/>
        </w:rPr>
      </w:pPr>
      <w:r w:rsidRPr="00512369">
        <w:rPr>
          <w:sz w:val="24"/>
          <w:szCs w:val="24"/>
        </w:rPr>
        <w:t>эндогеноморфные психозы (</w:t>
      </w:r>
      <w:r w:rsidRPr="00512369">
        <w:rPr>
          <w:bCs/>
          <w:sz w:val="24"/>
          <w:szCs w:val="24"/>
        </w:rPr>
        <w:t>F06.2 Органическое бредовое (</w:t>
      </w:r>
      <w:r>
        <w:rPr>
          <w:bCs/>
          <w:sz w:val="24"/>
          <w:szCs w:val="24"/>
        </w:rPr>
        <w:t>шизофреноподобное) расстройство</w:t>
      </w:r>
      <w:r w:rsidRPr="00512369">
        <w:rPr>
          <w:bCs/>
          <w:sz w:val="24"/>
          <w:szCs w:val="24"/>
        </w:rPr>
        <w:t xml:space="preserve">) </w:t>
      </w:r>
      <w:r>
        <w:rPr>
          <w:sz w:val="24"/>
          <w:szCs w:val="24"/>
        </w:rPr>
        <w:t xml:space="preserve">– </w:t>
      </w:r>
      <w:r w:rsidRPr="00512369">
        <w:rPr>
          <w:sz w:val="24"/>
          <w:szCs w:val="24"/>
        </w:rPr>
        <w:t xml:space="preserve">галлюцинаторно-бредовые, депрессивно-бредовые, </w:t>
      </w:r>
      <w:r>
        <w:rPr>
          <w:sz w:val="24"/>
          <w:szCs w:val="24"/>
        </w:rPr>
        <w:t>онейроидные симптомокомплексы;</w:t>
      </w:r>
    </w:p>
    <w:p w14:paraId="6D5131B2" w14:textId="77777777" w:rsidR="0002592F" w:rsidRDefault="0002592F" w:rsidP="0002592F">
      <w:pPr>
        <w:pStyle w:val="1ff2"/>
        <w:numPr>
          <w:ilvl w:val="1"/>
          <w:numId w:val="101"/>
        </w:numPr>
        <w:overflowPunct/>
        <w:autoSpaceDE/>
        <w:autoSpaceDN/>
        <w:adjustRightInd/>
        <w:spacing w:line="360" w:lineRule="auto"/>
        <w:jc w:val="both"/>
        <w:textAlignment w:val="auto"/>
        <w:rPr>
          <w:sz w:val="24"/>
          <w:szCs w:val="24"/>
        </w:rPr>
      </w:pPr>
      <w:r w:rsidRPr="00512369">
        <w:rPr>
          <w:sz w:val="24"/>
          <w:szCs w:val="24"/>
        </w:rPr>
        <w:t>соматогенно провоцированные обострения шизофрении (F20.0 Параноидная шизоф</w:t>
      </w:r>
      <w:r>
        <w:rPr>
          <w:sz w:val="24"/>
          <w:szCs w:val="24"/>
        </w:rPr>
        <w:t>рения);</w:t>
      </w:r>
    </w:p>
    <w:p w14:paraId="5EEC66C2" w14:textId="77777777" w:rsidR="0002592F" w:rsidRDefault="0002592F" w:rsidP="0002592F">
      <w:pPr>
        <w:pStyle w:val="1ff2"/>
        <w:numPr>
          <w:ilvl w:val="0"/>
          <w:numId w:val="101"/>
        </w:numPr>
        <w:overflowPunct/>
        <w:autoSpaceDE/>
        <w:autoSpaceDN/>
        <w:adjustRightInd/>
        <w:spacing w:line="360" w:lineRule="auto"/>
        <w:jc w:val="both"/>
        <w:textAlignment w:val="auto"/>
        <w:rPr>
          <w:sz w:val="24"/>
          <w:szCs w:val="24"/>
        </w:rPr>
      </w:pPr>
      <w:r>
        <w:rPr>
          <w:sz w:val="24"/>
          <w:szCs w:val="24"/>
        </w:rPr>
        <w:t xml:space="preserve">нозогенные реакции, включающие </w:t>
      </w:r>
      <w:r w:rsidRPr="00512369">
        <w:rPr>
          <w:sz w:val="24"/>
          <w:szCs w:val="24"/>
        </w:rPr>
        <w:t>психогении, сопряженные с соматическим заболеванием</w:t>
      </w:r>
      <w:r>
        <w:rPr>
          <w:sz w:val="24"/>
          <w:szCs w:val="24"/>
        </w:rPr>
        <w:t xml:space="preserve"> (</w:t>
      </w:r>
      <w:r w:rsidRPr="00512369">
        <w:rPr>
          <w:sz w:val="24"/>
          <w:szCs w:val="24"/>
          <w:lang w:val="en-US"/>
        </w:rPr>
        <w:t>F</w:t>
      </w:r>
      <w:r w:rsidRPr="00512369">
        <w:rPr>
          <w:sz w:val="24"/>
          <w:szCs w:val="24"/>
        </w:rPr>
        <w:t xml:space="preserve">43.2 </w:t>
      </w:r>
      <w:r>
        <w:rPr>
          <w:sz w:val="24"/>
          <w:szCs w:val="24"/>
        </w:rPr>
        <w:t>Р</w:t>
      </w:r>
      <w:r w:rsidRPr="00512369">
        <w:rPr>
          <w:sz w:val="24"/>
          <w:szCs w:val="24"/>
        </w:rPr>
        <w:t>асстрой</w:t>
      </w:r>
      <w:r>
        <w:rPr>
          <w:sz w:val="24"/>
          <w:szCs w:val="24"/>
        </w:rPr>
        <w:t>ство приспособительных реакций</w:t>
      </w:r>
      <w:r w:rsidRPr="00512369">
        <w:rPr>
          <w:sz w:val="24"/>
          <w:szCs w:val="24"/>
        </w:rPr>
        <w:t>).</w:t>
      </w:r>
    </w:p>
    <w:p w14:paraId="2E2F0C4D" w14:textId="77777777" w:rsidR="0002592F" w:rsidRDefault="0002592F" w:rsidP="0002592F">
      <w:pPr>
        <w:rPr>
          <w:rFonts w:cs="Times New Roman"/>
          <w:b/>
          <w:szCs w:val="24"/>
        </w:rPr>
      </w:pPr>
    </w:p>
    <w:p w14:paraId="5DF7A80F" w14:textId="77777777" w:rsidR="0002592F" w:rsidRPr="00E931A1" w:rsidRDefault="0002592F" w:rsidP="0002592F">
      <w:pPr>
        <w:rPr>
          <w:rFonts w:cs="Times New Roman"/>
          <w:i/>
          <w:szCs w:val="24"/>
          <w:u w:val="single"/>
        </w:rPr>
      </w:pPr>
      <w:r w:rsidRPr="00E931A1">
        <w:rPr>
          <w:rFonts w:cs="Times New Roman"/>
          <w:i/>
          <w:szCs w:val="24"/>
          <w:u w:val="single"/>
        </w:rPr>
        <w:t>Лекарственные терапия</w:t>
      </w:r>
    </w:p>
    <w:p w14:paraId="00F7293C" w14:textId="77777777" w:rsidR="0002592F" w:rsidRPr="00512369" w:rsidRDefault="0002592F" w:rsidP="0002592F">
      <w:pPr>
        <w:pStyle w:val="1ff2"/>
        <w:spacing w:line="360" w:lineRule="auto"/>
        <w:ind w:firstLine="709"/>
        <w:jc w:val="both"/>
        <w:rPr>
          <w:sz w:val="24"/>
          <w:szCs w:val="24"/>
        </w:rPr>
      </w:pPr>
      <w:r w:rsidRPr="00512369">
        <w:rPr>
          <w:sz w:val="24"/>
          <w:szCs w:val="24"/>
        </w:rPr>
        <w:t xml:space="preserve">Терапия соматогенных психозов у </w:t>
      </w:r>
      <w:r>
        <w:rPr>
          <w:sz w:val="24"/>
          <w:szCs w:val="24"/>
        </w:rPr>
        <w:t>гематологических</w:t>
      </w:r>
      <w:r w:rsidRPr="00512369">
        <w:rPr>
          <w:sz w:val="24"/>
          <w:szCs w:val="24"/>
        </w:rPr>
        <w:t xml:space="preserve"> </w:t>
      </w:r>
      <w:r>
        <w:rPr>
          <w:sz w:val="24"/>
          <w:szCs w:val="24"/>
        </w:rPr>
        <w:t>пациентов</w:t>
      </w:r>
      <w:r w:rsidRPr="00512369">
        <w:rPr>
          <w:sz w:val="24"/>
          <w:szCs w:val="24"/>
        </w:rPr>
        <w:t xml:space="preserve"> носит поэтапный характер. Целью первого этапа явля</w:t>
      </w:r>
      <w:r>
        <w:rPr>
          <w:sz w:val="24"/>
          <w:szCs w:val="24"/>
        </w:rPr>
        <w:t>ется</w:t>
      </w:r>
      <w:r w:rsidRPr="00512369">
        <w:rPr>
          <w:sz w:val="24"/>
          <w:szCs w:val="24"/>
        </w:rPr>
        <w:t xml:space="preserve"> купирование психоза, второго – поддерживающее лечение, направленное на профилактику рецидива психотического расстройства.</w:t>
      </w:r>
    </w:p>
    <w:p w14:paraId="24F597D9" w14:textId="77777777" w:rsidR="0002592F" w:rsidRPr="00512369" w:rsidRDefault="0002592F" w:rsidP="0002592F">
      <w:pPr>
        <w:pStyle w:val="1ff2"/>
        <w:spacing w:line="360" w:lineRule="auto"/>
        <w:ind w:firstLine="709"/>
        <w:jc w:val="both"/>
        <w:rPr>
          <w:sz w:val="24"/>
          <w:szCs w:val="24"/>
        </w:rPr>
      </w:pPr>
      <w:r w:rsidRPr="00512369">
        <w:rPr>
          <w:sz w:val="24"/>
          <w:szCs w:val="24"/>
        </w:rPr>
        <w:t xml:space="preserve">Предпочтение отдается внутривенному введению психотропных средств (в большинстве случаев - через венозный катетер), что соответствует рекомендациям по ведению </w:t>
      </w:r>
      <w:r>
        <w:rPr>
          <w:sz w:val="24"/>
          <w:szCs w:val="24"/>
        </w:rPr>
        <w:t>пациентов</w:t>
      </w:r>
      <w:r w:rsidRPr="00512369">
        <w:rPr>
          <w:sz w:val="24"/>
          <w:szCs w:val="24"/>
        </w:rPr>
        <w:t xml:space="preserve"> с заболеваниями системы крови [</w:t>
      </w:r>
      <w:r>
        <w:rPr>
          <w:sz w:val="24"/>
          <w:szCs w:val="24"/>
        </w:rPr>
        <w:t>Воробьев</w:t>
      </w:r>
      <w:r w:rsidRPr="006E6553">
        <w:rPr>
          <w:sz w:val="24"/>
          <w:szCs w:val="24"/>
        </w:rPr>
        <w:t xml:space="preserve"> </w:t>
      </w:r>
      <w:r w:rsidRPr="00512369">
        <w:rPr>
          <w:sz w:val="24"/>
          <w:szCs w:val="24"/>
        </w:rPr>
        <w:t>А.И.,</w:t>
      </w:r>
      <w:r>
        <w:rPr>
          <w:sz w:val="24"/>
          <w:szCs w:val="24"/>
        </w:rPr>
        <w:t xml:space="preserve"> </w:t>
      </w:r>
      <w:r w:rsidRPr="00512369">
        <w:rPr>
          <w:sz w:val="24"/>
          <w:szCs w:val="24"/>
        </w:rPr>
        <w:t>2005].</w:t>
      </w:r>
    </w:p>
    <w:p w14:paraId="7CCF2A62" w14:textId="77777777" w:rsidR="0002592F" w:rsidRPr="00512369" w:rsidRDefault="0002592F" w:rsidP="0002592F">
      <w:pPr>
        <w:pStyle w:val="1ff2"/>
        <w:spacing w:line="360" w:lineRule="auto"/>
        <w:ind w:firstLine="709"/>
        <w:jc w:val="both"/>
        <w:rPr>
          <w:sz w:val="24"/>
          <w:szCs w:val="24"/>
        </w:rPr>
      </w:pPr>
      <w:r w:rsidRPr="00512369">
        <w:rPr>
          <w:sz w:val="24"/>
          <w:szCs w:val="24"/>
        </w:rPr>
        <w:t>При делириозных расстройствах сознания основной объем терапевтического вмешательства концентрируется на первом этапе; лечение непродолжительно и включает применение антипсихотиков бутирофенонового ряда (галоперидол до 15 мг/сут). При необходимости быстрой седации или купирования тревожных/инсомнических расстройств в терапевтическую схему вводится диазепам (до 20 мг/сут).</w:t>
      </w:r>
    </w:p>
    <w:p w14:paraId="3299F30B" w14:textId="77777777" w:rsidR="0002592F" w:rsidRPr="00512369" w:rsidRDefault="0002592F" w:rsidP="0002592F">
      <w:pPr>
        <w:pStyle w:val="1ff2"/>
        <w:spacing w:line="360" w:lineRule="auto"/>
        <w:ind w:firstLine="709"/>
        <w:jc w:val="both"/>
        <w:rPr>
          <w:sz w:val="24"/>
          <w:szCs w:val="24"/>
        </w:rPr>
      </w:pPr>
      <w:r w:rsidRPr="00512369">
        <w:rPr>
          <w:sz w:val="24"/>
          <w:szCs w:val="24"/>
        </w:rPr>
        <w:t>Терапия эндогеноморфных психозов требует более интенсивных воздействий (суточные дозы антипсихотиков повышаются: галоперидол до 20-30 мг) и большей длительности (до 2 недель). При умеренном и слабо выраженном психомоторном возбуждении у некоторых больных используется трифлуоперазин (до 10 мг/сут). На втором этапе лечения эндогеноморфных психозов дозировки применяемых психотропных средств снижаются (галоперидол до 5 мг/сут, трифлуоперазин до 5 мг/сут).</w:t>
      </w:r>
    </w:p>
    <w:p w14:paraId="570DAB69" w14:textId="77777777" w:rsidR="0002592F" w:rsidRDefault="0002592F" w:rsidP="0002592F">
      <w:pPr>
        <w:pStyle w:val="1ff2"/>
        <w:spacing w:line="360" w:lineRule="auto"/>
        <w:ind w:firstLine="709"/>
        <w:jc w:val="both"/>
        <w:rPr>
          <w:sz w:val="24"/>
          <w:szCs w:val="24"/>
        </w:rPr>
      </w:pPr>
      <w:r w:rsidRPr="00512369">
        <w:rPr>
          <w:sz w:val="24"/>
          <w:szCs w:val="24"/>
        </w:rPr>
        <w:t>Наиболее продолжительного (до 1,5-2 мес</w:t>
      </w:r>
      <w:r>
        <w:rPr>
          <w:sz w:val="24"/>
          <w:szCs w:val="24"/>
        </w:rPr>
        <w:t>.</w:t>
      </w:r>
      <w:r w:rsidRPr="00512369">
        <w:rPr>
          <w:sz w:val="24"/>
          <w:szCs w:val="24"/>
        </w:rPr>
        <w:t>) лечения с испо</w:t>
      </w:r>
      <w:r>
        <w:rPr>
          <w:sz w:val="24"/>
          <w:szCs w:val="24"/>
        </w:rPr>
        <w:t xml:space="preserve">льзованием указанных в </w:t>
      </w:r>
      <w:r w:rsidRPr="00E931A1">
        <w:rPr>
          <w:sz w:val="24"/>
          <w:szCs w:val="24"/>
        </w:rPr>
        <w:t>таблице 1 максимальных дозировок препаратов требуют соматогенно провоцированные приступы шизофрении. При этом назначения корректируются в соответствии с динамикой</w:t>
      </w:r>
      <w:r w:rsidRPr="00512369">
        <w:rPr>
          <w:sz w:val="24"/>
          <w:szCs w:val="24"/>
        </w:rPr>
        <w:t xml:space="preserve"> соматической патологии (снижаются при утяжелении соматического состояния).</w:t>
      </w:r>
    </w:p>
    <w:p w14:paraId="4275C0BF" w14:textId="77777777" w:rsidR="0002592F" w:rsidRDefault="0002592F" w:rsidP="0002592F">
      <w:pPr>
        <w:pStyle w:val="1ff2"/>
        <w:spacing w:line="360" w:lineRule="auto"/>
        <w:jc w:val="both"/>
        <w:rPr>
          <w:b/>
          <w:sz w:val="24"/>
          <w:szCs w:val="24"/>
        </w:rPr>
      </w:pPr>
    </w:p>
    <w:p w14:paraId="3A7044EA" w14:textId="77777777" w:rsidR="0002592F" w:rsidRPr="00E931A1" w:rsidRDefault="0002592F" w:rsidP="0002592F">
      <w:pPr>
        <w:pStyle w:val="1ff2"/>
        <w:spacing w:line="360" w:lineRule="auto"/>
        <w:jc w:val="both"/>
        <w:rPr>
          <w:sz w:val="24"/>
          <w:szCs w:val="24"/>
        </w:rPr>
      </w:pPr>
      <w:r w:rsidRPr="00E931A1">
        <w:rPr>
          <w:sz w:val="24"/>
          <w:szCs w:val="24"/>
        </w:rPr>
        <w:t>Таблица 1. Психотропные средства, использующиеся в терапии соматогенных психозов у больных с заболеваниями системы крови</w:t>
      </w: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7"/>
        <w:gridCol w:w="992"/>
        <w:gridCol w:w="850"/>
        <w:gridCol w:w="993"/>
        <w:gridCol w:w="1134"/>
        <w:gridCol w:w="1134"/>
        <w:gridCol w:w="850"/>
        <w:gridCol w:w="1134"/>
        <w:gridCol w:w="851"/>
        <w:gridCol w:w="992"/>
        <w:gridCol w:w="567"/>
      </w:tblGrid>
      <w:tr w:rsidR="0002592F" w:rsidRPr="00512369" w14:paraId="646E8627" w14:textId="77777777" w:rsidTr="002D3EBF">
        <w:trPr>
          <w:trHeight w:val="180"/>
        </w:trPr>
        <w:tc>
          <w:tcPr>
            <w:tcW w:w="1277" w:type="dxa"/>
            <w:vMerge w:val="restart"/>
          </w:tcPr>
          <w:p w14:paraId="0010A392" w14:textId="77777777" w:rsidR="0002592F" w:rsidRPr="00512369" w:rsidRDefault="0002592F" w:rsidP="00A60C8A">
            <w:pPr>
              <w:spacing w:line="240" w:lineRule="auto"/>
              <w:ind w:firstLine="0"/>
              <w:rPr>
                <w:rFonts w:cs="Times New Roman"/>
                <w:b/>
                <w:szCs w:val="24"/>
              </w:rPr>
            </w:pPr>
            <w:r w:rsidRPr="00512369">
              <w:rPr>
                <w:rFonts w:cs="Times New Roman"/>
                <w:b/>
                <w:szCs w:val="24"/>
              </w:rPr>
              <w:t>Тип СП</w:t>
            </w:r>
          </w:p>
        </w:tc>
        <w:tc>
          <w:tcPr>
            <w:tcW w:w="1842" w:type="dxa"/>
            <w:gridSpan w:val="2"/>
          </w:tcPr>
          <w:p w14:paraId="195FD45C" w14:textId="77777777" w:rsidR="0002592F" w:rsidRPr="00512369" w:rsidRDefault="0002592F" w:rsidP="00A60C8A">
            <w:pPr>
              <w:spacing w:line="240" w:lineRule="auto"/>
              <w:ind w:firstLine="0"/>
              <w:rPr>
                <w:rFonts w:cs="Times New Roman"/>
                <w:szCs w:val="24"/>
              </w:rPr>
            </w:pPr>
            <w:r w:rsidRPr="00512369">
              <w:rPr>
                <w:rFonts w:cs="Times New Roman"/>
                <w:b/>
                <w:szCs w:val="24"/>
              </w:rPr>
              <w:t>Галоперидол</w:t>
            </w:r>
          </w:p>
        </w:tc>
        <w:tc>
          <w:tcPr>
            <w:tcW w:w="2127" w:type="dxa"/>
            <w:gridSpan w:val="2"/>
          </w:tcPr>
          <w:p w14:paraId="0C62895F" w14:textId="77777777" w:rsidR="0002592F" w:rsidRPr="00512369" w:rsidRDefault="0002592F" w:rsidP="00A60C8A">
            <w:pPr>
              <w:spacing w:line="240" w:lineRule="auto"/>
              <w:ind w:firstLine="0"/>
              <w:rPr>
                <w:rFonts w:cs="Times New Roman"/>
                <w:b/>
                <w:szCs w:val="24"/>
              </w:rPr>
            </w:pPr>
            <w:r w:rsidRPr="00512369">
              <w:rPr>
                <w:rFonts w:cs="Times New Roman"/>
                <w:b/>
                <w:szCs w:val="24"/>
              </w:rPr>
              <w:t>Трифлуоперазин</w:t>
            </w:r>
          </w:p>
        </w:tc>
        <w:tc>
          <w:tcPr>
            <w:tcW w:w="1984" w:type="dxa"/>
            <w:gridSpan w:val="2"/>
          </w:tcPr>
          <w:p w14:paraId="3B3CA845" w14:textId="77777777" w:rsidR="0002592F" w:rsidRPr="00512369" w:rsidRDefault="0002592F" w:rsidP="00A60C8A">
            <w:pPr>
              <w:spacing w:line="240" w:lineRule="auto"/>
              <w:ind w:firstLine="0"/>
              <w:rPr>
                <w:rFonts w:cs="Times New Roman"/>
                <w:b/>
                <w:szCs w:val="24"/>
              </w:rPr>
            </w:pPr>
            <w:r w:rsidRPr="00512369">
              <w:rPr>
                <w:rFonts w:cs="Times New Roman"/>
                <w:b/>
                <w:szCs w:val="24"/>
              </w:rPr>
              <w:t>Рисперидон</w:t>
            </w:r>
          </w:p>
        </w:tc>
        <w:tc>
          <w:tcPr>
            <w:tcW w:w="1985" w:type="dxa"/>
            <w:gridSpan w:val="2"/>
          </w:tcPr>
          <w:p w14:paraId="21102D8A" w14:textId="77777777" w:rsidR="0002592F" w:rsidRPr="00512369" w:rsidRDefault="0002592F" w:rsidP="00A60C8A">
            <w:pPr>
              <w:spacing w:line="240" w:lineRule="auto"/>
              <w:ind w:firstLine="0"/>
              <w:rPr>
                <w:rFonts w:cs="Times New Roman"/>
                <w:b/>
                <w:szCs w:val="24"/>
              </w:rPr>
            </w:pPr>
            <w:r w:rsidRPr="00512369">
              <w:rPr>
                <w:rFonts w:cs="Times New Roman"/>
                <w:b/>
                <w:szCs w:val="24"/>
              </w:rPr>
              <w:t>Кветиапин</w:t>
            </w:r>
          </w:p>
        </w:tc>
        <w:tc>
          <w:tcPr>
            <w:tcW w:w="1559" w:type="dxa"/>
            <w:gridSpan w:val="2"/>
          </w:tcPr>
          <w:p w14:paraId="04AFB990" w14:textId="77777777" w:rsidR="0002592F" w:rsidRPr="00512369" w:rsidRDefault="0002592F" w:rsidP="00A60C8A">
            <w:pPr>
              <w:spacing w:line="240" w:lineRule="auto"/>
              <w:ind w:firstLine="0"/>
              <w:rPr>
                <w:rFonts w:cs="Times New Roman"/>
                <w:b/>
                <w:szCs w:val="24"/>
              </w:rPr>
            </w:pPr>
            <w:r w:rsidRPr="00512369">
              <w:rPr>
                <w:rFonts w:cs="Times New Roman"/>
                <w:b/>
                <w:szCs w:val="24"/>
              </w:rPr>
              <w:t>Диазепам</w:t>
            </w:r>
          </w:p>
        </w:tc>
      </w:tr>
      <w:tr w:rsidR="0002592F" w:rsidRPr="00512369" w14:paraId="76105E8A" w14:textId="77777777" w:rsidTr="002D3EBF">
        <w:trPr>
          <w:cantSplit/>
          <w:trHeight w:val="266"/>
        </w:trPr>
        <w:tc>
          <w:tcPr>
            <w:tcW w:w="1277" w:type="dxa"/>
            <w:vMerge/>
          </w:tcPr>
          <w:p w14:paraId="7F1D72E3" w14:textId="77777777" w:rsidR="0002592F" w:rsidRPr="00512369" w:rsidRDefault="0002592F" w:rsidP="00A60C8A">
            <w:pPr>
              <w:spacing w:line="240" w:lineRule="auto"/>
              <w:ind w:firstLine="0"/>
              <w:rPr>
                <w:rFonts w:cs="Times New Roman"/>
                <w:b/>
                <w:szCs w:val="24"/>
              </w:rPr>
            </w:pPr>
          </w:p>
        </w:tc>
        <w:tc>
          <w:tcPr>
            <w:tcW w:w="992" w:type="dxa"/>
          </w:tcPr>
          <w:p w14:paraId="27CD5DCF" w14:textId="77777777" w:rsidR="0002592F" w:rsidRPr="00512369" w:rsidRDefault="0002592F" w:rsidP="00A60C8A">
            <w:pPr>
              <w:spacing w:line="240" w:lineRule="auto"/>
              <w:ind w:firstLine="0"/>
              <w:rPr>
                <w:rFonts w:cs="Times New Roman"/>
                <w:szCs w:val="24"/>
              </w:rPr>
            </w:pPr>
            <w:r w:rsidRPr="00512369">
              <w:rPr>
                <w:rFonts w:cs="Times New Roman"/>
                <w:szCs w:val="24"/>
              </w:rPr>
              <w:t>мг/сут</w:t>
            </w:r>
          </w:p>
        </w:tc>
        <w:tc>
          <w:tcPr>
            <w:tcW w:w="850" w:type="dxa"/>
          </w:tcPr>
          <w:p w14:paraId="0C94A50B" w14:textId="77777777" w:rsidR="0002592F" w:rsidRPr="00512369" w:rsidRDefault="0002592F" w:rsidP="00A60C8A">
            <w:pPr>
              <w:spacing w:line="240" w:lineRule="auto"/>
              <w:ind w:firstLine="0"/>
              <w:rPr>
                <w:rFonts w:cs="Times New Roman"/>
                <w:szCs w:val="24"/>
              </w:rPr>
            </w:pPr>
            <w:r w:rsidRPr="00512369">
              <w:rPr>
                <w:rFonts w:cs="Times New Roman"/>
                <w:szCs w:val="24"/>
              </w:rPr>
              <w:t>сут</w:t>
            </w:r>
          </w:p>
        </w:tc>
        <w:tc>
          <w:tcPr>
            <w:tcW w:w="993" w:type="dxa"/>
          </w:tcPr>
          <w:p w14:paraId="3D8C5E7A" w14:textId="77777777" w:rsidR="0002592F" w:rsidRPr="00512369" w:rsidRDefault="0002592F" w:rsidP="00A60C8A">
            <w:pPr>
              <w:spacing w:line="240" w:lineRule="auto"/>
              <w:ind w:firstLine="0"/>
              <w:rPr>
                <w:rFonts w:cs="Times New Roman"/>
                <w:szCs w:val="24"/>
              </w:rPr>
            </w:pPr>
            <w:r w:rsidRPr="00512369">
              <w:rPr>
                <w:rFonts w:cs="Times New Roman"/>
                <w:szCs w:val="24"/>
              </w:rPr>
              <w:t>мг/сут</w:t>
            </w:r>
          </w:p>
        </w:tc>
        <w:tc>
          <w:tcPr>
            <w:tcW w:w="1134" w:type="dxa"/>
          </w:tcPr>
          <w:p w14:paraId="4D115319" w14:textId="77777777" w:rsidR="0002592F" w:rsidRPr="00512369" w:rsidRDefault="0002592F" w:rsidP="00A60C8A">
            <w:pPr>
              <w:spacing w:line="240" w:lineRule="auto"/>
              <w:ind w:firstLine="0"/>
              <w:rPr>
                <w:rFonts w:cs="Times New Roman"/>
                <w:szCs w:val="24"/>
              </w:rPr>
            </w:pPr>
            <w:r w:rsidRPr="00512369">
              <w:rPr>
                <w:rFonts w:cs="Times New Roman"/>
                <w:szCs w:val="24"/>
              </w:rPr>
              <w:t>сут</w:t>
            </w:r>
          </w:p>
        </w:tc>
        <w:tc>
          <w:tcPr>
            <w:tcW w:w="1134" w:type="dxa"/>
          </w:tcPr>
          <w:p w14:paraId="2CADCBB0" w14:textId="77777777" w:rsidR="0002592F" w:rsidRPr="00512369" w:rsidRDefault="0002592F" w:rsidP="00A60C8A">
            <w:pPr>
              <w:spacing w:line="240" w:lineRule="auto"/>
              <w:ind w:firstLine="0"/>
              <w:rPr>
                <w:rFonts w:cs="Times New Roman"/>
                <w:szCs w:val="24"/>
              </w:rPr>
            </w:pPr>
            <w:r w:rsidRPr="00512369">
              <w:rPr>
                <w:rFonts w:cs="Times New Roman"/>
                <w:szCs w:val="24"/>
              </w:rPr>
              <w:t>мг/сут</w:t>
            </w:r>
          </w:p>
        </w:tc>
        <w:tc>
          <w:tcPr>
            <w:tcW w:w="850" w:type="dxa"/>
          </w:tcPr>
          <w:p w14:paraId="226BDE1B" w14:textId="77777777" w:rsidR="0002592F" w:rsidRPr="00512369" w:rsidRDefault="0002592F" w:rsidP="00A60C8A">
            <w:pPr>
              <w:spacing w:line="240" w:lineRule="auto"/>
              <w:ind w:firstLine="0"/>
              <w:rPr>
                <w:rFonts w:cs="Times New Roman"/>
                <w:szCs w:val="24"/>
              </w:rPr>
            </w:pPr>
            <w:r w:rsidRPr="00512369">
              <w:rPr>
                <w:rFonts w:cs="Times New Roman"/>
                <w:szCs w:val="24"/>
              </w:rPr>
              <w:t>сут</w:t>
            </w:r>
          </w:p>
        </w:tc>
        <w:tc>
          <w:tcPr>
            <w:tcW w:w="1134" w:type="dxa"/>
          </w:tcPr>
          <w:p w14:paraId="1F346A02" w14:textId="77777777" w:rsidR="0002592F" w:rsidRPr="00512369" w:rsidRDefault="0002592F" w:rsidP="00A60C8A">
            <w:pPr>
              <w:spacing w:line="240" w:lineRule="auto"/>
              <w:ind w:firstLine="0"/>
              <w:rPr>
                <w:rFonts w:cs="Times New Roman"/>
                <w:szCs w:val="24"/>
              </w:rPr>
            </w:pPr>
            <w:r w:rsidRPr="00512369">
              <w:rPr>
                <w:rFonts w:cs="Times New Roman"/>
                <w:szCs w:val="24"/>
              </w:rPr>
              <w:t>мг/сут</w:t>
            </w:r>
          </w:p>
        </w:tc>
        <w:tc>
          <w:tcPr>
            <w:tcW w:w="851" w:type="dxa"/>
          </w:tcPr>
          <w:p w14:paraId="38D38B0B" w14:textId="77777777" w:rsidR="0002592F" w:rsidRPr="00512369" w:rsidRDefault="0002592F" w:rsidP="00A60C8A">
            <w:pPr>
              <w:spacing w:line="240" w:lineRule="auto"/>
              <w:ind w:firstLine="0"/>
              <w:rPr>
                <w:rFonts w:cs="Times New Roman"/>
                <w:szCs w:val="24"/>
              </w:rPr>
            </w:pPr>
            <w:r w:rsidRPr="00512369">
              <w:rPr>
                <w:rFonts w:cs="Times New Roman"/>
                <w:szCs w:val="24"/>
              </w:rPr>
              <w:t>сут</w:t>
            </w:r>
          </w:p>
        </w:tc>
        <w:tc>
          <w:tcPr>
            <w:tcW w:w="992" w:type="dxa"/>
          </w:tcPr>
          <w:p w14:paraId="268A074E" w14:textId="77777777" w:rsidR="0002592F" w:rsidRPr="00512369" w:rsidRDefault="0002592F" w:rsidP="00A60C8A">
            <w:pPr>
              <w:spacing w:line="240" w:lineRule="auto"/>
              <w:ind w:firstLine="0"/>
              <w:rPr>
                <w:rFonts w:cs="Times New Roman"/>
                <w:szCs w:val="24"/>
              </w:rPr>
            </w:pPr>
            <w:r w:rsidRPr="00512369">
              <w:rPr>
                <w:rFonts w:cs="Times New Roman"/>
                <w:szCs w:val="24"/>
              </w:rPr>
              <w:t>мг/сут</w:t>
            </w:r>
          </w:p>
        </w:tc>
        <w:tc>
          <w:tcPr>
            <w:tcW w:w="567" w:type="dxa"/>
          </w:tcPr>
          <w:p w14:paraId="1846FACE" w14:textId="77777777" w:rsidR="0002592F" w:rsidRPr="00512369" w:rsidRDefault="0002592F" w:rsidP="00A60C8A">
            <w:pPr>
              <w:spacing w:line="240" w:lineRule="auto"/>
              <w:ind w:firstLine="0"/>
              <w:rPr>
                <w:rFonts w:cs="Times New Roman"/>
                <w:szCs w:val="24"/>
              </w:rPr>
            </w:pPr>
            <w:r w:rsidRPr="00512369">
              <w:rPr>
                <w:rFonts w:cs="Times New Roman"/>
                <w:szCs w:val="24"/>
              </w:rPr>
              <w:t>сут</w:t>
            </w:r>
          </w:p>
        </w:tc>
      </w:tr>
      <w:tr w:rsidR="0002592F" w:rsidRPr="00512369" w14:paraId="0F1F3D33" w14:textId="77777777" w:rsidTr="002D3EBF">
        <w:trPr>
          <w:trHeight w:val="303"/>
        </w:trPr>
        <w:tc>
          <w:tcPr>
            <w:tcW w:w="1277" w:type="dxa"/>
          </w:tcPr>
          <w:p w14:paraId="6D07CCB1" w14:textId="77777777" w:rsidR="0002592F" w:rsidRPr="00512369" w:rsidRDefault="0002592F" w:rsidP="00A60C8A">
            <w:pPr>
              <w:spacing w:line="240" w:lineRule="auto"/>
              <w:ind w:firstLine="0"/>
              <w:rPr>
                <w:rFonts w:cs="Times New Roman"/>
                <w:b/>
                <w:szCs w:val="24"/>
              </w:rPr>
            </w:pPr>
            <w:r w:rsidRPr="00512369">
              <w:rPr>
                <w:rFonts w:cs="Times New Roman"/>
                <w:b/>
                <w:szCs w:val="24"/>
              </w:rPr>
              <w:t>Делирий</w:t>
            </w:r>
          </w:p>
        </w:tc>
        <w:tc>
          <w:tcPr>
            <w:tcW w:w="992" w:type="dxa"/>
          </w:tcPr>
          <w:p w14:paraId="5F44862E" w14:textId="77777777" w:rsidR="0002592F" w:rsidRPr="00512369" w:rsidRDefault="0002592F" w:rsidP="00A60C8A">
            <w:pPr>
              <w:spacing w:line="240" w:lineRule="auto"/>
              <w:ind w:firstLine="0"/>
              <w:rPr>
                <w:rFonts w:cs="Times New Roman"/>
                <w:szCs w:val="24"/>
              </w:rPr>
            </w:pPr>
            <w:r w:rsidRPr="00512369">
              <w:rPr>
                <w:rFonts w:cs="Times New Roman"/>
                <w:szCs w:val="24"/>
              </w:rPr>
              <w:t>10-15</w:t>
            </w:r>
          </w:p>
        </w:tc>
        <w:tc>
          <w:tcPr>
            <w:tcW w:w="850" w:type="dxa"/>
          </w:tcPr>
          <w:p w14:paraId="62DC717E" w14:textId="77777777" w:rsidR="0002592F" w:rsidRPr="00512369" w:rsidRDefault="0002592F" w:rsidP="00A60C8A">
            <w:pPr>
              <w:spacing w:line="240" w:lineRule="auto"/>
              <w:ind w:firstLine="0"/>
              <w:rPr>
                <w:rFonts w:cs="Times New Roman"/>
                <w:szCs w:val="24"/>
              </w:rPr>
            </w:pPr>
            <w:r w:rsidRPr="00512369">
              <w:rPr>
                <w:rFonts w:cs="Times New Roman"/>
                <w:szCs w:val="24"/>
              </w:rPr>
              <w:t>1-4</w:t>
            </w:r>
          </w:p>
        </w:tc>
        <w:tc>
          <w:tcPr>
            <w:tcW w:w="993" w:type="dxa"/>
          </w:tcPr>
          <w:p w14:paraId="3DFAE65C" w14:textId="77777777" w:rsidR="0002592F" w:rsidRPr="00512369" w:rsidRDefault="0002592F" w:rsidP="00A60C8A">
            <w:pPr>
              <w:spacing w:line="240" w:lineRule="auto"/>
              <w:ind w:firstLine="0"/>
              <w:rPr>
                <w:rFonts w:cs="Times New Roman"/>
                <w:szCs w:val="24"/>
              </w:rPr>
            </w:pPr>
            <w:r w:rsidRPr="00512369">
              <w:rPr>
                <w:rFonts w:cs="Times New Roman"/>
                <w:szCs w:val="24"/>
              </w:rPr>
              <w:t>5-10</w:t>
            </w:r>
          </w:p>
        </w:tc>
        <w:tc>
          <w:tcPr>
            <w:tcW w:w="1134" w:type="dxa"/>
          </w:tcPr>
          <w:p w14:paraId="5D642D5D" w14:textId="77777777" w:rsidR="0002592F" w:rsidRPr="00512369" w:rsidRDefault="0002592F" w:rsidP="00A60C8A">
            <w:pPr>
              <w:spacing w:line="240" w:lineRule="auto"/>
              <w:ind w:firstLine="0"/>
              <w:rPr>
                <w:rFonts w:cs="Times New Roman"/>
                <w:szCs w:val="24"/>
              </w:rPr>
            </w:pPr>
            <w:r w:rsidRPr="00512369">
              <w:rPr>
                <w:rFonts w:cs="Times New Roman"/>
                <w:szCs w:val="24"/>
              </w:rPr>
              <w:t>1-2</w:t>
            </w:r>
          </w:p>
        </w:tc>
        <w:tc>
          <w:tcPr>
            <w:tcW w:w="1134" w:type="dxa"/>
          </w:tcPr>
          <w:p w14:paraId="672D2FBC" w14:textId="77777777" w:rsidR="0002592F" w:rsidRPr="00512369" w:rsidRDefault="0002592F" w:rsidP="00A60C8A">
            <w:pPr>
              <w:spacing w:line="240" w:lineRule="auto"/>
              <w:ind w:firstLine="0"/>
              <w:rPr>
                <w:rFonts w:cs="Times New Roman"/>
                <w:szCs w:val="24"/>
              </w:rPr>
            </w:pPr>
            <w:r w:rsidRPr="00512369">
              <w:rPr>
                <w:rFonts w:cs="Times New Roman"/>
                <w:szCs w:val="24"/>
              </w:rPr>
              <w:t>0,25–4,0</w:t>
            </w:r>
          </w:p>
        </w:tc>
        <w:tc>
          <w:tcPr>
            <w:tcW w:w="850" w:type="dxa"/>
          </w:tcPr>
          <w:p w14:paraId="4B8D2F2A" w14:textId="77777777" w:rsidR="0002592F" w:rsidRPr="00512369" w:rsidRDefault="0002592F" w:rsidP="00A60C8A">
            <w:pPr>
              <w:spacing w:line="240" w:lineRule="auto"/>
              <w:ind w:firstLine="0"/>
              <w:rPr>
                <w:rFonts w:cs="Times New Roman"/>
                <w:szCs w:val="24"/>
              </w:rPr>
            </w:pPr>
            <w:r w:rsidRPr="00512369">
              <w:rPr>
                <w:rFonts w:cs="Times New Roman"/>
                <w:szCs w:val="24"/>
              </w:rPr>
              <w:t>1-4</w:t>
            </w:r>
          </w:p>
        </w:tc>
        <w:tc>
          <w:tcPr>
            <w:tcW w:w="1134" w:type="dxa"/>
          </w:tcPr>
          <w:p w14:paraId="02573F5E" w14:textId="77777777" w:rsidR="0002592F" w:rsidRPr="00512369" w:rsidRDefault="0002592F" w:rsidP="00A60C8A">
            <w:pPr>
              <w:spacing w:line="240" w:lineRule="auto"/>
              <w:ind w:firstLine="0"/>
              <w:rPr>
                <w:rFonts w:cs="Times New Roman"/>
                <w:szCs w:val="24"/>
              </w:rPr>
            </w:pPr>
            <w:r w:rsidRPr="00512369">
              <w:rPr>
                <w:rFonts w:cs="Times New Roman"/>
                <w:szCs w:val="24"/>
              </w:rPr>
              <w:t>25-50</w:t>
            </w:r>
          </w:p>
        </w:tc>
        <w:tc>
          <w:tcPr>
            <w:tcW w:w="851" w:type="dxa"/>
          </w:tcPr>
          <w:p w14:paraId="6826BC35" w14:textId="77777777" w:rsidR="0002592F" w:rsidRPr="00512369" w:rsidRDefault="0002592F" w:rsidP="00A60C8A">
            <w:pPr>
              <w:spacing w:line="240" w:lineRule="auto"/>
              <w:ind w:firstLine="0"/>
              <w:rPr>
                <w:rFonts w:cs="Times New Roman"/>
                <w:szCs w:val="24"/>
              </w:rPr>
            </w:pPr>
            <w:r w:rsidRPr="00512369">
              <w:rPr>
                <w:rFonts w:cs="Times New Roman"/>
                <w:szCs w:val="24"/>
              </w:rPr>
              <w:t>1-4</w:t>
            </w:r>
          </w:p>
        </w:tc>
        <w:tc>
          <w:tcPr>
            <w:tcW w:w="992" w:type="dxa"/>
          </w:tcPr>
          <w:p w14:paraId="310F2CE7" w14:textId="77777777" w:rsidR="0002592F" w:rsidRPr="00512369" w:rsidRDefault="0002592F" w:rsidP="00A60C8A">
            <w:pPr>
              <w:spacing w:line="240" w:lineRule="auto"/>
              <w:ind w:firstLine="0"/>
              <w:rPr>
                <w:rFonts w:cs="Times New Roman"/>
                <w:szCs w:val="24"/>
              </w:rPr>
            </w:pPr>
            <w:r w:rsidRPr="00512369">
              <w:rPr>
                <w:rFonts w:cs="Times New Roman"/>
                <w:szCs w:val="24"/>
              </w:rPr>
              <w:t>10-20</w:t>
            </w:r>
          </w:p>
        </w:tc>
        <w:tc>
          <w:tcPr>
            <w:tcW w:w="567" w:type="dxa"/>
            <w:vMerge w:val="restart"/>
            <w:textDirection w:val="btLr"/>
          </w:tcPr>
          <w:p w14:paraId="2E3A56C3" w14:textId="77777777" w:rsidR="0002592F" w:rsidRPr="00325059" w:rsidRDefault="0002592F" w:rsidP="00A60C8A">
            <w:pPr>
              <w:spacing w:line="240" w:lineRule="auto"/>
              <w:ind w:firstLine="0"/>
              <w:rPr>
                <w:rFonts w:cs="Times New Roman"/>
                <w:sz w:val="18"/>
                <w:szCs w:val="24"/>
              </w:rPr>
            </w:pPr>
            <w:r w:rsidRPr="00325059">
              <w:rPr>
                <w:rFonts w:cs="Times New Roman"/>
                <w:sz w:val="18"/>
                <w:szCs w:val="24"/>
              </w:rPr>
              <w:t>При необх</w:t>
            </w:r>
            <w:r>
              <w:rPr>
                <w:rFonts w:cs="Times New Roman"/>
                <w:sz w:val="18"/>
                <w:szCs w:val="24"/>
              </w:rPr>
              <w:t>одим</w:t>
            </w:r>
          </w:p>
        </w:tc>
      </w:tr>
      <w:tr w:rsidR="0002592F" w:rsidRPr="00512369" w14:paraId="64F2456C" w14:textId="77777777" w:rsidTr="002D3EBF">
        <w:tc>
          <w:tcPr>
            <w:tcW w:w="1277" w:type="dxa"/>
          </w:tcPr>
          <w:p w14:paraId="3C7B9682" w14:textId="77777777" w:rsidR="0002592F" w:rsidRPr="00512369" w:rsidRDefault="0002592F" w:rsidP="00A60C8A">
            <w:pPr>
              <w:spacing w:line="240" w:lineRule="auto"/>
              <w:ind w:firstLine="0"/>
              <w:rPr>
                <w:rFonts w:cs="Times New Roman"/>
                <w:b/>
                <w:szCs w:val="24"/>
              </w:rPr>
            </w:pPr>
            <w:r w:rsidRPr="00512369">
              <w:rPr>
                <w:rFonts w:cs="Times New Roman"/>
                <w:b/>
                <w:szCs w:val="24"/>
              </w:rPr>
              <w:t>ЭМП</w:t>
            </w:r>
          </w:p>
        </w:tc>
        <w:tc>
          <w:tcPr>
            <w:tcW w:w="992" w:type="dxa"/>
          </w:tcPr>
          <w:p w14:paraId="6C49CFEB" w14:textId="77777777" w:rsidR="0002592F" w:rsidRPr="00512369" w:rsidRDefault="0002592F" w:rsidP="00A60C8A">
            <w:pPr>
              <w:spacing w:line="240" w:lineRule="auto"/>
              <w:ind w:firstLine="0"/>
              <w:rPr>
                <w:rFonts w:cs="Times New Roman"/>
                <w:szCs w:val="24"/>
              </w:rPr>
            </w:pPr>
            <w:r w:rsidRPr="00512369">
              <w:rPr>
                <w:rFonts w:cs="Times New Roman"/>
                <w:szCs w:val="24"/>
              </w:rPr>
              <w:t>10-30</w:t>
            </w:r>
          </w:p>
        </w:tc>
        <w:tc>
          <w:tcPr>
            <w:tcW w:w="850" w:type="dxa"/>
          </w:tcPr>
          <w:p w14:paraId="66BA4A47" w14:textId="77777777" w:rsidR="0002592F" w:rsidRPr="00512369" w:rsidRDefault="0002592F" w:rsidP="00A60C8A">
            <w:pPr>
              <w:spacing w:line="240" w:lineRule="auto"/>
              <w:ind w:firstLine="0"/>
              <w:rPr>
                <w:rFonts w:cs="Times New Roman"/>
                <w:szCs w:val="24"/>
              </w:rPr>
            </w:pPr>
            <w:r w:rsidRPr="00512369">
              <w:rPr>
                <w:rFonts w:cs="Times New Roman"/>
                <w:szCs w:val="24"/>
              </w:rPr>
              <w:t>5-11</w:t>
            </w:r>
          </w:p>
        </w:tc>
        <w:tc>
          <w:tcPr>
            <w:tcW w:w="993" w:type="dxa"/>
          </w:tcPr>
          <w:p w14:paraId="13C072D1" w14:textId="77777777" w:rsidR="0002592F" w:rsidRPr="00512369" w:rsidRDefault="0002592F" w:rsidP="00A60C8A">
            <w:pPr>
              <w:spacing w:line="240" w:lineRule="auto"/>
              <w:ind w:firstLine="0"/>
              <w:rPr>
                <w:rFonts w:cs="Times New Roman"/>
                <w:szCs w:val="24"/>
              </w:rPr>
            </w:pPr>
            <w:r w:rsidRPr="00512369">
              <w:rPr>
                <w:rFonts w:cs="Times New Roman"/>
                <w:szCs w:val="24"/>
              </w:rPr>
              <w:t>5-10</w:t>
            </w:r>
          </w:p>
        </w:tc>
        <w:tc>
          <w:tcPr>
            <w:tcW w:w="1134" w:type="dxa"/>
          </w:tcPr>
          <w:p w14:paraId="59017A6A" w14:textId="77777777" w:rsidR="0002592F" w:rsidRPr="00512369" w:rsidRDefault="0002592F" w:rsidP="00A60C8A">
            <w:pPr>
              <w:spacing w:line="240" w:lineRule="auto"/>
              <w:ind w:firstLine="0"/>
              <w:rPr>
                <w:rFonts w:cs="Times New Roman"/>
                <w:szCs w:val="24"/>
              </w:rPr>
            </w:pPr>
            <w:r w:rsidRPr="00512369">
              <w:rPr>
                <w:rFonts w:cs="Times New Roman"/>
                <w:szCs w:val="24"/>
              </w:rPr>
              <w:t>4-8</w:t>
            </w:r>
          </w:p>
        </w:tc>
        <w:tc>
          <w:tcPr>
            <w:tcW w:w="1134" w:type="dxa"/>
          </w:tcPr>
          <w:p w14:paraId="28C22115" w14:textId="77777777" w:rsidR="0002592F" w:rsidRPr="00512369" w:rsidRDefault="0002592F" w:rsidP="00A60C8A">
            <w:pPr>
              <w:spacing w:line="240" w:lineRule="auto"/>
              <w:ind w:firstLine="0"/>
              <w:rPr>
                <w:rFonts w:cs="Times New Roman"/>
                <w:szCs w:val="24"/>
              </w:rPr>
            </w:pPr>
            <w:r w:rsidRPr="00512369">
              <w:rPr>
                <w:rFonts w:cs="Times New Roman"/>
                <w:szCs w:val="24"/>
              </w:rPr>
              <w:t>0,25-6,0</w:t>
            </w:r>
          </w:p>
        </w:tc>
        <w:tc>
          <w:tcPr>
            <w:tcW w:w="850" w:type="dxa"/>
          </w:tcPr>
          <w:p w14:paraId="3A7BDDAC" w14:textId="77777777" w:rsidR="0002592F" w:rsidRPr="00512369" w:rsidRDefault="0002592F" w:rsidP="00A60C8A">
            <w:pPr>
              <w:spacing w:line="240" w:lineRule="auto"/>
              <w:ind w:firstLine="0"/>
              <w:rPr>
                <w:rFonts w:cs="Times New Roman"/>
                <w:szCs w:val="24"/>
              </w:rPr>
            </w:pPr>
            <w:r w:rsidRPr="00512369">
              <w:rPr>
                <w:rFonts w:cs="Times New Roman"/>
                <w:szCs w:val="24"/>
              </w:rPr>
              <w:t>5-14</w:t>
            </w:r>
          </w:p>
        </w:tc>
        <w:tc>
          <w:tcPr>
            <w:tcW w:w="1134" w:type="dxa"/>
          </w:tcPr>
          <w:p w14:paraId="3CF3EE6B" w14:textId="77777777" w:rsidR="0002592F" w:rsidRPr="00512369" w:rsidRDefault="0002592F" w:rsidP="00A60C8A">
            <w:pPr>
              <w:spacing w:line="240" w:lineRule="auto"/>
              <w:ind w:firstLine="0"/>
              <w:rPr>
                <w:rFonts w:cs="Times New Roman"/>
                <w:szCs w:val="24"/>
              </w:rPr>
            </w:pPr>
            <w:r w:rsidRPr="00512369">
              <w:rPr>
                <w:rFonts w:cs="Times New Roman"/>
                <w:szCs w:val="24"/>
              </w:rPr>
              <w:t>12,5-100</w:t>
            </w:r>
          </w:p>
        </w:tc>
        <w:tc>
          <w:tcPr>
            <w:tcW w:w="851" w:type="dxa"/>
          </w:tcPr>
          <w:p w14:paraId="750E5E07" w14:textId="77777777" w:rsidR="0002592F" w:rsidRPr="00512369" w:rsidRDefault="0002592F" w:rsidP="00A60C8A">
            <w:pPr>
              <w:spacing w:line="240" w:lineRule="auto"/>
              <w:ind w:firstLine="0"/>
              <w:rPr>
                <w:rFonts w:cs="Times New Roman"/>
                <w:szCs w:val="24"/>
              </w:rPr>
            </w:pPr>
            <w:r w:rsidRPr="00512369">
              <w:rPr>
                <w:rFonts w:cs="Times New Roman"/>
                <w:szCs w:val="24"/>
              </w:rPr>
              <w:t>5-14</w:t>
            </w:r>
          </w:p>
        </w:tc>
        <w:tc>
          <w:tcPr>
            <w:tcW w:w="992" w:type="dxa"/>
          </w:tcPr>
          <w:p w14:paraId="433A269B" w14:textId="77777777" w:rsidR="0002592F" w:rsidRPr="00512369" w:rsidRDefault="0002592F" w:rsidP="00A60C8A">
            <w:pPr>
              <w:spacing w:line="240" w:lineRule="auto"/>
              <w:ind w:firstLine="0"/>
              <w:rPr>
                <w:rFonts w:cs="Times New Roman"/>
                <w:szCs w:val="24"/>
              </w:rPr>
            </w:pPr>
            <w:r w:rsidRPr="00512369">
              <w:rPr>
                <w:rFonts w:cs="Times New Roman"/>
                <w:szCs w:val="24"/>
              </w:rPr>
              <w:t>10-20</w:t>
            </w:r>
          </w:p>
        </w:tc>
        <w:tc>
          <w:tcPr>
            <w:tcW w:w="567" w:type="dxa"/>
            <w:vMerge/>
          </w:tcPr>
          <w:p w14:paraId="28E7F016" w14:textId="77777777" w:rsidR="0002592F" w:rsidRPr="00512369" w:rsidRDefault="0002592F" w:rsidP="00A60C8A">
            <w:pPr>
              <w:spacing w:line="240" w:lineRule="auto"/>
              <w:ind w:firstLine="0"/>
              <w:rPr>
                <w:rFonts w:cs="Times New Roman"/>
                <w:szCs w:val="24"/>
              </w:rPr>
            </w:pPr>
          </w:p>
        </w:tc>
      </w:tr>
      <w:tr w:rsidR="0002592F" w:rsidRPr="00512369" w14:paraId="27658543" w14:textId="77777777" w:rsidTr="002D3EBF">
        <w:tc>
          <w:tcPr>
            <w:tcW w:w="1277" w:type="dxa"/>
          </w:tcPr>
          <w:p w14:paraId="3D5E1A60" w14:textId="77777777" w:rsidR="0002592F" w:rsidRPr="00512369" w:rsidRDefault="0002592F" w:rsidP="00A60C8A">
            <w:pPr>
              <w:spacing w:line="240" w:lineRule="auto"/>
              <w:ind w:firstLine="0"/>
              <w:rPr>
                <w:rFonts w:cs="Times New Roman"/>
                <w:b/>
                <w:szCs w:val="24"/>
              </w:rPr>
            </w:pPr>
            <w:r w:rsidRPr="00512369">
              <w:rPr>
                <w:rFonts w:cs="Times New Roman"/>
                <w:b/>
                <w:szCs w:val="24"/>
              </w:rPr>
              <w:t>ПШ</w:t>
            </w:r>
          </w:p>
        </w:tc>
        <w:tc>
          <w:tcPr>
            <w:tcW w:w="992" w:type="dxa"/>
          </w:tcPr>
          <w:p w14:paraId="5E269C0E" w14:textId="77777777" w:rsidR="0002592F" w:rsidRPr="00512369" w:rsidRDefault="0002592F" w:rsidP="00A60C8A">
            <w:pPr>
              <w:spacing w:line="240" w:lineRule="auto"/>
              <w:ind w:firstLine="0"/>
              <w:rPr>
                <w:rFonts w:cs="Times New Roman"/>
                <w:szCs w:val="24"/>
              </w:rPr>
            </w:pPr>
            <w:r w:rsidRPr="00512369">
              <w:rPr>
                <w:rFonts w:cs="Times New Roman"/>
                <w:szCs w:val="24"/>
              </w:rPr>
              <w:t>10-40</w:t>
            </w:r>
          </w:p>
        </w:tc>
        <w:tc>
          <w:tcPr>
            <w:tcW w:w="850" w:type="dxa"/>
          </w:tcPr>
          <w:p w14:paraId="0A3DB45C" w14:textId="77777777" w:rsidR="0002592F" w:rsidRPr="00512369" w:rsidRDefault="0002592F" w:rsidP="00A60C8A">
            <w:pPr>
              <w:spacing w:line="240" w:lineRule="auto"/>
              <w:ind w:firstLine="0"/>
              <w:rPr>
                <w:rFonts w:cs="Times New Roman"/>
                <w:szCs w:val="24"/>
              </w:rPr>
            </w:pPr>
            <w:r w:rsidRPr="00512369">
              <w:rPr>
                <w:rFonts w:cs="Times New Roman"/>
                <w:szCs w:val="24"/>
              </w:rPr>
              <w:t>30-41</w:t>
            </w:r>
          </w:p>
        </w:tc>
        <w:tc>
          <w:tcPr>
            <w:tcW w:w="993" w:type="dxa"/>
          </w:tcPr>
          <w:p w14:paraId="7C3CD6C7" w14:textId="77777777" w:rsidR="0002592F" w:rsidRPr="00512369" w:rsidRDefault="0002592F" w:rsidP="00A60C8A">
            <w:pPr>
              <w:spacing w:line="240" w:lineRule="auto"/>
              <w:ind w:firstLine="0"/>
              <w:rPr>
                <w:rFonts w:cs="Times New Roman"/>
                <w:szCs w:val="24"/>
              </w:rPr>
            </w:pPr>
            <w:r w:rsidRPr="00512369">
              <w:rPr>
                <w:rFonts w:cs="Times New Roman"/>
                <w:szCs w:val="24"/>
              </w:rPr>
              <w:t>10-15</w:t>
            </w:r>
          </w:p>
        </w:tc>
        <w:tc>
          <w:tcPr>
            <w:tcW w:w="1134" w:type="dxa"/>
          </w:tcPr>
          <w:p w14:paraId="45089AAF" w14:textId="77777777" w:rsidR="0002592F" w:rsidRPr="00512369" w:rsidRDefault="0002592F" w:rsidP="00A60C8A">
            <w:pPr>
              <w:spacing w:line="240" w:lineRule="auto"/>
              <w:ind w:firstLine="0"/>
              <w:rPr>
                <w:rFonts w:cs="Times New Roman"/>
                <w:szCs w:val="24"/>
              </w:rPr>
            </w:pPr>
            <w:r w:rsidRPr="00512369">
              <w:rPr>
                <w:rFonts w:cs="Times New Roman"/>
                <w:szCs w:val="24"/>
              </w:rPr>
              <w:t>25-36</w:t>
            </w:r>
          </w:p>
        </w:tc>
        <w:tc>
          <w:tcPr>
            <w:tcW w:w="1134" w:type="dxa"/>
          </w:tcPr>
          <w:p w14:paraId="7623184B" w14:textId="77777777" w:rsidR="0002592F" w:rsidRPr="00512369" w:rsidRDefault="0002592F" w:rsidP="00A60C8A">
            <w:pPr>
              <w:spacing w:line="240" w:lineRule="auto"/>
              <w:ind w:firstLine="0"/>
              <w:rPr>
                <w:rFonts w:cs="Times New Roman"/>
                <w:szCs w:val="24"/>
              </w:rPr>
            </w:pPr>
            <w:r w:rsidRPr="00512369">
              <w:rPr>
                <w:rFonts w:cs="Times New Roman"/>
                <w:szCs w:val="24"/>
              </w:rPr>
              <w:t>0,5-6,0</w:t>
            </w:r>
          </w:p>
        </w:tc>
        <w:tc>
          <w:tcPr>
            <w:tcW w:w="850" w:type="dxa"/>
          </w:tcPr>
          <w:p w14:paraId="3B67E497" w14:textId="77777777" w:rsidR="0002592F" w:rsidRPr="00512369" w:rsidRDefault="0002592F" w:rsidP="00A60C8A">
            <w:pPr>
              <w:spacing w:line="240" w:lineRule="auto"/>
              <w:ind w:firstLine="0"/>
              <w:rPr>
                <w:rFonts w:cs="Times New Roman"/>
                <w:szCs w:val="24"/>
              </w:rPr>
            </w:pPr>
            <w:r w:rsidRPr="00512369">
              <w:rPr>
                <w:rFonts w:cs="Times New Roman"/>
                <w:szCs w:val="24"/>
              </w:rPr>
              <w:t>30-60</w:t>
            </w:r>
          </w:p>
        </w:tc>
        <w:tc>
          <w:tcPr>
            <w:tcW w:w="1134" w:type="dxa"/>
          </w:tcPr>
          <w:p w14:paraId="1BB94BB3" w14:textId="77777777" w:rsidR="0002592F" w:rsidRPr="00512369" w:rsidRDefault="0002592F" w:rsidP="00A60C8A">
            <w:pPr>
              <w:spacing w:line="240" w:lineRule="auto"/>
              <w:ind w:firstLine="0"/>
              <w:rPr>
                <w:rFonts w:cs="Times New Roman"/>
                <w:szCs w:val="24"/>
              </w:rPr>
            </w:pPr>
            <w:r w:rsidRPr="00512369">
              <w:rPr>
                <w:rFonts w:cs="Times New Roman"/>
                <w:szCs w:val="24"/>
              </w:rPr>
              <w:t>12,5-100</w:t>
            </w:r>
          </w:p>
        </w:tc>
        <w:tc>
          <w:tcPr>
            <w:tcW w:w="851" w:type="dxa"/>
          </w:tcPr>
          <w:p w14:paraId="2E99D983" w14:textId="77777777" w:rsidR="0002592F" w:rsidRPr="00512369" w:rsidRDefault="0002592F" w:rsidP="00A60C8A">
            <w:pPr>
              <w:spacing w:line="240" w:lineRule="auto"/>
              <w:ind w:firstLine="0"/>
              <w:rPr>
                <w:rFonts w:cs="Times New Roman"/>
                <w:szCs w:val="24"/>
              </w:rPr>
            </w:pPr>
            <w:r w:rsidRPr="00512369">
              <w:rPr>
                <w:rFonts w:cs="Times New Roman"/>
                <w:szCs w:val="24"/>
              </w:rPr>
              <w:t>30-60</w:t>
            </w:r>
          </w:p>
        </w:tc>
        <w:tc>
          <w:tcPr>
            <w:tcW w:w="992" w:type="dxa"/>
          </w:tcPr>
          <w:p w14:paraId="5F3A3501" w14:textId="77777777" w:rsidR="0002592F" w:rsidRPr="00512369" w:rsidRDefault="0002592F" w:rsidP="00A60C8A">
            <w:pPr>
              <w:spacing w:line="240" w:lineRule="auto"/>
              <w:ind w:firstLine="0"/>
              <w:rPr>
                <w:rFonts w:cs="Times New Roman"/>
                <w:szCs w:val="24"/>
              </w:rPr>
            </w:pPr>
            <w:r w:rsidRPr="00512369">
              <w:rPr>
                <w:rFonts w:cs="Times New Roman"/>
                <w:szCs w:val="24"/>
              </w:rPr>
              <w:t>20-40</w:t>
            </w:r>
          </w:p>
        </w:tc>
        <w:tc>
          <w:tcPr>
            <w:tcW w:w="567" w:type="dxa"/>
            <w:vMerge/>
          </w:tcPr>
          <w:p w14:paraId="57104CF7" w14:textId="77777777" w:rsidR="0002592F" w:rsidRPr="00512369" w:rsidRDefault="0002592F" w:rsidP="00A60C8A">
            <w:pPr>
              <w:spacing w:line="240" w:lineRule="auto"/>
              <w:ind w:firstLine="0"/>
              <w:rPr>
                <w:rFonts w:cs="Times New Roman"/>
                <w:szCs w:val="24"/>
              </w:rPr>
            </w:pPr>
          </w:p>
        </w:tc>
      </w:tr>
    </w:tbl>
    <w:p w14:paraId="7CB61388" w14:textId="77777777" w:rsidR="0002592F" w:rsidRPr="00512369" w:rsidRDefault="0002592F" w:rsidP="0002592F">
      <w:pPr>
        <w:rPr>
          <w:rFonts w:cs="Times New Roman"/>
          <w:szCs w:val="24"/>
        </w:rPr>
      </w:pPr>
      <w:r w:rsidRPr="00512369">
        <w:rPr>
          <w:rFonts w:cs="Times New Roman"/>
          <w:szCs w:val="24"/>
        </w:rPr>
        <w:t>ЭМП – эндогеноморфные психозы; ПШ – приступ шизофрении</w:t>
      </w:r>
    </w:p>
    <w:p w14:paraId="70185173" w14:textId="77777777" w:rsidR="0002592F" w:rsidRDefault="0002592F" w:rsidP="0002592F">
      <w:pPr>
        <w:ind w:firstLine="708"/>
        <w:rPr>
          <w:rFonts w:cs="Times New Roman"/>
          <w:szCs w:val="24"/>
        </w:rPr>
      </w:pPr>
    </w:p>
    <w:p w14:paraId="6FF98B28" w14:textId="77777777" w:rsidR="0002592F" w:rsidRPr="00E931A1" w:rsidRDefault="0002592F" w:rsidP="0002592F">
      <w:pPr>
        <w:ind w:firstLine="708"/>
        <w:rPr>
          <w:rFonts w:cs="Times New Roman"/>
          <w:szCs w:val="24"/>
        </w:rPr>
      </w:pPr>
      <w:r w:rsidRPr="00512369">
        <w:rPr>
          <w:rFonts w:cs="Times New Roman"/>
          <w:szCs w:val="24"/>
        </w:rPr>
        <w:t>Дозы транквилизаторов, антидепрессантов и нейролептиков при лечении нозогенных расстройств соответствуют стандартным рекомендованным средним суточным дозам. Лечение пациентов осуществляется как на стационарном, так и на амбулаторном этапах. Общая продолжительность лечения составляет в среднем 8 недель. Выбор психотропных средств, назначающихся как в виде мо</w:t>
      </w:r>
      <w:r>
        <w:rPr>
          <w:rFonts w:cs="Times New Roman"/>
          <w:szCs w:val="24"/>
        </w:rPr>
        <w:t>н</w:t>
      </w:r>
      <w:r w:rsidRPr="00512369">
        <w:rPr>
          <w:rFonts w:cs="Times New Roman"/>
          <w:szCs w:val="24"/>
        </w:rPr>
        <w:t xml:space="preserve">отерапии, так и комбинированной терапии, во многом определяется структурой психопатологических проявлений. Транквилизаторы (анксиолитики) назначаются при нозогенных реакциях, протекающих с преобладанием невротических расстройств (тревожно-фобические) и нарушениями сна. Антидепрессанты (тимолептики) используются при нозогенных тревожно-депрессивных реакциях. Нейролептики показаны в первую очередь при лечении шизофренических нозогенных реакций. При выраженных нарушениях сна в структуре нозогенной реакции применяется комбинированная терапия антидепрессант - </w:t>
      </w:r>
      <w:r w:rsidRPr="00E931A1">
        <w:rPr>
          <w:rFonts w:cs="Times New Roman"/>
          <w:szCs w:val="24"/>
        </w:rPr>
        <w:t>транквилизатор (снотворное), нейролептик - транквилизатор (снотворное) в указанных дозах (см. Таблицу 2).</w:t>
      </w:r>
    </w:p>
    <w:p w14:paraId="535C6A67" w14:textId="77777777" w:rsidR="0002592F" w:rsidRDefault="0002592F" w:rsidP="0002592F">
      <w:pPr>
        <w:ind w:firstLine="708"/>
        <w:rPr>
          <w:rFonts w:cs="Times New Roman"/>
          <w:szCs w:val="24"/>
        </w:rPr>
      </w:pPr>
      <w:r w:rsidRPr="00E931A1">
        <w:rPr>
          <w:rFonts w:cs="Times New Roman"/>
          <w:szCs w:val="24"/>
        </w:rPr>
        <w:t>Выбор лекарственного препарата для лечения психиатрического растройства</w:t>
      </w:r>
      <w:r w:rsidRPr="003319F9">
        <w:rPr>
          <w:rFonts w:cs="Times New Roman"/>
          <w:szCs w:val="24"/>
        </w:rPr>
        <w:t xml:space="preserve"> у пациентов с порфирией осуществляется с учетом особенностей нозологии (в соответствии со списком разрешенных препаратов при порфирии).</w:t>
      </w:r>
    </w:p>
    <w:p w14:paraId="1B6AC86A" w14:textId="77777777" w:rsidR="0002592F" w:rsidRPr="007D5352" w:rsidRDefault="0002592F" w:rsidP="0002592F">
      <w:pPr>
        <w:ind w:firstLine="708"/>
        <w:rPr>
          <w:rFonts w:cs="Times New Roman"/>
          <w:szCs w:val="24"/>
        </w:rPr>
      </w:pPr>
    </w:p>
    <w:p w14:paraId="6A97398F" w14:textId="77777777" w:rsidR="0002592F" w:rsidRPr="00E931A1" w:rsidRDefault="0002592F" w:rsidP="0002592F">
      <w:pPr>
        <w:rPr>
          <w:rFonts w:cs="Times New Roman"/>
          <w:bCs/>
          <w:szCs w:val="24"/>
        </w:rPr>
      </w:pPr>
      <w:r w:rsidRPr="00E931A1">
        <w:rPr>
          <w:rFonts w:cs="Times New Roman"/>
          <w:bCs/>
          <w:szCs w:val="24"/>
        </w:rPr>
        <w:t>Таблица 2. Дозы (максимальные, минимальные, средние) психотропных средств, использующиеся в фармакотерапии нозогенных реакций у больных гематологического стационара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3"/>
        <w:gridCol w:w="1929"/>
        <w:gridCol w:w="1895"/>
        <w:gridCol w:w="1630"/>
      </w:tblGrid>
      <w:tr w:rsidR="0002592F" w:rsidRPr="00512369" w14:paraId="562CAABC" w14:textId="77777777" w:rsidTr="002D3EBF">
        <w:trPr>
          <w:trHeight w:val="228"/>
        </w:trPr>
        <w:tc>
          <w:tcPr>
            <w:tcW w:w="3783" w:type="dxa"/>
            <w:vMerge w:val="restart"/>
          </w:tcPr>
          <w:p w14:paraId="468825D9" w14:textId="77777777" w:rsidR="0002592F" w:rsidRDefault="0002592F" w:rsidP="00A60C8A">
            <w:pPr>
              <w:autoSpaceDE w:val="0"/>
              <w:autoSpaceDN w:val="0"/>
              <w:adjustRightInd w:val="0"/>
              <w:spacing w:line="240" w:lineRule="auto"/>
              <w:ind w:firstLine="0"/>
              <w:jc w:val="center"/>
              <w:rPr>
                <w:rFonts w:cs="Times New Roman"/>
                <w:b/>
                <w:szCs w:val="24"/>
              </w:rPr>
            </w:pPr>
          </w:p>
          <w:p w14:paraId="7020DC2E" w14:textId="77777777" w:rsidR="0002592F" w:rsidRPr="00512369" w:rsidRDefault="0002592F" w:rsidP="00A60C8A">
            <w:pPr>
              <w:autoSpaceDE w:val="0"/>
              <w:autoSpaceDN w:val="0"/>
              <w:adjustRightInd w:val="0"/>
              <w:spacing w:line="240" w:lineRule="auto"/>
              <w:ind w:firstLine="0"/>
              <w:jc w:val="center"/>
              <w:rPr>
                <w:rFonts w:cs="Times New Roman"/>
                <w:b/>
                <w:szCs w:val="24"/>
              </w:rPr>
            </w:pPr>
            <w:r w:rsidRPr="00512369">
              <w:rPr>
                <w:rFonts w:cs="Times New Roman"/>
                <w:b/>
                <w:szCs w:val="24"/>
              </w:rPr>
              <w:t>Название препарата</w:t>
            </w:r>
          </w:p>
        </w:tc>
        <w:tc>
          <w:tcPr>
            <w:tcW w:w="5454" w:type="dxa"/>
            <w:gridSpan w:val="3"/>
          </w:tcPr>
          <w:p w14:paraId="37ABD58F" w14:textId="77777777" w:rsidR="0002592F" w:rsidRPr="00512369" w:rsidRDefault="0002592F" w:rsidP="00A60C8A">
            <w:pPr>
              <w:autoSpaceDE w:val="0"/>
              <w:autoSpaceDN w:val="0"/>
              <w:adjustRightInd w:val="0"/>
              <w:spacing w:line="240" w:lineRule="auto"/>
              <w:ind w:firstLine="0"/>
              <w:jc w:val="center"/>
              <w:rPr>
                <w:rFonts w:cs="Times New Roman"/>
                <w:b/>
                <w:szCs w:val="24"/>
              </w:rPr>
            </w:pPr>
            <w:r w:rsidRPr="00512369">
              <w:rPr>
                <w:rFonts w:cs="Times New Roman"/>
                <w:b/>
                <w:szCs w:val="24"/>
              </w:rPr>
              <w:t>Дозировка</w:t>
            </w:r>
          </w:p>
        </w:tc>
      </w:tr>
      <w:tr w:rsidR="0002592F" w:rsidRPr="00512369" w14:paraId="4E575B94" w14:textId="77777777" w:rsidTr="002D3EBF">
        <w:trPr>
          <w:trHeight w:val="326"/>
        </w:trPr>
        <w:tc>
          <w:tcPr>
            <w:tcW w:w="3783" w:type="dxa"/>
            <w:vMerge/>
          </w:tcPr>
          <w:p w14:paraId="0A9EDBB2" w14:textId="77777777" w:rsidR="0002592F" w:rsidRPr="00512369" w:rsidRDefault="0002592F" w:rsidP="00A60C8A">
            <w:pPr>
              <w:autoSpaceDE w:val="0"/>
              <w:autoSpaceDN w:val="0"/>
              <w:adjustRightInd w:val="0"/>
              <w:spacing w:line="240" w:lineRule="auto"/>
              <w:ind w:firstLine="0"/>
              <w:rPr>
                <w:rFonts w:cs="Times New Roman"/>
                <w:b/>
                <w:szCs w:val="24"/>
              </w:rPr>
            </w:pPr>
          </w:p>
        </w:tc>
        <w:tc>
          <w:tcPr>
            <w:tcW w:w="1929" w:type="dxa"/>
          </w:tcPr>
          <w:p w14:paraId="0B5EF6A3" w14:textId="77777777" w:rsidR="0002592F" w:rsidRPr="00512369" w:rsidRDefault="0002592F" w:rsidP="00A60C8A">
            <w:pPr>
              <w:autoSpaceDE w:val="0"/>
              <w:autoSpaceDN w:val="0"/>
              <w:adjustRightInd w:val="0"/>
              <w:spacing w:line="240" w:lineRule="auto"/>
              <w:ind w:firstLine="0"/>
              <w:jc w:val="center"/>
              <w:rPr>
                <w:rFonts w:cs="Times New Roman"/>
                <w:b/>
                <w:szCs w:val="24"/>
              </w:rPr>
            </w:pPr>
            <w:r>
              <w:rPr>
                <w:rFonts w:cs="Times New Roman"/>
                <w:b/>
                <w:szCs w:val="24"/>
              </w:rPr>
              <w:t>минимальная</w:t>
            </w:r>
            <w:r w:rsidRPr="00512369">
              <w:rPr>
                <w:rFonts w:cs="Times New Roman"/>
                <w:b/>
                <w:szCs w:val="24"/>
              </w:rPr>
              <w:t xml:space="preserve"> (мг)</w:t>
            </w:r>
          </w:p>
        </w:tc>
        <w:tc>
          <w:tcPr>
            <w:tcW w:w="1895" w:type="dxa"/>
          </w:tcPr>
          <w:p w14:paraId="55287CD1" w14:textId="77777777" w:rsidR="0002592F" w:rsidRPr="00512369" w:rsidRDefault="0002592F" w:rsidP="00A60C8A">
            <w:pPr>
              <w:autoSpaceDE w:val="0"/>
              <w:autoSpaceDN w:val="0"/>
              <w:adjustRightInd w:val="0"/>
              <w:spacing w:line="240" w:lineRule="auto"/>
              <w:ind w:firstLine="0"/>
              <w:jc w:val="center"/>
              <w:rPr>
                <w:rFonts w:cs="Times New Roman"/>
                <w:b/>
                <w:szCs w:val="24"/>
              </w:rPr>
            </w:pPr>
            <w:r>
              <w:rPr>
                <w:rFonts w:cs="Times New Roman"/>
                <w:b/>
                <w:szCs w:val="24"/>
              </w:rPr>
              <w:t>максимальная</w:t>
            </w:r>
            <w:r w:rsidRPr="00512369">
              <w:rPr>
                <w:rFonts w:cs="Times New Roman"/>
                <w:b/>
                <w:szCs w:val="24"/>
              </w:rPr>
              <w:t xml:space="preserve"> (мг)</w:t>
            </w:r>
          </w:p>
        </w:tc>
        <w:tc>
          <w:tcPr>
            <w:tcW w:w="1630" w:type="dxa"/>
          </w:tcPr>
          <w:p w14:paraId="0D494136" w14:textId="77777777" w:rsidR="0002592F" w:rsidRPr="00512369" w:rsidRDefault="0002592F" w:rsidP="00A60C8A">
            <w:pPr>
              <w:autoSpaceDE w:val="0"/>
              <w:autoSpaceDN w:val="0"/>
              <w:adjustRightInd w:val="0"/>
              <w:spacing w:line="240" w:lineRule="auto"/>
              <w:ind w:firstLine="0"/>
              <w:jc w:val="center"/>
              <w:rPr>
                <w:rFonts w:cs="Times New Roman"/>
                <w:b/>
                <w:szCs w:val="24"/>
              </w:rPr>
            </w:pPr>
            <w:r>
              <w:rPr>
                <w:rFonts w:cs="Times New Roman"/>
                <w:b/>
                <w:szCs w:val="24"/>
              </w:rPr>
              <w:t>средняя</w:t>
            </w:r>
            <w:r w:rsidRPr="00512369">
              <w:rPr>
                <w:rFonts w:cs="Times New Roman"/>
                <w:b/>
                <w:szCs w:val="24"/>
              </w:rPr>
              <w:t xml:space="preserve"> (мг)</w:t>
            </w:r>
          </w:p>
        </w:tc>
      </w:tr>
      <w:tr w:rsidR="0002592F" w:rsidRPr="00512369" w14:paraId="32534DD9" w14:textId="77777777" w:rsidTr="002D3EBF">
        <w:trPr>
          <w:trHeight w:val="182"/>
        </w:trPr>
        <w:tc>
          <w:tcPr>
            <w:tcW w:w="3783" w:type="dxa"/>
          </w:tcPr>
          <w:p w14:paraId="086127FE" w14:textId="77777777" w:rsidR="0002592F" w:rsidRPr="00512369" w:rsidRDefault="0002592F" w:rsidP="00A60C8A">
            <w:pPr>
              <w:autoSpaceDE w:val="0"/>
              <w:autoSpaceDN w:val="0"/>
              <w:adjustRightInd w:val="0"/>
              <w:spacing w:line="240" w:lineRule="auto"/>
              <w:ind w:firstLine="0"/>
              <w:rPr>
                <w:rFonts w:cs="Times New Roman"/>
                <w:szCs w:val="24"/>
              </w:rPr>
            </w:pPr>
            <w:r w:rsidRPr="00512369">
              <w:rPr>
                <w:rFonts w:cs="Times New Roman"/>
                <w:szCs w:val="24"/>
              </w:rPr>
              <w:t>кветиапин</w:t>
            </w:r>
          </w:p>
        </w:tc>
        <w:tc>
          <w:tcPr>
            <w:tcW w:w="1929" w:type="dxa"/>
          </w:tcPr>
          <w:p w14:paraId="1247EBFB" w14:textId="77777777" w:rsidR="0002592F" w:rsidRPr="00512369" w:rsidRDefault="0002592F" w:rsidP="00A60C8A">
            <w:pPr>
              <w:autoSpaceDE w:val="0"/>
              <w:autoSpaceDN w:val="0"/>
              <w:adjustRightInd w:val="0"/>
              <w:spacing w:line="240" w:lineRule="auto"/>
              <w:ind w:firstLine="0"/>
              <w:jc w:val="center"/>
              <w:rPr>
                <w:rFonts w:cs="Times New Roman"/>
                <w:szCs w:val="24"/>
              </w:rPr>
            </w:pPr>
            <w:r w:rsidRPr="00512369">
              <w:rPr>
                <w:rFonts w:cs="Times New Roman"/>
                <w:szCs w:val="24"/>
              </w:rPr>
              <w:t>25</w:t>
            </w:r>
          </w:p>
        </w:tc>
        <w:tc>
          <w:tcPr>
            <w:tcW w:w="1895" w:type="dxa"/>
          </w:tcPr>
          <w:p w14:paraId="6C34B234" w14:textId="77777777" w:rsidR="0002592F" w:rsidRPr="00512369" w:rsidRDefault="0002592F" w:rsidP="00A60C8A">
            <w:pPr>
              <w:autoSpaceDE w:val="0"/>
              <w:autoSpaceDN w:val="0"/>
              <w:adjustRightInd w:val="0"/>
              <w:spacing w:line="240" w:lineRule="auto"/>
              <w:ind w:firstLine="0"/>
              <w:jc w:val="center"/>
              <w:rPr>
                <w:rFonts w:cs="Times New Roman"/>
                <w:szCs w:val="24"/>
              </w:rPr>
            </w:pPr>
            <w:r w:rsidRPr="00512369">
              <w:rPr>
                <w:rFonts w:cs="Times New Roman"/>
                <w:szCs w:val="24"/>
              </w:rPr>
              <w:t>600</w:t>
            </w:r>
          </w:p>
        </w:tc>
        <w:tc>
          <w:tcPr>
            <w:tcW w:w="1630" w:type="dxa"/>
          </w:tcPr>
          <w:p w14:paraId="3CA573AB" w14:textId="77777777" w:rsidR="0002592F" w:rsidRPr="00512369" w:rsidRDefault="0002592F" w:rsidP="00A60C8A">
            <w:pPr>
              <w:autoSpaceDE w:val="0"/>
              <w:autoSpaceDN w:val="0"/>
              <w:adjustRightInd w:val="0"/>
              <w:spacing w:line="240" w:lineRule="auto"/>
              <w:ind w:firstLine="0"/>
              <w:jc w:val="center"/>
              <w:rPr>
                <w:rFonts w:cs="Times New Roman"/>
                <w:szCs w:val="24"/>
              </w:rPr>
            </w:pPr>
            <w:r w:rsidRPr="00512369">
              <w:rPr>
                <w:rFonts w:cs="Times New Roman"/>
                <w:szCs w:val="24"/>
              </w:rPr>
              <w:t>300</w:t>
            </w:r>
          </w:p>
        </w:tc>
      </w:tr>
      <w:tr w:rsidR="0002592F" w:rsidRPr="00512369" w14:paraId="5A0CB4A7" w14:textId="77777777" w:rsidTr="002D3EBF">
        <w:trPr>
          <w:trHeight w:val="185"/>
        </w:trPr>
        <w:tc>
          <w:tcPr>
            <w:tcW w:w="3783" w:type="dxa"/>
          </w:tcPr>
          <w:p w14:paraId="40DE58CC" w14:textId="77777777" w:rsidR="0002592F" w:rsidRPr="00512369" w:rsidRDefault="0002592F" w:rsidP="00A60C8A">
            <w:pPr>
              <w:autoSpaceDE w:val="0"/>
              <w:autoSpaceDN w:val="0"/>
              <w:adjustRightInd w:val="0"/>
              <w:spacing w:line="240" w:lineRule="auto"/>
              <w:ind w:firstLine="0"/>
              <w:rPr>
                <w:rFonts w:cs="Times New Roman"/>
                <w:szCs w:val="24"/>
              </w:rPr>
            </w:pPr>
            <w:r w:rsidRPr="00512369">
              <w:rPr>
                <w:rFonts w:cs="Times New Roman"/>
                <w:szCs w:val="24"/>
              </w:rPr>
              <w:t>сульпирид</w:t>
            </w:r>
          </w:p>
        </w:tc>
        <w:tc>
          <w:tcPr>
            <w:tcW w:w="1929" w:type="dxa"/>
          </w:tcPr>
          <w:p w14:paraId="2D015138" w14:textId="77777777" w:rsidR="0002592F" w:rsidRPr="00512369" w:rsidRDefault="0002592F" w:rsidP="00A60C8A">
            <w:pPr>
              <w:autoSpaceDE w:val="0"/>
              <w:autoSpaceDN w:val="0"/>
              <w:adjustRightInd w:val="0"/>
              <w:spacing w:line="240" w:lineRule="auto"/>
              <w:ind w:firstLine="0"/>
              <w:jc w:val="center"/>
              <w:rPr>
                <w:rFonts w:cs="Times New Roman"/>
                <w:szCs w:val="24"/>
              </w:rPr>
            </w:pPr>
            <w:r w:rsidRPr="00512369">
              <w:rPr>
                <w:rFonts w:cs="Times New Roman"/>
                <w:szCs w:val="24"/>
              </w:rPr>
              <w:t>50</w:t>
            </w:r>
          </w:p>
        </w:tc>
        <w:tc>
          <w:tcPr>
            <w:tcW w:w="1895" w:type="dxa"/>
          </w:tcPr>
          <w:p w14:paraId="26959348" w14:textId="77777777" w:rsidR="0002592F" w:rsidRPr="00512369" w:rsidRDefault="0002592F" w:rsidP="00A60C8A">
            <w:pPr>
              <w:autoSpaceDE w:val="0"/>
              <w:autoSpaceDN w:val="0"/>
              <w:adjustRightInd w:val="0"/>
              <w:spacing w:line="240" w:lineRule="auto"/>
              <w:ind w:firstLine="0"/>
              <w:jc w:val="center"/>
              <w:rPr>
                <w:rFonts w:cs="Times New Roman"/>
                <w:szCs w:val="24"/>
              </w:rPr>
            </w:pPr>
            <w:r w:rsidRPr="00512369">
              <w:rPr>
                <w:rFonts w:cs="Times New Roman"/>
                <w:szCs w:val="24"/>
              </w:rPr>
              <w:t>400</w:t>
            </w:r>
          </w:p>
        </w:tc>
        <w:tc>
          <w:tcPr>
            <w:tcW w:w="1630" w:type="dxa"/>
          </w:tcPr>
          <w:p w14:paraId="53400500" w14:textId="77777777" w:rsidR="0002592F" w:rsidRPr="00512369" w:rsidRDefault="0002592F" w:rsidP="00A60C8A">
            <w:pPr>
              <w:autoSpaceDE w:val="0"/>
              <w:autoSpaceDN w:val="0"/>
              <w:adjustRightInd w:val="0"/>
              <w:spacing w:line="240" w:lineRule="auto"/>
              <w:ind w:firstLine="0"/>
              <w:jc w:val="center"/>
              <w:rPr>
                <w:rFonts w:cs="Times New Roman"/>
                <w:szCs w:val="24"/>
              </w:rPr>
            </w:pPr>
            <w:r w:rsidRPr="00512369">
              <w:rPr>
                <w:rFonts w:cs="Times New Roman"/>
                <w:szCs w:val="24"/>
              </w:rPr>
              <w:t>200</w:t>
            </w:r>
          </w:p>
        </w:tc>
      </w:tr>
      <w:tr w:rsidR="0002592F" w:rsidRPr="00512369" w14:paraId="4A051EA9" w14:textId="77777777" w:rsidTr="002D3EBF">
        <w:trPr>
          <w:trHeight w:val="190"/>
        </w:trPr>
        <w:tc>
          <w:tcPr>
            <w:tcW w:w="3783" w:type="dxa"/>
          </w:tcPr>
          <w:p w14:paraId="347B5AD6" w14:textId="77777777" w:rsidR="0002592F" w:rsidRPr="00512369" w:rsidRDefault="0002592F" w:rsidP="00A60C8A">
            <w:pPr>
              <w:autoSpaceDE w:val="0"/>
              <w:autoSpaceDN w:val="0"/>
              <w:adjustRightInd w:val="0"/>
              <w:spacing w:line="240" w:lineRule="auto"/>
              <w:ind w:firstLine="0"/>
              <w:rPr>
                <w:rFonts w:cs="Times New Roman"/>
                <w:szCs w:val="24"/>
              </w:rPr>
            </w:pPr>
            <w:r w:rsidRPr="00512369">
              <w:rPr>
                <w:rFonts w:cs="Times New Roman"/>
                <w:szCs w:val="24"/>
              </w:rPr>
              <w:t>галоперидол</w:t>
            </w:r>
          </w:p>
        </w:tc>
        <w:tc>
          <w:tcPr>
            <w:tcW w:w="1929" w:type="dxa"/>
          </w:tcPr>
          <w:p w14:paraId="7B589A5B" w14:textId="77777777" w:rsidR="0002592F" w:rsidRPr="00512369" w:rsidRDefault="0002592F" w:rsidP="00A60C8A">
            <w:pPr>
              <w:autoSpaceDE w:val="0"/>
              <w:autoSpaceDN w:val="0"/>
              <w:adjustRightInd w:val="0"/>
              <w:spacing w:line="240" w:lineRule="auto"/>
              <w:ind w:firstLine="0"/>
              <w:jc w:val="center"/>
              <w:rPr>
                <w:rFonts w:cs="Times New Roman"/>
                <w:szCs w:val="24"/>
              </w:rPr>
            </w:pPr>
            <w:r w:rsidRPr="00512369">
              <w:rPr>
                <w:rFonts w:cs="Times New Roman"/>
                <w:szCs w:val="24"/>
              </w:rPr>
              <w:t>0,5</w:t>
            </w:r>
          </w:p>
        </w:tc>
        <w:tc>
          <w:tcPr>
            <w:tcW w:w="1895" w:type="dxa"/>
          </w:tcPr>
          <w:p w14:paraId="1126945D" w14:textId="77777777" w:rsidR="0002592F" w:rsidRPr="00512369" w:rsidRDefault="0002592F" w:rsidP="00A60C8A">
            <w:pPr>
              <w:autoSpaceDE w:val="0"/>
              <w:autoSpaceDN w:val="0"/>
              <w:adjustRightInd w:val="0"/>
              <w:spacing w:line="240" w:lineRule="auto"/>
              <w:ind w:firstLine="0"/>
              <w:jc w:val="center"/>
              <w:rPr>
                <w:rFonts w:cs="Times New Roman"/>
                <w:szCs w:val="24"/>
              </w:rPr>
            </w:pPr>
            <w:r w:rsidRPr="00512369">
              <w:rPr>
                <w:rFonts w:cs="Times New Roman"/>
                <w:szCs w:val="24"/>
              </w:rPr>
              <w:t>10</w:t>
            </w:r>
          </w:p>
        </w:tc>
        <w:tc>
          <w:tcPr>
            <w:tcW w:w="1630" w:type="dxa"/>
          </w:tcPr>
          <w:p w14:paraId="10167EA4" w14:textId="77777777" w:rsidR="0002592F" w:rsidRPr="00512369" w:rsidRDefault="0002592F" w:rsidP="00A60C8A">
            <w:pPr>
              <w:autoSpaceDE w:val="0"/>
              <w:autoSpaceDN w:val="0"/>
              <w:adjustRightInd w:val="0"/>
              <w:spacing w:line="240" w:lineRule="auto"/>
              <w:ind w:firstLine="0"/>
              <w:jc w:val="center"/>
              <w:rPr>
                <w:rFonts w:cs="Times New Roman"/>
                <w:szCs w:val="24"/>
              </w:rPr>
            </w:pPr>
            <w:r w:rsidRPr="00512369">
              <w:rPr>
                <w:rFonts w:cs="Times New Roman"/>
                <w:szCs w:val="24"/>
              </w:rPr>
              <w:t>2,5</w:t>
            </w:r>
          </w:p>
        </w:tc>
      </w:tr>
      <w:tr w:rsidR="0002592F" w:rsidRPr="00512369" w14:paraId="7D059DD9" w14:textId="77777777" w:rsidTr="002D3EBF">
        <w:trPr>
          <w:trHeight w:val="179"/>
        </w:trPr>
        <w:tc>
          <w:tcPr>
            <w:tcW w:w="3783" w:type="dxa"/>
          </w:tcPr>
          <w:p w14:paraId="4176255E" w14:textId="77777777" w:rsidR="0002592F" w:rsidRPr="00512369" w:rsidRDefault="0002592F" w:rsidP="00A60C8A">
            <w:pPr>
              <w:autoSpaceDE w:val="0"/>
              <w:autoSpaceDN w:val="0"/>
              <w:adjustRightInd w:val="0"/>
              <w:spacing w:line="240" w:lineRule="auto"/>
              <w:ind w:firstLine="0"/>
              <w:rPr>
                <w:rFonts w:cs="Times New Roman"/>
                <w:szCs w:val="24"/>
              </w:rPr>
            </w:pPr>
            <w:r w:rsidRPr="00512369">
              <w:rPr>
                <w:rFonts w:cs="Times New Roman"/>
                <w:szCs w:val="24"/>
              </w:rPr>
              <w:t>рисперидон</w:t>
            </w:r>
          </w:p>
        </w:tc>
        <w:tc>
          <w:tcPr>
            <w:tcW w:w="1929" w:type="dxa"/>
          </w:tcPr>
          <w:p w14:paraId="6C84572B" w14:textId="77777777" w:rsidR="0002592F" w:rsidRPr="00512369" w:rsidRDefault="0002592F" w:rsidP="00A60C8A">
            <w:pPr>
              <w:autoSpaceDE w:val="0"/>
              <w:autoSpaceDN w:val="0"/>
              <w:adjustRightInd w:val="0"/>
              <w:spacing w:line="240" w:lineRule="auto"/>
              <w:ind w:firstLine="0"/>
              <w:jc w:val="center"/>
              <w:rPr>
                <w:rFonts w:cs="Times New Roman"/>
                <w:szCs w:val="24"/>
              </w:rPr>
            </w:pPr>
            <w:r w:rsidRPr="00512369">
              <w:rPr>
                <w:rFonts w:cs="Times New Roman"/>
                <w:szCs w:val="24"/>
              </w:rPr>
              <w:t>2</w:t>
            </w:r>
          </w:p>
        </w:tc>
        <w:tc>
          <w:tcPr>
            <w:tcW w:w="1895" w:type="dxa"/>
          </w:tcPr>
          <w:p w14:paraId="2C110C86" w14:textId="77777777" w:rsidR="0002592F" w:rsidRPr="00512369" w:rsidRDefault="0002592F" w:rsidP="00A60C8A">
            <w:pPr>
              <w:autoSpaceDE w:val="0"/>
              <w:autoSpaceDN w:val="0"/>
              <w:adjustRightInd w:val="0"/>
              <w:spacing w:line="240" w:lineRule="auto"/>
              <w:ind w:firstLine="0"/>
              <w:jc w:val="center"/>
              <w:rPr>
                <w:rFonts w:cs="Times New Roman"/>
                <w:szCs w:val="24"/>
              </w:rPr>
            </w:pPr>
            <w:r w:rsidRPr="00512369">
              <w:rPr>
                <w:rFonts w:cs="Times New Roman"/>
                <w:szCs w:val="24"/>
              </w:rPr>
              <w:t>4</w:t>
            </w:r>
          </w:p>
        </w:tc>
        <w:tc>
          <w:tcPr>
            <w:tcW w:w="1630" w:type="dxa"/>
          </w:tcPr>
          <w:p w14:paraId="251A4CEB" w14:textId="77777777" w:rsidR="0002592F" w:rsidRPr="00512369" w:rsidRDefault="0002592F" w:rsidP="00A60C8A">
            <w:pPr>
              <w:autoSpaceDE w:val="0"/>
              <w:autoSpaceDN w:val="0"/>
              <w:adjustRightInd w:val="0"/>
              <w:spacing w:line="240" w:lineRule="auto"/>
              <w:ind w:firstLine="0"/>
              <w:jc w:val="center"/>
              <w:rPr>
                <w:rFonts w:cs="Times New Roman"/>
                <w:szCs w:val="24"/>
              </w:rPr>
            </w:pPr>
            <w:r w:rsidRPr="00512369">
              <w:rPr>
                <w:rFonts w:cs="Times New Roman"/>
                <w:szCs w:val="24"/>
              </w:rPr>
              <w:t>3</w:t>
            </w:r>
          </w:p>
        </w:tc>
      </w:tr>
      <w:tr w:rsidR="0002592F" w:rsidRPr="00512369" w14:paraId="40EDB461" w14:textId="77777777" w:rsidTr="002D3EBF">
        <w:trPr>
          <w:trHeight w:val="170"/>
        </w:trPr>
        <w:tc>
          <w:tcPr>
            <w:tcW w:w="3783" w:type="dxa"/>
          </w:tcPr>
          <w:p w14:paraId="5B857CCD" w14:textId="77777777" w:rsidR="0002592F" w:rsidRPr="00512369" w:rsidRDefault="0002592F" w:rsidP="00A60C8A">
            <w:pPr>
              <w:autoSpaceDE w:val="0"/>
              <w:autoSpaceDN w:val="0"/>
              <w:adjustRightInd w:val="0"/>
              <w:spacing w:line="240" w:lineRule="auto"/>
              <w:ind w:firstLine="0"/>
              <w:rPr>
                <w:rFonts w:cs="Times New Roman"/>
                <w:szCs w:val="24"/>
              </w:rPr>
            </w:pPr>
            <w:r w:rsidRPr="00512369">
              <w:rPr>
                <w:rFonts w:cs="Times New Roman"/>
                <w:szCs w:val="24"/>
              </w:rPr>
              <w:t>оланзапин</w:t>
            </w:r>
          </w:p>
        </w:tc>
        <w:tc>
          <w:tcPr>
            <w:tcW w:w="1929" w:type="dxa"/>
          </w:tcPr>
          <w:p w14:paraId="2B119EC3" w14:textId="77777777" w:rsidR="0002592F" w:rsidRPr="00512369" w:rsidRDefault="0002592F" w:rsidP="00A60C8A">
            <w:pPr>
              <w:autoSpaceDE w:val="0"/>
              <w:autoSpaceDN w:val="0"/>
              <w:adjustRightInd w:val="0"/>
              <w:spacing w:line="240" w:lineRule="auto"/>
              <w:ind w:firstLine="0"/>
              <w:jc w:val="center"/>
              <w:rPr>
                <w:rFonts w:cs="Times New Roman"/>
                <w:szCs w:val="24"/>
              </w:rPr>
            </w:pPr>
            <w:r w:rsidRPr="00512369">
              <w:rPr>
                <w:rFonts w:cs="Times New Roman"/>
                <w:szCs w:val="24"/>
              </w:rPr>
              <w:t>5</w:t>
            </w:r>
          </w:p>
        </w:tc>
        <w:tc>
          <w:tcPr>
            <w:tcW w:w="1895" w:type="dxa"/>
          </w:tcPr>
          <w:p w14:paraId="5E0473F5" w14:textId="77777777" w:rsidR="0002592F" w:rsidRPr="00512369" w:rsidRDefault="0002592F" w:rsidP="00A60C8A">
            <w:pPr>
              <w:autoSpaceDE w:val="0"/>
              <w:autoSpaceDN w:val="0"/>
              <w:adjustRightInd w:val="0"/>
              <w:spacing w:line="240" w:lineRule="auto"/>
              <w:ind w:firstLine="0"/>
              <w:jc w:val="center"/>
              <w:rPr>
                <w:rFonts w:cs="Times New Roman"/>
                <w:szCs w:val="24"/>
              </w:rPr>
            </w:pPr>
            <w:r w:rsidRPr="00512369">
              <w:rPr>
                <w:rFonts w:cs="Times New Roman"/>
                <w:szCs w:val="24"/>
              </w:rPr>
              <w:t>15</w:t>
            </w:r>
          </w:p>
        </w:tc>
        <w:tc>
          <w:tcPr>
            <w:tcW w:w="1630" w:type="dxa"/>
          </w:tcPr>
          <w:p w14:paraId="6BE16507" w14:textId="77777777" w:rsidR="0002592F" w:rsidRPr="00512369" w:rsidRDefault="0002592F" w:rsidP="00A60C8A">
            <w:pPr>
              <w:autoSpaceDE w:val="0"/>
              <w:autoSpaceDN w:val="0"/>
              <w:adjustRightInd w:val="0"/>
              <w:spacing w:line="240" w:lineRule="auto"/>
              <w:ind w:firstLine="0"/>
              <w:jc w:val="center"/>
              <w:rPr>
                <w:rFonts w:cs="Times New Roman"/>
                <w:szCs w:val="24"/>
              </w:rPr>
            </w:pPr>
            <w:r w:rsidRPr="00512369">
              <w:rPr>
                <w:rFonts w:cs="Times New Roman"/>
                <w:szCs w:val="24"/>
              </w:rPr>
              <w:t>7,5</w:t>
            </w:r>
          </w:p>
        </w:tc>
      </w:tr>
      <w:tr w:rsidR="0002592F" w:rsidRPr="00512369" w14:paraId="177EBA32" w14:textId="77777777" w:rsidTr="002D3EBF">
        <w:trPr>
          <w:trHeight w:val="173"/>
        </w:trPr>
        <w:tc>
          <w:tcPr>
            <w:tcW w:w="3783" w:type="dxa"/>
          </w:tcPr>
          <w:p w14:paraId="7A2DCA5F" w14:textId="77777777" w:rsidR="0002592F" w:rsidRPr="00512369" w:rsidRDefault="0002592F" w:rsidP="00A60C8A">
            <w:pPr>
              <w:autoSpaceDE w:val="0"/>
              <w:autoSpaceDN w:val="0"/>
              <w:adjustRightInd w:val="0"/>
              <w:spacing w:line="240" w:lineRule="auto"/>
              <w:ind w:firstLine="0"/>
              <w:rPr>
                <w:rFonts w:cs="Times New Roman"/>
                <w:szCs w:val="24"/>
              </w:rPr>
            </w:pPr>
            <w:r w:rsidRPr="00512369">
              <w:rPr>
                <w:rFonts w:cs="Times New Roman"/>
                <w:szCs w:val="24"/>
              </w:rPr>
              <w:t>лоразепам</w:t>
            </w:r>
          </w:p>
        </w:tc>
        <w:tc>
          <w:tcPr>
            <w:tcW w:w="1929" w:type="dxa"/>
          </w:tcPr>
          <w:p w14:paraId="49B9963F" w14:textId="77777777" w:rsidR="0002592F" w:rsidRPr="00512369" w:rsidRDefault="0002592F" w:rsidP="00A60C8A">
            <w:pPr>
              <w:autoSpaceDE w:val="0"/>
              <w:autoSpaceDN w:val="0"/>
              <w:adjustRightInd w:val="0"/>
              <w:spacing w:line="240" w:lineRule="auto"/>
              <w:ind w:firstLine="0"/>
              <w:jc w:val="center"/>
              <w:rPr>
                <w:rFonts w:cs="Times New Roman"/>
                <w:szCs w:val="24"/>
              </w:rPr>
            </w:pPr>
            <w:r w:rsidRPr="00512369">
              <w:rPr>
                <w:rFonts w:cs="Times New Roman"/>
                <w:szCs w:val="24"/>
              </w:rPr>
              <w:t>0,5</w:t>
            </w:r>
          </w:p>
        </w:tc>
        <w:tc>
          <w:tcPr>
            <w:tcW w:w="1895" w:type="dxa"/>
          </w:tcPr>
          <w:p w14:paraId="6FC5D2EA" w14:textId="77777777" w:rsidR="0002592F" w:rsidRPr="00512369" w:rsidRDefault="0002592F" w:rsidP="00A60C8A">
            <w:pPr>
              <w:autoSpaceDE w:val="0"/>
              <w:autoSpaceDN w:val="0"/>
              <w:adjustRightInd w:val="0"/>
              <w:spacing w:line="240" w:lineRule="auto"/>
              <w:ind w:firstLine="0"/>
              <w:jc w:val="center"/>
              <w:rPr>
                <w:rFonts w:cs="Times New Roman"/>
                <w:szCs w:val="24"/>
              </w:rPr>
            </w:pPr>
            <w:r w:rsidRPr="00512369">
              <w:rPr>
                <w:rFonts w:cs="Times New Roman"/>
                <w:szCs w:val="24"/>
              </w:rPr>
              <w:t>2,5</w:t>
            </w:r>
          </w:p>
        </w:tc>
        <w:tc>
          <w:tcPr>
            <w:tcW w:w="1630" w:type="dxa"/>
          </w:tcPr>
          <w:p w14:paraId="133947A8" w14:textId="77777777" w:rsidR="0002592F" w:rsidRPr="00512369" w:rsidRDefault="0002592F" w:rsidP="00A60C8A">
            <w:pPr>
              <w:autoSpaceDE w:val="0"/>
              <w:autoSpaceDN w:val="0"/>
              <w:adjustRightInd w:val="0"/>
              <w:spacing w:line="240" w:lineRule="auto"/>
              <w:ind w:firstLine="0"/>
              <w:jc w:val="center"/>
              <w:rPr>
                <w:rFonts w:cs="Times New Roman"/>
                <w:szCs w:val="24"/>
              </w:rPr>
            </w:pPr>
            <w:r w:rsidRPr="00512369">
              <w:rPr>
                <w:rFonts w:cs="Times New Roman"/>
                <w:szCs w:val="24"/>
              </w:rPr>
              <w:t>1</w:t>
            </w:r>
          </w:p>
        </w:tc>
      </w:tr>
      <w:tr w:rsidR="0002592F" w:rsidRPr="00512369" w14:paraId="1481D7EA" w14:textId="77777777" w:rsidTr="002D3EBF">
        <w:trPr>
          <w:trHeight w:val="164"/>
        </w:trPr>
        <w:tc>
          <w:tcPr>
            <w:tcW w:w="3783" w:type="dxa"/>
          </w:tcPr>
          <w:p w14:paraId="73B9D28C" w14:textId="77777777" w:rsidR="0002592F" w:rsidRPr="00512369" w:rsidRDefault="0002592F" w:rsidP="00A60C8A">
            <w:pPr>
              <w:autoSpaceDE w:val="0"/>
              <w:autoSpaceDN w:val="0"/>
              <w:adjustRightInd w:val="0"/>
              <w:spacing w:line="240" w:lineRule="auto"/>
              <w:ind w:firstLine="0"/>
              <w:rPr>
                <w:rFonts w:cs="Times New Roman"/>
                <w:szCs w:val="24"/>
              </w:rPr>
            </w:pPr>
            <w:r w:rsidRPr="00512369">
              <w:rPr>
                <w:rFonts w:cs="Times New Roman"/>
                <w:szCs w:val="24"/>
              </w:rPr>
              <w:t>феназепам</w:t>
            </w:r>
          </w:p>
        </w:tc>
        <w:tc>
          <w:tcPr>
            <w:tcW w:w="1929" w:type="dxa"/>
          </w:tcPr>
          <w:p w14:paraId="3ACF4284" w14:textId="77777777" w:rsidR="0002592F" w:rsidRPr="00512369" w:rsidRDefault="0002592F" w:rsidP="00A60C8A">
            <w:pPr>
              <w:autoSpaceDE w:val="0"/>
              <w:autoSpaceDN w:val="0"/>
              <w:adjustRightInd w:val="0"/>
              <w:spacing w:line="240" w:lineRule="auto"/>
              <w:ind w:firstLine="0"/>
              <w:jc w:val="center"/>
              <w:rPr>
                <w:rFonts w:cs="Times New Roman"/>
                <w:szCs w:val="24"/>
              </w:rPr>
            </w:pPr>
            <w:r w:rsidRPr="00512369">
              <w:rPr>
                <w:rFonts w:cs="Times New Roman"/>
                <w:szCs w:val="24"/>
              </w:rPr>
              <w:t>0,5</w:t>
            </w:r>
          </w:p>
        </w:tc>
        <w:tc>
          <w:tcPr>
            <w:tcW w:w="1895" w:type="dxa"/>
          </w:tcPr>
          <w:p w14:paraId="3C378CF5" w14:textId="77777777" w:rsidR="0002592F" w:rsidRPr="00512369" w:rsidRDefault="0002592F" w:rsidP="00A60C8A">
            <w:pPr>
              <w:autoSpaceDE w:val="0"/>
              <w:autoSpaceDN w:val="0"/>
              <w:adjustRightInd w:val="0"/>
              <w:spacing w:line="240" w:lineRule="auto"/>
              <w:ind w:firstLine="0"/>
              <w:jc w:val="center"/>
              <w:rPr>
                <w:rFonts w:cs="Times New Roman"/>
                <w:szCs w:val="24"/>
              </w:rPr>
            </w:pPr>
            <w:r w:rsidRPr="00512369">
              <w:rPr>
                <w:rFonts w:cs="Times New Roman"/>
                <w:szCs w:val="24"/>
              </w:rPr>
              <w:t>2</w:t>
            </w:r>
          </w:p>
        </w:tc>
        <w:tc>
          <w:tcPr>
            <w:tcW w:w="1630" w:type="dxa"/>
          </w:tcPr>
          <w:p w14:paraId="3A276606" w14:textId="77777777" w:rsidR="0002592F" w:rsidRPr="00512369" w:rsidRDefault="0002592F" w:rsidP="00A60C8A">
            <w:pPr>
              <w:autoSpaceDE w:val="0"/>
              <w:autoSpaceDN w:val="0"/>
              <w:adjustRightInd w:val="0"/>
              <w:spacing w:line="240" w:lineRule="auto"/>
              <w:ind w:firstLine="0"/>
              <w:jc w:val="center"/>
              <w:rPr>
                <w:rFonts w:cs="Times New Roman"/>
                <w:szCs w:val="24"/>
              </w:rPr>
            </w:pPr>
            <w:r w:rsidRPr="00512369">
              <w:rPr>
                <w:rFonts w:cs="Times New Roman"/>
                <w:szCs w:val="24"/>
              </w:rPr>
              <w:t>1,5</w:t>
            </w:r>
          </w:p>
        </w:tc>
      </w:tr>
      <w:tr w:rsidR="0002592F" w:rsidRPr="00512369" w14:paraId="4DF3DB48" w14:textId="77777777" w:rsidTr="002D3EBF">
        <w:trPr>
          <w:trHeight w:val="167"/>
        </w:trPr>
        <w:tc>
          <w:tcPr>
            <w:tcW w:w="3783" w:type="dxa"/>
          </w:tcPr>
          <w:p w14:paraId="5444D66B" w14:textId="77777777" w:rsidR="0002592F" w:rsidRPr="00512369" w:rsidRDefault="0002592F" w:rsidP="00A60C8A">
            <w:pPr>
              <w:autoSpaceDE w:val="0"/>
              <w:autoSpaceDN w:val="0"/>
              <w:adjustRightInd w:val="0"/>
              <w:spacing w:line="240" w:lineRule="auto"/>
              <w:ind w:firstLine="0"/>
              <w:rPr>
                <w:rFonts w:cs="Times New Roman"/>
                <w:szCs w:val="24"/>
              </w:rPr>
            </w:pPr>
            <w:r w:rsidRPr="00512369">
              <w:rPr>
                <w:rFonts w:cs="Times New Roman"/>
                <w:szCs w:val="24"/>
              </w:rPr>
              <w:t>сертралин</w:t>
            </w:r>
          </w:p>
        </w:tc>
        <w:tc>
          <w:tcPr>
            <w:tcW w:w="1929" w:type="dxa"/>
          </w:tcPr>
          <w:p w14:paraId="6FE2995D" w14:textId="77777777" w:rsidR="0002592F" w:rsidRPr="00512369" w:rsidRDefault="0002592F" w:rsidP="00A60C8A">
            <w:pPr>
              <w:autoSpaceDE w:val="0"/>
              <w:autoSpaceDN w:val="0"/>
              <w:adjustRightInd w:val="0"/>
              <w:spacing w:line="240" w:lineRule="auto"/>
              <w:ind w:firstLine="0"/>
              <w:jc w:val="center"/>
              <w:rPr>
                <w:rFonts w:cs="Times New Roman"/>
                <w:szCs w:val="24"/>
              </w:rPr>
            </w:pPr>
            <w:r w:rsidRPr="00512369">
              <w:rPr>
                <w:rFonts w:cs="Times New Roman"/>
                <w:szCs w:val="24"/>
              </w:rPr>
              <w:t>25</w:t>
            </w:r>
          </w:p>
        </w:tc>
        <w:tc>
          <w:tcPr>
            <w:tcW w:w="1895" w:type="dxa"/>
          </w:tcPr>
          <w:p w14:paraId="63228476" w14:textId="77777777" w:rsidR="0002592F" w:rsidRPr="00512369" w:rsidRDefault="0002592F" w:rsidP="00A60C8A">
            <w:pPr>
              <w:autoSpaceDE w:val="0"/>
              <w:autoSpaceDN w:val="0"/>
              <w:adjustRightInd w:val="0"/>
              <w:spacing w:line="240" w:lineRule="auto"/>
              <w:ind w:firstLine="0"/>
              <w:jc w:val="center"/>
              <w:rPr>
                <w:rFonts w:cs="Times New Roman"/>
                <w:szCs w:val="24"/>
              </w:rPr>
            </w:pPr>
            <w:r w:rsidRPr="00512369">
              <w:rPr>
                <w:rFonts w:cs="Times New Roman"/>
                <w:szCs w:val="24"/>
              </w:rPr>
              <w:t>150</w:t>
            </w:r>
          </w:p>
        </w:tc>
        <w:tc>
          <w:tcPr>
            <w:tcW w:w="1630" w:type="dxa"/>
          </w:tcPr>
          <w:p w14:paraId="3E40907D" w14:textId="77777777" w:rsidR="0002592F" w:rsidRPr="00512369" w:rsidRDefault="0002592F" w:rsidP="00A60C8A">
            <w:pPr>
              <w:autoSpaceDE w:val="0"/>
              <w:autoSpaceDN w:val="0"/>
              <w:adjustRightInd w:val="0"/>
              <w:spacing w:line="240" w:lineRule="auto"/>
              <w:ind w:firstLine="0"/>
              <w:jc w:val="center"/>
              <w:rPr>
                <w:rFonts w:cs="Times New Roman"/>
                <w:szCs w:val="24"/>
              </w:rPr>
            </w:pPr>
            <w:r w:rsidRPr="00512369">
              <w:rPr>
                <w:rFonts w:cs="Times New Roman"/>
                <w:szCs w:val="24"/>
              </w:rPr>
              <w:t>50</w:t>
            </w:r>
          </w:p>
        </w:tc>
      </w:tr>
      <w:tr w:rsidR="0002592F" w:rsidRPr="00512369" w14:paraId="18E16EB3" w14:textId="77777777" w:rsidTr="002D3EBF">
        <w:trPr>
          <w:trHeight w:val="266"/>
        </w:trPr>
        <w:tc>
          <w:tcPr>
            <w:tcW w:w="3783" w:type="dxa"/>
          </w:tcPr>
          <w:p w14:paraId="1F304B20" w14:textId="77777777" w:rsidR="0002592F" w:rsidRPr="00512369" w:rsidRDefault="0002592F" w:rsidP="00A60C8A">
            <w:pPr>
              <w:autoSpaceDE w:val="0"/>
              <w:autoSpaceDN w:val="0"/>
              <w:adjustRightInd w:val="0"/>
              <w:spacing w:line="240" w:lineRule="auto"/>
              <w:ind w:firstLine="0"/>
              <w:rPr>
                <w:rFonts w:cs="Times New Roman"/>
                <w:szCs w:val="24"/>
              </w:rPr>
            </w:pPr>
            <w:r w:rsidRPr="00512369">
              <w:rPr>
                <w:rFonts w:cs="Times New Roman"/>
                <w:szCs w:val="24"/>
              </w:rPr>
              <w:t>пароксетин</w:t>
            </w:r>
          </w:p>
        </w:tc>
        <w:tc>
          <w:tcPr>
            <w:tcW w:w="1929" w:type="dxa"/>
          </w:tcPr>
          <w:p w14:paraId="1ABEC8AB" w14:textId="77777777" w:rsidR="0002592F" w:rsidRPr="00512369" w:rsidRDefault="0002592F" w:rsidP="00A60C8A">
            <w:pPr>
              <w:autoSpaceDE w:val="0"/>
              <w:autoSpaceDN w:val="0"/>
              <w:adjustRightInd w:val="0"/>
              <w:spacing w:line="240" w:lineRule="auto"/>
              <w:ind w:firstLine="0"/>
              <w:jc w:val="center"/>
              <w:rPr>
                <w:rFonts w:cs="Times New Roman"/>
                <w:szCs w:val="24"/>
              </w:rPr>
            </w:pPr>
            <w:r w:rsidRPr="00512369">
              <w:rPr>
                <w:rFonts w:cs="Times New Roman"/>
                <w:szCs w:val="24"/>
              </w:rPr>
              <w:t>20</w:t>
            </w:r>
          </w:p>
        </w:tc>
        <w:tc>
          <w:tcPr>
            <w:tcW w:w="1895" w:type="dxa"/>
          </w:tcPr>
          <w:p w14:paraId="24250AE2" w14:textId="77777777" w:rsidR="0002592F" w:rsidRPr="00512369" w:rsidRDefault="0002592F" w:rsidP="00A60C8A">
            <w:pPr>
              <w:autoSpaceDE w:val="0"/>
              <w:autoSpaceDN w:val="0"/>
              <w:adjustRightInd w:val="0"/>
              <w:spacing w:line="240" w:lineRule="auto"/>
              <w:ind w:firstLine="0"/>
              <w:jc w:val="center"/>
              <w:rPr>
                <w:rFonts w:cs="Times New Roman"/>
                <w:szCs w:val="24"/>
              </w:rPr>
            </w:pPr>
            <w:r w:rsidRPr="00512369">
              <w:rPr>
                <w:rFonts w:cs="Times New Roman"/>
                <w:szCs w:val="24"/>
              </w:rPr>
              <w:t>40</w:t>
            </w:r>
          </w:p>
        </w:tc>
        <w:tc>
          <w:tcPr>
            <w:tcW w:w="1630" w:type="dxa"/>
          </w:tcPr>
          <w:p w14:paraId="3C1F53DF" w14:textId="77777777" w:rsidR="0002592F" w:rsidRPr="00512369" w:rsidRDefault="0002592F" w:rsidP="00A60C8A">
            <w:pPr>
              <w:autoSpaceDE w:val="0"/>
              <w:autoSpaceDN w:val="0"/>
              <w:adjustRightInd w:val="0"/>
              <w:spacing w:line="240" w:lineRule="auto"/>
              <w:ind w:firstLine="0"/>
              <w:jc w:val="center"/>
              <w:rPr>
                <w:rFonts w:cs="Times New Roman"/>
                <w:szCs w:val="24"/>
              </w:rPr>
            </w:pPr>
            <w:r w:rsidRPr="00512369">
              <w:rPr>
                <w:rFonts w:cs="Times New Roman"/>
                <w:szCs w:val="24"/>
              </w:rPr>
              <w:t>30</w:t>
            </w:r>
          </w:p>
        </w:tc>
      </w:tr>
      <w:tr w:rsidR="0002592F" w:rsidRPr="00512369" w14:paraId="589AD445" w14:textId="77777777" w:rsidTr="002D3EBF">
        <w:trPr>
          <w:trHeight w:val="269"/>
        </w:trPr>
        <w:tc>
          <w:tcPr>
            <w:tcW w:w="3783" w:type="dxa"/>
          </w:tcPr>
          <w:p w14:paraId="1B6096F5" w14:textId="77777777" w:rsidR="0002592F" w:rsidRPr="00512369" w:rsidRDefault="0002592F" w:rsidP="00A60C8A">
            <w:pPr>
              <w:autoSpaceDE w:val="0"/>
              <w:autoSpaceDN w:val="0"/>
              <w:adjustRightInd w:val="0"/>
              <w:spacing w:line="240" w:lineRule="auto"/>
              <w:ind w:firstLine="0"/>
              <w:rPr>
                <w:rFonts w:cs="Times New Roman"/>
                <w:szCs w:val="24"/>
              </w:rPr>
            </w:pPr>
            <w:r w:rsidRPr="00512369">
              <w:rPr>
                <w:rFonts w:cs="Times New Roman"/>
                <w:szCs w:val="24"/>
              </w:rPr>
              <w:t>ципралекс</w:t>
            </w:r>
          </w:p>
        </w:tc>
        <w:tc>
          <w:tcPr>
            <w:tcW w:w="1929" w:type="dxa"/>
          </w:tcPr>
          <w:p w14:paraId="638BE4E2" w14:textId="77777777" w:rsidR="0002592F" w:rsidRPr="00512369" w:rsidRDefault="0002592F" w:rsidP="00A60C8A">
            <w:pPr>
              <w:autoSpaceDE w:val="0"/>
              <w:autoSpaceDN w:val="0"/>
              <w:adjustRightInd w:val="0"/>
              <w:spacing w:line="240" w:lineRule="auto"/>
              <w:ind w:firstLine="0"/>
              <w:jc w:val="center"/>
              <w:rPr>
                <w:rFonts w:cs="Times New Roman"/>
                <w:szCs w:val="24"/>
              </w:rPr>
            </w:pPr>
            <w:r w:rsidRPr="00512369">
              <w:rPr>
                <w:rFonts w:cs="Times New Roman"/>
                <w:szCs w:val="24"/>
              </w:rPr>
              <w:t>10</w:t>
            </w:r>
          </w:p>
        </w:tc>
        <w:tc>
          <w:tcPr>
            <w:tcW w:w="1895" w:type="dxa"/>
          </w:tcPr>
          <w:p w14:paraId="08D88E91" w14:textId="77777777" w:rsidR="0002592F" w:rsidRPr="00512369" w:rsidRDefault="0002592F" w:rsidP="00A60C8A">
            <w:pPr>
              <w:autoSpaceDE w:val="0"/>
              <w:autoSpaceDN w:val="0"/>
              <w:adjustRightInd w:val="0"/>
              <w:spacing w:line="240" w:lineRule="auto"/>
              <w:ind w:firstLine="0"/>
              <w:jc w:val="center"/>
              <w:rPr>
                <w:rFonts w:cs="Times New Roman"/>
                <w:szCs w:val="24"/>
              </w:rPr>
            </w:pPr>
            <w:r w:rsidRPr="00512369">
              <w:rPr>
                <w:rFonts w:cs="Times New Roman"/>
                <w:szCs w:val="24"/>
              </w:rPr>
              <w:t>20</w:t>
            </w:r>
          </w:p>
        </w:tc>
        <w:tc>
          <w:tcPr>
            <w:tcW w:w="1630" w:type="dxa"/>
          </w:tcPr>
          <w:p w14:paraId="76E209B1" w14:textId="77777777" w:rsidR="0002592F" w:rsidRPr="00512369" w:rsidRDefault="0002592F" w:rsidP="00A60C8A">
            <w:pPr>
              <w:autoSpaceDE w:val="0"/>
              <w:autoSpaceDN w:val="0"/>
              <w:adjustRightInd w:val="0"/>
              <w:spacing w:line="240" w:lineRule="auto"/>
              <w:ind w:firstLine="0"/>
              <w:jc w:val="center"/>
              <w:rPr>
                <w:rFonts w:cs="Times New Roman"/>
                <w:szCs w:val="24"/>
              </w:rPr>
            </w:pPr>
            <w:r w:rsidRPr="00512369">
              <w:rPr>
                <w:rFonts w:cs="Times New Roman"/>
                <w:szCs w:val="24"/>
              </w:rPr>
              <w:t>15</w:t>
            </w:r>
          </w:p>
        </w:tc>
      </w:tr>
      <w:tr w:rsidR="0002592F" w:rsidRPr="00512369" w14:paraId="3B8A8B5B" w14:textId="77777777" w:rsidTr="002D3EBF">
        <w:trPr>
          <w:trHeight w:val="274"/>
        </w:trPr>
        <w:tc>
          <w:tcPr>
            <w:tcW w:w="3783" w:type="dxa"/>
          </w:tcPr>
          <w:p w14:paraId="46CE3667" w14:textId="77777777" w:rsidR="0002592F" w:rsidRPr="00512369" w:rsidRDefault="0002592F" w:rsidP="00A60C8A">
            <w:pPr>
              <w:autoSpaceDE w:val="0"/>
              <w:autoSpaceDN w:val="0"/>
              <w:adjustRightInd w:val="0"/>
              <w:spacing w:line="240" w:lineRule="auto"/>
              <w:ind w:firstLine="0"/>
              <w:rPr>
                <w:rFonts w:cs="Times New Roman"/>
                <w:szCs w:val="24"/>
              </w:rPr>
            </w:pPr>
            <w:r w:rsidRPr="00512369">
              <w:rPr>
                <w:rFonts w:cs="Times New Roman"/>
                <w:szCs w:val="24"/>
              </w:rPr>
              <w:t>зопиклон</w:t>
            </w:r>
          </w:p>
        </w:tc>
        <w:tc>
          <w:tcPr>
            <w:tcW w:w="1929" w:type="dxa"/>
          </w:tcPr>
          <w:p w14:paraId="7009F75D" w14:textId="77777777" w:rsidR="0002592F" w:rsidRPr="00512369" w:rsidRDefault="0002592F" w:rsidP="00A60C8A">
            <w:pPr>
              <w:autoSpaceDE w:val="0"/>
              <w:autoSpaceDN w:val="0"/>
              <w:adjustRightInd w:val="0"/>
              <w:spacing w:line="240" w:lineRule="auto"/>
              <w:ind w:firstLine="0"/>
              <w:jc w:val="center"/>
              <w:rPr>
                <w:rFonts w:cs="Times New Roman"/>
                <w:szCs w:val="24"/>
              </w:rPr>
            </w:pPr>
            <w:r w:rsidRPr="00512369">
              <w:rPr>
                <w:rFonts w:cs="Times New Roman"/>
                <w:szCs w:val="24"/>
              </w:rPr>
              <w:t>3,75</w:t>
            </w:r>
          </w:p>
        </w:tc>
        <w:tc>
          <w:tcPr>
            <w:tcW w:w="1895" w:type="dxa"/>
          </w:tcPr>
          <w:p w14:paraId="4963A4D8" w14:textId="77777777" w:rsidR="0002592F" w:rsidRPr="00512369" w:rsidRDefault="0002592F" w:rsidP="00A60C8A">
            <w:pPr>
              <w:autoSpaceDE w:val="0"/>
              <w:autoSpaceDN w:val="0"/>
              <w:adjustRightInd w:val="0"/>
              <w:spacing w:line="240" w:lineRule="auto"/>
              <w:ind w:firstLine="0"/>
              <w:jc w:val="center"/>
              <w:rPr>
                <w:rFonts w:cs="Times New Roman"/>
                <w:szCs w:val="24"/>
              </w:rPr>
            </w:pPr>
            <w:r w:rsidRPr="00512369">
              <w:rPr>
                <w:rFonts w:cs="Times New Roman"/>
                <w:szCs w:val="24"/>
              </w:rPr>
              <w:t>15</w:t>
            </w:r>
          </w:p>
        </w:tc>
        <w:tc>
          <w:tcPr>
            <w:tcW w:w="1630" w:type="dxa"/>
          </w:tcPr>
          <w:p w14:paraId="0EB7C844" w14:textId="77777777" w:rsidR="0002592F" w:rsidRPr="00512369" w:rsidRDefault="0002592F" w:rsidP="00A60C8A">
            <w:pPr>
              <w:autoSpaceDE w:val="0"/>
              <w:autoSpaceDN w:val="0"/>
              <w:adjustRightInd w:val="0"/>
              <w:spacing w:line="240" w:lineRule="auto"/>
              <w:ind w:firstLine="0"/>
              <w:jc w:val="center"/>
              <w:rPr>
                <w:rFonts w:cs="Times New Roman"/>
                <w:szCs w:val="24"/>
              </w:rPr>
            </w:pPr>
            <w:r w:rsidRPr="00512369">
              <w:rPr>
                <w:rFonts w:cs="Times New Roman"/>
                <w:szCs w:val="24"/>
              </w:rPr>
              <w:t>7,5</w:t>
            </w:r>
          </w:p>
        </w:tc>
      </w:tr>
    </w:tbl>
    <w:p w14:paraId="4D10F3CE" w14:textId="77777777" w:rsidR="0002592F" w:rsidRPr="00512369" w:rsidRDefault="0002592F" w:rsidP="0002592F">
      <w:pPr>
        <w:pStyle w:val="afe"/>
        <w:ind w:left="643"/>
        <w:rPr>
          <w:rFonts w:cs="Times New Roman"/>
          <w:szCs w:val="24"/>
        </w:rPr>
      </w:pPr>
    </w:p>
    <w:p w14:paraId="1E660632" w14:textId="77777777" w:rsidR="0002592F" w:rsidRPr="00E931A1" w:rsidRDefault="0002592F" w:rsidP="0002592F">
      <w:pPr>
        <w:rPr>
          <w:rFonts w:cs="Times New Roman"/>
          <w:i/>
          <w:szCs w:val="24"/>
          <w:u w:val="single"/>
        </w:rPr>
      </w:pPr>
      <w:r w:rsidRPr="00E931A1">
        <w:rPr>
          <w:rFonts w:cs="Times New Roman"/>
          <w:i/>
          <w:szCs w:val="24"/>
          <w:u w:val="single"/>
        </w:rPr>
        <w:t>Алгоритм действий врача:</w:t>
      </w:r>
    </w:p>
    <w:p w14:paraId="4B087645" w14:textId="77777777" w:rsidR="0002592F" w:rsidRPr="00FB780E" w:rsidRDefault="0002592F" w:rsidP="0002592F">
      <w:pPr>
        <w:shd w:val="clear" w:color="auto" w:fill="FFFFFF"/>
        <w:textAlignment w:val="baseline"/>
        <w:rPr>
          <w:rFonts w:eastAsia="Times New Roman" w:cs="Times New Roman"/>
          <w:color w:val="333333"/>
          <w:szCs w:val="24"/>
          <w:lang w:eastAsia="ru-RU"/>
        </w:rPr>
      </w:pPr>
      <w:r w:rsidRPr="00FB780E">
        <w:rPr>
          <w:rFonts w:eastAsia="Times New Roman" w:cs="Times New Roman"/>
          <w:color w:val="333333"/>
          <w:szCs w:val="24"/>
          <w:lang w:eastAsia="ru-RU"/>
        </w:rPr>
        <w:t>Неотложные терапевтические мероприятия показаны пациентам, состояние которых представляет угрозу для себя и других лиц, в первую очередь при наличии возбуждения и агрессивности, суицидальном поведении больного, состоянии измененного сознания, при отказе пациента от приема пищи и жидкости, его неспособности к самообслуживанию.</w:t>
      </w:r>
    </w:p>
    <w:p w14:paraId="1EAE0132" w14:textId="77777777" w:rsidR="0002592F" w:rsidRPr="00FB780E" w:rsidRDefault="0002592F" w:rsidP="0002592F">
      <w:pPr>
        <w:shd w:val="clear" w:color="auto" w:fill="FFFFFF"/>
        <w:textAlignment w:val="baseline"/>
        <w:rPr>
          <w:rFonts w:eastAsia="Times New Roman" w:cs="Times New Roman"/>
          <w:color w:val="333333"/>
          <w:szCs w:val="24"/>
          <w:lang w:eastAsia="ru-RU"/>
        </w:rPr>
      </w:pPr>
      <w:r w:rsidRPr="00FB780E">
        <w:rPr>
          <w:rFonts w:eastAsia="Times New Roman" w:cs="Times New Roman"/>
          <w:color w:val="333333"/>
          <w:szCs w:val="24"/>
          <w:lang w:eastAsia="ru-RU"/>
        </w:rPr>
        <w:t xml:space="preserve">Острые расстройства психики выявляют прежде всего во время беседы с пациентом, в ходе которой определяют тактику ведения </w:t>
      </w:r>
      <w:r>
        <w:rPr>
          <w:rFonts w:eastAsia="Times New Roman" w:cs="Times New Roman"/>
          <w:color w:val="333333"/>
          <w:szCs w:val="24"/>
          <w:lang w:eastAsia="ru-RU"/>
        </w:rPr>
        <w:t>пациента</w:t>
      </w:r>
      <w:r w:rsidRPr="00FB780E">
        <w:rPr>
          <w:rFonts w:eastAsia="Times New Roman" w:cs="Times New Roman"/>
          <w:color w:val="333333"/>
          <w:szCs w:val="24"/>
          <w:lang w:eastAsia="ru-RU"/>
        </w:rPr>
        <w:t>. Основные задачи такой беседы определяют правила общения с пациентами с острыми расстройствами психики:</w:t>
      </w:r>
    </w:p>
    <w:p w14:paraId="1470A39F" w14:textId="77777777" w:rsidR="0002592F" w:rsidRPr="00FB780E" w:rsidRDefault="0002592F" w:rsidP="0002592F">
      <w:pPr>
        <w:numPr>
          <w:ilvl w:val="0"/>
          <w:numId w:val="102"/>
        </w:numPr>
        <w:shd w:val="clear" w:color="auto" w:fill="FFFFFF"/>
        <w:textAlignment w:val="baseline"/>
        <w:rPr>
          <w:rFonts w:eastAsia="Times New Roman" w:cs="Times New Roman"/>
          <w:color w:val="231F20"/>
          <w:szCs w:val="24"/>
          <w:lang w:eastAsia="ru-RU"/>
        </w:rPr>
      </w:pPr>
      <w:r w:rsidRPr="00FB780E">
        <w:rPr>
          <w:rFonts w:eastAsia="Times New Roman" w:cs="Times New Roman"/>
          <w:color w:val="231F20"/>
          <w:szCs w:val="24"/>
          <w:lang w:eastAsia="ru-RU"/>
        </w:rPr>
        <w:t>установление первоначального контакта;</w:t>
      </w:r>
    </w:p>
    <w:p w14:paraId="4041D70A" w14:textId="77777777" w:rsidR="0002592F" w:rsidRPr="00FB780E" w:rsidRDefault="0002592F" w:rsidP="0002592F">
      <w:pPr>
        <w:numPr>
          <w:ilvl w:val="0"/>
          <w:numId w:val="102"/>
        </w:numPr>
        <w:shd w:val="clear" w:color="auto" w:fill="FFFFFF"/>
        <w:textAlignment w:val="baseline"/>
        <w:rPr>
          <w:rFonts w:eastAsia="Times New Roman" w:cs="Times New Roman"/>
          <w:color w:val="231F20"/>
          <w:szCs w:val="24"/>
          <w:lang w:eastAsia="ru-RU"/>
        </w:rPr>
      </w:pPr>
      <w:r w:rsidRPr="00FB780E">
        <w:rPr>
          <w:rFonts w:eastAsia="Times New Roman" w:cs="Times New Roman"/>
          <w:color w:val="231F20"/>
          <w:szCs w:val="24"/>
          <w:lang w:eastAsia="ru-RU"/>
        </w:rPr>
        <w:t>налаживание доверительных отношений между врачом и пациентом;</w:t>
      </w:r>
    </w:p>
    <w:p w14:paraId="38E37107" w14:textId="77777777" w:rsidR="0002592F" w:rsidRPr="00FB780E" w:rsidRDefault="0002592F" w:rsidP="0002592F">
      <w:pPr>
        <w:numPr>
          <w:ilvl w:val="0"/>
          <w:numId w:val="102"/>
        </w:numPr>
        <w:shd w:val="clear" w:color="auto" w:fill="FFFFFF"/>
        <w:textAlignment w:val="baseline"/>
        <w:rPr>
          <w:rFonts w:eastAsia="Times New Roman" w:cs="Times New Roman"/>
          <w:color w:val="231F20"/>
          <w:szCs w:val="24"/>
          <w:lang w:eastAsia="ru-RU"/>
        </w:rPr>
      </w:pPr>
      <w:r w:rsidRPr="00FB780E">
        <w:rPr>
          <w:rFonts w:eastAsia="Times New Roman" w:cs="Times New Roman"/>
          <w:color w:val="231F20"/>
          <w:szCs w:val="24"/>
          <w:lang w:eastAsia="ru-RU"/>
        </w:rPr>
        <w:t>определение диагноза на синдромальном уровне;</w:t>
      </w:r>
    </w:p>
    <w:p w14:paraId="0873DD95" w14:textId="77777777" w:rsidR="0002592F" w:rsidRDefault="0002592F" w:rsidP="0002592F">
      <w:pPr>
        <w:numPr>
          <w:ilvl w:val="0"/>
          <w:numId w:val="102"/>
        </w:numPr>
        <w:shd w:val="clear" w:color="auto" w:fill="FFFFFF"/>
        <w:textAlignment w:val="baseline"/>
        <w:rPr>
          <w:rFonts w:eastAsia="Times New Roman" w:cs="Times New Roman"/>
          <w:color w:val="231F20"/>
          <w:szCs w:val="24"/>
          <w:lang w:eastAsia="ru-RU"/>
        </w:rPr>
      </w:pPr>
      <w:r w:rsidRPr="00FB780E">
        <w:rPr>
          <w:rFonts w:eastAsia="Times New Roman" w:cs="Times New Roman"/>
          <w:color w:val="231F20"/>
          <w:szCs w:val="24"/>
          <w:lang w:eastAsia="ru-RU"/>
        </w:rPr>
        <w:t>разработка плана оказания медицинской помощи и дальнейшей тактики</w:t>
      </w:r>
      <w:r>
        <w:rPr>
          <w:rFonts w:eastAsia="Times New Roman" w:cs="Times New Roman"/>
          <w:color w:val="231F20"/>
          <w:szCs w:val="24"/>
          <w:lang w:eastAsia="ru-RU"/>
        </w:rPr>
        <w:t>, заключающейся, в общем плане, в изоляции пациента, при необходимости – фиксации в пределах постели и проведение терапевтических мероприятий при участии психиатра.</w:t>
      </w:r>
    </w:p>
    <w:p w14:paraId="60084DE8" w14:textId="77777777" w:rsidR="0002592F" w:rsidRPr="00070BE4" w:rsidRDefault="0002592F" w:rsidP="0002592F">
      <w:pPr>
        <w:shd w:val="clear" w:color="auto" w:fill="FFFFFF"/>
        <w:textAlignment w:val="baseline"/>
        <w:rPr>
          <w:rFonts w:eastAsia="Times New Roman" w:cs="Times New Roman"/>
          <w:color w:val="231F20"/>
          <w:szCs w:val="24"/>
          <w:lang w:eastAsia="ru-RU"/>
        </w:rPr>
      </w:pPr>
      <w:r>
        <w:rPr>
          <w:rFonts w:eastAsia="Times New Roman" w:cs="Times New Roman"/>
          <w:color w:val="231F20"/>
          <w:szCs w:val="24"/>
          <w:lang w:eastAsia="ru-RU"/>
        </w:rPr>
        <w:t>При выявлении нозогенных реакций терапия проводится консультирующим психиатром.</w:t>
      </w:r>
    </w:p>
    <w:p w14:paraId="558B59F8" w14:textId="77777777" w:rsidR="0002592F" w:rsidRPr="00FF7C87" w:rsidRDefault="0002592F" w:rsidP="00A538AA">
      <w:pPr>
        <w:pStyle w:val="2"/>
      </w:pPr>
    </w:p>
    <w:p w14:paraId="549E4DC2" w14:textId="77777777" w:rsidR="000414F6" w:rsidRPr="002F4348" w:rsidRDefault="00CB71DA" w:rsidP="00B104EF">
      <w:pPr>
        <w:pStyle w:val="CustomContentNormal"/>
      </w:pPr>
      <w:bookmarkStart w:id="91" w:name="_Toc65586420"/>
      <w:bookmarkEnd w:id="70"/>
      <w:bookmarkEnd w:id="71"/>
      <w:bookmarkEnd w:id="82"/>
      <w:r w:rsidRPr="002F4348">
        <w:t>Критерии оценки качества медицинской помощи</w:t>
      </w:r>
      <w:bookmarkEnd w:id="55"/>
      <w:bookmarkEnd w:id="91"/>
    </w:p>
    <w:p w14:paraId="5819F38D" w14:textId="77777777" w:rsidR="0025228A" w:rsidRPr="002F4348" w:rsidRDefault="0025228A" w:rsidP="00094ED6">
      <w:pPr>
        <w:pStyle w:val="afffb"/>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6"/>
        <w:gridCol w:w="7093"/>
        <w:gridCol w:w="1651"/>
      </w:tblGrid>
      <w:tr w:rsidR="00035320" w:rsidRPr="002F4348" w14:paraId="09F6CF1C" w14:textId="77777777" w:rsidTr="003007A6">
        <w:trPr>
          <w:tblHeader/>
        </w:trPr>
        <w:tc>
          <w:tcPr>
            <w:tcW w:w="319" w:type="pct"/>
            <w:tcBorders>
              <w:top w:val="single" w:sz="6" w:space="0" w:color="000000"/>
              <w:left w:val="single" w:sz="6" w:space="0" w:color="000000"/>
              <w:bottom w:val="single" w:sz="6" w:space="0" w:color="000000"/>
              <w:right w:val="single" w:sz="6" w:space="0" w:color="000000"/>
            </w:tcBorders>
            <w:vAlign w:val="center"/>
            <w:hideMark/>
          </w:tcPr>
          <w:p w14:paraId="76A14D86" w14:textId="77777777" w:rsidR="00035320" w:rsidRPr="002F4348" w:rsidRDefault="00035320" w:rsidP="00035320">
            <w:pPr>
              <w:pStyle w:val="afd"/>
              <w:spacing w:beforeAutospacing="0" w:afterAutospacing="0" w:line="240" w:lineRule="auto"/>
              <w:ind w:firstLine="0"/>
              <w:jc w:val="center"/>
            </w:pPr>
            <w:bookmarkStart w:id="92" w:name="__RefHeading___doc_bible"/>
            <w:r w:rsidRPr="002F4348">
              <w:rPr>
                <w:rStyle w:val="affb"/>
              </w:rPr>
              <w:t>№</w:t>
            </w:r>
          </w:p>
          <w:p w14:paraId="2527FDB3" w14:textId="77777777" w:rsidR="00035320" w:rsidRPr="002F4348" w:rsidRDefault="00035320" w:rsidP="00035320">
            <w:pPr>
              <w:pStyle w:val="afd"/>
              <w:spacing w:beforeAutospacing="0" w:afterAutospacing="0" w:line="240" w:lineRule="auto"/>
              <w:ind w:firstLine="0"/>
              <w:jc w:val="center"/>
            </w:pPr>
          </w:p>
        </w:tc>
        <w:tc>
          <w:tcPr>
            <w:tcW w:w="3797" w:type="pct"/>
            <w:tcBorders>
              <w:top w:val="single" w:sz="6" w:space="0" w:color="000000"/>
              <w:left w:val="single" w:sz="6" w:space="0" w:color="000000"/>
              <w:bottom w:val="single" w:sz="6" w:space="0" w:color="000000"/>
              <w:right w:val="single" w:sz="6" w:space="0" w:color="000000"/>
            </w:tcBorders>
            <w:vAlign w:val="center"/>
            <w:hideMark/>
          </w:tcPr>
          <w:p w14:paraId="0A3C84C9" w14:textId="77777777" w:rsidR="00035320" w:rsidRPr="002F4348" w:rsidRDefault="00035320" w:rsidP="00035320">
            <w:pPr>
              <w:pStyle w:val="afd"/>
              <w:spacing w:beforeAutospacing="0" w:afterAutospacing="0" w:line="240" w:lineRule="auto"/>
              <w:ind w:firstLine="0"/>
              <w:jc w:val="center"/>
            </w:pPr>
            <w:r w:rsidRPr="002F4348">
              <w:rPr>
                <w:rStyle w:val="affb"/>
              </w:rPr>
              <w:t>Критерии качества</w:t>
            </w:r>
          </w:p>
        </w:tc>
        <w:tc>
          <w:tcPr>
            <w:tcW w:w="884" w:type="pct"/>
            <w:tcBorders>
              <w:top w:val="single" w:sz="6" w:space="0" w:color="000000"/>
              <w:left w:val="single" w:sz="6" w:space="0" w:color="000000"/>
              <w:bottom w:val="single" w:sz="6" w:space="0" w:color="000000"/>
              <w:right w:val="single" w:sz="6" w:space="0" w:color="000000"/>
            </w:tcBorders>
            <w:vAlign w:val="center"/>
            <w:hideMark/>
          </w:tcPr>
          <w:p w14:paraId="4EBED4CE" w14:textId="77777777" w:rsidR="00035320" w:rsidRPr="002F4348" w:rsidRDefault="00035320" w:rsidP="00035320">
            <w:pPr>
              <w:pStyle w:val="afd"/>
              <w:spacing w:beforeAutospacing="0" w:afterAutospacing="0" w:line="240" w:lineRule="auto"/>
              <w:ind w:firstLine="0"/>
              <w:jc w:val="center"/>
            </w:pPr>
            <w:r w:rsidRPr="002F4348">
              <w:rPr>
                <w:b/>
                <w:bCs/>
              </w:rPr>
              <w:t>Оценка выполнения</w:t>
            </w:r>
          </w:p>
        </w:tc>
      </w:tr>
      <w:tr w:rsidR="00035320" w:rsidRPr="002F4348" w14:paraId="0B5CE7DD" w14:textId="77777777" w:rsidTr="003007A6">
        <w:tc>
          <w:tcPr>
            <w:tcW w:w="319" w:type="pct"/>
            <w:tcBorders>
              <w:top w:val="single" w:sz="6" w:space="0" w:color="000000"/>
              <w:left w:val="single" w:sz="6" w:space="0" w:color="000000"/>
              <w:bottom w:val="single" w:sz="6" w:space="0" w:color="000000"/>
              <w:right w:val="single" w:sz="6" w:space="0" w:color="000000"/>
            </w:tcBorders>
            <w:hideMark/>
          </w:tcPr>
          <w:p w14:paraId="5C742AB4" w14:textId="77777777" w:rsidR="00035320" w:rsidRPr="002F4348" w:rsidRDefault="00035320" w:rsidP="00B153FC">
            <w:pPr>
              <w:pStyle w:val="afd"/>
              <w:numPr>
                <w:ilvl w:val="0"/>
                <w:numId w:val="4"/>
              </w:numPr>
              <w:spacing w:beforeAutospacing="0" w:afterAutospacing="0" w:line="240" w:lineRule="auto"/>
              <w:jc w:val="center"/>
            </w:pPr>
          </w:p>
        </w:tc>
        <w:tc>
          <w:tcPr>
            <w:tcW w:w="3797" w:type="pct"/>
            <w:tcBorders>
              <w:top w:val="single" w:sz="6" w:space="0" w:color="000000"/>
              <w:left w:val="single" w:sz="6" w:space="0" w:color="000000"/>
              <w:bottom w:val="single" w:sz="6" w:space="0" w:color="000000"/>
              <w:right w:val="single" w:sz="6" w:space="0" w:color="000000"/>
            </w:tcBorders>
            <w:vAlign w:val="center"/>
            <w:hideMark/>
          </w:tcPr>
          <w:p w14:paraId="6F972ACE" w14:textId="77777777" w:rsidR="00035320" w:rsidRPr="002F4348" w:rsidRDefault="00035320" w:rsidP="00035320">
            <w:pPr>
              <w:pStyle w:val="afd"/>
              <w:spacing w:beforeAutospacing="0" w:afterAutospacing="0" w:line="240" w:lineRule="auto"/>
              <w:ind w:firstLine="0"/>
            </w:pPr>
            <w:r w:rsidRPr="002F4348">
              <w:t>У пациента с подозрением на ЛХ или выявленной ЛХ при первичном или повторном приеме, после завершения каждого цикла терапии и перед началом каждого нового цикла терапии, при оценке ремиссии после завершения терапии, при контрольных обследованиях, и при подозрении на рецидив заболевания выполнен развернутый клинический анализ крови с определением гемоглобина, эритроцитов, тромбоцитов, лейкоцитов, подсчетом лейкоцитарной формулы и количества ретикулоцитов</w:t>
            </w:r>
          </w:p>
        </w:tc>
        <w:tc>
          <w:tcPr>
            <w:tcW w:w="884" w:type="pct"/>
            <w:tcBorders>
              <w:top w:val="single" w:sz="6" w:space="0" w:color="000000"/>
              <w:left w:val="single" w:sz="6" w:space="0" w:color="000000"/>
              <w:bottom w:val="single" w:sz="6" w:space="0" w:color="000000"/>
              <w:right w:val="single" w:sz="6" w:space="0" w:color="000000"/>
            </w:tcBorders>
            <w:hideMark/>
          </w:tcPr>
          <w:p w14:paraId="155224DD" w14:textId="77777777" w:rsidR="00035320" w:rsidRPr="002F4348" w:rsidRDefault="00035320" w:rsidP="00035320">
            <w:pPr>
              <w:pStyle w:val="afd"/>
              <w:spacing w:beforeAutospacing="0" w:afterAutospacing="0" w:line="240" w:lineRule="auto"/>
              <w:ind w:firstLine="0"/>
              <w:jc w:val="center"/>
            </w:pPr>
            <w:r w:rsidRPr="002F4348">
              <w:t>Да/Нет</w:t>
            </w:r>
          </w:p>
        </w:tc>
      </w:tr>
      <w:tr w:rsidR="00035320" w:rsidRPr="002F4348" w14:paraId="6314E63A" w14:textId="77777777" w:rsidTr="003007A6">
        <w:tc>
          <w:tcPr>
            <w:tcW w:w="319" w:type="pct"/>
            <w:tcBorders>
              <w:top w:val="single" w:sz="6" w:space="0" w:color="000000"/>
              <w:left w:val="single" w:sz="6" w:space="0" w:color="000000"/>
              <w:bottom w:val="single" w:sz="6" w:space="0" w:color="000000"/>
              <w:right w:val="single" w:sz="6" w:space="0" w:color="000000"/>
            </w:tcBorders>
            <w:hideMark/>
          </w:tcPr>
          <w:p w14:paraId="0637B7E5" w14:textId="77777777" w:rsidR="00035320" w:rsidRPr="002F4348" w:rsidRDefault="00035320" w:rsidP="00B153FC">
            <w:pPr>
              <w:pStyle w:val="afd"/>
              <w:numPr>
                <w:ilvl w:val="0"/>
                <w:numId w:val="4"/>
              </w:numPr>
              <w:spacing w:beforeAutospacing="0" w:afterAutospacing="0" w:line="240" w:lineRule="auto"/>
              <w:jc w:val="center"/>
            </w:pPr>
          </w:p>
        </w:tc>
        <w:tc>
          <w:tcPr>
            <w:tcW w:w="3797" w:type="pct"/>
            <w:tcBorders>
              <w:top w:val="single" w:sz="6" w:space="0" w:color="000000"/>
              <w:left w:val="single" w:sz="6" w:space="0" w:color="000000"/>
              <w:bottom w:val="single" w:sz="6" w:space="0" w:color="000000"/>
              <w:right w:val="single" w:sz="6" w:space="0" w:color="000000"/>
            </w:tcBorders>
            <w:vAlign w:val="center"/>
            <w:hideMark/>
          </w:tcPr>
          <w:p w14:paraId="22967EEC" w14:textId="77777777" w:rsidR="00035320" w:rsidRPr="002F4348" w:rsidRDefault="00035320" w:rsidP="00035320">
            <w:pPr>
              <w:pStyle w:val="afd"/>
              <w:spacing w:beforeAutospacing="0" w:afterAutospacing="0" w:line="240" w:lineRule="auto"/>
              <w:ind w:firstLine="0"/>
            </w:pPr>
            <w:r w:rsidRPr="002F4348">
              <w:t xml:space="preserve">У пациента с подозрением на ЛХ или выявленной ЛХ при первичном или повторном приеме, после завершения каждого цикла терапии и перед началом каждого нового цикла терапии, при оценке ремиссии после завершения терапии, при контрольных обследованиях, и при подозрении на рецидив заболевания выполнен анализ крови биохимический общетерапевтический с </w:t>
            </w:r>
            <w:r w:rsidRPr="002F4348">
              <w:rPr>
                <w:iCs/>
              </w:rPr>
              <w:t>включением следующих параметров: ЛДГ, мочевина, креатинин, общий белок, альбумин, билирубин, АСТ, АЛТ, щелочная фосфатаза, калий, натрий, хлор, кальций</w:t>
            </w:r>
          </w:p>
        </w:tc>
        <w:tc>
          <w:tcPr>
            <w:tcW w:w="884" w:type="pct"/>
            <w:tcBorders>
              <w:top w:val="single" w:sz="6" w:space="0" w:color="000000"/>
              <w:left w:val="single" w:sz="6" w:space="0" w:color="000000"/>
              <w:bottom w:val="single" w:sz="6" w:space="0" w:color="000000"/>
              <w:right w:val="single" w:sz="6" w:space="0" w:color="000000"/>
            </w:tcBorders>
            <w:hideMark/>
          </w:tcPr>
          <w:p w14:paraId="028FD617" w14:textId="77777777" w:rsidR="00035320" w:rsidRPr="002F4348" w:rsidRDefault="00035320" w:rsidP="00035320">
            <w:pPr>
              <w:pStyle w:val="afd"/>
              <w:spacing w:beforeAutospacing="0" w:afterAutospacing="0" w:line="240" w:lineRule="auto"/>
              <w:ind w:firstLine="0"/>
              <w:jc w:val="center"/>
            </w:pPr>
            <w:r w:rsidRPr="002F4348">
              <w:t>Да/Нет</w:t>
            </w:r>
          </w:p>
        </w:tc>
      </w:tr>
      <w:tr w:rsidR="00035320" w:rsidRPr="002F4348" w14:paraId="5BB8EAE8" w14:textId="77777777" w:rsidTr="003007A6">
        <w:tc>
          <w:tcPr>
            <w:tcW w:w="319" w:type="pct"/>
            <w:tcBorders>
              <w:top w:val="single" w:sz="6" w:space="0" w:color="000000"/>
              <w:left w:val="single" w:sz="6" w:space="0" w:color="000000"/>
              <w:bottom w:val="single" w:sz="6" w:space="0" w:color="000000"/>
              <w:right w:val="single" w:sz="6" w:space="0" w:color="000000"/>
            </w:tcBorders>
            <w:hideMark/>
          </w:tcPr>
          <w:p w14:paraId="33D12FEA" w14:textId="77777777" w:rsidR="00035320" w:rsidRPr="002F4348" w:rsidRDefault="00035320" w:rsidP="00B153FC">
            <w:pPr>
              <w:pStyle w:val="afd"/>
              <w:numPr>
                <w:ilvl w:val="0"/>
                <w:numId w:val="4"/>
              </w:numPr>
              <w:spacing w:beforeAutospacing="0" w:afterAutospacing="0" w:line="240" w:lineRule="auto"/>
              <w:jc w:val="center"/>
            </w:pPr>
          </w:p>
        </w:tc>
        <w:tc>
          <w:tcPr>
            <w:tcW w:w="3797" w:type="pct"/>
            <w:tcBorders>
              <w:top w:val="single" w:sz="6" w:space="0" w:color="000000"/>
              <w:left w:val="single" w:sz="6" w:space="0" w:color="000000"/>
              <w:bottom w:val="single" w:sz="6" w:space="0" w:color="000000"/>
              <w:right w:val="single" w:sz="6" w:space="0" w:color="000000"/>
            </w:tcBorders>
            <w:vAlign w:val="center"/>
            <w:hideMark/>
          </w:tcPr>
          <w:p w14:paraId="7B28039D" w14:textId="77777777" w:rsidR="00035320" w:rsidRPr="002F4348" w:rsidRDefault="00035320" w:rsidP="00035320">
            <w:pPr>
              <w:pStyle w:val="afd"/>
              <w:spacing w:line="240" w:lineRule="auto"/>
              <w:ind w:firstLine="0"/>
            </w:pPr>
            <w:r w:rsidRPr="002F4348">
              <w:t>У пациента при установлении диагноза ЛХ, при оценке ответа на лечение, а также при подозрении на рецидив заболевания выполнена КТ грудной клетки, органов брюшной полости и малого таза (с контрастированием) либо (при наличии противопоказаний к КТ либо при невозможности выполнения КТ) рентгенография органов грудной клетки в двух проекциях и ультразвуковое исследование лимфатических узлов и внутренних органов</w:t>
            </w:r>
          </w:p>
        </w:tc>
        <w:tc>
          <w:tcPr>
            <w:tcW w:w="884" w:type="pct"/>
            <w:tcBorders>
              <w:top w:val="single" w:sz="6" w:space="0" w:color="000000"/>
              <w:left w:val="single" w:sz="6" w:space="0" w:color="000000"/>
              <w:bottom w:val="single" w:sz="6" w:space="0" w:color="000000"/>
              <w:right w:val="single" w:sz="6" w:space="0" w:color="000000"/>
            </w:tcBorders>
            <w:hideMark/>
          </w:tcPr>
          <w:p w14:paraId="491F958C" w14:textId="77777777" w:rsidR="00035320" w:rsidRPr="002F4348" w:rsidRDefault="00035320" w:rsidP="00035320">
            <w:pPr>
              <w:pStyle w:val="afd"/>
              <w:spacing w:beforeAutospacing="0" w:afterAutospacing="0" w:line="240" w:lineRule="auto"/>
              <w:ind w:firstLine="0"/>
              <w:jc w:val="center"/>
            </w:pPr>
            <w:r w:rsidRPr="002F4348">
              <w:t>Да/Нет</w:t>
            </w:r>
          </w:p>
        </w:tc>
      </w:tr>
      <w:tr w:rsidR="00035320" w:rsidRPr="002F4348" w14:paraId="0A96C5B4" w14:textId="77777777" w:rsidTr="003007A6">
        <w:tc>
          <w:tcPr>
            <w:tcW w:w="319" w:type="pct"/>
            <w:tcBorders>
              <w:top w:val="single" w:sz="6" w:space="0" w:color="000000"/>
              <w:left w:val="single" w:sz="6" w:space="0" w:color="000000"/>
              <w:bottom w:val="single" w:sz="6" w:space="0" w:color="000000"/>
              <w:right w:val="single" w:sz="6" w:space="0" w:color="000000"/>
            </w:tcBorders>
            <w:hideMark/>
          </w:tcPr>
          <w:p w14:paraId="6018B852" w14:textId="77777777" w:rsidR="00035320" w:rsidRPr="002F4348" w:rsidRDefault="00035320" w:rsidP="00B153FC">
            <w:pPr>
              <w:pStyle w:val="afd"/>
              <w:numPr>
                <w:ilvl w:val="0"/>
                <w:numId w:val="4"/>
              </w:numPr>
              <w:spacing w:beforeAutospacing="0" w:afterAutospacing="0" w:line="240" w:lineRule="auto"/>
              <w:jc w:val="center"/>
            </w:pPr>
          </w:p>
        </w:tc>
        <w:tc>
          <w:tcPr>
            <w:tcW w:w="3797" w:type="pct"/>
            <w:tcBorders>
              <w:top w:val="single" w:sz="6" w:space="0" w:color="000000"/>
              <w:left w:val="single" w:sz="6" w:space="0" w:color="000000"/>
              <w:bottom w:val="single" w:sz="6" w:space="0" w:color="000000"/>
              <w:right w:val="single" w:sz="6" w:space="0" w:color="000000"/>
            </w:tcBorders>
            <w:vAlign w:val="center"/>
            <w:hideMark/>
          </w:tcPr>
          <w:p w14:paraId="2F640D2A" w14:textId="77777777" w:rsidR="00035320" w:rsidRPr="002F4348" w:rsidRDefault="00035320" w:rsidP="00035320">
            <w:pPr>
              <w:pStyle w:val="afd"/>
              <w:spacing w:beforeAutospacing="0" w:afterAutospacing="0" w:line="240" w:lineRule="auto"/>
              <w:ind w:firstLine="0"/>
            </w:pPr>
            <w:r w:rsidRPr="002F4348">
              <w:t>Пациенту с подозрением на ЛХ выполнена биопсия лимфатического узла либо другого очага поражения, патолого-анатомическое исследование биопсийного (операционного) материала с применением иммуногистохимических методов для верификации диагноза</w:t>
            </w:r>
          </w:p>
        </w:tc>
        <w:tc>
          <w:tcPr>
            <w:tcW w:w="884" w:type="pct"/>
            <w:tcBorders>
              <w:top w:val="single" w:sz="6" w:space="0" w:color="000000"/>
              <w:left w:val="single" w:sz="6" w:space="0" w:color="000000"/>
              <w:bottom w:val="single" w:sz="6" w:space="0" w:color="000000"/>
              <w:right w:val="single" w:sz="6" w:space="0" w:color="000000"/>
            </w:tcBorders>
            <w:hideMark/>
          </w:tcPr>
          <w:p w14:paraId="2C59C2E6" w14:textId="77777777" w:rsidR="00035320" w:rsidRPr="002F4348" w:rsidRDefault="00035320" w:rsidP="00035320">
            <w:pPr>
              <w:pStyle w:val="afd"/>
              <w:spacing w:beforeAutospacing="0" w:afterAutospacing="0" w:line="240" w:lineRule="auto"/>
              <w:ind w:firstLine="0"/>
              <w:jc w:val="center"/>
            </w:pPr>
            <w:r w:rsidRPr="002F4348">
              <w:t>Да/Нет</w:t>
            </w:r>
          </w:p>
        </w:tc>
      </w:tr>
      <w:tr w:rsidR="00035320" w:rsidRPr="002F4348" w14:paraId="10A60F1D" w14:textId="77777777" w:rsidTr="003007A6">
        <w:tc>
          <w:tcPr>
            <w:tcW w:w="319" w:type="pct"/>
            <w:tcBorders>
              <w:top w:val="single" w:sz="6" w:space="0" w:color="000000"/>
              <w:left w:val="single" w:sz="6" w:space="0" w:color="000000"/>
              <w:bottom w:val="single" w:sz="6" w:space="0" w:color="000000"/>
              <w:right w:val="single" w:sz="6" w:space="0" w:color="000000"/>
            </w:tcBorders>
            <w:hideMark/>
          </w:tcPr>
          <w:p w14:paraId="552B3D31" w14:textId="77777777" w:rsidR="00035320" w:rsidRPr="002F4348" w:rsidRDefault="00035320" w:rsidP="00B153FC">
            <w:pPr>
              <w:pStyle w:val="afd"/>
              <w:numPr>
                <w:ilvl w:val="0"/>
                <w:numId w:val="4"/>
              </w:numPr>
              <w:spacing w:beforeAutospacing="0" w:afterAutospacing="0" w:line="240" w:lineRule="auto"/>
              <w:jc w:val="center"/>
            </w:pPr>
          </w:p>
        </w:tc>
        <w:tc>
          <w:tcPr>
            <w:tcW w:w="3797" w:type="pct"/>
            <w:tcBorders>
              <w:top w:val="single" w:sz="6" w:space="0" w:color="000000"/>
              <w:left w:val="single" w:sz="6" w:space="0" w:color="000000"/>
              <w:bottom w:val="single" w:sz="6" w:space="0" w:color="000000"/>
              <w:right w:val="single" w:sz="6" w:space="0" w:color="000000"/>
            </w:tcBorders>
            <w:vAlign w:val="center"/>
            <w:hideMark/>
          </w:tcPr>
          <w:p w14:paraId="76D7607B" w14:textId="77777777" w:rsidR="00035320" w:rsidRPr="002F4348" w:rsidRDefault="00035320" w:rsidP="00035320">
            <w:pPr>
              <w:pStyle w:val="afd"/>
              <w:spacing w:beforeAutospacing="0" w:afterAutospacing="0" w:line="240" w:lineRule="auto"/>
              <w:ind w:firstLine="0"/>
            </w:pPr>
            <w:r w:rsidRPr="002F4348">
              <w:t>Пациенту с ЛХ после 2 и 4 циклов химиотерапии, после окончания химиотерапевтического этапа и после завершения всей программы лечения выполнена оценка ответа на терапию в соответствии со стандартными критериями ответа на лечение лимфом</w:t>
            </w:r>
          </w:p>
        </w:tc>
        <w:tc>
          <w:tcPr>
            <w:tcW w:w="884" w:type="pct"/>
            <w:tcBorders>
              <w:top w:val="single" w:sz="6" w:space="0" w:color="000000"/>
              <w:left w:val="single" w:sz="6" w:space="0" w:color="000000"/>
              <w:bottom w:val="single" w:sz="6" w:space="0" w:color="000000"/>
              <w:right w:val="single" w:sz="6" w:space="0" w:color="000000"/>
            </w:tcBorders>
            <w:hideMark/>
          </w:tcPr>
          <w:p w14:paraId="3F9D4D2A" w14:textId="77777777" w:rsidR="00035320" w:rsidRPr="002F4348" w:rsidRDefault="00035320" w:rsidP="00035320">
            <w:pPr>
              <w:pStyle w:val="afd"/>
              <w:spacing w:beforeAutospacing="0" w:afterAutospacing="0" w:line="240" w:lineRule="auto"/>
              <w:ind w:firstLine="0"/>
              <w:jc w:val="center"/>
            </w:pPr>
            <w:r w:rsidRPr="002F4348">
              <w:t>Да/Нет</w:t>
            </w:r>
          </w:p>
        </w:tc>
      </w:tr>
    </w:tbl>
    <w:p w14:paraId="4D9E909E" w14:textId="77777777" w:rsidR="00AF3168" w:rsidRPr="002F4348" w:rsidRDefault="00AF3168" w:rsidP="005627B3">
      <w:pPr>
        <w:ind w:firstLine="0"/>
        <w:rPr>
          <w:b/>
          <w:sz w:val="28"/>
          <w:szCs w:val="28"/>
        </w:rPr>
      </w:pPr>
      <w:r w:rsidRPr="002F4348">
        <w:rPr>
          <w:b/>
          <w:sz w:val="28"/>
          <w:szCs w:val="28"/>
        </w:rPr>
        <w:br w:type="page"/>
      </w:r>
    </w:p>
    <w:p w14:paraId="571EE95E" w14:textId="77777777" w:rsidR="000414F6" w:rsidRPr="002F4348" w:rsidRDefault="00CB71DA" w:rsidP="00172112">
      <w:pPr>
        <w:pStyle w:val="CustomContentNormal"/>
      </w:pPr>
      <w:bookmarkStart w:id="93" w:name="_Toc65586421"/>
      <w:bookmarkStart w:id="94" w:name="_Hlk36026221"/>
      <w:r w:rsidRPr="002F4348">
        <w:t>Список литературы</w:t>
      </w:r>
      <w:bookmarkEnd w:id="92"/>
      <w:bookmarkEnd w:id="93"/>
    </w:p>
    <w:p w14:paraId="302E9034" w14:textId="3BBC6D9A" w:rsidR="00F040F8" w:rsidRPr="00F040F8" w:rsidRDefault="008762E9" w:rsidP="00F040F8">
      <w:pPr>
        <w:widowControl w:val="0"/>
        <w:autoSpaceDE w:val="0"/>
        <w:autoSpaceDN w:val="0"/>
        <w:adjustRightInd w:val="0"/>
        <w:ind w:left="640" w:hanging="640"/>
        <w:rPr>
          <w:rFonts w:cs="Times New Roman"/>
          <w:noProof/>
        </w:rPr>
      </w:pPr>
      <w:r w:rsidRPr="002F4348">
        <w:rPr>
          <w:rFonts w:cs="Times New Roman"/>
          <w:szCs w:val="24"/>
        </w:rPr>
        <w:fldChar w:fldCharType="begin" w:fldLock="1"/>
      </w:r>
      <w:r w:rsidRPr="002F4348">
        <w:rPr>
          <w:rFonts w:cs="Times New Roman"/>
          <w:szCs w:val="24"/>
        </w:rPr>
        <w:instrText xml:space="preserve">ADDIN Mendeley Bibliography CSL_BIBLIOGRAPHY </w:instrText>
      </w:r>
      <w:r w:rsidRPr="002F4348">
        <w:rPr>
          <w:rFonts w:cs="Times New Roman"/>
          <w:szCs w:val="24"/>
        </w:rPr>
        <w:fldChar w:fldCharType="separate"/>
      </w:r>
      <w:r w:rsidR="00F040F8" w:rsidRPr="00F040F8">
        <w:rPr>
          <w:rFonts w:cs="Times New Roman"/>
          <w:noProof/>
        </w:rPr>
        <w:t>1.</w:t>
      </w:r>
      <w:r w:rsidR="00F040F8" w:rsidRPr="00F040F8">
        <w:rPr>
          <w:rFonts w:cs="Times New Roman"/>
          <w:noProof/>
        </w:rPr>
        <w:tab/>
        <w:t>Демина Е.А. et al. Общие принципы диагностики лимфом // Российские клинические рекомендации по диагностике и лечению злокачественных лимфопролиферативных заболеваний; под ред. И.В. Поддубной, В.Г. Савченко. 2018. P. 9–27.</w:t>
      </w:r>
    </w:p>
    <w:p w14:paraId="055EFABA"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2.</w:t>
      </w:r>
      <w:r w:rsidRPr="00F040F8">
        <w:rPr>
          <w:rFonts w:cs="Times New Roman"/>
          <w:noProof/>
        </w:rPr>
        <w:tab/>
        <w:t>Злокачественные новообразования в России в 2017 году (заболеваемость и смертность). Под ред. А.Д. Каприна, В.В. Старинского, Г.В. Петровой. М.: МНИОИ им. П.А. Герцена – филиал ФГБУ «НМИЦ радиологии» Минздрава России, 2018.</w:t>
      </w:r>
    </w:p>
    <w:p w14:paraId="27C57143"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3.</w:t>
      </w:r>
      <w:r w:rsidRPr="00F040F8">
        <w:rPr>
          <w:rFonts w:cs="Times New Roman"/>
          <w:noProof/>
        </w:rPr>
        <w:tab/>
        <w:t>Swerdlow S.H. et al. WHO classification of tumours of haematopoietic and lymphoid tissues. Revised 4th ed. Lyon, France: International Agency for Research in Cancer (IARC) / ed. Swerdlow SH, Campo E, Harris NL, Jaffe ES, Pileri SA, Stein H T.J. 2017. 585 p.</w:t>
      </w:r>
    </w:p>
    <w:p w14:paraId="5C96D9F3"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4.</w:t>
      </w:r>
      <w:r w:rsidRPr="00F040F8">
        <w:rPr>
          <w:rFonts w:cs="Times New Roman"/>
          <w:noProof/>
        </w:rPr>
        <w:tab/>
        <w:t>Демина Е.А. et al. Лимфома Ходжкина // Российские клинические рекомендации по диагностике и лечению злокачественных лимфопролиферативных заболеваний; под ред. И.В. Поддубной, В.Г. Савченко. 2018. P. 28–43.</w:t>
      </w:r>
    </w:p>
    <w:p w14:paraId="22342B7A"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5.</w:t>
      </w:r>
      <w:r w:rsidRPr="00F040F8">
        <w:rPr>
          <w:rFonts w:cs="Times New Roman"/>
          <w:noProof/>
        </w:rPr>
        <w:tab/>
        <w:t>Kennedy-Nasser A.A., Hanley P., Bollard C.M. Hodgkin disease and the role of the immune system // Pediatric Hematology and Oncology. NIH Public Access, 2011. Vol. 28, № 3. P. 176–186.</w:t>
      </w:r>
    </w:p>
    <w:p w14:paraId="4674A5E3"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6.</w:t>
      </w:r>
      <w:r w:rsidRPr="00F040F8">
        <w:rPr>
          <w:rFonts w:cs="Times New Roman"/>
          <w:noProof/>
        </w:rPr>
        <w:tab/>
        <w:t>Good R.A. Relations between immunity and malignancy. // Proceedings of the National Academy of Sciences of the United States of America. 1972. Vol. 69, № 4. P. 1026–1032.</w:t>
      </w:r>
    </w:p>
    <w:p w14:paraId="040CC2A5"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7.</w:t>
      </w:r>
      <w:r w:rsidRPr="00F040F8">
        <w:rPr>
          <w:rFonts w:cs="Times New Roman"/>
          <w:noProof/>
        </w:rPr>
        <w:tab/>
        <w:t>Шмаков Р.Г., Демина Е.А. Лимфомы и беременность // Российские клинические рекомендации по диагностике и лечению злокачественных лимфопролиферативных заболеваний; под ред. И.В. Поддубной, В.Г. Савченко. 2018. P. 143–150.</w:t>
      </w:r>
    </w:p>
    <w:p w14:paraId="7893EADC"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8.</w:t>
      </w:r>
      <w:r w:rsidRPr="00F040F8">
        <w:rPr>
          <w:rFonts w:cs="Times New Roman"/>
          <w:noProof/>
        </w:rPr>
        <w:tab/>
        <w:t>Kanoun S., Rossi C., Casasnovas O. [18F]FDG-PET/CT in hodgkin lymphoma: Current usefulness and perspectives // Cancers. 2018.</w:t>
      </w:r>
    </w:p>
    <w:p w14:paraId="5DA5FF98"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9.</w:t>
      </w:r>
      <w:r w:rsidRPr="00F040F8">
        <w:rPr>
          <w:rFonts w:cs="Times New Roman"/>
          <w:noProof/>
        </w:rPr>
        <w:tab/>
        <w:t>Yokoyama K. Thrombosis in lymphoma patients and in myeloma patients // Keio Journal of Medicine. Keio University School of Medicine, 2015. Vol. 64, № 3. P. 37–43.</w:t>
      </w:r>
    </w:p>
    <w:p w14:paraId="444B45DB"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10.</w:t>
      </w:r>
      <w:r w:rsidRPr="00F040F8">
        <w:rPr>
          <w:rFonts w:cs="Times New Roman"/>
          <w:noProof/>
        </w:rPr>
        <w:tab/>
        <w:t>Криволапов Ю.А., Леенман Е.Е. Морфологическая диагностика лимфом. КОСТА, Санкт-Петербург, 2006.</w:t>
      </w:r>
    </w:p>
    <w:p w14:paraId="16C3C205"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11.</w:t>
      </w:r>
      <w:r w:rsidRPr="00F040F8">
        <w:rPr>
          <w:rFonts w:cs="Times New Roman"/>
          <w:noProof/>
        </w:rPr>
        <w:tab/>
        <w:t>Adams H.J.A., Nievelstein R.A.J., Kwee T.C. Opportunities and limitations of bone marrow biopsy and bone marrow FDG-PET in lymphoma // Blood Rev. Churchill Livingstone, 2015. Vol. 29, № 6. P. 417–425.</w:t>
      </w:r>
    </w:p>
    <w:p w14:paraId="6EF6FD06"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12.</w:t>
      </w:r>
      <w:r w:rsidRPr="00F040F8">
        <w:rPr>
          <w:rFonts w:cs="Times New Roman"/>
          <w:noProof/>
        </w:rPr>
        <w:tab/>
        <w:t>Моисеева Т.Н., Аль-Ради Л.С., Дорохина Е.И. Протокол диагностики и лечения классической лимфомы Ходжкина // Алгоритмы диагностики и протоколы лечения заболеваний системы крови. НМИЦ Гематологии. Под ред. В.Г. Савченко. 2018. P. 39–56.</w:t>
      </w:r>
    </w:p>
    <w:p w14:paraId="1455CCC3"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13.</w:t>
      </w:r>
      <w:r w:rsidRPr="00F040F8">
        <w:rPr>
          <w:rFonts w:cs="Times New Roman"/>
          <w:noProof/>
        </w:rPr>
        <w:tab/>
        <w:t>Engert A. et al. Two cycles of doxorubicin, bleomycin, vinblastine, and dacarbazine plus extended-field radiotherapy is superior to radiotherapy alone in early favorable Hodgkin’s lymphoma: Final results of the GHSG HD7 trial // J. Clin. Oncol. 2007.</w:t>
      </w:r>
    </w:p>
    <w:p w14:paraId="3A9D18CD"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14.</w:t>
      </w:r>
      <w:r w:rsidRPr="00F040F8">
        <w:rPr>
          <w:rFonts w:cs="Times New Roman"/>
          <w:noProof/>
        </w:rPr>
        <w:tab/>
        <w:t>Meyer R.M. et al. ABVD alone versus radiation-based therapy in limited-stage Hodgkin’s lymphoma // N. Engl. J. Med. 2012.</w:t>
      </w:r>
    </w:p>
    <w:p w14:paraId="37CD40A6"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15.</w:t>
      </w:r>
      <w:r w:rsidRPr="00F040F8">
        <w:rPr>
          <w:rFonts w:cs="Times New Roman"/>
          <w:noProof/>
        </w:rPr>
        <w:tab/>
        <w:t>Allen P.B., Gordon L.I. Frontline Therapy for Classical Hodgkin Lymphoma by Stage and Prognostic Factors // Clinical Medicine Insights: Oncology. SAGE Publications Ltd, 2017. Vol. 11.</w:t>
      </w:r>
    </w:p>
    <w:p w14:paraId="5835E16B"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16.</w:t>
      </w:r>
      <w:r w:rsidRPr="00F040F8">
        <w:rPr>
          <w:rFonts w:cs="Times New Roman"/>
          <w:noProof/>
        </w:rPr>
        <w:tab/>
        <w:t>Skoetz N. et al. Comparison of first-line chemotherapy including escalated BEACOPP versus chemotherapy including ABVD for people with early unfavourable or advanced stage Hodgkin lymphoma // Cochrane Database of Systematic Reviews. 2017.</w:t>
      </w:r>
    </w:p>
    <w:p w14:paraId="261599CB"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17.</w:t>
      </w:r>
      <w:r w:rsidRPr="00F040F8">
        <w:rPr>
          <w:rFonts w:cs="Times New Roman"/>
          <w:noProof/>
        </w:rPr>
        <w:tab/>
        <w:t>Von Tresckow B. et al. Dose-intensification in early unfavorable Hodgkin’s lymphoma: Final analysis of the German Hodgkin study group HD14 trial // J. Clin. Oncol. 2012. Vol. 30, № 9. P. 907–913.</w:t>
      </w:r>
    </w:p>
    <w:p w14:paraId="25B9C502"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18.</w:t>
      </w:r>
      <w:r w:rsidRPr="00F040F8">
        <w:rPr>
          <w:rFonts w:cs="Times New Roman"/>
          <w:noProof/>
        </w:rPr>
        <w:tab/>
        <w:t>Hoppe B.S. et al. Effective dose reduction to cardiac structures using protons compared with 3DCRT and IMRT in mediastinal Hodgkin lymphoma // Int. J. Radiat. Oncol. Biol. Phys. 2012. Vol. 84, № 2. P. 449–455.</w:t>
      </w:r>
    </w:p>
    <w:p w14:paraId="62C7A368"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19.</w:t>
      </w:r>
      <w:r w:rsidRPr="00F040F8">
        <w:rPr>
          <w:rFonts w:cs="Times New Roman"/>
          <w:noProof/>
        </w:rPr>
        <w:tab/>
        <w:t>Hoppe B.S. et al. Consolidative proton therapy after chemotherapy for patients with Hodgkin lymphoma // Ann. Oncol. 2017. Vol. 28, № 9. P. 2179–2184.</w:t>
      </w:r>
    </w:p>
    <w:p w14:paraId="1FD4CA23"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20.</w:t>
      </w:r>
      <w:r w:rsidRPr="00F040F8">
        <w:rPr>
          <w:rFonts w:cs="Times New Roman"/>
          <w:noProof/>
        </w:rPr>
        <w:tab/>
        <w:t>Tseng Y.D. et al. Evidence-based Review on the Use of Proton Therapy in Lymphoma From the Particle Therapy Cooperative Group (PTCOG) Lymphoma Subcommittee // International Journal of Radiation Oncology Biology Physics. Elsevier Inc., 2017. Vol. 99, № 4. P. 825–842.</w:t>
      </w:r>
    </w:p>
    <w:p w14:paraId="415B7622"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21.</w:t>
      </w:r>
      <w:r w:rsidRPr="00F040F8">
        <w:rPr>
          <w:rFonts w:cs="Times New Roman"/>
          <w:noProof/>
        </w:rPr>
        <w:tab/>
        <w:t>Engert A. et al. Reduced-intensity chemotherapy and PET-guided radiotherapy in patients with advanced stage Hodgkin’s lymphoma (HD15 trial): a randomised, open-label, phase 3 non-inferiority trial. // Lancet (London, England). 2012. Vol. 379, № 9828. P. 1791–1799.</w:t>
      </w:r>
    </w:p>
    <w:p w14:paraId="6CCFD2E3"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22.</w:t>
      </w:r>
      <w:r w:rsidRPr="00F040F8">
        <w:rPr>
          <w:rFonts w:cs="Times New Roman"/>
          <w:noProof/>
        </w:rPr>
        <w:tab/>
        <w:t>Демина Е.А. et al. Оптимизация терапии первой линии у пациентов с распространенными стадиями лимфомы Ходжкина: эффективность и токсичность интенсивной схемы EACOPP-14 (опыт ФГБУ «НМИЦ онкологии им. Н.Н. Блохина Минздрава России). // Клиническая онкогематология. Фундаментальные исследования и клиническая практика. 2017. Vol. 10, № 4. P. 443–452.</w:t>
      </w:r>
    </w:p>
    <w:p w14:paraId="7BDA34D0"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23.</w:t>
      </w:r>
      <w:r w:rsidRPr="00F040F8">
        <w:rPr>
          <w:rFonts w:cs="Times New Roman"/>
          <w:noProof/>
        </w:rPr>
        <w:tab/>
        <w:t>Sieber M. et al. 14-Day variant of the bleomycin, etoposide, doxorubicin, cyclophosphamide, vincristine, procarbazine, and prednisone regimen in advanced-stage Hodgkin’s lymphoma: Results of a pilot study of the German Hodgkin’s Lymphoma Study Group // J. Clin. Oncol. 2003. Vol. 21, № 9. P. 1734–1739.</w:t>
      </w:r>
    </w:p>
    <w:p w14:paraId="7D29148F"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24.</w:t>
      </w:r>
      <w:r w:rsidRPr="00F040F8">
        <w:rPr>
          <w:rFonts w:cs="Times New Roman"/>
          <w:noProof/>
        </w:rPr>
        <w:tab/>
        <w:t>Gallamini A. et al. Consolidation radiotherapy could be omitted in advanced Hodgkin lymphoma with large nodal mass in complete metabolic response after ABVD. Final analysis of the randomized HD0607 trial // Hematol. Oncol. Wiley, 2019. Vol. 37. P. 147–148.</w:t>
      </w:r>
    </w:p>
    <w:p w14:paraId="2C069BAD"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25.</w:t>
      </w:r>
      <w:r w:rsidRPr="00F040F8">
        <w:rPr>
          <w:rFonts w:cs="Times New Roman"/>
          <w:noProof/>
        </w:rPr>
        <w:tab/>
        <w:t>Barrington S.F. et al. PET-CT for staging and early response: Results from the Response-Adapted Therapy in Advanced Hodgkin Lymphoma study // Blood. American Society of Hematology, 2016. Vol. 127, № 12. P. 1531–1538.</w:t>
      </w:r>
    </w:p>
    <w:p w14:paraId="148EFAB7"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26.</w:t>
      </w:r>
      <w:r w:rsidRPr="00F040F8">
        <w:rPr>
          <w:rFonts w:cs="Times New Roman"/>
          <w:noProof/>
        </w:rPr>
        <w:tab/>
        <w:t>Wedgwood A., Younes A. Prophylactic use of filgrastim with ABVD and BEACOPP chemotherapy regimens for Hodgkin lymphoma. // Clin. Lymphoma Myeloma. 2007. Vol. 8 Suppl 2. P. S63-6.</w:t>
      </w:r>
    </w:p>
    <w:p w14:paraId="4C35012B"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27.</w:t>
      </w:r>
      <w:r w:rsidRPr="00F040F8">
        <w:rPr>
          <w:rFonts w:cs="Times New Roman"/>
          <w:noProof/>
        </w:rPr>
        <w:tab/>
        <w:t>Engel C. et al. Acute hematologic toxicity and practicability of dose-intensified BEACOPP chemotherapy for advanced stage Hodgkin’s disease. German Hodgkin’s Lymphoma Study Group (GHSG). // Ann. Oncol.  Off. J. Eur. Soc. Med. Oncol. 2000. Vol. 11, № 9. P. 1105–1114.</w:t>
      </w:r>
    </w:p>
    <w:p w14:paraId="287A9B6D"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28.</w:t>
      </w:r>
      <w:r w:rsidRPr="00F040F8">
        <w:rPr>
          <w:rFonts w:cs="Times New Roman"/>
          <w:noProof/>
        </w:rPr>
        <w:tab/>
        <w:t>Lymphoma H. NCCN Clinical Practice Guidelines in Oncology (NCCN Guidelines ® ) NCCN.org NCCN Guidelines for Patients ® available at www.nccn.org/patients. 2019.</w:t>
      </w:r>
    </w:p>
    <w:p w14:paraId="02A95F0C"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29.</w:t>
      </w:r>
      <w:r w:rsidRPr="00F040F8">
        <w:rPr>
          <w:rFonts w:cs="Times New Roman"/>
          <w:noProof/>
        </w:rPr>
        <w:tab/>
        <w:t>Yahalom J. et al. Modern radiation therapy for extranodal lymphomas: Field and dose guidelines from the international lymphoma radiation oncology group // Int. J. Radiat. Oncol. Biol. Phys. Elsevier Inc., 2015. Vol. 92, № 1. P. 11–31.</w:t>
      </w:r>
    </w:p>
    <w:p w14:paraId="36AFF68C"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30.</w:t>
      </w:r>
      <w:r w:rsidRPr="00F040F8">
        <w:rPr>
          <w:rFonts w:cs="Times New Roman"/>
          <w:noProof/>
        </w:rPr>
        <w:tab/>
        <w:t>Connors J.M. et al. Brentuximab vedotin with chemotherapy for stage III or IV Hodgkin’s lymphoma // N. Engl. J. Med. 2018. Vol. 378, № 4. P. 331–344.</w:t>
      </w:r>
    </w:p>
    <w:p w14:paraId="179232A1"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31.</w:t>
      </w:r>
      <w:r w:rsidRPr="00F040F8">
        <w:rPr>
          <w:rFonts w:cs="Times New Roman"/>
          <w:noProof/>
        </w:rPr>
        <w:tab/>
        <w:t>Mauz-Körholz C. et al. Procarbazine-free OEPA-COPDAC chemotherapy in boys and standard OPPA-COPP in girls have comparable effectiveness in pediatric Hodgkin’s lymphoma: The GPOH-HD-2002 study // J. Clin. Oncol. 2010. Vol. 28, № 23. P. 3680–3686.</w:t>
      </w:r>
    </w:p>
    <w:p w14:paraId="5EAD05D4"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32.</w:t>
      </w:r>
      <w:r w:rsidRPr="00F040F8">
        <w:rPr>
          <w:rFonts w:cs="Times New Roman"/>
          <w:noProof/>
        </w:rPr>
        <w:tab/>
        <w:t>Dörffel W. et al. Treatment of children and adolescents with hodgkin lymphoma without radiotherapy for patients in complete remission after chemotherapy: Final results of the multinational trial GPOH-HD95 // J. Clin. Oncol. 2013. Vol. 31, № 12. P. 1562–1568.</w:t>
      </w:r>
    </w:p>
    <w:p w14:paraId="2EC590D3"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33.</w:t>
      </w:r>
      <w:r w:rsidRPr="00F040F8">
        <w:rPr>
          <w:rFonts w:cs="Times New Roman"/>
          <w:noProof/>
        </w:rPr>
        <w:tab/>
        <w:t>Hudson M.M., Constine L.S. Refining the role of radiation therapy in pediatric hodgkin lymphoma. // Am. Soc. Clin. Oncol. Educ. Book. From the Department of Oncology, Division of Cancer Survivorship, St. Jude’s Children’s Research Hospital, Memphis, TN; Departments of Radiation Oncology and Pediatrics, Philip Rubin Center for Cancer Survivorship, James P. Wilmot Cancer Center at Univers: American Society of Clinical Oncology, 2012. P. 616–620.</w:t>
      </w:r>
    </w:p>
    <w:p w14:paraId="6C51BD53"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34.</w:t>
      </w:r>
      <w:r w:rsidRPr="00F040F8">
        <w:rPr>
          <w:rFonts w:cs="Times New Roman"/>
          <w:noProof/>
        </w:rPr>
        <w:tab/>
        <w:t>International Commission on Radiation Units and Measurments. Prescribing, Recording, and Reporting Photon Beam Therapy (Supplement to ICRU Report 50). 1999. 1–62 p.</w:t>
      </w:r>
    </w:p>
    <w:p w14:paraId="16D90EB8"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35.</w:t>
      </w:r>
      <w:r w:rsidRPr="00F040F8">
        <w:rPr>
          <w:rFonts w:cs="Times New Roman"/>
          <w:noProof/>
        </w:rPr>
        <w:tab/>
        <w:t>Румянцев А.Г., Самочатова Е.В. Практическое руководство по детским болезням. Гематология/онкология детского возраста. Медпрактика-М, Москва, 2004.</w:t>
      </w:r>
    </w:p>
    <w:p w14:paraId="20165C2C"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36.</w:t>
      </w:r>
      <w:r w:rsidRPr="00F040F8">
        <w:rPr>
          <w:rFonts w:cs="Times New Roman"/>
          <w:noProof/>
        </w:rPr>
        <w:tab/>
        <w:t>Borchmann S., Engert A., Böll B. Hodgkin lymphoma in elderly patients // Current Opinion in Oncology. Lippincott Williams and Wilkins, 2018. Vol. 30, № 5. P. 308–316.</w:t>
      </w:r>
    </w:p>
    <w:p w14:paraId="14DAC7B9"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37.</w:t>
      </w:r>
      <w:r w:rsidRPr="00F040F8">
        <w:rPr>
          <w:rFonts w:cs="Times New Roman"/>
          <w:noProof/>
        </w:rPr>
        <w:tab/>
        <w:t>Thyss A. et al. Hodgkin’s lymphoma in older patients: An orphan disease? // Mediterranean Journal of Hematology and Infectious Diseases. Universita Cattolica del Sacro Cuore, 2014. Vol. 6, № 1. P. 1–10.</w:t>
      </w:r>
    </w:p>
    <w:p w14:paraId="282CBF7A"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38.</w:t>
      </w:r>
      <w:r w:rsidRPr="00F040F8">
        <w:rPr>
          <w:rFonts w:cs="Times New Roman"/>
          <w:noProof/>
        </w:rPr>
        <w:tab/>
        <w:t>Капланов К.Д. et al. Программа IVDG — возможный выбор первой линии терапии лимфомы Ходжкина у пациентов пожилого возраста с сопутствующими сердечно-сосудистыми и легочными заболеваниями // Клиническая онкогематология. 2017. Vol. 10, № 3. P. 358–365.</w:t>
      </w:r>
    </w:p>
    <w:p w14:paraId="57BA78CC"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39.</w:t>
      </w:r>
      <w:r w:rsidRPr="00F040F8">
        <w:rPr>
          <w:rFonts w:cs="Times New Roman"/>
          <w:noProof/>
        </w:rPr>
        <w:tab/>
        <w:t>Fedele R. et al. Clinical Options in Relapsed or Refractory Hodgkin Lymphoma: An Updated Review. // J. Immunol. Res. 2015. Vol. 2015. P. 968212.</w:t>
      </w:r>
    </w:p>
    <w:p w14:paraId="27B8FCE8"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40.</w:t>
      </w:r>
      <w:r w:rsidRPr="00F040F8">
        <w:rPr>
          <w:rFonts w:cs="Times New Roman"/>
          <w:noProof/>
        </w:rPr>
        <w:tab/>
        <w:t>Nikolaenko L., Chen R., Herrera A.F. Current strategies for salvage treatment for relapsed classical Hodgkin lymphoma. // Ther. Adv. Hematol. 2017. Vol. 8, № 10. P. 293–302.</w:t>
      </w:r>
    </w:p>
    <w:p w14:paraId="7ECB1F1A"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41.</w:t>
      </w:r>
      <w:r w:rsidRPr="00F040F8">
        <w:rPr>
          <w:rFonts w:cs="Times New Roman"/>
          <w:noProof/>
        </w:rPr>
        <w:tab/>
        <w:t>Mohty M. et al. Autologous haematopoietic stem cell mobilisation in multiple myeloma and lymphoma patients: A position statement from the European Group for Blood and Marrow Transplantation // Bone Marrow Transplantation. 2014.</w:t>
      </w:r>
    </w:p>
    <w:p w14:paraId="51752BF2"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42.</w:t>
      </w:r>
      <w:r w:rsidRPr="00F040F8">
        <w:rPr>
          <w:rFonts w:cs="Times New Roman"/>
          <w:noProof/>
        </w:rPr>
        <w:tab/>
        <w:t>Moskowitz A.J. et al. Pretransplantation functional imaging predicts outcome following autologous stem cell transplantation for relapsed and refractory Hodgkin lymphoma. // Blood. 2010. Vol. 116, № 23. P. 4934–4937.</w:t>
      </w:r>
    </w:p>
    <w:p w14:paraId="1723B45D"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43.</w:t>
      </w:r>
      <w:r w:rsidRPr="00F040F8">
        <w:rPr>
          <w:rFonts w:cs="Times New Roman"/>
          <w:noProof/>
        </w:rPr>
        <w:tab/>
        <w:t>Moskowitz C.H. et al. Five-year PFS from the AETHERA trial of brentuximab vedotin for Hodgkin lymphoma at high risk of progression or relapse. // Blood. 2018. Vol. 132, № 25. P. 2639–2642.</w:t>
      </w:r>
    </w:p>
    <w:p w14:paraId="4FCB1845"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44.</w:t>
      </w:r>
      <w:r w:rsidRPr="00F040F8">
        <w:rPr>
          <w:rFonts w:cs="Times New Roman"/>
          <w:noProof/>
        </w:rPr>
        <w:tab/>
        <w:t>Chen R. et al. Five-year survival and durability results of brentuximab vedotin in patients with relapsed or refractory Hodgkin lymphoma. // Blood. 2016. Vol. 128, № 12. P. 1562–1566.</w:t>
      </w:r>
    </w:p>
    <w:p w14:paraId="3D6EE9A8"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45.</w:t>
      </w:r>
      <w:r w:rsidRPr="00F040F8">
        <w:rPr>
          <w:rFonts w:cs="Times New Roman"/>
          <w:noProof/>
        </w:rPr>
        <w:tab/>
        <w:t>Younes A. et al. Nivolumab for classical Hodgkin’s lymphoma after failure of both autologous stem-cell transplantation and brentuximab vedotin: a multicentre, multicohort, single-arm phase 2 trial. // Lancet. Oncol. 2016. Vol. 17, № 9. P. 1283–1294.</w:t>
      </w:r>
    </w:p>
    <w:p w14:paraId="63069CA8"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46.</w:t>
      </w:r>
      <w:r w:rsidRPr="00F040F8">
        <w:rPr>
          <w:rFonts w:cs="Times New Roman"/>
          <w:noProof/>
        </w:rPr>
        <w:tab/>
        <w:t>Chen R. et al. Pembrolizumab in relapsed or refractory Hodgkin lymphoma: 2-year follow-up of KEYNOTE-087 // Blood. American Society of Hematology, 2019. Vol. 134, № 14. P. 1144–1153.</w:t>
      </w:r>
    </w:p>
    <w:p w14:paraId="0FB4D5F1"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47.</w:t>
      </w:r>
      <w:r w:rsidRPr="00F040F8">
        <w:rPr>
          <w:rFonts w:cs="Times New Roman"/>
          <w:noProof/>
        </w:rPr>
        <w:tab/>
        <w:t>Rashidi A., Ebadi M., Cashen A.F. Allogeneic hematopoietic stem cell transplantation in Hodgkin lymphoma: a systematic review and meta-analysis. // Bone Marrow Transplant. 2016. Vol. 51, № 4. P. 521–528.</w:t>
      </w:r>
    </w:p>
    <w:p w14:paraId="27802A29"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48.</w:t>
      </w:r>
      <w:r w:rsidRPr="00F040F8">
        <w:rPr>
          <w:rFonts w:cs="Times New Roman"/>
          <w:noProof/>
        </w:rPr>
        <w:tab/>
        <w:t>Peggs K.S. Should all patients with Hodgkin lymphoma who relapse after autologous SCT be considered for allogeneic SCT? // Blood Adv. American Society of Hematology, 2018. Vol. 2, № 7. P. 817–820.</w:t>
      </w:r>
    </w:p>
    <w:p w14:paraId="7ADE35CA"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49.</w:t>
      </w:r>
      <w:r w:rsidRPr="00F040F8">
        <w:rPr>
          <w:rFonts w:cs="Times New Roman"/>
          <w:noProof/>
        </w:rPr>
        <w:tab/>
        <w:t>Wirth A. et al. Long-term outcome after radiotherapy alone for lymphocyte-predominant Hodgkin lymphoma: a retrospective multicenter study of the Australasian Radiation Oncology Lymphoma Group. // Cancer. 2005. Vol. 104, № 6. P. 1221–1229.</w:t>
      </w:r>
    </w:p>
    <w:p w14:paraId="39C290DA"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50.</w:t>
      </w:r>
      <w:r w:rsidRPr="00F040F8">
        <w:rPr>
          <w:rFonts w:cs="Times New Roman"/>
          <w:noProof/>
        </w:rPr>
        <w:tab/>
        <w:t>Nogová L. et al. Extended field radiotherapy, combined modality treatment or involved field radiotherapy for patients with stage IA lymphocyte-predominant Hodgkin’s lymphoma: a retrospective analysis from the German Hodgkin Study Group (GHSG). // Ann. Oncol.  Off. J. Eur. Soc. Med. Oncol. 2005. Vol. 16, № 10. P. 1683–1687.</w:t>
      </w:r>
    </w:p>
    <w:p w14:paraId="783BC871"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51.</w:t>
      </w:r>
      <w:r w:rsidRPr="00F040F8">
        <w:rPr>
          <w:rFonts w:cs="Times New Roman"/>
          <w:noProof/>
        </w:rPr>
        <w:tab/>
        <w:t>Eichenauer D.A. et al. Phase 2 study of rituximab in newly diagnosed stage IA nodular lymphocytepredominant Hodgkin lymphoma: A report from the German Hodgkin Study Group // Blood. 2011. Vol. 118, № 16. P. 4363–4365.</w:t>
      </w:r>
    </w:p>
    <w:p w14:paraId="2885A1AB"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52.</w:t>
      </w:r>
      <w:r w:rsidRPr="00F040F8">
        <w:rPr>
          <w:rFonts w:cs="Times New Roman"/>
          <w:noProof/>
        </w:rPr>
        <w:tab/>
        <w:t>Appel B.E. et al. Minimal treatment of low-risk, pediatric lymphocyte-predominant hodgkin lymphoma: A report from the children’s oncology group // J. Clin. Oncol. American Society of Clinical Oncology, 2016. Vol. 34, № 20. P. 2372–2379.</w:t>
      </w:r>
    </w:p>
    <w:p w14:paraId="2997F876"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53.</w:t>
      </w:r>
      <w:r w:rsidRPr="00F040F8">
        <w:rPr>
          <w:rFonts w:cs="Times New Roman"/>
          <w:noProof/>
        </w:rPr>
        <w:tab/>
        <w:t>Mauz-Körholz C. et al. Resection alone in 58 children with limited stage, lymphocyte-predominant Hodgkin lymphoma-experience from the European network group on pediatric Hodgkin lymphoma // Cancer. 2007. Vol. 110, № 1. P. 179–185.</w:t>
      </w:r>
    </w:p>
    <w:p w14:paraId="46238A74"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54.</w:t>
      </w:r>
      <w:r w:rsidRPr="00F040F8">
        <w:rPr>
          <w:rFonts w:cs="Times New Roman"/>
          <w:noProof/>
        </w:rPr>
        <w:tab/>
        <w:t>Cencini E., Fabbri A., Bocchia M. Rituximab plus ABVD in newly diagnosed nodular lymphocyte-predominant Hodgkin lymphoma // Br. J. Haematol. Blackwell Publishing Ltd, 2017. Vol. 176, № 5. P. 831–833.</w:t>
      </w:r>
    </w:p>
    <w:p w14:paraId="5C8357D6"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55.</w:t>
      </w:r>
      <w:r w:rsidRPr="00F040F8">
        <w:rPr>
          <w:rFonts w:cs="Times New Roman"/>
          <w:noProof/>
        </w:rPr>
        <w:tab/>
        <w:t>Shankar A. et al. Treatment outcome after low intensity chemotherapy [CVP] in children and adolescents with early stage nodular lymphocyte predominant Hodgkin’s lymphoma - An Anglo-French collaborative report // Eur. J. Cancer. 2012. Vol. 48, № 11. P. 1700–1706.</w:t>
      </w:r>
    </w:p>
    <w:p w14:paraId="35CD8276"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56.</w:t>
      </w:r>
      <w:r w:rsidRPr="00F040F8">
        <w:rPr>
          <w:rFonts w:cs="Times New Roman"/>
          <w:noProof/>
        </w:rPr>
        <w:tab/>
        <w:t>Fanale M.A. et al. Encouraging activity for R-CHOP in advanced stage nodular lymphocyte–predominant Hodgkin lymphoma // Blood. 2017.</w:t>
      </w:r>
    </w:p>
    <w:p w14:paraId="2812BAEA"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57.</w:t>
      </w:r>
      <w:r w:rsidRPr="00F040F8">
        <w:rPr>
          <w:rFonts w:cs="Times New Roman"/>
          <w:noProof/>
        </w:rPr>
        <w:tab/>
        <w:t>Advani R.H., Hoppe R.T. How i treat nodular lymphocyte predominant Hodgkin lymphoma // Blood. 2013. Vol. 122, № 26. P. 4182–4188.</w:t>
      </w:r>
    </w:p>
    <w:p w14:paraId="719978DF"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58.</w:t>
      </w:r>
      <w:r w:rsidRPr="00F040F8">
        <w:rPr>
          <w:rFonts w:cs="Times New Roman"/>
          <w:noProof/>
        </w:rPr>
        <w:tab/>
        <w:t>Eichenauer D.A. et al. Relapsed and refractory nodular lymphocyte-predominant Hodgkin lymphoma: An analysis from the German Hodgkin Study Group // Blood. American Society of Hematology, 2018. Vol. 132, № 14. P. 1519–1525.</w:t>
      </w:r>
    </w:p>
    <w:p w14:paraId="27BF095C"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59.</w:t>
      </w:r>
      <w:r w:rsidRPr="00F040F8">
        <w:rPr>
          <w:rFonts w:cs="Times New Roman"/>
          <w:noProof/>
        </w:rPr>
        <w:tab/>
        <w:t>Eichenauer D.A., Engert A. Nodular lymphocyte-predominant Hodgkin lymphoma: A unique disease deserving unique management // Hematology. American Society of Hematology, 2017. Vol. 2017, № 1. P. 324–328.</w:t>
      </w:r>
    </w:p>
    <w:p w14:paraId="66D6DC1F"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60.</w:t>
      </w:r>
      <w:r w:rsidRPr="00F040F8">
        <w:rPr>
          <w:rFonts w:cs="Times New Roman"/>
          <w:noProof/>
        </w:rPr>
        <w:tab/>
        <w:t>Bachanova V., Connors J.M. Hodgkin lymphoma in pregnancy // Curr. Hematol. Malig. Rep. NIH Public Access, 2013. Vol. 8, № 3. P. 211–217.</w:t>
      </w:r>
    </w:p>
    <w:p w14:paraId="5BC778F6"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61.</w:t>
      </w:r>
      <w:r w:rsidRPr="00F040F8">
        <w:rPr>
          <w:rFonts w:cs="Times New Roman"/>
          <w:noProof/>
        </w:rPr>
        <w:tab/>
        <w:t>Avilés A., Neri N., Nambo M.J. Hematological malignancies and pregnancy: Treat or no treat during first trimester // Int. J. Cancer. 2012. Vol. 131, № 11. P. 2678–2683.</w:t>
      </w:r>
    </w:p>
    <w:p w14:paraId="0E785E32"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62.</w:t>
      </w:r>
      <w:r w:rsidRPr="00F040F8">
        <w:rPr>
          <w:rFonts w:cs="Times New Roman"/>
          <w:noProof/>
        </w:rPr>
        <w:tab/>
        <w:t>Cheson B.D. et al. Revised response criteria for malignant lymphoma // Journal of Clinical Oncology. 2007. Vol. 25, № 5. P. 579–586.</w:t>
      </w:r>
    </w:p>
    <w:p w14:paraId="3AC25C10"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63.</w:t>
      </w:r>
      <w:r w:rsidRPr="00F040F8">
        <w:rPr>
          <w:rFonts w:cs="Times New Roman"/>
          <w:noProof/>
        </w:rPr>
        <w:tab/>
        <w:t>Барях Е.А., Мякова Н.В., Поддубная И.В. Профилактика и лечение синдрома лизиса опухоли // Российские клинические рекомендации по диагностике и лечению злокачественных лимфопролиферативных заболеваний; под ред. И.В. Поддубной, В.Г. Савченко. 2018. P. 251–253.</w:t>
      </w:r>
    </w:p>
    <w:p w14:paraId="4D52989F"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64.</w:t>
      </w:r>
      <w:r w:rsidRPr="00F040F8">
        <w:rPr>
          <w:rFonts w:cs="Times New Roman"/>
          <w:noProof/>
        </w:rPr>
        <w:tab/>
        <w:t>Aapro M. et al. Клинические рекомендации по лечению анемии у больных злокачественными новообразованиями. М.: Ассоциация онкологов России, 2014.</w:t>
      </w:r>
    </w:p>
    <w:p w14:paraId="74B5D830"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65.</w:t>
      </w:r>
      <w:r w:rsidRPr="00F040F8">
        <w:rPr>
          <w:rFonts w:cs="Times New Roman"/>
          <w:noProof/>
        </w:rPr>
        <w:tab/>
        <w:t>Орлова Р.В. et al. Практические рекомендации по лечению анемии при злокачественных новообразованиях // 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 2018. P. 494–501.</w:t>
      </w:r>
    </w:p>
    <w:p w14:paraId="7F338DC3"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66.</w:t>
      </w:r>
      <w:r w:rsidRPr="00F040F8">
        <w:rPr>
          <w:rFonts w:cs="Times New Roman"/>
          <w:noProof/>
        </w:rPr>
        <w:tab/>
        <w:t>Владимирова Л.Ю. et al. Практические рекомендации по профилактике и лечению тошноты и рвоты у онкологических больных // 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 2018. P. 502–511.</w:t>
      </w:r>
    </w:p>
    <w:p w14:paraId="77D27A6E"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67.</w:t>
      </w:r>
      <w:r w:rsidRPr="00F040F8">
        <w:rPr>
          <w:rFonts w:cs="Times New Roman"/>
          <w:noProof/>
        </w:rPr>
        <w:tab/>
        <w:t>Константинова Т.С., Клясова Г.А., Капланов К.Д. Лечение и профилактика инфекционных осложнений у пациентов с лимфопролиферативными заболеваниями. // Российские клинические рекомендации по диагностике и лечению злокачественных лимфопролиферативных заболеваний; под ред. И.В. Поддубной, В.Г. Савченко. 2018. P. 289–311.</w:t>
      </w:r>
    </w:p>
    <w:p w14:paraId="60AFD342"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68.</w:t>
      </w:r>
      <w:r w:rsidRPr="00F040F8">
        <w:rPr>
          <w:rFonts w:cs="Times New Roman"/>
          <w:noProof/>
        </w:rPr>
        <w:tab/>
        <w:t>Srivastava S., Wood P. Secondary antibody deficiency-causes and approach to diagnosis // Clin. Med. J. R. Coll. Physicians London. 2016.</w:t>
      </w:r>
    </w:p>
    <w:p w14:paraId="54486A36"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69.</w:t>
      </w:r>
      <w:r w:rsidRPr="00F040F8">
        <w:rPr>
          <w:rFonts w:cs="Times New Roman"/>
          <w:noProof/>
        </w:rPr>
        <w:tab/>
        <w:t>Traila A. et al. Fertility preservation in hodgkin’s lymphoma patients that undergo targeted molecular therapies: An important step forward from the chemotherapy era // Cancer Management and Research. Dove Medical Press Ltd, 2018. Vol. 10. P. 1517–1526.</w:t>
      </w:r>
    </w:p>
    <w:p w14:paraId="791F6E48"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70.</w:t>
      </w:r>
      <w:r w:rsidRPr="00F040F8">
        <w:rPr>
          <w:rFonts w:cs="Times New Roman"/>
          <w:noProof/>
        </w:rPr>
        <w:tab/>
        <w:t>Meirow D., Nugent D. The effects of radiotherapy and chemotherapy on female reproduction // Hum. Reprod. Update. 2001. Vol. 7, № 6. P. 535–543.</w:t>
      </w:r>
    </w:p>
    <w:p w14:paraId="45D6CA19"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71.</w:t>
      </w:r>
      <w:r w:rsidRPr="00F040F8">
        <w:rPr>
          <w:rFonts w:cs="Times New Roman"/>
          <w:noProof/>
        </w:rPr>
        <w:tab/>
        <w:t>Абузарова Г.Р. et al. Обезболивание взрослых и детей при оказании медицинской помощи. Методические рекомендации. ФГБОУ ВО РНИМУ им. Н.И. Пирогова Минздрава России., 2016. 94 p.</w:t>
      </w:r>
    </w:p>
    <w:p w14:paraId="5C140A5B"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72.</w:t>
      </w:r>
      <w:r w:rsidRPr="00F040F8">
        <w:rPr>
          <w:rFonts w:cs="Times New Roman"/>
          <w:noProof/>
        </w:rPr>
        <w:tab/>
        <w:t>Абузарова Г.Р. Лечение болевого синдрома у онкологических больных // Российские клинические рекомендации по диагностике и лечению злокачественных лимфопролиферативных заболеваний; под ред. И.В. Поддубной, В.Г. Савченко. 2018. P. 278–288.</w:t>
      </w:r>
    </w:p>
    <w:p w14:paraId="07DE26C5"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73.</w:t>
      </w:r>
      <w:r w:rsidRPr="00F040F8">
        <w:rPr>
          <w:rFonts w:cs="Times New Roman"/>
          <w:noProof/>
        </w:rPr>
        <w:tab/>
        <w:t>Paul K.L. Rehabilitation and exercise considerations in hematologic malignancies. // Am. J. Phys. Med. Rehabil. 2011. Vol. 90, № 5 Suppl 1. P. S88-94.</w:t>
      </w:r>
    </w:p>
    <w:p w14:paraId="708201A5"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74.</w:t>
      </w:r>
      <w:r w:rsidRPr="00F040F8">
        <w:rPr>
          <w:rFonts w:cs="Times New Roman"/>
          <w:noProof/>
        </w:rPr>
        <w:tab/>
        <w:t>Navari R.M., Aapro M. Antiemetic Prophylaxis for Chemotherapy-Induced Nausea and Vomiting // N. Engl. J. Med. New England Journal of Medicine (NEJM/MMS), 2016. Vol. 374, № 14. P. 1356–1367.</w:t>
      </w:r>
    </w:p>
    <w:p w14:paraId="46860BFB"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75.</w:t>
      </w:r>
      <w:r w:rsidRPr="00F040F8">
        <w:rPr>
          <w:rFonts w:cs="Times New Roman"/>
          <w:noProof/>
        </w:rPr>
        <w:tab/>
        <w:t>Ettinger D.S. et al. Antiemesis. NCCN Clinical Practice Guidelines in Oncology (NCCN Guidelines). Version 1.2021. 2020.</w:t>
      </w:r>
    </w:p>
    <w:p w14:paraId="1F866B89"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76.</w:t>
      </w:r>
      <w:r w:rsidRPr="00F040F8">
        <w:rPr>
          <w:rFonts w:cs="Times New Roman"/>
          <w:noProof/>
        </w:rPr>
        <w:tab/>
        <w:t>Roila F. et al. Prevention of chemotherapy- and radiotherapy-induced emesis: Results of the 2004 Perugia International Antiemetic Consensus Conference // Annals of Oncology. Ann Oncol, 2006. Vol. 17, № 1. P. 20–28.</w:t>
      </w:r>
    </w:p>
    <w:p w14:paraId="02D827F6"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77.</w:t>
      </w:r>
      <w:r w:rsidRPr="00F040F8">
        <w:rPr>
          <w:rFonts w:cs="Times New Roman"/>
          <w:noProof/>
        </w:rPr>
        <w:tab/>
        <w:t>Basch E. et al. Antiemetics: American Society of Clinical Oncology clinical practice guideline update // J. Clin. Oncol. J Clin Oncol, 2011. Vol. 29, № 31. P. 4189–4198.</w:t>
      </w:r>
    </w:p>
    <w:p w14:paraId="3981BCE5"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78.</w:t>
      </w:r>
      <w:r w:rsidRPr="00F040F8">
        <w:rPr>
          <w:rFonts w:cs="Times New Roman"/>
          <w:noProof/>
        </w:rPr>
        <w:tab/>
        <w:t>Hesketh P.J. et al. Antiemetics: American Society of Clinical Oncology clinical practice guideline update // Journal of Clinical Oncology. American Society of Clinical Oncology, 2017. Vol. 35, № 28. P. 3240–3261.</w:t>
      </w:r>
    </w:p>
    <w:p w14:paraId="41385D55"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79.</w:t>
      </w:r>
      <w:r w:rsidRPr="00F040F8">
        <w:rPr>
          <w:rFonts w:cs="Times New Roman"/>
          <w:noProof/>
        </w:rPr>
        <w:tab/>
        <w:t>Razvi Y. et al. ASCO, NCCN, MASCC/ESMO: a comparison of antiemetic guidelines for the treatment of chemotherapy-induced nausea and vomiting in adult patients // Supportive Care in Cancer. Springer Verlag, 2019. Vol. 27, № 1. P. 87–95.</w:t>
      </w:r>
    </w:p>
    <w:p w14:paraId="2A6162F1"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80.</w:t>
      </w:r>
      <w:r w:rsidRPr="00F040F8">
        <w:rPr>
          <w:rFonts w:cs="Times New Roman"/>
          <w:noProof/>
        </w:rPr>
        <w:tab/>
        <w:t>Narum S., Westergren T., Klemp M. Corticosteroids and risk of gastrointestinal bleeding: A systematic review and meta-analysis // BMJ Open. BMJ Publishing Group, 2014. Vol. 4, № 5.</w:t>
      </w:r>
    </w:p>
    <w:p w14:paraId="751D81F4"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81.</w:t>
      </w:r>
      <w:r w:rsidRPr="00F040F8">
        <w:rPr>
          <w:rFonts w:cs="Times New Roman"/>
          <w:noProof/>
        </w:rPr>
        <w:tab/>
        <w:t>Conn H.O., Poynard T. Corticosteroids and peptic ulcer: meta-analysis of adverse events during steroid therapy. // J. Intern. Med. J Intern Med, 1994. Vol. 236, № 6. P. 619–632.</w:t>
      </w:r>
    </w:p>
    <w:p w14:paraId="080F55A5"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82.</w:t>
      </w:r>
      <w:r w:rsidRPr="00F040F8">
        <w:rPr>
          <w:rFonts w:cs="Times New Roman"/>
          <w:noProof/>
        </w:rPr>
        <w:tab/>
        <w:t>Burget D.W., Chiverton S.G., Hunt R.H. Is there an optimal degree of acid suppression for healing of duodenal ulcers? A model of the relationship between ulcer healing and acid suppression // Gastroenterology. Gastroenterology, 1990. Vol. 99, № 2. P. 345–351.</w:t>
      </w:r>
    </w:p>
    <w:p w14:paraId="4F5552EA"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83.</w:t>
      </w:r>
      <w:r w:rsidRPr="00F040F8">
        <w:rPr>
          <w:rFonts w:cs="Times New Roman"/>
          <w:noProof/>
        </w:rPr>
        <w:tab/>
        <w:t>Ивашкин В.Т. et al. 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 // Российский журнал гастроэнтерологии, гепатологии, колопроктологии. 2020. Vol. 30, № 1. P. 49–70.</w:t>
      </w:r>
    </w:p>
    <w:p w14:paraId="175AA8C9"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84.</w:t>
      </w:r>
      <w:r w:rsidRPr="00F040F8">
        <w:rPr>
          <w:rFonts w:cs="Times New Roman"/>
          <w:noProof/>
        </w:rPr>
        <w:tab/>
        <w:t>Scally B. et al. Effects of gastroprotectant drugs for the prevention and treatment of peptic ulcer disease and its complications: a meta-analysis of randomised trials // Lancet Gastroenterol. Hepatol. Elsevier Ltd, 2018. Vol. 3, № 4. P. 231–241.</w:t>
      </w:r>
    </w:p>
    <w:p w14:paraId="0C09EF54"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85.</w:t>
      </w:r>
      <w:r w:rsidRPr="00F040F8">
        <w:rPr>
          <w:rFonts w:cs="Times New Roman"/>
          <w:noProof/>
        </w:rPr>
        <w:tab/>
        <w:t>Hu Z.-H. et al. Efficacy of proton pump inhibitors for patients with duodenal ulcers: A pairwise and network meta-analysis of randomized controlled trials // Saudi J. Gastroenterol. Medknow Publications, 2017. Vol. 23, № 1. P. 11.</w:t>
      </w:r>
    </w:p>
    <w:p w14:paraId="742F27DA"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86.</w:t>
      </w:r>
      <w:r w:rsidRPr="00F040F8">
        <w:rPr>
          <w:rFonts w:cs="Times New Roman"/>
          <w:noProof/>
        </w:rPr>
        <w:tab/>
        <w:t>Poynard T., Lemaire M., Agostini H. Meta-analysis of randomized clinical trials comparing lansoprazole with ranitidine or famotidine in the treatment of acute duodenal ulcer // Eur. J. Gastroenterol. Hepatol. 1995. Vol. 7, № 7. P. 661–665.</w:t>
      </w:r>
    </w:p>
    <w:p w14:paraId="5018DB31"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87.</w:t>
      </w:r>
      <w:r w:rsidRPr="00F040F8">
        <w:rPr>
          <w:rFonts w:cs="Times New Roman"/>
          <w:noProof/>
        </w:rPr>
        <w:tab/>
        <w:t>Annibali O. et al. Incidence of venous thromboembolism and use of anticoagulation in hematological malignancies: Critical review of the literature // Critical Reviews in Oncology/Hematology. Elsevier Ireland Ltd, 2018. Vol. 124. P. 41–50.</w:t>
      </w:r>
    </w:p>
    <w:p w14:paraId="649DD086"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88.</w:t>
      </w:r>
      <w:r w:rsidRPr="00F040F8">
        <w:rPr>
          <w:rFonts w:cs="Times New Roman"/>
          <w:noProof/>
        </w:rPr>
        <w:tab/>
        <w:t>Falanga A., Marchetti M., Russo L. Venous thromboembolism in the hematologic malignancies // Current Opinion in Oncology. Curr Opin Oncol, 2012. Vol. 24, № 6. P. 702–710.</w:t>
      </w:r>
    </w:p>
    <w:p w14:paraId="155589D6"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89.</w:t>
      </w:r>
      <w:r w:rsidRPr="00F040F8">
        <w:rPr>
          <w:rFonts w:cs="Times New Roman"/>
          <w:noProof/>
        </w:rPr>
        <w:tab/>
        <w:t>Воробьев А.И. et al. Гиперкоагуляционный синдром: классификация, патогенез, диагностика, терапия // Гематология и трансфузиология. 2016. Vol. 61, № 3. P. 116–122.</w:t>
      </w:r>
    </w:p>
    <w:p w14:paraId="0D959277"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90.</w:t>
      </w:r>
      <w:r w:rsidRPr="00F040F8">
        <w:rPr>
          <w:rFonts w:cs="Times New Roman"/>
          <w:noProof/>
        </w:rPr>
        <w:tab/>
        <w:t>Пантелеев М.А. et al. Практическая коагулология. 2010. 192 p.</w:t>
      </w:r>
    </w:p>
    <w:p w14:paraId="3E2089CA"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91.</w:t>
      </w:r>
      <w:r w:rsidRPr="00F040F8">
        <w:rPr>
          <w:rFonts w:cs="Times New Roman"/>
          <w:noProof/>
        </w:rPr>
        <w:tab/>
        <w:t>Greenberg C.S. The role of D-dimer testing in clinical hematology and oncology // Clin. Adv. Hematol. Oncol. 2017. Vol. 15, № 8. P. 580–583.</w:t>
      </w:r>
    </w:p>
    <w:p w14:paraId="0152EAD2"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92.</w:t>
      </w:r>
      <w:r w:rsidRPr="00F040F8">
        <w:rPr>
          <w:rFonts w:cs="Times New Roman"/>
          <w:noProof/>
        </w:rPr>
        <w:tab/>
        <w:t>Weitz I.C. et al. Chemotherapy-induced activation of hemostasis: effect of a low molecular weight heparin (dalteparin sodium) on plasma markers of hemostatic activation // Thromb. Haemost. 2002. Vol. 88, № 2. P. 213–220.</w:t>
      </w:r>
    </w:p>
    <w:p w14:paraId="650724FF"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93.</w:t>
      </w:r>
      <w:r w:rsidRPr="00F040F8">
        <w:rPr>
          <w:rFonts w:cs="Times New Roman"/>
          <w:noProof/>
        </w:rPr>
        <w:tab/>
        <w:t>Sharifi M. et al. New oral anticoagulants in the treatment of heparin- Induced thrombocytopenia // Thromb. Res. Elsevier Ltd, 2015. Vol. 135, № 4. P. 607–609.</w:t>
      </w:r>
    </w:p>
    <w:p w14:paraId="5E233901"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94.</w:t>
      </w:r>
      <w:r w:rsidRPr="00F040F8">
        <w:rPr>
          <w:rFonts w:cs="Times New Roman"/>
          <w:noProof/>
        </w:rPr>
        <w:tab/>
        <w:t>Sanfilippo K.M. et al. Incidence of venous thromboembolism in patients with non-Hodgkin lymphoma // Thromb. Res. Elsevier Ltd, 2016. Vol. 143. P. 86–90.</w:t>
      </w:r>
    </w:p>
    <w:p w14:paraId="084ED606"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95.</w:t>
      </w:r>
      <w:r w:rsidRPr="00F040F8">
        <w:rPr>
          <w:rFonts w:cs="Times New Roman"/>
          <w:noProof/>
        </w:rPr>
        <w:tab/>
        <w:t>Park L.C. et al. Incidence, risk factors and clinical features of venous thromboembolism in newly diagnosed lymphoma patients: Results from a prospective cohort study with Asian population // Thromb. Res. Elsevier Ltd, 2012. Vol. 130, № 3. P. e6.</w:t>
      </w:r>
    </w:p>
    <w:p w14:paraId="537564EB"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96.</w:t>
      </w:r>
      <w:r w:rsidRPr="00F040F8">
        <w:rPr>
          <w:rFonts w:cs="Times New Roman"/>
          <w:noProof/>
        </w:rPr>
        <w:tab/>
        <w:t>Мамонов В.Е. Неотложная нейрохирургия внутричерепных кровоизлияний у пациентов гематологического стационара // Гематология и трансфузиология. 2020. Vol. 65, № S1. P. 174–175.</w:t>
      </w:r>
    </w:p>
    <w:p w14:paraId="59AD62D0"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97.</w:t>
      </w:r>
      <w:r w:rsidRPr="00F040F8">
        <w:rPr>
          <w:rFonts w:cs="Times New Roman"/>
          <w:noProof/>
        </w:rPr>
        <w:tab/>
        <w:t>Охмат В.А. et al. Спектр и этиология инфекционных осложнений у больных острыми миелоидными лейкозами на этапах индукции и консолидации ремиссии // Гематология и трансфузиология. 2017. Vol. 62, № 1. P. 9–15.</w:t>
      </w:r>
    </w:p>
    <w:p w14:paraId="6BB49E6D"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98.</w:t>
      </w:r>
      <w:r w:rsidRPr="00F040F8">
        <w:rPr>
          <w:rFonts w:cs="Times New Roman"/>
          <w:noProof/>
        </w:rPr>
        <w:tab/>
        <w:t>Охмат В.А. et al. Инфекционные осложнения у взрослых больных острыми лимфобластными лейкозами на разных этапах химиотерапии по протоколу ОЛЛ-2009. // Онкогематология. 2017. Vol. 12, № 3. P. 31–40.</w:t>
      </w:r>
    </w:p>
    <w:p w14:paraId="0B2EA5C6"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99.</w:t>
      </w:r>
      <w:r w:rsidRPr="00F040F8">
        <w:rPr>
          <w:rFonts w:cs="Times New Roman"/>
          <w:noProof/>
        </w:rPr>
        <w:tab/>
        <w:t>Клясова Г.А. et al. Возбудители сепсиса у иммунокомпрометированных больных: структура и проблемы антибиотикорезистентности (результаты многоцентрового исследования) // Гематология и трансфузиология. 2007. Vol. 52, № 1. P. 11–18.</w:t>
      </w:r>
    </w:p>
    <w:p w14:paraId="179A5F3E"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100.</w:t>
      </w:r>
      <w:r w:rsidRPr="00F040F8">
        <w:rPr>
          <w:rFonts w:cs="Times New Roman"/>
          <w:noProof/>
        </w:rPr>
        <w:tab/>
        <w:t>Клясова Г.А., Охмат В.А. Антимикробная терапия // Алгоритмы диагностики и протоколы лечения заболеваний системы крови. Под редакцией Савченко В.Г. Москва: Практика, 2018. P. 1067–1114.</w:t>
      </w:r>
    </w:p>
    <w:p w14:paraId="18449DD9"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101.</w:t>
      </w:r>
      <w:r w:rsidRPr="00F040F8">
        <w:rPr>
          <w:rFonts w:cs="Times New Roman"/>
          <w:noProof/>
        </w:rPr>
        <w:tab/>
        <w:t>Maertens J. et al. European guidelines for antifungal management in leukemia and hematopoietic stem cell transplant recipients: Summary of the ECIL 32009 update // Bone Marrow Transplant. Nature Publishing Group, 2011. Vol. 46, № 5. P. 709–718.</w:t>
      </w:r>
    </w:p>
    <w:p w14:paraId="1B685CE2"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102.</w:t>
      </w:r>
      <w:r w:rsidRPr="00F040F8">
        <w:rPr>
          <w:rFonts w:cs="Times New Roman"/>
          <w:noProof/>
        </w:rPr>
        <w:tab/>
        <w:t>Kollef M.H. et al. Ceftolozane–tazobactam versus meropenem for treatment of nosocomial pneumonia (ASPECT-NP): a randomised, controlled, double-blind, phase 3, non-inferiority trial // Lancet Infect. Dis. Lancet Publishing Group, 2019. Vol. 19, № 12. P. 1299–1311.</w:t>
      </w:r>
    </w:p>
    <w:p w14:paraId="0DC015C8"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103.</w:t>
      </w:r>
      <w:r w:rsidRPr="00F040F8">
        <w:rPr>
          <w:rFonts w:cs="Times New Roman"/>
          <w:noProof/>
        </w:rPr>
        <w:tab/>
        <w:t>Averbuch D. et al. Targeted therapy against multi-resistant bacteria in leukemic and hematopoietic stem cell transplant recipients: Guidelines of the 4th European conference on Infections in Leukemia (ECIL-4, 2011) // Haematologica. Ferrata Storti Foundation, 2013. Vol. 98, № 12. P. 1836–1847.</w:t>
      </w:r>
    </w:p>
    <w:p w14:paraId="1D105EAB"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104.</w:t>
      </w:r>
      <w:r w:rsidRPr="00F040F8">
        <w:rPr>
          <w:rFonts w:cs="Times New Roman"/>
          <w:noProof/>
        </w:rPr>
        <w:tab/>
        <w:t>Debast S.B. et al. European society of clinical microbiology and infectious diseases: Update of the treatment guidance document for Clostridium difficile infection // Clin. Microbiol. Infect. Blackwell Publishing Ltd, 2014. Vol. 20, № S2. P. 1–26.</w:t>
      </w:r>
    </w:p>
    <w:p w14:paraId="180C84C4"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105.</w:t>
      </w:r>
      <w:r w:rsidRPr="00F040F8">
        <w:rPr>
          <w:rFonts w:cs="Times New Roman"/>
          <w:noProof/>
        </w:rPr>
        <w:tab/>
        <w:t>Styczynski J. et al. Management of HSV, VZV and EBV infections in patients with hematological malignancies and after SCT: Guidelines from the Second European Conference on Infections in Leukemia // Bone Marrow Transplant. Bone Marrow Transplant, 2009. Vol. 43, № 10. P. 757–770.</w:t>
      </w:r>
    </w:p>
    <w:p w14:paraId="334E00FC"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106.</w:t>
      </w:r>
      <w:r w:rsidRPr="00F040F8">
        <w:rPr>
          <w:rFonts w:cs="Times New Roman"/>
          <w:noProof/>
        </w:rPr>
        <w:tab/>
        <w:t>Ljungman P. et al. Management of CMV, HHV-6, HHV-7 and Kaposi-sarcoma herpesvirus (HHV-8) infections in patients with hematological malignancies and after SCT // Bone Marrow Transplant. Bone Marrow Transplant, 2008. Vol. 42, № 4. P. 227–240.</w:t>
      </w:r>
    </w:p>
    <w:p w14:paraId="52889CB6"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107.</w:t>
      </w:r>
      <w:r w:rsidRPr="00F040F8">
        <w:rPr>
          <w:rFonts w:cs="Times New Roman"/>
          <w:noProof/>
        </w:rPr>
        <w:tab/>
        <w:t>Arendrup M.C. et al. ESCMID and ECMM joint clinical guidelines for the diagnosis and management of rare invasive yeast infections // Clin. Microbiol. Infect. Blackwell Publishing Ltd, 2014. Vol. 20, № S3. P. 76–98.</w:t>
      </w:r>
    </w:p>
    <w:p w14:paraId="5DF0D1CD"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108.</w:t>
      </w:r>
      <w:r w:rsidRPr="00F040F8">
        <w:rPr>
          <w:rFonts w:cs="Times New Roman"/>
          <w:noProof/>
        </w:rPr>
        <w:tab/>
        <w:t>Tissot F. et al. ECIL-6 guidelines for the treatment of invasive candidiasis, aspergillosis and mucormycosis in leukemia and hematopoietic stem cell transplant patients // Haematologica. Ferrata Storti Foundation, 2017. Vol. 102, № 3. P. 433–444.</w:t>
      </w:r>
    </w:p>
    <w:p w14:paraId="7AAD7D96"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109.</w:t>
      </w:r>
      <w:r w:rsidRPr="00F040F8">
        <w:rPr>
          <w:rFonts w:cs="Times New Roman"/>
          <w:noProof/>
        </w:rPr>
        <w:tab/>
        <w:t>Мальчикова А.О., Клясова Г.А. Формирование биопленок у изолятов Candida spp, выделенных из гемокультуры от больных с опухолями системы крови // Клиническая микробиология и антимикробная химиотерапия. 2018. Vol. 20, № 2. P. 126–130.</w:t>
      </w:r>
    </w:p>
    <w:p w14:paraId="6CB7D4B5"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110.</w:t>
      </w:r>
      <w:r w:rsidRPr="00F040F8">
        <w:rPr>
          <w:rFonts w:cs="Times New Roman"/>
          <w:noProof/>
        </w:rPr>
        <w:tab/>
        <w:t>Ullmann A.J. et al. Diagnosis and management of Aspergillus diseases: executive summary of the 2017 ESCMID-ECMM-ERS guideline // Clin. Microbiol. Infect. Elsevier B.V., 2018. Vol. 24. P. e1–e38.</w:t>
      </w:r>
    </w:p>
    <w:p w14:paraId="63680F46"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111.</w:t>
      </w:r>
      <w:r w:rsidRPr="00F040F8">
        <w:rPr>
          <w:rFonts w:cs="Times New Roman"/>
          <w:noProof/>
        </w:rPr>
        <w:tab/>
        <w:t>Cornely O.A. et al. Global guideline for the diagnosis and management of mucormycosis: an initiative of the European Confederation of Medical Mycology in cooperation with the Mycoses Study Group Education and Research Consortium // The Lancet Infectious Diseases. Lancet Publishing Group, 2019. Vol. 19, № 12. P. e405–e421.</w:t>
      </w:r>
    </w:p>
    <w:p w14:paraId="2A1EE372"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112.</w:t>
      </w:r>
      <w:r w:rsidRPr="00F040F8">
        <w:rPr>
          <w:rFonts w:cs="Times New Roman"/>
          <w:noProof/>
        </w:rPr>
        <w:tab/>
        <w:t>Tortorano A.M. et al. ESCMID and ECMM joint guidelines on diagnosis and management of hyalohyphomycosis: Fusarium spp., Scedosporium spp. and others // Clin. Microbiol. Infect. Blackwell Publishing Ltd, 2014. Vol. 20, № S3. P. 27–46.</w:t>
      </w:r>
    </w:p>
    <w:p w14:paraId="7E085F48"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113.</w:t>
      </w:r>
      <w:r w:rsidRPr="00F040F8">
        <w:rPr>
          <w:rFonts w:cs="Times New Roman"/>
          <w:noProof/>
        </w:rPr>
        <w:tab/>
        <w:t>Maschmeyer G. et al. ECIL guidelines for treatment of Pneumocystis jirovecii pneumonia in non-HIV-infected haematology patients // J. Antimicrob. Chemother. J Antimicrob Chemother, 2016. Vol. 71, № 9. P. 2405–2413.</w:t>
      </w:r>
    </w:p>
    <w:p w14:paraId="223C4951"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114.</w:t>
      </w:r>
      <w:r w:rsidRPr="00F040F8">
        <w:rPr>
          <w:rFonts w:cs="Times New Roman"/>
          <w:noProof/>
        </w:rPr>
        <w:tab/>
        <w:t>Singer M. et al. The third international consensus definitions for sepsis and septic shock (sepsis-3) // JAMA - Journal of the American Medical Association. American Medical Association, 2016. Vol. 315, № 8. P. 801–810.</w:t>
      </w:r>
    </w:p>
    <w:p w14:paraId="7DD55B26"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115.</w:t>
      </w:r>
      <w:r w:rsidRPr="00F040F8">
        <w:rPr>
          <w:rFonts w:cs="Times New Roman"/>
          <w:noProof/>
        </w:rPr>
        <w:tab/>
        <w:t>Джумабаева Б.Т. et al. Клинико-лабораторные и морфологические особенности поражения почек при лимфопролиферативных заболеваниях // Онкогематология. 2017. Vol. 7, № 1. P. 44–54.</w:t>
      </w:r>
    </w:p>
    <w:p w14:paraId="7D16BFE1"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116.</w:t>
      </w:r>
      <w:r w:rsidRPr="00F040F8">
        <w:rPr>
          <w:rFonts w:cs="Times New Roman"/>
          <w:noProof/>
        </w:rPr>
        <w:tab/>
        <w:t>Рехтина И.Г. et al. Морфологические и иммунохимические особенности нефропатий при множественной миеломе с тяжелой почечной недостаточностью // Терапевтический архив. 2013. Vol. 85, № 3. P. 80–85.</w:t>
      </w:r>
    </w:p>
    <w:p w14:paraId="6CCC1D56"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117.</w:t>
      </w:r>
      <w:r w:rsidRPr="00F040F8">
        <w:rPr>
          <w:rFonts w:cs="Times New Roman"/>
          <w:noProof/>
        </w:rPr>
        <w:tab/>
        <w:t>Ворожейкина Е.Г., Бирюкова Л.С., Савченко В.Г. Клинико-лабораторные проявления нефропатий у больных острыми лейкозами // Гематология и трансфузиология. 2011. Vol. 56, № 3. P. 24–27.</w:t>
      </w:r>
    </w:p>
    <w:p w14:paraId="6D8E5D28"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118.</w:t>
      </w:r>
      <w:r w:rsidRPr="00F040F8">
        <w:rPr>
          <w:rFonts w:cs="Times New Roman"/>
          <w:noProof/>
        </w:rPr>
        <w:tab/>
        <w:t>Гендлин Г.Е. et al. Современный взгляд на кардиотоксичность химиотерапии онкологических заболеваний, включающей антрациклиновые антибиотики. // Российский кардиологический журнал. 2017. Vol. 143, № 3. P. 145–154.</w:t>
      </w:r>
    </w:p>
    <w:p w14:paraId="0998BD8C"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119.</w:t>
      </w:r>
      <w:r w:rsidRPr="00F040F8">
        <w:rPr>
          <w:rFonts w:cs="Times New Roman"/>
          <w:noProof/>
        </w:rPr>
        <w:tab/>
        <w:t>Васюк Ю.А. et al. Возможности современных эхокардиографических технологий в ранней диагностике кардиотоксического действия химиотерапевтических препаратов антрациклинового ряда у онкологических больных. // Кардиология. 2017. Vol. 57, № S4. P. 31–17.</w:t>
      </w:r>
    </w:p>
    <w:p w14:paraId="43AC5AA2"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120.</w:t>
      </w:r>
      <w:r w:rsidRPr="00F040F8">
        <w:rPr>
          <w:rFonts w:cs="Times New Roman"/>
          <w:noProof/>
        </w:rPr>
        <w:tab/>
        <w:t>Zamorano J.L. et al. 2016 ESC Position Paper on cancer treatments and cardiovascular toxicity developed under the auspices of the ESC Committee for Practice Guidelines // European Heart Journal. Oxford University Press, 2016. Vol. 37, № 36. P. 2768–2801.</w:t>
      </w:r>
    </w:p>
    <w:p w14:paraId="461DCA39"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121.</w:t>
      </w:r>
      <w:r w:rsidRPr="00F040F8">
        <w:rPr>
          <w:rFonts w:cs="Times New Roman"/>
          <w:noProof/>
        </w:rPr>
        <w:tab/>
        <w:t>Larsen C.M., Mulvagh S.L. Cardio-oncology: What you need to know now for clinical practice and echocardiography // Echo Research and Practice. BioScientifica Ltd., 2017. Vol. 4, № 1. P. R33–R41.</w:t>
      </w:r>
    </w:p>
    <w:p w14:paraId="7FE3D095"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122.</w:t>
      </w:r>
      <w:r w:rsidRPr="00F040F8">
        <w:rPr>
          <w:rFonts w:cs="Times New Roman"/>
          <w:noProof/>
        </w:rPr>
        <w:tab/>
        <w:t>Prieto J.M. et al. Psychiatric morbidity and impact on hospital length of stay among hematologic cancer patients receiving stem-cell transplantation // J. Clin. Oncol. J Clin Oncol, 2002. Vol. 20, № 7. P. 1907–1917.</w:t>
      </w:r>
    </w:p>
    <w:p w14:paraId="61C5E933"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123.</w:t>
      </w:r>
      <w:r w:rsidRPr="00F040F8">
        <w:rPr>
          <w:rFonts w:cs="Times New Roman"/>
          <w:noProof/>
        </w:rPr>
        <w:tab/>
        <w:t>Mitchell A.J. et al. Prevalence of depression, anxiety, and adjustment disorder in oncological, haematological, and palliative-care settings: A meta-analysis of 94 interview-based studies // Lancet Oncol. Lancet Oncol, 2011. Vol. 12, № 2. P. 160–174.</w:t>
      </w:r>
    </w:p>
    <w:p w14:paraId="00903A26"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124.</w:t>
      </w:r>
      <w:r w:rsidRPr="00F040F8">
        <w:rPr>
          <w:rFonts w:cs="Times New Roman"/>
          <w:noProof/>
        </w:rPr>
        <w:tab/>
        <w:t>Hancock B.W. et al. ChIVPP alternating with PABIOE is superior to PABIOE alone in the initial treatment of advanced hodgkin’s disease: Results of a british national lymphoma investigation/central lymphoma group randomized controlled trial // Br. J. Cancer. 2001. Vol. 84, № 10. P. 1293–1300.</w:t>
      </w:r>
    </w:p>
    <w:p w14:paraId="38137782"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125.</w:t>
      </w:r>
      <w:r w:rsidRPr="00F040F8">
        <w:rPr>
          <w:rFonts w:cs="Times New Roman"/>
          <w:noProof/>
        </w:rPr>
        <w:tab/>
        <w:t>Pavlovsky S. et al. Randomized trial of CVPP for three versus six cycles in favorable- prognosis and CVPP versus AOPE plus radiotherapy in intermediate-prognosis untreated Hodgkin’s disease // J. Clin. Oncol. American Society of Clinical Oncology, 1997. Vol. 15, № 7. P. 2652–2658.</w:t>
      </w:r>
    </w:p>
    <w:p w14:paraId="5DDC7671"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126.</w:t>
      </w:r>
      <w:r w:rsidRPr="00F040F8">
        <w:rPr>
          <w:rFonts w:cs="Times New Roman"/>
          <w:noProof/>
        </w:rPr>
        <w:tab/>
        <w:t>Sieber M. et al. Treatment of advanced Hodgkin’s disease with COPP/ABV/IMEP versus COPP/ABVD and consolidating radiotherapy: final results of the German Hodgkin’s Lymphoma Study Group HD6 trial. // Ann. Oncol.  Off. J. Eur. Soc. Med. Oncol. 2004. Vol. 15, № 2. P. 276–282.</w:t>
      </w:r>
    </w:p>
    <w:p w14:paraId="6DB8A58A"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127.</w:t>
      </w:r>
      <w:r w:rsidRPr="00F040F8">
        <w:rPr>
          <w:rFonts w:cs="Times New Roman"/>
          <w:noProof/>
        </w:rPr>
        <w:tab/>
        <w:t>Zallio F. et al. Reduced intensity VEPEMB regimen compared with standard ABVD in elderly Hodgkin lymphoma patients: results from a randomized trial on behalf of the Fondazione Italiana Linfomi (FIL) // Br. J. Haematol. Blackwell Publishing Ltd, 2016. Vol. 172, № 6. P. 879–888.</w:t>
      </w:r>
    </w:p>
    <w:p w14:paraId="5FB38CD4"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128.</w:t>
      </w:r>
      <w:r w:rsidRPr="00F040F8">
        <w:rPr>
          <w:rFonts w:cs="Times New Roman"/>
          <w:noProof/>
        </w:rPr>
        <w:tab/>
        <w:t>Levis A. et al. Results of a low aggressivity chemotherapy regimen (CVP/CEB) in elderly Hodgkin’s disease patients. // Haematologica. Vol. 81, № 5. P. 450–456.</w:t>
      </w:r>
    </w:p>
    <w:p w14:paraId="062E77DD"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129.</w:t>
      </w:r>
      <w:r w:rsidRPr="00F040F8">
        <w:rPr>
          <w:rFonts w:cs="Times New Roman"/>
          <w:noProof/>
        </w:rPr>
        <w:tab/>
        <w:t>Santoro A. et al. Ifosfamide, gemcitabine, and vinorelbine: A new induction regimen for refractory and relapsed Hodgkin’s lymphoma // Haematologica. 2007. Vol. 92, № 1. P. 35–41.</w:t>
      </w:r>
    </w:p>
    <w:p w14:paraId="3FB8FA67"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130.</w:t>
      </w:r>
      <w:r w:rsidRPr="00F040F8">
        <w:rPr>
          <w:rFonts w:cs="Times New Roman"/>
          <w:noProof/>
        </w:rPr>
        <w:tab/>
        <w:t>Jeon S.Y. et al. The effect of the dexamethasone, cytarabine, and cisplatin (Dhap) regimen on stem cell mobilization and transplant outcomes of patients with non-hodgkin’s lymphoma who are candidates for up-front autologous stem cell transplantation // Korean J. Intern. Med. Korean Association of Internal Medicine, 2018. Vol. 33, № 6. P. 1169–1181.</w:t>
      </w:r>
    </w:p>
    <w:p w14:paraId="366B2633"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131.</w:t>
      </w:r>
      <w:r w:rsidRPr="00F040F8">
        <w:rPr>
          <w:rFonts w:cs="Times New Roman"/>
          <w:noProof/>
        </w:rPr>
        <w:tab/>
        <w:t>Ramzi M., Rezvani A., Dehghani M. GDP versus ESHAP Regimen in Relapsed and/or Refractory Hodgkin lymphoma: A Comparison Study. // Int. J. Hematol. stem cell Res. Tehran University of Medical Sciences, 2015. Vol. 9, № 1. P. 10–14.</w:t>
      </w:r>
    </w:p>
    <w:p w14:paraId="47A531C4"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132.</w:t>
      </w:r>
      <w:r w:rsidRPr="00F040F8">
        <w:rPr>
          <w:rFonts w:cs="Times New Roman"/>
          <w:noProof/>
        </w:rPr>
        <w:tab/>
        <w:t>Hu B. et al. Phase-I and randomized phase-II trial of panobinostat in combination with ICE (Ifosfamide, carboplatin, etoposide) in relapsed or refractory classical hodgkin lymphoma // Leuk. Lymphoma. Taylor and Francis Ltd, 2018. Vol. 59, № 4. P. 863–870.</w:t>
      </w:r>
    </w:p>
    <w:p w14:paraId="277311BC"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133.</w:t>
      </w:r>
      <w:r w:rsidRPr="00F040F8">
        <w:rPr>
          <w:rFonts w:cs="Times New Roman"/>
          <w:noProof/>
        </w:rPr>
        <w:tab/>
        <w:t>Gutierrez A. et al. Gemcitabine and oxaliplatinum: An effective regimen in patients with refractory and relapsing Hodgkin lymphoma // Onco. Targets. Ther. Dove Medical Press Ltd., 2014. Vol. 7. P. 2093–2100.</w:t>
      </w:r>
    </w:p>
    <w:p w14:paraId="047C117F"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134.</w:t>
      </w:r>
      <w:r w:rsidRPr="00F040F8">
        <w:rPr>
          <w:rFonts w:cs="Times New Roman"/>
          <w:noProof/>
        </w:rPr>
        <w:tab/>
        <w:t>Schellong G. et al. Salvage therapy of progressive and recurrent Hodgkin’s disease: Results from a multicenter study of the pediatric DAL/GPOH-HD Study Group // J. Clin. Oncol. 2005. Vol. 23, № 25. P. 6181–6189.</w:t>
      </w:r>
    </w:p>
    <w:p w14:paraId="26B7F175"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135.</w:t>
      </w:r>
      <w:r w:rsidRPr="00F040F8">
        <w:rPr>
          <w:rFonts w:cs="Times New Roman"/>
          <w:noProof/>
        </w:rPr>
        <w:tab/>
        <w:t>Long G. V. et al. Assessment of nivolumab exposure and clinical safety of 480 mg every 4 weeks flat-dosing schedule in patients with cancer // Ann. Oncol. Oxford University Press, 2018. Vol. 29, № 11. P. 2208–2213.</w:t>
      </w:r>
    </w:p>
    <w:p w14:paraId="79B6D171"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136.</w:t>
      </w:r>
      <w:r w:rsidRPr="00F040F8">
        <w:rPr>
          <w:rFonts w:cs="Times New Roman"/>
          <w:noProof/>
        </w:rPr>
        <w:tab/>
        <w:t>Singer S. et al. BEAM versus BUCYVP16 Conditioning before Autologous Hematopoietic Stem Cell Transplant in Patients with Hodgkin Lymphoma // Biol. Blood Marrow Transplant. Elsevier Inc., 2019. Vol. 25, № 6. P. 1107–1115.</w:t>
      </w:r>
    </w:p>
    <w:p w14:paraId="758DE83D"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137.</w:t>
      </w:r>
      <w:r w:rsidRPr="00F040F8">
        <w:rPr>
          <w:rFonts w:cs="Times New Roman"/>
          <w:noProof/>
        </w:rPr>
        <w:tab/>
        <w:t>Haanen J.B.A.G. et al. Management of toxicities from immunotherapy: ESMO Clinical Practice Guidelines for diagnosis, treatment and follow-up // Ann. Oncol. 2018. Vol. 29, № Supp. 4. P. iv264–iv266.</w:t>
      </w:r>
    </w:p>
    <w:p w14:paraId="601366AB"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138.</w:t>
      </w:r>
      <w:r w:rsidRPr="00F040F8">
        <w:rPr>
          <w:rFonts w:cs="Times New Roman"/>
          <w:noProof/>
        </w:rPr>
        <w:tab/>
        <w:t>Armand P. et al. Programmed death-1 blockade with pembrolizumab in patients with classical hodgkin lymphoma after brentuximab vedotin failure // Journal of Clinical Oncology. 2016.</w:t>
      </w:r>
    </w:p>
    <w:p w14:paraId="6356875C"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139.</w:t>
      </w:r>
      <w:r w:rsidRPr="00F040F8">
        <w:rPr>
          <w:rFonts w:cs="Times New Roman"/>
          <w:noProof/>
        </w:rPr>
        <w:tab/>
        <w:t>Hua Q., Zhu Y., Liu H. Severe and fatal adverse events risk associated with rituximab addition to b-cell non-hodgkin’s lymphoma (B-NHL) chemotherapy: A meta-analysis // J. Chemother. 2015.</w:t>
      </w:r>
    </w:p>
    <w:p w14:paraId="0993BB14"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140.</w:t>
      </w:r>
      <w:r w:rsidRPr="00F040F8">
        <w:rPr>
          <w:rFonts w:cs="Times New Roman"/>
          <w:noProof/>
        </w:rPr>
        <w:tab/>
        <w:t>Young P. et al. Effect of a buffered crystalloid solution vs saline on acute kidney injury among patients in the intensive care unit: The SPLIT randomized clinical trial // JAMA - J. Am. Med. Assoc. American Medical Association, 2015. Vol. 314, № 16. P. 1701–1710.</w:t>
      </w:r>
    </w:p>
    <w:p w14:paraId="037C9BE7"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141.</w:t>
      </w:r>
      <w:r w:rsidRPr="00F040F8">
        <w:rPr>
          <w:rFonts w:cs="Times New Roman"/>
          <w:noProof/>
        </w:rPr>
        <w:tab/>
        <w:t>Hoorn E.J. Intravenous fluids: balancing solutions // Journal of Nephrology. Springer New York LLC, 2017. Vol. 30, № 4. P. 485–492.</w:t>
      </w:r>
    </w:p>
    <w:p w14:paraId="5E7591C8"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142.</w:t>
      </w:r>
      <w:r w:rsidRPr="00F040F8">
        <w:rPr>
          <w:rFonts w:cs="Times New Roman"/>
          <w:noProof/>
        </w:rPr>
        <w:tab/>
        <w:t>Криволапов Ю.А. Технические аспекты выполнения трепанобиопсий костного мозга. Клиническая онкогематология 2014; 7:290—295 // Клиническая онкогематология. 2014. Vol. 7. P. 290–295.</w:t>
      </w:r>
    </w:p>
    <w:p w14:paraId="5F668D95"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143.</w:t>
      </w:r>
      <w:r w:rsidRPr="00F040F8">
        <w:rPr>
          <w:rFonts w:cs="Times New Roman"/>
          <w:noProof/>
        </w:rPr>
        <w:tab/>
        <w:t>Wang J. et al. Diagnostic utility of bilateral bone marrow examination: Significance of morphologic and ancillary technique study in malignancy // Cancer. Cancer, 2002. Vol. 94, № 5. P. 1522–1531.</w:t>
      </w:r>
    </w:p>
    <w:p w14:paraId="7C52647E"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144.</w:t>
      </w:r>
      <w:r w:rsidRPr="00F040F8">
        <w:rPr>
          <w:rFonts w:cs="Times New Roman"/>
          <w:noProof/>
        </w:rPr>
        <w:tab/>
        <w:t>SPIRIN M., GALSTYAN G., DROKOV M. Central venous access in lymphoma patients (pts) with superior vena cava syndrome (SVCS) // INTENSIVE CARE Med. Exp. 2019. Vol. 7, № Suppl. 3:001341. P. 388–389.</w:t>
      </w:r>
    </w:p>
    <w:p w14:paraId="7FE62E08"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145.</w:t>
      </w:r>
      <w:r w:rsidRPr="00F040F8">
        <w:rPr>
          <w:rFonts w:cs="Times New Roman"/>
          <w:noProof/>
        </w:rPr>
        <w:tab/>
        <w:t>Pluschnig U. et al. Extravasation emergencies: state-of-the-art management and progress in clinical research. // Memo. Springer, 2016. Vol. 9, № 4. P. 226–230.</w:t>
      </w:r>
    </w:p>
    <w:p w14:paraId="3C80D747"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146.</w:t>
      </w:r>
      <w:r w:rsidRPr="00F040F8">
        <w:rPr>
          <w:rFonts w:cs="Times New Roman"/>
          <w:noProof/>
        </w:rPr>
        <w:tab/>
        <w:t>Zeidler K. et al. Optimal preprocedural platelet transfusion threshold for central venous catheter insertions in patients with thrombocytopenia. // Transfusion. 2011. Vol. 51, № 11. P. 2269–2276.</w:t>
      </w:r>
    </w:p>
    <w:p w14:paraId="35CF87B3"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147.</w:t>
      </w:r>
      <w:r w:rsidRPr="00F040F8">
        <w:rPr>
          <w:rFonts w:cs="Times New Roman"/>
          <w:noProof/>
        </w:rPr>
        <w:tab/>
        <w:t>Zerati A.E. et al. Totally implantable venous catheters : history , implantation technique and complications. // J Vasc Bras. 2017. Vol. 16, № 2. P. 128–139.</w:t>
      </w:r>
    </w:p>
    <w:p w14:paraId="7595ADC0"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148.</w:t>
      </w:r>
      <w:r w:rsidRPr="00F040F8">
        <w:rPr>
          <w:rFonts w:cs="Times New Roman"/>
          <w:noProof/>
        </w:rPr>
        <w:tab/>
        <w:t>Gow K.W., Tapper D., Hickman R.O. Between the lines: The 50th anniversary of long-term central venous catheters // Am. J. Surg. Elsevier Ltd, 2017. Vol. 213, № 5. P. 837–848.</w:t>
      </w:r>
    </w:p>
    <w:p w14:paraId="0A3782C8"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149.</w:t>
      </w:r>
      <w:r w:rsidRPr="00F040F8">
        <w:rPr>
          <w:rFonts w:cs="Times New Roman"/>
          <w:noProof/>
        </w:rPr>
        <w:tab/>
        <w:t>Yeral M. et al. Tunnelled central venous catheter-related problems in the early phase of haematopoietic stem cell transplantation and effects on transplant outcome. // Turkish J. Haematol.  Off. J. Turkish Soc. Haematol. Galenos Yayinevi, 2015. Vol. 32, № 1. P. 51–57.</w:t>
      </w:r>
    </w:p>
    <w:p w14:paraId="0EA0F904"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150.</w:t>
      </w:r>
      <w:r w:rsidRPr="00F040F8">
        <w:rPr>
          <w:rFonts w:cs="Times New Roman"/>
          <w:noProof/>
        </w:rPr>
        <w:tab/>
        <w:t>Maki D.G., Kluger D.M., Crnich C.J. The Risk of Bloodstream Infection in Adults With Different Intravascular Devices: A Systematic Review of 200 Published Prospective Studies // Mayo Clin. Proc. Elsevier, 2006. Vol. 81, № 9. P. 1159–1171.</w:t>
      </w:r>
    </w:p>
    <w:p w14:paraId="507DD76F"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151.</w:t>
      </w:r>
      <w:r w:rsidRPr="00F040F8">
        <w:rPr>
          <w:rFonts w:cs="Times New Roman"/>
          <w:noProof/>
        </w:rPr>
        <w:tab/>
        <w:t>Hamilton H. Central Venous Catheters / ed. Bodenham A.R. Oxford, UK: Wiley-Blackwell, 2009.</w:t>
      </w:r>
    </w:p>
    <w:p w14:paraId="06BE9405"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152.</w:t>
      </w:r>
      <w:r w:rsidRPr="00F040F8">
        <w:rPr>
          <w:rFonts w:cs="Times New Roman"/>
          <w:noProof/>
        </w:rPr>
        <w:tab/>
        <w:t>Biffi R. Introduction and Overview of PICC History // Peripherally Inserted Central Venous Catheters. Milano: Springer Milan, 2014. P. 1–6.</w:t>
      </w:r>
    </w:p>
    <w:p w14:paraId="58413D5C"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153.</w:t>
      </w:r>
      <w:r w:rsidRPr="00F040F8">
        <w:rPr>
          <w:rFonts w:cs="Times New Roman"/>
          <w:noProof/>
        </w:rPr>
        <w:tab/>
        <w:t>Linenberger M.L. Catheter-related thrombosis: risks, diagnosis, and management. // J. Natl. Compr. Canc. Netw. 2006. Vol. 4, № 9. P. 889–901.</w:t>
      </w:r>
    </w:p>
    <w:p w14:paraId="59DBDF71"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154.</w:t>
      </w:r>
      <w:r w:rsidRPr="00F040F8">
        <w:rPr>
          <w:rFonts w:cs="Times New Roman"/>
          <w:noProof/>
        </w:rPr>
        <w:tab/>
        <w:t>Lee A.Y.Y., Kamphuisen P.W. Epidemiology and prevention of catheter-related thrombosis in patients with cancer // J. Thromb. Haemost. 2012. № 10. P. 1491–1499.</w:t>
      </w:r>
    </w:p>
    <w:p w14:paraId="6317D6E7"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155.</w:t>
      </w:r>
      <w:r w:rsidRPr="00F040F8">
        <w:rPr>
          <w:rFonts w:cs="Times New Roman"/>
          <w:noProof/>
        </w:rPr>
        <w:tab/>
        <w:t>Цепенщинков Л.., Лядов В.К. Периферически имплантируемый центральный венозный катетер: обзор литераутры. // Клиническая онкогематология. 2014. Vol. 7, № 2. P. 220–228.</w:t>
      </w:r>
    </w:p>
    <w:p w14:paraId="249C487E"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156.</w:t>
      </w:r>
      <w:r w:rsidRPr="00F040F8">
        <w:rPr>
          <w:rFonts w:cs="Times New Roman"/>
          <w:noProof/>
        </w:rPr>
        <w:tab/>
        <w:t>Linder L.E. et al. Material thrombogenicity in central venous catheterization: a comparison between soft, antebrachial catheters of silicone elastomer and polyurethane. // JPEN. J. Parenter. Enteral Nutr. 1984. Vol. 8, № 4. P. 399–406.</w:t>
      </w:r>
    </w:p>
    <w:p w14:paraId="1A95C4D2"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157.</w:t>
      </w:r>
      <w:r w:rsidRPr="00F040F8">
        <w:rPr>
          <w:rFonts w:cs="Times New Roman"/>
          <w:noProof/>
        </w:rPr>
        <w:tab/>
        <w:t>Watters V.A., Grant J.P. Use of Electrocardiogram to Position Right Atrial Catheters During Surgery // Ann. Surg. Vol. 225, № 2. P. 165–171.</w:t>
      </w:r>
    </w:p>
    <w:p w14:paraId="7EAC64DB"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158.</w:t>
      </w:r>
      <w:r w:rsidRPr="00F040F8">
        <w:rPr>
          <w:rFonts w:cs="Times New Roman"/>
          <w:noProof/>
        </w:rPr>
        <w:tab/>
        <w:t>Taal M.W., Chesterton L.J., McIntyre C.W. Venography at insertion of tunnelled internal jugular vein dialysis catheters reveals significant occult stenosis // Nephrol. Dial. Transplant. Oxford University Press, 2004. Vol. 19, № 6. P. 1542–1545.</w:t>
      </w:r>
    </w:p>
    <w:p w14:paraId="36A62B15"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159.</w:t>
      </w:r>
      <w:r w:rsidRPr="00F040F8">
        <w:rPr>
          <w:rFonts w:cs="Times New Roman"/>
          <w:noProof/>
        </w:rPr>
        <w:tab/>
        <w:t>Lobato E.B. et al. Cross-sectional area of the right and left internal jugular veins. // J. Cardiothorac. Vasc. Anesth. 1999. Vol. 13, № 2. P. 136–138.</w:t>
      </w:r>
    </w:p>
    <w:p w14:paraId="1FCF927B"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160.</w:t>
      </w:r>
      <w:r w:rsidRPr="00F040F8">
        <w:rPr>
          <w:rFonts w:cs="Times New Roman"/>
          <w:noProof/>
        </w:rPr>
        <w:tab/>
        <w:t>Червонцева А.М. Повреждение сосудистого эндотелия в процессе лечения острых миелоидных лейкозов. 2008.</w:t>
      </w:r>
    </w:p>
    <w:p w14:paraId="793347F4"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161.</w:t>
      </w:r>
      <w:r w:rsidRPr="00F040F8">
        <w:rPr>
          <w:rFonts w:cs="Times New Roman"/>
          <w:noProof/>
        </w:rPr>
        <w:tab/>
        <w:t>Багирова Н.С. Инфекции, связанные с внутрисосудистыми устройствами: терминология, диагностика, профилактика и терапия // Злокачественные опухоли. 2014. № 3. P. 164–171.</w:t>
      </w:r>
    </w:p>
    <w:p w14:paraId="3F5C6296"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162.</w:t>
      </w:r>
      <w:r w:rsidRPr="00F040F8">
        <w:rPr>
          <w:rFonts w:cs="Times New Roman"/>
          <w:noProof/>
        </w:rPr>
        <w:tab/>
        <w:t>Bannon M.P., Heller S.F., Rivera M. Anatomic considerations for central venous cannulation. // Risk Manag. Healthc. Policy. Dove Press, 2011. Vol. 4. P. 27–39.</w:t>
      </w:r>
    </w:p>
    <w:p w14:paraId="563EF393"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163.</w:t>
      </w:r>
      <w:r w:rsidRPr="00F040F8">
        <w:rPr>
          <w:rFonts w:cs="Times New Roman"/>
          <w:noProof/>
        </w:rPr>
        <w:tab/>
        <w:t>Milling T.J. et al. Randomized, controlled clinical trial of point-of-care limited ultrasonography assistance of central venous cannulation: The Third Sonography Outcomes Assessment Program (SOAP-3) Trial* // Crit. Care Med. 2005. Vol. 33, № 8. P. 1764–1769.</w:t>
      </w:r>
    </w:p>
    <w:p w14:paraId="48133B7F"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164.</w:t>
      </w:r>
      <w:r w:rsidRPr="00F040F8">
        <w:rPr>
          <w:rFonts w:cs="Times New Roman"/>
          <w:noProof/>
        </w:rPr>
        <w:tab/>
        <w:t>Зозуля Н.И., Кумскова М.А. Протокол диагностики и лечения гемофилии. // Алгоритмы диагностики и протоколы лечения заболеваний системы крови. Том 1. Практика / ed. Савченко В.Г. Москва, 2018. P. 333–358.</w:t>
      </w:r>
    </w:p>
    <w:p w14:paraId="24DE62F6"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165.</w:t>
      </w:r>
      <w:r w:rsidRPr="00F040F8">
        <w:rPr>
          <w:rFonts w:cs="Times New Roman"/>
          <w:noProof/>
        </w:rPr>
        <w:tab/>
        <w:t>Галстян Г.М. НАРУШЕНИЯ ГЕМОСТАЗА, ОБУСЛОВЛЕННЫЕ ДЕФИЦИТОМ ВИТАМИН К-ЗАВИСИМЫХ ФАКТОРОВ СВЕРТЫВАНИЯ КРОВИ — ПАТОГЕНЕЗ, СПОСОБЫ КОРРЕКЦИИ И РЕКОМЕНДАЦИИ ПО ЛЕЧЕНИЮ. // Гематология и трансфузиология. 2012. Vol. 27, № 2. P. 7–21.</w:t>
      </w:r>
    </w:p>
    <w:p w14:paraId="02873975"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166.</w:t>
      </w:r>
      <w:r w:rsidRPr="00F040F8">
        <w:rPr>
          <w:rFonts w:cs="Times New Roman"/>
          <w:noProof/>
        </w:rPr>
        <w:tab/>
        <w:t>Welte K. et al. Purification and biochemical characterization of human pluripotent hematopoietic colony-stimulating factor // Proc. Natl. Acad. Sci. U. S. A. Proc Natl Acad Sci U S A, 1985. Vol. 82, № 5. P. 1526–1530.</w:t>
      </w:r>
    </w:p>
    <w:p w14:paraId="18B3F8ED"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167.</w:t>
      </w:r>
      <w:r w:rsidRPr="00F040F8">
        <w:rPr>
          <w:rFonts w:cs="Times New Roman"/>
          <w:noProof/>
        </w:rPr>
        <w:tab/>
        <w:t>Krause D.S. et al. CD34: Structure, biology, and clinical utility // Blood. American Society of Hematology, 1996. Vol. 87, № 1. P. 1–13.</w:t>
      </w:r>
    </w:p>
    <w:p w14:paraId="4B615126"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168.</w:t>
      </w:r>
      <w:r w:rsidRPr="00F040F8">
        <w:rPr>
          <w:rFonts w:cs="Times New Roman"/>
          <w:noProof/>
        </w:rPr>
        <w:tab/>
        <w:t>Giralt S. et al. Optimizing autologous stem cell mobilization strategies to improve patient outcomes: Consensus guidelines and recommendations // Biology of Blood and Marrow Transplantation. Elsevier, 2014. Vol. 20, № 3. P. 295–308.</w:t>
      </w:r>
    </w:p>
    <w:p w14:paraId="6F73005C"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169.</w:t>
      </w:r>
      <w:r w:rsidRPr="00F040F8">
        <w:rPr>
          <w:rFonts w:cs="Times New Roman"/>
          <w:noProof/>
        </w:rPr>
        <w:tab/>
        <w:t>Stiff P.J. et al. Transplanted CD34 + Cell Dose Is Associated with Long-Term Platelet Count Recovery following Autologous Peripheral Blood Stem Cell Transplant in Patients with Non-Hodgkin Lymphoma or Multiple Myeloma // Biol. Blood Marrow Transplant. Biol Blood Marrow Transplant, 2011. Vol. 17, № 8. P. 1146–1153.</w:t>
      </w:r>
    </w:p>
    <w:p w14:paraId="29E1B64B"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170.</w:t>
      </w:r>
      <w:r w:rsidRPr="00F040F8">
        <w:rPr>
          <w:rFonts w:cs="Times New Roman"/>
          <w:noProof/>
        </w:rPr>
        <w:tab/>
        <w:t>Passos-Coelho J.L. et al. Predictive factors for peripheral-blood progenitor-cell collections using a single large-volume leukapheresis after cyclophosphamide and granulocyte- macrophage colony-stimulating factor mobilization // J. Clin. Oncol. American Society of Clinical Oncology, 1995. Vol. 13, № 3. P. 705–714.</w:t>
      </w:r>
    </w:p>
    <w:p w14:paraId="531B323D"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171.</w:t>
      </w:r>
      <w:r w:rsidRPr="00F040F8">
        <w:rPr>
          <w:rFonts w:cs="Times New Roman"/>
          <w:noProof/>
        </w:rPr>
        <w:tab/>
        <w:t>Hohaus S. et al. Successful autografting following myeloablative conditioning therapy with blood stem cells mobilized by chemotherapy plus rhG-CSF. // Exp. Hematol. 1993. Vol. 21, № 4. P. 508–514.</w:t>
      </w:r>
    </w:p>
    <w:p w14:paraId="55632394"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172.</w:t>
      </w:r>
      <w:r w:rsidRPr="00F040F8">
        <w:rPr>
          <w:rFonts w:cs="Times New Roman"/>
          <w:noProof/>
        </w:rPr>
        <w:tab/>
        <w:t>Покровская О.С., Менделеева Л.П., Гальцева И.В., Варламова Е.Ю., Капланская И.Б., Воробьев И.А., Грецов Е.М., Калинин Н.Н., Варламова С.В., Клясова Г.А., Тихонова Л.Ю. С.В.Г. Мобилизация гемопоэтических клеток крови у больных миеломной болезнью // Проблемы гематологии и переливания. 2003. P. 55–56.</w:t>
      </w:r>
    </w:p>
    <w:p w14:paraId="5758C14D"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173.</w:t>
      </w:r>
      <w:r w:rsidRPr="00F040F8">
        <w:rPr>
          <w:rFonts w:cs="Times New Roman"/>
          <w:noProof/>
        </w:rPr>
        <w:tab/>
        <w:t>Olivieri A. et al. Proposed definition of “poor mobilizer” in lymphoma and multiple myeloma: An analytic hierarchy process by ad hoc working group Gruppo ItalianoTrapianto di Midollo Osseo // Bone Marrow Transplant. Bone Marrow Transplant, 2012. Vol. 47, № 3. P. 342–351.</w:t>
      </w:r>
    </w:p>
    <w:p w14:paraId="02FC8D54"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174.</w:t>
      </w:r>
      <w:r w:rsidRPr="00F040F8">
        <w:rPr>
          <w:rFonts w:cs="Times New Roman"/>
          <w:noProof/>
        </w:rPr>
        <w:tab/>
        <w:t>Yang B.B., Kido A. Pharmacokinetics and pharmacodynamics of pegfilgrastim // Clinical Pharmacokinetics. Clin Pharmacokinet, 2011. Vol. 50, № 5. P. 295–306.</w:t>
      </w:r>
    </w:p>
    <w:p w14:paraId="2DC687A3"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175.</w:t>
      </w:r>
      <w:r w:rsidRPr="00F040F8">
        <w:rPr>
          <w:rFonts w:cs="Times New Roman"/>
          <w:noProof/>
        </w:rPr>
        <w:tab/>
        <w:t>Costa L.J. et al. Pegfilgrastim-versus filgrastim-based autologous hematopoietic stem cell mobilization in the setting of preemptive use of plerixafor: Efficacy and cost analysis // Transfusion. Transfusion, 2012. Vol. 52, № 11. P. 2375–2381.</w:t>
      </w:r>
    </w:p>
    <w:p w14:paraId="344E53EE"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176.</w:t>
      </w:r>
      <w:r w:rsidRPr="00F040F8">
        <w:rPr>
          <w:rFonts w:cs="Times New Roman"/>
          <w:noProof/>
        </w:rPr>
        <w:tab/>
        <w:t>Dale D.C. et al. A systematic literature review of the efficacy, effectiveness, and safety of filgrastim // Supportive Care in Cancer. Springer Verlag, 2018. Vol. 26, № 1. P. 7–20.</w:t>
      </w:r>
    </w:p>
    <w:p w14:paraId="3BF6A887"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177.</w:t>
      </w:r>
      <w:r w:rsidRPr="00F040F8">
        <w:rPr>
          <w:rFonts w:cs="Times New Roman"/>
          <w:noProof/>
        </w:rPr>
        <w:tab/>
        <w:t>Smith T.J. et al. Recommendations for the use of WBC growth factors: American society of clinical oncology clinical practice guideline update // J. Clin. Oncol. American Society of Clinical Oncology, 2015. Vol. 33, № 28. P. 3199–3212.</w:t>
      </w:r>
    </w:p>
    <w:p w14:paraId="00AC1F6F"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178.</w:t>
      </w:r>
      <w:r w:rsidRPr="00F040F8">
        <w:rPr>
          <w:rFonts w:cs="Times New Roman"/>
          <w:noProof/>
        </w:rPr>
        <w:tab/>
        <w:t>Bilgin Y.M., De Greef G.E. Plerixafor for stem cell mobilization: The current status // Current Opinion in Hematology. Lippincott Williams and Wilkins, 2016. Vol. 23, № 1. P. 67–71.</w:t>
      </w:r>
    </w:p>
    <w:p w14:paraId="663E9760"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179.</w:t>
      </w:r>
      <w:r w:rsidRPr="00F040F8">
        <w:rPr>
          <w:rFonts w:cs="Times New Roman"/>
          <w:noProof/>
        </w:rPr>
        <w:tab/>
        <w:t>Бабенецкая Д.В., Моторин Д.В., Петров А.В., Алексеева Ю.А. З.А.Ю. Мобилизация гемопоэтических стволовых клеток препаратами циклофосфамид и цитарабин в сочетании с колониестимулирующим фактором у больных множественной миеломой, кандидатов для проведения трансплантации аутологичных гемопоэтических стволовых клеток // Гематология и трансфузиология. 2017. № 62(4). P. 180-187.</w:t>
      </w:r>
    </w:p>
    <w:p w14:paraId="0A42249B"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180.</w:t>
      </w:r>
      <w:r w:rsidRPr="00F040F8">
        <w:rPr>
          <w:rFonts w:cs="Times New Roman"/>
          <w:noProof/>
        </w:rPr>
        <w:tab/>
        <w:t>Покровская О.С. Кроветворная ткань и стромальное микроокружение в процессе интенсивной терапии и мобилизации гемопоэтических стволовых клеток у больных множественной миеломой: Автореф. дис.канд.мед.наук. 2011. Vol. 153. 29 p.</w:t>
      </w:r>
    </w:p>
    <w:p w14:paraId="26830E60"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181.</w:t>
      </w:r>
      <w:r w:rsidRPr="00F040F8">
        <w:rPr>
          <w:rFonts w:cs="Times New Roman"/>
          <w:noProof/>
        </w:rPr>
        <w:tab/>
        <w:t>Афанасьева О.И., Воинов В.А. Г.Ю.С. Экстракорпоральная гемокоррекция: терминология, языковые соответствия. СПб, 2016. P. 7–15.</w:t>
      </w:r>
    </w:p>
    <w:p w14:paraId="0CCB37F8"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182.</w:t>
      </w:r>
      <w:r w:rsidRPr="00F040F8">
        <w:rPr>
          <w:rFonts w:cs="Times New Roman"/>
          <w:noProof/>
        </w:rPr>
        <w:tab/>
        <w:t>Ikeda K. et al. Adverse Events Associated With Infusion of Hematopoietic Stem Cell Products: A Prospective and Multicenter Surveillance Study // Transfusion Medicine Reviews. W.B. Saunders, 2018. Vol. 32, № 3. P. 186–194.</w:t>
      </w:r>
    </w:p>
    <w:p w14:paraId="6B2ED652"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183.</w:t>
      </w:r>
      <w:r w:rsidRPr="00F040F8">
        <w:rPr>
          <w:rFonts w:cs="Times New Roman"/>
          <w:noProof/>
        </w:rPr>
        <w:tab/>
        <w:t>Sutherland D.R. et al. The ISHAGE guidelines for CD34+ cell determination by flow cytometry // Journal of Hematotherapy and Stem Cell Research. J Hematother, 1996. Vol. 5, № 3. P. 213–226.</w:t>
      </w:r>
    </w:p>
    <w:p w14:paraId="7EE0EE96"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184.</w:t>
      </w:r>
      <w:r w:rsidRPr="00F040F8">
        <w:rPr>
          <w:rFonts w:cs="Times New Roman"/>
          <w:noProof/>
        </w:rPr>
        <w:tab/>
        <w:t>Enric Carreras D.C., Mohty Mohamad K.N. Hematopoietic Stem Cell Transplantation and Cellular Therapies. 2019. 702 p.</w:t>
      </w:r>
    </w:p>
    <w:p w14:paraId="162DF8CA"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185.</w:t>
      </w:r>
      <w:r w:rsidRPr="00F040F8">
        <w:rPr>
          <w:rFonts w:cs="Times New Roman"/>
          <w:noProof/>
        </w:rPr>
        <w:tab/>
        <w:t>Frankiewicz A. et al. Comparable safety profile of BeEAM (bendamustine, etoposide, cytarabine, melphalan) and BEAM (carmustine, etoposide, cytarabine, melphalan) as conditioning before autologous haematopoietic cell transplantation. // Contemp. Oncol. (Poznan, Poland). Termedia Publishing, 2018. Vol. 22, № 2. P. 113–117.</w:t>
      </w:r>
    </w:p>
    <w:p w14:paraId="7CAE2071"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186.</w:t>
      </w:r>
      <w:r w:rsidRPr="00F040F8">
        <w:rPr>
          <w:rFonts w:cs="Times New Roman"/>
          <w:noProof/>
        </w:rPr>
        <w:tab/>
        <w:t>Caballero M.D. et al. BEAM chemotherapy followed by autologous stem cell support in lymphoma patients: analysis of efficacy, toxicity and prognostic factors. // Bone Marrow Transplant. Bone Marrow Transplant, 1997. Vol. 20, № 6. P. 451–458.</w:t>
      </w:r>
    </w:p>
    <w:p w14:paraId="3F1F7EB2"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187.</w:t>
      </w:r>
      <w:r w:rsidRPr="00F040F8">
        <w:rPr>
          <w:rFonts w:cs="Times New Roman"/>
          <w:noProof/>
        </w:rPr>
        <w:tab/>
        <w:t>Mills W. et al. BEAM chemotherapy and autologous bone marrow transplantation for patients with relapsed or refractory non-Hodgkin’s lymphoma. // J. Clin. Oncol. J Clin Oncol, 1995. Vol. 13, № 3. P. 588–595.</w:t>
      </w:r>
    </w:p>
    <w:p w14:paraId="364C3F04"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188.</w:t>
      </w:r>
      <w:r w:rsidRPr="00F040F8">
        <w:rPr>
          <w:rFonts w:cs="Times New Roman"/>
          <w:noProof/>
        </w:rPr>
        <w:tab/>
        <w:t>Colita A. et al. LEAM vs. BEAM vs. CLV Conditioning Regimen for Autologous Stem Cell Transplantation in Malignant Lymphomas. Retrospective Comparison of Toxicity and Efficacy on 222 Patients in the First 100 Days After Transplant, On Behalf of the Romanian Society for Bon // Front. Oncol. 2019. Vol. 9. P. 892.</w:t>
      </w:r>
    </w:p>
    <w:p w14:paraId="261A59D1"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189.</w:t>
      </w:r>
      <w:r w:rsidRPr="00F040F8">
        <w:rPr>
          <w:rFonts w:cs="Times New Roman"/>
          <w:noProof/>
        </w:rPr>
        <w:tab/>
        <w:t>Sharma A. et al. Comparison of BEAM vs. LEAM regimen in autologous transplant for lymphoma at AIIMS. // Springerplus. Springerplus, 2013. Vol. 2. P. 489.</w:t>
      </w:r>
    </w:p>
    <w:p w14:paraId="5BF466D7"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190.</w:t>
      </w:r>
      <w:r w:rsidRPr="00F040F8">
        <w:rPr>
          <w:rFonts w:cs="Times New Roman"/>
          <w:noProof/>
        </w:rPr>
        <w:tab/>
        <w:t>Perz J.B. et al. LACE-conditioned autologous stem cell transplantation for relapsed or refractory Hodgkin’s lymphoma: treatment outcome and risk factor analysis in 67 patients from a single centre. // Bone Marrow Transplant. Bone Marrow Transplant, 2007. Vol. 39, № 1. P. 41–47.</w:t>
      </w:r>
    </w:p>
    <w:p w14:paraId="4A1A1D9F"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191.</w:t>
      </w:r>
      <w:r w:rsidRPr="00F040F8">
        <w:rPr>
          <w:rFonts w:cs="Times New Roman"/>
          <w:noProof/>
        </w:rPr>
        <w:tab/>
        <w:t>Ramzi M. et al. Autologous noncryopreserved hematopoietic stem cell transplant with CEAM as a modified conditioning regimen in patients with Hodgkin lymphoma: a single-center experience with a new protocol. // Exp. Clin. Transplant. Exp Clin Transplant, 2012. Vol. 10, № 2. P. 163–167.</w:t>
      </w:r>
    </w:p>
    <w:p w14:paraId="66EF3C98"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192.</w:t>
      </w:r>
      <w:r w:rsidRPr="00F040F8">
        <w:rPr>
          <w:rFonts w:cs="Times New Roman"/>
          <w:noProof/>
        </w:rPr>
        <w:tab/>
        <w:t>Visani G. et al. XRCC1 399GG genotype predicts significantly longer overall survival in resistant lymphoma patients treated with Benda-EAM and ASCT // Bone Marrow Transplant. Nature Publishing Group, 2020. Vol. 55, № 4. P. 818–820.</w:t>
      </w:r>
    </w:p>
    <w:p w14:paraId="02F47946"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193.</w:t>
      </w:r>
      <w:r w:rsidRPr="00F040F8">
        <w:rPr>
          <w:rFonts w:cs="Times New Roman"/>
          <w:noProof/>
        </w:rPr>
        <w:tab/>
        <w:t>Visani G. et al. BeEAM (bendamustine, etoposide, cytarabine, melphalan) before autologous stem cell transplantation is safe and effective for resistant/relapsed lymphoma patients. // Blood. 2011. Vol. 118, № 12. P. 3419–3425.</w:t>
      </w:r>
    </w:p>
    <w:p w14:paraId="77DD350A"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194.</w:t>
      </w:r>
      <w:r w:rsidRPr="00F040F8">
        <w:rPr>
          <w:rFonts w:cs="Times New Roman"/>
          <w:noProof/>
        </w:rPr>
        <w:tab/>
        <w:t>Lanas A., Chan F.K.L. Peptic ulcer disease. // Lancet (London, England). Lancet, 2017. Vol. 390, № 10094. P. 613–624.</w:t>
      </w:r>
    </w:p>
    <w:p w14:paraId="7C48ACD4"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195.</w:t>
      </w:r>
      <w:r w:rsidRPr="00F040F8">
        <w:rPr>
          <w:rFonts w:cs="Times New Roman"/>
          <w:noProof/>
        </w:rPr>
        <w:tab/>
        <w:t>Auner H.W. et al. Infectious complications after autologous hematopoietic stem cell transplantation: Comparison of patients with acute myeloid leukemia, malignant lymphoma, and multiple myeloma // Ann. Hematol. Ann Hematol, 2002. Vol. 81, № 7. P. 374–377.</w:t>
      </w:r>
    </w:p>
    <w:p w14:paraId="0B1B3D07"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196.</w:t>
      </w:r>
      <w:r w:rsidRPr="00F040F8">
        <w:rPr>
          <w:rFonts w:cs="Times New Roman"/>
          <w:noProof/>
        </w:rPr>
        <w:tab/>
        <w:t>Gil L., Styczynski J., Komarnicki M. Infectious complication in 314 patients after high-dose therapy and autologous hematopoietic stem cell transplantation: Risk factors analysis and outcome // Infection. Infection, 2007. Vol. 35, № 6. P. 421–427.</w:t>
      </w:r>
    </w:p>
    <w:p w14:paraId="2F00DA56"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197.</w:t>
      </w:r>
      <w:r w:rsidRPr="00F040F8">
        <w:rPr>
          <w:rFonts w:cs="Times New Roman"/>
          <w:noProof/>
        </w:rPr>
        <w:tab/>
        <w:t>Eleutherakis-Papaiakovou E. et al. Prophylactic antibiotics for the prevention of neutropenic fever in patients undergoing autologous stem-cell transplantation: Results of a single institution, randomized phase 2 trial // Am. J. Hematol. Am J Hematol, 2010. Vol. 85, № 11. P. 863–867.</w:t>
      </w:r>
    </w:p>
    <w:p w14:paraId="4EC4CFD6"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198.</w:t>
      </w:r>
      <w:r w:rsidRPr="00F040F8">
        <w:rPr>
          <w:rFonts w:cs="Times New Roman"/>
          <w:noProof/>
        </w:rPr>
        <w:tab/>
        <w:t>Neumann S. et al. Primary prophylaxis of bacterial infections and Pneumocystis jirovecii pneumonia in patients with hematological malignancies and solid tumors: Guidelines of the Infectious Diseases Working Party (AGIHO) of the German Society of Hematology and Oncology (DG // Annals of Hematology. Ann Hematol, 2013. Vol. 92, № 4. P. 433–442.</w:t>
      </w:r>
    </w:p>
    <w:p w14:paraId="6F66203A"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199.</w:t>
      </w:r>
      <w:r w:rsidRPr="00F040F8">
        <w:rPr>
          <w:rFonts w:cs="Times New Roman"/>
          <w:noProof/>
        </w:rPr>
        <w:tab/>
        <w:t>Moghnieh R. et al. Bacteraemia post-autologous haematopoietic stem cell transplantation in the absence of antibacterial prophylaxis: a decade’s experience from Lebanon // Infection. Urban und Vogel GmbH, 2018. Vol. 46, № 6.</w:t>
      </w:r>
    </w:p>
    <w:p w14:paraId="3BEF48F5"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200.</w:t>
      </w:r>
      <w:r w:rsidRPr="00F040F8">
        <w:rPr>
          <w:rFonts w:cs="Times New Roman"/>
          <w:noProof/>
        </w:rPr>
        <w:tab/>
        <w:t>Клясова Г.А. et al. Эмпирическая антимикробная терапия у больных острыми лейкозами: итоги многоцентрового исследования // Терапевтический архив. 1998. Vol. 70, № 7. P. 15–21.</w:t>
      </w:r>
    </w:p>
    <w:p w14:paraId="65CEAA74"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201.</w:t>
      </w:r>
      <w:r w:rsidRPr="00F040F8">
        <w:rPr>
          <w:rFonts w:cs="Times New Roman"/>
          <w:noProof/>
        </w:rPr>
        <w:tab/>
        <w:t>Савченко В.Г. и др. Алгоритмы диагностики и протоколы лечения заболеваний системы крови. Москва: Практика, 2018. 1008 p.</w:t>
      </w:r>
    </w:p>
    <w:p w14:paraId="446E20F9"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202.</w:t>
      </w:r>
      <w:r w:rsidRPr="00F040F8">
        <w:rPr>
          <w:rFonts w:cs="Times New Roman"/>
          <w:noProof/>
        </w:rPr>
        <w:tab/>
        <w:t>Terpos E. et al. European myeloma network guidelines for the management of multiple myeloma-related complications // Haematologica. Ferrata Storti Foundation, 2015. Vol. 100, № 10. P. 1254–1266.</w:t>
      </w:r>
    </w:p>
    <w:p w14:paraId="4FF3BB76"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203.</w:t>
      </w:r>
      <w:r w:rsidRPr="00F040F8">
        <w:rPr>
          <w:rFonts w:cs="Times New Roman"/>
          <w:noProof/>
        </w:rPr>
        <w:tab/>
        <w:t>Maertens J. et al. ECIL guidelines for preventing Pneumocystis jirovecii pneumonia in patients with haematological malignancies and stem cell transplant recipients // Journal of Antimicrobial Chemotherapy. Oxford University Press, 2016. Vol. 71, № 9. P. 1–8.</w:t>
      </w:r>
    </w:p>
    <w:p w14:paraId="546B70E3"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204.</w:t>
      </w:r>
      <w:r w:rsidRPr="00F040F8">
        <w:rPr>
          <w:rFonts w:cs="Times New Roman"/>
          <w:noProof/>
        </w:rPr>
        <w:tab/>
        <w:t>Сытов А.В., Лейдерман И.Н., Ломидзе С.В., Нехаев И.В. Х.А.Ж.. Практические рекомендации по нутритивной поддержке онкологических больных // RUSSCO. 2017. P. 524–532.</w:t>
      </w:r>
    </w:p>
    <w:p w14:paraId="38D69832"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205.</w:t>
      </w:r>
      <w:r w:rsidRPr="00F040F8">
        <w:rPr>
          <w:rFonts w:cs="Times New Roman"/>
          <w:noProof/>
        </w:rPr>
        <w:tab/>
        <w:t>Virizuela J.A. et al. Nutritional support and parenteral nutrition in cancer patients: an expert consensus report // Clin. Transl. Oncol. Springer-Verlag Italia s.r.l., 2018. Vol. 20, № 5. P. 619–629.</w:t>
      </w:r>
    </w:p>
    <w:p w14:paraId="1B9986F0"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206.</w:t>
      </w:r>
      <w:r w:rsidRPr="00F040F8">
        <w:rPr>
          <w:rFonts w:cs="Times New Roman"/>
          <w:noProof/>
        </w:rPr>
        <w:tab/>
        <w:t>Бесова Н.С., Борисова Т.Н., Ларионова В.Б., Лейдерман И.Н., Обухова О.А., Попова Т.С., Салтанов А.И., Сельчук В.Ю., Снеговой А.В., Ткачев С.И., Тюляндин С.А. Ш.А.И. Клинические рекомендации по нутритивной поддержке при химиотерапии и/или лучевой терапии. 2014.</w:t>
      </w:r>
    </w:p>
    <w:p w14:paraId="6BDA77AE"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207.</w:t>
      </w:r>
      <w:r w:rsidRPr="00F040F8">
        <w:rPr>
          <w:rFonts w:cs="Times New Roman"/>
          <w:noProof/>
        </w:rPr>
        <w:tab/>
        <w:t>Arends J. et al. ESPEN guidelines on nutrition in cancer patients // Clin. Nutr. Churchill Livingstone, 2017. Vol. 36, № 1. P. 11–48.</w:t>
      </w:r>
    </w:p>
    <w:p w14:paraId="372E4DE4"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208.</w:t>
      </w:r>
      <w:r w:rsidRPr="00F040F8">
        <w:rPr>
          <w:rFonts w:cs="Times New Roman"/>
          <w:noProof/>
        </w:rPr>
        <w:tab/>
        <w:t>Camblor-Álvarez M. et al. Soporte nutricional y nutrición parenteral en el paciente oncológico: informe de consenso de un grupo de expertos // Nutr. Hosp. ARAN Ediciones, 2018. Vol. 35, № 1.</w:t>
      </w:r>
    </w:p>
    <w:p w14:paraId="066EEB17"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209.</w:t>
      </w:r>
      <w:r w:rsidRPr="00F040F8">
        <w:rPr>
          <w:rFonts w:cs="Times New Roman"/>
          <w:noProof/>
        </w:rPr>
        <w:tab/>
        <w:t>Baiu I., Spain D.A. Parenteral Nutrition // JAMA - Journal of the American Medical Association. American Medical Association, 2019. Vol. 321, № 21. P. 2142.</w:t>
      </w:r>
    </w:p>
    <w:p w14:paraId="683D7ADD"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210.</w:t>
      </w:r>
      <w:r w:rsidRPr="00F040F8">
        <w:rPr>
          <w:rFonts w:cs="Times New Roman"/>
          <w:noProof/>
        </w:rPr>
        <w:tab/>
        <w:t>Протоколы трансплантации аллогенных гепомоэтических стволовых клеток. Под ред. В.Г. Савченко. М.: Практика, 2020. 320 p.</w:t>
      </w:r>
    </w:p>
    <w:p w14:paraId="199F6241"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211.</w:t>
      </w:r>
      <w:r w:rsidRPr="00F040F8">
        <w:rPr>
          <w:rFonts w:cs="Times New Roman"/>
          <w:noProof/>
        </w:rPr>
        <w:tab/>
        <w:t>Oken M.M. et al. Toxicity and response criteria of the Eastern Cooperative Oncology Group // Am. J. Clin. Oncol. 1982. Vol. 5, № 6. P. 649–655.</w:t>
      </w:r>
    </w:p>
    <w:p w14:paraId="128915A8"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212.</w:t>
      </w:r>
      <w:r w:rsidRPr="00F040F8">
        <w:rPr>
          <w:rFonts w:cs="Times New Roman"/>
          <w:noProof/>
        </w:rPr>
        <w:tab/>
        <w:t>Meignan M., Gallamini A., Haioun C. Report on the First International Workshop on interim-PET scan in lymphoma // Leukemia and Lymphoma. 2009. Vol. 50, № 8. P. 1257–1260.</w:t>
      </w:r>
    </w:p>
    <w:p w14:paraId="301090CB"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213.</w:t>
      </w:r>
      <w:r w:rsidRPr="00F040F8">
        <w:rPr>
          <w:rFonts w:cs="Times New Roman"/>
          <w:noProof/>
        </w:rPr>
        <w:tab/>
        <w:t>Gratwohl A. The EBMT risk score // Bone Marrow Transplantation. Nature Publishing Group, 2012. Vol. 47, № 6. P. 749–756.</w:t>
      </w:r>
    </w:p>
    <w:p w14:paraId="068F8F85"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214.</w:t>
      </w:r>
      <w:r w:rsidRPr="00F040F8">
        <w:rPr>
          <w:rFonts w:cs="Times New Roman"/>
          <w:noProof/>
        </w:rPr>
        <w:tab/>
        <w:t>Sorror M.L. et al. Hematopoietic cell transplantation (HCT)-specific comorbidity index: a new tool for risk assessment before allogeneic HCT. // Blood. The American Society of Hematology, 2005. Vol. 106, № 8. P. 2912–2919.</w:t>
      </w:r>
    </w:p>
    <w:p w14:paraId="4C8197A4" w14:textId="77777777" w:rsidR="00F040F8" w:rsidRPr="00F040F8" w:rsidRDefault="00F040F8" w:rsidP="00F040F8">
      <w:pPr>
        <w:widowControl w:val="0"/>
        <w:autoSpaceDE w:val="0"/>
        <w:autoSpaceDN w:val="0"/>
        <w:adjustRightInd w:val="0"/>
        <w:ind w:left="640" w:hanging="640"/>
        <w:rPr>
          <w:rFonts w:cs="Times New Roman"/>
          <w:noProof/>
        </w:rPr>
      </w:pPr>
      <w:r w:rsidRPr="00F040F8">
        <w:rPr>
          <w:rFonts w:cs="Times New Roman"/>
          <w:noProof/>
        </w:rPr>
        <w:t>215.</w:t>
      </w:r>
      <w:r w:rsidRPr="00F040F8">
        <w:rPr>
          <w:rFonts w:cs="Times New Roman"/>
          <w:noProof/>
        </w:rPr>
        <w:tab/>
        <w:t>Sorror M.L. et al. Prospective Validation of the Predictive Power of the Hematopoietic Cell Transplantation Comorbidity Index: A Center for International Blood and Marrow Transplant Research Study // Biol. Blood Marrow Transplant. Elsevier Inc., 2015. Vol. 21, № 8. P. 1479–1487.</w:t>
      </w:r>
    </w:p>
    <w:p w14:paraId="41BC3A6D" w14:textId="22A33C81" w:rsidR="0025228A" w:rsidRPr="002F4348" w:rsidRDefault="008762E9" w:rsidP="00F040F8">
      <w:pPr>
        <w:widowControl w:val="0"/>
        <w:autoSpaceDE w:val="0"/>
        <w:autoSpaceDN w:val="0"/>
        <w:adjustRightInd w:val="0"/>
        <w:ind w:left="640" w:hanging="640"/>
      </w:pPr>
      <w:r w:rsidRPr="002F4348">
        <w:rPr>
          <w:rFonts w:cs="Times New Roman"/>
          <w:szCs w:val="24"/>
        </w:rPr>
        <w:fldChar w:fldCharType="end"/>
      </w:r>
    </w:p>
    <w:p w14:paraId="6D1A44CE" w14:textId="77777777" w:rsidR="000414F6" w:rsidRPr="002F4348" w:rsidRDefault="00CB71DA" w:rsidP="0033051F">
      <w:pPr>
        <w:pStyle w:val="afff2"/>
      </w:pPr>
      <w:bookmarkStart w:id="95" w:name="__RefHeading___doc_a1"/>
      <w:bookmarkStart w:id="96" w:name="_Toc65586422"/>
      <w:bookmarkEnd w:id="94"/>
      <w:r w:rsidRPr="002F4348">
        <w:t>Приложение А1. Состав рабочей группы</w:t>
      </w:r>
      <w:bookmarkEnd w:id="95"/>
      <w:r w:rsidR="005627B3" w:rsidRPr="002F4348">
        <w:t xml:space="preserve"> по разработке и пересмотру клинических рекомендаций</w:t>
      </w:r>
      <w:bookmarkEnd w:id="96"/>
    </w:p>
    <w:p w14:paraId="23CE918B" w14:textId="77777777" w:rsidR="004F0134" w:rsidRPr="002F4348" w:rsidRDefault="004F0134" w:rsidP="00B153FC">
      <w:pPr>
        <w:pStyle w:val="afe"/>
        <w:numPr>
          <w:ilvl w:val="0"/>
          <w:numId w:val="37"/>
        </w:numPr>
        <w:spacing w:before="240"/>
        <w:ind w:left="357" w:hanging="357"/>
      </w:pPr>
      <w:r w:rsidRPr="002F4348">
        <w:rPr>
          <w:b/>
          <w:bCs/>
        </w:rPr>
        <w:t>Демина Елена Андреевна</w:t>
      </w:r>
      <w:r w:rsidRPr="002F4348">
        <w:t xml:space="preserve"> – д.м.н., профессор, профессор кафедры гематологии и клеточной терапии Института усовершенствования врачей </w:t>
      </w:r>
      <w:r w:rsidR="00C7219D" w:rsidRPr="002F4348">
        <w:t>ФГБУ «Национальный медико-хирургический центр им. Н.И. Пирогова» Минздрава России,</w:t>
      </w:r>
      <w:r w:rsidRPr="002F4348">
        <w:t xml:space="preserve"> член</w:t>
      </w:r>
      <w:r w:rsidR="00C7219D" w:rsidRPr="002F4348">
        <w:t xml:space="preserve"> правления</w:t>
      </w:r>
      <w:r w:rsidRPr="002F4348">
        <w:t xml:space="preserve"> Российского общества онкогематологов.</w:t>
      </w:r>
    </w:p>
    <w:p w14:paraId="46B23AF7" w14:textId="77777777" w:rsidR="004F0134" w:rsidRPr="002F4348" w:rsidRDefault="004F0134" w:rsidP="00B153FC">
      <w:pPr>
        <w:pStyle w:val="afe"/>
        <w:numPr>
          <w:ilvl w:val="0"/>
          <w:numId w:val="37"/>
        </w:numPr>
      </w:pPr>
      <w:r w:rsidRPr="002F4348">
        <w:rPr>
          <w:b/>
          <w:bCs/>
        </w:rPr>
        <w:t xml:space="preserve">Тумян Гаяне Сергеевна </w:t>
      </w:r>
      <w:r w:rsidRPr="002F4348">
        <w:t>– д.м.н., профессор, профессор кафедры онкологии и паллиативной медицины Российской медицинской академии непрерывного профессионального образования Минздрава России, ведущий научный сотрудник отделения химиотерапии гемобластозов «НМИЦ онкологии им. Н.Н. Блохина» Минздрава России, член правления Российского общества онкогематологов.</w:t>
      </w:r>
    </w:p>
    <w:p w14:paraId="3E8CFBC9" w14:textId="77777777" w:rsidR="001528A9" w:rsidRPr="002F4348" w:rsidRDefault="001528A9" w:rsidP="00B153FC">
      <w:pPr>
        <w:pStyle w:val="afe"/>
        <w:numPr>
          <w:ilvl w:val="0"/>
          <w:numId w:val="37"/>
        </w:numPr>
      </w:pPr>
      <w:r w:rsidRPr="002F4348">
        <w:rPr>
          <w:b/>
          <w:bCs/>
        </w:rPr>
        <w:t xml:space="preserve">Моисеева Татьяна Николаевна </w:t>
      </w:r>
      <w:r w:rsidRPr="002F4348">
        <w:t>– к.м.н., заведующий консультативным гематологическим отделением с дневным стационаром по проведению интенсивной высокодозной химиотерапии, член Национального гематологического общества</w:t>
      </w:r>
    </w:p>
    <w:p w14:paraId="41A410A2" w14:textId="77777777" w:rsidR="00F43101" w:rsidRPr="002F4348" w:rsidRDefault="00F43101" w:rsidP="00B153FC">
      <w:pPr>
        <w:pStyle w:val="afe"/>
        <w:numPr>
          <w:ilvl w:val="0"/>
          <w:numId w:val="37"/>
        </w:numPr>
      </w:pPr>
      <w:r w:rsidRPr="002F4348">
        <w:rPr>
          <w:b/>
          <w:bCs/>
        </w:rPr>
        <w:t xml:space="preserve">Михайлова Наталья Борисовна </w:t>
      </w:r>
      <w:r w:rsidRPr="002F4348">
        <w:t>– д.м.н., руководитель отдела клинической онкологии (химиотерапии) НИИ детской онкологии, гематологии и трансплантологии им. Р.М. Горбачевой, член Российского общества онкогематологов.</w:t>
      </w:r>
    </w:p>
    <w:p w14:paraId="4E1EDCAF" w14:textId="77777777" w:rsidR="004C7535" w:rsidRPr="002F4348" w:rsidRDefault="004C7535" w:rsidP="00B153FC">
      <w:pPr>
        <w:pStyle w:val="afe"/>
        <w:numPr>
          <w:ilvl w:val="0"/>
          <w:numId w:val="37"/>
        </w:numPr>
      </w:pPr>
      <w:r w:rsidRPr="002F4348">
        <w:rPr>
          <w:b/>
          <w:bCs/>
        </w:rPr>
        <w:t xml:space="preserve">Мякова Наталья Валерьевна </w:t>
      </w:r>
      <w:r w:rsidRPr="002F4348">
        <w:t xml:space="preserve">– д.м.н., профессор, Заместитель главного врача по лечебной работе, зав. </w:t>
      </w:r>
      <w:r w:rsidR="0039190D" w:rsidRPr="002F4348">
        <w:t>отделением онкогематологии ФГБУ «НМИЦ ДГОИ им. Дмитрия Рогачева» Минздрава России, член Национального общества детских гематологов и онкологов</w:t>
      </w:r>
    </w:p>
    <w:p w14:paraId="11050A81" w14:textId="77777777" w:rsidR="0039190D" w:rsidRPr="002F4348" w:rsidRDefault="0039190D" w:rsidP="00B153FC">
      <w:pPr>
        <w:pStyle w:val="afe"/>
        <w:numPr>
          <w:ilvl w:val="0"/>
          <w:numId w:val="37"/>
        </w:numPr>
        <w:rPr>
          <w:rFonts w:cs="Arial"/>
          <w:lang w:eastAsia="x-none"/>
        </w:rPr>
      </w:pPr>
      <w:r w:rsidRPr="002F4348">
        <w:rPr>
          <w:rFonts w:cs="Arial"/>
          <w:b/>
          <w:bCs/>
          <w:lang w:eastAsia="x-none"/>
        </w:rPr>
        <w:t>Румянцев Александр Григорьевич</w:t>
      </w:r>
      <w:r w:rsidRPr="002F4348">
        <w:rPr>
          <w:rFonts w:cs="Arial"/>
          <w:lang w:eastAsia="x-none"/>
        </w:rPr>
        <w:t xml:space="preserve"> </w:t>
      </w:r>
      <w:r w:rsidR="00AB3FBF" w:rsidRPr="002F4348">
        <w:rPr>
          <w:rFonts w:cs="Arial"/>
          <w:lang w:eastAsia="x-none"/>
        </w:rPr>
        <w:t>–</w:t>
      </w:r>
      <w:r w:rsidRPr="002F4348">
        <w:rPr>
          <w:rFonts w:cs="Arial"/>
          <w:lang w:eastAsia="x-none"/>
        </w:rPr>
        <w:t xml:space="preserve"> </w:t>
      </w:r>
      <w:r w:rsidR="00AB3FBF" w:rsidRPr="002F4348">
        <w:rPr>
          <w:rFonts w:cs="Arial"/>
          <w:lang w:eastAsia="x-none"/>
        </w:rPr>
        <w:t>академи</w:t>
      </w:r>
      <w:r w:rsidR="004D11D3" w:rsidRPr="002F4348">
        <w:rPr>
          <w:rFonts w:cs="Arial"/>
          <w:lang w:eastAsia="x-none"/>
        </w:rPr>
        <w:t>к</w:t>
      </w:r>
      <w:r w:rsidR="00AB3FBF" w:rsidRPr="002F4348">
        <w:rPr>
          <w:rFonts w:cs="Arial"/>
          <w:lang w:eastAsia="x-none"/>
        </w:rPr>
        <w:t xml:space="preserve"> РАН, </w:t>
      </w:r>
      <w:r w:rsidRPr="002F4348">
        <w:rPr>
          <w:rFonts w:cs="Arial"/>
          <w:lang w:eastAsia="x-none"/>
        </w:rPr>
        <w:t>д.м.н.,</w:t>
      </w:r>
      <w:r w:rsidR="00AB3FBF" w:rsidRPr="002F4348">
        <w:rPr>
          <w:rFonts w:cs="Arial"/>
          <w:lang w:eastAsia="x-none"/>
        </w:rPr>
        <w:t xml:space="preserve"> профессор, </w:t>
      </w:r>
      <w:r w:rsidRPr="002F4348">
        <w:rPr>
          <w:rFonts w:cs="Arial"/>
          <w:lang w:eastAsia="x-none"/>
        </w:rPr>
        <w:t xml:space="preserve">генеральный директор </w:t>
      </w:r>
      <w:r w:rsidR="00AB3FBF" w:rsidRPr="002F4348">
        <w:t>ФГБУ «НМИЦ ДГОИ им. Дмитрия Рогачева» Минздрава России, президент Национального общества детских гематологов и онкологов</w:t>
      </w:r>
    </w:p>
    <w:p w14:paraId="0970C40B" w14:textId="77777777" w:rsidR="0039190D" w:rsidRPr="002F4348" w:rsidRDefault="0039190D" w:rsidP="00B153FC">
      <w:pPr>
        <w:pStyle w:val="afe"/>
        <w:numPr>
          <w:ilvl w:val="0"/>
          <w:numId w:val="37"/>
        </w:numPr>
        <w:rPr>
          <w:rFonts w:cs="Arial"/>
          <w:lang w:eastAsia="x-none"/>
        </w:rPr>
      </w:pPr>
      <w:r w:rsidRPr="002F4348">
        <w:rPr>
          <w:rFonts w:cs="Arial"/>
          <w:b/>
          <w:bCs/>
          <w:lang w:eastAsia="x-none"/>
        </w:rPr>
        <w:t>Масчан А</w:t>
      </w:r>
      <w:r w:rsidR="00AB3FBF" w:rsidRPr="002F4348">
        <w:rPr>
          <w:rFonts w:cs="Arial"/>
          <w:b/>
          <w:bCs/>
          <w:lang w:eastAsia="x-none"/>
        </w:rPr>
        <w:t xml:space="preserve">лексей </w:t>
      </w:r>
      <w:r w:rsidRPr="002F4348">
        <w:rPr>
          <w:rFonts w:cs="Arial"/>
          <w:b/>
          <w:bCs/>
          <w:lang w:eastAsia="x-none"/>
        </w:rPr>
        <w:t>А</w:t>
      </w:r>
      <w:r w:rsidR="00AB3FBF" w:rsidRPr="002F4348">
        <w:rPr>
          <w:rFonts w:cs="Arial"/>
          <w:b/>
          <w:bCs/>
          <w:lang w:eastAsia="x-none"/>
        </w:rPr>
        <w:t>лександрович</w:t>
      </w:r>
      <w:r w:rsidRPr="002F4348">
        <w:rPr>
          <w:rFonts w:cs="Arial"/>
          <w:lang w:eastAsia="x-none"/>
        </w:rPr>
        <w:t xml:space="preserve"> – </w:t>
      </w:r>
      <w:r w:rsidR="00AB3FBF" w:rsidRPr="002F4348">
        <w:rPr>
          <w:rFonts w:cs="Arial"/>
          <w:lang w:eastAsia="x-none"/>
        </w:rPr>
        <w:t xml:space="preserve">член-корр. РАН, </w:t>
      </w:r>
      <w:r w:rsidRPr="002F4348">
        <w:rPr>
          <w:rFonts w:cs="Arial"/>
          <w:lang w:eastAsia="x-none"/>
        </w:rPr>
        <w:t xml:space="preserve">д.м.н., </w:t>
      </w:r>
      <w:r w:rsidR="00AB3FBF" w:rsidRPr="002F4348">
        <w:rPr>
          <w:rFonts w:cs="Arial"/>
          <w:lang w:eastAsia="x-none"/>
        </w:rPr>
        <w:t>профессор</w:t>
      </w:r>
      <w:r w:rsidRPr="002F4348">
        <w:rPr>
          <w:rFonts w:cs="Arial"/>
          <w:lang w:eastAsia="x-none"/>
        </w:rPr>
        <w:t>, зам</w:t>
      </w:r>
      <w:r w:rsidR="00AB3FBF" w:rsidRPr="002F4348">
        <w:rPr>
          <w:rFonts w:cs="Arial"/>
          <w:lang w:eastAsia="x-none"/>
        </w:rPr>
        <w:t>.</w:t>
      </w:r>
      <w:r w:rsidRPr="002F4348">
        <w:rPr>
          <w:rFonts w:cs="Arial"/>
          <w:lang w:eastAsia="x-none"/>
        </w:rPr>
        <w:t xml:space="preserve"> генерального директора </w:t>
      </w:r>
      <w:r w:rsidR="00AB3FBF" w:rsidRPr="002F4348">
        <w:t>ФГБУ «НМИЦ ДГОИ им. Дмитрия Рогачева» Минздрава России, член правления Национального общества детских гематологов и онкологов</w:t>
      </w:r>
    </w:p>
    <w:p w14:paraId="461D90EB" w14:textId="77777777" w:rsidR="00C7219D" w:rsidRPr="002F4348" w:rsidRDefault="00C7219D" w:rsidP="00B153FC">
      <w:pPr>
        <w:pStyle w:val="afe"/>
        <w:numPr>
          <w:ilvl w:val="0"/>
          <w:numId w:val="37"/>
        </w:numPr>
      </w:pPr>
      <w:r w:rsidRPr="002F4348">
        <w:rPr>
          <w:b/>
          <w:bCs/>
        </w:rPr>
        <w:t xml:space="preserve">Капланов Камиль Даниялович </w:t>
      </w:r>
      <w:r w:rsidRPr="002F4348">
        <w:t>– к.м.н., зав. отделением гематологии ГБУЗ «Волгоградский областной клинический онкологический диспансер», ассистент кафедры онкологии с курсом онкологии и гематологии ФУВ Волгоградского Государственного медицинского университета, член Российского общества онкогематологов и Национального гематологического общества</w:t>
      </w:r>
    </w:p>
    <w:p w14:paraId="774D66AD" w14:textId="77777777" w:rsidR="001528A9" w:rsidRPr="002F4348" w:rsidRDefault="001528A9" w:rsidP="00B153FC">
      <w:pPr>
        <w:pStyle w:val="afe"/>
        <w:numPr>
          <w:ilvl w:val="0"/>
          <w:numId w:val="37"/>
        </w:numPr>
      </w:pPr>
      <w:r w:rsidRPr="002F4348">
        <w:rPr>
          <w:b/>
          <w:bCs/>
        </w:rPr>
        <w:t xml:space="preserve">Шмаков Роман Георгиевич – </w:t>
      </w:r>
      <w:r w:rsidRPr="002F4348">
        <w:t xml:space="preserve">профессор РАН, д.м.н., директор института акушерства, ФГБУ «Национальный медицинский исследовательский центр акушерства, гинекологии и перинатологии имени Академика В.И. Кулакова» Минздрава России, </w:t>
      </w:r>
      <w:r w:rsidR="001B13FE" w:rsidRPr="002F4348">
        <w:t>член Правления Российского общества акушеров-гинекологов</w:t>
      </w:r>
    </w:p>
    <w:p w14:paraId="6F68FCD8" w14:textId="77777777" w:rsidR="004F0134" w:rsidRPr="002F4348" w:rsidRDefault="004F0134" w:rsidP="00B153FC">
      <w:pPr>
        <w:pStyle w:val="afe"/>
        <w:numPr>
          <w:ilvl w:val="0"/>
          <w:numId w:val="37"/>
        </w:numPr>
      </w:pPr>
      <w:r w:rsidRPr="002F4348">
        <w:rPr>
          <w:b/>
        </w:rPr>
        <w:t xml:space="preserve">Фалалеева Наталья Александровна </w:t>
      </w:r>
      <w:r w:rsidRPr="002F4348">
        <w:t>– д.м.н., зав. отделением противоопухолевого лекарственного лечения МРНЦ им. А.Ф. Цыба – филиал ФГБУ «НМИЦ радиологии» Минздрава России, член Ассоциации онкологов России и Российской Ассоциации терапевтических радиационных онкологов.</w:t>
      </w:r>
    </w:p>
    <w:p w14:paraId="29B8F05E" w14:textId="77777777" w:rsidR="004F0134" w:rsidRPr="002F4348" w:rsidRDefault="004F0134" w:rsidP="00B153FC">
      <w:pPr>
        <w:pStyle w:val="afe"/>
        <w:numPr>
          <w:ilvl w:val="0"/>
          <w:numId w:val="37"/>
        </w:numPr>
      </w:pPr>
      <w:r w:rsidRPr="002F4348">
        <w:rPr>
          <w:b/>
          <w:bCs/>
        </w:rPr>
        <w:t xml:space="preserve">Птушкин Вадим Вадимович </w:t>
      </w:r>
      <w:r w:rsidRPr="002F4348">
        <w:rPr>
          <w:bCs/>
        </w:rPr>
        <w:t>–</w:t>
      </w:r>
      <w:r w:rsidRPr="002F4348">
        <w:rPr>
          <w:b/>
          <w:bCs/>
        </w:rPr>
        <w:t xml:space="preserve"> </w:t>
      </w:r>
      <w:r w:rsidRPr="002F4348">
        <w:t>д.м.н., профессор, заместитель главного врача по гематологии ГБУЗ «ГКБ им. С.П. Боткина», главный внештатный специалист-гематолог Департамента здравоохранения города Москвы, член Национального гематологического общества и Российского общества онкогематологов.</w:t>
      </w:r>
    </w:p>
    <w:p w14:paraId="36EA1067" w14:textId="77777777" w:rsidR="004F0134" w:rsidRPr="002F4348" w:rsidRDefault="004F0134" w:rsidP="00B153FC">
      <w:pPr>
        <w:pStyle w:val="afe"/>
        <w:numPr>
          <w:ilvl w:val="0"/>
          <w:numId w:val="37"/>
        </w:numPr>
      </w:pPr>
      <w:r w:rsidRPr="002F4348">
        <w:rPr>
          <w:b/>
        </w:rPr>
        <w:t xml:space="preserve">Османов Евгений Александрович </w:t>
      </w:r>
      <w:r w:rsidRPr="002F4348">
        <w:t>–</w:t>
      </w:r>
      <w:r w:rsidRPr="002F4348">
        <w:rPr>
          <w:b/>
        </w:rPr>
        <w:t xml:space="preserve"> </w:t>
      </w:r>
      <w:r w:rsidRPr="002F4348">
        <w:rPr>
          <w:bCs/>
        </w:rPr>
        <w:t xml:space="preserve">д.м.н., профессор, зав. отделом гематологии и трансплантации костного мозга ФГБУ «НМИЦ онкологии им. Н.Н. Блохина» Минздрава России, профессор кафедры онкологии ФГАОУ ВО Первый МГМУ имени И.М. Сеченова Минздрава России, </w:t>
      </w:r>
      <w:r w:rsidRPr="002F4348">
        <w:t>член правления Российского общества онкогематологов.</w:t>
      </w:r>
    </w:p>
    <w:p w14:paraId="4C84197B" w14:textId="77777777" w:rsidR="004F0134" w:rsidRPr="002F4348" w:rsidRDefault="004F0134" w:rsidP="00B153FC">
      <w:pPr>
        <w:pStyle w:val="afe"/>
        <w:numPr>
          <w:ilvl w:val="0"/>
          <w:numId w:val="37"/>
        </w:numPr>
      </w:pPr>
      <w:r w:rsidRPr="002F4348">
        <w:rPr>
          <w:b/>
        </w:rPr>
        <w:t xml:space="preserve">Поддубная Ирина Владимировна </w:t>
      </w:r>
      <w:r w:rsidRPr="002F4348">
        <w:t>– академик РАН, заслуженный деятель образования РФ, д.м.н., профессор, зав. кафедрой онкологии и паллиативной медицины, проректор по лечебной работе и международному сотрудничеству ГБОУ ДПО РМАНПО Минздрава России, председатель Российского общества онкогематологов.</w:t>
      </w:r>
    </w:p>
    <w:p w14:paraId="02D26A44" w14:textId="77777777" w:rsidR="004F0134" w:rsidRPr="002F4348" w:rsidRDefault="004F0134" w:rsidP="00B153FC">
      <w:pPr>
        <w:pStyle w:val="afe"/>
        <w:numPr>
          <w:ilvl w:val="0"/>
          <w:numId w:val="37"/>
        </w:numPr>
      </w:pPr>
      <w:r w:rsidRPr="002F4348">
        <w:rPr>
          <w:b/>
          <w:bCs/>
        </w:rPr>
        <w:t>Байков Вадим Валентинович</w:t>
      </w:r>
      <w:r w:rsidRPr="002F4348">
        <w:t xml:space="preserve"> – д.м.н., профессор кафедры патологической анатомии, заведующий лабораторией патоморфологии НИИ детской онкологии, гематологии и трансплантологии им. Р.М. Горбачевой Первого Санкт-Петербургского государственного медицинского университета им. акад. И.П. Павлова Минздрава России, член президиума Российского общества патологоанатомов, член правления Российского общества онкогематологов.</w:t>
      </w:r>
    </w:p>
    <w:p w14:paraId="5D43595D" w14:textId="77777777" w:rsidR="004F0134" w:rsidRPr="002F4348" w:rsidRDefault="004F0134" w:rsidP="00B153FC">
      <w:pPr>
        <w:pStyle w:val="afe"/>
        <w:numPr>
          <w:ilvl w:val="0"/>
          <w:numId w:val="37"/>
        </w:numPr>
      </w:pPr>
      <w:r w:rsidRPr="002F4348">
        <w:rPr>
          <w:b/>
          <w:bCs/>
        </w:rPr>
        <w:t xml:space="preserve">Ковригина Алла Михайловна </w:t>
      </w:r>
      <w:r w:rsidRPr="002F4348">
        <w:t>– д.б.н., профессор кафедры патологической анатомии, цитологии и молекулярной патологии Института повышения квалификации ФМБА РФ, заведующая патологоанатомическим отделением «НМИЦ гематологии» Минздрава России, член президиума Российского общества патологоанатомов, член правления Российского общества онкогематологов.</w:t>
      </w:r>
    </w:p>
    <w:p w14:paraId="7BC83A7F" w14:textId="77777777" w:rsidR="00AB3FBF" w:rsidRPr="002F4348" w:rsidRDefault="00AB3FBF" w:rsidP="00B153FC">
      <w:pPr>
        <w:pStyle w:val="afe"/>
        <w:numPr>
          <w:ilvl w:val="0"/>
          <w:numId w:val="37"/>
        </w:numPr>
      </w:pPr>
      <w:r w:rsidRPr="002F4348">
        <w:rPr>
          <w:b/>
          <w:bCs/>
        </w:rPr>
        <w:t xml:space="preserve">Коновалов Дмитрий Михайлович </w:t>
      </w:r>
      <w:r w:rsidRPr="002F4348">
        <w:t xml:space="preserve">– к.м.н., зав. </w:t>
      </w:r>
      <w:r w:rsidR="00470887" w:rsidRPr="002F4348">
        <w:t>патолого</w:t>
      </w:r>
      <w:r w:rsidRPr="002F4348">
        <w:t>анатомическим отделением ФГБУ «НМИЦ ДГОИ им. Дмитрия Рогачева» Минздрава России</w:t>
      </w:r>
    </w:p>
    <w:p w14:paraId="4B7918B1" w14:textId="77777777" w:rsidR="00C7219D" w:rsidRPr="002F4348" w:rsidRDefault="00C7219D" w:rsidP="00B153FC">
      <w:pPr>
        <w:pStyle w:val="afe"/>
        <w:numPr>
          <w:ilvl w:val="0"/>
          <w:numId w:val="37"/>
        </w:numPr>
      </w:pPr>
      <w:r w:rsidRPr="002F4348">
        <w:rPr>
          <w:b/>
          <w:bCs/>
        </w:rPr>
        <w:t>Трофимова Оксана Петровна</w:t>
      </w:r>
      <w:r w:rsidRPr="002F4348">
        <w:t xml:space="preserve"> – д.м.н., ведущий научный сотрудник радиологического отделения ФГБУ «НМИЦ им. Н.Н. Блохина» Минздрава России, доцент кафедры онкологии ГБОУ ДПО РМАНПО Минздрава России, член Российской Ассоциации терапевтических радиационных онкологов.</w:t>
      </w:r>
    </w:p>
    <w:p w14:paraId="7FB51032" w14:textId="77777777" w:rsidR="00C6020A" w:rsidRPr="002F4348" w:rsidRDefault="00C6020A" w:rsidP="00B153FC">
      <w:pPr>
        <w:pStyle w:val="afe"/>
        <w:numPr>
          <w:ilvl w:val="0"/>
          <w:numId w:val="37"/>
        </w:numPr>
      </w:pPr>
      <w:r w:rsidRPr="002F4348">
        <w:rPr>
          <w:b/>
          <w:bCs/>
        </w:rPr>
        <w:t xml:space="preserve">Сотников Владимир Михайлович </w:t>
      </w:r>
      <w:r w:rsidRPr="002F4348">
        <w:t>– д.м.н., руководитель лаборатории лучевой терапии ФГБУ «РНЦРР» Минздрава России.</w:t>
      </w:r>
    </w:p>
    <w:p w14:paraId="603B3C75" w14:textId="77777777" w:rsidR="00C6020A" w:rsidRPr="002F4348" w:rsidRDefault="00C6020A" w:rsidP="00B153FC">
      <w:pPr>
        <w:pStyle w:val="afe"/>
        <w:numPr>
          <w:ilvl w:val="0"/>
          <w:numId w:val="37"/>
        </w:numPr>
      </w:pPr>
      <w:r w:rsidRPr="002F4348">
        <w:rPr>
          <w:b/>
          <w:bCs/>
        </w:rPr>
        <w:t xml:space="preserve">Ильин Николай Васильевич </w:t>
      </w:r>
      <w:r w:rsidRPr="002F4348">
        <w:t>– д.м.н., профессор, профессор кафедры радиологии, хирургии и онкологии, главный научный сотрудник отдела лучевых и комбинированных методов лечения ФГБУ «Российский научный центр радиологии и хирургических технологий имени академика А.М. Гранова» Минздрава России.</w:t>
      </w:r>
    </w:p>
    <w:p w14:paraId="5B8B3CBA" w14:textId="77777777" w:rsidR="00C6020A" w:rsidRPr="002F4348" w:rsidRDefault="00C6020A" w:rsidP="00B153FC">
      <w:pPr>
        <w:pStyle w:val="afe"/>
        <w:numPr>
          <w:ilvl w:val="0"/>
          <w:numId w:val="37"/>
        </w:numPr>
      </w:pPr>
      <w:r w:rsidRPr="002F4348">
        <w:rPr>
          <w:b/>
          <w:bCs/>
        </w:rPr>
        <w:t xml:space="preserve">Виноградова Юлия Николаевна </w:t>
      </w:r>
      <w:r w:rsidRPr="002F4348">
        <w:t>– д.м.н., руководитель отдела лучевых и комбинированных методов лечения, главный научный сотрудник отдела лучевых и комбинированных методов лечения ФГБУ «Российский научный центр радиологии и хирургических технологий имени академика А.М. Гранова» Минздрава России.</w:t>
      </w:r>
    </w:p>
    <w:p w14:paraId="07A59ED0" w14:textId="77777777" w:rsidR="000472C3" w:rsidRPr="002F4348" w:rsidRDefault="000472C3" w:rsidP="00B153FC">
      <w:pPr>
        <w:pStyle w:val="afe"/>
        <w:numPr>
          <w:ilvl w:val="0"/>
          <w:numId w:val="37"/>
        </w:numPr>
      </w:pPr>
      <w:r w:rsidRPr="002F4348">
        <w:rPr>
          <w:rFonts w:eastAsia="Times New Roman" w:cs="Times New Roman"/>
          <w:b/>
          <w:bCs/>
          <w:szCs w:val="24"/>
        </w:rPr>
        <w:t>Нечеснюк Алексей Владимирович</w:t>
      </w:r>
      <w:r w:rsidRPr="002F4348">
        <w:rPr>
          <w:rFonts w:eastAsia="Times New Roman" w:cs="Times New Roman"/>
          <w:szCs w:val="24"/>
        </w:rPr>
        <w:t xml:space="preserve"> – д.м.н., зав. отделением лучевой терапии </w:t>
      </w:r>
      <w:r w:rsidRPr="002F4348">
        <w:rPr>
          <w:rStyle w:val="affb"/>
          <w:rFonts w:eastAsia="Times New Roman"/>
          <w:b w:val="0"/>
        </w:rPr>
        <w:t>ФГБУ НМИЦ ДГОИ им. Д. Рогачева,</w:t>
      </w:r>
      <w:r w:rsidRPr="002F4348">
        <w:rPr>
          <w:rFonts w:eastAsia="Times New Roman" w:cs="Times New Roman"/>
          <w:szCs w:val="24"/>
        </w:rPr>
        <w:t xml:space="preserve"> член </w:t>
      </w:r>
      <w:r w:rsidRPr="002F4348">
        <w:t>Национального общества детских гематологов и онкологов</w:t>
      </w:r>
    </w:p>
    <w:p w14:paraId="77CA52F9" w14:textId="77777777" w:rsidR="000472C3" w:rsidRPr="002F4348" w:rsidRDefault="000472C3" w:rsidP="00B153FC">
      <w:pPr>
        <w:pStyle w:val="afe"/>
        <w:numPr>
          <w:ilvl w:val="0"/>
          <w:numId w:val="37"/>
        </w:numPr>
      </w:pPr>
      <w:r w:rsidRPr="002F4348">
        <w:rPr>
          <w:rFonts w:eastAsia="Times New Roman" w:cs="Times New Roman"/>
          <w:b/>
          <w:bCs/>
          <w:szCs w:val="24"/>
        </w:rPr>
        <w:t>Пархоменко Роман Алексеевич</w:t>
      </w:r>
      <w:r w:rsidRPr="002F4348">
        <w:rPr>
          <w:rFonts w:eastAsia="Times New Roman" w:cs="Times New Roman"/>
          <w:szCs w:val="24"/>
        </w:rPr>
        <w:t xml:space="preserve"> – д.м.н., старший научный сотрудник лаборатории комплексных методов лечения онкологических заболеваний у детей ФГБУ «РНЦРР» Минздрава России </w:t>
      </w:r>
    </w:p>
    <w:p w14:paraId="27DE0A40" w14:textId="77777777" w:rsidR="00D27637" w:rsidRPr="002F4348" w:rsidRDefault="00D27637" w:rsidP="00B153FC">
      <w:pPr>
        <w:pStyle w:val="afe"/>
        <w:numPr>
          <w:ilvl w:val="0"/>
          <w:numId w:val="37"/>
        </w:numPr>
      </w:pPr>
      <w:r w:rsidRPr="002F4348">
        <w:rPr>
          <w:b/>
          <w:bCs/>
        </w:rPr>
        <w:t xml:space="preserve">Стефанов Дмитрий Николаевич </w:t>
      </w:r>
      <w:r w:rsidRPr="002F4348">
        <w:t>– научный сотрудник научно-организационного отдела, ФГБУ «НМИЦ ДГОИ им. Дмитрия Рогачева» Минздрава России, член Росси</w:t>
      </w:r>
      <w:r w:rsidRPr="002F4348">
        <w:tab/>
        <w:t>йского общества онкогематологов</w:t>
      </w:r>
    </w:p>
    <w:p w14:paraId="0C3C1364" w14:textId="77777777" w:rsidR="004F0134" w:rsidRPr="002F4348" w:rsidRDefault="004F0134" w:rsidP="00B153FC">
      <w:pPr>
        <w:pStyle w:val="Default"/>
        <w:numPr>
          <w:ilvl w:val="0"/>
          <w:numId w:val="37"/>
        </w:numPr>
        <w:spacing w:line="360" w:lineRule="auto"/>
      </w:pPr>
      <w:r w:rsidRPr="002F4348">
        <w:rPr>
          <w:b/>
          <w:bCs/>
        </w:rPr>
        <w:t>Невольских Алексей Алексеевич</w:t>
      </w:r>
      <w:r w:rsidRPr="002F4348">
        <w:t xml:space="preserve"> – д.м.н., заместитель директора по лечебной работе МРНЦ им. А.Ф. Цыба – филиал ФГБУ «НМИЦ радиологии» Минздрава России.</w:t>
      </w:r>
    </w:p>
    <w:p w14:paraId="77C0AA82" w14:textId="77777777" w:rsidR="004F0134" w:rsidRPr="002F4348" w:rsidRDefault="004F0134" w:rsidP="00B153FC">
      <w:pPr>
        <w:pStyle w:val="Default"/>
        <w:numPr>
          <w:ilvl w:val="0"/>
          <w:numId w:val="37"/>
        </w:numPr>
        <w:spacing w:line="360" w:lineRule="auto"/>
      </w:pPr>
      <w:r w:rsidRPr="002F4348">
        <w:rPr>
          <w:b/>
          <w:bCs/>
        </w:rPr>
        <w:t>Иванов Сергей Анатольевич</w:t>
      </w:r>
      <w:r w:rsidRPr="002F4348">
        <w:t xml:space="preserve"> – профессор РАН, д.м.н., директор МРНЦ им. А.Ф. Цыба – филиал ФГБУ «НМИЦ радиологии» Минздрава России.</w:t>
      </w:r>
    </w:p>
    <w:p w14:paraId="355A2C7F" w14:textId="64F21F1D" w:rsidR="004F0134" w:rsidRPr="002F4348" w:rsidRDefault="004F0134" w:rsidP="00B153FC">
      <w:pPr>
        <w:pStyle w:val="Default"/>
        <w:numPr>
          <w:ilvl w:val="0"/>
          <w:numId w:val="37"/>
        </w:numPr>
        <w:spacing w:line="360" w:lineRule="auto"/>
      </w:pPr>
      <w:r w:rsidRPr="002F4348">
        <w:rPr>
          <w:b/>
          <w:bCs/>
        </w:rPr>
        <w:t>Хайлова Жанна Владимировна</w:t>
      </w:r>
      <w:r w:rsidRPr="002F4348">
        <w:t xml:space="preserve"> – к</w:t>
      </w:r>
      <w:r w:rsidR="00225AE5">
        <w:t xml:space="preserve">.м.н., </w:t>
      </w:r>
      <w:r w:rsidRPr="002F4348">
        <w:t>заместитель директора по организационно-методической работе МРНЦ им. А.Ф. Цыба – филиал ФГБУ «НМИЦ радиологии» Минздрава России.</w:t>
      </w:r>
    </w:p>
    <w:p w14:paraId="5F69D3EF" w14:textId="7AD996B4" w:rsidR="004F0134" w:rsidRPr="00222534" w:rsidRDefault="004F0134" w:rsidP="00B153FC">
      <w:pPr>
        <w:numPr>
          <w:ilvl w:val="0"/>
          <w:numId w:val="37"/>
        </w:numPr>
      </w:pPr>
      <w:r w:rsidRPr="002F4348">
        <w:rPr>
          <w:b/>
          <w:bCs/>
          <w:shd w:val="clear" w:color="auto" w:fill="FFFFFF"/>
        </w:rPr>
        <w:t>Геворкян Тигран Гагикович</w:t>
      </w:r>
      <w:r w:rsidRPr="002F4348">
        <w:rPr>
          <w:shd w:val="clear" w:color="auto" w:fill="FFFFFF"/>
        </w:rPr>
        <w:t xml:space="preserve"> – заместитель директора НИИ КЭР ФГБУ «НМИЦ онкологии им. Н.Н. Блохина».</w:t>
      </w:r>
    </w:p>
    <w:p w14:paraId="11340E10" w14:textId="77777777" w:rsidR="00E379AE" w:rsidRPr="00783CF6" w:rsidRDefault="00E379AE" w:rsidP="00783CF6">
      <w:pPr>
        <w:pStyle w:val="1ff0"/>
        <w:spacing w:beforeAutospacing="0" w:afterAutospacing="0" w:line="360" w:lineRule="auto"/>
        <w:rPr>
          <w:b/>
          <w:bCs/>
          <w:shd w:val="clear" w:color="auto" w:fill="FFFFFF"/>
        </w:rPr>
      </w:pPr>
      <w:r w:rsidRPr="00783CF6">
        <w:rPr>
          <w:b/>
          <w:bCs/>
          <w:shd w:val="clear" w:color="auto" w:fill="FFFFFF"/>
        </w:rPr>
        <w:t>Блок по трансплантации аллогенных гемопоэтических стволовых клеток</w:t>
      </w:r>
    </w:p>
    <w:p w14:paraId="150C3270" w14:textId="77777777" w:rsidR="00E379AE" w:rsidRPr="00E474D3" w:rsidRDefault="00E379AE" w:rsidP="00E379AE">
      <w:pPr>
        <w:rPr>
          <w:rFonts w:eastAsia="SimSun"/>
          <w:szCs w:val="24"/>
        </w:rPr>
      </w:pPr>
    </w:p>
    <w:p w14:paraId="0FF7B620" w14:textId="41E8ABD4" w:rsidR="00E379AE" w:rsidRPr="00E474D3" w:rsidRDefault="00E379AE" w:rsidP="00E379AE">
      <w:pPr>
        <w:pStyle w:val="afe"/>
        <w:numPr>
          <w:ilvl w:val="0"/>
          <w:numId w:val="37"/>
        </w:numPr>
        <w:overflowPunct w:val="0"/>
        <w:autoSpaceDE w:val="0"/>
        <w:autoSpaceDN w:val="0"/>
        <w:adjustRightInd w:val="0"/>
        <w:jc w:val="left"/>
        <w:textAlignment w:val="baseline"/>
        <w:rPr>
          <w:rFonts w:eastAsia="SimSun"/>
          <w:szCs w:val="24"/>
        </w:rPr>
      </w:pPr>
      <w:r w:rsidRPr="00467C29">
        <w:rPr>
          <w:rFonts w:eastAsia="SimSun"/>
          <w:b/>
          <w:bCs/>
          <w:szCs w:val="24"/>
        </w:rPr>
        <w:t>Савченко Валерий Григорьевич</w:t>
      </w:r>
      <w:r w:rsidRPr="00E474D3">
        <w:rPr>
          <w:rFonts w:eastAsia="SimSun"/>
          <w:szCs w:val="24"/>
        </w:rPr>
        <w:t xml:space="preserve"> </w:t>
      </w:r>
      <w:r w:rsidR="00783CF6">
        <w:rPr>
          <w:rFonts w:eastAsia="SimSun"/>
          <w:szCs w:val="24"/>
        </w:rPr>
        <w:t xml:space="preserve">– </w:t>
      </w:r>
      <w:r w:rsidRPr="00E474D3">
        <w:rPr>
          <w:szCs w:val="24"/>
        </w:rPr>
        <w:t>д.м.н., профессор, академик РАН</w:t>
      </w:r>
      <w:r>
        <w:rPr>
          <w:rFonts w:eastAsia="SimSun"/>
          <w:szCs w:val="24"/>
        </w:rPr>
        <w:t>,</w:t>
      </w:r>
      <w:r w:rsidRPr="00E474D3">
        <w:rPr>
          <w:rFonts w:eastAsia="SimSun"/>
          <w:szCs w:val="24"/>
        </w:rPr>
        <w:t xml:space="preserve"> </w:t>
      </w:r>
      <w:r w:rsidRPr="00E474D3">
        <w:rPr>
          <w:szCs w:val="24"/>
        </w:rPr>
        <w:t xml:space="preserve">главный внештатный специалист гематолог Министерства здравоохранения РФ, Генеральный директор ФГБУ «НМИЦ гематологии» Минздрава России, </w:t>
      </w:r>
    </w:p>
    <w:p w14:paraId="2D12AF62" w14:textId="51E1B333" w:rsidR="00E379AE" w:rsidRPr="00E474D3" w:rsidRDefault="00E379AE" w:rsidP="00E379AE">
      <w:pPr>
        <w:pStyle w:val="afe"/>
        <w:numPr>
          <w:ilvl w:val="0"/>
          <w:numId w:val="37"/>
        </w:numPr>
        <w:overflowPunct w:val="0"/>
        <w:autoSpaceDE w:val="0"/>
        <w:autoSpaceDN w:val="0"/>
        <w:adjustRightInd w:val="0"/>
        <w:jc w:val="left"/>
        <w:textAlignment w:val="baseline"/>
        <w:rPr>
          <w:rFonts w:eastAsia="SimSun"/>
          <w:szCs w:val="24"/>
        </w:rPr>
      </w:pPr>
      <w:r w:rsidRPr="00467C29">
        <w:rPr>
          <w:rFonts w:eastAsia="SimSun"/>
          <w:b/>
          <w:bCs/>
          <w:szCs w:val="24"/>
        </w:rPr>
        <w:t>Дроков Михаил Юрьевич</w:t>
      </w:r>
      <w:r w:rsidR="00783CF6">
        <w:rPr>
          <w:rFonts w:eastAsia="SimSun"/>
          <w:b/>
          <w:bCs/>
          <w:szCs w:val="24"/>
        </w:rPr>
        <w:t xml:space="preserve"> –</w:t>
      </w:r>
      <w:r w:rsidRPr="00467C29">
        <w:rPr>
          <w:rFonts w:eastAsia="SimSun"/>
          <w:b/>
          <w:bCs/>
          <w:szCs w:val="24"/>
        </w:rPr>
        <w:t xml:space="preserve"> </w:t>
      </w:r>
      <w:r w:rsidRPr="00E474D3">
        <w:rPr>
          <w:rFonts w:eastAsia="SimSun"/>
          <w:szCs w:val="24"/>
        </w:rPr>
        <w:t>к.м.н.</w:t>
      </w:r>
      <w:r>
        <w:rPr>
          <w:rFonts w:eastAsia="SimSun"/>
          <w:szCs w:val="24"/>
        </w:rPr>
        <w:t xml:space="preserve">, </w:t>
      </w:r>
      <w:r w:rsidRPr="00E474D3">
        <w:rPr>
          <w:rFonts w:eastAsia="SimSun"/>
          <w:szCs w:val="24"/>
        </w:rPr>
        <w:t>руководитель сектора по изучению иммунных воздействий и осложнений после ТКМ ФГБУ «НМИЦ гематологии» Минздрава России</w:t>
      </w:r>
    </w:p>
    <w:p w14:paraId="40DF2090" w14:textId="12FD8C85" w:rsidR="00E379AE" w:rsidRPr="00E474D3" w:rsidRDefault="00E379AE" w:rsidP="00E379AE">
      <w:pPr>
        <w:pStyle w:val="afe"/>
        <w:numPr>
          <w:ilvl w:val="0"/>
          <w:numId w:val="37"/>
        </w:numPr>
        <w:overflowPunct w:val="0"/>
        <w:autoSpaceDE w:val="0"/>
        <w:autoSpaceDN w:val="0"/>
        <w:adjustRightInd w:val="0"/>
        <w:textAlignment w:val="baseline"/>
        <w:rPr>
          <w:rFonts w:eastAsia="SimSun"/>
          <w:szCs w:val="24"/>
        </w:rPr>
      </w:pPr>
      <w:r w:rsidRPr="00467C29">
        <w:rPr>
          <w:rFonts w:eastAsia="SimSun"/>
          <w:b/>
          <w:bCs/>
          <w:szCs w:val="24"/>
        </w:rPr>
        <w:t>Васильева Вера Алексеевна</w:t>
      </w:r>
      <w:r w:rsidR="00783CF6">
        <w:rPr>
          <w:rFonts w:eastAsia="SimSun"/>
          <w:b/>
          <w:bCs/>
          <w:szCs w:val="24"/>
        </w:rPr>
        <w:t xml:space="preserve"> –</w:t>
      </w:r>
      <w:r>
        <w:rPr>
          <w:rFonts w:eastAsia="SimSun"/>
          <w:szCs w:val="24"/>
        </w:rPr>
        <w:t xml:space="preserve"> </w:t>
      </w:r>
      <w:r w:rsidRPr="00E474D3">
        <w:rPr>
          <w:rFonts w:eastAsia="SimSun"/>
          <w:szCs w:val="24"/>
        </w:rPr>
        <w:t>к.м.н.</w:t>
      </w:r>
      <w:r>
        <w:rPr>
          <w:rFonts w:eastAsia="SimSun"/>
          <w:szCs w:val="24"/>
        </w:rPr>
        <w:t xml:space="preserve">, </w:t>
      </w:r>
      <w:r w:rsidRPr="00E474D3">
        <w:rPr>
          <w:rFonts w:eastAsia="SimSun"/>
          <w:szCs w:val="24"/>
        </w:rPr>
        <w:t>заведующая отделением иммунохимиотерапии с дневным стационаром для больных после ТКМ ФГБУ «НМИЦ гематологии» Минздрава России</w:t>
      </w:r>
    </w:p>
    <w:p w14:paraId="4AF1059C" w14:textId="13E5C526" w:rsidR="00E379AE" w:rsidRPr="00E474D3" w:rsidRDefault="00E379AE" w:rsidP="00E379AE">
      <w:pPr>
        <w:pStyle w:val="afe"/>
        <w:numPr>
          <w:ilvl w:val="0"/>
          <w:numId w:val="37"/>
        </w:numPr>
        <w:overflowPunct w:val="0"/>
        <w:autoSpaceDE w:val="0"/>
        <w:autoSpaceDN w:val="0"/>
        <w:adjustRightInd w:val="0"/>
        <w:textAlignment w:val="baseline"/>
        <w:rPr>
          <w:rFonts w:eastAsia="SimSun"/>
          <w:szCs w:val="24"/>
        </w:rPr>
      </w:pPr>
      <w:r w:rsidRPr="00467C29">
        <w:rPr>
          <w:rFonts w:eastAsia="SimSun"/>
          <w:b/>
          <w:bCs/>
          <w:szCs w:val="24"/>
        </w:rPr>
        <w:t>Власова Юлия Юрьевна</w:t>
      </w:r>
      <w:r w:rsidR="00783CF6">
        <w:rPr>
          <w:rFonts w:eastAsia="SimSun"/>
          <w:b/>
          <w:bCs/>
          <w:szCs w:val="24"/>
        </w:rPr>
        <w:t xml:space="preserve"> –</w:t>
      </w:r>
      <w:r>
        <w:rPr>
          <w:rFonts w:eastAsia="SimSun"/>
          <w:szCs w:val="24"/>
        </w:rPr>
        <w:t xml:space="preserve"> </w:t>
      </w:r>
      <w:r w:rsidRPr="00E474D3">
        <w:rPr>
          <w:rFonts w:eastAsia="SimSun"/>
          <w:szCs w:val="24"/>
        </w:rPr>
        <w:t>к.м.н.</w:t>
      </w:r>
      <w:r>
        <w:rPr>
          <w:rFonts w:eastAsia="SimSun"/>
          <w:szCs w:val="24"/>
        </w:rPr>
        <w:t>,</w:t>
      </w:r>
      <w:r w:rsidRPr="00E474D3">
        <w:rPr>
          <w:rFonts w:eastAsia="SimSun"/>
          <w:szCs w:val="24"/>
        </w:rPr>
        <w:t xml:space="preserve"> зав. отделением транспантации костного мозга для взрослых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p>
    <w:p w14:paraId="1B710E96" w14:textId="2FF04ED0" w:rsidR="00E379AE" w:rsidRPr="00E474D3" w:rsidRDefault="00E379AE" w:rsidP="00E379AE">
      <w:pPr>
        <w:pStyle w:val="afe"/>
        <w:numPr>
          <w:ilvl w:val="0"/>
          <w:numId w:val="37"/>
        </w:numPr>
        <w:overflowPunct w:val="0"/>
        <w:autoSpaceDE w:val="0"/>
        <w:autoSpaceDN w:val="0"/>
        <w:adjustRightInd w:val="0"/>
        <w:textAlignment w:val="baseline"/>
        <w:rPr>
          <w:rFonts w:eastAsia="SimSun"/>
          <w:szCs w:val="24"/>
        </w:rPr>
      </w:pPr>
      <w:r w:rsidRPr="00467C29">
        <w:rPr>
          <w:rFonts w:eastAsia="SimSun"/>
          <w:b/>
          <w:bCs/>
          <w:szCs w:val="24"/>
        </w:rPr>
        <w:t>Гапонова Татьяна Владимировна</w:t>
      </w:r>
      <w:r w:rsidR="00783CF6">
        <w:rPr>
          <w:rFonts w:eastAsia="SimSun"/>
          <w:b/>
          <w:bCs/>
          <w:szCs w:val="24"/>
        </w:rPr>
        <w:t xml:space="preserve"> –</w:t>
      </w:r>
      <w:r>
        <w:rPr>
          <w:rFonts w:eastAsia="SimSun"/>
          <w:szCs w:val="24"/>
        </w:rPr>
        <w:t xml:space="preserve"> </w:t>
      </w:r>
      <w:r w:rsidRPr="00E474D3">
        <w:rPr>
          <w:rFonts w:eastAsia="SimSun"/>
          <w:szCs w:val="24"/>
        </w:rPr>
        <w:t>к.м.н.</w:t>
      </w:r>
      <w:r>
        <w:rPr>
          <w:rFonts w:eastAsia="SimSun"/>
          <w:szCs w:val="24"/>
        </w:rPr>
        <w:t xml:space="preserve">, </w:t>
      </w:r>
      <w:r w:rsidRPr="00E474D3">
        <w:rPr>
          <w:rFonts w:eastAsia="SimSun"/>
          <w:szCs w:val="24"/>
        </w:rPr>
        <w:t xml:space="preserve">главный внештатный специалист-трансфузиолог </w:t>
      </w:r>
      <w:r w:rsidRPr="00E474D3">
        <w:rPr>
          <w:szCs w:val="24"/>
        </w:rPr>
        <w:t>Министерства здравоохранения РФ,</w:t>
      </w:r>
      <w:r w:rsidRPr="00E474D3">
        <w:rPr>
          <w:rFonts w:eastAsia="SimSun"/>
          <w:szCs w:val="24"/>
        </w:rPr>
        <w:t xml:space="preserve"> заместитель Генерального директора ФГБУ «НМИЦ гематологии» Минздрава России, зав. отделом процессинга клеток крови и криоконсервирования</w:t>
      </w:r>
    </w:p>
    <w:p w14:paraId="5B494CF5" w14:textId="4CDF1728" w:rsidR="00E379AE" w:rsidRPr="00E474D3" w:rsidRDefault="00E379AE" w:rsidP="00E379AE">
      <w:pPr>
        <w:pStyle w:val="afe"/>
        <w:numPr>
          <w:ilvl w:val="0"/>
          <w:numId w:val="37"/>
        </w:numPr>
        <w:overflowPunct w:val="0"/>
        <w:autoSpaceDE w:val="0"/>
        <w:autoSpaceDN w:val="0"/>
        <w:adjustRightInd w:val="0"/>
        <w:textAlignment w:val="baseline"/>
        <w:rPr>
          <w:rFonts w:eastAsia="SimSun"/>
          <w:szCs w:val="24"/>
        </w:rPr>
      </w:pPr>
      <w:r w:rsidRPr="00467C29">
        <w:rPr>
          <w:rFonts w:eastAsia="SimSun"/>
          <w:b/>
          <w:bCs/>
          <w:szCs w:val="24"/>
        </w:rPr>
        <w:t>Грицаев Сергей Васильевич</w:t>
      </w:r>
      <w:r w:rsidR="00783CF6">
        <w:rPr>
          <w:rFonts w:eastAsia="SimSun"/>
          <w:b/>
          <w:bCs/>
          <w:szCs w:val="24"/>
        </w:rPr>
        <w:t xml:space="preserve"> –</w:t>
      </w:r>
      <w:r>
        <w:rPr>
          <w:rFonts w:eastAsia="SimSun"/>
          <w:szCs w:val="24"/>
        </w:rPr>
        <w:t xml:space="preserve"> </w:t>
      </w:r>
      <w:r w:rsidRPr="00E474D3">
        <w:rPr>
          <w:rFonts w:eastAsia="SimSun"/>
          <w:szCs w:val="24"/>
        </w:rPr>
        <w:t>д.м.н.</w:t>
      </w:r>
      <w:r>
        <w:rPr>
          <w:rFonts w:eastAsia="SimSun"/>
          <w:szCs w:val="24"/>
        </w:rPr>
        <w:t>,</w:t>
      </w:r>
      <w:r w:rsidRPr="00E474D3">
        <w:rPr>
          <w:szCs w:val="24"/>
        </w:rPr>
        <w:t xml:space="preserve"> </w:t>
      </w:r>
      <w:r w:rsidRPr="00E474D3">
        <w:rPr>
          <w:rFonts w:eastAsia="SimSun"/>
          <w:szCs w:val="24"/>
        </w:rPr>
        <w:t>руководитель Республиканского центра ТКМ ФГБУ РосНИИГТ ФМБА России</w:t>
      </w:r>
    </w:p>
    <w:p w14:paraId="261A4340" w14:textId="31E9FD90" w:rsidR="00E379AE" w:rsidRPr="00E474D3" w:rsidRDefault="00E379AE" w:rsidP="00E379AE">
      <w:pPr>
        <w:pStyle w:val="afe"/>
        <w:numPr>
          <w:ilvl w:val="0"/>
          <w:numId w:val="37"/>
        </w:numPr>
        <w:overflowPunct w:val="0"/>
        <w:autoSpaceDE w:val="0"/>
        <w:autoSpaceDN w:val="0"/>
        <w:adjustRightInd w:val="0"/>
        <w:textAlignment w:val="baseline"/>
        <w:rPr>
          <w:rFonts w:eastAsia="SimSun"/>
          <w:szCs w:val="24"/>
        </w:rPr>
      </w:pPr>
      <w:r w:rsidRPr="00467C29">
        <w:rPr>
          <w:rFonts w:eastAsia="SimSun"/>
          <w:b/>
          <w:bCs/>
          <w:szCs w:val="24"/>
        </w:rPr>
        <w:t>Зарицкий Андрей Юрьевич</w:t>
      </w:r>
      <w:r w:rsidR="00EB7A26">
        <w:rPr>
          <w:rFonts w:eastAsia="SimSun"/>
          <w:b/>
          <w:bCs/>
          <w:szCs w:val="24"/>
        </w:rPr>
        <w:t xml:space="preserve"> –</w:t>
      </w:r>
      <w:r>
        <w:rPr>
          <w:rFonts w:eastAsia="SimSun"/>
          <w:szCs w:val="24"/>
        </w:rPr>
        <w:t xml:space="preserve"> </w:t>
      </w:r>
      <w:r w:rsidRPr="00E474D3">
        <w:rPr>
          <w:rFonts w:eastAsia="SimSun"/>
          <w:szCs w:val="24"/>
        </w:rPr>
        <w:t>д.м.н</w:t>
      </w:r>
      <w:r>
        <w:rPr>
          <w:rFonts w:eastAsia="SimSun"/>
          <w:szCs w:val="24"/>
        </w:rPr>
        <w:t>., д</w:t>
      </w:r>
      <w:r w:rsidRPr="00E474D3">
        <w:rPr>
          <w:rFonts w:eastAsia="SimSun"/>
          <w:szCs w:val="24"/>
        </w:rPr>
        <w:t xml:space="preserve">иректор института гематологии, ФГБУ НМИЦ им В.А. Алмазова, </w:t>
      </w:r>
    </w:p>
    <w:p w14:paraId="5892A579" w14:textId="1A752047" w:rsidR="00E379AE" w:rsidRPr="00E474D3" w:rsidRDefault="00E379AE" w:rsidP="00E379AE">
      <w:pPr>
        <w:pStyle w:val="afe"/>
        <w:numPr>
          <w:ilvl w:val="0"/>
          <w:numId w:val="37"/>
        </w:numPr>
        <w:overflowPunct w:val="0"/>
        <w:autoSpaceDE w:val="0"/>
        <w:autoSpaceDN w:val="0"/>
        <w:adjustRightInd w:val="0"/>
        <w:textAlignment w:val="baseline"/>
        <w:rPr>
          <w:rFonts w:eastAsia="SimSun"/>
          <w:szCs w:val="24"/>
        </w:rPr>
      </w:pPr>
      <w:r w:rsidRPr="00467C29">
        <w:rPr>
          <w:rFonts w:eastAsia="SimSun"/>
          <w:b/>
          <w:bCs/>
          <w:szCs w:val="24"/>
        </w:rPr>
        <w:t>Зюзгин Илья Сергеевич</w:t>
      </w:r>
      <w:r w:rsidR="00EB7A26">
        <w:rPr>
          <w:rFonts w:eastAsia="SimSun"/>
          <w:szCs w:val="24"/>
        </w:rPr>
        <w:t xml:space="preserve"> –</w:t>
      </w:r>
      <w:r>
        <w:rPr>
          <w:rFonts w:eastAsia="SimSun"/>
          <w:szCs w:val="24"/>
        </w:rPr>
        <w:t xml:space="preserve"> </w:t>
      </w:r>
      <w:r w:rsidRPr="00E474D3">
        <w:rPr>
          <w:rFonts w:eastAsia="SimSun"/>
          <w:szCs w:val="24"/>
        </w:rPr>
        <w:t>заведующий отделением гематологии и трансплантации костного мозга ФГБУ «НМИЦ онкологии им. Н.Н. Петрова» Минздрава России</w:t>
      </w:r>
    </w:p>
    <w:p w14:paraId="0CE2E7C8" w14:textId="704813E8" w:rsidR="00E379AE" w:rsidRPr="00E474D3" w:rsidRDefault="00E379AE" w:rsidP="00E379AE">
      <w:pPr>
        <w:pStyle w:val="afe"/>
        <w:numPr>
          <w:ilvl w:val="0"/>
          <w:numId w:val="37"/>
        </w:numPr>
        <w:overflowPunct w:val="0"/>
        <w:autoSpaceDE w:val="0"/>
        <w:autoSpaceDN w:val="0"/>
        <w:adjustRightInd w:val="0"/>
        <w:textAlignment w:val="baseline"/>
        <w:rPr>
          <w:rFonts w:eastAsia="SimSun"/>
          <w:szCs w:val="24"/>
        </w:rPr>
      </w:pPr>
      <w:r w:rsidRPr="00467C29">
        <w:rPr>
          <w:rFonts w:eastAsia="SimSun"/>
          <w:b/>
          <w:bCs/>
          <w:szCs w:val="24"/>
        </w:rPr>
        <w:t>Капорская Татьяна Семеновна</w:t>
      </w:r>
      <w:r w:rsidR="00EB7A26">
        <w:rPr>
          <w:rFonts w:eastAsia="SimSun"/>
          <w:b/>
          <w:bCs/>
          <w:szCs w:val="24"/>
        </w:rPr>
        <w:t xml:space="preserve"> –</w:t>
      </w:r>
      <w:r>
        <w:rPr>
          <w:rFonts w:eastAsia="SimSun"/>
          <w:szCs w:val="24"/>
        </w:rPr>
        <w:t xml:space="preserve"> </w:t>
      </w:r>
      <w:r w:rsidRPr="00E474D3">
        <w:rPr>
          <w:rFonts w:eastAsia="SimSun"/>
          <w:szCs w:val="24"/>
        </w:rPr>
        <w:t>к.м.н.</w:t>
      </w:r>
      <w:r>
        <w:rPr>
          <w:rFonts w:eastAsia="SimSun"/>
          <w:szCs w:val="24"/>
        </w:rPr>
        <w:t>,</w:t>
      </w:r>
      <w:r w:rsidRPr="00E474D3">
        <w:rPr>
          <w:rFonts w:eastAsia="SimSun"/>
          <w:szCs w:val="24"/>
        </w:rPr>
        <w:t xml:space="preserve"> зав. отделением гематологии с блоком трансплантации костного мозга ГБУЗ «Иркутская ордена «Знак Почета» областная клиническая больница»</w:t>
      </w:r>
    </w:p>
    <w:p w14:paraId="77E28871" w14:textId="162DB45C" w:rsidR="00E379AE" w:rsidRPr="00E474D3" w:rsidRDefault="00E379AE" w:rsidP="00E379AE">
      <w:pPr>
        <w:pStyle w:val="afe"/>
        <w:numPr>
          <w:ilvl w:val="0"/>
          <w:numId w:val="37"/>
        </w:numPr>
        <w:overflowPunct w:val="0"/>
        <w:autoSpaceDE w:val="0"/>
        <w:autoSpaceDN w:val="0"/>
        <w:adjustRightInd w:val="0"/>
        <w:textAlignment w:val="baseline"/>
        <w:rPr>
          <w:rFonts w:eastAsia="SimSun"/>
          <w:szCs w:val="24"/>
        </w:rPr>
      </w:pPr>
      <w:r w:rsidRPr="00467C29">
        <w:rPr>
          <w:rFonts w:eastAsia="SimSun"/>
          <w:b/>
          <w:bCs/>
          <w:szCs w:val="24"/>
        </w:rPr>
        <w:t>Климко Николай Николаевич</w:t>
      </w:r>
      <w:r w:rsidR="00EB7A26">
        <w:rPr>
          <w:rFonts w:eastAsia="SimSun"/>
          <w:b/>
          <w:bCs/>
          <w:szCs w:val="24"/>
        </w:rPr>
        <w:t xml:space="preserve"> –</w:t>
      </w:r>
      <w:r>
        <w:rPr>
          <w:rFonts w:eastAsia="SimSun"/>
          <w:szCs w:val="24"/>
        </w:rPr>
        <w:t xml:space="preserve"> </w:t>
      </w:r>
      <w:r w:rsidRPr="00E474D3">
        <w:rPr>
          <w:rFonts w:eastAsia="SimSun"/>
          <w:szCs w:val="24"/>
        </w:rPr>
        <w:t>д.м.н,</w:t>
      </w:r>
      <w:r w:rsidRPr="00E474D3">
        <w:rPr>
          <w:szCs w:val="24"/>
        </w:rPr>
        <w:t xml:space="preserve"> профессор</w:t>
      </w:r>
      <w:r>
        <w:rPr>
          <w:szCs w:val="24"/>
        </w:rPr>
        <w:t>,</w:t>
      </w:r>
      <w:r>
        <w:rPr>
          <w:rFonts w:eastAsia="SimSun"/>
          <w:szCs w:val="24"/>
        </w:rPr>
        <w:t xml:space="preserve"> з</w:t>
      </w:r>
      <w:r w:rsidRPr="00E474D3">
        <w:rPr>
          <w:rFonts w:eastAsia="SimSun"/>
          <w:szCs w:val="24"/>
        </w:rPr>
        <w:t>аведующий кафедрой клинической микологии, аллергологии и иммунологии СЗГМУ им.И.И. Мечникова</w:t>
      </w:r>
    </w:p>
    <w:p w14:paraId="48995E5F" w14:textId="313786B0" w:rsidR="00E379AE" w:rsidRPr="00E474D3" w:rsidRDefault="00E379AE" w:rsidP="00E379AE">
      <w:pPr>
        <w:pStyle w:val="afe"/>
        <w:numPr>
          <w:ilvl w:val="0"/>
          <w:numId w:val="37"/>
        </w:numPr>
        <w:overflowPunct w:val="0"/>
        <w:autoSpaceDE w:val="0"/>
        <w:autoSpaceDN w:val="0"/>
        <w:adjustRightInd w:val="0"/>
        <w:textAlignment w:val="baseline"/>
        <w:rPr>
          <w:rFonts w:eastAsia="SimSun"/>
          <w:szCs w:val="24"/>
        </w:rPr>
      </w:pPr>
      <w:r w:rsidRPr="00467C29">
        <w:rPr>
          <w:rFonts w:eastAsia="SimSun"/>
          <w:b/>
          <w:bCs/>
          <w:szCs w:val="24"/>
        </w:rPr>
        <w:t>Клясова Галина Александровна</w:t>
      </w:r>
      <w:r w:rsidR="00EB7A26">
        <w:rPr>
          <w:rFonts w:eastAsia="SimSun"/>
          <w:b/>
          <w:bCs/>
          <w:szCs w:val="24"/>
        </w:rPr>
        <w:t xml:space="preserve"> –</w:t>
      </w:r>
      <w:r w:rsidRPr="00467C29">
        <w:rPr>
          <w:rFonts w:eastAsia="SimSun"/>
          <w:b/>
          <w:bCs/>
          <w:szCs w:val="24"/>
        </w:rPr>
        <w:t xml:space="preserve"> </w:t>
      </w:r>
      <w:r w:rsidRPr="00E474D3">
        <w:rPr>
          <w:rFonts w:eastAsia="SimSun"/>
          <w:szCs w:val="24"/>
        </w:rPr>
        <w:t>д.м.н.,</w:t>
      </w:r>
      <w:r w:rsidRPr="00E474D3">
        <w:rPr>
          <w:szCs w:val="24"/>
        </w:rPr>
        <w:t xml:space="preserve"> профессор</w:t>
      </w:r>
      <w:r>
        <w:rPr>
          <w:szCs w:val="24"/>
        </w:rPr>
        <w:t xml:space="preserve">, </w:t>
      </w:r>
      <w:r w:rsidRPr="00E474D3">
        <w:rPr>
          <w:rFonts w:eastAsia="SimSun"/>
          <w:szCs w:val="24"/>
        </w:rPr>
        <w:t>зав. лабораторией клинической бактериологии, микологии и антибиотической терапии ФГБУ «НМИЦ гематологии» Минздрава России</w:t>
      </w:r>
    </w:p>
    <w:p w14:paraId="3EC63E26" w14:textId="3F8ABA29" w:rsidR="00E379AE" w:rsidRPr="00E474D3" w:rsidRDefault="00E379AE" w:rsidP="00E379AE">
      <w:pPr>
        <w:pStyle w:val="afe"/>
        <w:numPr>
          <w:ilvl w:val="0"/>
          <w:numId w:val="37"/>
        </w:numPr>
        <w:overflowPunct w:val="0"/>
        <w:autoSpaceDE w:val="0"/>
        <w:autoSpaceDN w:val="0"/>
        <w:adjustRightInd w:val="0"/>
        <w:textAlignment w:val="baseline"/>
        <w:rPr>
          <w:rFonts w:eastAsia="SimSun"/>
          <w:szCs w:val="24"/>
        </w:rPr>
      </w:pPr>
      <w:r w:rsidRPr="007F4F53">
        <w:rPr>
          <w:rFonts w:eastAsia="SimSun"/>
          <w:b/>
          <w:bCs/>
          <w:szCs w:val="24"/>
        </w:rPr>
        <w:t>Константинова Татьяна Семеновна</w:t>
      </w:r>
      <w:r w:rsidR="00EB7A26">
        <w:rPr>
          <w:rFonts w:eastAsia="SimSun"/>
          <w:b/>
          <w:bCs/>
          <w:szCs w:val="24"/>
        </w:rPr>
        <w:t xml:space="preserve"> –</w:t>
      </w:r>
      <w:r w:rsidRPr="00467C29">
        <w:rPr>
          <w:rFonts w:eastAsia="SimSun"/>
          <w:szCs w:val="24"/>
        </w:rPr>
        <w:t xml:space="preserve"> </w:t>
      </w:r>
      <w:r w:rsidRPr="00E474D3">
        <w:rPr>
          <w:rFonts w:eastAsia="SimSun"/>
          <w:szCs w:val="24"/>
        </w:rPr>
        <w:t>к.м.н.</w:t>
      </w:r>
      <w:r>
        <w:rPr>
          <w:rFonts w:eastAsia="SimSun"/>
          <w:szCs w:val="24"/>
        </w:rPr>
        <w:t>,</w:t>
      </w:r>
      <w:r w:rsidRPr="00E474D3">
        <w:rPr>
          <w:rFonts w:eastAsia="SimSun"/>
          <w:szCs w:val="24"/>
        </w:rPr>
        <w:t xml:space="preserve"> заведующая отделением гематологии ГАУЗ СО «Свердловская областная больница №1», главный внештатный гематолог УрФО и Свердловской области, доцент ФГБОУ ВО «Уральского Государственного Медицинского Университета» МЗ РФ</w:t>
      </w:r>
    </w:p>
    <w:p w14:paraId="564B1743" w14:textId="612ED2A9" w:rsidR="00E379AE" w:rsidRPr="00C8154D" w:rsidRDefault="00E379AE" w:rsidP="00E379AE">
      <w:pPr>
        <w:pStyle w:val="afe"/>
        <w:numPr>
          <w:ilvl w:val="0"/>
          <w:numId w:val="37"/>
        </w:numPr>
        <w:overflowPunct w:val="0"/>
        <w:autoSpaceDE w:val="0"/>
        <w:autoSpaceDN w:val="0"/>
        <w:adjustRightInd w:val="0"/>
        <w:textAlignment w:val="baseline"/>
        <w:rPr>
          <w:rFonts w:eastAsia="SimSun"/>
          <w:szCs w:val="24"/>
        </w:rPr>
      </w:pPr>
      <w:r w:rsidRPr="007F4F53">
        <w:rPr>
          <w:rFonts w:eastAsia="SimSun"/>
          <w:b/>
          <w:bCs/>
          <w:szCs w:val="24"/>
        </w:rPr>
        <w:t>Кузьмина Лариса Анатольевна</w:t>
      </w:r>
      <w:r w:rsidR="00EB7A26">
        <w:rPr>
          <w:rFonts w:eastAsia="SimSun"/>
          <w:b/>
          <w:bCs/>
          <w:szCs w:val="24"/>
        </w:rPr>
        <w:t xml:space="preserve"> –</w:t>
      </w:r>
      <w:r>
        <w:rPr>
          <w:rFonts w:eastAsia="SimSun"/>
          <w:szCs w:val="24"/>
        </w:rPr>
        <w:t xml:space="preserve"> </w:t>
      </w:r>
      <w:r w:rsidRPr="00E474D3">
        <w:rPr>
          <w:rFonts w:eastAsia="SimSun"/>
          <w:szCs w:val="24"/>
        </w:rPr>
        <w:t>зав. отделением интенсивной высокодозной химиотерапии и трансплантации костного мозга с круглосуточным стационаром ФГБУ</w:t>
      </w:r>
      <w:r>
        <w:rPr>
          <w:rFonts w:eastAsia="SimSun"/>
          <w:szCs w:val="24"/>
        </w:rPr>
        <w:t xml:space="preserve"> </w:t>
      </w:r>
      <w:r w:rsidRPr="00C8154D">
        <w:rPr>
          <w:rFonts w:eastAsia="SimSun"/>
          <w:szCs w:val="24"/>
        </w:rPr>
        <w:t>«НМИЦ гематологии» Минздрава России</w:t>
      </w:r>
    </w:p>
    <w:p w14:paraId="19C84EEB" w14:textId="4037E0E0" w:rsidR="00E379AE" w:rsidRPr="00E474D3" w:rsidRDefault="00E379AE" w:rsidP="00E379AE">
      <w:pPr>
        <w:pStyle w:val="afe"/>
        <w:numPr>
          <w:ilvl w:val="0"/>
          <w:numId w:val="37"/>
        </w:numPr>
        <w:overflowPunct w:val="0"/>
        <w:autoSpaceDE w:val="0"/>
        <w:autoSpaceDN w:val="0"/>
        <w:adjustRightInd w:val="0"/>
        <w:textAlignment w:val="baseline"/>
        <w:rPr>
          <w:rFonts w:eastAsia="SimSun"/>
          <w:szCs w:val="24"/>
        </w:rPr>
      </w:pPr>
      <w:r w:rsidRPr="007F4F53">
        <w:rPr>
          <w:rFonts w:eastAsia="SimSun"/>
          <w:b/>
          <w:bCs/>
          <w:szCs w:val="24"/>
        </w:rPr>
        <w:t>Кулагин Александр Дмитриевич</w:t>
      </w:r>
      <w:r w:rsidR="00EB7A26">
        <w:rPr>
          <w:rFonts w:eastAsia="SimSun"/>
          <w:b/>
          <w:bCs/>
          <w:szCs w:val="24"/>
        </w:rPr>
        <w:t xml:space="preserve"> –</w:t>
      </w:r>
      <w:r>
        <w:rPr>
          <w:rFonts w:eastAsia="SimSun"/>
          <w:szCs w:val="24"/>
        </w:rPr>
        <w:t xml:space="preserve"> </w:t>
      </w:r>
      <w:r w:rsidRPr="00E474D3">
        <w:rPr>
          <w:rFonts w:eastAsia="SimSun"/>
          <w:szCs w:val="24"/>
        </w:rPr>
        <w:t>д.м.н.</w:t>
      </w:r>
      <w:r>
        <w:rPr>
          <w:rFonts w:eastAsia="SimSun"/>
          <w:szCs w:val="24"/>
        </w:rPr>
        <w:t xml:space="preserve">, </w:t>
      </w:r>
      <w:r w:rsidRPr="00E474D3">
        <w:rPr>
          <w:rFonts w:eastAsia="SimSun"/>
          <w:szCs w:val="24"/>
        </w:rPr>
        <w:t>и.</w:t>
      </w:r>
      <w:r>
        <w:rPr>
          <w:rFonts w:eastAsia="SimSun"/>
          <w:szCs w:val="24"/>
        </w:rPr>
        <w:t> </w:t>
      </w:r>
      <w:r w:rsidRPr="00E474D3">
        <w:rPr>
          <w:rFonts w:eastAsia="SimSun"/>
          <w:szCs w:val="24"/>
        </w:rPr>
        <w:t>о. директора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p>
    <w:p w14:paraId="34883E3A" w14:textId="6E4CAA75" w:rsidR="00E379AE" w:rsidRPr="00E474D3" w:rsidRDefault="00E379AE" w:rsidP="00E379AE">
      <w:pPr>
        <w:pStyle w:val="afe"/>
        <w:numPr>
          <w:ilvl w:val="0"/>
          <w:numId w:val="37"/>
        </w:numPr>
        <w:overflowPunct w:val="0"/>
        <w:autoSpaceDE w:val="0"/>
        <w:autoSpaceDN w:val="0"/>
        <w:adjustRightInd w:val="0"/>
        <w:textAlignment w:val="baseline"/>
        <w:rPr>
          <w:rFonts w:eastAsia="SimSun"/>
          <w:szCs w:val="24"/>
        </w:rPr>
      </w:pPr>
      <w:r w:rsidRPr="007F4F53">
        <w:rPr>
          <w:rFonts w:eastAsia="SimSun"/>
          <w:b/>
          <w:bCs/>
          <w:szCs w:val="24"/>
        </w:rPr>
        <w:t>Минаева Наталья Викторовна</w:t>
      </w:r>
      <w:r w:rsidR="00EB7A26">
        <w:rPr>
          <w:rFonts w:eastAsia="SimSun"/>
          <w:b/>
          <w:bCs/>
          <w:szCs w:val="24"/>
        </w:rPr>
        <w:t xml:space="preserve"> –</w:t>
      </w:r>
      <w:r>
        <w:rPr>
          <w:rFonts w:eastAsia="SimSun"/>
          <w:b/>
          <w:bCs/>
          <w:szCs w:val="24"/>
        </w:rPr>
        <w:t xml:space="preserve"> </w:t>
      </w:r>
      <w:r w:rsidRPr="00E474D3">
        <w:rPr>
          <w:rFonts w:eastAsia="SimSun"/>
          <w:szCs w:val="24"/>
        </w:rPr>
        <w:t>зам. директора по лечебной работе ФГБУН КНИИ ГПК ФМБА России</w:t>
      </w:r>
    </w:p>
    <w:p w14:paraId="69C7FB07" w14:textId="140306B3" w:rsidR="00E379AE" w:rsidRPr="00E474D3" w:rsidRDefault="00E379AE" w:rsidP="00E379AE">
      <w:pPr>
        <w:pStyle w:val="afe"/>
        <w:numPr>
          <w:ilvl w:val="0"/>
          <w:numId w:val="37"/>
        </w:numPr>
        <w:overflowPunct w:val="0"/>
        <w:autoSpaceDE w:val="0"/>
        <w:autoSpaceDN w:val="0"/>
        <w:adjustRightInd w:val="0"/>
        <w:textAlignment w:val="baseline"/>
        <w:rPr>
          <w:rFonts w:eastAsia="SimSun"/>
          <w:szCs w:val="24"/>
        </w:rPr>
      </w:pPr>
      <w:r w:rsidRPr="007F4F53">
        <w:rPr>
          <w:rFonts w:eastAsia="SimSun"/>
          <w:b/>
          <w:bCs/>
          <w:szCs w:val="24"/>
        </w:rPr>
        <w:t>Моисеев Иван Сергеевич</w:t>
      </w:r>
      <w:r w:rsidR="00EB7A26">
        <w:rPr>
          <w:rFonts w:eastAsia="SimSun"/>
          <w:b/>
          <w:bCs/>
          <w:szCs w:val="24"/>
        </w:rPr>
        <w:t xml:space="preserve"> –</w:t>
      </w:r>
      <w:r>
        <w:rPr>
          <w:rFonts w:eastAsia="SimSun"/>
          <w:szCs w:val="24"/>
        </w:rPr>
        <w:t xml:space="preserve"> </w:t>
      </w:r>
      <w:r w:rsidRPr="00E474D3">
        <w:rPr>
          <w:rFonts w:eastAsia="SimSun"/>
          <w:szCs w:val="24"/>
        </w:rPr>
        <w:t>д.м.н.</w:t>
      </w:r>
      <w:r>
        <w:rPr>
          <w:rFonts w:eastAsia="SimSun"/>
          <w:szCs w:val="24"/>
        </w:rPr>
        <w:t>,</w:t>
      </w:r>
      <w:r w:rsidRPr="00E474D3">
        <w:rPr>
          <w:rFonts w:eastAsia="SimSun"/>
          <w:szCs w:val="24"/>
        </w:rPr>
        <w:t xml:space="preserve"> зам. директора по науке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p>
    <w:p w14:paraId="37F63215" w14:textId="125F7B61" w:rsidR="00E379AE" w:rsidRPr="00E474D3" w:rsidRDefault="00E379AE" w:rsidP="00E379AE">
      <w:pPr>
        <w:pStyle w:val="afe"/>
        <w:numPr>
          <w:ilvl w:val="0"/>
          <w:numId w:val="37"/>
        </w:numPr>
        <w:overflowPunct w:val="0"/>
        <w:autoSpaceDE w:val="0"/>
        <w:autoSpaceDN w:val="0"/>
        <w:adjustRightInd w:val="0"/>
        <w:textAlignment w:val="baseline"/>
        <w:rPr>
          <w:rFonts w:eastAsia="SimSun"/>
          <w:szCs w:val="24"/>
        </w:rPr>
      </w:pPr>
      <w:r w:rsidRPr="007F4F53">
        <w:rPr>
          <w:rFonts w:eastAsia="SimSun"/>
          <w:b/>
          <w:bCs/>
          <w:szCs w:val="24"/>
        </w:rPr>
        <w:t>Морозова Елена Владиславовна</w:t>
      </w:r>
      <w:r w:rsidR="00EB7A26">
        <w:rPr>
          <w:rFonts w:eastAsia="SimSun"/>
          <w:b/>
          <w:bCs/>
          <w:szCs w:val="24"/>
        </w:rPr>
        <w:t xml:space="preserve"> –</w:t>
      </w:r>
      <w:r>
        <w:rPr>
          <w:rFonts w:eastAsia="SimSun"/>
          <w:szCs w:val="24"/>
        </w:rPr>
        <w:t xml:space="preserve"> </w:t>
      </w:r>
      <w:r w:rsidRPr="00E474D3">
        <w:rPr>
          <w:rFonts w:eastAsia="SimSun"/>
          <w:szCs w:val="24"/>
        </w:rPr>
        <w:t>к.м.н.</w:t>
      </w:r>
      <w:r>
        <w:rPr>
          <w:rFonts w:eastAsia="SimSun"/>
          <w:szCs w:val="24"/>
        </w:rPr>
        <w:t xml:space="preserve">, </w:t>
      </w:r>
      <w:r w:rsidRPr="00E474D3">
        <w:rPr>
          <w:rFonts w:eastAsia="SimSun"/>
          <w:szCs w:val="24"/>
        </w:rPr>
        <w:t>руководитель отдела гематологии, онкологии и трансплантации для взрослых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p>
    <w:p w14:paraId="7AEC10BD" w14:textId="024851D7" w:rsidR="00E379AE" w:rsidRPr="00E474D3" w:rsidRDefault="00E379AE" w:rsidP="00E379AE">
      <w:pPr>
        <w:pStyle w:val="afe"/>
        <w:numPr>
          <w:ilvl w:val="0"/>
          <w:numId w:val="37"/>
        </w:numPr>
        <w:overflowPunct w:val="0"/>
        <w:autoSpaceDE w:val="0"/>
        <w:autoSpaceDN w:val="0"/>
        <w:adjustRightInd w:val="0"/>
        <w:textAlignment w:val="baseline"/>
        <w:rPr>
          <w:rFonts w:eastAsia="SimSun"/>
          <w:szCs w:val="24"/>
        </w:rPr>
      </w:pPr>
      <w:r w:rsidRPr="007F4F53">
        <w:rPr>
          <w:rFonts w:eastAsia="SimSun"/>
          <w:b/>
          <w:bCs/>
          <w:szCs w:val="24"/>
        </w:rPr>
        <w:t>Моторин Дмитрий Васильевич</w:t>
      </w:r>
      <w:r w:rsidR="00EB7A26">
        <w:rPr>
          <w:rFonts w:eastAsia="SimSun"/>
          <w:b/>
          <w:bCs/>
          <w:szCs w:val="24"/>
        </w:rPr>
        <w:t xml:space="preserve"> –</w:t>
      </w:r>
      <w:r>
        <w:rPr>
          <w:rFonts w:eastAsia="SimSun"/>
          <w:szCs w:val="24"/>
        </w:rPr>
        <w:t xml:space="preserve"> </w:t>
      </w:r>
      <w:r w:rsidRPr="00E474D3">
        <w:rPr>
          <w:rFonts w:eastAsia="SimSun"/>
          <w:szCs w:val="24"/>
        </w:rPr>
        <w:t>к.м.н.</w:t>
      </w:r>
      <w:r>
        <w:rPr>
          <w:rFonts w:eastAsia="SimSun"/>
          <w:szCs w:val="24"/>
        </w:rPr>
        <w:t>,</w:t>
      </w:r>
      <w:r w:rsidRPr="00E474D3">
        <w:rPr>
          <w:rFonts w:eastAsia="SimSun"/>
          <w:szCs w:val="24"/>
        </w:rPr>
        <w:t xml:space="preserve"> врач-гематолог отделения онкогематологии  №2,  старший научный сотрудник ФГБУ «НМИЦ им. В.А. Алмазова» Минздрава России</w:t>
      </w:r>
    </w:p>
    <w:p w14:paraId="4D4B1CF1" w14:textId="7BD2D13B" w:rsidR="00E379AE" w:rsidRPr="00E474D3" w:rsidRDefault="00E379AE" w:rsidP="00E379AE">
      <w:pPr>
        <w:pStyle w:val="afe"/>
        <w:numPr>
          <w:ilvl w:val="0"/>
          <w:numId w:val="37"/>
        </w:numPr>
        <w:overflowPunct w:val="0"/>
        <w:autoSpaceDE w:val="0"/>
        <w:autoSpaceDN w:val="0"/>
        <w:adjustRightInd w:val="0"/>
        <w:textAlignment w:val="baseline"/>
        <w:rPr>
          <w:rFonts w:eastAsia="SimSun"/>
          <w:szCs w:val="24"/>
        </w:rPr>
      </w:pPr>
      <w:r w:rsidRPr="007F4F53">
        <w:rPr>
          <w:rFonts w:eastAsia="SimSun"/>
          <w:b/>
          <w:bCs/>
          <w:szCs w:val="24"/>
        </w:rPr>
        <w:t>Паровичникова Елена Николаевна</w:t>
      </w:r>
      <w:r w:rsidR="00EB7A26">
        <w:rPr>
          <w:rFonts w:eastAsia="SimSun"/>
          <w:b/>
          <w:bCs/>
          <w:szCs w:val="24"/>
        </w:rPr>
        <w:t xml:space="preserve"> –</w:t>
      </w:r>
      <w:r>
        <w:rPr>
          <w:rFonts w:eastAsia="SimSun"/>
          <w:szCs w:val="24"/>
        </w:rPr>
        <w:t xml:space="preserve"> </w:t>
      </w:r>
      <w:r w:rsidRPr="00E474D3">
        <w:rPr>
          <w:rFonts w:eastAsia="SimSun"/>
          <w:szCs w:val="24"/>
        </w:rPr>
        <w:t>д.м.н.</w:t>
      </w:r>
      <w:r>
        <w:rPr>
          <w:rFonts w:eastAsia="SimSun"/>
          <w:szCs w:val="24"/>
        </w:rPr>
        <w:t>,</w:t>
      </w:r>
      <w:r w:rsidRPr="00E474D3">
        <w:rPr>
          <w:rFonts w:eastAsia="SimSun"/>
          <w:szCs w:val="24"/>
        </w:rPr>
        <w:t xml:space="preserve"> заведующая отделом химиотерапии гемобластозов, депрессий кроветворения и ТКМ ФГБУ «НМИЦ гематологии» Минздрава России</w:t>
      </w:r>
    </w:p>
    <w:p w14:paraId="55A2342C" w14:textId="06536A93" w:rsidR="00E379AE" w:rsidRPr="00E474D3" w:rsidRDefault="00E379AE" w:rsidP="00E379AE">
      <w:pPr>
        <w:pStyle w:val="afe"/>
        <w:numPr>
          <w:ilvl w:val="0"/>
          <w:numId w:val="37"/>
        </w:numPr>
        <w:overflowPunct w:val="0"/>
        <w:autoSpaceDE w:val="0"/>
        <w:autoSpaceDN w:val="0"/>
        <w:adjustRightInd w:val="0"/>
        <w:textAlignment w:val="baseline"/>
        <w:rPr>
          <w:rFonts w:eastAsia="SimSun"/>
          <w:szCs w:val="24"/>
        </w:rPr>
      </w:pPr>
      <w:r w:rsidRPr="00467C29">
        <w:rPr>
          <w:rFonts w:eastAsia="SimSun"/>
          <w:b/>
          <w:bCs/>
          <w:szCs w:val="24"/>
        </w:rPr>
        <w:t>Петрова Галина Дмитриевна</w:t>
      </w:r>
      <w:r w:rsidR="00EB7A26">
        <w:rPr>
          <w:rFonts w:eastAsia="SimSun"/>
          <w:b/>
          <w:bCs/>
          <w:szCs w:val="24"/>
        </w:rPr>
        <w:t xml:space="preserve"> –</w:t>
      </w:r>
      <w:r>
        <w:rPr>
          <w:rFonts w:eastAsia="SimSun"/>
          <w:szCs w:val="24"/>
        </w:rPr>
        <w:t xml:space="preserve"> </w:t>
      </w:r>
      <w:r w:rsidRPr="00E474D3">
        <w:rPr>
          <w:rFonts w:eastAsia="SimSun"/>
          <w:szCs w:val="24"/>
        </w:rPr>
        <w:t>к.м.н.</w:t>
      </w:r>
      <w:r>
        <w:rPr>
          <w:rFonts w:eastAsia="SimSun"/>
          <w:szCs w:val="24"/>
        </w:rPr>
        <w:t>,</w:t>
      </w:r>
      <w:r w:rsidRPr="00E474D3">
        <w:rPr>
          <w:rFonts w:eastAsia="SimSun"/>
          <w:szCs w:val="24"/>
        </w:rPr>
        <w:t xml:space="preserve"> заведующая отделением трансплантации костного мозга и гемопоэтических стволовых клеток отдела гематологии и трансплантации костного мозга ФГБУ "НМИЦ онкологии им Н. Н. Блохина" Минздрава России</w:t>
      </w:r>
    </w:p>
    <w:p w14:paraId="4AB86808" w14:textId="7B0A70D2" w:rsidR="00E379AE" w:rsidRPr="00E474D3" w:rsidRDefault="00E379AE" w:rsidP="00E379AE">
      <w:pPr>
        <w:pStyle w:val="afe"/>
        <w:numPr>
          <w:ilvl w:val="0"/>
          <w:numId w:val="37"/>
        </w:numPr>
        <w:overflowPunct w:val="0"/>
        <w:autoSpaceDE w:val="0"/>
        <w:autoSpaceDN w:val="0"/>
        <w:adjustRightInd w:val="0"/>
        <w:jc w:val="left"/>
        <w:textAlignment w:val="baseline"/>
        <w:rPr>
          <w:rFonts w:eastAsia="SimSun"/>
          <w:szCs w:val="24"/>
        </w:rPr>
      </w:pPr>
      <w:r w:rsidRPr="00467C29">
        <w:rPr>
          <w:rFonts w:eastAsia="SimSun"/>
          <w:b/>
          <w:bCs/>
          <w:szCs w:val="24"/>
        </w:rPr>
        <w:t>Попова Марина Олеговна</w:t>
      </w:r>
      <w:r w:rsidR="00A30721">
        <w:rPr>
          <w:rFonts w:eastAsia="SimSun"/>
          <w:b/>
          <w:bCs/>
          <w:szCs w:val="24"/>
        </w:rPr>
        <w:t xml:space="preserve"> –</w:t>
      </w:r>
      <w:r>
        <w:rPr>
          <w:rFonts w:eastAsia="SimSun"/>
          <w:szCs w:val="24"/>
        </w:rPr>
        <w:t xml:space="preserve"> </w:t>
      </w:r>
      <w:r w:rsidRPr="00E474D3">
        <w:rPr>
          <w:rFonts w:eastAsia="SimSun"/>
          <w:szCs w:val="24"/>
        </w:rPr>
        <w:t>к.м.н.</w:t>
      </w:r>
      <w:r>
        <w:rPr>
          <w:rFonts w:eastAsia="SimSun"/>
          <w:szCs w:val="24"/>
        </w:rPr>
        <w:t>,</w:t>
      </w:r>
      <w:r w:rsidRPr="00E474D3">
        <w:rPr>
          <w:rFonts w:eastAsia="SimSun"/>
          <w:szCs w:val="24"/>
        </w:rPr>
        <w:t xml:space="preserve"> доцент кафедры гематологии, трансфузиологии и трансплантологии ФПО ПСПбГМУ им. И.П. Павлова</w:t>
      </w:r>
    </w:p>
    <w:p w14:paraId="1F7BD1E6" w14:textId="4AFED5A3" w:rsidR="00E379AE" w:rsidRPr="00E474D3" w:rsidRDefault="00E379AE" w:rsidP="00E379AE">
      <w:pPr>
        <w:pStyle w:val="afe"/>
        <w:numPr>
          <w:ilvl w:val="0"/>
          <w:numId w:val="37"/>
        </w:numPr>
        <w:overflowPunct w:val="0"/>
        <w:autoSpaceDE w:val="0"/>
        <w:autoSpaceDN w:val="0"/>
        <w:adjustRightInd w:val="0"/>
        <w:textAlignment w:val="baseline"/>
        <w:rPr>
          <w:rFonts w:eastAsia="SimSun"/>
          <w:szCs w:val="24"/>
        </w:rPr>
      </w:pPr>
      <w:r w:rsidRPr="00467C29">
        <w:rPr>
          <w:rFonts w:eastAsia="SimSun"/>
          <w:b/>
          <w:bCs/>
          <w:szCs w:val="24"/>
        </w:rPr>
        <w:t>Эстрина Мария Аркадьевна</w:t>
      </w:r>
      <w:r w:rsidR="00A30721">
        <w:rPr>
          <w:rFonts w:eastAsia="SimSun"/>
          <w:b/>
          <w:bCs/>
          <w:szCs w:val="24"/>
        </w:rPr>
        <w:t xml:space="preserve"> –</w:t>
      </w:r>
      <w:r>
        <w:rPr>
          <w:rFonts w:eastAsia="SimSun"/>
          <w:szCs w:val="24"/>
        </w:rPr>
        <w:t xml:space="preserve"> </w:t>
      </w:r>
      <w:r w:rsidRPr="00E474D3">
        <w:rPr>
          <w:rFonts w:eastAsia="SimSun"/>
          <w:szCs w:val="24"/>
        </w:rPr>
        <w:t>к.м.н.</w:t>
      </w:r>
      <w:r>
        <w:rPr>
          <w:rFonts w:eastAsia="SimSun"/>
          <w:szCs w:val="24"/>
        </w:rPr>
        <w:t xml:space="preserve">, </w:t>
      </w:r>
      <w:r w:rsidRPr="00E474D3">
        <w:rPr>
          <w:rFonts w:eastAsia="SimSun"/>
          <w:szCs w:val="24"/>
        </w:rPr>
        <w:t>зав. отделением клинической трансфузиологии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p>
    <w:p w14:paraId="79F462D2" w14:textId="77777777" w:rsidR="004F0134" w:rsidRPr="002F4348" w:rsidRDefault="004F0134" w:rsidP="004F0134"/>
    <w:p w14:paraId="2F7FFAD1" w14:textId="77777777" w:rsidR="004F0134" w:rsidRPr="002F4348" w:rsidRDefault="004F0134" w:rsidP="004F0134">
      <w:pPr>
        <w:rPr>
          <w:b/>
        </w:rPr>
      </w:pPr>
      <w:r w:rsidRPr="002F4348">
        <w:rPr>
          <w:b/>
        </w:rPr>
        <w:t>Конфликт интересов отсутствует.</w:t>
      </w:r>
    </w:p>
    <w:p w14:paraId="5BC5E663" w14:textId="77777777" w:rsidR="0025228A" w:rsidRPr="002F4348" w:rsidRDefault="0025228A" w:rsidP="00AF3168"/>
    <w:p w14:paraId="52244239" w14:textId="77777777" w:rsidR="000414F6" w:rsidRPr="002F4348" w:rsidRDefault="00CB71DA" w:rsidP="0033051F">
      <w:pPr>
        <w:pStyle w:val="afff2"/>
      </w:pPr>
      <w:r w:rsidRPr="002F4348">
        <w:br w:type="page"/>
      </w:r>
      <w:bookmarkStart w:id="97" w:name="__RefHeading___doc_a2"/>
      <w:bookmarkStart w:id="98" w:name="_Toc65586423"/>
      <w:r w:rsidRPr="002F4348">
        <w:t>Приложение А2. Методология разработки клинических рекомендаций</w:t>
      </w:r>
      <w:bookmarkEnd w:id="97"/>
      <w:bookmarkEnd w:id="98"/>
    </w:p>
    <w:p w14:paraId="540D71E0" w14:textId="77777777" w:rsidR="009F5D92" w:rsidRPr="002F4348" w:rsidRDefault="009F5D92" w:rsidP="009F5D92">
      <w:pPr>
        <w:pStyle w:val="aff8"/>
        <w:rPr>
          <w:rStyle w:val="affb"/>
          <w:u w:val="single"/>
        </w:rPr>
      </w:pPr>
      <w:r w:rsidRPr="002F4348">
        <w:rPr>
          <w:rStyle w:val="affb"/>
          <w:u w:val="single"/>
        </w:rPr>
        <w:t>Целевая аудитория данных клинических рекомендаций:</w:t>
      </w:r>
    </w:p>
    <w:p w14:paraId="22D6912B" w14:textId="77777777" w:rsidR="009F5D92" w:rsidRPr="002F4348" w:rsidRDefault="009F5D92" w:rsidP="009F5D92">
      <w:r w:rsidRPr="002F4348">
        <w:t>1. Врачи-гематологи.</w:t>
      </w:r>
    </w:p>
    <w:p w14:paraId="1C8BDC97" w14:textId="77777777" w:rsidR="009F5D92" w:rsidRPr="002F4348" w:rsidRDefault="009F5D92" w:rsidP="009F5D92">
      <w:r w:rsidRPr="002F4348">
        <w:t>2. Врачи-онкологи.</w:t>
      </w:r>
    </w:p>
    <w:p w14:paraId="3C9A48A6" w14:textId="77777777" w:rsidR="008762E9" w:rsidRPr="002F4348" w:rsidRDefault="008762E9" w:rsidP="009F5D92">
      <w:r w:rsidRPr="002F4348">
        <w:t xml:space="preserve">3. </w:t>
      </w:r>
      <w:r w:rsidR="000C2323" w:rsidRPr="002F4348">
        <w:t>Врачи-д</w:t>
      </w:r>
      <w:r w:rsidRPr="002F4348">
        <w:t>етские онкологи.</w:t>
      </w:r>
    </w:p>
    <w:p w14:paraId="05E1E033" w14:textId="77777777" w:rsidR="008762E9" w:rsidRPr="002F4348" w:rsidRDefault="008762E9" w:rsidP="009F5D92">
      <w:r w:rsidRPr="002F4348">
        <w:t>4. Специалисты лучевой диагностики.</w:t>
      </w:r>
    </w:p>
    <w:p w14:paraId="4562BA7A" w14:textId="77777777" w:rsidR="009F5D92" w:rsidRPr="002F4348" w:rsidRDefault="008762E9" w:rsidP="009F5D92">
      <w:r w:rsidRPr="002F4348">
        <w:t>5</w:t>
      </w:r>
      <w:r w:rsidR="009F5D92" w:rsidRPr="002F4348">
        <w:t>. Студенты медицинских вузов.</w:t>
      </w:r>
    </w:p>
    <w:p w14:paraId="7798ABC4" w14:textId="77777777" w:rsidR="009F5D92" w:rsidRPr="002F4348" w:rsidRDefault="009F5D92" w:rsidP="009F5D92">
      <w:pPr>
        <w:pStyle w:val="afd"/>
        <w:spacing w:beforeAutospacing="0" w:afterAutospacing="0" w:line="360" w:lineRule="auto"/>
      </w:pPr>
      <w:r w:rsidRPr="002F4348">
        <w:rPr>
          <w:rStyle w:val="affb"/>
          <w:u w:val="single"/>
        </w:rPr>
        <w:t>Методология сбора доказательств</w:t>
      </w:r>
    </w:p>
    <w:p w14:paraId="3702690D" w14:textId="77777777" w:rsidR="009F5D92" w:rsidRPr="002F4348" w:rsidRDefault="009F5D92" w:rsidP="009F5D92">
      <w:pPr>
        <w:pStyle w:val="afd"/>
        <w:spacing w:beforeAutospacing="0" w:afterAutospacing="0" w:line="360" w:lineRule="auto"/>
      </w:pPr>
      <w:r w:rsidRPr="002F4348">
        <w:rPr>
          <w:rStyle w:val="affb"/>
        </w:rPr>
        <w:t>Методы, использованные для сбора / селекции доказательств:</w:t>
      </w:r>
    </w:p>
    <w:p w14:paraId="7284F275" w14:textId="77777777" w:rsidR="009F5D92" w:rsidRPr="002F4348" w:rsidRDefault="009F5D92" w:rsidP="00B153FC">
      <w:pPr>
        <w:pStyle w:val="afd"/>
        <w:numPr>
          <w:ilvl w:val="0"/>
          <w:numId w:val="13"/>
        </w:numPr>
        <w:spacing w:beforeAutospacing="0" w:afterAutospacing="0" w:line="360" w:lineRule="auto"/>
        <w:ind w:left="0" w:firstLine="851"/>
      </w:pPr>
      <w:r w:rsidRPr="002F4348">
        <w:t>поиск публикаций в специализированных периодических печатных изданиях с импакт-фактором &gt;0.3;</w:t>
      </w:r>
    </w:p>
    <w:p w14:paraId="7156716E" w14:textId="77777777" w:rsidR="009F5D92" w:rsidRPr="002F4348" w:rsidRDefault="009F5D92" w:rsidP="00B153FC">
      <w:pPr>
        <w:pStyle w:val="afd"/>
        <w:numPr>
          <w:ilvl w:val="0"/>
          <w:numId w:val="13"/>
        </w:numPr>
        <w:spacing w:beforeAutospacing="0" w:afterAutospacing="0" w:line="360" w:lineRule="auto"/>
        <w:ind w:left="0" w:firstLine="851"/>
      </w:pPr>
      <w:r w:rsidRPr="002F4348">
        <w:t>поиск в электронных базах данных.</w:t>
      </w:r>
    </w:p>
    <w:p w14:paraId="1C4A7DC7" w14:textId="77777777" w:rsidR="009F5D92" w:rsidRPr="002F4348" w:rsidRDefault="009F5D92" w:rsidP="009F5D92">
      <w:pPr>
        <w:pStyle w:val="afd"/>
        <w:spacing w:beforeAutospacing="0" w:afterAutospacing="0" w:line="360" w:lineRule="auto"/>
        <w:rPr>
          <w:b/>
        </w:rPr>
      </w:pPr>
      <w:r w:rsidRPr="002F4348">
        <w:rPr>
          <w:rStyle w:val="affb"/>
        </w:rPr>
        <w:t xml:space="preserve">Базы данных, использованных для сбора/селекции доказательств. </w:t>
      </w:r>
      <w:r w:rsidRPr="002F4348">
        <w:t>Доказательной базой для рекомендаций являются публикации, вошедшие в Кохрайновскую библиотеку, базы данных PUBMED и MEDLINE. Глубина поиска составляла 30 лет.</w:t>
      </w:r>
    </w:p>
    <w:p w14:paraId="70C7F5A9" w14:textId="77777777" w:rsidR="009F5D92" w:rsidRPr="002F4348" w:rsidRDefault="009F5D92" w:rsidP="009F5D92">
      <w:pPr>
        <w:pStyle w:val="afd"/>
        <w:spacing w:beforeAutospacing="0" w:afterAutospacing="0" w:line="360" w:lineRule="auto"/>
      </w:pPr>
      <w:r w:rsidRPr="002F4348">
        <w:rPr>
          <w:rStyle w:val="affb"/>
        </w:rPr>
        <w:t>Методы, использованные для анализа доказательств:</w:t>
      </w:r>
    </w:p>
    <w:p w14:paraId="42284157" w14:textId="77777777" w:rsidR="009F5D92" w:rsidRPr="002F4348" w:rsidRDefault="009F5D92" w:rsidP="00B153FC">
      <w:pPr>
        <w:pStyle w:val="afd"/>
        <w:numPr>
          <w:ilvl w:val="0"/>
          <w:numId w:val="23"/>
        </w:numPr>
        <w:spacing w:beforeAutospacing="0" w:afterAutospacing="0" w:line="360" w:lineRule="auto"/>
        <w:ind w:left="0" w:firstLine="851"/>
        <w:jc w:val="left"/>
      </w:pPr>
      <w:r w:rsidRPr="002F4348">
        <w:t>обзоры опубликованных мета-анализов;</w:t>
      </w:r>
    </w:p>
    <w:p w14:paraId="1D5F84A5" w14:textId="77777777" w:rsidR="009F5D92" w:rsidRPr="002F4348" w:rsidRDefault="009F5D92" w:rsidP="00B153FC">
      <w:pPr>
        <w:pStyle w:val="afd"/>
        <w:numPr>
          <w:ilvl w:val="0"/>
          <w:numId w:val="23"/>
        </w:numPr>
        <w:tabs>
          <w:tab w:val="clear" w:pos="720"/>
          <w:tab w:val="num" w:pos="0"/>
        </w:tabs>
        <w:spacing w:beforeAutospacing="0" w:afterAutospacing="0" w:line="360" w:lineRule="auto"/>
        <w:ind w:left="0" w:firstLine="851"/>
        <w:jc w:val="left"/>
      </w:pPr>
      <w:r w:rsidRPr="002F4348">
        <w:t>систематические обзоры с таблицами доказательств.</w:t>
      </w:r>
    </w:p>
    <w:p w14:paraId="74705FD7" w14:textId="77777777" w:rsidR="009F5D92" w:rsidRPr="002F4348" w:rsidRDefault="009F5D92" w:rsidP="009F5D92">
      <w:pPr>
        <w:pStyle w:val="afd"/>
        <w:spacing w:beforeAutospacing="0" w:afterAutospacing="0" w:line="360" w:lineRule="auto"/>
      </w:pPr>
      <w:r w:rsidRPr="002F4348">
        <w:rPr>
          <w:rStyle w:val="affb"/>
        </w:rPr>
        <w:t>Методы, использованные для качества и силы доказательств:</w:t>
      </w:r>
    </w:p>
    <w:p w14:paraId="1619BA43" w14:textId="77777777" w:rsidR="009F5D92" w:rsidRPr="002F4348" w:rsidRDefault="009F5D92" w:rsidP="00B153FC">
      <w:pPr>
        <w:pStyle w:val="afd"/>
        <w:numPr>
          <w:ilvl w:val="0"/>
          <w:numId w:val="24"/>
        </w:numPr>
        <w:spacing w:beforeAutospacing="0" w:afterAutospacing="0" w:line="360" w:lineRule="auto"/>
        <w:ind w:left="0" w:firstLine="851"/>
        <w:jc w:val="left"/>
      </w:pPr>
      <w:r w:rsidRPr="002F4348">
        <w:t>консенсус экспертов;</w:t>
      </w:r>
    </w:p>
    <w:p w14:paraId="740B5941" w14:textId="77777777" w:rsidR="009F5D92" w:rsidRPr="002F4348" w:rsidRDefault="009F5D92" w:rsidP="00B153FC">
      <w:pPr>
        <w:pStyle w:val="afd"/>
        <w:numPr>
          <w:ilvl w:val="0"/>
          <w:numId w:val="24"/>
        </w:numPr>
        <w:spacing w:beforeAutospacing="0" w:afterAutospacing="0" w:line="360" w:lineRule="auto"/>
        <w:ind w:left="0" w:firstLine="851"/>
        <w:jc w:val="left"/>
      </w:pPr>
      <w:r w:rsidRPr="002F4348">
        <w:t>оценка значимости доказательств в соответствии с рейтинговой схемой доказательств (табл. 4, 5).</w:t>
      </w:r>
    </w:p>
    <w:p w14:paraId="726C064D" w14:textId="77777777" w:rsidR="009F5D92" w:rsidRPr="002F4348" w:rsidRDefault="009F5D92" w:rsidP="009F5D92">
      <w:pPr>
        <w:pStyle w:val="afd"/>
        <w:spacing w:beforeAutospacing="0" w:afterAutospacing="0" w:line="360" w:lineRule="auto"/>
      </w:pPr>
      <w:r w:rsidRPr="002F4348">
        <w:t>В настоящих клинических рекомендациях в скобках приведены уровни доказательности рекомендаций в соответствии со шкалами, разработанными Американским обществом клинической онкологии (ASCO) и Европейским обществом медицинской онкологии (ESMO).</w:t>
      </w:r>
    </w:p>
    <w:p w14:paraId="353AA332" w14:textId="77777777" w:rsidR="009F5D92" w:rsidRPr="002F4348" w:rsidRDefault="009F5D92" w:rsidP="009F5D92">
      <w:pPr>
        <w:ind w:firstLine="0"/>
      </w:pPr>
    </w:p>
    <w:p w14:paraId="25938C4F" w14:textId="77777777" w:rsidR="009F5D92" w:rsidRPr="002F4348" w:rsidRDefault="009F5D92" w:rsidP="009F5D92">
      <w:pPr>
        <w:ind w:firstLine="0"/>
      </w:pPr>
      <w:r w:rsidRPr="002F4348">
        <w:rPr>
          <w:b/>
          <w:bCs/>
        </w:rPr>
        <w:t>Таблица</w:t>
      </w:r>
      <w:r w:rsidR="00C6417C" w:rsidRPr="002F4348">
        <w:rPr>
          <w:b/>
          <w:bCs/>
        </w:rPr>
        <w:t xml:space="preserve"> А2.</w:t>
      </w:r>
      <w:r w:rsidRPr="002F4348">
        <w:rPr>
          <w:b/>
          <w:bCs/>
        </w:rPr>
        <w:fldChar w:fldCharType="begin"/>
      </w:r>
      <w:r w:rsidRPr="002F4348">
        <w:rPr>
          <w:b/>
          <w:bCs/>
        </w:rPr>
        <w:instrText xml:space="preserve"> SEQ Таблица \* ARABIC </w:instrText>
      </w:r>
      <w:r w:rsidRPr="002F4348">
        <w:rPr>
          <w:b/>
          <w:bCs/>
        </w:rPr>
        <w:fldChar w:fldCharType="separate"/>
      </w:r>
      <w:r w:rsidRPr="002F4348">
        <w:rPr>
          <w:b/>
          <w:bCs/>
          <w:noProof/>
        </w:rPr>
        <w:t>1</w:t>
      </w:r>
      <w:r w:rsidRPr="002F4348">
        <w:rPr>
          <w:b/>
          <w:bCs/>
        </w:rPr>
        <w:fldChar w:fldCharType="end"/>
      </w:r>
      <w:r w:rsidRPr="002F4348">
        <w:rPr>
          <w:b/>
          <w:bCs/>
        </w:rPr>
        <w:t>.</w:t>
      </w:r>
      <w:r w:rsidRPr="002F4348">
        <w:rPr>
          <w:b/>
        </w:rPr>
        <w:t xml:space="preserve"> </w:t>
      </w:r>
      <w:r w:rsidRPr="002F4348">
        <w:t>Шкала оценки уровней достоверности доказательств (УДД) для методов диагностики (диагностических вмешательств)</w:t>
      </w: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8518"/>
      </w:tblGrid>
      <w:tr w:rsidR="009F5D92" w:rsidRPr="002F4348" w14:paraId="4CDF8752" w14:textId="77777777" w:rsidTr="004F0134">
        <w:trPr>
          <w:trHeight w:val="58"/>
          <w:tblHeader/>
        </w:trPr>
        <w:tc>
          <w:tcPr>
            <w:tcW w:w="374" w:type="pct"/>
            <w:tcBorders>
              <w:top w:val="single" w:sz="4" w:space="0" w:color="auto"/>
              <w:left w:val="single" w:sz="4" w:space="0" w:color="auto"/>
              <w:bottom w:val="single" w:sz="4" w:space="0" w:color="auto"/>
              <w:right w:val="single" w:sz="4" w:space="0" w:color="auto"/>
            </w:tcBorders>
          </w:tcPr>
          <w:p w14:paraId="287A6FB1" w14:textId="77777777" w:rsidR="009F5D92" w:rsidRPr="002F4348" w:rsidRDefault="009F5D92" w:rsidP="004F0134">
            <w:pPr>
              <w:ind w:firstLine="0"/>
              <w:rPr>
                <w:b/>
                <w:color w:val="000000"/>
                <w:szCs w:val="24"/>
              </w:rPr>
            </w:pPr>
            <w:r w:rsidRPr="002F4348">
              <w:rPr>
                <w:b/>
                <w:color w:val="000000"/>
                <w:szCs w:val="24"/>
              </w:rPr>
              <w:t>УДД</w:t>
            </w:r>
          </w:p>
        </w:tc>
        <w:tc>
          <w:tcPr>
            <w:tcW w:w="4626" w:type="pct"/>
            <w:tcBorders>
              <w:top w:val="single" w:sz="4" w:space="0" w:color="auto"/>
              <w:left w:val="single" w:sz="4" w:space="0" w:color="auto"/>
              <w:bottom w:val="single" w:sz="4" w:space="0" w:color="auto"/>
              <w:right w:val="single" w:sz="4" w:space="0" w:color="auto"/>
            </w:tcBorders>
          </w:tcPr>
          <w:p w14:paraId="7C1BAD97" w14:textId="77777777" w:rsidR="009F5D92" w:rsidRPr="002F4348" w:rsidRDefault="009F5D92" w:rsidP="004F0134">
            <w:pPr>
              <w:jc w:val="center"/>
              <w:rPr>
                <w:b/>
                <w:color w:val="000000"/>
                <w:szCs w:val="24"/>
              </w:rPr>
            </w:pPr>
            <w:r w:rsidRPr="002F4348">
              <w:rPr>
                <w:b/>
                <w:color w:val="000000"/>
                <w:szCs w:val="24"/>
              </w:rPr>
              <w:t>Расшифровка</w:t>
            </w:r>
          </w:p>
        </w:tc>
      </w:tr>
      <w:tr w:rsidR="009F5D92" w:rsidRPr="002F4348" w14:paraId="0406C9C9" w14:textId="77777777" w:rsidTr="004F0134">
        <w:tc>
          <w:tcPr>
            <w:tcW w:w="374" w:type="pct"/>
            <w:tcBorders>
              <w:top w:val="single" w:sz="4" w:space="0" w:color="auto"/>
              <w:left w:val="single" w:sz="4" w:space="0" w:color="auto"/>
              <w:bottom w:val="single" w:sz="4" w:space="0" w:color="auto"/>
              <w:right w:val="single" w:sz="4" w:space="0" w:color="auto"/>
            </w:tcBorders>
          </w:tcPr>
          <w:p w14:paraId="36572C3B" w14:textId="77777777" w:rsidR="009F5D92" w:rsidRPr="002F4348" w:rsidRDefault="009F5D92" w:rsidP="004F0134">
            <w:pPr>
              <w:ind w:firstLine="0"/>
              <w:rPr>
                <w:color w:val="000000"/>
                <w:szCs w:val="24"/>
              </w:rPr>
            </w:pPr>
            <w:r w:rsidRPr="002F4348">
              <w:rPr>
                <w:color w:val="000000"/>
                <w:szCs w:val="24"/>
                <w:lang w:val="en-US"/>
              </w:rPr>
              <w:t>1</w:t>
            </w:r>
          </w:p>
        </w:tc>
        <w:tc>
          <w:tcPr>
            <w:tcW w:w="4626" w:type="pct"/>
            <w:tcBorders>
              <w:top w:val="single" w:sz="4" w:space="0" w:color="auto"/>
              <w:left w:val="single" w:sz="4" w:space="0" w:color="auto"/>
              <w:bottom w:val="single" w:sz="4" w:space="0" w:color="auto"/>
              <w:right w:val="single" w:sz="4" w:space="0" w:color="auto"/>
            </w:tcBorders>
          </w:tcPr>
          <w:p w14:paraId="4948AC4C" w14:textId="77777777" w:rsidR="009F5D92" w:rsidRPr="002F4348" w:rsidRDefault="009F5D92" w:rsidP="004F0134">
            <w:pPr>
              <w:ind w:firstLine="0"/>
              <w:rPr>
                <w:color w:val="000000"/>
                <w:szCs w:val="24"/>
              </w:rPr>
            </w:pPr>
            <w:r w:rsidRPr="002F4348">
              <w:rPr>
                <w:color w:val="000000"/>
                <w:szCs w:val="24"/>
              </w:rPr>
              <w:t>Систематические обзоры исследований с контролем референсным методом</w:t>
            </w:r>
            <w:r w:rsidRPr="002F4348">
              <w:rPr>
                <w:szCs w:val="24"/>
              </w:rPr>
              <w:t xml:space="preserve"> или систематический обзор рандомизированных клинических исследований с применением метаанализа.</w:t>
            </w:r>
          </w:p>
        </w:tc>
      </w:tr>
      <w:tr w:rsidR="009F5D92" w:rsidRPr="002F4348" w14:paraId="37F5FF0D" w14:textId="77777777" w:rsidTr="004F0134">
        <w:tc>
          <w:tcPr>
            <w:tcW w:w="374" w:type="pct"/>
            <w:tcBorders>
              <w:top w:val="single" w:sz="4" w:space="0" w:color="auto"/>
              <w:left w:val="single" w:sz="4" w:space="0" w:color="auto"/>
              <w:bottom w:val="single" w:sz="4" w:space="0" w:color="auto"/>
              <w:right w:val="single" w:sz="4" w:space="0" w:color="auto"/>
            </w:tcBorders>
          </w:tcPr>
          <w:p w14:paraId="1377E642" w14:textId="77777777" w:rsidR="009F5D92" w:rsidRPr="002F4348" w:rsidRDefault="009F5D92" w:rsidP="004F0134">
            <w:pPr>
              <w:ind w:firstLine="0"/>
              <w:rPr>
                <w:color w:val="000000"/>
                <w:szCs w:val="24"/>
              </w:rPr>
            </w:pPr>
            <w:r w:rsidRPr="002F4348">
              <w:rPr>
                <w:color w:val="000000"/>
                <w:szCs w:val="24"/>
                <w:lang w:val="en-US"/>
              </w:rPr>
              <w:t>2</w:t>
            </w:r>
          </w:p>
        </w:tc>
        <w:tc>
          <w:tcPr>
            <w:tcW w:w="4626" w:type="pct"/>
            <w:tcBorders>
              <w:top w:val="single" w:sz="4" w:space="0" w:color="auto"/>
              <w:left w:val="single" w:sz="4" w:space="0" w:color="auto"/>
              <w:bottom w:val="single" w:sz="4" w:space="0" w:color="auto"/>
              <w:right w:val="single" w:sz="4" w:space="0" w:color="auto"/>
            </w:tcBorders>
          </w:tcPr>
          <w:p w14:paraId="79C93B54" w14:textId="77777777" w:rsidR="009F5D92" w:rsidRPr="002F4348" w:rsidRDefault="009F5D92" w:rsidP="004F0134">
            <w:pPr>
              <w:ind w:firstLine="0"/>
              <w:rPr>
                <w:color w:val="000000"/>
                <w:szCs w:val="24"/>
              </w:rPr>
            </w:pPr>
            <w:r w:rsidRPr="002F4348">
              <w:rPr>
                <w:color w:val="000000"/>
                <w:szCs w:val="24"/>
              </w:rPr>
              <w:t>Отдельные исследования с контролем референсным методом или отдельные рандомизированные клинические исследования и систематические обзоры исследований любого дизайна, за исключением рандомизированных клинических исследований с применением метаанализа</w:t>
            </w:r>
          </w:p>
        </w:tc>
      </w:tr>
      <w:tr w:rsidR="009F5D92" w:rsidRPr="002F4348" w14:paraId="30200A15" w14:textId="77777777" w:rsidTr="004F0134">
        <w:tc>
          <w:tcPr>
            <w:tcW w:w="374" w:type="pct"/>
            <w:tcBorders>
              <w:top w:val="single" w:sz="4" w:space="0" w:color="auto"/>
              <w:left w:val="single" w:sz="4" w:space="0" w:color="auto"/>
              <w:bottom w:val="single" w:sz="4" w:space="0" w:color="auto"/>
              <w:right w:val="single" w:sz="4" w:space="0" w:color="auto"/>
            </w:tcBorders>
          </w:tcPr>
          <w:p w14:paraId="7346612C" w14:textId="77777777" w:rsidR="009F5D92" w:rsidRPr="002F4348" w:rsidRDefault="009F5D92" w:rsidP="004F0134">
            <w:pPr>
              <w:ind w:firstLine="0"/>
              <w:rPr>
                <w:color w:val="000000"/>
                <w:szCs w:val="24"/>
              </w:rPr>
            </w:pPr>
            <w:r w:rsidRPr="002F4348">
              <w:rPr>
                <w:color w:val="000000"/>
                <w:szCs w:val="24"/>
                <w:lang w:val="en-US"/>
              </w:rPr>
              <w:t>3</w:t>
            </w:r>
          </w:p>
        </w:tc>
        <w:tc>
          <w:tcPr>
            <w:tcW w:w="4626" w:type="pct"/>
            <w:tcBorders>
              <w:top w:val="single" w:sz="4" w:space="0" w:color="auto"/>
              <w:left w:val="single" w:sz="4" w:space="0" w:color="auto"/>
              <w:bottom w:val="single" w:sz="4" w:space="0" w:color="auto"/>
              <w:right w:val="single" w:sz="4" w:space="0" w:color="auto"/>
            </w:tcBorders>
          </w:tcPr>
          <w:p w14:paraId="6E0AD1D0" w14:textId="77777777" w:rsidR="009F5D92" w:rsidRPr="002F4348" w:rsidRDefault="009F5D92" w:rsidP="004F0134">
            <w:pPr>
              <w:ind w:firstLine="0"/>
              <w:rPr>
                <w:color w:val="000000"/>
                <w:szCs w:val="24"/>
              </w:rPr>
            </w:pPr>
            <w:r w:rsidRPr="002F4348">
              <w:rPr>
                <w:color w:val="000000"/>
                <w:szCs w:val="24"/>
              </w:rPr>
              <w:t>Исследования без последовательного контроля референсным методом или исследования с референсным методом, не являющимся независимым от исследуемого метода или нерандомизированные сравнительные исследования, в том числе когортные исследования.</w:t>
            </w:r>
          </w:p>
        </w:tc>
      </w:tr>
      <w:tr w:rsidR="009F5D92" w:rsidRPr="002F4348" w14:paraId="5B8BD993" w14:textId="77777777" w:rsidTr="004F0134">
        <w:tc>
          <w:tcPr>
            <w:tcW w:w="374" w:type="pct"/>
            <w:tcBorders>
              <w:top w:val="single" w:sz="4" w:space="0" w:color="auto"/>
              <w:left w:val="single" w:sz="4" w:space="0" w:color="auto"/>
              <w:bottom w:val="single" w:sz="4" w:space="0" w:color="auto"/>
              <w:right w:val="single" w:sz="4" w:space="0" w:color="auto"/>
            </w:tcBorders>
          </w:tcPr>
          <w:p w14:paraId="582F824C" w14:textId="77777777" w:rsidR="009F5D92" w:rsidRPr="002F4348" w:rsidRDefault="009F5D92" w:rsidP="004F0134">
            <w:pPr>
              <w:ind w:firstLine="0"/>
              <w:rPr>
                <w:color w:val="000000"/>
                <w:szCs w:val="24"/>
              </w:rPr>
            </w:pPr>
            <w:r w:rsidRPr="002F4348">
              <w:rPr>
                <w:color w:val="000000"/>
                <w:szCs w:val="24"/>
                <w:lang w:val="en-US"/>
              </w:rPr>
              <w:t>4</w:t>
            </w:r>
          </w:p>
        </w:tc>
        <w:tc>
          <w:tcPr>
            <w:tcW w:w="4626" w:type="pct"/>
            <w:tcBorders>
              <w:top w:val="single" w:sz="4" w:space="0" w:color="auto"/>
              <w:left w:val="single" w:sz="4" w:space="0" w:color="auto"/>
              <w:bottom w:val="single" w:sz="4" w:space="0" w:color="auto"/>
              <w:right w:val="single" w:sz="4" w:space="0" w:color="auto"/>
            </w:tcBorders>
          </w:tcPr>
          <w:p w14:paraId="31A68011" w14:textId="77777777" w:rsidR="009F5D92" w:rsidRPr="002F4348" w:rsidRDefault="009F5D92" w:rsidP="004F0134">
            <w:pPr>
              <w:ind w:firstLine="0"/>
              <w:rPr>
                <w:color w:val="000000"/>
                <w:szCs w:val="24"/>
              </w:rPr>
            </w:pPr>
            <w:r w:rsidRPr="002F4348">
              <w:rPr>
                <w:color w:val="000000"/>
                <w:szCs w:val="24"/>
              </w:rPr>
              <w:t>Несравнительные исследования, описание клинического случая.</w:t>
            </w:r>
          </w:p>
        </w:tc>
      </w:tr>
      <w:tr w:rsidR="009F5D92" w:rsidRPr="002F4348" w14:paraId="0D6BD806" w14:textId="77777777" w:rsidTr="004F0134">
        <w:tc>
          <w:tcPr>
            <w:tcW w:w="374" w:type="pct"/>
            <w:tcBorders>
              <w:top w:val="single" w:sz="4" w:space="0" w:color="auto"/>
              <w:left w:val="single" w:sz="4" w:space="0" w:color="auto"/>
              <w:bottom w:val="single" w:sz="4" w:space="0" w:color="auto"/>
              <w:right w:val="single" w:sz="4" w:space="0" w:color="auto"/>
            </w:tcBorders>
          </w:tcPr>
          <w:p w14:paraId="1F26CE98" w14:textId="77777777" w:rsidR="009F5D92" w:rsidRPr="002F4348" w:rsidRDefault="009F5D92" w:rsidP="004F0134">
            <w:pPr>
              <w:ind w:firstLine="0"/>
              <w:rPr>
                <w:color w:val="000000"/>
                <w:szCs w:val="24"/>
              </w:rPr>
            </w:pPr>
            <w:r w:rsidRPr="002F4348">
              <w:rPr>
                <w:color w:val="000000"/>
                <w:szCs w:val="24"/>
                <w:lang w:val="en-US"/>
              </w:rPr>
              <w:t>5</w:t>
            </w:r>
          </w:p>
        </w:tc>
        <w:tc>
          <w:tcPr>
            <w:tcW w:w="4626" w:type="pct"/>
            <w:tcBorders>
              <w:top w:val="single" w:sz="4" w:space="0" w:color="auto"/>
              <w:left w:val="single" w:sz="4" w:space="0" w:color="auto"/>
              <w:bottom w:val="single" w:sz="4" w:space="0" w:color="auto"/>
              <w:right w:val="single" w:sz="4" w:space="0" w:color="auto"/>
            </w:tcBorders>
          </w:tcPr>
          <w:p w14:paraId="2ED0702A" w14:textId="77777777" w:rsidR="009F5D92" w:rsidRPr="002F4348" w:rsidRDefault="009F5D92" w:rsidP="004F0134">
            <w:pPr>
              <w:ind w:firstLine="0"/>
              <w:rPr>
                <w:color w:val="000000"/>
                <w:szCs w:val="24"/>
              </w:rPr>
            </w:pPr>
            <w:r w:rsidRPr="002F4348">
              <w:rPr>
                <w:color w:val="000000"/>
                <w:szCs w:val="24"/>
              </w:rPr>
              <w:t>Имеется лишь обоснование механизма действия или мнение экспертов.</w:t>
            </w:r>
          </w:p>
        </w:tc>
      </w:tr>
    </w:tbl>
    <w:p w14:paraId="7D4B0CB5" w14:textId="77777777" w:rsidR="009F5D92" w:rsidRPr="002F4348" w:rsidRDefault="009F5D92" w:rsidP="009F5D92">
      <w:pPr>
        <w:rPr>
          <w:b/>
        </w:rPr>
      </w:pPr>
      <w:bookmarkStart w:id="99" w:name="_Ref515967623"/>
    </w:p>
    <w:p w14:paraId="4333743D" w14:textId="77777777" w:rsidR="009F5D92" w:rsidRPr="002F4348" w:rsidRDefault="009F5D92" w:rsidP="009F5D92">
      <w:pPr>
        <w:ind w:firstLine="0"/>
      </w:pPr>
      <w:r w:rsidRPr="002F4348">
        <w:rPr>
          <w:b/>
          <w:bCs/>
        </w:rPr>
        <w:t xml:space="preserve">Таблица </w:t>
      </w:r>
      <w:r w:rsidR="00C6417C" w:rsidRPr="002F4348">
        <w:rPr>
          <w:b/>
          <w:bCs/>
        </w:rPr>
        <w:t>А2.</w:t>
      </w:r>
      <w:r w:rsidRPr="002F4348">
        <w:rPr>
          <w:b/>
          <w:bCs/>
        </w:rPr>
        <w:fldChar w:fldCharType="begin"/>
      </w:r>
      <w:r w:rsidRPr="002F4348">
        <w:rPr>
          <w:b/>
          <w:bCs/>
        </w:rPr>
        <w:instrText xml:space="preserve"> SEQ Таблица \* ARABIC </w:instrText>
      </w:r>
      <w:r w:rsidRPr="002F4348">
        <w:rPr>
          <w:b/>
          <w:bCs/>
        </w:rPr>
        <w:fldChar w:fldCharType="separate"/>
      </w:r>
      <w:r w:rsidRPr="002F4348">
        <w:rPr>
          <w:b/>
          <w:bCs/>
          <w:noProof/>
        </w:rPr>
        <w:t>2</w:t>
      </w:r>
      <w:r w:rsidRPr="002F4348">
        <w:rPr>
          <w:b/>
          <w:bCs/>
        </w:rPr>
        <w:fldChar w:fldCharType="end"/>
      </w:r>
      <w:bookmarkEnd w:id="99"/>
      <w:r w:rsidRPr="002F4348">
        <w:rPr>
          <w:b/>
          <w:bCs/>
        </w:rPr>
        <w:t>.</w:t>
      </w:r>
      <w:r w:rsidRPr="002F4348">
        <w:rPr>
          <w:b/>
        </w:rPr>
        <w:t xml:space="preserve"> </w:t>
      </w:r>
      <w:r w:rsidRPr="002F4348">
        <w:t>Шкала оценки уровней достоверности доказательств для методов профилактики, лечения и реабилитации (профилактических, лечебных, реабилитационных вмешательств)</w:t>
      </w:r>
    </w:p>
    <w:tbl>
      <w:tblPr>
        <w:tblW w:w="501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7585"/>
      </w:tblGrid>
      <w:tr w:rsidR="009F5D92" w:rsidRPr="002F4348" w14:paraId="3240CA80" w14:textId="77777777" w:rsidTr="004F0134">
        <w:tc>
          <w:tcPr>
            <w:tcW w:w="320" w:type="pct"/>
            <w:tcBorders>
              <w:top w:val="single" w:sz="4" w:space="0" w:color="auto"/>
              <w:left w:val="single" w:sz="4" w:space="0" w:color="auto"/>
              <w:bottom w:val="single" w:sz="4" w:space="0" w:color="auto"/>
              <w:right w:val="single" w:sz="4" w:space="0" w:color="auto"/>
            </w:tcBorders>
          </w:tcPr>
          <w:p w14:paraId="27FF2500" w14:textId="77777777" w:rsidR="009F5D92" w:rsidRPr="002F4348" w:rsidRDefault="009F5D92" w:rsidP="004F0134">
            <w:pPr>
              <w:ind w:firstLine="0"/>
              <w:jc w:val="center"/>
              <w:rPr>
                <w:b/>
                <w:bCs/>
                <w:color w:val="000000"/>
                <w:szCs w:val="24"/>
              </w:rPr>
            </w:pPr>
            <w:r w:rsidRPr="002F4348">
              <w:rPr>
                <w:b/>
                <w:bCs/>
              </w:rPr>
              <w:t>Уровень достоверности доказательств</w:t>
            </w:r>
          </w:p>
        </w:tc>
        <w:tc>
          <w:tcPr>
            <w:tcW w:w="4680" w:type="pct"/>
            <w:tcBorders>
              <w:top w:val="single" w:sz="4" w:space="0" w:color="auto"/>
              <w:left w:val="single" w:sz="4" w:space="0" w:color="auto"/>
              <w:bottom w:val="single" w:sz="4" w:space="0" w:color="auto"/>
              <w:right w:val="single" w:sz="4" w:space="0" w:color="auto"/>
            </w:tcBorders>
          </w:tcPr>
          <w:p w14:paraId="023B2681" w14:textId="77777777" w:rsidR="009F5D92" w:rsidRPr="002F4348" w:rsidRDefault="009F5D92" w:rsidP="004F0134">
            <w:pPr>
              <w:jc w:val="center"/>
              <w:rPr>
                <w:b/>
                <w:color w:val="000000"/>
                <w:szCs w:val="24"/>
              </w:rPr>
            </w:pPr>
            <w:r w:rsidRPr="002F4348">
              <w:rPr>
                <w:b/>
                <w:color w:val="000000"/>
                <w:szCs w:val="24"/>
              </w:rPr>
              <w:t xml:space="preserve">Расшифровка </w:t>
            </w:r>
          </w:p>
        </w:tc>
      </w:tr>
      <w:tr w:rsidR="009F5D92" w:rsidRPr="002F4348" w14:paraId="30F35BB6" w14:textId="77777777" w:rsidTr="004F0134">
        <w:tc>
          <w:tcPr>
            <w:tcW w:w="320" w:type="pct"/>
            <w:tcBorders>
              <w:top w:val="single" w:sz="4" w:space="0" w:color="auto"/>
              <w:left w:val="single" w:sz="4" w:space="0" w:color="auto"/>
              <w:bottom w:val="single" w:sz="4" w:space="0" w:color="auto"/>
              <w:right w:val="single" w:sz="4" w:space="0" w:color="auto"/>
            </w:tcBorders>
          </w:tcPr>
          <w:p w14:paraId="7AA56DB6" w14:textId="77777777" w:rsidR="009F5D92" w:rsidRPr="002F4348" w:rsidRDefault="009F5D92" w:rsidP="004F0134">
            <w:pPr>
              <w:ind w:firstLine="0"/>
              <w:rPr>
                <w:color w:val="000000"/>
                <w:szCs w:val="24"/>
              </w:rPr>
            </w:pPr>
            <w:r w:rsidRPr="002F4348">
              <w:rPr>
                <w:color w:val="000000"/>
                <w:szCs w:val="24"/>
                <w:lang w:val="en-US"/>
              </w:rPr>
              <w:t>1</w:t>
            </w:r>
          </w:p>
        </w:tc>
        <w:tc>
          <w:tcPr>
            <w:tcW w:w="4680" w:type="pct"/>
            <w:tcBorders>
              <w:top w:val="single" w:sz="4" w:space="0" w:color="auto"/>
              <w:left w:val="single" w:sz="4" w:space="0" w:color="auto"/>
              <w:bottom w:val="single" w:sz="4" w:space="0" w:color="auto"/>
              <w:right w:val="single" w:sz="4" w:space="0" w:color="auto"/>
            </w:tcBorders>
          </w:tcPr>
          <w:p w14:paraId="376ECE76" w14:textId="77777777" w:rsidR="009F5D92" w:rsidRPr="002F4348" w:rsidRDefault="009F5D92" w:rsidP="004F0134">
            <w:pPr>
              <w:ind w:firstLine="0"/>
              <w:rPr>
                <w:color w:val="000000"/>
                <w:szCs w:val="24"/>
              </w:rPr>
            </w:pPr>
            <w:r w:rsidRPr="002F4348">
              <w:rPr>
                <w:color w:val="000000"/>
                <w:szCs w:val="24"/>
              </w:rPr>
              <w:t>Систематический обзор РКИ с применением метаанализа.</w:t>
            </w:r>
          </w:p>
        </w:tc>
      </w:tr>
      <w:tr w:rsidR="009F5D92" w:rsidRPr="002F4348" w14:paraId="742DF506" w14:textId="77777777" w:rsidTr="004F0134">
        <w:tc>
          <w:tcPr>
            <w:tcW w:w="320" w:type="pct"/>
            <w:tcBorders>
              <w:top w:val="single" w:sz="4" w:space="0" w:color="auto"/>
              <w:left w:val="single" w:sz="4" w:space="0" w:color="auto"/>
              <w:bottom w:val="single" w:sz="4" w:space="0" w:color="auto"/>
              <w:right w:val="single" w:sz="4" w:space="0" w:color="auto"/>
            </w:tcBorders>
          </w:tcPr>
          <w:p w14:paraId="03121C9A" w14:textId="77777777" w:rsidR="009F5D92" w:rsidRPr="002F4348" w:rsidRDefault="009F5D92" w:rsidP="004F0134">
            <w:pPr>
              <w:ind w:firstLine="0"/>
              <w:rPr>
                <w:color w:val="000000"/>
                <w:szCs w:val="24"/>
                <w:lang w:val="en-US"/>
              </w:rPr>
            </w:pPr>
            <w:r w:rsidRPr="002F4348">
              <w:rPr>
                <w:color w:val="000000"/>
                <w:szCs w:val="24"/>
              </w:rPr>
              <w:t>2</w:t>
            </w:r>
          </w:p>
        </w:tc>
        <w:tc>
          <w:tcPr>
            <w:tcW w:w="4680" w:type="pct"/>
            <w:tcBorders>
              <w:top w:val="single" w:sz="4" w:space="0" w:color="auto"/>
              <w:left w:val="single" w:sz="4" w:space="0" w:color="auto"/>
              <w:bottom w:val="single" w:sz="4" w:space="0" w:color="auto"/>
              <w:right w:val="single" w:sz="4" w:space="0" w:color="auto"/>
            </w:tcBorders>
          </w:tcPr>
          <w:p w14:paraId="68DFFE5C" w14:textId="77777777" w:rsidR="009F5D92" w:rsidRPr="002F4348" w:rsidRDefault="009F5D92" w:rsidP="004F0134">
            <w:pPr>
              <w:ind w:firstLine="0"/>
              <w:rPr>
                <w:color w:val="000000"/>
                <w:szCs w:val="24"/>
              </w:rPr>
            </w:pPr>
            <w:r w:rsidRPr="002F4348">
              <w:rPr>
                <w:color w:val="000000"/>
                <w:szCs w:val="24"/>
              </w:rPr>
              <w:t>Отдельные РКИ и систематические обзоры исследований любого дизайна, за исключением РКИ, с применением метаанализа.</w:t>
            </w:r>
          </w:p>
        </w:tc>
      </w:tr>
      <w:tr w:rsidR="009F5D92" w:rsidRPr="002F4348" w14:paraId="23CC0DEC" w14:textId="77777777" w:rsidTr="004F0134">
        <w:tc>
          <w:tcPr>
            <w:tcW w:w="320" w:type="pct"/>
            <w:tcBorders>
              <w:top w:val="single" w:sz="4" w:space="0" w:color="auto"/>
              <w:left w:val="single" w:sz="4" w:space="0" w:color="auto"/>
              <w:bottom w:val="single" w:sz="4" w:space="0" w:color="auto"/>
              <w:right w:val="single" w:sz="4" w:space="0" w:color="auto"/>
            </w:tcBorders>
          </w:tcPr>
          <w:p w14:paraId="221DE3B6" w14:textId="77777777" w:rsidR="009F5D92" w:rsidRPr="002F4348" w:rsidRDefault="009F5D92" w:rsidP="004F0134">
            <w:pPr>
              <w:ind w:firstLine="0"/>
              <w:rPr>
                <w:color w:val="000000"/>
                <w:szCs w:val="24"/>
              </w:rPr>
            </w:pPr>
            <w:r w:rsidRPr="002F4348">
              <w:rPr>
                <w:color w:val="000000"/>
                <w:szCs w:val="24"/>
                <w:lang w:val="en-US"/>
              </w:rPr>
              <w:t>3</w:t>
            </w:r>
          </w:p>
        </w:tc>
        <w:tc>
          <w:tcPr>
            <w:tcW w:w="4680" w:type="pct"/>
            <w:tcBorders>
              <w:top w:val="single" w:sz="4" w:space="0" w:color="auto"/>
              <w:left w:val="single" w:sz="4" w:space="0" w:color="auto"/>
              <w:bottom w:val="single" w:sz="4" w:space="0" w:color="auto"/>
              <w:right w:val="single" w:sz="4" w:space="0" w:color="auto"/>
            </w:tcBorders>
          </w:tcPr>
          <w:p w14:paraId="6FB592C2" w14:textId="77777777" w:rsidR="009F5D92" w:rsidRPr="002F4348" w:rsidRDefault="009F5D92" w:rsidP="004F0134">
            <w:pPr>
              <w:ind w:firstLine="0"/>
              <w:rPr>
                <w:color w:val="000000"/>
                <w:szCs w:val="24"/>
              </w:rPr>
            </w:pPr>
            <w:r w:rsidRPr="002F4348">
              <w:rPr>
                <w:color w:val="000000"/>
                <w:szCs w:val="24"/>
              </w:rPr>
              <w:t>Нерандомизированные сравнительные исследования, в т.ч. когортные исследования.</w:t>
            </w:r>
          </w:p>
        </w:tc>
      </w:tr>
      <w:tr w:rsidR="009F5D92" w:rsidRPr="002F4348" w14:paraId="1DCED6D6" w14:textId="77777777" w:rsidTr="004F0134">
        <w:tc>
          <w:tcPr>
            <w:tcW w:w="320" w:type="pct"/>
            <w:tcBorders>
              <w:top w:val="single" w:sz="4" w:space="0" w:color="auto"/>
              <w:left w:val="single" w:sz="4" w:space="0" w:color="auto"/>
              <w:bottom w:val="single" w:sz="4" w:space="0" w:color="auto"/>
              <w:right w:val="single" w:sz="4" w:space="0" w:color="auto"/>
            </w:tcBorders>
          </w:tcPr>
          <w:p w14:paraId="663ECA82" w14:textId="77777777" w:rsidR="009F5D92" w:rsidRPr="002F4348" w:rsidRDefault="009F5D92" w:rsidP="004F0134">
            <w:pPr>
              <w:ind w:firstLine="0"/>
              <w:rPr>
                <w:color w:val="000000"/>
                <w:szCs w:val="24"/>
              </w:rPr>
            </w:pPr>
            <w:r w:rsidRPr="002F4348">
              <w:rPr>
                <w:color w:val="000000"/>
                <w:szCs w:val="24"/>
                <w:lang w:val="en-US"/>
              </w:rPr>
              <w:t>4</w:t>
            </w:r>
          </w:p>
        </w:tc>
        <w:tc>
          <w:tcPr>
            <w:tcW w:w="4680" w:type="pct"/>
            <w:tcBorders>
              <w:top w:val="single" w:sz="4" w:space="0" w:color="auto"/>
              <w:left w:val="single" w:sz="4" w:space="0" w:color="auto"/>
              <w:bottom w:val="single" w:sz="4" w:space="0" w:color="auto"/>
              <w:right w:val="single" w:sz="4" w:space="0" w:color="auto"/>
            </w:tcBorders>
          </w:tcPr>
          <w:p w14:paraId="11EBCAC6" w14:textId="77777777" w:rsidR="009F5D92" w:rsidRPr="002F4348" w:rsidRDefault="009F5D92" w:rsidP="004F0134">
            <w:pPr>
              <w:ind w:firstLine="0"/>
              <w:rPr>
                <w:color w:val="000000"/>
                <w:szCs w:val="24"/>
              </w:rPr>
            </w:pPr>
            <w:r w:rsidRPr="002F4348">
              <w:rPr>
                <w:color w:val="000000"/>
                <w:szCs w:val="24"/>
              </w:rPr>
              <w:t>Несравнительные исследования, описание клинического случая или серии случаев, исследования «случай-контроль».</w:t>
            </w:r>
          </w:p>
        </w:tc>
      </w:tr>
      <w:tr w:rsidR="009F5D92" w:rsidRPr="002F4348" w14:paraId="6A49DC9F" w14:textId="77777777" w:rsidTr="004F0134">
        <w:tc>
          <w:tcPr>
            <w:tcW w:w="320" w:type="pct"/>
            <w:tcBorders>
              <w:top w:val="single" w:sz="4" w:space="0" w:color="auto"/>
              <w:left w:val="single" w:sz="4" w:space="0" w:color="auto"/>
              <w:bottom w:val="single" w:sz="4" w:space="0" w:color="auto"/>
              <w:right w:val="single" w:sz="4" w:space="0" w:color="auto"/>
            </w:tcBorders>
          </w:tcPr>
          <w:p w14:paraId="23149F78" w14:textId="77777777" w:rsidR="009F5D92" w:rsidRPr="002F4348" w:rsidRDefault="009F5D92" w:rsidP="004F0134">
            <w:pPr>
              <w:ind w:firstLine="0"/>
              <w:rPr>
                <w:color w:val="000000"/>
                <w:szCs w:val="24"/>
              </w:rPr>
            </w:pPr>
            <w:r w:rsidRPr="002F4348">
              <w:rPr>
                <w:color w:val="000000"/>
                <w:szCs w:val="24"/>
                <w:lang w:val="en-US"/>
              </w:rPr>
              <w:t>5</w:t>
            </w:r>
          </w:p>
        </w:tc>
        <w:tc>
          <w:tcPr>
            <w:tcW w:w="4680" w:type="pct"/>
            <w:tcBorders>
              <w:top w:val="single" w:sz="4" w:space="0" w:color="auto"/>
              <w:left w:val="single" w:sz="4" w:space="0" w:color="auto"/>
              <w:bottom w:val="single" w:sz="4" w:space="0" w:color="auto"/>
              <w:right w:val="single" w:sz="4" w:space="0" w:color="auto"/>
            </w:tcBorders>
          </w:tcPr>
          <w:p w14:paraId="69367C42" w14:textId="77777777" w:rsidR="009F5D92" w:rsidRPr="002F4348" w:rsidRDefault="009F5D92" w:rsidP="004F0134">
            <w:pPr>
              <w:ind w:firstLine="0"/>
              <w:rPr>
                <w:color w:val="000000"/>
                <w:szCs w:val="24"/>
              </w:rPr>
            </w:pPr>
            <w:r w:rsidRPr="002F4348">
              <w:rPr>
                <w:color w:val="000000"/>
                <w:szCs w:val="24"/>
              </w:rPr>
              <w:t>Имеется лишь обоснование механизма действия вмешательства (доклинические исследования) или мнение экспертов.</w:t>
            </w:r>
          </w:p>
        </w:tc>
      </w:tr>
    </w:tbl>
    <w:p w14:paraId="2EA1A823" w14:textId="77777777" w:rsidR="009F5D92" w:rsidRPr="002F4348" w:rsidRDefault="009F5D92" w:rsidP="009F5D92">
      <w:pPr>
        <w:pStyle w:val="aff8"/>
        <w:rPr>
          <w:rStyle w:val="affb"/>
        </w:rPr>
      </w:pPr>
    </w:p>
    <w:p w14:paraId="0ABC2188" w14:textId="77777777" w:rsidR="009F5D92" w:rsidRPr="002F4348" w:rsidRDefault="009F5D92" w:rsidP="009F5D92">
      <w:pPr>
        <w:ind w:firstLine="0"/>
      </w:pPr>
      <w:bookmarkStart w:id="100" w:name="_Ref515967732"/>
      <w:r w:rsidRPr="002F4348">
        <w:rPr>
          <w:b/>
          <w:bCs/>
        </w:rPr>
        <w:t xml:space="preserve">Таблица </w:t>
      </w:r>
      <w:bookmarkEnd w:id="100"/>
      <w:r w:rsidR="00C6417C" w:rsidRPr="002F4348">
        <w:rPr>
          <w:b/>
          <w:bCs/>
        </w:rPr>
        <w:t>А2.</w:t>
      </w:r>
      <w:r w:rsidRPr="002F4348">
        <w:rPr>
          <w:b/>
          <w:bCs/>
        </w:rPr>
        <w:t>3.</w:t>
      </w:r>
      <w:r w:rsidRPr="002F4348">
        <w:rPr>
          <w:b/>
        </w:rPr>
        <w:t xml:space="preserve"> </w:t>
      </w:r>
      <w:r w:rsidRPr="002F4348">
        <w:t>Шкала оценки уровней убедительности рекомендаций для методов профилактики, диагностики, лечения и реабилитации (профилактических, диагностических, лечебных, реабилитационных вмешательств)</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5"/>
        <w:gridCol w:w="7411"/>
      </w:tblGrid>
      <w:tr w:rsidR="009F5D92" w:rsidRPr="002F4348" w14:paraId="2D32E129" w14:textId="77777777" w:rsidTr="004F0134">
        <w:trPr>
          <w:tblHeader/>
        </w:trPr>
        <w:tc>
          <w:tcPr>
            <w:tcW w:w="1035" w:type="pct"/>
            <w:tcBorders>
              <w:top w:val="single" w:sz="4" w:space="0" w:color="auto"/>
              <w:left w:val="single" w:sz="4" w:space="0" w:color="auto"/>
              <w:bottom w:val="single" w:sz="4" w:space="0" w:color="auto"/>
              <w:right w:val="single" w:sz="4" w:space="0" w:color="auto"/>
            </w:tcBorders>
          </w:tcPr>
          <w:p w14:paraId="6E5F1793" w14:textId="77777777" w:rsidR="009F5D92" w:rsidRPr="002F4348" w:rsidRDefault="009F5D92" w:rsidP="004F0134">
            <w:pPr>
              <w:ind w:firstLine="0"/>
              <w:jc w:val="center"/>
              <w:rPr>
                <w:b/>
                <w:bCs/>
                <w:color w:val="000000"/>
                <w:szCs w:val="24"/>
              </w:rPr>
            </w:pPr>
            <w:r w:rsidRPr="002F4348">
              <w:rPr>
                <w:b/>
                <w:bCs/>
              </w:rPr>
              <w:t>Уровень убедительности рекомендаций</w:t>
            </w:r>
          </w:p>
        </w:tc>
        <w:tc>
          <w:tcPr>
            <w:tcW w:w="3965" w:type="pct"/>
            <w:tcBorders>
              <w:top w:val="single" w:sz="4" w:space="0" w:color="auto"/>
              <w:left w:val="single" w:sz="4" w:space="0" w:color="auto"/>
              <w:bottom w:val="single" w:sz="4" w:space="0" w:color="auto"/>
              <w:right w:val="single" w:sz="4" w:space="0" w:color="auto"/>
            </w:tcBorders>
          </w:tcPr>
          <w:p w14:paraId="511852F2" w14:textId="77777777" w:rsidR="009F5D92" w:rsidRPr="002F4348" w:rsidRDefault="009F5D92" w:rsidP="004F0134">
            <w:pPr>
              <w:jc w:val="center"/>
              <w:rPr>
                <w:b/>
                <w:color w:val="000000"/>
                <w:szCs w:val="24"/>
              </w:rPr>
            </w:pPr>
            <w:r w:rsidRPr="002F4348">
              <w:rPr>
                <w:b/>
                <w:color w:val="000000"/>
                <w:szCs w:val="24"/>
              </w:rPr>
              <w:t>Расшифровка</w:t>
            </w:r>
          </w:p>
        </w:tc>
      </w:tr>
      <w:tr w:rsidR="009F5D92" w:rsidRPr="002F4348" w14:paraId="6B11F886" w14:textId="77777777" w:rsidTr="004F0134">
        <w:trPr>
          <w:trHeight w:val="1060"/>
        </w:trPr>
        <w:tc>
          <w:tcPr>
            <w:tcW w:w="1035" w:type="pct"/>
            <w:tcBorders>
              <w:top w:val="single" w:sz="4" w:space="0" w:color="auto"/>
              <w:left w:val="single" w:sz="4" w:space="0" w:color="auto"/>
              <w:bottom w:val="single" w:sz="4" w:space="0" w:color="auto"/>
              <w:right w:val="single" w:sz="4" w:space="0" w:color="auto"/>
            </w:tcBorders>
          </w:tcPr>
          <w:p w14:paraId="13F4B42B" w14:textId="77777777" w:rsidR="009F5D92" w:rsidRPr="002F4348" w:rsidRDefault="009F5D92" w:rsidP="004F0134">
            <w:pPr>
              <w:ind w:firstLine="0"/>
              <w:rPr>
                <w:color w:val="000000"/>
                <w:szCs w:val="24"/>
              </w:rPr>
            </w:pPr>
            <w:r w:rsidRPr="002F4348">
              <w:rPr>
                <w:color w:val="000000"/>
                <w:szCs w:val="24"/>
                <w:lang w:val="en-US"/>
              </w:rPr>
              <w:t>A</w:t>
            </w:r>
          </w:p>
        </w:tc>
        <w:tc>
          <w:tcPr>
            <w:tcW w:w="3965" w:type="pct"/>
            <w:tcBorders>
              <w:top w:val="single" w:sz="4" w:space="0" w:color="auto"/>
              <w:left w:val="single" w:sz="4" w:space="0" w:color="auto"/>
              <w:bottom w:val="single" w:sz="4" w:space="0" w:color="auto"/>
              <w:right w:val="single" w:sz="4" w:space="0" w:color="auto"/>
            </w:tcBorders>
          </w:tcPr>
          <w:p w14:paraId="2DB09A08" w14:textId="77777777" w:rsidR="009F5D92" w:rsidRPr="002F4348" w:rsidRDefault="009F5D92" w:rsidP="004F0134">
            <w:pPr>
              <w:ind w:firstLine="0"/>
              <w:rPr>
                <w:color w:val="000000"/>
                <w:szCs w:val="24"/>
              </w:rPr>
            </w:pPr>
            <w:r w:rsidRPr="002F4348">
              <w:rPr>
                <w:color w:val="000000"/>
                <w:szCs w:val="24"/>
              </w:rPr>
              <w:t xml:space="preserve">Сильная рекомендация (все рассматриваемые критерии эффективности (исходы) являются важными, все исследования имеют высокое или удовлетворительное методологическое качество, их выводы по интересующим исходам являются согласованными). </w:t>
            </w:r>
          </w:p>
        </w:tc>
      </w:tr>
      <w:tr w:rsidR="009F5D92" w:rsidRPr="002F4348" w14:paraId="563E4C5F" w14:textId="77777777" w:rsidTr="004F0134">
        <w:trPr>
          <w:trHeight w:val="558"/>
        </w:trPr>
        <w:tc>
          <w:tcPr>
            <w:tcW w:w="1035" w:type="pct"/>
            <w:tcBorders>
              <w:top w:val="single" w:sz="4" w:space="0" w:color="auto"/>
              <w:left w:val="single" w:sz="4" w:space="0" w:color="auto"/>
              <w:bottom w:val="single" w:sz="4" w:space="0" w:color="auto"/>
              <w:right w:val="single" w:sz="4" w:space="0" w:color="auto"/>
            </w:tcBorders>
          </w:tcPr>
          <w:p w14:paraId="2B7821CB" w14:textId="77777777" w:rsidR="009F5D92" w:rsidRPr="002F4348" w:rsidRDefault="009F5D92" w:rsidP="004F0134">
            <w:pPr>
              <w:ind w:firstLine="0"/>
              <w:rPr>
                <w:color w:val="000000"/>
                <w:szCs w:val="24"/>
              </w:rPr>
            </w:pPr>
            <w:r w:rsidRPr="002F4348">
              <w:rPr>
                <w:color w:val="000000"/>
                <w:szCs w:val="24"/>
              </w:rPr>
              <w:t>B</w:t>
            </w:r>
          </w:p>
        </w:tc>
        <w:tc>
          <w:tcPr>
            <w:tcW w:w="3965" w:type="pct"/>
            <w:tcBorders>
              <w:top w:val="single" w:sz="4" w:space="0" w:color="auto"/>
              <w:left w:val="single" w:sz="4" w:space="0" w:color="auto"/>
              <w:bottom w:val="single" w:sz="4" w:space="0" w:color="auto"/>
              <w:right w:val="single" w:sz="4" w:space="0" w:color="auto"/>
            </w:tcBorders>
          </w:tcPr>
          <w:p w14:paraId="3AB53EFD" w14:textId="77777777" w:rsidR="009F5D92" w:rsidRPr="002F4348" w:rsidRDefault="009F5D92" w:rsidP="004F0134">
            <w:pPr>
              <w:ind w:firstLine="0"/>
              <w:rPr>
                <w:color w:val="000000"/>
                <w:szCs w:val="24"/>
              </w:rPr>
            </w:pPr>
            <w:r w:rsidRPr="002F4348">
              <w:rPr>
                <w:color w:val="000000"/>
                <w:szCs w:val="24"/>
              </w:rPr>
              <w:t xml:space="preserve">Условная рекомендация (не все рассматриваемые критерии эффективности (исходы) являются важными, не все исследования имеют высокое или удовлетворительное методологическое качество и/или их выводы по интересующим исходам не являются согласованными). </w:t>
            </w:r>
          </w:p>
        </w:tc>
      </w:tr>
      <w:tr w:rsidR="009F5D92" w:rsidRPr="002F4348" w14:paraId="6BB1A372" w14:textId="77777777" w:rsidTr="004F0134">
        <w:trPr>
          <w:trHeight w:val="798"/>
        </w:trPr>
        <w:tc>
          <w:tcPr>
            <w:tcW w:w="1035" w:type="pct"/>
            <w:tcBorders>
              <w:top w:val="single" w:sz="4" w:space="0" w:color="auto"/>
              <w:left w:val="single" w:sz="4" w:space="0" w:color="auto"/>
              <w:bottom w:val="single" w:sz="4" w:space="0" w:color="auto"/>
              <w:right w:val="single" w:sz="4" w:space="0" w:color="auto"/>
            </w:tcBorders>
          </w:tcPr>
          <w:p w14:paraId="2F04B7E6" w14:textId="77777777" w:rsidR="009F5D92" w:rsidRPr="002F4348" w:rsidRDefault="009F5D92" w:rsidP="004F0134">
            <w:pPr>
              <w:ind w:firstLine="0"/>
              <w:rPr>
                <w:color w:val="000000"/>
                <w:szCs w:val="24"/>
              </w:rPr>
            </w:pPr>
            <w:r w:rsidRPr="002F4348">
              <w:rPr>
                <w:color w:val="000000"/>
                <w:szCs w:val="24"/>
              </w:rPr>
              <w:t>C</w:t>
            </w:r>
          </w:p>
        </w:tc>
        <w:tc>
          <w:tcPr>
            <w:tcW w:w="3965" w:type="pct"/>
            <w:tcBorders>
              <w:top w:val="single" w:sz="4" w:space="0" w:color="auto"/>
              <w:left w:val="single" w:sz="4" w:space="0" w:color="auto"/>
              <w:bottom w:val="single" w:sz="4" w:space="0" w:color="auto"/>
              <w:right w:val="single" w:sz="4" w:space="0" w:color="auto"/>
            </w:tcBorders>
          </w:tcPr>
          <w:p w14:paraId="630FAECC" w14:textId="77777777" w:rsidR="009F5D92" w:rsidRPr="002F4348" w:rsidRDefault="009F5D92" w:rsidP="004F0134">
            <w:pPr>
              <w:ind w:firstLine="0"/>
              <w:rPr>
                <w:color w:val="000000"/>
                <w:szCs w:val="24"/>
              </w:rPr>
            </w:pPr>
            <w:r w:rsidRPr="002F4348">
              <w:rPr>
                <w:color w:val="000000"/>
                <w:szCs w:val="24"/>
              </w:rPr>
              <w:t xml:space="preserve">Слабая рекомендация (отсутствие доказательств надлежащего качества, все рассматриваемые критерии эффективности (исходы) являются неважными, все исследования имеют низкое методологическое качество и их выводы по интересующим исходам не являются согласованными). </w:t>
            </w:r>
          </w:p>
        </w:tc>
      </w:tr>
    </w:tbl>
    <w:p w14:paraId="18D8365E" w14:textId="77777777" w:rsidR="009F5D92" w:rsidRPr="002F4348" w:rsidRDefault="009F5D92" w:rsidP="009F5D92">
      <w:pPr>
        <w:rPr>
          <w:b/>
        </w:rPr>
      </w:pPr>
    </w:p>
    <w:p w14:paraId="39AA61A1" w14:textId="77777777" w:rsidR="009F5D92" w:rsidRPr="002F4348" w:rsidRDefault="009F5D92" w:rsidP="009F5D92">
      <w:pPr>
        <w:ind w:firstLine="708"/>
        <w:rPr>
          <w:b/>
          <w:u w:val="single"/>
        </w:rPr>
      </w:pPr>
      <w:r w:rsidRPr="002F4348">
        <w:rPr>
          <w:b/>
          <w:u w:val="single"/>
        </w:rPr>
        <w:t>Методология валидизации рекомендаций</w:t>
      </w:r>
    </w:p>
    <w:p w14:paraId="58704124" w14:textId="77777777" w:rsidR="009F5D92" w:rsidRPr="002F4348" w:rsidRDefault="009F5D92" w:rsidP="009F5D92">
      <w:pPr>
        <w:rPr>
          <w:b/>
        </w:rPr>
      </w:pPr>
      <w:r w:rsidRPr="002F4348">
        <w:rPr>
          <w:b/>
        </w:rPr>
        <w:t>Методы валидизации рекомендаций:</w:t>
      </w:r>
    </w:p>
    <w:p w14:paraId="657FF23E" w14:textId="77777777" w:rsidR="009F5D92" w:rsidRPr="002F4348" w:rsidRDefault="009F5D92" w:rsidP="00B153FC">
      <w:pPr>
        <w:numPr>
          <w:ilvl w:val="0"/>
          <w:numId w:val="25"/>
        </w:numPr>
        <w:ind w:left="0" w:firstLine="851"/>
        <w:rPr>
          <w:szCs w:val="24"/>
        </w:rPr>
      </w:pPr>
      <w:r w:rsidRPr="002F4348">
        <w:rPr>
          <w:szCs w:val="24"/>
        </w:rPr>
        <w:t>внешняя экспертная оценка;</w:t>
      </w:r>
    </w:p>
    <w:p w14:paraId="787D3180" w14:textId="77777777" w:rsidR="009F5D92" w:rsidRPr="002F4348" w:rsidRDefault="009F5D92" w:rsidP="00B153FC">
      <w:pPr>
        <w:numPr>
          <w:ilvl w:val="0"/>
          <w:numId w:val="25"/>
        </w:numPr>
        <w:ind w:left="0" w:firstLine="851"/>
      </w:pPr>
      <w:r w:rsidRPr="002F4348">
        <w:t>внутренняя экспертная оценка.</w:t>
      </w:r>
    </w:p>
    <w:p w14:paraId="75E0FACD" w14:textId="77777777" w:rsidR="009F5D92" w:rsidRPr="002F4348" w:rsidRDefault="009F5D92" w:rsidP="009F5D92">
      <w:r w:rsidRPr="002F4348">
        <w:rPr>
          <w:b/>
        </w:rPr>
        <w:t xml:space="preserve">Описание методики валидизации рекомендаций. </w:t>
      </w:r>
      <w:r w:rsidRPr="002F4348">
        <w:t>Настоящие рекомендации в предварительной версии были рецензированы независимыми экспертами, которых попросили прокомментировать, насколько качественно интерпретированы доказательства и разработаны рекомендации. Также была проведена экспертная оценка изложения рекомендаций и их доступности для понимания.</w:t>
      </w:r>
    </w:p>
    <w:p w14:paraId="53027BB0" w14:textId="77777777" w:rsidR="009F5D92" w:rsidRPr="002F4348" w:rsidRDefault="009F5D92" w:rsidP="009F5D92">
      <w:r w:rsidRPr="002F4348">
        <w:t>Рекомендации обсуждены и одобрены ведущими специалистами профильных федеральных центров РФ и практическими врачами. Проект клинических рекомендаций был рассмотрен на совещаниях рабочей группы в 2017–2018 гг., на Форуме экспертов по вопросам диагностики и лечения злокачественных лимфопролиферативных заболеваний «Лимфорум», ежегодной Российской конференции с международным участием «Злокачественные лимфомы», а также в рамках IV Конгресса гематологов России.</w:t>
      </w:r>
    </w:p>
    <w:p w14:paraId="214FFA76" w14:textId="77777777" w:rsidR="009F5D92" w:rsidRPr="002F4348" w:rsidRDefault="009F5D92" w:rsidP="009F5D92">
      <w:r w:rsidRPr="002F4348">
        <w:rPr>
          <w:rStyle w:val="affb"/>
        </w:rPr>
        <w:t xml:space="preserve">Окончательная редакция. </w:t>
      </w:r>
      <w:r w:rsidRPr="002F4348">
        <w:t>Для окончательной редакции и контроля качества рекомендации были повторно проанализированы членами авторского коллектива, которые пришли к заключению, что все существенные замечания и комментарии экспертов приняты во внимание, риск систематических ошибок при разработке сведен к минимуму.</w:t>
      </w:r>
    </w:p>
    <w:p w14:paraId="14484D72" w14:textId="77777777" w:rsidR="000414F6" w:rsidRPr="002F4348" w:rsidRDefault="00CB71DA" w:rsidP="0033051F">
      <w:pPr>
        <w:pStyle w:val="afff2"/>
      </w:pPr>
      <w:r w:rsidRPr="002F4348">
        <w:br w:type="page"/>
      </w:r>
      <w:bookmarkStart w:id="101" w:name="__RefHeading___doc_a3"/>
      <w:bookmarkStart w:id="102" w:name="_Toc65586424"/>
      <w:r w:rsidRPr="002F4348">
        <w:t xml:space="preserve">Приложение А3. </w:t>
      </w:r>
      <w:bookmarkEnd w:id="101"/>
      <w:r w:rsidR="009C0364" w:rsidRPr="002F4348">
        <w:t>Справочные материалы, включая соответствие показаний к применению и противопоказаний, способов применения и доз лекарственных препаратов</w:t>
      </w:r>
      <w:r w:rsidR="00427B0E" w:rsidRPr="002F4348">
        <w:t>,</w:t>
      </w:r>
      <w:r w:rsidR="009C0364" w:rsidRPr="002F4348">
        <w:t xml:space="preserve"> инструкции по прим</w:t>
      </w:r>
      <w:r w:rsidR="003527A8" w:rsidRPr="002F4348">
        <w:t>енению лекарственного препарата</w:t>
      </w:r>
      <w:bookmarkEnd w:id="102"/>
    </w:p>
    <w:p w14:paraId="34CFDA51" w14:textId="77777777" w:rsidR="00CF74E8" w:rsidRPr="002F4348" w:rsidRDefault="00CF74E8" w:rsidP="002648A0">
      <w:pPr>
        <w:pStyle w:val="11"/>
      </w:pPr>
      <w:bookmarkStart w:id="103" w:name="_Toc65586425"/>
      <w:bookmarkStart w:id="104" w:name="_Toc14773438"/>
      <w:bookmarkStart w:id="105" w:name="__RefHeading___doc_b"/>
      <w:r w:rsidRPr="002F4348">
        <w:t>Приложение А3.1. Режимы лекарственного лечения ЛХ</w:t>
      </w:r>
      <w:bookmarkEnd w:id="103"/>
    </w:p>
    <w:p w14:paraId="24F72F57" w14:textId="77777777" w:rsidR="000A6EAB" w:rsidRPr="002F4348" w:rsidRDefault="000A6EAB" w:rsidP="002648A0">
      <w:pPr>
        <w:rPr>
          <w:i/>
        </w:rPr>
      </w:pPr>
      <w:r w:rsidRPr="002F4348">
        <w:rPr>
          <w:i/>
        </w:rPr>
        <w:t>При проведении химиотерапии рекомендуется контролировать вес пациента и производить пересчет доз химиопрепаратов при изменении веса.</w:t>
      </w:r>
    </w:p>
    <w:p w14:paraId="39DFF53F" w14:textId="77777777" w:rsidR="00EA5B5D" w:rsidRPr="002F4348" w:rsidRDefault="00EA5B5D" w:rsidP="00571482">
      <w:pPr>
        <w:pStyle w:val="afd"/>
        <w:ind w:firstLine="0"/>
        <w:rPr>
          <w:b/>
          <w:bCs/>
          <w:u w:val="single"/>
        </w:rPr>
      </w:pPr>
      <w:r w:rsidRPr="002F4348">
        <w:rPr>
          <w:b/>
          <w:bCs/>
          <w:u w:val="single"/>
        </w:rPr>
        <w:t>3.3.1 Схемы 1 линии терапии</w:t>
      </w:r>
      <w:r w:rsidR="007A344D" w:rsidRPr="002F4348">
        <w:rPr>
          <w:b/>
          <w:bCs/>
          <w:u w:val="single"/>
        </w:rPr>
        <w:t xml:space="preserve"> классической</w:t>
      </w:r>
      <w:r w:rsidRPr="002F4348">
        <w:rPr>
          <w:b/>
          <w:bCs/>
          <w:u w:val="single"/>
        </w:rPr>
        <w:t xml:space="preserve"> лимфомы Ходжкина</w:t>
      </w:r>
    </w:p>
    <w:tbl>
      <w:tblPr>
        <w:tblStyle w:val="aff9"/>
        <w:tblW w:w="9356" w:type="dxa"/>
        <w:tblInd w:w="-5" w:type="dxa"/>
        <w:tblLayout w:type="fixed"/>
        <w:tblLook w:val="04A0" w:firstRow="1" w:lastRow="0" w:firstColumn="1" w:lastColumn="0" w:noHBand="0" w:noVBand="1"/>
      </w:tblPr>
      <w:tblGrid>
        <w:gridCol w:w="2339"/>
        <w:gridCol w:w="2339"/>
        <w:gridCol w:w="2339"/>
        <w:gridCol w:w="2339"/>
      </w:tblGrid>
      <w:tr w:rsidR="00EA5B5D" w:rsidRPr="002F4348" w14:paraId="54469821" w14:textId="77777777" w:rsidTr="00566FC8">
        <w:trPr>
          <w:trHeight w:val="329"/>
        </w:trPr>
        <w:tc>
          <w:tcPr>
            <w:tcW w:w="9356" w:type="dxa"/>
            <w:gridSpan w:val="4"/>
            <w:tcBorders>
              <w:top w:val="nil"/>
              <w:left w:val="nil"/>
              <w:bottom w:val="single" w:sz="4" w:space="0" w:color="auto"/>
              <w:right w:val="nil"/>
            </w:tcBorders>
          </w:tcPr>
          <w:p w14:paraId="5FD04727" w14:textId="77777777" w:rsidR="00EA5B5D" w:rsidRPr="002F4348" w:rsidRDefault="00EA5B5D" w:rsidP="00EA5B5D">
            <w:pPr>
              <w:spacing w:line="240" w:lineRule="auto"/>
              <w:ind w:firstLine="0"/>
              <w:jc w:val="left"/>
              <w:rPr>
                <w:b/>
                <w:bCs/>
                <w:szCs w:val="24"/>
              </w:rPr>
            </w:pPr>
            <w:r w:rsidRPr="002F4348">
              <w:rPr>
                <w:b/>
                <w:bCs/>
                <w:szCs w:val="24"/>
                <w:lang w:val="en-US"/>
              </w:rPr>
              <w:t>ABVD</w:t>
            </w:r>
            <w:r w:rsidR="00373FF6" w:rsidRPr="002F4348">
              <w:rPr>
                <w:b/>
                <w:bCs/>
                <w:szCs w:val="24"/>
              </w:rPr>
              <w:t xml:space="preserve"> </w:t>
            </w:r>
            <w:r w:rsidR="00A850F7" w:rsidRPr="002F4348">
              <w:fldChar w:fldCharType="begin" w:fldLock="1"/>
            </w:r>
            <w:r w:rsidR="00C85536" w:rsidRPr="002F4348">
              <w:instrText>ADDIN CSL_CITATION {"citationItems":[{"id":"ITEM-1","itemData":{"DOI":"10.1200/JCO.2006.07.0482","ISSN":"0732183X","abstract":"Purpose: To investigate whether combined-modality treatment (CMT) with two cycles of doxorubicin, bleomycin, vinblastine, and dacarbazine (ABVD) followed by extended-field radiotherapy (EF-RT) is superior to EF-RT alone in patients with early favorable Hodgkin's lymphoma (HL). Patients and Methods: Between 1993 and 1998, 650 patients with newly diagnosed, histology-proven HL in clinical stages IA to IIB without risk factors were enrolled onto this multicenter study and randomly assigned to receive 30 Gy EF-RT plus 10 Gy to the involved field (arm A) or two cycles of ABVD followed by the same radiotherapy (arm B). Results: At a median observation time of 87 months, there was no difference between treatment arms in terms of complete response rate (arm A, 95%; arm B, 94%) and overall survival (at 7 years: arm A, 92%; arm B, 94%; P = .43). However, freedom from treatment failure was significantly different, with 7-year rates of 67% in arm A (95% CI, 61 % to 73%) and 88% in arm B (95% CI, 84% to 92%; P ≤ .0001). This was due mainly to significantly more relapses after EF-RT only (arm A, 22%; arm B, 3%). No patient treated with CMT experienced relapse before year 3. Relapses were treated mainly with bleomycin, etoposide, doxorubicin, cyclophosphamide, vincristine, procarbazine, and prednisone, or with the combination cyclophosphamide, vincristine, procarbazine, and prednisone/ABVD; treatment of relapse was significantly more successful in arm A than in arm B (P = .017). In total, there were 39 second malignancies, with 21 in arm A and 18 in arm B, respectively. The incidence was approximately 0.8% per year during years 2 to 9 and was highest in older patients (P &lt; .0001) and those with \"B\" symptoms (P = .012). Conclusion: CMT consisting of two cycles of ABVD plus EF-RT is more effective than EF-RT alone. © 2007 by American Society of Clinical Oncology.","author":[{"dropping-particle":"","family":"Engert","given":"Andreas","non-dropping-particle":"","parse-names":false,"suffix":""},{"dropping-particle":"","family":"Franklin","given":"Jeremy","non-dropping-particle":"","parse-names":false,"suffix":""},{"dropping-particle":"","family":"Eich","given":"Hans Theodor","non-dropping-particle":"","parse-names":false,"suffix":""},{"dropping-particle":"","family":"Brillant","given":"Corinne","non-dropping-particle":"","parse-names":false,"suffix":""},{"dropping-particle":"","family":"Sehlen","given":"Susanne","non-dropping-particle":"","parse-names":false,"suffix":""},{"dropping-particle":"","family":"Cartoni","given":"Claudio","non-dropping-particle":"","parse-names":false,"suffix":""},{"dropping-particle":"","family":"Herrmann","given":"Richard","non-dropping-particle":"","parse-names":false,"suffix":""},{"dropping-particle":"","family":"Pfreundschuh","given":"Michael","non-dropping-particle":"","parse-names":false,"suffix":""},{"dropping-particle":"","family":"Sieber","given":"Markus","non-dropping-particle":"","parse-names":false,"suffix":""},{"dropping-particle":"","family":"Tesch","given":"Hans","non-dropping-particle":"","parse-names":false,"suffix":""},{"dropping-particle":"","family":"Franke","given":"Astrid","non-dropping-particle":"","parse-names":false,"suffix":""},{"dropping-particle":"","family":"Koch","given":"Peter","non-dropping-particle":"","parse-names":false,"suffix":""},{"dropping-particle":"","family":"Wit","given":"Maike","non-dropping-particle":"De","parse-names":false,"suffix":""},{"dropping-particle":"","family":"Paulus","given":"Ursula","non-dropping-particle":"","parse-names":false,"suffix":""},{"dropping-particle":"","family":"Hasenclever","given":"Dirk","non-dropping-particle":"","parse-names":false,"suffix":""},{"dropping-particle":"","family":"Loeffler","given":"Markus","non-dropping-particle":"","parse-names":false,"suffix":""},{"dropping-particle":"","family":"Müller","given":"Rolf Peter","non-dropping-particle":"","parse-names":false,"suffix":""},{"dropping-particle":"","family":"Müller-Hermelink","given":"Hans Konrad","non-dropping-particle":"","parse-names":false,"suffix":""},{"dropping-particle":"","family":"Dühmke","given":"Eckhart","non-dropping-particle":"","parse-names":false,"suffix":""},{"dropping-particle":"","family":"Diehl","given":"Volker","non-dropping-particle":"","parse-names":false,"suffix":""}],"container-title":"Journal of Clinical Oncology","id":"ITEM-1","issued":{"date-parts":[["2007"]]},"title":"Two cycles of doxorubicin, bleomycin, vinblastine, and dacarbazine plus extended-field radiotherapy is superior to radiotherapy alone in early favorable Hodgkin's lymphoma: Final results of the GHSG HD7 trial","type":"article-journal"},"uris":["http://www.mendeley.com/documents/?uuid=1088390a-6272-45cf-91af-b42ba5f98284","http://www.mendeley.com/documents/?uuid=513b55aa-7614-32db-bbfb-7393573de1a3","http://www.mendeley.com/documents/?uuid=da73ac70-6736-476a-8ce6-323cc997443e"]},{"id":"ITEM-2","itemData":{"DOI":"10.1056/NEJMoa1111961","ISSN":"1533-4406","author":[{"dropping-particle":"","family":"Meyer","given":"Ralph M.","non-dropping-particle":"","parse-names":false,"suffix":""},{"dropping-particle":"","family":"Djurfeldt","given":"Marina S.","non-dropping-particle":"","parse-names":false,"suffix":""},{"dropping-particle":"","family":"Chen","given":"Bingshu E.","non-dropping-particle":"","parse-names":false,"suffix":""},{"dropping-particle":"","family":"Shepherd","given":"Lois E.","non-dropping-particle":"","parse-names":false,"suffix":""},{"dropping-particle":"","family":"Gospodarowicz","given":"Mary K.","non-dropping-particle":"","parse-names":false,"suffix":""},{"dropping-particle":"","family":"Wells","given":"Woodrow A.","non-dropping-particle":"","parse-names":false,"suffix":""},{"dropping-particle":"","family":"Crump","given":"Michael","non-dropping-particle":"","parse-names":false,"suffix":""},{"dropping-particle":"","family":"Connors","given":"Joseph M.","non-dropping-particle":"","parse-names":false,"suffix":""},{"dropping-particle":"","family":"Pearcey","given":"Robert G.","non-dropping-particle":"","parse-names":false,"suffix":""},{"dropping-particle":"","family":"Dar","given":"A. Rashid","non-dropping-particle":"","parse-names":false,"suffix":""},{"dropping-particle":"","family":"Shustik","given":"Chaim","non-dropping-particle":"","parse-names":false,"suffix":""},{"dropping-particle":"","family":"Stewart","given":"Douglas A.","non-dropping-particle":"","parse-names":false,"suffix":""},{"dropping-particle":"","family":"Winter","given":"Jane N.","non-dropping-particle":"","parse-names":false,"suffix":""},{"dropping-particle":"","family":"Horning","given":"Sandra J.","non-dropping-particle":"","parse-names":false,"suffix":""}],"container-title":"New England Journal of Medicine","id":"ITEM-2","issued":{"date-parts":[["2012"]]},"title":"ABVD alone versus radiation-based therapy in limited-stage Hodgkin's lymphoma","type":"article-journal"},"uris":["http://www.mendeley.com/documents/?uuid=32a03219-84a5-439c-9922-d7e0b6ab6555","http://www.mendeley.com/documents/?uuid=0cd8bb5c-a9e8-3d1f-b4bb-294bbfd64013","http://www.mendeley.com/documents/?uuid=7624ddc0-8185-47fb-bb1c-b12b98384c05","http://www.mendeley.com/documents/?uuid=e12ef5a0-083e-480c-a395-2bf25dc4d59d"]},{"id":"ITEM-3","itemData":{"DOI":"10.1002/14651858.CD007941.pub3","ISSN":"1469493X","abstract":"BACKGROUND There are two different international standards for the treatment of early unfavourable and advanced stage Hodgkin lymphoma (HL): chemotherapy with escalated BEACOPP (bleomycin/etoposide/doxorubicin/cyclophosphamide/vincristine/procarbazine/prednisone) regimen and chemotherapy with ABVD (doxorubicin/bleomycin/vinblastine/dacarbazine) regimen. OBJECTIVES To determine the advantages and disadvantages of chemotherapy including escalated BEACOPP compared to chemotherapy including ABVD in the treatment of early unfavourable or advanced stage HL as first-line treatment. SEARCH METHODS We searched for randomised controlled trials in MEDLINE, CENTRAL and conference proceedings (January 1985 to July 2013 and for the update to March 2017) and Embase (1985 to November 2008). Moreover we searched trial registries (March 2017; www.controlled-trials.com, www.clinicaltrialsregister.eu/ctr-search/search, clinicaltrials.gov, www.eortc.be, www.ghsg.org, www.ctc.usyd.edu.au, www.trialscentral.org/index.html) SELECTION CRITERIA: We included randomised controlled trials examining chemotherapy including at least two cycles of escalated BEACOPP regimens compared with chemotherapy including at least four cycles of ABVD regimens as first-line treatment for patients with early unfavourable stage or advanced stage HL. DATA COLLECTION AND ANALYSIS The effect measures we used were hazard ratios (HRs) for overall survival (OS), progression-free survival (PFS) and freedom from first progression.We used risk ratios (RRs) relative risks to analyse harms: treatment-related mortality, secondary malignancies (including myeloid dysplastic syndrome (MDS) or acute myeloid leukaemia (AML)), infertility and adverse events.Quality of life was not reported in any trial, therefore not analysed. Two review authors independently extracted data and assessed quality of trials. MAIN RESULTS We screened 1796 records and identified five eligible trials in total i.e. one trial could be added on the previous review. These trials included only adults (16 to 65 years of age). We included all five trials with 3427 people in the meta-analyses: the HD9 and HD14 trials were co-ordinated in Germany, the HD2000 and GSM-HD trials were performed in Italy and the EORTC 20012 was conducted in Belgium. The overall risk of performance and detection bias was low for overall survival (OS), but was high for other outcomes, as therapy blinding was not feasible. The remaining 'Risk of bias' domains were low and u…","author":[{"dropping-particle":"","family":"Skoetz","given":"Nicole","non-dropping-particle":"","parse-names":false,"suffix":""},{"dropping-particle":"","family":"Will","given":"Andrea","non-dropping-particle":"","parse-names":false,"suffix":""},{"dropping-particle":"","family":"Monsef","given":"Ina","non-dropping-particle":"","parse-names":false,"suffix":""},{"dropping-particle":"","family":"Brillant","given":"Corinne","non-dropping-particle":"","parse-names":false,"suffix":""},{"dropping-particle":"","family":"Engert","given":"Andreas","non-dropping-particle":"","parse-names":false,"suffix":""},{"dropping-particle":"","family":"Tresckow","given":"Bastian","non-dropping-particle":"von","parse-names":false,"suffix":""}],"container-title":"Cochrane Database of Systematic Reviews","id":"ITEM-3","issued":{"date-parts":[["2017"]]},"title":"Comparison of first-line chemotherapy including escalated BEACOPP versus chemotherapy including ABVD for people with early unfavourable or advanced stage Hodgkin lymphoma","type":"article"},"uris":["http://www.mendeley.com/documents/?uuid=6f917861-0ded-464e-8965-bcce5e51c5af","http://www.mendeley.com/documents/?uuid=c47a5fbd-2b96-3894-ba90-965dca9218cc","http://www.mendeley.com/documents/?uuid=8ea00c71-8541-43da-86d8-ca29313a0ea1","http://www.mendeley.com/documents/?uuid=995f4f4a-e642-449b-a1bf-bdee1e7ef8d2"]}],"mendeley":{"formattedCitation":"[13,14,16]","plainTextFormattedCitation":"[13,14,16]","previouslyFormattedCitation":"[13,14,16]"},"properties":{"noteIndex":0},"schema":"https://github.com/citation-style-language/schema/raw/master/csl-citation.json"}</w:instrText>
            </w:r>
            <w:r w:rsidR="00A850F7" w:rsidRPr="002F4348">
              <w:fldChar w:fldCharType="separate"/>
            </w:r>
            <w:r w:rsidR="00A850F7" w:rsidRPr="002F4348">
              <w:rPr>
                <w:noProof/>
              </w:rPr>
              <w:t>[13,14,16]</w:t>
            </w:r>
            <w:r w:rsidR="00A850F7" w:rsidRPr="002F4348">
              <w:fldChar w:fldCharType="end"/>
            </w:r>
          </w:p>
        </w:tc>
      </w:tr>
      <w:tr w:rsidR="00EA5B5D" w:rsidRPr="002F4348" w14:paraId="0061C3FE" w14:textId="77777777" w:rsidTr="00566FC8">
        <w:trPr>
          <w:trHeight w:val="329"/>
        </w:trPr>
        <w:tc>
          <w:tcPr>
            <w:tcW w:w="2339" w:type="dxa"/>
            <w:tcBorders>
              <w:top w:val="single" w:sz="4" w:space="0" w:color="auto"/>
              <w:left w:val="single" w:sz="4" w:space="0" w:color="auto"/>
              <w:bottom w:val="single" w:sz="4" w:space="0" w:color="auto"/>
              <w:right w:val="single" w:sz="4" w:space="0" w:color="auto"/>
            </w:tcBorders>
            <w:hideMark/>
          </w:tcPr>
          <w:p w14:paraId="33471895" w14:textId="77777777" w:rsidR="00EA5B5D" w:rsidRPr="002F4348" w:rsidRDefault="00EA5B5D" w:rsidP="00EA5B5D">
            <w:pPr>
              <w:spacing w:line="240" w:lineRule="auto"/>
              <w:ind w:firstLine="0"/>
              <w:jc w:val="left"/>
              <w:rPr>
                <w:szCs w:val="24"/>
              </w:rPr>
            </w:pPr>
            <w:r w:rsidRPr="002F4348">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4986E9DD" w14:textId="77777777" w:rsidR="00EA5B5D" w:rsidRPr="002F4348" w:rsidRDefault="00EA5B5D" w:rsidP="00EA5B5D">
            <w:pPr>
              <w:spacing w:line="240" w:lineRule="auto"/>
              <w:ind w:firstLine="0"/>
              <w:jc w:val="left"/>
              <w:rPr>
                <w:szCs w:val="24"/>
              </w:rPr>
            </w:pPr>
            <w:r w:rsidRPr="002F4348">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57C6A60A" w14:textId="77777777" w:rsidR="00EA5B5D" w:rsidRPr="002F4348" w:rsidRDefault="00EA5B5D" w:rsidP="00EA5B5D">
            <w:pPr>
              <w:spacing w:line="240" w:lineRule="auto"/>
              <w:ind w:firstLine="0"/>
              <w:jc w:val="left"/>
              <w:rPr>
                <w:szCs w:val="24"/>
              </w:rPr>
            </w:pPr>
            <w:r w:rsidRPr="002F4348">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7ADCB6E7" w14:textId="77777777" w:rsidR="00EA5B5D" w:rsidRPr="002F4348" w:rsidRDefault="00EA5B5D" w:rsidP="00EA5B5D">
            <w:pPr>
              <w:spacing w:line="240" w:lineRule="auto"/>
              <w:ind w:firstLine="0"/>
              <w:jc w:val="left"/>
              <w:rPr>
                <w:szCs w:val="24"/>
              </w:rPr>
            </w:pPr>
            <w:r w:rsidRPr="002F4348">
              <w:rPr>
                <w:szCs w:val="24"/>
              </w:rPr>
              <w:t>Дни введения</w:t>
            </w:r>
          </w:p>
        </w:tc>
      </w:tr>
      <w:tr w:rsidR="00EA5B5D" w:rsidRPr="002F4348" w14:paraId="56DDF0EC" w14:textId="77777777" w:rsidTr="00EA5B5D">
        <w:trPr>
          <w:trHeight w:val="329"/>
        </w:trPr>
        <w:tc>
          <w:tcPr>
            <w:tcW w:w="2339" w:type="dxa"/>
            <w:tcBorders>
              <w:top w:val="single" w:sz="4" w:space="0" w:color="auto"/>
              <w:left w:val="single" w:sz="4" w:space="0" w:color="auto"/>
              <w:bottom w:val="single" w:sz="4" w:space="0" w:color="auto"/>
              <w:right w:val="single" w:sz="4" w:space="0" w:color="auto"/>
            </w:tcBorders>
            <w:hideMark/>
          </w:tcPr>
          <w:p w14:paraId="41A8955B" w14:textId="77777777" w:rsidR="00EA5B5D" w:rsidRPr="002F4348" w:rsidRDefault="00EA5B5D" w:rsidP="00EA5B5D">
            <w:pPr>
              <w:spacing w:line="240" w:lineRule="auto"/>
              <w:ind w:firstLine="0"/>
              <w:jc w:val="left"/>
              <w:rPr>
                <w:szCs w:val="24"/>
              </w:rPr>
            </w:pPr>
            <w:r w:rsidRPr="002F4348">
              <w:rPr>
                <w:szCs w:val="24"/>
              </w:rPr>
              <w:t>Доксорубицин</w:t>
            </w:r>
            <w:r w:rsidR="00566FC8" w:rsidRPr="002F4348">
              <w:rPr>
                <w:szCs w:val="24"/>
              </w:rPr>
              <w:t>**</w:t>
            </w:r>
          </w:p>
        </w:tc>
        <w:tc>
          <w:tcPr>
            <w:tcW w:w="2339" w:type="dxa"/>
            <w:tcBorders>
              <w:top w:val="single" w:sz="4" w:space="0" w:color="auto"/>
              <w:left w:val="single" w:sz="4" w:space="0" w:color="auto"/>
              <w:bottom w:val="single" w:sz="4" w:space="0" w:color="auto"/>
              <w:right w:val="single" w:sz="4" w:space="0" w:color="auto"/>
            </w:tcBorders>
          </w:tcPr>
          <w:p w14:paraId="7B7692BB" w14:textId="77777777" w:rsidR="00EA5B5D" w:rsidRPr="002F4348" w:rsidRDefault="00EA5B5D" w:rsidP="00EA5B5D">
            <w:pPr>
              <w:spacing w:line="240" w:lineRule="auto"/>
              <w:ind w:firstLine="0"/>
              <w:jc w:val="left"/>
              <w:rPr>
                <w:szCs w:val="24"/>
              </w:rPr>
            </w:pPr>
            <w:r w:rsidRPr="002F4348">
              <w:rPr>
                <w:szCs w:val="24"/>
              </w:rPr>
              <w:t>25 мг/м</w:t>
            </w:r>
            <w:r w:rsidRPr="002F4348">
              <w:rPr>
                <w:szCs w:val="24"/>
                <w:vertAlign w:val="superscript"/>
              </w:rPr>
              <w:t>2</w:t>
            </w:r>
          </w:p>
          <w:p w14:paraId="0EE813E3" w14:textId="77777777" w:rsidR="00EA5B5D" w:rsidRPr="002F4348" w:rsidRDefault="00EA5B5D" w:rsidP="00EA5B5D">
            <w:pPr>
              <w:spacing w:line="240" w:lineRule="auto"/>
              <w:ind w:firstLine="0"/>
              <w:jc w:val="left"/>
              <w:rPr>
                <w:szCs w:val="24"/>
              </w:rPr>
            </w:pPr>
          </w:p>
        </w:tc>
        <w:tc>
          <w:tcPr>
            <w:tcW w:w="2339" w:type="dxa"/>
            <w:tcBorders>
              <w:top w:val="single" w:sz="4" w:space="0" w:color="auto"/>
              <w:left w:val="single" w:sz="4" w:space="0" w:color="auto"/>
              <w:bottom w:val="single" w:sz="4" w:space="0" w:color="auto"/>
              <w:right w:val="single" w:sz="4" w:space="0" w:color="auto"/>
            </w:tcBorders>
            <w:hideMark/>
          </w:tcPr>
          <w:p w14:paraId="784F99FE" w14:textId="77777777" w:rsidR="00EA5B5D" w:rsidRPr="002F4348" w:rsidRDefault="00CC7927" w:rsidP="00EA5B5D">
            <w:pPr>
              <w:spacing w:line="240" w:lineRule="auto"/>
              <w:ind w:firstLine="0"/>
              <w:jc w:val="left"/>
              <w:rPr>
                <w:szCs w:val="24"/>
              </w:rPr>
            </w:pPr>
            <w:r w:rsidRPr="002F4348">
              <w:rPr>
                <w:szCs w:val="24"/>
              </w:rPr>
              <w:t>в/</w:t>
            </w:r>
            <w:r w:rsidR="00EA5B5D" w:rsidRPr="002F4348">
              <w:rPr>
                <w:szCs w:val="24"/>
              </w:rPr>
              <w:t>в капельно или струйно</w:t>
            </w:r>
          </w:p>
        </w:tc>
        <w:tc>
          <w:tcPr>
            <w:tcW w:w="2339" w:type="dxa"/>
            <w:tcBorders>
              <w:top w:val="single" w:sz="4" w:space="0" w:color="auto"/>
              <w:left w:val="single" w:sz="4" w:space="0" w:color="auto"/>
              <w:bottom w:val="single" w:sz="4" w:space="0" w:color="auto"/>
              <w:right w:val="single" w:sz="4" w:space="0" w:color="auto"/>
            </w:tcBorders>
          </w:tcPr>
          <w:p w14:paraId="20D39DC3" w14:textId="59C96363" w:rsidR="00EA5B5D" w:rsidRPr="002F4348" w:rsidRDefault="00EA5B5D" w:rsidP="00EA5B5D">
            <w:pPr>
              <w:spacing w:line="240" w:lineRule="auto"/>
              <w:ind w:firstLine="0"/>
              <w:jc w:val="left"/>
              <w:rPr>
                <w:szCs w:val="24"/>
              </w:rPr>
            </w:pPr>
            <w:r w:rsidRPr="002F4348">
              <w:rPr>
                <w:szCs w:val="24"/>
              </w:rPr>
              <w:t>1, 15</w:t>
            </w:r>
            <w:r w:rsidR="006278EC" w:rsidRPr="002F4348">
              <w:rPr>
                <w:szCs w:val="24"/>
              </w:rPr>
              <w:t xml:space="preserve"> (каждые 14 дней)</w:t>
            </w:r>
          </w:p>
          <w:p w14:paraId="7157F84F" w14:textId="77777777" w:rsidR="00EA5B5D" w:rsidRPr="002F4348" w:rsidRDefault="00EA5B5D" w:rsidP="00EA5B5D">
            <w:pPr>
              <w:spacing w:line="240" w:lineRule="auto"/>
              <w:ind w:firstLine="0"/>
              <w:jc w:val="left"/>
              <w:rPr>
                <w:szCs w:val="24"/>
              </w:rPr>
            </w:pPr>
          </w:p>
        </w:tc>
      </w:tr>
      <w:tr w:rsidR="00EA5B5D" w:rsidRPr="002F4348" w14:paraId="7C508212" w14:textId="77777777" w:rsidTr="00EA5B5D">
        <w:trPr>
          <w:trHeight w:val="329"/>
        </w:trPr>
        <w:tc>
          <w:tcPr>
            <w:tcW w:w="2339" w:type="dxa"/>
            <w:tcBorders>
              <w:top w:val="single" w:sz="4" w:space="0" w:color="auto"/>
              <w:left w:val="single" w:sz="4" w:space="0" w:color="auto"/>
              <w:bottom w:val="single" w:sz="4" w:space="0" w:color="auto"/>
              <w:right w:val="single" w:sz="4" w:space="0" w:color="auto"/>
            </w:tcBorders>
            <w:hideMark/>
          </w:tcPr>
          <w:p w14:paraId="1B708240" w14:textId="77777777" w:rsidR="00EA5B5D" w:rsidRPr="002F4348" w:rsidRDefault="00EA5B5D" w:rsidP="00EA5B5D">
            <w:pPr>
              <w:spacing w:line="240" w:lineRule="auto"/>
              <w:ind w:firstLine="0"/>
              <w:jc w:val="left"/>
              <w:rPr>
                <w:szCs w:val="24"/>
              </w:rPr>
            </w:pPr>
            <w:r w:rsidRPr="002F4348">
              <w:rPr>
                <w:szCs w:val="24"/>
              </w:rPr>
              <w:t>Блеомицин</w:t>
            </w:r>
            <w:r w:rsidR="00566FC8" w:rsidRPr="002F4348">
              <w:rPr>
                <w:szCs w:val="24"/>
              </w:rPr>
              <w:t>**</w:t>
            </w:r>
          </w:p>
        </w:tc>
        <w:tc>
          <w:tcPr>
            <w:tcW w:w="2339" w:type="dxa"/>
            <w:tcBorders>
              <w:top w:val="single" w:sz="4" w:space="0" w:color="auto"/>
              <w:left w:val="single" w:sz="4" w:space="0" w:color="auto"/>
              <w:bottom w:val="single" w:sz="4" w:space="0" w:color="auto"/>
              <w:right w:val="single" w:sz="4" w:space="0" w:color="auto"/>
            </w:tcBorders>
            <w:hideMark/>
          </w:tcPr>
          <w:p w14:paraId="46419609" w14:textId="77777777" w:rsidR="00EA5B5D" w:rsidRPr="002F4348" w:rsidRDefault="00EA5B5D" w:rsidP="00EA5B5D">
            <w:pPr>
              <w:spacing w:line="240" w:lineRule="auto"/>
              <w:ind w:firstLine="0"/>
              <w:jc w:val="left"/>
              <w:rPr>
                <w:szCs w:val="24"/>
              </w:rPr>
            </w:pPr>
            <w:r w:rsidRPr="002F4348">
              <w:rPr>
                <w:szCs w:val="24"/>
              </w:rPr>
              <w:t>10 мг/м</w:t>
            </w:r>
            <w:r w:rsidRPr="002F4348">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5D25A75E" w14:textId="77777777" w:rsidR="00EA5B5D" w:rsidRPr="002F4348" w:rsidRDefault="00CC7927" w:rsidP="00EA5B5D">
            <w:pPr>
              <w:spacing w:line="240" w:lineRule="auto"/>
              <w:ind w:firstLine="0"/>
              <w:jc w:val="left"/>
              <w:rPr>
                <w:szCs w:val="24"/>
              </w:rPr>
            </w:pPr>
            <w:r w:rsidRPr="002F4348">
              <w:rPr>
                <w:szCs w:val="24"/>
              </w:rPr>
              <w:t>в</w:t>
            </w:r>
            <w:r w:rsidR="00EA5B5D" w:rsidRPr="002F4348">
              <w:rPr>
                <w:szCs w:val="24"/>
              </w:rPr>
              <w:t>/в струйно</w:t>
            </w:r>
          </w:p>
        </w:tc>
        <w:tc>
          <w:tcPr>
            <w:tcW w:w="2339" w:type="dxa"/>
            <w:tcBorders>
              <w:top w:val="single" w:sz="4" w:space="0" w:color="auto"/>
              <w:left w:val="single" w:sz="4" w:space="0" w:color="auto"/>
              <w:bottom w:val="single" w:sz="4" w:space="0" w:color="auto"/>
              <w:right w:val="single" w:sz="4" w:space="0" w:color="auto"/>
            </w:tcBorders>
            <w:hideMark/>
          </w:tcPr>
          <w:p w14:paraId="0892A1A9" w14:textId="620E8F7C" w:rsidR="00EA5B5D" w:rsidRPr="002F4348" w:rsidRDefault="00EA5B5D" w:rsidP="00FF3697">
            <w:pPr>
              <w:spacing w:line="240" w:lineRule="auto"/>
              <w:ind w:firstLine="0"/>
              <w:jc w:val="left"/>
              <w:rPr>
                <w:szCs w:val="24"/>
              </w:rPr>
            </w:pPr>
            <w:r w:rsidRPr="002F4348">
              <w:rPr>
                <w:szCs w:val="24"/>
              </w:rPr>
              <w:t>1, 15</w:t>
            </w:r>
            <w:r w:rsidR="006278EC" w:rsidRPr="002F4348">
              <w:rPr>
                <w:szCs w:val="24"/>
              </w:rPr>
              <w:t xml:space="preserve">  (каждые 14 дней)</w:t>
            </w:r>
          </w:p>
        </w:tc>
      </w:tr>
      <w:tr w:rsidR="00EA5B5D" w:rsidRPr="002F4348" w14:paraId="1252291C" w14:textId="77777777" w:rsidTr="00EA5B5D">
        <w:trPr>
          <w:trHeight w:val="329"/>
        </w:trPr>
        <w:tc>
          <w:tcPr>
            <w:tcW w:w="2339" w:type="dxa"/>
            <w:tcBorders>
              <w:top w:val="single" w:sz="4" w:space="0" w:color="auto"/>
              <w:left w:val="single" w:sz="4" w:space="0" w:color="auto"/>
              <w:bottom w:val="single" w:sz="4" w:space="0" w:color="auto"/>
              <w:right w:val="single" w:sz="4" w:space="0" w:color="auto"/>
            </w:tcBorders>
            <w:hideMark/>
          </w:tcPr>
          <w:p w14:paraId="379AD6CA" w14:textId="77777777" w:rsidR="00EA5B5D" w:rsidRPr="002F4348" w:rsidRDefault="00EA5B5D" w:rsidP="00EA5B5D">
            <w:pPr>
              <w:spacing w:line="240" w:lineRule="auto"/>
              <w:ind w:firstLine="0"/>
              <w:jc w:val="left"/>
              <w:rPr>
                <w:szCs w:val="24"/>
              </w:rPr>
            </w:pPr>
            <w:r w:rsidRPr="002F4348">
              <w:rPr>
                <w:szCs w:val="24"/>
              </w:rPr>
              <w:t xml:space="preserve">Винбластин </w:t>
            </w:r>
            <w:r w:rsidR="00566FC8" w:rsidRPr="002F4348">
              <w:rPr>
                <w:szCs w:val="24"/>
              </w:rPr>
              <w:t>**</w:t>
            </w:r>
          </w:p>
        </w:tc>
        <w:tc>
          <w:tcPr>
            <w:tcW w:w="2339" w:type="dxa"/>
            <w:tcBorders>
              <w:top w:val="single" w:sz="4" w:space="0" w:color="auto"/>
              <w:left w:val="single" w:sz="4" w:space="0" w:color="auto"/>
              <w:bottom w:val="single" w:sz="4" w:space="0" w:color="auto"/>
              <w:right w:val="single" w:sz="4" w:space="0" w:color="auto"/>
            </w:tcBorders>
            <w:hideMark/>
          </w:tcPr>
          <w:p w14:paraId="4A2ECCBD" w14:textId="77777777" w:rsidR="00EA5B5D" w:rsidRPr="002F4348" w:rsidRDefault="00EA5B5D" w:rsidP="00EA5B5D">
            <w:pPr>
              <w:spacing w:line="240" w:lineRule="auto"/>
              <w:ind w:firstLine="0"/>
              <w:jc w:val="left"/>
              <w:rPr>
                <w:szCs w:val="24"/>
              </w:rPr>
            </w:pPr>
            <w:r w:rsidRPr="002F4348">
              <w:rPr>
                <w:szCs w:val="24"/>
              </w:rPr>
              <w:t>6 мг/м</w:t>
            </w:r>
            <w:r w:rsidRPr="002F4348">
              <w:rPr>
                <w:szCs w:val="24"/>
                <w:vertAlign w:val="superscript"/>
              </w:rPr>
              <w:t>2</w:t>
            </w:r>
            <w:r w:rsidRPr="002F4348">
              <w:rPr>
                <w:szCs w:val="24"/>
              </w:rPr>
              <w:t xml:space="preserve"> (не более 10 мг)</w:t>
            </w:r>
          </w:p>
        </w:tc>
        <w:tc>
          <w:tcPr>
            <w:tcW w:w="2339" w:type="dxa"/>
            <w:tcBorders>
              <w:top w:val="single" w:sz="4" w:space="0" w:color="auto"/>
              <w:left w:val="single" w:sz="4" w:space="0" w:color="auto"/>
              <w:bottom w:val="single" w:sz="4" w:space="0" w:color="auto"/>
              <w:right w:val="single" w:sz="4" w:space="0" w:color="auto"/>
            </w:tcBorders>
            <w:hideMark/>
          </w:tcPr>
          <w:p w14:paraId="007141D6" w14:textId="77777777" w:rsidR="00EA5B5D" w:rsidRPr="002F4348" w:rsidRDefault="00CC7927" w:rsidP="00EA5B5D">
            <w:pPr>
              <w:spacing w:line="240" w:lineRule="auto"/>
              <w:ind w:firstLine="0"/>
              <w:jc w:val="left"/>
              <w:rPr>
                <w:szCs w:val="24"/>
              </w:rPr>
            </w:pPr>
            <w:r w:rsidRPr="002F4348">
              <w:rPr>
                <w:szCs w:val="24"/>
              </w:rPr>
              <w:t>в</w:t>
            </w:r>
            <w:r w:rsidR="00EA5B5D" w:rsidRPr="002F4348">
              <w:rPr>
                <w:szCs w:val="24"/>
              </w:rPr>
              <w:t>/в, за 5-10 мин</w:t>
            </w:r>
          </w:p>
        </w:tc>
        <w:tc>
          <w:tcPr>
            <w:tcW w:w="2339" w:type="dxa"/>
            <w:tcBorders>
              <w:top w:val="single" w:sz="4" w:space="0" w:color="auto"/>
              <w:left w:val="single" w:sz="4" w:space="0" w:color="auto"/>
              <w:bottom w:val="single" w:sz="4" w:space="0" w:color="auto"/>
              <w:right w:val="single" w:sz="4" w:space="0" w:color="auto"/>
            </w:tcBorders>
            <w:hideMark/>
          </w:tcPr>
          <w:p w14:paraId="13F753AF" w14:textId="114D6C58" w:rsidR="00EA5B5D" w:rsidRPr="002F4348" w:rsidRDefault="00EA5B5D" w:rsidP="00FF3697">
            <w:pPr>
              <w:spacing w:line="240" w:lineRule="auto"/>
              <w:ind w:firstLine="0"/>
              <w:jc w:val="left"/>
              <w:rPr>
                <w:szCs w:val="24"/>
              </w:rPr>
            </w:pPr>
            <w:r w:rsidRPr="002F4348">
              <w:rPr>
                <w:szCs w:val="24"/>
              </w:rPr>
              <w:t>1, 15</w:t>
            </w:r>
            <w:r w:rsidR="006278EC" w:rsidRPr="002F4348">
              <w:rPr>
                <w:szCs w:val="24"/>
              </w:rPr>
              <w:t xml:space="preserve">  (каждые 14 дней)</w:t>
            </w:r>
          </w:p>
        </w:tc>
      </w:tr>
      <w:tr w:rsidR="00EA5B5D" w:rsidRPr="002F4348" w14:paraId="30BBD9D6" w14:textId="77777777" w:rsidTr="00EA5B5D">
        <w:trPr>
          <w:trHeight w:val="329"/>
        </w:trPr>
        <w:tc>
          <w:tcPr>
            <w:tcW w:w="2339" w:type="dxa"/>
            <w:tcBorders>
              <w:top w:val="single" w:sz="4" w:space="0" w:color="auto"/>
              <w:left w:val="single" w:sz="4" w:space="0" w:color="auto"/>
              <w:bottom w:val="single" w:sz="4" w:space="0" w:color="auto"/>
              <w:right w:val="single" w:sz="4" w:space="0" w:color="auto"/>
            </w:tcBorders>
            <w:hideMark/>
          </w:tcPr>
          <w:p w14:paraId="74FFCF8D" w14:textId="77777777" w:rsidR="00EA5B5D" w:rsidRPr="002F4348" w:rsidRDefault="00EA5B5D" w:rsidP="00EA5B5D">
            <w:pPr>
              <w:spacing w:line="240" w:lineRule="auto"/>
              <w:ind w:firstLine="0"/>
              <w:jc w:val="left"/>
              <w:rPr>
                <w:szCs w:val="24"/>
              </w:rPr>
            </w:pPr>
            <w:r w:rsidRPr="002F4348">
              <w:rPr>
                <w:szCs w:val="24"/>
              </w:rPr>
              <w:t>Дакарбазин</w:t>
            </w:r>
            <w:r w:rsidR="00566FC8" w:rsidRPr="002F4348">
              <w:rPr>
                <w:szCs w:val="24"/>
              </w:rPr>
              <w:t>**</w:t>
            </w:r>
          </w:p>
        </w:tc>
        <w:tc>
          <w:tcPr>
            <w:tcW w:w="2339" w:type="dxa"/>
            <w:tcBorders>
              <w:top w:val="single" w:sz="4" w:space="0" w:color="auto"/>
              <w:left w:val="single" w:sz="4" w:space="0" w:color="auto"/>
              <w:bottom w:val="single" w:sz="4" w:space="0" w:color="auto"/>
              <w:right w:val="single" w:sz="4" w:space="0" w:color="auto"/>
            </w:tcBorders>
            <w:hideMark/>
          </w:tcPr>
          <w:p w14:paraId="14CA5B82" w14:textId="77777777" w:rsidR="00EA5B5D" w:rsidRPr="002F4348" w:rsidRDefault="00EA5B5D" w:rsidP="00EA5B5D">
            <w:pPr>
              <w:spacing w:line="240" w:lineRule="auto"/>
              <w:ind w:firstLine="0"/>
              <w:jc w:val="left"/>
              <w:rPr>
                <w:szCs w:val="24"/>
              </w:rPr>
            </w:pPr>
            <w:r w:rsidRPr="002F4348">
              <w:rPr>
                <w:szCs w:val="24"/>
              </w:rPr>
              <w:t>375 мг/м</w:t>
            </w:r>
            <w:r w:rsidRPr="002F4348">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32254F16" w14:textId="77777777" w:rsidR="00EA5B5D" w:rsidRPr="002F4348" w:rsidRDefault="00CC7927" w:rsidP="00EA5B5D">
            <w:pPr>
              <w:spacing w:line="240" w:lineRule="auto"/>
              <w:ind w:firstLine="0"/>
              <w:jc w:val="left"/>
              <w:rPr>
                <w:szCs w:val="24"/>
              </w:rPr>
            </w:pPr>
            <w:r w:rsidRPr="002F4348">
              <w:rPr>
                <w:szCs w:val="24"/>
              </w:rPr>
              <w:t>в</w:t>
            </w:r>
            <w:r w:rsidR="00EA5B5D" w:rsidRPr="002F4348">
              <w:rPr>
                <w:szCs w:val="24"/>
              </w:rPr>
              <w:t>/в капельно</w:t>
            </w:r>
          </w:p>
        </w:tc>
        <w:tc>
          <w:tcPr>
            <w:tcW w:w="2339" w:type="dxa"/>
            <w:tcBorders>
              <w:top w:val="single" w:sz="4" w:space="0" w:color="auto"/>
              <w:left w:val="single" w:sz="4" w:space="0" w:color="auto"/>
              <w:bottom w:val="single" w:sz="4" w:space="0" w:color="auto"/>
              <w:right w:val="single" w:sz="4" w:space="0" w:color="auto"/>
            </w:tcBorders>
            <w:hideMark/>
          </w:tcPr>
          <w:p w14:paraId="5C57D60F" w14:textId="1C5E79DE" w:rsidR="00EA5B5D" w:rsidRPr="002F4348" w:rsidRDefault="00EA5B5D" w:rsidP="00FF3697">
            <w:pPr>
              <w:spacing w:line="240" w:lineRule="auto"/>
              <w:ind w:firstLine="0"/>
              <w:jc w:val="left"/>
              <w:rPr>
                <w:szCs w:val="24"/>
              </w:rPr>
            </w:pPr>
            <w:r w:rsidRPr="002F4348">
              <w:rPr>
                <w:szCs w:val="24"/>
              </w:rPr>
              <w:t>1, 15</w:t>
            </w:r>
            <w:r w:rsidR="006278EC" w:rsidRPr="002F4348">
              <w:rPr>
                <w:szCs w:val="24"/>
              </w:rPr>
              <w:t xml:space="preserve">  (каждые 14 дней)</w:t>
            </w:r>
          </w:p>
        </w:tc>
      </w:tr>
      <w:tr w:rsidR="00EA5B5D" w:rsidRPr="002F4348" w14:paraId="7ED24841" w14:textId="77777777" w:rsidTr="00EA5B5D">
        <w:tc>
          <w:tcPr>
            <w:tcW w:w="9356" w:type="dxa"/>
            <w:gridSpan w:val="4"/>
            <w:tcBorders>
              <w:top w:val="single" w:sz="4" w:space="0" w:color="auto"/>
              <w:left w:val="single" w:sz="4" w:space="0" w:color="auto"/>
              <w:bottom w:val="single" w:sz="4" w:space="0" w:color="auto"/>
              <w:right w:val="single" w:sz="4" w:space="0" w:color="auto"/>
            </w:tcBorders>
            <w:vAlign w:val="center"/>
          </w:tcPr>
          <w:p w14:paraId="31A0BF29" w14:textId="77777777" w:rsidR="00EA5B5D" w:rsidRPr="002F4348" w:rsidRDefault="00EA5B5D" w:rsidP="00EA5B5D">
            <w:pPr>
              <w:spacing w:line="240" w:lineRule="auto"/>
              <w:ind w:firstLine="0"/>
              <w:jc w:val="left"/>
              <w:rPr>
                <w:szCs w:val="24"/>
              </w:rPr>
            </w:pPr>
            <w:r w:rsidRPr="002F4348">
              <w:rPr>
                <w:szCs w:val="24"/>
              </w:rPr>
              <w:t>Лечение возобновляется на 29 день</w:t>
            </w:r>
          </w:p>
        </w:tc>
      </w:tr>
    </w:tbl>
    <w:p w14:paraId="642AE6F0" w14:textId="77777777" w:rsidR="00EA5B5D" w:rsidRPr="002F4348" w:rsidRDefault="00EA5B5D" w:rsidP="002648A0">
      <w:pPr>
        <w:ind w:left="709" w:firstLine="0"/>
      </w:pPr>
    </w:p>
    <w:tbl>
      <w:tblPr>
        <w:tblStyle w:val="aff9"/>
        <w:tblW w:w="9356" w:type="dxa"/>
        <w:tblInd w:w="-5" w:type="dxa"/>
        <w:tblLayout w:type="fixed"/>
        <w:tblLook w:val="04A0" w:firstRow="1" w:lastRow="0" w:firstColumn="1" w:lastColumn="0" w:noHBand="0" w:noVBand="1"/>
      </w:tblPr>
      <w:tblGrid>
        <w:gridCol w:w="2339"/>
        <w:gridCol w:w="2339"/>
        <w:gridCol w:w="2339"/>
        <w:gridCol w:w="2339"/>
      </w:tblGrid>
      <w:tr w:rsidR="00566FC8" w:rsidRPr="002F4348" w14:paraId="29433F13" w14:textId="77777777" w:rsidTr="00566FC8">
        <w:trPr>
          <w:trHeight w:val="329"/>
        </w:trPr>
        <w:tc>
          <w:tcPr>
            <w:tcW w:w="9356" w:type="dxa"/>
            <w:gridSpan w:val="4"/>
            <w:tcBorders>
              <w:top w:val="nil"/>
              <w:left w:val="nil"/>
              <w:bottom w:val="single" w:sz="4" w:space="0" w:color="auto"/>
              <w:right w:val="nil"/>
            </w:tcBorders>
          </w:tcPr>
          <w:p w14:paraId="5CEA72CE" w14:textId="77777777" w:rsidR="00566FC8" w:rsidRPr="002F4348" w:rsidRDefault="00566FC8" w:rsidP="003E2397">
            <w:pPr>
              <w:spacing w:line="240" w:lineRule="auto"/>
              <w:ind w:firstLine="0"/>
              <w:jc w:val="left"/>
              <w:rPr>
                <w:b/>
                <w:bCs/>
                <w:szCs w:val="24"/>
              </w:rPr>
            </w:pPr>
            <w:r w:rsidRPr="002F4348">
              <w:rPr>
                <w:b/>
                <w:bCs/>
                <w:szCs w:val="24"/>
              </w:rPr>
              <w:t>BEACOPP-эскалированный</w:t>
            </w:r>
            <w:r w:rsidR="00A850F7" w:rsidRPr="002F4348">
              <w:rPr>
                <w:b/>
                <w:bCs/>
                <w:szCs w:val="24"/>
              </w:rPr>
              <w:t xml:space="preserve"> </w:t>
            </w:r>
            <w:r w:rsidR="00C85536" w:rsidRPr="002F4348">
              <w:fldChar w:fldCharType="begin" w:fldLock="1"/>
            </w:r>
            <w:r w:rsidR="002C6C01" w:rsidRPr="002F4348">
              <w:instrText>ADDIN CSL_CITATION {"citationItems":[{"id":"ITEM-1","itemData":{"DOI":"10.1177/1179554917731072","ISSN":"11795549","PMID":"28989291","abstract":"Hodgkin lymphoma is a highly curable malignancy in early and advanced stages. Most patients are diagnosed in their teens or twenties and are expected to live decades beyond their treatment. Therefore, the toxicity of treatment must be balanced with the goal of cure. Thus, treatment has been refined through prognostic models and positron emission tomography-computed tomography (PET-CT)-directed therapy. Stratification by prognostic models defines groups of patients with favorable characteristics who may be treated with less intensive therapy upfront, including fewer cycles of chemotherapy, lower doses of radiation, or omission of radiation altogether. Alternatively, high-risk patients may be assigned to a more aggressive initial approach. The modern use of interim PET-CT allows further tailoring of treatment by response.","author":[{"dropping-particle":"","family":"Allen","given":"Pamela B.","non-dropping-particle":"","parse-names":false,"suffix":""},{"dropping-particle":"","family":"Gordon","given":"Leo I.","non-dropping-particle":"","parse-names":false,"suffix":""}],"container-title":"Clinical Medicine Insights: Oncology","id":"ITEM-1","issued":{"date-parts":[["2017","9","25"]]},"publisher":"SAGE Publications Ltd","title":"Frontline Therapy for Classical Hodgkin Lymphoma by Stage and Prognostic Factors","type":"article","volume":"11"},"uris":["http://www.mendeley.com/documents/?uuid=26f4c36f-1c69-36b3-ba96-afe95694f052","http://www.mendeley.com/documents/?uuid=75f7e830-c8b9-4a7f-b669-e152baefec6e"]},{"id":"ITEM-2","itemData":{"author":[{"dropping-particle":"","family":"Демина","given":"Е.А.","non-dropping-particle":"","parse-names":false,"suffix":""},{"dropping-particle":"","family":"Капланов","given":"К.Д.","non-dropping-particle":"","parse-names":false,"suffix":""},{"dropping-particle":"","family":"Мухортова","given":"О.В.","non-dropping-particle":"","parse-names":false,"suffix":""},{"dropping-particle":"","family":"Тумян","given":"Г.С.","non-dropping-particle":"","parse-names":false,"suffix":""},{"dropping-particle":"","family":"Михайлова","given":"Н.Б.","non-dropping-particle":"","parse-names":false,"suffix":""},{"dropping-particle":"","family":"Моисеева","given":"Т.Н.","non-dropping-particle":"","parse-names":false,"suffix":""},{"dropping-particle":"","family":"Виноградова","given":"Ю.Н.","non-dropping-particle":"","parse-names":false,"suffix":""},{"dropping-particle":"","family":"Ильин","given":"Н.В.","non-dropping-particle":"","parse-names":false,"suffix":""},{"dropping-particle":"","family":"Трофимова","given":"О.П.","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Савченко.","id":"ITEM-2","issued":{"date-parts":[["2018"]]},"page":"28-43","title":"Лимфома Ходжкина","type":"chapter"},"uris":["http://www.mendeley.com/documents/?uuid=0af2b11d-a9cf-4da8-a503-99a860249436","http://www.mendeley.com/documents/?uuid=708bf927-447f-43d0-8bf7-28178aa7e29e"]},{"id":"ITEM-3","itemData":{"DOI":"10.1200/JCO.2011.38.5807","ISSN":"0732183X","abstract":"Purpose: In patients with early unfavorable Hodgkin's lymphoma (HL), combined modality treatment with four cycles of ABVD (adriamycin, bleomycin, vinblastine, and dacarbazine) and 30 Gy involved-field radiotherapy (IFRT) results in long-term tumor control of approximately 80%. We aimed to improve these results using more intensive chemotherapy. Patients and Methods: Patients with newly diagnosed early unfavorable HL were randomly assigned to either four cycles of ABVD or an intensified treatment consisting of two cycles of escalated BEACOPP (bleomycin, etoposide, adriamycin, cyclophosphamide, vincristine, procarbazine, and prednisone) followed by two cycles of ABVD (2 + 2). Chemotherapy was followed by 30 Gy IFRT in both arms. The primary end point was freedom from treatment failure (FFTF); secondary end points included progression-free survival (PFS) and treatment-related toxicity. Results: With a total of 1,528 qualified patients included, the 2 + 2 regimen demonstrated superior FFTF compared with four cycles of ABVD (P &lt; .001; hazard ratio, 0.44; 95% CI, 0.30 to 0.66), with a difference of 7.2% at 5 years (95% CI, 3.8 to 10.5). The difference in 5-year PFS was 6.2% (95% CI, 3.0% to 9.5%). There was more acute toxicity associated with 2 + 2 than with ABVD, but there were no overall differences in treatment-related mortality or secondary malignancies. Conclusion: Intensified chemotherapy with two cycles of BEACOPP escalated followed by two cycles of ABVD followed by IFRT significantly improves tumor control in patients with early unfavorable HL. © 2012 by American Society of Clinical Oncology.","author":[{"dropping-particle":"","family":"Tresckow","given":"Bastian","non-dropping-particle":"Von","parse-names":false,"suffix":""},{"dropping-particle":"","family":"Plütschow","given":"Annette","non-dropping-particle":"","parse-names":false,"suffix":""},{"dropping-particle":"","family":"Fuchs","given":"Michael","non-dropping-particle":"","parse-names":false,"suffix":""},{"dropping-particle":"","family":"Klimm","given":"Beate","non-dropping-particle":"","parse-names":false,"suffix":""},{"dropping-particle":"","family":"Markova","given":"Jana","non-dropping-particle":"","parse-names":false,"suffix":""},{"dropping-particle":"","family":"Lohri","given":"Andreas","non-dropping-particle":"","parse-names":false,"suffix":""},{"dropping-particle":"","family":"Kral","given":"Zdenek","non-dropping-particle":"","parse-names":false,"suffix":""},{"dropping-particle":"","family":"Greil","given":"Richard","non-dropping-particle":"","parse-names":false,"suffix":""},{"dropping-particle":"","family":"Topp","given":"Max S.","non-dropping-particle":"","parse-names":false,"suffix":""},{"dropping-particle":"","family":"Meissner","given":"Julia","non-dropping-particle":"","parse-names":false,"suffix":""},{"dropping-particle":"","family":"Zijlstra","given":"Josée M.","non-dropping-particle":"","parse-names":false,"suffix":""},{"dropping-particle":"","family":"Soekler","given":"Martin","non-dropping-particle":"","parse-names":false,"suffix":""},{"dropping-particle":"","family":"Stein","given":"Harald","non-dropping-particle":"","parse-names":false,"suffix":""},{"dropping-particle":"","family":"Eich","given":"Hans T.","non-dropping-particle":"","parse-names":false,"suffix":""},{"dropping-particle":"","family":"Mueller","given":"Rolf P.","non-dropping-particle":"","parse-names":false,"suffix":""},{"dropping-particle":"","family":"Diehl","given":"Volker","non-dropping-particle":"","parse-names":false,"suffix":""},{"dropping-particle":"","family":"Borchmann","given":"Peter","non-dropping-particle":"","parse-names":false,"suffix":""},{"dropping-particle":"","family":"Engert","given":"Andreas","non-dropping-particle":"","parse-names":false,"suffix":""}],"container-title":"Journal of Clinical Oncology","id":"ITEM-3","issue":"9","issued":{"date-parts":[["2012","3","20"]]},"page":"907-913","title":"Dose-intensification in early unfavorable Hodgkin's lymphoma: Final analysis of the German Hodgkin study group HD14 trial","type":"article-journal","volume":"30"},"uris":["http://www.mendeley.com/documents/?uuid=617ec62a-b770-37fd-bc73-843acf38fd90","http://www.mendeley.com/documents/?uuid=57cd9bd0-82be-4f83-bf8a-874839a2311b"]}],"mendeley":{"formattedCitation":"[4,15,17]","plainTextFormattedCitation":"[4,15,17]","previouslyFormattedCitation":"[4,15,17]"},"properties":{"noteIndex":0},"schema":"https://github.com/citation-style-language/schema/raw/master/csl-citation.json"}</w:instrText>
            </w:r>
            <w:r w:rsidR="00C85536" w:rsidRPr="002F4348">
              <w:fldChar w:fldCharType="separate"/>
            </w:r>
            <w:r w:rsidR="00C85536" w:rsidRPr="002F4348">
              <w:rPr>
                <w:noProof/>
              </w:rPr>
              <w:t>[4,15,17]</w:t>
            </w:r>
            <w:r w:rsidR="00C85536" w:rsidRPr="002F4348">
              <w:fldChar w:fldCharType="end"/>
            </w:r>
          </w:p>
        </w:tc>
      </w:tr>
      <w:tr w:rsidR="00566FC8" w:rsidRPr="002F4348" w14:paraId="0BF528B6" w14:textId="77777777" w:rsidTr="00566FC8">
        <w:trPr>
          <w:trHeight w:val="329"/>
        </w:trPr>
        <w:tc>
          <w:tcPr>
            <w:tcW w:w="2339" w:type="dxa"/>
            <w:tcBorders>
              <w:top w:val="single" w:sz="4" w:space="0" w:color="auto"/>
              <w:left w:val="single" w:sz="4" w:space="0" w:color="auto"/>
              <w:bottom w:val="single" w:sz="4" w:space="0" w:color="auto"/>
              <w:right w:val="single" w:sz="4" w:space="0" w:color="auto"/>
            </w:tcBorders>
            <w:hideMark/>
          </w:tcPr>
          <w:p w14:paraId="13D78782" w14:textId="77777777" w:rsidR="00566FC8" w:rsidRPr="002F4348" w:rsidRDefault="00566FC8" w:rsidP="003E2397">
            <w:pPr>
              <w:spacing w:line="240" w:lineRule="auto"/>
              <w:ind w:firstLine="0"/>
              <w:jc w:val="left"/>
              <w:rPr>
                <w:szCs w:val="24"/>
              </w:rPr>
            </w:pPr>
            <w:r w:rsidRPr="002F4348">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4E764444" w14:textId="77777777" w:rsidR="00566FC8" w:rsidRPr="002F4348" w:rsidRDefault="00566FC8" w:rsidP="003E2397">
            <w:pPr>
              <w:spacing w:line="240" w:lineRule="auto"/>
              <w:ind w:firstLine="0"/>
              <w:jc w:val="left"/>
              <w:rPr>
                <w:szCs w:val="24"/>
              </w:rPr>
            </w:pPr>
            <w:r w:rsidRPr="002F4348">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2A25CDD4" w14:textId="77777777" w:rsidR="00566FC8" w:rsidRPr="002F4348" w:rsidRDefault="00566FC8" w:rsidP="003E2397">
            <w:pPr>
              <w:spacing w:line="240" w:lineRule="auto"/>
              <w:ind w:firstLine="0"/>
              <w:jc w:val="left"/>
              <w:rPr>
                <w:szCs w:val="24"/>
              </w:rPr>
            </w:pPr>
            <w:r w:rsidRPr="002F4348">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075611CA" w14:textId="77777777" w:rsidR="00566FC8" w:rsidRPr="002F4348" w:rsidRDefault="00566FC8" w:rsidP="003E2397">
            <w:pPr>
              <w:spacing w:line="240" w:lineRule="auto"/>
              <w:ind w:firstLine="0"/>
              <w:jc w:val="left"/>
              <w:rPr>
                <w:szCs w:val="24"/>
              </w:rPr>
            </w:pPr>
            <w:r w:rsidRPr="002F4348">
              <w:rPr>
                <w:szCs w:val="24"/>
              </w:rPr>
              <w:t>Дни введения</w:t>
            </w:r>
          </w:p>
        </w:tc>
      </w:tr>
      <w:tr w:rsidR="00CC7927" w:rsidRPr="002F4348" w14:paraId="4DD3801F"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572775AE" w14:textId="77777777" w:rsidR="00CC7927" w:rsidRPr="002F4348" w:rsidRDefault="00CC7927" w:rsidP="00CC7927">
            <w:pPr>
              <w:spacing w:line="240" w:lineRule="auto"/>
              <w:ind w:firstLine="0"/>
              <w:jc w:val="left"/>
              <w:rPr>
                <w:szCs w:val="24"/>
              </w:rPr>
            </w:pPr>
            <w:r w:rsidRPr="002F4348">
              <w:rPr>
                <w:szCs w:val="24"/>
              </w:rPr>
              <w:t>Циклофосфамид</w:t>
            </w:r>
            <w:r w:rsidR="00D254F2" w:rsidRPr="002F4348">
              <w:rPr>
                <w:szCs w:val="24"/>
              </w:rPr>
              <w:t>**</w:t>
            </w:r>
          </w:p>
        </w:tc>
        <w:tc>
          <w:tcPr>
            <w:tcW w:w="2339" w:type="dxa"/>
            <w:tcBorders>
              <w:top w:val="single" w:sz="4" w:space="0" w:color="auto"/>
              <w:left w:val="single" w:sz="4" w:space="0" w:color="auto"/>
              <w:bottom w:val="single" w:sz="4" w:space="0" w:color="auto"/>
              <w:right w:val="single" w:sz="4" w:space="0" w:color="auto"/>
            </w:tcBorders>
          </w:tcPr>
          <w:p w14:paraId="1FDA6A75" w14:textId="77777777" w:rsidR="00CC7927" w:rsidRPr="002F4348" w:rsidRDefault="00CC7927" w:rsidP="00CC7927">
            <w:pPr>
              <w:spacing w:line="240" w:lineRule="auto"/>
              <w:ind w:left="1416" w:hanging="1416"/>
              <w:jc w:val="left"/>
              <w:rPr>
                <w:szCs w:val="24"/>
              </w:rPr>
            </w:pPr>
            <w:r w:rsidRPr="002F4348">
              <w:rPr>
                <w:szCs w:val="24"/>
              </w:rPr>
              <w:t>1250 мг/м</w:t>
            </w:r>
            <w:r w:rsidRPr="002F4348">
              <w:rPr>
                <w:rFonts w:cs="Times New Roman (Основной текст"/>
                <w:szCs w:val="24"/>
                <w:vertAlign w:val="superscript"/>
              </w:rPr>
              <w:t xml:space="preserve">2 </w:t>
            </w:r>
          </w:p>
        </w:tc>
        <w:tc>
          <w:tcPr>
            <w:tcW w:w="2339" w:type="dxa"/>
            <w:tcBorders>
              <w:top w:val="single" w:sz="4" w:space="0" w:color="auto"/>
              <w:left w:val="single" w:sz="4" w:space="0" w:color="auto"/>
              <w:bottom w:val="single" w:sz="4" w:space="0" w:color="auto"/>
              <w:right w:val="single" w:sz="4" w:space="0" w:color="auto"/>
            </w:tcBorders>
          </w:tcPr>
          <w:p w14:paraId="1932C09B" w14:textId="77777777" w:rsidR="00CC7927" w:rsidRPr="002F4348" w:rsidRDefault="00CC7927" w:rsidP="00CC7927">
            <w:pPr>
              <w:spacing w:line="240" w:lineRule="auto"/>
              <w:ind w:firstLine="0"/>
              <w:jc w:val="left"/>
              <w:rPr>
                <w:szCs w:val="24"/>
              </w:rPr>
            </w:pPr>
            <w:r w:rsidRPr="002F4348">
              <w:rPr>
                <w:szCs w:val="24"/>
              </w:rPr>
              <w:t>в/в капельно</w:t>
            </w:r>
          </w:p>
        </w:tc>
        <w:tc>
          <w:tcPr>
            <w:tcW w:w="2339" w:type="dxa"/>
            <w:tcBorders>
              <w:top w:val="single" w:sz="4" w:space="0" w:color="auto"/>
              <w:left w:val="single" w:sz="4" w:space="0" w:color="auto"/>
              <w:bottom w:val="single" w:sz="4" w:space="0" w:color="auto"/>
              <w:right w:val="single" w:sz="4" w:space="0" w:color="auto"/>
            </w:tcBorders>
          </w:tcPr>
          <w:p w14:paraId="4B13B354" w14:textId="77777777" w:rsidR="00CC7927" w:rsidRPr="002F4348" w:rsidRDefault="00CC7927" w:rsidP="00CC7927">
            <w:pPr>
              <w:spacing w:line="240" w:lineRule="auto"/>
              <w:ind w:firstLine="0"/>
              <w:jc w:val="left"/>
              <w:rPr>
                <w:szCs w:val="24"/>
              </w:rPr>
            </w:pPr>
            <w:r w:rsidRPr="002F4348">
              <w:rPr>
                <w:szCs w:val="24"/>
              </w:rPr>
              <w:t>1</w:t>
            </w:r>
          </w:p>
        </w:tc>
      </w:tr>
      <w:tr w:rsidR="00CC7927" w:rsidRPr="002F4348" w14:paraId="0CC814E1"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hideMark/>
          </w:tcPr>
          <w:p w14:paraId="45E70099" w14:textId="77777777" w:rsidR="00CC7927" w:rsidRPr="002F4348" w:rsidRDefault="00CC7927" w:rsidP="00CC7927">
            <w:pPr>
              <w:spacing w:line="240" w:lineRule="auto"/>
              <w:ind w:firstLine="0"/>
              <w:jc w:val="left"/>
              <w:rPr>
                <w:szCs w:val="24"/>
              </w:rPr>
            </w:pPr>
            <w:r w:rsidRPr="002F4348">
              <w:rPr>
                <w:szCs w:val="24"/>
              </w:rPr>
              <w:t>Доксорубицин</w:t>
            </w:r>
            <w:r w:rsidR="00D254F2" w:rsidRPr="002F4348">
              <w:rPr>
                <w:szCs w:val="24"/>
              </w:rPr>
              <w:t>**</w:t>
            </w:r>
          </w:p>
        </w:tc>
        <w:tc>
          <w:tcPr>
            <w:tcW w:w="2339" w:type="dxa"/>
            <w:tcBorders>
              <w:top w:val="single" w:sz="4" w:space="0" w:color="auto"/>
              <w:left w:val="single" w:sz="4" w:space="0" w:color="auto"/>
              <w:bottom w:val="single" w:sz="4" w:space="0" w:color="auto"/>
              <w:right w:val="single" w:sz="4" w:space="0" w:color="auto"/>
            </w:tcBorders>
          </w:tcPr>
          <w:p w14:paraId="4A0ED788" w14:textId="77777777" w:rsidR="00CC7927" w:rsidRPr="002F4348" w:rsidRDefault="00CC7927" w:rsidP="00CC7927">
            <w:pPr>
              <w:spacing w:line="240" w:lineRule="auto"/>
              <w:ind w:firstLine="0"/>
              <w:jc w:val="left"/>
              <w:rPr>
                <w:szCs w:val="24"/>
              </w:rPr>
            </w:pPr>
            <w:r w:rsidRPr="002F4348">
              <w:rPr>
                <w:szCs w:val="24"/>
              </w:rPr>
              <w:t>35 мг/м</w:t>
            </w:r>
            <w:r w:rsidRPr="002F4348">
              <w:rPr>
                <w:szCs w:val="24"/>
                <w:vertAlign w:val="superscript"/>
              </w:rPr>
              <w:t>2</w:t>
            </w:r>
          </w:p>
          <w:p w14:paraId="366F501A" w14:textId="77777777" w:rsidR="00CC7927" w:rsidRPr="002F4348" w:rsidRDefault="00CC7927" w:rsidP="00CC7927">
            <w:pPr>
              <w:spacing w:line="240" w:lineRule="auto"/>
              <w:ind w:firstLine="0"/>
              <w:jc w:val="left"/>
              <w:rPr>
                <w:szCs w:val="24"/>
              </w:rPr>
            </w:pPr>
          </w:p>
        </w:tc>
        <w:tc>
          <w:tcPr>
            <w:tcW w:w="2339" w:type="dxa"/>
            <w:tcBorders>
              <w:top w:val="single" w:sz="4" w:space="0" w:color="auto"/>
              <w:left w:val="single" w:sz="4" w:space="0" w:color="auto"/>
              <w:bottom w:val="single" w:sz="4" w:space="0" w:color="auto"/>
              <w:right w:val="single" w:sz="4" w:space="0" w:color="auto"/>
            </w:tcBorders>
            <w:hideMark/>
          </w:tcPr>
          <w:p w14:paraId="6760CB29" w14:textId="77777777" w:rsidR="00CC7927" w:rsidRPr="002F4348" w:rsidRDefault="00CC7927" w:rsidP="00CC7927">
            <w:pPr>
              <w:spacing w:line="240" w:lineRule="auto"/>
              <w:ind w:firstLine="0"/>
              <w:jc w:val="left"/>
              <w:rPr>
                <w:szCs w:val="24"/>
              </w:rPr>
            </w:pPr>
            <w:r w:rsidRPr="002F4348">
              <w:rPr>
                <w:szCs w:val="24"/>
              </w:rPr>
              <w:t>в/в капельно или струйно</w:t>
            </w:r>
          </w:p>
        </w:tc>
        <w:tc>
          <w:tcPr>
            <w:tcW w:w="2339" w:type="dxa"/>
            <w:tcBorders>
              <w:top w:val="single" w:sz="4" w:space="0" w:color="auto"/>
              <w:left w:val="single" w:sz="4" w:space="0" w:color="auto"/>
              <w:bottom w:val="single" w:sz="4" w:space="0" w:color="auto"/>
              <w:right w:val="single" w:sz="4" w:space="0" w:color="auto"/>
            </w:tcBorders>
          </w:tcPr>
          <w:p w14:paraId="075EDC4F" w14:textId="77777777" w:rsidR="00CC7927" w:rsidRPr="002F4348" w:rsidRDefault="00CC7927" w:rsidP="00CC7927">
            <w:pPr>
              <w:spacing w:line="240" w:lineRule="auto"/>
              <w:ind w:firstLine="0"/>
              <w:jc w:val="left"/>
              <w:rPr>
                <w:szCs w:val="24"/>
              </w:rPr>
            </w:pPr>
            <w:r w:rsidRPr="002F4348">
              <w:rPr>
                <w:szCs w:val="24"/>
              </w:rPr>
              <w:t>1</w:t>
            </w:r>
          </w:p>
          <w:p w14:paraId="5D367234" w14:textId="77777777" w:rsidR="00CC7927" w:rsidRPr="002F4348" w:rsidRDefault="00CC7927" w:rsidP="00CC7927">
            <w:pPr>
              <w:spacing w:line="240" w:lineRule="auto"/>
              <w:ind w:firstLine="0"/>
              <w:jc w:val="left"/>
              <w:rPr>
                <w:szCs w:val="24"/>
              </w:rPr>
            </w:pPr>
          </w:p>
        </w:tc>
      </w:tr>
      <w:tr w:rsidR="00CC7927" w:rsidRPr="002F4348" w14:paraId="3A84C458"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72D5A2FF" w14:textId="77777777" w:rsidR="00CC7927" w:rsidRPr="002F4348" w:rsidRDefault="00CC7927" w:rsidP="00CC7927">
            <w:pPr>
              <w:spacing w:line="240" w:lineRule="auto"/>
              <w:ind w:firstLine="0"/>
              <w:jc w:val="left"/>
              <w:rPr>
                <w:szCs w:val="24"/>
              </w:rPr>
            </w:pPr>
            <w:r w:rsidRPr="002F4348">
              <w:rPr>
                <w:szCs w:val="24"/>
              </w:rPr>
              <w:t>Этопозид</w:t>
            </w:r>
            <w:r w:rsidR="00D254F2" w:rsidRPr="002F4348">
              <w:rPr>
                <w:szCs w:val="24"/>
              </w:rPr>
              <w:t>**</w:t>
            </w:r>
          </w:p>
        </w:tc>
        <w:tc>
          <w:tcPr>
            <w:tcW w:w="2339" w:type="dxa"/>
            <w:tcBorders>
              <w:top w:val="single" w:sz="4" w:space="0" w:color="auto"/>
              <w:left w:val="single" w:sz="4" w:space="0" w:color="auto"/>
              <w:bottom w:val="single" w:sz="4" w:space="0" w:color="auto"/>
              <w:right w:val="single" w:sz="4" w:space="0" w:color="auto"/>
            </w:tcBorders>
          </w:tcPr>
          <w:p w14:paraId="08DB17BC" w14:textId="77777777" w:rsidR="00CC7927" w:rsidRPr="002F4348" w:rsidRDefault="00CC7927" w:rsidP="00CC7927">
            <w:pPr>
              <w:spacing w:line="240" w:lineRule="auto"/>
              <w:ind w:firstLine="0"/>
              <w:jc w:val="left"/>
              <w:rPr>
                <w:szCs w:val="24"/>
                <w:vertAlign w:val="superscript"/>
              </w:rPr>
            </w:pPr>
            <w:r w:rsidRPr="002F4348">
              <w:rPr>
                <w:szCs w:val="24"/>
              </w:rPr>
              <w:t>200 мг/м</w:t>
            </w:r>
            <w:r w:rsidRPr="002F4348">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582A4DF4" w14:textId="77777777" w:rsidR="00CC7927" w:rsidRPr="002F4348" w:rsidRDefault="00CC7927" w:rsidP="00CC7927">
            <w:pPr>
              <w:spacing w:line="240" w:lineRule="auto"/>
              <w:ind w:firstLine="0"/>
              <w:jc w:val="left"/>
              <w:rPr>
                <w:szCs w:val="24"/>
              </w:rPr>
            </w:pPr>
            <w:r w:rsidRPr="002F4348">
              <w:rPr>
                <w:szCs w:val="24"/>
              </w:rPr>
              <w:t>в/в капельно</w:t>
            </w:r>
          </w:p>
        </w:tc>
        <w:tc>
          <w:tcPr>
            <w:tcW w:w="2339" w:type="dxa"/>
            <w:tcBorders>
              <w:top w:val="single" w:sz="4" w:space="0" w:color="auto"/>
              <w:left w:val="single" w:sz="4" w:space="0" w:color="auto"/>
              <w:bottom w:val="single" w:sz="4" w:space="0" w:color="auto"/>
              <w:right w:val="single" w:sz="4" w:space="0" w:color="auto"/>
            </w:tcBorders>
          </w:tcPr>
          <w:p w14:paraId="69FD6E7E" w14:textId="77777777" w:rsidR="00CC7927" w:rsidRPr="002F4348" w:rsidRDefault="00CC7927" w:rsidP="00CC7927">
            <w:pPr>
              <w:spacing w:line="240" w:lineRule="auto"/>
              <w:ind w:firstLine="0"/>
              <w:jc w:val="left"/>
              <w:rPr>
                <w:szCs w:val="24"/>
              </w:rPr>
            </w:pPr>
            <w:r w:rsidRPr="002F4348">
              <w:rPr>
                <w:szCs w:val="24"/>
              </w:rPr>
              <w:t>1-3</w:t>
            </w:r>
          </w:p>
        </w:tc>
      </w:tr>
      <w:tr w:rsidR="00CC7927" w:rsidRPr="002F4348" w14:paraId="463705F6"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126D4561" w14:textId="77777777" w:rsidR="00CC7927" w:rsidRPr="002F4348" w:rsidRDefault="00CC7927" w:rsidP="00CC7927">
            <w:pPr>
              <w:spacing w:line="240" w:lineRule="auto"/>
              <w:ind w:firstLine="0"/>
              <w:jc w:val="left"/>
              <w:rPr>
                <w:szCs w:val="24"/>
              </w:rPr>
            </w:pPr>
            <w:r w:rsidRPr="002F4348">
              <w:rPr>
                <w:szCs w:val="24"/>
              </w:rPr>
              <w:t>Прокарбазин</w:t>
            </w:r>
            <w:r w:rsidR="00D254F2" w:rsidRPr="002F4348">
              <w:rPr>
                <w:szCs w:val="24"/>
              </w:rPr>
              <w:t>**</w:t>
            </w:r>
          </w:p>
        </w:tc>
        <w:tc>
          <w:tcPr>
            <w:tcW w:w="2339" w:type="dxa"/>
            <w:tcBorders>
              <w:top w:val="single" w:sz="4" w:space="0" w:color="auto"/>
              <w:left w:val="single" w:sz="4" w:space="0" w:color="auto"/>
              <w:bottom w:val="single" w:sz="4" w:space="0" w:color="auto"/>
              <w:right w:val="single" w:sz="4" w:space="0" w:color="auto"/>
            </w:tcBorders>
          </w:tcPr>
          <w:p w14:paraId="050B52D0" w14:textId="77777777" w:rsidR="00CC7927" w:rsidRPr="002F4348" w:rsidRDefault="00CC7927" w:rsidP="00CC7927">
            <w:pPr>
              <w:spacing w:line="240" w:lineRule="auto"/>
              <w:ind w:firstLine="0"/>
              <w:jc w:val="left"/>
              <w:rPr>
                <w:szCs w:val="24"/>
                <w:vertAlign w:val="superscript"/>
              </w:rPr>
            </w:pPr>
            <w:r w:rsidRPr="002F4348">
              <w:rPr>
                <w:szCs w:val="24"/>
              </w:rPr>
              <w:t>100 мг/м</w:t>
            </w:r>
            <w:r w:rsidRPr="002F4348">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1E74AE5C" w14:textId="77777777" w:rsidR="00CC7927" w:rsidRPr="002F4348" w:rsidRDefault="00CC7927" w:rsidP="00CC7927">
            <w:pPr>
              <w:spacing w:line="240" w:lineRule="auto"/>
              <w:ind w:firstLine="0"/>
              <w:jc w:val="left"/>
              <w:rPr>
                <w:szCs w:val="24"/>
              </w:rPr>
            </w:pPr>
            <w:r w:rsidRPr="002F4348">
              <w:rPr>
                <w:szCs w:val="24"/>
              </w:rPr>
              <w:t>внутрь</w:t>
            </w:r>
          </w:p>
        </w:tc>
        <w:tc>
          <w:tcPr>
            <w:tcW w:w="2339" w:type="dxa"/>
            <w:tcBorders>
              <w:top w:val="single" w:sz="4" w:space="0" w:color="auto"/>
              <w:left w:val="single" w:sz="4" w:space="0" w:color="auto"/>
              <w:bottom w:val="single" w:sz="4" w:space="0" w:color="auto"/>
              <w:right w:val="single" w:sz="4" w:space="0" w:color="auto"/>
            </w:tcBorders>
          </w:tcPr>
          <w:p w14:paraId="7D51CD1E" w14:textId="77777777" w:rsidR="00CC7927" w:rsidRPr="002F4348" w:rsidRDefault="00CC7927" w:rsidP="00CC7927">
            <w:pPr>
              <w:spacing w:line="240" w:lineRule="auto"/>
              <w:ind w:firstLine="0"/>
              <w:jc w:val="left"/>
              <w:rPr>
                <w:szCs w:val="24"/>
              </w:rPr>
            </w:pPr>
            <w:r w:rsidRPr="002F4348">
              <w:rPr>
                <w:szCs w:val="24"/>
              </w:rPr>
              <w:t>1-7</w:t>
            </w:r>
          </w:p>
        </w:tc>
      </w:tr>
      <w:tr w:rsidR="00CC7927" w:rsidRPr="002F4348" w14:paraId="4A0516C4"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hideMark/>
          </w:tcPr>
          <w:p w14:paraId="47EC9731" w14:textId="77777777" w:rsidR="00CC7927" w:rsidRPr="002F4348" w:rsidRDefault="00CC7927" w:rsidP="00CC7927">
            <w:pPr>
              <w:spacing w:line="240" w:lineRule="auto"/>
              <w:ind w:firstLine="0"/>
              <w:jc w:val="left"/>
              <w:rPr>
                <w:szCs w:val="24"/>
              </w:rPr>
            </w:pPr>
            <w:r w:rsidRPr="002F4348">
              <w:rPr>
                <w:szCs w:val="24"/>
              </w:rPr>
              <w:t>Блеомицин</w:t>
            </w:r>
            <w:r w:rsidR="00D254F2" w:rsidRPr="002F4348">
              <w:rPr>
                <w:szCs w:val="24"/>
              </w:rPr>
              <w:t>**</w:t>
            </w:r>
          </w:p>
        </w:tc>
        <w:tc>
          <w:tcPr>
            <w:tcW w:w="2339" w:type="dxa"/>
            <w:tcBorders>
              <w:top w:val="single" w:sz="4" w:space="0" w:color="auto"/>
              <w:left w:val="single" w:sz="4" w:space="0" w:color="auto"/>
              <w:bottom w:val="single" w:sz="4" w:space="0" w:color="auto"/>
              <w:right w:val="single" w:sz="4" w:space="0" w:color="auto"/>
            </w:tcBorders>
            <w:hideMark/>
          </w:tcPr>
          <w:p w14:paraId="5A71110F" w14:textId="77777777" w:rsidR="00CC7927" w:rsidRPr="002F4348" w:rsidRDefault="00CC7927" w:rsidP="00CC7927">
            <w:pPr>
              <w:spacing w:line="240" w:lineRule="auto"/>
              <w:ind w:firstLine="0"/>
              <w:jc w:val="left"/>
              <w:rPr>
                <w:szCs w:val="24"/>
              </w:rPr>
            </w:pPr>
            <w:r w:rsidRPr="002F4348">
              <w:rPr>
                <w:szCs w:val="24"/>
              </w:rPr>
              <w:t>10 мг/м</w:t>
            </w:r>
            <w:r w:rsidRPr="002F4348">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3EA8599F" w14:textId="77777777" w:rsidR="00CC7927" w:rsidRPr="002F4348" w:rsidRDefault="00CC7927" w:rsidP="00CC7927">
            <w:pPr>
              <w:spacing w:line="240" w:lineRule="auto"/>
              <w:ind w:firstLine="0"/>
              <w:jc w:val="left"/>
              <w:rPr>
                <w:szCs w:val="24"/>
              </w:rPr>
            </w:pPr>
            <w:r w:rsidRPr="002F4348">
              <w:rPr>
                <w:szCs w:val="24"/>
              </w:rPr>
              <w:t>в/в струйно</w:t>
            </w:r>
          </w:p>
        </w:tc>
        <w:tc>
          <w:tcPr>
            <w:tcW w:w="2339" w:type="dxa"/>
            <w:tcBorders>
              <w:top w:val="single" w:sz="4" w:space="0" w:color="auto"/>
              <w:left w:val="single" w:sz="4" w:space="0" w:color="auto"/>
              <w:bottom w:val="single" w:sz="4" w:space="0" w:color="auto"/>
              <w:right w:val="single" w:sz="4" w:space="0" w:color="auto"/>
            </w:tcBorders>
            <w:hideMark/>
          </w:tcPr>
          <w:p w14:paraId="5B82F530" w14:textId="77777777" w:rsidR="00CC7927" w:rsidRPr="002F4348" w:rsidRDefault="00CC7927" w:rsidP="00CC7927">
            <w:pPr>
              <w:spacing w:line="240" w:lineRule="auto"/>
              <w:ind w:firstLine="0"/>
              <w:jc w:val="left"/>
              <w:rPr>
                <w:szCs w:val="24"/>
              </w:rPr>
            </w:pPr>
            <w:r w:rsidRPr="002F4348">
              <w:rPr>
                <w:szCs w:val="24"/>
              </w:rPr>
              <w:t>8</w:t>
            </w:r>
          </w:p>
        </w:tc>
      </w:tr>
      <w:tr w:rsidR="00CC7927" w:rsidRPr="002F4348" w14:paraId="103B0DB7"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40473F5C" w14:textId="77777777" w:rsidR="00CC7927" w:rsidRPr="002F4348" w:rsidRDefault="00CC7927" w:rsidP="00CC7927">
            <w:pPr>
              <w:spacing w:line="240" w:lineRule="auto"/>
              <w:ind w:firstLine="0"/>
              <w:jc w:val="left"/>
              <w:rPr>
                <w:szCs w:val="24"/>
              </w:rPr>
            </w:pPr>
            <w:r w:rsidRPr="002F4348">
              <w:rPr>
                <w:szCs w:val="24"/>
              </w:rPr>
              <w:t>Винкристин</w:t>
            </w:r>
            <w:r w:rsidR="00D254F2" w:rsidRPr="002F4348">
              <w:rPr>
                <w:szCs w:val="24"/>
              </w:rPr>
              <w:t>**</w:t>
            </w:r>
          </w:p>
        </w:tc>
        <w:tc>
          <w:tcPr>
            <w:tcW w:w="2339" w:type="dxa"/>
            <w:tcBorders>
              <w:top w:val="single" w:sz="4" w:space="0" w:color="auto"/>
              <w:left w:val="single" w:sz="4" w:space="0" w:color="auto"/>
              <w:bottom w:val="single" w:sz="4" w:space="0" w:color="auto"/>
              <w:right w:val="single" w:sz="4" w:space="0" w:color="auto"/>
            </w:tcBorders>
          </w:tcPr>
          <w:p w14:paraId="08568451" w14:textId="77777777" w:rsidR="00CC7927" w:rsidRPr="002F4348" w:rsidRDefault="00CC7927" w:rsidP="00CC7927">
            <w:pPr>
              <w:spacing w:line="240" w:lineRule="auto"/>
              <w:ind w:firstLine="0"/>
              <w:jc w:val="left"/>
              <w:rPr>
                <w:szCs w:val="24"/>
              </w:rPr>
            </w:pPr>
            <w:r w:rsidRPr="002F4348">
              <w:rPr>
                <w:szCs w:val="24"/>
              </w:rPr>
              <w:t>1,4 мг/м</w:t>
            </w:r>
            <w:r w:rsidRPr="002F4348">
              <w:rPr>
                <w:szCs w:val="24"/>
                <w:vertAlign w:val="superscript"/>
              </w:rPr>
              <w:t>2</w:t>
            </w:r>
            <w:r w:rsidRPr="002F4348">
              <w:rPr>
                <w:szCs w:val="24"/>
              </w:rPr>
              <w:t xml:space="preserve"> (не более 2 мг)</w:t>
            </w:r>
          </w:p>
        </w:tc>
        <w:tc>
          <w:tcPr>
            <w:tcW w:w="2339" w:type="dxa"/>
            <w:tcBorders>
              <w:top w:val="single" w:sz="4" w:space="0" w:color="auto"/>
              <w:left w:val="single" w:sz="4" w:space="0" w:color="auto"/>
              <w:bottom w:val="single" w:sz="4" w:space="0" w:color="auto"/>
              <w:right w:val="single" w:sz="4" w:space="0" w:color="auto"/>
            </w:tcBorders>
          </w:tcPr>
          <w:p w14:paraId="7A1ECD5F" w14:textId="77777777" w:rsidR="00CC7927" w:rsidRPr="002F4348" w:rsidRDefault="00CC7927" w:rsidP="00CC7927">
            <w:pPr>
              <w:spacing w:line="240" w:lineRule="auto"/>
              <w:ind w:firstLine="0"/>
              <w:jc w:val="left"/>
              <w:rPr>
                <w:szCs w:val="24"/>
              </w:rPr>
            </w:pPr>
            <w:r w:rsidRPr="002F4348">
              <w:rPr>
                <w:szCs w:val="24"/>
              </w:rPr>
              <w:t>в/в, за 5-10 мин</w:t>
            </w:r>
          </w:p>
        </w:tc>
        <w:tc>
          <w:tcPr>
            <w:tcW w:w="2339" w:type="dxa"/>
            <w:tcBorders>
              <w:top w:val="single" w:sz="4" w:space="0" w:color="auto"/>
              <w:left w:val="single" w:sz="4" w:space="0" w:color="auto"/>
              <w:bottom w:val="single" w:sz="4" w:space="0" w:color="auto"/>
              <w:right w:val="single" w:sz="4" w:space="0" w:color="auto"/>
            </w:tcBorders>
          </w:tcPr>
          <w:p w14:paraId="0AB9AD53" w14:textId="77777777" w:rsidR="00CC7927" w:rsidRPr="002F4348" w:rsidRDefault="00CC7927" w:rsidP="00CC7927">
            <w:pPr>
              <w:spacing w:line="240" w:lineRule="auto"/>
              <w:ind w:firstLine="0"/>
              <w:jc w:val="left"/>
              <w:rPr>
                <w:szCs w:val="24"/>
              </w:rPr>
            </w:pPr>
            <w:r w:rsidRPr="002F4348">
              <w:rPr>
                <w:szCs w:val="24"/>
              </w:rPr>
              <w:t>8</w:t>
            </w:r>
          </w:p>
        </w:tc>
      </w:tr>
      <w:tr w:rsidR="00CC7927" w:rsidRPr="002F4348" w14:paraId="46FFA8CC"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4489E0AD" w14:textId="77777777" w:rsidR="00CC7927" w:rsidRPr="002F4348" w:rsidRDefault="00CC7927" w:rsidP="00CC7927">
            <w:pPr>
              <w:spacing w:line="240" w:lineRule="auto"/>
              <w:ind w:firstLine="0"/>
              <w:jc w:val="left"/>
              <w:rPr>
                <w:szCs w:val="24"/>
              </w:rPr>
            </w:pPr>
            <w:r w:rsidRPr="002F4348">
              <w:rPr>
                <w:szCs w:val="24"/>
              </w:rPr>
              <w:t>Преднизолон</w:t>
            </w:r>
            <w:r w:rsidR="00D254F2" w:rsidRPr="002F4348">
              <w:rPr>
                <w:szCs w:val="24"/>
              </w:rPr>
              <w:t>**</w:t>
            </w:r>
          </w:p>
        </w:tc>
        <w:tc>
          <w:tcPr>
            <w:tcW w:w="2339" w:type="dxa"/>
            <w:tcBorders>
              <w:top w:val="single" w:sz="4" w:space="0" w:color="auto"/>
              <w:left w:val="single" w:sz="4" w:space="0" w:color="auto"/>
              <w:bottom w:val="single" w:sz="4" w:space="0" w:color="auto"/>
              <w:right w:val="single" w:sz="4" w:space="0" w:color="auto"/>
            </w:tcBorders>
          </w:tcPr>
          <w:p w14:paraId="787D135A" w14:textId="77777777" w:rsidR="00CC7927" w:rsidRPr="002F4348" w:rsidRDefault="00CC7927" w:rsidP="00CC7927">
            <w:pPr>
              <w:spacing w:line="240" w:lineRule="auto"/>
              <w:ind w:firstLine="0"/>
              <w:jc w:val="left"/>
              <w:rPr>
                <w:szCs w:val="24"/>
                <w:vertAlign w:val="superscript"/>
              </w:rPr>
            </w:pPr>
            <w:r w:rsidRPr="002F4348">
              <w:rPr>
                <w:szCs w:val="24"/>
              </w:rPr>
              <w:t>40 мг/м</w:t>
            </w:r>
            <w:r w:rsidRPr="002F4348">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715C60F9" w14:textId="77777777" w:rsidR="00CC7927" w:rsidRPr="002F4348" w:rsidRDefault="00CC7927" w:rsidP="00CC7927">
            <w:pPr>
              <w:spacing w:line="240" w:lineRule="auto"/>
              <w:ind w:firstLine="0"/>
              <w:jc w:val="left"/>
              <w:rPr>
                <w:szCs w:val="24"/>
              </w:rPr>
            </w:pPr>
            <w:r w:rsidRPr="002F4348">
              <w:rPr>
                <w:szCs w:val="24"/>
              </w:rPr>
              <w:t>внутрь</w:t>
            </w:r>
          </w:p>
        </w:tc>
        <w:tc>
          <w:tcPr>
            <w:tcW w:w="2339" w:type="dxa"/>
            <w:tcBorders>
              <w:top w:val="single" w:sz="4" w:space="0" w:color="auto"/>
              <w:left w:val="single" w:sz="4" w:space="0" w:color="auto"/>
              <w:bottom w:val="single" w:sz="4" w:space="0" w:color="auto"/>
              <w:right w:val="single" w:sz="4" w:space="0" w:color="auto"/>
            </w:tcBorders>
          </w:tcPr>
          <w:p w14:paraId="00012546" w14:textId="77777777" w:rsidR="00CC7927" w:rsidRPr="002F4348" w:rsidRDefault="00CC7927" w:rsidP="00CC7927">
            <w:pPr>
              <w:spacing w:line="240" w:lineRule="auto"/>
              <w:ind w:firstLine="0"/>
              <w:jc w:val="left"/>
              <w:rPr>
                <w:szCs w:val="24"/>
              </w:rPr>
            </w:pPr>
            <w:r w:rsidRPr="002F4348">
              <w:rPr>
                <w:szCs w:val="24"/>
              </w:rPr>
              <w:t>1-14</w:t>
            </w:r>
          </w:p>
        </w:tc>
      </w:tr>
      <w:tr w:rsidR="00CC7927" w:rsidRPr="002F4348" w14:paraId="74DBC0D2"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58FB870E" w14:textId="77777777" w:rsidR="00CC7927" w:rsidRPr="002F4348" w:rsidRDefault="00CC7927" w:rsidP="00CC7927">
            <w:pPr>
              <w:spacing w:line="240" w:lineRule="auto"/>
              <w:ind w:firstLine="0"/>
              <w:jc w:val="left"/>
              <w:rPr>
                <w:szCs w:val="24"/>
              </w:rPr>
            </w:pPr>
            <w:r w:rsidRPr="002F4348">
              <w:rPr>
                <w:szCs w:val="24"/>
              </w:rPr>
              <w:t>Г-КСФ</w:t>
            </w:r>
          </w:p>
        </w:tc>
        <w:tc>
          <w:tcPr>
            <w:tcW w:w="4678" w:type="dxa"/>
            <w:gridSpan w:val="2"/>
            <w:tcBorders>
              <w:top w:val="single" w:sz="4" w:space="0" w:color="auto"/>
              <w:left w:val="single" w:sz="4" w:space="0" w:color="auto"/>
              <w:bottom w:val="single" w:sz="4" w:space="0" w:color="auto"/>
              <w:right w:val="single" w:sz="4" w:space="0" w:color="auto"/>
            </w:tcBorders>
          </w:tcPr>
          <w:p w14:paraId="44790FD5" w14:textId="77777777" w:rsidR="00CC7927" w:rsidRPr="002F4348" w:rsidRDefault="00CC7927" w:rsidP="00CC7927">
            <w:pPr>
              <w:spacing w:line="240" w:lineRule="auto"/>
              <w:ind w:firstLine="0"/>
              <w:jc w:val="left"/>
              <w:rPr>
                <w:szCs w:val="24"/>
              </w:rPr>
            </w:pPr>
            <w:r w:rsidRPr="002F4348">
              <w:rPr>
                <w:szCs w:val="24"/>
              </w:rPr>
              <w:t>Согласно инструкции по медицинскому применению</w:t>
            </w:r>
          </w:p>
        </w:tc>
        <w:tc>
          <w:tcPr>
            <w:tcW w:w="2339" w:type="dxa"/>
            <w:tcBorders>
              <w:top w:val="single" w:sz="4" w:space="0" w:color="auto"/>
              <w:left w:val="single" w:sz="4" w:space="0" w:color="auto"/>
              <w:bottom w:val="single" w:sz="4" w:space="0" w:color="auto"/>
              <w:right w:val="single" w:sz="4" w:space="0" w:color="auto"/>
            </w:tcBorders>
          </w:tcPr>
          <w:p w14:paraId="73613FDC" w14:textId="77777777" w:rsidR="00CC7927" w:rsidRPr="002F4348" w:rsidRDefault="00CC7927" w:rsidP="00CC7927">
            <w:pPr>
              <w:spacing w:line="240" w:lineRule="auto"/>
              <w:ind w:firstLine="0"/>
              <w:jc w:val="left"/>
              <w:rPr>
                <w:szCs w:val="24"/>
              </w:rPr>
            </w:pPr>
            <w:r w:rsidRPr="002F4348">
              <w:rPr>
                <w:szCs w:val="24"/>
              </w:rPr>
              <w:t>С 8 до 12 дня или до восстановления лейкоцитов</w:t>
            </w:r>
          </w:p>
        </w:tc>
      </w:tr>
      <w:tr w:rsidR="00CC7927" w:rsidRPr="002F4348" w14:paraId="776A6BEC" w14:textId="77777777" w:rsidTr="003E2397">
        <w:tc>
          <w:tcPr>
            <w:tcW w:w="9356" w:type="dxa"/>
            <w:gridSpan w:val="4"/>
            <w:tcBorders>
              <w:top w:val="single" w:sz="4" w:space="0" w:color="auto"/>
              <w:left w:val="single" w:sz="4" w:space="0" w:color="auto"/>
              <w:bottom w:val="single" w:sz="4" w:space="0" w:color="auto"/>
              <w:right w:val="single" w:sz="4" w:space="0" w:color="auto"/>
            </w:tcBorders>
            <w:vAlign w:val="center"/>
          </w:tcPr>
          <w:p w14:paraId="2D8139B1" w14:textId="77777777" w:rsidR="00CC7927" w:rsidRPr="002F4348" w:rsidRDefault="00CC7927" w:rsidP="00CC7927">
            <w:pPr>
              <w:spacing w:line="240" w:lineRule="auto"/>
              <w:ind w:firstLine="0"/>
              <w:jc w:val="left"/>
              <w:rPr>
                <w:szCs w:val="24"/>
              </w:rPr>
            </w:pPr>
            <w:r w:rsidRPr="002F4348">
              <w:rPr>
                <w:szCs w:val="24"/>
              </w:rPr>
              <w:t>Лечение возобновляется на 22 день</w:t>
            </w:r>
          </w:p>
          <w:p w14:paraId="518F0973" w14:textId="77777777" w:rsidR="000A6EAB" w:rsidRPr="002F4348" w:rsidRDefault="000A6EAB">
            <w:pPr>
              <w:spacing w:line="240" w:lineRule="auto"/>
              <w:ind w:firstLine="0"/>
              <w:jc w:val="left"/>
              <w:rPr>
                <w:szCs w:val="24"/>
              </w:rPr>
            </w:pPr>
            <w:r w:rsidRPr="002F4348">
              <w:rPr>
                <w:bCs/>
              </w:rPr>
              <w:t xml:space="preserve">Накануне и с первого дня цикла рекомендуется увеличивают объем потребляемой жидкости до 2 литров в день. При большой опухолевой массе каждому </w:t>
            </w:r>
            <w:r w:rsidR="004D11D3" w:rsidRPr="002F4348">
              <w:rPr>
                <w:bCs/>
              </w:rPr>
              <w:t xml:space="preserve">пациенту </w:t>
            </w:r>
            <w:r w:rsidRPr="002F4348">
              <w:rPr>
                <w:bCs/>
              </w:rPr>
              <w:t>назначают аллопуринол</w:t>
            </w:r>
            <w:r w:rsidR="004D11D3" w:rsidRPr="002F4348">
              <w:rPr>
                <w:bCs/>
              </w:rPr>
              <w:t>**</w:t>
            </w:r>
            <w:r w:rsidRPr="002F4348">
              <w:rPr>
                <w:bCs/>
              </w:rPr>
              <w:t xml:space="preserve"> в дозе 300мг/сутки и в первые 3 дня цикла назначают гидратирующую терапию в объеме до 3 л/м</w:t>
            </w:r>
            <w:r w:rsidRPr="002F4348">
              <w:rPr>
                <w:bCs/>
                <w:vertAlign w:val="superscript"/>
              </w:rPr>
              <w:t xml:space="preserve">2 </w:t>
            </w:r>
            <w:r w:rsidRPr="002F4348">
              <w:rPr>
                <w:bCs/>
              </w:rPr>
              <w:t>при строгом контроле за диурезом и электролитными показателями</w:t>
            </w:r>
            <w:r w:rsidR="0062583E" w:rsidRPr="002F4348">
              <w:rPr>
                <w:bCs/>
              </w:rPr>
              <w:t xml:space="preserve"> </w:t>
            </w:r>
            <w:r w:rsidR="0062583E" w:rsidRPr="002F4348">
              <w:rPr>
                <w:bCs/>
              </w:rPr>
              <w:fldChar w:fldCharType="begin" w:fldLock="1"/>
            </w:r>
            <w:r w:rsidR="00A850F7" w:rsidRPr="002F4348">
              <w:rPr>
                <w:bCs/>
              </w:rPr>
              <w:instrText>ADDIN CSL_CITATION {"citationItems":[{"id":"ITEM-1","itemData":{"author":[{"dropping-particle":"","family":"Моисеева","given":"Т.Н.","non-dropping-particle":"","parse-names":false,"suffix":""},{"dropping-particle":"","family":"Аль-Ради","given":"Л.С.","non-dropping-particle":"","parse-names":false,"suffix":""},{"dropping-particle":"","family":"Дорохина","given":"Е.И.","non-dropping-particle":"","parse-names":false,"suffix":""}],"container-title":"Алгоритмы диагностики и протоколы лечения заболеваний системы крови. НМИЦ Гематологии. Под ред. В.Г. Савченко.","id":"ITEM-1","issued":{"date-parts":[["2018"]]},"page":"39-56","title":"Протокол диагностики и лечения классической лимфомы Ходжкина","type":"chapter"},"uris":["http://www.mendeley.com/documents/?uuid=fb98dfe5-a71f-484e-9a5d-824d96c5ea87","http://www.mendeley.com/documents/?uuid=1e9d076e-e89a-457c-b607-718bf00380e7"]}],"mendeley":{"formattedCitation":"[12]","plainTextFormattedCitation":"[12]","previouslyFormattedCitation":"[12]"},"properties":{"noteIndex":0},"schema":"https://github.com/citation-style-language/schema/raw/master/csl-citation.json"}</w:instrText>
            </w:r>
            <w:r w:rsidR="0062583E" w:rsidRPr="002F4348">
              <w:rPr>
                <w:bCs/>
              </w:rPr>
              <w:fldChar w:fldCharType="separate"/>
            </w:r>
            <w:r w:rsidR="00BA1BF7" w:rsidRPr="002F4348">
              <w:rPr>
                <w:bCs/>
                <w:noProof/>
              </w:rPr>
              <w:t>[12]</w:t>
            </w:r>
            <w:r w:rsidR="0062583E" w:rsidRPr="002F4348">
              <w:rPr>
                <w:bCs/>
              </w:rPr>
              <w:fldChar w:fldCharType="end"/>
            </w:r>
          </w:p>
        </w:tc>
      </w:tr>
    </w:tbl>
    <w:p w14:paraId="48BB3332" w14:textId="77777777" w:rsidR="00566FC8" w:rsidRPr="002F4348" w:rsidRDefault="00566FC8" w:rsidP="002648A0">
      <w:pPr>
        <w:ind w:left="709" w:firstLine="0"/>
      </w:pPr>
    </w:p>
    <w:tbl>
      <w:tblPr>
        <w:tblStyle w:val="aff9"/>
        <w:tblW w:w="9356" w:type="dxa"/>
        <w:tblInd w:w="-5" w:type="dxa"/>
        <w:tblLayout w:type="fixed"/>
        <w:tblLook w:val="04A0" w:firstRow="1" w:lastRow="0" w:firstColumn="1" w:lastColumn="0" w:noHBand="0" w:noVBand="1"/>
      </w:tblPr>
      <w:tblGrid>
        <w:gridCol w:w="2339"/>
        <w:gridCol w:w="2339"/>
        <w:gridCol w:w="2339"/>
        <w:gridCol w:w="2339"/>
      </w:tblGrid>
      <w:tr w:rsidR="00CC7927" w:rsidRPr="002F4348" w14:paraId="5425AF65" w14:textId="77777777" w:rsidTr="003E2397">
        <w:trPr>
          <w:trHeight w:val="329"/>
        </w:trPr>
        <w:tc>
          <w:tcPr>
            <w:tcW w:w="9356" w:type="dxa"/>
            <w:gridSpan w:val="4"/>
            <w:tcBorders>
              <w:top w:val="nil"/>
              <w:left w:val="nil"/>
              <w:bottom w:val="single" w:sz="4" w:space="0" w:color="auto"/>
              <w:right w:val="nil"/>
            </w:tcBorders>
          </w:tcPr>
          <w:p w14:paraId="50A7E5BF" w14:textId="77777777" w:rsidR="00CC7927" w:rsidRPr="002F4348" w:rsidRDefault="00CC7927" w:rsidP="003E2397">
            <w:pPr>
              <w:spacing w:line="240" w:lineRule="auto"/>
              <w:ind w:firstLine="0"/>
              <w:jc w:val="left"/>
              <w:rPr>
                <w:b/>
                <w:bCs/>
                <w:szCs w:val="24"/>
              </w:rPr>
            </w:pPr>
            <w:r w:rsidRPr="002F4348">
              <w:rPr>
                <w:b/>
                <w:bCs/>
                <w:szCs w:val="24"/>
              </w:rPr>
              <w:t>BEACOPP-14</w:t>
            </w:r>
            <w:r w:rsidR="00A850F7" w:rsidRPr="002F4348">
              <w:rPr>
                <w:b/>
                <w:bCs/>
                <w:szCs w:val="24"/>
              </w:rPr>
              <w:t xml:space="preserve"> </w:t>
            </w:r>
            <w:r w:rsidR="00A850F7" w:rsidRPr="002F4348">
              <w:rPr>
                <w:lang w:eastAsia="ru-RU"/>
              </w:rPr>
              <w:fldChar w:fldCharType="begin" w:fldLock="1"/>
            </w:r>
            <w:r w:rsidR="002C6C01" w:rsidRPr="002F4348">
              <w:rPr>
                <w:lang w:eastAsia="ru-RU"/>
              </w:rPr>
              <w:instrText>ADDIN CSL_CITATION {"citationItems":[{"id":"ITEM-1","itemData":{"DOI":"10.1016/S0140-6736(11)61940-5","ISSN":"1474-547X","PMID":"22480758","abstract":"BACKGROUND The intensity of chemotherapy and need for additional radiotherapy in patients with advanced stage Hodgkin's lymphoma has been unclear. We did a prospective randomised clinical trial comparing two reduced-intensity chemotherapy variants with our previous standard regimen. Chemotherapy was followed by PET-guided radiotherapy. METHODS In this parallel group, open-label, multicentre, non-inferiority trial (HD15), 2182 patients with newly diagnosed advanced stage Hodgkin's lymphoma aged 18-60 years were randomly assigned to receive either eight cycles of BEACOPP(escalated) (8×B(esc) group), six cycles of BEACOPP(escalated) (6×B(esc) group), or eight cycles of BEACOPP(14) (8×B(14) group). Randomisation (1:1:1) was done centrally by stratified minimisation. Non-inferiority of the primary endpoint, freedom from treatment failure, was assessed using repeated CIs for the hazard ratio (HR) according to the intention-to-treat principle. Patients with a persistent mass after chemotherapy measuring 2·5 cm or larger and positive on PET scan received additional radiotherapy with 30 Gy; the negative predictive value for tumour recurrence of PET at 12 months was an independent endpoint. This trial is registered with Current Controlled Trials, number ISRCTN32443041. FINDINGS Of the 2182 patients enrolled in the study, 2126 patients were included in the intention-to-treat analysis set, 705 in the 8×B(esc) group, 711 in the 6×B(esc) group, and 710 in the 8×B(14) group. Freedom from treatment failure was sequentially non-inferior for the 6×B(esc) and 8×B(14) groups as compared with 8×B(esc). 5-year freedom from treatment failure rates were 84·4% (97·5% CI 81·0-87·7) for the 8×B(esc) group, 89·3% (86·5-92·1) for 6×B(esc) group, and 85·4% (82·1-88·7) for the 8×B(14) group (97·5% CI for difference between 6×B(esc) and 8×B(esc) was 0·5-9·3). Overall survival in the three groups was 91·9%, 95·3%, and 94·5% respectively, and was significantly better with 6×B(esc) than with 8×B(esc) (97·5% CI 0·2-6·5). The 8×B(esc) group showed a higher mortality (7·5%) than the 6×B(esc) (4·6%) and 8×B(14) (5·2%) groups, mainly due to differences in treatment-related events (2·1%, 0·8%, and 0·8%, respectively) and secondary malignancies (1·8%, 0·7%, and 1·1%, respectively). The negative predictive value for PET at 12 months was 94·1% (95% CI 92·1-96·1); and 225 (11%) of 2126 patients received additional radiotherapy. INTERPRETATION Treatment with six cycles of BEACOPP(escalated) followe…","author":[{"dropping-particle":"","family":"Engert","given":"Andreas","non-dropping-particle":"","parse-names":false,"suffix":""},{"dropping-particle":"","family":"Haverkamp","given":"Heinz","non-dropping-particle":"","parse-names":false,"suffix":""},{"dropping-particle":"","family":"Kobe","given":"Carsten","non-dropping-particle":"","parse-names":false,"suffix":""},{"dropping-particle":"","family":"Markova","given":"Jana","non-dropping-particle":"","parse-names":false,"suffix":""},{"dropping-particle":"","family":"Renner","given":"Christoph","non-dropping-particle":"","parse-names":false,"suffix":""},{"dropping-particle":"","family":"Ho","given":"Antony","non-dropping-particle":"","parse-names":false,"suffix":""},{"dropping-particle":"","family":"Zijlstra","given":"Josée","non-dropping-particle":"","parse-names":false,"suffix":""},{"dropping-particle":"","family":"Král","given":"Zdenek","non-dropping-particle":"","parse-names":false,"suffix":""},{"dropping-particle":"","family":"Fuchs","given":"Michael","non-dropping-particle":"","parse-names":false,"suffix":""},{"dropping-particle":"","family":"Hallek","given":"Michael","non-dropping-particle":"","parse-names":false,"suffix":""},{"dropping-particle":"","family":"Kanz","given":"Lothar","non-dropping-particle":"","parse-names":false,"suffix":""},{"dropping-particle":"","family":"Döhner","given":"Hartmut","non-dropping-particle":"","parse-names":false,"suffix":""},{"dropping-particle":"","family":"Dörken","given":"Bernd","non-dropping-particle":"","parse-names":false,"suffix":""},{"dropping-particle":"","family":"Engel","given":"Nicole","non-dropping-particle":"","parse-names":false,"suffix":""},{"dropping-particle":"","family":"Topp","given":"Max","non-dropping-particle":"","parse-names":false,"suffix":""},{"dropping-particle":"","family":"Klutmann","given":"Susanne","non-dropping-particle":"","parse-names":false,"suffix":""},{"dropping-particle":"","family":"Amthauer","given":"Holger","non-dropping-particle":"","parse-names":false,"suffix":""},{"dropping-particle":"","family":"Bockisch","given":"Andreas","non-dropping-particle":"","parse-names":false,"suffix":""},{"dropping-particle":"","family":"Kluge","given":"Regine","non-dropping-particle":"","parse-names":false,"suffix":""},{"dropping-particle":"","family":"Kratochwil","given":"Clemens","non-dropping-particle":"","parse-names":false,"suffix":""},{"dropping-particle":"","family":"Schober","given":"Otmar","non-dropping-particle":"","parse-names":false,"suffix":""},{"dropping-particle":"","family":"Greil","given":"Richard","non-dropping-particle":"","parse-names":false,"suffix":""},{"dropping-particle":"","family":"Andreesen","given":"Reinhard","non-dropping-particle":"","parse-names":false,"suffix":""},{"dropping-particle":"","family":"Kneba","given":"Michael","non-dropping-particle":"","parse-names":false,"suffix":""},{"dropping-particle":"","family":"Pfreundschuh","given":"Michael","non-dropping-particle":"","parse-names":false,"suffix":""},{"dropping-particle":"","family":"Stein","given":"Harald","non-dropping-particle":"","parse-names":false,"suffix":""},{"dropping-particle":"","family":"Eich","given":"Hans Theodor","non-dropping-particle":"","parse-names":false,"suffix":""},{"dropping-particle":"","family":"Müller","given":"Rolf-Peter","non-dropping-particle":"","parse-names":false,"suffix":""},{"dropping-particle":"","family":"Dietlein","given":"Markus","non-dropping-particle":"","parse-names":false,"suffix":""},{"dropping-particle":"","family":"Borchmann","given":"Peter","non-dropping-particle":"","parse-names":false,"suffix":""},{"dropping-particle":"","family":"Diehl","given":"Volker","non-dropping-particle":"","parse-names":false,"suffix":""},{"dropping-particle":"","family":"German Hodgkin Study Group","given":"","non-dropping-particle":"","parse-names":false,"suffix":""},{"dropping-particle":"","family":"Swiss Group for Clinical Cancer Research","given":"","non-dropping-particle":"","parse-names":false,"suffix":""},{"dropping-particle":"","family":"Arbeitsgemeinschaft Medikamentöse Tumortherapie","given":"","non-dropping-particle":"","parse-names":false,"suffix":""}],"container-title":"Lancet (London, England)","id":"ITEM-1","issue":"9828","issued":{"date-parts":[["2012","5","12"]]},"page":"1791-9","title":"Reduced-intensity chemotherapy and PET-guided radiotherapy in patients with advanced stage Hodgkin's lymphoma (HD15 trial): a randomised, open-label, phase 3 non-inferiority trial.","type":"article-journal","volume":"379"},"uris":["http://www.mendeley.com/documents/?uuid=e9297700-7327-38a7-b5e1-c6624ec787a3","http://www.mendeley.com/documents/?uuid=9ae3c0bf-3563-401c-b406-70273d1f6757"]},{"id":"ITEM-2","itemData":{"DOI":"10.1002/14651858.CD007941.pub3","ISSN":"1469493X","abstract":"BACKGROUND There are two different international standards for the treatment of early unfavourable and advanced stage Hodgkin lymphoma (HL): chemotherapy with escalated BEACOPP (bleomycin/etoposide/doxorubicin/cyclophosphamide/vincristine/procarbazine/prednisone) regimen and chemotherapy with ABVD (doxorubicin/bleomycin/vinblastine/dacarbazine) regimen. OBJECTIVES To determine the advantages and disadvantages of chemotherapy including escalated BEACOPP compared to chemotherapy including ABVD in the treatment of early unfavourable or advanced stage HL as first-line treatment. SEARCH METHODS We searched for randomised controlled trials in MEDLINE, CENTRAL and conference proceedings (January 1985 to July 2013 and for the update to March 2017) and Embase (1985 to November 2008). Moreover we searched trial registries (March 2017; www.controlled-trials.com, www.clinicaltrialsregister.eu/ctr-search/search, clinicaltrials.gov, www.eortc.be, www.ghsg.org, www.ctc.usyd.edu.au, www.trialscentral.org/index.html) SELECTION CRITERIA: We included randomised controlled trials examining chemotherapy including at least two cycles of escalated BEACOPP regimens compared with chemotherapy including at least four cycles of ABVD regimens as first-line treatment for patients with early unfavourable stage or advanced stage HL. DATA COLLECTION AND ANALYSIS The effect measures we used were hazard ratios (HRs) for overall survival (OS), progression-free survival (PFS) and freedom from first progression.We used risk ratios (RRs) relative risks to analyse harms: treatment-related mortality, secondary malignancies (including myeloid dysplastic syndrome (MDS) or acute myeloid leukaemia (AML)), infertility and adverse events.Quality of life was not reported in any trial, therefore not analysed. Two review authors independently extracted data and assessed quality of trials. MAIN RESULTS We screened 1796 records and identified five eligible trials in total i.e. one trial could be added on the previous review. These trials included only adults (16 to 65 years of age). We included all five trials with 3427 people in the meta-analyses: the HD9 and HD14 trials were co-ordinated in Germany, the HD2000 and GSM-HD trials were performed in Italy and the EORTC 20012 was conducted in Belgium. The overall risk of performance and detection bias was low for overall survival (OS), but was high for other outcomes, as therapy blinding was not feasible. The remaining 'Risk of bias' domains were low and u…","author":[{"dropping-particle":"","family":"Skoetz","given":"Nicole","non-dropping-particle":"","parse-names":false,"suffix":""},{"dropping-particle":"","family":"Will","given":"Andrea","non-dropping-particle":"","parse-names":false,"suffix":""},{"dropping-particle":"","family":"Monsef","given":"Ina","non-dropping-particle":"","parse-names":false,"suffix":""},{"dropping-particle":"","family":"Brillant","given":"Corinne","non-dropping-particle":"","parse-names":false,"suffix":""},{"dropping-particle":"","family":"Engert","given":"Andreas","non-dropping-particle":"","parse-names":false,"suffix":""},{"dropping-particle":"","family":"Tresckow","given":"Bastian","non-dropping-particle":"von","parse-names":false,"suffix":""}],"container-title":"Cochrane Database of Systematic Reviews","id":"ITEM-2","issued":{"date-parts":[["2017"]]},"title":"Comparison of first-line chemotherapy including escalated BEACOPP versus chemotherapy including ABVD for people with early unfavourable or advanced stage Hodgkin lymphoma","type":"article"},"uris":["http://www.mendeley.com/documents/?uuid=6f917861-0ded-464e-8965-bcce5e51c5af","http://www.mendeley.com/documents/?uuid=c47a5fbd-2b96-3894-ba90-965dca9218cc"]}],"mendeley":{"formattedCitation":"[16,21]","plainTextFormattedCitation":"[16,21]","previouslyFormattedCitation":"[16,21]"},"properties":{"noteIndex":0},"schema":"https://github.com/citation-style-language/schema/raw/master/csl-citation.json"}</w:instrText>
            </w:r>
            <w:r w:rsidR="00A850F7" w:rsidRPr="002F4348">
              <w:rPr>
                <w:lang w:eastAsia="ru-RU"/>
              </w:rPr>
              <w:fldChar w:fldCharType="separate"/>
            </w:r>
            <w:r w:rsidR="00A850F7" w:rsidRPr="002F4348">
              <w:rPr>
                <w:noProof/>
                <w:lang w:eastAsia="ru-RU"/>
              </w:rPr>
              <w:t>[16,21]</w:t>
            </w:r>
            <w:r w:rsidR="00A850F7" w:rsidRPr="002F4348">
              <w:rPr>
                <w:lang w:eastAsia="ru-RU"/>
              </w:rPr>
              <w:fldChar w:fldCharType="end"/>
            </w:r>
          </w:p>
        </w:tc>
      </w:tr>
      <w:tr w:rsidR="00CC7927" w:rsidRPr="002F4348" w14:paraId="5E392D3E"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hideMark/>
          </w:tcPr>
          <w:p w14:paraId="44C69BD2" w14:textId="77777777" w:rsidR="00CC7927" w:rsidRPr="002F4348" w:rsidRDefault="00CC7927" w:rsidP="003E2397">
            <w:pPr>
              <w:spacing w:line="240" w:lineRule="auto"/>
              <w:ind w:firstLine="0"/>
              <w:jc w:val="left"/>
              <w:rPr>
                <w:szCs w:val="24"/>
              </w:rPr>
            </w:pPr>
            <w:r w:rsidRPr="002F4348">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125490DF" w14:textId="77777777" w:rsidR="00CC7927" w:rsidRPr="002F4348" w:rsidRDefault="00CC7927" w:rsidP="003E2397">
            <w:pPr>
              <w:spacing w:line="240" w:lineRule="auto"/>
              <w:ind w:firstLine="0"/>
              <w:jc w:val="left"/>
              <w:rPr>
                <w:szCs w:val="24"/>
              </w:rPr>
            </w:pPr>
            <w:r w:rsidRPr="002F4348">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51467CB9" w14:textId="77777777" w:rsidR="00CC7927" w:rsidRPr="002F4348" w:rsidRDefault="00CC7927" w:rsidP="003E2397">
            <w:pPr>
              <w:spacing w:line="240" w:lineRule="auto"/>
              <w:ind w:firstLine="0"/>
              <w:jc w:val="left"/>
              <w:rPr>
                <w:szCs w:val="24"/>
              </w:rPr>
            </w:pPr>
            <w:r w:rsidRPr="002F4348">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182BAA83" w14:textId="77777777" w:rsidR="00CC7927" w:rsidRPr="002F4348" w:rsidRDefault="00CC7927" w:rsidP="003E2397">
            <w:pPr>
              <w:spacing w:line="240" w:lineRule="auto"/>
              <w:ind w:firstLine="0"/>
              <w:jc w:val="left"/>
              <w:rPr>
                <w:szCs w:val="24"/>
              </w:rPr>
            </w:pPr>
            <w:r w:rsidRPr="002F4348">
              <w:rPr>
                <w:szCs w:val="24"/>
              </w:rPr>
              <w:t>Дни введения</w:t>
            </w:r>
          </w:p>
        </w:tc>
      </w:tr>
      <w:tr w:rsidR="00CC7927" w:rsidRPr="002F4348" w14:paraId="39F23F0E"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52899291" w14:textId="77777777" w:rsidR="00CC7927" w:rsidRPr="002F4348" w:rsidRDefault="00CC7927" w:rsidP="003E2397">
            <w:pPr>
              <w:spacing w:line="240" w:lineRule="auto"/>
              <w:ind w:firstLine="0"/>
              <w:jc w:val="left"/>
              <w:rPr>
                <w:szCs w:val="24"/>
              </w:rPr>
            </w:pPr>
            <w:r w:rsidRPr="002F4348">
              <w:rPr>
                <w:szCs w:val="24"/>
              </w:rPr>
              <w:t>Циклофосфамид</w:t>
            </w:r>
            <w:r w:rsidR="00D254F2" w:rsidRPr="002F4348">
              <w:rPr>
                <w:szCs w:val="24"/>
              </w:rPr>
              <w:t>**</w:t>
            </w:r>
          </w:p>
        </w:tc>
        <w:tc>
          <w:tcPr>
            <w:tcW w:w="2339" w:type="dxa"/>
            <w:tcBorders>
              <w:top w:val="single" w:sz="4" w:space="0" w:color="auto"/>
              <w:left w:val="single" w:sz="4" w:space="0" w:color="auto"/>
              <w:bottom w:val="single" w:sz="4" w:space="0" w:color="auto"/>
              <w:right w:val="single" w:sz="4" w:space="0" w:color="auto"/>
            </w:tcBorders>
          </w:tcPr>
          <w:p w14:paraId="02C8A5DD" w14:textId="77777777" w:rsidR="00CC7927" w:rsidRPr="002F4348" w:rsidRDefault="00CC7927" w:rsidP="003E2397">
            <w:pPr>
              <w:spacing w:line="240" w:lineRule="auto"/>
              <w:ind w:left="1416" w:hanging="1416"/>
              <w:jc w:val="left"/>
              <w:rPr>
                <w:szCs w:val="24"/>
              </w:rPr>
            </w:pPr>
            <w:r w:rsidRPr="002F4348">
              <w:rPr>
                <w:szCs w:val="24"/>
              </w:rPr>
              <w:t>650 мг/м</w:t>
            </w:r>
            <w:r w:rsidRPr="002F4348">
              <w:rPr>
                <w:rFonts w:cs="Times New Roman (Основной текст"/>
                <w:szCs w:val="24"/>
                <w:vertAlign w:val="superscript"/>
              </w:rPr>
              <w:t xml:space="preserve">2 </w:t>
            </w:r>
          </w:p>
        </w:tc>
        <w:tc>
          <w:tcPr>
            <w:tcW w:w="2339" w:type="dxa"/>
            <w:tcBorders>
              <w:top w:val="single" w:sz="4" w:space="0" w:color="auto"/>
              <w:left w:val="single" w:sz="4" w:space="0" w:color="auto"/>
              <w:bottom w:val="single" w:sz="4" w:space="0" w:color="auto"/>
              <w:right w:val="single" w:sz="4" w:space="0" w:color="auto"/>
            </w:tcBorders>
          </w:tcPr>
          <w:p w14:paraId="668FB2F3" w14:textId="77777777" w:rsidR="00CC7927" w:rsidRPr="002F4348" w:rsidRDefault="00CC7927" w:rsidP="003E2397">
            <w:pPr>
              <w:spacing w:line="240" w:lineRule="auto"/>
              <w:ind w:firstLine="0"/>
              <w:jc w:val="left"/>
              <w:rPr>
                <w:szCs w:val="24"/>
              </w:rPr>
            </w:pPr>
            <w:r w:rsidRPr="002F4348">
              <w:rPr>
                <w:szCs w:val="24"/>
              </w:rPr>
              <w:t>в/в капельно</w:t>
            </w:r>
          </w:p>
        </w:tc>
        <w:tc>
          <w:tcPr>
            <w:tcW w:w="2339" w:type="dxa"/>
            <w:tcBorders>
              <w:top w:val="single" w:sz="4" w:space="0" w:color="auto"/>
              <w:left w:val="single" w:sz="4" w:space="0" w:color="auto"/>
              <w:bottom w:val="single" w:sz="4" w:space="0" w:color="auto"/>
              <w:right w:val="single" w:sz="4" w:space="0" w:color="auto"/>
            </w:tcBorders>
          </w:tcPr>
          <w:p w14:paraId="31D0FFCE" w14:textId="77777777" w:rsidR="00CC7927" w:rsidRPr="002F4348" w:rsidRDefault="00CC7927" w:rsidP="003E2397">
            <w:pPr>
              <w:spacing w:line="240" w:lineRule="auto"/>
              <w:ind w:firstLine="0"/>
              <w:jc w:val="left"/>
              <w:rPr>
                <w:szCs w:val="24"/>
              </w:rPr>
            </w:pPr>
            <w:r w:rsidRPr="002F4348">
              <w:rPr>
                <w:szCs w:val="24"/>
              </w:rPr>
              <w:t>1</w:t>
            </w:r>
          </w:p>
        </w:tc>
      </w:tr>
      <w:tr w:rsidR="00CC7927" w:rsidRPr="002F4348" w14:paraId="75D0AD60"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hideMark/>
          </w:tcPr>
          <w:p w14:paraId="1D69BEED" w14:textId="77777777" w:rsidR="00CC7927" w:rsidRPr="002F4348" w:rsidRDefault="00CC7927" w:rsidP="003E2397">
            <w:pPr>
              <w:spacing w:line="240" w:lineRule="auto"/>
              <w:ind w:firstLine="0"/>
              <w:jc w:val="left"/>
              <w:rPr>
                <w:szCs w:val="24"/>
              </w:rPr>
            </w:pPr>
            <w:r w:rsidRPr="002F4348">
              <w:rPr>
                <w:szCs w:val="24"/>
              </w:rPr>
              <w:t>Доксорубицин</w:t>
            </w:r>
            <w:r w:rsidR="00D254F2" w:rsidRPr="002F4348">
              <w:rPr>
                <w:szCs w:val="24"/>
              </w:rPr>
              <w:t>**</w:t>
            </w:r>
          </w:p>
        </w:tc>
        <w:tc>
          <w:tcPr>
            <w:tcW w:w="2339" w:type="dxa"/>
            <w:tcBorders>
              <w:top w:val="single" w:sz="4" w:space="0" w:color="auto"/>
              <w:left w:val="single" w:sz="4" w:space="0" w:color="auto"/>
              <w:bottom w:val="single" w:sz="4" w:space="0" w:color="auto"/>
              <w:right w:val="single" w:sz="4" w:space="0" w:color="auto"/>
            </w:tcBorders>
          </w:tcPr>
          <w:p w14:paraId="7CCE3E78" w14:textId="77777777" w:rsidR="00CC7927" w:rsidRPr="002F4348" w:rsidRDefault="00CC7927" w:rsidP="003E2397">
            <w:pPr>
              <w:spacing w:line="240" w:lineRule="auto"/>
              <w:ind w:firstLine="0"/>
              <w:jc w:val="left"/>
              <w:rPr>
                <w:szCs w:val="24"/>
              </w:rPr>
            </w:pPr>
            <w:r w:rsidRPr="002F4348">
              <w:rPr>
                <w:szCs w:val="24"/>
              </w:rPr>
              <w:t>25 мг/м</w:t>
            </w:r>
            <w:r w:rsidRPr="002F4348">
              <w:rPr>
                <w:szCs w:val="24"/>
                <w:vertAlign w:val="superscript"/>
              </w:rPr>
              <w:t>2</w:t>
            </w:r>
          </w:p>
          <w:p w14:paraId="0F3F8087" w14:textId="77777777" w:rsidR="00CC7927" w:rsidRPr="002F4348" w:rsidRDefault="00CC7927" w:rsidP="003E2397">
            <w:pPr>
              <w:spacing w:line="240" w:lineRule="auto"/>
              <w:ind w:firstLine="0"/>
              <w:jc w:val="left"/>
              <w:rPr>
                <w:szCs w:val="24"/>
              </w:rPr>
            </w:pPr>
          </w:p>
        </w:tc>
        <w:tc>
          <w:tcPr>
            <w:tcW w:w="2339" w:type="dxa"/>
            <w:tcBorders>
              <w:top w:val="single" w:sz="4" w:space="0" w:color="auto"/>
              <w:left w:val="single" w:sz="4" w:space="0" w:color="auto"/>
              <w:bottom w:val="single" w:sz="4" w:space="0" w:color="auto"/>
              <w:right w:val="single" w:sz="4" w:space="0" w:color="auto"/>
            </w:tcBorders>
            <w:hideMark/>
          </w:tcPr>
          <w:p w14:paraId="12326322" w14:textId="77777777" w:rsidR="00CC7927" w:rsidRPr="002F4348" w:rsidRDefault="00CC7927" w:rsidP="003E2397">
            <w:pPr>
              <w:spacing w:line="240" w:lineRule="auto"/>
              <w:ind w:firstLine="0"/>
              <w:jc w:val="left"/>
              <w:rPr>
                <w:szCs w:val="24"/>
              </w:rPr>
            </w:pPr>
            <w:r w:rsidRPr="002F4348">
              <w:rPr>
                <w:szCs w:val="24"/>
              </w:rPr>
              <w:t>в/в капельно или струйно</w:t>
            </w:r>
          </w:p>
        </w:tc>
        <w:tc>
          <w:tcPr>
            <w:tcW w:w="2339" w:type="dxa"/>
            <w:tcBorders>
              <w:top w:val="single" w:sz="4" w:space="0" w:color="auto"/>
              <w:left w:val="single" w:sz="4" w:space="0" w:color="auto"/>
              <w:bottom w:val="single" w:sz="4" w:space="0" w:color="auto"/>
              <w:right w:val="single" w:sz="4" w:space="0" w:color="auto"/>
            </w:tcBorders>
          </w:tcPr>
          <w:p w14:paraId="3211C9A6" w14:textId="77777777" w:rsidR="00CC7927" w:rsidRPr="002F4348" w:rsidRDefault="00CC7927" w:rsidP="003E2397">
            <w:pPr>
              <w:spacing w:line="240" w:lineRule="auto"/>
              <w:ind w:firstLine="0"/>
              <w:jc w:val="left"/>
              <w:rPr>
                <w:szCs w:val="24"/>
              </w:rPr>
            </w:pPr>
            <w:r w:rsidRPr="002F4348">
              <w:rPr>
                <w:szCs w:val="24"/>
              </w:rPr>
              <w:t>1</w:t>
            </w:r>
          </w:p>
          <w:p w14:paraId="6F71A4EB" w14:textId="77777777" w:rsidR="00CC7927" w:rsidRPr="002F4348" w:rsidRDefault="00CC7927" w:rsidP="003E2397">
            <w:pPr>
              <w:spacing w:line="240" w:lineRule="auto"/>
              <w:ind w:firstLine="0"/>
              <w:jc w:val="left"/>
              <w:rPr>
                <w:szCs w:val="24"/>
              </w:rPr>
            </w:pPr>
          </w:p>
        </w:tc>
      </w:tr>
      <w:tr w:rsidR="00CC7927" w:rsidRPr="002F4348" w14:paraId="00635D01"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61982C31" w14:textId="77777777" w:rsidR="00CC7927" w:rsidRPr="002F4348" w:rsidRDefault="00CC7927" w:rsidP="003E2397">
            <w:pPr>
              <w:spacing w:line="240" w:lineRule="auto"/>
              <w:ind w:firstLine="0"/>
              <w:jc w:val="left"/>
              <w:rPr>
                <w:szCs w:val="24"/>
              </w:rPr>
            </w:pPr>
            <w:r w:rsidRPr="002F4348">
              <w:rPr>
                <w:szCs w:val="24"/>
              </w:rPr>
              <w:t>Этопозид</w:t>
            </w:r>
            <w:r w:rsidR="00D254F2" w:rsidRPr="002F4348">
              <w:rPr>
                <w:szCs w:val="24"/>
              </w:rPr>
              <w:t>**</w:t>
            </w:r>
          </w:p>
        </w:tc>
        <w:tc>
          <w:tcPr>
            <w:tcW w:w="2339" w:type="dxa"/>
            <w:tcBorders>
              <w:top w:val="single" w:sz="4" w:space="0" w:color="auto"/>
              <w:left w:val="single" w:sz="4" w:space="0" w:color="auto"/>
              <w:bottom w:val="single" w:sz="4" w:space="0" w:color="auto"/>
              <w:right w:val="single" w:sz="4" w:space="0" w:color="auto"/>
            </w:tcBorders>
          </w:tcPr>
          <w:p w14:paraId="25E4386E" w14:textId="77777777" w:rsidR="00CC7927" w:rsidRPr="002F4348" w:rsidRDefault="00CC7927" w:rsidP="003E2397">
            <w:pPr>
              <w:spacing w:line="240" w:lineRule="auto"/>
              <w:ind w:firstLine="0"/>
              <w:jc w:val="left"/>
              <w:rPr>
                <w:szCs w:val="24"/>
                <w:vertAlign w:val="superscript"/>
              </w:rPr>
            </w:pPr>
            <w:r w:rsidRPr="002F4348">
              <w:rPr>
                <w:szCs w:val="24"/>
              </w:rPr>
              <w:t>100 мг/м</w:t>
            </w:r>
            <w:r w:rsidRPr="002F4348">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3F55ABA1" w14:textId="77777777" w:rsidR="00CC7927" w:rsidRPr="002F4348" w:rsidRDefault="00CC7927" w:rsidP="003E2397">
            <w:pPr>
              <w:spacing w:line="240" w:lineRule="auto"/>
              <w:ind w:firstLine="0"/>
              <w:jc w:val="left"/>
              <w:rPr>
                <w:szCs w:val="24"/>
              </w:rPr>
            </w:pPr>
            <w:r w:rsidRPr="002F4348">
              <w:rPr>
                <w:szCs w:val="24"/>
              </w:rPr>
              <w:t>в/в капельно</w:t>
            </w:r>
          </w:p>
        </w:tc>
        <w:tc>
          <w:tcPr>
            <w:tcW w:w="2339" w:type="dxa"/>
            <w:tcBorders>
              <w:top w:val="single" w:sz="4" w:space="0" w:color="auto"/>
              <w:left w:val="single" w:sz="4" w:space="0" w:color="auto"/>
              <w:bottom w:val="single" w:sz="4" w:space="0" w:color="auto"/>
              <w:right w:val="single" w:sz="4" w:space="0" w:color="auto"/>
            </w:tcBorders>
          </w:tcPr>
          <w:p w14:paraId="54A606E5" w14:textId="77777777" w:rsidR="00CC7927" w:rsidRPr="002F4348" w:rsidRDefault="00CC7927" w:rsidP="003E2397">
            <w:pPr>
              <w:spacing w:line="240" w:lineRule="auto"/>
              <w:ind w:firstLine="0"/>
              <w:jc w:val="left"/>
              <w:rPr>
                <w:szCs w:val="24"/>
              </w:rPr>
            </w:pPr>
            <w:r w:rsidRPr="002F4348">
              <w:rPr>
                <w:szCs w:val="24"/>
              </w:rPr>
              <w:t>1-3</w:t>
            </w:r>
          </w:p>
        </w:tc>
      </w:tr>
      <w:tr w:rsidR="00CC7927" w:rsidRPr="002F4348" w14:paraId="6C228675"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7EF3B2B8" w14:textId="77777777" w:rsidR="00CC7927" w:rsidRPr="002F4348" w:rsidRDefault="00CC7927" w:rsidP="003E2397">
            <w:pPr>
              <w:spacing w:line="240" w:lineRule="auto"/>
              <w:ind w:firstLine="0"/>
              <w:jc w:val="left"/>
              <w:rPr>
                <w:szCs w:val="24"/>
              </w:rPr>
            </w:pPr>
            <w:r w:rsidRPr="002F4348">
              <w:rPr>
                <w:szCs w:val="24"/>
              </w:rPr>
              <w:t>Прокарбазин</w:t>
            </w:r>
            <w:r w:rsidR="00D254F2" w:rsidRPr="002F4348">
              <w:rPr>
                <w:szCs w:val="24"/>
              </w:rPr>
              <w:t>**</w:t>
            </w:r>
          </w:p>
        </w:tc>
        <w:tc>
          <w:tcPr>
            <w:tcW w:w="2339" w:type="dxa"/>
            <w:tcBorders>
              <w:top w:val="single" w:sz="4" w:space="0" w:color="auto"/>
              <w:left w:val="single" w:sz="4" w:space="0" w:color="auto"/>
              <w:bottom w:val="single" w:sz="4" w:space="0" w:color="auto"/>
              <w:right w:val="single" w:sz="4" w:space="0" w:color="auto"/>
            </w:tcBorders>
          </w:tcPr>
          <w:p w14:paraId="661C485C" w14:textId="77777777" w:rsidR="00CC7927" w:rsidRPr="002F4348" w:rsidRDefault="00CC7927" w:rsidP="003E2397">
            <w:pPr>
              <w:spacing w:line="240" w:lineRule="auto"/>
              <w:ind w:firstLine="0"/>
              <w:jc w:val="left"/>
              <w:rPr>
                <w:szCs w:val="24"/>
                <w:vertAlign w:val="superscript"/>
              </w:rPr>
            </w:pPr>
            <w:r w:rsidRPr="002F4348">
              <w:rPr>
                <w:szCs w:val="24"/>
              </w:rPr>
              <w:t>100 мг/м</w:t>
            </w:r>
            <w:r w:rsidRPr="002F4348">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6610E1E3" w14:textId="77777777" w:rsidR="00CC7927" w:rsidRPr="002F4348" w:rsidRDefault="00CC7927" w:rsidP="003E2397">
            <w:pPr>
              <w:spacing w:line="240" w:lineRule="auto"/>
              <w:ind w:firstLine="0"/>
              <w:jc w:val="left"/>
              <w:rPr>
                <w:szCs w:val="24"/>
              </w:rPr>
            </w:pPr>
            <w:r w:rsidRPr="002F4348">
              <w:rPr>
                <w:szCs w:val="24"/>
              </w:rPr>
              <w:t>внутрь</w:t>
            </w:r>
          </w:p>
        </w:tc>
        <w:tc>
          <w:tcPr>
            <w:tcW w:w="2339" w:type="dxa"/>
            <w:tcBorders>
              <w:top w:val="single" w:sz="4" w:space="0" w:color="auto"/>
              <w:left w:val="single" w:sz="4" w:space="0" w:color="auto"/>
              <w:bottom w:val="single" w:sz="4" w:space="0" w:color="auto"/>
              <w:right w:val="single" w:sz="4" w:space="0" w:color="auto"/>
            </w:tcBorders>
          </w:tcPr>
          <w:p w14:paraId="30B6B3F5" w14:textId="77777777" w:rsidR="00CC7927" w:rsidRPr="002F4348" w:rsidRDefault="00CC7927" w:rsidP="003E2397">
            <w:pPr>
              <w:spacing w:line="240" w:lineRule="auto"/>
              <w:ind w:firstLine="0"/>
              <w:jc w:val="left"/>
              <w:rPr>
                <w:szCs w:val="24"/>
              </w:rPr>
            </w:pPr>
            <w:r w:rsidRPr="002F4348">
              <w:rPr>
                <w:szCs w:val="24"/>
              </w:rPr>
              <w:t>1-7</w:t>
            </w:r>
          </w:p>
        </w:tc>
      </w:tr>
      <w:tr w:rsidR="00CC7927" w:rsidRPr="002F4348" w14:paraId="57A12615"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hideMark/>
          </w:tcPr>
          <w:p w14:paraId="038D2926" w14:textId="77777777" w:rsidR="00CC7927" w:rsidRPr="002F4348" w:rsidRDefault="00CC7927" w:rsidP="003E2397">
            <w:pPr>
              <w:spacing w:line="240" w:lineRule="auto"/>
              <w:ind w:firstLine="0"/>
              <w:jc w:val="left"/>
              <w:rPr>
                <w:szCs w:val="24"/>
              </w:rPr>
            </w:pPr>
            <w:r w:rsidRPr="002F4348">
              <w:rPr>
                <w:szCs w:val="24"/>
              </w:rPr>
              <w:t>Блеомицин</w:t>
            </w:r>
            <w:r w:rsidR="00D254F2" w:rsidRPr="002F4348">
              <w:rPr>
                <w:szCs w:val="24"/>
              </w:rPr>
              <w:t>**</w:t>
            </w:r>
          </w:p>
        </w:tc>
        <w:tc>
          <w:tcPr>
            <w:tcW w:w="2339" w:type="dxa"/>
            <w:tcBorders>
              <w:top w:val="single" w:sz="4" w:space="0" w:color="auto"/>
              <w:left w:val="single" w:sz="4" w:space="0" w:color="auto"/>
              <w:bottom w:val="single" w:sz="4" w:space="0" w:color="auto"/>
              <w:right w:val="single" w:sz="4" w:space="0" w:color="auto"/>
            </w:tcBorders>
            <w:hideMark/>
          </w:tcPr>
          <w:p w14:paraId="597046FB" w14:textId="77777777" w:rsidR="00CC7927" w:rsidRPr="002F4348" w:rsidRDefault="00CC7927" w:rsidP="003E2397">
            <w:pPr>
              <w:spacing w:line="240" w:lineRule="auto"/>
              <w:ind w:firstLine="0"/>
              <w:jc w:val="left"/>
              <w:rPr>
                <w:szCs w:val="24"/>
              </w:rPr>
            </w:pPr>
            <w:r w:rsidRPr="002F4348">
              <w:rPr>
                <w:szCs w:val="24"/>
              </w:rPr>
              <w:t>10 мг/м</w:t>
            </w:r>
            <w:r w:rsidRPr="002F4348">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43600385" w14:textId="77777777" w:rsidR="00CC7927" w:rsidRPr="002F4348" w:rsidRDefault="00CC7927" w:rsidP="003E2397">
            <w:pPr>
              <w:spacing w:line="240" w:lineRule="auto"/>
              <w:ind w:firstLine="0"/>
              <w:jc w:val="left"/>
              <w:rPr>
                <w:szCs w:val="24"/>
              </w:rPr>
            </w:pPr>
            <w:r w:rsidRPr="002F4348">
              <w:rPr>
                <w:szCs w:val="24"/>
              </w:rPr>
              <w:t>в/в струйно</w:t>
            </w:r>
          </w:p>
        </w:tc>
        <w:tc>
          <w:tcPr>
            <w:tcW w:w="2339" w:type="dxa"/>
            <w:tcBorders>
              <w:top w:val="single" w:sz="4" w:space="0" w:color="auto"/>
              <w:left w:val="single" w:sz="4" w:space="0" w:color="auto"/>
              <w:bottom w:val="single" w:sz="4" w:space="0" w:color="auto"/>
              <w:right w:val="single" w:sz="4" w:space="0" w:color="auto"/>
            </w:tcBorders>
            <w:hideMark/>
          </w:tcPr>
          <w:p w14:paraId="5573D437" w14:textId="77777777" w:rsidR="00CC7927" w:rsidRPr="002F4348" w:rsidRDefault="00CC7927" w:rsidP="003E2397">
            <w:pPr>
              <w:spacing w:line="240" w:lineRule="auto"/>
              <w:ind w:firstLine="0"/>
              <w:jc w:val="left"/>
              <w:rPr>
                <w:szCs w:val="24"/>
              </w:rPr>
            </w:pPr>
            <w:r w:rsidRPr="002F4348">
              <w:rPr>
                <w:szCs w:val="24"/>
              </w:rPr>
              <w:t>8</w:t>
            </w:r>
          </w:p>
        </w:tc>
      </w:tr>
      <w:tr w:rsidR="00CC7927" w:rsidRPr="002F4348" w14:paraId="47699C8C"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5C3EE73E" w14:textId="77777777" w:rsidR="00CC7927" w:rsidRPr="002F4348" w:rsidRDefault="00CC7927" w:rsidP="003E2397">
            <w:pPr>
              <w:spacing w:line="240" w:lineRule="auto"/>
              <w:ind w:firstLine="0"/>
              <w:jc w:val="left"/>
              <w:rPr>
                <w:szCs w:val="24"/>
              </w:rPr>
            </w:pPr>
            <w:r w:rsidRPr="002F4348">
              <w:rPr>
                <w:szCs w:val="24"/>
              </w:rPr>
              <w:t>Винкристин</w:t>
            </w:r>
            <w:r w:rsidR="00D254F2" w:rsidRPr="002F4348">
              <w:rPr>
                <w:szCs w:val="24"/>
              </w:rPr>
              <w:t>**</w:t>
            </w:r>
          </w:p>
        </w:tc>
        <w:tc>
          <w:tcPr>
            <w:tcW w:w="2339" w:type="dxa"/>
            <w:tcBorders>
              <w:top w:val="single" w:sz="4" w:space="0" w:color="auto"/>
              <w:left w:val="single" w:sz="4" w:space="0" w:color="auto"/>
              <w:bottom w:val="single" w:sz="4" w:space="0" w:color="auto"/>
              <w:right w:val="single" w:sz="4" w:space="0" w:color="auto"/>
            </w:tcBorders>
          </w:tcPr>
          <w:p w14:paraId="743A19C6" w14:textId="77777777" w:rsidR="00CC7927" w:rsidRPr="002F4348" w:rsidRDefault="00CC7927" w:rsidP="003E2397">
            <w:pPr>
              <w:spacing w:line="240" w:lineRule="auto"/>
              <w:ind w:firstLine="0"/>
              <w:jc w:val="left"/>
              <w:rPr>
                <w:szCs w:val="24"/>
              </w:rPr>
            </w:pPr>
            <w:r w:rsidRPr="002F4348">
              <w:rPr>
                <w:szCs w:val="24"/>
              </w:rPr>
              <w:t>1,4 мг/м</w:t>
            </w:r>
            <w:r w:rsidRPr="002F4348">
              <w:rPr>
                <w:szCs w:val="24"/>
                <w:vertAlign w:val="superscript"/>
              </w:rPr>
              <w:t>2</w:t>
            </w:r>
            <w:r w:rsidRPr="002F4348">
              <w:rPr>
                <w:szCs w:val="24"/>
              </w:rPr>
              <w:t xml:space="preserve"> (не более 2 мг)</w:t>
            </w:r>
          </w:p>
        </w:tc>
        <w:tc>
          <w:tcPr>
            <w:tcW w:w="2339" w:type="dxa"/>
            <w:tcBorders>
              <w:top w:val="single" w:sz="4" w:space="0" w:color="auto"/>
              <w:left w:val="single" w:sz="4" w:space="0" w:color="auto"/>
              <w:bottom w:val="single" w:sz="4" w:space="0" w:color="auto"/>
              <w:right w:val="single" w:sz="4" w:space="0" w:color="auto"/>
            </w:tcBorders>
          </w:tcPr>
          <w:p w14:paraId="73FBC27A" w14:textId="77777777" w:rsidR="00CC7927" w:rsidRPr="002F4348" w:rsidRDefault="00CC7927" w:rsidP="003E2397">
            <w:pPr>
              <w:spacing w:line="240" w:lineRule="auto"/>
              <w:ind w:firstLine="0"/>
              <w:jc w:val="left"/>
              <w:rPr>
                <w:szCs w:val="24"/>
              </w:rPr>
            </w:pPr>
            <w:r w:rsidRPr="002F4348">
              <w:rPr>
                <w:szCs w:val="24"/>
              </w:rPr>
              <w:t>в/в, за 5-10 мин</w:t>
            </w:r>
          </w:p>
        </w:tc>
        <w:tc>
          <w:tcPr>
            <w:tcW w:w="2339" w:type="dxa"/>
            <w:tcBorders>
              <w:top w:val="single" w:sz="4" w:space="0" w:color="auto"/>
              <w:left w:val="single" w:sz="4" w:space="0" w:color="auto"/>
              <w:bottom w:val="single" w:sz="4" w:space="0" w:color="auto"/>
              <w:right w:val="single" w:sz="4" w:space="0" w:color="auto"/>
            </w:tcBorders>
          </w:tcPr>
          <w:p w14:paraId="1C60C4C6" w14:textId="77777777" w:rsidR="00CC7927" w:rsidRPr="002F4348" w:rsidRDefault="00CC7927" w:rsidP="003E2397">
            <w:pPr>
              <w:spacing w:line="240" w:lineRule="auto"/>
              <w:ind w:firstLine="0"/>
              <w:jc w:val="left"/>
              <w:rPr>
                <w:szCs w:val="24"/>
              </w:rPr>
            </w:pPr>
            <w:r w:rsidRPr="002F4348">
              <w:rPr>
                <w:szCs w:val="24"/>
              </w:rPr>
              <w:t>8</w:t>
            </w:r>
          </w:p>
        </w:tc>
      </w:tr>
      <w:tr w:rsidR="00CC7927" w:rsidRPr="002F4348" w14:paraId="03070BCB"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39A77EAD" w14:textId="77777777" w:rsidR="00CC7927" w:rsidRPr="002F4348" w:rsidRDefault="00CC7927" w:rsidP="003E2397">
            <w:pPr>
              <w:spacing w:line="240" w:lineRule="auto"/>
              <w:ind w:firstLine="0"/>
              <w:jc w:val="left"/>
              <w:rPr>
                <w:szCs w:val="24"/>
              </w:rPr>
            </w:pPr>
            <w:r w:rsidRPr="002F4348">
              <w:rPr>
                <w:szCs w:val="24"/>
              </w:rPr>
              <w:t>Преднизолон</w:t>
            </w:r>
            <w:r w:rsidR="00D254F2" w:rsidRPr="002F4348">
              <w:rPr>
                <w:szCs w:val="24"/>
              </w:rPr>
              <w:t>**</w:t>
            </w:r>
          </w:p>
          <w:p w14:paraId="69B38830" w14:textId="77777777" w:rsidR="005B0324" w:rsidRPr="002F4348" w:rsidRDefault="005B0324" w:rsidP="003E2397">
            <w:pPr>
              <w:spacing w:line="240" w:lineRule="auto"/>
              <w:ind w:firstLine="0"/>
              <w:jc w:val="left"/>
              <w:rPr>
                <w:szCs w:val="24"/>
              </w:rPr>
            </w:pPr>
          </w:p>
          <w:p w14:paraId="277C955F" w14:textId="77777777" w:rsidR="005B0324" w:rsidRPr="002F4348" w:rsidRDefault="005B0324" w:rsidP="003E2397">
            <w:pPr>
              <w:spacing w:line="240" w:lineRule="auto"/>
              <w:ind w:firstLine="0"/>
              <w:jc w:val="left"/>
              <w:rPr>
                <w:szCs w:val="24"/>
              </w:rPr>
            </w:pPr>
            <w:r w:rsidRPr="002F4348">
              <w:rPr>
                <w:szCs w:val="24"/>
              </w:rPr>
              <w:t>или</w:t>
            </w:r>
          </w:p>
          <w:p w14:paraId="717B219E" w14:textId="77777777" w:rsidR="005B0324" w:rsidRPr="002F4348" w:rsidRDefault="005B0324" w:rsidP="003E2397">
            <w:pPr>
              <w:spacing w:line="240" w:lineRule="auto"/>
              <w:ind w:firstLine="0"/>
              <w:jc w:val="left"/>
              <w:rPr>
                <w:szCs w:val="24"/>
              </w:rPr>
            </w:pPr>
          </w:p>
          <w:p w14:paraId="1BC5AEE0" w14:textId="77777777" w:rsidR="005B0324" w:rsidRPr="002F4348" w:rsidRDefault="005B0324" w:rsidP="003E2397">
            <w:pPr>
              <w:spacing w:line="240" w:lineRule="auto"/>
              <w:ind w:firstLine="0"/>
              <w:jc w:val="left"/>
              <w:rPr>
                <w:szCs w:val="24"/>
              </w:rPr>
            </w:pPr>
          </w:p>
          <w:p w14:paraId="09D28040" w14:textId="77777777" w:rsidR="005B0324" w:rsidRPr="002F4348" w:rsidRDefault="005B0324" w:rsidP="003E2397">
            <w:pPr>
              <w:spacing w:line="240" w:lineRule="auto"/>
              <w:ind w:firstLine="0"/>
              <w:jc w:val="left"/>
              <w:rPr>
                <w:szCs w:val="24"/>
              </w:rPr>
            </w:pPr>
          </w:p>
          <w:p w14:paraId="6B8EC58E" w14:textId="77777777" w:rsidR="005B0324" w:rsidRPr="002F4348" w:rsidRDefault="005B0324" w:rsidP="003E2397">
            <w:pPr>
              <w:spacing w:line="240" w:lineRule="auto"/>
              <w:ind w:firstLine="0"/>
              <w:jc w:val="left"/>
              <w:rPr>
                <w:szCs w:val="24"/>
              </w:rPr>
            </w:pPr>
          </w:p>
          <w:p w14:paraId="5F3DBC2A" w14:textId="77777777" w:rsidR="005B0324" w:rsidRPr="002F4348" w:rsidRDefault="005B0324" w:rsidP="003E2397">
            <w:pPr>
              <w:spacing w:line="240" w:lineRule="auto"/>
              <w:ind w:firstLine="0"/>
              <w:jc w:val="left"/>
              <w:rPr>
                <w:szCs w:val="24"/>
              </w:rPr>
            </w:pPr>
          </w:p>
          <w:p w14:paraId="5E688088" w14:textId="77777777" w:rsidR="005B0324" w:rsidRPr="002F4348" w:rsidRDefault="005B0324" w:rsidP="003E2397">
            <w:pPr>
              <w:spacing w:line="240" w:lineRule="auto"/>
              <w:ind w:firstLine="0"/>
              <w:jc w:val="left"/>
              <w:rPr>
                <w:szCs w:val="24"/>
              </w:rPr>
            </w:pPr>
          </w:p>
          <w:p w14:paraId="6A17C31C" w14:textId="77777777" w:rsidR="005B0324" w:rsidRPr="002F4348" w:rsidRDefault="005B0324" w:rsidP="003E2397">
            <w:pPr>
              <w:spacing w:line="240" w:lineRule="auto"/>
              <w:ind w:firstLine="0"/>
              <w:jc w:val="left"/>
              <w:rPr>
                <w:szCs w:val="24"/>
              </w:rPr>
            </w:pPr>
            <w:r w:rsidRPr="002F4348">
              <w:rPr>
                <w:szCs w:val="24"/>
              </w:rPr>
              <w:t>Дексаметазон**</w:t>
            </w:r>
          </w:p>
        </w:tc>
        <w:tc>
          <w:tcPr>
            <w:tcW w:w="2339" w:type="dxa"/>
            <w:tcBorders>
              <w:top w:val="single" w:sz="4" w:space="0" w:color="auto"/>
              <w:left w:val="single" w:sz="4" w:space="0" w:color="auto"/>
              <w:bottom w:val="single" w:sz="4" w:space="0" w:color="auto"/>
              <w:right w:val="single" w:sz="4" w:space="0" w:color="auto"/>
            </w:tcBorders>
          </w:tcPr>
          <w:p w14:paraId="2CA503FB" w14:textId="77777777" w:rsidR="00CC7927" w:rsidRPr="002F4348" w:rsidRDefault="00CC7927" w:rsidP="003E2397">
            <w:pPr>
              <w:spacing w:line="240" w:lineRule="auto"/>
              <w:ind w:firstLine="0"/>
              <w:jc w:val="left"/>
              <w:rPr>
                <w:szCs w:val="24"/>
                <w:vertAlign w:val="superscript"/>
              </w:rPr>
            </w:pPr>
            <w:r w:rsidRPr="002F4348">
              <w:rPr>
                <w:szCs w:val="24"/>
              </w:rPr>
              <w:t>40 мг/м</w:t>
            </w:r>
            <w:r w:rsidRPr="002F4348">
              <w:rPr>
                <w:szCs w:val="24"/>
                <w:vertAlign w:val="superscript"/>
              </w:rPr>
              <w:t>2</w:t>
            </w:r>
          </w:p>
          <w:p w14:paraId="519682DC" w14:textId="77777777" w:rsidR="005B0324" w:rsidRPr="002F4348" w:rsidRDefault="005B0324" w:rsidP="003E2397">
            <w:pPr>
              <w:spacing w:line="240" w:lineRule="auto"/>
              <w:ind w:firstLine="0"/>
              <w:jc w:val="left"/>
              <w:rPr>
                <w:szCs w:val="24"/>
                <w:vertAlign w:val="superscript"/>
              </w:rPr>
            </w:pPr>
          </w:p>
          <w:p w14:paraId="16270120" w14:textId="77777777" w:rsidR="005B0324" w:rsidRPr="002F4348" w:rsidRDefault="005B0324" w:rsidP="003E2397">
            <w:pPr>
              <w:spacing w:line="240" w:lineRule="auto"/>
              <w:ind w:firstLine="0"/>
              <w:jc w:val="left"/>
              <w:rPr>
                <w:szCs w:val="24"/>
              </w:rPr>
            </w:pPr>
          </w:p>
          <w:p w14:paraId="7162DBE0" w14:textId="77777777" w:rsidR="005B0324" w:rsidRPr="002F4348" w:rsidRDefault="005B0324" w:rsidP="003E2397">
            <w:pPr>
              <w:spacing w:line="240" w:lineRule="auto"/>
              <w:ind w:firstLine="0"/>
              <w:jc w:val="left"/>
              <w:rPr>
                <w:szCs w:val="24"/>
              </w:rPr>
            </w:pPr>
          </w:p>
          <w:p w14:paraId="789A0381" w14:textId="77777777" w:rsidR="005B0324" w:rsidRPr="002F4348" w:rsidRDefault="005B0324" w:rsidP="003E2397">
            <w:pPr>
              <w:spacing w:line="240" w:lineRule="auto"/>
              <w:ind w:firstLine="0"/>
              <w:jc w:val="left"/>
              <w:rPr>
                <w:szCs w:val="24"/>
              </w:rPr>
            </w:pPr>
          </w:p>
          <w:p w14:paraId="478551B1" w14:textId="77777777" w:rsidR="005B0324" w:rsidRPr="002F4348" w:rsidRDefault="005B0324" w:rsidP="003E2397">
            <w:pPr>
              <w:spacing w:line="240" w:lineRule="auto"/>
              <w:ind w:firstLine="0"/>
              <w:jc w:val="left"/>
              <w:rPr>
                <w:szCs w:val="24"/>
              </w:rPr>
            </w:pPr>
          </w:p>
          <w:p w14:paraId="609BC772" w14:textId="77777777" w:rsidR="005B0324" w:rsidRPr="002F4348" w:rsidRDefault="005B0324" w:rsidP="003E2397">
            <w:pPr>
              <w:spacing w:line="240" w:lineRule="auto"/>
              <w:ind w:firstLine="0"/>
              <w:jc w:val="left"/>
              <w:rPr>
                <w:szCs w:val="24"/>
              </w:rPr>
            </w:pPr>
          </w:p>
          <w:p w14:paraId="533F3994" w14:textId="77777777" w:rsidR="005B0324" w:rsidRPr="002F4348" w:rsidRDefault="005B0324" w:rsidP="003E2397">
            <w:pPr>
              <w:spacing w:line="240" w:lineRule="auto"/>
              <w:ind w:firstLine="0"/>
              <w:jc w:val="left"/>
              <w:rPr>
                <w:szCs w:val="24"/>
              </w:rPr>
            </w:pPr>
          </w:p>
          <w:p w14:paraId="3B90C273" w14:textId="77777777" w:rsidR="005B0324" w:rsidRPr="002F4348" w:rsidRDefault="005B0324" w:rsidP="003E2397">
            <w:pPr>
              <w:spacing w:line="240" w:lineRule="auto"/>
              <w:ind w:firstLine="0"/>
              <w:jc w:val="left"/>
              <w:rPr>
                <w:szCs w:val="24"/>
              </w:rPr>
            </w:pPr>
          </w:p>
          <w:p w14:paraId="3B808DE5" w14:textId="77777777" w:rsidR="005B0324" w:rsidRPr="002F4348" w:rsidRDefault="005B0324" w:rsidP="003E2397">
            <w:pPr>
              <w:spacing w:line="240" w:lineRule="auto"/>
              <w:ind w:firstLine="0"/>
              <w:jc w:val="left"/>
              <w:rPr>
                <w:szCs w:val="24"/>
              </w:rPr>
            </w:pPr>
            <w:r w:rsidRPr="002F4348">
              <w:rPr>
                <w:szCs w:val="24"/>
              </w:rPr>
              <w:t>20 мг</w:t>
            </w:r>
          </w:p>
        </w:tc>
        <w:tc>
          <w:tcPr>
            <w:tcW w:w="2339" w:type="dxa"/>
            <w:tcBorders>
              <w:top w:val="single" w:sz="4" w:space="0" w:color="auto"/>
              <w:left w:val="single" w:sz="4" w:space="0" w:color="auto"/>
              <w:bottom w:val="single" w:sz="4" w:space="0" w:color="auto"/>
              <w:right w:val="single" w:sz="4" w:space="0" w:color="auto"/>
            </w:tcBorders>
          </w:tcPr>
          <w:p w14:paraId="4DD0550B" w14:textId="77777777" w:rsidR="00CC7927" w:rsidRPr="002F4348" w:rsidRDefault="005B0324" w:rsidP="003E2397">
            <w:pPr>
              <w:spacing w:line="240" w:lineRule="auto"/>
              <w:ind w:firstLine="0"/>
              <w:jc w:val="left"/>
              <w:rPr>
                <w:szCs w:val="24"/>
              </w:rPr>
            </w:pPr>
            <w:r w:rsidRPr="002F4348">
              <w:rPr>
                <w:szCs w:val="24"/>
              </w:rPr>
              <w:t>В</w:t>
            </w:r>
            <w:r w:rsidR="00CC7927" w:rsidRPr="002F4348">
              <w:rPr>
                <w:szCs w:val="24"/>
              </w:rPr>
              <w:t>нутрь</w:t>
            </w:r>
          </w:p>
          <w:p w14:paraId="4C5B7271" w14:textId="77777777" w:rsidR="005B0324" w:rsidRPr="002F4348" w:rsidRDefault="005B0324" w:rsidP="003E2397">
            <w:pPr>
              <w:spacing w:line="240" w:lineRule="auto"/>
              <w:ind w:firstLine="0"/>
              <w:jc w:val="left"/>
              <w:rPr>
                <w:szCs w:val="24"/>
              </w:rPr>
            </w:pPr>
          </w:p>
          <w:p w14:paraId="6B424505" w14:textId="77777777" w:rsidR="005B0324" w:rsidRPr="002F4348" w:rsidRDefault="005B0324" w:rsidP="003E2397">
            <w:pPr>
              <w:spacing w:line="240" w:lineRule="auto"/>
              <w:ind w:firstLine="0"/>
              <w:jc w:val="left"/>
              <w:rPr>
                <w:szCs w:val="24"/>
              </w:rPr>
            </w:pPr>
          </w:p>
          <w:p w14:paraId="685EC733" w14:textId="77777777" w:rsidR="005B0324" w:rsidRPr="002F4348" w:rsidRDefault="005B0324" w:rsidP="003E2397">
            <w:pPr>
              <w:spacing w:line="240" w:lineRule="auto"/>
              <w:ind w:firstLine="0"/>
              <w:jc w:val="left"/>
              <w:rPr>
                <w:szCs w:val="24"/>
              </w:rPr>
            </w:pPr>
          </w:p>
          <w:p w14:paraId="170CEF6F" w14:textId="77777777" w:rsidR="005B0324" w:rsidRPr="002F4348" w:rsidRDefault="005B0324" w:rsidP="003E2397">
            <w:pPr>
              <w:spacing w:line="240" w:lineRule="auto"/>
              <w:ind w:firstLine="0"/>
              <w:jc w:val="left"/>
              <w:rPr>
                <w:szCs w:val="24"/>
              </w:rPr>
            </w:pPr>
          </w:p>
          <w:p w14:paraId="664A2B1F" w14:textId="77777777" w:rsidR="005B0324" w:rsidRPr="002F4348" w:rsidRDefault="005B0324" w:rsidP="003E2397">
            <w:pPr>
              <w:spacing w:line="240" w:lineRule="auto"/>
              <w:ind w:firstLine="0"/>
              <w:jc w:val="left"/>
              <w:rPr>
                <w:szCs w:val="24"/>
              </w:rPr>
            </w:pPr>
          </w:p>
          <w:p w14:paraId="46652E23" w14:textId="77777777" w:rsidR="005B0324" w:rsidRPr="002F4348" w:rsidRDefault="005B0324" w:rsidP="003E2397">
            <w:pPr>
              <w:spacing w:line="240" w:lineRule="auto"/>
              <w:ind w:firstLine="0"/>
              <w:jc w:val="left"/>
              <w:rPr>
                <w:szCs w:val="24"/>
              </w:rPr>
            </w:pPr>
          </w:p>
          <w:p w14:paraId="32A7C171" w14:textId="77777777" w:rsidR="005B0324" w:rsidRPr="002F4348" w:rsidRDefault="005B0324" w:rsidP="003E2397">
            <w:pPr>
              <w:spacing w:line="240" w:lineRule="auto"/>
              <w:ind w:firstLine="0"/>
              <w:jc w:val="left"/>
              <w:rPr>
                <w:szCs w:val="24"/>
              </w:rPr>
            </w:pPr>
          </w:p>
          <w:p w14:paraId="68B4E5E3" w14:textId="77777777" w:rsidR="005B0324" w:rsidRPr="002F4348" w:rsidRDefault="005B0324" w:rsidP="003E2397">
            <w:pPr>
              <w:spacing w:line="240" w:lineRule="auto"/>
              <w:ind w:firstLine="0"/>
              <w:jc w:val="left"/>
              <w:rPr>
                <w:szCs w:val="24"/>
              </w:rPr>
            </w:pPr>
          </w:p>
          <w:p w14:paraId="7EE42D7F" w14:textId="77777777" w:rsidR="005B0324" w:rsidRPr="002F4348" w:rsidRDefault="005B0324" w:rsidP="003E2397">
            <w:pPr>
              <w:spacing w:line="240" w:lineRule="auto"/>
              <w:ind w:firstLine="0"/>
              <w:jc w:val="left"/>
              <w:rPr>
                <w:szCs w:val="24"/>
              </w:rPr>
            </w:pPr>
            <w:r w:rsidRPr="002F4348">
              <w:rPr>
                <w:szCs w:val="24"/>
              </w:rPr>
              <w:t>в/в</w:t>
            </w:r>
          </w:p>
        </w:tc>
        <w:tc>
          <w:tcPr>
            <w:tcW w:w="2339" w:type="dxa"/>
            <w:tcBorders>
              <w:top w:val="single" w:sz="4" w:space="0" w:color="auto"/>
              <w:left w:val="single" w:sz="4" w:space="0" w:color="auto"/>
              <w:bottom w:val="single" w:sz="4" w:space="0" w:color="auto"/>
              <w:right w:val="single" w:sz="4" w:space="0" w:color="auto"/>
            </w:tcBorders>
          </w:tcPr>
          <w:p w14:paraId="12B260E4" w14:textId="77777777" w:rsidR="00CC7927" w:rsidRPr="002F4348" w:rsidRDefault="00CC7927" w:rsidP="003E2397">
            <w:pPr>
              <w:spacing w:line="240" w:lineRule="auto"/>
              <w:ind w:firstLine="0"/>
              <w:jc w:val="left"/>
              <w:rPr>
                <w:szCs w:val="24"/>
              </w:rPr>
            </w:pPr>
            <w:r w:rsidRPr="002F4348">
              <w:rPr>
                <w:szCs w:val="24"/>
              </w:rPr>
              <w:t>1-</w:t>
            </w:r>
            <w:r w:rsidR="00571482" w:rsidRPr="002F4348">
              <w:rPr>
                <w:szCs w:val="24"/>
              </w:rPr>
              <w:t>7</w:t>
            </w:r>
          </w:p>
          <w:p w14:paraId="603BD920" w14:textId="77777777" w:rsidR="00571482" w:rsidRPr="002F4348" w:rsidRDefault="00571482" w:rsidP="003E2397">
            <w:pPr>
              <w:spacing w:line="240" w:lineRule="auto"/>
              <w:ind w:firstLine="0"/>
              <w:jc w:val="left"/>
              <w:rPr>
                <w:szCs w:val="24"/>
              </w:rPr>
            </w:pPr>
            <w:r w:rsidRPr="002F4348">
              <w:rPr>
                <w:szCs w:val="24"/>
              </w:rPr>
              <w:t>отмена преднизолона</w:t>
            </w:r>
            <w:r w:rsidR="004D11D3" w:rsidRPr="002F4348">
              <w:rPr>
                <w:szCs w:val="24"/>
              </w:rPr>
              <w:t>**</w:t>
            </w:r>
            <w:r w:rsidRPr="002F4348">
              <w:rPr>
                <w:szCs w:val="24"/>
              </w:rPr>
              <w:t xml:space="preserve"> в один день на 8-й день цикла. При возникновении синдрома отмены – в 3 дня</w:t>
            </w:r>
          </w:p>
          <w:p w14:paraId="730599B5" w14:textId="77777777" w:rsidR="005B0324" w:rsidRPr="002F4348" w:rsidRDefault="005B0324" w:rsidP="003E2397">
            <w:pPr>
              <w:spacing w:line="240" w:lineRule="auto"/>
              <w:ind w:firstLine="0"/>
              <w:jc w:val="left"/>
              <w:rPr>
                <w:szCs w:val="24"/>
              </w:rPr>
            </w:pPr>
          </w:p>
          <w:p w14:paraId="38E6A2F9" w14:textId="77777777" w:rsidR="005B0324" w:rsidRPr="002F4348" w:rsidRDefault="005B0324" w:rsidP="003E2397">
            <w:pPr>
              <w:spacing w:line="240" w:lineRule="auto"/>
              <w:ind w:firstLine="0"/>
              <w:jc w:val="left"/>
              <w:rPr>
                <w:szCs w:val="24"/>
              </w:rPr>
            </w:pPr>
            <w:r w:rsidRPr="002F4348">
              <w:rPr>
                <w:szCs w:val="24"/>
              </w:rPr>
              <w:t>1-3 дни</w:t>
            </w:r>
          </w:p>
        </w:tc>
      </w:tr>
      <w:tr w:rsidR="00CC7927" w:rsidRPr="002F4348" w14:paraId="558FFDF1"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405C1C59" w14:textId="77777777" w:rsidR="00CC7927" w:rsidRPr="002F4348" w:rsidRDefault="00CC7927" w:rsidP="003E2397">
            <w:pPr>
              <w:spacing w:line="240" w:lineRule="auto"/>
              <w:ind w:firstLine="0"/>
              <w:jc w:val="left"/>
              <w:rPr>
                <w:szCs w:val="24"/>
              </w:rPr>
            </w:pPr>
            <w:r w:rsidRPr="002F4348">
              <w:rPr>
                <w:szCs w:val="24"/>
              </w:rPr>
              <w:t>Г-КСФ</w:t>
            </w:r>
          </w:p>
        </w:tc>
        <w:tc>
          <w:tcPr>
            <w:tcW w:w="4678" w:type="dxa"/>
            <w:gridSpan w:val="2"/>
            <w:tcBorders>
              <w:top w:val="single" w:sz="4" w:space="0" w:color="auto"/>
              <w:left w:val="single" w:sz="4" w:space="0" w:color="auto"/>
              <w:bottom w:val="single" w:sz="4" w:space="0" w:color="auto"/>
              <w:right w:val="single" w:sz="4" w:space="0" w:color="auto"/>
            </w:tcBorders>
          </w:tcPr>
          <w:p w14:paraId="28B8659E" w14:textId="77777777" w:rsidR="00CC7927" w:rsidRPr="002F4348" w:rsidRDefault="00CC7927" w:rsidP="003E2397">
            <w:pPr>
              <w:spacing w:line="240" w:lineRule="auto"/>
              <w:ind w:firstLine="0"/>
              <w:jc w:val="left"/>
              <w:rPr>
                <w:szCs w:val="24"/>
              </w:rPr>
            </w:pPr>
            <w:r w:rsidRPr="002F4348">
              <w:rPr>
                <w:szCs w:val="24"/>
              </w:rPr>
              <w:t>Согласно инструкции по медицинскому применению</w:t>
            </w:r>
          </w:p>
        </w:tc>
        <w:tc>
          <w:tcPr>
            <w:tcW w:w="2339" w:type="dxa"/>
            <w:tcBorders>
              <w:top w:val="single" w:sz="4" w:space="0" w:color="auto"/>
              <w:left w:val="single" w:sz="4" w:space="0" w:color="auto"/>
              <w:bottom w:val="single" w:sz="4" w:space="0" w:color="auto"/>
              <w:right w:val="single" w:sz="4" w:space="0" w:color="auto"/>
            </w:tcBorders>
          </w:tcPr>
          <w:p w14:paraId="451F1C5D" w14:textId="77777777" w:rsidR="00CC7927" w:rsidRPr="002F4348" w:rsidRDefault="00571482" w:rsidP="003E2397">
            <w:pPr>
              <w:spacing w:line="240" w:lineRule="auto"/>
              <w:ind w:firstLine="0"/>
              <w:jc w:val="left"/>
              <w:rPr>
                <w:szCs w:val="24"/>
              </w:rPr>
            </w:pPr>
            <w:r w:rsidRPr="002F4348">
              <w:rPr>
                <w:szCs w:val="24"/>
              </w:rPr>
              <w:t>9-13 дни в плановом порядке независимо от количества лейкоцитов</w:t>
            </w:r>
          </w:p>
        </w:tc>
      </w:tr>
      <w:tr w:rsidR="00CC7927" w:rsidRPr="002F4348" w14:paraId="5AD8CE3B" w14:textId="77777777" w:rsidTr="003E2397">
        <w:tc>
          <w:tcPr>
            <w:tcW w:w="9356" w:type="dxa"/>
            <w:gridSpan w:val="4"/>
            <w:tcBorders>
              <w:top w:val="single" w:sz="4" w:space="0" w:color="auto"/>
              <w:left w:val="single" w:sz="4" w:space="0" w:color="auto"/>
              <w:bottom w:val="single" w:sz="4" w:space="0" w:color="auto"/>
              <w:right w:val="single" w:sz="4" w:space="0" w:color="auto"/>
            </w:tcBorders>
            <w:vAlign w:val="center"/>
          </w:tcPr>
          <w:p w14:paraId="100DDE72" w14:textId="77777777" w:rsidR="00CC7927" w:rsidRPr="002F4348" w:rsidRDefault="00CC7927" w:rsidP="003E2397">
            <w:pPr>
              <w:spacing w:line="240" w:lineRule="auto"/>
              <w:ind w:firstLine="0"/>
              <w:jc w:val="left"/>
              <w:rPr>
                <w:szCs w:val="24"/>
              </w:rPr>
            </w:pPr>
            <w:r w:rsidRPr="002F4348">
              <w:rPr>
                <w:szCs w:val="24"/>
              </w:rPr>
              <w:t xml:space="preserve">Лечение возобновляется на </w:t>
            </w:r>
            <w:r w:rsidR="00571482" w:rsidRPr="002F4348">
              <w:rPr>
                <w:szCs w:val="24"/>
              </w:rPr>
              <w:t>15</w:t>
            </w:r>
            <w:r w:rsidRPr="002F4348">
              <w:rPr>
                <w:szCs w:val="24"/>
              </w:rPr>
              <w:t xml:space="preserve"> день</w:t>
            </w:r>
          </w:p>
          <w:p w14:paraId="7F1B715C" w14:textId="77777777" w:rsidR="0062583E" w:rsidRPr="002F4348" w:rsidRDefault="0062583E">
            <w:pPr>
              <w:spacing w:line="240" w:lineRule="auto"/>
              <w:ind w:firstLine="0"/>
              <w:jc w:val="left"/>
              <w:rPr>
                <w:szCs w:val="24"/>
              </w:rPr>
            </w:pPr>
            <w:r w:rsidRPr="002F4348">
              <w:rPr>
                <w:bCs/>
              </w:rPr>
              <w:t xml:space="preserve">Накануне и с первого дня цикла рекомендуется увеличивают объем потребляемой жидкости до 2 литров в день. При большой опухолевой массе каждому </w:t>
            </w:r>
            <w:r w:rsidR="00470887" w:rsidRPr="002F4348">
              <w:rPr>
                <w:bCs/>
              </w:rPr>
              <w:t xml:space="preserve">пациенту </w:t>
            </w:r>
            <w:r w:rsidRPr="002F4348">
              <w:rPr>
                <w:bCs/>
              </w:rPr>
              <w:t>назначают аллопуринол</w:t>
            </w:r>
            <w:r w:rsidR="004D11D3" w:rsidRPr="002F4348">
              <w:rPr>
                <w:bCs/>
              </w:rPr>
              <w:t>**</w:t>
            </w:r>
            <w:r w:rsidRPr="002F4348">
              <w:rPr>
                <w:bCs/>
              </w:rPr>
              <w:t xml:space="preserve"> в дозе 300мг/сутки и в первые 3 дня цикла назначают гидратирующую терапию в объеме до 3 л/м</w:t>
            </w:r>
            <w:r w:rsidRPr="002F4348">
              <w:rPr>
                <w:bCs/>
                <w:vertAlign w:val="superscript"/>
              </w:rPr>
              <w:t xml:space="preserve">2 </w:t>
            </w:r>
            <w:r w:rsidRPr="002F4348">
              <w:rPr>
                <w:bCs/>
              </w:rPr>
              <w:t xml:space="preserve">при строгом контроле за диурезом и электролитными показателями </w:t>
            </w:r>
            <w:r w:rsidRPr="002F4348">
              <w:rPr>
                <w:bCs/>
              </w:rPr>
              <w:fldChar w:fldCharType="begin" w:fldLock="1"/>
            </w:r>
            <w:r w:rsidR="00A850F7" w:rsidRPr="002F4348">
              <w:rPr>
                <w:bCs/>
              </w:rPr>
              <w:instrText>ADDIN CSL_CITATION {"citationItems":[{"id":"ITEM-1","itemData":{"author":[{"dropping-particle":"","family":"Моисеева","given":"Т.Н.","non-dropping-particle":"","parse-names":false,"suffix":""},{"dropping-particle":"","family":"Аль-Ради","given":"Л.С.","non-dropping-particle":"","parse-names":false,"suffix":""},{"dropping-particle":"","family":"Дорохина","given":"Е.И.","non-dropping-particle":"","parse-names":false,"suffix":""}],"container-title":"Алгоритмы диагностики и протоколы лечения заболеваний системы крови. НМИЦ Гематологии. Под ред. В.Г. Савченко.","id":"ITEM-1","issued":{"date-parts":[["2018"]]},"page":"39-56","title":"Протокол диагностики и лечения классической лимфомы Ходжкина","type":"chapter"},"uris":["http://www.mendeley.com/documents/?uuid=fb98dfe5-a71f-484e-9a5d-824d96c5ea87","http://www.mendeley.com/documents/?uuid=1e9d076e-e89a-457c-b607-718bf00380e7"]}],"mendeley":{"formattedCitation":"[12]","plainTextFormattedCitation":"[12]","previouslyFormattedCitation":"[12]"},"properties":{"noteIndex":0},"schema":"https://github.com/citation-style-language/schema/raw/master/csl-citation.json"}</w:instrText>
            </w:r>
            <w:r w:rsidRPr="002F4348">
              <w:rPr>
                <w:bCs/>
              </w:rPr>
              <w:fldChar w:fldCharType="separate"/>
            </w:r>
            <w:r w:rsidR="00BA1BF7" w:rsidRPr="002F4348">
              <w:rPr>
                <w:bCs/>
                <w:noProof/>
              </w:rPr>
              <w:t>[12]</w:t>
            </w:r>
            <w:r w:rsidRPr="002F4348">
              <w:rPr>
                <w:bCs/>
              </w:rPr>
              <w:fldChar w:fldCharType="end"/>
            </w:r>
          </w:p>
        </w:tc>
      </w:tr>
    </w:tbl>
    <w:p w14:paraId="4A6C985B" w14:textId="77777777" w:rsidR="00CC7927" w:rsidRPr="002F4348" w:rsidRDefault="00CC7927" w:rsidP="002648A0">
      <w:pPr>
        <w:ind w:left="709" w:firstLine="0"/>
      </w:pPr>
    </w:p>
    <w:tbl>
      <w:tblPr>
        <w:tblStyle w:val="aff9"/>
        <w:tblW w:w="9356" w:type="dxa"/>
        <w:tblInd w:w="-5" w:type="dxa"/>
        <w:tblLayout w:type="fixed"/>
        <w:tblLook w:val="04A0" w:firstRow="1" w:lastRow="0" w:firstColumn="1" w:lastColumn="0" w:noHBand="0" w:noVBand="1"/>
      </w:tblPr>
      <w:tblGrid>
        <w:gridCol w:w="2339"/>
        <w:gridCol w:w="2339"/>
        <w:gridCol w:w="2339"/>
        <w:gridCol w:w="2339"/>
      </w:tblGrid>
      <w:tr w:rsidR="00571482" w:rsidRPr="002F4348" w14:paraId="66D9BFE7" w14:textId="77777777" w:rsidTr="003E2397">
        <w:trPr>
          <w:trHeight w:val="329"/>
        </w:trPr>
        <w:tc>
          <w:tcPr>
            <w:tcW w:w="9356" w:type="dxa"/>
            <w:gridSpan w:val="4"/>
            <w:tcBorders>
              <w:top w:val="nil"/>
              <w:left w:val="nil"/>
              <w:bottom w:val="single" w:sz="4" w:space="0" w:color="auto"/>
              <w:right w:val="nil"/>
            </w:tcBorders>
          </w:tcPr>
          <w:p w14:paraId="431DBC9E" w14:textId="77777777" w:rsidR="00571482" w:rsidRPr="002F4348" w:rsidRDefault="00571482" w:rsidP="003E2397">
            <w:pPr>
              <w:spacing w:line="240" w:lineRule="auto"/>
              <w:ind w:firstLine="0"/>
              <w:jc w:val="left"/>
              <w:rPr>
                <w:b/>
                <w:bCs/>
                <w:szCs w:val="24"/>
              </w:rPr>
            </w:pPr>
            <w:r w:rsidRPr="002F4348">
              <w:rPr>
                <w:b/>
                <w:bCs/>
                <w:szCs w:val="24"/>
              </w:rPr>
              <w:t>EACOPP-14</w:t>
            </w:r>
            <w:r w:rsidR="00A850F7" w:rsidRPr="002F4348">
              <w:rPr>
                <w:b/>
                <w:bCs/>
                <w:szCs w:val="24"/>
              </w:rPr>
              <w:t xml:space="preserve"> </w:t>
            </w:r>
            <w:r w:rsidR="00A850F7" w:rsidRPr="002F4348">
              <w:rPr>
                <w:lang w:eastAsia="ru-RU"/>
              </w:rPr>
              <w:fldChar w:fldCharType="begin" w:fldLock="1"/>
            </w:r>
            <w:r w:rsidR="00A850F7" w:rsidRPr="002F4348">
              <w:rPr>
                <w:lang w:eastAsia="ru-RU"/>
              </w:rPr>
              <w:instrText>ADDIN CSL_CITATION {"citationItems":[{"id":"ITEM-1","itemData":{"author":[{"dropping-particle":"","family":"Демина","given":"Е.А.","non-dropping-particle":"","parse-names":false,"suffix":""},{"dropping-particle":"","family":"Леонтьева","given":"А.А.","non-dropping-particle":"","parse-names":false,"suffix":""},{"dropping-particle":"","family":"Тумян","given":"Г.С.","non-dropping-particle":"","parse-names":false,"suffix":""},{"dropping-particle":"","family":"Рябухина","given":"Ю.Е.","non-dropping-particle":"","parse-names":false,"suffix":""},{"dropping-particle":"","family":"Трофимова","given":"О.П.","non-dropping-particle":"","parse-names":false,"suffix":""},{"dropping-particle":"","family":"Волкова","given":"Н.В.","non-dropping-particle":"","parse-names":false,"suffix":""},{"dropping-particle":"","family":"Прямикова","given":"Ю.И.","non-dropping-particle":"","parse-names":false,"suffix":""},{"dropping-particle":"","family":"Сотников","given":"В.М.","non-dropping-particle":"","parse-names":false,"suffix":""},{"dropping-particle":"","family":"Ларионова","given":"В.Б.","non-dropping-particle":"","parse-names":false,"suffix":""},{"dropping-particle":"","family":"Медведовская","given":"Е.Г.","non-dropping-particle":"","parse-names":false,"suffix":""},{"dropping-particle":"","family":"Парамонова","given":"Е.В.","non-dropping-particle":"","parse-names":false,"suffix":""},{"dropping-particle":"","family":"Манзюк","given":"Л.В.","non-dropping-particle":"","parse-names":false,"suffix":""},{"dropping-particle":"","family":"Пробатова","given":"Н.А.","non-dropping-particle":"","parse-names":false,"suffix":""},{"dropping-particle":"","family":"Кокосадзе","given":"Н.В.","non-dropping-particle":"","parse-names":false,"suffix":""},{"dropping-particle":"","family":"Османов","given":"Е.А.","non-dropping-particle":"","parse-names":false,"suffix":""}],"container-title":"Клиническая онкогематология. Фундаментальные исследования и клиническая практика","id":"ITEM-1","issue":"4","issued":{"date-parts":[["2017"]]},"page":"443-452","title":"Оптимизация терапии первой линии у пациентов с распространенными стадиями лимфомы Ходжкина: эффективность и токсичность интенсивной схемы EACOPP-14 (опыт ФГБУ «НМИЦ онкологии им. Н.Н. Блохина Минздрава России).","type":"article-journal","volume":"10"},"uris":["http://www.mendeley.com/documents/?uuid=0a4a3745-0d0c-4431-9ef8-2701c4f59356","http://www.mendeley.com/documents/?uuid=6548b3eb-4b1e-4363-8ff5-1cf493ff5fde"]}],"mendeley":{"formattedCitation":"[22]","plainTextFormattedCitation":"[22]","previouslyFormattedCitation":"[22]"},"properties":{"noteIndex":0},"schema":"https://github.com/citation-style-language/schema/raw/master/csl-citation.json"}</w:instrText>
            </w:r>
            <w:r w:rsidR="00A850F7" w:rsidRPr="002F4348">
              <w:rPr>
                <w:lang w:eastAsia="ru-RU"/>
              </w:rPr>
              <w:fldChar w:fldCharType="separate"/>
            </w:r>
            <w:r w:rsidR="00A850F7" w:rsidRPr="002F4348">
              <w:rPr>
                <w:noProof/>
                <w:lang w:eastAsia="ru-RU"/>
              </w:rPr>
              <w:t>[22]</w:t>
            </w:r>
            <w:r w:rsidR="00A850F7" w:rsidRPr="002F4348">
              <w:rPr>
                <w:lang w:eastAsia="ru-RU"/>
              </w:rPr>
              <w:fldChar w:fldCharType="end"/>
            </w:r>
          </w:p>
        </w:tc>
      </w:tr>
      <w:tr w:rsidR="00571482" w:rsidRPr="002F4348" w14:paraId="258BE29E"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hideMark/>
          </w:tcPr>
          <w:p w14:paraId="4AA3FE33" w14:textId="77777777" w:rsidR="00571482" w:rsidRPr="002F4348" w:rsidRDefault="00571482" w:rsidP="003E2397">
            <w:pPr>
              <w:spacing w:line="240" w:lineRule="auto"/>
              <w:ind w:firstLine="0"/>
              <w:jc w:val="left"/>
              <w:rPr>
                <w:szCs w:val="24"/>
              </w:rPr>
            </w:pPr>
            <w:r w:rsidRPr="002F4348">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105BB8FB" w14:textId="77777777" w:rsidR="00571482" w:rsidRPr="002F4348" w:rsidRDefault="00571482" w:rsidP="003E2397">
            <w:pPr>
              <w:spacing w:line="240" w:lineRule="auto"/>
              <w:ind w:firstLine="0"/>
              <w:jc w:val="left"/>
              <w:rPr>
                <w:szCs w:val="24"/>
              </w:rPr>
            </w:pPr>
            <w:r w:rsidRPr="002F4348">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29D42F7B" w14:textId="77777777" w:rsidR="00571482" w:rsidRPr="002F4348" w:rsidRDefault="00571482" w:rsidP="003E2397">
            <w:pPr>
              <w:spacing w:line="240" w:lineRule="auto"/>
              <w:ind w:firstLine="0"/>
              <w:jc w:val="left"/>
              <w:rPr>
                <w:szCs w:val="24"/>
              </w:rPr>
            </w:pPr>
            <w:r w:rsidRPr="002F4348">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4C2E414C" w14:textId="77777777" w:rsidR="00571482" w:rsidRPr="002F4348" w:rsidRDefault="00571482" w:rsidP="003E2397">
            <w:pPr>
              <w:spacing w:line="240" w:lineRule="auto"/>
              <w:ind w:firstLine="0"/>
              <w:jc w:val="left"/>
              <w:rPr>
                <w:szCs w:val="24"/>
              </w:rPr>
            </w:pPr>
            <w:r w:rsidRPr="002F4348">
              <w:rPr>
                <w:szCs w:val="24"/>
              </w:rPr>
              <w:t>Дни введения</w:t>
            </w:r>
          </w:p>
        </w:tc>
      </w:tr>
      <w:tr w:rsidR="00571482" w:rsidRPr="002F4348" w14:paraId="58689A91"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0281915B" w14:textId="77777777" w:rsidR="00571482" w:rsidRPr="002F4348" w:rsidRDefault="00571482" w:rsidP="003E2397">
            <w:pPr>
              <w:spacing w:line="240" w:lineRule="auto"/>
              <w:ind w:firstLine="0"/>
              <w:jc w:val="left"/>
              <w:rPr>
                <w:szCs w:val="24"/>
              </w:rPr>
            </w:pPr>
            <w:r w:rsidRPr="002F4348">
              <w:rPr>
                <w:szCs w:val="24"/>
              </w:rPr>
              <w:t>Циклофосфамид</w:t>
            </w:r>
            <w:r w:rsidR="00D254F2" w:rsidRPr="002F4348">
              <w:rPr>
                <w:szCs w:val="24"/>
              </w:rPr>
              <w:t>**</w:t>
            </w:r>
          </w:p>
        </w:tc>
        <w:tc>
          <w:tcPr>
            <w:tcW w:w="2339" w:type="dxa"/>
            <w:tcBorders>
              <w:top w:val="single" w:sz="4" w:space="0" w:color="auto"/>
              <w:left w:val="single" w:sz="4" w:space="0" w:color="auto"/>
              <w:bottom w:val="single" w:sz="4" w:space="0" w:color="auto"/>
              <w:right w:val="single" w:sz="4" w:space="0" w:color="auto"/>
            </w:tcBorders>
          </w:tcPr>
          <w:p w14:paraId="3FB20E40" w14:textId="77777777" w:rsidR="00571482" w:rsidRPr="002F4348" w:rsidRDefault="00571482" w:rsidP="003E2397">
            <w:pPr>
              <w:spacing w:line="240" w:lineRule="auto"/>
              <w:ind w:left="1416" w:hanging="1416"/>
              <w:jc w:val="left"/>
              <w:rPr>
                <w:szCs w:val="24"/>
              </w:rPr>
            </w:pPr>
            <w:r w:rsidRPr="002F4348">
              <w:rPr>
                <w:szCs w:val="24"/>
              </w:rPr>
              <w:t>650 мг/м</w:t>
            </w:r>
            <w:r w:rsidRPr="002F4348">
              <w:rPr>
                <w:rFonts w:cs="Times New Roman (Основной текст"/>
                <w:szCs w:val="24"/>
                <w:vertAlign w:val="superscript"/>
              </w:rPr>
              <w:t xml:space="preserve">2 </w:t>
            </w:r>
          </w:p>
        </w:tc>
        <w:tc>
          <w:tcPr>
            <w:tcW w:w="2339" w:type="dxa"/>
            <w:tcBorders>
              <w:top w:val="single" w:sz="4" w:space="0" w:color="auto"/>
              <w:left w:val="single" w:sz="4" w:space="0" w:color="auto"/>
              <w:bottom w:val="single" w:sz="4" w:space="0" w:color="auto"/>
              <w:right w:val="single" w:sz="4" w:space="0" w:color="auto"/>
            </w:tcBorders>
          </w:tcPr>
          <w:p w14:paraId="2CD97DF4" w14:textId="77777777" w:rsidR="00571482" w:rsidRPr="002F4348" w:rsidRDefault="00571482" w:rsidP="003E2397">
            <w:pPr>
              <w:spacing w:line="240" w:lineRule="auto"/>
              <w:ind w:firstLine="0"/>
              <w:jc w:val="left"/>
              <w:rPr>
                <w:szCs w:val="24"/>
              </w:rPr>
            </w:pPr>
            <w:r w:rsidRPr="002F4348">
              <w:rPr>
                <w:szCs w:val="24"/>
              </w:rPr>
              <w:t>в/в капельно</w:t>
            </w:r>
          </w:p>
        </w:tc>
        <w:tc>
          <w:tcPr>
            <w:tcW w:w="2339" w:type="dxa"/>
            <w:tcBorders>
              <w:top w:val="single" w:sz="4" w:space="0" w:color="auto"/>
              <w:left w:val="single" w:sz="4" w:space="0" w:color="auto"/>
              <w:bottom w:val="single" w:sz="4" w:space="0" w:color="auto"/>
              <w:right w:val="single" w:sz="4" w:space="0" w:color="auto"/>
            </w:tcBorders>
          </w:tcPr>
          <w:p w14:paraId="2EC1B5CF" w14:textId="77777777" w:rsidR="00571482" w:rsidRPr="002F4348" w:rsidRDefault="00571482" w:rsidP="003E2397">
            <w:pPr>
              <w:spacing w:line="240" w:lineRule="auto"/>
              <w:ind w:firstLine="0"/>
              <w:jc w:val="left"/>
              <w:rPr>
                <w:szCs w:val="24"/>
              </w:rPr>
            </w:pPr>
            <w:r w:rsidRPr="002F4348">
              <w:rPr>
                <w:szCs w:val="24"/>
              </w:rPr>
              <w:t>1</w:t>
            </w:r>
          </w:p>
        </w:tc>
      </w:tr>
      <w:tr w:rsidR="00571482" w:rsidRPr="002F4348" w14:paraId="1B72F4B6"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hideMark/>
          </w:tcPr>
          <w:p w14:paraId="3FFE9ABF" w14:textId="77777777" w:rsidR="00571482" w:rsidRPr="002F4348" w:rsidRDefault="00571482" w:rsidP="003E2397">
            <w:pPr>
              <w:spacing w:line="240" w:lineRule="auto"/>
              <w:ind w:firstLine="0"/>
              <w:jc w:val="left"/>
              <w:rPr>
                <w:szCs w:val="24"/>
                <w:lang w:val="en-US"/>
              </w:rPr>
            </w:pPr>
            <w:r w:rsidRPr="002F4348">
              <w:rPr>
                <w:szCs w:val="24"/>
              </w:rPr>
              <w:t>Доксорубицин</w:t>
            </w:r>
            <w:r w:rsidR="00D254F2" w:rsidRPr="002F4348">
              <w:rPr>
                <w:szCs w:val="24"/>
              </w:rPr>
              <w:t>**</w:t>
            </w:r>
          </w:p>
        </w:tc>
        <w:tc>
          <w:tcPr>
            <w:tcW w:w="2339" w:type="dxa"/>
            <w:tcBorders>
              <w:top w:val="single" w:sz="4" w:space="0" w:color="auto"/>
              <w:left w:val="single" w:sz="4" w:space="0" w:color="auto"/>
              <w:bottom w:val="single" w:sz="4" w:space="0" w:color="auto"/>
              <w:right w:val="single" w:sz="4" w:space="0" w:color="auto"/>
            </w:tcBorders>
          </w:tcPr>
          <w:p w14:paraId="258364B5" w14:textId="77777777" w:rsidR="00571482" w:rsidRPr="002F4348" w:rsidRDefault="00571482" w:rsidP="003E2397">
            <w:pPr>
              <w:spacing w:line="240" w:lineRule="auto"/>
              <w:ind w:firstLine="0"/>
              <w:jc w:val="left"/>
              <w:rPr>
                <w:szCs w:val="24"/>
              </w:rPr>
            </w:pPr>
            <w:r w:rsidRPr="002F4348">
              <w:rPr>
                <w:szCs w:val="24"/>
              </w:rPr>
              <w:t>50</w:t>
            </w:r>
            <w:r w:rsidRPr="002F4348">
              <w:rPr>
                <w:szCs w:val="24"/>
                <w:lang w:val="en-US"/>
              </w:rPr>
              <w:t xml:space="preserve"> </w:t>
            </w:r>
            <w:r w:rsidRPr="002F4348">
              <w:rPr>
                <w:szCs w:val="24"/>
              </w:rPr>
              <w:t>мг/м</w:t>
            </w:r>
            <w:r w:rsidRPr="002F4348">
              <w:rPr>
                <w:szCs w:val="24"/>
                <w:vertAlign w:val="superscript"/>
              </w:rPr>
              <w:t>2</w:t>
            </w:r>
          </w:p>
          <w:p w14:paraId="3CBB4CFE" w14:textId="77777777" w:rsidR="00571482" w:rsidRPr="002F4348" w:rsidRDefault="00571482" w:rsidP="003E2397">
            <w:pPr>
              <w:spacing w:line="240" w:lineRule="auto"/>
              <w:ind w:firstLine="0"/>
              <w:jc w:val="left"/>
              <w:rPr>
                <w:szCs w:val="24"/>
              </w:rPr>
            </w:pPr>
          </w:p>
        </w:tc>
        <w:tc>
          <w:tcPr>
            <w:tcW w:w="2339" w:type="dxa"/>
            <w:tcBorders>
              <w:top w:val="single" w:sz="4" w:space="0" w:color="auto"/>
              <w:left w:val="single" w:sz="4" w:space="0" w:color="auto"/>
              <w:bottom w:val="single" w:sz="4" w:space="0" w:color="auto"/>
              <w:right w:val="single" w:sz="4" w:space="0" w:color="auto"/>
            </w:tcBorders>
            <w:hideMark/>
          </w:tcPr>
          <w:p w14:paraId="788592EC" w14:textId="77777777" w:rsidR="00571482" w:rsidRPr="002F4348" w:rsidRDefault="00571482" w:rsidP="003E2397">
            <w:pPr>
              <w:spacing w:line="240" w:lineRule="auto"/>
              <w:ind w:firstLine="0"/>
              <w:jc w:val="left"/>
              <w:rPr>
                <w:szCs w:val="24"/>
              </w:rPr>
            </w:pPr>
            <w:r w:rsidRPr="002F4348">
              <w:rPr>
                <w:szCs w:val="24"/>
              </w:rPr>
              <w:t>в/в капельно или струйно</w:t>
            </w:r>
          </w:p>
        </w:tc>
        <w:tc>
          <w:tcPr>
            <w:tcW w:w="2339" w:type="dxa"/>
            <w:tcBorders>
              <w:top w:val="single" w:sz="4" w:space="0" w:color="auto"/>
              <w:left w:val="single" w:sz="4" w:space="0" w:color="auto"/>
              <w:bottom w:val="single" w:sz="4" w:space="0" w:color="auto"/>
              <w:right w:val="single" w:sz="4" w:space="0" w:color="auto"/>
            </w:tcBorders>
          </w:tcPr>
          <w:p w14:paraId="37626218" w14:textId="77777777" w:rsidR="00571482" w:rsidRPr="002F4348" w:rsidRDefault="00571482" w:rsidP="003E2397">
            <w:pPr>
              <w:spacing w:line="240" w:lineRule="auto"/>
              <w:ind w:firstLine="0"/>
              <w:jc w:val="left"/>
              <w:rPr>
                <w:szCs w:val="24"/>
              </w:rPr>
            </w:pPr>
            <w:r w:rsidRPr="002F4348">
              <w:rPr>
                <w:szCs w:val="24"/>
              </w:rPr>
              <w:t>1</w:t>
            </w:r>
          </w:p>
          <w:p w14:paraId="5459FE05" w14:textId="77777777" w:rsidR="00571482" w:rsidRPr="002F4348" w:rsidRDefault="00571482" w:rsidP="003E2397">
            <w:pPr>
              <w:spacing w:line="240" w:lineRule="auto"/>
              <w:ind w:firstLine="0"/>
              <w:jc w:val="left"/>
              <w:rPr>
                <w:szCs w:val="24"/>
              </w:rPr>
            </w:pPr>
          </w:p>
        </w:tc>
      </w:tr>
      <w:tr w:rsidR="00571482" w:rsidRPr="002F4348" w14:paraId="4763D43F"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2422BD5D" w14:textId="77777777" w:rsidR="00571482" w:rsidRPr="002F4348" w:rsidRDefault="00571482" w:rsidP="003E2397">
            <w:pPr>
              <w:spacing w:line="240" w:lineRule="auto"/>
              <w:ind w:firstLine="0"/>
              <w:jc w:val="left"/>
              <w:rPr>
                <w:szCs w:val="24"/>
              </w:rPr>
            </w:pPr>
            <w:r w:rsidRPr="002F4348">
              <w:rPr>
                <w:szCs w:val="24"/>
              </w:rPr>
              <w:t>Этопозид</w:t>
            </w:r>
            <w:r w:rsidR="00D254F2" w:rsidRPr="002F4348">
              <w:rPr>
                <w:szCs w:val="24"/>
              </w:rPr>
              <w:t>**</w:t>
            </w:r>
          </w:p>
        </w:tc>
        <w:tc>
          <w:tcPr>
            <w:tcW w:w="2339" w:type="dxa"/>
            <w:tcBorders>
              <w:top w:val="single" w:sz="4" w:space="0" w:color="auto"/>
              <w:left w:val="single" w:sz="4" w:space="0" w:color="auto"/>
              <w:bottom w:val="single" w:sz="4" w:space="0" w:color="auto"/>
              <w:right w:val="single" w:sz="4" w:space="0" w:color="auto"/>
            </w:tcBorders>
          </w:tcPr>
          <w:p w14:paraId="63C76B0E" w14:textId="77777777" w:rsidR="00571482" w:rsidRPr="002F4348" w:rsidRDefault="00571482" w:rsidP="003E2397">
            <w:pPr>
              <w:spacing w:line="240" w:lineRule="auto"/>
              <w:ind w:firstLine="0"/>
              <w:jc w:val="left"/>
              <w:rPr>
                <w:szCs w:val="24"/>
                <w:vertAlign w:val="superscript"/>
              </w:rPr>
            </w:pPr>
            <w:r w:rsidRPr="002F4348">
              <w:rPr>
                <w:szCs w:val="24"/>
              </w:rPr>
              <w:t>100 мг/м</w:t>
            </w:r>
            <w:r w:rsidRPr="002F4348">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7462E2DB" w14:textId="77777777" w:rsidR="00571482" w:rsidRPr="002F4348" w:rsidRDefault="00571482" w:rsidP="003E2397">
            <w:pPr>
              <w:spacing w:line="240" w:lineRule="auto"/>
              <w:ind w:firstLine="0"/>
              <w:jc w:val="left"/>
              <w:rPr>
                <w:szCs w:val="24"/>
              </w:rPr>
            </w:pPr>
            <w:r w:rsidRPr="002F4348">
              <w:rPr>
                <w:szCs w:val="24"/>
              </w:rPr>
              <w:t>в/в капельно</w:t>
            </w:r>
          </w:p>
        </w:tc>
        <w:tc>
          <w:tcPr>
            <w:tcW w:w="2339" w:type="dxa"/>
            <w:tcBorders>
              <w:top w:val="single" w:sz="4" w:space="0" w:color="auto"/>
              <w:left w:val="single" w:sz="4" w:space="0" w:color="auto"/>
              <w:bottom w:val="single" w:sz="4" w:space="0" w:color="auto"/>
              <w:right w:val="single" w:sz="4" w:space="0" w:color="auto"/>
            </w:tcBorders>
          </w:tcPr>
          <w:p w14:paraId="10A5E58C" w14:textId="77777777" w:rsidR="00571482" w:rsidRPr="002F4348" w:rsidRDefault="00571482" w:rsidP="003E2397">
            <w:pPr>
              <w:spacing w:line="240" w:lineRule="auto"/>
              <w:ind w:firstLine="0"/>
              <w:jc w:val="left"/>
              <w:rPr>
                <w:szCs w:val="24"/>
              </w:rPr>
            </w:pPr>
            <w:r w:rsidRPr="002F4348">
              <w:rPr>
                <w:szCs w:val="24"/>
              </w:rPr>
              <w:t>1-3</w:t>
            </w:r>
          </w:p>
        </w:tc>
      </w:tr>
      <w:tr w:rsidR="00571482" w:rsidRPr="002F4348" w14:paraId="0ED8AD2F"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5BD24B0E" w14:textId="77777777" w:rsidR="00571482" w:rsidRPr="002F4348" w:rsidRDefault="00571482" w:rsidP="003E2397">
            <w:pPr>
              <w:spacing w:line="240" w:lineRule="auto"/>
              <w:ind w:firstLine="0"/>
              <w:jc w:val="left"/>
              <w:rPr>
                <w:szCs w:val="24"/>
              </w:rPr>
            </w:pPr>
            <w:r w:rsidRPr="002F4348">
              <w:rPr>
                <w:szCs w:val="24"/>
              </w:rPr>
              <w:t>Прокарбазин</w:t>
            </w:r>
            <w:r w:rsidR="00D254F2" w:rsidRPr="002F4348">
              <w:rPr>
                <w:szCs w:val="24"/>
              </w:rPr>
              <w:t>**</w:t>
            </w:r>
          </w:p>
          <w:p w14:paraId="2D962D95" w14:textId="77777777" w:rsidR="00571482" w:rsidRPr="002F4348" w:rsidRDefault="00571482" w:rsidP="003E2397">
            <w:pPr>
              <w:spacing w:line="240" w:lineRule="auto"/>
              <w:ind w:firstLine="0"/>
              <w:jc w:val="left"/>
              <w:rPr>
                <w:szCs w:val="24"/>
              </w:rPr>
            </w:pPr>
            <w:r w:rsidRPr="002F4348">
              <w:rPr>
                <w:szCs w:val="24"/>
              </w:rPr>
              <w:t>или</w:t>
            </w:r>
          </w:p>
          <w:p w14:paraId="755F6A44" w14:textId="77777777" w:rsidR="00571482" w:rsidRPr="002F4348" w:rsidRDefault="00571482" w:rsidP="003E2397">
            <w:pPr>
              <w:spacing w:line="240" w:lineRule="auto"/>
              <w:ind w:firstLine="0"/>
              <w:jc w:val="left"/>
              <w:rPr>
                <w:szCs w:val="24"/>
              </w:rPr>
            </w:pPr>
            <w:r w:rsidRPr="002F4348">
              <w:rPr>
                <w:szCs w:val="24"/>
              </w:rPr>
              <w:t>Дакарбазин</w:t>
            </w:r>
            <w:r w:rsidR="00D254F2" w:rsidRPr="002F4348">
              <w:rPr>
                <w:szCs w:val="24"/>
              </w:rPr>
              <w:t>**</w:t>
            </w:r>
          </w:p>
        </w:tc>
        <w:tc>
          <w:tcPr>
            <w:tcW w:w="2339" w:type="dxa"/>
            <w:tcBorders>
              <w:top w:val="single" w:sz="4" w:space="0" w:color="auto"/>
              <w:left w:val="single" w:sz="4" w:space="0" w:color="auto"/>
              <w:bottom w:val="single" w:sz="4" w:space="0" w:color="auto"/>
              <w:right w:val="single" w:sz="4" w:space="0" w:color="auto"/>
            </w:tcBorders>
          </w:tcPr>
          <w:p w14:paraId="687CBB4C" w14:textId="77777777" w:rsidR="00571482" w:rsidRPr="002F4348" w:rsidRDefault="00571482" w:rsidP="003E2397">
            <w:pPr>
              <w:spacing w:line="240" w:lineRule="auto"/>
              <w:ind w:firstLine="0"/>
              <w:jc w:val="left"/>
              <w:rPr>
                <w:szCs w:val="24"/>
                <w:vertAlign w:val="subscript"/>
              </w:rPr>
            </w:pPr>
            <w:r w:rsidRPr="002F4348">
              <w:rPr>
                <w:szCs w:val="24"/>
              </w:rPr>
              <w:t>100 мг/м</w:t>
            </w:r>
            <w:r w:rsidRPr="002F4348">
              <w:rPr>
                <w:szCs w:val="24"/>
                <w:vertAlign w:val="superscript"/>
              </w:rPr>
              <w:t xml:space="preserve">2 </w:t>
            </w:r>
            <w:r w:rsidRPr="002F4348">
              <w:rPr>
                <w:szCs w:val="24"/>
                <w:vertAlign w:val="superscript"/>
              </w:rPr>
              <w:softHyphen/>
            </w:r>
          </w:p>
          <w:p w14:paraId="142A318C" w14:textId="77777777" w:rsidR="00571482" w:rsidRPr="002F4348" w:rsidRDefault="00571482" w:rsidP="003E2397">
            <w:pPr>
              <w:spacing w:line="240" w:lineRule="auto"/>
              <w:ind w:firstLine="0"/>
              <w:jc w:val="left"/>
              <w:rPr>
                <w:szCs w:val="24"/>
                <w:vertAlign w:val="subscript"/>
              </w:rPr>
            </w:pPr>
          </w:p>
          <w:p w14:paraId="31BB80A8" w14:textId="77777777" w:rsidR="00571482" w:rsidRPr="002F4348" w:rsidRDefault="00571482" w:rsidP="003E2397">
            <w:pPr>
              <w:spacing w:line="240" w:lineRule="auto"/>
              <w:ind w:firstLine="0"/>
              <w:jc w:val="left"/>
              <w:rPr>
                <w:szCs w:val="24"/>
              </w:rPr>
            </w:pPr>
            <w:r w:rsidRPr="002F4348">
              <w:rPr>
                <w:szCs w:val="24"/>
              </w:rPr>
              <w:t>375 мг/м</w:t>
            </w:r>
            <w:r w:rsidRPr="002F4348">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01437ABC" w14:textId="77777777" w:rsidR="00571482" w:rsidRPr="002F4348" w:rsidRDefault="00571482" w:rsidP="003E2397">
            <w:pPr>
              <w:spacing w:line="240" w:lineRule="auto"/>
              <w:ind w:firstLine="0"/>
              <w:jc w:val="left"/>
              <w:rPr>
                <w:szCs w:val="24"/>
              </w:rPr>
            </w:pPr>
            <w:r w:rsidRPr="002F4348">
              <w:rPr>
                <w:szCs w:val="24"/>
              </w:rPr>
              <w:t>Внутрь</w:t>
            </w:r>
          </w:p>
          <w:p w14:paraId="14C83FA3" w14:textId="77777777" w:rsidR="00571482" w:rsidRPr="002F4348" w:rsidRDefault="00571482" w:rsidP="003E2397">
            <w:pPr>
              <w:spacing w:line="240" w:lineRule="auto"/>
              <w:ind w:firstLine="0"/>
              <w:jc w:val="left"/>
              <w:rPr>
                <w:szCs w:val="24"/>
              </w:rPr>
            </w:pPr>
          </w:p>
          <w:p w14:paraId="613E12AD" w14:textId="77777777" w:rsidR="00571482" w:rsidRPr="002F4348" w:rsidRDefault="00571482" w:rsidP="003E2397">
            <w:pPr>
              <w:spacing w:line="240" w:lineRule="auto"/>
              <w:ind w:firstLine="0"/>
              <w:jc w:val="left"/>
              <w:rPr>
                <w:szCs w:val="24"/>
              </w:rPr>
            </w:pPr>
            <w:r w:rsidRPr="002F4348">
              <w:rPr>
                <w:szCs w:val="24"/>
              </w:rPr>
              <w:t>в/в</w:t>
            </w:r>
          </w:p>
        </w:tc>
        <w:tc>
          <w:tcPr>
            <w:tcW w:w="2339" w:type="dxa"/>
            <w:tcBorders>
              <w:top w:val="single" w:sz="4" w:space="0" w:color="auto"/>
              <w:left w:val="single" w:sz="4" w:space="0" w:color="auto"/>
              <w:bottom w:val="single" w:sz="4" w:space="0" w:color="auto"/>
              <w:right w:val="single" w:sz="4" w:space="0" w:color="auto"/>
            </w:tcBorders>
          </w:tcPr>
          <w:p w14:paraId="255F609C" w14:textId="77777777" w:rsidR="00571482" w:rsidRPr="002F4348" w:rsidRDefault="00571482" w:rsidP="003E2397">
            <w:pPr>
              <w:spacing w:line="240" w:lineRule="auto"/>
              <w:ind w:firstLine="0"/>
              <w:jc w:val="left"/>
              <w:rPr>
                <w:szCs w:val="24"/>
                <w:lang w:val="en-US"/>
              </w:rPr>
            </w:pPr>
            <w:r w:rsidRPr="002F4348">
              <w:rPr>
                <w:szCs w:val="24"/>
                <w:lang w:val="en-US"/>
              </w:rPr>
              <w:t>1-7</w:t>
            </w:r>
          </w:p>
          <w:p w14:paraId="570A1617" w14:textId="77777777" w:rsidR="00571482" w:rsidRPr="002F4348" w:rsidRDefault="00571482" w:rsidP="003E2397">
            <w:pPr>
              <w:spacing w:line="240" w:lineRule="auto"/>
              <w:ind w:firstLine="0"/>
              <w:jc w:val="left"/>
              <w:rPr>
                <w:szCs w:val="24"/>
                <w:lang w:val="en-US"/>
              </w:rPr>
            </w:pPr>
          </w:p>
          <w:p w14:paraId="38FE4CE5" w14:textId="77777777" w:rsidR="00571482" w:rsidRPr="002F4348" w:rsidRDefault="00571482" w:rsidP="003E2397">
            <w:pPr>
              <w:spacing w:line="240" w:lineRule="auto"/>
              <w:ind w:firstLine="0"/>
              <w:jc w:val="left"/>
              <w:rPr>
                <w:szCs w:val="24"/>
              </w:rPr>
            </w:pPr>
            <w:r w:rsidRPr="002F4348">
              <w:rPr>
                <w:szCs w:val="24"/>
              </w:rPr>
              <w:t>1</w:t>
            </w:r>
          </w:p>
        </w:tc>
      </w:tr>
      <w:tr w:rsidR="00571482" w:rsidRPr="002F4348" w14:paraId="0BD5ECD8"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29789C32" w14:textId="77777777" w:rsidR="00571482" w:rsidRPr="002F4348" w:rsidRDefault="00571482" w:rsidP="003E2397">
            <w:pPr>
              <w:spacing w:line="240" w:lineRule="auto"/>
              <w:ind w:firstLine="0"/>
              <w:jc w:val="left"/>
              <w:rPr>
                <w:szCs w:val="24"/>
              </w:rPr>
            </w:pPr>
            <w:r w:rsidRPr="002F4348">
              <w:rPr>
                <w:szCs w:val="24"/>
              </w:rPr>
              <w:t>Винкристин</w:t>
            </w:r>
            <w:r w:rsidR="00D254F2" w:rsidRPr="002F4348">
              <w:rPr>
                <w:szCs w:val="24"/>
              </w:rPr>
              <w:t>**</w:t>
            </w:r>
          </w:p>
        </w:tc>
        <w:tc>
          <w:tcPr>
            <w:tcW w:w="2339" w:type="dxa"/>
            <w:tcBorders>
              <w:top w:val="single" w:sz="4" w:space="0" w:color="auto"/>
              <w:left w:val="single" w:sz="4" w:space="0" w:color="auto"/>
              <w:bottom w:val="single" w:sz="4" w:space="0" w:color="auto"/>
              <w:right w:val="single" w:sz="4" w:space="0" w:color="auto"/>
            </w:tcBorders>
          </w:tcPr>
          <w:p w14:paraId="130D05E1" w14:textId="77777777" w:rsidR="00571482" w:rsidRPr="002F4348" w:rsidRDefault="00571482" w:rsidP="003E2397">
            <w:pPr>
              <w:spacing w:line="240" w:lineRule="auto"/>
              <w:ind w:firstLine="0"/>
              <w:jc w:val="left"/>
              <w:rPr>
                <w:szCs w:val="24"/>
              </w:rPr>
            </w:pPr>
            <w:r w:rsidRPr="002F4348">
              <w:rPr>
                <w:szCs w:val="24"/>
              </w:rPr>
              <w:t>1,4 мг/м</w:t>
            </w:r>
            <w:r w:rsidRPr="002F4348">
              <w:rPr>
                <w:szCs w:val="24"/>
                <w:vertAlign w:val="superscript"/>
              </w:rPr>
              <w:t>2</w:t>
            </w:r>
            <w:r w:rsidRPr="002F4348">
              <w:rPr>
                <w:szCs w:val="24"/>
              </w:rPr>
              <w:t xml:space="preserve"> (не более 2 мг)</w:t>
            </w:r>
          </w:p>
        </w:tc>
        <w:tc>
          <w:tcPr>
            <w:tcW w:w="2339" w:type="dxa"/>
            <w:tcBorders>
              <w:top w:val="single" w:sz="4" w:space="0" w:color="auto"/>
              <w:left w:val="single" w:sz="4" w:space="0" w:color="auto"/>
              <w:bottom w:val="single" w:sz="4" w:space="0" w:color="auto"/>
              <w:right w:val="single" w:sz="4" w:space="0" w:color="auto"/>
            </w:tcBorders>
          </w:tcPr>
          <w:p w14:paraId="75A748CD" w14:textId="77777777" w:rsidR="00571482" w:rsidRPr="002F4348" w:rsidRDefault="00571482" w:rsidP="003E2397">
            <w:pPr>
              <w:spacing w:line="240" w:lineRule="auto"/>
              <w:ind w:firstLine="0"/>
              <w:jc w:val="left"/>
              <w:rPr>
                <w:szCs w:val="24"/>
              </w:rPr>
            </w:pPr>
            <w:r w:rsidRPr="002F4348">
              <w:rPr>
                <w:szCs w:val="24"/>
              </w:rPr>
              <w:t>в/в, за 5-10 мин</w:t>
            </w:r>
          </w:p>
        </w:tc>
        <w:tc>
          <w:tcPr>
            <w:tcW w:w="2339" w:type="dxa"/>
            <w:tcBorders>
              <w:top w:val="single" w:sz="4" w:space="0" w:color="auto"/>
              <w:left w:val="single" w:sz="4" w:space="0" w:color="auto"/>
              <w:bottom w:val="single" w:sz="4" w:space="0" w:color="auto"/>
              <w:right w:val="single" w:sz="4" w:space="0" w:color="auto"/>
            </w:tcBorders>
          </w:tcPr>
          <w:p w14:paraId="2DA0C5ED" w14:textId="77777777" w:rsidR="00571482" w:rsidRPr="002F4348" w:rsidRDefault="00571482" w:rsidP="003E2397">
            <w:pPr>
              <w:spacing w:line="240" w:lineRule="auto"/>
              <w:ind w:firstLine="0"/>
              <w:jc w:val="left"/>
              <w:rPr>
                <w:szCs w:val="24"/>
              </w:rPr>
            </w:pPr>
            <w:r w:rsidRPr="002F4348">
              <w:rPr>
                <w:szCs w:val="24"/>
              </w:rPr>
              <w:t>8</w:t>
            </w:r>
          </w:p>
        </w:tc>
      </w:tr>
      <w:tr w:rsidR="00571482" w:rsidRPr="002F4348" w14:paraId="5291A56F"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28EBC27B" w14:textId="77777777" w:rsidR="00571482" w:rsidRPr="002F4348" w:rsidRDefault="00571482" w:rsidP="003E2397">
            <w:pPr>
              <w:spacing w:line="240" w:lineRule="auto"/>
              <w:ind w:firstLine="0"/>
              <w:jc w:val="left"/>
              <w:rPr>
                <w:szCs w:val="24"/>
              </w:rPr>
            </w:pPr>
            <w:r w:rsidRPr="002F4348">
              <w:rPr>
                <w:szCs w:val="24"/>
              </w:rPr>
              <w:t>Преднизолон</w:t>
            </w:r>
            <w:r w:rsidR="00D254F2" w:rsidRPr="002F4348">
              <w:rPr>
                <w:szCs w:val="24"/>
              </w:rPr>
              <w:t>**</w:t>
            </w:r>
          </w:p>
          <w:p w14:paraId="7790C25F" w14:textId="77777777" w:rsidR="000A6EAB" w:rsidRPr="002F4348" w:rsidRDefault="000A6EAB" w:rsidP="003E2397">
            <w:pPr>
              <w:spacing w:line="240" w:lineRule="auto"/>
              <w:ind w:firstLine="0"/>
              <w:jc w:val="left"/>
              <w:rPr>
                <w:szCs w:val="24"/>
              </w:rPr>
            </w:pPr>
            <w:r w:rsidRPr="002F4348">
              <w:rPr>
                <w:szCs w:val="24"/>
              </w:rPr>
              <w:t>Или</w:t>
            </w:r>
          </w:p>
          <w:p w14:paraId="077DA09D" w14:textId="77777777" w:rsidR="000A6EAB" w:rsidRPr="002F4348" w:rsidRDefault="000A6EAB" w:rsidP="003E2397">
            <w:pPr>
              <w:spacing w:line="240" w:lineRule="auto"/>
              <w:ind w:firstLine="0"/>
              <w:jc w:val="left"/>
              <w:rPr>
                <w:szCs w:val="24"/>
              </w:rPr>
            </w:pPr>
          </w:p>
          <w:p w14:paraId="7987624D" w14:textId="77777777" w:rsidR="000A6EAB" w:rsidRPr="002F4348" w:rsidRDefault="000A6EAB" w:rsidP="003E2397">
            <w:pPr>
              <w:spacing w:line="240" w:lineRule="auto"/>
              <w:ind w:firstLine="0"/>
              <w:jc w:val="left"/>
              <w:rPr>
                <w:szCs w:val="24"/>
              </w:rPr>
            </w:pPr>
          </w:p>
          <w:p w14:paraId="59D317D0" w14:textId="77777777" w:rsidR="000A6EAB" w:rsidRPr="002F4348" w:rsidRDefault="000A6EAB" w:rsidP="003E2397">
            <w:pPr>
              <w:spacing w:line="240" w:lineRule="auto"/>
              <w:ind w:firstLine="0"/>
              <w:jc w:val="left"/>
              <w:rPr>
                <w:szCs w:val="24"/>
              </w:rPr>
            </w:pPr>
          </w:p>
          <w:p w14:paraId="12455983" w14:textId="77777777" w:rsidR="000A6EAB" w:rsidRPr="002F4348" w:rsidRDefault="000A6EAB" w:rsidP="003E2397">
            <w:pPr>
              <w:spacing w:line="240" w:lineRule="auto"/>
              <w:ind w:firstLine="0"/>
              <w:jc w:val="left"/>
              <w:rPr>
                <w:szCs w:val="24"/>
              </w:rPr>
            </w:pPr>
          </w:p>
          <w:p w14:paraId="0987ACFE" w14:textId="77777777" w:rsidR="000A6EAB" w:rsidRPr="002F4348" w:rsidRDefault="000A6EAB" w:rsidP="003E2397">
            <w:pPr>
              <w:spacing w:line="240" w:lineRule="auto"/>
              <w:ind w:firstLine="0"/>
              <w:jc w:val="left"/>
              <w:rPr>
                <w:szCs w:val="24"/>
              </w:rPr>
            </w:pPr>
          </w:p>
          <w:p w14:paraId="35043ACE" w14:textId="77777777" w:rsidR="000A6EAB" w:rsidRPr="002F4348" w:rsidRDefault="000A6EAB" w:rsidP="003E2397">
            <w:pPr>
              <w:spacing w:line="240" w:lineRule="auto"/>
              <w:ind w:firstLine="0"/>
              <w:jc w:val="left"/>
              <w:rPr>
                <w:szCs w:val="24"/>
              </w:rPr>
            </w:pPr>
          </w:p>
          <w:p w14:paraId="7E50C2F4" w14:textId="77777777" w:rsidR="000A6EAB" w:rsidRPr="002F4348" w:rsidRDefault="000A6EAB" w:rsidP="003E2397">
            <w:pPr>
              <w:spacing w:line="240" w:lineRule="auto"/>
              <w:ind w:firstLine="0"/>
              <w:jc w:val="left"/>
              <w:rPr>
                <w:szCs w:val="24"/>
              </w:rPr>
            </w:pPr>
          </w:p>
          <w:p w14:paraId="7B540DD6" w14:textId="77777777" w:rsidR="000A6EAB" w:rsidRPr="002F4348" w:rsidRDefault="000A6EAB" w:rsidP="003E2397">
            <w:pPr>
              <w:spacing w:line="240" w:lineRule="auto"/>
              <w:ind w:firstLine="0"/>
              <w:jc w:val="left"/>
              <w:rPr>
                <w:szCs w:val="24"/>
              </w:rPr>
            </w:pPr>
            <w:r w:rsidRPr="002F4348">
              <w:rPr>
                <w:szCs w:val="24"/>
              </w:rPr>
              <w:t>Дексаметазон</w:t>
            </w:r>
            <w:r w:rsidR="004D11D3" w:rsidRPr="002F4348">
              <w:rPr>
                <w:szCs w:val="24"/>
              </w:rPr>
              <w:t>**</w:t>
            </w:r>
          </w:p>
        </w:tc>
        <w:tc>
          <w:tcPr>
            <w:tcW w:w="2339" w:type="dxa"/>
            <w:tcBorders>
              <w:top w:val="single" w:sz="4" w:space="0" w:color="auto"/>
              <w:left w:val="single" w:sz="4" w:space="0" w:color="auto"/>
              <w:bottom w:val="single" w:sz="4" w:space="0" w:color="auto"/>
              <w:right w:val="single" w:sz="4" w:space="0" w:color="auto"/>
            </w:tcBorders>
          </w:tcPr>
          <w:p w14:paraId="62A3CD0A" w14:textId="77777777" w:rsidR="00571482" w:rsidRPr="002F4348" w:rsidRDefault="00571482" w:rsidP="003E2397">
            <w:pPr>
              <w:spacing w:line="240" w:lineRule="auto"/>
              <w:ind w:firstLine="0"/>
              <w:jc w:val="left"/>
              <w:rPr>
                <w:szCs w:val="24"/>
                <w:vertAlign w:val="superscript"/>
              </w:rPr>
            </w:pPr>
            <w:r w:rsidRPr="002F4348">
              <w:rPr>
                <w:szCs w:val="24"/>
              </w:rPr>
              <w:t>40 мг/м</w:t>
            </w:r>
            <w:r w:rsidRPr="002F4348">
              <w:rPr>
                <w:szCs w:val="24"/>
                <w:vertAlign w:val="superscript"/>
              </w:rPr>
              <w:t>2</w:t>
            </w:r>
          </w:p>
          <w:p w14:paraId="40FDF40A" w14:textId="77777777" w:rsidR="000A6EAB" w:rsidRPr="002F4348" w:rsidRDefault="000A6EAB" w:rsidP="003E2397">
            <w:pPr>
              <w:spacing w:line="240" w:lineRule="auto"/>
              <w:ind w:firstLine="0"/>
              <w:jc w:val="left"/>
              <w:rPr>
                <w:szCs w:val="24"/>
                <w:vertAlign w:val="superscript"/>
              </w:rPr>
            </w:pPr>
          </w:p>
          <w:p w14:paraId="698803B0" w14:textId="77777777" w:rsidR="000A6EAB" w:rsidRPr="002F4348" w:rsidRDefault="000A6EAB" w:rsidP="003E2397">
            <w:pPr>
              <w:spacing w:line="240" w:lineRule="auto"/>
              <w:ind w:firstLine="0"/>
              <w:jc w:val="left"/>
              <w:rPr>
                <w:szCs w:val="24"/>
                <w:vertAlign w:val="superscript"/>
              </w:rPr>
            </w:pPr>
          </w:p>
          <w:p w14:paraId="220271E6" w14:textId="77777777" w:rsidR="000A6EAB" w:rsidRPr="002F4348" w:rsidRDefault="000A6EAB" w:rsidP="003E2397">
            <w:pPr>
              <w:spacing w:line="240" w:lineRule="auto"/>
              <w:ind w:firstLine="0"/>
              <w:jc w:val="left"/>
              <w:rPr>
                <w:szCs w:val="24"/>
                <w:vertAlign w:val="superscript"/>
              </w:rPr>
            </w:pPr>
          </w:p>
          <w:p w14:paraId="52D83ACD" w14:textId="77777777" w:rsidR="000A6EAB" w:rsidRPr="002F4348" w:rsidRDefault="000A6EAB" w:rsidP="003E2397">
            <w:pPr>
              <w:spacing w:line="240" w:lineRule="auto"/>
              <w:ind w:firstLine="0"/>
              <w:jc w:val="left"/>
              <w:rPr>
                <w:szCs w:val="24"/>
                <w:vertAlign w:val="superscript"/>
              </w:rPr>
            </w:pPr>
          </w:p>
          <w:p w14:paraId="4C54B7CB" w14:textId="77777777" w:rsidR="000A6EAB" w:rsidRPr="002F4348" w:rsidRDefault="000A6EAB" w:rsidP="003E2397">
            <w:pPr>
              <w:spacing w:line="240" w:lineRule="auto"/>
              <w:ind w:firstLine="0"/>
              <w:jc w:val="left"/>
              <w:rPr>
                <w:szCs w:val="24"/>
                <w:vertAlign w:val="superscript"/>
              </w:rPr>
            </w:pPr>
          </w:p>
          <w:p w14:paraId="691BC11C" w14:textId="77777777" w:rsidR="000A6EAB" w:rsidRPr="002F4348" w:rsidRDefault="000A6EAB" w:rsidP="003E2397">
            <w:pPr>
              <w:spacing w:line="240" w:lineRule="auto"/>
              <w:ind w:firstLine="0"/>
              <w:jc w:val="left"/>
              <w:rPr>
                <w:szCs w:val="24"/>
                <w:vertAlign w:val="superscript"/>
              </w:rPr>
            </w:pPr>
          </w:p>
          <w:p w14:paraId="68CC2B42" w14:textId="77777777" w:rsidR="000A6EAB" w:rsidRPr="002F4348" w:rsidRDefault="000A6EAB" w:rsidP="003E2397">
            <w:pPr>
              <w:spacing w:line="240" w:lineRule="auto"/>
              <w:ind w:firstLine="0"/>
              <w:jc w:val="left"/>
              <w:rPr>
                <w:szCs w:val="24"/>
                <w:vertAlign w:val="superscript"/>
              </w:rPr>
            </w:pPr>
          </w:p>
          <w:p w14:paraId="7BA465E1" w14:textId="77777777" w:rsidR="000A6EAB" w:rsidRPr="002F4348" w:rsidRDefault="000A6EAB" w:rsidP="003E2397">
            <w:pPr>
              <w:spacing w:line="240" w:lineRule="auto"/>
              <w:ind w:firstLine="0"/>
              <w:jc w:val="left"/>
              <w:rPr>
                <w:szCs w:val="24"/>
              </w:rPr>
            </w:pPr>
            <w:r w:rsidRPr="002F4348">
              <w:rPr>
                <w:szCs w:val="24"/>
                <w:vertAlign w:val="superscript"/>
              </w:rPr>
              <w:softHyphen/>
            </w:r>
            <w:r w:rsidRPr="002F4348">
              <w:rPr>
                <w:szCs w:val="24"/>
              </w:rPr>
              <w:t>2</w:t>
            </w:r>
          </w:p>
          <w:p w14:paraId="6CE55FF2" w14:textId="77777777" w:rsidR="000A6EAB" w:rsidRPr="002F4348" w:rsidRDefault="000A6EAB" w:rsidP="003E2397">
            <w:pPr>
              <w:spacing w:line="240" w:lineRule="auto"/>
              <w:ind w:firstLine="0"/>
              <w:jc w:val="left"/>
              <w:rPr>
                <w:szCs w:val="24"/>
              </w:rPr>
            </w:pPr>
            <w:r w:rsidRPr="002F4348">
              <w:rPr>
                <w:szCs w:val="24"/>
              </w:rPr>
              <w:t>0 мг</w:t>
            </w:r>
          </w:p>
        </w:tc>
        <w:tc>
          <w:tcPr>
            <w:tcW w:w="2339" w:type="dxa"/>
            <w:tcBorders>
              <w:top w:val="single" w:sz="4" w:space="0" w:color="auto"/>
              <w:left w:val="single" w:sz="4" w:space="0" w:color="auto"/>
              <w:bottom w:val="single" w:sz="4" w:space="0" w:color="auto"/>
              <w:right w:val="single" w:sz="4" w:space="0" w:color="auto"/>
            </w:tcBorders>
          </w:tcPr>
          <w:p w14:paraId="369EC6D1" w14:textId="77777777" w:rsidR="00571482" w:rsidRPr="002F4348" w:rsidRDefault="000A6EAB" w:rsidP="003E2397">
            <w:pPr>
              <w:spacing w:line="240" w:lineRule="auto"/>
              <w:ind w:firstLine="0"/>
              <w:jc w:val="left"/>
              <w:rPr>
                <w:szCs w:val="24"/>
              </w:rPr>
            </w:pPr>
            <w:r w:rsidRPr="002F4348">
              <w:rPr>
                <w:szCs w:val="24"/>
              </w:rPr>
              <w:t>В</w:t>
            </w:r>
            <w:r w:rsidR="00571482" w:rsidRPr="002F4348">
              <w:rPr>
                <w:szCs w:val="24"/>
              </w:rPr>
              <w:t>нутрь</w:t>
            </w:r>
          </w:p>
          <w:p w14:paraId="043E1C2B" w14:textId="77777777" w:rsidR="000A6EAB" w:rsidRPr="002F4348" w:rsidRDefault="000A6EAB" w:rsidP="003E2397">
            <w:pPr>
              <w:spacing w:line="240" w:lineRule="auto"/>
              <w:ind w:firstLine="0"/>
              <w:jc w:val="left"/>
              <w:rPr>
                <w:szCs w:val="24"/>
              </w:rPr>
            </w:pPr>
          </w:p>
          <w:p w14:paraId="5DCB41BC" w14:textId="77777777" w:rsidR="000A6EAB" w:rsidRPr="002F4348" w:rsidRDefault="000A6EAB" w:rsidP="003E2397">
            <w:pPr>
              <w:spacing w:line="240" w:lineRule="auto"/>
              <w:ind w:firstLine="0"/>
              <w:jc w:val="left"/>
              <w:rPr>
                <w:szCs w:val="24"/>
              </w:rPr>
            </w:pPr>
          </w:p>
          <w:p w14:paraId="59A5B844" w14:textId="77777777" w:rsidR="000A6EAB" w:rsidRPr="002F4348" w:rsidRDefault="000A6EAB" w:rsidP="003E2397">
            <w:pPr>
              <w:spacing w:line="240" w:lineRule="auto"/>
              <w:ind w:firstLine="0"/>
              <w:jc w:val="left"/>
              <w:rPr>
                <w:szCs w:val="24"/>
              </w:rPr>
            </w:pPr>
          </w:p>
          <w:p w14:paraId="459AE2EB" w14:textId="77777777" w:rsidR="000A6EAB" w:rsidRPr="002F4348" w:rsidRDefault="000A6EAB" w:rsidP="003E2397">
            <w:pPr>
              <w:spacing w:line="240" w:lineRule="auto"/>
              <w:ind w:firstLine="0"/>
              <w:jc w:val="left"/>
              <w:rPr>
                <w:szCs w:val="24"/>
              </w:rPr>
            </w:pPr>
          </w:p>
          <w:p w14:paraId="62001F85" w14:textId="77777777" w:rsidR="000A6EAB" w:rsidRPr="002F4348" w:rsidRDefault="000A6EAB" w:rsidP="003E2397">
            <w:pPr>
              <w:spacing w:line="240" w:lineRule="auto"/>
              <w:ind w:firstLine="0"/>
              <w:jc w:val="left"/>
              <w:rPr>
                <w:szCs w:val="24"/>
              </w:rPr>
            </w:pPr>
          </w:p>
          <w:p w14:paraId="39C61C77" w14:textId="77777777" w:rsidR="000A6EAB" w:rsidRPr="002F4348" w:rsidRDefault="000A6EAB" w:rsidP="003E2397">
            <w:pPr>
              <w:spacing w:line="240" w:lineRule="auto"/>
              <w:ind w:firstLine="0"/>
              <w:jc w:val="left"/>
              <w:rPr>
                <w:szCs w:val="24"/>
              </w:rPr>
            </w:pPr>
          </w:p>
          <w:p w14:paraId="003ED155" w14:textId="77777777" w:rsidR="000A6EAB" w:rsidRPr="002F4348" w:rsidRDefault="000A6EAB" w:rsidP="003E2397">
            <w:pPr>
              <w:spacing w:line="240" w:lineRule="auto"/>
              <w:ind w:firstLine="0"/>
              <w:jc w:val="left"/>
              <w:rPr>
                <w:szCs w:val="24"/>
              </w:rPr>
            </w:pPr>
          </w:p>
          <w:p w14:paraId="04F16407" w14:textId="77777777" w:rsidR="000A6EAB" w:rsidRPr="002F4348" w:rsidRDefault="000A6EAB" w:rsidP="003E2397">
            <w:pPr>
              <w:spacing w:line="240" w:lineRule="auto"/>
              <w:ind w:firstLine="0"/>
              <w:jc w:val="left"/>
              <w:rPr>
                <w:szCs w:val="24"/>
              </w:rPr>
            </w:pPr>
          </w:p>
          <w:p w14:paraId="3B971239" w14:textId="77777777" w:rsidR="000A6EAB" w:rsidRPr="002F4348" w:rsidRDefault="000A6EAB" w:rsidP="003E2397">
            <w:pPr>
              <w:spacing w:line="240" w:lineRule="auto"/>
              <w:ind w:firstLine="0"/>
              <w:jc w:val="left"/>
              <w:rPr>
                <w:szCs w:val="24"/>
              </w:rPr>
            </w:pPr>
            <w:r w:rsidRPr="002F4348">
              <w:rPr>
                <w:szCs w:val="24"/>
              </w:rPr>
              <w:t>В/в</w:t>
            </w:r>
          </w:p>
        </w:tc>
        <w:tc>
          <w:tcPr>
            <w:tcW w:w="2339" w:type="dxa"/>
            <w:tcBorders>
              <w:top w:val="single" w:sz="4" w:space="0" w:color="auto"/>
              <w:left w:val="single" w:sz="4" w:space="0" w:color="auto"/>
              <w:bottom w:val="single" w:sz="4" w:space="0" w:color="auto"/>
              <w:right w:val="single" w:sz="4" w:space="0" w:color="auto"/>
            </w:tcBorders>
          </w:tcPr>
          <w:p w14:paraId="2DA2E6F7" w14:textId="77777777" w:rsidR="00571482" w:rsidRPr="002F4348" w:rsidRDefault="00571482" w:rsidP="003E2397">
            <w:pPr>
              <w:spacing w:line="240" w:lineRule="auto"/>
              <w:ind w:firstLine="0"/>
              <w:jc w:val="left"/>
              <w:rPr>
                <w:szCs w:val="24"/>
              </w:rPr>
            </w:pPr>
            <w:r w:rsidRPr="002F4348">
              <w:rPr>
                <w:szCs w:val="24"/>
              </w:rPr>
              <w:t>1-7</w:t>
            </w:r>
          </w:p>
          <w:p w14:paraId="5D8365A6" w14:textId="77777777" w:rsidR="00571482" w:rsidRPr="002F4348" w:rsidRDefault="00571482" w:rsidP="003E2397">
            <w:pPr>
              <w:spacing w:line="240" w:lineRule="auto"/>
              <w:ind w:firstLine="0"/>
              <w:jc w:val="left"/>
              <w:rPr>
                <w:szCs w:val="24"/>
              </w:rPr>
            </w:pPr>
            <w:r w:rsidRPr="002F4348">
              <w:rPr>
                <w:szCs w:val="24"/>
              </w:rPr>
              <w:t>отмена преднизолона</w:t>
            </w:r>
            <w:r w:rsidR="004D11D3" w:rsidRPr="002F4348">
              <w:rPr>
                <w:szCs w:val="24"/>
              </w:rPr>
              <w:t>**</w:t>
            </w:r>
            <w:r w:rsidRPr="002F4348">
              <w:rPr>
                <w:szCs w:val="24"/>
              </w:rPr>
              <w:t xml:space="preserve"> в один день на 8-й день цикла. При возникновении синдрома отмены – в 3 дня</w:t>
            </w:r>
          </w:p>
          <w:p w14:paraId="14DF7BEE" w14:textId="77777777" w:rsidR="000A6EAB" w:rsidRPr="002F4348" w:rsidRDefault="000A6EAB" w:rsidP="003E2397">
            <w:pPr>
              <w:spacing w:line="240" w:lineRule="auto"/>
              <w:ind w:firstLine="0"/>
              <w:jc w:val="left"/>
              <w:rPr>
                <w:szCs w:val="24"/>
              </w:rPr>
            </w:pPr>
          </w:p>
          <w:p w14:paraId="5CA21F25" w14:textId="77777777" w:rsidR="000A6EAB" w:rsidRPr="002F4348" w:rsidRDefault="000A6EAB" w:rsidP="003E2397">
            <w:pPr>
              <w:spacing w:line="240" w:lineRule="auto"/>
              <w:ind w:firstLine="0"/>
              <w:jc w:val="left"/>
              <w:rPr>
                <w:szCs w:val="24"/>
              </w:rPr>
            </w:pPr>
            <w:r w:rsidRPr="002F4348">
              <w:rPr>
                <w:szCs w:val="24"/>
              </w:rPr>
              <w:t>1-3</w:t>
            </w:r>
          </w:p>
        </w:tc>
      </w:tr>
      <w:tr w:rsidR="00571482" w:rsidRPr="002F4348" w14:paraId="1513B176"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388468BE" w14:textId="77777777" w:rsidR="00571482" w:rsidRPr="002F4348" w:rsidRDefault="00571482" w:rsidP="003E2397">
            <w:pPr>
              <w:spacing w:line="240" w:lineRule="auto"/>
              <w:ind w:firstLine="0"/>
              <w:jc w:val="left"/>
              <w:rPr>
                <w:szCs w:val="24"/>
              </w:rPr>
            </w:pPr>
            <w:r w:rsidRPr="002F4348">
              <w:rPr>
                <w:szCs w:val="24"/>
              </w:rPr>
              <w:t>Г-КСФ</w:t>
            </w:r>
          </w:p>
        </w:tc>
        <w:tc>
          <w:tcPr>
            <w:tcW w:w="4678" w:type="dxa"/>
            <w:gridSpan w:val="2"/>
            <w:tcBorders>
              <w:top w:val="single" w:sz="4" w:space="0" w:color="auto"/>
              <w:left w:val="single" w:sz="4" w:space="0" w:color="auto"/>
              <w:bottom w:val="single" w:sz="4" w:space="0" w:color="auto"/>
              <w:right w:val="single" w:sz="4" w:space="0" w:color="auto"/>
            </w:tcBorders>
          </w:tcPr>
          <w:p w14:paraId="4AB31D8F" w14:textId="77777777" w:rsidR="00571482" w:rsidRPr="002F4348" w:rsidRDefault="00571482" w:rsidP="003E2397">
            <w:pPr>
              <w:spacing w:line="240" w:lineRule="auto"/>
              <w:ind w:firstLine="0"/>
              <w:jc w:val="left"/>
              <w:rPr>
                <w:szCs w:val="24"/>
              </w:rPr>
            </w:pPr>
            <w:r w:rsidRPr="002F4348">
              <w:rPr>
                <w:szCs w:val="24"/>
              </w:rPr>
              <w:t>Согласно инструкции по медицинскому применению</w:t>
            </w:r>
          </w:p>
        </w:tc>
        <w:tc>
          <w:tcPr>
            <w:tcW w:w="2339" w:type="dxa"/>
            <w:tcBorders>
              <w:top w:val="single" w:sz="4" w:space="0" w:color="auto"/>
              <w:left w:val="single" w:sz="4" w:space="0" w:color="auto"/>
              <w:bottom w:val="single" w:sz="4" w:space="0" w:color="auto"/>
              <w:right w:val="single" w:sz="4" w:space="0" w:color="auto"/>
            </w:tcBorders>
          </w:tcPr>
          <w:p w14:paraId="5481DD4D" w14:textId="77777777" w:rsidR="00571482" w:rsidRPr="002F4348" w:rsidRDefault="00571482" w:rsidP="003E2397">
            <w:pPr>
              <w:spacing w:line="240" w:lineRule="auto"/>
              <w:ind w:firstLine="0"/>
              <w:jc w:val="left"/>
              <w:rPr>
                <w:szCs w:val="24"/>
              </w:rPr>
            </w:pPr>
            <w:r w:rsidRPr="002F4348">
              <w:rPr>
                <w:szCs w:val="24"/>
              </w:rPr>
              <w:t>9-13 дни в плановом порядке независимо от количества лейкоцитов</w:t>
            </w:r>
          </w:p>
        </w:tc>
      </w:tr>
      <w:tr w:rsidR="00571482" w:rsidRPr="002F4348" w14:paraId="1A7D883D" w14:textId="77777777" w:rsidTr="003E2397">
        <w:tc>
          <w:tcPr>
            <w:tcW w:w="9356" w:type="dxa"/>
            <w:gridSpan w:val="4"/>
            <w:tcBorders>
              <w:top w:val="single" w:sz="4" w:space="0" w:color="auto"/>
              <w:left w:val="single" w:sz="4" w:space="0" w:color="auto"/>
              <w:bottom w:val="single" w:sz="4" w:space="0" w:color="auto"/>
              <w:right w:val="single" w:sz="4" w:space="0" w:color="auto"/>
            </w:tcBorders>
            <w:vAlign w:val="center"/>
          </w:tcPr>
          <w:p w14:paraId="2F8BB138" w14:textId="77777777" w:rsidR="00571482" w:rsidRPr="002F4348" w:rsidRDefault="00571482" w:rsidP="003E2397">
            <w:pPr>
              <w:spacing w:line="240" w:lineRule="auto"/>
              <w:ind w:firstLine="0"/>
              <w:jc w:val="left"/>
              <w:rPr>
                <w:szCs w:val="24"/>
              </w:rPr>
            </w:pPr>
            <w:r w:rsidRPr="002F4348">
              <w:rPr>
                <w:szCs w:val="24"/>
              </w:rPr>
              <w:t>Лечение возобновляется на 15 день</w:t>
            </w:r>
          </w:p>
          <w:p w14:paraId="1D1A7169" w14:textId="77777777" w:rsidR="0062583E" w:rsidRPr="002F4348" w:rsidRDefault="0062583E">
            <w:pPr>
              <w:spacing w:line="240" w:lineRule="auto"/>
              <w:ind w:firstLine="0"/>
              <w:jc w:val="left"/>
              <w:rPr>
                <w:szCs w:val="24"/>
              </w:rPr>
            </w:pPr>
            <w:r w:rsidRPr="002F4348">
              <w:rPr>
                <w:bCs/>
              </w:rPr>
              <w:t xml:space="preserve">Накануне и с первого дня цикла рекомендуется увеличивают объем потребляемой жидкости до 2 литров в день. При большой опухолевой массе каждому </w:t>
            </w:r>
            <w:r w:rsidR="004D11D3" w:rsidRPr="002F4348">
              <w:rPr>
                <w:bCs/>
              </w:rPr>
              <w:t xml:space="preserve">пациенту </w:t>
            </w:r>
            <w:r w:rsidRPr="002F4348">
              <w:rPr>
                <w:bCs/>
              </w:rPr>
              <w:t>назначают аллопуринол</w:t>
            </w:r>
            <w:r w:rsidR="004D11D3" w:rsidRPr="002F4348">
              <w:rPr>
                <w:bCs/>
              </w:rPr>
              <w:t>**</w:t>
            </w:r>
            <w:r w:rsidRPr="002F4348">
              <w:rPr>
                <w:bCs/>
              </w:rPr>
              <w:t xml:space="preserve"> в дозе 300мг/сутки и в первые 3 дня цикла назначают гидратирующую терапию в объеме до 3 л/м</w:t>
            </w:r>
            <w:r w:rsidRPr="002F4348">
              <w:rPr>
                <w:bCs/>
                <w:vertAlign w:val="superscript"/>
              </w:rPr>
              <w:t xml:space="preserve">2 </w:t>
            </w:r>
            <w:r w:rsidRPr="002F4348">
              <w:rPr>
                <w:bCs/>
              </w:rPr>
              <w:t xml:space="preserve">при строгом контроле за диурезом и электролитными показателями </w:t>
            </w:r>
            <w:r w:rsidRPr="002F4348">
              <w:rPr>
                <w:bCs/>
              </w:rPr>
              <w:fldChar w:fldCharType="begin" w:fldLock="1"/>
            </w:r>
            <w:r w:rsidR="00A850F7" w:rsidRPr="002F4348">
              <w:rPr>
                <w:bCs/>
              </w:rPr>
              <w:instrText>ADDIN CSL_CITATION {"citationItems":[{"id":"ITEM-1","itemData":{"author":[{"dropping-particle":"","family":"Моисеева","given":"Т.Н.","non-dropping-particle":"","parse-names":false,"suffix":""},{"dropping-particle":"","family":"Аль-Ради","given":"Л.С.","non-dropping-particle":"","parse-names":false,"suffix":""},{"dropping-particle":"","family":"Дорохина","given":"Е.И.","non-dropping-particle":"","parse-names":false,"suffix":""}],"container-title":"Алгоритмы диагностики и протоколы лечения заболеваний системы крови. НМИЦ Гематологии. Под ред. В.Г. Савченко.","id":"ITEM-1","issued":{"date-parts":[["2018"]]},"page":"39-56","title":"Протокол диагностики и лечения классической лимфомы Ходжкина","type":"chapter"},"uris":["http://www.mendeley.com/documents/?uuid=fb98dfe5-a71f-484e-9a5d-824d96c5ea87","http://www.mendeley.com/documents/?uuid=1e9d076e-e89a-457c-b607-718bf00380e7"]}],"mendeley":{"formattedCitation":"[12]","plainTextFormattedCitation":"[12]","previouslyFormattedCitation":"[12]"},"properties":{"noteIndex":0},"schema":"https://github.com/citation-style-language/schema/raw/master/csl-citation.json"}</w:instrText>
            </w:r>
            <w:r w:rsidRPr="002F4348">
              <w:rPr>
                <w:bCs/>
              </w:rPr>
              <w:fldChar w:fldCharType="separate"/>
            </w:r>
            <w:r w:rsidR="00BA1BF7" w:rsidRPr="002F4348">
              <w:rPr>
                <w:bCs/>
                <w:noProof/>
              </w:rPr>
              <w:t>[12]</w:t>
            </w:r>
            <w:r w:rsidRPr="002F4348">
              <w:rPr>
                <w:bCs/>
              </w:rPr>
              <w:fldChar w:fldCharType="end"/>
            </w:r>
          </w:p>
        </w:tc>
      </w:tr>
    </w:tbl>
    <w:p w14:paraId="5CE03D63" w14:textId="77777777" w:rsidR="00571482" w:rsidRPr="002F4348" w:rsidRDefault="00571482" w:rsidP="002648A0">
      <w:pPr>
        <w:ind w:left="709" w:firstLine="0"/>
      </w:pPr>
    </w:p>
    <w:tbl>
      <w:tblPr>
        <w:tblStyle w:val="aff9"/>
        <w:tblW w:w="9356" w:type="dxa"/>
        <w:tblInd w:w="-5" w:type="dxa"/>
        <w:tblLayout w:type="fixed"/>
        <w:tblLook w:val="04A0" w:firstRow="1" w:lastRow="0" w:firstColumn="1" w:lastColumn="0" w:noHBand="0" w:noVBand="1"/>
      </w:tblPr>
      <w:tblGrid>
        <w:gridCol w:w="2339"/>
        <w:gridCol w:w="2339"/>
        <w:gridCol w:w="2339"/>
        <w:gridCol w:w="2339"/>
      </w:tblGrid>
      <w:tr w:rsidR="00571482" w:rsidRPr="002F4348" w14:paraId="0E3E7223" w14:textId="77777777" w:rsidTr="003E2397">
        <w:trPr>
          <w:trHeight w:val="329"/>
        </w:trPr>
        <w:tc>
          <w:tcPr>
            <w:tcW w:w="9356" w:type="dxa"/>
            <w:gridSpan w:val="4"/>
            <w:tcBorders>
              <w:top w:val="nil"/>
              <w:left w:val="nil"/>
              <w:bottom w:val="single" w:sz="4" w:space="0" w:color="auto"/>
              <w:right w:val="nil"/>
            </w:tcBorders>
          </w:tcPr>
          <w:p w14:paraId="219FE5C5" w14:textId="77777777" w:rsidR="00571482" w:rsidRPr="002F4348" w:rsidRDefault="00571482" w:rsidP="003E2397">
            <w:pPr>
              <w:spacing w:line="240" w:lineRule="auto"/>
              <w:ind w:firstLine="0"/>
              <w:jc w:val="left"/>
              <w:rPr>
                <w:b/>
                <w:bCs/>
                <w:szCs w:val="24"/>
              </w:rPr>
            </w:pPr>
            <w:r w:rsidRPr="002F4348">
              <w:rPr>
                <w:b/>
                <w:bCs/>
                <w:szCs w:val="24"/>
                <w:lang w:val="en-US"/>
              </w:rPr>
              <w:t>BV-AVD</w:t>
            </w:r>
            <w:r w:rsidR="00A850F7" w:rsidRPr="002F4348">
              <w:rPr>
                <w:b/>
                <w:bCs/>
                <w:szCs w:val="24"/>
              </w:rPr>
              <w:t xml:space="preserve"> </w:t>
            </w:r>
            <w:r w:rsidR="00A850F7" w:rsidRPr="002F4348">
              <w:fldChar w:fldCharType="begin" w:fldLock="1"/>
            </w:r>
            <w:r w:rsidR="00A850F7" w:rsidRPr="002F4348">
              <w:instrText>ADDIN CSL_CITATION {"citationItems":[{"id":"ITEM-1","itemData":{"DOI":"10.1056/NEJMoa1708984","ISSN":"15334406","abstract":"BACKGROUND Brentuximab vedotin is an anti-CD30 antibody-drug conjugate that has been approved for relapsed and refractory Hodgkin's lymphoma. METHODS We conducted an open-label, multicenter, randomized phase 3 trial involving patients with previously untreated stage III or IV classic Hodgkin's lymphoma, in which 664 were assigned to receive brentuximab vedotin, doxorubicin, vinblastine, and dacarbazine (A+AVD) and 670 were assigned to receive doxorubicin, bleomycin, vinblastine, and dacarbazine (ABVD). The primary end point was modified progression-free survival (the time to progression, death, or noncomplete response and use of subsequent anticancer therapy) as adjudicated by an independent review committee. The key secondary end point was overall survival. RESULTS At a median follow-up of 24.9 months, 2-year modified progression-free survival rates in the A+AVD and ABVD groups were 82.1% (95% confidence interval [CI], 78.7 to 85.0) and 77.2% (95% CI, 73.7 to 80.4), respectively, a difference of 4.9 percentage points (hazard ratio for an event of progression, death, or modified progression, 0.77; 95% CI, 0.60 to 0.98; P = 0.03). There were 28 deaths with A+AVD and 39 with ABVD (hazard ratio for interim overall survival, 0.72 [95% CI, 0.44 to 1.17]; P = 0.19). All secondary efficacy end points trended in favor of A+AVD. Neutropenia occurred in 58% of the patients receiving A+AVD and in 45% of those receiving ABVD; in the A+AVD group, the rate of febrile neutropenia was lower among the 83 patients who received primary prophylaxis with granulocyte colony-stimulating factor than among those who did not (11% vs. 21%). Peripheral neuropathy occurred in 67% of patients in the A+AVD group and in 43% of patients in the ABVD group; 67% of patients in the A+AVD group who had peripheral neuropathy had resolution or improvement at the last follow-up visit. Pulmonary toxicity of grade 3 or higher was reported in less than 1% of patients receiving A+AVD and in 3% of those receiving ABVD. Among the deaths that occurred during treatment, 7 of 9 in the A+AVD group were associated with neutropenia and 11 of 13 in the ABVD group were associated with pulmonary-related toxicity. CONCLUSIONS A+AVD had superior efficacy to ABVD in the treatment of patients with advanced-stage Hodgkin's lymphoma, with a 4.9 percentage-point lower combined risk of progression, death, or noncomplete response and use of subsequent anticancer therapy at 2 years. (Funded by Millennium Pharmaceutica…","author":[{"dropping-particle":"","family":"Connors","given":"J. M.","non-dropping-particle":"","parse-names":false,"suffix":""},{"dropping-particle":"","family":"Jurczak","given":"W.","non-dropping-particle":"","parse-names":false,"suffix":""},{"dropping-particle":"","family":"Straus","given":"D. J.","non-dropping-particle":"","parse-names":false,"suffix":""},{"dropping-particle":"","family":"Ansell","given":"S. M.","non-dropping-particle":"","parse-names":false,"suffix":""},{"dropping-particle":"","family":"Kim","given":"W. S.","non-dropping-particle":"","parse-names":false,"suffix":""},{"dropping-particle":"","family":"Gallamini","given":"A.","non-dropping-particle":"","parse-names":false,"suffix":""},{"dropping-particle":"","family":"Younes","given":"A.","non-dropping-particle":"","parse-names":false,"suffix":""},{"dropping-particle":"","family":"Alekseev","given":"S.","non-dropping-particle":"","parse-names":false,"suffix":""},{"dropping-particle":"","family":"Illés","given":"A.","non-dropping-particle":"","parse-names":false,"suffix":""},{"dropping-particle":"","family":"Picardi","given":"M.","non-dropping-particle":"","parse-names":false,"suffix":""},{"dropping-particle":"","family":"Lech-Maranda","given":"E.","non-dropping-particle":"","parse-names":false,"suffix":""},{"dropping-particle":"","family":"Oki","given":"Y.","non-dropping-particle":"","parse-names":false,"suffix":""},{"dropping-particle":"","family":"Feldman","given":"T.","non-dropping-particle":"","parse-names":false,"suffix":""},{"dropping-particle":"","family":"Smolewski","given":"P.","non-dropping-particle":"","parse-names":false,"suffix":""},{"dropping-particle":"","family":"Savage","given":"K. J.","non-dropping-particle":"","parse-names":false,"suffix":""},{"dropping-particle":"","family":"Bartlett","given":"N. L.","non-dropping-particle":"","parse-names":false,"suffix":""},{"dropping-particle":"","family":"Walewski","given":"J.","non-dropping-particle":"","parse-names":false,"suffix":""},{"dropping-particle":"","family":"Chen","given":"R.","non-dropping-particle":"","parse-names":false,"suffix":""},{"dropping-particle":"","family":"Ramchandren","given":"R.","non-dropping-particle":"","parse-names":false,"suffix":""},{"dropping-particle":"","family":"Zinzani","given":"P. L.","non-dropping-particle":"","parse-names":false,"suffix":""},{"dropping-particle":"","family":"Cunningham","given":"D.","non-dropping-particle":"","parse-names":false,"suffix":""},{"dropping-particle":"","family":"Rosta","given":"A.","non-dropping-particle":"","parse-names":false,"suffix":""},{"dropping-particle":"","family":"Josephson","given":"N. C.","non-dropping-particle":"","parse-names":false,"suffix":""},{"dropping-particle":"","family":"Song","given":"E.","non-dropping-particle":"","parse-names":false,"suffix":""},{"dropping-particle":"","family":"Sachs","given":"J.","non-dropping-particle":"","parse-names":false,"suffix":""},{"dropping-particle":"","family":"Liu","given":"R.","non-dropping-particle":"","parse-names":false,"suffix":""},{"dropping-particle":"","family":"Jolin","given":"H. A.","non-dropping-particle":"","parse-names":false,"suffix":""},{"dropping-particle":"","family":"Huebner","given":"D.","non-dropping-particle":"","parse-names":false,"suffix":""},{"dropping-particle":"","family":"Radford","given":"J.","non-dropping-particle":"","parse-names":false,"suffix":""}],"container-title":"New England Journal of Medicine","id":"ITEM-1","issue":"4","issued":{"date-parts":[["2018"]]},"page":"331-344","title":"Brentuximab vedotin with chemotherapy for stage III or IV Hodgkin's lymphoma","type":"article-journal","volume":"378"},"uris":["http://www.mendeley.com/documents/?uuid=b8a50975-3bc9-3527-97c2-baefe81a2e85","http://www.mendeley.com/documents/?uuid=368249c3-45ad-4e1a-853c-59a9a276b586"]}],"mendeley":{"formattedCitation":"[30]","plainTextFormattedCitation":"[30]","previouslyFormattedCitation":"[30]"},"properties":{"noteIndex":0},"schema":"https://github.com/citation-style-language/schema/raw/master/csl-citation.json"}</w:instrText>
            </w:r>
            <w:r w:rsidR="00A850F7" w:rsidRPr="002F4348">
              <w:fldChar w:fldCharType="separate"/>
            </w:r>
            <w:r w:rsidR="00A850F7" w:rsidRPr="002F4348">
              <w:rPr>
                <w:noProof/>
              </w:rPr>
              <w:t>[30]</w:t>
            </w:r>
            <w:r w:rsidR="00A850F7" w:rsidRPr="002F4348">
              <w:fldChar w:fldCharType="end"/>
            </w:r>
          </w:p>
        </w:tc>
      </w:tr>
      <w:tr w:rsidR="00571482" w:rsidRPr="002F4348" w14:paraId="4CA26F15"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hideMark/>
          </w:tcPr>
          <w:p w14:paraId="0CAD6BB4" w14:textId="77777777" w:rsidR="00571482" w:rsidRPr="002F4348" w:rsidRDefault="00571482" w:rsidP="003E2397">
            <w:pPr>
              <w:spacing w:line="240" w:lineRule="auto"/>
              <w:ind w:firstLine="0"/>
              <w:jc w:val="left"/>
              <w:rPr>
                <w:szCs w:val="24"/>
              </w:rPr>
            </w:pPr>
            <w:r w:rsidRPr="002F4348">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74099AB3" w14:textId="77777777" w:rsidR="00571482" w:rsidRPr="002F4348" w:rsidRDefault="00571482" w:rsidP="003E2397">
            <w:pPr>
              <w:spacing w:line="240" w:lineRule="auto"/>
              <w:ind w:firstLine="0"/>
              <w:jc w:val="left"/>
              <w:rPr>
                <w:szCs w:val="24"/>
              </w:rPr>
            </w:pPr>
            <w:r w:rsidRPr="002F4348">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2F80BBB7" w14:textId="77777777" w:rsidR="00571482" w:rsidRPr="002F4348" w:rsidRDefault="00571482" w:rsidP="003E2397">
            <w:pPr>
              <w:spacing w:line="240" w:lineRule="auto"/>
              <w:ind w:firstLine="0"/>
              <w:jc w:val="left"/>
              <w:rPr>
                <w:szCs w:val="24"/>
              </w:rPr>
            </w:pPr>
            <w:r w:rsidRPr="002F4348">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78AE2A87" w14:textId="77777777" w:rsidR="00571482" w:rsidRPr="002F4348" w:rsidRDefault="00571482" w:rsidP="003E2397">
            <w:pPr>
              <w:spacing w:line="240" w:lineRule="auto"/>
              <w:ind w:firstLine="0"/>
              <w:jc w:val="left"/>
              <w:rPr>
                <w:szCs w:val="24"/>
              </w:rPr>
            </w:pPr>
            <w:r w:rsidRPr="002F4348">
              <w:rPr>
                <w:szCs w:val="24"/>
              </w:rPr>
              <w:t>Дни введения</w:t>
            </w:r>
          </w:p>
        </w:tc>
      </w:tr>
      <w:tr w:rsidR="00571482" w:rsidRPr="002F4348" w14:paraId="5D5875C0"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0E8C6428" w14:textId="77777777" w:rsidR="00571482" w:rsidRPr="002F4348" w:rsidRDefault="00571482" w:rsidP="003E2397">
            <w:pPr>
              <w:spacing w:line="240" w:lineRule="auto"/>
              <w:ind w:firstLine="0"/>
              <w:jc w:val="left"/>
              <w:rPr>
                <w:szCs w:val="24"/>
              </w:rPr>
            </w:pPr>
            <w:r w:rsidRPr="002F4348">
              <w:rPr>
                <w:szCs w:val="24"/>
              </w:rPr>
              <w:t>Брентуксимаб ведотин</w:t>
            </w:r>
            <w:r w:rsidR="00D254F2" w:rsidRPr="002F4348">
              <w:rPr>
                <w:szCs w:val="24"/>
              </w:rPr>
              <w:t>**</w:t>
            </w:r>
          </w:p>
        </w:tc>
        <w:tc>
          <w:tcPr>
            <w:tcW w:w="2339" w:type="dxa"/>
            <w:tcBorders>
              <w:top w:val="single" w:sz="4" w:space="0" w:color="auto"/>
              <w:left w:val="single" w:sz="4" w:space="0" w:color="auto"/>
              <w:bottom w:val="single" w:sz="4" w:space="0" w:color="auto"/>
              <w:right w:val="single" w:sz="4" w:space="0" w:color="auto"/>
            </w:tcBorders>
          </w:tcPr>
          <w:p w14:paraId="3AEAF8BF" w14:textId="77777777" w:rsidR="00571482" w:rsidRPr="002F4348" w:rsidRDefault="00571482" w:rsidP="003E2397">
            <w:pPr>
              <w:spacing w:line="240" w:lineRule="auto"/>
              <w:ind w:firstLine="0"/>
              <w:jc w:val="left"/>
              <w:rPr>
                <w:szCs w:val="24"/>
              </w:rPr>
            </w:pPr>
            <w:r w:rsidRPr="002F4348">
              <w:rPr>
                <w:szCs w:val="24"/>
              </w:rPr>
              <w:t>1,2 мг/кг</w:t>
            </w:r>
          </w:p>
        </w:tc>
        <w:tc>
          <w:tcPr>
            <w:tcW w:w="2339" w:type="dxa"/>
            <w:tcBorders>
              <w:top w:val="single" w:sz="4" w:space="0" w:color="auto"/>
              <w:left w:val="single" w:sz="4" w:space="0" w:color="auto"/>
              <w:bottom w:val="single" w:sz="4" w:space="0" w:color="auto"/>
              <w:right w:val="single" w:sz="4" w:space="0" w:color="auto"/>
            </w:tcBorders>
          </w:tcPr>
          <w:p w14:paraId="6355834A" w14:textId="77777777" w:rsidR="00571482" w:rsidRPr="002F4348" w:rsidRDefault="00571482" w:rsidP="003E2397">
            <w:pPr>
              <w:spacing w:line="240" w:lineRule="auto"/>
              <w:ind w:firstLine="0"/>
              <w:jc w:val="left"/>
              <w:rPr>
                <w:szCs w:val="24"/>
              </w:rPr>
            </w:pPr>
            <w:r w:rsidRPr="002F4348">
              <w:rPr>
                <w:szCs w:val="24"/>
              </w:rPr>
              <w:t>в/в инфузия 30 минут через 1 час после завершения введения AVD</w:t>
            </w:r>
          </w:p>
        </w:tc>
        <w:tc>
          <w:tcPr>
            <w:tcW w:w="2339" w:type="dxa"/>
            <w:tcBorders>
              <w:top w:val="single" w:sz="4" w:space="0" w:color="auto"/>
              <w:left w:val="single" w:sz="4" w:space="0" w:color="auto"/>
              <w:bottom w:val="single" w:sz="4" w:space="0" w:color="auto"/>
              <w:right w:val="single" w:sz="4" w:space="0" w:color="auto"/>
            </w:tcBorders>
          </w:tcPr>
          <w:p w14:paraId="629A87CC" w14:textId="77777777" w:rsidR="00571482" w:rsidRPr="002F4348" w:rsidRDefault="00571482" w:rsidP="003E2397">
            <w:pPr>
              <w:spacing w:line="240" w:lineRule="auto"/>
              <w:ind w:firstLine="0"/>
              <w:jc w:val="left"/>
              <w:rPr>
                <w:szCs w:val="24"/>
              </w:rPr>
            </w:pPr>
            <w:r w:rsidRPr="002F4348">
              <w:rPr>
                <w:szCs w:val="24"/>
              </w:rPr>
              <w:t>1, 15</w:t>
            </w:r>
          </w:p>
        </w:tc>
      </w:tr>
      <w:tr w:rsidR="00571482" w:rsidRPr="002F4348" w14:paraId="70B28775"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hideMark/>
          </w:tcPr>
          <w:p w14:paraId="25AA1C05" w14:textId="77777777" w:rsidR="00571482" w:rsidRPr="002F4348" w:rsidRDefault="00571482" w:rsidP="003E2397">
            <w:pPr>
              <w:spacing w:line="240" w:lineRule="auto"/>
              <w:ind w:firstLine="0"/>
              <w:jc w:val="left"/>
              <w:rPr>
                <w:szCs w:val="24"/>
              </w:rPr>
            </w:pPr>
            <w:r w:rsidRPr="002F4348">
              <w:rPr>
                <w:szCs w:val="24"/>
              </w:rPr>
              <w:t>Доксорубицин**</w:t>
            </w:r>
          </w:p>
        </w:tc>
        <w:tc>
          <w:tcPr>
            <w:tcW w:w="2339" w:type="dxa"/>
            <w:tcBorders>
              <w:top w:val="single" w:sz="4" w:space="0" w:color="auto"/>
              <w:left w:val="single" w:sz="4" w:space="0" w:color="auto"/>
              <w:bottom w:val="single" w:sz="4" w:space="0" w:color="auto"/>
              <w:right w:val="single" w:sz="4" w:space="0" w:color="auto"/>
            </w:tcBorders>
          </w:tcPr>
          <w:p w14:paraId="0A01BA6B" w14:textId="77777777" w:rsidR="00571482" w:rsidRPr="002F4348" w:rsidRDefault="00571482" w:rsidP="003E2397">
            <w:pPr>
              <w:spacing w:line="240" w:lineRule="auto"/>
              <w:ind w:firstLine="0"/>
              <w:jc w:val="left"/>
              <w:rPr>
                <w:szCs w:val="24"/>
              </w:rPr>
            </w:pPr>
            <w:r w:rsidRPr="002F4348">
              <w:rPr>
                <w:szCs w:val="24"/>
              </w:rPr>
              <w:t>25 мг/м</w:t>
            </w:r>
            <w:r w:rsidRPr="002F4348">
              <w:rPr>
                <w:szCs w:val="24"/>
                <w:vertAlign w:val="superscript"/>
              </w:rPr>
              <w:t>2</w:t>
            </w:r>
          </w:p>
          <w:p w14:paraId="7F596319" w14:textId="77777777" w:rsidR="00571482" w:rsidRPr="002F4348" w:rsidRDefault="00571482" w:rsidP="003E2397">
            <w:pPr>
              <w:spacing w:line="240" w:lineRule="auto"/>
              <w:ind w:firstLine="0"/>
              <w:jc w:val="left"/>
              <w:rPr>
                <w:szCs w:val="24"/>
              </w:rPr>
            </w:pPr>
          </w:p>
        </w:tc>
        <w:tc>
          <w:tcPr>
            <w:tcW w:w="2339" w:type="dxa"/>
            <w:tcBorders>
              <w:top w:val="single" w:sz="4" w:space="0" w:color="auto"/>
              <w:left w:val="single" w:sz="4" w:space="0" w:color="auto"/>
              <w:bottom w:val="single" w:sz="4" w:space="0" w:color="auto"/>
              <w:right w:val="single" w:sz="4" w:space="0" w:color="auto"/>
            </w:tcBorders>
            <w:hideMark/>
          </w:tcPr>
          <w:p w14:paraId="233BBA2F" w14:textId="77777777" w:rsidR="00571482" w:rsidRPr="002F4348" w:rsidRDefault="00571482" w:rsidP="003E2397">
            <w:pPr>
              <w:spacing w:line="240" w:lineRule="auto"/>
              <w:ind w:firstLine="0"/>
              <w:jc w:val="left"/>
              <w:rPr>
                <w:szCs w:val="24"/>
              </w:rPr>
            </w:pPr>
            <w:r w:rsidRPr="002F4348">
              <w:rPr>
                <w:szCs w:val="24"/>
              </w:rPr>
              <w:t>в/в капельно или струйно</w:t>
            </w:r>
          </w:p>
        </w:tc>
        <w:tc>
          <w:tcPr>
            <w:tcW w:w="2339" w:type="dxa"/>
            <w:tcBorders>
              <w:top w:val="single" w:sz="4" w:space="0" w:color="auto"/>
              <w:left w:val="single" w:sz="4" w:space="0" w:color="auto"/>
              <w:bottom w:val="single" w:sz="4" w:space="0" w:color="auto"/>
              <w:right w:val="single" w:sz="4" w:space="0" w:color="auto"/>
            </w:tcBorders>
          </w:tcPr>
          <w:p w14:paraId="4562598B" w14:textId="77777777" w:rsidR="00571482" w:rsidRPr="002F4348" w:rsidRDefault="00571482" w:rsidP="003E2397">
            <w:pPr>
              <w:spacing w:line="240" w:lineRule="auto"/>
              <w:ind w:firstLine="0"/>
              <w:jc w:val="left"/>
              <w:rPr>
                <w:szCs w:val="24"/>
              </w:rPr>
            </w:pPr>
            <w:r w:rsidRPr="002F4348">
              <w:rPr>
                <w:szCs w:val="24"/>
              </w:rPr>
              <w:t>1, 15</w:t>
            </w:r>
          </w:p>
          <w:p w14:paraId="6911F360" w14:textId="77777777" w:rsidR="00571482" w:rsidRPr="002F4348" w:rsidRDefault="00571482" w:rsidP="003E2397">
            <w:pPr>
              <w:spacing w:line="240" w:lineRule="auto"/>
              <w:ind w:firstLine="0"/>
              <w:jc w:val="left"/>
              <w:rPr>
                <w:szCs w:val="24"/>
              </w:rPr>
            </w:pPr>
          </w:p>
        </w:tc>
      </w:tr>
      <w:tr w:rsidR="00571482" w:rsidRPr="002F4348" w14:paraId="6CBB1A7C"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hideMark/>
          </w:tcPr>
          <w:p w14:paraId="0C038EB1" w14:textId="77777777" w:rsidR="00571482" w:rsidRPr="002F4348" w:rsidRDefault="00571482" w:rsidP="003E2397">
            <w:pPr>
              <w:spacing w:line="240" w:lineRule="auto"/>
              <w:ind w:firstLine="0"/>
              <w:jc w:val="left"/>
              <w:rPr>
                <w:szCs w:val="24"/>
              </w:rPr>
            </w:pPr>
            <w:r w:rsidRPr="002F4348">
              <w:rPr>
                <w:szCs w:val="24"/>
              </w:rPr>
              <w:t>Винбластин **</w:t>
            </w:r>
          </w:p>
        </w:tc>
        <w:tc>
          <w:tcPr>
            <w:tcW w:w="2339" w:type="dxa"/>
            <w:tcBorders>
              <w:top w:val="single" w:sz="4" w:space="0" w:color="auto"/>
              <w:left w:val="single" w:sz="4" w:space="0" w:color="auto"/>
              <w:bottom w:val="single" w:sz="4" w:space="0" w:color="auto"/>
              <w:right w:val="single" w:sz="4" w:space="0" w:color="auto"/>
            </w:tcBorders>
            <w:hideMark/>
          </w:tcPr>
          <w:p w14:paraId="7F85C116" w14:textId="77777777" w:rsidR="00571482" w:rsidRPr="002F4348" w:rsidRDefault="00571482" w:rsidP="003E2397">
            <w:pPr>
              <w:spacing w:line="240" w:lineRule="auto"/>
              <w:ind w:firstLine="0"/>
              <w:jc w:val="left"/>
              <w:rPr>
                <w:szCs w:val="24"/>
              </w:rPr>
            </w:pPr>
            <w:r w:rsidRPr="002F4348">
              <w:rPr>
                <w:szCs w:val="24"/>
              </w:rPr>
              <w:t>6 мг/м</w:t>
            </w:r>
            <w:r w:rsidRPr="002F4348">
              <w:rPr>
                <w:szCs w:val="24"/>
                <w:vertAlign w:val="superscript"/>
              </w:rPr>
              <w:t>2</w:t>
            </w:r>
            <w:r w:rsidRPr="002F4348">
              <w:rPr>
                <w:szCs w:val="24"/>
              </w:rPr>
              <w:t xml:space="preserve"> (не более 10 мг)</w:t>
            </w:r>
          </w:p>
        </w:tc>
        <w:tc>
          <w:tcPr>
            <w:tcW w:w="2339" w:type="dxa"/>
            <w:tcBorders>
              <w:top w:val="single" w:sz="4" w:space="0" w:color="auto"/>
              <w:left w:val="single" w:sz="4" w:space="0" w:color="auto"/>
              <w:bottom w:val="single" w:sz="4" w:space="0" w:color="auto"/>
              <w:right w:val="single" w:sz="4" w:space="0" w:color="auto"/>
            </w:tcBorders>
            <w:hideMark/>
          </w:tcPr>
          <w:p w14:paraId="494D7050" w14:textId="77777777" w:rsidR="00571482" w:rsidRPr="002F4348" w:rsidRDefault="00571482" w:rsidP="003E2397">
            <w:pPr>
              <w:spacing w:line="240" w:lineRule="auto"/>
              <w:ind w:firstLine="0"/>
              <w:jc w:val="left"/>
              <w:rPr>
                <w:szCs w:val="24"/>
              </w:rPr>
            </w:pPr>
            <w:r w:rsidRPr="002F4348">
              <w:rPr>
                <w:szCs w:val="24"/>
              </w:rPr>
              <w:t>в/в, за 5-10 мин</w:t>
            </w:r>
          </w:p>
        </w:tc>
        <w:tc>
          <w:tcPr>
            <w:tcW w:w="2339" w:type="dxa"/>
            <w:tcBorders>
              <w:top w:val="single" w:sz="4" w:space="0" w:color="auto"/>
              <w:left w:val="single" w:sz="4" w:space="0" w:color="auto"/>
              <w:bottom w:val="single" w:sz="4" w:space="0" w:color="auto"/>
              <w:right w:val="single" w:sz="4" w:space="0" w:color="auto"/>
            </w:tcBorders>
            <w:hideMark/>
          </w:tcPr>
          <w:p w14:paraId="3ADA88B3" w14:textId="77777777" w:rsidR="00571482" w:rsidRPr="002F4348" w:rsidRDefault="00571482" w:rsidP="003E2397">
            <w:pPr>
              <w:spacing w:line="240" w:lineRule="auto"/>
              <w:ind w:firstLine="0"/>
              <w:jc w:val="left"/>
              <w:rPr>
                <w:szCs w:val="24"/>
              </w:rPr>
            </w:pPr>
            <w:r w:rsidRPr="002F4348">
              <w:rPr>
                <w:szCs w:val="24"/>
              </w:rPr>
              <w:t>1, 15</w:t>
            </w:r>
          </w:p>
        </w:tc>
      </w:tr>
      <w:tr w:rsidR="00571482" w:rsidRPr="002F4348" w14:paraId="300738B7"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hideMark/>
          </w:tcPr>
          <w:p w14:paraId="60F3F09F" w14:textId="77777777" w:rsidR="00571482" w:rsidRPr="002F4348" w:rsidRDefault="00571482" w:rsidP="003E2397">
            <w:pPr>
              <w:spacing w:line="240" w:lineRule="auto"/>
              <w:ind w:firstLine="0"/>
              <w:jc w:val="left"/>
              <w:rPr>
                <w:szCs w:val="24"/>
              </w:rPr>
            </w:pPr>
            <w:r w:rsidRPr="002F4348">
              <w:rPr>
                <w:szCs w:val="24"/>
              </w:rPr>
              <w:t>Дакарбазин**</w:t>
            </w:r>
          </w:p>
        </w:tc>
        <w:tc>
          <w:tcPr>
            <w:tcW w:w="2339" w:type="dxa"/>
            <w:tcBorders>
              <w:top w:val="single" w:sz="4" w:space="0" w:color="auto"/>
              <w:left w:val="single" w:sz="4" w:space="0" w:color="auto"/>
              <w:bottom w:val="single" w:sz="4" w:space="0" w:color="auto"/>
              <w:right w:val="single" w:sz="4" w:space="0" w:color="auto"/>
            </w:tcBorders>
            <w:hideMark/>
          </w:tcPr>
          <w:p w14:paraId="0962DB0F" w14:textId="77777777" w:rsidR="00571482" w:rsidRPr="002F4348" w:rsidRDefault="00571482" w:rsidP="003E2397">
            <w:pPr>
              <w:spacing w:line="240" w:lineRule="auto"/>
              <w:ind w:firstLine="0"/>
              <w:jc w:val="left"/>
              <w:rPr>
                <w:szCs w:val="24"/>
              </w:rPr>
            </w:pPr>
            <w:r w:rsidRPr="002F4348">
              <w:rPr>
                <w:szCs w:val="24"/>
              </w:rPr>
              <w:t>375 мг/м</w:t>
            </w:r>
            <w:r w:rsidRPr="002F4348">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307A7304" w14:textId="77777777" w:rsidR="00571482" w:rsidRPr="002F4348" w:rsidRDefault="00571482" w:rsidP="003E2397">
            <w:pPr>
              <w:spacing w:line="240" w:lineRule="auto"/>
              <w:ind w:firstLine="0"/>
              <w:jc w:val="left"/>
              <w:rPr>
                <w:szCs w:val="24"/>
              </w:rPr>
            </w:pPr>
            <w:r w:rsidRPr="002F4348">
              <w:rPr>
                <w:szCs w:val="24"/>
              </w:rPr>
              <w:t>в/в капельно</w:t>
            </w:r>
          </w:p>
        </w:tc>
        <w:tc>
          <w:tcPr>
            <w:tcW w:w="2339" w:type="dxa"/>
            <w:tcBorders>
              <w:top w:val="single" w:sz="4" w:space="0" w:color="auto"/>
              <w:left w:val="single" w:sz="4" w:space="0" w:color="auto"/>
              <w:bottom w:val="single" w:sz="4" w:space="0" w:color="auto"/>
              <w:right w:val="single" w:sz="4" w:space="0" w:color="auto"/>
            </w:tcBorders>
            <w:hideMark/>
          </w:tcPr>
          <w:p w14:paraId="649B2C81" w14:textId="77777777" w:rsidR="00571482" w:rsidRPr="002F4348" w:rsidRDefault="00571482" w:rsidP="003E2397">
            <w:pPr>
              <w:spacing w:line="240" w:lineRule="auto"/>
              <w:ind w:firstLine="0"/>
              <w:jc w:val="left"/>
              <w:rPr>
                <w:szCs w:val="24"/>
              </w:rPr>
            </w:pPr>
            <w:r w:rsidRPr="002F4348">
              <w:rPr>
                <w:szCs w:val="24"/>
              </w:rPr>
              <w:t>1, 15</w:t>
            </w:r>
          </w:p>
        </w:tc>
      </w:tr>
      <w:tr w:rsidR="00571482" w:rsidRPr="002F4348" w14:paraId="2059E9A8" w14:textId="77777777" w:rsidTr="003E2397">
        <w:tc>
          <w:tcPr>
            <w:tcW w:w="9356" w:type="dxa"/>
            <w:gridSpan w:val="4"/>
            <w:tcBorders>
              <w:top w:val="single" w:sz="4" w:space="0" w:color="auto"/>
              <w:left w:val="single" w:sz="4" w:space="0" w:color="auto"/>
              <w:bottom w:val="single" w:sz="4" w:space="0" w:color="auto"/>
              <w:right w:val="single" w:sz="4" w:space="0" w:color="auto"/>
            </w:tcBorders>
            <w:vAlign w:val="center"/>
          </w:tcPr>
          <w:p w14:paraId="201794E1" w14:textId="77777777" w:rsidR="00571482" w:rsidRPr="002F4348" w:rsidRDefault="00571482" w:rsidP="003E2397">
            <w:pPr>
              <w:spacing w:line="240" w:lineRule="auto"/>
              <w:ind w:firstLine="0"/>
              <w:jc w:val="left"/>
              <w:rPr>
                <w:szCs w:val="24"/>
              </w:rPr>
            </w:pPr>
            <w:r w:rsidRPr="002F4348">
              <w:rPr>
                <w:szCs w:val="24"/>
              </w:rPr>
              <w:t>Лечение возобновляется на 29 день</w:t>
            </w:r>
          </w:p>
          <w:p w14:paraId="43B751C2" w14:textId="77777777" w:rsidR="0062583E" w:rsidRPr="002F4348" w:rsidRDefault="0062583E" w:rsidP="003E2397">
            <w:pPr>
              <w:spacing w:line="240" w:lineRule="auto"/>
              <w:ind w:firstLine="0"/>
              <w:jc w:val="left"/>
              <w:rPr>
                <w:bCs/>
              </w:rPr>
            </w:pPr>
            <w:r w:rsidRPr="002F4348">
              <w:rPr>
                <w:bCs/>
              </w:rPr>
              <w:t xml:space="preserve">Накануне и с первого дня цикла рекомендуется увеличивают объем потребляемой жидкости до 2 литров в день. При большой опухолевой массе каждому </w:t>
            </w:r>
            <w:r w:rsidR="004D11D3" w:rsidRPr="002F4348">
              <w:rPr>
                <w:bCs/>
              </w:rPr>
              <w:t xml:space="preserve">пациенту </w:t>
            </w:r>
            <w:r w:rsidRPr="002F4348">
              <w:rPr>
                <w:bCs/>
              </w:rPr>
              <w:t>назначают аллопуринол</w:t>
            </w:r>
            <w:r w:rsidR="004D11D3" w:rsidRPr="002F4348">
              <w:rPr>
                <w:bCs/>
              </w:rPr>
              <w:t>**</w:t>
            </w:r>
            <w:r w:rsidRPr="002F4348">
              <w:rPr>
                <w:bCs/>
              </w:rPr>
              <w:t xml:space="preserve"> в дозе 300мг/сутки и в первые 3 дня цикла назначают гидратирующую терапию в объеме до 3 л/м</w:t>
            </w:r>
            <w:r w:rsidRPr="002F4348">
              <w:rPr>
                <w:bCs/>
                <w:vertAlign w:val="superscript"/>
              </w:rPr>
              <w:t xml:space="preserve">2 </w:t>
            </w:r>
            <w:r w:rsidRPr="002F4348">
              <w:rPr>
                <w:bCs/>
              </w:rPr>
              <w:t xml:space="preserve">при строгом контроле за диурезом и электролитными показателями </w:t>
            </w:r>
            <w:r w:rsidRPr="002F4348">
              <w:rPr>
                <w:bCs/>
              </w:rPr>
              <w:fldChar w:fldCharType="begin" w:fldLock="1"/>
            </w:r>
            <w:r w:rsidR="00A850F7" w:rsidRPr="002F4348">
              <w:rPr>
                <w:bCs/>
              </w:rPr>
              <w:instrText>ADDIN CSL_CITATION {"citationItems":[{"id":"ITEM-1","itemData":{"author":[{"dropping-particle":"","family":"Моисеева","given":"Т.Н.","non-dropping-particle":"","parse-names":false,"suffix":""},{"dropping-particle":"","family":"Аль-Ради","given":"Л.С.","non-dropping-particle":"","parse-names":false,"suffix":""},{"dropping-particle":"","family":"Дорохина","given":"Е.И.","non-dropping-particle":"","parse-names":false,"suffix":""}],"container-title":"Алгоритмы диагностики и протоколы лечения заболеваний системы крови. НМИЦ Гематологии. Под ред. В.Г. Савченко.","id":"ITEM-1","issued":{"date-parts":[["2018"]]},"page":"39-56","title":"Протокол диагностики и лечения классической лимфомы Ходжкина","type":"chapter"},"uris":["http://www.mendeley.com/documents/?uuid=fb98dfe5-a71f-484e-9a5d-824d96c5ea87","http://www.mendeley.com/documents/?uuid=1e9d076e-e89a-457c-b607-718bf00380e7"]}],"mendeley":{"formattedCitation":"[12]","plainTextFormattedCitation":"[12]","previouslyFormattedCitation":"[12]"},"properties":{"noteIndex":0},"schema":"https://github.com/citation-style-language/schema/raw/master/csl-citation.json"}</w:instrText>
            </w:r>
            <w:r w:rsidRPr="002F4348">
              <w:rPr>
                <w:bCs/>
              </w:rPr>
              <w:fldChar w:fldCharType="separate"/>
            </w:r>
            <w:r w:rsidR="00BA1BF7" w:rsidRPr="002F4348">
              <w:rPr>
                <w:bCs/>
                <w:noProof/>
              </w:rPr>
              <w:t>[12]</w:t>
            </w:r>
            <w:r w:rsidRPr="002F4348">
              <w:rPr>
                <w:bCs/>
              </w:rPr>
              <w:fldChar w:fldCharType="end"/>
            </w:r>
            <w:r w:rsidR="00FD701B" w:rsidRPr="002F4348">
              <w:rPr>
                <w:bCs/>
              </w:rPr>
              <w:t>.</w:t>
            </w:r>
          </w:p>
          <w:p w14:paraId="6AC84708" w14:textId="77777777" w:rsidR="0062583E" w:rsidRPr="002F4348" w:rsidRDefault="0062583E" w:rsidP="003E2397">
            <w:pPr>
              <w:spacing w:line="240" w:lineRule="auto"/>
              <w:ind w:firstLine="0"/>
              <w:jc w:val="left"/>
              <w:rPr>
                <w:szCs w:val="24"/>
              </w:rPr>
            </w:pPr>
            <w:r w:rsidRPr="002F4348">
              <w:t>Первичная профилактика Г-КСФ рекомендована всем пациентам независимо от их возраста, начиная с первой дозы, начиная в первые 4 дня после введения химиопрепаратов, но не позднее 5-го дня</w:t>
            </w:r>
            <w:r w:rsidR="0035419A" w:rsidRPr="002F4348">
              <w:t xml:space="preserve"> </w:t>
            </w:r>
            <w:r w:rsidR="0035419A" w:rsidRPr="002F4348">
              <w:fldChar w:fldCharType="begin" w:fldLock="1"/>
            </w:r>
            <w:r w:rsidR="00A850F7" w:rsidRPr="002F4348">
              <w:instrText>ADDIN CSL_CITATION {"citationItems":[{"id":"ITEM-1","itemData":{"DOI":"10.1056/NEJMoa1708984","ISSN":"15334406","abstract":"BACKGROUND Brentuximab vedotin is an anti-CD30 antibody-drug conjugate that has been approved for relapsed and refractory Hodgkin's lymphoma. METHODS We conducted an open-label, multicenter, randomized phase 3 trial involving patients with previously untreated stage III or IV classic Hodgkin's lymphoma, in which 664 were assigned to receive brentuximab vedotin, doxorubicin, vinblastine, and dacarbazine (A+AVD) and 670 were assigned to receive doxorubicin, bleomycin, vinblastine, and dacarbazine (ABVD). The primary end point was modified progression-free survival (the time to progression, death, or noncomplete response and use of subsequent anticancer therapy) as adjudicated by an independent review committee. The key secondary end point was overall survival. RESULTS At a median follow-up of 24.9 months, 2-year modified progression-free survival rates in the A+AVD and ABVD groups were 82.1% (95% confidence interval [CI], 78.7 to 85.0) and 77.2% (95% CI, 73.7 to 80.4), respectively, a difference of 4.9 percentage points (hazard ratio for an event of progression, death, or modified progression, 0.77; 95% CI, 0.60 to 0.98; P = 0.03). There were 28 deaths with A+AVD and 39 with ABVD (hazard ratio for interim overall survival, 0.72 [95% CI, 0.44 to 1.17]; P = 0.19). All secondary efficacy end points trended in favor of A+AVD. Neutropenia occurred in 58% of the patients receiving A+AVD and in 45% of those receiving ABVD; in the A+AVD group, the rate of febrile neutropenia was lower among the 83 patients who received primary prophylaxis with granulocyte colony-stimulating factor than among those who did not (11% vs. 21%). Peripheral neuropathy occurred in 67% of patients in the A+AVD group and in 43% of patients in the ABVD group; 67% of patients in the A+AVD group who had peripheral neuropathy had resolution or improvement at the last follow-up visit. Pulmonary toxicity of grade 3 or higher was reported in less than 1% of patients receiving A+AVD and in 3% of those receiving ABVD. Among the deaths that occurred during treatment, 7 of 9 in the A+AVD group were associated with neutropenia and 11 of 13 in the ABVD group were associated with pulmonary-related toxicity. CONCLUSIONS A+AVD had superior efficacy to ABVD in the treatment of patients with advanced-stage Hodgkin's lymphoma, with a 4.9 percentage-point lower combined risk of progression, death, or noncomplete response and use of subsequent anticancer therapy at 2 years. (Funded by Millennium Pharmaceutica…","author":[{"dropping-particle":"","family":"Connors","given":"J. M.","non-dropping-particle":"","parse-names":false,"suffix":""},{"dropping-particle":"","family":"Jurczak","given":"W.","non-dropping-particle":"","parse-names":false,"suffix":""},{"dropping-particle":"","family":"Straus","given":"D. J.","non-dropping-particle":"","parse-names":false,"suffix":""},{"dropping-particle":"","family":"Ansell","given":"S. M.","non-dropping-particle":"","parse-names":false,"suffix":""},{"dropping-particle":"","family":"Kim","given":"W. S.","non-dropping-particle":"","parse-names":false,"suffix":""},{"dropping-particle":"","family":"Gallamini","given":"A.","non-dropping-particle":"","parse-names":false,"suffix":""},{"dropping-particle":"","family":"Younes","given":"A.","non-dropping-particle":"","parse-names":false,"suffix":""},{"dropping-particle":"","family":"Alekseev","given":"S.","non-dropping-particle":"","parse-names":false,"suffix":""},{"dropping-particle":"","family":"Illés","given":"A.","non-dropping-particle":"","parse-names":false,"suffix":""},{"dropping-particle":"","family":"Picardi","given":"M.","non-dropping-particle":"","parse-names":false,"suffix":""},{"dropping-particle":"","family":"Lech-Maranda","given":"E.","non-dropping-particle":"","parse-names":false,"suffix":""},{"dropping-particle":"","family":"Oki","given":"Y.","non-dropping-particle":"","parse-names":false,"suffix":""},{"dropping-particle":"","family":"Feldman","given":"T.","non-dropping-particle":"","parse-names":false,"suffix":""},{"dropping-particle":"","family":"Smolewski","given":"P.","non-dropping-particle":"","parse-names":false,"suffix":""},{"dropping-particle":"","family":"Savage","given":"K. J.","non-dropping-particle":"","parse-names":false,"suffix":""},{"dropping-particle":"","family":"Bartlett","given":"N. L.","non-dropping-particle":"","parse-names":false,"suffix":""},{"dropping-particle":"","family":"Walewski","given":"J.","non-dropping-particle":"","parse-names":false,"suffix":""},{"dropping-particle":"","family":"Chen","given":"R.","non-dropping-particle":"","parse-names":false,"suffix":""},{"dropping-particle":"","family":"Ramchandren","given":"R.","non-dropping-particle":"","parse-names":false,"suffix":""},{"dropping-particle":"","family":"Zinzani","given":"P. L.","non-dropping-particle":"","parse-names":false,"suffix":""},{"dropping-particle":"","family":"Cunningham","given":"D.","non-dropping-particle":"","parse-names":false,"suffix":""},{"dropping-particle":"","family":"Rosta","given":"A.","non-dropping-particle":"","parse-names":false,"suffix":""},{"dropping-particle":"","family":"Josephson","given":"N. C.","non-dropping-particle":"","parse-names":false,"suffix":""},{"dropping-particle":"","family":"Song","given":"E.","non-dropping-particle":"","parse-names":false,"suffix":""},{"dropping-particle":"","family":"Sachs","given":"J.","non-dropping-particle":"","parse-names":false,"suffix":""},{"dropping-particle":"","family":"Liu","given":"R.","non-dropping-particle":"","parse-names":false,"suffix":""},{"dropping-particle":"","family":"Jolin","given":"H. A.","non-dropping-particle":"","parse-names":false,"suffix":""},{"dropping-particle":"","family":"Huebner","given":"D.","non-dropping-particle":"","parse-names":false,"suffix":""},{"dropping-particle":"","family":"Radford","given":"J.","non-dropping-particle":"","parse-names":false,"suffix":""}],"container-title":"New England Journal of Medicine","id":"ITEM-1","issue":"4","issued":{"date-parts":[["2018"]]},"page":"331-344","title":"Brentuximab vedotin with chemotherapy for stage III or IV Hodgkin's lymphoma","type":"article-journal","volume":"378"},"uris":["http://www.mendeley.com/documents/?uuid=368249c3-45ad-4e1a-853c-59a9a276b586","http://www.mendeley.com/documents/?uuid=b8a50975-3bc9-3527-97c2-baefe81a2e85"]}],"mendeley":{"formattedCitation":"[30]","plainTextFormattedCitation":"[30]","previouslyFormattedCitation":"[30]"},"properties":{"noteIndex":0},"schema":"https://github.com/citation-style-language/schema/raw/master/csl-citation.json"}</w:instrText>
            </w:r>
            <w:r w:rsidR="0035419A" w:rsidRPr="002F4348">
              <w:fldChar w:fldCharType="separate"/>
            </w:r>
            <w:r w:rsidR="0041114E" w:rsidRPr="002F4348">
              <w:rPr>
                <w:noProof/>
              </w:rPr>
              <w:t>[30]</w:t>
            </w:r>
            <w:r w:rsidR="0035419A" w:rsidRPr="002F4348">
              <w:fldChar w:fldCharType="end"/>
            </w:r>
            <w:r w:rsidRPr="002F4348">
              <w:t>.</w:t>
            </w:r>
          </w:p>
        </w:tc>
      </w:tr>
    </w:tbl>
    <w:p w14:paraId="34658D4D" w14:textId="77777777" w:rsidR="00A07386" w:rsidRPr="002F4348" w:rsidRDefault="00A07386" w:rsidP="00A07386">
      <w:pPr>
        <w:pStyle w:val="afd"/>
        <w:ind w:firstLine="0"/>
        <w:rPr>
          <w:b/>
          <w:bCs/>
          <w:u w:val="single"/>
        </w:rPr>
      </w:pPr>
      <w:r w:rsidRPr="002F4348">
        <w:rPr>
          <w:b/>
          <w:bCs/>
          <w:u w:val="single"/>
        </w:rPr>
        <w:t>3.3.2 Схемы терапии лимфомы Ходжкина у пациентов до 18 лет</w:t>
      </w:r>
    </w:p>
    <w:tbl>
      <w:tblPr>
        <w:tblStyle w:val="aff9"/>
        <w:tblW w:w="9356" w:type="dxa"/>
        <w:tblInd w:w="-5" w:type="dxa"/>
        <w:tblLayout w:type="fixed"/>
        <w:tblLook w:val="04A0" w:firstRow="1" w:lastRow="0" w:firstColumn="1" w:lastColumn="0" w:noHBand="0" w:noVBand="1"/>
      </w:tblPr>
      <w:tblGrid>
        <w:gridCol w:w="2339"/>
        <w:gridCol w:w="2339"/>
        <w:gridCol w:w="2339"/>
        <w:gridCol w:w="2339"/>
      </w:tblGrid>
      <w:tr w:rsidR="00A07386" w:rsidRPr="002F4348" w14:paraId="5FB45E92" w14:textId="77777777" w:rsidTr="007C3C41">
        <w:trPr>
          <w:trHeight w:val="329"/>
        </w:trPr>
        <w:tc>
          <w:tcPr>
            <w:tcW w:w="9356" w:type="dxa"/>
            <w:gridSpan w:val="4"/>
            <w:tcBorders>
              <w:top w:val="nil"/>
              <w:left w:val="nil"/>
              <w:bottom w:val="single" w:sz="4" w:space="0" w:color="auto"/>
              <w:right w:val="nil"/>
            </w:tcBorders>
          </w:tcPr>
          <w:p w14:paraId="36EA9073" w14:textId="77777777" w:rsidR="00A07386" w:rsidRPr="002F4348" w:rsidRDefault="00A07386" w:rsidP="007C3C41">
            <w:pPr>
              <w:spacing w:line="240" w:lineRule="auto"/>
              <w:ind w:firstLine="0"/>
              <w:jc w:val="left"/>
              <w:rPr>
                <w:b/>
                <w:bCs/>
                <w:szCs w:val="24"/>
              </w:rPr>
            </w:pPr>
            <w:r w:rsidRPr="002F4348">
              <w:rPr>
                <w:b/>
                <w:bCs/>
                <w:szCs w:val="24"/>
                <w:lang w:val="en-US"/>
              </w:rPr>
              <w:t>OEPA</w:t>
            </w:r>
            <w:r w:rsidR="007F707A" w:rsidRPr="002F4348">
              <w:rPr>
                <w:b/>
                <w:bCs/>
                <w:szCs w:val="24"/>
              </w:rPr>
              <w:t xml:space="preserve"> </w:t>
            </w:r>
            <w:r w:rsidR="007F707A" w:rsidRPr="002F4348">
              <w:rPr>
                <w:lang w:eastAsia="ru-RU"/>
              </w:rPr>
              <w:fldChar w:fldCharType="begin" w:fldLock="1"/>
            </w:r>
            <w:r w:rsidR="002C6C01" w:rsidRPr="002F4348">
              <w:rPr>
                <w:lang w:eastAsia="ru-RU"/>
              </w:rPr>
              <w:instrText>ADDIN CSL_CITATION {"citationItems":[{"id":"ITEM-1","itemData":{"DOI":"10.1200/JCO.2009.26.9381","ISSN":"0732183X","abstract":"Purpose: Vincristine, etoposide, prednisone, and doxorubicin (OEPA)-cyclophosphamide, vincristine, prednisone, and dacarbazine (COPDAC) is derived from standard vincristine, procarbazine, prednisone, and doxorubicin (OPPA)-cyclophosphamide, vincristine, procarbazine, and prednisone (COPP) chemotherapy by replacing procarbazine with etoposide and dacarbazine for a potentially less gonadotoxic regimen for boys with Hodgkin's lymphoma (HL). Patients and Methods: Five hundred seventy-three pediatric patients with classical HL were enrolled onto the German Society of Pediatric Oncology and Hematology-Hodgkin's Disease (GPOH-HD) -2002 study between November 2002 and December 2005. Boys received two courses of OEPA and girls received two courses of OPPA for induction. Treatment group (TG) -2 (intermediate stages) and TG-3 (advanced stages) patients received further two or four cycles COPP (girls) or COPDAC (boys), respectively. After chemotherapy all patients received involved-field irradiation with 19.8 Gy, except for patients with early-stage disease (TG-1) in complete remission. Results: Five hundred seventy-three patients (287 males and 286 females) were less than 18 years old and fulfilled all inclusion criteria; 195 patients (34.0%) were allocated to TG-1, 139 (24.3%) were allocated to TG-2, and 239 (41.7%) were allocated to TG-3. Toxicity of OEPA-COPDAC was tolerable overall. Hematotoxicity was more pronounced with OEPA than OPPA, whereas it was less pronounced with COPDAC compared with COPP. The median observation time was 58.6 months. Overall survival and event-free survival (EFS) rates (± SE) at 5 years were 97.4% ± 0.7% and 89.0% ± 1.4%, respectively. In TG-1, overall EFS was 92.0% ± 2.0%. EFS of patients without irradiation (93.2% ± 3.3%) was similar to that of irradiated patients (91.7% ± 2.5%), confirming results of the previous GPOH-HD-95 study. In TG-2+3, EFS did not significantly differ between boys and girls (90.2% ± 2.3 v 84.7% ± 2.7, respectively; P = .12). Conclusion: In TG-2+3, results in boys and girls are superimposable. OPPA-COPP and OEPA-COPDAC seem to be exchangeable regimens in intermediate- and advanced-stage classical HL in pediatric patients. © 2010 by American Society of Clinical Oncology.","author":[{"dropping-particle":"","family":"Mauz-Körholz","given":"Christine","non-dropping-particle":"","parse-names":false,"suffix":""},{"dropping-particle":"","family":"Hasenclever","given":"Dirk","non-dropping-particle":"","parse-names":false,"suffix":""},{"dropping-particle":"","family":"Dörffel","given":"Wolfgang","non-dropping-particle":"","parse-names":false,"suffix":""},{"dropping-particle":"","family":"Ruschke","given":"Kathrin","non-dropping-particle":"","parse-names":false,"suffix":""},{"dropping-particle":"","family":"Pelz","given":"Tanja","non-dropping-particle":"","parse-names":false,"suffix":""},{"dropping-particle":"","family":"Voigt","given":"Antje","non-dropping-particle":"","parse-names":false,"suffix":""},{"dropping-particle":"","family":"Stiefel","given":"Martina","non-dropping-particle":"","parse-names":false,"suffix":""},{"dropping-particle":"","family":"Winkler","given":"Melanie","non-dropping-particle":"","parse-names":false,"suffix":""},{"dropping-particle":"","family":"Vilser","given":"Constanze","non-dropping-particle":"","parse-names":false,"suffix":""},{"dropping-particle":"","family":"Dieckmann","given":"Karin","non-dropping-particle":"","parse-names":false,"suffix":""},{"dropping-particle":"","family":"Karlén","given":"Jonas","non-dropping-particle":"","parse-names":false,"suffix":""},{"dropping-particle":"","family":"Bergsträsser","given":"Eva","non-dropping-particle":"","parse-names":false,"suffix":""},{"dropping-particle":"","family":"Fosså","given":"Alexander","non-dropping-particle":"","parse-names":false,"suffix":""},{"dropping-particle":"","family":"Mann","given":"Georg","non-dropping-particle":"","parse-names":false,"suffix":""},{"dropping-particle":"","family":"Hummel","given":"Michael","non-dropping-particle":"","parse-names":false,"suffix":""},{"dropping-particle":"","family":"Klapper","given":"Wolfram","non-dropping-particle":"","parse-names":false,"suffix":""},{"dropping-particle":"","family":"Stein","given":"Harald","non-dropping-particle":"","parse-names":false,"suffix":""},{"dropping-particle":"","family":"Vordermark","given":"Dirk","non-dropping-particle":"","parse-names":false,"suffix":""},{"dropping-particle":"","family":"Kluge","given":"Regine","non-dropping-particle":"","parse-names":false,"suffix":""},{"dropping-particle":"","family":"Körholz","given":"Dieter","non-dropping-particle":"","parse-names":false,"suffix":""}],"container-title":"Journal of Clinical Oncology","id":"ITEM-1","issue":"23","issued":{"date-parts":[["2010","8","10"]]},"page":"3680-3686","title":"Procarbazine-free OEPA-COPDAC chemotherapy in boys and standard OPPA-COPP in girls have comparable effectiveness in pediatric Hodgkin's lymphoma: The GPOH-HD-2002 study","type":"article-journal","volume":"28"},"uris":["http://www.mendeley.com/documents/?uuid=01a720d9-77af-45be-b300-986f3b5c8cb8","http://www.mendeley.com/documents/?uuid=eb98370d-ea11-3cf2-92b5-796ea93c5f6a"]}],"mendeley":{"formattedCitation":"[31]","plainTextFormattedCitation":"[31]","previouslyFormattedCitation":"[31]"},"properties":{"noteIndex":0},"schema":"https://github.com/citation-style-language/schema/raw/master/csl-citation.json"}</w:instrText>
            </w:r>
            <w:r w:rsidR="007F707A" w:rsidRPr="002F4348">
              <w:rPr>
                <w:lang w:eastAsia="ru-RU"/>
              </w:rPr>
              <w:fldChar w:fldCharType="separate"/>
            </w:r>
            <w:r w:rsidR="007F707A" w:rsidRPr="002F4348">
              <w:rPr>
                <w:noProof/>
                <w:lang w:eastAsia="ru-RU"/>
              </w:rPr>
              <w:t>[31]</w:t>
            </w:r>
            <w:r w:rsidR="007F707A" w:rsidRPr="002F4348">
              <w:rPr>
                <w:lang w:eastAsia="ru-RU"/>
              </w:rPr>
              <w:fldChar w:fldCharType="end"/>
            </w:r>
          </w:p>
        </w:tc>
      </w:tr>
      <w:tr w:rsidR="00A07386" w:rsidRPr="002F4348" w14:paraId="0BD57F13" w14:textId="77777777" w:rsidTr="007C3C41">
        <w:trPr>
          <w:trHeight w:val="329"/>
        </w:trPr>
        <w:tc>
          <w:tcPr>
            <w:tcW w:w="2339" w:type="dxa"/>
            <w:tcBorders>
              <w:top w:val="single" w:sz="4" w:space="0" w:color="auto"/>
              <w:left w:val="single" w:sz="4" w:space="0" w:color="auto"/>
              <w:bottom w:val="single" w:sz="4" w:space="0" w:color="auto"/>
              <w:right w:val="single" w:sz="4" w:space="0" w:color="auto"/>
            </w:tcBorders>
            <w:hideMark/>
          </w:tcPr>
          <w:p w14:paraId="259CFC3B" w14:textId="77777777" w:rsidR="00A07386" w:rsidRPr="002F4348" w:rsidRDefault="00A07386" w:rsidP="007C3C41">
            <w:pPr>
              <w:spacing w:line="240" w:lineRule="auto"/>
              <w:ind w:firstLine="0"/>
              <w:jc w:val="left"/>
              <w:rPr>
                <w:szCs w:val="24"/>
              </w:rPr>
            </w:pPr>
            <w:r w:rsidRPr="002F4348">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12851A36" w14:textId="77777777" w:rsidR="00A07386" w:rsidRPr="002F4348" w:rsidRDefault="00A07386" w:rsidP="007C3C41">
            <w:pPr>
              <w:spacing w:line="240" w:lineRule="auto"/>
              <w:ind w:firstLine="0"/>
              <w:jc w:val="left"/>
              <w:rPr>
                <w:szCs w:val="24"/>
              </w:rPr>
            </w:pPr>
            <w:r w:rsidRPr="002F4348">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174B34A1" w14:textId="77777777" w:rsidR="00A07386" w:rsidRPr="002F4348" w:rsidRDefault="00A07386" w:rsidP="007C3C41">
            <w:pPr>
              <w:spacing w:line="240" w:lineRule="auto"/>
              <w:ind w:firstLine="0"/>
              <w:jc w:val="left"/>
              <w:rPr>
                <w:szCs w:val="24"/>
              </w:rPr>
            </w:pPr>
            <w:r w:rsidRPr="002F4348">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3B2EC201" w14:textId="77777777" w:rsidR="00A07386" w:rsidRPr="002F4348" w:rsidRDefault="00A07386" w:rsidP="007C3C41">
            <w:pPr>
              <w:spacing w:line="240" w:lineRule="auto"/>
              <w:ind w:firstLine="0"/>
              <w:jc w:val="left"/>
              <w:rPr>
                <w:szCs w:val="24"/>
              </w:rPr>
            </w:pPr>
            <w:r w:rsidRPr="002F4348">
              <w:rPr>
                <w:szCs w:val="24"/>
              </w:rPr>
              <w:t>Дни введения</w:t>
            </w:r>
          </w:p>
        </w:tc>
      </w:tr>
      <w:tr w:rsidR="00A07386" w:rsidRPr="002F4348" w14:paraId="3D0E23EF" w14:textId="77777777" w:rsidTr="007C3C41">
        <w:trPr>
          <w:trHeight w:val="329"/>
        </w:trPr>
        <w:tc>
          <w:tcPr>
            <w:tcW w:w="2339" w:type="dxa"/>
            <w:tcBorders>
              <w:top w:val="single" w:sz="4" w:space="0" w:color="auto"/>
              <w:left w:val="single" w:sz="4" w:space="0" w:color="auto"/>
              <w:bottom w:val="single" w:sz="4" w:space="0" w:color="auto"/>
              <w:right w:val="single" w:sz="4" w:space="0" w:color="auto"/>
            </w:tcBorders>
            <w:hideMark/>
          </w:tcPr>
          <w:p w14:paraId="1878C629" w14:textId="77777777" w:rsidR="00A07386" w:rsidRPr="002F4348" w:rsidRDefault="00A07386" w:rsidP="007C3C41">
            <w:pPr>
              <w:spacing w:line="240" w:lineRule="auto"/>
              <w:ind w:firstLine="0"/>
              <w:jc w:val="left"/>
              <w:rPr>
                <w:szCs w:val="24"/>
              </w:rPr>
            </w:pPr>
            <w:r w:rsidRPr="002F4348">
              <w:rPr>
                <w:szCs w:val="24"/>
              </w:rPr>
              <w:t>Преднизолон**</w:t>
            </w:r>
          </w:p>
        </w:tc>
        <w:tc>
          <w:tcPr>
            <w:tcW w:w="2339" w:type="dxa"/>
            <w:tcBorders>
              <w:top w:val="single" w:sz="4" w:space="0" w:color="auto"/>
              <w:left w:val="single" w:sz="4" w:space="0" w:color="auto"/>
              <w:bottom w:val="single" w:sz="4" w:space="0" w:color="auto"/>
              <w:right w:val="single" w:sz="4" w:space="0" w:color="auto"/>
            </w:tcBorders>
          </w:tcPr>
          <w:p w14:paraId="6C56C698" w14:textId="77777777" w:rsidR="00A07386" w:rsidRPr="002F4348" w:rsidRDefault="00A07386" w:rsidP="007C3C41">
            <w:pPr>
              <w:spacing w:line="240" w:lineRule="auto"/>
              <w:ind w:firstLine="0"/>
              <w:jc w:val="left"/>
              <w:rPr>
                <w:szCs w:val="24"/>
              </w:rPr>
            </w:pPr>
            <w:r w:rsidRPr="002F4348">
              <w:rPr>
                <w:szCs w:val="24"/>
              </w:rPr>
              <w:t>60 мг/м</w:t>
            </w:r>
            <w:r w:rsidRPr="002F4348">
              <w:rPr>
                <w:szCs w:val="24"/>
                <w:vertAlign w:val="superscript"/>
              </w:rPr>
              <w:t>2</w:t>
            </w:r>
            <w:r w:rsidRPr="002F4348">
              <w:rPr>
                <w:szCs w:val="24"/>
              </w:rPr>
              <w:t>/сут на 3 приема</w:t>
            </w:r>
          </w:p>
        </w:tc>
        <w:tc>
          <w:tcPr>
            <w:tcW w:w="2339" w:type="dxa"/>
            <w:tcBorders>
              <w:top w:val="single" w:sz="4" w:space="0" w:color="auto"/>
              <w:left w:val="single" w:sz="4" w:space="0" w:color="auto"/>
              <w:bottom w:val="single" w:sz="4" w:space="0" w:color="auto"/>
              <w:right w:val="single" w:sz="4" w:space="0" w:color="auto"/>
            </w:tcBorders>
            <w:hideMark/>
          </w:tcPr>
          <w:p w14:paraId="580D9BCB" w14:textId="77777777" w:rsidR="00A07386" w:rsidRPr="002F4348" w:rsidRDefault="00A07386" w:rsidP="007C3C41">
            <w:pPr>
              <w:spacing w:line="240" w:lineRule="auto"/>
              <w:ind w:firstLine="0"/>
              <w:jc w:val="left"/>
              <w:rPr>
                <w:szCs w:val="24"/>
              </w:rPr>
            </w:pPr>
            <w:r w:rsidRPr="002F4348">
              <w:rPr>
                <w:szCs w:val="24"/>
              </w:rPr>
              <w:t>внутрь</w:t>
            </w:r>
          </w:p>
        </w:tc>
        <w:tc>
          <w:tcPr>
            <w:tcW w:w="2339" w:type="dxa"/>
            <w:tcBorders>
              <w:top w:val="single" w:sz="4" w:space="0" w:color="auto"/>
              <w:left w:val="single" w:sz="4" w:space="0" w:color="auto"/>
              <w:bottom w:val="single" w:sz="4" w:space="0" w:color="auto"/>
              <w:right w:val="single" w:sz="4" w:space="0" w:color="auto"/>
            </w:tcBorders>
          </w:tcPr>
          <w:p w14:paraId="1D1EAE37" w14:textId="77777777" w:rsidR="00A07386" w:rsidRPr="002F4348" w:rsidRDefault="00A07386" w:rsidP="007C3C41">
            <w:pPr>
              <w:spacing w:line="240" w:lineRule="auto"/>
              <w:ind w:firstLine="0"/>
              <w:jc w:val="left"/>
              <w:rPr>
                <w:szCs w:val="24"/>
              </w:rPr>
            </w:pPr>
            <w:r w:rsidRPr="002F4348">
              <w:rPr>
                <w:szCs w:val="24"/>
              </w:rPr>
              <w:t>1-15</w:t>
            </w:r>
          </w:p>
        </w:tc>
      </w:tr>
      <w:tr w:rsidR="00A07386" w:rsidRPr="002F4348" w14:paraId="04301FB9" w14:textId="77777777" w:rsidTr="007C3C41">
        <w:trPr>
          <w:trHeight w:val="329"/>
        </w:trPr>
        <w:tc>
          <w:tcPr>
            <w:tcW w:w="2339" w:type="dxa"/>
            <w:tcBorders>
              <w:top w:val="single" w:sz="4" w:space="0" w:color="auto"/>
              <w:left w:val="single" w:sz="4" w:space="0" w:color="auto"/>
              <w:bottom w:val="single" w:sz="4" w:space="0" w:color="auto"/>
              <w:right w:val="single" w:sz="4" w:space="0" w:color="auto"/>
            </w:tcBorders>
          </w:tcPr>
          <w:p w14:paraId="62856B41" w14:textId="77777777" w:rsidR="00A07386" w:rsidRPr="002F4348" w:rsidRDefault="00A07386" w:rsidP="007C3C41">
            <w:pPr>
              <w:spacing w:line="240" w:lineRule="auto"/>
              <w:ind w:firstLine="0"/>
              <w:jc w:val="left"/>
              <w:rPr>
                <w:szCs w:val="24"/>
              </w:rPr>
            </w:pPr>
            <w:r w:rsidRPr="002F4348">
              <w:rPr>
                <w:szCs w:val="24"/>
              </w:rPr>
              <w:t>Винкристин**</w:t>
            </w:r>
          </w:p>
        </w:tc>
        <w:tc>
          <w:tcPr>
            <w:tcW w:w="2339" w:type="dxa"/>
            <w:tcBorders>
              <w:top w:val="single" w:sz="4" w:space="0" w:color="auto"/>
              <w:left w:val="single" w:sz="4" w:space="0" w:color="auto"/>
              <w:bottom w:val="single" w:sz="4" w:space="0" w:color="auto"/>
              <w:right w:val="single" w:sz="4" w:space="0" w:color="auto"/>
            </w:tcBorders>
          </w:tcPr>
          <w:p w14:paraId="337077E1" w14:textId="77777777" w:rsidR="00A07386" w:rsidRPr="002F4348" w:rsidRDefault="00A07386" w:rsidP="007C3C41">
            <w:pPr>
              <w:spacing w:line="240" w:lineRule="auto"/>
              <w:ind w:firstLine="0"/>
              <w:jc w:val="left"/>
              <w:rPr>
                <w:szCs w:val="24"/>
              </w:rPr>
            </w:pPr>
            <w:r w:rsidRPr="002F4348">
              <w:rPr>
                <w:szCs w:val="24"/>
              </w:rPr>
              <w:t>1,5 мг/м</w:t>
            </w:r>
            <w:r w:rsidRPr="002F4348">
              <w:rPr>
                <w:szCs w:val="24"/>
                <w:vertAlign w:val="superscript"/>
              </w:rPr>
              <w:t>2</w:t>
            </w:r>
            <w:r w:rsidRPr="002F4348">
              <w:rPr>
                <w:szCs w:val="24"/>
              </w:rPr>
              <w:t xml:space="preserve"> (макс. 2 мг)</w:t>
            </w:r>
          </w:p>
        </w:tc>
        <w:tc>
          <w:tcPr>
            <w:tcW w:w="2339" w:type="dxa"/>
            <w:tcBorders>
              <w:top w:val="single" w:sz="4" w:space="0" w:color="auto"/>
              <w:left w:val="single" w:sz="4" w:space="0" w:color="auto"/>
              <w:bottom w:val="single" w:sz="4" w:space="0" w:color="auto"/>
              <w:right w:val="single" w:sz="4" w:space="0" w:color="auto"/>
            </w:tcBorders>
          </w:tcPr>
          <w:p w14:paraId="7CB3AF5A" w14:textId="77777777" w:rsidR="00A07386" w:rsidRPr="002F4348" w:rsidRDefault="00A07386" w:rsidP="007C3C41">
            <w:pPr>
              <w:spacing w:line="240" w:lineRule="auto"/>
              <w:ind w:firstLine="0"/>
              <w:jc w:val="left"/>
              <w:rPr>
                <w:szCs w:val="24"/>
              </w:rPr>
            </w:pPr>
            <w:r w:rsidRPr="002F4348">
              <w:rPr>
                <w:szCs w:val="24"/>
              </w:rPr>
              <w:t>в/в струйно</w:t>
            </w:r>
          </w:p>
        </w:tc>
        <w:tc>
          <w:tcPr>
            <w:tcW w:w="2339" w:type="dxa"/>
            <w:tcBorders>
              <w:top w:val="single" w:sz="4" w:space="0" w:color="auto"/>
              <w:left w:val="single" w:sz="4" w:space="0" w:color="auto"/>
              <w:bottom w:val="single" w:sz="4" w:space="0" w:color="auto"/>
              <w:right w:val="single" w:sz="4" w:space="0" w:color="auto"/>
            </w:tcBorders>
          </w:tcPr>
          <w:p w14:paraId="145B0DE1" w14:textId="77777777" w:rsidR="00A07386" w:rsidRPr="002F4348" w:rsidRDefault="00A07386" w:rsidP="007C3C41">
            <w:pPr>
              <w:spacing w:line="240" w:lineRule="auto"/>
              <w:ind w:firstLine="0"/>
              <w:jc w:val="left"/>
              <w:rPr>
                <w:szCs w:val="24"/>
              </w:rPr>
            </w:pPr>
            <w:r w:rsidRPr="002F4348">
              <w:rPr>
                <w:szCs w:val="24"/>
              </w:rPr>
              <w:t>1,8,15</w:t>
            </w:r>
          </w:p>
        </w:tc>
      </w:tr>
      <w:tr w:rsidR="00A07386" w:rsidRPr="002F4348" w14:paraId="34F0318A" w14:textId="77777777" w:rsidTr="007C3C41">
        <w:trPr>
          <w:trHeight w:val="329"/>
        </w:trPr>
        <w:tc>
          <w:tcPr>
            <w:tcW w:w="2339" w:type="dxa"/>
            <w:tcBorders>
              <w:top w:val="single" w:sz="4" w:space="0" w:color="auto"/>
              <w:left w:val="single" w:sz="4" w:space="0" w:color="auto"/>
              <w:bottom w:val="single" w:sz="4" w:space="0" w:color="auto"/>
              <w:right w:val="single" w:sz="4" w:space="0" w:color="auto"/>
            </w:tcBorders>
          </w:tcPr>
          <w:p w14:paraId="453DAB69" w14:textId="77777777" w:rsidR="00A07386" w:rsidRPr="002F4348" w:rsidRDefault="00A07386" w:rsidP="007C3C41">
            <w:pPr>
              <w:spacing w:line="240" w:lineRule="auto"/>
              <w:ind w:firstLine="0"/>
              <w:jc w:val="left"/>
              <w:rPr>
                <w:szCs w:val="24"/>
              </w:rPr>
            </w:pPr>
            <w:r w:rsidRPr="002F4348">
              <w:rPr>
                <w:szCs w:val="24"/>
              </w:rPr>
              <w:t>Доксорубицин**</w:t>
            </w:r>
          </w:p>
        </w:tc>
        <w:tc>
          <w:tcPr>
            <w:tcW w:w="2339" w:type="dxa"/>
            <w:tcBorders>
              <w:top w:val="single" w:sz="4" w:space="0" w:color="auto"/>
              <w:left w:val="single" w:sz="4" w:space="0" w:color="auto"/>
              <w:bottom w:val="single" w:sz="4" w:space="0" w:color="auto"/>
              <w:right w:val="single" w:sz="4" w:space="0" w:color="auto"/>
            </w:tcBorders>
          </w:tcPr>
          <w:p w14:paraId="69E5C59E" w14:textId="77777777" w:rsidR="00A07386" w:rsidRPr="002F4348" w:rsidRDefault="00A07386" w:rsidP="007C3C41">
            <w:pPr>
              <w:spacing w:line="240" w:lineRule="auto"/>
              <w:ind w:firstLine="0"/>
              <w:jc w:val="left"/>
              <w:rPr>
                <w:szCs w:val="24"/>
              </w:rPr>
            </w:pPr>
            <w:r w:rsidRPr="002F4348">
              <w:rPr>
                <w:szCs w:val="24"/>
              </w:rPr>
              <w:t>40 мг/м</w:t>
            </w:r>
            <w:r w:rsidRPr="002F4348">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2EDB1C82" w14:textId="77777777" w:rsidR="00A07386" w:rsidRPr="002F4348" w:rsidRDefault="00A07386" w:rsidP="007C3C41">
            <w:pPr>
              <w:spacing w:line="240" w:lineRule="auto"/>
              <w:ind w:firstLine="0"/>
              <w:jc w:val="left"/>
              <w:rPr>
                <w:szCs w:val="24"/>
              </w:rPr>
            </w:pPr>
            <w:r w:rsidRPr="002F4348">
              <w:rPr>
                <w:szCs w:val="24"/>
              </w:rPr>
              <w:t>в/в в течение 1-6 час</w:t>
            </w:r>
          </w:p>
        </w:tc>
        <w:tc>
          <w:tcPr>
            <w:tcW w:w="2339" w:type="dxa"/>
            <w:tcBorders>
              <w:top w:val="single" w:sz="4" w:space="0" w:color="auto"/>
              <w:left w:val="single" w:sz="4" w:space="0" w:color="auto"/>
              <w:bottom w:val="single" w:sz="4" w:space="0" w:color="auto"/>
              <w:right w:val="single" w:sz="4" w:space="0" w:color="auto"/>
            </w:tcBorders>
          </w:tcPr>
          <w:p w14:paraId="26E18676" w14:textId="77777777" w:rsidR="00A07386" w:rsidRPr="002F4348" w:rsidRDefault="00A07386" w:rsidP="007C3C41">
            <w:pPr>
              <w:spacing w:line="240" w:lineRule="auto"/>
              <w:ind w:firstLine="0"/>
              <w:jc w:val="left"/>
              <w:rPr>
                <w:szCs w:val="24"/>
              </w:rPr>
            </w:pPr>
            <w:r w:rsidRPr="002F4348">
              <w:rPr>
                <w:szCs w:val="24"/>
              </w:rPr>
              <w:t>1,15</w:t>
            </w:r>
          </w:p>
        </w:tc>
      </w:tr>
      <w:tr w:rsidR="00A07386" w:rsidRPr="002F4348" w14:paraId="68617E06" w14:textId="77777777" w:rsidTr="007C3C41">
        <w:trPr>
          <w:trHeight w:val="329"/>
        </w:trPr>
        <w:tc>
          <w:tcPr>
            <w:tcW w:w="2339" w:type="dxa"/>
            <w:tcBorders>
              <w:top w:val="single" w:sz="4" w:space="0" w:color="auto"/>
              <w:left w:val="single" w:sz="4" w:space="0" w:color="auto"/>
              <w:bottom w:val="single" w:sz="4" w:space="0" w:color="auto"/>
              <w:right w:val="single" w:sz="4" w:space="0" w:color="auto"/>
            </w:tcBorders>
          </w:tcPr>
          <w:p w14:paraId="7DA93859" w14:textId="77777777" w:rsidR="00A07386" w:rsidRPr="002F4348" w:rsidRDefault="00A07386" w:rsidP="007C3C41">
            <w:pPr>
              <w:spacing w:line="240" w:lineRule="auto"/>
              <w:ind w:firstLine="0"/>
              <w:jc w:val="left"/>
              <w:rPr>
                <w:szCs w:val="24"/>
              </w:rPr>
            </w:pPr>
            <w:r w:rsidRPr="002F4348">
              <w:rPr>
                <w:szCs w:val="24"/>
              </w:rPr>
              <w:t>Этопозид**</w:t>
            </w:r>
          </w:p>
        </w:tc>
        <w:tc>
          <w:tcPr>
            <w:tcW w:w="2339" w:type="dxa"/>
            <w:tcBorders>
              <w:top w:val="single" w:sz="4" w:space="0" w:color="auto"/>
              <w:left w:val="single" w:sz="4" w:space="0" w:color="auto"/>
              <w:bottom w:val="single" w:sz="4" w:space="0" w:color="auto"/>
              <w:right w:val="single" w:sz="4" w:space="0" w:color="auto"/>
            </w:tcBorders>
          </w:tcPr>
          <w:p w14:paraId="5FE39788" w14:textId="77777777" w:rsidR="00A07386" w:rsidRPr="002F4348" w:rsidRDefault="00A07386" w:rsidP="007C3C41">
            <w:pPr>
              <w:spacing w:line="240" w:lineRule="auto"/>
              <w:ind w:firstLine="0"/>
              <w:jc w:val="left"/>
              <w:rPr>
                <w:szCs w:val="24"/>
              </w:rPr>
            </w:pPr>
            <w:r w:rsidRPr="002F4348">
              <w:rPr>
                <w:szCs w:val="24"/>
              </w:rPr>
              <w:t>125 мг/м</w:t>
            </w:r>
            <w:r w:rsidRPr="002F4348">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39391725" w14:textId="77777777" w:rsidR="00A07386" w:rsidRPr="002F4348" w:rsidRDefault="00A07386" w:rsidP="007C3C41">
            <w:pPr>
              <w:spacing w:line="240" w:lineRule="auto"/>
              <w:ind w:firstLine="0"/>
              <w:jc w:val="left"/>
              <w:rPr>
                <w:szCs w:val="24"/>
              </w:rPr>
            </w:pPr>
            <w:r w:rsidRPr="002F4348">
              <w:rPr>
                <w:szCs w:val="24"/>
              </w:rPr>
              <w:t>в/в в течение 1-2 час</w:t>
            </w:r>
          </w:p>
        </w:tc>
        <w:tc>
          <w:tcPr>
            <w:tcW w:w="2339" w:type="dxa"/>
            <w:tcBorders>
              <w:top w:val="single" w:sz="4" w:space="0" w:color="auto"/>
              <w:left w:val="single" w:sz="4" w:space="0" w:color="auto"/>
              <w:bottom w:val="single" w:sz="4" w:space="0" w:color="auto"/>
              <w:right w:val="single" w:sz="4" w:space="0" w:color="auto"/>
            </w:tcBorders>
          </w:tcPr>
          <w:p w14:paraId="5E39BF01" w14:textId="77777777" w:rsidR="00A07386" w:rsidRPr="002F4348" w:rsidRDefault="00077023" w:rsidP="00077023">
            <w:pPr>
              <w:spacing w:line="240" w:lineRule="auto"/>
              <w:ind w:firstLine="0"/>
              <w:jc w:val="left"/>
              <w:rPr>
                <w:szCs w:val="24"/>
              </w:rPr>
            </w:pPr>
            <w:r w:rsidRPr="002F4348">
              <w:rPr>
                <w:szCs w:val="24"/>
              </w:rPr>
              <w:t>2</w:t>
            </w:r>
            <w:r w:rsidR="00A07386" w:rsidRPr="002F4348">
              <w:rPr>
                <w:szCs w:val="24"/>
              </w:rPr>
              <w:t>-</w:t>
            </w:r>
            <w:r w:rsidRPr="002F4348">
              <w:rPr>
                <w:szCs w:val="24"/>
              </w:rPr>
              <w:t>6</w:t>
            </w:r>
          </w:p>
        </w:tc>
      </w:tr>
      <w:tr w:rsidR="00A07386" w:rsidRPr="002F4348" w14:paraId="6ECCE98F" w14:textId="77777777" w:rsidTr="007C3C41">
        <w:tc>
          <w:tcPr>
            <w:tcW w:w="9356" w:type="dxa"/>
            <w:gridSpan w:val="4"/>
            <w:tcBorders>
              <w:top w:val="single" w:sz="4" w:space="0" w:color="auto"/>
              <w:left w:val="single" w:sz="4" w:space="0" w:color="auto"/>
              <w:bottom w:val="single" w:sz="4" w:space="0" w:color="auto"/>
              <w:right w:val="single" w:sz="4" w:space="0" w:color="auto"/>
            </w:tcBorders>
            <w:vAlign w:val="center"/>
          </w:tcPr>
          <w:p w14:paraId="7F2CA543" w14:textId="77777777" w:rsidR="00A07386" w:rsidRPr="002F4348" w:rsidRDefault="00A07386" w:rsidP="007C3C41">
            <w:pPr>
              <w:spacing w:line="240" w:lineRule="auto"/>
              <w:ind w:firstLine="0"/>
              <w:jc w:val="left"/>
              <w:rPr>
                <w:szCs w:val="24"/>
              </w:rPr>
            </w:pPr>
            <w:r w:rsidRPr="002F4348">
              <w:rPr>
                <w:szCs w:val="24"/>
              </w:rPr>
              <w:t>Лечение возобновляется на 29 день</w:t>
            </w:r>
          </w:p>
        </w:tc>
      </w:tr>
      <w:tr w:rsidR="00A07386" w:rsidRPr="002F4348" w14:paraId="5301D669" w14:textId="77777777" w:rsidTr="007C3C41">
        <w:trPr>
          <w:trHeight w:val="329"/>
        </w:trPr>
        <w:tc>
          <w:tcPr>
            <w:tcW w:w="9356" w:type="dxa"/>
            <w:gridSpan w:val="4"/>
            <w:tcBorders>
              <w:top w:val="nil"/>
              <w:left w:val="nil"/>
              <w:bottom w:val="single" w:sz="4" w:space="0" w:color="auto"/>
              <w:right w:val="nil"/>
            </w:tcBorders>
          </w:tcPr>
          <w:p w14:paraId="4628F448" w14:textId="77777777" w:rsidR="00A07386" w:rsidRPr="002F4348" w:rsidRDefault="00A07386" w:rsidP="007C3C41">
            <w:pPr>
              <w:spacing w:line="240" w:lineRule="auto"/>
              <w:ind w:firstLine="0"/>
              <w:jc w:val="left"/>
              <w:rPr>
                <w:b/>
                <w:bCs/>
                <w:szCs w:val="24"/>
              </w:rPr>
            </w:pPr>
          </w:p>
          <w:p w14:paraId="2C304633" w14:textId="77777777" w:rsidR="00A07386" w:rsidRPr="002F4348" w:rsidRDefault="00A07386" w:rsidP="007C3C41">
            <w:pPr>
              <w:spacing w:line="240" w:lineRule="auto"/>
              <w:ind w:firstLine="0"/>
              <w:jc w:val="left"/>
              <w:rPr>
                <w:b/>
                <w:bCs/>
                <w:szCs w:val="24"/>
              </w:rPr>
            </w:pPr>
            <w:r w:rsidRPr="002F4348">
              <w:rPr>
                <w:b/>
                <w:bCs/>
                <w:szCs w:val="24"/>
                <w:lang w:val="en-US"/>
              </w:rPr>
              <w:t>COPDAC</w:t>
            </w:r>
            <w:r w:rsidR="007F707A" w:rsidRPr="002F4348">
              <w:rPr>
                <w:b/>
                <w:bCs/>
                <w:szCs w:val="24"/>
              </w:rPr>
              <w:t xml:space="preserve"> </w:t>
            </w:r>
            <w:r w:rsidR="007F707A" w:rsidRPr="002F4348">
              <w:rPr>
                <w:lang w:eastAsia="ru-RU"/>
              </w:rPr>
              <w:fldChar w:fldCharType="begin" w:fldLock="1"/>
            </w:r>
            <w:r w:rsidR="002C6C01" w:rsidRPr="002F4348">
              <w:rPr>
                <w:lang w:eastAsia="ru-RU"/>
              </w:rPr>
              <w:instrText>ADDIN CSL_CITATION {"citationItems":[{"id":"ITEM-1","itemData":{"DOI":"10.1200/JCO.2009.26.9381","ISSN":"0732183X","abstract":"Purpose: Vincristine, etoposide, prednisone, and doxorubicin (OEPA)-cyclophosphamide, vincristine, prednisone, and dacarbazine (COPDAC) is derived from standard vincristine, procarbazine, prednisone, and doxorubicin (OPPA)-cyclophosphamide, vincristine, procarbazine, and prednisone (COPP) chemotherapy by replacing procarbazine with etoposide and dacarbazine for a potentially less gonadotoxic regimen for boys with Hodgkin's lymphoma (HL). Patients and Methods: Five hundred seventy-three pediatric patients with classical HL were enrolled onto the German Society of Pediatric Oncology and Hematology-Hodgkin's Disease (GPOH-HD) -2002 study between November 2002 and December 2005. Boys received two courses of OEPA and girls received two courses of OPPA for induction. Treatment group (TG) -2 (intermediate stages) and TG-3 (advanced stages) patients received further two or four cycles COPP (girls) or COPDAC (boys), respectively. After chemotherapy all patients received involved-field irradiation with 19.8 Gy, except for patients with early-stage disease (TG-1) in complete remission. Results: Five hundred seventy-three patients (287 males and 286 females) were less than 18 years old and fulfilled all inclusion criteria; 195 patients (34.0%) were allocated to TG-1, 139 (24.3%) were allocated to TG-2, and 239 (41.7%) were allocated to TG-3. Toxicity of OEPA-COPDAC was tolerable overall. Hematotoxicity was more pronounced with OEPA than OPPA, whereas it was less pronounced with COPDAC compared with COPP. The median observation time was 58.6 months. Overall survival and event-free survival (EFS) rates (± SE) at 5 years were 97.4% ± 0.7% and 89.0% ± 1.4%, respectively. In TG-1, overall EFS was 92.0% ± 2.0%. EFS of patients without irradiation (93.2% ± 3.3%) was similar to that of irradiated patients (91.7% ± 2.5%), confirming results of the previous GPOH-HD-95 study. In TG-2+3, EFS did not significantly differ between boys and girls (90.2% ± 2.3 v 84.7% ± 2.7, respectively; P = .12). Conclusion: In TG-2+3, results in boys and girls are superimposable. OPPA-COPP and OEPA-COPDAC seem to be exchangeable regimens in intermediate- and advanced-stage classical HL in pediatric patients. © 2010 by American Society of Clinical Oncology.","author":[{"dropping-particle":"","family":"Mauz-Körholz","given":"Christine","non-dropping-particle":"","parse-names":false,"suffix":""},{"dropping-particle":"","family":"Hasenclever","given":"Dirk","non-dropping-particle":"","parse-names":false,"suffix":""},{"dropping-particle":"","family":"Dörffel","given":"Wolfgang","non-dropping-particle":"","parse-names":false,"suffix":""},{"dropping-particle":"","family":"Ruschke","given":"Kathrin","non-dropping-particle":"","parse-names":false,"suffix":""},{"dropping-particle":"","family":"Pelz","given":"Tanja","non-dropping-particle":"","parse-names":false,"suffix":""},{"dropping-particle":"","family":"Voigt","given":"Antje","non-dropping-particle":"","parse-names":false,"suffix":""},{"dropping-particle":"","family":"Stiefel","given":"Martina","non-dropping-particle":"","parse-names":false,"suffix":""},{"dropping-particle":"","family":"Winkler","given":"Melanie","non-dropping-particle":"","parse-names":false,"suffix":""},{"dropping-particle":"","family":"Vilser","given":"Constanze","non-dropping-particle":"","parse-names":false,"suffix":""},{"dropping-particle":"","family":"Dieckmann","given":"Karin","non-dropping-particle":"","parse-names":false,"suffix":""},{"dropping-particle":"","family":"Karlén","given":"Jonas","non-dropping-particle":"","parse-names":false,"suffix":""},{"dropping-particle":"","family":"Bergsträsser","given":"Eva","non-dropping-particle":"","parse-names":false,"suffix":""},{"dropping-particle":"","family":"Fosså","given":"Alexander","non-dropping-particle":"","parse-names":false,"suffix":""},{"dropping-particle":"","family":"Mann","given":"Georg","non-dropping-particle":"","parse-names":false,"suffix":""},{"dropping-particle":"","family":"Hummel","given":"Michael","non-dropping-particle":"","parse-names":false,"suffix":""},{"dropping-particle":"","family":"Klapper","given":"Wolfram","non-dropping-particle":"","parse-names":false,"suffix":""},{"dropping-particle":"","family":"Stein","given":"Harald","non-dropping-particle":"","parse-names":false,"suffix":""},{"dropping-particle":"","family":"Vordermark","given":"Dirk","non-dropping-particle":"","parse-names":false,"suffix":""},{"dropping-particle":"","family":"Kluge","given":"Regine","non-dropping-particle":"","parse-names":false,"suffix":""},{"dropping-particle":"","family":"Körholz","given":"Dieter","non-dropping-particle":"","parse-names":false,"suffix":""}],"container-title":"Journal of Clinical Oncology","id":"ITEM-1","issue":"23","issued":{"date-parts":[["2010","8","10"]]},"page":"3680-3686","title":"Procarbazine-free OEPA-COPDAC chemotherapy in boys and standard OPPA-COPP in girls have comparable effectiveness in pediatric Hodgkin's lymphoma: The GPOH-HD-2002 study","type":"article-journal","volume":"28"},"uris":["http://www.mendeley.com/documents/?uuid=01a720d9-77af-45be-b300-986f3b5c8cb8","http://www.mendeley.com/documents/?uuid=eb98370d-ea11-3cf2-92b5-796ea93c5f6a"]}],"mendeley":{"formattedCitation":"[31]","plainTextFormattedCitation":"[31]","previouslyFormattedCitation":"[31]"},"properties":{"noteIndex":0},"schema":"https://github.com/citation-style-language/schema/raw/master/csl-citation.json"}</w:instrText>
            </w:r>
            <w:r w:rsidR="007F707A" w:rsidRPr="002F4348">
              <w:rPr>
                <w:lang w:eastAsia="ru-RU"/>
              </w:rPr>
              <w:fldChar w:fldCharType="separate"/>
            </w:r>
            <w:r w:rsidR="007F707A" w:rsidRPr="002F4348">
              <w:rPr>
                <w:noProof/>
                <w:lang w:eastAsia="ru-RU"/>
              </w:rPr>
              <w:t>[31]</w:t>
            </w:r>
            <w:r w:rsidR="007F707A" w:rsidRPr="002F4348">
              <w:rPr>
                <w:lang w:eastAsia="ru-RU"/>
              </w:rPr>
              <w:fldChar w:fldCharType="end"/>
            </w:r>
          </w:p>
        </w:tc>
      </w:tr>
      <w:tr w:rsidR="00A07386" w:rsidRPr="002F4348" w14:paraId="48923C71" w14:textId="77777777" w:rsidTr="007C3C41">
        <w:trPr>
          <w:trHeight w:val="329"/>
        </w:trPr>
        <w:tc>
          <w:tcPr>
            <w:tcW w:w="2339" w:type="dxa"/>
            <w:tcBorders>
              <w:top w:val="single" w:sz="4" w:space="0" w:color="auto"/>
              <w:left w:val="single" w:sz="4" w:space="0" w:color="auto"/>
              <w:bottom w:val="single" w:sz="4" w:space="0" w:color="auto"/>
              <w:right w:val="single" w:sz="4" w:space="0" w:color="auto"/>
            </w:tcBorders>
            <w:hideMark/>
          </w:tcPr>
          <w:p w14:paraId="088B69B7" w14:textId="77777777" w:rsidR="00A07386" w:rsidRPr="002F4348" w:rsidRDefault="00A07386" w:rsidP="007C3C41">
            <w:pPr>
              <w:spacing w:line="240" w:lineRule="auto"/>
              <w:ind w:firstLine="0"/>
              <w:jc w:val="left"/>
              <w:rPr>
                <w:szCs w:val="24"/>
              </w:rPr>
            </w:pPr>
            <w:r w:rsidRPr="002F4348">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676356B6" w14:textId="77777777" w:rsidR="00A07386" w:rsidRPr="002F4348" w:rsidRDefault="00A07386" w:rsidP="007C3C41">
            <w:pPr>
              <w:spacing w:line="240" w:lineRule="auto"/>
              <w:ind w:firstLine="0"/>
              <w:jc w:val="left"/>
              <w:rPr>
                <w:szCs w:val="24"/>
              </w:rPr>
            </w:pPr>
            <w:r w:rsidRPr="002F4348">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69027E06" w14:textId="77777777" w:rsidR="00A07386" w:rsidRPr="002F4348" w:rsidRDefault="00A07386" w:rsidP="007C3C41">
            <w:pPr>
              <w:spacing w:line="240" w:lineRule="auto"/>
              <w:ind w:firstLine="0"/>
              <w:jc w:val="left"/>
              <w:rPr>
                <w:szCs w:val="24"/>
              </w:rPr>
            </w:pPr>
            <w:r w:rsidRPr="002F4348">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1FA99A54" w14:textId="77777777" w:rsidR="00A07386" w:rsidRPr="002F4348" w:rsidRDefault="00A07386" w:rsidP="007C3C41">
            <w:pPr>
              <w:spacing w:line="240" w:lineRule="auto"/>
              <w:ind w:firstLine="0"/>
              <w:jc w:val="left"/>
              <w:rPr>
                <w:szCs w:val="24"/>
              </w:rPr>
            </w:pPr>
            <w:r w:rsidRPr="002F4348">
              <w:rPr>
                <w:szCs w:val="24"/>
              </w:rPr>
              <w:t>Дни введения</w:t>
            </w:r>
          </w:p>
        </w:tc>
      </w:tr>
      <w:tr w:rsidR="00A07386" w:rsidRPr="002F4348" w14:paraId="67D598AA" w14:textId="77777777" w:rsidTr="007C3C41">
        <w:trPr>
          <w:trHeight w:val="329"/>
        </w:trPr>
        <w:tc>
          <w:tcPr>
            <w:tcW w:w="2339" w:type="dxa"/>
            <w:tcBorders>
              <w:top w:val="single" w:sz="4" w:space="0" w:color="auto"/>
              <w:left w:val="single" w:sz="4" w:space="0" w:color="auto"/>
              <w:bottom w:val="single" w:sz="4" w:space="0" w:color="auto"/>
              <w:right w:val="single" w:sz="4" w:space="0" w:color="auto"/>
            </w:tcBorders>
            <w:hideMark/>
          </w:tcPr>
          <w:p w14:paraId="2D25902C" w14:textId="77777777" w:rsidR="00A07386" w:rsidRPr="002F4348" w:rsidRDefault="00A07386" w:rsidP="007C3C41">
            <w:pPr>
              <w:spacing w:line="240" w:lineRule="auto"/>
              <w:ind w:firstLine="0"/>
              <w:jc w:val="left"/>
              <w:rPr>
                <w:szCs w:val="24"/>
              </w:rPr>
            </w:pPr>
            <w:r w:rsidRPr="002F4348">
              <w:rPr>
                <w:szCs w:val="24"/>
              </w:rPr>
              <w:t>Преднизолон**</w:t>
            </w:r>
          </w:p>
        </w:tc>
        <w:tc>
          <w:tcPr>
            <w:tcW w:w="2339" w:type="dxa"/>
            <w:tcBorders>
              <w:top w:val="single" w:sz="4" w:space="0" w:color="auto"/>
              <w:left w:val="single" w:sz="4" w:space="0" w:color="auto"/>
              <w:bottom w:val="single" w:sz="4" w:space="0" w:color="auto"/>
              <w:right w:val="single" w:sz="4" w:space="0" w:color="auto"/>
            </w:tcBorders>
          </w:tcPr>
          <w:p w14:paraId="1518A8A7" w14:textId="77777777" w:rsidR="00A07386" w:rsidRPr="002F4348" w:rsidRDefault="00A07386" w:rsidP="007C3C41">
            <w:pPr>
              <w:spacing w:line="240" w:lineRule="auto"/>
              <w:ind w:firstLine="0"/>
              <w:jc w:val="left"/>
              <w:rPr>
                <w:szCs w:val="24"/>
              </w:rPr>
            </w:pPr>
            <w:r w:rsidRPr="002F4348">
              <w:rPr>
                <w:szCs w:val="24"/>
              </w:rPr>
              <w:t>40 мг/м</w:t>
            </w:r>
            <w:r w:rsidRPr="002F4348">
              <w:rPr>
                <w:szCs w:val="24"/>
                <w:vertAlign w:val="superscript"/>
              </w:rPr>
              <w:t>2</w:t>
            </w:r>
            <w:r w:rsidRPr="002F4348">
              <w:rPr>
                <w:szCs w:val="24"/>
              </w:rPr>
              <w:t>/сут р.о.  на 3 приема</w:t>
            </w:r>
          </w:p>
        </w:tc>
        <w:tc>
          <w:tcPr>
            <w:tcW w:w="2339" w:type="dxa"/>
            <w:tcBorders>
              <w:top w:val="single" w:sz="4" w:space="0" w:color="auto"/>
              <w:left w:val="single" w:sz="4" w:space="0" w:color="auto"/>
              <w:bottom w:val="single" w:sz="4" w:space="0" w:color="auto"/>
              <w:right w:val="single" w:sz="4" w:space="0" w:color="auto"/>
            </w:tcBorders>
            <w:hideMark/>
          </w:tcPr>
          <w:p w14:paraId="6E0AB8C6" w14:textId="77777777" w:rsidR="00A07386" w:rsidRPr="002F4348" w:rsidRDefault="00A07386" w:rsidP="007C3C41">
            <w:pPr>
              <w:spacing w:line="240" w:lineRule="auto"/>
              <w:ind w:firstLine="0"/>
              <w:jc w:val="left"/>
              <w:rPr>
                <w:szCs w:val="24"/>
              </w:rPr>
            </w:pPr>
            <w:r w:rsidRPr="002F4348">
              <w:rPr>
                <w:szCs w:val="24"/>
              </w:rPr>
              <w:t>внутрь</w:t>
            </w:r>
          </w:p>
        </w:tc>
        <w:tc>
          <w:tcPr>
            <w:tcW w:w="2339" w:type="dxa"/>
            <w:tcBorders>
              <w:top w:val="single" w:sz="4" w:space="0" w:color="auto"/>
              <w:left w:val="single" w:sz="4" w:space="0" w:color="auto"/>
              <w:bottom w:val="single" w:sz="4" w:space="0" w:color="auto"/>
              <w:right w:val="single" w:sz="4" w:space="0" w:color="auto"/>
            </w:tcBorders>
          </w:tcPr>
          <w:p w14:paraId="2C5F8748" w14:textId="77777777" w:rsidR="00A07386" w:rsidRPr="002F4348" w:rsidRDefault="00A07386" w:rsidP="007C3C41">
            <w:pPr>
              <w:spacing w:line="240" w:lineRule="auto"/>
              <w:ind w:firstLine="0"/>
              <w:jc w:val="left"/>
              <w:rPr>
                <w:szCs w:val="24"/>
              </w:rPr>
            </w:pPr>
            <w:r w:rsidRPr="002F4348">
              <w:rPr>
                <w:szCs w:val="24"/>
              </w:rPr>
              <w:t>1-15</w:t>
            </w:r>
          </w:p>
        </w:tc>
      </w:tr>
      <w:tr w:rsidR="00A07386" w:rsidRPr="002F4348" w14:paraId="53FA58F5" w14:textId="77777777" w:rsidTr="007C3C41">
        <w:trPr>
          <w:trHeight w:val="329"/>
        </w:trPr>
        <w:tc>
          <w:tcPr>
            <w:tcW w:w="2339" w:type="dxa"/>
            <w:tcBorders>
              <w:top w:val="single" w:sz="4" w:space="0" w:color="auto"/>
              <w:left w:val="single" w:sz="4" w:space="0" w:color="auto"/>
              <w:bottom w:val="single" w:sz="4" w:space="0" w:color="auto"/>
              <w:right w:val="single" w:sz="4" w:space="0" w:color="auto"/>
            </w:tcBorders>
          </w:tcPr>
          <w:p w14:paraId="084EA4DA" w14:textId="77777777" w:rsidR="00A07386" w:rsidRPr="002F4348" w:rsidRDefault="00A07386" w:rsidP="007C3C41">
            <w:pPr>
              <w:spacing w:line="240" w:lineRule="auto"/>
              <w:ind w:firstLine="0"/>
              <w:jc w:val="left"/>
              <w:rPr>
                <w:szCs w:val="24"/>
              </w:rPr>
            </w:pPr>
            <w:r w:rsidRPr="002F4348">
              <w:rPr>
                <w:szCs w:val="24"/>
              </w:rPr>
              <w:t>Винкристин**</w:t>
            </w:r>
          </w:p>
        </w:tc>
        <w:tc>
          <w:tcPr>
            <w:tcW w:w="2339" w:type="dxa"/>
            <w:tcBorders>
              <w:top w:val="single" w:sz="4" w:space="0" w:color="auto"/>
              <w:left w:val="single" w:sz="4" w:space="0" w:color="auto"/>
              <w:bottom w:val="single" w:sz="4" w:space="0" w:color="auto"/>
              <w:right w:val="single" w:sz="4" w:space="0" w:color="auto"/>
            </w:tcBorders>
          </w:tcPr>
          <w:p w14:paraId="4C16F2AC" w14:textId="77777777" w:rsidR="00A07386" w:rsidRPr="002F4348" w:rsidRDefault="00A07386" w:rsidP="007C3C41">
            <w:pPr>
              <w:spacing w:line="240" w:lineRule="auto"/>
              <w:ind w:firstLine="0"/>
              <w:jc w:val="left"/>
              <w:rPr>
                <w:szCs w:val="24"/>
              </w:rPr>
            </w:pPr>
            <w:r w:rsidRPr="002F4348">
              <w:rPr>
                <w:szCs w:val="24"/>
              </w:rPr>
              <w:t>1,5 мг/м</w:t>
            </w:r>
            <w:r w:rsidRPr="002F4348">
              <w:rPr>
                <w:szCs w:val="24"/>
                <w:vertAlign w:val="superscript"/>
              </w:rPr>
              <w:t>2</w:t>
            </w:r>
            <w:r w:rsidRPr="002F4348">
              <w:rPr>
                <w:szCs w:val="24"/>
              </w:rPr>
              <w:t xml:space="preserve"> (макс. 2 мг)</w:t>
            </w:r>
          </w:p>
        </w:tc>
        <w:tc>
          <w:tcPr>
            <w:tcW w:w="2339" w:type="dxa"/>
            <w:tcBorders>
              <w:top w:val="single" w:sz="4" w:space="0" w:color="auto"/>
              <w:left w:val="single" w:sz="4" w:space="0" w:color="auto"/>
              <w:bottom w:val="single" w:sz="4" w:space="0" w:color="auto"/>
              <w:right w:val="single" w:sz="4" w:space="0" w:color="auto"/>
            </w:tcBorders>
          </w:tcPr>
          <w:p w14:paraId="27688228" w14:textId="77777777" w:rsidR="00A07386" w:rsidRPr="002F4348" w:rsidRDefault="00A07386" w:rsidP="007C3C41">
            <w:pPr>
              <w:spacing w:line="240" w:lineRule="auto"/>
              <w:ind w:firstLine="0"/>
              <w:jc w:val="left"/>
              <w:rPr>
                <w:szCs w:val="24"/>
              </w:rPr>
            </w:pPr>
            <w:r w:rsidRPr="002F4348">
              <w:rPr>
                <w:szCs w:val="24"/>
              </w:rPr>
              <w:t>в/в струйно</w:t>
            </w:r>
          </w:p>
        </w:tc>
        <w:tc>
          <w:tcPr>
            <w:tcW w:w="2339" w:type="dxa"/>
            <w:tcBorders>
              <w:top w:val="single" w:sz="4" w:space="0" w:color="auto"/>
              <w:left w:val="single" w:sz="4" w:space="0" w:color="auto"/>
              <w:bottom w:val="single" w:sz="4" w:space="0" w:color="auto"/>
              <w:right w:val="single" w:sz="4" w:space="0" w:color="auto"/>
            </w:tcBorders>
          </w:tcPr>
          <w:p w14:paraId="6F5611EB" w14:textId="77777777" w:rsidR="00A07386" w:rsidRPr="002F4348" w:rsidRDefault="00A07386" w:rsidP="007C3C41">
            <w:pPr>
              <w:spacing w:line="240" w:lineRule="auto"/>
              <w:ind w:firstLine="0"/>
              <w:jc w:val="left"/>
              <w:rPr>
                <w:szCs w:val="24"/>
              </w:rPr>
            </w:pPr>
            <w:r w:rsidRPr="002F4348">
              <w:rPr>
                <w:szCs w:val="24"/>
              </w:rPr>
              <w:t>1,</w:t>
            </w:r>
            <w:r w:rsidR="00AD6B12" w:rsidRPr="002F4348">
              <w:rPr>
                <w:szCs w:val="24"/>
              </w:rPr>
              <w:t xml:space="preserve"> </w:t>
            </w:r>
            <w:r w:rsidRPr="002F4348">
              <w:rPr>
                <w:szCs w:val="24"/>
              </w:rPr>
              <w:t>8</w:t>
            </w:r>
          </w:p>
        </w:tc>
      </w:tr>
      <w:tr w:rsidR="00A07386" w:rsidRPr="002F4348" w14:paraId="57068298" w14:textId="77777777" w:rsidTr="007C3C41">
        <w:trPr>
          <w:trHeight w:val="329"/>
        </w:trPr>
        <w:tc>
          <w:tcPr>
            <w:tcW w:w="2339" w:type="dxa"/>
            <w:tcBorders>
              <w:top w:val="single" w:sz="4" w:space="0" w:color="auto"/>
              <w:left w:val="single" w:sz="4" w:space="0" w:color="auto"/>
              <w:bottom w:val="single" w:sz="4" w:space="0" w:color="auto"/>
              <w:right w:val="single" w:sz="4" w:space="0" w:color="auto"/>
            </w:tcBorders>
          </w:tcPr>
          <w:p w14:paraId="4633A11F" w14:textId="77777777" w:rsidR="00A07386" w:rsidRPr="002F4348" w:rsidRDefault="00A07386" w:rsidP="007C3C41">
            <w:pPr>
              <w:spacing w:line="240" w:lineRule="auto"/>
              <w:ind w:firstLine="0"/>
              <w:jc w:val="left"/>
              <w:rPr>
                <w:szCs w:val="24"/>
              </w:rPr>
            </w:pPr>
            <w:r w:rsidRPr="002F4348">
              <w:rPr>
                <w:szCs w:val="24"/>
              </w:rPr>
              <w:t>Дакарбазин**</w:t>
            </w:r>
          </w:p>
        </w:tc>
        <w:tc>
          <w:tcPr>
            <w:tcW w:w="2339" w:type="dxa"/>
            <w:tcBorders>
              <w:top w:val="single" w:sz="4" w:space="0" w:color="auto"/>
              <w:left w:val="single" w:sz="4" w:space="0" w:color="auto"/>
              <w:bottom w:val="single" w:sz="4" w:space="0" w:color="auto"/>
              <w:right w:val="single" w:sz="4" w:space="0" w:color="auto"/>
            </w:tcBorders>
          </w:tcPr>
          <w:p w14:paraId="45B8EE3D" w14:textId="77777777" w:rsidR="00A07386" w:rsidRPr="002F4348" w:rsidRDefault="00A07386" w:rsidP="007C3C41">
            <w:pPr>
              <w:spacing w:line="240" w:lineRule="auto"/>
              <w:ind w:firstLine="0"/>
              <w:jc w:val="left"/>
              <w:rPr>
                <w:szCs w:val="24"/>
              </w:rPr>
            </w:pPr>
            <w:r w:rsidRPr="002F4348">
              <w:rPr>
                <w:szCs w:val="24"/>
              </w:rPr>
              <w:t>250 мг/м</w:t>
            </w:r>
            <w:r w:rsidRPr="002F4348">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62987B0A" w14:textId="77777777" w:rsidR="00A07386" w:rsidRPr="002F4348" w:rsidRDefault="00A07386" w:rsidP="007C3C41">
            <w:pPr>
              <w:spacing w:line="240" w:lineRule="auto"/>
              <w:ind w:firstLine="0"/>
              <w:jc w:val="left"/>
              <w:rPr>
                <w:szCs w:val="24"/>
              </w:rPr>
            </w:pPr>
            <w:r w:rsidRPr="002F4348">
              <w:rPr>
                <w:szCs w:val="24"/>
              </w:rPr>
              <w:t>в/в в течение 30 мин</w:t>
            </w:r>
          </w:p>
        </w:tc>
        <w:tc>
          <w:tcPr>
            <w:tcW w:w="2339" w:type="dxa"/>
            <w:tcBorders>
              <w:top w:val="single" w:sz="4" w:space="0" w:color="auto"/>
              <w:left w:val="single" w:sz="4" w:space="0" w:color="auto"/>
              <w:bottom w:val="single" w:sz="4" w:space="0" w:color="auto"/>
              <w:right w:val="single" w:sz="4" w:space="0" w:color="auto"/>
            </w:tcBorders>
          </w:tcPr>
          <w:p w14:paraId="0EB52985" w14:textId="77777777" w:rsidR="00A07386" w:rsidRPr="002F4348" w:rsidRDefault="00A07386" w:rsidP="007C3C41">
            <w:pPr>
              <w:spacing w:line="240" w:lineRule="auto"/>
              <w:ind w:firstLine="0"/>
              <w:jc w:val="left"/>
              <w:rPr>
                <w:szCs w:val="24"/>
              </w:rPr>
            </w:pPr>
            <w:r w:rsidRPr="002F4348">
              <w:rPr>
                <w:szCs w:val="24"/>
              </w:rPr>
              <w:t>1, 2, 3</w:t>
            </w:r>
          </w:p>
        </w:tc>
      </w:tr>
      <w:tr w:rsidR="00A07386" w:rsidRPr="002F4348" w14:paraId="0BFF302E" w14:textId="77777777" w:rsidTr="007C3C41">
        <w:trPr>
          <w:trHeight w:val="329"/>
        </w:trPr>
        <w:tc>
          <w:tcPr>
            <w:tcW w:w="2339" w:type="dxa"/>
            <w:tcBorders>
              <w:top w:val="single" w:sz="4" w:space="0" w:color="auto"/>
              <w:left w:val="single" w:sz="4" w:space="0" w:color="auto"/>
              <w:bottom w:val="single" w:sz="4" w:space="0" w:color="auto"/>
              <w:right w:val="single" w:sz="4" w:space="0" w:color="auto"/>
            </w:tcBorders>
          </w:tcPr>
          <w:p w14:paraId="2FCCF2A9" w14:textId="77777777" w:rsidR="00A07386" w:rsidRPr="002F4348" w:rsidRDefault="00A07386" w:rsidP="007C3C41">
            <w:pPr>
              <w:spacing w:line="240" w:lineRule="auto"/>
              <w:ind w:firstLine="0"/>
              <w:jc w:val="left"/>
              <w:rPr>
                <w:szCs w:val="24"/>
              </w:rPr>
            </w:pPr>
            <w:r w:rsidRPr="002F4348">
              <w:rPr>
                <w:szCs w:val="24"/>
              </w:rPr>
              <w:t>Циклофосфамид**</w:t>
            </w:r>
          </w:p>
        </w:tc>
        <w:tc>
          <w:tcPr>
            <w:tcW w:w="2339" w:type="dxa"/>
            <w:tcBorders>
              <w:top w:val="single" w:sz="4" w:space="0" w:color="auto"/>
              <w:left w:val="single" w:sz="4" w:space="0" w:color="auto"/>
              <w:bottom w:val="single" w:sz="4" w:space="0" w:color="auto"/>
              <w:right w:val="single" w:sz="4" w:space="0" w:color="auto"/>
            </w:tcBorders>
          </w:tcPr>
          <w:p w14:paraId="64861762" w14:textId="77777777" w:rsidR="00A07386" w:rsidRPr="002F4348" w:rsidRDefault="00A07386" w:rsidP="007C3C41">
            <w:pPr>
              <w:spacing w:line="240" w:lineRule="auto"/>
              <w:ind w:firstLine="0"/>
              <w:jc w:val="left"/>
              <w:rPr>
                <w:szCs w:val="24"/>
              </w:rPr>
            </w:pPr>
            <w:r w:rsidRPr="002F4348">
              <w:rPr>
                <w:szCs w:val="24"/>
              </w:rPr>
              <w:t>500 мг/м</w:t>
            </w:r>
            <w:r w:rsidRPr="002F4348">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073BEA37" w14:textId="77777777" w:rsidR="00A07386" w:rsidRPr="002F4348" w:rsidRDefault="00A07386" w:rsidP="007C3C41">
            <w:pPr>
              <w:spacing w:line="240" w:lineRule="auto"/>
              <w:ind w:firstLine="0"/>
              <w:jc w:val="left"/>
              <w:rPr>
                <w:szCs w:val="24"/>
              </w:rPr>
            </w:pPr>
            <w:r w:rsidRPr="002F4348">
              <w:rPr>
                <w:szCs w:val="24"/>
              </w:rPr>
              <w:t>в/в в течение 1 часа</w:t>
            </w:r>
          </w:p>
        </w:tc>
        <w:tc>
          <w:tcPr>
            <w:tcW w:w="2339" w:type="dxa"/>
            <w:tcBorders>
              <w:top w:val="single" w:sz="4" w:space="0" w:color="auto"/>
              <w:left w:val="single" w:sz="4" w:space="0" w:color="auto"/>
              <w:bottom w:val="single" w:sz="4" w:space="0" w:color="auto"/>
              <w:right w:val="single" w:sz="4" w:space="0" w:color="auto"/>
            </w:tcBorders>
          </w:tcPr>
          <w:p w14:paraId="2094EAC4" w14:textId="77777777" w:rsidR="00A07386" w:rsidRPr="002F4348" w:rsidRDefault="00A07386" w:rsidP="007C3C41">
            <w:pPr>
              <w:spacing w:line="240" w:lineRule="auto"/>
              <w:ind w:firstLine="0"/>
              <w:jc w:val="left"/>
              <w:rPr>
                <w:szCs w:val="24"/>
              </w:rPr>
            </w:pPr>
            <w:r w:rsidRPr="002F4348">
              <w:rPr>
                <w:szCs w:val="24"/>
              </w:rPr>
              <w:t>1, 8</w:t>
            </w:r>
          </w:p>
        </w:tc>
      </w:tr>
      <w:tr w:rsidR="00A07386" w:rsidRPr="002F4348" w14:paraId="7E240D5C" w14:textId="77777777" w:rsidTr="007C3C41">
        <w:tc>
          <w:tcPr>
            <w:tcW w:w="9356" w:type="dxa"/>
            <w:gridSpan w:val="4"/>
            <w:tcBorders>
              <w:top w:val="single" w:sz="4" w:space="0" w:color="auto"/>
              <w:left w:val="single" w:sz="4" w:space="0" w:color="auto"/>
              <w:bottom w:val="single" w:sz="4" w:space="0" w:color="auto"/>
              <w:right w:val="single" w:sz="4" w:space="0" w:color="auto"/>
            </w:tcBorders>
            <w:vAlign w:val="center"/>
          </w:tcPr>
          <w:p w14:paraId="57E8196B" w14:textId="77777777" w:rsidR="00A07386" w:rsidRPr="002F4348" w:rsidRDefault="00A07386" w:rsidP="007C3C41">
            <w:pPr>
              <w:spacing w:line="240" w:lineRule="auto"/>
              <w:ind w:firstLine="0"/>
              <w:jc w:val="left"/>
              <w:rPr>
                <w:szCs w:val="24"/>
              </w:rPr>
            </w:pPr>
            <w:r w:rsidRPr="002F4348">
              <w:rPr>
                <w:szCs w:val="24"/>
              </w:rPr>
              <w:t>Лечение возобновляется на 29 день</w:t>
            </w:r>
          </w:p>
        </w:tc>
      </w:tr>
    </w:tbl>
    <w:p w14:paraId="48218D6A" w14:textId="77777777" w:rsidR="00571482" w:rsidRPr="002F4348" w:rsidRDefault="00571482" w:rsidP="00571482">
      <w:pPr>
        <w:pStyle w:val="afd"/>
        <w:ind w:firstLine="0"/>
        <w:rPr>
          <w:b/>
          <w:bCs/>
          <w:u w:val="single"/>
        </w:rPr>
      </w:pPr>
      <w:r w:rsidRPr="002F4348">
        <w:rPr>
          <w:b/>
          <w:bCs/>
          <w:u w:val="single"/>
        </w:rPr>
        <w:t>3.3.</w:t>
      </w:r>
      <w:r w:rsidR="00D254F2" w:rsidRPr="002F4348">
        <w:rPr>
          <w:b/>
          <w:bCs/>
          <w:u w:val="single"/>
        </w:rPr>
        <w:t>3</w:t>
      </w:r>
      <w:r w:rsidRPr="002F4348">
        <w:rPr>
          <w:b/>
          <w:bCs/>
          <w:u w:val="single"/>
        </w:rPr>
        <w:t xml:space="preserve"> Схемы терапии пожилых пациентов с лимфомой Ходжкина</w:t>
      </w:r>
    </w:p>
    <w:tbl>
      <w:tblPr>
        <w:tblStyle w:val="aff9"/>
        <w:tblW w:w="9356" w:type="dxa"/>
        <w:tblInd w:w="-5" w:type="dxa"/>
        <w:tblLayout w:type="fixed"/>
        <w:tblLook w:val="04A0" w:firstRow="1" w:lastRow="0" w:firstColumn="1" w:lastColumn="0" w:noHBand="0" w:noVBand="1"/>
      </w:tblPr>
      <w:tblGrid>
        <w:gridCol w:w="2339"/>
        <w:gridCol w:w="2339"/>
        <w:gridCol w:w="2339"/>
        <w:gridCol w:w="2339"/>
      </w:tblGrid>
      <w:tr w:rsidR="00571482" w:rsidRPr="002F4348" w14:paraId="5292ACA0" w14:textId="77777777" w:rsidTr="003E2397">
        <w:trPr>
          <w:trHeight w:val="329"/>
        </w:trPr>
        <w:tc>
          <w:tcPr>
            <w:tcW w:w="9356" w:type="dxa"/>
            <w:gridSpan w:val="4"/>
            <w:tcBorders>
              <w:top w:val="nil"/>
              <w:left w:val="nil"/>
              <w:bottom w:val="single" w:sz="4" w:space="0" w:color="auto"/>
              <w:right w:val="nil"/>
            </w:tcBorders>
          </w:tcPr>
          <w:p w14:paraId="4A3AF340" w14:textId="2C9A2CE1" w:rsidR="00571482" w:rsidRPr="002F4348" w:rsidRDefault="00571482" w:rsidP="003E2397">
            <w:pPr>
              <w:spacing w:line="240" w:lineRule="auto"/>
              <w:ind w:firstLine="0"/>
              <w:jc w:val="left"/>
              <w:rPr>
                <w:b/>
                <w:bCs/>
                <w:szCs w:val="24"/>
              </w:rPr>
            </w:pPr>
            <w:r w:rsidRPr="002F4348">
              <w:rPr>
                <w:b/>
                <w:bCs/>
                <w:szCs w:val="24"/>
              </w:rPr>
              <w:t>ChlVPP</w:t>
            </w:r>
            <w:r w:rsidR="002C6C01" w:rsidRPr="002F4348">
              <w:rPr>
                <w:b/>
                <w:bCs/>
                <w:szCs w:val="24"/>
              </w:rPr>
              <w:t xml:space="preserve"> </w:t>
            </w:r>
            <w:r w:rsidR="002C6C01" w:rsidRPr="002F4348">
              <w:rPr>
                <w:b/>
                <w:bCs/>
                <w:szCs w:val="24"/>
              </w:rPr>
              <w:fldChar w:fldCharType="begin" w:fldLock="1"/>
            </w:r>
            <w:r w:rsidR="00053AE8">
              <w:rPr>
                <w:b/>
                <w:bCs/>
                <w:szCs w:val="24"/>
              </w:rPr>
              <w:instrText>ADDIN CSL_CITATION {"citationItems":[{"id":"ITEM-1","itemData":{"DOI":"10.1054/bjoc.2001.1778","ISSN":"00070920","abstract":"Summary The purpose of this randomized trial was to compare the efficacy of 6 cycles of prednisolone, Adriamycin (doxorubicin), bleomycin, vincristine (Oncovin) and etoposide (PABIOE) with 3 cycles of PABIOE that alternate with 3 cycles of chlorambucil, vinblastine, procarbazine and prednisone (ChlVPP) in patients with advanced Hodgkin's disease. Between October 1992 and April 1996, 679 patients were entered onto the study. 41 of these did not match the protocol requirements on review and were excluded from further analysis, most of these being reclassified as NHL on histological review. Of the remaining 638 patients, 319 were allocated to receive PABIOE and 319 were allocated to receive ChlVPP/PABIOE. The complete remission (CR) rates were 78% and 64%, for ChlVPP/PABIOE and PABIOE respectively after initial chemotherapy (P &lt; 0.0001). 124 patients were re-evaluated subsequently following radiotherapy to residual masses. The CR rates changed from 78% to 88% for ChlVPP/PABIOE and from 64% to 77% for PABIOE when re-evaluated in this manner (treatment difference still significant, P = 0.0002). The treatment associated mortality in the PABIOE arm was 2.2% (7 deaths), while there were no such deaths in the ChlVPP/PABIOE arm (P = 0.015). The failure-free survival was significantly greater in the ChlVPP/PABIOE arm (P &lt; 0.0001) as was the overall survival (P = 0.01). The failure-free and overall survival rates at 3 years were 77% and 91% in the ChlVPP/PABIOE arm, compared with 58% and 85% in the PABIOE arm, respectively. These results indicate that ChlVPP alternating with PABIOE is superior to PABIOE alone as initial treatment for advanced Hodgkin's disease. © 2001 Cancer Research Campaign.","author":[{"dropping-particle":"","family":"Hancock","given":"B. W.","non-dropping-particle":"","parse-names":false,"suffix":""},{"dropping-particle":"","family":"Gregory","given":"W. M.","non-dropping-particle":"","parse-names":false,"suffix":""},{"dropping-particle":"","family":"Cullen","given":"M. H.","non-dropping-particle":"","parse-names":false,"suffix":""},{"dropping-particle":"","family":"Hudson","given":"G. Vaughan","non-dropping-particle":"","parse-names":false,"suffix":""},{"dropping-particle":"","family":"Burton","given":"A.","non-dropping-particle":"","parse-names":false,"suffix":""},{"dropping-particle":"","family":"Selby","given":"P.","non-dropping-particle":"","parse-names":false,"suffix":""},{"dropping-particle":"","family":"Maclennan","given":"K. A.","non-dropping-particle":"","parse-names":false,"suffix":""},{"dropping-particle":"","family":"Jack","given":"A.","non-dropping-particle":"","parse-names":false,"suffix":""},{"dropping-particle":"","family":"Bessell","given":"E. M.","non-dropping-particle":"","parse-names":false,"suffix":""},{"dropping-particle":"","family":"Smith","given":"P.","non-dropping-particle":"","parse-names":false,"suffix":""},{"dropping-particle":"","family":"Linch","given":"D. C.","non-dropping-particle":"","parse-names":false,"suffix":""}],"container-title":"British Journal of Cancer","id":"ITEM-1","issue":"10","issued":{"date-parts":[["2001","5","18"]]},"page":"1293-1300","title":"ChIVPP alternating with PABIOE is superior to PABIOE alone in the initial treatment of advanced hodgkin's disease: Results of a british national lymphoma investigation/central lymphoma group randomized controlled trial","type":"article-journal","volume":"84"},"uris":["http://www.mendeley.com/documents/?uuid=24153a6c-0b38-3cc4-968f-554a6fb1d619"]}],"mendeley":{"formattedCitation":"[124]","plainTextFormattedCitation":"[124]","previouslyFormattedCitation":"[124]"},"properties":{"noteIndex":0},"schema":"https://github.com/citation-style-language/schema/raw/master/csl-citation.json"}</w:instrText>
            </w:r>
            <w:r w:rsidR="002C6C01" w:rsidRPr="002F4348">
              <w:rPr>
                <w:b/>
                <w:bCs/>
                <w:szCs w:val="24"/>
              </w:rPr>
              <w:fldChar w:fldCharType="separate"/>
            </w:r>
            <w:r w:rsidR="00A60C8A" w:rsidRPr="00A60C8A">
              <w:rPr>
                <w:bCs/>
                <w:noProof/>
                <w:szCs w:val="24"/>
              </w:rPr>
              <w:t>[124]</w:t>
            </w:r>
            <w:r w:rsidR="002C6C01" w:rsidRPr="002F4348">
              <w:rPr>
                <w:b/>
                <w:bCs/>
                <w:szCs w:val="24"/>
              </w:rPr>
              <w:fldChar w:fldCharType="end"/>
            </w:r>
          </w:p>
        </w:tc>
      </w:tr>
      <w:tr w:rsidR="00571482" w:rsidRPr="002F4348" w14:paraId="3FE5499D"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hideMark/>
          </w:tcPr>
          <w:p w14:paraId="5FF54FD0" w14:textId="77777777" w:rsidR="00571482" w:rsidRPr="002F4348" w:rsidRDefault="00571482" w:rsidP="003E2397">
            <w:pPr>
              <w:spacing w:line="240" w:lineRule="auto"/>
              <w:ind w:firstLine="0"/>
              <w:jc w:val="left"/>
              <w:rPr>
                <w:szCs w:val="24"/>
              </w:rPr>
            </w:pPr>
            <w:r w:rsidRPr="002F4348">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6103C8A9" w14:textId="77777777" w:rsidR="00571482" w:rsidRPr="002F4348" w:rsidRDefault="00571482" w:rsidP="003E2397">
            <w:pPr>
              <w:spacing w:line="240" w:lineRule="auto"/>
              <w:ind w:firstLine="0"/>
              <w:jc w:val="left"/>
              <w:rPr>
                <w:szCs w:val="24"/>
              </w:rPr>
            </w:pPr>
            <w:r w:rsidRPr="002F4348">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6935DD06" w14:textId="77777777" w:rsidR="00571482" w:rsidRPr="002F4348" w:rsidRDefault="00571482" w:rsidP="003E2397">
            <w:pPr>
              <w:spacing w:line="240" w:lineRule="auto"/>
              <w:ind w:firstLine="0"/>
              <w:jc w:val="left"/>
              <w:rPr>
                <w:szCs w:val="24"/>
              </w:rPr>
            </w:pPr>
            <w:r w:rsidRPr="002F4348">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526D2305" w14:textId="77777777" w:rsidR="00571482" w:rsidRPr="002F4348" w:rsidRDefault="00571482" w:rsidP="003E2397">
            <w:pPr>
              <w:spacing w:line="240" w:lineRule="auto"/>
              <w:ind w:firstLine="0"/>
              <w:jc w:val="left"/>
              <w:rPr>
                <w:szCs w:val="24"/>
              </w:rPr>
            </w:pPr>
            <w:r w:rsidRPr="002F4348">
              <w:rPr>
                <w:szCs w:val="24"/>
              </w:rPr>
              <w:t>Дни введения</w:t>
            </w:r>
          </w:p>
        </w:tc>
      </w:tr>
      <w:tr w:rsidR="00571482" w:rsidRPr="002F4348" w14:paraId="50866F54"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hideMark/>
          </w:tcPr>
          <w:p w14:paraId="5A45DADC" w14:textId="77777777" w:rsidR="00571482" w:rsidRPr="002F4348" w:rsidRDefault="00571482" w:rsidP="003E2397">
            <w:pPr>
              <w:spacing w:line="240" w:lineRule="auto"/>
              <w:ind w:firstLine="0"/>
              <w:jc w:val="left"/>
              <w:rPr>
                <w:szCs w:val="24"/>
              </w:rPr>
            </w:pPr>
            <w:r w:rsidRPr="002F4348">
              <w:rPr>
                <w:szCs w:val="24"/>
              </w:rPr>
              <w:t>Хлорамбуцил</w:t>
            </w:r>
            <w:r w:rsidR="00D254F2" w:rsidRPr="002F4348">
              <w:rPr>
                <w:szCs w:val="24"/>
              </w:rPr>
              <w:t>**</w:t>
            </w:r>
          </w:p>
        </w:tc>
        <w:tc>
          <w:tcPr>
            <w:tcW w:w="2339" w:type="dxa"/>
            <w:tcBorders>
              <w:top w:val="single" w:sz="4" w:space="0" w:color="auto"/>
              <w:left w:val="single" w:sz="4" w:space="0" w:color="auto"/>
              <w:bottom w:val="single" w:sz="4" w:space="0" w:color="auto"/>
              <w:right w:val="single" w:sz="4" w:space="0" w:color="auto"/>
            </w:tcBorders>
          </w:tcPr>
          <w:p w14:paraId="44EA070F" w14:textId="77777777" w:rsidR="00571482" w:rsidRPr="002F4348" w:rsidRDefault="00571482" w:rsidP="003E2397">
            <w:pPr>
              <w:spacing w:line="240" w:lineRule="auto"/>
              <w:ind w:firstLine="0"/>
              <w:jc w:val="left"/>
              <w:rPr>
                <w:szCs w:val="24"/>
              </w:rPr>
            </w:pPr>
            <w:r w:rsidRPr="002F4348">
              <w:rPr>
                <w:szCs w:val="24"/>
              </w:rPr>
              <w:t>6 мг/м</w:t>
            </w:r>
            <w:r w:rsidRPr="002F4348">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611D9BD2" w14:textId="77777777" w:rsidR="00571482" w:rsidRPr="002F4348" w:rsidRDefault="00571482" w:rsidP="003E2397">
            <w:pPr>
              <w:spacing w:line="240" w:lineRule="auto"/>
              <w:ind w:firstLine="0"/>
              <w:jc w:val="left"/>
              <w:rPr>
                <w:szCs w:val="24"/>
              </w:rPr>
            </w:pPr>
            <w:r w:rsidRPr="002F4348">
              <w:rPr>
                <w:szCs w:val="24"/>
              </w:rPr>
              <w:t>в/в</w:t>
            </w:r>
          </w:p>
        </w:tc>
        <w:tc>
          <w:tcPr>
            <w:tcW w:w="2339" w:type="dxa"/>
            <w:tcBorders>
              <w:top w:val="single" w:sz="4" w:space="0" w:color="auto"/>
              <w:left w:val="single" w:sz="4" w:space="0" w:color="auto"/>
              <w:bottom w:val="single" w:sz="4" w:space="0" w:color="auto"/>
              <w:right w:val="single" w:sz="4" w:space="0" w:color="auto"/>
            </w:tcBorders>
          </w:tcPr>
          <w:p w14:paraId="47EFAB2B" w14:textId="77777777" w:rsidR="00571482" w:rsidRPr="002F4348" w:rsidRDefault="00571482" w:rsidP="003E2397">
            <w:pPr>
              <w:spacing w:line="240" w:lineRule="auto"/>
              <w:ind w:firstLine="0"/>
              <w:jc w:val="left"/>
              <w:rPr>
                <w:szCs w:val="24"/>
              </w:rPr>
            </w:pPr>
            <w:r w:rsidRPr="002F4348">
              <w:rPr>
                <w:szCs w:val="24"/>
              </w:rPr>
              <w:t>1-14</w:t>
            </w:r>
          </w:p>
        </w:tc>
      </w:tr>
      <w:tr w:rsidR="00571482" w:rsidRPr="002F4348" w14:paraId="5426292A"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hideMark/>
          </w:tcPr>
          <w:p w14:paraId="5069DA22" w14:textId="77777777" w:rsidR="00571482" w:rsidRPr="002F4348" w:rsidRDefault="00571482" w:rsidP="003E2397">
            <w:pPr>
              <w:spacing w:line="240" w:lineRule="auto"/>
              <w:ind w:firstLine="0"/>
              <w:jc w:val="left"/>
              <w:rPr>
                <w:szCs w:val="24"/>
              </w:rPr>
            </w:pPr>
            <w:r w:rsidRPr="002F4348">
              <w:rPr>
                <w:szCs w:val="24"/>
              </w:rPr>
              <w:t>Прокарбазин</w:t>
            </w:r>
            <w:r w:rsidR="00D254F2" w:rsidRPr="002F4348">
              <w:rPr>
                <w:szCs w:val="24"/>
              </w:rPr>
              <w:t>**</w:t>
            </w:r>
          </w:p>
        </w:tc>
        <w:tc>
          <w:tcPr>
            <w:tcW w:w="2339" w:type="dxa"/>
            <w:tcBorders>
              <w:top w:val="single" w:sz="4" w:space="0" w:color="auto"/>
              <w:left w:val="single" w:sz="4" w:space="0" w:color="auto"/>
              <w:bottom w:val="single" w:sz="4" w:space="0" w:color="auto"/>
              <w:right w:val="single" w:sz="4" w:space="0" w:color="auto"/>
            </w:tcBorders>
            <w:hideMark/>
          </w:tcPr>
          <w:p w14:paraId="07E2246B" w14:textId="77777777" w:rsidR="00571482" w:rsidRPr="002F4348" w:rsidRDefault="00571482" w:rsidP="003E2397">
            <w:pPr>
              <w:spacing w:line="240" w:lineRule="auto"/>
              <w:ind w:firstLine="0"/>
              <w:jc w:val="left"/>
              <w:rPr>
                <w:szCs w:val="24"/>
              </w:rPr>
            </w:pPr>
            <w:r w:rsidRPr="002F4348">
              <w:rPr>
                <w:szCs w:val="24"/>
              </w:rPr>
              <w:t>100 мг/м</w:t>
            </w:r>
            <w:r w:rsidRPr="002F4348">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099BDD17" w14:textId="77777777" w:rsidR="00571482" w:rsidRPr="002F4348" w:rsidRDefault="00571482" w:rsidP="003E2397">
            <w:pPr>
              <w:spacing w:line="240" w:lineRule="auto"/>
              <w:ind w:firstLine="0"/>
              <w:jc w:val="left"/>
              <w:rPr>
                <w:szCs w:val="24"/>
              </w:rPr>
            </w:pPr>
            <w:r w:rsidRPr="002F4348">
              <w:rPr>
                <w:szCs w:val="24"/>
              </w:rPr>
              <w:t>в/в</w:t>
            </w:r>
          </w:p>
        </w:tc>
        <w:tc>
          <w:tcPr>
            <w:tcW w:w="2339" w:type="dxa"/>
            <w:tcBorders>
              <w:top w:val="single" w:sz="4" w:space="0" w:color="auto"/>
              <w:left w:val="single" w:sz="4" w:space="0" w:color="auto"/>
              <w:bottom w:val="single" w:sz="4" w:space="0" w:color="auto"/>
              <w:right w:val="single" w:sz="4" w:space="0" w:color="auto"/>
            </w:tcBorders>
            <w:hideMark/>
          </w:tcPr>
          <w:p w14:paraId="3B7D6205" w14:textId="77777777" w:rsidR="00571482" w:rsidRPr="002F4348" w:rsidRDefault="00571482" w:rsidP="003E2397">
            <w:pPr>
              <w:spacing w:line="240" w:lineRule="auto"/>
              <w:ind w:firstLine="0"/>
              <w:jc w:val="left"/>
              <w:rPr>
                <w:szCs w:val="24"/>
              </w:rPr>
            </w:pPr>
            <w:r w:rsidRPr="002F4348">
              <w:rPr>
                <w:szCs w:val="24"/>
              </w:rPr>
              <w:t>1-14</w:t>
            </w:r>
          </w:p>
        </w:tc>
      </w:tr>
      <w:tr w:rsidR="00571482" w:rsidRPr="002F4348" w14:paraId="7EEC90B5"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570617CF" w14:textId="77777777" w:rsidR="00571482" w:rsidRPr="002F4348" w:rsidRDefault="00571482" w:rsidP="003E2397">
            <w:pPr>
              <w:spacing w:line="240" w:lineRule="auto"/>
              <w:ind w:firstLine="0"/>
              <w:jc w:val="left"/>
              <w:rPr>
                <w:szCs w:val="24"/>
              </w:rPr>
            </w:pPr>
            <w:r w:rsidRPr="002F4348">
              <w:rPr>
                <w:szCs w:val="24"/>
              </w:rPr>
              <w:t>Винбластин</w:t>
            </w:r>
            <w:r w:rsidR="00D254F2" w:rsidRPr="002F4348">
              <w:rPr>
                <w:szCs w:val="24"/>
              </w:rPr>
              <w:t>**</w:t>
            </w:r>
          </w:p>
        </w:tc>
        <w:tc>
          <w:tcPr>
            <w:tcW w:w="2339" w:type="dxa"/>
            <w:tcBorders>
              <w:top w:val="single" w:sz="4" w:space="0" w:color="auto"/>
              <w:left w:val="single" w:sz="4" w:space="0" w:color="auto"/>
              <w:bottom w:val="single" w:sz="4" w:space="0" w:color="auto"/>
              <w:right w:val="single" w:sz="4" w:space="0" w:color="auto"/>
            </w:tcBorders>
          </w:tcPr>
          <w:p w14:paraId="1FCC3B17" w14:textId="77777777" w:rsidR="00571482" w:rsidRPr="002F4348" w:rsidRDefault="00571482" w:rsidP="003E2397">
            <w:pPr>
              <w:spacing w:line="240" w:lineRule="auto"/>
              <w:ind w:firstLine="0"/>
              <w:jc w:val="left"/>
              <w:rPr>
                <w:szCs w:val="24"/>
              </w:rPr>
            </w:pPr>
            <w:r w:rsidRPr="002F4348">
              <w:rPr>
                <w:szCs w:val="24"/>
              </w:rPr>
              <w:t>6 мг/м</w:t>
            </w:r>
            <w:r w:rsidRPr="002F4348">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7903A17E" w14:textId="77777777" w:rsidR="00571482" w:rsidRPr="002F4348" w:rsidRDefault="00571482" w:rsidP="003E2397">
            <w:pPr>
              <w:spacing w:line="240" w:lineRule="auto"/>
              <w:ind w:firstLine="0"/>
              <w:jc w:val="left"/>
              <w:rPr>
                <w:szCs w:val="24"/>
              </w:rPr>
            </w:pPr>
            <w:r w:rsidRPr="002F4348">
              <w:rPr>
                <w:szCs w:val="24"/>
              </w:rPr>
              <w:t>в/в</w:t>
            </w:r>
          </w:p>
        </w:tc>
        <w:tc>
          <w:tcPr>
            <w:tcW w:w="2339" w:type="dxa"/>
            <w:tcBorders>
              <w:top w:val="single" w:sz="4" w:space="0" w:color="auto"/>
              <w:left w:val="single" w:sz="4" w:space="0" w:color="auto"/>
              <w:bottom w:val="single" w:sz="4" w:space="0" w:color="auto"/>
              <w:right w:val="single" w:sz="4" w:space="0" w:color="auto"/>
            </w:tcBorders>
          </w:tcPr>
          <w:p w14:paraId="1B574B32" w14:textId="77777777" w:rsidR="00571482" w:rsidRPr="002F4348" w:rsidRDefault="00571482" w:rsidP="003E2397">
            <w:pPr>
              <w:spacing w:line="240" w:lineRule="auto"/>
              <w:ind w:firstLine="0"/>
              <w:jc w:val="left"/>
              <w:rPr>
                <w:szCs w:val="24"/>
              </w:rPr>
            </w:pPr>
            <w:r w:rsidRPr="002F4348">
              <w:rPr>
                <w:szCs w:val="24"/>
              </w:rPr>
              <w:t>1, 8</w:t>
            </w:r>
          </w:p>
        </w:tc>
      </w:tr>
      <w:tr w:rsidR="00571482" w:rsidRPr="002F4348" w14:paraId="46012932"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54785DE6" w14:textId="77777777" w:rsidR="00571482" w:rsidRPr="002F4348" w:rsidRDefault="00571482" w:rsidP="003E2397">
            <w:pPr>
              <w:spacing w:line="240" w:lineRule="auto"/>
              <w:ind w:firstLine="0"/>
              <w:jc w:val="left"/>
              <w:rPr>
                <w:szCs w:val="24"/>
              </w:rPr>
            </w:pPr>
            <w:r w:rsidRPr="002F4348">
              <w:rPr>
                <w:szCs w:val="24"/>
              </w:rPr>
              <w:t>Преднилозон</w:t>
            </w:r>
            <w:r w:rsidR="00D254F2" w:rsidRPr="002F4348">
              <w:rPr>
                <w:szCs w:val="24"/>
              </w:rPr>
              <w:t>**</w:t>
            </w:r>
          </w:p>
        </w:tc>
        <w:tc>
          <w:tcPr>
            <w:tcW w:w="2339" w:type="dxa"/>
            <w:tcBorders>
              <w:top w:val="single" w:sz="4" w:space="0" w:color="auto"/>
              <w:left w:val="single" w:sz="4" w:space="0" w:color="auto"/>
              <w:bottom w:val="single" w:sz="4" w:space="0" w:color="auto"/>
              <w:right w:val="single" w:sz="4" w:space="0" w:color="auto"/>
            </w:tcBorders>
          </w:tcPr>
          <w:p w14:paraId="28B71AFF" w14:textId="77777777" w:rsidR="00571482" w:rsidRPr="002F4348" w:rsidRDefault="00571482" w:rsidP="003E2397">
            <w:pPr>
              <w:spacing w:line="240" w:lineRule="auto"/>
              <w:ind w:firstLine="0"/>
              <w:jc w:val="left"/>
              <w:rPr>
                <w:szCs w:val="24"/>
              </w:rPr>
            </w:pPr>
            <w:r w:rsidRPr="002F4348">
              <w:rPr>
                <w:szCs w:val="24"/>
              </w:rPr>
              <w:t>40 мг/м</w:t>
            </w:r>
            <w:r w:rsidRPr="002F4348">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13936555" w14:textId="77777777" w:rsidR="00571482" w:rsidRPr="002F4348" w:rsidRDefault="00571482" w:rsidP="003E2397">
            <w:pPr>
              <w:spacing w:line="240" w:lineRule="auto"/>
              <w:ind w:firstLine="0"/>
              <w:jc w:val="left"/>
              <w:rPr>
                <w:szCs w:val="24"/>
              </w:rPr>
            </w:pPr>
            <w:r w:rsidRPr="002F4348">
              <w:rPr>
                <w:szCs w:val="24"/>
              </w:rPr>
              <w:t>внутрь</w:t>
            </w:r>
          </w:p>
        </w:tc>
        <w:tc>
          <w:tcPr>
            <w:tcW w:w="2339" w:type="dxa"/>
            <w:tcBorders>
              <w:top w:val="single" w:sz="4" w:space="0" w:color="auto"/>
              <w:left w:val="single" w:sz="4" w:space="0" w:color="auto"/>
              <w:bottom w:val="single" w:sz="4" w:space="0" w:color="auto"/>
              <w:right w:val="single" w:sz="4" w:space="0" w:color="auto"/>
            </w:tcBorders>
          </w:tcPr>
          <w:p w14:paraId="18A3264D" w14:textId="77777777" w:rsidR="00571482" w:rsidRPr="002F4348" w:rsidRDefault="00571482" w:rsidP="003E2397">
            <w:pPr>
              <w:spacing w:line="240" w:lineRule="auto"/>
              <w:ind w:firstLine="0"/>
              <w:jc w:val="left"/>
              <w:rPr>
                <w:szCs w:val="24"/>
              </w:rPr>
            </w:pPr>
            <w:r w:rsidRPr="002F4348">
              <w:rPr>
                <w:szCs w:val="24"/>
              </w:rPr>
              <w:t>1-14</w:t>
            </w:r>
          </w:p>
        </w:tc>
      </w:tr>
      <w:tr w:rsidR="00571482" w:rsidRPr="002F4348" w14:paraId="5F19A7C2" w14:textId="77777777" w:rsidTr="003E2397">
        <w:tc>
          <w:tcPr>
            <w:tcW w:w="9356" w:type="dxa"/>
            <w:gridSpan w:val="4"/>
            <w:tcBorders>
              <w:top w:val="single" w:sz="4" w:space="0" w:color="auto"/>
              <w:left w:val="single" w:sz="4" w:space="0" w:color="auto"/>
              <w:bottom w:val="single" w:sz="4" w:space="0" w:color="auto"/>
              <w:right w:val="single" w:sz="4" w:space="0" w:color="auto"/>
            </w:tcBorders>
            <w:vAlign w:val="center"/>
          </w:tcPr>
          <w:p w14:paraId="3596391C" w14:textId="77777777" w:rsidR="00571482" w:rsidRPr="002F4348" w:rsidRDefault="00571482" w:rsidP="003E2397">
            <w:pPr>
              <w:spacing w:line="240" w:lineRule="auto"/>
              <w:ind w:firstLine="0"/>
              <w:jc w:val="left"/>
              <w:rPr>
                <w:szCs w:val="24"/>
              </w:rPr>
            </w:pPr>
            <w:r w:rsidRPr="002F4348">
              <w:rPr>
                <w:szCs w:val="24"/>
              </w:rPr>
              <w:t xml:space="preserve">Лечение возобновляется на </w:t>
            </w:r>
            <w:r w:rsidR="003E2397" w:rsidRPr="002F4348">
              <w:rPr>
                <w:szCs w:val="24"/>
              </w:rPr>
              <w:t>29 день</w:t>
            </w:r>
          </w:p>
        </w:tc>
      </w:tr>
    </w:tbl>
    <w:p w14:paraId="7645AD57" w14:textId="77777777" w:rsidR="00571482" w:rsidRPr="002F4348" w:rsidRDefault="00571482" w:rsidP="002648A0">
      <w:pPr>
        <w:ind w:left="709" w:firstLine="0"/>
      </w:pPr>
    </w:p>
    <w:tbl>
      <w:tblPr>
        <w:tblStyle w:val="aff9"/>
        <w:tblW w:w="9356" w:type="dxa"/>
        <w:tblInd w:w="-5" w:type="dxa"/>
        <w:tblLayout w:type="fixed"/>
        <w:tblLook w:val="04A0" w:firstRow="1" w:lastRow="0" w:firstColumn="1" w:lastColumn="0" w:noHBand="0" w:noVBand="1"/>
      </w:tblPr>
      <w:tblGrid>
        <w:gridCol w:w="2339"/>
        <w:gridCol w:w="2339"/>
        <w:gridCol w:w="2339"/>
        <w:gridCol w:w="2339"/>
      </w:tblGrid>
      <w:tr w:rsidR="003E2397" w:rsidRPr="002F4348" w14:paraId="327BC454" w14:textId="77777777" w:rsidTr="003E2397">
        <w:trPr>
          <w:trHeight w:val="329"/>
        </w:trPr>
        <w:tc>
          <w:tcPr>
            <w:tcW w:w="9356" w:type="dxa"/>
            <w:gridSpan w:val="4"/>
            <w:tcBorders>
              <w:top w:val="nil"/>
              <w:left w:val="nil"/>
              <w:bottom w:val="single" w:sz="4" w:space="0" w:color="auto"/>
              <w:right w:val="nil"/>
            </w:tcBorders>
          </w:tcPr>
          <w:p w14:paraId="6A17EA13" w14:textId="3742B7D4" w:rsidR="003E2397" w:rsidRPr="002F4348" w:rsidRDefault="003E2397" w:rsidP="003E2397">
            <w:pPr>
              <w:spacing w:line="240" w:lineRule="auto"/>
              <w:ind w:firstLine="0"/>
              <w:jc w:val="left"/>
              <w:rPr>
                <w:b/>
                <w:bCs/>
                <w:szCs w:val="24"/>
              </w:rPr>
            </w:pPr>
            <w:r w:rsidRPr="002F4348">
              <w:rPr>
                <w:b/>
                <w:bCs/>
                <w:szCs w:val="24"/>
                <w:lang w:val="en-US"/>
              </w:rPr>
              <w:t>CVPP</w:t>
            </w:r>
            <w:r w:rsidR="00EC281E" w:rsidRPr="002F4348">
              <w:rPr>
                <w:b/>
                <w:bCs/>
                <w:szCs w:val="24"/>
              </w:rPr>
              <w:t xml:space="preserve"> </w:t>
            </w:r>
            <w:r w:rsidR="00EC281E" w:rsidRPr="002F4348">
              <w:rPr>
                <w:b/>
                <w:bCs/>
                <w:szCs w:val="24"/>
                <w:lang w:val="en-US"/>
              </w:rPr>
              <w:fldChar w:fldCharType="begin" w:fldLock="1"/>
            </w:r>
            <w:r w:rsidR="00053AE8">
              <w:rPr>
                <w:b/>
                <w:bCs/>
                <w:szCs w:val="24"/>
                <w:lang w:val="en-US"/>
              </w:rPr>
              <w:instrText>ADDIN</w:instrText>
            </w:r>
            <w:r w:rsidR="00053AE8" w:rsidRPr="002B3AE7">
              <w:rPr>
                <w:b/>
                <w:bCs/>
                <w:szCs w:val="24"/>
              </w:rPr>
              <w:instrText xml:space="preserve"> </w:instrText>
            </w:r>
            <w:r w:rsidR="00053AE8">
              <w:rPr>
                <w:b/>
                <w:bCs/>
                <w:szCs w:val="24"/>
                <w:lang w:val="en-US"/>
              </w:rPr>
              <w:instrText>CSL</w:instrText>
            </w:r>
            <w:r w:rsidR="00053AE8" w:rsidRPr="002B3AE7">
              <w:rPr>
                <w:b/>
                <w:bCs/>
                <w:szCs w:val="24"/>
              </w:rPr>
              <w:instrText>_</w:instrText>
            </w:r>
            <w:r w:rsidR="00053AE8">
              <w:rPr>
                <w:b/>
                <w:bCs/>
                <w:szCs w:val="24"/>
                <w:lang w:val="en-US"/>
              </w:rPr>
              <w:instrText>CITATION</w:instrText>
            </w:r>
            <w:r w:rsidR="00053AE8" w:rsidRPr="002B3AE7">
              <w:rPr>
                <w:b/>
                <w:bCs/>
                <w:szCs w:val="24"/>
              </w:rPr>
              <w:instrText xml:space="preserve"> {"</w:instrText>
            </w:r>
            <w:r w:rsidR="00053AE8">
              <w:rPr>
                <w:b/>
                <w:bCs/>
                <w:szCs w:val="24"/>
                <w:lang w:val="en-US"/>
              </w:rPr>
              <w:instrText>citationItems</w:instrText>
            </w:r>
            <w:r w:rsidR="00053AE8" w:rsidRPr="002B3AE7">
              <w:rPr>
                <w:b/>
                <w:bCs/>
                <w:szCs w:val="24"/>
              </w:rPr>
              <w:instrText>":[{"</w:instrText>
            </w:r>
            <w:r w:rsidR="00053AE8">
              <w:rPr>
                <w:b/>
                <w:bCs/>
                <w:szCs w:val="24"/>
                <w:lang w:val="en-US"/>
              </w:rPr>
              <w:instrText>id</w:instrText>
            </w:r>
            <w:r w:rsidR="00053AE8" w:rsidRPr="002B3AE7">
              <w:rPr>
                <w:b/>
                <w:bCs/>
                <w:szCs w:val="24"/>
              </w:rPr>
              <w:instrText>":"</w:instrText>
            </w:r>
            <w:r w:rsidR="00053AE8">
              <w:rPr>
                <w:b/>
                <w:bCs/>
                <w:szCs w:val="24"/>
                <w:lang w:val="en-US"/>
              </w:rPr>
              <w:instrText>ITEM</w:instrText>
            </w:r>
            <w:r w:rsidR="00053AE8" w:rsidRPr="002B3AE7">
              <w:rPr>
                <w:b/>
                <w:bCs/>
                <w:szCs w:val="24"/>
              </w:rPr>
              <w:instrText>-1","</w:instrText>
            </w:r>
            <w:r w:rsidR="00053AE8">
              <w:rPr>
                <w:b/>
                <w:bCs/>
                <w:szCs w:val="24"/>
                <w:lang w:val="en-US"/>
              </w:rPr>
              <w:instrText>itemData</w:instrText>
            </w:r>
            <w:r w:rsidR="00053AE8" w:rsidRPr="002B3AE7">
              <w:rPr>
                <w:b/>
                <w:bCs/>
                <w:szCs w:val="24"/>
              </w:rPr>
              <w:instrText>":{"</w:instrText>
            </w:r>
            <w:r w:rsidR="00053AE8">
              <w:rPr>
                <w:b/>
                <w:bCs/>
                <w:szCs w:val="24"/>
                <w:lang w:val="en-US"/>
              </w:rPr>
              <w:instrText>DOI</w:instrText>
            </w:r>
            <w:r w:rsidR="00053AE8" w:rsidRPr="002B3AE7">
              <w:rPr>
                <w:b/>
                <w:bCs/>
                <w:szCs w:val="24"/>
              </w:rPr>
              <w:instrText>":"10.1200/</w:instrText>
            </w:r>
            <w:r w:rsidR="00053AE8">
              <w:rPr>
                <w:b/>
                <w:bCs/>
                <w:szCs w:val="24"/>
                <w:lang w:val="en-US"/>
              </w:rPr>
              <w:instrText>JCO</w:instrText>
            </w:r>
            <w:r w:rsidR="00053AE8" w:rsidRPr="002B3AE7">
              <w:rPr>
                <w:b/>
                <w:bCs/>
                <w:szCs w:val="24"/>
              </w:rPr>
              <w:instrText>.1997.15.7.2652","</w:instrText>
            </w:r>
            <w:r w:rsidR="00053AE8">
              <w:rPr>
                <w:b/>
                <w:bCs/>
                <w:szCs w:val="24"/>
                <w:lang w:val="en-US"/>
              </w:rPr>
              <w:instrText>ISSN</w:instrText>
            </w:r>
            <w:r w:rsidR="00053AE8" w:rsidRPr="002B3AE7">
              <w:rPr>
                <w:b/>
                <w:bCs/>
                <w:szCs w:val="24"/>
              </w:rPr>
              <w:instrText>":"0732183</w:instrText>
            </w:r>
            <w:r w:rsidR="00053AE8">
              <w:rPr>
                <w:b/>
                <w:bCs/>
                <w:szCs w:val="24"/>
                <w:lang w:val="en-US"/>
              </w:rPr>
              <w:instrText>X</w:instrText>
            </w:r>
            <w:r w:rsidR="00053AE8" w:rsidRPr="002B3AE7">
              <w:rPr>
                <w:b/>
                <w:bCs/>
                <w:szCs w:val="24"/>
              </w:rPr>
              <w:instrText>","</w:instrText>
            </w:r>
            <w:r w:rsidR="00053AE8">
              <w:rPr>
                <w:b/>
                <w:bCs/>
                <w:szCs w:val="24"/>
                <w:lang w:val="en-US"/>
              </w:rPr>
              <w:instrText>abstract</w:instrText>
            </w:r>
            <w:r w:rsidR="00053AE8" w:rsidRPr="002B3AE7">
              <w:rPr>
                <w:b/>
                <w:bCs/>
                <w:szCs w:val="24"/>
              </w:rPr>
              <w:instrText>":"</w:instrText>
            </w:r>
            <w:r w:rsidR="00053AE8">
              <w:rPr>
                <w:b/>
                <w:bCs/>
                <w:szCs w:val="24"/>
                <w:lang w:val="en-US"/>
              </w:rPr>
              <w:instrText>Purpose</w:instrText>
            </w:r>
            <w:r w:rsidR="00053AE8" w:rsidRPr="002B3AE7">
              <w:rPr>
                <w:b/>
                <w:bCs/>
                <w:szCs w:val="24"/>
              </w:rPr>
              <w:instrText xml:space="preserve">: </w:instrText>
            </w:r>
            <w:r w:rsidR="00053AE8">
              <w:rPr>
                <w:b/>
                <w:bCs/>
                <w:szCs w:val="24"/>
                <w:lang w:val="en-US"/>
              </w:rPr>
              <w:instrText>To</w:instrText>
            </w:r>
            <w:r w:rsidR="00053AE8" w:rsidRPr="002B3AE7">
              <w:rPr>
                <w:b/>
                <w:bCs/>
                <w:szCs w:val="24"/>
              </w:rPr>
              <w:instrText xml:space="preserve"> </w:instrText>
            </w:r>
            <w:r w:rsidR="00053AE8">
              <w:rPr>
                <w:b/>
                <w:bCs/>
                <w:szCs w:val="24"/>
                <w:lang w:val="en-US"/>
              </w:rPr>
              <w:instrText>evaluate</w:instrText>
            </w:r>
            <w:r w:rsidR="00053AE8" w:rsidRPr="002B3AE7">
              <w:rPr>
                <w:b/>
                <w:bCs/>
                <w:szCs w:val="24"/>
              </w:rPr>
              <w:instrText xml:space="preserve"> </w:instrText>
            </w:r>
            <w:r w:rsidR="00053AE8">
              <w:rPr>
                <w:b/>
                <w:bCs/>
                <w:szCs w:val="24"/>
                <w:lang w:val="en-US"/>
              </w:rPr>
              <w:instrText>in</w:instrText>
            </w:r>
            <w:r w:rsidR="00053AE8" w:rsidRPr="002B3AE7">
              <w:rPr>
                <w:b/>
                <w:bCs/>
                <w:szCs w:val="24"/>
              </w:rPr>
              <w:instrText xml:space="preserve"> </w:instrText>
            </w:r>
            <w:r w:rsidR="00053AE8">
              <w:rPr>
                <w:b/>
                <w:bCs/>
                <w:szCs w:val="24"/>
                <w:lang w:val="en-US"/>
              </w:rPr>
              <w:instrText>a</w:instrText>
            </w:r>
            <w:r w:rsidR="00053AE8" w:rsidRPr="002B3AE7">
              <w:rPr>
                <w:b/>
                <w:bCs/>
                <w:szCs w:val="24"/>
              </w:rPr>
              <w:instrText xml:space="preserve"> </w:instrText>
            </w:r>
            <w:r w:rsidR="00053AE8">
              <w:rPr>
                <w:b/>
                <w:bCs/>
                <w:szCs w:val="24"/>
                <w:lang w:val="en-US"/>
              </w:rPr>
              <w:instrText>randomized</w:instrText>
            </w:r>
            <w:r w:rsidR="00053AE8" w:rsidRPr="002B3AE7">
              <w:rPr>
                <w:b/>
                <w:bCs/>
                <w:szCs w:val="24"/>
              </w:rPr>
              <w:instrText xml:space="preserve"> </w:instrText>
            </w:r>
            <w:r w:rsidR="00053AE8">
              <w:rPr>
                <w:b/>
                <w:bCs/>
                <w:szCs w:val="24"/>
                <w:lang w:val="en-US"/>
              </w:rPr>
              <w:instrText>trial</w:instrText>
            </w:r>
            <w:r w:rsidR="00053AE8" w:rsidRPr="002B3AE7">
              <w:rPr>
                <w:b/>
                <w:bCs/>
                <w:szCs w:val="24"/>
              </w:rPr>
              <w:instrText xml:space="preserve"> </w:instrText>
            </w:r>
            <w:r w:rsidR="00053AE8">
              <w:rPr>
                <w:b/>
                <w:bCs/>
                <w:szCs w:val="24"/>
                <w:lang w:val="en-US"/>
              </w:rPr>
              <w:instrText>the</w:instrText>
            </w:r>
            <w:r w:rsidR="00053AE8" w:rsidRPr="002B3AE7">
              <w:rPr>
                <w:b/>
                <w:bCs/>
                <w:szCs w:val="24"/>
              </w:rPr>
              <w:instrText xml:space="preserve"> </w:instrText>
            </w:r>
            <w:r w:rsidR="00053AE8">
              <w:rPr>
                <w:b/>
                <w:bCs/>
                <w:szCs w:val="24"/>
                <w:lang w:val="en-US"/>
              </w:rPr>
              <w:instrText>impact</w:instrText>
            </w:r>
            <w:r w:rsidR="00053AE8" w:rsidRPr="002B3AE7">
              <w:rPr>
                <w:b/>
                <w:bCs/>
                <w:szCs w:val="24"/>
              </w:rPr>
              <w:instrText xml:space="preserve"> </w:instrText>
            </w:r>
            <w:r w:rsidR="00053AE8">
              <w:rPr>
                <w:b/>
                <w:bCs/>
                <w:szCs w:val="24"/>
                <w:lang w:val="en-US"/>
              </w:rPr>
              <w:instrText>of</w:instrText>
            </w:r>
            <w:r w:rsidR="00053AE8" w:rsidRPr="002B3AE7">
              <w:rPr>
                <w:b/>
                <w:bCs/>
                <w:szCs w:val="24"/>
              </w:rPr>
              <w:instrText xml:space="preserve"> </w:instrText>
            </w:r>
            <w:r w:rsidR="00053AE8">
              <w:rPr>
                <w:b/>
                <w:bCs/>
                <w:szCs w:val="24"/>
                <w:lang w:val="en-US"/>
              </w:rPr>
              <w:instrText>three</w:instrText>
            </w:r>
            <w:r w:rsidR="00053AE8" w:rsidRPr="002B3AE7">
              <w:rPr>
                <w:b/>
                <w:bCs/>
                <w:szCs w:val="24"/>
              </w:rPr>
              <w:instrText xml:space="preserve"> </w:instrText>
            </w:r>
            <w:r w:rsidR="00053AE8">
              <w:rPr>
                <w:b/>
                <w:bCs/>
                <w:szCs w:val="24"/>
                <w:lang w:val="en-US"/>
              </w:rPr>
              <w:instrText>versus</w:instrText>
            </w:r>
            <w:r w:rsidR="00053AE8" w:rsidRPr="002B3AE7">
              <w:rPr>
                <w:b/>
                <w:bCs/>
                <w:szCs w:val="24"/>
              </w:rPr>
              <w:instrText xml:space="preserve"> </w:instrText>
            </w:r>
            <w:r w:rsidR="00053AE8">
              <w:rPr>
                <w:b/>
                <w:bCs/>
                <w:szCs w:val="24"/>
                <w:lang w:val="en-US"/>
              </w:rPr>
              <w:instrText>six</w:instrText>
            </w:r>
            <w:r w:rsidR="00053AE8" w:rsidRPr="002B3AE7">
              <w:rPr>
                <w:b/>
                <w:bCs/>
                <w:szCs w:val="24"/>
              </w:rPr>
              <w:instrText xml:space="preserve"> </w:instrText>
            </w:r>
            <w:r w:rsidR="00053AE8">
              <w:rPr>
                <w:b/>
                <w:bCs/>
                <w:szCs w:val="24"/>
                <w:lang w:val="en-US"/>
              </w:rPr>
              <w:instrText>cycles</w:instrText>
            </w:r>
            <w:r w:rsidR="00053AE8" w:rsidRPr="002B3AE7">
              <w:rPr>
                <w:b/>
                <w:bCs/>
                <w:szCs w:val="24"/>
              </w:rPr>
              <w:instrText xml:space="preserve"> </w:instrText>
            </w:r>
            <w:r w:rsidR="00053AE8">
              <w:rPr>
                <w:b/>
                <w:bCs/>
                <w:szCs w:val="24"/>
                <w:lang w:val="en-US"/>
              </w:rPr>
              <w:instrText>of</w:instrText>
            </w:r>
            <w:r w:rsidR="00053AE8" w:rsidRPr="002B3AE7">
              <w:rPr>
                <w:b/>
                <w:bCs/>
                <w:szCs w:val="24"/>
              </w:rPr>
              <w:instrText xml:space="preserve"> </w:instrText>
            </w:r>
            <w:r w:rsidR="00053AE8">
              <w:rPr>
                <w:b/>
                <w:bCs/>
                <w:szCs w:val="24"/>
                <w:lang w:val="en-US"/>
              </w:rPr>
              <w:instrText>cyclophosphamide</w:instrText>
            </w:r>
            <w:r w:rsidR="00053AE8" w:rsidRPr="002B3AE7">
              <w:rPr>
                <w:b/>
                <w:bCs/>
                <w:szCs w:val="24"/>
              </w:rPr>
              <w:instrText xml:space="preserve">, </w:instrText>
            </w:r>
            <w:r w:rsidR="00053AE8">
              <w:rPr>
                <w:b/>
                <w:bCs/>
                <w:szCs w:val="24"/>
                <w:lang w:val="en-US"/>
              </w:rPr>
              <w:instrText>vinblastine</w:instrText>
            </w:r>
            <w:r w:rsidR="00053AE8" w:rsidRPr="002B3AE7">
              <w:rPr>
                <w:b/>
                <w:bCs/>
                <w:szCs w:val="24"/>
              </w:rPr>
              <w:instrText xml:space="preserve">, </w:instrText>
            </w:r>
            <w:r w:rsidR="00053AE8">
              <w:rPr>
                <w:b/>
                <w:bCs/>
                <w:szCs w:val="24"/>
                <w:lang w:val="en-US"/>
              </w:rPr>
              <w:instrText>procarbazine</w:instrText>
            </w:r>
            <w:r w:rsidR="00053AE8" w:rsidRPr="002B3AE7">
              <w:rPr>
                <w:b/>
                <w:bCs/>
                <w:szCs w:val="24"/>
              </w:rPr>
              <w:instrText xml:space="preserve">, </w:instrText>
            </w:r>
            <w:r w:rsidR="00053AE8">
              <w:rPr>
                <w:b/>
                <w:bCs/>
                <w:szCs w:val="24"/>
                <w:lang w:val="en-US"/>
              </w:rPr>
              <w:instrText>and</w:instrText>
            </w:r>
            <w:r w:rsidR="00053AE8" w:rsidRPr="002B3AE7">
              <w:rPr>
                <w:b/>
                <w:bCs/>
                <w:szCs w:val="24"/>
              </w:rPr>
              <w:instrText xml:space="preserve"> </w:instrText>
            </w:r>
            <w:r w:rsidR="00053AE8">
              <w:rPr>
                <w:b/>
                <w:bCs/>
                <w:szCs w:val="24"/>
                <w:lang w:val="en-US"/>
              </w:rPr>
              <w:instrText>prednisone</w:instrText>
            </w:r>
            <w:r w:rsidR="00053AE8" w:rsidRPr="002B3AE7">
              <w:rPr>
                <w:b/>
                <w:bCs/>
                <w:szCs w:val="24"/>
              </w:rPr>
              <w:instrText xml:space="preserve"> (</w:instrText>
            </w:r>
            <w:r w:rsidR="00053AE8">
              <w:rPr>
                <w:b/>
                <w:bCs/>
                <w:szCs w:val="24"/>
                <w:lang w:val="en-US"/>
              </w:rPr>
              <w:instrText>CVPP</w:instrText>
            </w:r>
            <w:r w:rsidR="00053AE8" w:rsidRPr="002B3AE7">
              <w:rPr>
                <w:b/>
                <w:bCs/>
                <w:szCs w:val="24"/>
              </w:rPr>
              <w:instrText xml:space="preserve">) </w:instrText>
            </w:r>
            <w:r w:rsidR="00053AE8">
              <w:rPr>
                <w:b/>
                <w:bCs/>
                <w:szCs w:val="24"/>
                <w:lang w:val="en-US"/>
              </w:rPr>
              <w:instrText>chemotherapy</w:instrText>
            </w:r>
            <w:r w:rsidR="00053AE8" w:rsidRPr="002B3AE7">
              <w:rPr>
                <w:b/>
                <w:bCs/>
                <w:szCs w:val="24"/>
              </w:rPr>
              <w:instrText xml:space="preserve"> </w:instrText>
            </w:r>
            <w:r w:rsidR="00053AE8">
              <w:rPr>
                <w:b/>
                <w:bCs/>
                <w:szCs w:val="24"/>
                <w:lang w:val="en-US"/>
              </w:rPr>
              <w:instrText>in</w:instrText>
            </w:r>
            <w:r w:rsidR="00053AE8" w:rsidRPr="002B3AE7">
              <w:rPr>
                <w:b/>
                <w:bCs/>
                <w:szCs w:val="24"/>
              </w:rPr>
              <w:instrText xml:space="preserve"> </w:instrText>
            </w:r>
            <w:r w:rsidR="00053AE8">
              <w:rPr>
                <w:b/>
                <w:bCs/>
                <w:szCs w:val="24"/>
                <w:lang w:val="en-US"/>
              </w:rPr>
              <w:instrText>favorable</w:instrText>
            </w:r>
            <w:r w:rsidR="00053AE8" w:rsidRPr="002B3AE7">
              <w:rPr>
                <w:b/>
                <w:bCs/>
                <w:szCs w:val="24"/>
              </w:rPr>
              <w:instrText>-</w:instrText>
            </w:r>
            <w:r w:rsidR="00053AE8">
              <w:rPr>
                <w:b/>
                <w:bCs/>
                <w:szCs w:val="24"/>
                <w:lang w:val="en-US"/>
              </w:rPr>
              <w:instrText>prognosis</w:instrText>
            </w:r>
            <w:r w:rsidR="00053AE8" w:rsidRPr="002B3AE7">
              <w:rPr>
                <w:b/>
                <w:bCs/>
                <w:szCs w:val="24"/>
              </w:rPr>
              <w:instrText xml:space="preserve"> </w:instrText>
            </w:r>
            <w:r w:rsidR="00053AE8">
              <w:rPr>
                <w:b/>
                <w:bCs/>
                <w:szCs w:val="24"/>
                <w:lang w:val="en-US"/>
              </w:rPr>
              <w:instrText>and</w:instrText>
            </w:r>
            <w:r w:rsidR="00053AE8" w:rsidRPr="002B3AE7">
              <w:rPr>
                <w:b/>
                <w:bCs/>
                <w:szCs w:val="24"/>
              </w:rPr>
              <w:instrText xml:space="preserve"> </w:instrText>
            </w:r>
            <w:r w:rsidR="00053AE8">
              <w:rPr>
                <w:b/>
                <w:bCs/>
                <w:szCs w:val="24"/>
                <w:lang w:val="en-US"/>
              </w:rPr>
              <w:instrText>CVPP</w:instrText>
            </w:r>
            <w:r w:rsidR="00053AE8" w:rsidRPr="002B3AE7">
              <w:rPr>
                <w:b/>
                <w:bCs/>
                <w:szCs w:val="24"/>
              </w:rPr>
              <w:instrText xml:space="preserve"> </w:instrText>
            </w:r>
            <w:r w:rsidR="00053AE8">
              <w:rPr>
                <w:b/>
                <w:bCs/>
                <w:szCs w:val="24"/>
                <w:lang w:val="en-US"/>
              </w:rPr>
              <w:instrText>versus</w:instrText>
            </w:r>
            <w:r w:rsidR="00053AE8" w:rsidRPr="002B3AE7">
              <w:rPr>
                <w:b/>
                <w:bCs/>
                <w:szCs w:val="24"/>
              </w:rPr>
              <w:instrText xml:space="preserve"> </w:instrText>
            </w:r>
            <w:r w:rsidR="00053AE8">
              <w:rPr>
                <w:b/>
                <w:bCs/>
                <w:szCs w:val="24"/>
                <w:lang w:val="en-US"/>
              </w:rPr>
              <w:instrText>doxorubicin</w:instrText>
            </w:r>
            <w:r w:rsidR="00053AE8" w:rsidRPr="002B3AE7">
              <w:rPr>
                <w:b/>
                <w:bCs/>
                <w:szCs w:val="24"/>
              </w:rPr>
              <w:instrText xml:space="preserve">, </w:instrText>
            </w:r>
            <w:r w:rsidR="00053AE8">
              <w:rPr>
                <w:b/>
                <w:bCs/>
                <w:szCs w:val="24"/>
                <w:lang w:val="en-US"/>
              </w:rPr>
              <w:instrText>vincristine</w:instrText>
            </w:r>
            <w:r w:rsidR="00053AE8" w:rsidRPr="002B3AE7">
              <w:rPr>
                <w:b/>
                <w:bCs/>
                <w:szCs w:val="24"/>
              </w:rPr>
              <w:instrText xml:space="preserve">, </w:instrText>
            </w:r>
            <w:r w:rsidR="00053AE8">
              <w:rPr>
                <w:b/>
                <w:bCs/>
                <w:szCs w:val="24"/>
                <w:lang w:val="en-US"/>
              </w:rPr>
              <w:instrText>prednisone</w:instrText>
            </w:r>
            <w:r w:rsidR="00053AE8" w:rsidRPr="002B3AE7">
              <w:rPr>
                <w:b/>
                <w:bCs/>
                <w:szCs w:val="24"/>
              </w:rPr>
              <w:instrText xml:space="preserve">, </w:instrText>
            </w:r>
            <w:r w:rsidR="00053AE8">
              <w:rPr>
                <w:b/>
                <w:bCs/>
                <w:szCs w:val="24"/>
                <w:lang w:val="en-US"/>
              </w:rPr>
              <w:instrText>and</w:instrText>
            </w:r>
            <w:r w:rsidR="00053AE8" w:rsidRPr="002B3AE7">
              <w:rPr>
                <w:b/>
                <w:bCs/>
                <w:szCs w:val="24"/>
              </w:rPr>
              <w:instrText xml:space="preserve"> </w:instrText>
            </w:r>
            <w:r w:rsidR="00053AE8">
              <w:rPr>
                <w:b/>
                <w:bCs/>
                <w:szCs w:val="24"/>
                <w:lang w:val="en-US"/>
              </w:rPr>
              <w:instrText>etoposide</w:instrText>
            </w:r>
            <w:r w:rsidR="00053AE8" w:rsidRPr="002B3AE7">
              <w:rPr>
                <w:b/>
                <w:bCs/>
                <w:szCs w:val="24"/>
              </w:rPr>
              <w:instrText xml:space="preserve"> (</w:instrText>
            </w:r>
            <w:r w:rsidR="00053AE8">
              <w:rPr>
                <w:b/>
                <w:bCs/>
                <w:szCs w:val="24"/>
                <w:lang w:val="en-US"/>
              </w:rPr>
              <w:instrText>AOPE</w:instrText>
            </w:r>
            <w:r w:rsidR="00053AE8" w:rsidRPr="002B3AE7">
              <w:rPr>
                <w:b/>
                <w:bCs/>
                <w:szCs w:val="24"/>
              </w:rPr>
              <w:instrText xml:space="preserve">) </w:instrText>
            </w:r>
            <w:r w:rsidR="00053AE8">
              <w:rPr>
                <w:b/>
                <w:bCs/>
                <w:szCs w:val="24"/>
                <w:lang w:val="en-US"/>
              </w:rPr>
              <w:instrText>plus</w:instrText>
            </w:r>
            <w:r w:rsidR="00053AE8" w:rsidRPr="002B3AE7">
              <w:rPr>
                <w:b/>
                <w:bCs/>
                <w:szCs w:val="24"/>
              </w:rPr>
              <w:instrText xml:space="preserve"> </w:instrText>
            </w:r>
            <w:r w:rsidR="00053AE8">
              <w:rPr>
                <w:b/>
                <w:bCs/>
                <w:szCs w:val="24"/>
                <w:lang w:val="en-US"/>
              </w:rPr>
              <w:instrText>involved</w:instrText>
            </w:r>
            <w:r w:rsidR="00053AE8" w:rsidRPr="002B3AE7">
              <w:rPr>
                <w:b/>
                <w:bCs/>
                <w:szCs w:val="24"/>
              </w:rPr>
              <w:instrText>-</w:instrText>
            </w:r>
            <w:r w:rsidR="00053AE8">
              <w:rPr>
                <w:b/>
                <w:bCs/>
                <w:szCs w:val="24"/>
                <w:lang w:val="en-US"/>
              </w:rPr>
              <w:instrText>field</w:instrText>
            </w:r>
            <w:r w:rsidR="00053AE8" w:rsidRPr="002B3AE7">
              <w:rPr>
                <w:b/>
                <w:bCs/>
                <w:szCs w:val="24"/>
              </w:rPr>
              <w:instrText xml:space="preserve"> </w:instrText>
            </w:r>
            <w:r w:rsidR="00053AE8">
              <w:rPr>
                <w:b/>
                <w:bCs/>
                <w:szCs w:val="24"/>
                <w:lang w:val="en-US"/>
              </w:rPr>
              <w:instrText>radiotherapy</w:instrText>
            </w:r>
            <w:r w:rsidR="00053AE8" w:rsidRPr="002B3AE7">
              <w:rPr>
                <w:b/>
                <w:bCs/>
                <w:szCs w:val="24"/>
              </w:rPr>
              <w:instrText xml:space="preserve"> (</w:instrText>
            </w:r>
            <w:r w:rsidR="00053AE8">
              <w:rPr>
                <w:b/>
                <w:bCs/>
                <w:szCs w:val="24"/>
                <w:lang w:val="en-US"/>
              </w:rPr>
              <w:instrText>RT</w:instrText>
            </w:r>
            <w:r w:rsidR="00053AE8" w:rsidRPr="002B3AE7">
              <w:rPr>
                <w:b/>
                <w:bCs/>
                <w:szCs w:val="24"/>
              </w:rPr>
              <w:instrText xml:space="preserve">) </w:instrText>
            </w:r>
            <w:r w:rsidR="00053AE8">
              <w:rPr>
                <w:b/>
                <w:bCs/>
                <w:szCs w:val="24"/>
                <w:lang w:val="en-US"/>
              </w:rPr>
              <w:instrText>in</w:instrText>
            </w:r>
            <w:r w:rsidR="00053AE8" w:rsidRPr="002B3AE7">
              <w:rPr>
                <w:b/>
                <w:bCs/>
                <w:szCs w:val="24"/>
              </w:rPr>
              <w:instrText xml:space="preserve"> </w:instrText>
            </w:r>
            <w:r w:rsidR="00053AE8">
              <w:rPr>
                <w:b/>
                <w:bCs/>
                <w:szCs w:val="24"/>
                <w:lang w:val="en-US"/>
              </w:rPr>
              <w:instrText>intermediate</w:instrText>
            </w:r>
            <w:r w:rsidR="00053AE8" w:rsidRPr="002B3AE7">
              <w:rPr>
                <w:b/>
                <w:bCs/>
                <w:szCs w:val="24"/>
              </w:rPr>
              <w:instrText>-</w:instrText>
            </w:r>
            <w:r w:rsidR="00053AE8">
              <w:rPr>
                <w:b/>
                <w:bCs/>
                <w:szCs w:val="24"/>
                <w:lang w:val="en-US"/>
              </w:rPr>
              <w:instrText>prognosis</w:instrText>
            </w:r>
            <w:r w:rsidR="00053AE8" w:rsidRPr="002B3AE7">
              <w:rPr>
                <w:b/>
                <w:bCs/>
                <w:szCs w:val="24"/>
              </w:rPr>
              <w:instrText xml:space="preserve"> </w:instrText>
            </w:r>
            <w:r w:rsidR="00053AE8">
              <w:rPr>
                <w:b/>
                <w:bCs/>
                <w:szCs w:val="24"/>
                <w:lang w:val="en-US"/>
              </w:rPr>
              <w:instrText>previously</w:instrText>
            </w:r>
            <w:r w:rsidR="00053AE8" w:rsidRPr="002B3AE7">
              <w:rPr>
                <w:b/>
                <w:bCs/>
                <w:szCs w:val="24"/>
              </w:rPr>
              <w:instrText xml:space="preserve"> </w:instrText>
            </w:r>
            <w:r w:rsidR="00053AE8">
              <w:rPr>
                <w:b/>
                <w:bCs/>
                <w:szCs w:val="24"/>
                <w:lang w:val="en-US"/>
              </w:rPr>
              <w:instrText>untreated</w:instrText>
            </w:r>
            <w:r w:rsidR="00053AE8" w:rsidRPr="002B3AE7">
              <w:rPr>
                <w:b/>
                <w:bCs/>
                <w:szCs w:val="24"/>
              </w:rPr>
              <w:instrText xml:space="preserve"> </w:instrText>
            </w:r>
            <w:r w:rsidR="00053AE8">
              <w:rPr>
                <w:b/>
                <w:bCs/>
                <w:szCs w:val="24"/>
                <w:lang w:val="en-US"/>
              </w:rPr>
              <w:instrText>Hodgkin</w:instrText>
            </w:r>
            <w:r w:rsidR="00053AE8" w:rsidRPr="002B3AE7">
              <w:rPr>
                <w:b/>
                <w:bCs/>
                <w:szCs w:val="24"/>
              </w:rPr>
              <w:instrText>'</w:instrText>
            </w:r>
            <w:r w:rsidR="00053AE8">
              <w:rPr>
                <w:b/>
                <w:bCs/>
                <w:szCs w:val="24"/>
                <w:lang w:val="en-US"/>
              </w:rPr>
              <w:instrText>s</w:instrText>
            </w:r>
            <w:r w:rsidR="00053AE8" w:rsidRPr="002B3AE7">
              <w:rPr>
                <w:b/>
                <w:bCs/>
                <w:szCs w:val="24"/>
              </w:rPr>
              <w:instrText xml:space="preserve"> </w:instrText>
            </w:r>
            <w:r w:rsidR="00053AE8">
              <w:rPr>
                <w:b/>
                <w:bCs/>
                <w:szCs w:val="24"/>
                <w:lang w:val="en-US"/>
              </w:rPr>
              <w:instrText>disease</w:instrText>
            </w:r>
            <w:r w:rsidR="00053AE8" w:rsidRPr="002B3AE7">
              <w:rPr>
                <w:b/>
                <w:bCs/>
                <w:szCs w:val="24"/>
              </w:rPr>
              <w:instrText xml:space="preserve">. </w:instrText>
            </w:r>
            <w:r w:rsidR="00053AE8">
              <w:rPr>
                <w:b/>
                <w:bCs/>
                <w:szCs w:val="24"/>
                <w:lang w:val="en-US"/>
              </w:rPr>
              <w:instrText>Patients</w:instrText>
            </w:r>
            <w:r w:rsidR="00053AE8" w:rsidRPr="002B3AE7">
              <w:rPr>
                <w:b/>
                <w:bCs/>
                <w:szCs w:val="24"/>
              </w:rPr>
              <w:instrText xml:space="preserve"> </w:instrText>
            </w:r>
            <w:r w:rsidR="00053AE8">
              <w:rPr>
                <w:b/>
                <w:bCs/>
                <w:szCs w:val="24"/>
                <w:lang w:val="en-US"/>
              </w:rPr>
              <w:instrText>and</w:instrText>
            </w:r>
            <w:r w:rsidR="00053AE8" w:rsidRPr="002B3AE7">
              <w:rPr>
                <w:b/>
                <w:bCs/>
                <w:szCs w:val="24"/>
              </w:rPr>
              <w:instrText xml:space="preserve"> </w:instrText>
            </w:r>
            <w:r w:rsidR="00053AE8">
              <w:rPr>
                <w:b/>
                <w:bCs/>
                <w:szCs w:val="24"/>
                <w:lang w:val="en-US"/>
              </w:rPr>
              <w:instrText>Methods</w:instrText>
            </w:r>
            <w:r w:rsidR="00053AE8" w:rsidRPr="002B3AE7">
              <w:rPr>
                <w:b/>
                <w:bCs/>
                <w:szCs w:val="24"/>
              </w:rPr>
              <w:instrText xml:space="preserve">: </w:instrText>
            </w:r>
            <w:r w:rsidR="00053AE8">
              <w:rPr>
                <w:b/>
                <w:bCs/>
                <w:szCs w:val="24"/>
                <w:lang w:val="en-US"/>
              </w:rPr>
              <w:instrText>Of</w:instrText>
            </w:r>
            <w:r w:rsidR="00053AE8" w:rsidRPr="002B3AE7">
              <w:rPr>
                <w:b/>
                <w:bCs/>
                <w:szCs w:val="24"/>
              </w:rPr>
              <w:instrText xml:space="preserve"> 256 </w:instrText>
            </w:r>
            <w:r w:rsidR="00053AE8">
              <w:rPr>
                <w:b/>
                <w:bCs/>
                <w:szCs w:val="24"/>
                <w:lang w:val="en-US"/>
              </w:rPr>
              <w:instrText>patients</w:instrText>
            </w:r>
            <w:r w:rsidR="00053AE8" w:rsidRPr="002B3AE7">
              <w:rPr>
                <w:b/>
                <w:bCs/>
                <w:szCs w:val="24"/>
              </w:rPr>
              <w:instrText xml:space="preserve"> </w:instrText>
            </w:r>
            <w:r w:rsidR="00053AE8">
              <w:rPr>
                <w:b/>
                <w:bCs/>
                <w:szCs w:val="24"/>
                <w:lang w:val="en-US"/>
              </w:rPr>
              <w:instrText>evaluated</w:instrText>
            </w:r>
            <w:r w:rsidR="00053AE8" w:rsidRPr="002B3AE7">
              <w:rPr>
                <w:b/>
                <w:bCs/>
                <w:szCs w:val="24"/>
              </w:rPr>
              <w:instrText xml:space="preserve">, 80 </w:instrText>
            </w:r>
            <w:r w:rsidR="00053AE8">
              <w:rPr>
                <w:b/>
                <w:bCs/>
                <w:szCs w:val="24"/>
                <w:lang w:val="en-US"/>
              </w:rPr>
              <w:instrText>with</w:instrText>
            </w:r>
            <w:r w:rsidR="00053AE8" w:rsidRPr="002B3AE7">
              <w:rPr>
                <w:b/>
                <w:bCs/>
                <w:szCs w:val="24"/>
              </w:rPr>
              <w:instrText xml:space="preserve"> </w:instrText>
            </w:r>
            <w:r w:rsidR="00053AE8">
              <w:rPr>
                <w:b/>
                <w:bCs/>
                <w:szCs w:val="24"/>
                <w:lang w:val="en-US"/>
              </w:rPr>
              <w:instrText>a</w:instrText>
            </w:r>
            <w:r w:rsidR="00053AE8" w:rsidRPr="002B3AE7">
              <w:rPr>
                <w:b/>
                <w:bCs/>
                <w:szCs w:val="24"/>
              </w:rPr>
              <w:instrText xml:space="preserve"> </w:instrText>
            </w:r>
            <w:r w:rsidR="00053AE8">
              <w:rPr>
                <w:b/>
                <w:bCs/>
                <w:szCs w:val="24"/>
                <w:lang w:val="en-US"/>
              </w:rPr>
              <w:instrText>favorable</w:instrText>
            </w:r>
            <w:r w:rsidR="00053AE8" w:rsidRPr="002B3AE7">
              <w:rPr>
                <w:b/>
                <w:bCs/>
                <w:szCs w:val="24"/>
              </w:rPr>
              <w:instrText xml:space="preserve"> </w:instrText>
            </w:r>
            <w:r w:rsidR="00053AE8">
              <w:rPr>
                <w:b/>
                <w:bCs/>
                <w:szCs w:val="24"/>
                <w:lang w:val="en-US"/>
              </w:rPr>
              <w:instrText>prognosis</w:instrText>
            </w:r>
            <w:r w:rsidR="00053AE8" w:rsidRPr="002B3AE7">
              <w:rPr>
                <w:b/>
                <w:bCs/>
                <w:szCs w:val="24"/>
              </w:rPr>
              <w:instrText xml:space="preserve"> </w:instrText>
            </w:r>
            <w:r w:rsidR="00053AE8">
              <w:rPr>
                <w:b/>
                <w:bCs/>
                <w:szCs w:val="24"/>
                <w:lang w:val="en-US"/>
              </w:rPr>
              <w:instrText>according</w:instrText>
            </w:r>
            <w:r w:rsidR="00053AE8" w:rsidRPr="002B3AE7">
              <w:rPr>
                <w:b/>
                <w:bCs/>
                <w:szCs w:val="24"/>
              </w:rPr>
              <w:instrText xml:space="preserve"> </w:instrText>
            </w:r>
            <w:r w:rsidR="00053AE8">
              <w:rPr>
                <w:b/>
                <w:bCs/>
                <w:szCs w:val="24"/>
                <w:lang w:val="en-US"/>
              </w:rPr>
              <w:instrText>to</w:instrText>
            </w:r>
            <w:r w:rsidR="00053AE8" w:rsidRPr="002B3AE7">
              <w:rPr>
                <w:b/>
                <w:bCs/>
                <w:szCs w:val="24"/>
              </w:rPr>
              <w:instrText xml:space="preserve"> </w:instrText>
            </w:r>
            <w:r w:rsidR="00053AE8">
              <w:rPr>
                <w:b/>
                <w:bCs/>
                <w:szCs w:val="24"/>
                <w:lang w:val="en-US"/>
              </w:rPr>
              <w:instrText>a</w:instrText>
            </w:r>
            <w:r w:rsidR="00053AE8" w:rsidRPr="002B3AE7">
              <w:rPr>
                <w:b/>
                <w:bCs/>
                <w:szCs w:val="24"/>
              </w:rPr>
              <w:instrText xml:space="preserve"> </w:instrText>
            </w:r>
            <w:r w:rsidR="00053AE8">
              <w:rPr>
                <w:b/>
                <w:bCs/>
                <w:szCs w:val="24"/>
                <w:lang w:val="en-US"/>
              </w:rPr>
              <w:instrText>prognostic</w:instrText>
            </w:r>
            <w:r w:rsidR="00053AE8" w:rsidRPr="002B3AE7">
              <w:rPr>
                <w:b/>
                <w:bCs/>
                <w:szCs w:val="24"/>
              </w:rPr>
              <w:instrText xml:space="preserve"> </w:instrText>
            </w:r>
            <w:r w:rsidR="00053AE8">
              <w:rPr>
                <w:b/>
                <w:bCs/>
                <w:szCs w:val="24"/>
                <w:lang w:val="en-US"/>
              </w:rPr>
              <w:instrText>index</w:instrText>
            </w:r>
            <w:r w:rsidR="00053AE8" w:rsidRPr="002B3AE7">
              <w:rPr>
                <w:b/>
                <w:bCs/>
                <w:szCs w:val="24"/>
              </w:rPr>
              <w:instrText xml:space="preserve"> </w:instrText>
            </w:r>
            <w:r w:rsidR="00053AE8">
              <w:rPr>
                <w:b/>
                <w:bCs/>
                <w:szCs w:val="24"/>
                <w:lang w:val="en-US"/>
              </w:rPr>
              <w:instrText>designed</w:instrText>
            </w:r>
            <w:r w:rsidR="00053AE8" w:rsidRPr="002B3AE7">
              <w:rPr>
                <w:b/>
                <w:bCs/>
                <w:szCs w:val="24"/>
              </w:rPr>
              <w:instrText xml:space="preserve"> </w:instrText>
            </w:r>
            <w:r w:rsidR="00053AE8">
              <w:rPr>
                <w:b/>
                <w:bCs/>
                <w:szCs w:val="24"/>
                <w:lang w:val="en-US"/>
              </w:rPr>
              <w:instrText>by</w:instrText>
            </w:r>
            <w:r w:rsidR="00053AE8" w:rsidRPr="002B3AE7">
              <w:rPr>
                <w:b/>
                <w:bCs/>
                <w:szCs w:val="24"/>
              </w:rPr>
              <w:instrText xml:space="preserve"> </w:instrText>
            </w:r>
            <w:r w:rsidR="00053AE8">
              <w:rPr>
                <w:b/>
                <w:bCs/>
                <w:szCs w:val="24"/>
                <w:lang w:val="en-US"/>
              </w:rPr>
              <w:instrText>the</w:instrText>
            </w:r>
            <w:r w:rsidR="00053AE8" w:rsidRPr="002B3AE7">
              <w:rPr>
                <w:b/>
                <w:bCs/>
                <w:szCs w:val="24"/>
              </w:rPr>
              <w:instrText xml:space="preserve"> </w:instrText>
            </w:r>
            <w:r w:rsidR="00053AE8">
              <w:rPr>
                <w:b/>
                <w:bCs/>
                <w:szCs w:val="24"/>
                <w:lang w:val="en-US"/>
              </w:rPr>
              <w:instrText>Grupo</w:instrText>
            </w:r>
            <w:r w:rsidR="00053AE8" w:rsidRPr="002B3AE7">
              <w:rPr>
                <w:b/>
                <w:bCs/>
                <w:szCs w:val="24"/>
              </w:rPr>
              <w:instrText xml:space="preserve"> </w:instrText>
            </w:r>
            <w:r w:rsidR="00053AE8">
              <w:rPr>
                <w:b/>
                <w:bCs/>
                <w:szCs w:val="24"/>
                <w:lang w:val="en-US"/>
              </w:rPr>
              <w:instrText>Argentina</w:instrText>
            </w:r>
            <w:r w:rsidR="00053AE8" w:rsidRPr="002B3AE7">
              <w:rPr>
                <w:b/>
                <w:bCs/>
                <w:szCs w:val="24"/>
              </w:rPr>
              <w:instrText xml:space="preserve"> </w:instrText>
            </w:r>
            <w:r w:rsidR="00053AE8">
              <w:rPr>
                <w:b/>
                <w:bCs/>
                <w:szCs w:val="24"/>
                <w:lang w:val="en-US"/>
              </w:rPr>
              <w:instrText>de</w:instrText>
            </w:r>
            <w:r w:rsidR="00053AE8" w:rsidRPr="002B3AE7">
              <w:rPr>
                <w:b/>
                <w:bCs/>
                <w:szCs w:val="24"/>
              </w:rPr>
              <w:instrText xml:space="preserve"> </w:instrText>
            </w:r>
            <w:r w:rsidR="00053AE8">
              <w:rPr>
                <w:b/>
                <w:bCs/>
                <w:szCs w:val="24"/>
                <w:lang w:val="en-US"/>
              </w:rPr>
              <w:instrText>Tratamiento</w:instrText>
            </w:r>
            <w:r w:rsidR="00053AE8" w:rsidRPr="002B3AE7">
              <w:rPr>
                <w:b/>
                <w:bCs/>
                <w:szCs w:val="24"/>
              </w:rPr>
              <w:instrText xml:space="preserve"> </w:instrText>
            </w:r>
            <w:r w:rsidR="00053AE8">
              <w:rPr>
                <w:b/>
                <w:bCs/>
                <w:szCs w:val="24"/>
                <w:lang w:val="en-US"/>
              </w:rPr>
              <w:instrText>de</w:instrText>
            </w:r>
            <w:r w:rsidR="00053AE8" w:rsidRPr="002B3AE7">
              <w:rPr>
                <w:b/>
                <w:bCs/>
                <w:szCs w:val="24"/>
              </w:rPr>
              <w:instrText xml:space="preserve"> </w:instrText>
            </w:r>
            <w:r w:rsidR="00053AE8">
              <w:rPr>
                <w:b/>
                <w:bCs/>
                <w:szCs w:val="24"/>
                <w:lang w:val="en-US"/>
              </w:rPr>
              <w:instrText>Leucemia</w:instrText>
            </w:r>
            <w:r w:rsidR="00053AE8" w:rsidRPr="002B3AE7">
              <w:rPr>
                <w:b/>
                <w:bCs/>
                <w:szCs w:val="24"/>
              </w:rPr>
              <w:instrText xml:space="preserve"> </w:instrText>
            </w:r>
            <w:r w:rsidR="00053AE8">
              <w:rPr>
                <w:b/>
                <w:bCs/>
                <w:szCs w:val="24"/>
                <w:lang w:val="en-US"/>
              </w:rPr>
              <w:instrText>Aguda</w:instrText>
            </w:r>
            <w:r w:rsidR="00053AE8" w:rsidRPr="002B3AE7">
              <w:rPr>
                <w:b/>
                <w:bCs/>
                <w:szCs w:val="24"/>
              </w:rPr>
              <w:instrText xml:space="preserve"> (</w:instrText>
            </w:r>
            <w:r w:rsidR="00053AE8">
              <w:rPr>
                <w:b/>
                <w:bCs/>
                <w:szCs w:val="24"/>
                <w:lang w:val="en-US"/>
              </w:rPr>
              <w:instrText>GATLA</w:instrText>
            </w:r>
            <w:r w:rsidR="00053AE8" w:rsidRPr="002B3AE7">
              <w:rPr>
                <w:b/>
                <w:bCs/>
                <w:szCs w:val="24"/>
              </w:rPr>
              <w:instrText xml:space="preserve">) </w:instrText>
            </w:r>
            <w:r w:rsidR="00053AE8">
              <w:rPr>
                <w:b/>
                <w:bCs/>
                <w:szCs w:val="24"/>
                <w:lang w:val="en-US"/>
              </w:rPr>
              <w:instrText>were</w:instrText>
            </w:r>
            <w:r w:rsidR="00053AE8" w:rsidRPr="002B3AE7">
              <w:rPr>
                <w:b/>
                <w:bCs/>
                <w:szCs w:val="24"/>
              </w:rPr>
              <w:instrText xml:space="preserve"> </w:instrText>
            </w:r>
            <w:r w:rsidR="00053AE8">
              <w:rPr>
                <w:b/>
                <w:bCs/>
                <w:szCs w:val="24"/>
                <w:lang w:val="en-US"/>
              </w:rPr>
              <w:instrText>randomized</w:instrText>
            </w:r>
            <w:r w:rsidR="00053AE8" w:rsidRPr="002B3AE7">
              <w:rPr>
                <w:b/>
                <w:bCs/>
                <w:szCs w:val="24"/>
              </w:rPr>
              <w:instrText xml:space="preserve"> </w:instrText>
            </w:r>
            <w:r w:rsidR="00053AE8">
              <w:rPr>
                <w:b/>
                <w:bCs/>
                <w:szCs w:val="24"/>
                <w:lang w:val="en-US"/>
              </w:rPr>
              <w:instrText>to</w:instrText>
            </w:r>
            <w:r w:rsidR="00053AE8" w:rsidRPr="002B3AE7">
              <w:rPr>
                <w:b/>
                <w:bCs/>
                <w:szCs w:val="24"/>
              </w:rPr>
              <w:instrText xml:space="preserve"> </w:instrText>
            </w:r>
            <w:r w:rsidR="00053AE8">
              <w:rPr>
                <w:b/>
                <w:bCs/>
                <w:szCs w:val="24"/>
                <w:lang w:val="en-US"/>
              </w:rPr>
              <w:instrText>three</w:instrText>
            </w:r>
            <w:r w:rsidR="00053AE8" w:rsidRPr="002B3AE7">
              <w:rPr>
                <w:b/>
                <w:bCs/>
                <w:szCs w:val="24"/>
              </w:rPr>
              <w:instrText xml:space="preserve"> </w:instrText>
            </w:r>
            <w:r w:rsidR="00053AE8">
              <w:rPr>
                <w:b/>
                <w:bCs/>
                <w:szCs w:val="24"/>
                <w:lang w:val="en-US"/>
              </w:rPr>
              <w:instrText>versus</w:instrText>
            </w:r>
            <w:r w:rsidR="00053AE8" w:rsidRPr="002B3AE7">
              <w:rPr>
                <w:b/>
                <w:bCs/>
                <w:szCs w:val="24"/>
              </w:rPr>
              <w:instrText xml:space="preserve"> </w:instrText>
            </w:r>
            <w:r w:rsidR="00053AE8">
              <w:rPr>
                <w:b/>
                <w:bCs/>
                <w:szCs w:val="24"/>
                <w:lang w:val="en-US"/>
              </w:rPr>
              <w:instrText>six</w:instrText>
            </w:r>
            <w:r w:rsidR="00053AE8" w:rsidRPr="002B3AE7">
              <w:rPr>
                <w:b/>
                <w:bCs/>
                <w:szCs w:val="24"/>
              </w:rPr>
              <w:instrText xml:space="preserve"> </w:instrText>
            </w:r>
            <w:r w:rsidR="00053AE8">
              <w:rPr>
                <w:b/>
                <w:bCs/>
                <w:szCs w:val="24"/>
                <w:lang w:val="en-US"/>
              </w:rPr>
              <w:instrText>cycles</w:instrText>
            </w:r>
            <w:r w:rsidR="00053AE8" w:rsidRPr="002B3AE7">
              <w:rPr>
                <w:b/>
                <w:bCs/>
                <w:szCs w:val="24"/>
              </w:rPr>
              <w:instrText xml:space="preserve"> </w:instrText>
            </w:r>
            <w:r w:rsidR="00053AE8">
              <w:rPr>
                <w:b/>
                <w:bCs/>
                <w:szCs w:val="24"/>
                <w:lang w:val="en-US"/>
              </w:rPr>
              <w:instrText>of</w:instrText>
            </w:r>
            <w:r w:rsidR="00053AE8" w:rsidRPr="002B3AE7">
              <w:rPr>
                <w:b/>
                <w:bCs/>
                <w:szCs w:val="24"/>
              </w:rPr>
              <w:instrText xml:space="preserve"> </w:instrText>
            </w:r>
            <w:r w:rsidR="00053AE8">
              <w:rPr>
                <w:b/>
                <w:bCs/>
                <w:szCs w:val="24"/>
                <w:lang w:val="en-US"/>
              </w:rPr>
              <w:instrText>CVPP</w:instrText>
            </w:r>
            <w:r w:rsidR="00053AE8" w:rsidRPr="002B3AE7">
              <w:rPr>
                <w:b/>
                <w:bCs/>
                <w:szCs w:val="24"/>
              </w:rPr>
              <w:instrText xml:space="preserve"> </w:instrText>
            </w:r>
            <w:r w:rsidR="00053AE8">
              <w:rPr>
                <w:b/>
                <w:bCs/>
                <w:szCs w:val="24"/>
                <w:lang w:val="en-US"/>
              </w:rPr>
              <w:instrText>without</w:instrText>
            </w:r>
            <w:r w:rsidR="00053AE8" w:rsidRPr="002B3AE7">
              <w:rPr>
                <w:b/>
                <w:bCs/>
                <w:szCs w:val="24"/>
              </w:rPr>
              <w:instrText xml:space="preserve"> </w:instrText>
            </w:r>
            <w:r w:rsidR="00053AE8">
              <w:rPr>
                <w:b/>
                <w:bCs/>
                <w:szCs w:val="24"/>
                <w:lang w:val="en-US"/>
              </w:rPr>
              <w:instrText>RT</w:instrText>
            </w:r>
            <w:r w:rsidR="00053AE8" w:rsidRPr="002B3AE7">
              <w:rPr>
                <w:b/>
                <w:bCs/>
                <w:szCs w:val="24"/>
              </w:rPr>
              <w:instrText xml:space="preserve"> </w:instrText>
            </w:r>
            <w:r w:rsidR="00053AE8">
              <w:rPr>
                <w:b/>
                <w:bCs/>
                <w:szCs w:val="24"/>
                <w:lang w:val="en-US"/>
              </w:rPr>
              <w:instrText>and</w:instrText>
            </w:r>
            <w:r w:rsidR="00053AE8" w:rsidRPr="002B3AE7">
              <w:rPr>
                <w:b/>
                <w:bCs/>
                <w:szCs w:val="24"/>
              </w:rPr>
              <w:instrText xml:space="preserve"> 176 </w:instrText>
            </w:r>
            <w:r w:rsidR="00053AE8">
              <w:rPr>
                <w:b/>
                <w:bCs/>
                <w:szCs w:val="24"/>
                <w:lang w:val="en-US"/>
              </w:rPr>
              <w:instrText>with</w:instrText>
            </w:r>
            <w:r w:rsidR="00053AE8" w:rsidRPr="002B3AE7">
              <w:rPr>
                <w:b/>
                <w:bCs/>
                <w:szCs w:val="24"/>
              </w:rPr>
              <w:instrText xml:space="preserve"> </w:instrText>
            </w:r>
            <w:r w:rsidR="00053AE8">
              <w:rPr>
                <w:b/>
                <w:bCs/>
                <w:szCs w:val="24"/>
                <w:lang w:val="en-US"/>
              </w:rPr>
              <w:instrText>intermediate</w:instrText>
            </w:r>
            <w:r w:rsidR="00053AE8" w:rsidRPr="002B3AE7">
              <w:rPr>
                <w:b/>
                <w:bCs/>
                <w:szCs w:val="24"/>
              </w:rPr>
              <w:instrText xml:space="preserve"> </w:instrText>
            </w:r>
            <w:r w:rsidR="00053AE8">
              <w:rPr>
                <w:b/>
                <w:bCs/>
                <w:szCs w:val="24"/>
                <w:lang w:val="en-US"/>
              </w:rPr>
              <w:instrText>risk</w:instrText>
            </w:r>
            <w:r w:rsidR="00053AE8" w:rsidRPr="002B3AE7">
              <w:rPr>
                <w:b/>
                <w:bCs/>
                <w:szCs w:val="24"/>
              </w:rPr>
              <w:instrText xml:space="preserve"> </w:instrText>
            </w:r>
            <w:r w:rsidR="00053AE8">
              <w:rPr>
                <w:b/>
                <w:bCs/>
                <w:szCs w:val="24"/>
                <w:lang w:val="en-US"/>
              </w:rPr>
              <w:instrText>to</w:instrText>
            </w:r>
            <w:r w:rsidR="00053AE8" w:rsidRPr="002B3AE7">
              <w:rPr>
                <w:b/>
                <w:bCs/>
                <w:szCs w:val="24"/>
              </w:rPr>
              <w:instrText xml:space="preserve"> </w:instrText>
            </w:r>
            <w:r w:rsidR="00053AE8">
              <w:rPr>
                <w:b/>
                <w:bCs/>
                <w:szCs w:val="24"/>
                <w:lang w:val="en-US"/>
              </w:rPr>
              <w:instrText>CVPP</w:instrText>
            </w:r>
            <w:r w:rsidR="00053AE8" w:rsidRPr="002B3AE7">
              <w:rPr>
                <w:b/>
                <w:bCs/>
                <w:szCs w:val="24"/>
              </w:rPr>
              <w:instrText xml:space="preserve"> </w:instrText>
            </w:r>
            <w:r w:rsidR="00053AE8">
              <w:rPr>
                <w:b/>
                <w:bCs/>
                <w:szCs w:val="24"/>
                <w:lang w:val="en-US"/>
              </w:rPr>
              <w:instrText>versus</w:instrText>
            </w:r>
            <w:r w:rsidR="00053AE8" w:rsidRPr="002B3AE7">
              <w:rPr>
                <w:b/>
                <w:bCs/>
                <w:szCs w:val="24"/>
              </w:rPr>
              <w:instrText xml:space="preserve"> </w:instrText>
            </w:r>
            <w:r w:rsidR="00053AE8">
              <w:rPr>
                <w:b/>
                <w:bCs/>
                <w:szCs w:val="24"/>
                <w:lang w:val="en-US"/>
              </w:rPr>
              <w:instrText>AOPE</w:instrText>
            </w:r>
            <w:r w:rsidR="00053AE8" w:rsidRPr="002B3AE7">
              <w:rPr>
                <w:b/>
                <w:bCs/>
                <w:szCs w:val="24"/>
              </w:rPr>
              <w:instrText xml:space="preserve">, </w:instrText>
            </w:r>
            <w:r w:rsidR="00053AE8">
              <w:rPr>
                <w:b/>
                <w:bCs/>
                <w:szCs w:val="24"/>
                <w:lang w:val="en-US"/>
              </w:rPr>
              <w:instrText>both</w:instrText>
            </w:r>
            <w:r w:rsidR="00053AE8" w:rsidRPr="002B3AE7">
              <w:rPr>
                <w:b/>
                <w:bCs/>
                <w:szCs w:val="24"/>
              </w:rPr>
              <w:instrText xml:space="preserve"> </w:instrText>
            </w:r>
            <w:r w:rsidR="00053AE8">
              <w:rPr>
                <w:b/>
                <w:bCs/>
                <w:szCs w:val="24"/>
                <w:lang w:val="en-US"/>
              </w:rPr>
              <w:instrText>for</w:instrText>
            </w:r>
            <w:r w:rsidR="00053AE8" w:rsidRPr="002B3AE7">
              <w:rPr>
                <w:b/>
                <w:bCs/>
                <w:szCs w:val="24"/>
              </w:rPr>
              <w:instrText xml:space="preserve"> </w:instrText>
            </w:r>
            <w:r w:rsidR="00053AE8">
              <w:rPr>
                <w:b/>
                <w:bCs/>
                <w:szCs w:val="24"/>
                <w:lang w:val="en-US"/>
              </w:rPr>
              <w:instrText>six</w:instrText>
            </w:r>
            <w:r w:rsidR="00053AE8" w:rsidRPr="002B3AE7">
              <w:rPr>
                <w:b/>
                <w:bCs/>
                <w:szCs w:val="24"/>
              </w:rPr>
              <w:instrText xml:space="preserve"> </w:instrText>
            </w:r>
            <w:r w:rsidR="00053AE8">
              <w:rPr>
                <w:b/>
                <w:bCs/>
                <w:szCs w:val="24"/>
                <w:lang w:val="en-US"/>
              </w:rPr>
              <w:instrText>cycles</w:instrText>
            </w:r>
            <w:r w:rsidR="00053AE8" w:rsidRPr="002B3AE7">
              <w:rPr>
                <w:b/>
                <w:bCs/>
                <w:szCs w:val="24"/>
              </w:rPr>
              <w:instrText xml:space="preserve"> </w:instrText>
            </w:r>
            <w:r w:rsidR="00053AE8">
              <w:rPr>
                <w:b/>
                <w:bCs/>
                <w:szCs w:val="24"/>
                <w:lang w:val="en-US"/>
              </w:rPr>
              <w:instrText>with</w:instrText>
            </w:r>
            <w:r w:rsidR="00053AE8" w:rsidRPr="002B3AE7">
              <w:rPr>
                <w:b/>
                <w:bCs/>
                <w:szCs w:val="24"/>
              </w:rPr>
              <w:instrText xml:space="preserve"> </w:instrText>
            </w:r>
            <w:r w:rsidR="00053AE8">
              <w:rPr>
                <w:b/>
                <w:bCs/>
                <w:szCs w:val="24"/>
                <w:lang w:val="en-US"/>
              </w:rPr>
              <w:instrText>RT</w:instrText>
            </w:r>
            <w:r w:rsidR="00053AE8" w:rsidRPr="002B3AE7">
              <w:rPr>
                <w:b/>
                <w:bCs/>
                <w:szCs w:val="24"/>
              </w:rPr>
              <w:instrText xml:space="preserve"> </w:instrText>
            </w:r>
            <w:r w:rsidR="00053AE8">
              <w:rPr>
                <w:b/>
                <w:bCs/>
                <w:szCs w:val="24"/>
                <w:lang w:val="en-US"/>
              </w:rPr>
              <w:instrText>between</w:instrText>
            </w:r>
            <w:r w:rsidR="00053AE8" w:rsidRPr="002B3AE7">
              <w:rPr>
                <w:b/>
                <w:bCs/>
                <w:szCs w:val="24"/>
              </w:rPr>
              <w:instrText xml:space="preserve"> </w:instrText>
            </w:r>
            <w:r w:rsidR="00053AE8">
              <w:rPr>
                <w:b/>
                <w:bCs/>
                <w:szCs w:val="24"/>
                <w:lang w:val="en-US"/>
              </w:rPr>
              <w:instrText>the</w:instrText>
            </w:r>
            <w:r w:rsidR="00053AE8" w:rsidRPr="002B3AE7">
              <w:rPr>
                <w:b/>
                <w:bCs/>
                <w:szCs w:val="24"/>
              </w:rPr>
              <w:instrText xml:space="preserve"> </w:instrText>
            </w:r>
            <w:r w:rsidR="00053AE8">
              <w:rPr>
                <w:b/>
                <w:bCs/>
                <w:szCs w:val="24"/>
                <w:lang w:val="en-US"/>
              </w:rPr>
              <w:instrText>third</w:instrText>
            </w:r>
            <w:r w:rsidR="00053AE8" w:rsidRPr="002B3AE7">
              <w:rPr>
                <w:b/>
                <w:bCs/>
                <w:szCs w:val="24"/>
              </w:rPr>
              <w:instrText xml:space="preserve"> </w:instrText>
            </w:r>
            <w:r w:rsidR="00053AE8">
              <w:rPr>
                <w:b/>
                <w:bCs/>
                <w:szCs w:val="24"/>
                <w:lang w:val="en-US"/>
              </w:rPr>
              <w:instrText>and</w:instrText>
            </w:r>
            <w:r w:rsidR="00053AE8" w:rsidRPr="002B3AE7">
              <w:rPr>
                <w:b/>
                <w:bCs/>
                <w:szCs w:val="24"/>
              </w:rPr>
              <w:instrText xml:space="preserve"> </w:instrText>
            </w:r>
            <w:r w:rsidR="00053AE8">
              <w:rPr>
                <w:b/>
                <w:bCs/>
                <w:szCs w:val="24"/>
                <w:lang w:val="en-US"/>
              </w:rPr>
              <w:instrText>fourth</w:instrText>
            </w:r>
            <w:r w:rsidR="00053AE8" w:rsidRPr="002B3AE7">
              <w:rPr>
                <w:b/>
                <w:bCs/>
                <w:szCs w:val="24"/>
              </w:rPr>
              <w:instrText xml:space="preserve"> </w:instrText>
            </w:r>
            <w:r w:rsidR="00053AE8">
              <w:rPr>
                <w:b/>
                <w:bCs/>
                <w:szCs w:val="24"/>
                <w:lang w:val="en-US"/>
              </w:rPr>
              <w:instrText>cycles</w:instrText>
            </w:r>
            <w:r w:rsidR="00053AE8" w:rsidRPr="002B3AE7">
              <w:rPr>
                <w:b/>
                <w:bCs/>
                <w:szCs w:val="24"/>
              </w:rPr>
              <w:instrText xml:space="preserve"> </w:instrText>
            </w:r>
            <w:r w:rsidR="00053AE8">
              <w:rPr>
                <w:b/>
                <w:bCs/>
                <w:szCs w:val="24"/>
                <w:lang w:val="en-US"/>
              </w:rPr>
              <w:instrText>of</w:instrText>
            </w:r>
            <w:r w:rsidR="00053AE8" w:rsidRPr="002B3AE7">
              <w:rPr>
                <w:b/>
                <w:bCs/>
                <w:szCs w:val="24"/>
              </w:rPr>
              <w:instrText xml:space="preserve"> 30 </w:instrText>
            </w:r>
            <w:r w:rsidR="00053AE8">
              <w:rPr>
                <w:b/>
                <w:bCs/>
                <w:szCs w:val="24"/>
                <w:lang w:val="en-US"/>
              </w:rPr>
              <w:instrText>Gy</w:instrText>
            </w:r>
            <w:r w:rsidR="00053AE8" w:rsidRPr="002B3AE7">
              <w:rPr>
                <w:b/>
                <w:bCs/>
                <w:szCs w:val="24"/>
              </w:rPr>
              <w:instrText xml:space="preserve"> </w:instrText>
            </w:r>
            <w:r w:rsidR="00053AE8">
              <w:rPr>
                <w:b/>
                <w:bCs/>
                <w:szCs w:val="24"/>
                <w:lang w:val="en-US"/>
              </w:rPr>
              <w:instrText>to</w:instrText>
            </w:r>
            <w:r w:rsidR="00053AE8" w:rsidRPr="002B3AE7">
              <w:rPr>
                <w:b/>
                <w:bCs/>
                <w:szCs w:val="24"/>
              </w:rPr>
              <w:instrText xml:space="preserve"> </w:instrText>
            </w:r>
            <w:r w:rsidR="00053AE8">
              <w:rPr>
                <w:b/>
                <w:bCs/>
                <w:szCs w:val="24"/>
                <w:lang w:val="en-US"/>
              </w:rPr>
              <w:instrText>the</w:instrText>
            </w:r>
            <w:r w:rsidR="00053AE8" w:rsidRPr="002B3AE7">
              <w:rPr>
                <w:b/>
                <w:bCs/>
                <w:szCs w:val="24"/>
              </w:rPr>
              <w:instrText xml:space="preserve"> </w:instrText>
            </w:r>
            <w:r w:rsidR="00053AE8">
              <w:rPr>
                <w:b/>
                <w:bCs/>
                <w:szCs w:val="24"/>
                <w:lang w:val="en-US"/>
              </w:rPr>
              <w:instrText>involved</w:instrText>
            </w:r>
            <w:r w:rsidR="00053AE8" w:rsidRPr="002B3AE7">
              <w:rPr>
                <w:b/>
                <w:bCs/>
                <w:szCs w:val="24"/>
              </w:rPr>
              <w:instrText xml:space="preserve"> </w:instrText>
            </w:r>
            <w:r w:rsidR="00053AE8">
              <w:rPr>
                <w:b/>
                <w:bCs/>
                <w:szCs w:val="24"/>
                <w:lang w:val="en-US"/>
              </w:rPr>
              <w:instrText>areas</w:instrText>
            </w:r>
            <w:r w:rsidR="00053AE8" w:rsidRPr="002B3AE7">
              <w:rPr>
                <w:b/>
                <w:bCs/>
                <w:szCs w:val="24"/>
              </w:rPr>
              <w:instrText xml:space="preserve"> </w:instrText>
            </w:r>
            <w:r w:rsidR="00053AE8">
              <w:rPr>
                <w:b/>
                <w:bCs/>
                <w:szCs w:val="24"/>
                <w:lang w:val="en-US"/>
              </w:rPr>
              <w:instrText>at</w:instrText>
            </w:r>
            <w:r w:rsidR="00053AE8" w:rsidRPr="002B3AE7">
              <w:rPr>
                <w:b/>
                <w:bCs/>
                <w:szCs w:val="24"/>
              </w:rPr>
              <w:instrText xml:space="preserve"> </w:instrText>
            </w:r>
            <w:r w:rsidR="00053AE8">
              <w:rPr>
                <w:b/>
                <w:bCs/>
                <w:szCs w:val="24"/>
                <w:lang w:val="en-US"/>
              </w:rPr>
              <w:instrText>diagnosis</w:instrText>
            </w:r>
            <w:r w:rsidR="00053AE8" w:rsidRPr="002B3AE7">
              <w:rPr>
                <w:b/>
                <w:bCs/>
                <w:szCs w:val="24"/>
              </w:rPr>
              <w:instrText xml:space="preserve">. </w:instrText>
            </w:r>
            <w:r w:rsidR="00053AE8">
              <w:rPr>
                <w:b/>
                <w:bCs/>
                <w:szCs w:val="24"/>
                <w:lang w:val="en-US"/>
              </w:rPr>
              <w:instrText>CVPP</w:instrText>
            </w:r>
            <w:r w:rsidR="00053AE8" w:rsidRPr="002B3AE7">
              <w:rPr>
                <w:b/>
                <w:bCs/>
                <w:szCs w:val="24"/>
              </w:rPr>
              <w:instrText xml:space="preserve"> </w:instrText>
            </w:r>
            <w:r w:rsidR="00053AE8">
              <w:rPr>
                <w:b/>
                <w:bCs/>
                <w:szCs w:val="24"/>
                <w:lang w:val="en-US"/>
              </w:rPr>
              <w:instrText>consisted</w:instrText>
            </w:r>
            <w:r w:rsidR="00053AE8" w:rsidRPr="002B3AE7">
              <w:rPr>
                <w:b/>
                <w:bCs/>
                <w:szCs w:val="24"/>
              </w:rPr>
              <w:instrText xml:space="preserve"> </w:instrText>
            </w:r>
            <w:r w:rsidR="00053AE8">
              <w:rPr>
                <w:b/>
                <w:bCs/>
                <w:szCs w:val="24"/>
                <w:lang w:val="en-US"/>
              </w:rPr>
              <w:instrText>of</w:instrText>
            </w:r>
            <w:r w:rsidR="00053AE8" w:rsidRPr="002B3AE7">
              <w:rPr>
                <w:b/>
                <w:bCs/>
                <w:szCs w:val="24"/>
              </w:rPr>
              <w:instrText xml:space="preserve"> </w:instrText>
            </w:r>
            <w:r w:rsidR="00053AE8">
              <w:rPr>
                <w:b/>
                <w:bCs/>
                <w:szCs w:val="24"/>
                <w:lang w:val="en-US"/>
              </w:rPr>
              <w:instrText>intravenous</w:instrText>
            </w:r>
            <w:r w:rsidR="00053AE8" w:rsidRPr="002B3AE7">
              <w:rPr>
                <w:b/>
                <w:bCs/>
                <w:szCs w:val="24"/>
              </w:rPr>
              <w:instrText xml:space="preserve"> (</w:instrText>
            </w:r>
            <w:r w:rsidR="00053AE8">
              <w:rPr>
                <w:b/>
                <w:bCs/>
                <w:szCs w:val="24"/>
                <w:lang w:val="en-US"/>
              </w:rPr>
              <w:instrText>IV</w:instrText>
            </w:r>
            <w:r w:rsidR="00053AE8" w:rsidRPr="002B3AE7">
              <w:rPr>
                <w:b/>
                <w:bCs/>
                <w:szCs w:val="24"/>
              </w:rPr>
              <w:instrText xml:space="preserve">) </w:instrText>
            </w:r>
            <w:r w:rsidR="00053AE8">
              <w:rPr>
                <w:b/>
                <w:bCs/>
                <w:szCs w:val="24"/>
                <w:lang w:val="en-US"/>
              </w:rPr>
              <w:instrText>cyclophosphamide</w:instrText>
            </w:r>
            <w:r w:rsidR="00053AE8" w:rsidRPr="002B3AE7">
              <w:rPr>
                <w:b/>
                <w:bCs/>
                <w:szCs w:val="24"/>
              </w:rPr>
              <w:instrText xml:space="preserve"> </w:instrText>
            </w:r>
            <w:r w:rsidR="00053AE8">
              <w:rPr>
                <w:b/>
                <w:bCs/>
                <w:szCs w:val="24"/>
                <w:lang w:val="en-US"/>
              </w:rPr>
              <w:instrText>and</w:instrText>
            </w:r>
            <w:r w:rsidR="00053AE8" w:rsidRPr="002B3AE7">
              <w:rPr>
                <w:b/>
                <w:bCs/>
                <w:szCs w:val="24"/>
              </w:rPr>
              <w:instrText xml:space="preserve"> </w:instrText>
            </w:r>
            <w:r w:rsidR="00053AE8">
              <w:rPr>
                <w:b/>
                <w:bCs/>
                <w:szCs w:val="24"/>
                <w:lang w:val="en-US"/>
              </w:rPr>
              <w:instrText>vinblastine</w:instrText>
            </w:r>
            <w:r w:rsidR="00053AE8" w:rsidRPr="002B3AE7">
              <w:rPr>
                <w:b/>
                <w:bCs/>
                <w:szCs w:val="24"/>
              </w:rPr>
              <w:instrText xml:space="preserve"> </w:instrText>
            </w:r>
            <w:r w:rsidR="00053AE8">
              <w:rPr>
                <w:b/>
                <w:bCs/>
                <w:szCs w:val="24"/>
                <w:lang w:val="en-US"/>
              </w:rPr>
              <w:instrText>on</w:instrText>
            </w:r>
            <w:r w:rsidR="00053AE8" w:rsidRPr="002B3AE7">
              <w:rPr>
                <w:b/>
                <w:bCs/>
                <w:szCs w:val="24"/>
              </w:rPr>
              <w:instrText xml:space="preserve"> </w:instrText>
            </w:r>
            <w:r w:rsidR="00053AE8">
              <w:rPr>
                <w:b/>
                <w:bCs/>
                <w:szCs w:val="24"/>
                <w:lang w:val="en-US"/>
              </w:rPr>
              <w:instrText>days</w:instrText>
            </w:r>
            <w:r w:rsidR="00053AE8" w:rsidRPr="002B3AE7">
              <w:rPr>
                <w:b/>
                <w:bCs/>
                <w:szCs w:val="24"/>
              </w:rPr>
              <w:instrText xml:space="preserve"> 1 </w:instrText>
            </w:r>
            <w:r w:rsidR="00053AE8">
              <w:rPr>
                <w:b/>
                <w:bCs/>
                <w:szCs w:val="24"/>
                <w:lang w:val="en-US"/>
              </w:rPr>
              <w:instrText>and</w:instrText>
            </w:r>
            <w:r w:rsidR="00053AE8" w:rsidRPr="002B3AE7">
              <w:rPr>
                <w:b/>
                <w:bCs/>
                <w:szCs w:val="24"/>
              </w:rPr>
              <w:instrText xml:space="preserve"> 8, </w:instrText>
            </w:r>
            <w:r w:rsidR="00053AE8">
              <w:rPr>
                <w:b/>
                <w:bCs/>
                <w:szCs w:val="24"/>
                <w:lang w:val="en-US"/>
              </w:rPr>
              <w:instrText>and</w:instrText>
            </w:r>
            <w:r w:rsidR="00053AE8" w:rsidRPr="002B3AE7">
              <w:rPr>
                <w:b/>
                <w:bCs/>
                <w:szCs w:val="24"/>
              </w:rPr>
              <w:instrText xml:space="preserve"> </w:instrText>
            </w:r>
            <w:r w:rsidR="00053AE8">
              <w:rPr>
                <w:b/>
                <w:bCs/>
                <w:szCs w:val="24"/>
                <w:lang w:val="en-US"/>
              </w:rPr>
              <w:instrText>oral</w:instrText>
            </w:r>
            <w:r w:rsidR="00053AE8" w:rsidRPr="002B3AE7">
              <w:rPr>
                <w:b/>
                <w:bCs/>
                <w:szCs w:val="24"/>
              </w:rPr>
              <w:instrText xml:space="preserve"> </w:instrText>
            </w:r>
            <w:r w:rsidR="00053AE8">
              <w:rPr>
                <w:b/>
                <w:bCs/>
                <w:szCs w:val="24"/>
                <w:lang w:val="en-US"/>
              </w:rPr>
              <w:instrText>procarbazine</w:instrText>
            </w:r>
            <w:r w:rsidR="00053AE8" w:rsidRPr="002B3AE7">
              <w:rPr>
                <w:b/>
                <w:bCs/>
                <w:szCs w:val="24"/>
              </w:rPr>
              <w:instrText xml:space="preserve"> </w:instrText>
            </w:r>
            <w:r w:rsidR="00053AE8">
              <w:rPr>
                <w:b/>
                <w:bCs/>
                <w:szCs w:val="24"/>
                <w:lang w:val="en-US"/>
              </w:rPr>
              <w:instrText>and</w:instrText>
            </w:r>
            <w:r w:rsidR="00053AE8" w:rsidRPr="002B3AE7">
              <w:rPr>
                <w:b/>
                <w:bCs/>
                <w:szCs w:val="24"/>
              </w:rPr>
              <w:instrText xml:space="preserve"> </w:instrText>
            </w:r>
            <w:r w:rsidR="00053AE8">
              <w:rPr>
                <w:b/>
                <w:bCs/>
                <w:szCs w:val="24"/>
                <w:lang w:val="en-US"/>
              </w:rPr>
              <w:instrText>prednisone</w:instrText>
            </w:r>
            <w:r w:rsidR="00053AE8" w:rsidRPr="002B3AE7">
              <w:rPr>
                <w:b/>
                <w:bCs/>
                <w:szCs w:val="24"/>
              </w:rPr>
              <w:instrText xml:space="preserve"> </w:instrText>
            </w:r>
            <w:r w:rsidR="00053AE8">
              <w:rPr>
                <w:b/>
                <w:bCs/>
                <w:szCs w:val="24"/>
                <w:lang w:val="en-US"/>
              </w:rPr>
              <w:instrText>on</w:instrText>
            </w:r>
            <w:r w:rsidR="00053AE8" w:rsidRPr="002B3AE7">
              <w:rPr>
                <w:b/>
                <w:bCs/>
                <w:szCs w:val="24"/>
              </w:rPr>
              <w:instrText xml:space="preserve"> </w:instrText>
            </w:r>
            <w:r w:rsidR="00053AE8">
              <w:rPr>
                <w:b/>
                <w:bCs/>
                <w:szCs w:val="24"/>
                <w:lang w:val="en-US"/>
              </w:rPr>
              <w:instrText>days</w:instrText>
            </w:r>
            <w:r w:rsidR="00053AE8" w:rsidRPr="002B3AE7">
              <w:rPr>
                <w:b/>
                <w:bCs/>
                <w:szCs w:val="24"/>
              </w:rPr>
              <w:instrText xml:space="preserve"> 1 </w:instrText>
            </w:r>
            <w:r w:rsidR="00053AE8">
              <w:rPr>
                <w:b/>
                <w:bCs/>
                <w:szCs w:val="24"/>
                <w:lang w:val="en-US"/>
              </w:rPr>
              <w:instrText>to</w:instrText>
            </w:r>
            <w:r w:rsidR="00053AE8" w:rsidRPr="002B3AE7">
              <w:rPr>
                <w:b/>
                <w:bCs/>
                <w:szCs w:val="24"/>
              </w:rPr>
              <w:instrText xml:space="preserve"> 14, </w:instrText>
            </w:r>
            <w:r w:rsidR="00053AE8">
              <w:rPr>
                <w:b/>
                <w:bCs/>
                <w:szCs w:val="24"/>
                <w:lang w:val="en-US"/>
              </w:rPr>
              <w:instrText>every</w:instrText>
            </w:r>
            <w:r w:rsidR="00053AE8" w:rsidRPr="002B3AE7">
              <w:rPr>
                <w:b/>
                <w:bCs/>
                <w:szCs w:val="24"/>
              </w:rPr>
              <w:instrText xml:space="preserve"> 28 </w:instrText>
            </w:r>
            <w:r w:rsidR="00053AE8">
              <w:rPr>
                <w:b/>
                <w:bCs/>
                <w:szCs w:val="24"/>
                <w:lang w:val="en-US"/>
              </w:rPr>
              <w:instrText>days</w:instrText>
            </w:r>
            <w:r w:rsidR="00053AE8" w:rsidRPr="002B3AE7">
              <w:rPr>
                <w:b/>
                <w:bCs/>
                <w:szCs w:val="24"/>
              </w:rPr>
              <w:instrText xml:space="preserve">. </w:instrText>
            </w:r>
            <w:r w:rsidR="00053AE8">
              <w:rPr>
                <w:b/>
                <w:bCs/>
                <w:szCs w:val="24"/>
                <w:lang w:val="en-US"/>
              </w:rPr>
              <w:instrText>AOPE</w:instrText>
            </w:r>
            <w:r w:rsidR="00053AE8" w:rsidRPr="002B3AE7">
              <w:rPr>
                <w:b/>
                <w:bCs/>
                <w:szCs w:val="24"/>
              </w:rPr>
              <w:instrText xml:space="preserve"> </w:instrText>
            </w:r>
            <w:r w:rsidR="00053AE8">
              <w:rPr>
                <w:b/>
                <w:bCs/>
                <w:szCs w:val="24"/>
                <w:lang w:val="en-US"/>
              </w:rPr>
              <w:instrText>consisted</w:instrText>
            </w:r>
            <w:r w:rsidR="00053AE8" w:rsidRPr="002B3AE7">
              <w:rPr>
                <w:b/>
                <w:bCs/>
                <w:szCs w:val="24"/>
              </w:rPr>
              <w:instrText xml:space="preserve"> </w:instrText>
            </w:r>
            <w:r w:rsidR="00053AE8">
              <w:rPr>
                <w:b/>
                <w:bCs/>
                <w:szCs w:val="24"/>
                <w:lang w:val="en-US"/>
              </w:rPr>
              <w:instrText>of</w:instrText>
            </w:r>
            <w:r w:rsidR="00053AE8" w:rsidRPr="002B3AE7">
              <w:rPr>
                <w:b/>
                <w:bCs/>
                <w:szCs w:val="24"/>
              </w:rPr>
              <w:instrText xml:space="preserve"> </w:instrText>
            </w:r>
            <w:r w:rsidR="00053AE8">
              <w:rPr>
                <w:b/>
                <w:bCs/>
                <w:szCs w:val="24"/>
                <w:lang w:val="en-US"/>
              </w:rPr>
              <w:instrText>IV</w:instrText>
            </w:r>
            <w:r w:rsidR="00053AE8" w:rsidRPr="002B3AE7">
              <w:rPr>
                <w:b/>
                <w:bCs/>
                <w:szCs w:val="24"/>
              </w:rPr>
              <w:instrText xml:space="preserve"> </w:instrText>
            </w:r>
            <w:r w:rsidR="00053AE8">
              <w:rPr>
                <w:b/>
                <w:bCs/>
                <w:szCs w:val="24"/>
                <w:lang w:val="en-US"/>
              </w:rPr>
              <w:instrText>doxorubicin</w:instrText>
            </w:r>
            <w:r w:rsidR="00053AE8" w:rsidRPr="002B3AE7">
              <w:rPr>
                <w:b/>
                <w:bCs/>
                <w:szCs w:val="24"/>
              </w:rPr>
              <w:instrText xml:space="preserve"> </w:instrText>
            </w:r>
            <w:r w:rsidR="00053AE8">
              <w:rPr>
                <w:b/>
                <w:bCs/>
                <w:szCs w:val="24"/>
                <w:lang w:val="en-US"/>
              </w:rPr>
              <w:instrText>and</w:instrText>
            </w:r>
            <w:r w:rsidR="00053AE8" w:rsidRPr="002B3AE7">
              <w:rPr>
                <w:b/>
                <w:bCs/>
                <w:szCs w:val="24"/>
              </w:rPr>
              <w:instrText xml:space="preserve"> </w:instrText>
            </w:r>
            <w:r w:rsidR="00053AE8">
              <w:rPr>
                <w:b/>
                <w:bCs/>
                <w:szCs w:val="24"/>
                <w:lang w:val="en-US"/>
              </w:rPr>
              <w:instrText>vincristine</w:instrText>
            </w:r>
            <w:r w:rsidR="00053AE8" w:rsidRPr="002B3AE7">
              <w:rPr>
                <w:b/>
                <w:bCs/>
                <w:szCs w:val="24"/>
              </w:rPr>
              <w:instrText xml:space="preserve"> </w:instrText>
            </w:r>
            <w:r w:rsidR="00053AE8">
              <w:rPr>
                <w:b/>
                <w:bCs/>
                <w:szCs w:val="24"/>
                <w:lang w:val="en-US"/>
              </w:rPr>
              <w:instrText>an</w:instrText>
            </w:r>
            <w:r w:rsidR="00053AE8" w:rsidRPr="002B3AE7">
              <w:rPr>
                <w:b/>
                <w:bCs/>
                <w:szCs w:val="24"/>
              </w:rPr>
              <w:instrText xml:space="preserve"> </w:instrText>
            </w:r>
            <w:r w:rsidR="00053AE8">
              <w:rPr>
                <w:b/>
                <w:bCs/>
                <w:szCs w:val="24"/>
                <w:lang w:val="en-US"/>
              </w:rPr>
              <w:instrText>day</w:instrText>
            </w:r>
            <w:r w:rsidR="00053AE8" w:rsidRPr="002B3AE7">
              <w:rPr>
                <w:b/>
                <w:bCs/>
                <w:szCs w:val="24"/>
              </w:rPr>
              <w:instrText xml:space="preserve"> 1, </w:instrText>
            </w:r>
            <w:r w:rsidR="00053AE8">
              <w:rPr>
                <w:b/>
                <w:bCs/>
                <w:szCs w:val="24"/>
                <w:lang w:val="en-US"/>
              </w:rPr>
              <w:instrText>oral</w:instrText>
            </w:r>
            <w:r w:rsidR="00053AE8" w:rsidRPr="002B3AE7">
              <w:rPr>
                <w:b/>
                <w:bCs/>
                <w:szCs w:val="24"/>
              </w:rPr>
              <w:instrText xml:space="preserve"> </w:instrText>
            </w:r>
            <w:r w:rsidR="00053AE8">
              <w:rPr>
                <w:b/>
                <w:bCs/>
                <w:szCs w:val="24"/>
                <w:lang w:val="en-US"/>
              </w:rPr>
              <w:instrText>prednisone</w:instrText>
            </w:r>
            <w:r w:rsidR="00053AE8" w:rsidRPr="002B3AE7">
              <w:rPr>
                <w:b/>
                <w:bCs/>
                <w:szCs w:val="24"/>
              </w:rPr>
              <w:instrText xml:space="preserve"> </w:instrText>
            </w:r>
            <w:r w:rsidR="00053AE8">
              <w:rPr>
                <w:b/>
                <w:bCs/>
                <w:szCs w:val="24"/>
                <w:lang w:val="en-US"/>
              </w:rPr>
              <w:instrText>on</w:instrText>
            </w:r>
            <w:r w:rsidR="00053AE8" w:rsidRPr="002B3AE7">
              <w:rPr>
                <w:b/>
                <w:bCs/>
                <w:szCs w:val="24"/>
              </w:rPr>
              <w:instrText xml:space="preserve"> </w:instrText>
            </w:r>
            <w:r w:rsidR="00053AE8">
              <w:rPr>
                <w:b/>
                <w:bCs/>
                <w:szCs w:val="24"/>
                <w:lang w:val="en-US"/>
              </w:rPr>
              <w:instrText>days</w:instrText>
            </w:r>
            <w:r w:rsidR="00053AE8" w:rsidRPr="002B3AE7">
              <w:rPr>
                <w:b/>
                <w:bCs/>
                <w:szCs w:val="24"/>
              </w:rPr>
              <w:instrText xml:space="preserve"> 1 </w:instrText>
            </w:r>
            <w:r w:rsidR="00053AE8">
              <w:rPr>
                <w:b/>
                <w:bCs/>
                <w:szCs w:val="24"/>
                <w:lang w:val="en-US"/>
              </w:rPr>
              <w:instrText>to</w:instrText>
            </w:r>
            <w:r w:rsidR="00053AE8" w:rsidRPr="002B3AE7">
              <w:rPr>
                <w:b/>
                <w:bCs/>
                <w:szCs w:val="24"/>
              </w:rPr>
              <w:instrText xml:space="preserve"> 5, </w:instrText>
            </w:r>
            <w:r w:rsidR="00053AE8">
              <w:rPr>
                <w:b/>
                <w:bCs/>
                <w:szCs w:val="24"/>
                <w:lang w:val="en-US"/>
              </w:rPr>
              <w:instrText>and</w:instrText>
            </w:r>
            <w:r w:rsidR="00053AE8" w:rsidRPr="002B3AE7">
              <w:rPr>
                <w:b/>
                <w:bCs/>
                <w:szCs w:val="24"/>
              </w:rPr>
              <w:instrText xml:space="preserve"> </w:instrText>
            </w:r>
            <w:r w:rsidR="00053AE8">
              <w:rPr>
                <w:b/>
                <w:bCs/>
                <w:szCs w:val="24"/>
                <w:lang w:val="en-US"/>
              </w:rPr>
              <w:instrText>IV</w:instrText>
            </w:r>
            <w:r w:rsidR="00053AE8" w:rsidRPr="002B3AE7">
              <w:rPr>
                <w:b/>
                <w:bCs/>
                <w:szCs w:val="24"/>
              </w:rPr>
              <w:instrText xml:space="preserve"> </w:instrText>
            </w:r>
            <w:r w:rsidR="00053AE8">
              <w:rPr>
                <w:b/>
                <w:bCs/>
                <w:szCs w:val="24"/>
                <w:lang w:val="en-US"/>
              </w:rPr>
              <w:instrText>etoposide</w:instrText>
            </w:r>
            <w:r w:rsidR="00053AE8" w:rsidRPr="002B3AE7">
              <w:rPr>
                <w:b/>
                <w:bCs/>
                <w:szCs w:val="24"/>
              </w:rPr>
              <w:instrText xml:space="preserve"> </w:instrText>
            </w:r>
            <w:r w:rsidR="00053AE8">
              <w:rPr>
                <w:b/>
                <w:bCs/>
                <w:szCs w:val="24"/>
                <w:lang w:val="en-US"/>
              </w:rPr>
              <w:instrText>on</w:instrText>
            </w:r>
            <w:r w:rsidR="00053AE8" w:rsidRPr="002B3AE7">
              <w:rPr>
                <w:b/>
                <w:bCs/>
                <w:szCs w:val="24"/>
              </w:rPr>
              <w:instrText xml:space="preserve"> </w:instrText>
            </w:r>
            <w:r w:rsidR="00053AE8">
              <w:rPr>
                <w:b/>
                <w:bCs/>
                <w:szCs w:val="24"/>
                <w:lang w:val="en-US"/>
              </w:rPr>
              <w:instrText>days</w:instrText>
            </w:r>
            <w:r w:rsidR="00053AE8" w:rsidRPr="002B3AE7">
              <w:rPr>
                <w:b/>
                <w:bCs/>
                <w:szCs w:val="24"/>
              </w:rPr>
              <w:instrText xml:space="preserve"> 1 </w:instrText>
            </w:r>
            <w:r w:rsidR="00053AE8">
              <w:rPr>
                <w:b/>
                <w:bCs/>
                <w:szCs w:val="24"/>
                <w:lang w:val="en-US"/>
              </w:rPr>
              <w:instrText>and</w:instrText>
            </w:r>
            <w:r w:rsidR="00053AE8" w:rsidRPr="002B3AE7">
              <w:rPr>
                <w:b/>
                <w:bCs/>
                <w:szCs w:val="24"/>
              </w:rPr>
              <w:instrText xml:space="preserve"> 3, </w:instrText>
            </w:r>
            <w:r w:rsidR="00053AE8">
              <w:rPr>
                <w:b/>
                <w:bCs/>
                <w:szCs w:val="24"/>
                <w:lang w:val="en-US"/>
              </w:rPr>
              <w:instrText>every</w:instrText>
            </w:r>
            <w:r w:rsidR="00053AE8" w:rsidRPr="002B3AE7">
              <w:rPr>
                <w:b/>
                <w:bCs/>
                <w:szCs w:val="24"/>
              </w:rPr>
              <w:instrText xml:space="preserve"> 28 </w:instrText>
            </w:r>
            <w:r w:rsidR="00053AE8">
              <w:rPr>
                <w:b/>
                <w:bCs/>
                <w:szCs w:val="24"/>
                <w:lang w:val="en-US"/>
              </w:rPr>
              <w:instrText>days</w:instrText>
            </w:r>
            <w:r w:rsidR="00053AE8" w:rsidRPr="002B3AE7">
              <w:rPr>
                <w:b/>
                <w:bCs/>
                <w:szCs w:val="24"/>
              </w:rPr>
              <w:instrText xml:space="preserve">. </w:instrText>
            </w:r>
            <w:r w:rsidR="00053AE8">
              <w:rPr>
                <w:b/>
                <w:bCs/>
                <w:szCs w:val="24"/>
                <w:lang w:val="en-US"/>
              </w:rPr>
              <w:instrText>Results</w:instrText>
            </w:r>
            <w:r w:rsidR="00053AE8" w:rsidRPr="002B3AE7">
              <w:rPr>
                <w:b/>
                <w:bCs/>
                <w:szCs w:val="24"/>
              </w:rPr>
              <w:instrText xml:space="preserve">: </w:instrText>
            </w:r>
            <w:r w:rsidR="00053AE8">
              <w:rPr>
                <w:b/>
                <w:bCs/>
                <w:szCs w:val="24"/>
                <w:lang w:val="en-US"/>
              </w:rPr>
              <w:instrText>Complete</w:instrText>
            </w:r>
            <w:r w:rsidR="00053AE8" w:rsidRPr="002B3AE7">
              <w:rPr>
                <w:b/>
                <w:bCs/>
                <w:szCs w:val="24"/>
              </w:rPr>
              <w:instrText xml:space="preserve"> </w:instrText>
            </w:r>
            <w:r w:rsidR="00053AE8">
              <w:rPr>
                <w:b/>
                <w:bCs/>
                <w:szCs w:val="24"/>
                <w:lang w:val="en-US"/>
              </w:rPr>
              <w:instrText>remission</w:instrText>
            </w:r>
            <w:r w:rsidR="00053AE8" w:rsidRPr="002B3AE7">
              <w:rPr>
                <w:b/>
                <w:bCs/>
                <w:szCs w:val="24"/>
              </w:rPr>
              <w:instrText xml:space="preserve"> </w:instrText>
            </w:r>
            <w:r w:rsidR="00053AE8">
              <w:rPr>
                <w:b/>
                <w:bCs/>
                <w:szCs w:val="24"/>
                <w:lang w:val="en-US"/>
              </w:rPr>
              <w:instrText>was</w:instrText>
            </w:r>
            <w:r w:rsidR="00053AE8" w:rsidRPr="002B3AE7">
              <w:rPr>
                <w:b/>
                <w:bCs/>
                <w:szCs w:val="24"/>
              </w:rPr>
              <w:instrText xml:space="preserve"> </w:instrText>
            </w:r>
            <w:r w:rsidR="00053AE8">
              <w:rPr>
                <w:b/>
                <w:bCs/>
                <w:szCs w:val="24"/>
                <w:lang w:val="en-US"/>
              </w:rPr>
              <w:instrText>obtained</w:instrText>
            </w:r>
            <w:r w:rsidR="00053AE8" w:rsidRPr="002B3AE7">
              <w:rPr>
                <w:b/>
                <w:bCs/>
                <w:szCs w:val="24"/>
              </w:rPr>
              <w:instrText xml:space="preserve"> </w:instrText>
            </w:r>
            <w:r w:rsidR="00053AE8">
              <w:rPr>
                <w:b/>
                <w:bCs/>
                <w:szCs w:val="24"/>
                <w:lang w:val="en-US"/>
              </w:rPr>
              <w:instrText>in</w:instrText>
            </w:r>
            <w:r w:rsidR="00053AE8" w:rsidRPr="002B3AE7">
              <w:rPr>
                <w:b/>
                <w:bCs/>
                <w:szCs w:val="24"/>
              </w:rPr>
              <w:instrText xml:space="preserve"> 39 </w:instrText>
            </w:r>
            <w:r w:rsidR="00053AE8">
              <w:rPr>
                <w:b/>
                <w:bCs/>
                <w:szCs w:val="24"/>
                <w:lang w:val="en-US"/>
              </w:rPr>
              <w:instrText>of</w:instrText>
            </w:r>
            <w:r w:rsidR="00053AE8" w:rsidRPr="002B3AE7">
              <w:rPr>
                <w:b/>
                <w:bCs/>
                <w:szCs w:val="24"/>
              </w:rPr>
              <w:instrText xml:space="preserve"> 47 (95%) </w:instrText>
            </w:r>
            <w:r w:rsidR="00053AE8">
              <w:rPr>
                <w:b/>
                <w:bCs/>
                <w:szCs w:val="24"/>
                <w:lang w:val="en-US"/>
              </w:rPr>
              <w:instrText>patients treated with three cycles of CVPP and 36 of 39 (92%) treated with six cycles in the favorable-risk group (difference not significant [NS]). In the intermediate-risk group, 89 of 92 (97%) treated with CVPP plus RT versus 75 of 84 (89%) treated with AOPE plus RT achieved a complete remission (P = .05). At 60 months, the event-free survival (EFS) and overall survival rates in the favorable-risk group were 80% and 91% for CVPP x 3 and 84% and 97% for CVPP x 6, respectively (P = NS). In the intermediate-risk group, 60-month EFS rate for CVPP plus RT was 85%, compared with 66% for AOPE plus RT (P = .009). The overall survival rate was 95% versus 87% respectively (P = .157). Conclusion: Three cycles of CVPP without RT are equally effective as six cycles in the favorable-risk group. However, in the intermediate-group, CVPP plus RT is superior to AOPE plus RT, with significantly fewer events before and after induction (P = .009), without a difference in overall survival.","author":[{"dropping-particle":"","family":"Pavlovsky","given":"Santiago","non-dropping-particle":"","parse-names":false,"suffix":""},{"dropping-particle":"","family":"Schvartzman","given":"Enrique","non-dropping-particle":"","parse-names":false,"suffix":""},{"dropping-particle":"","family":"Lastiri","given":"Francisco","non-dropping-particle":"","parse-names":false,"suffix":""},{"dropping-particle":"","family":"Magnasco","given":"Hernan","non-dropping-particle":"","parse-names":false,"suffix":""},{"dropping-particle":"","family":"Corrado","given":"Claudia","non-dropping-particle":"","parse-names":false,"suffix":""},{"dropping-particle":"","family":"Raslawski","given":"Elsa","non-dropping-particle":"","parse-names":false,"suffix":""},{"dropping-particle":"","family":"Cancela","given":"Maria Esther Aris","non-dropping-particle":"","parse-names":false,"suffix":""},{"dropping-particle":"","family":"Ardaiz","given":"Maria Carmen","non-dropping-particle":"","parse-names":false,"suffix":""},{"dropping-particle":"","family":"Cerutti","given":"Ider","non-dropping-particle":"","parse-names":false,"suffix":""},{"dropping-particle":"","family":"Rosso","given":"Amadeo","non-dropping-particle</w:instrText>
            </w:r>
            <w:r w:rsidR="00053AE8" w:rsidRPr="002B3AE7">
              <w:rPr>
                <w:b/>
                <w:bCs/>
                <w:szCs w:val="24"/>
              </w:rPr>
              <w:instrText>":"","</w:instrText>
            </w:r>
            <w:r w:rsidR="00053AE8">
              <w:rPr>
                <w:b/>
                <w:bCs/>
                <w:szCs w:val="24"/>
                <w:lang w:val="en-US"/>
              </w:rPr>
              <w:instrText>parse</w:instrText>
            </w:r>
            <w:r w:rsidR="00053AE8" w:rsidRPr="002B3AE7">
              <w:rPr>
                <w:b/>
                <w:bCs/>
                <w:szCs w:val="24"/>
              </w:rPr>
              <w:instrText>-</w:instrText>
            </w:r>
            <w:r w:rsidR="00053AE8">
              <w:rPr>
                <w:b/>
                <w:bCs/>
                <w:szCs w:val="24"/>
                <w:lang w:val="en-US"/>
              </w:rPr>
              <w:instrText>names</w:instrText>
            </w:r>
            <w:r w:rsidR="00053AE8" w:rsidRPr="002B3AE7">
              <w:rPr>
                <w:b/>
                <w:bCs/>
                <w:szCs w:val="24"/>
              </w:rPr>
              <w:instrText>":</w:instrText>
            </w:r>
            <w:r w:rsidR="00053AE8">
              <w:rPr>
                <w:b/>
                <w:bCs/>
                <w:szCs w:val="24"/>
                <w:lang w:val="en-US"/>
              </w:rPr>
              <w:instrText>false</w:instrText>
            </w:r>
            <w:r w:rsidR="00053AE8" w:rsidRPr="002B3AE7">
              <w:rPr>
                <w:b/>
                <w:bCs/>
                <w:szCs w:val="24"/>
              </w:rPr>
              <w:instrText>,"</w:instrText>
            </w:r>
            <w:r w:rsidR="00053AE8">
              <w:rPr>
                <w:b/>
                <w:bCs/>
                <w:szCs w:val="24"/>
                <w:lang w:val="en-US"/>
              </w:rPr>
              <w:instrText>suffix</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family</w:instrText>
            </w:r>
            <w:r w:rsidR="00053AE8" w:rsidRPr="002B3AE7">
              <w:rPr>
                <w:b/>
                <w:bCs/>
                <w:szCs w:val="24"/>
              </w:rPr>
              <w:instrText>":"</w:instrText>
            </w:r>
            <w:r w:rsidR="00053AE8">
              <w:rPr>
                <w:b/>
                <w:bCs/>
                <w:szCs w:val="24"/>
                <w:lang w:val="en-US"/>
              </w:rPr>
              <w:instrText>Bruno</w:instrText>
            </w:r>
            <w:r w:rsidR="00053AE8" w:rsidRPr="002B3AE7">
              <w:rPr>
                <w:b/>
                <w:bCs/>
                <w:szCs w:val="24"/>
              </w:rPr>
              <w:instrText>","</w:instrText>
            </w:r>
            <w:r w:rsidR="00053AE8">
              <w:rPr>
                <w:b/>
                <w:bCs/>
                <w:szCs w:val="24"/>
                <w:lang w:val="en-US"/>
              </w:rPr>
              <w:instrText>given</w:instrText>
            </w:r>
            <w:r w:rsidR="00053AE8" w:rsidRPr="002B3AE7">
              <w:rPr>
                <w:b/>
                <w:bCs/>
                <w:szCs w:val="24"/>
              </w:rPr>
              <w:instrText>":"</w:instrText>
            </w:r>
            <w:r w:rsidR="00053AE8">
              <w:rPr>
                <w:b/>
                <w:bCs/>
                <w:szCs w:val="24"/>
                <w:lang w:val="en-US"/>
              </w:rPr>
              <w:instrText>Salvador</w:instrText>
            </w:r>
            <w:r w:rsidR="00053AE8" w:rsidRPr="002B3AE7">
              <w:rPr>
                <w:b/>
                <w:bCs/>
                <w:szCs w:val="24"/>
              </w:rPr>
              <w:instrText>","</w:instrText>
            </w:r>
            <w:r w:rsidR="00053AE8">
              <w:rPr>
                <w:b/>
                <w:bCs/>
                <w:szCs w:val="24"/>
                <w:lang w:val="en-US"/>
              </w:rPr>
              <w:instrText>non</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parse</w:instrText>
            </w:r>
            <w:r w:rsidR="00053AE8" w:rsidRPr="002B3AE7">
              <w:rPr>
                <w:b/>
                <w:bCs/>
                <w:szCs w:val="24"/>
              </w:rPr>
              <w:instrText>-</w:instrText>
            </w:r>
            <w:r w:rsidR="00053AE8">
              <w:rPr>
                <w:b/>
                <w:bCs/>
                <w:szCs w:val="24"/>
                <w:lang w:val="en-US"/>
              </w:rPr>
              <w:instrText>names</w:instrText>
            </w:r>
            <w:r w:rsidR="00053AE8" w:rsidRPr="002B3AE7">
              <w:rPr>
                <w:b/>
                <w:bCs/>
                <w:szCs w:val="24"/>
              </w:rPr>
              <w:instrText>":</w:instrText>
            </w:r>
            <w:r w:rsidR="00053AE8">
              <w:rPr>
                <w:b/>
                <w:bCs/>
                <w:szCs w:val="24"/>
                <w:lang w:val="en-US"/>
              </w:rPr>
              <w:instrText>false</w:instrText>
            </w:r>
            <w:r w:rsidR="00053AE8" w:rsidRPr="002B3AE7">
              <w:rPr>
                <w:b/>
                <w:bCs/>
                <w:szCs w:val="24"/>
              </w:rPr>
              <w:instrText>,"</w:instrText>
            </w:r>
            <w:r w:rsidR="00053AE8">
              <w:rPr>
                <w:b/>
                <w:bCs/>
                <w:szCs w:val="24"/>
                <w:lang w:val="en-US"/>
              </w:rPr>
              <w:instrText>suffix</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family</w:instrText>
            </w:r>
            <w:r w:rsidR="00053AE8" w:rsidRPr="002B3AE7">
              <w:rPr>
                <w:b/>
                <w:bCs/>
                <w:szCs w:val="24"/>
              </w:rPr>
              <w:instrText>":"</w:instrText>
            </w:r>
            <w:r w:rsidR="00053AE8">
              <w:rPr>
                <w:b/>
                <w:bCs/>
                <w:szCs w:val="24"/>
                <w:lang w:val="en-US"/>
              </w:rPr>
              <w:instrText>Aranguren</w:instrText>
            </w:r>
            <w:r w:rsidR="00053AE8" w:rsidRPr="002B3AE7">
              <w:rPr>
                <w:b/>
                <w:bCs/>
                <w:szCs w:val="24"/>
              </w:rPr>
              <w:instrText>","</w:instrText>
            </w:r>
            <w:r w:rsidR="00053AE8">
              <w:rPr>
                <w:b/>
                <w:bCs/>
                <w:szCs w:val="24"/>
                <w:lang w:val="en-US"/>
              </w:rPr>
              <w:instrText>given</w:instrText>
            </w:r>
            <w:r w:rsidR="00053AE8" w:rsidRPr="002B3AE7">
              <w:rPr>
                <w:b/>
                <w:bCs/>
                <w:szCs w:val="24"/>
              </w:rPr>
              <w:instrText>":"</w:instrText>
            </w:r>
            <w:r w:rsidR="00053AE8">
              <w:rPr>
                <w:b/>
                <w:bCs/>
                <w:szCs w:val="24"/>
                <w:lang w:val="en-US"/>
              </w:rPr>
              <w:instrText>Pedro</w:instrText>
            </w:r>
            <w:r w:rsidR="00053AE8" w:rsidRPr="002B3AE7">
              <w:rPr>
                <w:b/>
                <w:bCs/>
                <w:szCs w:val="24"/>
              </w:rPr>
              <w:instrText xml:space="preserve"> </w:instrText>
            </w:r>
            <w:r w:rsidR="00053AE8">
              <w:rPr>
                <w:b/>
                <w:bCs/>
                <w:szCs w:val="24"/>
                <w:lang w:val="en-US"/>
              </w:rPr>
              <w:instrText>Negri</w:instrText>
            </w:r>
            <w:r w:rsidR="00053AE8" w:rsidRPr="002B3AE7">
              <w:rPr>
                <w:b/>
                <w:bCs/>
                <w:szCs w:val="24"/>
              </w:rPr>
              <w:instrText>","</w:instrText>
            </w:r>
            <w:r w:rsidR="00053AE8">
              <w:rPr>
                <w:b/>
                <w:bCs/>
                <w:szCs w:val="24"/>
                <w:lang w:val="en-US"/>
              </w:rPr>
              <w:instrText>non</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parse</w:instrText>
            </w:r>
            <w:r w:rsidR="00053AE8" w:rsidRPr="002B3AE7">
              <w:rPr>
                <w:b/>
                <w:bCs/>
                <w:szCs w:val="24"/>
              </w:rPr>
              <w:instrText>-</w:instrText>
            </w:r>
            <w:r w:rsidR="00053AE8">
              <w:rPr>
                <w:b/>
                <w:bCs/>
                <w:szCs w:val="24"/>
                <w:lang w:val="en-US"/>
              </w:rPr>
              <w:instrText>names</w:instrText>
            </w:r>
            <w:r w:rsidR="00053AE8" w:rsidRPr="002B3AE7">
              <w:rPr>
                <w:b/>
                <w:bCs/>
                <w:szCs w:val="24"/>
              </w:rPr>
              <w:instrText>":</w:instrText>
            </w:r>
            <w:r w:rsidR="00053AE8">
              <w:rPr>
                <w:b/>
                <w:bCs/>
                <w:szCs w:val="24"/>
                <w:lang w:val="en-US"/>
              </w:rPr>
              <w:instrText>false</w:instrText>
            </w:r>
            <w:r w:rsidR="00053AE8" w:rsidRPr="002B3AE7">
              <w:rPr>
                <w:b/>
                <w:bCs/>
                <w:szCs w:val="24"/>
              </w:rPr>
              <w:instrText>,"</w:instrText>
            </w:r>
            <w:r w:rsidR="00053AE8">
              <w:rPr>
                <w:b/>
                <w:bCs/>
                <w:szCs w:val="24"/>
                <w:lang w:val="en-US"/>
              </w:rPr>
              <w:instrText>suffix</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family</w:instrText>
            </w:r>
            <w:r w:rsidR="00053AE8" w:rsidRPr="002B3AE7">
              <w:rPr>
                <w:b/>
                <w:bCs/>
                <w:szCs w:val="24"/>
              </w:rPr>
              <w:instrText>":"</w:instrText>
            </w:r>
            <w:r w:rsidR="00053AE8">
              <w:rPr>
                <w:b/>
                <w:bCs/>
                <w:szCs w:val="24"/>
                <w:lang w:val="en-US"/>
              </w:rPr>
              <w:instrText>Salvarezza</w:instrText>
            </w:r>
            <w:r w:rsidR="00053AE8" w:rsidRPr="002B3AE7">
              <w:rPr>
                <w:b/>
                <w:bCs/>
                <w:szCs w:val="24"/>
              </w:rPr>
              <w:instrText>","</w:instrText>
            </w:r>
            <w:r w:rsidR="00053AE8">
              <w:rPr>
                <w:b/>
                <w:bCs/>
                <w:szCs w:val="24"/>
                <w:lang w:val="en-US"/>
              </w:rPr>
              <w:instrText>given</w:instrText>
            </w:r>
            <w:r w:rsidR="00053AE8" w:rsidRPr="002B3AE7">
              <w:rPr>
                <w:b/>
                <w:bCs/>
                <w:szCs w:val="24"/>
              </w:rPr>
              <w:instrText>":"</w:instrText>
            </w:r>
            <w:r w:rsidR="00053AE8">
              <w:rPr>
                <w:b/>
                <w:bCs/>
                <w:szCs w:val="24"/>
                <w:lang w:val="en-US"/>
              </w:rPr>
              <w:instrText>Ana</w:instrText>
            </w:r>
            <w:r w:rsidR="00053AE8" w:rsidRPr="002B3AE7">
              <w:rPr>
                <w:b/>
                <w:bCs/>
                <w:szCs w:val="24"/>
              </w:rPr>
              <w:instrText>","</w:instrText>
            </w:r>
            <w:r w:rsidR="00053AE8">
              <w:rPr>
                <w:b/>
                <w:bCs/>
                <w:szCs w:val="24"/>
                <w:lang w:val="en-US"/>
              </w:rPr>
              <w:instrText>non</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parse</w:instrText>
            </w:r>
            <w:r w:rsidR="00053AE8" w:rsidRPr="002B3AE7">
              <w:rPr>
                <w:b/>
                <w:bCs/>
                <w:szCs w:val="24"/>
              </w:rPr>
              <w:instrText>-</w:instrText>
            </w:r>
            <w:r w:rsidR="00053AE8">
              <w:rPr>
                <w:b/>
                <w:bCs/>
                <w:szCs w:val="24"/>
                <w:lang w:val="en-US"/>
              </w:rPr>
              <w:instrText>names</w:instrText>
            </w:r>
            <w:r w:rsidR="00053AE8" w:rsidRPr="002B3AE7">
              <w:rPr>
                <w:b/>
                <w:bCs/>
                <w:szCs w:val="24"/>
              </w:rPr>
              <w:instrText>":</w:instrText>
            </w:r>
            <w:r w:rsidR="00053AE8">
              <w:rPr>
                <w:b/>
                <w:bCs/>
                <w:szCs w:val="24"/>
                <w:lang w:val="en-US"/>
              </w:rPr>
              <w:instrText>false</w:instrText>
            </w:r>
            <w:r w:rsidR="00053AE8" w:rsidRPr="002B3AE7">
              <w:rPr>
                <w:b/>
                <w:bCs/>
                <w:szCs w:val="24"/>
              </w:rPr>
              <w:instrText>,"</w:instrText>
            </w:r>
            <w:r w:rsidR="00053AE8">
              <w:rPr>
                <w:b/>
                <w:bCs/>
                <w:szCs w:val="24"/>
                <w:lang w:val="en-US"/>
              </w:rPr>
              <w:instrText>suffix</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family</w:instrText>
            </w:r>
            <w:r w:rsidR="00053AE8" w:rsidRPr="002B3AE7">
              <w:rPr>
                <w:b/>
                <w:bCs/>
                <w:szCs w:val="24"/>
              </w:rPr>
              <w:instrText>":"</w:instrText>
            </w:r>
            <w:r w:rsidR="00053AE8">
              <w:rPr>
                <w:b/>
                <w:bCs/>
                <w:szCs w:val="24"/>
                <w:lang w:val="en-US"/>
              </w:rPr>
              <w:instrText>Donato</w:instrText>
            </w:r>
            <w:r w:rsidR="00053AE8" w:rsidRPr="002B3AE7">
              <w:rPr>
                <w:b/>
                <w:bCs/>
                <w:szCs w:val="24"/>
              </w:rPr>
              <w:instrText>","</w:instrText>
            </w:r>
            <w:r w:rsidR="00053AE8">
              <w:rPr>
                <w:b/>
                <w:bCs/>
                <w:szCs w:val="24"/>
                <w:lang w:val="en-US"/>
              </w:rPr>
              <w:instrText>given</w:instrText>
            </w:r>
            <w:r w:rsidR="00053AE8" w:rsidRPr="002B3AE7">
              <w:rPr>
                <w:b/>
                <w:bCs/>
                <w:szCs w:val="24"/>
              </w:rPr>
              <w:instrText>":"</w:instrText>
            </w:r>
            <w:r w:rsidR="00053AE8">
              <w:rPr>
                <w:b/>
                <w:bCs/>
                <w:szCs w:val="24"/>
                <w:lang w:val="en-US"/>
              </w:rPr>
              <w:instrText>Hugo</w:instrText>
            </w:r>
            <w:r w:rsidR="00053AE8" w:rsidRPr="002B3AE7">
              <w:rPr>
                <w:b/>
                <w:bCs/>
                <w:szCs w:val="24"/>
              </w:rPr>
              <w:instrText>","</w:instrText>
            </w:r>
            <w:r w:rsidR="00053AE8">
              <w:rPr>
                <w:b/>
                <w:bCs/>
                <w:szCs w:val="24"/>
                <w:lang w:val="en-US"/>
              </w:rPr>
              <w:instrText>non</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parse</w:instrText>
            </w:r>
            <w:r w:rsidR="00053AE8" w:rsidRPr="002B3AE7">
              <w:rPr>
                <w:b/>
                <w:bCs/>
                <w:szCs w:val="24"/>
              </w:rPr>
              <w:instrText>-</w:instrText>
            </w:r>
            <w:r w:rsidR="00053AE8">
              <w:rPr>
                <w:b/>
                <w:bCs/>
                <w:szCs w:val="24"/>
                <w:lang w:val="en-US"/>
              </w:rPr>
              <w:instrText>names</w:instrText>
            </w:r>
            <w:r w:rsidR="00053AE8" w:rsidRPr="002B3AE7">
              <w:rPr>
                <w:b/>
                <w:bCs/>
                <w:szCs w:val="24"/>
              </w:rPr>
              <w:instrText>":</w:instrText>
            </w:r>
            <w:r w:rsidR="00053AE8">
              <w:rPr>
                <w:b/>
                <w:bCs/>
                <w:szCs w:val="24"/>
                <w:lang w:val="en-US"/>
              </w:rPr>
              <w:instrText>false</w:instrText>
            </w:r>
            <w:r w:rsidR="00053AE8" w:rsidRPr="002B3AE7">
              <w:rPr>
                <w:b/>
                <w:bCs/>
                <w:szCs w:val="24"/>
              </w:rPr>
              <w:instrText>,"</w:instrText>
            </w:r>
            <w:r w:rsidR="00053AE8">
              <w:rPr>
                <w:b/>
                <w:bCs/>
                <w:szCs w:val="24"/>
                <w:lang w:val="en-US"/>
              </w:rPr>
              <w:instrText>suffix</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family</w:instrText>
            </w:r>
            <w:r w:rsidR="00053AE8" w:rsidRPr="002B3AE7">
              <w:rPr>
                <w:b/>
                <w:bCs/>
                <w:szCs w:val="24"/>
              </w:rPr>
              <w:instrText>":"</w:instrText>
            </w:r>
            <w:r w:rsidR="00053AE8">
              <w:rPr>
                <w:b/>
                <w:bCs/>
                <w:szCs w:val="24"/>
                <w:lang w:val="en-US"/>
              </w:rPr>
              <w:instrText>Dibar</w:instrText>
            </w:r>
            <w:r w:rsidR="00053AE8" w:rsidRPr="002B3AE7">
              <w:rPr>
                <w:b/>
                <w:bCs/>
                <w:szCs w:val="24"/>
              </w:rPr>
              <w:instrText>","</w:instrText>
            </w:r>
            <w:r w:rsidR="00053AE8">
              <w:rPr>
                <w:b/>
                <w:bCs/>
                <w:szCs w:val="24"/>
                <w:lang w:val="en-US"/>
              </w:rPr>
              <w:instrText>given</w:instrText>
            </w:r>
            <w:r w:rsidR="00053AE8" w:rsidRPr="002B3AE7">
              <w:rPr>
                <w:b/>
                <w:bCs/>
                <w:szCs w:val="24"/>
              </w:rPr>
              <w:instrText>":"</w:instrText>
            </w:r>
            <w:r w:rsidR="00053AE8">
              <w:rPr>
                <w:b/>
                <w:bCs/>
                <w:szCs w:val="24"/>
                <w:lang w:val="en-US"/>
              </w:rPr>
              <w:instrText>Eduardo</w:instrText>
            </w:r>
            <w:r w:rsidR="00053AE8" w:rsidRPr="002B3AE7">
              <w:rPr>
                <w:b/>
                <w:bCs/>
                <w:szCs w:val="24"/>
              </w:rPr>
              <w:instrText>","</w:instrText>
            </w:r>
            <w:r w:rsidR="00053AE8">
              <w:rPr>
                <w:b/>
                <w:bCs/>
                <w:szCs w:val="24"/>
                <w:lang w:val="en-US"/>
              </w:rPr>
              <w:instrText>non</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parse</w:instrText>
            </w:r>
            <w:r w:rsidR="00053AE8" w:rsidRPr="002B3AE7">
              <w:rPr>
                <w:b/>
                <w:bCs/>
                <w:szCs w:val="24"/>
              </w:rPr>
              <w:instrText>-</w:instrText>
            </w:r>
            <w:r w:rsidR="00053AE8">
              <w:rPr>
                <w:b/>
                <w:bCs/>
                <w:szCs w:val="24"/>
                <w:lang w:val="en-US"/>
              </w:rPr>
              <w:instrText>names</w:instrText>
            </w:r>
            <w:r w:rsidR="00053AE8" w:rsidRPr="002B3AE7">
              <w:rPr>
                <w:b/>
                <w:bCs/>
                <w:szCs w:val="24"/>
              </w:rPr>
              <w:instrText>":</w:instrText>
            </w:r>
            <w:r w:rsidR="00053AE8">
              <w:rPr>
                <w:b/>
                <w:bCs/>
                <w:szCs w:val="24"/>
                <w:lang w:val="en-US"/>
              </w:rPr>
              <w:instrText>false</w:instrText>
            </w:r>
            <w:r w:rsidR="00053AE8" w:rsidRPr="002B3AE7">
              <w:rPr>
                <w:b/>
                <w:bCs/>
                <w:szCs w:val="24"/>
              </w:rPr>
              <w:instrText>,"</w:instrText>
            </w:r>
            <w:r w:rsidR="00053AE8">
              <w:rPr>
                <w:b/>
                <w:bCs/>
                <w:szCs w:val="24"/>
                <w:lang w:val="en-US"/>
              </w:rPr>
              <w:instrText>suffix</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family</w:instrText>
            </w:r>
            <w:r w:rsidR="00053AE8" w:rsidRPr="002B3AE7">
              <w:rPr>
                <w:b/>
                <w:bCs/>
                <w:szCs w:val="24"/>
              </w:rPr>
              <w:instrText>":"</w:instrText>
            </w:r>
            <w:r w:rsidR="00053AE8">
              <w:rPr>
                <w:b/>
                <w:bCs/>
                <w:szCs w:val="24"/>
                <w:lang w:val="en-US"/>
              </w:rPr>
              <w:instrText>Zirone</w:instrText>
            </w:r>
            <w:r w:rsidR="00053AE8" w:rsidRPr="002B3AE7">
              <w:rPr>
                <w:b/>
                <w:bCs/>
                <w:szCs w:val="24"/>
              </w:rPr>
              <w:instrText>","</w:instrText>
            </w:r>
            <w:r w:rsidR="00053AE8">
              <w:rPr>
                <w:b/>
                <w:bCs/>
                <w:szCs w:val="24"/>
                <w:lang w:val="en-US"/>
              </w:rPr>
              <w:instrText>given</w:instrText>
            </w:r>
            <w:r w:rsidR="00053AE8" w:rsidRPr="002B3AE7">
              <w:rPr>
                <w:b/>
                <w:bCs/>
                <w:szCs w:val="24"/>
              </w:rPr>
              <w:instrText>":"</w:instrText>
            </w:r>
            <w:r w:rsidR="00053AE8">
              <w:rPr>
                <w:b/>
                <w:bCs/>
                <w:szCs w:val="24"/>
                <w:lang w:val="en-US"/>
              </w:rPr>
              <w:instrText>Sandra</w:instrText>
            </w:r>
            <w:r w:rsidR="00053AE8" w:rsidRPr="002B3AE7">
              <w:rPr>
                <w:b/>
                <w:bCs/>
                <w:szCs w:val="24"/>
              </w:rPr>
              <w:instrText>","</w:instrText>
            </w:r>
            <w:r w:rsidR="00053AE8">
              <w:rPr>
                <w:b/>
                <w:bCs/>
                <w:szCs w:val="24"/>
                <w:lang w:val="en-US"/>
              </w:rPr>
              <w:instrText>non</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parse</w:instrText>
            </w:r>
            <w:r w:rsidR="00053AE8" w:rsidRPr="002B3AE7">
              <w:rPr>
                <w:b/>
                <w:bCs/>
                <w:szCs w:val="24"/>
              </w:rPr>
              <w:instrText>-</w:instrText>
            </w:r>
            <w:r w:rsidR="00053AE8">
              <w:rPr>
                <w:b/>
                <w:bCs/>
                <w:szCs w:val="24"/>
                <w:lang w:val="en-US"/>
              </w:rPr>
              <w:instrText>names</w:instrText>
            </w:r>
            <w:r w:rsidR="00053AE8" w:rsidRPr="002B3AE7">
              <w:rPr>
                <w:b/>
                <w:bCs/>
                <w:szCs w:val="24"/>
              </w:rPr>
              <w:instrText>":</w:instrText>
            </w:r>
            <w:r w:rsidR="00053AE8">
              <w:rPr>
                <w:b/>
                <w:bCs/>
                <w:szCs w:val="24"/>
                <w:lang w:val="en-US"/>
              </w:rPr>
              <w:instrText>false</w:instrText>
            </w:r>
            <w:r w:rsidR="00053AE8" w:rsidRPr="002B3AE7">
              <w:rPr>
                <w:b/>
                <w:bCs/>
                <w:szCs w:val="24"/>
              </w:rPr>
              <w:instrText>,"</w:instrText>
            </w:r>
            <w:r w:rsidR="00053AE8">
              <w:rPr>
                <w:b/>
                <w:bCs/>
                <w:szCs w:val="24"/>
                <w:lang w:val="en-US"/>
              </w:rPr>
              <w:instrText>suffix</w:instrText>
            </w:r>
            <w:r w:rsidR="00053AE8" w:rsidRPr="002B3AE7">
              <w:rPr>
                <w:b/>
                <w:bCs/>
                <w:szCs w:val="24"/>
              </w:rPr>
              <w:instrText>":""}],"</w:instrText>
            </w:r>
            <w:r w:rsidR="00053AE8">
              <w:rPr>
                <w:b/>
                <w:bCs/>
                <w:szCs w:val="24"/>
                <w:lang w:val="en-US"/>
              </w:rPr>
              <w:instrText>container</w:instrText>
            </w:r>
            <w:r w:rsidR="00053AE8" w:rsidRPr="002B3AE7">
              <w:rPr>
                <w:b/>
                <w:bCs/>
                <w:szCs w:val="24"/>
              </w:rPr>
              <w:instrText>-</w:instrText>
            </w:r>
            <w:r w:rsidR="00053AE8">
              <w:rPr>
                <w:b/>
                <w:bCs/>
                <w:szCs w:val="24"/>
                <w:lang w:val="en-US"/>
              </w:rPr>
              <w:instrText>title</w:instrText>
            </w:r>
            <w:r w:rsidR="00053AE8" w:rsidRPr="002B3AE7">
              <w:rPr>
                <w:b/>
                <w:bCs/>
                <w:szCs w:val="24"/>
              </w:rPr>
              <w:instrText>":"</w:instrText>
            </w:r>
            <w:r w:rsidR="00053AE8">
              <w:rPr>
                <w:b/>
                <w:bCs/>
                <w:szCs w:val="24"/>
                <w:lang w:val="en-US"/>
              </w:rPr>
              <w:instrText>Journal</w:instrText>
            </w:r>
            <w:r w:rsidR="00053AE8" w:rsidRPr="002B3AE7">
              <w:rPr>
                <w:b/>
                <w:bCs/>
                <w:szCs w:val="24"/>
              </w:rPr>
              <w:instrText xml:space="preserve"> </w:instrText>
            </w:r>
            <w:r w:rsidR="00053AE8">
              <w:rPr>
                <w:b/>
                <w:bCs/>
                <w:szCs w:val="24"/>
                <w:lang w:val="en-US"/>
              </w:rPr>
              <w:instrText>of</w:instrText>
            </w:r>
            <w:r w:rsidR="00053AE8" w:rsidRPr="002B3AE7">
              <w:rPr>
                <w:b/>
                <w:bCs/>
                <w:szCs w:val="24"/>
              </w:rPr>
              <w:instrText xml:space="preserve"> </w:instrText>
            </w:r>
            <w:r w:rsidR="00053AE8">
              <w:rPr>
                <w:b/>
                <w:bCs/>
                <w:szCs w:val="24"/>
                <w:lang w:val="en-US"/>
              </w:rPr>
              <w:instrText>Clinical</w:instrText>
            </w:r>
            <w:r w:rsidR="00053AE8" w:rsidRPr="002B3AE7">
              <w:rPr>
                <w:b/>
                <w:bCs/>
                <w:szCs w:val="24"/>
              </w:rPr>
              <w:instrText xml:space="preserve"> </w:instrText>
            </w:r>
            <w:r w:rsidR="00053AE8">
              <w:rPr>
                <w:b/>
                <w:bCs/>
                <w:szCs w:val="24"/>
                <w:lang w:val="en-US"/>
              </w:rPr>
              <w:instrText>Oncology</w:instrText>
            </w:r>
            <w:r w:rsidR="00053AE8" w:rsidRPr="002B3AE7">
              <w:rPr>
                <w:b/>
                <w:bCs/>
                <w:szCs w:val="24"/>
              </w:rPr>
              <w:instrText>","</w:instrText>
            </w:r>
            <w:r w:rsidR="00053AE8">
              <w:rPr>
                <w:b/>
                <w:bCs/>
                <w:szCs w:val="24"/>
                <w:lang w:val="en-US"/>
              </w:rPr>
              <w:instrText>id</w:instrText>
            </w:r>
            <w:r w:rsidR="00053AE8" w:rsidRPr="002B3AE7">
              <w:rPr>
                <w:b/>
                <w:bCs/>
                <w:szCs w:val="24"/>
              </w:rPr>
              <w:instrText>":"</w:instrText>
            </w:r>
            <w:r w:rsidR="00053AE8">
              <w:rPr>
                <w:b/>
                <w:bCs/>
                <w:szCs w:val="24"/>
                <w:lang w:val="en-US"/>
              </w:rPr>
              <w:instrText>ITEM</w:instrText>
            </w:r>
            <w:r w:rsidR="00053AE8" w:rsidRPr="002B3AE7">
              <w:rPr>
                <w:b/>
                <w:bCs/>
                <w:szCs w:val="24"/>
              </w:rPr>
              <w:instrText>-1","</w:instrText>
            </w:r>
            <w:r w:rsidR="00053AE8">
              <w:rPr>
                <w:b/>
                <w:bCs/>
                <w:szCs w:val="24"/>
                <w:lang w:val="en-US"/>
              </w:rPr>
              <w:instrText>issue</w:instrText>
            </w:r>
            <w:r w:rsidR="00053AE8" w:rsidRPr="002B3AE7">
              <w:rPr>
                <w:b/>
                <w:bCs/>
                <w:szCs w:val="24"/>
              </w:rPr>
              <w:instrText>":"7","</w:instrText>
            </w:r>
            <w:r w:rsidR="00053AE8">
              <w:rPr>
                <w:b/>
                <w:bCs/>
                <w:szCs w:val="24"/>
                <w:lang w:val="en-US"/>
              </w:rPr>
              <w:instrText>issued</w:instrText>
            </w:r>
            <w:r w:rsidR="00053AE8" w:rsidRPr="002B3AE7">
              <w:rPr>
                <w:b/>
                <w:bCs/>
                <w:szCs w:val="24"/>
              </w:rPr>
              <w:instrText>":{"</w:instrText>
            </w:r>
            <w:r w:rsidR="00053AE8">
              <w:rPr>
                <w:b/>
                <w:bCs/>
                <w:szCs w:val="24"/>
                <w:lang w:val="en-US"/>
              </w:rPr>
              <w:instrText>date</w:instrText>
            </w:r>
            <w:r w:rsidR="00053AE8" w:rsidRPr="002B3AE7">
              <w:rPr>
                <w:b/>
                <w:bCs/>
                <w:szCs w:val="24"/>
              </w:rPr>
              <w:instrText>-</w:instrText>
            </w:r>
            <w:r w:rsidR="00053AE8">
              <w:rPr>
                <w:b/>
                <w:bCs/>
                <w:szCs w:val="24"/>
                <w:lang w:val="en-US"/>
              </w:rPr>
              <w:instrText>parts</w:instrText>
            </w:r>
            <w:r w:rsidR="00053AE8" w:rsidRPr="002B3AE7">
              <w:rPr>
                <w:b/>
                <w:bCs/>
                <w:szCs w:val="24"/>
              </w:rPr>
              <w:instrText>":[["1997","7"]]},"</w:instrText>
            </w:r>
            <w:r w:rsidR="00053AE8">
              <w:rPr>
                <w:b/>
                <w:bCs/>
                <w:szCs w:val="24"/>
                <w:lang w:val="en-US"/>
              </w:rPr>
              <w:instrText>page</w:instrText>
            </w:r>
            <w:r w:rsidR="00053AE8" w:rsidRPr="002B3AE7">
              <w:rPr>
                <w:b/>
                <w:bCs/>
                <w:szCs w:val="24"/>
              </w:rPr>
              <w:instrText>":"2652-2658","</w:instrText>
            </w:r>
            <w:r w:rsidR="00053AE8">
              <w:rPr>
                <w:b/>
                <w:bCs/>
                <w:szCs w:val="24"/>
                <w:lang w:val="en-US"/>
              </w:rPr>
              <w:instrText>publisher</w:instrText>
            </w:r>
            <w:r w:rsidR="00053AE8" w:rsidRPr="002B3AE7">
              <w:rPr>
                <w:b/>
                <w:bCs/>
                <w:szCs w:val="24"/>
              </w:rPr>
              <w:instrText>":"</w:instrText>
            </w:r>
            <w:r w:rsidR="00053AE8">
              <w:rPr>
                <w:b/>
                <w:bCs/>
                <w:szCs w:val="24"/>
                <w:lang w:val="en-US"/>
              </w:rPr>
              <w:instrText>American</w:instrText>
            </w:r>
            <w:r w:rsidR="00053AE8" w:rsidRPr="002B3AE7">
              <w:rPr>
                <w:b/>
                <w:bCs/>
                <w:szCs w:val="24"/>
              </w:rPr>
              <w:instrText xml:space="preserve"> </w:instrText>
            </w:r>
            <w:r w:rsidR="00053AE8">
              <w:rPr>
                <w:b/>
                <w:bCs/>
                <w:szCs w:val="24"/>
                <w:lang w:val="en-US"/>
              </w:rPr>
              <w:instrText>Society</w:instrText>
            </w:r>
            <w:r w:rsidR="00053AE8" w:rsidRPr="002B3AE7">
              <w:rPr>
                <w:b/>
                <w:bCs/>
                <w:szCs w:val="24"/>
              </w:rPr>
              <w:instrText xml:space="preserve"> </w:instrText>
            </w:r>
            <w:r w:rsidR="00053AE8">
              <w:rPr>
                <w:b/>
                <w:bCs/>
                <w:szCs w:val="24"/>
                <w:lang w:val="en-US"/>
              </w:rPr>
              <w:instrText>of</w:instrText>
            </w:r>
            <w:r w:rsidR="00053AE8" w:rsidRPr="002B3AE7">
              <w:rPr>
                <w:b/>
                <w:bCs/>
                <w:szCs w:val="24"/>
              </w:rPr>
              <w:instrText xml:space="preserve"> </w:instrText>
            </w:r>
            <w:r w:rsidR="00053AE8">
              <w:rPr>
                <w:b/>
                <w:bCs/>
                <w:szCs w:val="24"/>
                <w:lang w:val="en-US"/>
              </w:rPr>
              <w:instrText>Clinical</w:instrText>
            </w:r>
            <w:r w:rsidR="00053AE8" w:rsidRPr="002B3AE7">
              <w:rPr>
                <w:b/>
                <w:bCs/>
                <w:szCs w:val="24"/>
              </w:rPr>
              <w:instrText xml:space="preserve"> </w:instrText>
            </w:r>
            <w:r w:rsidR="00053AE8">
              <w:rPr>
                <w:b/>
                <w:bCs/>
                <w:szCs w:val="24"/>
                <w:lang w:val="en-US"/>
              </w:rPr>
              <w:instrText>Oncology</w:instrText>
            </w:r>
            <w:r w:rsidR="00053AE8" w:rsidRPr="002B3AE7">
              <w:rPr>
                <w:b/>
                <w:bCs/>
                <w:szCs w:val="24"/>
              </w:rPr>
              <w:instrText>","</w:instrText>
            </w:r>
            <w:r w:rsidR="00053AE8">
              <w:rPr>
                <w:b/>
                <w:bCs/>
                <w:szCs w:val="24"/>
                <w:lang w:val="en-US"/>
              </w:rPr>
              <w:instrText>title</w:instrText>
            </w:r>
            <w:r w:rsidR="00053AE8" w:rsidRPr="002B3AE7">
              <w:rPr>
                <w:b/>
                <w:bCs/>
                <w:szCs w:val="24"/>
              </w:rPr>
              <w:instrText>":"</w:instrText>
            </w:r>
            <w:r w:rsidR="00053AE8">
              <w:rPr>
                <w:b/>
                <w:bCs/>
                <w:szCs w:val="24"/>
                <w:lang w:val="en-US"/>
              </w:rPr>
              <w:instrText>Randomized</w:instrText>
            </w:r>
            <w:r w:rsidR="00053AE8" w:rsidRPr="002B3AE7">
              <w:rPr>
                <w:b/>
                <w:bCs/>
                <w:szCs w:val="24"/>
              </w:rPr>
              <w:instrText xml:space="preserve"> </w:instrText>
            </w:r>
            <w:r w:rsidR="00053AE8">
              <w:rPr>
                <w:b/>
                <w:bCs/>
                <w:szCs w:val="24"/>
                <w:lang w:val="en-US"/>
              </w:rPr>
              <w:instrText>trial</w:instrText>
            </w:r>
            <w:r w:rsidR="00053AE8" w:rsidRPr="002B3AE7">
              <w:rPr>
                <w:b/>
                <w:bCs/>
                <w:szCs w:val="24"/>
              </w:rPr>
              <w:instrText xml:space="preserve"> </w:instrText>
            </w:r>
            <w:r w:rsidR="00053AE8">
              <w:rPr>
                <w:b/>
                <w:bCs/>
                <w:szCs w:val="24"/>
                <w:lang w:val="en-US"/>
              </w:rPr>
              <w:instrText>of</w:instrText>
            </w:r>
            <w:r w:rsidR="00053AE8" w:rsidRPr="002B3AE7">
              <w:rPr>
                <w:b/>
                <w:bCs/>
                <w:szCs w:val="24"/>
              </w:rPr>
              <w:instrText xml:space="preserve"> </w:instrText>
            </w:r>
            <w:r w:rsidR="00053AE8">
              <w:rPr>
                <w:b/>
                <w:bCs/>
                <w:szCs w:val="24"/>
                <w:lang w:val="en-US"/>
              </w:rPr>
              <w:instrText>CVPP</w:instrText>
            </w:r>
            <w:r w:rsidR="00053AE8" w:rsidRPr="002B3AE7">
              <w:rPr>
                <w:b/>
                <w:bCs/>
                <w:szCs w:val="24"/>
              </w:rPr>
              <w:instrText xml:space="preserve"> </w:instrText>
            </w:r>
            <w:r w:rsidR="00053AE8">
              <w:rPr>
                <w:b/>
                <w:bCs/>
                <w:szCs w:val="24"/>
                <w:lang w:val="en-US"/>
              </w:rPr>
              <w:instrText>for</w:instrText>
            </w:r>
            <w:r w:rsidR="00053AE8" w:rsidRPr="002B3AE7">
              <w:rPr>
                <w:b/>
                <w:bCs/>
                <w:szCs w:val="24"/>
              </w:rPr>
              <w:instrText xml:space="preserve"> </w:instrText>
            </w:r>
            <w:r w:rsidR="00053AE8">
              <w:rPr>
                <w:b/>
                <w:bCs/>
                <w:szCs w:val="24"/>
                <w:lang w:val="en-US"/>
              </w:rPr>
              <w:instrText>three</w:instrText>
            </w:r>
            <w:r w:rsidR="00053AE8" w:rsidRPr="002B3AE7">
              <w:rPr>
                <w:b/>
                <w:bCs/>
                <w:szCs w:val="24"/>
              </w:rPr>
              <w:instrText xml:space="preserve"> </w:instrText>
            </w:r>
            <w:r w:rsidR="00053AE8">
              <w:rPr>
                <w:b/>
                <w:bCs/>
                <w:szCs w:val="24"/>
                <w:lang w:val="en-US"/>
              </w:rPr>
              <w:instrText>versus</w:instrText>
            </w:r>
            <w:r w:rsidR="00053AE8" w:rsidRPr="002B3AE7">
              <w:rPr>
                <w:b/>
                <w:bCs/>
                <w:szCs w:val="24"/>
              </w:rPr>
              <w:instrText xml:space="preserve"> </w:instrText>
            </w:r>
            <w:r w:rsidR="00053AE8">
              <w:rPr>
                <w:b/>
                <w:bCs/>
                <w:szCs w:val="24"/>
                <w:lang w:val="en-US"/>
              </w:rPr>
              <w:instrText>six</w:instrText>
            </w:r>
            <w:r w:rsidR="00053AE8" w:rsidRPr="002B3AE7">
              <w:rPr>
                <w:b/>
                <w:bCs/>
                <w:szCs w:val="24"/>
              </w:rPr>
              <w:instrText xml:space="preserve"> </w:instrText>
            </w:r>
            <w:r w:rsidR="00053AE8">
              <w:rPr>
                <w:b/>
                <w:bCs/>
                <w:szCs w:val="24"/>
                <w:lang w:val="en-US"/>
              </w:rPr>
              <w:instrText>cycles</w:instrText>
            </w:r>
            <w:r w:rsidR="00053AE8" w:rsidRPr="002B3AE7">
              <w:rPr>
                <w:b/>
                <w:bCs/>
                <w:szCs w:val="24"/>
              </w:rPr>
              <w:instrText xml:space="preserve"> </w:instrText>
            </w:r>
            <w:r w:rsidR="00053AE8">
              <w:rPr>
                <w:b/>
                <w:bCs/>
                <w:szCs w:val="24"/>
                <w:lang w:val="en-US"/>
              </w:rPr>
              <w:instrText>in</w:instrText>
            </w:r>
            <w:r w:rsidR="00053AE8" w:rsidRPr="002B3AE7">
              <w:rPr>
                <w:b/>
                <w:bCs/>
                <w:szCs w:val="24"/>
              </w:rPr>
              <w:instrText xml:space="preserve"> </w:instrText>
            </w:r>
            <w:r w:rsidR="00053AE8">
              <w:rPr>
                <w:b/>
                <w:bCs/>
                <w:szCs w:val="24"/>
                <w:lang w:val="en-US"/>
              </w:rPr>
              <w:instrText>favorable</w:instrText>
            </w:r>
            <w:r w:rsidR="00053AE8" w:rsidRPr="002B3AE7">
              <w:rPr>
                <w:b/>
                <w:bCs/>
                <w:szCs w:val="24"/>
              </w:rPr>
              <w:instrText xml:space="preserve">- </w:instrText>
            </w:r>
            <w:r w:rsidR="00053AE8">
              <w:rPr>
                <w:b/>
                <w:bCs/>
                <w:szCs w:val="24"/>
                <w:lang w:val="en-US"/>
              </w:rPr>
              <w:instrText>prognosis</w:instrText>
            </w:r>
            <w:r w:rsidR="00053AE8" w:rsidRPr="002B3AE7">
              <w:rPr>
                <w:b/>
                <w:bCs/>
                <w:szCs w:val="24"/>
              </w:rPr>
              <w:instrText xml:space="preserve"> </w:instrText>
            </w:r>
            <w:r w:rsidR="00053AE8">
              <w:rPr>
                <w:b/>
                <w:bCs/>
                <w:szCs w:val="24"/>
                <w:lang w:val="en-US"/>
              </w:rPr>
              <w:instrText>and</w:instrText>
            </w:r>
            <w:r w:rsidR="00053AE8" w:rsidRPr="002B3AE7">
              <w:rPr>
                <w:b/>
                <w:bCs/>
                <w:szCs w:val="24"/>
              </w:rPr>
              <w:instrText xml:space="preserve"> </w:instrText>
            </w:r>
            <w:r w:rsidR="00053AE8">
              <w:rPr>
                <w:b/>
                <w:bCs/>
                <w:szCs w:val="24"/>
                <w:lang w:val="en-US"/>
              </w:rPr>
              <w:instrText>CVPP</w:instrText>
            </w:r>
            <w:r w:rsidR="00053AE8" w:rsidRPr="002B3AE7">
              <w:rPr>
                <w:b/>
                <w:bCs/>
                <w:szCs w:val="24"/>
              </w:rPr>
              <w:instrText xml:space="preserve"> </w:instrText>
            </w:r>
            <w:r w:rsidR="00053AE8">
              <w:rPr>
                <w:b/>
                <w:bCs/>
                <w:szCs w:val="24"/>
                <w:lang w:val="en-US"/>
              </w:rPr>
              <w:instrText>versus</w:instrText>
            </w:r>
            <w:r w:rsidR="00053AE8" w:rsidRPr="002B3AE7">
              <w:rPr>
                <w:b/>
                <w:bCs/>
                <w:szCs w:val="24"/>
              </w:rPr>
              <w:instrText xml:space="preserve"> </w:instrText>
            </w:r>
            <w:r w:rsidR="00053AE8">
              <w:rPr>
                <w:b/>
                <w:bCs/>
                <w:szCs w:val="24"/>
                <w:lang w:val="en-US"/>
              </w:rPr>
              <w:instrText>AOPE</w:instrText>
            </w:r>
            <w:r w:rsidR="00053AE8" w:rsidRPr="002B3AE7">
              <w:rPr>
                <w:b/>
                <w:bCs/>
                <w:szCs w:val="24"/>
              </w:rPr>
              <w:instrText xml:space="preserve"> </w:instrText>
            </w:r>
            <w:r w:rsidR="00053AE8">
              <w:rPr>
                <w:b/>
                <w:bCs/>
                <w:szCs w:val="24"/>
                <w:lang w:val="en-US"/>
              </w:rPr>
              <w:instrText>plus</w:instrText>
            </w:r>
            <w:r w:rsidR="00053AE8" w:rsidRPr="002B3AE7">
              <w:rPr>
                <w:b/>
                <w:bCs/>
                <w:szCs w:val="24"/>
              </w:rPr>
              <w:instrText xml:space="preserve"> </w:instrText>
            </w:r>
            <w:r w:rsidR="00053AE8">
              <w:rPr>
                <w:b/>
                <w:bCs/>
                <w:szCs w:val="24"/>
                <w:lang w:val="en-US"/>
              </w:rPr>
              <w:instrText>radiotherapy</w:instrText>
            </w:r>
            <w:r w:rsidR="00053AE8" w:rsidRPr="002B3AE7">
              <w:rPr>
                <w:b/>
                <w:bCs/>
                <w:szCs w:val="24"/>
              </w:rPr>
              <w:instrText xml:space="preserve"> </w:instrText>
            </w:r>
            <w:r w:rsidR="00053AE8">
              <w:rPr>
                <w:b/>
                <w:bCs/>
                <w:szCs w:val="24"/>
                <w:lang w:val="en-US"/>
              </w:rPr>
              <w:instrText>in</w:instrText>
            </w:r>
            <w:r w:rsidR="00053AE8" w:rsidRPr="002B3AE7">
              <w:rPr>
                <w:b/>
                <w:bCs/>
                <w:szCs w:val="24"/>
              </w:rPr>
              <w:instrText xml:space="preserve"> </w:instrText>
            </w:r>
            <w:r w:rsidR="00053AE8">
              <w:rPr>
                <w:b/>
                <w:bCs/>
                <w:szCs w:val="24"/>
                <w:lang w:val="en-US"/>
              </w:rPr>
              <w:instrText>intermediate</w:instrText>
            </w:r>
            <w:r w:rsidR="00053AE8" w:rsidRPr="002B3AE7">
              <w:rPr>
                <w:b/>
                <w:bCs/>
                <w:szCs w:val="24"/>
              </w:rPr>
              <w:instrText>-</w:instrText>
            </w:r>
            <w:r w:rsidR="00053AE8">
              <w:rPr>
                <w:b/>
                <w:bCs/>
                <w:szCs w:val="24"/>
                <w:lang w:val="en-US"/>
              </w:rPr>
              <w:instrText>prognosis</w:instrText>
            </w:r>
            <w:r w:rsidR="00053AE8" w:rsidRPr="002B3AE7">
              <w:rPr>
                <w:b/>
                <w:bCs/>
                <w:szCs w:val="24"/>
              </w:rPr>
              <w:instrText xml:space="preserve"> </w:instrText>
            </w:r>
            <w:r w:rsidR="00053AE8">
              <w:rPr>
                <w:b/>
                <w:bCs/>
                <w:szCs w:val="24"/>
                <w:lang w:val="en-US"/>
              </w:rPr>
              <w:instrText>untreated</w:instrText>
            </w:r>
            <w:r w:rsidR="00053AE8" w:rsidRPr="002B3AE7">
              <w:rPr>
                <w:b/>
                <w:bCs/>
                <w:szCs w:val="24"/>
              </w:rPr>
              <w:instrText xml:space="preserve"> </w:instrText>
            </w:r>
            <w:r w:rsidR="00053AE8">
              <w:rPr>
                <w:b/>
                <w:bCs/>
                <w:szCs w:val="24"/>
                <w:lang w:val="en-US"/>
              </w:rPr>
              <w:instrText>Hodgkin</w:instrText>
            </w:r>
            <w:r w:rsidR="00053AE8" w:rsidRPr="002B3AE7">
              <w:rPr>
                <w:b/>
                <w:bCs/>
                <w:szCs w:val="24"/>
              </w:rPr>
              <w:instrText>'</w:instrText>
            </w:r>
            <w:r w:rsidR="00053AE8">
              <w:rPr>
                <w:b/>
                <w:bCs/>
                <w:szCs w:val="24"/>
                <w:lang w:val="en-US"/>
              </w:rPr>
              <w:instrText>s</w:instrText>
            </w:r>
            <w:r w:rsidR="00053AE8" w:rsidRPr="002B3AE7">
              <w:rPr>
                <w:b/>
                <w:bCs/>
                <w:szCs w:val="24"/>
              </w:rPr>
              <w:instrText xml:space="preserve"> </w:instrText>
            </w:r>
            <w:r w:rsidR="00053AE8">
              <w:rPr>
                <w:b/>
                <w:bCs/>
                <w:szCs w:val="24"/>
                <w:lang w:val="en-US"/>
              </w:rPr>
              <w:instrText>disease</w:instrText>
            </w:r>
            <w:r w:rsidR="00053AE8" w:rsidRPr="002B3AE7">
              <w:rPr>
                <w:b/>
                <w:bCs/>
                <w:szCs w:val="24"/>
              </w:rPr>
              <w:instrText>","</w:instrText>
            </w:r>
            <w:r w:rsidR="00053AE8">
              <w:rPr>
                <w:b/>
                <w:bCs/>
                <w:szCs w:val="24"/>
                <w:lang w:val="en-US"/>
              </w:rPr>
              <w:instrText>type</w:instrText>
            </w:r>
            <w:r w:rsidR="00053AE8" w:rsidRPr="002B3AE7">
              <w:rPr>
                <w:b/>
                <w:bCs/>
                <w:szCs w:val="24"/>
              </w:rPr>
              <w:instrText>":"</w:instrText>
            </w:r>
            <w:r w:rsidR="00053AE8">
              <w:rPr>
                <w:b/>
                <w:bCs/>
                <w:szCs w:val="24"/>
                <w:lang w:val="en-US"/>
              </w:rPr>
              <w:instrText>article</w:instrText>
            </w:r>
            <w:r w:rsidR="00053AE8" w:rsidRPr="002B3AE7">
              <w:rPr>
                <w:b/>
                <w:bCs/>
                <w:szCs w:val="24"/>
              </w:rPr>
              <w:instrText>-</w:instrText>
            </w:r>
            <w:r w:rsidR="00053AE8">
              <w:rPr>
                <w:b/>
                <w:bCs/>
                <w:szCs w:val="24"/>
                <w:lang w:val="en-US"/>
              </w:rPr>
              <w:instrText>journal</w:instrText>
            </w:r>
            <w:r w:rsidR="00053AE8" w:rsidRPr="002B3AE7">
              <w:rPr>
                <w:b/>
                <w:bCs/>
                <w:szCs w:val="24"/>
              </w:rPr>
              <w:instrText>","</w:instrText>
            </w:r>
            <w:r w:rsidR="00053AE8">
              <w:rPr>
                <w:b/>
                <w:bCs/>
                <w:szCs w:val="24"/>
                <w:lang w:val="en-US"/>
              </w:rPr>
              <w:instrText>volume</w:instrText>
            </w:r>
            <w:r w:rsidR="00053AE8" w:rsidRPr="002B3AE7">
              <w:rPr>
                <w:b/>
                <w:bCs/>
                <w:szCs w:val="24"/>
              </w:rPr>
              <w:instrText>":"15"},"</w:instrText>
            </w:r>
            <w:r w:rsidR="00053AE8">
              <w:rPr>
                <w:b/>
                <w:bCs/>
                <w:szCs w:val="24"/>
                <w:lang w:val="en-US"/>
              </w:rPr>
              <w:instrText>uris</w:instrText>
            </w:r>
            <w:r w:rsidR="00053AE8" w:rsidRPr="002B3AE7">
              <w:rPr>
                <w:b/>
                <w:bCs/>
                <w:szCs w:val="24"/>
              </w:rPr>
              <w:instrText>":["</w:instrText>
            </w:r>
            <w:r w:rsidR="00053AE8">
              <w:rPr>
                <w:b/>
                <w:bCs/>
                <w:szCs w:val="24"/>
                <w:lang w:val="en-US"/>
              </w:rPr>
              <w:instrText>http</w:instrText>
            </w:r>
            <w:r w:rsidR="00053AE8" w:rsidRPr="002B3AE7">
              <w:rPr>
                <w:b/>
                <w:bCs/>
                <w:szCs w:val="24"/>
              </w:rPr>
              <w:instrText>://</w:instrText>
            </w:r>
            <w:r w:rsidR="00053AE8">
              <w:rPr>
                <w:b/>
                <w:bCs/>
                <w:szCs w:val="24"/>
                <w:lang w:val="en-US"/>
              </w:rPr>
              <w:instrText>www</w:instrText>
            </w:r>
            <w:r w:rsidR="00053AE8" w:rsidRPr="002B3AE7">
              <w:rPr>
                <w:b/>
                <w:bCs/>
                <w:szCs w:val="24"/>
              </w:rPr>
              <w:instrText>.</w:instrText>
            </w:r>
            <w:r w:rsidR="00053AE8">
              <w:rPr>
                <w:b/>
                <w:bCs/>
                <w:szCs w:val="24"/>
                <w:lang w:val="en-US"/>
              </w:rPr>
              <w:instrText>mendeley</w:instrText>
            </w:r>
            <w:r w:rsidR="00053AE8" w:rsidRPr="002B3AE7">
              <w:rPr>
                <w:b/>
                <w:bCs/>
                <w:szCs w:val="24"/>
              </w:rPr>
              <w:instrText>.</w:instrText>
            </w:r>
            <w:r w:rsidR="00053AE8">
              <w:rPr>
                <w:b/>
                <w:bCs/>
                <w:szCs w:val="24"/>
                <w:lang w:val="en-US"/>
              </w:rPr>
              <w:instrText>com</w:instrText>
            </w:r>
            <w:r w:rsidR="00053AE8" w:rsidRPr="002B3AE7">
              <w:rPr>
                <w:b/>
                <w:bCs/>
                <w:szCs w:val="24"/>
              </w:rPr>
              <w:instrText>/</w:instrText>
            </w:r>
            <w:r w:rsidR="00053AE8">
              <w:rPr>
                <w:b/>
                <w:bCs/>
                <w:szCs w:val="24"/>
                <w:lang w:val="en-US"/>
              </w:rPr>
              <w:instrText>documents</w:instrText>
            </w:r>
            <w:r w:rsidR="00053AE8" w:rsidRPr="002B3AE7">
              <w:rPr>
                <w:b/>
                <w:bCs/>
                <w:szCs w:val="24"/>
              </w:rPr>
              <w:instrText>/?</w:instrText>
            </w:r>
            <w:r w:rsidR="00053AE8">
              <w:rPr>
                <w:b/>
                <w:bCs/>
                <w:szCs w:val="24"/>
                <w:lang w:val="en-US"/>
              </w:rPr>
              <w:instrText>uuid</w:instrText>
            </w:r>
            <w:r w:rsidR="00053AE8" w:rsidRPr="002B3AE7">
              <w:rPr>
                <w:b/>
                <w:bCs/>
                <w:szCs w:val="24"/>
              </w:rPr>
              <w:instrText>=</w:instrText>
            </w:r>
            <w:r w:rsidR="00053AE8">
              <w:rPr>
                <w:b/>
                <w:bCs/>
                <w:szCs w:val="24"/>
                <w:lang w:val="en-US"/>
              </w:rPr>
              <w:instrText>d</w:instrText>
            </w:r>
            <w:r w:rsidR="00053AE8" w:rsidRPr="002B3AE7">
              <w:rPr>
                <w:b/>
                <w:bCs/>
                <w:szCs w:val="24"/>
              </w:rPr>
              <w:instrText>28</w:instrText>
            </w:r>
            <w:r w:rsidR="00053AE8">
              <w:rPr>
                <w:b/>
                <w:bCs/>
                <w:szCs w:val="24"/>
                <w:lang w:val="en-US"/>
              </w:rPr>
              <w:instrText>d</w:instrText>
            </w:r>
            <w:r w:rsidR="00053AE8" w:rsidRPr="002B3AE7">
              <w:rPr>
                <w:b/>
                <w:bCs/>
                <w:szCs w:val="24"/>
              </w:rPr>
              <w:instrText>73</w:instrText>
            </w:r>
            <w:r w:rsidR="00053AE8">
              <w:rPr>
                <w:b/>
                <w:bCs/>
                <w:szCs w:val="24"/>
                <w:lang w:val="en-US"/>
              </w:rPr>
              <w:instrText>e</w:instrText>
            </w:r>
            <w:r w:rsidR="00053AE8" w:rsidRPr="002B3AE7">
              <w:rPr>
                <w:b/>
                <w:bCs/>
                <w:szCs w:val="24"/>
              </w:rPr>
              <w:instrText>7-</w:instrText>
            </w:r>
            <w:r w:rsidR="00053AE8">
              <w:rPr>
                <w:b/>
                <w:bCs/>
                <w:szCs w:val="24"/>
                <w:lang w:val="en-US"/>
              </w:rPr>
              <w:instrText>de</w:instrText>
            </w:r>
            <w:r w:rsidR="00053AE8" w:rsidRPr="002B3AE7">
              <w:rPr>
                <w:b/>
                <w:bCs/>
                <w:szCs w:val="24"/>
              </w:rPr>
              <w:instrText>4</w:instrText>
            </w:r>
            <w:r w:rsidR="00053AE8">
              <w:rPr>
                <w:b/>
                <w:bCs/>
                <w:szCs w:val="24"/>
                <w:lang w:val="en-US"/>
              </w:rPr>
              <w:instrText>e</w:instrText>
            </w:r>
            <w:r w:rsidR="00053AE8" w:rsidRPr="002B3AE7">
              <w:rPr>
                <w:b/>
                <w:bCs/>
                <w:szCs w:val="24"/>
              </w:rPr>
              <w:instrText>-3</w:instrText>
            </w:r>
            <w:r w:rsidR="00053AE8">
              <w:rPr>
                <w:b/>
                <w:bCs/>
                <w:szCs w:val="24"/>
                <w:lang w:val="en-US"/>
              </w:rPr>
              <w:instrText>b</w:instrText>
            </w:r>
            <w:r w:rsidR="00053AE8" w:rsidRPr="002B3AE7">
              <w:rPr>
                <w:b/>
                <w:bCs/>
                <w:szCs w:val="24"/>
              </w:rPr>
              <w:instrText>7</w:instrText>
            </w:r>
            <w:r w:rsidR="00053AE8">
              <w:rPr>
                <w:b/>
                <w:bCs/>
                <w:szCs w:val="24"/>
                <w:lang w:val="en-US"/>
              </w:rPr>
              <w:instrText>e</w:instrText>
            </w:r>
            <w:r w:rsidR="00053AE8" w:rsidRPr="002B3AE7">
              <w:rPr>
                <w:b/>
                <w:bCs/>
                <w:szCs w:val="24"/>
              </w:rPr>
              <w:instrText>-9</w:instrText>
            </w:r>
            <w:r w:rsidR="00053AE8">
              <w:rPr>
                <w:b/>
                <w:bCs/>
                <w:szCs w:val="24"/>
                <w:lang w:val="en-US"/>
              </w:rPr>
              <w:instrText>bc</w:instrText>
            </w:r>
            <w:r w:rsidR="00053AE8" w:rsidRPr="002B3AE7">
              <w:rPr>
                <w:b/>
                <w:bCs/>
                <w:szCs w:val="24"/>
              </w:rPr>
              <w:instrText>4-15</w:instrText>
            </w:r>
            <w:r w:rsidR="00053AE8">
              <w:rPr>
                <w:b/>
                <w:bCs/>
                <w:szCs w:val="24"/>
                <w:lang w:val="en-US"/>
              </w:rPr>
              <w:instrText>d</w:instrText>
            </w:r>
            <w:r w:rsidR="00053AE8" w:rsidRPr="002B3AE7">
              <w:rPr>
                <w:b/>
                <w:bCs/>
                <w:szCs w:val="24"/>
              </w:rPr>
              <w:instrText>11</w:instrText>
            </w:r>
            <w:r w:rsidR="00053AE8">
              <w:rPr>
                <w:b/>
                <w:bCs/>
                <w:szCs w:val="24"/>
                <w:lang w:val="en-US"/>
              </w:rPr>
              <w:instrText>e</w:instrText>
            </w:r>
            <w:r w:rsidR="00053AE8" w:rsidRPr="002B3AE7">
              <w:rPr>
                <w:b/>
                <w:bCs/>
                <w:szCs w:val="24"/>
              </w:rPr>
              <w:instrText>0</w:instrText>
            </w:r>
            <w:r w:rsidR="00053AE8">
              <w:rPr>
                <w:b/>
                <w:bCs/>
                <w:szCs w:val="24"/>
                <w:lang w:val="en-US"/>
              </w:rPr>
              <w:instrText>eefca</w:instrText>
            </w:r>
            <w:r w:rsidR="00053AE8" w:rsidRPr="002B3AE7">
              <w:rPr>
                <w:b/>
                <w:bCs/>
                <w:szCs w:val="24"/>
              </w:rPr>
              <w:instrText>"]}],"</w:instrText>
            </w:r>
            <w:r w:rsidR="00053AE8">
              <w:rPr>
                <w:b/>
                <w:bCs/>
                <w:szCs w:val="24"/>
                <w:lang w:val="en-US"/>
              </w:rPr>
              <w:instrText>mendeley</w:instrText>
            </w:r>
            <w:r w:rsidR="00053AE8" w:rsidRPr="002B3AE7">
              <w:rPr>
                <w:b/>
                <w:bCs/>
                <w:szCs w:val="24"/>
              </w:rPr>
              <w:instrText>":{"</w:instrText>
            </w:r>
            <w:r w:rsidR="00053AE8">
              <w:rPr>
                <w:b/>
                <w:bCs/>
                <w:szCs w:val="24"/>
                <w:lang w:val="en-US"/>
              </w:rPr>
              <w:instrText>formattedCitation</w:instrText>
            </w:r>
            <w:r w:rsidR="00053AE8" w:rsidRPr="002B3AE7">
              <w:rPr>
                <w:b/>
                <w:bCs/>
                <w:szCs w:val="24"/>
              </w:rPr>
              <w:instrText>":"[125]","</w:instrText>
            </w:r>
            <w:r w:rsidR="00053AE8">
              <w:rPr>
                <w:b/>
                <w:bCs/>
                <w:szCs w:val="24"/>
                <w:lang w:val="en-US"/>
              </w:rPr>
              <w:instrText>plainTextFormattedCitation</w:instrText>
            </w:r>
            <w:r w:rsidR="00053AE8" w:rsidRPr="002B3AE7">
              <w:rPr>
                <w:b/>
                <w:bCs/>
                <w:szCs w:val="24"/>
              </w:rPr>
              <w:instrText>":"[125]","</w:instrText>
            </w:r>
            <w:r w:rsidR="00053AE8">
              <w:rPr>
                <w:b/>
                <w:bCs/>
                <w:szCs w:val="24"/>
                <w:lang w:val="en-US"/>
              </w:rPr>
              <w:instrText>previouslyFormattedCitation</w:instrText>
            </w:r>
            <w:r w:rsidR="00053AE8" w:rsidRPr="002B3AE7">
              <w:rPr>
                <w:b/>
                <w:bCs/>
                <w:szCs w:val="24"/>
              </w:rPr>
              <w:instrText>":"[125]"},"</w:instrText>
            </w:r>
            <w:r w:rsidR="00053AE8">
              <w:rPr>
                <w:b/>
                <w:bCs/>
                <w:szCs w:val="24"/>
                <w:lang w:val="en-US"/>
              </w:rPr>
              <w:instrText>properties</w:instrText>
            </w:r>
            <w:r w:rsidR="00053AE8" w:rsidRPr="002B3AE7">
              <w:rPr>
                <w:b/>
                <w:bCs/>
                <w:szCs w:val="24"/>
              </w:rPr>
              <w:instrText>":{"</w:instrText>
            </w:r>
            <w:r w:rsidR="00053AE8">
              <w:rPr>
                <w:b/>
                <w:bCs/>
                <w:szCs w:val="24"/>
                <w:lang w:val="en-US"/>
              </w:rPr>
              <w:instrText>noteIndex</w:instrText>
            </w:r>
            <w:r w:rsidR="00053AE8" w:rsidRPr="002B3AE7">
              <w:rPr>
                <w:b/>
                <w:bCs/>
                <w:szCs w:val="24"/>
              </w:rPr>
              <w:instrText>":0},"</w:instrText>
            </w:r>
            <w:r w:rsidR="00053AE8">
              <w:rPr>
                <w:b/>
                <w:bCs/>
                <w:szCs w:val="24"/>
                <w:lang w:val="en-US"/>
              </w:rPr>
              <w:instrText>schema</w:instrText>
            </w:r>
            <w:r w:rsidR="00053AE8" w:rsidRPr="002B3AE7">
              <w:rPr>
                <w:b/>
                <w:bCs/>
                <w:szCs w:val="24"/>
              </w:rPr>
              <w:instrText>":"</w:instrText>
            </w:r>
            <w:r w:rsidR="00053AE8">
              <w:rPr>
                <w:b/>
                <w:bCs/>
                <w:szCs w:val="24"/>
                <w:lang w:val="en-US"/>
              </w:rPr>
              <w:instrText>https</w:instrText>
            </w:r>
            <w:r w:rsidR="00053AE8" w:rsidRPr="002B3AE7">
              <w:rPr>
                <w:b/>
                <w:bCs/>
                <w:szCs w:val="24"/>
              </w:rPr>
              <w:instrText>://</w:instrText>
            </w:r>
            <w:r w:rsidR="00053AE8">
              <w:rPr>
                <w:b/>
                <w:bCs/>
                <w:szCs w:val="24"/>
                <w:lang w:val="en-US"/>
              </w:rPr>
              <w:instrText>github</w:instrText>
            </w:r>
            <w:r w:rsidR="00053AE8" w:rsidRPr="002B3AE7">
              <w:rPr>
                <w:b/>
                <w:bCs/>
                <w:szCs w:val="24"/>
              </w:rPr>
              <w:instrText>.</w:instrText>
            </w:r>
            <w:r w:rsidR="00053AE8">
              <w:rPr>
                <w:b/>
                <w:bCs/>
                <w:szCs w:val="24"/>
                <w:lang w:val="en-US"/>
              </w:rPr>
              <w:instrText>com</w:instrText>
            </w:r>
            <w:r w:rsidR="00053AE8" w:rsidRPr="002B3AE7">
              <w:rPr>
                <w:b/>
                <w:bCs/>
                <w:szCs w:val="24"/>
              </w:rPr>
              <w:instrText>/</w:instrText>
            </w:r>
            <w:r w:rsidR="00053AE8">
              <w:rPr>
                <w:b/>
                <w:bCs/>
                <w:szCs w:val="24"/>
                <w:lang w:val="en-US"/>
              </w:rPr>
              <w:instrText>citation</w:instrText>
            </w:r>
            <w:r w:rsidR="00053AE8" w:rsidRPr="002B3AE7">
              <w:rPr>
                <w:b/>
                <w:bCs/>
                <w:szCs w:val="24"/>
              </w:rPr>
              <w:instrText>-</w:instrText>
            </w:r>
            <w:r w:rsidR="00053AE8">
              <w:rPr>
                <w:b/>
                <w:bCs/>
                <w:szCs w:val="24"/>
                <w:lang w:val="en-US"/>
              </w:rPr>
              <w:instrText>style</w:instrText>
            </w:r>
            <w:r w:rsidR="00053AE8" w:rsidRPr="002B3AE7">
              <w:rPr>
                <w:b/>
                <w:bCs/>
                <w:szCs w:val="24"/>
              </w:rPr>
              <w:instrText>-</w:instrText>
            </w:r>
            <w:r w:rsidR="00053AE8">
              <w:rPr>
                <w:b/>
                <w:bCs/>
                <w:szCs w:val="24"/>
                <w:lang w:val="en-US"/>
              </w:rPr>
              <w:instrText>language</w:instrText>
            </w:r>
            <w:r w:rsidR="00053AE8" w:rsidRPr="002B3AE7">
              <w:rPr>
                <w:b/>
                <w:bCs/>
                <w:szCs w:val="24"/>
              </w:rPr>
              <w:instrText>/</w:instrText>
            </w:r>
            <w:r w:rsidR="00053AE8">
              <w:rPr>
                <w:b/>
                <w:bCs/>
                <w:szCs w:val="24"/>
                <w:lang w:val="en-US"/>
              </w:rPr>
              <w:instrText>schema</w:instrText>
            </w:r>
            <w:r w:rsidR="00053AE8" w:rsidRPr="002B3AE7">
              <w:rPr>
                <w:b/>
                <w:bCs/>
                <w:szCs w:val="24"/>
              </w:rPr>
              <w:instrText>/</w:instrText>
            </w:r>
            <w:r w:rsidR="00053AE8">
              <w:rPr>
                <w:b/>
                <w:bCs/>
                <w:szCs w:val="24"/>
                <w:lang w:val="en-US"/>
              </w:rPr>
              <w:instrText>raw</w:instrText>
            </w:r>
            <w:r w:rsidR="00053AE8" w:rsidRPr="002B3AE7">
              <w:rPr>
                <w:b/>
                <w:bCs/>
                <w:szCs w:val="24"/>
              </w:rPr>
              <w:instrText>/</w:instrText>
            </w:r>
            <w:r w:rsidR="00053AE8">
              <w:rPr>
                <w:b/>
                <w:bCs/>
                <w:szCs w:val="24"/>
                <w:lang w:val="en-US"/>
              </w:rPr>
              <w:instrText>master</w:instrText>
            </w:r>
            <w:r w:rsidR="00053AE8" w:rsidRPr="002B3AE7">
              <w:rPr>
                <w:b/>
                <w:bCs/>
                <w:szCs w:val="24"/>
              </w:rPr>
              <w:instrText>/</w:instrText>
            </w:r>
            <w:r w:rsidR="00053AE8">
              <w:rPr>
                <w:b/>
                <w:bCs/>
                <w:szCs w:val="24"/>
                <w:lang w:val="en-US"/>
              </w:rPr>
              <w:instrText>csl</w:instrText>
            </w:r>
            <w:r w:rsidR="00053AE8" w:rsidRPr="002B3AE7">
              <w:rPr>
                <w:b/>
                <w:bCs/>
                <w:szCs w:val="24"/>
              </w:rPr>
              <w:instrText>-</w:instrText>
            </w:r>
            <w:r w:rsidR="00053AE8">
              <w:rPr>
                <w:b/>
                <w:bCs/>
                <w:szCs w:val="24"/>
                <w:lang w:val="en-US"/>
              </w:rPr>
              <w:instrText>citation</w:instrText>
            </w:r>
            <w:r w:rsidR="00053AE8" w:rsidRPr="002B3AE7">
              <w:rPr>
                <w:b/>
                <w:bCs/>
                <w:szCs w:val="24"/>
              </w:rPr>
              <w:instrText>.</w:instrText>
            </w:r>
            <w:r w:rsidR="00053AE8">
              <w:rPr>
                <w:b/>
                <w:bCs/>
                <w:szCs w:val="24"/>
                <w:lang w:val="en-US"/>
              </w:rPr>
              <w:instrText>json</w:instrText>
            </w:r>
            <w:r w:rsidR="00053AE8" w:rsidRPr="002B3AE7">
              <w:rPr>
                <w:b/>
                <w:bCs/>
                <w:szCs w:val="24"/>
              </w:rPr>
              <w:instrText>"}</w:instrText>
            </w:r>
            <w:r w:rsidR="00EC281E" w:rsidRPr="002F4348">
              <w:rPr>
                <w:b/>
                <w:bCs/>
                <w:szCs w:val="24"/>
                <w:lang w:val="en-US"/>
              </w:rPr>
              <w:fldChar w:fldCharType="separate"/>
            </w:r>
            <w:r w:rsidR="00A60C8A" w:rsidRPr="00A60C8A">
              <w:rPr>
                <w:bCs/>
                <w:noProof/>
                <w:szCs w:val="24"/>
              </w:rPr>
              <w:t>[125]</w:t>
            </w:r>
            <w:r w:rsidR="00EC281E" w:rsidRPr="002F4348">
              <w:rPr>
                <w:b/>
                <w:bCs/>
                <w:szCs w:val="24"/>
                <w:lang w:val="en-US"/>
              </w:rPr>
              <w:fldChar w:fldCharType="end"/>
            </w:r>
          </w:p>
        </w:tc>
      </w:tr>
      <w:tr w:rsidR="003E2397" w:rsidRPr="002F4348" w14:paraId="5CD82D71"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hideMark/>
          </w:tcPr>
          <w:p w14:paraId="512793CB" w14:textId="77777777" w:rsidR="003E2397" w:rsidRPr="002F4348" w:rsidRDefault="003E2397" w:rsidP="003E2397">
            <w:pPr>
              <w:spacing w:line="240" w:lineRule="auto"/>
              <w:ind w:firstLine="0"/>
              <w:jc w:val="left"/>
              <w:rPr>
                <w:szCs w:val="24"/>
              </w:rPr>
            </w:pPr>
            <w:r w:rsidRPr="002F4348">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765DC54F" w14:textId="77777777" w:rsidR="003E2397" w:rsidRPr="002F4348" w:rsidRDefault="003E2397" w:rsidP="003E2397">
            <w:pPr>
              <w:spacing w:line="240" w:lineRule="auto"/>
              <w:ind w:firstLine="0"/>
              <w:jc w:val="left"/>
              <w:rPr>
                <w:szCs w:val="24"/>
              </w:rPr>
            </w:pPr>
            <w:r w:rsidRPr="002F4348">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06675D7E" w14:textId="77777777" w:rsidR="003E2397" w:rsidRPr="002F4348" w:rsidRDefault="003E2397" w:rsidP="003E2397">
            <w:pPr>
              <w:spacing w:line="240" w:lineRule="auto"/>
              <w:ind w:firstLine="0"/>
              <w:jc w:val="left"/>
              <w:rPr>
                <w:szCs w:val="24"/>
              </w:rPr>
            </w:pPr>
            <w:r w:rsidRPr="002F4348">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467A4C91" w14:textId="77777777" w:rsidR="003E2397" w:rsidRPr="002F4348" w:rsidRDefault="003E2397" w:rsidP="003E2397">
            <w:pPr>
              <w:spacing w:line="240" w:lineRule="auto"/>
              <w:ind w:firstLine="0"/>
              <w:jc w:val="left"/>
              <w:rPr>
                <w:szCs w:val="24"/>
              </w:rPr>
            </w:pPr>
            <w:r w:rsidRPr="002F4348">
              <w:rPr>
                <w:szCs w:val="24"/>
              </w:rPr>
              <w:t>Дни введения</w:t>
            </w:r>
          </w:p>
        </w:tc>
      </w:tr>
      <w:tr w:rsidR="003E2397" w:rsidRPr="002F4348" w14:paraId="7A7BF7E9"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hideMark/>
          </w:tcPr>
          <w:p w14:paraId="6C542EED" w14:textId="77777777" w:rsidR="003E2397" w:rsidRPr="002F4348" w:rsidRDefault="003E2397" w:rsidP="003E2397">
            <w:pPr>
              <w:spacing w:line="240" w:lineRule="auto"/>
              <w:ind w:firstLine="0"/>
              <w:jc w:val="left"/>
              <w:rPr>
                <w:szCs w:val="24"/>
              </w:rPr>
            </w:pPr>
            <w:r w:rsidRPr="002F4348">
              <w:rPr>
                <w:szCs w:val="24"/>
              </w:rPr>
              <w:t>Циклофосфамид</w:t>
            </w:r>
            <w:r w:rsidR="00D254F2" w:rsidRPr="002F4348">
              <w:rPr>
                <w:szCs w:val="24"/>
              </w:rPr>
              <w:t>**</w:t>
            </w:r>
          </w:p>
        </w:tc>
        <w:tc>
          <w:tcPr>
            <w:tcW w:w="2339" w:type="dxa"/>
            <w:tcBorders>
              <w:top w:val="single" w:sz="4" w:space="0" w:color="auto"/>
              <w:left w:val="single" w:sz="4" w:space="0" w:color="auto"/>
              <w:bottom w:val="single" w:sz="4" w:space="0" w:color="auto"/>
              <w:right w:val="single" w:sz="4" w:space="0" w:color="auto"/>
            </w:tcBorders>
          </w:tcPr>
          <w:p w14:paraId="749922FF" w14:textId="77777777" w:rsidR="003E2397" w:rsidRPr="002F4348" w:rsidRDefault="003E2397" w:rsidP="003E2397">
            <w:pPr>
              <w:spacing w:line="240" w:lineRule="auto"/>
              <w:ind w:firstLine="0"/>
              <w:jc w:val="left"/>
              <w:rPr>
                <w:szCs w:val="24"/>
              </w:rPr>
            </w:pPr>
            <w:r w:rsidRPr="002F4348">
              <w:rPr>
                <w:szCs w:val="24"/>
              </w:rPr>
              <w:t>600 мг/м</w:t>
            </w:r>
            <w:r w:rsidRPr="002F4348">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31E075DE" w14:textId="77777777" w:rsidR="003E2397" w:rsidRPr="002F4348" w:rsidRDefault="003E2397" w:rsidP="003E2397">
            <w:pPr>
              <w:spacing w:line="240" w:lineRule="auto"/>
              <w:ind w:firstLine="0"/>
              <w:jc w:val="left"/>
              <w:rPr>
                <w:szCs w:val="24"/>
              </w:rPr>
            </w:pPr>
            <w:r w:rsidRPr="002F4348">
              <w:rPr>
                <w:szCs w:val="24"/>
              </w:rPr>
              <w:t>в/в</w:t>
            </w:r>
          </w:p>
        </w:tc>
        <w:tc>
          <w:tcPr>
            <w:tcW w:w="2339" w:type="dxa"/>
            <w:tcBorders>
              <w:top w:val="single" w:sz="4" w:space="0" w:color="auto"/>
              <w:left w:val="single" w:sz="4" w:space="0" w:color="auto"/>
              <w:bottom w:val="single" w:sz="4" w:space="0" w:color="auto"/>
              <w:right w:val="single" w:sz="4" w:space="0" w:color="auto"/>
            </w:tcBorders>
          </w:tcPr>
          <w:p w14:paraId="0B16886A" w14:textId="77777777" w:rsidR="003E2397" w:rsidRPr="002F4348" w:rsidRDefault="003E2397" w:rsidP="003E2397">
            <w:pPr>
              <w:spacing w:line="240" w:lineRule="auto"/>
              <w:ind w:firstLine="0"/>
              <w:jc w:val="left"/>
              <w:rPr>
                <w:szCs w:val="24"/>
              </w:rPr>
            </w:pPr>
            <w:r w:rsidRPr="002F4348">
              <w:rPr>
                <w:szCs w:val="24"/>
              </w:rPr>
              <w:t>1, 8</w:t>
            </w:r>
          </w:p>
        </w:tc>
      </w:tr>
      <w:tr w:rsidR="00B006A6" w:rsidRPr="002F4348" w14:paraId="0A9D883C"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hideMark/>
          </w:tcPr>
          <w:p w14:paraId="00E2A8B3" w14:textId="77777777" w:rsidR="00B006A6" w:rsidRPr="002F4348" w:rsidRDefault="00B006A6" w:rsidP="00B006A6">
            <w:pPr>
              <w:spacing w:line="240" w:lineRule="auto"/>
              <w:ind w:firstLine="0"/>
              <w:jc w:val="left"/>
              <w:rPr>
                <w:szCs w:val="24"/>
              </w:rPr>
            </w:pPr>
            <w:r w:rsidRPr="002F4348">
              <w:rPr>
                <w:szCs w:val="24"/>
              </w:rPr>
              <w:t>Прокарбазин**</w:t>
            </w:r>
          </w:p>
        </w:tc>
        <w:tc>
          <w:tcPr>
            <w:tcW w:w="2339" w:type="dxa"/>
            <w:tcBorders>
              <w:top w:val="single" w:sz="4" w:space="0" w:color="auto"/>
              <w:left w:val="single" w:sz="4" w:space="0" w:color="auto"/>
              <w:bottom w:val="single" w:sz="4" w:space="0" w:color="auto"/>
              <w:right w:val="single" w:sz="4" w:space="0" w:color="auto"/>
            </w:tcBorders>
            <w:hideMark/>
          </w:tcPr>
          <w:p w14:paraId="126E82AB" w14:textId="77777777" w:rsidR="00B006A6" w:rsidRPr="002F4348" w:rsidRDefault="00B006A6" w:rsidP="00B006A6">
            <w:pPr>
              <w:spacing w:line="240" w:lineRule="auto"/>
              <w:ind w:firstLine="0"/>
              <w:jc w:val="left"/>
              <w:rPr>
                <w:szCs w:val="24"/>
                <w:vertAlign w:val="subscript"/>
              </w:rPr>
            </w:pPr>
            <w:r w:rsidRPr="002F4348">
              <w:rPr>
                <w:szCs w:val="24"/>
              </w:rPr>
              <w:t>100 мг/м</w:t>
            </w:r>
            <w:r w:rsidRPr="002F4348">
              <w:rPr>
                <w:szCs w:val="24"/>
                <w:vertAlign w:val="superscript"/>
              </w:rPr>
              <w:t xml:space="preserve">2 </w:t>
            </w:r>
            <w:r w:rsidRPr="002F4348">
              <w:rPr>
                <w:szCs w:val="24"/>
                <w:vertAlign w:val="superscript"/>
              </w:rPr>
              <w:softHyphen/>
            </w:r>
          </w:p>
        </w:tc>
        <w:tc>
          <w:tcPr>
            <w:tcW w:w="2339" w:type="dxa"/>
            <w:tcBorders>
              <w:top w:val="single" w:sz="4" w:space="0" w:color="auto"/>
              <w:left w:val="single" w:sz="4" w:space="0" w:color="auto"/>
              <w:bottom w:val="single" w:sz="4" w:space="0" w:color="auto"/>
              <w:right w:val="single" w:sz="4" w:space="0" w:color="auto"/>
            </w:tcBorders>
            <w:hideMark/>
          </w:tcPr>
          <w:p w14:paraId="349790F9" w14:textId="77777777" w:rsidR="00B006A6" w:rsidRPr="002F4348" w:rsidRDefault="00B006A6" w:rsidP="00B006A6">
            <w:pPr>
              <w:spacing w:line="240" w:lineRule="auto"/>
              <w:ind w:firstLine="0"/>
              <w:jc w:val="left"/>
              <w:rPr>
                <w:szCs w:val="24"/>
              </w:rPr>
            </w:pPr>
            <w:r w:rsidRPr="002F4348">
              <w:rPr>
                <w:szCs w:val="24"/>
              </w:rPr>
              <w:t>Внутрь</w:t>
            </w:r>
          </w:p>
        </w:tc>
        <w:tc>
          <w:tcPr>
            <w:tcW w:w="2339" w:type="dxa"/>
            <w:tcBorders>
              <w:top w:val="single" w:sz="4" w:space="0" w:color="auto"/>
              <w:left w:val="single" w:sz="4" w:space="0" w:color="auto"/>
              <w:bottom w:val="single" w:sz="4" w:space="0" w:color="auto"/>
              <w:right w:val="single" w:sz="4" w:space="0" w:color="auto"/>
            </w:tcBorders>
            <w:hideMark/>
          </w:tcPr>
          <w:p w14:paraId="35A15DF0" w14:textId="77777777" w:rsidR="00B006A6" w:rsidRPr="002F4348" w:rsidRDefault="00B006A6" w:rsidP="00B006A6">
            <w:pPr>
              <w:spacing w:line="240" w:lineRule="auto"/>
              <w:ind w:firstLine="0"/>
              <w:jc w:val="left"/>
              <w:rPr>
                <w:szCs w:val="24"/>
              </w:rPr>
            </w:pPr>
            <w:r w:rsidRPr="002F4348">
              <w:rPr>
                <w:szCs w:val="24"/>
              </w:rPr>
              <w:t>1-14</w:t>
            </w:r>
          </w:p>
        </w:tc>
      </w:tr>
      <w:tr w:rsidR="003E2397" w:rsidRPr="002F4348" w14:paraId="37F33399"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58801EE4" w14:textId="77777777" w:rsidR="003E2397" w:rsidRPr="002F4348" w:rsidRDefault="003E2397" w:rsidP="003E2397">
            <w:pPr>
              <w:spacing w:line="240" w:lineRule="auto"/>
              <w:ind w:firstLine="0"/>
              <w:jc w:val="left"/>
              <w:rPr>
                <w:szCs w:val="24"/>
              </w:rPr>
            </w:pPr>
            <w:r w:rsidRPr="002F4348">
              <w:rPr>
                <w:szCs w:val="24"/>
              </w:rPr>
              <w:t>Винбластин</w:t>
            </w:r>
            <w:r w:rsidR="00D254F2" w:rsidRPr="002F4348">
              <w:rPr>
                <w:szCs w:val="24"/>
              </w:rPr>
              <w:t>**</w:t>
            </w:r>
          </w:p>
        </w:tc>
        <w:tc>
          <w:tcPr>
            <w:tcW w:w="2339" w:type="dxa"/>
            <w:tcBorders>
              <w:top w:val="single" w:sz="4" w:space="0" w:color="auto"/>
              <w:left w:val="single" w:sz="4" w:space="0" w:color="auto"/>
              <w:bottom w:val="single" w:sz="4" w:space="0" w:color="auto"/>
              <w:right w:val="single" w:sz="4" w:space="0" w:color="auto"/>
            </w:tcBorders>
          </w:tcPr>
          <w:p w14:paraId="462DFA67" w14:textId="77777777" w:rsidR="003E2397" w:rsidRPr="002F4348" w:rsidRDefault="003E2397" w:rsidP="003E2397">
            <w:pPr>
              <w:spacing w:line="240" w:lineRule="auto"/>
              <w:ind w:firstLine="0"/>
              <w:jc w:val="left"/>
              <w:rPr>
                <w:szCs w:val="24"/>
              </w:rPr>
            </w:pPr>
            <w:r w:rsidRPr="002F4348">
              <w:rPr>
                <w:szCs w:val="24"/>
              </w:rPr>
              <w:t>6 мг/м</w:t>
            </w:r>
            <w:r w:rsidRPr="002F4348">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6CEC18A2" w14:textId="77777777" w:rsidR="003E2397" w:rsidRPr="002F4348" w:rsidRDefault="003E2397" w:rsidP="003E2397">
            <w:pPr>
              <w:spacing w:line="240" w:lineRule="auto"/>
              <w:ind w:firstLine="0"/>
              <w:jc w:val="left"/>
              <w:rPr>
                <w:szCs w:val="24"/>
              </w:rPr>
            </w:pPr>
            <w:r w:rsidRPr="002F4348">
              <w:rPr>
                <w:szCs w:val="24"/>
              </w:rPr>
              <w:t>в/в</w:t>
            </w:r>
          </w:p>
        </w:tc>
        <w:tc>
          <w:tcPr>
            <w:tcW w:w="2339" w:type="dxa"/>
            <w:tcBorders>
              <w:top w:val="single" w:sz="4" w:space="0" w:color="auto"/>
              <w:left w:val="single" w:sz="4" w:space="0" w:color="auto"/>
              <w:bottom w:val="single" w:sz="4" w:space="0" w:color="auto"/>
              <w:right w:val="single" w:sz="4" w:space="0" w:color="auto"/>
            </w:tcBorders>
          </w:tcPr>
          <w:p w14:paraId="3879E92D" w14:textId="77777777" w:rsidR="003E2397" w:rsidRPr="002F4348" w:rsidRDefault="003E2397" w:rsidP="003E2397">
            <w:pPr>
              <w:spacing w:line="240" w:lineRule="auto"/>
              <w:ind w:firstLine="0"/>
              <w:jc w:val="left"/>
              <w:rPr>
                <w:szCs w:val="24"/>
              </w:rPr>
            </w:pPr>
            <w:r w:rsidRPr="002F4348">
              <w:rPr>
                <w:szCs w:val="24"/>
              </w:rPr>
              <w:t>1, 8</w:t>
            </w:r>
          </w:p>
        </w:tc>
      </w:tr>
      <w:tr w:rsidR="003E2397" w:rsidRPr="002F4348" w14:paraId="5DF9667E"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080F3CAB" w14:textId="77777777" w:rsidR="003E2397" w:rsidRPr="002F4348" w:rsidRDefault="003E2397" w:rsidP="003E2397">
            <w:pPr>
              <w:spacing w:line="240" w:lineRule="auto"/>
              <w:ind w:firstLine="0"/>
              <w:jc w:val="left"/>
              <w:rPr>
                <w:szCs w:val="24"/>
              </w:rPr>
            </w:pPr>
            <w:r w:rsidRPr="002F4348">
              <w:rPr>
                <w:szCs w:val="24"/>
              </w:rPr>
              <w:t>Преднилозон</w:t>
            </w:r>
            <w:r w:rsidR="00D254F2" w:rsidRPr="002F4348">
              <w:rPr>
                <w:szCs w:val="24"/>
              </w:rPr>
              <w:t>**</w:t>
            </w:r>
          </w:p>
        </w:tc>
        <w:tc>
          <w:tcPr>
            <w:tcW w:w="2339" w:type="dxa"/>
            <w:tcBorders>
              <w:top w:val="single" w:sz="4" w:space="0" w:color="auto"/>
              <w:left w:val="single" w:sz="4" w:space="0" w:color="auto"/>
              <w:bottom w:val="single" w:sz="4" w:space="0" w:color="auto"/>
              <w:right w:val="single" w:sz="4" w:space="0" w:color="auto"/>
            </w:tcBorders>
          </w:tcPr>
          <w:p w14:paraId="4B97158E" w14:textId="77777777" w:rsidR="003E2397" w:rsidRPr="002F4348" w:rsidRDefault="003E2397" w:rsidP="003E2397">
            <w:pPr>
              <w:spacing w:line="240" w:lineRule="auto"/>
              <w:ind w:firstLine="0"/>
              <w:jc w:val="left"/>
              <w:rPr>
                <w:szCs w:val="24"/>
              </w:rPr>
            </w:pPr>
            <w:r w:rsidRPr="002F4348">
              <w:rPr>
                <w:szCs w:val="24"/>
              </w:rPr>
              <w:t>40 мг/м</w:t>
            </w:r>
            <w:r w:rsidRPr="002F4348">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7E22D394" w14:textId="77777777" w:rsidR="003E2397" w:rsidRPr="002F4348" w:rsidRDefault="003E2397" w:rsidP="003E2397">
            <w:pPr>
              <w:spacing w:line="240" w:lineRule="auto"/>
              <w:ind w:firstLine="0"/>
              <w:jc w:val="left"/>
              <w:rPr>
                <w:szCs w:val="24"/>
              </w:rPr>
            </w:pPr>
            <w:r w:rsidRPr="002F4348">
              <w:rPr>
                <w:szCs w:val="24"/>
              </w:rPr>
              <w:t>внутрь</w:t>
            </w:r>
          </w:p>
        </w:tc>
        <w:tc>
          <w:tcPr>
            <w:tcW w:w="2339" w:type="dxa"/>
            <w:tcBorders>
              <w:top w:val="single" w:sz="4" w:space="0" w:color="auto"/>
              <w:left w:val="single" w:sz="4" w:space="0" w:color="auto"/>
              <w:bottom w:val="single" w:sz="4" w:space="0" w:color="auto"/>
              <w:right w:val="single" w:sz="4" w:space="0" w:color="auto"/>
            </w:tcBorders>
          </w:tcPr>
          <w:p w14:paraId="191BE3A8" w14:textId="77777777" w:rsidR="003E2397" w:rsidRPr="002F4348" w:rsidRDefault="003E2397" w:rsidP="003E2397">
            <w:pPr>
              <w:spacing w:line="240" w:lineRule="auto"/>
              <w:ind w:firstLine="0"/>
              <w:jc w:val="left"/>
              <w:rPr>
                <w:szCs w:val="24"/>
              </w:rPr>
            </w:pPr>
            <w:r w:rsidRPr="002F4348">
              <w:rPr>
                <w:szCs w:val="24"/>
              </w:rPr>
              <w:t>1-14</w:t>
            </w:r>
          </w:p>
        </w:tc>
      </w:tr>
      <w:tr w:rsidR="003E2397" w:rsidRPr="002F4348" w14:paraId="2F35F614" w14:textId="77777777" w:rsidTr="003E2397">
        <w:tc>
          <w:tcPr>
            <w:tcW w:w="9356" w:type="dxa"/>
            <w:gridSpan w:val="4"/>
            <w:tcBorders>
              <w:top w:val="single" w:sz="4" w:space="0" w:color="auto"/>
              <w:left w:val="single" w:sz="4" w:space="0" w:color="auto"/>
              <w:bottom w:val="single" w:sz="4" w:space="0" w:color="auto"/>
              <w:right w:val="single" w:sz="4" w:space="0" w:color="auto"/>
            </w:tcBorders>
            <w:vAlign w:val="center"/>
          </w:tcPr>
          <w:p w14:paraId="43DDCE09" w14:textId="77777777" w:rsidR="003E2397" w:rsidRPr="002F4348" w:rsidRDefault="003E2397" w:rsidP="003E2397">
            <w:pPr>
              <w:spacing w:line="240" w:lineRule="auto"/>
              <w:ind w:firstLine="0"/>
              <w:jc w:val="left"/>
              <w:rPr>
                <w:szCs w:val="24"/>
              </w:rPr>
            </w:pPr>
            <w:r w:rsidRPr="002F4348">
              <w:rPr>
                <w:szCs w:val="24"/>
              </w:rPr>
              <w:t>Лечение возобновляется на 29 день</w:t>
            </w:r>
          </w:p>
        </w:tc>
      </w:tr>
    </w:tbl>
    <w:p w14:paraId="442E29B1" w14:textId="77777777" w:rsidR="003E2397" w:rsidRPr="002F4348" w:rsidRDefault="003E2397" w:rsidP="002648A0">
      <w:pPr>
        <w:ind w:left="709" w:firstLine="0"/>
      </w:pPr>
    </w:p>
    <w:tbl>
      <w:tblPr>
        <w:tblStyle w:val="aff9"/>
        <w:tblW w:w="9356" w:type="dxa"/>
        <w:tblInd w:w="-5" w:type="dxa"/>
        <w:tblLayout w:type="fixed"/>
        <w:tblLook w:val="04A0" w:firstRow="1" w:lastRow="0" w:firstColumn="1" w:lastColumn="0" w:noHBand="0" w:noVBand="1"/>
      </w:tblPr>
      <w:tblGrid>
        <w:gridCol w:w="2339"/>
        <w:gridCol w:w="2339"/>
        <w:gridCol w:w="2339"/>
        <w:gridCol w:w="2339"/>
      </w:tblGrid>
      <w:tr w:rsidR="00D977B1" w:rsidRPr="002F4348" w14:paraId="05B5B5A6" w14:textId="77777777" w:rsidTr="004C0214">
        <w:trPr>
          <w:trHeight w:val="329"/>
        </w:trPr>
        <w:tc>
          <w:tcPr>
            <w:tcW w:w="9356" w:type="dxa"/>
            <w:gridSpan w:val="4"/>
            <w:tcBorders>
              <w:top w:val="nil"/>
              <w:left w:val="nil"/>
              <w:bottom w:val="single" w:sz="4" w:space="0" w:color="auto"/>
              <w:right w:val="nil"/>
            </w:tcBorders>
          </w:tcPr>
          <w:p w14:paraId="3A024FA1" w14:textId="084F78AC" w:rsidR="00D977B1" w:rsidRPr="002F4348" w:rsidRDefault="00D977B1" w:rsidP="004C0214">
            <w:pPr>
              <w:spacing w:line="240" w:lineRule="auto"/>
              <w:ind w:firstLine="0"/>
              <w:jc w:val="left"/>
              <w:rPr>
                <w:b/>
                <w:bCs/>
                <w:szCs w:val="24"/>
              </w:rPr>
            </w:pPr>
            <w:r w:rsidRPr="002F4348">
              <w:rPr>
                <w:b/>
                <w:bCs/>
                <w:szCs w:val="24"/>
                <w:lang w:val="en-US"/>
              </w:rPr>
              <w:t>COPP</w:t>
            </w:r>
            <w:r w:rsidR="00EC281E" w:rsidRPr="002F4348">
              <w:rPr>
                <w:b/>
                <w:bCs/>
                <w:szCs w:val="24"/>
              </w:rPr>
              <w:t xml:space="preserve"> </w:t>
            </w:r>
            <w:r w:rsidR="00EC281E" w:rsidRPr="002F4348">
              <w:rPr>
                <w:b/>
                <w:bCs/>
                <w:szCs w:val="24"/>
                <w:lang w:val="en-US"/>
              </w:rPr>
              <w:fldChar w:fldCharType="begin" w:fldLock="1"/>
            </w:r>
            <w:r w:rsidR="00053AE8">
              <w:rPr>
                <w:b/>
                <w:bCs/>
                <w:szCs w:val="24"/>
                <w:lang w:val="en-US"/>
              </w:rPr>
              <w:instrText>ADDIN</w:instrText>
            </w:r>
            <w:r w:rsidR="00053AE8" w:rsidRPr="002B3AE7">
              <w:rPr>
                <w:b/>
                <w:bCs/>
                <w:szCs w:val="24"/>
              </w:rPr>
              <w:instrText xml:space="preserve"> </w:instrText>
            </w:r>
            <w:r w:rsidR="00053AE8">
              <w:rPr>
                <w:b/>
                <w:bCs/>
                <w:szCs w:val="24"/>
                <w:lang w:val="en-US"/>
              </w:rPr>
              <w:instrText>CSL</w:instrText>
            </w:r>
            <w:r w:rsidR="00053AE8" w:rsidRPr="002B3AE7">
              <w:rPr>
                <w:b/>
                <w:bCs/>
                <w:szCs w:val="24"/>
              </w:rPr>
              <w:instrText>_</w:instrText>
            </w:r>
            <w:r w:rsidR="00053AE8">
              <w:rPr>
                <w:b/>
                <w:bCs/>
                <w:szCs w:val="24"/>
                <w:lang w:val="en-US"/>
              </w:rPr>
              <w:instrText>CITATION</w:instrText>
            </w:r>
            <w:r w:rsidR="00053AE8" w:rsidRPr="002B3AE7">
              <w:rPr>
                <w:b/>
                <w:bCs/>
                <w:szCs w:val="24"/>
              </w:rPr>
              <w:instrText xml:space="preserve"> {"</w:instrText>
            </w:r>
            <w:r w:rsidR="00053AE8">
              <w:rPr>
                <w:b/>
                <w:bCs/>
                <w:szCs w:val="24"/>
                <w:lang w:val="en-US"/>
              </w:rPr>
              <w:instrText>citationItems</w:instrText>
            </w:r>
            <w:r w:rsidR="00053AE8" w:rsidRPr="002B3AE7">
              <w:rPr>
                <w:b/>
                <w:bCs/>
                <w:szCs w:val="24"/>
              </w:rPr>
              <w:instrText>":[{"</w:instrText>
            </w:r>
            <w:r w:rsidR="00053AE8">
              <w:rPr>
                <w:b/>
                <w:bCs/>
                <w:szCs w:val="24"/>
                <w:lang w:val="en-US"/>
              </w:rPr>
              <w:instrText>id</w:instrText>
            </w:r>
            <w:r w:rsidR="00053AE8" w:rsidRPr="002B3AE7">
              <w:rPr>
                <w:b/>
                <w:bCs/>
                <w:szCs w:val="24"/>
              </w:rPr>
              <w:instrText>":"</w:instrText>
            </w:r>
            <w:r w:rsidR="00053AE8">
              <w:rPr>
                <w:b/>
                <w:bCs/>
                <w:szCs w:val="24"/>
                <w:lang w:val="en-US"/>
              </w:rPr>
              <w:instrText>ITEM</w:instrText>
            </w:r>
            <w:r w:rsidR="00053AE8" w:rsidRPr="002B3AE7">
              <w:rPr>
                <w:b/>
                <w:bCs/>
                <w:szCs w:val="24"/>
              </w:rPr>
              <w:instrText>-1","</w:instrText>
            </w:r>
            <w:r w:rsidR="00053AE8">
              <w:rPr>
                <w:b/>
                <w:bCs/>
                <w:szCs w:val="24"/>
                <w:lang w:val="en-US"/>
              </w:rPr>
              <w:instrText>itemData</w:instrText>
            </w:r>
            <w:r w:rsidR="00053AE8" w:rsidRPr="002B3AE7">
              <w:rPr>
                <w:b/>
                <w:bCs/>
                <w:szCs w:val="24"/>
              </w:rPr>
              <w:instrText>":{"</w:instrText>
            </w:r>
            <w:r w:rsidR="00053AE8">
              <w:rPr>
                <w:b/>
                <w:bCs/>
                <w:szCs w:val="24"/>
                <w:lang w:val="en-US"/>
              </w:rPr>
              <w:instrText>DOI</w:instrText>
            </w:r>
            <w:r w:rsidR="00053AE8" w:rsidRPr="002B3AE7">
              <w:rPr>
                <w:b/>
                <w:bCs/>
                <w:szCs w:val="24"/>
              </w:rPr>
              <w:instrText>":"10.1093/</w:instrText>
            </w:r>
            <w:r w:rsidR="00053AE8">
              <w:rPr>
                <w:b/>
                <w:bCs/>
                <w:szCs w:val="24"/>
                <w:lang w:val="en-US"/>
              </w:rPr>
              <w:instrText>annonc</w:instrText>
            </w:r>
            <w:r w:rsidR="00053AE8" w:rsidRPr="002B3AE7">
              <w:rPr>
                <w:b/>
                <w:bCs/>
                <w:szCs w:val="24"/>
              </w:rPr>
              <w:instrText>/</w:instrText>
            </w:r>
            <w:r w:rsidR="00053AE8">
              <w:rPr>
                <w:b/>
                <w:bCs/>
                <w:szCs w:val="24"/>
                <w:lang w:val="en-US"/>
              </w:rPr>
              <w:instrText>mdh</w:instrText>
            </w:r>
            <w:r w:rsidR="00053AE8" w:rsidRPr="002B3AE7">
              <w:rPr>
                <w:b/>
                <w:bCs/>
                <w:szCs w:val="24"/>
              </w:rPr>
              <w:instrText>046","</w:instrText>
            </w:r>
            <w:r w:rsidR="00053AE8">
              <w:rPr>
                <w:b/>
                <w:bCs/>
                <w:szCs w:val="24"/>
                <w:lang w:val="en-US"/>
              </w:rPr>
              <w:instrText>ISSN</w:instrText>
            </w:r>
            <w:r w:rsidR="00053AE8" w:rsidRPr="002B3AE7">
              <w:rPr>
                <w:b/>
                <w:bCs/>
                <w:szCs w:val="24"/>
              </w:rPr>
              <w:instrText>":"0923-7534","</w:instrText>
            </w:r>
            <w:r w:rsidR="00053AE8">
              <w:rPr>
                <w:b/>
                <w:bCs/>
                <w:szCs w:val="24"/>
                <w:lang w:val="en-US"/>
              </w:rPr>
              <w:instrText>PMID</w:instrText>
            </w:r>
            <w:r w:rsidR="00053AE8" w:rsidRPr="002B3AE7">
              <w:rPr>
                <w:b/>
                <w:bCs/>
                <w:szCs w:val="24"/>
              </w:rPr>
              <w:instrText>":"14760122","</w:instrText>
            </w:r>
            <w:r w:rsidR="00053AE8">
              <w:rPr>
                <w:b/>
                <w:bCs/>
                <w:szCs w:val="24"/>
                <w:lang w:val="en-US"/>
              </w:rPr>
              <w:instrText>abstract</w:instrText>
            </w:r>
            <w:r w:rsidR="00053AE8" w:rsidRPr="002B3AE7">
              <w:rPr>
                <w:b/>
                <w:bCs/>
                <w:szCs w:val="24"/>
              </w:rPr>
              <w:instrText>":"</w:instrText>
            </w:r>
            <w:r w:rsidR="00053AE8">
              <w:rPr>
                <w:b/>
                <w:bCs/>
                <w:szCs w:val="24"/>
                <w:lang w:val="en-US"/>
              </w:rPr>
              <w:instrText>BACKGROUND</w:instrText>
            </w:r>
            <w:r w:rsidR="00053AE8" w:rsidRPr="002B3AE7">
              <w:rPr>
                <w:b/>
                <w:bCs/>
                <w:szCs w:val="24"/>
              </w:rPr>
              <w:instrText xml:space="preserve"> </w:instrText>
            </w:r>
            <w:r w:rsidR="00053AE8">
              <w:rPr>
                <w:b/>
                <w:bCs/>
                <w:szCs w:val="24"/>
                <w:lang w:val="en-US"/>
              </w:rPr>
              <w:instrText>The</w:instrText>
            </w:r>
            <w:r w:rsidR="00053AE8" w:rsidRPr="002B3AE7">
              <w:rPr>
                <w:b/>
                <w:bCs/>
                <w:szCs w:val="24"/>
              </w:rPr>
              <w:instrText xml:space="preserve"> </w:instrText>
            </w:r>
            <w:r w:rsidR="00053AE8">
              <w:rPr>
                <w:b/>
                <w:bCs/>
                <w:szCs w:val="24"/>
                <w:lang w:val="en-US"/>
              </w:rPr>
              <w:instrText>purpose</w:instrText>
            </w:r>
            <w:r w:rsidR="00053AE8" w:rsidRPr="002B3AE7">
              <w:rPr>
                <w:b/>
                <w:bCs/>
                <w:szCs w:val="24"/>
              </w:rPr>
              <w:instrText xml:space="preserve"> </w:instrText>
            </w:r>
            <w:r w:rsidR="00053AE8">
              <w:rPr>
                <w:b/>
                <w:bCs/>
                <w:szCs w:val="24"/>
                <w:lang w:val="en-US"/>
              </w:rPr>
              <w:instrText>of</w:instrText>
            </w:r>
            <w:r w:rsidR="00053AE8" w:rsidRPr="002B3AE7">
              <w:rPr>
                <w:b/>
                <w:bCs/>
                <w:szCs w:val="24"/>
              </w:rPr>
              <w:instrText xml:space="preserve"> </w:instrText>
            </w:r>
            <w:r w:rsidR="00053AE8">
              <w:rPr>
                <w:b/>
                <w:bCs/>
                <w:szCs w:val="24"/>
                <w:lang w:val="en-US"/>
              </w:rPr>
              <w:instrText>this</w:instrText>
            </w:r>
            <w:r w:rsidR="00053AE8" w:rsidRPr="002B3AE7">
              <w:rPr>
                <w:b/>
                <w:bCs/>
                <w:szCs w:val="24"/>
              </w:rPr>
              <w:instrText xml:space="preserve"> </w:instrText>
            </w:r>
            <w:r w:rsidR="00053AE8">
              <w:rPr>
                <w:b/>
                <w:bCs/>
                <w:szCs w:val="24"/>
                <w:lang w:val="en-US"/>
              </w:rPr>
              <w:instrText>study</w:instrText>
            </w:r>
            <w:r w:rsidR="00053AE8" w:rsidRPr="002B3AE7">
              <w:rPr>
                <w:b/>
                <w:bCs/>
                <w:szCs w:val="24"/>
              </w:rPr>
              <w:instrText xml:space="preserve"> </w:instrText>
            </w:r>
            <w:r w:rsidR="00053AE8">
              <w:rPr>
                <w:b/>
                <w:bCs/>
                <w:szCs w:val="24"/>
                <w:lang w:val="en-US"/>
              </w:rPr>
              <w:instrText>was</w:instrText>
            </w:r>
            <w:r w:rsidR="00053AE8" w:rsidRPr="002B3AE7">
              <w:rPr>
                <w:b/>
                <w:bCs/>
                <w:szCs w:val="24"/>
              </w:rPr>
              <w:instrText xml:space="preserve"> </w:instrText>
            </w:r>
            <w:r w:rsidR="00053AE8">
              <w:rPr>
                <w:b/>
                <w:bCs/>
                <w:szCs w:val="24"/>
                <w:lang w:val="en-US"/>
              </w:rPr>
              <w:instrText>to</w:instrText>
            </w:r>
            <w:r w:rsidR="00053AE8" w:rsidRPr="002B3AE7">
              <w:rPr>
                <w:b/>
                <w:bCs/>
                <w:szCs w:val="24"/>
              </w:rPr>
              <w:instrText xml:space="preserve"> </w:instrText>
            </w:r>
            <w:r w:rsidR="00053AE8">
              <w:rPr>
                <w:b/>
                <w:bCs/>
                <w:szCs w:val="24"/>
                <w:lang w:val="en-US"/>
              </w:rPr>
              <w:instrText>compare</w:instrText>
            </w:r>
            <w:r w:rsidR="00053AE8" w:rsidRPr="002B3AE7">
              <w:rPr>
                <w:b/>
                <w:bCs/>
                <w:szCs w:val="24"/>
              </w:rPr>
              <w:instrText xml:space="preserve"> </w:instrText>
            </w:r>
            <w:r w:rsidR="00053AE8">
              <w:rPr>
                <w:b/>
                <w:bCs/>
                <w:szCs w:val="24"/>
                <w:lang w:val="en-US"/>
              </w:rPr>
              <w:instrText>the</w:instrText>
            </w:r>
            <w:r w:rsidR="00053AE8" w:rsidRPr="002B3AE7">
              <w:rPr>
                <w:b/>
                <w:bCs/>
                <w:szCs w:val="24"/>
              </w:rPr>
              <w:instrText xml:space="preserve"> </w:instrText>
            </w:r>
            <w:r w:rsidR="00053AE8">
              <w:rPr>
                <w:b/>
                <w:bCs/>
                <w:szCs w:val="24"/>
                <w:lang w:val="en-US"/>
              </w:rPr>
              <w:instrText>efficacy</w:instrText>
            </w:r>
            <w:r w:rsidR="00053AE8" w:rsidRPr="002B3AE7">
              <w:rPr>
                <w:b/>
                <w:bCs/>
                <w:szCs w:val="24"/>
              </w:rPr>
              <w:instrText xml:space="preserve"> </w:instrText>
            </w:r>
            <w:r w:rsidR="00053AE8">
              <w:rPr>
                <w:b/>
                <w:bCs/>
                <w:szCs w:val="24"/>
                <w:lang w:val="en-US"/>
              </w:rPr>
              <w:instrText>of</w:instrText>
            </w:r>
            <w:r w:rsidR="00053AE8" w:rsidRPr="002B3AE7">
              <w:rPr>
                <w:b/>
                <w:bCs/>
                <w:szCs w:val="24"/>
              </w:rPr>
              <w:instrText xml:space="preserve"> </w:instrText>
            </w:r>
            <w:r w:rsidR="00053AE8">
              <w:rPr>
                <w:b/>
                <w:bCs/>
                <w:szCs w:val="24"/>
                <w:lang w:val="en-US"/>
              </w:rPr>
              <w:instrText>the</w:instrText>
            </w:r>
            <w:r w:rsidR="00053AE8" w:rsidRPr="002B3AE7">
              <w:rPr>
                <w:b/>
                <w:bCs/>
                <w:szCs w:val="24"/>
              </w:rPr>
              <w:instrText xml:space="preserve"> </w:instrText>
            </w:r>
            <w:r w:rsidR="00053AE8">
              <w:rPr>
                <w:b/>
                <w:bCs/>
                <w:szCs w:val="24"/>
                <w:lang w:val="en-US"/>
              </w:rPr>
              <w:instrText>hybrid</w:instrText>
            </w:r>
            <w:r w:rsidR="00053AE8" w:rsidRPr="002B3AE7">
              <w:rPr>
                <w:b/>
                <w:bCs/>
                <w:szCs w:val="24"/>
              </w:rPr>
              <w:instrText xml:space="preserve"> </w:instrText>
            </w:r>
            <w:r w:rsidR="00053AE8">
              <w:rPr>
                <w:b/>
                <w:bCs/>
                <w:szCs w:val="24"/>
                <w:lang w:val="en-US"/>
              </w:rPr>
              <w:instrText>chemotherapeutic</w:instrText>
            </w:r>
            <w:r w:rsidR="00053AE8" w:rsidRPr="002B3AE7">
              <w:rPr>
                <w:b/>
                <w:bCs/>
                <w:szCs w:val="24"/>
              </w:rPr>
              <w:instrText xml:space="preserve"> </w:instrText>
            </w:r>
            <w:r w:rsidR="00053AE8">
              <w:rPr>
                <w:b/>
                <w:bCs/>
                <w:szCs w:val="24"/>
                <w:lang w:val="en-US"/>
              </w:rPr>
              <w:instrText>regimen</w:instrText>
            </w:r>
            <w:r w:rsidR="00053AE8" w:rsidRPr="002B3AE7">
              <w:rPr>
                <w:b/>
                <w:bCs/>
                <w:szCs w:val="24"/>
              </w:rPr>
              <w:instrText xml:space="preserve"> </w:instrText>
            </w:r>
            <w:r w:rsidR="00053AE8">
              <w:rPr>
                <w:b/>
                <w:bCs/>
                <w:szCs w:val="24"/>
                <w:lang w:val="en-US"/>
              </w:rPr>
              <w:instrText>COPP</w:instrText>
            </w:r>
            <w:r w:rsidR="00053AE8" w:rsidRPr="002B3AE7">
              <w:rPr>
                <w:b/>
                <w:bCs/>
                <w:szCs w:val="24"/>
              </w:rPr>
              <w:instrText>/</w:instrText>
            </w:r>
            <w:r w:rsidR="00053AE8">
              <w:rPr>
                <w:b/>
                <w:bCs/>
                <w:szCs w:val="24"/>
                <w:lang w:val="en-US"/>
              </w:rPr>
              <w:instrText>ABV</w:instrText>
            </w:r>
            <w:r w:rsidR="00053AE8" w:rsidRPr="002B3AE7">
              <w:rPr>
                <w:b/>
                <w:bCs/>
                <w:szCs w:val="24"/>
              </w:rPr>
              <w:instrText>/</w:instrText>
            </w:r>
            <w:r w:rsidR="00053AE8">
              <w:rPr>
                <w:b/>
                <w:bCs/>
                <w:szCs w:val="24"/>
                <w:lang w:val="en-US"/>
              </w:rPr>
              <w:instrText>IMEP</w:instrText>
            </w:r>
            <w:r w:rsidR="00053AE8" w:rsidRPr="002B3AE7">
              <w:rPr>
                <w:b/>
                <w:bCs/>
                <w:szCs w:val="24"/>
              </w:rPr>
              <w:instrText xml:space="preserve"> (</w:instrText>
            </w:r>
            <w:r w:rsidR="00053AE8">
              <w:rPr>
                <w:b/>
                <w:bCs/>
                <w:szCs w:val="24"/>
                <w:lang w:val="en-US"/>
              </w:rPr>
              <w:instrText>cyclophosphamide</w:instrText>
            </w:r>
            <w:r w:rsidR="00053AE8" w:rsidRPr="002B3AE7">
              <w:rPr>
                <w:b/>
                <w:bCs/>
                <w:szCs w:val="24"/>
              </w:rPr>
              <w:instrText>-</w:instrText>
            </w:r>
            <w:r w:rsidR="00053AE8">
              <w:rPr>
                <w:b/>
                <w:bCs/>
                <w:szCs w:val="24"/>
                <w:lang w:val="en-US"/>
              </w:rPr>
              <w:instrText>vincristine</w:instrText>
            </w:r>
            <w:r w:rsidR="00053AE8" w:rsidRPr="002B3AE7">
              <w:rPr>
                <w:b/>
                <w:bCs/>
                <w:szCs w:val="24"/>
              </w:rPr>
              <w:instrText>-</w:instrText>
            </w:r>
            <w:r w:rsidR="00053AE8">
              <w:rPr>
                <w:b/>
                <w:bCs/>
                <w:szCs w:val="24"/>
                <w:lang w:val="en-US"/>
              </w:rPr>
              <w:instrText>procarbazine</w:instrText>
            </w:r>
            <w:r w:rsidR="00053AE8" w:rsidRPr="002B3AE7">
              <w:rPr>
                <w:b/>
                <w:bCs/>
                <w:szCs w:val="24"/>
              </w:rPr>
              <w:instrText>-</w:instrText>
            </w:r>
            <w:r w:rsidR="00053AE8">
              <w:rPr>
                <w:b/>
                <w:bCs/>
                <w:szCs w:val="24"/>
                <w:lang w:val="en-US"/>
              </w:rPr>
              <w:instrText>prednisone</w:instrText>
            </w:r>
            <w:r w:rsidR="00053AE8" w:rsidRPr="002B3AE7">
              <w:rPr>
                <w:b/>
                <w:bCs/>
                <w:szCs w:val="24"/>
              </w:rPr>
              <w:instrText>-</w:instrText>
            </w:r>
            <w:r w:rsidR="00053AE8">
              <w:rPr>
                <w:b/>
                <w:bCs/>
                <w:szCs w:val="24"/>
                <w:lang w:val="en-US"/>
              </w:rPr>
              <w:instrText>doxorubicin</w:instrText>
            </w:r>
            <w:r w:rsidR="00053AE8" w:rsidRPr="002B3AE7">
              <w:rPr>
                <w:b/>
                <w:bCs/>
                <w:szCs w:val="24"/>
              </w:rPr>
              <w:instrText>-</w:instrText>
            </w:r>
            <w:r w:rsidR="00053AE8">
              <w:rPr>
                <w:b/>
                <w:bCs/>
                <w:szCs w:val="24"/>
                <w:lang w:val="en-US"/>
              </w:rPr>
              <w:instrText>bleomycin</w:instrText>
            </w:r>
            <w:r w:rsidR="00053AE8" w:rsidRPr="002B3AE7">
              <w:rPr>
                <w:b/>
                <w:bCs/>
                <w:szCs w:val="24"/>
              </w:rPr>
              <w:instrText>-</w:instrText>
            </w:r>
            <w:r w:rsidR="00053AE8">
              <w:rPr>
                <w:b/>
                <w:bCs/>
                <w:szCs w:val="24"/>
                <w:lang w:val="en-US"/>
              </w:rPr>
              <w:instrText>vinblastine</w:instrText>
            </w:r>
            <w:r w:rsidR="00053AE8" w:rsidRPr="002B3AE7">
              <w:rPr>
                <w:b/>
                <w:bCs/>
                <w:szCs w:val="24"/>
              </w:rPr>
              <w:instrText>-</w:instrText>
            </w:r>
            <w:r w:rsidR="00053AE8">
              <w:rPr>
                <w:b/>
                <w:bCs/>
                <w:szCs w:val="24"/>
                <w:lang w:val="en-US"/>
              </w:rPr>
              <w:instrText>ifosfamide</w:instrText>
            </w:r>
            <w:r w:rsidR="00053AE8" w:rsidRPr="002B3AE7">
              <w:rPr>
                <w:b/>
                <w:bCs/>
                <w:szCs w:val="24"/>
              </w:rPr>
              <w:instrText>-</w:instrText>
            </w:r>
            <w:r w:rsidR="00053AE8">
              <w:rPr>
                <w:b/>
                <w:bCs/>
                <w:szCs w:val="24"/>
                <w:lang w:val="en-US"/>
              </w:rPr>
              <w:instrText>methotrexate</w:instrText>
            </w:r>
            <w:r w:rsidR="00053AE8" w:rsidRPr="002B3AE7">
              <w:rPr>
                <w:b/>
                <w:bCs/>
                <w:szCs w:val="24"/>
              </w:rPr>
              <w:instrText>-</w:instrText>
            </w:r>
            <w:r w:rsidR="00053AE8">
              <w:rPr>
                <w:b/>
                <w:bCs/>
                <w:szCs w:val="24"/>
                <w:lang w:val="en-US"/>
              </w:rPr>
              <w:instrText>etoposide</w:instrText>
            </w:r>
            <w:r w:rsidR="00053AE8" w:rsidRPr="002B3AE7">
              <w:rPr>
                <w:b/>
                <w:bCs/>
                <w:szCs w:val="24"/>
              </w:rPr>
              <w:instrText>) (</w:instrText>
            </w:r>
            <w:r w:rsidR="00053AE8">
              <w:rPr>
                <w:b/>
                <w:bCs/>
                <w:szCs w:val="24"/>
                <w:lang w:val="en-US"/>
              </w:rPr>
              <w:instrText>CAI</w:instrText>
            </w:r>
            <w:r w:rsidR="00053AE8" w:rsidRPr="002B3AE7">
              <w:rPr>
                <w:b/>
                <w:bCs/>
                <w:szCs w:val="24"/>
              </w:rPr>
              <w:instrText xml:space="preserve">) </w:instrText>
            </w:r>
            <w:r w:rsidR="00053AE8">
              <w:rPr>
                <w:b/>
                <w:bCs/>
                <w:szCs w:val="24"/>
                <w:lang w:val="en-US"/>
              </w:rPr>
              <w:instrText>with</w:instrText>
            </w:r>
            <w:r w:rsidR="00053AE8" w:rsidRPr="002B3AE7">
              <w:rPr>
                <w:b/>
                <w:bCs/>
                <w:szCs w:val="24"/>
              </w:rPr>
              <w:instrText xml:space="preserve"> </w:instrText>
            </w:r>
            <w:r w:rsidR="00053AE8">
              <w:rPr>
                <w:b/>
                <w:bCs/>
                <w:szCs w:val="24"/>
                <w:lang w:val="en-US"/>
              </w:rPr>
              <w:instrText>that</w:instrText>
            </w:r>
            <w:r w:rsidR="00053AE8" w:rsidRPr="002B3AE7">
              <w:rPr>
                <w:b/>
                <w:bCs/>
                <w:szCs w:val="24"/>
              </w:rPr>
              <w:instrText xml:space="preserve"> </w:instrText>
            </w:r>
            <w:r w:rsidR="00053AE8">
              <w:rPr>
                <w:b/>
                <w:bCs/>
                <w:szCs w:val="24"/>
                <w:lang w:val="en-US"/>
              </w:rPr>
              <w:instrText>of</w:instrText>
            </w:r>
            <w:r w:rsidR="00053AE8" w:rsidRPr="002B3AE7">
              <w:rPr>
                <w:b/>
                <w:bCs/>
                <w:szCs w:val="24"/>
              </w:rPr>
              <w:instrText xml:space="preserve"> </w:instrText>
            </w:r>
            <w:r w:rsidR="00053AE8">
              <w:rPr>
                <w:b/>
                <w:bCs/>
                <w:szCs w:val="24"/>
                <w:lang w:val="en-US"/>
              </w:rPr>
              <w:instrText>the</w:instrText>
            </w:r>
            <w:r w:rsidR="00053AE8" w:rsidRPr="002B3AE7">
              <w:rPr>
                <w:b/>
                <w:bCs/>
                <w:szCs w:val="24"/>
              </w:rPr>
              <w:instrText xml:space="preserve"> </w:instrText>
            </w:r>
            <w:r w:rsidR="00053AE8">
              <w:rPr>
                <w:b/>
                <w:bCs/>
                <w:szCs w:val="24"/>
                <w:lang w:val="en-US"/>
              </w:rPr>
              <w:instrText>standard</w:instrText>
            </w:r>
            <w:r w:rsidR="00053AE8" w:rsidRPr="002B3AE7">
              <w:rPr>
                <w:b/>
                <w:bCs/>
                <w:szCs w:val="24"/>
              </w:rPr>
              <w:instrText xml:space="preserve"> </w:instrText>
            </w:r>
            <w:r w:rsidR="00053AE8">
              <w:rPr>
                <w:b/>
                <w:bCs/>
                <w:szCs w:val="24"/>
                <w:lang w:val="en-US"/>
              </w:rPr>
              <w:instrText>regimen</w:instrText>
            </w:r>
            <w:r w:rsidR="00053AE8" w:rsidRPr="002B3AE7">
              <w:rPr>
                <w:b/>
                <w:bCs/>
                <w:szCs w:val="24"/>
              </w:rPr>
              <w:instrText xml:space="preserve"> </w:instrText>
            </w:r>
            <w:r w:rsidR="00053AE8">
              <w:rPr>
                <w:b/>
                <w:bCs/>
                <w:szCs w:val="24"/>
                <w:lang w:val="en-US"/>
              </w:rPr>
              <w:instrText>COPP</w:instrText>
            </w:r>
            <w:r w:rsidR="00053AE8" w:rsidRPr="002B3AE7">
              <w:rPr>
                <w:b/>
                <w:bCs/>
                <w:szCs w:val="24"/>
              </w:rPr>
              <w:instrText>/</w:instrText>
            </w:r>
            <w:r w:rsidR="00053AE8">
              <w:rPr>
                <w:b/>
                <w:bCs/>
                <w:szCs w:val="24"/>
                <w:lang w:val="en-US"/>
              </w:rPr>
              <w:instrText>ABVD</w:instrText>
            </w:r>
            <w:r w:rsidR="00053AE8" w:rsidRPr="002B3AE7">
              <w:rPr>
                <w:b/>
                <w:bCs/>
                <w:szCs w:val="24"/>
              </w:rPr>
              <w:instrText xml:space="preserve"> (</w:instrText>
            </w:r>
            <w:r w:rsidR="00053AE8">
              <w:rPr>
                <w:b/>
                <w:bCs/>
                <w:szCs w:val="24"/>
                <w:lang w:val="en-US"/>
              </w:rPr>
              <w:instrText>COPP</w:instrText>
            </w:r>
            <w:r w:rsidR="00053AE8" w:rsidRPr="002B3AE7">
              <w:rPr>
                <w:b/>
                <w:bCs/>
                <w:szCs w:val="24"/>
              </w:rPr>
              <w:instrText>/</w:instrText>
            </w:r>
            <w:r w:rsidR="00053AE8">
              <w:rPr>
                <w:b/>
                <w:bCs/>
                <w:szCs w:val="24"/>
                <w:lang w:val="en-US"/>
              </w:rPr>
              <w:instrText>ABV</w:instrText>
            </w:r>
            <w:r w:rsidR="00053AE8" w:rsidRPr="002B3AE7">
              <w:rPr>
                <w:b/>
                <w:bCs/>
                <w:szCs w:val="24"/>
              </w:rPr>
              <w:instrText xml:space="preserve">, </w:instrText>
            </w:r>
            <w:r w:rsidR="00053AE8">
              <w:rPr>
                <w:b/>
                <w:bCs/>
                <w:szCs w:val="24"/>
                <w:lang w:val="en-US"/>
              </w:rPr>
              <w:instrText>dacarbacine</w:instrText>
            </w:r>
            <w:r w:rsidR="00053AE8" w:rsidRPr="002B3AE7">
              <w:rPr>
                <w:b/>
                <w:bCs/>
                <w:szCs w:val="24"/>
              </w:rPr>
              <w:instrText>) (</w:instrText>
            </w:r>
            <w:r w:rsidR="00053AE8">
              <w:rPr>
                <w:b/>
                <w:bCs/>
                <w:szCs w:val="24"/>
                <w:lang w:val="en-US"/>
              </w:rPr>
              <w:instrText>CA</w:instrText>
            </w:r>
            <w:r w:rsidR="00053AE8" w:rsidRPr="002B3AE7">
              <w:rPr>
                <w:b/>
                <w:bCs/>
                <w:szCs w:val="24"/>
              </w:rPr>
              <w:instrText xml:space="preserve">) </w:instrText>
            </w:r>
            <w:r w:rsidR="00053AE8">
              <w:rPr>
                <w:b/>
                <w:bCs/>
                <w:szCs w:val="24"/>
                <w:lang w:val="en-US"/>
              </w:rPr>
              <w:instrText>in</w:instrText>
            </w:r>
            <w:r w:rsidR="00053AE8" w:rsidRPr="002B3AE7">
              <w:rPr>
                <w:b/>
                <w:bCs/>
                <w:szCs w:val="24"/>
              </w:rPr>
              <w:instrText xml:space="preserve"> </w:instrText>
            </w:r>
            <w:r w:rsidR="00053AE8">
              <w:rPr>
                <w:b/>
                <w:bCs/>
                <w:szCs w:val="24"/>
                <w:lang w:val="en-US"/>
              </w:rPr>
              <w:instrText>the</w:instrText>
            </w:r>
            <w:r w:rsidR="00053AE8" w:rsidRPr="002B3AE7">
              <w:rPr>
                <w:b/>
                <w:bCs/>
                <w:szCs w:val="24"/>
              </w:rPr>
              <w:instrText xml:space="preserve"> </w:instrText>
            </w:r>
            <w:r w:rsidR="00053AE8">
              <w:rPr>
                <w:b/>
                <w:bCs/>
                <w:szCs w:val="24"/>
                <w:lang w:val="en-US"/>
              </w:rPr>
              <w:instrText>treatment</w:instrText>
            </w:r>
            <w:r w:rsidR="00053AE8" w:rsidRPr="002B3AE7">
              <w:rPr>
                <w:b/>
                <w:bCs/>
                <w:szCs w:val="24"/>
              </w:rPr>
              <w:instrText xml:space="preserve"> </w:instrText>
            </w:r>
            <w:r w:rsidR="00053AE8">
              <w:rPr>
                <w:b/>
                <w:bCs/>
                <w:szCs w:val="24"/>
                <w:lang w:val="en-US"/>
              </w:rPr>
              <w:instrText>of</w:instrText>
            </w:r>
            <w:r w:rsidR="00053AE8" w:rsidRPr="002B3AE7">
              <w:rPr>
                <w:b/>
                <w:bCs/>
                <w:szCs w:val="24"/>
              </w:rPr>
              <w:instrText xml:space="preserve"> </w:instrText>
            </w:r>
            <w:r w:rsidR="00053AE8">
              <w:rPr>
                <w:b/>
                <w:bCs/>
                <w:szCs w:val="24"/>
                <w:lang w:val="en-US"/>
              </w:rPr>
              <w:instrText>advanced</w:instrText>
            </w:r>
            <w:r w:rsidR="00053AE8" w:rsidRPr="002B3AE7">
              <w:rPr>
                <w:b/>
                <w:bCs/>
                <w:szCs w:val="24"/>
              </w:rPr>
              <w:instrText>-</w:instrText>
            </w:r>
            <w:r w:rsidR="00053AE8">
              <w:rPr>
                <w:b/>
                <w:bCs/>
                <w:szCs w:val="24"/>
                <w:lang w:val="en-US"/>
              </w:rPr>
              <w:instrText>stage</w:instrText>
            </w:r>
            <w:r w:rsidR="00053AE8" w:rsidRPr="002B3AE7">
              <w:rPr>
                <w:b/>
                <w:bCs/>
                <w:szCs w:val="24"/>
              </w:rPr>
              <w:instrText xml:space="preserve"> </w:instrText>
            </w:r>
            <w:r w:rsidR="00053AE8">
              <w:rPr>
                <w:b/>
                <w:bCs/>
                <w:szCs w:val="24"/>
                <w:lang w:val="en-US"/>
              </w:rPr>
              <w:instrText>Hodgkin</w:instrText>
            </w:r>
            <w:r w:rsidR="00053AE8" w:rsidRPr="002B3AE7">
              <w:rPr>
                <w:b/>
                <w:bCs/>
                <w:szCs w:val="24"/>
              </w:rPr>
              <w:instrText>'</w:instrText>
            </w:r>
            <w:r w:rsidR="00053AE8">
              <w:rPr>
                <w:b/>
                <w:bCs/>
                <w:szCs w:val="24"/>
                <w:lang w:val="en-US"/>
              </w:rPr>
              <w:instrText>s</w:instrText>
            </w:r>
            <w:r w:rsidR="00053AE8" w:rsidRPr="002B3AE7">
              <w:rPr>
                <w:b/>
                <w:bCs/>
                <w:szCs w:val="24"/>
              </w:rPr>
              <w:instrText xml:space="preserve"> </w:instrText>
            </w:r>
            <w:r w:rsidR="00053AE8">
              <w:rPr>
                <w:b/>
                <w:bCs/>
                <w:szCs w:val="24"/>
                <w:lang w:val="en-US"/>
              </w:rPr>
              <w:instrText>disease</w:instrText>
            </w:r>
            <w:r w:rsidR="00053AE8" w:rsidRPr="002B3AE7">
              <w:rPr>
                <w:b/>
                <w:bCs/>
                <w:szCs w:val="24"/>
              </w:rPr>
              <w:instrText xml:space="preserve"> (</w:instrText>
            </w:r>
            <w:r w:rsidR="00053AE8">
              <w:rPr>
                <w:b/>
                <w:bCs/>
                <w:szCs w:val="24"/>
                <w:lang w:val="en-US"/>
              </w:rPr>
              <w:instrText>HD</w:instrText>
            </w:r>
            <w:r w:rsidR="00053AE8" w:rsidRPr="002B3AE7">
              <w:rPr>
                <w:b/>
                <w:bCs/>
                <w:szCs w:val="24"/>
              </w:rPr>
              <w:instrText xml:space="preserve">). </w:instrText>
            </w:r>
            <w:r w:rsidR="00053AE8">
              <w:rPr>
                <w:b/>
                <w:bCs/>
                <w:szCs w:val="24"/>
                <w:lang w:val="en-US"/>
              </w:rPr>
              <w:instrText>PATIENTS</w:instrText>
            </w:r>
            <w:r w:rsidR="00053AE8" w:rsidRPr="002B3AE7">
              <w:rPr>
                <w:b/>
                <w:bCs/>
                <w:szCs w:val="24"/>
              </w:rPr>
              <w:instrText xml:space="preserve"> </w:instrText>
            </w:r>
            <w:r w:rsidR="00053AE8">
              <w:rPr>
                <w:b/>
                <w:bCs/>
                <w:szCs w:val="24"/>
                <w:lang w:val="en-US"/>
              </w:rPr>
              <w:instrText>AND</w:instrText>
            </w:r>
            <w:r w:rsidR="00053AE8" w:rsidRPr="002B3AE7">
              <w:rPr>
                <w:b/>
                <w:bCs/>
                <w:szCs w:val="24"/>
              </w:rPr>
              <w:instrText xml:space="preserve"> </w:instrText>
            </w:r>
            <w:r w:rsidR="00053AE8">
              <w:rPr>
                <w:b/>
                <w:bCs/>
                <w:szCs w:val="24"/>
                <w:lang w:val="en-US"/>
              </w:rPr>
              <w:instrText>METHODS</w:instrText>
            </w:r>
            <w:r w:rsidR="00053AE8" w:rsidRPr="002B3AE7">
              <w:rPr>
                <w:b/>
                <w:bCs/>
                <w:szCs w:val="24"/>
              </w:rPr>
              <w:instrText xml:space="preserve"> </w:instrText>
            </w:r>
            <w:r w:rsidR="00053AE8">
              <w:rPr>
                <w:b/>
                <w:bCs/>
                <w:szCs w:val="24"/>
                <w:lang w:val="en-US"/>
              </w:rPr>
              <w:instrText>Between</w:instrText>
            </w:r>
            <w:r w:rsidR="00053AE8" w:rsidRPr="002B3AE7">
              <w:rPr>
                <w:b/>
                <w:bCs/>
                <w:szCs w:val="24"/>
              </w:rPr>
              <w:instrText xml:space="preserve"> </w:instrText>
            </w:r>
            <w:r w:rsidR="00053AE8">
              <w:rPr>
                <w:b/>
                <w:bCs/>
                <w:szCs w:val="24"/>
                <w:lang w:val="en-US"/>
              </w:rPr>
              <w:instrText>January</w:instrText>
            </w:r>
            <w:r w:rsidR="00053AE8" w:rsidRPr="002B3AE7">
              <w:rPr>
                <w:b/>
                <w:bCs/>
                <w:szCs w:val="24"/>
              </w:rPr>
              <w:instrText xml:space="preserve"> 1988 </w:instrText>
            </w:r>
            <w:r w:rsidR="00053AE8">
              <w:rPr>
                <w:b/>
                <w:bCs/>
                <w:szCs w:val="24"/>
                <w:lang w:val="en-US"/>
              </w:rPr>
              <w:instrText>and</w:instrText>
            </w:r>
            <w:r w:rsidR="00053AE8" w:rsidRPr="002B3AE7">
              <w:rPr>
                <w:b/>
                <w:bCs/>
                <w:szCs w:val="24"/>
              </w:rPr>
              <w:instrText xml:space="preserve"> </w:instrText>
            </w:r>
            <w:r w:rsidR="00053AE8">
              <w:rPr>
                <w:b/>
                <w:bCs/>
                <w:szCs w:val="24"/>
                <w:lang w:val="en-US"/>
              </w:rPr>
              <w:instrText>January</w:instrText>
            </w:r>
            <w:r w:rsidR="00053AE8" w:rsidRPr="002B3AE7">
              <w:rPr>
                <w:b/>
                <w:bCs/>
                <w:szCs w:val="24"/>
              </w:rPr>
              <w:instrText xml:space="preserve"> 1993, 588 </w:instrText>
            </w:r>
            <w:r w:rsidR="00053AE8">
              <w:rPr>
                <w:b/>
                <w:bCs/>
                <w:szCs w:val="24"/>
                <w:lang w:val="en-US"/>
              </w:rPr>
              <w:instrText>eligible</w:instrText>
            </w:r>
            <w:r w:rsidR="00053AE8" w:rsidRPr="002B3AE7">
              <w:rPr>
                <w:b/>
                <w:bCs/>
                <w:szCs w:val="24"/>
              </w:rPr>
              <w:instrText xml:space="preserve"> </w:instrText>
            </w:r>
            <w:r w:rsidR="00053AE8">
              <w:rPr>
                <w:b/>
                <w:bCs/>
                <w:szCs w:val="24"/>
                <w:lang w:val="en-US"/>
              </w:rPr>
              <w:instrText>patients</w:instrText>
            </w:r>
            <w:r w:rsidR="00053AE8" w:rsidRPr="002B3AE7">
              <w:rPr>
                <w:b/>
                <w:bCs/>
                <w:szCs w:val="24"/>
              </w:rPr>
              <w:instrText xml:space="preserve"> </w:instrText>
            </w:r>
            <w:r w:rsidR="00053AE8">
              <w:rPr>
                <w:b/>
                <w:bCs/>
                <w:szCs w:val="24"/>
                <w:lang w:val="en-US"/>
              </w:rPr>
              <w:instrText>with</w:instrText>
            </w:r>
            <w:r w:rsidR="00053AE8" w:rsidRPr="002B3AE7">
              <w:rPr>
                <w:b/>
                <w:bCs/>
                <w:szCs w:val="24"/>
              </w:rPr>
              <w:instrText xml:space="preserve"> </w:instrText>
            </w:r>
            <w:r w:rsidR="00053AE8">
              <w:rPr>
                <w:b/>
                <w:bCs/>
                <w:szCs w:val="24"/>
                <w:lang w:val="en-US"/>
              </w:rPr>
              <w:instrText>HD</w:instrText>
            </w:r>
            <w:r w:rsidR="00053AE8" w:rsidRPr="002B3AE7">
              <w:rPr>
                <w:b/>
                <w:bCs/>
                <w:szCs w:val="24"/>
              </w:rPr>
              <w:instrText xml:space="preserve"> </w:instrText>
            </w:r>
            <w:r w:rsidR="00053AE8">
              <w:rPr>
                <w:b/>
                <w:bCs/>
                <w:szCs w:val="24"/>
                <w:lang w:val="en-US"/>
              </w:rPr>
              <w:instrText>in</w:instrText>
            </w:r>
            <w:r w:rsidR="00053AE8" w:rsidRPr="002B3AE7">
              <w:rPr>
                <w:b/>
                <w:bCs/>
                <w:szCs w:val="24"/>
              </w:rPr>
              <w:instrText xml:space="preserve"> </w:instrText>
            </w:r>
            <w:r w:rsidR="00053AE8">
              <w:rPr>
                <w:b/>
                <w:bCs/>
                <w:szCs w:val="24"/>
                <w:lang w:val="en-US"/>
              </w:rPr>
              <w:instrText>stages</w:instrText>
            </w:r>
            <w:r w:rsidR="00053AE8" w:rsidRPr="002B3AE7">
              <w:rPr>
                <w:b/>
                <w:bCs/>
                <w:szCs w:val="24"/>
              </w:rPr>
              <w:instrText xml:space="preserve"> </w:instrText>
            </w:r>
            <w:r w:rsidR="00053AE8">
              <w:rPr>
                <w:b/>
                <w:bCs/>
                <w:szCs w:val="24"/>
                <w:lang w:val="en-US"/>
              </w:rPr>
              <w:instrText>IIIB</w:instrText>
            </w:r>
            <w:r w:rsidR="00053AE8" w:rsidRPr="002B3AE7">
              <w:rPr>
                <w:b/>
                <w:bCs/>
                <w:szCs w:val="24"/>
              </w:rPr>
              <w:instrText xml:space="preserve"> </w:instrText>
            </w:r>
            <w:r w:rsidR="00053AE8">
              <w:rPr>
                <w:b/>
                <w:bCs/>
                <w:szCs w:val="24"/>
                <w:lang w:val="en-US"/>
              </w:rPr>
              <w:instrText>and</w:instrText>
            </w:r>
            <w:r w:rsidR="00053AE8" w:rsidRPr="002B3AE7">
              <w:rPr>
                <w:b/>
                <w:bCs/>
                <w:szCs w:val="24"/>
              </w:rPr>
              <w:instrText xml:space="preserve"> </w:instrText>
            </w:r>
            <w:r w:rsidR="00053AE8">
              <w:rPr>
                <w:b/>
                <w:bCs/>
                <w:szCs w:val="24"/>
                <w:lang w:val="en-US"/>
              </w:rPr>
              <w:instrText>IV</w:instrText>
            </w:r>
            <w:r w:rsidR="00053AE8" w:rsidRPr="002B3AE7">
              <w:rPr>
                <w:b/>
                <w:bCs/>
                <w:szCs w:val="24"/>
              </w:rPr>
              <w:instrText xml:space="preserve"> </w:instrText>
            </w:r>
            <w:r w:rsidR="00053AE8">
              <w:rPr>
                <w:b/>
                <w:bCs/>
                <w:szCs w:val="24"/>
                <w:lang w:val="en-US"/>
              </w:rPr>
              <w:instrText>were</w:instrText>
            </w:r>
            <w:r w:rsidR="00053AE8" w:rsidRPr="002B3AE7">
              <w:rPr>
                <w:b/>
                <w:bCs/>
                <w:szCs w:val="24"/>
              </w:rPr>
              <w:instrText xml:space="preserve"> </w:instrText>
            </w:r>
            <w:r w:rsidR="00053AE8">
              <w:rPr>
                <w:b/>
                <w:bCs/>
                <w:szCs w:val="24"/>
                <w:lang w:val="en-US"/>
              </w:rPr>
              <w:instrText>randomly</w:instrText>
            </w:r>
            <w:r w:rsidR="00053AE8" w:rsidRPr="002B3AE7">
              <w:rPr>
                <w:b/>
                <w:bCs/>
                <w:szCs w:val="24"/>
              </w:rPr>
              <w:instrText xml:space="preserve"> </w:instrText>
            </w:r>
            <w:r w:rsidR="00053AE8">
              <w:rPr>
                <w:b/>
                <w:bCs/>
                <w:szCs w:val="24"/>
                <w:lang w:val="en-US"/>
              </w:rPr>
              <w:instrText>assigned</w:instrText>
            </w:r>
            <w:r w:rsidR="00053AE8" w:rsidRPr="002B3AE7">
              <w:rPr>
                <w:b/>
                <w:bCs/>
                <w:szCs w:val="24"/>
              </w:rPr>
              <w:instrText xml:space="preserve"> </w:instrText>
            </w:r>
            <w:r w:rsidR="00053AE8">
              <w:rPr>
                <w:b/>
                <w:bCs/>
                <w:szCs w:val="24"/>
                <w:lang w:val="en-US"/>
              </w:rPr>
              <w:instrText>to</w:instrText>
            </w:r>
            <w:r w:rsidR="00053AE8" w:rsidRPr="002B3AE7">
              <w:rPr>
                <w:b/>
                <w:bCs/>
                <w:szCs w:val="24"/>
              </w:rPr>
              <w:instrText xml:space="preserve"> </w:instrText>
            </w:r>
            <w:r w:rsidR="00053AE8">
              <w:rPr>
                <w:b/>
                <w:bCs/>
                <w:szCs w:val="24"/>
                <w:lang w:val="en-US"/>
              </w:rPr>
              <w:instrText>a</w:instrText>
            </w:r>
            <w:r w:rsidR="00053AE8" w:rsidRPr="002B3AE7">
              <w:rPr>
                <w:b/>
                <w:bCs/>
                <w:szCs w:val="24"/>
              </w:rPr>
              <w:instrText xml:space="preserve"> </w:instrText>
            </w:r>
            <w:r w:rsidR="00053AE8">
              <w:rPr>
                <w:b/>
                <w:bCs/>
                <w:szCs w:val="24"/>
                <w:lang w:val="en-US"/>
              </w:rPr>
              <w:instrText>treatment</w:instrText>
            </w:r>
            <w:r w:rsidR="00053AE8" w:rsidRPr="002B3AE7">
              <w:rPr>
                <w:b/>
                <w:bCs/>
                <w:szCs w:val="24"/>
              </w:rPr>
              <w:instrText xml:space="preserve"> </w:instrText>
            </w:r>
            <w:r w:rsidR="00053AE8">
              <w:rPr>
                <w:b/>
                <w:bCs/>
                <w:szCs w:val="24"/>
                <w:lang w:val="en-US"/>
              </w:rPr>
              <w:instrText>or</w:instrText>
            </w:r>
            <w:r w:rsidR="00053AE8" w:rsidRPr="002B3AE7">
              <w:rPr>
                <w:b/>
                <w:bCs/>
                <w:szCs w:val="24"/>
              </w:rPr>
              <w:instrText xml:space="preserve"> </w:instrText>
            </w:r>
            <w:r w:rsidR="00053AE8">
              <w:rPr>
                <w:b/>
                <w:bCs/>
                <w:szCs w:val="24"/>
                <w:lang w:val="en-US"/>
              </w:rPr>
              <w:instrText>control</w:instrText>
            </w:r>
            <w:r w:rsidR="00053AE8" w:rsidRPr="002B3AE7">
              <w:rPr>
                <w:b/>
                <w:bCs/>
                <w:szCs w:val="24"/>
              </w:rPr>
              <w:instrText xml:space="preserve"> </w:instrText>
            </w:r>
            <w:r w:rsidR="00053AE8">
              <w:rPr>
                <w:b/>
                <w:bCs/>
                <w:szCs w:val="24"/>
                <w:lang w:val="en-US"/>
              </w:rPr>
              <w:instrText>group</w:instrText>
            </w:r>
            <w:r w:rsidR="00053AE8" w:rsidRPr="002B3AE7">
              <w:rPr>
                <w:b/>
                <w:bCs/>
                <w:szCs w:val="24"/>
              </w:rPr>
              <w:instrText xml:space="preserve">. </w:instrText>
            </w:r>
            <w:r w:rsidR="00053AE8">
              <w:rPr>
                <w:b/>
                <w:bCs/>
                <w:szCs w:val="24"/>
                <w:lang w:val="en-US"/>
              </w:rPr>
              <w:instrText>The</w:instrText>
            </w:r>
            <w:r w:rsidR="00053AE8" w:rsidRPr="002B3AE7">
              <w:rPr>
                <w:b/>
                <w:bCs/>
                <w:szCs w:val="24"/>
              </w:rPr>
              <w:instrText xml:space="preserve"> </w:instrText>
            </w:r>
            <w:r w:rsidR="00053AE8">
              <w:rPr>
                <w:b/>
                <w:bCs/>
                <w:szCs w:val="24"/>
                <w:lang w:val="en-US"/>
              </w:rPr>
              <w:instrText>treatment</w:instrText>
            </w:r>
            <w:r w:rsidR="00053AE8" w:rsidRPr="002B3AE7">
              <w:rPr>
                <w:b/>
                <w:bCs/>
                <w:szCs w:val="24"/>
              </w:rPr>
              <w:instrText xml:space="preserve"> </w:instrText>
            </w:r>
            <w:r w:rsidR="00053AE8">
              <w:rPr>
                <w:b/>
                <w:bCs/>
                <w:szCs w:val="24"/>
                <w:lang w:val="en-US"/>
              </w:rPr>
              <w:instrText>group</w:instrText>
            </w:r>
            <w:r w:rsidR="00053AE8" w:rsidRPr="002B3AE7">
              <w:rPr>
                <w:b/>
                <w:bCs/>
                <w:szCs w:val="24"/>
              </w:rPr>
              <w:instrText xml:space="preserve"> </w:instrText>
            </w:r>
            <w:r w:rsidR="00053AE8">
              <w:rPr>
                <w:b/>
                <w:bCs/>
                <w:szCs w:val="24"/>
                <w:lang w:val="en-US"/>
              </w:rPr>
              <w:instrText>received</w:instrText>
            </w:r>
            <w:r w:rsidR="00053AE8" w:rsidRPr="002B3AE7">
              <w:rPr>
                <w:b/>
                <w:bCs/>
                <w:szCs w:val="24"/>
              </w:rPr>
              <w:instrText xml:space="preserve"> </w:instrText>
            </w:r>
            <w:r w:rsidR="00053AE8">
              <w:rPr>
                <w:b/>
                <w:bCs/>
                <w:szCs w:val="24"/>
                <w:lang w:val="en-US"/>
              </w:rPr>
              <w:instrText>four</w:instrText>
            </w:r>
            <w:r w:rsidR="00053AE8" w:rsidRPr="002B3AE7">
              <w:rPr>
                <w:b/>
                <w:bCs/>
                <w:szCs w:val="24"/>
              </w:rPr>
              <w:instrText xml:space="preserve"> </w:instrText>
            </w:r>
            <w:r w:rsidR="00053AE8">
              <w:rPr>
                <w:b/>
                <w:bCs/>
                <w:szCs w:val="24"/>
                <w:lang w:val="en-US"/>
              </w:rPr>
              <w:instrText>cycles</w:instrText>
            </w:r>
            <w:r w:rsidR="00053AE8" w:rsidRPr="002B3AE7">
              <w:rPr>
                <w:b/>
                <w:bCs/>
                <w:szCs w:val="24"/>
              </w:rPr>
              <w:instrText xml:space="preserve"> </w:instrText>
            </w:r>
            <w:r w:rsidR="00053AE8">
              <w:rPr>
                <w:b/>
                <w:bCs/>
                <w:szCs w:val="24"/>
                <w:lang w:val="en-US"/>
              </w:rPr>
              <w:instrText>of</w:instrText>
            </w:r>
            <w:r w:rsidR="00053AE8" w:rsidRPr="002B3AE7">
              <w:rPr>
                <w:b/>
                <w:bCs/>
                <w:szCs w:val="24"/>
              </w:rPr>
              <w:instrText xml:space="preserve"> </w:instrText>
            </w:r>
            <w:r w:rsidR="00053AE8">
              <w:rPr>
                <w:b/>
                <w:bCs/>
                <w:szCs w:val="24"/>
                <w:lang w:val="en-US"/>
              </w:rPr>
              <w:instrText>CAI</w:instrText>
            </w:r>
            <w:r w:rsidR="00053AE8" w:rsidRPr="002B3AE7">
              <w:rPr>
                <w:b/>
                <w:bCs/>
                <w:szCs w:val="24"/>
              </w:rPr>
              <w:instrText xml:space="preserve"> </w:instrText>
            </w:r>
            <w:r w:rsidR="00053AE8">
              <w:rPr>
                <w:b/>
                <w:bCs/>
                <w:szCs w:val="24"/>
                <w:lang w:val="en-US"/>
              </w:rPr>
              <w:instrText>over</w:instrText>
            </w:r>
            <w:r w:rsidR="00053AE8" w:rsidRPr="002B3AE7">
              <w:rPr>
                <w:b/>
                <w:bCs/>
                <w:szCs w:val="24"/>
              </w:rPr>
              <w:instrText xml:space="preserve"> </w:instrText>
            </w:r>
            <w:r w:rsidR="00053AE8">
              <w:rPr>
                <w:b/>
                <w:bCs/>
                <w:szCs w:val="24"/>
                <w:lang w:val="en-US"/>
              </w:rPr>
              <w:instrText>a</w:instrText>
            </w:r>
            <w:r w:rsidR="00053AE8" w:rsidRPr="002B3AE7">
              <w:rPr>
                <w:b/>
                <w:bCs/>
                <w:szCs w:val="24"/>
              </w:rPr>
              <w:instrText xml:space="preserve"> </w:instrText>
            </w:r>
            <w:r w:rsidR="00053AE8">
              <w:rPr>
                <w:b/>
                <w:bCs/>
                <w:szCs w:val="24"/>
                <w:lang w:val="en-US"/>
              </w:rPr>
              <w:instrText>complete</w:instrText>
            </w:r>
            <w:r w:rsidR="00053AE8" w:rsidRPr="002B3AE7">
              <w:rPr>
                <w:b/>
                <w:bCs/>
                <w:szCs w:val="24"/>
              </w:rPr>
              <w:instrText xml:space="preserve"> </w:instrText>
            </w:r>
            <w:r w:rsidR="00053AE8">
              <w:rPr>
                <w:b/>
                <w:bCs/>
                <w:szCs w:val="24"/>
                <w:lang w:val="en-US"/>
              </w:rPr>
              <w:instrText>cycle</w:instrText>
            </w:r>
            <w:r w:rsidR="00053AE8" w:rsidRPr="002B3AE7">
              <w:rPr>
                <w:b/>
                <w:bCs/>
                <w:szCs w:val="24"/>
              </w:rPr>
              <w:instrText xml:space="preserve"> </w:instrText>
            </w:r>
            <w:r w:rsidR="00053AE8">
              <w:rPr>
                <w:b/>
                <w:bCs/>
                <w:szCs w:val="24"/>
                <w:lang w:val="en-US"/>
              </w:rPr>
              <w:instrText>duration</w:instrText>
            </w:r>
            <w:r w:rsidR="00053AE8" w:rsidRPr="002B3AE7">
              <w:rPr>
                <w:b/>
                <w:bCs/>
                <w:szCs w:val="24"/>
              </w:rPr>
              <w:instrText xml:space="preserve"> </w:instrText>
            </w:r>
            <w:r w:rsidR="00053AE8">
              <w:rPr>
                <w:b/>
                <w:bCs/>
                <w:szCs w:val="24"/>
                <w:lang w:val="en-US"/>
              </w:rPr>
              <w:instrText>of</w:instrText>
            </w:r>
            <w:r w:rsidR="00053AE8" w:rsidRPr="002B3AE7">
              <w:rPr>
                <w:b/>
                <w:bCs/>
                <w:szCs w:val="24"/>
              </w:rPr>
              <w:instrText xml:space="preserve"> 43 </w:instrText>
            </w:r>
            <w:r w:rsidR="00053AE8">
              <w:rPr>
                <w:b/>
                <w:bCs/>
                <w:szCs w:val="24"/>
                <w:lang w:val="en-US"/>
              </w:rPr>
              <w:instrText>days</w:instrText>
            </w:r>
            <w:r w:rsidR="00053AE8" w:rsidRPr="002B3AE7">
              <w:rPr>
                <w:b/>
                <w:bCs/>
                <w:szCs w:val="24"/>
              </w:rPr>
              <w:instrText xml:space="preserve">. </w:instrText>
            </w:r>
            <w:r w:rsidR="00053AE8">
              <w:rPr>
                <w:b/>
                <w:bCs/>
                <w:szCs w:val="24"/>
                <w:lang w:val="en-US"/>
              </w:rPr>
              <w:instrText>The</w:instrText>
            </w:r>
            <w:r w:rsidR="00053AE8" w:rsidRPr="002B3AE7">
              <w:rPr>
                <w:b/>
                <w:bCs/>
                <w:szCs w:val="24"/>
              </w:rPr>
              <w:instrText xml:space="preserve"> </w:instrText>
            </w:r>
            <w:r w:rsidR="00053AE8">
              <w:rPr>
                <w:b/>
                <w:bCs/>
                <w:szCs w:val="24"/>
                <w:lang w:val="en-US"/>
              </w:rPr>
              <w:instrText>control</w:instrText>
            </w:r>
            <w:r w:rsidR="00053AE8" w:rsidRPr="002B3AE7">
              <w:rPr>
                <w:b/>
                <w:bCs/>
                <w:szCs w:val="24"/>
              </w:rPr>
              <w:instrText xml:space="preserve"> </w:instrText>
            </w:r>
            <w:r w:rsidR="00053AE8">
              <w:rPr>
                <w:b/>
                <w:bCs/>
                <w:szCs w:val="24"/>
                <w:lang w:val="en-US"/>
              </w:rPr>
              <w:instrText>group</w:instrText>
            </w:r>
            <w:r w:rsidR="00053AE8" w:rsidRPr="002B3AE7">
              <w:rPr>
                <w:b/>
                <w:bCs/>
                <w:szCs w:val="24"/>
              </w:rPr>
              <w:instrText xml:space="preserve"> </w:instrText>
            </w:r>
            <w:r w:rsidR="00053AE8">
              <w:rPr>
                <w:b/>
                <w:bCs/>
                <w:szCs w:val="24"/>
                <w:lang w:val="en-US"/>
              </w:rPr>
              <w:instrText>received</w:instrText>
            </w:r>
            <w:r w:rsidR="00053AE8" w:rsidRPr="002B3AE7">
              <w:rPr>
                <w:b/>
                <w:bCs/>
                <w:szCs w:val="24"/>
              </w:rPr>
              <w:instrText xml:space="preserve"> </w:instrText>
            </w:r>
            <w:r w:rsidR="00053AE8">
              <w:rPr>
                <w:b/>
                <w:bCs/>
                <w:szCs w:val="24"/>
                <w:lang w:val="en-US"/>
              </w:rPr>
              <w:instrText>four</w:instrText>
            </w:r>
            <w:r w:rsidR="00053AE8" w:rsidRPr="002B3AE7">
              <w:rPr>
                <w:b/>
                <w:bCs/>
                <w:szCs w:val="24"/>
              </w:rPr>
              <w:instrText xml:space="preserve"> </w:instrText>
            </w:r>
            <w:r w:rsidR="00053AE8">
              <w:rPr>
                <w:b/>
                <w:bCs/>
                <w:szCs w:val="24"/>
                <w:lang w:val="en-US"/>
              </w:rPr>
              <w:instrText>cycles</w:instrText>
            </w:r>
            <w:r w:rsidR="00053AE8" w:rsidRPr="002B3AE7">
              <w:rPr>
                <w:b/>
                <w:bCs/>
                <w:szCs w:val="24"/>
              </w:rPr>
              <w:instrText xml:space="preserve"> </w:instrText>
            </w:r>
            <w:r w:rsidR="00053AE8">
              <w:rPr>
                <w:b/>
                <w:bCs/>
                <w:szCs w:val="24"/>
                <w:lang w:val="en-US"/>
              </w:rPr>
              <w:instrText>of</w:instrText>
            </w:r>
            <w:r w:rsidR="00053AE8" w:rsidRPr="002B3AE7">
              <w:rPr>
                <w:b/>
                <w:bCs/>
                <w:szCs w:val="24"/>
              </w:rPr>
              <w:instrText xml:space="preserve"> </w:instrText>
            </w:r>
            <w:r w:rsidR="00053AE8">
              <w:rPr>
                <w:b/>
                <w:bCs/>
                <w:szCs w:val="24"/>
                <w:lang w:val="en-US"/>
              </w:rPr>
              <w:instrText>CA</w:instrText>
            </w:r>
            <w:r w:rsidR="00053AE8" w:rsidRPr="002B3AE7">
              <w:rPr>
                <w:b/>
                <w:bCs/>
                <w:szCs w:val="24"/>
              </w:rPr>
              <w:instrText xml:space="preserve"> </w:instrText>
            </w:r>
            <w:r w:rsidR="00053AE8">
              <w:rPr>
                <w:b/>
                <w:bCs/>
                <w:szCs w:val="24"/>
                <w:lang w:val="en-US"/>
              </w:rPr>
              <w:instrText>over</w:instrText>
            </w:r>
            <w:r w:rsidR="00053AE8" w:rsidRPr="002B3AE7">
              <w:rPr>
                <w:b/>
                <w:bCs/>
                <w:szCs w:val="24"/>
              </w:rPr>
              <w:instrText xml:space="preserve"> 57 </w:instrText>
            </w:r>
            <w:r w:rsidR="00053AE8">
              <w:rPr>
                <w:b/>
                <w:bCs/>
                <w:szCs w:val="24"/>
                <w:lang w:val="en-US"/>
              </w:rPr>
              <w:instrText>days</w:instrText>
            </w:r>
            <w:r w:rsidR="00053AE8" w:rsidRPr="002B3AE7">
              <w:rPr>
                <w:b/>
                <w:bCs/>
                <w:szCs w:val="24"/>
              </w:rPr>
              <w:instrText xml:space="preserve">. </w:instrText>
            </w:r>
            <w:r w:rsidR="00053AE8">
              <w:rPr>
                <w:b/>
                <w:bCs/>
                <w:szCs w:val="24"/>
                <w:lang w:val="en-US"/>
              </w:rPr>
              <w:instrText>Both</w:instrText>
            </w:r>
            <w:r w:rsidR="00053AE8" w:rsidRPr="002B3AE7">
              <w:rPr>
                <w:b/>
                <w:bCs/>
                <w:szCs w:val="24"/>
              </w:rPr>
              <w:instrText xml:space="preserve"> </w:instrText>
            </w:r>
            <w:r w:rsidR="00053AE8">
              <w:rPr>
                <w:b/>
                <w:bCs/>
                <w:szCs w:val="24"/>
                <w:lang w:val="en-US"/>
              </w:rPr>
              <w:instrText>groups</w:instrText>
            </w:r>
            <w:r w:rsidR="00053AE8" w:rsidRPr="002B3AE7">
              <w:rPr>
                <w:b/>
                <w:bCs/>
                <w:szCs w:val="24"/>
              </w:rPr>
              <w:instrText xml:space="preserve"> </w:instrText>
            </w:r>
            <w:r w:rsidR="00053AE8">
              <w:rPr>
                <w:b/>
                <w:bCs/>
                <w:szCs w:val="24"/>
                <w:lang w:val="en-US"/>
              </w:rPr>
              <w:instrText>then</w:instrText>
            </w:r>
            <w:r w:rsidR="00053AE8" w:rsidRPr="002B3AE7">
              <w:rPr>
                <w:b/>
                <w:bCs/>
                <w:szCs w:val="24"/>
              </w:rPr>
              <w:instrText xml:space="preserve"> </w:instrText>
            </w:r>
            <w:r w:rsidR="00053AE8">
              <w:rPr>
                <w:b/>
                <w:bCs/>
                <w:szCs w:val="24"/>
                <w:lang w:val="en-US"/>
              </w:rPr>
              <w:instrText>received</w:instrText>
            </w:r>
            <w:r w:rsidR="00053AE8" w:rsidRPr="002B3AE7">
              <w:rPr>
                <w:b/>
                <w:bCs/>
                <w:szCs w:val="24"/>
              </w:rPr>
              <w:instrText xml:space="preserve"> </w:instrText>
            </w:r>
            <w:r w:rsidR="00053AE8">
              <w:rPr>
                <w:b/>
                <w:bCs/>
                <w:szCs w:val="24"/>
                <w:lang w:val="en-US"/>
              </w:rPr>
              <w:instrText>consolidating</w:instrText>
            </w:r>
            <w:r w:rsidR="00053AE8" w:rsidRPr="002B3AE7">
              <w:rPr>
                <w:b/>
                <w:bCs/>
                <w:szCs w:val="24"/>
              </w:rPr>
              <w:instrText xml:space="preserve"> </w:instrText>
            </w:r>
            <w:r w:rsidR="00053AE8">
              <w:rPr>
                <w:b/>
                <w:bCs/>
                <w:szCs w:val="24"/>
                <w:lang w:val="en-US"/>
              </w:rPr>
              <w:instrText>radiotherapy</w:instrText>
            </w:r>
            <w:r w:rsidR="00053AE8" w:rsidRPr="002B3AE7">
              <w:rPr>
                <w:b/>
                <w:bCs/>
                <w:szCs w:val="24"/>
              </w:rPr>
              <w:instrText xml:space="preserve">. </w:instrText>
            </w:r>
            <w:r w:rsidR="00053AE8">
              <w:rPr>
                <w:b/>
                <w:bCs/>
                <w:szCs w:val="24"/>
                <w:lang w:val="en-US"/>
              </w:rPr>
              <w:instrText>RESULTS</w:instrText>
            </w:r>
            <w:r w:rsidR="00053AE8" w:rsidRPr="002B3AE7">
              <w:rPr>
                <w:b/>
                <w:bCs/>
                <w:szCs w:val="24"/>
              </w:rPr>
              <w:instrText xml:space="preserve"> </w:instrText>
            </w:r>
            <w:r w:rsidR="00053AE8">
              <w:rPr>
                <w:b/>
                <w:bCs/>
                <w:szCs w:val="24"/>
                <w:lang w:val="en-US"/>
              </w:rPr>
              <w:instrText>Five</w:instrText>
            </w:r>
            <w:r w:rsidR="00053AE8" w:rsidRPr="002B3AE7">
              <w:rPr>
                <w:b/>
                <w:bCs/>
                <w:szCs w:val="24"/>
              </w:rPr>
              <w:instrText xml:space="preserve"> </w:instrText>
            </w:r>
            <w:r w:rsidR="00053AE8">
              <w:rPr>
                <w:b/>
                <w:bCs/>
                <w:szCs w:val="24"/>
                <w:lang w:val="en-US"/>
              </w:rPr>
              <w:instrText>hundred</w:instrText>
            </w:r>
            <w:r w:rsidR="00053AE8" w:rsidRPr="002B3AE7">
              <w:rPr>
                <w:b/>
                <w:bCs/>
                <w:szCs w:val="24"/>
              </w:rPr>
              <w:instrText xml:space="preserve"> </w:instrText>
            </w:r>
            <w:r w:rsidR="00053AE8">
              <w:rPr>
                <w:b/>
                <w:bCs/>
                <w:szCs w:val="24"/>
                <w:lang w:val="en-US"/>
              </w:rPr>
              <w:instrText>and</w:instrText>
            </w:r>
            <w:r w:rsidR="00053AE8" w:rsidRPr="002B3AE7">
              <w:rPr>
                <w:b/>
                <w:bCs/>
                <w:szCs w:val="24"/>
              </w:rPr>
              <w:instrText xml:space="preserve"> </w:instrText>
            </w:r>
            <w:r w:rsidR="00053AE8">
              <w:rPr>
                <w:b/>
                <w:bCs/>
                <w:szCs w:val="24"/>
                <w:lang w:val="en-US"/>
              </w:rPr>
              <w:instrText>eighty</w:instrText>
            </w:r>
            <w:r w:rsidR="00053AE8" w:rsidRPr="002B3AE7">
              <w:rPr>
                <w:b/>
                <w:bCs/>
                <w:szCs w:val="24"/>
              </w:rPr>
              <w:instrText>-</w:instrText>
            </w:r>
            <w:r w:rsidR="00053AE8">
              <w:rPr>
                <w:b/>
                <w:bCs/>
                <w:szCs w:val="24"/>
                <w:lang w:val="en-US"/>
              </w:rPr>
              <w:instrText>four</w:instrText>
            </w:r>
            <w:r w:rsidR="00053AE8" w:rsidRPr="002B3AE7">
              <w:rPr>
                <w:b/>
                <w:bCs/>
                <w:szCs w:val="24"/>
              </w:rPr>
              <w:instrText xml:space="preserve"> </w:instrText>
            </w:r>
            <w:r w:rsidR="00053AE8">
              <w:rPr>
                <w:b/>
                <w:bCs/>
                <w:szCs w:val="24"/>
                <w:lang w:val="en-US"/>
              </w:rPr>
              <w:instrText>patients</w:instrText>
            </w:r>
            <w:r w:rsidR="00053AE8" w:rsidRPr="002B3AE7">
              <w:rPr>
                <w:b/>
                <w:bCs/>
                <w:szCs w:val="24"/>
              </w:rPr>
              <w:instrText xml:space="preserve"> </w:instrText>
            </w:r>
            <w:r w:rsidR="00053AE8">
              <w:rPr>
                <w:b/>
                <w:bCs/>
                <w:szCs w:val="24"/>
                <w:lang w:val="en-US"/>
              </w:rPr>
              <w:instrText>were</w:instrText>
            </w:r>
            <w:r w:rsidR="00053AE8" w:rsidRPr="002B3AE7">
              <w:rPr>
                <w:b/>
                <w:bCs/>
                <w:szCs w:val="24"/>
              </w:rPr>
              <w:instrText xml:space="preserve"> </w:instrText>
            </w:r>
            <w:r w:rsidR="00053AE8">
              <w:rPr>
                <w:b/>
                <w:bCs/>
                <w:szCs w:val="24"/>
                <w:lang w:val="en-US"/>
              </w:rPr>
              <w:instrText>suitable</w:instrText>
            </w:r>
            <w:r w:rsidR="00053AE8" w:rsidRPr="002B3AE7">
              <w:rPr>
                <w:b/>
                <w:bCs/>
                <w:szCs w:val="24"/>
              </w:rPr>
              <w:instrText xml:space="preserve"> </w:instrText>
            </w:r>
            <w:r w:rsidR="00053AE8">
              <w:rPr>
                <w:b/>
                <w:bCs/>
                <w:szCs w:val="24"/>
                <w:lang w:val="en-US"/>
              </w:rPr>
              <w:instrText>for</w:instrText>
            </w:r>
            <w:r w:rsidR="00053AE8" w:rsidRPr="002B3AE7">
              <w:rPr>
                <w:b/>
                <w:bCs/>
                <w:szCs w:val="24"/>
              </w:rPr>
              <w:instrText xml:space="preserve"> </w:instrText>
            </w:r>
            <w:r w:rsidR="00053AE8">
              <w:rPr>
                <w:b/>
                <w:bCs/>
                <w:szCs w:val="24"/>
                <w:lang w:val="en-US"/>
              </w:rPr>
              <w:instrText>arm</w:instrText>
            </w:r>
            <w:r w:rsidR="00053AE8" w:rsidRPr="002B3AE7">
              <w:rPr>
                <w:b/>
                <w:bCs/>
                <w:szCs w:val="24"/>
              </w:rPr>
              <w:instrText xml:space="preserve"> </w:instrText>
            </w:r>
            <w:r w:rsidR="00053AE8">
              <w:rPr>
                <w:b/>
                <w:bCs/>
                <w:szCs w:val="24"/>
                <w:lang w:val="en-US"/>
              </w:rPr>
              <w:instrText>comparison</w:instrText>
            </w:r>
            <w:r w:rsidR="00053AE8" w:rsidRPr="002B3AE7">
              <w:rPr>
                <w:b/>
                <w:bCs/>
                <w:szCs w:val="24"/>
              </w:rPr>
              <w:instrText xml:space="preserve">. </w:instrText>
            </w:r>
            <w:r w:rsidR="00053AE8">
              <w:rPr>
                <w:b/>
                <w:bCs/>
                <w:szCs w:val="24"/>
                <w:lang w:val="en-US"/>
              </w:rPr>
              <w:instrText>Patients</w:instrText>
            </w:r>
            <w:r w:rsidR="00053AE8" w:rsidRPr="002B3AE7">
              <w:rPr>
                <w:b/>
                <w:bCs/>
                <w:szCs w:val="24"/>
              </w:rPr>
              <w:instrText xml:space="preserve"> </w:instrText>
            </w:r>
            <w:r w:rsidR="00053AE8">
              <w:rPr>
                <w:b/>
                <w:bCs/>
                <w:szCs w:val="24"/>
                <w:lang w:val="en-US"/>
              </w:rPr>
              <w:instrText>in</w:instrText>
            </w:r>
            <w:r w:rsidR="00053AE8" w:rsidRPr="002B3AE7">
              <w:rPr>
                <w:b/>
                <w:bCs/>
                <w:szCs w:val="24"/>
              </w:rPr>
              <w:instrText xml:space="preserve"> </w:instrText>
            </w:r>
            <w:r w:rsidR="00053AE8">
              <w:rPr>
                <w:b/>
                <w:bCs/>
                <w:szCs w:val="24"/>
                <w:lang w:val="en-US"/>
              </w:rPr>
              <w:instrText>each</w:instrText>
            </w:r>
            <w:r w:rsidR="00053AE8" w:rsidRPr="002B3AE7">
              <w:rPr>
                <w:b/>
                <w:bCs/>
                <w:szCs w:val="24"/>
              </w:rPr>
              <w:instrText xml:space="preserve"> </w:instrText>
            </w:r>
            <w:r w:rsidR="00053AE8">
              <w:rPr>
                <w:b/>
                <w:bCs/>
                <w:szCs w:val="24"/>
                <w:lang w:val="en-US"/>
              </w:rPr>
              <w:instrText>group</w:instrText>
            </w:r>
            <w:r w:rsidR="00053AE8" w:rsidRPr="002B3AE7">
              <w:rPr>
                <w:b/>
                <w:bCs/>
                <w:szCs w:val="24"/>
              </w:rPr>
              <w:instrText xml:space="preserve"> </w:instrText>
            </w:r>
            <w:r w:rsidR="00053AE8">
              <w:rPr>
                <w:b/>
                <w:bCs/>
                <w:szCs w:val="24"/>
                <w:lang w:val="en-US"/>
              </w:rPr>
              <w:instrText>were</w:instrText>
            </w:r>
            <w:r w:rsidR="00053AE8" w:rsidRPr="002B3AE7">
              <w:rPr>
                <w:b/>
                <w:bCs/>
                <w:szCs w:val="24"/>
              </w:rPr>
              <w:instrText xml:space="preserve"> </w:instrText>
            </w:r>
            <w:r w:rsidR="00053AE8">
              <w:rPr>
                <w:b/>
                <w:bCs/>
                <w:szCs w:val="24"/>
                <w:lang w:val="en-US"/>
              </w:rPr>
              <w:instrText>similar</w:instrText>
            </w:r>
            <w:r w:rsidR="00053AE8" w:rsidRPr="002B3AE7">
              <w:rPr>
                <w:b/>
                <w:bCs/>
                <w:szCs w:val="24"/>
              </w:rPr>
              <w:instrText xml:space="preserve"> </w:instrText>
            </w:r>
            <w:r w:rsidR="00053AE8">
              <w:rPr>
                <w:b/>
                <w:bCs/>
                <w:szCs w:val="24"/>
                <w:lang w:val="en-US"/>
              </w:rPr>
              <w:instrText>in</w:instrText>
            </w:r>
            <w:r w:rsidR="00053AE8" w:rsidRPr="002B3AE7">
              <w:rPr>
                <w:b/>
                <w:bCs/>
                <w:szCs w:val="24"/>
              </w:rPr>
              <w:instrText xml:space="preserve"> </w:instrText>
            </w:r>
            <w:r w:rsidR="00053AE8">
              <w:rPr>
                <w:b/>
                <w:bCs/>
                <w:szCs w:val="24"/>
                <w:lang w:val="en-US"/>
              </w:rPr>
              <w:instrText>age</w:instrText>
            </w:r>
            <w:r w:rsidR="00053AE8" w:rsidRPr="002B3AE7">
              <w:rPr>
                <w:b/>
                <w:bCs/>
                <w:szCs w:val="24"/>
              </w:rPr>
              <w:instrText xml:space="preserve">, </w:instrText>
            </w:r>
            <w:r w:rsidR="00053AE8">
              <w:rPr>
                <w:b/>
                <w:bCs/>
                <w:szCs w:val="24"/>
                <w:lang w:val="en-US"/>
              </w:rPr>
              <w:instrText>sex</w:instrText>
            </w:r>
            <w:r w:rsidR="00053AE8" w:rsidRPr="002B3AE7">
              <w:rPr>
                <w:b/>
                <w:bCs/>
                <w:szCs w:val="24"/>
              </w:rPr>
              <w:instrText xml:space="preserve">, </w:instrText>
            </w:r>
            <w:r w:rsidR="00053AE8">
              <w:rPr>
                <w:b/>
                <w:bCs/>
                <w:szCs w:val="24"/>
                <w:lang w:val="en-US"/>
              </w:rPr>
              <w:instrText>histological</w:instrText>
            </w:r>
            <w:r w:rsidR="00053AE8" w:rsidRPr="002B3AE7">
              <w:rPr>
                <w:b/>
                <w:bCs/>
                <w:szCs w:val="24"/>
              </w:rPr>
              <w:instrText xml:space="preserve"> </w:instrText>
            </w:r>
            <w:r w:rsidR="00053AE8">
              <w:rPr>
                <w:b/>
                <w:bCs/>
                <w:szCs w:val="24"/>
                <w:lang w:val="en-US"/>
              </w:rPr>
              <w:instrText>subtype</w:instrText>
            </w:r>
            <w:r w:rsidR="00053AE8" w:rsidRPr="002B3AE7">
              <w:rPr>
                <w:b/>
                <w:bCs/>
                <w:szCs w:val="24"/>
              </w:rPr>
              <w:instrText xml:space="preserve"> </w:instrText>
            </w:r>
            <w:r w:rsidR="00053AE8">
              <w:rPr>
                <w:b/>
                <w:bCs/>
                <w:szCs w:val="24"/>
                <w:lang w:val="en-US"/>
              </w:rPr>
              <w:instrText>and</w:instrText>
            </w:r>
            <w:r w:rsidR="00053AE8" w:rsidRPr="002B3AE7">
              <w:rPr>
                <w:b/>
                <w:bCs/>
                <w:szCs w:val="24"/>
              </w:rPr>
              <w:instrText xml:space="preserve"> </w:instrText>
            </w:r>
            <w:r w:rsidR="00053AE8">
              <w:rPr>
                <w:b/>
                <w:bCs/>
                <w:szCs w:val="24"/>
                <w:lang w:val="en-US"/>
              </w:rPr>
              <w:instrText>clinical</w:instrText>
            </w:r>
            <w:r w:rsidR="00053AE8" w:rsidRPr="002B3AE7">
              <w:rPr>
                <w:b/>
                <w:bCs/>
                <w:szCs w:val="24"/>
              </w:rPr>
              <w:instrText xml:space="preserve"> </w:instrText>
            </w:r>
            <w:r w:rsidR="00053AE8">
              <w:rPr>
                <w:b/>
                <w:bCs/>
                <w:szCs w:val="24"/>
                <w:lang w:val="en-US"/>
              </w:rPr>
              <w:instrText>risk</w:instrText>
            </w:r>
            <w:r w:rsidR="00053AE8" w:rsidRPr="002B3AE7">
              <w:rPr>
                <w:b/>
                <w:bCs/>
                <w:szCs w:val="24"/>
              </w:rPr>
              <w:instrText xml:space="preserve"> </w:instrText>
            </w:r>
            <w:r w:rsidR="00053AE8">
              <w:rPr>
                <w:b/>
                <w:bCs/>
                <w:szCs w:val="24"/>
                <w:lang w:val="en-US"/>
              </w:rPr>
              <w:instrText>factors</w:instrText>
            </w:r>
            <w:r w:rsidR="00053AE8" w:rsidRPr="002B3AE7">
              <w:rPr>
                <w:b/>
                <w:bCs/>
                <w:szCs w:val="24"/>
              </w:rPr>
              <w:instrText xml:space="preserve">. </w:instrText>
            </w:r>
            <w:r w:rsidR="00053AE8">
              <w:rPr>
                <w:b/>
                <w:bCs/>
                <w:szCs w:val="24"/>
                <w:lang w:val="en-US"/>
              </w:rPr>
              <w:instrText>Complete</w:instrText>
            </w:r>
            <w:r w:rsidR="00053AE8" w:rsidRPr="002B3AE7">
              <w:rPr>
                <w:b/>
                <w:bCs/>
                <w:szCs w:val="24"/>
              </w:rPr>
              <w:instrText xml:space="preserve"> </w:instrText>
            </w:r>
            <w:r w:rsidR="00053AE8">
              <w:rPr>
                <w:b/>
                <w:bCs/>
                <w:szCs w:val="24"/>
                <w:lang w:val="en-US"/>
              </w:rPr>
              <w:instrText>remission</w:instrText>
            </w:r>
            <w:r w:rsidR="00053AE8" w:rsidRPr="002B3AE7">
              <w:rPr>
                <w:b/>
                <w:bCs/>
                <w:szCs w:val="24"/>
              </w:rPr>
              <w:instrText xml:space="preserve"> </w:instrText>
            </w:r>
            <w:r w:rsidR="00053AE8">
              <w:rPr>
                <w:b/>
                <w:bCs/>
                <w:szCs w:val="24"/>
                <w:lang w:val="en-US"/>
              </w:rPr>
              <w:instrText>rates</w:instrText>
            </w:r>
            <w:r w:rsidR="00053AE8" w:rsidRPr="002B3AE7">
              <w:rPr>
                <w:b/>
                <w:bCs/>
                <w:szCs w:val="24"/>
              </w:rPr>
              <w:instrText xml:space="preserve">, </w:instrText>
            </w:r>
            <w:r w:rsidR="00053AE8">
              <w:rPr>
                <w:b/>
                <w:bCs/>
                <w:szCs w:val="24"/>
                <w:lang w:val="en-US"/>
              </w:rPr>
              <w:instrText>overall</w:instrText>
            </w:r>
            <w:r w:rsidR="00053AE8" w:rsidRPr="002B3AE7">
              <w:rPr>
                <w:b/>
                <w:bCs/>
                <w:szCs w:val="24"/>
              </w:rPr>
              <w:instrText xml:space="preserve"> </w:instrText>
            </w:r>
            <w:r w:rsidR="00053AE8">
              <w:rPr>
                <w:b/>
                <w:bCs/>
                <w:szCs w:val="24"/>
                <w:lang w:val="en-US"/>
              </w:rPr>
              <w:instrText>survival</w:instrText>
            </w:r>
            <w:r w:rsidR="00053AE8" w:rsidRPr="002B3AE7">
              <w:rPr>
                <w:b/>
                <w:bCs/>
                <w:szCs w:val="24"/>
              </w:rPr>
              <w:instrText xml:space="preserve"> </w:instrText>
            </w:r>
            <w:r w:rsidR="00053AE8">
              <w:rPr>
                <w:b/>
                <w:bCs/>
                <w:szCs w:val="24"/>
                <w:lang w:val="en-US"/>
              </w:rPr>
              <w:instrText>and</w:instrText>
            </w:r>
            <w:r w:rsidR="00053AE8" w:rsidRPr="002B3AE7">
              <w:rPr>
                <w:b/>
                <w:bCs/>
                <w:szCs w:val="24"/>
              </w:rPr>
              <w:instrText xml:space="preserve"> </w:instrText>
            </w:r>
            <w:r w:rsidR="00053AE8">
              <w:rPr>
                <w:b/>
                <w:bCs/>
                <w:szCs w:val="24"/>
                <w:lang w:val="en-US"/>
              </w:rPr>
              <w:instrText>freedom</w:instrText>
            </w:r>
            <w:r w:rsidR="00053AE8" w:rsidRPr="002B3AE7">
              <w:rPr>
                <w:b/>
                <w:bCs/>
                <w:szCs w:val="24"/>
              </w:rPr>
              <w:instrText xml:space="preserve"> </w:instrText>
            </w:r>
            <w:r w:rsidR="00053AE8">
              <w:rPr>
                <w:b/>
                <w:bCs/>
                <w:szCs w:val="24"/>
                <w:lang w:val="en-US"/>
              </w:rPr>
              <w:instrText>from</w:instrText>
            </w:r>
            <w:r w:rsidR="00053AE8" w:rsidRPr="002B3AE7">
              <w:rPr>
                <w:b/>
                <w:bCs/>
                <w:szCs w:val="24"/>
              </w:rPr>
              <w:instrText xml:space="preserve"> </w:instrText>
            </w:r>
            <w:r w:rsidR="00053AE8">
              <w:rPr>
                <w:b/>
                <w:bCs/>
                <w:szCs w:val="24"/>
                <w:lang w:val="en-US"/>
              </w:rPr>
              <w:instrText>treatment</w:instrText>
            </w:r>
            <w:r w:rsidR="00053AE8" w:rsidRPr="002B3AE7">
              <w:rPr>
                <w:b/>
                <w:bCs/>
                <w:szCs w:val="24"/>
              </w:rPr>
              <w:instrText xml:space="preserve"> </w:instrText>
            </w:r>
            <w:r w:rsidR="00053AE8">
              <w:rPr>
                <w:b/>
                <w:bCs/>
                <w:szCs w:val="24"/>
                <w:lang w:val="en-US"/>
              </w:rPr>
              <w:instrText>failure</w:instrText>
            </w:r>
            <w:r w:rsidR="00053AE8" w:rsidRPr="002B3AE7">
              <w:rPr>
                <w:b/>
                <w:bCs/>
                <w:szCs w:val="24"/>
              </w:rPr>
              <w:instrText xml:space="preserve"> </w:instrText>
            </w:r>
            <w:r w:rsidR="00053AE8">
              <w:rPr>
                <w:b/>
                <w:bCs/>
                <w:szCs w:val="24"/>
                <w:lang w:val="en-US"/>
              </w:rPr>
              <w:instrText>at</w:instrText>
            </w:r>
            <w:r w:rsidR="00053AE8" w:rsidRPr="002B3AE7">
              <w:rPr>
                <w:b/>
                <w:bCs/>
                <w:szCs w:val="24"/>
              </w:rPr>
              <w:instrText xml:space="preserve"> 7 </w:instrText>
            </w:r>
            <w:r w:rsidR="00053AE8">
              <w:rPr>
                <w:b/>
                <w:bCs/>
                <w:szCs w:val="24"/>
                <w:lang w:val="en-US"/>
              </w:rPr>
              <w:instrText>years</w:instrText>
            </w:r>
            <w:r w:rsidR="00053AE8" w:rsidRPr="002B3AE7">
              <w:rPr>
                <w:b/>
                <w:bCs/>
                <w:szCs w:val="24"/>
              </w:rPr>
              <w:instrText xml:space="preserve"> </w:instrText>
            </w:r>
            <w:r w:rsidR="00053AE8">
              <w:rPr>
                <w:b/>
                <w:bCs/>
                <w:szCs w:val="24"/>
                <w:lang w:val="en-US"/>
              </w:rPr>
              <w:instrText>were</w:instrText>
            </w:r>
            <w:r w:rsidR="00053AE8" w:rsidRPr="002B3AE7">
              <w:rPr>
                <w:b/>
                <w:bCs/>
                <w:szCs w:val="24"/>
              </w:rPr>
              <w:instrText xml:space="preserve"> </w:instrText>
            </w:r>
            <w:r w:rsidR="00053AE8">
              <w:rPr>
                <w:b/>
                <w:bCs/>
                <w:szCs w:val="24"/>
                <w:lang w:val="en-US"/>
              </w:rPr>
              <w:instrText>similar</w:instrText>
            </w:r>
            <w:r w:rsidR="00053AE8" w:rsidRPr="002B3AE7">
              <w:rPr>
                <w:b/>
                <w:bCs/>
                <w:szCs w:val="24"/>
              </w:rPr>
              <w:instrText xml:space="preserve"> </w:instrText>
            </w:r>
            <w:r w:rsidR="00053AE8">
              <w:rPr>
                <w:b/>
                <w:bCs/>
                <w:szCs w:val="24"/>
                <w:lang w:val="en-US"/>
              </w:rPr>
              <w:instrText>for</w:instrText>
            </w:r>
            <w:r w:rsidR="00053AE8" w:rsidRPr="002B3AE7">
              <w:rPr>
                <w:b/>
                <w:bCs/>
                <w:szCs w:val="24"/>
              </w:rPr>
              <w:instrText xml:space="preserve"> </w:instrText>
            </w:r>
            <w:r w:rsidR="00053AE8">
              <w:rPr>
                <w:b/>
                <w:bCs/>
                <w:szCs w:val="24"/>
                <w:lang w:val="en-US"/>
              </w:rPr>
              <w:instrText>the</w:instrText>
            </w:r>
            <w:r w:rsidR="00053AE8" w:rsidRPr="002B3AE7">
              <w:rPr>
                <w:b/>
                <w:bCs/>
                <w:szCs w:val="24"/>
              </w:rPr>
              <w:instrText xml:space="preserve"> </w:instrText>
            </w:r>
            <w:r w:rsidR="00053AE8">
              <w:rPr>
                <w:b/>
                <w:bCs/>
                <w:szCs w:val="24"/>
                <w:lang w:val="en-US"/>
              </w:rPr>
              <w:instrText>two</w:instrText>
            </w:r>
            <w:r w:rsidR="00053AE8" w:rsidRPr="002B3AE7">
              <w:rPr>
                <w:b/>
                <w:bCs/>
                <w:szCs w:val="24"/>
              </w:rPr>
              <w:instrText xml:space="preserve"> </w:instrText>
            </w:r>
            <w:r w:rsidR="00053AE8">
              <w:rPr>
                <w:b/>
                <w:bCs/>
                <w:szCs w:val="24"/>
                <w:lang w:val="en-US"/>
              </w:rPr>
              <w:instrText>groups</w:instrText>
            </w:r>
            <w:r w:rsidR="00053AE8" w:rsidRPr="002B3AE7">
              <w:rPr>
                <w:b/>
                <w:bCs/>
                <w:szCs w:val="24"/>
              </w:rPr>
              <w:instrText xml:space="preserve">: 77% </w:instrText>
            </w:r>
            <w:r w:rsidR="00053AE8">
              <w:rPr>
                <w:b/>
                <w:bCs/>
                <w:szCs w:val="24"/>
                <w:lang w:val="en-US"/>
              </w:rPr>
              <w:instrText>versus</w:instrText>
            </w:r>
            <w:r w:rsidR="00053AE8" w:rsidRPr="002B3AE7">
              <w:rPr>
                <w:b/>
                <w:bCs/>
                <w:szCs w:val="24"/>
              </w:rPr>
              <w:instrText xml:space="preserve"> 78%, 73% </w:instrText>
            </w:r>
            <w:r w:rsidR="00053AE8">
              <w:rPr>
                <w:b/>
                <w:bCs/>
                <w:szCs w:val="24"/>
                <w:lang w:val="en-US"/>
              </w:rPr>
              <w:instrText>versus</w:instrText>
            </w:r>
            <w:r w:rsidR="00053AE8" w:rsidRPr="002B3AE7">
              <w:rPr>
                <w:b/>
                <w:bCs/>
                <w:szCs w:val="24"/>
              </w:rPr>
              <w:instrText xml:space="preserve"> 73% </w:instrText>
            </w:r>
            <w:r w:rsidR="00053AE8">
              <w:rPr>
                <w:b/>
                <w:bCs/>
                <w:szCs w:val="24"/>
                <w:lang w:val="en-US"/>
              </w:rPr>
              <w:instrText>and</w:instrText>
            </w:r>
            <w:r w:rsidR="00053AE8" w:rsidRPr="002B3AE7">
              <w:rPr>
                <w:b/>
                <w:bCs/>
                <w:szCs w:val="24"/>
              </w:rPr>
              <w:instrText xml:space="preserve"> 54% </w:instrText>
            </w:r>
            <w:r w:rsidR="00053AE8">
              <w:rPr>
                <w:b/>
                <w:bCs/>
                <w:szCs w:val="24"/>
                <w:lang w:val="en-US"/>
              </w:rPr>
              <w:instrText>versus</w:instrText>
            </w:r>
            <w:r w:rsidR="00053AE8" w:rsidRPr="002B3AE7">
              <w:rPr>
                <w:b/>
                <w:bCs/>
                <w:szCs w:val="24"/>
              </w:rPr>
              <w:instrText xml:space="preserve"> 56% </w:instrText>
            </w:r>
            <w:r w:rsidR="00053AE8">
              <w:rPr>
                <w:b/>
                <w:bCs/>
                <w:szCs w:val="24"/>
                <w:lang w:val="en-US"/>
              </w:rPr>
              <w:instrText>for</w:instrText>
            </w:r>
            <w:r w:rsidR="00053AE8" w:rsidRPr="002B3AE7">
              <w:rPr>
                <w:b/>
                <w:bCs/>
                <w:szCs w:val="24"/>
              </w:rPr>
              <w:instrText xml:space="preserve"> </w:instrText>
            </w:r>
            <w:r w:rsidR="00053AE8">
              <w:rPr>
                <w:b/>
                <w:bCs/>
                <w:szCs w:val="24"/>
                <w:lang w:val="en-US"/>
              </w:rPr>
              <w:instrText>CAI</w:instrText>
            </w:r>
            <w:r w:rsidR="00053AE8" w:rsidRPr="002B3AE7">
              <w:rPr>
                <w:b/>
                <w:bCs/>
                <w:szCs w:val="24"/>
              </w:rPr>
              <w:instrText xml:space="preserve"> </w:instrText>
            </w:r>
            <w:r w:rsidR="00053AE8">
              <w:rPr>
                <w:b/>
                <w:bCs/>
                <w:szCs w:val="24"/>
                <w:lang w:val="en-US"/>
              </w:rPr>
              <w:instrText>and CA, respectively. Differences in acute chemotherapy-related toxicity were significant, however. Prognostic factor analysis confirmed the relevance of the International Prognostic Index and revealed that stage IVB, low hemoglobin, low lymphocyte count, high age and male gender were associated with a poor prognosis CONCLUSION The rapidly alternating hybrid CAI did not give superior results when compared with the standard regimen CA in advanced-stage HD.","author":[{"dropping-particle":"","family":"Sieber","given":"M","non-dropping-particle":"","parse-names":false,"suffix":""},{"dropping-particle":"","family":"Tesch","given":"H","non-dropping-particle":"","parse-names":false,"suffix":""},{"dropping-particle":"","family":"Pfistner","given":"B","non-dropping-particle":"","parse-names":false,"suffix":""},{"dropping-particle":"","family":"Rueffer","given":"U","non-dropping-particle":"","parse-names":false,"suffix":""},{"dropping-particle":"","family":"Paulus","given":"U","non-dropping-particle":"","parse-names":false,"suffix":""},{"dropping-particle":"","family":"Munker","given":"R","non-dropping-particle":"","parse-names":false,"suffix":""},{"dropping-particle":"","family":"Hermann","given":"R","non-dropping-particle":"","parse-names":false,"suffix":""},{"dropping-particle":"","family":"Doelken","given":"G","non-dropping-particle":"","parse-names":false,"suffix":""},{"dropping-particle":"","family":"Koch","given":"P","non-dropping-particle":"","parse-names":false,"suffix":""},{"dropping-particle":"","family":"Oertel","given":"J","non-dropping-particle":"","parse-names":false,"suffix":""},{"dropping-particle":"","family":"Roller","given":"S","non-dropping-particle":"","parse-names":false,"suffix":""},{"dropping-particle":"","family":"Worst","given":"P","non-dropping-particle":"","parse-names":false,"suffix":""},{"dropping-particle":"","family":"Bischof","given":"H","non-dropping-particle":"","parse-names":false,"suffix":""},{"dropping-particle":"","family":"Glunz","given":"A","non-dropping-particle":"","parse-names":false,"suffix":""},{"dropping-particle":"","family":"Greil","given":"R","non-dropping-particle":"","parse-names":false,"suffix":""},{"dropping-particle":"","family":"Kalle","given":"K","non-dropping-particle":"von","parse-names":false,"suffix":""},{"dropping-particle":"","family":"Schalk","given":"K P","non-dropping-particle":"","parse-names":false,"suffix":""},{"dropping-particle":"","family":"Hasenclever","given":"D","non-dropping-particle":"","parse-names":false,"suffix":""},{"dropping-particle":"","family":"Brosteanu","given":"O","non-dropping-particle":"","parse-names":false,"suffix":""},{"dropping-particle":"","family":"Duehmke","given":"E","non-dropping-particle":"","parse-names":false,"suffix":""},{"dropping-particle":"","family":"Georgii","given":"A","non-dropping-particle":"","parse-names":false,"suffix":""},{"dropping-particle":"","family":"Engert","given":"A","non-dropping-particle":"","parse-names":false,"suffix":""},{"dropping-particle":"","family":"Loeffler","given":"M","non-dropping-particle":"","parse-names":false,"suffix":""},{"dropping-particle":"","family":"Diehl","given":"V","non-dropping-particle":"","parse-names":false,"suffix":""},{"dropping-particle":"","family":"Mueller","given":"R P","non-dropping-particle":"","parse-names":false,"suffix":""},{"dropping-particle":"","family":"Willich","given":"N","non-dropping-particle</w:instrText>
            </w:r>
            <w:r w:rsidR="00053AE8" w:rsidRPr="002B3AE7">
              <w:rPr>
                <w:b/>
                <w:bCs/>
                <w:szCs w:val="24"/>
              </w:rPr>
              <w:instrText>":"","</w:instrText>
            </w:r>
            <w:r w:rsidR="00053AE8">
              <w:rPr>
                <w:b/>
                <w:bCs/>
                <w:szCs w:val="24"/>
                <w:lang w:val="en-US"/>
              </w:rPr>
              <w:instrText>parse</w:instrText>
            </w:r>
            <w:r w:rsidR="00053AE8" w:rsidRPr="002B3AE7">
              <w:rPr>
                <w:b/>
                <w:bCs/>
                <w:szCs w:val="24"/>
              </w:rPr>
              <w:instrText>-</w:instrText>
            </w:r>
            <w:r w:rsidR="00053AE8">
              <w:rPr>
                <w:b/>
                <w:bCs/>
                <w:szCs w:val="24"/>
                <w:lang w:val="en-US"/>
              </w:rPr>
              <w:instrText>names</w:instrText>
            </w:r>
            <w:r w:rsidR="00053AE8" w:rsidRPr="002B3AE7">
              <w:rPr>
                <w:b/>
                <w:bCs/>
                <w:szCs w:val="24"/>
              </w:rPr>
              <w:instrText>":</w:instrText>
            </w:r>
            <w:r w:rsidR="00053AE8">
              <w:rPr>
                <w:b/>
                <w:bCs/>
                <w:szCs w:val="24"/>
                <w:lang w:val="en-US"/>
              </w:rPr>
              <w:instrText>false</w:instrText>
            </w:r>
            <w:r w:rsidR="00053AE8" w:rsidRPr="002B3AE7">
              <w:rPr>
                <w:b/>
                <w:bCs/>
                <w:szCs w:val="24"/>
              </w:rPr>
              <w:instrText>,"</w:instrText>
            </w:r>
            <w:r w:rsidR="00053AE8">
              <w:rPr>
                <w:b/>
                <w:bCs/>
                <w:szCs w:val="24"/>
                <w:lang w:val="en-US"/>
              </w:rPr>
              <w:instrText>suffix</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family</w:instrText>
            </w:r>
            <w:r w:rsidR="00053AE8" w:rsidRPr="002B3AE7">
              <w:rPr>
                <w:b/>
                <w:bCs/>
                <w:szCs w:val="24"/>
              </w:rPr>
              <w:instrText>":"</w:instrText>
            </w:r>
            <w:r w:rsidR="00053AE8">
              <w:rPr>
                <w:b/>
                <w:bCs/>
                <w:szCs w:val="24"/>
                <w:lang w:val="en-US"/>
              </w:rPr>
              <w:instrText>Fischer</w:instrText>
            </w:r>
            <w:r w:rsidR="00053AE8" w:rsidRPr="002B3AE7">
              <w:rPr>
                <w:b/>
                <w:bCs/>
                <w:szCs w:val="24"/>
              </w:rPr>
              <w:instrText>","</w:instrText>
            </w:r>
            <w:r w:rsidR="00053AE8">
              <w:rPr>
                <w:b/>
                <w:bCs/>
                <w:szCs w:val="24"/>
                <w:lang w:val="en-US"/>
              </w:rPr>
              <w:instrText>given</w:instrText>
            </w:r>
            <w:r w:rsidR="00053AE8" w:rsidRPr="002B3AE7">
              <w:rPr>
                <w:b/>
                <w:bCs/>
                <w:szCs w:val="24"/>
              </w:rPr>
              <w:instrText>":"</w:instrText>
            </w:r>
            <w:r w:rsidR="00053AE8">
              <w:rPr>
                <w:b/>
                <w:bCs/>
                <w:szCs w:val="24"/>
                <w:lang w:val="en-US"/>
              </w:rPr>
              <w:instrText>R</w:instrText>
            </w:r>
            <w:r w:rsidR="00053AE8" w:rsidRPr="002B3AE7">
              <w:rPr>
                <w:b/>
                <w:bCs/>
                <w:szCs w:val="24"/>
              </w:rPr>
              <w:instrText>","</w:instrText>
            </w:r>
            <w:r w:rsidR="00053AE8">
              <w:rPr>
                <w:b/>
                <w:bCs/>
                <w:szCs w:val="24"/>
                <w:lang w:val="en-US"/>
              </w:rPr>
              <w:instrText>non</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parse</w:instrText>
            </w:r>
            <w:r w:rsidR="00053AE8" w:rsidRPr="002B3AE7">
              <w:rPr>
                <w:b/>
                <w:bCs/>
                <w:szCs w:val="24"/>
              </w:rPr>
              <w:instrText>-</w:instrText>
            </w:r>
            <w:r w:rsidR="00053AE8">
              <w:rPr>
                <w:b/>
                <w:bCs/>
                <w:szCs w:val="24"/>
                <w:lang w:val="en-US"/>
              </w:rPr>
              <w:instrText>names</w:instrText>
            </w:r>
            <w:r w:rsidR="00053AE8" w:rsidRPr="002B3AE7">
              <w:rPr>
                <w:b/>
                <w:bCs/>
                <w:szCs w:val="24"/>
              </w:rPr>
              <w:instrText>":</w:instrText>
            </w:r>
            <w:r w:rsidR="00053AE8">
              <w:rPr>
                <w:b/>
                <w:bCs/>
                <w:szCs w:val="24"/>
                <w:lang w:val="en-US"/>
              </w:rPr>
              <w:instrText>false</w:instrText>
            </w:r>
            <w:r w:rsidR="00053AE8" w:rsidRPr="002B3AE7">
              <w:rPr>
                <w:b/>
                <w:bCs/>
                <w:szCs w:val="24"/>
              </w:rPr>
              <w:instrText>,"</w:instrText>
            </w:r>
            <w:r w:rsidR="00053AE8">
              <w:rPr>
                <w:b/>
                <w:bCs/>
                <w:szCs w:val="24"/>
                <w:lang w:val="en-US"/>
              </w:rPr>
              <w:instrText>suffix</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family</w:instrText>
            </w:r>
            <w:r w:rsidR="00053AE8" w:rsidRPr="002B3AE7">
              <w:rPr>
                <w:b/>
                <w:bCs/>
                <w:szCs w:val="24"/>
              </w:rPr>
              <w:instrText>":"</w:instrText>
            </w:r>
            <w:r w:rsidR="00053AE8">
              <w:rPr>
                <w:b/>
                <w:bCs/>
                <w:szCs w:val="24"/>
                <w:lang w:val="en-US"/>
              </w:rPr>
              <w:instrText>Hansmann</w:instrText>
            </w:r>
            <w:r w:rsidR="00053AE8" w:rsidRPr="002B3AE7">
              <w:rPr>
                <w:b/>
                <w:bCs/>
                <w:szCs w:val="24"/>
              </w:rPr>
              <w:instrText>","</w:instrText>
            </w:r>
            <w:r w:rsidR="00053AE8">
              <w:rPr>
                <w:b/>
                <w:bCs/>
                <w:szCs w:val="24"/>
                <w:lang w:val="en-US"/>
              </w:rPr>
              <w:instrText>given</w:instrText>
            </w:r>
            <w:r w:rsidR="00053AE8" w:rsidRPr="002B3AE7">
              <w:rPr>
                <w:b/>
                <w:bCs/>
                <w:szCs w:val="24"/>
              </w:rPr>
              <w:instrText>":"</w:instrText>
            </w:r>
            <w:r w:rsidR="00053AE8">
              <w:rPr>
                <w:b/>
                <w:bCs/>
                <w:szCs w:val="24"/>
                <w:lang w:val="en-US"/>
              </w:rPr>
              <w:instrText>M</w:instrText>
            </w:r>
            <w:r w:rsidR="00053AE8" w:rsidRPr="002B3AE7">
              <w:rPr>
                <w:b/>
                <w:bCs/>
                <w:szCs w:val="24"/>
              </w:rPr>
              <w:instrText xml:space="preserve"> </w:instrText>
            </w:r>
            <w:r w:rsidR="00053AE8">
              <w:rPr>
                <w:b/>
                <w:bCs/>
                <w:szCs w:val="24"/>
                <w:lang w:val="en-US"/>
              </w:rPr>
              <w:instrText>L</w:instrText>
            </w:r>
            <w:r w:rsidR="00053AE8" w:rsidRPr="002B3AE7">
              <w:rPr>
                <w:b/>
                <w:bCs/>
                <w:szCs w:val="24"/>
              </w:rPr>
              <w:instrText>","</w:instrText>
            </w:r>
            <w:r w:rsidR="00053AE8">
              <w:rPr>
                <w:b/>
                <w:bCs/>
                <w:szCs w:val="24"/>
                <w:lang w:val="en-US"/>
              </w:rPr>
              <w:instrText>non</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parse</w:instrText>
            </w:r>
            <w:r w:rsidR="00053AE8" w:rsidRPr="002B3AE7">
              <w:rPr>
                <w:b/>
                <w:bCs/>
                <w:szCs w:val="24"/>
              </w:rPr>
              <w:instrText>-</w:instrText>
            </w:r>
            <w:r w:rsidR="00053AE8">
              <w:rPr>
                <w:b/>
                <w:bCs/>
                <w:szCs w:val="24"/>
                <w:lang w:val="en-US"/>
              </w:rPr>
              <w:instrText>names</w:instrText>
            </w:r>
            <w:r w:rsidR="00053AE8" w:rsidRPr="002B3AE7">
              <w:rPr>
                <w:b/>
                <w:bCs/>
                <w:szCs w:val="24"/>
              </w:rPr>
              <w:instrText>":</w:instrText>
            </w:r>
            <w:r w:rsidR="00053AE8">
              <w:rPr>
                <w:b/>
                <w:bCs/>
                <w:szCs w:val="24"/>
                <w:lang w:val="en-US"/>
              </w:rPr>
              <w:instrText>false</w:instrText>
            </w:r>
            <w:r w:rsidR="00053AE8" w:rsidRPr="002B3AE7">
              <w:rPr>
                <w:b/>
                <w:bCs/>
                <w:szCs w:val="24"/>
              </w:rPr>
              <w:instrText>,"</w:instrText>
            </w:r>
            <w:r w:rsidR="00053AE8">
              <w:rPr>
                <w:b/>
                <w:bCs/>
                <w:szCs w:val="24"/>
                <w:lang w:val="en-US"/>
              </w:rPr>
              <w:instrText>suffix</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family</w:instrText>
            </w:r>
            <w:r w:rsidR="00053AE8" w:rsidRPr="002B3AE7">
              <w:rPr>
                <w:b/>
                <w:bCs/>
                <w:szCs w:val="24"/>
              </w:rPr>
              <w:instrText>":"</w:instrText>
            </w:r>
            <w:r w:rsidR="00053AE8">
              <w:rPr>
                <w:b/>
                <w:bCs/>
                <w:szCs w:val="24"/>
                <w:lang w:val="en-US"/>
              </w:rPr>
              <w:instrText>Stein</w:instrText>
            </w:r>
            <w:r w:rsidR="00053AE8" w:rsidRPr="002B3AE7">
              <w:rPr>
                <w:b/>
                <w:bCs/>
                <w:szCs w:val="24"/>
              </w:rPr>
              <w:instrText>","</w:instrText>
            </w:r>
            <w:r w:rsidR="00053AE8">
              <w:rPr>
                <w:b/>
                <w:bCs/>
                <w:szCs w:val="24"/>
                <w:lang w:val="en-US"/>
              </w:rPr>
              <w:instrText>given</w:instrText>
            </w:r>
            <w:r w:rsidR="00053AE8" w:rsidRPr="002B3AE7">
              <w:rPr>
                <w:b/>
                <w:bCs/>
                <w:szCs w:val="24"/>
              </w:rPr>
              <w:instrText>":"</w:instrText>
            </w:r>
            <w:r w:rsidR="00053AE8">
              <w:rPr>
                <w:b/>
                <w:bCs/>
                <w:szCs w:val="24"/>
                <w:lang w:val="en-US"/>
              </w:rPr>
              <w:instrText>H</w:instrText>
            </w:r>
            <w:r w:rsidR="00053AE8" w:rsidRPr="002B3AE7">
              <w:rPr>
                <w:b/>
                <w:bCs/>
                <w:szCs w:val="24"/>
              </w:rPr>
              <w:instrText>","</w:instrText>
            </w:r>
            <w:r w:rsidR="00053AE8">
              <w:rPr>
                <w:b/>
                <w:bCs/>
                <w:szCs w:val="24"/>
                <w:lang w:val="en-US"/>
              </w:rPr>
              <w:instrText>non</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parse</w:instrText>
            </w:r>
            <w:r w:rsidR="00053AE8" w:rsidRPr="002B3AE7">
              <w:rPr>
                <w:b/>
                <w:bCs/>
                <w:szCs w:val="24"/>
              </w:rPr>
              <w:instrText>-</w:instrText>
            </w:r>
            <w:r w:rsidR="00053AE8">
              <w:rPr>
                <w:b/>
                <w:bCs/>
                <w:szCs w:val="24"/>
                <w:lang w:val="en-US"/>
              </w:rPr>
              <w:instrText>names</w:instrText>
            </w:r>
            <w:r w:rsidR="00053AE8" w:rsidRPr="002B3AE7">
              <w:rPr>
                <w:b/>
                <w:bCs/>
                <w:szCs w:val="24"/>
              </w:rPr>
              <w:instrText>":</w:instrText>
            </w:r>
            <w:r w:rsidR="00053AE8">
              <w:rPr>
                <w:b/>
                <w:bCs/>
                <w:szCs w:val="24"/>
                <w:lang w:val="en-US"/>
              </w:rPr>
              <w:instrText>false</w:instrText>
            </w:r>
            <w:r w:rsidR="00053AE8" w:rsidRPr="002B3AE7">
              <w:rPr>
                <w:b/>
                <w:bCs/>
                <w:szCs w:val="24"/>
              </w:rPr>
              <w:instrText>,"</w:instrText>
            </w:r>
            <w:r w:rsidR="00053AE8">
              <w:rPr>
                <w:b/>
                <w:bCs/>
                <w:szCs w:val="24"/>
                <w:lang w:val="en-US"/>
              </w:rPr>
              <w:instrText>suffix</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family</w:instrText>
            </w:r>
            <w:r w:rsidR="00053AE8" w:rsidRPr="002B3AE7">
              <w:rPr>
                <w:b/>
                <w:bCs/>
                <w:szCs w:val="24"/>
              </w:rPr>
              <w:instrText>":"</w:instrText>
            </w:r>
            <w:r w:rsidR="00053AE8">
              <w:rPr>
                <w:b/>
                <w:bCs/>
                <w:szCs w:val="24"/>
                <w:lang w:val="en-US"/>
              </w:rPr>
              <w:instrText>Schober</w:instrText>
            </w:r>
            <w:r w:rsidR="00053AE8" w:rsidRPr="002B3AE7">
              <w:rPr>
                <w:b/>
                <w:bCs/>
                <w:szCs w:val="24"/>
              </w:rPr>
              <w:instrText>","</w:instrText>
            </w:r>
            <w:r w:rsidR="00053AE8">
              <w:rPr>
                <w:b/>
                <w:bCs/>
                <w:szCs w:val="24"/>
                <w:lang w:val="en-US"/>
              </w:rPr>
              <w:instrText>given</w:instrText>
            </w:r>
            <w:r w:rsidR="00053AE8" w:rsidRPr="002B3AE7">
              <w:rPr>
                <w:b/>
                <w:bCs/>
                <w:szCs w:val="24"/>
              </w:rPr>
              <w:instrText>":"</w:instrText>
            </w:r>
            <w:r w:rsidR="00053AE8">
              <w:rPr>
                <w:b/>
                <w:bCs/>
                <w:szCs w:val="24"/>
                <w:lang w:val="en-US"/>
              </w:rPr>
              <w:instrText>T</w:instrText>
            </w:r>
            <w:r w:rsidR="00053AE8" w:rsidRPr="002B3AE7">
              <w:rPr>
                <w:b/>
                <w:bCs/>
                <w:szCs w:val="24"/>
              </w:rPr>
              <w:instrText>","</w:instrText>
            </w:r>
            <w:r w:rsidR="00053AE8">
              <w:rPr>
                <w:b/>
                <w:bCs/>
                <w:szCs w:val="24"/>
                <w:lang w:val="en-US"/>
              </w:rPr>
              <w:instrText>non</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parse</w:instrText>
            </w:r>
            <w:r w:rsidR="00053AE8" w:rsidRPr="002B3AE7">
              <w:rPr>
                <w:b/>
                <w:bCs/>
                <w:szCs w:val="24"/>
              </w:rPr>
              <w:instrText>-</w:instrText>
            </w:r>
            <w:r w:rsidR="00053AE8">
              <w:rPr>
                <w:b/>
                <w:bCs/>
                <w:szCs w:val="24"/>
                <w:lang w:val="en-US"/>
              </w:rPr>
              <w:instrText>names</w:instrText>
            </w:r>
            <w:r w:rsidR="00053AE8" w:rsidRPr="002B3AE7">
              <w:rPr>
                <w:b/>
                <w:bCs/>
                <w:szCs w:val="24"/>
              </w:rPr>
              <w:instrText>":</w:instrText>
            </w:r>
            <w:r w:rsidR="00053AE8">
              <w:rPr>
                <w:b/>
                <w:bCs/>
                <w:szCs w:val="24"/>
                <w:lang w:val="en-US"/>
              </w:rPr>
              <w:instrText>false</w:instrText>
            </w:r>
            <w:r w:rsidR="00053AE8" w:rsidRPr="002B3AE7">
              <w:rPr>
                <w:b/>
                <w:bCs/>
                <w:szCs w:val="24"/>
              </w:rPr>
              <w:instrText>,"</w:instrText>
            </w:r>
            <w:r w:rsidR="00053AE8">
              <w:rPr>
                <w:b/>
                <w:bCs/>
                <w:szCs w:val="24"/>
                <w:lang w:val="en-US"/>
              </w:rPr>
              <w:instrText>suffix</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family</w:instrText>
            </w:r>
            <w:r w:rsidR="00053AE8" w:rsidRPr="002B3AE7">
              <w:rPr>
                <w:b/>
                <w:bCs/>
                <w:szCs w:val="24"/>
              </w:rPr>
              <w:instrText>":"</w:instrText>
            </w:r>
            <w:r w:rsidR="00053AE8">
              <w:rPr>
                <w:b/>
                <w:bCs/>
                <w:szCs w:val="24"/>
                <w:lang w:val="en-US"/>
              </w:rPr>
              <w:instrText>Koch</w:instrText>
            </w:r>
            <w:r w:rsidR="00053AE8" w:rsidRPr="002B3AE7">
              <w:rPr>
                <w:b/>
                <w:bCs/>
                <w:szCs w:val="24"/>
              </w:rPr>
              <w:instrText>","</w:instrText>
            </w:r>
            <w:r w:rsidR="00053AE8">
              <w:rPr>
                <w:b/>
                <w:bCs/>
                <w:szCs w:val="24"/>
                <w:lang w:val="en-US"/>
              </w:rPr>
              <w:instrText>given</w:instrText>
            </w:r>
            <w:r w:rsidR="00053AE8" w:rsidRPr="002B3AE7">
              <w:rPr>
                <w:b/>
                <w:bCs/>
                <w:szCs w:val="24"/>
              </w:rPr>
              <w:instrText>":"</w:instrText>
            </w:r>
            <w:r w:rsidR="00053AE8">
              <w:rPr>
                <w:b/>
                <w:bCs/>
                <w:szCs w:val="24"/>
                <w:lang w:val="en-US"/>
              </w:rPr>
              <w:instrText>B</w:instrText>
            </w:r>
            <w:r w:rsidR="00053AE8" w:rsidRPr="002B3AE7">
              <w:rPr>
                <w:b/>
                <w:bCs/>
                <w:szCs w:val="24"/>
              </w:rPr>
              <w:instrText>","</w:instrText>
            </w:r>
            <w:r w:rsidR="00053AE8">
              <w:rPr>
                <w:b/>
                <w:bCs/>
                <w:szCs w:val="24"/>
                <w:lang w:val="en-US"/>
              </w:rPr>
              <w:instrText>non</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parse</w:instrText>
            </w:r>
            <w:r w:rsidR="00053AE8" w:rsidRPr="002B3AE7">
              <w:rPr>
                <w:b/>
                <w:bCs/>
                <w:szCs w:val="24"/>
              </w:rPr>
              <w:instrText>-</w:instrText>
            </w:r>
            <w:r w:rsidR="00053AE8">
              <w:rPr>
                <w:b/>
                <w:bCs/>
                <w:szCs w:val="24"/>
                <w:lang w:val="en-US"/>
              </w:rPr>
              <w:instrText>names</w:instrText>
            </w:r>
            <w:r w:rsidR="00053AE8" w:rsidRPr="002B3AE7">
              <w:rPr>
                <w:b/>
                <w:bCs/>
                <w:szCs w:val="24"/>
              </w:rPr>
              <w:instrText>":</w:instrText>
            </w:r>
            <w:r w:rsidR="00053AE8">
              <w:rPr>
                <w:b/>
                <w:bCs/>
                <w:szCs w:val="24"/>
                <w:lang w:val="en-US"/>
              </w:rPr>
              <w:instrText>false</w:instrText>
            </w:r>
            <w:r w:rsidR="00053AE8" w:rsidRPr="002B3AE7">
              <w:rPr>
                <w:b/>
                <w:bCs/>
                <w:szCs w:val="24"/>
              </w:rPr>
              <w:instrText>,"</w:instrText>
            </w:r>
            <w:r w:rsidR="00053AE8">
              <w:rPr>
                <w:b/>
                <w:bCs/>
                <w:szCs w:val="24"/>
                <w:lang w:val="en-US"/>
              </w:rPr>
              <w:instrText>suffix</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family</w:instrText>
            </w:r>
            <w:r w:rsidR="00053AE8" w:rsidRPr="002B3AE7">
              <w:rPr>
                <w:b/>
                <w:bCs/>
                <w:szCs w:val="24"/>
              </w:rPr>
              <w:instrText>":"</w:instrText>
            </w:r>
            <w:r w:rsidR="00053AE8">
              <w:rPr>
                <w:b/>
                <w:bCs/>
                <w:szCs w:val="24"/>
                <w:lang w:val="en-US"/>
              </w:rPr>
              <w:instrText>German</w:instrText>
            </w:r>
            <w:r w:rsidR="00053AE8" w:rsidRPr="002B3AE7">
              <w:rPr>
                <w:b/>
                <w:bCs/>
                <w:szCs w:val="24"/>
              </w:rPr>
              <w:instrText xml:space="preserve"> </w:instrText>
            </w:r>
            <w:r w:rsidR="00053AE8">
              <w:rPr>
                <w:b/>
                <w:bCs/>
                <w:szCs w:val="24"/>
                <w:lang w:val="en-US"/>
              </w:rPr>
              <w:instrText>Hodgkin</w:instrText>
            </w:r>
            <w:r w:rsidR="00053AE8" w:rsidRPr="002B3AE7">
              <w:rPr>
                <w:b/>
                <w:bCs/>
                <w:szCs w:val="24"/>
              </w:rPr>
              <w:instrText>'</w:instrText>
            </w:r>
            <w:r w:rsidR="00053AE8">
              <w:rPr>
                <w:b/>
                <w:bCs/>
                <w:szCs w:val="24"/>
                <w:lang w:val="en-US"/>
              </w:rPr>
              <w:instrText>s</w:instrText>
            </w:r>
            <w:r w:rsidR="00053AE8" w:rsidRPr="002B3AE7">
              <w:rPr>
                <w:b/>
                <w:bCs/>
                <w:szCs w:val="24"/>
              </w:rPr>
              <w:instrText xml:space="preserve"> </w:instrText>
            </w:r>
            <w:r w:rsidR="00053AE8">
              <w:rPr>
                <w:b/>
                <w:bCs/>
                <w:szCs w:val="24"/>
                <w:lang w:val="en-US"/>
              </w:rPr>
              <w:instrText>Lymphoma</w:instrText>
            </w:r>
            <w:r w:rsidR="00053AE8" w:rsidRPr="002B3AE7">
              <w:rPr>
                <w:b/>
                <w:bCs/>
                <w:szCs w:val="24"/>
              </w:rPr>
              <w:instrText xml:space="preserve"> </w:instrText>
            </w:r>
            <w:r w:rsidR="00053AE8">
              <w:rPr>
                <w:b/>
                <w:bCs/>
                <w:szCs w:val="24"/>
                <w:lang w:val="en-US"/>
              </w:rPr>
              <w:instrText>Study</w:instrText>
            </w:r>
            <w:r w:rsidR="00053AE8" w:rsidRPr="002B3AE7">
              <w:rPr>
                <w:b/>
                <w:bCs/>
                <w:szCs w:val="24"/>
              </w:rPr>
              <w:instrText xml:space="preserve"> </w:instrText>
            </w:r>
            <w:r w:rsidR="00053AE8">
              <w:rPr>
                <w:b/>
                <w:bCs/>
                <w:szCs w:val="24"/>
                <w:lang w:val="en-US"/>
              </w:rPr>
              <w:instrText>Group</w:instrText>
            </w:r>
            <w:r w:rsidR="00053AE8" w:rsidRPr="002B3AE7">
              <w:rPr>
                <w:b/>
                <w:bCs/>
                <w:szCs w:val="24"/>
              </w:rPr>
              <w:instrText>","</w:instrText>
            </w:r>
            <w:r w:rsidR="00053AE8">
              <w:rPr>
                <w:b/>
                <w:bCs/>
                <w:szCs w:val="24"/>
                <w:lang w:val="en-US"/>
              </w:rPr>
              <w:instrText>given</w:instrText>
            </w:r>
            <w:r w:rsidR="00053AE8" w:rsidRPr="002B3AE7">
              <w:rPr>
                <w:b/>
                <w:bCs/>
                <w:szCs w:val="24"/>
              </w:rPr>
              <w:instrText>":"","</w:instrText>
            </w:r>
            <w:r w:rsidR="00053AE8">
              <w:rPr>
                <w:b/>
                <w:bCs/>
                <w:szCs w:val="24"/>
                <w:lang w:val="en-US"/>
              </w:rPr>
              <w:instrText>non</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parse</w:instrText>
            </w:r>
            <w:r w:rsidR="00053AE8" w:rsidRPr="002B3AE7">
              <w:rPr>
                <w:b/>
                <w:bCs/>
                <w:szCs w:val="24"/>
              </w:rPr>
              <w:instrText>-</w:instrText>
            </w:r>
            <w:r w:rsidR="00053AE8">
              <w:rPr>
                <w:b/>
                <w:bCs/>
                <w:szCs w:val="24"/>
                <w:lang w:val="en-US"/>
              </w:rPr>
              <w:instrText>names</w:instrText>
            </w:r>
            <w:r w:rsidR="00053AE8" w:rsidRPr="002B3AE7">
              <w:rPr>
                <w:b/>
                <w:bCs/>
                <w:szCs w:val="24"/>
              </w:rPr>
              <w:instrText>":</w:instrText>
            </w:r>
            <w:r w:rsidR="00053AE8">
              <w:rPr>
                <w:b/>
                <w:bCs/>
                <w:szCs w:val="24"/>
                <w:lang w:val="en-US"/>
              </w:rPr>
              <w:instrText>false</w:instrText>
            </w:r>
            <w:r w:rsidR="00053AE8" w:rsidRPr="002B3AE7">
              <w:rPr>
                <w:b/>
                <w:bCs/>
                <w:szCs w:val="24"/>
              </w:rPr>
              <w:instrText>,"</w:instrText>
            </w:r>
            <w:r w:rsidR="00053AE8">
              <w:rPr>
                <w:b/>
                <w:bCs/>
                <w:szCs w:val="24"/>
                <w:lang w:val="en-US"/>
              </w:rPr>
              <w:instrText>suffix</w:instrText>
            </w:r>
            <w:r w:rsidR="00053AE8" w:rsidRPr="002B3AE7">
              <w:rPr>
                <w:b/>
                <w:bCs/>
                <w:szCs w:val="24"/>
              </w:rPr>
              <w:instrText>":""}],"</w:instrText>
            </w:r>
            <w:r w:rsidR="00053AE8">
              <w:rPr>
                <w:b/>
                <w:bCs/>
                <w:szCs w:val="24"/>
                <w:lang w:val="en-US"/>
              </w:rPr>
              <w:instrText>container</w:instrText>
            </w:r>
            <w:r w:rsidR="00053AE8" w:rsidRPr="002B3AE7">
              <w:rPr>
                <w:b/>
                <w:bCs/>
                <w:szCs w:val="24"/>
              </w:rPr>
              <w:instrText>-</w:instrText>
            </w:r>
            <w:r w:rsidR="00053AE8">
              <w:rPr>
                <w:b/>
                <w:bCs/>
                <w:szCs w:val="24"/>
                <w:lang w:val="en-US"/>
              </w:rPr>
              <w:instrText>title</w:instrText>
            </w:r>
            <w:r w:rsidR="00053AE8" w:rsidRPr="002B3AE7">
              <w:rPr>
                <w:b/>
                <w:bCs/>
                <w:szCs w:val="24"/>
              </w:rPr>
              <w:instrText>":"</w:instrText>
            </w:r>
            <w:r w:rsidR="00053AE8">
              <w:rPr>
                <w:b/>
                <w:bCs/>
                <w:szCs w:val="24"/>
                <w:lang w:val="en-US"/>
              </w:rPr>
              <w:instrText>Annals</w:instrText>
            </w:r>
            <w:r w:rsidR="00053AE8" w:rsidRPr="002B3AE7">
              <w:rPr>
                <w:b/>
                <w:bCs/>
                <w:szCs w:val="24"/>
              </w:rPr>
              <w:instrText xml:space="preserve"> </w:instrText>
            </w:r>
            <w:r w:rsidR="00053AE8">
              <w:rPr>
                <w:b/>
                <w:bCs/>
                <w:szCs w:val="24"/>
                <w:lang w:val="en-US"/>
              </w:rPr>
              <w:instrText>of</w:instrText>
            </w:r>
            <w:r w:rsidR="00053AE8" w:rsidRPr="002B3AE7">
              <w:rPr>
                <w:b/>
                <w:bCs/>
                <w:szCs w:val="24"/>
              </w:rPr>
              <w:instrText xml:space="preserve"> </w:instrText>
            </w:r>
            <w:r w:rsidR="00053AE8">
              <w:rPr>
                <w:b/>
                <w:bCs/>
                <w:szCs w:val="24"/>
                <w:lang w:val="en-US"/>
              </w:rPr>
              <w:instrText>oncology</w:instrText>
            </w:r>
            <w:r w:rsidR="00053AE8" w:rsidRPr="002B3AE7">
              <w:rPr>
                <w:b/>
                <w:bCs/>
                <w:szCs w:val="24"/>
              </w:rPr>
              <w:instrText xml:space="preserve"> : </w:instrText>
            </w:r>
            <w:r w:rsidR="00053AE8">
              <w:rPr>
                <w:b/>
                <w:bCs/>
                <w:szCs w:val="24"/>
                <w:lang w:val="en-US"/>
              </w:rPr>
              <w:instrText>official</w:instrText>
            </w:r>
            <w:r w:rsidR="00053AE8" w:rsidRPr="002B3AE7">
              <w:rPr>
                <w:b/>
                <w:bCs/>
                <w:szCs w:val="24"/>
              </w:rPr>
              <w:instrText xml:space="preserve"> </w:instrText>
            </w:r>
            <w:r w:rsidR="00053AE8">
              <w:rPr>
                <w:b/>
                <w:bCs/>
                <w:szCs w:val="24"/>
                <w:lang w:val="en-US"/>
              </w:rPr>
              <w:instrText>journal</w:instrText>
            </w:r>
            <w:r w:rsidR="00053AE8" w:rsidRPr="002B3AE7">
              <w:rPr>
                <w:b/>
                <w:bCs/>
                <w:szCs w:val="24"/>
              </w:rPr>
              <w:instrText xml:space="preserve"> </w:instrText>
            </w:r>
            <w:r w:rsidR="00053AE8">
              <w:rPr>
                <w:b/>
                <w:bCs/>
                <w:szCs w:val="24"/>
                <w:lang w:val="en-US"/>
              </w:rPr>
              <w:instrText>of</w:instrText>
            </w:r>
            <w:r w:rsidR="00053AE8" w:rsidRPr="002B3AE7">
              <w:rPr>
                <w:b/>
                <w:bCs/>
                <w:szCs w:val="24"/>
              </w:rPr>
              <w:instrText xml:space="preserve"> </w:instrText>
            </w:r>
            <w:r w:rsidR="00053AE8">
              <w:rPr>
                <w:b/>
                <w:bCs/>
                <w:szCs w:val="24"/>
                <w:lang w:val="en-US"/>
              </w:rPr>
              <w:instrText>the</w:instrText>
            </w:r>
            <w:r w:rsidR="00053AE8" w:rsidRPr="002B3AE7">
              <w:rPr>
                <w:b/>
                <w:bCs/>
                <w:szCs w:val="24"/>
              </w:rPr>
              <w:instrText xml:space="preserve"> </w:instrText>
            </w:r>
            <w:r w:rsidR="00053AE8">
              <w:rPr>
                <w:b/>
                <w:bCs/>
                <w:szCs w:val="24"/>
                <w:lang w:val="en-US"/>
              </w:rPr>
              <w:instrText>European</w:instrText>
            </w:r>
            <w:r w:rsidR="00053AE8" w:rsidRPr="002B3AE7">
              <w:rPr>
                <w:b/>
                <w:bCs/>
                <w:szCs w:val="24"/>
              </w:rPr>
              <w:instrText xml:space="preserve"> </w:instrText>
            </w:r>
            <w:r w:rsidR="00053AE8">
              <w:rPr>
                <w:b/>
                <w:bCs/>
                <w:szCs w:val="24"/>
                <w:lang w:val="en-US"/>
              </w:rPr>
              <w:instrText>Society</w:instrText>
            </w:r>
            <w:r w:rsidR="00053AE8" w:rsidRPr="002B3AE7">
              <w:rPr>
                <w:b/>
                <w:bCs/>
                <w:szCs w:val="24"/>
              </w:rPr>
              <w:instrText xml:space="preserve"> </w:instrText>
            </w:r>
            <w:r w:rsidR="00053AE8">
              <w:rPr>
                <w:b/>
                <w:bCs/>
                <w:szCs w:val="24"/>
                <w:lang w:val="en-US"/>
              </w:rPr>
              <w:instrText>for</w:instrText>
            </w:r>
            <w:r w:rsidR="00053AE8" w:rsidRPr="002B3AE7">
              <w:rPr>
                <w:b/>
                <w:bCs/>
                <w:szCs w:val="24"/>
              </w:rPr>
              <w:instrText xml:space="preserve"> </w:instrText>
            </w:r>
            <w:r w:rsidR="00053AE8">
              <w:rPr>
                <w:b/>
                <w:bCs/>
                <w:szCs w:val="24"/>
                <w:lang w:val="en-US"/>
              </w:rPr>
              <w:instrText>Medical</w:instrText>
            </w:r>
            <w:r w:rsidR="00053AE8" w:rsidRPr="002B3AE7">
              <w:rPr>
                <w:b/>
                <w:bCs/>
                <w:szCs w:val="24"/>
              </w:rPr>
              <w:instrText xml:space="preserve"> </w:instrText>
            </w:r>
            <w:r w:rsidR="00053AE8">
              <w:rPr>
                <w:b/>
                <w:bCs/>
                <w:szCs w:val="24"/>
                <w:lang w:val="en-US"/>
              </w:rPr>
              <w:instrText>Oncology</w:instrText>
            </w:r>
            <w:r w:rsidR="00053AE8" w:rsidRPr="002B3AE7">
              <w:rPr>
                <w:b/>
                <w:bCs/>
                <w:szCs w:val="24"/>
              </w:rPr>
              <w:instrText>","</w:instrText>
            </w:r>
            <w:r w:rsidR="00053AE8">
              <w:rPr>
                <w:b/>
                <w:bCs/>
                <w:szCs w:val="24"/>
                <w:lang w:val="en-US"/>
              </w:rPr>
              <w:instrText>id</w:instrText>
            </w:r>
            <w:r w:rsidR="00053AE8" w:rsidRPr="002B3AE7">
              <w:rPr>
                <w:b/>
                <w:bCs/>
                <w:szCs w:val="24"/>
              </w:rPr>
              <w:instrText>":"</w:instrText>
            </w:r>
            <w:r w:rsidR="00053AE8">
              <w:rPr>
                <w:b/>
                <w:bCs/>
                <w:szCs w:val="24"/>
                <w:lang w:val="en-US"/>
              </w:rPr>
              <w:instrText>ITEM</w:instrText>
            </w:r>
            <w:r w:rsidR="00053AE8" w:rsidRPr="002B3AE7">
              <w:rPr>
                <w:b/>
                <w:bCs/>
                <w:szCs w:val="24"/>
              </w:rPr>
              <w:instrText>-1","</w:instrText>
            </w:r>
            <w:r w:rsidR="00053AE8">
              <w:rPr>
                <w:b/>
                <w:bCs/>
                <w:szCs w:val="24"/>
                <w:lang w:val="en-US"/>
              </w:rPr>
              <w:instrText>issue</w:instrText>
            </w:r>
            <w:r w:rsidR="00053AE8" w:rsidRPr="002B3AE7">
              <w:rPr>
                <w:b/>
                <w:bCs/>
                <w:szCs w:val="24"/>
              </w:rPr>
              <w:instrText>":"2","</w:instrText>
            </w:r>
            <w:r w:rsidR="00053AE8">
              <w:rPr>
                <w:b/>
                <w:bCs/>
                <w:szCs w:val="24"/>
                <w:lang w:val="en-US"/>
              </w:rPr>
              <w:instrText>issued</w:instrText>
            </w:r>
            <w:r w:rsidR="00053AE8" w:rsidRPr="002B3AE7">
              <w:rPr>
                <w:b/>
                <w:bCs/>
                <w:szCs w:val="24"/>
              </w:rPr>
              <w:instrText>":{"</w:instrText>
            </w:r>
            <w:r w:rsidR="00053AE8">
              <w:rPr>
                <w:b/>
                <w:bCs/>
                <w:szCs w:val="24"/>
                <w:lang w:val="en-US"/>
              </w:rPr>
              <w:instrText>date</w:instrText>
            </w:r>
            <w:r w:rsidR="00053AE8" w:rsidRPr="002B3AE7">
              <w:rPr>
                <w:b/>
                <w:bCs/>
                <w:szCs w:val="24"/>
              </w:rPr>
              <w:instrText>-</w:instrText>
            </w:r>
            <w:r w:rsidR="00053AE8">
              <w:rPr>
                <w:b/>
                <w:bCs/>
                <w:szCs w:val="24"/>
                <w:lang w:val="en-US"/>
              </w:rPr>
              <w:instrText>parts</w:instrText>
            </w:r>
            <w:r w:rsidR="00053AE8" w:rsidRPr="002B3AE7">
              <w:rPr>
                <w:b/>
                <w:bCs/>
                <w:szCs w:val="24"/>
              </w:rPr>
              <w:instrText>":[["2004","2"]]},"</w:instrText>
            </w:r>
            <w:r w:rsidR="00053AE8">
              <w:rPr>
                <w:b/>
                <w:bCs/>
                <w:szCs w:val="24"/>
                <w:lang w:val="en-US"/>
              </w:rPr>
              <w:instrText>page</w:instrText>
            </w:r>
            <w:r w:rsidR="00053AE8" w:rsidRPr="002B3AE7">
              <w:rPr>
                <w:b/>
                <w:bCs/>
                <w:szCs w:val="24"/>
              </w:rPr>
              <w:instrText>":"276-82","</w:instrText>
            </w:r>
            <w:r w:rsidR="00053AE8">
              <w:rPr>
                <w:b/>
                <w:bCs/>
                <w:szCs w:val="24"/>
                <w:lang w:val="en-US"/>
              </w:rPr>
              <w:instrText>title</w:instrText>
            </w:r>
            <w:r w:rsidR="00053AE8" w:rsidRPr="002B3AE7">
              <w:rPr>
                <w:b/>
                <w:bCs/>
                <w:szCs w:val="24"/>
              </w:rPr>
              <w:instrText>":"</w:instrText>
            </w:r>
            <w:r w:rsidR="00053AE8">
              <w:rPr>
                <w:b/>
                <w:bCs/>
                <w:szCs w:val="24"/>
                <w:lang w:val="en-US"/>
              </w:rPr>
              <w:instrText>Treatment</w:instrText>
            </w:r>
            <w:r w:rsidR="00053AE8" w:rsidRPr="002B3AE7">
              <w:rPr>
                <w:b/>
                <w:bCs/>
                <w:szCs w:val="24"/>
              </w:rPr>
              <w:instrText xml:space="preserve"> </w:instrText>
            </w:r>
            <w:r w:rsidR="00053AE8">
              <w:rPr>
                <w:b/>
                <w:bCs/>
                <w:szCs w:val="24"/>
                <w:lang w:val="en-US"/>
              </w:rPr>
              <w:instrText>of</w:instrText>
            </w:r>
            <w:r w:rsidR="00053AE8" w:rsidRPr="002B3AE7">
              <w:rPr>
                <w:b/>
                <w:bCs/>
                <w:szCs w:val="24"/>
              </w:rPr>
              <w:instrText xml:space="preserve"> </w:instrText>
            </w:r>
            <w:r w:rsidR="00053AE8">
              <w:rPr>
                <w:b/>
                <w:bCs/>
                <w:szCs w:val="24"/>
                <w:lang w:val="en-US"/>
              </w:rPr>
              <w:instrText>advanced</w:instrText>
            </w:r>
            <w:r w:rsidR="00053AE8" w:rsidRPr="002B3AE7">
              <w:rPr>
                <w:b/>
                <w:bCs/>
                <w:szCs w:val="24"/>
              </w:rPr>
              <w:instrText xml:space="preserve"> </w:instrText>
            </w:r>
            <w:r w:rsidR="00053AE8">
              <w:rPr>
                <w:b/>
                <w:bCs/>
                <w:szCs w:val="24"/>
                <w:lang w:val="en-US"/>
              </w:rPr>
              <w:instrText>Hodgkin</w:instrText>
            </w:r>
            <w:r w:rsidR="00053AE8" w:rsidRPr="002B3AE7">
              <w:rPr>
                <w:b/>
                <w:bCs/>
                <w:szCs w:val="24"/>
              </w:rPr>
              <w:instrText>'</w:instrText>
            </w:r>
            <w:r w:rsidR="00053AE8">
              <w:rPr>
                <w:b/>
                <w:bCs/>
                <w:szCs w:val="24"/>
                <w:lang w:val="en-US"/>
              </w:rPr>
              <w:instrText>s</w:instrText>
            </w:r>
            <w:r w:rsidR="00053AE8" w:rsidRPr="002B3AE7">
              <w:rPr>
                <w:b/>
                <w:bCs/>
                <w:szCs w:val="24"/>
              </w:rPr>
              <w:instrText xml:space="preserve"> </w:instrText>
            </w:r>
            <w:r w:rsidR="00053AE8">
              <w:rPr>
                <w:b/>
                <w:bCs/>
                <w:szCs w:val="24"/>
                <w:lang w:val="en-US"/>
              </w:rPr>
              <w:instrText>disease</w:instrText>
            </w:r>
            <w:r w:rsidR="00053AE8" w:rsidRPr="002B3AE7">
              <w:rPr>
                <w:b/>
                <w:bCs/>
                <w:szCs w:val="24"/>
              </w:rPr>
              <w:instrText xml:space="preserve"> </w:instrText>
            </w:r>
            <w:r w:rsidR="00053AE8">
              <w:rPr>
                <w:b/>
                <w:bCs/>
                <w:szCs w:val="24"/>
                <w:lang w:val="en-US"/>
              </w:rPr>
              <w:instrText>with</w:instrText>
            </w:r>
            <w:r w:rsidR="00053AE8" w:rsidRPr="002B3AE7">
              <w:rPr>
                <w:b/>
                <w:bCs/>
                <w:szCs w:val="24"/>
              </w:rPr>
              <w:instrText xml:space="preserve"> </w:instrText>
            </w:r>
            <w:r w:rsidR="00053AE8">
              <w:rPr>
                <w:b/>
                <w:bCs/>
                <w:szCs w:val="24"/>
                <w:lang w:val="en-US"/>
              </w:rPr>
              <w:instrText>COPP</w:instrText>
            </w:r>
            <w:r w:rsidR="00053AE8" w:rsidRPr="002B3AE7">
              <w:rPr>
                <w:b/>
                <w:bCs/>
                <w:szCs w:val="24"/>
              </w:rPr>
              <w:instrText>/</w:instrText>
            </w:r>
            <w:r w:rsidR="00053AE8">
              <w:rPr>
                <w:b/>
                <w:bCs/>
                <w:szCs w:val="24"/>
                <w:lang w:val="en-US"/>
              </w:rPr>
              <w:instrText>ABV</w:instrText>
            </w:r>
            <w:r w:rsidR="00053AE8" w:rsidRPr="002B3AE7">
              <w:rPr>
                <w:b/>
                <w:bCs/>
                <w:szCs w:val="24"/>
              </w:rPr>
              <w:instrText>/</w:instrText>
            </w:r>
            <w:r w:rsidR="00053AE8">
              <w:rPr>
                <w:b/>
                <w:bCs/>
                <w:szCs w:val="24"/>
                <w:lang w:val="en-US"/>
              </w:rPr>
              <w:instrText>IMEP</w:instrText>
            </w:r>
            <w:r w:rsidR="00053AE8" w:rsidRPr="002B3AE7">
              <w:rPr>
                <w:b/>
                <w:bCs/>
                <w:szCs w:val="24"/>
              </w:rPr>
              <w:instrText xml:space="preserve"> </w:instrText>
            </w:r>
            <w:r w:rsidR="00053AE8">
              <w:rPr>
                <w:b/>
                <w:bCs/>
                <w:szCs w:val="24"/>
                <w:lang w:val="en-US"/>
              </w:rPr>
              <w:instrText>versus</w:instrText>
            </w:r>
            <w:r w:rsidR="00053AE8" w:rsidRPr="002B3AE7">
              <w:rPr>
                <w:b/>
                <w:bCs/>
                <w:szCs w:val="24"/>
              </w:rPr>
              <w:instrText xml:space="preserve"> </w:instrText>
            </w:r>
            <w:r w:rsidR="00053AE8">
              <w:rPr>
                <w:b/>
                <w:bCs/>
                <w:szCs w:val="24"/>
                <w:lang w:val="en-US"/>
              </w:rPr>
              <w:instrText>COPP</w:instrText>
            </w:r>
            <w:r w:rsidR="00053AE8" w:rsidRPr="002B3AE7">
              <w:rPr>
                <w:b/>
                <w:bCs/>
                <w:szCs w:val="24"/>
              </w:rPr>
              <w:instrText>/</w:instrText>
            </w:r>
            <w:r w:rsidR="00053AE8">
              <w:rPr>
                <w:b/>
                <w:bCs/>
                <w:szCs w:val="24"/>
                <w:lang w:val="en-US"/>
              </w:rPr>
              <w:instrText>ABVD</w:instrText>
            </w:r>
            <w:r w:rsidR="00053AE8" w:rsidRPr="002B3AE7">
              <w:rPr>
                <w:b/>
                <w:bCs/>
                <w:szCs w:val="24"/>
              </w:rPr>
              <w:instrText xml:space="preserve"> </w:instrText>
            </w:r>
            <w:r w:rsidR="00053AE8">
              <w:rPr>
                <w:b/>
                <w:bCs/>
                <w:szCs w:val="24"/>
                <w:lang w:val="en-US"/>
              </w:rPr>
              <w:instrText>and</w:instrText>
            </w:r>
            <w:r w:rsidR="00053AE8" w:rsidRPr="002B3AE7">
              <w:rPr>
                <w:b/>
                <w:bCs/>
                <w:szCs w:val="24"/>
              </w:rPr>
              <w:instrText xml:space="preserve"> </w:instrText>
            </w:r>
            <w:r w:rsidR="00053AE8">
              <w:rPr>
                <w:b/>
                <w:bCs/>
                <w:szCs w:val="24"/>
                <w:lang w:val="en-US"/>
              </w:rPr>
              <w:instrText>consolidating</w:instrText>
            </w:r>
            <w:r w:rsidR="00053AE8" w:rsidRPr="002B3AE7">
              <w:rPr>
                <w:b/>
                <w:bCs/>
                <w:szCs w:val="24"/>
              </w:rPr>
              <w:instrText xml:space="preserve"> </w:instrText>
            </w:r>
            <w:r w:rsidR="00053AE8">
              <w:rPr>
                <w:b/>
                <w:bCs/>
                <w:szCs w:val="24"/>
                <w:lang w:val="en-US"/>
              </w:rPr>
              <w:instrText>radiotherapy</w:instrText>
            </w:r>
            <w:r w:rsidR="00053AE8" w:rsidRPr="002B3AE7">
              <w:rPr>
                <w:b/>
                <w:bCs/>
                <w:szCs w:val="24"/>
              </w:rPr>
              <w:instrText xml:space="preserve">: </w:instrText>
            </w:r>
            <w:r w:rsidR="00053AE8">
              <w:rPr>
                <w:b/>
                <w:bCs/>
                <w:szCs w:val="24"/>
                <w:lang w:val="en-US"/>
              </w:rPr>
              <w:instrText>final</w:instrText>
            </w:r>
            <w:r w:rsidR="00053AE8" w:rsidRPr="002B3AE7">
              <w:rPr>
                <w:b/>
                <w:bCs/>
                <w:szCs w:val="24"/>
              </w:rPr>
              <w:instrText xml:space="preserve"> </w:instrText>
            </w:r>
            <w:r w:rsidR="00053AE8">
              <w:rPr>
                <w:b/>
                <w:bCs/>
                <w:szCs w:val="24"/>
                <w:lang w:val="en-US"/>
              </w:rPr>
              <w:instrText>results</w:instrText>
            </w:r>
            <w:r w:rsidR="00053AE8" w:rsidRPr="002B3AE7">
              <w:rPr>
                <w:b/>
                <w:bCs/>
                <w:szCs w:val="24"/>
              </w:rPr>
              <w:instrText xml:space="preserve"> </w:instrText>
            </w:r>
            <w:r w:rsidR="00053AE8">
              <w:rPr>
                <w:b/>
                <w:bCs/>
                <w:szCs w:val="24"/>
                <w:lang w:val="en-US"/>
              </w:rPr>
              <w:instrText>of</w:instrText>
            </w:r>
            <w:r w:rsidR="00053AE8" w:rsidRPr="002B3AE7">
              <w:rPr>
                <w:b/>
                <w:bCs/>
                <w:szCs w:val="24"/>
              </w:rPr>
              <w:instrText xml:space="preserve"> </w:instrText>
            </w:r>
            <w:r w:rsidR="00053AE8">
              <w:rPr>
                <w:b/>
                <w:bCs/>
                <w:szCs w:val="24"/>
                <w:lang w:val="en-US"/>
              </w:rPr>
              <w:instrText>the</w:instrText>
            </w:r>
            <w:r w:rsidR="00053AE8" w:rsidRPr="002B3AE7">
              <w:rPr>
                <w:b/>
                <w:bCs/>
                <w:szCs w:val="24"/>
              </w:rPr>
              <w:instrText xml:space="preserve"> </w:instrText>
            </w:r>
            <w:r w:rsidR="00053AE8">
              <w:rPr>
                <w:b/>
                <w:bCs/>
                <w:szCs w:val="24"/>
                <w:lang w:val="en-US"/>
              </w:rPr>
              <w:instrText>German</w:instrText>
            </w:r>
            <w:r w:rsidR="00053AE8" w:rsidRPr="002B3AE7">
              <w:rPr>
                <w:b/>
                <w:bCs/>
                <w:szCs w:val="24"/>
              </w:rPr>
              <w:instrText xml:space="preserve"> </w:instrText>
            </w:r>
            <w:r w:rsidR="00053AE8">
              <w:rPr>
                <w:b/>
                <w:bCs/>
                <w:szCs w:val="24"/>
                <w:lang w:val="en-US"/>
              </w:rPr>
              <w:instrText>Hodgkin</w:instrText>
            </w:r>
            <w:r w:rsidR="00053AE8" w:rsidRPr="002B3AE7">
              <w:rPr>
                <w:b/>
                <w:bCs/>
                <w:szCs w:val="24"/>
              </w:rPr>
              <w:instrText>'</w:instrText>
            </w:r>
            <w:r w:rsidR="00053AE8">
              <w:rPr>
                <w:b/>
                <w:bCs/>
                <w:szCs w:val="24"/>
                <w:lang w:val="en-US"/>
              </w:rPr>
              <w:instrText>s</w:instrText>
            </w:r>
            <w:r w:rsidR="00053AE8" w:rsidRPr="002B3AE7">
              <w:rPr>
                <w:b/>
                <w:bCs/>
                <w:szCs w:val="24"/>
              </w:rPr>
              <w:instrText xml:space="preserve"> </w:instrText>
            </w:r>
            <w:r w:rsidR="00053AE8">
              <w:rPr>
                <w:b/>
                <w:bCs/>
                <w:szCs w:val="24"/>
                <w:lang w:val="en-US"/>
              </w:rPr>
              <w:instrText>Lymphoma</w:instrText>
            </w:r>
            <w:r w:rsidR="00053AE8" w:rsidRPr="002B3AE7">
              <w:rPr>
                <w:b/>
                <w:bCs/>
                <w:szCs w:val="24"/>
              </w:rPr>
              <w:instrText xml:space="preserve"> </w:instrText>
            </w:r>
            <w:r w:rsidR="00053AE8">
              <w:rPr>
                <w:b/>
                <w:bCs/>
                <w:szCs w:val="24"/>
                <w:lang w:val="en-US"/>
              </w:rPr>
              <w:instrText>Study</w:instrText>
            </w:r>
            <w:r w:rsidR="00053AE8" w:rsidRPr="002B3AE7">
              <w:rPr>
                <w:b/>
                <w:bCs/>
                <w:szCs w:val="24"/>
              </w:rPr>
              <w:instrText xml:space="preserve"> </w:instrText>
            </w:r>
            <w:r w:rsidR="00053AE8">
              <w:rPr>
                <w:b/>
                <w:bCs/>
                <w:szCs w:val="24"/>
                <w:lang w:val="en-US"/>
              </w:rPr>
              <w:instrText>Group</w:instrText>
            </w:r>
            <w:r w:rsidR="00053AE8" w:rsidRPr="002B3AE7">
              <w:rPr>
                <w:b/>
                <w:bCs/>
                <w:szCs w:val="24"/>
              </w:rPr>
              <w:instrText xml:space="preserve"> </w:instrText>
            </w:r>
            <w:r w:rsidR="00053AE8">
              <w:rPr>
                <w:b/>
                <w:bCs/>
                <w:szCs w:val="24"/>
                <w:lang w:val="en-US"/>
              </w:rPr>
              <w:instrText>HD</w:instrText>
            </w:r>
            <w:r w:rsidR="00053AE8" w:rsidRPr="002B3AE7">
              <w:rPr>
                <w:b/>
                <w:bCs/>
                <w:szCs w:val="24"/>
              </w:rPr>
              <w:instrText xml:space="preserve">6 </w:instrText>
            </w:r>
            <w:r w:rsidR="00053AE8">
              <w:rPr>
                <w:b/>
                <w:bCs/>
                <w:szCs w:val="24"/>
                <w:lang w:val="en-US"/>
              </w:rPr>
              <w:instrText>trial</w:instrText>
            </w:r>
            <w:r w:rsidR="00053AE8" w:rsidRPr="002B3AE7">
              <w:rPr>
                <w:b/>
                <w:bCs/>
                <w:szCs w:val="24"/>
              </w:rPr>
              <w:instrText>.","</w:instrText>
            </w:r>
            <w:r w:rsidR="00053AE8">
              <w:rPr>
                <w:b/>
                <w:bCs/>
                <w:szCs w:val="24"/>
                <w:lang w:val="en-US"/>
              </w:rPr>
              <w:instrText>type</w:instrText>
            </w:r>
            <w:r w:rsidR="00053AE8" w:rsidRPr="002B3AE7">
              <w:rPr>
                <w:b/>
                <w:bCs/>
                <w:szCs w:val="24"/>
              </w:rPr>
              <w:instrText>":"</w:instrText>
            </w:r>
            <w:r w:rsidR="00053AE8">
              <w:rPr>
                <w:b/>
                <w:bCs/>
                <w:szCs w:val="24"/>
                <w:lang w:val="en-US"/>
              </w:rPr>
              <w:instrText>article</w:instrText>
            </w:r>
            <w:r w:rsidR="00053AE8" w:rsidRPr="002B3AE7">
              <w:rPr>
                <w:b/>
                <w:bCs/>
                <w:szCs w:val="24"/>
              </w:rPr>
              <w:instrText>-</w:instrText>
            </w:r>
            <w:r w:rsidR="00053AE8">
              <w:rPr>
                <w:b/>
                <w:bCs/>
                <w:szCs w:val="24"/>
                <w:lang w:val="en-US"/>
              </w:rPr>
              <w:instrText>journal</w:instrText>
            </w:r>
            <w:r w:rsidR="00053AE8" w:rsidRPr="002B3AE7">
              <w:rPr>
                <w:b/>
                <w:bCs/>
                <w:szCs w:val="24"/>
              </w:rPr>
              <w:instrText>","</w:instrText>
            </w:r>
            <w:r w:rsidR="00053AE8">
              <w:rPr>
                <w:b/>
                <w:bCs/>
                <w:szCs w:val="24"/>
                <w:lang w:val="en-US"/>
              </w:rPr>
              <w:instrText>volume</w:instrText>
            </w:r>
            <w:r w:rsidR="00053AE8" w:rsidRPr="002B3AE7">
              <w:rPr>
                <w:b/>
                <w:bCs/>
                <w:szCs w:val="24"/>
              </w:rPr>
              <w:instrText>":"15"},"</w:instrText>
            </w:r>
            <w:r w:rsidR="00053AE8">
              <w:rPr>
                <w:b/>
                <w:bCs/>
                <w:szCs w:val="24"/>
                <w:lang w:val="en-US"/>
              </w:rPr>
              <w:instrText>uris</w:instrText>
            </w:r>
            <w:r w:rsidR="00053AE8" w:rsidRPr="002B3AE7">
              <w:rPr>
                <w:b/>
                <w:bCs/>
                <w:szCs w:val="24"/>
              </w:rPr>
              <w:instrText>":["</w:instrText>
            </w:r>
            <w:r w:rsidR="00053AE8">
              <w:rPr>
                <w:b/>
                <w:bCs/>
                <w:szCs w:val="24"/>
                <w:lang w:val="en-US"/>
              </w:rPr>
              <w:instrText>http</w:instrText>
            </w:r>
            <w:r w:rsidR="00053AE8" w:rsidRPr="002B3AE7">
              <w:rPr>
                <w:b/>
                <w:bCs/>
                <w:szCs w:val="24"/>
              </w:rPr>
              <w:instrText>://</w:instrText>
            </w:r>
            <w:r w:rsidR="00053AE8">
              <w:rPr>
                <w:b/>
                <w:bCs/>
                <w:szCs w:val="24"/>
                <w:lang w:val="en-US"/>
              </w:rPr>
              <w:instrText>www</w:instrText>
            </w:r>
            <w:r w:rsidR="00053AE8" w:rsidRPr="002B3AE7">
              <w:rPr>
                <w:b/>
                <w:bCs/>
                <w:szCs w:val="24"/>
              </w:rPr>
              <w:instrText>.</w:instrText>
            </w:r>
            <w:r w:rsidR="00053AE8">
              <w:rPr>
                <w:b/>
                <w:bCs/>
                <w:szCs w:val="24"/>
                <w:lang w:val="en-US"/>
              </w:rPr>
              <w:instrText>mendeley</w:instrText>
            </w:r>
            <w:r w:rsidR="00053AE8" w:rsidRPr="002B3AE7">
              <w:rPr>
                <w:b/>
                <w:bCs/>
                <w:szCs w:val="24"/>
              </w:rPr>
              <w:instrText>.</w:instrText>
            </w:r>
            <w:r w:rsidR="00053AE8">
              <w:rPr>
                <w:b/>
                <w:bCs/>
                <w:szCs w:val="24"/>
                <w:lang w:val="en-US"/>
              </w:rPr>
              <w:instrText>com</w:instrText>
            </w:r>
            <w:r w:rsidR="00053AE8" w:rsidRPr="002B3AE7">
              <w:rPr>
                <w:b/>
                <w:bCs/>
                <w:szCs w:val="24"/>
              </w:rPr>
              <w:instrText>/</w:instrText>
            </w:r>
            <w:r w:rsidR="00053AE8">
              <w:rPr>
                <w:b/>
                <w:bCs/>
                <w:szCs w:val="24"/>
                <w:lang w:val="en-US"/>
              </w:rPr>
              <w:instrText>documents</w:instrText>
            </w:r>
            <w:r w:rsidR="00053AE8" w:rsidRPr="002B3AE7">
              <w:rPr>
                <w:b/>
                <w:bCs/>
                <w:szCs w:val="24"/>
              </w:rPr>
              <w:instrText>/?</w:instrText>
            </w:r>
            <w:r w:rsidR="00053AE8">
              <w:rPr>
                <w:b/>
                <w:bCs/>
                <w:szCs w:val="24"/>
                <w:lang w:val="en-US"/>
              </w:rPr>
              <w:instrText>uuid</w:instrText>
            </w:r>
            <w:r w:rsidR="00053AE8" w:rsidRPr="002B3AE7">
              <w:rPr>
                <w:b/>
                <w:bCs/>
                <w:szCs w:val="24"/>
              </w:rPr>
              <w:instrText>=5</w:instrText>
            </w:r>
            <w:r w:rsidR="00053AE8">
              <w:rPr>
                <w:b/>
                <w:bCs/>
                <w:szCs w:val="24"/>
                <w:lang w:val="en-US"/>
              </w:rPr>
              <w:instrText>ccb</w:instrText>
            </w:r>
            <w:r w:rsidR="00053AE8" w:rsidRPr="002B3AE7">
              <w:rPr>
                <w:b/>
                <w:bCs/>
                <w:szCs w:val="24"/>
              </w:rPr>
              <w:instrText>07</w:instrText>
            </w:r>
            <w:r w:rsidR="00053AE8">
              <w:rPr>
                <w:b/>
                <w:bCs/>
                <w:szCs w:val="24"/>
                <w:lang w:val="en-US"/>
              </w:rPr>
              <w:instrText>ba</w:instrText>
            </w:r>
            <w:r w:rsidR="00053AE8" w:rsidRPr="002B3AE7">
              <w:rPr>
                <w:b/>
                <w:bCs/>
                <w:szCs w:val="24"/>
              </w:rPr>
              <w:instrText>-9905-3</w:instrText>
            </w:r>
            <w:r w:rsidR="00053AE8">
              <w:rPr>
                <w:b/>
                <w:bCs/>
                <w:szCs w:val="24"/>
                <w:lang w:val="en-US"/>
              </w:rPr>
              <w:instrText>cd</w:instrText>
            </w:r>
            <w:r w:rsidR="00053AE8" w:rsidRPr="002B3AE7">
              <w:rPr>
                <w:b/>
                <w:bCs/>
                <w:szCs w:val="24"/>
              </w:rPr>
              <w:instrText>3-</w:instrText>
            </w:r>
            <w:r w:rsidR="00053AE8">
              <w:rPr>
                <w:b/>
                <w:bCs/>
                <w:szCs w:val="24"/>
                <w:lang w:val="en-US"/>
              </w:rPr>
              <w:instrText>a</w:instrText>
            </w:r>
            <w:r w:rsidR="00053AE8" w:rsidRPr="002B3AE7">
              <w:rPr>
                <w:b/>
                <w:bCs/>
                <w:szCs w:val="24"/>
              </w:rPr>
              <w:instrText>278-500</w:instrText>
            </w:r>
            <w:r w:rsidR="00053AE8">
              <w:rPr>
                <w:b/>
                <w:bCs/>
                <w:szCs w:val="24"/>
                <w:lang w:val="en-US"/>
              </w:rPr>
              <w:instrText>b</w:instrText>
            </w:r>
            <w:r w:rsidR="00053AE8" w:rsidRPr="002B3AE7">
              <w:rPr>
                <w:b/>
                <w:bCs/>
                <w:szCs w:val="24"/>
              </w:rPr>
              <w:instrText>4289</w:instrText>
            </w:r>
            <w:r w:rsidR="00053AE8">
              <w:rPr>
                <w:b/>
                <w:bCs/>
                <w:szCs w:val="24"/>
                <w:lang w:val="en-US"/>
              </w:rPr>
              <w:instrText>a</w:instrText>
            </w:r>
            <w:r w:rsidR="00053AE8" w:rsidRPr="002B3AE7">
              <w:rPr>
                <w:b/>
                <w:bCs/>
                <w:szCs w:val="24"/>
              </w:rPr>
              <w:instrText>154"]}],"</w:instrText>
            </w:r>
            <w:r w:rsidR="00053AE8">
              <w:rPr>
                <w:b/>
                <w:bCs/>
                <w:szCs w:val="24"/>
                <w:lang w:val="en-US"/>
              </w:rPr>
              <w:instrText>mendeley</w:instrText>
            </w:r>
            <w:r w:rsidR="00053AE8" w:rsidRPr="002B3AE7">
              <w:rPr>
                <w:b/>
                <w:bCs/>
                <w:szCs w:val="24"/>
              </w:rPr>
              <w:instrText>":{"</w:instrText>
            </w:r>
            <w:r w:rsidR="00053AE8">
              <w:rPr>
                <w:b/>
                <w:bCs/>
                <w:szCs w:val="24"/>
                <w:lang w:val="en-US"/>
              </w:rPr>
              <w:instrText>formattedCitation</w:instrText>
            </w:r>
            <w:r w:rsidR="00053AE8" w:rsidRPr="002B3AE7">
              <w:rPr>
                <w:b/>
                <w:bCs/>
                <w:szCs w:val="24"/>
              </w:rPr>
              <w:instrText>":"[126]","</w:instrText>
            </w:r>
            <w:r w:rsidR="00053AE8">
              <w:rPr>
                <w:b/>
                <w:bCs/>
                <w:szCs w:val="24"/>
                <w:lang w:val="en-US"/>
              </w:rPr>
              <w:instrText>plainTextFormattedCitation</w:instrText>
            </w:r>
            <w:r w:rsidR="00053AE8" w:rsidRPr="002B3AE7">
              <w:rPr>
                <w:b/>
                <w:bCs/>
                <w:szCs w:val="24"/>
              </w:rPr>
              <w:instrText>":"[126]","</w:instrText>
            </w:r>
            <w:r w:rsidR="00053AE8">
              <w:rPr>
                <w:b/>
                <w:bCs/>
                <w:szCs w:val="24"/>
                <w:lang w:val="en-US"/>
              </w:rPr>
              <w:instrText>previouslyFormattedCitation</w:instrText>
            </w:r>
            <w:r w:rsidR="00053AE8" w:rsidRPr="002B3AE7">
              <w:rPr>
                <w:b/>
                <w:bCs/>
                <w:szCs w:val="24"/>
              </w:rPr>
              <w:instrText>":"[126]"},"</w:instrText>
            </w:r>
            <w:r w:rsidR="00053AE8">
              <w:rPr>
                <w:b/>
                <w:bCs/>
                <w:szCs w:val="24"/>
                <w:lang w:val="en-US"/>
              </w:rPr>
              <w:instrText>properties</w:instrText>
            </w:r>
            <w:r w:rsidR="00053AE8" w:rsidRPr="002B3AE7">
              <w:rPr>
                <w:b/>
                <w:bCs/>
                <w:szCs w:val="24"/>
              </w:rPr>
              <w:instrText>":{"</w:instrText>
            </w:r>
            <w:r w:rsidR="00053AE8">
              <w:rPr>
                <w:b/>
                <w:bCs/>
                <w:szCs w:val="24"/>
                <w:lang w:val="en-US"/>
              </w:rPr>
              <w:instrText>noteIndex</w:instrText>
            </w:r>
            <w:r w:rsidR="00053AE8" w:rsidRPr="002B3AE7">
              <w:rPr>
                <w:b/>
                <w:bCs/>
                <w:szCs w:val="24"/>
              </w:rPr>
              <w:instrText>":0},"</w:instrText>
            </w:r>
            <w:r w:rsidR="00053AE8">
              <w:rPr>
                <w:b/>
                <w:bCs/>
                <w:szCs w:val="24"/>
                <w:lang w:val="en-US"/>
              </w:rPr>
              <w:instrText>schema</w:instrText>
            </w:r>
            <w:r w:rsidR="00053AE8" w:rsidRPr="002B3AE7">
              <w:rPr>
                <w:b/>
                <w:bCs/>
                <w:szCs w:val="24"/>
              </w:rPr>
              <w:instrText>":"</w:instrText>
            </w:r>
            <w:r w:rsidR="00053AE8">
              <w:rPr>
                <w:b/>
                <w:bCs/>
                <w:szCs w:val="24"/>
                <w:lang w:val="en-US"/>
              </w:rPr>
              <w:instrText>https</w:instrText>
            </w:r>
            <w:r w:rsidR="00053AE8" w:rsidRPr="002B3AE7">
              <w:rPr>
                <w:b/>
                <w:bCs/>
                <w:szCs w:val="24"/>
              </w:rPr>
              <w:instrText>://</w:instrText>
            </w:r>
            <w:r w:rsidR="00053AE8">
              <w:rPr>
                <w:b/>
                <w:bCs/>
                <w:szCs w:val="24"/>
                <w:lang w:val="en-US"/>
              </w:rPr>
              <w:instrText>github</w:instrText>
            </w:r>
            <w:r w:rsidR="00053AE8" w:rsidRPr="002B3AE7">
              <w:rPr>
                <w:b/>
                <w:bCs/>
                <w:szCs w:val="24"/>
              </w:rPr>
              <w:instrText>.</w:instrText>
            </w:r>
            <w:r w:rsidR="00053AE8">
              <w:rPr>
                <w:b/>
                <w:bCs/>
                <w:szCs w:val="24"/>
                <w:lang w:val="en-US"/>
              </w:rPr>
              <w:instrText>com</w:instrText>
            </w:r>
            <w:r w:rsidR="00053AE8" w:rsidRPr="002B3AE7">
              <w:rPr>
                <w:b/>
                <w:bCs/>
                <w:szCs w:val="24"/>
              </w:rPr>
              <w:instrText>/</w:instrText>
            </w:r>
            <w:r w:rsidR="00053AE8">
              <w:rPr>
                <w:b/>
                <w:bCs/>
                <w:szCs w:val="24"/>
                <w:lang w:val="en-US"/>
              </w:rPr>
              <w:instrText>citation</w:instrText>
            </w:r>
            <w:r w:rsidR="00053AE8" w:rsidRPr="002B3AE7">
              <w:rPr>
                <w:b/>
                <w:bCs/>
                <w:szCs w:val="24"/>
              </w:rPr>
              <w:instrText>-</w:instrText>
            </w:r>
            <w:r w:rsidR="00053AE8">
              <w:rPr>
                <w:b/>
                <w:bCs/>
                <w:szCs w:val="24"/>
                <w:lang w:val="en-US"/>
              </w:rPr>
              <w:instrText>style</w:instrText>
            </w:r>
            <w:r w:rsidR="00053AE8" w:rsidRPr="002B3AE7">
              <w:rPr>
                <w:b/>
                <w:bCs/>
                <w:szCs w:val="24"/>
              </w:rPr>
              <w:instrText>-</w:instrText>
            </w:r>
            <w:r w:rsidR="00053AE8">
              <w:rPr>
                <w:b/>
                <w:bCs/>
                <w:szCs w:val="24"/>
                <w:lang w:val="en-US"/>
              </w:rPr>
              <w:instrText>language</w:instrText>
            </w:r>
            <w:r w:rsidR="00053AE8" w:rsidRPr="002B3AE7">
              <w:rPr>
                <w:b/>
                <w:bCs/>
                <w:szCs w:val="24"/>
              </w:rPr>
              <w:instrText>/</w:instrText>
            </w:r>
            <w:r w:rsidR="00053AE8">
              <w:rPr>
                <w:b/>
                <w:bCs/>
                <w:szCs w:val="24"/>
                <w:lang w:val="en-US"/>
              </w:rPr>
              <w:instrText>schema</w:instrText>
            </w:r>
            <w:r w:rsidR="00053AE8" w:rsidRPr="002B3AE7">
              <w:rPr>
                <w:b/>
                <w:bCs/>
                <w:szCs w:val="24"/>
              </w:rPr>
              <w:instrText>/</w:instrText>
            </w:r>
            <w:r w:rsidR="00053AE8">
              <w:rPr>
                <w:b/>
                <w:bCs/>
                <w:szCs w:val="24"/>
                <w:lang w:val="en-US"/>
              </w:rPr>
              <w:instrText>raw</w:instrText>
            </w:r>
            <w:r w:rsidR="00053AE8" w:rsidRPr="002B3AE7">
              <w:rPr>
                <w:b/>
                <w:bCs/>
                <w:szCs w:val="24"/>
              </w:rPr>
              <w:instrText>/</w:instrText>
            </w:r>
            <w:r w:rsidR="00053AE8">
              <w:rPr>
                <w:b/>
                <w:bCs/>
                <w:szCs w:val="24"/>
                <w:lang w:val="en-US"/>
              </w:rPr>
              <w:instrText>master</w:instrText>
            </w:r>
            <w:r w:rsidR="00053AE8" w:rsidRPr="002B3AE7">
              <w:rPr>
                <w:b/>
                <w:bCs/>
                <w:szCs w:val="24"/>
              </w:rPr>
              <w:instrText>/</w:instrText>
            </w:r>
            <w:r w:rsidR="00053AE8">
              <w:rPr>
                <w:b/>
                <w:bCs/>
                <w:szCs w:val="24"/>
                <w:lang w:val="en-US"/>
              </w:rPr>
              <w:instrText>csl</w:instrText>
            </w:r>
            <w:r w:rsidR="00053AE8" w:rsidRPr="002B3AE7">
              <w:rPr>
                <w:b/>
                <w:bCs/>
                <w:szCs w:val="24"/>
              </w:rPr>
              <w:instrText>-</w:instrText>
            </w:r>
            <w:r w:rsidR="00053AE8">
              <w:rPr>
                <w:b/>
                <w:bCs/>
                <w:szCs w:val="24"/>
                <w:lang w:val="en-US"/>
              </w:rPr>
              <w:instrText>citation</w:instrText>
            </w:r>
            <w:r w:rsidR="00053AE8" w:rsidRPr="002B3AE7">
              <w:rPr>
                <w:b/>
                <w:bCs/>
                <w:szCs w:val="24"/>
              </w:rPr>
              <w:instrText>.</w:instrText>
            </w:r>
            <w:r w:rsidR="00053AE8">
              <w:rPr>
                <w:b/>
                <w:bCs/>
                <w:szCs w:val="24"/>
                <w:lang w:val="en-US"/>
              </w:rPr>
              <w:instrText>json</w:instrText>
            </w:r>
            <w:r w:rsidR="00053AE8" w:rsidRPr="002B3AE7">
              <w:rPr>
                <w:b/>
                <w:bCs/>
                <w:szCs w:val="24"/>
              </w:rPr>
              <w:instrText>"}</w:instrText>
            </w:r>
            <w:r w:rsidR="00EC281E" w:rsidRPr="002F4348">
              <w:rPr>
                <w:b/>
                <w:bCs/>
                <w:szCs w:val="24"/>
                <w:lang w:val="en-US"/>
              </w:rPr>
              <w:fldChar w:fldCharType="separate"/>
            </w:r>
            <w:r w:rsidR="00A60C8A" w:rsidRPr="00A60C8A">
              <w:rPr>
                <w:bCs/>
                <w:noProof/>
                <w:szCs w:val="24"/>
              </w:rPr>
              <w:t>[126]</w:t>
            </w:r>
            <w:r w:rsidR="00EC281E" w:rsidRPr="002F4348">
              <w:rPr>
                <w:b/>
                <w:bCs/>
                <w:szCs w:val="24"/>
                <w:lang w:val="en-US"/>
              </w:rPr>
              <w:fldChar w:fldCharType="end"/>
            </w:r>
          </w:p>
        </w:tc>
      </w:tr>
      <w:tr w:rsidR="00D977B1" w:rsidRPr="002F4348" w14:paraId="19461E63" w14:textId="77777777" w:rsidTr="004C0214">
        <w:trPr>
          <w:trHeight w:val="329"/>
        </w:trPr>
        <w:tc>
          <w:tcPr>
            <w:tcW w:w="2339" w:type="dxa"/>
            <w:tcBorders>
              <w:top w:val="single" w:sz="4" w:space="0" w:color="auto"/>
              <w:left w:val="single" w:sz="4" w:space="0" w:color="auto"/>
              <w:bottom w:val="single" w:sz="4" w:space="0" w:color="auto"/>
              <w:right w:val="single" w:sz="4" w:space="0" w:color="auto"/>
            </w:tcBorders>
            <w:hideMark/>
          </w:tcPr>
          <w:p w14:paraId="270652D6" w14:textId="77777777" w:rsidR="00D977B1" w:rsidRPr="002F4348" w:rsidRDefault="00D977B1" w:rsidP="004C0214">
            <w:pPr>
              <w:spacing w:line="240" w:lineRule="auto"/>
              <w:ind w:firstLine="0"/>
              <w:jc w:val="left"/>
              <w:rPr>
                <w:szCs w:val="24"/>
              </w:rPr>
            </w:pPr>
            <w:r w:rsidRPr="002F4348">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38A491B1" w14:textId="77777777" w:rsidR="00D977B1" w:rsidRPr="002F4348" w:rsidRDefault="00D977B1" w:rsidP="004C0214">
            <w:pPr>
              <w:spacing w:line="240" w:lineRule="auto"/>
              <w:ind w:firstLine="0"/>
              <w:jc w:val="left"/>
              <w:rPr>
                <w:szCs w:val="24"/>
              </w:rPr>
            </w:pPr>
            <w:r w:rsidRPr="002F4348">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1C7604C0" w14:textId="77777777" w:rsidR="00D977B1" w:rsidRPr="002F4348" w:rsidRDefault="00D977B1" w:rsidP="004C0214">
            <w:pPr>
              <w:spacing w:line="240" w:lineRule="auto"/>
              <w:ind w:firstLine="0"/>
              <w:jc w:val="left"/>
              <w:rPr>
                <w:szCs w:val="24"/>
              </w:rPr>
            </w:pPr>
            <w:r w:rsidRPr="002F4348">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76A0FE3B" w14:textId="77777777" w:rsidR="00D977B1" w:rsidRPr="002F4348" w:rsidRDefault="00D977B1" w:rsidP="004C0214">
            <w:pPr>
              <w:spacing w:line="240" w:lineRule="auto"/>
              <w:ind w:firstLine="0"/>
              <w:jc w:val="left"/>
              <w:rPr>
                <w:szCs w:val="24"/>
              </w:rPr>
            </w:pPr>
            <w:r w:rsidRPr="002F4348">
              <w:rPr>
                <w:szCs w:val="24"/>
              </w:rPr>
              <w:t>Дни введения</w:t>
            </w:r>
          </w:p>
        </w:tc>
      </w:tr>
      <w:tr w:rsidR="00D977B1" w:rsidRPr="002F4348" w14:paraId="23728D58" w14:textId="77777777" w:rsidTr="004C0214">
        <w:trPr>
          <w:trHeight w:val="329"/>
        </w:trPr>
        <w:tc>
          <w:tcPr>
            <w:tcW w:w="2339" w:type="dxa"/>
            <w:tcBorders>
              <w:top w:val="single" w:sz="4" w:space="0" w:color="auto"/>
              <w:left w:val="single" w:sz="4" w:space="0" w:color="auto"/>
              <w:bottom w:val="single" w:sz="4" w:space="0" w:color="auto"/>
              <w:right w:val="single" w:sz="4" w:space="0" w:color="auto"/>
            </w:tcBorders>
            <w:hideMark/>
          </w:tcPr>
          <w:p w14:paraId="320886AB" w14:textId="77777777" w:rsidR="00D977B1" w:rsidRPr="002F4348" w:rsidRDefault="00D977B1" w:rsidP="004C0214">
            <w:pPr>
              <w:spacing w:line="240" w:lineRule="auto"/>
              <w:ind w:firstLine="0"/>
              <w:jc w:val="left"/>
              <w:rPr>
                <w:szCs w:val="24"/>
              </w:rPr>
            </w:pPr>
            <w:r w:rsidRPr="002F4348">
              <w:rPr>
                <w:szCs w:val="24"/>
              </w:rPr>
              <w:t>Циклофосфамид**</w:t>
            </w:r>
          </w:p>
        </w:tc>
        <w:tc>
          <w:tcPr>
            <w:tcW w:w="2339" w:type="dxa"/>
            <w:tcBorders>
              <w:top w:val="single" w:sz="4" w:space="0" w:color="auto"/>
              <w:left w:val="single" w:sz="4" w:space="0" w:color="auto"/>
              <w:bottom w:val="single" w:sz="4" w:space="0" w:color="auto"/>
              <w:right w:val="single" w:sz="4" w:space="0" w:color="auto"/>
            </w:tcBorders>
          </w:tcPr>
          <w:p w14:paraId="0C232BA3" w14:textId="77777777" w:rsidR="00D977B1" w:rsidRPr="002F4348" w:rsidRDefault="00D977B1" w:rsidP="004C0214">
            <w:pPr>
              <w:spacing w:line="240" w:lineRule="auto"/>
              <w:ind w:firstLine="0"/>
              <w:jc w:val="left"/>
              <w:rPr>
                <w:szCs w:val="24"/>
              </w:rPr>
            </w:pPr>
            <w:r w:rsidRPr="002F4348">
              <w:rPr>
                <w:szCs w:val="24"/>
              </w:rPr>
              <w:t>600 мг/м</w:t>
            </w:r>
            <w:r w:rsidRPr="002F4348">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3C4DB3B4" w14:textId="77777777" w:rsidR="00D977B1" w:rsidRPr="002F4348" w:rsidRDefault="00D977B1" w:rsidP="004C0214">
            <w:pPr>
              <w:spacing w:line="240" w:lineRule="auto"/>
              <w:ind w:firstLine="0"/>
              <w:jc w:val="left"/>
              <w:rPr>
                <w:szCs w:val="24"/>
              </w:rPr>
            </w:pPr>
            <w:r w:rsidRPr="002F4348">
              <w:rPr>
                <w:szCs w:val="24"/>
              </w:rPr>
              <w:t>в/в</w:t>
            </w:r>
          </w:p>
        </w:tc>
        <w:tc>
          <w:tcPr>
            <w:tcW w:w="2339" w:type="dxa"/>
            <w:tcBorders>
              <w:top w:val="single" w:sz="4" w:space="0" w:color="auto"/>
              <w:left w:val="single" w:sz="4" w:space="0" w:color="auto"/>
              <w:bottom w:val="single" w:sz="4" w:space="0" w:color="auto"/>
              <w:right w:val="single" w:sz="4" w:space="0" w:color="auto"/>
            </w:tcBorders>
          </w:tcPr>
          <w:p w14:paraId="0BF3CFAB" w14:textId="77777777" w:rsidR="00D977B1" w:rsidRPr="002F4348" w:rsidRDefault="00D977B1" w:rsidP="004C0214">
            <w:pPr>
              <w:spacing w:line="240" w:lineRule="auto"/>
              <w:ind w:firstLine="0"/>
              <w:jc w:val="left"/>
              <w:rPr>
                <w:szCs w:val="24"/>
              </w:rPr>
            </w:pPr>
            <w:r w:rsidRPr="002F4348">
              <w:rPr>
                <w:szCs w:val="24"/>
              </w:rPr>
              <w:t>1, 8</w:t>
            </w:r>
          </w:p>
        </w:tc>
      </w:tr>
      <w:tr w:rsidR="00B006A6" w:rsidRPr="002F4348" w14:paraId="0072DC20" w14:textId="77777777" w:rsidTr="004C0214">
        <w:trPr>
          <w:trHeight w:val="329"/>
        </w:trPr>
        <w:tc>
          <w:tcPr>
            <w:tcW w:w="2339" w:type="dxa"/>
            <w:tcBorders>
              <w:top w:val="single" w:sz="4" w:space="0" w:color="auto"/>
              <w:left w:val="single" w:sz="4" w:space="0" w:color="auto"/>
              <w:bottom w:val="single" w:sz="4" w:space="0" w:color="auto"/>
              <w:right w:val="single" w:sz="4" w:space="0" w:color="auto"/>
            </w:tcBorders>
            <w:hideMark/>
          </w:tcPr>
          <w:p w14:paraId="7CA5219C" w14:textId="77777777" w:rsidR="00B006A6" w:rsidRPr="002F4348" w:rsidRDefault="00B006A6" w:rsidP="00B006A6">
            <w:pPr>
              <w:spacing w:line="240" w:lineRule="auto"/>
              <w:ind w:firstLine="0"/>
              <w:jc w:val="left"/>
              <w:rPr>
                <w:szCs w:val="24"/>
              </w:rPr>
            </w:pPr>
            <w:r w:rsidRPr="002F4348">
              <w:rPr>
                <w:szCs w:val="24"/>
              </w:rPr>
              <w:t>Прокарбазин**</w:t>
            </w:r>
          </w:p>
        </w:tc>
        <w:tc>
          <w:tcPr>
            <w:tcW w:w="2339" w:type="dxa"/>
            <w:tcBorders>
              <w:top w:val="single" w:sz="4" w:space="0" w:color="auto"/>
              <w:left w:val="single" w:sz="4" w:space="0" w:color="auto"/>
              <w:bottom w:val="single" w:sz="4" w:space="0" w:color="auto"/>
              <w:right w:val="single" w:sz="4" w:space="0" w:color="auto"/>
            </w:tcBorders>
            <w:hideMark/>
          </w:tcPr>
          <w:p w14:paraId="66076A29" w14:textId="77777777" w:rsidR="00B006A6" w:rsidRPr="002F4348" w:rsidRDefault="00B006A6" w:rsidP="00B006A6">
            <w:pPr>
              <w:spacing w:line="240" w:lineRule="auto"/>
              <w:ind w:firstLine="0"/>
              <w:jc w:val="left"/>
              <w:rPr>
                <w:szCs w:val="24"/>
                <w:vertAlign w:val="subscript"/>
              </w:rPr>
            </w:pPr>
            <w:r w:rsidRPr="002F4348">
              <w:rPr>
                <w:szCs w:val="24"/>
              </w:rPr>
              <w:t>100 мг/м</w:t>
            </w:r>
            <w:r w:rsidRPr="002F4348">
              <w:rPr>
                <w:szCs w:val="24"/>
                <w:vertAlign w:val="superscript"/>
              </w:rPr>
              <w:t xml:space="preserve">2 </w:t>
            </w:r>
            <w:r w:rsidRPr="002F4348">
              <w:rPr>
                <w:szCs w:val="24"/>
                <w:vertAlign w:val="superscript"/>
              </w:rPr>
              <w:softHyphen/>
            </w:r>
          </w:p>
        </w:tc>
        <w:tc>
          <w:tcPr>
            <w:tcW w:w="2339" w:type="dxa"/>
            <w:tcBorders>
              <w:top w:val="single" w:sz="4" w:space="0" w:color="auto"/>
              <w:left w:val="single" w:sz="4" w:space="0" w:color="auto"/>
              <w:bottom w:val="single" w:sz="4" w:space="0" w:color="auto"/>
              <w:right w:val="single" w:sz="4" w:space="0" w:color="auto"/>
            </w:tcBorders>
            <w:hideMark/>
          </w:tcPr>
          <w:p w14:paraId="458096EA" w14:textId="77777777" w:rsidR="00B006A6" w:rsidRPr="002F4348" w:rsidRDefault="00B006A6" w:rsidP="00B006A6">
            <w:pPr>
              <w:spacing w:line="240" w:lineRule="auto"/>
              <w:ind w:firstLine="0"/>
              <w:jc w:val="left"/>
              <w:rPr>
                <w:szCs w:val="24"/>
              </w:rPr>
            </w:pPr>
            <w:r w:rsidRPr="002F4348">
              <w:rPr>
                <w:szCs w:val="24"/>
              </w:rPr>
              <w:t>Внутрь</w:t>
            </w:r>
          </w:p>
        </w:tc>
        <w:tc>
          <w:tcPr>
            <w:tcW w:w="2339" w:type="dxa"/>
            <w:tcBorders>
              <w:top w:val="single" w:sz="4" w:space="0" w:color="auto"/>
              <w:left w:val="single" w:sz="4" w:space="0" w:color="auto"/>
              <w:bottom w:val="single" w:sz="4" w:space="0" w:color="auto"/>
              <w:right w:val="single" w:sz="4" w:space="0" w:color="auto"/>
            </w:tcBorders>
            <w:hideMark/>
          </w:tcPr>
          <w:p w14:paraId="712A57B0" w14:textId="77777777" w:rsidR="00B006A6" w:rsidRPr="002F4348" w:rsidRDefault="00B006A6" w:rsidP="00B006A6">
            <w:pPr>
              <w:spacing w:line="240" w:lineRule="auto"/>
              <w:ind w:firstLine="0"/>
              <w:jc w:val="left"/>
              <w:rPr>
                <w:szCs w:val="24"/>
              </w:rPr>
            </w:pPr>
            <w:r w:rsidRPr="002F4348">
              <w:rPr>
                <w:szCs w:val="24"/>
              </w:rPr>
              <w:t>1-14</w:t>
            </w:r>
          </w:p>
        </w:tc>
      </w:tr>
      <w:tr w:rsidR="00D977B1" w:rsidRPr="002F4348" w14:paraId="680AD2C8" w14:textId="77777777" w:rsidTr="004C0214">
        <w:trPr>
          <w:trHeight w:val="329"/>
        </w:trPr>
        <w:tc>
          <w:tcPr>
            <w:tcW w:w="2339" w:type="dxa"/>
            <w:tcBorders>
              <w:top w:val="single" w:sz="4" w:space="0" w:color="auto"/>
              <w:left w:val="single" w:sz="4" w:space="0" w:color="auto"/>
              <w:bottom w:val="single" w:sz="4" w:space="0" w:color="auto"/>
              <w:right w:val="single" w:sz="4" w:space="0" w:color="auto"/>
            </w:tcBorders>
          </w:tcPr>
          <w:p w14:paraId="51735B5D" w14:textId="77777777" w:rsidR="00D977B1" w:rsidRPr="002F4348" w:rsidRDefault="00D977B1" w:rsidP="00D977B1">
            <w:pPr>
              <w:spacing w:line="240" w:lineRule="auto"/>
              <w:ind w:firstLine="0"/>
              <w:jc w:val="left"/>
              <w:rPr>
                <w:szCs w:val="24"/>
              </w:rPr>
            </w:pPr>
            <w:r w:rsidRPr="002F4348">
              <w:rPr>
                <w:szCs w:val="24"/>
              </w:rPr>
              <w:t>Винкристин</w:t>
            </w:r>
          </w:p>
        </w:tc>
        <w:tc>
          <w:tcPr>
            <w:tcW w:w="2339" w:type="dxa"/>
            <w:tcBorders>
              <w:top w:val="single" w:sz="4" w:space="0" w:color="auto"/>
              <w:left w:val="single" w:sz="4" w:space="0" w:color="auto"/>
              <w:bottom w:val="single" w:sz="4" w:space="0" w:color="auto"/>
              <w:right w:val="single" w:sz="4" w:space="0" w:color="auto"/>
            </w:tcBorders>
          </w:tcPr>
          <w:p w14:paraId="5184F147" w14:textId="77777777" w:rsidR="00D977B1" w:rsidRPr="002F4348" w:rsidRDefault="00D977B1" w:rsidP="00D977B1">
            <w:pPr>
              <w:spacing w:line="240" w:lineRule="auto"/>
              <w:ind w:firstLine="0"/>
              <w:jc w:val="left"/>
              <w:rPr>
                <w:szCs w:val="24"/>
              </w:rPr>
            </w:pPr>
            <w:r w:rsidRPr="002F4348">
              <w:rPr>
                <w:szCs w:val="24"/>
              </w:rPr>
              <w:t>1,4 мг/м</w:t>
            </w:r>
            <w:r w:rsidRPr="002F4348">
              <w:rPr>
                <w:szCs w:val="24"/>
                <w:vertAlign w:val="superscript"/>
              </w:rPr>
              <w:t>2</w:t>
            </w:r>
            <w:r w:rsidRPr="002F4348">
              <w:rPr>
                <w:szCs w:val="24"/>
              </w:rPr>
              <w:t xml:space="preserve"> (не более 2 мг)</w:t>
            </w:r>
          </w:p>
        </w:tc>
        <w:tc>
          <w:tcPr>
            <w:tcW w:w="2339" w:type="dxa"/>
            <w:tcBorders>
              <w:top w:val="single" w:sz="4" w:space="0" w:color="auto"/>
              <w:left w:val="single" w:sz="4" w:space="0" w:color="auto"/>
              <w:bottom w:val="single" w:sz="4" w:space="0" w:color="auto"/>
              <w:right w:val="single" w:sz="4" w:space="0" w:color="auto"/>
            </w:tcBorders>
          </w:tcPr>
          <w:p w14:paraId="742904B6" w14:textId="77777777" w:rsidR="00D977B1" w:rsidRPr="002F4348" w:rsidRDefault="00D977B1" w:rsidP="00D977B1">
            <w:pPr>
              <w:spacing w:line="240" w:lineRule="auto"/>
              <w:ind w:firstLine="0"/>
              <w:jc w:val="left"/>
              <w:rPr>
                <w:szCs w:val="24"/>
              </w:rPr>
            </w:pPr>
            <w:r w:rsidRPr="002F4348">
              <w:rPr>
                <w:szCs w:val="24"/>
              </w:rPr>
              <w:t>в/в, за 5-10 мин</w:t>
            </w:r>
          </w:p>
        </w:tc>
        <w:tc>
          <w:tcPr>
            <w:tcW w:w="2339" w:type="dxa"/>
            <w:tcBorders>
              <w:top w:val="single" w:sz="4" w:space="0" w:color="auto"/>
              <w:left w:val="single" w:sz="4" w:space="0" w:color="auto"/>
              <w:bottom w:val="single" w:sz="4" w:space="0" w:color="auto"/>
              <w:right w:val="single" w:sz="4" w:space="0" w:color="auto"/>
            </w:tcBorders>
          </w:tcPr>
          <w:p w14:paraId="64A6A4BD" w14:textId="77777777" w:rsidR="00D977B1" w:rsidRPr="002F4348" w:rsidRDefault="00D977B1" w:rsidP="00D977B1">
            <w:pPr>
              <w:spacing w:line="240" w:lineRule="auto"/>
              <w:ind w:firstLine="0"/>
              <w:jc w:val="left"/>
              <w:rPr>
                <w:szCs w:val="24"/>
              </w:rPr>
            </w:pPr>
            <w:r w:rsidRPr="002F4348">
              <w:rPr>
                <w:szCs w:val="24"/>
              </w:rPr>
              <w:t>1, 8</w:t>
            </w:r>
          </w:p>
        </w:tc>
      </w:tr>
      <w:tr w:rsidR="00D977B1" w:rsidRPr="002F4348" w14:paraId="709868F8" w14:textId="77777777" w:rsidTr="004C0214">
        <w:trPr>
          <w:trHeight w:val="329"/>
        </w:trPr>
        <w:tc>
          <w:tcPr>
            <w:tcW w:w="2339" w:type="dxa"/>
            <w:tcBorders>
              <w:top w:val="single" w:sz="4" w:space="0" w:color="auto"/>
              <w:left w:val="single" w:sz="4" w:space="0" w:color="auto"/>
              <w:bottom w:val="single" w:sz="4" w:space="0" w:color="auto"/>
              <w:right w:val="single" w:sz="4" w:space="0" w:color="auto"/>
            </w:tcBorders>
          </w:tcPr>
          <w:p w14:paraId="0245209F" w14:textId="77777777" w:rsidR="00D977B1" w:rsidRPr="002F4348" w:rsidRDefault="00D977B1" w:rsidP="004C0214">
            <w:pPr>
              <w:spacing w:line="240" w:lineRule="auto"/>
              <w:ind w:firstLine="0"/>
              <w:jc w:val="left"/>
              <w:rPr>
                <w:szCs w:val="24"/>
              </w:rPr>
            </w:pPr>
            <w:r w:rsidRPr="002F4348">
              <w:rPr>
                <w:szCs w:val="24"/>
              </w:rPr>
              <w:t>Преднилозон**</w:t>
            </w:r>
          </w:p>
        </w:tc>
        <w:tc>
          <w:tcPr>
            <w:tcW w:w="2339" w:type="dxa"/>
            <w:tcBorders>
              <w:top w:val="single" w:sz="4" w:space="0" w:color="auto"/>
              <w:left w:val="single" w:sz="4" w:space="0" w:color="auto"/>
              <w:bottom w:val="single" w:sz="4" w:space="0" w:color="auto"/>
              <w:right w:val="single" w:sz="4" w:space="0" w:color="auto"/>
            </w:tcBorders>
          </w:tcPr>
          <w:p w14:paraId="31011EB2" w14:textId="77777777" w:rsidR="00D977B1" w:rsidRPr="002F4348" w:rsidRDefault="00D977B1" w:rsidP="004C0214">
            <w:pPr>
              <w:spacing w:line="240" w:lineRule="auto"/>
              <w:ind w:firstLine="0"/>
              <w:jc w:val="left"/>
              <w:rPr>
                <w:szCs w:val="24"/>
              </w:rPr>
            </w:pPr>
            <w:r w:rsidRPr="002F4348">
              <w:rPr>
                <w:szCs w:val="24"/>
              </w:rPr>
              <w:t>40 мг/м</w:t>
            </w:r>
            <w:r w:rsidRPr="002F4348">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13036F95" w14:textId="77777777" w:rsidR="00D977B1" w:rsidRPr="002F4348" w:rsidRDefault="00D977B1" w:rsidP="004C0214">
            <w:pPr>
              <w:spacing w:line="240" w:lineRule="auto"/>
              <w:ind w:firstLine="0"/>
              <w:jc w:val="left"/>
              <w:rPr>
                <w:szCs w:val="24"/>
              </w:rPr>
            </w:pPr>
            <w:r w:rsidRPr="002F4348">
              <w:rPr>
                <w:szCs w:val="24"/>
              </w:rPr>
              <w:t>внутрь</w:t>
            </w:r>
          </w:p>
        </w:tc>
        <w:tc>
          <w:tcPr>
            <w:tcW w:w="2339" w:type="dxa"/>
            <w:tcBorders>
              <w:top w:val="single" w:sz="4" w:space="0" w:color="auto"/>
              <w:left w:val="single" w:sz="4" w:space="0" w:color="auto"/>
              <w:bottom w:val="single" w:sz="4" w:space="0" w:color="auto"/>
              <w:right w:val="single" w:sz="4" w:space="0" w:color="auto"/>
            </w:tcBorders>
          </w:tcPr>
          <w:p w14:paraId="05DC543D" w14:textId="77777777" w:rsidR="00D977B1" w:rsidRPr="002F4348" w:rsidRDefault="00D977B1" w:rsidP="004C0214">
            <w:pPr>
              <w:spacing w:line="240" w:lineRule="auto"/>
              <w:ind w:firstLine="0"/>
              <w:jc w:val="left"/>
              <w:rPr>
                <w:szCs w:val="24"/>
              </w:rPr>
            </w:pPr>
            <w:r w:rsidRPr="002F4348">
              <w:rPr>
                <w:szCs w:val="24"/>
              </w:rPr>
              <w:t>1-14</w:t>
            </w:r>
          </w:p>
        </w:tc>
      </w:tr>
      <w:tr w:rsidR="00D977B1" w:rsidRPr="002F4348" w14:paraId="73AE7764" w14:textId="77777777" w:rsidTr="004C0214">
        <w:tc>
          <w:tcPr>
            <w:tcW w:w="9356" w:type="dxa"/>
            <w:gridSpan w:val="4"/>
            <w:tcBorders>
              <w:top w:val="single" w:sz="4" w:space="0" w:color="auto"/>
              <w:left w:val="single" w:sz="4" w:space="0" w:color="auto"/>
              <w:bottom w:val="single" w:sz="4" w:space="0" w:color="auto"/>
              <w:right w:val="single" w:sz="4" w:space="0" w:color="auto"/>
            </w:tcBorders>
            <w:vAlign w:val="center"/>
          </w:tcPr>
          <w:p w14:paraId="21FFF6DE" w14:textId="77777777" w:rsidR="00D977B1" w:rsidRPr="002F4348" w:rsidRDefault="00D977B1" w:rsidP="004C0214">
            <w:pPr>
              <w:spacing w:line="240" w:lineRule="auto"/>
              <w:ind w:firstLine="0"/>
              <w:jc w:val="left"/>
              <w:rPr>
                <w:szCs w:val="24"/>
              </w:rPr>
            </w:pPr>
            <w:r w:rsidRPr="002F4348">
              <w:rPr>
                <w:szCs w:val="24"/>
              </w:rPr>
              <w:t>Лечение возобновляется на 29 день</w:t>
            </w:r>
          </w:p>
        </w:tc>
      </w:tr>
    </w:tbl>
    <w:p w14:paraId="072721E1" w14:textId="77777777" w:rsidR="00D977B1" w:rsidRPr="002F4348" w:rsidRDefault="00D977B1" w:rsidP="002648A0">
      <w:pPr>
        <w:ind w:left="709" w:firstLine="0"/>
      </w:pPr>
    </w:p>
    <w:tbl>
      <w:tblPr>
        <w:tblStyle w:val="aff9"/>
        <w:tblW w:w="9356" w:type="dxa"/>
        <w:tblInd w:w="-5" w:type="dxa"/>
        <w:tblLayout w:type="fixed"/>
        <w:tblLook w:val="04A0" w:firstRow="1" w:lastRow="0" w:firstColumn="1" w:lastColumn="0" w:noHBand="0" w:noVBand="1"/>
      </w:tblPr>
      <w:tblGrid>
        <w:gridCol w:w="2339"/>
        <w:gridCol w:w="2339"/>
        <w:gridCol w:w="2339"/>
        <w:gridCol w:w="2339"/>
      </w:tblGrid>
      <w:tr w:rsidR="003E2397" w:rsidRPr="002F4348" w14:paraId="009EC400" w14:textId="77777777" w:rsidTr="003E2397">
        <w:trPr>
          <w:trHeight w:val="329"/>
        </w:trPr>
        <w:tc>
          <w:tcPr>
            <w:tcW w:w="9356" w:type="dxa"/>
            <w:gridSpan w:val="4"/>
            <w:tcBorders>
              <w:top w:val="nil"/>
              <w:left w:val="nil"/>
              <w:bottom w:val="single" w:sz="4" w:space="0" w:color="auto"/>
              <w:right w:val="nil"/>
            </w:tcBorders>
          </w:tcPr>
          <w:p w14:paraId="034B739B" w14:textId="77777777" w:rsidR="003E2397" w:rsidRPr="002F4348" w:rsidRDefault="003E2397" w:rsidP="003E2397">
            <w:pPr>
              <w:spacing w:line="240" w:lineRule="auto"/>
              <w:ind w:firstLine="0"/>
              <w:jc w:val="left"/>
              <w:rPr>
                <w:b/>
                <w:bCs/>
                <w:szCs w:val="24"/>
              </w:rPr>
            </w:pPr>
            <w:r w:rsidRPr="002F4348">
              <w:rPr>
                <w:b/>
                <w:bCs/>
                <w:szCs w:val="24"/>
                <w:lang w:val="en-US"/>
              </w:rPr>
              <w:t>IVDG</w:t>
            </w:r>
            <w:r w:rsidR="00EC281E" w:rsidRPr="002F4348">
              <w:rPr>
                <w:b/>
                <w:bCs/>
                <w:szCs w:val="24"/>
              </w:rPr>
              <w:t xml:space="preserve"> </w:t>
            </w:r>
            <w:r w:rsidR="00EC281E" w:rsidRPr="002F4348">
              <w:rPr>
                <w:b/>
                <w:bCs/>
                <w:szCs w:val="24"/>
              </w:rPr>
              <w:fldChar w:fldCharType="begin" w:fldLock="1"/>
            </w:r>
            <w:r w:rsidR="002F6413" w:rsidRPr="002F4348">
              <w:rPr>
                <w:b/>
                <w:bCs/>
                <w:szCs w:val="24"/>
              </w:rPr>
              <w:instrText>ADDIN CSL_CITATION {"citationItems":[{"id":"ITEM-1","itemData":{"author":[{"dropping-particle":"","family":"Капланов","given":"К.Д.","non-dropping-particle":"","parse-names":false,"suffix":""},{"dropping-particle":"","family":"Клиточенко","given":"Т.Ю.","non-dropping-particle":"","parse-names":false,"suffix":""},{"dropping-particle":"","family":"Шипаева","given":"А.Л.","non-dropping-particle":"","parse-names":false,"suffix":""},{"dropping-particle":"","family":"Широкова","given":"М.Н.","non-dropping-particle":"","parse-names":false,"suffix":""},{"dropping-particle":"","family":"Матвеева","given":"И.В.","non-dropping-particle":"","parse-names":false,"suffix":""},{"dropping-particle":"","family":"Лавришина","given":"Н.Б.","non-dropping-particle":"","parse-names":false,"suffix":""}],"container-title":"Клиническая онкогематология","id":"ITEM-1","issue":"3","issued":{"date-parts":[["2017"]]},"page":"358-365","title":"Программа IVDG — возможный выбор первой линии терапии лимфомы Ходжкина у пациентов пожилого возраста с сопутствующими сердечно-сосудистыми и легочными заболеваниями","type":"article-journal","volume":"10"},"uris":["http://www.mendeley.com/documents/?uuid=6a5167bd-4499-47fa-b764-82b4fd232768"]}],"mendeley":{"formattedCitation":"[38]","plainTextFormattedCitation":"[38]","previouslyFormattedCitation":"[38]"},"properties":{"noteIndex":0},"schema":"https://github.com/citation-style-language/schema/raw/master/csl-citation.json"}</w:instrText>
            </w:r>
            <w:r w:rsidR="00EC281E" w:rsidRPr="002F4348">
              <w:rPr>
                <w:b/>
                <w:bCs/>
                <w:szCs w:val="24"/>
              </w:rPr>
              <w:fldChar w:fldCharType="separate"/>
            </w:r>
            <w:r w:rsidR="00EC281E" w:rsidRPr="002F4348">
              <w:rPr>
                <w:bCs/>
                <w:noProof/>
                <w:szCs w:val="24"/>
              </w:rPr>
              <w:t>[38]</w:t>
            </w:r>
            <w:r w:rsidR="00EC281E" w:rsidRPr="002F4348">
              <w:rPr>
                <w:b/>
                <w:bCs/>
                <w:szCs w:val="24"/>
              </w:rPr>
              <w:fldChar w:fldCharType="end"/>
            </w:r>
          </w:p>
        </w:tc>
      </w:tr>
      <w:tr w:rsidR="003E2397" w:rsidRPr="002F4348" w14:paraId="5F4EE934"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hideMark/>
          </w:tcPr>
          <w:p w14:paraId="65D1DA70" w14:textId="77777777" w:rsidR="003E2397" w:rsidRPr="002F4348" w:rsidRDefault="003E2397" w:rsidP="003E2397">
            <w:pPr>
              <w:spacing w:line="240" w:lineRule="auto"/>
              <w:ind w:firstLine="0"/>
              <w:jc w:val="left"/>
              <w:rPr>
                <w:szCs w:val="24"/>
              </w:rPr>
            </w:pPr>
            <w:r w:rsidRPr="002F4348">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3EB5F27E" w14:textId="77777777" w:rsidR="003E2397" w:rsidRPr="002F4348" w:rsidRDefault="003E2397" w:rsidP="003E2397">
            <w:pPr>
              <w:spacing w:line="240" w:lineRule="auto"/>
              <w:ind w:firstLine="0"/>
              <w:jc w:val="left"/>
              <w:rPr>
                <w:szCs w:val="24"/>
              </w:rPr>
            </w:pPr>
            <w:r w:rsidRPr="002F4348">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6524A383" w14:textId="77777777" w:rsidR="003E2397" w:rsidRPr="002F4348" w:rsidRDefault="003E2397" w:rsidP="003E2397">
            <w:pPr>
              <w:spacing w:line="240" w:lineRule="auto"/>
              <w:ind w:firstLine="0"/>
              <w:jc w:val="left"/>
              <w:rPr>
                <w:szCs w:val="24"/>
              </w:rPr>
            </w:pPr>
            <w:r w:rsidRPr="002F4348">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49A1CD54" w14:textId="77777777" w:rsidR="003E2397" w:rsidRPr="002F4348" w:rsidRDefault="003E2397" w:rsidP="003E2397">
            <w:pPr>
              <w:spacing w:line="240" w:lineRule="auto"/>
              <w:ind w:firstLine="0"/>
              <w:jc w:val="left"/>
              <w:rPr>
                <w:szCs w:val="24"/>
              </w:rPr>
            </w:pPr>
            <w:r w:rsidRPr="002F4348">
              <w:rPr>
                <w:szCs w:val="24"/>
              </w:rPr>
              <w:t>Дни введения</w:t>
            </w:r>
          </w:p>
        </w:tc>
      </w:tr>
      <w:tr w:rsidR="003E2397" w:rsidRPr="002F4348" w14:paraId="211F9647"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hideMark/>
          </w:tcPr>
          <w:p w14:paraId="715559FD" w14:textId="77777777" w:rsidR="003E2397" w:rsidRPr="002F4348" w:rsidRDefault="003E2397" w:rsidP="003E2397">
            <w:pPr>
              <w:spacing w:line="240" w:lineRule="auto"/>
              <w:ind w:firstLine="0"/>
              <w:jc w:val="left"/>
              <w:rPr>
                <w:szCs w:val="24"/>
              </w:rPr>
            </w:pPr>
            <w:r w:rsidRPr="002F4348">
              <w:rPr>
                <w:szCs w:val="24"/>
              </w:rPr>
              <w:t>Идарубицин</w:t>
            </w:r>
            <w:r w:rsidR="00D254F2" w:rsidRPr="002F4348">
              <w:rPr>
                <w:szCs w:val="24"/>
              </w:rPr>
              <w:t>**</w:t>
            </w:r>
          </w:p>
        </w:tc>
        <w:tc>
          <w:tcPr>
            <w:tcW w:w="2339" w:type="dxa"/>
            <w:tcBorders>
              <w:top w:val="single" w:sz="4" w:space="0" w:color="auto"/>
              <w:left w:val="single" w:sz="4" w:space="0" w:color="auto"/>
              <w:bottom w:val="single" w:sz="4" w:space="0" w:color="auto"/>
              <w:right w:val="single" w:sz="4" w:space="0" w:color="auto"/>
            </w:tcBorders>
          </w:tcPr>
          <w:p w14:paraId="726A208A" w14:textId="77777777" w:rsidR="003E2397" w:rsidRPr="002F4348" w:rsidRDefault="003E2397" w:rsidP="003E2397">
            <w:pPr>
              <w:spacing w:line="240" w:lineRule="auto"/>
              <w:ind w:firstLine="0"/>
              <w:jc w:val="left"/>
              <w:rPr>
                <w:szCs w:val="24"/>
              </w:rPr>
            </w:pPr>
            <w:r w:rsidRPr="002F4348">
              <w:rPr>
                <w:szCs w:val="24"/>
              </w:rPr>
              <w:t>5 мг/м</w:t>
            </w:r>
            <w:r w:rsidRPr="002F4348">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6C6F420B" w14:textId="77777777" w:rsidR="003E2397" w:rsidRPr="002F4348" w:rsidRDefault="003E2397" w:rsidP="003E2397">
            <w:pPr>
              <w:spacing w:line="240" w:lineRule="auto"/>
              <w:ind w:firstLine="0"/>
              <w:jc w:val="left"/>
              <w:rPr>
                <w:szCs w:val="24"/>
              </w:rPr>
            </w:pPr>
            <w:r w:rsidRPr="002F4348">
              <w:rPr>
                <w:szCs w:val="24"/>
              </w:rPr>
              <w:t>в/в</w:t>
            </w:r>
          </w:p>
        </w:tc>
        <w:tc>
          <w:tcPr>
            <w:tcW w:w="2339" w:type="dxa"/>
            <w:tcBorders>
              <w:top w:val="single" w:sz="4" w:space="0" w:color="auto"/>
              <w:left w:val="single" w:sz="4" w:space="0" w:color="auto"/>
              <w:bottom w:val="single" w:sz="4" w:space="0" w:color="auto"/>
              <w:right w:val="single" w:sz="4" w:space="0" w:color="auto"/>
            </w:tcBorders>
          </w:tcPr>
          <w:p w14:paraId="0345A034" w14:textId="77777777" w:rsidR="003E2397" w:rsidRPr="002F4348" w:rsidRDefault="003E2397" w:rsidP="003E2397">
            <w:pPr>
              <w:spacing w:line="240" w:lineRule="auto"/>
              <w:ind w:firstLine="0"/>
              <w:jc w:val="left"/>
              <w:rPr>
                <w:szCs w:val="24"/>
              </w:rPr>
            </w:pPr>
            <w:r w:rsidRPr="002F4348">
              <w:rPr>
                <w:szCs w:val="24"/>
              </w:rPr>
              <w:t>1, 15</w:t>
            </w:r>
          </w:p>
        </w:tc>
      </w:tr>
      <w:tr w:rsidR="003E2397" w:rsidRPr="002F4348" w14:paraId="2B328E62"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53D4DBCA" w14:textId="77777777" w:rsidR="003E2397" w:rsidRPr="002F4348" w:rsidRDefault="003E2397" w:rsidP="003E2397">
            <w:pPr>
              <w:spacing w:line="240" w:lineRule="auto"/>
              <w:ind w:firstLine="0"/>
              <w:jc w:val="left"/>
              <w:rPr>
                <w:szCs w:val="24"/>
              </w:rPr>
            </w:pPr>
            <w:r w:rsidRPr="002F4348">
              <w:rPr>
                <w:szCs w:val="24"/>
              </w:rPr>
              <w:t>Винбластин</w:t>
            </w:r>
            <w:r w:rsidR="00D254F2" w:rsidRPr="002F4348">
              <w:rPr>
                <w:szCs w:val="24"/>
              </w:rPr>
              <w:t>**</w:t>
            </w:r>
          </w:p>
        </w:tc>
        <w:tc>
          <w:tcPr>
            <w:tcW w:w="2339" w:type="dxa"/>
            <w:tcBorders>
              <w:top w:val="single" w:sz="4" w:space="0" w:color="auto"/>
              <w:left w:val="single" w:sz="4" w:space="0" w:color="auto"/>
              <w:bottom w:val="single" w:sz="4" w:space="0" w:color="auto"/>
              <w:right w:val="single" w:sz="4" w:space="0" w:color="auto"/>
            </w:tcBorders>
          </w:tcPr>
          <w:p w14:paraId="2800B57E" w14:textId="77777777" w:rsidR="003E2397" w:rsidRPr="002F4348" w:rsidRDefault="003E2397" w:rsidP="003E2397">
            <w:pPr>
              <w:spacing w:line="240" w:lineRule="auto"/>
              <w:ind w:firstLine="0"/>
              <w:jc w:val="left"/>
              <w:rPr>
                <w:szCs w:val="24"/>
              </w:rPr>
            </w:pPr>
            <w:r w:rsidRPr="002F4348">
              <w:rPr>
                <w:szCs w:val="24"/>
              </w:rPr>
              <w:t>5 мг/м</w:t>
            </w:r>
            <w:r w:rsidRPr="002F4348">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3E3F65D6" w14:textId="77777777" w:rsidR="003E2397" w:rsidRPr="002F4348" w:rsidRDefault="003E2397" w:rsidP="003E2397">
            <w:pPr>
              <w:spacing w:line="240" w:lineRule="auto"/>
              <w:ind w:firstLine="0"/>
              <w:jc w:val="left"/>
              <w:rPr>
                <w:szCs w:val="24"/>
              </w:rPr>
            </w:pPr>
            <w:r w:rsidRPr="002F4348">
              <w:rPr>
                <w:szCs w:val="24"/>
              </w:rPr>
              <w:t>в/в</w:t>
            </w:r>
          </w:p>
        </w:tc>
        <w:tc>
          <w:tcPr>
            <w:tcW w:w="2339" w:type="dxa"/>
            <w:tcBorders>
              <w:top w:val="single" w:sz="4" w:space="0" w:color="auto"/>
              <w:left w:val="single" w:sz="4" w:space="0" w:color="auto"/>
              <w:bottom w:val="single" w:sz="4" w:space="0" w:color="auto"/>
              <w:right w:val="single" w:sz="4" w:space="0" w:color="auto"/>
            </w:tcBorders>
          </w:tcPr>
          <w:p w14:paraId="21328C06" w14:textId="77777777" w:rsidR="003E2397" w:rsidRPr="002F4348" w:rsidRDefault="003E2397" w:rsidP="003E2397">
            <w:pPr>
              <w:spacing w:line="240" w:lineRule="auto"/>
              <w:ind w:firstLine="0"/>
              <w:jc w:val="left"/>
              <w:rPr>
                <w:szCs w:val="24"/>
              </w:rPr>
            </w:pPr>
            <w:r w:rsidRPr="002F4348">
              <w:rPr>
                <w:szCs w:val="24"/>
              </w:rPr>
              <w:t>1, 15</w:t>
            </w:r>
          </w:p>
        </w:tc>
      </w:tr>
      <w:tr w:rsidR="003E2397" w:rsidRPr="002F4348" w14:paraId="5D7C80A9"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4D8D1506" w14:textId="77777777" w:rsidR="003E2397" w:rsidRPr="002F4348" w:rsidRDefault="003E2397" w:rsidP="003E2397">
            <w:pPr>
              <w:spacing w:line="240" w:lineRule="auto"/>
              <w:ind w:firstLine="0"/>
              <w:jc w:val="left"/>
              <w:rPr>
                <w:szCs w:val="24"/>
              </w:rPr>
            </w:pPr>
            <w:r w:rsidRPr="002F4348">
              <w:rPr>
                <w:szCs w:val="24"/>
              </w:rPr>
              <w:t>Дакарбазин</w:t>
            </w:r>
            <w:r w:rsidR="00D254F2" w:rsidRPr="002F4348">
              <w:rPr>
                <w:szCs w:val="24"/>
              </w:rPr>
              <w:t>**</w:t>
            </w:r>
          </w:p>
        </w:tc>
        <w:tc>
          <w:tcPr>
            <w:tcW w:w="2339" w:type="dxa"/>
            <w:tcBorders>
              <w:top w:val="single" w:sz="4" w:space="0" w:color="auto"/>
              <w:left w:val="single" w:sz="4" w:space="0" w:color="auto"/>
              <w:bottom w:val="single" w:sz="4" w:space="0" w:color="auto"/>
              <w:right w:val="single" w:sz="4" w:space="0" w:color="auto"/>
            </w:tcBorders>
          </w:tcPr>
          <w:p w14:paraId="386C75B3" w14:textId="77777777" w:rsidR="003E2397" w:rsidRPr="002F4348" w:rsidRDefault="003E2397" w:rsidP="003E2397">
            <w:pPr>
              <w:spacing w:line="240" w:lineRule="auto"/>
              <w:ind w:firstLine="0"/>
              <w:jc w:val="left"/>
              <w:rPr>
                <w:szCs w:val="24"/>
              </w:rPr>
            </w:pPr>
            <w:r w:rsidRPr="002F4348">
              <w:rPr>
                <w:szCs w:val="24"/>
              </w:rPr>
              <w:t>375 мг/м</w:t>
            </w:r>
            <w:r w:rsidRPr="002F4348">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33EC2ACC" w14:textId="77777777" w:rsidR="003E2397" w:rsidRPr="002F4348" w:rsidRDefault="003E2397" w:rsidP="003E2397">
            <w:pPr>
              <w:spacing w:line="240" w:lineRule="auto"/>
              <w:ind w:firstLine="0"/>
              <w:jc w:val="left"/>
              <w:rPr>
                <w:szCs w:val="24"/>
              </w:rPr>
            </w:pPr>
            <w:r w:rsidRPr="002F4348">
              <w:rPr>
                <w:szCs w:val="24"/>
              </w:rPr>
              <w:t>в/в</w:t>
            </w:r>
          </w:p>
        </w:tc>
        <w:tc>
          <w:tcPr>
            <w:tcW w:w="2339" w:type="dxa"/>
            <w:tcBorders>
              <w:top w:val="single" w:sz="4" w:space="0" w:color="auto"/>
              <w:left w:val="single" w:sz="4" w:space="0" w:color="auto"/>
              <w:bottom w:val="single" w:sz="4" w:space="0" w:color="auto"/>
              <w:right w:val="single" w:sz="4" w:space="0" w:color="auto"/>
            </w:tcBorders>
          </w:tcPr>
          <w:p w14:paraId="063294A0" w14:textId="77777777" w:rsidR="003E2397" w:rsidRPr="002F4348" w:rsidRDefault="003E2397" w:rsidP="003E2397">
            <w:pPr>
              <w:spacing w:line="240" w:lineRule="auto"/>
              <w:ind w:firstLine="0"/>
              <w:jc w:val="left"/>
              <w:rPr>
                <w:szCs w:val="24"/>
              </w:rPr>
            </w:pPr>
            <w:r w:rsidRPr="002F4348">
              <w:rPr>
                <w:szCs w:val="24"/>
              </w:rPr>
              <w:t>1, 15</w:t>
            </w:r>
          </w:p>
        </w:tc>
      </w:tr>
      <w:tr w:rsidR="003E2397" w:rsidRPr="002F4348" w14:paraId="75F7A0A3"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hideMark/>
          </w:tcPr>
          <w:p w14:paraId="0C60B8A0" w14:textId="77777777" w:rsidR="003E2397" w:rsidRPr="002F4348" w:rsidRDefault="003E2397" w:rsidP="003E2397">
            <w:pPr>
              <w:spacing w:line="240" w:lineRule="auto"/>
              <w:ind w:firstLine="0"/>
              <w:jc w:val="left"/>
              <w:rPr>
                <w:szCs w:val="24"/>
              </w:rPr>
            </w:pPr>
            <w:r w:rsidRPr="002F4348">
              <w:rPr>
                <w:szCs w:val="24"/>
              </w:rPr>
              <w:t>Гемцитабин</w:t>
            </w:r>
            <w:r w:rsidR="00D254F2" w:rsidRPr="002F4348">
              <w:rPr>
                <w:szCs w:val="24"/>
              </w:rPr>
              <w:t>**</w:t>
            </w:r>
          </w:p>
        </w:tc>
        <w:tc>
          <w:tcPr>
            <w:tcW w:w="2339" w:type="dxa"/>
            <w:tcBorders>
              <w:top w:val="single" w:sz="4" w:space="0" w:color="auto"/>
              <w:left w:val="single" w:sz="4" w:space="0" w:color="auto"/>
              <w:bottom w:val="single" w:sz="4" w:space="0" w:color="auto"/>
              <w:right w:val="single" w:sz="4" w:space="0" w:color="auto"/>
            </w:tcBorders>
            <w:hideMark/>
          </w:tcPr>
          <w:p w14:paraId="759794CF" w14:textId="77777777" w:rsidR="003E2397" w:rsidRPr="002F4348" w:rsidRDefault="003E2397" w:rsidP="003E2397">
            <w:pPr>
              <w:spacing w:line="240" w:lineRule="auto"/>
              <w:ind w:firstLine="0"/>
              <w:jc w:val="left"/>
              <w:rPr>
                <w:szCs w:val="24"/>
              </w:rPr>
            </w:pPr>
            <w:r w:rsidRPr="002F4348">
              <w:rPr>
                <w:szCs w:val="24"/>
              </w:rPr>
              <w:t>800 мг/м</w:t>
            </w:r>
            <w:r w:rsidRPr="002F4348">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5334BC5D" w14:textId="77777777" w:rsidR="003E2397" w:rsidRPr="002F4348" w:rsidRDefault="003E2397" w:rsidP="003E2397">
            <w:pPr>
              <w:spacing w:line="240" w:lineRule="auto"/>
              <w:ind w:firstLine="0"/>
              <w:jc w:val="left"/>
              <w:rPr>
                <w:szCs w:val="24"/>
              </w:rPr>
            </w:pPr>
            <w:r w:rsidRPr="002F4348">
              <w:rPr>
                <w:szCs w:val="24"/>
              </w:rPr>
              <w:t>в/в</w:t>
            </w:r>
          </w:p>
        </w:tc>
        <w:tc>
          <w:tcPr>
            <w:tcW w:w="2339" w:type="dxa"/>
            <w:tcBorders>
              <w:top w:val="single" w:sz="4" w:space="0" w:color="auto"/>
              <w:left w:val="single" w:sz="4" w:space="0" w:color="auto"/>
              <w:bottom w:val="single" w:sz="4" w:space="0" w:color="auto"/>
              <w:right w:val="single" w:sz="4" w:space="0" w:color="auto"/>
            </w:tcBorders>
            <w:hideMark/>
          </w:tcPr>
          <w:p w14:paraId="292B1CAB" w14:textId="77777777" w:rsidR="003E2397" w:rsidRPr="002F4348" w:rsidRDefault="003E2397" w:rsidP="003E2397">
            <w:pPr>
              <w:spacing w:line="240" w:lineRule="auto"/>
              <w:ind w:firstLine="0"/>
              <w:jc w:val="left"/>
              <w:rPr>
                <w:szCs w:val="24"/>
              </w:rPr>
            </w:pPr>
            <w:r w:rsidRPr="002F4348">
              <w:rPr>
                <w:szCs w:val="24"/>
              </w:rPr>
              <w:t>1, 15</w:t>
            </w:r>
          </w:p>
        </w:tc>
      </w:tr>
      <w:tr w:rsidR="003E2397" w:rsidRPr="00EA5B5D" w14:paraId="05464AE2" w14:textId="77777777" w:rsidTr="003E2397">
        <w:tc>
          <w:tcPr>
            <w:tcW w:w="9356" w:type="dxa"/>
            <w:gridSpan w:val="4"/>
            <w:tcBorders>
              <w:top w:val="single" w:sz="4" w:space="0" w:color="auto"/>
              <w:left w:val="single" w:sz="4" w:space="0" w:color="auto"/>
              <w:bottom w:val="single" w:sz="4" w:space="0" w:color="auto"/>
              <w:right w:val="single" w:sz="4" w:space="0" w:color="auto"/>
            </w:tcBorders>
            <w:vAlign w:val="center"/>
          </w:tcPr>
          <w:p w14:paraId="37DA8939" w14:textId="77777777" w:rsidR="003E2397" w:rsidRPr="002F4348" w:rsidRDefault="003E2397" w:rsidP="003E2397">
            <w:pPr>
              <w:spacing w:line="240" w:lineRule="auto"/>
              <w:ind w:firstLine="0"/>
              <w:jc w:val="left"/>
              <w:rPr>
                <w:szCs w:val="24"/>
              </w:rPr>
            </w:pPr>
            <w:r w:rsidRPr="002F4348">
              <w:rPr>
                <w:szCs w:val="24"/>
              </w:rPr>
              <w:t>Лечение возобновляется на 2</w:t>
            </w:r>
            <w:r w:rsidR="002177F4" w:rsidRPr="002F4348">
              <w:rPr>
                <w:szCs w:val="24"/>
              </w:rPr>
              <w:t>9</w:t>
            </w:r>
            <w:r w:rsidRPr="002F4348">
              <w:rPr>
                <w:szCs w:val="24"/>
              </w:rPr>
              <w:t xml:space="preserve"> день</w:t>
            </w:r>
          </w:p>
          <w:p w14:paraId="55CF1ADC" w14:textId="77777777" w:rsidR="003E2397" w:rsidRPr="003E2397" w:rsidRDefault="003E2397" w:rsidP="003E2397">
            <w:pPr>
              <w:spacing w:line="240" w:lineRule="auto"/>
              <w:ind w:firstLine="0"/>
              <w:jc w:val="left"/>
              <w:rPr>
                <w:szCs w:val="24"/>
              </w:rPr>
            </w:pPr>
            <w:r w:rsidRPr="002F4348">
              <w:rPr>
                <w:szCs w:val="24"/>
              </w:rPr>
              <w:t>Редукция дозы гемцитабина</w:t>
            </w:r>
            <w:r w:rsidR="004D11D3" w:rsidRPr="002F4348">
              <w:rPr>
                <w:szCs w:val="24"/>
              </w:rPr>
              <w:t>**</w:t>
            </w:r>
            <w:r w:rsidRPr="002F4348">
              <w:rPr>
                <w:szCs w:val="24"/>
              </w:rPr>
              <w:t xml:space="preserve"> до 500 мг/м</w:t>
            </w:r>
            <w:r w:rsidRPr="002F4348">
              <w:rPr>
                <w:szCs w:val="24"/>
                <w:vertAlign w:val="superscript"/>
              </w:rPr>
              <w:t>2</w:t>
            </w:r>
            <w:r w:rsidRPr="002F4348">
              <w:rPr>
                <w:szCs w:val="24"/>
              </w:rPr>
              <w:t>, дакарбазина</w:t>
            </w:r>
            <w:r w:rsidR="004D11D3" w:rsidRPr="002F4348">
              <w:rPr>
                <w:szCs w:val="24"/>
              </w:rPr>
              <w:t>**</w:t>
            </w:r>
            <w:r w:rsidRPr="002F4348">
              <w:rPr>
                <w:szCs w:val="24"/>
              </w:rPr>
              <w:t xml:space="preserve"> — до 300 мг/м</w:t>
            </w:r>
            <w:r w:rsidRPr="002F4348">
              <w:rPr>
                <w:szCs w:val="24"/>
                <w:vertAlign w:val="superscript"/>
              </w:rPr>
              <w:t>2</w:t>
            </w:r>
            <w:r w:rsidRPr="002F4348">
              <w:rPr>
                <w:szCs w:val="24"/>
              </w:rPr>
              <w:t xml:space="preserve"> предусмотрена при числе лейкоцитов &lt; 2 × 10</w:t>
            </w:r>
            <w:r w:rsidRPr="002F4348">
              <w:rPr>
                <w:szCs w:val="24"/>
                <w:vertAlign w:val="superscript"/>
              </w:rPr>
              <w:t>9</w:t>
            </w:r>
            <w:r w:rsidRPr="002F4348">
              <w:rPr>
                <w:szCs w:val="24"/>
              </w:rPr>
              <w:t>/л и/или тромбоцитов &lt; 75 × 10</w:t>
            </w:r>
            <w:r w:rsidRPr="002F4348">
              <w:rPr>
                <w:szCs w:val="24"/>
                <w:vertAlign w:val="superscript"/>
              </w:rPr>
              <w:t>9</w:t>
            </w:r>
            <w:r w:rsidRPr="002F4348">
              <w:rPr>
                <w:szCs w:val="24"/>
              </w:rPr>
              <w:t>/л ко дню очередного введения препаратов, т. е. ко времени окончания перерыва или при лейкопении IV степени по критериям ВОЗ длительностью &gt; 4 дней в период предыдущего цикла.</w:t>
            </w:r>
          </w:p>
        </w:tc>
      </w:tr>
    </w:tbl>
    <w:p w14:paraId="74B37539" w14:textId="77777777" w:rsidR="003E2397" w:rsidRPr="000709E2" w:rsidRDefault="003E2397" w:rsidP="002648A0">
      <w:pPr>
        <w:ind w:left="709" w:firstLine="0"/>
      </w:pPr>
    </w:p>
    <w:tbl>
      <w:tblPr>
        <w:tblStyle w:val="aff9"/>
        <w:tblW w:w="9356" w:type="dxa"/>
        <w:tblInd w:w="-5" w:type="dxa"/>
        <w:tblLayout w:type="fixed"/>
        <w:tblLook w:val="04A0" w:firstRow="1" w:lastRow="0" w:firstColumn="1" w:lastColumn="0" w:noHBand="0" w:noVBand="1"/>
      </w:tblPr>
      <w:tblGrid>
        <w:gridCol w:w="2339"/>
        <w:gridCol w:w="2339"/>
        <w:gridCol w:w="2339"/>
        <w:gridCol w:w="2339"/>
      </w:tblGrid>
      <w:tr w:rsidR="003E2397" w:rsidRPr="00EA5B5D" w14:paraId="0C87A9AD" w14:textId="77777777" w:rsidTr="003E2397">
        <w:trPr>
          <w:trHeight w:val="329"/>
        </w:trPr>
        <w:tc>
          <w:tcPr>
            <w:tcW w:w="9356" w:type="dxa"/>
            <w:gridSpan w:val="4"/>
            <w:tcBorders>
              <w:top w:val="nil"/>
              <w:left w:val="nil"/>
              <w:bottom w:val="single" w:sz="4" w:space="0" w:color="auto"/>
              <w:right w:val="nil"/>
            </w:tcBorders>
          </w:tcPr>
          <w:p w14:paraId="23A50398" w14:textId="35D1EF4B" w:rsidR="003E2397" w:rsidRPr="005B03CD" w:rsidRDefault="002177F4" w:rsidP="003E2397">
            <w:pPr>
              <w:spacing w:line="240" w:lineRule="auto"/>
              <w:ind w:firstLine="0"/>
              <w:jc w:val="left"/>
              <w:rPr>
                <w:b/>
                <w:bCs/>
                <w:szCs w:val="24"/>
              </w:rPr>
            </w:pPr>
            <w:r>
              <w:rPr>
                <w:b/>
                <w:bCs/>
                <w:szCs w:val="24"/>
                <w:lang w:val="en-US"/>
              </w:rPr>
              <w:t>VEPEMB</w:t>
            </w:r>
            <w:r w:rsidR="002F6413">
              <w:rPr>
                <w:b/>
                <w:bCs/>
                <w:szCs w:val="24"/>
              </w:rPr>
              <w:t xml:space="preserve"> </w:t>
            </w:r>
            <w:r w:rsidR="002F6413">
              <w:rPr>
                <w:b/>
                <w:bCs/>
                <w:szCs w:val="24"/>
              </w:rPr>
              <w:fldChar w:fldCharType="begin" w:fldLock="1"/>
            </w:r>
            <w:r w:rsidR="00053AE8">
              <w:rPr>
                <w:b/>
                <w:bCs/>
                <w:szCs w:val="24"/>
              </w:rPr>
              <w:instrText>ADDIN CSL_CITATION {"citationItems":[{"id":"ITEM-1","itemData":{"DOI":"10.1111/bjh.13904","ISSN":"00071048","abstract":"Survival rates for elderly Hodgkin Lymphoma (HL) have not improved substantially in recent years, mainly because of a lack of prospective randomized studies, due to difficulties in enrolling patients. Between 2002 and 2006, 54 untreated HL patients, aged between 65 and 80 years and considered 'non-frail' according to a comprehensive geriatric evaluation, were enrolled into a phase III randomized trial to compare a reduced-intensity regimen (vinblastine, cyclophosphamide, procarbazine, prednisone, etoposide, mitoxantrone, bleomycin; VEPEMB) with standard ABVD (adriamycin, bleomycin, vinblastine, dacarbazine). Primary endpoint was progression-free survival (PFS). Seventeen patients were in early stage (I-IIA), while 37 were advanced stage. Median age was 72 years and median follow-up was 76 months. Five-year PFS rates were 48% vs. 70% [adjusted Hazard ratio (HR) = 2·19, 95% confidence interval (CI) = 0·94-5·10, P = 0·068] and 5-year overall survival (OS) rates were 63% vs. 77% (adjusted HR = 1·67, 95% CI = 0·69-4·03, P = 0·254) for VEPEMB compared to ABVD. Overall treatment-related mortality was 4%. World Health Organization grade 4 cardiac and lung toxicity occurred in four patients treated with ABVD versus no cases in the VEPEMB arm. Standard ABVD regimen resulted in better PFS and OS than the VEPEMB, although the differences were not statistically significant. The low toxicity of both treatments was probably attributable to stringent selection of patients based on a Comprehensive Geriatric Assessment that excluded frail patients.","author":[{"dropping-particle":"","family":"Zallio","given":"Francesco","non-dropping-particle":"","parse-names":false,"suffix":""},{"dropping-particle":"","family":"Tamiazzo","given":"Stefania","non-dropping-particle":"","parse-names":false,"suffix":""},{"dropping-particle":"","family":"Monagheddu","given":"Chiara","non-dropping-particle":"","parse-names":false,"suffix":""},{"dropping-particle":"","family":"Merli","given":"Francesco","non-dropping-particle":"","parse-names":false,"suffix":""},{"dropping-particle":"","family":"Ilariucci","given":"Fiorella","non-dropping-particle":"","parse-names":false,"suffix":""},{"dropping-particle":"","family":"Stelitano","given":"Caterina","non-dropping-particle":"","parse-names":false,"suffix":""},{"dropping-particle":"","family":"Liberati","given":"Anna Marina","non-dropping-particle":"","parse-names":false,"suffix":""},{"dropping-particle":"","family":"Mannina","given":"Donato","non-dropping-particle":"","parse-names":false,"suffix":""},{"dropping-particle":"","family":"Vitolo","given":"Umberto","non-dropping-particle":"","parse-names":false,"suffix":""},{"dropping-particle":"","family":"Angelucci","given":"Emanuele","non-dropping-particle":"","parse-names":false,"suffix":""},{"dropping-particle":"","family":"Rota Scalabrini","given":"Delia","non-dropping-particle":"","parse-names":false,"suffix":""},{"dropping-particle":"","family":"Vallisa","given":"Daniele","non-dropping-particle":"","parse-names":false,"suffix":""},{"dropping-particle":"","family":"Bellei","given":"Monica","non-dropping-particle":"","parse-names":false,"suffix":""},{"dropping-particle":"","family":"Bari","given":"Alessia","non-dropping-particle":"","parse-names":false,"suffix":""},{"dropping-particle":"","family":"Ciccone","given":"Giovannino","non-dropping-particle":"","parse-names":false,"suffix":""},{"dropping-particle":"","family":"Salvi","given":"Flavia","non-dropping-particle":"","parse-names":false,"suffix":""},{"dropping-particle":"","family":"Levis","given":"Alessandro","non-dropping-particle":"","parse-names":false,"suffix":""}],"container-title":"British Journal of Haematology","id":"ITEM-1","issue":"6","issued":{"date-parts":[["2016","3","1"]]},"page":"879-888","publisher":"Blackwell Publishing Ltd","title":"Reduced intensity VEPEMB regimen compared with standard ABVD in elderly Hodgkin lymphoma patients: results from a randomized trial on behalf of the Fondazione Italiana Linfomi (FIL)","type":"article-journal","volume":"172"},"uris":["http://www.mendeley.com/documents/?uuid=16fb9586-013c-3daa-a2c9-374e7bc5b233"]}],"mendeley":{"formattedCitation":"[127]","plainTextFormattedCitation":"[127]","previouslyFormattedCitation":"[127]"},"properties":{"noteIndex":0},"schema":"https://github.com/citation-style-language/schema/raw/master/csl-citation.json"}</w:instrText>
            </w:r>
            <w:r w:rsidR="002F6413">
              <w:rPr>
                <w:b/>
                <w:bCs/>
                <w:szCs w:val="24"/>
              </w:rPr>
              <w:fldChar w:fldCharType="separate"/>
            </w:r>
            <w:r w:rsidR="00A60C8A" w:rsidRPr="00A60C8A">
              <w:rPr>
                <w:bCs/>
                <w:noProof/>
                <w:szCs w:val="24"/>
              </w:rPr>
              <w:t>[127]</w:t>
            </w:r>
            <w:r w:rsidR="002F6413">
              <w:rPr>
                <w:b/>
                <w:bCs/>
                <w:szCs w:val="24"/>
              </w:rPr>
              <w:fldChar w:fldCharType="end"/>
            </w:r>
          </w:p>
        </w:tc>
      </w:tr>
      <w:tr w:rsidR="003E2397" w:rsidRPr="00EA5B5D" w14:paraId="3EAC30DB"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hideMark/>
          </w:tcPr>
          <w:p w14:paraId="4B8501F4" w14:textId="77777777" w:rsidR="003E2397" w:rsidRPr="00EA5B5D" w:rsidRDefault="003E2397" w:rsidP="003E2397">
            <w:pPr>
              <w:spacing w:line="240" w:lineRule="auto"/>
              <w:ind w:firstLine="0"/>
              <w:jc w:val="left"/>
              <w:rPr>
                <w:szCs w:val="24"/>
              </w:rPr>
            </w:pPr>
            <w:r w:rsidRPr="00EA5B5D">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48A8B8A5" w14:textId="77777777" w:rsidR="003E2397" w:rsidRPr="00EA5B5D" w:rsidRDefault="003E2397" w:rsidP="003E2397">
            <w:pPr>
              <w:spacing w:line="240" w:lineRule="auto"/>
              <w:ind w:firstLine="0"/>
              <w:jc w:val="left"/>
              <w:rPr>
                <w:szCs w:val="24"/>
              </w:rPr>
            </w:pPr>
            <w:r w:rsidRPr="00EA5B5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0BC064F7" w14:textId="77777777" w:rsidR="003E2397" w:rsidRPr="00EA5B5D" w:rsidRDefault="003E2397" w:rsidP="003E2397">
            <w:pPr>
              <w:spacing w:line="240" w:lineRule="auto"/>
              <w:ind w:firstLine="0"/>
              <w:jc w:val="left"/>
              <w:rPr>
                <w:szCs w:val="24"/>
              </w:rPr>
            </w:pPr>
            <w:r w:rsidRPr="00EA5B5D">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6EEE1518" w14:textId="77777777" w:rsidR="003E2397" w:rsidRPr="00EA5B5D" w:rsidRDefault="003E2397" w:rsidP="003E2397">
            <w:pPr>
              <w:spacing w:line="240" w:lineRule="auto"/>
              <w:ind w:firstLine="0"/>
              <w:jc w:val="left"/>
              <w:rPr>
                <w:szCs w:val="24"/>
              </w:rPr>
            </w:pPr>
            <w:r w:rsidRPr="00EA5B5D">
              <w:rPr>
                <w:szCs w:val="24"/>
              </w:rPr>
              <w:t>Дни введения</w:t>
            </w:r>
          </w:p>
        </w:tc>
      </w:tr>
      <w:tr w:rsidR="002177F4" w:rsidRPr="00EA5B5D" w14:paraId="5937C754"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hideMark/>
          </w:tcPr>
          <w:p w14:paraId="6EDB1434" w14:textId="77777777" w:rsidR="002177F4" w:rsidRPr="002177F4" w:rsidRDefault="002177F4" w:rsidP="002177F4">
            <w:pPr>
              <w:spacing w:line="240" w:lineRule="auto"/>
              <w:ind w:firstLine="0"/>
              <w:jc w:val="left"/>
              <w:rPr>
                <w:szCs w:val="24"/>
              </w:rPr>
            </w:pPr>
            <w:r w:rsidRPr="002177F4">
              <w:rPr>
                <w:szCs w:val="24"/>
              </w:rPr>
              <w:t>Винбластин</w:t>
            </w:r>
            <w:r w:rsidR="00D254F2" w:rsidRPr="005B03CD">
              <w:rPr>
                <w:szCs w:val="24"/>
              </w:rPr>
              <w:t>**</w:t>
            </w:r>
          </w:p>
        </w:tc>
        <w:tc>
          <w:tcPr>
            <w:tcW w:w="2339" w:type="dxa"/>
            <w:tcBorders>
              <w:top w:val="single" w:sz="4" w:space="0" w:color="auto"/>
              <w:left w:val="single" w:sz="4" w:space="0" w:color="auto"/>
              <w:bottom w:val="single" w:sz="4" w:space="0" w:color="auto"/>
              <w:right w:val="single" w:sz="4" w:space="0" w:color="auto"/>
            </w:tcBorders>
          </w:tcPr>
          <w:p w14:paraId="65A2F624" w14:textId="77777777" w:rsidR="002177F4" w:rsidRPr="002177F4" w:rsidRDefault="002177F4" w:rsidP="002177F4">
            <w:pPr>
              <w:spacing w:line="240" w:lineRule="auto"/>
              <w:ind w:firstLine="0"/>
              <w:jc w:val="left"/>
              <w:rPr>
                <w:szCs w:val="24"/>
              </w:rPr>
            </w:pPr>
            <w:r w:rsidRPr="002177F4">
              <w:rPr>
                <w:szCs w:val="24"/>
              </w:rPr>
              <w:t>6 мг/м</w:t>
            </w:r>
            <w:r w:rsidRPr="002177F4">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37C9A89B" w14:textId="77777777" w:rsidR="002177F4" w:rsidRPr="002177F4" w:rsidRDefault="002177F4" w:rsidP="002177F4">
            <w:pPr>
              <w:spacing w:line="240" w:lineRule="auto"/>
              <w:ind w:firstLine="0"/>
              <w:jc w:val="left"/>
              <w:rPr>
                <w:szCs w:val="24"/>
              </w:rPr>
            </w:pPr>
            <w:r w:rsidRPr="002177F4">
              <w:rPr>
                <w:szCs w:val="24"/>
              </w:rPr>
              <w:t>в/в</w:t>
            </w:r>
          </w:p>
        </w:tc>
        <w:tc>
          <w:tcPr>
            <w:tcW w:w="2339" w:type="dxa"/>
            <w:tcBorders>
              <w:top w:val="single" w:sz="4" w:space="0" w:color="auto"/>
              <w:left w:val="single" w:sz="4" w:space="0" w:color="auto"/>
              <w:bottom w:val="single" w:sz="4" w:space="0" w:color="auto"/>
              <w:right w:val="single" w:sz="4" w:space="0" w:color="auto"/>
            </w:tcBorders>
          </w:tcPr>
          <w:p w14:paraId="4E5620DE" w14:textId="77777777" w:rsidR="002177F4" w:rsidRPr="002177F4" w:rsidRDefault="002177F4" w:rsidP="002177F4">
            <w:pPr>
              <w:spacing w:line="240" w:lineRule="auto"/>
              <w:ind w:firstLine="0"/>
              <w:jc w:val="left"/>
              <w:rPr>
                <w:szCs w:val="24"/>
              </w:rPr>
            </w:pPr>
            <w:r w:rsidRPr="002177F4">
              <w:rPr>
                <w:szCs w:val="24"/>
              </w:rPr>
              <w:t>1</w:t>
            </w:r>
          </w:p>
        </w:tc>
      </w:tr>
      <w:tr w:rsidR="002177F4" w:rsidRPr="00EA5B5D" w14:paraId="7AF9B16D"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hideMark/>
          </w:tcPr>
          <w:p w14:paraId="4BE6C3D2" w14:textId="77777777" w:rsidR="002177F4" w:rsidRPr="002177F4" w:rsidRDefault="002177F4" w:rsidP="002177F4">
            <w:pPr>
              <w:spacing w:line="240" w:lineRule="auto"/>
              <w:ind w:firstLine="0"/>
              <w:jc w:val="left"/>
              <w:rPr>
                <w:szCs w:val="24"/>
              </w:rPr>
            </w:pPr>
            <w:r w:rsidRPr="002177F4">
              <w:rPr>
                <w:szCs w:val="24"/>
              </w:rPr>
              <w:t>Циклофосфамид</w:t>
            </w:r>
            <w:r w:rsidR="00D254F2" w:rsidRPr="005B03CD">
              <w:rPr>
                <w:szCs w:val="24"/>
              </w:rPr>
              <w:t>**</w:t>
            </w:r>
          </w:p>
        </w:tc>
        <w:tc>
          <w:tcPr>
            <w:tcW w:w="2339" w:type="dxa"/>
            <w:tcBorders>
              <w:top w:val="single" w:sz="4" w:space="0" w:color="auto"/>
              <w:left w:val="single" w:sz="4" w:space="0" w:color="auto"/>
              <w:bottom w:val="single" w:sz="4" w:space="0" w:color="auto"/>
              <w:right w:val="single" w:sz="4" w:space="0" w:color="auto"/>
            </w:tcBorders>
            <w:hideMark/>
          </w:tcPr>
          <w:p w14:paraId="6EF3351D" w14:textId="77777777" w:rsidR="002177F4" w:rsidRPr="002177F4" w:rsidRDefault="002177F4" w:rsidP="002177F4">
            <w:pPr>
              <w:spacing w:line="240" w:lineRule="auto"/>
              <w:ind w:firstLine="0"/>
              <w:jc w:val="left"/>
              <w:rPr>
                <w:szCs w:val="24"/>
              </w:rPr>
            </w:pPr>
            <w:r w:rsidRPr="002177F4">
              <w:rPr>
                <w:szCs w:val="24"/>
              </w:rPr>
              <w:t>500 мг/м</w:t>
            </w:r>
            <w:r w:rsidRPr="002177F4">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034993F9" w14:textId="77777777" w:rsidR="002177F4" w:rsidRPr="002177F4" w:rsidRDefault="002177F4" w:rsidP="002177F4">
            <w:pPr>
              <w:spacing w:line="240" w:lineRule="auto"/>
              <w:ind w:firstLine="0"/>
              <w:jc w:val="left"/>
              <w:rPr>
                <w:szCs w:val="24"/>
              </w:rPr>
            </w:pPr>
            <w:r w:rsidRPr="002177F4">
              <w:rPr>
                <w:szCs w:val="24"/>
              </w:rPr>
              <w:t>в/в</w:t>
            </w:r>
          </w:p>
        </w:tc>
        <w:tc>
          <w:tcPr>
            <w:tcW w:w="2339" w:type="dxa"/>
            <w:tcBorders>
              <w:top w:val="single" w:sz="4" w:space="0" w:color="auto"/>
              <w:left w:val="single" w:sz="4" w:space="0" w:color="auto"/>
              <w:bottom w:val="single" w:sz="4" w:space="0" w:color="auto"/>
              <w:right w:val="single" w:sz="4" w:space="0" w:color="auto"/>
            </w:tcBorders>
            <w:hideMark/>
          </w:tcPr>
          <w:p w14:paraId="38BE6371" w14:textId="77777777" w:rsidR="002177F4" w:rsidRPr="002177F4" w:rsidRDefault="002177F4" w:rsidP="002177F4">
            <w:pPr>
              <w:spacing w:line="240" w:lineRule="auto"/>
              <w:ind w:firstLine="0"/>
              <w:jc w:val="left"/>
              <w:rPr>
                <w:szCs w:val="24"/>
              </w:rPr>
            </w:pPr>
            <w:r w:rsidRPr="002177F4">
              <w:rPr>
                <w:szCs w:val="24"/>
              </w:rPr>
              <w:t>1</w:t>
            </w:r>
          </w:p>
        </w:tc>
      </w:tr>
      <w:tr w:rsidR="002177F4" w:rsidRPr="00EA5B5D" w14:paraId="4E3FE07F"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5818AF76" w14:textId="77777777" w:rsidR="002177F4" w:rsidRPr="002177F4" w:rsidRDefault="002177F4" w:rsidP="002177F4">
            <w:pPr>
              <w:spacing w:line="240" w:lineRule="auto"/>
              <w:ind w:firstLine="0"/>
              <w:jc w:val="left"/>
              <w:rPr>
                <w:szCs w:val="24"/>
              </w:rPr>
            </w:pPr>
            <w:r w:rsidRPr="002177F4">
              <w:rPr>
                <w:szCs w:val="24"/>
              </w:rPr>
              <w:t>Прокарбазин</w:t>
            </w:r>
            <w:r w:rsidR="00D254F2" w:rsidRPr="005B03CD">
              <w:rPr>
                <w:szCs w:val="24"/>
              </w:rPr>
              <w:t>**</w:t>
            </w:r>
          </w:p>
        </w:tc>
        <w:tc>
          <w:tcPr>
            <w:tcW w:w="2339" w:type="dxa"/>
            <w:tcBorders>
              <w:top w:val="single" w:sz="4" w:space="0" w:color="auto"/>
              <w:left w:val="single" w:sz="4" w:space="0" w:color="auto"/>
              <w:bottom w:val="single" w:sz="4" w:space="0" w:color="auto"/>
              <w:right w:val="single" w:sz="4" w:space="0" w:color="auto"/>
            </w:tcBorders>
          </w:tcPr>
          <w:p w14:paraId="46102E4A" w14:textId="77777777" w:rsidR="002177F4" w:rsidRPr="002177F4" w:rsidRDefault="002177F4" w:rsidP="002177F4">
            <w:pPr>
              <w:spacing w:line="240" w:lineRule="auto"/>
              <w:ind w:firstLine="0"/>
              <w:jc w:val="left"/>
              <w:rPr>
                <w:szCs w:val="24"/>
              </w:rPr>
            </w:pPr>
            <w:r w:rsidRPr="002177F4">
              <w:rPr>
                <w:szCs w:val="24"/>
              </w:rPr>
              <w:t>100 мг/м</w:t>
            </w:r>
            <w:r w:rsidRPr="002177F4">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75CCA05A" w14:textId="77777777" w:rsidR="002177F4" w:rsidRPr="002177F4" w:rsidRDefault="002177F4" w:rsidP="002177F4">
            <w:pPr>
              <w:spacing w:line="240" w:lineRule="auto"/>
              <w:ind w:firstLine="0"/>
              <w:jc w:val="left"/>
              <w:rPr>
                <w:szCs w:val="24"/>
              </w:rPr>
            </w:pPr>
            <w:r w:rsidRPr="002177F4">
              <w:rPr>
                <w:szCs w:val="24"/>
              </w:rPr>
              <w:t>внутрь</w:t>
            </w:r>
          </w:p>
        </w:tc>
        <w:tc>
          <w:tcPr>
            <w:tcW w:w="2339" w:type="dxa"/>
            <w:tcBorders>
              <w:top w:val="single" w:sz="4" w:space="0" w:color="auto"/>
              <w:left w:val="single" w:sz="4" w:space="0" w:color="auto"/>
              <w:bottom w:val="single" w:sz="4" w:space="0" w:color="auto"/>
              <w:right w:val="single" w:sz="4" w:space="0" w:color="auto"/>
            </w:tcBorders>
          </w:tcPr>
          <w:p w14:paraId="463083DF" w14:textId="77777777" w:rsidR="002177F4" w:rsidRPr="002177F4" w:rsidRDefault="002177F4" w:rsidP="002177F4">
            <w:pPr>
              <w:spacing w:line="240" w:lineRule="auto"/>
              <w:ind w:firstLine="0"/>
              <w:jc w:val="left"/>
              <w:rPr>
                <w:szCs w:val="24"/>
              </w:rPr>
            </w:pPr>
            <w:r w:rsidRPr="002177F4">
              <w:rPr>
                <w:szCs w:val="24"/>
              </w:rPr>
              <w:t>1-</w:t>
            </w:r>
            <w:r w:rsidR="002F6413">
              <w:rPr>
                <w:szCs w:val="24"/>
              </w:rPr>
              <w:t>5</w:t>
            </w:r>
          </w:p>
        </w:tc>
      </w:tr>
      <w:tr w:rsidR="002177F4" w:rsidRPr="00EA5B5D" w14:paraId="04DECA1A"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039443DA" w14:textId="77777777" w:rsidR="002177F4" w:rsidRPr="002177F4" w:rsidRDefault="002177F4" w:rsidP="002177F4">
            <w:pPr>
              <w:spacing w:line="240" w:lineRule="auto"/>
              <w:ind w:firstLine="0"/>
              <w:jc w:val="left"/>
              <w:rPr>
                <w:szCs w:val="24"/>
              </w:rPr>
            </w:pPr>
            <w:r w:rsidRPr="002177F4">
              <w:rPr>
                <w:szCs w:val="24"/>
              </w:rPr>
              <w:t>Преднизолон</w:t>
            </w:r>
            <w:r w:rsidR="00D254F2" w:rsidRPr="005B03CD">
              <w:rPr>
                <w:szCs w:val="24"/>
              </w:rPr>
              <w:t>**</w:t>
            </w:r>
          </w:p>
        </w:tc>
        <w:tc>
          <w:tcPr>
            <w:tcW w:w="2339" w:type="dxa"/>
            <w:tcBorders>
              <w:top w:val="single" w:sz="4" w:space="0" w:color="auto"/>
              <w:left w:val="single" w:sz="4" w:space="0" w:color="auto"/>
              <w:bottom w:val="single" w:sz="4" w:space="0" w:color="auto"/>
              <w:right w:val="single" w:sz="4" w:space="0" w:color="auto"/>
            </w:tcBorders>
          </w:tcPr>
          <w:p w14:paraId="69FBC242" w14:textId="77777777" w:rsidR="002177F4" w:rsidRPr="002177F4" w:rsidRDefault="002177F4" w:rsidP="002177F4">
            <w:pPr>
              <w:spacing w:line="240" w:lineRule="auto"/>
              <w:ind w:firstLine="0"/>
              <w:jc w:val="left"/>
              <w:rPr>
                <w:szCs w:val="24"/>
              </w:rPr>
            </w:pPr>
            <w:r w:rsidRPr="002177F4">
              <w:rPr>
                <w:szCs w:val="24"/>
              </w:rPr>
              <w:t>30 мг/м</w:t>
            </w:r>
            <w:r w:rsidRPr="002177F4">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7A58436D" w14:textId="77777777" w:rsidR="002177F4" w:rsidRPr="002177F4" w:rsidRDefault="002177F4" w:rsidP="002177F4">
            <w:pPr>
              <w:spacing w:line="240" w:lineRule="auto"/>
              <w:ind w:firstLine="0"/>
              <w:jc w:val="left"/>
              <w:rPr>
                <w:szCs w:val="24"/>
              </w:rPr>
            </w:pPr>
            <w:r w:rsidRPr="002177F4">
              <w:rPr>
                <w:szCs w:val="24"/>
              </w:rPr>
              <w:t>внутрь</w:t>
            </w:r>
          </w:p>
        </w:tc>
        <w:tc>
          <w:tcPr>
            <w:tcW w:w="2339" w:type="dxa"/>
            <w:tcBorders>
              <w:top w:val="single" w:sz="4" w:space="0" w:color="auto"/>
              <w:left w:val="single" w:sz="4" w:space="0" w:color="auto"/>
              <w:bottom w:val="single" w:sz="4" w:space="0" w:color="auto"/>
              <w:right w:val="single" w:sz="4" w:space="0" w:color="auto"/>
            </w:tcBorders>
          </w:tcPr>
          <w:p w14:paraId="271FAA8E" w14:textId="77777777" w:rsidR="002177F4" w:rsidRPr="002177F4" w:rsidRDefault="002177F4" w:rsidP="002177F4">
            <w:pPr>
              <w:spacing w:line="240" w:lineRule="auto"/>
              <w:ind w:firstLine="0"/>
              <w:jc w:val="left"/>
              <w:rPr>
                <w:szCs w:val="24"/>
              </w:rPr>
            </w:pPr>
            <w:r w:rsidRPr="002177F4">
              <w:rPr>
                <w:szCs w:val="24"/>
              </w:rPr>
              <w:t>1-5</w:t>
            </w:r>
          </w:p>
        </w:tc>
      </w:tr>
      <w:tr w:rsidR="002177F4" w:rsidRPr="00EA5B5D" w14:paraId="2713804D"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71FC09FB" w14:textId="77777777" w:rsidR="002177F4" w:rsidRPr="002177F4" w:rsidRDefault="002177F4" w:rsidP="002177F4">
            <w:pPr>
              <w:spacing w:line="240" w:lineRule="auto"/>
              <w:ind w:firstLine="0"/>
              <w:jc w:val="left"/>
              <w:rPr>
                <w:szCs w:val="24"/>
              </w:rPr>
            </w:pPr>
            <w:r w:rsidRPr="002177F4">
              <w:rPr>
                <w:szCs w:val="24"/>
              </w:rPr>
              <w:t>Этопозид</w:t>
            </w:r>
            <w:r w:rsidR="00D254F2" w:rsidRPr="005B03CD">
              <w:rPr>
                <w:szCs w:val="24"/>
              </w:rPr>
              <w:t>**</w:t>
            </w:r>
          </w:p>
        </w:tc>
        <w:tc>
          <w:tcPr>
            <w:tcW w:w="2339" w:type="dxa"/>
            <w:tcBorders>
              <w:top w:val="single" w:sz="4" w:space="0" w:color="auto"/>
              <w:left w:val="single" w:sz="4" w:space="0" w:color="auto"/>
              <w:bottom w:val="single" w:sz="4" w:space="0" w:color="auto"/>
              <w:right w:val="single" w:sz="4" w:space="0" w:color="auto"/>
            </w:tcBorders>
          </w:tcPr>
          <w:p w14:paraId="6D17C769" w14:textId="77777777" w:rsidR="002177F4" w:rsidRPr="002177F4" w:rsidRDefault="002177F4" w:rsidP="002177F4">
            <w:pPr>
              <w:spacing w:line="240" w:lineRule="auto"/>
              <w:ind w:firstLine="0"/>
              <w:jc w:val="left"/>
              <w:rPr>
                <w:szCs w:val="24"/>
              </w:rPr>
            </w:pPr>
            <w:r w:rsidRPr="002177F4">
              <w:rPr>
                <w:szCs w:val="24"/>
              </w:rPr>
              <w:t>60 мг/м</w:t>
            </w:r>
            <w:r w:rsidRPr="002177F4">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4449F045" w14:textId="77777777" w:rsidR="002177F4" w:rsidRPr="002177F4" w:rsidRDefault="002177F4" w:rsidP="002177F4">
            <w:pPr>
              <w:spacing w:line="240" w:lineRule="auto"/>
              <w:ind w:firstLine="0"/>
              <w:jc w:val="left"/>
              <w:rPr>
                <w:szCs w:val="24"/>
              </w:rPr>
            </w:pPr>
            <w:r w:rsidRPr="002177F4">
              <w:rPr>
                <w:szCs w:val="24"/>
              </w:rPr>
              <w:t>внутрь</w:t>
            </w:r>
          </w:p>
        </w:tc>
        <w:tc>
          <w:tcPr>
            <w:tcW w:w="2339" w:type="dxa"/>
            <w:tcBorders>
              <w:top w:val="single" w:sz="4" w:space="0" w:color="auto"/>
              <w:left w:val="single" w:sz="4" w:space="0" w:color="auto"/>
              <w:bottom w:val="single" w:sz="4" w:space="0" w:color="auto"/>
              <w:right w:val="single" w:sz="4" w:space="0" w:color="auto"/>
            </w:tcBorders>
          </w:tcPr>
          <w:p w14:paraId="63935AE9" w14:textId="77777777" w:rsidR="002177F4" w:rsidRPr="002177F4" w:rsidRDefault="002177F4" w:rsidP="002177F4">
            <w:pPr>
              <w:spacing w:line="240" w:lineRule="auto"/>
              <w:ind w:firstLine="0"/>
              <w:jc w:val="left"/>
              <w:rPr>
                <w:szCs w:val="24"/>
              </w:rPr>
            </w:pPr>
            <w:r w:rsidRPr="002177F4">
              <w:rPr>
                <w:szCs w:val="24"/>
              </w:rPr>
              <w:t xml:space="preserve">15-19  </w:t>
            </w:r>
          </w:p>
        </w:tc>
      </w:tr>
      <w:tr w:rsidR="002177F4" w:rsidRPr="00EA5B5D" w14:paraId="65FFF2B1"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322DD3C7" w14:textId="77777777" w:rsidR="002177F4" w:rsidRPr="002177F4" w:rsidRDefault="002177F4" w:rsidP="002177F4">
            <w:pPr>
              <w:spacing w:line="240" w:lineRule="auto"/>
              <w:ind w:firstLine="0"/>
              <w:jc w:val="left"/>
              <w:rPr>
                <w:szCs w:val="24"/>
              </w:rPr>
            </w:pPr>
            <w:r w:rsidRPr="002177F4">
              <w:rPr>
                <w:szCs w:val="24"/>
              </w:rPr>
              <w:t>Митоксантрон</w:t>
            </w:r>
            <w:r w:rsidR="00D254F2" w:rsidRPr="005B03CD">
              <w:rPr>
                <w:szCs w:val="24"/>
              </w:rPr>
              <w:t>**</w:t>
            </w:r>
          </w:p>
        </w:tc>
        <w:tc>
          <w:tcPr>
            <w:tcW w:w="2339" w:type="dxa"/>
            <w:tcBorders>
              <w:top w:val="single" w:sz="4" w:space="0" w:color="auto"/>
              <w:left w:val="single" w:sz="4" w:space="0" w:color="auto"/>
              <w:bottom w:val="single" w:sz="4" w:space="0" w:color="auto"/>
              <w:right w:val="single" w:sz="4" w:space="0" w:color="auto"/>
            </w:tcBorders>
          </w:tcPr>
          <w:p w14:paraId="23224FEA" w14:textId="77777777" w:rsidR="002177F4" w:rsidRPr="002177F4" w:rsidRDefault="002177F4" w:rsidP="002177F4">
            <w:pPr>
              <w:spacing w:line="240" w:lineRule="auto"/>
              <w:ind w:firstLine="0"/>
              <w:jc w:val="left"/>
              <w:rPr>
                <w:szCs w:val="24"/>
              </w:rPr>
            </w:pPr>
            <w:r w:rsidRPr="002177F4">
              <w:rPr>
                <w:szCs w:val="24"/>
              </w:rPr>
              <w:t>6 мг/м</w:t>
            </w:r>
            <w:r w:rsidRPr="002177F4">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76607695" w14:textId="77777777" w:rsidR="002177F4" w:rsidRPr="002177F4" w:rsidRDefault="002177F4" w:rsidP="002177F4">
            <w:pPr>
              <w:spacing w:line="240" w:lineRule="auto"/>
              <w:ind w:firstLine="0"/>
              <w:jc w:val="left"/>
              <w:rPr>
                <w:szCs w:val="24"/>
              </w:rPr>
            </w:pPr>
            <w:r w:rsidRPr="002177F4">
              <w:rPr>
                <w:szCs w:val="24"/>
              </w:rPr>
              <w:t>в/в</w:t>
            </w:r>
          </w:p>
        </w:tc>
        <w:tc>
          <w:tcPr>
            <w:tcW w:w="2339" w:type="dxa"/>
            <w:tcBorders>
              <w:top w:val="single" w:sz="4" w:space="0" w:color="auto"/>
              <w:left w:val="single" w:sz="4" w:space="0" w:color="auto"/>
              <w:bottom w:val="single" w:sz="4" w:space="0" w:color="auto"/>
              <w:right w:val="single" w:sz="4" w:space="0" w:color="auto"/>
            </w:tcBorders>
          </w:tcPr>
          <w:p w14:paraId="6DB22345" w14:textId="77777777" w:rsidR="002177F4" w:rsidRPr="002177F4" w:rsidRDefault="002177F4" w:rsidP="002177F4">
            <w:pPr>
              <w:spacing w:line="240" w:lineRule="auto"/>
              <w:ind w:firstLine="0"/>
              <w:jc w:val="left"/>
              <w:rPr>
                <w:szCs w:val="24"/>
              </w:rPr>
            </w:pPr>
            <w:r w:rsidRPr="002177F4">
              <w:rPr>
                <w:szCs w:val="24"/>
              </w:rPr>
              <w:t>15</w:t>
            </w:r>
          </w:p>
        </w:tc>
      </w:tr>
      <w:tr w:rsidR="002177F4" w:rsidRPr="00EA5B5D" w14:paraId="016D608F"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270E6E68" w14:textId="77777777" w:rsidR="002177F4" w:rsidRPr="002177F4" w:rsidRDefault="002177F4" w:rsidP="002177F4">
            <w:pPr>
              <w:spacing w:line="240" w:lineRule="auto"/>
              <w:ind w:firstLine="0"/>
              <w:jc w:val="left"/>
              <w:rPr>
                <w:szCs w:val="24"/>
              </w:rPr>
            </w:pPr>
            <w:r w:rsidRPr="002177F4">
              <w:rPr>
                <w:szCs w:val="24"/>
              </w:rPr>
              <w:t>Блеомицин</w:t>
            </w:r>
            <w:r w:rsidR="00D254F2" w:rsidRPr="005B03CD">
              <w:rPr>
                <w:szCs w:val="24"/>
              </w:rPr>
              <w:t>**</w:t>
            </w:r>
          </w:p>
        </w:tc>
        <w:tc>
          <w:tcPr>
            <w:tcW w:w="2339" w:type="dxa"/>
            <w:tcBorders>
              <w:top w:val="single" w:sz="4" w:space="0" w:color="auto"/>
              <w:left w:val="single" w:sz="4" w:space="0" w:color="auto"/>
              <w:bottom w:val="single" w:sz="4" w:space="0" w:color="auto"/>
              <w:right w:val="single" w:sz="4" w:space="0" w:color="auto"/>
            </w:tcBorders>
          </w:tcPr>
          <w:p w14:paraId="6FAE5A27" w14:textId="77777777" w:rsidR="002177F4" w:rsidRPr="002177F4" w:rsidRDefault="002177F4" w:rsidP="002177F4">
            <w:pPr>
              <w:spacing w:line="240" w:lineRule="auto"/>
              <w:ind w:firstLine="0"/>
              <w:jc w:val="left"/>
              <w:rPr>
                <w:szCs w:val="24"/>
              </w:rPr>
            </w:pPr>
            <w:r w:rsidRPr="002177F4">
              <w:rPr>
                <w:szCs w:val="24"/>
              </w:rPr>
              <w:t>10 мг/м</w:t>
            </w:r>
            <w:r w:rsidRPr="002177F4">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0EC58A39" w14:textId="77777777" w:rsidR="002177F4" w:rsidRPr="002177F4" w:rsidRDefault="002177F4" w:rsidP="002177F4">
            <w:pPr>
              <w:spacing w:line="240" w:lineRule="auto"/>
              <w:ind w:firstLine="0"/>
              <w:jc w:val="left"/>
              <w:rPr>
                <w:szCs w:val="24"/>
              </w:rPr>
            </w:pPr>
            <w:r w:rsidRPr="002177F4">
              <w:rPr>
                <w:szCs w:val="24"/>
              </w:rPr>
              <w:t>в/в</w:t>
            </w:r>
          </w:p>
        </w:tc>
        <w:tc>
          <w:tcPr>
            <w:tcW w:w="2339" w:type="dxa"/>
            <w:tcBorders>
              <w:top w:val="single" w:sz="4" w:space="0" w:color="auto"/>
              <w:left w:val="single" w:sz="4" w:space="0" w:color="auto"/>
              <w:bottom w:val="single" w:sz="4" w:space="0" w:color="auto"/>
              <w:right w:val="single" w:sz="4" w:space="0" w:color="auto"/>
            </w:tcBorders>
          </w:tcPr>
          <w:p w14:paraId="4B547084" w14:textId="77777777" w:rsidR="002177F4" w:rsidRPr="002177F4" w:rsidRDefault="002177F4" w:rsidP="002177F4">
            <w:pPr>
              <w:spacing w:line="240" w:lineRule="auto"/>
              <w:ind w:firstLine="0"/>
              <w:jc w:val="left"/>
              <w:rPr>
                <w:szCs w:val="24"/>
              </w:rPr>
            </w:pPr>
            <w:r w:rsidRPr="002177F4">
              <w:rPr>
                <w:szCs w:val="24"/>
              </w:rPr>
              <w:t>15</w:t>
            </w:r>
          </w:p>
        </w:tc>
      </w:tr>
      <w:tr w:rsidR="002177F4" w:rsidRPr="00EA5B5D" w14:paraId="03B120BA" w14:textId="77777777" w:rsidTr="003E2397">
        <w:tc>
          <w:tcPr>
            <w:tcW w:w="9356" w:type="dxa"/>
            <w:gridSpan w:val="4"/>
            <w:tcBorders>
              <w:top w:val="single" w:sz="4" w:space="0" w:color="auto"/>
              <w:left w:val="single" w:sz="4" w:space="0" w:color="auto"/>
              <w:bottom w:val="single" w:sz="4" w:space="0" w:color="auto"/>
              <w:right w:val="single" w:sz="4" w:space="0" w:color="auto"/>
            </w:tcBorders>
            <w:vAlign w:val="center"/>
          </w:tcPr>
          <w:p w14:paraId="5C1DF0F0" w14:textId="77777777" w:rsidR="002177F4" w:rsidRPr="002177F4" w:rsidRDefault="002177F4" w:rsidP="002177F4">
            <w:pPr>
              <w:spacing w:line="240" w:lineRule="auto"/>
              <w:ind w:firstLine="0"/>
              <w:jc w:val="left"/>
              <w:rPr>
                <w:szCs w:val="24"/>
              </w:rPr>
            </w:pPr>
            <w:r w:rsidRPr="00EA5B5D">
              <w:rPr>
                <w:szCs w:val="24"/>
              </w:rPr>
              <w:t xml:space="preserve">Лечение возобновляется на </w:t>
            </w:r>
            <w:r w:rsidRPr="005B03CD">
              <w:rPr>
                <w:szCs w:val="24"/>
              </w:rPr>
              <w:t>2</w:t>
            </w:r>
            <w:r>
              <w:rPr>
                <w:szCs w:val="24"/>
              </w:rPr>
              <w:t>9</w:t>
            </w:r>
            <w:r w:rsidRPr="005B03CD">
              <w:rPr>
                <w:szCs w:val="24"/>
              </w:rPr>
              <w:t xml:space="preserve"> </w:t>
            </w:r>
            <w:r>
              <w:rPr>
                <w:szCs w:val="24"/>
              </w:rPr>
              <w:t>день</w:t>
            </w:r>
          </w:p>
        </w:tc>
      </w:tr>
    </w:tbl>
    <w:p w14:paraId="3D412FF9" w14:textId="77777777" w:rsidR="003E2397" w:rsidRPr="000709E2" w:rsidRDefault="003E2397" w:rsidP="002648A0">
      <w:pPr>
        <w:ind w:left="709" w:firstLine="0"/>
      </w:pPr>
    </w:p>
    <w:tbl>
      <w:tblPr>
        <w:tblStyle w:val="aff9"/>
        <w:tblW w:w="9356" w:type="dxa"/>
        <w:tblInd w:w="-5" w:type="dxa"/>
        <w:tblLayout w:type="fixed"/>
        <w:tblLook w:val="04A0" w:firstRow="1" w:lastRow="0" w:firstColumn="1" w:lastColumn="0" w:noHBand="0" w:noVBand="1"/>
      </w:tblPr>
      <w:tblGrid>
        <w:gridCol w:w="2339"/>
        <w:gridCol w:w="2339"/>
        <w:gridCol w:w="2339"/>
        <w:gridCol w:w="2339"/>
      </w:tblGrid>
      <w:tr w:rsidR="002177F4" w:rsidRPr="002648A0" w14:paraId="396287C7" w14:textId="77777777" w:rsidTr="00B16826">
        <w:trPr>
          <w:trHeight w:val="329"/>
        </w:trPr>
        <w:tc>
          <w:tcPr>
            <w:tcW w:w="9356" w:type="dxa"/>
            <w:gridSpan w:val="4"/>
            <w:tcBorders>
              <w:top w:val="nil"/>
              <w:left w:val="nil"/>
              <w:bottom w:val="single" w:sz="4" w:space="0" w:color="auto"/>
              <w:right w:val="nil"/>
            </w:tcBorders>
          </w:tcPr>
          <w:p w14:paraId="08DA4A56" w14:textId="309C9F39" w:rsidR="002177F4" w:rsidRPr="00574AC0" w:rsidRDefault="002177F4" w:rsidP="00B16826">
            <w:pPr>
              <w:spacing w:line="240" w:lineRule="auto"/>
              <w:ind w:firstLine="0"/>
              <w:jc w:val="left"/>
              <w:rPr>
                <w:b/>
                <w:bCs/>
                <w:szCs w:val="24"/>
              </w:rPr>
            </w:pPr>
            <w:r>
              <w:rPr>
                <w:b/>
                <w:bCs/>
                <w:szCs w:val="24"/>
                <w:lang w:val="en-US"/>
              </w:rPr>
              <w:t>CVP</w:t>
            </w:r>
            <w:r w:rsidR="008358F4" w:rsidRPr="005B03CD">
              <w:rPr>
                <w:b/>
                <w:bCs/>
                <w:szCs w:val="24"/>
              </w:rPr>
              <w:t xml:space="preserve"> </w:t>
            </w:r>
            <w:r w:rsidR="00574AC0">
              <w:rPr>
                <w:b/>
                <w:bCs/>
                <w:szCs w:val="24"/>
                <w:lang w:val="en-US"/>
              </w:rPr>
              <w:fldChar w:fldCharType="begin" w:fldLock="1"/>
            </w:r>
            <w:r w:rsidR="00053AE8">
              <w:rPr>
                <w:b/>
                <w:bCs/>
                <w:szCs w:val="24"/>
                <w:lang w:val="en-US"/>
              </w:rPr>
              <w:instrText>ADDIN</w:instrText>
            </w:r>
            <w:r w:rsidR="00053AE8" w:rsidRPr="002B3AE7">
              <w:rPr>
                <w:b/>
                <w:bCs/>
                <w:szCs w:val="24"/>
              </w:rPr>
              <w:instrText xml:space="preserve"> </w:instrText>
            </w:r>
            <w:r w:rsidR="00053AE8">
              <w:rPr>
                <w:b/>
                <w:bCs/>
                <w:szCs w:val="24"/>
                <w:lang w:val="en-US"/>
              </w:rPr>
              <w:instrText>CSL</w:instrText>
            </w:r>
            <w:r w:rsidR="00053AE8" w:rsidRPr="002B3AE7">
              <w:rPr>
                <w:b/>
                <w:bCs/>
                <w:szCs w:val="24"/>
              </w:rPr>
              <w:instrText>_</w:instrText>
            </w:r>
            <w:r w:rsidR="00053AE8">
              <w:rPr>
                <w:b/>
                <w:bCs/>
                <w:szCs w:val="24"/>
                <w:lang w:val="en-US"/>
              </w:rPr>
              <w:instrText>CITATION</w:instrText>
            </w:r>
            <w:r w:rsidR="00053AE8" w:rsidRPr="002B3AE7">
              <w:rPr>
                <w:b/>
                <w:bCs/>
                <w:szCs w:val="24"/>
              </w:rPr>
              <w:instrText xml:space="preserve"> {"</w:instrText>
            </w:r>
            <w:r w:rsidR="00053AE8">
              <w:rPr>
                <w:b/>
                <w:bCs/>
                <w:szCs w:val="24"/>
                <w:lang w:val="en-US"/>
              </w:rPr>
              <w:instrText>citationItems</w:instrText>
            </w:r>
            <w:r w:rsidR="00053AE8" w:rsidRPr="002B3AE7">
              <w:rPr>
                <w:b/>
                <w:bCs/>
                <w:szCs w:val="24"/>
              </w:rPr>
              <w:instrText>":[{"</w:instrText>
            </w:r>
            <w:r w:rsidR="00053AE8">
              <w:rPr>
                <w:b/>
                <w:bCs/>
                <w:szCs w:val="24"/>
                <w:lang w:val="en-US"/>
              </w:rPr>
              <w:instrText>id</w:instrText>
            </w:r>
            <w:r w:rsidR="00053AE8" w:rsidRPr="002B3AE7">
              <w:rPr>
                <w:b/>
                <w:bCs/>
                <w:szCs w:val="24"/>
              </w:rPr>
              <w:instrText>":"</w:instrText>
            </w:r>
            <w:r w:rsidR="00053AE8">
              <w:rPr>
                <w:b/>
                <w:bCs/>
                <w:szCs w:val="24"/>
                <w:lang w:val="en-US"/>
              </w:rPr>
              <w:instrText>ITEM</w:instrText>
            </w:r>
            <w:r w:rsidR="00053AE8" w:rsidRPr="002B3AE7">
              <w:rPr>
                <w:b/>
                <w:bCs/>
                <w:szCs w:val="24"/>
              </w:rPr>
              <w:instrText>-1","</w:instrText>
            </w:r>
            <w:r w:rsidR="00053AE8">
              <w:rPr>
                <w:b/>
                <w:bCs/>
                <w:szCs w:val="24"/>
                <w:lang w:val="en-US"/>
              </w:rPr>
              <w:instrText>itemData</w:instrText>
            </w:r>
            <w:r w:rsidR="00053AE8" w:rsidRPr="002B3AE7">
              <w:rPr>
                <w:b/>
                <w:bCs/>
                <w:szCs w:val="24"/>
              </w:rPr>
              <w:instrText>":{"</w:instrText>
            </w:r>
            <w:r w:rsidR="00053AE8">
              <w:rPr>
                <w:b/>
                <w:bCs/>
                <w:szCs w:val="24"/>
                <w:lang w:val="en-US"/>
              </w:rPr>
              <w:instrText>ISSN</w:instrText>
            </w:r>
            <w:r w:rsidR="00053AE8" w:rsidRPr="002B3AE7">
              <w:rPr>
                <w:b/>
                <w:bCs/>
                <w:szCs w:val="24"/>
              </w:rPr>
              <w:instrText>":"0390-6078","</w:instrText>
            </w:r>
            <w:r w:rsidR="00053AE8">
              <w:rPr>
                <w:b/>
                <w:bCs/>
                <w:szCs w:val="24"/>
                <w:lang w:val="en-US"/>
              </w:rPr>
              <w:instrText>PMID</w:instrText>
            </w:r>
            <w:r w:rsidR="00053AE8" w:rsidRPr="002B3AE7">
              <w:rPr>
                <w:b/>
                <w:bCs/>
                <w:szCs w:val="24"/>
              </w:rPr>
              <w:instrText>":"8952159","</w:instrText>
            </w:r>
            <w:r w:rsidR="00053AE8">
              <w:rPr>
                <w:b/>
                <w:bCs/>
                <w:szCs w:val="24"/>
                <w:lang w:val="en-US"/>
              </w:rPr>
              <w:instrText>abstract</w:instrText>
            </w:r>
            <w:r w:rsidR="00053AE8" w:rsidRPr="002B3AE7">
              <w:rPr>
                <w:b/>
                <w:bCs/>
                <w:szCs w:val="24"/>
              </w:rPr>
              <w:instrText>":"</w:instrText>
            </w:r>
            <w:r w:rsidR="00053AE8">
              <w:rPr>
                <w:b/>
                <w:bCs/>
                <w:szCs w:val="24"/>
                <w:lang w:val="en-US"/>
              </w:rPr>
              <w:instrText>BACKGROUND</w:instrText>
            </w:r>
            <w:r w:rsidR="00053AE8" w:rsidRPr="002B3AE7">
              <w:rPr>
                <w:b/>
                <w:bCs/>
                <w:szCs w:val="24"/>
              </w:rPr>
              <w:instrText xml:space="preserve"> </w:instrText>
            </w:r>
            <w:r w:rsidR="00053AE8">
              <w:rPr>
                <w:b/>
                <w:bCs/>
                <w:szCs w:val="24"/>
                <w:lang w:val="en-US"/>
              </w:rPr>
              <w:instrText>Hodgkin</w:instrText>
            </w:r>
            <w:r w:rsidR="00053AE8" w:rsidRPr="002B3AE7">
              <w:rPr>
                <w:b/>
                <w:bCs/>
                <w:szCs w:val="24"/>
              </w:rPr>
              <w:instrText>'</w:instrText>
            </w:r>
            <w:r w:rsidR="00053AE8">
              <w:rPr>
                <w:b/>
                <w:bCs/>
                <w:szCs w:val="24"/>
                <w:lang w:val="en-US"/>
              </w:rPr>
              <w:instrText>s</w:instrText>
            </w:r>
            <w:r w:rsidR="00053AE8" w:rsidRPr="002B3AE7">
              <w:rPr>
                <w:b/>
                <w:bCs/>
                <w:szCs w:val="24"/>
              </w:rPr>
              <w:instrText xml:space="preserve"> </w:instrText>
            </w:r>
            <w:r w:rsidR="00053AE8">
              <w:rPr>
                <w:b/>
                <w:bCs/>
                <w:szCs w:val="24"/>
                <w:lang w:val="en-US"/>
              </w:rPr>
              <w:instrText>disease</w:instrText>
            </w:r>
            <w:r w:rsidR="00053AE8" w:rsidRPr="002B3AE7">
              <w:rPr>
                <w:b/>
                <w:bCs/>
                <w:szCs w:val="24"/>
              </w:rPr>
              <w:instrText xml:space="preserve"> (</w:instrText>
            </w:r>
            <w:r w:rsidR="00053AE8">
              <w:rPr>
                <w:b/>
                <w:bCs/>
                <w:szCs w:val="24"/>
                <w:lang w:val="en-US"/>
              </w:rPr>
              <w:instrText>HD</w:instrText>
            </w:r>
            <w:r w:rsidR="00053AE8" w:rsidRPr="002B3AE7">
              <w:rPr>
                <w:b/>
                <w:bCs/>
                <w:szCs w:val="24"/>
              </w:rPr>
              <w:instrText xml:space="preserve">) </w:instrText>
            </w:r>
            <w:r w:rsidR="00053AE8">
              <w:rPr>
                <w:b/>
                <w:bCs/>
                <w:szCs w:val="24"/>
                <w:lang w:val="en-US"/>
              </w:rPr>
              <w:instrText>after</w:instrText>
            </w:r>
            <w:r w:rsidR="00053AE8" w:rsidRPr="002B3AE7">
              <w:rPr>
                <w:b/>
                <w:bCs/>
                <w:szCs w:val="24"/>
              </w:rPr>
              <w:instrText xml:space="preserve"> </w:instrText>
            </w:r>
            <w:r w:rsidR="00053AE8">
              <w:rPr>
                <w:b/>
                <w:bCs/>
                <w:szCs w:val="24"/>
                <w:lang w:val="en-US"/>
              </w:rPr>
              <w:instrText>the</w:instrText>
            </w:r>
            <w:r w:rsidR="00053AE8" w:rsidRPr="002B3AE7">
              <w:rPr>
                <w:b/>
                <w:bCs/>
                <w:szCs w:val="24"/>
              </w:rPr>
              <w:instrText xml:space="preserve"> </w:instrText>
            </w:r>
            <w:r w:rsidR="00053AE8">
              <w:rPr>
                <w:b/>
                <w:bCs/>
                <w:szCs w:val="24"/>
                <w:lang w:val="en-US"/>
              </w:rPr>
              <w:instrText>age</w:instrText>
            </w:r>
            <w:r w:rsidR="00053AE8" w:rsidRPr="002B3AE7">
              <w:rPr>
                <w:b/>
                <w:bCs/>
                <w:szCs w:val="24"/>
              </w:rPr>
              <w:instrText xml:space="preserve"> </w:instrText>
            </w:r>
            <w:r w:rsidR="00053AE8">
              <w:rPr>
                <w:b/>
                <w:bCs/>
                <w:szCs w:val="24"/>
                <w:lang w:val="en-US"/>
              </w:rPr>
              <w:instrText>of</w:instrText>
            </w:r>
            <w:r w:rsidR="00053AE8" w:rsidRPr="002B3AE7">
              <w:rPr>
                <w:b/>
                <w:bCs/>
                <w:szCs w:val="24"/>
              </w:rPr>
              <w:instrText xml:space="preserve"> 65 </w:instrText>
            </w:r>
            <w:r w:rsidR="00053AE8">
              <w:rPr>
                <w:b/>
                <w:bCs/>
                <w:szCs w:val="24"/>
                <w:lang w:val="en-US"/>
              </w:rPr>
              <w:instrText>years</w:instrText>
            </w:r>
            <w:r w:rsidR="00053AE8" w:rsidRPr="002B3AE7">
              <w:rPr>
                <w:b/>
                <w:bCs/>
                <w:szCs w:val="24"/>
              </w:rPr>
              <w:instrText xml:space="preserve"> </w:instrText>
            </w:r>
            <w:r w:rsidR="00053AE8">
              <w:rPr>
                <w:b/>
                <w:bCs/>
                <w:szCs w:val="24"/>
                <w:lang w:val="en-US"/>
              </w:rPr>
              <w:instrText>is</w:instrText>
            </w:r>
            <w:r w:rsidR="00053AE8" w:rsidRPr="002B3AE7">
              <w:rPr>
                <w:b/>
                <w:bCs/>
                <w:szCs w:val="24"/>
              </w:rPr>
              <w:instrText xml:space="preserve"> </w:instrText>
            </w:r>
            <w:r w:rsidR="00053AE8">
              <w:rPr>
                <w:b/>
                <w:bCs/>
                <w:szCs w:val="24"/>
                <w:lang w:val="en-US"/>
              </w:rPr>
              <w:instrText>uncommon</w:instrText>
            </w:r>
            <w:r w:rsidR="00053AE8" w:rsidRPr="002B3AE7">
              <w:rPr>
                <w:b/>
                <w:bCs/>
                <w:szCs w:val="24"/>
              </w:rPr>
              <w:instrText xml:space="preserve"> </w:instrText>
            </w:r>
            <w:r w:rsidR="00053AE8">
              <w:rPr>
                <w:b/>
                <w:bCs/>
                <w:szCs w:val="24"/>
                <w:lang w:val="en-US"/>
              </w:rPr>
              <w:instrText>and</w:instrText>
            </w:r>
            <w:r w:rsidR="00053AE8" w:rsidRPr="002B3AE7">
              <w:rPr>
                <w:b/>
                <w:bCs/>
                <w:szCs w:val="24"/>
              </w:rPr>
              <w:instrText xml:space="preserve"> </w:instrText>
            </w:r>
            <w:r w:rsidR="00053AE8">
              <w:rPr>
                <w:b/>
                <w:bCs/>
                <w:szCs w:val="24"/>
                <w:lang w:val="en-US"/>
              </w:rPr>
              <w:instrText>there</w:instrText>
            </w:r>
            <w:r w:rsidR="00053AE8" w:rsidRPr="002B3AE7">
              <w:rPr>
                <w:b/>
                <w:bCs/>
                <w:szCs w:val="24"/>
              </w:rPr>
              <w:instrText xml:space="preserve"> </w:instrText>
            </w:r>
            <w:r w:rsidR="00053AE8">
              <w:rPr>
                <w:b/>
                <w:bCs/>
                <w:szCs w:val="24"/>
                <w:lang w:val="en-US"/>
              </w:rPr>
              <w:instrText>are</w:instrText>
            </w:r>
            <w:r w:rsidR="00053AE8" w:rsidRPr="002B3AE7">
              <w:rPr>
                <w:b/>
                <w:bCs/>
                <w:szCs w:val="24"/>
              </w:rPr>
              <w:instrText xml:space="preserve"> </w:instrText>
            </w:r>
            <w:r w:rsidR="00053AE8">
              <w:rPr>
                <w:b/>
                <w:bCs/>
                <w:szCs w:val="24"/>
                <w:lang w:val="en-US"/>
              </w:rPr>
              <w:instrText>no</w:instrText>
            </w:r>
            <w:r w:rsidR="00053AE8" w:rsidRPr="002B3AE7">
              <w:rPr>
                <w:b/>
                <w:bCs/>
                <w:szCs w:val="24"/>
              </w:rPr>
              <w:instrText xml:space="preserve"> </w:instrText>
            </w:r>
            <w:r w:rsidR="00053AE8">
              <w:rPr>
                <w:b/>
                <w:bCs/>
                <w:szCs w:val="24"/>
                <w:lang w:val="en-US"/>
              </w:rPr>
              <w:instrText>published</w:instrText>
            </w:r>
            <w:r w:rsidR="00053AE8" w:rsidRPr="002B3AE7">
              <w:rPr>
                <w:b/>
                <w:bCs/>
                <w:szCs w:val="24"/>
              </w:rPr>
              <w:instrText xml:space="preserve"> </w:instrText>
            </w:r>
            <w:r w:rsidR="00053AE8">
              <w:rPr>
                <w:b/>
                <w:bCs/>
                <w:szCs w:val="24"/>
                <w:lang w:val="en-US"/>
              </w:rPr>
              <w:instrText>data</w:instrText>
            </w:r>
            <w:r w:rsidR="00053AE8" w:rsidRPr="002B3AE7">
              <w:rPr>
                <w:b/>
                <w:bCs/>
                <w:szCs w:val="24"/>
              </w:rPr>
              <w:instrText xml:space="preserve"> </w:instrText>
            </w:r>
            <w:r w:rsidR="00053AE8">
              <w:rPr>
                <w:b/>
                <w:bCs/>
                <w:szCs w:val="24"/>
                <w:lang w:val="en-US"/>
              </w:rPr>
              <w:instrText>on</w:instrText>
            </w:r>
            <w:r w:rsidR="00053AE8" w:rsidRPr="002B3AE7">
              <w:rPr>
                <w:b/>
                <w:bCs/>
                <w:szCs w:val="24"/>
              </w:rPr>
              <w:instrText xml:space="preserve"> </w:instrText>
            </w:r>
            <w:r w:rsidR="00053AE8">
              <w:rPr>
                <w:b/>
                <w:bCs/>
                <w:szCs w:val="24"/>
                <w:lang w:val="en-US"/>
              </w:rPr>
              <w:instrText>chemotherapy</w:instrText>
            </w:r>
            <w:r w:rsidR="00053AE8" w:rsidRPr="002B3AE7">
              <w:rPr>
                <w:b/>
                <w:bCs/>
                <w:szCs w:val="24"/>
              </w:rPr>
              <w:instrText xml:space="preserve"> </w:instrText>
            </w:r>
            <w:r w:rsidR="00053AE8">
              <w:rPr>
                <w:b/>
                <w:bCs/>
                <w:szCs w:val="24"/>
                <w:lang w:val="en-US"/>
              </w:rPr>
              <w:instrText>regimens</w:instrText>
            </w:r>
            <w:r w:rsidR="00053AE8" w:rsidRPr="002B3AE7">
              <w:rPr>
                <w:b/>
                <w:bCs/>
                <w:szCs w:val="24"/>
              </w:rPr>
              <w:instrText xml:space="preserve"> </w:instrText>
            </w:r>
            <w:r w:rsidR="00053AE8">
              <w:rPr>
                <w:b/>
                <w:bCs/>
                <w:szCs w:val="24"/>
                <w:lang w:val="en-US"/>
              </w:rPr>
              <w:instrText>devised</w:instrText>
            </w:r>
            <w:r w:rsidR="00053AE8" w:rsidRPr="002B3AE7">
              <w:rPr>
                <w:b/>
                <w:bCs/>
                <w:szCs w:val="24"/>
              </w:rPr>
              <w:instrText xml:space="preserve"> </w:instrText>
            </w:r>
            <w:r w:rsidR="00053AE8">
              <w:rPr>
                <w:b/>
                <w:bCs/>
                <w:szCs w:val="24"/>
                <w:lang w:val="en-US"/>
              </w:rPr>
              <w:instrText>for</w:instrText>
            </w:r>
            <w:r w:rsidR="00053AE8" w:rsidRPr="002B3AE7">
              <w:rPr>
                <w:b/>
                <w:bCs/>
                <w:szCs w:val="24"/>
              </w:rPr>
              <w:instrText xml:space="preserve"> </w:instrText>
            </w:r>
            <w:r w:rsidR="00053AE8">
              <w:rPr>
                <w:b/>
                <w:bCs/>
                <w:szCs w:val="24"/>
                <w:lang w:val="en-US"/>
              </w:rPr>
              <w:instrText>elderly</w:instrText>
            </w:r>
            <w:r w:rsidR="00053AE8" w:rsidRPr="002B3AE7">
              <w:rPr>
                <w:b/>
                <w:bCs/>
                <w:szCs w:val="24"/>
              </w:rPr>
              <w:instrText xml:space="preserve"> </w:instrText>
            </w:r>
            <w:r w:rsidR="00053AE8">
              <w:rPr>
                <w:b/>
                <w:bCs/>
                <w:szCs w:val="24"/>
                <w:lang w:val="en-US"/>
              </w:rPr>
              <w:instrText>HD</w:instrText>
            </w:r>
            <w:r w:rsidR="00053AE8" w:rsidRPr="002B3AE7">
              <w:rPr>
                <w:b/>
                <w:bCs/>
                <w:szCs w:val="24"/>
              </w:rPr>
              <w:instrText xml:space="preserve"> </w:instrText>
            </w:r>
            <w:r w:rsidR="00053AE8">
              <w:rPr>
                <w:b/>
                <w:bCs/>
                <w:szCs w:val="24"/>
                <w:lang w:val="en-US"/>
              </w:rPr>
              <w:instrText>patients</w:instrText>
            </w:r>
            <w:r w:rsidR="00053AE8" w:rsidRPr="002B3AE7">
              <w:rPr>
                <w:b/>
                <w:bCs/>
                <w:szCs w:val="24"/>
              </w:rPr>
              <w:instrText xml:space="preserve">. </w:instrText>
            </w:r>
            <w:r w:rsidR="00053AE8">
              <w:rPr>
                <w:b/>
                <w:bCs/>
                <w:szCs w:val="24"/>
                <w:lang w:val="en-US"/>
              </w:rPr>
              <w:instrText>PATIENTS</w:instrText>
            </w:r>
            <w:r w:rsidR="00053AE8" w:rsidRPr="002B3AE7">
              <w:rPr>
                <w:b/>
                <w:bCs/>
                <w:szCs w:val="24"/>
              </w:rPr>
              <w:instrText xml:space="preserve"> </w:instrText>
            </w:r>
            <w:r w:rsidR="00053AE8">
              <w:rPr>
                <w:b/>
                <w:bCs/>
                <w:szCs w:val="24"/>
                <w:lang w:val="en-US"/>
              </w:rPr>
              <w:instrText>AND</w:instrText>
            </w:r>
            <w:r w:rsidR="00053AE8" w:rsidRPr="002B3AE7">
              <w:rPr>
                <w:b/>
                <w:bCs/>
                <w:szCs w:val="24"/>
              </w:rPr>
              <w:instrText xml:space="preserve"> </w:instrText>
            </w:r>
            <w:r w:rsidR="00053AE8">
              <w:rPr>
                <w:b/>
                <w:bCs/>
                <w:szCs w:val="24"/>
                <w:lang w:val="en-US"/>
              </w:rPr>
              <w:instrText>METHODS</w:instrText>
            </w:r>
            <w:r w:rsidR="00053AE8" w:rsidRPr="002B3AE7">
              <w:rPr>
                <w:b/>
                <w:bCs/>
                <w:szCs w:val="24"/>
              </w:rPr>
              <w:instrText xml:space="preserve"> </w:instrText>
            </w:r>
            <w:r w:rsidR="00053AE8">
              <w:rPr>
                <w:b/>
                <w:bCs/>
                <w:szCs w:val="24"/>
                <w:lang w:val="en-US"/>
              </w:rPr>
              <w:instrText>From</w:instrText>
            </w:r>
            <w:r w:rsidR="00053AE8" w:rsidRPr="002B3AE7">
              <w:rPr>
                <w:b/>
                <w:bCs/>
                <w:szCs w:val="24"/>
              </w:rPr>
              <w:instrText xml:space="preserve"> 1990 </w:instrText>
            </w:r>
            <w:r w:rsidR="00053AE8">
              <w:rPr>
                <w:b/>
                <w:bCs/>
                <w:szCs w:val="24"/>
                <w:lang w:val="en-US"/>
              </w:rPr>
              <w:instrText>to</w:instrText>
            </w:r>
            <w:r w:rsidR="00053AE8" w:rsidRPr="002B3AE7">
              <w:rPr>
                <w:b/>
                <w:bCs/>
                <w:szCs w:val="24"/>
              </w:rPr>
              <w:instrText xml:space="preserve"> 1993, 25 </w:instrText>
            </w:r>
            <w:r w:rsidR="00053AE8">
              <w:rPr>
                <w:b/>
                <w:bCs/>
                <w:szCs w:val="24"/>
                <w:lang w:val="en-US"/>
              </w:rPr>
              <w:instrText>elderly</w:instrText>
            </w:r>
            <w:r w:rsidR="00053AE8" w:rsidRPr="002B3AE7">
              <w:rPr>
                <w:b/>
                <w:bCs/>
                <w:szCs w:val="24"/>
              </w:rPr>
              <w:instrText xml:space="preserve"> </w:instrText>
            </w:r>
            <w:r w:rsidR="00053AE8">
              <w:rPr>
                <w:b/>
                <w:bCs/>
                <w:szCs w:val="24"/>
                <w:lang w:val="en-US"/>
              </w:rPr>
              <w:instrText>HD</w:instrText>
            </w:r>
            <w:r w:rsidR="00053AE8" w:rsidRPr="002B3AE7">
              <w:rPr>
                <w:b/>
                <w:bCs/>
                <w:szCs w:val="24"/>
              </w:rPr>
              <w:instrText xml:space="preserve"> </w:instrText>
            </w:r>
            <w:r w:rsidR="00053AE8">
              <w:rPr>
                <w:b/>
                <w:bCs/>
                <w:szCs w:val="24"/>
                <w:lang w:val="en-US"/>
              </w:rPr>
              <w:instrText>patients</w:instrText>
            </w:r>
            <w:r w:rsidR="00053AE8" w:rsidRPr="002B3AE7">
              <w:rPr>
                <w:b/>
                <w:bCs/>
                <w:szCs w:val="24"/>
              </w:rPr>
              <w:instrText xml:space="preserve"> </w:instrText>
            </w:r>
            <w:r w:rsidR="00053AE8">
              <w:rPr>
                <w:b/>
                <w:bCs/>
                <w:szCs w:val="24"/>
                <w:lang w:val="en-US"/>
              </w:rPr>
              <w:instrText>were</w:instrText>
            </w:r>
            <w:r w:rsidR="00053AE8" w:rsidRPr="002B3AE7">
              <w:rPr>
                <w:b/>
                <w:bCs/>
                <w:szCs w:val="24"/>
              </w:rPr>
              <w:instrText xml:space="preserve"> </w:instrText>
            </w:r>
            <w:r w:rsidR="00053AE8">
              <w:rPr>
                <w:b/>
                <w:bCs/>
                <w:szCs w:val="24"/>
                <w:lang w:val="en-US"/>
              </w:rPr>
              <w:instrText>treated</w:instrText>
            </w:r>
            <w:r w:rsidR="00053AE8" w:rsidRPr="002B3AE7">
              <w:rPr>
                <w:b/>
                <w:bCs/>
                <w:szCs w:val="24"/>
              </w:rPr>
              <w:instrText xml:space="preserve"> </w:instrText>
            </w:r>
            <w:r w:rsidR="00053AE8">
              <w:rPr>
                <w:b/>
                <w:bCs/>
                <w:szCs w:val="24"/>
                <w:lang w:val="en-US"/>
              </w:rPr>
              <w:instrText>with</w:instrText>
            </w:r>
            <w:r w:rsidR="00053AE8" w:rsidRPr="002B3AE7">
              <w:rPr>
                <w:b/>
                <w:bCs/>
                <w:szCs w:val="24"/>
              </w:rPr>
              <w:instrText xml:space="preserve"> </w:instrText>
            </w:r>
            <w:r w:rsidR="00053AE8">
              <w:rPr>
                <w:b/>
                <w:bCs/>
                <w:szCs w:val="24"/>
                <w:lang w:val="en-US"/>
              </w:rPr>
              <w:instrText>the</w:instrText>
            </w:r>
            <w:r w:rsidR="00053AE8" w:rsidRPr="002B3AE7">
              <w:rPr>
                <w:b/>
                <w:bCs/>
                <w:szCs w:val="24"/>
              </w:rPr>
              <w:instrText xml:space="preserve"> </w:instrText>
            </w:r>
            <w:r w:rsidR="00053AE8">
              <w:rPr>
                <w:b/>
                <w:bCs/>
                <w:szCs w:val="24"/>
                <w:lang w:val="en-US"/>
              </w:rPr>
              <w:instrText>CVP</w:instrText>
            </w:r>
            <w:r w:rsidR="00053AE8" w:rsidRPr="002B3AE7">
              <w:rPr>
                <w:b/>
                <w:bCs/>
                <w:szCs w:val="24"/>
              </w:rPr>
              <w:instrText>/</w:instrText>
            </w:r>
            <w:r w:rsidR="00053AE8">
              <w:rPr>
                <w:b/>
                <w:bCs/>
                <w:szCs w:val="24"/>
                <w:lang w:val="en-US"/>
              </w:rPr>
              <w:instrText>CEB</w:instrText>
            </w:r>
            <w:r w:rsidR="00053AE8" w:rsidRPr="002B3AE7">
              <w:rPr>
                <w:b/>
                <w:bCs/>
                <w:szCs w:val="24"/>
              </w:rPr>
              <w:instrText xml:space="preserve"> </w:instrText>
            </w:r>
            <w:r w:rsidR="00053AE8">
              <w:rPr>
                <w:b/>
                <w:bCs/>
                <w:szCs w:val="24"/>
                <w:lang w:val="en-US"/>
              </w:rPr>
              <w:instrText>regimen</w:instrText>
            </w:r>
            <w:r w:rsidR="00053AE8" w:rsidRPr="002B3AE7">
              <w:rPr>
                <w:b/>
                <w:bCs/>
                <w:szCs w:val="24"/>
              </w:rPr>
              <w:instrText xml:space="preserve">: </w:instrText>
            </w:r>
            <w:r w:rsidR="00053AE8">
              <w:rPr>
                <w:b/>
                <w:bCs/>
                <w:szCs w:val="24"/>
                <w:lang w:val="en-US"/>
              </w:rPr>
              <w:instrText>chlorambucil</w:instrText>
            </w:r>
            <w:r w:rsidR="00053AE8" w:rsidRPr="002B3AE7">
              <w:rPr>
                <w:b/>
                <w:bCs/>
                <w:szCs w:val="24"/>
              </w:rPr>
              <w:instrText xml:space="preserve"> 6 </w:instrText>
            </w:r>
            <w:r w:rsidR="00053AE8">
              <w:rPr>
                <w:b/>
                <w:bCs/>
                <w:szCs w:val="24"/>
                <w:lang w:val="en-US"/>
              </w:rPr>
              <w:instrText>mg</w:instrText>
            </w:r>
            <w:r w:rsidR="00053AE8" w:rsidRPr="002B3AE7">
              <w:rPr>
                <w:b/>
                <w:bCs/>
                <w:szCs w:val="24"/>
              </w:rPr>
              <w:instrText>/</w:instrText>
            </w:r>
            <w:r w:rsidR="00053AE8">
              <w:rPr>
                <w:b/>
                <w:bCs/>
                <w:szCs w:val="24"/>
                <w:lang w:val="en-US"/>
              </w:rPr>
              <w:instrText>sqm</w:instrText>
            </w:r>
            <w:r w:rsidR="00053AE8" w:rsidRPr="002B3AE7">
              <w:rPr>
                <w:b/>
                <w:bCs/>
                <w:szCs w:val="24"/>
              </w:rPr>
              <w:instrText xml:space="preserve"> </w:instrText>
            </w:r>
            <w:r w:rsidR="00053AE8">
              <w:rPr>
                <w:b/>
                <w:bCs/>
                <w:szCs w:val="24"/>
                <w:lang w:val="en-US"/>
              </w:rPr>
              <w:instrText>p</w:instrText>
            </w:r>
            <w:r w:rsidR="00053AE8" w:rsidRPr="002B3AE7">
              <w:rPr>
                <w:b/>
                <w:bCs/>
                <w:szCs w:val="24"/>
              </w:rPr>
              <w:instrText>.</w:instrText>
            </w:r>
            <w:r w:rsidR="00053AE8">
              <w:rPr>
                <w:b/>
                <w:bCs/>
                <w:szCs w:val="24"/>
                <w:lang w:val="en-US"/>
              </w:rPr>
              <w:instrText>o</w:instrText>
            </w:r>
            <w:r w:rsidR="00053AE8" w:rsidRPr="002B3AE7">
              <w:rPr>
                <w:b/>
                <w:bCs/>
                <w:szCs w:val="24"/>
              </w:rPr>
              <w:instrText xml:space="preserve">. </w:instrText>
            </w:r>
            <w:r w:rsidR="00053AE8">
              <w:rPr>
                <w:b/>
                <w:bCs/>
                <w:szCs w:val="24"/>
                <w:lang w:val="en-US"/>
              </w:rPr>
              <w:instrText>days</w:instrText>
            </w:r>
            <w:r w:rsidR="00053AE8" w:rsidRPr="002B3AE7">
              <w:rPr>
                <w:b/>
                <w:bCs/>
                <w:szCs w:val="24"/>
              </w:rPr>
              <w:instrText xml:space="preserve"> 1 </w:instrText>
            </w:r>
            <w:r w:rsidR="00053AE8">
              <w:rPr>
                <w:b/>
                <w:bCs/>
                <w:szCs w:val="24"/>
                <w:lang w:val="en-US"/>
              </w:rPr>
              <w:instrText>through</w:instrText>
            </w:r>
            <w:r w:rsidR="00053AE8" w:rsidRPr="002B3AE7">
              <w:rPr>
                <w:b/>
                <w:bCs/>
                <w:szCs w:val="24"/>
              </w:rPr>
              <w:instrText xml:space="preserve"> 7, </w:instrText>
            </w:r>
            <w:r w:rsidR="00053AE8">
              <w:rPr>
                <w:b/>
                <w:bCs/>
                <w:szCs w:val="24"/>
                <w:lang w:val="en-US"/>
              </w:rPr>
              <w:instrText>vinblastine</w:instrText>
            </w:r>
            <w:r w:rsidR="00053AE8" w:rsidRPr="002B3AE7">
              <w:rPr>
                <w:b/>
                <w:bCs/>
                <w:szCs w:val="24"/>
              </w:rPr>
              <w:instrText xml:space="preserve"> 6 </w:instrText>
            </w:r>
            <w:r w:rsidR="00053AE8">
              <w:rPr>
                <w:b/>
                <w:bCs/>
                <w:szCs w:val="24"/>
                <w:lang w:val="en-US"/>
              </w:rPr>
              <w:instrText>mg</w:instrText>
            </w:r>
            <w:r w:rsidR="00053AE8" w:rsidRPr="002B3AE7">
              <w:rPr>
                <w:b/>
                <w:bCs/>
                <w:szCs w:val="24"/>
              </w:rPr>
              <w:instrText>/</w:instrText>
            </w:r>
            <w:r w:rsidR="00053AE8">
              <w:rPr>
                <w:b/>
                <w:bCs/>
                <w:szCs w:val="24"/>
                <w:lang w:val="en-US"/>
              </w:rPr>
              <w:instrText>sqm</w:instrText>
            </w:r>
            <w:r w:rsidR="00053AE8" w:rsidRPr="002B3AE7">
              <w:rPr>
                <w:b/>
                <w:bCs/>
                <w:szCs w:val="24"/>
              </w:rPr>
              <w:instrText xml:space="preserve"> </w:instrText>
            </w:r>
            <w:r w:rsidR="00053AE8">
              <w:rPr>
                <w:b/>
                <w:bCs/>
                <w:szCs w:val="24"/>
                <w:lang w:val="en-US"/>
              </w:rPr>
              <w:instrText>i</w:instrText>
            </w:r>
            <w:r w:rsidR="00053AE8" w:rsidRPr="002B3AE7">
              <w:rPr>
                <w:b/>
                <w:bCs/>
                <w:szCs w:val="24"/>
              </w:rPr>
              <w:instrText>.</w:instrText>
            </w:r>
            <w:r w:rsidR="00053AE8">
              <w:rPr>
                <w:b/>
                <w:bCs/>
                <w:szCs w:val="24"/>
                <w:lang w:val="en-US"/>
              </w:rPr>
              <w:instrText>v</w:instrText>
            </w:r>
            <w:r w:rsidR="00053AE8" w:rsidRPr="002B3AE7">
              <w:rPr>
                <w:b/>
                <w:bCs/>
                <w:szCs w:val="24"/>
              </w:rPr>
              <w:instrText xml:space="preserve">. </w:instrText>
            </w:r>
            <w:r w:rsidR="00053AE8">
              <w:rPr>
                <w:b/>
                <w:bCs/>
                <w:szCs w:val="24"/>
                <w:lang w:val="en-US"/>
              </w:rPr>
              <w:instrText>on</w:instrText>
            </w:r>
            <w:r w:rsidR="00053AE8" w:rsidRPr="002B3AE7">
              <w:rPr>
                <w:b/>
                <w:bCs/>
                <w:szCs w:val="24"/>
              </w:rPr>
              <w:instrText xml:space="preserve"> </w:instrText>
            </w:r>
            <w:r w:rsidR="00053AE8">
              <w:rPr>
                <w:b/>
                <w:bCs/>
                <w:szCs w:val="24"/>
                <w:lang w:val="en-US"/>
              </w:rPr>
              <w:instrText>day</w:instrText>
            </w:r>
            <w:r w:rsidR="00053AE8" w:rsidRPr="002B3AE7">
              <w:rPr>
                <w:b/>
                <w:bCs/>
                <w:szCs w:val="24"/>
              </w:rPr>
              <w:instrText xml:space="preserve"> 1, </w:instrText>
            </w:r>
            <w:r w:rsidR="00053AE8">
              <w:rPr>
                <w:b/>
                <w:bCs/>
                <w:szCs w:val="24"/>
                <w:lang w:val="en-US"/>
              </w:rPr>
              <w:instrText>procarbazine</w:instrText>
            </w:r>
            <w:r w:rsidR="00053AE8" w:rsidRPr="002B3AE7">
              <w:rPr>
                <w:b/>
                <w:bCs/>
                <w:szCs w:val="24"/>
              </w:rPr>
              <w:instrText xml:space="preserve"> 100 </w:instrText>
            </w:r>
            <w:r w:rsidR="00053AE8">
              <w:rPr>
                <w:b/>
                <w:bCs/>
                <w:szCs w:val="24"/>
                <w:lang w:val="en-US"/>
              </w:rPr>
              <w:instrText>mg</w:instrText>
            </w:r>
            <w:r w:rsidR="00053AE8" w:rsidRPr="002B3AE7">
              <w:rPr>
                <w:b/>
                <w:bCs/>
                <w:szCs w:val="24"/>
              </w:rPr>
              <w:instrText>/</w:instrText>
            </w:r>
            <w:r w:rsidR="00053AE8">
              <w:rPr>
                <w:b/>
                <w:bCs/>
                <w:szCs w:val="24"/>
                <w:lang w:val="en-US"/>
              </w:rPr>
              <w:instrText>sqm</w:instrText>
            </w:r>
            <w:r w:rsidR="00053AE8" w:rsidRPr="002B3AE7">
              <w:rPr>
                <w:b/>
                <w:bCs/>
                <w:szCs w:val="24"/>
              </w:rPr>
              <w:instrText xml:space="preserve"> </w:instrText>
            </w:r>
            <w:r w:rsidR="00053AE8">
              <w:rPr>
                <w:b/>
                <w:bCs/>
                <w:szCs w:val="24"/>
                <w:lang w:val="en-US"/>
              </w:rPr>
              <w:instrText>p</w:instrText>
            </w:r>
            <w:r w:rsidR="00053AE8" w:rsidRPr="002B3AE7">
              <w:rPr>
                <w:b/>
                <w:bCs/>
                <w:szCs w:val="24"/>
              </w:rPr>
              <w:instrText>.</w:instrText>
            </w:r>
            <w:r w:rsidR="00053AE8">
              <w:rPr>
                <w:b/>
                <w:bCs/>
                <w:szCs w:val="24"/>
                <w:lang w:val="en-US"/>
              </w:rPr>
              <w:instrText>o</w:instrText>
            </w:r>
            <w:r w:rsidR="00053AE8" w:rsidRPr="002B3AE7">
              <w:rPr>
                <w:b/>
                <w:bCs/>
                <w:szCs w:val="24"/>
              </w:rPr>
              <w:instrText xml:space="preserve">. </w:instrText>
            </w:r>
            <w:r w:rsidR="00053AE8">
              <w:rPr>
                <w:b/>
                <w:bCs/>
                <w:szCs w:val="24"/>
                <w:lang w:val="en-US"/>
              </w:rPr>
              <w:instrText>days</w:instrText>
            </w:r>
            <w:r w:rsidR="00053AE8" w:rsidRPr="002B3AE7">
              <w:rPr>
                <w:b/>
                <w:bCs/>
                <w:szCs w:val="24"/>
              </w:rPr>
              <w:instrText xml:space="preserve"> 1 </w:instrText>
            </w:r>
            <w:r w:rsidR="00053AE8">
              <w:rPr>
                <w:b/>
                <w:bCs/>
                <w:szCs w:val="24"/>
                <w:lang w:val="en-US"/>
              </w:rPr>
              <w:instrText>through</w:instrText>
            </w:r>
            <w:r w:rsidR="00053AE8" w:rsidRPr="002B3AE7">
              <w:rPr>
                <w:b/>
                <w:bCs/>
                <w:szCs w:val="24"/>
              </w:rPr>
              <w:instrText xml:space="preserve"> 7, </w:instrText>
            </w:r>
            <w:r w:rsidR="00053AE8">
              <w:rPr>
                <w:b/>
                <w:bCs/>
                <w:szCs w:val="24"/>
                <w:lang w:val="en-US"/>
              </w:rPr>
              <w:instrText>prednisone</w:instrText>
            </w:r>
            <w:r w:rsidR="00053AE8" w:rsidRPr="002B3AE7">
              <w:rPr>
                <w:b/>
                <w:bCs/>
                <w:szCs w:val="24"/>
              </w:rPr>
              <w:instrText xml:space="preserve"> 30 </w:instrText>
            </w:r>
            <w:r w:rsidR="00053AE8">
              <w:rPr>
                <w:b/>
                <w:bCs/>
                <w:szCs w:val="24"/>
                <w:lang w:val="en-US"/>
              </w:rPr>
              <w:instrText>mg</w:instrText>
            </w:r>
            <w:r w:rsidR="00053AE8" w:rsidRPr="002B3AE7">
              <w:rPr>
                <w:b/>
                <w:bCs/>
                <w:szCs w:val="24"/>
              </w:rPr>
              <w:instrText>/</w:instrText>
            </w:r>
            <w:r w:rsidR="00053AE8">
              <w:rPr>
                <w:b/>
                <w:bCs/>
                <w:szCs w:val="24"/>
                <w:lang w:val="en-US"/>
              </w:rPr>
              <w:instrText>sqm</w:instrText>
            </w:r>
            <w:r w:rsidR="00053AE8" w:rsidRPr="002B3AE7">
              <w:rPr>
                <w:b/>
                <w:bCs/>
                <w:szCs w:val="24"/>
              </w:rPr>
              <w:instrText xml:space="preserve"> </w:instrText>
            </w:r>
            <w:r w:rsidR="00053AE8">
              <w:rPr>
                <w:b/>
                <w:bCs/>
                <w:szCs w:val="24"/>
                <w:lang w:val="en-US"/>
              </w:rPr>
              <w:instrText>p</w:instrText>
            </w:r>
            <w:r w:rsidR="00053AE8" w:rsidRPr="002B3AE7">
              <w:rPr>
                <w:b/>
                <w:bCs/>
                <w:szCs w:val="24"/>
              </w:rPr>
              <w:instrText>.</w:instrText>
            </w:r>
            <w:r w:rsidR="00053AE8">
              <w:rPr>
                <w:b/>
                <w:bCs/>
                <w:szCs w:val="24"/>
                <w:lang w:val="en-US"/>
              </w:rPr>
              <w:instrText>o</w:instrText>
            </w:r>
            <w:r w:rsidR="00053AE8" w:rsidRPr="002B3AE7">
              <w:rPr>
                <w:b/>
                <w:bCs/>
                <w:szCs w:val="24"/>
              </w:rPr>
              <w:instrText xml:space="preserve">. </w:instrText>
            </w:r>
            <w:r w:rsidR="00053AE8">
              <w:rPr>
                <w:b/>
                <w:bCs/>
                <w:szCs w:val="24"/>
                <w:lang w:val="en-US"/>
              </w:rPr>
              <w:instrText>days</w:instrText>
            </w:r>
            <w:r w:rsidR="00053AE8" w:rsidRPr="002B3AE7">
              <w:rPr>
                <w:b/>
                <w:bCs/>
                <w:szCs w:val="24"/>
              </w:rPr>
              <w:instrText xml:space="preserve"> 1 </w:instrText>
            </w:r>
            <w:r w:rsidR="00053AE8">
              <w:rPr>
                <w:b/>
                <w:bCs/>
                <w:szCs w:val="24"/>
                <w:lang w:val="en-US"/>
              </w:rPr>
              <w:instrText>through</w:instrText>
            </w:r>
            <w:r w:rsidR="00053AE8" w:rsidRPr="002B3AE7">
              <w:rPr>
                <w:b/>
                <w:bCs/>
                <w:szCs w:val="24"/>
              </w:rPr>
              <w:instrText xml:space="preserve"> 7, </w:instrText>
            </w:r>
            <w:r w:rsidR="00053AE8">
              <w:rPr>
                <w:b/>
                <w:bCs/>
                <w:szCs w:val="24"/>
                <w:lang w:val="en-US"/>
              </w:rPr>
              <w:instrText>cyclophosphamide</w:instrText>
            </w:r>
            <w:r w:rsidR="00053AE8" w:rsidRPr="002B3AE7">
              <w:rPr>
                <w:b/>
                <w:bCs/>
                <w:szCs w:val="24"/>
              </w:rPr>
              <w:instrText xml:space="preserve"> 500 </w:instrText>
            </w:r>
            <w:r w:rsidR="00053AE8">
              <w:rPr>
                <w:b/>
                <w:bCs/>
                <w:szCs w:val="24"/>
                <w:lang w:val="en-US"/>
              </w:rPr>
              <w:instrText>mg</w:instrText>
            </w:r>
            <w:r w:rsidR="00053AE8" w:rsidRPr="002B3AE7">
              <w:rPr>
                <w:b/>
                <w:bCs/>
                <w:szCs w:val="24"/>
              </w:rPr>
              <w:instrText>./</w:instrText>
            </w:r>
            <w:r w:rsidR="00053AE8">
              <w:rPr>
                <w:b/>
                <w:bCs/>
                <w:szCs w:val="24"/>
                <w:lang w:val="en-US"/>
              </w:rPr>
              <w:instrText>sqm</w:instrText>
            </w:r>
            <w:r w:rsidR="00053AE8" w:rsidRPr="002B3AE7">
              <w:rPr>
                <w:b/>
                <w:bCs/>
                <w:szCs w:val="24"/>
              </w:rPr>
              <w:instrText xml:space="preserve"> </w:instrText>
            </w:r>
            <w:r w:rsidR="00053AE8">
              <w:rPr>
                <w:b/>
                <w:bCs/>
                <w:szCs w:val="24"/>
                <w:lang w:val="en-US"/>
              </w:rPr>
              <w:instrText>i</w:instrText>
            </w:r>
            <w:r w:rsidR="00053AE8" w:rsidRPr="002B3AE7">
              <w:rPr>
                <w:b/>
                <w:bCs/>
                <w:szCs w:val="24"/>
              </w:rPr>
              <w:instrText>.</w:instrText>
            </w:r>
            <w:r w:rsidR="00053AE8">
              <w:rPr>
                <w:b/>
                <w:bCs/>
                <w:szCs w:val="24"/>
                <w:lang w:val="en-US"/>
              </w:rPr>
              <w:instrText>v</w:instrText>
            </w:r>
            <w:r w:rsidR="00053AE8" w:rsidRPr="002B3AE7">
              <w:rPr>
                <w:b/>
                <w:bCs/>
                <w:szCs w:val="24"/>
              </w:rPr>
              <w:instrText xml:space="preserve">. </w:instrText>
            </w:r>
            <w:r w:rsidR="00053AE8">
              <w:rPr>
                <w:b/>
                <w:bCs/>
                <w:szCs w:val="24"/>
                <w:lang w:val="en-US"/>
              </w:rPr>
              <w:instrText>day</w:instrText>
            </w:r>
            <w:r w:rsidR="00053AE8" w:rsidRPr="002B3AE7">
              <w:rPr>
                <w:b/>
                <w:bCs/>
                <w:szCs w:val="24"/>
              </w:rPr>
              <w:instrText xml:space="preserve"> 15, </w:instrText>
            </w:r>
            <w:r w:rsidR="00053AE8">
              <w:rPr>
                <w:b/>
                <w:bCs/>
                <w:szCs w:val="24"/>
                <w:lang w:val="en-US"/>
              </w:rPr>
              <w:instrText>etoposide</w:instrText>
            </w:r>
            <w:r w:rsidR="00053AE8" w:rsidRPr="002B3AE7">
              <w:rPr>
                <w:b/>
                <w:bCs/>
                <w:szCs w:val="24"/>
              </w:rPr>
              <w:instrText xml:space="preserve"> 70 </w:instrText>
            </w:r>
            <w:r w:rsidR="00053AE8">
              <w:rPr>
                <w:b/>
                <w:bCs/>
                <w:szCs w:val="24"/>
                <w:lang w:val="en-US"/>
              </w:rPr>
              <w:instrText>mg</w:instrText>
            </w:r>
            <w:r w:rsidR="00053AE8" w:rsidRPr="002B3AE7">
              <w:rPr>
                <w:b/>
                <w:bCs/>
                <w:szCs w:val="24"/>
              </w:rPr>
              <w:instrText>/</w:instrText>
            </w:r>
            <w:r w:rsidR="00053AE8">
              <w:rPr>
                <w:b/>
                <w:bCs/>
                <w:szCs w:val="24"/>
                <w:lang w:val="en-US"/>
              </w:rPr>
              <w:instrText>sqm</w:instrText>
            </w:r>
            <w:r w:rsidR="00053AE8" w:rsidRPr="002B3AE7">
              <w:rPr>
                <w:b/>
                <w:bCs/>
                <w:szCs w:val="24"/>
              </w:rPr>
              <w:instrText xml:space="preserve"> </w:instrText>
            </w:r>
            <w:r w:rsidR="00053AE8">
              <w:rPr>
                <w:b/>
                <w:bCs/>
                <w:szCs w:val="24"/>
                <w:lang w:val="en-US"/>
              </w:rPr>
              <w:instrText>i</w:instrText>
            </w:r>
            <w:r w:rsidR="00053AE8" w:rsidRPr="002B3AE7">
              <w:rPr>
                <w:b/>
                <w:bCs/>
                <w:szCs w:val="24"/>
              </w:rPr>
              <w:instrText>.</w:instrText>
            </w:r>
            <w:r w:rsidR="00053AE8">
              <w:rPr>
                <w:b/>
                <w:bCs/>
                <w:szCs w:val="24"/>
                <w:lang w:val="en-US"/>
              </w:rPr>
              <w:instrText>v</w:instrText>
            </w:r>
            <w:r w:rsidR="00053AE8" w:rsidRPr="002B3AE7">
              <w:rPr>
                <w:b/>
                <w:bCs/>
                <w:szCs w:val="24"/>
              </w:rPr>
              <w:instrText xml:space="preserve">. </w:instrText>
            </w:r>
            <w:r w:rsidR="00053AE8">
              <w:rPr>
                <w:b/>
                <w:bCs/>
                <w:szCs w:val="24"/>
                <w:lang w:val="en-US"/>
              </w:rPr>
              <w:instrText>day</w:instrText>
            </w:r>
            <w:r w:rsidR="00053AE8" w:rsidRPr="002B3AE7">
              <w:rPr>
                <w:b/>
                <w:bCs/>
                <w:szCs w:val="24"/>
              </w:rPr>
              <w:instrText xml:space="preserve"> 15, </w:instrText>
            </w:r>
            <w:r w:rsidR="00053AE8">
              <w:rPr>
                <w:b/>
                <w:bCs/>
                <w:szCs w:val="24"/>
                <w:lang w:val="en-US"/>
              </w:rPr>
              <w:instrText>bleomycin</w:instrText>
            </w:r>
            <w:r w:rsidR="00053AE8" w:rsidRPr="002B3AE7">
              <w:rPr>
                <w:b/>
                <w:bCs/>
                <w:szCs w:val="24"/>
              </w:rPr>
              <w:instrText xml:space="preserve"> 10 </w:instrText>
            </w:r>
            <w:r w:rsidR="00053AE8">
              <w:rPr>
                <w:b/>
                <w:bCs/>
                <w:szCs w:val="24"/>
                <w:lang w:val="en-US"/>
              </w:rPr>
              <w:instrText>mg</w:instrText>
            </w:r>
            <w:r w:rsidR="00053AE8" w:rsidRPr="002B3AE7">
              <w:rPr>
                <w:b/>
                <w:bCs/>
                <w:szCs w:val="24"/>
              </w:rPr>
              <w:instrText>/</w:instrText>
            </w:r>
            <w:r w:rsidR="00053AE8">
              <w:rPr>
                <w:b/>
                <w:bCs/>
                <w:szCs w:val="24"/>
                <w:lang w:val="en-US"/>
              </w:rPr>
              <w:instrText>sqm</w:instrText>
            </w:r>
            <w:r w:rsidR="00053AE8" w:rsidRPr="002B3AE7">
              <w:rPr>
                <w:b/>
                <w:bCs/>
                <w:szCs w:val="24"/>
              </w:rPr>
              <w:instrText xml:space="preserve"> </w:instrText>
            </w:r>
            <w:r w:rsidR="00053AE8">
              <w:rPr>
                <w:b/>
                <w:bCs/>
                <w:szCs w:val="24"/>
                <w:lang w:val="en-US"/>
              </w:rPr>
              <w:instrText>i</w:instrText>
            </w:r>
            <w:r w:rsidR="00053AE8" w:rsidRPr="002B3AE7">
              <w:rPr>
                <w:b/>
                <w:bCs/>
                <w:szCs w:val="24"/>
              </w:rPr>
              <w:instrText>.</w:instrText>
            </w:r>
            <w:r w:rsidR="00053AE8">
              <w:rPr>
                <w:b/>
                <w:bCs/>
                <w:szCs w:val="24"/>
                <w:lang w:val="en-US"/>
              </w:rPr>
              <w:instrText>v</w:instrText>
            </w:r>
            <w:r w:rsidR="00053AE8" w:rsidRPr="002B3AE7">
              <w:rPr>
                <w:b/>
                <w:bCs/>
                <w:szCs w:val="24"/>
              </w:rPr>
              <w:instrText xml:space="preserve">. </w:instrText>
            </w:r>
            <w:r w:rsidR="00053AE8">
              <w:rPr>
                <w:b/>
                <w:bCs/>
                <w:szCs w:val="24"/>
                <w:lang w:val="en-US"/>
              </w:rPr>
              <w:instrText>day</w:instrText>
            </w:r>
            <w:r w:rsidR="00053AE8" w:rsidRPr="002B3AE7">
              <w:rPr>
                <w:b/>
                <w:bCs/>
                <w:szCs w:val="24"/>
              </w:rPr>
              <w:instrText xml:space="preserve"> 15. </w:instrText>
            </w:r>
            <w:r w:rsidR="00053AE8">
              <w:rPr>
                <w:b/>
                <w:bCs/>
                <w:szCs w:val="24"/>
                <w:lang w:val="en-US"/>
              </w:rPr>
              <w:instrText>Each</w:instrText>
            </w:r>
            <w:r w:rsidR="00053AE8" w:rsidRPr="002B3AE7">
              <w:rPr>
                <w:b/>
                <w:bCs/>
                <w:szCs w:val="24"/>
              </w:rPr>
              <w:instrText xml:space="preserve"> </w:instrText>
            </w:r>
            <w:r w:rsidR="00053AE8">
              <w:rPr>
                <w:b/>
                <w:bCs/>
                <w:szCs w:val="24"/>
                <w:lang w:val="en-US"/>
              </w:rPr>
              <w:instrText>course</w:instrText>
            </w:r>
            <w:r w:rsidR="00053AE8" w:rsidRPr="002B3AE7">
              <w:rPr>
                <w:b/>
                <w:bCs/>
                <w:szCs w:val="24"/>
              </w:rPr>
              <w:instrText xml:space="preserve"> </w:instrText>
            </w:r>
            <w:r w:rsidR="00053AE8">
              <w:rPr>
                <w:b/>
                <w:bCs/>
                <w:szCs w:val="24"/>
                <w:lang w:val="en-US"/>
              </w:rPr>
              <w:instrText>was</w:instrText>
            </w:r>
            <w:r w:rsidR="00053AE8" w:rsidRPr="002B3AE7">
              <w:rPr>
                <w:b/>
                <w:bCs/>
                <w:szCs w:val="24"/>
              </w:rPr>
              <w:instrText xml:space="preserve"> </w:instrText>
            </w:r>
            <w:r w:rsidR="00053AE8">
              <w:rPr>
                <w:b/>
                <w:bCs/>
                <w:szCs w:val="24"/>
                <w:lang w:val="en-US"/>
              </w:rPr>
              <w:instrText>repeated</w:instrText>
            </w:r>
            <w:r w:rsidR="00053AE8" w:rsidRPr="002B3AE7">
              <w:rPr>
                <w:b/>
                <w:bCs/>
                <w:szCs w:val="24"/>
              </w:rPr>
              <w:instrText xml:space="preserve"> </w:instrText>
            </w:r>
            <w:r w:rsidR="00053AE8">
              <w:rPr>
                <w:b/>
                <w:bCs/>
                <w:szCs w:val="24"/>
                <w:lang w:val="en-US"/>
              </w:rPr>
              <w:instrText>every</w:instrText>
            </w:r>
            <w:r w:rsidR="00053AE8" w:rsidRPr="002B3AE7">
              <w:rPr>
                <w:b/>
                <w:bCs/>
                <w:szCs w:val="24"/>
              </w:rPr>
              <w:instrText xml:space="preserve"> 4 </w:instrText>
            </w:r>
            <w:r w:rsidR="00053AE8">
              <w:rPr>
                <w:b/>
                <w:bCs/>
                <w:szCs w:val="24"/>
                <w:lang w:val="en-US"/>
              </w:rPr>
              <w:instrText>weeks</w:instrText>
            </w:r>
            <w:r w:rsidR="00053AE8" w:rsidRPr="002B3AE7">
              <w:rPr>
                <w:b/>
                <w:bCs/>
                <w:szCs w:val="24"/>
              </w:rPr>
              <w:instrText xml:space="preserve">. </w:instrText>
            </w:r>
            <w:r w:rsidR="00053AE8">
              <w:rPr>
                <w:b/>
                <w:bCs/>
                <w:szCs w:val="24"/>
                <w:lang w:val="en-US"/>
              </w:rPr>
              <w:instrText>Stage</w:instrText>
            </w:r>
            <w:r w:rsidR="00053AE8" w:rsidRPr="002B3AE7">
              <w:rPr>
                <w:b/>
                <w:bCs/>
                <w:szCs w:val="24"/>
              </w:rPr>
              <w:instrText xml:space="preserve"> </w:instrText>
            </w:r>
            <w:r w:rsidR="00053AE8">
              <w:rPr>
                <w:b/>
                <w:bCs/>
                <w:szCs w:val="24"/>
                <w:lang w:val="en-US"/>
              </w:rPr>
              <w:instrText>I</w:instrText>
            </w:r>
            <w:r w:rsidR="00053AE8" w:rsidRPr="002B3AE7">
              <w:rPr>
                <w:b/>
                <w:bCs/>
                <w:szCs w:val="24"/>
              </w:rPr>
              <w:instrText xml:space="preserve"> </w:instrText>
            </w:r>
            <w:r w:rsidR="00053AE8">
              <w:rPr>
                <w:b/>
                <w:bCs/>
                <w:szCs w:val="24"/>
                <w:lang w:val="en-US"/>
              </w:rPr>
              <w:instrText>and</w:instrText>
            </w:r>
            <w:r w:rsidR="00053AE8" w:rsidRPr="002B3AE7">
              <w:rPr>
                <w:b/>
                <w:bCs/>
                <w:szCs w:val="24"/>
              </w:rPr>
              <w:instrText xml:space="preserve"> </w:instrText>
            </w:r>
            <w:r w:rsidR="00053AE8">
              <w:rPr>
                <w:b/>
                <w:bCs/>
                <w:szCs w:val="24"/>
                <w:lang w:val="en-US"/>
              </w:rPr>
              <w:instrText>II</w:instrText>
            </w:r>
            <w:r w:rsidR="00053AE8" w:rsidRPr="002B3AE7">
              <w:rPr>
                <w:b/>
                <w:bCs/>
                <w:szCs w:val="24"/>
              </w:rPr>
              <w:instrText xml:space="preserve"> </w:instrText>
            </w:r>
            <w:r w:rsidR="00053AE8">
              <w:rPr>
                <w:b/>
                <w:bCs/>
                <w:szCs w:val="24"/>
                <w:lang w:val="en-US"/>
              </w:rPr>
              <w:instrText>patients</w:instrText>
            </w:r>
            <w:r w:rsidR="00053AE8" w:rsidRPr="002B3AE7">
              <w:rPr>
                <w:b/>
                <w:bCs/>
                <w:szCs w:val="24"/>
              </w:rPr>
              <w:instrText xml:space="preserve"> </w:instrText>
            </w:r>
            <w:r w:rsidR="00053AE8">
              <w:rPr>
                <w:b/>
                <w:bCs/>
                <w:szCs w:val="24"/>
                <w:lang w:val="en-US"/>
              </w:rPr>
              <w:instrText>were</w:instrText>
            </w:r>
            <w:r w:rsidR="00053AE8" w:rsidRPr="002B3AE7">
              <w:rPr>
                <w:b/>
                <w:bCs/>
                <w:szCs w:val="24"/>
              </w:rPr>
              <w:instrText xml:space="preserve"> </w:instrText>
            </w:r>
            <w:r w:rsidR="00053AE8">
              <w:rPr>
                <w:b/>
                <w:bCs/>
                <w:szCs w:val="24"/>
                <w:lang w:val="en-US"/>
              </w:rPr>
              <w:instrText>treated</w:instrText>
            </w:r>
            <w:r w:rsidR="00053AE8" w:rsidRPr="002B3AE7">
              <w:rPr>
                <w:b/>
                <w:bCs/>
                <w:szCs w:val="24"/>
              </w:rPr>
              <w:instrText xml:space="preserve"> </w:instrText>
            </w:r>
            <w:r w:rsidR="00053AE8">
              <w:rPr>
                <w:b/>
                <w:bCs/>
                <w:szCs w:val="24"/>
                <w:lang w:val="en-US"/>
              </w:rPr>
              <w:instrText>with</w:instrText>
            </w:r>
            <w:r w:rsidR="00053AE8" w:rsidRPr="002B3AE7">
              <w:rPr>
                <w:b/>
                <w:bCs/>
                <w:szCs w:val="24"/>
              </w:rPr>
              <w:instrText xml:space="preserve"> 3 </w:instrText>
            </w:r>
            <w:r w:rsidR="00053AE8">
              <w:rPr>
                <w:b/>
                <w:bCs/>
                <w:szCs w:val="24"/>
                <w:lang w:val="en-US"/>
              </w:rPr>
              <w:instrText>courses</w:instrText>
            </w:r>
            <w:r w:rsidR="00053AE8" w:rsidRPr="002B3AE7">
              <w:rPr>
                <w:b/>
                <w:bCs/>
                <w:szCs w:val="24"/>
              </w:rPr>
              <w:instrText xml:space="preserve"> </w:instrText>
            </w:r>
            <w:r w:rsidR="00053AE8">
              <w:rPr>
                <w:b/>
                <w:bCs/>
                <w:szCs w:val="24"/>
                <w:lang w:val="en-US"/>
              </w:rPr>
              <w:instrText>followed</w:instrText>
            </w:r>
            <w:r w:rsidR="00053AE8" w:rsidRPr="002B3AE7">
              <w:rPr>
                <w:b/>
                <w:bCs/>
                <w:szCs w:val="24"/>
              </w:rPr>
              <w:instrText xml:space="preserve"> </w:instrText>
            </w:r>
            <w:r w:rsidR="00053AE8">
              <w:rPr>
                <w:b/>
                <w:bCs/>
                <w:szCs w:val="24"/>
                <w:lang w:val="en-US"/>
              </w:rPr>
              <w:instrText>by</w:instrText>
            </w:r>
            <w:r w:rsidR="00053AE8" w:rsidRPr="002B3AE7">
              <w:rPr>
                <w:b/>
                <w:bCs/>
                <w:szCs w:val="24"/>
              </w:rPr>
              <w:instrText xml:space="preserve"> </w:instrText>
            </w:r>
            <w:r w:rsidR="00053AE8">
              <w:rPr>
                <w:b/>
                <w:bCs/>
                <w:szCs w:val="24"/>
                <w:lang w:val="en-US"/>
              </w:rPr>
              <w:instrText>involved</w:instrText>
            </w:r>
            <w:r w:rsidR="00053AE8" w:rsidRPr="002B3AE7">
              <w:rPr>
                <w:b/>
                <w:bCs/>
                <w:szCs w:val="24"/>
              </w:rPr>
              <w:instrText xml:space="preserve"> </w:instrText>
            </w:r>
            <w:r w:rsidR="00053AE8">
              <w:rPr>
                <w:b/>
                <w:bCs/>
                <w:szCs w:val="24"/>
                <w:lang w:val="en-US"/>
              </w:rPr>
              <w:instrText>field</w:instrText>
            </w:r>
            <w:r w:rsidR="00053AE8" w:rsidRPr="002B3AE7">
              <w:rPr>
                <w:b/>
                <w:bCs/>
                <w:szCs w:val="24"/>
              </w:rPr>
              <w:instrText xml:space="preserve"> </w:instrText>
            </w:r>
            <w:r w:rsidR="00053AE8">
              <w:rPr>
                <w:b/>
                <w:bCs/>
                <w:szCs w:val="24"/>
                <w:lang w:val="en-US"/>
              </w:rPr>
              <w:instrText>radiotherapy</w:instrText>
            </w:r>
            <w:r w:rsidR="00053AE8" w:rsidRPr="002B3AE7">
              <w:rPr>
                <w:b/>
                <w:bCs/>
                <w:szCs w:val="24"/>
              </w:rPr>
              <w:instrText xml:space="preserve">, </w:instrText>
            </w:r>
            <w:r w:rsidR="00053AE8">
              <w:rPr>
                <w:b/>
                <w:bCs/>
                <w:szCs w:val="24"/>
                <w:lang w:val="en-US"/>
              </w:rPr>
              <w:instrText>while</w:instrText>
            </w:r>
            <w:r w:rsidR="00053AE8" w:rsidRPr="002B3AE7">
              <w:rPr>
                <w:b/>
                <w:bCs/>
                <w:szCs w:val="24"/>
              </w:rPr>
              <w:instrText xml:space="preserve"> </w:instrText>
            </w:r>
            <w:r w:rsidR="00053AE8">
              <w:rPr>
                <w:b/>
                <w:bCs/>
                <w:szCs w:val="24"/>
                <w:lang w:val="en-US"/>
              </w:rPr>
              <w:instrText>more</w:instrText>
            </w:r>
            <w:r w:rsidR="00053AE8" w:rsidRPr="002B3AE7">
              <w:rPr>
                <w:b/>
                <w:bCs/>
                <w:szCs w:val="24"/>
              </w:rPr>
              <w:instrText xml:space="preserve"> </w:instrText>
            </w:r>
            <w:r w:rsidR="00053AE8">
              <w:rPr>
                <w:b/>
                <w:bCs/>
                <w:szCs w:val="24"/>
                <w:lang w:val="en-US"/>
              </w:rPr>
              <w:instrText>advanced</w:instrText>
            </w:r>
            <w:r w:rsidR="00053AE8" w:rsidRPr="002B3AE7">
              <w:rPr>
                <w:b/>
                <w:bCs/>
                <w:szCs w:val="24"/>
              </w:rPr>
              <w:instrText xml:space="preserve"> </w:instrText>
            </w:r>
            <w:r w:rsidR="00053AE8">
              <w:rPr>
                <w:b/>
                <w:bCs/>
                <w:szCs w:val="24"/>
                <w:lang w:val="en-US"/>
              </w:rPr>
              <w:instrText>stage</w:instrText>
            </w:r>
            <w:r w:rsidR="00053AE8" w:rsidRPr="002B3AE7">
              <w:rPr>
                <w:b/>
                <w:bCs/>
                <w:szCs w:val="24"/>
              </w:rPr>
              <w:instrText xml:space="preserve"> </w:instrText>
            </w:r>
            <w:r w:rsidR="00053AE8">
              <w:rPr>
                <w:b/>
                <w:bCs/>
                <w:szCs w:val="24"/>
                <w:lang w:val="en-US"/>
              </w:rPr>
              <w:instrText>patients</w:instrText>
            </w:r>
            <w:r w:rsidR="00053AE8" w:rsidRPr="002B3AE7">
              <w:rPr>
                <w:b/>
                <w:bCs/>
                <w:szCs w:val="24"/>
              </w:rPr>
              <w:instrText xml:space="preserve"> </w:instrText>
            </w:r>
            <w:r w:rsidR="00053AE8">
              <w:rPr>
                <w:b/>
                <w:bCs/>
                <w:szCs w:val="24"/>
                <w:lang w:val="en-US"/>
              </w:rPr>
              <w:instrText>received</w:instrText>
            </w:r>
            <w:r w:rsidR="00053AE8" w:rsidRPr="002B3AE7">
              <w:rPr>
                <w:b/>
                <w:bCs/>
                <w:szCs w:val="24"/>
              </w:rPr>
              <w:instrText xml:space="preserve"> 6 </w:instrText>
            </w:r>
            <w:r w:rsidR="00053AE8">
              <w:rPr>
                <w:b/>
                <w:bCs/>
                <w:szCs w:val="24"/>
                <w:lang w:val="en-US"/>
              </w:rPr>
              <w:instrText>courses</w:instrText>
            </w:r>
            <w:r w:rsidR="00053AE8" w:rsidRPr="002B3AE7">
              <w:rPr>
                <w:b/>
                <w:bCs/>
                <w:szCs w:val="24"/>
              </w:rPr>
              <w:instrText xml:space="preserve"> </w:instrText>
            </w:r>
            <w:r w:rsidR="00053AE8">
              <w:rPr>
                <w:b/>
                <w:bCs/>
                <w:szCs w:val="24"/>
                <w:lang w:val="en-US"/>
              </w:rPr>
              <w:instrText>and</w:instrText>
            </w:r>
            <w:r w:rsidR="00053AE8" w:rsidRPr="002B3AE7">
              <w:rPr>
                <w:b/>
                <w:bCs/>
                <w:szCs w:val="24"/>
              </w:rPr>
              <w:instrText xml:space="preserve"> </w:instrText>
            </w:r>
            <w:r w:rsidR="00053AE8">
              <w:rPr>
                <w:b/>
                <w:bCs/>
                <w:szCs w:val="24"/>
                <w:lang w:val="en-US"/>
              </w:rPr>
              <w:instrText>radiotherapy</w:instrText>
            </w:r>
            <w:r w:rsidR="00053AE8" w:rsidRPr="002B3AE7">
              <w:rPr>
                <w:b/>
                <w:bCs/>
                <w:szCs w:val="24"/>
              </w:rPr>
              <w:instrText xml:space="preserve"> </w:instrText>
            </w:r>
            <w:r w:rsidR="00053AE8">
              <w:rPr>
                <w:b/>
                <w:bCs/>
                <w:szCs w:val="24"/>
                <w:lang w:val="en-US"/>
              </w:rPr>
              <w:instrText>was</w:instrText>
            </w:r>
            <w:r w:rsidR="00053AE8" w:rsidRPr="002B3AE7">
              <w:rPr>
                <w:b/>
                <w:bCs/>
                <w:szCs w:val="24"/>
              </w:rPr>
              <w:instrText xml:space="preserve"> </w:instrText>
            </w:r>
            <w:r w:rsidR="00053AE8">
              <w:rPr>
                <w:b/>
                <w:bCs/>
                <w:szCs w:val="24"/>
                <w:lang w:val="en-US"/>
              </w:rPr>
              <w:instrText>limited</w:instrText>
            </w:r>
            <w:r w:rsidR="00053AE8" w:rsidRPr="002B3AE7">
              <w:rPr>
                <w:b/>
                <w:bCs/>
                <w:szCs w:val="24"/>
              </w:rPr>
              <w:instrText xml:space="preserve"> </w:instrText>
            </w:r>
            <w:r w:rsidR="00053AE8">
              <w:rPr>
                <w:b/>
                <w:bCs/>
                <w:szCs w:val="24"/>
                <w:lang w:val="en-US"/>
              </w:rPr>
              <w:instrText>to</w:instrText>
            </w:r>
            <w:r w:rsidR="00053AE8" w:rsidRPr="002B3AE7">
              <w:rPr>
                <w:b/>
                <w:bCs/>
                <w:szCs w:val="24"/>
              </w:rPr>
              <w:instrText xml:space="preserve"> </w:instrText>
            </w:r>
            <w:r w:rsidR="00053AE8">
              <w:rPr>
                <w:b/>
                <w:bCs/>
                <w:szCs w:val="24"/>
                <w:lang w:val="en-US"/>
              </w:rPr>
              <w:instrText>bulky</w:instrText>
            </w:r>
            <w:r w:rsidR="00053AE8" w:rsidRPr="002B3AE7">
              <w:rPr>
                <w:b/>
                <w:bCs/>
                <w:szCs w:val="24"/>
              </w:rPr>
              <w:instrText xml:space="preserve"> </w:instrText>
            </w:r>
            <w:r w:rsidR="00053AE8">
              <w:rPr>
                <w:b/>
                <w:bCs/>
                <w:szCs w:val="24"/>
                <w:lang w:val="en-US"/>
              </w:rPr>
              <w:instrText>areas</w:instrText>
            </w:r>
            <w:r w:rsidR="00053AE8" w:rsidRPr="002B3AE7">
              <w:rPr>
                <w:b/>
                <w:bCs/>
                <w:szCs w:val="24"/>
              </w:rPr>
              <w:instrText xml:space="preserve">. </w:instrText>
            </w:r>
            <w:r w:rsidR="00053AE8">
              <w:rPr>
                <w:b/>
                <w:bCs/>
                <w:szCs w:val="24"/>
                <w:lang w:val="en-US"/>
              </w:rPr>
              <w:instrText>The</w:instrText>
            </w:r>
            <w:r w:rsidR="00053AE8" w:rsidRPr="002B3AE7">
              <w:rPr>
                <w:b/>
                <w:bCs/>
                <w:szCs w:val="24"/>
              </w:rPr>
              <w:instrText xml:space="preserve"> </w:instrText>
            </w:r>
            <w:r w:rsidR="00053AE8">
              <w:rPr>
                <w:b/>
                <w:bCs/>
                <w:szCs w:val="24"/>
                <w:lang w:val="en-US"/>
              </w:rPr>
              <w:instrText>results</w:instrText>
            </w:r>
            <w:r w:rsidR="00053AE8" w:rsidRPr="002B3AE7">
              <w:rPr>
                <w:b/>
                <w:bCs/>
                <w:szCs w:val="24"/>
              </w:rPr>
              <w:instrText xml:space="preserve"> </w:instrText>
            </w:r>
            <w:r w:rsidR="00053AE8">
              <w:rPr>
                <w:b/>
                <w:bCs/>
                <w:szCs w:val="24"/>
                <w:lang w:val="en-US"/>
              </w:rPr>
              <w:instrText>of</w:instrText>
            </w:r>
            <w:r w:rsidR="00053AE8" w:rsidRPr="002B3AE7">
              <w:rPr>
                <w:b/>
                <w:bCs/>
                <w:szCs w:val="24"/>
              </w:rPr>
              <w:instrText xml:space="preserve"> </w:instrText>
            </w:r>
            <w:r w:rsidR="00053AE8">
              <w:rPr>
                <w:b/>
                <w:bCs/>
                <w:szCs w:val="24"/>
                <w:lang w:val="en-US"/>
              </w:rPr>
              <w:instrText>the</w:instrText>
            </w:r>
            <w:r w:rsidR="00053AE8" w:rsidRPr="002B3AE7">
              <w:rPr>
                <w:b/>
                <w:bCs/>
                <w:szCs w:val="24"/>
              </w:rPr>
              <w:instrText xml:space="preserve"> </w:instrText>
            </w:r>
            <w:r w:rsidR="00053AE8">
              <w:rPr>
                <w:b/>
                <w:bCs/>
                <w:szCs w:val="24"/>
                <w:lang w:val="en-US"/>
              </w:rPr>
              <w:instrText>CVP</w:instrText>
            </w:r>
            <w:r w:rsidR="00053AE8" w:rsidRPr="002B3AE7">
              <w:rPr>
                <w:b/>
                <w:bCs/>
                <w:szCs w:val="24"/>
              </w:rPr>
              <w:instrText>/</w:instrText>
            </w:r>
            <w:r w:rsidR="00053AE8">
              <w:rPr>
                <w:b/>
                <w:bCs/>
                <w:szCs w:val="24"/>
                <w:lang w:val="en-US"/>
              </w:rPr>
              <w:instrText>CEB</w:instrText>
            </w:r>
            <w:r w:rsidR="00053AE8" w:rsidRPr="002B3AE7">
              <w:rPr>
                <w:b/>
                <w:bCs/>
                <w:szCs w:val="24"/>
              </w:rPr>
              <w:instrText xml:space="preserve"> </w:instrText>
            </w:r>
            <w:r w:rsidR="00053AE8">
              <w:rPr>
                <w:b/>
                <w:bCs/>
                <w:szCs w:val="24"/>
                <w:lang w:val="en-US"/>
              </w:rPr>
              <w:instrText>regimen</w:instrText>
            </w:r>
            <w:r w:rsidR="00053AE8" w:rsidRPr="002B3AE7">
              <w:rPr>
                <w:b/>
                <w:bCs/>
                <w:szCs w:val="24"/>
              </w:rPr>
              <w:instrText xml:space="preserve"> </w:instrText>
            </w:r>
            <w:r w:rsidR="00053AE8">
              <w:rPr>
                <w:b/>
                <w:bCs/>
                <w:szCs w:val="24"/>
                <w:lang w:val="en-US"/>
              </w:rPr>
              <w:instrText>are</w:instrText>
            </w:r>
            <w:r w:rsidR="00053AE8" w:rsidRPr="002B3AE7">
              <w:rPr>
                <w:b/>
                <w:bCs/>
                <w:szCs w:val="24"/>
              </w:rPr>
              <w:instrText xml:space="preserve"> </w:instrText>
            </w:r>
            <w:r w:rsidR="00053AE8">
              <w:rPr>
                <w:b/>
                <w:bCs/>
                <w:szCs w:val="24"/>
                <w:lang w:val="en-US"/>
              </w:rPr>
              <w:instrText>retrospectively</w:instrText>
            </w:r>
            <w:r w:rsidR="00053AE8" w:rsidRPr="002B3AE7">
              <w:rPr>
                <w:b/>
                <w:bCs/>
                <w:szCs w:val="24"/>
              </w:rPr>
              <w:instrText xml:space="preserve"> </w:instrText>
            </w:r>
            <w:r w:rsidR="00053AE8">
              <w:rPr>
                <w:b/>
                <w:bCs/>
                <w:szCs w:val="24"/>
                <w:lang w:val="en-US"/>
              </w:rPr>
              <w:instrText>compared</w:instrText>
            </w:r>
            <w:r w:rsidR="00053AE8" w:rsidRPr="002B3AE7">
              <w:rPr>
                <w:b/>
                <w:bCs/>
                <w:szCs w:val="24"/>
              </w:rPr>
              <w:instrText xml:space="preserve"> </w:instrText>
            </w:r>
            <w:r w:rsidR="00053AE8">
              <w:rPr>
                <w:b/>
                <w:bCs/>
                <w:szCs w:val="24"/>
                <w:lang w:val="en-US"/>
              </w:rPr>
              <w:instrText>to</w:instrText>
            </w:r>
            <w:r w:rsidR="00053AE8" w:rsidRPr="002B3AE7">
              <w:rPr>
                <w:b/>
                <w:bCs/>
                <w:szCs w:val="24"/>
              </w:rPr>
              <w:instrText xml:space="preserve"> </w:instrText>
            </w:r>
            <w:r w:rsidR="00053AE8">
              <w:rPr>
                <w:b/>
                <w:bCs/>
                <w:szCs w:val="24"/>
                <w:lang w:val="en-US"/>
              </w:rPr>
              <w:instrText>those</w:instrText>
            </w:r>
            <w:r w:rsidR="00053AE8" w:rsidRPr="002B3AE7">
              <w:rPr>
                <w:b/>
                <w:bCs/>
                <w:szCs w:val="24"/>
              </w:rPr>
              <w:instrText xml:space="preserve"> </w:instrText>
            </w:r>
            <w:r w:rsidR="00053AE8">
              <w:rPr>
                <w:b/>
                <w:bCs/>
                <w:szCs w:val="24"/>
                <w:lang w:val="en-US"/>
              </w:rPr>
              <w:instrText>of</w:instrText>
            </w:r>
            <w:r w:rsidR="00053AE8" w:rsidRPr="002B3AE7">
              <w:rPr>
                <w:b/>
                <w:bCs/>
                <w:szCs w:val="24"/>
              </w:rPr>
              <w:instrText xml:space="preserve"> 74 </w:instrText>
            </w:r>
            <w:r w:rsidR="00053AE8">
              <w:rPr>
                <w:b/>
                <w:bCs/>
                <w:szCs w:val="24"/>
                <w:lang w:val="en-US"/>
              </w:rPr>
              <w:instrText>elderly</w:instrText>
            </w:r>
            <w:r w:rsidR="00053AE8" w:rsidRPr="002B3AE7">
              <w:rPr>
                <w:b/>
                <w:bCs/>
                <w:szCs w:val="24"/>
              </w:rPr>
              <w:instrText xml:space="preserve"> </w:instrText>
            </w:r>
            <w:r w:rsidR="00053AE8">
              <w:rPr>
                <w:b/>
                <w:bCs/>
                <w:szCs w:val="24"/>
                <w:lang w:val="en-US"/>
              </w:rPr>
              <w:instrText>patients</w:instrText>
            </w:r>
            <w:r w:rsidR="00053AE8" w:rsidRPr="002B3AE7">
              <w:rPr>
                <w:b/>
                <w:bCs/>
                <w:szCs w:val="24"/>
              </w:rPr>
              <w:instrText xml:space="preserve"> </w:instrText>
            </w:r>
            <w:r w:rsidR="00053AE8">
              <w:rPr>
                <w:b/>
                <w:bCs/>
                <w:szCs w:val="24"/>
                <w:lang w:val="en-US"/>
              </w:rPr>
              <w:instrText>treated</w:instrText>
            </w:r>
            <w:r w:rsidR="00053AE8" w:rsidRPr="002B3AE7">
              <w:rPr>
                <w:b/>
                <w:bCs/>
                <w:szCs w:val="24"/>
              </w:rPr>
              <w:instrText xml:space="preserve"> </w:instrText>
            </w:r>
            <w:r w:rsidR="00053AE8">
              <w:rPr>
                <w:b/>
                <w:bCs/>
                <w:szCs w:val="24"/>
                <w:lang w:val="en-US"/>
              </w:rPr>
              <w:instrText>between</w:instrText>
            </w:r>
            <w:r w:rsidR="00053AE8" w:rsidRPr="002B3AE7">
              <w:rPr>
                <w:b/>
                <w:bCs/>
                <w:szCs w:val="24"/>
              </w:rPr>
              <w:instrText xml:space="preserve"> 1982 </w:instrText>
            </w:r>
            <w:r w:rsidR="00053AE8">
              <w:rPr>
                <w:b/>
                <w:bCs/>
                <w:szCs w:val="24"/>
                <w:lang w:val="en-US"/>
              </w:rPr>
              <w:instrText>and</w:instrText>
            </w:r>
            <w:r w:rsidR="00053AE8" w:rsidRPr="002B3AE7">
              <w:rPr>
                <w:b/>
                <w:bCs/>
                <w:szCs w:val="24"/>
              </w:rPr>
              <w:instrText xml:space="preserve"> 1989 </w:instrText>
            </w:r>
            <w:r w:rsidR="00053AE8">
              <w:rPr>
                <w:b/>
                <w:bCs/>
                <w:szCs w:val="24"/>
                <w:lang w:val="en-US"/>
              </w:rPr>
              <w:instrText>and</w:instrText>
            </w:r>
            <w:r w:rsidR="00053AE8" w:rsidRPr="002B3AE7">
              <w:rPr>
                <w:b/>
                <w:bCs/>
                <w:szCs w:val="24"/>
              </w:rPr>
              <w:instrText xml:space="preserve"> </w:instrText>
            </w:r>
            <w:r w:rsidR="00053AE8">
              <w:rPr>
                <w:b/>
                <w:bCs/>
                <w:szCs w:val="24"/>
                <w:lang w:val="en-US"/>
              </w:rPr>
              <w:instrText>subdivided</w:instrText>
            </w:r>
            <w:r w:rsidR="00053AE8" w:rsidRPr="002B3AE7">
              <w:rPr>
                <w:b/>
                <w:bCs/>
                <w:szCs w:val="24"/>
              </w:rPr>
              <w:instrText xml:space="preserve"> </w:instrText>
            </w:r>
            <w:r w:rsidR="00053AE8">
              <w:rPr>
                <w:b/>
                <w:bCs/>
                <w:szCs w:val="24"/>
                <w:lang w:val="en-US"/>
              </w:rPr>
              <w:instrText>into</w:instrText>
            </w:r>
            <w:r w:rsidR="00053AE8" w:rsidRPr="002B3AE7">
              <w:rPr>
                <w:b/>
                <w:bCs/>
                <w:szCs w:val="24"/>
              </w:rPr>
              <w:instrText xml:space="preserve"> </w:instrText>
            </w:r>
            <w:r w:rsidR="00053AE8">
              <w:rPr>
                <w:b/>
                <w:bCs/>
                <w:szCs w:val="24"/>
                <w:lang w:val="en-US"/>
              </w:rPr>
              <w:instrText>the</w:instrText>
            </w:r>
            <w:r w:rsidR="00053AE8" w:rsidRPr="002B3AE7">
              <w:rPr>
                <w:b/>
                <w:bCs/>
                <w:szCs w:val="24"/>
              </w:rPr>
              <w:instrText xml:space="preserve"> </w:instrText>
            </w:r>
            <w:r w:rsidR="00053AE8">
              <w:rPr>
                <w:b/>
                <w:bCs/>
                <w:szCs w:val="24"/>
                <w:lang w:val="en-US"/>
              </w:rPr>
              <w:instrText>following</w:instrText>
            </w:r>
            <w:r w:rsidR="00053AE8" w:rsidRPr="002B3AE7">
              <w:rPr>
                <w:b/>
                <w:bCs/>
                <w:szCs w:val="24"/>
              </w:rPr>
              <w:instrText xml:space="preserve"> 2 </w:instrText>
            </w:r>
            <w:r w:rsidR="00053AE8">
              <w:rPr>
                <w:b/>
                <w:bCs/>
                <w:szCs w:val="24"/>
                <w:lang w:val="en-US"/>
              </w:rPr>
              <w:instrText>groups</w:instrText>
            </w:r>
            <w:r w:rsidR="00053AE8" w:rsidRPr="002B3AE7">
              <w:rPr>
                <w:b/>
                <w:bCs/>
                <w:szCs w:val="24"/>
              </w:rPr>
              <w:instrText xml:space="preserve">: 32 </w:instrText>
            </w:r>
            <w:r w:rsidR="00053AE8">
              <w:rPr>
                <w:b/>
                <w:bCs/>
                <w:szCs w:val="24"/>
                <w:lang w:val="en-US"/>
              </w:rPr>
              <w:instrText>patients</w:instrText>
            </w:r>
            <w:r w:rsidR="00053AE8" w:rsidRPr="002B3AE7">
              <w:rPr>
                <w:b/>
                <w:bCs/>
                <w:szCs w:val="24"/>
              </w:rPr>
              <w:instrText xml:space="preserve"> </w:instrText>
            </w:r>
            <w:r w:rsidR="00053AE8">
              <w:rPr>
                <w:b/>
                <w:bCs/>
                <w:szCs w:val="24"/>
                <w:lang w:val="en-US"/>
              </w:rPr>
              <w:instrText>treated</w:instrText>
            </w:r>
            <w:r w:rsidR="00053AE8" w:rsidRPr="002B3AE7">
              <w:rPr>
                <w:b/>
                <w:bCs/>
                <w:szCs w:val="24"/>
              </w:rPr>
              <w:instrText xml:space="preserve"> </w:instrText>
            </w:r>
            <w:r w:rsidR="00053AE8">
              <w:rPr>
                <w:b/>
                <w:bCs/>
                <w:szCs w:val="24"/>
                <w:lang w:val="en-US"/>
              </w:rPr>
              <w:instrText>according</w:instrText>
            </w:r>
            <w:r w:rsidR="00053AE8" w:rsidRPr="002B3AE7">
              <w:rPr>
                <w:b/>
                <w:bCs/>
                <w:szCs w:val="24"/>
              </w:rPr>
              <w:instrText xml:space="preserve"> </w:instrText>
            </w:r>
            <w:r w:rsidR="00053AE8">
              <w:rPr>
                <w:b/>
                <w:bCs/>
                <w:szCs w:val="24"/>
                <w:lang w:val="en-US"/>
              </w:rPr>
              <w:instrText>to</w:instrText>
            </w:r>
            <w:r w:rsidR="00053AE8" w:rsidRPr="002B3AE7">
              <w:rPr>
                <w:b/>
                <w:bCs/>
                <w:szCs w:val="24"/>
              </w:rPr>
              <w:instrText xml:space="preserve"> </w:instrText>
            </w:r>
            <w:r w:rsidR="00053AE8">
              <w:rPr>
                <w:b/>
                <w:bCs/>
                <w:szCs w:val="24"/>
                <w:lang w:val="en-US"/>
              </w:rPr>
              <w:instrText>the</w:instrText>
            </w:r>
            <w:r w:rsidR="00053AE8" w:rsidRPr="002B3AE7">
              <w:rPr>
                <w:b/>
                <w:bCs/>
                <w:szCs w:val="24"/>
              </w:rPr>
              <w:instrText xml:space="preserve"> </w:instrText>
            </w:r>
            <w:r w:rsidR="00053AE8">
              <w:rPr>
                <w:b/>
                <w:bCs/>
                <w:szCs w:val="24"/>
                <w:lang w:val="en-US"/>
              </w:rPr>
              <w:instrText>same</w:instrText>
            </w:r>
            <w:r w:rsidR="00053AE8" w:rsidRPr="002B3AE7">
              <w:rPr>
                <w:b/>
                <w:bCs/>
                <w:szCs w:val="24"/>
              </w:rPr>
              <w:instrText xml:space="preserve"> </w:instrText>
            </w:r>
            <w:r w:rsidR="00053AE8">
              <w:rPr>
                <w:b/>
                <w:bCs/>
                <w:szCs w:val="24"/>
                <w:lang w:val="en-US"/>
              </w:rPr>
              <w:instrText>therapy</w:instrText>
            </w:r>
            <w:r w:rsidR="00053AE8" w:rsidRPr="002B3AE7">
              <w:rPr>
                <w:b/>
                <w:bCs/>
                <w:szCs w:val="24"/>
              </w:rPr>
              <w:instrText xml:space="preserve"> </w:instrText>
            </w:r>
            <w:r w:rsidR="00053AE8">
              <w:rPr>
                <w:b/>
                <w:bCs/>
                <w:szCs w:val="24"/>
                <w:lang w:val="en-US"/>
              </w:rPr>
              <w:instrText>used</w:instrText>
            </w:r>
            <w:r w:rsidR="00053AE8" w:rsidRPr="002B3AE7">
              <w:rPr>
                <w:b/>
                <w:bCs/>
                <w:szCs w:val="24"/>
              </w:rPr>
              <w:instrText xml:space="preserve"> </w:instrText>
            </w:r>
            <w:r w:rsidR="00053AE8">
              <w:rPr>
                <w:b/>
                <w:bCs/>
                <w:szCs w:val="24"/>
                <w:lang w:val="en-US"/>
              </w:rPr>
              <w:instrText>at</w:instrText>
            </w:r>
            <w:r w:rsidR="00053AE8" w:rsidRPr="002B3AE7">
              <w:rPr>
                <w:b/>
                <w:bCs/>
                <w:szCs w:val="24"/>
              </w:rPr>
              <w:instrText xml:space="preserve"> </w:instrText>
            </w:r>
            <w:r w:rsidR="00053AE8">
              <w:rPr>
                <w:b/>
                <w:bCs/>
                <w:szCs w:val="24"/>
                <w:lang w:val="en-US"/>
              </w:rPr>
              <w:instrText>that</w:instrText>
            </w:r>
            <w:r w:rsidR="00053AE8" w:rsidRPr="002B3AE7">
              <w:rPr>
                <w:b/>
                <w:bCs/>
                <w:szCs w:val="24"/>
              </w:rPr>
              <w:instrText xml:space="preserve"> </w:instrText>
            </w:r>
            <w:r w:rsidR="00053AE8">
              <w:rPr>
                <w:b/>
                <w:bCs/>
                <w:szCs w:val="24"/>
                <w:lang w:val="en-US"/>
              </w:rPr>
              <w:instrText>time</w:instrText>
            </w:r>
            <w:r w:rsidR="00053AE8" w:rsidRPr="002B3AE7">
              <w:rPr>
                <w:b/>
                <w:bCs/>
                <w:szCs w:val="24"/>
              </w:rPr>
              <w:instrText xml:space="preserve"> </w:instrText>
            </w:r>
            <w:r w:rsidR="00053AE8">
              <w:rPr>
                <w:b/>
                <w:bCs/>
                <w:szCs w:val="24"/>
                <w:lang w:val="en-US"/>
              </w:rPr>
              <w:instrText>in</w:instrText>
            </w:r>
            <w:r w:rsidR="00053AE8" w:rsidRPr="002B3AE7">
              <w:rPr>
                <w:b/>
                <w:bCs/>
                <w:szCs w:val="24"/>
              </w:rPr>
              <w:instrText xml:space="preserve"> </w:instrText>
            </w:r>
            <w:r w:rsidR="00053AE8">
              <w:rPr>
                <w:b/>
                <w:bCs/>
                <w:szCs w:val="24"/>
                <w:lang w:val="en-US"/>
              </w:rPr>
              <w:instrText>younger</w:instrText>
            </w:r>
            <w:r w:rsidR="00053AE8" w:rsidRPr="002B3AE7">
              <w:rPr>
                <w:b/>
                <w:bCs/>
                <w:szCs w:val="24"/>
              </w:rPr>
              <w:instrText xml:space="preserve"> </w:instrText>
            </w:r>
            <w:r w:rsidR="00053AE8">
              <w:rPr>
                <w:b/>
                <w:bCs/>
                <w:szCs w:val="24"/>
                <w:lang w:val="en-US"/>
              </w:rPr>
              <w:instrText>patients</w:instrText>
            </w:r>
            <w:r w:rsidR="00053AE8" w:rsidRPr="002B3AE7">
              <w:rPr>
                <w:b/>
                <w:bCs/>
                <w:szCs w:val="24"/>
              </w:rPr>
              <w:instrText xml:space="preserve">, </w:instrText>
            </w:r>
            <w:r w:rsidR="00053AE8">
              <w:rPr>
                <w:b/>
                <w:bCs/>
                <w:szCs w:val="24"/>
                <w:lang w:val="en-US"/>
              </w:rPr>
              <w:instrText>and</w:instrText>
            </w:r>
            <w:r w:rsidR="00053AE8" w:rsidRPr="002B3AE7">
              <w:rPr>
                <w:b/>
                <w:bCs/>
                <w:szCs w:val="24"/>
              </w:rPr>
              <w:instrText xml:space="preserve"> 42 </w:instrText>
            </w:r>
            <w:r w:rsidR="00053AE8">
              <w:rPr>
                <w:b/>
                <w:bCs/>
                <w:szCs w:val="24"/>
                <w:lang w:val="en-US"/>
              </w:rPr>
              <w:instrText>patients</w:instrText>
            </w:r>
            <w:r w:rsidR="00053AE8" w:rsidRPr="002B3AE7">
              <w:rPr>
                <w:b/>
                <w:bCs/>
                <w:szCs w:val="24"/>
              </w:rPr>
              <w:instrText xml:space="preserve"> </w:instrText>
            </w:r>
            <w:r w:rsidR="00053AE8">
              <w:rPr>
                <w:b/>
                <w:bCs/>
                <w:szCs w:val="24"/>
                <w:lang w:val="en-US"/>
              </w:rPr>
              <w:instrText>given</w:instrText>
            </w:r>
            <w:r w:rsidR="00053AE8" w:rsidRPr="002B3AE7">
              <w:rPr>
                <w:b/>
                <w:bCs/>
                <w:szCs w:val="24"/>
              </w:rPr>
              <w:instrText xml:space="preserve"> </w:instrText>
            </w:r>
            <w:r w:rsidR="00053AE8">
              <w:rPr>
                <w:b/>
                <w:bCs/>
                <w:szCs w:val="24"/>
                <w:lang w:val="en-US"/>
              </w:rPr>
              <w:instrText>alternative low aggressivity or palliative treatment. RESULTS CVP/CEB is a well-tolerated regimen, with only 1 (4%) toxic death and 2 (8%) protocol violations/interruptions. The CVP/CEB complete remission rate (73%) compares favorably with our previous groups of patients, mainly because of the lower toxic death rate. However, the CVP/CEB relapse-free survival rate is lower than that of patients treated with more aggressive conventional regimens (47% vs. 77%, p &lt; 0.02). The CVP/CEB overall survival and event-free survival rates are 55% and 32%, respectively, and they are not statistically different from those of patients treated before 1990. CONCLUSIONS CVP/CEB is a well-tolerated low toxicity regimen with a high CR rate. The relapse rate is high and event-free survival is comparable to that of patients treated conventionally. Our results suggest the need for individualized treatment criteria for older patients with HD.","author":[{"dropping-particle":"","family":"Levis","given":"A","non-dropping-particle":"","parse-names":false,"suffix":""},{"dropping-particle":"","family":"Depaoli","given":"L","non-dropping-particle":"","parse-names":false,"suffix":""},{"dropping-particle":"","family":"Bertini","given":"M","non-dropping-particle":"","parse-names":false,"suffix":""},{"dropping-particle":"","family":"Botto","given":"B","non-dropping-particle":"","parse-names":false,"suffix":""},{"dropping-particle":"","family":"Ciravegna","given":"G","non-dropping-particle":"","parse-names":false,"suffix":""},{"dropping-particle":"","family":"Freilone","given":"R","non-dropping-particle":"","parse-names":false,"suffix":""},{"dropping-particle":"","family":"Gallamini","given":"A","non-dropping-particle":"","parse-names":false,"suffix":""},{"dropping-particle":"","family":"Gavarotti","given":"P","non-dropping-particle":"","parse-names":false,"suffix":""},{"dropping-particle</w:instrText>
            </w:r>
            <w:r w:rsidR="00053AE8" w:rsidRPr="002B3AE7">
              <w:rPr>
                <w:b/>
                <w:bCs/>
                <w:szCs w:val="24"/>
              </w:rPr>
              <w:instrText>":"","</w:instrText>
            </w:r>
            <w:r w:rsidR="00053AE8">
              <w:rPr>
                <w:b/>
                <w:bCs/>
                <w:szCs w:val="24"/>
                <w:lang w:val="en-US"/>
              </w:rPr>
              <w:instrText>family</w:instrText>
            </w:r>
            <w:r w:rsidR="00053AE8" w:rsidRPr="002B3AE7">
              <w:rPr>
                <w:b/>
                <w:bCs/>
                <w:szCs w:val="24"/>
              </w:rPr>
              <w:instrText>":"</w:instrText>
            </w:r>
            <w:r w:rsidR="00053AE8">
              <w:rPr>
                <w:b/>
                <w:bCs/>
                <w:szCs w:val="24"/>
                <w:lang w:val="en-US"/>
              </w:rPr>
              <w:instrText>Ricardi</w:instrText>
            </w:r>
            <w:r w:rsidR="00053AE8" w:rsidRPr="002B3AE7">
              <w:rPr>
                <w:b/>
                <w:bCs/>
                <w:szCs w:val="24"/>
              </w:rPr>
              <w:instrText>","</w:instrText>
            </w:r>
            <w:r w:rsidR="00053AE8">
              <w:rPr>
                <w:b/>
                <w:bCs/>
                <w:szCs w:val="24"/>
                <w:lang w:val="en-US"/>
              </w:rPr>
              <w:instrText>given</w:instrText>
            </w:r>
            <w:r w:rsidR="00053AE8" w:rsidRPr="002B3AE7">
              <w:rPr>
                <w:b/>
                <w:bCs/>
                <w:szCs w:val="24"/>
              </w:rPr>
              <w:instrText>":"</w:instrText>
            </w:r>
            <w:r w:rsidR="00053AE8">
              <w:rPr>
                <w:b/>
                <w:bCs/>
                <w:szCs w:val="24"/>
                <w:lang w:val="en-US"/>
              </w:rPr>
              <w:instrText>U</w:instrText>
            </w:r>
            <w:r w:rsidR="00053AE8" w:rsidRPr="002B3AE7">
              <w:rPr>
                <w:b/>
                <w:bCs/>
                <w:szCs w:val="24"/>
              </w:rPr>
              <w:instrText>","</w:instrText>
            </w:r>
            <w:r w:rsidR="00053AE8">
              <w:rPr>
                <w:b/>
                <w:bCs/>
                <w:szCs w:val="24"/>
                <w:lang w:val="en-US"/>
              </w:rPr>
              <w:instrText>non</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parse</w:instrText>
            </w:r>
            <w:r w:rsidR="00053AE8" w:rsidRPr="002B3AE7">
              <w:rPr>
                <w:b/>
                <w:bCs/>
                <w:szCs w:val="24"/>
              </w:rPr>
              <w:instrText>-</w:instrText>
            </w:r>
            <w:r w:rsidR="00053AE8">
              <w:rPr>
                <w:b/>
                <w:bCs/>
                <w:szCs w:val="24"/>
                <w:lang w:val="en-US"/>
              </w:rPr>
              <w:instrText>names</w:instrText>
            </w:r>
            <w:r w:rsidR="00053AE8" w:rsidRPr="002B3AE7">
              <w:rPr>
                <w:b/>
                <w:bCs/>
                <w:szCs w:val="24"/>
              </w:rPr>
              <w:instrText>":</w:instrText>
            </w:r>
            <w:r w:rsidR="00053AE8">
              <w:rPr>
                <w:b/>
                <w:bCs/>
                <w:szCs w:val="24"/>
                <w:lang w:val="en-US"/>
              </w:rPr>
              <w:instrText>false</w:instrText>
            </w:r>
            <w:r w:rsidR="00053AE8" w:rsidRPr="002B3AE7">
              <w:rPr>
                <w:b/>
                <w:bCs/>
                <w:szCs w:val="24"/>
              </w:rPr>
              <w:instrText>,"</w:instrText>
            </w:r>
            <w:r w:rsidR="00053AE8">
              <w:rPr>
                <w:b/>
                <w:bCs/>
                <w:szCs w:val="24"/>
                <w:lang w:val="en-US"/>
              </w:rPr>
              <w:instrText>suffix</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family</w:instrText>
            </w:r>
            <w:r w:rsidR="00053AE8" w:rsidRPr="002B3AE7">
              <w:rPr>
                <w:b/>
                <w:bCs/>
                <w:szCs w:val="24"/>
              </w:rPr>
              <w:instrText>":"</w:instrText>
            </w:r>
            <w:r w:rsidR="00053AE8">
              <w:rPr>
                <w:b/>
                <w:bCs/>
                <w:szCs w:val="24"/>
                <w:lang w:val="en-US"/>
              </w:rPr>
              <w:instrText>Rota</w:instrText>
            </w:r>
            <w:r w:rsidR="00053AE8" w:rsidRPr="002B3AE7">
              <w:rPr>
                <w:b/>
                <w:bCs/>
                <w:szCs w:val="24"/>
              </w:rPr>
              <w:instrText xml:space="preserve"> </w:instrText>
            </w:r>
            <w:r w:rsidR="00053AE8">
              <w:rPr>
                <w:b/>
                <w:bCs/>
                <w:szCs w:val="24"/>
                <w:lang w:val="en-US"/>
              </w:rPr>
              <w:instrText>Scalabrini</w:instrText>
            </w:r>
            <w:r w:rsidR="00053AE8" w:rsidRPr="002B3AE7">
              <w:rPr>
                <w:b/>
                <w:bCs/>
                <w:szCs w:val="24"/>
              </w:rPr>
              <w:instrText>","</w:instrText>
            </w:r>
            <w:r w:rsidR="00053AE8">
              <w:rPr>
                <w:b/>
                <w:bCs/>
                <w:szCs w:val="24"/>
                <w:lang w:val="en-US"/>
              </w:rPr>
              <w:instrText>given</w:instrText>
            </w:r>
            <w:r w:rsidR="00053AE8" w:rsidRPr="002B3AE7">
              <w:rPr>
                <w:b/>
                <w:bCs/>
                <w:szCs w:val="24"/>
              </w:rPr>
              <w:instrText>":"</w:instrText>
            </w:r>
            <w:r w:rsidR="00053AE8">
              <w:rPr>
                <w:b/>
                <w:bCs/>
                <w:szCs w:val="24"/>
                <w:lang w:val="en-US"/>
              </w:rPr>
              <w:instrText>D</w:instrText>
            </w:r>
            <w:r w:rsidR="00053AE8" w:rsidRPr="002B3AE7">
              <w:rPr>
                <w:b/>
                <w:bCs/>
                <w:szCs w:val="24"/>
              </w:rPr>
              <w:instrText>","</w:instrText>
            </w:r>
            <w:r w:rsidR="00053AE8">
              <w:rPr>
                <w:b/>
                <w:bCs/>
                <w:szCs w:val="24"/>
                <w:lang w:val="en-US"/>
              </w:rPr>
              <w:instrText>non</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parse</w:instrText>
            </w:r>
            <w:r w:rsidR="00053AE8" w:rsidRPr="002B3AE7">
              <w:rPr>
                <w:b/>
                <w:bCs/>
                <w:szCs w:val="24"/>
              </w:rPr>
              <w:instrText>-</w:instrText>
            </w:r>
            <w:r w:rsidR="00053AE8">
              <w:rPr>
                <w:b/>
                <w:bCs/>
                <w:szCs w:val="24"/>
                <w:lang w:val="en-US"/>
              </w:rPr>
              <w:instrText>names</w:instrText>
            </w:r>
            <w:r w:rsidR="00053AE8" w:rsidRPr="002B3AE7">
              <w:rPr>
                <w:b/>
                <w:bCs/>
                <w:szCs w:val="24"/>
              </w:rPr>
              <w:instrText>":</w:instrText>
            </w:r>
            <w:r w:rsidR="00053AE8">
              <w:rPr>
                <w:b/>
                <w:bCs/>
                <w:szCs w:val="24"/>
                <w:lang w:val="en-US"/>
              </w:rPr>
              <w:instrText>false</w:instrText>
            </w:r>
            <w:r w:rsidR="00053AE8" w:rsidRPr="002B3AE7">
              <w:rPr>
                <w:b/>
                <w:bCs/>
                <w:szCs w:val="24"/>
              </w:rPr>
              <w:instrText>,"</w:instrText>
            </w:r>
            <w:r w:rsidR="00053AE8">
              <w:rPr>
                <w:b/>
                <w:bCs/>
                <w:szCs w:val="24"/>
                <w:lang w:val="en-US"/>
              </w:rPr>
              <w:instrText>suffix</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family</w:instrText>
            </w:r>
            <w:r w:rsidR="00053AE8" w:rsidRPr="002B3AE7">
              <w:rPr>
                <w:b/>
                <w:bCs/>
                <w:szCs w:val="24"/>
              </w:rPr>
              <w:instrText>":"</w:instrText>
            </w:r>
            <w:r w:rsidR="00053AE8">
              <w:rPr>
                <w:b/>
                <w:bCs/>
                <w:szCs w:val="24"/>
                <w:lang w:val="en-US"/>
              </w:rPr>
              <w:instrText>Salomone</w:instrText>
            </w:r>
            <w:r w:rsidR="00053AE8" w:rsidRPr="002B3AE7">
              <w:rPr>
                <w:b/>
                <w:bCs/>
                <w:szCs w:val="24"/>
              </w:rPr>
              <w:instrText>","</w:instrText>
            </w:r>
            <w:r w:rsidR="00053AE8">
              <w:rPr>
                <w:b/>
                <w:bCs/>
                <w:szCs w:val="24"/>
                <w:lang w:val="en-US"/>
              </w:rPr>
              <w:instrText>given</w:instrText>
            </w:r>
            <w:r w:rsidR="00053AE8" w:rsidRPr="002B3AE7">
              <w:rPr>
                <w:b/>
                <w:bCs/>
                <w:szCs w:val="24"/>
              </w:rPr>
              <w:instrText>":"</w:instrText>
            </w:r>
            <w:r w:rsidR="00053AE8">
              <w:rPr>
                <w:b/>
                <w:bCs/>
                <w:szCs w:val="24"/>
                <w:lang w:val="en-US"/>
              </w:rPr>
              <w:instrText>A</w:instrText>
            </w:r>
            <w:r w:rsidR="00053AE8" w:rsidRPr="002B3AE7">
              <w:rPr>
                <w:b/>
                <w:bCs/>
                <w:szCs w:val="24"/>
              </w:rPr>
              <w:instrText>","</w:instrText>
            </w:r>
            <w:r w:rsidR="00053AE8">
              <w:rPr>
                <w:b/>
                <w:bCs/>
                <w:szCs w:val="24"/>
                <w:lang w:val="en-US"/>
              </w:rPr>
              <w:instrText>non</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parse</w:instrText>
            </w:r>
            <w:r w:rsidR="00053AE8" w:rsidRPr="002B3AE7">
              <w:rPr>
                <w:b/>
                <w:bCs/>
                <w:szCs w:val="24"/>
              </w:rPr>
              <w:instrText>-</w:instrText>
            </w:r>
            <w:r w:rsidR="00053AE8">
              <w:rPr>
                <w:b/>
                <w:bCs/>
                <w:szCs w:val="24"/>
                <w:lang w:val="en-US"/>
              </w:rPr>
              <w:instrText>names</w:instrText>
            </w:r>
            <w:r w:rsidR="00053AE8" w:rsidRPr="002B3AE7">
              <w:rPr>
                <w:b/>
                <w:bCs/>
                <w:szCs w:val="24"/>
              </w:rPr>
              <w:instrText>":</w:instrText>
            </w:r>
            <w:r w:rsidR="00053AE8">
              <w:rPr>
                <w:b/>
                <w:bCs/>
                <w:szCs w:val="24"/>
                <w:lang w:val="en-US"/>
              </w:rPr>
              <w:instrText>false</w:instrText>
            </w:r>
            <w:r w:rsidR="00053AE8" w:rsidRPr="002B3AE7">
              <w:rPr>
                <w:b/>
                <w:bCs/>
                <w:szCs w:val="24"/>
              </w:rPr>
              <w:instrText>,"</w:instrText>
            </w:r>
            <w:r w:rsidR="00053AE8">
              <w:rPr>
                <w:b/>
                <w:bCs/>
                <w:szCs w:val="24"/>
                <w:lang w:val="en-US"/>
              </w:rPr>
              <w:instrText>suffix</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family</w:instrText>
            </w:r>
            <w:r w:rsidR="00053AE8" w:rsidRPr="002B3AE7">
              <w:rPr>
                <w:b/>
                <w:bCs/>
                <w:szCs w:val="24"/>
              </w:rPr>
              <w:instrText>":"</w:instrText>
            </w:r>
            <w:r w:rsidR="00053AE8">
              <w:rPr>
                <w:b/>
                <w:bCs/>
                <w:szCs w:val="24"/>
                <w:lang w:val="en-US"/>
              </w:rPr>
              <w:instrText>Salvi</w:instrText>
            </w:r>
            <w:r w:rsidR="00053AE8" w:rsidRPr="002B3AE7">
              <w:rPr>
                <w:b/>
                <w:bCs/>
                <w:szCs w:val="24"/>
              </w:rPr>
              <w:instrText>","</w:instrText>
            </w:r>
            <w:r w:rsidR="00053AE8">
              <w:rPr>
                <w:b/>
                <w:bCs/>
                <w:szCs w:val="24"/>
                <w:lang w:val="en-US"/>
              </w:rPr>
              <w:instrText>given</w:instrText>
            </w:r>
            <w:r w:rsidR="00053AE8" w:rsidRPr="002B3AE7">
              <w:rPr>
                <w:b/>
                <w:bCs/>
                <w:szCs w:val="24"/>
              </w:rPr>
              <w:instrText>":"</w:instrText>
            </w:r>
            <w:r w:rsidR="00053AE8">
              <w:rPr>
                <w:b/>
                <w:bCs/>
                <w:szCs w:val="24"/>
                <w:lang w:val="en-US"/>
              </w:rPr>
              <w:instrText>F</w:instrText>
            </w:r>
            <w:r w:rsidR="00053AE8" w:rsidRPr="002B3AE7">
              <w:rPr>
                <w:b/>
                <w:bCs/>
                <w:szCs w:val="24"/>
              </w:rPr>
              <w:instrText>","</w:instrText>
            </w:r>
            <w:r w:rsidR="00053AE8">
              <w:rPr>
                <w:b/>
                <w:bCs/>
                <w:szCs w:val="24"/>
                <w:lang w:val="en-US"/>
              </w:rPr>
              <w:instrText>non</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parse</w:instrText>
            </w:r>
            <w:r w:rsidR="00053AE8" w:rsidRPr="002B3AE7">
              <w:rPr>
                <w:b/>
                <w:bCs/>
                <w:szCs w:val="24"/>
              </w:rPr>
              <w:instrText>-</w:instrText>
            </w:r>
            <w:r w:rsidR="00053AE8">
              <w:rPr>
                <w:b/>
                <w:bCs/>
                <w:szCs w:val="24"/>
                <w:lang w:val="en-US"/>
              </w:rPr>
              <w:instrText>names</w:instrText>
            </w:r>
            <w:r w:rsidR="00053AE8" w:rsidRPr="002B3AE7">
              <w:rPr>
                <w:b/>
                <w:bCs/>
                <w:szCs w:val="24"/>
              </w:rPr>
              <w:instrText>":</w:instrText>
            </w:r>
            <w:r w:rsidR="00053AE8">
              <w:rPr>
                <w:b/>
                <w:bCs/>
                <w:szCs w:val="24"/>
                <w:lang w:val="en-US"/>
              </w:rPr>
              <w:instrText>false</w:instrText>
            </w:r>
            <w:r w:rsidR="00053AE8" w:rsidRPr="002B3AE7">
              <w:rPr>
                <w:b/>
                <w:bCs/>
                <w:szCs w:val="24"/>
              </w:rPr>
              <w:instrText>,"</w:instrText>
            </w:r>
            <w:r w:rsidR="00053AE8">
              <w:rPr>
                <w:b/>
                <w:bCs/>
                <w:szCs w:val="24"/>
                <w:lang w:val="en-US"/>
              </w:rPr>
              <w:instrText>suffix</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family</w:instrText>
            </w:r>
            <w:r w:rsidR="00053AE8" w:rsidRPr="002B3AE7">
              <w:rPr>
                <w:b/>
                <w:bCs/>
                <w:szCs w:val="24"/>
              </w:rPr>
              <w:instrText>":"</w:instrText>
            </w:r>
            <w:r w:rsidR="00053AE8">
              <w:rPr>
                <w:b/>
                <w:bCs/>
                <w:szCs w:val="24"/>
                <w:lang w:val="en-US"/>
              </w:rPr>
              <w:instrText>Vitolo</w:instrText>
            </w:r>
            <w:r w:rsidR="00053AE8" w:rsidRPr="002B3AE7">
              <w:rPr>
                <w:b/>
                <w:bCs/>
                <w:szCs w:val="24"/>
              </w:rPr>
              <w:instrText>","</w:instrText>
            </w:r>
            <w:r w:rsidR="00053AE8">
              <w:rPr>
                <w:b/>
                <w:bCs/>
                <w:szCs w:val="24"/>
                <w:lang w:val="en-US"/>
              </w:rPr>
              <w:instrText>given</w:instrText>
            </w:r>
            <w:r w:rsidR="00053AE8" w:rsidRPr="002B3AE7">
              <w:rPr>
                <w:b/>
                <w:bCs/>
                <w:szCs w:val="24"/>
              </w:rPr>
              <w:instrText>":"</w:instrText>
            </w:r>
            <w:r w:rsidR="00053AE8">
              <w:rPr>
                <w:b/>
                <w:bCs/>
                <w:szCs w:val="24"/>
                <w:lang w:val="en-US"/>
              </w:rPr>
              <w:instrText>U</w:instrText>
            </w:r>
            <w:r w:rsidR="00053AE8" w:rsidRPr="002B3AE7">
              <w:rPr>
                <w:b/>
                <w:bCs/>
                <w:szCs w:val="24"/>
              </w:rPr>
              <w:instrText>","</w:instrText>
            </w:r>
            <w:r w:rsidR="00053AE8">
              <w:rPr>
                <w:b/>
                <w:bCs/>
                <w:szCs w:val="24"/>
                <w:lang w:val="en-US"/>
              </w:rPr>
              <w:instrText>non</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parse</w:instrText>
            </w:r>
            <w:r w:rsidR="00053AE8" w:rsidRPr="002B3AE7">
              <w:rPr>
                <w:b/>
                <w:bCs/>
                <w:szCs w:val="24"/>
              </w:rPr>
              <w:instrText>-</w:instrText>
            </w:r>
            <w:r w:rsidR="00053AE8">
              <w:rPr>
                <w:b/>
                <w:bCs/>
                <w:szCs w:val="24"/>
                <w:lang w:val="en-US"/>
              </w:rPr>
              <w:instrText>names</w:instrText>
            </w:r>
            <w:r w:rsidR="00053AE8" w:rsidRPr="002B3AE7">
              <w:rPr>
                <w:b/>
                <w:bCs/>
                <w:szCs w:val="24"/>
              </w:rPr>
              <w:instrText>":</w:instrText>
            </w:r>
            <w:r w:rsidR="00053AE8">
              <w:rPr>
                <w:b/>
                <w:bCs/>
                <w:szCs w:val="24"/>
                <w:lang w:val="en-US"/>
              </w:rPr>
              <w:instrText>false</w:instrText>
            </w:r>
            <w:r w:rsidR="00053AE8" w:rsidRPr="002B3AE7">
              <w:rPr>
                <w:b/>
                <w:bCs/>
                <w:szCs w:val="24"/>
              </w:rPr>
              <w:instrText>,"</w:instrText>
            </w:r>
            <w:r w:rsidR="00053AE8">
              <w:rPr>
                <w:b/>
                <w:bCs/>
                <w:szCs w:val="24"/>
                <w:lang w:val="en-US"/>
              </w:rPr>
              <w:instrText>suffix</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family</w:instrText>
            </w:r>
            <w:r w:rsidR="00053AE8" w:rsidRPr="002B3AE7">
              <w:rPr>
                <w:b/>
                <w:bCs/>
                <w:szCs w:val="24"/>
              </w:rPr>
              <w:instrText>":"</w:instrText>
            </w:r>
            <w:r w:rsidR="00053AE8">
              <w:rPr>
                <w:b/>
                <w:bCs/>
                <w:szCs w:val="24"/>
                <w:lang w:val="en-US"/>
              </w:rPr>
              <w:instrText>Pileri</w:instrText>
            </w:r>
            <w:r w:rsidR="00053AE8" w:rsidRPr="002B3AE7">
              <w:rPr>
                <w:b/>
                <w:bCs/>
                <w:szCs w:val="24"/>
              </w:rPr>
              <w:instrText>","</w:instrText>
            </w:r>
            <w:r w:rsidR="00053AE8">
              <w:rPr>
                <w:b/>
                <w:bCs/>
                <w:szCs w:val="24"/>
                <w:lang w:val="en-US"/>
              </w:rPr>
              <w:instrText>given</w:instrText>
            </w:r>
            <w:r w:rsidR="00053AE8" w:rsidRPr="002B3AE7">
              <w:rPr>
                <w:b/>
                <w:bCs/>
                <w:szCs w:val="24"/>
              </w:rPr>
              <w:instrText>":"</w:instrText>
            </w:r>
            <w:r w:rsidR="00053AE8">
              <w:rPr>
                <w:b/>
                <w:bCs/>
                <w:szCs w:val="24"/>
                <w:lang w:val="en-US"/>
              </w:rPr>
              <w:instrText>A</w:instrText>
            </w:r>
            <w:r w:rsidR="00053AE8" w:rsidRPr="002B3AE7">
              <w:rPr>
                <w:b/>
                <w:bCs/>
                <w:szCs w:val="24"/>
              </w:rPr>
              <w:instrText>","</w:instrText>
            </w:r>
            <w:r w:rsidR="00053AE8">
              <w:rPr>
                <w:b/>
                <w:bCs/>
                <w:szCs w:val="24"/>
                <w:lang w:val="en-US"/>
              </w:rPr>
              <w:instrText>non</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parse</w:instrText>
            </w:r>
            <w:r w:rsidR="00053AE8" w:rsidRPr="002B3AE7">
              <w:rPr>
                <w:b/>
                <w:bCs/>
                <w:szCs w:val="24"/>
              </w:rPr>
              <w:instrText>-</w:instrText>
            </w:r>
            <w:r w:rsidR="00053AE8">
              <w:rPr>
                <w:b/>
                <w:bCs/>
                <w:szCs w:val="24"/>
                <w:lang w:val="en-US"/>
              </w:rPr>
              <w:instrText>names</w:instrText>
            </w:r>
            <w:r w:rsidR="00053AE8" w:rsidRPr="002B3AE7">
              <w:rPr>
                <w:b/>
                <w:bCs/>
                <w:szCs w:val="24"/>
              </w:rPr>
              <w:instrText>":</w:instrText>
            </w:r>
            <w:r w:rsidR="00053AE8">
              <w:rPr>
                <w:b/>
                <w:bCs/>
                <w:szCs w:val="24"/>
                <w:lang w:val="en-US"/>
              </w:rPr>
              <w:instrText>false</w:instrText>
            </w:r>
            <w:r w:rsidR="00053AE8" w:rsidRPr="002B3AE7">
              <w:rPr>
                <w:b/>
                <w:bCs/>
                <w:szCs w:val="24"/>
              </w:rPr>
              <w:instrText>,"</w:instrText>
            </w:r>
            <w:r w:rsidR="00053AE8">
              <w:rPr>
                <w:b/>
                <w:bCs/>
                <w:szCs w:val="24"/>
                <w:lang w:val="en-US"/>
              </w:rPr>
              <w:instrText>suffix</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family</w:instrText>
            </w:r>
            <w:r w:rsidR="00053AE8" w:rsidRPr="002B3AE7">
              <w:rPr>
                <w:b/>
                <w:bCs/>
                <w:szCs w:val="24"/>
              </w:rPr>
              <w:instrText>":"</w:instrText>
            </w:r>
            <w:r w:rsidR="00053AE8">
              <w:rPr>
                <w:b/>
                <w:bCs/>
                <w:szCs w:val="24"/>
                <w:lang w:val="en-US"/>
              </w:rPr>
              <w:instrText>Sannazzari</w:instrText>
            </w:r>
            <w:r w:rsidR="00053AE8" w:rsidRPr="002B3AE7">
              <w:rPr>
                <w:b/>
                <w:bCs/>
                <w:szCs w:val="24"/>
              </w:rPr>
              <w:instrText>","</w:instrText>
            </w:r>
            <w:r w:rsidR="00053AE8">
              <w:rPr>
                <w:b/>
                <w:bCs/>
                <w:szCs w:val="24"/>
                <w:lang w:val="en-US"/>
              </w:rPr>
              <w:instrText>given</w:instrText>
            </w:r>
            <w:r w:rsidR="00053AE8" w:rsidRPr="002B3AE7">
              <w:rPr>
                <w:b/>
                <w:bCs/>
                <w:szCs w:val="24"/>
              </w:rPr>
              <w:instrText>":"</w:instrText>
            </w:r>
            <w:r w:rsidR="00053AE8">
              <w:rPr>
                <w:b/>
                <w:bCs/>
                <w:szCs w:val="24"/>
                <w:lang w:val="en-US"/>
              </w:rPr>
              <w:instrText>G</w:instrText>
            </w:r>
            <w:r w:rsidR="00053AE8" w:rsidRPr="002B3AE7">
              <w:rPr>
                <w:b/>
                <w:bCs/>
                <w:szCs w:val="24"/>
              </w:rPr>
              <w:instrText xml:space="preserve"> </w:instrText>
            </w:r>
            <w:r w:rsidR="00053AE8">
              <w:rPr>
                <w:b/>
                <w:bCs/>
                <w:szCs w:val="24"/>
                <w:lang w:val="en-US"/>
              </w:rPr>
              <w:instrText>L</w:instrText>
            </w:r>
            <w:r w:rsidR="00053AE8" w:rsidRPr="002B3AE7">
              <w:rPr>
                <w:b/>
                <w:bCs/>
                <w:szCs w:val="24"/>
              </w:rPr>
              <w:instrText>","</w:instrText>
            </w:r>
            <w:r w:rsidR="00053AE8">
              <w:rPr>
                <w:b/>
                <w:bCs/>
                <w:szCs w:val="24"/>
                <w:lang w:val="en-US"/>
              </w:rPr>
              <w:instrText>non</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parse</w:instrText>
            </w:r>
            <w:r w:rsidR="00053AE8" w:rsidRPr="002B3AE7">
              <w:rPr>
                <w:b/>
                <w:bCs/>
                <w:szCs w:val="24"/>
              </w:rPr>
              <w:instrText>-</w:instrText>
            </w:r>
            <w:r w:rsidR="00053AE8">
              <w:rPr>
                <w:b/>
                <w:bCs/>
                <w:szCs w:val="24"/>
                <w:lang w:val="en-US"/>
              </w:rPr>
              <w:instrText>names</w:instrText>
            </w:r>
            <w:r w:rsidR="00053AE8" w:rsidRPr="002B3AE7">
              <w:rPr>
                <w:b/>
                <w:bCs/>
                <w:szCs w:val="24"/>
              </w:rPr>
              <w:instrText>":</w:instrText>
            </w:r>
            <w:r w:rsidR="00053AE8">
              <w:rPr>
                <w:b/>
                <w:bCs/>
                <w:szCs w:val="24"/>
                <w:lang w:val="en-US"/>
              </w:rPr>
              <w:instrText>false</w:instrText>
            </w:r>
            <w:r w:rsidR="00053AE8" w:rsidRPr="002B3AE7">
              <w:rPr>
                <w:b/>
                <w:bCs/>
                <w:szCs w:val="24"/>
              </w:rPr>
              <w:instrText>,"</w:instrText>
            </w:r>
            <w:r w:rsidR="00053AE8">
              <w:rPr>
                <w:b/>
                <w:bCs/>
                <w:szCs w:val="24"/>
                <w:lang w:val="en-US"/>
              </w:rPr>
              <w:instrText>suffix</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family</w:instrText>
            </w:r>
            <w:r w:rsidR="00053AE8" w:rsidRPr="002B3AE7">
              <w:rPr>
                <w:b/>
                <w:bCs/>
                <w:szCs w:val="24"/>
              </w:rPr>
              <w:instrText>":"</w:instrText>
            </w:r>
            <w:r w:rsidR="00053AE8">
              <w:rPr>
                <w:b/>
                <w:bCs/>
                <w:szCs w:val="24"/>
                <w:lang w:val="en-US"/>
              </w:rPr>
              <w:instrText>Resegotti</w:instrText>
            </w:r>
            <w:r w:rsidR="00053AE8" w:rsidRPr="002B3AE7">
              <w:rPr>
                <w:b/>
                <w:bCs/>
                <w:szCs w:val="24"/>
              </w:rPr>
              <w:instrText>","</w:instrText>
            </w:r>
            <w:r w:rsidR="00053AE8">
              <w:rPr>
                <w:b/>
                <w:bCs/>
                <w:szCs w:val="24"/>
                <w:lang w:val="en-US"/>
              </w:rPr>
              <w:instrText>given</w:instrText>
            </w:r>
            <w:r w:rsidR="00053AE8" w:rsidRPr="002B3AE7">
              <w:rPr>
                <w:b/>
                <w:bCs/>
                <w:szCs w:val="24"/>
              </w:rPr>
              <w:instrText>":"</w:instrText>
            </w:r>
            <w:r w:rsidR="00053AE8">
              <w:rPr>
                <w:b/>
                <w:bCs/>
                <w:szCs w:val="24"/>
                <w:lang w:val="en-US"/>
              </w:rPr>
              <w:instrText>L</w:instrText>
            </w:r>
            <w:r w:rsidR="00053AE8" w:rsidRPr="002B3AE7">
              <w:rPr>
                <w:b/>
                <w:bCs/>
                <w:szCs w:val="24"/>
              </w:rPr>
              <w:instrText>","</w:instrText>
            </w:r>
            <w:r w:rsidR="00053AE8">
              <w:rPr>
                <w:b/>
                <w:bCs/>
                <w:szCs w:val="24"/>
                <w:lang w:val="en-US"/>
              </w:rPr>
              <w:instrText>non</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parse</w:instrText>
            </w:r>
            <w:r w:rsidR="00053AE8" w:rsidRPr="002B3AE7">
              <w:rPr>
                <w:b/>
                <w:bCs/>
                <w:szCs w:val="24"/>
              </w:rPr>
              <w:instrText>-</w:instrText>
            </w:r>
            <w:r w:rsidR="00053AE8">
              <w:rPr>
                <w:b/>
                <w:bCs/>
                <w:szCs w:val="24"/>
                <w:lang w:val="en-US"/>
              </w:rPr>
              <w:instrText>names</w:instrText>
            </w:r>
            <w:r w:rsidR="00053AE8" w:rsidRPr="002B3AE7">
              <w:rPr>
                <w:b/>
                <w:bCs/>
                <w:szCs w:val="24"/>
              </w:rPr>
              <w:instrText>":</w:instrText>
            </w:r>
            <w:r w:rsidR="00053AE8">
              <w:rPr>
                <w:b/>
                <w:bCs/>
                <w:szCs w:val="24"/>
                <w:lang w:val="en-US"/>
              </w:rPr>
              <w:instrText>false</w:instrText>
            </w:r>
            <w:r w:rsidR="00053AE8" w:rsidRPr="002B3AE7">
              <w:rPr>
                <w:b/>
                <w:bCs/>
                <w:szCs w:val="24"/>
              </w:rPr>
              <w:instrText>,"</w:instrText>
            </w:r>
            <w:r w:rsidR="00053AE8">
              <w:rPr>
                <w:b/>
                <w:bCs/>
                <w:szCs w:val="24"/>
                <w:lang w:val="en-US"/>
              </w:rPr>
              <w:instrText>suffix</w:instrText>
            </w:r>
            <w:r w:rsidR="00053AE8" w:rsidRPr="002B3AE7">
              <w:rPr>
                <w:b/>
                <w:bCs/>
                <w:szCs w:val="24"/>
              </w:rPr>
              <w:instrText>":""}],"</w:instrText>
            </w:r>
            <w:r w:rsidR="00053AE8">
              <w:rPr>
                <w:b/>
                <w:bCs/>
                <w:szCs w:val="24"/>
                <w:lang w:val="en-US"/>
              </w:rPr>
              <w:instrText>container</w:instrText>
            </w:r>
            <w:r w:rsidR="00053AE8" w:rsidRPr="002B3AE7">
              <w:rPr>
                <w:b/>
                <w:bCs/>
                <w:szCs w:val="24"/>
              </w:rPr>
              <w:instrText>-</w:instrText>
            </w:r>
            <w:r w:rsidR="00053AE8">
              <w:rPr>
                <w:b/>
                <w:bCs/>
                <w:szCs w:val="24"/>
                <w:lang w:val="en-US"/>
              </w:rPr>
              <w:instrText>title</w:instrText>
            </w:r>
            <w:r w:rsidR="00053AE8" w:rsidRPr="002B3AE7">
              <w:rPr>
                <w:b/>
                <w:bCs/>
                <w:szCs w:val="24"/>
              </w:rPr>
              <w:instrText>":"</w:instrText>
            </w:r>
            <w:r w:rsidR="00053AE8">
              <w:rPr>
                <w:b/>
                <w:bCs/>
                <w:szCs w:val="24"/>
                <w:lang w:val="en-US"/>
              </w:rPr>
              <w:instrText>Haematologica</w:instrText>
            </w:r>
            <w:r w:rsidR="00053AE8" w:rsidRPr="002B3AE7">
              <w:rPr>
                <w:b/>
                <w:bCs/>
                <w:szCs w:val="24"/>
              </w:rPr>
              <w:instrText>","</w:instrText>
            </w:r>
            <w:r w:rsidR="00053AE8">
              <w:rPr>
                <w:b/>
                <w:bCs/>
                <w:szCs w:val="24"/>
                <w:lang w:val="en-US"/>
              </w:rPr>
              <w:instrText>id</w:instrText>
            </w:r>
            <w:r w:rsidR="00053AE8" w:rsidRPr="002B3AE7">
              <w:rPr>
                <w:b/>
                <w:bCs/>
                <w:szCs w:val="24"/>
              </w:rPr>
              <w:instrText>":"</w:instrText>
            </w:r>
            <w:r w:rsidR="00053AE8">
              <w:rPr>
                <w:b/>
                <w:bCs/>
                <w:szCs w:val="24"/>
                <w:lang w:val="en-US"/>
              </w:rPr>
              <w:instrText>ITEM</w:instrText>
            </w:r>
            <w:r w:rsidR="00053AE8" w:rsidRPr="002B3AE7">
              <w:rPr>
                <w:b/>
                <w:bCs/>
                <w:szCs w:val="24"/>
              </w:rPr>
              <w:instrText>-1","</w:instrText>
            </w:r>
            <w:r w:rsidR="00053AE8">
              <w:rPr>
                <w:b/>
                <w:bCs/>
                <w:szCs w:val="24"/>
                <w:lang w:val="en-US"/>
              </w:rPr>
              <w:instrText>issue</w:instrText>
            </w:r>
            <w:r w:rsidR="00053AE8" w:rsidRPr="002B3AE7">
              <w:rPr>
                <w:b/>
                <w:bCs/>
                <w:szCs w:val="24"/>
              </w:rPr>
              <w:instrText>":"5","</w:instrText>
            </w:r>
            <w:r w:rsidR="00053AE8">
              <w:rPr>
                <w:b/>
                <w:bCs/>
                <w:szCs w:val="24"/>
                <w:lang w:val="en-US"/>
              </w:rPr>
              <w:instrText>issued</w:instrText>
            </w:r>
            <w:r w:rsidR="00053AE8" w:rsidRPr="002B3AE7">
              <w:rPr>
                <w:b/>
                <w:bCs/>
                <w:szCs w:val="24"/>
              </w:rPr>
              <w:instrText>":{"</w:instrText>
            </w:r>
            <w:r w:rsidR="00053AE8">
              <w:rPr>
                <w:b/>
                <w:bCs/>
                <w:szCs w:val="24"/>
                <w:lang w:val="en-US"/>
              </w:rPr>
              <w:instrText>date</w:instrText>
            </w:r>
            <w:r w:rsidR="00053AE8" w:rsidRPr="002B3AE7">
              <w:rPr>
                <w:b/>
                <w:bCs/>
                <w:szCs w:val="24"/>
              </w:rPr>
              <w:instrText>-</w:instrText>
            </w:r>
            <w:r w:rsidR="00053AE8">
              <w:rPr>
                <w:b/>
                <w:bCs/>
                <w:szCs w:val="24"/>
                <w:lang w:val="en-US"/>
              </w:rPr>
              <w:instrText>parts</w:instrText>
            </w:r>
            <w:r w:rsidR="00053AE8" w:rsidRPr="002B3AE7">
              <w:rPr>
                <w:b/>
                <w:bCs/>
                <w:szCs w:val="24"/>
              </w:rPr>
              <w:instrText>":[["0"]]},"</w:instrText>
            </w:r>
            <w:r w:rsidR="00053AE8">
              <w:rPr>
                <w:b/>
                <w:bCs/>
                <w:szCs w:val="24"/>
                <w:lang w:val="en-US"/>
              </w:rPr>
              <w:instrText>page</w:instrText>
            </w:r>
            <w:r w:rsidR="00053AE8" w:rsidRPr="002B3AE7">
              <w:rPr>
                <w:b/>
                <w:bCs/>
                <w:szCs w:val="24"/>
              </w:rPr>
              <w:instrText>":"450-6","</w:instrText>
            </w:r>
            <w:r w:rsidR="00053AE8">
              <w:rPr>
                <w:b/>
                <w:bCs/>
                <w:szCs w:val="24"/>
                <w:lang w:val="en-US"/>
              </w:rPr>
              <w:instrText>title</w:instrText>
            </w:r>
            <w:r w:rsidR="00053AE8" w:rsidRPr="002B3AE7">
              <w:rPr>
                <w:b/>
                <w:bCs/>
                <w:szCs w:val="24"/>
              </w:rPr>
              <w:instrText>":"</w:instrText>
            </w:r>
            <w:r w:rsidR="00053AE8">
              <w:rPr>
                <w:b/>
                <w:bCs/>
                <w:szCs w:val="24"/>
                <w:lang w:val="en-US"/>
              </w:rPr>
              <w:instrText>Results</w:instrText>
            </w:r>
            <w:r w:rsidR="00053AE8" w:rsidRPr="002B3AE7">
              <w:rPr>
                <w:b/>
                <w:bCs/>
                <w:szCs w:val="24"/>
              </w:rPr>
              <w:instrText xml:space="preserve"> </w:instrText>
            </w:r>
            <w:r w:rsidR="00053AE8">
              <w:rPr>
                <w:b/>
                <w:bCs/>
                <w:szCs w:val="24"/>
                <w:lang w:val="en-US"/>
              </w:rPr>
              <w:instrText>of</w:instrText>
            </w:r>
            <w:r w:rsidR="00053AE8" w:rsidRPr="002B3AE7">
              <w:rPr>
                <w:b/>
                <w:bCs/>
                <w:szCs w:val="24"/>
              </w:rPr>
              <w:instrText xml:space="preserve"> </w:instrText>
            </w:r>
            <w:r w:rsidR="00053AE8">
              <w:rPr>
                <w:b/>
                <w:bCs/>
                <w:szCs w:val="24"/>
                <w:lang w:val="en-US"/>
              </w:rPr>
              <w:instrText>a</w:instrText>
            </w:r>
            <w:r w:rsidR="00053AE8" w:rsidRPr="002B3AE7">
              <w:rPr>
                <w:b/>
                <w:bCs/>
                <w:szCs w:val="24"/>
              </w:rPr>
              <w:instrText xml:space="preserve"> </w:instrText>
            </w:r>
            <w:r w:rsidR="00053AE8">
              <w:rPr>
                <w:b/>
                <w:bCs/>
                <w:szCs w:val="24"/>
                <w:lang w:val="en-US"/>
              </w:rPr>
              <w:instrText>low</w:instrText>
            </w:r>
            <w:r w:rsidR="00053AE8" w:rsidRPr="002B3AE7">
              <w:rPr>
                <w:b/>
                <w:bCs/>
                <w:szCs w:val="24"/>
              </w:rPr>
              <w:instrText xml:space="preserve"> </w:instrText>
            </w:r>
            <w:r w:rsidR="00053AE8">
              <w:rPr>
                <w:b/>
                <w:bCs/>
                <w:szCs w:val="24"/>
                <w:lang w:val="en-US"/>
              </w:rPr>
              <w:instrText>aggressivity</w:instrText>
            </w:r>
            <w:r w:rsidR="00053AE8" w:rsidRPr="002B3AE7">
              <w:rPr>
                <w:b/>
                <w:bCs/>
                <w:szCs w:val="24"/>
              </w:rPr>
              <w:instrText xml:space="preserve"> </w:instrText>
            </w:r>
            <w:r w:rsidR="00053AE8">
              <w:rPr>
                <w:b/>
                <w:bCs/>
                <w:szCs w:val="24"/>
                <w:lang w:val="en-US"/>
              </w:rPr>
              <w:instrText>chemotherapy</w:instrText>
            </w:r>
            <w:r w:rsidR="00053AE8" w:rsidRPr="002B3AE7">
              <w:rPr>
                <w:b/>
                <w:bCs/>
                <w:szCs w:val="24"/>
              </w:rPr>
              <w:instrText xml:space="preserve"> </w:instrText>
            </w:r>
            <w:r w:rsidR="00053AE8">
              <w:rPr>
                <w:b/>
                <w:bCs/>
                <w:szCs w:val="24"/>
                <w:lang w:val="en-US"/>
              </w:rPr>
              <w:instrText>regimen</w:instrText>
            </w:r>
            <w:r w:rsidR="00053AE8" w:rsidRPr="002B3AE7">
              <w:rPr>
                <w:b/>
                <w:bCs/>
                <w:szCs w:val="24"/>
              </w:rPr>
              <w:instrText xml:space="preserve"> (</w:instrText>
            </w:r>
            <w:r w:rsidR="00053AE8">
              <w:rPr>
                <w:b/>
                <w:bCs/>
                <w:szCs w:val="24"/>
                <w:lang w:val="en-US"/>
              </w:rPr>
              <w:instrText>CVP</w:instrText>
            </w:r>
            <w:r w:rsidR="00053AE8" w:rsidRPr="002B3AE7">
              <w:rPr>
                <w:b/>
                <w:bCs/>
                <w:szCs w:val="24"/>
              </w:rPr>
              <w:instrText>/</w:instrText>
            </w:r>
            <w:r w:rsidR="00053AE8">
              <w:rPr>
                <w:b/>
                <w:bCs/>
                <w:szCs w:val="24"/>
                <w:lang w:val="en-US"/>
              </w:rPr>
              <w:instrText>CEB</w:instrText>
            </w:r>
            <w:r w:rsidR="00053AE8" w:rsidRPr="002B3AE7">
              <w:rPr>
                <w:b/>
                <w:bCs/>
                <w:szCs w:val="24"/>
              </w:rPr>
              <w:instrText xml:space="preserve">) </w:instrText>
            </w:r>
            <w:r w:rsidR="00053AE8">
              <w:rPr>
                <w:b/>
                <w:bCs/>
                <w:szCs w:val="24"/>
                <w:lang w:val="en-US"/>
              </w:rPr>
              <w:instrText>in</w:instrText>
            </w:r>
            <w:r w:rsidR="00053AE8" w:rsidRPr="002B3AE7">
              <w:rPr>
                <w:b/>
                <w:bCs/>
                <w:szCs w:val="24"/>
              </w:rPr>
              <w:instrText xml:space="preserve"> </w:instrText>
            </w:r>
            <w:r w:rsidR="00053AE8">
              <w:rPr>
                <w:b/>
                <w:bCs/>
                <w:szCs w:val="24"/>
                <w:lang w:val="en-US"/>
              </w:rPr>
              <w:instrText>elderly</w:instrText>
            </w:r>
            <w:r w:rsidR="00053AE8" w:rsidRPr="002B3AE7">
              <w:rPr>
                <w:b/>
                <w:bCs/>
                <w:szCs w:val="24"/>
              </w:rPr>
              <w:instrText xml:space="preserve"> </w:instrText>
            </w:r>
            <w:r w:rsidR="00053AE8">
              <w:rPr>
                <w:b/>
                <w:bCs/>
                <w:szCs w:val="24"/>
                <w:lang w:val="en-US"/>
              </w:rPr>
              <w:instrText>Hodgkin</w:instrText>
            </w:r>
            <w:r w:rsidR="00053AE8" w:rsidRPr="002B3AE7">
              <w:rPr>
                <w:b/>
                <w:bCs/>
                <w:szCs w:val="24"/>
              </w:rPr>
              <w:instrText>'</w:instrText>
            </w:r>
            <w:r w:rsidR="00053AE8">
              <w:rPr>
                <w:b/>
                <w:bCs/>
                <w:szCs w:val="24"/>
                <w:lang w:val="en-US"/>
              </w:rPr>
              <w:instrText>s</w:instrText>
            </w:r>
            <w:r w:rsidR="00053AE8" w:rsidRPr="002B3AE7">
              <w:rPr>
                <w:b/>
                <w:bCs/>
                <w:szCs w:val="24"/>
              </w:rPr>
              <w:instrText xml:space="preserve"> </w:instrText>
            </w:r>
            <w:r w:rsidR="00053AE8">
              <w:rPr>
                <w:b/>
                <w:bCs/>
                <w:szCs w:val="24"/>
                <w:lang w:val="en-US"/>
              </w:rPr>
              <w:instrText>disease</w:instrText>
            </w:r>
            <w:r w:rsidR="00053AE8" w:rsidRPr="002B3AE7">
              <w:rPr>
                <w:b/>
                <w:bCs/>
                <w:szCs w:val="24"/>
              </w:rPr>
              <w:instrText xml:space="preserve"> </w:instrText>
            </w:r>
            <w:r w:rsidR="00053AE8">
              <w:rPr>
                <w:b/>
                <w:bCs/>
                <w:szCs w:val="24"/>
                <w:lang w:val="en-US"/>
              </w:rPr>
              <w:instrText>patients</w:instrText>
            </w:r>
            <w:r w:rsidR="00053AE8" w:rsidRPr="002B3AE7">
              <w:rPr>
                <w:b/>
                <w:bCs/>
                <w:szCs w:val="24"/>
              </w:rPr>
              <w:instrText>.","</w:instrText>
            </w:r>
            <w:r w:rsidR="00053AE8">
              <w:rPr>
                <w:b/>
                <w:bCs/>
                <w:szCs w:val="24"/>
                <w:lang w:val="en-US"/>
              </w:rPr>
              <w:instrText>type</w:instrText>
            </w:r>
            <w:r w:rsidR="00053AE8" w:rsidRPr="002B3AE7">
              <w:rPr>
                <w:b/>
                <w:bCs/>
                <w:szCs w:val="24"/>
              </w:rPr>
              <w:instrText>":"</w:instrText>
            </w:r>
            <w:r w:rsidR="00053AE8">
              <w:rPr>
                <w:b/>
                <w:bCs/>
                <w:szCs w:val="24"/>
                <w:lang w:val="en-US"/>
              </w:rPr>
              <w:instrText>article</w:instrText>
            </w:r>
            <w:r w:rsidR="00053AE8" w:rsidRPr="002B3AE7">
              <w:rPr>
                <w:b/>
                <w:bCs/>
                <w:szCs w:val="24"/>
              </w:rPr>
              <w:instrText>-</w:instrText>
            </w:r>
            <w:r w:rsidR="00053AE8">
              <w:rPr>
                <w:b/>
                <w:bCs/>
                <w:szCs w:val="24"/>
                <w:lang w:val="en-US"/>
              </w:rPr>
              <w:instrText>journal</w:instrText>
            </w:r>
            <w:r w:rsidR="00053AE8" w:rsidRPr="002B3AE7">
              <w:rPr>
                <w:b/>
                <w:bCs/>
                <w:szCs w:val="24"/>
              </w:rPr>
              <w:instrText>","</w:instrText>
            </w:r>
            <w:r w:rsidR="00053AE8">
              <w:rPr>
                <w:b/>
                <w:bCs/>
                <w:szCs w:val="24"/>
                <w:lang w:val="en-US"/>
              </w:rPr>
              <w:instrText>volume</w:instrText>
            </w:r>
            <w:r w:rsidR="00053AE8" w:rsidRPr="002B3AE7">
              <w:rPr>
                <w:b/>
                <w:bCs/>
                <w:szCs w:val="24"/>
              </w:rPr>
              <w:instrText>":"81"},"</w:instrText>
            </w:r>
            <w:r w:rsidR="00053AE8">
              <w:rPr>
                <w:b/>
                <w:bCs/>
                <w:szCs w:val="24"/>
                <w:lang w:val="en-US"/>
              </w:rPr>
              <w:instrText>uris</w:instrText>
            </w:r>
            <w:r w:rsidR="00053AE8" w:rsidRPr="002B3AE7">
              <w:rPr>
                <w:b/>
                <w:bCs/>
                <w:szCs w:val="24"/>
              </w:rPr>
              <w:instrText>":["</w:instrText>
            </w:r>
            <w:r w:rsidR="00053AE8">
              <w:rPr>
                <w:b/>
                <w:bCs/>
                <w:szCs w:val="24"/>
                <w:lang w:val="en-US"/>
              </w:rPr>
              <w:instrText>http</w:instrText>
            </w:r>
            <w:r w:rsidR="00053AE8" w:rsidRPr="002B3AE7">
              <w:rPr>
                <w:b/>
                <w:bCs/>
                <w:szCs w:val="24"/>
              </w:rPr>
              <w:instrText>://</w:instrText>
            </w:r>
            <w:r w:rsidR="00053AE8">
              <w:rPr>
                <w:b/>
                <w:bCs/>
                <w:szCs w:val="24"/>
                <w:lang w:val="en-US"/>
              </w:rPr>
              <w:instrText>www</w:instrText>
            </w:r>
            <w:r w:rsidR="00053AE8" w:rsidRPr="002B3AE7">
              <w:rPr>
                <w:b/>
                <w:bCs/>
                <w:szCs w:val="24"/>
              </w:rPr>
              <w:instrText>.</w:instrText>
            </w:r>
            <w:r w:rsidR="00053AE8">
              <w:rPr>
                <w:b/>
                <w:bCs/>
                <w:szCs w:val="24"/>
                <w:lang w:val="en-US"/>
              </w:rPr>
              <w:instrText>mendeley</w:instrText>
            </w:r>
            <w:r w:rsidR="00053AE8" w:rsidRPr="002B3AE7">
              <w:rPr>
                <w:b/>
                <w:bCs/>
                <w:szCs w:val="24"/>
              </w:rPr>
              <w:instrText>.</w:instrText>
            </w:r>
            <w:r w:rsidR="00053AE8">
              <w:rPr>
                <w:b/>
                <w:bCs/>
                <w:szCs w:val="24"/>
                <w:lang w:val="en-US"/>
              </w:rPr>
              <w:instrText>com</w:instrText>
            </w:r>
            <w:r w:rsidR="00053AE8" w:rsidRPr="002B3AE7">
              <w:rPr>
                <w:b/>
                <w:bCs/>
                <w:szCs w:val="24"/>
              </w:rPr>
              <w:instrText>/</w:instrText>
            </w:r>
            <w:r w:rsidR="00053AE8">
              <w:rPr>
                <w:b/>
                <w:bCs/>
                <w:szCs w:val="24"/>
                <w:lang w:val="en-US"/>
              </w:rPr>
              <w:instrText>documents</w:instrText>
            </w:r>
            <w:r w:rsidR="00053AE8" w:rsidRPr="002B3AE7">
              <w:rPr>
                <w:b/>
                <w:bCs/>
                <w:szCs w:val="24"/>
              </w:rPr>
              <w:instrText>/?</w:instrText>
            </w:r>
            <w:r w:rsidR="00053AE8">
              <w:rPr>
                <w:b/>
                <w:bCs/>
                <w:szCs w:val="24"/>
                <w:lang w:val="en-US"/>
              </w:rPr>
              <w:instrText>uuid</w:instrText>
            </w:r>
            <w:r w:rsidR="00053AE8" w:rsidRPr="002B3AE7">
              <w:rPr>
                <w:b/>
                <w:bCs/>
                <w:szCs w:val="24"/>
              </w:rPr>
              <w:instrText>=9</w:instrText>
            </w:r>
            <w:r w:rsidR="00053AE8">
              <w:rPr>
                <w:b/>
                <w:bCs/>
                <w:szCs w:val="24"/>
                <w:lang w:val="en-US"/>
              </w:rPr>
              <w:instrText>e</w:instrText>
            </w:r>
            <w:r w:rsidR="00053AE8" w:rsidRPr="002B3AE7">
              <w:rPr>
                <w:b/>
                <w:bCs/>
                <w:szCs w:val="24"/>
              </w:rPr>
              <w:instrText>8113</w:instrText>
            </w:r>
            <w:r w:rsidR="00053AE8">
              <w:rPr>
                <w:b/>
                <w:bCs/>
                <w:szCs w:val="24"/>
                <w:lang w:val="en-US"/>
              </w:rPr>
              <w:instrText>b</w:instrText>
            </w:r>
            <w:r w:rsidR="00053AE8" w:rsidRPr="002B3AE7">
              <w:rPr>
                <w:b/>
                <w:bCs/>
                <w:szCs w:val="24"/>
              </w:rPr>
              <w:instrText>2-3</w:instrText>
            </w:r>
            <w:r w:rsidR="00053AE8">
              <w:rPr>
                <w:b/>
                <w:bCs/>
                <w:szCs w:val="24"/>
                <w:lang w:val="en-US"/>
              </w:rPr>
              <w:instrText>e</w:instrText>
            </w:r>
            <w:r w:rsidR="00053AE8" w:rsidRPr="002B3AE7">
              <w:rPr>
                <w:b/>
                <w:bCs/>
                <w:szCs w:val="24"/>
              </w:rPr>
              <w:instrText>9</w:instrText>
            </w:r>
            <w:r w:rsidR="00053AE8">
              <w:rPr>
                <w:b/>
                <w:bCs/>
                <w:szCs w:val="24"/>
                <w:lang w:val="en-US"/>
              </w:rPr>
              <w:instrText>b</w:instrText>
            </w:r>
            <w:r w:rsidR="00053AE8" w:rsidRPr="002B3AE7">
              <w:rPr>
                <w:b/>
                <w:bCs/>
                <w:szCs w:val="24"/>
              </w:rPr>
              <w:instrText>-32</w:instrText>
            </w:r>
            <w:r w:rsidR="00053AE8">
              <w:rPr>
                <w:b/>
                <w:bCs/>
                <w:szCs w:val="24"/>
                <w:lang w:val="en-US"/>
              </w:rPr>
              <w:instrText>d</w:instrText>
            </w:r>
            <w:r w:rsidR="00053AE8" w:rsidRPr="002B3AE7">
              <w:rPr>
                <w:b/>
                <w:bCs/>
                <w:szCs w:val="24"/>
              </w:rPr>
              <w:instrText>7-817</w:instrText>
            </w:r>
            <w:r w:rsidR="00053AE8">
              <w:rPr>
                <w:b/>
                <w:bCs/>
                <w:szCs w:val="24"/>
                <w:lang w:val="en-US"/>
              </w:rPr>
              <w:instrText>d</w:instrText>
            </w:r>
            <w:r w:rsidR="00053AE8" w:rsidRPr="002B3AE7">
              <w:rPr>
                <w:b/>
                <w:bCs/>
                <w:szCs w:val="24"/>
              </w:rPr>
              <w:instrText>-</w:instrText>
            </w:r>
            <w:r w:rsidR="00053AE8">
              <w:rPr>
                <w:b/>
                <w:bCs/>
                <w:szCs w:val="24"/>
                <w:lang w:val="en-US"/>
              </w:rPr>
              <w:instrText>e</w:instrText>
            </w:r>
            <w:r w:rsidR="00053AE8" w:rsidRPr="002B3AE7">
              <w:rPr>
                <w:b/>
                <w:bCs/>
                <w:szCs w:val="24"/>
              </w:rPr>
              <w:instrText>1</w:instrText>
            </w:r>
            <w:r w:rsidR="00053AE8">
              <w:rPr>
                <w:b/>
                <w:bCs/>
                <w:szCs w:val="24"/>
                <w:lang w:val="en-US"/>
              </w:rPr>
              <w:instrText>b</w:instrText>
            </w:r>
            <w:r w:rsidR="00053AE8" w:rsidRPr="002B3AE7">
              <w:rPr>
                <w:b/>
                <w:bCs/>
                <w:szCs w:val="24"/>
              </w:rPr>
              <w:instrText>6</w:instrText>
            </w:r>
            <w:r w:rsidR="00053AE8">
              <w:rPr>
                <w:b/>
                <w:bCs/>
                <w:szCs w:val="24"/>
                <w:lang w:val="en-US"/>
              </w:rPr>
              <w:instrText>ee</w:instrText>
            </w:r>
            <w:r w:rsidR="00053AE8" w:rsidRPr="002B3AE7">
              <w:rPr>
                <w:b/>
                <w:bCs/>
                <w:szCs w:val="24"/>
              </w:rPr>
              <w:instrText>5</w:instrText>
            </w:r>
            <w:r w:rsidR="00053AE8">
              <w:rPr>
                <w:b/>
                <w:bCs/>
                <w:szCs w:val="24"/>
                <w:lang w:val="en-US"/>
              </w:rPr>
              <w:instrText>d</w:instrText>
            </w:r>
            <w:r w:rsidR="00053AE8" w:rsidRPr="002B3AE7">
              <w:rPr>
                <w:b/>
                <w:bCs/>
                <w:szCs w:val="24"/>
              </w:rPr>
              <w:instrText>1</w:instrText>
            </w:r>
            <w:r w:rsidR="00053AE8">
              <w:rPr>
                <w:b/>
                <w:bCs/>
                <w:szCs w:val="24"/>
                <w:lang w:val="en-US"/>
              </w:rPr>
              <w:instrText>dd</w:instrText>
            </w:r>
            <w:r w:rsidR="00053AE8" w:rsidRPr="002B3AE7">
              <w:rPr>
                <w:b/>
                <w:bCs/>
                <w:szCs w:val="24"/>
              </w:rPr>
              <w:instrText>0"]}],"</w:instrText>
            </w:r>
            <w:r w:rsidR="00053AE8">
              <w:rPr>
                <w:b/>
                <w:bCs/>
                <w:szCs w:val="24"/>
                <w:lang w:val="en-US"/>
              </w:rPr>
              <w:instrText>mendeley</w:instrText>
            </w:r>
            <w:r w:rsidR="00053AE8" w:rsidRPr="002B3AE7">
              <w:rPr>
                <w:b/>
                <w:bCs/>
                <w:szCs w:val="24"/>
              </w:rPr>
              <w:instrText>":{"</w:instrText>
            </w:r>
            <w:r w:rsidR="00053AE8">
              <w:rPr>
                <w:b/>
                <w:bCs/>
                <w:szCs w:val="24"/>
                <w:lang w:val="en-US"/>
              </w:rPr>
              <w:instrText>formattedCitation</w:instrText>
            </w:r>
            <w:r w:rsidR="00053AE8" w:rsidRPr="002B3AE7">
              <w:rPr>
                <w:b/>
                <w:bCs/>
                <w:szCs w:val="24"/>
              </w:rPr>
              <w:instrText>":"[128]","</w:instrText>
            </w:r>
            <w:r w:rsidR="00053AE8">
              <w:rPr>
                <w:b/>
                <w:bCs/>
                <w:szCs w:val="24"/>
                <w:lang w:val="en-US"/>
              </w:rPr>
              <w:instrText>plainTextFormattedCitation</w:instrText>
            </w:r>
            <w:r w:rsidR="00053AE8" w:rsidRPr="002B3AE7">
              <w:rPr>
                <w:b/>
                <w:bCs/>
                <w:szCs w:val="24"/>
              </w:rPr>
              <w:instrText>":"[128]","</w:instrText>
            </w:r>
            <w:r w:rsidR="00053AE8">
              <w:rPr>
                <w:b/>
                <w:bCs/>
                <w:szCs w:val="24"/>
                <w:lang w:val="en-US"/>
              </w:rPr>
              <w:instrText>previouslyFormattedCitation</w:instrText>
            </w:r>
            <w:r w:rsidR="00053AE8" w:rsidRPr="002B3AE7">
              <w:rPr>
                <w:b/>
                <w:bCs/>
                <w:szCs w:val="24"/>
              </w:rPr>
              <w:instrText>":"[128]"},"</w:instrText>
            </w:r>
            <w:r w:rsidR="00053AE8">
              <w:rPr>
                <w:b/>
                <w:bCs/>
                <w:szCs w:val="24"/>
                <w:lang w:val="en-US"/>
              </w:rPr>
              <w:instrText>properties</w:instrText>
            </w:r>
            <w:r w:rsidR="00053AE8" w:rsidRPr="002B3AE7">
              <w:rPr>
                <w:b/>
                <w:bCs/>
                <w:szCs w:val="24"/>
              </w:rPr>
              <w:instrText>":{"</w:instrText>
            </w:r>
            <w:r w:rsidR="00053AE8">
              <w:rPr>
                <w:b/>
                <w:bCs/>
                <w:szCs w:val="24"/>
                <w:lang w:val="en-US"/>
              </w:rPr>
              <w:instrText>noteIndex</w:instrText>
            </w:r>
            <w:r w:rsidR="00053AE8" w:rsidRPr="002B3AE7">
              <w:rPr>
                <w:b/>
                <w:bCs/>
                <w:szCs w:val="24"/>
              </w:rPr>
              <w:instrText>":0},"</w:instrText>
            </w:r>
            <w:r w:rsidR="00053AE8">
              <w:rPr>
                <w:b/>
                <w:bCs/>
                <w:szCs w:val="24"/>
                <w:lang w:val="en-US"/>
              </w:rPr>
              <w:instrText>schema</w:instrText>
            </w:r>
            <w:r w:rsidR="00053AE8" w:rsidRPr="002B3AE7">
              <w:rPr>
                <w:b/>
                <w:bCs/>
                <w:szCs w:val="24"/>
              </w:rPr>
              <w:instrText>":"</w:instrText>
            </w:r>
            <w:r w:rsidR="00053AE8">
              <w:rPr>
                <w:b/>
                <w:bCs/>
                <w:szCs w:val="24"/>
                <w:lang w:val="en-US"/>
              </w:rPr>
              <w:instrText>https</w:instrText>
            </w:r>
            <w:r w:rsidR="00053AE8" w:rsidRPr="002B3AE7">
              <w:rPr>
                <w:b/>
                <w:bCs/>
                <w:szCs w:val="24"/>
              </w:rPr>
              <w:instrText>://</w:instrText>
            </w:r>
            <w:r w:rsidR="00053AE8">
              <w:rPr>
                <w:b/>
                <w:bCs/>
                <w:szCs w:val="24"/>
                <w:lang w:val="en-US"/>
              </w:rPr>
              <w:instrText>github</w:instrText>
            </w:r>
            <w:r w:rsidR="00053AE8" w:rsidRPr="002B3AE7">
              <w:rPr>
                <w:b/>
                <w:bCs/>
                <w:szCs w:val="24"/>
              </w:rPr>
              <w:instrText>.</w:instrText>
            </w:r>
            <w:r w:rsidR="00053AE8">
              <w:rPr>
                <w:b/>
                <w:bCs/>
                <w:szCs w:val="24"/>
                <w:lang w:val="en-US"/>
              </w:rPr>
              <w:instrText>com</w:instrText>
            </w:r>
            <w:r w:rsidR="00053AE8" w:rsidRPr="002B3AE7">
              <w:rPr>
                <w:b/>
                <w:bCs/>
                <w:szCs w:val="24"/>
              </w:rPr>
              <w:instrText>/</w:instrText>
            </w:r>
            <w:r w:rsidR="00053AE8">
              <w:rPr>
                <w:b/>
                <w:bCs/>
                <w:szCs w:val="24"/>
                <w:lang w:val="en-US"/>
              </w:rPr>
              <w:instrText>citation</w:instrText>
            </w:r>
            <w:r w:rsidR="00053AE8" w:rsidRPr="002B3AE7">
              <w:rPr>
                <w:b/>
                <w:bCs/>
                <w:szCs w:val="24"/>
              </w:rPr>
              <w:instrText>-</w:instrText>
            </w:r>
            <w:r w:rsidR="00053AE8">
              <w:rPr>
                <w:b/>
                <w:bCs/>
                <w:szCs w:val="24"/>
                <w:lang w:val="en-US"/>
              </w:rPr>
              <w:instrText>style</w:instrText>
            </w:r>
            <w:r w:rsidR="00053AE8" w:rsidRPr="002B3AE7">
              <w:rPr>
                <w:b/>
                <w:bCs/>
                <w:szCs w:val="24"/>
              </w:rPr>
              <w:instrText>-</w:instrText>
            </w:r>
            <w:r w:rsidR="00053AE8">
              <w:rPr>
                <w:b/>
                <w:bCs/>
                <w:szCs w:val="24"/>
                <w:lang w:val="en-US"/>
              </w:rPr>
              <w:instrText>language</w:instrText>
            </w:r>
            <w:r w:rsidR="00053AE8" w:rsidRPr="002B3AE7">
              <w:rPr>
                <w:b/>
                <w:bCs/>
                <w:szCs w:val="24"/>
              </w:rPr>
              <w:instrText>/</w:instrText>
            </w:r>
            <w:r w:rsidR="00053AE8">
              <w:rPr>
                <w:b/>
                <w:bCs/>
                <w:szCs w:val="24"/>
                <w:lang w:val="en-US"/>
              </w:rPr>
              <w:instrText>schema</w:instrText>
            </w:r>
            <w:r w:rsidR="00053AE8" w:rsidRPr="002B3AE7">
              <w:rPr>
                <w:b/>
                <w:bCs/>
                <w:szCs w:val="24"/>
              </w:rPr>
              <w:instrText>/</w:instrText>
            </w:r>
            <w:r w:rsidR="00053AE8">
              <w:rPr>
                <w:b/>
                <w:bCs/>
                <w:szCs w:val="24"/>
                <w:lang w:val="en-US"/>
              </w:rPr>
              <w:instrText>raw</w:instrText>
            </w:r>
            <w:r w:rsidR="00053AE8" w:rsidRPr="002B3AE7">
              <w:rPr>
                <w:b/>
                <w:bCs/>
                <w:szCs w:val="24"/>
              </w:rPr>
              <w:instrText>/</w:instrText>
            </w:r>
            <w:r w:rsidR="00053AE8">
              <w:rPr>
                <w:b/>
                <w:bCs/>
                <w:szCs w:val="24"/>
                <w:lang w:val="en-US"/>
              </w:rPr>
              <w:instrText>master</w:instrText>
            </w:r>
            <w:r w:rsidR="00053AE8" w:rsidRPr="002B3AE7">
              <w:rPr>
                <w:b/>
                <w:bCs/>
                <w:szCs w:val="24"/>
              </w:rPr>
              <w:instrText>/</w:instrText>
            </w:r>
            <w:r w:rsidR="00053AE8">
              <w:rPr>
                <w:b/>
                <w:bCs/>
                <w:szCs w:val="24"/>
                <w:lang w:val="en-US"/>
              </w:rPr>
              <w:instrText>csl</w:instrText>
            </w:r>
            <w:r w:rsidR="00053AE8" w:rsidRPr="002B3AE7">
              <w:rPr>
                <w:b/>
                <w:bCs/>
                <w:szCs w:val="24"/>
              </w:rPr>
              <w:instrText>-</w:instrText>
            </w:r>
            <w:r w:rsidR="00053AE8">
              <w:rPr>
                <w:b/>
                <w:bCs/>
                <w:szCs w:val="24"/>
                <w:lang w:val="en-US"/>
              </w:rPr>
              <w:instrText>citation</w:instrText>
            </w:r>
            <w:r w:rsidR="00053AE8" w:rsidRPr="002B3AE7">
              <w:rPr>
                <w:b/>
                <w:bCs/>
                <w:szCs w:val="24"/>
              </w:rPr>
              <w:instrText>.</w:instrText>
            </w:r>
            <w:r w:rsidR="00053AE8">
              <w:rPr>
                <w:b/>
                <w:bCs/>
                <w:szCs w:val="24"/>
                <w:lang w:val="en-US"/>
              </w:rPr>
              <w:instrText>json</w:instrText>
            </w:r>
            <w:r w:rsidR="00053AE8" w:rsidRPr="002B3AE7">
              <w:rPr>
                <w:b/>
                <w:bCs/>
                <w:szCs w:val="24"/>
              </w:rPr>
              <w:instrText>"}</w:instrText>
            </w:r>
            <w:r w:rsidR="00574AC0">
              <w:rPr>
                <w:b/>
                <w:bCs/>
                <w:szCs w:val="24"/>
                <w:lang w:val="en-US"/>
              </w:rPr>
              <w:fldChar w:fldCharType="separate"/>
            </w:r>
            <w:r w:rsidR="00A60C8A" w:rsidRPr="00A60C8A">
              <w:rPr>
                <w:bCs/>
                <w:noProof/>
                <w:szCs w:val="24"/>
              </w:rPr>
              <w:t>[128]</w:t>
            </w:r>
            <w:r w:rsidR="00574AC0">
              <w:rPr>
                <w:b/>
                <w:bCs/>
                <w:szCs w:val="24"/>
                <w:lang w:val="en-US"/>
              </w:rPr>
              <w:fldChar w:fldCharType="end"/>
            </w:r>
          </w:p>
        </w:tc>
      </w:tr>
      <w:tr w:rsidR="002177F4" w:rsidRPr="00EA5B5D" w14:paraId="6B875F8A" w14:textId="77777777" w:rsidTr="00B16826">
        <w:trPr>
          <w:trHeight w:val="329"/>
        </w:trPr>
        <w:tc>
          <w:tcPr>
            <w:tcW w:w="2339" w:type="dxa"/>
            <w:tcBorders>
              <w:top w:val="single" w:sz="4" w:space="0" w:color="auto"/>
              <w:left w:val="single" w:sz="4" w:space="0" w:color="auto"/>
              <w:bottom w:val="single" w:sz="4" w:space="0" w:color="auto"/>
              <w:right w:val="single" w:sz="4" w:space="0" w:color="auto"/>
            </w:tcBorders>
            <w:hideMark/>
          </w:tcPr>
          <w:p w14:paraId="13FFC286" w14:textId="77777777" w:rsidR="002177F4" w:rsidRPr="00EA5B5D" w:rsidRDefault="002177F4" w:rsidP="00B16826">
            <w:pPr>
              <w:spacing w:line="240" w:lineRule="auto"/>
              <w:ind w:firstLine="0"/>
              <w:jc w:val="left"/>
              <w:rPr>
                <w:szCs w:val="24"/>
              </w:rPr>
            </w:pPr>
            <w:r w:rsidRPr="00EA5B5D">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55D6515D" w14:textId="77777777" w:rsidR="002177F4" w:rsidRPr="00EA5B5D" w:rsidRDefault="002177F4" w:rsidP="00B16826">
            <w:pPr>
              <w:spacing w:line="240" w:lineRule="auto"/>
              <w:ind w:firstLine="0"/>
              <w:jc w:val="left"/>
              <w:rPr>
                <w:szCs w:val="24"/>
              </w:rPr>
            </w:pPr>
            <w:r w:rsidRPr="00EA5B5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19FC4FF4" w14:textId="77777777" w:rsidR="002177F4" w:rsidRPr="00EA5B5D" w:rsidRDefault="002177F4" w:rsidP="00B16826">
            <w:pPr>
              <w:spacing w:line="240" w:lineRule="auto"/>
              <w:ind w:firstLine="0"/>
              <w:jc w:val="left"/>
              <w:rPr>
                <w:szCs w:val="24"/>
              </w:rPr>
            </w:pPr>
            <w:r w:rsidRPr="00EA5B5D">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7F93FE15" w14:textId="77777777" w:rsidR="002177F4" w:rsidRPr="00EA5B5D" w:rsidRDefault="002177F4" w:rsidP="00B16826">
            <w:pPr>
              <w:spacing w:line="240" w:lineRule="auto"/>
              <w:ind w:firstLine="0"/>
              <w:jc w:val="left"/>
              <w:rPr>
                <w:szCs w:val="24"/>
              </w:rPr>
            </w:pPr>
            <w:r w:rsidRPr="00EA5B5D">
              <w:rPr>
                <w:szCs w:val="24"/>
              </w:rPr>
              <w:t>Дни введения</w:t>
            </w:r>
          </w:p>
        </w:tc>
      </w:tr>
      <w:tr w:rsidR="002177F4" w:rsidRPr="00EA5B5D" w14:paraId="651B801C" w14:textId="77777777" w:rsidTr="00B16826">
        <w:trPr>
          <w:trHeight w:val="329"/>
        </w:trPr>
        <w:tc>
          <w:tcPr>
            <w:tcW w:w="2339" w:type="dxa"/>
            <w:tcBorders>
              <w:top w:val="single" w:sz="4" w:space="0" w:color="auto"/>
              <w:left w:val="single" w:sz="4" w:space="0" w:color="auto"/>
              <w:bottom w:val="single" w:sz="4" w:space="0" w:color="auto"/>
              <w:right w:val="single" w:sz="4" w:space="0" w:color="auto"/>
            </w:tcBorders>
            <w:hideMark/>
          </w:tcPr>
          <w:p w14:paraId="43693156" w14:textId="77777777" w:rsidR="002177F4" w:rsidRPr="002177F4" w:rsidRDefault="002177F4" w:rsidP="002177F4">
            <w:pPr>
              <w:spacing w:line="240" w:lineRule="auto"/>
              <w:ind w:firstLine="0"/>
              <w:jc w:val="left"/>
              <w:rPr>
                <w:szCs w:val="24"/>
              </w:rPr>
            </w:pPr>
            <w:r w:rsidRPr="002177F4">
              <w:rPr>
                <w:szCs w:val="24"/>
              </w:rPr>
              <w:t>Циклофосфа</w:t>
            </w:r>
            <w:r w:rsidR="00EC0391">
              <w:rPr>
                <w:szCs w:val="24"/>
              </w:rPr>
              <w:t>мид</w:t>
            </w:r>
            <w:r w:rsidR="00D254F2" w:rsidRPr="00574AC0">
              <w:rPr>
                <w:szCs w:val="24"/>
              </w:rPr>
              <w:t>**</w:t>
            </w:r>
          </w:p>
        </w:tc>
        <w:tc>
          <w:tcPr>
            <w:tcW w:w="2339" w:type="dxa"/>
            <w:tcBorders>
              <w:top w:val="single" w:sz="4" w:space="0" w:color="auto"/>
              <w:left w:val="single" w:sz="4" w:space="0" w:color="auto"/>
              <w:bottom w:val="single" w:sz="4" w:space="0" w:color="auto"/>
              <w:right w:val="single" w:sz="4" w:space="0" w:color="auto"/>
            </w:tcBorders>
          </w:tcPr>
          <w:p w14:paraId="359681FD" w14:textId="77777777" w:rsidR="002177F4" w:rsidRPr="002177F4" w:rsidRDefault="002177F4" w:rsidP="002177F4">
            <w:pPr>
              <w:spacing w:line="240" w:lineRule="auto"/>
              <w:ind w:firstLine="0"/>
              <w:jc w:val="left"/>
              <w:rPr>
                <w:szCs w:val="24"/>
              </w:rPr>
            </w:pPr>
            <w:r w:rsidRPr="002177F4">
              <w:rPr>
                <w:szCs w:val="24"/>
              </w:rPr>
              <w:t>1000 мг/м</w:t>
            </w:r>
            <w:r w:rsidRPr="002177F4">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6A05A744" w14:textId="77777777" w:rsidR="002177F4" w:rsidRPr="002177F4" w:rsidRDefault="002177F4" w:rsidP="002177F4">
            <w:pPr>
              <w:spacing w:line="240" w:lineRule="auto"/>
              <w:ind w:firstLine="0"/>
              <w:jc w:val="left"/>
              <w:rPr>
                <w:szCs w:val="24"/>
              </w:rPr>
            </w:pPr>
            <w:r w:rsidRPr="002177F4">
              <w:rPr>
                <w:szCs w:val="24"/>
              </w:rPr>
              <w:t>в/в</w:t>
            </w:r>
          </w:p>
        </w:tc>
        <w:tc>
          <w:tcPr>
            <w:tcW w:w="2339" w:type="dxa"/>
            <w:tcBorders>
              <w:top w:val="single" w:sz="4" w:space="0" w:color="auto"/>
              <w:left w:val="single" w:sz="4" w:space="0" w:color="auto"/>
              <w:bottom w:val="single" w:sz="4" w:space="0" w:color="auto"/>
              <w:right w:val="single" w:sz="4" w:space="0" w:color="auto"/>
            </w:tcBorders>
          </w:tcPr>
          <w:p w14:paraId="75EECC2B" w14:textId="77777777" w:rsidR="002177F4" w:rsidRPr="002177F4" w:rsidRDefault="002177F4" w:rsidP="002177F4">
            <w:pPr>
              <w:spacing w:line="240" w:lineRule="auto"/>
              <w:ind w:firstLine="0"/>
              <w:jc w:val="left"/>
              <w:rPr>
                <w:szCs w:val="24"/>
              </w:rPr>
            </w:pPr>
            <w:r w:rsidRPr="002177F4">
              <w:rPr>
                <w:szCs w:val="24"/>
              </w:rPr>
              <w:t>1</w:t>
            </w:r>
          </w:p>
        </w:tc>
      </w:tr>
      <w:tr w:rsidR="002177F4" w:rsidRPr="00EA5B5D" w14:paraId="47E2353F" w14:textId="77777777" w:rsidTr="00B16826">
        <w:trPr>
          <w:trHeight w:val="329"/>
        </w:trPr>
        <w:tc>
          <w:tcPr>
            <w:tcW w:w="2339" w:type="dxa"/>
            <w:tcBorders>
              <w:top w:val="single" w:sz="4" w:space="0" w:color="auto"/>
              <w:left w:val="single" w:sz="4" w:space="0" w:color="auto"/>
              <w:bottom w:val="single" w:sz="4" w:space="0" w:color="auto"/>
              <w:right w:val="single" w:sz="4" w:space="0" w:color="auto"/>
            </w:tcBorders>
            <w:hideMark/>
          </w:tcPr>
          <w:p w14:paraId="6B0EA0FD" w14:textId="77777777" w:rsidR="002177F4" w:rsidRPr="002177F4" w:rsidRDefault="002177F4" w:rsidP="002177F4">
            <w:pPr>
              <w:spacing w:line="240" w:lineRule="auto"/>
              <w:ind w:firstLine="0"/>
              <w:jc w:val="left"/>
              <w:rPr>
                <w:szCs w:val="24"/>
              </w:rPr>
            </w:pPr>
            <w:r w:rsidRPr="002177F4">
              <w:rPr>
                <w:szCs w:val="24"/>
              </w:rPr>
              <w:t>Винбластин</w:t>
            </w:r>
            <w:r w:rsidR="00D254F2" w:rsidRPr="00574AC0">
              <w:rPr>
                <w:szCs w:val="24"/>
              </w:rPr>
              <w:t>**</w:t>
            </w:r>
          </w:p>
        </w:tc>
        <w:tc>
          <w:tcPr>
            <w:tcW w:w="2339" w:type="dxa"/>
            <w:tcBorders>
              <w:top w:val="single" w:sz="4" w:space="0" w:color="auto"/>
              <w:left w:val="single" w:sz="4" w:space="0" w:color="auto"/>
              <w:bottom w:val="single" w:sz="4" w:space="0" w:color="auto"/>
              <w:right w:val="single" w:sz="4" w:space="0" w:color="auto"/>
            </w:tcBorders>
            <w:hideMark/>
          </w:tcPr>
          <w:p w14:paraId="2B42FC8D" w14:textId="77777777" w:rsidR="002177F4" w:rsidRPr="002177F4" w:rsidRDefault="002177F4" w:rsidP="002177F4">
            <w:pPr>
              <w:spacing w:line="240" w:lineRule="auto"/>
              <w:ind w:firstLine="0"/>
              <w:jc w:val="left"/>
              <w:rPr>
                <w:szCs w:val="24"/>
              </w:rPr>
            </w:pPr>
            <w:r w:rsidRPr="002177F4">
              <w:rPr>
                <w:szCs w:val="24"/>
              </w:rPr>
              <w:t>6 мг/м</w:t>
            </w:r>
            <w:r w:rsidRPr="002177F4">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43DF83C4" w14:textId="77777777" w:rsidR="002177F4" w:rsidRPr="002177F4" w:rsidRDefault="002177F4" w:rsidP="002177F4">
            <w:pPr>
              <w:spacing w:line="240" w:lineRule="auto"/>
              <w:ind w:firstLine="0"/>
              <w:jc w:val="left"/>
              <w:rPr>
                <w:szCs w:val="24"/>
              </w:rPr>
            </w:pPr>
            <w:r w:rsidRPr="002177F4">
              <w:rPr>
                <w:szCs w:val="24"/>
              </w:rPr>
              <w:t>в/в</w:t>
            </w:r>
          </w:p>
        </w:tc>
        <w:tc>
          <w:tcPr>
            <w:tcW w:w="2339" w:type="dxa"/>
            <w:tcBorders>
              <w:top w:val="single" w:sz="4" w:space="0" w:color="auto"/>
              <w:left w:val="single" w:sz="4" w:space="0" w:color="auto"/>
              <w:bottom w:val="single" w:sz="4" w:space="0" w:color="auto"/>
              <w:right w:val="single" w:sz="4" w:space="0" w:color="auto"/>
            </w:tcBorders>
            <w:hideMark/>
          </w:tcPr>
          <w:p w14:paraId="70CEC82C" w14:textId="77777777" w:rsidR="002177F4" w:rsidRPr="002177F4" w:rsidRDefault="002177F4" w:rsidP="002177F4">
            <w:pPr>
              <w:spacing w:line="240" w:lineRule="auto"/>
              <w:ind w:firstLine="0"/>
              <w:jc w:val="left"/>
              <w:rPr>
                <w:szCs w:val="24"/>
              </w:rPr>
            </w:pPr>
            <w:r w:rsidRPr="002177F4">
              <w:rPr>
                <w:szCs w:val="24"/>
              </w:rPr>
              <w:t>1</w:t>
            </w:r>
          </w:p>
        </w:tc>
      </w:tr>
      <w:tr w:rsidR="002177F4" w:rsidRPr="00EA5B5D" w14:paraId="1DE35079" w14:textId="77777777" w:rsidTr="00B16826">
        <w:trPr>
          <w:trHeight w:val="329"/>
        </w:trPr>
        <w:tc>
          <w:tcPr>
            <w:tcW w:w="2339" w:type="dxa"/>
            <w:tcBorders>
              <w:top w:val="single" w:sz="4" w:space="0" w:color="auto"/>
              <w:left w:val="single" w:sz="4" w:space="0" w:color="auto"/>
              <w:bottom w:val="single" w:sz="4" w:space="0" w:color="auto"/>
              <w:right w:val="single" w:sz="4" w:space="0" w:color="auto"/>
            </w:tcBorders>
          </w:tcPr>
          <w:p w14:paraId="4C219611" w14:textId="77777777" w:rsidR="002177F4" w:rsidRPr="00574AC0" w:rsidRDefault="002177F4" w:rsidP="002177F4">
            <w:pPr>
              <w:spacing w:line="240" w:lineRule="auto"/>
              <w:ind w:firstLine="0"/>
              <w:jc w:val="left"/>
              <w:rPr>
                <w:szCs w:val="24"/>
              </w:rPr>
            </w:pPr>
            <w:r w:rsidRPr="002177F4">
              <w:rPr>
                <w:szCs w:val="24"/>
              </w:rPr>
              <w:t>Преднизолон</w:t>
            </w:r>
            <w:r w:rsidR="00D254F2" w:rsidRPr="00574AC0">
              <w:rPr>
                <w:szCs w:val="24"/>
              </w:rPr>
              <w:t>**</w:t>
            </w:r>
          </w:p>
        </w:tc>
        <w:tc>
          <w:tcPr>
            <w:tcW w:w="2339" w:type="dxa"/>
            <w:tcBorders>
              <w:top w:val="single" w:sz="4" w:space="0" w:color="auto"/>
              <w:left w:val="single" w:sz="4" w:space="0" w:color="auto"/>
              <w:bottom w:val="single" w:sz="4" w:space="0" w:color="auto"/>
              <w:right w:val="single" w:sz="4" w:space="0" w:color="auto"/>
            </w:tcBorders>
          </w:tcPr>
          <w:p w14:paraId="3F86DE65" w14:textId="77777777" w:rsidR="002177F4" w:rsidRPr="002177F4" w:rsidRDefault="002177F4" w:rsidP="002177F4">
            <w:pPr>
              <w:spacing w:line="240" w:lineRule="auto"/>
              <w:ind w:firstLine="0"/>
              <w:jc w:val="left"/>
              <w:rPr>
                <w:szCs w:val="24"/>
              </w:rPr>
            </w:pPr>
            <w:r w:rsidRPr="002177F4">
              <w:rPr>
                <w:szCs w:val="24"/>
              </w:rPr>
              <w:t>40 мг/м</w:t>
            </w:r>
            <w:r w:rsidRPr="002177F4">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340EA8D3" w14:textId="77777777" w:rsidR="002177F4" w:rsidRPr="002177F4" w:rsidRDefault="002177F4" w:rsidP="002177F4">
            <w:pPr>
              <w:spacing w:line="240" w:lineRule="auto"/>
              <w:ind w:firstLine="0"/>
              <w:jc w:val="left"/>
              <w:rPr>
                <w:szCs w:val="24"/>
              </w:rPr>
            </w:pPr>
            <w:r w:rsidRPr="002177F4">
              <w:rPr>
                <w:szCs w:val="24"/>
              </w:rPr>
              <w:t>внутрь</w:t>
            </w:r>
          </w:p>
        </w:tc>
        <w:tc>
          <w:tcPr>
            <w:tcW w:w="2339" w:type="dxa"/>
            <w:tcBorders>
              <w:top w:val="single" w:sz="4" w:space="0" w:color="auto"/>
              <w:left w:val="single" w:sz="4" w:space="0" w:color="auto"/>
              <w:bottom w:val="single" w:sz="4" w:space="0" w:color="auto"/>
              <w:right w:val="single" w:sz="4" w:space="0" w:color="auto"/>
            </w:tcBorders>
          </w:tcPr>
          <w:p w14:paraId="316F8237" w14:textId="77777777" w:rsidR="002177F4" w:rsidRPr="002177F4" w:rsidRDefault="002177F4" w:rsidP="002177F4">
            <w:pPr>
              <w:spacing w:line="240" w:lineRule="auto"/>
              <w:ind w:firstLine="0"/>
              <w:jc w:val="left"/>
              <w:rPr>
                <w:szCs w:val="24"/>
              </w:rPr>
            </w:pPr>
            <w:r w:rsidRPr="002177F4">
              <w:rPr>
                <w:szCs w:val="24"/>
              </w:rPr>
              <w:t>1-5</w:t>
            </w:r>
          </w:p>
        </w:tc>
      </w:tr>
      <w:tr w:rsidR="002177F4" w:rsidRPr="00EA5B5D" w14:paraId="057262BB" w14:textId="77777777" w:rsidTr="00B16826">
        <w:tc>
          <w:tcPr>
            <w:tcW w:w="9356" w:type="dxa"/>
            <w:gridSpan w:val="4"/>
            <w:tcBorders>
              <w:top w:val="single" w:sz="4" w:space="0" w:color="auto"/>
              <w:left w:val="single" w:sz="4" w:space="0" w:color="auto"/>
              <w:bottom w:val="single" w:sz="4" w:space="0" w:color="auto"/>
              <w:right w:val="single" w:sz="4" w:space="0" w:color="auto"/>
            </w:tcBorders>
            <w:vAlign w:val="center"/>
          </w:tcPr>
          <w:p w14:paraId="3492F94A" w14:textId="77777777" w:rsidR="002177F4" w:rsidRPr="002177F4" w:rsidRDefault="002177F4" w:rsidP="002177F4">
            <w:pPr>
              <w:spacing w:line="240" w:lineRule="auto"/>
              <w:ind w:firstLine="0"/>
              <w:jc w:val="left"/>
              <w:rPr>
                <w:szCs w:val="24"/>
              </w:rPr>
            </w:pPr>
            <w:r w:rsidRPr="00EA5B5D">
              <w:rPr>
                <w:szCs w:val="24"/>
              </w:rPr>
              <w:t xml:space="preserve">Лечение возобновляется на </w:t>
            </w:r>
            <w:r w:rsidRPr="00574AC0">
              <w:rPr>
                <w:szCs w:val="24"/>
              </w:rPr>
              <w:t>22</w:t>
            </w:r>
            <w:r>
              <w:rPr>
                <w:szCs w:val="24"/>
              </w:rPr>
              <w:t xml:space="preserve"> день</w:t>
            </w:r>
          </w:p>
        </w:tc>
      </w:tr>
    </w:tbl>
    <w:p w14:paraId="1042410E" w14:textId="77777777" w:rsidR="002177F4" w:rsidRPr="000709E2" w:rsidRDefault="002177F4" w:rsidP="008358F4">
      <w:pPr>
        <w:ind w:left="709" w:firstLine="0"/>
      </w:pPr>
    </w:p>
    <w:p w14:paraId="58C67480" w14:textId="77777777" w:rsidR="00C12369" w:rsidRDefault="00C12369" w:rsidP="00C12369">
      <w:pPr>
        <w:pStyle w:val="afd"/>
        <w:ind w:firstLine="0"/>
        <w:rPr>
          <w:b/>
          <w:bCs/>
          <w:u w:val="single"/>
        </w:rPr>
      </w:pPr>
      <w:r w:rsidRPr="00C12369">
        <w:rPr>
          <w:b/>
          <w:bCs/>
          <w:u w:val="single"/>
        </w:rPr>
        <w:t>3.</w:t>
      </w:r>
      <w:r>
        <w:rPr>
          <w:b/>
          <w:bCs/>
          <w:u w:val="single"/>
        </w:rPr>
        <w:t>3.</w:t>
      </w:r>
      <w:r w:rsidR="00D254F2">
        <w:rPr>
          <w:b/>
          <w:bCs/>
          <w:u w:val="single"/>
        </w:rPr>
        <w:t>4</w:t>
      </w:r>
      <w:r>
        <w:rPr>
          <w:b/>
          <w:bCs/>
          <w:u w:val="single"/>
        </w:rPr>
        <w:t xml:space="preserve"> </w:t>
      </w:r>
      <w:r w:rsidRPr="00571482">
        <w:rPr>
          <w:b/>
          <w:bCs/>
          <w:u w:val="single"/>
        </w:rPr>
        <w:t>Схемы</w:t>
      </w:r>
      <w:r w:rsidR="006E172F">
        <w:rPr>
          <w:b/>
          <w:bCs/>
          <w:u w:val="single"/>
        </w:rPr>
        <w:t xml:space="preserve"> второй линии</w:t>
      </w:r>
      <w:r>
        <w:rPr>
          <w:b/>
          <w:bCs/>
          <w:u w:val="single"/>
        </w:rPr>
        <w:t xml:space="preserve"> терапии лимфомы Ходжкина</w:t>
      </w:r>
    </w:p>
    <w:tbl>
      <w:tblPr>
        <w:tblStyle w:val="aff9"/>
        <w:tblW w:w="9356" w:type="dxa"/>
        <w:tblInd w:w="-5" w:type="dxa"/>
        <w:tblLayout w:type="fixed"/>
        <w:tblLook w:val="04A0" w:firstRow="1" w:lastRow="0" w:firstColumn="1" w:lastColumn="0" w:noHBand="0" w:noVBand="1"/>
      </w:tblPr>
      <w:tblGrid>
        <w:gridCol w:w="2339"/>
        <w:gridCol w:w="2339"/>
        <w:gridCol w:w="2339"/>
        <w:gridCol w:w="2339"/>
      </w:tblGrid>
      <w:tr w:rsidR="00C12369" w:rsidRPr="00EA5B5D" w14:paraId="7C2522F8" w14:textId="77777777" w:rsidTr="00B16826">
        <w:trPr>
          <w:trHeight w:val="329"/>
        </w:trPr>
        <w:tc>
          <w:tcPr>
            <w:tcW w:w="9356" w:type="dxa"/>
            <w:gridSpan w:val="4"/>
            <w:tcBorders>
              <w:top w:val="nil"/>
              <w:left w:val="nil"/>
              <w:bottom w:val="single" w:sz="4" w:space="0" w:color="auto"/>
              <w:right w:val="nil"/>
            </w:tcBorders>
          </w:tcPr>
          <w:p w14:paraId="5070381A" w14:textId="71A31DB1" w:rsidR="00C12369" w:rsidRPr="002415BA" w:rsidRDefault="00C12369" w:rsidP="00B16826">
            <w:pPr>
              <w:spacing w:line="240" w:lineRule="auto"/>
              <w:ind w:firstLine="0"/>
              <w:jc w:val="left"/>
              <w:rPr>
                <w:b/>
                <w:bCs/>
                <w:szCs w:val="24"/>
              </w:rPr>
            </w:pPr>
            <w:r>
              <w:rPr>
                <w:b/>
                <w:bCs/>
                <w:szCs w:val="24"/>
                <w:lang w:val="en-US"/>
              </w:rPr>
              <w:t>IGEV</w:t>
            </w:r>
            <w:r w:rsidR="002415BA" w:rsidRPr="005B03CD">
              <w:rPr>
                <w:b/>
                <w:bCs/>
                <w:szCs w:val="24"/>
              </w:rPr>
              <w:t xml:space="preserve"> </w:t>
            </w:r>
            <w:r w:rsidR="002415BA">
              <w:rPr>
                <w:b/>
                <w:bCs/>
                <w:szCs w:val="24"/>
                <w:lang w:val="en-US"/>
              </w:rPr>
              <w:fldChar w:fldCharType="begin" w:fldLock="1"/>
            </w:r>
            <w:r w:rsidR="00053AE8">
              <w:rPr>
                <w:b/>
                <w:bCs/>
                <w:szCs w:val="24"/>
                <w:lang w:val="en-US"/>
              </w:rPr>
              <w:instrText>ADDIN</w:instrText>
            </w:r>
            <w:r w:rsidR="00053AE8" w:rsidRPr="002B3AE7">
              <w:rPr>
                <w:b/>
                <w:bCs/>
                <w:szCs w:val="24"/>
              </w:rPr>
              <w:instrText xml:space="preserve"> </w:instrText>
            </w:r>
            <w:r w:rsidR="00053AE8">
              <w:rPr>
                <w:b/>
                <w:bCs/>
                <w:szCs w:val="24"/>
                <w:lang w:val="en-US"/>
              </w:rPr>
              <w:instrText>CSL</w:instrText>
            </w:r>
            <w:r w:rsidR="00053AE8" w:rsidRPr="002B3AE7">
              <w:rPr>
                <w:b/>
                <w:bCs/>
                <w:szCs w:val="24"/>
              </w:rPr>
              <w:instrText>_</w:instrText>
            </w:r>
            <w:r w:rsidR="00053AE8">
              <w:rPr>
                <w:b/>
                <w:bCs/>
                <w:szCs w:val="24"/>
                <w:lang w:val="en-US"/>
              </w:rPr>
              <w:instrText>CITATION</w:instrText>
            </w:r>
            <w:r w:rsidR="00053AE8" w:rsidRPr="002B3AE7">
              <w:rPr>
                <w:b/>
                <w:bCs/>
                <w:szCs w:val="24"/>
              </w:rPr>
              <w:instrText xml:space="preserve"> {"</w:instrText>
            </w:r>
            <w:r w:rsidR="00053AE8">
              <w:rPr>
                <w:b/>
                <w:bCs/>
                <w:szCs w:val="24"/>
                <w:lang w:val="en-US"/>
              </w:rPr>
              <w:instrText>citationItems</w:instrText>
            </w:r>
            <w:r w:rsidR="00053AE8" w:rsidRPr="002B3AE7">
              <w:rPr>
                <w:b/>
                <w:bCs/>
                <w:szCs w:val="24"/>
              </w:rPr>
              <w:instrText>":[{"</w:instrText>
            </w:r>
            <w:r w:rsidR="00053AE8">
              <w:rPr>
                <w:b/>
                <w:bCs/>
                <w:szCs w:val="24"/>
                <w:lang w:val="en-US"/>
              </w:rPr>
              <w:instrText>id</w:instrText>
            </w:r>
            <w:r w:rsidR="00053AE8" w:rsidRPr="002B3AE7">
              <w:rPr>
                <w:b/>
                <w:bCs/>
                <w:szCs w:val="24"/>
              </w:rPr>
              <w:instrText>":"</w:instrText>
            </w:r>
            <w:r w:rsidR="00053AE8">
              <w:rPr>
                <w:b/>
                <w:bCs/>
                <w:szCs w:val="24"/>
                <w:lang w:val="en-US"/>
              </w:rPr>
              <w:instrText>ITEM</w:instrText>
            </w:r>
            <w:r w:rsidR="00053AE8" w:rsidRPr="002B3AE7">
              <w:rPr>
                <w:b/>
                <w:bCs/>
                <w:szCs w:val="24"/>
              </w:rPr>
              <w:instrText>-1","</w:instrText>
            </w:r>
            <w:r w:rsidR="00053AE8">
              <w:rPr>
                <w:b/>
                <w:bCs/>
                <w:szCs w:val="24"/>
                <w:lang w:val="en-US"/>
              </w:rPr>
              <w:instrText>itemData</w:instrText>
            </w:r>
            <w:r w:rsidR="00053AE8" w:rsidRPr="002B3AE7">
              <w:rPr>
                <w:b/>
                <w:bCs/>
                <w:szCs w:val="24"/>
              </w:rPr>
              <w:instrText>":{"</w:instrText>
            </w:r>
            <w:r w:rsidR="00053AE8">
              <w:rPr>
                <w:b/>
                <w:bCs/>
                <w:szCs w:val="24"/>
                <w:lang w:val="en-US"/>
              </w:rPr>
              <w:instrText>DOI</w:instrText>
            </w:r>
            <w:r w:rsidR="00053AE8" w:rsidRPr="002B3AE7">
              <w:rPr>
                <w:b/>
                <w:bCs/>
                <w:szCs w:val="24"/>
              </w:rPr>
              <w:instrText>":"10.3324/</w:instrText>
            </w:r>
            <w:r w:rsidR="00053AE8">
              <w:rPr>
                <w:b/>
                <w:bCs/>
                <w:szCs w:val="24"/>
                <w:lang w:val="en-US"/>
              </w:rPr>
              <w:instrText>haematol</w:instrText>
            </w:r>
            <w:r w:rsidR="00053AE8" w:rsidRPr="002B3AE7">
              <w:rPr>
                <w:b/>
                <w:bCs/>
                <w:szCs w:val="24"/>
              </w:rPr>
              <w:instrText>.10661","</w:instrText>
            </w:r>
            <w:r w:rsidR="00053AE8">
              <w:rPr>
                <w:b/>
                <w:bCs/>
                <w:szCs w:val="24"/>
                <w:lang w:val="en-US"/>
              </w:rPr>
              <w:instrText>ISSN</w:instrText>
            </w:r>
            <w:r w:rsidR="00053AE8" w:rsidRPr="002B3AE7">
              <w:rPr>
                <w:b/>
                <w:bCs/>
                <w:szCs w:val="24"/>
              </w:rPr>
              <w:instrText>":"03906078","</w:instrText>
            </w:r>
            <w:r w:rsidR="00053AE8">
              <w:rPr>
                <w:b/>
                <w:bCs/>
                <w:szCs w:val="24"/>
                <w:lang w:val="en-US"/>
              </w:rPr>
              <w:instrText>PMID</w:instrText>
            </w:r>
            <w:r w:rsidR="00053AE8" w:rsidRPr="002B3AE7">
              <w:rPr>
                <w:b/>
                <w:bCs/>
                <w:szCs w:val="24"/>
              </w:rPr>
              <w:instrText>":"17229633","</w:instrText>
            </w:r>
            <w:r w:rsidR="00053AE8">
              <w:rPr>
                <w:b/>
                <w:bCs/>
                <w:szCs w:val="24"/>
                <w:lang w:val="en-US"/>
              </w:rPr>
              <w:instrText>abstract</w:instrText>
            </w:r>
            <w:r w:rsidR="00053AE8" w:rsidRPr="002B3AE7">
              <w:rPr>
                <w:b/>
                <w:bCs/>
                <w:szCs w:val="24"/>
              </w:rPr>
              <w:instrText>":"</w:instrText>
            </w:r>
            <w:r w:rsidR="00053AE8">
              <w:rPr>
                <w:b/>
                <w:bCs/>
                <w:szCs w:val="24"/>
                <w:lang w:val="en-US"/>
              </w:rPr>
              <w:instrText>Background</w:instrText>
            </w:r>
            <w:r w:rsidR="00053AE8" w:rsidRPr="002B3AE7">
              <w:rPr>
                <w:b/>
                <w:bCs/>
                <w:szCs w:val="24"/>
              </w:rPr>
              <w:instrText xml:space="preserve"> </w:instrText>
            </w:r>
            <w:r w:rsidR="00053AE8">
              <w:rPr>
                <w:b/>
                <w:bCs/>
                <w:szCs w:val="24"/>
                <w:lang w:val="en-US"/>
              </w:rPr>
              <w:instrText>and</w:instrText>
            </w:r>
            <w:r w:rsidR="00053AE8" w:rsidRPr="002B3AE7">
              <w:rPr>
                <w:b/>
                <w:bCs/>
                <w:szCs w:val="24"/>
              </w:rPr>
              <w:instrText xml:space="preserve"> </w:instrText>
            </w:r>
            <w:r w:rsidR="00053AE8">
              <w:rPr>
                <w:b/>
                <w:bCs/>
                <w:szCs w:val="24"/>
                <w:lang w:val="en-US"/>
              </w:rPr>
              <w:instrText>Objectives</w:instrText>
            </w:r>
            <w:r w:rsidR="00053AE8" w:rsidRPr="002B3AE7">
              <w:rPr>
                <w:b/>
                <w:bCs/>
                <w:szCs w:val="24"/>
              </w:rPr>
              <w:instrText xml:space="preserve">: </w:instrText>
            </w:r>
            <w:r w:rsidR="00053AE8">
              <w:rPr>
                <w:b/>
                <w:bCs/>
                <w:szCs w:val="24"/>
                <w:lang w:val="en-US"/>
              </w:rPr>
              <w:instrText>Response</w:instrText>
            </w:r>
            <w:r w:rsidR="00053AE8" w:rsidRPr="002B3AE7">
              <w:rPr>
                <w:b/>
                <w:bCs/>
                <w:szCs w:val="24"/>
              </w:rPr>
              <w:instrText xml:space="preserve"> </w:instrText>
            </w:r>
            <w:r w:rsidR="00053AE8">
              <w:rPr>
                <w:b/>
                <w:bCs/>
                <w:szCs w:val="24"/>
                <w:lang w:val="en-US"/>
              </w:rPr>
              <w:instrText>to</w:instrText>
            </w:r>
            <w:r w:rsidR="00053AE8" w:rsidRPr="002B3AE7">
              <w:rPr>
                <w:b/>
                <w:bCs/>
                <w:szCs w:val="24"/>
              </w:rPr>
              <w:instrText xml:space="preserve"> </w:instrText>
            </w:r>
            <w:r w:rsidR="00053AE8">
              <w:rPr>
                <w:b/>
                <w:bCs/>
                <w:szCs w:val="24"/>
                <w:lang w:val="en-US"/>
              </w:rPr>
              <w:instrText>pre</w:instrText>
            </w:r>
            <w:r w:rsidR="00053AE8" w:rsidRPr="002B3AE7">
              <w:rPr>
                <w:b/>
                <w:bCs/>
                <w:szCs w:val="24"/>
              </w:rPr>
              <w:instrText>-</w:instrText>
            </w:r>
            <w:r w:rsidR="00053AE8">
              <w:rPr>
                <w:b/>
                <w:bCs/>
                <w:szCs w:val="24"/>
                <w:lang w:val="en-US"/>
              </w:rPr>
              <w:instrText>transplant</w:instrText>
            </w:r>
            <w:r w:rsidR="00053AE8" w:rsidRPr="002B3AE7">
              <w:rPr>
                <w:b/>
                <w:bCs/>
                <w:szCs w:val="24"/>
              </w:rPr>
              <w:instrText xml:space="preserve"> </w:instrText>
            </w:r>
            <w:r w:rsidR="00053AE8">
              <w:rPr>
                <w:b/>
                <w:bCs/>
                <w:szCs w:val="24"/>
                <w:lang w:val="en-US"/>
              </w:rPr>
              <w:instrText>salvage</w:instrText>
            </w:r>
            <w:r w:rsidR="00053AE8" w:rsidRPr="002B3AE7">
              <w:rPr>
                <w:b/>
                <w:bCs/>
                <w:szCs w:val="24"/>
              </w:rPr>
              <w:instrText xml:space="preserve"> </w:instrText>
            </w:r>
            <w:r w:rsidR="00053AE8">
              <w:rPr>
                <w:b/>
                <w:bCs/>
                <w:szCs w:val="24"/>
                <w:lang w:val="en-US"/>
              </w:rPr>
              <w:instrText>chemotherapy</w:instrText>
            </w:r>
            <w:r w:rsidR="00053AE8" w:rsidRPr="002B3AE7">
              <w:rPr>
                <w:b/>
                <w:bCs/>
                <w:szCs w:val="24"/>
              </w:rPr>
              <w:instrText xml:space="preserve"> </w:instrText>
            </w:r>
            <w:r w:rsidR="00053AE8">
              <w:rPr>
                <w:b/>
                <w:bCs/>
                <w:szCs w:val="24"/>
                <w:lang w:val="en-US"/>
              </w:rPr>
              <w:instrText>remains</w:instrText>
            </w:r>
            <w:r w:rsidR="00053AE8" w:rsidRPr="002B3AE7">
              <w:rPr>
                <w:b/>
                <w:bCs/>
                <w:szCs w:val="24"/>
              </w:rPr>
              <w:instrText xml:space="preserve"> </w:instrText>
            </w:r>
            <w:r w:rsidR="00053AE8">
              <w:rPr>
                <w:b/>
                <w:bCs/>
                <w:szCs w:val="24"/>
                <w:lang w:val="en-US"/>
              </w:rPr>
              <w:instrText>the</w:instrText>
            </w:r>
            <w:r w:rsidR="00053AE8" w:rsidRPr="002B3AE7">
              <w:rPr>
                <w:b/>
                <w:bCs/>
                <w:szCs w:val="24"/>
              </w:rPr>
              <w:instrText xml:space="preserve"> </w:instrText>
            </w:r>
            <w:r w:rsidR="00053AE8">
              <w:rPr>
                <w:b/>
                <w:bCs/>
                <w:szCs w:val="24"/>
                <w:lang w:val="en-US"/>
              </w:rPr>
              <w:instrText>most</w:instrText>
            </w:r>
            <w:r w:rsidR="00053AE8" w:rsidRPr="002B3AE7">
              <w:rPr>
                <w:b/>
                <w:bCs/>
                <w:szCs w:val="24"/>
              </w:rPr>
              <w:instrText xml:space="preserve"> </w:instrText>
            </w:r>
            <w:r w:rsidR="00053AE8">
              <w:rPr>
                <w:b/>
                <w:bCs/>
                <w:szCs w:val="24"/>
                <w:lang w:val="en-US"/>
              </w:rPr>
              <w:instrText>important</w:instrText>
            </w:r>
            <w:r w:rsidR="00053AE8" w:rsidRPr="002B3AE7">
              <w:rPr>
                <w:b/>
                <w:bCs/>
                <w:szCs w:val="24"/>
              </w:rPr>
              <w:instrText xml:space="preserve"> </w:instrText>
            </w:r>
            <w:r w:rsidR="00053AE8">
              <w:rPr>
                <w:b/>
                <w:bCs/>
                <w:szCs w:val="24"/>
                <w:lang w:val="en-US"/>
              </w:rPr>
              <w:instrText>prognostic</w:instrText>
            </w:r>
            <w:r w:rsidR="00053AE8" w:rsidRPr="002B3AE7">
              <w:rPr>
                <w:b/>
                <w:bCs/>
                <w:szCs w:val="24"/>
              </w:rPr>
              <w:instrText xml:space="preserve"> </w:instrText>
            </w:r>
            <w:r w:rsidR="00053AE8">
              <w:rPr>
                <w:b/>
                <w:bCs/>
                <w:szCs w:val="24"/>
                <w:lang w:val="en-US"/>
              </w:rPr>
              <w:instrText>factor</w:instrText>
            </w:r>
            <w:r w:rsidR="00053AE8" w:rsidRPr="002B3AE7">
              <w:rPr>
                <w:b/>
                <w:bCs/>
                <w:szCs w:val="24"/>
              </w:rPr>
              <w:instrText xml:space="preserve"> </w:instrText>
            </w:r>
            <w:r w:rsidR="00053AE8">
              <w:rPr>
                <w:b/>
                <w:bCs/>
                <w:szCs w:val="24"/>
                <w:lang w:val="en-US"/>
              </w:rPr>
              <w:instrText>for</w:instrText>
            </w:r>
            <w:r w:rsidR="00053AE8" w:rsidRPr="002B3AE7">
              <w:rPr>
                <w:b/>
                <w:bCs/>
                <w:szCs w:val="24"/>
              </w:rPr>
              <w:instrText xml:space="preserve"> </w:instrText>
            </w:r>
            <w:r w:rsidR="00053AE8">
              <w:rPr>
                <w:b/>
                <w:bCs/>
                <w:szCs w:val="24"/>
                <w:lang w:val="en-US"/>
              </w:rPr>
              <w:instrText>outcome</w:instrText>
            </w:r>
            <w:r w:rsidR="00053AE8" w:rsidRPr="002B3AE7">
              <w:rPr>
                <w:b/>
                <w:bCs/>
                <w:szCs w:val="24"/>
              </w:rPr>
              <w:instrText xml:space="preserve"> </w:instrText>
            </w:r>
            <w:r w:rsidR="00053AE8">
              <w:rPr>
                <w:b/>
                <w:bCs/>
                <w:szCs w:val="24"/>
                <w:lang w:val="en-US"/>
              </w:rPr>
              <w:instrText>in</w:instrText>
            </w:r>
            <w:r w:rsidR="00053AE8" w:rsidRPr="002B3AE7">
              <w:rPr>
                <w:b/>
                <w:bCs/>
                <w:szCs w:val="24"/>
              </w:rPr>
              <w:instrText xml:space="preserve"> </w:instrText>
            </w:r>
            <w:r w:rsidR="00053AE8">
              <w:rPr>
                <w:b/>
                <w:bCs/>
                <w:szCs w:val="24"/>
                <w:lang w:val="en-US"/>
              </w:rPr>
              <w:instrText>refractory</w:instrText>
            </w:r>
            <w:r w:rsidR="00053AE8" w:rsidRPr="002B3AE7">
              <w:rPr>
                <w:b/>
                <w:bCs/>
                <w:szCs w:val="24"/>
              </w:rPr>
              <w:instrText xml:space="preserve"> </w:instrText>
            </w:r>
            <w:r w:rsidR="00053AE8">
              <w:rPr>
                <w:b/>
                <w:bCs/>
                <w:szCs w:val="24"/>
                <w:lang w:val="en-US"/>
              </w:rPr>
              <w:instrText>or</w:instrText>
            </w:r>
            <w:r w:rsidR="00053AE8" w:rsidRPr="002B3AE7">
              <w:rPr>
                <w:b/>
                <w:bCs/>
                <w:szCs w:val="24"/>
              </w:rPr>
              <w:instrText xml:space="preserve"> </w:instrText>
            </w:r>
            <w:r w:rsidR="00053AE8">
              <w:rPr>
                <w:b/>
                <w:bCs/>
                <w:szCs w:val="24"/>
                <w:lang w:val="en-US"/>
              </w:rPr>
              <w:instrText>relapsed</w:instrText>
            </w:r>
            <w:r w:rsidR="00053AE8" w:rsidRPr="002B3AE7">
              <w:rPr>
                <w:b/>
                <w:bCs/>
                <w:szCs w:val="24"/>
              </w:rPr>
              <w:instrText xml:space="preserve"> </w:instrText>
            </w:r>
            <w:r w:rsidR="00053AE8">
              <w:rPr>
                <w:b/>
                <w:bCs/>
                <w:szCs w:val="24"/>
                <w:lang w:val="en-US"/>
              </w:rPr>
              <w:instrText>Hodgkin</w:instrText>
            </w:r>
            <w:r w:rsidR="00053AE8" w:rsidRPr="002B3AE7">
              <w:rPr>
                <w:b/>
                <w:bCs/>
                <w:szCs w:val="24"/>
              </w:rPr>
              <w:instrText>'</w:instrText>
            </w:r>
            <w:r w:rsidR="00053AE8">
              <w:rPr>
                <w:b/>
                <w:bCs/>
                <w:szCs w:val="24"/>
                <w:lang w:val="en-US"/>
              </w:rPr>
              <w:instrText>s</w:instrText>
            </w:r>
            <w:r w:rsidR="00053AE8" w:rsidRPr="002B3AE7">
              <w:rPr>
                <w:b/>
                <w:bCs/>
                <w:szCs w:val="24"/>
              </w:rPr>
              <w:instrText xml:space="preserve"> </w:instrText>
            </w:r>
            <w:r w:rsidR="00053AE8">
              <w:rPr>
                <w:b/>
                <w:bCs/>
                <w:szCs w:val="24"/>
                <w:lang w:val="en-US"/>
              </w:rPr>
              <w:instrText>lymphoma</w:instrText>
            </w:r>
            <w:r w:rsidR="00053AE8" w:rsidRPr="002B3AE7">
              <w:rPr>
                <w:b/>
                <w:bCs/>
                <w:szCs w:val="24"/>
              </w:rPr>
              <w:instrText xml:space="preserve">. </w:instrText>
            </w:r>
            <w:r w:rsidR="00053AE8">
              <w:rPr>
                <w:b/>
                <w:bCs/>
                <w:szCs w:val="24"/>
                <w:lang w:val="en-US"/>
              </w:rPr>
              <w:instrText>Results</w:instrText>
            </w:r>
            <w:r w:rsidR="00053AE8" w:rsidRPr="002B3AE7">
              <w:rPr>
                <w:b/>
                <w:bCs/>
                <w:szCs w:val="24"/>
              </w:rPr>
              <w:instrText xml:space="preserve"> </w:instrText>
            </w:r>
            <w:r w:rsidR="00053AE8">
              <w:rPr>
                <w:b/>
                <w:bCs/>
                <w:szCs w:val="24"/>
                <w:lang w:val="en-US"/>
              </w:rPr>
              <w:instrText>of</w:instrText>
            </w:r>
            <w:r w:rsidR="00053AE8" w:rsidRPr="002B3AE7">
              <w:rPr>
                <w:b/>
                <w:bCs/>
                <w:szCs w:val="24"/>
              </w:rPr>
              <w:instrText xml:space="preserve"> </w:instrText>
            </w:r>
            <w:r w:rsidR="00053AE8">
              <w:rPr>
                <w:b/>
                <w:bCs/>
                <w:szCs w:val="24"/>
                <w:lang w:val="en-US"/>
              </w:rPr>
              <w:instrText>a</w:instrText>
            </w:r>
            <w:r w:rsidR="00053AE8" w:rsidRPr="002B3AE7">
              <w:rPr>
                <w:b/>
                <w:bCs/>
                <w:szCs w:val="24"/>
              </w:rPr>
              <w:instrText xml:space="preserve"> </w:instrText>
            </w:r>
            <w:r w:rsidR="00053AE8">
              <w:rPr>
                <w:b/>
                <w:bCs/>
                <w:szCs w:val="24"/>
                <w:lang w:val="en-US"/>
              </w:rPr>
              <w:instrText>new</w:instrText>
            </w:r>
            <w:r w:rsidR="00053AE8" w:rsidRPr="002B3AE7">
              <w:rPr>
                <w:b/>
                <w:bCs/>
                <w:szCs w:val="24"/>
              </w:rPr>
              <w:instrText xml:space="preserve"> </w:instrText>
            </w:r>
            <w:r w:rsidR="00053AE8">
              <w:rPr>
                <w:b/>
                <w:bCs/>
                <w:szCs w:val="24"/>
                <w:lang w:val="en-US"/>
              </w:rPr>
              <w:instrText>induction</w:instrText>
            </w:r>
            <w:r w:rsidR="00053AE8" w:rsidRPr="002B3AE7">
              <w:rPr>
                <w:b/>
                <w:bCs/>
                <w:szCs w:val="24"/>
              </w:rPr>
              <w:instrText xml:space="preserve"> </w:instrText>
            </w:r>
            <w:r w:rsidR="00053AE8">
              <w:rPr>
                <w:b/>
                <w:bCs/>
                <w:szCs w:val="24"/>
                <w:lang w:val="en-US"/>
              </w:rPr>
              <w:instrText>regimen</w:instrText>
            </w:r>
            <w:r w:rsidR="00053AE8" w:rsidRPr="002B3AE7">
              <w:rPr>
                <w:b/>
                <w:bCs/>
                <w:szCs w:val="24"/>
              </w:rPr>
              <w:instrText xml:space="preserve"> </w:instrText>
            </w:r>
            <w:r w:rsidR="00053AE8">
              <w:rPr>
                <w:b/>
                <w:bCs/>
                <w:szCs w:val="24"/>
                <w:lang w:val="en-US"/>
              </w:rPr>
              <w:instrText>are</w:instrText>
            </w:r>
            <w:r w:rsidR="00053AE8" w:rsidRPr="002B3AE7">
              <w:rPr>
                <w:b/>
                <w:bCs/>
                <w:szCs w:val="24"/>
              </w:rPr>
              <w:instrText xml:space="preserve"> </w:instrText>
            </w:r>
            <w:r w:rsidR="00053AE8">
              <w:rPr>
                <w:b/>
                <w:bCs/>
                <w:szCs w:val="24"/>
                <w:lang w:val="en-US"/>
              </w:rPr>
              <w:instrText>reported</w:instrText>
            </w:r>
            <w:r w:rsidR="00053AE8" w:rsidRPr="002B3AE7">
              <w:rPr>
                <w:b/>
                <w:bCs/>
                <w:szCs w:val="24"/>
              </w:rPr>
              <w:instrText xml:space="preserve"> </w:instrText>
            </w:r>
            <w:r w:rsidR="00053AE8">
              <w:rPr>
                <w:b/>
                <w:bCs/>
                <w:szCs w:val="24"/>
                <w:lang w:val="en-US"/>
              </w:rPr>
              <w:instrText>in</w:instrText>
            </w:r>
            <w:r w:rsidR="00053AE8" w:rsidRPr="002B3AE7">
              <w:rPr>
                <w:b/>
                <w:bCs/>
                <w:szCs w:val="24"/>
              </w:rPr>
              <w:instrText xml:space="preserve"> </w:instrText>
            </w:r>
            <w:r w:rsidR="00053AE8">
              <w:rPr>
                <w:b/>
                <w:bCs/>
                <w:szCs w:val="24"/>
                <w:lang w:val="en-US"/>
              </w:rPr>
              <w:instrText>terms</w:instrText>
            </w:r>
            <w:r w:rsidR="00053AE8" w:rsidRPr="002B3AE7">
              <w:rPr>
                <w:b/>
                <w:bCs/>
                <w:szCs w:val="24"/>
              </w:rPr>
              <w:instrText xml:space="preserve"> </w:instrText>
            </w:r>
            <w:r w:rsidR="00053AE8">
              <w:rPr>
                <w:b/>
                <w:bCs/>
                <w:szCs w:val="24"/>
                <w:lang w:val="en-US"/>
              </w:rPr>
              <w:instrText>of</w:instrText>
            </w:r>
            <w:r w:rsidR="00053AE8" w:rsidRPr="002B3AE7">
              <w:rPr>
                <w:b/>
                <w:bCs/>
                <w:szCs w:val="24"/>
              </w:rPr>
              <w:instrText xml:space="preserve"> </w:instrText>
            </w:r>
            <w:r w:rsidR="00053AE8">
              <w:rPr>
                <w:b/>
                <w:bCs/>
                <w:szCs w:val="24"/>
                <w:lang w:val="en-US"/>
              </w:rPr>
              <w:instrText>response</w:instrText>
            </w:r>
            <w:r w:rsidR="00053AE8" w:rsidRPr="002B3AE7">
              <w:rPr>
                <w:b/>
                <w:bCs/>
                <w:szCs w:val="24"/>
              </w:rPr>
              <w:instrText xml:space="preserve"> </w:instrText>
            </w:r>
            <w:r w:rsidR="00053AE8">
              <w:rPr>
                <w:b/>
                <w:bCs/>
                <w:szCs w:val="24"/>
                <w:lang w:val="en-US"/>
              </w:rPr>
              <w:instrText>rates</w:instrText>
            </w:r>
            <w:r w:rsidR="00053AE8" w:rsidRPr="002B3AE7">
              <w:rPr>
                <w:b/>
                <w:bCs/>
                <w:szCs w:val="24"/>
              </w:rPr>
              <w:instrText xml:space="preserve">, </w:instrText>
            </w:r>
            <w:r w:rsidR="00053AE8">
              <w:rPr>
                <w:b/>
                <w:bCs/>
                <w:szCs w:val="24"/>
                <w:lang w:val="en-US"/>
              </w:rPr>
              <w:instrText>toxicity</w:instrText>
            </w:r>
            <w:r w:rsidR="00053AE8" w:rsidRPr="002B3AE7">
              <w:rPr>
                <w:b/>
                <w:bCs/>
                <w:szCs w:val="24"/>
              </w:rPr>
              <w:instrText xml:space="preserve">, </w:instrText>
            </w:r>
            <w:r w:rsidR="00053AE8">
              <w:rPr>
                <w:b/>
                <w:bCs/>
                <w:szCs w:val="24"/>
                <w:lang w:val="en-US"/>
              </w:rPr>
              <w:instrText>and</w:instrText>
            </w:r>
            <w:r w:rsidR="00053AE8" w:rsidRPr="002B3AE7">
              <w:rPr>
                <w:b/>
                <w:bCs/>
                <w:szCs w:val="24"/>
              </w:rPr>
              <w:instrText xml:space="preserve"> </w:instrText>
            </w:r>
            <w:r w:rsidR="00053AE8">
              <w:rPr>
                <w:b/>
                <w:bCs/>
                <w:szCs w:val="24"/>
                <w:lang w:val="en-US"/>
              </w:rPr>
              <w:instrText>stem</w:instrText>
            </w:r>
            <w:r w:rsidR="00053AE8" w:rsidRPr="002B3AE7">
              <w:rPr>
                <w:b/>
                <w:bCs/>
                <w:szCs w:val="24"/>
              </w:rPr>
              <w:instrText xml:space="preserve"> </w:instrText>
            </w:r>
            <w:r w:rsidR="00053AE8">
              <w:rPr>
                <w:b/>
                <w:bCs/>
                <w:szCs w:val="24"/>
                <w:lang w:val="en-US"/>
              </w:rPr>
              <w:instrText>cell</w:instrText>
            </w:r>
            <w:r w:rsidR="00053AE8" w:rsidRPr="002B3AE7">
              <w:rPr>
                <w:b/>
                <w:bCs/>
                <w:szCs w:val="24"/>
              </w:rPr>
              <w:instrText xml:space="preserve"> </w:instrText>
            </w:r>
            <w:r w:rsidR="00053AE8">
              <w:rPr>
                <w:b/>
                <w:bCs/>
                <w:szCs w:val="24"/>
                <w:lang w:val="en-US"/>
              </w:rPr>
              <w:instrText>mobilization</w:instrText>
            </w:r>
            <w:r w:rsidR="00053AE8" w:rsidRPr="002B3AE7">
              <w:rPr>
                <w:b/>
                <w:bCs/>
                <w:szCs w:val="24"/>
              </w:rPr>
              <w:instrText xml:space="preserve">. </w:instrText>
            </w:r>
            <w:r w:rsidR="00053AE8">
              <w:rPr>
                <w:b/>
                <w:bCs/>
                <w:szCs w:val="24"/>
                <w:lang w:val="en-US"/>
              </w:rPr>
              <w:instrText>Design</w:instrText>
            </w:r>
            <w:r w:rsidR="00053AE8" w:rsidRPr="002B3AE7">
              <w:rPr>
                <w:b/>
                <w:bCs/>
                <w:szCs w:val="24"/>
              </w:rPr>
              <w:instrText xml:space="preserve"> </w:instrText>
            </w:r>
            <w:r w:rsidR="00053AE8">
              <w:rPr>
                <w:b/>
                <w:bCs/>
                <w:szCs w:val="24"/>
                <w:lang w:val="en-US"/>
              </w:rPr>
              <w:instrText>and</w:instrText>
            </w:r>
            <w:r w:rsidR="00053AE8" w:rsidRPr="002B3AE7">
              <w:rPr>
                <w:b/>
                <w:bCs/>
                <w:szCs w:val="24"/>
              </w:rPr>
              <w:instrText xml:space="preserve"> </w:instrText>
            </w:r>
            <w:r w:rsidR="00053AE8">
              <w:rPr>
                <w:b/>
                <w:bCs/>
                <w:szCs w:val="24"/>
                <w:lang w:val="en-US"/>
              </w:rPr>
              <w:instrText>Methods</w:instrText>
            </w:r>
            <w:r w:rsidR="00053AE8" w:rsidRPr="002B3AE7">
              <w:rPr>
                <w:b/>
                <w:bCs/>
                <w:szCs w:val="24"/>
              </w:rPr>
              <w:instrText xml:space="preserve">: </w:instrText>
            </w:r>
            <w:r w:rsidR="00053AE8">
              <w:rPr>
                <w:b/>
                <w:bCs/>
                <w:szCs w:val="24"/>
                <w:lang w:val="en-US"/>
              </w:rPr>
              <w:instrText>Ninety</w:instrText>
            </w:r>
            <w:r w:rsidR="00053AE8" w:rsidRPr="002B3AE7">
              <w:rPr>
                <w:b/>
                <w:bCs/>
                <w:szCs w:val="24"/>
              </w:rPr>
              <w:instrText>-</w:instrText>
            </w:r>
            <w:r w:rsidR="00053AE8">
              <w:rPr>
                <w:b/>
                <w:bCs/>
                <w:szCs w:val="24"/>
                <w:lang w:val="en-US"/>
              </w:rPr>
              <w:instrText>one</w:instrText>
            </w:r>
            <w:r w:rsidR="00053AE8" w:rsidRPr="002B3AE7">
              <w:rPr>
                <w:b/>
                <w:bCs/>
                <w:szCs w:val="24"/>
              </w:rPr>
              <w:instrText xml:space="preserve"> </w:instrText>
            </w:r>
            <w:r w:rsidR="00053AE8">
              <w:rPr>
                <w:b/>
                <w:bCs/>
                <w:szCs w:val="24"/>
                <w:lang w:val="en-US"/>
              </w:rPr>
              <w:instrText>patients</w:instrText>
            </w:r>
            <w:r w:rsidR="00053AE8" w:rsidRPr="002B3AE7">
              <w:rPr>
                <w:b/>
                <w:bCs/>
                <w:szCs w:val="24"/>
              </w:rPr>
              <w:instrText xml:space="preserve"> </w:instrText>
            </w:r>
            <w:r w:rsidR="00053AE8">
              <w:rPr>
                <w:b/>
                <w:bCs/>
                <w:szCs w:val="24"/>
                <w:lang w:val="en-US"/>
              </w:rPr>
              <w:instrText>with</w:instrText>
            </w:r>
            <w:r w:rsidR="00053AE8" w:rsidRPr="002B3AE7">
              <w:rPr>
                <w:b/>
                <w:bCs/>
                <w:szCs w:val="24"/>
              </w:rPr>
              <w:instrText xml:space="preserve"> </w:instrText>
            </w:r>
            <w:r w:rsidR="00053AE8">
              <w:rPr>
                <w:b/>
                <w:bCs/>
                <w:szCs w:val="24"/>
                <w:lang w:val="en-US"/>
              </w:rPr>
              <w:instrText>refractory</w:instrText>
            </w:r>
            <w:r w:rsidR="00053AE8" w:rsidRPr="002B3AE7">
              <w:rPr>
                <w:b/>
                <w:bCs/>
                <w:szCs w:val="24"/>
              </w:rPr>
              <w:instrText xml:space="preserve"> </w:instrText>
            </w:r>
            <w:r w:rsidR="00053AE8">
              <w:rPr>
                <w:b/>
                <w:bCs/>
                <w:szCs w:val="24"/>
                <w:lang w:val="en-US"/>
              </w:rPr>
              <w:instrText>or</w:instrText>
            </w:r>
            <w:r w:rsidR="00053AE8" w:rsidRPr="002B3AE7">
              <w:rPr>
                <w:b/>
                <w:bCs/>
                <w:szCs w:val="24"/>
              </w:rPr>
              <w:instrText xml:space="preserve"> </w:instrText>
            </w:r>
            <w:r w:rsidR="00053AE8">
              <w:rPr>
                <w:b/>
                <w:bCs/>
                <w:szCs w:val="24"/>
                <w:lang w:val="en-US"/>
              </w:rPr>
              <w:instrText>relapsed</w:instrText>
            </w:r>
            <w:r w:rsidR="00053AE8" w:rsidRPr="002B3AE7">
              <w:rPr>
                <w:b/>
                <w:bCs/>
                <w:szCs w:val="24"/>
              </w:rPr>
              <w:instrText xml:space="preserve"> </w:instrText>
            </w:r>
            <w:r w:rsidR="00053AE8">
              <w:rPr>
                <w:b/>
                <w:bCs/>
                <w:szCs w:val="24"/>
                <w:lang w:val="en-US"/>
              </w:rPr>
              <w:instrText>Hodgkin</w:instrText>
            </w:r>
            <w:r w:rsidR="00053AE8" w:rsidRPr="002B3AE7">
              <w:rPr>
                <w:b/>
                <w:bCs/>
                <w:szCs w:val="24"/>
              </w:rPr>
              <w:instrText>'</w:instrText>
            </w:r>
            <w:r w:rsidR="00053AE8">
              <w:rPr>
                <w:b/>
                <w:bCs/>
                <w:szCs w:val="24"/>
                <w:lang w:val="en-US"/>
              </w:rPr>
              <w:instrText>s</w:instrText>
            </w:r>
            <w:r w:rsidR="00053AE8" w:rsidRPr="002B3AE7">
              <w:rPr>
                <w:b/>
                <w:bCs/>
                <w:szCs w:val="24"/>
              </w:rPr>
              <w:instrText xml:space="preserve"> </w:instrText>
            </w:r>
            <w:r w:rsidR="00053AE8">
              <w:rPr>
                <w:b/>
                <w:bCs/>
                <w:szCs w:val="24"/>
                <w:lang w:val="en-US"/>
              </w:rPr>
              <w:instrText>lymphoma</w:instrText>
            </w:r>
            <w:r w:rsidR="00053AE8" w:rsidRPr="002B3AE7">
              <w:rPr>
                <w:b/>
                <w:bCs/>
                <w:szCs w:val="24"/>
              </w:rPr>
              <w:instrText xml:space="preserve"> </w:instrText>
            </w:r>
            <w:r w:rsidR="00053AE8">
              <w:rPr>
                <w:b/>
                <w:bCs/>
                <w:szCs w:val="24"/>
                <w:lang w:val="en-US"/>
              </w:rPr>
              <w:instrText>were</w:instrText>
            </w:r>
            <w:r w:rsidR="00053AE8" w:rsidRPr="002B3AE7">
              <w:rPr>
                <w:b/>
                <w:bCs/>
                <w:szCs w:val="24"/>
              </w:rPr>
              <w:instrText xml:space="preserve"> </w:instrText>
            </w:r>
            <w:r w:rsidR="00053AE8">
              <w:rPr>
                <w:b/>
                <w:bCs/>
                <w:szCs w:val="24"/>
                <w:lang w:val="en-US"/>
              </w:rPr>
              <w:instrText>treated</w:instrText>
            </w:r>
            <w:r w:rsidR="00053AE8" w:rsidRPr="002B3AE7">
              <w:rPr>
                <w:b/>
                <w:bCs/>
                <w:szCs w:val="24"/>
              </w:rPr>
              <w:instrText xml:space="preserve"> </w:instrText>
            </w:r>
            <w:r w:rsidR="00053AE8">
              <w:rPr>
                <w:b/>
                <w:bCs/>
                <w:szCs w:val="24"/>
                <w:lang w:val="en-US"/>
              </w:rPr>
              <w:instrText>prospectively</w:instrText>
            </w:r>
            <w:r w:rsidR="00053AE8" w:rsidRPr="002B3AE7">
              <w:rPr>
                <w:b/>
                <w:bCs/>
                <w:szCs w:val="24"/>
              </w:rPr>
              <w:instrText xml:space="preserve"> </w:instrText>
            </w:r>
            <w:r w:rsidR="00053AE8">
              <w:rPr>
                <w:b/>
                <w:bCs/>
                <w:szCs w:val="24"/>
                <w:lang w:val="en-US"/>
              </w:rPr>
              <w:instrText>with</w:instrText>
            </w:r>
            <w:r w:rsidR="00053AE8" w:rsidRPr="002B3AE7">
              <w:rPr>
                <w:b/>
                <w:bCs/>
                <w:szCs w:val="24"/>
              </w:rPr>
              <w:instrText xml:space="preserve"> </w:instrText>
            </w:r>
            <w:r w:rsidR="00053AE8">
              <w:rPr>
                <w:b/>
                <w:bCs/>
                <w:szCs w:val="24"/>
                <w:lang w:val="en-US"/>
              </w:rPr>
              <w:instrText>a</w:instrText>
            </w:r>
            <w:r w:rsidR="00053AE8" w:rsidRPr="002B3AE7">
              <w:rPr>
                <w:b/>
                <w:bCs/>
                <w:szCs w:val="24"/>
              </w:rPr>
              <w:instrText xml:space="preserve"> </w:instrText>
            </w:r>
            <w:r w:rsidR="00053AE8">
              <w:rPr>
                <w:b/>
                <w:bCs/>
                <w:szCs w:val="24"/>
                <w:lang w:val="en-US"/>
              </w:rPr>
              <w:instrText>salvage</w:instrText>
            </w:r>
            <w:r w:rsidR="00053AE8" w:rsidRPr="002B3AE7">
              <w:rPr>
                <w:b/>
                <w:bCs/>
                <w:szCs w:val="24"/>
              </w:rPr>
              <w:instrText xml:space="preserve"> </w:instrText>
            </w:r>
            <w:r w:rsidR="00053AE8">
              <w:rPr>
                <w:b/>
                <w:bCs/>
                <w:szCs w:val="24"/>
                <w:lang w:val="en-US"/>
              </w:rPr>
              <w:instrText>regimen</w:instrText>
            </w:r>
            <w:r w:rsidR="00053AE8" w:rsidRPr="002B3AE7">
              <w:rPr>
                <w:b/>
                <w:bCs/>
                <w:szCs w:val="24"/>
              </w:rPr>
              <w:instrText xml:space="preserve"> </w:instrText>
            </w:r>
            <w:r w:rsidR="00053AE8">
              <w:rPr>
                <w:b/>
                <w:bCs/>
                <w:szCs w:val="24"/>
                <w:lang w:val="en-US"/>
              </w:rPr>
              <w:instrText>consisting</w:instrText>
            </w:r>
            <w:r w:rsidR="00053AE8" w:rsidRPr="002B3AE7">
              <w:rPr>
                <w:b/>
                <w:bCs/>
                <w:szCs w:val="24"/>
              </w:rPr>
              <w:instrText xml:space="preserve"> </w:instrText>
            </w:r>
            <w:r w:rsidR="00053AE8">
              <w:rPr>
                <w:b/>
                <w:bCs/>
                <w:szCs w:val="24"/>
                <w:lang w:val="en-US"/>
              </w:rPr>
              <w:instrText>of</w:instrText>
            </w:r>
            <w:r w:rsidR="00053AE8" w:rsidRPr="002B3AE7">
              <w:rPr>
                <w:b/>
                <w:bCs/>
                <w:szCs w:val="24"/>
              </w:rPr>
              <w:instrText xml:space="preserve"> </w:instrText>
            </w:r>
            <w:r w:rsidR="00053AE8">
              <w:rPr>
                <w:b/>
                <w:bCs/>
                <w:szCs w:val="24"/>
                <w:lang w:val="en-US"/>
              </w:rPr>
              <w:instrText>ifosfamide</w:instrText>
            </w:r>
            <w:r w:rsidR="00053AE8" w:rsidRPr="002B3AE7">
              <w:rPr>
                <w:b/>
                <w:bCs/>
                <w:szCs w:val="24"/>
              </w:rPr>
              <w:instrText xml:space="preserve"> 2000 </w:instrText>
            </w:r>
            <w:r w:rsidR="00053AE8">
              <w:rPr>
                <w:b/>
                <w:bCs/>
                <w:szCs w:val="24"/>
                <w:lang w:val="en-US"/>
              </w:rPr>
              <w:instrText>mg</w:instrText>
            </w:r>
            <w:r w:rsidR="00053AE8" w:rsidRPr="002B3AE7">
              <w:rPr>
                <w:b/>
                <w:bCs/>
                <w:szCs w:val="24"/>
              </w:rPr>
              <w:instrText>/</w:instrText>
            </w:r>
            <w:r w:rsidR="00053AE8">
              <w:rPr>
                <w:b/>
                <w:bCs/>
                <w:szCs w:val="24"/>
                <w:lang w:val="en-US"/>
              </w:rPr>
              <w:instrText>m</w:instrText>
            </w:r>
            <w:r w:rsidR="00053AE8" w:rsidRPr="002B3AE7">
              <w:rPr>
                <w:b/>
                <w:bCs/>
                <w:szCs w:val="24"/>
              </w:rPr>
              <w:instrText xml:space="preserve">2 </w:instrText>
            </w:r>
            <w:r w:rsidR="00053AE8">
              <w:rPr>
                <w:b/>
                <w:bCs/>
                <w:szCs w:val="24"/>
                <w:lang w:val="en-US"/>
              </w:rPr>
              <w:instrText>on</w:instrText>
            </w:r>
            <w:r w:rsidR="00053AE8" w:rsidRPr="002B3AE7">
              <w:rPr>
                <w:b/>
                <w:bCs/>
                <w:szCs w:val="24"/>
              </w:rPr>
              <w:instrText xml:space="preserve"> </w:instrText>
            </w:r>
            <w:r w:rsidR="00053AE8">
              <w:rPr>
                <w:b/>
                <w:bCs/>
                <w:szCs w:val="24"/>
                <w:lang w:val="en-US"/>
              </w:rPr>
              <w:instrText>days</w:instrText>
            </w:r>
            <w:r w:rsidR="00053AE8" w:rsidRPr="002B3AE7">
              <w:rPr>
                <w:b/>
                <w:bCs/>
                <w:szCs w:val="24"/>
              </w:rPr>
              <w:instrText xml:space="preserve"> 1 </w:instrText>
            </w:r>
            <w:r w:rsidR="00053AE8">
              <w:rPr>
                <w:b/>
                <w:bCs/>
                <w:szCs w:val="24"/>
                <w:lang w:val="en-US"/>
              </w:rPr>
              <w:instrText>to</w:instrText>
            </w:r>
            <w:r w:rsidR="00053AE8" w:rsidRPr="002B3AE7">
              <w:rPr>
                <w:b/>
                <w:bCs/>
                <w:szCs w:val="24"/>
              </w:rPr>
              <w:instrText xml:space="preserve"> 4, </w:instrText>
            </w:r>
            <w:r w:rsidR="00053AE8">
              <w:rPr>
                <w:b/>
                <w:bCs/>
                <w:szCs w:val="24"/>
                <w:lang w:val="en-US"/>
              </w:rPr>
              <w:instrText>gemcitabine</w:instrText>
            </w:r>
            <w:r w:rsidR="00053AE8" w:rsidRPr="002B3AE7">
              <w:rPr>
                <w:b/>
                <w:bCs/>
                <w:szCs w:val="24"/>
              </w:rPr>
              <w:instrText xml:space="preserve"> 800 </w:instrText>
            </w:r>
            <w:r w:rsidR="00053AE8">
              <w:rPr>
                <w:b/>
                <w:bCs/>
                <w:szCs w:val="24"/>
                <w:lang w:val="en-US"/>
              </w:rPr>
              <w:instrText>mg</w:instrText>
            </w:r>
            <w:r w:rsidR="00053AE8" w:rsidRPr="002B3AE7">
              <w:rPr>
                <w:b/>
                <w:bCs/>
                <w:szCs w:val="24"/>
              </w:rPr>
              <w:instrText>/</w:instrText>
            </w:r>
            <w:r w:rsidR="00053AE8">
              <w:rPr>
                <w:b/>
                <w:bCs/>
                <w:szCs w:val="24"/>
                <w:lang w:val="en-US"/>
              </w:rPr>
              <w:instrText>m</w:instrText>
            </w:r>
            <w:r w:rsidR="00053AE8" w:rsidRPr="002B3AE7">
              <w:rPr>
                <w:b/>
                <w:bCs/>
                <w:szCs w:val="24"/>
              </w:rPr>
              <w:instrText xml:space="preserve">2 </w:instrText>
            </w:r>
            <w:r w:rsidR="00053AE8">
              <w:rPr>
                <w:b/>
                <w:bCs/>
                <w:szCs w:val="24"/>
                <w:lang w:val="en-US"/>
              </w:rPr>
              <w:instrText>on</w:instrText>
            </w:r>
            <w:r w:rsidR="00053AE8" w:rsidRPr="002B3AE7">
              <w:rPr>
                <w:b/>
                <w:bCs/>
                <w:szCs w:val="24"/>
              </w:rPr>
              <w:instrText xml:space="preserve"> </w:instrText>
            </w:r>
            <w:r w:rsidR="00053AE8">
              <w:rPr>
                <w:b/>
                <w:bCs/>
                <w:szCs w:val="24"/>
                <w:lang w:val="en-US"/>
              </w:rPr>
              <w:instrText>days</w:instrText>
            </w:r>
            <w:r w:rsidR="00053AE8" w:rsidRPr="002B3AE7">
              <w:rPr>
                <w:b/>
                <w:bCs/>
                <w:szCs w:val="24"/>
              </w:rPr>
              <w:instrText xml:space="preserve"> 1 </w:instrText>
            </w:r>
            <w:r w:rsidR="00053AE8">
              <w:rPr>
                <w:b/>
                <w:bCs/>
                <w:szCs w:val="24"/>
                <w:lang w:val="en-US"/>
              </w:rPr>
              <w:instrText>and</w:instrText>
            </w:r>
            <w:r w:rsidR="00053AE8" w:rsidRPr="002B3AE7">
              <w:rPr>
                <w:b/>
                <w:bCs/>
                <w:szCs w:val="24"/>
              </w:rPr>
              <w:instrText xml:space="preserve"> 4, </w:instrText>
            </w:r>
            <w:r w:rsidR="00053AE8">
              <w:rPr>
                <w:b/>
                <w:bCs/>
                <w:szCs w:val="24"/>
                <w:lang w:val="en-US"/>
              </w:rPr>
              <w:instrText>vinorelbine</w:instrText>
            </w:r>
            <w:r w:rsidR="00053AE8" w:rsidRPr="002B3AE7">
              <w:rPr>
                <w:b/>
                <w:bCs/>
                <w:szCs w:val="24"/>
              </w:rPr>
              <w:instrText xml:space="preserve"> 20 </w:instrText>
            </w:r>
            <w:r w:rsidR="00053AE8">
              <w:rPr>
                <w:b/>
                <w:bCs/>
                <w:szCs w:val="24"/>
                <w:lang w:val="en-US"/>
              </w:rPr>
              <w:instrText>mg</w:instrText>
            </w:r>
            <w:r w:rsidR="00053AE8" w:rsidRPr="002B3AE7">
              <w:rPr>
                <w:b/>
                <w:bCs/>
                <w:szCs w:val="24"/>
              </w:rPr>
              <w:instrText>/</w:instrText>
            </w:r>
            <w:r w:rsidR="00053AE8">
              <w:rPr>
                <w:b/>
                <w:bCs/>
                <w:szCs w:val="24"/>
                <w:lang w:val="en-US"/>
              </w:rPr>
              <w:instrText>m</w:instrText>
            </w:r>
            <w:r w:rsidR="00053AE8" w:rsidRPr="002B3AE7">
              <w:rPr>
                <w:b/>
                <w:bCs/>
                <w:szCs w:val="24"/>
              </w:rPr>
              <w:instrText xml:space="preserve">2 </w:instrText>
            </w:r>
            <w:r w:rsidR="00053AE8">
              <w:rPr>
                <w:b/>
                <w:bCs/>
                <w:szCs w:val="24"/>
                <w:lang w:val="en-US"/>
              </w:rPr>
              <w:instrText>on</w:instrText>
            </w:r>
            <w:r w:rsidR="00053AE8" w:rsidRPr="002B3AE7">
              <w:rPr>
                <w:b/>
                <w:bCs/>
                <w:szCs w:val="24"/>
              </w:rPr>
              <w:instrText xml:space="preserve"> </w:instrText>
            </w:r>
            <w:r w:rsidR="00053AE8">
              <w:rPr>
                <w:b/>
                <w:bCs/>
                <w:szCs w:val="24"/>
                <w:lang w:val="en-US"/>
              </w:rPr>
              <w:instrText>day</w:instrText>
            </w:r>
            <w:r w:rsidR="00053AE8" w:rsidRPr="002B3AE7">
              <w:rPr>
                <w:b/>
                <w:bCs/>
                <w:szCs w:val="24"/>
              </w:rPr>
              <w:instrText xml:space="preserve"> 1, </w:instrText>
            </w:r>
            <w:r w:rsidR="00053AE8">
              <w:rPr>
                <w:b/>
                <w:bCs/>
                <w:szCs w:val="24"/>
                <w:lang w:val="en-US"/>
              </w:rPr>
              <w:instrText>and</w:instrText>
            </w:r>
            <w:r w:rsidR="00053AE8" w:rsidRPr="002B3AE7">
              <w:rPr>
                <w:b/>
                <w:bCs/>
                <w:szCs w:val="24"/>
              </w:rPr>
              <w:instrText xml:space="preserve"> </w:instrText>
            </w:r>
            <w:r w:rsidR="00053AE8">
              <w:rPr>
                <w:b/>
                <w:bCs/>
                <w:szCs w:val="24"/>
                <w:lang w:val="en-US"/>
              </w:rPr>
              <w:instrText>prednisolone</w:instrText>
            </w:r>
            <w:r w:rsidR="00053AE8" w:rsidRPr="002B3AE7">
              <w:rPr>
                <w:b/>
                <w:bCs/>
                <w:szCs w:val="24"/>
              </w:rPr>
              <w:instrText xml:space="preserve"> 100 </w:instrText>
            </w:r>
            <w:r w:rsidR="00053AE8">
              <w:rPr>
                <w:b/>
                <w:bCs/>
                <w:szCs w:val="24"/>
                <w:lang w:val="en-US"/>
              </w:rPr>
              <w:instrText>mg</w:instrText>
            </w:r>
            <w:r w:rsidR="00053AE8" w:rsidRPr="002B3AE7">
              <w:rPr>
                <w:b/>
                <w:bCs/>
                <w:szCs w:val="24"/>
              </w:rPr>
              <w:instrText xml:space="preserve"> </w:instrText>
            </w:r>
            <w:r w:rsidR="00053AE8">
              <w:rPr>
                <w:b/>
                <w:bCs/>
                <w:szCs w:val="24"/>
                <w:lang w:val="en-US"/>
              </w:rPr>
              <w:instrText>on</w:instrText>
            </w:r>
            <w:r w:rsidR="00053AE8" w:rsidRPr="002B3AE7">
              <w:rPr>
                <w:b/>
                <w:bCs/>
                <w:szCs w:val="24"/>
              </w:rPr>
              <w:instrText xml:space="preserve"> </w:instrText>
            </w:r>
            <w:r w:rsidR="00053AE8">
              <w:rPr>
                <w:b/>
                <w:bCs/>
                <w:szCs w:val="24"/>
                <w:lang w:val="en-US"/>
              </w:rPr>
              <w:instrText>days</w:instrText>
            </w:r>
            <w:r w:rsidR="00053AE8" w:rsidRPr="002B3AE7">
              <w:rPr>
                <w:b/>
                <w:bCs/>
                <w:szCs w:val="24"/>
              </w:rPr>
              <w:instrText xml:space="preserve"> 1 </w:instrText>
            </w:r>
            <w:r w:rsidR="00053AE8">
              <w:rPr>
                <w:b/>
                <w:bCs/>
                <w:szCs w:val="24"/>
                <w:lang w:val="en-US"/>
              </w:rPr>
              <w:instrText>to</w:instrText>
            </w:r>
            <w:r w:rsidR="00053AE8" w:rsidRPr="002B3AE7">
              <w:rPr>
                <w:b/>
                <w:bCs/>
                <w:szCs w:val="24"/>
              </w:rPr>
              <w:instrText xml:space="preserve"> 4 (</w:instrText>
            </w:r>
            <w:r w:rsidR="00053AE8">
              <w:rPr>
                <w:b/>
                <w:bCs/>
                <w:szCs w:val="24"/>
                <w:lang w:val="en-US"/>
              </w:rPr>
              <w:instrText>IGEV</w:instrText>
            </w:r>
            <w:r w:rsidR="00053AE8" w:rsidRPr="002B3AE7">
              <w:rPr>
                <w:b/>
                <w:bCs/>
                <w:szCs w:val="24"/>
              </w:rPr>
              <w:instrText xml:space="preserve">). </w:instrText>
            </w:r>
            <w:r w:rsidR="00053AE8">
              <w:rPr>
                <w:b/>
                <w:bCs/>
                <w:szCs w:val="24"/>
                <w:lang w:val="en-US"/>
              </w:rPr>
              <w:instrText>Results</w:instrText>
            </w:r>
            <w:r w:rsidR="00053AE8" w:rsidRPr="002B3AE7">
              <w:rPr>
                <w:b/>
                <w:bCs/>
                <w:szCs w:val="24"/>
              </w:rPr>
              <w:instrText xml:space="preserve">: </w:instrText>
            </w:r>
            <w:r w:rsidR="00053AE8">
              <w:rPr>
                <w:b/>
                <w:bCs/>
                <w:szCs w:val="24"/>
                <w:lang w:val="en-US"/>
              </w:rPr>
              <w:instrText>Forty</w:instrText>
            </w:r>
            <w:r w:rsidR="00053AE8" w:rsidRPr="002B3AE7">
              <w:rPr>
                <w:b/>
                <w:bCs/>
                <w:szCs w:val="24"/>
              </w:rPr>
              <w:instrText>-</w:instrText>
            </w:r>
            <w:r w:rsidR="00053AE8">
              <w:rPr>
                <w:b/>
                <w:bCs/>
                <w:szCs w:val="24"/>
                <w:lang w:val="en-US"/>
              </w:rPr>
              <w:instrText>nine</w:instrText>
            </w:r>
            <w:r w:rsidR="00053AE8" w:rsidRPr="002B3AE7">
              <w:rPr>
                <w:b/>
                <w:bCs/>
                <w:szCs w:val="24"/>
              </w:rPr>
              <w:instrText xml:space="preserve"> </w:instrText>
            </w:r>
            <w:r w:rsidR="00053AE8">
              <w:rPr>
                <w:b/>
                <w:bCs/>
                <w:szCs w:val="24"/>
                <w:lang w:val="en-US"/>
              </w:rPr>
              <w:instrText>patients</w:instrText>
            </w:r>
            <w:r w:rsidR="00053AE8" w:rsidRPr="002B3AE7">
              <w:rPr>
                <w:b/>
                <w:bCs/>
                <w:szCs w:val="24"/>
              </w:rPr>
              <w:instrText xml:space="preserve"> (53.8%) </w:instrText>
            </w:r>
            <w:r w:rsidR="00053AE8">
              <w:rPr>
                <w:b/>
                <w:bCs/>
                <w:szCs w:val="24"/>
                <w:lang w:val="en-US"/>
              </w:rPr>
              <w:instrText>achieved</w:instrText>
            </w:r>
            <w:r w:rsidR="00053AE8" w:rsidRPr="002B3AE7">
              <w:rPr>
                <w:b/>
                <w:bCs/>
                <w:szCs w:val="24"/>
              </w:rPr>
              <w:instrText xml:space="preserve"> </w:instrText>
            </w:r>
            <w:r w:rsidR="00053AE8">
              <w:rPr>
                <w:b/>
                <w:bCs/>
                <w:szCs w:val="24"/>
                <w:lang w:val="en-US"/>
              </w:rPr>
              <w:instrText>a</w:instrText>
            </w:r>
            <w:r w:rsidR="00053AE8" w:rsidRPr="002B3AE7">
              <w:rPr>
                <w:b/>
                <w:bCs/>
                <w:szCs w:val="24"/>
              </w:rPr>
              <w:instrText xml:space="preserve"> </w:instrText>
            </w:r>
            <w:r w:rsidR="00053AE8">
              <w:rPr>
                <w:b/>
                <w:bCs/>
                <w:szCs w:val="24"/>
                <w:lang w:val="en-US"/>
              </w:rPr>
              <w:instrText>complete</w:instrText>
            </w:r>
            <w:r w:rsidR="00053AE8" w:rsidRPr="002B3AE7">
              <w:rPr>
                <w:b/>
                <w:bCs/>
                <w:szCs w:val="24"/>
              </w:rPr>
              <w:instrText xml:space="preserve"> </w:instrText>
            </w:r>
            <w:r w:rsidR="00053AE8">
              <w:rPr>
                <w:b/>
                <w:bCs/>
                <w:szCs w:val="24"/>
                <w:lang w:val="en-US"/>
              </w:rPr>
              <w:instrText>remission</w:instrText>
            </w:r>
            <w:r w:rsidR="00053AE8" w:rsidRPr="002B3AE7">
              <w:rPr>
                <w:b/>
                <w:bCs/>
                <w:szCs w:val="24"/>
              </w:rPr>
              <w:instrText xml:space="preserve"> </w:instrText>
            </w:r>
            <w:r w:rsidR="00053AE8">
              <w:rPr>
                <w:b/>
                <w:bCs/>
                <w:szCs w:val="24"/>
                <w:lang w:val="en-US"/>
              </w:rPr>
              <w:instrText>and</w:instrText>
            </w:r>
            <w:r w:rsidR="00053AE8" w:rsidRPr="002B3AE7">
              <w:rPr>
                <w:b/>
                <w:bCs/>
                <w:szCs w:val="24"/>
              </w:rPr>
              <w:instrText xml:space="preserve"> 25 (27.5%) </w:instrText>
            </w:r>
            <w:r w:rsidR="00053AE8">
              <w:rPr>
                <w:b/>
                <w:bCs/>
                <w:szCs w:val="24"/>
                <w:lang w:val="en-US"/>
              </w:rPr>
              <w:instrText>a</w:instrText>
            </w:r>
            <w:r w:rsidR="00053AE8" w:rsidRPr="002B3AE7">
              <w:rPr>
                <w:b/>
                <w:bCs/>
                <w:szCs w:val="24"/>
              </w:rPr>
              <w:instrText xml:space="preserve"> </w:instrText>
            </w:r>
            <w:r w:rsidR="00053AE8">
              <w:rPr>
                <w:b/>
                <w:bCs/>
                <w:szCs w:val="24"/>
                <w:lang w:val="en-US"/>
              </w:rPr>
              <w:instrText>partial</w:instrText>
            </w:r>
            <w:r w:rsidR="00053AE8" w:rsidRPr="002B3AE7">
              <w:rPr>
                <w:b/>
                <w:bCs/>
                <w:szCs w:val="24"/>
              </w:rPr>
              <w:instrText xml:space="preserve"> </w:instrText>
            </w:r>
            <w:r w:rsidR="00053AE8">
              <w:rPr>
                <w:b/>
                <w:bCs/>
                <w:szCs w:val="24"/>
                <w:lang w:val="en-US"/>
              </w:rPr>
              <w:instrText>response</w:instrText>
            </w:r>
            <w:r w:rsidR="00053AE8" w:rsidRPr="002B3AE7">
              <w:rPr>
                <w:b/>
                <w:bCs/>
                <w:szCs w:val="24"/>
              </w:rPr>
              <w:instrText xml:space="preserve"> </w:instrText>
            </w:r>
            <w:r w:rsidR="00053AE8">
              <w:rPr>
                <w:b/>
                <w:bCs/>
                <w:szCs w:val="24"/>
                <w:lang w:val="en-US"/>
              </w:rPr>
              <w:instrText>for</w:instrText>
            </w:r>
            <w:r w:rsidR="00053AE8" w:rsidRPr="002B3AE7">
              <w:rPr>
                <w:b/>
                <w:bCs/>
                <w:szCs w:val="24"/>
              </w:rPr>
              <w:instrText xml:space="preserve"> </w:instrText>
            </w:r>
            <w:r w:rsidR="00053AE8">
              <w:rPr>
                <w:b/>
                <w:bCs/>
                <w:szCs w:val="24"/>
                <w:lang w:val="en-US"/>
              </w:rPr>
              <w:instrText>an</w:instrText>
            </w:r>
            <w:r w:rsidR="00053AE8" w:rsidRPr="002B3AE7">
              <w:rPr>
                <w:b/>
                <w:bCs/>
                <w:szCs w:val="24"/>
              </w:rPr>
              <w:instrText xml:space="preserve"> </w:instrText>
            </w:r>
            <w:r w:rsidR="00053AE8">
              <w:rPr>
                <w:b/>
                <w:bCs/>
                <w:szCs w:val="24"/>
                <w:lang w:val="en-US"/>
              </w:rPr>
              <w:instrText>overall</w:instrText>
            </w:r>
            <w:r w:rsidR="00053AE8" w:rsidRPr="002B3AE7">
              <w:rPr>
                <w:b/>
                <w:bCs/>
                <w:szCs w:val="24"/>
              </w:rPr>
              <w:instrText xml:space="preserve"> </w:instrText>
            </w:r>
            <w:r w:rsidR="00053AE8">
              <w:rPr>
                <w:b/>
                <w:bCs/>
                <w:szCs w:val="24"/>
                <w:lang w:val="en-US"/>
              </w:rPr>
              <w:instrText>response</w:instrText>
            </w:r>
            <w:r w:rsidR="00053AE8" w:rsidRPr="002B3AE7">
              <w:rPr>
                <w:b/>
                <w:bCs/>
                <w:szCs w:val="24"/>
              </w:rPr>
              <w:instrText xml:space="preserve"> </w:instrText>
            </w:r>
            <w:r w:rsidR="00053AE8">
              <w:rPr>
                <w:b/>
                <w:bCs/>
                <w:szCs w:val="24"/>
                <w:lang w:val="en-US"/>
              </w:rPr>
              <w:instrText>rate</w:instrText>
            </w:r>
            <w:r w:rsidR="00053AE8" w:rsidRPr="002B3AE7">
              <w:rPr>
                <w:b/>
                <w:bCs/>
                <w:szCs w:val="24"/>
              </w:rPr>
              <w:instrText xml:space="preserve"> </w:instrText>
            </w:r>
            <w:r w:rsidR="00053AE8">
              <w:rPr>
                <w:b/>
                <w:bCs/>
                <w:szCs w:val="24"/>
                <w:lang w:val="en-US"/>
              </w:rPr>
              <w:instrText>of</w:instrText>
            </w:r>
            <w:r w:rsidR="00053AE8" w:rsidRPr="002B3AE7">
              <w:rPr>
                <w:b/>
                <w:bCs/>
                <w:szCs w:val="24"/>
              </w:rPr>
              <w:instrText xml:space="preserve"> 81.3%. </w:instrText>
            </w:r>
            <w:r w:rsidR="00053AE8">
              <w:rPr>
                <w:b/>
                <w:bCs/>
                <w:szCs w:val="24"/>
                <w:lang w:val="en-US"/>
              </w:rPr>
              <w:instrText>In</w:instrText>
            </w:r>
            <w:r w:rsidR="00053AE8" w:rsidRPr="002B3AE7">
              <w:rPr>
                <w:b/>
                <w:bCs/>
                <w:szCs w:val="24"/>
              </w:rPr>
              <w:instrText xml:space="preserve"> </w:instrText>
            </w:r>
            <w:r w:rsidR="00053AE8">
              <w:rPr>
                <w:b/>
                <w:bCs/>
                <w:szCs w:val="24"/>
                <w:lang w:val="en-US"/>
              </w:rPr>
              <w:instrText>the</w:instrText>
            </w:r>
            <w:r w:rsidR="00053AE8" w:rsidRPr="002B3AE7">
              <w:rPr>
                <w:b/>
                <w:bCs/>
                <w:szCs w:val="24"/>
              </w:rPr>
              <w:instrText xml:space="preserve"> </w:instrText>
            </w:r>
            <w:r w:rsidR="00053AE8">
              <w:rPr>
                <w:b/>
                <w:bCs/>
                <w:szCs w:val="24"/>
                <w:lang w:val="en-US"/>
              </w:rPr>
              <w:instrText>multivariate</w:instrText>
            </w:r>
            <w:r w:rsidR="00053AE8" w:rsidRPr="002B3AE7">
              <w:rPr>
                <w:b/>
                <w:bCs/>
                <w:szCs w:val="24"/>
              </w:rPr>
              <w:instrText xml:space="preserve"> </w:instrText>
            </w:r>
            <w:r w:rsidR="00053AE8">
              <w:rPr>
                <w:b/>
                <w:bCs/>
                <w:szCs w:val="24"/>
                <w:lang w:val="en-US"/>
              </w:rPr>
              <w:instrText>analysis</w:instrText>
            </w:r>
            <w:r w:rsidR="00053AE8" w:rsidRPr="002B3AE7">
              <w:rPr>
                <w:b/>
                <w:bCs/>
                <w:szCs w:val="24"/>
              </w:rPr>
              <w:instrText xml:space="preserve"> </w:instrText>
            </w:r>
            <w:r w:rsidR="00053AE8">
              <w:rPr>
                <w:b/>
                <w:bCs/>
                <w:szCs w:val="24"/>
                <w:lang w:val="en-US"/>
              </w:rPr>
              <w:instrText>response</w:instrText>
            </w:r>
            <w:r w:rsidR="00053AE8" w:rsidRPr="002B3AE7">
              <w:rPr>
                <w:b/>
                <w:bCs/>
                <w:szCs w:val="24"/>
              </w:rPr>
              <w:instrText xml:space="preserve"> </w:instrText>
            </w:r>
            <w:r w:rsidR="00053AE8">
              <w:rPr>
                <w:b/>
                <w:bCs/>
                <w:szCs w:val="24"/>
                <w:lang w:val="en-US"/>
              </w:rPr>
              <w:instrText>to</w:instrText>
            </w:r>
            <w:r w:rsidR="00053AE8" w:rsidRPr="002B3AE7">
              <w:rPr>
                <w:b/>
                <w:bCs/>
                <w:szCs w:val="24"/>
              </w:rPr>
              <w:instrText xml:space="preserve"> </w:instrText>
            </w:r>
            <w:r w:rsidR="00053AE8">
              <w:rPr>
                <w:b/>
                <w:bCs/>
                <w:szCs w:val="24"/>
                <w:lang w:val="en-US"/>
              </w:rPr>
              <w:instrText>the</w:instrText>
            </w:r>
            <w:r w:rsidR="00053AE8" w:rsidRPr="002B3AE7">
              <w:rPr>
                <w:b/>
                <w:bCs/>
                <w:szCs w:val="24"/>
              </w:rPr>
              <w:instrText xml:space="preserve"> </w:instrText>
            </w:r>
            <w:r w:rsidR="00053AE8">
              <w:rPr>
                <w:b/>
                <w:bCs/>
                <w:szCs w:val="24"/>
                <w:lang w:val="en-US"/>
              </w:rPr>
              <w:instrText>last</w:instrText>
            </w:r>
            <w:r w:rsidR="00053AE8" w:rsidRPr="002B3AE7">
              <w:rPr>
                <w:b/>
                <w:bCs/>
                <w:szCs w:val="24"/>
              </w:rPr>
              <w:instrText xml:space="preserve"> </w:instrText>
            </w:r>
            <w:r w:rsidR="00053AE8">
              <w:rPr>
                <w:b/>
                <w:bCs/>
                <w:szCs w:val="24"/>
                <w:lang w:val="en-US"/>
              </w:rPr>
              <w:instrText>chemotherapy</w:instrText>
            </w:r>
            <w:r w:rsidR="00053AE8" w:rsidRPr="002B3AE7">
              <w:rPr>
                <w:b/>
                <w:bCs/>
                <w:szCs w:val="24"/>
              </w:rPr>
              <w:instrText xml:space="preserve"> (</w:instrText>
            </w:r>
            <w:r w:rsidR="00053AE8">
              <w:rPr>
                <w:b/>
                <w:bCs/>
                <w:szCs w:val="24"/>
                <w:lang w:val="en-US"/>
              </w:rPr>
              <w:instrText>p</w:instrText>
            </w:r>
            <w:r w:rsidR="00053AE8" w:rsidRPr="002B3AE7">
              <w:rPr>
                <w:b/>
                <w:bCs/>
                <w:szCs w:val="24"/>
              </w:rPr>
              <w:instrText xml:space="preserve">&lt;0.0001) </w:instrText>
            </w:r>
            <w:r w:rsidR="00053AE8">
              <w:rPr>
                <w:b/>
                <w:bCs/>
                <w:szCs w:val="24"/>
                <w:lang w:val="en-US"/>
              </w:rPr>
              <w:instrText>and</w:instrText>
            </w:r>
            <w:r w:rsidR="00053AE8" w:rsidRPr="002B3AE7">
              <w:rPr>
                <w:b/>
                <w:bCs/>
                <w:szCs w:val="24"/>
              </w:rPr>
              <w:instrText xml:space="preserve"> </w:instrText>
            </w:r>
            <w:r w:rsidR="00053AE8">
              <w:rPr>
                <w:b/>
                <w:bCs/>
                <w:szCs w:val="24"/>
                <w:lang w:val="en-US"/>
              </w:rPr>
              <w:instrText>involvement</w:instrText>
            </w:r>
            <w:r w:rsidR="00053AE8" w:rsidRPr="002B3AE7">
              <w:rPr>
                <w:b/>
                <w:bCs/>
                <w:szCs w:val="24"/>
              </w:rPr>
              <w:instrText xml:space="preserve"> </w:instrText>
            </w:r>
            <w:r w:rsidR="00053AE8">
              <w:rPr>
                <w:b/>
                <w:bCs/>
                <w:szCs w:val="24"/>
                <w:lang w:val="en-US"/>
              </w:rPr>
              <w:instrText>of</w:instrText>
            </w:r>
            <w:r w:rsidR="00053AE8" w:rsidRPr="002B3AE7">
              <w:rPr>
                <w:b/>
                <w:bCs/>
                <w:szCs w:val="24"/>
              </w:rPr>
              <w:instrText xml:space="preserve"> ≥3 </w:instrText>
            </w:r>
            <w:r w:rsidR="00053AE8">
              <w:rPr>
                <w:b/>
                <w:bCs/>
                <w:szCs w:val="24"/>
                <w:lang w:val="en-US"/>
              </w:rPr>
              <w:instrText>sites</w:instrText>
            </w:r>
            <w:r w:rsidR="00053AE8" w:rsidRPr="002B3AE7">
              <w:rPr>
                <w:b/>
                <w:bCs/>
                <w:szCs w:val="24"/>
              </w:rPr>
              <w:instrText xml:space="preserve"> (</w:instrText>
            </w:r>
            <w:r w:rsidR="00053AE8">
              <w:rPr>
                <w:b/>
                <w:bCs/>
                <w:szCs w:val="24"/>
                <w:lang w:val="en-US"/>
              </w:rPr>
              <w:instrText>p</w:instrText>
            </w:r>
            <w:r w:rsidR="00053AE8" w:rsidRPr="002B3AE7">
              <w:rPr>
                <w:b/>
                <w:bCs/>
                <w:szCs w:val="24"/>
              </w:rPr>
              <w:instrText xml:space="preserve">&lt;0.049) </w:instrText>
            </w:r>
            <w:r w:rsidR="00053AE8">
              <w:rPr>
                <w:b/>
                <w:bCs/>
                <w:szCs w:val="24"/>
                <w:lang w:val="en-US"/>
              </w:rPr>
              <w:instrText>were</w:instrText>
            </w:r>
            <w:r w:rsidR="00053AE8" w:rsidRPr="002B3AE7">
              <w:rPr>
                <w:b/>
                <w:bCs/>
                <w:szCs w:val="24"/>
              </w:rPr>
              <w:instrText xml:space="preserve"> </w:instrText>
            </w:r>
            <w:r w:rsidR="00053AE8">
              <w:rPr>
                <w:b/>
                <w:bCs/>
                <w:szCs w:val="24"/>
                <w:lang w:val="en-US"/>
              </w:rPr>
              <w:instrText>the</w:instrText>
            </w:r>
            <w:r w:rsidR="00053AE8" w:rsidRPr="002B3AE7">
              <w:rPr>
                <w:b/>
                <w:bCs/>
                <w:szCs w:val="24"/>
              </w:rPr>
              <w:instrText xml:space="preserve"> </w:instrText>
            </w:r>
            <w:r w:rsidR="00053AE8">
              <w:rPr>
                <w:b/>
                <w:bCs/>
                <w:szCs w:val="24"/>
                <w:lang w:val="en-US"/>
              </w:rPr>
              <w:instrText>most</w:instrText>
            </w:r>
            <w:r w:rsidR="00053AE8" w:rsidRPr="002B3AE7">
              <w:rPr>
                <w:b/>
                <w:bCs/>
                <w:szCs w:val="24"/>
              </w:rPr>
              <w:instrText xml:space="preserve"> </w:instrText>
            </w:r>
            <w:r w:rsidR="00053AE8">
              <w:rPr>
                <w:b/>
                <w:bCs/>
                <w:szCs w:val="24"/>
                <w:lang w:val="en-US"/>
              </w:rPr>
              <w:instrText>important</w:instrText>
            </w:r>
            <w:r w:rsidR="00053AE8" w:rsidRPr="002B3AE7">
              <w:rPr>
                <w:b/>
                <w:bCs/>
                <w:szCs w:val="24"/>
              </w:rPr>
              <w:instrText xml:space="preserve"> </w:instrText>
            </w:r>
            <w:r w:rsidR="00053AE8">
              <w:rPr>
                <w:b/>
                <w:bCs/>
                <w:szCs w:val="24"/>
                <w:lang w:val="en-US"/>
              </w:rPr>
              <w:instrText>prognostic</w:instrText>
            </w:r>
            <w:r w:rsidR="00053AE8" w:rsidRPr="002B3AE7">
              <w:rPr>
                <w:b/>
                <w:bCs/>
                <w:szCs w:val="24"/>
              </w:rPr>
              <w:instrText xml:space="preserve"> </w:instrText>
            </w:r>
            <w:r w:rsidR="00053AE8">
              <w:rPr>
                <w:b/>
                <w:bCs/>
                <w:szCs w:val="24"/>
                <w:lang w:val="en-US"/>
              </w:rPr>
              <w:instrText>factors</w:instrText>
            </w:r>
            <w:r w:rsidR="00053AE8" w:rsidRPr="002B3AE7">
              <w:rPr>
                <w:b/>
                <w:bCs/>
                <w:szCs w:val="24"/>
              </w:rPr>
              <w:instrText xml:space="preserve"> </w:instrText>
            </w:r>
            <w:r w:rsidR="00053AE8">
              <w:rPr>
                <w:b/>
                <w:bCs/>
                <w:szCs w:val="24"/>
                <w:lang w:val="en-US"/>
              </w:rPr>
              <w:instrText>for</w:instrText>
            </w:r>
            <w:r w:rsidR="00053AE8" w:rsidRPr="002B3AE7">
              <w:rPr>
                <w:b/>
                <w:bCs/>
                <w:szCs w:val="24"/>
              </w:rPr>
              <w:instrText xml:space="preserve"> </w:instrText>
            </w:r>
            <w:r w:rsidR="00053AE8">
              <w:rPr>
                <w:b/>
                <w:bCs/>
                <w:szCs w:val="24"/>
                <w:lang w:val="en-US"/>
              </w:rPr>
              <w:instrText>response</w:instrText>
            </w:r>
            <w:r w:rsidR="00053AE8" w:rsidRPr="002B3AE7">
              <w:rPr>
                <w:b/>
                <w:bCs/>
                <w:szCs w:val="24"/>
              </w:rPr>
              <w:instrText xml:space="preserve">. </w:instrText>
            </w:r>
            <w:r w:rsidR="00053AE8">
              <w:rPr>
                <w:b/>
                <w:bCs/>
                <w:szCs w:val="24"/>
                <w:lang w:val="en-US"/>
              </w:rPr>
              <w:instrText>Adequate</w:instrText>
            </w:r>
            <w:r w:rsidR="00053AE8" w:rsidRPr="002B3AE7">
              <w:rPr>
                <w:b/>
                <w:bCs/>
                <w:szCs w:val="24"/>
              </w:rPr>
              <w:instrText xml:space="preserve"> </w:instrText>
            </w:r>
            <w:r w:rsidR="00053AE8">
              <w:rPr>
                <w:b/>
                <w:bCs/>
                <w:szCs w:val="24"/>
                <w:lang w:val="en-US"/>
              </w:rPr>
              <w:instrText>CD</w:instrText>
            </w:r>
            <w:r w:rsidR="00053AE8" w:rsidRPr="002B3AE7">
              <w:rPr>
                <w:b/>
                <w:bCs/>
                <w:szCs w:val="24"/>
              </w:rPr>
              <w:instrText xml:space="preserve">34+ </w:instrText>
            </w:r>
            <w:r w:rsidR="00053AE8">
              <w:rPr>
                <w:b/>
                <w:bCs/>
                <w:szCs w:val="24"/>
                <w:lang w:val="en-US"/>
              </w:rPr>
              <w:instrText>cell</w:instrText>
            </w:r>
            <w:r w:rsidR="00053AE8" w:rsidRPr="002B3AE7">
              <w:rPr>
                <w:b/>
                <w:bCs/>
                <w:szCs w:val="24"/>
              </w:rPr>
              <w:instrText xml:space="preserve"> </w:instrText>
            </w:r>
            <w:r w:rsidR="00053AE8">
              <w:rPr>
                <w:b/>
                <w:bCs/>
                <w:szCs w:val="24"/>
                <w:lang w:val="en-US"/>
              </w:rPr>
              <w:instrText>collection</w:instrText>
            </w:r>
            <w:r w:rsidR="00053AE8" w:rsidRPr="002B3AE7">
              <w:rPr>
                <w:b/>
                <w:bCs/>
                <w:szCs w:val="24"/>
              </w:rPr>
              <w:instrText xml:space="preserve"> </w:instrText>
            </w:r>
            <w:r w:rsidR="00053AE8">
              <w:rPr>
                <w:b/>
                <w:bCs/>
                <w:szCs w:val="24"/>
                <w:lang w:val="en-US"/>
              </w:rPr>
              <w:instrText>was</w:instrText>
            </w:r>
            <w:r w:rsidR="00053AE8" w:rsidRPr="002B3AE7">
              <w:rPr>
                <w:b/>
                <w:bCs/>
                <w:szCs w:val="24"/>
              </w:rPr>
              <w:instrText xml:space="preserve"> </w:instrText>
            </w:r>
            <w:r w:rsidR="00053AE8">
              <w:rPr>
                <w:b/>
                <w:bCs/>
                <w:szCs w:val="24"/>
                <w:lang w:val="en-US"/>
              </w:rPr>
              <w:instrText>achieved</w:instrText>
            </w:r>
            <w:r w:rsidR="00053AE8" w:rsidRPr="002B3AE7">
              <w:rPr>
                <w:b/>
                <w:bCs/>
                <w:szCs w:val="24"/>
              </w:rPr>
              <w:instrText xml:space="preserve"> </w:instrText>
            </w:r>
            <w:r w:rsidR="00053AE8">
              <w:rPr>
                <w:b/>
                <w:bCs/>
                <w:szCs w:val="24"/>
                <w:lang w:val="en-US"/>
              </w:rPr>
              <w:instrText>in</w:instrText>
            </w:r>
            <w:r w:rsidR="00053AE8" w:rsidRPr="002B3AE7">
              <w:rPr>
                <w:b/>
                <w:bCs/>
                <w:szCs w:val="24"/>
              </w:rPr>
              <w:instrText xml:space="preserve"> 78 </w:instrText>
            </w:r>
            <w:r w:rsidR="00053AE8">
              <w:rPr>
                <w:b/>
                <w:bCs/>
                <w:szCs w:val="24"/>
                <w:lang w:val="en-US"/>
              </w:rPr>
              <w:instrText>out</w:instrText>
            </w:r>
            <w:r w:rsidR="00053AE8" w:rsidRPr="002B3AE7">
              <w:rPr>
                <w:b/>
                <w:bCs/>
                <w:szCs w:val="24"/>
              </w:rPr>
              <w:instrText xml:space="preserve"> </w:instrText>
            </w:r>
            <w:r w:rsidR="00053AE8">
              <w:rPr>
                <w:b/>
                <w:bCs/>
                <w:szCs w:val="24"/>
                <w:lang w:val="en-US"/>
              </w:rPr>
              <w:instrText>of</w:instrText>
            </w:r>
            <w:r w:rsidR="00053AE8" w:rsidRPr="002B3AE7">
              <w:rPr>
                <w:b/>
                <w:bCs/>
                <w:szCs w:val="24"/>
              </w:rPr>
              <w:instrText xml:space="preserve"> 79 (98.7%) </w:instrText>
            </w:r>
            <w:r w:rsidR="00053AE8">
              <w:rPr>
                <w:b/>
                <w:bCs/>
                <w:szCs w:val="24"/>
                <w:lang w:val="en-US"/>
              </w:rPr>
              <w:instrText>mobilized</w:instrText>
            </w:r>
            <w:r w:rsidR="00053AE8" w:rsidRPr="002B3AE7">
              <w:rPr>
                <w:b/>
                <w:bCs/>
                <w:szCs w:val="24"/>
              </w:rPr>
              <w:instrText xml:space="preserve"> </w:instrText>
            </w:r>
            <w:r w:rsidR="00053AE8">
              <w:rPr>
                <w:b/>
                <w:bCs/>
                <w:szCs w:val="24"/>
                <w:lang w:val="en-US"/>
              </w:rPr>
              <w:instrText>patients</w:instrText>
            </w:r>
            <w:r w:rsidR="00053AE8" w:rsidRPr="002B3AE7">
              <w:rPr>
                <w:b/>
                <w:bCs/>
                <w:szCs w:val="24"/>
              </w:rPr>
              <w:instrText xml:space="preserve">. </w:instrText>
            </w:r>
            <w:r w:rsidR="00053AE8">
              <w:rPr>
                <w:b/>
                <w:bCs/>
                <w:szCs w:val="24"/>
                <w:lang w:val="en-US"/>
              </w:rPr>
              <w:instrText>So</w:instrText>
            </w:r>
            <w:r w:rsidR="00053AE8" w:rsidRPr="002B3AE7">
              <w:rPr>
                <w:b/>
                <w:bCs/>
                <w:szCs w:val="24"/>
              </w:rPr>
              <w:instrText xml:space="preserve"> </w:instrText>
            </w:r>
            <w:r w:rsidR="00053AE8">
              <w:rPr>
                <w:b/>
                <w:bCs/>
                <w:szCs w:val="24"/>
                <w:lang w:val="en-US"/>
              </w:rPr>
              <w:instrText>far</w:instrText>
            </w:r>
            <w:r w:rsidR="00053AE8" w:rsidRPr="002B3AE7">
              <w:rPr>
                <w:b/>
                <w:bCs/>
                <w:szCs w:val="24"/>
              </w:rPr>
              <w:instrText xml:space="preserve">, </w:instrText>
            </w:r>
            <w:r w:rsidR="00053AE8">
              <w:rPr>
                <w:b/>
                <w:bCs/>
                <w:szCs w:val="24"/>
                <w:lang w:val="en-US"/>
              </w:rPr>
              <w:instrText>no</w:instrText>
            </w:r>
            <w:r w:rsidR="00053AE8" w:rsidRPr="002B3AE7">
              <w:rPr>
                <w:b/>
                <w:bCs/>
                <w:szCs w:val="24"/>
              </w:rPr>
              <w:instrText xml:space="preserve"> </w:instrText>
            </w:r>
            <w:r w:rsidR="00053AE8">
              <w:rPr>
                <w:b/>
                <w:bCs/>
                <w:szCs w:val="24"/>
                <w:lang w:val="en-US"/>
              </w:rPr>
              <w:instrText>treatment</w:instrText>
            </w:r>
            <w:r w:rsidR="00053AE8" w:rsidRPr="002B3AE7">
              <w:rPr>
                <w:b/>
                <w:bCs/>
                <w:szCs w:val="24"/>
              </w:rPr>
              <w:instrText>-</w:instrText>
            </w:r>
            <w:r w:rsidR="00053AE8">
              <w:rPr>
                <w:b/>
                <w:bCs/>
                <w:szCs w:val="24"/>
                <w:lang w:val="en-US"/>
              </w:rPr>
              <w:instrText>related</w:instrText>
            </w:r>
            <w:r w:rsidR="00053AE8" w:rsidRPr="002B3AE7">
              <w:rPr>
                <w:b/>
                <w:bCs/>
                <w:szCs w:val="24"/>
              </w:rPr>
              <w:instrText xml:space="preserve"> </w:instrText>
            </w:r>
            <w:r w:rsidR="00053AE8">
              <w:rPr>
                <w:b/>
                <w:bCs/>
                <w:szCs w:val="24"/>
                <w:lang w:val="en-US"/>
              </w:rPr>
              <w:instrText>death</w:instrText>
            </w:r>
            <w:r w:rsidR="00053AE8" w:rsidRPr="002B3AE7">
              <w:rPr>
                <w:b/>
                <w:bCs/>
                <w:szCs w:val="24"/>
              </w:rPr>
              <w:instrText xml:space="preserve"> </w:instrText>
            </w:r>
            <w:r w:rsidR="00053AE8">
              <w:rPr>
                <w:b/>
                <w:bCs/>
                <w:szCs w:val="24"/>
                <w:lang w:val="en-US"/>
              </w:rPr>
              <w:instrText>has</w:instrText>
            </w:r>
            <w:r w:rsidR="00053AE8" w:rsidRPr="002B3AE7">
              <w:rPr>
                <w:b/>
                <w:bCs/>
                <w:szCs w:val="24"/>
              </w:rPr>
              <w:instrText xml:space="preserve"> </w:instrText>
            </w:r>
            <w:r w:rsidR="00053AE8">
              <w:rPr>
                <w:b/>
                <w:bCs/>
                <w:szCs w:val="24"/>
                <w:lang w:val="en-US"/>
              </w:rPr>
              <w:instrText>been</w:instrText>
            </w:r>
            <w:r w:rsidR="00053AE8" w:rsidRPr="002B3AE7">
              <w:rPr>
                <w:b/>
                <w:bCs/>
                <w:szCs w:val="24"/>
              </w:rPr>
              <w:instrText xml:space="preserve"> </w:instrText>
            </w:r>
            <w:r w:rsidR="00053AE8">
              <w:rPr>
                <w:b/>
                <w:bCs/>
                <w:szCs w:val="24"/>
                <w:lang w:val="en-US"/>
              </w:rPr>
              <w:instrText>documented</w:instrText>
            </w:r>
            <w:r w:rsidR="00053AE8" w:rsidRPr="002B3AE7">
              <w:rPr>
                <w:b/>
                <w:bCs/>
                <w:szCs w:val="24"/>
              </w:rPr>
              <w:instrText xml:space="preserve">. </w:instrText>
            </w:r>
            <w:r w:rsidR="00053AE8">
              <w:rPr>
                <w:b/>
                <w:bCs/>
                <w:szCs w:val="24"/>
                <w:lang w:val="en-US"/>
              </w:rPr>
              <w:instrText>Thirteen</w:instrText>
            </w:r>
            <w:r w:rsidR="00053AE8" w:rsidRPr="002B3AE7">
              <w:rPr>
                <w:b/>
                <w:bCs/>
                <w:szCs w:val="24"/>
              </w:rPr>
              <w:instrText xml:space="preserve"> (4.2%) </w:instrText>
            </w:r>
            <w:r w:rsidR="00053AE8">
              <w:rPr>
                <w:b/>
                <w:bCs/>
                <w:szCs w:val="24"/>
                <w:lang w:val="en-US"/>
              </w:rPr>
              <w:instrText>and</w:instrText>
            </w:r>
            <w:r w:rsidR="00053AE8" w:rsidRPr="002B3AE7">
              <w:rPr>
                <w:b/>
                <w:bCs/>
                <w:szCs w:val="24"/>
              </w:rPr>
              <w:instrText xml:space="preserve"> 27 (8.6%) </w:instrText>
            </w:r>
            <w:r w:rsidR="00053AE8">
              <w:rPr>
                <w:b/>
                <w:bCs/>
                <w:szCs w:val="24"/>
                <w:lang w:val="en-US"/>
              </w:rPr>
              <w:instrText>out</w:instrText>
            </w:r>
            <w:r w:rsidR="00053AE8" w:rsidRPr="002B3AE7">
              <w:rPr>
                <w:b/>
                <w:bCs/>
                <w:szCs w:val="24"/>
              </w:rPr>
              <w:instrText xml:space="preserve"> </w:instrText>
            </w:r>
            <w:r w:rsidR="00053AE8">
              <w:rPr>
                <w:b/>
                <w:bCs/>
                <w:szCs w:val="24"/>
                <w:lang w:val="en-US"/>
              </w:rPr>
              <w:instrText>of</w:instrText>
            </w:r>
            <w:r w:rsidR="00053AE8" w:rsidRPr="002B3AE7">
              <w:rPr>
                <w:b/>
                <w:bCs/>
                <w:szCs w:val="24"/>
              </w:rPr>
              <w:instrText xml:space="preserve"> 313 </w:instrText>
            </w:r>
            <w:r w:rsidR="00053AE8">
              <w:rPr>
                <w:b/>
                <w:bCs/>
                <w:szCs w:val="24"/>
                <w:lang w:val="en-US"/>
              </w:rPr>
              <w:instrText>evaluated</w:instrText>
            </w:r>
            <w:r w:rsidR="00053AE8" w:rsidRPr="002B3AE7">
              <w:rPr>
                <w:b/>
                <w:bCs/>
                <w:szCs w:val="24"/>
              </w:rPr>
              <w:instrText xml:space="preserve"> </w:instrText>
            </w:r>
            <w:r w:rsidR="00053AE8">
              <w:rPr>
                <w:b/>
                <w:bCs/>
                <w:szCs w:val="24"/>
                <w:lang w:val="en-US"/>
              </w:rPr>
              <w:instrText>cycles had to be delayed or reduced, respectively, mainly because of neutropenia and thrombocytopenia. No grade 4 non-hematologic toxicity was observed, except for one episode of mucositis. Interpretation and Conclusions: The high response rate, in particular the complete remission rate, the low toxicity profile, and the very high mobilizing potential of the IGEV regimen strongly suggest that patients with relapsed/refractory Hodgkin's lymphoma may benefit from the use of this salvage induction regimen. ©2007 Ferrata Storti Foundation.","author":[{"dropping-particle":"","family":"Santoro","given":"Armando","non-dropping-particle":"","parse-names":false,"suffix":""},{"dropping-particle":"","family":"Magagnoli","given":"Massimo","non-dropping-particle":"","parse-names":false,"suffix":""},{"dropping-particle":"","family":"Spina","given":"Michele","non-dropping-particle":"","parse-names":false,"suffix":""},{"dropping-particle":"","family":"Pinotti","given":"Graziella","non-dropping-particle":"","parse-names":false,"suffix":""},{"dropping-particle":"","family":"Siracusano","given":"Licia","non-dropping-particle</w:instrText>
            </w:r>
            <w:r w:rsidR="00053AE8" w:rsidRPr="002B3AE7">
              <w:rPr>
                <w:b/>
                <w:bCs/>
                <w:szCs w:val="24"/>
              </w:rPr>
              <w:instrText>":"","</w:instrText>
            </w:r>
            <w:r w:rsidR="00053AE8">
              <w:rPr>
                <w:b/>
                <w:bCs/>
                <w:szCs w:val="24"/>
                <w:lang w:val="en-US"/>
              </w:rPr>
              <w:instrText>parse</w:instrText>
            </w:r>
            <w:r w:rsidR="00053AE8" w:rsidRPr="002B3AE7">
              <w:rPr>
                <w:b/>
                <w:bCs/>
                <w:szCs w:val="24"/>
              </w:rPr>
              <w:instrText>-</w:instrText>
            </w:r>
            <w:r w:rsidR="00053AE8">
              <w:rPr>
                <w:b/>
                <w:bCs/>
                <w:szCs w:val="24"/>
                <w:lang w:val="en-US"/>
              </w:rPr>
              <w:instrText>names</w:instrText>
            </w:r>
            <w:r w:rsidR="00053AE8" w:rsidRPr="002B3AE7">
              <w:rPr>
                <w:b/>
                <w:bCs/>
                <w:szCs w:val="24"/>
              </w:rPr>
              <w:instrText>":</w:instrText>
            </w:r>
            <w:r w:rsidR="00053AE8">
              <w:rPr>
                <w:b/>
                <w:bCs/>
                <w:szCs w:val="24"/>
                <w:lang w:val="en-US"/>
              </w:rPr>
              <w:instrText>false</w:instrText>
            </w:r>
            <w:r w:rsidR="00053AE8" w:rsidRPr="002B3AE7">
              <w:rPr>
                <w:b/>
                <w:bCs/>
                <w:szCs w:val="24"/>
              </w:rPr>
              <w:instrText>,"</w:instrText>
            </w:r>
            <w:r w:rsidR="00053AE8">
              <w:rPr>
                <w:b/>
                <w:bCs/>
                <w:szCs w:val="24"/>
                <w:lang w:val="en-US"/>
              </w:rPr>
              <w:instrText>suffix</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family</w:instrText>
            </w:r>
            <w:r w:rsidR="00053AE8" w:rsidRPr="002B3AE7">
              <w:rPr>
                <w:b/>
                <w:bCs/>
                <w:szCs w:val="24"/>
              </w:rPr>
              <w:instrText>":"</w:instrText>
            </w:r>
            <w:r w:rsidR="00053AE8">
              <w:rPr>
                <w:b/>
                <w:bCs/>
                <w:szCs w:val="24"/>
                <w:lang w:val="en-US"/>
              </w:rPr>
              <w:instrText>Michieli</w:instrText>
            </w:r>
            <w:r w:rsidR="00053AE8" w:rsidRPr="002B3AE7">
              <w:rPr>
                <w:b/>
                <w:bCs/>
                <w:szCs w:val="24"/>
              </w:rPr>
              <w:instrText>","</w:instrText>
            </w:r>
            <w:r w:rsidR="00053AE8">
              <w:rPr>
                <w:b/>
                <w:bCs/>
                <w:szCs w:val="24"/>
                <w:lang w:val="en-US"/>
              </w:rPr>
              <w:instrText>given</w:instrText>
            </w:r>
            <w:r w:rsidR="00053AE8" w:rsidRPr="002B3AE7">
              <w:rPr>
                <w:b/>
                <w:bCs/>
                <w:szCs w:val="24"/>
              </w:rPr>
              <w:instrText>":"</w:instrText>
            </w:r>
            <w:r w:rsidR="00053AE8">
              <w:rPr>
                <w:b/>
                <w:bCs/>
                <w:szCs w:val="24"/>
                <w:lang w:val="en-US"/>
              </w:rPr>
              <w:instrText>Mariagrazia</w:instrText>
            </w:r>
            <w:r w:rsidR="00053AE8" w:rsidRPr="002B3AE7">
              <w:rPr>
                <w:b/>
                <w:bCs/>
                <w:szCs w:val="24"/>
              </w:rPr>
              <w:instrText>","</w:instrText>
            </w:r>
            <w:r w:rsidR="00053AE8">
              <w:rPr>
                <w:b/>
                <w:bCs/>
                <w:szCs w:val="24"/>
                <w:lang w:val="en-US"/>
              </w:rPr>
              <w:instrText>non</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parse</w:instrText>
            </w:r>
            <w:r w:rsidR="00053AE8" w:rsidRPr="002B3AE7">
              <w:rPr>
                <w:b/>
                <w:bCs/>
                <w:szCs w:val="24"/>
              </w:rPr>
              <w:instrText>-</w:instrText>
            </w:r>
            <w:r w:rsidR="00053AE8">
              <w:rPr>
                <w:b/>
                <w:bCs/>
                <w:szCs w:val="24"/>
                <w:lang w:val="en-US"/>
              </w:rPr>
              <w:instrText>names</w:instrText>
            </w:r>
            <w:r w:rsidR="00053AE8" w:rsidRPr="002B3AE7">
              <w:rPr>
                <w:b/>
                <w:bCs/>
                <w:szCs w:val="24"/>
              </w:rPr>
              <w:instrText>":</w:instrText>
            </w:r>
            <w:r w:rsidR="00053AE8">
              <w:rPr>
                <w:b/>
                <w:bCs/>
                <w:szCs w:val="24"/>
                <w:lang w:val="en-US"/>
              </w:rPr>
              <w:instrText>false</w:instrText>
            </w:r>
            <w:r w:rsidR="00053AE8" w:rsidRPr="002B3AE7">
              <w:rPr>
                <w:b/>
                <w:bCs/>
                <w:szCs w:val="24"/>
              </w:rPr>
              <w:instrText>,"</w:instrText>
            </w:r>
            <w:r w:rsidR="00053AE8">
              <w:rPr>
                <w:b/>
                <w:bCs/>
                <w:szCs w:val="24"/>
                <w:lang w:val="en-US"/>
              </w:rPr>
              <w:instrText>suffix</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family</w:instrText>
            </w:r>
            <w:r w:rsidR="00053AE8" w:rsidRPr="002B3AE7">
              <w:rPr>
                <w:b/>
                <w:bCs/>
                <w:szCs w:val="24"/>
              </w:rPr>
              <w:instrText>":"</w:instrText>
            </w:r>
            <w:r w:rsidR="00053AE8">
              <w:rPr>
                <w:b/>
                <w:bCs/>
                <w:szCs w:val="24"/>
                <w:lang w:val="en-US"/>
              </w:rPr>
              <w:instrText>Nozza</w:instrText>
            </w:r>
            <w:r w:rsidR="00053AE8" w:rsidRPr="002B3AE7">
              <w:rPr>
                <w:b/>
                <w:bCs/>
                <w:szCs w:val="24"/>
              </w:rPr>
              <w:instrText>","</w:instrText>
            </w:r>
            <w:r w:rsidR="00053AE8">
              <w:rPr>
                <w:b/>
                <w:bCs/>
                <w:szCs w:val="24"/>
                <w:lang w:val="en-US"/>
              </w:rPr>
              <w:instrText>given</w:instrText>
            </w:r>
            <w:r w:rsidR="00053AE8" w:rsidRPr="002B3AE7">
              <w:rPr>
                <w:b/>
                <w:bCs/>
                <w:szCs w:val="24"/>
              </w:rPr>
              <w:instrText>":"</w:instrText>
            </w:r>
            <w:r w:rsidR="00053AE8">
              <w:rPr>
                <w:b/>
                <w:bCs/>
                <w:szCs w:val="24"/>
                <w:lang w:val="en-US"/>
              </w:rPr>
              <w:instrText>Andrea</w:instrText>
            </w:r>
            <w:r w:rsidR="00053AE8" w:rsidRPr="002B3AE7">
              <w:rPr>
                <w:b/>
                <w:bCs/>
                <w:szCs w:val="24"/>
              </w:rPr>
              <w:instrText>","</w:instrText>
            </w:r>
            <w:r w:rsidR="00053AE8">
              <w:rPr>
                <w:b/>
                <w:bCs/>
                <w:szCs w:val="24"/>
                <w:lang w:val="en-US"/>
              </w:rPr>
              <w:instrText>non</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parse</w:instrText>
            </w:r>
            <w:r w:rsidR="00053AE8" w:rsidRPr="002B3AE7">
              <w:rPr>
                <w:b/>
                <w:bCs/>
                <w:szCs w:val="24"/>
              </w:rPr>
              <w:instrText>-</w:instrText>
            </w:r>
            <w:r w:rsidR="00053AE8">
              <w:rPr>
                <w:b/>
                <w:bCs/>
                <w:szCs w:val="24"/>
                <w:lang w:val="en-US"/>
              </w:rPr>
              <w:instrText>names</w:instrText>
            </w:r>
            <w:r w:rsidR="00053AE8" w:rsidRPr="002B3AE7">
              <w:rPr>
                <w:b/>
                <w:bCs/>
                <w:szCs w:val="24"/>
              </w:rPr>
              <w:instrText>":</w:instrText>
            </w:r>
            <w:r w:rsidR="00053AE8">
              <w:rPr>
                <w:b/>
                <w:bCs/>
                <w:szCs w:val="24"/>
                <w:lang w:val="en-US"/>
              </w:rPr>
              <w:instrText>false</w:instrText>
            </w:r>
            <w:r w:rsidR="00053AE8" w:rsidRPr="002B3AE7">
              <w:rPr>
                <w:b/>
                <w:bCs/>
                <w:szCs w:val="24"/>
              </w:rPr>
              <w:instrText>,"</w:instrText>
            </w:r>
            <w:r w:rsidR="00053AE8">
              <w:rPr>
                <w:b/>
                <w:bCs/>
                <w:szCs w:val="24"/>
                <w:lang w:val="en-US"/>
              </w:rPr>
              <w:instrText>suffix</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family</w:instrText>
            </w:r>
            <w:r w:rsidR="00053AE8" w:rsidRPr="002B3AE7">
              <w:rPr>
                <w:b/>
                <w:bCs/>
                <w:szCs w:val="24"/>
              </w:rPr>
              <w:instrText>":"</w:instrText>
            </w:r>
            <w:r w:rsidR="00053AE8">
              <w:rPr>
                <w:b/>
                <w:bCs/>
                <w:szCs w:val="24"/>
                <w:lang w:val="en-US"/>
              </w:rPr>
              <w:instrText>Sarina</w:instrText>
            </w:r>
            <w:r w:rsidR="00053AE8" w:rsidRPr="002B3AE7">
              <w:rPr>
                <w:b/>
                <w:bCs/>
                <w:szCs w:val="24"/>
              </w:rPr>
              <w:instrText>","</w:instrText>
            </w:r>
            <w:r w:rsidR="00053AE8">
              <w:rPr>
                <w:b/>
                <w:bCs/>
                <w:szCs w:val="24"/>
                <w:lang w:val="en-US"/>
              </w:rPr>
              <w:instrText>given</w:instrText>
            </w:r>
            <w:r w:rsidR="00053AE8" w:rsidRPr="002B3AE7">
              <w:rPr>
                <w:b/>
                <w:bCs/>
                <w:szCs w:val="24"/>
              </w:rPr>
              <w:instrText>":"</w:instrText>
            </w:r>
            <w:r w:rsidR="00053AE8">
              <w:rPr>
                <w:b/>
                <w:bCs/>
                <w:szCs w:val="24"/>
                <w:lang w:val="en-US"/>
              </w:rPr>
              <w:instrText>Barbara</w:instrText>
            </w:r>
            <w:r w:rsidR="00053AE8" w:rsidRPr="002B3AE7">
              <w:rPr>
                <w:b/>
                <w:bCs/>
                <w:szCs w:val="24"/>
              </w:rPr>
              <w:instrText>","</w:instrText>
            </w:r>
            <w:r w:rsidR="00053AE8">
              <w:rPr>
                <w:b/>
                <w:bCs/>
                <w:szCs w:val="24"/>
                <w:lang w:val="en-US"/>
              </w:rPr>
              <w:instrText>non</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parse</w:instrText>
            </w:r>
            <w:r w:rsidR="00053AE8" w:rsidRPr="002B3AE7">
              <w:rPr>
                <w:b/>
                <w:bCs/>
                <w:szCs w:val="24"/>
              </w:rPr>
              <w:instrText>-</w:instrText>
            </w:r>
            <w:r w:rsidR="00053AE8">
              <w:rPr>
                <w:b/>
                <w:bCs/>
                <w:szCs w:val="24"/>
                <w:lang w:val="en-US"/>
              </w:rPr>
              <w:instrText>names</w:instrText>
            </w:r>
            <w:r w:rsidR="00053AE8" w:rsidRPr="002B3AE7">
              <w:rPr>
                <w:b/>
                <w:bCs/>
                <w:szCs w:val="24"/>
              </w:rPr>
              <w:instrText>":</w:instrText>
            </w:r>
            <w:r w:rsidR="00053AE8">
              <w:rPr>
                <w:b/>
                <w:bCs/>
                <w:szCs w:val="24"/>
                <w:lang w:val="en-US"/>
              </w:rPr>
              <w:instrText>false</w:instrText>
            </w:r>
            <w:r w:rsidR="00053AE8" w:rsidRPr="002B3AE7">
              <w:rPr>
                <w:b/>
                <w:bCs/>
                <w:szCs w:val="24"/>
              </w:rPr>
              <w:instrText>,"</w:instrText>
            </w:r>
            <w:r w:rsidR="00053AE8">
              <w:rPr>
                <w:b/>
                <w:bCs/>
                <w:szCs w:val="24"/>
                <w:lang w:val="en-US"/>
              </w:rPr>
              <w:instrText>suffix</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family</w:instrText>
            </w:r>
            <w:r w:rsidR="00053AE8" w:rsidRPr="002B3AE7">
              <w:rPr>
                <w:b/>
                <w:bCs/>
                <w:szCs w:val="24"/>
              </w:rPr>
              <w:instrText>":"</w:instrText>
            </w:r>
            <w:r w:rsidR="00053AE8">
              <w:rPr>
                <w:b/>
                <w:bCs/>
                <w:szCs w:val="24"/>
                <w:lang w:val="en-US"/>
              </w:rPr>
              <w:instrText>Morenghi</w:instrText>
            </w:r>
            <w:r w:rsidR="00053AE8" w:rsidRPr="002B3AE7">
              <w:rPr>
                <w:b/>
                <w:bCs/>
                <w:szCs w:val="24"/>
              </w:rPr>
              <w:instrText>","</w:instrText>
            </w:r>
            <w:r w:rsidR="00053AE8">
              <w:rPr>
                <w:b/>
                <w:bCs/>
                <w:szCs w:val="24"/>
                <w:lang w:val="en-US"/>
              </w:rPr>
              <w:instrText>given</w:instrText>
            </w:r>
            <w:r w:rsidR="00053AE8" w:rsidRPr="002B3AE7">
              <w:rPr>
                <w:b/>
                <w:bCs/>
                <w:szCs w:val="24"/>
              </w:rPr>
              <w:instrText>":"</w:instrText>
            </w:r>
            <w:r w:rsidR="00053AE8">
              <w:rPr>
                <w:b/>
                <w:bCs/>
                <w:szCs w:val="24"/>
                <w:lang w:val="en-US"/>
              </w:rPr>
              <w:instrText>Emanuela</w:instrText>
            </w:r>
            <w:r w:rsidR="00053AE8" w:rsidRPr="002B3AE7">
              <w:rPr>
                <w:b/>
                <w:bCs/>
                <w:szCs w:val="24"/>
              </w:rPr>
              <w:instrText>","</w:instrText>
            </w:r>
            <w:r w:rsidR="00053AE8">
              <w:rPr>
                <w:b/>
                <w:bCs/>
                <w:szCs w:val="24"/>
                <w:lang w:val="en-US"/>
              </w:rPr>
              <w:instrText>non</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parse</w:instrText>
            </w:r>
            <w:r w:rsidR="00053AE8" w:rsidRPr="002B3AE7">
              <w:rPr>
                <w:b/>
                <w:bCs/>
                <w:szCs w:val="24"/>
              </w:rPr>
              <w:instrText>-</w:instrText>
            </w:r>
            <w:r w:rsidR="00053AE8">
              <w:rPr>
                <w:b/>
                <w:bCs/>
                <w:szCs w:val="24"/>
                <w:lang w:val="en-US"/>
              </w:rPr>
              <w:instrText>names</w:instrText>
            </w:r>
            <w:r w:rsidR="00053AE8" w:rsidRPr="002B3AE7">
              <w:rPr>
                <w:b/>
                <w:bCs/>
                <w:szCs w:val="24"/>
              </w:rPr>
              <w:instrText>":</w:instrText>
            </w:r>
            <w:r w:rsidR="00053AE8">
              <w:rPr>
                <w:b/>
                <w:bCs/>
                <w:szCs w:val="24"/>
                <w:lang w:val="en-US"/>
              </w:rPr>
              <w:instrText>false</w:instrText>
            </w:r>
            <w:r w:rsidR="00053AE8" w:rsidRPr="002B3AE7">
              <w:rPr>
                <w:b/>
                <w:bCs/>
                <w:szCs w:val="24"/>
              </w:rPr>
              <w:instrText>,"</w:instrText>
            </w:r>
            <w:r w:rsidR="00053AE8">
              <w:rPr>
                <w:b/>
                <w:bCs/>
                <w:szCs w:val="24"/>
                <w:lang w:val="en-US"/>
              </w:rPr>
              <w:instrText>suffix</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family</w:instrText>
            </w:r>
            <w:r w:rsidR="00053AE8" w:rsidRPr="002B3AE7">
              <w:rPr>
                <w:b/>
                <w:bCs/>
                <w:szCs w:val="24"/>
              </w:rPr>
              <w:instrText>":"</w:instrText>
            </w:r>
            <w:r w:rsidR="00053AE8">
              <w:rPr>
                <w:b/>
                <w:bCs/>
                <w:szCs w:val="24"/>
                <w:lang w:val="en-US"/>
              </w:rPr>
              <w:instrText>Castagna</w:instrText>
            </w:r>
            <w:r w:rsidR="00053AE8" w:rsidRPr="002B3AE7">
              <w:rPr>
                <w:b/>
                <w:bCs/>
                <w:szCs w:val="24"/>
              </w:rPr>
              <w:instrText>","</w:instrText>
            </w:r>
            <w:r w:rsidR="00053AE8">
              <w:rPr>
                <w:b/>
                <w:bCs/>
                <w:szCs w:val="24"/>
                <w:lang w:val="en-US"/>
              </w:rPr>
              <w:instrText>given</w:instrText>
            </w:r>
            <w:r w:rsidR="00053AE8" w:rsidRPr="002B3AE7">
              <w:rPr>
                <w:b/>
                <w:bCs/>
                <w:szCs w:val="24"/>
              </w:rPr>
              <w:instrText>":"</w:instrText>
            </w:r>
            <w:r w:rsidR="00053AE8">
              <w:rPr>
                <w:b/>
                <w:bCs/>
                <w:szCs w:val="24"/>
                <w:lang w:val="en-US"/>
              </w:rPr>
              <w:instrText>Luca</w:instrText>
            </w:r>
            <w:r w:rsidR="00053AE8" w:rsidRPr="002B3AE7">
              <w:rPr>
                <w:b/>
                <w:bCs/>
                <w:szCs w:val="24"/>
              </w:rPr>
              <w:instrText>","</w:instrText>
            </w:r>
            <w:r w:rsidR="00053AE8">
              <w:rPr>
                <w:b/>
                <w:bCs/>
                <w:szCs w:val="24"/>
                <w:lang w:val="en-US"/>
              </w:rPr>
              <w:instrText>non</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parse</w:instrText>
            </w:r>
            <w:r w:rsidR="00053AE8" w:rsidRPr="002B3AE7">
              <w:rPr>
                <w:b/>
                <w:bCs/>
                <w:szCs w:val="24"/>
              </w:rPr>
              <w:instrText>-</w:instrText>
            </w:r>
            <w:r w:rsidR="00053AE8">
              <w:rPr>
                <w:b/>
                <w:bCs/>
                <w:szCs w:val="24"/>
                <w:lang w:val="en-US"/>
              </w:rPr>
              <w:instrText>names</w:instrText>
            </w:r>
            <w:r w:rsidR="00053AE8" w:rsidRPr="002B3AE7">
              <w:rPr>
                <w:b/>
                <w:bCs/>
                <w:szCs w:val="24"/>
              </w:rPr>
              <w:instrText>":</w:instrText>
            </w:r>
            <w:r w:rsidR="00053AE8">
              <w:rPr>
                <w:b/>
                <w:bCs/>
                <w:szCs w:val="24"/>
                <w:lang w:val="en-US"/>
              </w:rPr>
              <w:instrText>false</w:instrText>
            </w:r>
            <w:r w:rsidR="00053AE8" w:rsidRPr="002B3AE7">
              <w:rPr>
                <w:b/>
                <w:bCs/>
                <w:szCs w:val="24"/>
              </w:rPr>
              <w:instrText>,"</w:instrText>
            </w:r>
            <w:r w:rsidR="00053AE8">
              <w:rPr>
                <w:b/>
                <w:bCs/>
                <w:szCs w:val="24"/>
                <w:lang w:val="en-US"/>
              </w:rPr>
              <w:instrText>suffix</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family</w:instrText>
            </w:r>
            <w:r w:rsidR="00053AE8" w:rsidRPr="002B3AE7">
              <w:rPr>
                <w:b/>
                <w:bCs/>
                <w:szCs w:val="24"/>
              </w:rPr>
              <w:instrText>":"</w:instrText>
            </w:r>
            <w:r w:rsidR="00053AE8">
              <w:rPr>
                <w:b/>
                <w:bCs/>
                <w:szCs w:val="24"/>
                <w:lang w:val="en-US"/>
              </w:rPr>
              <w:instrText>Tirelli</w:instrText>
            </w:r>
            <w:r w:rsidR="00053AE8" w:rsidRPr="002B3AE7">
              <w:rPr>
                <w:b/>
                <w:bCs/>
                <w:szCs w:val="24"/>
              </w:rPr>
              <w:instrText>","</w:instrText>
            </w:r>
            <w:r w:rsidR="00053AE8">
              <w:rPr>
                <w:b/>
                <w:bCs/>
                <w:szCs w:val="24"/>
                <w:lang w:val="en-US"/>
              </w:rPr>
              <w:instrText>given</w:instrText>
            </w:r>
            <w:r w:rsidR="00053AE8" w:rsidRPr="002B3AE7">
              <w:rPr>
                <w:b/>
                <w:bCs/>
                <w:szCs w:val="24"/>
              </w:rPr>
              <w:instrText>":"</w:instrText>
            </w:r>
            <w:r w:rsidR="00053AE8">
              <w:rPr>
                <w:b/>
                <w:bCs/>
                <w:szCs w:val="24"/>
                <w:lang w:val="en-US"/>
              </w:rPr>
              <w:instrText>Umberto</w:instrText>
            </w:r>
            <w:r w:rsidR="00053AE8" w:rsidRPr="002B3AE7">
              <w:rPr>
                <w:b/>
                <w:bCs/>
                <w:szCs w:val="24"/>
              </w:rPr>
              <w:instrText>","</w:instrText>
            </w:r>
            <w:r w:rsidR="00053AE8">
              <w:rPr>
                <w:b/>
                <w:bCs/>
                <w:szCs w:val="24"/>
                <w:lang w:val="en-US"/>
              </w:rPr>
              <w:instrText>non</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parse</w:instrText>
            </w:r>
            <w:r w:rsidR="00053AE8" w:rsidRPr="002B3AE7">
              <w:rPr>
                <w:b/>
                <w:bCs/>
                <w:szCs w:val="24"/>
              </w:rPr>
              <w:instrText>-</w:instrText>
            </w:r>
            <w:r w:rsidR="00053AE8">
              <w:rPr>
                <w:b/>
                <w:bCs/>
                <w:szCs w:val="24"/>
                <w:lang w:val="en-US"/>
              </w:rPr>
              <w:instrText>names</w:instrText>
            </w:r>
            <w:r w:rsidR="00053AE8" w:rsidRPr="002B3AE7">
              <w:rPr>
                <w:b/>
                <w:bCs/>
                <w:szCs w:val="24"/>
              </w:rPr>
              <w:instrText>":</w:instrText>
            </w:r>
            <w:r w:rsidR="00053AE8">
              <w:rPr>
                <w:b/>
                <w:bCs/>
                <w:szCs w:val="24"/>
                <w:lang w:val="en-US"/>
              </w:rPr>
              <w:instrText>false</w:instrText>
            </w:r>
            <w:r w:rsidR="00053AE8" w:rsidRPr="002B3AE7">
              <w:rPr>
                <w:b/>
                <w:bCs/>
                <w:szCs w:val="24"/>
              </w:rPr>
              <w:instrText>,"</w:instrText>
            </w:r>
            <w:r w:rsidR="00053AE8">
              <w:rPr>
                <w:b/>
                <w:bCs/>
                <w:szCs w:val="24"/>
                <w:lang w:val="en-US"/>
              </w:rPr>
              <w:instrText>suffix</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family</w:instrText>
            </w:r>
            <w:r w:rsidR="00053AE8" w:rsidRPr="002B3AE7">
              <w:rPr>
                <w:b/>
                <w:bCs/>
                <w:szCs w:val="24"/>
              </w:rPr>
              <w:instrText>":"</w:instrText>
            </w:r>
            <w:r w:rsidR="00053AE8">
              <w:rPr>
                <w:b/>
                <w:bCs/>
                <w:szCs w:val="24"/>
                <w:lang w:val="en-US"/>
              </w:rPr>
              <w:instrText>Balzarotti</w:instrText>
            </w:r>
            <w:r w:rsidR="00053AE8" w:rsidRPr="002B3AE7">
              <w:rPr>
                <w:b/>
                <w:bCs/>
                <w:szCs w:val="24"/>
              </w:rPr>
              <w:instrText>","</w:instrText>
            </w:r>
            <w:r w:rsidR="00053AE8">
              <w:rPr>
                <w:b/>
                <w:bCs/>
                <w:szCs w:val="24"/>
                <w:lang w:val="en-US"/>
              </w:rPr>
              <w:instrText>given</w:instrText>
            </w:r>
            <w:r w:rsidR="00053AE8" w:rsidRPr="002B3AE7">
              <w:rPr>
                <w:b/>
                <w:bCs/>
                <w:szCs w:val="24"/>
              </w:rPr>
              <w:instrText>":"</w:instrText>
            </w:r>
            <w:r w:rsidR="00053AE8">
              <w:rPr>
                <w:b/>
                <w:bCs/>
                <w:szCs w:val="24"/>
                <w:lang w:val="en-US"/>
              </w:rPr>
              <w:instrText>Monica</w:instrText>
            </w:r>
            <w:r w:rsidR="00053AE8" w:rsidRPr="002B3AE7">
              <w:rPr>
                <w:b/>
                <w:bCs/>
                <w:szCs w:val="24"/>
              </w:rPr>
              <w:instrText>","</w:instrText>
            </w:r>
            <w:r w:rsidR="00053AE8">
              <w:rPr>
                <w:b/>
                <w:bCs/>
                <w:szCs w:val="24"/>
                <w:lang w:val="en-US"/>
              </w:rPr>
              <w:instrText>non</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parse</w:instrText>
            </w:r>
            <w:r w:rsidR="00053AE8" w:rsidRPr="002B3AE7">
              <w:rPr>
                <w:b/>
                <w:bCs/>
                <w:szCs w:val="24"/>
              </w:rPr>
              <w:instrText>-</w:instrText>
            </w:r>
            <w:r w:rsidR="00053AE8">
              <w:rPr>
                <w:b/>
                <w:bCs/>
                <w:szCs w:val="24"/>
                <w:lang w:val="en-US"/>
              </w:rPr>
              <w:instrText>names</w:instrText>
            </w:r>
            <w:r w:rsidR="00053AE8" w:rsidRPr="002B3AE7">
              <w:rPr>
                <w:b/>
                <w:bCs/>
                <w:szCs w:val="24"/>
              </w:rPr>
              <w:instrText>":</w:instrText>
            </w:r>
            <w:r w:rsidR="00053AE8">
              <w:rPr>
                <w:b/>
                <w:bCs/>
                <w:szCs w:val="24"/>
                <w:lang w:val="en-US"/>
              </w:rPr>
              <w:instrText>false</w:instrText>
            </w:r>
            <w:r w:rsidR="00053AE8" w:rsidRPr="002B3AE7">
              <w:rPr>
                <w:b/>
                <w:bCs/>
                <w:szCs w:val="24"/>
              </w:rPr>
              <w:instrText>,"</w:instrText>
            </w:r>
            <w:r w:rsidR="00053AE8">
              <w:rPr>
                <w:b/>
                <w:bCs/>
                <w:szCs w:val="24"/>
                <w:lang w:val="en-US"/>
              </w:rPr>
              <w:instrText>suffix</w:instrText>
            </w:r>
            <w:r w:rsidR="00053AE8" w:rsidRPr="002B3AE7">
              <w:rPr>
                <w:b/>
                <w:bCs/>
                <w:szCs w:val="24"/>
              </w:rPr>
              <w:instrText>":""}],"</w:instrText>
            </w:r>
            <w:r w:rsidR="00053AE8">
              <w:rPr>
                <w:b/>
                <w:bCs/>
                <w:szCs w:val="24"/>
                <w:lang w:val="en-US"/>
              </w:rPr>
              <w:instrText>container</w:instrText>
            </w:r>
            <w:r w:rsidR="00053AE8" w:rsidRPr="002B3AE7">
              <w:rPr>
                <w:b/>
                <w:bCs/>
                <w:szCs w:val="24"/>
              </w:rPr>
              <w:instrText>-</w:instrText>
            </w:r>
            <w:r w:rsidR="00053AE8">
              <w:rPr>
                <w:b/>
                <w:bCs/>
                <w:szCs w:val="24"/>
                <w:lang w:val="en-US"/>
              </w:rPr>
              <w:instrText>title</w:instrText>
            </w:r>
            <w:r w:rsidR="00053AE8" w:rsidRPr="002B3AE7">
              <w:rPr>
                <w:b/>
                <w:bCs/>
                <w:szCs w:val="24"/>
              </w:rPr>
              <w:instrText>":"</w:instrText>
            </w:r>
            <w:r w:rsidR="00053AE8">
              <w:rPr>
                <w:b/>
                <w:bCs/>
                <w:szCs w:val="24"/>
                <w:lang w:val="en-US"/>
              </w:rPr>
              <w:instrText>Haematologica</w:instrText>
            </w:r>
            <w:r w:rsidR="00053AE8" w:rsidRPr="002B3AE7">
              <w:rPr>
                <w:b/>
                <w:bCs/>
                <w:szCs w:val="24"/>
              </w:rPr>
              <w:instrText>","</w:instrText>
            </w:r>
            <w:r w:rsidR="00053AE8">
              <w:rPr>
                <w:b/>
                <w:bCs/>
                <w:szCs w:val="24"/>
                <w:lang w:val="en-US"/>
              </w:rPr>
              <w:instrText>id</w:instrText>
            </w:r>
            <w:r w:rsidR="00053AE8" w:rsidRPr="002B3AE7">
              <w:rPr>
                <w:b/>
                <w:bCs/>
                <w:szCs w:val="24"/>
              </w:rPr>
              <w:instrText>":"</w:instrText>
            </w:r>
            <w:r w:rsidR="00053AE8">
              <w:rPr>
                <w:b/>
                <w:bCs/>
                <w:szCs w:val="24"/>
                <w:lang w:val="en-US"/>
              </w:rPr>
              <w:instrText>ITEM</w:instrText>
            </w:r>
            <w:r w:rsidR="00053AE8" w:rsidRPr="002B3AE7">
              <w:rPr>
                <w:b/>
                <w:bCs/>
                <w:szCs w:val="24"/>
              </w:rPr>
              <w:instrText>-1","</w:instrText>
            </w:r>
            <w:r w:rsidR="00053AE8">
              <w:rPr>
                <w:b/>
                <w:bCs/>
                <w:szCs w:val="24"/>
                <w:lang w:val="en-US"/>
              </w:rPr>
              <w:instrText>issue</w:instrText>
            </w:r>
            <w:r w:rsidR="00053AE8" w:rsidRPr="002B3AE7">
              <w:rPr>
                <w:b/>
                <w:bCs/>
                <w:szCs w:val="24"/>
              </w:rPr>
              <w:instrText>":"1","</w:instrText>
            </w:r>
            <w:r w:rsidR="00053AE8">
              <w:rPr>
                <w:b/>
                <w:bCs/>
                <w:szCs w:val="24"/>
                <w:lang w:val="en-US"/>
              </w:rPr>
              <w:instrText>issued</w:instrText>
            </w:r>
            <w:r w:rsidR="00053AE8" w:rsidRPr="002B3AE7">
              <w:rPr>
                <w:b/>
                <w:bCs/>
                <w:szCs w:val="24"/>
              </w:rPr>
              <w:instrText>":{"</w:instrText>
            </w:r>
            <w:r w:rsidR="00053AE8">
              <w:rPr>
                <w:b/>
                <w:bCs/>
                <w:szCs w:val="24"/>
                <w:lang w:val="en-US"/>
              </w:rPr>
              <w:instrText>date</w:instrText>
            </w:r>
            <w:r w:rsidR="00053AE8" w:rsidRPr="002B3AE7">
              <w:rPr>
                <w:b/>
                <w:bCs/>
                <w:szCs w:val="24"/>
              </w:rPr>
              <w:instrText>-</w:instrText>
            </w:r>
            <w:r w:rsidR="00053AE8">
              <w:rPr>
                <w:b/>
                <w:bCs/>
                <w:szCs w:val="24"/>
                <w:lang w:val="en-US"/>
              </w:rPr>
              <w:instrText>parts</w:instrText>
            </w:r>
            <w:r w:rsidR="00053AE8" w:rsidRPr="002B3AE7">
              <w:rPr>
                <w:b/>
                <w:bCs/>
                <w:szCs w:val="24"/>
              </w:rPr>
              <w:instrText>":[["2007","1"]]},"</w:instrText>
            </w:r>
            <w:r w:rsidR="00053AE8">
              <w:rPr>
                <w:b/>
                <w:bCs/>
                <w:szCs w:val="24"/>
                <w:lang w:val="en-US"/>
              </w:rPr>
              <w:instrText>page</w:instrText>
            </w:r>
            <w:r w:rsidR="00053AE8" w:rsidRPr="002B3AE7">
              <w:rPr>
                <w:b/>
                <w:bCs/>
                <w:szCs w:val="24"/>
              </w:rPr>
              <w:instrText>":"35-41","</w:instrText>
            </w:r>
            <w:r w:rsidR="00053AE8">
              <w:rPr>
                <w:b/>
                <w:bCs/>
                <w:szCs w:val="24"/>
                <w:lang w:val="en-US"/>
              </w:rPr>
              <w:instrText>title</w:instrText>
            </w:r>
            <w:r w:rsidR="00053AE8" w:rsidRPr="002B3AE7">
              <w:rPr>
                <w:b/>
                <w:bCs/>
                <w:szCs w:val="24"/>
              </w:rPr>
              <w:instrText>":"</w:instrText>
            </w:r>
            <w:r w:rsidR="00053AE8">
              <w:rPr>
                <w:b/>
                <w:bCs/>
                <w:szCs w:val="24"/>
                <w:lang w:val="en-US"/>
              </w:rPr>
              <w:instrText>Ifosfamide</w:instrText>
            </w:r>
            <w:r w:rsidR="00053AE8" w:rsidRPr="002B3AE7">
              <w:rPr>
                <w:b/>
                <w:bCs/>
                <w:szCs w:val="24"/>
              </w:rPr>
              <w:instrText xml:space="preserve">, </w:instrText>
            </w:r>
            <w:r w:rsidR="00053AE8">
              <w:rPr>
                <w:b/>
                <w:bCs/>
                <w:szCs w:val="24"/>
                <w:lang w:val="en-US"/>
              </w:rPr>
              <w:instrText>gemcitabine</w:instrText>
            </w:r>
            <w:r w:rsidR="00053AE8" w:rsidRPr="002B3AE7">
              <w:rPr>
                <w:b/>
                <w:bCs/>
                <w:szCs w:val="24"/>
              </w:rPr>
              <w:instrText xml:space="preserve">, </w:instrText>
            </w:r>
            <w:r w:rsidR="00053AE8">
              <w:rPr>
                <w:b/>
                <w:bCs/>
                <w:szCs w:val="24"/>
                <w:lang w:val="en-US"/>
              </w:rPr>
              <w:instrText>and</w:instrText>
            </w:r>
            <w:r w:rsidR="00053AE8" w:rsidRPr="002B3AE7">
              <w:rPr>
                <w:b/>
                <w:bCs/>
                <w:szCs w:val="24"/>
              </w:rPr>
              <w:instrText xml:space="preserve"> </w:instrText>
            </w:r>
            <w:r w:rsidR="00053AE8">
              <w:rPr>
                <w:b/>
                <w:bCs/>
                <w:szCs w:val="24"/>
                <w:lang w:val="en-US"/>
              </w:rPr>
              <w:instrText>vinorelbine</w:instrText>
            </w:r>
            <w:r w:rsidR="00053AE8" w:rsidRPr="002B3AE7">
              <w:rPr>
                <w:b/>
                <w:bCs/>
                <w:szCs w:val="24"/>
              </w:rPr>
              <w:instrText xml:space="preserve">: </w:instrText>
            </w:r>
            <w:r w:rsidR="00053AE8">
              <w:rPr>
                <w:b/>
                <w:bCs/>
                <w:szCs w:val="24"/>
                <w:lang w:val="en-US"/>
              </w:rPr>
              <w:instrText>A</w:instrText>
            </w:r>
            <w:r w:rsidR="00053AE8" w:rsidRPr="002B3AE7">
              <w:rPr>
                <w:b/>
                <w:bCs/>
                <w:szCs w:val="24"/>
              </w:rPr>
              <w:instrText xml:space="preserve"> </w:instrText>
            </w:r>
            <w:r w:rsidR="00053AE8">
              <w:rPr>
                <w:b/>
                <w:bCs/>
                <w:szCs w:val="24"/>
                <w:lang w:val="en-US"/>
              </w:rPr>
              <w:instrText>new</w:instrText>
            </w:r>
            <w:r w:rsidR="00053AE8" w:rsidRPr="002B3AE7">
              <w:rPr>
                <w:b/>
                <w:bCs/>
                <w:szCs w:val="24"/>
              </w:rPr>
              <w:instrText xml:space="preserve"> </w:instrText>
            </w:r>
            <w:r w:rsidR="00053AE8">
              <w:rPr>
                <w:b/>
                <w:bCs/>
                <w:szCs w:val="24"/>
                <w:lang w:val="en-US"/>
              </w:rPr>
              <w:instrText>induction</w:instrText>
            </w:r>
            <w:r w:rsidR="00053AE8" w:rsidRPr="002B3AE7">
              <w:rPr>
                <w:b/>
                <w:bCs/>
                <w:szCs w:val="24"/>
              </w:rPr>
              <w:instrText xml:space="preserve"> </w:instrText>
            </w:r>
            <w:r w:rsidR="00053AE8">
              <w:rPr>
                <w:b/>
                <w:bCs/>
                <w:szCs w:val="24"/>
                <w:lang w:val="en-US"/>
              </w:rPr>
              <w:instrText>regimen</w:instrText>
            </w:r>
            <w:r w:rsidR="00053AE8" w:rsidRPr="002B3AE7">
              <w:rPr>
                <w:b/>
                <w:bCs/>
                <w:szCs w:val="24"/>
              </w:rPr>
              <w:instrText xml:space="preserve"> </w:instrText>
            </w:r>
            <w:r w:rsidR="00053AE8">
              <w:rPr>
                <w:b/>
                <w:bCs/>
                <w:szCs w:val="24"/>
                <w:lang w:val="en-US"/>
              </w:rPr>
              <w:instrText>for</w:instrText>
            </w:r>
            <w:r w:rsidR="00053AE8" w:rsidRPr="002B3AE7">
              <w:rPr>
                <w:b/>
                <w:bCs/>
                <w:szCs w:val="24"/>
              </w:rPr>
              <w:instrText xml:space="preserve"> </w:instrText>
            </w:r>
            <w:r w:rsidR="00053AE8">
              <w:rPr>
                <w:b/>
                <w:bCs/>
                <w:szCs w:val="24"/>
                <w:lang w:val="en-US"/>
              </w:rPr>
              <w:instrText>refractory</w:instrText>
            </w:r>
            <w:r w:rsidR="00053AE8" w:rsidRPr="002B3AE7">
              <w:rPr>
                <w:b/>
                <w:bCs/>
                <w:szCs w:val="24"/>
              </w:rPr>
              <w:instrText xml:space="preserve"> </w:instrText>
            </w:r>
            <w:r w:rsidR="00053AE8">
              <w:rPr>
                <w:b/>
                <w:bCs/>
                <w:szCs w:val="24"/>
                <w:lang w:val="en-US"/>
              </w:rPr>
              <w:instrText>and</w:instrText>
            </w:r>
            <w:r w:rsidR="00053AE8" w:rsidRPr="002B3AE7">
              <w:rPr>
                <w:b/>
                <w:bCs/>
                <w:szCs w:val="24"/>
              </w:rPr>
              <w:instrText xml:space="preserve"> </w:instrText>
            </w:r>
            <w:r w:rsidR="00053AE8">
              <w:rPr>
                <w:b/>
                <w:bCs/>
                <w:szCs w:val="24"/>
                <w:lang w:val="en-US"/>
              </w:rPr>
              <w:instrText>relapsed</w:instrText>
            </w:r>
            <w:r w:rsidR="00053AE8" w:rsidRPr="002B3AE7">
              <w:rPr>
                <w:b/>
                <w:bCs/>
                <w:szCs w:val="24"/>
              </w:rPr>
              <w:instrText xml:space="preserve"> </w:instrText>
            </w:r>
            <w:r w:rsidR="00053AE8">
              <w:rPr>
                <w:b/>
                <w:bCs/>
                <w:szCs w:val="24"/>
                <w:lang w:val="en-US"/>
              </w:rPr>
              <w:instrText>Hodgkin</w:instrText>
            </w:r>
            <w:r w:rsidR="00053AE8" w:rsidRPr="002B3AE7">
              <w:rPr>
                <w:b/>
                <w:bCs/>
                <w:szCs w:val="24"/>
              </w:rPr>
              <w:instrText>'</w:instrText>
            </w:r>
            <w:r w:rsidR="00053AE8">
              <w:rPr>
                <w:b/>
                <w:bCs/>
                <w:szCs w:val="24"/>
                <w:lang w:val="en-US"/>
              </w:rPr>
              <w:instrText>s</w:instrText>
            </w:r>
            <w:r w:rsidR="00053AE8" w:rsidRPr="002B3AE7">
              <w:rPr>
                <w:b/>
                <w:bCs/>
                <w:szCs w:val="24"/>
              </w:rPr>
              <w:instrText xml:space="preserve"> </w:instrText>
            </w:r>
            <w:r w:rsidR="00053AE8">
              <w:rPr>
                <w:b/>
                <w:bCs/>
                <w:szCs w:val="24"/>
                <w:lang w:val="en-US"/>
              </w:rPr>
              <w:instrText>lymphoma</w:instrText>
            </w:r>
            <w:r w:rsidR="00053AE8" w:rsidRPr="002B3AE7">
              <w:rPr>
                <w:b/>
                <w:bCs/>
                <w:szCs w:val="24"/>
              </w:rPr>
              <w:instrText>","</w:instrText>
            </w:r>
            <w:r w:rsidR="00053AE8">
              <w:rPr>
                <w:b/>
                <w:bCs/>
                <w:szCs w:val="24"/>
                <w:lang w:val="en-US"/>
              </w:rPr>
              <w:instrText>type</w:instrText>
            </w:r>
            <w:r w:rsidR="00053AE8" w:rsidRPr="002B3AE7">
              <w:rPr>
                <w:b/>
                <w:bCs/>
                <w:szCs w:val="24"/>
              </w:rPr>
              <w:instrText>":"</w:instrText>
            </w:r>
            <w:r w:rsidR="00053AE8">
              <w:rPr>
                <w:b/>
                <w:bCs/>
                <w:szCs w:val="24"/>
                <w:lang w:val="en-US"/>
              </w:rPr>
              <w:instrText>article</w:instrText>
            </w:r>
            <w:r w:rsidR="00053AE8" w:rsidRPr="002B3AE7">
              <w:rPr>
                <w:b/>
                <w:bCs/>
                <w:szCs w:val="24"/>
              </w:rPr>
              <w:instrText>-</w:instrText>
            </w:r>
            <w:r w:rsidR="00053AE8">
              <w:rPr>
                <w:b/>
                <w:bCs/>
                <w:szCs w:val="24"/>
                <w:lang w:val="en-US"/>
              </w:rPr>
              <w:instrText>journal</w:instrText>
            </w:r>
            <w:r w:rsidR="00053AE8" w:rsidRPr="002B3AE7">
              <w:rPr>
                <w:b/>
                <w:bCs/>
                <w:szCs w:val="24"/>
              </w:rPr>
              <w:instrText>","</w:instrText>
            </w:r>
            <w:r w:rsidR="00053AE8">
              <w:rPr>
                <w:b/>
                <w:bCs/>
                <w:szCs w:val="24"/>
                <w:lang w:val="en-US"/>
              </w:rPr>
              <w:instrText>volume</w:instrText>
            </w:r>
            <w:r w:rsidR="00053AE8" w:rsidRPr="002B3AE7">
              <w:rPr>
                <w:b/>
                <w:bCs/>
                <w:szCs w:val="24"/>
              </w:rPr>
              <w:instrText>":"92"},"</w:instrText>
            </w:r>
            <w:r w:rsidR="00053AE8">
              <w:rPr>
                <w:b/>
                <w:bCs/>
                <w:szCs w:val="24"/>
                <w:lang w:val="en-US"/>
              </w:rPr>
              <w:instrText>uris</w:instrText>
            </w:r>
            <w:r w:rsidR="00053AE8" w:rsidRPr="002B3AE7">
              <w:rPr>
                <w:b/>
                <w:bCs/>
                <w:szCs w:val="24"/>
              </w:rPr>
              <w:instrText>":["</w:instrText>
            </w:r>
            <w:r w:rsidR="00053AE8">
              <w:rPr>
                <w:b/>
                <w:bCs/>
                <w:szCs w:val="24"/>
                <w:lang w:val="en-US"/>
              </w:rPr>
              <w:instrText>http</w:instrText>
            </w:r>
            <w:r w:rsidR="00053AE8" w:rsidRPr="002B3AE7">
              <w:rPr>
                <w:b/>
                <w:bCs/>
                <w:szCs w:val="24"/>
              </w:rPr>
              <w:instrText>://</w:instrText>
            </w:r>
            <w:r w:rsidR="00053AE8">
              <w:rPr>
                <w:b/>
                <w:bCs/>
                <w:szCs w:val="24"/>
                <w:lang w:val="en-US"/>
              </w:rPr>
              <w:instrText>www</w:instrText>
            </w:r>
            <w:r w:rsidR="00053AE8" w:rsidRPr="002B3AE7">
              <w:rPr>
                <w:b/>
                <w:bCs/>
                <w:szCs w:val="24"/>
              </w:rPr>
              <w:instrText>.</w:instrText>
            </w:r>
            <w:r w:rsidR="00053AE8">
              <w:rPr>
                <w:b/>
                <w:bCs/>
                <w:szCs w:val="24"/>
                <w:lang w:val="en-US"/>
              </w:rPr>
              <w:instrText>mendeley</w:instrText>
            </w:r>
            <w:r w:rsidR="00053AE8" w:rsidRPr="002B3AE7">
              <w:rPr>
                <w:b/>
                <w:bCs/>
                <w:szCs w:val="24"/>
              </w:rPr>
              <w:instrText>.</w:instrText>
            </w:r>
            <w:r w:rsidR="00053AE8">
              <w:rPr>
                <w:b/>
                <w:bCs/>
                <w:szCs w:val="24"/>
                <w:lang w:val="en-US"/>
              </w:rPr>
              <w:instrText>com</w:instrText>
            </w:r>
            <w:r w:rsidR="00053AE8" w:rsidRPr="002B3AE7">
              <w:rPr>
                <w:b/>
                <w:bCs/>
                <w:szCs w:val="24"/>
              </w:rPr>
              <w:instrText>/</w:instrText>
            </w:r>
            <w:r w:rsidR="00053AE8">
              <w:rPr>
                <w:b/>
                <w:bCs/>
                <w:szCs w:val="24"/>
                <w:lang w:val="en-US"/>
              </w:rPr>
              <w:instrText>documents</w:instrText>
            </w:r>
            <w:r w:rsidR="00053AE8" w:rsidRPr="002B3AE7">
              <w:rPr>
                <w:b/>
                <w:bCs/>
                <w:szCs w:val="24"/>
              </w:rPr>
              <w:instrText>/?</w:instrText>
            </w:r>
            <w:r w:rsidR="00053AE8">
              <w:rPr>
                <w:b/>
                <w:bCs/>
                <w:szCs w:val="24"/>
                <w:lang w:val="en-US"/>
              </w:rPr>
              <w:instrText>uuid</w:instrText>
            </w:r>
            <w:r w:rsidR="00053AE8" w:rsidRPr="002B3AE7">
              <w:rPr>
                <w:b/>
                <w:bCs/>
                <w:szCs w:val="24"/>
              </w:rPr>
              <w:instrText>=</w:instrText>
            </w:r>
            <w:r w:rsidR="00053AE8">
              <w:rPr>
                <w:b/>
                <w:bCs/>
                <w:szCs w:val="24"/>
                <w:lang w:val="en-US"/>
              </w:rPr>
              <w:instrText>a</w:instrText>
            </w:r>
            <w:r w:rsidR="00053AE8" w:rsidRPr="002B3AE7">
              <w:rPr>
                <w:b/>
                <w:bCs/>
                <w:szCs w:val="24"/>
              </w:rPr>
              <w:instrText>0</w:instrText>
            </w:r>
            <w:r w:rsidR="00053AE8">
              <w:rPr>
                <w:b/>
                <w:bCs/>
                <w:szCs w:val="24"/>
                <w:lang w:val="en-US"/>
              </w:rPr>
              <w:instrText>b</w:instrText>
            </w:r>
            <w:r w:rsidR="00053AE8" w:rsidRPr="002B3AE7">
              <w:rPr>
                <w:b/>
                <w:bCs/>
                <w:szCs w:val="24"/>
              </w:rPr>
              <w:instrText>0</w:instrText>
            </w:r>
            <w:r w:rsidR="00053AE8">
              <w:rPr>
                <w:b/>
                <w:bCs/>
                <w:szCs w:val="24"/>
                <w:lang w:val="en-US"/>
              </w:rPr>
              <w:instrText>aeda</w:instrText>
            </w:r>
            <w:r w:rsidR="00053AE8" w:rsidRPr="002B3AE7">
              <w:rPr>
                <w:b/>
                <w:bCs/>
                <w:szCs w:val="24"/>
              </w:rPr>
              <w:instrText>-1</w:instrText>
            </w:r>
            <w:r w:rsidR="00053AE8">
              <w:rPr>
                <w:b/>
                <w:bCs/>
                <w:szCs w:val="24"/>
                <w:lang w:val="en-US"/>
              </w:rPr>
              <w:instrText>f</w:instrText>
            </w:r>
            <w:r w:rsidR="00053AE8" w:rsidRPr="002B3AE7">
              <w:rPr>
                <w:b/>
                <w:bCs/>
                <w:szCs w:val="24"/>
              </w:rPr>
              <w:instrText>4</w:instrText>
            </w:r>
            <w:r w:rsidR="00053AE8">
              <w:rPr>
                <w:b/>
                <w:bCs/>
                <w:szCs w:val="24"/>
                <w:lang w:val="en-US"/>
              </w:rPr>
              <w:instrText>f</w:instrText>
            </w:r>
            <w:r w:rsidR="00053AE8" w:rsidRPr="002B3AE7">
              <w:rPr>
                <w:b/>
                <w:bCs/>
                <w:szCs w:val="24"/>
              </w:rPr>
              <w:instrText>-35</w:instrText>
            </w:r>
            <w:r w:rsidR="00053AE8">
              <w:rPr>
                <w:b/>
                <w:bCs/>
                <w:szCs w:val="24"/>
                <w:lang w:val="en-US"/>
              </w:rPr>
              <w:instrText>fd</w:instrText>
            </w:r>
            <w:r w:rsidR="00053AE8" w:rsidRPr="002B3AE7">
              <w:rPr>
                <w:b/>
                <w:bCs/>
                <w:szCs w:val="24"/>
              </w:rPr>
              <w:instrText>-9263-2</w:instrText>
            </w:r>
            <w:r w:rsidR="00053AE8">
              <w:rPr>
                <w:b/>
                <w:bCs/>
                <w:szCs w:val="24"/>
                <w:lang w:val="en-US"/>
              </w:rPr>
              <w:instrText>f</w:instrText>
            </w:r>
            <w:r w:rsidR="00053AE8" w:rsidRPr="002B3AE7">
              <w:rPr>
                <w:b/>
                <w:bCs/>
                <w:szCs w:val="24"/>
              </w:rPr>
              <w:instrText>5473940</w:instrText>
            </w:r>
            <w:r w:rsidR="00053AE8">
              <w:rPr>
                <w:b/>
                <w:bCs/>
                <w:szCs w:val="24"/>
                <w:lang w:val="en-US"/>
              </w:rPr>
              <w:instrText>f</w:instrText>
            </w:r>
            <w:r w:rsidR="00053AE8" w:rsidRPr="002B3AE7">
              <w:rPr>
                <w:b/>
                <w:bCs/>
                <w:szCs w:val="24"/>
              </w:rPr>
              <w:instrText>23"]}],"</w:instrText>
            </w:r>
            <w:r w:rsidR="00053AE8">
              <w:rPr>
                <w:b/>
                <w:bCs/>
                <w:szCs w:val="24"/>
                <w:lang w:val="en-US"/>
              </w:rPr>
              <w:instrText>mendeley</w:instrText>
            </w:r>
            <w:r w:rsidR="00053AE8" w:rsidRPr="002B3AE7">
              <w:rPr>
                <w:b/>
                <w:bCs/>
                <w:szCs w:val="24"/>
              </w:rPr>
              <w:instrText>":{"</w:instrText>
            </w:r>
            <w:r w:rsidR="00053AE8">
              <w:rPr>
                <w:b/>
                <w:bCs/>
                <w:szCs w:val="24"/>
                <w:lang w:val="en-US"/>
              </w:rPr>
              <w:instrText>formattedCitation</w:instrText>
            </w:r>
            <w:r w:rsidR="00053AE8" w:rsidRPr="002B3AE7">
              <w:rPr>
                <w:b/>
                <w:bCs/>
                <w:szCs w:val="24"/>
              </w:rPr>
              <w:instrText>":"[129]","</w:instrText>
            </w:r>
            <w:r w:rsidR="00053AE8">
              <w:rPr>
                <w:b/>
                <w:bCs/>
                <w:szCs w:val="24"/>
                <w:lang w:val="en-US"/>
              </w:rPr>
              <w:instrText>plainTextFormattedCitation</w:instrText>
            </w:r>
            <w:r w:rsidR="00053AE8" w:rsidRPr="002B3AE7">
              <w:rPr>
                <w:b/>
                <w:bCs/>
                <w:szCs w:val="24"/>
              </w:rPr>
              <w:instrText>":"[129]","</w:instrText>
            </w:r>
            <w:r w:rsidR="00053AE8">
              <w:rPr>
                <w:b/>
                <w:bCs/>
                <w:szCs w:val="24"/>
                <w:lang w:val="en-US"/>
              </w:rPr>
              <w:instrText>previouslyFormattedCitation</w:instrText>
            </w:r>
            <w:r w:rsidR="00053AE8" w:rsidRPr="002B3AE7">
              <w:rPr>
                <w:b/>
                <w:bCs/>
                <w:szCs w:val="24"/>
              </w:rPr>
              <w:instrText>":"[129]"},"</w:instrText>
            </w:r>
            <w:r w:rsidR="00053AE8">
              <w:rPr>
                <w:b/>
                <w:bCs/>
                <w:szCs w:val="24"/>
                <w:lang w:val="en-US"/>
              </w:rPr>
              <w:instrText>properties</w:instrText>
            </w:r>
            <w:r w:rsidR="00053AE8" w:rsidRPr="002B3AE7">
              <w:rPr>
                <w:b/>
                <w:bCs/>
                <w:szCs w:val="24"/>
              </w:rPr>
              <w:instrText>":{"</w:instrText>
            </w:r>
            <w:r w:rsidR="00053AE8">
              <w:rPr>
                <w:b/>
                <w:bCs/>
                <w:szCs w:val="24"/>
                <w:lang w:val="en-US"/>
              </w:rPr>
              <w:instrText>noteIndex</w:instrText>
            </w:r>
            <w:r w:rsidR="00053AE8" w:rsidRPr="002B3AE7">
              <w:rPr>
                <w:b/>
                <w:bCs/>
                <w:szCs w:val="24"/>
              </w:rPr>
              <w:instrText>":0},"</w:instrText>
            </w:r>
            <w:r w:rsidR="00053AE8">
              <w:rPr>
                <w:b/>
                <w:bCs/>
                <w:szCs w:val="24"/>
                <w:lang w:val="en-US"/>
              </w:rPr>
              <w:instrText>schema</w:instrText>
            </w:r>
            <w:r w:rsidR="00053AE8" w:rsidRPr="002B3AE7">
              <w:rPr>
                <w:b/>
                <w:bCs/>
                <w:szCs w:val="24"/>
              </w:rPr>
              <w:instrText>":"</w:instrText>
            </w:r>
            <w:r w:rsidR="00053AE8">
              <w:rPr>
                <w:b/>
                <w:bCs/>
                <w:szCs w:val="24"/>
                <w:lang w:val="en-US"/>
              </w:rPr>
              <w:instrText>https</w:instrText>
            </w:r>
            <w:r w:rsidR="00053AE8" w:rsidRPr="002B3AE7">
              <w:rPr>
                <w:b/>
                <w:bCs/>
                <w:szCs w:val="24"/>
              </w:rPr>
              <w:instrText>://</w:instrText>
            </w:r>
            <w:r w:rsidR="00053AE8">
              <w:rPr>
                <w:b/>
                <w:bCs/>
                <w:szCs w:val="24"/>
                <w:lang w:val="en-US"/>
              </w:rPr>
              <w:instrText>github</w:instrText>
            </w:r>
            <w:r w:rsidR="00053AE8" w:rsidRPr="002B3AE7">
              <w:rPr>
                <w:b/>
                <w:bCs/>
                <w:szCs w:val="24"/>
              </w:rPr>
              <w:instrText>.</w:instrText>
            </w:r>
            <w:r w:rsidR="00053AE8">
              <w:rPr>
                <w:b/>
                <w:bCs/>
                <w:szCs w:val="24"/>
                <w:lang w:val="en-US"/>
              </w:rPr>
              <w:instrText>com</w:instrText>
            </w:r>
            <w:r w:rsidR="00053AE8" w:rsidRPr="002B3AE7">
              <w:rPr>
                <w:b/>
                <w:bCs/>
                <w:szCs w:val="24"/>
              </w:rPr>
              <w:instrText>/</w:instrText>
            </w:r>
            <w:r w:rsidR="00053AE8">
              <w:rPr>
                <w:b/>
                <w:bCs/>
                <w:szCs w:val="24"/>
                <w:lang w:val="en-US"/>
              </w:rPr>
              <w:instrText>citation</w:instrText>
            </w:r>
            <w:r w:rsidR="00053AE8" w:rsidRPr="002B3AE7">
              <w:rPr>
                <w:b/>
                <w:bCs/>
                <w:szCs w:val="24"/>
              </w:rPr>
              <w:instrText>-</w:instrText>
            </w:r>
            <w:r w:rsidR="00053AE8">
              <w:rPr>
                <w:b/>
                <w:bCs/>
                <w:szCs w:val="24"/>
                <w:lang w:val="en-US"/>
              </w:rPr>
              <w:instrText>style</w:instrText>
            </w:r>
            <w:r w:rsidR="00053AE8" w:rsidRPr="002B3AE7">
              <w:rPr>
                <w:b/>
                <w:bCs/>
                <w:szCs w:val="24"/>
              </w:rPr>
              <w:instrText>-</w:instrText>
            </w:r>
            <w:r w:rsidR="00053AE8">
              <w:rPr>
                <w:b/>
                <w:bCs/>
                <w:szCs w:val="24"/>
                <w:lang w:val="en-US"/>
              </w:rPr>
              <w:instrText>language</w:instrText>
            </w:r>
            <w:r w:rsidR="00053AE8" w:rsidRPr="002B3AE7">
              <w:rPr>
                <w:b/>
                <w:bCs/>
                <w:szCs w:val="24"/>
              </w:rPr>
              <w:instrText>/</w:instrText>
            </w:r>
            <w:r w:rsidR="00053AE8">
              <w:rPr>
                <w:b/>
                <w:bCs/>
                <w:szCs w:val="24"/>
                <w:lang w:val="en-US"/>
              </w:rPr>
              <w:instrText>schema</w:instrText>
            </w:r>
            <w:r w:rsidR="00053AE8" w:rsidRPr="002B3AE7">
              <w:rPr>
                <w:b/>
                <w:bCs/>
                <w:szCs w:val="24"/>
              </w:rPr>
              <w:instrText>/</w:instrText>
            </w:r>
            <w:r w:rsidR="00053AE8">
              <w:rPr>
                <w:b/>
                <w:bCs/>
                <w:szCs w:val="24"/>
                <w:lang w:val="en-US"/>
              </w:rPr>
              <w:instrText>raw</w:instrText>
            </w:r>
            <w:r w:rsidR="00053AE8" w:rsidRPr="002B3AE7">
              <w:rPr>
                <w:b/>
                <w:bCs/>
                <w:szCs w:val="24"/>
              </w:rPr>
              <w:instrText>/</w:instrText>
            </w:r>
            <w:r w:rsidR="00053AE8">
              <w:rPr>
                <w:b/>
                <w:bCs/>
                <w:szCs w:val="24"/>
                <w:lang w:val="en-US"/>
              </w:rPr>
              <w:instrText>master</w:instrText>
            </w:r>
            <w:r w:rsidR="00053AE8" w:rsidRPr="002B3AE7">
              <w:rPr>
                <w:b/>
                <w:bCs/>
                <w:szCs w:val="24"/>
              </w:rPr>
              <w:instrText>/</w:instrText>
            </w:r>
            <w:r w:rsidR="00053AE8">
              <w:rPr>
                <w:b/>
                <w:bCs/>
                <w:szCs w:val="24"/>
                <w:lang w:val="en-US"/>
              </w:rPr>
              <w:instrText>csl</w:instrText>
            </w:r>
            <w:r w:rsidR="00053AE8" w:rsidRPr="002B3AE7">
              <w:rPr>
                <w:b/>
                <w:bCs/>
                <w:szCs w:val="24"/>
              </w:rPr>
              <w:instrText>-</w:instrText>
            </w:r>
            <w:r w:rsidR="00053AE8">
              <w:rPr>
                <w:b/>
                <w:bCs/>
                <w:szCs w:val="24"/>
                <w:lang w:val="en-US"/>
              </w:rPr>
              <w:instrText>citation</w:instrText>
            </w:r>
            <w:r w:rsidR="00053AE8" w:rsidRPr="002B3AE7">
              <w:rPr>
                <w:b/>
                <w:bCs/>
                <w:szCs w:val="24"/>
              </w:rPr>
              <w:instrText>.</w:instrText>
            </w:r>
            <w:r w:rsidR="00053AE8">
              <w:rPr>
                <w:b/>
                <w:bCs/>
                <w:szCs w:val="24"/>
                <w:lang w:val="en-US"/>
              </w:rPr>
              <w:instrText>json</w:instrText>
            </w:r>
            <w:r w:rsidR="00053AE8" w:rsidRPr="002B3AE7">
              <w:rPr>
                <w:b/>
                <w:bCs/>
                <w:szCs w:val="24"/>
              </w:rPr>
              <w:instrText>"}</w:instrText>
            </w:r>
            <w:r w:rsidR="002415BA">
              <w:rPr>
                <w:b/>
                <w:bCs/>
                <w:szCs w:val="24"/>
                <w:lang w:val="en-US"/>
              </w:rPr>
              <w:fldChar w:fldCharType="separate"/>
            </w:r>
            <w:r w:rsidR="00A60C8A" w:rsidRPr="00A60C8A">
              <w:rPr>
                <w:bCs/>
                <w:noProof/>
                <w:szCs w:val="24"/>
              </w:rPr>
              <w:t>[129]</w:t>
            </w:r>
            <w:r w:rsidR="002415BA">
              <w:rPr>
                <w:b/>
                <w:bCs/>
                <w:szCs w:val="24"/>
                <w:lang w:val="en-US"/>
              </w:rPr>
              <w:fldChar w:fldCharType="end"/>
            </w:r>
          </w:p>
        </w:tc>
      </w:tr>
      <w:tr w:rsidR="00C12369" w:rsidRPr="00EA5B5D" w14:paraId="0A538567" w14:textId="77777777" w:rsidTr="00B16826">
        <w:trPr>
          <w:trHeight w:val="329"/>
        </w:trPr>
        <w:tc>
          <w:tcPr>
            <w:tcW w:w="2339" w:type="dxa"/>
            <w:tcBorders>
              <w:top w:val="single" w:sz="4" w:space="0" w:color="auto"/>
              <w:left w:val="single" w:sz="4" w:space="0" w:color="auto"/>
              <w:bottom w:val="single" w:sz="4" w:space="0" w:color="auto"/>
              <w:right w:val="single" w:sz="4" w:space="0" w:color="auto"/>
            </w:tcBorders>
            <w:hideMark/>
          </w:tcPr>
          <w:p w14:paraId="37BB8904" w14:textId="77777777" w:rsidR="00C12369" w:rsidRPr="00EA5B5D" w:rsidRDefault="00C12369" w:rsidP="00B16826">
            <w:pPr>
              <w:spacing w:line="240" w:lineRule="auto"/>
              <w:ind w:firstLine="0"/>
              <w:jc w:val="left"/>
              <w:rPr>
                <w:szCs w:val="24"/>
              </w:rPr>
            </w:pPr>
            <w:r w:rsidRPr="00EA5B5D">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30844149" w14:textId="77777777" w:rsidR="00C12369" w:rsidRPr="00EA5B5D" w:rsidRDefault="00C12369" w:rsidP="00B16826">
            <w:pPr>
              <w:spacing w:line="240" w:lineRule="auto"/>
              <w:ind w:firstLine="0"/>
              <w:jc w:val="left"/>
              <w:rPr>
                <w:szCs w:val="24"/>
              </w:rPr>
            </w:pPr>
            <w:r w:rsidRPr="00EA5B5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5CC95766" w14:textId="77777777" w:rsidR="00C12369" w:rsidRPr="00EA5B5D" w:rsidRDefault="00C12369" w:rsidP="00B16826">
            <w:pPr>
              <w:spacing w:line="240" w:lineRule="auto"/>
              <w:ind w:firstLine="0"/>
              <w:jc w:val="left"/>
              <w:rPr>
                <w:szCs w:val="24"/>
              </w:rPr>
            </w:pPr>
            <w:r w:rsidRPr="00EA5B5D">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332AC1A4" w14:textId="77777777" w:rsidR="00C12369" w:rsidRPr="00EA5B5D" w:rsidRDefault="00C12369" w:rsidP="00B16826">
            <w:pPr>
              <w:spacing w:line="240" w:lineRule="auto"/>
              <w:ind w:firstLine="0"/>
              <w:jc w:val="left"/>
              <w:rPr>
                <w:szCs w:val="24"/>
              </w:rPr>
            </w:pPr>
            <w:r w:rsidRPr="00EA5B5D">
              <w:rPr>
                <w:szCs w:val="24"/>
              </w:rPr>
              <w:t>Дни введения</w:t>
            </w:r>
          </w:p>
        </w:tc>
      </w:tr>
      <w:tr w:rsidR="00C12369" w:rsidRPr="00EA5B5D" w14:paraId="13502B56" w14:textId="77777777" w:rsidTr="00B16826">
        <w:trPr>
          <w:trHeight w:val="329"/>
        </w:trPr>
        <w:tc>
          <w:tcPr>
            <w:tcW w:w="2339" w:type="dxa"/>
            <w:tcBorders>
              <w:top w:val="single" w:sz="4" w:space="0" w:color="auto"/>
              <w:left w:val="single" w:sz="4" w:space="0" w:color="auto"/>
              <w:bottom w:val="single" w:sz="4" w:space="0" w:color="auto"/>
              <w:right w:val="single" w:sz="4" w:space="0" w:color="auto"/>
            </w:tcBorders>
            <w:hideMark/>
          </w:tcPr>
          <w:p w14:paraId="41316535" w14:textId="77777777" w:rsidR="00C12369" w:rsidRPr="00C12369" w:rsidRDefault="002415BA" w:rsidP="00C12369">
            <w:pPr>
              <w:spacing w:line="240" w:lineRule="auto"/>
              <w:ind w:firstLine="0"/>
              <w:jc w:val="left"/>
              <w:rPr>
                <w:szCs w:val="24"/>
              </w:rPr>
            </w:pPr>
            <w:r>
              <w:rPr>
                <w:szCs w:val="24"/>
              </w:rPr>
              <w:t>Преднизолон</w:t>
            </w:r>
            <w:r w:rsidR="00D254F2" w:rsidRPr="00D254F2">
              <w:rPr>
                <w:szCs w:val="24"/>
              </w:rPr>
              <w:t>**</w:t>
            </w:r>
          </w:p>
        </w:tc>
        <w:tc>
          <w:tcPr>
            <w:tcW w:w="2339" w:type="dxa"/>
            <w:tcBorders>
              <w:top w:val="single" w:sz="4" w:space="0" w:color="auto"/>
              <w:left w:val="single" w:sz="4" w:space="0" w:color="auto"/>
              <w:bottom w:val="single" w:sz="4" w:space="0" w:color="auto"/>
              <w:right w:val="single" w:sz="4" w:space="0" w:color="auto"/>
            </w:tcBorders>
          </w:tcPr>
          <w:p w14:paraId="1F048337" w14:textId="77777777" w:rsidR="00C12369" w:rsidRPr="00C12369" w:rsidRDefault="002415BA" w:rsidP="00C12369">
            <w:pPr>
              <w:spacing w:line="240" w:lineRule="auto"/>
              <w:ind w:firstLine="0"/>
              <w:jc w:val="left"/>
              <w:rPr>
                <w:szCs w:val="24"/>
              </w:rPr>
            </w:pPr>
            <w:r>
              <w:rPr>
                <w:szCs w:val="24"/>
              </w:rPr>
              <w:t>100</w:t>
            </w:r>
            <w:r w:rsidR="00C12369" w:rsidRPr="00C12369">
              <w:rPr>
                <w:szCs w:val="24"/>
              </w:rPr>
              <w:t xml:space="preserve"> мг</w:t>
            </w:r>
          </w:p>
        </w:tc>
        <w:tc>
          <w:tcPr>
            <w:tcW w:w="2339" w:type="dxa"/>
            <w:tcBorders>
              <w:top w:val="single" w:sz="4" w:space="0" w:color="auto"/>
              <w:left w:val="single" w:sz="4" w:space="0" w:color="auto"/>
              <w:bottom w:val="single" w:sz="4" w:space="0" w:color="auto"/>
              <w:right w:val="single" w:sz="4" w:space="0" w:color="auto"/>
            </w:tcBorders>
            <w:hideMark/>
          </w:tcPr>
          <w:p w14:paraId="0B2A8A1C" w14:textId="77777777" w:rsidR="00C12369" w:rsidRPr="00C12369" w:rsidRDefault="002415BA" w:rsidP="00C12369">
            <w:pPr>
              <w:spacing w:line="240" w:lineRule="auto"/>
              <w:ind w:firstLine="0"/>
              <w:jc w:val="left"/>
              <w:rPr>
                <w:szCs w:val="24"/>
              </w:rPr>
            </w:pPr>
            <w:r>
              <w:rPr>
                <w:szCs w:val="24"/>
              </w:rPr>
              <w:t>внутрь</w:t>
            </w:r>
          </w:p>
        </w:tc>
        <w:tc>
          <w:tcPr>
            <w:tcW w:w="2339" w:type="dxa"/>
            <w:tcBorders>
              <w:top w:val="single" w:sz="4" w:space="0" w:color="auto"/>
              <w:left w:val="single" w:sz="4" w:space="0" w:color="auto"/>
              <w:bottom w:val="single" w:sz="4" w:space="0" w:color="auto"/>
              <w:right w:val="single" w:sz="4" w:space="0" w:color="auto"/>
            </w:tcBorders>
          </w:tcPr>
          <w:p w14:paraId="7A00FF54" w14:textId="77777777" w:rsidR="00C12369" w:rsidRPr="00C12369" w:rsidRDefault="00C12369" w:rsidP="00C12369">
            <w:pPr>
              <w:spacing w:line="240" w:lineRule="auto"/>
              <w:ind w:firstLine="0"/>
              <w:jc w:val="left"/>
              <w:rPr>
                <w:szCs w:val="24"/>
              </w:rPr>
            </w:pPr>
            <w:r w:rsidRPr="00C12369">
              <w:rPr>
                <w:szCs w:val="24"/>
              </w:rPr>
              <w:t>1-</w:t>
            </w:r>
            <w:r w:rsidR="002415BA">
              <w:rPr>
                <w:szCs w:val="24"/>
              </w:rPr>
              <w:t>4</w:t>
            </w:r>
          </w:p>
        </w:tc>
      </w:tr>
      <w:tr w:rsidR="00C12369" w:rsidRPr="00EA5B5D" w14:paraId="56032DAE" w14:textId="77777777" w:rsidTr="00B16826">
        <w:trPr>
          <w:trHeight w:val="329"/>
        </w:trPr>
        <w:tc>
          <w:tcPr>
            <w:tcW w:w="2339" w:type="dxa"/>
            <w:tcBorders>
              <w:top w:val="single" w:sz="4" w:space="0" w:color="auto"/>
              <w:left w:val="single" w:sz="4" w:space="0" w:color="auto"/>
              <w:bottom w:val="single" w:sz="4" w:space="0" w:color="auto"/>
              <w:right w:val="single" w:sz="4" w:space="0" w:color="auto"/>
            </w:tcBorders>
            <w:hideMark/>
          </w:tcPr>
          <w:p w14:paraId="059B326D" w14:textId="77777777" w:rsidR="00C12369" w:rsidRPr="00C12369" w:rsidRDefault="00C12369" w:rsidP="00C12369">
            <w:pPr>
              <w:spacing w:line="240" w:lineRule="auto"/>
              <w:ind w:firstLine="0"/>
              <w:jc w:val="left"/>
              <w:rPr>
                <w:szCs w:val="24"/>
              </w:rPr>
            </w:pPr>
            <w:r w:rsidRPr="00C12369">
              <w:rPr>
                <w:szCs w:val="24"/>
              </w:rPr>
              <w:t>Ифосфамид</w:t>
            </w:r>
            <w:r w:rsidR="00D254F2" w:rsidRPr="00D254F2">
              <w:rPr>
                <w:szCs w:val="24"/>
              </w:rPr>
              <w:t>**</w:t>
            </w:r>
          </w:p>
        </w:tc>
        <w:tc>
          <w:tcPr>
            <w:tcW w:w="2339" w:type="dxa"/>
            <w:tcBorders>
              <w:top w:val="single" w:sz="4" w:space="0" w:color="auto"/>
              <w:left w:val="single" w:sz="4" w:space="0" w:color="auto"/>
              <w:bottom w:val="single" w:sz="4" w:space="0" w:color="auto"/>
              <w:right w:val="single" w:sz="4" w:space="0" w:color="auto"/>
            </w:tcBorders>
            <w:hideMark/>
          </w:tcPr>
          <w:p w14:paraId="2DEA2B35" w14:textId="77777777" w:rsidR="00C12369" w:rsidRPr="00C12369" w:rsidRDefault="00C12369" w:rsidP="00C12369">
            <w:pPr>
              <w:spacing w:line="240" w:lineRule="auto"/>
              <w:ind w:firstLine="0"/>
              <w:jc w:val="left"/>
              <w:rPr>
                <w:szCs w:val="24"/>
              </w:rPr>
            </w:pPr>
            <w:r w:rsidRPr="00C12369">
              <w:rPr>
                <w:szCs w:val="24"/>
              </w:rPr>
              <w:t>200</w:t>
            </w:r>
            <w:r w:rsidR="002415BA" w:rsidRPr="005B03CD">
              <w:rPr>
                <w:szCs w:val="24"/>
              </w:rPr>
              <w:t>0</w:t>
            </w:r>
            <w:r w:rsidRPr="00C12369">
              <w:rPr>
                <w:szCs w:val="24"/>
              </w:rPr>
              <w:t xml:space="preserve"> мг/м</w:t>
            </w:r>
            <w:r w:rsidRPr="00C12369">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0B885F28" w14:textId="77777777" w:rsidR="00C12369" w:rsidRPr="00C12369" w:rsidRDefault="00C12369" w:rsidP="00C12369">
            <w:pPr>
              <w:spacing w:line="240" w:lineRule="auto"/>
              <w:ind w:firstLine="0"/>
              <w:jc w:val="left"/>
              <w:rPr>
                <w:szCs w:val="24"/>
              </w:rPr>
            </w:pPr>
            <w:r w:rsidRPr="00C12369">
              <w:rPr>
                <w:szCs w:val="24"/>
              </w:rPr>
              <w:t>в/в кап.</w:t>
            </w:r>
          </w:p>
        </w:tc>
        <w:tc>
          <w:tcPr>
            <w:tcW w:w="2339" w:type="dxa"/>
            <w:tcBorders>
              <w:top w:val="single" w:sz="4" w:space="0" w:color="auto"/>
              <w:left w:val="single" w:sz="4" w:space="0" w:color="auto"/>
              <w:bottom w:val="single" w:sz="4" w:space="0" w:color="auto"/>
              <w:right w:val="single" w:sz="4" w:space="0" w:color="auto"/>
            </w:tcBorders>
            <w:hideMark/>
          </w:tcPr>
          <w:p w14:paraId="09B73F47" w14:textId="77777777" w:rsidR="00C12369" w:rsidRPr="00C12369" w:rsidRDefault="00C12369" w:rsidP="00C12369">
            <w:pPr>
              <w:spacing w:line="240" w:lineRule="auto"/>
              <w:ind w:firstLine="0"/>
              <w:jc w:val="left"/>
              <w:rPr>
                <w:szCs w:val="24"/>
              </w:rPr>
            </w:pPr>
            <w:r w:rsidRPr="00C12369">
              <w:rPr>
                <w:szCs w:val="24"/>
              </w:rPr>
              <w:t>1-4</w:t>
            </w:r>
          </w:p>
        </w:tc>
      </w:tr>
      <w:tr w:rsidR="00C12369" w:rsidRPr="00EA5B5D" w14:paraId="79EDAA99" w14:textId="77777777" w:rsidTr="00B16826">
        <w:trPr>
          <w:trHeight w:val="329"/>
        </w:trPr>
        <w:tc>
          <w:tcPr>
            <w:tcW w:w="2339" w:type="dxa"/>
            <w:tcBorders>
              <w:top w:val="single" w:sz="4" w:space="0" w:color="auto"/>
              <w:left w:val="single" w:sz="4" w:space="0" w:color="auto"/>
              <w:bottom w:val="single" w:sz="4" w:space="0" w:color="auto"/>
              <w:right w:val="single" w:sz="4" w:space="0" w:color="auto"/>
            </w:tcBorders>
          </w:tcPr>
          <w:p w14:paraId="52FC5077" w14:textId="77777777" w:rsidR="00C12369" w:rsidRPr="00C12369" w:rsidRDefault="00C12369" w:rsidP="00C12369">
            <w:pPr>
              <w:spacing w:line="240" w:lineRule="auto"/>
              <w:ind w:firstLine="0"/>
              <w:jc w:val="left"/>
              <w:rPr>
                <w:szCs w:val="24"/>
              </w:rPr>
            </w:pPr>
            <w:r w:rsidRPr="00C12369">
              <w:rPr>
                <w:szCs w:val="24"/>
              </w:rPr>
              <w:t>Винорелбин</w:t>
            </w:r>
            <w:r w:rsidR="00D254F2" w:rsidRPr="00D254F2">
              <w:rPr>
                <w:szCs w:val="24"/>
              </w:rPr>
              <w:t>**</w:t>
            </w:r>
          </w:p>
        </w:tc>
        <w:tc>
          <w:tcPr>
            <w:tcW w:w="2339" w:type="dxa"/>
            <w:tcBorders>
              <w:top w:val="single" w:sz="4" w:space="0" w:color="auto"/>
              <w:left w:val="single" w:sz="4" w:space="0" w:color="auto"/>
              <w:bottom w:val="single" w:sz="4" w:space="0" w:color="auto"/>
              <w:right w:val="single" w:sz="4" w:space="0" w:color="auto"/>
            </w:tcBorders>
          </w:tcPr>
          <w:p w14:paraId="34A7C06B" w14:textId="77777777" w:rsidR="00C12369" w:rsidRPr="00C12369" w:rsidRDefault="00C12369" w:rsidP="00C12369">
            <w:pPr>
              <w:spacing w:line="240" w:lineRule="auto"/>
              <w:ind w:firstLine="0"/>
              <w:jc w:val="left"/>
              <w:rPr>
                <w:szCs w:val="24"/>
              </w:rPr>
            </w:pPr>
            <w:r w:rsidRPr="00C12369">
              <w:rPr>
                <w:szCs w:val="24"/>
              </w:rPr>
              <w:t>20 мг/м</w:t>
            </w:r>
            <w:r w:rsidRPr="00C12369">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228DA4E3" w14:textId="77777777" w:rsidR="00C12369" w:rsidRPr="00C12369" w:rsidRDefault="00C12369" w:rsidP="00C12369">
            <w:pPr>
              <w:spacing w:line="240" w:lineRule="auto"/>
              <w:ind w:firstLine="0"/>
              <w:jc w:val="left"/>
              <w:rPr>
                <w:szCs w:val="24"/>
              </w:rPr>
            </w:pPr>
            <w:r w:rsidRPr="00C12369">
              <w:rPr>
                <w:szCs w:val="24"/>
              </w:rPr>
              <w:t>в/в</w:t>
            </w:r>
          </w:p>
        </w:tc>
        <w:tc>
          <w:tcPr>
            <w:tcW w:w="2339" w:type="dxa"/>
            <w:tcBorders>
              <w:top w:val="single" w:sz="4" w:space="0" w:color="auto"/>
              <w:left w:val="single" w:sz="4" w:space="0" w:color="auto"/>
              <w:bottom w:val="single" w:sz="4" w:space="0" w:color="auto"/>
              <w:right w:val="single" w:sz="4" w:space="0" w:color="auto"/>
            </w:tcBorders>
          </w:tcPr>
          <w:p w14:paraId="2EFB4E0A" w14:textId="77777777" w:rsidR="00C12369" w:rsidRPr="00C12369" w:rsidRDefault="00C12369" w:rsidP="00C12369">
            <w:pPr>
              <w:spacing w:line="240" w:lineRule="auto"/>
              <w:ind w:firstLine="0"/>
              <w:jc w:val="left"/>
              <w:rPr>
                <w:szCs w:val="24"/>
              </w:rPr>
            </w:pPr>
            <w:r w:rsidRPr="00C12369">
              <w:rPr>
                <w:szCs w:val="24"/>
              </w:rPr>
              <w:t>1</w:t>
            </w:r>
          </w:p>
        </w:tc>
      </w:tr>
      <w:tr w:rsidR="00C12369" w:rsidRPr="00EA5B5D" w14:paraId="69D7974E" w14:textId="77777777" w:rsidTr="00B16826">
        <w:trPr>
          <w:trHeight w:val="329"/>
        </w:trPr>
        <w:tc>
          <w:tcPr>
            <w:tcW w:w="2339" w:type="dxa"/>
            <w:tcBorders>
              <w:top w:val="single" w:sz="4" w:space="0" w:color="auto"/>
              <w:left w:val="single" w:sz="4" w:space="0" w:color="auto"/>
              <w:bottom w:val="single" w:sz="4" w:space="0" w:color="auto"/>
              <w:right w:val="single" w:sz="4" w:space="0" w:color="auto"/>
            </w:tcBorders>
          </w:tcPr>
          <w:p w14:paraId="2DB6AF09" w14:textId="77777777" w:rsidR="00C12369" w:rsidRPr="00C12369" w:rsidRDefault="00C12369" w:rsidP="00C12369">
            <w:pPr>
              <w:spacing w:line="240" w:lineRule="auto"/>
              <w:ind w:firstLine="0"/>
              <w:jc w:val="left"/>
              <w:rPr>
                <w:szCs w:val="24"/>
              </w:rPr>
            </w:pPr>
            <w:r w:rsidRPr="00C12369">
              <w:rPr>
                <w:szCs w:val="24"/>
              </w:rPr>
              <w:t>Гемцитабин</w:t>
            </w:r>
            <w:r w:rsidR="00D254F2" w:rsidRPr="00D254F2">
              <w:rPr>
                <w:szCs w:val="24"/>
              </w:rPr>
              <w:t>**</w:t>
            </w:r>
          </w:p>
        </w:tc>
        <w:tc>
          <w:tcPr>
            <w:tcW w:w="2339" w:type="dxa"/>
            <w:tcBorders>
              <w:top w:val="single" w:sz="4" w:space="0" w:color="auto"/>
              <w:left w:val="single" w:sz="4" w:space="0" w:color="auto"/>
              <w:bottom w:val="single" w:sz="4" w:space="0" w:color="auto"/>
              <w:right w:val="single" w:sz="4" w:space="0" w:color="auto"/>
            </w:tcBorders>
          </w:tcPr>
          <w:p w14:paraId="5465C50F" w14:textId="77777777" w:rsidR="00C12369" w:rsidRPr="00C12369" w:rsidRDefault="00C12369" w:rsidP="00C12369">
            <w:pPr>
              <w:spacing w:line="240" w:lineRule="auto"/>
              <w:ind w:firstLine="0"/>
              <w:jc w:val="left"/>
              <w:rPr>
                <w:szCs w:val="24"/>
              </w:rPr>
            </w:pPr>
            <w:r w:rsidRPr="00C12369">
              <w:rPr>
                <w:szCs w:val="24"/>
              </w:rPr>
              <w:t>800 мг/м</w:t>
            </w:r>
            <w:r w:rsidRPr="00C12369">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5F45B3A7" w14:textId="77777777" w:rsidR="00C12369" w:rsidRPr="00C12369" w:rsidRDefault="00C12369" w:rsidP="00C12369">
            <w:pPr>
              <w:spacing w:line="240" w:lineRule="auto"/>
              <w:ind w:firstLine="0"/>
              <w:jc w:val="left"/>
              <w:rPr>
                <w:szCs w:val="24"/>
              </w:rPr>
            </w:pPr>
            <w:r w:rsidRPr="00C12369">
              <w:rPr>
                <w:szCs w:val="24"/>
              </w:rPr>
              <w:t>в/в кап.</w:t>
            </w:r>
          </w:p>
        </w:tc>
        <w:tc>
          <w:tcPr>
            <w:tcW w:w="2339" w:type="dxa"/>
            <w:tcBorders>
              <w:top w:val="single" w:sz="4" w:space="0" w:color="auto"/>
              <w:left w:val="single" w:sz="4" w:space="0" w:color="auto"/>
              <w:bottom w:val="single" w:sz="4" w:space="0" w:color="auto"/>
              <w:right w:val="single" w:sz="4" w:space="0" w:color="auto"/>
            </w:tcBorders>
          </w:tcPr>
          <w:p w14:paraId="1009FA64" w14:textId="77777777" w:rsidR="00C12369" w:rsidRPr="00C12369" w:rsidRDefault="00C12369" w:rsidP="00C12369">
            <w:pPr>
              <w:spacing w:line="240" w:lineRule="auto"/>
              <w:ind w:firstLine="0"/>
              <w:jc w:val="left"/>
              <w:rPr>
                <w:szCs w:val="24"/>
              </w:rPr>
            </w:pPr>
            <w:r w:rsidRPr="00C12369">
              <w:rPr>
                <w:szCs w:val="24"/>
              </w:rPr>
              <w:t>1,</w:t>
            </w:r>
            <w:r w:rsidRPr="002415BA">
              <w:rPr>
                <w:szCs w:val="24"/>
              </w:rPr>
              <w:t xml:space="preserve"> </w:t>
            </w:r>
            <w:r w:rsidR="002415BA" w:rsidRPr="005B03CD">
              <w:rPr>
                <w:szCs w:val="24"/>
              </w:rPr>
              <w:t>4</w:t>
            </w:r>
          </w:p>
        </w:tc>
      </w:tr>
      <w:tr w:rsidR="00C12369" w:rsidRPr="00EA5B5D" w14:paraId="1C239ED2" w14:textId="77777777" w:rsidTr="00B16826">
        <w:trPr>
          <w:trHeight w:val="329"/>
        </w:trPr>
        <w:tc>
          <w:tcPr>
            <w:tcW w:w="9356" w:type="dxa"/>
            <w:gridSpan w:val="4"/>
            <w:tcBorders>
              <w:top w:val="nil"/>
              <w:left w:val="nil"/>
              <w:bottom w:val="single" w:sz="4" w:space="0" w:color="auto"/>
              <w:right w:val="nil"/>
            </w:tcBorders>
          </w:tcPr>
          <w:p w14:paraId="0ED48865" w14:textId="77777777" w:rsidR="00015B13" w:rsidRPr="002415BA" w:rsidRDefault="00015B13" w:rsidP="00B16826">
            <w:pPr>
              <w:spacing w:line="240" w:lineRule="auto"/>
              <w:ind w:firstLine="0"/>
              <w:jc w:val="left"/>
              <w:rPr>
                <w:b/>
                <w:bCs/>
                <w:szCs w:val="24"/>
              </w:rPr>
            </w:pPr>
          </w:p>
          <w:p w14:paraId="0A81443D" w14:textId="6C12EDB1" w:rsidR="00C12369" w:rsidRPr="002415BA" w:rsidRDefault="00C12369" w:rsidP="00B16826">
            <w:pPr>
              <w:spacing w:line="240" w:lineRule="auto"/>
              <w:ind w:firstLine="0"/>
              <w:jc w:val="left"/>
              <w:rPr>
                <w:b/>
                <w:bCs/>
                <w:szCs w:val="24"/>
              </w:rPr>
            </w:pPr>
            <w:r>
              <w:rPr>
                <w:b/>
                <w:bCs/>
                <w:szCs w:val="24"/>
                <w:lang w:val="en-US"/>
              </w:rPr>
              <w:t>DHAP</w:t>
            </w:r>
            <w:r w:rsidR="002415BA" w:rsidRPr="005B03CD">
              <w:rPr>
                <w:b/>
                <w:bCs/>
                <w:szCs w:val="24"/>
              </w:rPr>
              <w:t xml:space="preserve"> </w:t>
            </w:r>
            <w:r w:rsidR="002415BA">
              <w:rPr>
                <w:b/>
                <w:bCs/>
                <w:szCs w:val="24"/>
                <w:lang w:val="en-US"/>
              </w:rPr>
              <w:fldChar w:fldCharType="begin" w:fldLock="1"/>
            </w:r>
            <w:r w:rsidR="00053AE8">
              <w:rPr>
                <w:b/>
                <w:bCs/>
                <w:szCs w:val="24"/>
                <w:lang w:val="en-US"/>
              </w:rPr>
              <w:instrText>ADDIN</w:instrText>
            </w:r>
            <w:r w:rsidR="00053AE8" w:rsidRPr="002B3AE7">
              <w:rPr>
                <w:b/>
                <w:bCs/>
                <w:szCs w:val="24"/>
              </w:rPr>
              <w:instrText xml:space="preserve"> </w:instrText>
            </w:r>
            <w:r w:rsidR="00053AE8">
              <w:rPr>
                <w:b/>
                <w:bCs/>
                <w:szCs w:val="24"/>
                <w:lang w:val="en-US"/>
              </w:rPr>
              <w:instrText>CSL</w:instrText>
            </w:r>
            <w:r w:rsidR="00053AE8" w:rsidRPr="002B3AE7">
              <w:rPr>
                <w:b/>
                <w:bCs/>
                <w:szCs w:val="24"/>
              </w:rPr>
              <w:instrText>_</w:instrText>
            </w:r>
            <w:r w:rsidR="00053AE8">
              <w:rPr>
                <w:b/>
                <w:bCs/>
                <w:szCs w:val="24"/>
                <w:lang w:val="en-US"/>
              </w:rPr>
              <w:instrText>CITATION</w:instrText>
            </w:r>
            <w:r w:rsidR="00053AE8" w:rsidRPr="002B3AE7">
              <w:rPr>
                <w:b/>
                <w:bCs/>
                <w:szCs w:val="24"/>
              </w:rPr>
              <w:instrText xml:space="preserve"> {"</w:instrText>
            </w:r>
            <w:r w:rsidR="00053AE8">
              <w:rPr>
                <w:b/>
                <w:bCs/>
                <w:szCs w:val="24"/>
                <w:lang w:val="en-US"/>
              </w:rPr>
              <w:instrText>citationItems</w:instrText>
            </w:r>
            <w:r w:rsidR="00053AE8" w:rsidRPr="002B3AE7">
              <w:rPr>
                <w:b/>
                <w:bCs/>
                <w:szCs w:val="24"/>
              </w:rPr>
              <w:instrText>":[{"</w:instrText>
            </w:r>
            <w:r w:rsidR="00053AE8">
              <w:rPr>
                <w:b/>
                <w:bCs/>
                <w:szCs w:val="24"/>
                <w:lang w:val="en-US"/>
              </w:rPr>
              <w:instrText>id</w:instrText>
            </w:r>
            <w:r w:rsidR="00053AE8" w:rsidRPr="002B3AE7">
              <w:rPr>
                <w:b/>
                <w:bCs/>
                <w:szCs w:val="24"/>
              </w:rPr>
              <w:instrText>":"</w:instrText>
            </w:r>
            <w:r w:rsidR="00053AE8">
              <w:rPr>
                <w:b/>
                <w:bCs/>
                <w:szCs w:val="24"/>
                <w:lang w:val="en-US"/>
              </w:rPr>
              <w:instrText>ITEM</w:instrText>
            </w:r>
            <w:r w:rsidR="00053AE8" w:rsidRPr="002B3AE7">
              <w:rPr>
                <w:b/>
                <w:bCs/>
                <w:szCs w:val="24"/>
              </w:rPr>
              <w:instrText>-1","</w:instrText>
            </w:r>
            <w:r w:rsidR="00053AE8">
              <w:rPr>
                <w:b/>
                <w:bCs/>
                <w:szCs w:val="24"/>
                <w:lang w:val="en-US"/>
              </w:rPr>
              <w:instrText>itemData</w:instrText>
            </w:r>
            <w:r w:rsidR="00053AE8" w:rsidRPr="002B3AE7">
              <w:rPr>
                <w:b/>
                <w:bCs/>
                <w:szCs w:val="24"/>
              </w:rPr>
              <w:instrText>":{"</w:instrText>
            </w:r>
            <w:r w:rsidR="00053AE8">
              <w:rPr>
                <w:b/>
                <w:bCs/>
                <w:szCs w:val="24"/>
                <w:lang w:val="en-US"/>
              </w:rPr>
              <w:instrText>DOI</w:instrText>
            </w:r>
            <w:r w:rsidR="00053AE8" w:rsidRPr="002B3AE7">
              <w:rPr>
                <w:b/>
                <w:bCs/>
                <w:szCs w:val="24"/>
              </w:rPr>
              <w:instrText>":"10.3904/</w:instrText>
            </w:r>
            <w:r w:rsidR="00053AE8">
              <w:rPr>
                <w:b/>
                <w:bCs/>
                <w:szCs w:val="24"/>
                <w:lang w:val="en-US"/>
              </w:rPr>
              <w:instrText>kjim</w:instrText>
            </w:r>
            <w:r w:rsidR="00053AE8" w:rsidRPr="002B3AE7">
              <w:rPr>
                <w:b/>
                <w:bCs/>
                <w:szCs w:val="24"/>
              </w:rPr>
              <w:instrText>.2016.163","</w:instrText>
            </w:r>
            <w:r w:rsidR="00053AE8">
              <w:rPr>
                <w:b/>
                <w:bCs/>
                <w:szCs w:val="24"/>
                <w:lang w:val="en-US"/>
              </w:rPr>
              <w:instrText>ISSN</w:instrText>
            </w:r>
            <w:r w:rsidR="00053AE8" w:rsidRPr="002B3AE7">
              <w:rPr>
                <w:b/>
                <w:bCs/>
                <w:szCs w:val="24"/>
              </w:rPr>
              <w:instrText>":"20056648","</w:instrText>
            </w:r>
            <w:r w:rsidR="00053AE8">
              <w:rPr>
                <w:b/>
                <w:bCs/>
                <w:szCs w:val="24"/>
                <w:lang w:val="en-US"/>
              </w:rPr>
              <w:instrText>abstract</w:instrText>
            </w:r>
            <w:r w:rsidR="00053AE8" w:rsidRPr="002B3AE7">
              <w:rPr>
                <w:b/>
                <w:bCs/>
                <w:szCs w:val="24"/>
              </w:rPr>
              <w:instrText>":"</w:instrText>
            </w:r>
            <w:r w:rsidR="00053AE8">
              <w:rPr>
                <w:b/>
                <w:bCs/>
                <w:szCs w:val="24"/>
                <w:lang w:val="en-US"/>
              </w:rPr>
              <w:instrText>Background</w:instrText>
            </w:r>
            <w:r w:rsidR="00053AE8" w:rsidRPr="002B3AE7">
              <w:rPr>
                <w:b/>
                <w:bCs/>
                <w:szCs w:val="24"/>
              </w:rPr>
              <w:instrText>/</w:instrText>
            </w:r>
            <w:r w:rsidR="00053AE8">
              <w:rPr>
                <w:b/>
                <w:bCs/>
                <w:szCs w:val="24"/>
                <w:lang w:val="en-US"/>
              </w:rPr>
              <w:instrText>Aims</w:instrText>
            </w:r>
            <w:r w:rsidR="00053AE8" w:rsidRPr="002B3AE7">
              <w:rPr>
                <w:b/>
                <w:bCs/>
                <w:szCs w:val="24"/>
              </w:rPr>
              <w:instrText xml:space="preserve">: </w:instrText>
            </w:r>
            <w:r w:rsidR="00053AE8">
              <w:rPr>
                <w:b/>
                <w:bCs/>
                <w:szCs w:val="24"/>
                <w:lang w:val="en-US"/>
              </w:rPr>
              <w:instrText>Data</w:instrText>
            </w:r>
            <w:r w:rsidR="00053AE8" w:rsidRPr="002B3AE7">
              <w:rPr>
                <w:b/>
                <w:bCs/>
                <w:szCs w:val="24"/>
              </w:rPr>
              <w:instrText xml:space="preserve"> </w:instrText>
            </w:r>
            <w:r w:rsidR="00053AE8">
              <w:rPr>
                <w:b/>
                <w:bCs/>
                <w:szCs w:val="24"/>
                <w:lang w:val="en-US"/>
              </w:rPr>
              <w:instrText>on</w:instrText>
            </w:r>
            <w:r w:rsidR="00053AE8" w:rsidRPr="002B3AE7">
              <w:rPr>
                <w:b/>
                <w:bCs/>
                <w:szCs w:val="24"/>
              </w:rPr>
              <w:instrText xml:space="preserve"> </w:instrText>
            </w:r>
            <w:r w:rsidR="00053AE8">
              <w:rPr>
                <w:b/>
                <w:bCs/>
                <w:szCs w:val="24"/>
                <w:lang w:val="en-US"/>
              </w:rPr>
              <w:instrText>dexamethasone</w:instrText>
            </w:r>
            <w:r w:rsidR="00053AE8" w:rsidRPr="002B3AE7">
              <w:rPr>
                <w:b/>
                <w:bCs/>
                <w:szCs w:val="24"/>
              </w:rPr>
              <w:instrText xml:space="preserve">, </w:instrText>
            </w:r>
            <w:r w:rsidR="00053AE8">
              <w:rPr>
                <w:b/>
                <w:bCs/>
                <w:szCs w:val="24"/>
                <w:lang w:val="en-US"/>
              </w:rPr>
              <w:instrText>cytarabine</w:instrText>
            </w:r>
            <w:r w:rsidR="00053AE8" w:rsidRPr="002B3AE7">
              <w:rPr>
                <w:b/>
                <w:bCs/>
                <w:szCs w:val="24"/>
              </w:rPr>
              <w:instrText xml:space="preserve">, </w:instrText>
            </w:r>
            <w:r w:rsidR="00053AE8">
              <w:rPr>
                <w:b/>
                <w:bCs/>
                <w:szCs w:val="24"/>
                <w:lang w:val="en-US"/>
              </w:rPr>
              <w:instrText>and</w:instrText>
            </w:r>
            <w:r w:rsidR="00053AE8" w:rsidRPr="002B3AE7">
              <w:rPr>
                <w:b/>
                <w:bCs/>
                <w:szCs w:val="24"/>
              </w:rPr>
              <w:instrText xml:space="preserve"> </w:instrText>
            </w:r>
            <w:r w:rsidR="00053AE8">
              <w:rPr>
                <w:b/>
                <w:bCs/>
                <w:szCs w:val="24"/>
                <w:lang w:val="en-US"/>
              </w:rPr>
              <w:instrText>cisplatin</w:instrText>
            </w:r>
            <w:r w:rsidR="00053AE8" w:rsidRPr="002B3AE7">
              <w:rPr>
                <w:b/>
                <w:bCs/>
                <w:szCs w:val="24"/>
              </w:rPr>
              <w:instrText xml:space="preserve"> (</w:instrText>
            </w:r>
            <w:r w:rsidR="00053AE8">
              <w:rPr>
                <w:b/>
                <w:bCs/>
                <w:szCs w:val="24"/>
                <w:lang w:val="en-US"/>
              </w:rPr>
              <w:instrText>DHAP</w:instrText>
            </w:r>
            <w:r w:rsidR="00053AE8" w:rsidRPr="002B3AE7">
              <w:rPr>
                <w:b/>
                <w:bCs/>
                <w:szCs w:val="24"/>
              </w:rPr>
              <w:instrText xml:space="preserve">) </w:instrText>
            </w:r>
            <w:r w:rsidR="00053AE8">
              <w:rPr>
                <w:b/>
                <w:bCs/>
                <w:szCs w:val="24"/>
                <w:lang w:val="en-US"/>
              </w:rPr>
              <w:instrText>as</w:instrText>
            </w:r>
            <w:r w:rsidR="00053AE8" w:rsidRPr="002B3AE7">
              <w:rPr>
                <w:b/>
                <w:bCs/>
                <w:szCs w:val="24"/>
              </w:rPr>
              <w:instrText xml:space="preserve"> </w:instrText>
            </w:r>
            <w:r w:rsidR="00053AE8">
              <w:rPr>
                <w:b/>
                <w:bCs/>
                <w:szCs w:val="24"/>
                <w:lang w:val="en-US"/>
              </w:rPr>
              <w:instrText>a</w:instrText>
            </w:r>
            <w:r w:rsidR="00053AE8" w:rsidRPr="002B3AE7">
              <w:rPr>
                <w:b/>
                <w:bCs/>
                <w:szCs w:val="24"/>
              </w:rPr>
              <w:instrText xml:space="preserve"> </w:instrText>
            </w:r>
            <w:r w:rsidR="00053AE8">
              <w:rPr>
                <w:b/>
                <w:bCs/>
                <w:szCs w:val="24"/>
                <w:lang w:val="en-US"/>
              </w:rPr>
              <w:instrText>mobilization</w:instrText>
            </w:r>
            <w:r w:rsidR="00053AE8" w:rsidRPr="002B3AE7">
              <w:rPr>
                <w:b/>
                <w:bCs/>
                <w:szCs w:val="24"/>
              </w:rPr>
              <w:instrText xml:space="preserve"> </w:instrText>
            </w:r>
            <w:r w:rsidR="00053AE8">
              <w:rPr>
                <w:b/>
                <w:bCs/>
                <w:szCs w:val="24"/>
                <w:lang w:val="en-US"/>
              </w:rPr>
              <w:instrText>regimen</w:instrText>
            </w:r>
            <w:r w:rsidR="00053AE8" w:rsidRPr="002B3AE7">
              <w:rPr>
                <w:b/>
                <w:bCs/>
                <w:szCs w:val="24"/>
              </w:rPr>
              <w:instrText xml:space="preserve">, </w:instrText>
            </w:r>
            <w:r w:rsidR="00053AE8">
              <w:rPr>
                <w:b/>
                <w:bCs/>
                <w:szCs w:val="24"/>
                <w:lang w:val="en-US"/>
              </w:rPr>
              <w:instrText>compared</w:instrText>
            </w:r>
            <w:r w:rsidR="00053AE8" w:rsidRPr="002B3AE7">
              <w:rPr>
                <w:b/>
                <w:bCs/>
                <w:szCs w:val="24"/>
              </w:rPr>
              <w:instrText xml:space="preserve"> </w:instrText>
            </w:r>
            <w:r w:rsidR="00053AE8">
              <w:rPr>
                <w:b/>
                <w:bCs/>
                <w:szCs w:val="24"/>
                <w:lang w:val="en-US"/>
              </w:rPr>
              <w:instrText>to</w:instrText>
            </w:r>
            <w:r w:rsidR="00053AE8" w:rsidRPr="002B3AE7">
              <w:rPr>
                <w:b/>
                <w:bCs/>
                <w:szCs w:val="24"/>
              </w:rPr>
              <w:instrText xml:space="preserve"> </w:instrText>
            </w:r>
            <w:r w:rsidR="00053AE8">
              <w:rPr>
                <w:b/>
                <w:bCs/>
                <w:szCs w:val="24"/>
                <w:lang w:val="en-US"/>
              </w:rPr>
              <w:instrText>high</w:instrText>
            </w:r>
            <w:r w:rsidR="00053AE8" w:rsidRPr="002B3AE7">
              <w:rPr>
                <w:b/>
                <w:bCs/>
                <w:szCs w:val="24"/>
              </w:rPr>
              <w:instrText>-</w:instrText>
            </w:r>
            <w:r w:rsidR="00053AE8">
              <w:rPr>
                <w:b/>
                <w:bCs/>
                <w:szCs w:val="24"/>
                <w:lang w:val="en-US"/>
              </w:rPr>
              <w:instrText>dose</w:instrText>
            </w:r>
            <w:r w:rsidR="00053AE8" w:rsidRPr="002B3AE7">
              <w:rPr>
                <w:b/>
                <w:bCs/>
                <w:szCs w:val="24"/>
              </w:rPr>
              <w:instrText xml:space="preserve"> </w:instrText>
            </w:r>
            <w:r w:rsidR="00053AE8">
              <w:rPr>
                <w:b/>
                <w:bCs/>
                <w:szCs w:val="24"/>
                <w:lang w:val="en-US"/>
              </w:rPr>
              <w:instrText>cyclophosphamide</w:instrText>
            </w:r>
            <w:r w:rsidR="00053AE8" w:rsidRPr="002B3AE7">
              <w:rPr>
                <w:b/>
                <w:bCs/>
                <w:szCs w:val="24"/>
              </w:rPr>
              <w:instrText xml:space="preserve"> (</w:instrText>
            </w:r>
            <w:r w:rsidR="00053AE8">
              <w:rPr>
                <w:b/>
                <w:bCs/>
                <w:szCs w:val="24"/>
                <w:lang w:val="en-US"/>
              </w:rPr>
              <w:instrText>HDC</w:instrText>
            </w:r>
            <w:r w:rsidR="00053AE8" w:rsidRPr="002B3AE7">
              <w:rPr>
                <w:b/>
                <w:bCs/>
                <w:szCs w:val="24"/>
              </w:rPr>
              <w:instrText xml:space="preserve">), </w:instrText>
            </w:r>
            <w:r w:rsidR="00053AE8">
              <w:rPr>
                <w:b/>
                <w:bCs/>
                <w:szCs w:val="24"/>
                <w:lang w:val="en-US"/>
              </w:rPr>
              <w:instrText>for</w:instrText>
            </w:r>
            <w:r w:rsidR="00053AE8" w:rsidRPr="002B3AE7">
              <w:rPr>
                <w:b/>
                <w:bCs/>
                <w:szCs w:val="24"/>
              </w:rPr>
              <w:instrText xml:space="preserve"> </w:instrText>
            </w:r>
            <w:r w:rsidR="00053AE8">
              <w:rPr>
                <w:b/>
                <w:bCs/>
                <w:szCs w:val="24"/>
                <w:lang w:val="en-US"/>
              </w:rPr>
              <w:instrText>up</w:instrText>
            </w:r>
            <w:r w:rsidR="00053AE8" w:rsidRPr="002B3AE7">
              <w:rPr>
                <w:b/>
                <w:bCs/>
                <w:szCs w:val="24"/>
              </w:rPr>
              <w:instrText>-</w:instrText>
            </w:r>
            <w:r w:rsidR="00053AE8">
              <w:rPr>
                <w:b/>
                <w:bCs/>
                <w:szCs w:val="24"/>
                <w:lang w:val="en-US"/>
              </w:rPr>
              <w:instrText>front</w:instrText>
            </w:r>
            <w:r w:rsidR="00053AE8" w:rsidRPr="002B3AE7">
              <w:rPr>
                <w:b/>
                <w:bCs/>
                <w:szCs w:val="24"/>
              </w:rPr>
              <w:instrText xml:space="preserve"> </w:instrText>
            </w:r>
            <w:r w:rsidR="00053AE8">
              <w:rPr>
                <w:b/>
                <w:bCs/>
                <w:szCs w:val="24"/>
                <w:lang w:val="en-US"/>
              </w:rPr>
              <w:instrText>autologous</w:instrText>
            </w:r>
            <w:r w:rsidR="00053AE8" w:rsidRPr="002B3AE7">
              <w:rPr>
                <w:b/>
                <w:bCs/>
                <w:szCs w:val="24"/>
              </w:rPr>
              <w:instrText xml:space="preserve"> </w:instrText>
            </w:r>
            <w:r w:rsidR="00053AE8">
              <w:rPr>
                <w:b/>
                <w:bCs/>
                <w:szCs w:val="24"/>
                <w:lang w:val="en-US"/>
              </w:rPr>
              <w:instrText>stem</w:instrText>
            </w:r>
            <w:r w:rsidR="00053AE8" w:rsidRPr="002B3AE7">
              <w:rPr>
                <w:b/>
                <w:bCs/>
                <w:szCs w:val="24"/>
              </w:rPr>
              <w:instrText xml:space="preserve"> </w:instrText>
            </w:r>
            <w:r w:rsidR="00053AE8">
              <w:rPr>
                <w:b/>
                <w:bCs/>
                <w:szCs w:val="24"/>
                <w:lang w:val="en-US"/>
              </w:rPr>
              <w:instrText>cell</w:instrText>
            </w:r>
            <w:r w:rsidR="00053AE8" w:rsidRPr="002B3AE7">
              <w:rPr>
                <w:b/>
                <w:bCs/>
                <w:szCs w:val="24"/>
              </w:rPr>
              <w:instrText xml:space="preserve"> </w:instrText>
            </w:r>
            <w:r w:rsidR="00053AE8">
              <w:rPr>
                <w:b/>
                <w:bCs/>
                <w:szCs w:val="24"/>
                <w:lang w:val="en-US"/>
              </w:rPr>
              <w:instrText>transplantation</w:instrText>
            </w:r>
            <w:r w:rsidR="00053AE8" w:rsidRPr="002B3AE7">
              <w:rPr>
                <w:b/>
                <w:bCs/>
                <w:szCs w:val="24"/>
              </w:rPr>
              <w:instrText xml:space="preserve"> (</w:instrText>
            </w:r>
            <w:r w:rsidR="00053AE8">
              <w:rPr>
                <w:b/>
                <w:bCs/>
                <w:szCs w:val="24"/>
                <w:lang w:val="en-US"/>
              </w:rPr>
              <w:instrText>ASCT</w:instrText>
            </w:r>
            <w:r w:rsidR="00053AE8" w:rsidRPr="002B3AE7">
              <w:rPr>
                <w:b/>
                <w:bCs/>
                <w:szCs w:val="24"/>
              </w:rPr>
              <w:instrText xml:space="preserve">) </w:instrText>
            </w:r>
            <w:r w:rsidR="00053AE8">
              <w:rPr>
                <w:b/>
                <w:bCs/>
                <w:szCs w:val="24"/>
                <w:lang w:val="en-US"/>
              </w:rPr>
              <w:instrText>in</w:instrText>
            </w:r>
            <w:r w:rsidR="00053AE8" w:rsidRPr="002B3AE7">
              <w:rPr>
                <w:b/>
                <w:bCs/>
                <w:szCs w:val="24"/>
              </w:rPr>
              <w:instrText xml:space="preserve"> </w:instrText>
            </w:r>
            <w:r w:rsidR="00053AE8">
              <w:rPr>
                <w:b/>
                <w:bCs/>
                <w:szCs w:val="24"/>
                <w:lang w:val="en-US"/>
              </w:rPr>
              <w:instrText>non</w:instrText>
            </w:r>
            <w:r w:rsidR="00053AE8" w:rsidRPr="002B3AE7">
              <w:rPr>
                <w:b/>
                <w:bCs/>
                <w:szCs w:val="24"/>
              </w:rPr>
              <w:instrText>-</w:instrText>
            </w:r>
            <w:r w:rsidR="00053AE8">
              <w:rPr>
                <w:b/>
                <w:bCs/>
                <w:szCs w:val="24"/>
                <w:lang w:val="en-US"/>
              </w:rPr>
              <w:instrText>Hodgkin</w:instrText>
            </w:r>
            <w:r w:rsidR="00053AE8" w:rsidRPr="002B3AE7">
              <w:rPr>
                <w:b/>
                <w:bCs/>
                <w:szCs w:val="24"/>
              </w:rPr>
              <w:instrText>’</w:instrText>
            </w:r>
            <w:r w:rsidR="00053AE8">
              <w:rPr>
                <w:b/>
                <w:bCs/>
                <w:szCs w:val="24"/>
                <w:lang w:val="en-US"/>
              </w:rPr>
              <w:instrText>s</w:instrText>
            </w:r>
            <w:r w:rsidR="00053AE8" w:rsidRPr="002B3AE7">
              <w:rPr>
                <w:b/>
                <w:bCs/>
                <w:szCs w:val="24"/>
              </w:rPr>
              <w:instrText xml:space="preserve"> </w:instrText>
            </w:r>
            <w:r w:rsidR="00053AE8">
              <w:rPr>
                <w:b/>
                <w:bCs/>
                <w:szCs w:val="24"/>
                <w:lang w:val="en-US"/>
              </w:rPr>
              <w:instrText>lymphoma</w:instrText>
            </w:r>
            <w:r w:rsidR="00053AE8" w:rsidRPr="002B3AE7">
              <w:rPr>
                <w:b/>
                <w:bCs/>
                <w:szCs w:val="24"/>
              </w:rPr>
              <w:instrText xml:space="preserve"> (</w:instrText>
            </w:r>
            <w:r w:rsidR="00053AE8">
              <w:rPr>
                <w:b/>
                <w:bCs/>
                <w:szCs w:val="24"/>
                <w:lang w:val="en-US"/>
              </w:rPr>
              <w:instrText>NHL</w:instrText>
            </w:r>
            <w:r w:rsidR="00053AE8" w:rsidRPr="002B3AE7">
              <w:rPr>
                <w:b/>
                <w:bCs/>
                <w:szCs w:val="24"/>
              </w:rPr>
              <w:instrText xml:space="preserve">) </w:instrText>
            </w:r>
            <w:r w:rsidR="00053AE8">
              <w:rPr>
                <w:b/>
                <w:bCs/>
                <w:szCs w:val="24"/>
                <w:lang w:val="en-US"/>
              </w:rPr>
              <w:instrText>is</w:instrText>
            </w:r>
            <w:r w:rsidR="00053AE8" w:rsidRPr="002B3AE7">
              <w:rPr>
                <w:b/>
                <w:bCs/>
                <w:szCs w:val="24"/>
              </w:rPr>
              <w:instrText xml:space="preserve"> </w:instrText>
            </w:r>
            <w:r w:rsidR="00053AE8">
              <w:rPr>
                <w:b/>
                <w:bCs/>
                <w:szCs w:val="24"/>
                <w:lang w:val="en-US"/>
              </w:rPr>
              <w:instrText>limited</w:instrText>
            </w:r>
            <w:r w:rsidR="00053AE8" w:rsidRPr="002B3AE7">
              <w:rPr>
                <w:b/>
                <w:bCs/>
                <w:szCs w:val="24"/>
              </w:rPr>
              <w:instrText xml:space="preserve">. </w:instrText>
            </w:r>
            <w:r w:rsidR="00053AE8">
              <w:rPr>
                <w:b/>
                <w:bCs/>
                <w:szCs w:val="24"/>
                <w:lang w:val="en-US"/>
              </w:rPr>
              <w:instrText>Methods</w:instrText>
            </w:r>
            <w:r w:rsidR="00053AE8" w:rsidRPr="002B3AE7">
              <w:rPr>
                <w:b/>
                <w:bCs/>
                <w:szCs w:val="24"/>
              </w:rPr>
              <w:instrText xml:space="preserve">: </w:instrText>
            </w:r>
            <w:r w:rsidR="00053AE8">
              <w:rPr>
                <w:b/>
                <w:bCs/>
                <w:szCs w:val="24"/>
                <w:lang w:val="en-US"/>
              </w:rPr>
              <w:instrText>Consecutive</w:instrText>
            </w:r>
            <w:r w:rsidR="00053AE8" w:rsidRPr="002B3AE7">
              <w:rPr>
                <w:b/>
                <w:bCs/>
                <w:szCs w:val="24"/>
              </w:rPr>
              <w:instrText xml:space="preserve"> </w:instrText>
            </w:r>
            <w:r w:rsidR="00053AE8">
              <w:rPr>
                <w:b/>
                <w:bCs/>
                <w:szCs w:val="24"/>
                <w:lang w:val="en-US"/>
              </w:rPr>
              <w:instrText>patients</w:instrText>
            </w:r>
            <w:r w:rsidR="00053AE8" w:rsidRPr="002B3AE7">
              <w:rPr>
                <w:b/>
                <w:bCs/>
                <w:szCs w:val="24"/>
              </w:rPr>
              <w:instrText xml:space="preserve"> </w:instrText>
            </w:r>
            <w:r w:rsidR="00053AE8">
              <w:rPr>
                <w:b/>
                <w:bCs/>
                <w:szCs w:val="24"/>
                <w:lang w:val="en-US"/>
              </w:rPr>
              <w:instrText>with</w:instrText>
            </w:r>
            <w:r w:rsidR="00053AE8" w:rsidRPr="002B3AE7">
              <w:rPr>
                <w:b/>
                <w:bCs/>
                <w:szCs w:val="24"/>
              </w:rPr>
              <w:instrText xml:space="preserve"> </w:instrText>
            </w:r>
            <w:r w:rsidR="00053AE8">
              <w:rPr>
                <w:b/>
                <w:bCs/>
                <w:szCs w:val="24"/>
                <w:lang w:val="en-US"/>
              </w:rPr>
              <w:instrText>aggressive</w:instrText>
            </w:r>
            <w:r w:rsidR="00053AE8" w:rsidRPr="002B3AE7">
              <w:rPr>
                <w:b/>
                <w:bCs/>
                <w:szCs w:val="24"/>
              </w:rPr>
              <w:instrText xml:space="preserve"> </w:instrText>
            </w:r>
            <w:r w:rsidR="00053AE8">
              <w:rPr>
                <w:b/>
                <w:bCs/>
                <w:szCs w:val="24"/>
                <w:lang w:val="en-US"/>
              </w:rPr>
              <w:instrText>NHL</w:instrText>
            </w:r>
            <w:r w:rsidR="00053AE8" w:rsidRPr="002B3AE7">
              <w:rPr>
                <w:b/>
                <w:bCs/>
                <w:szCs w:val="24"/>
              </w:rPr>
              <w:instrText xml:space="preserve"> </w:instrText>
            </w:r>
            <w:r w:rsidR="00053AE8">
              <w:rPr>
                <w:b/>
                <w:bCs/>
                <w:szCs w:val="24"/>
                <w:lang w:val="en-US"/>
              </w:rPr>
              <w:instrText>treated</w:instrText>
            </w:r>
            <w:r w:rsidR="00053AE8" w:rsidRPr="002B3AE7">
              <w:rPr>
                <w:b/>
                <w:bCs/>
                <w:szCs w:val="24"/>
              </w:rPr>
              <w:instrText xml:space="preserve"> </w:instrText>
            </w:r>
            <w:r w:rsidR="00053AE8">
              <w:rPr>
                <w:b/>
                <w:bCs/>
                <w:szCs w:val="24"/>
                <w:lang w:val="en-US"/>
              </w:rPr>
              <w:instrText>with</w:instrText>
            </w:r>
            <w:r w:rsidR="00053AE8" w:rsidRPr="002B3AE7">
              <w:rPr>
                <w:b/>
                <w:bCs/>
                <w:szCs w:val="24"/>
              </w:rPr>
              <w:instrText xml:space="preserve"> </w:instrText>
            </w:r>
            <w:r w:rsidR="00053AE8">
              <w:rPr>
                <w:b/>
                <w:bCs/>
                <w:szCs w:val="24"/>
                <w:lang w:val="en-US"/>
              </w:rPr>
              <w:instrText>cyclophosphamide</w:instrText>
            </w:r>
            <w:r w:rsidR="00053AE8" w:rsidRPr="002B3AE7">
              <w:rPr>
                <w:b/>
                <w:bCs/>
                <w:szCs w:val="24"/>
              </w:rPr>
              <w:instrText xml:space="preserve">, </w:instrText>
            </w:r>
            <w:r w:rsidR="00053AE8">
              <w:rPr>
                <w:b/>
                <w:bCs/>
                <w:szCs w:val="24"/>
                <w:lang w:val="en-US"/>
              </w:rPr>
              <w:instrText>doxorubicin</w:instrText>
            </w:r>
            <w:r w:rsidR="00053AE8" w:rsidRPr="002B3AE7">
              <w:rPr>
                <w:b/>
                <w:bCs/>
                <w:szCs w:val="24"/>
              </w:rPr>
              <w:instrText xml:space="preserve">, </w:instrText>
            </w:r>
            <w:r w:rsidR="00053AE8">
              <w:rPr>
                <w:b/>
                <w:bCs/>
                <w:szCs w:val="24"/>
                <w:lang w:val="en-US"/>
              </w:rPr>
              <w:instrText>vincristine</w:instrText>
            </w:r>
            <w:r w:rsidR="00053AE8" w:rsidRPr="002B3AE7">
              <w:rPr>
                <w:b/>
                <w:bCs/>
                <w:szCs w:val="24"/>
              </w:rPr>
              <w:instrText xml:space="preserve">, </w:instrText>
            </w:r>
            <w:r w:rsidR="00053AE8">
              <w:rPr>
                <w:b/>
                <w:bCs/>
                <w:szCs w:val="24"/>
                <w:lang w:val="en-US"/>
              </w:rPr>
              <w:instrText>and</w:instrText>
            </w:r>
            <w:r w:rsidR="00053AE8" w:rsidRPr="002B3AE7">
              <w:rPr>
                <w:b/>
                <w:bCs/>
                <w:szCs w:val="24"/>
              </w:rPr>
              <w:instrText xml:space="preserve"> </w:instrText>
            </w:r>
            <w:r w:rsidR="00053AE8">
              <w:rPr>
                <w:b/>
                <w:bCs/>
                <w:szCs w:val="24"/>
                <w:lang w:val="en-US"/>
              </w:rPr>
              <w:instrText>prednisone</w:instrText>
            </w:r>
            <w:r w:rsidR="00053AE8" w:rsidRPr="002B3AE7">
              <w:rPr>
                <w:b/>
                <w:bCs/>
                <w:szCs w:val="24"/>
              </w:rPr>
              <w:instrText xml:space="preserve"> (</w:instrText>
            </w:r>
            <w:r w:rsidR="00053AE8">
              <w:rPr>
                <w:b/>
                <w:bCs/>
                <w:szCs w:val="24"/>
                <w:lang w:val="en-US"/>
              </w:rPr>
              <w:instrText>CHOP</w:instrText>
            </w:r>
            <w:r w:rsidR="00053AE8" w:rsidRPr="002B3AE7">
              <w:rPr>
                <w:b/>
                <w:bCs/>
                <w:szCs w:val="24"/>
              </w:rPr>
              <w:instrText xml:space="preserve">) </w:instrText>
            </w:r>
            <w:r w:rsidR="00053AE8">
              <w:rPr>
                <w:b/>
                <w:bCs/>
                <w:szCs w:val="24"/>
                <w:lang w:val="en-US"/>
              </w:rPr>
              <w:instrText>or</w:instrText>
            </w:r>
            <w:r w:rsidR="00053AE8" w:rsidRPr="002B3AE7">
              <w:rPr>
                <w:b/>
                <w:bCs/>
                <w:szCs w:val="24"/>
              </w:rPr>
              <w:instrText xml:space="preserve"> </w:instrText>
            </w:r>
            <w:r w:rsidR="00053AE8">
              <w:rPr>
                <w:b/>
                <w:bCs/>
                <w:szCs w:val="24"/>
                <w:lang w:val="en-US"/>
              </w:rPr>
              <w:instrText>rituximab</w:instrText>
            </w:r>
            <w:r w:rsidR="00053AE8" w:rsidRPr="002B3AE7">
              <w:rPr>
                <w:b/>
                <w:bCs/>
                <w:szCs w:val="24"/>
              </w:rPr>
              <w:instrText>-</w:instrText>
            </w:r>
            <w:r w:rsidR="00053AE8">
              <w:rPr>
                <w:b/>
                <w:bCs/>
                <w:szCs w:val="24"/>
                <w:lang w:val="en-US"/>
              </w:rPr>
              <w:instrText>CHOP</w:instrText>
            </w:r>
            <w:r w:rsidR="00053AE8" w:rsidRPr="002B3AE7">
              <w:rPr>
                <w:b/>
                <w:bCs/>
                <w:szCs w:val="24"/>
              </w:rPr>
              <w:instrText xml:space="preserve"> </w:instrText>
            </w:r>
            <w:r w:rsidR="00053AE8">
              <w:rPr>
                <w:b/>
                <w:bCs/>
                <w:szCs w:val="24"/>
                <w:lang w:val="en-US"/>
              </w:rPr>
              <w:instrText>who</w:instrText>
            </w:r>
            <w:r w:rsidR="00053AE8" w:rsidRPr="002B3AE7">
              <w:rPr>
                <w:b/>
                <w:bCs/>
                <w:szCs w:val="24"/>
              </w:rPr>
              <w:instrText xml:space="preserve"> </w:instrText>
            </w:r>
            <w:r w:rsidR="00053AE8">
              <w:rPr>
                <w:b/>
                <w:bCs/>
                <w:szCs w:val="24"/>
                <w:lang w:val="en-US"/>
              </w:rPr>
              <w:instrText>underwent</w:instrText>
            </w:r>
            <w:r w:rsidR="00053AE8" w:rsidRPr="002B3AE7">
              <w:rPr>
                <w:b/>
                <w:bCs/>
                <w:szCs w:val="24"/>
              </w:rPr>
              <w:instrText xml:space="preserve"> </w:instrText>
            </w:r>
            <w:r w:rsidR="00053AE8">
              <w:rPr>
                <w:b/>
                <w:bCs/>
                <w:szCs w:val="24"/>
                <w:lang w:val="en-US"/>
              </w:rPr>
              <w:instrText>chemomobilization</w:instrText>
            </w:r>
            <w:r w:rsidR="00053AE8" w:rsidRPr="002B3AE7">
              <w:rPr>
                <w:b/>
                <w:bCs/>
                <w:szCs w:val="24"/>
              </w:rPr>
              <w:instrText xml:space="preserve"> </w:instrText>
            </w:r>
            <w:r w:rsidR="00053AE8">
              <w:rPr>
                <w:b/>
                <w:bCs/>
                <w:szCs w:val="24"/>
                <w:lang w:val="en-US"/>
              </w:rPr>
              <w:instrText>using</w:instrText>
            </w:r>
            <w:r w:rsidR="00053AE8" w:rsidRPr="002B3AE7">
              <w:rPr>
                <w:b/>
                <w:bCs/>
                <w:szCs w:val="24"/>
              </w:rPr>
              <w:instrText xml:space="preserve"> </w:instrText>
            </w:r>
            <w:r w:rsidR="00053AE8">
              <w:rPr>
                <w:b/>
                <w:bCs/>
                <w:szCs w:val="24"/>
                <w:lang w:val="en-US"/>
              </w:rPr>
              <w:instrText>HDC</w:instrText>
            </w:r>
            <w:r w:rsidR="00053AE8" w:rsidRPr="002B3AE7">
              <w:rPr>
                <w:b/>
                <w:bCs/>
                <w:szCs w:val="24"/>
              </w:rPr>
              <w:instrText xml:space="preserve"> </w:instrText>
            </w:r>
            <w:r w:rsidR="00053AE8">
              <w:rPr>
                <w:b/>
                <w:bCs/>
                <w:szCs w:val="24"/>
                <w:lang w:val="en-US"/>
              </w:rPr>
              <w:instrText>or</w:instrText>
            </w:r>
            <w:r w:rsidR="00053AE8" w:rsidRPr="002B3AE7">
              <w:rPr>
                <w:b/>
                <w:bCs/>
                <w:szCs w:val="24"/>
              </w:rPr>
              <w:instrText xml:space="preserve"> </w:instrText>
            </w:r>
            <w:r w:rsidR="00053AE8">
              <w:rPr>
                <w:b/>
                <w:bCs/>
                <w:szCs w:val="24"/>
                <w:lang w:val="en-US"/>
              </w:rPr>
              <w:instrText>DHAP</w:instrText>
            </w:r>
            <w:r w:rsidR="00053AE8" w:rsidRPr="002B3AE7">
              <w:rPr>
                <w:b/>
                <w:bCs/>
                <w:szCs w:val="24"/>
              </w:rPr>
              <w:instrText xml:space="preserve"> </w:instrText>
            </w:r>
            <w:r w:rsidR="00053AE8">
              <w:rPr>
                <w:b/>
                <w:bCs/>
                <w:szCs w:val="24"/>
                <w:lang w:val="en-US"/>
              </w:rPr>
              <w:instrText>plus</w:instrText>
            </w:r>
            <w:r w:rsidR="00053AE8" w:rsidRPr="002B3AE7">
              <w:rPr>
                <w:b/>
                <w:bCs/>
                <w:szCs w:val="24"/>
              </w:rPr>
              <w:instrText xml:space="preserve"> </w:instrText>
            </w:r>
            <w:r w:rsidR="00053AE8">
              <w:rPr>
                <w:b/>
                <w:bCs/>
                <w:szCs w:val="24"/>
                <w:lang w:val="en-US"/>
              </w:rPr>
              <w:instrText>granulocyte</w:instrText>
            </w:r>
            <w:r w:rsidR="00053AE8" w:rsidRPr="002B3AE7">
              <w:rPr>
                <w:b/>
                <w:bCs/>
                <w:szCs w:val="24"/>
              </w:rPr>
              <w:instrText>-</w:instrText>
            </w:r>
            <w:r w:rsidR="00053AE8">
              <w:rPr>
                <w:b/>
                <w:bCs/>
                <w:szCs w:val="24"/>
                <w:lang w:val="en-US"/>
              </w:rPr>
              <w:instrText>col</w:instrText>
            </w:r>
            <w:r w:rsidR="00053AE8" w:rsidRPr="002B3AE7">
              <w:rPr>
                <w:b/>
                <w:bCs/>
                <w:szCs w:val="24"/>
              </w:rPr>
              <w:instrText>-</w:instrText>
            </w:r>
            <w:r w:rsidR="00053AE8">
              <w:rPr>
                <w:b/>
                <w:bCs/>
                <w:szCs w:val="24"/>
                <w:lang w:val="en-US"/>
              </w:rPr>
              <w:instrText>ony</w:instrText>
            </w:r>
            <w:r w:rsidR="00053AE8" w:rsidRPr="002B3AE7">
              <w:rPr>
                <w:b/>
                <w:bCs/>
                <w:szCs w:val="24"/>
              </w:rPr>
              <w:instrText xml:space="preserve"> </w:instrText>
            </w:r>
            <w:r w:rsidR="00053AE8">
              <w:rPr>
                <w:b/>
                <w:bCs/>
                <w:szCs w:val="24"/>
                <w:lang w:val="en-US"/>
              </w:rPr>
              <w:instrText>stimulating</w:instrText>
            </w:r>
            <w:r w:rsidR="00053AE8" w:rsidRPr="002B3AE7">
              <w:rPr>
                <w:b/>
                <w:bCs/>
                <w:szCs w:val="24"/>
              </w:rPr>
              <w:instrText xml:space="preserve"> </w:instrText>
            </w:r>
            <w:r w:rsidR="00053AE8">
              <w:rPr>
                <w:b/>
                <w:bCs/>
                <w:szCs w:val="24"/>
                <w:lang w:val="en-US"/>
              </w:rPr>
              <w:instrText>factor</w:instrText>
            </w:r>
            <w:r w:rsidR="00053AE8" w:rsidRPr="002B3AE7">
              <w:rPr>
                <w:b/>
                <w:bCs/>
                <w:szCs w:val="24"/>
              </w:rPr>
              <w:instrText xml:space="preserve"> (</w:instrText>
            </w:r>
            <w:r w:rsidR="00053AE8">
              <w:rPr>
                <w:b/>
                <w:bCs/>
                <w:szCs w:val="24"/>
                <w:lang w:val="en-US"/>
              </w:rPr>
              <w:instrText>G</w:instrText>
            </w:r>
            <w:r w:rsidR="00053AE8" w:rsidRPr="002B3AE7">
              <w:rPr>
                <w:b/>
                <w:bCs/>
                <w:szCs w:val="24"/>
              </w:rPr>
              <w:instrText>-</w:instrText>
            </w:r>
            <w:r w:rsidR="00053AE8">
              <w:rPr>
                <w:b/>
                <w:bCs/>
                <w:szCs w:val="24"/>
                <w:lang w:val="en-US"/>
              </w:rPr>
              <w:instrText>CSF</w:instrText>
            </w:r>
            <w:r w:rsidR="00053AE8" w:rsidRPr="002B3AE7">
              <w:rPr>
                <w:b/>
                <w:bCs/>
                <w:szCs w:val="24"/>
              </w:rPr>
              <w:instrText xml:space="preserve">) </w:instrText>
            </w:r>
            <w:r w:rsidR="00053AE8">
              <w:rPr>
                <w:b/>
                <w:bCs/>
                <w:szCs w:val="24"/>
                <w:lang w:val="en-US"/>
              </w:rPr>
              <w:instrText>for</w:instrText>
            </w:r>
            <w:r w:rsidR="00053AE8" w:rsidRPr="002B3AE7">
              <w:rPr>
                <w:b/>
                <w:bCs/>
                <w:szCs w:val="24"/>
              </w:rPr>
              <w:instrText xml:space="preserve"> </w:instrText>
            </w:r>
            <w:r w:rsidR="00053AE8">
              <w:rPr>
                <w:b/>
                <w:bCs/>
                <w:szCs w:val="24"/>
                <w:lang w:val="en-US"/>
              </w:rPr>
              <w:instrText>up</w:instrText>
            </w:r>
            <w:r w:rsidR="00053AE8" w:rsidRPr="002B3AE7">
              <w:rPr>
                <w:b/>
                <w:bCs/>
                <w:szCs w:val="24"/>
              </w:rPr>
              <w:instrText>-</w:instrText>
            </w:r>
            <w:r w:rsidR="00053AE8">
              <w:rPr>
                <w:b/>
                <w:bCs/>
                <w:szCs w:val="24"/>
                <w:lang w:val="en-US"/>
              </w:rPr>
              <w:instrText>front</w:instrText>
            </w:r>
            <w:r w:rsidR="00053AE8" w:rsidRPr="002B3AE7">
              <w:rPr>
                <w:b/>
                <w:bCs/>
                <w:szCs w:val="24"/>
              </w:rPr>
              <w:instrText xml:space="preserve"> </w:instrText>
            </w:r>
            <w:r w:rsidR="00053AE8">
              <w:rPr>
                <w:b/>
                <w:bCs/>
                <w:szCs w:val="24"/>
                <w:lang w:val="en-US"/>
              </w:rPr>
              <w:instrText>ASCT</w:instrText>
            </w:r>
            <w:r w:rsidR="00053AE8" w:rsidRPr="002B3AE7">
              <w:rPr>
                <w:b/>
                <w:bCs/>
                <w:szCs w:val="24"/>
              </w:rPr>
              <w:instrText xml:space="preserve"> </w:instrText>
            </w:r>
            <w:r w:rsidR="00053AE8">
              <w:rPr>
                <w:b/>
                <w:bCs/>
                <w:szCs w:val="24"/>
                <w:lang w:val="en-US"/>
              </w:rPr>
              <w:instrText>were</w:instrText>
            </w:r>
            <w:r w:rsidR="00053AE8" w:rsidRPr="002B3AE7">
              <w:rPr>
                <w:b/>
                <w:bCs/>
                <w:szCs w:val="24"/>
              </w:rPr>
              <w:instrText xml:space="preserve"> </w:instrText>
            </w:r>
            <w:r w:rsidR="00053AE8">
              <w:rPr>
                <w:b/>
                <w:bCs/>
                <w:szCs w:val="24"/>
                <w:lang w:val="en-US"/>
              </w:rPr>
              <w:instrText>enrolled</w:instrText>
            </w:r>
            <w:r w:rsidR="00053AE8" w:rsidRPr="002B3AE7">
              <w:rPr>
                <w:b/>
                <w:bCs/>
                <w:szCs w:val="24"/>
              </w:rPr>
              <w:instrText xml:space="preserve"> </w:instrText>
            </w:r>
            <w:r w:rsidR="00053AE8">
              <w:rPr>
                <w:b/>
                <w:bCs/>
                <w:szCs w:val="24"/>
                <w:lang w:val="en-US"/>
              </w:rPr>
              <w:instrText>from</w:instrText>
            </w:r>
            <w:r w:rsidR="00053AE8" w:rsidRPr="002B3AE7">
              <w:rPr>
                <w:b/>
                <w:bCs/>
                <w:szCs w:val="24"/>
              </w:rPr>
              <w:instrText xml:space="preserve"> </w:instrText>
            </w:r>
            <w:r w:rsidR="00053AE8">
              <w:rPr>
                <w:b/>
                <w:bCs/>
                <w:szCs w:val="24"/>
                <w:lang w:val="en-US"/>
              </w:rPr>
              <w:instrText>three</w:instrText>
            </w:r>
            <w:r w:rsidR="00053AE8" w:rsidRPr="002B3AE7">
              <w:rPr>
                <w:b/>
                <w:bCs/>
                <w:szCs w:val="24"/>
              </w:rPr>
              <w:instrText xml:space="preserve"> </w:instrText>
            </w:r>
            <w:r w:rsidR="00053AE8">
              <w:rPr>
                <w:b/>
                <w:bCs/>
                <w:szCs w:val="24"/>
                <w:lang w:val="en-US"/>
              </w:rPr>
              <w:instrText>institutions</w:instrText>
            </w:r>
            <w:r w:rsidR="00053AE8" w:rsidRPr="002B3AE7">
              <w:rPr>
                <w:b/>
                <w:bCs/>
                <w:szCs w:val="24"/>
              </w:rPr>
              <w:instrText xml:space="preserve"> </w:instrText>
            </w:r>
            <w:r w:rsidR="00053AE8">
              <w:rPr>
                <w:b/>
                <w:bCs/>
                <w:szCs w:val="24"/>
                <w:lang w:val="en-US"/>
              </w:rPr>
              <w:instrText>between</w:instrText>
            </w:r>
            <w:r w:rsidR="00053AE8" w:rsidRPr="002B3AE7">
              <w:rPr>
                <w:b/>
                <w:bCs/>
                <w:szCs w:val="24"/>
              </w:rPr>
              <w:instrText xml:space="preserve"> 2004 </w:instrText>
            </w:r>
            <w:r w:rsidR="00053AE8">
              <w:rPr>
                <w:b/>
                <w:bCs/>
                <w:szCs w:val="24"/>
                <w:lang w:val="en-US"/>
              </w:rPr>
              <w:instrText>and</w:instrText>
            </w:r>
            <w:r w:rsidR="00053AE8" w:rsidRPr="002B3AE7">
              <w:rPr>
                <w:b/>
                <w:bCs/>
                <w:szCs w:val="24"/>
              </w:rPr>
              <w:instrText xml:space="preserve"> 2014. </w:instrText>
            </w:r>
            <w:r w:rsidR="00053AE8">
              <w:rPr>
                <w:b/>
                <w:bCs/>
                <w:szCs w:val="24"/>
                <w:lang w:val="en-US"/>
              </w:rPr>
              <w:instrText>Results</w:instrText>
            </w:r>
            <w:r w:rsidR="00053AE8" w:rsidRPr="002B3AE7">
              <w:rPr>
                <w:b/>
                <w:bCs/>
                <w:szCs w:val="24"/>
              </w:rPr>
              <w:instrText xml:space="preserve">: </w:instrText>
            </w:r>
            <w:r w:rsidR="00053AE8">
              <w:rPr>
                <w:b/>
                <w:bCs/>
                <w:szCs w:val="24"/>
                <w:lang w:val="en-US"/>
              </w:rPr>
              <w:instrText>Ninety</w:instrText>
            </w:r>
            <w:r w:rsidR="00053AE8" w:rsidRPr="002B3AE7">
              <w:rPr>
                <w:b/>
                <w:bCs/>
                <w:szCs w:val="24"/>
              </w:rPr>
              <w:instrText>-</w:instrText>
            </w:r>
            <w:r w:rsidR="00053AE8">
              <w:rPr>
                <w:b/>
                <w:bCs/>
                <w:szCs w:val="24"/>
                <w:lang w:val="en-US"/>
              </w:rPr>
              <w:instrText>six</w:instrText>
            </w:r>
            <w:r w:rsidR="00053AE8" w:rsidRPr="002B3AE7">
              <w:rPr>
                <w:b/>
                <w:bCs/>
                <w:szCs w:val="24"/>
              </w:rPr>
              <w:instrText xml:space="preserve"> </w:instrText>
            </w:r>
            <w:r w:rsidR="00053AE8">
              <w:rPr>
                <w:b/>
                <w:bCs/>
                <w:szCs w:val="24"/>
                <w:lang w:val="en-US"/>
              </w:rPr>
              <w:instrText>patients</w:instrText>
            </w:r>
            <w:r w:rsidR="00053AE8" w:rsidRPr="002B3AE7">
              <w:rPr>
                <w:b/>
                <w:bCs/>
                <w:szCs w:val="24"/>
              </w:rPr>
              <w:instrText xml:space="preserve"> (57 </w:instrText>
            </w:r>
            <w:r w:rsidR="00053AE8">
              <w:rPr>
                <w:b/>
                <w:bCs/>
                <w:szCs w:val="24"/>
                <w:lang w:val="en-US"/>
              </w:rPr>
              <w:instrText>men</w:instrText>
            </w:r>
            <w:r w:rsidR="00053AE8" w:rsidRPr="002B3AE7">
              <w:rPr>
                <w:b/>
                <w:bCs/>
                <w:szCs w:val="24"/>
              </w:rPr>
              <w:instrText xml:space="preserve">) </w:instrText>
            </w:r>
            <w:r w:rsidR="00053AE8">
              <w:rPr>
                <w:b/>
                <w:bCs/>
                <w:szCs w:val="24"/>
                <w:lang w:val="en-US"/>
              </w:rPr>
              <w:instrText>were</w:instrText>
            </w:r>
            <w:r w:rsidR="00053AE8" w:rsidRPr="002B3AE7">
              <w:rPr>
                <w:b/>
                <w:bCs/>
                <w:szCs w:val="24"/>
              </w:rPr>
              <w:instrText xml:space="preserve"> </w:instrText>
            </w:r>
            <w:r w:rsidR="00053AE8">
              <w:rPr>
                <w:b/>
                <w:bCs/>
                <w:szCs w:val="24"/>
                <w:lang w:val="en-US"/>
              </w:rPr>
              <w:instrText>included</w:instrText>
            </w:r>
            <w:r w:rsidR="00053AE8" w:rsidRPr="002B3AE7">
              <w:rPr>
                <w:b/>
                <w:bCs/>
                <w:szCs w:val="24"/>
              </w:rPr>
              <w:instrText xml:space="preserve">. </w:instrText>
            </w:r>
            <w:r w:rsidR="00053AE8">
              <w:rPr>
                <w:b/>
                <w:bCs/>
                <w:szCs w:val="24"/>
                <w:lang w:val="en-US"/>
              </w:rPr>
              <w:instrText>Sixty</w:instrText>
            </w:r>
            <w:r w:rsidR="00053AE8" w:rsidRPr="002B3AE7">
              <w:rPr>
                <w:b/>
                <w:bCs/>
                <w:szCs w:val="24"/>
              </w:rPr>
              <w:instrText>-</w:instrText>
            </w:r>
            <w:r w:rsidR="00053AE8">
              <w:rPr>
                <w:b/>
                <w:bCs/>
                <w:szCs w:val="24"/>
                <w:lang w:val="en-US"/>
              </w:rPr>
              <w:instrText>five</w:instrText>
            </w:r>
            <w:r w:rsidR="00053AE8" w:rsidRPr="002B3AE7">
              <w:rPr>
                <w:b/>
                <w:bCs/>
                <w:szCs w:val="24"/>
              </w:rPr>
              <w:instrText xml:space="preserve"> </w:instrText>
            </w:r>
            <w:r w:rsidR="00053AE8">
              <w:rPr>
                <w:b/>
                <w:bCs/>
                <w:szCs w:val="24"/>
                <w:lang w:val="en-US"/>
              </w:rPr>
              <w:instrText>patients</w:instrText>
            </w:r>
            <w:r w:rsidR="00053AE8" w:rsidRPr="002B3AE7">
              <w:rPr>
                <w:b/>
                <w:bCs/>
                <w:szCs w:val="24"/>
              </w:rPr>
              <w:instrText xml:space="preserve"> (67.7%) </w:instrText>
            </w:r>
            <w:r w:rsidR="00053AE8">
              <w:rPr>
                <w:b/>
                <w:bCs/>
                <w:szCs w:val="24"/>
                <w:lang w:val="en-US"/>
              </w:rPr>
              <w:instrText>received</w:instrText>
            </w:r>
            <w:r w:rsidR="00053AE8" w:rsidRPr="002B3AE7">
              <w:rPr>
                <w:b/>
                <w:bCs/>
                <w:szCs w:val="24"/>
              </w:rPr>
              <w:instrText xml:space="preserve"> </w:instrText>
            </w:r>
            <w:r w:rsidR="00053AE8">
              <w:rPr>
                <w:b/>
                <w:bCs/>
                <w:szCs w:val="24"/>
                <w:lang w:val="en-US"/>
              </w:rPr>
              <w:instrText>HDC</w:instrText>
            </w:r>
            <w:r w:rsidR="00053AE8" w:rsidRPr="002B3AE7">
              <w:rPr>
                <w:b/>
                <w:bCs/>
                <w:szCs w:val="24"/>
              </w:rPr>
              <w:instrText xml:space="preserve">; </w:instrText>
            </w:r>
            <w:r w:rsidR="00053AE8">
              <w:rPr>
                <w:b/>
                <w:bCs/>
                <w:szCs w:val="24"/>
                <w:lang w:val="en-US"/>
              </w:rPr>
              <w:instrText>and</w:instrText>
            </w:r>
            <w:r w:rsidR="00053AE8" w:rsidRPr="002B3AE7">
              <w:rPr>
                <w:b/>
                <w:bCs/>
                <w:szCs w:val="24"/>
              </w:rPr>
              <w:instrText xml:space="preserve"> 31 ( 32.3%), </w:instrText>
            </w:r>
            <w:r w:rsidR="00053AE8">
              <w:rPr>
                <w:b/>
                <w:bCs/>
                <w:szCs w:val="24"/>
                <w:lang w:val="en-US"/>
              </w:rPr>
              <w:instrText>DHAP</w:instrText>
            </w:r>
            <w:r w:rsidR="00053AE8" w:rsidRPr="002B3AE7">
              <w:rPr>
                <w:b/>
                <w:bCs/>
                <w:szCs w:val="24"/>
              </w:rPr>
              <w:instrText xml:space="preserve">. </w:instrText>
            </w:r>
            <w:r w:rsidR="00053AE8">
              <w:rPr>
                <w:b/>
                <w:bCs/>
                <w:szCs w:val="24"/>
                <w:lang w:val="en-US"/>
              </w:rPr>
              <w:instrText>The</w:instrText>
            </w:r>
            <w:r w:rsidR="00053AE8" w:rsidRPr="002B3AE7">
              <w:rPr>
                <w:b/>
                <w:bCs/>
                <w:szCs w:val="24"/>
              </w:rPr>
              <w:instrText xml:space="preserve"> </w:instrText>
            </w:r>
            <w:r w:rsidR="00053AE8">
              <w:rPr>
                <w:b/>
                <w:bCs/>
                <w:szCs w:val="24"/>
                <w:lang w:val="en-US"/>
              </w:rPr>
              <w:instrText>total</w:instrText>
            </w:r>
            <w:r w:rsidR="00053AE8" w:rsidRPr="002B3AE7">
              <w:rPr>
                <w:b/>
                <w:bCs/>
                <w:szCs w:val="24"/>
              </w:rPr>
              <w:instrText xml:space="preserve"> </w:instrText>
            </w:r>
            <w:r w:rsidR="00053AE8">
              <w:rPr>
                <w:b/>
                <w:bCs/>
                <w:szCs w:val="24"/>
                <w:lang w:val="en-US"/>
              </w:rPr>
              <w:instrText>CD</w:instrText>
            </w:r>
            <w:r w:rsidR="00053AE8" w:rsidRPr="002B3AE7">
              <w:rPr>
                <w:b/>
                <w:bCs/>
                <w:szCs w:val="24"/>
              </w:rPr>
              <w:instrText xml:space="preserve">34+ </w:instrText>
            </w:r>
            <w:r w:rsidR="00053AE8">
              <w:rPr>
                <w:b/>
                <w:bCs/>
                <w:szCs w:val="24"/>
                <w:lang w:val="en-US"/>
              </w:rPr>
              <w:instrText>cells</w:instrText>
            </w:r>
            <w:r w:rsidR="00053AE8" w:rsidRPr="002B3AE7">
              <w:rPr>
                <w:b/>
                <w:bCs/>
                <w:szCs w:val="24"/>
              </w:rPr>
              <w:instrText xml:space="preserve"> </w:instrText>
            </w:r>
            <w:r w:rsidR="00053AE8">
              <w:rPr>
                <w:b/>
                <w:bCs/>
                <w:szCs w:val="24"/>
                <w:lang w:val="en-US"/>
              </w:rPr>
              <w:instrText>mobilized</w:instrText>
            </w:r>
            <w:r w:rsidR="00053AE8" w:rsidRPr="002B3AE7">
              <w:rPr>
                <w:b/>
                <w:bCs/>
                <w:szCs w:val="24"/>
              </w:rPr>
              <w:instrText xml:space="preserve"> </w:instrText>
            </w:r>
            <w:r w:rsidR="00053AE8">
              <w:rPr>
                <w:b/>
                <w:bCs/>
                <w:szCs w:val="24"/>
                <w:lang w:val="en-US"/>
              </w:rPr>
              <w:instrText>were</w:instrText>
            </w:r>
            <w:r w:rsidR="00053AE8" w:rsidRPr="002B3AE7">
              <w:rPr>
                <w:b/>
                <w:bCs/>
                <w:szCs w:val="24"/>
              </w:rPr>
              <w:instrText xml:space="preserve"> </w:instrText>
            </w:r>
            <w:r w:rsidR="00053AE8">
              <w:rPr>
                <w:b/>
                <w:bCs/>
                <w:szCs w:val="24"/>
                <w:lang w:val="en-US"/>
              </w:rPr>
              <w:instrText>significantly</w:instrText>
            </w:r>
            <w:r w:rsidR="00053AE8" w:rsidRPr="002B3AE7">
              <w:rPr>
                <w:b/>
                <w:bCs/>
                <w:szCs w:val="24"/>
              </w:rPr>
              <w:instrText xml:space="preserve"> </w:instrText>
            </w:r>
            <w:r w:rsidR="00053AE8">
              <w:rPr>
                <w:b/>
                <w:bCs/>
                <w:szCs w:val="24"/>
                <w:lang w:val="en-US"/>
              </w:rPr>
              <w:instrText>higher</w:instrText>
            </w:r>
            <w:r w:rsidR="00053AE8" w:rsidRPr="002B3AE7">
              <w:rPr>
                <w:b/>
                <w:bCs/>
                <w:szCs w:val="24"/>
              </w:rPr>
              <w:instrText xml:space="preserve"> </w:instrText>
            </w:r>
            <w:r w:rsidR="00053AE8">
              <w:rPr>
                <w:b/>
                <w:bCs/>
                <w:szCs w:val="24"/>
                <w:lang w:val="en-US"/>
              </w:rPr>
              <w:instrText>in</w:instrText>
            </w:r>
            <w:r w:rsidR="00053AE8" w:rsidRPr="002B3AE7">
              <w:rPr>
                <w:b/>
                <w:bCs/>
                <w:szCs w:val="24"/>
              </w:rPr>
              <w:instrText xml:space="preserve"> </w:instrText>
            </w:r>
            <w:r w:rsidR="00053AE8">
              <w:rPr>
                <w:b/>
                <w:bCs/>
                <w:szCs w:val="24"/>
                <w:lang w:val="en-US"/>
              </w:rPr>
              <w:instrText>patients</w:instrText>
            </w:r>
            <w:r w:rsidR="00053AE8" w:rsidRPr="002B3AE7">
              <w:rPr>
                <w:b/>
                <w:bCs/>
                <w:szCs w:val="24"/>
              </w:rPr>
              <w:instrText xml:space="preserve"> </w:instrText>
            </w:r>
            <w:r w:rsidR="00053AE8">
              <w:rPr>
                <w:b/>
                <w:bCs/>
                <w:szCs w:val="24"/>
                <w:lang w:val="en-US"/>
              </w:rPr>
              <w:instrText>receiving</w:instrText>
            </w:r>
            <w:r w:rsidR="00053AE8" w:rsidRPr="002B3AE7">
              <w:rPr>
                <w:b/>
                <w:bCs/>
                <w:szCs w:val="24"/>
              </w:rPr>
              <w:instrText xml:space="preserve"> </w:instrText>
            </w:r>
            <w:r w:rsidR="00053AE8">
              <w:rPr>
                <w:b/>
                <w:bCs/>
                <w:szCs w:val="24"/>
                <w:lang w:val="en-US"/>
              </w:rPr>
              <w:instrText>DHAP</w:instrText>
            </w:r>
            <w:r w:rsidR="00053AE8" w:rsidRPr="002B3AE7">
              <w:rPr>
                <w:b/>
                <w:bCs/>
                <w:szCs w:val="24"/>
              </w:rPr>
              <w:instrText xml:space="preserve"> (16.1 </w:instrText>
            </w:r>
            <w:r w:rsidR="00053AE8">
              <w:rPr>
                <w:b/>
                <w:bCs/>
                <w:szCs w:val="24"/>
                <w:lang w:val="en-US"/>
              </w:rPr>
              <w:instrText>vs</w:instrText>
            </w:r>
            <w:r w:rsidR="00053AE8" w:rsidRPr="002B3AE7">
              <w:rPr>
                <w:b/>
                <w:bCs/>
                <w:szCs w:val="24"/>
              </w:rPr>
              <w:instrText>. 6.1 × 106/</w:instrText>
            </w:r>
            <w:r w:rsidR="00053AE8">
              <w:rPr>
                <w:b/>
                <w:bCs/>
                <w:szCs w:val="24"/>
                <w:lang w:val="en-US"/>
              </w:rPr>
              <w:instrText>kg</w:instrText>
            </w:r>
            <w:r w:rsidR="00053AE8" w:rsidRPr="002B3AE7">
              <w:rPr>
                <w:b/>
                <w:bCs/>
                <w:szCs w:val="24"/>
              </w:rPr>
              <w:instrText xml:space="preserve">, </w:instrText>
            </w:r>
            <w:r w:rsidR="00053AE8">
              <w:rPr>
                <w:b/>
                <w:bCs/>
                <w:szCs w:val="24"/>
                <w:lang w:val="en-US"/>
              </w:rPr>
              <w:instrText>p</w:instrText>
            </w:r>
            <w:r w:rsidR="00053AE8" w:rsidRPr="002B3AE7">
              <w:rPr>
                <w:b/>
                <w:bCs/>
                <w:szCs w:val="24"/>
              </w:rPr>
              <w:instrText xml:space="preserve"> = 0.001). </w:instrText>
            </w:r>
            <w:r w:rsidR="00053AE8">
              <w:rPr>
                <w:b/>
                <w:bCs/>
                <w:szCs w:val="24"/>
                <w:lang w:val="en-US"/>
              </w:rPr>
              <w:instrText>More</w:instrText>
            </w:r>
            <w:r w:rsidR="00053AE8" w:rsidRPr="002B3AE7">
              <w:rPr>
                <w:b/>
                <w:bCs/>
                <w:szCs w:val="24"/>
              </w:rPr>
              <w:instrText xml:space="preserve"> </w:instrText>
            </w:r>
            <w:r w:rsidR="00053AE8">
              <w:rPr>
                <w:b/>
                <w:bCs/>
                <w:szCs w:val="24"/>
                <w:lang w:val="en-US"/>
              </w:rPr>
              <w:instrText>patients</w:instrText>
            </w:r>
            <w:r w:rsidR="00053AE8" w:rsidRPr="002B3AE7">
              <w:rPr>
                <w:b/>
                <w:bCs/>
                <w:szCs w:val="24"/>
              </w:rPr>
              <w:instrText xml:space="preserve"> </w:instrText>
            </w:r>
            <w:r w:rsidR="00053AE8">
              <w:rPr>
                <w:b/>
                <w:bCs/>
                <w:szCs w:val="24"/>
                <w:lang w:val="en-US"/>
              </w:rPr>
              <w:instrText>achieved</w:instrText>
            </w:r>
            <w:r w:rsidR="00053AE8" w:rsidRPr="002B3AE7">
              <w:rPr>
                <w:b/>
                <w:bCs/>
                <w:szCs w:val="24"/>
              </w:rPr>
              <w:instrText xml:space="preserve"> </w:instrText>
            </w:r>
            <w:r w:rsidR="00053AE8">
              <w:rPr>
                <w:b/>
                <w:bCs/>
                <w:szCs w:val="24"/>
                <w:lang w:val="en-US"/>
              </w:rPr>
              <w:instrText>successful</w:instrText>
            </w:r>
            <w:r w:rsidR="00053AE8" w:rsidRPr="002B3AE7">
              <w:rPr>
                <w:b/>
                <w:bCs/>
                <w:szCs w:val="24"/>
              </w:rPr>
              <w:instrText xml:space="preserve"> </w:instrText>
            </w:r>
            <w:r w:rsidR="00053AE8">
              <w:rPr>
                <w:b/>
                <w:bCs/>
                <w:szCs w:val="24"/>
                <w:lang w:val="en-US"/>
              </w:rPr>
              <w:instrText>mobilization</w:instrText>
            </w:r>
            <w:r w:rsidR="00053AE8" w:rsidRPr="002B3AE7">
              <w:rPr>
                <w:b/>
                <w:bCs/>
                <w:szCs w:val="24"/>
              </w:rPr>
              <w:instrText xml:space="preserve"> </w:instrText>
            </w:r>
            <w:r w:rsidR="00053AE8">
              <w:rPr>
                <w:b/>
                <w:bCs/>
                <w:szCs w:val="24"/>
                <w:lang w:val="en-US"/>
              </w:rPr>
              <w:instrText>with</w:instrText>
            </w:r>
            <w:r w:rsidR="00053AE8" w:rsidRPr="002B3AE7">
              <w:rPr>
                <w:b/>
                <w:bCs/>
                <w:szCs w:val="24"/>
              </w:rPr>
              <w:instrText xml:space="preserve"> </w:instrText>
            </w:r>
            <w:r w:rsidR="00053AE8">
              <w:rPr>
                <w:b/>
                <w:bCs/>
                <w:szCs w:val="24"/>
                <w:lang w:val="en-US"/>
              </w:rPr>
              <w:instrText>DHAP</w:instrText>
            </w:r>
            <w:r w:rsidR="00053AE8" w:rsidRPr="002B3AE7">
              <w:rPr>
                <w:b/>
                <w:bCs/>
                <w:szCs w:val="24"/>
              </w:rPr>
              <w:instrText xml:space="preserve"> (</w:instrText>
            </w:r>
            <w:r w:rsidR="00053AE8">
              <w:rPr>
                <w:b/>
                <w:bCs/>
                <w:szCs w:val="24"/>
                <w:lang w:val="en-US"/>
              </w:rPr>
              <w:instrText>CD</w:instrText>
            </w:r>
            <w:r w:rsidR="00053AE8" w:rsidRPr="002B3AE7">
              <w:rPr>
                <w:b/>
                <w:bCs/>
                <w:szCs w:val="24"/>
              </w:rPr>
              <w:instrText xml:space="preserve">34+ </w:instrText>
            </w:r>
            <w:r w:rsidR="00053AE8">
              <w:rPr>
                <w:b/>
                <w:bCs/>
                <w:szCs w:val="24"/>
                <w:lang w:val="en-US"/>
              </w:rPr>
              <w:instrText>cells</w:instrText>
            </w:r>
            <w:r w:rsidR="00053AE8" w:rsidRPr="002B3AE7">
              <w:rPr>
                <w:b/>
                <w:bCs/>
                <w:szCs w:val="24"/>
              </w:rPr>
              <w:instrText xml:space="preserve"> ≥ 5.0 × 106/</w:instrText>
            </w:r>
            <w:r w:rsidR="00053AE8">
              <w:rPr>
                <w:b/>
                <w:bCs/>
                <w:szCs w:val="24"/>
                <w:lang w:val="en-US"/>
              </w:rPr>
              <w:instrText>kg</w:instrText>
            </w:r>
            <w:r w:rsidR="00053AE8" w:rsidRPr="002B3AE7">
              <w:rPr>
                <w:b/>
                <w:bCs/>
                <w:szCs w:val="24"/>
              </w:rPr>
              <w:instrText xml:space="preserve">) </w:instrText>
            </w:r>
            <w:r w:rsidR="00053AE8">
              <w:rPr>
                <w:b/>
                <w:bCs/>
                <w:szCs w:val="24"/>
                <w:lang w:val="en-US"/>
              </w:rPr>
              <w:instrText>compared</w:instrText>
            </w:r>
            <w:r w:rsidR="00053AE8" w:rsidRPr="002B3AE7">
              <w:rPr>
                <w:b/>
                <w:bCs/>
                <w:szCs w:val="24"/>
              </w:rPr>
              <w:instrText xml:space="preserve"> </w:instrText>
            </w:r>
            <w:r w:rsidR="00053AE8">
              <w:rPr>
                <w:b/>
                <w:bCs/>
                <w:szCs w:val="24"/>
                <w:lang w:val="en-US"/>
              </w:rPr>
              <w:instrText>to</w:instrText>
            </w:r>
            <w:r w:rsidR="00053AE8" w:rsidRPr="002B3AE7">
              <w:rPr>
                <w:b/>
                <w:bCs/>
                <w:szCs w:val="24"/>
              </w:rPr>
              <w:instrText xml:space="preserve"> </w:instrText>
            </w:r>
            <w:r w:rsidR="00053AE8">
              <w:rPr>
                <w:b/>
                <w:bCs/>
                <w:szCs w:val="24"/>
                <w:lang w:val="en-US"/>
              </w:rPr>
              <w:instrText>HDC</w:instrText>
            </w:r>
            <w:r w:rsidR="00053AE8" w:rsidRPr="002B3AE7">
              <w:rPr>
                <w:b/>
                <w:bCs/>
                <w:szCs w:val="24"/>
              </w:rPr>
              <w:instrText xml:space="preserve"> (87.1% </w:instrText>
            </w:r>
            <w:r w:rsidR="00053AE8">
              <w:rPr>
                <w:b/>
                <w:bCs/>
                <w:szCs w:val="24"/>
                <w:lang w:val="en-US"/>
              </w:rPr>
              <w:instrText>vs</w:instrText>
            </w:r>
            <w:r w:rsidR="00053AE8" w:rsidRPr="002B3AE7">
              <w:rPr>
                <w:b/>
                <w:bCs/>
                <w:szCs w:val="24"/>
              </w:rPr>
              <w:instrText xml:space="preserve">. 61.5%, </w:instrText>
            </w:r>
            <w:r w:rsidR="00053AE8">
              <w:rPr>
                <w:b/>
                <w:bCs/>
                <w:szCs w:val="24"/>
                <w:lang w:val="en-US"/>
              </w:rPr>
              <w:instrText>respectively</w:instrText>
            </w:r>
            <w:r w:rsidR="00053AE8" w:rsidRPr="002B3AE7">
              <w:rPr>
                <w:b/>
                <w:bCs/>
                <w:szCs w:val="24"/>
              </w:rPr>
              <w:instrText xml:space="preserve">; </w:instrText>
            </w:r>
            <w:r w:rsidR="00053AE8">
              <w:rPr>
                <w:b/>
                <w:bCs/>
                <w:szCs w:val="24"/>
                <w:lang w:val="en-US"/>
              </w:rPr>
              <w:instrText>p</w:instrText>
            </w:r>
            <w:r w:rsidR="00053AE8" w:rsidRPr="002B3AE7">
              <w:rPr>
                <w:b/>
                <w:bCs/>
                <w:szCs w:val="24"/>
              </w:rPr>
              <w:instrText xml:space="preserve"> = 0.011), </w:instrText>
            </w:r>
            <w:r w:rsidR="00053AE8">
              <w:rPr>
                <w:b/>
                <w:bCs/>
                <w:szCs w:val="24"/>
                <w:lang w:val="en-US"/>
              </w:rPr>
              <w:instrText>particularly</w:instrText>
            </w:r>
            <w:r w:rsidR="00053AE8" w:rsidRPr="002B3AE7">
              <w:rPr>
                <w:b/>
                <w:bCs/>
                <w:szCs w:val="24"/>
              </w:rPr>
              <w:instrText xml:space="preserve"> </w:instrText>
            </w:r>
            <w:r w:rsidR="00053AE8">
              <w:rPr>
                <w:b/>
                <w:bCs/>
                <w:szCs w:val="24"/>
                <w:lang w:val="en-US"/>
              </w:rPr>
              <w:instrText>within</w:instrText>
            </w:r>
            <w:r w:rsidR="00053AE8" w:rsidRPr="002B3AE7">
              <w:rPr>
                <w:b/>
                <w:bCs/>
                <w:szCs w:val="24"/>
              </w:rPr>
              <w:instrText xml:space="preserve"> </w:instrText>
            </w:r>
            <w:r w:rsidR="00053AE8">
              <w:rPr>
                <w:b/>
                <w:bCs/>
                <w:szCs w:val="24"/>
                <w:lang w:val="en-US"/>
              </w:rPr>
              <w:instrText>the</w:instrText>
            </w:r>
            <w:r w:rsidR="00053AE8" w:rsidRPr="002B3AE7">
              <w:rPr>
                <w:b/>
                <w:bCs/>
                <w:szCs w:val="24"/>
              </w:rPr>
              <w:instrText xml:space="preserve"> </w:instrText>
            </w:r>
            <w:r w:rsidR="00053AE8">
              <w:rPr>
                <w:b/>
                <w:bCs/>
                <w:szCs w:val="24"/>
                <w:lang w:val="en-US"/>
              </w:rPr>
              <w:instrText>first</w:instrText>
            </w:r>
            <w:r w:rsidR="00053AE8" w:rsidRPr="002B3AE7">
              <w:rPr>
                <w:b/>
                <w:bCs/>
                <w:szCs w:val="24"/>
              </w:rPr>
              <w:instrText xml:space="preserve"> </w:instrText>
            </w:r>
            <w:r w:rsidR="00053AE8">
              <w:rPr>
                <w:b/>
                <w:bCs/>
                <w:szCs w:val="24"/>
                <w:lang w:val="en-US"/>
              </w:rPr>
              <w:instrText>two</w:instrText>
            </w:r>
            <w:r w:rsidR="00053AE8" w:rsidRPr="002B3AE7">
              <w:rPr>
                <w:b/>
                <w:bCs/>
                <w:szCs w:val="24"/>
              </w:rPr>
              <w:instrText xml:space="preserve"> </w:instrText>
            </w:r>
            <w:r w:rsidR="00053AE8">
              <w:rPr>
                <w:b/>
                <w:bCs/>
                <w:szCs w:val="24"/>
                <w:lang w:val="en-US"/>
              </w:rPr>
              <w:instrText>sessions</w:instrText>
            </w:r>
            <w:r w:rsidR="00053AE8" w:rsidRPr="002B3AE7">
              <w:rPr>
                <w:b/>
                <w:bCs/>
                <w:szCs w:val="24"/>
              </w:rPr>
              <w:instrText xml:space="preserve"> </w:instrText>
            </w:r>
            <w:r w:rsidR="00053AE8">
              <w:rPr>
                <w:b/>
                <w:bCs/>
                <w:szCs w:val="24"/>
                <w:lang w:val="en-US"/>
              </w:rPr>
              <w:instrText>of</w:instrText>
            </w:r>
            <w:r w:rsidR="00053AE8" w:rsidRPr="002B3AE7">
              <w:rPr>
                <w:b/>
                <w:bCs/>
                <w:szCs w:val="24"/>
              </w:rPr>
              <w:instrText xml:space="preserve"> </w:instrText>
            </w:r>
            <w:r w:rsidR="00053AE8">
              <w:rPr>
                <w:b/>
                <w:bCs/>
                <w:szCs w:val="24"/>
                <w:lang w:val="en-US"/>
              </w:rPr>
              <w:instrText>apheresis</w:instrText>
            </w:r>
            <w:r w:rsidR="00053AE8" w:rsidRPr="002B3AE7">
              <w:rPr>
                <w:b/>
                <w:bCs/>
                <w:szCs w:val="24"/>
              </w:rPr>
              <w:instrText xml:space="preserve"> (64.5% </w:instrText>
            </w:r>
            <w:r w:rsidR="00053AE8">
              <w:rPr>
                <w:b/>
                <w:bCs/>
                <w:szCs w:val="24"/>
                <w:lang w:val="en-US"/>
              </w:rPr>
              <w:instrText>vs</w:instrText>
            </w:r>
            <w:r w:rsidR="00053AE8" w:rsidRPr="002B3AE7">
              <w:rPr>
                <w:b/>
                <w:bCs/>
                <w:szCs w:val="24"/>
              </w:rPr>
              <w:instrText xml:space="preserve">. 32.3%, </w:instrText>
            </w:r>
            <w:r w:rsidR="00053AE8">
              <w:rPr>
                <w:b/>
                <w:bCs/>
                <w:szCs w:val="24"/>
                <w:lang w:val="en-US"/>
              </w:rPr>
              <w:instrText>respectively</w:instrText>
            </w:r>
            <w:r w:rsidR="00053AE8" w:rsidRPr="002B3AE7">
              <w:rPr>
                <w:b/>
                <w:bCs/>
                <w:szCs w:val="24"/>
              </w:rPr>
              <w:instrText xml:space="preserve">; </w:instrText>
            </w:r>
            <w:r w:rsidR="00053AE8">
              <w:rPr>
                <w:b/>
                <w:bCs/>
                <w:szCs w:val="24"/>
                <w:lang w:val="en-US"/>
              </w:rPr>
              <w:instrText>p</w:instrText>
            </w:r>
            <w:r w:rsidR="00053AE8" w:rsidRPr="002B3AE7">
              <w:rPr>
                <w:b/>
                <w:bCs/>
                <w:szCs w:val="24"/>
              </w:rPr>
              <w:instrText xml:space="preserve"> = 0.003). </w:instrText>
            </w:r>
            <w:r w:rsidR="00053AE8">
              <w:rPr>
                <w:b/>
                <w:bCs/>
                <w:szCs w:val="24"/>
                <w:lang w:val="en-US"/>
              </w:rPr>
              <w:instrText>Mobilization</w:instrText>
            </w:r>
            <w:r w:rsidR="00053AE8" w:rsidRPr="002B3AE7">
              <w:rPr>
                <w:b/>
                <w:bCs/>
                <w:szCs w:val="24"/>
              </w:rPr>
              <w:instrText xml:space="preserve"> </w:instrText>
            </w:r>
            <w:r w:rsidR="00053AE8">
              <w:rPr>
                <w:b/>
                <w:bCs/>
                <w:szCs w:val="24"/>
                <w:lang w:val="en-US"/>
              </w:rPr>
              <w:instrText>failure</w:instrText>
            </w:r>
            <w:r w:rsidR="00053AE8" w:rsidRPr="002B3AE7">
              <w:rPr>
                <w:b/>
                <w:bCs/>
                <w:szCs w:val="24"/>
              </w:rPr>
              <w:instrText xml:space="preserve"> </w:instrText>
            </w:r>
            <w:r w:rsidR="00053AE8">
              <w:rPr>
                <w:b/>
                <w:bCs/>
                <w:szCs w:val="24"/>
                <w:lang w:val="en-US"/>
              </w:rPr>
              <w:instrText>rate</w:instrText>
            </w:r>
            <w:r w:rsidR="00053AE8" w:rsidRPr="002B3AE7">
              <w:rPr>
                <w:b/>
                <w:bCs/>
                <w:szCs w:val="24"/>
              </w:rPr>
              <w:instrText xml:space="preserve"> (</w:instrText>
            </w:r>
            <w:r w:rsidR="00053AE8">
              <w:rPr>
                <w:b/>
                <w:bCs/>
                <w:szCs w:val="24"/>
                <w:lang w:val="en-US"/>
              </w:rPr>
              <w:instrText>CD</w:instrText>
            </w:r>
            <w:r w:rsidR="00053AE8" w:rsidRPr="002B3AE7">
              <w:rPr>
                <w:b/>
                <w:bCs/>
                <w:szCs w:val="24"/>
              </w:rPr>
              <w:instrText xml:space="preserve">34+ </w:instrText>
            </w:r>
            <w:r w:rsidR="00053AE8">
              <w:rPr>
                <w:b/>
                <w:bCs/>
                <w:szCs w:val="24"/>
                <w:lang w:val="en-US"/>
              </w:rPr>
              <w:instrText>cells</w:instrText>
            </w:r>
            <w:r w:rsidR="00053AE8" w:rsidRPr="002B3AE7">
              <w:rPr>
                <w:b/>
                <w:bCs/>
                <w:szCs w:val="24"/>
              </w:rPr>
              <w:instrText xml:space="preserve"> &lt; 2.0 × 106/</w:instrText>
            </w:r>
            <w:r w:rsidR="00053AE8">
              <w:rPr>
                <w:b/>
                <w:bCs/>
                <w:szCs w:val="24"/>
                <w:lang w:val="en-US"/>
              </w:rPr>
              <w:instrText>kg</w:instrText>
            </w:r>
            <w:r w:rsidR="00053AE8" w:rsidRPr="002B3AE7">
              <w:rPr>
                <w:b/>
                <w:bCs/>
                <w:szCs w:val="24"/>
              </w:rPr>
              <w:instrText xml:space="preserve">) </w:instrText>
            </w:r>
            <w:r w:rsidR="00053AE8">
              <w:rPr>
                <w:b/>
                <w:bCs/>
                <w:szCs w:val="24"/>
                <w:lang w:val="en-US"/>
              </w:rPr>
              <w:instrText>was</w:instrText>
            </w:r>
            <w:r w:rsidR="00053AE8" w:rsidRPr="002B3AE7">
              <w:rPr>
                <w:b/>
                <w:bCs/>
                <w:szCs w:val="24"/>
              </w:rPr>
              <w:instrText xml:space="preserve"> </w:instrText>
            </w:r>
            <w:r w:rsidR="00053AE8">
              <w:rPr>
                <w:b/>
                <w:bCs/>
                <w:szCs w:val="24"/>
                <w:lang w:val="en-US"/>
              </w:rPr>
              <w:instrText>significantly</w:instrText>
            </w:r>
            <w:r w:rsidR="00053AE8" w:rsidRPr="002B3AE7">
              <w:rPr>
                <w:b/>
                <w:bCs/>
                <w:szCs w:val="24"/>
              </w:rPr>
              <w:instrText xml:space="preserve"> </w:instrText>
            </w:r>
            <w:r w:rsidR="00053AE8">
              <w:rPr>
                <w:b/>
                <w:bCs/>
                <w:szCs w:val="24"/>
                <w:lang w:val="en-US"/>
              </w:rPr>
              <w:instrText>higher</w:instrText>
            </w:r>
            <w:r w:rsidR="00053AE8" w:rsidRPr="002B3AE7">
              <w:rPr>
                <w:b/>
                <w:bCs/>
                <w:szCs w:val="24"/>
              </w:rPr>
              <w:instrText xml:space="preserve"> </w:instrText>
            </w:r>
            <w:r w:rsidR="00053AE8">
              <w:rPr>
                <w:b/>
                <w:bCs/>
                <w:szCs w:val="24"/>
                <w:lang w:val="en-US"/>
              </w:rPr>
              <w:instrText>in</w:instrText>
            </w:r>
            <w:r w:rsidR="00053AE8" w:rsidRPr="002B3AE7">
              <w:rPr>
                <w:b/>
                <w:bCs/>
                <w:szCs w:val="24"/>
              </w:rPr>
              <w:instrText xml:space="preserve"> </w:instrText>
            </w:r>
            <w:r w:rsidR="00053AE8">
              <w:rPr>
                <w:b/>
                <w:bCs/>
                <w:szCs w:val="24"/>
                <w:lang w:val="en-US"/>
              </w:rPr>
              <w:instrText>patients</w:instrText>
            </w:r>
            <w:r w:rsidR="00053AE8" w:rsidRPr="002B3AE7">
              <w:rPr>
                <w:b/>
                <w:bCs/>
                <w:szCs w:val="24"/>
              </w:rPr>
              <w:instrText xml:space="preserve"> </w:instrText>
            </w:r>
            <w:r w:rsidR="00053AE8">
              <w:rPr>
                <w:b/>
                <w:bCs/>
                <w:szCs w:val="24"/>
                <w:lang w:val="en-US"/>
              </w:rPr>
              <w:instrText>receiving</w:instrText>
            </w:r>
            <w:r w:rsidR="00053AE8" w:rsidRPr="002B3AE7">
              <w:rPr>
                <w:b/>
                <w:bCs/>
                <w:szCs w:val="24"/>
              </w:rPr>
              <w:instrText xml:space="preserve"> </w:instrText>
            </w:r>
            <w:r w:rsidR="00053AE8">
              <w:rPr>
                <w:b/>
                <w:bCs/>
                <w:szCs w:val="24"/>
                <w:lang w:val="en-US"/>
              </w:rPr>
              <w:instrText>HDC</w:instrText>
            </w:r>
            <w:r w:rsidR="00053AE8" w:rsidRPr="002B3AE7">
              <w:rPr>
                <w:b/>
                <w:bCs/>
                <w:szCs w:val="24"/>
              </w:rPr>
              <w:instrText xml:space="preserve"> (20.</w:instrText>
            </w:r>
            <w:r w:rsidR="00053AE8">
              <w:rPr>
                <w:b/>
                <w:bCs/>
                <w:szCs w:val="24"/>
                <w:lang w:val="en-US"/>
              </w:rPr>
              <w:instrText>0% vs. 3.2%, p = 0.032). On multivariate analysis, the DHAP regimen (odds ratio, 4.12; 95% confidence interval, 1.12 to 15.17) was an independent predictor of successful mobilization. During chemomobilization, patients receiving HDC experienced more episodes of febrile neutropenia compared to patients receiving DHAP (32.3% vs. 12.9%, p = 0.043). Conclusions: The DHAP regimen was associated with a signif icantly higher efficacy for stem cell mobilization and lower frequency of febrile neutropenia. Therefore, DHAP plus G-CSF is an effective for mobilization in patients with aggressive NHL who were candidates for up-front ASCT.","author":[{"dropping-particle"</w:instrText>
            </w:r>
            <w:r w:rsidR="00053AE8" w:rsidRPr="002B3AE7">
              <w:rPr>
                <w:b/>
                <w:bCs/>
                <w:szCs w:val="24"/>
              </w:rPr>
              <w:instrText>:"","</w:instrText>
            </w:r>
            <w:r w:rsidR="00053AE8">
              <w:rPr>
                <w:b/>
                <w:bCs/>
                <w:szCs w:val="24"/>
                <w:lang w:val="en-US"/>
              </w:rPr>
              <w:instrText>family</w:instrText>
            </w:r>
            <w:r w:rsidR="00053AE8" w:rsidRPr="002B3AE7">
              <w:rPr>
                <w:b/>
                <w:bCs/>
                <w:szCs w:val="24"/>
              </w:rPr>
              <w:instrText>":"</w:instrText>
            </w:r>
            <w:r w:rsidR="00053AE8">
              <w:rPr>
                <w:b/>
                <w:bCs/>
                <w:szCs w:val="24"/>
                <w:lang w:val="en-US"/>
              </w:rPr>
              <w:instrText>Jeon</w:instrText>
            </w:r>
            <w:r w:rsidR="00053AE8" w:rsidRPr="002B3AE7">
              <w:rPr>
                <w:b/>
                <w:bCs/>
                <w:szCs w:val="24"/>
              </w:rPr>
              <w:instrText>","</w:instrText>
            </w:r>
            <w:r w:rsidR="00053AE8">
              <w:rPr>
                <w:b/>
                <w:bCs/>
                <w:szCs w:val="24"/>
                <w:lang w:val="en-US"/>
              </w:rPr>
              <w:instrText>given</w:instrText>
            </w:r>
            <w:r w:rsidR="00053AE8" w:rsidRPr="002B3AE7">
              <w:rPr>
                <w:b/>
                <w:bCs/>
                <w:szCs w:val="24"/>
              </w:rPr>
              <w:instrText>":"</w:instrText>
            </w:r>
            <w:r w:rsidR="00053AE8">
              <w:rPr>
                <w:b/>
                <w:bCs/>
                <w:szCs w:val="24"/>
                <w:lang w:val="en-US"/>
              </w:rPr>
              <w:instrText>So</w:instrText>
            </w:r>
            <w:r w:rsidR="00053AE8" w:rsidRPr="002B3AE7">
              <w:rPr>
                <w:b/>
                <w:bCs/>
                <w:szCs w:val="24"/>
              </w:rPr>
              <w:instrText xml:space="preserve"> </w:instrText>
            </w:r>
            <w:r w:rsidR="00053AE8">
              <w:rPr>
                <w:b/>
                <w:bCs/>
                <w:szCs w:val="24"/>
                <w:lang w:val="en-US"/>
              </w:rPr>
              <w:instrText>Yeon</w:instrText>
            </w:r>
            <w:r w:rsidR="00053AE8" w:rsidRPr="002B3AE7">
              <w:rPr>
                <w:b/>
                <w:bCs/>
                <w:szCs w:val="24"/>
              </w:rPr>
              <w:instrText>","</w:instrText>
            </w:r>
            <w:r w:rsidR="00053AE8">
              <w:rPr>
                <w:b/>
                <w:bCs/>
                <w:szCs w:val="24"/>
                <w:lang w:val="en-US"/>
              </w:rPr>
              <w:instrText>non</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parse</w:instrText>
            </w:r>
            <w:r w:rsidR="00053AE8" w:rsidRPr="002B3AE7">
              <w:rPr>
                <w:b/>
                <w:bCs/>
                <w:szCs w:val="24"/>
              </w:rPr>
              <w:instrText>-</w:instrText>
            </w:r>
            <w:r w:rsidR="00053AE8">
              <w:rPr>
                <w:b/>
                <w:bCs/>
                <w:szCs w:val="24"/>
                <w:lang w:val="en-US"/>
              </w:rPr>
              <w:instrText>names</w:instrText>
            </w:r>
            <w:r w:rsidR="00053AE8" w:rsidRPr="002B3AE7">
              <w:rPr>
                <w:b/>
                <w:bCs/>
                <w:szCs w:val="24"/>
              </w:rPr>
              <w:instrText>":</w:instrText>
            </w:r>
            <w:r w:rsidR="00053AE8">
              <w:rPr>
                <w:b/>
                <w:bCs/>
                <w:szCs w:val="24"/>
                <w:lang w:val="en-US"/>
              </w:rPr>
              <w:instrText>false</w:instrText>
            </w:r>
            <w:r w:rsidR="00053AE8" w:rsidRPr="002B3AE7">
              <w:rPr>
                <w:b/>
                <w:bCs/>
                <w:szCs w:val="24"/>
              </w:rPr>
              <w:instrText>,"</w:instrText>
            </w:r>
            <w:r w:rsidR="00053AE8">
              <w:rPr>
                <w:b/>
                <w:bCs/>
                <w:szCs w:val="24"/>
                <w:lang w:val="en-US"/>
              </w:rPr>
              <w:instrText>suffix</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family</w:instrText>
            </w:r>
            <w:r w:rsidR="00053AE8" w:rsidRPr="002B3AE7">
              <w:rPr>
                <w:b/>
                <w:bCs/>
                <w:szCs w:val="24"/>
              </w:rPr>
              <w:instrText>":"</w:instrText>
            </w:r>
            <w:r w:rsidR="00053AE8">
              <w:rPr>
                <w:b/>
                <w:bCs/>
                <w:szCs w:val="24"/>
                <w:lang w:val="en-US"/>
              </w:rPr>
              <w:instrText>Yhim</w:instrText>
            </w:r>
            <w:r w:rsidR="00053AE8" w:rsidRPr="002B3AE7">
              <w:rPr>
                <w:b/>
                <w:bCs/>
                <w:szCs w:val="24"/>
              </w:rPr>
              <w:instrText>","</w:instrText>
            </w:r>
            <w:r w:rsidR="00053AE8">
              <w:rPr>
                <w:b/>
                <w:bCs/>
                <w:szCs w:val="24"/>
                <w:lang w:val="en-US"/>
              </w:rPr>
              <w:instrText>given</w:instrText>
            </w:r>
            <w:r w:rsidR="00053AE8" w:rsidRPr="002B3AE7">
              <w:rPr>
                <w:b/>
                <w:bCs/>
                <w:szCs w:val="24"/>
              </w:rPr>
              <w:instrText>":"</w:instrText>
            </w:r>
            <w:r w:rsidR="00053AE8">
              <w:rPr>
                <w:b/>
                <w:bCs/>
                <w:szCs w:val="24"/>
                <w:lang w:val="en-US"/>
              </w:rPr>
              <w:instrText>Ho</w:instrText>
            </w:r>
            <w:r w:rsidR="00053AE8" w:rsidRPr="002B3AE7">
              <w:rPr>
                <w:b/>
                <w:bCs/>
                <w:szCs w:val="24"/>
              </w:rPr>
              <w:instrText xml:space="preserve"> </w:instrText>
            </w:r>
            <w:r w:rsidR="00053AE8">
              <w:rPr>
                <w:b/>
                <w:bCs/>
                <w:szCs w:val="24"/>
                <w:lang w:val="en-US"/>
              </w:rPr>
              <w:instrText>Young</w:instrText>
            </w:r>
            <w:r w:rsidR="00053AE8" w:rsidRPr="002B3AE7">
              <w:rPr>
                <w:b/>
                <w:bCs/>
                <w:szCs w:val="24"/>
              </w:rPr>
              <w:instrText>","</w:instrText>
            </w:r>
            <w:r w:rsidR="00053AE8">
              <w:rPr>
                <w:b/>
                <w:bCs/>
                <w:szCs w:val="24"/>
                <w:lang w:val="en-US"/>
              </w:rPr>
              <w:instrText>non</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parse</w:instrText>
            </w:r>
            <w:r w:rsidR="00053AE8" w:rsidRPr="002B3AE7">
              <w:rPr>
                <w:b/>
                <w:bCs/>
                <w:szCs w:val="24"/>
              </w:rPr>
              <w:instrText>-</w:instrText>
            </w:r>
            <w:r w:rsidR="00053AE8">
              <w:rPr>
                <w:b/>
                <w:bCs/>
                <w:szCs w:val="24"/>
                <w:lang w:val="en-US"/>
              </w:rPr>
              <w:instrText>names</w:instrText>
            </w:r>
            <w:r w:rsidR="00053AE8" w:rsidRPr="002B3AE7">
              <w:rPr>
                <w:b/>
                <w:bCs/>
                <w:szCs w:val="24"/>
              </w:rPr>
              <w:instrText>":</w:instrText>
            </w:r>
            <w:r w:rsidR="00053AE8">
              <w:rPr>
                <w:b/>
                <w:bCs/>
                <w:szCs w:val="24"/>
                <w:lang w:val="en-US"/>
              </w:rPr>
              <w:instrText>false</w:instrText>
            </w:r>
            <w:r w:rsidR="00053AE8" w:rsidRPr="002B3AE7">
              <w:rPr>
                <w:b/>
                <w:bCs/>
                <w:szCs w:val="24"/>
              </w:rPr>
              <w:instrText>,"</w:instrText>
            </w:r>
            <w:r w:rsidR="00053AE8">
              <w:rPr>
                <w:b/>
                <w:bCs/>
                <w:szCs w:val="24"/>
                <w:lang w:val="en-US"/>
              </w:rPr>
              <w:instrText>suffix</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family</w:instrText>
            </w:r>
            <w:r w:rsidR="00053AE8" w:rsidRPr="002B3AE7">
              <w:rPr>
                <w:b/>
                <w:bCs/>
                <w:szCs w:val="24"/>
              </w:rPr>
              <w:instrText>":"</w:instrText>
            </w:r>
            <w:r w:rsidR="00053AE8">
              <w:rPr>
                <w:b/>
                <w:bCs/>
                <w:szCs w:val="24"/>
                <w:lang w:val="en-US"/>
              </w:rPr>
              <w:instrText>Kim</w:instrText>
            </w:r>
            <w:r w:rsidR="00053AE8" w:rsidRPr="002B3AE7">
              <w:rPr>
                <w:b/>
                <w:bCs/>
                <w:szCs w:val="24"/>
              </w:rPr>
              <w:instrText>","</w:instrText>
            </w:r>
            <w:r w:rsidR="00053AE8">
              <w:rPr>
                <w:b/>
                <w:bCs/>
                <w:szCs w:val="24"/>
                <w:lang w:val="en-US"/>
              </w:rPr>
              <w:instrText>given</w:instrText>
            </w:r>
            <w:r w:rsidR="00053AE8" w:rsidRPr="002B3AE7">
              <w:rPr>
                <w:b/>
                <w:bCs/>
                <w:szCs w:val="24"/>
              </w:rPr>
              <w:instrText>":"</w:instrText>
            </w:r>
            <w:r w:rsidR="00053AE8">
              <w:rPr>
                <w:b/>
                <w:bCs/>
                <w:szCs w:val="24"/>
                <w:lang w:val="en-US"/>
              </w:rPr>
              <w:instrText>Hee</w:instrText>
            </w:r>
            <w:r w:rsidR="00053AE8" w:rsidRPr="002B3AE7">
              <w:rPr>
                <w:b/>
                <w:bCs/>
                <w:szCs w:val="24"/>
              </w:rPr>
              <w:instrText xml:space="preserve"> </w:instrText>
            </w:r>
            <w:r w:rsidR="00053AE8">
              <w:rPr>
                <w:b/>
                <w:bCs/>
                <w:szCs w:val="24"/>
                <w:lang w:val="en-US"/>
              </w:rPr>
              <w:instrText>Sun</w:instrText>
            </w:r>
            <w:r w:rsidR="00053AE8" w:rsidRPr="002B3AE7">
              <w:rPr>
                <w:b/>
                <w:bCs/>
                <w:szCs w:val="24"/>
              </w:rPr>
              <w:instrText>","</w:instrText>
            </w:r>
            <w:r w:rsidR="00053AE8">
              <w:rPr>
                <w:b/>
                <w:bCs/>
                <w:szCs w:val="24"/>
                <w:lang w:val="en-US"/>
              </w:rPr>
              <w:instrText>non</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parse</w:instrText>
            </w:r>
            <w:r w:rsidR="00053AE8" w:rsidRPr="002B3AE7">
              <w:rPr>
                <w:b/>
                <w:bCs/>
                <w:szCs w:val="24"/>
              </w:rPr>
              <w:instrText>-</w:instrText>
            </w:r>
            <w:r w:rsidR="00053AE8">
              <w:rPr>
                <w:b/>
                <w:bCs/>
                <w:szCs w:val="24"/>
                <w:lang w:val="en-US"/>
              </w:rPr>
              <w:instrText>names</w:instrText>
            </w:r>
            <w:r w:rsidR="00053AE8" w:rsidRPr="002B3AE7">
              <w:rPr>
                <w:b/>
                <w:bCs/>
                <w:szCs w:val="24"/>
              </w:rPr>
              <w:instrText>":</w:instrText>
            </w:r>
            <w:r w:rsidR="00053AE8">
              <w:rPr>
                <w:b/>
                <w:bCs/>
                <w:szCs w:val="24"/>
                <w:lang w:val="en-US"/>
              </w:rPr>
              <w:instrText>false</w:instrText>
            </w:r>
            <w:r w:rsidR="00053AE8" w:rsidRPr="002B3AE7">
              <w:rPr>
                <w:b/>
                <w:bCs/>
                <w:szCs w:val="24"/>
              </w:rPr>
              <w:instrText>,"</w:instrText>
            </w:r>
            <w:r w:rsidR="00053AE8">
              <w:rPr>
                <w:b/>
                <w:bCs/>
                <w:szCs w:val="24"/>
                <w:lang w:val="en-US"/>
              </w:rPr>
              <w:instrText>suffix</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family</w:instrText>
            </w:r>
            <w:r w:rsidR="00053AE8" w:rsidRPr="002B3AE7">
              <w:rPr>
                <w:b/>
                <w:bCs/>
                <w:szCs w:val="24"/>
              </w:rPr>
              <w:instrText>":"</w:instrText>
            </w:r>
            <w:r w:rsidR="00053AE8">
              <w:rPr>
                <w:b/>
                <w:bCs/>
                <w:szCs w:val="24"/>
                <w:lang w:val="en-US"/>
              </w:rPr>
              <w:instrText>Kim</w:instrText>
            </w:r>
            <w:r w:rsidR="00053AE8" w:rsidRPr="002B3AE7">
              <w:rPr>
                <w:b/>
                <w:bCs/>
                <w:szCs w:val="24"/>
              </w:rPr>
              <w:instrText>","</w:instrText>
            </w:r>
            <w:r w:rsidR="00053AE8">
              <w:rPr>
                <w:b/>
                <w:bCs/>
                <w:szCs w:val="24"/>
                <w:lang w:val="en-US"/>
              </w:rPr>
              <w:instrText>given</w:instrText>
            </w:r>
            <w:r w:rsidR="00053AE8" w:rsidRPr="002B3AE7">
              <w:rPr>
                <w:b/>
                <w:bCs/>
                <w:szCs w:val="24"/>
              </w:rPr>
              <w:instrText>":"</w:instrText>
            </w:r>
            <w:r w:rsidR="00053AE8">
              <w:rPr>
                <w:b/>
                <w:bCs/>
                <w:szCs w:val="24"/>
                <w:lang w:val="en-US"/>
              </w:rPr>
              <w:instrText>Jeong</w:instrText>
            </w:r>
            <w:r w:rsidR="00053AE8" w:rsidRPr="002B3AE7">
              <w:rPr>
                <w:b/>
                <w:bCs/>
                <w:szCs w:val="24"/>
              </w:rPr>
              <w:instrText xml:space="preserve"> </w:instrText>
            </w:r>
            <w:r w:rsidR="00053AE8">
              <w:rPr>
                <w:b/>
                <w:bCs/>
                <w:szCs w:val="24"/>
                <w:lang w:val="en-US"/>
              </w:rPr>
              <w:instrText>A</w:instrText>
            </w:r>
            <w:r w:rsidR="00053AE8" w:rsidRPr="002B3AE7">
              <w:rPr>
                <w:b/>
                <w:bCs/>
                <w:szCs w:val="24"/>
              </w:rPr>
              <w:instrText>.","</w:instrText>
            </w:r>
            <w:r w:rsidR="00053AE8">
              <w:rPr>
                <w:b/>
                <w:bCs/>
                <w:szCs w:val="24"/>
                <w:lang w:val="en-US"/>
              </w:rPr>
              <w:instrText>non</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parse</w:instrText>
            </w:r>
            <w:r w:rsidR="00053AE8" w:rsidRPr="002B3AE7">
              <w:rPr>
                <w:b/>
                <w:bCs/>
                <w:szCs w:val="24"/>
              </w:rPr>
              <w:instrText>-</w:instrText>
            </w:r>
            <w:r w:rsidR="00053AE8">
              <w:rPr>
                <w:b/>
                <w:bCs/>
                <w:szCs w:val="24"/>
                <w:lang w:val="en-US"/>
              </w:rPr>
              <w:instrText>names</w:instrText>
            </w:r>
            <w:r w:rsidR="00053AE8" w:rsidRPr="002B3AE7">
              <w:rPr>
                <w:b/>
                <w:bCs/>
                <w:szCs w:val="24"/>
              </w:rPr>
              <w:instrText>":</w:instrText>
            </w:r>
            <w:r w:rsidR="00053AE8">
              <w:rPr>
                <w:b/>
                <w:bCs/>
                <w:szCs w:val="24"/>
                <w:lang w:val="en-US"/>
              </w:rPr>
              <w:instrText>false</w:instrText>
            </w:r>
            <w:r w:rsidR="00053AE8" w:rsidRPr="002B3AE7">
              <w:rPr>
                <w:b/>
                <w:bCs/>
                <w:szCs w:val="24"/>
              </w:rPr>
              <w:instrText>,"</w:instrText>
            </w:r>
            <w:r w:rsidR="00053AE8">
              <w:rPr>
                <w:b/>
                <w:bCs/>
                <w:szCs w:val="24"/>
                <w:lang w:val="en-US"/>
              </w:rPr>
              <w:instrText>suffix</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family</w:instrText>
            </w:r>
            <w:r w:rsidR="00053AE8" w:rsidRPr="002B3AE7">
              <w:rPr>
                <w:b/>
                <w:bCs/>
                <w:szCs w:val="24"/>
              </w:rPr>
              <w:instrText>":"</w:instrText>
            </w:r>
            <w:r w:rsidR="00053AE8">
              <w:rPr>
                <w:b/>
                <w:bCs/>
                <w:szCs w:val="24"/>
                <w:lang w:val="en-US"/>
              </w:rPr>
              <w:instrText>Yang</w:instrText>
            </w:r>
            <w:r w:rsidR="00053AE8" w:rsidRPr="002B3AE7">
              <w:rPr>
                <w:b/>
                <w:bCs/>
                <w:szCs w:val="24"/>
              </w:rPr>
              <w:instrText>","</w:instrText>
            </w:r>
            <w:r w:rsidR="00053AE8">
              <w:rPr>
                <w:b/>
                <w:bCs/>
                <w:szCs w:val="24"/>
                <w:lang w:val="en-US"/>
              </w:rPr>
              <w:instrText>given</w:instrText>
            </w:r>
            <w:r w:rsidR="00053AE8" w:rsidRPr="002B3AE7">
              <w:rPr>
                <w:b/>
                <w:bCs/>
                <w:szCs w:val="24"/>
              </w:rPr>
              <w:instrText>":"</w:instrText>
            </w:r>
            <w:r w:rsidR="00053AE8">
              <w:rPr>
                <w:b/>
                <w:bCs/>
                <w:szCs w:val="24"/>
                <w:lang w:val="en-US"/>
              </w:rPr>
              <w:instrText>Deok</w:instrText>
            </w:r>
            <w:r w:rsidR="00053AE8" w:rsidRPr="002B3AE7">
              <w:rPr>
                <w:b/>
                <w:bCs/>
                <w:szCs w:val="24"/>
              </w:rPr>
              <w:instrText xml:space="preserve"> </w:instrText>
            </w:r>
            <w:r w:rsidR="00053AE8">
              <w:rPr>
                <w:b/>
                <w:bCs/>
                <w:szCs w:val="24"/>
                <w:lang w:val="en-US"/>
              </w:rPr>
              <w:instrText>Hwan</w:instrText>
            </w:r>
            <w:r w:rsidR="00053AE8" w:rsidRPr="002B3AE7">
              <w:rPr>
                <w:b/>
                <w:bCs/>
                <w:szCs w:val="24"/>
              </w:rPr>
              <w:instrText>","</w:instrText>
            </w:r>
            <w:r w:rsidR="00053AE8">
              <w:rPr>
                <w:b/>
                <w:bCs/>
                <w:szCs w:val="24"/>
                <w:lang w:val="en-US"/>
              </w:rPr>
              <w:instrText>non</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parse</w:instrText>
            </w:r>
            <w:r w:rsidR="00053AE8" w:rsidRPr="002B3AE7">
              <w:rPr>
                <w:b/>
                <w:bCs/>
                <w:szCs w:val="24"/>
              </w:rPr>
              <w:instrText>-</w:instrText>
            </w:r>
            <w:r w:rsidR="00053AE8">
              <w:rPr>
                <w:b/>
                <w:bCs/>
                <w:szCs w:val="24"/>
                <w:lang w:val="en-US"/>
              </w:rPr>
              <w:instrText>names</w:instrText>
            </w:r>
            <w:r w:rsidR="00053AE8" w:rsidRPr="002B3AE7">
              <w:rPr>
                <w:b/>
                <w:bCs/>
                <w:szCs w:val="24"/>
              </w:rPr>
              <w:instrText>":</w:instrText>
            </w:r>
            <w:r w:rsidR="00053AE8">
              <w:rPr>
                <w:b/>
                <w:bCs/>
                <w:szCs w:val="24"/>
                <w:lang w:val="en-US"/>
              </w:rPr>
              <w:instrText>false</w:instrText>
            </w:r>
            <w:r w:rsidR="00053AE8" w:rsidRPr="002B3AE7">
              <w:rPr>
                <w:b/>
                <w:bCs/>
                <w:szCs w:val="24"/>
              </w:rPr>
              <w:instrText>,"</w:instrText>
            </w:r>
            <w:r w:rsidR="00053AE8">
              <w:rPr>
                <w:b/>
                <w:bCs/>
                <w:szCs w:val="24"/>
                <w:lang w:val="en-US"/>
              </w:rPr>
              <w:instrText>suffix</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family</w:instrText>
            </w:r>
            <w:r w:rsidR="00053AE8" w:rsidRPr="002B3AE7">
              <w:rPr>
                <w:b/>
                <w:bCs/>
                <w:szCs w:val="24"/>
              </w:rPr>
              <w:instrText>":"</w:instrText>
            </w:r>
            <w:r w:rsidR="00053AE8">
              <w:rPr>
                <w:b/>
                <w:bCs/>
                <w:szCs w:val="24"/>
                <w:lang w:val="en-US"/>
              </w:rPr>
              <w:instrText>Kwak</w:instrText>
            </w:r>
            <w:r w:rsidR="00053AE8" w:rsidRPr="002B3AE7">
              <w:rPr>
                <w:b/>
                <w:bCs/>
                <w:szCs w:val="24"/>
              </w:rPr>
              <w:instrText>","</w:instrText>
            </w:r>
            <w:r w:rsidR="00053AE8">
              <w:rPr>
                <w:b/>
                <w:bCs/>
                <w:szCs w:val="24"/>
                <w:lang w:val="en-US"/>
              </w:rPr>
              <w:instrText>given</w:instrText>
            </w:r>
            <w:r w:rsidR="00053AE8" w:rsidRPr="002B3AE7">
              <w:rPr>
                <w:b/>
                <w:bCs/>
                <w:szCs w:val="24"/>
              </w:rPr>
              <w:instrText>":"</w:instrText>
            </w:r>
            <w:r w:rsidR="00053AE8">
              <w:rPr>
                <w:b/>
                <w:bCs/>
                <w:szCs w:val="24"/>
                <w:lang w:val="en-US"/>
              </w:rPr>
              <w:instrText>Jae</w:instrText>
            </w:r>
            <w:r w:rsidR="00053AE8" w:rsidRPr="002B3AE7">
              <w:rPr>
                <w:b/>
                <w:bCs/>
                <w:szCs w:val="24"/>
              </w:rPr>
              <w:instrText xml:space="preserve"> </w:instrText>
            </w:r>
            <w:r w:rsidR="00053AE8">
              <w:rPr>
                <w:b/>
                <w:bCs/>
                <w:szCs w:val="24"/>
                <w:lang w:val="en-US"/>
              </w:rPr>
              <w:instrText>Yong</w:instrText>
            </w:r>
            <w:r w:rsidR="00053AE8" w:rsidRPr="002B3AE7">
              <w:rPr>
                <w:b/>
                <w:bCs/>
                <w:szCs w:val="24"/>
              </w:rPr>
              <w:instrText>","</w:instrText>
            </w:r>
            <w:r w:rsidR="00053AE8">
              <w:rPr>
                <w:b/>
                <w:bCs/>
                <w:szCs w:val="24"/>
                <w:lang w:val="en-US"/>
              </w:rPr>
              <w:instrText>non</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parse</w:instrText>
            </w:r>
            <w:r w:rsidR="00053AE8" w:rsidRPr="002B3AE7">
              <w:rPr>
                <w:b/>
                <w:bCs/>
                <w:szCs w:val="24"/>
              </w:rPr>
              <w:instrText>-</w:instrText>
            </w:r>
            <w:r w:rsidR="00053AE8">
              <w:rPr>
                <w:b/>
                <w:bCs/>
                <w:szCs w:val="24"/>
                <w:lang w:val="en-US"/>
              </w:rPr>
              <w:instrText>names</w:instrText>
            </w:r>
            <w:r w:rsidR="00053AE8" w:rsidRPr="002B3AE7">
              <w:rPr>
                <w:b/>
                <w:bCs/>
                <w:szCs w:val="24"/>
              </w:rPr>
              <w:instrText>":</w:instrText>
            </w:r>
            <w:r w:rsidR="00053AE8">
              <w:rPr>
                <w:b/>
                <w:bCs/>
                <w:szCs w:val="24"/>
                <w:lang w:val="en-US"/>
              </w:rPr>
              <w:instrText>false</w:instrText>
            </w:r>
            <w:r w:rsidR="00053AE8" w:rsidRPr="002B3AE7">
              <w:rPr>
                <w:b/>
                <w:bCs/>
                <w:szCs w:val="24"/>
              </w:rPr>
              <w:instrText>,"</w:instrText>
            </w:r>
            <w:r w:rsidR="00053AE8">
              <w:rPr>
                <w:b/>
                <w:bCs/>
                <w:szCs w:val="24"/>
                <w:lang w:val="en-US"/>
              </w:rPr>
              <w:instrText>suffix</w:instrText>
            </w:r>
            <w:r w:rsidR="00053AE8" w:rsidRPr="002B3AE7">
              <w:rPr>
                <w:b/>
                <w:bCs/>
                <w:szCs w:val="24"/>
              </w:rPr>
              <w:instrText>":""}],"</w:instrText>
            </w:r>
            <w:r w:rsidR="00053AE8">
              <w:rPr>
                <w:b/>
                <w:bCs/>
                <w:szCs w:val="24"/>
                <w:lang w:val="en-US"/>
              </w:rPr>
              <w:instrText>container</w:instrText>
            </w:r>
            <w:r w:rsidR="00053AE8" w:rsidRPr="002B3AE7">
              <w:rPr>
                <w:b/>
                <w:bCs/>
                <w:szCs w:val="24"/>
              </w:rPr>
              <w:instrText>-</w:instrText>
            </w:r>
            <w:r w:rsidR="00053AE8">
              <w:rPr>
                <w:b/>
                <w:bCs/>
                <w:szCs w:val="24"/>
                <w:lang w:val="en-US"/>
              </w:rPr>
              <w:instrText>title</w:instrText>
            </w:r>
            <w:r w:rsidR="00053AE8" w:rsidRPr="002B3AE7">
              <w:rPr>
                <w:b/>
                <w:bCs/>
                <w:szCs w:val="24"/>
              </w:rPr>
              <w:instrText>":"</w:instrText>
            </w:r>
            <w:r w:rsidR="00053AE8">
              <w:rPr>
                <w:b/>
                <w:bCs/>
                <w:szCs w:val="24"/>
                <w:lang w:val="en-US"/>
              </w:rPr>
              <w:instrText>Korean</w:instrText>
            </w:r>
            <w:r w:rsidR="00053AE8" w:rsidRPr="002B3AE7">
              <w:rPr>
                <w:b/>
                <w:bCs/>
                <w:szCs w:val="24"/>
              </w:rPr>
              <w:instrText xml:space="preserve"> </w:instrText>
            </w:r>
            <w:r w:rsidR="00053AE8">
              <w:rPr>
                <w:b/>
                <w:bCs/>
                <w:szCs w:val="24"/>
                <w:lang w:val="en-US"/>
              </w:rPr>
              <w:instrText>Journal</w:instrText>
            </w:r>
            <w:r w:rsidR="00053AE8" w:rsidRPr="002B3AE7">
              <w:rPr>
                <w:b/>
                <w:bCs/>
                <w:szCs w:val="24"/>
              </w:rPr>
              <w:instrText xml:space="preserve"> </w:instrText>
            </w:r>
            <w:r w:rsidR="00053AE8">
              <w:rPr>
                <w:b/>
                <w:bCs/>
                <w:szCs w:val="24"/>
                <w:lang w:val="en-US"/>
              </w:rPr>
              <w:instrText>of</w:instrText>
            </w:r>
            <w:r w:rsidR="00053AE8" w:rsidRPr="002B3AE7">
              <w:rPr>
                <w:b/>
                <w:bCs/>
                <w:szCs w:val="24"/>
              </w:rPr>
              <w:instrText xml:space="preserve"> </w:instrText>
            </w:r>
            <w:r w:rsidR="00053AE8">
              <w:rPr>
                <w:b/>
                <w:bCs/>
                <w:szCs w:val="24"/>
                <w:lang w:val="en-US"/>
              </w:rPr>
              <w:instrText>Internal</w:instrText>
            </w:r>
            <w:r w:rsidR="00053AE8" w:rsidRPr="002B3AE7">
              <w:rPr>
                <w:b/>
                <w:bCs/>
                <w:szCs w:val="24"/>
              </w:rPr>
              <w:instrText xml:space="preserve"> </w:instrText>
            </w:r>
            <w:r w:rsidR="00053AE8">
              <w:rPr>
                <w:b/>
                <w:bCs/>
                <w:szCs w:val="24"/>
                <w:lang w:val="en-US"/>
              </w:rPr>
              <w:instrText>Medicine</w:instrText>
            </w:r>
            <w:r w:rsidR="00053AE8" w:rsidRPr="002B3AE7">
              <w:rPr>
                <w:b/>
                <w:bCs/>
                <w:szCs w:val="24"/>
              </w:rPr>
              <w:instrText>","</w:instrText>
            </w:r>
            <w:r w:rsidR="00053AE8">
              <w:rPr>
                <w:b/>
                <w:bCs/>
                <w:szCs w:val="24"/>
                <w:lang w:val="en-US"/>
              </w:rPr>
              <w:instrText>id</w:instrText>
            </w:r>
            <w:r w:rsidR="00053AE8" w:rsidRPr="002B3AE7">
              <w:rPr>
                <w:b/>
                <w:bCs/>
                <w:szCs w:val="24"/>
              </w:rPr>
              <w:instrText>":"</w:instrText>
            </w:r>
            <w:r w:rsidR="00053AE8">
              <w:rPr>
                <w:b/>
                <w:bCs/>
                <w:szCs w:val="24"/>
                <w:lang w:val="en-US"/>
              </w:rPr>
              <w:instrText>ITEM</w:instrText>
            </w:r>
            <w:r w:rsidR="00053AE8" w:rsidRPr="002B3AE7">
              <w:rPr>
                <w:b/>
                <w:bCs/>
                <w:szCs w:val="24"/>
              </w:rPr>
              <w:instrText>-1","</w:instrText>
            </w:r>
            <w:r w:rsidR="00053AE8">
              <w:rPr>
                <w:b/>
                <w:bCs/>
                <w:szCs w:val="24"/>
                <w:lang w:val="en-US"/>
              </w:rPr>
              <w:instrText>issue</w:instrText>
            </w:r>
            <w:r w:rsidR="00053AE8" w:rsidRPr="002B3AE7">
              <w:rPr>
                <w:b/>
                <w:bCs/>
                <w:szCs w:val="24"/>
              </w:rPr>
              <w:instrText>":"6","</w:instrText>
            </w:r>
            <w:r w:rsidR="00053AE8">
              <w:rPr>
                <w:b/>
                <w:bCs/>
                <w:szCs w:val="24"/>
                <w:lang w:val="en-US"/>
              </w:rPr>
              <w:instrText>issued</w:instrText>
            </w:r>
            <w:r w:rsidR="00053AE8" w:rsidRPr="002B3AE7">
              <w:rPr>
                <w:b/>
                <w:bCs/>
                <w:szCs w:val="24"/>
              </w:rPr>
              <w:instrText>":{"</w:instrText>
            </w:r>
            <w:r w:rsidR="00053AE8">
              <w:rPr>
                <w:b/>
                <w:bCs/>
                <w:szCs w:val="24"/>
                <w:lang w:val="en-US"/>
              </w:rPr>
              <w:instrText>date</w:instrText>
            </w:r>
            <w:r w:rsidR="00053AE8" w:rsidRPr="002B3AE7">
              <w:rPr>
                <w:b/>
                <w:bCs/>
                <w:szCs w:val="24"/>
              </w:rPr>
              <w:instrText>-</w:instrText>
            </w:r>
            <w:r w:rsidR="00053AE8">
              <w:rPr>
                <w:b/>
                <w:bCs/>
                <w:szCs w:val="24"/>
                <w:lang w:val="en-US"/>
              </w:rPr>
              <w:instrText>parts</w:instrText>
            </w:r>
            <w:r w:rsidR="00053AE8" w:rsidRPr="002B3AE7">
              <w:rPr>
                <w:b/>
                <w:bCs/>
                <w:szCs w:val="24"/>
              </w:rPr>
              <w:instrText>":[["2018","11","1"]]},"</w:instrText>
            </w:r>
            <w:r w:rsidR="00053AE8">
              <w:rPr>
                <w:b/>
                <w:bCs/>
                <w:szCs w:val="24"/>
                <w:lang w:val="en-US"/>
              </w:rPr>
              <w:instrText>page</w:instrText>
            </w:r>
            <w:r w:rsidR="00053AE8" w:rsidRPr="002B3AE7">
              <w:rPr>
                <w:b/>
                <w:bCs/>
                <w:szCs w:val="24"/>
              </w:rPr>
              <w:instrText>":"1169-1181","</w:instrText>
            </w:r>
            <w:r w:rsidR="00053AE8">
              <w:rPr>
                <w:b/>
                <w:bCs/>
                <w:szCs w:val="24"/>
                <w:lang w:val="en-US"/>
              </w:rPr>
              <w:instrText>publisher</w:instrText>
            </w:r>
            <w:r w:rsidR="00053AE8" w:rsidRPr="002B3AE7">
              <w:rPr>
                <w:b/>
                <w:bCs/>
                <w:szCs w:val="24"/>
              </w:rPr>
              <w:instrText>":"</w:instrText>
            </w:r>
            <w:r w:rsidR="00053AE8">
              <w:rPr>
                <w:b/>
                <w:bCs/>
                <w:szCs w:val="24"/>
                <w:lang w:val="en-US"/>
              </w:rPr>
              <w:instrText>Korean</w:instrText>
            </w:r>
            <w:r w:rsidR="00053AE8" w:rsidRPr="002B3AE7">
              <w:rPr>
                <w:b/>
                <w:bCs/>
                <w:szCs w:val="24"/>
              </w:rPr>
              <w:instrText xml:space="preserve"> </w:instrText>
            </w:r>
            <w:r w:rsidR="00053AE8">
              <w:rPr>
                <w:b/>
                <w:bCs/>
                <w:szCs w:val="24"/>
                <w:lang w:val="en-US"/>
              </w:rPr>
              <w:instrText>Association</w:instrText>
            </w:r>
            <w:r w:rsidR="00053AE8" w:rsidRPr="002B3AE7">
              <w:rPr>
                <w:b/>
                <w:bCs/>
                <w:szCs w:val="24"/>
              </w:rPr>
              <w:instrText xml:space="preserve"> </w:instrText>
            </w:r>
            <w:r w:rsidR="00053AE8">
              <w:rPr>
                <w:b/>
                <w:bCs/>
                <w:szCs w:val="24"/>
                <w:lang w:val="en-US"/>
              </w:rPr>
              <w:instrText>of</w:instrText>
            </w:r>
            <w:r w:rsidR="00053AE8" w:rsidRPr="002B3AE7">
              <w:rPr>
                <w:b/>
                <w:bCs/>
                <w:szCs w:val="24"/>
              </w:rPr>
              <w:instrText xml:space="preserve"> </w:instrText>
            </w:r>
            <w:r w:rsidR="00053AE8">
              <w:rPr>
                <w:b/>
                <w:bCs/>
                <w:szCs w:val="24"/>
                <w:lang w:val="en-US"/>
              </w:rPr>
              <w:instrText>Internal</w:instrText>
            </w:r>
            <w:r w:rsidR="00053AE8" w:rsidRPr="002B3AE7">
              <w:rPr>
                <w:b/>
                <w:bCs/>
                <w:szCs w:val="24"/>
              </w:rPr>
              <w:instrText xml:space="preserve"> </w:instrText>
            </w:r>
            <w:r w:rsidR="00053AE8">
              <w:rPr>
                <w:b/>
                <w:bCs/>
                <w:szCs w:val="24"/>
                <w:lang w:val="en-US"/>
              </w:rPr>
              <w:instrText>Medicine</w:instrText>
            </w:r>
            <w:r w:rsidR="00053AE8" w:rsidRPr="002B3AE7">
              <w:rPr>
                <w:b/>
                <w:bCs/>
                <w:szCs w:val="24"/>
              </w:rPr>
              <w:instrText>","</w:instrText>
            </w:r>
            <w:r w:rsidR="00053AE8">
              <w:rPr>
                <w:b/>
                <w:bCs/>
                <w:szCs w:val="24"/>
                <w:lang w:val="en-US"/>
              </w:rPr>
              <w:instrText>title</w:instrText>
            </w:r>
            <w:r w:rsidR="00053AE8" w:rsidRPr="002B3AE7">
              <w:rPr>
                <w:b/>
                <w:bCs/>
                <w:szCs w:val="24"/>
              </w:rPr>
              <w:instrText>":"</w:instrText>
            </w:r>
            <w:r w:rsidR="00053AE8">
              <w:rPr>
                <w:b/>
                <w:bCs/>
                <w:szCs w:val="24"/>
                <w:lang w:val="en-US"/>
              </w:rPr>
              <w:instrText>The</w:instrText>
            </w:r>
            <w:r w:rsidR="00053AE8" w:rsidRPr="002B3AE7">
              <w:rPr>
                <w:b/>
                <w:bCs/>
                <w:szCs w:val="24"/>
              </w:rPr>
              <w:instrText xml:space="preserve"> </w:instrText>
            </w:r>
            <w:r w:rsidR="00053AE8">
              <w:rPr>
                <w:b/>
                <w:bCs/>
                <w:szCs w:val="24"/>
                <w:lang w:val="en-US"/>
              </w:rPr>
              <w:instrText>effect</w:instrText>
            </w:r>
            <w:r w:rsidR="00053AE8" w:rsidRPr="002B3AE7">
              <w:rPr>
                <w:b/>
                <w:bCs/>
                <w:szCs w:val="24"/>
              </w:rPr>
              <w:instrText xml:space="preserve"> </w:instrText>
            </w:r>
            <w:r w:rsidR="00053AE8">
              <w:rPr>
                <w:b/>
                <w:bCs/>
                <w:szCs w:val="24"/>
                <w:lang w:val="en-US"/>
              </w:rPr>
              <w:instrText>of</w:instrText>
            </w:r>
            <w:r w:rsidR="00053AE8" w:rsidRPr="002B3AE7">
              <w:rPr>
                <w:b/>
                <w:bCs/>
                <w:szCs w:val="24"/>
              </w:rPr>
              <w:instrText xml:space="preserve"> </w:instrText>
            </w:r>
            <w:r w:rsidR="00053AE8">
              <w:rPr>
                <w:b/>
                <w:bCs/>
                <w:szCs w:val="24"/>
                <w:lang w:val="en-US"/>
              </w:rPr>
              <w:instrText>the</w:instrText>
            </w:r>
            <w:r w:rsidR="00053AE8" w:rsidRPr="002B3AE7">
              <w:rPr>
                <w:b/>
                <w:bCs/>
                <w:szCs w:val="24"/>
              </w:rPr>
              <w:instrText xml:space="preserve"> </w:instrText>
            </w:r>
            <w:r w:rsidR="00053AE8">
              <w:rPr>
                <w:b/>
                <w:bCs/>
                <w:szCs w:val="24"/>
                <w:lang w:val="en-US"/>
              </w:rPr>
              <w:instrText>dexamethasone</w:instrText>
            </w:r>
            <w:r w:rsidR="00053AE8" w:rsidRPr="002B3AE7">
              <w:rPr>
                <w:b/>
                <w:bCs/>
                <w:szCs w:val="24"/>
              </w:rPr>
              <w:instrText xml:space="preserve">, </w:instrText>
            </w:r>
            <w:r w:rsidR="00053AE8">
              <w:rPr>
                <w:b/>
                <w:bCs/>
                <w:szCs w:val="24"/>
                <w:lang w:val="en-US"/>
              </w:rPr>
              <w:instrText>cytarabine</w:instrText>
            </w:r>
            <w:r w:rsidR="00053AE8" w:rsidRPr="002B3AE7">
              <w:rPr>
                <w:b/>
                <w:bCs/>
                <w:szCs w:val="24"/>
              </w:rPr>
              <w:instrText xml:space="preserve">, </w:instrText>
            </w:r>
            <w:r w:rsidR="00053AE8">
              <w:rPr>
                <w:b/>
                <w:bCs/>
                <w:szCs w:val="24"/>
                <w:lang w:val="en-US"/>
              </w:rPr>
              <w:instrText>and</w:instrText>
            </w:r>
            <w:r w:rsidR="00053AE8" w:rsidRPr="002B3AE7">
              <w:rPr>
                <w:b/>
                <w:bCs/>
                <w:szCs w:val="24"/>
              </w:rPr>
              <w:instrText xml:space="preserve"> </w:instrText>
            </w:r>
            <w:r w:rsidR="00053AE8">
              <w:rPr>
                <w:b/>
                <w:bCs/>
                <w:szCs w:val="24"/>
                <w:lang w:val="en-US"/>
              </w:rPr>
              <w:instrText>cisplatin</w:instrText>
            </w:r>
            <w:r w:rsidR="00053AE8" w:rsidRPr="002B3AE7">
              <w:rPr>
                <w:b/>
                <w:bCs/>
                <w:szCs w:val="24"/>
              </w:rPr>
              <w:instrText xml:space="preserve"> (</w:instrText>
            </w:r>
            <w:r w:rsidR="00053AE8">
              <w:rPr>
                <w:b/>
                <w:bCs/>
                <w:szCs w:val="24"/>
                <w:lang w:val="en-US"/>
              </w:rPr>
              <w:instrText>Dhap</w:instrText>
            </w:r>
            <w:r w:rsidR="00053AE8" w:rsidRPr="002B3AE7">
              <w:rPr>
                <w:b/>
                <w:bCs/>
                <w:szCs w:val="24"/>
              </w:rPr>
              <w:instrText xml:space="preserve">) </w:instrText>
            </w:r>
            <w:r w:rsidR="00053AE8">
              <w:rPr>
                <w:b/>
                <w:bCs/>
                <w:szCs w:val="24"/>
                <w:lang w:val="en-US"/>
              </w:rPr>
              <w:instrText>regimen</w:instrText>
            </w:r>
            <w:r w:rsidR="00053AE8" w:rsidRPr="002B3AE7">
              <w:rPr>
                <w:b/>
                <w:bCs/>
                <w:szCs w:val="24"/>
              </w:rPr>
              <w:instrText xml:space="preserve"> </w:instrText>
            </w:r>
            <w:r w:rsidR="00053AE8">
              <w:rPr>
                <w:b/>
                <w:bCs/>
                <w:szCs w:val="24"/>
                <w:lang w:val="en-US"/>
              </w:rPr>
              <w:instrText>on</w:instrText>
            </w:r>
            <w:r w:rsidR="00053AE8" w:rsidRPr="002B3AE7">
              <w:rPr>
                <w:b/>
                <w:bCs/>
                <w:szCs w:val="24"/>
              </w:rPr>
              <w:instrText xml:space="preserve"> </w:instrText>
            </w:r>
            <w:r w:rsidR="00053AE8">
              <w:rPr>
                <w:b/>
                <w:bCs/>
                <w:szCs w:val="24"/>
                <w:lang w:val="en-US"/>
              </w:rPr>
              <w:instrText>stem</w:instrText>
            </w:r>
            <w:r w:rsidR="00053AE8" w:rsidRPr="002B3AE7">
              <w:rPr>
                <w:b/>
                <w:bCs/>
                <w:szCs w:val="24"/>
              </w:rPr>
              <w:instrText xml:space="preserve"> </w:instrText>
            </w:r>
            <w:r w:rsidR="00053AE8">
              <w:rPr>
                <w:b/>
                <w:bCs/>
                <w:szCs w:val="24"/>
                <w:lang w:val="en-US"/>
              </w:rPr>
              <w:instrText>cell</w:instrText>
            </w:r>
            <w:r w:rsidR="00053AE8" w:rsidRPr="002B3AE7">
              <w:rPr>
                <w:b/>
                <w:bCs/>
                <w:szCs w:val="24"/>
              </w:rPr>
              <w:instrText xml:space="preserve"> </w:instrText>
            </w:r>
            <w:r w:rsidR="00053AE8">
              <w:rPr>
                <w:b/>
                <w:bCs/>
                <w:szCs w:val="24"/>
                <w:lang w:val="en-US"/>
              </w:rPr>
              <w:instrText>mobilization</w:instrText>
            </w:r>
            <w:r w:rsidR="00053AE8" w:rsidRPr="002B3AE7">
              <w:rPr>
                <w:b/>
                <w:bCs/>
                <w:szCs w:val="24"/>
              </w:rPr>
              <w:instrText xml:space="preserve"> </w:instrText>
            </w:r>
            <w:r w:rsidR="00053AE8">
              <w:rPr>
                <w:b/>
                <w:bCs/>
                <w:szCs w:val="24"/>
                <w:lang w:val="en-US"/>
              </w:rPr>
              <w:instrText>and</w:instrText>
            </w:r>
            <w:r w:rsidR="00053AE8" w:rsidRPr="002B3AE7">
              <w:rPr>
                <w:b/>
                <w:bCs/>
                <w:szCs w:val="24"/>
              </w:rPr>
              <w:instrText xml:space="preserve"> </w:instrText>
            </w:r>
            <w:r w:rsidR="00053AE8">
              <w:rPr>
                <w:b/>
                <w:bCs/>
                <w:szCs w:val="24"/>
                <w:lang w:val="en-US"/>
              </w:rPr>
              <w:instrText>transplant</w:instrText>
            </w:r>
            <w:r w:rsidR="00053AE8" w:rsidRPr="002B3AE7">
              <w:rPr>
                <w:b/>
                <w:bCs/>
                <w:szCs w:val="24"/>
              </w:rPr>
              <w:instrText xml:space="preserve"> </w:instrText>
            </w:r>
            <w:r w:rsidR="00053AE8">
              <w:rPr>
                <w:b/>
                <w:bCs/>
                <w:szCs w:val="24"/>
                <w:lang w:val="en-US"/>
              </w:rPr>
              <w:instrText>outcomes</w:instrText>
            </w:r>
            <w:r w:rsidR="00053AE8" w:rsidRPr="002B3AE7">
              <w:rPr>
                <w:b/>
                <w:bCs/>
                <w:szCs w:val="24"/>
              </w:rPr>
              <w:instrText xml:space="preserve"> </w:instrText>
            </w:r>
            <w:r w:rsidR="00053AE8">
              <w:rPr>
                <w:b/>
                <w:bCs/>
                <w:szCs w:val="24"/>
                <w:lang w:val="en-US"/>
              </w:rPr>
              <w:instrText>of</w:instrText>
            </w:r>
            <w:r w:rsidR="00053AE8" w:rsidRPr="002B3AE7">
              <w:rPr>
                <w:b/>
                <w:bCs/>
                <w:szCs w:val="24"/>
              </w:rPr>
              <w:instrText xml:space="preserve"> </w:instrText>
            </w:r>
            <w:r w:rsidR="00053AE8">
              <w:rPr>
                <w:b/>
                <w:bCs/>
                <w:szCs w:val="24"/>
                <w:lang w:val="en-US"/>
              </w:rPr>
              <w:instrText>patients</w:instrText>
            </w:r>
            <w:r w:rsidR="00053AE8" w:rsidRPr="002B3AE7">
              <w:rPr>
                <w:b/>
                <w:bCs/>
                <w:szCs w:val="24"/>
              </w:rPr>
              <w:instrText xml:space="preserve"> </w:instrText>
            </w:r>
            <w:r w:rsidR="00053AE8">
              <w:rPr>
                <w:b/>
                <w:bCs/>
                <w:szCs w:val="24"/>
                <w:lang w:val="en-US"/>
              </w:rPr>
              <w:instrText>with</w:instrText>
            </w:r>
            <w:r w:rsidR="00053AE8" w:rsidRPr="002B3AE7">
              <w:rPr>
                <w:b/>
                <w:bCs/>
                <w:szCs w:val="24"/>
              </w:rPr>
              <w:instrText xml:space="preserve"> </w:instrText>
            </w:r>
            <w:r w:rsidR="00053AE8">
              <w:rPr>
                <w:b/>
                <w:bCs/>
                <w:szCs w:val="24"/>
                <w:lang w:val="en-US"/>
              </w:rPr>
              <w:instrText>non</w:instrText>
            </w:r>
            <w:r w:rsidR="00053AE8" w:rsidRPr="002B3AE7">
              <w:rPr>
                <w:b/>
                <w:bCs/>
                <w:szCs w:val="24"/>
              </w:rPr>
              <w:instrText>-</w:instrText>
            </w:r>
            <w:r w:rsidR="00053AE8">
              <w:rPr>
                <w:b/>
                <w:bCs/>
                <w:szCs w:val="24"/>
                <w:lang w:val="en-US"/>
              </w:rPr>
              <w:instrText>hodgkin</w:instrText>
            </w:r>
            <w:r w:rsidR="00053AE8" w:rsidRPr="002B3AE7">
              <w:rPr>
                <w:b/>
                <w:bCs/>
                <w:szCs w:val="24"/>
              </w:rPr>
              <w:instrText>’</w:instrText>
            </w:r>
            <w:r w:rsidR="00053AE8">
              <w:rPr>
                <w:b/>
                <w:bCs/>
                <w:szCs w:val="24"/>
                <w:lang w:val="en-US"/>
              </w:rPr>
              <w:instrText>s</w:instrText>
            </w:r>
            <w:r w:rsidR="00053AE8" w:rsidRPr="002B3AE7">
              <w:rPr>
                <w:b/>
                <w:bCs/>
                <w:szCs w:val="24"/>
              </w:rPr>
              <w:instrText xml:space="preserve"> </w:instrText>
            </w:r>
            <w:r w:rsidR="00053AE8">
              <w:rPr>
                <w:b/>
                <w:bCs/>
                <w:szCs w:val="24"/>
                <w:lang w:val="en-US"/>
              </w:rPr>
              <w:instrText>lymphoma</w:instrText>
            </w:r>
            <w:r w:rsidR="00053AE8" w:rsidRPr="002B3AE7">
              <w:rPr>
                <w:b/>
                <w:bCs/>
                <w:szCs w:val="24"/>
              </w:rPr>
              <w:instrText xml:space="preserve"> </w:instrText>
            </w:r>
            <w:r w:rsidR="00053AE8">
              <w:rPr>
                <w:b/>
                <w:bCs/>
                <w:szCs w:val="24"/>
                <w:lang w:val="en-US"/>
              </w:rPr>
              <w:instrText>who</w:instrText>
            </w:r>
            <w:r w:rsidR="00053AE8" w:rsidRPr="002B3AE7">
              <w:rPr>
                <w:b/>
                <w:bCs/>
                <w:szCs w:val="24"/>
              </w:rPr>
              <w:instrText xml:space="preserve"> </w:instrText>
            </w:r>
            <w:r w:rsidR="00053AE8">
              <w:rPr>
                <w:b/>
                <w:bCs/>
                <w:szCs w:val="24"/>
                <w:lang w:val="en-US"/>
              </w:rPr>
              <w:instrText>are</w:instrText>
            </w:r>
            <w:r w:rsidR="00053AE8" w:rsidRPr="002B3AE7">
              <w:rPr>
                <w:b/>
                <w:bCs/>
                <w:szCs w:val="24"/>
              </w:rPr>
              <w:instrText xml:space="preserve"> </w:instrText>
            </w:r>
            <w:r w:rsidR="00053AE8">
              <w:rPr>
                <w:b/>
                <w:bCs/>
                <w:szCs w:val="24"/>
                <w:lang w:val="en-US"/>
              </w:rPr>
              <w:instrText>candidates</w:instrText>
            </w:r>
            <w:r w:rsidR="00053AE8" w:rsidRPr="002B3AE7">
              <w:rPr>
                <w:b/>
                <w:bCs/>
                <w:szCs w:val="24"/>
              </w:rPr>
              <w:instrText xml:space="preserve"> </w:instrText>
            </w:r>
            <w:r w:rsidR="00053AE8">
              <w:rPr>
                <w:b/>
                <w:bCs/>
                <w:szCs w:val="24"/>
                <w:lang w:val="en-US"/>
              </w:rPr>
              <w:instrText>for</w:instrText>
            </w:r>
            <w:r w:rsidR="00053AE8" w:rsidRPr="002B3AE7">
              <w:rPr>
                <w:b/>
                <w:bCs/>
                <w:szCs w:val="24"/>
              </w:rPr>
              <w:instrText xml:space="preserve"> </w:instrText>
            </w:r>
            <w:r w:rsidR="00053AE8">
              <w:rPr>
                <w:b/>
                <w:bCs/>
                <w:szCs w:val="24"/>
                <w:lang w:val="en-US"/>
              </w:rPr>
              <w:instrText>up</w:instrText>
            </w:r>
            <w:r w:rsidR="00053AE8" w:rsidRPr="002B3AE7">
              <w:rPr>
                <w:b/>
                <w:bCs/>
                <w:szCs w:val="24"/>
              </w:rPr>
              <w:instrText>-</w:instrText>
            </w:r>
            <w:r w:rsidR="00053AE8">
              <w:rPr>
                <w:b/>
                <w:bCs/>
                <w:szCs w:val="24"/>
                <w:lang w:val="en-US"/>
              </w:rPr>
              <w:instrText>front</w:instrText>
            </w:r>
            <w:r w:rsidR="00053AE8" w:rsidRPr="002B3AE7">
              <w:rPr>
                <w:b/>
                <w:bCs/>
                <w:szCs w:val="24"/>
              </w:rPr>
              <w:instrText xml:space="preserve"> </w:instrText>
            </w:r>
            <w:r w:rsidR="00053AE8">
              <w:rPr>
                <w:b/>
                <w:bCs/>
                <w:szCs w:val="24"/>
                <w:lang w:val="en-US"/>
              </w:rPr>
              <w:instrText>autologous</w:instrText>
            </w:r>
            <w:r w:rsidR="00053AE8" w:rsidRPr="002B3AE7">
              <w:rPr>
                <w:b/>
                <w:bCs/>
                <w:szCs w:val="24"/>
              </w:rPr>
              <w:instrText xml:space="preserve"> </w:instrText>
            </w:r>
            <w:r w:rsidR="00053AE8">
              <w:rPr>
                <w:b/>
                <w:bCs/>
                <w:szCs w:val="24"/>
                <w:lang w:val="en-US"/>
              </w:rPr>
              <w:instrText>stem</w:instrText>
            </w:r>
            <w:r w:rsidR="00053AE8" w:rsidRPr="002B3AE7">
              <w:rPr>
                <w:b/>
                <w:bCs/>
                <w:szCs w:val="24"/>
              </w:rPr>
              <w:instrText xml:space="preserve"> </w:instrText>
            </w:r>
            <w:r w:rsidR="00053AE8">
              <w:rPr>
                <w:b/>
                <w:bCs/>
                <w:szCs w:val="24"/>
                <w:lang w:val="en-US"/>
              </w:rPr>
              <w:instrText>cell</w:instrText>
            </w:r>
            <w:r w:rsidR="00053AE8" w:rsidRPr="002B3AE7">
              <w:rPr>
                <w:b/>
                <w:bCs/>
                <w:szCs w:val="24"/>
              </w:rPr>
              <w:instrText xml:space="preserve"> </w:instrText>
            </w:r>
            <w:r w:rsidR="00053AE8">
              <w:rPr>
                <w:b/>
                <w:bCs/>
                <w:szCs w:val="24"/>
                <w:lang w:val="en-US"/>
              </w:rPr>
              <w:instrText>transplantation</w:instrText>
            </w:r>
            <w:r w:rsidR="00053AE8" w:rsidRPr="002B3AE7">
              <w:rPr>
                <w:b/>
                <w:bCs/>
                <w:szCs w:val="24"/>
              </w:rPr>
              <w:instrText>","</w:instrText>
            </w:r>
            <w:r w:rsidR="00053AE8">
              <w:rPr>
                <w:b/>
                <w:bCs/>
                <w:szCs w:val="24"/>
                <w:lang w:val="en-US"/>
              </w:rPr>
              <w:instrText>type</w:instrText>
            </w:r>
            <w:r w:rsidR="00053AE8" w:rsidRPr="002B3AE7">
              <w:rPr>
                <w:b/>
                <w:bCs/>
                <w:szCs w:val="24"/>
              </w:rPr>
              <w:instrText>":"</w:instrText>
            </w:r>
            <w:r w:rsidR="00053AE8">
              <w:rPr>
                <w:b/>
                <w:bCs/>
                <w:szCs w:val="24"/>
                <w:lang w:val="en-US"/>
              </w:rPr>
              <w:instrText>article</w:instrText>
            </w:r>
            <w:r w:rsidR="00053AE8" w:rsidRPr="002B3AE7">
              <w:rPr>
                <w:b/>
                <w:bCs/>
                <w:szCs w:val="24"/>
              </w:rPr>
              <w:instrText>-</w:instrText>
            </w:r>
            <w:r w:rsidR="00053AE8">
              <w:rPr>
                <w:b/>
                <w:bCs/>
                <w:szCs w:val="24"/>
                <w:lang w:val="en-US"/>
              </w:rPr>
              <w:instrText>journal</w:instrText>
            </w:r>
            <w:r w:rsidR="00053AE8" w:rsidRPr="002B3AE7">
              <w:rPr>
                <w:b/>
                <w:bCs/>
                <w:szCs w:val="24"/>
              </w:rPr>
              <w:instrText>","</w:instrText>
            </w:r>
            <w:r w:rsidR="00053AE8">
              <w:rPr>
                <w:b/>
                <w:bCs/>
                <w:szCs w:val="24"/>
                <w:lang w:val="en-US"/>
              </w:rPr>
              <w:instrText>volume</w:instrText>
            </w:r>
            <w:r w:rsidR="00053AE8" w:rsidRPr="002B3AE7">
              <w:rPr>
                <w:b/>
                <w:bCs/>
                <w:szCs w:val="24"/>
              </w:rPr>
              <w:instrText>":"33"},"</w:instrText>
            </w:r>
            <w:r w:rsidR="00053AE8">
              <w:rPr>
                <w:b/>
                <w:bCs/>
                <w:szCs w:val="24"/>
                <w:lang w:val="en-US"/>
              </w:rPr>
              <w:instrText>uris</w:instrText>
            </w:r>
            <w:r w:rsidR="00053AE8" w:rsidRPr="002B3AE7">
              <w:rPr>
                <w:b/>
                <w:bCs/>
                <w:szCs w:val="24"/>
              </w:rPr>
              <w:instrText>":["</w:instrText>
            </w:r>
            <w:r w:rsidR="00053AE8">
              <w:rPr>
                <w:b/>
                <w:bCs/>
                <w:szCs w:val="24"/>
                <w:lang w:val="en-US"/>
              </w:rPr>
              <w:instrText>http</w:instrText>
            </w:r>
            <w:r w:rsidR="00053AE8" w:rsidRPr="002B3AE7">
              <w:rPr>
                <w:b/>
                <w:bCs/>
                <w:szCs w:val="24"/>
              </w:rPr>
              <w:instrText>://</w:instrText>
            </w:r>
            <w:r w:rsidR="00053AE8">
              <w:rPr>
                <w:b/>
                <w:bCs/>
                <w:szCs w:val="24"/>
                <w:lang w:val="en-US"/>
              </w:rPr>
              <w:instrText>www</w:instrText>
            </w:r>
            <w:r w:rsidR="00053AE8" w:rsidRPr="002B3AE7">
              <w:rPr>
                <w:b/>
                <w:bCs/>
                <w:szCs w:val="24"/>
              </w:rPr>
              <w:instrText>.</w:instrText>
            </w:r>
            <w:r w:rsidR="00053AE8">
              <w:rPr>
                <w:b/>
                <w:bCs/>
                <w:szCs w:val="24"/>
                <w:lang w:val="en-US"/>
              </w:rPr>
              <w:instrText>mendeley</w:instrText>
            </w:r>
            <w:r w:rsidR="00053AE8" w:rsidRPr="002B3AE7">
              <w:rPr>
                <w:b/>
                <w:bCs/>
                <w:szCs w:val="24"/>
              </w:rPr>
              <w:instrText>.</w:instrText>
            </w:r>
            <w:r w:rsidR="00053AE8">
              <w:rPr>
                <w:b/>
                <w:bCs/>
                <w:szCs w:val="24"/>
                <w:lang w:val="en-US"/>
              </w:rPr>
              <w:instrText>com</w:instrText>
            </w:r>
            <w:r w:rsidR="00053AE8" w:rsidRPr="002B3AE7">
              <w:rPr>
                <w:b/>
                <w:bCs/>
                <w:szCs w:val="24"/>
              </w:rPr>
              <w:instrText>/</w:instrText>
            </w:r>
            <w:r w:rsidR="00053AE8">
              <w:rPr>
                <w:b/>
                <w:bCs/>
                <w:szCs w:val="24"/>
                <w:lang w:val="en-US"/>
              </w:rPr>
              <w:instrText>documents</w:instrText>
            </w:r>
            <w:r w:rsidR="00053AE8" w:rsidRPr="002B3AE7">
              <w:rPr>
                <w:b/>
                <w:bCs/>
                <w:szCs w:val="24"/>
              </w:rPr>
              <w:instrText>/?</w:instrText>
            </w:r>
            <w:r w:rsidR="00053AE8">
              <w:rPr>
                <w:b/>
                <w:bCs/>
                <w:szCs w:val="24"/>
                <w:lang w:val="en-US"/>
              </w:rPr>
              <w:instrText>uuid</w:instrText>
            </w:r>
            <w:r w:rsidR="00053AE8" w:rsidRPr="002B3AE7">
              <w:rPr>
                <w:b/>
                <w:bCs/>
                <w:szCs w:val="24"/>
              </w:rPr>
              <w:instrText>=2</w:instrText>
            </w:r>
            <w:r w:rsidR="00053AE8">
              <w:rPr>
                <w:b/>
                <w:bCs/>
                <w:szCs w:val="24"/>
                <w:lang w:val="en-US"/>
              </w:rPr>
              <w:instrText>a</w:instrText>
            </w:r>
            <w:r w:rsidR="00053AE8" w:rsidRPr="002B3AE7">
              <w:rPr>
                <w:b/>
                <w:bCs/>
                <w:szCs w:val="24"/>
              </w:rPr>
              <w:instrText>7993</w:instrText>
            </w:r>
            <w:r w:rsidR="00053AE8">
              <w:rPr>
                <w:b/>
                <w:bCs/>
                <w:szCs w:val="24"/>
                <w:lang w:val="en-US"/>
              </w:rPr>
              <w:instrText>f</w:instrText>
            </w:r>
            <w:r w:rsidR="00053AE8" w:rsidRPr="002B3AE7">
              <w:rPr>
                <w:b/>
                <w:bCs/>
                <w:szCs w:val="24"/>
              </w:rPr>
              <w:instrText>5-2</w:instrText>
            </w:r>
            <w:r w:rsidR="00053AE8">
              <w:rPr>
                <w:b/>
                <w:bCs/>
                <w:szCs w:val="24"/>
                <w:lang w:val="en-US"/>
              </w:rPr>
              <w:instrText>ecf</w:instrText>
            </w:r>
            <w:r w:rsidR="00053AE8" w:rsidRPr="002B3AE7">
              <w:rPr>
                <w:b/>
                <w:bCs/>
                <w:szCs w:val="24"/>
              </w:rPr>
              <w:instrText>-3771-</w:instrText>
            </w:r>
            <w:r w:rsidR="00053AE8">
              <w:rPr>
                <w:b/>
                <w:bCs/>
                <w:szCs w:val="24"/>
                <w:lang w:val="en-US"/>
              </w:rPr>
              <w:instrText>a</w:instrText>
            </w:r>
            <w:r w:rsidR="00053AE8" w:rsidRPr="002B3AE7">
              <w:rPr>
                <w:b/>
                <w:bCs/>
                <w:szCs w:val="24"/>
              </w:rPr>
              <w:instrText>28</w:instrText>
            </w:r>
            <w:r w:rsidR="00053AE8">
              <w:rPr>
                <w:b/>
                <w:bCs/>
                <w:szCs w:val="24"/>
                <w:lang w:val="en-US"/>
              </w:rPr>
              <w:instrText>f</w:instrText>
            </w:r>
            <w:r w:rsidR="00053AE8" w:rsidRPr="002B3AE7">
              <w:rPr>
                <w:b/>
                <w:bCs/>
                <w:szCs w:val="24"/>
              </w:rPr>
              <w:instrText>-</w:instrText>
            </w:r>
            <w:r w:rsidR="00053AE8">
              <w:rPr>
                <w:b/>
                <w:bCs/>
                <w:szCs w:val="24"/>
                <w:lang w:val="en-US"/>
              </w:rPr>
              <w:instrText>f</w:instrText>
            </w:r>
            <w:r w:rsidR="00053AE8" w:rsidRPr="002B3AE7">
              <w:rPr>
                <w:b/>
                <w:bCs/>
                <w:szCs w:val="24"/>
              </w:rPr>
              <w:instrText>2928</w:instrText>
            </w:r>
            <w:r w:rsidR="00053AE8">
              <w:rPr>
                <w:b/>
                <w:bCs/>
                <w:szCs w:val="24"/>
                <w:lang w:val="en-US"/>
              </w:rPr>
              <w:instrText>e</w:instrText>
            </w:r>
            <w:r w:rsidR="00053AE8" w:rsidRPr="002B3AE7">
              <w:rPr>
                <w:b/>
                <w:bCs/>
                <w:szCs w:val="24"/>
              </w:rPr>
              <w:instrText>09</w:instrText>
            </w:r>
            <w:r w:rsidR="00053AE8">
              <w:rPr>
                <w:b/>
                <w:bCs/>
                <w:szCs w:val="24"/>
                <w:lang w:val="en-US"/>
              </w:rPr>
              <w:instrText>c</w:instrText>
            </w:r>
            <w:r w:rsidR="00053AE8" w:rsidRPr="002B3AE7">
              <w:rPr>
                <w:b/>
                <w:bCs/>
                <w:szCs w:val="24"/>
              </w:rPr>
              <w:instrText>27</w:instrText>
            </w:r>
            <w:r w:rsidR="00053AE8">
              <w:rPr>
                <w:b/>
                <w:bCs/>
                <w:szCs w:val="24"/>
                <w:lang w:val="en-US"/>
              </w:rPr>
              <w:instrText>a</w:instrText>
            </w:r>
            <w:r w:rsidR="00053AE8" w:rsidRPr="002B3AE7">
              <w:rPr>
                <w:b/>
                <w:bCs/>
                <w:szCs w:val="24"/>
              </w:rPr>
              <w:instrText>"]}],"</w:instrText>
            </w:r>
            <w:r w:rsidR="00053AE8">
              <w:rPr>
                <w:b/>
                <w:bCs/>
                <w:szCs w:val="24"/>
                <w:lang w:val="en-US"/>
              </w:rPr>
              <w:instrText>mendeley</w:instrText>
            </w:r>
            <w:r w:rsidR="00053AE8" w:rsidRPr="002B3AE7">
              <w:rPr>
                <w:b/>
                <w:bCs/>
                <w:szCs w:val="24"/>
              </w:rPr>
              <w:instrText>":{"</w:instrText>
            </w:r>
            <w:r w:rsidR="00053AE8">
              <w:rPr>
                <w:b/>
                <w:bCs/>
                <w:szCs w:val="24"/>
                <w:lang w:val="en-US"/>
              </w:rPr>
              <w:instrText>formattedCitation</w:instrText>
            </w:r>
            <w:r w:rsidR="00053AE8" w:rsidRPr="002B3AE7">
              <w:rPr>
                <w:b/>
                <w:bCs/>
                <w:szCs w:val="24"/>
              </w:rPr>
              <w:instrText>":"[130]","</w:instrText>
            </w:r>
            <w:r w:rsidR="00053AE8">
              <w:rPr>
                <w:b/>
                <w:bCs/>
                <w:szCs w:val="24"/>
                <w:lang w:val="en-US"/>
              </w:rPr>
              <w:instrText>plainTextFormattedCitation</w:instrText>
            </w:r>
            <w:r w:rsidR="00053AE8" w:rsidRPr="002B3AE7">
              <w:rPr>
                <w:b/>
                <w:bCs/>
                <w:szCs w:val="24"/>
              </w:rPr>
              <w:instrText>":"[130]","</w:instrText>
            </w:r>
            <w:r w:rsidR="00053AE8">
              <w:rPr>
                <w:b/>
                <w:bCs/>
                <w:szCs w:val="24"/>
                <w:lang w:val="en-US"/>
              </w:rPr>
              <w:instrText>previouslyFormattedCitation</w:instrText>
            </w:r>
            <w:r w:rsidR="00053AE8" w:rsidRPr="002B3AE7">
              <w:rPr>
                <w:b/>
                <w:bCs/>
                <w:szCs w:val="24"/>
              </w:rPr>
              <w:instrText>":"[130]"},"</w:instrText>
            </w:r>
            <w:r w:rsidR="00053AE8">
              <w:rPr>
                <w:b/>
                <w:bCs/>
                <w:szCs w:val="24"/>
                <w:lang w:val="en-US"/>
              </w:rPr>
              <w:instrText>properties</w:instrText>
            </w:r>
            <w:r w:rsidR="00053AE8" w:rsidRPr="002B3AE7">
              <w:rPr>
                <w:b/>
                <w:bCs/>
                <w:szCs w:val="24"/>
              </w:rPr>
              <w:instrText>":{"</w:instrText>
            </w:r>
            <w:r w:rsidR="00053AE8">
              <w:rPr>
                <w:b/>
                <w:bCs/>
                <w:szCs w:val="24"/>
                <w:lang w:val="en-US"/>
              </w:rPr>
              <w:instrText>noteIndex</w:instrText>
            </w:r>
            <w:r w:rsidR="00053AE8" w:rsidRPr="002B3AE7">
              <w:rPr>
                <w:b/>
                <w:bCs/>
                <w:szCs w:val="24"/>
              </w:rPr>
              <w:instrText>":0},"</w:instrText>
            </w:r>
            <w:r w:rsidR="00053AE8">
              <w:rPr>
                <w:b/>
                <w:bCs/>
                <w:szCs w:val="24"/>
                <w:lang w:val="en-US"/>
              </w:rPr>
              <w:instrText>schema</w:instrText>
            </w:r>
            <w:r w:rsidR="00053AE8" w:rsidRPr="002B3AE7">
              <w:rPr>
                <w:b/>
                <w:bCs/>
                <w:szCs w:val="24"/>
              </w:rPr>
              <w:instrText>":"</w:instrText>
            </w:r>
            <w:r w:rsidR="00053AE8">
              <w:rPr>
                <w:b/>
                <w:bCs/>
                <w:szCs w:val="24"/>
                <w:lang w:val="en-US"/>
              </w:rPr>
              <w:instrText>https</w:instrText>
            </w:r>
            <w:r w:rsidR="00053AE8" w:rsidRPr="002B3AE7">
              <w:rPr>
                <w:b/>
                <w:bCs/>
                <w:szCs w:val="24"/>
              </w:rPr>
              <w:instrText>://</w:instrText>
            </w:r>
            <w:r w:rsidR="00053AE8">
              <w:rPr>
                <w:b/>
                <w:bCs/>
                <w:szCs w:val="24"/>
                <w:lang w:val="en-US"/>
              </w:rPr>
              <w:instrText>github</w:instrText>
            </w:r>
            <w:r w:rsidR="00053AE8" w:rsidRPr="002B3AE7">
              <w:rPr>
                <w:b/>
                <w:bCs/>
                <w:szCs w:val="24"/>
              </w:rPr>
              <w:instrText>.</w:instrText>
            </w:r>
            <w:r w:rsidR="00053AE8">
              <w:rPr>
                <w:b/>
                <w:bCs/>
                <w:szCs w:val="24"/>
                <w:lang w:val="en-US"/>
              </w:rPr>
              <w:instrText>com</w:instrText>
            </w:r>
            <w:r w:rsidR="00053AE8" w:rsidRPr="002B3AE7">
              <w:rPr>
                <w:b/>
                <w:bCs/>
                <w:szCs w:val="24"/>
              </w:rPr>
              <w:instrText>/</w:instrText>
            </w:r>
            <w:r w:rsidR="00053AE8">
              <w:rPr>
                <w:b/>
                <w:bCs/>
                <w:szCs w:val="24"/>
                <w:lang w:val="en-US"/>
              </w:rPr>
              <w:instrText>citation</w:instrText>
            </w:r>
            <w:r w:rsidR="00053AE8" w:rsidRPr="002B3AE7">
              <w:rPr>
                <w:b/>
                <w:bCs/>
                <w:szCs w:val="24"/>
              </w:rPr>
              <w:instrText>-</w:instrText>
            </w:r>
            <w:r w:rsidR="00053AE8">
              <w:rPr>
                <w:b/>
                <w:bCs/>
                <w:szCs w:val="24"/>
                <w:lang w:val="en-US"/>
              </w:rPr>
              <w:instrText>style</w:instrText>
            </w:r>
            <w:r w:rsidR="00053AE8" w:rsidRPr="002B3AE7">
              <w:rPr>
                <w:b/>
                <w:bCs/>
                <w:szCs w:val="24"/>
              </w:rPr>
              <w:instrText>-</w:instrText>
            </w:r>
            <w:r w:rsidR="00053AE8">
              <w:rPr>
                <w:b/>
                <w:bCs/>
                <w:szCs w:val="24"/>
                <w:lang w:val="en-US"/>
              </w:rPr>
              <w:instrText>language</w:instrText>
            </w:r>
            <w:r w:rsidR="00053AE8" w:rsidRPr="002B3AE7">
              <w:rPr>
                <w:b/>
                <w:bCs/>
                <w:szCs w:val="24"/>
              </w:rPr>
              <w:instrText>/</w:instrText>
            </w:r>
            <w:r w:rsidR="00053AE8">
              <w:rPr>
                <w:b/>
                <w:bCs/>
                <w:szCs w:val="24"/>
                <w:lang w:val="en-US"/>
              </w:rPr>
              <w:instrText>schema</w:instrText>
            </w:r>
            <w:r w:rsidR="00053AE8" w:rsidRPr="002B3AE7">
              <w:rPr>
                <w:b/>
                <w:bCs/>
                <w:szCs w:val="24"/>
              </w:rPr>
              <w:instrText>/</w:instrText>
            </w:r>
            <w:r w:rsidR="00053AE8">
              <w:rPr>
                <w:b/>
                <w:bCs/>
                <w:szCs w:val="24"/>
                <w:lang w:val="en-US"/>
              </w:rPr>
              <w:instrText>raw</w:instrText>
            </w:r>
            <w:r w:rsidR="00053AE8" w:rsidRPr="002B3AE7">
              <w:rPr>
                <w:b/>
                <w:bCs/>
                <w:szCs w:val="24"/>
              </w:rPr>
              <w:instrText>/</w:instrText>
            </w:r>
            <w:r w:rsidR="00053AE8">
              <w:rPr>
                <w:b/>
                <w:bCs/>
                <w:szCs w:val="24"/>
                <w:lang w:val="en-US"/>
              </w:rPr>
              <w:instrText>master</w:instrText>
            </w:r>
            <w:r w:rsidR="00053AE8" w:rsidRPr="002B3AE7">
              <w:rPr>
                <w:b/>
                <w:bCs/>
                <w:szCs w:val="24"/>
              </w:rPr>
              <w:instrText>/</w:instrText>
            </w:r>
            <w:r w:rsidR="00053AE8">
              <w:rPr>
                <w:b/>
                <w:bCs/>
                <w:szCs w:val="24"/>
                <w:lang w:val="en-US"/>
              </w:rPr>
              <w:instrText>csl</w:instrText>
            </w:r>
            <w:r w:rsidR="00053AE8" w:rsidRPr="002B3AE7">
              <w:rPr>
                <w:b/>
                <w:bCs/>
                <w:szCs w:val="24"/>
              </w:rPr>
              <w:instrText>-</w:instrText>
            </w:r>
            <w:r w:rsidR="00053AE8">
              <w:rPr>
                <w:b/>
                <w:bCs/>
                <w:szCs w:val="24"/>
                <w:lang w:val="en-US"/>
              </w:rPr>
              <w:instrText>citation</w:instrText>
            </w:r>
            <w:r w:rsidR="00053AE8" w:rsidRPr="002B3AE7">
              <w:rPr>
                <w:b/>
                <w:bCs/>
                <w:szCs w:val="24"/>
              </w:rPr>
              <w:instrText>.</w:instrText>
            </w:r>
            <w:r w:rsidR="00053AE8">
              <w:rPr>
                <w:b/>
                <w:bCs/>
                <w:szCs w:val="24"/>
                <w:lang w:val="en-US"/>
              </w:rPr>
              <w:instrText>json</w:instrText>
            </w:r>
            <w:r w:rsidR="00053AE8" w:rsidRPr="002B3AE7">
              <w:rPr>
                <w:b/>
                <w:bCs/>
                <w:szCs w:val="24"/>
              </w:rPr>
              <w:instrText>"}</w:instrText>
            </w:r>
            <w:r w:rsidR="002415BA">
              <w:rPr>
                <w:b/>
                <w:bCs/>
                <w:szCs w:val="24"/>
                <w:lang w:val="en-US"/>
              </w:rPr>
              <w:fldChar w:fldCharType="separate"/>
            </w:r>
            <w:r w:rsidR="00A60C8A" w:rsidRPr="00A60C8A">
              <w:rPr>
                <w:bCs/>
                <w:noProof/>
                <w:szCs w:val="24"/>
              </w:rPr>
              <w:t>[130]</w:t>
            </w:r>
            <w:r w:rsidR="002415BA">
              <w:rPr>
                <w:b/>
                <w:bCs/>
                <w:szCs w:val="24"/>
                <w:lang w:val="en-US"/>
              </w:rPr>
              <w:fldChar w:fldCharType="end"/>
            </w:r>
          </w:p>
        </w:tc>
      </w:tr>
      <w:tr w:rsidR="00C12369" w:rsidRPr="00EA5B5D" w14:paraId="36DCD6F5" w14:textId="77777777" w:rsidTr="00B16826">
        <w:trPr>
          <w:trHeight w:val="329"/>
        </w:trPr>
        <w:tc>
          <w:tcPr>
            <w:tcW w:w="2339" w:type="dxa"/>
            <w:tcBorders>
              <w:top w:val="single" w:sz="4" w:space="0" w:color="auto"/>
              <w:left w:val="single" w:sz="4" w:space="0" w:color="auto"/>
              <w:bottom w:val="single" w:sz="4" w:space="0" w:color="auto"/>
              <w:right w:val="single" w:sz="4" w:space="0" w:color="auto"/>
            </w:tcBorders>
            <w:hideMark/>
          </w:tcPr>
          <w:p w14:paraId="1D909CC8" w14:textId="77777777" w:rsidR="00C12369" w:rsidRPr="00EA5B5D" w:rsidRDefault="00C12369" w:rsidP="00B16826">
            <w:pPr>
              <w:spacing w:line="240" w:lineRule="auto"/>
              <w:ind w:firstLine="0"/>
              <w:jc w:val="left"/>
              <w:rPr>
                <w:szCs w:val="24"/>
              </w:rPr>
            </w:pPr>
            <w:r w:rsidRPr="00EA5B5D">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4FDB6ADD" w14:textId="77777777" w:rsidR="00C12369" w:rsidRPr="00EA5B5D" w:rsidRDefault="00C12369" w:rsidP="00B16826">
            <w:pPr>
              <w:spacing w:line="240" w:lineRule="auto"/>
              <w:ind w:firstLine="0"/>
              <w:jc w:val="left"/>
              <w:rPr>
                <w:szCs w:val="24"/>
              </w:rPr>
            </w:pPr>
            <w:r w:rsidRPr="00EA5B5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2F9F81B1" w14:textId="77777777" w:rsidR="00C12369" w:rsidRPr="00EA5B5D" w:rsidRDefault="00C12369" w:rsidP="00B16826">
            <w:pPr>
              <w:spacing w:line="240" w:lineRule="auto"/>
              <w:ind w:firstLine="0"/>
              <w:jc w:val="left"/>
              <w:rPr>
                <w:szCs w:val="24"/>
              </w:rPr>
            </w:pPr>
            <w:r w:rsidRPr="00EA5B5D">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153F423D" w14:textId="77777777" w:rsidR="00C12369" w:rsidRPr="00EA5B5D" w:rsidRDefault="00C12369" w:rsidP="00B16826">
            <w:pPr>
              <w:spacing w:line="240" w:lineRule="auto"/>
              <w:ind w:firstLine="0"/>
              <w:jc w:val="left"/>
              <w:rPr>
                <w:szCs w:val="24"/>
              </w:rPr>
            </w:pPr>
            <w:r w:rsidRPr="00EA5B5D">
              <w:rPr>
                <w:szCs w:val="24"/>
              </w:rPr>
              <w:t>Дни введения</w:t>
            </w:r>
          </w:p>
        </w:tc>
      </w:tr>
      <w:tr w:rsidR="00C12369" w:rsidRPr="00EA5B5D" w14:paraId="45E44B44" w14:textId="77777777" w:rsidTr="00B16826">
        <w:trPr>
          <w:trHeight w:val="329"/>
        </w:trPr>
        <w:tc>
          <w:tcPr>
            <w:tcW w:w="2339" w:type="dxa"/>
            <w:tcBorders>
              <w:top w:val="single" w:sz="4" w:space="0" w:color="auto"/>
              <w:left w:val="single" w:sz="4" w:space="0" w:color="auto"/>
              <w:bottom w:val="single" w:sz="4" w:space="0" w:color="auto"/>
              <w:right w:val="single" w:sz="4" w:space="0" w:color="auto"/>
            </w:tcBorders>
            <w:hideMark/>
          </w:tcPr>
          <w:p w14:paraId="512F42B4" w14:textId="77777777" w:rsidR="00C12369" w:rsidRPr="00C12369" w:rsidRDefault="00C12369" w:rsidP="00C12369">
            <w:pPr>
              <w:spacing w:line="240" w:lineRule="auto"/>
              <w:ind w:firstLine="0"/>
              <w:jc w:val="left"/>
              <w:rPr>
                <w:szCs w:val="24"/>
              </w:rPr>
            </w:pPr>
            <w:r w:rsidRPr="00C12369">
              <w:rPr>
                <w:szCs w:val="24"/>
              </w:rPr>
              <w:t>Дексаметазон</w:t>
            </w:r>
            <w:r w:rsidR="00D254F2" w:rsidRPr="00D254F2">
              <w:rPr>
                <w:szCs w:val="24"/>
              </w:rPr>
              <w:t>**</w:t>
            </w:r>
          </w:p>
        </w:tc>
        <w:tc>
          <w:tcPr>
            <w:tcW w:w="2339" w:type="dxa"/>
            <w:tcBorders>
              <w:top w:val="single" w:sz="4" w:space="0" w:color="auto"/>
              <w:left w:val="single" w:sz="4" w:space="0" w:color="auto"/>
              <w:bottom w:val="single" w:sz="4" w:space="0" w:color="auto"/>
              <w:right w:val="single" w:sz="4" w:space="0" w:color="auto"/>
            </w:tcBorders>
          </w:tcPr>
          <w:p w14:paraId="1D1EDB18" w14:textId="77777777" w:rsidR="00C12369" w:rsidRPr="00C12369" w:rsidRDefault="00C12369" w:rsidP="00C12369">
            <w:pPr>
              <w:spacing w:line="240" w:lineRule="auto"/>
              <w:ind w:firstLine="0"/>
              <w:jc w:val="left"/>
              <w:rPr>
                <w:szCs w:val="24"/>
              </w:rPr>
            </w:pPr>
            <w:r w:rsidRPr="00C12369">
              <w:rPr>
                <w:szCs w:val="24"/>
              </w:rPr>
              <w:t>40 мг</w:t>
            </w:r>
          </w:p>
        </w:tc>
        <w:tc>
          <w:tcPr>
            <w:tcW w:w="2339" w:type="dxa"/>
            <w:tcBorders>
              <w:top w:val="single" w:sz="4" w:space="0" w:color="auto"/>
              <w:left w:val="single" w:sz="4" w:space="0" w:color="auto"/>
              <w:bottom w:val="single" w:sz="4" w:space="0" w:color="auto"/>
              <w:right w:val="single" w:sz="4" w:space="0" w:color="auto"/>
            </w:tcBorders>
            <w:hideMark/>
          </w:tcPr>
          <w:p w14:paraId="43C7EA2E" w14:textId="77777777" w:rsidR="00C12369" w:rsidRPr="00C12369" w:rsidRDefault="00C12369" w:rsidP="00C12369">
            <w:pPr>
              <w:spacing w:line="240" w:lineRule="auto"/>
              <w:ind w:firstLine="0"/>
              <w:jc w:val="left"/>
              <w:rPr>
                <w:szCs w:val="24"/>
              </w:rPr>
            </w:pPr>
            <w:r w:rsidRPr="00C12369">
              <w:rPr>
                <w:szCs w:val="24"/>
              </w:rPr>
              <w:t>в/в</w:t>
            </w:r>
          </w:p>
        </w:tc>
        <w:tc>
          <w:tcPr>
            <w:tcW w:w="2339" w:type="dxa"/>
            <w:tcBorders>
              <w:top w:val="single" w:sz="4" w:space="0" w:color="auto"/>
              <w:left w:val="single" w:sz="4" w:space="0" w:color="auto"/>
              <w:bottom w:val="single" w:sz="4" w:space="0" w:color="auto"/>
              <w:right w:val="single" w:sz="4" w:space="0" w:color="auto"/>
            </w:tcBorders>
          </w:tcPr>
          <w:p w14:paraId="676FC4F8" w14:textId="77777777" w:rsidR="00C12369" w:rsidRPr="00C12369" w:rsidRDefault="00C12369" w:rsidP="00C12369">
            <w:pPr>
              <w:spacing w:line="240" w:lineRule="auto"/>
              <w:ind w:firstLine="0"/>
              <w:jc w:val="left"/>
              <w:rPr>
                <w:szCs w:val="24"/>
              </w:rPr>
            </w:pPr>
            <w:r w:rsidRPr="00C12369">
              <w:rPr>
                <w:szCs w:val="24"/>
              </w:rPr>
              <w:t>1-4</w:t>
            </w:r>
          </w:p>
        </w:tc>
      </w:tr>
      <w:tr w:rsidR="00C12369" w:rsidRPr="00EA5B5D" w14:paraId="5538AF21" w14:textId="77777777" w:rsidTr="00B16826">
        <w:trPr>
          <w:trHeight w:val="329"/>
        </w:trPr>
        <w:tc>
          <w:tcPr>
            <w:tcW w:w="2339" w:type="dxa"/>
            <w:tcBorders>
              <w:top w:val="single" w:sz="4" w:space="0" w:color="auto"/>
              <w:left w:val="single" w:sz="4" w:space="0" w:color="auto"/>
              <w:bottom w:val="single" w:sz="4" w:space="0" w:color="auto"/>
              <w:right w:val="single" w:sz="4" w:space="0" w:color="auto"/>
            </w:tcBorders>
            <w:hideMark/>
          </w:tcPr>
          <w:p w14:paraId="62283C21" w14:textId="77777777" w:rsidR="00C12369" w:rsidRPr="00C12369" w:rsidRDefault="000E2605" w:rsidP="00C12369">
            <w:pPr>
              <w:spacing w:line="240" w:lineRule="auto"/>
              <w:ind w:firstLine="0"/>
              <w:jc w:val="left"/>
              <w:rPr>
                <w:szCs w:val="24"/>
              </w:rPr>
            </w:pPr>
            <w:r w:rsidRPr="002415BA">
              <w:rPr>
                <w:szCs w:val="24"/>
              </w:rPr>
              <w:t>#</w:t>
            </w:r>
            <w:r w:rsidR="00C12369" w:rsidRPr="00C12369">
              <w:rPr>
                <w:szCs w:val="24"/>
              </w:rPr>
              <w:t>Цисплатин</w:t>
            </w:r>
            <w:r w:rsidR="00D254F2" w:rsidRPr="00D254F2">
              <w:rPr>
                <w:szCs w:val="24"/>
              </w:rPr>
              <w:t>**</w:t>
            </w:r>
          </w:p>
        </w:tc>
        <w:tc>
          <w:tcPr>
            <w:tcW w:w="2339" w:type="dxa"/>
            <w:tcBorders>
              <w:top w:val="single" w:sz="4" w:space="0" w:color="auto"/>
              <w:left w:val="single" w:sz="4" w:space="0" w:color="auto"/>
              <w:bottom w:val="single" w:sz="4" w:space="0" w:color="auto"/>
              <w:right w:val="single" w:sz="4" w:space="0" w:color="auto"/>
            </w:tcBorders>
            <w:hideMark/>
          </w:tcPr>
          <w:p w14:paraId="3C97A251" w14:textId="77777777" w:rsidR="00C12369" w:rsidRPr="00C12369" w:rsidRDefault="00C12369" w:rsidP="00C12369">
            <w:pPr>
              <w:spacing w:line="240" w:lineRule="auto"/>
              <w:ind w:firstLine="0"/>
              <w:jc w:val="left"/>
              <w:rPr>
                <w:szCs w:val="24"/>
              </w:rPr>
            </w:pPr>
            <w:r w:rsidRPr="00C12369">
              <w:rPr>
                <w:szCs w:val="24"/>
              </w:rPr>
              <w:t>100 мг/м</w:t>
            </w:r>
            <w:r w:rsidRPr="00C12369">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203ADF96" w14:textId="77777777" w:rsidR="00C12369" w:rsidRPr="00C12369" w:rsidRDefault="00C12369" w:rsidP="00C12369">
            <w:pPr>
              <w:spacing w:line="240" w:lineRule="auto"/>
              <w:ind w:firstLine="0"/>
              <w:jc w:val="left"/>
              <w:rPr>
                <w:szCs w:val="24"/>
              </w:rPr>
            </w:pPr>
            <w:r w:rsidRPr="00C12369">
              <w:rPr>
                <w:szCs w:val="24"/>
              </w:rPr>
              <w:t>в/в кап. 24-часовая инфузия</w:t>
            </w:r>
          </w:p>
        </w:tc>
        <w:tc>
          <w:tcPr>
            <w:tcW w:w="2339" w:type="dxa"/>
            <w:tcBorders>
              <w:top w:val="single" w:sz="4" w:space="0" w:color="auto"/>
              <w:left w:val="single" w:sz="4" w:space="0" w:color="auto"/>
              <w:bottom w:val="single" w:sz="4" w:space="0" w:color="auto"/>
              <w:right w:val="single" w:sz="4" w:space="0" w:color="auto"/>
            </w:tcBorders>
            <w:hideMark/>
          </w:tcPr>
          <w:p w14:paraId="0DA02F06" w14:textId="77777777" w:rsidR="00C12369" w:rsidRPr="00C12369" w:rsidRDefault="00C12369" w:rsidP="00C12369">
            <w:pPr>
              <w:spacing w:line="240" w:lineRule="auto"/>
              <w:ind w:firstLine="0"/>
              <w:jc w:val="left"/>
              <w:rPr>
                <w:szCs w:val="24"/>
              </w:rPr>
            </w:pPr>
            <w:r w:rsidRPr="00C12369">
              <w:rPr>
                <w:szCs w:val="24"/>
              </w:rPr>
              <w:t>1</w:t>
            </w:r>
          </w:p>
        </w:tc>
      </w:tr>
      <w:tr w:rsidR="00C12369" w:rsidRPr="00EA5B5D" w14:paraId="158AA03C" w14:textId="77777777" w:rsidTr="00B16826">
        <w:trPr>
          <w:trHeight w:val="329"/>
        </w:trPr>
        <w:tc>
          <w:tcPr>
            <w:tcW w:w="2339" w:type="dxa"/>
            <w:tcBorders>
              <w:top w:val="single" w:sz="4" w:space="0" w:color="auto"/>
              <w:left w:val="single" w:sz="4" w:space="0" w:color="auto"/>
              <w:bottom w:val="single" w:sz="4" w:space="0" w:color="auto"/>
              <w:right w:val="single" w:sz="4" w:space="0" w:color="auto"/>
            </w:tcBorders>
          </w:tcPr>
          <w:p w14:paraId="7AA3566F" w14:textId="77777777" w:rsidR="00C12369" w:rsidRPr="00C12369" w:rsidRDefault="00C12369" w:rsidP="00C12369">
            <w:pPr>
              <w:spacing w:line="240" w:lineRule="auto"/>
              <w:ind w:firstLine="0"/>
              <w:jc w:val="left"/>
              <w:rPr>
                <w:szCs w:val="24"/>
              </w:rPr>
            </w:pPr>
            <w:r w:rsidRPr="00C12369">
              <w:rPr>
                <w:szCs w:val="24"/>
              </w:rPr>
              <w:t>Цитарабин</w:t>
            </w:r>
            <w:r w:rsidR="00D254F2" w:rsidRPr="00D254F2">
              <w:rPr>
                <w:szCs w:val="24"/>
              </w:rPr>
              <w:t>**</w:t>
            </w:r>
          </w:p>
        </w:tc>
        <w:tc>
          <w:tcPr>
            <w:tcW w:w="2339" w:type="dxa"/>
            <w:tcBorders>
              <w:top w:val="single" w:sz="4" w:space="0" w:color="auto"/>
              <w:left w:val="single" w:sz="4" w:space="0" w:color="auto"/>
              <w:bottom w:val="single" w:sz="4" w:space="0" w:color="auto"/>
              <w:right w:val="single" w:sz="4" w:space="0" w:color="auto"/>
            </w:tcBorders>
          </w:tcPr>
          <w:p w14:paraId="6737CB2B" w14:textId="77777777" w:rsidR="00C12369" w:rsidRPr="00C12369" w:rsidRDefault="00C12369" w:rsidP="00C12369">
            <w:pPr>
              <w:spacing w:line="240" w:lineRule="auto"/>
              <w:ind w:firstLine="0"/>
              <w:jc w:val="left"/>
              <w:rPr>
                <w:szCs w:val="24"/>
              </w:rPr>
            </w:pPr>
            <w:r w:rsidRPr="00C12369">
              <w:rPr>
                <w:szCs w:val="24"/>
              </w:rPr>
              <w:t>2 г/м</w:t>
            </w:r>
            <w:r w:rsidRPr="00C12369">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627A31B9" w14:textId="77777777" w:rsidR="00C12369" w:rsidRPr="00C12369" w:rsidRDefault="00C12369" w:rsidP="00C12369">
            <w:pPr>
              <w:spacing w:line="240" w:lineRule="auto"/>
              <w:ind w:firstLine="0"/>
              <w:jc w:val="left"/>
              <w:rPr>
                <w:szCs w:val="24"/>
              </w:rPr>
            </w:pPr>
            <w:r w:rsidRPr="00C12369">
              <w:rPr>
                <w:szCs w:val="24"/>
              </w:rPr>
              <w:t>в/в кап. 2 раза в день</w:t>
            </w:r>
          </w:p>
        </w:tc>
        <w:tc>
          <w:tcPr>
            <w:tcW w:w="2339" w:type="dxa"/>
            <w:tcBorders>
              <w:top w:val="single" w:sz="4" w:space="0" w:color="auto"/>
              <w:left w:val="single" w:sz="4" w:space="0" w:color="auto"/>
              <w:bottom w:val="single" w:sz="4" w:space="0" w:color="auto"/>
              <w:right w:val="single" w:sz="4" w:space="0" w:color="auto"/>
            </w:tcBorders>
          </w:tcPr>
          <w:p w14:paraId="04D25EC7" w14:textId="77777777" w:rsidR="00C12369" w:rsidRPr="00C12369" w:rsidRDefault="00C12369" w:rsidP="00C12369">
            <w:pPr>
              <w:spacing w:line="240" w:lineRule="auto"/>
              <w:ind w:firstLine="0"/>
              <w:jc w:val="left"/>
              <w:rPr>
                <w:szCs w:val="24"/>
              </w:rPr>
            </w:pPr>
            <w:r w:rsidRPr="00C12369">
              <w:rPr>
                <w:szCs w:val="24"/>
              </w:rPr>
              <w:t>2</w:t>
            </w:r>
          </w:p>
        </w:tc>
      </w:tr>
      <w:tr w:rsidR="001E738E" w:rsidRPr="00EA5B5D" w14:paraId="6B8B3F39" w14:textId="77777777" w:rsidTr="00B16826">
        <w:trPr>
          <w:trHeight w:val="329"/>
        </w:trPr>
        <w:tc>
          <w:tcPr>
            <w:tcW w:w="9356" w:type="dxa"/>
            <w:gridSpan w:val="4"/>
            <w:tcBorders>
              <w:top w:val="nil"/>
              <w:left w:val="nil"/>
              <w:bottom w:val="single" w:sz="4" w:space="0" w:color="auto"/>
              <w:right w:val="nil"/>
            </w:tcBorders>
          </w:tcPr>
          <w:p w14:paraId="0231CA29" w14:textId="77777777" w:rsidR="00015B13" w:rsidRPr="002415BA" w:rsidRDefault="00015B13" w:rsidP="00B16826">
            <w:pPr>
              <w:spacing w:line="240" w:lineRule="auto"/>
              <w:ind w:firstLine="0"/>
              <w:jc w:val="left"/>
              <w:rPr>
                <w:b/>
                <w:bCs/>
                <w:szCs w:val="24"/>
              </w:rPr>
            </w:pPr>
          </w:p>
          <w:p w14:paraId="4B252863" w14:textId="65BA8641" w:rsidR="001E738E" w:rsidRPr="001E738E" w:rsidRDefault="001E738E" w:rsidP="00B16826">
            <w:pPr>
              <w:spacing w:line="240" w:lineRule="auto"/>
              <w:ind w:firstLine="0"/>
              <w:jc w:val="left"/>
              <w:rPr>
                <w:b/>
                <w:bCs/>
                <w:szCs w:val="24"/>
              </w:rPr>
            </w:pPr>
            <w:r>
              <w:rPr>
                <w:b/>
                <w:bCs/>
                <w:szCs w:val="24"/>
                <w:lang w:val="en-US"/>
              </w:rPr>
              <w:t>ESHAP</w:t>
            </w:r>
            <w:r w:rsidR="002415BA" w:rsidRPr="005B03CD">
              <w:rPr>
                <w:b/>
                <w:bCs/>
                <w:szCs w:val="24"/>
              </w:rPr>
              <w:t xml:space="preserve"> </w:t>
            </w:r>
            <w:r w:rsidR="002415BA">
              <w:rPr>
                <w:b/>
                <w:bCs/>
                <w:szCs w:val="24"/>
                <w:lang w:val="en-US"/>
              </w:rPr>
              <w:fldChar w:fldCharType="begin" w:fldLock="1"/>
            </w:r>
            <w:r w:rsidR="00053AE8">
              <w:rPr>
                <w:b/>
                <w:bCs/>
                <w:szCs w:val="24"/>
                <w:lang w:val="en-US"/>
              </w:rPr>
              <w:instrText>ADDIN</w:instrText>
            </w:r>
            <w:r w:rsidR="00053AE8" w:rsidRPr="002B3AE7">
              <w:rPr>
                <w:b/>
                <w:bCs/>
                <w:szCs w:val="24"/>
              </w:rPr>
              <w:instrText xml:space="preserve"> </w:instrText>
            </w:r>
            <w:r w:rsidR="00053AE8">
              <w:rPr>
                <w:b/>
                <w:bCs/>
                <w:szCs w:val="24"/>
                <w:lang w:val="en-US"/>
              </w:rPr>
              <w:instrText>CSL</w:instrText>
            </w:r>
            <w:r w:rsidR="00053AE8" w:rsidRPr="002B3AE7">
              <w:rPr>
                <w:b/>
                <w:bCs/>
                <w:szCs w:val="24"/>
              </w:rPr>
              <w:instrText>_</w:instrText>
            </w:r>
            <w:r w:rsidR="00053AE8">
              <w:rPr>
                <w:b/>
                <w:bCs/>
                <w:szCs w:val="24"/>
                <w:lang w:val="en-US"/>
              </w:rPr>
              <w:instrText>CITATION</w:instrText>
            </w:r>
            <w:r w:rsidR="00053AE8" w:rsidRPr="002B3AE7">
              <w:rPr>
                <w:b/>
                <w:bCs/>
                <w:szCs w:val="24"/>
              </w:rPr>
              <w:instrText xml:space="preserve"> {"</w:instrText>
            </w:r>
            <w:r w:rsidR="00053AE8">
              <w:rPr>
                <w:b/>
                <w:bCs/>
                <w:szCs w:val="24"/>
                <w:lang w:val="en-US"/>
              </w:rPr>
              <w:instrText>citationItems</w:instrText>
            </w:r>
            <w:r w:rsidR="00053AE8" w:rsidRPr="002B3AE7">
              <w:rPr>
                <w:b/>
                <w:bCs/>
                <w:szCs w:val="24"/>
              </w:rPr>
              <w:instrText>":[{"</w:instrText>
            </w:r>
            <w:r w:rsidR="00053AE8">
              <w:rPr>
                <w:b/>
                <w:bCs/>
                <w:szCs w:val="24"/>
                <w:lang w:val="en-US"/>
              </w:rPr>
              <w:instrText>id</w:instrText>
            </w:r>
            <w:r w:rsidR="00053AE8" w:rsidRPr="002B3AE7">
              <w:rPr>
                <w:b/>
                <w:bCs/>
                <w:szCs w:val="24"/>
              </w:rPr>
              <w:instrText>":"</w:instrText>
            </w:r>
            <w:r w:rsidR="00053AE8">
              <w:rPr>
                <w:b/>
                <w:bCs/>
                <w:szCs w:val="24"/>
                <w:lang w:val="en-US"/>
              </w:rPr>
              <w:instrText>ITEM</w:instrText>
            </w:r>
            <w:r w:rsidR="00053AE8" w:rsidRPr="002B3AE7">
              <w:rPr>
                <w:b/>
                <w:bCs/>
                <w:szCs w:val="24"/>
              </w:rPr>
              <w:instrText>-1","</w:instrText>
            </w:r>
            <w:r w:rsidR="00053AE8">
              <w:rPr>
                <w:b/>
                <w:bCs/>
                <w:szCs w:val="24"/>
                <w:lang w:val="en-US"/>
              </w:rPr>
              <w:instrText>itemData</w:instrText>
            </w:r>
            <w:r w:rsidR="00053AE8" w:rsidRPr="002B3AE7">
              <w:rPr>
                <w:b/>
                <w:bCs/>
                <w:szCs w:val="24"/>
              </w:rPr>
              <w:instrText>":{"</w:instrText>
            </w:r>
            <w:r w:rsidR="00053AE8">
              <w:rPr>
                <w:b/>
                <w:bCs/>
                <w:szCs w:val="24"/>
                <w:lang w:val="en-US"/>
              </w:rPr>
              <w:instrText>ISSN</w:instrText>
            </w:r>
            <w:r w:rsidR="00053AE8" w:rsidRPr="002B3AE7">
              <w:rPr>
                <w:b/>
                <w:bCs/>
                <w:szCs w:val="24"/>
              </w:rPr>
              <w:instrText>":"2008-3009","</w:instrText>
            </w:r>
            <w:r w:rsidR="00053AE8">
              <w:rPr>
                <w:b/>
                <w:bCs/>
                <w:szCs w:val="24"/>
                <w:lang w:val="en-US"/>
              </w:rPr>
              <w:instrText>PMID</w:instrText>
            </w:r>
            <w:r w:rsidR="00053AE8" w:rsidRPr="002B3AE7">
              <w:rPr>
                <w:b/>
                <w:bCs/>
                <w:szCs w:val="24"/>
              </w:rPr>
              <w:instrText>":"25802695","</w:instrText>
            </w:r>
            <w:r w:rsidR="00053AE8">
              <w:rPr>
                <w:b/>
                <w:bCs/>
                <w:szCs w:val="24"/>
                <w:lang w:val="en-US"/>
              </w:rPr>
              <w:instrText>abstract</w:instrText>
            </w:r>
            <w:r w:rsidR="00053AE8" w:rsidRPr="002B3AE7">
              <w:rPr>
                <w:b/>
                <w:bCs/>
                <w:szCs w:val="24"/>
              </w:rPr>
              <w:instrText>":"</w:instrText>
            </w:r>
            <w:r w:rsidR="00053AE8">
              <w:rPr>
                <w:b/>
                <w:bCs/>
                <w:szCs w:val="24"/>
                <w:lang w:val="en-US"/>
              </w:rPr>
              <w:instrText>BACKGROUND</w:instrText>
            </w:r>
            <w:r w:rsidR="00053AE8" w:rsidRPr="002B3AE7">
              <w:rPr>
                <w:b/>
                <w:bCs/>
                <w:szCs w:val="24"/>
              </w:rPr>
              <w:instrText xml:space="preserve"> </w:instrText>
            </w:r>
            <w:r w:rsidR="00053AE8">
              <w:rPr>
                <w:b/>
                <w:bCs/>
                <w:szCs w:val="24"/>
                <w:lang w:val="en-US"/>
              </w:rPr>
              <w:instrText>Despite</w:instrText>
            </w:r>
            <w:r w:rsidR="00053AE8" w:rsidRPr="002B3AE7">
              <w:rPr>
                <w:b/>
                <w:bCs/>
                <w:szCs w:val="24"/>
              </w:rPr>
              <w:instrText xml:space="preserve"> </w:instrText>
            </w:r>
            <w:r w:rsidR="00053AE8">
              <w:rPr>
                <w:b/>
                <w:bCs/>
                <w:szCs w:val="24"/>
                <w:lang w:val="en-US"/>
              </w:rPr>
              <w:instrText>multiple</w:instrText>
            </w:r>
            <w:r w:rsidR="00053AE8" w:rsidRPr="002B3AE7">
              <w:rPr>
                <w:b/>
                <w:bCs/>
                <w:szCs w:val="24"/>
              </w:rPr>
              <w:instrText xml:space="preserve"> </w:instrText>
            </w:r>
            <w:r w:rsidR="00053AE8">
              <w:rPr>
                <w:b/>
                <w:bCs/>
                <w:szCs w:val="24"/>
                <w:lang w:val="en-US"/>
              </w:rPr>
              <w:instrText>published</w:instrText>
            </w:r>
            <w:r w:rsidR="00053AE8" w:rsidRPr="002B3AE7">
              <w:rPr>
                <w:b/>
                <w:bCs/>
                <w:szCs w:val="24"/>
              </w:rPr>
              <w:instrText xml:space="preserve"> </w:instrText>
            </w:r>
            <w:r w:rsidR="00053AE8">
              <w:rPr>
                <w:b/>
                <w:bCs/>
                <w:szCs w:val="24"/>
                <w:lang w:val="en-US"/>
              </w:rPr>
              <w:instrText>studies</w:instrText>
            </w:r>
            <w:r w:rsidR="00053AE8" w:rsidRPr="002B3AE7">
              <w:rPr>
                <w:b/>
                <w:bCs/>
                <w:szCs w:val="24"/>
              </w:rPr>
              <w:instrText xml:space="preserve"> </w:instrText>
            </w:r>
            <w:r w:rsidR="00053AE8">
              <w:rPr>
                <w:b/>
                <w:bCs/>
                <w:szCs w:val="24"/>
                <w:lang w:val="en-US"/>
              </w:rPr>
              <w:instrText>reporting</w:instrText>
            </w:r>
            <w:r w:rsidR="00053AE8" w:rsidRPr="002B3AE7">
              <w:rPr>
                <w:b/>
                <w:bCs/>
                <w:szCs w:val="24"/>
              </w:rPr>
              <w:instrText xml:space="preserve"> </w:instrText>
            </w:r>
            <w:r w:rsidR="00053AE8">
              <w:rPr>
                <w:b/>
                <w:bCs/>
                <w:szCs w:val="24"/>
                <w:lang w:val="en-US"/>
              </w:rPr>
              <w:instrText>result</w:instrText>
            </w:r>
            <w:r w:rsidR="00053AE8" w:rsidRPr="002B3AE7">
              <w:rPr>
                <w:b/>
                <w:bCs/>
                <w:szCs w:val="24"/>
              </w:rPr>
              <w:instrText xml:space="preserve"> </w:instrText>
            </w:r>
            <w:r w:rsidR="00053AE8">
              <w:rPr>
                <w:b/>
                <w:bCs/>
                <w:szCs w:val="24"/>
                <w:lang w:val="en-US"/>
              </w:rPr>
              <w:instrText>of</w:instrText>
            </w:r>
            <w:r w:rsidR="00053AE8" w:rsidRPr="002B3AE7">
              <w:rPr>
                <w:b/>
                <w:bCs/>
                <w:szCs w:val="24"/>
              </w:rPr>
              <w:instrText xml:space="preserve"> </w:instrText>
            </w:r>
            <w:r w:rsidR="00053AE8">
              <w:rPr>
                <w:b/>
                <w:bCs/>
                <w:szCs w:val="24"/>
                <w:lang w:val="en-US"/>
              </w:rPr>
              <w:instrText>salvage</w:instrText>
            </w:r>
            <w:r w:rsidR="00053AE8" w:rsidRPr="002B3AE7">
              <w:rPr>
                <w:b/>
                <w:bCs/>
                <w:szCs w:val="24"/>
              </w:rPr>
              <w:instrText xml:space="preserve"> </w:instrText>
            </w:r>
            <w:r w:rsidR="00053AE8">
              <w:rPr>
                <w:b/>
                <w:bCs/>
                <w:szCs w:val="24"/>
                <w:lang w:val="en-US"/>
              </w:rPr>
              <w:instrText>regimens</w:instrText>
            </w:r>
            <w:r w:rsidR="00053AE8" w:rsidRPr="002B3AE7">
              <w:rPr>
                <w:b/>
                <w:bCs/>
                <w:szCs w:val="24"/>
              </w:rPr>
              <w:instrText xml:space="preserve"> </w:instrText>
            </w:r>
            <w:r w:rsidR="00053AE8">
              <w:rPr>
                <w:b/>
                <w:bCs/>
                <w:szCs w:val="24"/>
                <w:lang w:val="en-US"/>
              </w:rPr>
              <w:instrText>for</w:instrText>
            </w:r>
            <w:r w:rsidR="00053AE8" w:rsidRPr="002B3AE7">
              <w:rPr>
                <w:b/>
                <w:bCs/>
                <w:szCs w:val="24"/>
              </w:rPr>
              <w:instrText xml:space="preserve"> </w:instrText>
            </w:r>
            <w:r w:rsidR="00053AE8">
              <w:rPr>
                <w:b/>
                <w:bCs/>
                <w:szCs w:val="24"/>
                <w:lang w:val="en-US"/>
              </w:rPr>
              <w:instrText>relapsed</w:instrText>
            </w:r>
            <w:r w:rsidR="00053AE8" w:rsidRPr="002B3AE7">
              <w:rPr>
                <w:b/>
                <w:bCs/>
                <w:szCs w:val="24"/>
              </w:rPr>
              <w:instrText xml:space="preserve"> </w:instrText>
            </w:r>
            <w:r w:rsidR="00053AE8">
              <w:rPr>
                <w:b/>
                <w:bCs/>
                <w:szCs w:val="24"/>
                <w:lang w:val="en-US"/>
              </w:rPr>
              <w:instrText>and</w:instrText>
            </w:r>
            <w:r w:rsidR="00053AE8" w:rsidRPr="002B3AE7">
              <w:rPr>
                <w:b/>
                <w:bCs/>
                <w:szCs w:val="24"/>
              </w:rPr>
              <w:instrText xml:space="preserve"> </w:instrText>
            </w:r>
            <w:r w:rsidR="00053AE8">
              <w:rPr>
                <w:b/>
                <w:bCs/>
                <w:szCs w:val="24"/>
                <w:lang w:val="en-US"/>
              </w:rPr>
              <w:instrText>refractory</w:instrText>
            </w:r>
            <w:r w:rsidR="00053AE8" w:rsidRPr="002B3AE7">
              <w:rPr>
                <w:b/>
                <w:bCs/>
                <w:szCs w:val="24"/>
              </w:rPr>
              <w:instrText xml:space="preserve"> </w:instrText>
            </w:r>
            <w:r w:rsidR="00053AE8">
              <w:rPr>
                <w:b/>
                <w:bCs/>
                <w:szCs w:val="24"/>
                <w:lang w:val="en-US"/>
              </w:rPr>
              <w:instrText>Hodgkin</w:instrText>
            </w:r>
            <w:r w:rsidR="00053AE8" w:rsidRPr="002B3AE7">
              <w:rPr>
                <w:b/>
                <w:bCs/>
                <w:szCs w:val="24"/>
              </w:rPr>
              <w:instrText>'</w:instrText>
            </w:r>
            <w:r w:rsidR="00053AE8">
              <w:rPr>
                <w:b/>
                <w:bCs/>
                <w:szCs w:val="24"/>
                <w:lang w:val="en-US"/>
              </w:rPr>
              <w:instrText>s</w:instrText>
            </w:r>
            <w:r w:rsidR="00053AE8" w:rsidRPr="002B3AE7">
              <w:rPr>
                <w:b/>
                <w:bCs/>
                <w:szCs w:val="24"/>
              </w:rPr>
              <w:instrText xml:space="preserve"> </w:instrText>
            </w:r>
            <w:r w:rsidR="00053AE8">
              <w:rPr>
                <w:b/>
                <w:bCs/>
                <w:szCs w:val="24"/>
                <w:lang w:val="en-US"/>
              </w:rPr>
              <w:instrText>lymphoma</w:instrText>
            </w:r>
            <w:r w:rsidR="00053AE8" w:rsidRPr="002B3AE7">
              <w:rPr>
                <w:b/>
                <w:bCs/>
                <w:szCs w:val="24"/>
              </w:rPr>
              <w:instrText xml:space="preserve">, </w:instrText>
            </w:r>
            <w:r w:rsidR="00053AE8">
              <w:rPr>
                <w:b/>
                <w:bCs/>
                <w:szCs w:val="24"/>
                <w:lang w:val="en-US"/>
              </w:rPr>
              <w:instrText>there</w:instrText>
            </w:r>
            <w:r w:rsidR="00053AE8" w:rsidRPr="002B3AE7">
              <w:rPr>
                <w:b/>
                <w:bCs/>
                <w:szCs w:val="24"/>
              </w:rPr>
              <w:instrText xml:space="preserve"> </w:instrText>
            </w:r>
            <w:r w:rsidR="00053AE8">
              <w:rPr>
                <w:b/>
                <w:bCs/>
                <w:szCs w:val="24"/>
                <w:lang w:val="en-US"/>
              </w:rPr>
              <w:instrText>are</w:instrText>
            </w:r>
            <w:r w:rsidR="00053AE8" w:rsidRPr="002B3AE7">
              <w:rPr>
                <w:b/>
                <w:bCs/>
                <w:szCs w:val="24"/>
              </w:rPr>
              <w:instrText xml:space="preserve"> </w:instrText>
            </w:r>
            <w:r w:rsidR="00053AE8">
              <w:rPr>
                <w:b/>
                <w:bCs/>
                <w:szCs w:val="24"/>
                <w:lang w:val="en-US"/>
              </w:rPr>
              <w:instrText>no</w:instrText>
            </w:r>
            <w:r w:rsidR="00053AE8" w:rsidRPr="002B3AE7">
              <w:rPr>
                <w:b/>
                <w:bCs/>
                <w:szCs w:val="24"/>
              </w:rPr>
              <w:instrText xml:space="preserve"> </w:instrText>
            </w:r>
            <w:r w:rsidR="00053AE8">
              <w:rPr>
                <w:b/>
                <w:bCs/>
                <w:szCs w:val="24"/>
                <w:lang w:val="en-US"/>
              </w:rPr>
              <w:instrText>comparisons</w:instrText>
            </w:r>
            <w:r w:rsidR="00053AE8" w:rsidRPr="002B3AE7">
              <w:rPr>
                <w:b/>
                <w:bCs/>
                <w:szCs w:val="24"/>
              </w:rPr>
              <w:instrText xml:space="preserve"> </w:instrText>
            </w:r>
            <w:r w:rsidR="00053AE8">
              <w:rPr>
                <w:b/>
                <w:bCs/>
                <w:szCs w:val="24"/>
                <w:lang w:val="en-US"/>
              </w:rPr>
              <w:instrText>of</w:instrText>
            </w:r>
            <w:r w:rsidR="00053AE8" w:rsidRPr="002B3AE7">
              <w:rPr>
                <w:b/>
                <w:bCs/>
                <w:szCs w:val="24"/>
              </w:rPr>
              <w:instrText xml:space="preserve"> </w:instrText>
            </w:r>
            <w:r w:rsidR="00053AE8">
              <w:rPr>
                <w:b/>
                <w:bCs/>
                <w:szCs w:val="24"/>
                <w:lang w:val="en-US"/>
              </w:rPr>
              <w:instrText>different</w:instrText>
            </w:r>
            <w:r w:rsidR="00053AE8" w:rsidRPr="002B3AE7">
              <w:rPr>
                <w:b/>
                <w:bCs/>
                <w:szCs w:val="24"/>
              </w:rPr>
              <w:instrText xml:space="preserve"> </w:instrText>
            </w:r>
            <w:r w:rsidR="00053AE8">
              <w:rPr>
                <w:b/>
                <w:bCs/>
                <w:szCs w:val="24"/>
                <w:lang w:val="en-US"/>
              </w:rPr>
              <w:instrText>combinations</w:instrText>
            </w:r>
            <w:r w:rsidR="00053AE8" w:rsidRPr="002B3AE7">
              <w:rPr>
                <w:b/>
                <w:bCs/>
                <w:szCs w:val="24"/>
              </w:rPr>
              <w:instrText xml:space="preserve">. </w:instrText>
            </w:r>
            <w:r w:rsidR="00053AE8">
              <w:rPr>
                <w:b/>
                <w:bCs/>
                <w:szCs w:val="24"/>
                <w:lang w:val="en-US"/>
              </w:rPr>
              <w:instrText>PATIENTS</w:instrText>
            </w:r>
            <w:r w:rsidR="00053AE8" w:rsidRPr="002B3AE7">
              <w:rPr>
                <w:b/>
                <w:bCs/>
                <w:szCs w:val="24"/>
              </w:rPr>
              <w:instrText xml:space="preserve"> </w:instrText>
            </w:r>
            <w:r w:rsidR="00053AE8">
              <w:rPr>
                <w:b/>
                <w:bCs/>
                <w:szCs w:val="24"/>
                <w:lang w:val="en-US"/>
              </w:rPr>
              <w:instrText>AND</w:instrText>
            </w:r>
            <w:r w:rsidR="00053AE8" w:rsidRPr="002B3AE7">
              <w:rPr>
                <w:b/>
                <w:bCs/>
                <w:szCs w:val="24"/>
              </w:rPr>
              <w:instrText xml:space="preserve"> </w:instrText>
            </w:r>
            <w:r w:rsidR="00053AE8">
              <w:rPr>
                <w:b/>
                <w:bCs/>
                <w:szCs w:val="24"/>
                <w:lang w:val="en-US"/>
              </w:rPr>
              <w:instrText>METHODS</w:instrText>
            </w:r>
            <w:r w:rsidR="00053AE8" w:rsidRPr="002B3AE7">
              <w:rPr>
                <w:b/>
                <w:bCs/>
                <w:szCs w:val="24"/>
              </w:rPr>
              <w:instrText xml:space="preserve"> </w:instrText>
            </w:r>
            <w:r w:rsidR="00053AE8">
              <w:rPr>
                <w:b/>
                <w:bCs/>
                <w:szCs w:val="24"/>
                <w:lang w:val="en-US"/>
              </w:rPr>
              <w:instrText>A</w:instrText>
            </w:r>
            <w:r w:rsidR="00053AE8" w:rsidRPr="002B3AE7">
              <w:rPr>
                <w:b/>
                <w:bCs/>
                <w:szCs w:val="24"/>
              </w:rPr>
              <w:instrText xml:space="preserve"> </w:instrText>
            </w:r>
            <w:r w:rsidR="00053AE8">
              <w:rPr>
                <w:b/>
                <w:bCs/>
                <w:szCs w:val="24"/>
                <w:lang w:val="en-US"/>
              </w:rPr>
              <w:instrText>Total</w:instrText>
            </w:r>
            <w:r w:rsidR="00053AE8" w:rsidRPr="002B3AE7">
              <w:rPr>
                <w:b/>
                <w:bCs/>
                <w:szCs w:val="24"/>
              </w:rPr>
              <w:instrText xml:space="preserve"> </w:instrText>
            </w:r>
            <w:r w:rsidR="00053AE8">
              <w:rPr>
                <w:b/>
                <w:bCs/>
                <w:szCs w:val="24"/>
                <w:lang w:val="en-US"/>
              </w:rPr>
              <w:instrText>of</w:instrText>
            </w:r>
            <w:r w:rsidR="00053AE8" w:rsidRPr="002B3AE7">
              <w:rPr>
                <w:b/>
                <w:bCs/>
                <w:szCs w:val="24"/>
              </w:rPr>
              <w:instrText xml:space="preserve"> 44 </w:instrText>
            </w:r>
            <w:r w:rsidR="00053AE8">
              <w:rPr>
                <w:b/>
                <w:bCs/>
                <w:szCs w:val="24"/>
                <w:lang w:val="en-US"/>
              </w:rPr>
              <w:instrText>patients</w:instrText>
            </w:r>
            <w:r w:rsidR="00053AE8" w:rsidRPr="002B3AE7">
              <w:rPr>
                <w:b/>
                <w:bCs/>
                <w:szCs w:val="24"/>
              </w:rPr>
              <w:instrText xml:space="preserve"> </w:instrText>
            </w:r>
            <w:r w:rsidR="00053AE8">
              <w:rPr>
                <w:b/>
                <w:bCs/>
                <w:szCs w:val="24"/>
                <w:lang w:val="en-US"/>
              </w:rPr>
              <w:instrText>identified</w:instrText>
            </w:r>
            <w:r w:rsidR="00053AE8" w:rsidRPr="002B3AE7">
              <w:rPr>
                <w:b/>
                <w:bCs/>
                <w:szCs w:val="24"/>
              </w:rPr>
              <w:instrText xml:space="preserve"> </w:instrText>
            </w:r>
            <w:r w:rsidR="00053AE8">
              <w:rPr>
                <w:b/>
                <w:bCs/>
                <w:szCs w:val="24"/>
                <w:lang w:val="en-US"/>
              </w:rPr>
              <w:instrText>with</w:instrText>
            </w:r>
            <w:r w:rsidR="00053AE8" w:rsidRPr="002B3AE7">
              <w:rPr>
                <w:b/>
                <w:bCs/>
                <w:szCs w:val="24"/>
              </w:rPr>
              <w:instrText xml:space="preserve"> </w:instrText>
            </w:r>
            <w:r w:rsidR="00053AE8">
              <w:rPr>
                <w:b/>
                <w:bCs/>
                <w:szCs w:val="24"/>
                <w:lang w:val="en-US"/>
              </w:rPr>
              <w:instrText>refractory</w:instrText>
            </w:r>
            <w:r w:rsidR="00053AE8" w:rsidRPr="002B3AE7">
              <w:rPr>
                <w:b/>
                <w:bCs/>
                <w:szCs w:val="24"/>
              </w:rPr>
              <w:instrText xml:space="preserve"> </w:instrText>
            </w:r>
            <w:r w:rsidR="00053AE8">
              <w:rPr>
                <w:b/>
                <w:bCs/>
                <w:szCs w:val="24"/>
                <w:lang w:val="en-US"/>
              </w:rPr>
              <w:instrText>or</w:instrText>
            </w:r>
            <w:r w:rsidR="00053AE8" w:rsidRPr="002B3AE7">
              <w:rPr>
                <w:b/>
                <w:bCs/>
                <w:szCs w:val="24"/>
              </w:rPr>
              <w:instrText xml:space="preserve"> </w:instrText>
            </w:r>
            <w:r w:rsidR="00053AE8">
              <w:rPr>
                <w:b/>
                <w:bCs/>
                <w:szCs w:val="24"/>
                <w:lang w:val="en-US"/>
              </w:rPr>
              <w:instrText>relapsed</w:instrText>
            </w:r>
            <w:r w:rsidR="00053AE8" w:rsidRPr="002B3AE7">
              <w:rPr>
                <w:b/>
                <w:bCs/>
                <w:szCs w:val="24"/>
              </w:rPr>
              <w:instrText xml:space="preserve"> </w:instrText>
            </w:r>
            <w:r w:rsidR="00053AE8">
              <w:rPr>
                <w:b/>
                <w:bCs/>
                <w:szCs w:val="24"/>
                <w:lang w:val="en-US"/>
              </w:rPr>
              <w:instrText>Hodgkin</w:instrText>
            </w:r>
            <w:r w:rsidR="00053AE8" w:rsidRPr="002B3AE7">
              <w:rPr>
                <w:b/>
                <w:bCs/>
                <w:szCs w:val="24"/>
              </w:rPr>
              <w:instrText>'</w:instrText>
            </w:r>
            <w:r w:rsidR="00053AE8">
              <w:rPr>
                <w:b/>
                <w:bCs/>
                <w:szCs w:val="24"/>
                <w:lang w:val="en-US"/>
              </w:rPr>
              <w:instrText>s</w:instrText>
            </w:r>
            <w:r w:rsidR="00053AE8" w:rsidRPr="002B3AE7">
              <w:rPr>
                <w:b/>
                <w:bCs/>
                <w:szCs w:val="24"/>
              </w:rPr>
              <w:instrText xml:space="preserve"> </w:instrText>
            </w:r>
            <w:r w:rsidR="00053AE8">
              <w:rPr>
                <w:b/>
                <w:bCs/>
                <w:szCs w:val="24"/>
                <w:lang w:val="en-US"/>
              </w:rPr>
              <w:instrText>Lymphoma</w:instrText>
            </w:r>
            <w:r w:rsidR="00053AE8" w:rsidRPr="002B3AE7">
              <w:rPr>
                <w:b/>
                <w:bCs/>
                <w:szCs w:val="24"/>
              </w:rPr>
              <w:instrText xml:space="preserve"> </w:instrText>
            </w:r>
            <w:r w:rsidR="00053AE8">
              <w:rPr>
                <w:b/>
                <w:bCs/>
                <w:szCs w:val="24"/>
                <w:lang w:val="en-US"/>
              </w:rPr>
              <w:instrText>were</w:instrText>
            </w:r>
            <w:r w:rsidR="00053AE8" w:rsidRPr="002B3AE7">
              <w:rPr>
                <w:b/>
                <w:bCs/>
                <w:szCs w:val="24"/>
              </w:rPr>
              <w:instrText xml:space="preserve"> </w:instrText>
            </w:r>
            <w:r w:rsidR="00053AE8">
              <w:rPr>
                <w:b/>
                <w:bCs/>
                <w:szCs w:val="24"/>
                <w:lang w:val="en-US"/>
              </w:rPr>
              <w:instrText>considered</w:instrText>
            </w:r>
            <w:r w:rsidR="00053AE8" w:rsidRPr="002B3AE7">
              <w:rPr>
                <w:b/>
                <w:bCs/>
                <w:szCs w:val="24"/>
              </w:rPr>
              <w:instrText xml:space="preserve"> </w:instrText>
            </w:r>
            <w:r w:rsidR="00053AE8">
              <w:rPr>
                <w:b/>
                <w:bCs/>
                <w:szCs w:val="24"/>
                <w:lang w:val="en-US"/>
              </w:rPr>
              <w:instrText>eligible</w:instrText>
            </w:r>
            <w:r w:rsidR="00053AE8" w:rsidRPr="002B3AE7">
              <w:rPr>
                <w:b/>
                <w:bCs/>
                <w:szCs w:val="24"/>
              </w:rPr>
              <w:instrText xml:space="preserve"> </w:instrText>
            </w:r>
            <w:r w:rsidR="00053AE8">
              <w:rPr>
                <w:b/>
                <w:bCs/>
                <w:szCs w:val="24"/>
                <w:lang w:val="en-US"/>
              </w:rPr>
              <w:instrText>for</w:instrText>
            </w:r>
            <w:r w:rsidR="00053AE8" w:rsidRPr="002B3AE7">
              <w:rPr>
                <w:b/>
                <w:bCs/>
                <w:szCs w:val="24"/>
              </w:rPr>
              <w:instrText xml:space="preserve"> </w:instrText>
            </w:r>
            <w:r w:rsidR="00053AE8">
              <w:rPr>
                <w:b/>
                <w:bCs/>
                <w:szCs w:val="24"/>
                <w:lang w:val="en-US"/>
              </w:rPr>
              <w:instrText>this</w:instrText>
            </w:r>
            <w:r w:rsidR="00053AE8" w:rsidRPr="002B3AE7">
              <w:rPr>
                <w:b/>
                <w:bCs/>
                <w:szCs w:val="24"/>
              </w:rPr>
              <w:instrText xml:space="preserve"> </w:instrText>
            </w:r>
            <w:r w:rsidR="00053AE8">
              <w:rPr>
                <w:b/>
                <w:bCs/>
                <w:szCs w:val="24"/>
                <w:lang w:val="en-US"/>
              </w:rPr>
              <w:instrText>study</w:instrText>
            </w:r>
            <w:r w:rsidR="00053AE8" w:rsidRPr="002B3AE7">
              <w:rPr>
                <w:b/>
                <w:bCs/>
                <w:szCs w:val="24"/>
              </w:rPr>
              <w:instrText xml:space="preserve">. </w:instrText>
            </w:r>
            <w:r w:rsidR="00053AE8">
              <w:rPr>
                <w:b/>
                <w:bCs/>
                <w:szCs w:val="24"/>
                <w:lang w:val="en-US"/>
              </w:rPr>
              <w:instrText>The</w:instrText>
            </w:r>
            <w:r w:rsidR="00053AE8" w:rsidRPr="002B3AE7">
              <w:rPr>
                <w:b/>
                <w:bCs/>
                <w:szCs w:val="24"/>
              </w:rPr>
              <w:instrText xml:space="preserve"> </w:instrText>
            </w:r>
            <w:r w:rsidR="00053AE8">
              <w:rPr>
                <w:b/>
                <w:bCs/>
                <w:szCs w:val="24"/>
                <w:lang w:val="en-US"/>
              </w:rPr>
              <w:instrText>Patients</w:instrText>
            </w:r>
            <w:r w:rsidR="00053AE8" w:rsidRPr="002B3AE7">
              <w:rPr>
                <w:b/>
                <w:bCs/>
                <w:szCs w:val="24"/>
              </w:rPr>
              <w:instrText xml:space="preserve"> </w:instrText>
            </w:r>
            <w:r w:rsidR="00053AE8">
              <w:rPr>
                <w:b/>
                <w:bCs/>
                <w:szCs w:val="24"/>
                <w:lang w:val="en-US"/>
              </w:rPr>
              <w:instrText>were</w:instrText>
            </w:r>
            <w:r w:rsidR="00053AE8" w:rsidRPr="002B3AE7">
              <w:rPr>
                <w:b/>
                <w:bCs/>
                <w:szCs w:val="24"/>
              </w:rPr>
              <w:instrText xml:space="preserve"> </w:instrText>
            </w:r>
            <w:r w:rsidR="00053AE8">
              <w:rPr>
                <w:b/>
                <w:bCs/>
                <w:szCs w:val="24"/>
                <w:lang w:val="en-US"/>
              </w:rPr>
              <w:instrText>randomly</w:instrText>
            </w:r>
            <w:r w:rsidR="00053AE8" w:rsidRPr="002B3AE7">
              <w:rPr>
                <w:b/>
                <w:bCs/>
                <w:szCs w:val="24"/>
              </w:rPr>
              <w:instrText xml:space="preserve"> </w:instrText>
            </w:r>
            <w:r w:rsidR="00053AE8">
              <w:rPr>
                <w:b/>
                <w:bCs/>
                <w:szCs w:val="24"/>
                <w:lang w:val="en-US"/>
              </w:rPr>
              <w:instrText>divided</w:instrText>
            </w:r>
            <w:r w:rsidR="00053AE8" w:rsidRPr="002B3AE7">
              <w:rPr>
                <w:b/>
                <w:bCs/>
                <w:szCs w:val="24"/>
              </w:rPr>
              <w:instrText xml:space="preserve"> </w:instrText>
            </w:r>
            <w:r w:rsidR="00053AE8">
              <w:rPr>
                <w:b/>
                <w:bCs/>
                <w:szCs w:val="24"/>
                <w:lang w:val="en-US"/>
              </w:rPr>
              <w:instrText>into</w:instrText>
            </w:r>
            <w:r w:rsidR="00053AE8" w:rsidRPr="002B3AE7">
              <w:rPr>
                <w:b/>
                <w:bCs/>
                <w:szCs w:val="24"/>
              </w:rPr>
              <w:instrText xml:space="preserve"> </w:instrText>
            </w:r>
            <w:r w:rsidR="00053AE8">
              <w:rPr>
                <w:b/>
                <w:bCs/>
                <w:szCs w:val="24"/>
                <w:lang w:val="en-US"/>
              </w:rPr>
              <w:instrText>two</w:instrText>
            </w:r>
            <w:r w:rsidR="00053AE8" w:rsidRPr="002B3AE7">
              <w:rPr>
                <w:b/>
                <w:bCs/>
                <w:szCs w:val="24"/>
              </w:rPr>
              <w:instrText xml:space="preserve"> </w:instrText>
            </w:r>
            <w:r w:rsidR="00053AE8">
              <w:rPr>
                <w:b/>
                <w:bCs/>
                <w:szCs w:val="24"/>
                <w:lang w:val="en-US"/>
              </w:rPr>
              <w:instrText>groups</w:instrText>
            </w:r>
            <w:r w:rsidR="00053AE8" w:rsidRPr="002B3AE7">
              <w:rPr>
                <w:b/>
                <w:bCs/>
                <w:szCs w:val="24"/>
              </w:rPr>
              <w:instrText xml:space="preserve"> </w:instrText>
            </w:r>
            <w:r w:rsidR="00053AE8">
              <w:rPr>
                <w:b/>
                <w:bCs/>
                <w:szCs w:val="24"/>
                <w:lang w:val="en-US"/>
              </w:rPr>
              <w:instrText>of</w:instrText>
            </w:r>
            <w:r w:rsidR="00053AE8" w:rsidRPr="002B3AE7">
              <w:rPr>
                <w:b/>
                <w:bCs/>
                <w:szCs w:val="24"/>
              </w:rPr>
              <w:instrText xml:space="preserve"> 22, </w:instrText>
            </w:r>
            <w:r w:rsidR="00053AE8">
              <w:rPr>
                <w:b/>
                <w:bCs/>
                <w:szCs w:val="24"/>
                <w:lang w:val="en-US"/>
              </w:rPr>
              <w:instrText>one</w:instrText>
            </w:r>
            <w:r w:rsidR="00053AE8" w:rsidRPr="002B3AE7">
              <w:rPr>
                <w:b/>
                <w:bCs/>
                <w:szCs w:val="24"/>
              </w:rPr>
              <w:instrText xml:space="preserve"> </w:instrText>
            </w:r>
            <w:r w:rsidR="00053AE8">
              <w:rPr>
                <w:b/>
                <w:bCs/>
                <w:szCs w:val="24"/>
                <w:lang w:val="en-US"/>
              </w:rPr>
              <w:instrText>of</w:instrText>
            </w:r>
            <w:r w:rsidR="00053AE8" w:rsidRPr="002B3AE7">
              <w:rPr>
                <w:b/>
                <w:bCs/>
                <w:szCs w:val="24"/>
              </w:rPr>
              <w:instrText xml:space="preserve"> </w:instrText>
            </w:r>
            <w:r w:rsidR="00053AE8">
              <w:rPr>
                <w:b/>
                <w:bCs/>
                <w:szCs w:val="24"/>
                <w:lang w:val="en-US"/>
              </w:rPr>
              <w:instrText>which</w:instrText>
            </w:r>
            <w:r w:rsidR="00053AE8" w:rsidRPr="002B3AE7">
              <w:rPr>
                <w:b/>
                <w:bCs/>
                <w:szCs w:val="24"/>
              </w:rPr>
              <w:instrText xml:space="preserve"> </w:instrText>
            </w:r>
            <w:r w:rsidR="00053AE8">
              <w:rPr>
                <w:b/>
                <w:bCs/>
                <w:szCs w:val="24"/>
                <w:lang w:val="en-US"/>
              </w:rPr>
              <w:instrText>were</w:instrText>
            </w:r>
            <w:r w:rsidR="00053AE8" w:rsidRPr="002B3AE7">
              <w:rPr>
                <w:b/>
                <w:bCs/>
                <w:szCs w:val="24"/>
              </w:rPr>
              <w:instrText xml:space="preserve"> </w:instrText>
            </w:r>
            <w:r w:rsidR="00053AE8">
              <w:rPr>
                <w:b/>
                <w:bCs/>
                <w:szCs w:val="24"/>
                <w:lang w:val="en-US"/>
              </w:rPr>
              <w:instrText>treated</w:instrText>
            </w:r>
            <w:r w:rsidR="00053AE8" w:rsidRPr="002B3AE7">
              <w:rPr>
                <w:b/>
                <w:bCs/>
                <w:szCs w:val="24"/>
              </w:rPr>
              <w:instrText xml:space="preserve"> </w:instrText>
            </w:r>
            <w:r w:rsidR="00053AE8">
              <w:rPr>
                <w:b/>
                <w:bCs/>
                <w:szCs w:val="24"/>
                <w:lang w:val="en-US"/>
              </w:rPr>
              <w:instrText>with</w:instrText>
            </w:r>
            <w:r w:rsidR="00053AE8" w:rsidRPr="002B3AE7">
              <w:rPr>
                <w:b/>
                <w:bCs/>
                <w:szCs w:val="24"/>
              </w:rPr>
              <w:instrText xml:space="preserve"> </w:instrText>
            </w:r>
            <w:r w:rsidR="00053AE8">
              <w:rPr>
                <w:b/>
                <w:bCs/>
                <w:szCs w:val="24"/>
                <w:lang w:val="en-US"/>
              </w:rPr>
              <w:instrText>GDP</w:instrText>
            </w:r>
            <w:r w:rsidR="00053AE8" w:rsidRPr="002B3AE7">
              <w:rPr>
                <w:b/>
                <w:bCs/>
                <w:szCs w:val="24"/>
              </w:rPr>
              <w:instrText xml:space="preserve"> </w:instrText>
            </w:r>
            <w:r w:rsidR="00053AE8">
              <w:rPr>
                <w:b/>
                <w:bCs/>
                <w:szCs w:val="24"/>
                <w:lang w:val="en-US"/>
              </w:rPr>
              <w:instrText>regimen</w:instrText>
            </w:r>
            <w:r w:rsidR="00053AE8" w:rsidRPr="002B3AE7">
              <w:rPr>
                <w:b/>
                <w:bCs/>
                <w:szCs w:val="24"/>
              </w:rPr>
              <w:instrText xml:space="preserve"> (</w:instrText>
            </w:r>
            <w:r w:rsidR="00053AE8">
              <w:rPr>
                <w:b/>
                <w:bCs/>
                <w:szCs w:val="24"/>
                <w:lang w:val="en-US"/>
              </w:rPr>
              <w:instrText>gemcitabine</w:instrText>
            </w:r>
            <w:r w:rsidR="00053AE8" w:rsidRPr="002B3AE7">
              <w:rPr>
                <w:b/>
                <w:bCs/>
                <w:szCs w:val="24"/>
              </w:rPr>
              <w:instrText xml:space="preserve">, </w:instrText>
            </w:r>
            <w:r w:rsidR="00053AE8">
              <w:rPr>
                <w:b/>
                <w:bCs/>
                <w:szCs w:val="24"/>
                <w:lang w:val="en-US"/>
              </w:rPr>
              <w:instrText>dexamethasone</w:instrText>
            </w:r>
            <w:r w:rsidR="00053AE8" w:rsidRPr="002B3AE7">
              <w:rPr>
                <w:b/>
                <w:bCs/>
                <w:szCs w:val="24"/>
              </w:rPr>
              <w:instrText xml:space="preserve"> </w:instrText>
            </w:r>
            <w:r w:rsidR="00053AE8">
              <w:rPr>
                <w:b/>
                <w:bCs/>
                <w:szCs w:val="24"/>
                <w:lang w:val="en-US"/>
              </w:rPr>
              <w:instrText>and</w:instrText>
            </w:r>
            <w:r w:rsidR="00053AE8" w:rsidRPr="002B3AE7">
              <w:rPr>
                <w:b/>
                <w:bCs/>
                <w:szCs w:val="24"/>
              </w:rPr>
              <w:instrText xml:space="preserve"> </w:instrText>
            </w:r>
            <w:r w:rsidR="00053AE8">
              <w:rPr>
                <w:b/>
                <w:bCs/>
                <w:szCs w:val="24"/>
                <w:lang w:val="en-US"/>
              </w:rPr>
              <w:instrText>cisplatin</w:instrText>
            </w:r>
            <w:r w:rsidR="00053AE8" w:rsidRPr="002B3AE7">
              <w:rPr>
                <w:b/>
                <w:bCs/>
                <w:szCs w:val="24"/>
              </w:rPr>
              <w:instrText xml:space="preserve">) </w:instrText>
            </w:r>
            <w:r w:rsidR="00053AE8">
              <w:rPr>
                <w:b/>
                <w:bCs/>
                <w:szCs w:val="24"/>
                <w:lang w:val="en-US"/>
              </w:rPr>
              <w:instrText>and</w:instrText>
            </w:r>
            <w:r w:rsidR="00053AE8" w:rsidRPr="002B3AE7">
              <w:rPr>
                <w:b/>
                <w:bCs/>
                <w:szCs w:val="24"/>
              </w:rPr>
              <w:instrText xml:space="preserve"> </w:instrText>
            </w:r>
            <w:r w:rsidR="00053AE8">
              <w:rPr>
                <w:b/>
                <w:bCs/>
                <w:szCs w:val="24"/>
                <w:lang w:val="en-US"/>
              </w:rPr>
              <w:instrText>the</w:instrText>
            </w:r>
            <w:r w:rsidR="00053AE8" w:rsidRPr="002B3AE7">
              <w:rPr>
                <w:b/>
                <w:bCs/>
                <w:szCs w:val="24"/>
              </w:rPr>
              <w:instrText xml:space="preserve"> </w:instrText>
            </w:r>
            <w:r w:rsidR="00053AE8">
              <w:rPr>
                <w:b/>
                <w:bCs/>
                <w:szCs w:val="24"/>
                <w:lang w:val="en-US"/>
              </w:rPr>
              <w:instrText>other</w:instrText>
            </w:r>
            <w:r w:rsidR="00053AE8" w:rsidRPr="002B3AE7">
              <w:rPr>
                <w:b/>
                <w:bCs/>
                <w:szCs w:val="24"/>
              </w:rPr>
              <w:instrText xml:space="preserve"> </w:instrText>
            </w:r>
            <w:r w:rsidR="00053AE8">
              <w:rPr>
                <w:b/>
                <w:bCs/>
                <w:szCs w:val="24"/>
                <w:lang w:val="en-US"/>
              </w:rPr>
              <w:instrText>with</w:instrText>
            </w:r>
            <w:r w:rsidR="00053AE8" w:rsidRPr="002B3AE7">
              <w:rPr>
                <w:b/>
                <w:bCs/>
                <w:szCs w:val="24"/>
              </w:rPr>
              <w:instrText xml:space="preserve"> </w:instrText>
            </w:r>
            <w:r w:rsidR="00053AE8">
              <w:rPr>
                <w:b/>
                <w:bCs/>
                <w:szCs w:val="24"/>
                <w:lang w:val="en-US"/>
              </w:rPr>
              <w:instrText>EHSAP</w:instrText>
            </w:r>
            <w:r w:rsidR="00053AE8" w:rsidRPr="002B3AE7">
              <w:rPr>
                <w:b/>
                <w:bCs/>
                <w:szCs w:val="24"/>
              </w:rPr>
              <w:instrText xml:space="preserve"> </w:instrText>
            </w:r>
            <w:r w:rsidR="00053AE8">
              <w:rPr>
                <w:b/>
                <w:bCs/>
                <w:szCs w:val="24"/>
                <w:lang w:val="en-US"/>
              </w:rPr>
              <w:instrText>regimen</w:instrText>
            </w:r>
            <w:r w:rsidR="00053AE8" w:rsidRPr="002B3AE7">
              <w:rPr>
                <w:b/>
                <w:bCs/>
                <w:szCs w:val="24"/>
              </w:rPr>
              <w:instrText xml:space="preserve"> (</w:instrText>
            </w:r>
            <w:r w:rsidR="00053AE8">
              <w:rPr>
                <w:b/>
                <w:bCs/>
                <w:szCs w:val="24"/>
                <w:lang w:val="en-US"/>
              </w:rPr>
              <w:instrText>etoposide</w:instrText>
            </w:r>
            <w:r w:rsidR="00053AE8" w:rsidRPr="002B3AE7">
              <w:rPr>
                <w:b/>
                <w:bCs/>
                <w:szCs w:val="24"/>
              </w:rPr>
              <w:instrText xml:space="preserve">, </w:instrText>
            </w:r>
            <w:r w:rsidR="00053AE8">
              <w:rPr>
                <w:b/>
                <w:bCs/>
                <w:szCs w:val="24"/>
                <w:lang w:val="en-US"/>
              </w:rPr>
              <w:instrText>methyl</w:instrText>
            </w:r>
            <w:r w:rsidR="00053AE8" w:rsidRPr="002B3AE7">
              <w:rPr>
                <w:b/>
                <w:bCs/>
                <w:szCs w:val="24"/>
              </w:rPr>
              <w:instrText xml:space="preserve"> </w:instrText>
            </w:r>
            <w:r w:rsidR="00053AE8">
              <w:rPr>
                <w:b/>
                <w:bCs/>
                <w:szCs w:val="24"/>
                <w:lang w:val="en-US"/>
              </w:rPr>
              <w:instrText>prednisolone</w:instrText>
            </w:r>
            <w:r w:rsidR="00053AE8" w:rsidRPr="002B3AE7">
              <w:rPr>
                <w:b/>
                <w:bCs/>
                <w:szCs w:val="24"/>
              </w:rPr>
              <w:instrText xml:space="preserve">, </w:instrText>
            </w:r>
            <w:r w:rsidR="00053AE8">
              <w:rPr>
                <w:b/>
                <w:bCs/>
                <w:szCs w:val="24"/>
                <w:lang w:val="en-US"/>
              </w:rPr>
              <w:instrText>cisplatin</w:instrText>
            </w:r>
            <w:r w:rsidR="00053AE8" w:rsidRPr="002B3AE7">
              <w:rPr>
                <w:b/>
                <w:bCs/>
                <w:szCs w:val="24"/>
              </w:rPr>
              <w:instrText xml:space="preserve"> </w:instrText>
            </w:r>
            <w:r w:rsidR="00053AE8">
              <w:rPr>
                <w:b/>
                <w:bCs/>
                <w:szCs w:val="24"/>
                <w:lang w:val="en-US"/>
              </w:rPr>
              <w:instrText>and</w:instrText>
            </w:r>
            <w:r w:rsidR="00053AE8" w:rsidRPr="002B3AE7">
              <w:rPr>
                <w:b/>
                <w:bCs/>
                <w:szCs w:val="24"/>
              </w:rPr>
              <w:instrText xml:space="preserve"> </w:instrText>
            </w:r>
            <w:r w:rsidR="00053AE8">
              <w:rPr>
                <w:b/>
                <w:bCs/>
                <w:szCs w:val="24"/>
                <w:lang w:val="en-US"/>
              </w:rPr>
              <w:instrText>cytarabine</w:instrText>
            </w:r>
            <w:r w:rsidR="00053AE8" w:rsidRPr="002B3AE7">
              <w:rPr>
                <w:b/>
                <w:bCs/>
                <w:szCs w:val="24"/>
              </w:rPr>
              <w:instrText xml:space="preserve">) </w:instrText>
            </w:r>
            <w:r w:rsidR="00053AE8">
              <w:rPr>
                <w:b/>
                <w:bCs/>
                <w:szCs w:val="24"/>
                <w:lang w:val="en-US"/>
              </w:rPr>
              <w:instrText>in</w:instrText>
            </w:r>
            <w:r w:rsidR="00053AE8" w:rsidRPr="002B3AE7">
              <w:rPr>
                <w:b/>
                <w:bCs/>
                <w:szCs w:val="24"/>
              </w:rPr>
              <w:instrText xml:space="preserve"> </w:instrText>
            </w:r>
            <w:r w:rsidR="00053AE8">
              <w:rPr>
                <w:b/>
                <w:bCs/>
                <w:szCs w:val="24"/>
                <w:lang w:val="en-US"/>
              </w:rPr>
              <w:instrText>a</w:instrText>
            </w:r>
            <w:r w:rsidR="00053AE8" w:rsidRPr="002B3AE7">
              <w:rPr>
                <w:b/>
                <w:bCs/>
                <w:szCs w:val="24"/>
              </w:rPr>
              <w:instrText xml:space="preserve"> </w:instrText>
            </w:r>
            <w:r w:rsidR="00053AE8">
              <w:rPr>
                <w:b/>
                <w:bCs/>
                <w:szCs w:val="24"/>
                <w:lang w:val="en-US"/>
              </w:rPr>
              <w:instrText>prospective</w:instrText>
            </w:r>
            <w:r w:rsidR="00053AE8" w:rsidRPr="002B3AE7">
              <w:rPr>
                <w:b/>
                <w:bCs/>
                <w:szCs w:val="24"/>
              </w:rPr>
              <w:instrText xml:space="preserve"> </w:instrText>
            </w:r>
            <w:r w:rsidR="00053AE8">
              <w:rPr>
                <w:b/>
                <w:bCs/>
                <w:szCs w:val="24"/>
                <w:lang w:val="en-US"/>
              </w:rPr>
              <w:instrText>manner</w:instrText>
            </w:r>
            <w:r w:rsidR="00053AE8" w:rsidRPr="002B3AE7">
              <w:rPr>
                <w:b/>
                <w:bCs/>
                <w:szCs w:val="24"/>
              </w:rPr>
              <w:instrText xml:space="preserve">. </w:instrText>
            </w:r>
            <w:r w:rsidR="00053AE8">
              <w:rPr>
                <w:b/>
                <w:bCs/>
                <w:szCs w:val="24"/>
                <w:lang w:val="en-US"/>
              </w:rPr>
              <w:instrText>The</w:instrText>
            </w:r>
            <w:r w:rsidR="00053AE8" w:rsidRPr="002B3AE7">
              <w:rPr>
                <w:b/>
                <w:bCs/>
                <w:szCs w:val="24"/>
              </w:rPr>
              <w:instrText xml:space="preserve"> </w:instrText>
            </w:r>
            <w:r w:rsidR="00053AE8">
              <w:rPr>
                <w:b/>
                <w:bCs/>
                <w:szCs w:val="24"/>
                <w:lang w:val="en-US"/>
              </w:rPr>
              <w:instrText>results</w:instrText>
            </w:r>
            <w:r w:rsidR="00053AE8" w:rsidRPr="002B3AE7">
              <w:rPr>
                <w:b/>
                <w:bCs/>
                <w:szCs w:val="24"/>
              </w:rPr>
              <w:instrText xml:space="preserve"> </w:instrText>
            </w:r>
            <w:r w:rsidR="00053AE8">
              <w:rPr>
                <w:b/>
                <w:bCs/>
                <w:szCs w:val="24"/>
                <w:lang w:val="en-US"/>
              </w:rPr>
              <w:instrText>of</w:instrText>
            </w:r>
            <w:r w:rsidR="00053AE8" w:rsidRPr="002B3AE7">
              <w:rPr>
                <w:b/>
                <w:bCs/>
                <w:szCs w:val="24"/>
              </w:rPr>
              <w:instrText xml:space="preserve"> </w:instrText>
            </w:r>
            <w:r w:rsidR="00053AE8">
              <w:rPr>
                <w:b/>
                <w:bCs/>
                <w:szCs w:val="24"/>
                <w:lang w:val="en-US"/>
              </w:rPr>
              <w:instrText>each</w:instrText>
            </w:r>
            <w:r w:rsidR="00053AE8" w:rsidRPr="002B3AE7">
              <w:rPr>
                <w:b/>
                <w:bCs/>
                <w:szCs w:val="24"/>
              </w:rPr>
              <w:instrText xml:space="preserve"> </w:instrText>
            </w:r>
            <w:r w:rsidR="00053AE8">
              <w:rPr>
                <w:b/>
                <w:bCs/>
                <w:szCs w:val="24"/>
                <w:lang w:val="en-US"/>
              </w:rPr>
              <w:instrText>group</w:instrText>
            </w:r>
            <w:r w:rsidR="00053AE8" w:rsidRPr="002B3AE7">
              <w:rPr>
                <w:b/>
                <w:bCs/>
                <w:szCs w:val="24"/>
              </w:rPr>
              <w:instrText xml:space="preserve"> </w:instrText>
            </w:r>
            <w:r w:rsidR="00053AE8">
              <w:rPr>
                <w:b/>
                <w:bCs/>
                <w:szCs w:val="24"/>
                <w:lang w:val="en-US"/>
              </w:rPr>
              <w:instrText>were</w:instrText>
            </w:r>
            <w:r w:rsidR="00053AE8" w:rsidRPr="002B3AE7">
              <w:rPr>
                <w:b/>
                <w:bCs/>
                <w:szCs w:val="24"/>
              </w:rPr>
              <w:instrText xml:space="preserve"> </w:instrText>
            </w:r>
            <w:r w:rsidR="00053AE8">
              <w:rPr>
                <w:b/>
                <w:bCs/>
                <w:szCs w:val="24"/>
                <w:lang w:val="en-US"/>
              </w:rPr>
              <w:instrText>compared</w:instrText>
            </w:r>
            <w:r w:rsidR="00053AE8" w:rsidRPr="002B3AE7">
              <w:rPr>
                <w:b/>
                <w:bCs/>
                <w:szCs w:val="24"/>
              </w:rPr>
              <w:instrText xml:space="preserve">. </w:instrText>
            </w:r>
            <w:r w:rsidR="00053AE8">
              <w:rPr>
                <w:b/>
                <w:bCs/>
                <w:szCs w:val="24"/>
                <w:lang w:val="en-US"/>
              </w:rPr>
              <w:instrText>RESULTS</w:instrText>
            </w:r>
            <w:r w:rsidR="00053AE8" w:rsidRPr="002B3AE7">
              <w:rPr>
                <w:b/>
                <w:bCs/>
                <w:szCs w:val="24"/>
              </w:rPr>
              <w:instrText xml:space="preserve"> </w:instrText>
            </w:r>
            <w:r w:rsidR="00053AE8">
              <w:rPr>
                <w:b/>
                <w:bCs/>
                <w:szCs w:val="24"/>
                <w:lang w:val="en-US"/>
              </w:rPr>
              <w:instrText>There</w:instrText>
            </w:r>
            <w:r w:rsidR="00053AE8" w:rsidRPr="002B3AE7">
              <w:rPr>
                <w:b/>
                <w:bCs/>
                <w:szCs w:val="24"/>
              </w:rPr>
              <w:instrText xml:space="preserve"> </w:instrText>
            </w:r>
            <w:r w:rsidR="00053AE8">
              <w:rPr>
                <w:b/>
                <w:bCs/>
                <w:szCs w:val="24"/>
                <w:lang w:val="en-US"/>
              </w:rPr>
              <w:instrText>were</w:instrText>
            </w:r>
            <w:r w:rsidR="00053AE8" w:rsidRPr="002B3AE7">
              <w:rPr>
                <w:b/>
                <w:bCs/>
                <w:szCs w:val="24"/>
              </w:rPr>
              <w:instrText xml:space="preserve"> 27.3% </w:instrText>
            </w:r>
            <w:r w:rsidR="00053AE8">
              <w:rPr>
                <w:b/>
                <w:bCs/>
                <w:szCs w:val="24"/>
                <w:lang w:val="en-US"/>
              </w:rPr>
              <w:instrText>complete</w:instrText>
            </w:r>
            <w:r w:rsidR="00053AE8" w:rsidRPr="002B3AE7">
              <w:rPr>
                <w:b/>
                <w:bCs/>
                <w:szCs w:val="24"/>
              </w:rPr>
              <w:instrText xml:space="preserve"> </w:instrText>
            </w:r>
            <w:r w:rsidR="00053AE8">
              <w:rPr>
                <w:b/>
                <w:bCs/>
                <w:szCs w:val="24"/>
                <w:lang w:val="en-US"/>
              </w:rPr>
              <w:instrText>response</w:instrText>
            </w:r>
            <w:r w:rsidR="00053AE8" w:rsidRPr="002B3AE7">
              <w:rPr>
                <w:b/>
                <w:bCs/>
                <w:szCs w:val="24"/>
              </w:rPr>
              <w:instrText xml:space="preserve">, 31.8% </w:instrText>
            </w:r>
            <w:r w:rsidR="00053AE8">
              <w:rPr>
                <w:b/>
                <w:bCs/>
                <w:szCs w:val="24"/>
                <w:lang w:val="en-US"/>
              </w:rPr>
              <w:instrText>more</w:instrText>
            </w:r>
            <w:r w:rsidR="00053AE8" w:rsidRPr="002B3AE7">
              <w:rPr>
                <w:b/>
                <w:bCs/>
                <w:szCs w:val="24"/>
              </w:rPr>
              <w:instrText xml:space="preserve"> </w:instrText>
            </w:r>
            <w:r w:rsidR="00053AE8">
              <w:rPr>
                <w:b/>
                <w:bCs/>
                <w:szCs w:val="24"/>
                <w:lang w:val="en-US"/>
              </w:rPr>
              <w:instrText>than</w:instrText>
            </w:r>
            <w:r w:rsidR="00053AE8" w:rsidRPr="002B3AE7">
              <w:rPr>
                <w:b/>
                <w:bCs/>
                <w:szCs w:val="24"/>
              </w:rPr>
              <w:instrText xml:space="preserve"> 50% </w:instrText>
            </w:r>
            <w:r w:rsidR="00053AE8">
              <w:rPr>
                <w:b/>
                <w:bCs/>
                <w:szCs w:val="24"/>
                <w:lang w:val="en-US"/>
              </w:rPr>
              <w:instrText>response</w:instrText>
            </w:r>
            <w:r w:rsidR="00053AE8" w:rsidRPr="002B3AE7">
              <w:rPr>
                <w:b/>
                <w:bCs/>
                <w:szCs w:val="24"/>
              </w:rPr>
              <w:instrText xml:space="preserve">, </w:instrText>
            </w:r>
            <w:r w:rsidR="00053AE8">
              <w:rPr>
                <w:b/>
                <w:bCs/>
                <w:szCs w:val="24"/>
                <w:lang w:val="en-US"/>
              </w:rPr>
              <w:instrText>and</w:instrText>
            </w:r>
            <w:r w:rsidR="00053AE8" w:rsidRPr="002B3AE7">
              <w:rPr>
                <w:b/>
                <w:bCs/>
                <w:szCs w:val="24"/>
              </w:rPr>
              <w:instrText xml:space="preserve"> 40.9% </w:instrText>
            </w:r>
            <w:r w:rsidR="00053AE8">
              <w:rPr>
                <w:b/>
                <w:bCs/>
                <w:szCs w:val="24"/>
                <w:lang w:val="en-US"/>
              </w:rPr>
              <w:instrText>no</w:instrText>
            </w:r>
            <w:r w:rsidR="00053AE8" w:rsidRPr="002B3AE7">
              <w:rPr>
                <w:b/>
                <w:bCs/>
                <w:szCs w:val="24"/>
              </w:rPr>
              <w:instrText xml:space="preserve"> </w:instrText>
            </w:r>
            <w:r w:rsidR="00053AE8">
              <w:rPr>
                <w:b/>
                <w:bCs/>
                <w:szCs w:val="24"/>
                <w:lang w:val="en-US"/>
              </w:rPr>
              <w:instrText>response</w:instrText>
            </w:r>
            <w:r w:rsidR="00053AE8" w:rsidRPr="002B3AE7">
              <w:rPr>
                <w:b/>
                <w:bCs/>
                <w:szCs w:val="24"/>
              </w:rPr>
              <w:instrText xml:space="preserve"> </w:instrText>
            </w:r>
            <w:r w:rsidR="00053AE8">
              <w:rPr>
                <w:b/>
                <w:bCs/>
                <w:szCs w:val="24"/>
                <w:lang w:val="en-US"/>
              </w:rPr>
              <w:instrText>with</w:instrText>
            </w:r>
            <w:r w:rsidR="00053AE8" w:rsidRPr="002B3AE7">
              <w:rPr>
                <w:b/>
                <w:bCs/>
                <w:szCs w:val="24"/>
              </w:rPr>
              <w:instrText xml:space="preserve"> </w:instrText>
            </w:r>
            <w:r w:rsidR="00053AE8">
              <w:rPr>
                <w:b/>
                <w:bCs/>
                <w:szCs w:val="24"/>
                <w:lang w:val="en-US"/>
              </w:rPr>
              <w:instrText>GDP</w:instrText>
            </w:r>
            <w:r w:rsidR="00053AE8" w:rsidRPr="002B3AE7">
              <w:rPr>
                <w:b/>
                <w:bCs/>
                <w:szCs w:val="24"/>
              </w:rPr>
              <w:instrText xml:space="preserve">. </w:instrText>
            </w:r>
            <w:r w:rsidR="00053AE8">
              <w:rPr>
                <w:b/>
                <w:bCs/>
                <w:szCs w:val="24"/>
                <w:lang w:val="en-US"/>
              </w:rPr>
              <w:instrText>ESHAP</w:instrText>
            </w:r>
            <w:r w:rsidR="00053AE8" w:rsidRPr="002B3AE7">
              <w:rPr>
                <w:b/>
                <w:bCs/>
                <w:szCs w:val="24"/>
              </w:rPr>
              <w:instrText xml:space="preserve"> </w:instrText>
            </w:r>
            <w:r w:rsidR="00053AE8">
              <w:rPr>
                <w:b/>
                <w:bCs/>
                <w:szCs w:val="24"/>
                <w:lang w:val="en-US"/>
              </w:rPr>
              <w:instrText>results</w:instrText>
            </w:r>
            <w:r w:rsidR="00053AE8" w:rsidRPr="002B3AE7">
              <w:rPr>
                <w:b/>
                <w:bCs/>
                <w:szCs w:val="24"/>
              </w:rPr>
              <w:instrText xml:space="preserve"> </w:instrText>
            </w:r>
            <w:r w:rsidR="00053AE8">
              <w:rPr>
                <w:b/>
                <w:bCs/>
                <w:szCs w:val="24"/>
                <w:lang w:val="en-US"/>
              </w:rPr>
              <w:instrText>were</w:instrText>
            </w:r>
            <w:r w:rsidR="00053AE8" w:rsidRPr="002B3AE7">
              <w:rPr>
                <w:b/>
                <w:bCs/>
                <w:szCs w:val="24"/>
              </w:rPr>
              <w:instrText xml:space="preserve"> 29.5%, 24% </w:instrText>
            </w:r>
            <w:r w:rsidR="00053AE8">
              <w:rPr>
                <w:b/>
                <w:bCs/>
                <w:szCs w:val="24"/>
                <w:lang w:val="en-US"/>
              </w:rPr>
              <w:instrText>and</w:instrText>
            </w:r>
            <w:r w:rsidR="00053AE8" w:rsidRPr="002B3AE7">
              <w:rPr>
                <w:b/>
                <w:bCs/>
                <w:szCs w:val="24"/>
              </w:rPr>
              <w:instrText xml:space="preserve"> 45.5%, </w:instrText>
            </w:r>
            <w:r w:rsidR="00053AE8">
              <w:rPr>
                <w:b/>
                <w:bCs/>
                <w:szCs w:val="24"/>
                <w:lang w:val="en-US"/>
              </w:rPr>
              <w:instrText>respectively</w:instrText>
            </w:r>
            <w:r w:rsidR="00053AE8" w:rsidRPr="002B3AE7">
              <w:rPr>
                <w:b/>
                <w:bCs/>
                <w:szCs w:val="24"/>
              </w:rPr>
              <w:instrText xml:space="preserve">. </w:instrText>
            </w:r>
            <w:r w:rsidR="00053AE8">
              <w:rPr>
                <w:b/>
                <w:bCs/>
                <w:szCs w:val="24"/>
                <w:lang w:val="en-US"/>
              </w:rPr>
              <w:instrText>CONCLUSION</w:instrText>
            </w:r>
            <w:r w:rsidR="00053AE8" w:rsidRPr="002B3AE7">
              <w:rPr>
                <w:b/>
                <w:bCs/>
                <w:szCs w:val="24"/>
              </w:rPr>
              <w:instrText xml:space="preserve"> </w:instrText>
            </w:r>
            <w:r w:rsidR="00053AE8">
              <w:rPr>
                <w:b/>
                <w:bCs/>
                <w:szCs w:val="24"/>
                <w:lang w:val="en-US"/>
              </w:rPr>
              <w:instrText>There</w:instrText>
            </w:r>
            <w:r w:rsidR="00053AE8" w:rsidRPr="002B3AE7">
              <w:rPr>
                <w:b/>
                <w:bCs/>
                <w:szCs w:val="24"/>
              </w:rPr>
              <w:instrText xml:space="preserve"> </w:instrText>
            </w:r>
            <w:r w:rsidR="00053AE8">
              <w:rPr>
                <w:b/>
                <w:bCs/>
                <w:szCs w:val="24"/>
                <w:lang w:val="en-US"/>
              </w:rPr>
              <w:instrText>is</w:instrText>
            </w:r>
            <w:r w:rsidR="00053AE8" w:rsidRPr="002B3AE7">
              <w:rPr>
                <w:b/>
                <w:bCs/>
                <w:szCs w:val="24"/>
              </w:rPr>
              <w:instrText xml:space="preserve"> </w:instrText>
            </w:r>
            <w:r w:rsidR="00053AE8">
              <w:rPr>
                <w:b/>
                <w:bCs/>
                <w:szCs w:val="24"/>
                <w:lang w:val="en-US"/>
              </w:rPr>
              <w:instrText>no</w:instrText>
            </w:r>
            <w:r w:rsidR="00053AE8" w:rsidRPr="002B3AE7">
              <w:rPr>
                <w:b/>
                <w:bCs/>
                <w:szCs w:val="24"/>
              </w:rPr>
              <w:instrText xml:space="preserve"> </w:instrText>
            </w:r>
            <w:r w:rsidR="00053AE8">
              <w:rPr>
                <w:b/>
                <w:bCs/>
                <w:szCs w:val="24"/>
                <w:lang w:val="en-US"/>
              </w:rPr>
              <w:instrText>significant</w:instrText>
            </w:r>
            <w:r w:rsidR="00053AE8" w:rsidRPr="002B3AE7">
              <w:rPr>
                <w:b/>
                <w:bCs/>
                <w:szCs w:val="24"/>
              </w:rPr>
              <w:instrText xml:space="preserve"> </w:instrText>
            </w:r>
            <w:r w:rsidR="00053AE8">
              <w:rPr>
                <w:b/>
                <w:bCs/>
                <w:szCs w:val="24"/>
                <w:lang w:val="en-US"/>
              </w:rPr>
              <w:instrText>difference</w:instrText>
            </w:r>
            <w:r w:rsidR="00053AE8" w:rsidRPr="002B3AE7">
              <w:rPr>
                <w:b/>
                <w:bCs/>
                <w:szCs w:val="24"/>
              </w:rPr>
              <w:instrText xml:space="preserve"> </w:instrText>
            </w:r>
            <w:r w:rsidR="00053AE8">
              <w:rPr>
                <w:b/>
                <w:bCs/>
                <w:szCs w:val="24"/>
                <w:lang w:val="en-US"/>
              </w:rPr>
              <w:instrText>in</w:instrText>
            </w:r>
            <w:r w:rsidR="00053AE8" w:rsidRPr="002B3AE7">
              <w:rPr>
                <w:b/>
                <w:bCs/>
                <w:szCs w:val="24"/>
              </w:rPr>
              <w:instrText xml:space="preserve"> </w:instrText>
            </w:r>
            <w:r w:rsidR="00053AE8">
              <w:rPr>
                <w:b/>
                <w:bCs/>
                <w:szCs w:val="24"/>
                <w:lang w:val="en-US"/>
              </w:rPr>
              <w:instrText>response</w:instrText>
            </w:r>
            <w:r w:rsidR="00053AE8" w:rsidRPr="002B3AE7">
              <w:rPr>
                <w:b/>
                <w:bCs/>
                <w:szCs w:val="24"/>
              </w:rPr>
              <w:instrText xml:space="preserve"> </w:instrText>
            </w:r>
            <w:r w:rsidR="00053AE8">
              <w:rPr>
                <w:b/>
                <w:bCs/>
                <w:szCs w:val="24"/>
                <w:lang w:val="en-US"/>
              </w:rPr>
              <w:instrText>rate</w:instrText>
            </w:r>
            <w:r w:rsidR="00053AE8" w:rsidRPr="002B3AE7">
              <w:rPr>
                <w:b/>
                <w:bCs/>
                <w:szCs w:val="24"/>
              </w:rPr>
              <w:instrText xml:space="preserve"> </w:instrText>
            </w:r>
            <w:r w:rsidR="00053AE8">
              <w:rPr>
                <w:b/>
                <w:bCs/>
                <w:szCs w:val="24"/>
                <w:lang w:val="en-US"/>
              </w:rPr>
              <w:instrText>between</w:instrText>
            </w:r>
            <w:r w:rsidR="00053AE8" w:rsidRPr="002B3AE7">
              <w:rPr>
                <w:b/>
                <w:bCs/>
                <w:szCs w:val="24"/>
              </w:rPr>
              <w:instrText xml:space="preserve"> </w:instrText>
            </w:r>
            <w:r w:rsidR="00053AE8">
              <w:rPr>
                <w:b/>
                <w:bCs/>
                <w:szCs w:val="24"/>
                <w:lang w:val="en-US"/>
              </w:rPr>
              <w:instrText>GDP</w:instrText>
            </w:r>
            <w:r w:rsidR="00053AE8" w:rsidRPr="002B3AE7">
              <w:rPr>
                <w:b/>
                <w:bCs/>
                <w:szCs w:val="24"/>
              </w:rPr>
              <w:instrText xml:space="preserve"> </w:instrText>
            </w:r>
            <w:r w:rsidR="00053AE8">
              <w:rPr>
                <w:b/>
                <w:bCs/>
                <w:szCs w:val="24"/>
                <w:lang w:val="en-US"/>
              </w:rPr>
              <w:instrText>and</w:instrText>
            </w:r>
            <w:r w:rsidR="00053AE8" w:rsidRPr="002B3AE7">
              <w:rPr>
                <w:b/>
                <w:bCs/>
                <w:szCs w:val="24"/>
              </w:rPr>
              <w:instrText xml:space="preserve"> </w:instrText>
            </w:r>
            <w:r w:rsidR="00053AE8">
              <w:rPr>
                <w:b/>
                <w:bCs/>
                <w:szCs w:val="24"/>
                <w:lang w:val="en-US"/>
              </w:rPr>
              <w:instrText>ESHAP</w:instrText>
            </w:r>
            <w:r w:rsidR="00053AE8" w:rsidRPr="002B3AE7">
              <w:rPr>
                <w:b/>
                <w:bCs/>
                <w:szCs w:val="24"/>
              </w:rPr>
              <w:instrText xml:space="preserve"> </w:instrText>
            </w:r>
            <w:r w:rsidR="00053AE8">
              <w:rPr>
                <w:b/>
                <w:bCs/>
                <w:szCs w:val="24"/>
                <w:lang w:val="en-US"/>
              </w:rPr>
              <w:instrText>regimens</w:instrText>
            </w:r>
            <w:r w:rsidR="00053AE8" w:rsidRPr="002B3AE7">
              <w:rPr>
                <w:b/>
                <w:bCs/>
                <w:szCs w:val="24"/>
              </w:rPr>
              <w:instrText xml:space="preserve"> </w:instrText>
            </w:r>
            <w:r w:rsidR="00053AE8">
              <w:rPr>
                <w:b/>
                <w:bCs/>
                <w:szCs w:val="24"/>
                <w:lang w:val="en-US"/>
              </w:rPr>
              <w:instrText>as</w:instrText>
            </w:r>
            <w:r w:rsidR="00053AE8" w:rsidRPr="002B3AE7">
              <w:rPr>
                <w:b/>
                <w:bCs/>
                <w:szCs w:val="24"/>
              </w:rPr>
              <w:instrText xml:space="preserve"> </w:instrText>
            </w:r>
            <w:r w:rsidR="00053AE8">
              <w:rPr>
                <w:b/>
                <w:bCs/>
                <w:szCs w:val="24"/>
                <w:lang w:val="en-US"/>
              </w:rPr>
              <w:instrText>salvage</w:instrText>
            </w:r>
            <w:r w:rsidR="00053AE8" w:rsidRPr="002B3AE7">
              <w:rPr>
                <w:b/>
                <w:bCs/>
                <w:szCs w:val="24"/>
              </w:rPr>
              <w:instrText xml:space="preserve"> </w:instrText>
            </w:r>
            <w:r w:rsidR="00053AE8">
              <w:rPr>
                <w:b/>
                <w:bCs/>
                <w:szCs w:val="24"/>
                <w:lang w:val="en-US"/>
              </w:rPr>
              <w:instrText>chemotherapy</w:instrText>
            </w:r>
            <w:r w:rsidR="00053AE8" w:rsidRPr="002B3AE7">
              <w:rPr>
                <w:b/>
                <w:bCs/>
                <w:szCs w:val="24"/>
              </w:rPr>
              <w:instrText xml:space="preserve"> </w:instrText>
            </w:r>
            <w:r w:rsidR="00053AE8">
              <w:rPr>
                <w:b/>
                <w:bCs/>
                <w:szCs w:val="24"/>
                <w:lang w:val="en-US"/>
              </w:rPr>
              <w:instrText>in</w:instrText>
            </w:r>
            <w:r w:rsidR="00053AE8" w:rsidRPr="002B3AE7">
              <w:rPr>
                <w:b/>
                <w:bCs/>
                <w:szCs w:val="24"/>
              </w:rPr>
              <w:instrText xml:space="preserve"> </w:instrText>
            </w:r>
            <w:r w:rsidR="00053AE8">
              <w:rPr>
                <w:b/>
                <w:bCs/>
                <w:szCs w:val="24"/>
                <w:lang w:val="en-US"/>
              </w:rPr>
              <w:instrText>refractory</w:instrText>
            </w:r>
            <w:r w:rsidR="00053AE8" w:rsidRPr="002B3AE7">
              <w:rPr>
                <w:b/>
                <w:bCs/>
                <w:szCs w:val="24"/>
              </w:rPr>
              <w:instrText xml:space="preserve"> </w:instrText>
            </w:r>
            <w:r w:rsidR="00053AE8">
              <w:rPr>
                <w:b/>
                <w:bCs/>
                <w:szCs w:val="24"/>
                <w:lang w:val="en-US"/>
              </w:rPr>
              <w:instrText>or</w:instrText>
            </w:r>
            <w:r w:rsidR="00053AE8" w:rsidRPr="002B3AE7">
              <w:rPr>
                <w:b/>
                <w:bCs/>
                <w:szCs w:val="24"/>
              </w:rPr>
              <w:instrText xml:space="preserve"> </w:instrText>
            </w:r>
            <w:r w:rsidR="00053AE8">
              <w:rPr>
                <w:b/>
                <w:bCs/>
                <w:szCs w:val="24"/>
                <w:lang w:val="en-US"/>
              </w:rPr>
              <w:instrText>relapsed</w:instrText>
            </w:r>
            <w:r w:rsidR="00053AE8" w:rsidRPr="002B3AE7">
              <w:rPr>
                <w:b/>
                <w:bCs/>
                <w:szCs w:val="24"/>
              </w:rPr>
              <w:instrText xml:space="preserve"> </w:instrText>
            </w:r>
            <w:r w:rsidR="00053AE8">
              <w:rPr>
                <w:b/>
                <w:bCs/>
                <w:szCs w:val="24"/>
                <w:lang w:val="en-US"/>
              </w:rPr>
              <w:instrText>Hodgkin</w:instrText>
            </w:r>
            <w:r w:rsidR="00053AE8" w:rsidRPr="002B3AE7">
              <w:rPr>
                <w:b/>
                <w:bCs/>
                <w:szCs w:val="24"/>
              </w:rPr>
              <w:instrText>'</w:instrText>
            </w:r>
            <w:r w:rsidR="00053AE8">
              <w:rPr>
                <w:b/>
                <w:bCs/>
                <w:szCs w:val="24"/>
                <w:lang w:val="en-US"/>
              </w:rPr>
              <w:instrText>s</w:instrText>
            </w:r>
            <w:r w:rsidR="00053AE8" w:rsidRPr="002B3AE7">
              <w:rPr>
                <w:b/>
                <w:bCs/>
                <w:szCs w:val="24"/>
              </w:rPr>
              <w:instrText xml:space="preserve"> </w:instrText>
            </w:r>
            <w:r w:rsidR="00053AE8">
              <w:rPr>
                <w:b/>
                <w:bCs/>
                <w:szCs w:val="24"/>
                <w:lang w:val="en-US"/>
              </w:rPr>
              <w:instrText>Lymphoma</w:instrText>
            </w:r>
            <w:r w:rsidR="00053AE8" w:rsidRPr="002B3AE7">
              <w:rPr>
                <w:b/>
                <w:bCs/>
                <w:szCs w:val="24"/>
              </w:rPr>
              <w:instrText>.","</w:instrText>
            </w:r>
            <w:r w:rsidR="00053AE8">
              <w:rPr>
                <w:b/>
                <w:bCs/>
                <w:szCs w:val="24"/>
                <w:lang w:val="en-US"/>
              </w:rPr>
              <w:instrText>author</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family</w:instrText>
            </w:r>
            <w:r w:rsidR="00053AE8" w:rsidRPr="002B3AE7">
              <w:rPr>
                <w:b/>
                <w:bCs/>
                <w:szCs w:val="24"/>
              </w:rPr>
              <w:instrText>":"</w:instrText>
            </w:r>
            <w:r w:rsidR="00053AE8">
              <w:rPr>
                <w:b/>
                <w:bCs/>
                <w:szCs w:val="24"/>
                <w:lang w:val="en-US"/>
              </w:rPr>
              <w:instrText>Ramzi</w:instrText>
            </w:r>
            <w:r w:rsidR="00053AE8" w:rsidRPr="002B3AE7">
              <w:rPr>
                <w:b/>
                <w:bCs/>
                <w:szCs w:val="24"/>
              </w:rPr>
              <w:instrText>","</w:instrText>
            </w:r>
            <w:r w:rsidR="00053AE8">
              <w:rPr>
                <w:b/>
                <w:bCs/>
                <w:szCs w:val="24"/>
                <w:lang w:val="en-US"/>
              </w:rPr>
              <w:instrText>given</w:instrText>
            </w:r>
            <w:r w:rsidR="00053AE8" w:rsidRPr="002B3AE7">
              <w:rPr>
                <w:b/>
                <w:bCs/>
                <w:szCs w:val="24"/>
              </w:rPr>
              <w:instrText>":"</w:instrText>
            </w:r>
            <w:r w:rsidR="00053AE8">
              <w:rPr>
                <w:b/>
                <w:bCs/>
                <w:szCs w:val="24"/>
                <w:lang w:val="en-US"/>
              </w:rPr>
              <w:instrText>Mani</w:instrText>
            </w:r>
            <w:r w:rsidR="00053AE8" w:rsidRPr="002B3AE7">
              <w:rPr>
                <w:b/>
                <w:bCs/>
                <w:szCs w:val="24"/>
              </w:rPr>
              <w:instrText>","</w:instrText>
            </w:r>
            <w:r w:rsidR="00053AE8">
              <w:rPr>
                <w:b/>
                <w:bCs/>
                <w:szCs w:val="24"/>
                <w:lang w:val="en-US"/>
              </w:rPr>
              <w:instrText>non</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parse</w:instrText>
            </w:r>
            <w:r w:rsidR="00053AE8" w:rsidRPr="002B3AE7">
              <w:rPr>
                <w:b/>
                <w:bCs/>
                <w:szCs w:val="24"/>
              </w:rPr>
              <w:instrText>-</w:instrText>
            </w:r>
            <w:r w:rsidR="00053AE8">
              <w:rPr>
                <w:b/>
                <w:bCs/>
                <w:szCs w:val="24"/>
                <w:lang w:val="en-US"/>
              </w:rPr>
              <w:instrText>names</w:instrText>
            </w:r>
            <w:r w:rsidR="00053AE8" w:rsidRPr="002B3AE7">
              <w:rPr>
                <w:b/>
                <w:bCs/>
                <w:szCs w:val="24"/>
              </w:rPr>
              <w:instrText>":</w:instrText>
            </w:r>
            <w:r w:rsidR="00053AE8">
              <w:rPr>
                <w:b/>
                <w:bCs/>
                <w:szCs w:val="24"/>
                <w:lang w:val="en-US"/>
              </w:rPr>
              <w:instrText>false</w:instrText>
            </w:r>
            <w:r w:rsidR="00053AE8" w:rsidRPr="002B3AE7">
              <w:rPr>
                <w:b/>
                <w:bCs/>
                <w:szCs w:val="24"/>
              </w:rPr>
              <w:instrText>,"</w:instrText>
            </w:r>
            <w:r w:rsidR="00053AE8">
              <w:rPr>
                <w:b/>
                <w:bCs/>
                <w:szCs w:val="24"/>
                <w:lang w:val="en-US"/>
              </w:rPr>
              <w:instrText>suffix</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family</w:instrText>
            </w:r>
            <w:r w:rsidR="00053AE8" w:rsidRPr="002B3AE7">
              <w:rPr>
                <w:b/>
                <w:bCs/>
                <w:szCs w:val="24"/>
              </w:rPr>
              <w:instrText>":"</w:instrText>
            </w:r>
            <w:r w:rsidR="00053AE8">
              <w:rPr>
                <w:b/>
                <w:bCs/>
                <w:szCs w:val="24"/>
                <w:lang w:val="en-US"/>
              </w:rPr>
              <w:instrText>Rezvani</w:instrText>
            </w:r>
            <w:r w:rsidR="00053AE8" w:rsidRPr="002B3AE7">
              <w:rPr>
                <w:b/>
                <w:bCs/>
                <w:szCs w:val="24"/>
              </w:rPr>
              <w:instrText>","</w:instrText>
            </w:r>
            <w:r w:rsidR="00053AE8">
              <w:rPr>
                <w:b/>
                <w:bCs/>
                <w:szCs w:val="24"/>
                <w:lang w:val="en-US"/>
              </w:rPr>
              <w:instrText>given</w:instrText>
            </w:r>
            <w:r w:rsidR="00053AE8" w:rsidRPr="002B3AE7">
              <w:rPr>
                <w:b/>
                <w:bCs/>
                <w:szCs w:val="24"/>
              </w:rPr>
              <w:instrText>":"</w:instrText>
            </w:r>
            <w:r w:rsidR="00053AE8">
              <w:rPr>
                <w:b/>
                <w:bCs/>
                <w:szCs w:val="24"/>
                <w:lang w:val="en-US"/>
              </w:rPr>
              <w:instrText>Aliraza</w:instrText>
            </w:r>
            <w:r w:rsidR="00053AE8" w:rsidRPr="002B3AE7">
              <w:rPr>
                <w:b/>
                <w:bCs/>
                <w:szCs w:val="24"/>
              </w:rPr>
              <w:instrText>","</w:instrText>
            </w:r>
            <w:r w:rsidR="00053AE8">
              <w:rPr>
                <w:b/>
                <w:bCs/>
                <w:szCs w:val="24"/>
                <w:lang w:val="en-US"/>
              </w:rPr>
              <w:instrText>non</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parse</w:instrText>
            </w:r>
            <w:r w:rsidR="00053AE8" w:rsidRPr="002B3AE7">
              <w:rPr>
                <w:b/>
                <w:bCs/>
                <w:szCs w:val="24"/>
              </w:rPr>
              <w:instrText>-</w:instrText>
            </w:r>
            <w:r w:rsidR="00053AE8">
              <w:rPr>
                <w:b/>
                <w:bCs/>
                <w:szCs w:val="24"/>
                <w:lang w:val="en-US"/>
              </w:rPr>
              <w:instrText>names</w:instrText>
            </w:r>
            <w:r w:rsidR="00053AE8" w:rsidRPr="002B3AE7">
              <w:rPr>
                <w:b/>
                <w:bCs/>
                <w:szCs w:val="24"/>
              </w:rPr>
              <w:instrText>":</w:instrText>
            </w:r>
            <w:r w:rsidR="00053AE8">
              <w:rPr>
                <w:b/>
                <w:bCs/>
                <w:szCs w:val="24"/>
                <w:lang w:val="en-US"/>
              </w:rPr>
              <w:instrText>false</w:instrText>
            </w:r>
            <w:r w:rsidR="00053AE8" w:rsidRPr="002B3AE7">
              <w:rPr>
                <w:b/>
                <w:bCs/>
                <w:szCs w:val="24"/>
              </w:rPr>
              <w:instrText>,</w:instrText>
            </w:r>
            <w:r w:rsidR="00053AE8">
              <w:rPr>
                <w:b/>
                <w:bCs/>
                <w:szCs w:val="24"/>
                <w:lang w:val="en-US"/>
              </w:rPr>
              <w:instrText>"suffix":""},{"dropping-particle":"","family":"Dehghani","given":"Mehdi","non-dropping-particle":"","parse-names":false,"suffix":""}],"container-title":"International journal of hematology-oncology and stem cell research","id":"ITEM-1","issue":"1","issued":{"date-parts":[["2015","1","1"]]},"page":"10-4","publisher":"Tehran University of Medical Sciences","title":"GDP versus ESHAP Regimen in Relapsed and/or Refractory Hodgkin lymphoma: A Comparison Study.","type":"article-journal","volume":"9"},"uris":["http://www.mendeley.com/documents/?uuid=45c0b22a-b58d-32c2-abd1-f7950018055f"]}],"mendeley":{"formattedCitation":"[131]","plainTextFormattedCitation":"[131]","previouslyFormattedCitation":"[131]"},"properties":{"noteIndex":0},"schema":"https://github.com/citation-style-language/schema/raw/master/csl-citation.json"}</w:instrText>
            </w:r>
            <w:r w:rsidR="002415BA">
              <w:rPr>
                <w:b/>
                <w:bCs/>
                <w:szCs w:val="24"/>
                <w:lang w:val="en-US"/>
              </w:rPr>
              <w:fldChar w:fldCharType="separate"/>
            </w:r>
            <w:r w:rsidR="00A60C8A" w:rsidRPr="00A60C8A">
              <w:rPr>
                <w:bCs/>
                <w:noProof/>
                <w:szCs w:val="24"/>
                <w:lang w:val="en-US"/>
              </w:rPr>
              <w:t>[131]</w:t>
            </w:r>
            <w:r w:rsidR="002415BA">
              <w:rPr>
                <w:b/>
                <w:bCs/>
                <w:szCs w:val="24"/>
                <w:lang w:val="en-US"/>
              </w:rPr>
              <w:fldChar w:fldCharType="end"/>
            </w:r>
          </w:p>
        </w:tc>
      </w:tr>
      <w:tr w:rsidR="001E738E" w:rsidRPr="00EA5B5D" w14:paraId="58AC0CBC" w14:textId="77777777" w:rsidTr="00B16826">
        <w:trPr>
          <w:trHeight w:val="329"/>
        </w:trPr>
        <w:tc>
          <w:tcPr>
            <w:tcW w:w="2339" w:type="dxa"/>
            <w:tcBorders>
              <w:top w:val="single" w:sz="4" w:space="0" w:color="auto"/>
              <w:left w:val="single" w:sz="4" w:space="0" w:color="auto"/>
              <w:bottom w:val="single" w:sz="4" w:space="0" w:color="auto"/>
              <w:right w:val="single" w:sz="4" w:space="0" w:color="auto"/>
            </w:tcBorders>
            <w:hideMark/>
          </w:tcPr>
          <w:p w14:paraId="580555B5" w14:textId="77777777" w:rsidR="001E738E" w:rsidRPr="00EA5B5D" w:rsidRDefault="001E738E" w:rsidP="00B16826">
            <w:pPr>
              <w:spacing w:line="240" w:lineRule="auto"/>
              <w:ind w:firstLine="0"/>
              <w:jc w:val="left"/>
              <w:rPr>
                <w:szCs w:val="24"/>
              </w:rPr>
            </w:pPr>
            <w:r w:rsidRPr="00EA5B5D">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5FB5DF16" w14:textId="77777777" w:rsidR="001E738E" w:rsidRPr="00EA5B5D" w:rsidRDefault="001E738E" w:rsidP="00B16826">
            <w:pPr>
              <w:spacing w:line="240" w:lineRule="auto"/>
              <w:ind w:firstLine="0"/>
              <w:jc w:val="left"/>
              <w:rPr>
                <w:szCs w:val="24"/>
              </w:rPr>
            </w:pPr>
            <w:r w:rsidRPr="00EA5B5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5F3C4321" w14:textId="77777777" w:rsidR="001E738E" w:rsidRPr="00EA5B5D" w:rsidRDefault="001E738E" w:rsidP="00B16826">
            <w:pPr>
              <w:spacing w:line="240" w:lineRule="auto"/>
              <w:ind w:firstLine="0"/>
              <w:jc w:val="left"/>
              <w:rPr>
                <w:szCs w:val="24"/>
              </w:rPr>
            </w:pPr>
            <w:r w:rsidRPr="00EA5B5D">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25E837A9" w14:textId="77777777" w:rsidR="001E738E" w:rsidRPr="00EA5B5D" w:rsidRDefault="001E738E" w:rsidP="00B16826">
            <w:pPr>
              <w:spacing w:line="240" w:lineRule="auto"/>
              <w:ind w:firstLine="0"/>
              <w:jc w:val="left"/>
              <w:rPr>
                <w:szCs w:val="24"/>
              </w:rPr>
            </w:pPr>
            <w:r w:rsidRPr="00EA5B5D">
              <w:rPr>
                <w:szCs w:val="24"/>
              </w:rPr>
              <w:t>Дни введения</w:t>
            </w:r>
          </w:p>
        </w:tc>
      </w:tr>
      <w:tr w:rsidR="001E738E" w:rsidRPr="00EA5B5D" w14:paraId="2C7759E4" w14:textId="77777777" w:rsidTr="00B16826">
        <w:trPr>
          <w:trHeight w:val="329"/>
        </w:trPr>
        <w:tc>
          <w:tcPr>
            <w:tcW w:w="2339" w:type="dxa"/>
            <w:tcBorders>
              <w:top w:val="single" w:sz="4" w:space="0" w:color="auto"/>
              <w:left w:val="single" w:sz="4" w:space="0" w:color="auto"/>
              <w:bottom w:val="single" w:sz="4" w:space="0" w:color="auto"/>
              <w:right w:val="single" w:sz="4" w:space="0" w:color="auto"/>
            </w:tcBorders>
            <w:hideMark/>
          </w:tcPr>
          <w:p w14:paraId="5B7166EE" w14:textId="77777777" w:rsidR="001E738E" w:rsidRPr="001E738E" w:rsidRDefault="001E738E" w:rsidP="001E738E">
            <w:pPr>
              <w:spacing w:line="240" w:lineRule="auto"/>
              <w:ind w:firstLine="0"/>
              <w:jc w:val="left"/>
              <w:rPr>
                <w:szCs w:val="24"/>
              </w:rPr>
            </w:pPr>
            <w:r w:rsidRPr="001E738E">
              <w:rPr>
                <w:szCs w:val="24"/>
              </w:rPr>
              <w:t>Этопозид</w:t>
            </w:r>
            <w:r w:rsidR="000E2605" w:rsidRPr="000E2605">
              <w:rPr>
                <w:szCs w:val="24"/>
              </w:rPr>
              <w:t>**</w:t>
            </w:r>
          </w:p>
        </w:tc>
        <w:tc>
          <w:tcPr>
            <w:tcW w:w="2339" w:type="dxa"/>
            <w:tcBorders>
              <w:top w:val="single" w:sz="4" w:space="0" w:color="auto"/>
              <w:left w:val="single" w:sz="4" w:space="0" w:color="auto"/>
              <w:bottom w:val="single" w:sz="4" w:space="0" w:color="auto"/>
              <w:right w:val="single" w:sz="4" w:space="0" w:color="auto"/>
            </w:tcBorders>
          </w:tcPr>
          <w:p w14:paraId="2886A21D" w14:textId="77777777" w:rsidR="001E738E" w:rsidRPr="001E738E" w:rsidRDefault="001E738E" w:rsidP="001E738E">
            <w:pPr>
              <w:spacing w:line="240" w:lineRule="auto"/>
              <w:ind w:firstLine="0"/>
              <w:jc w:val="left"/>
              <w:rPr>
                <w:szCs w:val="24"/>
              </w:rPr>
            </w:pPr>
            <w:r w:rsidRPr="001E738E">
              <w:rPr>
                <w:szCs w:val="24"/>
              </w:rPr>
              <w:t>40 мг/м</w:t>
            </w:r>
            <w:r w:rsidRPr="001E738E">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5005EA5B" w14:textId="77777777" w:rsidR="001E738E" w:rsidRPr="001E738E" w:rsidRDefault="001E738E" w:rsidP="001E738E">
            <w:pPr>
              <w:spacing w:line="240" w:lineRule="auto"/>
              <w:ind w:firstLine="0"/>
              <w:jc w:val="left"/>
              <w:rPr>
                <w:szCs w:val="24"/>
              </w:rPr>
            </w:pPr>
            <w:r w:rsidRPr="001E738E">
              <w:rPr>
                <w:szCs w:val="24"/>
              </w:rPr>
              <w:t>в/в кап.</w:t>
            </w:r>
          </w:p>
        </w:tc>
        <w:tc>
          <w:tcPr>
            <w:tcW w:w="2339" w:type="dxa"/>
            <w:tcBorders>
              <w:top w:val="single" w:sz="4" w:space="0" w:color="auto"/>
              <w:left w:val="single" w:sz="4" w:space="0" w:color="auto"/>
              <w:bottom w:val="single" w:sz="4" w:space="0" w:color="auto"/>
              <w:right w:val="single" w:sz="4" w:space="0" w:color="auto"/>
            </w:tcBorders>
          </w:tcPr>
          <w:p w14:paraId="0DFC8B44" w14:textId="77777777" w:rsidR="001E738E" w:rsidRPr="001E738E" w:rsidRDefault="001E738E" w:rsidP="001E738E">
            <w:pPr>
              <w:spacing w:line="240" w:lineRule="auto"/>
              <w:ind w:firstLine="0"/>
              <w:jc w:val="left"/>
              <w:rPr>
                <w:szCs w:val="24"/>
              </w:rPr>
            </w:pPr>
            <w:r w:rsidRPr="001E738E">
              <w:rPr>
                <w:szCs w:val="24"/>
              </w:rPr>
              <w:t>1-4</w:t>
            </w:r>
          </w:p>
        </w:tc>
      </w:tr>
      <w:tr w:rsidR="001E738E" w:rsidRPr="00EA5B5D" w14:paraId="28BA9016" w14:textId="77777777" w:rsidTr="00B16826">
        <w:trPr>
          <w:trHeight w:val="329"/>
        </w:trPr>
        <w:tc>
          <w:tcPr>
            <w:tcW w:w="2339" w:type="dxa"/>
            <w:tcBorders>
              <w:top w:val="single" w:sz="4" w:space="0" w:color="auto"/>
              <w:left w:val="single" w:sz="4" w:space="0" w:color="auto"/>
              <w:bottom w:val="single" w:sz="4" w:space="0" w:color="auto"/>
              <w:right w:val="single" w:sz="4" w:space="0" w:color="auto"/>
            </w:tcBorders>
            <w:hideMark/>
          </w:tcPr>
          <w:p w14:paraId="79C03D6A" w14:textId="77777777" w:rsidR="001E738E" w:rsidRPr="001E738E" w:rsidRDefault="001E738E" w:rsidP="001E738E">
            <w:pPr>
              <w:spacing w:line="240" w:lineRule="auto"/>
              <w:ind w:firstLine="0"/>
              <w:jc w:val="left"/>
              <w:rPr>
                <w:szCs w:val="24"/>
              </w:rPr>
            </w:pPr>
            <w:r w:rsidRPr="001E738E">
              <w:rPr>
                <w:szCs w:val="24"/>
              </w:rPr>
              <w:t>Метилпреднизолон</w:t>
            </w:r>
            <w:r w:rsidR="000E2605" w:rsidRPr="000E2605">
              <w:rPr>
                <w:szCs w:val="24"/>
              </w:rPr>
              <w:t>**</w:t>
            </w:r>
          </w:p>
        </w:tc>
        <w:tc>
          <w:tcPr>
            <w:tcW w:w="2339" w:type="dxa"/>
            <w:tcBorders>
              <w:top w:val="single" w:sz="4" w:space="0" w:color="auto"/>
              <w:left w:val="single" w:sz="4" w:space="0" w:color="auto"/>
              <w:bottom w:val="single" w:sz="4" w:space="0" w:color="auto"/>
              <w:right w:val="single" w:sz="4" w:space="0" w:color="auto"/>
            </w:tcBorders>
            <w:hideMark/>
          </w:tcPr>
          <w:p w14:paraId="5F01178C" w14:textId="77777777" w:rsidR="001E738E" w:rsidRPr="001E738E" w:rsidRDefault="001E738E" w:rsidP="001E738E">
            <w:pPr>
              <w:spacing w:line="240" w:lineRule="auto"/>
              <w:ind w:firstLine="0"/>
              <w:jc w:val="left"/>
              <w:rPr>
                <w:szCs w:val="24"/>
              </w:rPr>
            </w:pPr>
            <w:r w:rsidRPr="001E738E">
              <w:rPr>
                <w:szCs w:val="24"/>
              </w:rPr>
              <w:t>500 мг</w:t>
            </w:r>
          </w:p>
        </w:tc>
        <w:tc>
          <w:tcPr>
            <w:tcW w:w="2339" w:type="dxa"/>
            <w:tcBorders>
              <w:top w:val="single" w:sz="4" w:space="0" w:color="auto"/>
              <w:left w:val="single" w:sz="4" w:space="0" w:color="auto"/>
              <w:bottom w:val="single" w:sz="4" w:space="0" w:color="auto"/>
              <w:right w:val="single" w:sz="4" w:space="0" w:color="auto"/>
            </w:tcBorders>
            <w:hideMark/>
          </w:tcPr>
          <w:p w14:paraId="47F1426E" w14:textId="77777777" w:rsidR="001E738E" w:rsidRPr="001E738E" w:rsidRDefault="001E738E" w:rsidP="001E738E">
            <w:pPr>
              <w:spacing w:line="240" w:lineRule="auto"/>
              <w:ind w:firstLine="0"/>
              <w:jc w:val="left"/>
              <w:rPr>
                <w:szCs w:val="24"/>
              </w:rPr>
            </w:pPr>
            <w:r w:rsidRPr="001E738E">
              <w:rPr>
                <w:szCs w:val="24"/>
              </w:rPr>
              <w:t>в/в кап</w:t>
            </w:r>
          </w:p>
        </w:tc>
        <w:tc>
          <w:tcPr>
            <w:tcW w:w="2339" w:type="dxa"/>
            <w:tcBorders>
              <w:top w:val="single" w:sz="4" w:space="0" w:color="auto"/>
              <w:left w:val="single" w:sz="4" w:space="0" w:color="auto"/>
              <w:bottom w:val="single" w:sz="4" w:space="0" w:color="auto"/>
              <w:right w:val="single" w:sz="4" w:space="0" w:color="auto"/>
            </w:tcBorders>
            <w:hideMark/>
          </w:tcPr>
          <w:p w14:paraId="0D8E575F" w14:textId="77777777" w:rsidR="001E738E" w:rsidRPr="001E738E" w:rsidRDefault="001E738E" w:rsidP="001E738E">
            <w:pPr>
              <w:spacing w:line="240" w:lineRule="auto"/>
              <w:ind w:firstLine="0"/>
              <w:jc w:val="left"/>
              <w:rPr>
                <w:szCs w:val="24"/>
              </w:rPr>
            </w:pPr>
            <w:r w:rsidRPr="001E738E">
              <w:rPr>
                <w:szCs w:val="24"/>
              </w:rPr>
              <w:t>1-</w:t>
            </w:r>
            <w:r w:rsidR="002415BA">
              <w:rPr>
                <w:szCs w:val="24"/>
                <w:lang w:val="en-US"/>
              </w:rPr>
              <w:t>4</w:t>
            </w:r>
          </w:p>
        </w:tc>
      </w:tr>
      <w:tr w:rsidR="001E738E" w:rsidRPr="00EA5B5D" w14:paraId="004032DF" w14:textId="77777777" w:rsidTr="00B16826">
        <w:trPr>
          <w:trHeight w:val="329"/>
        </w:trPr>
        <w:tc>
          <w:tcPr>
            <w:tcW w:w="2339" w:type="dxa"/>
            <w:tcBorders>
              <w:top w:val="single" w:sz="4" w:space="0" w:color="auto"/>
              <w:left w:val="single" w:sz="4" w:space="0" w:color="auto"/>
              <w:bottom w:val="single" w:sz="4" w:space="0" w:color="auto"/>
              <w:right w:val="single" w:sz="4" w:space="0" w:color="auto"/>
            </w:tcBorders>
          </w:tcPr>
          <w:p w14:paraId="183654CA" w14:textId="77777777" w:rsidR="001E738E" w:rsidRPr="001E738E" w:rsidRDefault="000E2605" w:rsidP="001E738E">
            <w:pPr>
              <w:spacing w:line="240" w:lineRule="auto"/>
              <w:ind w:firstLine="0"/>
              <w:jc w:val="left"/>
              <w:rPr>
                <w:szCs w:val="24"/>
              </w:rPr>
            </w:pPr>
            <w:r w:rsidRPr="002415BA">
              <w:rPr>
                <w:szCs w:val="24"/>
              </w:rPr>
              <w:t>#</w:t>
            </w:r>
            <w:r w:rsidR="001E738E" w:rsidRPr="001E738E">
              <w:rPr>
                <w:szCs w:val="24"/>
              </w:rPr>
              <w:t>Цисплатин</w:t>
            </w:r>
            <w:r w:rsidRPr="000E2605">
              <w:rPr>
                <w:szCs w:val="24"/>
              </w:rPr>
              <w:t>**</w:t>
            </w:r>
          </w:p>
        </w:tc>
        <w:tc>
          <w:tcPr>
            <w:tcW w:w="2339" w:type="dxa"/>
            <w:tcBorders>
              <w:top w:val="single" w:sz="4" w:space="0" w:color="auto"/>
              <w:left w:val="single" w:sz="4" w:space="0" w:color="auto"/>
              <w:bottom w:val="single" w:sz="4" w:space="0" w:color="auto"/>
              <w:right w:val="single" w:sz="4" w:space="0" w:color="auto"/>
            </w:tcBorders>
          </w:tcPr>
          <w:p w14:paraId="775F9715" w14:textId="77777777" w:rsidR="001E738E" w:rsidRPr="001E738E" w:rsidRDefault="001E738E" w:rsidP="001E738E">
            <w:pPr>
              <w:spacing w:line="240" w:lineRule="auto"/>
              <w:ind w:firstLine="0"/>
              <w:jc w:val="left"/>
              <w:rPr>
                <w:szCs w:val="24"/>
              </w:rPr>
            </w:pPr>
            <w:r w:rsidRPr="001E738E">
              <w:rPr>
                <w:szCs w:val="24"/>
              </w:rPr>
              <w:t>25 мг/м</w:t>
            </w:r>
            <w:r w:rsidRPr="001E738E">
              <w:rPr>
                <w:szCs w:val="24"/>
                <w:vertAlign w:val="superscript"/>
              </w:rPr>
              <w:t>2</w:t>
            </w:r>
            <w:r w:rsidRPr="001E738E">
              <w:rPr>
                <w:szCs w:val="24"/>
              </w:rPr>
              <w:t>/сут</w:t>
            </w:r>
          </w:p>
        </w:tc>
        <w:tc>
          <w:tcPr>
            <w:tcW w:w="2339" w:type="dxa"/>
            <w:tcBorders>
              <w:top w:val="single" w:sz="4" w:space="0" w:color="auto"/>
              <w:left w:val="single" w:sz="4" w:space="0" w:color="auto"/>
              <w:bottom w:val="single" w:sz="4" w:space="0" w:color="auto"/>
              <w:right w:val="single" w:sz="4" w:space="0" w:color="auto"/>
            </w:tcBorders>
          </w:tcPr>
          <w:p w14:paraId="2933E855" w14:textId="77777777" w:rsidR="001E738E" w:rsidRPr="001E738E" w:rsidRDefault="001E738E" w:rsidP="001E738E">
            <w:pPr>
              <w:spacing w:line="240" w:lineRule="auto"/>
              <w:ind w:firstLine="0"/>
              <w:jc w:val="left"/>
              <w:rPr>
                <w:szCs w:val="24"/>
              </w:rPr>
            </w:pPr>
            <w:r w:rsidRPr="001E738E">
              <w:rPr>
                <w:szCs w:val="24"/>
              </w:rPr>
              <w:t>в/в непрерывная инфузия</w:t>
            </w:r>
          </w:p>
        </w:tc>
        <w:tc>
          <w:tcPr>
            <w:tcW w:w="2339" w:type="dxa"/>
            <w:tcBorders>
              <w:top w:val="single" w:sz="4" w:space="0" w:color="auto"/>
              <w:left w:val="single" w:sz="4" w:space="0" w:color="auto"/>
              <w:bottom w:val="single" w:sz="4" w:space="0" w:color="auto"/>
              <w:right w:val="single" w:sz="4" w:space="0" w:color="auto"/>
            </w:tcBorders>
          </w:tcPr>
          <w:p w14:paraId="4764C757" w14:textId="77777777" w:rsidR="001E738E" w:rsidRPr="001E738E" w:rsidRDefault="001E738E" w:rsidP="001E738E">
            <w:pPr>
              <w:spacing w:line="240" w:lineRule="auto"/>
              <w:ind w:firstLine="0"/>
              <w:jc w:val="left"/>
              <w:rPr>
                <w:szCs w:val="24"/>
              </w:rPr>
            </w:pPr>
            <w:r w:rsidRPr="001E738E">
              <w:rPr>
                <w:szCs w:val="24"/>
              </w:rPr>
              <w:t>1-4</w:t>
            </w:r>
          </w:p>
        </w:tc>
      </w:tr>
      <w:tr w:rsidR="001E738E" w:rsidRPr="00EA5B5D" w14:paraId="22BF8308" w14:textId="77777777" w:rsidTr="00B16826">
        <w:trPr>
          <w:trHeight w:val="329"/>
        </w:trPr>
        <w:tc>
          <w:tcPr>
            <w:tcW w:w="2339" w:type="dxa"/>
            <w:tcBorders>
              <w:top w:val="single" w:sz="4" w:space="0" w:color="auto"/>
              <w:left w:val="single" w:sz="4" w:space="0" w:color="auto"/>
              <w:bottom w:val="single" w:sz="4" w:space="0" w:color="auto"/>
              <w:right w:val="single" w:sz="4" w:space="0" w:color="auto"/>
            </w:tcBorders>
          </w:tcPr>
          <w:p w14:paraId="39EC3575" w14:textId="77777777" w:rsidR="001E738E" w:rsidRPr="001E738E" w:rsidRDefault="001E738E" w:rsidP="001E738E">
            <w:pPr>
              <w:spacing w:line="240" w:lineRule="auto"/>
              <w:ind w:firstLine="0"/>
              <w:jc w:val="left"/>
              <w:rPr>
                <w:szCs w:val="24"/>
              </w:rPr>
            </w:pPr>
            <w:r w:rsidRPr="001E738E">
              <w:rPr>
                <w:szCs w:val="24"/>
              </w:rPr>
              <w:t>Цитарабин</w:t>
            </w:r>
            <w:r w:rsidR="000E2605" w:rsidRPr="000E2605">
              <w:rPr>
                <w:szCs w:val="24"/>
              </w:rPr>
              <w:t>**</w:t>
            </w:r>
          </w:p>
        </w:tc>
        <w:tc>
          <w:tcPr>
            <w:tcW w:w="2339" w:type="dxa"/>
            <w:tcBorders>
              <w:top w:val="single" w:sz="4" w:space="0" w:color="auto"/>
              <w:left w:val="single" w:sz="4" w:space="0" w:color="auto"/>
              <w:bottom w:val="single" w:sz="4" w:space="0" w:color="auto"/>
              <w:right w:val="single" w:sz="4" w:space="0" w:color="auto"/>
            </w:tcBorders>
          </w:tcPr>
          <w:p w14:paraId="35CB95EF" w14:textId="77777777" w:rsidR="001E738E" w:rsidRPr="001E738E" w:rsidRDefault="001E738E" w:rsidP="001E738E">
            <w:pPr>
              <w:spacing w:line="240" w:lineRule="auto"/>
              <w:ind w:firstLine="0"/>
              <w:jc w:val="left"/>
              <w:rPr>
                <w:szCs w:val="24"/>
              </w:rPr>
            </w:pPr>
            <w:r w:rsidRPr="001E738E">
              <w:rPr>
                <w:szCs w:val="24"/>
              </w:rPr>
              <w:t>2000 мг/м</w:t>
            </w:r>
            <w:r w:rsidRPr="001E738E">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5E43BE2D" w14:textId="77777777" w:rsidR="001E738E" w:rsidRPr="001E738E" w:rsidRDefault="001E738E" w:rsidP="001E738E">
            <w:pPr>
              <w:spacing w:line="240" w:lineRule="auto"/>
              <w:ind w:firstLine="0"/>
              <w:jc w:val="left"/>
              <w:rPr>
                <w:szCs w:val="24"/>
              </w:rPr>
            </w:pPr>
            <w:r w:rsidRPr="001E738E">
              <w:rPr>
                <w:szCs w:val="24"/>
              </w:rPr>
              <w:t>в/в кап.,</w:t>
            </w:r>
          </w:p>
        </w:tc>
        <w:tc>
          <w:tcPr>
            <w:tcW w:w="2339" w:type="dxa"/>
            <w:tcBorders>
              <w:top w:val="single" w:sz="4" w:space="0" w:color="auto"/>
              <w:left w:val="single" w:sz="4" w:space="0" w:color="auto"/>
              <w:bottom w:val="single" w:sz="4" w:space="0" w:color="auto"/>
              <w:right w:val="single" w:sz="4" w:space="0" w:color="auto"/>
            </w:tcBorders>
          </w:tcPr>
          <w:p w14:paraId="67E3A1B5" w14:textId="77777777" w:rsidR="001E738E" w:rsidRPr="001E738E" w:rsidRDefault="001E738E" w:rsidP="001E738E">
            <w:pPr>
              <w:spacing w:line="240" w:lineRule="auto"/>
              <w:ind w:firstLine="0"/>
              <w:jc w:val="left"/>
              <w:rPr>
                <w:szCs w:val="24"/>
              </w:rPr>
            </w:pPr>
            <w:r w:rsidRPr="001E738E">
              <w:rPr>
                <w:szCs w:val="24"/>
              </w:rPr>
              <w:t>5</w:t>
            </w:r>
          </w:p>
        </w:tc>
      </w:tr>
      <w:tr w:rsidR="001E738E" w:rsidRPr="00EA5B5D" w14:paraId="1B554E3B" w14:textId="77777777" w:rsidTr="00B16826">
        <w:trPr>
          <w:trHeight w:val="329"/>
        </w:trPr>
        <w:tc>
          <w:tcPr>
            <w:tcW w:w="9356" w:type="dxa"/>
            <w:gridSpan w:val="4"/>
            <w:tcBorders>
              <w:top w:val="nil"/>
              <w:left w:val="nil"/>
              <w:bottom w:val="single" w:sz="4" w:space="0" w:color="auto"/>
              <w:right w:val="nil"/>
            </w:tcBorders>
          </w:tcPr>
          <w:p w14:paraId="2812A16D" w14:textId="77777777" w:rsidR="00015B13" w:rsidRPr="002415BA" w:rsidRDefault="00015B13" w:rsidP="00B16826">
            <w:pPr>
              <w:spacing w:line="240" w:lineRule="auto"/>
              <w:ind w:firstLine="0"/>
              <w:jc w:val="left"/>
              <w:rPr>
                <w:b/>
                <w:bCs/>
                <w:szCs w:val="24"/>
              </w:rPr>
            </w:pPr>
          </w:p>
          <w:p w14:paraId="6DC78C11" w14:textId="55A88656" w:rsidR="001E738E" w:rsidRPr="002415BA" w:rsidRDefault="001E738E" w:rsidP="00B16826">
            <w:pPr>
              <w:spacing w:line="240" w:lineRule="auto"/>
              <w:ind w:firstLine="0"/>
              <w:jc w:val="left"/>
              <w:rPr>
                <w:b/>
                <w:bCs/>
                <w:szCs w:val="24"/>
              </w:rPr>
            </w:pPr>
            <w:r>
              <w:rPr>
                <w:b/>
                <w:bCs/>
                <w:szCs w:val="24"/>
                <w:lang w:val="en-US"/>
              </w:rPr>
              <w:t>ICE</w:t>
            </w:r>
            <w:r w:rsidR="002415BA">
              <w:rPr>
                <w:b/>
                <w:bCs/>
                <w:szCs w:val="24"/>
                <w:lang w:val="en-US"/>
              </w:rPr>
              <w:t xml:space="preserve"> </w:t>
            </w:r>
            <w:r w:rsidR="002415BA">
              <w:rPr>
                <w:b/>
                <w:bCs/>
                <w:szCs w:val="24"/>
                <w:lang w:val="en-US"/>
              </w:rPr>
              <w:fldChar w:fldCharType="begin" w:fldLock="1"/>
            </w:r>
            <w:r w:rsidR="00053AE8">
              <w:rPr>
                <w:b/>
                <w:bCs/>
                <w:szCs w:val="24"/>
                <w:lang w:val="en-US"/>
              </w:rPr>
              <w:instrText>ADDIN CSL_CITATION {"citationItems":[{"id":"ITEM-1","itemData":{"DOI":"10.1080/10428194.2017.1359741","ISSN":"10292403","abstract":"This phase-I/phase-II study evaluated panobinostat in combination with ifosfamide, carboplatin, etoposide (P-ICE) in relapsed/refractory classical Hodgkin lymphoma. During phase I, panobinostat was given daily on Monday/Wednesday/Friday starting one week prior to Cycle 1 (C1) of ICE and during two weeks of C1-2 of ICE (Schedule A). No DLT was observed at 30 mg. However, frequent (84%) grade-4 thrombocytopenia during second week prompted us to omit the second week of panobinostat 30mg (Schedule B) for phase II, where this regimen was compared to ICE. In the randomized phase-II study, CR was seen in 9/11 (82%) and 8/12 (67%) for P-ICE and ICE, respectively (p=.64). Grade-4 neutropenia (55% vs. 8%) and thrombocytopenia (100% vs. 33%) were more common in P-ICE. In summary, combination therapy using panobinostat produced high CR rate at the cost of greater bone marrow toxicity. Investigation of panobinostat with less myelosuppressive agents is of interest.","author":[{"dropping-particle":"","family":"Hu","given":"Bei","non-dropping-particle":"","parse-names":false,"suffix":""},{"dropping-particle":"","family":"Younes","given":"Anas","non-dropping-particle":"","parse-names":false,"suffix":""},{"dropping-particle":"","family":"Westin","given":"Jason R.","non-dropping-particle":"","parse-names":false,"suffix":""},{"dropping-particle":"","family":"Turturro","given":"Francesco","non-dropping-particle":"","parse-names":false,"suffix":""},{"dropping-particle":"","family":"Claret","given":"Linda","non-dropping-particle":"","parse-names":false,"suffix":""},{"dropping-particle":"","family":"Feng","given":"Lei","non-dropping-particle":"","parse-names":false,"suffix":""},{"dropping-particle":"","family":"Fowler","given":"Nathan","non-dropping-particle":"","parse-names":false,"suffix":""},{"dropping-particle":"","family":"Neelapu","given":"Sattva","non-dropping-particle":"","parse-names":false,"suffix":""},{"dropping-particle":"","family":"Romaguera","given":"Jorge","non-dropping-particle":"","parse-names":false,"suffix":""},{"dropping-particle":"","family":"Hagemeister","given":"Fredrick B.","non-dropping-particle":"","parse-names":false,"suffix":""},{"dropping-particle":"","family":"Rodriguez","given":"Maria Alma","non-dropping-particle":"","parse-names":false,"suffix":""},{"dropping-particle":"","family":"Samaniego","given":"Felipe","non-dropping-particle":"","parse-names":false,"suffix":""},{"dropping-particle":"","family":"Fayad","given":"Luis E.","non-dropping-particle":"","parse-names":false,"suffix":""},{"dropping-particle":"","family":"Copeland","given":"Amanda R.","non-dropping-particle":"","parse-names":false,"suffix":""},{"dropping-particle":"","family":"Nastoupil","given":"Loretta J.","non-dropping-particle":"","parse-names":false,"suffix":""},{"dropping-particle":"","family":"Nieto","given":"Yago","non-dropping-particle":"","parse-names":false,"suffix":""},{"dropping-particle":"","family":"Fanale","given":"Michelle A.","non-dropping-particle":"","parse-names":false,"suffix":""},{"dropping-particle":"","family":"Oki","given":"Yasuhiro","non-dropping-particle":"","parse-names":false,"suffix":""}],"container-title":"Leukemia and Lymphoma","id":"ITEM-1","issue":"4","issued":{"date-parts":[["2018","8","10"]]},"page":"863-870","publisher":"Taylor and Francis Ltd","title":"Phase-I and randomized phase-II trial of panobinostat in combination with ICE (Ifosfamide, carboplatin, etoposide) in relapsed or refractory classical hodgkin lymphoma","type":"article-journal","volume":"59"},"uris":["http://www.mendeley.com/documents/?uuid=115e0a6b-5d45-3444-9185-badf5a7b389a"]}],"mendeley":{"formattedCitation":"[132]","plainTextFormattedCitation":"[132]","previouslyFormattedCitation":"[132]"},"properties":{"noteIndex":0},"schema":"https://github.com/citation-style-language/schema/raw/master/csl-citation.json"}</w:instrText>
            </w:r>
            <w:r w:rsidR="002415BA">
              <w:rPr>
                <w:b/>
                <w:bCs/>
                <w:szCs w:val="24"/>
                <w:lang w:val="en-US"/>
              </w:rPr>
              <w:fldChar w:fldCharType="separate"/>
            </w:r>
            <w:r w:rsidR="00A60C8A" w:rsidRPr="00A60C8A">
              <w:rPr>
                <w:bCs/>
                <w:noProof/>
                <w:szCs w:val="24"/>
                <w:lang w:val="en-US"/>
              </w:rPr>
              <w:t>[132]</w:t>
            </w:r>
            <w:r w:rsidR="002415BA">
              <w:rPr>
                <w:b/>
                <w:bCs/>
                <w:szCs w:val="24"/>
                <w:lang w:val="en-US"/>
              </w:rPr>
              <w:fldChar w:fldCharType="end"/>
            </w:r>
          </w:p>
        </w:tc>
      </w:tr>
      <w:tr w:rsidR="001E738E" w:rsidRPr="00EA5B5D" w14:paraId="50DB4B32" w14:textId="77777777" w:rsidTr="00B16826">
        <w:trPr>
          <w:trHeight w:val="329"/>
        </w:trPr>
        <w:tc>
          <w:tcPr>
            <w:tcW w:w="2339" w:type="dxa"/>
            <w:tcBorders>
              <w:top w:val="single" w:sz="4" w:space="0" w:color="auto"/>
              <w:left w:val="single" w:sz="4" w:space="0" w:color="auto"/>
              <w:bottom w:val="single" w:sz="4" w:space="0" w:color="auto"/>
              <w:right w:val="single" w:sz="4" w:space="0" w:color="auto"/>
            </w:tcBorders>
            <w:hideMark/>
          </w:tcPr>
          <w:p w14:paraId="32A6F032" w14:textId="77777777" w:rsidR="001E738E" w:rsidRPr="00EA5B5D" w:rsidRDefault="001E738E" w:rsidP="00B16826">
            <w:pPr>
              <w:spacing w:line="240" w:lineRule="auto"/>
              <w:ind w:firstLine="0"/>
              <w:jc w:val="left"/>
              <w:rPr>
                <w:szCs w:val="24"/>
              </w:rPr>
            </w:pPr>
            <w:r w:rsidRPr="00EA5B5D">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495981EF" w14:textId="77777777" w:rsidR="001E738E" w:rsidRPr="00EA5B5D" w:rsidRDefault="001E738E" w:rsidP="00B16826">
            <w:pPr>
              <w:spacing w:line="240" w:lineRule="auto"/>
              <w:ind w:firstLine="0"/>
              <w:jc w:val="left"/>
              <w:rPr>
                <w:szCs w:val="24"/>
              </w:rPr>
            </w:pPr>
            <w:r w:rsidRPr="00EA5B5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09DA8A84" w14:textId="77777777" w:rsidR="001E738E" w:rsidRPr="00EA5B5D" w:rsidRDefault="001E738E" w:rsidP="00B16826">
            <w:pPr>
              <w:spacing w:line="240" w:lineRule="auto"/>
              <w:ind w:firstLine="0"/>
              <w:jc w:val="left"/>
              <w:rPr>
                <w:szCs w:val="24"/>
              </w:rPr>
            </w:pPr>
            <w:r w:rsidRPr="00EA5B5D">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20009184" w14:textId="77777777" w:rsidR="001E738E" w:rsidRPr="00EA5B5D" w:rsidRDefault="001E738E" w:rsidP="00B16826">
            <w:pPr>
              <w:spacing w:line="240" w:lineRule="auto"/>
              <w:ind w:firstLine="0"/>
              <w:jc w:val="left"/>
              <w:rPr>
                <w:szCs w:val="24"/>
              </w:rPr>
            </w:pPr>
            <w:r w:rsidRPr="00EA5B5D">
              <w:rPr>
                <w:szCs w:val="24"/>
              </w:rPr>
              <w:t>Дни введения</w:t>
            </w:r>
          </w:p>
        </w:tc>
      </w:tr>
      <w:tr w:rsidR="001E738E" w:rsidRPr="00EA5B5D" w14:paraId="4C0E6F6E" w14:textId="77777777" w:rsidTr="00B16826">
        <w:trPr>
          <w:trHeight w:val="329"/>
        </w:trPr>
        <w:tc>
          <w:tcPr>
            <w:tcW w:w="2339" w:type="dxa"/>
            <w:tcBorders>
              <w:top w:val="single" w:sz="4" w:space="0" w:color="auto"/>
              <w:left w:val="single" w:sz="4" w:space="0" w:color="auto"/>
              <w:bottom w:val="single" w:sz="4" w:space="0" w:color="auto"/>
              <w:right w:val="single" w:sz="4" w:space="0" w:color="auto"/>
            </w:tcBorders>
            <w:hideMark/>
          </w:tcPr>
          <w:p w14:paraId="07E099A1" w14:textId="77777777" w:rsidR="001E738E" w:rsidRPr="00015B13" w:rsidRDefault="00015B13" w:rsidP="001E738E">
            <w:pPr>
              <w:spacing w:line="240" w:lineRule="auto"/>
              <w:ind w:firstLine="0"/>
              <w:jc w:val="left"/>
              <w:rPr>
                <w:szCs w:val="24"/>
              </w:rPr>
            </w:pPr>
            <w:r>
              <w:rPr>
                <w:szCs w:val="24"/>
              </w:rPr>
              <w:t>Этопозид</w:t>
            </w:r>
            <w:r w:rsidR="000E2605" w:rsidRPr="000E2605">
              <w:rPr>
                <w:szCs w:val="24"/>
              </w:rPr>
              <w:t>**</w:t>
            </w:r>
          </w:p>
        </w:tc>
        <w:tc>
          <w:tcPr>
            <w:tcW w:w="2339" w:type="dxa"/>
            <w:tcBorders>
              <w:top w:val="single" w:sz="4" w:space="0" w:color="auto"/>
              <w:left w:val="single" w:sz="4" w:space="0" w:color="auto"/>
              <w:bottom w:val="single" w:sz="4" w:space="0" w:color="auto"/>
              <w:right w:val="single" w:sz="4" w:space="0" w:color="auto"/>
            </w:tcBorders>
          </w:tcPr>
          <w:p w14:paraId="4E726E82" w14:textId="77777777" w:rsidR="001E738E" w:rsidRPr="001E738E" w:rsidRDefault="001E738E" w:rsidP="001E738E">
            <w:pPr>
              <w:spacing w:line="240" w:lineRule="auto"/>
              <w:ind w:firstLine="0"/>
              <w:jc w:val="left"/>
              <w:rPr>
                <w:szCs w:val="24"/>
              </w:rPr>
            </w:pPr>
            <w:r w:rsidRPr="001E738E">
              <w:rPr>
                <w:szCs w:val="24"/>
              </w:rPr>
              <w:t>100 мг/м</w:t>
            </w:r>
            <w:r w:rsidRPr="001E738E">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170653D6" w14:textId="77777777" w:rsidR="001E738E" w:rsidRPr="001E738E" w:rsidRDefault="001E738E" w:rsidP="001E738E">
            <w:pPr>
              <w:spacing w:line="240" w:lineRule="auto"/>
              <w:ind w:firstLine="0"/>
              <w:jc w:val="left"/>
              <w:rPr>
                <w:szCs w:val="24"/>
              </w:rPr>
            </w:pPr>
            <w:r w:rsidRPr="001E738E">
              <w:rPr>
                <w:szCs w:val="24"/>
              </w:rPr>
              <w:t>в/в кап</w:t>
            </w:r>
          </w:p>
        </w:tc>
        <w:tc>
          <w:tcPr>
            <w:tcW w:w="2339" w:type="dxa"/>
            <w:tcBorders>
              <w:top w:val="single" w:sz="4" w:space="0" w:color="auto"/>
              <w:left w:val="single" w:sz="4" w:space="0" w:color="auto"/>
              <w:bottom w:val="single" w:sz="4" w:space="0" w:color="auto"/>
              <w:right w:val="single" w:sz="4" w:space="0" w:color="auto"/>
            </w:tcBorders>
          </w:tcPr>
          <w:p w14:paraId="68CAEDB7" w14:textId="77777777" w:rsidR="001E738E" w:rsidRPr="001E738E" w:rsidRDefault="001E738E" w:rsidP="001E738E">
            <w:pPr>
              <w:spacing w:line="240" w:lineRule="auto"/>
              <w:ind w:firstLine="0"/>
              <w:jc w:val="left"/>
              <w:rPr>
                <w:szCs w:val="24"/>
              </w:rPr>
            </w:pPr>
            <w:r w:rsidRPr="001E738E">
              <w:rPr>
                <w:szCs w:val="24"/>
              </w:rPr>
              <w:t>1-3</w:t>
            </w:r>
          </w:p>
        </w:tc>
      </w:tr>
      <w:tr w:rsidR="001E738E" w:rsidRPr="00EA5B5D" w14:paraId="3E4B7CAD" w14:textId="77777777" w:rsidTr="00B16826">
        <w:trPr>
          <w:trHeight w:val="329"/>
        </w:trPr>
        <w:tc>
          <w:tcPr>
            <w:tcW w:w="2339" w:type="dxa"/>
            <w:tcBorders>
              <w:top w:val="single" w:sz="4" w:space="0" w:color="auto"/>
              <w:left w:val="single" w:sz="4" w:space="0" w:color="auto"/>
              <w:bottom w:val="single" w:sz="4" w:space="0" w:color="auto"/>
              <w:right w:val="single" w:sz="4" w:space="0" w:color="auto"/>
            </w:tcBorders>
            <w:hideMark/>
          </w:tcPr>
          <w:p w14:paraId="60D5A2A7" w14:textId="77777777" w:rsidR="001E738E" w:rsidRPr="001E738E" w:rsidRDefault="001E738E" w:rsidP="001E738E">
            <w:pPr>
              <w:spacing w:line="240" w:lineRule="auto"/>
              <w:ind w:firstLine="0"/>
              <w:jc w:val="left"/>
              <w:rPr>
                <w:szCs w:val="24"/>
              </w:rPr>
            </w:pPr>
            <w:r w:rsidRPr="001E738E">
              <w:rPr>
                <w:szCs w:val="24"/>
              </w:rPr>
              <w:t>Ифосфамид</w:t>
            </w:r>
            <w:r w:rsidR="000E2605" w:rsidRPr="000E2605">
              <w:rPr>
                <w:szCs w:val="24"/>
              </w:rPr>
              <w:t>**</w:t>
            </w:r>
          </w:p>
        </w:tc>
        <w:tc>
          <w:tcPr>
            <w:tcW w:w="2339" w:type="dxa"/>
            <w:tcBorders>
              <w:top w:val="single" w:sz="4" w:space="0" w:color="auto"/>
              <w:left w:val="single" w:sz="4" w:space="0" w:color="auto"/>
              <w:bottom w:val="single" w:sz="4" w:space="0" w:color="auto"/>
              <w:right w:val="single" w:sz="4" w:space="0" w:color="auto"/>
            </w:tcBorders>
            <w:hideMark/>
          </w:tcPr>
          <w:p w14:paraId="7ECDDCBF" w14:textId="77777777" w:rsidR="001E738E" w:rsidRPr="001E738E" w:rsidRDefault="001E738E" w:rsidP="001E738E">
            <w:pPr>
              <w:spacing w:line="240" w:lineRule="auto"/>
              <w:ind w:firstLine="0"/>
              <w:jc w:val="left"/>
              <w:rPr>
                <w:szCs w:val="24"/>
              </w:rPr>
            </w:pPr>
            <w:r w:rsidRPr="001E738E">
              <w:rPr>
                <w:szCs w:val="24"/>
              </w:rPr>
              <w:t>5000 мг/м</w:t>
            </w:r>
            <w:r w:rsidRPr="001E738E">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3A9A83CC" w14:textId="77777777" w:rsidR="001E738E" w:rsidRPr="001E738E" w:rsidRDefault="001E738E" w:rsidP="001E738E">
            <w:pPr>
              <w:spacing w:line="240" w:lineRule="auto"/>
              <w:ind w:firstLine="0"/>
              <w:jc w:val="left"/>
              <w:rPr>
                <w:szCs w:val="24"/>
              </w:rPr>
            </w:pPr>
            <w:r w:rsidRPr="001E738E">
              <w:rPr>
                <w:szCs w:val="24"/>
              </w:rPr>
              <w:t>в/в 24-часовая инфузия</w:t>
            </w:r>
          </w:p>
        </w:tc>
        <w:tc>
          <w:tcPr>
            <w:tcW w:w="2339" w:type="dxa"/>
            <w:tcBorders>
              <w:top w:val="single" w:sz="4" w:space="0" w:color="auto"/>
              <w:left w:val="single" w:sz="4" w:space="0" w:color="auto"/>
              <w:bottom w:val="single" w:sz="4" w:space="0" w:color="auto"/>
              <w:right w:val="single" w:sz="4" w:space="0" w:color="auto"/>
            </w:tcBorders>
            <w:hideMark/>
          </w:tcPr>
          <w:p w14:paraId="54BEFF0D" w14:textId="77777777" w:rsidR="001E738E" w:rsidRPr="002415BA" w:rsidRDefault="002415BA" w:rsidP="001E738E">
            <w:pPr>
              <w:spacing w:line="240" w:lineRule="auto"/>
              <w:ind w:firstLine="0"/>
              <w:jc w:val="left"/>
              <w:rPr>
                <w:szCs w:val="24"/>
                <w:lang w:val="en-US"/>
              </w:rPr>
            </w:pPr>
            <w:r>
              <w:rPr>
                <w:szCs w:val="24"/>
                <w:lang w:val="en-US"/>
              </w:rPr>
              <w:t>1</w:t>
            </w:r>
          </w:p>
        </w:tc>
      </w:tr>
      <w:tr w:rsidR="001E738E" w:rsidRPr="00EA5B5D" w14:paraId="50E7BA18" w14:textId="77777777" w:rsidTr="00B16826">
        <w:trPr>
          <w:trHeight w:val="329"/>
        </w:trPr>
        <w:tc>
          <w:tcPr>
            <w:tcW w:w="2339" w:type="dxa"/>
            <w:tcBorders>
              <w:top w:val="single" w:sz="4" w:space="0" w:color="auto"/>
              <w:left w:val="single" w:sz="4" w:space="0" w:color="auto"/>
              <w:bottom w:val="single" w:sz="4" w:space="0" w:color="auto"/>
              <w:right w:val="single" w:sz="4" w:space="0" w:color="auto"/>
            </w:tcBorders>
          </w:tcPr>
          <w:p w14:paraId="70FAC25A" w14:textId="77777777" w:rsidR="001E738E" w:rsidRPr="001E738E" w:rsidRDefault="000E2605" w:rsidP="001E738E">
            <w:pPr>
              <w:spacing w:line="240" w:lineRule="auto"/>
              <w:ind w:firstLine="0"/>
              <w:jc w:val="left"/>
              <w:rPr>
                <w:szCs w:val="24"/>
              </w:rPr>
            </w:pPr>
            <w:r w:rsidRPr="002415BA">
              <w:rPr>
                <w:szCs w:val="24"/>
              </w:rPr>
              <w:t>#</w:t>
            </w:r>
            <w:r w:rsidR="001E738E" w:rsidRPr="001E738E">
              <w:rPr>
                <w:szCs w:val="24"/>
              </w:rPr>
              <w:t>Карбоплатин</w:t>
            </w:r>
            <w:r w:rsidRPr="000E2605">
              <w:rPr>
                <w:szCs w:val="24"/>
              </w:rPr>
              <w:t>**</w:t>
            </w:r>
          </w:p>
        </w:tc>
        <w:tc>
          <w:tcPr>
            <w:tcW w:w="2339" w:type="dxa"/>
            <w:tcBorders>
              <w:top w:val="single" w:sz="4" w:space="0" w:color="auto"/>
              <w:left w:val="single" w:sz="4" w:space="0" w:color="auto"/>
              <w:bottom w:val="single" w:sz="4" w:space="0" w:color="auto"/>
              <w:right w:val="single" w:sz="4" w:space="0" w:color="auto"/>
            </w:tcBorders>
          </w:tcPr>
          <w:p w14:paraId="5EFED7CD" w14:textId="77777777" w:rsidR="001E738E" w:rsidRPr="002415BA" w:rsidRDefault="002415BA" w:rsidP="001E738E">
            <w:pPr>
              <w:spacing w:line="240" w:lineRule="auto"/>
              <w:ind w:firstLine="0"/>
              <w:jc w:val="left"/>
              <w:rPr>
                <w:szCs w:val="24"/>
                <w:vertAlign w:val="superscript"/>
                <w:lang w:val="en-US"/>
              </w:rPr>
            </w:pPr>
            <w:r>
              <w:rPr>
                <w:szCs w:val="24"/>
                <w:lang w:val="en-US"/>
              </w:rPr>
              <w:t>AUC 5</w:t>
            </w:r>
          </w:p>
        </w:tc>
        <w:tc>
          <w:tcPr>
            <w:tcW w:w="2339" w:type="dxa"/>
            <w:tcBorders>
              <w:top w:val="single" w:sz="4" w:space="0" w:color="auto"/>
              <w:left w:val="single" w:sz="4" w:space="0" w:color="auto"/>
              <w:bottom w:val="single" w:sz="4" w:space="0" w:color="auto"/>
              <w:right w:val="single" w:sz="4" w:space="0" w:color="auto"/>
            </w:tcBorders>
          </w:tcPr>
          <w:p w14:paraId="71A9BCE5" w14:textId="77777777" w:rsidR="001E738E" w:rsidRPr="001E738E" w:rsidRDefault="001E738E" w:rsidP="001E738E">
            <w:pPr>
              <w:spacing w:line="240" w:lineRule="auto"/>
              <w:ind w:firstLine="0"/>
              <w:jc w:val="left"/>
              <w:rPr>
                <w:szCs w:val="24"/>
              </w:rPr>
            </w:pPr>
            <w:r w:rsidRPr="001E738E">
              <w:rPr>
                <w:szCs w:val="24"/>
              </w:rPr>
              <w:t>в/в кап.</w:t>
            </w:r>
          </w:p>
        </w:tc>
        <w:tc>
          <w:tcPr>
            <w:tcW w:w="2339" w:type="dxa"/>
            <w:tcBorders>
              <w:top w:val="single" w:sz="4" w:space="0" w:color="auto"/>
              <w:left w:val="single" w:sz="4" w:space="0" w:color="auto"/>
              <w:bottom w:val="single" w:sz="4" w:space="0" w:color="auto"/>
              <w:right w:val="single" w:sz="4" w:space="0" w:color="auto"/>
            </w:tcBorders>
          </w:tcPr>
          <w:p w14:paraId="17C08CD6" w14:textId="77777777" w:rsidR="001E738E" w:rsidRPr="002415BA" w:rsidRDefault="002415BA" w:rsidP="001E738E">
            <w:pPr>
              <w:spacing w:line="240" w:lineRule="auto"/>
              <w:ind w:firstLine="0"/>
              <w:jc w:val="left"/>
              <w:rPr>
                <w:szCs w:val="24"/>
                <w:lang w:val="en-US"/>
              </w:rPr>
            </w:pPr>
            <w:r>
              <w:rPr>
                <w:szCs w:val="24"/>
                <w:lang w:val="en-US"/>
              </w:rPr>
              <w:t>1</w:t>
            </w:r>
          </w:p>
        </w:tc>
      </w:tr>
      <w:tr w:rsidR="001E738E" w:rsidRPr="00EA5B5D" w14:paraId="28C72504" w14:textId="77777777" w:rsidTr="00B16826">
        <w:trPr>
          <w:trHeight w:val="329"/>
        </w:trPr>
        <w:tc>
          <w:tcPr>
            <w:tcW w:w="9356" w:type="dxa"/>
            <w:gridSpan w:val="4"/>
            <w:tcBorders>
              <w:top w:val="nil"/>
              <w:left w:val="nil"/>
              <w:bottom w:val="single" w:sz="4" w:space="0" w:color="auto"/>
              <w:right w:val="nil"/>
            </w:tcBorders>
          </w:tcPr>
          <w:p w14:paraId="64DB0814" w14:textId="77777777" w:rsidR="00015B13" w:rsidRPr="002415BA" w:rsidRDefault="00015B13" w:rsidP="00B16826">
            <w:pPr>
              <w:spacing w:line="240" w:lineRule="auto"/>
              <w:ind w:firstLine="0"/>
              <w:jc w:val="left"/>
              <w:rPr>
                <w:b/>
                <w:bCs/>
                <w:szCs w:val="24"/>
              </w:rPr>
            </w:pPr>
          </w:p>
          <w:p w14:paraId="41D1CD8B" w14:textId="5265D0CE" w:rsidR="001E738E" w:rsidRPr="002415BA" w:rsidRDefault="001E738E" w:rsidP="00B16826">
            <w:pPr>
              <w:spacing w:line="240" w:lineRule="auto"/>
              <w:ind w:firstLine="0"/>
              <w:jc w:val="left"/>
              <w:rPr>
                <w:b/>
                <w:bCs/>
                <w:szCs w:val="24"/>
              </w:rPr>
            </w:pPr>
            <w:r>
              <w:rPr>
                <w:b/>
                <w:bCs/>
                <w:szCs w:val="24"/>
                <w:lang w:val="en-US"/>
              </w:rPr>
              <w:t>GDP</w:t>
            </w:r>
            <w:r w:rsidR="002415BA">
              <w:rPr>
                <w:b/>
                <w:bCs/>
                <w:szCs w:val="24"/>
                <w:lang w:val="en-US"/>
              </w:rPr>
              <w:t xml:space="preserve"> </w:t>
            </w:r>
            <w:r w:rsidR="002415BA">
              <w:rPr>
                <w:b/>
                <w:bCs/>
                <w:szCs w:val="24"/>
                <w:lang w:val="en-US"/>
              </w:rPr>
              <w:fldChar w:fldCharType="begin" w:fldLock="1"/>
            </w:r>
            <w:r w:rsidR="00053AE8">
              <w:rPr>
                <w:b/>
                <w:bCs/>
                <w:szCs w:val="24"/>
                <w:lang w:val="en-US"/>
              </w:rPr>
              <w:instrText>ADDIN CSL_CITATION {"citationItems":[{"id":"ITEM-1","itemData":{"ISSN":"2008-3009","PMID":"25802695","abstract":"BACKGROUND Despite multiple published studies reporting result of salvage regimens for relapsed and refractory Hodgkin's lymphoma, there are no comparisons of different combinations. PATIENTS AND METHODS A Total of 44 patients identified with refractory or relapsed Hodgkin's Lymphoma were considered eligible for this study. The Patients were randomly divided into two groups of 22, one of which were treated with GDP regimen (gemcitabine, dexamethasone and cisplatin) and the other with EHSAP regimen (etoposide, methyl prednisolone, cisplatin and cytarabine) in a prospective manner. The results of each group were compared. RESULTS There were 27.3% complete response, 31.8% more than 50% response, and 40.9% no response with GDP. ESHAP results were 29.5%, 24% and 45.5%, respectively. CONCLUSION There is no significant difference in response rate between GDP and ESHAP regimens as salvage chemotherapy in refractory or relapsed Hodgkin's Lymphoma.","author":[{"dropping-particle":"","family":"Ramzi","given":"Mani","non-dropping-particle":"","parse-names":false,"suffix":""},{"dropping-particle":"","family":"Rezvani","given":"Aliraza","non-dropping-particle":"","parse-names":false,"suffix":""},{"dropping-particle":"","family":"Dehghani","given":"Mehdi","non-dropping-particle":"","parse-names":false,"suffix":""}],"container-title":"International journal of hematology-oncology and stem cell research","id":"ITEM-1","issue":"1","issued":{"date-parts":[["2015","1","1"]]},"page":"10-4","publisher":"Tehran University of Medical Sciences","title":"GDP versus ESHAP Regimen in Relapsed and/or Refractory Hodgkin lymphoma: A Comparison Study.","type":"article-journal","volume":"9"},"uris":["http://www.mendeley.com/documents/?uuid=45c0b22a-b58d-32c2-abd1-f7950018055f"]}],"mendeley":{"formattedCitation":"[131]","plainTextFormattedCitation":"[131]","previouslyFormattedCitation":"[131]"},"properties":{"noteIndex":0},"schema":"https://github.com/citation-style-language/schema/raw/master/csl-citation.json"}</w:instrText>
            </w:r>
            <w:r w:rsidR="002415BA">
              <w:rPr>
                <w:b/>
                <w:bCs/>
                <w:szCs w:val="24"/>
                <w:lang w:val="en-US"/>
              </w:rPr>
              <w:fldChar w:fldCharType="separate"/>
            </w:r>
            <w:r w:rsidR="00A60C8A" w:rsidRPr="00A60C8A">
              <w:rPr>
                <w:bCs/>
                <w:noProof/>
                <w:szCs w:val="24"/>
                <w:lang w:val="en-US"/>
              </w:rPr>
              <w:t>[131]</w:t>
            </w:r>
            <w:r w:rsidR="002415BA">
              <w:rPr>
                <w:b/>
                <w:bCs/>
                <w:szCs w:val="24"/>
                <w:lang w:val="en-US"/>
              </w:rPr>
              <w:fldChar w:fldCharType="end"/>
            </w:r>
          </w:p>
        </w:tc>
      </w:tr>
      <w:tr w:rsidR="001E738E" w:rsidRPr="00EA5B5D" w14:paraId="093D414F" w14:textId="77777777" w:rsidTr="00B16826">
        <w:trPr>
          <w:trHeight w:val="329"/>
        </w:trPr>
        <w:tc>
          <w:tcPr>
            <w:tcW w:w="2339" w:type="dxa"/>
            <w:tcBorders>
              <w:top w:val="single" w:sz="4" w:space="0" w:color="auto"/>
              <w:left w:val="single" w:sz="4" w:space="0" w:color="auto"/>
              <w:bottom w:val="single" w:sz="4" w:space="0" w:color="auto"/>
              <w:right w:val="single" w:sz="4" w:space="0" w:color="auto"/>
            </w:tcBorders>
            <w:hideMark/>
          </w:tcPr>
          <w:p w14:paraId="7AE3C3EB" w14:textId="77777777" w:rsidR="001E738E" w:rsidRPr="00EA5B5D" w:rsidRDefault="001E738E" w:rsidP="00B16826">
            <w:pPr>
              <w:spacing w:line="240" w:lineRule="auto"/>
              <w:ind w:firstLine="0"/>
              <w:jc w:val="left"/>
              <w:rPr>
                <w:szCs w:val="24"/>
              </w:rPr>
            </w:pPr>
            <w:r w:rsidRPr="00EA5B5D">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0EE01ACA" w14:textId="77777777" w:rsidR="001E738E" w:rsidRPr="00EA5B5D" w:rsidRDefault="001E738E" w:rsidP="00B16826">
            <w:pPr>
              <w:spacing w:line="240" w:lineRule="auto"/>
              <w:ind w:firstLine="0"/>
              <w:jc w:val="left"/>
              <w:rPr>
                <w:szCs w:val="24"/>
              </w:rPr>
            </w:pPr>
            <w:r w:rsidRPr="00EA5B5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46707A25" w14:textId="77777777" w:rsidR="001E738E" w:rsidRPr="00EA5B5D" w:rsidRDefault="001E738E" w:rsidP="00B16826">
            <w:pPr>
              <w:spacing w:line="240" w:lineRule="auto"/>
              <w:ind w:firstLine="0"/>
              <w:jc w:val="left"/>
              <w:rPr>
                <w:szCs w:val="24"/>
              </w:rPr>
            </w:pPr>
            <w:r w:rsidRPr="00EA5B5D">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640AB136" w14:textId="77777777" w:rsidR="001E738E" w:rsidRPr="00EA5B5D" w:rsidRDefault="001E738E" w:rsidP="00B16826">
            <w:pPr>
              <w:spacing w:line="240" w:lineRule="auto"/>
              <w:ind w:firstLine="0"/>
              <w:jc w:val="left"/>
              <w:rPr>
                <w:szCs w:val="24"/>
              </w:rPr>
            </w:pPr>
            <w:r w:rsidRPr="00EA5B5D">
              <w:rPr>
                <w:szCs w:val="24"/>
              </w:rPr>
              <w:t>Дни введения</w:t>
            </w:r>
          </w:p>
        </w:tc>
      </w:tr>
      <w:tr w:rsidR="001E738E" w:rsidRPr="00EA5B5D" w14:paraId="4CA0A1C4" w14:textId="77777777" w:rsidTr="00B16826">
        <w:trPr>
          <w:trHeight w:val="329"/>
        </w:trPr>
        <w:tc>
          <w:tcPr>
            <w:tcW w:w="2339" w:type="dxa"/>
            <w:tcBorders>
              <w:top w:val="single" w:sz="4" w:space="0" w:color="auto"/>
              <w:left w:val="single" w:sz="4" w:space="0" w:color="auto"/>
              <w:bottom w:val="single" w:sz="4" w:space="0" w:color="auto"/>
              <w:right w:val="single" w:sz="4" w:space="0" w:color="auto"/>
            </w:tcBorders>
            <w:hideMark/>
          </w:tcPr>
          <w:p w14:paraId="0DFF1B44" w14:textId="77777777" w:rsidR="001E738E" w:rsidRPr="001E738E" w:rsidRDefault="000E2605" w:rsidP="001E738E">
            <w:pPr>
              <w:spacing w:line="240" w:lineRule="auto"/>
              <w:ind w:firstLine="0"/>
              <w:jc w:val="left"/>
              <w:rPr>
                <w:szCs w:val="24"/>
              </w:rPr>
            </w:pPr>
            <w:r w:rsidRPr="002415BA">
              <w:rPr>
                <w:szCs w:val="24"/>
              </w:rPr>
              <w:t>#</w:t>
            </w:r>
            <w:r w:rsidR="001E738E" w:rsidRPr="001E738E">
              <w:rPr>
                <w:szCs w:val="24"/>
              </w:rPr>
              <w:t>Цисплатин</w:t>
            </w:r>
            <w:r w:rsidRPr="000E2605">
              <w:rPr>
                <w:szCs w:val="24"/>
              </w:rPr>
              <w:t>**</w:t>
            </w:r>
          </w:p>
        </w:tc>
        <w:tc>
          <w:tcPr>
            <w:tcW w:w="2339" w:type="dxa"/>
            <w:tcBorders>
              <w:top w:val="single" w:sz="4" w:space="0" w:color="auto"/>
              <w:left w:val="single" w:sz="4" w:space="0" w:color="auto"/>
              <w:bottom w:val="single" w:sz="4" w:space="0" w:color="auto"/>
              <w:right w:val="single" w:sz="4" w:space="0" w:color="auto"/>
            </w:tcBorders>
          </w:tcPr>
          <w:p w14:paraId="0EC5AF96" w14:textId="77777777" w:rsidR="001E738E" w:rsidRPr="001E738E" w:rsidRDefault="002415BA" w:rsidP="001E738E">
            <w:pPr>
              <w:spacing w:line="240" w:lineRule="auto"/>
              <w:ind w:firstLine="0"/>
              <w:jc w:val="left"/>
              <w:rPr>
                <w:szCs w:val="24"/>
              </w:rPr>
            </w:pPr>
            <w:r>
              <w:rPr>
                <w:szCs w:val="24"/>
                <w:lang w:val="en-US"/>
              </w:rPr>
              <w:t>75</w:t>
            </w:r>
            <w:r w:rsidR="001E738E" w:rsidRPr="001E738E">
              <w:rPr>
                <w:szCs w:val="24"/>
              </w:rPr>
              <w:t xml:space="preserve"> мг/м</w:t>
            </w:r>
            <w:r w:rsidR="001E738E" w:rsidRPr="001E738E">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50EDC397" w14:textId="77777777" w:rsidR="001E738E" w:rsidRPr="001E738E" w:rsidRDefault="001E738E" w:rsidP="001E738E">
            <w:pPr>
              <w:spacing w:line="240" w:lineRule="auto"/>
              <w:ind w:firstLine="0"/>
              <w:jc w:val="left"/>
              <w:rPr>
                <w:szCs w:val="24"/>
              </w:rPr>
            </w:pPr>
            <w:r w:rsidRPr="001E738E">
              <w:rPr>
                <w:szCs w:val="24"/>
              </w:rPr>
              <w:t>в/в кап</w:t>
            </w:r>
          </w:p>
        </w:tc>
        <w:tc>
          <w:tcPr>
            <w:tcW w:w="2339" w:type="dxa"/>
            <w:tcBorders>
              <w:top w:val="single" w:sz="4" w:space="0" w:color="auto"/>
              <w:left w:val="single" w:sz="4" w:space="0" w:color="auto"/>
              <w:bottom w:val="single" w:sz="4" w:space="0" w:color="auto"/>
              <w:right w:val="single" w:sz="4" w:space="0" w:color="auto"/>
            </w:tcBorders>
          </w:tcPr>
          <w:p w14:paraId="4C75573D" w14:textId="77777777" w:rsidR="001E738E" w:rsidRPr="001E738E" w:rsidRDefault="001E738E" w:rsidP="001E738E">
            <w:pPr>
              <w:spacing w:line="240" w:lineRule="auto"/>
              <w:ind w:firstLine="0"/>
              <w:jc w:val="left"/>
              <w:rPr>
                <w:szCs w:val="24"/>
              </w:rPr>
            </w:pPr>
            <w:r w:rsidRPr="001E738E">
              <w:rPr>
                <w:szCs w:val="24"/>
              </w:rPr>
              <w:t>1</w:t>
            </w:r>
          </w:p>
        </w:tc>
      </w:tr>
      <w:tr w:rsidR="001E738E" w:rsidRPr="00EA5B5D" w14:paraId="53222E0F" w14:textId="77777777" w:rsidTr="00B16826">
        <w:trPr>
          <w:trHeight w:val="329"/>
        </w:trPr>
        <w:tc>
          <w:tcPr>
            <w:tcW w:w="2339" w:type="dxa"/>
            <w:tcBorders>
              <w:top w:val="single" w:sz="4" w:space="0" w:color="auto"/>
              <w:left w:val="single" w:sz="4" w:space="0" w:color="auto"/>
              <w:bottom w:val="single" w:sz="4" w:space="0" w:color="auto"/>
              <w:right w:val="single" w:sz="4" w:space="0" w:color="auto"/>
            </w:tcBorders>
            <w:hideMark/>
          </w:tcPr>
          <w:p w14:paraId="496AB78A" w14:textId="77777777" w:rsidR="001E738E" w:rsidRPr="001E738E" w:rsidRDefault="001E738E" w:rsidP="001E738E">
            <w:pPr>
              <w:spacing w:line="240" w:lineRule="auto"/>
              <w:ind w:firstLine="0"/>
              <w:jc w:val="left"/>
              <w:rPr>
                <w:szCs w:val="24"/>
              </w:rPr>
            </w:pPr>
            <w:r w:rsidRPr="001E738E">
              <w:rPr>
                <w:szCs w:val="24"/>
              </w:rPr>
              <w:t>Гемцитабин</w:t>
            </w:r>
            <w:r w:rsidR="000E2605" w:rsidRPr="000E2605">
              <w:rPr>
                <w:szCs w:val="24"/>
              </w:rPr>
              <w:t>**</w:t>
            </w:r>
          </w:p>
        </w:tc>
        <w:tc>
          <w:tcPr>
            <w:tcW w:w="2339" w:type="dxa"/>
            <w:tcBorders>
              <w:top w:val="single" w:sz="4" w:space="0" w:color="auto"/>
              <w:left w:val="single" w:sz="4" w:space="0" w:color="auto"/>
              <w:bottom w:val="single" w:sz="4" w:space="0" w:color="auto"/>
              <w:right w:val="single" w:sz="4" w:space="0" w:color="auto"/>
            </w:tcBorders>
            <w:hideMark/>
          </w:tcPr>
          <w:p w14:paraId="1E101315" w14:textId="77777777" w:rsidR="001E738E" w:rsidRPr="001E738E" w:rsidRDefault="001E738E" w:rsidP="001E738E">
            <w:pPr>
              <w:spacing w:line="240" w:lineRule="auto"/>
              <w:ind w:firstLine="0"/>
              <w:jc w:val="left"/>
              <w:rPr>
                <w:szCs w:val="24"/>
              </w:rPr>
            </w:pPr>
            <w:r w:rsidRPr="001E738E">
              <w:rPr>
                <w:szCs w:val="24"/>
              </w:rPr>
              <w:t>1000 мг/м</w:t>
            </w:r>
            <w:r w:rsidRPr="001E738E">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69B8E052" w14:textId="77777777" w:rsidR="001E738E" w:rsidRPr="001E738E" w:rsidRDefault="001E738E" w:rsidP="001E738E">
            <w:pPr>
              <w:spacing w:line="240" w:lineRule="auto"/>
              <w:ind w:firstLine="0"/>
              <w:jc w:val="left"/>
              <w:rPr>
                <w:szCs w:val="24"/>
              </w:rPr>
            </w:pPr>
            <w:r w:rsidRPr="001E738E">
              <w:rPr>
                <w:szCs w:val="24"/>
              </w:rPr>
              <w:t>в/в кап</w:t>
            </w:r>
          </w:p>
        </w:tc>
        <w:tc>
          <w:tcPr>
            <w:tcW w:w="2339" w:type="dxa"/>
            <w:tcBorders>
              <w:top w:val="single" w:sz="4" w:space="0" w:color="auto"/>
              <w:left w:val="single" w:sz="4" w:space="0" w:color="auto"/>
              <w:bottom w:val="single" w:sz="4" w:space="0" w:color="auto"/>
              <w:right w:val="single" w:sz="4" w:space="0" w:color="auto"/>
            </w:tcBorders>
            <w:hideMark/>
          </w:tcPr>
          <w:p w14:paraId="7482A5DE" w14:textId="77777777" w:rsidR="001E738E" w:rsidRPr="001E738E" w:rsidRDefault="001E738E" w:rsidP="001E738E">
            <w:pPr>
              <w:spacing w:line="240" w:lineRule="auto"/>
              <w:ind w:firstLine="0"/>
              <w:jc w:val="left"/>
              <w:rPr>
                <w:szCs w:val="24"/>
              </w:rPr>
            </w:pPr>
            <w:r w:rsidRPr="001E738E">
              <w:rPr>
                <w:szCs w:val="24"/>
              </w:rPr>
              <w:t>1, 8</w:t>
            </w:r>
          </w:p>
        </w:tc>
      </w:tr>
      <w:tr w:rsidR="001E738E" w:rsidRPr="00EA5B5D" w14:paraId="04D59C64" w14:textId="77777777" w:rsidTr="00B16826">
        <w:trPr>
          <w:trHeight w:val="329"/>
        </w:trPr>
        <w:tc>
          <w:tcPr>
            <w:tcW w:w="2339" w:type="dxa"/>
            <w:tcBorders>
              <w:top w:val="single" w:sz="4" w:space="0" w:color="auto"/>
              <w:left w:val="single" w:sz="4" w:space="0" w:color="auto"/>
              <w:bottom w:val="single" w:sz="4" w:space="0" w:color="auto"/>
              <w:right w:val="single" w:sz="4" w:space="0" w:color="auto"/>
            </w:tcBorders>
          </w:tcPr>
          <w:p w14:paraId="614DCB64" w14:textId="77777777" w:rsidR="001E738E" w:rsidRPr="001E738E" w:rsidRDefault="001E738E" w:rsidP="001E738E">
            <w:pPr>
              <w:spacing w:line="240" w:lineRule="auto"/>
              <w:ind w:firstLine="0"/>
              <w:jc w:val="left"/>
              <w:rPr>
                <w:szCs w:val="24"/>
              </w:rPr>
            </w:pPr>
            <w:r w:rsidRPr="001E738E">
              <w:rPr>
                <w:szCs w:val="24"/>
              </w:rPr>
              <w:t>Дексаметазон</w:t>
            </w:r>
            <w:r w:rsidR="000E2605" w:rsidRPr="000E2605">
              <w:rPr>
                <w:szCs w:val="24"/>
              </w:rPr>
              <w:t>**</w:t>
            </w:r>
          </w:p>
        </w:tc>
        <w:tc>
          <w:tcPr>
            <w:tcW w:w="2339" w:type="dxa"/>
            <w:tcBorders>
              <w:top w:val="single" w:sz="4" w:space="0" w:color="auto"/>
              <w:left w:val="single" w:sz="4" w:space="0" w:color="auto"/>
              <w:bottom w:val="single" w:sz="4" w:space="0" w:color="auto"/>
              <w:right w:val="single" w:sz="4" w:space="0" w:color="auto"/>
            </w:tcBorders>
          </w:tcPr>
          <w:p w14:paraId="0080A249" w14:textId="77777777" w:rsidR="001E738E" w:rsidRPr="001E738E" w:rsidRDefault="001E738E" w:rsidP="001E738E">
            <w:pPr>
              <w:spacing w:line="240" w:lineRule="auto"/>
              <w:ind w:firstLine="0"/>
              <w:jc w:val="left"/>
              <w:rPr>
                <w:szCs w:val="24"/>
              </w:rPr>
            </w:pPr>
            <w:r w:rsidRPr="001E738E">
              <w:rPr>
                <w:szCs w:val="24"/>
              </w:rPr>
              <w:t>40 мг</w:t>
            </w:r>
          </w:p>
        </w:tc>
        <w:tc>
          <w:tcPr>
            <w:tcW w:w="2339" w:type="dxa"/>
            <w:tcBorders>
              <w:top w:val="single" w:sz="4" w:space="0" w:color="auto"/>
              <w:left w:val="single" w:sz="4" w:space="0" w:color="auto"/>
              <w:bottom w:val="single" w:sz="4" w:space="0" w:color="auto"/>
              <w:right w:val="single" w:sz="4" w:space="0" w:color="auto"/>
            </w:tcBorders>
          </w:tcPr>
          <w:p w14:paraId="61DE6DA9" w14:textId="77777777" w:rsidR="001E738E" w:rsidRPr="001E738E" w:rsidRDefault="001E738E" w:rsidP="001E738E">
            <w:pPr>
              <w:spacing w:line="240" w:lineRule="auto"/>
              <w:ind w:firstLine="0"/>
              <w:jc w:val="left"/>
              <w:rPr>
                <w:szCs w:val="24"/>
              </w:rPr>
            </w:pPr>
            <w:r w:rsidRPr="001E738E">
              <w:rPr>
                <w:szCs w:val="24"/>
              </w:rPr>
              <w:t>внутрь</w:t>
            </w:r>
          </w:p>
        </w:tc>
        <w:tc>
          <w:tcPr>
            <w:tcW w:w="2339" w:type="dxa"/>
            <w:tcBorders>
              <w:top w:val="single" w:sz="4" w:space="0" w:color="auto"/>
              <w:left w:val="single" w:sz="4" w:space="0" w:color="auto"/>
              <w:bottom w:val="single" w:sz="4" w:space="0" w:color="auto"/>
              <w:right w:val="single" w:sz="4" w:space="0" w:color="auto"/>
            </w:tcBorders>
          </w:tcPr>
          <w:p w14:paraId="2D21CD81" w14:textId="77777777" w:rsidR="001E738E" w:rsidRPr="001E738E" w:rsidRDefault="001E738E" w:rsidP="001E738E">
            <w:pPr>
              <w:spacing w:line="240" w:lineRule="auto"/>
              <w:ind w:firstLine="0"/>
              <w:jc w:val="left"/>
              <w:rPr>
                <w:szCs w:val="24"/>
              </w:rPr>
            </w:pPr>
            <w:r w:rsidRPr="001E738E">
              <w:rPr>
                <w:szCs w:val="24"/>
              </w:rPr>
              <w:t>1-4</w:t>
            </w:r>
          </w:p>
        </w:tc>
      </w:tr>
      <w:tr w:rsidR="001E738E" w:rsidRPr="00EA5B5D" w14:paraId="10B6D380" w14:textId="77777777" w:rsidTr="00B16826">
        <w:trPr>
          <w:trHeight w:val="329"/>
        </w:trPr>
        <w:tc>
          <w:tcPr>
            <w:tcW w:w="9356" w:type="dxa"/>
            <w:gridSpan w:val="4"/>
            <w:tcBorders>
              <w:top w:val="nil"/>
              <w:left w:val="nil"/>
              <w:bottom w:val="single" w:sz="4" w:space="0" w:color="auto"/>
              <w:right w:val="nil"/>
            </w:tcBorders>
          </w:tcPr>
          <w:p w14:paraId="11DD6998" w14:textId="77777777" w:rsidR="00015B13" w:rsidRPr="002415BA" w:rsidRDefault="00015B13" w:rsidP="00B16826">
            <w:pPr>
              <w:spacing w:line="240" w:lineRule="auto"/>
              <w:ind w:firstLine="0"/>
              <w:jc w:val="left"/>
              <w:rPr>
                <w:b/>
                <w:bCs/>
                <w:szCs w:val="24"/>
              </w:rPr>
            </w:pPr>
          </w:p>
          <w:p w14:paraId="7628A7B5" w14:textId="5212C259" w:rsidR="001E738E" w:rsidRPr="002415BA" w:rsidRDefault="001E738E" w:rsidP="00B16826">
            <w:pPr>
              <w:spacing w:line="240" w:lineRule="auto"/>
              <w:ind w:firstLine="0"/>
              <w:jc w:val="left"/>
              <w:rPr>
                <w:b/>
                <w:bCs/>
                <w:szCs w:val="24"/>
              </w:rPr>
            </w:pPr>
            <w:r>
              <w:rPr>
                <w:b/>
                <w:bCs/>
                <w:szCs w:val="24"/>
                <w:lang w:val="en-US"/>
              </w:rPr>
              <w:t>GemOX</w:t>
            </w:r>
            <w:r w:rsidR="002415BA">
              <w:rPr>
                <w:b/>
                <w:bCs/>
                <w:szCs w:val="24"/>
                <w:lang w:val="en-US"/>
              </w:rPr>
              <w:t xml:space="preserve"> </w:t>
            </w:r>
            <w:r w:rsidR="002415BA">
              <w:rPr>
                <w:b/>
                <w:bCs/>
                <w:szCs w:val="24"/>
                <w:lang w:val="en-US"/>
              </w:rPr>
              <w:fldChar w:fldCharType="begin" w:fldLock="1"/>
            </w:r>
            <w:r w:rsidR="00053AE8">
              <w:rPr>
                <w:b/>
                <w:bCs/>
                <w:szCs w:val="24"/>
                <w:lang w:val="en-US"/>
              </w:rPr>
              <w:instrText>ADDIN CSL_CITATION {"citationItems":[{"id":"ITEM-1","itemData":{"DOI":"10.2147/OTT.S70264","ISSN":"11786930","abstract":"Background: Most Hodgkin lymphomas (HL) can be cured with current strategies. However, one-third of the cases do not respond or relapse and need salvage regimens. We report the results of a retrospective study using the gemcitabine and oxaliplatinum (GemOx) regimen.\nMethods: Patients who relapsed or failed to achieve complete response were eligible and received GemOx salvage therapy. To avoid selection bias and thus to overcome the retrospective nature of the study, all treated patients were included from the pharmacy database.\nResults: Between 2003-2013, 24 HL patients-relapsing (number [n]=12) or refractory (n=12)-were included, receiving a total of 26 induction treatments with GemOx. Mean previous regimens were 2.38 (42% relapsing after autologous transplantation). Median follow-up was 37 months, and 71% responded (38% of patients achieved complete response). The factors related to better progression-free survival were: B symptoms; response to GemOx; and consolidation with stem cell transplantation. Grades 1 and 2 neurological toxicity was present in 17% of patients. Hematological toxicity was common, with grades 3 and 4 neutropenia (25%) and thrombocytopenia (34%) observed. Progression-free survival was better in patients consolidated with stem cell transplantation. The peripheral blood stem cell collection after GemOx was successful for all candidates.\nConclusion: 1) The GemOx regimen is effective in relapsed or refractory HL with manageable toxicity. 2) No mobilization failures were observed. 3) Consolidation after response is needed. 4) Its efficacy and favorable toxicity profile might make multiple administrations possible in several recurrences in HL.","author":[{"dropping-particle":"","family":"Gutierrez","given":"Antonio","non-dropping-particle":"","parse-names":false,"suffix":""},{"dropping-particle":"","family":"Rodriguez","given":"Jose","non-dropping-particle":"","parse-names":false,"suffix":""},{"dropping-particle":"","family":"Martinez-Serra","given":"Jordi","non-dropping-particle":"","parse-names":false,"suffix":""},{"dropping-particle":"","family":"Gines","given":"Jordi","non-dropping-particle":"","parse-names":false,"suffix":""},{"dropping-particle":"","family":"Paredes","given":"Pilar","non-dropping-particle":"","parse-names":false,"suffix":""},{"dropping-particle":"","family":"Garcia","given":"Florencia","non-dropping-particle":"","parse-names":false,"suffix":""},{"dropping-particle":"","family":"Vercher","given":"Javier","non-dropping-particle":"","parse-names":false,"suffix":""},{"dropping-particle":"","family":"Balanzat","given":"Josep","non-dropping-particle":"","parse-names":false,"suffix":""},{"dropping-particle":"","family":"Campo","given":"Raquel","non-dropping-particle":"Del","parse-names":false,"suffix":""},{"dropping-particle":"","family":"Galan","given":"Pilar","non-dropping-particle":"","parse</w:instrText>
            </w:r>
            <w:r w:rsidR="00053AE8" w:rsidRPr="002B3AE7">
              <w:rPr>
                <w:b/>
                <w:bCs/>
                <w:szCs w:val="24"/>
              </w:rPr>
              <w:instrText>-</w:instrText>
            </w:r>
            <w:r w:rsidR="00053AE8">
              <w:rPr>
                <w:b/>
                <w:bCs/>
                <w:szCs w:val="24"/>
                <w:lang w:val="en-US"/>
              </w:rPr>
              <w:instrText>names</w:instrText>
            </w:r>
            <w:r w:rsidR="00053AE8" w:rsidRPr="002B3AE7">
              <w:rPr>
                <w:b/>
                <w:bCs/>
                <w:szCs w:val="24"/>
              </w:rPr>
              <w:instrText>":</w:instrText>
            </w:r>
            <w:r w:rsidR="00053AE8">
              <w:rPr>
                <w:b/>
                <w:bCs/>
                <w:szCs w:val="24"/>
                <w:lang w:val="en-US"/>
              </w:rPr>
              <w:instrText>false</w:instrText>
            </w:r>
            <w:r w:rsidR="00053AE8" w:rsidRPr="002B3AE7">
              <w:rPr>
                <w:b/>
                <w:bCs/>
                <w:szCs w:val="24"/>
              </w:rPr>
              <w:instrText>,"</w:instrText>
            </w:r>
            <w:r w:rsidR="00053AE8">
              <w:rPr>
                <w:b/>
                <w:bCs/>
                <w:szCs w:val="24"/>
                <w:lang w:val="en-US"/>
              </w:rPr>
              <w:instrText>suffix</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family</w:instrText>
            </w:r>
            <w:r w:rsidR="00053AE8" w:rsidRPr="002B3AE7">
              <w:rPr>
                <w:b/>
                <w:bCs/>
                <w:szCs w:val="24"/>
              </w:rPr>
              <w:instrText>":"</w:instrText>
            </w:r>
            <w:r w:rsidR="00053AE8">
              <w:rPr>
                <w:b/>
                <w:bCs/>
                <w:szCs w:val="24"/>
                <w:lang w:val="en-US"/>
              </w:rPr>
              <w:instrText>Morey</w:instrText>
            </w:r>
            <w:r w:rsidR="00053AE8" w:rsidRPr="002B3AE7">
              <w:rPr>
                <w:b/>
                <w:bCs/>
                <w:szCs w:val="24"/>
              </w:rPr>
              <w:instrText>","</w:instrText>
            </w:r>
            <w:r w:rsidR="00053AE8">
              <w:rPr>
                <w:b/>
                <w:bCs/>
                <w:szCs w:val="24"/>
                <w:lang w:val="en-US"/>
              </w:rPr>
              <w:instrText>given</w:instrText>
            </w:r>
            <w:r w:rsidR="00053AE8" w:rsidRPr="002B3AE7">
              <w:rPr>
                <w:b/>
                <w:bCs/>
                <w:szCs w:val="24"/>
              </w:rPr>
              <w:instrText>":"</w:instrText>
            </w:r>
            <w:r w:rsidR="00053AE8">
              <w:rPr>
                <w:b/>
                <w:bCs/>
                <w:szCs w:val="24"/>
                <w:lang w:val="en-US"/>
              </w:rPr>
              <w:instrText>Miguel</w:instrText>
            </w:r>
            <w:r w:rsidR="00053AE8" w:rsidRPr="002B3AE7">
              <w:rPr>
                <w:b/>
                <w:bCs/>
                <w:szCs w:val="24"/>
              </w:rPr>
              <w:instrText>","</w:instrText>
            </w:r>
            <w:r w:rsidR="00053AE8">
              <w:rPr>
                <w:b/>
                <w:bCs/>
                <w:szCs w:val="24"/>
                <w:lang w:val="en-US"/>
              </w:rPr>
              <w:instrText>non</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parse</w:instrText>
            </w:r>
            <w:r w:rsidR="00053AE8" w:rsidRPr="002B3AE7">
              <w:rPr>
                <w:b/>
                <w:bCs/>
                <w:szCs w:val="24"/>
              </w:rPr>
              <w:instrText>-</w:instrText>
            </w:r>
            <w:r w:rsidR="00053AE8">
              <w:rPr>
                <w:b/>
                <w:bCs/>
                <w:szCs w:val="24"/>
                <w:lang w:val="en-US"/>
              </w:rPr>
              <w:instrText>names</w:instrText>
            </w:r>
            <w:r w:rsidR="00053AE8" w:rsidRPr="002B3AE7">
              <w:rPr>
                <w:b/>
                <w:bCs/>
                <w:szCs w:val="24"/>
              </w:rPr>
              <w:instrText>":</w:instrText>
            </w:r>
            <w:r w:rsidR="00053AE8">
              <w:rPr>
                <w:b/>
                <w:bCs/>
                <w:szCs w:val="24"/>
                <w:lang w:val="en-US"/>
              </w:rPr>
              <w:instrText>false</w:instrText>
            </w:r>
            <w:r w:rsidR="00053AE8" w:rsidRPr="002B3AE7">
              <w:rPr>
                <w:b/>
                <w:bCs/>
                <w:szCs w:val="24"/>
              </w:rPr>
              <w:instrText>,"</w:instrText>
            </w:r>
            <w:r w:rsidR="00053AE8">
              <w:rPr>
                <w:b/>
                <w:bCs/>
                <w:szCs w:val="24"/>
                <w:lang w:val="en-US"/>
              </w:rPr>
              <w:instrText>suffix</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family</w:instrText>
            </w:r>
            <w:r w:rsidR="00053AE8" w:rsidRPr="002B3AE7">
              <w:rPr>
                <w:b/>
                <w:bCs/>
                <w:szCs w:val="24"/>
              </w:rPr>
              <w:instrText>":"</w:instrText>
            </w:r>
            <w:r w:rsidR="00053AE8">
              <w:rPr>
                <w:b/>
                <w:bCs/>
                <w:szCs w:val="24"/>
                <w:lang w:val="en-US"/>
              </w:rPr>
              <w:instrText>Sampo</w:instrText>
            </w:r>
            <w:r w:rsidR="00053AE8" w:rsidRPr="002B3AE7">
              <w:rPr>
                <w:b/>
                <w:bCs/>
                <w:szCs w:val="24"/>
              </w:rPr>
              <w:instrText>","</w:instrText>
            </w:r>
            <w:r w:rsidR="00053AE8">
              <w:rPr>
                <w:b/>
                <w:bCs/>
                <w:szCs w:val="24"/>
                <w:lang w:val="en-US"/>
              </w:rPr>
              <w:instrText>given</w:instrText>
            </w:r>
            <w:r w:rsidR="00053AE8" w:rsidRPr="002B3AE7">
              <w:rPr>
                <w:b/>
                <w:bCs/>
                <w:szCs w:val="24"/>
              </w:rPr>
              <w:instrText>":"</w:instrText>
            </w:r>
            <w:r w:rsidR="00053AE8">
              <w:rPr>
                <w:b/>
                <w:bCs/>
                <w:szCs w:val="24"/>
                <w:lang w:val="en-US"/>
              </w:rPr>
              <w:instrText>Antonia</w:instrText>
            </w:r>
            <w:r w:rsidR="00053AE8" w:rsidRPr="002B3AE7">
              <w:rPr>
                <w:b/>
                <w:bCs/>
                <w:szCs w:val="24"/>
              </w:rPr>
              <w:instrText>","</w:instrText>
            </w:r>
            <w:r w:rsidR="00053AE8">
              <w:rPr>
                <w:b/>
                <w:bCs/>
                <w:szCs w:val="24"/>
                <w:lang w:val="en-US"/>
              </w:rPr>
              <w:instrText>non</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parse</w:instrText>
            </w:r>
            <w:r w:rsidR="00053AE8" w:rsidRPr="002B3AE7">
              <w:rPr>
                <w:b/>
                <w:bCs/>
                <w:szCs w:val="24"/>
              </w:rPr>
              <w:instrText>-</w:instrText>
            </w:r>
            <w:r w:rsidR="00053AE8">
              <w:rPr>
                <w:b/>
                <w:bCs/>
                <w:szCs w:val="24"/>
                <w:lang w:val="en-US"/>
              </w:rPr>
              <w:instrText>names</w:instrText>
            </w:r>
            <w:r w:rsidR="00053AE8" w:rsidRPr="002B3AE7">
              <w:rPr>
                <w:b/>
                <w:bCs/>
                <w:szCs w:val="24"/>
              </w:rPr>
              <w:instrText>":</w:instrText>
            </w:r>
            <w:r w:rsidR="00053AE8">
              <w:rPr>
                <w:b/>
                <w:bCs/>
                <w:szCs w:val="24"/>
                <w:lang w:val="en-US"/>
              </w:rPr>
              <w:instrText>false</w:instrText>
            </w:r>
            <w:r w:rsidR="00053AE8" w:rsidRPr="002B3AE7">
              <w:rPr>
                <w:b/>
                <w:bCs/>
                <w:szCs w:val="24"/>
              </w:rPr>
              <w:instrText>,"</w:instrText>
            </w:r>
            <w:r w:rsidR="00053AE8">
              <w:rPr>
                <w:b/>
                <w:bCs/>
                <w:szCs w:val="24"/>
                <w:lang w:val="en-US"/>
              </w:rPr>
              <w:instrText>suffix</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family</w:instrText>
            </w:r>
            <w:r w:rsidR="00053AE8" w:rsidRPr="002B3AE7">
              <w:rPr>
                <w:b/>
                <w:bCs/>
                <w:szCs w:val="24"/>
              </w:rPr>
              <w:instrText>":"</w:instrText>
            </w:r>
            <w:r w:rsidR="00053AE8">
              <w:rPr>
                <w:b/>
                <w:bCs/>
                <w:szCs w:val="24"/>
                <w:lang w:val="en-US"/>
              </w:rPr>
              <w:instrText>Novo</w:instrText>
            </w:r>
            <w:r w:rsidR="00053AE8" w:rsidRPr="002B3AE7">
              <w:rPr>
                <w:b/>
                <w:bCs/>
                <w:szCs w:val="24"/>
              </w:rPr>
              <w:instrText>","</w:instrText>
            </w:r>
            <w:r w:rsidR="00053AE8">
              <w:rPr>
                <w:b/>
                <w:bCs/>
                <w:szCs w:val="24"/>
                <w:lang w:val="en-US"/>
              </w:rPr>
              <w:instrText>given</w:instrText>
            </w:r>
            <w:r w:rsidR="00053AE8" w:rsidRPr="002B3AE7">
              <w:rPr>
                <w:b/>
                <w:bCs/>
                <w:szCs w:val="24"/>
              </w:rPr>
              <w:instrText>":"</w:instrText>
            </w:r>
            <w:r w:rsidR="00053AE8">
              <w:rPr>
                <w:b/>
                <w:bCs/>
                <w:szCs w:val="24"/>
                <w:lang w:val="en-US"/>
              </w:rPr>
              <w:instrText>Andres</w:instrText>
            </w:r>
            <w:r w:rsidR="00053AE8" w:rsidRPr="002B3AE7">
              <w:rPr>
                <w:b/>
                <w:bCs/>
                <w:szCs w:val="24"/>
              </w:rPr>
              <w:instrText>","</w:instrText>
            </w:r>
            <w:r w:rsidR="00053AE8">
              <w:rPr>
                <w:b/>
                <w:bCs/>
                <w:szCs w:val="24"/>
                <w:lang w:val="en-US"/>
              </w:rPr>
              <w:instrText>non</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parse</w:instrText>
            </w:r>
            <w:r w:rsidR="00053AE8" w:rsidRPr="002B3AE7">
              <w:rPr>
                <w:b/>
                <w:bCs/>
                <w:szCs w:val="24"/>
              </w:rPr>
              <w:instrText>-</w:instrText>
            </w:r>
            <w:r w:rsidR="00053AE8">
              <w:rPr>
                <w:b/>
                <w:bCs/>
                <w:szCs w:val="24"/>
                <w:lang w:val="en-US"/>
              </w:rPr>
              <w:instrText>names</w:instrText>
            </w:r>
            <w:r w:rsidR="00053AE8" w:rsidRPr="002B3AE7">
              <w:rPr>
                <w:b/>
                <w:bCs/>
                <w:szCs w:val="24"/>
              </w:rPr>
              <w:instrText>":</w:instrText>
            </w:r>
            <w:r w:rsidR="00053AE8">
              <w:rPr>
                <w:b/>
                <w:bCs/>
                <w:szCs w:val="24"/>
                <w:lang w:val="en-US"/>
              </w:rPr>
              <w:instrText>false</w:instrText>
            </w:r>
            <w:r w:rsidR="00053AE8" w:rsidRPr="002B3AE7">
              <w:rPr>
                <w:b/>
                <w:bCs/>
                <w:szCs w:val="24"/>
              </w:rPr>
              <w:instrText>,"</w:instrText>
            </w:r>
            <w:r w:rsidR="00053AE8">
              <w:rPr>
                <w:b/>
                <w:bCs/>
                <w:szCs w:val="24"/>
                <w:lang w:val="en-US"/>
              </w:rPr>
              <w:instrText>suffix</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family</w:instrText>
            </w:r>
            <w:r w:rsidR="00053AE8" w:rsidRPr="002B3AE7">
              <w:rPr>
                <w:b/>
                <w:bCs/>
                <w:szCs w:val="24"/>
              </w:rPr>
              <w:instrText>":"</w:instrText>
            </w:r>
            <w:r w:rsidR="00053AE8">
              <w:rPr>
                <w:b/>
                <w:bCs/>
                <w:szCs w:val="24"/>
                <w:lang w:val="en-US"/>
              </w:rPr>
              <w:instrText>Bento</w:instrText>
            </w:r>
            <w:r w:rsidR="00053AE8" w:rsidRPr="002B3AE7">
              <w:rPr>
                <w:b/>
                <w:bCs/>
                <w:szCs w:val="24"/>
              </w:rPr>
              <w:instrText>","</w:instrText>
            </w:r>
            <w:r w:rsidR="00053AE8">
              <w:rPr>
                <w:b/>
                <w:bCs/>
                <w:szCs w:val="24"/>
                <w:lang w:val="en-US"/>
              </w:rPr>
              <w:instrText>given</w:instrText>
            </w:r>
            <w:r w:rsidR="00053AE8" w:rsidRPr="002B3AE7">
              <w:rPr>
                <w:b/>
                <w:bCs/>
                <w:szCs w:val="24"/>
              </w:rPr>
              <w:instrText>":"</w:instrText>
            </w:r>
            <w:r w:rsidR="00053AE8">
              <w:rPr>
                <w:b/>
                <w:bCs/>
                <w:szCs w:val="24"/>
                <w:lang w:val="en-US"/>
              </w:rPr>
              <w:instrText>Leyre</w:instrText>
            </w:r>
            <w:r w:rsidR="00053AE8" w:rsidRPr="002B3AE7">
              <w:rPr>
                <w:b/>
                <w:bCs/>
                <w:szCs w:val="24"/>
              </w:rPr>
              <w:instrText>","</w:instrText>
            </w:r>
            <w:r w:rsidR="00053AE8">
              <w:rPr>
                <w:b/>
                <w:bCs/>
                <w:szCs w:val="24"/>
                <w:lang w:val="en-US"/>
              </w:rPr>
              <w:instrText>non</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parse</w:instrText>
            </w:r>
            <w:r w:rsidR="00053AE8" w:rsidRPr="002B3AE7">
              <w:rPr>
                <w:b/>
                <w:bCs/>
                <w:szCs w:val="24"/>
              </w:rPr>
              <w:instrText>-</w:instrText>
            </w:r>
            <w:r w:rsidR="00053AE8">
              <w:rPr>
                <w:b/>
                <w:bCs/>
                <w:szCs w:val="24"/>
                <w:lang w:val="en-US"/>
              </w:rPr>
              <w:instrText>names</w:instrText>
            </w:r>
            <w:r w:rsidR="00053AE8" w:rsidRPr="002B3AE7">
              <w:rPr>
                <w:b/>
                <w:bCs/>
                <w:szCs w:val="24"/>
              </w:rPr>
              <w:instrText>":</w:instrText>
            </w:r>
            <w:r w:rsidR="00053AE8">
              <w:rPr>
                <w:b/>
                <w:bCs/>
                <w:szCs w:val="24"/>
                <w:lang w:val="en-US"/>
              </w:rPr>
              <w:instrText>false</w:instrText>
            </w:r>
            <w:r w:rsidR="00053AE8" w:rsidRPr="002B3AE7">
              <w:rPr>
                <w:b/>
                <w:bCs/>
                <w:szCs w:val="24"/>
              </w:rPr>
              <w:instrText>,"</w:instrText>
            </w:r>
            <w:r w:rsidR="00053AE8">
              <w:rPr>
                <w:b/>
                <w:bCs/>
                <w:szCs w:val="24"/>
                <w:lang w:val="en-US"/>
              </w:rPr>
              <w:instrText>suffix</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family</w:instrText>
            </w:r>
            <w:r w:rsidR="00053AE8" w:rsidRPr="002B3AE7">
              <w:rPr>
                <w:b/>
                <w:bCs/>
                <w:szCs w:val="24"/>
              </w:rPr>
              <w:instrText>":"</w:instrText>
            </w:r>
            <w:r w:rsidR="00053AE8">
              <w:rPr>
                <w:b/>
                <w:bCs/>
                <w:szCs w:val="24"/>
                <w:lang w:val="en-US"/>
              </w:rPr>
              <w:instrText>Garc</w:instrText>
            </w:r>
            <w:r w:rsidR="00053AE8" w:rsidRPr="002B3AE7">
              <w:rPr>
                <w:b/>
                <w:bCs/>
                <w:szCs w:val="24"/>
              </w:rPr>
              <w:instrText>í</w:instrText>
            </w:r>
            <w:r w:rsidR="00053AE8">
              <w:rPr>
                <w:b/>
                <w:bCs/>
                <w:szCs w:val="24"/>
                <w:lang w:val="en-US"/>
              </w:rPr>
              <w:instrText>a</w:instrText>
            </w:r>
            <w:r w:rsidR="00053AE8" w:rsidRPr="002B3AE7">
              <w:rPr>
                <w:b/>
                <w:bCs/>
                <w:szCs w:val="24"/>
              </w:rPr>
              <w:instrText>","</w:instrText>
            </w:r>
            <w:r w:rsidR="00053AE8">
              <w:rPr>
                <w:b/>
                <w:bCs/>
                <w:szCs w:val="24"/>
                <w:lang w:val="en-US"/>
              </w:rPr>
              <w:instrText>given</w:instrText>
            </w:r>
            <w:r w:rsidR="00053AE8" w:rsidRPr="002B3AE7">
              <w:rPr>
                <w:b/>
                <w:bCs/>
                <w:szCs w:val="24"/>
              </w:rPr>
              <w:instrText>":"</w:instrText>
            </w:r>
            <w:r w:rsidR="00053AE8">
              <w:rPr>
                <w:b/>
                <w:bCs/>
                <w:szCs w:val="24"/>
                <w:lang w:val="en-US"/>
              </w:rPr>
              <w:instrText>Lucia</w:instrText>
            </w:r>
            <w:r w:rsidR="00053AE8" w:rsidRPr="002B3AE7">
              <w:rPr>
                <w:b/>
                <w:bCs/>
                <w:szCs w:val="24"/>
              </w:rPr>
              <w:instrText>","</w:instrText>
            </w:r>
            <w:r w:rsidR="00053AE8">
              <w:rPr>
                <w:b/>
                <w:bCs/>
                <w:szCs w:val="24"/>
                <w:lang w:val="en-US"/>
              </w:rPr>
              <w:instrText>non</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parse</w:instrText>
            </w:r>
            <w:r w:rsidR="00053AE8" w:rsidRPr="002B3AE7">
              <w:rPr>
                <w:b/>
                <w:bCs/>
                <w:szCs w:val="24"/>
              </w:rPr>
              <w:instrText>-</w:instrText>
            </w:r>
            <w:r w:rsidR="00053AE8">
              <w:rPr>
                <w:b/>
                <w:bCs/>
                <w:szCs w:val="24"/>
                <w:lang w:val="en-US"/>
              </w:rPr>
              <w:instrText>names</w:instrText>
            </w:r>
            <w:r w:rsidR="00053AE8" w:rsidRPr="002B3AE7">
              <w:rPr>
                <w:b/>
                <w:bCs/>
                <w:szCs w:val="24"/>
              </w:rPr>
              <w:instrText>":</w:instrText>
            </w:r>
            <w:r w:rsidR="00053AE8">
              <w:rPr>
                <w:b/>
                <w:bCs/>
                <w:szCs w:val="24"/>
                <w:lang w:val="en-US"/>
              </w:rPr>
              <w:instrText>false</w:instrText>
            </w:r>
            <w:r w:rsidR="00053AE8" w:rsidRPr="002B3AE7">
              <w:rPr>
                <w:b/>
                <w:bCs/>
                <w:szCs w:val="24"/>
              </w:rPr>
              <w:instrText>,"</w:instrText>
            </w:r>
            <w:r w:rsidR="00053AE8">
              <w:rPr>
                <w:b/>
                <w:bCs/>
                <w:szCs w:val="24"/>
                <w:lang w:val="en-US"/>
              </w:rPr>
              <w:instrText>suffix</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family</w:instrText>
            </w:r>
            <w:r w:rsidR="00053AE8" w:rsidRPr="002B3AE7">
              <w:rPr>
                <w:b/>
                <w:bCs/>
                <w:szCs w:val="24"/>
              </w:rPr>
              <w:instrText>":"</w:instrText>
            </w:r>
            <w:r w:rsidR="00053AE8">
              <w:rPr>
                <w:b/>
                <w:bCs/>
                <w:szCs w:val="24"/>
                <w:lang w:val="en-US"/>
              </w:rPr>
              <w:instrText>Bargay</w:instrText>
            </w:r>
            <w:r w:rsidR="00053AE8" w:rsidRPr="002B3AE7">
              <w:rPr>
                <w:b/>
                <w:bCs/>
                <w:szCs w:val="24"/>
              </w:rPr>
              <w:instrText>","</w:instrText>
            </w:r>
            <w:r w:rsidR="00053AE8">
              <w:rPr>
                <w:b/>
                <w:bCs/>
                <w:szCs w:val="24"/>
                <w:lang w:val="en-US"/>
              </w:rPr>
              <w:instrText>given</w:instrText>
            </w:r>
            <w:r w:rsidR="00053AE8" w:rsidRPr="002B3AE7">
              <w:rPr>
                <w:b/>
                <w:bCs/>
                <w:szCs w:val="24"/>
              </w:rPr>
              <w:instrText>":"</w:instrText>
            </w:r>
            <w:r w:rsidR="00053AE8">
              <w:rPr>
                <w:b/>
                <w:bCs/>
                <w:szCs w:val="24"/>
                <w:lang w:val="en-US"/>
              </w:rPr>
              <w:instrText>Joan</w:instrText>
            </w:r>
            <w:r w:rsidR="00053AE8" w:rsidRPr="002B3AE7">
              <w:rPr>
                <w:b/>
                <w:bCs/>
                <w:szCs w:val="24"/>
              </w:rPr>
              <w:instrText>","</w:instrText>
            </w:r>
            <w:r w:rsidR="00053AE8">
              <w:rPr>
                <w:b/>
                <w:bCs/>
                <w:szCs w:val="24"/>
                <w:lang w:val="en-US"/>
              </w:rPr>
              <w:instrText>non</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parse</w:instrText>
            </w:r>
            <w:r w:rsidR="00053AE8" w:rsidRPr="002B3AE7">
              <w:rPr>
                <w:b/>
                <w:bCs/>
                <w:szCs w:val="24"/>
              </w:rPr>
              <w:instrText>-</w:instrText>
            </w:r>
            <w:r w:rsidR="00053AE8">
              <w:rPr>
                <w:b/>
                <w:bCs/>
                <w:szCs w:val="24"/>
                <w:lang w:val="en-US"/>
              </w:rPr>
              <w:instrText>names</w:instrText>
            </w:r>
            <w:r w:rsidR="00053AE8" w:rsidRPr="002B3AE7">
              <w:rPr>
                <w:b/>
                <w:bCs/>
                <w:szCs w:val="24"/>
              </w:rPr>
              <w:instrText>":</w:instrText>
            </w:r>
            <w:r w:rsidR="00053AE8">
              <w:rPr>
                <w:b/>
                <w:bCs/>
                <w:szCs w:val="24"/>
                <w:lang w:val="en-US"/>
              </w:rPr>
              <w:instrText>false</w:instrText>
            </w:r>
            <w:r w:rsidR="00053AE8" w:rsidRPr="002B3AE7">
              <w:rPr>
                <w:b/>
                <w:bCs/>
                <w:szCs w:val="24"/>
              </w:rPr>
              <w:instrText>,"</w:instrText>
            </w:r>
            <w:r w:rsidR="00053AE8">
              <w:rPr>
                <w:b/>
                <w:bCs/>
                <w:szCs w:val="24"/>
                <w:lang w:val="en-US"/>
              </w:rPr>
              <w:instrText>suffix</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family</w:instrText>
            </w:r>
            <w:r w:rsidR="00053AE8" w:rsidRPr="002B3AE7">
              <w:rPr>
                <w:b/>
                <w:bCs/>
                <w:szCs w:val="24"/>
              </w:rPr>
              <w:instrText>":"</w:instrText>
            </w:r>
            <w:r w:rsidR="00053AE8">
              <w:rPr>
                <w:b/>
                <w:bCs/>
                <w:szCs w:val="24"/>
                <w:lang w:val="en-US"/>
              </w:rPr>
              <w:instrText>Besalduch</w:instrText>
            </w:r>
            <w:r w:rsidR="00053AE8" w:rsidRPr="002B3AE7">
              <w:rPr>
                <w:b/>
                <w:bCs/>
                <w:szCs w:val="24"/>
              </w:rPr>
              <w:instrText>","</w:instrText>
            </w:r>
            <w:r w:rsidR="00053AE8">
              <w:rPr>
                <w:b/>
                <w:bCs/>
                <w:szCs w:val="24"/>
                <w:lang w:val="en-US"/>
              </w:rPr>
              <w:instrText>given</w:instrText>
            </w:r>
            <w:r w:rsidR="00053AE8" w:rsidRPr="002B3AE7">
              <w:rPr>
                <w:b/>
                <w:bCs/>
                <w:szCs w:val="24"/>
              </w:rPr>
              <w:instrText>":"</w:instrText>
            </w:r>
            <w:r w:rsidR="00053AE8">
              <w:rPr>
                <w:b/>
                <w:bCs/>
                <w:szCs w:val="24"/>
                <w:lang w:val="en-US"/>
              </w:rPr>
              <w:instrText>Joan</w:instrText>
            </w:r>
            <w:r w:rsidR="00053AE8" w:rsidRPr="002B3AE7">
              <w:rPr>
                <w:b/>
                <w:bCs/>
                <w:szCs w:val="24"/>
              </w:rPr>
              <w:instrText>","</w:instrText>
            </w:r>
            <w:r w:rsidR="00053AE8">
              <w:rPr>
                <w:b/>
                <w:bCs/>
                <w:szCs w:val="24"/>
                <w:lang w:val="en-US"/>
              </w:rPr>
              <w:instrText>non</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parse</w:instrText>
            </w:r>
            <w:r w:rsidR="00053AE8" w:rsidRPr="002B3AE7">
              <w:rPr>
                <w:b/>
                <w:bCs/>
                <w:szCs w:val="24"/>
              </w:rPr>
              <w:instrText>-</w:instrText>
            </w:r>
            <w:r w:rsidR="00053AE8">
              <w:rPr>
                <w:b/>
                <w:bCs/>
                <w:szCs w:val="24"/>
                <w:lang w:val="en-US"/>
              </w:rPr>
              <w:instrText>names</w:instrText>
            </w:r>
            <w:r w:rsidR="00053AE8" w:rsidRPr="002B3AE7">
              <w:rPr>
                <w:b/>
                <w:bCs/>
                <w:szCs w:val="24"/>
              </w:rPr>
              <w:instrText>":</w:instrText>
            </w:r>
            <w:r w:rsidR="00053AE8">
              <w:rPr>
                <w:b/>
                <w:bCs/>
                <w:szCs w:val="24"/>
                <w:lang w:val="en-US"/>
              </w:rPr>
              <w:instrText>false</w:instrText>
            </w:r>
            <w:r w:rsidR="00053AE8" w:rsidRPr="002B3AE7">
              <w:rPr>
                <w:b/>
                <w:bCs/>
                <w:szCs w:val="24"/>
              </w:rPr>
              <w:instrText>,"</w:instrText>
            </w:r>
            <w:r w:rsidR="00053AE8">
              <w:rPr>
                <w:b/>
                <w:bCs/>
                <w:szCs w:val="24"/>
                <w:lang w:val="en-US"/>
              </w:rPr>
              <w:instrText>suffix</w:instrText>
            </w:r>
            <w:r w:rsidR="00053AE8" w:rsidRPr="002B3AE7">
              <w:rPr>
                <w:b/>
                <w:bCs/>
                <w:szCs w:val="24"/>
              </w:rPr>
              <w:instrText>":""}],"</w:instrText>
            </w:r>
            <w:r w:rsidR="00053AE8">
              <w:rPr>
                <w:b/>
                <w:bCs/>
                <w:szCs w:val="24"/>
                <w:lang w:val="en-US"/>
              </w:rPr>
              <w:instrText>container</w:instrText>
            </w:r>
            <w:r w:rsidR="00053AE8" w:rsidRPr="002B3AE7">
              <w:rPr>
                <w:b/>
                <w:bCs/>
                <w:szCs w:val="24"/>
              </w:rPr>
              <w:instrText>-</w:instrText>
            </w:r>
            <w:r w:rsidR="00053AE8">
              <w:rPr>
                <w:b/>
                <w:bCs/>
                <w:szCs w:val="24"/>
                <w:lang w:val="en-US"/>
              </w:rPr>
              <w:instrText>title</w:instrText>
            </w:r>
            <w:r w:rsidR="00053AE8" w:rsidRPr="002B3AE7">
              <w:rPr>
                <w:b/>
                <w:bCs/>
                <w:szCs w:val="24"/>
              </w:rPr>
              <w:instrText>":"</w:instrText>
            </w:r>
            <w:r w:rsidR="00053AE8">
              <w:rPr>
                <w:b/>
                <w:bCs/>
                <w:szCs w:val="24"/>
                <w:lang w:val="en-US"/>
              </w:rPr>
              <w:instrText>OncoTargets</w:instrText>
            </w:r>
            <w:r w:rsidR="00053AE8" w:rsidRPr="002B3AE7">
              <w:rPr>
                <w:b/>
                <w:bCs/>
                <w:szCs w:val="24"/>
              </w:rPr>
              <w:instrText xml:space="preserve"> </w:instrText>
            </w:r>
            <w:r w:rsidR="00053AE8">
              <w:rPr>
                <w:b/>
                <w:bCs/>
                <w:szCs w:val="24"/>
                <w:lang w:val="en-US"/>
              </w:rPr>
              <w:instrText>and</w:instrText>
            </w:r>
            <w:r w:rsidR="00053AE8" w:rsidRPr="002B3AE7">
              <w:rPr>
                <w:b/>
                <w:bCs/>
                <w:szCs w:val="24"/>
              </w:rPr>
              <w:instrText xml:space="preserve"> </w:instrText>
            </w:r>
            <w:r w:rsidR="00053AE8">
              <w:rPr>
                <w:b/>
                <w:bCs/>
                <w:szCs w:val="24"/>
                <w:lang w:val="en-US"/>
              </w:rPr>
              <w:instrText>Therapy</w:instrText>
            </w:r>
            <w:r w:rsidR="00053AE8" w:rsidRPr="002B3AE7">
              <w:rPr>
                <w:b/>
                <w:bCs/>
                <w:szCs w:val="24"/>
              </w:rPr>
              <w:instrText>","</w:instrText>
            </w:r>
            <w:r w:rsidR="00053AE8">
              <w:rPr>
                <w:b/>
                <w:bCs/>
                <w:szCs w:val="24"/>
                <w:lang w:val="en-US"/>
              </w:rPr>
              <w:instrText>id</w:instrText>
            </w:r>
            <w:r w:rsidR="00053AE8" w:rsidRPr="002B3AE7">
              <w:rPr>
                <w:b/>
                <w:bCs/>
                <w:szCs w:val="24"/>
              </w:rPr>
              <w:instrText>":"</w:instrText>
            </w:r>
            <w:r w:rsidR="00053AE8">
              <w:rPr>
                <w:b/>
                <w:bCs/>
                <w:szCs w:val="24"/>
                <w:lang w:val="en-US"/>
              </w:rPr>
              <w:instrText>ITEM</w:instrText>
            </w:r>
            <w:r w:rsidR="00053AE8" w:rsidRPr="002B3AE7">
              <w:rPr>
                <w:b/>
                <w:bCs/>
                <w:szCs w:val="24"/>
              </w:rPr>
              <w:instrText>-1","</w:instrText>
            </w:r>
            <w:r w:rsidR="00053AE8">
              <w:rPr>
                <w:b/>
                <w:bCs/>
                <w:szCs w:val="24"/>
                <w:lang w:val="en-US"/>
              </w:rPr>
              <w:instrText>issued</w:instrText>
            </w:r>
            <w:r w:rsidR="00053AE8" w:rsidRPr="002B3AE7">
              <w:rPr>
                <w:b/>
                <w:bCs/>
                <w:szCs w:val="24"/>
              </w:rPr>
              <w:instrText>":{"</w:instrText>
            </w:r>
            <w:r w:rsidR="00053AE8">
              <w:rPr>
                <w:b/>
                <w:bCs/>
                <w:szCs w:val="24"/>
                <w:lang w:val="en-US"/>
              </w:rPr>
              <w:instrText>date</w:instrText>
            </w:r>
            <w:r w:rsidR="00053AE8" w:rsidRPr="002B3AE7">
              <w:rPr>
                <w:b/>
                <w:bCs/>
                <w:szCs w:val="24"/>
              </w:rPr>
              <w:instrText>-</w:instrText>
            </w:r>
            <w:r w:rsidR="00053AE8">
              <w:rPr>
                <w:b/>
                <w:bCs/>
                <w:szCs w:val="24"/>
                <w:lang w:val="en-US"/>
              </w:rPr>
              <w:instrText>parts</w:instrText>
            </w:r>
            <w:r w:rsidR="00053AE8" w:rsidRPr="002B3AE7">
              <w:rPr>
                <w:b/>
                <w:bCs/>
                <w:szCs w:val="24"/>
              </w:rPr>
              <w:instrText>":[["2014","11","13"]]},"</w:instrText>
            </w:r>
            <w:r w:rsidR="00053AE8">
              <w:rPr>
                <w:b/>
                <w:bCs/>
                <w:szCs w:val="24"/>
                <w:lang w:val="en-US"/>
              </w:rPr>
              <w:instrText>page</w:instrText>
            </w:r>
            <w:r w:rsidR="00053AE8" w:rsidRPr="002B3AE7">
              <w:rPr>
                <w:b/>
                <w:bCs/>
                <w:szCs w:val="24"/>
              </w:rPr>
              <w:instrText>":"2093-2100","</w:instrText>
            </w:r>
            <w:r w:rsidR="00053AE8">
              <w:rPr>
                <w:b/>
                <w:bCs/>
                <w:szCs w:val="24"/>
                <w:lang w:val="en-US"/>
              </w:rPr>
              <w:instrText>publisher</w:instrText>
            </w:r>
            <w:r w:rsidR="00053AE8" w:rsidRPr="002B3AE7">
              <w:rPr>
                <w:b/>
                <w:bCs/>
                <w:szCs w:val="24"/>
              </w:rPr>
              <w:instrText>":"</w:instrText>
            </w:r>
            <w:r w:rsidR="00053AE8">
              <w:rPr>
                <w:b/>
                <w:bCs/>
                <w:szCs w:val="24"/>
                <w:lang w:val="en-US"/>
              </w:rPr>
              <w:instrText>Dove</w:instrText>
            </w:r>
            <w:r w:rsidR="00053AE8" w:rsidRPr="002B3AE7">
              <w:rPr>
                <w:b/>
                <w:bCs/>
                <w:szCs w:val="24"/>
              </w:rPr>
              <w:instrText xml:space="preserve"> </w:instrText>
            </w:r>
            <w:r w:rsidR="00053AE8">
              <w:rPr>
                <w:b/>
                <w:bCs/>
                <w:szCs w:val="24"/>
                <w:lang w:val="en-US"/>
              </w:rPr>
              <w:instrText>Medical</w:instrText>
            </w:r>
            <w:r w:rsidR="00053AE8" w:rsidRPr="002B3AE7">
              <w:rPr>
                <w:b/>
                <w:bCs/>
                <w:szCs w:val="24"/>
              </w:rPr>
              <w:instrText xml:space="preserve"> </w:instrText>
            </w:r>
            <w:r w:rsidR="00053AE8">
              <w:rPr>
                <w:b/>
                <w:bCs/>
                <w:szCs w:val="24"/>
                <w:lang w:val="en-US"/>
              </w:rPr>
              <w:instrText>Press</w:instrText>
            </w:r>
            <w:r w:rsidR="00053AE8" w:rsidRPr="002B3AE7">
              <w:rPr>
                <w:b/>
                <w:bCs/>
                <w:szCs w:val="24"/>
              </w:rPr>
              <w:instrText xml:space="preserve"> </w:instrText>
            </w:r>
            <w:r w:rsidR="00053AE8">
              <w:rPr>
                <w:b/>
                <w:bCs/>
                <w:szCs w:val="24"/>
                <w:lang w:val="en-US"/>
              </w:rPr>
              <w:instrText>Ltd</w:instrText>
            </w:r>
            <w:r w:rsidR="00053AE8" w:rsidRPr="002B3AE7">
              <w:rPr>
                <w:b/>
                <w:bCs/>
                <w:szCs w:val="24"/>
              </w:rPr>
              <w:instrText>.","</w:instrText>
            </w:r>
            <w:r w:rsidR="00053AE8">
              <w:rPr>
                <w:b/>
                <w:bCs/>
                <w:szCs w:val="24"/>
                <w:lang w:val="en-US"/>
              </w:rPr>
              <w:instrText>title</w:instrText>
            </w:r>
            <w:r w:rsidR="00053AE8" w:rsidRPr="002B3AE7">
              <w:rPr>
                <w:b/>
                <w:bCs/>
                <w:szCs w:val="24"/>
              </w:rPr>
              <w:instrText>":"</w:instrText>
            </w:r>
            <w:r w:rsidR="00053AE8">
              <w:rPr>
                <w:b/>
                <w:bCs/>
                <w:szCs w:val="24"/>
                <w:lang w:val="en-US"/>
              </w:rPr>
              <w:instrText>Gemcitabine</w:instrText>
            </w:r>
            <w:r w:rsidR="00053AE8" w:rsidRPr="002B3AE7">
              <w:rPr>
                <w:b/>
                <w:bCs/>
                <w:szCs w:val="24"/>
              </w:rPr>
              <w:instrText xml:space="preserve"> </w:instrText>
            </w:r>
            <w:r w:rsidR="00053AE8">
              <w:rPr>
                <w:b/>
                <w:bCs/>
                <w:szCs w:val="24"/>
                <w:lang w:val="en-US"/>
              </w:rPr>
              <w:instrText>and</w:instrText>
            </w:r>
            <w:r w:rsidR="00053AE8" w:rsidRPr="002B3AE7">
              <w:rPr>
                <w:b/>
                <w:bCs/>
                <w:szCs w:val="24"/>
              </w:rPr>
              <w:instrText xml:space="preserve"> </w:instrText>
            </w:r>
            <w:r w:rsidR="00053AE8">
              <w:rPr>
                <w:b/>
                <w:bCs/>
                <w:szCs w:val="24"/>
                <w:lang w:val="en-US"/>
              </w:rPr>
              <w:instrText>oxaliplatinum</w:instrText>
            </w:r>
            <w:r w:rsidR="00053AE8" w:rsidRPr="002B3AE7">
              <w:rPr>
                <w:b/>
                <w:bCs/>
                <w:szCs w:val="24"/>
              </w:rPr>
              <w:instrText xml:space="preserve">: </w:instrText>
            </w:r>
            <w:r w:rsidR="00053AE8">
              <w:rPr>
                <w:b/>
                <w:bCs/>
                <w:szCs w:val="24"/>
                <w:lang w:val="en-US"/>
              </w:rPr>
              <w:instrText>An</w:instrText>
            </w:r>
            <w:r w:rsidR="00053AE8" w:rsidRPr="002B3AE7">
              <w:rPr>
                <w:b/>
                <w:bCs/>
                <w:szCs w:val="24"/>
              </w:rPr>
              <w:instrText xml:space="preserve"> </w:instrText>
            </w:r>
            <w:r w:rsidR="00053AE8">
              <w:rPr>
                <w:b/>
                <w:bCs/>
                <w:szCs w:val="24"/>
                <w:lang w:val="en-US"/>
              </w:rPr>
              <w:instrText>effective</w:instrText>
            </w:r>
            <w:r w:rsidR="00053AE8" w:rsidRPr="002B3AE7">
              <w:rPr>
                <w:b/>
                <w:bCs/>
                <w:szCs w:val="24"/>
              </w:rPr>
              <w:instrText xml:space="preserve"> </w:instrText>
            </w:r>
            <w:r w:rsidR="00053AE8">
              <w:rPr>
                <w:b/>
                <w:bCs/>
                <w:szCs w:val="24"/>
                <w:lang w:val="en-US"/>
              </w:rPr>
              <w:instrText>regimen</w:instrText>
            </w:r>
            <w:r w:rsidR="00053AE8" w:rsidRPr="002B3AE7">
              <w:rPr>
                <w:b/>
                <w:bCs/>
                <w:szCs w:val="24"/>
              </w:rPr>
              <w:instrText xml:space="preserve"> </w:instrText>
            </w:r>
            <w:r w:rsidR="00053AE8">
              <w:rPr>
                <w:b/>
                <w:bCs/>
                <w:szCs w:val="24"/>
                <w:lang w:val="en-US"/>
              </w:rPr>
              <w:instrText>in</w:instrText>
            </w:r>
            <w:r w:rsidR="00053AE8" w:rsidRPr="002B3AE7">
              <w:rPr>
                <w:b/>
                <w:bCs/>
                <w:szCs w:val="24"/>
              </w:rPr>
              <w:instrText xml:space="preserve"> </w:instrText>
            </w:r>
            <w:r w:rsidR="00053AE8">
              <w:rPr>
                <w:b/>
                <w:bCs/>
                <w:szCs w:val="24"/>
                <w:lang w:val="en-US"/>
              </w:rPr>
              <w:instrText>patients</w:instrText>
            </w:r>
            <w:r w:rsidR="00053AE8" w:rsidRPr="002B3AE7">
              <w:rPr>
                <w:b/>
                <w:bCs/>
                <w:szCs w:val="24"/>
              </w:rPr>
              <w:instrText xml:space="preserve"> </w:instrText>
            </w:r>
            <w:r w:rsidR="00053AE8">
              <w:rPr>
                <w:b/>
                <w:bCs/>
                <w:szCs w:val="24"/>
                <w:lang w:val="en-US"/>
              </w:rPr>
              <w:instrText>with</w:instrText>
            </w:r>
            <w:r w:rsidR="00053AE8" w:rsidRPr="002B3AE7">
              <w:rPr>
                <w:b/>
                <w:bCs/>
                <w:szCs w:val="24"/>
              </w:rPr>
              <w:instrText xml:space="preserve"> </w:instrText>
            </w:r>
            <w:r w:rsidR="00053AE8">
              <w:rPr>
                <w:b/>
                <w:bCs/>
                <w:szCs w:val="24"/>
                <w:lang w:val="en-US"/>
              </w:rPr>
              <w:instrText>refractory</w:instrText>
            </w:r>
            <w:r w:rsidR="00053AE8" w:rsidRPr="002B3AE7">
              <w:rPr>
                <w:b/>
                <w:bCs/>
                <w:szCs w:val="24"/>
              </w:rPr>
              <w:instrText xml:space="preserve"> </w:instrText>
            </w:r>
            <w:r w:rsidR="00053AE8">
              <w:rPr>
                <w:b/>
                <w:bCs/>
                <w:szCs w:val="24"/>
                <w:lang w:val="en-US"/>
              </w:rPr>
              <w:instrText>and</w:instrText>
            </w:r>
            <w:r w:rsidR="00053AE8" w:rsidRPr="002B3AE7">
              <w:rPr>
                <w:b/>
                <w:bCs/>
                <w:szCs w:val="24"/>
              </w:rPr>
              <w:instrText xml:space="preserve"> </w:instrText>
            </w:r>
            <w:r w:rsidR="00053AE8">
              <w:rPr>
                <w:b/>
                <w:bCs/>
                <w:szCs w:val="24"/>
                <w:lang w:val="en-US"/>
              </w:rPr>
              <w:instrText>relapsing</w:instrText>
            </w:r>
            <w:r w:rsidR="00053AE8" w:rsidRPr="002B3AE7">
              <w:rPr>
                <w:b/>
                <w:bCs/>
                <w:szCs w:val="24"/>
              </w:rPr>
              <w:instrText xml:space="preserve"> </w:instrText>
            </w:r>
            <w:r w:rsidR="00053AE8">
              <w:rPr>
                <w:b/>
                <w:bCs/>
                <w:szCs w:val="24"/>
                <w:lang w:val="en-US"/>
              </w:rPr>
              <w:instrText>Hodgkin</w:instrText>
            </w:r>
            <w:r w:rsidR="00053AE8" w:rsidRPr="002B3AE7">
              <w:rPr>
                <w:b/>
                <w:bCs/>
                <w:szCs w:val="24"/>
              </w:rPr>
              <w:instrText xml:space="preserve"> </w:instrText>
            </w:r>
            <w:r w:rsidR="00053AE8">
              <w:rPr>
                <w:b/>
                <w:bCs/>
                <w:szCs w:val="24"/>
                <w:lang w:val="en-US"/>
              </w:rPr>
              <w:instrText>lymphoma</w:instrText>
            </w:r>
            <w:r w:rsidR="00053AE8" w:rsidRPr="002B3AE7">
              <w:rPr>
                <w:b/>
                <w:bCs/>
                <w:szCs w:val="24"/>
              </w:rPr>
              <w:instrText>","</w:instrText>
            </w:r>
            <w:r w:rsidR="00053AE8">
              <w:rPr>
                <w:b/>
                <w:bCs/>
                <w:szCs w:val="24"/>
                <w:lang w:val="en-US"/>
              </w:rPr>
              <w:instrText>type</w:instrText>
            </w:r>
            <w:r w:rsidR="00053AE8" w:rsidRPr="002B3AE7">
              <w:rPr>
                <w:b/>
                <w:bCs/>
                <w:szCs w:val="24"/>
              </w:rPr>
              <w:instrText>":"</w:instrText>
            </w:r>
            <w:r w:rsidR="00053AE8">
              <w:rPr>
                <w:b/>
                <w:bCs/>
                <w:szCs w:val="24"/>
                <w:lang w:val="en-US"/>
              </w:rPr>
              <w:instrText>article</w:instrText>
            </w:r>
            <w:r w:rsidR="00053AE8" w:rsidRPr="002B3AE7">
              <w:rPr>
                <w:b/>
                <w:bCs/>
                <w:szCs w:val="24"/>
              </w:rPr>
              <w:instrText>-</w:instrText>
            </w:r>
            <w:r w:rsidR="00053AE8">
              <w:rPr>
                <w:b/>
                <w:bCs/>
                <w:szCs w:val="24"/>
                <w:lang w:val="en-US"/>
              </w:rPr>
              <w:instrText>journal</w:instrText>
            </w:r>
            <w:r w:rsidR="00053AE8" w:rsidRPr="002B3AE7">
              <w:rPr>
                <w:b/>
                <w:bCs/>
                <w:szCs w:val="24"/>
              </w:rPr>
              <w:instrText>","</w:instrText>
            </w:r>
            <w:r w:rsidR="00053AE8">
              <w:rPr>
                <w:b/>
                <w:bCs/>
                <w:szCs w:val="24"/>
                <w:lang w:val="en-US"/>
              </w:rPr>
              <w:instrText>volume</w:instrText>
            </w:r>
            <w:r w:rsidR="00053AE8" w:rsidRPr="002B3AE7">
              <w:rPr>
                <w:b/>
                <w:bCs/>
                <w:szCs w:val="24"/>
              </w:rPr>
              <w:instrText>":"7"},"</w:instrText>
            </w:r>
            <w:r w:rsidR="00053AE8">
              <w:rPr>
                <w:b/>
                <w:bCs/>
                <w:szCs w:val="24"/>
                <w:lang w:val="en-US"/>
              </w:rPr>
              <w:instrText>uris</w:instrText>
            </w:r>
            <w:r w:rsidR="00053AE8" w:rsidRPr="002B3AE7">
              <w:rPr>
                <w:b/>
                <w:bCs/>
                <w:szCs w:val="24"/>
              </w:rPr>
              <w:instrText>":["</w:instrText>
            </w:r>
            <w:r w:rsidR="00053AE8">
              <w:rPr>
                <w:b/>
                <w:bCs/>
                <w:szCs w:val="24"/>
                <w:lang w:val="en-US"/>
              </w:rPr>
              <w:instrText>http</w:instrText>
            </w:r>
            <w:r w:rsidR="00053AE8" w:rsidRPr="002B3AE7">
              <w:rPr>
                <w:b/>
                <w:bCs/>
                <w:szCs w:val="24"/>
              </w:rPr>
              <w:instrText>://</w:instrText>
            </w:r>
            <w:r w:rsidR="00053AE8">
              <w:rPr>
                <w:b/>
                <w:bCs/>
                <w:szCs w:val="24"/>
                <w:lang w:val="en-US"/>
              </w:rPr>
              <w:instrText>www</w:instrText>
            </w:r>
            <w:r w:rsidR="00053AE8" w:rsidRPr="002B3AE7">
              <w:rPr>
                <w:b/>
                <w:bCs/>
                <w:szCs w:val="24"/>
              </w:rPr>
              <w:instrText>.</w:instrText>
            </w:r>
            <w:r w:rsidR="00053AE8">
              <w:rPr>
                <w:b/>
                <w:bCs/>
                <w:szCs w:val="24"/>
                <w:lang w:val="en-US"/>
              </w:rPr>
              <w:instrText>mendeley</w:instrText>
            </w:r>
            <w:r w:rsidR="00053AE8" w:rsidRPr="002B3AE7">
              <w:rPr>
                <w:b/>
                <w:bCs/>
                <w:szCs w:val="24"/>
              </w:rPr>
              <w:instrText>.</w:instrText>
            </w:r>
            <w:r w:rsidR="00053AE8">
              <w:rPr>
                <w:b/>
                <w:bCs/>
                <w:szCs w:val="24"/>
                <w:lang w:val="en-US"/>
              </w:rPr>
              <w:instrText>com</w:instrText>
            </w:r>
            <w:r w:rsidR="00053AE8" w:rsidRPr="002B3AE7">
              <w:rPr>
                <w:b/>
                <w:bCs/>
                <w:szCs w:val="24"/>
              </w:rPr>
              <w:instrText>/</w:instrText>
            </w:r>
            <w:r w:rsidR="00053AE8">
              <w:rPr>
                <w:b/>
                <w:bCs/>
                <w:szCs w:val="24"/>
                <w:lang w:val="en-US"/>
              </w:rPr>
              <w:instrText>documents</w:instrText>
            </w:r>
            <w:r w:rsidR="00053AE8" w:rsidRPr="002B3AE7">
              <w:rPr>
                <w:b/>
                <w:bCs/>
                <w:szCs w:val="24"/>
              </w:rPr>
              <w:instrText>/?</w:instrText>
            </w:r>
            <w:r w:rsidR="00053AE8">
              <w:rPr>
                <w:b/>
                <w:bCs/>
                <w:szCs w:val="24"/>
                <w:lang w:val="en-US"/>
              </w:rPr>
              <w:instrText>uuid</w:instrText>
            </w:r>
            <w:r w:rsidR="00053AE8" w:rsidRPr="002B3AE7">
              <w:rPr>
                <w:b/>
                <w:bCs/>
                <w:szCs w:val="24"/>
              </w:rPr>
              <w:instrText>=</w:instrText>
            </w:r>
            <w:r w:rsidR="00053AE8">
              <w:rPr>
                <w:b/>
                <w:bCs/>
                <w:szCs w:val="24"/>
                <w:lang w:val="en-US"/>
              </w:rPr>
              <w:instrText>e</w:instrText>
            </w:r>
            <w:r w:rsidR="00053AE8" w:rsidRPr="002B3AE7">
              <w:rPr>
                <w:b/>
                <w:bCs/>
                <w:szCs w:val="24"/>
              </w:rPr>
              <w:instrText>9</w:instrText>
            </w:r>
            <w:r w:rsidR="00053AE8">
              <w:rPr>
                <w:b/>
                <w:bCs/>
                <w:szCs w:val="24"/>
                <w:lang w:val="en-US"/>
              </w:rPr>
              <w:instrText>cc</w:instrText>
            </w:r>
            <w:r w:rsidR="00053AE8" w:rsidRPr="002B3AE7">
              <w:rPr>
                <w:b/>
                <w:bCs/>
                <w:szCs w:val="24"/>
              </w:rPr>
              <w:instrText>0973-2</w:instrText>
            </w:r>
            <w:r w:rsidR="00053AE8">
              <w:rPr>
                <w:b/>
                <w:bCs/>
                <w:szCs w:val="24"/>
                <w:lang w:val="en-US"/>
              </w:rPr>
              <w:instrText>f</w:instrText>
            </w:r>
            <w:r w:rsidR="00053AE8" w:rsidRPr="002B3AE7">
              <w:rPr>
                <w:b/>
                <w:bCs/>
                <w:szCs w:val="24"/>
              </w:rPr>
              <w:instrText>51-34</w:instrText>
            </w:r>
            <w:r w:rsidR="00053AE8">
              <w:rPr>
                <w:b/>
                <w:bCs/>
                <w:szCs w:val="24"/>
                <w:lang w:val="en-US"/>
              </w:rPr>
              <w:instrText>cc</w:instrText>
            </w:r>
            <w:r w:rsidR="00053AE8" w:rsidRPr="002B3AE7">
              <w:rPr>
                <w:b/>
                <w:bCs/>
                <w:szCs w:val="24"/>
              </w:rPr>
              <w:instrText>-</w:instrText>
            </w:r>
            <w:r w:rsidR="00053AE8">
              <w:rPr>
                <w:b/>
                <w:bCs/>
                <w:szCs w:val="24"/>
                <w:lang w:val="en-US"/>
              </w:rPr>
              <w:instrText>bc</w:instrText>
            </w:r>
            <w:r w:rsidR="00053AE8" w:rsidRPr="002B3AE7">
              <w:rPr>
                <w:b/>
                <w:bCs/>
                <w:szCs w:val="24"/>
              </w:rPr>
              <w:instrText>6</w:instrText>
            </w:r>
            <w:r w:rsidR="00053AE8">
              <w:rPr>
                <w:b/>
                <w:bCs/>
                <w:szCs w:val="24"/>
                <w:lang w:val="en-US"/>
              </w:rPr>
              <w:instrText>a</w:instrText>
            </w:r>
            <w:r w:rsidR="00053AE8" w:rsidRPr="002B3AE7">
              <w:rPr>
                <w:b/>
                <w:bCs/>
                <w:szCs w:val="24"/>
              </w:rPr>
              <w:instrText>-</w:instrText>
            </w:r>
            <w:r w:rsidR="00053AE8">
              <w:rPr>
                <w:b/>
                <w:bCs/>
                <w:szCs w:val="24"/>
                <w:lang w:val="en-US"/>
              </w:rPr>
              <w:instrText>fda</w:instrText>
            </w:r>
            <w:r w:rsidR="00053AE8" w:rsidRPr="002B3AE7">
              <w:rPr>
                <w:b/>
                <w:bCs/>
                <w:szCs w:val="24"/>
              </w:rPr>
              <w:instrText>89</w:instrText>
            </w:r>
            <w:r w:rsidR="00053AE8">
              <w:rPr>
                <w:b/>
                <w:bCs/>
                <w:szCs w:val="24"/>
                <w:lang w:val="en-US"/>
              </w:rPr>
              <w:instrText>c</w:instrText>
            </w:r>
            <w:r w:rsidR="00053AE8" w:rsidRPr="002B3AE7">
              <w:rPr>
                <w:b/>
                <w:bCs/>
                <w:szCs w:val="24"/>
              </w:rPr>
              <w:instrText>931</w:instrText>
            </w:r>
            <w:r w:rsidR="00053AE8">
              <w:rPr>
                <w:b/>
                <w:bCs/>
                <w:szCs w:val="24"/>
                <w:lang w:val="en-US"/>
              </w:rPr>
              <w:instrText>adb</w:instrText>
            </w:r>
            <w:r w:rsidR="00053AE8" w:rsidRPr="002B3AE7">
              <w:rPr>
                <w:b/>
                <w:bCs/>
                <w:szCs w:val="24"/>
              </w:rPr>
              <w:instrText>"]}],"</w:instrText>
            </w:r>
            <w:r w:rsidR="00053AE8">
              <w:rPr>
                <w:b/>
                <w:bCs/>
                <w:szCs w:val="24"/>
                <w:lang w:val="en-US"/>
              </w:rPr>
              <w:instrText>mendeley</w:instrText>
            </w:r>
            <w:r w:rsidR="00053AE8" w:rsidRPr="002B3AE7">
              <w:rPr>
                <w:b/>
                <w:bCs/>
                <w:szCs w:val="24"/>
              </w:rPr>
              <w:instrText>":{"</w:instrText>
            </w:r>
            <w:r w:rsidR="00053AE8">
              <w:rPr>
                <w:b/>
                <w:bCs/>
                <w:szCs w:val="24"/>
                <w:lang w:val="en-US"/>
              </w:rPr>
              <w:instrText>formattedCitation</w:instrText>
            </w:r>
            <w:r w:rsidR="00053AE8" w:rsidRPr="002B3AE7">
              <w:rPr>
                <w:b/>
                <w:bCs/>
                <w:szCs w:val="24"/>
              </w:rPr>
              <w:instrText>":"[133]","</w:instrText>
            </w:r>
            <w:r w:rsidR="00053AE8">
              <w:rPr>
                <w:b/>
                <w:bCs/>
                <w:szCs w:val="24"/>
                <w:lang w:val="en-US"/>
              </w:rPr>
              <w:instrText>plainTextFormattedCitation</w:instrText>
            </w:r>
            <w:r w:rsidR="00053AE8" w:rsidRPr="002B3AE7">
              <w:rPr>
                <w:b/>
                <w:bCs/>
                <w:szCs w:val="24"/>
              </w:rPr>
              <w:instrText>":"[133]","</w:instrText>
            </w:r>
            <w:r w:rsidR="00053AE8">
              <w:rPr>
                <w:b/>
                <w:bCs/>
                <w:szCs w:val="24"/>
                <w:lang w:val="en-US"/>
              </w:rPr>
              <w:instrText>previouslyFormattedCitation</w:instrText>
            </w:r>
            <w:r w:rsidR="00053AE8" w:rsidRPr="002B3AE7">
              <w:rPr>
                <w:b/>
                <w:bCs/>
                <w:szCs w:val="24"/>
              </w:rPr>
              <w:instrText>":"[133]"},"</w:instrText>
            </w:r>
            <w:r w:rsidR="00053AE8">
              <w:rPr>
                <w:b/>
                <w:bCs/>
                <w:szCs w:val="24"/>
                <w:lang w:val="en-US"/>
              </w:rPr>
              <w:instrText>properties</w:instrText>
            </w:r>
            <w:r w:rsidR="00053AE8" w:rsidRPr="002B3AE7">
              <w:rPr>
                <w:b/>
                <w:bCs/>
                <w:szCs w:val="24"/>
              </w:rPr>
              <w:instrText>":{"</w:instrText>
            </w:r>
            <w:r w:rsidR="00053AE8">
              <w:rPr>
                <w:b/>
                <w:bCs/>
                <w:szCs w:val="24"/>
                <w:lang w:val="en-US"/>
              </w:rPr>
              <w:instrText>noteIndex</w:instrText>
            </w:r>
            <w:r w:rsidR="00053AE8" w:rsidRPr="002B3AE7">
              <w:rPr>
                <w:b/>
                <w:bCs/>
                <w:szCs w:val="24"/>
              </w:rPr>
              <w:instrText>":0},"</w:instrText>
            </w:r>
            <w:r w:rsidR="00053AE8">
              <w:rPr>
                <w:b/>
                <w:bCs/>
                <w:szCs w:val="24"/>
                <w:lang w:val="en-US"/>
              </w:rPr>
              <w:instrText>schema</w:instrText>
            </w:r>
            <w:r w:rsidR="00053AE8" w:rsidRPr="002B3AE7">
              <w:rPr>
                <w:b/>
                <w:bCs/>
                <w:szCs w:val="24"/>
              </w:rPr>
              <w:instrText>":"</w:instrText>
            </w:r>
            <w:r w:rsidR="00053AE8">
              <w:rPr>
                <w:b/>
                <w:bCs/>
                <w:szCs w:val="24"/>
                <w:lang w:val="en-US"/>
              </w:rPr>
              <w:instrText>https</w:instrText>
            </w:r>
            <w:r w:rsidR="00053AE8" w:rsidRPr="002B3AE7">
              <w:rPr>
                <w:b/>
                <w:bCs/>
                <w:szCs w:val="24"/>
              </w:rPr>
              <w:instrText>://</w:instrText>
            </w:r>
            <w:r w:rsidR="00053AE8">
              <w:rPr>
                <w:b/>
                <w:bCs/>
                <w:szCs w:val="24"/>
                <w:lang w:val="en-US"/>
              </w:rPr>
              <w:instrText>github</w:instrText>
            </w:r>
            <w:r w:rsidR="00053AE8" w:rsidRPr="002B3AE7">
              <w:rPr>
                <w:b/>
                <w:bCs/>
                <w:szCs w:val="24"/>
              </w:rPr>
              <w:instrText>.</w:instrText>
            </w:r>
            <w:r w:rsidR="00053AE8">
              <w:rPr>
                <w:b/>
                <w:bCs/>
                <w:szCs w:val="24"/>
                <w:lang w:val="en-US"/>
              </w:rPr>
              <w:instrText>com</w:instrText>
            </w:r>
            <w:r w:rsidR="00053AE8" w:rsidRPr="002B3AE7">
              <w:rPr>
                <w:b/>
                <w:bCs/>
                <w:szCs w:val="24"/>
              </w:rPr>
              <w:instrText>/</w:instrText>
            </w:r>
            <w:r w:rsidR="00053AE8">
              <w:rPr>
                <w:b/>
                <w:bCs/>
                <w:szCs w:val="24"/>
                <w:lang w:val="en-US"/>
              </w:rPr>
              <w:instrText>citation</w:instrText>
            </w:r>
            <w:r w:rsidR="00053AE8" w:rsidRPr="002B3AE7">
              <w:rPr>
                <w:b/>
                <w:bCs/>
                <w:szCs w:val="24"/>
              </w:rPr>
              <w:instrText>-</w:instrText>
            </w:r>
            <w:r w:rsidR="00053AE8">
              <w:rPr>
                <w:b/>
                <w:bCs/>
                <w:szCs w:val="24"/>
                <w:lang w:val="en-US"/>
              </w:rPr>
              <w:instrText>style</w:instrText>
            </w:r>
            <w:r w:rsidR="00053AE8" w:rsidRPr="002B3AE7">
              <w:rPr>
                <w:b/>
                <w:bCs/>
                <w:szCs w:val="24"/>
              </w:rPr>
              <w:instrText>-</w:instrText>
            </w:r>
            <w:r w:rsidR="00053AE8">
              <w:rPr>
                <w:b/>
                <w:bCs/>
                <w:szCs w:val="24"/>
                <w:lang w:val="en-US"/>
              </w:rPr>
              <w:instrText>language</w:instrText>
            </w:r>
            <w:r w:rsidR="00053AE8" w:rsidRPr="002B3AE7">
              <w:rPr>
                <w:b/>
                <w:bCs/>
                <w:szCs w:val="24"/>
              </w:rPr>
              <w:instrText>/</w:instrText>
            </w:r>
            <w:r w:rsidR="00053AE8">
              <w:rPr>
                <w:b/>
                <w:bCs/>
                <w:szCs w:val="24"/>
                <w:lang w:val="en-US"/>
              </w:rPr>
              <w:instrText>schema</w:instrText>
            </w:r>
            <w:r w:rsidR="00053AE8" w:rsidRPr="002B3AE7">
              <w:rPr>
                <w:b/>
                <w:bCs/>
                <w:szCs w:val="24"/>
              </w:rPr>
              <w:instrText>/</w:instrText>
            </w:r>
            <w:r w:rsidR="00053AE8">
              <w:rPr>
                <w:b/>
                <w:bCs/>
                <w:szCs w:val="24"/>
                <w:lang w:val="en-US"/>
              </w:rPr>
              <w:instrText>raw</w:instrText>
            </w:r>
            <w:r w:rsidR="00053AE8" w:rsidRPr="002B3AE7">
              <w:rPr>
                <w:b/>
                <w:bCs/>
                <w:szCs w:val="24"/>
              </w:rPr>
              <w:instrText>/</w:instrText>
            </w:r>
            <w:r w:rsidR="00053AE8">
              <w:rPr>
                <w:b/>
                <w:bCs/>
                <w:szCs w:val="24"/>
                <w:lang w:val="en-US"/>
              </w:rPr>
              <w:instrText>master</w:instrText>
            </w:r>
            <w:r w:rsidR="00053AE8" w:rsidRPr="002B3AE7">
              <w:rPr>
                <w:b/>
                <w:bCs/>
                <w:szCs w:val="24"/>
              </w:rPr>
              <w:instrText>/</w:instrText>
            </w:r>
            <w:r w:rsidR="00053AE8">
              <w:rPr>
                <w:b/>
                <w:bCs/>
                <w:szCs w:val="24"/>
                <w:lang w:val="en-US"/>
              </w:rPr>
              <w:instrText>csl</w:instrText>
            </w:r>
            <w:r w:rsidR="00053AE8" w:rsidRPr="002B3AE7">
              <w:rPr>
                <w:b/>
                <w:bCs/>
                <w:szCs w:val="24"/>
              </w:rPr>
              <w:instrText>-</w:instrText>
            </w:r>
            <w:r w:rsidR="00053AE8">
              <w:rPr>
                <w:b/>
                <w:bCs/>
                <w:szCs w:val="24"/>
                <w:lang w:val="en-US"/>
              </w:rPr>
              <w:instrText>citation</w:instrText>
            </w:r>
            <w:r w:rsidR="00053AE8" w:rsidRPr="002B3AE7">
              <w:rPr>
                <w:b/>
                <w:bCs/>
                <w:szCs w:val="24"/>
              </w:rPr>
              <w:instrText>.</w:instrText>
            </w:r>
            <w:r w:rsidR="00053AE8">
              <w:rPr>
                <w:b/>
                <w:bCs/>
                <w:szCs w:val="24"/>
                <w:lang w:val="en-US"/>
              </w:rPr>
              <w:instrText>json</w:instrText>
            </w:r>
            <w:r w:rsidR="00053AE8" w:rsidRPr="002B3AE7">
              <w:rPr>
                <w:b/>
                <w:bCs/>
                <w:szCs w:val="24"/>
              </w:rPr>
              <w:instrText>"}</w:instrText>
            </w:r>
            <w:r w:rsidR="002415BA">
              <w:rPr>
                <w:b/>
                <w:bCs/>
                <w:szCs w:val="24"/>
                <w:lang w:val="en-US"/>
              </w:rPr>
              <w:fldChar w:fldCharType="separate"/>
            </w:r>
            <w:r w:rsidR="00A60C8A" w:rsidRPr="00A60C8A">
              <w:rPr>
                <w:bCs/>
                <w:noProof/>
                <w:szCs w:val="24"/>
              </w:rPr>
              <w:t>[133]</w:t>
            </w:r>
            <w:r w:rsidR="002415BA">
              <w:rPr>
                <w:b/>
                <w:bCs/>
                <w:szCs w:val="24"/>
                <w:lang w:val="en-US"/>
              </w:rPr>
              <w:fldChar w:fldCharType="end"/>
            </w:r>
          </w:p>
        </w:tc>
      </w:tr>
      <w:tr w:rsidR="001E738E" w:rsidRPr="00EA5B5D" w14:paraId="7F526885" w14:textId="77777777" w:rsidTr="00B16826">
        <w:trPr>
          <w:trHeight w:val="329"/>
        </w:trPr>
        <w:tc>
          <w:tcPr>
            <w:tcW w:w="2339" w:type="dxa"/>
            <w:tcBorders>
              <w:top w:val="single" w:sz="4" w:space="0" w:color="auto"/>
              <w:left w:val="single" w:sz="4" w:space="0" w:color="auto"/>
              <w:bottom w:val="single" w:sz="4" w:space="0" w:color="auto"/>
              <w:right w:val="single" w:sz="4" w:space="0" w:color="auto"/>
            </w:tcBorders>
            <w:hideMark/>
          </w:tcPr>
          <w:p w14:paraId="50DC9C02" w14:textId="77777777" w:rsidR="001E738E" w:rsidRPr="00EA5B5D" w:rsidRDefault="001E738E" w:rsidP="00B16826">
            <w:pPr>
              <w:spacing w:line="240" w:lineRule="auto"/>
              <w:ind w:firstLine="0"/>
              <w:jc w:val="left"/>
              <w:rPr>
                <w:szCs w:val="24"/>
              </w:rPr>
            </w:pPr>
            <w:r w:rsidRPr="00EA5B5D">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3A59CFA5" w14:textId="77777777" w:rsidR="001E738E" w:rsidRPr="00EA5B5D" w:rsidRDefault="001E738E" w:rsidP="00B16826">
            <w:pPr>
              <w:spacing w:line="240" w:lineRule="auto"/>
              <w:ind w:firstLine="0"/>
              <w:jc w:val="left"/>
              <w:rPr>
                <w:szCs w:val="24"/>
              </w:rPr>
            </w:pPr>
            <w:r w:rsidRPr="00EA5B5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227FBB65" w14:textId="77777777" w:rsidR="001E738E" w:rsidRPr="00EA5B5D" w:rsidRDefault="001E738E" w:rsidP="00B16826">
            <w:pPr>
              <w:spacing w:line="240" w:lineRule="auto"/>
              <w:ind w:firstLine="0"/>
              <w:jc w:val="left"/>
              <w:rPr>
                <w:szCs w:val="24"/>
              </w:rPr>
            </w:pPr>
            <w:r w:rsidRPr="00EA5B5D">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1944CBFD" w14:textId="77777777" w:rsidR="001E738E" w:rsidRPr="00EA5B5D" w:rsidRDefault="001E738E" w:rsidP="00B16826">
            <w:pPr>
              <w:spacing w:line="240" w:lineRule="auto"/>
              <w:ind w:firstLine="0"/>
              <w:jc w:val="left"/>
              <w:rPr>
                <w:szCs w:val="24"/>
              </w:rPr>
            </w:pPr>
            <w:r w:rsidRPr="00EA5B5D">
              <w:rPr>
                <w:szCs w:val="24"/>
              </w:rPr>
              <w:t>Дни введения</w:t>
            </w:r>
          </w:p>
        </w:tc>
      </w:tr>
      <w:tr w:rsidR="001E738E" w:rsidRPr="00EA5B5D" w14:paraId="7774877F" w14:textId="77777777" w:rsidTr="00B16826">
        <w:trPr>
          <w:trHeight w:val="329"/>
        </w:trPr>
        <w:tc>
          <w:tcPr>
            <w:tcW w:w="2339" w:type="dxa"/>
            <w:tcBorders>
              <w:top w:val="single" w:sz="4" w:space="0" w:color="auto"/>
              <w:left w:val="single" w:sz="4" w:space="0" w:color="auto"/>
              <w:bottom w:val="single" w:sz="4" w:space="0" w:color="auto"/>
              <w:right w:val="single" w:sz="4" w:space="0" w:color="auto"/>
            </w:tcBorders>
            <w:hideMark/>
          </w:tcPr>
          <w:p w14:paraId="1780BEB0" w14:textId="77777777" w:rsidR="001E738E" w:rsidRPr="001E738E" w:rsidRDefault="001E738E" w:rsidP="001E738E">
            <w:pPr>
              <w:spacing w:line="240" w:lineRule="auto"/>
              <w:ind w:firstLine="0"/>
              <w:jc w:val="left"/>
              <w:rPr>
                <w:szCs w:val="24"/>
              </w:rPr>
            </w:pPr>
            <w:r w:rsidRPr="001E738E">
              <w:rPr>
                <w:szCs w:val="24"/>
              </w:rPr>
              <w:t>Гемцитабин</w:t>
            </w:r>
            <w:r w:rsidR="000E2605" w:rsidRPr="000E2605">
              <w:rPr>
                <w:szCs w:val="24"/>
              </w:rPr>
              <w:t>**</w:t>
            </w:r>
          </w:p>
        </w:tc>
        <w:tc>
          <w:tcPr>
            <w:tcW w:w="2339" w:type="dxa"/>
            <w:tcBorders>
              <w:top w:val="single" w:sz="4" w:space="0" w:color="auto"/>
              <w:left w:val="single" w:sz="4" w:space="0" w:color="auto"/>
              <w:bottom w:val="single" w:sz="4" w:space="0" w:color="auto"/>
              <w:right w:val="single" w:sz="4" w:space="0" w:color="auto"/>
            </w:tcBorders>
          </w:tcPr>
          <w:p w14:paraId="41202FE4" w14:textId="77777777" w:rsidR="001E738E" w:rsidRPr="001E738E" w:rsidRDefault="001E738E" w:rsidP="001E738E">
            <w:pPr>
              <w:spacing w:line="240" w:lineRule="auto"/>
              <w:ind w:firstLine="0"/>
              <w:jc w:val="left"/>
              <w:rPr>
                <w:szCs w:val="24"/>
              </w:rPr>
            </w:pPr>
            <w:r w:rsidRPr="001E738E">
              <w:rPr>
                <w:szCs w:val="24"/>
              </w:rPr>
              <w:t>1000 мг/м</w:t>
            </w:r>
            <w:r w:rsidRPr="001E738E">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0ADA2263" w14:textId="77777777" w:rsidR="001E738E" w:rsidRPr="001E738E" w:rsidRDefault="001E738E" w:rsidP="001E738E">
            <w:pPr>
              <w:spacing w:line="240" w:lineRule="auto"/>
              <w:ind w:firstLine="0"/>
              <w:jc w:val="left"/>
              <w:rPr>
                <w:szCs w:val="24"/>
              </w:rPr>
            </w:pPr>
            <w:r w:rsidRPr="001E738E">
              <w:rPr>
                <w:szCs w:val="24"/>
              </w:rPr>
              <w:t>в/в кап</w:t>
            </w:r>
          </w:p>
        </w:tc>
        <w:tc>
          <w:tcPr>
            <w:tcW w:w="2339" w:type="dxa"/>
            <w:tcBorders>
              <w:top w:val="single" w:sz="4" w:space="0" w:color="auto"/>
              <w:left w:val="single" w:sz="4" w:space="0" w:color="auto"/>
              <w:bottom w:val="single" w:sz="4" w:space="0" w:color="auto"/>
              <w:right w:val="single" w:sz="4" w:space="0" w:color="auto"/>
            </w:tcBorders>
          </w:tcPr>
          <w:p w14:paraId="6D65DA4C" w14:textId="77777777" w:rsidR="001E738E" w:rsidRPr="001E738E" w:rsidRDefault="001E738E" w:rsidP="001E738E">
            <w:pPr>
              <w:spacing w:line="240" w:lineRule="auto"/>
              <w:ind w:firstLine="0"/>
              <w:jc w:val="left"/>
              <w:rPr>
                <w:szCs w:val="24"/>
              </w:rPr>
            </w:pPr>
            <w:r w:rsidRPr="001E738E">
              <w:rPr>
                <w:szCs w:val="24"/>
              </w:rPr>
              <w:t>1</w:t>
            </w:r>
          </w:p>
        </w:tc>
      </w:tr>
      <w:tr w:rsidR="001E738E" w:rsidRPr="00EA5B5D" w14:paraId="34AFCBA4" w14:textId="77777777" w:rsidTr="00B16826">
        <w:trPr>
          <w:trHeight w:val="329"/>
        </w:trPr>
        <w:tc>
          <w:tcPr>
            <w:tcW w:w="2339" w:type="dxa"/>
            <w:tcBorders>
              <w:top w:val="single" w:sz="4" w:space="0" w:color="auto"/>
              <w:left w:val="single" w:sz="4" w:space="0" w:color="auto"/>
              <w:bottom w:val="single" w:sz="4" w:space="0" w:color="auto"/>
              <w:right w:val="single" w:sz="4" w:space="0" w:color="auto"/>
            </w:tcBorders>
            <w:hideMark/>
          </w:tcPr>
          <w:p w14:paraId="4C7F16EF" w14:textId="77777777" w:rsidR="001E738E" w:rsidRPr="001E738E" w:rsidRDefault="002554A5" w:rsidP="001E738E">
            <w:pPr>
              <w:spacing w:line="240" w:lineRule="auto"/>
              <w:ind w:firstLine="0"/>
              <w:jc w:val="left"/>
              <w:rPr>
                <w:szCs w:val="24"/>
              </w:rPr>
            </w:pPr>
            <w:r w:rsidRPr="002415BA">
              <w:rPr>
                <w:szCs w:val="24"/>
              </w:rPr>
              <w:t>#</w:t>
            </w:r>
            <w:r w:rsidR="001E738E" w:rsidRPr="001E738E">
              <w:rPr>
                <w:szCs w:val="24"/>
              </w:rPr>
              <w:t>Оксалиплатин</w:t>
            </w:r>
            <w:r w:rsidR="000E2605" w:rsidRPr="000E2605">
              <w:rPr>
                <w:szCs w:val="24"/>
              </w:rPr>
              <w:t>**</w:t>
            </w:r>
          </w:p>
        </w:tc>
        <w:tc>
          <w:tcPr>
            <w:tcW w:w="2339" w:type="dxa"/>
            <w:tcBorders>
              <w:top w:val="single" w:sz="4" w:space="0" w:color="auto"/>
              <w:left w:val="single" w:sz="4" w:space="0" w:color="auto"/>
              <w:bottom w:val="single" w:sz="4" w:space="0" w:color="auto"/>
              <w:right w:val="single" w:sz="4" w:space="0" w:color="auto"/>
            </w:tcBorders>
            <w:hideMark/>
          </w:tcPr>
          <w:p w14:paraId="429FBC25" w14:textId="77777777" w:rsidR="001E738E" w:rsidRPr="001E738E" w:rsidRDefault="001E738E" w:rsidP="001E738E">
            <w:pPr>
              <w:spacing w:line="240" w:lineRule="auto"/>
              <w:ind w:firstLine="0"/>
              <w:jc w:val="left"/>
              <w:rPr>
                <w:szCs w:val="24"/>
              </w:rPr>
            </w:pPr>
            <w:r w:rsidRPr="001E738E">
              <w:rPr>
                <w:szCs w:val="24"/>
              </w:rPr>
              <w:t>1</w:t>
            </w:r>
            <w:r w:rsidR="002415BA" w:rsidRPr="002415BA">
              <w:rPr>
                <w:szCs w:val="24"/>
              </w:rPr>
              <w:t>0</w:t>
            </w:r>
            <w:r w:rsidRPr="001E738E">
              <w:rPr>
                <w:szCs w:val="24"/>
              </w:rPr>
              <w:t>0 мг/м</w:t>
            </w:r>
            <w:r w:rsidRPr="001E738E">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0501B1CF" w14:textId="77777777" w:rsidR="001E738E" w:rsidRPr="001E738E" w:rsidRDefault="001E738E" w:rsidP="001E738E">
            <w:pPr>
              <w:spacing w:line="240" w:lineRule="auto"/>
              <w:ind w:firstLine="0"/>
              <w:jc w:val="left"/>
              <w:rPr>
                <w:szCs w:val="24"/>
              </w:rPr>
            </w:pPr>
            <w:r w:rsidRPr="001E738E">
              <w:rPr>
                <w:szCs w:val="24"/>
              </w:rPr>
              <w:t>в/в кап</w:t>
            </w:r>
          </w:p>
        </w:tc>
        <w:tc>
          <w:tcPr>
            <w:tcW w:w="2339" w:type="dxa"/>
            <w:tcBorders>
              <w:top w:val="single" w:sz="4" w:space="0" w:color="auto"/>
              <w:left w:val="single" w:sz="4" w:space="0" w:color="auto"/>
              <w:bottom w:val="single" w:sz="4" w:space="0" w:color="auto"/>
              <w:right w:val="single" w:sz="4" w:space="0" w:color="auto"/>
            </w:tcBorders>
            <w:hideMark/>
          </w:tcPr>
          <w:p w14:paraId="2D0F07ED" w14:textId="77777777" w:rsidR="001E738E" w:rsidRPr="001E738E" w:rsidRDefault="001E738E" w:rsidP="001E738E">
            <w:pPr>
              <w:spacing w:line="240" w:lineRule="auto"/>
              <w:ind w:firstLine="0"/>
              <w:jc w:val="left"/>
              <w:rPr>
                <w:szCs w:val="24"/>
              </w:rPr>
            </w:pPr>
            <w:r w:rsidRPr="001E738E">
              <w:rPr>
                <w:szCs w:val="24"/>
              </w:rPr>
              <w:t>1</w:t>
            </w:r>
          </w:p>
        </w:tc>
      </w:tr>
    </w:tbl>
    <w:p w14:paraId="5724236D" w14:textId="77777777" w:rsidR="00D84C86" w:rsidRDefault="00D84C86"/>
    <w:tbl>
      <w:tblPr>
        <w:tblStyle w:val="aff9"/>
        <w:tblW w:w="9356" w:type="dxa"/>
        <w:tblInd w:w="-5" w:type="dxa"/>
        <w:tblLayout w:type="fixed"/>
        <w:tblLook w:val="04A0" w:firstRow="1" w:lastRow="0" w:firstColumn="1" w:lastColumn="0" w:noHBand="0" w:noVBand="1"/>
      </w:tblPr>
      <w:tblGrid>
        <w:gridCol w:w="2339"/>
        <w:gridCol w:w="2339"/>
        <w:gridCol w:w="2339"/>
        <w:gridCol w:w="2339"/>
      </w:tblGrid>
      <w:tr w:rsidR="00D84C86" w:rsidRPr="00EA5B5D" w14:paraId="7FD9C901" w14:textId="77777777" w:rsidTr="00F533A5">
        <w:trPr>
          <w:trHeight w:val="329"/>
        </w:trPr>
        <w:tc>
          <w:tcPr>
            <w:tcW w:w="9356" w:type="dxa"/>
            <w:gridSpan w:val="4"/>
            <w:tcBorders>
              <w:top w:val="nil"/>
              <w:left w:val="nil"/>
              <w:bottom w:val="single" w:sz="4" w:space="0" w:color="auto"/>
              <w:right w:val="nil"/>
            </w:tcBorders>
          </w:tcPr>
          <w:p w14:paraId="206FE610" w14:textId="1A33B666" w:rsidR="00D84C86" w:rsidRPr="009D018C" w:rsidRDefault="00D84C86" w:rsidP="00F533A5">
            <w:pPr>
              <w:spacing w:line="240" w:lineRule="auto"/>
              <w:ind w:firstLine="0"/>
              <w:jc w:val="left"/>
              <w:rPr>
                <w:b/>
                <w:bCs/>
                <w:szCs w:val="24"/>
              </w:rPr>
            </w:pPr>
            <w:r>
              <w:rPr>
                <w:b/>
                <w:bCs/>
                <w:szCs w:val="24"/>
                <w:lang w:val="en-US"/>
              </w:rPr>
              <w:t>IEP</w:t>
            </w:r>
            <w:r w:rsidR="002415BA" w:rsidRPr="002415BA">
              <w:rPr>
                <w:b/>
                <w:bCs/>
                <w:szCs w:val="24"/>
              </w:rPr>
              <w:t xml:space="preserve"> </w:t>
            </w:r>
            <w:r w:rsidR="005B03CD">
              <w:rPr>
                <w:b/>
                <w:bCs/>
                <w:szCs w:val="24"/>
              </w:rPr>
              <w:fldChar w:fldCharType="begin" w:fldLock="1"/>
            </w:r>
            <w:r w:rsidR="00053AE8">
              <w:rPr>
                <w:b/>
                <w:bCs/>
                <w:szCs w:val="24"/>
              </w:rPr>
              <w:instrText>ADDIN CSL_CITATION {"citationItems":[{"id":"ITEM-1","itemData":{"DOI":"10.1200/JCO.2005.07.930","ISSN":"0732183X","abstract":"Purpose: To evaluate a salvage therapy (ST-HD-86) for patients with progressive and relapsed Hodgkin's disease after primary treatment in the pediatric DAL/GPOH studies. The essential chemotherapeutic regimens were ifosfamide, etoposide, and prednisone (IEP) and doxorubicin, bleomycin, vinblastine, and dacarbazine (ABVD). Methods: One hundred seventy-six patients with progression (n = 51) or first relapse (n = 125) were enrolled by 67 centers. The median time from initial diagnosis to progression/relapse was 1.1 year (range, 0.1 to 15.3 years), and the patients' median age was 14.7 years (range, 4.3 to 24.5 years). Salvage chemotherapy consisted of two to three cycles of IEP alternating with one to two cycles of ABVD supplemented in part by one to two cycles of cyclophosphamide, vincristine, procarbazine, and prednisone or lomustine (CCNU), etoposide, and prednimustine. Radiotherapy was given to involved areas using individualized doses. In the 1990s, additional high-dose chemotherapy with autologous stem-cell transplantation (SCT) was introduced for patients with unfavorable prognosis. Results: Disease-free survival (DFS) and overall survival (OS) after 10 years are 62% and 75%, respectively (SE, 4% each). Of 176 patients, 73 suffered second events. The risk-factor analysis revealed the time to progression/relapse as the strongest prognostic factor (P = .0001). Patients with progression have an inferior outcome (DFS, 41%; OS, 51%), whereas patients with late relapse (&gt; 12 months after end of therapy) do well (DFS, 86%; OS, 90%), although none of them received SCT in second remission. Conclusion: The result can be considered favorable. Whereas the salvage strategy for progressive disease has to be optimized further, it is possible to reduce intensity and avoid SCT in late relapses after Hodgkin's disease in childhood/adolescence. © 2005 by American Society of Clinical Oncology.","author":[{"dropping-particle":"","family":"Schellong","given":"Günther","non-dropping-particle":"","parse-names":false,"suffix":""},{"dropping-particle":"","family":"Dörffel","given":"Wolfgang","non-dropping-particle":"","parse-names":false,"suffix":""},{"dropping-particle":"","family":"Claviez","given":"Alexander","non-dropping-particle":"","parse-names":false,"suffix":""},{"dropping-particle":"","family":"Körholz","given":"Dieter","non-dropping-particle":"","parse-names":false,"suffix":""},{"dropping-particle":"","family":"Mann","given":"Georg","non-dropping-particle":"","parse-names":false,"suffix":""},{"dropping-particle":"","family":"Scheel-Walter","given":"Hans G.","non-dropping-particle":"","parse-names":false,"suffix":""},{"dropping-particle":"","family":"Bökkerink","given":"Jos P.M.","non-dropping-particle":"","parse-names":false,"suffix":""},{"dropping-particle":"","family":"Riepenhausen","given":"Marianne","non-dropping-particle":"","parse-names":false,"suffix":""},{"dropping-particle":"","family":"Lüders","given":"Heike","non-dropping-particle":"","parse-names":false,"suffix":""},{"dropping-particle":"","family":"Pötter","given":"Richard","non-dropping-particle":"","parse-names":false,"suffix":""},{"dropping-particle":"","family":"Rühl","given":"Ursula","non-dropping-particle":"","parse-names":false,"suffix":""}],"container-title":"Journal of Clinical Oncology","id":"ITEM-1","issue":"25","issued":{"date-parts":[["2005","9","1"]]},"page":"6181-6189","title":"Salvage therapy of progressive and recurrent Hodgkin's disease: Results from a multicenter study of the pediatric DAL/GPOH-HD Study Group","type":"article-journal","volume":"23"},"uris":["http://www.mendeley.com/documents/?uuid=7b24d9e2-9187-4bfb-a9a8-fea6aa591c0e"]}],"mendeley":{"formattedCitation":"[134]","plainTextFormattedCitation":"[134]","previouslyFormattedCitation":"[134]"},"properties":{"noteIndex":0},"schema":"https://github.com/citation-style-language/schema/raw/master/csl-citation.json"}</w:instrText>
            </w:r>
            <w:r w:rsidR="005B03CD">
              <w:rPr>
                <w:b/>
                <w:bCs/>
                <w:szCs w:val="24"/>
              </w:rPr>
              <w:fldChar w:fldCharType="separate"/>
            </w:r>
            <w:r w:rsidR="00A60C8A" w:rsidRPr="00A60C8A">
              <w:rPr>
                <w:bCs/>
                <w:noProof/>
                <w:szCs w:val="24"/>
              </w:rPr>
              <w:t>[134]</w:t>
            </w:r>
            <w:r w:rsidR="005B03CD">
              <w:rPr>
                <w:b/>
                <w:bCs/>
                <w:szCs w:val="24"/>
              </w:rPr>
              <w:fldChar w:fldCharType="end"/>
            </w:r>
          </w:p>
        </w:tc>
      </w:tr>
      <w:tr w:rsidR="00D84C86" w:rsidRPr="00EA5B5D" w14:paraId="52C3DF67" w14:textId="77777777" w:rsidTr="00F533A5">
        <w:trPr>
          <w:trHeight w:val="329"/>
        </w:trPr>
        <w:tc>
          <w:tcPr>
            <w:tcW w:w="2339" w:type="dxa"/>
            <w:tcBorders>
              <w:top w:val="single" w:sz="4" w:space="0" w:color="auto"/>
              <w:left w:val="single" w:sz="4" w:space="0" w:color="auto"/>
              <w:bottom w:val="single" w:sz="4" w:space="0" w:color="auto"/>
              <w:right w:val="single" w:sz="4" w:space="0" w:color="auto"/>
            </w:tcBorders>
            <w:hideMark/>
          </w:tcPr>
          <w:p w14:paraId="6101195B" w14:textId="77777777" w:rsidR="00D84C86" w:rsidRPr="00EA5B5D" w:rsidRDefault="00D84C86" w:rsidP="00F533A5">
            <w:pPr>
              <w:spacing w:line="240" w:lineRule="auto"/>
              <w:ind w:firstLine="0"/>
              <w:jc w:val="left"/>
              <w:rPr>
                <w:szCs w:val="24"/>
              </w:rPr>
            </w:pPr>
            <w:r w:rsidRPr="00EA5B5D">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0236AAC7" w14:textId="77777777" w:rsidR="00D84C86" w:rsidRPr="00EA5B5D" w:rsidRDefault="00D84C86" w:rsidP="00F533A5">
            <w:pPr>
              <w:spacing w:line="240" w:lineRule="auto"/>
              <w:ind w:firstLine="0"/>
              <w:jc w:val="left"/>
              <w:rPr>
                <w:szCs w:val="24"/>
              </w:rPr>
            </w:pPr>
            <w:r w:rsidRPr="00EA5B5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06424B4B" w14:textId="77777777" w:rsidR="00D84C86" w:rsidRPr="00EA5B5D" w:rsidRDefault="00D84C86" w:rsidP="00F533A5">
            <w:pPr>
              <w:spacing w:line="240" w:lineRule="auto"/>
              <w:ind w:firstLine="0"/>
              <w:jc w:val="left"/>
              <w:rPr>
                <w:szCs w:val="24"/>
              </w:rPr>
            </w:pPr>
            <w:r w:rsidRPr="00EA5B5D">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384F3C2A" w14:textId="77777777" w:rsidR="00D84C86" w:rsidRPr="00EA5B5D" w:rsidRDefault="00D84C86" w:rsidP="00F533A5">
            <w:pPr>
              <w:spacing w:line="240" w:lineRule="auto"/>
              <w:ind w:firstLine="0"/>
              <w:jc w:val="left"/>
              <w:rPr>
                <w:szCs w:val="24"/>
              </w:rPr>
            </w:pPr>
            <w:r w:rsidRPr="00EA5B5D">
              <w:rPr>
                <w:szCs w:val="24"/>
              </w:rPr>
              <w:t>Дни введения</w:t>
            </w:r>
          </w:p>
        </w:tc>
      </w:tr>
      <w:tr w:rsidR="00D84C86" w:rsidRPr="00EA5B5D" w14:paraId="0FFFBE1B" w14:textId="77777777" w:rsidTr="00F533A5">
        <w:trPr>
          <w:trHeight w:val="329"/>
        </w:trPr>
        <w:tc>
          <w:tcPr>
            <w:tcW w:w="2339" w:type="dxa"/>
            <w:tcBorders>
              <w:top w:val="single" w:sz="4" w:space="0" w:color="auto"/>
              <w:left w:val="single" w:sz="4" w:space="0" w:color="auto"/>
              <w:bottom w:val="single" w:sz="4" w:space="0" w:color="auto"/>
              <w:right w:val="single" w:sz="4" w:space="0" w:color="auto"/>
            </w:tcBorders>
            <w:hideMark/>
          </w:tcPr>
          <w:p w14:paraId="3F5E6043" w14:textId="77777777" w:rsidR="00D84C86" w:rsidRPr="00D84C86" w:rsidRDefault="00D84C86" w:rsidP="00D84C86">
            <w:pPr>
              <w:spacing w:line="240" w:lineRule="auto"/>
              <w:ind w:firstLine="0"/>
              <w:jc w:val="left"/>
              <w:rPr>
                <w:szCs w:val="24"/>
              </w:rPr>
            </w:pPr>
            <w:r w:rsidRPr="00D84C86">
              <w:rPr>
                <w:szCs w:val="24"/>
              </w:rPr>
              <w:t>Ифосфамид</w:t>
            </w:r>
            <w:r w:rsidR="000E2605" w:rsidRPr="000E2605">
              <w:rPr>
                <w:szCs w:val="24"/>
              </w:rPr>
              <w:t>**</w:t>
            </w:r>
          </w:p>
        </w:tc>
        <w:tc>
          <w:tcPr>
            <w:tcW w:w="2339" w:type="dxa"/>
            <w:tcBorders>
              <w:top w:val="single" w:sz="4" w:space="0" w:color="auto"/>
              <w:left w:val="single" w:sz="4" w:space="0" w:color="auto"/>
              <w:bottom w:val="single" w:sz="4" w:space="0" w:color="auto"/>
              <w:right w:val="single" w:sz="4" w:space="0" w:color="auto"/>
            </w:tcBorders>
          </w:tcPr>
          <w:p w14:paraId="229FCF1F" w14:textId="77777777" w:rsidR="00D84C86" w:rsidRPr="00D84C86" w:rsidRDefault="00D84C86" w:rsidP="00D84C86">
            <w:pPr>
              <w:spacing w:line="240" w:lineRule="auto"/>
              <w:ind w:firstLine="0"/>
              <w:jc w:val="left"/>
              <w:rPr>
                <w:szCs w:val="24"/>
              </w:rPr>
            </w:pPr>
            <w:r w:rsidRPr="00D84C86">
              <w:rPr>
                <w:szCs w:val="24"/>
              </w:rPr>
              <w:t>2000 мг/м</w:t>
            </w:r>
            <w:r w:rsidRPr="00D84C86">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67D99780" w14:textId="77777777" w:rsidR="00D84C86" w:rsidRPr="00D84C86" w:rsidRDefault="00D84C86" w:rsidP="00D84C86">
            <w:pPr>
              <w:spacing w:line="240" w:lineRule="auto"/>
              <w:ind w:firstLine="0"/>
              <w:jc w:val="left"/>
              <w:rPr>
                <w:szCs w:val="24"/>
              </w:rPr>
            </w:pPr>
            <w:r w:rsidRPr="00D84C86">
              <w:rPr>
                <w:szCs w:val="24"/>
              </w:rPr>
              <w:t>в/в суточной инфузией (с месной)</w:t>
            </w:r>
          </w:p>
        </w:tc>
        <w:tc>
          <w:tcPr>
            <w:tcW w:w="2339" w:type="dxa"/>
            <w:tcBorders>
              <w:top w:val="single" w:sz="4" w:space="0" w:color="auto"/>
              <w:left w:val="single" w:sz="4" w:space="0" w:color="auto"/>
              <w:bottom w:val="single" w:sz="4" w:space="0" w:color="auto"/>
              <w:right w:val="single" w:sz="4" w:space="0" w:color="auto"/>
            </w:tcBorders>
          </w:tcPr>
          <w:p w14:paraId="2195EF08" w14:textId="77777777" w:rsidR="00D84C86" w:rsidRPr="002415BA" w:rsidRDefault="00D84C86" w:rsidP="00D84C86">
            <w:pPr>
              <w:spacing w:line="240" w:lineRule="auto"/>
              <w:ind w:firstLine="0"/>
              <w:jc w:val="left"/>
              <w:rPr>
                <w:szCs w:val="24"/>
              </w:rPr>
            </w:pPr>
            <w:r w:rsidRPr="002415BA">
              <w:rPr>
                <w:szCs w:val="24"/>
              </w:rPr>
              <w:t>1-5</w:t>
            </w:r>
          </w:p>
        </w:tc>
      </w:tr>
      <w:tr w:rsidR="00D84C86" w:rsidRPr="00EA5B5D" w14:paraId="2D0503D7" w14:textId="77777777" w:rsidTr="00F533A5">
        <w:trPr>
          <w:trHeight w:val="329"/>
        </w:trPr>
        <w:tc>
          <w:tcPr>
            <w:tcW w:w="2339" w:type="dxa"/>
            <w:tcBorders>
              <w:top w:val="single" w:sz="4" w:space="0" w:color="auto"/>
              <w:left w:val="single" w:sz="4" w:space="0" w:color="auto"/>
              <w:bottom w:val="single" w:sz="4" w:space="0" w:color="auto"/>
              <w:right w:val="single" w:sz="4" w:space="0" w:color="auto"/>
            </w:tcBorders>
          </w:tcPr>
          <w:p w14:paraId="612CCE20" w14:textId="77777777" w:rsidR="00D84C86" w:rsidRPr="00D84C86" w:rsidRDefault="00D84C86" w:rsidP="00D84C86">
            <w:pPr>
              <w:spacing w:line="240" w:lineRule="auto"/>
              <w:ind w:firstLine="0"/>
              <w:jc w:val="left"/>
              <w:rPr>
                <w:szCs w:val="24"/>
              </w:rPr>
            </w:pPr>
            <w:r w:rsidRPr="00D84C86">
              <w:rPr>
                <w:szCs w:val="24"/>
              </w:rPr>
              <w:t>Этопозид</w:t>
            </w:r>
            <w:r w:rsidR="000E2605" w:rsidRPr="000E2605">
              <w:rPr>
                <w:szCs w:val="24"/>
              </w:rPr>
              <w:t>**</w:t>
            </w:r>
          </w:p>
        </w:tc>
        <w:tc>
          <w:tcPr>
            <w:tcW w:w="2339" w:type="dxa"/>
            <w:tcBorders>
              <w:top w:val="single" w:sz="4" w:space="0" w:color="auto"/>
              <w:left w:val="single" w:sz="4" w:space="0" w:color="auto"/>
              <w:bottom w:val="single" w:sz="4" w:space="0" w:color="auto"/>
              <w:right w:val="single" w:sz="4" w:space="0" w:color="auto"/>
            </w:tcBorders>
          </w:tcPr>
          <w:p w14:paraId="0EEC83EF" w14:textId="77777777" w:rsidR="00D84C86" w:rsidRPr="00D84C86" w:rsidRDefault="00D84C86" w:rsidP="00D84C86">
            <w:pPr>
              <w:spacing w:line="240" w:lineRule="auto"/>
              <w:ind w:firstLine="0"/>
              <w:jc w:val="left"/>
              <w:rPr>
                <w:szCs w:val="24"/>
              </w:rPr>
            </w:pPr>
            <w:r w:rsidRPr="00D84C86">
              <w:rPr>
                <w:szCs w:val="24"/>
              </w:rPr>
              <w:t>125 мг/м</w:t>
            </w:r>
            <w:r w:rsidRPr="00D84C86">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228E274A" w14:textId="77777777" w:rsidR="00D84C86" w:rsidRPr="00D84C86" w:rsidRDefault="00D84C86" w:rsidP="00D84C86">
            <w:pPr>
              <w:spacing w:line="240" w:lineRule="auto"/>
              <w:ind w:firstLine="0"/>
              <w:jc w:val="left"/>
              <w:rPr>
                <w:szCs w:val="24"/>
              </w:rPr>
            </w:pPr>
            <w:r w:rsidRPr="00D84C86">
              <w:rPr>
                <w:szCs w:val="24"/>
              </w:rPr>
              <w:t xml:space="preserve">в/в </w:t>
            </w:r>
            <w:r>
              <w:rPr>
                <w:szCs w:val="24"/>
              </w:rPr>
              <w:t xml:space="preserve">в течение 2 час </w:t>
            </w:r>
          </w:p>
        </w:tc>
        <w:tc>
          <w:tcPr>
            <w:tcW w:w="2339" w:type="dxa"/>
            <w:tcBorders>
              <w:top w:val="single" w:sz="4" w:space="0" w:color="auto"/>
              <w:left w:val="single" w:sz="4" w:space="0" w:color="auto"/>
              <w:bottom w:val="single" w:sz="4" w:space="0" w:color="auto"/>
              <w:right w:val="single" w:sz="4" w:space="0" w:color="auto"/>
            </w:tcBorders>
          </w:tcPr>
          <w:p w14:paraId="428615F4" w14:textId="77777777" w:rsidR="00D84C86" w:rsidRPr="005B03CD" w:rsidRDefault="00D84C86" w:rsidP="00D84C86">
            <w:pPr>
              <w:spacing w:line="240" w:lineRule="auto"/>
              <w:ind w:firstLine="0"/>
              <w:jc w:val="left"/>
              <w:rPr>
                <w:szCs w:val="24"/>
              </w:rPr>
            </w:pPr>
            <w:r w:rsidRPr="005B03CD">
              <w:rPr>
                <w:szCs w:val="24"/>
              </w:rPr>
              <w:t>1-5</w:t>
            </w:r>
          </w:p>
        </w:tc>
      </w:tr>
      <w:tr w:rsidR="00D84C86" w:rsidRPr="00EA5B5D" w14:paraId="6F570128" w14:textId="77777777" w:rsidTr="00F533A5">
        <w:trPr>
          <w:trHeight w:val="329"/>
        </w:trPr>
        <w:tc>
          <w:tcPr>
            <w:tcW w:w="2339" w:type="dxa"/>
            <w:tcBorders>
              <w:top w:val="single" w:sz="4" w:space="0" w:color="auto"/>
              <w:left w:val="single" w:sz="4" w:space="0" w:color="auto"/>
              <w:bottom w:val="single" w:sz="4" w:space="0" w:color="auto"/>
              <w:right w:val="single" w:sz="4" w:space="0" w:color="auto"/>
            </w:tcBorders>
          </w:tcPr>
          <w:p w14:paraId="34710C8C" w14:textId="77777777" w:rsidR="00D84C86" w:rsidRPr="00D84C86" w:rsidRDefault="00D84C86" w:rsidP="00D84C86">
            <w:pPr>
              <w:spacing w:line="240" w:lineRule="auto"/>
              <w:ind w:firstLine="0"/>
              <w:jc w:val="left"/>
              <w:rPr>
                <w:szCs w:val="24"/>
              </w:rPr>
            </w:pPr>
            <w:r w:rsidRPr="00D84C86">
              <w:rPr>
                <w:szCs w:val="24"/>
              </w:rPr>
              <w:t>Преднизолон</w:t>
            </w:r>
            <w:r w:rsidR="000E2605" w:rsidRPr="000E2605">
              <w:rPr>
                <w:szCs w:val="24"/>
              </w:rPr>
              <w:t>**</w:t>
            </w:r>
          </w:p>
        </w:tc>
        <w:tc>
          <w:tcPr>
            <w:tcW w:w="2339" w:type="dxa"/>
            <w:tcBorders>
              <w:top w:val="single" w:sz="4" w:space="0" w:color="auto"/>
              <w:left w:val="single" w:sz="4" w:space="0" w:color="auto"/>
              <w:bottom w:val="single" w:sz="4" w:space="0" w:color="auto"/>
              <w:right w:val="single" w:sz="4" w:space="0" w:color="auto"/>
            </w:tcBorders>
          </w:tcPr>
          <w:p w14:paraId="6FFB2E99" w14:textId="77777777" w:rsidR="00D84C86" w:rsidRPr="00D84C86" w:rsidRDefault="00D84C86" w:rsidP="00D84C86">
            <w:pPr>
              <w:spacing w:line="240" w:lineRule="auto"/>
              <w:ind w:firstLine="0"/>
              <w:jc w:val="left"/>
              <w:rPr>
                <w:szCs w:val="24"/>
              </w:rPr>
            </w:pPr>
            <w:r w:rsidRPr="00D84C86">
              <w:rPr>
                <w:szCs w:val="24"/>
              </w:rPr>
              <w:t>100 мг/м</w:t>
            </w:r>
            <w:r w:rsidRPr="00D84C86">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12379853" w14:textId="77777777" w:rsidR="00D84C86" w:rsidRPr="00D84C86" w:rsidRDefault="00D84C86" w:rsidP="00D84C86">
            <w:pPr>
              <w:spacing w:line="240" w:lineRule="auto"/>
              <w:ind w:firstLine="0"/>
              <w:jc w:val="left"/>
              <w:rPr>
                <w:szCs w:val="24"/>
              </w:rPr>
            </w:pPr>
            <w:r w:rsidRPr="00D84C86">
              <w:rPr>
                <w:szCs w:val="24"/>
              </w:rPr>
              <w:t xml:space="preserve">в/в или </w:t>
            </w:r>
            <w:r>
              <w:rPr>
                <w:szCs w:val="24"/>
              </w:rPr>
              <w:t>внутрь</w:t>
            </w:r>
          </w:p>
        </w:tc>
        <w:tc>
          <w:tcPr>
            <w:tcW w:w="2339" w:type="dxa"/>
            <w:tcBorders>
              <w:top w:val="single" w:sz="4" w:space="0" w:color="auto"/>
              <w:left w:val="single" w:sz="4" w:space="0" w:color="auto"/>
              <w:bottom w:val="single" w:sz="4" w:space="0" w:color="auto"/>
              <w:right w:val="single" w:sz="4" w:space="0" w:color="auto"/>
            </w:tcBorders>
          </w:tcPr>
          <w:p w14:paraId="79DB5BA0" w14:textId="77777777" w:rsidR="00D84C86" w:rsidRPr="005B03CD" w:rsidRDefault="00D84C86" w:rsidP="00D84C86">
            <w:pPr>
              <w:spacing w:line="240" w:lineRule="auto"/>
              <w:ind w:firstLine="0"/>
              <w:jc w:val="left"/>
              <w:rPr>
                <w:szCs w:val="24"/>
              </w:rPr>
            </w:pPr>
            <w:r w:rsidRPr="005B03CD">
              <w:rPr>
                <w:szCs w:val="24"/>
              </w:rPr>
              <w:t>1-5</w:t>
            </w:r>
          </w:p>
        </w:tc>
      </w:tr>
    </w:tbl>
    <w:p w14:paraId="77D45B6E" w14:textId="77777777" w:rsidR="00D84C86" w:rsidRPr="005B03CD" w:rsidRDefault="00D84C86" w:rsidP="00D84C86">
      <w:pPr>
        <w:ind w:firstLine="0"/>
      </w:pPr>
    </w:p>
    <w:tbl>
      <w:tblPr>
        <w:tblStyle w:val="aff9"/>
        <w:tblW w:w="9356" w:type="dxa"/>
        <w:tblInd w:w="-5" w:type="dxa"/>
        <w:tblLayout w:type="fixed"/>
        <w:tblLook w:val="04A0" w:firstRow="1" w:lastRow="0" w:firstColumn="1" w:lastColumn="0" w:noHBand="0" w:noVBand="1"/>
      </w:tblPr>
      <w:tblGrid>
        <w:gridCol w:w="2339"/>
        <w:gridCol w:w="2339"/>
        <w:gridCol w:w="2339"/>
        <w:gridCol w:w="2339"/>
      </w:tblGrid>
      <w:tr w:rsidR="001E738E" w:rsidRPr="00EA5B5D" w14:paraId="6209EF38" w14:textId="77777777" w:rsidTr="00B16826">
        <w:trPr>
          <w:trHeight w:val="329"/>
        </w:trPr>
        <w:tc>
          <w:tcPr>
            <w:tcW w:w="9356" w:type="dxa"/>
            <w:gridSpan w:val="4"/>
            <w:tcBorders>
              <w:top w:val="nil"/>
              <w:left w:val="nil"/>
              <w:bottom w:val="single" w:sz="4" w:space="0" w:color="auto"/>
              <w:right w:val="nil"/>
            </w:tcBorders>
          </w:tcPr>
          <w:p w14:paraId="28C48D90" w14:textId="77777777" w:rsidR="00015B13" w:rsidRDefault="00015B13" w:rsidP="00B16826">
            <w:pPr>
              <w:spacing w:line="240" w:lineRule="auto"/>
              <w:ind w:firstLine="0"/>
              <w:jc w:val="left"/>
              <w:rPr>
                <w:b/>
                <w:bCs/>
                <w:szCs w:val="24"/>
              </w:rPr>
            </w:pPr>
          </w:p>
          <w:p w14:paraId="177797DE" w14:textId="77777777" w:rsidR="001E738E" w:rsidRPr="001E738E" w:rsidRDefault="001E738E" w:rsidP="00B16826">
            <w:pPr>
              <w:spacing w:line="240" w:lineRule="auto"/>
              <w:ind w:firstLine="0"/>
              <w:jc w:val="left"/>
              <w:rPr>
                <w:b/>
                <w:bCs/>
                <w:szCs w:val="24"/>
              </w:rPr>
            </w:pPr>
            <w:r>
              <w:rPr>
                <w:b/>
                <w:bCs/>
                <w:szCs w:val="24"/>
              </w:rPr>
              <w:t>Монотерапия брентуксимабом ведотином</w:t>
            </w:r>
            <w:r w:rsidR="00B02E17">
              <w:rPr>
                <w:b/>
                <w:bCs/>
                <w:szCs w:val="24"/>
              </w:rPr>
              <w:t>**</w:t>
            </w:r>
            <w:r w:rsidR="00745458">
              <w:rPr>
                <w:b/>
                <w:bCs/>
                <w:szCs w:val="24"/>
              </w:rPr>
              <w:t xml:space="preserve"> </w:t>
            </w:r>
            <w:r w:rsidR="00745458">
              <w:fldChar w:fldCharType="begin" w:fldLock="1"/>
            </w:r>
            <w:r w:rsidR="00745458">
              <w:instrText>ADDIN CSL_CITATION {"citationItems":[{"id":"ITEM-1","itemData":{"DOI":"10.1182/blood-2016-02-699850","ISSN":"1528-0020","PMID":"27432875","abstract":"Presented here are the 5-year end-of-study results from the pivotal phase 2 trial of brentuximab vedotin in patients with relapsed/refractory (R/R) Hodgkin lymphoma (HL) after failed hematopoietic autologous stem cell transplantation. At 5 years, the overall patient population (N = 102) had an estimated overall survival (OS) rate of 41% (95% confidence interval [CI]: 31-51) and progression-free survival (PFS) rate of 22% (95% CI: 13-31). Patients who achieved a complete response (CR) to brentuximab vedotin (N = 34) had estimated OS and PFS rates of 64% (95% CI: 48-80%) and 52% (95% CI: 34-69%), respectively. The median OS and PFS were not reached in CR patients, with 13 patients (38% of all CR patients) remaining in follow-up and in remission at study closure. Of the 13 patients, 4 received consolidative hematopoietic allogeneic stem cell transplant, and 9 (9% of all enrolled patients) remain in sustained CR without receiving any further anticancer therapy after treatment with brentuximab vedotin. Of the patients who experienced treatment-emergent peripheral neuropathy, 88% experienced either resolution (73%) or improvement (14%) in symptoms. These 5-year follow-up data demonstrate that a subset of patients with R/R HL who obtained CR with single-agent brentuximab vedotin achieved long-term disease control and may potentially be cured. The trial was registered at www.clinicaltrials.gov as #NCT00848926.","author":[{"dropping-particle":"","family":"Chen","given":"Robert","non-dropping-particle":"","parse-names":false,"suffix":""},{"dropping-particle":"","family":"Gopal","given":"Ajay K","non-dropping-particle":"","parse-names":false,"suffix":""},{"dropping-particle":"","family":"Smith","given":"Scott E","non-dropping-particle":"","parse-names":false,"suffix":""},{"dropping-particle":"","family":"Ansell","given":"Stephen M","non-dropping-particle":"","parse-names":false,"suffix":""},{"dropping-particle":"","family":"Rosenblatt","given":"Joseph D","non-dropping-particle":"","parse-names":false,"suffix":""},{"dropping-particle":"","family":"Savage","given":"Kerry J","non-dropping-particle":"","parse-names":false,"suffix":""},{"dropping-particle":"","family":"Connors","given":"Joseph M","non-dropping-particle":"","parse-names":false,"suffix":""},{"dropping-particle":"","family":"Engert","given":"Andreas","non-dropping-particle":"","parse-names":false,"suffix":""},{"dropping-particle":"","family":"Larsen","given":"Emily K","non-dropping-particle":"","parse-names":false,"suffix":""},{"dropping-particle":"","family":"Huebner","given":"Dirk","non-dropping-particle":"","parse-names":false,"suffix":""},{"dropping-particle":"","family":"Fong","given":"Abraham","non-dropping-particle":"","parse-names":false,"suffix":""},{"dropping-particle":"","family":"Younes","given":"Anas","non-dropping-particle":"","parse-names":false,"suffix":""}],"container-title":"Blood","id":"ITEM-1","issue":"12","issued":{"date-parts":[["2016"]]},"page":"1562-6","title":"Five-year survival and durability results of brentuximab vedotin in patients with relapsed or refractory Hodgkin lymphoma.","type":"article-journal","volume":"128"},"uris":["http://www.mendeley.com/documents/?uuid=7171a4cf-18c2-3866-b256-6fdc24b1baff","http://www.mendeley.com/documents/?uuid=08f7825f-084c-46b8-9a17-db8c6aa474d5"]}],"mendeley":{"formattedCitation":"[44]","plainTextFormattedCitation":"[44]","previouslyFormattedCitation":"[44]"},"properties":{"noteIndex":0},"schema":"https://github.com/citation-style-language/schema/raw/master/csl-citation.json"}</w:instrText>
            </w:r>
            <w:r w:rsidR="00745458">
              <w:fldChar w:fldCharType="separate"/>
            </w:r>
            <w:r w:rsidR="00745458" w:rsidRPr="0046092E">
              <w:rPr>
                <w:noProof/>
              </w:rPr>
              <w:t>[44]</w:t>
            </w:r>
            <w:r w:rsidR="00745458">
              <w:fldChar w:fldCharType="end"/>
            </w:r>
          </w:p>
        </w:tc>
      </w:tr>
      <w:tr w:rsidR="001E738E" w:rsidRPr="00EA5B5D" w14:paraId="050BEB8D" w14:textId="77777777" w:rsidTr="00B16826">
        <w:trPr>
          <w:trHeight w:val="329"/>
        </w:trPr>
        <w:tc>
          <w:tcPr>
            <w:tcW w:w="2339" w:type="dxa"/>
            <w:tcBorders>
              <w:top w:val="single" w:sz="4" w:space="0" w:color="auto"/>
              <w:left w:val="single" w:sz="4" w:space="0" w:color="auto"/>
              <w:bottom w:val="single" w:sz="4" w:space="0" w:color="auto"/>
              <w:right w:val="single" w:sz="4" w:space="0" w:color="auto"/>
            </w:tcBorders>
            <w:hideMark/>
          </w:tcPr>
          <w:p w14:paraId="322B33CD" w14:textId="77777777" w:rsidR="001E738E" w:rsidRPr="00EA5B5D" w:rsidRDefault="001E738E" w:rsidP="00B16826">
            <w:pPr>
              <w:spacing w:line="240" w:lineRule="auto"/>
              <w:ind w:firstLine="0"/>
              <w:jc w:val="left"/>
              <w:rPr>
                <w:szCs w:val="24"/>
              </w:rPr>
            </w:pPr>
            <w:r w:rsidRPr="00EA5B5D">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3E6F0DFF" w14:textId="77777777" w:rsidR="001E738E" w:rsidRPr="00EA5B5D" w:rsidRDefault="001E738E" w:rsidP="00B16826">
            <w:pPr>
              <w:spacing w:line="240" w:lineRule="auto"/>
              <w:ind w:firstLine="0"/>
              <w:jc w:val="left"/>
              <w:rPr>
                <w:szCs w:val="24"/>
              </w:rPr>
            </w:pPr>
            <w:r w:rsidRPr="00EA5B5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4578D743" w14:textId="77777777" w:rsidR="001E738E" w:rsidRPr="00EA5B5D" w:rsidRDefault="001E738E" w:rsidP="00B16826">
            <w:pPr>
              <w:spacing w:line="240" w:lineRule="auto"/>
              <w:ind w:firstLine="0"/>
              <w:jc w:val="left"/>
              <w:rPr>
                <w:szCs w:val="24"/>
              </w:rPr>
            </w:pPr>
            <w:r w:rsidRPr="00EA5B5D">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47E70732" w14:textId="77777777" w:rsidR="001E738E" w:rsidRPr="00EA5B5D" w:rsidRDefault="001E738E" w:rsidP="00B16826">
            <w:pPr>
              <w:spacing w:line="240" w:lineRule="auto"/>
              <w:ind w:firstLine="0"/>
              <w:jc w:val="left"/>
              <w:rPr>
                <w:szCs w:val="24"/>
              </w:rPr>
            </w:pPr>
            <w:r w:rsidRPr="00EA5B5D">
              <w:rPr>
                <w:szCs w:val="24"/>
              </w:rPr>
              <w:t>Дни введения</w:t>
            </w:r>
          </w:p>
        </w:tc>
      </w:tr>
      <w:tr w:rsidR="001E738E" w:rsidRPr="00EA5B5D" w14:paraId="0D49A445" w14:textId="77777777" w:rsidTr="00B16826">
        <w:trPr>
          <w:trHeight w:val="329"/>
        </w:trPr>
        <w:tc>
          <w:tcPr>
            <w:tcW w:w="2339" w:type="dxa"/>
            <w:tcBorders>
              <w:top w:val="single" w:sz="4" w:space="0" w:color="auto"/>
              <w:left w:val="single" w:sz="4" w:space="0" w:color="auto"/>
              <w:bottom w:val="single" w:sz="4" w:space="0" w:color="auto"/>
              <w:right w:val="single" w:sz="4" w:space="0" w:color="auto"/>
            </w:tcBorders>
            <w:hideMark/>
          </w:tcPr>
          <w:p w14:paraId="3558204B" w14:textId="77777777" w:rsidR="001E738E" w:rsidRPr="005B03CD" w:rsidRDefault="001E738E" w:rsidP="00B16826">
            <w:pPr>
              <w:spacing w:line="240" w:lineRule="auto"/>
              <w:ind w:firstLine="0"/>
              <w:jc w:val="left"/>
              <w:rPr>
                <w:szCs w:val="24"/>
              </w:rPr>
            </w:pPr>
            <w:r>
              <w:rPr>
                <w:szCs w:val="24"/>
              </w:rPr>
              <w:t>Брентуксимаб ведотин</w:t>
            </w:r>
            <w:r w:rsidR="000E2605" w:rsidRPr="000E2605">
              <w:rPr>
                <w:szCs w:val="24"/>
              </w:rPr>
              <w:t>**</w:t>
            </w:r>
          </w:p>
        </w:tc>
        <w:tc>
          <w:tcPr>
            <w:tcW w:w="2339" w:type="dxa"/>
            <w:tcBorders>
              <w:top w:val="single" w:sz="4" w:space="0" w:color="auto"/>
              <w:left w:val="single" w:sz="4" w:space="0" w:color="auto"/>
              <w:bottom w:val="single" w:sz="4" w:space="0" w:color="auto"/>
              <w:right w:val="single" w:sz="4" w:space="0" w:color="auto"/>
            </w:tcBorders>
          </w:tcPr>
          <w:p w14:paraId="10DBAD33" w14:textId="77777777" w:rsidR="001E738E" w:rsidRPr="00EA5B5D" w:rsidRDefault="001E738E" w:rsidP="00B16826">
            <w:pPr>
              <w:spacing w:line="240" w:lineRule="auto"/>
              <w:ind w:firstLine="0"/>
              <w:jc w:val="left"/>
              <w:rPr>
                <w:szCs w:val="24"/>
              </w:rPr>
            </w:pPr>
            <w:r>
              <w:rPr>
                <w:szCs w:val="24"/>
              </w:rPr>
              <w:t>1,8 мг/кг</w:t>
            </w:r>
          </w:p>
        </w:tc>
        <w:tc>
          <w:tcPr>
            <w:tcW w:w="2339" w:type="dxa"/>
            <w:tcBorders>
              <w:top w:val="single" w:sz="4" w:space="0" w:color="auto"/>
              <w:left w:val="single" w:sz="4" w:space="0" w:color="auto"/>
              <w:bottom w:val="single" w:sz="4" w:space="0" w:color="auto"/>
              <w:right w:val="single" w:sz="4" w:space="0" w:color="auto"/>
            </w:tcBorders>
            <w:hideMark/>
          </w:tcPr>
          <w:p w14:paraId="569029BC" w14:textId="77777777" w:rsidR="001E738E" w:rsidRPr="00EA5B5D" w:rsidRDefault="001260FA" w:rsidP="00B16826">
            <w:pPr>
              <w:spacing w:line="240" w:lineRule="auto"/>
              <w:ind w:firstLine="0"/>
              <w:jc w:val="left"/>
              <w:rPr>
                <w:szCs w:val="24"/>
              </w:rPr>
            </w:pPr>
            <w:r>
              <w:rPr>
                <w:szCs w:val="24"/>
              </w:rPr>
              <w:t>в/в в течение 30 минут</w:t>
            </w:r>
          </w:p>
        </w:tc>
        <w:tc>
          <w:tcPr>
            <w:tcW w:w="2339" w:type="dxa"/>
            <w:tcBorders>
              <w:top w:val="single" w:sz="4" w:space="0" w:color="auto"/>
              <w:left w:val="single" w:sz="4" w:space="0" w:color="auto"/>
              <w:bottom w:val="single" w:sz="4" w:space="0" w:color="auto"/>
              <w:right w:val="single" w:sz="4" w:space="0" w:color="auto"/>
            </w:tcBorders>
          </w:tcPr>
          <w:p w14:paraId="739DF194" w14:textId="77777777" w:rsidR="001E738E" w:rsidRPr="00EA5B5D" w:rsidRDefault="001260FA" w:rsidP="00B16826">
            <w:pPr>
              <w:spacing w:line="240" w:lineRule="auto"/>
              <w:ind w:firstLine="0"/>
              <w:jc w:val="left"/>
              <w:rPr>
                <w:szCs w:val="24"/>
              </w:rPr>
            </w:pPr>
            <w:r>
              <w:rPr>
                <w:szCs w:val="24"/>
              </w:rPr>
              <w:t>1</w:t>
            </w:r>
          </w:p>
        </w:tc>
      </w:tr>
      <w:tr w:rsidR="001260FA" w:rsidRPr="001260FA" w14:paraId="2B72FBF3" w14:textId="77777777" w:rsidTr="001260FA">
        <w:trPr>
          <w:trHeight w:val="2089"/>
        </w:trPr>
        <w:tc>
          <w:tcPr>
            <w:tcW w:w="9356" w:type="dxa"/>
            <w:gridSpan w:val="4"/>
            <w:tcBorders>
              <w:top w:val="single" w:sz="4" w:space="0" w:color="auto"/>
              <w:left w:val="single" w:sz="4" w:space="0" w:color="auto"/>
              <w:bottom w:val="single" w:sz="4" w:space="0" w:color="auto"/>
              <w:right w:val="single" w:sz="4" w:space="0" w:color="auto"/>
            </w:tcBorders>
          </w:tcPr>
          <w:p w14:paraId="5D2F94F3" w14:textId="77777777" w:rsidR="001260FA" w:rsidRPr="001260FA" w:rsidRDefault="001260FA" w:rsidP="001260FA">
            <w:pPr>
              <w:spacing w:line="240" w:lineRule="auto"/>
              <w:ind w:firstLine="0"/>
              <w:jc w:val="left"/>
              <w:rPr>
                <w:szCs w:val="24"/>
              </w:rPr>
            </w:pPr>
            <w:r w:rsidRPr="001260FA">
              <w:rPr>
                <w:szCs w:val="24"/>
              </w:rPr>
              <w:t>Введения повторяются каждые 3 недели.</w:t>
            </w:r>
          </w:p>
          <w:p w14:paraId="05721CBA" w14:textId="77777777" w:rsidR="001260FA" w:rsidRPr="001260FA" w:rsidRDefault="001260FA" w:rsidP="001260FA">
            <w:pPr>
              <w:spacing w:line="240" w:lineRule="auto"/>
              <w:ind w:firstLine="0"/>
              <w:jc w:val="left"/>
              <w:rPr>
                <w:szCs w:val="24"/>
              </w:rPr>
            </w:pPr>
            <w:r w:rsidRPr="001260FA">
              <w:rPr>
                <w:szCs w:val="24"/>
              </w:rPr>
              <w:t xml:space="preserve">Если масса тела пациента превышает 100 кг, при расчете дозы следует использовать значение массы 100 кг. </w:t>
            </w:r>
          </w:p>
          <w:p w14:paraId="05C4B502" w14:textId="77777777" w:rsidR="001260FA" w:rsidRPr="001260FA" w:rsidRDefault="001260FA" w:rsidP="001260FA">
            <w:pPr>
              <w:spacing w:line="240" w:lineRule="auto"/>
              <w:ind w:firstLine="0"/>
              <w:jc w:val="left"/>
              <w:rPr>
                <w:szCs w:val="24"/>
              </w:rPr>
            </w:pPr>
            <w:r w:rsidRPr="001260FA">
              <w:rPr>
                <w:szCs w:val="24"/>
              </w:rPr>
              <w:t xml:space="preserve">У </w:t>
            </w:r>
            <w:r w:rsidR="00B02E17">
              <w:rPr>
                <w:szCs w:val="24"/>
              </w:rPr>
              <w:t>пациентов</w:t>
            </w:r>
            <w:r w:rsidRPr="001260FA">
              <w:rPr>
                <w:szCs w:val="24"/>
              </w:rPr>
              <w:t>, не кандидатов на ВХТ с аутоТГСК</w:t>
            </w:r>
            <w:r>
              <w:rPr>
                <w:szCs w:val="24"/>
              </w:rPr>
              <w:t>,</w:t>
            </w:r>
            <w:r w:rsidRPr="001260FA">
              <w:rPr>
                <w:szCs w:val="24"/>
              </w:rPr>
              <w:t xml:space="preserve"> при достижении стабилизации или при положительной динамике заболевания лечение продолжают до 16, но не менее 8 циклов, при отсутствии прогрессирования и с оценкой чувствительности каждые 4 введения.  Полная длительность лечения составляет приблизительно 1 год.</w:t>
            </w:r>
          </w:p>
          <w:p w14:paraId="6660D25C" w14:textId="77777777" w:rsidR="001260FA" w:rsidRPr="001260FA" w:rsidRDefault="001260FA" w:rsidP="001260FA">
            <w:pPr>
              <w:spacing w:line="240" w:lineRule="auto"/>
              <w:ind w:firstLine="0"/>
              <w:jc w:val="left"/>
              <w:rPr>
                <w:szCs w:val="24"/>
              </w:rPr>
            </w:pPr>
          </w:p>
        </w:tc>
      </w:tr>
      <w:tr w:rsidR="001260FA" w:rsidRPr="00EA5B5D" w14:paraId="316E9DBA" w14:textId="77777777" w:rsidTr="00B16826">
        <w:trPr>
          <w:trHeight w:val="329"/>
        </w:trPr>
        <w:tc>
          <w:tcPr>
            <w:tcW w:w="9356" w:type="dxa"/>
            <w:gridSpan w:val="4"/>
            <w:tcBorders>
              <w:top w:val="nil"/>
              <w:left w:val="nil"/>
              <w:bottom w:val="single" w:sz="4" w:space="0" w:color="auto"/>
              <w:right w:val="nil"/>
            </w:tcBorders>
          </w:tcPr>
          <w:p w14:paraId="75385BA9" w14:textId="77777777" w:rsidR="00015B13" w:rsidRDefault="00015B13" w:rsidP="00B16826">
            <w:pPr>
              <w:spacing w:line="240" w:lineRule="auto"/>
              <w:ind w:firstLine="0"/>
              <w:jc w:val="left"/>
              <w:rPr>
                <w:b/>
                <w:bCs/>
                <w:szCs w:val="24"/>
              </w:rPr>
            </w:pPr>
          </w:p>
          <w:p w14:paraId="0E21600D" w14:textId="3FBAE814" w:rsidR="001260FA" w:rsidRPr="00EA5B5D" w:rsidRDefault="001260FA" w:rsidP="00B16826">
            <w:pPr>
              <w:spacing w:line="240" w:lineRule="auto"/>
              <w:ind w:firstLine="0"/>
              <w:jc w:val="left"/>
              <w:rPr>
                <w:b/>
                <w:bCs/>
                <w:szCs w:val="24"/>
              </w:rPr>
            </w:pPr>
            <w:r>
              <w:rPr>
                <w:b/>
                <w:bCs/>
                <w:szCs w:val="24"/>
              </w:rPr>
              <w:t>Монотерапия ниволумабом</w:t>
            </w:r>
            <w:r w:rsidR="00B02E17">
              <w:rPr>
                <w:b/>
                <w:bCs/>
                <w:szCs w:val="24"/>
              </w:rPr>
              <w:t>**</w:t>
            </w:r>
            <w:r w:rsidR="00745458">
              <w:rPr>
                <w:b/>
                <w:bCs/>
                <w:szCs w:val="24"/>
              </w:rPr>
              <w:t xml:space="preserve"> </w:t>
            </w:r>
            <w:r w:rsidR="00745458">
              <w:fldChar w:fldCharType="begin" w:fldLock="1"/>
            </w:r>
            <w:r w:rsidR="00053AE8">
              <w:instrText>ADDIN CSL_CITATION {"citationItems":[{"id":"ITEM-1","itemData":{"DOI":"10.1016/S1470-2045(16)30167-X","ISSN":"1474-5488","PMID":"27451390","abstract":"BACKGROUND Malignant cells of classical Hodgkin's lymphoma are characterised by genetic alterations at the 9p24.1 locus, leading to overexpression of PD-1 ligands and evasion of immune surveillance. In a phase 1b study, nivolumab, a PD-1-blocking antibody, produced a high response in patients with relapsed and refractory classical Hodgkin's lymphoma, with an acceptable safety profile. We aimed to assess the clinical benefit and safety of nivolumab monotherapy in patients with classical Hodgkin's lymphoma after failure of both autologous stem-cell transplantation and brentuximab vedotin. METHODS In this ongoing, single-arm phase 2 study, adult patients (aged ≥18 years) with recurrent classical Hodgkin's lymphoma who had failed to respond to autologous stem-cell transplantation and had either relapsed after or failed to respond to brentuximab vedotin, and with an Eastern Cooperative Oncology Group performance status score of 0 or 1, were enrolled from 34 hospitals and academic centres across Europe and North America. Patients were given nivolumab intravenously over 60 min at 3 mg/kg every 2 weeks until progression, death, unacceptable toxicity, or withdrawal from study. The primary endpoint was objective response following a prespecified minimum follow-up period of 6 months, assessed by an independent radiological review committee (IRRC). All patients who received at least one dose of nivolumab were included in the primary and safety analyses. This trial is registered with ClinicalTrials.gov, number NCT02181738. FINDINGS Among 80 treated patients recruited between Aug 26, 2014, and Feb 20, 2015, the median number of previous therapies was four (IQR 4-7). At a median follow-up of 8·9 months (IQR 7·8-9·9), 53 (66·3%, 95% CI 54·8-76·4) of 80 patients achieved an IRRC-assessed objective response. The most common drug-related adverse events (those that occurred in ≥15% of patients) included fatigue (20 [25%] patients), infusion-related reaction (16 [20%]), and rash (13 [16%]). The most common drug-related grade 3 or 4 adverse events were neutropenia (four [5%] patients) and increased lipase concentrations (four [5%]). The most common serious adverse event (any grade) was pyrexia (three [4%] patients). Three patients died during the study; none of these deaths were judged to be treatment related. INTERPRETATION Nivolumab resulted in frequent responses with an acceptable safety profile in patients with classical Hodgkin's lymphoma who progressed after autologous…","author":[{"dropping-particle":"","family":"Younes","given":"Anas","non-dropping-particle":"","parse-names":false,"suffix":""},{"dropping-particle":"","family":"Santoro","given":"Armando","non-dropping-particle":"","parse-names":false,"suffix":""},{"dropping-particle":"","family":"Shipp","given":"Margaret","non-dropping-particle":"","parse-names":false,"suffix":""},{"dropping-particle":"","family":"Zinzani","given":"Pier Luigi","non-dropping-particle":"","parse-names":false,"suffix":""},{"dropping-particle":"","family":"Timmerman","given":"John M","non-dropping-particle":"","parse-names":false,"suffix":""},{"dropping-particle":"","family":"Ansell","given":"Stephen","non-dropping-particle":"","parse-names":false,"suffix":""},{"dropping-particle":"","family":"Armand","given":"Philippe","non-dropping-particle":"","parse-names":false,"suffix":""},{"dropping-particle":"","family":"Fanale","given":"Michelle","non-dropping-particle":"","parse-names":false,"suffix":""},{"dropping-particle":"","family":"Ratanatharathorn","given":"Voravit","non-dropping-particle":"","parse-names":false,"suffix":""},{"dropping-particle":"","family":"Kuruvilla","given":"John","non-dropping-particle":"","parse-names":false,"suffix":""},{"dropping-particle":"","family":"Cohen","given":"Jonathon B","non-dropping-particle":"","parse-names":false,"suffix":""},{"dropping-particle":"","family":"Collins","given":"Graham","non-dropping-particle":"","parse-names":false,"suffix":""},{"dropping-particle":"","family":"Savage","given":"Kerry J","non-dropping-particle":"","parse-names":false,"suffix":""},{"dropping-particle":"","family":"Trneny","given":"Marek","non-dropping-particle":"","parse-names":false,"suffix":""},{"dropping-particle":"","family":"Kato","given":"Kazunobu","non-dropping-particle":"","parse-names":false,"suffix":""},{"dropping-particle":"","family":"Farsaci","given":"Benedetto","non-dropping-particle":"","parse-names":false,"suffix":""},{"dropping-particle":"","family":"Parker","given":"Susan M","non-dropping-particle":"","parse-names":false,"suffix":""},{"dropping-particle":"","family":"Rodig","given":"Scott","non-dropping-particle":"","parse-names":false,"suffix":""},{"dropping-particle":"","family":"Roemer","given":"Margaretha G M","non-dropping-particle":"","parse-names":false,"suffix":""},{"dropping-particle":"","family":"Ligon","given":"Azra H","non-dropping-particle":"","parse-names":false,"suffix":""},{"dropping-particle":"","family":"Engert","given":"Andreas","non-dropping-particle":"","parse-names":false,"suffix":""}],"container-title":"The Lancet. Oncology","id":"ITEM-1","issue":"9","issued":{"date-parts":[["2016","9"]]},"page":"1283-94","title":"Nivolumab for classical Hodgkin's lymphoma after failure of both autologous stem-cell transplantation and brentuximab vedotin: a multicentre, multicohort, single-arm phase 2 trial.","type":"article-journal","volume":"17"},"uris":["http://www.mendeley.com/documents/?uuid=a494de98-ec50-3dd7-ad11-20b34ee03662","http://www.mendeley.com/documents/?uuid=d9e0e8e4-df22-4b85-bca6-6eec8a89d71f"]},{"id":"ITEM-2","itemData":{"DOI":"10.1093/annonc/mdy408","ISSN":"15698041","PMID":"30215677","abstract":"Background: A nivolumab monotherapy flat-dosing regimen of 480 mg every 4 weeks (Q4W) has been approved in several markets, including the United States, Canada, and European Union, as an alternative dosing regimen for several indications. Approvals of this Q4W regimen were based on population pharmacokinetic (PK) analyses, established flat exposure–response relationships, and clinical safety. The objective of this study was to compare the PK exposure of 480 mg Q4W with 3 mg/kg every 2 weeks (Q2W) and 240 mg Q2W using modeling and simulation, and to evaluate clinical safety of the Q4W regimen. Patients and methods: Nivolumab PK exposure for the 480 mg Q4W schedule was simulated for 3817 patients across multiple tumor types and compared with those for the 3 mg/kg Q2W and 240 mg Q2W schedules. The safety profile of the Q4W schedule was assessed by analysis of clinical data from 61 patients who transitioned to nivolumab 480 mg Q4W from 3 mg/kg Q2W during four phase III clinical trials. Results: Compared with 3 mg/kg Q2W, nivolumab 480 mg Q4W produced similar time-averaged concentration, approximately 16% lower trough concentration, and 45% higher peak concentration at steady state. The peak concentration for 480 mg Q4W was significantly lower than that of 10 mg/kg Q2W, a dose previously shown to have an acceptable tolerability and safety profile. Treatment-related adverse events (TRAEs) that started after transitioning from 3 mg/kg Q2W to 480 mg Q4W were reported in 14.8% of patients, with 1.6% of patients reporting grades 3–4 TRAEs. Pooled safety data for these patients are consistent with those for the 3 mg/kg Q2W schedules, and no new safety signals were identified.","author":[{"dropping-particle":"V.","family":"Long","given":"G.","non-dropping-particle":"","parse-names":false,"suffix":""},{"dropping-particle":"","family":"Tykodi","given":"S. S.","non-dropping-particle":"","parse-names":false,"suffix":""},{"dropping-particle":"","family":"Schneider","given":"J. G.","non-dropping-particle":"","parse-names":false,"suffix":""},{"dropping-particle":"","family":"Garbe","given":"C.","non-dropping-particle":"","parse-names":false,"suffix":""},{"dropping-particle":"","family":"Gravis","given":"G.","non-dropping-particle":"","parse-names":false,"suffix":""},{"dropping-particle":"","family":"Rashford","given":"M.","non-dropping-particle":"","parse-names":false,"suffix":""},{"dropping-particle":"","family":"Agrawal","given":"S.","non-dropping-particle":"","parse-names":false,"suffix":""},{"dropping-particle":"","family":"Grigoryeva","given":"E.","non-dropping-particle":"","parse-names":false,"suffix":""},{"dropping-particle":"","family":"Bello","given":"A.","non-dropping-particle":"","parse-names":false,"suffix":""},{"dropping-particle":"","family":"Roy","given":"A.","non-dropping-particle":"","parse-names":false,"suffix":""},{"dropping-particle":"","family":"Rollin","given":"L.","non-dropping-particle":"","parse-names":false,"suffix":""},{"dropping-particle":"","family":"Zhao","given":"X.","non-dropping-particle":"","parse-names":false,"suffix":""}],"container-title":"Annals of Oncology","id":"ITEM-2","issue":"11","issued":{"date-parts":[["2018"]]},"page":"2208-2213","publisher":"Oxford University Press","title":"Assessment of nivolumab exposure and clinical safety of 480 mg every 4 weeks flat-dosing schedule in patients with cancer","type":"article-journal","volume":"29"},"uris":["http://www.mendeley.com/documents/?uuid=f346112d-6c20-32c0-9571-816a535c9bfe"]}],"mendeley":{"formattedCitation":"[45,135]","plainTextFormattedCitation":"[45,135]","previouslyFormattedCitation":"[45,135]"},"properties":{"noteIndex":0},"schema":"https://github.com/citation-style-language/schema/raw/master/csl-citation.json"}</w:instrText>
            </w:r>
            <w:r w:rsidR="00745458">
              <w:fldChar w:fldCharType="separate"/>
            </w:r>
            <w:r w:rsidR="00A60C8A" w:rsidRPr="00A60C8A">
              <w:rPr>
                <w:noProof/>
              </w:rPr>
              <w:t>[45,135]</w:t>
            </w:r>
            <w:r w:rsidR="00745458">
              <w:fldChar w:fldCharType="end"/>
            </w:r>
          </w:p>
        </w:tc>
      </w:tr>
      <w:tr w:rsidR="001260FA" w:rsidRPr="00EA5B5D" w14:paraId="309A20BC" w14:textId="77777777" w:rsidTr="00B16826">
        <w:trPr>
          <w:trHeight w:val="329"/>
        </w:trPr>
        <w:tc>
          <w:tcPr>
            <w:tcW w:w="2339" w:type="dxa"/>
            <w:tcBorders>
              <w:top w:val="single" w:sz="4" w:space="0" w:color="auto"/>
              <w:left w:val="single" w:sz="4" w:space="0" w:color="auto"/>
              <w:bottom w:val="single" w:sz="4" w:space="0" w:color="auto"/>
              <w:right w:val="single" w:sz="4" w:space="0" w:color="auto"/>
            </w:tcBorders>
            <w:hideMark/>
          </w:tcPr>
          <w:p w14:paraId="7BA5BB96" w14:textId="77777777" w:rsidR="001260FA" w:rsidRPr="00EA5B5D" w:rsidRDefault="001260FA" w:rsidP="00B16826">
            <w:pPr>
              <w:spacing w:line="240" w:lineRule="auto"/>
              <w:ind w:firstLine="0"/>
              <w:jc w:val="left"/>
              <w:rPr>
                <w:szCs w:val="24"/>
              </w:rPr>
            </w:pPr>
            <w:r w:rsidRPr="00EA5B5D">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201A7396" w14:textId="77777777" w:rsidR="001260FA" w:rsidRPr="00EA5B5D" w:rsidRDefault="001260FA" w:rsidP="00B16826">
            <w:pPr>
              <w:spacing w:line="240" w:lineRule="auto"/>
              <w:ind w:firstLine="0"/>
              <w:jc w:val="left"/>
              <w:rPr>
                <w:szCs w:val="24"/>
              </w:rPr>
            </w:pPr>
            <w:r w:rsidRPr="00EA5B5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31D11257" w14:textId="77777777" w:rsidR="001260FA" w:rsidRPr="00EA5B5D" w:rsidRDefault="001260FA" w:rsidP="00B16826">
            <w:pPr>
              <w:spacing w:line="240" w:lineRule="auto"/>
              <w:ind w:firstLine="0"/>
              <w:jc w:val="left"/>
              <w:rPr>
                <w:szCs w:val="24"/>
              </w:rPr>
            </w:pPr>
            <w:r w:rsidRPr="00EA5B5D">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3CB96D12" w14:textId="77777777" w:rsidR="001260FA" w:rsidRPr="00EA5B5D" w:rsidRDefault="001260FA" w:rsidP="00B16826">
            <w:pPr>
              <w:spacing w:line="240" w:lineRule="auto"/>
              <w:ind w:firstLine="0"/>
              <w:jc w:val="left"/>
              <w:rPr>
                <w:szCs w:val="24"/>
              </w:rPr>
            </w:pPr>
            <w:r w:rsidRPr="00EA5B5D">
              <w:rPr>
                <w:szCs w:val="24"/>
              </w:rPr>
              <w:t>Дни введения</w:t>
            </w:r>
          </w:p>
        </w:tc>
      </w:tr>
      <w:tr w:rsidR="001260FA" w:rsidRPr="00EA5B5D" w14:paraId="0FAD979C" w14:textId="77777777" w:rsidTr="00B16826">
        <w:trPr>
          <w:trHeight w:val="329"/>
        </w:trPr>
        <w:tc>
          <w:tcPr>
            <w:tcW w:w="2339" w:type="dxa"/>
            <w:tcBorders>
              <w:top w:val="single" w:sz="4" w:space="0" w:color="auto"/>
              <w:left w:val="single" w:sz="4" w:space="0" w:color="auto"/>
              <w:bottom w:val="single" w:sz="4" w:space="0" w:color="auto"/>
              <w:right w:val="single" w:sz="4" w:space="0" w:color="auto"/>
            </w:tcBorders>
            <w:hideMark/>
          </w:tcPr>
          <w:p w14:paraId="23E693EE" w14:textId="77777777" w:rsidR="001260FA" w:rsidRPr="002415BA" w:rsidRDefault="001260FA" w:rsidP="00B16826">
            <w:pPr>
              <w:spacing w:line="240" w:lineRule="auto"/>
              <w:ind w:firstLine="0"/>
              <w:jc w:val="left"/>
              <w:rPr>
                <w:szCs w:val="24"/>
              </w:rPr>
            </w:pPr>
            <w:r>
              <w:rPr>
                <w:szCs w:val="24"/>
              </w:rPr>
              <w:t>Ниволумаб</w:t>
            </w:r>
            <w:r w:rsidR="000E2605" w:rsidRPr="000E2605">
              <w:rPr>
                <w:szCs w:val="24"/>
              </w:rPr>
              <w:t>**</w:t>
            </w:r>
          </w:p>
        </w:tc>
        <w:tc>
          <w:tcPr>
            <w:tcW w:w="2339" w:type="dxa"/>
            <w:tcBorders>
              <w:top w:val="single" w:sz="4" w:space="0" w:color="auto"/>
              <w:left w:val="single" w:sz="4" w:space="0" w:color="auto"/>
              <w:bottom w:val="single" w:sz="4" w:space="0" w:color="auto"/>
              <w:right w:val="single" w:sz="4" w:space="0" w:color="auto"/>
            </w:tcBorders>
          </w:tcPr>
          <w:p w14:paraId="5FC5DDD0" w14:textId="2F0A32BE" w:rsidR="001260FA" w:rsidRPr="00EA5B5D" w:rsidRDefault="001260FA" w:rsidP="00B16826">
            <w:pPr>
              <w:spacing w:line="240" w:lineRule="auto"/>
              <w:ind w:firstLine="0"/>
              <w:jc w:val="left"/>
              <w:rPr>
                <w:szCs w:val="24"/>
              </w:rPr>
            </w:pPr>
            <w:r>
              <w:rPr>
                <w:szCs w:val="24"/>
              </w:rPr>
              <w:t>3 мг/кг</w:t>
            </w:r>
            <w:r w:rsidR="009D018C">
              <w:rPr>
                <w:szCs w:val="24"/>
              </w:rPr>
              <w:t xml:space="preserve"> или 240 мг независимо от массы тела или 480 мг независимо от массы тела</w:t>
            </w:r>
          </w:p>
        </w:tc>
        <w:tc>
          <w:tcPr>
            <w:tcW w:w="2339" w:type="dxa"/>
            <w:tcBorders>
              <w:top w:val="single" w:sz="4" w:space="0" w:color="auto"/>
              <w:left w:val="single" w:sz="4" w:space="0" w:color="auto"/>
              <w:bottom w:val="single" w:sz="4" w:space="0" w:color="auto"/>
              <w:right w:val="single" w:sz="4" w:space="0" w:color="auto"/>
            </w:tcBorders>
            <w:hideMark/>
          </w:tcPr>
          <w:p w14:paraId="44DB51EC" w14:textId="77777777" w:rsidR="001260FA" w:rsidRPr="00EA5B5D" w:rsidRDefault="001260FA" w:rsidP="00B16826">
            <w:pPr>
              <w:spacing w:line="240" w:lineRule="auto"/>
              <w:ind w:firstLine="0"/>
              <w:jc w:val="left"/>
              <w:rPr>
                <w:szCs w:val="24"/>
              </w:rPr>
            </w:pPr>
            <w:r>
              <w:rPr>
                <w:szCs w:val="24"/>
              </w:rPr>
              <w:t>в/в в течение 60 минут</w:t>
            </w:r>
          </w:p>
        </w:tc>
        <w:tc>
          <w:tcPr>
            <w:tcW w:w="2339" w:type="dxa"/>
            <w:tcBorders>
              <w:top w:val="single" w:sz="4" w:space="0" w:color="auto"/>
              <w:left w:val="single" w:sz="4" w:space="0" w:color="auto"/>
              <w:bottom w:val="single" w:sz="4" w:space="0" w:color="auto"/>
              <w:right w:val="single" w:sz="4" w:space="0" w:color="auto"/>
            </w:tcBorders>
          </w:tcPr>
          <w:p w14:paraId="2CE2B103" w14:textId="77777777" w:rsidR="001260FA" w:rsidRPr="00EA5B5D" w:rsidRDefault="001260FA" w:rsidP="00B16826">
            <w:pPr>
              <w:spacing w:line="240" w:lineRule="auto"/>
              <w:ind w:firstLine="0"/>
              <w:jc w:val="left"/>
              <w:rPr>
                <w:szCs w:val="24"/>
              </w:rPr>
            </w:pPr>
            <w:r>
              <w:rPr>
                <w:szCs w:val="24"/>
              </w:rPr>
              <w:t>1</w:t>
            </w:r>
          </w:p>
        </w:tc>
      </w:tr>
      <w:tr w:rsidR="001260FA" w:rsidRPr="00EA5B5D" w14:paraId="73D24C21" w14:textId="77777777" w:rsidTr="00B16826">
        <w:tc>
          <w:tcPr>
            <w:tcW w:w="9356" w:type="dxa"/>
            <w:gridSpan w:val="4"/>
            <w:tcBorders>
              <w:top w:val="single" w:sz="4" w:space="0" w:color="auto"/>
              <w:left w:val="single" w:sz="4" w:space="0" w:color="auto"/>
              <w:bottom w:val="single" w:sz="4" w:space="0" w:color="auto"/>
              <w:right w:val="single" w:sz="4" w:space="0" w:color="auto"/>
            </w:tcBorders>
            <w:vAlign w:val="center"/>
          </w:tcPr>
          <w:p w14:paraId="119DF525" w14:textId="747941F4" w:rsidR="001260FA" w:rsidRPr="00EA5B5D" w:rsidRDefault="001260FA" w:rsidP="00B16826">
            <w:pPr>
              <w:spacing w:line="240" w:lineRule="auto"/>
              <w:ind w:firstLine="0"/>
              <w:jc w:val="left"/>
              <w:rPr>
                <w:szCs w:val="24"/>
              </w:rPr>
            </w:pPr>
            <w:r w:rsidRPr="00EA5B5D">
              <w:rPr>
                <w:szCs w:val="24"/>
              </w:rPr>
              <w:t xml:space="preserve">Лечение возобновляется на </w:t>
            </w:r>
            <w:r>
              <w:rPr>
                <w:szCs w:val="24"/>
              </w:rPr>
              <w:t>15 день</w:t>
            </w:r>
            <w:r w:rsidR="009D018C">
              <w:rPr>
                <w:szCs w:val="24"/>
              </w:rPr>
              <w:t xml:space="preserve"> (для дозы 3 мг/кг или 240 мг) или на 29 день (для дозы 480 мг)</w:t>
            </w:r>
          </w:p>
        </w:tc>
      </w:tr>
      <w:tr w:rsidR="001260FA" w:rsidRPr="00EA5B5D" w14:paraId="2783041D" w14:textId="77777777" w:rsidTr="00B16826">
        <w:trPr>
          <w:trHeight w:val="329"/>
        </w:trPr>
        <w:tc>
          <w:tcPr>
            <w:tcW w:w="9356" w:type="dxa"/>
            <w:gridSpan w:val="4"/>
            <w:tcBorders>
              <w:top w:val="nil"/>
              <w:left w:val="nil"/>
              <w:bottom w:val="single" w:sz="4" w:space="0" w:color="auto"/>
              <w:right w:val="nil"/>
            </w:tcBorders>
          </w:tcPr>
          <w:p w14:paraId="65BF76F6" w14:textId="77777777" w:rsidR="00015B13" w:rsidRDefault="00015B13" w:rsidP="00B16826">
            <w:pPr>
              <w:spacing w:line="240" w:lineRule="auto"/>
              <w:ind w:firstLine="0"/>
              <w:jc w:val="left"/>
              <w:rPr>
                <w:b/>
                <w:bCs/>
                <w:szCs w:val="24"/>
              </w:rPr>
            </w:pPr>
          </w:p>
          <w:p w14:paraId="7D43A7A3" w14:textId="77777777" w:rsidR="001260FA" w:rsidRPr="00EA5B5D" w:rsidRDefault="001260FA" w:rsidP="00B16826">
            <w:pPr>
              <w:spacing w:line="240" w:lineRule="auto"/>
              <w:ind w:firstLine="0"/>
              <w:jc w:val="left"/>
              <w:rPr>
                <w:b/>
                <w:bCs/>
                <w:szCs w:val="24"/>
              </w:rPr>
            </w:pPr>
            <w:r>
              <w:rPr>
                <w:b/>
                <w:bCs/>
                <w:szCs w:val="24"/>
              </w:rPr>
              <w:t>Монотерапия пембролизумабом</w:t>
            </w:r>
            <w:r w:rsidR="00745458">
              <w:rPr>
                <w:b/>
                <w:bCs/>
                <w:szCs w:val="24"/>
              </w:rPr>
              <w:t xml:space="preserve"> </w:t>
            </w:r>
            <w:r w:rsidR="00745458">
              <w:fldChar w:fldCharType="begin" w:fldLock="1"/>
            </w:r>
            <w:r w:rsidR="002C6C01">
              <w:instrText>ADDIN CSL_CITATION {"citationItems":[{"id":"ITEM-1","itemData":{"DOI":"10.1182/blood.2019000324","ISSN":"15280020","PMID":"31409671","abstract":"Programmed death-1 inhibitors are approved for patients with relapsed or refractory classic Hodgkin lymphoma (RRcHL). We present the 2-year follow-up of the phase 2 KEYNOTE-087 study of pembrolizumab in 210 patients, based on HL progression after autologous stem cell transplantation (ASCT) and subsequent brentuximab vedotin (BV; cohort 1); salvage chemotherapy and BV, with ineligibility for SCT owing to chemorefractory disease (cohort 2); and progression after SCT without BV (cohort 3). With a median follow-up of 27.6 months, the objective response rate (ORR) by blinded independent central review was 71.9% (95% CI, 65.3-77.9), the complete response rate (CRR) was 27.6%, and the partial response (PR) rate was 44.3%. Median duration of response was 16.5 months (range, 0.01 to 27.01 [1, no progressive disease at last assessment]) in all patients, 22.1 months in cohort 1, 11.1 months in cohort 2, and 24.4 months in cohort 3. Median progression-free survival was not reached in all patients with CR: 13.8 months (95% CI, 12.0-22.1) for patients with PR and 10.9 months (95% CI, 5.6-11.1) for patients with stable disease. Median overall survival was not reached in all patients or in any cohort. Treatment-related adverse events (TRAEs) of any grade occurred in 153 (72.9%) patients; grades 3 and 4 occurred in 25 (12.0%) patients; none resulted in death. Results confirmed effective antitumor activity, durability of response, and manageable safety of pembrolizumab monotherapy in RRcHL, regardless of prior treatment and including chemoresistant cHL. This trial was registered at www.clinicaltrials.gov as #NCT02453594.","author":[{"dropping-particle":"","family":"Chen","given":"Robert","non-dropping-particle":"","parse-names":false,"suffix":""},{"dropping-particle":"","family":"Zinzani","given":"Pier Luigi","non-dropping-particle":"","parse-names":false,"suffix":""},{"dropping-particle":"","family":"Lee","given":"Hun Ju","non-dropping-particle":"","parse-names":false,"suffix":""},{"dropping-particle":"","family":"Armand","given":"Philippe","non-dropping-particle":"","parse-names":false,"suffix":""},{"dropping-particle":"","family":"Johnson","given":"Nathalie A.","non-dropping-particle":"","parse-names":false,"suffix":""},{"dropping-particle":"","family":"Brice","given":"Pauline","non-dropping-particle":"","parse-names":false,"suffix":""},{"dropping-particle":"","family":"Radford","given":"John","non-dropping-particle":"","parse-names":false,"suffix":""},{"dropping-particle":"","family":"Ribrag","given":"Vincent","non-dropping-particle":"","parse-names":false,"suffix":""},{"dropping-particle":"","family":"Molin","given":"Daniel","non-dropping-particle":"","parse-names":false,"suffix":""},{"dropping-particle":"","family":"Vassilakopoulos","given":"Theodoros P.","non-dropping-particle":"","parse-names":false,"suffix":""},{"dropping-particle":"","family":"Tomita","given":"Akihiro","non-dropping-particle":"","parse-names":false,"suffix":""},{"dropping-particle":"","family":"Tresckow","given":"Bastian","non-dropping-particle":"von","parse-names":false,"suffix":""},{"dropping-particle":"","family":"Shipp","given":"Margaret A.","non-dropping-particle":"","parse-names":false,"suffix":""},{"dropping-particle":"","family":"Lin","given":"Jianxin","non-dropping-particle":"","parse-names":false,"suffix":""},{"dropping-particle":"","family":"Kim","given":"Eunhee","non-dropping-particle":"","parse-names":false,"suffix":""},{"dropping-particle":"","family":"Nahar","given":"Akash","non-dropping-particle":"","parse-names":false,"suffix":""},{"dropping-particle":"","family":"Balakumaran","given":"Arun","non-dropping-particle":"","parse-names":false,"suffix":""},{"dropping-particle":"","family":"Moskowitz","given":"Craig H.","non-dropping-particle":"","parse-names":false,"suffix":""}],"container-title":"Blood","id":"ITEM-1","issue":"14","issued":{"date-parts":[["2019","10","3"]]},"page":"1144-1153","publisher":"American Society of Hematology","title":"Pembrolizumab in relapsed or refractory Hodgkin lymphoma: 2-year follow-up of KEYNOTE-087","type":"article-journal","volume":"134"},"uris":["http://www.mendeley.com/documents/?uuid=f2031b43-55c1-3827-b6cd-dd3d64001e2d","http://www.mendeley.com/documents/?uuid=4808eeb8-029e-4456-a838-b008e5a88272"]}],"mendeley":{"formattedCitation":"[46]","plainTextFormattedCitation":"[46]","previouslyFormattedCitation":"[46]"},"properties":{"noteIndex":0},"schema":"https://github.com/citation-style-language/schema/raw/master/csl-citation.json"}</w:instrText>
            </w:r>
            <w:r w:rsidR="00745458">
              <w:fldChar w:fldCharType="separate"/>
            </w:r>
            <w:r w:rsidR="00745458" w:rsidRPr="0046092E">
              <w:rPr>
                <w:noProof/>
              </w:rPr>
              <w:t>[46]</w:t>
            </w:r>
            <w:r w:rsidR="00745458">
              <w:fldChar w:fldCharType="end"/>
            </w:r>
          </w:p>
        </w:tc>
      </w:tr>
      <w:tr w:rsidR="001260FA" w:rsidRPr="00EA5B5D" w14:paraId="5721506B" w14:textId="77777777" w:rsidTr="00B16826">
        <w:trPr>
          <w:trHeight w:val="329"/>
        </w:trPr>
        <w:tc>
          <w:tcPr>
            <w:tcW w:w="2339" w:type="dxa"/>
            <w:tcBorders>
              <w:top w:val="single" w:sz="4" w:space="0" w:color="auto"/>
              <w:left w:val="single" w:sz="4" w:space="0" w:color="auto"/>
              <w:bottom w:val="single" w:sz="4" w:space="0" w:color="auto"/>
              <w:right w:val="single" w:sz="4" w:space="0" w:color="auto"/>
            </w:tcBorders>
            <w:hideMark/>
          </w:tcPr>
          <w:p w14:paraId="68419597" w14:textId="77777777" w:rsidR="001260FA" w:rsidRPr="00EA5B5D" w:rsidRDefault="001260FA" w:rsidP="00B16826">
            <w:pPr>
              <w:spacing w:line="240" w:lineRule="auto"/>
              <w:ind w:firstLine="0"/>
              <w:jc w:val="left"/>
              <w:rPr>
                <w:szCs w:val="24"/>
              </w:rPr>
            </w:pPr>
            <w:r w:rsidRPr="00EA5B5D">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37149F84" w14:textId="77777777" w:rsidR="001260FA" w:rsidRPr="00EA5B5D" w:rsidRDefault="001260FA" w:rsidP="00B16826">
            <w:pPr>
              <w:spacing w:line="240" w:lineRule="auto"/>
              <w:ind w:firstLine="0"/>
              <w:jc w:val="left"/>
              <w:rPr>
                <w:szCs w:val="24"/>
              </w:rPr>
            </w:pPr>
            <w:r w:rsidRPr="00EA5B5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2D3866BE" w14:textId="77777777" w:rsidR="001260FA" w:rsidRPr="00EA5B5D" w:rsidRDefault="001260FA" w:rsidP="00B16826">
            <w:pPr>
              <w:spacing w:line="240" w:lineRule="auto"/>
              <w:ind w:firstLine="0"/>
              <w:jc w:val="left"/>
              <w:rPr>
                <w:szCs w:val="24"/>
              </w:rPr>
            </w:pPr>
            <w:r w:rsidRPr="00EA5B5D">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67CA4E0E" w14:textId="77777777" w:rsidR="001260FA" w:rsidRPr="00EA5B5D" w:rsidRDefault="001260FA" w:rsidP="00B16826">
            <w:pPr>
              <w:spacing w:line="240" w:lineRule="auto"/>
              <w:ind w:firstLine="0"/>
              <w:jc w:val="left"/>
              <w:rPr>
                <w:szCs w:val="24"/>
              </w:rPr>
            </w:pPr>
            <w:r w:rsidRPr="00EA5B5D">
              <w:rPr>
                <w:szCs w:val="24"/>
              </w:rPr>
              <w:t>Дни введения</w:t>
            </w:r>
          </w:p>
        </w:tc>
      </w:tr>
      <w:tr w:rsidR="001260FA" w:rsidRPr="00EA5B5D" w14:paraId="7EC2A70E" w14:textId="77777777" w:rsidTr="00B16826">
        <w:trPr>
          <w:trHeight w:val="329"/>
        </w:trPr>
        <w:tc>
          <w:tcPr>
            <w:tcW w:w="2339" w:type="dxa"/>
            <w:tcBorders>
              <w:top w:val="single" w:sz="4" w:space="0" w:color="auto"/>
              <w:left w:val="single" w:sz="4" w:space="0" w:color="auto"/>
              <w:bottom w:val="single" w:sz="4" w:space="0" w:color="auto"/>
              <w:right w:val="single" w:sz="4" w:space="0" w:color="auto"/>
            </w:tcBorders>
            <w:hideMark/>
          </w:tcPr>
          <w:p w14:paraId="3416F0D7" w14:textId="77777777" w:rsidR="001260FA" w:rsidRPr="002415BA" w:rsidRDefault="001260FA" w:rsidP="00B16826">
            <w:pPr>
              <w:spacing w:line="240" w:lineRule="auto"/>
              <w:ind w:firstLine="0"/>
              <w:jc w:val="left"/>
              <w:rPr>
                <w:szCs w:val="24"/>
              </w:rPr>
            </w:pPr>
            <w:r>
              <w:rPr>
                <w:szCs w:val="24"/>
              </w:rPr>
              <w:t>Пембролизумаб</w:t>
            </w:r>
            <w:r w:rsidR="000E2605" w:rsidRPr="000E2605">
              <w:rPr>
                <w:szCs w:val="24"/>
              </w:rPr>
              <w:t>**</w:t>
            </w:r>
          </w:p>
        </w:tc>
        <w:tc>
          <w:tcPr>
            <w:tcW w:w="2339" w:type="dxa"/>
            <w:tcBorders>
              <w:top w:val="single" w:sz="4" w:space="0" w:color="auto"/>
              <w:left w:val="single" w:sz="4" w:space="0" w:color="auto"/>
              <w:bottom w:val="single" w:sz="4" w:space="0" w:color="auto"/>
              <w:right w:val="single" w:sz="4" w:space="0" w:color="auto"/>
            </w:tcBorders>
          </w:tcPr>
          <w:p w14:paraId="6F222505" w14:textId="77777777" w:rsidR="001260FA" w:rsidRPr="00EA5B5D" w:rsidRDefault="001260FA" w:rsidP="00B16826">
            <w:pPr>
              <w:spacing w:line="240" w:lineRule="auto"/>
              <w:ind w:firstLine="0"/>
              <w:jc w:val="left"/>
              <w:rPr>
                <w:szCs w:val="24"/>
              </w:rPr>
            </w:pPr>
            <w:r>
              <w:rPr>
                <w:szCs w:val="24"/>
              </w:rPr>
              <w:t>200 мг</w:t>
            </w:r>
          </w:p>
        </w:tc>
        <w:tc>
          <w:tcPr>
            <w:tcW w:w="2339" w:type="dxa"/>
            <w:tcBorders>
              <w:top w:val="single" w:sz="4" w:space="0" w:color="auto"/>
              <w:left w:val="single" w:sz="4" w:space="0" w:color="auto"/>
              <w:bottom w:val="single" w:sz="4" w:space="0" w:color="auto"/>
              <w:right w:val="single" w:sz="4" w:space="0" w:color="auto"/>
            </w:tcBorders>
            <w:hideMark/>
          </w:tcPr>
          <w:p w14:paraId="0BF32482" w14:textId="77777777" w:rsidR="001260FA" w:rsidRPr="00EA5B5D" w:rsidRDefault="001260FA" w:rsidP="00B16826">
            <w:pPr>
              <w:spacing w:line="240" w:lineRule="auto"/>
              <w:ind w:firstLine="0"/>
              <w:jc w:val="left"/>
              <w:rPr>
                <w:szCs w:val="24"/>
              </w:rPr>
            </w:pPr>
            <w:r>
              <w:rPr>
                <w:szCs w:val="24"/>
              </w:rPr>
              <w:t>в/в в течение 30 минут</w:t>
            </w:r>
          </w:p>
        </w:tc>
        <w:tc>
          <w:tcPr>
            <w:tcW w:w="2339" w:type="dxa"/>
            <w:tcBorders>
              <w:top w:val="single" w:sz="4" w:space="0" w:color="auto"/>
              <w:left w:val="single" w:sz="4" w:space="0" w:color="auto"/>
              <w:bottom w:val="single" w:sz="4" w:space="0" w:color="auto"/>
              <w:right w:val="single" w:sz="4" w:space="0" w:color="auto"/>
            </w:tcBorders>
          </w:tcPr>
          <w:p w14:paraId="09CC5417" w14:textId="77777777" w:rsidR="001260FA" w:rsidRPr="00EA5B5D" w:rsidRDefault="001260FA" w:rsidP="00B16826">
            <w:pPr>
              <w:spacing w:line="240" w:lineRule="auto"/>
              <w:ind w:firstLine="0"/>
              <w:jc w:val="left"/>
              <w:rPr>
                <w:szCs w:val="24"/>
              </w:rPr>
            </w:pPr>
            <w:r>
              <w:rPr>
                <w:szCs w:val="24"/>
              </w:rPr>
              <w:t>1</w:t>
            </w:r>
          </w:p>
        </w:tc>
      </w:tr>
      <w:tr w:rsidR="001260FA" w:rsidRPr="00EA5B5D" w14:paraId="02CBD83D" w14:textId="77777777" w:rsidTr="00B16826">
        <w:tc>
          <w:tcPr>
            <w:tcW w:w="9356" w:type="dxa"/>
            <w:gridSpan w:val="4"/>
            <w:tcBorders>
              <w:top w:val="single" w:sz="4" w:space="0" w:color="auto"/>
              <w:left w:val="single" w:sz="4" w:space="0" w:color="auto"/>
              <w:bottom w:val="single" w:sz="4" w:space="0" w:color="auto"/>
              <w:right w:val="single" w:sz="4" w:space="0" w:color="auto"/>
            </w:tcBorders>
            <w:vAlign w:val="center"/>
          </w:tcPr>
          <w:p w14:paraId="0C8FC6D7" w14:textId="77777777" w:rsidR="001260FA" w:rsidRPr="00EA5B5D" w:rsidRDefault="001260FA" w:rsidP="00B16826">
            <w:pPr>
              <w:spacing w:line="240" w:lineRule="auto"/>
              <w:ind w:firstLine="0"/>
              <w:jc w:val="left"/>
              <w:rPr>
                <w:szCs w:val="24"/>
              </w:rPr>
            </w:pPr>
            <w:r w:rsidRPr="00EA5B5D">
              <w:rPr>
                <w:szCs w:val="24"/>
              </w:rPr>
              <w:t xml:space="preserve">Лечение возобновляется на </w:t>
            </w:r>
            <w:r>
              <w:rPr>
                <w:szCs w:val="24"/>
              </w:rPr>
              <w:t>22 день</w:t>
            </w:r>
          </w:p>
        </w:tc>
      </w:tr>
    </w:tbl>
    <w:p w14:paraId="61333D20" w14:textId="77777777" w:rsidR="00A07386" w:rsidRDefault="00A07386" w:rsidP="00A07386">
      <w:pPr>
        <w:pStyle w:val="afd"/>
        <w:ind w:firstLine="0"/>
        <w:rPr>
          <w:b/>
          <w:bCs/>
          <w:u w:val="single"/>
        </w:rPr>
      </w:pPr>
      <w:r w:rsidRPr="007A344D">
        <w:rPr>
          <w:b/>
          <w:bCs/>
          <w:u w:val="single"/>
        </w:rPr>
        <w:t>3.3.</w:t>
      </w:r>
      <w:r>
        <w:rPr>
          <w:b/>
          <w:bCs/>
          <w:u w:val="single"/>
        </w:rPr>
        <w:t>5</w:t>
      </w:r>
      <w:r w:rsidRPr="007A344D">
        <w:rPr>
          <w:b/>
          <w:bCs/>
          <w:u w:val="single"/>
        </w:rPr>
        <w:t xml:space="preserve"> Схемы терапии </w:t>
      </w:r>
      <w:r>
        <w:rPr>
          <w:b/>
          <w:bCs/>
          <w:u w:val="single"/>
        </w:rPr>
        <w:t xml:space="preserve">пациентов с нодулярной </w:t>
      </w:r>
      <w:r w:rsidRPr="007A344D">
        <w:rPr>
          <w:b/>
          <w:bCs/>
          <w:u w:val="single"/>
        </w:rPr>
        <w:t>лимфомой Ходжкина</w:t>
      </w:r>
      <w:r>
        <w:rPr>
          <w:b/>
          <w:bCs/>
          <w:u w:val="single"/>
        </w:rPr>
        <w:t xml:space="preserve"> с лимфоидным преобладанием</w:t>
      </w:r>
    </w:p>
    <w:tbl>
      <w:tblPr>
        <w:tblStyle w:val="aff9"/>
        <w:tblW w:w="9356" w:type="dxa"/>
        <w:tblInd w:w="-5" w:type="dxa"/>
        <w:tblLayout w:type="fixed"/>
        <w:tblLook w:val="04A0" w:firstRow="1" w:lastRow="0" w:firstColumn="1" w:lastColumn="0" w:noHBand="0" w:noVBand="1"/>
      </w:tblPr>
      <w:tblGrid>
        <w:gridCol w:w="2339"/>
        <w:gridCol w:w="2339"/>
        <w:gridCol w:w="2339"/>
        <w:gridCol w:w="2339"/>
      </w:tblGrid>
      <w:tr w:rsidR="00A07386" w:rsidRPr="00EA5B5D" w14:paraId="3C9656DD" w14:textId="77777777" w:rsidTr="007C3C41">
        <w:trPr>
          <w:trHeight w:val="329"/>
        </w:trPr>
        <w:tc>
          <w:tcPr>
            <w:tcW w:w="9356" w:type="dxa"/>
            <w:gridSpan w:val="4"/>
            <w:tcBorders>
              <w:top w:val="nil"/>
              <w:left w:val="nil"/>
              <w:bottom w:val="single" w:sz="4" w:space="0" w:color="auto"/>
              <w:right w:val="nil"/>
            </w:tcBorders>
          </w:tcPr>
          <w:p w14:paraId="05BCF1D6" w14:textId="77777777" w:rsidR="00A07386" w:rsidRPr="002415BA" w:rsidRDefault="00A07386" w:rsidP="007C3C41">
            <w:pPr>
              <w:spacing w:line="240" w:lineRule="auto"/>
              <w:ind w:firstLine="0"/>
              <w:jc w:val="left"/>
              <w:rPr>
                <w:b/>
                <w:bCs/>
                <w:szCs w:val="24"/>
              </w:rPr>
            </w:pPr>
            <w:r>
              <w:rPr>
                <w:b/>
                <w:bCs/>
                <w:szCs w:val="24"/>
                <w:lang w:val="en-US"/>
              </w:rPr>
              <w:t>R</w:t>
            </w:r>
            <w:r w:rsidRPr="002415BA">
              <w:rPr>
                <w:b/>
                <w:bCs/>
                <w:szCs w:val="24"/>
              </w:rPr>
              <w:t>-</w:t>
            </w:r>
            <w:r>
              <w:rPr>
                <w:b/>
                <w:bCs/>
                <w:szCs w:val="24"/>
                <w:lang w:val="en-US"/>
              </w:rPr>
              <w:t>CHOP</w:t>
            </w:r>
            <w:r w:rsidR="00B8782E">
              <w:rPr>
                <w:b/>
                <w:bCs/>
                <w:szCs w:val="24"/>
              </w:rPr>
              <w:t xml:space="preserve"> </w:t>
            </w:r>
            <w:r w:rsidR="00B8782E">
              <w:fldChar w:fldCharType="begin" w:fldLock="1"/>
            </w:r>
            <w:r w:rsidR="00B8782E">
              <w:instrText>ADDIN CSL_CITATION {"citationItems":[{"id":"ITEM-1","itemData":{"DOI":"10.1182/blood-2017-02-766121","ISSN":"15280020","abstract":"© 2017 by The American Society of Hematology. Nodular lymphocyte Hodgkin lymphoma (NLPHL) is a rare disease for which the optimal therapy is unknown. We hypothesized that rituximab plus cyclophosphamide, doxorubicin, vincristine, and prednisone (R-CHOP) could decrease rates of relapse and transformation. We retrospectively reviewed patients with NLPHL diagnosed between 1995 and 2015 confirmed by central pathologic review. Fifty-nine had sufficient treatment and follow-up data for analysis. We described progression-free survival (PFS), overall survival (OS), and histologic transformation according to treatment strategy and explored prognostic factors for PFS and OS. The median age at diagnosis was 41 years; 75% were male, and 61% had a typical growth pattern. Twenty-seven patients were treated with R-CHOP with an overall response rate of 100% (complete responses 89%). The median follow-up was 6.7 years, and the estimated 5- and 10-year PFS rates for patients treated with R-CHOP were 88.5% (95% confidence interval [CI], 68.4% to 96.1%) and 59.3 (95% CI, 25.3% to 89.1%), respectively. Excluding patients with histologic transformation at diagnosis, the 5-year cumulative incidence of histologic transformation was 2% (95% CI, 87% to 100%). No patient treated with R-CHOP experienced transformation. A high-risk score from the German Hodgkin Study Group was adversely prognostic for OS (P 5 .036), whereas male sex and splenic involvement were adversely prognostic for PFS (P 5 .006 and .002, respectively) but not OS. Our data support a potential role for R-CHOP in patients with NLPHL. Larger prospective trials are needed to define the optimal chemotherapy regimen.","author":[{"dropping-particle":"","family":"Fanale","given":"Michelle A.","non-dropping-particle":"","parse-names":false,"suffix":""},{"dropping-particle":"","family":"Cheah","given":"Chan Yoon","non-dropping-particle":"","parse-names":false,"suffix":""},{"dropping-particle":"","family":"Rich","given":"Amy","non-dropping-particle":"","parse-names":false,"suffix":""},{"dropping-particle":"","family":"Medeiros","given":"L. Jeffrey","non-dropping-particle":"","parse-names":false,"suffix":""},{"dropping-particle":"","family":"Lai","given":"Chao Ming","non-dropping-particle":"","parse-names":false,"suffix":""},{"dropping-particle":"","family":"Oki","given":"Yasuhiro","non-dropping-particle":"","parse-names":false,"suffix":""},{"dropping-particle":"","family":"Romaguera","given":"Jorge E.","non-dropping-particle":"","parse-names":false,"suffix":""},{"dropping-particle":"","family":"Fayad","given":"Luis E.","non-dropping-particle":"","parse-names":false,"suffix":""},{"dropping-particle":"","family":"Hagemeister","given":"F. B.","non-dropping-particle":"","parse-names":false,"suffix":""},{"dropping-particle":"","family":"Samaniego","given":"Felipe","non-dropping-particle":"","parse-names":false,"suffix":""},{"dropping-particle":"","family":"Rodriguez","given":"Maria A.","non-dropping-particle":"","parse-names":false,"suffix":""},{"dropping-particle":"","family":"Neelapu","given":"Sattva S.","non-dropping-particle":"","parse-names":false,"suffix":""},{"dropping-particle":"","family":"Lee","given":"Hun J.","non-dropping-particle":"","parse-names":false,"suffix":""},{"dropping-particle":"","family":"Nastoupil","given":"Loretta","non-dropping-particle":"","parse-names":false,"suffix":""},{"dropping-particle":"","family":"Fowler","given":"Nathan H.","non-dropping-particle":"","parse-names":false,"suffix":""},{"dropping-particle":"","family":"Turturro","given":"Francesco","non-dropping-particle":"","parse-names":false,"suffix":""},{"dropping-particle":"","family":"Westin","given":"Jason R.","non-dropping-particle":"","parse-names":false,"suffix":""},{"dropping-particle":"","family":"Wang","given":"Michael L.","non-dropping-particle":"","parse-names":false,"suffix":""},{"dropping-particle":"","family":"McLaughlin","given":"Peter","non-dropping-particle":"","parse-names":false,"suffix":""},{"dropping-particle":"","family":"Pinnix","given":"Chelsea C.","non-dropping-particle":"","parse-names":false,"suffix":""},{"dropping-particle":"","family":"Milgrom","given":"Sarah A.","non-dropping-particle":"","parse-names":false,"suffix":""},{"dropping-particle":"","family":"Dabaja","given":"Bouthaina","non-dropping-particle":"","parse-names":false,"suffix":""},{"dropping-particle":"","family":"Horowitz","given":"Sandra B.","non-dropping-particle":"","parse-names":false,"suffix":""},{"dropping-particle":"","family":"Younes","given":"Anas","non-dropping-particle":"","parse-names":false,"suffix":""}],"container-title":"Blood","id":"ITEM-1","issued":{"date-parts":[["2017"]]},"title":"Encouraging activity for R-CHOP in advanced stage nodular lymphocyte–predominant Hodgkin lymphoma","type":"article-journal"},"uris":["http://www.mendeley.com/documents/?uuid=4629b39a-27e6-3217-9bbd-7fc4330c3b8f","http://www.mendeley.com/documents/?uuid=8f53ae39-3441-45a8-8028-aab12a7c2c5c"]}],"mendeley":{"formattedCitation":"[56]","plainTextFormattedCitation":"[56]","previouslyFormattedCitation":"[56]"},"properties":{"noteIndex":0},"schema":"https://github.com/citation-style-language/schema/raw/master/csl-citation.json"}</w:instrText>
            </w:r>
            <w:r w:rsidR="00B8782E">
              <w:fldChar w:fldCharType="separate"/>
            </w:r>
            <w:r w:rsidR="00B8782E" w:rsidRPr="00B5143A">
              <w:rPr>
                <w:noProof/>
              </w:rPr>
              <w:t>[56]</w:t>
            </w:r>
            <w:r w:rsidR="00B8782E">
              <w:fldChar w:fldCharType="end"/>
            </w:r>
            <w:r w:rsidR="00B8782E" w:rsidRPr="00370263">
              <w:rPr>
                <w:lang w:val="en-US"/>
              </w:rPr>
              <w:t>.</w:t>
            </w:r>
          </w:p>
        </w:tc>
      </w:tr>
      <w:tr w:rsidR="00A07386" w:rsidRPr="00EA5B5D" w14:paraId="6A01D0F0" w14:textId="77777777" w:rsidTr="007C3C41">
        <w:trPr>
          <w:trHeight w:val="329"/>
        </w:trPr>
        <w:tc>
          <w:tcPr>
            <w:tcW w:w="2339" w:type="dxa"/>
            <w:tcBorders>
              <w:top w:val="single" w:sz="4" w:space="0" w:color="auto"/>
              <w:left w:val="single" w:sz="4" w:space="0" w:color="auto"/>
              <w:bottom w:val="single" w:sz="4" w:space="0" w:color="auto"/>
              <w:right w:val="single" w:sz="4" w:space="0" w:color="auto"/>
            </w:tcBorders>
            <w:hideMark/>
          </w:tcPr>
          <w:p w14:paraId="6E8F37FF" w14:textId="77777777" w:rsidR="00A07386" w:rsidRPr="00EA5B5D" w:rsidRDefault="00A07386" w:rsidP="007C3C41">
            <w:pPr>
              <w:spacing w:line="240" w:lineRule="auto"/>
              <w:ind w:firstLine="0"/>
              <w:jc w:val="left"/>
              <w:rPr>
                <w:szCs w:val="24"/>
              </w:rPr>
            </w:pPr>
            <w:r w:rsidRPr="00EA5B5D">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07641811" w14:textId="77777777" w:rsidR="00A07386" w:rsidRPr="00EA5B5D" w:rsidRDefault="00A07386" w:rsidP="007C3C41">
            <w:pPr>
              <w:spacing w:line="240" w:lineRule="auto"/>
              <w:ind w:firstLine="0"/>
              <w:jc w:val="left"/>
              <w:rPr>
                <w:szCs w:val="24"/>
              </w:rPr>
            </w:pPr>
            <w:r w:rsidRPr="00EA5B5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25FC0358" w14:textId="77777777" w:rsidR="00A07386" w:rsidRPr="00EA5B5D" w:rsidRDefault="00A07386" w:rsidP="007C3C41">
            <w:pPr>
              <w:spacing w:line="240" w:lineRule="auto"/>
              <w:ind w:firstLine="0"/>
              <w:jc w:val="left"/>
              <w:rPr>
                <w:szCs w:val="24"/>
              </w:rPr>
            </w:pPr>
            <w:r w:rsidRPr="00EA5B5D">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5018FF2A" w14:textId="77777777" w:rsidR="00A07386" w:rsidRPr="00EA5B5D" w:rsidRDefault="00A07386" w:rsidP="007C3C41">
            <w:pPr>
              <w:spacing w:line="240" w:lineRule="auto"/>
              <w:ind w:firstLine="0"/>
              <w:jc w:val="left"/>
              <w:rPr>
                <w:szCs w:val="24"/>
              </w:rPr>
            </w:pPr>
            <w:r w:rsidRPr="00EA5B5D">
              <w:rPr>
                <w:szCs w:val="24"/>
              </w:rPr>
              <w:t>Дни введения</w:t>
            </w:r>
          </w:p>
        </w:tc>
      </w:tr>
      <w:tr w:rsidR="00A07386" w:rsidRPr="00EA5B5D" w14:paraId="091B26DB" w14:textId="77777777" w:rsidTr="007C3C41">
        <w:trPr>
          <w:trHeight w:val="329"/>
        </w:trPr>
        <w:tc>
          <w:tcPr>
            <w:tcW w:w="2339" w:type="dxa"/>
            <w:tcBorders>
              <w:top w:val="single" w:sz="4" w:space="0" w:color="auto"/>
              <w:left w:val="single" w:sz="4" w:space="0" w:color="auto"/>
              <w:bottom w:val="single" w:sz="4" w:space="0" w:color="auto"/>
              <w:right w:val="single" w:sz="4" w:space="0" w:color="auto"/>
            </w:tcBorders>
            <w:hideMark/>
          </w:tcPr>
          <w:p w14:paraId="62B9697E" w14:textId="77777777" w:rsidR="00A07386" w:rsidRPr="002415BA" w:rsidRDefault="00A07386" w:rsidP="007C3C41">
            <w:pPr>
              <w:spacing w:line="240" w:lineRule="auto"/>
              <w:ind w:firstLine="0"/>
              <w:jc w:val="left"/>
              <w:rPr>
                <w:szCs w:val="24"/>
              </w:rPr>
            </w:pPr>
            <w:r w:rsidRPr="002415BA">
              <w:rPr>
                <w:szCs w:val="24"/>
              </w:rPr>
              <w:t>#</w:t>
            </w:r>
            <w:r>
              <w:rPr>
                <w:szCs w:val="24"/>
              </w:rPr>
              <w:t>Ритуксимаб</w:t>
            </w:r>
            <w:r w:rsidRPr="002415BA">
              <w:rPr>
                <w:szCs w:val="24"/>
              </w:rPr>
              <w:t>**</w:t>
            </w:r>
          </w:p>
        </w:tc>
        <w:tc>
          <w:tcPr>
            <w:tcW w:w="2339" w:type="dxa"/>
            <w:tcBorders>
              <w:top w:val="single" w:sz="4" w:space="0" w:color="auto"/>
              <w:left w:val="single" w:sz="4" w:space="0" w:color="auto"/>
              <w:bottom w:val="single" w:sz="4" w:space="0" w:color="auto"/>
              <w:right w:val="single" w:sz="4" w:space="0" w:color="auto"/>
            </w:tcBorders>
          </w:tcPr>
          <w:p w14:paraId="7E10EC99" w14:textId="77777777" w:rsidR="00A07386" w:rsidRPr="003E2397" w:rsidRDefault="00A07386" w:rsidP="007C3C41">
            <w:pPr>
              <w:spacing w:line="240" w:lineRule="auto"/>
              <w:ind w:firstLine="0"/>
              <w:jc w:val="left"/>
              <w:rPr>
                <w:szCs w:val="24"/>
              </w:rPr>
            </w:pPr>
            <w:r>
              <w:rPr>
                <w:szCs w:val="24"/>
              </w:rPr>
              <w:t>375</w:t>
            </w:r>
            <w:r w:rsidRPr="003E2397">
              <w:rPr>
                <w:szCs w:val="24"/>
              </w:rPr>
              <w:t xml:space="preserve"> мг/м</w:t>
            </w:r>
            <w:r w:rsidRPr="003E2397">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6A51A403" w14:textId="77777777" w:rsidR="00A07386" w:rsidRPr="003E2397" w:rsidRDefault="00A07386" w:rsidP="007C3C41">
            <w:pPr>
              <w:spacing w:line="240" w:lineRule="auto"/>
              <w:ind w:firstLine="0"/>
              <w:jc w:val="left"/>
              <w:rPr>
                <w:szCs w:val="24"/>
              </w:rPr>
            </w:pPr>
            <w:r w:rsidRPr="003E2397">
              <w:rPr>
                <w:szCs w:val="24"/>
              </w:rPr>
              <w:t>в/в</w:t>
            </w:r>
            <w:r>
              <w:rPr>
                <w:szCs w:val="24"/>
              </w:rPr>
              <w:t xml:space="preserve"> кап.</w:t>
            </w:r>
          </w:p>
        </w:tc>
        <w:tc>
          <w:tcPr>
            <w:tcW w:w="2339" w:type="dxa"/>
            <w:tcBorders>
              <w:top w:val="single" w:sz="4" w:space="0" w:color="auto"/>
              <w:left w:val="single" w:sz="4" w:space="0" w:color="auto"/>
              <w:bottom w:val="single" w:sz="4" w:space="0" w:color="auto"/>
              <w:right w:val="single" w:sz="4" w:space="0" w:color="auto"/>
            </w:tcBorders>
          </w:tcPr>
          <w:p w14:paraId="590DFFCC" w14:textId="77777777" w:rsidR="00A07386" w:rsidRPr="003E2397" w:rsidRDefault="00A07386" w:rsidP="007C3C41">
            <w:pPr>
              <w:spacing w:line="240" w:lineRule="auto"/>
              <w:ind w:firstLine="0"/>
              <w:jc w:val="left"/>
              <w:rPr>
                <w:szCs w:val="24"/>
              </w:rPr>
            </w:pPr>
            <w:r>
              <w:rPr>
                <w:szCs w:val="24"/>
              </w:rPr>
              <w:t>0 или 1</w:t>
            </w:r>
          </w:p>
        </w:tc>
      </w:tr>
      <w:tr w:rsidR="00A07386" w:rsidRPr="00EA5B5D" w14:paraId="3DFA9F46" w14:textId="77777777" w:rsidTr="007C3C41">
        <w:trPr>
          <w:trHeight w:val="329"/>
        </w:trPr>
        <w:tc>
          <w:tcPr>
            <w:tcW w:w="2339" w:type="dxa"/>
            <w:tcBorders>
              <w:top w:val="single" w:sz="4" w:space="0" w:color="auto"/>
              <w:left w:val="single" w:sz="4" w:space="0" w:color="auto"/>
              <w:bottom w:val="single" w:sz="4" w:space="0" w:color="auto"/>
              <w:right w:val="single" w:sz="4" w:space="0" w:color="auto"/>
            </w:tcBorders>
            <w:hideMark/>
          </w:tcPr>
          <w:p w14:paraId="71AE48B1" w14:textId="77777777" w:rsidR="00A07386" w:rsidRPr="003E2397" w:rsidRDefault="00A07386" w:rsidP="007C3C41">
            <w:pPr>
              <w:spacing w:line="240" w:lineRule="auto"/>
              <w:ind w:firstLine="0"/>
              <w:jc w:val="left"/>
              <w:rPr>
                <w:szCs w:val="24"/>
              </w:rPr>
            </w:pPr>
            <w:r>
              <w:rPr>
                <w:szCs w:val="24"/>
              </w:rPr>
              <w:t>Доксорубицин</w:t>
            </w:r>
            <w:r w:rsidRPr="00D254F2">
              <w:rPr>
                <w:szCs w:val="24"/>
              </w:rPr>
              <w:t>**</w:t>
            </w:r>
          </w:p>
        </w:tc>
        <w:tc>
          <w:tcPr>
            <w:tcW w:w="2339" w:type="dxa"/>
            <w:tcBorders>
              <w:top w:val="single" w:sz="4" w:space="0" w:color="auto"/>
              <w:left w:val="single" w:sz="4" w:space="0" w:color="auto"/>
              <w:bottom w:val="single" w:sz="4" w:space="0" w:color="auto"/>
              <w:right w:val="single" w:sz="4" w:space="0" w:color="auto"/>
            </w:tcBorders>
            <w:hideMark/>
          </w:tcPr>
          <w:p w14:paraId="4627A3CA" w14:textId="77777777" w:rsidR="00A07386" w:rsidRPr="003E2397" w:rsidRDefault="00A07386" w:rsidP="007C3C41">
            <w:pPr>
              <w:spacing w:line="240" w:lineRule="auto"/>
              <w:ind w:firstLine="0"/>
              <w:jc w:val="left"/>
              <w:rPr>
                <w:szCs w:val="24"/>
              </w:rPr>
            </w:pPr>
            <w:r>
              <w:rPr>
                <w:szCs w:val="24"/>
              </w:rPr>
              <w:t>50</w:t>
            </w:r>
            <w:r w:rsidRPr="003E2397">
              <w:rPr>
                <w:szCs w:val="24"/>
              </w:rPr>
              <w:t xml:space="preserve"> мг/м</w:t>
            </w:r>
            <w:r w:rsidRPr="003E2397">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79C34F07" w14:textId="77777777" w:rsidR="00A07386" w:rsidRPr="003E2397" w:rsidRDefault="00A07386" w:rsidP="007C3C41">
            <w:pPr>
              <w:spacing w:line="240" w:lineRule="auto"/>
              <w:ind w:firstLine="0"/>
              <w:jc w:val="left"/>
              <w:rPr>
                <w:szCs w:val="24"/>
              </w:rPr>
            </w:pPr>
            <w:r w:rsidRPr="003E2397">
              <w:rPr>
                <w:szCs w:val="24"/>
              </w:rPr>
              <w:t>в/в</w:t>
            </w:r>
            <w:r>
              <w:rPr>
                <w:szCs w:val="24"/>
              </w:rPr>
              <w:t xml:space="preserve"> кап.</w:t>
            </w:r>
          </w:p>
        </w:tc>
        <w:tc>
          <w:tcPr>
            <w:tcW w:w="2339" w:type="dxa"/>
            <w:tcBorders>
              <w:top w:val="single" w:sz="4" w:space="0" w:color="auto"/>
              <w:left w:val="single" w:sz="4" w:space="0" w:color="auto"/>
              <w:bottom w:val="single" w:sz="4" w:space="0" w:color="auto"/>
              <w:right w:val="single" w:sz="4" w:space="0" w:color="auto"/>
            </w:tcBorders>
            <w:hideMark/>
          </w:tcPr>
          <w:p w14:paraId="54BBA6CB" w14:textId="77777777" w:rsidR="00A07386" w:rsidRPr="003E2397" w:rsidRDefault="00A07386" w:rsidP="007C3C41">
            <w:pPr>
              <w:spacing w:line="240" w:lineRule="auto"/>
              <w:ind w:firstLine="0"/>
              <w:jc w:val="left"/>
              <w:rPr>
                <w:szCs w:val="24"/>
              </w:rPr>
            </w:pPr>
            <w:r w:rsidRPr="003E2397">
              <w:rPr>
                <w:szCs w:val="24"/>
              </w:rPr>
              <w:t>1</w:t>
            </w:r>
          </w:p>
        </w:tc>
      </w:tr>
      <w:tr w:rsidR="00A07386" w:rsidRPr="00EA5B5D" w14:paraId="46FD845A" w14:textId="77777777" w:rsidTr="007C3C41">
        <w:trPr>
          <w:trHeight w:val="329"/>
        </w:trPr>
        <w:tc>
          <w:tcPr>
            <w:tcW w:w="2339" w:type="dxa"/>
            <w:tcBorders>
              <w:top w:val="single" w:sz="4" w:space="0" w:color="auto"/>
              <w:left w:val="single" w:sz="4" w:space="0" w:color="auto"/>
              <w:bottom w:val="single" w:sz="4" w:space="0" w:color="auto"/>
              <w:right w:val="single" w:sz="4" w:space="0" w:color="auto"/>
            </w:tcBorders>
          </w:tcPr>
          <w:p w14:paraId="52BD1EFD" w14:textId="77777777" w:rsidR="00A07386" w:rsidRPr="003E2397" w:rsidRDefault="00A07386" w:rsidP="007C3C41">
            <w:pPr>
              <w:spacing w:line="240" w:lineRule="auto"/>
              <w:ind w:firstLine="0"/>
              <w:jc w:val="left"/>
              <w:rPr>
                <w:szCs w:val="24"/>
              </w:rPr>
            </w:pPr>
            <w:r>
              <w:rPr>
                <w:szCs w:val="24"/>
              </w:rPr>
              <w:t>Циклофосфамид</w:t>
            </w:r>
            <w:r w:rsidRPr="00D254F2">
              <w:rPr>
                <w:szCs w:val="24"/>
              </w:rPr>
              <w:t>**</w:t>
            </w:r>
          </w:p>
        </w:tc>
        <w:tc>
          <w:tcPr>
            <w:tcW w:w="2339" w:type="dxa"/>
            <w:tcBorders>
              <w:top w:val="single" w:sz="4" w:space="0" w:color="auto"/>
              <w:left w:val="single" w:sz="4" w:space="0" w:color="auto"/>
              <w:bottom w:val="single" w:sz="4" w:space="0" w:color="auto"/>
              <w:right w:val="single" w:sz="4" w:space="0" w:color="auto"/>
            </w:tcBorders>
          </w:tcPr>
          <w:p w14:paraId="3C5AB297" w14:textId="77777777" w:rsidR="00A07386" w:rsidRPr="003E2397" w:rsidRDefault="00A07386" w:rsidP="007C3C41">
            <w:pPr>
              <w:spacing w:line="240" w:lineRule="auto"/>
              <w:ind w:firstLine="0"/>
              <w:jc w:val="left"/>
              <w:rPr>
                <w:szCs w:val="24"/>
              </w:rPr>
            </w:pPr>
            <w:r>
              <w:rPr>
                <w:szCs w:val="24"/>
              </w:rPr>
              <w:t xml:space="preserve">750 </w:t>
            </w:r>
            <w:r w:rsidRPr="003E2397">
              <w:rPr>
                <w:szCs w:val="24"/>
              </w:rPr>
              <w:t>мг/м</w:t>
            </w:r>
            <w:r w:rsidRPr="003E2397">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7E822D28" w14:textId="77777777" w:rsidR="00A07386" w:rsidRPr="003E2397" w:rsidRDefault="00A07386" w:rsidP="007C3C41">
            <w:pPr>
              <w:spacing w:line="240" w:lineRule="auto"/>
              <w:ind w:firstLine="0"/>
              <w:jc w:val="left"/>
              <w:rPr>
                <w:szCs w:val="24"/>
              </w:rPr>
            </w:pPr>
            <w:r w:rsidRPr="003E2397">
              <w:rPr>
                <w:szCs w:val="24"/>
              </w:rPr>
              <w:t>в/в</w:t>
            </w:r>
            <w:r>
              <w:rPr>
                <w:szCs w:val="24"/>
              </w:rPr>
              <w:t xml:space="preserve"> кап.</w:t>
            </w:r>
          </w:p>
        </w:tc>
        <w:tc>
          <w:tcPr>
            <w:tcW w:w="2339" w:type="dxa"/>
            <w:tcBorders>
              <w:top w:val="single" w:sz="4" w:space="0" w:color="auto"/>
              <w:left w:val="single" w:sz="4" w:space="0" w:color="auto"/>
              <w:bottom w:val="single" w:sz="4" w:space="0" w:color="auto"/>
              <w:right w:val="single" w:sz="4" w:space="0" w:color="auto"/>
            </w:tcBorders>
          </w:tcPr>
          <w:p w14:paraId="630B63B8" w14:textId="77777777" w:rsidR="00A07386" w:rsidRPr="003E2397" w:rsidRDefault="00A07386" w:rsidP="007C3C41">
            <w:pPr>
              <w:spacing w:line="240" w:lineRule="auto"/>
              <w:ind w:firstLine="0"/>
              <w:jc w:val="left"/>
              <w:rPr>
                <w:szCs w:val="24"/>
              </w:rPr>
            </w:pPr>
            <w:r w:rsidRPr="003E2397">
              <w:rPr>
                <w:szCs w:val="24"/>
              </w:rPr>
              <w:t>1</w:t>
            </w:r>
          </w:p>
        </w:tc>
      </w:tr>
      <w:tr w:rsidR="00A07386" w:rsidRPr="00EA5B5D" w14:paraId="2941B53A" w14:textId="77777777" w:rsidTr="007C3C41">
        <w:trPr>
          <w:trHeight w:val="329"/>
        </w:trPr>
        <w:tc>
          <w:tcPr>
            <w:tcW w:w="2339" w:type="dxa"/>
            <w:tcBorders>
              <w:top w:val="single" w:sz="4" w:space="0" w:color="auto"/>
              <w:left w:val="single" w:sz="4" w:space="0" w:color="auto"/>
              <w:bottom w:val="single" w:sz="4" w:space="0" w:color="auto"/>
              <w:right w:val="single" w:sz="4" w:space="0" w:color="auto"/>
            </w:tcBorders>
          </w:tcPr>
          <w:p w14:paraId="06CB49DD" w14:textId="77777777" w:rsidR="00A07386" w:rsidRDefault="00A07386" w:rsidP="007C3C41">
            <w:pPr>
              <w:spacing w:line="240" w:lineRule="auto"/>
              <w:ind w:firstLine="0"/>
              <w:jc w:val="left"/>
              <w:rPr>
                <w:szCs w:val="24"/>
              </w:rPr>
            </w:pPr>
            <w:r>
              <w:rPr>
                <w:szCs w:val="24"/>
              </w:rPr>
              <w:t>Винкристин</w:t>
            </w:r>
            <w:r w:rsidRPr="00D254F2">
              <w:rPr>
                <w:szCs w:val="24"/>
              </w:rPr>
              <w:t>**</w:t>
            </w:r>
          </w:p>
        </w:tc>
        <w:tc>
          <w:tcPr>
            <w:tcW w:w="2339" w:type="dxa"/>
            <w:tcBorders>
              <w:top w:val="single" w:sz="4" w:space="0" w:color="auto"/>
              <w:left w:val="single" w:sz="4" w:space="0" w:color="auto"/>
              <w:bottom w:val="single" w:sz="4" w:space="0" w:color="auto"/>
              <w:right w:val="single" w:sz="4" w:space="0" w:color="auto"/>
            </w:tcBorders>
          </w:tcPr>
          <w:p w14:paraId="3FDD5C9B" w14:textId="77777777" w:rsidR="00A07386" w:rsidRPr="003E2397" w:rsidRDefault="00A07386" w:rsidP="007C3C41">
            <w:pPr>
              <w:spacing w:line="240" w:lineRule="auto"/>
              <w:ind w:firstLine="0"/>
              <w:jc w:val="left"/>
              <w:rPr>
                <w:szCs w:val="24"/>
              </w:rPr>
            </w:pPr>
            <w:r w:rsidRPr="00CC7927">
              <w:rPr>
                <w:szCs w:val="24"/>
              </w:rPr>
              <w:t>1,4 мг/м</w:t>
            </w:r>
            <w:r w:rsidRPr="00CC7927">
              <w:rPr>
                <w:szCs w:val="24"/>
                <w:vertAlign w:val="superscript"/>
              </w:rPr>
              <w:t>2</w:t>
            </w:r>
            <w:r w:rsidRPr="00CC7927">
              <w:rPr>
                <w:szCs w:val="24"/>
              </w:rPr>
              <w:t xml:space="preserve"> (не более 2 мг)</w:t>
            </w:r>
          </w:p>
        </w:tc>
        <w:tc>
          <w:tcPr>
            <w:tcW w:w="2339" w:type="dxa"/>
            <w:tcBorders>
              <w:top w:val="single" w:sz="4" w:space="0" w:color="auto"/>
              <w:left w:val="single" w:sz="4" w:space="0" w:color="auto"/>
              <w:bottom w:val="single" w:sz="4" w:space="0" w:color="auto"/>
              <w:right w:val="single" w:sz="4" w:space="0" w:color="auto"/>
            </w:tcBorders>
          </w:tcPr>
          <w:p w14:paraId="2A367E6D" w14:textId="77777777" w:rsidR="00A07386" w:rsidRPr="003E2397" w:rsidRDefault="00A07386" w:rsidP="007C3C41">
            <w:pPr>
              <w:spacing w:line="240" w:lineRule="auto"/>
              <w:ind w:firstLine="0"/>
              <w:jc w:val="left"/>
              <w:rPr>
                <w:szCs w:val="24"/>
              </w:rPr>
            </w:pPr>
            <w:r>
              <w:rPr>
                <w:szCs w:val="24"/>
              </w:rPr>
              <w:t>в/в, за 5-10 мин</w:t>
            </w:r>
          </w:p>
        </w:tc>
        <w:tc>
          <w:tcPr>
            <w:tcW w:w="2339" w:type="dxa"/>
            <w:tcBorders>
              <w:top w:val="single" w:sz="4" w:space="0" w:color="auto"/>
              <w:left w:val="single" w:sz="4" w:space="0" w:color="auto"/>
              <w:bottom w:val="single" w:sz="4" w:space="0" w:color="auto"/>
              <w:right w:val="single" w:sz="4" w:space="0" w:color="auto"/>
            </w:tcBorders>
          </w:tcPr>
          <w:p w14:paraId="079CE674" w14:textId="77777777" w:rsidR="00A07386" w:rsidRPr="003E2397" w:rsidRDefault="00A07386" w:rsidP="007C3C41">
            <w:pPr>
              <w:spacing w:line="240" w:lineRule="auto"/>
              <w:ind w:firstLine="0"/>
              <w:jc w:val="left"/>
              <w:rPr>
                <w:szCs w:val="24"/>
              </w:rPr>
            </w:pPr>
            <w:r>
              <w:rPr>
                <w:szCs w:val="24"/>
              </w:rPr>
              <w:t>1</w:t>
            </w:r>
          </w:p>
        </w:tc>
      </w:tr>
      <w:tr w:rsidR="00A07386" w:rsidRPr="00EA5B5D" w14:paraId="0C8BE14C" w14:textId="77777777" w:rsidTr="007C3C41">
        <w:trPr>
          <w:trHeight w:val="329"/>
        </w:trPr>
        <w:tc>
          <w:tcPr>
            <w:tcW w:w="2339" w:type="dxa"/>
            <w:tcBorders>
              <w:top w:val="single" w:sz="4" w:space="0" w:color="auto"/>
              <w:left w:val="single" w:sz="4" w:space="0" w:color="auto"/>
              <w:bottom w:val="single" w:sz="4" w:space="0" w:color="auto"/>
              <w:right w:val="single" w:sz="4" w:space="0" w:color="auto"/>
            </w:tcBorders>
          </w:tcPr>
          <w:p w14:paraId="58D237AD" w14:textId="77777777" w:rsidR="00A07386" w:rsidRPr="003E2397" w:rsidRDefault="00A07386" w:rsidP="007C3C41">
            <w:pPr>
              <w:spacing w:line="240" w:lineRule="auto"/>
              <w:ind w:firstLine="0"/>
              <w:jc w:val="left"/>
              <w:rPr>
                <w:szCs w:val="24"/>
              </w:rPr>
            </w:pPr>
            <w:r w:rsidRPr="003E2397">
              <w:rPr>
                <w:szCs w:val="24"/>
              </w:rPr>
              <w:t>Преднилозон</w:t>
            </w:r>
            <w:r w:rsidRPr="00D254F2">
              <w:rPr>
                <w:szCs w:val="24"/>
              </w:rPr>
              <w:t>**</w:t>
            </w:r>
          </w:p>
        </w:tc>
        <w:tc>
          <w:tcPr>
            <w:tcW w:w="2339" w:type="dxa"/>
            <w:tcBorders>
              <w:top w:val="single" w:sz="4" w:space="0" w:color="auto"/>
              <w:left w:val="single" w:sz="4" w:space="0" w:color="auto"/>
              <w:bottom w:val="single" w:sz="4" w:space="0" w:color="auto"/>
              <w:right w:val="single" w:sz="4" w:space="0" w:color="auto"/>
            </w:tcBorders>
          </w:tcPr>
          <w:p w14:paraId="13AEDE3D" w14:textId="77777777" w:rsidR="00A07386" w:rsidRPr="003E2397" w:rsidRDefault="00A07386" w:rsidP="007C3C41">
            <w:pPr>
              <w:spacing w:line="240" w:lineRule="auto"/>
              <w:ind w:firstLine="0"/>
              <w:jc w:val="left"/>
              <w:rPr>
                <w:szCs w:val="24"/>
              </w:rPr>
            </w:pPr>
            <w:r>
              <w:rPr>
                <w:szCs w:val="24"/>
              </w:rPr>
              <w:t>100</w:t>
            </w:r>
            <w:r w:rsidRPr="003E2397">
              <w:rPr>
                <w:szCs w:val="24"/>
              </w:rPr>
              <w:t xml:space="preserve"> мг</w:t>
            </w:r>
          </w:p>
        </w:tc>
        <w:tc>
          <w:tcPr>
            <w:tcW w:w="2339" w:type="dxa"/>
            <w:tcBorders>
              <w:top w:val="single" w:sz="4" w:space="0" w:color="auto"/>
              <w:left w:val="single" w:sz="4" w:space="0" w:color="auto"/>
              <w:bottom w:val="single" w:sz="4" w:space="0" w:color="auto"/>
              <w:right w:val="single" w:sz="4" w:space="0" w:color="auto"/>
            </w:tcBorders>
          </w:tcPr>
          <w:p w14:paraId="36907D56" w14:textId="77777777" w:rsidR="00A07386" w:rsidRPr="003E2397" w:rsidRDefault="00A07386" w:rsidP="007C3C41">
            <w:pPr>
              <w:spacing w:line="240" w:lineRule="auto"/>
              <w:ind w:firstLine="0"/>
              <w:jc w:val="left"/>
              <w:rPr>
                <w:szCs w:val="24"/>
              </w:rPr>
            </w:pPr>
            <w:r w:rsidRPr="003E2397">
              <w:rPr>
                <w:szCs w:val="24"/>
              </w:rPr>
              <w:t>внутрь</w:t>
            </w:r>
          </w:p>
        </w:tc>
        <w:tc>
          <w:tcPr>
            <w:tcW w:w="2339" w:type="dxa"/>
            <w:tcBorders>
              <w:top w:val="single" w:sz="4" w:space="0" w:color="auto"/>
              <w:left w:val="single" w:sz="4" w:space="0" w:color="auto"/>
              <w:bottom w:val="single" w:sz="4" w:space="0" w:color="auto"/>
              <w:right w:val="single" w:sz="4" w:space="0" w:color="auto"/>
            </w:tcBorders>
          </w:tcPr>
          <w:p w14:paraId="60252867" w14:textId="77777777" w:rsidR="00A07386" w:rsidRPr="003E2397" w:rsidRDefault="00A07386" w:rsidP="007C3C41">
            <w:pPr>
              <w:spacing w:line="240" w:lineRule="auto"/>
              <w:ind w:firstLine="0"/>
              <w:jc w:val="left"/>
              <w:rPr>
                <w:szCs w:val="24"/>
              </w:rPr>
            </w:pPr>
            <w:r w:rsidRPr="003E2397">
              <w:rPr>
                <w:szCs w:val="24"/>
              </w:rPr>
              <w:t>1-</w:t>
            </w:r>
            <w:r>
              <w:rPr>
                <w:szCs w:val="24"/>
              </w:rPr>
              <w:t>5</w:t>
            </w:r>
          </w:p>
        </w:tc>
      </w:tr>
      <w:tr w:rsidR="00A07386" w:rsidRPr="00EA5B5D" w14:paraId="0234184D" w14:textId="77777777" w:rsidTr="007C3C41">
        <w:tc>
          <w:tcPr>
            <w:tcW w:w="9356" w:type="dxa"/>
            <w:gridSpan w:val="4"/>
            <w:tcBorders>
              <w:top w:val="single" w:sz="4" w:space="0" w:color="auto"/>
              <w:left w:val="single" w:sz="4" w:space="0" w:color="auto"/>
              <w:bottom w:val="single" w:sz="4" w:space="0" w:color="auto"/>
              <w:right w:val="single" w:sz="4" w:space="0" w:color="auto"/>
            </w:tcBorders>
            <w:vAlign w:val="center"/>
          </w:tcPr>
          <w:p w14:paraId="6D4EC6F8" w14:textId="77777777" w:rsidR="008358F4" w:rsidRPr="00EA5B5D" w:rsidRDefault="00A07386" w:rsidP="007C3C41">
            <w:pPr>
              <w:spacing w:line="240" w:lineRule="auto"/>
              <w:ind w:firstLine="0"/>
              <w:jc w:val="left"/>
              <w:rPr>
                <w:szCs w:val="24"/>
              </w:rPr>
            </w:pPr>
            <w:r w:rsidRPr="00EA5B5D">
              <w:rPr>
                <w:szCs w:val="24"/>
              </w:rPr>
              <w:t xml:space="preserve">Лечение возобновляется на </w:t>
            </w:r>
            <w:r>
              <w:rPr>
                <w:szCs w:val="24"/>
              </w:rPr>
              <w:t>22 день</w:t>
            </w:r>
          </w:p>
        </w:tc>
      </w:tr>
    </w:tbl>
    <w:p w14:paraId="2394ED5C" w14:textId="77777777" w:rsidR="008358F4" w:rsidRDefault="008358F4" w:rsidP="002648A0">
      <w:pPr>
        <w:pStyle w:val="afd"/>
        <w:spacing w:beforeAutospacing="0" w:afterAutospacing="0" w:line="360" w:lineRule="auto"/>
        <w:ind w:firstLine="0"/>
        <w:rPr>
          <w:b/>
          <w:bCs/>
          <w:u w:val="single"/>
        </w:rPr>
      </w:pPr>
    </w:p>
    <w:tbl>
      <w:tblPr>
        <w:tblStyle w:val="aff9"/>
        <w:tblW w:w="9356" w:type="dxa"/>
        <w:tblInd w:w="-5" w:type="dxa"/>
        <w:tblLayout w:type="fixed"/>
        <w:tblLook w:val="04A0" w:firstRow="1" w:lastRow="0" w:firstColumn="1" w:lastColumn="0" w:noHBand="0" w:noVBand="1"/>
      </w:tblPr>
      <w:tblGrid>
        <w:gridCol w:w="2339"/>
        <w:gridCol w:w="2339"/>
        <w:gridCol w:w="2339"/>
        <w:gridCol w:w="2339"/>
      </w:tblGrid>
      <w:tr w:rsidR="008358F4" w:rsidRPr="00EA5B5D" w14:paraId="191795FB" w14:textId="77777777" w:rsidTr="004126B6">
        <w:trPr>
          <w:trHeight w:val="329"/>
        </w:trPr>
        <w:tc>
          <w:tcPr>
            <w:tcW w:w="9356" w:type="dxa"/>
            <w:gridSpan w:val="4"/>
            <w:tcBorders>
              <w:top w:val="nil"/>
              <w:left w:val="nil"/>
              <w:bottom w:val="single" w:sz="4" w:space="0" w:color="auto"/>
              <w:right w:val="nil"/>
            </w:tcBorders>
          </w:tcPr>
          <w:p w14:paraId="23629C6C" w14:textId="77777777" w:rsidR="008358F4" w:rsidRPr="002648A0" w:rsidRDefault="008358F4" w:rsidP="004126B6">
            <w:pPr>
              <w:spacing w:line="240" w:lineRule="auto"/>
              <w:ind w:firstLine="0"/>
              <w:jc w:val="left"/>
              <w:rPr>
                <w:b/>
                <w:bCs/>
                <w:szCs w:val="24"/>
              </w:rPr>
            </w:pPr>
            <w:r>
              <w:rPr>
                <w:b/>
                <w:bCs/>
                <w:szCs w:val="24"/>
                <w:lang w:val="en-US"/>
              </w:rPr>
              <w:t>R</w:t>
            </w:r>
            <w:r w:rsidRPr="002648A0">
              <w:rPr>
                <w:b/>
                <w:bCs/>
                <w:szCs w:val="24"/>
              </w:rPr>
              <w:t>-</w:t>
            </w:r>
            <w:r>
              <w:rPr>
                <w:b/>
                <w:bCs/>
                <w:szCs w:val="24"/>
                <w:lang w:val="en-US"/>
              </w:rPr>
              <w:t>CVP</w:t>
            </w:r>
            <w:r w:rsidRPr="002648A0">
              <w:rPr>
                <w:b/>
                <w:bCs/>
                <w:szCs w:val="24"/>
              </w:rPr>
              <w:t xml:space="preserve"> (</w:t>
            </w:r>
            <w:r>
              <w:rPr>
                <w:b/>
                <w:bCs/>
                <w:szCs w:val="24"/>
              </w:rPr>
              <w:t>дозировки для детей и подростков с НЛХЛП)</w:t>
            </w:r>
            <w:r w:rsidR="00B8782E">
              <w:rPr>
                <w:b/>
                <w:bCs/>
                <w:szCs w:val="24"/>
              </w:rPr>
              <w:t xml:space="preserve"> </w:t>
            </w:r>
            <w:r w:rsidR="002451FA">
              <w:fldChar w:fldCharType="begin" w:fldLock="1"/>
            </w:r>
            <w:r w:rsidR="002451FA">
              <w:instrText>ADDIN CSL_CITATION {"citationItems":[{"id":"ITEM-1","itemData":{"DOI":"10.1016/j.ejca.2011.10.018","ISSN":"09598049","abstract":"Purpose: To examine whether three cycles of a low-intensity chemotherapy consisting of cyclophosphamide [500 mg/m 2 - day 1], vinblastine [6 mg/m 2 - days 1 and 8] and prednisolone [40 mg/m 2 - days 1-7] (CVP) is safe and therapeutically effective in children and adolescents with early stage nodular lymphocyte predominant Hodgkin lymphoma [nLPHL]. Patients and methods: Fifty-five children and adolescents with early stage nLPHL [median age 13 years, range 4-17 years] diagnosed between June 2005 and October 2010 in the UK and France are the subjects of this report. Staging investigations included conventional cross sectional as well as 18 fluro-deoxyglucose [FDG] PET imaging. Histology was confirmed as nLPHL by an expert pathology panel. Results: Of the 45 patients, who received CVP as first line treatment, 36 [80%, 95% Confidence Interval [CI]: (68; 92)] either achieved a complete remission [CR] or CR unconfirmed [CRu], the remaining nine patients achieved a partial response. All nine subsequently achieved CR with salvage chemotherapy [n = 7] or radiotherapy [n = 2]. Ten patients received CVP at relapse after primary treatment that consisted of surgery alone and all achieved CR. To date, only three patients have relapsed after CVP chemotherapy and all had received CVP as first line treatment at initial diagnosis. The 40-month freedom from treatment failure and overall survival for the entire cohort were 75.4% (SE ± 6%) and 100%, respectively. No significant early toxicity was observed. Conclusions: Our results show that CVP is an effective chemotherapy regimen in children and adolescents with early stage nLPHL that is well tolerated with minimal acute toxicity. © 2011 Elsevier Ltd. All rights reserved.","author":[{"dropping-particle":"","family":"Shankar","given":"Ananth","non-dropping-particle":"","parse-names":false,"suffix":""},{"dropping-particle":"","family":"Hall","given":"Georgina W.","non-dropping-particle":"","parse-names":false,"suffix":""},{"dropping-particle":"","family":"Gorde-Grosjean","given":"Stephanie","non-dropping-particle":"","parse-names":false,"suffix":""},{"dropping-particle":"","family":"Hasenclever","given":"Dirk","non-dropping-particle":"","parse-names":false,"suffix":""},{"dropping-particle":"","family":"Leblanc","given":"Thierry","non-dropping-particle":"","parse-names":false,"suffix":""},{"dropping-particle":"","family":"Hayward","given":"Janis","non-dropping-particle":"","parse-names":false,"suffix":""},{"dropping-particle":"","family":"Lambilliotte","given":"Anne","non-dropping-particle":"","parse-names":false,"suffix":""},{"dropping-particle":"","family":"Daw","given":"Stephen","non-dropping-particle":"","parse-names":false,"suffix":""},{"dropping-particle":"","family":"Perel","given":"Yves","non-dropping-particle":"","parse-names":false,"suffix":""},{"dropping-particle":"","family":"McCarthy","given":"Keith","non-dropping-particle":"","parse-names":false,"suffix":""},{"dropping-particle":"","family":"Lejars","given":"Odile","non-dropping-particle":"","parse-names":false,"suffix":""},{"dropping-particle":"","family":"Coulomb","given":"Aurore","non-dropping-particle":"","parse-names":false,"suffix":""},{"dropping-particle":"","family":"Oberlin","given":"W. Odile","non-dropping-particle":"","parse-names":false,"suffix":""},{"dropping-particle":"","family":"Wallace","given":"W. Hamish","non-dropping-particle":"","parse-names":false,"suffix":""},{"dropping-particle":"","family":"Landman-Parker","given":"Judith","non-dropping-particle":"","parse-names":false,"suffix":""}],"container-title":"European Journal of Cancer","id":"ITEM-1","issue":"11","issued":{"date-parts":[["2012","7"]]},"page":"1700-1706","title":"Treatment outcome after low intensity chemotherapy [CVP] in children and adolescents with early stage nodular lymphocyte predominant Hodgkin's lymphoma - An Anglo-French collaborative report","type":"article-journal","volume":"48"},"uris":["http://www.mendeley.com/documents/?uuid=2a3717b9-ce82-3fd9-b87c-12d372e48e32","http://www.mendeley.com/documents/?uuid=822696d9-f260-4edf-9a87-4671cd75b270"]}],"mendeley":{"formattedCitation":"[55]","plainTextFormattedCitation":"[55]","previouslyFormattedCitation":"[55]"},"properties":{"noteIndex":0},"schema":"https://github.com/citation-style-language/schema/raw/master/csl-citation.json"}</w:instrText>
            </w:r>
            <w:r w:rsidR="002451FA">
              <w:fldChar w:fldCharType="separate"/>
            </w:r>
            <w:r w:rsidR="002451FA" w:rsidRPr="00B5143A">
              <w:rPr>
                <w:noProof/>
              </w:rPr>
              <w:t>[55]</w:t>
            </w:r>
            <w:r w:rsidR="002451FA">
              <w:fldChar w:fldCharType="end"/>
            </w:r>
          </w:p>
        </w:tc>
      </w:tr>
      <w:tr w:rsidR="008358F4" w:rsidRPr="00EA5B5D" w14:paraId="096C156D" w14:textId="77777777" w:rsidTr="004126B6">
        <w:trPr>
          <w:trHeight w:val="329"/>
        </w:trPr>
        <w:tc>
          <w:tcPr>
            <w:tcW w:w="2339" w:type="dxa"/>
            <w:tcBorders>
              <w:top w:val="single" w:sz="4" w:space="0" w:color="auto"/>
              <w:left w:val="single" w:sz="4" w:space="0" w:color="auto"/>
              <w:bottom w:val="single" w:sz="4" w:space="0" w:color="auto"/>
              <w:right w:val="single" w:sz="4" w:space="0" w:color="auto"/>
            </w:tcBorders>
            <w:hideMark/>
          </w:tcPr>
          <w:p w14:paraId="38E1813F" w14:textId="77777777" w:rsidR="008358F4" w:rsidRPr="00EA5B5D" w:rsidRDefault="008358F4" w:rsidP="004126B6">
            <w:pPr>
              <w:spacing w:line="240" w:lineRule="auto"/>
              <w:ind w:firstLine="0"/>
              <w:jc w:val="left"/>
              <w:rPr>
                <w:szCs w:val="24"/>
              </w:rPr>
            </w:pPr>
            <w:r w:rsidRPr="00EA5B5D">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3E28172B" w14:textId="77777777" w:rsidR="008358F4" w:rsidRPr="00EA5B5D" w:rsidRDefault="008358F4" w:rsidP="004126B6">
            <w:pPr>
              <w:spacing w:line="240" w:lineRule="auto"/>
              <w:ind w:firstLine="0"/>
              <w:jc w:val="left"/>
              <w:rPr>
                <w:szCs w:val="24"/>
              </w:rPr>
            </w:pPr>
            <w:r w:rsidRPr="00EA5B5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230D98D3" w14:textId="77777777" w:rsidR="008358F4" w:rsidRPr="00EA5B5D" w:rsidRDefault="008358F4" w:rsidP="004126B6">
            <w:pPr>
              <w:spacing w:line="240" w:lineRule="auto"/>
              <w:ind w:firstLine="0"/>
              <w:jc w:val="left"/>
              <w:rPr>
                <w:szCs w:val="24"/>
              </w:rPr>
            </w:pPr>
            <w:r w:rsidRPr="00EA5B5D">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5BACA613" w14:textId="77777777" w:rsidR="008358F4" w:rsidRPr="00EA5B5D" w:rsidRDefault="008358F4" w:rsidP="004126B6">
            <w:pPr>
              <w:spacing w:line="240" w:lineRule="auto"/>
              <w:ind w:firstLine="0"/>
              <w:jc w:val="left"/>
              <w:rPr>
                <w:szCs w:val="24"/>
              </w:rPr>
            </w:pPr>
            <w:r w:rsidRPr="00EA5B5D">
              <w:rPr>
                <w:szCs w:val="24"/>
              </w:rPr>
              <w:t>Дни введения</w:t>
            </w:r>
          </w:p>
        </w:tc>
      </w:tr>
      <w:tr w:rsidR="008358F4" w:rsidRPr="00EA5B5D" w14:paraId="34484F28" w14:textId="77777777" w:rsidTr="004126B6">
        <w:trPr>
          <w:trHeight w:val="329"/>
        </w:trPr>
        <w:tc>
          <w:tcPr>
            <w:tcW w:w="2339" w:type="dxa"/>
            <w:tcBorders>
              <w:top w:val="single" w:sz="4" w:space="0" w:color="auto"/>
              <w:left w:val="single" w:sz="4" w:space="0" w:color="auto"/>
              <w:bottom w:val="single" w:sz="4" w:space="0" w:color="auto"/>
              <w:right w:val="single" w:sz="4" w:space="0" w:color="auto"/>
            </w:tcBorders>
          </w:tcPr>
          <w:p w14:paraId="127EA701" w14:textId="77777777" w:rsidR="008358F4" w:rsidRPr="002177F4" w:rsidRDefault="008358F4" w:rsidP="008358F4">
            <w:pPr>
              <w:spacing w:line="240" w:lineRule="auto"/>
              <w:ind w:firstLine="0"/>
              <w:jc w:val="left"/>
              <w:rPr>
                <w:szCs w:val="24"/>
              </w:rPr>
            </w:pPr>
            <w:r w:rsidRPr="002415BA">
              <w:rPr>
                <w:szCs w:val="24"/>
              </w:rPr>
              <w:t>#</w:t>
            </w:r>
            <w:r>
              <w:rPr>
                <w:szCs w:val="24"/>
              </w:rPr>
              <w:t>Ритуксимаб</w:t>
            </w:r>
            <w:r w:rsidRPr="002415BA">
              <w:rPr>
                <w:szCs w:val="24"/>
              </w:rPr>
              <w:t>**</w:t>
            </w:r>
          </w:p>
        </w:tc>
        <w:tc>
          <w:tcPr>
            <w:tcW w:w="2339" w:type="dxa"/>
            <w:tcBorders>
              <w:top w:val="single" w:sz="4" w:space="0" w:color="auto"/>
              <w:left w:val="single" w:sz="4" w:space="0" w:color="auto"/>
              <w:bottom w:val="single" w:sz="4" w:space="0" w:color="auto"/>
              <w:right w:val="single" w:sz="4" w:space="0" w:color="auto"/>
            </w:tcBorders>
          </w:tcPr>
          <w:p w14:paraId="1FD991E1" w14:textId="77777777" w:rsidR="008358F4" w:rsidRPr="002177F4" w:rsidRDefault="008358F4" w:rsidP="008358F4">
            <w:pPr>
              <w:spacing w:line="240" w:lineRule="auto"/>
              <w:ind w:firstLine="0"/>
              <w:jc w:val="left"/>
              <w:rPr>
                <w:szCs w:val="24"/>
              </w:rPr>
            </w:pPr>
            <w:r>
              <w:rPr>
                <w:szCs w:val="24"/>
              </w:rPr>
              <w:t>375</w:t>
            </w:r>
            <w:r w:rsidRPr="003E2397">
              <w:rPr>
                <w:szCs w:val="24"/>
              </w:rPr>
              <w:t xml:space="preserve"> мг/м</w:t>
            </w:r>
            <w:r w:rsidRPr="003E2397">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78BE2745" w14:textId="77777777" w:rsidR="008358F4" w:rsidRPr="002177F4" w:rsidRDefault="008358F4" w:rsidP="008358F4">
            <w:pPr>
              <w:spacing w:line="240" w:lineRule="auto"/>
              <w:ind w:firstLine="0"/>
              <w:jc w:val="left"/>
              <w:rPr>
                <w:szCs w:val="24"/>
              </w:rPr>
            </w:pPr>
            <w:r w:rsidRPr="003E2397">
              <w:rPr>
                <w:szCs w:val="24"/>
              </w:rPr>
              <w:t>в/в</w:t>
            </w:r>
            <w:r>
              <w:rPr>
                <w:szCs w:val="24"/>
              </w:rPr>
              <w:t xml:space="preserve"> кап.</w:t>
            </w:r>
          </w:p>
        </w:tc>
        <w:tc>
          <w:tcPr>
            <w:tcW w:w="2339" w:type="dxa"/>
            <w:tcBorders>
              <w:top w:val="single" w:sz="4" w:space="0" w:color="auto"/>
              <w:left w:val="single" w:sz="4" w:space="0" w:color="auto"/>
              <w:bottom w:val="single" w:sz="4" w:space="0" w:color="auto"/>
              <w:right w:val="single" w:sz="4" w:space="0" w:color="auto"/>
            </w:tcBorders>
          </w:tcPr>
          <w:p w14:paraId="31F58DA9" w14:textId="77777777" w:rsidR="008358F4" w:rsidRPr="002177F4" w:rsidRDefault="008358F4" w:rsidP="008358F4">
            <w:pPr>
              <w:spacing w:line="240" w:lineRule="auto"/>
              <w:ind w:firstLine="0"/>
              <w:jc w:val="left"/>
              <w:rPr>
                <w:szCs w:val="24"/>
              </w:rPr>
            </w:pPr>
            <w:r>
              <w:rPr>
                <w:szCs w:val="24"/>
              </w:rPr>
              <w:t>0 или 1</w:t>
            </w:r>
          </w:p>
        </w:tc>
      </w:tr>
      <w:tr w:rsidR="008358F4" w:rsidRPr="00EA5B5D" w14:paraId="0D362B5F" w14:textId="77777777" w:rsidTr="004126B6">
        <w:trPr>
          <w:trHeight w:val="329"/>
        </w:trPr>
        <w:tc>
          <w:tcPr>
            <w:tcW w:w="2339" w:type="dxa"/>
            <w:tcBorders>
              <w:top w:val="single" w:sz="4" w:space="0" w:color="auto"/>
              <w:left w:val="single" w:sz="4" w:space="0" w:color="auto"/>
              <w:bottom w:val="single" w:sz="4" w:space="0" w:color="auto"/>
              <w:right w:val="single" w:sz="4" w:space="0" w:color="auto"/>
            </w:tcBorders>
            <w:hideMark/>
          </w:tcPr>
          <w:p w14:paraId="5511854D" w14:textId="77777777" w:rsidR="008358F4" w:rsidRPr="002177F4" w:rsidRDefault="008358F4" w:rsidP="008358F4">
            <w:pPr>
              <w:spacing w:line="240" w:lineRule="auto"/>
              <w:ind w:firstLine="0"/>
              <w:jc w:val="left"/>
              <w:rPr>
                <w:szCs w:val="24"/>
              </w:rPr>
            </w:pPr>
            <w:r w:rsidRPr="002177F4">
              <w:rPr>
                <w:szCs w:val="24"/>
              </w:rPr>
              <w:t>Циклофосфа</w:t>
            </w:r>
            <w:r>
              <w:rPr>
                <w:szCs w:val="24"/>
              </w:rPr>
              <w:t>мид</w:t>
            </w:r>
            <w:r w:rsidRPr="002415BA">
              <w:rPr>
                <w:szCs w:val="24"/>
              </w:rPr>
              <w:t>**</w:t>
            </w:r>
          </w:p>
        </w:tc>
        <w:tc>
          <w:tcPr>
            <w:tcW w:w="2339" w:type="dxa"/>
            <w:tcBorders>
              <w:top w:val="single" w:sz="4" w:space="0" w:color="auto"/>
              <w:left w:val="single" w:sz="4" w:space="0" w:color="auto"/>
              <w:bottom w:val="single" w:sz="4" w:space="0" w:color="auto"/>
              <w:right w:val="single" w:sz="4" w:space="0" w:color="auto"/>
            </w:tcBorders>
          </w:tcPr>
          <w:p w14:paraId="1C33B7A9" w14:textId="77777777" w:rsidR="008358F4" w:rsidRPr="002177F4" w:rsidRDefault="008358F4" w:rsidP="008358F4">
            <w:pPr>
              <w:spacing w:line="240" w:lineRule="auto"/>
              <w:ind w:firstLine="0"/>
              <w:jc w:val="left"/>
              <w:rPr>
                <w:szCs w:val="24"/>
              </w:rPr>
            </w:pPr>
            <w:r>
              <w:rPr>
                <w:szCs w:val="24"/>
              </w:rPr>
              <w:t>5</w:t>
            </w:r>
            <w:r w:rsidRPr="002177F4">
              <w:rPr>
                <w:szCs w:val="24"/>
              </w:rPr>
              <w:t>00 мг/м</w:t>
            </w:r>
            <w:r w:rsidRPr="002177F4">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07199C53" w14:textId="77777777" w:rsidR="008358F4" w:rsidRPr="002177F4" w:rsidRDefault="008358F4" w:rsidP="008358F4">
            <w:pPr>
              <w:spacing w:line="240" w:lineRule="auto"/>
              <w:ind w:firstLine="0"/>
              <w:jc w:val="left"/>
              <w:rPr>
                <w:szCs w:val="24"/>
              </w:rPr>
            </w:pPr>
            <w:r w:rsidRPr="002177F4">
              <w:rPr>
                <w:szCs w:val="24"/>
              </w:rPr>
              <w:t>в/в</w:t>
            </w:r>
          </w:p>
        </w:tc>
        <w:tc>
          <w:tcPr>
            <w:tcW w:w="2339" w:type="dxa"/>
            <w:tcBorders>
              <w:top w:val="single" w:sz="4" w:space="0" w:color="auto"/>
              <w:left w:val="single" w:sz="4" w:space="0" w:color="auto"/>
              <w:bottom w:val="single" w:sz="4" w:space="0" w:color="auto"/>
              <w:right w:val="single" w:sz="4" w:space="0" w:color="auto"/>
            </w:tcBorders>
          </w:tcPr>
          <w:p w14:paraId="7C8ECC07" w14:textId="77777777" w:rsidR="008358F4" w:rsidRPr="002177F4" w:rsidRDefault="008358F4" w:rsidP="008358F4">
            <w:pPr>
              <w:spacing w:line="240" w:lineRule="auto"/>
              <w:ind w:firstLine="0"/>
              <w:jc w:val="left"/>
              <w:rPr>
                <w:szCs w:val="24"/>
              </w:rPr>
            </w:pPr>
            <w:r w:rsidRPr="002177F4">
              <w:rPr>
                <w:szCs w:val="24"/>
              </w:rPr>
              <w:t>1</w:t>
            </w:r>
          </w:p>
        </w:tc>
      </w:tr>
      <w:tr w:rsidR="008358F4" w:rsidRPr="00EA5B5D" w14:paraId="5F079A12" w14:textId="77777777" w:rsidTr="004126B6">
        <w:trPr>
          <w:trHeight w:val="329"/>
        </w:trPr>
        <w:tc>
          <w:tcPr>
            <w:tcW w:w="2339" w:type="dxa"/>
            <w:tcBorders>
              <w:top w:val="single" w:sz="4" w:space="0" w:color="auto"/>
              <w:left w:val="single" w:sz="4" w:space="0" w:color="auto"/>
              <w:bottom w:val="single" w:sz="4" w:space="0" w:color="auto"/>
              <w:right w:val="single" w:sz="4" w:space="0" w:color="auto"/>
            </w:tcBorders>
            <w:hideMark/>
          </w:tcPr>
          <w:p w14:paraId="722A94AE" w14:textId="77777777" w:rsidR="008358F4" w:rsidRPr="002177F4" w:rsidRDefault="008358F4" w:rsidP="008358F4">
            <w:pPr>
              <w:spacing w:line="240" w:lineRule="auto"/>
              <w:ind w:firstLine="0"/>
              <w:jc w:val="left"/>
              <w:rPr>
                <w:szCs w:val="24"/>
              </w:rPr>
            </w:pPr>
            <w:r w:rsidRPr="002177F4">
              <w:rPr>
                <w:szCs w:val="24"/>
              </w:rPr>
              <w:t>Винбластин</w:t>
            </w:r>
            <w:r w:rsidRPr="002415BA">
              <w:rPr>
                <w:szCs w:val="24"/>
              </w:rPr>
              <w:t>**</w:t>
            </w:r>
          </w:p>
        </w:tc>
        <w:tc>
          <w:tcPr>
            <w:tcW w:w="2339" w:type="dxa"/>
            <w:tcBorders>
              <w:top w:val="single" w:sz="4" w:space="0" w:color="auto"/>
              <w:left w:val="single" w:sz="4" w:space="0" w:color="auto"/>
              <w:bottom w:val="single" w:sz="4" w:space="0" w:color="auto"/>
              <w:right w:val="single" w:sz="4" w:space="0" w:color="auto"/>
            </w:tcBorders>
            <w:hideMark/>
          </w:tcPr>
          <w:p w14:paraId="6696C7C0" w14:textId="77777777" w:rsidR="008358F4" w:rsidRPr="002177F4" w:rsidRDefault="008358F4" w:rsidP="008358F4">
            <w:pPr>
              <w:spacing w:line="240" w:lineRule="auto"/>
              <w:ind w:firstLine="0"/>
              <w:jc w:val="left"/>
              <w:rPr>
                <w:szCs w:val="24"/>
              </w:rPr>
            </w:pPr>
            <w:r w:rsidRPr="002177F4">
              <w:rPr>
                <w:szCs w:val="24"/>
              </w:rPr>
              <w:t>6 мг/м</w:t>
            </w:r>
            <w:r w:rsidRPr="002177F4">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417A0A5C" w14:textId="77777777" w:rsidR="008358F4" w:rsidRPr="002177F4" w:rsidRDefault="008358F4" w:rsidP="008358F4">
            <w:pPr>
              <w:spacing w:line="240" w:lineRule="auto"/>
              <w:ind w:firstLine="0"/>
              <w:jc w:val="left"/>
              <w:rPr>
                <w:szCs w:val="24"/>
              </w:rPr>
            </w:pPr>
            <w:r w:rsidRPr="002177F4">
              <w:rPr>
                <w:szCs w:val="24"/>
              </w:rPr>
              <w:t>в/в</w:t>
            </w:r>
          </w:p>
        </w:tc>
        <w:tc>
          <w:tcPr>
            <w:tcW w:w="2339" w:type="dxa"/>
            <w:tcBorders>
              <w:top w:val="single" w:sz="4" w:space="0" w:color="auto"/>
              <w:left w:val="single" w:sz="4" w:space="0" w:color="auto"/>
              <w:bottom w:val="single" w:sz="4" w:space="0" w:color="auto"/>
              <w:right w:val="single" w:sz="4" w:space="0" w:color="auto"/>
            </w:tcBorders>
            <w:hideMark/>
          </w:tcPr>
          <w:p w14:paraId="01EC3DB2" w14:textId="77777777" w:rsidR="008358F4" w:rsidRPr="002177F4" w:rsidRDefault="008358F4" w:rsidP="008358F4">
            <w:pPr>
              <w:spacing w:line="240" w:lineRule="auto"/>
              <w:ind w:firstLine="0"/>
              <w:jc w:val="left"/>
              <w:rPr>
                <w:szCs w:val="24"/>
              </w:rPr>
            </w:pPr>
            <w:r w:rsidRPr="002177F4">
              <w:rPr>
                <w:szCs w:val="24"/>
              </w:rPr>
              <w:t>1</w:t>
            </w:r>
            <w:r>
              <w:rPr>
                <w:szCs w:val="24"/>
              </w:rPr>
              <w:t>, 8</w:t>
            </w:r>
          </w:p>
        </w:tc>
      </w:tr>
      <w:tr w:rsidR="008358F4" w:rsidRPr="00EA5B5D" w14:paraId="194F9A71" w14:textId="77777777" w:rsidTr="004126B6">
        <w:trPr>
          <w:trHeight w:val="329"/>
        </w:trPr>
        <w:tc>
          <w:tcPr>
            <w:tcW w:w="2339" w:type="dxa"/>
            <w:tcBorders>
              <w:top w:val="single" w:sz="4" w:space="0" w:color="auto"/>
              <w:left w:val="single" w:sz="4" w:space="0" w:color="auto"/>
              <w:bottom w:val="single" w:sz="4" w:space="0" w:color="auto"/>
              <w:right w:val="single" w:sz="4" w:space="0" w:color="auto"/>
            </w:tcBorders>
          </w:tcPr>
          <w:p w14:paraId="41AE9E86" w14:textId="77777777" w:rsidR="008358F4" w:rsidRPr="002415BA" w:rsidRDefault="008358F4" w:rsidP="008358F4">
            <w:pPr>
              <w:spacing w:line="240" w:lineRule="auto"/>
              <w:ind w:firstLine="0"/>
              <w:jc w:val="left"/>
              <w:rPr>
                <w:szCs w:val="24"/>
              </w:rPr>
            </w:pPr>
            <w:r w:rsidRPr="002177F4">
              <w:rPr>
                <w:szCs w:val="24"/>
              </w:rPr>
              <w:t>Преднизолон</w:t>
            </w:r>
            <w:r w:rsidRPr="002415BA">
              <w:rPr>
                <w:szCs w:val="24"/>
              </w:rPr>
              <w:t>**</w:t>
            </w:r>
          </w:p>
        </w:tc>
        <w:tc>
          <w:tcPr>
            <w:tcW w:w="2339" w:type="dxa"/>
            <w:tcBorders>
              <w:top w:val="single" w:sz="4" w:space="0" w:color="auto"/>
              <w:left w:val="single" w:sz="4" w:space="0" w:color="auto"/>
              <w:bottom w:val="single" w:sz="4" w:space="0" w:color="auto"/>
              <w:right w:val="single" w:sz="4" w:space="0" w:color="auto"/>
            </w:tcBorders>
          </w:tcPr>
          <w:p w14:paraId="6304606E" w14:textId="77777777" w:rsidR="008358F4" w:rsidRPr="002177F4" w:rsidRDefault="008358F4" w:rsidP="008358F4">
            <w:pPr>
              <w:spacing w:line="240" w:lineRule="auto"/>
              <w:ind w:firstLine="0"/>
              <w:jc w:val="left"/>
              <w:rPr>
                <w:szCs w:val="24"/>
              </w:rPr>
            </w:pPr>
            <w:r w:rsidRPr="002177F4">
              <w:rPr>
                <w:szCs w:val="24"/>
              </w:rPr>
              <w:t>40 мг/м</w:t>
            </w:r>
            <w:r w:rsidRPr="002177F4">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39F44F6D" w14:textId="77777777" w:rsidR="008358F4" w:rsidRPr="002177F4" w:rsidRDefault="008358F4" w:rsidP="008358F4">
            <w:pPr>
              <w:spacing w:line="240" w:lineRule="auto"/>
              <w:ind w:firstLine="0"/>
              <w:jc w:val="left"/>
              <w:rPr>
                <w:szCs w:val="24"/>
              </w:rPr>
            </w:pPr>
            <w:r w:rsidRPr="002177F4">
              <w:rPr>
                <w:szCs w:val="24"/>
              </w:rPr>
              <w:t>внутрь</w:t>
            </w:r>
          </w:p>
        </w:tc>
        <w:tc>
          <w:tcPr>
            <w:tcW w:w="2339" w:type="dxa"/>
            <w:tcBorders>
              <w:top w:val="single" w:sz="4" w:space="0" w:color="auto"/>
              <w:left w:val="single" w:sz="4" w:space="0" w:color="auto"/>
              <w:bottom w:val="single" w:sz="4" w:space="0" w:color="auto"/>
              <w:right w:val="single" w:sz="4" w:space="0" w:color="auto"/>
            </w:tcBorders>
          </w:tcPr>
          <w:p w14:paraId="6C97DEEA" w14:textId="77777777" w:rsidR="008358F4" w:rsidRPr="002415BA" w:rsidRDefault="008358F4" w:rsidP="008358F4">
            <w:pPr>
              <w:spacing w:line="240" w:lineRule="auto"/>
              <w:ind w:firstLine="0"/>
              <w:jc w:val="left"/>
              <w:rPr>
                <w:szCs w:val="24"/>
              </w:rPr>
            </w:pPr>
            <w:r w:rsidRPr="002177F4">
              <w:rPr>
                <w:szCs w:val="24"/>
              </w:rPr>
              <w:t>1-</w:t>
            </w:r>
            <w:r>
              <w:rPr>
                <w:szCs w:val="24"/>
              </w:rPr>
              <w:t>8</w:t>
            </w:r>
          </w:p>
        </w:tc>
      </w:tr>
      <w:tr w:rsidR="008358F4" w:rsidRPr="00EA5B5D" w14:paraId="655C4E20" w14:textId="77777777" w:rsidTr="004126B6">
        <w:tc>
          <w:tcPr>
            <w:tcW w:w="9356" w:type="dxa"/>
            <w:gridSpan w:val="4"/>
            <w:tcBorders>
              <w:top w:val="single" w:sz="4" w:space="0" w:color="auto"/>
              <w:left w:val="single" w:sz="4" w:space="0" w:color="auto"/>
              <w:bottom w:val="single" w:sz="4" w:space="0" w:color="auto"/>
              <w:right w:val="single" w:sz="4" w:space="0" w:color="auto"/>
            </w:tcBorders>
            <w:vAlign w:val="center"/>
          </w:tcPr>
          <w:p w14:paraId="1DE49607" w14:textId="77777777" w:rsidR="008358F4" w:rsidRPr="002177F4" w:rsidRDefault="008358F4" w:rsidP="008358F4">
            <w:pPr>
              <w:spacing w:line="240" w:lineRule="auto"/>
              <w:ind w:firstLine="0"/>
              <w:jc w:val="left"/>
              <w:rPr>
                <w:szCs w:val="24"/>
              </w:rPr>
            </w:pPr>
            <w:r w:rsidRPr="00EA5B5D">
              <w:rPr>
                <w:szCs w:val="24"/>
              </w:rPr>
              <w:t xml:space="preserve">Лечение возобновляется на </w:t>
            </w:r>
            <w:r w:rsidRPr="002415BA">
              <w:rPr>
                <w:szCs w:val="24"/>
              </w:rPr>
              <w:t>22</w:t>
            </w:r>
            <w:r>
              <w:rPr>
                <w:szCs w:val="24"/>
              </w:rPr>
              <w:t xml:space="preserve"> день</w:t>
            </w:r>
          </w:p>
        </w:tc>
      </w:tr>
    </w:tbl>
    <w:p w14:paraId="212E1BAF" w14:textId="77777777" w:rsidR="00D84C86" w:rsidRDefault="00D84C86" w:rsidP="00D84C86">
      <w:pPr>
        <w:pStyle w:val="afd"/>
        <w:ind w:firstLine="0"/>
        <w:rPr>
          <w:b/>
          <w:bCs/>
          <w:u w:val="single"/>
        </w:rPr>
      </w:pPr>
      <w:r w:rsidRPr="00C12369">
        <w:rPr>
          <w:b/>
          <w:bCs/>
          <w:u w:val="single"/>
        </w:rPr>
        <w:t>3.</w:t>
      </w:r>
      <w:r>
        <w:rPr>
          <w:b/>
          <w:bCs/>
          <w:u w:val="single"/>
        </w:rPr>
        <w:t>3.</w:t>
      </w:r>
      <w:r w:rsidR="00D254F2">
        <w:rPr>
          <w:b/>
          <w:bCs/>
          <w:u w:val="single"/>
        </w:rPr>
        <w:t>6</w:t>
      </w:r>
      <w:r>
        <w:rPr>
          <w:b/>
          <w:bCs/>
          <w:u w:val="single"/>
        </w:rPr>
        <w:t xml:space="preserve"> Режимы кондиционирования при аутоТГСК </w:t>
      </w:r>
    </w:p>
    <w:tbl>
      <w:tblPr>
        <w:tblStyle w:val="aff9"/>
        <w:tblW w:w="9356" w:type="dxa"/>
        <w:tblInd w:w="-5" w:type="dxa"/>
        <w:tblLayout w:type="fixed"/>
        <w:tblLook w:val="04A0" w:firstRow="1" w:lastRow="0" w:firstColumn="1" w:lastColumn="0" w:noHBand="0" w:noVBand="1"/>
      </w:tblPr>
      <w:tblGrid>
        <w:gridCol w:w="2339"/>
        <w:gridCol w:w="2339"/>
        <w:gridCol w:w="2339"/>
        <w:gridCol w:w="2339"/>
      </w:tblGrid>
      <w:tr w:rsidR="00D84C86" w:rsidRPr="000C0218" w14:paraId="00A4B54C" w14:textId="77777777" w:rsidTr="00F533A5">
        <w:trPr>
          <w:trHeight w:val="329"/>
        </w:trPr>
        <w:tc>
          <w:tcPr>
            <w:tcW w:w="9356" w:type="dxa"/>
            <w:gridSpan w:val="4"/>
            <w:tcBorders>
              <w:top w:val="nil"/>
              <w:left w:val="nil"/>
              <w:bottom w:val="single" w:sz="4" w:space="0" w:color="auto"/>
              <w:right w:val="nil"/>
            </w:tcBorders>
          </w:tcPr>
          <w:p w14:paraId="00E8DE4C" w14:textId="7C33FE72" w:rsidR="00D84C86" w:rsidRPr="000C0218" w:rsidRDefault="00F43101" w:rsidP="00F533A5">
            <w:pPr>
              <w:spacing w:line="240" w:lineRule="auto"/>
              <w:ind w:firstLine="0"/>
              <w:jc w:val="left"/>
              <w:rPr>
                <w:b/>
                <w:bCs/>
                <w:szCs w:val="24"/>
              </w:rPr>
            </w:pPr>
            <w:r>
              <w:rPr>
                <w:b/>
                <w:bCs/>
                <w:szCs w:val="24"/>
                <w:lang w:val="en-US"/>
              </w:rPr>
              <w:t>BEAM</w:t>
            </w:r>
            <w:r w:rsidR="00BC002F" w:rsidRPr="0024417B">
              <w:rPr>
                <w:b/>
                <w:bCs/>
                <w:szCs w:val="24"/>
              </w:rPr>
              <w:t xml:space="preserve"> </w:t>
            </w:r>
            <w:r w:rsidR="00BC002F">
              <w:rPr>
                <w:b/>
                <w:bCs/>
                <w:szCs w:val="24"/>
                <w:lang w:val="en-US"/>
              </w:rPr>
              <w:fldChar w:fldCharType="begin" w:fldLock="1"/>
            </w:r>
            <w:r w:rsidR="00053AE8">
              <w:rPr>
                <w:b/>
                <w:bCs/>
                <w:szCs w:val="24"/>
                <w:lang w:val="en-US"/>
              </w:rPr>
              <w:instrText>ADDIN CSL_CITATION {"citationItems":[{"id":"ITEM-1","itemData":{"DOI":"10.1016/j.bbmt.2019.01.032","ISSN":"15236536","abstract":"High-dose chemotherapy followed by autologous hematopoietic stem cell transplant (AHSCT) is a standard of care for patients with relapsed Hodgkin lymphoma. Different conditioning regimens before AHSCT have been used, with the 2 most common being BEAM (carmustine, etoposide, cytarabine, and melphalan) and BUCYVP16 (busulfan, cyclophosphamide, and etoposide). We retrospectively compared the outcomes of patients treated with BEAM (n = 128) or BUCYVP16 (n = 105) followed by AHSCT. After a median follow-up of 4.2 years for BEAM and 3.8 for BUCYVP16 from AHSCT, the 5-year cumulative incidence of relapse was 29% with BEAM compared with 56% with BUCYVP16 (P &lt; .001). Median progression free survival (PFS) and overall survival (OS) were not reached with BEAM and were 2.0 and 7.8 years with BUCYVP16, respectively. Improved PFS (P &lt; .001) and OS (P = .001) were observed with BEAM for patients who needed transplant within 24 months from diagnosis and for patients not in complete remission (non-CR; P = .001 and P &lt; .001, respectively) at AHSCT. In this large retrospective comparison the use of BEAM conditioning before AHSCT resulted in a statistically significant improved PFS and OS and lower relapse compared with BUCYVP16. This supports the use of BEAM as a frontline conditioning regimen before AHSCT for early relapsed and non-CR Hodgkin lymphoma.","author":[{"dropping-particle":"","family":"Singer","given":"Sara","non-dropping-particle":"","parse-names":false,"suffix":""},{"dropping-particle":"","family":"Dean","given":"Robert","non-dropping-particle":"","parse-names":false,"suffix":""},{"dropping-particle":"","family":"Zhao","given":"Qiuhong","non-dropping-particle":"","parse-names":false,"suffix":""},{"dropping-particle":"","family":"Sharma","given":"Nidhi","non-dropping-particle":"","parse-names":false,"suffix":""},{"dropping-particle":"","family":"Abounader","given":"Donna","non-dropping-particle":"","parse-names":false,"suffix":""},{"dropping-particle":"","family":"Elder","given":"Patrick","non-dropping-particle":"","parse-names":false,"suffix":""},{"dropping-particle":"","family":"Hofmeister","given":"Craig C.","non-dropping-particle":"","parse-names":false,"suffix":""},{"dropping-particle":"","family":"Benson","given":"Don M.","non-dropping-particle":"","parse-names":false,"suffix":""},{"dropping-particle":"","family":"Rosko","given":"Ashley","non-dropping-particle":"","parse-names":false,"suffix":""},{"dropping-particle":"","family":"Penza","given":"Sam","non-dropping-particle":"","parse-names":false,"suffix":""},{"dropping-particle":"","family":"Andritsos","given":"Leslie","non-dropping-particle":"","parse-names":false,"suffix":""},{"dropping-particle":"","family":"Vasu","given":"Sumithira","non-dropping-particle":"","parse-names":false,"suffix":""},{"dropping-particle":"","family":"Jaglowski","given":"Samantha","non-dropping-particle":"","parse-names":false,"suffix":""},{"dropping-particle":"","family":"William","given":"Basem M.","non-dropping-particle":"","parse-names":false,"suffix":""},{"dropping-particle":"","family":"Bolwell","given":"Brian","non-dropping-particle":"","parse-names":false,"suffix":""},{"dropping-particle":"","family":"Pohlman","given":"Brad","non-dropping-particle":"","parse-names":false,"suffix":""},{"dropping-particle":""</w:instrText>
            </w:r>
            <w:r w:rsidR="00053AE8" w:rsidRPr="002B3AE7">
              <w:rPr>
                <w:b/>
                <w:bCs/>
                <w:szCs w:val="24"/>
              </w:rPr>
              <w:instrText>,"</w:instrText>
            </w:r>
            <w:r w:rsidR="00053AE8">
              <w:rPr>
                <w:b/>
                <w:bCs/>
                <w:szCs w:val="24"/>
                <w:lang w:val="en-US"/>
              </w:rPr>
              <w:instrText>family</w:instrText>
            </w:r>
            <w:r w:rsidR="00053AE8" w:rsidRPr="002B3AE7">
              <w:rPr>
                <w:b/>
                <w:bCs/>
                <w:szCs w:val="24"/>
              </w:rPr>
              <w:instrText>":"</w:instrText>
            </w:r>
            <w:r w:rsidR="00053AE8">
              <w:rPr>
                <w:b/>
                <w:bCs/>
                <w:szCs w:val="24"/>
                <w:lang w:val="en-US"/>
              </w:rPr>
              <w:instrText>Kalaycio</w:instrText>
            </w:r>
            <w:r w:rsidR="00053AE8" w:rsidRPr="002B3AE7">
              <w:rPr>
                <w:b/>
                <w:bCs/>
                <w:szCs w:val="24"/>
              </w:rPr>
              <w:instrText>","</w:instrText>
            </w:r>
            <w:r w:rsidR="00053AE8">
              <w:rPr>
                <w:b/>
                <w:bCs/>
                <w:szCs w:val="24"/>
                <w:lang w:val="en-US"/>
              </w:rPr>
              <w:instrText>given</w:instrText>
            </w:r>
            <w:r w:rsidR="00053AE8" w:rsidRPr="002B3AE7">
              <w:rPr>
                <w:b/>
                <w:bCs/>
                <w:szCs w:val="24"/>
              </w:rPr>
              <w:instrText>":"</w:instrText>
            </w:r>
            <w:r w:rsidR="00053AE8">
              <w:rPr>
                <w:b/>
                <w:bCs/>
                <w:szCs w:val="24"/>
                <w:lang w:val="en-US"/>
              </w:rPr>
              <w:instrText>Matt</w:instrText>
            </w:r>
            <w:r w:rsidR="00053AE8" w:rsidRPr="002B3AE7">
              <w:rPr>
                <w:b/>
                <w:bCs/>
                <w:szCs w:val="24"/>
              </w:rPr>
              <w:instrText>","</w:instrText>
            </w:r>
            <w:r w:rsidR="00053AE8">
              <w:rPr>
                <w:b/>
                <w:bCs/>
                <w:szCs w:val="24"/>
                <w:lang w:val="en-US"/>
              </w:rPr>
              <w:instrText>non</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parse</w:instrText>
            </w:r>
            <w:r w:rsidR="00053AE8" w:rsidRPr="002B3AE7">
              <w:rPr>
                <w:b/>
                <w:bCs/>
                <w:szCs w:val="24"/>
              </w:rPr>
              <w:instrText>-</w:instrText>
            </w:r>
            <w:r w:rsidR="00053AE8">
              <w:rPr>
                <w:b/>
                <w:bCs/>
                <w:szCs w:val="24"/>
                <w:lang w:val="en-US"/>
              </w:rPr>
              <w:instrText>names</w:instrText>
            </w:r>
            <w:r w:rsidR="00053AE8" w:rsidRPr="002B3AE7">
              <w:rPr>
                <w:b/>
                <w:bCs/>
                <w:szCs w:val="24"/>
              </w:rPr>
              <w:instrText>":</w:instrText>
            </w:r>
            <w:r w:rsidR="00053AE8">
              <w:rPr>
                <w:b/>
                <w:bCs/>
                <w:szCs w:val="24"/>
                <w:lang w:val="en-US"/>
              </w:rPr>
              <w:instrText>false</w:instrText>
            </w:r>
            <w:r w:rsidR="00053AE8" w:rsidRPr="002B3AE7">
              <w:rPr>
                <w:b/>
                <w:bCs/>
                <w:szCs w:val="24"/>
              </w:rPr>
              <w:instrText>,"</w:instrText>
            </w:r>
            <w:r w:rsidR="00053AE8">
              <w:rPr>
                <w:b/>
                <w:bCs/>
                <w:szCs w:val="24"/>
                <w:lang w:val="en-US"/>
              </w:rPr>
              <w:instrText>suffix</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family</w:instrText>
            </w:r>
            <w:r w:rsidR="00053AE8" w:rsidRPr="002B3AE7">
              <w:rPr>
                <w:b/>
                <w:bCs/>
                <w:szCs w:val="24"/>
              </w:rPr>
              <w:instrText>":"</w:instrText>
            </w:r>
            <w:r w:rsidR="00053AE8">
              <w:rPr>
                <w:b/>
                <w:bCs/>
                <w:szCs w:val="24"/>
                <w:lang w:val="en-US"/>
              </w:rPr>
              <w:instrText>Jagadeesh</w:instrText>
            </w:r>
            <w:r w:rsidR="00053AE8" w:rsidRPr="002B3AE7">
              <w:rPr>
                <w:b/>
                <w:bCs/>
                <w:szCs w:val="24"/>
              </w:rPr>
              <w:instrText>","</w:instrText>
            </w:r>
            <w:r w:rsidR="00053AE8">
              <w:rPr>
                <w:b/>
                <w:bCs/>
                <w:szCs w:val="24"/>
                <w:lang w:val="en-US"/>
              </w:rPr>
              <w:instrText>given</w:instrText>
            </w:r>
            <w:r w:rsidR="00053AE8" w:rsidRPr="002B3AE7">
              <w:rPr>
                <w:b/>
                <w:bCs/>
                <w:szCs w:val="24"/>
              </w:rPr>
              <w:instrText>":"</w:instrText>
            </w:r>
            <w:r w:rsidR="00053AE8">
              <w:rPr>
                <w:b/>
                <w:bCs/>
                <w:szCs w:val="24"/>
                <w:lang w:val="en-US"/>
              </w:rPr>
              <w:instrText>Deepa</w:instrText>
            </w:r>
            <w:r w:rsidR="00053AE8" w:rsidRPr="002B3AE7">
              <w:rPr>
                <w:b/>
                <w:bCs/>
                <w:szCs w:val="24"/>
              </w:rPr>
              <w:instrText>","</w:instrText>
            </w:r>
            <w:r w:rsidR="00053AE8">
              <w:rPr>
                <w:b/>
                <w:bCs/>
                <w:szCs w:val="24"/>
                <w:lang w:val="en-US"/>
              </w:rPr>
              <w:instrText>non</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parse</w:instrText>
            </w:r>
            <w:r w:rsidR="00053AE8" w:rsidRPr="002B3AE7">
              <w:rPr>
                <w:b/>
                <w:bCs/>
                <w:szCs w:val="24"/>
              </w:rPr>
              <w:instrText>-</w:instrText>
            </w:r>
            <w:r w:rsidR="00053AE8">
              <w:rPr>
                <w:b/>
                <w:bCs/>
                <w:szCs w:val="24"/>
                <w:lang w:val="en-US"/>
              </w:rPr>
              <w:instrText>names</w:instrText>
            </w:r>
            <w:r w:rsidR="00053AE8" w:rsidRPr="002B3AE7">
              <w:rPr>
                <w:b/>
                <w:bCs/>
                <w:szCs w:val="24"/>
              </w:rPr>
              <w:instrText>":</w:instrText>
            </w:r>
            <w:r w:rsidR="00053AE8">
              <w:rPr>
                <w:b/>
                <w:bCs/>
                <w:szCs w:val="24"/>
                <w:lang w:val="en-US"/>
              </w:rPr>
              <w:instrText>false</w:instrText>
            </w:r>
            <w:r w:rsidR="00053AE8" w:rsidRPr="002B3AE7">
              <w:rPr>
                <w:b/>
                <w:bCs/>
                <w:szCs w:val="24"/>
              </w:rPr>
              <w:instrText>,"</w:instrText>
            </w:r>
            <w:r w:rsidR="00053AE8">
              <w:rPr>
                <w:b/>
                <w:bCs/>
                <w:szCs w:val="24"/>
                <w:lang w:val="en-US"/>
              </w:rPr>
              <w:instrText>suffix</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family</w:instrText>
            </w:r>
            <w:r w:rsidR="00053AE8" w:rsidRPr="002B3AE7">
              <w:rPr>
                <w:b/>
                <w:bCs/>
                <w:szCs w:val="24"/>
              </w:rPr>
              <w:instrText>":"</w:instrText>
            </w:r>
            <w:r w:rsidR="00053AE8">
              <w:rPr>
                <w:b/>
                <w:bCs/>
                <w:szCs w:val="24"/>
                <w:lang w:val="en-US"/>
              </w:rPr>
              <w:instrText>Hill</w:instrText>
            </w:r>
            <w:r w:rsidR="00053AE8" w:rsidRPr="002B3AE7">
              <w:rPr>
                <w:b/>
                <w:bCs/>
                <w:szCs w:val="24"/>
              </w:rPr>
              <w:instrText>","</w:instrText>
            </w:r>
            <w:r w:rsidR="00053AE8">
              <w:rPr>
                <w:b/>
                <w:bCs/>
                <w:szCs w:val="24"/>
                <w:lang w:val="en-US"/>
              </w:rPr>
              <w:instrText>given</w:instrText>
            </w:r>
            <w:r w:rsidR="00053AE8" w:rsidRPr="002B3AE7">
              <w:rPr>
                <w:b/>
                <w:bCs/>
                <w:szCs w:val="24"/>
              </w:rPr>
              <w:instrText>":"</w:instrText>
            </w:r>
            <w:r w:rsidR="00053AE8">
              <w:rPr>
                <w:b/>
                <w:bCs/>
                <w:szCs w:val="24"/>
                <w:lang w:val="en-US"/>
              </w:rPr>
              <w:instrText>Brian</w:instrText>
            </w:r>
            <w:r w:rsidR="00053AE8" w:rsidRPr="002B3AE7">
              <w:rPr>
                <w:b/>
                <w:bCs/>
                <w:szCs w:val="24"/>
              </w:rPr>
              <w:instrText>","</w:instrText>
            </w:r>
            <w:r w:rsidR="00053AE8">
              <w:rPr>
                <w:b/>
                <w:bCs/>
                <w:szCs w:val="24"/>
                <w:lang w:val="en-US"/>
              </w:rPr>
              <w:instrText>non</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parse</w:instrText>
            </w:r>
            <w:r w:rsidR="00053AE8" w:rsidRPr="002B3AE7">
              <w:rPr>
                <w:b/>
                <w:bCs/>
                <w:szCs w:val="24"/>
              </w:rPr>
              <w:instrText>-</w:instrText>
            </w:r>
            <w:r w:rsidR="00053AE8">
              <w:rPr>
                <w:b/>
                <w:bCs/>
                <w:szCs w:val="24"/>
                <w:lang w:val="en-US"/>
              </w:rPr>
              <w:instrText>names</w:instrText>
            </w:r>
            <w:r w:rsidR="00053AE8" w:rsidRPr="002B3AE7">
              <w:rPr>
                <w:b/>
                <w:bCs/>
                <w:szCs w:val="24"/>
              </w:rPr>
              <w:instrText>":</w:instrText>
            </w:r>
            <w:r w:rsidR="00053AE8">
              <w:rPr>
                <w:b/>
                <w:bCs/>
                <w:szCs w:val="24"/>
                <w:lang w:val="en-US"/>
              </w:rPr>
              <w:instrText>false</w:instrText>
            </w:r>
            <w:r w:rsidR="00053AE8" w:rsidRPr="002B3AE7">
              <w:rPr>
                <w:b/>
                <w:bCs/>
                <w:szCs w:val="24"/>
              </w:rPr>
              <w:instrText>,"</w:instrText>
            </w:r>
            <w:r w:rsidR="00053AE8">
              <w:rPr>
                <w:b/>
                <w:bCs/>
                <w:szCs w:val="24"/>
                <w:lang w:val="en-US"/>
              </w:rPr>
              <w:instrText>suffix</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family</w:instrText>
            </w:r>
            <w:r w:rsidR="00053AE8" w:rsidRPr="002B3AE7">
              <w:rPr>
                <w:b/>
                <w:bCs/>
                <w:szCs w:val="24"/>
              </w:rPr>
              <w:instrText>":"</w:instrText>
            </w:r>
            <w:r w:rsidR="00053AE8">
              <w:rPr>
                <w:b/>
                <w:bCs/>
                <w:szCs w:val="24"/>
                <w:lang w:val="en-US"/>
              </w:rPr>
              <w:instrText>Sobecks</w:instrText>
            </w:r>
            <w:r w:rsidR="00053AE8" w:rsidRPr="002B3AE7">
              <w:rPr>
                <w:b/>
                <w:bCs/>
                <w:szCs w:val="24"/>
              </w:rPr>
              <w:instrText>","</w:instrText>
            </w:r>
            <w:r w:rsidR="00053AE8">
              <w:rPr>
                <w:b/>
                <w:bCs/>
                <w:szCs w:val="24"/>
                <w:lang w:val="en-US"/>
              </w:rPr>
              <w:instrText>given</w:instrText>
            </w:r>
            <w:r w:rsidR="00053AE8" w:rsidRPr="002B3AE7">
              <w:rPr>
                <w:b/>
                <w:bCs/>
                <w:szCs w:val="24"/>
              </w:rPr>
              <w:instrText>":"</w:instrText>
            </w:r>
            <w:r w:rsidR="00053AE8">
              <w:rPr>
                <w:b/>
                <w:bCs/>
                <w:szCs w:val="24"/>
                <w:lang w:val="en-US"/>
              </w:rPr>
              <w:instrText>Ronald</w:instrText>
            </w:r>
            <w:r w:rsidR="00053AE8" w:rsidRPr="002B3AE7">
              <w:rPr>
                <w:b/>
                <w:bCs/>
                <w:szCs w:val="24"/>
              </w:rPr>
              <w:instrText>","</w:instrText>
            </w:r>
            <w:r w:rsidR="00053AE8">
              <w:rPr>
                <w:b/>
                <w:bCs/>
                <w:szCs w:val="24"/>
                <w:lang w:val="en-US"/>
              </w:rPr>
              <w:instrText>non</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parse</w:instrText>
            </w:r>
            <w:r w:rsidR="00053AE8" w:rsidRPr="002B3AE7">
              <w:rPr>
                <w:b/>
                <w:bCs/>
                <w:szCs w:val="24"/>
              </w:rPr>
              <w:instrText>-</w:instrText>
            </w:r>
            <w:r w:rsidR="00053AE8">
              <w:rPr>
                <w:b/>
                <w:bCs/>
                <w:szCs w:val="24"/>
                <w:lang w:val="en-US"/>
              </w:rPr>
              <w:instrText>names</w:instrText>
            </w:r>
            <w:r w:rsidR="00053AE8" w:rsidRPr="002B3AE7">
              <w:rPr>
                <w:b/>
                <w:bCs/>
                <w:szCs w:val="24"/>
              </w:rPr>
              <w:instrText>":</w:instrText>
            </w:r>
            <w:r w:rsidR="00053AE8">
              <w:rPr>
                <w:b/>
                <w:bCs/>
                <w:szCs w:val="24"/>
                <w:lang w:val="en-US"/>
              </w:rPr>
              <w:instrText>false</w:instrText>
            </w:r>
            <w:r w:rsidR="00053AE8" w:rsidRPr="002B3AE7">
              <w:rPr>
                <w:b/>
                <w:bCs/>
                <w:szCs w:val="24"/>
              </w:rPr>
              <w:instrText>,"</w:instrText>
            </w:r>
            <w:r w:rsidR="00053AE8">
              <w:rPr>
                <w:b/>
                <w:bCs/>
                <w:szCs w:val="24"/>
                <w:lang w:val="en-US"/>
              </w:rPr>
              <w:instrText>suffix</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family</w:instrText>
            </w:r>
            <w:r w:rsidR="00053AE8" w:rsidRPr="002B3AE7">
              <w:rPr>
                <w:b/>
                <w:bCs/>
                <w:szCs w:val="24"/>
              </w:rPr>
              <w:instrText>":"</w:instrText>
            </w:r>
            <w:r w:rsidR="00053AE8">
              <w:rPr>
                <w:b/>
                <w:bCs/>
                <w:szCs w:val="24"/>
                <w:lang w:val="en-US"/>
              </w:rPr>
              <w:instrText>Devine</w:instrText>
            </w:r>
            <w:r w:rsidR="00053AE8" w:rsidRPr="002B3AE7">
              <w:rPr>
                <w:b/>
                <w:bCs/>
                <w:szCs w:val="24"/>
              </w:rPr>
              <w:instrText>","</w:instrText>
            </w:r>
            <w:r w:rsidR="00053AE8">
              <w:rPr>
                <w:b/>
                <w:bCs/>
                <w:szCs w:val="24"/>
                <w:lang w:val="en-US"/>
              </w:rPr>
              <w:instrText>given</w:instrText>
            </w:r>
            <w:r w:rsidR="00053AE8" w:rsidRPr="002B3AE7">
              <w:rPr>
                <w:b/>
                <w:bCs/>
                <w:szCs w:val="24"/>
              </w:rPr>
              <w:instrText>":"</w:instrText>
            </w:r>
            <w:r w:rsidR="00053AE8">
              <w:rPr>
                <w:b/>
                <w:bCs/>
                <w:szCs w:val="24"/>
                <w:lang w:val="en-US"/>
              </w:rPr>
              <w:instrText>Steven</w:instrText>
            </w:r>
            <w:r w:rsidR="00053AE8" w:rsidRPr="002B3AE7">
              <w:rPr>
                <w:b/>
                <w:bCs/>
                <w:szCs w:val="24"/>
              </w:rPr>
              <w:instrText xml:space="preserve"> </w:instrText>
            </w:r>
            <w:r w:rsidR="00053AE8">
              <w:rPr>
                <w:b/>
                <w:bCs/>
                <w:szCs w:val="24"/>
                <w:lang w:val="en-US"/>
              </w:rPr>
              <w:instrText>M</w:instrText>
            </w:r>
            <w:r w:rsidR="00053AE8" w:rsidRPr="002B3AE7">
              <w:rPr>
                <w:b/>
                <w:bCs/>
                <w:szCs w:val="24"/>
              </w:rPr>
              <w:instrText>.","</w:instrText>
            </w:r>
            <w:r w:rsidR="00053AE8">
              <w:rPr>
                <w:b/>
                <w:bCs/>
                <w:szCs w:val="24"/>
                <w:lang w:val="en-US"/>
              </w:rPr>
              <w:instrText>non</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parse</w:instrText>
            </w:r>
            <w:r w:rsidR="00053AE8" w:rsidRPr="002B3AE7">
              <w:rPr>
                <w:b/>
                <w:bCs/>
                <w:szCs w:val="24"/>
              </w:rPr>
              <w:instrText>-</w:instrText>
            </w:r>
            <w:r w:rsidR="00053AE8">
              <w:rPr>
                <w:b/>
                <w:bCs/>
                <w:szCs w:val="24"/>
                <w:lang w:val="en-US"/>
              </w:rPr>
              <w:instrText>names</w:instrText>
            </w:r>
            <w:r w:rsidR="00053AE8" w:rsidRPr="002B3AE7">
              <w:rPr>
                <w:b/>
                <w:bCs/>
                <w:szCs w:val="24"/>
              </w:rPr>
              <w:instrText>":</w:instrText>
            </w:r>
            <w:r w:rsidR="00053AE8">
              <w:rPr>
                <w:b/>
                <w:bCs/>
                <w:szCs w:val="24"/>
                <w:lang w:val="en-US"/>
              </w:rPr>
              <w:instrText>false</w:instrText>
            </w:r>
            <w:r w:rsidR="00053AE8" w:rsidRPr="002B3AE7">
              <w:rPr>
                <w:b/>
                <w:bCs/>
                <w:szCs w:val="24"/>
              </w:rPr>
              <w:instrText>,"</w:instrText>
            </w:r>
            <w:r w:rsidR="00053AE8">
              <w:rPr>
                <w:b/>
                <w:bCs/>
                <w:szCs w:val="24"/>
                <w:lang w:val="en-US"/>
              </w:rPr>
              <w:instrText>suffix</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family</w:instrText>
            </w:r>
            <w:r w:rsidR="00053AE8" w:rsidRPr="002B3AE7">
              <w:rPr>
                <w:b/>
                <w:bCs/>
                <w:szCs w:val="24"/>
              </w:rPr>
              <w:instrText>":"</w:instrText>
            </w:r>
            <w:r w:rsidR="00053AE8">
              <w:rPr>
                <w:b/>
                <w:bCs/>
                <w:szCs w:val="24"/>
                <w:lang w:val="en-US"/>
              </w:rPr>
              <w:instrText>Majhail</w:instrText>
            </w:r>
            <w:r w:rsidR="00053AE8" w:rsidRPr="002B3AE7">
              <w:rPr>
                <w:b/>
                <w:bCs/>
                <w:szCs w:val="24"/>
              </w:rPr>
              <w:instrText>","</w:instrText>
            </w:r>
            <w:r w:rsidR="00053AE8">
              <w:rPr>
                <w:b/>
                <w:bCs/>
                <w:szCs w:val="24"/>
                <w:lang w:val="en-US"/>
              </w:rPr>
              <w:instrText>given</w:instrText>
            </w:r>
            <w:r w:rsidR="00053AE8" w:rsidRPr="002B3AE7">
              <w:rPr>
                <w:b/>
                <w:bCs/>
                <w:szCs w:val="24"/>
              </w:rPr>
              <w:instrText>":"</w:instrText>
            </w:r>
            <w:r w:rsidR="00053AE8">
              <w:rPr>
                <w:b/>
                <w:bCs/>
                <w:szCs w:val="24"/>
                <w:lang w:val="en-US"/>
              </w:rPr>
              <w:instrText>Navneet</w:instrText>
            </w:r>
            <w:r w:rsidR="00053AE8" w:rsidRPr="002B3AE7">
              <w:rPr>
                <w:b/>
                <w:bCs/>
                <w:szCs w:val="24"/>
              </w:rPr>
              <w:instrText xml:space="preserve"> </w:instrText>
            </w:r>
            <w:r w:rsidR="00053AE8">
              <w:rPr>
                <w:b/>
                <w:bCs/>
                <w:szCs w:val="24"/>
                <w:lang w:val="en-US"/>
              </w:rPr>
              <w:instrText>S</w:instrText>
            </w:r>
            <w:r w:rsidR="00053AE8" w:rsidRPr="002B3AE7">
              <w:rPr>
                <w:b/>
                <w:bCs/>
                <w:szCs w:val="24"/>
              </w:rPr>
              <w:instrText>.","</w:instrText>
            </w:r>
            <w:r w:rsidR="00053AE8">
              <w:rPr>
                <w:b/>
                <w:bCs/>
                <w:szCs w:val="24"/>
                <w:lang w:val="en-US"/>
              </w:rPr>
              <w:instrText>non</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parse</w:instrText>
            </w:r>
            <w:r w:rsidR="00053AE8" w:rsidRPr="002B3AE7">
              <w:rPr>
                <w:b/>
                <w:bCs/>
                <w:szCs w:val="24"/>
              </w:rPr>
              <w:instrText>-</w:instrText>
            </w:r>
            <w:r w:rsidR="00053AE8">
              <w:rPr>
                <w:b/>
                <w:bCs/>
                <w:szCs w:val="24"/>
                <w:lang w:val="en-US"/>
              </w:rPr>
              <w:instrText>names</w:instrText>
            </w:r>
            <w:r w:rsidR="00053AE8" w:rsidRPr="002B3AE7">
              <w:rPr>
                <w:b/>
                <w:bCs/>
                <w:szCs w:val="24"/>
              </w:rPr>
              <w:instrText>":</w:instrText>
            </w:r>
            <w:r w:rsidR="00053AE8">
              <w:rPr>
                <w:b/>
                <w:bCs/>
                <w:szCs w:val="24"/>
                <w:lang w:val="en-US"/>
              </w:rPr>
              <w:instrText>false</w:instrText>
            </w:r>
            <w:r w:rsidR="00053AE8" w:rsidRPr="002B3AE7">
              <w:rPr>
                <w:b/>
                <w:bCs/>
                <w:szCs w:val="24"/>
              </w:rPr>
              <w:instrText>,"</w:instrText>
            </w:r>
            <w:r w:rsidR="00053AE8">
              <w:rPr>
                <w:b/>
                <w:bCs/>
                <w:szCs w:val="24"/>
                <w:lang w:val="en-US"/>
              </w:rPr>
              <w:instrText>suffix</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family</w:instrText>
            </w:r>
            <w:r w:rsidR="00053AE8" w:rsidRPr="002B3AE7">
              <w:rPr>
                <w:b/>
                <w:bCs/>
                <w:szCs w:val="24"/>
              </w:rPr>
              <w:instrText>":"</w:instrText>
            </w:r>
            <w:r w:rsidR="00053AE8">
              <w:rPr>
                <w:b/>
                <w:bCs/>
                <w:szCs w:val="24"/>
                <w:lang w:val="en-US"/>
              </w:rPr>
              <w:instrText>Efebera</w:instrText>
            </w:r>
            <w:r w:rsidR="00053AE8" w:rsidRPr="002B3AE7">
              <w:rPr>
                <w:b/>
                <w:bCs/>
                <w:szCs w:val="24"/>
              </w:rPr>
              <w:instrText>","</w:instrText>
            </w:r>
            <w:r w:rsidR="00053AE8">
              <w:rPr>
                <w:b/>
                <w:bCs/>
                <w:szCs w:val="24"/>
                <w:lang w:val="en-US"/>
              </w:rPr>
              <w:instrText>given</w:instrText>
            </w:r>
            <w:r w:rsidR="00053AE8" w:rsidRPr="002B3AE7">
              <w:rPr>
                <w:b/>
                <w:bCs/>
                <w:szCs w:val="24"/>
              </w:rPr>
              <w:instrText>":"</w:instrText>
            </w:r>
            <w:r w:rsidR="00053AE8">
              <w:rPr>
                <w:b/>
                <w:bCs/>
                <w:szCs w:val="24"/>
                <w:lang w:val="en-US"/>
              </w:rPr>
              <w:instrText>Yvonne</w:instrText>
            </w:r>
            <w:r w:rsidR="00053AE8" w:rsidRPr="002B3AE7">
              <w:rPr>
                <w:b/>
                <w:bCs/>
                <w:szCs w:val="24"/>
              </w:rPr>
              <w:instrText xml:space="preserve"> </w:instrText>
            </w:r>
            <w:r w:rsidR="00053AE8">
              <w:rPr>
                <w:b/>
                <w:bCs/>
                <w:szCs w:val="24"/>
                <w:lang w:val="en-US"/>
              </w:rPr>
              <w:instrText>A</w:instrText>
            </w:r>
            <w:r w:rsidR="00053AE8" w:rsidRPr="002B3AE7">
              <w:rPr>
                <w:b/>
                <w:bCs/>
                <w:szCs w:val="24"/>
              </w:rPr>
              <w:instrText>.","</w:instrText>
            </w:r>
            <w:r w:rsidR="00053AE8">
              <w:rPr>
                <w:b/>
                <w:bCs/>
                <w:szCs w:val="24"/>
                <w:lang w:val="en-US"/>
              </w:rPr>
              <w:instrText>non</w:instrText>
            </w:r>
            <w:r w:rsidR="00053AE8" w:rsidRPr="002B3AE7">
              <w:rPr>
                <w:b/>
                <w:bCs/>
                <w:szCs w:val="24"/>
              </w:rPr>
              <w:instrText>-</w:instrText>
            </w:r>
            <w:r w:rsidR="00053AE8">
              <w:rPr>
                <w:b/>
                <w:bCs/>
                <w:szCs w:val="24"/>
                <w:lang w:val="en-US"/>
              </w:rPr>
              <w:instrText>dropping</w:instrText>
            </w:r>
            <w:r w:rsidR="00053AE8" w:rsidRPr="002B3AE7">
              <w:rPr>
                <w:b/>
                <w:bCs/>
                <w:szCs w:val="24"/>
              </w:rPr>
              <w:instrText>-</w:instrText>
            </w:r>
            <w:r w:rsidR="00053AE8">
              <w:rPr>
                <w:b/>
                <w:bCs/>
                <w:szCs w:val="24"/>
                <w:lang w:val="en-US"/>
              </w:rPr>
              <w:instrText>particle</w:instrText>
            </w:r>
            <w:r w:rsidR="00053AE8" w:rsidRPr="002B3AE7">
              <w:rPr>
                <w:b/>
                <w:bCs/>
                <w:szCs w:val="24"/>
              </w:rPr>
              <w:instrText>":"","</w:instrText>
            </w:r>
            <w:r w:rsidR="00053AE8">
              <w:rPr>
                <w:b/>
                <w:bCs/>
                <w:szCs w:val="24"/>
                <w:lang w:val="en-US"/>
              </w:rPr>
              <w:instrText>parse</w:instrText>
            </w:r>
            <w:r w:rsidR="00053AE8" w:rsidRPr="002B3AE7">
              <w:rPr>
                <w:b/>
                <w:bCs/>
                <w:szCs w:val="24"/>
              </w:rPr>
              <w:instrText>-</w:instrText>
            </w:r>
            <w:r w:rsidR="00053AE8">
              <w:rPr>
                <w:b/>
                <w:bCs/>
                <w:szCs w:val="24"/>
                <w:lang w:val="en-US"/>
              </w:rPr>
              <w:instrText>names</w:instrText>
            </w:r>
            <w:r w:rsidR="00053AE8" w:rsidRPr="002B3AE7">
              <w:rPr>
                <w:b/>
                <w:bCs/>
                <w:szCs w:val="24"/>
              </w:rPr>
              <w:instrText>":</w:instrText>
            </w:r>
            <w:r w:rsidR="00053AE8">
              <w:rPr>
                <w:b/>
                <w:bCs/>
                <w:szCs w:val="24"/>
                <w:lang w:val="en-US"/>
              </w:rPr>
              <w:instrText>false</w:instrText>
            </w:r>
            <w:r w:rsidR="00053AE8" w:rsidRPr="002B3AE7">
              <w:rPr>
                <w:b/>
                <w:bCs/>
                <w:szCs w:val="24"/>
              </w:rPr>
              <w:instrText>,"</w:instrText>
            </w:r>
            <w:r w:rsidR="00053AE8">
              <w:rPr>
                <w:b/>
                <w:bCs/>
                <w:szCs w:val="24"/>
                <w:lang w:val="en-US"/>
              </w:rPr>
              <w:instrText>suffix</w:instrText>
            </w:r>
            <w:r w:rsidR="00053AE8" w:rsidRPr="002B3AE7">
              <w:rPr>
                <w:b/>
                <w:bCs/>
                <w:szCs w:val="24"/>
              </w:rPr>
              <w:instrText>":""}],"</w:instrText>
            </w:r>
            <w:r w:rsidR="00053AE8">
              <w:rPr>
                <w:b/>
                <w:bCs/>
                <w:szCs w:val="24"/>
                <w:lang w:val="en-US"/>
              </w:rPr>
              <w:instrText>container</w:instrText>
            </w:r>
            <w:r w:rsidR="00053AE8" w:rsidRPr="002B3AE7">
              <w:rPr>
                <w:b/>
                <w:bCs/>
                <w:szCs w:val="24"/>
              </w:rPr>
              <w:instrText>-</w:instrText>
            </w:r>
            <w:r w:rsidR="00053AE8">
              <w:rPr>
                <w:b/>
                <w:bCs/>
                <w:szCs w:val="24"/>
                <w:lang w:val="en-US"/>
              </w:rPr>
              <w:instrText>title</w:instrText>
            </w:r>
            <w:r w:rsidR="00053AE8" w:rsidRPr="002B3AE7">
              <w:rPr>
                <w:b/>
                <w:bCs/>
                <w:szCs w:val="24"/>
              </w:rPr>
              <w:instrText>":"</w:instrText>
            </w:r>
            <w:r w:rsidR="00053AE8">
              <w:rPr>
                <w:b/>
                <w:bCs/>
                <w:szCs w:val="24"/>
                <w:lang w:val="en-US"/>
              </w:rPr>
              <w:instrText>Biology</w:instrText>
            </w:r>
            <w:r w:rsidR="00053AE8" w:rsidRPr="002B3AE7">
              <w:rPr>
                <w:b/>
                <w:bCs/>
                <w:szCs w:val="24"/>
              </w:rPr>
              <w:instrText xml:space="preserve"> </w:instrText>
            </w:r>
            <w:r w:rsidR="00053AE8">
              <w:rPr>
                <w:b/>
                <w:bCs/>
                <w:szCs w:val="24"/>
                <w:lang w:val="en-US"/>
              </w:rPr>
              <w:instrText>of</w:instrText>
            </w:r>
            <w:r w:rsidR="00053AE8" w:rsidRPr="002B3AE7">
              <w:rPr>
                <w:b/>
                <w:bCs/>
                <w:szCs w:val="24"/>
              </w:rPr>
              <w:instrText xml:space="preserve"> </w:instrText>
            </w:r>
            <w:r w:rsidR="00053AE8">
              <w:rPr>
                <w:b/>
                <w:bCs/>
                <w:szCs w:val="24"/>
                <w:lang w:val="en-US"/>
              </w:rPr>
              <w:instrText>Blood</w:instrText>
            </w:r>
            <w:r w:rsidR="00053AE8" w:rsidRPr="002B3AE7">
              <w:rPr>
                <w:b/>
                <w:bCs/>
                <w:szCs w:val="24"/>
              </w:rPr>
              <w:instrText xml:space="preserve"> </w:instrText>
            </w:r>
            <w:r w:rsidR="00053AE8">
              <w:rPr>
                <w:b/>
                <w:bCs/>
                <w:szCs w:val="24"/>
                <w:lang w:val="en-US"/>
              </w:rPr>
              <w:instrText>and</w:instrText>
            </w:r>
            <w:r w:rsidR="00053AE8" w:rsidRPr="002B3AE7">
              <w:rPr>
                <w:b/>
                <w:bCs/>
                <w:szCs w:val="24"/>
              </w:rPr>
              <w:instrText xml:space="preserve"> </w:instrText>
            </w:r>
            <w:r w:rsidR="00053AE8">
              <w:rPr>
                <w:b/>
                <w:bCs/>
                <w:szCs w:val="24"/>
                <w:lang w:val="en-US"/>
              </w:rPr>
              <w:instrText>Marrow</w:instrText>
            </w:r>
            <w:r w:rsidR="00053AE8" w:rsidRPr="002B3AE7">
              <w:rPr>
                <w:b/>
                <w:bCs/>
                <w:szCs w:val="24"/>
              </w:rPr>
              <w:instrText xml:space="preserve"> </w:instrText>
            </w:r>
            <w:r w:rsidR="00053AE8">
              <w:rPr>
                <w:b/>
                <w:bCs/>
                <w:szCs w:val="24"/>
                <w:lang w:val="en-US"/>
              </w:rPr>
              <w:instrText>Transplantation</w:instrText>
            </w:r>
            <w:r w:rsidR="00053AE8" w:rsidRPr="002B3AE7">
              <w:rPr>
                <w:b/>
                <w:bCs/>
                <w:szCs w:val="24"/>
              </w:rPr>
              <w:instrText>","</w:instrText>
            </w:r>
            <w:r w:rsidR="00053AE8">
              <w:rPr>
                <w:b/>
                <w:bCs/>
                <w:szCs w:val="24"/>
                <w:lang w:val="en-US"/>
              </w:rPr>
              <w:instrText>id</w:instrText>
            </w:r>
            <w:r w:rsidR="00053AE8" w:rsidRPr="002B3AE7">
              <w:rPr>
                <w:b/>
                <w:bCs/>
                <w:szCs w:val="24"/>
              </w:rPr>
              <w:instrText>":"</w:instrText>
            </w:r>
            <w:r w:rsidR="00053AE8">
              <w:rPr>
                <w:b/>
                <w:bCs/>
                <w:szCs w:val="24"/>
                <w:lang w:val="en-US"/>
              </w:rPr>
              <w:instrText>ITEM</w:instrText>
            </w:r>
            <w:r w:rsidR="00053AE8" w:rsidRPr="002B3AE7">
              <w:rPr>
                <w:b/>
                <w:bCs/>
                <w:szCs w:val="24"/>
              </w:rPr>
              <w:instrText>-1","</w:instrText>
            </w:r>
            <w:r w:rsidR="00053AE8">
              <w:rPr>
                <w:b/>
                <w:bCs/>
                <w:szCs w:val="24"/>
                <w:lang w:val="en-US"/>
              </w:rPr>
              <w:instrText>issue</w:instrText>
            </w:r>
            <w:r w:rsidR="00053AE8" w:rsidRPr="002B3AE7">
              <w:rPr>
                <w:b/>
                <w:bCs/>
                <w:szCs w:val="24"/>
              </w:rPr>
              <w:instrText>":"6","</w:instrText>
            </w:r>
            <w:r w:rsidR="00053AE8">
              <w:rPr>
                <w:b/>
                <w:bCs/>
                <w:szCs w:val="24"/>
                <w:lang w:val="en-US"/>
              </w:rPr>
              <w:instrText>issued</w:instrText>
            </w:r>
            <w:r w:rsidR="00053AE8" w:rsidRPr="002B3AE7">
              <w:rPr>
                <w:b/>
                <w:bCs/>
                <w:szCs w:val="24"/>
              </w:rPr>
              <w:instrText>":{"</w:instrText>
            </w:r>
            <w:r w:rsidR="00053AE8">
              <w:rPr>
                <w:b/>
                <w:bCs/>
                <w:szCs w:val="24"/>
                <w:lang w:val="en-US"/>
              </w:rPr>
              <w:instrText>date</w:instrText>
            </w:r>
            <w:r w:rsidR="00053AE8" w:rsidRPr="002B3AE7">
              <w:rPr>
                <w:b/>
                <w:bCs/>
                <w:szCs w:val="24"/>
              </w:rPr>
              <w:instrText>-</w:instrText>
            </w:r>
            <w:r w:rsidR="00053AE8">
              <w:rPr>
                <w:b/>
                <w:bCs/>
                <w:szCs w:val="24"/>
                <w:lang w:val="en-US"/>
              </w:rPr>
              <w:instrText>parts</w:instrText>
            </w:r>
            <w:r w:rsidR="00053AE8" w:rsidRPr="002B3AE7">
              <w:rPr>
                <w:b/>
                <w:bCs/>
                <w:szCs w:val="24"/>
              </w:rPr>
              <w:instrText>":[["2019","6","1"]]},"</w:instrText>
            </w:r>
            <w:r w:rsidR="00053AE8">
              <w:rPr>
                <w:b/>
                <w:bCs/>
                <w:szCs w:val="24"/>
                <w:lang w:val="en-US"/>
              </w:rPr>
              <w:instrText>page</w:instrText>
            </w:r>
            <w:r w:rsidR="00053AE8" w:rsidRPr="002B3AE7">
              <w:rPr>
                <w:b/>
                <w:bCs/>
                <w:szCs w:val="24"/>
              </w:rPr>
              <w:instrText>":"1107-1115","</w:instrText>
            </w:r>
            <w:r w:rsidR="00053AE8">
              <w:rPr>
                <w:b/>
                <w:bCs/>
                <w:szCs w:val="24"/>
                <w:lang w:val="en-US"/>
              </w:rPr>
              <w:instrText>publisher</w:instrText>
            </w:r>
            <w:r w:rsidR="00053AE8" w:rsidRPr="002B3AE7">
              <w:rPr>
                <w:b/>
                <w:bCs/>
                <w:szCs w:val="24"/>
              </w:rPr>
              <w:instrText>":"</w:instrText>
            </w:r>
            <w:r w:rsidR="00053AE8">
              <w:rPr>
                <w:b/>
                <w:bCs/>
                <w:szCs w:val="24"/>
                <w:lang w:val="en-US"/>
              </w:rPr>
              <w:instrText>Elsevier</w:instrText>
            </w:r>
            <w:r w:rsidR="00053AE8" w:rsidRPr="002B3AE7">
              <w:rPr>
                <w:b/>
                <w:bCs/>
                <w:szCs w:val="24"/>
              </w:rPr>
              <w:instrText xml:space="preserve"> </w:instrText>
            </w:r>
            <w:r w:rsidR="00053AE8">
              <w:rPr>
                <w:b/>
                <w:bCs/>
                <w:szCs w:val="24"/>
                <w:lang w:val="en-US"/>
              </w:rPr>
              <w:instrText>Inc</w:instrText>
            </w:r>
            <w:r w:rsidR="00053AE8" w:rsidRPr="002B3AE7">
              <w:rPr>
                <w:b/>
                <w:bCs/>
                <w:szCs w:val="24"/>
              </w:rPr>
              <w:instrText>.","</w:instrText>
            </w:r>
            <w:r w:rsidR="00053AE8">
              <w:rPr>
                <w:b/>
                <w:bCs/>
                <w:szCs w:val="24"/>
                <w:lang w:val="en-US"/>
              </w:rPr>
              <w:instrText>title</w:instrText>
            </w:r>
            <w:r w:rsidR="00053AE8" w:rsidRPr="002B3AE7">
              <w:rPr>
                <w:b/>
                <w:bCs/>
                <w:szCs w:val="24"/>
              </w:rPr>
              <w:instrText>":"</w:instrText>
            </w:r>
            <w:r w:rsidR="00053AE8">
              <w:rPr>
                <w:b/>
                <w:bCs/>
                <w:szCs w:val="24"/>
                <w:lang w:val="en-US"/>
              </w:rPr>
              <w:instrText>BEAM</w:instrText>
            </w:r>
            <w:r w:rsidR="00053AE8" w:rsidRPr="002B3AE7">
              <w:rPr>
                <w:b/>
                <w:bCs/>
                <w:szCs w:val="24"/>
              </w:rPr>
              <w:instrText xml:space="preserve"> </w:instrText>
            </w:r>
            <w:r w:rsidR="00053AE8">
              <w:rPr>
                <w:b/>
                <w:bCs/>
                <w:szCs w:val="24"/>
                <w:lang w:val="en-US"/>
              </w:rPr>
              <w:instrText>versus</w:instrText>
            </w:r>
            <w:r w:rsidR="00053AE8" w:rsidRPr="002B3AE7">
              <w:rPr>
                <w:b/>
                <w:bCs/>
                <w:szCs w:val="24"/>
              </w:rPr>
              <w:instrText xml:space="preserve"> </w:instrText>
            </w:r>
            <w:r w:rsidR="00053AE8">
              <w:rPr>
                <w:b/>
                <w:bCs/>
                <w:szCs w:val="24"/>
                <w:lang w:val="en-US"/>
              </w:rPr>
              <w:instrText>BUCYVP</w:instrText>
            </w:r>
            <w:r w:rsidR="00053AE8" w:rsidRPr="002B3AE7">
              <w:rPr>
                <w:b/>
                <w:bCs/>
                <w:szCs w:val="24"/>
              </w:rPr>
              <w:instrText xml:space="preserve">16 </w:instrText>
            </w:r>
            <w:r w:rsidR="00053AE8">
              <w:rPr>
                <w:b/>
                <w:bCs/>
                <w:szCs w:val="24"/>
                <w:lang w:val="en-US"/>
              </w:rPr>
              <w:instrText>Conditioning</w:instrText>
            </w:r>
            <w:r w:rsidR="00053AE8" w:rsidRPr="002B3AE7">
              <w:rPr>
                <w:b/>
                <w:bCs/>
                <w:szCs w:val="24"/>
              </w:rPr>
              <w:instrText xml:space="preserve"> </w:instrText>
            </w:r>
            <w:r w:rsidR="00053AE8">
              <w:rPr>
                <w:b/>
                <w:bCs/>
                <w:szCs w:val="24"/>
                <w:lang w:val="en-US"/>
              </w:rPr>
              <w:instrText>before</w:instrText>
            </w:r>
            <w:r w:rsidR="00053AE8" w:rsidRPr="002B3AE7">
              <w:rPr>
                <w:b/>
                <w:bCs/>
                <w:szCs w:val="24"/>
              </w:rPr>
              <w:instrText xml:space="preserve"> </w:instrText>
            </w:r>
            <w:r w:rsidR="00053AE8">
              <w:rPr>
                <w:b/>
                <w:bCs/>
                <w:szCs w:val="24"/>
                <w:lang w:val="en-US"/>
              </w:rPr>
              <w:instrText>Autologous</w:instrText>
            </w:r>
            <w:r w:rsidR="00053AE8" w:rsidRPr="002B3AE7">
              <w:rPr>
                <w:b/>
                <w:bCs/>
                <w:szCs w:val="24"/>
              </w:rPr>
              <w:instrText xml:space="preserve"> </w:instrText>
            </w:r>
            <w:r w:rsidR="00053AE8">
              <w:rPr>
                <w:b/>
                <w:bCs/>
                <w:szCs w:val="24"/>
                <w:lang w:val="en-US"/>
              </w:rPr>
              <w:instrText>Hematopoietic</w:instrText>
            </w:r>
            <w:r w:rsidR="00053AE8" w:rsidRPr="002B3AE7">
              <w:rPr>
                <w:b/>
                <w:bCs/>
                <w:szCs w:val="24"/>
              </w:rPr>
              <w:instrText xml:space="preserve"> </w:instrText>
            </w:r>
            <w:r w:rsidR="00053AE8">
              <w:rPr>
                <w:b/>
                <w:bCs/>
                <w:szCs w:val="24"/>
                <w:lang w:val="en-US"/>
              </w:rPr>
              <w:instrText>Stem</w:instrText>
            </w:r>
            <w:r w:rsidR="00053AE8" w:rsidRPr="002B3AE7">
              <w:rPr>
                <w:b/>
                <w:bCs/>
                <w:szCs w:val="24"/>
              </w:rPr>
              <w:instrText xml:space="preserve"> </w:instrText>
            </w:r>
            <w:r w:rsidR="00053AE8">
              <w:rPr>
                <w:b/>
                <w:bCs/>
                <w:szCs w:val="24"/>
                <w:lang w:val="en-US"/>
              </w:rPr>
              <w:instrText>Cell</w:instrText>
            </w:r>
            <w:r w:rsidR="00053AE8" w:rsidRPr="002B3AE7">
              <w:rPr>
                <w:b/>
                <w:bCs/>
                <w:szCs w:val="24"/>
              </w:rPr>
              <w:instrText xml:space="preserve"> </w:instrText>
            </w:r>
            <w:r w:rsidR="00053AE8">
              <w:rPr>
                <w:b/>
                <w:bCs/>
                <w:szCs w:val="24"/>
                <w:lang w:val="en-US"/>
              </w:rPr>
              <w:instrText>Transplant</w:instrText>
            </w:r>
            <w:r w:rsidR="00053AE8" w:rsidRPr="002B3AE7">
              <w:rPr>
                <w:b/>
                <w:bCs/>
                <w:szCs w:val="24"/>
              </w:rPr>
              <w:instrText xml:space="preserve"> </w:instrText>
            </w:r>
            <w:r w:rsidR="00053AE8">
              <w:rPr>
                <w:b/>
                <w:bCs/>
                <w:szCs w:val="24"/>
                <w:lang w:val="en-US"/>
              </w:rPr>
              <w:instrText>in</w:instrText>
            </w:r>
            <w:r w:rsidR="00053AE8" w:rsidRPr="002B3AE7">
              <w:rPr>
                <w:b/>
                <w:bCs/>
                <w:szCs w:val="24"/>
              </w:rPr>
              <w:instrText xml:space="preserve"> </w:instrText>
            </w:r>
            <w:r w:rsidR="00053AE8">
              <w:rPr>
                <w:b/>
                <w:bCs/>
                <w:szCs w:val="24"/>
                <w:lang w:val="en-US"/>
              </w:rPr>
              <w:instrText>Patients</w:instrText>
            </w:r>
            <w:r w:rsidR="00053AE8" w:rsidRPr="002B3AE7">
              <w:rPr>
                <w:b/>
                <w:bCs/>
                <w:szCs w:val="24"/>
              </w:rPr>
              <w:instrText xml:space="preserve"> </w:instrText>
            </w:r>
            <w:r w:rsidR="00053AE8">
              <w:rPr>
                <w:b/>
                <w:bCs/>
                <w:szCs w:val="24"/>
                <w:lang w:val="en-US"/>
              </w:rPr>
              <w:instrText>with</w:instrText>
            </w:r>
            <w:r w:rsidR="00053AE8" w:rsidRPr="002B3AE7">
              <w:rPr>
                <w:b/>
                <w:bCs/>
                <w:szCs w:val="24"/>
              </w:rPr>
              <w:instrText xml:space="preserve"> </w:instrText>
            </w:r>
            <w:r w:rsidR="00053AE8">
              <w:rPr>
                <w:b/>
                <w:bCs/>
                <w:szCs w:val="24"/>
                <w:lang w:val="en-US"/>
              </w:rPr>
              <w:instrText>Hodgkin</w:instrText>
            </w:r>
            <w:r w:rsidR="00053AE8" w:rsidRPr="002B3AE7">
              <w:rPr>
                <w:b/>
                <w:bCs/>
                <w:szCs w:val="24"/>
              </w:rPr>
              <w:instrText xml:space="preserve"> </w:instrText>
            </w:r>
            <w:r w:rsidR="00053AE8">
              <w:rPr>
                <w:b/>
                <w:bCs/>
                <w:szCs w:val="24"/>
                <w:lang w:val="en-US"/>
              </w:rPr>
              <w:instrText>Lymphoma</w:instrText>
            </w:r>
            <w:r w:rsidR="00053AE8" w:rsidRPr="002B3AE7">
              <w:rPr>
                <w:b/>
                <w:bCs/>
                <w:szCs w:val="24"/>
              </w:rPr>
              <w:instrText>","</w:instrText>
            </w:r>
            <w:r w:rsidR="00053AE8">
              <w:rPr>
                <w:b/>
                <w:bCs/>
                <w:szCs w:val="24"/>
                <w:lang w:val="en-US"/>
              </w:rPr>
              <w:instrText>type</w:instrText>
            </w:r>
            <w:r w:rsidR="00053AE8" w:rsidRPr="002B3AE7">
              <w:rPr>
                <w:b/>
                <w:bCs/>
                <w:szCs w:val="24"/>
              </w:rPr>
              <w:instrText>":"</w:instrText>
            </w:r>
            <w:r w:rsidR="00053AE8">
              <w:rPr>
                <w:b/>
                <w:bCs/>
                <w:szCs w:val="24"/>
                <w:lang w:val="en-US"/>
              </w:rPr>
              <w:instrText>article</w:instrText>
            </w:r>
            <w:r w:rsidR="00053AE8" w:rsidRPr="002B3AE7">
              <w:rPr>
                <w:b/>
                <w:bCs/>
                <w:szCs w:val="24"/>
              </w:rPr>
              <w:instrText>-</w:instrText>
            </w:r>
            <w:r w:rsidR="00053AE8">
              <w:rPr>
                <w:b/>
                <w:bCs/>
                <w:szCs w:val="24"/>
                <w:lang w:val="en-US"/>
              </w:rPr>
              <w:instrText>journal</w:instrText>
            </w:r>
            <w:r w:rsidR="00053AE8" w:rsidRPr="002B3AE7">
              <w:rPr>
                <w:b/>
                <w:bCs/>
                <w:szCs w:val="24"/>
              </w:rPr>
              <w:instrText>","</w:instrText>
            </w:r>
            <w:r w:rsidR="00053AE8">
              <w:rPr>
                <w:b/>
                <w:bCs/>
                <w:szCs w:val="24"/>
                <w:lang w:val="en-US"/>
              </w:rPr>
              <w:instrText>volume</w:instrText>
            </w:r>
            <w:r w:rsidR="00053AE8" w:rsidRPr="002B3AE7">
              <w:rPr>
                <w:b/>
                <w:bCs/>
                <w:szCs w:val="24"/>
              </w:rPr>
              <w:instrText>":"25"},"</w:instrText>
            </w:r>
            <w:r w:rsidR="00053AE8">
              <w:rPr>
                <w:b/>
                <w:bCs/>
                <w:szCs w:val="24"/>
                <w:lang w:val="en-US"/>
              </w:rPr>
              <w:instrText>uris</w:instrText>
            </w:r>
            <w:r w:rsidR="00053AE8" w:rsidRPr="002B3AE7">
              <w:rPr>
                <w:b/>
                <w:bCs/>
                <w:szCs w:val="24"/>
              </w:rPr>
              <w:instrText>":["</w:instrText>
            </w:r>
            <w:r w:rsidR="00053AE8">
              <w:rPr>
                <w:b/>
                <w:bCs/>
                <w:szCs w:val="24"/>
                <w:lang w:val="en-US"/>
              </w:rPr>
              <w:instrText>http</w:instrText>
            </w:r>
            <w:r w:rsidR="00053AE8" w:rsidRPr="002B3AE7">
              <w:rPr>
                <w:b/>
                <w:bCs/>
                <w:szCs w:val="24"/>
              </w:rPr>
              <w:instrText>://</w:instrText>
            </w:r>
            <w:r w:rsidR="00053AE8">
              <w:rPr>
                <w:b/>
                <w:bCs/>
                <w:szCs w:val="24"/>
                <w:lang w:val="en-US"/>
              </w:rPr>
              <w:instrText>www</w:instrText>
            </w:r>
            <w:r w:rsidR="00053AE8" w:rsidRPr="002B3AE7">
              <w:rPr>
                <w:b/>
                <w:bCs/>
                <w:szCs w:val="24"/>
              </w:rPr>
              <w:instrText>.</w:instrText>
            </w:r>
            <w:r w:rsidR="00053AE8">
              <w:rPr>
                <w:b/>
                <w:bCs/>
                <w:szCs w:val="24"/>
                <w:lang w:val="en-US"/>
              </w:rPr>
              <w:instrText>mendeley</w:instrText>
            </w:r>
            <w:r w:rsidR="00053AE8" w:rsidRPr="002B3AE7">
              <w:rPr>
                <w:b/>
                <w:bCs/>
                <w:szCs w:val="24"/>
              </w:rPr>
              <w:instrText>.</w:instrText>
            </w:r>
            <w:r w:rsidR="00053AE8">
              <w:rPr>
                <w:b/>
                <w:bCs/>
                <w:szCs w:val="24"/>
                <w:lang w:val="en-US"/>
              </w:rPr>
              <w:instrText>com</w:instrText>
            </w:r>
            <w:r w:rsidR="00053AE8" w:rsidRPr="002B3AE7">
              <w:rPr>
                <w:b/>
                <w:bCs/>
                <w:szCs w:val="24"/>
              </w:rPr>
              <w:instrText>/</w:instrText>
            </w:r>
            <w:r w:rsidR="00053AE8">
              <w:rPr>
                <w:b/>
                <w:bCs/>
                <w:szCs w:val="24"/>
                <w:lang w:val="en-US"/>
              </w:rPr>
              <w:instrText>documents</w:instrText>
            </w:r>
            <w:r w:rsidR="00053AE8" w:rsidRPr="002B3AE7">
              <w:rPr>
                <w:b/>
                <w:bCs/>
                <w:szCs w:val="24"/>
              </w:rPr>
              <w:instrText>/?</w:instrText>
            </w:r>
            <w:r w:rsidR="00053AE8">
              <w:rPr>
                <w:b/>
                <w:bCs/>
                <w:szCs w:val="24"/>
                <w:lang w:val="en-US"/>
              </w:rPr>
              <w:instrText>uuid</w:instrText>
            </w:r>
            <w:r w:rsidR="00053AE8" w:rsidRPr="002B3AE7">
              <w:rPr>
                <w:b/>
                <w:bCs/>
                <w:szCs w:val="24"/>
              </w:rPr>
              <w:instrText>=56</w:instrText>
            </w:r>
            <w:r w:rsidR="00053AE8">
              <w:rPr>
                <w:b/>
                <w:bCs/>
                <w:szCs w:val="24"/>
                <w:lang w:val="en-US"/>
              </w:rPr>
              <w:instrText>e</w:instrText>
            </w:r>
            <w:r w:rsidR="00053AE8" w:rsidRPr="002B3AE7">
              <w:rPr>
                <w:b/>
                <w:bCs/>
                <w:szCs w:val="24"/>
              </w:rPr>
              <w:instrText>75788-5</w:instrText>
            </w:r>
            <w:r w:rsidR="00053AE8">
              <w:rPr>
                <w:b/>
                <w:bCs/>
                <w:szCs w:val="24"/>
                <w:lang w:val="en-US"/>
              </w:rPr>
              <w:instrText>b</w:instrText>
            </w:r>
            <w:r w:rsidR="00053AE8" w:rsidRPr="002B3AE7">
              <w:rPr>
                <w:b/>
                <w:bCs/>
                <w:szCs w:val="24"/>
              </w:rPr>
              <w:instrText>8</w:instrText>
            </w:r>
            <w:r w:rsidR="00053AE8">
              <w:rPr>
                <w:b/>
                <w:bCs/>
                <w:szCs w:val="24"/>
                <w:lang w:val="en-US"/>
              </w:rPr>
              <w:instrText>c</w:instrText>
            </w:r>
            <w:r w:rsidR="00053AE8" w:rsidRPr="002B3AE7">
              <w:rPr>
                <w:b/>
                <w:bCs/>
                <w:szCs w:val="24"/>
              </w:rPr>
              <w:instrText>-3</w:instrText>
            </w:r>
            <w:r w:rsidR="00053AE8">
              <w:rPr>
                <w:b/>
                <w:bCs/>
                <w:szCs w:val="24"/>
                <w:lang w:val="en-US"/>
              </w:rPr>
              <w:instrText>f</w:instrText>
            </w:r>
            <w:r w:rsidR="00053AE8" w:rsidRPr="002B3AE7">
              <w:rPr>
                <w:b/>
                <w:bCs/>
                <w:szCs w:val="24"/>
              </w:rPr>
              <w:instrText>86-</w:instrText>
            </w:r>
            <w:r w:rsidR="00053AE8">
              <w:rPr>
                <w:b/>
                <w:bCs/>
                <w:szCs w:val="24"/>
                <w:lang w:val="en-US"/>
              </w:rPr>
              <w:instrText>a</w:instrText>
            </w:r>
            <w:r w:rsidR="00053AE8" w:rsidRPr="002B3AE7">
              <w:rPr>
                <w:b/>
                <w:bCs/>
                <w:szCs w:val="24"/>
              </w:rPr>
              <w:instrText>270-4851</w:instrText>
            </w:r>
            <w:r w:rsidR="00053AE8">
              <w:rPr>
                <w:b/>
                <w:bCs/>
                <w:szCs w:val="24"/>
                <w:lang w:val="en-US"/>
              </w:rPr>
              <w:instrText>b</w:instrText>
            </w:r>
            <w:r w:rsidR="00053AE8" w:rsidRPr="002B3AE7">
              <w:rPr>
                <w:b/>
                <w:bCs/>
                <w:szCs w:val="24"/>
              </w:rPr>
              <w:instrText>64</w:instrText>
            </w:r>
            <w:r w:rsidR="00053AE8">
              <w:rPr>
                <w:b/>
                <w:bCs/>
                <w:szCs w:val="24"/>
                <w:lang w:val="en-US"/>
              </w:rPr>
              <w:instrText>ae</w:instrText>
            </w:r>
            <w:r w:rsidR="00053AE8" w:rsidRPr="002B3AE7">
              <w:rPr>
                <w:b/>
                <w:bCs/>
                <w:szCs w:val="24"/>
              </w:rPr>
              <w:instrText>340"]}],"</w:instrText>
            </w:r>
            <w:r w:rsidR="00053AE8">
              <w:rPr>
                <w:b/>
                <w:bCs/>
                <w:szCs w:val="24"/>
                <w:lang w:val="en-US"/>
              </w:rPr>
              <w:instrText>mendeley</w:instrText>
            </w:r>
            <w:r w:rsidR="00053AE8" w:rsidRPr="002B3AE7">
              <w:rPr>
                <w:b/>
                <w:bCs/>
                <w:szCs w:val="24"/>
              </w:rPr>
              <w:instrText>":{"</w:instrText>
            </w:r>
            <w:r w:rsidR="00053AE8">
              <w:rPr>
                <w:b/>
                <w:bCs/>
                <w:szCs w:val="24"/>
                <w:lang w:val="en-US"/>
              </w:rPr>
              <w:instrText>formattedCitation</w:instrText>
            </w:r>
            <w:r w:rsidR="00053AE8" w:rsidRPr="002B3AE7">
              <w:rPr>
                <w:b/>
                <w:bCs/>
                <w:szCs w:val="24"/>
              </w:rPr>
              <w:instrText>":"[136]","</w:instrText>
            </w:r>
            <w:r w:rsidR="00053AE8">
              <w:rPr>
                <w:b/>
                <w:bCs/>
                <w:szCs w:val="24"/>
                <w:lang w:val="en-US"/>
              </w:rPr>
              <w:instrText>plainTextFormattedCitation</w:instrText>
            </w:r>
            <w:r w:rsidR="00053AE8" w:rsidRPr="002B3AE7">
              <w:rPr>
                <w:b/>
                <w:bCs/>
                <w:szCs w:val="24"/>
              </w:rPr>
              <w:instrText>":"[136]","</w:instrText>
            </w:r>
            <w:r w:rsidR="00053AE8">
              <w:rPr>
                <w:b/>
                <w:bCs/>
                <w:szCs w:val="24"/>
                <w:lang w:val="en-US"/>
              </w:rPr>
              <w:instrText>previouslyFormattedCitation</w:instrText>
            </w:r>
            <w:r w:rsidR="00053AE8" w:rsidRPr="002B3AE7">
              <w:rPr>
                <w:b/>
                <w:bCs/>
                <w:szCs w:val="24"/>
              </w:rPr>
              <w:instrText>":"[136]"},"</w:instrText>
            </w:r>
            <w:r w:rsidR="00053AE8">
              <w:rPr>
                <w:b/>
                <w:bCs/>
                <w:szCs w:val="24"/>
                <w:lang w:val="en-US"/>
              </w:rPr>
              <w:instrText>properties</w:instrText>
            </w:r>
            <w:r w:rsidR="00053AE8" w:rsidRPr="002B3AE7">
              <w:rPr>
                <w:b/>
                <w:bCs/>
                <w:szCs w:val="24"/>
              </w:rPr>
              <w:instrText>":{"</w:instrText>
            </w:r>
            <w:r w:rsidR="00053AE8">
              <w:rPr>
                <w:b/>
                <w:bCs/>
                <w:szCs w:val="24"/>
                <w:lang w:val="en-US"/>
              </w:rPr>
              <w:instrText>noteIndex</w:instrText>
            </w:r>
            <w:r w:rsidR="00053AE8" w:rsidRPr="002B3AE7">
              <w:rPr>
                <w:b/>
                <w:bCs/>
                <w:szCs w:val="24"/>
              </w:rPr>
              <w:instrText>":0},"</w:instrText>
            </w:r>
            <w:r w:rsidR="00053AE8">
              <w:rPr>
                <w:b/>
                <w:bCs/>
                <w:szCs w:val="24"/>
                <w:lang w:val="en-US"/>
              </w:rPr>
              <w:instrText>schema</w:instrText>
            </w:r>
            <w:r w:rsidR="00053AE8" w:rsidRPr="002B3AE7">
              <w:rPr>
                <w:b/>
                <w:bCs/>
                <w:szCs w:val="24"/>
              </w:rPr>
              <w:instrText>":"</w:instrText>
            </w:r>
            <w:r w:rsidR="00053AE8">
              <w:rPr>
                <w:b/>
                <w:bCs/>
                <w:szCs w:val="24"/>
                <w:lang w:val="en-US"/>
              </w:rPr>
              <w:instrText>https</w:instrText>
            </w:r>
            <w:r w:rsidR="00053AE8" w:rsidRPr="002B3AE7">
              <w:rPr>
                <w:b/>
                <w:bCs/>
                <w:szCs w:val="24"/>
              </w:rPr>
              <w:instrText>://</w:instrText>
            </w:r>
            <w:r w:rsidR="00053AE8">
              <w:rPr>
                <w:b/>
                <w:bCs/>
                <w:szCs w:val="24"/>
                <w:lang w:val="en-US"/>
              </w:rPr>
              <w:instrText>github</w:instrText>
            </w:r>
            <w:r w:rsidR="00053AE8" w:rsidRPr="002B3AE7">
              <w:rPr>
                <w:b/>
                <w:bCs/>
                <w:szCs w:val="24"/>
              </w:rPr>
              <w:instrText>.</w:instrText>
            </w:r>
            <w:r w:rsidR="00053AE8">
              <w:rPr>
                <w:b/>
                <w:bCs/>
                <w:szCs w:val="24"/>
                <w:lang w:val="en-US"/>
              </w:rPr>
              <w:instrText>com</w:instrText>
            </w:r>
            <w:r w:rsidR="00053AE8" w:rsidRPr="002B3AE7">
              <w:rPr>
                <w:b/>
                <w:bCs/>
                <w:szCs w:val="24"/>
              </w:rPr>
              <w:instrText>/</w:instrText>
            </w:r>
            <w:r w:rsidR="00053AE8">
              <w:rPr>
                <w:b/>
                <w:bCs/>
                <w:szCs w:val="24"/>
                <w:lang w:val="en-US"/>
              </w:rPr>
              <w:instrText>citation</w:instrText>
            </w:r>
            <w:r w:rsidR="00053AE8" w:rsidRPr="002B3AE7">
              <w:rPr>
                <w:b/>
                <w:bCs/>
                <w:szCs w:val="24"/>
              </w:rPr>
              <w:instrText>-</w:instrText>
            </w:r>
            <w:r w:rsidR="00053AE8">
              <w:rPr>
                <w:b/>
                <w:bCs/>
                <w:szCs w:val="24"/>
                <w:lang w:val="en-US"/>
              </w:rPr>
              <w:instrText>style</w:instrText>
            </w:r>
            <w:r w:rsidR="00053AE8" w:rsidRPr="002B3AE7">
              <w:rPr>
                <w:b/>
                <w:bCs/>
                <w:szCs w:val="24"/>
              </w:rPr>
              <w:instrText>-</w:instrText>
            </w:r>
            <w:r w:rsidR="00053AE8">
              <w:rPr>
                <w:b/>
                <w:bCs/>
                <w:szCs w:val="24"/>
                <w:lang w:val="en-US"/>
              </w:rPr>
              <w:instrText>language</w:instrText>
            </w:r>
            <w:r w:rsidR="00053AE8" w:rsidRPr="002B3AE7">
              <w:rPr>
                <w:b/>
                <w:bCs/>
                <w:szCs w:val="24"/>
              </w:rPr>
              <w:instrText>/</w:instrText>
            </w:r>
            <w:r w:rsidR="00053AE8">
              <w:rPr>
                <w:b/>
                <w:bCs/>
                <w:szCs w:val="24"/>
                <w:lang w:val="en-US"/>
              </w:rPr>
              <w:instrText>schema</w:instrText>
            </w:r>
            <w:r w:rsidR="00053AE8" w:rsidRPr="002B3AE7">
              <w:rPr>
                <w:b/>
                <w:bCs/>
                <w:szCs w:val="24"/>
              </w:rPr>
              <w:instrText>/</w:instrText>
            </w:r>
            <w:r w:rsidR="00053AE8">
              <w:rPr>
                <w:b/>
                <w:bCs/>
                <w:szCs w:val="24"/>
                <w:lang w:val="en-US"/>
              </w:rPr>
              <w:instrText>raw</w:instrText>
            </w:r>
            <w:r w:rsidR="00053AE8" w:rsidRPr="002B3AE7">
              <w:rPr>
                <w:b/>
                <w:bCs/>
                <w:szCs w:val="24"/>
              </w:rPr>
              <w:instrText>/</w:instrText>
            </w:r>
            <w:r w:rsidR="00053AE8">
              <w:rPr>
                <w:b/>
                <w:bCs/>
                <w:szCs w:val="24"/>
                <w:lang w:val="en-US"/>
              </w:rPr>
              <w:instrText>master</w:instrText>
            </w:r>
            <w:r w:rsidR="00053AE8" w:rsidRPr="002B3AE7">
              <w:rPr>
                <w:b/>
                <w:bCs/>
                <w:szCs w:val="24"/>
              </w:rPr>
              <w:instrText>/</w:instrText>
            </w:r>
            <w:r w:rsidR="00053AE8">
              <w:rPr>
                <w:b/>
                <w:bCs/>
                <w:szCs w:val="24"/>
                <w:lang w:val="en-US"/>
              </w:rPr>
              <w:instrText>csl</w:instrText>
            </w:r>
            <w:r w:rsidR="00053AE8" w:rsidRPr="002B3AE7">
              <w:rPr>
                <w:b/>
                <w:bCs/>
                <w:szCs w:val="24"/>
              </w:rPr>
              <w:instrText>-</w:instrText>
            </w:r>
            <w:r w:rsidR="00053AE8">
              <w:rPr>
                <w:b/>
                <w:bCs/>
                <w:szCs w:val="24"/>
                <w:lang w:val="en-US"/>
              </w:rPr>
              <w:instrText>citation</w:instrText>
            </w:r>
            <w:r w:rsidR="00053AE8" w:rsidRPr="002B3AE7">
              <w:rPr>
                <w:b/>
                <w:bCs/>
                <w:szCs w:val="24"/>
              </w:rPr>
              <w:instrText>.</w:instrText>
            </w:r>
            <w:r w:rsidR="00053AE8">
              <w:rPr>
                <w:b/>
                <w:bCs/>
                <w:szCs w:val="24"/>
                <w:lang w:val="en-US"/>
              </w:rPr>
              <w:instrText>json</w:instrText>
            </w:r>
            <w:r w:rsidR="00053AE8" w:rsidRPr="002B3AE7">
              <w:rPr>
                <w:b/>
                <w:bCs/>
                <w:szCs w:val="24"/>
              </w:rPr>
              <w:instrText>"}</w:instrText>
            </w:r>
            <w:r w:rsidR="00BC002F">
              <w:rPr>
                <w:b/>
                <w:bCs/>
                <w:szCs w:val="24"/>
                <w:lang w:val="en-US"/>
              </w:rPr>
              <w:fldChar w:fldCharType="separate"/>
            </w:r>
            <w:r w:rsidR="00A60C8A" w:rsidRPr="00A60C8A">
              <w:rPr>
                <w:bCs/>
                <w:noProof/>
                <w:szCs w:val="24"/>
              </w:rPr>
              <w:t>[136]</w:t>
            </w:r>
            <w:r w:rsidR="00BC002F">
              <w:rPr>
                <w:b/>
                <w:bCs/>
                <w:szCs w:val="24"/>
                <w:lang w:val="en-US"/>
              </w:rPr>
              <w:fldChar w:fldCharType="end"/>
            </w:r>
          </w:p>
        </w:tc>
      </w:tr>
      <w:tr w:rsidR="00D84C86" w:rsidRPr="000C0218" w14:paraId="55184BBD" w14:textId="77777777" w:rsidTr="00F533A5">
        <w:trPr>
          <w:trHeight w:val="329"/>
        </w:trPr>
        <w:tc>
          <w:tcPr>
            <w:tcW w:w="2339" w:type="dxa"/>
            <w:tcBorders>
              <w:top w:val="single" w:sz="4" w:space="0" w:color="auto"/>
              <w:left w:val="single" w:sz="4" w:space="0" w:color="auto"/>
              <w:bottom w:val="single" w:sz="4" w:space="0" w:color="auto"/>
              <w:right w:val="single" w:sz="4" w:space="0" w:color="auto"/>
            </w:tcBorders>
            <w:hideMark/>
          </w:tcPr>
          <w:p w14:paraId="49CBD41D" w14:textId="77777777" w:rsidR="00D84C86" w:rsidRPr="000C0218" w:rsidRDefault="00D84C86" w:rsidP="00F533A5">
            <w:pPr>
              <w:spacing w:line="240" w:lineRule="auto"/>
              <w:ind w:firstLine="0"/>
              <w:jc w:val="left"/>
              <w:rPr>
                <w:szCs w:val="24"/>
              </w:rPr>
            </w:pPr>
            <w:r w:rsidRPr="00EA5B5D">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2B954805" w14:textId="77777777" w:rsidR="00D84C86" w:rsidRPr="000C0218" w:rsidRDefault="00D84C86" w:rsidP="00F533A5">
            <w:pPr>
              <w:spacing w:line="240" w:lineRule="auto"/>
              <w:ind w:firstLine="0"/>
              <w:jc w:val="left"/>
              <w:rPr>
                <w:szCs w:val="24"/>
              </w:rPr>
            </w:pPr>
            <w:r w:rsidRPr="00EA5B5D">
              <w:rPr>
                <w:szCs w:val="24"/>
              </w:rPr>
              <w:t>Стандартная</w:t>
            </w:r>
            <w:r w:rsidRPr="000C0218">
              <w:rPr>
                <w:szCs w:val="24"/>
              </w:rPr>
              <w:t xml:space="preserve"> </w:t>
            </w:r>
            <w:r w:rsidRPr="00EA5B5D">
              <w:rPr>
                <w:szCs w:val="24"/>
              </w:rPr>
              <w:t>доза</w:t>
            </w:r>
          </w:p>
        </w:tc>
        <w:tc>
          <w:tcPr>
            <w:tcW w:w="2339" w:type="dxa"/>
            <w:tcBorders>
              <w:top w:val="single" w:sz="4" w:space="0" w:color="auto"/>
              <w:left w:val="single" w:sz="4" w:space="0" w:color="auto"/>
              <w:bottom w:val="single" w:sz="4" w:space="0" w:color="auto"/>
              <w:right w:val="single" w:sz="4" w:space="0" w:color="auto"/>
            </w:tcBorders>
            <w:hideMark/>
          </w:tcPr>
          <w:p w14:paraId="18F8AD21" w14:textId="77777777" w:rsidR="00D84C86" w:rsidRPr="000C0218" w:rsidRDefault="00D84C86" w:rsidP="00F533A5">
            <w:pPr>
              <w:spacing w:line="240" w:lineRule="auto"/>
              <w:ind w:firstLine="0"/>
              <w:jc w:val="left"/>
              <w:rPr>
                <w:szCs w:val="24"/>
              </w:rPr>
            </w:pPr>
            <w:r w:rsidRPr="00EA5B5D">
              <w:rPr>
                <w:szCs w:val="24"/>
              </w:rPr>
              <w:t>Путь</w:t>
            </w:r>
            <w:r w:rsidRPr="000C0218">
              <w:rPr>
                <w:szCs w:val="24"/>
              </w:rPr>
              <w:t xml:space="preserve"> </w:t>
            </w:r>
            <w:r w:rsidRPr="00EA5B5D">
              <w:rPr>
                <w:szCs w:val="24"/>
              </w:rPr>
              <w:t>введения</w:t>
            </w:r>
          </w:p>
        </w:tc>
        <w:tc>
          <w:tcPr>
            <w:tcW w:w="2339" w:type="dxa"/>
            <w:tcBorders>
              <w:top w:val="single" w:sz="4" w:space="0" w:color="auto"/>
              <w:left w:val="single" w:sz="4" w:space="0" w:color="auto"/>
              <w:bottom w:val="single" w:sz="4" w:space="0" w:color="auto"/>
              <w:right w:val="single" w:sz="4" w:space="0" w:color="auto"/>
            </w:tcBorders>
            <w:hideMark/>
          </w:tcPr>
          <w:p w14:paraId="17167F24" w14:textId="77777777" w:rsidR="00D84C86" w:rsidRPr="000C0218" w:rsidRDefault="00D84C86" w:rsidP="00F533A5">
            <w:pPr>
              <w:spacing w:line="240" w:lineRule="auto"/>
              <w:ind w:firstLine="0"/>
              <w:jc w:val="left"/>
              <w:rPr>
                <w:szCs w:val="24"/>
              </w:rPr>
            </w:pPr>
            <w:r w:rsidRPr="00EA5B5D">
              <w:rPr>
                <w:szCs w:val="24"/>
              </w:rPr>
              <w:t>Дни</w:t>
            </w:r>
            <w:r w:rsidRPr="000C0218">
              <w:rPr>
                <w:szCs w:val="24"/>
              </w:rPr>
              <w:t xml:space="preserve"> </w:t>
            </w:r>
            <w:r w:rsidRPr="00EA5B5D">
              <w:rPr>
                <w:szCs w:val="24"/>
              </w:rPr>
              <w:t>введения</w:t>
            </w:r>
          </w:p>
        </w:tc>
      </w:tr>
      <w:tr w:rsidR="00D84C86" w:rsidRPr="000C0218" w14:paraId="0F53D356" w14:textId="77777777" w:rsidTr="00F533A5">
        <w:trPr>
          <w:trHeight w:val="329"/>
        </w:trPr>
        <w:tc>
          <w:tcPr>
            <w:tcW w:w="2339" w:type="dxa"/>
            <w:tcBorders>
              <w:top w:val="single" w:sz="4" w:space="0" w:color="auto"/>
              <w:left w:val="single" w:sz="4" w:space="0" w:color="auto"/>
              <w:bottom w:val="single" w:sz="4" w:space="0" w:color="auto"/>
              <w:right w:val="single" w:sz="4" w:space="0" w:color="auto"/>
            </w:tcBorders>
            <w:hideMark/>
          </w:tcPr>
          <w:p w14:paraId="201E6C53" w14:textId="77777777" w:rsidR="00D84C86" w:rsidRPr="000C0218" w:rsidRDefault="00D84C86" w:rsidP="00D84C86">
            <w:pPr>
              <w:spacing w:line="240" w:lineRule="auto"/>
              <w:ind w:firstLine="0"/>
              <w:jc w:val="left"/>
              <w:rPr>
                <w:szCs w:val="24"/>
              </w:rPr>
            </w:pPr>
            <w:r w:rsidRPr="00D84C86">
              <w:rPr>
                <w:szCs w:val="24"/>
              </w:rPr>
              <w:t>Кармустин</w:t>
            </w:r>
            <w:r w:rsidR="000E2605" w:rsidRPr="000C0218">
              <w:rPr>
                <w:szCs w:val="24"/>
              </w:rPr>
              <w:t>**</w:t>
            </w:r>
          </w:p>
        </w:tc>
        <w:tc>
          <w:tcPr>
            <w:tcW w:w="2339" w:type="dxa"/>
            <w:tcBorders>
              <w:top w:val="single" w:sz="4" w:space="0" w:color="auto"/>
              <w:left w:val="single" w:sz="4" w:space="0" w:color="auto"/>
              <w:bottom w:val="single" w:sz="4" w:space="0" w:color="auto"/>
              <w:right w:val="single" w:sz="4" w:space="0" w:color="auto"/>
            </w:tcBorders>
          </w:tcPr>
          <w:p w14:paraId="4A2E7DC0" w14:textId="77777777" w:rsidR="00D84C86" w:rsidRPr="000C0218" w:rsidRDefault="00D84C86" w:rsidP="00D84C86">
            <w:pPr>
              <w:spacing w:line="240" w:lineRule="auto"/>
              <w:ind w:firstLine="0"/>
              <w:jc w:val="left"/>
              <w:rPr>
                <w:szCs w:val="24"/>
              </w:rPr>
            </w:pPr>
            <w:r w:rsidRPr="000C0218">
              <w:rPr>
                <w:szCs w:val="24"/>
              </w:rPr>
              <w:t xml:space="preserve">300 </w:t>
            </w:r>
            <w:r w:rsidRPr="00D84C86">
              <w:rPr>
                <w:szCs w:val="24"/>
              </w:rPr>
              <w:t>мг</w:t>
            </w:r>
            <w:r w:rsidRPr="000C0218">
              <w:rPr>
                <w:szCs w:val="24"/>
              </w:rPr>
              <w:t>/</w:t>
            </w:r>
            <w:r w:rsidRPr="00D84C86">
              <w:rPr>
                <w:szCs w:val="24"/>
              </w:rPr>
              <w:t>м</w:t>
            </w:r>
            <w:r w:rsidRPr="000C0218">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749B012B" w14:textId="77777777" w:rsidR="00D84C86" w:rsidRPr="000C0218" w:rsidRDefault="00D84C86" w:rsidP="00D84C86">
            <w:pPr>
              <w:spacing w:line="240" w:lineRule="auto"/>
              <w:ind w:firstLine="0"/>
              <w:jc w:val="left"/>
              <w:rPr>
                <w:szCs w:val="24"/>
              </w:rPr>
            </w:pPr>
            <w:r w:rsidRPr="00D84C86">
              <w:rPr>
                <w:szCs w:val="24"/>
              </w:rPr>
              <w:t>в</w:t>
            </w:r>
            <w:r w:rsidRPr="000C0218">
              <w:rPr>
                <w:szCs w:val="24"/>
              </w:rPr>
              <w:t>/</w:t>
            </w:r>
            <w:r w:rsidRPr="00D84C86">
              <w:rPr>
                <w:szCs w:val="24"/>
              </w:rPr>
              <w:t>в</w:t>
            </w:r>
            <w:r w:rsidRPr="000C0218">
              <w:rPr>
                <w:szCs w:val="24"/>
              </w:rPr>
              <w:t xml:space="preserve"> </w:t>
            </w:r>
            <w:r w:rsidRPr="00D84C86">
              <w:rPr>
                <w:szCs w:val="24"/>
              </w:rPr>
              <w:t>кап</w:t>
            </w:r>
            <w:r w:rsidRPr="000C0218">
              <w:rPr>
                <w:szCs w:val="24"/>
              </w:rPr>
              <w:t>.</w:t>
            </w:r>
          </w:p>
        </w:tc>
        <w:tc>
          <w:tcPr>
            <w:tcW w:w="2339" w:type="dxa"/>
            <w:tcBorders>
              <w:top w:val="single" w:sz="4" w:space="0" w:color="auto"/>
              <w:left w:val="single" w:sz="4" w:space="0" w:color="auto"/>
              <w:bottom w:val="single" w:sz="4" w:space="0" w:color="auto"/>
              <w:right w:val="single" w:sz="4" w:space="0" w:color="auto"/>
            </w:tcBorders>
          </w:tcPr>
          <w:p w14:paraId="7988C754" w14:textId="77777777" w:rsidR="00D84C86" w:rsidRPr="000C0218" w:rsidRDefault="00D84C86" w:rsidP="00D84C86">
            <w:pPr>
              <w:spacing w:line="240" w:lineRule="auto"/>
              <w:ind w:firstLine="0"/>
              <w:jc w:val="left"/>
              <w:rPr>
                <w:szCs w:val="24"/>
              </w:rPr>
            </w:pPr>
            <w:r w:rsidRPr="000C0218">
              <w:rPr>
                <w:szCs w:val="24"/>
              </w:rPr>
              <w:t>-6</w:t>
            </w:r>
          </w:p>
        </w:tc>
      </w:tr>
      <w:tr w:rsidR="00D84C86" w:rsidRPr="000C0218" w14:paraId="04C5B5AF" w14:textId="77777777" w:rsidTr="00F533A5">
        <w:trPr>
          <w:trHeight w:val="329"/>
        </w:trPr>
        <w:tc>
          <w:tcPr>
            <w:tcW w:w="2339" w:type="dxa"/>
            <w:tcBorders>
              <w:top w:val="single" w:sz="4" w:space="0" w:color="auto"/>
              <w:left w:val="single" w:sz="4" w:space="0" w:color="auto"/>
              <w:bottom w:val="single" w:sz="4" w:space="0" w:color="auto"/>
              <w:right w:val="single" w:sz="4" w:space="0" w:color="auto"/>
            </w:tcBorders>
          </w:tcPr>
          <w:p w14:paraId="1DDF3A6C" w14:textId="77777777" w:rsidR="00D84C86" w:rsidRPr="000C0218" w:rsidRDefault="00D84C86" w:rsidP="00D84C86">
            <w:pPr>
              <w:spacing w:line="240" w:lineRule="auto"/>
              <w:ind w:firstLine="0"/>
              <w:jc w:val="left"/>
              <w:rPr>
                <w:szCs w:val="24"/>
              </w:rPr>
            </w:pPr>
            <w:r w:rsidRPr="00D84C86">
              <w:rPr>
                <w:szCs w:val="24"/>
              </w:rPr>
              <w:t>Цит</w:t>
            </w:r>
            <w:r w:rsidR="00F43101">
              <w:rPr>
                <w:szCs w:val="24"/>
              </w:rPr>
              <w:t>арабин</w:t>
            </w:r>
            <w:r w:rsidR="000E2605" w:rsidRPr="000C0218">
              <w:rPr>
                <w:szCs w:val="24"/>
              </w:rPr>
              <w:t>**</w:t>
            </w:r>
          </w:p>
        </w:tc>
        <w:tc>
          <w:tcPr>
            <w:tcW w:w="2339" w:type="dxa"/>
            <w:tcBorders>
              <w:top w:val="single" w:sz="4" w:space="0" w:color="auto"/>
              <w:left w:val="single" w:sz="4" w:space="0" w:color="auto"/>
              <w:bottom w:val="single" w:sz="4" w:space="0" w:color="auto"/>
              <w:right w:val="single" w:sz="4" w:space="0" w:color="auto"/>
            </w:tcBorders>
          </w:tcPr>
          <w:p w14:paraId="17D11335" w14:textId="77777777" w:rsidR="00D84C86" w:rsidRPr="000C0218" w:rsidRDefault="00D84C86" w:rsidP="00D84C86">
            <w:pPr>
              <w:spacing w:line="240" w:lineRule="auto"/>
              <w:ind w:firstLine="0"/>
              <w:jc w:val="left"/>
              <w:rPr>
                <w:szCs w:val="24"/>
              </w:rPr>
            </w:pPr>
            <w:r w:rsidRPr="000C0218">
              <w:rPr>
                <w:szCs w:val="24"/>
              </w:rPr>
              <w:t xml:space="preserve">100 </w:t>
            </w:r>
            <w:r w:rsidRPr="00D84C86">
              <w:rPr>
                <w:szCs w:val="24"/>
              </w:rPr>
              <w:t>мг</w:t>
            </w:r>
            <w:r w:rsidRPr="000C0218">
              <w:rPr>
                <w:szCs w:val="24"/>
              </w:rPr>
              <w:t>/</w:t>
            </w:r>
            <w:r w:rsidRPr="00D84C86">
              <w:rPr>
                <w:szCs w:val="24"/>
              </w:rPr>
              <w:t>м</w:t>
            </w:r>
            <w:r w:rsidRPr="000C0218">
              <w:rPr>
                <w:szCs w:val="24"/>
                <w:vertAlign w:val="superscript"/>
              </w:rPr>
              <w:t>2</w:t>
            </w:r>
            <w:r w:rsidRPr="000C0218">
              <w:rPr>
                <w:szCs w:val="24"/>
              </w:rPr>
              <w:t xml:space="preserve"> </w:t>
            </w:r>
            <w:r w:rsidRPr="00D84C86">
              <w:rPr>
                <w:szCs w:val="24"/>
              </w:rPr>
              <w:t>каждые</w:t>
            </w:r>
            <w:r w:rsidRPr="000C0218">
              <w:rPr>
                <w:szCs w:val="24"/>
              </w:rPr>
              <w:t xml:space="preserve"> 12 </w:t>
            </w:r>
            <w:r w:rsidRPr="00D84C86">
              <w:rPr>
                <w:szCs w:val="24"/>
              </w:rPr>
              <w:t>часов</w:t>
            </w:r>
          </w:p>
        </w:tc>
        <w:tc>
          <w:tcPr>
            <w:tcW w:w="2339" w:type="dxa"/>
            <w:tcBorders>
              <w:top w:val="single" w:sz="4" w:space="0" w:color="auto"/>
              <w:left w:val="single" w:sz="4" w:space="0" w:color="auto"/>
              <w:bottom w:val="single" w:sz="4" w:space="0" w:color="auto"/>
              <w:right w:val="single" w:sz="4" w:space="0" w:color="auto"/>
            </w:tcBorders>
          </w:tcPr>
          <w:p w14:paraId="4ADAA727" w14:textId="77777777" w:rsidR="00D84C86" w:rsidRPr="000C0218" w:rsidRDefault="00D84C86" w:rsidP="00D84C86">
            <w:pPr>
              <w:spacing w:line="240" w:lineRule="auto"/>
              <w:ind w:firstLine="0"/>
              <w:jc w:val="left"/>
              <w:rPr>
                <w:szCs w:val="24"/>
              </w:rPr>
            </w:pPr>
            <w:r w:rsidRPr="00D84C86">
              <w:rPr>
                <w:szCs w:val="24"/>
              </w:rPr>
              <w:t>в</w:t>
            </w:r>
            <w:r w:rsidRPr="000C0218">
              <w:rPr>
                <w:szCs w:val="24"/>
              </w:rPr>
              <w:t>/</w:t>
            </w:r>
            <w:r w:rsidRPr="00D84C86">
              <w:rPr>
                <w:szCs w:val="24"/>
              </w:rPr>
              <w:t>в</w:t>
            </w:r>
            <w:r w:rsidRPr="000C0218">
              <w:rPr>
                <w:szCs w:val="24"/>
              </w:rPr>
              <w:t xml:space="preserve"> </w:t>
            </w:r>
            <w:r w:rsidRPr="00D84C86">
              <w:rPr>
                <w:szCs w:val="24"/>
              </w:rPr>
              <w:t>кап</w:t>
            </w:r>
            <w:r w:rsidRPr="000C0218">
              <w:rPr>
                <w:szCs w:val="24"/>
              </w:rPr>
              <w:t>.</w:t>
            </w:r>
          </w:p>
        </w:tc>
        <w:tc>
          <w:tcPr>
            <w:tcW w:w="2339" w:type="dxa"/>
            <w:tcBorders>
              <w:top w:val="single" w:sz="4" w:space="0" w:color="auto"/>
              <w:left w:val="single" w:sz="4" w:space="0" w:color="auto"/>
              <w:bottom w:val="single" w:sz="4" w:space="0" w:color="auto"/>
              <w:right w:val="single" w:sz="4" w:space="0" w:color="auto"/>
            </w:tcBorders>
          </w:tcPr>
          <w:p w14:paraId="414B6746" w14:textId="77777777" w:rsidR="00D84C86" w:rsidRPr="000C0218" w:rsidRDefault="00D84C86" w:rsidP="00D84C86">
            <w:pPr>
              <w:spacing w:line="240" w:lineRule="auto"/>
              <w:ind w:firstLine="0"/>
              <w:jc w:val="left"/>
              <w:rPr>
                <w:szCs w:val="24"/>
              </w:rPr>
            </w:pPr>
            <w:r w:rsidRPr="000C0218">
              <w:rPr>
                <w:szCs w:val="24"/>
              </w:rPr>
              <w:t>-5 - -2</w:t>
            </w:r>
          </w:p>
        </w:tc>
      </w:tr>
      <w:tr w:rsidR="00D84C86" w:rsidRPr="000C0218" w14:paraId="0FE5A99C" w14:textId="77777777" w:rsidTr="00F533A5">
        <w:trPr>
          <w:trHeight w:val="329"/>
        </w:trPr>
        <w:tc>
          <w:tcPr>
            <w:tcW w:w="2339" w:type="dxa"/>
            <w:tcBorders>
              <w:top w:val="single" w:sz="4" w:space="0" w:color="auto"/>
              <w:left w:val="single" w:sz="4" w:space="0" w:color="auto"/>
              <w:bottom w:val="single" w:sz="4" w:space="0" w:color="auto"/>
              <w:right w:val="single" w:sz="4" w:space="0" w:color="auto"/>
            </w:tcBorders>
          </w:tcPr>
          <w:p w14:paraId="2FD7B877" w14:textId="77777777" w:rsidR="00D84C86" w:rsidRPr="000C0218" w:rsidRDefault="00D84C86" w:rsidP="00D84C86">
            <w:pPr>
              <w:spacing w:line="240" w:lineRule="auto"/>
              <w:ind w:firstLine="0"/>
              <w:jc w:val="left"/>
              <w:rPr>
                <w:szCs w:val="24"/>
              </w:rPr>
            </w:pPr>
            <w:r w:rsidRPr="00D84C86">
              <w:rPr>
                <w:szCs w:val="24"/>
              </w:rPr>
              <w:t>Этопозид</w:t>
            </w:r>
            <w:r w:rsidR="000E2605" w:rsidRPr="000C0218">
              <w:rPr>
                <w:szCs w:val="24"/>
              </w:rPr>
              <w:t>**</w:t>
            </w:r>
          </w:p>
        </w:tc>
        <w:tc>
          <w:tcPr>
            <w:tcW w:w="2339" w:type="dxa"/>
            <w:tcBorders>
              <w:top w:val="single" w:sz="4" w:space="0" w:color="auto"/>
              <w:left w:val="single" w:sz="4" w:space="0" w:color="auto"/>
              <w:bottom w:val="single" w:sz="4" w:space="0" w:color="auto"/>
              <w:right w:val="single" w:sz="4" w:space="0" w:color="auto"/>
            </w:tcBorders>
          </w:tcPr>
          <w:p w14:paraId="01CC886C" w14:textId="77777777" w:rsidR="00D84C86" w:rsidRPr="000C0218" w:rsidRDefault="00D84C86" w:rsidP="00D84C86">
            <w:pPr>
              <w:spacing w:line="240" w:lineRule="auto"/>
              <w:ind w:firstLine="0"/>
              <w:jc w:val="left"/>
              <w:rPr>
                <w:szCs w:val="24"/>
              </w:rPr>
            </w:pPr>
            <w:r w:rsidRPr="000C0218">
              <w:rPr>
                <w:szCs w:val="24"/>
              </w:rPr>
              <w:t xml:space="preserve">100 </w:t>
            </w:r>
            <w:r w:rsidRPr="00D84C86">
              <w:rPr>
                <w:szCs w:val="24"/>
              </w:rPr>
              <w:t>мг</w:t>
            </w:r>
            <w:r w:rsidRPr="000C0218">
              <w:rPr>
                <w:szCs w:val="24"/>
              </w:rPr>
              <w:t>/</w:t>
            </w:r>
            <w:r w:rsidRPr="00D84C86">
              <w:rPr>
                <w:szCs w:val="24"/>
              </w:rPr>
              <w:t>м</w:t>
            </w:r>
            <w:r w:rsidRPr="000C0218">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1E9A4CE3" w14:textId="77777777" w:rsidR="00D84C86" w:rsidRPr="000C0218" w:rsidRDefault="00D84C86" w:rsidP="00D84C86">
            <w:pPr>
              <w:spacing w:line="240" w:lineRule="auto"/>
              <w:ind w:firstLine="0"/>
              <w:jc w:val="left"/>
              <w:rPr>
                <w:szCs w:val="24"/>
              </w:rPr>
            </w:pPr>
            <w:r w:rsidRPr="00D84C86">
              <w:rPr>
                <w:szCs w:val="24"/>
              </w:rPr>
              <w:t>в</w:t>
            </w:r>
            <w:r w:rsidRPr="000C0218">
              <w:rPr>
                <w:szCs w:val="24"/>
              </w:rPr>
              <w:t>/</w:t>
            </w:r>
            <w:r w:rsidRPr="00D84C86">
              <w:rPr>
                <w:szCs w:val="24"/>
              </w:rPr>
              <w:t>в</w:t>
            </w:r>
            <w:r w:rsidRPr="000C0218">
              <w:rPr>
                <w:szCs w:val="24"/>
              </w:rPr>
              <w:t xml:space="preserve"> </w:t>
            </w:r>
            <w:r w:rsidRPr="00D84C86">
              <w:rPr>
                <w:szCs w:val="24"/>
              </w:rPr>
              <w:t>кап</w:t>
            </w:r>
            <w:r w:rsidRPr="000C0218">
              <w:rPr>
                <w:szCs w:val="24"/>
              </w:rPr>
              <w:t>.</w:t>
            </w:r>
          </w:p>
        </w:tc>
        <w:tc>
          <w:tcPr>
            <w:tcW w:w="2339" w:type="dxa"/>
            <w:tcBorders>
              <w:top w:val="single" w:sz="4" w:space="0" w:color="auto"/>
              <w:left w:val="single" w:sz="4" w:space="0" w:color="auto"/>
              <w:bottom w:val="single" w:sz="4" w:space="0" w:color="auto"/>
              <w:right w:val="single" w:sz="4" w:space="0" w:color="auto"/>
            </w:tcBorders>
          </w:tcPr>
          <w:p w14:paraId="2084560B" w14:textId="77777777" w:rsidR="00D84C86" w:rsidRPr="000C0218" w:rsidRDefault="00D84C86" w:rsidP="00D84C86">
            <w:pPr>
              <w:spacing w:line="240" w:lineRule="auto"/>
              <w:ind w:firstLine="0"/>
              <w:jc w:val="left"/>
              <w:rPr>
                <w:szCs w:val="24"/>
              </w:rPr>
            </w:pPr>
            <w:r w:rsidRPr="000C0218">
              <w:rPr>
                <w:szCs w:val="24"/>
              </w:rPr>
              <w:t>-5 - -2</w:t>
            </w:r>
          </w:p>
        </w:tc>
      </w:tr>
      <w:tr w:rsidR="00D84C86" w:rsidRPr="000C0218" w14:paraId="3C589525" w14:textId="77777777" w:rsidTr="00F533A5">
        <w:trPr>
          <w:trHeight w:val="329"/>
        </w:trPr>
        <w:tc>
          <w:tcPr>
            <w:tcW w:w="2339" w:type="dxa"/>
            <w:tcBorders>
              <w:top w:val="single" w:sz="4" w:space="0" w:color="auto"/>
              <w:left w:val="single" w:sz="4" w:space="0" w:color="auto"/>
              <w:bottom w:val="single" w:sz="4" w:space="0" w:color="auto"/>
              <w:right w:val="single" w:sz="4" w:space="0" w:color="auto"/>
            </w:tcBorders>
          </w:tcPr>
          <w:p w14:paraId="78A86F54" w14:textId="77777777" w:rsidR="00D84C86" w:rsidRPr="000C0218" w:rsidRDefault="00D84C86" w:rsidP="00D84C86">
            <w:pPr>
              <w:spacing w:line="240" w:lineRule="auto"/>
              <w:ind w:firstLine="0"/>
              <w:jc w:val="left"/>
              <w:rPr>
                <w:szCs w:val="24"/>
              </w:rPr>
            </w:pPr>
            <w:r w:rsidRPr="00D84C86">
              <w:rPr>
                <w:szCs w:val="24"/>
              </w:rPr>
              <w:t>Мелфалан</w:t>
            </w:r>
            <w:r w:rsidR="000E2605" w:rsidRPr="000C0218">
              <w:rPr>
                <w:szCs w:val="24"/>
              </w:rPr>
              <w:t>**</w:t>
            </w:r>
          </w:p>
        </w:tc>
        <w:tc>
          <w:tcPr>
            <w:tcW w:w="2339" w:type="dxa"/>
            <w:tcBorders>
              <w:top w:val="single" w:sz="4" w:space="0" w:color="auto"/>
              <w:left w:val="single" w:sz="4" w:space="0" w:color="auto"/>
              <w:bottom w:val="single" w:sz="4" w:space="0" w:color="auto"/>
              <w:right w:val="single" w:sz="4" w:space="0" w:color="auto"/>
            </w:tcBorders>
          </w:tcPr>
          <w:p w14:paraId="70C3E96A" w14:textId="77777777" w:rsidR="00D84C86" w:rsidRPr="000C0218" w:rsidRDefault="00D84C86" w:rsidP="00D84C86">
            <w:pPr>
              <w:spacing w:line="240" w:lineRule="auto"/>
              <w:ind w:firstLine="0"/>
              <w:jc w:val="left"/>
              <w:rPr>
                <w:szCs w:val="24"/>
              </w:rPr>
            </w:pPr>
            <w:r w:rsidRPr="000C0218">
              <w:rPr>
                <w:szCs w:val="24"/>
              </w:rPr>
              <w:t xml:space="preserve">140 </w:t>
            </w:r>
            <w:r w:rsidRPr="00D84C86">
              <w:rPr>
                <w:szCs w:val="24"/>
              </w:rPr>
              <w:t>мг</w:t>
            </w:r>
            <w:r w:rsidRPr="000C0218">
              <w:rPr>
                <w:szCs w:val="24"/>
              </w:rPr>
              <w:t>/</w:t>
            </w:r>
            <w:r w:rsidRPr="00D84C86">
              <w:rPr>
                <w:szCs w:val="24"/>
              </w:rPr>
              <w:t>м</w:t>
            </w:r>
            <w:r w:rsidRPr="000C0218">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26DE8A1C" w14:textId="77777777" w:rsidR="00D84C86" w:rsidRPr="000C0218" w:rsidRDefault="00D84C86" w:rsidP="00D84C86">
            <w:pPr>
              <w:spacing w:line="240" w:lineRule="auto"/>
              <w:ind w:firstLine="0"/>
              <w:jc w:val="left"/>
              <w:rPr>
                <w:szCs w:val="24"/>
              </w:rPr>
            </w:pPr>
            <w:r w:rsidRPr="00D84C86">
              <w:rPr>
                <w:szCs w:val="24"/>
              </w:rPr>
              <w:t>в</w:t>
            </w:r>
            <w:r w:rsidRPr="000C0218">
              <w:rPr>
                <w:szCs w:val="24"/>
              </w:rPr>
              <w:t>/</w:t>
            </w:r>
            <w:r w:rsidRPr="00D84C86">
              <w:rPr>
                <w:szCs w:val="24"/>
              </w:rPr>
              <w:t>в</w:t>
            </w:r>
            <w:r w:rsidRPr="000C0218">
              <w:rPr>
                <w:szCs w:val="24"/>
              </w:rPr>
              <w:t xml:space="preserve"> </w:t>
            </w:r>
            <w:r w:rsidRPr="00D84C86">
              <w:rPr>
                <w:szCs w:val="24"/>
              </w:rPr>
              <w:t>кап</w:t>
            </w:r>
            <w:r w:rsidRPr="000C0218">
              <w:rPr>
                <w:szCs w:val="24"/>
              </w:rPr>
              <w:t>.</w:t>
            </w:r>
          </w:p>
        </w:tc>
        <w:tc>
          <w:tcPr>
            <w:tcW w:w="2339" w:type="dxa"/>
            <w:tcBorders>
              <w:top w:val="single" w:sz="4" w:space="0" w:color="auto"/>
              <w:left w:val="single" w:sz="4" w:space="0" w:color="auto"/>
              <w:bottom w:val="single" w:sz="4" w:space="0" w:color="auto"/>
              <w:right w:val="single" w:sz="4" w:space="0" w:color="auto"/>
            </w:tcBorders>
          </w:tcPr>
          <w:p w14:paraId="42651EBA" w14:textId="77777777" w:rsidR="00D84C86" w:rsidRPr="000C0218" w:rsidRDefault="00D84C86" w:rsidP="00D84C86">
            <w:pPr>
              <w:spacing w:line="240" w:lineRule="auto"/>
              <w:ind w:firstLine="0"/>
              <w:jc w:val="left"/>
              <w:rPr>
                <w:szCs w:val="24"/>
              </w:rPr>
            </w:pPr>
            <w:r w:rsidRPr="000C0218">
              <w:rPr>
                <w:szCs w:val="24"/>
              </w:rPr>
              <w:t>-1</w:t>
            </w:r>
          </w:p>
        </w:tc>
      </w:tr>
      <w:tr w:rsidR="00F43101" w:rsidRPr="00EA5B5D" w14:paraId="4C2674DF" w14:textId="77777777" w:rsidTr="00F533A5">
        <w:trPr>
          <w:trHeight w:val="329"/>
        </w:trPr>
        <w:tc>
          <w:tcPr>
            <w:tcW w:w="9356" w:type="dxa"/>
            <w:gridSpan w:val="4"/>
            <w:tcBorders>
              <w:top w:val="nil"/>
              <w:left w:val="nil"/>
              <w:bottom w:val="single" w:sz="4" w:space="0" w:color="auto"/>
              <w:right w:val="nil"/>
            </w:tcBorders>
          </w:tcPr>
          <w:p w14:paraId="2D5E8289" w14:textId="77777777" w:rsidR="00D254F2" w:rsidRPr="000C0218" w:rsidRDefault="00D254F2" w:rsidP="00F533A5">
            <w:pPr>
              <w:spacing w:line="240" w:lineRule="auto"/>
              <w:ind w:firstLine="0"/>
              <w:jc w:val="left"/>
              <w:rPr>
                <w:b/>
                <w:bCs/>
                <w:szCs w:val="24"/>
              </w:rPr>
            </w:pPr>
          </w:p>
          <w:p w14:paraId="1DC2904C" w14:textId="31501A6B" w:rsidR="00F43101" w:rsidRPr="00BC002F" w:rsidRDefault="00F43101" w:rsidP="00F533A5">
            <w:pPr>
              <w:spacing w:line="240" w:lineRule="auto"/>
              <w:ind w:firstLine="0"/>
              <w:jc w:val="left"/>
              <w:rPr>
                <w:b/>
                <w:bCs/>
                <w:szCs w:val="24"/>
              </w:rPr>
            </w:pPr>
            <w:r>
              <w:rPr>
                <w:b/>
                <w:bCs/>
                <w:szCs w:val="24"/>
                <w:lang w:val="en-US"/>
              </w:rPr>
              <w:t>CBV</w:t>
            </w:r>
            <w:r w:rsidR="00BC002F" w:rsidRPr="000C0218">
              <w:rPr>
                <w:b/>
                <w:bCs/>
                <w:szCs w:val="24"/>
              </w:rPr>
              <w:t xml:space="preserve"> </w:t>
            </w:r>
            <w:r w:rsidR="00BC002F">
              <w:rPr>
                <w:b/>
                <w:bCs/>
                <w:szCs w:val="24"/>
                <w:lang w:val="en-US"/>
              </w:rPr>
              <w:fldChar w:fldCharType="begin" w:fldLock="1"/>
            </w:r>
            <w:r w:rsidR="005B03CD">
              <w:rPr>
                <w:b/>
                <w:bCs/>
                <w:szCs w:val="24"/>
                <w:lang w:val="en-US"/>
              </w:rPr>
              <w:instrText>ADDIN</w:instrText>
            </w:r>
            <w:r w:rsidR="005B03CD" w:rsidRPr="000C0218">
              <w:rPr>
                <w:b/>
                <w:bCs/>
                <w:szCs w:val="24"/>
              </w:rPr>
              <w:instrText xml:space="preserve"> </w:instrText>
            </w:r>
            <w:r w:rsidR="005B03CD">
              <w:rPr>
                <w:b/>
                <w:bCs/>
                <w:szCs w:val="24"/>
                <w:lang w:val="en-US"/>
              </w:rPr>
              <w:instrText>CSL</w:instrText>
            </w:r>
            <w:r w:rsidR="005B03CD" w:rsidRPr="000C0218">
              <w:rPr>
                <w:b/>
                <w:bCs/>
                <w:szCs w:val="24"/>
              </w:rPr>
              <w:instrText>_</w:instrText>
            </w:r>
            <w:r w:rsidR="005B03CD">
              <w:rPr>
                <w:b/>
                <w:bCs/>
                <w:szCs w:val="24"/>
                <w:lang w:val="en-US"/>
              </w:rPr>
              <w:instrText>CITATION</w:instrText>
            </w:r>
            <w:r w:rsidR="006278EC">
              <w:rPr>
                <w:b/>
                <w:bCs/>
                <w:szCs w:val="24"/>
              </w:rPr>
              <w:instrText>с</w:instrText>
            </w:r>
            <w:r w:rsidR="005B03CD">
              <w:rPr>
                <w:b/>
                <w:bCs/>
                <w:szCs w:val="24"/>
                <w:lang w:val="en-US"/>
              </w:rPr>
              <w:instrText>citationItems</w:instrText>
            </w:r>
            <w:r w:rsidR="005B03CD" w:rsidRPr="000C0218">
              <w:rPr>
                <w:b/>
                <w:bCs/>
                <w:szCs w:val="24"/>
              </w:rPr>
              <w:instrText>":[{"</w:instrText>
            </w:r>
            <w:r w:rsidR="005B03CD">
              <w:rPr>
                <w:b/>
                <w:bCs/>
                <w:szCs w:val="24"/>
                <w:lang w:val="en-US"/>
              </w:rPr>
              <w:instrText>id</w:instrText>
            </w:r>
            <w:r w:rsidR="005B03CD" w:rsidRPr="000C0218">
              <w:rPr>
                <w:b/>
                <w:bCs/>
                <w:szCs w:val="24"/>
              </w:rPr>
              <w:instrText>":"</w:instrText>
            </w:r>
            <w:r w:rsidR="005B03CD">
              <w:rPr>
                <w:b/>
                <w:bCs/>
                <w:szCs w:val="24"/>
                <w:lang w:val="en-US"/>
              </w:rPr>
              <w:instrText>ITEM</w:instrText>
            </w:r>
            <w:r w:rsidR="005B03CD" w:rsidRPr="000C0218">
              <w:rPr>
                <w:b/>
                <w:bCs/>
                <w:szCs w:val="24"/>
              </w:rPr>
              <w:instrText>-1","</w:instrText>
            </w:r>
            <w:r w:rsidR="005B03CD">
              <w:rPr>
                <w:b/>
                <w:bCs/>
                <w:szCs w:val="24"/>
                <w:lang w:val="en-US"/>
              </w:rPr>
              <w:instrText>itemData</w:instrText>
            </w:r>
            <w:r w:rsidR="005B03CD" w:rsidRPr="000C0218">
              <w:rPr>
                <w:b/>
                <w:bCs/>
                <w:szCs w:val="24"/>
              </w:rPr>
              <w:instrText>":{"</w:instrText>
            </w:r>
            <w:r w:rsidR="005B03CD">
              <w:rPr>
                <w:b/>
                <w:bCs/>
                <w:szCs w:val="24"/>
                <w:lang w:val="en-US"/>
              </w:rPr>
              <w:instrText>DOI</w:instrText>
            </w:r>
            <w:r w:rsidR="005B03CD" w:rsidRPr="000C0218">
              <w:rPr>
                <w:b/>
                <w:bCs/>
                <w:szCs w:val="24"/>
              </w:rPr>
              <w:instrText>":"10.1038/</w:instrText>
            </w:r>
            <w:r w:rsidR="005B03CD">
              <w:rPr>
                <w:b/>
                <w:bCs/>
                <w:szCs w:val="24"/>
                <w:lang w:val="en-US"/>
              </w:rPr>
              <w:instrText>sj</w:instrText>
            </w:r>
            <w:r w:rsidR="005B03CD" w:rsidRPr="000C0218">
              <w:rPr>
                <w:b/>
                <w:bCs/>
                <w:szCs w:val="24"/>
              </w:rPr>
              <w:instrText>.</w:instrText>
            </w:r>
            <w:r w:rsidR="005B03CD">
              <w:rPr>
                <w:b/>
                <w:bCs/>
                <w:szCs w:val="24"/>
                <w:lang w:val="en-US"/>
              </w:rPr>
              <w:instrText>bmt</w:instrText>
            </w:r>
            <w:r w:rsidR="005B03CD" w:rsidRPr="000C0218">
              <w:rPr>
                <w:b/>
                <w:bCs/>
                <w:szCs w:val="24"/>
              </w:rPr>
              <w:instrText>.1701790","</w:instrText>
            </w:r>
            <w:r w:rsidR="005B03CD">
              <w:rPr>
                <w:b/>
                <w:bCs/>
                <w:szCs w:val="24"/>
                <w:lang w:val="en-US"/>
              </w:rPr>
              <w:instrText>ISSN</w:instrText>
            </w:r>
            <w:r w:rsidR="005B03CD" w:rsidRPr="000C0218">
              <w:rPr>
                <w:b/>
                <w:bCs/>
                <w:szCs w:val="24"/>
              </w:rPr>
              <w:instrText>":"02683369","</w:instrText>
            </w:r>
            <w:r w:rsidR="005B03CD">
              <w:rPr>
                <w:b/>
                <w:bCs/>
                <w:szCs w:val="24"/>
                <w:lang w:val="en-US"/>
              </w:rPr>
              <w:instrText>abstract</w:instrText>
            </w:r>
            <w:r w:rsidR="005B03CD" w:rsidRPr="000C0218">
              <w:rPr>
                <w:b/>
                <w:bCs/>
                <w:szCs w:val="24"/>
              </w:rPr>
              <w:instrText>":"</w:instrText>
            </w:r>
            <w:r w:rsidR="005B03CD">
              <w:rPr>
                <w:b/>
                <w:bCs/>
                <w:szCs w:val="24"/>
                <w:lang w:val="en-US"/>
              </w:rPr>
              <w:instrText>This</w:instrText>
            </w:r>
            <w:r w:rsidR="005B03CD" w:rsidRPr="000C0218">
              <w:rPr>
                <w:b/>
                <w:bCs/>
                <w:szCs w:val="24"/>
              </w:rPr>
              <w:instrText xml:space="preserve"> </w:instrText>
            </w:r>
            <w:r w:rsidR="005B03CD">
              <w:rPr>
                <w:b/>
                <w:bCs/>
                <w:szCs w:val="24"/>
                <w:lang w:val="en-US"/>
              </w:rPr>
              <w:instrText>analysis</w:instrText>
            </w:r>
            <w:r w:rsidR="005B03CD" w:rsidRPr="000C0218">
              <w:rPr>
                <w:b/>
                <w:bCs/>
                <w:szCs w:val="24"/>
              </w:rPr>
              <w:instrText xml:space="preserve"> </w:instrText>
            </w:r>
            <w:r w:rsidR="005B03CD">
              <w:rPr>
                <w:b/>
                <w:bCs/>
                <w:szCs w:val="24"/>
                <w:lang w:val="en-US"/>
              </w:rPr>
              <w:instrText>compares</w:instrText>
            </w:r>
            <w:r w:rsidR="005B03CD" w:rsidRPr="000C0218">
              <w:rPr>
                <w:b/>
                <w:bCs/>
                <w:szCs w:val="24"/>
              </w:rPr>
              <w:instrText xml:space="preserve"> </w:instrText>
            </w:r>
            <w:r w:rsidR="005B03CD">
              <w:rPr>
                <w:b/>
                <w:bCs/>
                <w:szCs w:val="24"/>
                <w:lang w:val="en-US"/>
              </w:rPr>
              <w:instrText>the</w:instrText>
            </w:r>
            <w:r w:rsidR="005B03CD" w:rsidRPr="000C0218">
              <w:rPr>
                <w:b/>
                <w:bCs/>
                <w:szCs w:val="24"/>
              </w:rPr>
              <w:instrText xml:space="preserve"> </w:instrText>
            </w:r>
            <w:r w:rsidR="005B03CD">
              <w:rPr>
                <w:b/>
                <w:bCs/>
                <w:szCs w:val="24"/>
                <w:lang w:val="en-US"/>
              </w:rPr>
              <w:instrText>regimen</w:instrText>
            </w:r>
            <w:r w:rsidR="005B03CD" w:rsidRPr="000C0218">
              <w:rPr>
                <w:b/>
                <w:bCs/>
                <w:szCs w:val="24"/>
              </w:rPr>
              <w:instrText>-</w:instrText>
            </w:r>
            <w:r w:rsidR="005B03CD">
              <w:rPr>
                <w:b/>
                <w:bCs/>
                <w:szCs w:val="24"/>
                <w:lang w:val="en-US"/>
              </w:rPr>
              <w:instrText>related</w:instrText>
            </w:r>
            <w:r w:rsidR="005B03CD" w:rsidRPr="000C0218">
              <w:rPr>
                <w:b/>
                <w:bCs/>
                <w:szCs w:val="24"/>
              </w:rPr>
              <w:instrText xml:space="preserve"> </w:instrText>
            </w:r>
            <w:r w:rsidR="005B03CD">
              <w:rPr>
                <w:b/>
                <w:bCs/>
                <w:szCs w:val="24"/>
                <w:lang w:val="en-US"/>
              </w:rPr>
              <w:instrText>toxicity</w:instrText>
            </w:r>
            <w:r w:rsidR="005B03CD" w:rsidRPr="000C0218">
              <w:rPr>
                <w:b/>
                <w:bCs/>
                <w:szCs w:val="24"/>
              </w:rPr>
              <w:instrText xml:space="preserve"> (</w:instrText>
            </w:r>
            <w:r w:rsidR="005B03CD">
              <w:rPr>
                <w:b/>
                <w:bCs/>
                <w:szCs w:val="24"/>
                <w:lang w:val="en-US"/>
              </w:rPr>
              <w:instrText>RRT</w:instrText>
            </w:r>
            <w:r w:rsidR="005B03CD" w:rsidRPr="000C0218">
              <w:rPr>
                <w:b/>
                <w:bCs/>
                <w:szCs w:val="24"/>
              </w:rPr>
              <w:instrText xml:space="preserve">) </w:instrText>
            </w:r>
            <w:r w:rsidR="005B03CD">
              <w:rPr>
                <w:b/>
                <w:bCs/>
                <w:szCs w:val="24"/>
                <w:lang w:val="en-US"/>
              </w:rPr>
              <w:instrText>and</w:instrText>
            </w:r>
            <w:r w:rsidR="005B03CD" w:rsidRPr="000C0218">
              <w:rPr>
                <w:b/>
                <w:bCs/>
                <w:szCs w:val="24"/>
              </w:rPr>
              <w:instrText xml:space="preserve"> </w:instrText>
            </w:r>
            <w:r w:rsidR="005B03CD">
              <w:rPr>
                <w:b/>
                <w:bCs/>
                <w:szCs w:val="24"/>
                <w:lang w:val="en-US"/>
              </w:rPr>
              <w:instrText>overall</w:instrText>
            </w:r>
            <w:r w:rsidR="005B03CD" w:rsidRPr="000C0218">
              <w:rPr>
                <w:b/>
                <w:bCs/>
                <w:szCs w:val="24"/>
              </w:rPr>
              <w:instrText xml:space="preserve"> </w:instrText>
            </w:r>
            <w:r w:rsidR="005B03CD">
              <w:rPr>
                <w:b/>
                <w:bCs/>
                <w:szCs w:val="24"/>
                <w:lang w:val="en-US"/>
              </w:rPr>
              <w:instrText>non</w:instrText>
            </w:r>
            <w:r w:rsidR="005B03CD" w:rsidRPr="000C0218">
              <w:rPr>
                <w:b/>
                <w:bCs/>
                <w:szCs w:val="24"/>
              </w:rPr>
              <w:instrText>-</w:instrText>
            </w:r>
            <w:r w:rsidR="005B03CD">
              <w:rPr>
                <w:b/>
                <w:bCs/>
                <w:szCs w:val="24"/>
                <w:lang w:val="en-US"/>
              </w:rPr>
              <w:instrText>relapse</w:instrText>
            </w:r>
            <w:r w:rsidR="005B03CD" w:rsidRPr="000C0218">
              <w:rPr>
                <w:b/>
                <w:bCs/>
                <w:szCs w:val="24"/>
              </w:rPr>
              <w:instrText xml:space="preserve"> </w:instrText>
            </w:r>
            <w:r w:rsidR="005B03CD">
              <w:rPr>
                <w:b/>
                <w:bCs/>
                <w:szCs w:val="24"/>
                <w:lang w:val="en-US"/>
              </w:rPr>
              <w:instrText>mortality</w:instrText>
            </w:r>
            <w:r w:rsidR="005B03CD" w:rsidRPr="000C0218">
              <w:rPr>
                <w:b/>
                <w:bCs/>
                <w:szCs w:val="24"/>
              </w:rPr>
              <w:instrText xml:space="preserve"> (</w:instrText>
            </w:r>
            <w:r w:rsidR="005B03CD">
              <w:rPr>
                <w:b/>
                <w:bCs/>
                <w:szCs w:val="24"/>
                <w:lang w:val="en-US"/>
              </w:rPr>
              <w:instrText>NRM</w:instrText>
            </w:r>
            <w:r w:rsidR="005B03CD" w:rsidRPr="000C0218">
              <w:rPr>
                <w:b/>
                <w:bCs/>
                <w:szCs w:val="24"/>
              </w:rPr>
              <w:instrText xml:space="preserve">) </w:instrText>
            </w:r>
            <w:r w:rsidR="005B03CD">
              <w:rPr>
                <w:b/>
                <w:bCs/>
                <w:szCs w:val="24"/>
                <w:lang w:val="en-US"/>
              </w:rPr>
              <w:instrText>in</w:instrText>
            </w:r>
            <w:r w:rsidR="005B03CD" w:rsidRPr="000C0218">
              <w:rPr>
                <w:b/>
                <w:bCs/>
                <w:szCs w:val="24"/>
              </w:rPr>
              <w:instrText xml:space="preserve"> </w:instrText>
            </w:r>
            <w:r w:rsidR="005B03CD">
              <w:rPr>
                <w:b/>
                <w:bCs/>
                <w:szCs w:val="24"/>
                <w:lang w:val="en-US"/>
              </w:rPr>
              <w:instrText>Hodgkin</w:instrText>
            </w:r>
            <w:r w:rsidR="005B03CD" w:rsidRPr="000C0218">
              <w:rPr>
                <w:b/>
                <w:bCs/>
                <w:szCs w:val="24"/>
              </w:rPr>
              <w:instrText>'</w:instrText>
            </w:r>
            <w:r w:rsidR="005B03CD">
              <w:rPr>
                <w:b/>
                <w:bCs/>
                <w:szCs w:val="24"/>
                <w:lang w:val="en-US"/>
              </w:rPr>
              <w:instrText>s</w:instrText>
            </w:r>
            <w:r w:rsidR="005B03CD" w:rsidRPr="000C0218">
              <w:rPr>
                <w:b/>
                <w:bCs/>
                <w:szCs w:val="24"/>
              </w:rPr>
              <w:instrText xml:space="preserve"> </w:instrText>
            </w:r>
            <w:r w:rsidR="005B03CD">
              <w:rPr>
                <w:b/>
                <w:bCs/>
                <w:szCs w:val="24"/>
                <w:lang w:val="en-US"/>
              </w:rPr>
              <w:instrText>disease</w:instrText>
            </w:r>
            <w:r w:rsidR="005B03CD" w:rsidRPr="000C0218">
              <w:rPr>
                <w:b/>
                <w:bCs/>
                <w:szCs w:val="24"/>
              </w:rPr>
              <w:instrText xml:space="preserve"> </w:instrText>
            </w:r>
            <w:r w:rsidR="005B03CD">
              <w:rPr>
                <w:b/>
                <w:bCs/>
                <w:szCs w:val="24"/>
                <w:lang w:val="en-US"/>
              </w:rPr>
              <w:instrText>patients</w:instrText>
            </w:r>
            <w:r w:rsidR="005B03CD" w:rsidRPr="000C0218">
              <w:rPr>
                <w:b/>
                <w:bCs/>
                <w:szCs w:val="24"/>
              </w:rPr>
              <w:instrText xml:space="preserve"> </w:instrText>
            </w:r>
            <w:r w:rsidR="005B03CD">
              <w:rPr>
                <w:b/>
                <w:bCs/>
                <w:szCs w:val="24"/>
                <w:lang w:val="en-US"/>
              </w:rPr>
              <w:instrText>conditioned</w:instrText>
            </w:r>
            <w:r w:rsidR="005B03CD" w:rsidRPr="000C0218">
              <w:rPr>
                <w:b/>
                <w:bCs/>
                <w:szCs w:val="24"/>
              </w:rPr>
              <w:instrText xml:space="preserve"> </w:instrText>
            </w:r>
            <w:r w:rsidR="005B03CD">
              <w:rPr>
                <w:b/>
                <w:bCs/>
                <w:szCs w:val="24"/>
                <w:lang w:val="en-US"/>
              </w:rPr>
              <w:instrText>with</w:instrText>
            </w:r>
            <w:r w:rsidR="005B03CD" w:rsidRPr="000C0218">
              <w:rPr>
                <w:b/>
                <w:bCs/>
                <w:szCs w:val="24"/>
              </w:rPr>
              <w:instrText xml:space="preserve"> </w:instrText>
            </w:r>
            <w:r w:rsidR="005B03CD">
              <w:rPr>
                <w:b/>
                <w:bCs/>
                <w:szCs w:val="24"/>
                <w:lang w:val="en-US"/>
              </w:rPr>
              <w:instrText>either</w:instrText>
            </w:r>
            <w:r w:rsidR="005B03CD" w:rsidRPr="000C0218">
              <w:rPr>
                <w:b/>
                <w:bCs/>
                <w:szCs w:val="24"/>
              </w:rPr>
              <w:instrText xml:space="preserve"> </w:instrText>
            </w:r>
            <w:r w:rsidR="005B03CD">
              <w:rPr>
                <w:b/>
                <w:bCs/>
                <w:szCs w:val="24"/>
                <w:lang w:val="en-US"/>
              </w:rPr>
              <w:instrText>CBV</w:instrText>
            </w:r>
            <w:r w:rsidR="005B03CD" w:rsidRPr="000C0218">
              <w:rPr>
                <w:b/>
                <w:bCs/>
                <w:szCs w:val="24"/>
              </w:rPr>
              <w:instrText xml:space="preserve"> (</w:instrText>
            </w:r>
            <w:r w:rsidR="005B03CD">
              <w:rPr>
                <w:b/>
                <w:bCs/>
                <w:szCs w:val="24"/>
                <w:lang w:val="en-US"/>
              </w:rPr>
              <w:instrText>cyclophosphamide</w:instrText>
            </w:r>
            <w:r w:rsidR="005B03CD" w:rsidRPr="000C0218">
              <w:rPr>
                <w:b/>
                <w:bCs/>
                <w:szCs w:val="24"/>
              </w:rPr>
              <w:instrText xml:space="preserve">, </w:instrText>
            </w:r>
            <w:r w:rsidR="005B03CD">
              <w:rPr>
                <w:b/>
                <w:bCs/>
                <w:szCs w:val="24"/>
                <w:lang w:val="en-US"/>
              </w:rPr>
              <w:instrText>BCNU</w:instrText>
            </w:r>
            <w:r w:rsidR="005B03CD" w:rsidRPr="000C0218">
              <w:rPr>
                <w:b/>
                <w:bCs/>
                <w:szCs w:val="24"/>
              </w:rPr>
              <w:instrText xml:space="preserve"> (</w:instrText>
            </w:r>
            <w:r w:rsidR="005B03CD">
              <w:rPr>
                <w:b/>
                <w:bCs/>
                <w:szCs w:val="24"/>
                <w:lang w:val="en-US"/>
              </w:rPr>
              <w:instrText>carmustine</w:instrText>
            </w:r>
            <w:r w:rsidR="005B03CD" w:rsidRPr="000C0218">
              <w:rPr>
                <w:b/>
                <w:bCs/>
                <w:szCs w:val="24"/>
              </w:rPr>
              <w:instrText xml:space="preserve">), </w:instrText>
            </w:r>
            <w:r w:rsidR="005B03CD">
              <w:rPr>
                <w:b/>
                <w:bCs/>
                <w:szCs w:val="24"/>
                <w:lang w:val="en-US"/>
              </w:rPr>
              <w:instrText>and</w:instrText>
            </w:r>
            <w:r w:rsidR="005B03CD" w:rsidRPr="000C0218">
              <w:rPr>
                <w:b/>
                <w:bCs/>
                <w:szCs w:val="24"/>
              </w:rPr>
              <w:instrText xml:space="preserve"> </w:instrText>
            </w:r>
            <w:r w:rsidR="005B03CD">
              <w:rPr>
                <w:b/>
                <w:bCs/>
                <w:szCs w:val="24"/>
                <w:lang w:val="en-US"/>
              </w:rPr>
              <w:instrText>VP</w:instrText>
            </w:r>
            <w:r w:rsidR="005B03CD" w:rsidRPr="000C0218">
              <w:rPr>
                <w:b/>
                <w:bCs/>
                <w:szCs w:val="24"/>
              </w:rPr>
              <w:instrText>16-213 (</w:instrText>
            </w:r>
            <w:r w:rsidR="005B03CD">
              <w:rPr>
                <w:b/>
                <w:bCs/>
                <w:szCs w:val="24"/>
                <w:lang w:val="en-US"/>
              </w:rPr>
              <w:instrText>etoposide</w:instrText>
            </w:r>
            <w:r w:rsidR="005B03CD" w:rsidRPr="000C0218">
              <w:rPr>
                <w:b/>
                <w:bCs/>
                <w:szCs w:val="24"/>
              </w:rPr>
              <w:instrText xml:space="preserve">)) (26 </w:instrText>
            </w:r>
            <w:r w:rsidR="005B03CD">
              <w:rPr>
                <w:b/>
                <w:bCs/>
                <w:szCs w:val="24"/>
                <w:lang w:val="en-US"/>
              </w:rPr>
              <w:instrText>patients</w:instrText>
            </w:r>
            <w:r w:rsidR="005B03CD" w:rsidRPr="000C0218">
              <w:rPr>
                <w:b/>
                <w:bCs/>
                <w:szCs w:val="24"/>
              </w:rPr>
              <w:instrText xml:space="preserve">) </w:instrText>
            </w:r>
            <w:r w:rsidR="005B03CD">
              <w:rPr>
                <w:b/>
                <w:bCs/>
                <w:szCs w:val="24"/>
                <w:lang w:val="en-US"/>
              </w:rPr>
              <w:instrText>or</w:instrText>
            </w:r>
            <w:r w:rsidR="005B03CD" w:rsidRPr="000C0218">
              <w:rPr>
                <w:b/>
                <w:bCs/>
                <w:szCs w:val="24"/>
              </w:rPr>
              <w:instrText xml:space="preserve"> </w:instrText>
            </w:r>
            <w:r w:rsidR="005B03CD">
              <w:rPr>
                <w:b/>
                <w:bCs/>
                <w:szCs w:val="24"/>
                <w:lang w:val="en-US"/>
              </w:rPr>
              <w:instrText>CBVP</w:instrText>
            </w:r>
            <w:r w:rsidR="005B03CD" w:rsidRPr="000C0218">
              <w:rPr>
                <w:b/>
                <w:bCs/>
                <w:szCs w:val="24"/>
              </w:rPr>
              <w:instrText xml:space="preserve"> (</w:instrText>
            </w:r>
            <w:r w:rsidR="005B03CD">
              <w:rPr>
                <w:b/>
                <w:bCs/>
                <w:szCs w:val="24"/>
                <w:lang w:val="en-US"/>
              </w:rPr>
              <w:instrText>CBV</w:instrText>
            </w:r>
            <w:r w:rsidR="005B03CD" w:rsidRPr="000C0218">
              <w:rPr>
                <w:b/>
                <w:bCs/>
                <w:szCs w:val="24"/>
              </w:rPr>
              <w:instrText xml:space="preserve"> + </w:instrText>
            </w:r>
            <w:r w:rsidR="005B03CD">
              <w:rPr>
                <w:b/>
                <w:bCs/>
                <w:szCs w:val="24"/>
                <w:lang w:val="en-US"/>
              </w:rPr>
              <w:instrText>cisplatin</w:instrText>
            </w:r>
            <w:r w:rsidR="005B03CD" w:rsidRPr="000C0218">
              <w:rPr>
                <w:b/>
                <w:bCs/>
                <w:szCs w:val="24"/>
              </w:rPr>
              <w:instrText xml:space="preserve">) (68 </w:instrText>
            </w:r>
            <w:r w:rsidR="005B03CD">
              <w:rPr>
                <w:b/>
                <w:bCs/>
                <w:szCs w:val="24"/>
                <w:lang w:val="en-US"/>
              </w:rPr>
              <w:instrText>patients</w:instrText>
            </w:r>
            <w:r w:rsidR="005B03CD" w:rsidRPr="000C0218">
              <w:rPr>
                <w:b/>
                <w:bCs/>
                <w:szCs w:val="24"/>
              </w:rPr>
              <w:instrText xml:space="preserve">) </w:instrText>
            </w:r>
            <w:r w:rsidR="005B03CD">
              <w:rPr>
                <w:b/>
                <w:bCs/>
                <w:szCs w:val="24"/>
                <w:lang w:val="en-US"/>
              </w:rPr>
              <w:instrText>followed</w:instrText>
            </w:r>
            <w:r w:rsidR="005B03CD" w:rsidRPr="000C0218">
              <w:rPr>
                <w:b/>
                <w:bCs/>
                <w:szCs w:val="24"/>
              </w:rPr>
              <w:instrText xml:space="preserve"> </w:instrText>
            </w:r>
            <w:r w:rsidR="005B03CD">
              <w:rPr>
                <w:b/>
                <w:bCs/>
                <w:szCs w:val="24"/>
                <w:lang w:val="en-US"/>
              </w:rPr>
              <w:instrText>by</w:instrText>
            </w:r>
            <w:r w:rsidR="005B03CD" w:rsidRPr="000C0218">
              <w:rPr>
                <w:b/>
                <w:bCs/>
                <w:szCs w:val="24"/>
              </w:rPr>
              <w:instrText xml:space="preserve"> </w:instrText>
            </w:r>
            <w:r w:rsidR="005B03CD">
              <w:rPr>
                <w:b/>
                <w:bCs/>
                <w:szCs w:val="24"/>
                <w:lang w:val="en-US"/>
              </w:rPr>
              <w:instrText>autologous</w:instrText>
            </w:r>
            <w:r w:rsidR="005B03CD" w:rsidRPr="000C0218">
              <w:rPr>
                <w:b/>
                <w:bCs/>
                <w:szCs w:val="24"/>
              </w:rPr>
              <w:instrText xml:space="preserve"> </w:instrText>
            </w:r>
            <w:r w:rsidR="005B03CD">
              <w:rPr>
                <w:b/>
                <w:bCs/>
                <w:szCs w:val="24"/>
                <w:lang w:val="en-US"/>
              </w:rPr>
              <w:instrText>stem</w:instrText>
            </w:r>
            <w:r w:rsidR="005B03CD" w:rsidRPr="000C0218">
              <w:rPr>
                <w:b/>
                <w:bCs/>
                <w:szCs w:val="24"/>
              </w:rPr>
              <w:instrText xml:space="preserve"> </w:instrText>
            </w:r>
            <w:r w:rsidR="005B03CD">
              <w:rPr>
                <w:b/>
                <w:bCs/>
                <w:szCs w:val="24"/>
                <w:lang w:val="en-US"/>
              </w:rPr>
              <w:instrText>cell</w:instrText>
            </w:r>
            <w:r w:rsidR="005B03CD" w:rsidRPr="000C0218">
              <w:rPr>
                <w:b/>
                <w:bCs/>
                <w:szCs w:val="24"/>
              </w:rPr>
              <w:instrText xml:space="preserve"> </w:instrText>
            </w:r>
            <w:r w:rsidR="005B03CD">
              <w:rPr>
                <w:b/>
                <w:bCs/>
                <w:szCs w:val="24"/>
                <w:lang w:val="en-US"/>
              </w:rPr>
              <w:instrText>transplantation</w:instrText>
            </w:r>
            <w:r w:rsidR="005B03CD" w:rsidRPr="000C0218">
              <w:rPr>
                <w:b/>
                <w:bCs/>
                <w:szCs w:val="24"/>
              </w:rPr>
              <w:instrText xml:space="preserve"> (</w:instrText>
            </w:r>
            <w:r w:rsidR="005B03CD">
              <w:rPr>
                <w:b/>
                <w:bCs/>
                <w:szCs w:val="24"/>
                <w:lang w:val="en-US"/>
              </w:rPr>
              <w:instrText>ASCT</w:instrText>
            </w:r>
            <w:r w:rsidR="005B03CD" w:rsidRPr="000C0218">
              <w:rPr>
                <w:b/>
                <w:bCs/>
                <w:szCs w:val="24"/>
              </w:rPr>
              <w:instrText xml:space="preserve">). </w:instrText>
            </w:r>
            <w:r w:rsidR="005B03CD">
              <w:rPr>
                <w:b/>
                <w:bCs/>
                <w:szCs w:val="24"/>
                <w:lang w:val="en-US"/>
              </w:rPr>
              <w:instrText>CBVP</w:instrText>
            </w:r>
            <w:r w:rsidR="005B03CD" w:rsidRPr="000C0218">
              <w:rPr>
                <w:b/>
                <w:bCs/>
                <w:szCs w:val="24"/>
              </w:rPr>
              <w:instrText xml:space="preserve"> </w:instrText>
            </w:r>
            <w:r w:rsidR="005B03CD">
              <w:rPr>
                <w:b/>
                <w:bCs/>
                <w:szCs w:val="24"/>
                <w:lang w:val="en-US"/>
              </w:rPr>
              <w:instrText>included</w:instrText>
            </w:r>
            <w:r w:rsidR="005B03CD" w:rsidRPr="000C0218">
              <w:rPr>
                <w:b/>
                <w:bCs/>
                <w:szCs w:val="24"/>
              </w:rPr>
              <w:instrText xml:space="preserve"> </w:instrText>
            </w:r>
            <w:r w:rsidR="005B03CD">
              <w:rPr>
                <w:b/>
                <w:bCs/>
                <w:szCs w:val="24"/>
                <w:lang w:val="en-US"/>
              </w:rPr>
              <w:instrText>a</w:instrText>
            </w:r>
            <w:r w:rsidR="005B03CD" w:rsidRPr="000C0218">
              <w:rPr>
                <w:b/>
                <w:bCs/>
                <w:szCs w:val="24"/>
              </w:rPr>
              <w:instrText xml:space="preserve"> </w:instrText>
            </w:r>
            <w:r w:rsidR="005B03CD">
              <w:rPr>
                <w:b/>
                <w:bCs/>
                <w:szCs w:val="24"/>
                <w:lang w:val="en-US"/>
              </w:rPr>
              <w:instrText>continuous</w:instrText>
            </w:r>
            <w:r w:rsidR="005B03CD" w:rsidRPr="000C0218">
              <w:rPr>
                <w:b/>
                <w:bCs/>
                <w:szCs w:val="24"/>
              </w:rPr>
              <w:instrText xml:space="preserve"> </w:instrText>
            </w:r>
            <w:r w:rsidR="005B03CD">
              <w:rPr>
                <w:b/>
                <w:bCs/>
                <w:szCs w:val="24"/>
                <w:lang w:val="en-US"/>
              </w:rPr>
              <w:instrText>infusion</w:instrText>
            </w:r>
            <w:r w:rsidR="005B03CD" w:rsidRPr="000C0218">
              <w:rPr>
                <w:b/>
                <w:bCs/>
                <w:szCs w:val="24"/>
              </w:rPr>
              <w:instrText xml:space="preserve"> </w:instrText>
            </w:r>
            <w:r w:rsidR="005B03CD">
              <w:rPr>
                <w:b/>
                <w:bCs/>
                <w:szCs w:val="24"/>
                <w:lang w:val="en-US"/>
              </w:rPr>
              <w:instrText>rather</w:instrText>
            </w:r>
            <w:r w:rsidR="005B03CD" w:rsidRPr="000C0218">
              <w:rPr>
                <w:b/>
                <w:bCs/>
                <w:szCs w:val="24"/>
              </w:rPr>
              <w:instrText xml:space="preserve"> </w:instrText>
            </w:r>
            <w:r w:rsidR="005B03CD">
              <w:rPr>
                <w:b/>
                <w:bCs/>
                <w:szCs w:val="24"/>
                <w:lang w:val="en-US"/>
              </w:rPr>
              <w:instrText>than</w:instrText>
            </w:r>
            <w:r w:rsidR="005B03CD" w:rsidRPr="000C0218">
              <w:rPr>
                <w:b/>
                <w:bCs/>
                <w:szCs w:val="24"/>
              </w:rPr>
              <w:instrText xml:space="preserve"> </w:instrText>
            </w:r>
            <w:r w:rsidR="005B03CD">
              <w:rPr>
                <w:b/>
                <w:bCs/>
                <w:szCs w:val="24"/>
                <w:lang w:val="en-US"/>
              </w:rPr>
              <w:instrText>intermittent</w:instrText>
            </w:r>
            <w:r w:rsidR="005B03CD" w:rsidRPr="000C0218">
              <w:rPr>
                <w:b/>
                <w:bCs/>
                <w:szCs w:val="24"/>
              </w:rPr>
              <w:instrText xml:space="preserve"> </w:instrText>
            </w:r>
            <w:r w:rsidR="005B03CD">
              <w:rPr>
                <w:b/>
                <w:bCs/>
                <w:szCs w:val="24"/>
                <w:lang w:val="en-US"/>
              </w:rPr>
              <w:instrText>doses</w:instrText>
            </w:r>
            <w:r w:rsidR="005B03CD" w:rsidRPr="000C0218">
              <w:rPr>
                <w:b/>
                <w:bCs/>
                <w:szCs w:val="24"/>
              </w:rPr>
              <w:instrText xml:space="preserve"> </w:instrText>
            </w:r>
            <w:r w:rsidR="005B03CD">
              <w:rPr>
                <w:b/>
                <w:bCs/>
                <w:szCs w:val="24"/>
                <w:lang w:val="en-US"/>
              </w:rPr>
              <w:instrText>of</w:instrText>
            </w:r>
            <w:r w:rsidR="005B03CD" w:rsidRPr="000C0218">
              <w:rPr>
                <w:b/>
                <w:bCs/>
                <w:szCs w:val="24"/>
              </w:rPr>
              <w:instrText xml:space="preserve"> </w:instrText>
            </w:r>
            <w:r w:rsidR="005B03CD">
              <w:rPr>
                <w:b/>
                <w:bCs/>
                <w:szCs w:val="24"/>
                <w:lang w:val="en-US"/>
              </w:rPr>
              <w:instrText>etoposide</w:instrText>
            </w:r>
            <w:r w:rsidR="005B03CD" w:rsidRPr="000C0218">
              <w:rPr>
                <w:b/>
                <w:bCs/>
                <w:szCs w:val="24"/>
              </w:rPr>
              <w:instrText xml:space="preserve">, </w:instrText>
            </w:r>
            <w:r w:rsidR="005B03CD">
              <w:rPr>
                <w:b/>
                <w:bCs/>
                <w:szCs w:val="24"/>
                <w:lang w:val="en-US"/>
              </w:rPr>
              <w:instrText>a</w:instrText>
            </w:r>
            <w:r w:rsidR="005B03CD" w:rsidRPr="000C0218">
              <w:rPr>
                <w:b/>
                <w:bCs/>
                <w:szCs w:val="24"/>
              </w:rPr>
              <w:instrText xml:space="preserve"> </w:instrText>
            </w:r>
            <w:r w:rsidR="005B03CD">
              <w:rPr>
                <w:b/>
                <w:bCs/>
                <w:szCs w:val="24"/>
                <w:lang w:val="en-US"/>
              </w:rPr>
              <w:instrText>lower</w:instrText>
            </w:r>
            <w:r w:rsidR="005B03CD" w:rsidRPr="000C0218">
              <w:rPr>
                <w:b/>
                <w:bCs/>
                <w:szCs w:val="24"/>
              </w:rPr>
              <w:instrText xml:space="preserve"> </w:instrText>
            </w:r>
            <w:r w:rsidR="005B03CD">
              <w:rPr>
                <w:b/>
                <w:bCs/>
                <w:szCs w:val="24"/>
                <w:lang w:val="en-US"/>
              </w:rPr>
              <w:instrText>BCNU</w:instrText>
            </w:r>
            <w:r w:rsidR="005B03CD" w:rsidRPr="000C0218">
              <w:rPr>
                <w:b/>
                <w:bCs/>
                <w:szCs w:val="24"/>
              </w:rPr>
              <w:instrText xml:space="preserve"> </w:instrText>
            </w:r>
            <w:r w:rsidR="005B03CD">
              <w:rPr>
                <w:b/>
                <w:bCs/>
                <w:szCs w:val="24"/>
                <w:lang w:val="en-US"/>
              </w:rPr>
              <w:instrText>dose</w:instrText>
            </w:r>
            <w:r w:rsidR="005B03CD" w:rsidRPr="000C0218">
              <w:rPr>
                <w:b/>
                <w:bCs/>
                <w:szCs w:val="24"/>
              </w:rPr>
              <w:instrText xml:space="preserve"> </w:instrText>
            </w:r>
            <w:r w:rsidR="005B03CD">
              <w:rPr>
                <w:b/>
                <w:bCs/>
                <w:szCs w:val="24"/>
                <w:lang w:val="en-US"/>
              </w:rPr>
              <w:instrText>and</w:instrText>
            </w:r>
            <w:r w:rsidR="005B03CD" w:rsidRPr="000C0218">
              <w:rPr>
                <w:b/>
                <w:bCs/>
                <w:szCs w:val="24"/>
              </w:rPr>
              <w:instrText xml:space="preserve"> </w:instrText>
            </w:r>
            <w:r w:rsidR="005B03CD">
              <w:rPr>
                <w:b/>
                <w:bCs/>
                <w:szCs w:val="24"/>
                <w:lang w:val="en-US"/>
              </w:rPr>
              <w:instrText>the</w:instrText>
            </w:r>
            <w:r w:rsidR="005B03CD" w:rsidRPr="000C0218">
              <w:rPr>
                <w:b/>
                <w:bCs/>
                <w:szCs w:val="24"/>
              </w:rPr>
              <w:instrText xml:space="preserve"> </w:instrText>
            </w:r>
            <w:r w:rsidR="005B03CD">
              <w:rPr>
                <w:b/>
                <w:bCs/>
                <w:szCs w:val="24"/>
                <w:lang w:val="en-US"/>
              </w:rPr>
              <w:instrText>addition</w:instrText>
            </w:r>
            <w:r w:rsidR="005B03CD" w:rsidRPr="000C0218">
              <w:rPr>
                <w:b/>
                <w:bCs/>
                <w:szCs w:val="24"/>
              </w:rPr>
              <w:instrText xml:space="preserve"> </w:instrText>
            </w:r>
            <w:r w:rsidR="005B03CD">
              <w:rPr>
                <w:b/>
                <w:bCs/>
                <w:szCs w:val="24"/>
                <w:lang w:val="en-US"/>
              </w:rPr>
              <w:instrText>of</w:instrText>
            </w:r>
            <w:r w:rsidR="005B03CD" w:rsidRPr="000C0218">
              <w:rPr>
                <w:b/>
                <w:bCs/>
                <w:szCs w:val="24"/>
              </w:rPr>
              <w:instrText xml:space="preserve"> </w:instrText>
            </w:r>
            <w:r w:rsidR="005B03CD">
              <w:rPr>
                <w:b/>
                <w:bCs/>
                <w:szCs w:val="24"/>
                <w:lang w:val="en-US"/>
              </w:rPr>
              <w:instrText>cisplatin</w:instrText>
            </w:r>
            <w:r w:rsidR="005B03CD" w:rsidRPr="000C0218">
              <w:rPr>
                <w:b/>
                <w:bCs/>
                <w:szCs w:val="24"/>
              </w:rPr>
              <w:instrText xml:space="preserve">. </w:instrText>
            </w:r>
            <w:r w:rsidR="005B03CD">
              <w:rPr>
                <w:b/>
                <w:bCs/>
                <w:szCs w:val="24"/>
                <w:lang w:val="en-US"/>
              </w:rPr>
              <w:instrText>RRT</w:instrText>
            </w:r>
            <w:r w:rsidR="005B03CD" w:rsidRPr="000C0218">
              <w:rPr>
                <w:b/>
                <w:bCs/>
                <w:szCs w:val="24"/>
              </w:rPr>
              <w:instrText xml:space="preserve"> </w:instrText>
            </w:r>
            <w:r w:rsidR="005B03CD">
              <w:rPr>
                <w:b/>
                <w:bCs/>
                <w:szCs w:val="24"/>
                <w:lang w:val="en-US"/>
              </w:rPr>
              <w:instrText>and</w:instrText>
            </w:r>
            <w:r w:rsidR="005B03CD" w:rsidRPr="000C0218">
              <w:rPr>
                <w:b/>
                <w:bCs/>
                <w:szCs w:val="24"/>
              </w:rPr>
              <w:instrText xml:space="preserve"> </w:instrText>
            </w:r>
            <w:r w:rsidR="005B03CD">
              <w:rPr>
                <w:b/>
                <w:bCs/>
                <w:szCs w:val="24"/>
                <w:lang w:val="en-US"/>
              </w:rPr>
              <w:instrText>NRM</w:instrText>
            </w:r>
            <w:r w:rsidR="005B03CD" w:rsidRPr="000C0218">
              <w:rPr>
                <w:b/>
                <w:bCs/>
                <w:szCs w:val="24"/>
              </w:rPr>
              <w:instrText xml:space="preserve"> </w:instrText>
            </w:r>
            <w:r w:rsidR="005B03CD">
              <w:rPr>
                <w:b/>
                <w:bCs/>
                <w:szCs w:val="24"/>
                <w:lang w:val="en-US"/>
              </w:rPr>
              <w:instrText>were</w:instrText>
            </w:r>
            <w:r w:rsidR="005B03CD" w:rsidRPr="000C0218">
              <w:rPr>
                <w:b/>
                <w:bCs/>
                <w:szCs w:val="24"/>
              </w:rPr>
              <w:instrText xml:space="preserve"> </w:instrText>
            </w:r>
            <w:r w:rsidR="005B03CD">
              <w:rPr>
                <w:b/>
                <w:bCs/>
                <w:szCs w:val="24"/>
                <w:lang w:val="en-US"/>
              </w:rPr>
              <w:instrText>determined</w:instrText>
            </w:r>
            <w:r w:rsidR="005B03CD" w:rsidRPr="000C0218">
              <w:rPr>
                <w:b/>
                <w:bCs/>
                <w:szCs w:val="24"/>
              </w:rPr>
              <w:instrText xml:space="preserve"> </w:instrText>
            </w:r>
            <w:r w:rsidR="005B03CD">
              <w:rPr>
                <w:b/>
                <w:bCs/>
                <w:szCs w:val="24"/>
                <w:lang w:val="en-US"/>
              </w:rPr>
              <w:instrText>for</w:instrText>
            </w:r>
            <w:r w:rsidR="005B03CD" w:rsidRPr="000C0218">
              <w:rPr>
                <w:b/>
                <w:bCs/>
                <w:szCs w:val="24"/>
              </w:rPr>
              <w:instrText xml:space="preserve"> </w:instrText>
            </w:r>
            <w:r w:rsidR="005B03CD">
              <w:rPr>
                <w:b/>
                <w:bCs/>
                <w:szCs w:val="24"/>
                <w:lang w:val="en-US"/>
              </w:rPr>
              <w:instrText>each</w:instrText>
            </w:r>
            <w:r w:rsidR="005B03CD" w:rsidRPr="000C0218">
              <w:rPr>
                <w:b/>
                <w:bCs/>
                <w:szCs w:val="24"/>
              </w:rPr>
              <w:instrText xml:space="preserve"> </w:instrText>
            </w:r>
            <w:r w:rsidR="005B03CD">
              <w:rPr>
                <w:b/>
                <w:bCs/>
                <w:szCs w:val="24"/>
                <w:lang w:val="en-US"/>
              </w:rPr>
              <w:instrText>regimen</w:instrText>
            </w:r>
            <w:r w:rsidR="005B03CD" w:rsidRPr="000C0218">
              <w:rPr>
                <w:b/>
                <w:bCs/>
                <w:szCs w:val="24"/>
              </w:rPr>
              <w:instrText xml:space="preserve"> </w:instrText>
            </w:r>
            <w:r w:rsidR="005B03CD">
              <w:rPr>
                <w:b/>
                <w:bCs/>
                <w:szCs w:val="24"/>
                <w:lang w:val="en-US"/>
              </w:rPr>
              <w:instrText>and</w:instrText>
            </w:r>
            <w:r w:rsidR="005B03CD" w:rsidRPr="000C0218">
              <w:rPr>
                <w:b/>
                <w:bCs/>
                <w:szCs w:val="24"/>
              </w:rPr>
              <w:instrText xml:space="preserve"> </w:instrText>
            </w:r>
            <w:r w:rsidR="005B03CD">
              <w:rPr>
                <w:b/>
                <w:bCs/>
                <w:szCs w:val="24"/>
                <w:lang w:val="en-US"/>
              </w:rPr>
              <w:instrText>compared</w:instrText>
            </w:r>
            <w:r w:rsidR="005B03CD" w:rsidRPr="000C0218">
              <w:rPr>
                <w:b/>
                <w:bCs/>
                <w:szCs w:val="24"/>
              </w:rPr>
              <w:instrText xml:space="preserve">; </w:instrText>
            </w:r>
            <w:r w:rsidR="005B03CD">
              <w:rPr>
                <w:b/>
                <w:bCs/>
                <w:szCs w:val="24"/>
                <w:lang w:val="en-US"/>
              </w:rPr>
              <w:instrText>risk</w:instrText>
            </w:r>
            <w:r w:rsidR="005B03CD" w:rsidRPr="000C0218">
              <w:rPr>
                <w:b/>
                <w:bCs/>
                <w:szCs w:val="24"/>
              </w:rPr>
              <w:instrText xml:space="preserve"> </w:instrText>
            </w:r>
            <w:r w:rsidR="005B03CD">
              <w:rPr>
                <w:b/>
                <w:bCs/>
                <w:szCs w:val="24"/>
                <w:lang w:val="en-US"/>
              </w:rPr>
              <w:instrText>factors</w:instrText>
            </w:r>
            <w:r w:rsidR="005B03CD" w:rsidRPr="000C0218">
              <w:rPr>
                <w:b/>
                <w:bCs/>
                <w:szCs w:val="24"/>
              </w:rPr>
              <w:instrText xml:space="preserve"> </w:instrText>
            </w:r>
            <w:r w:rsidR="005B03CD">
              <w:rPr>
                <w:b/>
                <w:bCs/>
                <w:szCs w:val="24"/>
                <w:lang w:val="en-US"/>
              </w:rPr>
              <w:instrText>for</w:instrText>
            </w:r>
            <w:r w:rsidR="005B03CD" w:rsidRPr="000C0218">
              <w:rPr>
                <w:b/>
                <w:bCs/>
                <w:szCs w:val="24"/>
              </w:rPr>
              <w:instrText xml:space="preserve"> </w:instrText>
            </w:r>
            <w:r w:rsidR="005B03CD">
              <w:rPr>
                <w:b/>
                <w:bCs/>
                <w:szCs w:val="24"/>
                <w:lang w:val="en-US"/>
              </w:rPr>
              <w:instrText>each</w:instrText>
            </w:r>
            <w:r w:rsidR="005B03CD" w:rsidRPr="000C0218">
              <w:rPr>
                <w:b/>
                <w:bCs/>
                <w:szCs w:val="24"/>
              </w:rPr>
              <w:instrText xml:space="preserve"> </w:instrText>
            </w:r>
            <w:r w:rsidR="005B03CD">
              <w:rPr>
                <w:b/>
                <w:bCs/>
                <w:szCs w:val="24"/>
                <w:lang w:val="en-US"/>
              </w:rPr>
              <w:instrText>were</w:instrText>
            </w:r>
            <w:r w:rsidR="005B03CD" w:rsidRPr="000C0218">
              <w:rPr>
                <w:b/>
                <w:bCs/>
                <w:szCs w:val="24"/>
              </w:rPr>
              <w:instrText xml:space="preserve"> </w:instrText>
            </w:r>
            <w:r w:rsidR="005B03CD">
              <w:rPr>
                <w:b/>
                <w:bCs/>
                <w:szCs w:val="24"/>
                <w:lang w:val="en-US"/>
              </w:rPr>
              <w:instrText>examined</w:instrText>
            </w:r>
            <w:r w:rsidR="005B03CD" w:rsidRPr="000C0218">
              <w:rPr>
                <w:b/>
                <w:bCs/>
                <w:szCs w:val="24"/>
              </w:rPr>
              <w:instrText xml:space="preserve"> </w:instrText>
            </w:r>
            <w:r w:rsidR="005B03CD">
              <w:rPr>
                <w:b/>
                <w:bCs/>
                <w:szCs w:val="24"/>
                <w:lang w:val="en-US"/>
              </w:rPr>
              <w:instrText>by</w:instrText>
            </w:r>
            <w:r w:rsidR="005B03CD" w:rsidRPr="000C0218">
              <w:rPr>
                <w:b/>
                <w:bCs/>
                <w:szCs w:val="24"/>
              </w:rPr>
              <w:instrText xml:space="preserve"> </w:instrText>
            </w:r>
            <w:r w:rsidR="005B03CD">
              <w:rPr>
                <w:b/>
                <w:bCs/>
                <w:szCs w:val="24"/>
                <w:lang w:val="en-US"/>
              </w:rPr>
              <w:instrText>multivariate</w:instrText>
            </w:r>
            <w:r w:rsidR="005B03CD" w:rsidRPr="000C0218">
              <w:rPr>
                <w:b/>
                <w:bCs/>
                <w:szCs w:val="24"/>
              </w:rPr>
              <w:instrText xml:space="preserve"> </w:instrText>
            </w:r>
            <w:r w:rsidR="005B03CD">
              <w:rPr>
                <w:b/>
                <w:bCs/>
                <w:szCs w:val="24"/>
                <w:lang w:val="en-US"/>
              </w:rPr>
              <w:instrText>analysis</w:instrText>
            </w:r>
            <w:r w:rsidR="005B03CD" w:rsidRPr="000C0218">
              <w:rPr>
                <w:b/>
                <w:bCs/>
                <w:szCs w:val="24"/>
              </w:rPr>
              <w:instrText xml:space="preserve">. </w:instrText>
            </w:r>
            <w:r w:rsidR="005B03CD">
              <w:rPr>
                <w:b/>
                <w:bCs/>
                <w:szCs w:val="24"/>
                <w:lang w:val="en-US"/>
              </w:rPr>
              <w:instrText>Grade</w:instrText>
            </w:r>
            <w:r w:rsidR="005B03CD" w:rsidRPr="000C0218">
              <w:rPr>
                <w:b/>
                <w:bCs/>
                <w:szCs w:val="24"/>
              </w:rPr>
              <w:instrText xml:space="preserve"> </w:instrText>
            </w:r>
            <w:r w:rsidR="005B03CD">
              <w:rPr>
                <w:b/>
                <w:bCs/>
                <w:szCs w:val="24"/>
                <w:lang w:val="en-US"/>
              </w:rPr>
              <w:instrText>IV</w:instrText>
            </w:r>
            <w:r w:rsidR="005B03CD" w:rsidRPr="000C0218">
              <w:rPr>
                <w:b/>
                <w:bCs/>
                <w:szCs w:val="24"/>
              </w:rPr>
              <w:instrText xml:space="preserve"> (</w:instrText>
            </w:r>
            <w:r w:rsidR="005B03CD">
              <w:rPr>
                <w:b/>
                <w:bCs/>
                <w:szCs w:val="24"/>
                <w:lang w:val="en-US"/>
              </w:rPr>
              <w:instrText>fatal</w:instrText>
            </w:r>
            <w:r w:rsidR="005B03CD" w:rsidRPr="000C0218">
              <w:rPr>
                <w:b/>
                <w:bCs/>
                <w:szCs w:val="24"/>
              </w:rPr>
              <w:instrText xml:space="preserve">) </w:instrText>
            </w:r>
            <w:r w:rsidR="005B03CD">
              <w:rPr>
                <w:b/>
                <w:bCs/>
                <w:szCs w:val="24"/>
                <w:lang w:val="en-US"/>
              </w:rPr>
              <w:instrText>RRT</w:instrText>
            </w:r>
            <w:r w:rsidR="005B03CD" w:rsidRPr="000C0218">
              <w:rPr>
                <w:b/>
                <w:bCs/>
                <w:szCs w:val="24"/>
              </w:rPr>
              <w:instrText xml:space="preserve"> </w:instrText>
            </w:r>
            <w:r w:rsidR="005B03CD">
              <w:rPr>
                <w:b/>
                <w:bCs/>
                <w:szCs w:val="24"/>
                <w:lang w:val="en-US"/>
              </w:rPr>
              <w:instrText>occurred</w:instrText>
            </w:r>
            <w:r w:rsidR="005B03CD" w:rsidRPr="000C0218">
              <w:rPr>
                <w:b/>
                <w:bCs/>
                <w:szCs w:val="24"/>
              </w:rPr>
              <w:instrText xml:space="preserve"> </w:instrText>
            </w:r>
            <w:r w:rsidR="005B03CD">
              <w:rPr>
                <w:b/>
                <w:bCs/>
                <w:szCs w:val="24"/>
                <w:lang w:val="en-US"/>
              </w:rPr>
              <w:instrText>in</w:instrText>
            </w:r>
            <w:r w:rsidR="005B03CD" w:rsidRPr="000C0218">
              <w:rPr>
                <w:b/>
                <w:bCs/>
                <w:szCs w:val="24"/>
              </w:rPr>
              <w:instrText xml:space="preserve"> </w:instrText>
            </w:r>
            <w:r w:rsidR="005B03CD">
              <w:rPr>
                <w:b/>
                <w:bCs/>
                <w:szCs w:val="24"/>
                <w:lang w:val="en-US"/>
              </w:rPr>
              <w:instrText>five</w:instrText>
            </w:r>
            <w:r w:rsidR="005B03CD" w:rsidRPr="000C0218">
              <w:rPr>
                <w:b/>
                <w:bCs/>
                <w:szCs w:val="24"/>
              </w:rPr>
              <w:instrText xml:space="preserve"> </w:instrText>
            </w:r>
            <w:r w:rsidR="005B03CD">
              <w:rPr>
                <w:b/>
                <w:bCs/>
                <w:szCs w:val="24"/>
                <w:lang w:val="en-US"/>
              </w:rPr>
              <w:instrText>patients</w:instrText>
            </w:r>
            <w:r w:rsidR="005B03CD" w:rsidRPr="000C0218">
              <w:rPr>
                <w:b/>
                <w:bCs/>
                <w:szCs w:val="24"/>
              </w:rPr>
              <w:instrText xml:space="preserve"> (</w:instrText>
            </w:r>
            <w:r w:rsidR="005B03CD">
              <w:rPr>
                <w:b/>
                <w:bCs/>
                <w:szCs w:val="24"/>
                <w:lang w:val="en-US"/>
              </w:rPr>
              <w:instrText>pulmonary</w:instrText>
            </w:r>
            <w:r w:rsidR="005B03CD" w:rsidRPr="000C0218">
              <w:rPr>
                <w:b/>
                <w:bCs/>
                <w:szCs w:val="24"/>
              </w:rPr>
              <w:instrText xml:space="preserve"> </w:instrText>
            </w:r>
            <w:r w:rsidR="005B03CD">
              <w:rPr>
                <w:b/>
                <w:bCs/>
                <w:szCs w:val="24"/>
                <w:lang w:val="en-US"/>
              </w:rPr>
              <w:instrText>in</w:instrText>
            </w:r>
            <w:r w:rsidR="005B03CD" w:rsidRPr="000C0218">
              <w:rPr>
                <w:b/>
                <w:bCs/>
                <w:szCs w:val="24"/>
              </w:rPr>
              <w:instrText xml:space="preserve"> </w:instrText>
            </w:r>
            <w:r w:rsidR="005B03CD">
              <w:rPr>
                <w:b/>
                <w:bCs/>
                <w:szCs w:val="24"/>
                <w:lang w:val="en-US"/>
              </w:rPr>
              <w:instrText>two</w:instrText>
            </w:r>
            <w:r w:rsidR="005B03CD" w:rsidRPr="000C0218">
              <w:rPr>
                <w:b/>
                <w:bCs/>
                <w:szCs w:val="24"/>
              </w:rPr>
              <w:instrText xml:space="preserve">, </w:instrText>
            </w:r>
            <w:r w:rsidR="005B03CD">
              <w:rPr>
                <w:b/>
                <w:bCs/>
                <w:szCs w:val="24"/>
                <w:lang w:val="en-US"/>
              </w:rPr>
              <w:instrText>cardiac</w:instrText>
            </w:r>
            <w:r w:rsidR="005B03CD" w:rsidRPr="000C0218">
              <w:rPr>
                <w:b/>
                <w:bCs/>
                <w:szCs w:val="24"/>
              </w:rPr>
              <w:instrText xml:space="preserve"> </w:instrText>
            </w:r>
            <w:r w:rsidR="005B03CD">
              <w:rPr>
                <w:b/>
                <w:bCs/>
                <w:szCs w:val="24"/>
                <w:lang w:val="en-US"/>
              </w:rPr>
              <w:instrText>in</w:instrText>
            </w:r>
            <w:r w:rsidR="005B03CD" w:rsidRPr="000C0218">
              <w:rPr>
                <w:b/>
                <w:bCs/>
                <w:szCs w:val="24"/>
              </w:rPr>
              <w:instrText xml:space="preserve"> </w:instrText>
            </w:r>
            <w:r w:rsidR="005B03CD">
              <w:rPr>
                <w:b/>
                <w:bCs/>
                <w:szCs w:val="24"/>
                <w:lang w:val="en-US"/>
              </w:rPr>
              <w:instrText>two</w:instrText>
            </w:r>
            <w:r w:rsidR="005B03CD" w:rsidRPr="000C0218">
              <w:rPr>
                <w:b/>
                <w:bCs/>
                <w:szCs w:val="24"/>
              </w:rPr>
              <w:instrText xml:space="preserve">, </w:instrText>
            </w:r>
            <w:r w:rsidR="005B03CD">
              <w:rPr>
                <w:b/>
                <w:bCs/>
                <w:szCs w:val="24"/>
                <w:lang w:val="en-US"/>
              </w:rPr>
              <w:instrText>and</w:instrText>
            </w:r>
            <w:r w:rsidR="005B03CD" w:rsidRPr="000C0218">
              <w:rPr>
                <w:b/>
                <w:bCs/>
                <w:szCs w:val="24"/>
              </w:rPr>
              <w:instrText xml:space="preserve"> </w:instrText>
            </w:r>
            <w:r w:rsidR="005B03CD">
              <w:rPr>
                <w:b/>
                <w:bCs/>
                <w:szCs w:val="24"/>
                <w:lang w:val="en-US"/>
              </w:rPr>
              <w:instrText>central</w:instrText>
            </w:r>
            <w:r w:rsidR="005B03CD" w:rsidRPr="000C0218">
              <w:rPr>
                <w:b/>
                <w:bCs/>
                <w:szCs w:val="24"/>
              </w:rPr>
              <w:instrText xml:space="preserve"> </w:instrText>
            </w:r>
            <w:r w:rsidR="005B03CD">
              <w:rPr>
                <w:b/>
                <w:bCs/>
                <w:szCs w:val="24"/>
                <w:lang w:val="en-US"/>
              </w:rPr>
              <w:instrText>nervous</w:instrText>
            </w:r>
            <w:r w:rsidR="005B03CD" w:rsidRPr="000C0218">
              <w:rPr>
                <w:b/>
                <w:bCs/>
                <w:szCs w:val="24"/>
              </w:rPr>
              <w:instrText xml:space="preserve"> </w:instrText>
            </w:r>
            <w:r w:rsidR="005B03CD">
              <w:rPr>
                <w:b/>
                <w:bCs/>
                <w:szCs w:val="24"/>
                <w:lang w:val="en-US"/>
              </w:rPr>
              <w:instrText>system</w:instrText>
            </w:r>
            <w:r w:rsidR="005B03CD" w:rsidRPr="0024417B">
              <w:rPr>
                <w:b/>
                <w:bCs/>
                <w:szCs w:val="24"/>
              </w:rPr>
              <w:instrText xml:space="preserve"> </w:instrText>
            </w:r>
            <w:r w:rsidR="005B03CD">
              <w:rPr>
                <w:b/>
                <w:bCs/>
                <w:szCs w:val="24"/>
                <w:lang w:val="en-US"/>
              </w:rPr>
              <w:instrText>in</w:instrText>
            </w:r>
            <w:r w:rsidR="005B03CD" w:rsidRPr="0024417B">
              <w:rPr>
                <w:b/>
                <w:bCs/>
                <w:szCs w:val="24"/>
              </w:rPr>
              <w:instrText xml:space="preserve"> </w:instrText>
            </w:r>
            <w:r w:rsidR="005B03CD">
              <w:rPr>
                <w:b/>
                <w:bCs/>
                <w:szCs w:val="24"/>
                <w:lang w:val="en-US"/>
              </w:rPr>
              <w:instrText>one</w:instrText>
            </w:r>
            <w:r w:rsidR="005B03CD" w:rsidRPr="0024417B">
              <w:rPr>
                <w:b/>
                <w:bCs/>
                <w:szCs w:val="24"/>
              </w:rPr>
              <w:instrText xml:space="preserve">). </w:instrText>
            </w:r>
            <w:r w:rsidR="005B03CD">
              <w:rPr>
                <w:b/>
                <w:bCs/>
                <w:szCs w:val="24"/>
                <w:lang w:val="en-US"/>
              </w:rPr>
              <w:instrText>Eighteen</w:instrText>
            </w:r>
            <w:r w:rsidR="005B03CD" w:rsidRPr="0024417B">
              <w:rPr>
                <w:b/>
                <w:bCs/>
                <w:szCs w:val="24"/>
              </w:rPr>
              <w:instrText xml:space="preserve"> </w:instrText>
            </w:r>
            <w:r w:rsidR="005B03CD">
              <w:rPr>
                <w:b/>
                <w:bCs/>
                <w:szCs w:val="24"/>
                <w:lang w:val="en-US"/>
              </w:rPr>
              <w:instrText>patients</w:instrText>
            </w:r>
            <w:r w:rsidR="005B03CD" w:rsidRPr="0024417B">
              <w:rPr>
                <w:b/>
                <w:bCs/>
                <w:szCs w:val="24"/>
              </w:rPr>
              <w:instrText xml:space="preserve"> </w:instrText>
            </w:r>
            <w:r w:rsidR="005B03CD">
              <w:rPr>
                <w:b/>
                <w:bCs/>
                <w:szCs w:val="24"/>
                <w:lang w:val="en-US"/>
              </w:rPr>
              <w:instrText>experienced</w:instrText>
            </w:r>
            <w:r w:rsidR="005B03CD" w:rsidRPr="0024417B">
              <w:rPr>
                <w:b/>
                <w:bCs/>
                <w:szCs w:val="24"/>
              </w:rPr>
              <w:instrText xml:space="preserve"> </w:instrText>
            </w:r>
            <w:r w:rsidR="005B03CD">
              <w:rPr>
                <w:b/>
                <w:bCs/>
                <w:szCs w:val="24"/>
                <w:lang w:val="en-US"/>
              </w:rPr>
              <w:instrText>grade</w:instrText>
            </w:r>
            <w:r w:rsidR="005B03CD" w:rsidRPr="0024417B">
              <w:rPr>
                <w:b/>
                <w:bCs/>
                <w:szCs w:val="24"/>
              </w:rPr>
              <w:instrText xml:space="preserve"> </w:instrText>
            </w:r>
            <w:r w:rsidR="005B03CD">
              <w:rPr>
                <w:b/>
                <w:bCs/>
                <w:szCs w:val="24"/>
                <w:lang w:val="en-US"/>
              </w:rPr>
              <w:instrText>II</w:instrText>
            </w:r>
            <w:r w:rsidR="005B03CD" w:rsidRPr="0024417B">
              <w:rPr>
                <w:b/>
                <w:bCs/>
                <w:szCs w:val="24"/>
              </w:rPr>
              <w:instrText>-</w:instrText>
            </w:r>
            <w:r w:rsidR="005B03CD">
              <w:rPr>
                <w:b/>
                <w:bCs/>
                <w:szCs w:val="24"/>
                <w:lang w:val="en-US"/>
              </w:rPr>
              <w:instrText>III</w:instrText>
            </w:r>
            <w:r w:rsidR="005B03CD" w:rsidRPr="0024417B">
              <w:rPr>
                <w:b/>
                <w:bCs/>
                <w:szCs w:val="24"/>
              </w:rPr>
              <w:instrText xml:space="preserve"> </w:instrText>
            </w:r>
            <w:r w:rsidR="005B03CD">
              <w:rPr>
                <w:b/>
                <w:bCs/>
                <w:szCs w:val="24"/>
                <w:lang w:val="en-US"/>
              </w:rPr>
              <w:instrText>pulmonary</w:instrText>
            </w:r>
            <w:r w:rsidR="005B03CD" w:rsidRPr="0024417B">
              <w:rPr>
                <w:b/>
                <w:bCs/>
                <w:szCs w:val="24"/>
              </w:rPr>
              <w:instrText xml:space="preserve"> </w:instrText>
            </w:r>
            <w:r w:rsidR="005B03CD">
              <w:rPr>
                <w:b/>
                <w:bCs/>
                <w:szCs w:val="24"/>
                <w:lang w:val="en-US"/>
              </w:rPr>
              <w:instrText>RRT</w:instrText>
            </w:r>
            <w:r w:rsidR="005B03CD" w:rsidRPr="0024417B">
              <w:rPr>
                <w:b/>
                <w:bCs/>
                <w:szCs w:val="24"/>
              </w:rPr>
              <w:instrText xml:space="preserve">, </w:instrText>
            </w:r>
            <w:r w:rsidR="005B03CD">
              <w:rPr>
                <w:b/>
                <w:bCs/>
                <w:szCs w:val="24"/>
                <w:lang w:val="en-US"/>
              </w:rPr>
              <w:instrText>consistent</w:instrText>
            </w:r>
            <w:r w:rsidR="005B03CD" w:rsidRPr="0024417B">
              <w:rPr>
                <w:b/>
                <w:bCs/>
                <w:szCs w:val="24"/>
              </w:rPr>
              <w:instrText xml:space="preserve"> </w:instrText>
            </w:r>
            <w:r w:rsidR="005B03CD">
              <w:rPr>
                <w:b/>
                <w:bCs/>
                <w:szCs w:val="24"/>
                <w:lang w:val="en-US"/>
              </w:rPr>
              <w:instrText>with</w:instrText>
            </w:r>
            <w:r w:rsidR="005B03CD" w:rsidRPr="0024417B">
              <w:rPr>
                <w:b/>
                <w:bCs/>
                <w:szCs w:val="24"/>
              </w:rPr>
              <w:instrText xml:space="preserve"> </w:instrText>
            </w:r>
            <w:r w:rsidR="005B03CD">
              <w:rPr>
                <w:b/>
                <w:bCs/>
                <w:szCs w:val="24"/>
                <w:lang w:val="en-US"/>
              </w:rPr>
              <w:instrText>BCNU</w:instrText>
            </w:r>
            <w:r w:rsidR="005B03CD" w:rsidRPr="0024417B">
              <w:rPr>
                <w:b/>
                <w:bCs/>
                <w:szCs w:val="24"/>
              </w:rPr>
              <w:instrText xml:space="preserve"> </w:instrText>
            </w:r>
            <w:r w:rsidR="005B03CD">
              <w:rPr>
                <w:b/>
                <w:bCs/>
                <w:szCs w:val="24"/>
                <w:lang w:val="en-US"/>
              </w:rPr>
              <w:instrText>damage</w:instrText>
            </w:r>
            <w:r w:rsidR="005B03CD" w:rsidRPr="0024417B">
              <w:rPr>
                <w:b/>
                <w:bCs/>
                <w:szCs w:val="24"/>
              </w:rPr>
              <w:instrText xml:space="preserve"> </w:instrText>
            </w:r>
            <w:r w:rsidR="005B03CD">
              <w:rPr>
                <w:b/>
                <w:bCs/>
                <w:szCs w:val="24"/>
                <w:lang w:val="en-US"/>
              </w:rPr>
              <w:instrText>in</w:instrText>
            </w:r>
            <w:r w:rsidR="005B03CD" w:rsidRPr="0024417B">
              <w:rPr>
                <w:b/>
                <w:bCs/>
                <w:szCs w:val="24"/>
              </w:rPr>
              <w:instrText xml:space="preserve"> 15. </w:instrText>
            </w:r>
            <w:r w:rsidR="005B03CD">
              <w:rPr>
                <w:b/>
                <w:bCs/>
                <w:szCs w:val="24"/>
                <w:lang w:val="en-US"/>
              </w:rPr>
              <w:instrText>Prior</w:instrText>
            </w:r>
            <w:r w:rsidR="005B03CD" w:rsidRPr="0024417B">
              <w:rPr>
                <w:b/>
                <w:bCs/>
                <w:szCs w:val="24"/>
              </w:rPr>
              <w:instrText xml:space="preserve"> </w:instrText>
            </w:r>
            <w:r w:rsidR="005B03CD">
              <w:rPr>
                <w:b/>
                <w:bCs/>
                <w:szCs w:val="24"/>
                <w:lang w:val="en-US"/>
              </w:rPr>
              <w:instrText>nitrosourea</w:instrText>
            </w:r>
            <w:r w:rsidR="005B03CD" w:rsidRPr="0024417B">
              <w:rPr>
                <w:b/>
                <w:bCs/>
                <w:szCs w:val="24"/>
              </w:rPr>
              <w:instrText xml:space="preserve"> </w:instrText>
            </w:r>
            <w:r w:rsidR="005B03CD">
              <w:rPr>
                <w:b/>
                <w:bCs/>
                <w:szCs w:val="24"/>
                <w:lang w:val="en-US"/>
              </w:rPr>
              <w:instrText>exposure</w:instrText>
            </w:r>
            <w:r w:rsidR="005B03CD" w:rsidRPr="0024417B">
              <w:rPr>
                <w:b/>
                <w:bCs/>
                <w:szCs w:val="24"/>
              </w:rPr>
              <w:instrText xml:space="preserve"> </w:instrText>
            </w:r>
            <w:r w:rsidR="005B03CD">
              <w:rPr>
                <w:b/>
                <w:bCs/>
                <w:szCs w:val="24"/>
                <w:lang w:val="en-US"/>
              </w:rPr>
              <w:instrText>was</w:instrText>
            </w:r>
            <w:r w:rsidR="005B03CD" w:rsidRPr="0024417B">
              <w:rPr>
                <w:b/>
                <w:bCs/>
                <w:szCs w:val="24"/>
              </w:rPr>
              <w:instrText xml:space="preserve"> </w:instrText>
            </w:r>
            <w:r w:rsidR="005B03CD">
              <w:rPr>
                <w:b/>
                <w:bCs/>
                <w:szCs w:val="24"/>
                <w:lang w:val="en-US"/>
              </w:rPr>
              <w:instrText>the</w:instrText>
            </w:r>
            <w:r w:rsidR="005B03CD" w:rsidRPr="0024417B">
              <w:rPr>
                <w:b/>
                <w:bCs/>
                <w:szCs w:val="24"/>
              </w:rPr>
              <w:instrText xml:space="preserve"> </w:instrText>
            </w:r>
            <w:r w:rsidR="005B03CD">
              <w:rPr>
                <w:b/>
                <w:bCs/>
                <w:szCs w:val="24"/>
                <w:lang w:val="en-US"/>
              </w:rPr>
              <w:instrText>main</w:instrText>
            </w:r>
            <w:r w:rsidR="005B03CD" w:rsidRPr="0024417B">
              <w:rPr>
                <w:b/>
                <w:bCs/>
                <w:szCs w:val="24"/>
              </w:rPr>
              <w:instrText xml:space="preserve"> </w:instrText>
            </w:r>
            <w:r w:rsidR="005B03CD">
              <w:rPr>
                <w:b/>
                <w:bCs/>
                <w:szCs w:val="24"/>
                <w:lang w:val="en-US"/>
              </w:rPr>
              <w:instrText>risk</w:instrText>
            </w:r>
            <w:r w:rsidR="005B03CD" w:rsidRPr="0024417B">
              <w:rPr>
                <w:b/>
                <w:bCs/>
                <w:szCs w:val="24"/>
              </w:rPr>
              <w:instrText xml:space="preserve"> </w:instrText>
            </w:r>
            <w:r w:rsidR="005B03CD">
              <w:rPr>
                <w:b/>
                <w:bCs/>
                <w:szCs w:val="24"/>
                <w:lang w:val="en-US"/>
              </w:rPr>
              <w:instrText>factor</w:instrText>
            </w:r>
            <w:r w:rsidR="005B03CD" w:rsidRPr="0024417B">
              <w:rPr>
                <w:b/>
                <w:bCs/>
                <w:szCs w:val="24"/>
              </w:rPr>
              <w:instrText xml:space="preserve"> </w:instrText>
            </w:r>
            <w:r w:rsidR="005B03CD">
              <w:rPr>
                <w:b/>
                <w:bCs/>
                <w:szCs w:val="24"/>
                <w:lang w:val="en-US"/>
              </w:rPr>
              <w:instrText>for</w:instrText>
            </w:r>
            <w:r w:rsidR="005B03CD" w:rsidRPr="0024417B">
              <w:rPr>
                <w:b/>
                <w:bCs/>
                <w:szCs w:val="24"/>
              </w:rPr>
              <w:instrText xml:space="preserve"> </w:instrText>
            </w:r>
            <w:r w:rsidR="005B03CD">
              <w:rPr>
                <w:b/>
                <w:bCs/>
                <w:szCs w:val="24"/>
                <w:lang w:val="en-US"/>
              </w:rPr>
              <w:instrText>pulmonary</w:instrText>
            </w:r>
            <w:r w:rsidR="005B03CD" w:rsidRPr="0024417B">
              <w:rPr>
                <w:b/>
                <w:bCs/>
                <w:szCs w:val="24"/>
              </w:rPr>
              <w:instrText xml:space="preserve"> </w:instrText>
            </w:r>
            <w:r w:rsidR="005B03CD">
              <w:rPr>
                <w:b/>
                <w:bCs/>
                <w:szCs w:val="24"/>
                <w:lang w:val="en-US"/>
              </w:rPr>
              <w:instrText>RRT</w:instrText>
            </w:r>
            <w:r w:rsidR="005B03CD" w:rsidRPr="0024417B">
              <w:rPr>
                <w:b/>
                <w:bCs/>
                <w:szCs w:val="24"/>
              </w:rPr>
              <w:instrText xml:space="preserve">. </w:instrText>
            </w:r>
            <w:r w:rsidR="005B03CD">
              <w:rPr>
                <w:b/>
                <w:bCs/>
                <w:szCs w:val="24"/>
                <w:lang w:val="en-US"/>
              </w:rPr>
              <w:instrText>Grade</w:instrText>
            </w:r>
            <w:r w:rsidR="005B03CD" w:rsidRPr="0024417B">
              <w:rPr>
                <w:b/>
                <w:bCs/>
                <w:szCs w:val="24"/>
              </w:rPr>
              <w:instrText xml:space="preserve"> </w:instrText>
            </w:r>
            <w:r w:rsidR="005B03CD">
              <w:rPr>
                <w:b/>
                <w:bCs/>
                <w:szCs w:val="24"/>
                <w:lang w:val="en-US"/>
              </w:rPr>
              <w:instrText>II</w:instrText>
            </w:r>
            <w:r w:rsidR="005B03CD" w:rsidRPr="0024417B">
              <w:rPr>
                <w:b/>
                <w:bCs/>
                <w:szCs w:val="24"/>
              </w:rPr>
              <w:instrText xml:space="preserve"> </w:instrText>
            </w:r>
            <w:r w:rsidR="005B03CD">
              <w:rPr>
                <w:b/>
                <w:bCs/>
                <w:szCs w:val="24"/>
                <w:lang w:val="en-US"/>
              </w:rPr>
              <w:instrText>mucosal</w:instrText>
            </w:r>
            <w:r w:rsidR="005B03CD" w:rsidRPr="0024417B">
              <w:rPr>
                <w:b/>
                <w:bCs/>
                <w:szCs w:val="24"/>
              </w:rPr>
              <w:instrText xml:space="preserve"> </w:instrText>
            </w:r>
            <w:r w:rsidR="005B03CD">
              <w:rPr>
                <w:b/>
                <w:bCs/>
                <w:szCs w:val="24"/>
                <w:lang w:val="en-US"/>
              </w:rPr>
              <w:instrText>and</w:instrText>
            </w:r>
            <w:r w:rsidR="005B03CD" w:rsidRPr="0024417B">
              <w:rPr>
                <w:b/>
                <w:bCs/>
                <w:szCs w:val="24"/>
              </w:rPr>
              <w:instrText xml:space="preserve"> </w:instrText>
            </w:r>
            <w:r w:rsidR="005B03CD">
              <w:rPr>
                <w:b/>
                <w:bCs/>
                <w:szCs w:val="24"/>
                <w:lang w:val="en-US"/>
              </w:rPr>
              <w:instrText>hepatic</w:instrText>
            </w:r>
            <w:r w:rsidR="005B03CD" w:rsidRPr="0024417B">
              <w:rPr>
                <w:b/>
                <w:bCs/>
                <w:szCs w:val="24"/>
              </w:rPr>
              <w:instrText xml:space="preserve"> </w:instrText>
            </w:r>
            <w:r w:rsidR="005B03CD">
              <w:rPr>
                <w:b/>
                <w:bCs/>
                <w:szCs w:val="24"/>
                <w:lang w:val="en-US"/>
              </w:rPr>
              <w:instrText>RRT</w:instrText>
            </w:r>
            <w:r w:rsidR="005B03CD" w:rsidRPr="0024417B">
              <w:rPr>
                <w:b/>
                <w:bCs/>
                <w:szCs w:val="24"/>
              </w:rPr>
              <w:instrText xml:space="preserve"> </w:instrText>
            </w:r>
            <w:r w:rsidR="005B03CD">
              <w:rPr>
                <w:b/>
                <w:bCs/>
                <w:szCs w:val="24"/>
                <w:lang w:val="en-US"/>
              </w:rPr>
              <w:instrText>occurred</w:instrText>
            </w:r>
            <w:r w:rsidR="005B03CD" w:rsidRPr="0024417B">
              <w:rPr>
                <w:b/>
                <w:bCs/>
                <w:szCs w:val="24"/>
              </w:rPr>
              <w:instrText xml:space="preserve"> </w:instrText>
            </w:r>
            <w:r w:rsidR="005B03CD">
              <w:rPr>
                <w:b/>
                <w:bCs/>
                <w:szCs w:val="24"/>
                <w:lang w:val="en-US"/>
              </w:rPr>
              <w:instrText>less</w:instrText>
            </w:r>
            <w:r w:rsidR="005B03CD" w:rsidRPr="0024417B">
              <w:rPr>
                <w:b/>
                <w:bCs/>
                <w:szCs w:val="24"/>
              </w:rPr>
              <w:instrText xml:space="preserve"> </w:instrText>
            </w:r>
            <w:r w:rsidR="005B03CD">
              <w:rPr>
                <w:b/>
                <w:bCs/>
                <w:szCs w:val="24"/>
                <w:lang w:val="en-US"/>
              </w:rPr>
              <w:instrText>often</w:instrText>
            </w:r>
            <w:r w:rsidR="005B03CD" w:rsidRPr="0024417B">
              <w:rPr>
                <w:b/>
                <w:bCs/>
                <w:szCs w:val="24"/>
              </w:rPr>
              <w:instrText xml:space="preserve"> </w:instrText>
            </w:r>
            <w:r w:rsidR="005B03CD">
              <w:rPr>
                <w:b/>
                <w:bCs/>
                <w:szCs w:val="24"/>
                <w:lang w:val="en-US"/>
              </w:rPr>
              <w:instrText>after</w:instrText>
            </w:r>
            <w:r w:rsidR="005B03CD" w:rsidRPr="0024417B">
              <w:rPr>
                <w:b/>
                <w:bCs/>
                <w:szCs w:val="24"/>
              </w:rPr>
              <w:instrText xml:space="preserve"> </w:instrText>
            </w:r>
            <w:r w:rsidR="005B03CD">
              <w:rPr>
                <w:b/>
                <w:bCs/>
                <w:szCs w:val="24"/>
                <w:lang w:val="en-US"/>
              </w:rPr>
              <w:instrText>CBVP</w:instrText>
            </w:r>
            <w:r w:rsidR="005B03CD" w:rsidRPr="0024417B">
              <w:rPr>
                <w:b/>
                <w:bCs/>
                <w:szCs w:val="24"/>
              </w:rPr>
              <w:instrText xml:space="preserve"> </w:instrText>
            </w:r>
            <w:r w:rsidR="005B03CD">
              <w:rPr>
                <w:b/>
                <w:bCs/>
                <w:szCs w:val="24"/>
                <w:lang w:val="en-US"/>
              </w:rPr>
              <w:instrText>vs</w:instrText>
            </w:r>
            <w:r w:rsidR="005B03CD" w:rsidRPr="0024417B">
              <w:rPr>
                <w:b/>
                <w:bCs/>
                <w:szCs w:val="24"/>
              </w:rPr>
              <w:instrText xml:space="preserve"> </w:instrText>
            </w:r>
            <w:r w:rsidR="005B03CD">
              <w:rPr>
                <w:b/>
                <w:bCs/>
                <w:szCs w:val="24"/>
                <w:lang w:val="en-US"/>
              </w:rPr>
              <w:instrText>CBV</w:instrText>
            </w:r>
            <w:r w:rsidR="005B03CD" w:rsidRPr="0024417B">
              <w:rPr>
                <w:b/>
                <w:bCs/>
                <w:szCs w:val="24"/>
              </w:rPr>
              <w:instrText xml:space="preserve"> (</w:instrText>
            </w:r>
            <w:r w:rsidR="005B03CD">
              <w:rPr>
                <w:b/>
                <w:bCs/>
                <w:szCs w:val="24"/>
                <w:lang w:val="en-US"/>
              </w:rPr>
              <w:instrText>P</w:instrText>
            </w:r>
            <w:r w:rsidR="005B03CD" w:rsidRPr="0024417B">
              <w:rPr>
                <w:b/>
                <w:bCs/>
                <w:szCs w:val="24"/>
              </w:rPr>
              <w:instrText xml:space="preserve"> = 0.031 </w:instrText>
            </w:r>
            <w:r w:rsidR="005B03CD">
              <w:rPr>
                <w:b/>
                <w:bCs/>
                <w:szCs w:val="24"/>
                <w:lang w:val="en-US"/>
              </w:rPr>
              <w:instrText>and</w:instrText>
            </w:r>
            <w:r w:rsidR="005B03CD" w:rsidRPr="0024417B">
              <w:rPr>
                <w:b/>
                <w:bCs/>
                <w:szCs w:val="24"/>
              </w:rPr>
              <w:instrText xml:space="preserve"> 0.0003, </w:instrText>
            </w:r>
            <w:r w:rsidR="005B03CD">
              <w:rPr>
                <w:b/>
                <w:bCs/>
                <w:szCs w:val="24"/>
                <w:lang w:val="en-US"/>
              </w:rPr>
              <w:instrText>respectively</w:instrText>
            </w:r>
            <w:r w:rsidR="005B03CD" w:rsidRPr="0024417B">
              <w:rPr>
                <w:b/>
                <w:bCs/>
                <w:szCs w:val="24"/>
              </w:rPr>
              <w:instrText xml:space="preserve">). </w:instrText>
            </w:r>
            <w:r w:rsidR="005B03CD">
              <w:rPr>
                <w:b/>
                <w:bCs/>
                <w:szCs w:val="24"/>
                <w:lang w:val="en-US"/>
              </w:rPr>
              <w:instrText>In</w:instrText>
            </w:r>
            <w:r w:rsidR="005B03CD" w:rsidRPr="0024417B">
              <w:rPr>
                <w:b/>
                <w:bCs/>
                <w:szCs w:val="24"/>
              </w:rPr>
              <w:instrText xml:space="preserve"> </w:instrText>
            </w:r>
            <w:r w:rsidR="005B03CD">
              <w:rPr>
                <w:b/>
                <w:bCs/>
                <w:szCs w:val="24"/>
                <w:lang w:val="en-US"/>
              </w:rPr>
              <w:instrText>addition</w:instrText>
            </w:r>
            <w:r w:rsidR="005B03CD" w:rsidRPr="0024417B">
              <w:rPr>
                <w:b/>
                <w:bCs/>
                <w:szCs w:val="24"/>
              </w:rPr>
              <w:instrText xml:space="preserve">, </w:instrText>
            </w:r>
            <w:r w:rsidR="005B03CD">
              <w:rPr>
                <w:b/>
                <w:bCs/>
                <w:szCs w:val="24"/>
                <w:lang w:val="en-US"/>
              </w:rPr>
              <w:instrText>three</w:instrText>
            </w:r>
            <w:r w:rsidR="005B03CD" w:rsidRPr="0024417B">
              <w:rPr>
                <w:b/>
                <w:bCs/>
                <w:szCs w:val="24"/>
              </w:rPr>
              <w:instrText xml:space="preserve"> </w:instrText>
            </w:r>
            <w:r w:rsidR="005B03CD">
              <w:rPr>
                <w:b/>
                <w:bCs/>
                <w:szCs w:val="24"/>
                <w:lang w:val="en-US"/>
              </w:rPr>
              <w:instrText>other</w:instrText>
            </w:r>
            <w:r w:rsidR="005B03CD" w:rsidRPr="0024417B">
              <w:rPr>
                <w:b/>
                <w:bCs/>
                <w:szCs w:val="24"/>
              </w:rPr>
              <w:instrText xml:space="preserve"> </w:instrText>
            </w:r>
            <w:r w:rsidR="005B03CD">
              <w:rPr>
                <w:b/>
                <w:bCs/>
                <w:szCs w:val="24"/>
                <w:lang w:val="en-US"/>
              </w:rPr>
              <w:instrText>early</w:instrText>
            </w:r>
            <w:r w:rsidR="005B03CD" w:rsidRPr="0024417B">
              <w:rPr>
                <w:b/>
                <w:bCs/>
                <w:szCs w:val="24"/>
              </w:rPr>
              <w:instrText xml:space="preserve"> </w:instrText>
            </w:r>
            <w:r w:rsidR="005B03CD">
              <w:rPr>
                <w:b/>
                <w:bCs/>
                <w:szCs w:val="24"/>
                <w:lang w:val="en-US"/>
              </w:rPr>
              <w:instrText>and</w:instrText>
            </w:r>
            <w:r w:rsidR="005B03CD" w:rsidRPr="0024417B">
              <w:rPr>
                <w:b/>
                <w:bCs/>
                <w:szCs w:val="24"/>
              </w:rPr>
              <w:instrText xml:space="preserve"> </w:instrText>
            </w:r>
            <w:r w:rsidR="005B03CD">
              <w:rPr>
                <w:b/>
                <w:bCs/>
                <w:szCs w:val="24"/>
                <w:lang w:val="en-US"/>
              </w:rPr>
              <w:instrText>eight</w:instrText>
            </w:r>
            <w:r w:rsidR="005B03CD" w:rsidRPr="0024417B">
              <w:rPr>
                <w:b/>
                <w:bCs/>
                <w:szCs w:val="24"/>
              </w:rPr>
              <w:instrText xml:space="preserve"> </w:instrText>
            </w:r>
            <w:r w:rsidR="005B03CD">
              <w:rPr>
                <w:b/>
                <w:bCs/>
                <w:szCs w:val="24"/>
                <w:lang w:val="en-US"/>
              </w:rPr>
              <w:instrText>late</w:instrText>
            </w:r>
            <w:r w:rsidR="005B03CD" w:rsidRPr="0024417B">
              <w:rPr>
                <w:b/>
                <w:bCs/>
                <w:szCs w:val="24"/>
              </w:rPr>
              <w:instrText xml:space="preserve"> </w:instrText>
            </w:r>
            <w:r w:rsidR="005B03CD">
              <w:rPr>
                <w:b/>
                <w:bCs/>
                <w:szCs w:val="24"/>
                <w:lang w:val="en-US"/>
              </w:rPr>
              <w:instrText>non</w:instrText>
            </w:r>
            <w:r w:rsidR="005B03CD" w:rsidRPr="0024417B">
              <w:rPr>
                <w:b/>
                <w:bCs/>
                <w:szCs w:val="24"/>
              </w:rPr>
              <w:instrText>-</w:instrText>
            </w:r>
            <w:r w:rsidR="005B03CD">
              <w:rPr>
                <w:b/>
                <w:bCs/>
                <w:szCs w:val="24"/>
                <w:lang w:val="en-US"/>
              </w:rPr>
              <w:instrText>relapse</w:instrText>
            </w:r>
            <w:r w:rsidR="005B03CD" w:rsidRPr="0024417B">
              <w:rPr>
                <w:b/>
                <w:bCs/>
                <w:szCs w:val="24"/>
              </w:rPr>
              <w:instrText xml:space="preserve"> </w:instrText>
            </w:r>
            <w:r w:rsidR="005B03CD">
              <w:rPr>
                <w:b/>
                <w:bCs/>
                <w:szCs w:val="24"/>
                <w:lang w:val="en-US"/>
              </w:rPr>
              <w:instrText>deaths</w:instrText>
            </w:r>
            <w:r w:rsidR="005B03CD" w:rsidRPr="0024417B">
              <w:rPr>
                <w:b/>
                <w:bCs/>
                <w:szCs w:val="24"/>
              </w:rPr>
              <w:instrText xml:space="preserve"> </w:instrText>
            </w:r>
            <w:r w:rsidR="005B03CD">
              <w:rPr>
                <w:b/>
                <w:bCs/>
                <w:szCs w:val="24"/>
                <w:lang w:val="en-US"/>
              </w:rPr>
              <w:instrText>were</w:instrText>
            </w:r>
            <w:r w:rsidR="005B03CD" w:rsidRPr="0024417B">
              <w:rPr>
                <w:b/>
                <w:bCs/>
                <w:szCs w:val="24"/>
              </w:rPr>
              <w:instrText xml:space="preserve"> </w:instrText>
            </w:r>
            <w:r w:rsidR="005B03CD">
              <w:rPr>
                <w:b/>
                <w:bCs/>
                <w:szCs w:val="24"/>
                <w:lang w:val="en-US"/>
              </w:rPr>
              <w:instrText>seen</w:instrText>
            </w:r>
            <w:r w:rsidR="005B03CD" w:rsidRPr="0024417B">
              <w:rPr>
                <w:b/>
                <w:bCs/>
                <w:szCs w:val="24"/>
              </w:rPr>
              <w:instrText xml:space="preserve">. </w:instrText>
            </w:r>
            <w:r w:rsidR="005B03CD">
              <w:rPr>
                <w:b/>
                <w:bCs/>
                <w:szCs w:val="24"/>
                <w:lang w:val="en-US"/>
              </w:rPr>
              <w:instrText>Median</w:instrText>
            </w:r>
            <w:r w:rsidR="005B03CD" w:rsidRPr="0024417B">
              <w:rPr>
                <w:b/>
                <w:bCs/>
                <w:szCs w:val="24"/>
              </w:rPr>
              <w:instrText xml:space="preserve"> </w:instrText>
            </w:r>
            <w:r w:rsidR="005B03CD">
              <w:rPr>
                <w:b/>
                <w:bCs/>
                <w:szCs w:val="24"/>
                <w:lang w:val="en-US"/>
              </w:rPr>
              <w:instrText>follow</w:instrText>
            </w:r>
            <w:r w:rsidR="005B03CD" w:rsidRPr="0024417B">
              <w:rPr>
                <w:b/>
                <w:bCs/>
                <w:szCs w:val="24"/>
              </w:rPr>
              <w:instrText>-</w:instrText>
            </w:r>
            <w:r w:rsidR="005B03CD">
              <w:rPr>
                <w:b/>
                <w:bCs/>
                <w:szCs w:val="24"/>
                <w:lang w:val="en-US"/>
              </w:rPr>
              <w:instrText>up</w:instrText>
            </w:r>
            <w:r w:rsidR="005B03CD" w:rsidRPr="0024417B">
              <w:rPr>
                <w:b/>
                <w:bCs/>
                <w:szCs w:val="24"/>
              </w:rPr>
              <w:instrText xml:space="preserve"> </w:instrText>
            </w:r>
            <w:r w:rsidR="005B03CD">
              <w:rPr>
                <w:b/>
                <w:bCs/>
                <w:szCs w:val="24"/>
                <w:lang w:val="en-US"/>
              </w:rPr>
              <w:instrText>of</w:instrText>
            </w:r>
            <w:r w:rsidR="005B03CD" w:rsidRPr="0024417B">
              <w:rPr>
                <w:b/>
                <w:bCs/>
                <w:szCs w:val="24"/>
              </w:rPr>
              <w:instrText xml:space="preserve"> </w:instrText>
            </w:r>
            <w:r w:rsidR="005B03CD">
              <w:rPr>
                <w:b/>
                <w:bCs/>
                <w:szCs w:val="24"/>
                <w:lang w:val="en-US"/>
              </w:rPr>
              <w:instrText>the</w:instrText>
            </w:r>
            <w:r w:rsidR="005B03CD" w:rsidRPr="0024417B">
              <w:rPr>
                <w:b/>
                <w:bCs/>
                <w:szCs w:val="24"/>
              </w:rPr>
              <w:instrText xml:space="preserve"> </w:instrText>
            </w:r>
            <w:r w:rsidR="005B03CD">
              <w:rPr>
                <w:b/>
                <w:bCs/>
                <w:szCs w:val="24"/>
                <w:lang w:val="en-US"/>
              </w:rPr>
              <w:instrText>entire</w:instrText>
            </w:r>
            <w:r w:rsidR="005B03CD" w:rsidRPr="0024417B">
              <w:rPr>
                <w:b/>
                <w:bCs/>
                <w:szCs w:val="24"/>
              </w:rPr>
              <w:instrText xml:space="preserve"> </w:instrText>
            </w:r>
            <w:r w:rsidR="005B03CD">
              <w:rPr>
                <w:b/>
                <w:bCs/>
                <w:szCs w:val="24"/>
                <w:lang w:val="en-US"/>
              </w:rPr>
              <w:instrText>group</w:instrText>
            </w:r>
            <w:r w:rsidR="005B03CD" w:rsidRPr="0024417B">
              <w:rPr>
                <w:b/>
                <w:bCs/>
                <w:szCs w:val="24"/>
              </w:rPr>
              <w:instrText xml:space="preserve"> </w:instrText>
            </w:r>
            <w:r w:rsidR="005B03CD">
              <w:rPr>
                <w:b/>
                <w:bCs/>
                <w:szCs w:val="24"/>
                <w:lang w:val="en-US"/>
              </w:rPr>
              <w:instrText>is</w:instrText>
            </w:r>
            <w:r w:rsidR="005B03CD" w:rsidRPr="0024417B">
              <w:rPr>
                <w:b/>
                <w:bCs/>
                <w:szCs w:val="24"/>
              </w:rPr>
              <w:instrText xml:space="preserve"> 5.1 (</w:instrText>
            </w:r>
            <w:r w:rsidR="005B03CD">
              <w:rPr>
                <w:b/>
                <w:bCs/>
                <w:szCs w:val="24"/>
                <w:lang w:val="en-US"/>
              </w:rPr>
              <w:instrText>range</w:instrText>
            </w:r>
            <w:r w:rsidR="005B03CD" w:rsidRPr="0024417B">
              <w:rPr>
                <w:b/>
                <w:bCs/>
                <w:szCs w:val="24"/>
              </w:rPr>
              <w:instrText xml:space="preserve"> 2.8-10.2) </w:instrText>
            </w:r>
            <w:r w:rsidR="005B03CD">
              <w:rPr>
                <w:b/>
                <w:bCs/>
                <w:szCs w:val="24"/>
                <w:lang w:val="en-US"/>
              </w:rPr>
              <w:instrText>years</w:instrText>
            </w:r>
            <w:r w:rsidR="005B03CD" w:rsidRPr="0024417B">
              <w:rPr>
                <w:b/>
                <w:bCs/>
                <w:szCs w:val="24"/>
              </w:rPr>
              <w:instrText xml:space="preserve">. </w:instrText>
            </w:r>
            <w:r w:rsidR="005B03CD">
              <w:rPr>
                <w:b/>
                <w:bCs/>
                <w:szCs w:val="24"/>
                <w:lang w:val="en-US"/>
              </w:rPr>
              <w:instrText>The</w:instrText>
            </w:r>
            <w:r w:rsidR="005B03CD" w:rsidRPr="0024417B">
              <w:rPr>
                <w:b/>
                <w:bCs/>
                <w:szCs w:val="24"/>
              </w:rPr>
              <w:instrText xml:space="preserve"> </w:instrText>
            </w:r>
            <w:r w:rsidR="005B03CD">
              <w:rPr>
                <w:b/>
                <w:bCs/>
                <w:szCs w:val="24"/>
                <w:lang w:val="en-US"/>
              </w:rPr>
              <w:instrText>probability</w:instrText>
            </w:r>
            <w:r w:rsidR="005B03CD" w:rsidRPr="0024417B">
              <w:rPr>
                <w:b/>
                <w:bCs/>
                <w:szCs w:val="24"/>
              </w:rPr>
              <w:instrText xml:space="preserve"> </w:instrText>
            </w:r>
            <w:r w:rsidR="005B03CD">
              <w:rPr>
                <w:b/>
                <w:bCs/>
                <w:szCs w:val="24"/>
                <w:lang w:val="en-US"/>
              </w:rPr>
              <w:instrText>of</w:instrText>
            </w:r>
            <w:r w:rsidR="005B03CD" w:rsidRPr="0024417B">
              <w:rPr>
                <w:b/>
                <w:bCs/>
                <w:szCs w:val="24"/>
              </w:rPr>
              <w:instrText xml:space="preserve"> </w:instrText>
            </w:r>
            <w:r w:rsidR="005B03CD">
              <w:rPr>
                <w:b/>
                <w:bCs/>
                <w:szCs w:val="24"/>
                <w:lang w:val="en-US"/>
              </w:rPr>
              <w:instrText>overall</w:instrText>
            </w:r>
            <w:r w:rsidR="005B03CD" w:rsidRPr="0024417B">
              <w:rPr>
                <w:b/>
                <w:bCs/>
                <w:szCs w:val="24"/>
              </w:rPr>
              <w:instrText xml:space="preserve"> </w:instrText>
            </w:r>
            <w:r w:rsidR="005B03CD">
              <w:rPr>
                <w:b/>
                <w:bCs/>
                <w:szCs w:val="24"/>
                <w:lang w:val="en-US"/>
              </w:rPr>
              <w:instrText>NRM was 26% (95% confidence interval (CI) 13-50%) with CBV vs 23% (95% CI 12-41%) with CBVP (P = 0.40). The progression-free survival and relapse rates were similar. Although the rates of fatal RRT, pulmonary RRT and overall NRM were similar with CBV or CBVP, CBVP produced less mucosal and liver RRT with a comparable antitumor effect. As many autografted patients are cured, future efforts should include measures to decrease NRM.","author":[{"dropping-particle":"","family":"Reece","given":"D. E.","non-dropping-particle":"","parse-names":false,"suffix":""},{"dropping-particle":"","family":"Nevill","given":"T. J.","non-dropping-particle":"","parse-names":false,"suffix":""},{"dropping-particle":"","family":"Sayegh","given":"A.","non-dropping-particle":"","parse-names":false,"suffix":""},{"dropping-particle":"","family":"Spinelli","given":"J. J.","non-dropping-particle":"","parse-names":false,"suffix":""},{"dropping-particle":"","family":"Brockington","given":"D. A.","non-dropping-particle":"","parse-names":false,"suffix":""},{"dropping-particle":"","family":"Barnett","given":"M. J.","non-dropping-particle":"","parse-names":false,"suffix":""},{"dropping-particle":"","family":"Klingemann","given":"H. G.","non-dropping-particle":"","parse-names":false,"suffix":""},{"dropping-particle":"","family":"Connors","given":"J. M.","non-dropping-particle":"","parse-names":false,"suffix":""},{"dropping-particle":"","family":"Nantel","given":"S. H.","non-dropping-particle":"","parse-names":false,"suffix":""},{"dropping</w:instrText>
            </w:r>
            <w:r w:rsidR="005B03CD" w:rsidRPr="0024417B">
              <w:rPr>
                <w:b/>
                <w:bCs/>
                <w:szCs w:val="24"/>
              </w:rPr>
              <w:instrText>-</w:instrText>
            </w:r>
            <w:r w:rsidR="005B03CD">
              <w:rPr>
                <w:b/>
                <w:bCs/>
                <w:szCs w:val="24"/>
                <w:lang w:val="en-US"/>
              </w:rPr>
              <w:instrText>particle</w:instrText>
            </w:r>
            <w:r w:rsidR="005B03CD" w:rsidRPr="0024417B">
              <w:rPr>
                <w:b/>
                <w:bCs/>
                <w:szCs w:val="24"/>
              </w:rPr>
              <w:instrText>":"","</w:instrText>
            </w:r>
            <w:r w:rsidR="005B03CD">
              <w:rPr>
                <w:b/>
                <w:bCs/>
                <w:szCs w:val="24"/>
                <w:lang w:val="en-US"/>
              </w:rPr>
              <w:instrText>family</w:instrText>
            </w:r>
            <w:r w:rsidR="005B03CD" w:rsidRPr="0024417B">
              <w:rPr>
                <w:b/>
                <w:bCs/>
                <w:szCs w:val="24"/>
              </w:rPr>
              <w:instrText>":"</w:instrText>
            </w:r>
            <w:r w:rsidR="005B03CD">
              <w:rPr>
                <w:b/>
                <w:bCs/>
                <w:szCs w:val="24"/>
                <w:lang w:val="en-US"/>
              </w:rPr>
              <w:instrText>Shepherd</w:instrText>
            </w:r>
            <w:r w:rsidR="005B03CD" w:rsidRPr="0024417B">
              <w:rPr>
                <w:b/>
                <w:bCs/>
                <w:szCs w:val="24"/>
              </w:rPr>
              <w:instrText>","</w:instrText>
            </w:r>
            <w:r w:rsidR="005B03CD">
              <w:rPr>
                <w:b/>
                <w:bCs/>
                <w:szCs w:val="24"/>
                <w:lang w:val="en-US"/>
              </w:rPr>
              <w:instrText>given</w:instrText>
            </w:r>
            <w:r w:rsidR="005B03CD" w:rsidRPr="0024417B">
              <w:rPr>
                <w:b/>
                <w:bCs/>
                <w:szCs w:val="24"/>
              </w:rPr>
              <w:instrText>":"</w:instrText>
            </w:r>
            <w:r w:rsidR="005B03CD">
              <w:rPr>
                <w:b/>
                <w:bCs/>
                <w:szCs w:val="24"/>
                <w:lang w:val="en-US"/>
              </w:rPr>
              <w:instrText>J</w:instrText>
            </w:r>
            <w:r w:rsidR="005B03CD" w:rsidRPr="0024417B">
              <w:rPr>
                <w:b/>
                <w:bCs/>
                <w:szCs w:val="24"/>
              </w:rPr>
              <w:instrText xml:space="preserve">. </w:instrText>
            </w:r>
            <w:r w:rsidR="005B03CD">
              <w:rPr>
                <w:b/>
                <w:bCs/>
                <w:szCs w:val="24"/>
                <w:lang w:val="en-US"/>
              </w:rPr>
              <w:instrText>D</w:instrText>
            </w:r>
            <w:r w:rsidR="005B03CD" w:rsidRPr="0024417B">
              <w:rPr>
                <w:b/>
                <w:bCs/>
                <w:szCs w:val="24"/>
              </w:rPr>
              <w:instrText>.","</w:instrText>
            </w:r>
            <w:r w:rsidR="005B03CD">
              <w:rPr>
                <w:b/>
                <w:bCs/>
                <w:szCs w:val="24"/>
                <w:lang w:val="en-US"/>
              </w:rPr>
              <w:instrText>non</w:instrText>
            </w:r>
            <w:r w:rsidR="005B03CD" w:rsidRPr="0024417B">
              <w:rPr>
                <w:b/>
                <w:bCs/>
                <w:szCs w:val="24"/>
              </w:rPr>
              <w:instrText>-</w:instrText>
            </w:r>
            <w:r w:rsidR="005B03CD">
              <w:rPr>
                <w:b/>
                <w:bCs/>
                <w:szCs w:val="24"/>
                <w:lang w:val="en-US"/>
              </w:rPr>
              <w:instrText>dropping</w:instrText>
            </w:r>
            <w:r w:rsidR="005B03CD" w:rsidRPr="0024417B">
              <w:rPr>
                <w:b/>
                <w:bCs/>
                <w:szCs w:val="24"/>
              </w:rPr>
              <w:instrText>-</w:instrText>
            </w:r>
            <w:r w:rsidR="005B03CD">
              <w:rPr>
                <w:b/>
                <w:bCs/>
                <w:szCs w:val="24"/>
                <w:lang w:val="en-US"/>
              </w:rPr>
              <w:instrText>particle</w:instrText>
            </w:r>
            <w:r w:rsidR="005B03CD" w:rsidRPr="0024417B">
              <w:rPr>
                <w:b/>
                <w:bCs/>
                <w:szCs w:val="24"/>
              </w:rPr>
              <w:instrText>":"","</w:instrText>
            </w:r>
            <w:r w:rsidR="005B03CD">
              <w:rPr>
                <w:b/>
                <w:bCs/>
                <w:szCs w:val="24"/>
                <w:lang w:val="en-US"/>
              </w:rPr>
              <w:instrText>parse</w:instrText>
            </w:r>
            <w:r w:rsidR="005B03CD" w:rsidRPr="0024417B">
              <w:rPr>
                <w:b/>
                <w:bCs/>
                <w:szCs w:val="24"/>
              </w:rPr>
              <w:instrText>-</w:instrText>
            </w:r>
            <w:r w:rsidR="005B03CD">
              <w:rPr>
                <w:b/>
                <w:bCs/>
                <w:szCs w:val="24"/>
                <w:lang w:val="en-US"/>
              </w:rPr>
              <w:instrText>names</w:instrText>
            </w:r>
            <w:r w:rsidR="005B03CD" w:rsidRPr="0024417B">
              <w:rPr>
                <w:b/>
                <w:bCs/>
                <w:szCs w:val="24"/>
              </w:rPr>
              <w:instrText>":</w:instrText>
            </w:r>
            <w:r w:rsidR="005B03CD">
              <w:rPr>
                <w:b/>
                <w:bCs/>
                <w:szCs w:val="24"/>
                <w:lang w:val="en-US"/>
              </w:rPr>
              <w:instrText>false</w:instrText>
            </w:r>
            <w:r w:rsidR="005B03CD" w:rsidRPr="0024417B">
              <w:rPr>
                <w:b/>
                <w:bCs/>
                <w:szCs w:val="24"/>
              </w:rPr>
              <w:instrText>,"</w:instrText>
            </w:r>
            <w:r w:rsidR="005B03CD">
              <w:rPr>
                <w:b/>
                <w:bCs/>
                <w:szCs w:val="24"/>
                <w:lang w:val="en-US"/>
              </w:rPr>
              <w:instrText>suffix</w:instrText>
            </w:r>
            <w:r w:rsidR="005B03CD" w:rsidRPr="0024417B">
              <w:rPr>
                <w:b/>
                <w:bCs/>
                <w:szCs w:val="24"/>
              </w:rPr>
              <w:instrText>":""},{"</w:instrText>
            </w:r>
            <w:r w:rsidR="005B03CD">
              <w:rPr>
                <w:b/>
                <w:bCs/>
                <w:szCs w:val="24"/>
                <w:lang w:val="en-US"/>
              </w:rPr>
              <w:instrText>dropping</w:instrText>
            </w:r>
            <w:r w:rsidR="005B03CD" w:rsidRPr="0024417B">
              <w:rPr>
                <w:b/>
                <w:bCs/>
                <w:szCs w:val="24"/>
              </w:rPr>
              <w:instrText>-</w:instrText>
            </w:r>
            <w:r w:rsidR="005B03CD">
              <w:rPr>
                <w:b/>
                <w:bCs/>
                <w:szCs w:val="24"/>
                <w:lang w:val="en-US"/>
              </w:rPr>
              <w:instrText>particle</w:instrText>
            </w:r>
            <w:r w:rsidR="005B03CD" w:rsidRPr="0024417B">
              <w:rPr>
                <w:b/>
                <w:bCs/>
                <w:szCs w:val="24"/>
              </w:rPr>
              <w:instrText>":"","</w:instrText>
            </w:r>
            <w:r w:rsidR="005B03CD">
              <w:rPr>
                <w:b/>
                <w:bCs/>
                <w:szCs w:val="24"/>
                <w:lang w:val="en-US"/>
              </w:rPr>
              <w:instrText>family</w:instrText>
            </w:r>
            <w:r w:rsidR="005B03CD" w:rsidRPr="0024417B">
              <w:rPr>
                <w:b/>
                <w:bCs/>
                <w:szCs w:val="24"/>
              </w:rPr>
              <w:instrText>":"</w:instrText>
            </w:r>
            <w:r w:rsidR="005B03CD">
              <w:rPr>
                <w:b/>
                <w:bCs/>
                <w:szCs w:val="24"/>
                <w:lang w:val="en-US"/>
              </w:rPr>
              <w:instrText>Sutherland</w:instrText>
            </w:r>
            <w:r w:rsidR="005B03CD" w:rsidRPr="0024417B">
              <w:rPr>
                <w:b/>
                <w:bCs/>
                <w:szCs w:val="24"/>
              </w:rPr>
              <w:instrText>","</w:instrText>
            </w:r>
            <w:r w:rsidR="005B03CD">
              <w:rPr>
                <w:b/>
                <w:bCs/>
                <w:szCs w:val="24"/>
                <w:lang w:val="en-US"/>
              </w:rPr>
              <w:instrText>given</w:instrText>
            </w:r>
            <w:r w:rsidR="005B03CD" w:rsidRPr="0024417B">
              <w:rPr>
                <w:b/>
                <w:bCs/>
                <w:szCs w:val="24"/>
              </w:rPr>
              <w:instrText>":"</w:instrText>
            </w:r>
            <w:r w:rsidR="005B03CD">
              <w:rPr>
                <w:b/>
                <w:bCs/>
                <w:szCs w:val="24"/>
                <w:lang w:val="en-US"/>
              </w:rPr>
              <w:instrText>H</w:instrText>
            </w:r>
            <w:r w:rsidR="005B03CD" w:rsidRPr="0024417B">
              <w:rPr>
                <w:b/>
                <w:bCs/>
                <w:szCs w:val="24"/>
              </w:rPr>
              <w:instrText xml:space="preserve">. </w:instrText>
            </w:r>
            <w:r w:rsidR="005B03CD">
              <w:rPr>
                <w:b/>
                <w:bCs/>
                <w:szCs w:val="24"/>
                <w:lang w:val="en-US"/>
              </w:rPr>
              <w:instrText>J</w:instrText>
            </w:r>
            <w:r w:rsidR="005B03CD" w:rsidRPr="0024417B">
              <w:rPr>
                <w:b/>
                <w:bCs/>
                <w:szCs w:val="24"/>
              </w:rPr>
              <w:instrText>.","</w:instrText>
            </w:r>
            <w:r w:rsidR="005B03CD">
              <w:rPr>
                <w:b/>
                <w:bCs/>
                <w:szCs w:val="24"/>
                <w:lang w:val="en-US"/>
              </w:rPr>
              <w:instrText>non</w:instrText>
            </w:r>
            <w:r w:rsidR="005B03CD" w:rsidRPr="0024417B">
              <w:rPr>
                <w:b/>
                <w:bCs/>
                <w:szCs w:val="24"/>
              </w:rPr>
              <w:instrText>-</w:instrText>
            </w:r>
            <w:r w:rsidR="005B03CD">
              <w:rPr>
                <w:b/>
                <w:bCs/>
                <w:szCs w:val="24"/>
                <w:lang w:val="en-US"/>
              </w:rPr>
              <w:instrText>dropping</w:instrText>
            </w:r>
            <w:r w:rsidR="005B03CD" w:rsidRPr="0024417B">
              <w:rPr>
                <w:b/>
                <w:bCs/>
                <w:szCs w:val="24"/>
              </w:rPr>
              <w:instrText>-</w:instrText>
            </w:r>
            <w:r w:rsidR="005B03CD">
              <w:rPr>
                <w:b/>
                <w:bCs/>
                <w:szCs w:val="24"/>
                <w:lang w:val="en-US"/>
              </w:rPr>
              <w:instrText>particle</w:instrText>
            </w:r>
            <w:r w:rsidR="005B03CD" w:rsidRPr="0024417B">
              <w:rPr>
                <w:b/>
                <w:bCs/>
                <w:szCs w:val="24"/>
              </w:rPr>
              <w:instrText>":"","</w:instrText>
            </w:r>
            <w:r w:rsidR="005B03CD">
              <w:rPr>
                <w:b/>
                <w:bCs/>
                <w:szCs w:val="24"/>
                <w:lang w:val="en-US"/>
              </w:rPr>
              <w:instrText>parse</w:instrText>
            </w:r>
            <w:r w:rsidR="005B03CD" w:rsidRPr="0024417B">
              <w:rPr>
                <w:b/>
                <w:bCs/>
                <w:szCs w:val="24"/>
              </w:rPr>
              <w:instrText>-</w:instrText>
            </w:r>
            <w:r w:rsidR="005B03CD">
              <w:rPr>
                <w:b/>
                <w:bCs/>
                <w:szCs w:val="24"/>
                <w:lang w:val="en-US"/>
              </w:rPr>
              <w:instrText>names</w:instrText>
            </w:r>
            <w:r w:rsidR="005B03CD" w:rsidRPr="0024417B">
              <w:rPr>
                <w:b/>
                <w:bCs/>
                <w:szCs w:val="24"/>
              </w:rPr>
              <w:instrText>":</w:instrText>
            </w:r>
            <w:r w:rsidR="005B03CD">
              <w:rPr>
                <w:b/>
                <w:bCs/>
                <w:szCs w:val="24"/>
                <w:lang w:val="en-US"/>
              </w:rPr>
              <w:instrText>false</w:instrText>
            </w:r>
            <w:r w:rsidR="005B03CD" w:rsidRPr="0024417B">
              <w:rPr>
                <w:b/>
                <w:bCs/>
                <w:szCs w:val="24"/>
              </w:rPr>
              <w:instrText>,"</w:instrText>
            </w:r>
            <w:r w:rsidR="005B03CD">
              <w:rPr>
                <w:b/>
                <w:bCs/>
                <w:szCs w:val="24"/>
                <w:lang w:val="en-US"/>
              </w:rPr>
              <w:instrText>suffix</w:instrText>
            </w:r>
            <w:r w:rsidR="005B03CD" w:rsidRPr="0024417B">
              <w:rPr>
                <w:b/>
                <w:bCs/>
                <w:szCs w:val="24"/>
              </w:rPr>
              <w:instrText>":""},{"</w:instrText>
            </w:r>
            <w:r w:rsidR="005B03CD">
              <w:rPr>
                <w:b/>
                <w:bCs/>
                <w:szCs w:val="24"/>
                <w:lang w:val="en-US"/>
              </w:rPr>
              <w:instrText>dropping</w:instrText>
            </w:r>
            <w:r w:rsidR="005B03CD" w:rsidRPr="0024417B">
              <w:rPr>
                <w:b/>
                <w:bCs/>
                <w:szCs w:val="24"/>
              </w:rPr>
              <w:instrText>-</w:instrText>
            </w:r>
            <w:r w:rsidR="005B03CD">
              <w:rPr>
                <w:b/>
                <w:bCs/>
                <w:szCs w:val="24"/>
                <w:lang w:val="en-US"/>
              </w:rPr>
              <w:instrText>particle</w:instrText>
            </w:r>
            <w:r w:rsidR="005B03CD" w:rsidRPr="0024417B">
              <w:rPr>
                <w:b/>
                <w:bCs/>
                <w:szCs w:val="24"/>
              </w:rPr>
              <w:instrText>":"","</w:instrText>
            </w:r>
            <w:r w:rsidR="005B03CD">
              <w:rPr>
                <w:b/>
                <w:bCs/>
                <w:szCs w:val="24"/>
                <w:lang w:val="en-US"/>
              </w:rPr>
              <w:instrText>family</w:instrText>
            </w:r>
            <w:r w:rsidR="005B03CD" w:rsidRPr="0024417B">
              <w:rPr>
                <w:b/>
                <w:bCs/>
                <w:szCs w:val="24"/>
              </w:rPr>
              <w:instrText>":"</w:instrText>
            </w:r>
            <w:r w:rsidR="005B03CD">
              <w:rPr>
                <w:b/>
                <w:bCs/>
                <w:szCs w:val="24"/>
                <w:lang w:val="en-US"/>
              </w:rPr>
              <w:instrText>Voss</w:instrText>
            </w:r>
            <w:r w:rsidR="005B03CD" w:rsidRPr="0024417B">
              <w:rPr>
                <w:b/>
                <w:bCs/>
                <w:szCs w:val="24"/>
              </w:rPr>
              <w:instrText>","</w:instrText>
            </w:r>
            <w:r w:rsidR="005B03CD">
              <w:rPr>
                <w:b/>
                <w:bCs/>
                <w:szCs w:val="24"/>
                <w:lang w:val="en-US"/>
              </w:rPr>
              <w:instrText>given</w:instrText>
            </w:r>
            <w:r w:rsidR="005B03CD" w:rsidRPr="0024417B">
              <w:rPr>
                <w:b/>
                <w:bCs/>
                <w:szCs w:val="24"/>
              </w:rPr>
              <w:instrText>":"</w:instrText>
            </w:r>
            <w:r w:rsidR="005B03CD">
              <w:rPr>
                <w:b/>
                <w:bCs/>
                <w:szCs w:val="24"/>
                <w:lang w:val="en-US"/>
              </w:rPr>
              <w:instrText>N</w:instrText>
            </w:r>
            <w:r w:rsidR="005B03CD" w:rsidRPr="0024417B">
              <w:rPr>
                <w:b/>
                <w:bCs/>
                <w:szCs w:val="24"/>
              </w:rPr>
              <w:instrText xml:space="preserve">. </w:instrText>
            </w:r>
            <w:r w:rsidR="005B03CD">
              <w:rPr>
                <w:b/>
                <w:bCs/>
                <w:szCs w:val="24"/>
                <w:lang w:val="en-US"/>
              </w:rPr>
              <w:instrText>J</w:instrText>
            </w:r>
            <w:r w:rsidR="005B03CD" w:rsidRPr="0024417B">
              <w:rPr>
                <w:b/>
                <w:bCs/>
                <w:szCs w:val="24"/>
              </w:rPr>
              <w:instrText>.</w:instrText>
            </w:r>
            <w:r w:rsidR="005B03CD">
              <w:rPr>
                <w:b/>
                <w:bCs/>
                <w:szCs w:val="24"/>
                <w:lang w:val="en-US"/>
              </w:rPr>
              <w:instrText>S</w:instrText>
            </w:r>
            <w:r w:rsidR="005B03CD" w:rsidRPr="0024417B">
              <w:rPr>
                <w:b/>
                <w:bCs/>
                <w:szCs w:val="24"/>
              </w:rPr>
              <w:instrText>.","</w:instrText>
            </w:r>
            <w:r w:rsidR="005B03CD">
              <w:rPr>
                <w:b/>
                <w:bCs/>
                <w:szCs w:val="24"/>
                <w:lang w:val="en-US"/>
              </w:rPr>
              <w:instrText>non</w:instrText>
            </w:r>
            <w:r w:rsidR="005B03CD" w:rsidRPr="0024417B">
              <w:rPr>
                <w:b/>
                <w:bCs/>
                <w:szCs w:val="24"/>
              </w:rPr>
              <w:instrText>-</w:instrText>
            </w:r>
            <w:r w:rsidR="005B03CD">
              <w:rPr>
                <w:b/>
                <w:bCs/>
                <w:szCs w:val="24"/>
                <w:lang w:val="en-US"/>
              </w:rPr>
              <w:instrText>dropping</w:instrText>
            </w:r>
            <w:r w:rsidR="005B03CD" w:rsidRPr="0024417B">
              <w:rPr>
                <w:b/>
                <w:bCs/>
                <w:szCs w:val="24"/>
              </w:rPr>
              <w:instrText>-</w:instrText>
            </w:r>
            <w:r w:rsidR="005B03CD">
              <w:rPr>
                <w:b/>
                <w:bCs/>
                <w:szCs w:val="24"/>
                <w:lang w:val="en-US"/>
              </w:rPr>
              <w:instrText>particle</w:instrText>
            </w:r>
            <w:r w:rsidR="005B03CD" w:rsidRPr="0024417B">
              <w:rPr>
                <w:b/>
                <w:bCs/>
                <w:szCs w:val="24"/>
              </w:rPr>
              <w:instrText>":"","</w:instrText>
            </w:r>
            <w:r w:rsidR="005B03CD">
              <w:rPr>
                <w:b/>
                <w:bCs/>
                <w:szCs w:val="24"/>
                <w:lang w:val="en-US"/>
              </w:rPr>
              <w:instrText>parse</w:instrText>
            </w:r>
            <w:r w:rsidR="005B03CD" w:rsidRPr="0024417B">
              <w:rPr>
                <w:b/>
                <w:bCs/>
                <w:szCs w:val="24"/>
              </w:rPr>
              <w:instrText>-</w:instrText>
            </w:r>
            <w:r w:rsidR="005B03CD">
              <w:rPr>
                <w:b/>
                <w:bCs/>
                <w:szCs w:val="24"/>
                <w:lang w:val="en-US"/>
              </w:rPr>
              <w:instrText>names</w:instrText>
            </w:r>
            <w:r w:rsidR="005B03CD" w:rsidRPr="0024417B">
              <w:rPr>
                <w:b/>
                <w:bCs/>
                <w:szCs w:val="24"/>
              </w:rPr>
              <w:instrText>":</w:instrText>
            </w:r>
            <w:r w:rsidR="005B03CD">
              <w:rPr>
                <w:b/>
                <w:bCs/>
                <w:szCs w:val="24"/>
                <w:lang w:val="en-US"/>
              </w:rPr>
              <w:instrText>false</w:instrText>
            </w:r>
            <w:r w:rsidR="005B03CD" w:rsidRPr="0024417B">
              <w:rPr>
                <w:b/>
                <w:bCs/>
                <w:szCs w:val="24"/>
              </w:rPr>
              <w:instrText>,"</w:instrText>
            </w:r>
            <w:r w:rsidR="005B03CD">
              <w:rPr>
                <w:b/>
                <w:bCs/>
                <w:szCs w:val="24"/>
                <w:lang w:val="en-US"/>
              </w:rPr>
              <w:instrText>suffix</w:instrText>
            </w:r>
            <w:r w:rsidR="005B03CD" w:rsidRPr="0024417B">
              <w:rPr>
                <w:b/>
                <w:bCs/>
                <w:szCs w:val="24"/>
              </w:rPr>
              <w:instrText>":""},{"</w:instrText>
            </w:r>
            <w:r w:rsidR="005B03CD">
              <w:rPr>
                <w:b/>
                <w:bCs/>
                <w:szCs w:val="24"/>
                <w:lang w:val="en-US"/>
              </w:rPr>
              <w:instrText>dropping</w:instrText>
            </w:r>
            <w:r w:rsidR="005B03CD" w:rsidRPr="0024417B">
              <w:rPr>
                <w:b/>
                <w:bCs/>
                <w:szCs w:val="24"/>
              </w:rPr>
              <w:instrText>-</w:instrText>
            </w:r>
            <w:r w:rsidR="005B03CD">
              <w:rPr>
                <w:b/>
                <w:bCs/>
                <w:szCs w:val="24"/>
                <w:lang w:val="en-US"/>
              </w:rPr>
              <w:instrText>particle</w:instrText>
            </w:r>
            <w:r w:rsidR="005B03CD" w:rsidRPr="0024417B">
              <w:rPr>
                <w:b/>
                <w:bCs/>
                <w:szCs w:val="24"/>
              </w:rPr>
              <w:instrText>":"","</w:instrText>
            </w:r>
            <w:r w:rsidR="005B03CD">
              <w:rPr>
                <w:b/>
                <w:bCs/>
                <w:szCs w:val="24"/>
                <w:lang w:val="en-US"/>
              </w:rPr>
              <w:instrText>family</w:instrText>
            </w:r>
            <w:r w:rsidR="005B03CD" w:rsidRPr="0024417B">
              <w:rPr>
                <w:b/>
                <w:bCs/>
                <w:szCs w:val="24"/>
              </w:rPr>
              <w:instrText>":"</w:instrText>
            </w:r>
            <w:r w:rsidR="005B03CD">
              <w:rPr>
                <w:b/>
                <w:bCs/>
                <w:szCs w:val="24"/>
                <w:lang w:val="en-US"/>
              </w:rPr>
              <w:instrText>Fairey</w:instrText>
            </w:r>
            <w:r w:rsidR="005B03CD" w:rsidRPr="0024417B">
              <w:rPr>
                <w:b/>
                <w:bCs/>
                <w:szCs w:val="24"/>
              </w:rPr>
              <w:instrText>","</w:instrText>
            </w:r>
            <w:r w:rsidR="005B03CD">
              <w:rPr>
                <w:b/>
                <w:bCs/>
                <w:szCs w:val="24"/>
                <w:lang w:val="en-US"/>
              </w:rPr>
              <w:instrText>given</w:instrText>
            </w:r>
            <w:r w:rsidR="005B03CD" w:rsidRPr="0024417B">
              <w:rPr>
                <w:b/>
                <w:bCs/>
                <w:szCs w:val="24"/>
              </w:rPr>
              <w:instrText>":"</w:instrText>
            </w:r>
            <w:r w:rsidR="005B03CD">
              <w:rPr>
                <w:b/>
                <w:bCs/>
                <w:szCs w:val="24"/>
                <w:lang w:val="en-US"/>
              </w:rPr>
              <w:instrText>R</w:instrText>
            </w:r>
            <w:r w:rsidR="005B03CD" w:rsidRPr="0024417B">
              <w:rPr>
                <w:b/>
                <w:bCs/>
                <w:szCs w:val="24"/>
              </w:rPr>
              <w:instrText xml:space="preserve">. </w:instrText>
            </w:r>
            <w:r w:rsidR="005B03CD">
              <w:rPr>
                <w:b/>
                <w:bCs/>
                <w:szCs w:val="24"/>
                <w:lang w:val="en-US"/>
              </w:rPr>
              <w:instrText>N</w:instrText>
            </w:r>
            <w:r w:rsidR="005B03CD" w:rsidRPr="0024417B">
              <w:rPr>
                <w:b/>
                <w:bCs/>
                <w:szCs w:val="24"/>
              </w:rPr>
              <w:instrText>.","</w:instrText>
            </w:r>
            <w:r w:rsidR="005B03CD">
              <w:rPr>
                <w:b/>
                <w:bCs/>
                <w:szCs w:val="24"/>
                <w:lang w:val="en-US"/>
              </w:rPr>
              <w:instrText>non</w:instrText>
            </w:r>
            <w:r w:rsidR="005B03CD" w:rsidRPr="0024417B">
              <w:rPr>
                <w:b/>
                <w:bCs/>
                <w:szCs w:val="24"/>
              </w:rPr>
              <w:instrText>-</w:instrText>
            </w:r>
            <w:r w:rsidR="005B03CD">
              <w:rPr>
                <w:b/>
                <w:bCs/>
                <w:szCs w:val="24"/>
                <w:lang w:val="en-US"/>
              </w:rPr>
              <w:instrText>dropping</w:instrText>
            </w:r>
            <w:r w:rsidR="005B03CD" w:rsidRPr="0024417B">
              <w:rPr>
                <w:b/>
                <w:bCs/>
                <w:szCs w:val="24"/>
              </w:rPr>
              <w:instrText>-</w:instrText>
            </w:r>
            <w:r w:rsidR="005B03CD">
              <w:rPr>
                <w:b/>
                <w:bCs/>
                <w:szCs w:val="24"/>
                <w:lang w:val="en-US"/>
              </w:rPr>
              <w:instrText>particle</w:instrText>
            </w:r>
            <w:r w:rsidR="005B03CD" w:rsidRPr="0024417B">
              <w:rPr>
                <w:b/>
                <w:bCs/>
                <w:szCs w:val="24"/>
              </w:rPr>
              <w:instrText>":"","</w:instrText>
            </w:r>
            <w:r w:rsidR="005B03CD">
              <w:rPr>
                <w:b/>
                <w:bCs/>
                <w:szCs w:val="24"/>
                <w:lang w:val="en-US"/>
              </w:rPr>
              <w:instrText>parse</w:instrText>
            </w:r>
            <w:r w:rsidR="005B03CD" w:rsidRPr="0024417B">
              <w:rPr>
                <w:b/>
                <w:bCs/>
                <w:szCs w:val="24"/>
              </w:rPr>
              <w:instrText>-</w:instrText>
            </w:r>
            <w:r w:rsidR="005B03CD">
              <w:rPr>
                <w:b/>
                <w:bCs/>
                <w:szCs w:val="24"/>
                <w:lang w:val="en-US"/>
              </w:rPr>
              <w:instrText>names</w:instrText>
            </w:r>
            <w:r w:rsidR="005B03CD" w:rsidRPr="0024417B">
              <w:rPr>
                <w:b/>
                <w:bCs/>
                <w:szCs w:val="24"/>
              </w:rPr>
              <w:instrText>":</w:instrText>
            </w:r>
            <w:r w:rsidR="005B03CD">
              <w:rPr>
                <w:b/>
                <w:bCs/>
                <w:szCs w:val="24"/>
                <w:lang w:val="en-US"/>
              </w:rPr>
              <w:instrText>false</w:instrText>
            </w:r>
            <w:r w:rsidR="005B03CD" w:rsidRPr="0024417B">
              <w:rPr>
                <w:b/>
                <w:bCs/>
                <w:szCs w:val="24"/>
              </w:rPr>
              <w:instrText>,"</w:instrText>
            </w:r>
            <w:r w:rsidR="005B03CD">
              <w:rPr>
                <w:b/>
                <w:bCs/>
                <w:szCs w:val="24"/>
                <w:lang w:val="en-US"/>
              </w:rPr>
              <w:instrText>suffix</w:instrText>
            </w:r>
            <w:r w:rsidR="005B03CD" w:rsidRPr="0024417B">
              <w:rPr>
                <w:b/>
                <w:bCs/>
                <w:szCs w:val="24"/>
              </w:rPr>
              <w:instrText>":""},{"</w:instrText>
            </w:r>
            <w:r w:rsidR="005B03CD">
              <w:rPr>
                <w:b/>
                <w:bCs/>
                <w:szCs w:val="24"/>
                <w:lang w:val="en-US"/>
              </w:rPr>
              <w:instrText>dropping</w:instrText>
            </w:r>
            <w:r w:rsidR="005B03CD" w:rsidRPr="0024417B">
              <w:rPr>
                <w:b/>
                <w:bCs/>
                <w:szCs w:val="24"/>
              </w:rPr>
              <w:instrText>-</w:instrText>
            </w:r>
            <w:r w:rsidR="005B03CD">
              <w:rPr>
                <w:b/>
                <w:bCs/>
                <w:szCs w:val="24"/>
                <w:lang w:val="en-US"/>
              </w:rPr>
              <w:instrText>particle</w:instrText>
            </w:r>
            <w:r w:rsidR="005B03CD" w:rsidRPr="0024417B">
              <w:rPr>
                <w:b/>
                <w:bCs/>
                <w:szCs w:val="24"/>
              </w:rPr>
              <w:instrText>":"","</w:instrText>
            </w:r>
            <w:r w:rsidR="005B03CD">
              <w:rPr>
                <w:b/>
                <w:bCs/>
                <w:szCs w:val="24"/>
                <w:lang w:val="en-US"/>
              </w:rPr>
              <w:instrText>family</w:instrText>
            </w:r>
            <w:r w:rsidR="005B03CD" w:rsidRPr="0024417B">
              <w:rPr>
                <w:b/>
                <w:bCs/>
                <w:szCs w:val="24"/>
              </w:rPr>
              <w:instrText>":"</w:instrText>
            </w:r>
            <w:r w:rsidR="005B03CD">
              <w:rPr>
                <w:b/>
                <w:bCs/>
                <w:szCs w:val="24"/>
                <w:lang w:val="en-US"/>
              </w:rPr>
              <w:instrText>O</w:instrText>
            </w:r>
            <w:r w:rsidR="005B03CD" w:rsidRPr="0024417B">
              <w:rPr>
                <w:b/>
                <w:bCs/>
                <w:szCs w:val="24"/>
              </w:rPr>
              <w:instrText>'</w:instrText>
            </w:r>
            <w:r w:rsidR="005B03CD">
              <w:rPr>
                <w:b/>
                <w:bCs/>
                <w:szCs w:val="24"/>
                <w:lang w:val="en-US"/>
              </w:rPr>
              <w:instrText>Reilly</w:instrText>
            </w:r>
            <w:r w:rsidR="005B03CD" w:rsidRPr="0024417B">
              <w:rPr>
                <w:b/>
                <w:bCs/>
                <w:szCs w:val="24"/>
              </w:rPr>
              <w:instrText>","</w:instrText>
            </w:r>
            <w:r w:rsidR="005B03CD">
              <w:rPr>
                <w:b/>
                <w:bCs/>
                <w:szCs w:val="24"/>
                <w:lang w:val="en-US"/>
              </w:rPr>
              <w:instrText>given</w:instrText>
            </w:r>
            <w:r w:rsidR="005B03CD" w:rsidRPr="0024417B">
              <w:rPr>
                <w:b/>
                <w:bCs/>
                <w:szCs w:val="24"/>
              </w:rPr>
              <w:instrText>":"</w:instrText>
            </w:r>
            <w:r w:rsidR="005B03CD">
              <w:rPr>
                <w:b/>
                <w:bCs/>
                <w:szCs w:val="24"/>
                <w:lang w:val="en-US"/>
              </w:rPr>
              <w:instrText>S</w:instrText>
            </w:r>
            <w:r w:rsidR="005B03CD" w:rsidRPr="0024417B">
              <w:rPr>
                <w:b/>
                <w:bCs/>
                <w:szCs w:val="24"/>
              </w:rPr>
              <w:instrText xml:space="preserve">. </w:instrText>
            </w:r>
            <w:r w:rsidR="005B03CD">
              <w:rPr>
                <w:b/>
                <w:bCs/>
                <w:szCs w:val="24"/>
                <w:lang w:val="en-US"/>
              </w:rPr>
              <w:instrText>E</w:instrText>
            </w:r>
            <w:r w:rsidR="005B03CD" w:rsidRPr="0024417B">
              <w:rPr>
                <w:b/>
                <w:bCs/>
                <w:szCs w:val="24"/>
              </w:rPr>
              <w:instrText>.","</w:instrText>
            </w:r>
            <w:r w:rsidR="005B03CD">
              <w:rPr>
                <w:b/>
                <w:bCs/>
                <w:szCs w:val="24"/>
                <w:lang w:val="en-US"/>
              </w:rPr>
              <w:instrText>non</w:instrText>
            </w:r>
            <w:r w:rsidR="005B03CD" w:rsidRPr="0024417B">
              <w:rPr>
                <w:b/>
                <w:bCs/>
                <w:szCs w:val="24"/>
              </w:rPr>
              <w:instrText>-</w:instrText>
            </w:r>
            <w:r w:rsidR="005B03CD">
              <w:rPr>
                <w:b/>
                <w:bCs/>
                <w:szCs w:val="24"/>
                <w:lang w:val="en-US"/>
              </w:rPr>
              <w:instrText>dropping</w:instrText>
            </w:r>
            <w:r w:rsidR="005B03CD" w:rsidRPr="0024417B">
              <w:rPr>
                <w:b/>
                <w:bCs/>
                <w:szCs w:val="24"/>
              </w:rPr>
              <w:instrText>-</w:instrText>
            </w:r>
            <w:r w:rsidR="005B03CD">
              <w:rPr>
                <w:b/>
                <w:bCs/>
                <w:szCs w:val="24"/>
                <w:lang w:val="en-US"/>
              </w:rPr>
              <w:instrText>particle</w:instrText>
            </w:r>
            <w:r w:rsidR="005B03CD" w:rsidRPr="0024417B">
              <w:rPr>
                <w:b/>
                <w:bCs/>
                <w:szCs w:val="24"/>
              </w:rPr>
              <w:instrText>":"","</w:instrText>
            </w:r>
            <w:r w:rsidR="005B03CD">
              <w:rPr>
                <w:b/>
                <w:bCs/>
                <w:szCs w:val="24"/>
                <w:lang w:val="en-US"/>
              </w:rPr>
              <w:instrText>parse</w:instrText>
            </w:r>
            <w:r w:rsidR="005B03CD" w:rsidRPr="0024417B">
              <w:rPr>
                <w:b/>
                <w:bCs/>
                <w:szCs w:val="24"/>
              </w:rPr>
              <w:instrText>-</w:instrText>
            </w:r>
            <w:r w:rsidR="005B03CD">
              <w:rPr>
                <w:b/>
                <w:bCs/>
                <w:szCs w:val="24"/>
                <w:lang w:val="en-US"/>
              </w:rPr>
              <w:instrText>names</w:instrText>
            </w:r>
            <w:r w:rsidR="005B03CD" w:rsidRPr="0024417B">
              <w:rPr>
                <w:b/>
                <w:bCs/>
                <w:szCs w:val="24"/>
              </w:rPr>
              <w:instrText>":</w:instrText>
            </w:r>
            <w:r w:rsidR="005B03CD">
              <w:rPr>
                <w:b/>
                <w:bCs/>
                <w:szCs w:val="24"/>
                <w:lang w:val="en-US"/>
              </w:rPr>
              <w:instrText>false</w:instrText>
            </w:r>
            <w:r w:rsidR="005B03CD" w:rsidRPr="0024417B">
              <w:rPr>
                <w:b/>
                <w:bCs/>
                <w:szCs w:val="24"/>
              </w:rPr>
              <w:instrText>,"</w:instrText>
            </w:r>
            <w:r w:rsidR="005B03CD">
              <w:rPr>
                <w:b/>
                <w:bCs/>
                <w:szCs w:val="24"/>
                <w:lang w:val="en-US"/>
              </w:rPr>
              <w:instrText>suffix</w:instrText>
            </w:r>
            <w:r w:rsidR="005B03CD" w:rsidRPr="0024417B">
              <w:rPr>
                <w:b/>
                <w:bCs/>
                <w:szCs w:val="24"/>
              </w:rPr>
              <w:instrText>":""},{"</w:instrText>
            </w:r>
            <w:r w:rsidR="005B03CD">
              <w:rPr>
                <w:b/>
                <w:bCs/>
                <w:szCs w:val="24"/>
                <w:lang w:val="en-US"/>
              </w:rPr>
              <w:instrText>dropping</w:instrText>
            </w:r>
            <w:r w:rsidR="005B03CD" w:rsidRPr="0024417B">
              <w:rPr>
                <w:b/>
                <w:bCs/>
                <w:szCs w:val="24"/>
              </w:rPr>
              <w:instrText>-</w:instrText>
            </w:r>
            <w:r w:rsidR="005B03CD">
              <w:rPr>
                <w:b/>
                <w:bCs/>
                <w:szCs w:val="24"/>
                <w:lang w:val="en-US"/>
              </w:rPr>
              <w:instrText>particle</w:instrText>
            </w:r>
            <w:r w:rsidR="005B03CD" w:rsidRPr="0024417B">
              <w:rPr>
                <w:b/>
                <w:bCs/>
                <w:szCs w:val="24"/>
              </w:rPr>
              <w:instrText>":"","</w:instrText>
            </w:r>
            <w:r w:rsidR="005B03CD">
              <w:rPr>
                <w:b/>
                <w:bCs/>
                <w:szCs w:val="24"/>
                <w:lang w:val="en-US"/>
              </w:rPr>
              <w:instrText>family</w:instrText>
            </w:r>
            <w:r w:rsidR="005B03CD" w:rsidRPr="0024417B">
              <w:rPr>
                <w:b/>
                <w:bCs/>
                <w:szCs w:val="24"/>
              </w:rPr>
              <w:instrText>":"</w:instrText>
            </w:r>
            <w:r w:rsidR="005B03CD">
              <w:rPr>
                <w:b/>
                <w:bCs/>
                <w:szCs w:val="24"/>
                <w:lang w:val="en-US"/>
              </w:rPr>
              <w:instrText>Phillips</w:instrText>
            </w:r>
            <w:r w:rsidR="005B03CD" w:rsidRPr="0024417B">
              <w:rPr>
                <w:b/>
                <w:bCs/>
                <w:szCs w:val="24"/>
              </w:rPr>
              <w:instrText>","</w:instrText>
            </w:r>
            <w:r w:rsidR="005B03CD">
              <w:rPr>
                <w:b/>
                <w:bCs/>
                <w:szCs w:val="24"/>
                <w:lang w:val="en-US"/>
              </w:rPr>
              <w:instrText>given</w:instrText>
            </w:r>
            <w:r w:rsidR="005B03CD" w:rsidRPr="0024417B">
              <w:rPr>
                <w:b/>
                <w:bCs/>
                <w:szCs w:val="24"/>
              </w:rPr>
              <w:instrText>":"</w:instrText>
            </w:r>
            <w:r w:rsidR="005B03CD">
              <w:rPr>
                <w:b/>
                <w:bCs/>
                <w:szCs w:val="24"/>
                <w:lang w:val="en-US"/>
              </w:rPr>
              <w:instrText>G</w:instrText>
            </w:r>
            <w:r w:rsidR="005B03CD" w:rsidRPr="0024417B">
              <w:rPr>
                <w:b/>
                <w:bCs/>
                <w:szCs w:val="24"/>
              </w:rPr>
              <w:instrText xml:space="preserve">. </w:instrText>
            </w:r>
            <w:r w:rsidR="005B03CD">
              <w:rPr>
                <w:b/>
                <w:bCs/>
                <w:szCs w:val="24"/>
                <w:lang w:val="en-US"/>
              </w:rPr>
              <w:instrText>L</w:instrText>
            </w:r>
            <w:r w:rsidR="005B03CD" w:rsidRPr="0024417B">
              <w:rPr>
                <w:b/>
                <w:bCs/>
                <w:szCs w:val="24"/>
              </w:rPr>
              <w:instrText>.","</w:instrText>
            </w:r>
            <w:r w:rsidR="005B03CD">
              <w:rPr>
                <w:b/>
                <w:bCs/>
                <w:szCs w:val="24"/>
                <w:lang w:val="en-US"/>
              </w:rPr>
              <w:instrText>non</w:instrText>
            </w:r>
            <w:r w:rsidR="005B03CD" w:rsidRPr="0024417B">
              <w:rPr>
                <w:b/>
                <w:bCs/>
                <w:szCs w:val="24"/>
              </w:rPr>
              <w:instrText>-</w:instrText>
            </w:r>
            <w:r w:rsidR="005B03CD">
              <w:rPr>
                <w:b/>
                <w:bCs/>
                <w:szCs w:val="24"/>
                <w:lang w:val="en-US"/>
              </w:rPr>
              <w:instrText>dropping</w:instrText>
            </w:r>
            <w:r w:rsidR="005B03CD" w:rsidRPr="0024417B">
              <w:rPr>
                <w:b/>
                <w:bCs/>
                <w:szCs w:val="24"/>
              </w:rPr>
              <w:instrText>-</w:instrText>
            </w:r>
            <w:r w:rsidR="005B03CD">
              <w:rPr>
                <w:b/>
                <w:bCs/>
                <w:szCs w:val="24"/>
                <w:lang w:val="en-US"/>
              </w:rPr>
              <w:instrText>particle</w:instrText>
            </w:r>
            <w:r w:rsidR="005B03CD" w:rsidRPr="0024417B">
              <w:rPr>
                <w:b/>
                <w:bCs/>
                <w:szCs w:val="24"/>
              </w:rPr>
              <w:instrText>":"","</w:instrText>
            </w:r>
            <w:r w:rsidR="005B03CD">
              <w:rPr>
                <w:b/>
                <w:bCs/>
                <w:szCs w:val="24"/>
                <w:lang w:val="en-US"/>
              </w:rPr>
              <w:instrText>parse</w:instrText>
            </w:r>
            <w:r w:rsidR="005B03CD" w:rsidRPr="0024417B">
              <w:rPr>
                <w:b/>
                <w:bCs/>
                <w:szCs w:val="24"/>
              </w:rPr>
              <w:instrText>-</w:instrText>
            </w:r>
            <w:r w:rsidR="005B03CD">
              <w:rPr>
                <w:b/>
                <w:bCs/>
                <w:szCs w:val="24"/>
                <w:lang w:val="en-US"/>
              </w:rPr>
              <w:instrText>names</w:instrText>
            </w:r>
            <w:r w:rsidR="005B03CD" w:rsidRPr="0024417B">
              <w:rPr>
                <w:b/>
                <w:bCs/>
                <w:szCs w:val="24"/>
              </w:rPr>
              <w:instrText>":</w:instrText>
            </w:r>
            <w:r w:rsidR="005B03CD">
              <w:rPr>
                <w:b/>
                <w:bCs/>
                <w:szCs w:val="24"/>
                <w:lang w:val="en-US"/>
              </w:rPr>
              <w:instrText>false</w:instrText>
            </w:r>
            <w:r w:rsidR="005B03CD" w:rsidRPr="0024417B">
              <w:rPr>
                <w:b/>
                <w:bCs/>
                <w:szCs w:val="24"/>
              </w:rPr>
              <w:instrText>,"</w:instrText>
            </w:r>
            <w:r w:rsidR="005B03CD">
              <w:rPr>
                <w:b/>
                <w:bCs/>
                <w:szCs w:val="24"/>
                <w:lang w:val="en-US"/>
              </w:rPr>
              <w:instrText>suffix</w:instrText>
            </w:r>
            <w:r w:rsidR="005B03CD" w:rsidRPr="0024417B">
              <w:rPr>
                <w:b/>
                <w:bCs/>
                <w:szCs w:val="24"/>
              </w:rPr>
              <w:instrText>":""}],"</w:instrText>
            </w:r>
            <w:r w:rsidR="005B03CD">
              <w:rPr>
                <w:b/>
                <w:bCs/>
                <w:szCs w:val="24"/>
                <w:lang w:val="en-US"/>
              </w:rPr>
              <w:instrText>container</w:instrText>
            </w:r>
            <w:r w:rsidR="005B03CD" w:rsidRPr="0024417B">
              <w:rPr>
                <w:b/>
                <w:bCs/>
                <w:szCs w:val="24"/>
              </w:rPr>
              <w:instrText>-</w:instrText>
            </w:r>
            <w:r w:rsidR="005B03CD">
              <w:rPr>
                <w:b/>
                <w:bCs/>
                <w:szCs w:val="24"/>
                <w:lang w:val="en-US"/>
              </w:rPr>
              <w:instrText>title</w:instrText>
            </w:r>
            <w:r w:rsidR="005B03CD" w:rsidRPr="0024417B">
              <w:rPr>
                <w:b/>
                <w:bCs/>
                <w:szCs w:val="24"/>
              </w:rPr>
              <w:instrText>":"</w:instrText>
            </w:r>
            <w:r w:rsidR="005B03CD">
              <w:rPr>
                <w:b/>
                <w:bCs/>
                <w:szCs w:val="24"/>
                <w:lang w:val="en-US"/>
              </w:rPr>
              <w:instrText>Bone</w:instrText>
            </w:r>
            <w:r w:rsidR="005B03CD" w:rsidRPr="0024417B">
              <w:rPr>
                <w:b/>
                <w:bCs/>
                <w:szCs w:val="24"/>
              </w:rPr>
              <w:instrText xml:space="preserve"> </w:instrText>
            </w:r>
            <w:r w:rsidR="005B03CD">
              <w:rPr>
                <w:b/>
                <w:bCs/>
                <w:szCs w:val="24"/>
                <w:lang w:val="en-US"/>
              </w:rPr>
              <w:instrText>Marrow</w:instrText>
            </w:r>
            <w:r w:rsidR="005B03CD" w:rsidRPr="0024417B">
              <w:rPr>
                <w:b/>
                <w:bCs/>
                <w:szCs w:val="24"/>
              </w:rPr>
              <w:instrText xml:space="preserve"> </w:instrText>
            </w:r>
            <w:r w:rsidR="005B03CD">
              <w:rPr>
                <w:b/>
                <w:bCs/>
                <w:szCs w:val="24"/>
                <w:lang w:val="en-US"/>
              </w:rPr>
              <w:instrText>Transplantation</w:instrText>
            </w:r>
            <w:r w:rsidR="005B03CD" w:rsidRPr="0024417B">
              <w:rPr>
                <w:b/>
                <w:bCs/>
                <w:szCs w:val="24"/>
              </w:rPr>
              <w:instrText>","</w:instrText>
            </w:r>
            <w:r w:rsidR="005B03CD">
              <w:rPr>
                <w:b/>
                <w:bCs/>
                <w:szCs w:val="24"/>
                <w:lang w:val="en-US"/>
              </w:rPr>
              <w:instrText>id</w:instrText>
            </w:r>
            <w:r w:rsidR="005B03CD" w:rsidRPr="0024417B">
              <w:rPr>
                <w:b/>
                <w:bCs/>
                <w:szCs w:val="24"/>
              </w:rPr>
              <w:instrText>":"</w:instrText>
            </w:r>
            <w:r w:rsidR="005B03CD">
              <w:rPr>
                <w:b/>
                <w:bCs/>
                <w:szCs w:val="24"/>
                <w:lang w:val="en-US"/>
              </w:rPr>
              <w:instrText>ITEM</w:instrText>
            </w:r>
            <w:r w:rsidR="005B03CD" w:rsidRPr="0024417B">
              <w:rPr>
                <w:b/>
                <w:bCs/>
                <w:szCs w:val="24"/>
              </w:rPr>
              <w:instrText>-1","</w:instrText>
            </w:r>
            <w:r w:rsidR="005B03CD">
              <w:rPr>
                <w:b/>
                <w:bCs/>
                <w:szCs w:val="24"/>
                <w:lang w:val="en-US"/>
              </w:rPr>
              <w:instrText>issue</w:instrText>
            </w:r>
            <w:r w:rsidR="005B03CD" w:rsidRPr="0024417B">
              <w:rPr>
                <w:b/>
                <w:bCs/>
                <w:szCs w:val="24"/>
              </w:rPr>
              <w:instrText>":"11","</w:instrText>
            </w:r>
            <w:r w:rsidR="005B03CD">
              <w:rPr>
                <w:b/>
                <w:bCs/>
                <w:szCs w:val="24"/>
                <w:lang w:val="en-US"/>
              </w:rPr>
              <w:instrText>issued</w:instrText>
            </w:r>
            <w:r w:rsidR="005B03CD" w:rsidRPr="0024417B">
              <w:rPr>
                <w:b/>
                <w:bCs/>
                <w:szCs w:val="24"/>
              </w:rPr>
              <w:instrText>":{"</w:instrText>
            </w:r>
            <w:r w:rsidR="005B03CD">
              <w:rPr>
                <w:b/>
                <w:bCs/>
                <w:szCs w:val="24"/>
                <w:lang w:val="en-US"/>
              </w:rPr>
              <w:instrText>date</w:instrText>
            </w:r>
            <w:r w:rsidR="005B03CD" w:rsidRPr="0024417B">
              <w:rPr>
                <w:b/>
                <w:bCs/>
                <w:szCs w:val="24"/>
              </w:rPr>
              <w:instrText>-</w:instrText>
            </w:r>
            <w:r w:rsidR="005B03CD">
              <w:rPr>
                <w:b/>
                <w:bCs/>
                <w:szCs w:val="24"/>
                <w:lang w:val="en-US"/>
              </w:rPr>
              <w:instrText>parts</w:instrText>
            </w:r>
            <w:r w:rsidR="005B03CD" w:rsidRPr="0024417B">
              <w:rPr>
                <w:b/>
                <w:bCs/>
                <w:szCs w:val="24"/>
              </w:rPr>
              <w:instrText>":[["1999","6"]]},"</w:instrText>
            </w:r>
            <w:r w:rsidR="005B03CD">
              <w:rPr>
                <w:b/>
                <w:bCs/>
                <w:szCs w:val="24"/>
                <w:lang w:val="en-US"/>
              </w:rPr>
              <w:instrText>page</w:instrText>
            </w:r>
            <w:r w:rsidR="005B03CD" w:rsidRPr="0024417B">
              <w:rPr>
                <w:b/>
                <w:bCs/>
                <w:szCs w:val="24"/>
              </w:rPr>
              <w:instrText>":"1131-1138","</w:instrText>
            </w:r>
            <w:r w:rsidR="005B03CD">
              <w:rPr>
                <w:b/>
                <w:bCs/>
                <w:szCs w:val="24"/>
                <w:lang w:val="en-US"/>
              </w:rPr>
              <w:instrText>publisher</w:instrText>
            </w:r>
            <w:r w:rsidR="005B03CD" w:rsidRPr="0024417B">
              <w:rPr>
                <w:b/>
                <w:bCs/>
                <w:szCs w:val="24"/>
              </w:rPr>
              <w:instrText>":"</w:instrText>
            </w:r>
            <w:r w:rsidR="005B03CD">
              <w:rPr>
                <w:b/>
                <w:bCs/>
                <w:szCs w:val="24"/>
                <w:lang w:val="en-US"/>
              </w:rPr>
              <w:instrText>Nature</w:instrText>
            </w:r>
            <w:r w:rsidR="005B03CD" w:rsidRPr="0024417B">
              <w:rPr>
                <w:b/>
                <w:bCs/>
                <w:szCs w:val="24"/>
              </w:rPr>
              <w:instrText xml:space="preserve"> </w:instrText>
            </w:r>
            <w:r w:rsidR="005B03CD">
              <w:rPr>
                <w:b/>
                <w:bCs/>
                <w:szCs w:val="24"/>
                <w:lang w:val="en-US"/>
              </w:rPr>
              <w:instrText>Publishing</w:instrText>
            </w:r>
            <w:r w:rsidR="005B03CD" w:rsidRPr="0024417B">
              <w:rPr>
                <w:b/>
                <w:bCs/>
                <w:szCs w:val="24"/>
              </w:rPr>
              <w:instrText xml:space="preserve"> </w:instrText>
            </w:r>
            <w:r w:rsidR="005B03CD">
              <w:rPr>
                <w:b/>
                <w:bCs/>
                <w:szCs w:val="24"/>
                <w:lang w:val="en-US"/>
              </w:rPr>
              <w:instrText>Group</w:instrText>
            </w:r>
            <w:r w:rsidR="005B03CD" w:rsidRPr="0024417B">
              <w:rPr>
                <w:b/>
                <w:bCs/>
                <w:szCs w:val="24"/>
              </w:rPr>
              <w:instrText>","</w:instrText>
            </w:r>
            <w:r w:rsidR="005B03CD">
              <w:rPr>
                <w:b/>
                <w:bCs/>
                <w:szCs w:val="24"/>
                <w:lang w:val="en-US"/>
              </w:rPr>
              <w:instrText>title</w:instrText>
            </w:r>
            <w:r w:rsidR="005B03CD" w:rsidRPr="0024417B">
              <w:rPr>
                <w:b/>
                <w:bCs/>
                <w:szCs w:val="24"/>
              </w:rPr>
              <w:instrText>":"</w:instrText>
            </w:r>
            <w:r w:rsidR="005B03CD">
              <w:rPr>
                <w:b/>
                <w:bCs/>
                <w:szCs w:val="24"/>
                <w:lang w:val="en-US"/>
              </w:rPr>
              <w:instrText>Regimen</w:instrText>
            </w:r>
            <w:r w:rsidR="005B03CD" w:rsidRPr="0024417B">
              <w:rPr>
                <w:b/>
                <w:bCs/>
                <w:szCs w:val="24"/>
              </w:rPr>
              <w:instrText>-</w:instrText>
            </w:r>
            <w:r w:rsidR="005B03CD">
              <w:rPr>
                <w:b/>
                <w:bCs/>
                <w:szCs w:val="24"/>
                <w:lang w:val="en-US"/>
              </w:rPr>
              <w:instrText>related</w:instrText>
            </w:r>
            <w:r w:rsidR="005B03CD" w:rsidRPr="0024417B">
              <w:rPr>
                <w:b/>
                <w:bCs/>
                <w:szCs w:val="24"/>
              </w:rPr>
              <w:instrText xml:space="preserve"> </w:instrText>
            </w:r>
            <w:r w:rsidR="005B03CD">
              <w:rPr>
                <w:b/>
                <w:bCs/>
                <w:szCs w:val="24"/>
                <w:lang w:val="en-US"/>
              </w:rPr>
              <w:instrText>toxicity</w:instrText>
            </w:r>
            <w:r w:rsidR="005B03CD" w:rsidRPr="0024417B">
              <w:rPr>
                <w:b/>
                <w:bCs/>
                <w:szCs w:val="24"/>
              </w:rPr>
              <w:instrText xml:space="preserve"> </w:instrText>
            </w:r>
            <w:r w:rsidR="005B03CD">
              <w:rPr>
                <w:b/>
                <w:bCs/>
                <w:szCs w:val="24"/>
                <w:lang w:val="en-US"/>
              </w:rPr>
              <w:instrText>and</w:instrText>
            </w:r>
            <w:r w:rsidR="005B03CD" w:rsidRPr="0024417B">
              <w:rPr>
                <w:b/>
                <w:bCs/>
                <w:szCs w:val="24"/>
              </w:rPr>
              <w:instrText xml:space="preserve"> </w:instrText>
            </w:r>
            <w:r w:rsidR="005B03CD">
              <w:rPr>
                <w:b/>
                <w:bCs/>
                <w:szCs w:val="24"/>
                <w:lang w:val="en-US"/>
              </w:rPr>
              <w:instrText>non</w:instrText>
            </w:r>
            <w:r w:rsidR="005B03CD" w:rsidRPr="0024417B">
              <w:rPr>
                <w:b/>
                <w:bCs/>
                <w:szCs w:val="24"/>
              </w:rPr>
              <w:instrText>-</w:instrText>
            </w:r>
            <w:r w:rsidR="005B03CD">
              <w:rPr>
                <w:b/>
                <w:bCs/>
                <w:szCs w:val="24"/>
                <w:lang w:val="en-US"/>
              </w:rPr>
              <w:instrText>relapse</w:instrText>
            </w:r>
            <w:r w:rsidR="005B03CD" w:rsidRPr="0024417B">
              <w:rPr>
                <w:b/>
                <w:bCs/>
                <w:szCs w:val="24"/>
              </w:rPr>
              <w:instrText xml:space="preserve"> </w:instrText>
            </w:r>
            <w:r w:rsidR="005B03CD">
              <w:rPr>
                <w:b/>
                <w:bCs/>
                <w:szCs w:val="24"/>
                <w:lang w:val="en-US"/>
              </w:rPr>
              <w:instrText>mortality</w:instrText>
            </w:r>
            <w:r w:rsidR="005B03CD" w:rsidRPr="0024417B">
              <w:rPr>
                <w:b/>
                <w:bCs/>
                <w:szCs w:val="24"/>
              </w:rPr>
              <w:instrText xml:space="preserve"> </w:instrText>
            </w:r>
            <w:r w:rsidR="005B03CD">
              <w:rPr>
                <w:b/>
                <w:bCs/>
                <w:szCs w:val="24"/>
                <w:lang w:val="en-US"/>
              </w:rPr>
              <w:instrText>with</w:instrText>
            </w:r>
            <w:r w:rsidR="005B03CD" w:rsidRPr="0024417B">
              <w:rPr>
                <w:b/>
                <w:bCs/>
                <w:szCs w:val="24"/>
              </w:rPr>
              <w:instrText xml:space="preserve"> </w:instrText>
            </w:r>
            <w:r w:rsidR="005B03CD">
              <w:rPr>
                <w:b/>
                <w:bCs/>
                <w:szCs w:val="24"/>
                <w:lang w:val="en-US"/>
              </w:rPr>
              <w:instrText>high</w:instrText>
            </w:r>
            <w:r w:rsidR="005B03CD" w:rsidRPr="0024417B">
              <w:rPr>
                <w:b/>
                <w:bCs/>
                <w:szCs w:val="24"/>
              </w:rPr>
              <w:instrText>-</w:instrText>
            </w:r>
            <w:r w:rsidR="005B03CD">
              <w:rPr>
                <w:b/>
                <w:bCs/>
                <w:szCs w:val="24"/>
                <w:lang w:val="en-US"/>
              </w:rPr>
              <w:instrText>dose</w:instrText>
            </w:r>
            <w:r w:rsidR="005B03CD" w:rsidRPr="0024417B">
              <w:rPr>
                <w:b/>
                <w:bCs/>
                <w:szCs w:val="24"/>
              </w:rPr>
              <w:instrText xml:space="preserve"> </w:instrText>
            </w:r>
            <w:r w:rsidR="005B03CD">
              <w:rPr>
                <w:b/>
                <w:bCs/>
                <w:szCs w:val="24"/>
                <w:lang w:val="en-US"/>
              </w:rPr>
              <w:instrText>cyclophosphamide</w:instrText>
            </w:r>
            <w:r w:rsidR="005B03CD" w:rsidRPr="0024417B">
              <w:rPr>
                <w:b/>
                <w:bCs/>
                <w:szCs w:val="24"/>
              </w:rPr>
              <w:instrText xml:space="preserve">, </w:instrText>
            </w:r>
            <w:r w:rsidR="005B03CD">
              <w:rPr>
                <w:b/>
                <w:bCs/>
                <w:szCs w:val="24"/>
                <w:lang w:val="en-US"/>
              </w:rPr>
              <w:instrText>carmustine</w:instrText>
            </w:r>
            <w:r w:rsidR="005B03CD" w:rsidRPr="0024417B">
              <w:rPr>
                <w:b/>
                <w:bCs/>
                <w:szCs w:val="24"/>
              </w:rPr>
              <w:instrText xml:space="preserve"> (</w:instrText>
            </w:r>
            <w:r w:rsidR="005B03CD">
              <w:rPr>
                <w:b/>
                <w:bCs/>
                <w:szCs w:val="24"/>
                <w:lang w:val="en-US"/>
              </w:rPr>
              <w:instrText>BCNU</w:instrText>
            </w:r>
            <w:r w:rsidR="005B03CD" w:rsidRPr="0024417B">
              <w:rPr>
                <w:b/>
                <w:bCs/>
                <w:szCs w:val="24"/>
              </w:rPr>
              <w:instrText xml:space="preserve">) </w:instrText>
            </w:r>
            <w:r w:rsidR="005B03CD">
              <w:rPr>
                <w:b/>
                <w:bCs/>
                <w:szCs w:val="24"/>
                <w:lang w:val="en-US"/>
              </w:rPr>
              <w:instrText>and</w:instrText>
            </w:r>
            <w:r w:rsidR="005B03CD" w:rsidRPr="0024417B">
              <w:rPr>
                <w:b/>
                <w:bCs/>
                <w:szCs w:val="24"/>
              </w:rPr>
              <w:instrText xml:space="preserve"> </w:instrText>
            </w:r>
            <w:r w:rsidR="005B03CD">
              <w:rPr>
                <w:b/>
                <w:bCs/>
                <w:szCs w:val="24"/>
                <w:lang w:val="en-US"/>
              </w:rPr>
              <w:instrText>etoposide</w:instrText>
            </w:r>
            <w:r w:rsidR="005B03CD" w:rsidRPr="0024417B">
              <w:rPr>
                <w:b/>
                <w:bCs/>
                <w:szCs w:val="24"/>
              </w:rPr>
              <w:instrText xml:space="preserve"> (</w:instrText>
            </w:r>
            <w:r w:rsidR="005B03CD">
              <w:rPr>
                <w:b/>
                <w:bCs/>
                <w:szCs w:val="24"/>
                <w:lang w:val="en-US"/>
              </w:rPr>
              <w:instrText>VP</w:instrText>
            </w:r>
            <w:r w:rsidR="005B03CD" w:rsidRPr="0024417B">
              <w:rPr>
                <w:b/>
                <w:bCs/>
                <w:szCs w:val="24"/>
              </w:rPr>
              <w:instrText>16-213) (</w:instrText>
            </w:r>
            <w:r w:rsidR="005B03CD">
              <w:rPr>
                <w:b/>
                <w:bCs/>
                <w:szCs w:val="24"/>
                <w:lang w:val="en-US"/>
              </w:rPr>
              <w:instrText>CBV</w:instrText>
            </w:r>
            <w:r w:rsidR="005B03CD" w:rsidRPr="0024417B">
              <w:rPr>
                <w:b/>
                <w:bCs/>
                <w:szCs w:val="24"/>
              </w:rPr>
              <w:instrText xml:space="preserve">) </w:instrText>
            </w:r>
            <w:r w:rsidR="005B03CD">
              <w:rPr>
                <w:b/>
                <w:bCs/>
                <w:szCs w:val="24"/>
                <w:lang w:val="en-US"/>
              </w:rPr>
              <w:instrText>and</w:instrText>
            </w:r>
            <w:r w:rsidR="005B03CD" w:rsidRPr="0024417B">
              <w:rPr>
                <w:b/>
                <w:bCs/>
                <w:szCs w:val="24"/>
              </w:rPr>
              <w:instrText xml:space="preserve"> </w:instrText>
            </w:r>
            <w:r w:rsidR="005B03CD">
              <w:rPr>
                <w:b/>
                <w:bCs/>
                <w:szCs w:val="24"/>
                <w:lang w:val="en-US"/>
              </w:rPr>
              <w:instrText>CBV</w:instrText>
            </w:r>
            <w:r w:rsidR="005B03CD" w:rsidRPr="0024417B">
              <w:rPr>
                <w:b/>
                <w:bCs/>
                <w:szCs w:val="24"/>
              </w:rPr>
              <w:instrText xml:space="preserve"> </w:instrText>
            </w:r>
            <w:r w:rsidR="005B03CD">
              <w:rPr>
                <w:b/>
                <w:bCs/>
                <w:szCs w:val="24"/>
                <w:lang w:val="en-US"/>
              </w:rPr>
              <w:instrText>plus</w:instrText>
            </w:r>
            <w:r w:rsidR="005B03CD" w:rsidRPr="0024417B">
              <w:rPr>
                <w:b/>
                <w:bCs/>
                <w:szCs w:val="24"/>
              </w:rPr>
              <w:instrText xml:space="preserve"> </w:instrText>
            </w:r>
            <w:r w:rsidR="005B03CD">
              <w:rPr>
                <w:b/>
                <w:bCs/>
                <w:szCs w:val="24"/>
                <w:lang w:val="en-US"/>
              </w:rPr>
              <w:instrText>cisplatin</w:instrText>
            </w:r>
            <w:r w:rsidR="005B03CD" w:rsidRPr="0024417B">
              <w:rPr>
                <w:b/>
                <w:bCs/>
                <w:szCs w:val="24"/>
              </w:rPr>
              <w:instrText xml:space="preserve"> (</w:instrText>
            </w:r>
            <w:r w:rsidR="005B03CD">
              <w:rPr>
                <w:b/>
                <w:bCs/>
                <w:szCs w:val="24"/>
                <w:lang w:val="en-US"/>
              </w:rPr>
              <w:instrText>CBVP</w:instrText>
            </w:r>
            <w:r w:rsidR="005B03CD" w:rsidRPr="0024417B">
              <w:rPr>
                <w:b/>
                <w:bCs/>
                <w:szCs w:val="24"/>
              </w:rPr>
              <w:instrText xml:space="preserve">) </w:instrText>
            </w:r>
            <w:r w:rsidR="005B03CD">
              <w:rPr>
                <w:b/>
                <w:bCs/>
                <w:szCs w:val="24"/>
                <w:lang w:val="en-US"/>
              </w:rPr>
              <w:instrText>followed</w:instrText>
            </w:r>
            <w:r w:rsidR="005B03CD" w:rsidRPr="0024417B">
              <w:rPr>
                <w:b/>
                <w:bCs/>
                <w:szCs w:val="24"/>
              </w:rPr>
              <w:instrText xml:space="preserve"> </w:instrText>
            </w:r>
            <w:r w:rsidR="005B03CD">
              <w:rPr>
                <w:b/>
                <w:bCs/>
                <w:szCs w:val="24"/>
                <w:lang w:val="en-US"/>
              </w:rPr>
              <w:instrText>by</w:instrText>
            </w:r>
            <w:r w:rsidR="005B03CD" w:rsidRPr="0024417B">
              <w:rPr>
                <w:b/>
                <w:bCs/>
                <w:szCs w:val="24"/>
              </w:rPr>
              <w:instrText xml:space="preserve"> </w:instrText>
            </w:r>
            <w:r w:rsidR="005B03CD">
              <w:rPr>
                <w:b/>
                <w:bCs/>
                <w:szCs w:val="24"/>
                <w:lang w:val="en-US"/>
              </w:rPr>
              <w:instrText>autologous</w:instrText>
            </w:r>
            <w:r w:rsidR="005B03CD" w:rsidRPr="0024417B">
              <w:rPr>
                <w:b/>
                <w:bCs/>
                <w:szCs w:val="24"/>
              </w:rPr>
              <w:instrText xml:space="preserve"> </w:instrText>
            </w:r>
            <w:r w:rsidR="005B03CD">
              <w:rPr>
                <w:b/>
                <w:bCs/>
                <w:szCs w:val="24"/>
                <w:lang w:val="en-US"/>
              </w:rPr>
              <w:instrText>stem</w:instrText>
            </w:r>
            <w:r w:rsidR="005B03CD" w:rsidRPr="0024417B">
              <w:rPr>
                <w:b/>
                <w:bCs/>
                <w:szCs w:val="24"/>
              </w:rPr>
              <w:instrText xml:space="preserve"> </w:instrText>
            </w:r>
            <w:r w:rsidR="005B03CD">
              <w:rPr>
                <w:b/>
                <w:bCs/>
                <w:szCs w:val="24"/>
                <w:lang w:val="en-US"/>
              </w:rPr>
              <w:instrText>cell</w:instrText>
            </w:r>
            <w:r w:rsidR="005B03CD" w:rsidRPr="0024417B">
              <w:rPr>
                <w:b/>
                <w:bCs/>
                <w:szCs w:val="24"/>
              </w:rPr>
              <w:instrText xml:space="preserve"> </w:instrText>
            </w:r>
            <w:r w:rsidR="005B03CD">
              <w:rPr>
                <w:b/>
                <w:bCs/>
                <w:szCs w:val="24"/>
                <w:lang w:val="en-US"/>
              </w:rPr>
              <w:instrText>transplantation</w:instrText>
            </w:r>
            <w:r w:rsidR="005B03CD" w:rsidRPr="0024417B">
              <w:rPr>
                <w:b/>
                <w:bCs/>
                <w:szCs w:val="24"/>
              </w:rPr>
              <w:instrText xml:space="preserve"> </w:instrText>
            </w:r>
            <w:r w:rsidR="005B03CD">
              <w:rPr>
                <w:b/>
                <w:bCs/>
                <w:szCs w:val="24"/>
                <w:lang w:val="en-US"/>
              </w:rPr>
              <w:instrText>in</w:instrText>
            </w:r>
            <w:r w:rsidR="005B03CD" w:rsidRPr="0024417B">
              <w:rPr>
                <w:b/>
                <w:bCs/>
                <w:szCs w:val="24"/>
              </w:rPr>
              <w:instrText xml:space="preserve"> </w:instrText>
            </w:r>
            <w:r w:rsidR="005B03CD">
              <w:rPr>
                <w:b/>
                <w:bCs/>
                <w:szCs w:val="24"/>
                <w:lang w:val="en-US"/>
              </w:rPr>
              <w:instrText>patients</w:instrText>
            </w:r>
            <w:r w:rsidR="005B03CD" w:rsidRPr="0024417B">
              <w:rPr>
                <w:b/>
                <w:bCs/>
                <w:szCs w:val="24"/>
              </w:rPr>
              <w:instrText xml:space="preserve"> </w:instrText>
            </w:r>
            <w:r w:rsidR="005B03CD">
              <w:rPr>
                <w:b/>
                <w:bCs/>
                <w:szCs w:val="24"/>
                <w:lang w:val="en-US"/>
              </w:rPr>
              <w:instrText>with</w:instrText>
            </w:r>
            <w:r w:rsidR="005B03CD" w:rsidRPr="0024417B">
              <w:rPr>
                <w:b/>
                <w:bCs/>
                <w:szCs w:val="24"/>
              </w:rPr>
              <w:instrText xml:space="preserve"> </w:instrText>
            </w:r>
            <w:r w:rsidR="005B03CD">
              <w:rPr>
                <w:b/>
                <w:bCs/>
                <w:szCs w:val="24"/>
                <w:lang w:val="en-US"/>
              </w:rPr>
              <w:instrText>Hodgkin</w:instrText>
            </w:r>
            <w:r w:rsidR="005B03CD" w:rsidRPr="0024417B">
              <w:rPr>
                <w:b/>
                <w:bCs/>
                <w:szCs w:val="24"/>
              </w:rPr>
              <w:instrText>'</w:instrText>
            </w:r>
            <w:r w:rsidR="005B03CD">
              <w:rPr>
                <w:b/>
                <w:bCs/>
                <w:szCs w:val="24"/>
                <w:lang w:val="en-US"/>
              </w:rPr>
              <w:instrText>s</w:instrText>
            </w:r>
            <w:r w:rsidR="005B03CD" w:rsidRPr="0024417B">
              <w:rPr>
                <w:b/>
                <w:bCs/>
                <w:szCs w:val="24"/>
              </w:rPr>
              <w:instrText xml:space="preserve"> </w:instrText>
            </w:r>
            <w:r w:rsidR="005B03CD">
              <w:rPr>
                <w:b/>
                <w:bCs/>
                <w:szCs w:val="24"/>
                <w:lang w:val="en-US"/>
              </w:rPr>
              <w:instrText>disease</w:instrText>
            </w:r>
            <w:r w:rsidR="005B03CD" w:rsidRPr="0024417B">
              <w:rPr>
                <w:b/>
                <w:bCs/>
                <w:szCs w:val="24"/>
              </w:rPr>
              <w:instrText>","</w:instrText>
            </w:r>
            <w:r w:rsidR="005B03CD">
              <w:rPr>
                <w:b/>
                <w:bCs/>
                <w:szCs w:val="24"/>
                <w:lang w:val="en-US"/>
              </w:rPr>
              <w:instrText>type</w:instrText>
            </w:r>
            <w:r w:rsidR="005B03CD" w:rsidRPr="0024417B">
              <w:rPr>
                <w:b/>
                <w:bCs/>
                <w:szCs w:val="24"/>
              </w:rPr>
              <w:instrText>":"</w:instrText>
            </w:r>
            <w:r w:rsidR="005B03CD">
              <w:rPr>
                <w:b/>
                <w:bCs/>
                <w:szCs w:val="24"/>
                <w:lang w:val="en-US"/>
              </w:rPr>
              <w:instrText>article</w:instrText>
            </w:r>
            <w:r w:rsidR="005B03CD" w:rsidRPr="0024417B">
              <w:rPr>
                <w:b/>
                <w:bCs/>
                <w:szCs w:val="24"/>
              </w:rPr>
              <w:instrText>-</w:instrText>
            </w:r>
            <w:r w:rsidR="005B03CD">
              <w:rPr>
                <w:b/>
                <w:bCs/>
                <w:szCs w:val="24"/>
                <w:lang w:val="en-US"/>
              </w:rPr>
              <w:instrText>journal</w:instrText>
            </w:r>
            <w:r w:rsidR="005B03CD" w:rsidRPr="0024417B">
              <w:rPr>
                <w:b/>
                <w:bCs/>
                <w:szCs w:val="24"/>
              </w:rPr>
              <w:instrText>","</w:instrText>
            </w:r>
            <w:r w:rsidR="005B03CD">
              <w:rPr>
                <w:b/>
                <w:bCs/>
                <w:szCs w:val="24"/>
                <w:lang w:val="en-US"/>
              </w:rPr>
              <w:instrText>volume</w:instrText>
            </w:r>
            <w:r w:rsidR="005B03CD" w:rsidRPr="0024417B">
              <w:rPr>
                <w:b/>
                <w:bCs/>
                <w:szCs w:val="24"/>
              </w:rPr>
              <w:instrText>":"23"},"</w:instrText>
            </w:r>
            <w:r w:rsidR="005B03CD">
              <w:rPr>
                <w:b/>
                <w:bCs/>
                <w:szCs w:val="24"/>
                <w:lang w:val="en-US"/>
              </w:rPr>
              <w:instrText>uris</w:instrText>
            </w:r>
            <w:r w:rsidR="005B03CD" w:rsidRPr="0024417B">
              <w:rPr>
                <w:b/>
                <w:bCs/>
                <w:szCs w:val="24"/>
              </w:rPr>
              <w:instrText>":["</w:instrText>
            </w:r>
            <w:r w:rsidR="005B03CD">
              <w:rPr>
                <w:b/>
                <w:bCs/>
                <w:szCs w:val="24"/>
                <w:lang w:val="en-US"/>
              </w:rPr>
              <w:instrText>http</w:instrText>
            </w:r>
            <w:r w:rsidR="005B03CD" w:rsidRPr="0024417B">
              <w:rPr>
                <w:b/>
                <w:bCs/>
                <w:szCs w:val="24"/>
              </w:rPr>
              <w:instrText>://</w:instrText>
            </w:r>
            <w:r w:rsidR="005B03CD">
              <w:rPr>
                <w:b/>
                <w:bCs/>
                <w:szCs w:val="24"/>
                <w:lang w:val="en-US"/>
              </w:rPr>
              <w:instrText>www</w:instrText>
            </w:r>
            <w:r w:rsidR="005B03CD" w:rsidRPr="0024417B">
              <w:rPr>
                <w:b/>
                <w:bCs/>
                <w:szCs w:val="24"/>
              </w:rPr>
              <w:instrText>.</w:instrText>
            </w:r>
            <w:r w:rsidR="005B03CD">
              <w:rPr>
                <w:b/>
                <w:bCs/>
                <w:szCs w:val="24"/>
                <w:lang w:val="en-US"/>
              </w:rPr>
              <w:instrText>mendeley</w:instrText>
            </w:r>
            <w:r w:rsidR="005B03CD" w:rsidRPr="0024417B">
              <w:rPr>
                <w:b/>
                <w:bCs/>
                <w:szCs w:val="24"/>
              </w:rPr>
              <w:instrText>.</w:instrText>
            </w:r>
            <w:r w:rsidR="005B03CD">
              <w:rPr>
                <w:b/>
                <w:bCs/>
                <w:szCs w:val="24"/>
                <w:lang w:val="en-US"/>
              </w:rPr>
              <w:instrText>com</w:instrText>
            </w:r>
            <w:r w:rsidR="005B03CD" w:rsidRPr="0024417B">
              <w:rPr>
                <w:b/>
                <w:bCs/>
                <w:szCs w:val="24"/>
              </w:rPr>
              <w:instrText>/</w:instrText>
            </w:r>
            <w:r w:rsidR="005B03CD">
              <w:rPr>
                <w:b/>
                <w:bCs/>
                <w:szCs w:val="24"/>
                <w:lang w:val="en-US"/>
              </w:rPr>
              <w:instrText>documents</w:instrText>
            </w:r>
            <w:r w:rsidR="005B03CD" w:rsidRPr="0024417B">
              <w:rPr>
                <w:b/>
                <w:bCs/>
                <w:szCs w:val="24"/>
              </w:rPr>
              <w:instrText>/?</w:instrText>
            </w:r>
            <w:r w:rsidR="005B03CD">
              <w:rPr>
                <w:b/>
                <w:bCs/>
                <w:szCs w:val="24"/>
                <w:lang w:val="en-US"/>
              </w:rPr>
              <w:instrText>uuid</w:instrText>
            </w:r>
            <w:r w:rsidR="005B03CD" w:rsidRPr="0024417B">
              <w:rPr>
                <w:b/>
                <w:bCs/>
                <w:szCs w:val="24"/>
              </w:rPr>
              <w:instrText>=</w:instrText>
            </w:r>
            <w:r w:rsidR="005B03CD">
              <w:rPr>
                <w:b/>
                <w:bCs/>
                <w:szCs w:val="24"/>
                <w:lang w:val="en-US"/>
              </w:rPr>
              <w:instrText>b</w:instrText>
            </w:r>
            <w:r w:rsidR="005B03CD" w:rsidRPr="0024417B">
              <w:rPr>
                <w:b/>
                <w:bCs/>
                <w:szCs w:val="24"/>
              </w:rPr>
              <w:instrText>4</w:instrText>
            </w:r>
            <w:r w:rsidR="005B03CD">
              <w:rPr>
                <w:b/>
                <w:bCs/>
                <w:szCs w:val="24"/>
                <w:lang w:val="en-US"/>
              </w:rPr>
              <w:instrText>ad</w:instrText>
            </w:r>
            <w:r w:rsidR="005B03CD" w:rsidRPr="0024417B">
              <w:rPr>
                <w:b/>
                <w:bCs/>
                <w:szCs w:val="24"/>
              </w:rPr>
              <w:instrText>0</w:instrText>
            </w:r>
            <w:r w:rsidR="005B03CD">
              <w:rPr>
                <w:b/>
                <w:bCs/>
                <w:szCs w:val="24"/>
                <w:lang w:val="en-US"/>
              </w:rPr>
              <w:instrText>f</w:instrText>
            </w:r>
            <w:r w:rsidR="005B03CD" w:rsidRPr="0024417B">
              <w:rPr>
                <w:b/>
                <w:bCs/>
                <w:szCs w:val="24"/>
              </w:rPr>
              <w:instrText>7</w:instrText>
            </w:r>
            <w:r w:rsidR="005B03CD">
              <w:rPr>
                <w:b/>
                <w:bCs/>
                <w:szCs w:val="24"/>
                <w:lang w:val="en-US"/>
              </w:rPr>
              <w:instrText>b</w:instrText>
            </w:r>
            <w:r w:rsidR="005B03CD" w:rsidRPr="0024417B">
              <w:rPr>
                <w:b/>
                <w:bCs/>
                <w:szCs w:val="24"/>
              </w:rPr>
              <w:instrText>-6</w:instrText>
            </w:r>
            <w:r w:rsidR="005B03CD">
              <w:rPr>
                <w:b/>
                <w:bCs/>
                <w:szCs w:val="24"/>
                <w:lang w:val="en-US"/>
              </w:rPr>
              <w:instrText>a</w:instrText>
            </w:r>
            <w:r w:rsidR="005B03CD" w:rsidRPr="0024417B">
              <w:rPr>
                <w:b/>
                <w:bCs/>
                <w:szCs w:val="24"/>
              </w:rPr>
              <w:instrText>3</w:instrText>
            </w:r>
            <w:r w:rsidR="005B03CD">
              <w:rPr>
                <w:b/>
                <w:bCs/>
                <w:szCs w:val="24"/>
                <w:lang w:val="en-US"/>
              </w:rPr>
              <w:instrText>c</w:instrText>
            </w:r>
            <w:r w:rsidR="005B03CD" w:rsidRPr="0024417B">
              <w:rPr>
                <w:b/>
                <w:bCs/>
                <w:szCs w:val="24"/>
              </w:rPr>
              <w:instrText>-3110-8</w:instrText>
            </w:r>
            <w:r w:rsidR="005B03CD">
              <w:rPr>
                <w:b/>
                <w:bCs/>
                <w:szCs w:val="24"/>
                <w:lang w:val="en-US"/>
              </w:rPr>
              <w:instrText>fbd</w:instrText>
            </w:r>
            <w:r w:rsidR="005B03CD" w:rsidRPr="0024417B">
              <w:rPr>
                <w:b/>
                <w:bCs/>
                <w:szCs w:val="24"/>
              </w:rPr>
              <w:instrText>-97</w:instrText>
            </w:r>
            <w:r w:rsidR="005B03CD">
              <w:rPr>
                <w:b/>
                <w:bCs/>
                <w:szCs w:val="24"/>
                <w:lang w:val="en-US"/>
              </w:rPr>
              <w:instrText>f</w:instrText>
            </w:r>
            <w:r w:rsidR="005B03CD" w:rsidRPr="0024417B">
              <w:rPr>
                <w:b/>
                <w:bCs/>
                <w:szCs w:val="24"/>
              </w:rPr>
              <w:instrText>8</w:instrText>
            </w:r>
            <w:r w:rsidR="005B03CD">
              <w:rPr>
                <w:b/>
                <w:bCs/>
                <w:szCs w:val="24"/>
                <w:lang w:val="en-US"/>
              </w:rPr>
              <w:instrText>a</w:instrText>
            </w:r>
            <w:r w:rsidR="005B03CD" w:rsidRPr="0024417B">
              <w:rPr>
                <w:b/>
                <w:bCs/>
                <w:szCs w:val="24"/>
              </w:rPr>
              <w:instrText>9059</w:instrText>
            </w:r>
            <w:r w:rsidR="005B03CD">
              <w:rPr>
                <w:b/>
                <w:bCs/>
                <w:szCs w:val="24"/>
                <w:lang w:val="en-US"/>
              </w:rPr>
              <w:instrText>ec</w:instrText>
            </w:r>
            <w:r w:rsidR="005B03CD" w:rsidRPr="0024417B">
              <w:rPr>
                <w:b/>
                <w:bCs/>
                <w:szCs w:val="24"/>
              </w:rPr>
              <w:instrText>6"]}],"</w:instrText>
            </w:r>
            <w:r w:rsidR="005B03CD">
              <w:rPr>
                <w:b/>
                <w:bCs/>
                <w:szCs w:val="24"/>
                <w:lang w:val="en-US"/>
              </w:rPr>
              <w:instrText>mendeley</w:instrText>
            </w:r>
            <w:r w:rsidR="005B03CD" w:rsidRPr="0024417B">
              <w:rPr>
                <w:b/>
                <w:bCs/>
                <w:szCs w:val="24"/>
              </w:rPr>
              <w:instrText>":{"</w:instrText>
            </w:r>
            <w:r w:rsidR="005B03CD">
              <w:rPr>
                <w:b/>
                <w:bCs/>
                <w:szCs w:val="24"/>
                <w:lang w:val="en-US"/>
              </w:rPr>
              <w:instrText>formattedCitation</w:instrText>
            </w:r>
            <w:r w:rsidR="005B03CD" w:rsidRPr="0024417B">
              <w:rPr>
                <w:b/>
                <w:bCs/>
                <w:szCs w:val="24"/>
              </w:rPr>
              <w:instrText>":"[86]","</w:instrText>
            </w:r>
            <w:r w:rsidR="005B03CD">
              <w:rPr>
                <w:b/>
                <w:bCs/>
                <w:szCs w:val="24"/>
                <w:lang w:val="en-US"/>
              </w:rPr>
              <w:instrText>plainTextFormattedCitation</w:instrText>
            </w:r>
            <w:r w:rsidR="005B03CD" w:rsidRPr="0024417B">
              <w:rPr>
                <w:b/>
                <w:bCs/>
                <w:szCs w:val="24"/>
              </w:rPr>
              <w:instrText>":"[86]","</w:instrText>
            </w:r>
            <w:r w:rsidR="005B03CD">
              <w:rPr>
                <w:b/>
                <w:bCs/>
                <w:szCs w:val="24"/>
                <w:lang w:val="en-US"/>
              </w:rPr>
              <w:instrText>previouslyFormattedCitation</w:instrText>
            </w:r>
            <w:r w:rsidR="005B03CD" w:rsidRPr="0024417B">
              <w:rPr>
                <w:b/>
                <w:bCs/>
                <w:szCs w:val="24"/>
              </w:rPr>
              <w:instrText>":"[85]"},"</w:instrText>
            </w:r>
            <w:r w:rsidR="005B03CD">
              <w:rPr>
                <w:b/>
                <w:bCs/>
                <w:szCs w:val="24"/>
                <w:lang w:val="en-US"/>
              </w:rPr>
              <w:instrText>properties</w:instrText>
            </w:r>
            <w:r w:rsidR="005B03CD" w:rsidRPr="0024417B">
              <w:rPr>
                <w:b/>
                <w:bCs/>
                <w:szCs w:val="24"/>
              </w:rPr>
              <w:instrText>":{"</w:instrText>
            </w:r>
            <w:r w:rsidR="005B03CD">
              <w:rPr>
                <w:b/>
                <w:bCs/>
                <w:szCs w:val="24"/>
                <w:lang w:val="en-US"/>
              </w:rPr>
              <w:instrText>noteIndex</w:instrText>
            </w:r>
            <w:r w:rsidR="005B03CD" w:rsidRPr="0024417B">
              <w:rPr>
                <w:b/>
                <w:bCs/>
                <w:szCs w:val="24"/>
              </w:rPr>
              <w:instrText>":0},"</w:instrText>
            </w:r>
            <w:r w:rsidR="005B03CD">
              <w:rPr>
                <w:b/>
                <w:bCs/>
                <w:szCs w:val="24"/>
                <w:lang w:val="en-US"/>
              </w:rPr>
              <w:instrText>schema</w:instrText>
            </w:r>
            <w:r w:rsidR="005B03CD" w:rsidRPr="0024417B">
              <w:rPr>
                <w:b/>
                <w:bCs/>
                <w:szCs w:val="24"/>
              </w:rPr>
              <w:instrText>":"</w:instrText>
            </w:r>
            <w:r w:rsidR="005B03CD">
              <w:rPr>
                <w:b/>
                <w:bCs/>
                <w:szCs w:val="24"/>
                <w:lang w:val="en-US"/>
              </w:rPr>
              <w:instrText>https</w:instrText>
            </w:r>
            <w:r w:rsidR="005B03CD" w:rsidRPr="0024417B">
              <w:rPr>
                <w:b/>
                <w:bCs/>
                <w:szCs w:val="24"/>
              </w:rPr>
              <w:instrText>://</w:instrText>
            </w:r>
            <w:r w:rsidR="005B03CD">
              <w:rPr>
                <w:b/>
                <w:bCs/>
                <w:szCs w:val="24"/>
                <w:lang w:val="en-US"/>
              </w:rPr>
              <w:instrText>github</w:instrText>
            </w:r>
            <w:r w:rsidR="005B03CD" w:rsidRPr="0024417B">
              <w:rPr>
                <w:b/>
                <w:bCs/>
                <w:szCs w:val="24"/>
              </w:rPr>
              <w:instrText>.</w:instrText>
            </w:r>
            <w:r w:rsidR="005B03CD">
              <w:rPr>
                <w:b/>
                <w:bCs/>
                <w:szCs w:val="24"/>
                <w:lang w:val="en-US"/>
              </w:rPr>
              <w:instrText>com</w:instrText>
            </w:r>
            <w:r w:rsidR="005B03CD" w:rsidRPr="0024417B">
              <w:rPr>
                <w:b/>
                <w:bCs/>
                <w:szCs w:val="24"/>
              </w:rPr>
              <w:instrText>/</w:instrText>
            </w:r>
            <w:r w:rsidR="005B03CD">
              <w:rPr>
                <w:b/>
                <w:bCs/>
                <w:szCs w:val="24"/>
                <w:lang w:val="en-US"/>
              </w:rPr>
              <w:instrText>citation</w:instrText>
            </w:r>
            <w:r w:rsidR="005B03CD" w:rsidRPr="0024417B">
              <w:rPr>
                <w:b/>
                <w:bCs/>
                <w:szCs w:val="24"/>
              </w:rPr>
              <w:instrText>-</w:instrText>
            </w:r>
            <w:r w:rsidR="005B03CD">
              <w:rPr>
                <w:b/>
                <w:bCs/>
                <w:szCs w:val="24"/>
                <w:lang w:val="en-US"/>
              </w:rPr>
              <w:instrText>style</w:instrText>
            </w:r>
            <w:r w:rsidR="005B03CD" w:rsidRPr="0024417B">
              <w:rPr>
                <w:b/>
                <w:bCs/>
                <w:szCs w:val="24"/>
              </w:rPr>
              <w:instrText>-</w:instrText>
            </w:r>
            <w:r w:rsidR="005B03CD">
              <w:rPr>
                <w:b/>
                <w:bCs/>
                <w:szCs w:val="24"/>
                <w:lang w:val="en-US"/>
              </w:rPr>
              <w:instrText>language</w:instrText>
            </w:r>
            <w:r w:rsidR="005B03CD" w:rsidRPr="0024417B">
              <w:rPr>
                <w:b/>
                <w:bCs/>
                <w:szCs w:val="24"/>
              </w:rPr>
              <w:instrText>/</w:instrText>
            </w:r>
            <w:r w:rsidR="005B03CD">
              <w:rPr>
                <w:b/>
                <w:bCs/>
                <w:szCs w:val="24"/>
                <w:lang w:val="en-US"/>
              </w:rPr>
              <w:instrText>schema</w:instrText>
            </w:r>
            <w:r w:rsidR="005B03CD" w:rsidRPr="0024417B">
              <w:rPr>
                <w:b/>
                <w:bCs/>
                <w:szCs w:val="24"/>
              </w:rPr>
              <w:instrText>/</w:instrText>
            </w:r>
            <w:r w:rsidR="005B03CD">
              <w:rPr>
                <w:b/>
                <w:bCs/>
                <w:szCs w:val="24"/>
                <w:lang w:val="en-US"/>
              </w:rPr>
              <w:instrText>raw</w:instrText>
            </w:r>
            <w:r w:rsidR="005B03CD" w:rsidRPr="0024417B">
              <w:rPr>
                <w:b/>
                <w:bCs/>
                <w:szCs w:val="24"/>
              </w:rPr>
              <w:instrText>/</w:instrText>
            </w:r>
            <w:r w:rsidR="005B03CD">
              <w:rPr>
                <w:b/>
                <w:bCs/>
                <w:szCs w:val="24"/>
                <w:lang w:val="en-US"/>
              </w:rPr>
              <w:instrText>master</w:instrText>
            </w:r>
            <w:r w:rsidR="005B03CD" w:rsidRPr="0024417B">
              <w:rPr>
                <w:b/>
                <w:bCs/>
                <w:szCs w:val="24"/>
              </w:rPr>
              <w:instrText>/</w:instrText>
            </w:r>
            <w:r w:rsidR="005B03CD">
              <w:rPr>
                <w:b/>
                <w:bCs/>
                <w:szCs w:val="24"/>
                <w:lang w:val="en-US"/>
              </w:rPr>
              <w:instrText>csl</w:instrText>
            </w:r>
            <w:r w:rsidR="005B03CD" w:rsidRPr="0024417B">
              <w:rPr>
                <w:b/>
                <w:bCs/>
                <w:szCs w:val="24"/>
              </w:rPr>
              <w:instrText>-</w:instrText>
            </w:r>
            <w:r w:rsidR="005B03CD">
              <w:rPr>
                <w:b/>
                <w:bCs/>
                <w:szCs w:val="24"/>
                <w:lang w:val="en-US"/>
              </w:rPr>
              <w:instrText>citation</w:instrText>
            </w:r>
            <w:r w:rsidR="005B03CD" w:rsidRPr="0024417B">
              <w:rPr>
                <w:b/>
                <w:bCs/>
                <w:szCs w:val="24"/>
              </w:rPr>
              <w:instrText>.</w:instrText>
            </w:r>
            <w:r w:rsidR="005B03CD">
              <w:rPr>
                <w:b/>
                <w:bCs/>
                <w:szCs w:val="24"/>
                <w:lang w:val="en-US"/>
              </w:rPr>
              <w:instrText>json</w:instrText>
            </w:r>
            <w:r w:rsidR="005B03CD" w:rsidRPr="0024417B">
              <w:rPr>
                <w:b/>
                <w:bCs/>
                <w:szCs w:val="24"/>
              </w:rPr>
              <w:instrText>"}</w:instrText>
            </w:r>
            <w:r w:rsidR="00BC002F">
              <w:rPr>
                <w:b/>
                <w:bCs/>
                <w:szCs w:val="24"/>
                <w:lang w:val="en-US"/>
              </w:rPr>
              <w:fldChar w:fldCharType="separate"/>
            </w:r>
            <w:r w:rsidR="005B03CD" w:rsidRPr="005B03CD">
              <w:rPr>
                <w:bCs/>
                <w:noProof/>
                <w:szCs w:val="24"/>
              </w:rPr>
              <w:t>[86]</w:t>
            </w:r>
            <w:r w:rsidR="00BC002F">
              <w:rPr>
                <w:b/>
                <w:bCs/>
                <w:szCs w:val="24"/>
                <w:lang w:val="en-US"/>
              </w:rPr>
              <w:fldChar w:fldCharType="end"/>
            </w:r>
          </w:p>
        </w:tc>
      </w:tr>
      <w:tr w:rsidR="00F43101" w:rsidRPr="00EA5B5D" w14:paraId="2F580D0D" w14:textId="77777777" w:rsidTr="00F533A5">
        <w:trPr>
          <w:trHeight w:val="329"/>
        </w:trPr>
        <w:tc>
          <w:tcPr>
            <w:tcW w:w="2339" w:type="dxa"/>
            <w:tcBorders>
              <w:top w:val="single" w:sz="4" w:space="0" w:color="auto"/>
              <w:left w:val="single" w:sz="4" w:space="0" w:color="auto"/>
              <w:bottom w:val="single" w:sz="4" w:space="0" w:color="auto"/>
              <w:right w:val="single" w:sz="4" w:space="0" w:color="auto"/>
            </w:tcBorders>
            <w:hideMark/>
          </w:tcPr>
          <w:p w14:paraId="7A5E70DD" w14:textId="77777777" w:rsidR="00F43101" w:rsidRPr="00EA5B5D" w:rsidRDefault="00F43101" w:rsidP="00F533A5">
            <w:pPr>
              <w:spacing w:line="240" w:lineRule="auto"/>
              <w:ind w:firstLine="0"/>
              <w:jc w:val="left"/>
              <w:rPr>
                <w:szCs w:val="24"/>
              </w:rPr>
            </w:pPr>
            <w:r w:rsidRPr="00EA5B5D">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141CD708" w14:textId="77777777" w:rsidR="00F43101" w:rsidRPr="00EA5B5D" w:rsidRDefault="00F43101" w:rsidP="00F533A5">
            <w:pPr>
              <w:spacing w:line="240" w:lineRule="auto"/>
              <w:ind w:firstLine="0"/>
              <w:jc w:val="left"/>
              <w:rPr>
                <w:szCs w:val="24"/>
              </w:rPr>
            </w:pPr>
            <w:r w:rsidRPr="00EA5B5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3172146A" w14:textId="77777777" w:rsidR="00F43101" w:rsidRPr="00EA5B5D" w:rsidRDefault="00F43101" w:rsidP="00F533A5">
            <w:pPr>
              <w:spacing w:line="240" w:lineRule="auto"/>
              <w:ind w:firstLine="0"/>
              <w:jc w:val="left"/>
              <w:rPr>
                <w:szCs w:val="24"/>
              </w:rPr>
            </w:pPr>
            <w:r w:rsidRPr="00EA5B5D">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0085FD6E" w14:textId="77777777" w:rsidR="00F43101" w:rsidRPr="00EA5B5D" w:rsidRDefault="00F43101" w:rsidP="00F533A5">
            <w:pPr>
              <w:spacing w:line="240" w:lineRule="auto"/>
              <w:ind w:firstLine="0"/>
              <w:jc w:val="left"/>
              <w:rPr>
                <w:szCs w:val="24"/>
              </w:rPr>
            </w:pPr>
            <w:r w:rsidRPr="00EA5B5D">
              <w:rPr>
                <w:szCs w:val="24"/>
              </w:rPr>
              <w:t>Дни введения</w:t>
            </w:r>
          </w:p>
        </w:tc>
      </w:tr>
      <w:tr w:rsidR="00F43101" w:rsidRPr="00EA5B5D" w14:paraId="64AA66FB" w14:textId="77777777" w:rsidTr="00F533A5">
        <w:trPr>
          <w:trHeight w:val="329"/>
        </w:trPr>
        <w:tc>
          <w:tcPr>
            <w:tcW w:w="2339" w:type="dxa"/>
            <w:tcBorders>
              <w:top w:val="single" w:sz="4" w:space="0" w:color="auto"/>
              <w:left w:val="single" w:sz="4" w:space="0" w:color="auto"/>
              <w:bottom w:val="single" w:sz="4" w:space="0" w:color="auto"/>
              <w:right w:val="single" w:sz="4" w:space="0" w:color="auto"/>
            </w:tcBorders>
            <w:hideMark/>
          </w:tcPr>
          <w:p w14:paraId="5FF96604" w14:textId="77777777" w:rsidR="00F43101" w:rsidRPr="00D84C86" w:rsidRDefault="00F43101" w:rsidP="00F533A5">
            <w:pPr>
              <w:spacing w:line="240" w:lineRule="auto"/>
              <w:ind w:firstLine="0"/>
              <w:jc w:val="left"/>
              <w:rPr>
                <w:szCs w:val="24"/>
              </w:rPr>
            </w:pPr>
            <w:r w:rsidRPr="00D84C86">
              <w:rPr>
                <w:szCs w:val="24"/>
              </w:rPr>
              <w:t>Кармустин</w:t>
            </w:r>
            <w:r w:rsidR="000E2605" w:rsidRPr="000E2605">
              <w:rPr>
                <w:szCs w:val="24"/>
              </w:rPr>
              <w:t>**</w:t>
            </w:r>
          </w:p>
        </w:tc>
        <w:tc>
          <w:tcPr>
            <w:tcW w:w="2339" w:type="dxa"/>
            <w:tcBorders>
              <w:top w:val="single" w:sz="4" w:space="0" w:color="auto"/>
              <w:left w:val="single" w:sz="4" w:space="0" w:color="auto"/>
              <w:bottom w:val="single" w:sz="4" w:space="0" w:color="auto"/>
              <w:right w:val="single" w:sz="4" w:space="0" w:color="auto"/>
            </w:tcBorders>
          </w:tcPr>
          <w:p w14:paraId="7DCB98EE" w14:textId="77777777" w:rsidR="00F43101" w:rsidRPr="00D84C86" w:rsidRDefault="00BC002F" w:rsidP="00F533A5">
            <w:pPr>
              <w:spacing w:line="240" w:lineRule="auto"/>
              <w:ind w:firstLine="0"/>
              <w:jc w:val="left"/>
              <w:rPr>
                <w:szCs w:val="24"/>
              </w:rPr>
            </w:pPr>
            <w:r w:rsidRPr="0024417B">
              <w:rPr>
                <w:szCs w:val="24"/>
              </w:rPr>
              <w:t>6</w:t>
            </w:r>
            <w:r w:rsidR="00F43101" w:rsidRPr="00D84C86">
              <w:rPr>
                <w:szCs w:val="24"/>
              </w:rPr>
              <w:t>00 мг/м</w:t>
            </w:r>
            <w:r w:rsidR="00F43101" w:rsidRPr="00D84C86">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06B6D328" w14:textId="77777777" w:rsidR="00F43101" w:rsidRPr="00D84C86" w:rsidRDefault="00F43101" w:rsidP="00F533A5">
            <w:pPr>
              <w:spacing w:line="240" w:lineRule="auto"/>
              <w:ind w:firstLine="0"/>
              <w:jc w:val="left"/>
              <w:rPr>
                <w:szCs w:val="24"/>
              </w:rPr>
            </w:pPr>
            <w:r w:rsidRPr="00D84C86">
              <w:rPr>
                <w:szCs w:val="24"/>
              </w:rPr>
              <w:t>в/в</w:t>
            </w:r>
            <w:r>
              <w:rPr>
                <w:szCs w:val="24"/>
              </w:rPr>
              <w:t xml:space="preserve"> </w:t>
            </w:r>
            <w:r w:rsidRPr="00D84C86">
              <w:rPr>
                <w:szCs w:val="24"/>
              </w:rPr>
              <w:t>кап</w:t>
            </w:r>
            <w:r>
              <w:rPr>
                <w:szCs w:val="24"/>
              </w:rPr>
              <w:t>.</w:t>
            </w:r>
          </w:p>
        </w:tc>
        <w:tc>
          <w:tcPr>
            <w:tcW w:w="2339" w:type="dxa"/>
            <w:tcBorders>
              <w:top w:val="single" w:sz="4" w:space="0" w:color="auto"/>
              <w:left w:val="single" w:sz="4" w:space="0" w:color="auto"/>
              <w:bottom w:val="single" w:sz="4" w:space="0" w:color="auto"/>
              <w:right w:val="single" w:sz="4" w:space="0" w:color="auto"/>
            </w:tcBorders>
          </w:tcPr>
          <w:p w14:paraId="2ECF6034" w14:textId="77777777" w:rsidR="00F43101" w:rsidRPr="00EA5B5D" w:rsidRDefault="00F43101" w:rsidP="00F533A5">
            <w:pPr>
              <w:spacing w:line="240" w:lineRule="auto"/>
              <w:ind w:firstLine="0"/>
              <w:jc w:val="left"/>
              <w:rPr>
                <w:szCs w:val="24"/>
              </w:rPr>
            </w:pPr>
            <w:r w:rsidRPr="00D84C86">
              <w:rPr>
                <w:szCs w:val="24"/>
              </w:rPr>
              <w:t>-</w:t>
            </w:r>
            <w:r w:rsidR="00BC002F" w:rsidRPr="0024417B">
              <w:rPr>
                <w:szCs w:val="24"/>
              </w:rPr>
              <w:t>3</w:t>
            </w:r>
          </w:p>
        </w:tc>
      </w:tr>
      <w:tr w:rsidR="00F43101" w:rsidRPr="00EA5B5D" w14:paraId="34394824" w14:textId="77777777" w:rsidTr="00F533A5">
        <w:trPr>
          <w:trHeight w:val="329"/>
        </w:trPr>
        <w:tc>
          <w:tcPr>
            <w:tcW w:w="2339" w:type="dxa"/>
            <w:tcBorders>
              <w:top w:val="single" w:sz="4" w:space="0" w:color="auto"/>
              <w:left w:val="single" w:sz="4" w:space="0" w:color="auto"/>
              <w:bottom w:val="single" w:sz="4" w:space="0" w:color="auto"/>
              <w:right w:val="single" w:sz="4" w:space="0" w:color="auto"/>
            </w:tcBorders>
          </w:tcPr>
          <w:p w14:paraId="783D9EF2" w14:textId="77777777" w:rsidR="00F43101" w:rsidRPr="00D84C86" w:rsidRDefault="00F43101" w:rsidP="00F533A5">
            <w:pPr>
              <w:spacing w:line="240" w:lineRule="auto"/>
              <w:ind w:firstLine="0"/>
              <w:jc w:val="left"/>
              <w:rPr>
                <w:szCs w:val="24"/>
              </w:rPr>
            </w:pPr>
            <w:r w:rsidRPr="00D84C86">
              <w:rPr>
                <w:szCs w:val="24"/>
              </w:rPr>
              <w:t>Этопозид</w:t>
            </w:r>
            <w:r w:rsidR="000E2605" w:rsidRPr="000E2605">
              <w:rPr>
                <w:szCs w:val="24"/>
              </w:rPr>
              <w:t>**</w:t>
            </w:r>
          </w:p>
        </w:tc>
        <w:tc>
          <w:tcPr>
            <w:tcW w:w="2339" w:type="dxa"/>
            <w:tcBorders>
              <w:top w:val="single" w:sz="4" w:space="0" w:color="auto"/>
              <w:left w:val="single" w:sz="4" w:space="0" w:color="auto"/>
              <w:bottom w:val="single" w:sz="4" w:space="0" w:color="auto"/>
              <w:right w:val="single" w:sz="4" w:space="0" w:color="auto"/>
            </w:tcBorders>
          </w:tcPr>
          <w:p w14:paraId="6F079C1A" w14:textId="77777777" w:rsidR="00F43101" w:rsidRPr="00D84C86" w:rsidRDefault="00BC002F" w:rsidP="00F533A5">
            <w:pPr>
              <w:spacing w:line="240" w:lineRule="auto"/>
              <w:ind w:firstLine="0"/>
              <w:jc w:val="left"/>
              <w:rPr>
                <w:szCs w:val="24"/>
              </w:rPr>
            </w:pPr>
            <w:r w:rsidRPr="0024417B">
              <w:rPr>
                <w:szCs w:val="24"/>
              </w:rPr>
              <w:t>4</w:t>
            </w:r>
            <w:r w:rsidR="00F43101" w:rsidRPr="00D84C86">
              <w:rPr>
                <w:szCs w:val="24"/>
              </w:rPr>
              <w:t>00 мг/м</w:t>
            </w:r>
            <w:r w:rsidR="00F43101" w:rsidRPr="00F43101">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11FC8AC2" w14:textId="77777777" w:rsidR="00F43101" w:rsidRPr="00D84C86" w:rsidRDefault="00F43101" w:rsidP="00F533A5">
            <w:pPr>
              <w:spacing w:line="240" w:lineRule="auto"/>
              <w:ind w:firstLine="0"/>
              <w:jc w:val="left"/>
              <w:rPr>
                <w:szCs w:val="24"/>
              </w:rPr>
            </w:pPr>
            <w:r w:rsidRPr="00D84C86">
              <w:rPr>
                <w:szCs w:val="24"/>
              </w:rPr>
              <w:t>в/в кап.</w:t>
            </w:r>
          </w:p>
        </w:tc>
        <w:tc>
          <w:tcPr>
            <w:tcW w:w="2339" w:type="dxa"/>
            <w:tcBorders>
              <w:top w:val="single" w:sz="4" w:space="0" w:color="auto"/>
              <w:left w:val="single" w:sz="4" w:space="0" w:color="auto"/>
              <w:bottom w:val="single" w:sz="4" w:space="0" w:color="auto"/>
              <w:right w:val="single" w:sz="4" w:space="0" w:color="auto"/>
            </w:tcBorders>
          </w:tcPr>
          <w:p w14:paraId="2063EAF4" w14:textId="77777777" w:rsidR="00F43101" w:rsidRPr="0024417B" w:rsidRDefault="00F43101" w:rsidP="00F533A5">
            <w:pPr>
              <w:spacing w:line="240" w:lineRule="auto"/>
              <w:ind w:firstLine="0"/>
              <w:jc w:val="left"/>
              <w:rPr>
                <w:szCs w:val="24"/>
              </w:rPr>
            </w:pPr>
            <w:r>
              <w:rPr>
                <w:szCs w:val="24"/>
              </w:rPr>
              <w:t>-</w:t>
            </w:r>
            <w:r w:rsidR="00BC002F" w:rsidRPr="0024417B">
              <w:rPr>
                <w:szCs w:val="24"/>
              </w:rPr>
              <w:t>7</w:t>
            </w:r>
            <w:r>
              <w:rPr>
                <w:szCs w:val="24"/>
              </w:rPr>
              <w:t xml:space="preserve"> - -</w:t>
            </w:r>
            <w:r w:rsidR="00BC002F" w:rsidRPr="0024417B">
              <w:rPr>
                <w:szCs w:val="24"/>
              </w:rPr>
              <w:t>5</w:t>
            </w:r>
          </w:p>
        </w:tc>
      </w:tr>
      <w:tr w:rsidR="00F43101" w:rsidRPr="00EA5B5D" w14:paraId="2F0CF541" w14:textId="77777777" w:rsidTr="00F533A5">
        <w:trPr>
          <w:trHeight w:val="329"/>
        </w:trPr>
        <w:tc>
          <w:tcPr>
            <w:tcW w:w="2339" w:type="dxa"/>
            <w:tcBorders>
              <w:top w:val="single" w:sz="4" w:space="0" w:color="auto"/>
              <w:left w:val="single" w:sz="4" w:space="0" w:color="auto"/>
              <w:bottom w:val="single" w:sz="4" w:space="0" w:color="auto"/>
              <w:right w:val="single" w:sz="4" w:space="0" w:color="auto"/>
            </w:tcBorders>
            <w:hideMark/>
          </w:tcPr>
          <w:p w14:paraId="14915B15" w14:textId="77777777" w:rsidR="00F43101" w:rsidRPr="00F43101" w:rsidRDefault="00F43101" w:rsidP="00F43101">
            <w:pPr>
              <w:spacing w:line="240" w:lineRule="auto"/>
              <w:ind w:firstLine="0"/>
              <w:jc w:val="left"/>
              <w:rPr>
                <w:szCs w:val="24"/>
              </w:rPr>
            </w:pPr>
            <w:r>
              <w:rPr>
                <w:szCs w:val="24"/>
              </w:rPr>
              <w:t>Циклофосфамид</w:t>
            </w:r>
            <w:r w:rsidR="000E2605" w:rsidRPr="000E2605">
              <w:rPr>
                <w:szCs w:val="24"/>
              </w:rPr>
              <w:t>**</w:t>
            </w:r>
          </w:p>
        </w:tc>
        <w:tc>
          <w:tcPr>
            <w:tcW w:w="2339" w:type="dxa"/>
            <w:tcBorders>
              <w:top w:val="single" w:sz="4" w:space="0" w:color="auto"/>
              <w:left w:val="single" w:sz="4" w:space="0" w:color="auto"/>
              <w:bottom w:val="single" w:sz="4" w:space="0" w:color="auto"/>
              <w:right w:val="single" w:sz="4" w:space="0" w:color="auto"/>
            </w:tcBorders>
          </w:tcPr>
          <w:p w14:paraId="275FEB7A" w14:textId="77777777" w:rsidR="00F43101" w:rsidRPr="00F43101" w:rsidRDefault="00F43101" w:rsidP="00F43101">
            <w:pPr>
              <w:spacing w:line="240" w:lineRule="auto"/>
              <w:ind w:firstLine="0"/>
              <w:jc w:val="left"/>
              <w:rPr>
                <w:szCs w:val="24"/>
              </w:rPr>
            </w:pPr>
            <w:r>
              <w:rPr>
                <w:szCs w:val="24"/>
              </w:rPr>
              <w:t xml:space="preserve">1800 </w:t>
            </w:r>
            <w:r w:rsidR="008B2148">
              <w:rPr>
                <w:szCs w:val="24"/>
              </w:rPr>
              <w:t>мг/м</w:t>
            </w:r>
            <w:r w:rsidR="008B2148">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25D97FAA" w14:textId="77777777" w:rsidR="00F43101" w:rsidRPr="00D84C86" w:rsidRDefault="00F43101" w:rsidP="00F43101">
            <w:pPr>
              <w:spacing w:line="240" w:lineRule="auto"/>
              <w:ind w:firstLine="0"/>
              <w:jc w:val="left"/>
              <w:rPr>
                <w:szCs w:val="24"/>
              </w:rPr>
            </w:pPr>
            <w:r w:rsidRPr="00D84C86">
              <w:rPr>
                <w:szCs w:val="24"/>
              </w:rPr>
              <w:t>в/в кап.</w:t>
            </w:r>
          </w:p>
        </w:tc>
        <w:tc>
          <w:tcPr>
            <w:tcW w:w="2339" w:type="dxa"/>
            <w:tcBorders>
              <w:top w:val="single" w:sz="4" w:space="0" w:color="auto"/>
              <w:left w:val="single" w:sz="4" w:space="0" w:color="auto"/>
              <w:bottom w:val="single" w:sz="4" w:space="0" w:color="auto"/>
              <w:right w:val="single" w:sz="4" w:space="0" w:color="auto"/>
            </w:tcBorders>
          </w:tcPr>
          <w:p w14:paraId="24035628" w14:textId="77777777" w:rsidR="00F43101" w:rsidRPr="0024417B" w:rsidRDefault="00F43101" w:rsidP="00F43101">
            <w:pPr>
              <w:spacing w:line="240" w:lineRule="auto"/>
              <w:ind w:firstLine="0"/>
              <w:jc w:val="left"/>
              <w:rPr>
                <w:szCs w:val="24"/>
              </w:rPr>
            </w:pPr>
            <w:r>
              <w:rPr>
                <w:szCs w:val="24"/>
              </w:rPr>
              <w:t>-</w:t>
            </w:r>
            <w:r w:rsidR="00BC002F" w:rsidRPr="0024417B">
              <w:rPr>
                <w:szCs w:val="24"/>
              </w:rPr>
              <w:t>7</w:t>
            </w:r>
            <w:r>
              <w:rPr>
                <w:szCs w:val="24"/>
              </w:rPr>
              <w:t xml:space="preserve"> - -</w:t>
            </w:r>
            <w:r w:rsidR="00BC002F" w:rsidRPr="0024417B">
              <w:rPr>
                <w:szCs w:val="24"/>
              </w:rPr>
              <w:t>4</w:t>
            </w:r>
          </w:p>
        </w:tc>
      </w:tr>
    </w:tbl>
    <w:p w14:paraId="1F298559" w14:textId="77777777" w:rsidR="00566FC8" w:rsidRPr="000709E2" w:rsidRDefault="00566FC8" w:rsidP="002648A0">
      <w:pPr>
        <w:ind w:left="709" w:firstLine="0"/>
      </w:pPr>
    </w:p>
    <w:p w14:paraId="16ED6CCB" w14:textId="77777777" w:rsidR="00A519D4" w:rsidRDefault="00A519D4" w:rsidP="002648A0">
      <w:pPr>
        <w:pStyle w:val="11"/>
      </w:pPr>
      <w:bookmarkStart w:id="106" w:name="_Toc65586426"/>
      <w:r>
        <w:t>Приложение А3.</w:t>
      </w:r>
      <w:r w:rsidR="00CF74E8">
        <w:t>2</w:t>
      </w:r>
      <w:r>
        <w:t>. Рекомендации по редукции доз или увеличению промежутков при проведении миелосупрессивной цитостатической терапии</w:t>
      </w:r>
      <w:bookmarkEnd w:id="104"/>
      <w:bookmarkEnd w:id="106"/>
    </w:p>
    <w:p w14:paraId="2D7369D6" w14:textId="77777777" w:rsidR="00A519D4" w:rsidRPr="008937A6" w:rsidRDefault="00A519D4" w:rsidP="00A519D4">
      <w:pPr>
        <w:ind w:firstLine="567"/>
        <w:rPr>
          <w:rFonts w:cstheme="minorHAnsi"/>
          <w:b/>
          <w:lang w:eastAsia="ru-RU"/>
        </w:rPr>
      </w:pPr>
      <w:r w:rsidRPr="008937A6">
        <w:rPr>
          <w:rFonts w:cstheme="minorHAnsi"/>
          <w:bCs/>
          <w:lang w:eastAsia="ru-RU"/>
        </w:rPr>
        <w:t>Лечение следует проводить в полных дозах в соответствии со схемой, если в день введения химиопрепаратов уровень нейтрофилов &gt;1 </w:t>
      </w:r>
      <w:r>
        <w:rPr>
          <w:lang w:eastAsia="ru-RU"/>
        </w:rPr>
        <w:t>× 1</w:t>
      </w:r>
      <w:r w:rsidRPr="00852074">
        <w:rPr>
          <w:lang w:eastAsia="ru-RU"/>
        </w:rPr>
        <w:t>0</w:t>
      </w:r>
      <w:r w:rsidRPr="00507B3C">
        <w:rPr>
          <w:vertAlign w:val="superscript"/>
          <w:lang w:eastAsia="ru-RU"/>
        </w:rPr>
        <w:t>9</w:t>
      </w:r>
      <w:r w:rsidRPr="00852074">
        <w:rPr>
          <w:lang w:eastAsia="ru-RU"/>
        </w:rPr>
        <w:t>/</w:t>
      </w:r>
      <w:r>
        <w:rPr>
          <w:lang w:eastAsia="ru-RU"/>
        </w:rPr>
        <w:t>л</w:t>
      </w:r>
      <w:r w:rsidRPr="008937A6">
        <w:rPr>
          <w:rFonts w:cstheme="minorHAnsi"/>
          <w:bCs/>
          <w:lang w:eastAsia="ru-RU"/>
        </w:rPr>
        <w:t xml:space="preserve"> и тромбоцитов &gt;100</w:t>
      </w:r>
      <w:r>
        <w:rPr>
          <w:lang w:val="en-US" w:eastAsia="ru-RU"/>
        </w:rPr>
        <w:t> </w:t>
      </w:r>
      <w:r>
        <w:rPr>
          <w:lang w:eastAsia="ru-RU"/>
        </w:rPr>
        <w:t>×</w:t>
      </w:r>
      <w:r>
        <w:rPr>
          <w:lang w:val="en-US" w:eastAsia="ru-RU"/>
        </w:rPr>
        <w:t> </w:t>
      </w:r>
      <w:r>
        <w:rPr>
          <w:lang w:eastAsia="ru-RU"/>
        </w:rPr>
        <w:t>1</w:t>
      </w:r>
      <w:r w:rsidRPr="00852074">
        <w:rPr>
          <w:lang w:eastAsia="ru-RU"/>
        </w:rPr>
        <w:t>0</w:t>
      </w:r>
      <w:r w:rsidRPr="00507B3C">
        <w:rPr>
          <w:vertAlign w:val="superscript"/>
          <w:lang w:eastAsia="ru-RU"/>
        </w:rPr>
        <w:t>9</w:t>
      </w:r>
      <w:r w:rsidRPr="008937A6">
        <w:rPr>
          <w:rFonts w:cstheme="minorHAnsi"/>
          <w:bCs/>
          <w:lang w:eastAsia="ru-RU"/>
        </w:rPr>
        <w:t>, но только в том случае, если пик падения уже пройден.</w:t>
      </w:r>
    </w:p>
    <w:p w14:paraId="3FAFF229" w14:textId="77777777" w:rsidR="00A519D4" w:rsidRPr="008937A6" w:rsidRDefault="00A519D4" w:rsidP="00A519D4">
      <w:pPr>
        <w:ind w:firstLine="567"/>
        <w:rPr>
          <w:rFonts w:cstheme="minorHAnsi"/>
          <w:lang w:eastAsia="ru-RU"/>
        </w:rPr>
      </w:pPr>
      <w:r w:rsidRPr="008937A6">
        <w:rPr>
          <w:rFonts w:cstheme="minorHAnsi"/>
          <w:lang w:eastAsia="ru-RU"/>
        </w:rPr>
        <w:t>Если необходимый уровень нейтрофилов не достигается к плановому дню введения химиопрепаратов (15</w:t>
      </w:r>
      <w:r w:rsidRPr="00B03750">
        <w:rPr>
          <w:rFonts w:cstheme="minorHAnsi"/>
          <w:lang w:eastAsia="ru-RU"/>
        </w:rPr>
        <w:t xml:space="preserve"> </w:t>
      </w:r>
      <w:r w:rsidRPr="008937A6">
        <w:rPr>
          <w:rFonts w:cstheme="minorHAnsi"/>
          <w:lang w:eastAsia="ru-RU"/>
        </w:rPr>
        <w:t>день от начала предыдущего цикла</w:t>
      </w:r>
      <w:r w:rsidR="006E172F">
        <w:rPr>
          <w:rFonts w:cstheme="minorHAnsi"/>
          <w:lang w:eastAsia="ru-RU"/>
        </w:rPr>
        <w:t xml:space="preserve"> для схем ВЕАСОРР-14, ЕАСОРР-14 и </w:t>
      </w:r>
      <w:r w:rsidR="006E172F">
        <w:rPr>
          <w:rFonts w:cstheme="minorHAnsi"/>
          <w:lang w:val="en-US" w:eastAsia="ru-RU"/>
        </w:rPr>
        <w:t>BV</w:t>
      </w:r>
      <w:r w:rsidR="006E172F" w:rsidRPr="003D4D5B">
        <w:rPr>
          <w:rFonts w:cstheme="minorHAnsi"/>
          <w:lang w:eastAsia="ru-RU"/>
        </w:rPr>
        <w:t>-</w:t>
      </w:r>
      <w:r w:rsidR="006E172F">
        <w:rPr>
          <w:rFonts w:cstheme="minorHAnsi"/>
          <w:lang w:val="en-US" w:eastAsia="ru-RU"/>
        </w:rPr>
        <w:t>AVD</w:t>
      </w:r>
      <w:r w:rsidR="006E172F">
        <w:rPr>
          <w:rFonts w:cstheme="minorHAnsi"/>
          <w:lang w:eastAsia="ru-RU"/>
        </w:rPr>
        <w:t xml:space="preserve"> и 21 день для схемы ВЕАСОРР-эскалированный</w:t>
      </w:r>
      <w:r w:rsidRPr="008937A6">
        <w:rPr>
          <w:rFonts w:cstheme="minorHAnsi"/>
          <w:lang w:eastAsia="ru-RU"/>
        </w:rPr>
        <w:t>), введение</w:t>
      </w:r>
      <w:r w:rsidR="00887BF1">
        <w:rPr>
          <w:rFonts w:cstheme="minorHAnsi"/>
          <w:lang w:eastAsia="ru-RU"/>
        </w:rPr>
        <w:t xml:space="preserve"> Г-КСФ</w:t>
      </w:r>
      <w:r w:rsidRPr="008937A6">
        <w:rPr>
          <w:rFonts w:cstheme="minorHAnsi"/>
          <w:lang w:eastAsia="ru-RU"/>
        </w:rPr>
        <w:t xml:space="preserve"> продолжается в прежних дозах до достижения уровня нейтрофилов </w:t>
      </w:r>
      <w:r w:rsidRPr="008937A6">
        <w:rPr>
          <w:rFonts w:cstheme="minorHAnsi"/>
          <w:bCs/>
          <w:lang w:eastAsia="ru-RU"/>
        </w:rPr>
        <w:t>&gt;1</w:t>
      </w:r>
      <w:r>
        <w:rPr>
          <w:lang w:val="en-US" w:eastAsia="ru-RU"/>
        </w:rPr>
        <w:t> </w:t>
      </w:r>
      <w:r>
        <w:rPr>
          <w:lang w:eastAsia="ru-RU"/>
        </w:rPr>
        <w:t>×</w:t>
      </w:r>
      <w:r>
        <w:rPr>
          <w:lang w:val="en-US" w:eastAsia="ru-RU"/>
        </w:rPr>
        <w:t> </w:t>
      </w:r>
      <w:r>
        <w:rPr>
          <w:lang w:eastAsia="ru-RU"/>
        </w:rPr>
        <w:t>1</w:t>
      </w:r>
      <w:r w:rsidRPr="00852074">
        <w:rPr>
          <w:lang w:eastAsia="ru-RU"/>
        </w:rPr>
        <w:t>0</w:t>
      </w:r>
      <w:r w:rsidRPr="00507B3C">
        <w:rPr>
          <w:vertAlign w:val="superscript"/>
          <w:lang w:eastAsia="ru-RU"/>
        </w:rPr>
        <w:t>9</w:t>
      </w:r>
      <w:r w:rsidRPr="008937A6">
        <w:rPr>
          <w:rFonts w:cstheme="minorHAnsi"/>
          <w:bCs/>
          <w:lang w:eastAsia="ru-RU"/>
        </w:rPr>
        <w:t xml:space="preserve"> </w:t>
      </w:r>
      <w:r w:rsidRPr="008937A6">
        <w:rPr>
          <w:rFonts w:cstheme="minorHAnsi"/>
          <w:lang w:eastAsia="ru-RU"/>
        </w:rPr>
        <w:t xml:space="preserve">при ежедневном контроле анализов крови, </w:t>
      </w:r>
      <w:r w:rsidRPr="008937A6">
        <w:rPr>
          <w:rFonts w:cstheme="minorHAnsi"/>
          <w:bCs/>
          <w:lang w:eastAsia="ru-RU"/>
        </w:rPr>
        <w:t xml:space="preserve">далее </w:t>
      </w:r>
      <w:r w:rsidRPr="008937A6">
        <w:rPr>
          <w:rFonts w:cstheme="minorHAnsi"/>
          <w:lang w:eastAsia="ru-RU"/>
        </w:rPr>
        <w:t>исследование крови повторяется через день. Лечение возобновляется при достижении вышеуказанных параметров.</w:t>
      </w:r>
    </w:p>
    <w:p w14:paraId="5BE9EA4E" w14:textId="77777777" w:rsidR="00A519D4" w:rsidRPr="008937A6" w:rsidRDefault="00A519D4" w:rsidP="00A519D4">
      <w:pPr>
        <w:ind w:firstLine="567"/>
        <w:rPr>
          <w:rFonts w:cstheme="minorHAnsi"/>
          <w:lang w:eastAsia="ru-RU"/>
        </w:rPr>
      </w:pPr>
      <w:r w:rsidRPr="008937A6">
        <w:rPr>
          <w:rFonts w:cstheme="minorHAnsi"/>
          <w:lang w:eastAsia="ru-RU"/>
        </w:rPr>
        <w:t xml:space="preserve">В том случае, если показатели крови восстанавливаются в течение </w:t>
      </w:r>
      <w:r>
        <w:rPr>
          <w:rFonts w:cstheme="minorHAnsi"/>
          <w:lang w:eastAsia="ru-RU"/>
        </w:rPr>
        <w:t>по</w:t>
      </w:r>
      <w:r w:rsidRPr="008937A6">
        <w:rPr>
          <w:rFonts w:cstheme="minorHAnsi"/>
          <w:lang w:eastAsia="ru-RU"/>
        </w:rPr>
        <w:t>следующих 14 дней, следующий цикл проводится в полных дозах.</w:t>
      </w:r>
    </w:p>
    <w:p w14:paraId="37CEA341" w14:textId="77777777" w:rsidR="00A519D4" w:rsidRPr="008937A6" w:rsidRDefault="00A519D4" w:rsidP="00A519D4">
      <w:pPr>
        <w:ind w:firstLine="567"/>
        <w:rPr>
          <w:rFonts w:cstheme="minorHAnsi"/>
          <w:lang w:eastAsia="ru-RU"/>
        </w:rPr>
      </w:pPr>
      <w:r w:rsidRPr="008937A6">
        <w:rPr>
          <w:rFonts w:cstheme="minorHAnsi"/>
          <w:lang w:eastAsia="ru-RU"/>
        </w:rPr>
        <w:t xml:space="preserve">В случае, если показатели крови не восстанавливаются дольше дополнительных 14 дней, а также в случае повторной отсрочки курса вследствие миелотоксичности более 10 дней, проводится снижение доз препаратов до 75% от исходной дозы (кроме </w:t>
      </w:r>
      <w:r>
        <w:rPr>
          <w:rFonts w:cstheme="minorHAnsi"/>
          <w:lang w:eastAsia="ru-RU"/>
        </w:rPr>
        <w:t xml:space="preserve">доз </w:t>
      </w:r>
      <w:r w:rsidRPr="008937A6">
        <w:rPr>
          <w:rFonts w:cstheme="minorHAnsi"/>
          <w:lang w:eastAsia="ru-RU"/>
        </w:rPr>
        <w:t>винкристина, блеомицина и преднизолона).</w:t>
      </w:r>
    </w:p>
    <w:p w14:paraId="0D59C431" w14:textId="6D057830" w:rsidR="00A519D4" w:rsidRDefault="00A519D4" w:rsidP="00A519D4">
      <w:pPr>
        <w:ind w:firstLine="567"/>
        <w:rPr>
          <w:rFonts w:cstheme="minorHAnsi"/>
          <w:lang w:eastAsia="ru-RU"/>
        </w:rPr>
      </w:pPr>
      <w:r w:rsidRPr="008937A6">
        <w:rPr>
          <w:rFonts w:cstheme="minorHAnsi"/>
          <w:lang w:eastAsia="ru-RU"/>
        </w:rPr>
        <w:t>Если к плановому дню введения химиопрепаратов необходимый уровень тромбоцитов не достигается, в дальнейшем исследование крови повторяется на 3, 7, 10 и 14 дни</w:t>
      </w:r>
      <w:r>
        <w:rPr>
          <w:rFonts w:cstheme="minorHAnsi"/>
          <w:lang w:eastAsia="ru-RU"/>
        </w:rPr>
        <w:t>;</w:t>
      </w:r>
      <w:r w:rsidRPr="008937A6">
        <w:rPr>
          <w:rFonts w:cstheme="minorHAnsi"/>
          <w:lang w:eastAsia="ru-RU"/>
        </w:rPr>
        <w:t xml:space="preserve"> лечение возобновляется при достижении вышеуказанных параметров. Если показатели крови восстанавливаются в течение дополнительных 14 дней, цикл проводится в полных дозах. В случае, если показатели крови не восстанавливаются дольше дополнительных 14 дней, в следующем цикле производится редукция доз по той же схеме, как и при длительной нейтропении.</w:t>
      </w:r>
    </w:p>
    <w:p w14:paraId="05E0BF74" w14:textId="4253CFAF" w:rsidR="009B44B4" w:rsidRDefault="009B44B4" w:rsidP="00A519D4">
      <w:pPr>
        <w:ind w:firstLine="567"/>
        <w:rPr>
          <w:rFonts w:cstheme="minorHAnsi"/>
          <w:lang w:eastAsia="ru-RU"/>
        </w:rPr>
      </w:pPr>
    </w:p>
    <w:p w14:paraId="4DA9C5A4" w14:textId="6D60CF89" w:rsidR="00A16AAE" w:rsidRPr="00A16AAE" w:rsidRDefault="004A4C54" w:rsidP="00A16AAE">
      <w:pPr>
        <w:pStyle w:val="11"/>
      </w:pPr>
      <w:bookmarkStart w:id="107" w:name="_Toc65586427"/>
      <w:r>
        <w:t xml:space="preserve">Приложение А3.3. </w:t>
      </w:r>
      <w:bookmarkStart w:id="108" w:name="_Toc64479235"/>
      <w:r w:rsidR="00A16AAE" w:rsidRPr="00CB3251">
        <w:rPr>
          <w:rFonts w:eastAsia="Arial Unicode MS"/>
        </w:rPr>
        <w:t>Сопроводительная терапия при введении моноклональных антител у гематологических пациентов.</w:t>
      </w:r>
      <w:bookmarkEnd w:id="107"/>
      <w:bookmarkEnd w:id="108"/>
    </w:p>
    <w:p w14:paraId="583B636F" w14:textId="31B72EF2" w:rsidR="00A16AAE" w:rsidRPr="00053AE8" w:rsidRDefault="00A16AAE" w:rsidP="00A16AAE">
      <w:pPr>
        <w:pStyle w:val="Normal11"/>
        <w:tabs>
          <w:tab w:val="left" w:pos="0"/>
        </w:tabs>
        <w:spacing w:before="0" w:line="360" w:lineRule="auto"/>
        <w:ind w:left="0" w:firstLine="709"/>
        <w:jc w:val="both"/>
        <w:rPr>
          <w:rFonts w:cs="Times New Roman"/>
          <w:b/>
          <w:i/>
          <w:color w:val="000000" w:themeColor="text1"/>
          <w:u w:val="single"/>
        </w:rPr>
      </w:pPr>
      <w:r w:rsidRPr="00053AE8">
        <w:rPr>
          <w:rFonts w:cs="Times New Roman"/>
          <w:b/>
          <w:i/>
          <w:color w:val="000000" w:themeColor="text1"/>
          <w:u w:val="single"/>
        </w:rPr>
        <w:t>Брентуксимаб ведотин</w:t>
      </w:r>
      <w:r w:rsidRPr="00053AE8">
        <w:rPr>
          <w:rFonts w:cs="Times New Roman"/>
          <w:b/>
          <w:i/>
          <w:color w:val="000000" w:themeColor="text1"/>
          <w:u w:val="single"/>
          <w:lang w:val="en-US"/>
        </w:rPr>
        <w:t xml:space="preserve"> </w:t>
      </w:r>
      <w:r w:rsidRPr="00053AE8">
        <w:rPr>
          <w:rFonts w:cs="Times New Roman"/>
          <w:b/>
          <w:i/>
          <w:color w:val="000000" w:themeColor="text1"/>
          <w:u w:val="single"/>
          <w:lang w:val="en-US"/>
        </w:rPr>
        <w:fldChar w:fldCharType="begin" w:fldLock="1"/>
      </w:r>
      <w:r w:rsidR="00935A5F">
        <w:rPr>
          <w:rFonts w:cs="Times New Roman"/>
          <w:b/>
          <w:i/>
          <w:color w:val="000000" w:themeColor="text1"/>
          <w:u w:val="single"/>
          <w:lang w:val="en-US"/>
        </w:rPr>
        <w:instrText xml:space="preserve">ADDIN CSL_CITATION {"citationItems":[{"id":"ITEM-1","itemData":{"author":[{"dropping-particle":"","family":"Haanen","given":"J. B.A.G.","non-dropping-particle":"","parse-names":false,"suffix":""},{"dropping-particle":"","family":"Carbonnel","given":"F.","non-dropping-particle":"","parse-names":false,"suffix":""},{"dropping-particle":"","family":"Robert","given":"C.","non-dropping-particle":"","parse-names":false,"suffix":""},{"dropping-particle":"","family":"Kerr","given":"K. M.","non-dropping-particle":"","parse-names":false,"suffix":""},{"dropping-particle":"","family":"Peters","given":"S.","non-dropping-particle":"","parse-names":false,"suffix":""},{"dropping-particle":"","family":"Larkin","given":"J.","non-dropping-particle":"","parse-names":false,"suffix":""},{"dropping-particle":"","family":"Jordan","given":"K.","non-dropping-particle":"","parse-names":false,"suffix":""}],"container-title":"Annals of Oncology","id":"ITEM-1","issue":"Supp. 4","issued":{"date-parts":[["2018"]]},"page":"iv264-iv266","title":"Management of toxicities from immunotherapy: ESMO Clinical Practice Guidelines for diagnosis, treatment and follow-up","type":"article-journal","volume":"29"},"uris":["http://www.mendeley.com/documents/?uuid=891e60f6-27c0-495a-98e2-222a2574c98e"]},{"id":"ITEM-2","itemData":{"DOI":"10.1182/blood-2018-07-861641","ISSN":"1528-0020","PMID":"30266774","abstract":"The phase 3 AETHERA trial established brentuximab vedotin (BV) as a consolidative treatment option for adult patients with classical Hodgkin lymphoma (cHL) at high risk of relapse or progression after autologous hematopoietic stem-cell transplantation (auto-HSCT). Results showed that BV significantly improved progression-free survival (PFS) vs placebo plus best supportive care alone. At 5-year </w:instrText>
      </w:r>
      <w:r w:rsidR="00935A5F">
        <w:rPr>
          <w:rFonts w:cs="Times New Roman" w:hint="eastAsia"/>
          <w:b/>
          <w:i/>
          <w:color w:val="000000" w:themeColor="text1"/>
          <w:u w:val="single"/>
          <w:lang w:val="en-US"/>
        </w:rPr>
        <w:instrText xml:space="preserve">follow-up, BV continued to provide patients with sustained PFS benefit; 5-year PFS was 59% (95% confidence interval [CI], 51-66) with BV vs 41% (95% CI, 33-49) with placebo (hazard ratio [HR], 0.521; 95% CI, 0.379-0.717). Similarly, patients with </w:instrText>
      </w:r>
      <w:r w:rsidR="00935A5F">
        <w:rPr>
          <w:rFonts w:cs="Times New Roman" w:hint="eastAsia"/>
          <w:b/>
          <w:i/>
          <w:color w:val="000000" w:themeColor="text1"/>
          <w:u w:val="single"/>
          <w:lang w:val="en-US"/>
        </w:rPr>
        <w:instrText>≥</w:instrText>
      </w:r>
      <w:r w:rsidR="00935A5F">
        <w:rPr>
          <w:rFonts w:cs="Times New Roman" w:hint="eastAsia"/>
          <w:b/>
          <w:i/>
          <w:color w:val="000000" w:themeColor="text1"/>
          <w:u w:val="single"/>
          <w:lang w:val="en-US"/>
        </w:rPr>
        <w:instrText xml:space="preserve">2 risk </w:instrText>
      </w:r>
      <w:r w:rsidR="00935A5F">
        <w:rPr>
          <w:rFonts w:cs="Times New Roman"/>
          <w:b/>
          <w:i/>
          <w:color w:val="000000" w:themeColor="text1"/>
          <w:u w:val="single"/>
          <w:lang w:val="en-US"/>
        </w:rPr>
        <w:instrText>factors in the BV arm experienced significantly higher PFS at 5 years than patients in the placebo arm (HR, 0.424; 95% CI, 0.302-0.596). Upfront consolidation with BV significantly delayed time to second subsequent therapy, an indicator of ongoing disease control, vs placebo. Peripheral neuropathy, the most common adverse event in patients receiving BV, continued to improve and/or resolve in 90% of patients. In summary, consolidation with BV in adult patients with cHL at high risk of relapse or progression after auto-HSCT confers a sustained PFS benefit and is safe and well tolerated. Physicians should consider each patient's HL risk factor profile when making treatment decisions. This trial was registered at www.clinicaltrials.gov as #NCT01100502.","author":[{"dropping-particle":"","family":"Moskowitz","given":"Craig H","non-dropping-particle":"","parse-names":false,"suffix":""},{"dropping-particle":"","family":"Walewski","given":"Jan","non-dropping-particle":"","parse-names":false,"suffix":""},{"dropping-particle":"","family":"Nademanee","given":"Auayporn","non-dropping-particle":"","parse-names":false,"suffix":""},{"dropping-particle":"","family":"Masszi","given":"Tamas","non-dropping-particle":"","parse-names":false,"suffix":""},{"dropping-particle":"","family":"Agura","given":"Edward","non-dropping-particle":"","parse-names":false,"suffix":""},{"dropping-particle":"","family":"Holowiecki","given":"Jerzy","non-dropping-particle":"","parse-names":false,"suffix":""},{"dropping-particle":"","family":"Abidi","given":"Muneer H","non-dropping-particle":"","parse-names":false,"suffix":""},{"dropping-particle":"","family":"Chen","given":"Andy I","non-dropping-particle":"","parse-names":false,"suffix":""},{"dropping-particle":"","family":"Stiff","given":"Patrick","non-dropping-particle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names</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false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suffix</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dropping</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family</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Viviani</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given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Simonetta</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non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dropping</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names</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false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suffix</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dropping</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family</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Bachanova</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given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Veronika</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non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dropping</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names</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false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suffix</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dropping</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family</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Sureda</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given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Anna</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non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dropping</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names</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false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suffix</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dropping</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family</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McClendon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given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Teresa</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non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dropping</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names</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false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suffix</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dropping</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family</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Lee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given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Connie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non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dropping</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names</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false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suffix</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dropping</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family</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Lisano</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given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Julie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non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dropping</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names</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false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suffix</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dropping</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family</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Sweetenham</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given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John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non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dropping</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names</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false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suffix</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container</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title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Blood</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id</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ITEM</w:instrText>
      </w:r>
      <w:r w:rsidR="00935A5F" w:rsidRPr="00B71D31">
        <w:rPr>
          <w:rFonts w:cs="Times New Roman"/>
          <w:b/>
          <w:i/>
          <w:color w:val="000000" w:themeColor="text1"/>
          <w:u w:val="single"/>
        </w:rPr>
        <w:instrText>-2","</w:instrText>
      </w:r>
      <w:r w:rsidR="00935A5F">
        <w:rPr>
          <w:rFonts w:cs="Times New Roman"/>
          <w:b/>
          <w:i/>
          <w:color w:val="000000" w:themeColor="text1"/>
          <w:u w:val="single"/>
          <w:lang w:val="en-US"/>
        </w:rPr>
        <w:instrText>issue</w:instrText>
      </w:r>
      <w:r w:rsidR="00935A5F" w:rsidRPr="00B71D31">
        <w:rPr>
          <w:rFonts w:cs="Times New Roman"/>
          <w:b/>
          <w:i/>
          <w:color w:val="000000" w:themeColor="text1"/>
          <w:u w:val="single"/>
        </w:rPr>
        <w:instrText>":"25","</w:instrText>
      </w:r>
      <w:r w:rsidR="00935A5F">
        <w:rPr>
          <w:rFonts w:cs="Times New Roman"/>
          <w:b/>
          <w:i/>
          <w:color w:val="000000" w:themeColor="text1"/>
          <w:u w:val="single"/>
          <w:lang w:val="en-US"/>
        </w:rPr>
        <w:instrText>issued</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date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parts</w:instrText>
      </w:r>
      <w:r w:rsidR="00935A5F" w:rsidRPr="00B71D31">
        <w:rPr>
          <w:rFonts w:cs="Times New Roman"/>
          <w:b/>
          <w:i/>
          <w:color w:val="000000" w:themeColor="text1"/>
          <w:u w:val="single"/>
        </w:rPr>
        <w:instrText>":[["2018"]]},"</w:instrText>
      </w:r>
      <w:r w:rsidR="00935A5F">
        <w:rPr>
          <w:rFonts w:cs="Times New Roman"/>
          <w:b/>
          <w:i/>
          <w:color w:val="000000" w:themeColor="text1"/>
          <w:u w:val="single"/>
          <w:lang w:val="en-US"/>
        </w:rPr>
        <w:instrText>page</w:instrText>
      </w:r>
      <w:r w:rsidR="00935A5F" w:rsidRPr="00B71D31">
        <w:rPr>
          <w:rFonts w:cs="Times New Roman"/>
          <w:b/>
          <w:i/>
          <w:color w:val="000000" w:themeColor="text1"/>
          <w:u w:val="single"/>
        </w:rPr>
        <w:instrText>":"2639-2642","</w:instrText>
      </w:r>
      <w:r w:rsidR="00935A5F">
        <w:rPr>
          <w:rFonts w:cs="Times New Roman"/>
          <w:b/>
          <w:i/>
          <w:color w:val="000000" w:themeColor="text1"/>
          <w:u w:val="single"/>
          <w:lang w:val="en-US"/>
        </w:rPr>
        <w:instrText>title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Five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year</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PFS</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from</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the</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AETHERA</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trial</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of</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brentuximab</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vedotin</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for</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Hodgkin</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lymphoma</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at</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high</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risk</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of</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progression</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or</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relapse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type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journal</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volume</w:instrText>
      </w:r>
      <w:r w:rsidR="00935A5F" w:rsidRPr="00B71D31">
        <w:rPr>
          <w:rFonts w:cs="Times New Roman"/>
          <w:b/>
          <w:i/>
          <w:color w:val="000000" w:themeColor="text1"/>
          <w:u w:val="single"/>
        </w:rPr>
        <w:instrText>":"132"},"</w:instrText>
      </w:r>
      <w:r w:rsidR="00935A5F">
        <w:rPr>
          <w:rFonts w:cs="Times New Roman"/>
          <w:b/>
          <w:i/>
          <w:color w:val="000000" w:themeColor="text1"/>
          <w:u w:val="single"/>
          <w:lang w:val="en-US"/>
        </w:rPr>
        <w:instrText>uris</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http</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www</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mendeley</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com</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documents</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uuid</w:instrText>
      </w:r>
      <w:r w:rsidR="00935A5F" w:rsidRPr="00B71D31">
        <w:rPr>
          <w:rFonts w:cs="Times New Roman"/>
          <w:b/>
          <w:i/>
          <w:color w:val="000000" w:themeColor="text1"/>
          <w:u w:val="single"/>
        </w:rPr>
        <w:instrText>=5</w:instrText>
      </w:r>
      <w:r w:rsidR="00935A5F">
        <w:rPr>
          <w:rFonts w:cs="Times New Roman"/>
          <w:b/>
          <w:i/>
          <w:color w:val="000000" w:themeColor="text1"/>
          <w:u w:val="single"/>
          <w:lang w:val="en-US"/>
        </w:rPr>
        <w:instrText>b</w:instrText>
      </w:r>
      <w:r w:rsidR="00935A5F" w:rsidRPr="00B71D31">
        <w:rPr>
          <w:rFonts w:cs="Times New Roman"/>
          <w:b/>
          <w:i/>
          <w:color w:val="000000" w:themeColor="text1"/>
          <w:u w:val="single"/>
        </w:rPr>
        <w:instrText>768</w:instrText>
      </w:r>
      <w:r w:rsidR="00935A5F">
        <w:rPr>
          <w:rFonts w:cs="Times New Roman"/>
          <w:b/>
          <w:i/>
          <w:color w:val="000000" w:themeColor="text1"/>
          <w:u w:val="single"/>
          <w:lang w:val="en-US"/>
        </w:rPr>
        <w:instrText>b</w:instrText>
      </w:r>
      <w:r w:rsidR="00935A5F" w:rsidRPr="00B71D31">
        <w:rPr>
          <w:rFonts w:cs="Times New Roman"/>
          <w:b/>
          <w:i/>
          <w:color w:val="000000" w:themeColor="text1"/>
          <w:u w:val="single"/>
        </w:rPr>
        <w:instrText>18-0</w:instrText>
      </w:r>
      <w:r w:rsidR="00935A5F">
        <w:rPr>
          <w:rFonts w:cs="Times New Roman"/>
          <w:b/>
          <w:i/>
          <w:color w:val="000000" w:themeColor="text1"/>
          <w:u w:val="single"/>
          <w:lang w:val="en-US"/>
        </w:rPr>
        <w:instrText>e</w:instrText>
      </w:r>
      <w:r w:rsidR="00935A5F" w:rsidRPr="00B71D31">
        <w:rPr>
          <w:rFonts w:cs="Times New Roman"/>
          <w:b/>
          <w:i/>
          <w:color w:val="000000" w:themeColor="text1"/>
          <w:u w:val="single"/>
        </w:rPr>
        <w:instrText>6</w:instrText>
      </w:r>
      <w:r w:rsidR="00935A5F">
        <w:rPr>
          <w:rFonts w:cs="Times New Roman"/>
          <w:b/>
          <w:i/>
          <w:color w:val="000000" w:themeColor="text1"/>
          <w:u w:val="single"/>
          <w:lang w:val="en-US"/>
        </w:rPr>
        <w:instrText>c</w:instrText>
      </w:r>
      <w:r w:rsidR="00935A5F" w:rsidRPr="00B71D31">
        <w:rPr>
          <w:rFonts w:cs="Times New Roman"/>
          <w:b/>
          <w:i/>
          <w:color w:val="000000" w:themeColor="text1"/>
          <w:u w:val="single"/>
        </w:rPr>
        <w:instrText>-33</w:instrText>
      </w:r>
      <w:r w:rsidR="00935A5F">
        <w:rPr>
          <w:rFonts w:cs="Times New Roman"/>
          <w:b/>
          <w:i/>
          <w:color w:val="000000" w:themeColor="text1"/>
          <w:u w:val="single"/>
          <w:lang w:val="en-US"/>
        </w:rPr>
        <w:instrText>fd</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ae</w:instrText>
      </w:r>
      <w:r w:rsidR="00935A5F" w:rsidRPr="00B71D31">
        <w:rPr>
          <w:rFonts w:cs="Times New Roman"/>
          <w:b/>
          <w:i/>
          <w:color w:val="000000" w:themeColor="text1"/>
          <w:u w:val="single"/>
        </w:rPr>
        <w:instrText>0</w:instrText>
      </w:r>
      <w:r w:rsidR="00935A5F">
        <w:rPr>
          <w:rFonts w:cs="Times New Roman"/>
          <w:b/>
          <w:i/>
          <w:color w:val="000000" w:themeColor="text1"/>
          <w:u w:val="single"/>
          <w:lang w:val="en-US"/>
        </w:rPr>
        <w:instrText>a</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eae</w:instrText>
      </w:r>
      <w:r w:rsidR="00935A5F" w:rsidRPr="00B71D31">
        <w:rPr>
          <w:rFonts w:cs="Times New Roman"/>
          <w:b/>
          <w:i/>
          <w:color w:val="000000" w:themeColor="text1"/>
          <w:u w:val="single"/>
        </w:rPr>
        <w:instrText>7</w:instrText>
      </w:r>
      <w:r w:rsidR="00935A5F">
        <w:rPr>
          <w:rFonts w:cs="Times New Roman"/>
          <w:b/>
          <w:i/>
          <w:color w:val="000000" w:themeColor="text1"/>
          <w:u w:val="single"/>
          <w:lang w:val="en-US"/>
        </w:rPr>
        <w:instrText>ea</w:instrText>
      </w:r>
      <w:r w:rsidR="00935A5F" w:rsidRPr="00B71D31">
        <w:rPr>
          <w:rFonts w:cs="Times New Roman"/>
          <w:b/>
          <w:i/>
          <w:color w:val="000000" w:themeColor="text1"/>
          <w:u w:val="single"/>
        </w:rPr>
        <w:instrText>95</w:instrText>
      </w:r>
      <w:r w:rsidR="00935A5F">
        <w:rPr>
          <w:rFonts w:cs="Times New Roman"/>
          <w:b/>
          <w:i/>
          <w:color w:val="000000" w:themeColor="text1"/>
          <w:u w:val="single"/>
          <w:lang w:val="en-US"/>
        </w:rPr>
        <w:instrText>bc</w:instrText>
      </w:r>
      <w:r w:rsidR="00935A5F" w:rsidRPr="00B71D31">
        <w:rPr>
          <w:rFonts w:cs="Times New Roman"/>
          <w:b/>
          <w:i/>
          <w:color w:val="000000" w:themeColor="text1"/>
          <w:u w:val="single"/>
        </w:rPr>
        <w:instrText>8</w:instrText>
      </w:r>
      <w:r w:rsidR="00935A5F">
        <w:rPr>
          <w:rFonts w:cs="Times New Roman"/>
          <w:b/>
          <w:i/>
          <w:color w:val="000000" w:themeColor="text1"/>
          <w:u w:val="single"/>
          <w:lang w:val="en-US"/>
        </w:rPr>
        <w:instrText>b</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mendeley</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formattedCitation</w:instrText>
      </w:r>
      <w:r w:rsidR="00935A5F" w:rsidRPr="00B71D31">
        <w:rPr>
          <w:rFonts w:cs="Times New Roman"/>
          <w:b/>
          <w:i/>
          <w:color w:val="000000" w:themeColor="text1"/>
          <w:u w:val="single"/>
        </w:rPr>
        <w:instrText>":"[43,137]","</w:instrText>
      </w:r>
      <w:r w:rsidR="00935A5F">
        <w:rPr>
          <w:rFonts w:cs="Times New Roman"/>
          <w:b/>
          <w:i/>
          <w:color w:val="000000" w:themeColor="text1"/>
          <w:u w:val="single"/>
          <w:lang w:val="en-US"/>
        </w:rPr>
        <w:instrText>plainTextFormattedCitation</w:instrText>
      </w:r>
      <w:r w:rsidR="00935A5F" w:rsidRPr="00B71D31">
        <w:rPr>
          <w:rFonts w:cs="Times New Roman"/>
          <w:b/>
          <w:i/>
          <w:color w:val="000000" w:themeColor="text1"/>
          <w:u w:val="single"/>
        </w:rPr>
        <w:instrText>":"[43,137]","</w:instrText>
      </w:r>
      <w:r w:rsidR="00935A5F">
        <w:rPr>
          <w:rFonts w:cs="Times New Roman"/>
          <w:b/>
          <w:i/>
          <w:color w:val="000000" w:themeColor="text1"/>
          <w:u w:val="single"/>
          <w:lang w:val="en-US"/>
        </w:rPr>
        <w:instrText>previouslyFormattedCitation</w:instrText>
      </w:r>
      <w:r w:rsidR="00935A5F" w:rsidRPr="00B71D31">
        <w:rPr>
          <w:rFonts w:cs="Times New Roman"/>
          <w:b/>
          <w:i/>
          <w:color w:val="000000" w:themeColor="text1"/>
          <w:u w:val="single"/>
        </w:rPr>
        <w:instrText>":"[43,137]"},"</w:instrText>
      </w:r>
      <w:r w:rsidR="00935A5F">
        <w:rPr>
          <w:rFonts w:cs="Times New Roman"/>
          <w:b/>
          <w:i/>
          <w:color w:val="000000" w:themeColor="text1"/>
          <w:u w:val="single"/>
          <w:lang w:val="en-US"/>
        </w:rPr>
        <w:instrText>properties</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noteIndex</w:instrText>
      </w:r>
      <w:r w:rsidR="00935A5F" w:rsidRPr="00B71D31">
        <w:rPr>
          <w:rFonts w:cs="Times New Roman"/>
          <w:b/>
          <w:i/>
          <w:color w:val="000000" w:themeColor="text1"/>
          <w:u w:val="single"/>
        </w:rPr>
        <w:instrText>":0},"</w:instrText>
      </w:r>
      <w:r w:rsidR="00935A5F">
        <w:rPr>
          <w:rFonts w:cs="Times New Roman"/>
          <w:b/>
          <w:i/>
          <w:color w:val="000000" w:themeColor="text1"/>
          <w:u w:val="single"/>
          <w:lang w:val="en-US"/>
        </w:rPr>
        <w:instrText>schema</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https</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github</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com</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citation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style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language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schema</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raw</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master</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csl</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citation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json</w:instrText>
      </w:r>
      <w:r w:rsidR="00935A5F" w:rsidRPr="00B71D31">
        <w:rPr>
          <w:rFonts w:cs="Times New Roman"/>
          <w:b/>
          <w:i/>
          <w:color w:val="000000" w:themeColor="text1"/>
          <w:u w:val="single"/>
        </w:rPr>
        <w:instrText>"}</w:instrText>
      </w:r>
      <w:r w:rsidRPr="00053AE8">
        <w:rPr>
          <w:rFonts w:cs="Times New Roman"/>
          <w:b/>
          <w:i/>
          <w:color w:val="000000" w:themeColor="text1"/>
          <w:u w:val="single"/>
          <w:lang w:val="en-US"/>
        </w:rPr>
        <w:fldChar w:fldCharType="separate"/>
      </w:r>
      <w:r w:rsidR="00053AE8" w:rsidRPr="00053AE8">
        <w:rPr>
          <w:rFonts w:cs="Times New Roman"/>
          <w:noProof/>
          <w:color w:val="000000" w:themeColor="text1"/>
        </w:rPr>
        <w:t>[43,137]</w:t>
      </w:r>
      <w:r w:rsidRPr="00053AE8">
        <w:rPr>
          <w:rFonts w:cs="Times New Roman"/>
          <w:b/>
          <w:i/>
          <w:color w:val="000000" w:themeColor="text1"/>
          <w:u w:val="single"/>
          <w:lang w:val="en-US"/>
        </w:rPr>
        <w:fldChar w:fldCharType="end"/>
      </w:r>
    </w:p>
    <w:p w14:paraId="79626F30" w14:textId="77777777" w:rsidR="00A16AAE" w:rsidRPr="00CB3251" w:rsidRDefault="00A16AAE" w:rsidP="00A16AAE">
      <w:pPr>
        <w:rPr>
          <w:rFonts w:cs="Times New Roman"/>
          <w:color w:val="000000" w:themeColor="text1"/>
          <w:szCs w:val="24"/>
        </w:rPr>
      </w:pPr>
      <w:r w:rsidRPr="00CB3251">
        <w:rPr>
          <w:rFonts w:cs="Times New Roman"/>
          <w:color w:val="000000" w:themeColor="text1"/>
          <w:szCs w:val="24"/>
        </w:rPr>
        <w:t xml:space="preserve">Рекомендуемая доза препарата </w:t>
      </w:r>
      <w:r w:rsidRPr="00CB3251">
        <w:rPr>
          <w:rFonts w:eastAsia="Times New Roman" w:cs="Times New Roman"/>
          <w:color w:val="000000" w:themeColor="text1"/>
          <w:szCs w:val="24"/>
          <w:lang w:eastAsia="ru-RU"/>
        </w:rPr>
        <w:t xml:space="preserve">брентуксимаб ведотин </w:t>
      </w:r>
      <w:r w:rsidRPr="00CB3251">
        <w:rPr>
          <w:rFonts w:cs="Times New Roman"/>
          <w:color w:val="000000" w:themeColor="text1"/>
          <w:szCs w:val="24"/>
        </w:rPr>
        <w:t>составляет 1,8 мг/кг в виде внутривенной инфузии в течение 30 мин каждые 3 нед.</w:t>
      </w:r>
    </w:p>
    <w:p w14:paraId="50508AC9" w14:textId="77777777" w:rsidR="00A16AAE" w:rsidRPr="00CB3251" w:rsidRDefault="00A16AAE" w:rsidP="00A16AAE">
      <w:pPr>
        <w:rPr>
          <w:rFonts w:cs="Times New Roman"/>
          <w:color w:val="000000" w:themeColor="text1"/>
          <w:szCs w:val="24"/>
        </w:rPr>
      </w:pPr>
      <w:r w:rsidRPr="00CB3251">
        <w:rPr>
          <w:rFonts w:cs="Times New Roman"/>
          <w:color w:val="000000" w:themeColor="text1"/>
          <w:szCs w:val="24"/>
        </w:rPr>
        <w:t xml:space="preserve">Для однократного применения содержимое флакона необходимо разбавить в 10,5 мл воды для инъекций до конечной концентрации 5 мг/мл. Набрать из флакона необходимое количество разведенного препарата и добавить в инфузионный пакет, содержащий 0.9% раствор натрия хлорида, чтобы конечная концентрация препарата составляла 0,4-1,2 мг/мл. Рекомендуемый объем растворителя – 150 мл. </w:t>
      </w:r>
    </w:p>
    <w:p w14:paraId="3CE90EB8" w14:textId="77777777" w:rsidR="00A16AAE" w:rsidRPr="00CB3251" w:rsidRDefault="00A16AAE" w:rsidP="00A16AAE">
      <w:pPr>
        <w:rPr>
          <w:rFonts w:cs="Times New Roman"/>
          <w:color w:val="000000" w:themeColor="text1"/>
          <w:szCs w:val="24"/>
        </w:rPr>
      </w:pPr>
      <w:r w:rsidRPr="00CB3251">
        <w:rPr>
          <w:rFonts w:cs="Times New Roman"/>
          <w:color w:val="000000" w:themeColor="text1"/>
          <w:szCs w:val="24"/>
        </w:rPr>
        <w:t xml:space="preserve">Перед каждой инфузией брентуксимаба ведотина  необходимо проводить премедикацию (анальгетик/антипиретик (например, кетопрофен), антигистаминный препарат </w:t>
      </w:r>
      <w:r w:rsidRPr="00CB3251">
        <w:rPr>
          <w:rFonts w:eastAsia="Times New Roman" w:cs="Times New Roman"/>
          <w:color w:val="000000" w:themeColor="text1"/>
          <w:szCs w:val="24"/>
          <w:lang w:eastAsia="ru-RU"/>
        </w:rPr>
        <w:t xml:space="preserve">(например, </w:t>
      </w:r>
      <w:hyperlink r:id="rId17" w:history="1">
        <w:r w:rsidRPr="00CB3251">
          <w:rPr>
            <w:rStyle w:val="affd"/>
            <w:rFonts w:cs="Times New Roman"/>
            <w:color w:val="000000" w:themeColor="text1"/>
            <w:szCs w:val="24"/>
          </w:rPr>
          <w:t>клемастин</w:t>
        </w:r>
      </w:hyperlink>
      <w:r w:rsidRPr="00CB3251">
        <w:rPr>
          <w:rFonts w:eastAsia="Times New Roman" w:cs="Times New Roman"/>
          <w:color w:val="000000" w:themeColor="text1"/>
          <w:szCs w:val="24"/>
          <w:lang w:eastAsia="ru-RU"/>
        </w:rPr>
        <w:t xml:space="preserve">),  глюкокортикостеродный препарат (например, </w:t>
      </w:r>
      <w:r w:rsidRPr="00CB3251">
        <w:rPr>
          <w:rFonts w:cs="Times New Roman"/>
          <w:color w:val="000000" w:themeColor="text1"/>
          <w:szCs w:val="24"/>
        </w:rPr>
        <w:t>дексаметазон).</w:t>
      </w:r>
    </w:p>
    <w:p w14:paraId="53E6908B" w14:textId="77777777" w:rsidR="00A16AAE" w:rsidRPr="00CB3251" w:rsidRDefault="00A16AAE" w:rsidP="00A16AAE">
      <w:pPr>
        <w:rPr>
          <w:rFonts w:cs="Times New Roman"/>
          <w:color w:val="000000" w:themeColor="text1"/>
          <w:szCs w:val="24"/>
        </w:rPr>
      </w:pPr>
      <w:r w:rsidRPr="00CB3251">
        <w:rPr>
          <w:rFonts w:cs="Times New Roman"/>
          <w:color w:val="000000" w:themeColor="text1"/>
          <w:szCs w:val="24"/>
        </w:rPr>
        <w:t xml:space="preserve">При применении брентуксимаба ведотина могут наблюдаться инфузионные реакции, из них более частые – головная боль, кожная сыпь, боль в спине, тошнота, рвота, озноб, одышка, кожный зуд, кашель. В случае возникновения реакции на инфузию введение препарата следует приостановить с назначением соответствующей лекарственной терапии (глюкокортикостероиды </w:t>
      </w:r>
      <w:r w:rsidRPr="00CB3251">
        <w:rPr>
          <w:rFonts w:eastAsia="Times New Roman" w:cs="Times New Roman"/>
          <w:color w:val="000000" w:themeColor="text1"/>
          <w:szCs w:val="24"/>
          <w:lang w:eastAsia="ru-RU"/>
        </w:rPr>
        <w:t xml:space="preserve">(например, преднизолон), бронхолитики (например, </w:t>
      </w:r>
      <w:hyperlink r:id="rId18" w:history="1">
        <w:r w:rsidRPr="00CB3251">
          <w:rPr>
            <w:rStyle w:val="affd"/>
            <w:rFonts w:cs="Times New Roman"/>
            <w:color w:val="000000" w:themeColor="text1"/>
            <w:szCs w:val="24"/>
          </w:rPr>
          <w:t>аминофиллин</w:t>
        </w:r>
      </w:hyperlink>
      <w:r w:rsidRPr="00CB3251">
        <w:rPr>
          <w:rFonts w:eastAsia="Times New Roman" w:cs="Times New Roman"/>
          <w:color w:val="000000" w:themeColor="text1"/>
          <w:szCs w:val="24"/>
          <w:lang w:eastAsia="ru-RU"/>
        </w:rPr>
        <w:t xml:space="preserve">), антигистаминные препараты (например, </w:t>
      </w:r>
      <w:hyperlink r:id="rId19" w:history="1">
        <w:r w:rsidRPr="00CB3251">
          <w:rPr>
            <w:rStyle w:val="affd"/>
            <w:rFonts w:cs="Times New Roman"/>
            <w:color w:val="000000" w:themeColor="text1"/>
            <w:szCs w:val="24"/>
          </w:rPr>
          <w:t>клемастин</w:t>
        </w:r>
      </w:hyperlink>
      <w:r w:rsidRPr="00CB3251">
        <w:rPr>
          <w:rFonts w:eastAsia="Times New Roman" w:cs="Times New Roman"/>
          <w:color w:val="000000" w:themeColor="text1"/>
          <w:szCs w:val="24"/>
          <w:lang w:eastAsia="ru-RU"/>
        </w:rPr>
        <w:t xml:space="preserve">),  </w:t>
      </w:r>
      <w:r w:rsidRPr="00CB3251">
        <w:rPr>
          <w:rFonts w:cs="Times New Roman"/>
          <w:color w:val="000000" w:themeColor="text1"/>
          <w:szCs w:val="24"/>
        </w:rPr>
        <w:t>инфузионная терапия). После исчезновения симптомов инфузию можно возобновить, вводя препарат с меньшей скоростью.</w:t>
      </w:r>
    </w:p>
    <w:p w14:paraId="4F440D52" w14:textId="77777777" w:rsidR="00A16AAE" w:rsidRPr="00CB3251" w:rsidRDefault="00A16AAE" w:rsidP="00A16AAE">
      <w:pPr>
        <w:rPr>
          <w:rFonts w:cs="Times New Roman"/>
          <w:color w:val="000000" w:themeColor="text1"/>
          <w:szCs w:val="24"/>
        </w:rPr>
      </w:pPr>
      <w:r w:rsidRPr="00CB3251">
        <w:rPr>
          <w:rFonts w:eastAsia="Times New Roman" w:cs="Times New Roman"/>
          <w:color w:val="000000" w:themeColor="text1"/>
          <w:szCs w:val="24"/>
          <w:lang w:eastAsia="ru-RU"/>
        </w:rPr>
        <w:t xml:space="preserve">При лечении брентуксимаба ведотином может развиться </w:t>
      </w:r>
      <w:r w:rsidRPr="00CB3251">
        <w:rPr>
          <w:rFonts w:eastAsia="Times New Roman" w:cs="Times New Roman"/>
          <w:iCs/>
          <w:color w:val="000000" w:themeColor="text1"/>
          <w:szCs w:val="24"/>
          <w:lang w:eastAsia="ru-RU"/>
        </w:rPr>
        <w:t>гематологическая токсичность (</w:t>
      </w:r>
      <w:r w:rsidRPr="00CB3251">
        <w:rPr>
          <w:rFonts w:eastAsia="Times New Roman" w:cs="Times New Roman"/>
          <w:color w:val="000000" w:themeColor="text1"/>
          <w:szCs w:val="24"/>
          <w:lang w:eastAsia="ru-RU"/>
        </w:rPr>
        <w:t xml:space="preserve">анемия, тромбоцитопения, нейтропения 3 - 4 степени). Для контроля </w:t>
      </w:r>
      <w:r w:rsidRPr="00CB3251">
        <w:rPr>
          <w:rFonts w:cs="Times New Roman"/>
          <w:color w:val="000000" w:themeColor="text1"/>
          <w:szCs w:val="24"/>
        </w:rPr>
        <w:t>общий (клинический) анализ крови развернутый</w:t>
      </w:r>
      <w:r w:rsidRPr="00CB3251">
        <w:rPr>
          <w:rFonts w:eastAsia="Times New Roman" w:cs="Times New Roman"/>
          <w:color w:val="000000" w:themeColor="text1"/>
          <w:szCs w:val="24"/>
          <w:lang w:eastAsia="ru-RU"/>
        </w:rPr>
        <w:t xml:space="preserve"> должен проводиться перед каждым введением препарата. В случае развития цитопении 3 - 4 степени (особенно нейтропении), необходимо скорректировать дозу препарата вплоть до прекращения лечения, проводить при необходимости профилактику инфекционных осложнений, в том числе, </w:t>
      </w:r>
      <w:r w:rsidRPr="00CB3251">
        <w:rPr>
          <w:rFonts w:cs="Times New Roman"/>
          <w:color w:val="000000" w:themeColor="text1"/>
          <w:szCs w:val="24"/>
        </w:rPr>
        <w:t xml:space="preserve"> оппортунистических инфекций (герпетическая, цитомегаловирусная, пневмоцистная, грибковая и т.д.). В случае развития инфекционных осложнений терапия брентуксимабом останавливается. </w:t>
      </w:r>
    </w:p>
    <w:p w14:paraId="00BFE10E" w14:textId="77777777" w:rsidR="00A16AAE" w:rsidRDefault="00A16AAE" w:rsidP="00A16AAE">
      <w:pPr>
        <w:rPr>
          <w:rFonts w:cs="Times New Roman"/>
          <w:bCs/>
          <w:iCs/>
          <w:color w:val="000000" w:themeColor="text1"/>
          <w:szCs w:val="24"/>
        </w:rPr>
      </w:pPr>
      <w:r w:rsidRPr="00CB3251">
        <w:rPr>
          <w:rFonts w:cs="Times New Roman"/>
          <w:color w:val="000000" w:themeColor="text1"/>
          <w:szCs w:val="24"/>
        </w:rPr>
        <w:t xml:space="preserve">Лечение брентуксимаба ведотином может вызыватьт периферическую нейропатию (как сенсорную, так и моторную), которая является обратимой в большинстве случаев. Пациенты должны находиться под наблюдением, при необходимости – консультация / обследование невролога с целью своевременного выявления симптомов нейропатии – гипестезия, гиперестезия, парестезия, дискомфорт, жжение, нейропатическая боль или слабость. В случае возникновения или обострения периферической нейропатии необходимо приостановить лечение и снизить дозу или полностью прекратить лечение. </w:t>
      </w:r>
      <w:r w:rsidRPr="00E43EEE">
        <w:rPr>
          <w:rFonts w:cs="Times New Roman"/>
          <w:bCs/>
          <w:iCs/>
          <w:color w:val="000000" w:themeColor="text1"/>
          <w:szCs w:val="24"/>
        </w:rPr>
        <w:t xml:space="preserve"> </w:t>
      </w:r>
    </w:p>
    <w:p w14:paraId="6BCEB988" w14:textId="77777777" w:rsidR="00A16AAE" w:rsidRDefault="00A16AAE" w:rsidP="00A16AAE">
      <w:pPr>
        <w:pStyle w:val="Normal11"/>
        <w:tabs>
          <w:tab w:val="left" w:pos="0"/>
        </w:tabs>
        <w:spacing w:before="0" w:line="360" w:lineRule="auto"/>
        <w:ind w:left="0" w:firstLine="709"/>
        <w:jc w:val="both"/>
        <w:rPr>
          <w:rFonts w:cs="Times New Roman"/>
          <w:b/>
          <w:i/>
          <w:color w:val="000000" w:themeColor="text1"/>
          <w:highlight w:val="yellow"/>
          <w:u w:val="single"/>
        </w:rPr>
      </w:pPr>
    </w:p>
    <w:p w14:paraId="29BAEAAC" w14:textId="64174129" w:rsidR="00A16AAE" w:rsidRPr="00053AE8" w:rsidRDefault="00A16AAE" w:rsidP="00A16AAE">
      <w:pPr>
        <w:pStyle w:val="Normal11"/>
        <w:tabs>
          <w:tab w:val="left" w:pos="0"/>
        </w:tabs>
        <w:spacing w:before="0" w:line="360" w:lineRule="auto"/>
        <w:ind w:left="0" w:firstLine="709"/>
        <w:jc w:val="both"/>
        <w:rPr>
          <w:rFonts w:cs="Times New Roman"/>
          <w:b/>
          <w:i/>
          <w:color w:val="000000" w:themeColor="text1"/>
          <w:u w:val="single"/>
        </w:rPr>
      </w:pPr>
      <w:r w:rsidRPr="00053AE8">
        <w:rPr>
          <w:rFonts w:cs="Times New Roman"/>
          <w:b/>
          <w:i/>
          <w:color w:val="000000" w:themeColor="text1"/>
          <w:u w:val="single"/>
        </w:rPr>
        <w:t>Ниволумаб</w:t>
      </w:r>
      <w:r w:rsidRPr="00053AE8">
        <w:rPr>
          <w:rFonts w:cs="Times New Roman"/>
          <w:b/>
          <w:i/>
          <w:color w:val="000000" w:themeColor="text1"/>
          <w:u w:val="single"/>
          <w:lang w:val="en-US"/>
        </w:rPr>
        <w:t xml:space="preserve"> </w:t>
      </w:r>
      <w:r w:rsidRPr="00053AE8">
        <w:rPr>
          <w:rFonts w:cs="Times New Roman"/>
          <w:b/>
          <w:i/>
          <w:color w:val="000000" w:themeColor="text1"/>
          <w:u w:val="single"/>
          <w:lang w:val="en-US"/>
        </w:rPr>
        <w:fldChar w:fldCharType="begin" w:fldLock="1"/>
      </w:r>
      <w:r w:rsidR="00935A5F">
        <w:rPr>
          <w:rFonts w:cs="Times New Roman"/>
          <w:b/>
          <w:i/>
          <w:color w:val="000000" w:themeColor="text1"/>
          <w:u w:val="single"/>
          <w:lang w:val="en-US"/>
        </w:rPr>
        <w:instrText xml:space="preserve">ADDIN CSL_CITATION {"citationItems":[{"id":"ITEM-1","itemData":{"author":[{"dropping-particle":"","family":"Haanen","given":"J. B.A.G.","non-dropping-particle":"","parse-names":false,"suffix":""},{"dropping-particle":"","family":"Carbonnel","given":"F.","non-dropping-particle":"","parse-names":false,"suffix":""},{"dropping-particle":"","family":"Robert","given":"C.","non-dropping-particle":"","parse-names":false,"suffix":""},{"dropping-particle":"","family":"Kerr","given":"K. M.","non-dropping-particle":"","parse-names":false,"suffix":""},{"dropping-particle":"","family":"Peters","given":"S.","non-dropping-particle":"","parse-names":false,"suffix":""},{"dropping-particle":"","family":"Larkin","given":"J.","non-dropping-particle":"","parse-names":false,"suffix":""},{"dropping-particle":"","family":"Jordan","given":"K.","non-dropping-particle":"","parse-names":false,"suffix":""}],"container-title":"Annals of Oncology","id":"ITEM-1","issue":"Supp. 4","issued":{"date-parts":[["2018"]]},"page":"iv264-iv266","title":"Management of toxicities from immunotherapy: ESMO Clinical Practice Guidelines for diagnosis, treatment and follow-up","type":"article-journal","volume":"29"},"uris":["http://www.mendeley.com/documents/?uuid=891e60f6-27c0-495a-98e2-222a2574c98e"]},{"id":"ITEM-2","itemData":{"DOI":"10.1016/S1470-2045(16)30167-X","ISSN":"1474-5488","PMID":"27451390","abstract":"BACKGROUND Malignant cells of classical Hodgkin's lymphoma are characterised by genetic alterations at the 9p24.1 locus, leading to overexpression of PD-1 ligands and evasion of immune surveillance. In a phase 1b study, nivolumab, a PD-1-blocking antibody, produced a high response in patients with relapsed and refractory classical Hodgkin's lymphoma, with an acceptable safety profile. We aimed to assess the clinical benefit and safety of nivolumab monotherapy in patients with classical Hodgkin's lymphoma after failure of both autologous stem-cell transplantation and brentuximab vedotin. METHODS In this ongoing, single-arm phase 2 study, adult </w:instrText>
      </w:r>
      <w:r w:rsidR="00935A5F">
        <w:rPr>
          <w:rFonts w:cs="Times New Roman" w:hint="eastAsia"/>
          <w:b/>
          <w:i/>
          <w:color w:val="000000" w:themeColor="text1"/>
          <w:u w:val="single"/>
          <w:lang w:val="en-US"/>
        </w:rPr>
        <w:instrText xml:space="preserve">patients (aged </w:instrText>
      </w:r>
      <w:r w:rsidR="00935A5F">
        <w:rPr>
          <w:rFonts w:cs="Times New Roman" w:hint="eastAsia"/>
          <w:b/>
          <w:i/>
          <w:color w:val="000000" w:themeColor="text1"/>
          <w:u w:val="single"/>
          <w:lang w:val="en-US"/>
        </w:rPr>
        <w:instrText>≥</w:instrText>
      </w:r>
      <w:r w:rsidR="00935A5F">
        <w:rPr>
          <w:rFonts w:cs="Times New Roman" w:hint="eastAsia"/>
          <w:b/>
          <w:i/>
          <w:color w:val="000000" w:themeColor="text1"/>
          <w:u w:val="single"/>
          <w:lang w:val="en-US"/>
        </w:rPr>
        <w:instrText>18 years) with recurrent classical Hodgkin's lymphoma who had failed to respond to autologous stem-cell transplantation and had either relapsed after or failed to respond to brentuximab vedotin, and with an Eastern Cooperative Oncology Gro</w:instrText>
      </w:r>
      <w:r w:rsidR="00935A5F">
        <w:rPr>
          <w:rFonts w:cs="Times New Roman"/>
          <w:b/>
          <w:i/>
          <w:color w:val="000000" w:themeColor="text1"/>
          <w:u w:val="single"/>
          <w:lang w:val="en-US"/>
        </w:rPr>
        <w:instrText>up performance status score of 0 or 1, were enrolled from 34 hospitals and academic centres across Europe and North America. Patients were given nivolumab intravenously over 60 min at 3 mg/kg every 2 weeks until progression, death, unacceptable toxicity, or withdrawal from study. The primary endpoint was objective response following a prespecified minimum follow-up period of 6 months, assessed by an independent radiological review committee (IRRC). All patients who received at least one dose of nivolumab were included in the primary and safety analyses. This trial is registered with ClinicalTrials.gov, number NCT02181738. FINDINGS Among 80 treated patients recruited between Aug 26, 2014, and Feb 20, 2015, the median number of previous therapies was four (</w:instrText>
      </w:r>
      <w:r w:rsidR="00935A5F">
        <w:rPr>
          <w:rFonts w:cs="Times New Roman" w:hint="eastAsia"/>
          <w:b/>
          <w:i/>
          <w:color w:val="000000" w:themeColor="text1"/>
          <w:u w:val="single"/>
          <w:lang w:val="en-US"/>
        </w:rPr>
        <w:instrText>IQR 4-7). At a median follow-up of 8</w:instrText>
      </w:r>
      <w:r w:rsidR="00935A5F">
        <w:rPr>
          <w:rFonts w:cs="Times New Roman" w:hint="eastAsia"/>
          <w:b/>
          <w:i/>
          <w:color w:val="000000" w:themeColor="text1"/>
          <w:u w:val="single"/>
          <w:lang w:val="en-US"/>
        </w:rPr>
        <w:instrText>·</w:instrText>
      </w:r>
      <w:r w:rsidR="00935A5F">
        <w:rPr>
          <w:rFonts w:cs="Times New Roman" w:hint="eastAsia"/>
          <w:b/>
          <w:i/>
          <w:color w:val="000000" w:themeColor="text1"/>
          <w:u w:val="single"/>
          <w:lang w:val="en-US"/>
        </w:rPr>
        <w:instrText>9 months (IQR 7</w:instrText>
      </w:r>
      <w:r w:rsidR="00935A5F">
        <w:rPr>
          <w:rFonts w:cs="Times New Roman" w:hint="eastAsia"/>
          <w:b/>
          <w:i/>
          <w:color w:val="000000" w:themeColor="text1"/>
          <w:u w:val="single"/>
          <w:lang w:val="en-US"/>
        </w:rPr>
        <w:instrText>·</w:instrText>
      </w:r>
      <w:r w:rsidR="00935A5F">
        <w:rPr>
          <w:rFonts w:cs="Times New Roman" w:hint="eastAsia"/>
          <w:b/>
          <w:i/>
          <w:color w:val="000000" w:themeColor="text1"/>
          <w:u w:val="single"/>
          <w:lang w:val="en-US"/>
        </w:rPr>
        <w:instrText>8-9</w:instrText>
      </w:r>
      <w:r w:rsidR="00935A5F">
        <w:rPr>
          <w:rFonts w:cs="Times New Roman" w:hint="eastAsia"/>
          <w:b/>
          <w:i/>
          <w:color w:val="000000" w:themeColor="text1"/>
          <w:u w:val="single"/>
          <w:lang w:val="en-US"/>
        </w:rPr>
        <w:instrText>·</w:instrText>
      </w:r>
      <w:r w:rsidR="00935A5F">
        <w:rPr>
          <w:rFonts w:cs="Times New Roman" w:hint="eastAsia"/>
          <w:b/>
          <w:i/>
          <w:color w:val="000000" w:themeColor="text1"/>
          <w:u w:val="single"/>
          <w:lang w:val="en-US"/>
        </w:rPr>
        <w:instrText>9), 53 (66</w:instrText>
      </w:r>
      <w:r w:rsidR="00935A5F">
        <w:rPr>
          <w:rFonts w:cs="Times New Roman" w:hint="eastAsia"/>
          <w:b/>
          <w:i/>
          <w:color w:val="000000" w:themeColor="text1"/>
          <w:u w:val="single"/>
          <w:lang w:val="en-US"/>
        </w:rPr>
        <w:instrText>·</w:instrText>
      </w:r>
      <w:r w:rsidR="00935A5F">
        <w:rPr>
          <w:rFonts w:cs="Times New Roman" w:hint="eastAsia"/>
          <w:b/>
          <w:i/>
          <w:color w:val="000000" w:themeColor="text1"/>
          <w:u w:val="single"/>
          <w:lang w:val="en-US"/>
        </w:rPr>
        <w:instrText>3%, 95% CI 54</w:instrText>
      </w:r>
      <w:r w:rsidR="00935A5F">
        <w:rPr>
          <w:rFonts w:cs="Times New Roman" w:hint="eastAsia"/>
          <w:b/>
          <w:i/>
          <w:color w:val="000000" w:themeColor="text1"/>
          <w:u w:val="single"/>
          <w:lang w:val="en-US"/>
        </w:rPr>
        <w:instrText>·</w:instrText>
      </w:r>
      <w:r w:rsidR="00935A5F">
        <w:rPr>
          <w:rFonts w:cs="Times New Roman" w:hint="eastAsia"/>
          <w:b/>
          <w:i/>
          <w:color w:val="000000" w:themeColor="text1"/>
          <w:u w:val="single"/>
          <w:lang w:val="en-US"/>
        </w:rPr>
        <w:instrText>8-76</w:instrText>
      </w:r>
      <w:r w:rsidR="00935A5F">
        <w:rPr>
          <w:rFonts w:cs="Times New Roman" w:hint="eastAsia"/>
          <w:b/>
          <w:i/>
          <w:color w:val="000000" w:themeColor="text1"/>
          <w:u w:val="single"/>
          <w:lang w:val="en-US"/>
        </w:rPr>
        <w:instrText>·</w:instrText>
      </w:r>
      <w:r w:rsidR="00935A5F">
        <w:rPr>
          <w:rFonts w:cs="Times New Roman" w:hint="eastAsia"/>
          <w:b/>
          <w:i/>
          <w:color w:val="000000" w:themeColor="text1"/>
          <w:u w:val="single"/>
          <w:lang w:val="en-US"/>
        </w:rPr>
        <w:instrText xml:space="preserve">4) of 80 patients achieved an IRRC-assessed objective response. The most common drug-related adverse events (those that occurred in </w:instrText>
      </w:r>
      <w:r w:rsidR="00935A5F">
        <w:rPr>
          <w:rFonts w:cs="Times New Roman" w:hint="eastAsia"/>
          <w:b/>
          <w:i/>
          <w:color w:val="000000" w:themeColor="text1"/>
          <w:u w:val="single"/>
          <w:lang w:val="en-US"/>
        </w:rPr>
        <w:instrText>≥</w:instrText>
      </w:r>
      <w:r w:rsidR="00935A5F">
        <w:rPr>
          <w:rFonts w:cs="Times New Roman" w:hint="eastAsia"/>
          <w:b/>
          <w:i/>
          <w:color w:val="000000" w:themeColor="text1"/>
          <w:u w:val="single"/>
          <w:lang w:val="en-US"/>
        </w:rPr>
        <w:instrText>15% of patients) included fatigue (</w:instrText>
      </w:r>
      <w:r w:rsidR="00935A5F">
        <w:rPr>
          <w:rFonts w:cs="Times New Roman"/>
          <w:b/>
          <w:i/>
          <w:color w:val="000000" w:themeColor="text1"/>
          <w:u w:val="single"/>
          <w:lang w:val="en-US"/>
        </w:rPr>
        <w:instrText>20 [25%] patients), infusion-related reaction (16 [20%]), and rash (13 [16%]). The most common drug-related grade 3 or 4 adverse events were neutropenia (four [5%] patients) and increased lipase concentrations (four [5%]). The most common serious adverse event (any grade) was pyrexia (three [4%] patients). Three patients died during the study; none of these deaths were judged to be treatment related. INTERPRETATION Nivolumab resulted in frequent responses with an acceptable safety profile in patients with classical Hodgkin's lymphoma who progressed after autologous…","author":[{"dropping-particle":"","family":"Younes","given":"Anas","non-dropping-particle":"","parse-names":false,"suffix":""},{"dropping-particle":"","family":"Santoro","given":"Armando","non-dropping-particle":"","parse-names":false,"suffix":""},{"dropping-particle":"","family":"Shipp","given":"Margaret","non-dropping-particle":"","parse-names":false,"suffix":""},{"dropping-particle":"","family":"Zinzani","given":"Pier Luigi","non-dropping-particle":"","parse-names":false,"suffix":""},{"dropping-particle":"","family":"Timmerman","given":"John M","non-dropping-particle":"","parse-names":false,"suffix":""},{"dropping-particle":"","family":"Ansell","given":"Stephen","non-dropping-particle":"","parse-names":false,"suffix":""},{"dropping-particle":"","family":"Armand","given":"Philippe","non-dropping-particle":"","parse-names":false,"suffix":""},{"dropping-particle":"","family":"Fanale","given":"Michelle","non-dropping-particle":"","parse-names":false,"suffix":""},{"dropping-particle":"","family":"Ratanatharathorn","given":"Voravit","non-dropping-particle":"","parse-names":false,"suffix":""},{"dropping-particle":"","family":"Kuruvilla","given":"John","non-dropping-particle":"","parse-names":false,"suffix":""},{"dropping-particle":"","family":"Cohen","given":"Jonathon B","non-dropping-particle":"","parse-names":false,"suffix":""},{"dropping-particle":"","family":"Collins","given":"Graham","non-dropping-particle":"","parse-names":false,"suffix":""},{"dropping-particle":"","family":"Savage","given":"Kerry J","non-dropping-particle":"","parse-names":false,"suffix":""},{"dropping-particle":"","family":"Trneny","given":"Marek","non-dropping-particle":"","parse-names":false,"suffix":""},{"dropping-particle":"","family":"Kato</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given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Kazunobu</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non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dropping</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names</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false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suffix</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dropping</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family</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Farsaci</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given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Benedetto</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non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dropping</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names</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false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suffix</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dropping</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family</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Parker</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given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Susan</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M</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non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dropping</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names</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false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suffix</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dropping</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family</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Rodig</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given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Scott</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non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dropping</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names</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false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suffix</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dropping</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family</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Roemer</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given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Margaretha</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G</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M</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non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dropping</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names</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false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suffix</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dropping</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family</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Ligon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given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Azra</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H</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non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dropping</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names</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false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suffix</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dropping</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family</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Engert</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given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Andreas</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non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dropping</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names</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false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suffix</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container</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title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The</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Lancet</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Oncology</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id</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ITEM</w:instrText>
      </w:r>
      <w:r w:rsidR="00935A5F" w:rsidRPr="00B71D31">
        <w:rPr>
          <w:rFonts w:cs="Times New Roman"/>
          <w:b/>
          <w:i/>
          <w:color w:val="000000" w:themeColor="text1"/>
          <w:u w:val="single"/>
        </w:rPr>
        <w:instrText>-2","</w:instrText>
      </w:r>
      <w:r w:rsidR="00935A5F">
        <w:rPr>
          <w:rFonts w:cs="Times New Roman"/>
          <w:b/>
          <w:i/>
          <w:color w:val="000000" w:themeColor="text1"/>
          <w:u w:val="single"/>
          <w:lang w:val="en-US"/>
        </w:rPr>
        <w:instrText>issue</w:instrText>
      </w:r>
      <w:r w:rsidR="00935A5F" w:rsidRPr="00B71D31">
        <w:rPr>
          <w:rFonts w:cs="Times New Roman"/>
          <w:b/>
          <w:i/>
          <w:color w:val="000000" w:themeColor="text1"/>
          <w:u w:val="single"/>
        </w:rPr>
        <w:instrText>":"9","</w:instrText>
      </w:r>
      <w:r w:rsidR="00935A5F">
        <w:rPr>
          <w:rFonts w:cs="Times New Roman"/>
          <w:b/>
          <w:i/>
          <w:color w:val="000000" w:themeColor="text1"/>
          <w:u w:val="single"/>
          <w:lang w:val="en-US"/>
        </w:rPr>
        <w:instrText>issued</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date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parts</w:instrText>
      </w:r>
      <w:r w:rsidR="00935A5F" w:rsidRPr="00B71D31">
        <w:rPr>
          <w:rFonts w:cs="Times New Roman"/>
          <w:b/>
          <w:i/>
          <w:color w:val="000000" w:themeColor="text1"/>
          <w:u w:val="single"/>
        </w:rPr>
        <w:instrText>":[["2016","9"]]},"</w:instrText>
      </w:r>
      <w:r w:rsidR="00935A5F">
        <w:rPr>
          <w:rFonts w:cs="Times New Roman"/>
          <w:b/>
          <w:i/>
          <w:color w:val="000000" w:themeColor="text1"/>
          <w:u w:val="single"/>
          <w:lang w:val="en-US"/>
        </w:rPr>
        <w:instrText>page</w:instrText>
      </w:r>
      <w:r w:rsidR="00935A5F" w:rsidRPr="00B71D31">
        <w:rPr>
          <w:rFonts w:cs="Times New Roman"/>
          <w:b/>
          <w:i/>
          <w:color w:val="000000" w:themeColor="text1"/>
          <w:u w:val="single"/>
        </w:rPr>
        <w:instrText>":"1283-94","</w:instrText>
      </w:r>
      <w:r w:rsidR="00935A5F">
        <w:rPr>
          <w:rFonts w:cs="Times New Roman"/>
          <w:b/>
          <w:i/>
          <w:color w:val="000000" w:themeColor="text1"/>
          <w:u w:val="single"/>
          <w:lang w:val="en-US"/>
        </w:rPr>
        <w:instrText>title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Nivolumab</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for</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classical</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Hodgkin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s</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lymphoma</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after</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failure</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of</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both</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autologous</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stem</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cell</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transplantation</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and</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brentuximab</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vedotin</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a</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multicentre</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multicohort</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single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arm</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phase</w:instrText>
      </w:r>
      <w:r w:rsidR="00935A5F" w:rsidRPr="00B71D31">
        <w:rPr>
          <w:rFonts w:cs="Times New Roman"/>
          <w:b/>
          <w:i/>
          <w:color w:val="000000" w:themeColor="text1"/>
          <w:u w:val="single"/>
        </w:rPr>
        <w:instrText xml:space="preserve"> 2 </w:instrText>
      </w:r>
      <w:r w:rsidR="00935A5F">
        <w:rPr>
          <w:rFonts w:cs="Times New Roman"/>
          <w:b/>
          <w:i/>
          <w:color w:val="000000" w:themeColor="text1"/>
          <w:u w:val="single"/>
          <w:lang w:val="en-US"/>
        </w:rPr>
        <w:instrText>trial</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type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journal</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volume</w:instrText>
      </w:r>
      <w:r w:rsidR="00935A5F" w:rsidRPr="00B71D31">
        <w:rPr>
          <w:rFonts w:cs="Times New Roman"/>
          <w:b/>
          <w:i/>
          <w:color w:val="000000" w:themeColor="text1"/>
          <w:u w:val="single"/>
        </w:rPr>
        <w:instrText>":"17"},"</w:instrText>
      </w:r>
      <w:r w:rsidR="00935A5F">
        <w:rPr>
          <w:rFonts w:cs="Times New Roman"/>
          <w:b/>
          <w:i/>
          <w:color w:val="000000" w:themeColor="text1"/>
          <w:u w:val="single"/>
          <w:lang w:val="en-US"/>
        </w:rPr>
        <w:instrText>uris</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http</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www</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mendeley</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com</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documents</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uuid</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a</w:instrText>
      </w:r>
      <w:r w:rsidR="00935A5F" w:rsidRPr="00B71D31">
        <w:rPr>
          <w:rFonts w:cs="Times New Roman"/>
          <w:b/>
          <w:i/>
          <w:color w:val="000000" w:themeColor="text1"/>
          <w:u w:val="single"/>
        </w:rPr>
        <w:instrText>494</w:instrText>
      </w:r>
      <w:r w:rsidR="00935A5F">
        <w:rPr>
          <w:rFonts w:cs="Times New Roman"/>
          <w:b/>
          <w:i/>
          <w:color w:val="000000" w:themeColor="text1"/>
          <w:u w:val="single"/>
          <w:lang w:val="en-US"/>
        </w:rPr>
        <w:instrText>de</w:instrText>
      </w:r>
      <w:r w:rsidR="00935A5F" w:rsidRPr="00B71D31">
        <w:rPr>
          <w:rFonts w:cs="Times New Roman"/>
          <w:b/>
          <w:i/>
          <w:color w:val="000000" w:themeColor="text1"/>
          <w:u w:val="single"/>
        </w:rPr>
        <w:instrText>98-</w:instrText>
      </w:r>
      <w:r w:rsidR="00935A5F">
        <w:rPr>
          <w:rFonts w:cs="Times New Roman"/>
          <w:b/>
          <w:i/>
          <w:color w:val="000000" w:themeColor="text1"/>
          <w:u w:val="single"/>
          <w:lang w:val="en-US"/>
        </w:rPr>
        <w:instrText>ec</w:instrText>
      </w:r>
      <w:r w:rsidR="00935A5F" w:rsidRPr="00B71D31">
        <w:rPr>
          <w:rFonts w:cs="Times New Roman"/>
          <w:b/>
          <w:i/>
          <w:color w:val="000000" w:themeColor="text1"/>
          <w:u w:val="single"/>
        </w:rPr>
        <w:instrText>50-3</w:instrText>
      </w:r>
      <w:r w:rsidR="00935A5F">
        <w:rPr>
          <w:rFonts w:cs="Times New Roman"/>
          <w:b/>
          <w:i/>
          <w:color w:val="000000" w:themeColor="text1"/>
          <w:u w:val="single"/>
          <w:lang w:val="en-US"/>
        </w:rPr>
        <w:instrText>dd</w:instrText>
      </w:r>
      <w:r w:rsidR="00935A5F" w:rsidRPr="00B71D31">
        <w:rPr>
          <w:rFonts w:cs="Times New Roman"/>
          <w:b/>
          <w:i/>
          <w:color w:val="000000" w:themeColor="text1"/>
          <w:u w:val="single"/>
        </w:rPr>
        <w:instrText>7-</w:instrText>
      </w:r>
      <w:r w:rsidR="00935A5F">
        <w:rPr>
          <w:rFonts w:cs="Times New Roman"/>
          <w:b/>
          <w:i/>
          <w:color w:val="000000" w:themeColor="text1"/>
          <w:u w:val="single"/>
          <w:lang w:val="en-US"/>
        </w:rPr>
        <w:instrText>ad</w:instrText>
      </w:r>
      <w:r w:rsidR="00935A5F" w:rsidRPr="00B71D31">
        <w:rPr>
          <w:rFonts w:cs="Times New Roman"/>
          <w:b/>
          <w:i/>
          <w:color w:val="000000" w:themeColor="text1"/>
          <w:u w:val="single"/>
        </w:rPr>
        <w:instrText>11-20</w:instrText>
      </w:r>
      <w:r w:rsidR="00935A5F">
        <w:rPr>
          <w:rFonts w:cs="Times New Roman"/>
          <w:b/>
          <w:i/>
          <w:color w:val="000000" w:themeColor="text1"/>
          <w:u w:val="single"/>
          <w:lang w:val="en-US"/>
        </w:rPr>
        <w:instrText>b</w:instrText>
      </w:r>
      <w:r w:rsidR="00935A5F" w:rsidRPr="00B71D31">
        <w:rPr>
          <w:rFonts w:cs="Times New Roman"/>
          <w:b/>
          <w:i/>
          <w:color w:val="000000" w:themeColor="text1"/>
          <w:u w:val="single"/>
        </w:rPr>
        <w:instrText>34</w:instrText>
      </w:r>
      <w:r w:rsidR="00935A5F">
        <w:rPr>
          <w:rFonts w:cs="Times New Roman"/>
          <w:b/>
          <w:i/>
          <w:color w:val="000000" w:themeColor="text1"/>
          <w:u w:val="single"/>
          <w:lang w:val="en-US"/>
        </w:rPr>
        <w:instrText>ee</w:instrText>
      </w:r>
      <w:r w:rsidR="00935A5F" w:rsidRPr="00B71D31">
        <w:rPr>
          <w:rFonts w:cs="Times New Roman"/>
          <w:b/>
          <w:i/>
          <w:color w:val="000000" w:themeColor="text1"/>
          <w:u w:val="single"/>
        </w:rPr>
        <w:instrText>03662"]}],"</w:instrText>
      </w:r>
      <w:r w:rsidR="00935A5F">
        <w:rPr>
          <w:rFonts w:cs="Times New Roman"/>
          <w:b/>
          <w:i/>
          <w:color w:val="000000" w:themeColor="text1"/>
          <w:u w:val="single"/>
          <w:lang w:val="en-US"/>
        </w:rPr>
        <w:instrText>mendeley</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formattedCitation</w:instrText>
      </w:r>
      <w:r w:rsidR="00935A5F" w:rsidRPr="00B71D31">
        <w:rPr>
          <w:rFonts w:cs="Times New Roman"/>
          <w:b/>
          <w:i/>
          <w:color w:val="000000" w:themeColor="text1"/>
          <w:u w:val="single"/>
        </w:rPr>
        <w:instrText>":"[45,137]","</w:instrText>
      </w:r>
      <w:r w:rsidR="00935A5F">
        <w:rPr>
          <w:rFonts w:cs="Times New Roman"/>
          <w:b/>
          <w:i/>
          <w:color w:val="000000" w:themeColor="text1"/>
          <w:u w:val="single"/>
          <w:lang w:val="en-US"/>
        </w:rPr>
        <w:instrText>plainTextFormattedCitation</w:instrText>
      </w:r>
      <w:r w:rsidR="00935A5F" w:rsidRPr="00B71D31">
        <w:rPr>
          <w:rFonts w:cs="Times New Roman"/>
          <w:b/>
          <w:i/>
          <w:color w:val="000000" w:themeColor="text1"/>
          <w:u w:val="single"/>
        </w:rPr>
        <w:instrText>":"[45,137]","</w:instrText>
      </w:r>
      <w:r w:rsidR="00935A5F">
        <w:rPr>
          <w:rFonts w:cs="Times New Roman"/>
          <w:b/>
          <w:i/>
          <w:color w:val="000000" w:themeColor="text1"/>
          <w:u w:val="single"/>
          <w:lang w:val="en-US"/>
        </w:rPr>
        <w:instrText>previouslyFormattedCitation</w:instrText>
      </w:r>
      <w:r w:rsidR="00935A5F" w:rsidRPr="00B71D31">
        <w:rPr>
          <w:rFonts w:cs="Times New Roman"/>
          <w:b/>
          <w:i/>
          <w:color w:val="000000" w:themeColor="text1"/>
          <w:u w:val="single"/>
        </w:rPr>
        <w:instrText>":"[45,137]"},"</w:instrText>
      </w:r>
      <w:r w:rsidR="00935A5F">
        <w:rPr>
          <w:rFonts w:cs="Times New Roman"/>
          <w:b/>
          <w:i/>
          <w:color w:val="000000" w:themeColor="text1"/>
          <w:u w:val="single"/>
          <w:lang w:val="en-US"/>
        </w:rPr>
        <w:instrText>properties</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noteIndex</w:instrText>
      </w:r>
      <w:r w:rsidR="00935A5F" w:rsidRPr="00B71D31">
        <w:rPr>
          <w:rFonts w:cs="Times New Roman"/>
          <w:b/>
          <w:i/>
          <w:color w:val="000000" w:themeColor="text1"/>
          <w:u w:val="single"/>
        </w:rPr>
        <w:instrText>":0},"</w:instrText>
      </w:r>
      <w:r w:rsidR="00935A5F">
        <w:rPr>
          <w:rFonts w:cs="Times New Roman"/>
          <w:b/>
          <w:i/>
          <w:color w:val="000000" w:themeColor="text1"/>
          <w:u w:val="single"/>
          <w:lang w:val="en-US"/>
        </w:rPr>
        <w:instrText>schema</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https</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github</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com</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citation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style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language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schema</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raw</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master</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csl</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citation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json</w:instrText>
      </w:r>
      <w:r w:rsidR="00935A5F" w:rsidRPr="00B71D31">
        <w:rPr>
          <w:rFonts w:cs="Times New Roman"/>
          <w:b/>
          <w:i/>
          <w:color w:val="000000" w:themeColor="text1"/>
          <w:u w:val="single"/>
        </w:rPr>
        <w:instrText>"}</w:instrText>
      </w:r>
      <w:r w:rsidRPr="00053AE8">
        <w:rPr>
          <w:rFonts w:cs="Times New Roman"/>
          <w:b/>
          <w:i/>
          <w:color w:val="000000" w:themeColor="text1"/>
          <w:u w:val="single"/>
          <w:lang w:val="en-US"/>
        </w:rPr>
        <w:fldChar w:fldCharType="separate"/>
      </w:r>
      <w:r w:rsidR="00053AE8" w:rsidRPr="00053AE8">
        <w:rPr>
          <w:rFonts w:cs="Times New Roman"/>
          <w:noProof/>
          <w:color w:val="000000" w:themeColor="text1"/>
        </w:rPr>
        <w:t>[45,137]</w:t>
      </w:r>
      <w:r w:rsidRPr="00053AE8">
        <w:rPr>
          <w:rFonts w:cs="Times New Roman"/>
          <w:b/>
          <w:i/>
          <w:color w:val="000000" w:themeColor="text1"/>
          <w:u w:val="single"/>
          <w:lang w:val="en-US"/>
        </w:rPr>
        <w:fldChar w:fldCharType="end"/>
      </w:r>
    </w:p>
    <w:p w14:paraId="02C98D33" w14:textId="77777777" w:rsidR="00A16AAE" w:rsidRPr="00CB3251" w:rsidRDefault="00A16AAE" w:rsidP="00A16AAE">
      <w:pPr>
        <w:pStyle w:val="afd"/>
        <w:spacing w:beforeAutospacing="0" w:afterAutospacing="0" w:line="360" w:lineRule="auto"/>
        <w:rPr>
          <w:color w:val="000000" w:themeColor="text1"/>
        </w:rPr>
      </w:pPr>
      <w:r w:rsidRPr="00CB3251">
        <w:rPr>
          <w:color w:val="000000" w:themeColor="text1"/>
        </w:rPr>
        <w:t>Ниволумаб применяют в виде внутривенных инфузий. Рекомендуемая доза ниволумаба составляет 3 мг/кг массы тела в виде 60-минутной внутривенно инфузии каждые 2 недели.  Перед введением препарата следует выдержать его при комнатной температуре 5 минут. Препарат применяется после разведения стерильным 0,9% раствором натрия хлорида для инфузий  до концентрации от 1 до 10 мг/мл; приготовленный раствор перемешивают путем осторожного переворачивания емкости для инфузий. Перед каждой инфузией ниволумаба  необходимо проводить премедикацию (анальгетик/антипиретик, например парацетамол или кетопрофен). Стандартной премедикацией является введение кетопрофена 100 мг внутривенно капельно на 100 мл физ.раствора.</w:t>
      </w:r>
    </w:p>
    <w:p w14:paraId="093A804C" w14:textId="77777777" w:rsidR="00A16AAE" w:rsidRPr="00CB3251" w:rsidRDefault="00A16AAE" w:rsidP="00A16AAE">
      <w:pPr>
        <w:shd w:val="clear" w:color="auto" w:fill="FFFFFF"/>
        <w:textAlignment w:val="baseline"/>
        <w:rPr>
          <w:rFonts w:cs="Times New Roman"/>
          <w:color w:val="000000" w:themeColor="text1"/>
          <w:szCs w:val="24"/>
        </w:rPr>
      </w:pPr>
      <w:r w:rsidRPr="00CB3251">
        <w:rPr>
          <w:rFonts w:cs="Times New Roman"/>
          <w:color w:val="000000" w:themeColor="text1"/>
          <w:szCs w:val="24"/>
          <w:shd w:val="clear" w:color="auto" w:fill="FFFFFF"/>
        </w:rPr>
        <w:t>При применении ниволумаба возможно развитие инфузионных реакций, в т.ч. тяжелых. В случае развития тяжелых инфузионных реакций введение ниволумаба должно быть прекращено, с назначением соответствующей лекарственной терапии (</w:t>
      </w:r>
      <w:r w:rsidRPr="00CB3251">
        <w:rPr>
          <w:rFonts w:eastAsia="Times New Roman" w:cs="Times New Roman"/>
          <w:color w:val="000000" w:themeColor="text1"/>
          <w:szCs w:val="24"/>
          <w:lang w:eastAsia="ru-RU"/>
        </w:rPr>
        <w:t xml:space="preserve">глюкокортикостероиды (например, преднизолон), бронхолитики (например, </w:t>
      </w:r>
      <w:hyperlink r:id="rId20" w:history="1">
        <w:r w:rsidRPr="00CB3251">
          <w:rPr>
            <w:rStyle w:val="affd"/>
            <w:rFonts w:cs="Times New Roman"/>
            <w:color w:val="000000" w:themeColor="text1"/>
            <w:szCs w:val="24"/>
          </w:rPr>
          <w:t>аминофиллин</w:t>
        </w:r>
      </w:hyperlink>
      <w:r w:rsidRPr="00CB3251">
        <w:rPr>
          <w:rFonts w:eastAsia="Times New Roman" w:cs="Times New Roman"/>
          <w:color w:val="000000" w:themeColor="text1"/>
          <w:szCs w:val="24"/>
          <w:lang w:eastAsia="ru-RU"/>
        </w:rPr>
        <w:t xml:space="preserve">), антигистаминные препараты (например, </w:t>
      </w:r>
      <w:hyperlink r:id="rId21" w:history="1">
        <w:r w:rsidRPr="00CB3251">
          <w:rPr>
            <w:rStyle w:val="affd"/>
            <w:rFonts w:cs="Times New Roman"/>
            <w:color w:val="000000" w:themeColor="text1"/>
            <w:szCs w:val="24"/>
          </w:rPr>
          <w:t>клемастин</w:t>
        </w:r>
      </w:hyperlink>
      <w:r w:rsidRPr="00CB3251">
        <w:rPr>
          <w:rFonts w:eastAsia="Times New Roman" w:cs="Times New Roman"/>
          <w:color w:val="000000" w:themeColor="text1"/>
          <w:szCs w:val="24"/>
          <w:lang w:eastAsia="ru-RU"/>
        </w:rPr>
        <w:t xml:space="preserve">), инфузионная терапия). </w:t>
      </w:r>
      <w:r w:rsidRPr="00CB3251">
        <w:rPr>
          <w:rFonts w:cs="Times New Roman"/>
          <w:color w:val="000000" w:themeColor="text1"/>
          <w:szCs w:val="24"/>
          <w:shd w:val="clear" w:color="auto" w:fill="FFFFFF"/>
        </w:rPr>
        <w:t xml:space="preserve">Пациенты с легкой или умеренной инфузионной реакцией могут продолжать терапию ниволумабом под непрерывным наблюдением и с проведением премедикации в соответствии с действующими стандартами профилактики инфузионных реакций. </w:t>
      </w:r>
      <w:r w:rsidRPr="00CB3251">
        <w:rPr>
          <w:rFonts w:cs="Times New Roman"/>
          <w:color w:val="000000" w:themeColor="text1"/>
          <w:szCs w:val="24"/>
        </w:rPr>
        <w:t xml:space="preserve">При применении ниволумаба возможны тяжелые, в т.ч. отдаленные, побочные реакции, вызванные влиянием на иммунную систему и обусловленные специфическим механизмом его действия, поэтому пациенты в дальнейшем должны находиться под контролем гематолога. </w:t>
      </w:r>
    </w:p>
    <w:p w14:paraId="2458A1E1" w14:textId="77777777" w:rsidR="00A16AAE" w:rsidRPr="00CB3251" w:rsidRDefault="00A16AAE" w:rsidP="00A16AAE">
      <w:pPr>
        <w:pStyle w:val="Normal11"/>
        <w:tabs>
          <w:tab w:val="left" w:pos="0"/>
        </w:tabs>
        <w:spacing w:before="0" w:line="360" w:lineRule="auto"/>
        <w:ind w:left="0" w:firstLine="709"/>
        <w:jc w:val="both"/>
        <w:rPr>
          <w:rFonts w:cs="Times New Roman"/>
          <w:b/>
          <w:i/>
          <w:color w:val="000000" w:themeColor="text1"/>
          <w:highlight w:val="yellow"/>
          <w:u w:val="single"/>
        </w:rPr>
      </w:pPr>
    </w:p>
    <w:p w14:paraId="7746FD08" w14:textId="36859DBA" w:rsidR="00A16AAE" w:rsidRPr="00053AE8" w:rsidRDefault="00A16AAE" w:rsidP="00A16AAE">
      <w:pPr>
        <w:pStyle w:val="Normal11"/>
        <w:tabs>
          <w:tab w:val="left" w:pos="0"/>
        </w:tabs>
        <w:spacing w:before="0" w:line="360" w:lineRule="auto"/>
        <w:ind w:left="0" w:firstLine="709"/>
        <w:jc w:val="both"/>
        <w:rPr>
          <w:rFonts w:cs="Times New Roman"/>
          <w:b/>
          <w:i/>
          <w:color w:val="000000" w:themeColor="text1"/>
          <w:u w:val="single"/>
        </w:rPr>
      </w:pPr>
      <w:r w:rsidRPr="00053AE8">
        <w:rPr>
          <w:rFonts w:cs="Times New Roman"/>
          <w:b/>
          <w:i/>
          <w:color w:val="000000" w:themeColor="text1"/>
          <w:u w:val="single"/>
        </w:rPr>
        <w:t>Пембролизумаб</w:t>
      </w:r>
      <w:r w:rsidRPr="00053AE8">
        <w:rPr>
          <w:rFonts w:cs="Times New Roman"/>
          <w:b/>
          <w:i/>
          <w:color w:val="000000" w:themeColor="text1"/>
          <w:u w:val="single"/>
          <w:lang w:val="en-US"/>
        </w:rPr>
        <w:t xml:space="preserve"> </w:t>
      </w:r>
      <w:r w:rsidRPr="00053AE8">
        <w:rPr>
          <w:rFonts w:cs="Times New Roman"/>
          <w:b/>
          <w:i/>
          <w:color w:val="000000" w:themeColor="text1"/>
          <w:u w:val="single"/>
          <w:lang w:val="en-US"/>
        </w:rPr>
        <w:fldChar w:fldCharType="begin" w:fldLock="1"/>
      </w:r>
      <w:r w:rsidR="00935A5F">
        <w:rPr>
          <w:rFonts w:cs="Times New Roman"/>
          <w:b/>
          <w:i/>
          <w:color w:val="000000" w:themeColor="text1"/>
          <w:u w:val="single"/>
          <w:lang w:val="en-US"/>
        </w:rPr>
        <w:instrText>ADDIN CSL_CITATION {"citationItems":[{"id":"ITEM-1","itemData":{"author":[{"dropping-particle":"","family":"Haanen","given":"J. B.A.G.","non-dropping-particle":"","parse-names":false,"suffix":""},{"dropping-particle":"","family":"Carbonnel","given":"F.","non-dropping-particle":"","parse-names":false,"suffix":""},{"dropping-particle":"","family":"Robert","given":"C.","non-dropping-particle":"","parse-names":false,"suffix":""},{"dropping-particle":"","family":"Kerr","given":"K. M.","non-dropping-particle":"","parse-names":false,"suffix":""},{"dropping-particle":"","family":"Peters","given":"S.","non-dropping-particle":"","parse-names":false,"suffix":""},{"dropping-particle":"","family":"Larkin","given":"J.","non-dropping-particle":"","parse-names":false,"suffix":""},{"dropping-particle":"","family":"Jordan","given":"K.","non-dropping-particle":"","parse-names":false,"suffix":""}],"container-title":"Annals of Oncology","id":"ITEM-1","issue":"Supp. 4","issued":{"date-parts":[["2018"]]},"page":"iv264-iv266","title":"Management of toxicities from immunotherapy: ESMO Clinical Practice Guidelines for diagnosis, treatment and follow-up","type":"article-journal","volume":"29"},"uris":["http://www.mendeley.com/documents/?uuid=891e60f6-27c0-495a-98e2-222a2574c98e"]},{"id":"ITEM-2","itemData":{"DOI":"10.1200/JCO.2016.67.3467","ISSN":"15277755","abstract":"© 2016 by American Society of Clinical.Purpos Classical Hodgkin lymphoma (HL) frequently exhibits genetic alterations leading to overexpressio of the programmed death-1 (PD-1) ligands, suggesting a possible vulnerability to PD-1 blockade. Th phase Ib study KEYNOTE-013 (NCT01953692) tested the safety and efficacy of the anti-PD-antibody pembrolizumab in patients with hematologic malignancies. Based on its genetics, HL wa included as an independent cohort Method We enrolled patients with relapsed or refractory HL whose disease progressed on or after treatmen with brentuximab vedotin. Patients received pembrolizumab, 10 mg/kg every 2 weeks, until diseas progression occurred. Response to treatment was assessed at week 12 and every 8 week thereafter. Principal end points were safety and complete remission (CR) rate Result Thirty-one patients were enrolled; 55% had more than four lines of prior therapy, and 71% ha relapsed after autologous stem cell transplantation. Five patients (16%) experienced grade 3 drugrelate adverse events (AEs); there were no grade 4 AEs or deaths related to treatment. The CR rat was 16% (90% CI, 7% to 31%). In addition, 48% of patients achieved a partial remission, for a overall response rate of 65% (90% CI, 48% to 79%). Most of the responses (70%) lasted longer tha 24 weeks (range, 0.14+ to 74+ weeks), with a median follow-up of 17 months. The progression-fre survival rate was 69% at 24 weeks and 46% at 52 weeks. Biomarker analyses demonstrated a hig prevalence of PD-L1 and PD-L2 expression, treatment-induced expansion of T cells and natural kille cells, and activation of interferon-g, T-cell receptor, and expanded immune-related signaling pathways Conclusion Pembrolizumab was associated with a favorable safety profile. Pembrolizumab treatment induce favorable responses in a heavily pretreated patient cohort, justifying further studies.","author":[{"dropping-particle":"","family":"Armand","given":"Philippe","non-dropping-particle":"","parse-names":false,"suffix":""},{"dropping-particle":"","family":"Shipp","given":"Margaret A.","non-dropping-particle":"","parse-names":false,"suffix":""},{"dropping-particle":"","family":"Ribrag","given":"Vincent","non-dropping-particle":"","parse-names":false,"suffix":""},{"dropping-particle":"","family":"Michot","given":"Jean Marie","non-dropping-particle":"","parse-names":false,"suffix":""},{"dropping-particle":"","family":"Zinzani","given":"Pier Luigi","non-dropping-particle":"","parse-names":false,"suffix":""},{"dropping-particle":"","family":"Kuruvilla","given":"John","non-dropping-particle":"","parse-names":false,"suffix":""},{"dropping-particle":"","family":"Snyder","given":"Ellen S.","non-dropping-particle":"","parse-names":false,"suffix":""},{"dropping-particle":"","family":"Ricart","given":"Alejandro D.","non-dropping-particle":"","parse-names":false,"suffix":""},{"dropping-particle":"","family":"Balakumaran","given":"Arun","non-dropping-particle":"","parse-names":false,"suffix":""},{"dropping-particle":"","family":"Rose","given":"Shelonitda","non-dropping-particle":"","parse-names":false,"suffix":""},{"dropping-particle":"","family":"Moskowitz","given":"Craig H.","non-dropping-particle":"","parse-names":false,"suffix":""}],"container-title":"Journal of Clinical Oncology","id":"ITEM-2","issued":{"date-parts":[["2016"]]},"title":"Programmed death-1 blockade with pembrolizumab in patients with classical hodgkin lymphoma after brentuximab vedotin failure","type":"paper-conference"},"uris":["http://www.mendeley.com/documents/?uuid=fd07a86c-4e6d-357b-a2af-36ffd3a7fb9f"]},{"id":"ITEM-3","itemData":{"DOI":"10.1182/blood.2019000324","ISSN":"15280020","PMID":"31409671","abstract":"Programmed death-1 inhibitors are approved for patients with relapsed or refractory classic Hodgkin lymphoma (RRcHL). We present the 2-year follow-up of the phase 2 KEYNOTE-087 study of pembrolizumab in 210 patients, based on HL progression after autologous stem cell transplantation (ASCT) and subsequent brentuximab vedotin (BV; cohort 1); salvage chemotherapy and BV, with ineligibility for SCT owing to chemorefractory disease (cohort 2); and progression after SCT without BV (cohort 3). With a median follow-up of 27.6 months, the objective response rate (ORR) by blinded independent central review was 71.9% (95% CI, 65.3-77.9), the complete response rate (CRR) was 27.6%, and the partial response (PR) rate was 44.3%. Median duration of response was 16.5 months (range, 0.01 to 27.01 [1, no progressive disease at last assessment]) in all patients, 22.1 months in cohort 1, 11.1 months in cohort 2, and 24.4 months in cohort 3. Median progression-free survival was not reached in all patients with CR: 13.8 months (95% CI, 12.0-22.1) for patients with PR and 10.9 months (95% CI, 5.6-11.1) for patients with stable disease. Median overall survival was not reached in all patients or in any cohort. Treatment-related adverse events (TRAEs) of any grade occurred in 153 (72.9%) patients; grades 3 and 4 occurred in 25 (12.0%) patients; none resulted in death. Results confirmed effective antitumor activity, durability of response, and manageable safety of pembrolizumab monotherapy in RRcHL, regardless of prior treatment and including chemoresistant cHL. This trial was registered at www.clinicaltrials.gov as #NCT02453594.","author":[{"dropping-particle":"","family":"Chen","given":"Robert","non-dropping-particle":"","parse-names":false,"suffix":""},{"dropping-particle":"","family":"Zinzani","given":"Pier Luigi","non-dropping-particle":"","parse-names":false,"suffix":""},{"dropping-particle":"","family":"Lee","given":"Hun Ju","non-dropping-particle":"","parse-names":false,"suffix":""},{"dropping-particle":"","family":"Armand","given":"Philippe","non-dropping-particle":"","parse-names":false,"suffix":""},{"dropping-particle":"","family":"Johnson","given":"Nathalie A.","non-dropping-particle":"","parse-names":false,"suffix":""},{"dropping-particle":"","family":"Brice","given":"Pauline","non-dropping-particle":"","parse-names":false,"suffix":""},{"dropping-particle":"","family":"Radford","given":"John","non-dropping-particle":"","parse-names":false,"suffix":""},{"dropping-particle":"","family":"Ribrag","given":"Vincent","non-dropping-particle":"","parse-names":false,"suffix":""},{"dropping-particle":"","family":"Molin","given":"Daniel","non-dropping-particle":"","parse-names":false,"suffix":""},{"dropping-particle":"","family":"Vassilakopoulos","given":"Theodoros P.","non-dropping-particle":"","parse-names":false,"suffix":""},{"dropping-particle":"","family":"Tomita","given":"Akihiro","non-dropping-particle":"","parse-names":false,"suffix</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dropping</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family</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Tresckow</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given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Bastian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non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dropping</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von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names</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false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suffix</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dropping</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family</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Shipp</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given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Margaret</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A</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non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dropping</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names</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false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suffix</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dropping</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family</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Lin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given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Jianxin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non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dropping</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names</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false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suffix</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dropping</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family</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Kim</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given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Eunhee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non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dropping</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names</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false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suffix</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dropping</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family</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Nahar</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given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Akash</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non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dropping</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names</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false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suffix</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dropping</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family</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Balakumaran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given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Arun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non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dropping</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names</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false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suffix</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dropping</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family</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Moskowitz</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given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Craig</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H</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non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dropping</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names</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false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suffix</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container</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title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Blood</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id</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ITEM</w:instrText>
      </w:r>
      <w:r w:rsidR="00935A5F" w:rsidRPr="00B71D31">
        <w:rPr>
          <w:rFonts w:cs="Times New Roman"/>
          <w:b/>
          <w:i/>
          <w:color w:val="000000" w:themeColor="text1"/>
          <w:u w:val="single"/>
        </w:rPr>
        <w:instrText>-3","</w:instrText>
      </w:r>
      <w:r w:rsidR="00935A5F">
        <w:rPr>
          <w:rFonts w:cs="Times New Roman"/>
          <w:b/>
          <w:i/>
          <w:color w:val="000000" w:themeColor="text1"/>
          <w:u w:val="single"/>
          <w:lang w:val="en-US"/>
        </w:rPr>
        <w:instrText>issue</w:instrText>
      </w:r>
      <w:r w:rsidR="00935A5F" w:rsidRPr="00B71D31">
        <w:rPr>
          <w:rFonts w:cs="Times New Roman"/>
          <w:b/>
          <w:i/>
          <w:color w:val="000000" w:themeColor="text1"/>
          <w:u w:val="single"/>
        </w:rPr>
        <w:instrText>":"14","</w:instrText>
      </w:r>
      <w:r w:rsidR="00935A5F">
        <w:rPr>
          <w:rFonts w:cs="Times New Roman"/>
          <w:b/>
          <w:i/>
          <w:color w:val="000000" w:themeColor="text1"/>
          <w:u w:val="single"/>
          <w:lang w:val="en-US"/>
        </w:rPr>
        <w:instrText>issued</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date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parts</w:instrText>
      </w:r>
      <w:r w:rsidR="00935A5F" w:rsidRPr="00B71D31">
        <w:rPr>
          <w:rFonts w:cs="Times New Roman"/>
          <w:b/>
          <w:i/>
          <w:color w:val="000000" w:themeColor="text1"/>
          <w:u w:val="single"/>
        </w:rPr>
        <w:instrText>":[["2019","10","3"]]},"</w:instrText>
      </w:r>
      <w:r w:rsidR="00935A5F">
        <w:rPr>
          <w:rFonts w:cs="Times New Roman"/>
          <w:b/>
          <w:i/>
          <w:color w:val="000000" w:themeColor="text1"/>
          <w:u w:val="single"/>
          <w:lang w:val="en-US"/>
        </w:rPr>
        <w:instrText>page</w:instrText>
      </w:r>
      <w:r w:rsidR="00935A5F" w:rsidRPr="00B71D31">
        <w:rPr>
          <w:rFonts w:cs="Times New Roman"/>
          <w:b/>
          <w:i/>
          <w:color w:val="000000" w:themeColor="text1"/>
          <w:u w:val="single"/>
        </w:rPr>
        <w:instrText>":"1144-1153","</w:instrText>
      </w:r>
      <w:r w:rsidR="00935A5F">
        <w:rPr>
          <w:rFonts w:cs="Times New Roman"/>
          <w:b/>
          <w:i/>
          <w:color w:val="000000" w:themeColor="text1"/>
          <w:u w:val="single"/>
          <w:lang w:val="en-US"/>
        </w:rPr>
        <w:instrText>publisher</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American</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Society</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of</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Hematology</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title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Pembrolizumab</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in</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relapsed</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or</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refractory</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Hodgkin</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lymphoma</w:instrText>
      </w:r>
      <w:r w:rsidR="00935A5F" w:rsidRPr="00B71D31">
        <w:rPr>
          <w:rFonts w:cs="Times New Roman"/>
          <w:b/>
          <w:i/>
          <w:color w:val="000000" w:themeColor="text1"/>
          <w:u w:val="single"/>
        </w:rPr>
        <w:instrText>: 2-</w:instrText>
      </w:r>
      <w:r w:rsidR="00935A5F">
        <w:rPr>
          <w:rFonts w:cs="Times New Roman"/>
          <w:b/>
          <w:i/>
          <w:color w:val="000000" w:themeColor="text1"/>
          <w:u w:val="single"/>
          <w:lang w:val="en-US"/>
        </w:rPr>
        <w:instrText>year</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follow</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up</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of</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KEYNOTE</w:instrText>
      </w:r>
      <w:r w:rsidR="00935A5F" w:rsidRPr="00B71D31">
        <w:rPr>
          <w:rFonts w:cs="Times New Roman"/>
          <w:b/>
          <w:i/>
          <w:color w:val="000000" w:themeColor="text1"/>
          <w:u w:val="single"/>
        </w:rPr>
        <w:instrText>-087","</w:instrText>
      </w:r>
      <w:r w:rsidR="00935A5F">
        <w:rPr>
          <w:rFonts w:cs="Times New Roman"/>
          <w:b/>
          <w:i/>
          <w:color w:val="000000" w:themeColor="text1"/>
          <w:u w:val="single"/>
          <w:lang w:val="en-US"/>
        </w:rPr>
        <w:instrText>type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journal</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volume</w:instrText>
      </w:r>
      <w:r w:rsidR="00935A5F" w:rsidRPr="00B71D31">
        <w:rPr>
          <w:rFonts w:cs="Times New Roman"/>
          <w:b/>
          <w:i/>
          <w:color w:val="000000" w:themeColor="text1"/>
          <w:u w:val="single"/>
        </w:rPr>
        <w:instrText>":"134"},"</w:instrText>
      </w:r>
      <w:r w:rsidR="00935A5F">
        <w:rPr>
          <w:rFonts w:cs="Times New Roman"/>
          <w:b/>
          <w:i/>
          <w:color w:val="000000" w:themeColor="text1"/>
          <w:u w:val="single"/>
          <w:lang w:val="en-US"/>
        </w:rPr>
        <w:instrText>uris</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http</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www</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mendeley</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com</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documents</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uuid</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w:instrText>
      </w:r>
      <w:r w:rsidR="00935A5F" w:rsidRPr="00B71D31">
        <w:rPr>
          <w:rFonts w:cs="Times New Roman"/>
          <w:b/>
          <w:i/>
          <w:color w:val="000000" w:themeColor="text1"/>
          <w:u w:val="single"/>
        </w:rPr>
        <w:instrText>2031</w:instrText>
      </w:r>
      <w:r w:rsidR="00935A5F">
        <w:rPr>
          <w:rFonts w:cs="Times New Roman"/>
          <w:b/>
          <w:i/>
          <w:color w:val="000000" w:themeColor="text1"/>
          <w:u w:val="single"/>
          <w:lang w:val="en-US"/>
        </w:rPr>
        <w:instrText>b</w:instrText>
      </w:r>
      <w:r w:rsidR="00935A5F" w:rsidRPr="00B71D31">
        <w:rPr>
          <w:rFonts w:cs="Times New Roman"/>
          <w:b/>
          <w:i/>
          <w:color w:val="000000" w:themeColor="text1"/>
          <w:u w:val="single"/>
        </w:rPr>
        <w:instrText>43-55</w:instrText>
      </w:r>
      <w:r w:rsidR="00935A5F">
        <w:rPr>
          <w:rFonts w:cs="Times New Roman"/>
          <w:b/>
          <w:i/>
          <w:color w:val="000000" w:themeColor="text1"/>
          <w:u w:val="single"/>
          <w:lang w:val="en-US"/>
        </w:rPr>
        <w:instrText>c</w:instrText>
      </w:r>
      <w:r w:rsidR="00935A5F" w:rsidRPr="00B71D31">
        <w:rPr>
          <w:rFonts w:cs="Times New Roman"/>
          <w:b/>
          <w:i/>
          <w:color w:val="000000" w:themeColor="text1"/>
          <w:u w:val="single"/>
        </w:rPr>
        <w:instrText>1-3827-</w:instrText>
      </w:r>
      <w:r w:rsidR="00935A5F">
        <w:rPr>
          <w:rFonts w:cs="Times New Roman"/>
          <w:b/>
          <w:i/>
          <w:color w:val="000000" w:themeColor="text1"/>
          <w:u w:val="single"/>
          <w:lang w:val="en-US"/>
        </w:rPr>
        <w:instrText>b</w:instrText>
      </w:r>
      <w:r w:rsidR="00935A5F" w:rsidRPr="00B71D31">
        <w:rPr>
          <w:rFonts w:cs="Times New Roman"/>
          <w:b/>
          <w:i/>
          <w:color w:val="000000" w:themeColor="text1"/>
          <w:u w:val="single"/>
        </w:rPr>
        <w:instrText>6</w:instrText>
      </w:r>
      <w:r w:rsidR="00935A5F">
        <w:rPr>
          <w:rFonts w:cs="Times New Roman"/>
          <w:b/>
          <w:i/>
          <w:color w:val="000000" w:themeColor="text1"/>
          <w:u w:val="single"/>
          <w:lang w:val="en-US"/>
        </w:rPr>
        <w:instrText>cd</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dd</w:instrText>
      </w:r>
      <w:r w:rsidR="00935A5F" w:rsidRPr="00B71D31">
        <w:rPr>
          <w:rFonts w:cs="Times New Roman"/>
          <w:b/>
          <w:i/>
          <w:color w:val="000000" w:themeColor="text1"/>
          <w:u w:val="single"/>
        </w:rPr>
        <w:instrText>3</w:instrText>
      </w:r>
      <w:r w:rsidR="00935A5F">
        <w:rPr>
          <w:rFonts w:cs="Times New Roman"/>
          <w:b/>
          <w:i/>
          <w:color w:val="000000" w:themeColor="text1"/>
          <w:u w:val="single"/>
          <w:lang w:val="en-US"/>
        </w:rPr>
        <w:instrText>d</w:instrText>
      </w:r>
      <w:r w:rsidR="00935A5F" w:rsidRPr="00B71D31">
        <w:rPr>
          <w:rFonts w:cs="Times New Roman"/>
          <w:b/>
          <w:i/>
          <w:color w:val="000000" w:themeColor="text1"/>
          <w:u w:val="single"/>
        </w:rPr>
        <w:instrText>64001</w:instrText>
      </w:r>
      <w:r w:rsidR="00935A5F">
        <w:rPr>
          <w:rFonts w:cs="Times New Roman"/>
          <w:b/>
          <w:i/>
          <w:color w:val="000000" w:themeColor="text1"/>
          <w:u w:val="single"/>
          <w:lang w:val="en-US"/>
        </w:rPr>
        <w:instrText>e</w:instrText>
      </w:r>
      <w:r w:rsidR="00935A5F" w:rsidRPr="00B71D31">
        <w:rPr>
          <w:rFonts w:cs="Times New Roman"/>
          <w:b/>
          <w:i/>
          <w:color w:val="000000" w:themeColor="text1"/>
          <w:u w:val="single"/>
        </w:rPr>
        <w:instrText>2</w:instrText>
      </w:r>
      <w:r w:rsidR="00935A5F">
        <w:rPr>
          <w:rFonts w:cs="Times New Roman"/>
          <w:b/>
          <w:i/>
          <w:color w:val="000000" w:themeColor="text1"/>
          <w:u w:val="single"/>
          <w:lang w:val="en-US"/>
        </w:rPr>
        <w:instrText>d</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mendeley</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formattedCitation</w:instrText>
      </w:r>
      <w:r w:rsidR="00935A5F" w:rsidRPr="00B71D31">
        <w:rPr>
          <w:rFonts w:cs="Times New Roman"/>
          <w:b/>
          <w:i/>
          <w:color w:val="000000" w:themeColor="text1"/>
          <w:u w:val="single"/>
        </w:rPr>
        <w:instrText>":"[46,137,138]","</w:instrText>
      </w:r>
      <w:r w:rsidR="00935A5F">
        <w:rPr>
          <w:rFonts w:cs="Times New Roman"/>
          <w:b/>
          <w:i/>
          <w:color w:val="000000" w:themeColor="text1"/>
          <w:u w:val="single"/>
          <w:lang w:val="en-US"/>
        </w:rPr>
        <w:instrText>plainTextFormattedCitation</w:instrText>
      </w:r>
      <w:r w:rsidR="00935A5F" w:rsidRPr="00B71D31">
        <w:rPr>
          <w:rFonts w:cs="Times New Roman"/>
          <w:b/>
          <w:i/>
          <w:color w:val="000000" w:themeColor="text1"/>
          <w:u w:val="single"/>
        </w:rPr>
        <w:instrText>":"[46,137,138]","</w:instrText>
      </w:r>
      <w:r w:rsidR="00935A5F">
        <w:rPr>
          <w:rFonts w:cs="Times New Roman"/>
          <w:b/>
          <w:i/>
          <w:color w:val="000000" w:themeColor="text1"/>
          <w:u w:val="single"/>
          <w:lang w:val="en-US"/>
        </w:rPr>
        <w:instrText>previouslyFormattedCitation</w:instrText>
      </w:r>
      <w:r w:rsidR="00935A5F" w:rsidRPr="00B71D31">
        <w:rPr>
          <w:rFonts w:cs="Times New Roman"/>
          <w:b/>
          <w:i/>
          <w:color w:val="000000" w:themeColor="text1"/>
          <w:u w:val="single"/>
        </w:rPr>
        <w:instrText>":"[46,137,138]"},"</w:instrText>
      </w:r>
      <w:r w:rsidR="00935A5F">
        <w:rPr>
          <w:rFonts w:cs="Times New Roman"/>
          <w:b/>
          <w:i/>
          <w:color w:val="000000" w:themeColor="text1"/>
          <w:u w:val="single"/>
          <w:lang w:val="en-US"/>
        </w:rPr>
        <w:instrText>properties</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noteIndex</w:instrText>
      </w:r>
      <w:r w:rsidR="00935A5F" w:rsidRPr="00B71D31">
        <w:rPr>
          <w:rFonts w:cs="Times New Roman"/>
          <w:b/>
          <w:i/>
          <w:color w:val="000000" w:themeColor="text1"/>
          <w:u w:val="single"/>
        </w:rPr>
        <w:instrText>":0},"</w:instrText>
      </w:r>
      <w:r w:rsidR="00935A5F">
        <w:rPr>
          <w:rFonts w:cs="Times New Roman"/>
          <w:b/>
          <w:i/>
          <w:color w:val="000000" w:themeColor="text1"/>
          <w:u w:val="single"/>
          <w:lang w:val="en-US"/>
        </w:rPr>
        <w:instrText>schema</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https</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github</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com</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citation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style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language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schema</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raw</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master</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csl</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citation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json</w:instrText>
      </w:r>
      <w:r w:rsidR="00935A5F" w:rsidRPr="00B71D31">
        <w:rPr>
          <w:rFonts w:cs="Times New Roman"/>
          <w:b/>
          <w:i/>
          <w:color w:val="000000" w:themeColor="text1"/>
          <w:u w:val="single"/>
        </w:rPr>
        <w:instrText>"}</w:instrText>
      </w:r>
      <w:r w:rsidRPr="00053AE8">
        <w:rPr>
          <w:rFonts w:cs="Times New Roman"/>
          <w:b/>
          <w:i/>
          <w:color w:val="000000" w:themeColor="text1"/>
          <w:u w:val="single"/>
          <w:lang w:val="en-US"/>
        </w:rPr>
        <w:fldChar w:fldCharType="separate"/>
      </w:r>
      <w:r w:rsidR="00053AE8" w:rsidRPr="00053AE8">
        <w:rPr>
          <w:rFonts w:cs="Times New Roman"/>
          <w:noProof/>
          <w:color w:val="000000" w:themeColor="text1"/>
        </w:rPr>
        <w:t>[46,137,138]</w:t>
      </w:r>
      <w:r w:rsidRPr="00053AE8">
        <w:rPr>
          <w:rFonts w:cs="Times New Roman"/>
          <w:b/>
          <w:i/>
          <w:color w:val="000000" w:themeColor="text1"/>
          <w:u w:val="single"/>
          <w:lang w:val="en-US"/>
        </w:rPr>
        <w:fldChar w:fldCharType="end"/>
      </w:r>
    </w:p>
    <w:p w14:paraId="796617B9" w14:textId="77777777" w:rsidR="00A16AAE" w:rsidRPr="00CB3251" w:rsidRDefault="00A16AAE" w:rsidP="00A16AAE">
      <w:pPr>
        <w:rPr>
          <w:rFonts w:eastAsia="Times New Roman" w:cs="Times New Roman"/>
          <w:color w:val="000000" w:themeColor="text1"/>
          <w:szCs w:val="24"/>
          <w:lang w:eastAsia="ru-RU"/>
        </w:rPr>
      </w:pPr>
      <w:r w:rsidRPr="00CB3251">
        <w:rPr>
          <w:rFonts w:cs="Times New Roman"/>
          <w:color w:val="000000" w:themeColor="text1"/>
          <w:szCs w:val="24"/>
        </w:rPr>
        <w:t xml:space="preserve">Рекомендованная доза препарата пембролизумаб составляет 2 мг/кг. Препарат вводится в виде внутривенной инфузии в течение 30 минут каждые 3 недели. </w:t>
      </w:r>
      <w:r w:rsidRPr="00CB3251">
        <w:rPr>
          <w:rFonts w:eastAsia="Times New Roman" w:cs="Times New Roman"/>
          <w:color w:val="000000" w:themeColor="text1"/>
          <w:szCs w:val="24"/>
          <w:lang w:eastAsia="ru-RU"/>
        </w:rPr>
        <w:t xml:space="preserve">Необходимо довести температуру флакона с препаратом до комнатной температуры. Флакон с препаратом до разведения может находиться вне холодильника (при температуре не более 25°С) в течение 24 ч. </w:t>
      </w:r>
      <w:r w:rsidRPr="00CB3251">
        <w:rPr>
          <w:rFonts w:cs="Times New Roman"/>
          <w:color w:val="000000" w:themeColor="text1"/>
          <w:szCs w:val="24"/>
        </w:rPr>
        <w:t xml:space="preserve">Требуемый объем (до 4 мл, 100 мг) препарата набирается и переносится в инфузионный мешок, содержащий 0,9% раствор хлорида натрия для приготовления разведенного раствора с конечной концентрацией от 1 до 10 мг/мл. Разведенный раствор перемешивают, осторожно переворачивая инфузионный мешок. </w:t>
      </w:r>
      <w:r w:rsidRPr="00CB3251">
        <w:rPr>
          <w:rFonts w:eastAsia="Times New Roman" w:cs="Times New Roman"/>
          <w:color w:val="000000" w:themeColor="text1"/>
          <w:szCs w:val="24"/>
          <w:lang w:eastAsia="ru-RU"/>
        </w:rPr>
        <w:t>В случае если разведенный раствор не используется непосредственно после приготовления, его допускается хранить при комнатной температуре суммарно в течение до 6 ч., или в холодильнике при температуре от 2 до 8°С, в течение не более 24 ч от времени приготовления разведенного раствора до завершения инфузии. Перед использованием инфузионные мешки необходимо довести до комнатной температуры.</w:t>
      </w:r>
    </w:p>
    <w:p w14:paraId="5CA90785" w14:textId="77777777" w:rsidR="00A16AAE" w:rsidRPr="00CB3251" w:rsidRDefault="00A16AAE" w:rsidP="00A16AAE">
      <w:pPr>
        <w:rPr>
          <w:rFonts w:cs="Times New Roman"/>
          <w:color w:val="000000" w:themeColor="text1"/>
          <w:szCs w:val="24"/>
        </w:rPr>
      </w:pPr>
      <w:r w:rsidRPr="00CB3251">
        <w:rPr>
          <w:rFonts w:cs="Times New Roman"/>
          <w:color w:val="000000" w:themeColor="text1"/>
          <w:szCs w:val="24"/>
        </w:rPr>
        <w:t>Перед каждой инфузией ниволумаба необходимо проводить премедикацию (анальгетик/антипиретик, например парацетамол или кетопрофен) – например, введение кетопрофена 100 мг внутривенно капельно на 100 мл физ.раствора.</w:t>
      </w:r>
    </w:p>
    <w:p w14:paraId="5B926822" w14:textId="77777777" w:rsidR="00A16AAE" w:rsidRPr="00CB3251" w:rsidRDefault="00A16AAE" w:rsidP="00A16AAE">
      <w:pPr>
        <w:rPr>
          <w:rFonts w:cs="Times New Roman"/>
          <w:color w:val="000000" w:themeColor="text1"/>
          <w:szCs w:val="24"/>
          <w:shd w:val="clear" w:color="auto" w:fill="FFFFFF"/>
        </w:rPr>
      </w:pPr>
      <w:r w:rsidRPr="00CB3251">
        <w:rPr>
          <w:rFonts w:cs="Times New Roman"/>
          <w:color w:val="000000" w:themeColor="text1"/>
          <w:szCs w:val="24"/>
          <w:shd w:val="clear" w:color="auto" w:fill="FFFFFF"/>
        </w:rPr>
        <w:t xml:space="preserve">При применении </w:t>
      </w:r>
      <w:r w:rsidRPr="00CB3251">
        <w:rPr>
          <w:rFonts w:cs="Times New Roman"/>
          <w:color w:val="000000" w:themeColor="text1"/>
          <w:szCs w:val="24"/>
        </w:rPr>
        <w:t>пембролизумаб</w:t>
      </w:r>
      <w:r w:rsidRPr="00CB3251">
        <w:rPr>
          <w:rFonts w:cs="Times New Roman"/>
          <w:color w:val="000000" w:themeColor="text1"/>
          <w:szCs w:val="24"/>
          <w:shd w:val="clear" w:color="auto" w:fill="FFFFFF"/>
        </w:rPr>
        <w:t xml:space="preserve">а возможно развитие инфузионных реакций, в том числе тяжелых (редко). У пациентов с легкой или умеренной степенью тяжести инфузионных реакций может рассматриваться возможность продолжения приема пембролизумаба под тщательным наблюдением врача; премедикацией посредством </w:t>
      </w:r>
      <w:r w:rsidRPr="00CB3251">
        <w:rPr>
          <w:rFonts w:cs="Times New Roman"/>
          <w:color w:val="000000" w:themeColor="text1"/>
          <w:szCs w:val="24"/>
        </w:rPr>
        <w:t>анальгетика/антипиретика</w:t>
      </w:r>
      <w:r w:rsidRPr="00CB3251">
        <w:rPr>
          <w:rFonts w:cs="Times New Roman"/>
          <w:color w:val="000000" w:themeColor="text1"/>
          <w:szCs w:val="24"/>
          <w:shd w:val="clear" w:color="auto" w:fill="FFFFFF"/>
        </w:rPr>
        <w:t xml:space="preserve"> и антигистаминных препаратов. При тяжелой степени тяжести инфузионной реакции необходимо прервать инфузию и полностью прекратить прием препарата с назначением соответствующей лекарственной терапии – </w:t>
      </w:r>
      <w:r w:rsidRPr="00CB3251">
        <w:rPr>
          <w:rFonts w:eastAsia="Times New Roman" w:cs="Times New Roman"/>
          <w:color w:val="000000" w:themeColor="text1"/>
          <w:szCs w:val="24"/>
          <w:lang w:eastAsia="ru-RU"/>
        </w:rPr>
        <w:t xml:space="preserve">глюкокортикостероиды (например, преднизолон), бронхолитики (например, </w:t>
      </w:r>
      <w:hyperlink r:id="rId22" w:history="1">
        <w:r w:rsidRPr="00CB3251">
          <w:rPr>
            <w:rStyle w:val="affd"/>
            <w:rFonts w:cs="Times New Roman"/>
            <w:color w:val="000000" w:themeColor="text1"/>
            <w:szCs w:val="24"/>
          </w:rPr>
          <w:t>аминофиллин</w:t>
        </w:r>
      </w:hyperlink>
      <w:r w:rsidRPr="00CB3251">
        <w:rPr>
          <w:rFonts w:eastAsia="Times New Roman" w:cs="Times New Roman"/>
          <w:color w:val="000000" w:themeColor="text1"/>
          <w:szCs w:val="24"/>
          <w:lang w:eastAsia="ru-RU"/>
        </w:rPr>
        <w:t xml:space="preserve">), антигистаминные препараты (например, </w:t>
      </w:r>
      <w:hyperlink r:id="rId23" w:history="1">
        <w:r w:rsidRPr="00CB3251">
          <w:rPr>
            <w:rStyle w:val="affd"/>
            <w:rFonts w:cs="Times New Roman"/>
            <w:color w:val="000000" w:themeColor="text1"/>
            <w:szCs w:val="24"/>
          </w:rPr>
          <w:t>клемастин</w:t>
        </w:r>
      </w:hyperlink>
      <w:r w:rsidRPr="00CB3251">
        <w:rPr>
          <w:rFonts w:eastAsia="Times New Roman" w:cs="Times New Roman"/>
          <w:color w:val="000000" w:themeColor="text1"/>
          <w:szCs w:val="24"/>
          <w:lang w:eastAsia="ru-RU"/>
        </w:rPr>
        <w:t>),  инфузионная терапия.</w:t>
      </w:r>
    </w:p>
    <w:p w14:paraId="1AB1D2FF" w14:textId="77777777" w:rsidR="00A16AAE" w:rsidRPr="00CB3251" w:rsidRDefault="00A16AAE" w:rsidP="00A16AAE">
      <w:pPr>
        <w:rPr>
          <w:rFonts w:eastAsia="Times New Roman" w:cs="Times New Roman"/>
          <w:color w:val="000000" w:themeColor="text1"/>
          <w:szCs w:val="24"/>
          <w:lang w:eastAsia="ru-RU"/>
        </w:rPr>
      </w:pPr>
      <w:r w:rsidRPr="00CB3251">
        <w:rPr>
          <w:rFonts w:eastAsia="Times New Roman" w:cs="Times New Roman"/>
          <w:bCs/>
          <w:color w:val="000000" w:themeColor="text1"/>
          <w:szCs w:val="24"/>
          <w:lang w:eastAsia="ru-RU"/>
        </w:rPr>
        <w:t xml:space="preserve">Применение пембролизумаба временно отменяется в случае возникновения иммунологических нежелательных реакций: </w:t>
      </w:r>
      <w:r w:rsidRPr="00CB3251">
        <w:rPr>
          <w:rFonts w:eastAsia="Times New Roman" w:cs="Times New Roman"/>
          <w:color w:val="000000" w:themeColor="text1"/>
          <w:szCs w:val="24"/>
          <w:lang w:eastAsia="ru-RU"/>
        </w:rPr>
        <w:t>пневмонит – 2 ст.; колит – 2 или 3 ст; нефрит – 2 ст; эндокринопатии – 3-4 ст; гепатиты – 2-3ст. В этом случае дополнительно н</w:t>
      </w:r>
      <w:r w:rsidRPr="00CB3251">
        <w:rPr>
          <w:rFonts w:cs="Times New Roman"/>
          <w:color w:val="000000" w:themeColor="text1"/>
          <w:szCs w:val="24"/>
          <w:shd w:val="clear" w:color="auto" w:fill="FFFFFF"/>
        </w:rPr>
        <w:t>азначается терапия глюкокортикостероидами в дозе эквивалентной 1-2 мг/кг метилпреднизолона в сутки.</w:t>
      </w:r>
      <w:r w:rsidRPr="00CB3251">
        <w:rPr>
          <w:rFonts w:eastAsia="Times New Roman" w:cs="Times New Roman"/>
          <w:bCs/>
          <w:color w:val="000000" w:themeColor="text1"/>
          <w:szCs w:val="24"/>
          <w:lang w:eastAsia="ru-RU"/>
        </w:rPr>
        <w:t xml:space="preserve"> При ослаблении нежелательных реакций до 0-1 степени тяжести лечение возобновляется. Применение пембролизумаба  следует отменить без возобновления и назначить </w:t>
      </w:r>
      <w:r w:rsidRPr="00CB3251">
        <w:rPr>
          <w:rFonts w:cs="Times New Roman"/>
          <w:color w:val="000000" w:themeColor="text1"/>
          <w:szCs w:val="24"/>
          <w:shd w:val="clear" w:color="auto" w:fill="FFFFFF"/>
        </w:rPr>
        <w:t>глюкокортикостероидную</w:t>
      </w:r>
      <w:r w:rsidRPr="00CB3251">
        <w:rPr>
          <w:rFonts w:eastAsia="Times New Roman" w:cs="Times New Roman"/>
          <w:bCs/>
          <w:color w:val="000000" w:themeColor="text1"/>
          <w:szCs w:val="24"/>
          <w:lang w:eastAsia="ru-RU"/>
        </w:rPr>
        <w:t xml:space="preserve"> терапию в дозе эквивалентной 2-4 мг/кг метилпреднизолона в сутки  в случае:</w:t>
      </w:r>
    </w:p>
    <w:p w14:paraId="32F830AB" w14:textId="77777777" w:rsidR="00A16AAE" w:rsidRPr="00CB3251" w:rsidRDefault="00A16AAE" w:rsidP="00A16AAE">
      <w:pPr>
        <w:numPr>
          <w:ilvl w:val="0"/>
          <w:numId w:val="104"/>
        </w:numPr>
        <w:ind w:left="0" w:firstLine="709"/>
        <w:rPr>
          <w:rFonts w:eastAsia="Times New Roman" w:cs="Times New Roman"/>
          <w:color w:val="000000" w:themeColor="text1"/>
          <w:szCs w:val="24"/>
          <w:lang w:eastAsia="ru-RU"/>
        </w:rPr>
      </w:pPr>
      <w:r w:rsidRPr="00CB3251">
        <w:rPr>
          <w:rFonts w:eastAsia="Times New Roman" w:cs="Times New Roman"/>
          <w:color w:val="000000" w:themeColor="text1"/>
          <w:szCs w:val="24"/>
          <w:lang w:eastAsia="ru-RU"/>
        </w:rPr>
        <w:t>токсичность, связанная с лечением, не снижается до 0-1 степени тяжести в течение 12 недель после введения последней дозы пембролизумаба;</w:t>
      </w:r>
    </w:p>
    <w:p w14:paraId="766FD427" w14:textId="77777777" w:rsidR="00A16AAE" w:rsidRPr="00CB3251" w:rsidRDefault="00A16AAE" w:rsidP="00A16AAE">
      <w:pPr>
        <w:numPr>
          <w:ilvl w:val="0"/>
          <w:numId w:val="104"/>
        </w:numPr>
        <w:ind w:left="0" w:firstLine="709"/>
        <w:rPr>
          <w:rFonts w:eastAsia="Times New Roman" w:cs="Times New Roman"/>
          <w:color w:val="000000" w:themeColor="text1"/>
          <w:szCs w:val="24"/>
          <w:lang w:eastAsia="ru-RU"/>
        </w:rPr>
      </w:pPr>
      <w:r w:rsidRPr="00CB3251">
        <w:rPr>
          <w:rFonts w:eastAsia="Times New Roman" w:cs="Times New Roman"/>
          <w:color w:val="000000" w:themeColor="text1"/>
          <w:szCs w:val="24"/>
          <w:lang w:eastAsia="ru-RU"/>
        </w:rPr>
        <w:t>повторное развитие любого нежелательного явления тяжелой степени;</w:t>
      </w:r>
    </w:p>
    <w:p w14:paraId="3B2AD9AC" w14:textId="77777777" w:rsidR="00A16AAE" w:rsidRPr="00CB3251" w:rsidRDefault="00A16AAE" w:rsidP="00A16AAE">
      <w:pPr>
        <w:numPr>
          <w:ilvl w:val="0"/>
          <w:numId w:val="104"/>
        </w:numPr>
        <w:ind w:left="0" w:firstLine="709"/>
        <w:rPr>
          <w:rFonts w:eastAsia="Times New Roman" w:cs="Times New Roman"/>
          <w:color w:val="000000" w:themeColor="text1"/>
          <w:szCs w:val="24"/>
          <w:lang w:eastAsia="ru-RU"/>
        </w:rPr>
      </w:pPr>
      <w:r w:rsidRPr="00CB3251">
        <w:rPr>
          <w:rFonts w:eastAsia="Times New Roman" w:cs="Times New Roman"/>
          <w:color w:val="000000" w:themeColor="text1"/>
          <w:szCs w:val="24"/>
          <w:lang w:eastAsia="ru-RU"/>
        </w:rPr>
        <w:t>развитие иммуноопосредованных пульмонитов, нефритов, гепатитов 4 ст, инфузионных реакций 4 ст.</w:t>
      </w:r>
    </w:p>
    <w:p w14:paraId="40889AF3" w14:textId="53AD29D4" w:rsidR="00A16AAE" w:rsidRDefault="00A16AAE" w:rsidP="00A16AAE">
      <w:pPr>
        <w:rPr>
          <w:rFonts w:cs="Times New Roman"/>
          <w:bCs/>
          <w:iCs/>
          <w:color w:val="000000" w:themeColor="text1"/>
          <w:szCs w:val="24"/>
        </w:rPr>
      </w:pPr>
    </w:p>
    <w:p w14:paraId="3B0E5A5C" w14:textId="30CC9129" w:rsidR="00A16AAE" w:rsidRPr="00667623" w:rsidRDefault="00A16AAE" w:rsidP="00A16AAE">
      <w:pPr>
        <w:pStyle w:val="Normal11"/>
        <w:tabs>
          <w:tab w:val="left" w:pos="0"/>
        </w:tabs>
        <w:spacing w:before="0" w:line="360" w:lineRule="auto"/>
        <w:ind w:left="0" w:firstLine="709"/>
        <w:jc w:val="both"/>
        <w:rPr>
          <w:rFonts w:cs="Times New Roman"/>
          <w:b/>
          <w:i/>
          <w:color w:val="000000" w:themeColor="text1"/>
          <w:u w:val="single"/>
        </w:rPr>
      </w:pPr>
      <w:r w:rsidRPr="00053AE8">
        <w:rPr>
          <w:rFonts w:cs="Times New Roman"/>
          <w:b/>
          <w:i/>
          <w:color w:val="000000" w:themeColor="text1"/>
          <w:u w:val="single"/>
        </w:rPr>
        <w:t xml:space="preserve">Ритуксимаб </w:t>
      </w:r>
      <w:r w:rsidRPr="00053AE8">
        <w:rPr>
          <w:rFonts w:cs="Times New Roman"/>
          <w:b/>
          <w:i/>
          <w:color w:val="000000" w:themeColor="text1"/>
          <w:u w:val="single"/>
          <w:lang w:val="en-US"/>
        </w:rPr>
        <w:fldChar w:fldCharType="begin" w:fldLock="1"/>
      </w:r>
      <w:r w:rsidR="00935A5F">
        <w:rPr>
          <w:rFonts w:cs="Times New Roman"/>
          <w:b/>
          <w:i/>
          <w:color w:val="000000" w:themeColor="text1"/>
          <w:u w:val="single"/>
          <w:lang w:val="en-US"/>
        </w:rPr>
        <w:instrText>ADDIN</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CSL</w:instrText>
      </w:r>
      <w:r w:rsidR="00935A5F" w:rsidRPr="00B71D31">
        <w:rPr>
          <w:rFonts w:cs="Times New Roman"/>
          <w:b/>
          <w:i/>
          <w:color w:val="000000" w:themeColor="text1"/>
          <w:u w:val="single"/>
        </w:rPr>
        <w:instrText>_</w:instrText>
      </w:r>
      <w:r w:rsidR="00935A5F">
        <w:rPr>
          <w:rFonts w:cs="Times New Roman"/>
          <w:b/>
          <w:i/>
          <w:color w:val="000000" w:themeColor="text1"/>
          <w:u w:val="single"/>
          <w:lang w:val="en-US"/>
        </w:rPr>
        <w:instrText>CITATION</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citationItems</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id</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ITEM</w:instrText>
      </w:r>
      <w:r w:rsidR="00935A5F" w:rsidRPr="00B71D31">
        <w:rPr>
          <w:rFonts w:cs="Times New Roman"/>
          <w:b/>
          <w:i/>
          <w:color w:val="000000" w:themeColor="text1"/>
          <w:u w:val="single"/>
        </w:rPr>
        <w:instrText>-1","</w:instrText>
      </w:r>
      <w:r w:rsidR="00935A5F">
        <w:rPr>
          <w:rFonts w:cs="Times New Roman"/>
          <w:b/>
          <w:i/>
          <w:color w:val="000000" w:themeColor="text1"/>
          <w:u w:val="single"/>
          <w:lang w:val="en-US"/>
        </w:rPr>
        <w:instrText>itemData</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author</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dropping</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family</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Haanen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given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J</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B</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A</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G</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non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dropping</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names</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false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suffix</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dropping</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family</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Carbonnel</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given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non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dropping</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names</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false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suffix</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dropping</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family</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Robert</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given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C</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non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dropping</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names</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false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suffix</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dropping</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family</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Kerr</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given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K</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M</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non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dropping</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names</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false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suffix</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dropping</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family</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Peters</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given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S</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non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dropping</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names</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false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suffix</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dropping</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family</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Larkin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given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J</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non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dropping</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names</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false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suffix</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dropping</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family</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Jordan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given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K</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non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dropping</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names</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false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suffix</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container</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title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Annals</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of</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Oncology</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id</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ITEM</w:instrText>
      </w:r>
      <w:r w:rsidR="00935A5F" w:rsidRPr="00B71D31">
        <w:rPr>
          <w:rFonts w:cs="Times New Roman"/>
          <w:b/>
          <w:i/>
          <w:color w:val="000000" w:themeColor="text1"/>
          <w:u w:val="single"/>
        </w:rPr>
        <w:instrText>-1","</w:instrText>
      </w:r>
      <w:r w:rsidR="00935A5F">
        <w:rPr>
          <w:rFonts w:cs="Times New Roman"/>
          <w:b/>
          <w:i/>
          <w:color w:val="000000" w:themeColor="text1"/>
          <w:u w:val="single"/>
          <w:lang w:val="en-US"/>
        </w:rPr>
        <w:instrText>issue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Supp</w:instrText>
      </w:r>
      <w:r w:rsidR="00935A5F" w:rsidRPr="00B71D31">
        <w:rPr>
          <w:rFonts w:cs="Times New Roman"/>
          <w:b/>
          <w:i/>
          <w:color w:val="000000" w:themeColor="text1"/>
          <w:u w:val="single"/>
        </w:rPr>
        <w:instrText>. 4","</w:instrText>
      </w:r>
      <w:r w:rsidR="00935A5F">
        <w:rPr>
          <w:rFonts w:cs="Times New Roman"/>
          <w:b/>
          <w:i/>
          <w:color w:val="000000" w:themeColor="text1"/>
          <w:u w:val="single"/>
          <w:lang w:val="en-US"/>
        </w:rPr>
        <w:instrText>issued</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date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parts</w:instrText>
      </w:r>
      <w:r w:rsidR="00935A5F" w:rsidRPr="00B71D31">
        <w:rPr>
          <w:rFonts w:cs="Times New Roman"/>
          <w:b/>
          <w:i/>
          <w:color w:val="000000" w:themeColor="text1"/>
          <w:u w:val="single"/>
        </w:rPr>
        <w:instrText>":[["2018"]]},"</w:instrText>
      </w:r>
      <w:r w:rsidR="00935A5F">
        <w:rPr>
          <w:rFonts w:cs="Times New Roman"/>
          <w:b/>
          <w:i/>
          <w:color w:val="000000" w:themeColor="text1"/>
          <w:u w:val="single"/>
          <w:lang w:val="en-US"/>
        </w:rPr>
        <w:instrText>page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iv</w:instrText>
      </w:r>
      <w:r w:rsidR="00935A5F" w:rsidRPr="00B71D31">
        <w:rPr>
          <w:rFonts w:cs="Times New Roman"/>
          <w:b/>
          <w:i/>
          <w:color w:val="000000" w:themeColor="text1"/>
          <w:u w:val="single"/>
        </w:rPr>
        <w:instrText>264-</w:instrText>
      </w:r>
      <w:r w:rsidR="00935A5F">
        <w:rPr>
          <w:rFonts w:cs="Times New Roman"/>
          <w:b/>
          <w:i/>
          <w:color w:val="000000" w:themeColor="text1"/>
          <w:u w:val="single"/>
          <w:lang w:val="en-US"/>
        </w:rPr>
        <w:instrText>iv</w:instrText>
      </w:r>
      <w:r w:rsidR="00935A5F" w:rsidRPr="00B71D31">
        <w:rPr>
          <w:rFonts w:cs="Times New Roman"/>
          <w:b/>
          <w:i/>
          <w:color w:val="000000" w:themeColor="text1"/>
          <w:u w:val="single"/>
        </w:rPr>
        <w:instrText>266","</w:instrText>
      </w:r>
      <w:r w:rsidR="00935A5F">
        <w:rPr>
          <w:rFonts w:cs="Times New Roman"/>
          <w:b/>
          <w:i/>
          <w:color w:val="000000" w:themeColor="text1"/>
          <w:u w:val="single"/>
          <w:lang w:val="en-US"/>
        </w:rPr>
        <w:instrText>title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Management</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of</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toxicities</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from</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immunotherapy</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ESMO</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Clinical</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Practice</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Guidelines</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for</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diagnosis</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treatment</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and</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follow</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up</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type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journal</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volume</w:instrText>
      </w:r>
      <w:r w:rsidR="00935A5F" w:rsidRPr="00B71D31">
        <w:rPr>
          <w:rFonts w:cs="Times New Roman"/>
          <w:b/>
          <w:i/>
          <w:color w:val="000000" w:themeColor="text1"/>
          <w:u w:val="single"/>
        </w:rPr>
        <w:instrText>":"29"},"</w:instrText>
      </w:r>
      <w:r w:rsidR="00935A5F">
        <w:rPr>
          <w:rFonts w:cs="Times New Roman"/>
          <w:b/>
          <w:i/>
          <w:color w:val="000000" w:themeColor="text1"/>
          <w:u w:val="single"/>
          <w:lang w:val="en-US"/>
        </w:rPr>
        <w:instrText>uris</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http</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www</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mendeley</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com</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documents</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uuid</w:instrText>
      </w:r>
      <w:r w:rsidR="00935A5F" w:rsidRPr="00B71D31">
        <w:rPr>
          <w:rFonts w:cs="Times New Roman"/>
          <w:b/>
          <w:i/>
          <w:color w:val="000000" w:themeColor="text1"/>
          <w:u w:val="single"/>
        </w:rPr>
        <w:instrText>=891</w:instrText>
      </w:r>
      <w:r w:rsidR="00935A5F">
        <w:rPr>
          <w:rFonts w:cs="Times New Roman"/>
          <w:b/>
          <w:i/>
          <w:color w:val="000000" w:themeColor="text1"/>
          <w:u w:val="single"/>
          <w:lang w:val="en-US"/>
        </w:rPr>
        <w:instrText>e</w:instrText>
      </w:r>
      <w:r w:rsidR="00935A5F" w:rsidRPr="00B71D31">
        <w:rPr>
          <w:rFonts w:cs="Times New Roman"/>
          <w:b/>
          <w:i/>
          <w:color w:val="000000" w:themeColor="text1"/>
          <w:u w:val="single"/>
        </w:rPr>
        <w:instrText>60</w:instrText>
      </w:r>
      <w:r w:rsidR="00935A5F">
        <w:rPr>
          <w:rFonts w:cs="Times New Roman"/>
          <w:b/>
          <w:i/>
          <w:color w:val="000000" w:themeColor="text1"/>
          <w:u w:val="single"/>
          <w:lang w:val="en-US"/>
        </w:rPr>
        <w:instrText>f</w:instrText>
      </w:r>
      <w:r w:rsidR="00935A5F" w:rsidRPr="00B71D31">
        <w:rPr>
          <w:rFonts w:cs="Times New Roman"/>
          <w:b/>
          <w:i/>
          <w:color w:val="000000" w:themeColor="text1"/>
          <w:u w:val="single"/>
        </w:rPr>
        <w:instrText>6-27</w:instrText>
      </w:r>
      <w:r w:rsidR="00935A5F">
        <w:rPr>
          <w:rFonts w:cs="Times New Roman"/>
          <w:b/>
          <w:i/>
          <w:color w:val="000000" w:themeColor="text1"/>
          <w:u w:val="single"/>
          <w:lang w:val="en-US"/>
        </w:rPr>
        <w:instrText>c</w:instrText>
      </w:r>
      <w:r w:rsidR="00935A5F" w:rsidRPr="00B71D31">
        <w:rPr>
          <w:rFonts w:cs="Times New Roman"/>
          <w:b/>
          <w:i/>
          <w:color w:val="000000" w:themeColor="text1"/>
          <w:u w:val="single"/>
        </w:rPr>
        <w:instrText>0-495</w:instrText>
      </w:r>
      <w:r w:rsidR="00935A5F">
        <w:rPr>
          <w:rFonts w:cs="Times New Roman"/>
          <w:b/>
          <w:i/>
          <w:color w:val="000000" w:themeColor="text1"/>
          <w:u w:val="single"/>
          <w:lang w:val="en-US"/>
        </w:rPr>
        <w:instrText>a</w:instrText>
      </w:r>
      <w:r w:rsidR="00935A5F" w:rsidRPr="00B71D31">
        <w:rPr>
          <w:rFonts w:cs="Times New Roman"/>
          <w:b/>
          <w:i/>
          <w:color w:val="000000" w:themeColor="text1"/>
          <w:u w:val="single"/>
        </w:rPr>
        <w:instrText>-98</w:instrText>
      </w:r>
      <w:r w:rsidR="00935A5F">
        <w:rPr>
          <w:rFonts w:cs="Times New Roman"/>
          <w:b/>
          <w:i/>
          <w:color w:val="000000" w:themeColor="text1"/>
          <w:u w:val="single"/>
          <w:lang w:val="en-US"/>
        </w:rPr>
        <w:instrText>e</w:instrText>
      </w:r>
      <w:r w:rsidR="00935A5F" w:rsidRPr="00B71D31">
        <w:rPr>
          <w:rFonts w:cs="Times New Roman"/>
          <w:b/>
          <w:i/>
          <w:color w:val="000000" w:themeColor="text1"/>
          <w:u w:val="single"/>
        </w:rPr>
        <w:instrText>2-222</w:instrText>
      </w:r>
      <w:r w:rsidR="00935A5F">
        <w:rPr>
          <w:rFonts w:cs="Times New Roman"/>
          <w:b/>
          <w:i/>
          <w:color w:val="000000" w:themeColor="text1"/>
          <w:u w:val="single"/>
          <w:lang w:val="en-US"/>
        </w:rPr>
        <w:instrText>a</w:instrText>
      </w:r>
      <w:r w:rsidR="00935A5F" w:rsidRPr="00B71D31">
        <w:rPr>
          <w:rFonts w:cs="Times New Roman"/>
          <w:b/>
          <w:i/>
          <w:color w:val="000000" w:themeColor="text1"/>
          <w:u w:val="single"/>
        </w:rPr>
        <w:instrText>2574</w:instrText>
      </w:r>
      <w:r w:rsidR="00935A5F">
        <w:rPr>
          <w:rFonts w:cs="Times New Roman"/>
          <w:b/>
          <w:i/>
          <w:color w:val="000000" w:themeColor="text1"/>
          <w:u w:val="single"/>
          <w:lang w:val="en-US"/>
        </w:rPr>
        <w:instrText>c</w:instrText>
      </w:r>
      <w:r w:rsidR="00935A5F" w:rsidRPr="00B71D31">
        <w:rPr>
          <w:rFonts w:cs="Times New Roman"/>
          <w:b/>
          <w:i/>
          <w:color w:val="000000" w:themeColor="text1"/>
          <w:u w:val="single"/>
        </w:rPr>
        <w:instrText>98</w:instrText>
      </w:r>
      <w:r w:rsidR="00935A5F">
        <w:rPr>
          <w:rFonts w:cs="Times New Roman"/>
          <w:b/>
          <w:i/>
          <w:color w:val="000000" w:themeColor="text1"/>
          <w:u w:val="single"/>
          <w:lang w:val="en-US"/>
        </w:rPr>
        <w:instrText>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id</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ITEM</w:instrText>
      </w:r>
      <w:r w:rsidR="00935A5F" w:rsidRPr="00B71D31">
        <w:rPr>
          <w:rFonts w:cs="Times New Roman"/>
          <w:b/>
          <w:i/>
          <w:color w:val="000000" w:themeColor="text1"/>
          <w:u w:val="single"/>
        </w:rPr>
        <w:instrText>-2","</w:instrText>
      </w:r>
      <w:r w:rsidR="00935A5F">
        <w:rPr>
          <w:rFonts w:cs="Times New Roman"/>
          <w:b/>
          <w:i/>
          <w:color w:val="000000" w:themeColor="text1"/>
          <w:u w:val="single"/>
          <w:lang w:val="en-US"/>
        </w:rPr>
        <w:instrText>itemData</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DOI</w:instrText>
      </w:r>
      <w:r w:rsidR="00935A5F" w:rsidRPr="00B71D31">
        <w:rPr>
          <w:rFonts w:cs="Times New Roman"/>
          <w:b/>
          <w:i/>
          <w:color w:val="000000" w:themeColor="text1"/>
          <w:u w:val="single"/>
        </w:rPr>
        <w:instrText>":"10.1179/1973947815</w:instrText>
      </w:r>
      <w:r w:rsidR="00935A5F">
        <w:rPr>
          <w:rFonts w:cs="Times New Roman"/>
          <w:b/>
          <w:i/>
          <w:color w:val="000000" w:themeColor="text1"/>
          <w:u w:val="single"/>
          <w:lang w:val="en-US"/>
        </w:rPr>
        <w:instrText>Y</w:instrText>
      </w:r>
      <w:r w:rsidR="00935A5F" w:rsidRPr="00B71D31">
        <w:rPr>
          <w:rFonts w:cs="Times New Roman"/>
          <w:b/>
          <w:i/>
          <w:color w:val="000000" w:themeColor="text1"/>
          <w:u w:val="single"/>
        </w:rPr>
        <w:instrText>.0000000025","</w:instrText>
      </w:r>
      <w:r w:rsidR="00935A5F">
        <w:rPr>
          <w:rFonts w:cs="Times New Roman"/>
          <w:b/>
          <w:i/>
          <w:color w:val="000000" w:themeColor="text1"/>
          <w:u w:val="single"/>
          <w:lang w:val="en-US"/>
        </w:rPr>
        <w:instrText>ISSN</w:instrText>
      </w:r>
      <w:r w:rsidR="00935A5F" w:rsidRPr="00B71D31">
        <w:rPr>
          <w:rFonts w:cs="Times New Roman"/>
          <w:b/>
          <w:i/>
          <w:color w:val="000000" w:themeColor="text1"/>
          <w:u w:val="single"/>
        </w:rPr>
        <w:instrText>":"19739478","</w:instrText>
      </w:r>
      <w:r w:rsidR="00935A5F">
        <w:rPr>
          <w:rFonts w:cs="Times New Roman"/>
          <w:b/>
          <w:i/>
          <w:color w:val="000000" w:themeColor="text1"/>
          <w:u w:val="single"/>
          <w:lang w:val="en-US"/>
        </w:rPr>
        <w:instrText>PMID</w:instrText>
      </w:r>
      <w:r w:rsidR="00935A5F" w:rsidRPr="00B71D31">
        <w:rPr>
          <w:rFonts w:cs="Times New Roman"/>
          <w:b/>
          <w:i/>
          <w:color w:val="000000" w:themeColor="text1"/>
          <w:u w:val="single"/>
        </w:rPr>
        <w:instrText>":"25872413","</w:instrText>
      </w:r>
      <w:r w:rsidR="00935A5F">
        <w:rPr>
          <w:rFonts w:cs="Times New Roman"/>
          <w:b/>
          <w:i/>
          <w:color w:val="000000" w:themeColor="text1"/>
          <w:u w:val="single"/>
          <w:lang w:val="en-US"/>
        </w:rPr>
        <w:instrText>abstract</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Purpose</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Rituximab</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is</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a</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monoclonal</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antibody</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targetting</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the</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CD</w:instrText>
      </w:r>
      <w:r w:rsidR="00935A5F" w:rsidRPr="00B71D31">
        <w:rPr>
          <w:rFonts w:cs="Times New Roman"/>
          <w:b/>
          <w:i/>
          <w:color w:val="000000" w:themeColor="text1"/>
          <w:u w:val="single"/>
        </w:rPr>
        <w:instrText xml:space="preserve">20 </w:instrText>
      </w:r>
      <w:r w:rsidR="00935A5F">
        <w:rPr>
          <w:rFonts w:cs="Times New Roman"/>
          <w:b/>
          <w:i/>
          <w:color w:val="000000" w:themeColor="text1"/>
          <w:u w:val="single"/>
          <w:lang w:val="en-US"/>
        </w:rPr>
        <w:instrText>antigen</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with</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the</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ability</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to</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increase</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overall</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remission</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OR</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in</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B</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cell</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non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Hodgkin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s</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lymphoma</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B</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NHL</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A</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systematic</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review</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and</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meta</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analysis</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were</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conducted</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to</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determine</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the</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risk</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of</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the</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most</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clinically</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relevant</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severe</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and</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fatal</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adverse</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events</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AEs</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associated</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with</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the</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use</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of</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rituximab</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in</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the</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treatment</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of</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B</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NHL</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Patients</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and</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methods</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We</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included</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phase</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III</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clinical</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trials</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that</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used</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chemotherapy</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in</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combination</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with</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rituximab</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or</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chemotherapy</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alone</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as</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for</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B</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NHL</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Statistical</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analyses</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were</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conducted</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to</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calculate</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summary</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risk</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ratio</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RR</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of</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the</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relevant</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severe</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and</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fatal</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AEs</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related</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with</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rituximab</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Results</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Eight</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randomised</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controlled</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clinical</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trials</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were</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included</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in</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this</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meta</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analysis</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Summary</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RR</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obtained</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showed</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no</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statistically</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significant</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rituximab</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associated</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increased</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risk</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in</w:instrText>
      </w:r>
      <w:r w:rsidR="00935A5F" w:rsidRPr="00B71D31">
        <w:rPr>
          <w:rFonts w:cs="Times New Roman"/>
          <w:b/>
          <w:i/>
          <w:color w:val="000000" w:themeColor="text1"/>
          <w:u w:val="single"/>
        </w:rPr>
        <w:instrText xml:space="preserve"> 13 </w:instrText>
      </w:r>
      <w:r w:rsidR="00935A5F">
        <w:rPr>
          <w:rFonts w:cs="Times New Roman"/>
          <w:b/>
          <w:i/>
          <w:color w:val="000000" w:themeColor="text1"/>
          <w:u w:val="single"/>
          <w:lang w:val="en-US"/>
        </w:rPr>
        <w:instrText>severe</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adverse</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events</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SAEs</w:instrText>
      </w:r>
      <w:r w:rsidR="00935A5F" w:rsidRPr="00B71D31">
        <w:rPr>
          <w:rFonts w:cs="Times New Roman"/>
          <w:b/>
          <w:i/>
          <w:color w:val="000000" w:themeColor="text1"/>
          <w:u w:val="single"/>
        </w:rPr>
        <w:instrText>) (</w:instrText>
      </w:r>
      <w:r w:rsidR="00935A5F">
        <w:rPr>
          <w:rFonts w:cs="Times New Roman"/>
          <w:b/>
          <w:i/>
          <w:color w:val="000000" w:themeColor="text1"/>
          <w:u w:val="single"/>
          <w:lang w:val="en-US"/>
        </w:rPr>
        <w:instrText>infection</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fever</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anaemia</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thrombocytopaenia</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granulocytopenia</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liver</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toxicity</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cardiac</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toxicity</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neurologic</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toxicity</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lung</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toxicity</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mucositis</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nausea</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vomiting</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diarrhoea</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alopecia</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except</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leukocytopenia</w:instrText>
      </w:r>
      <w:r w:rsidR="00935A5F" w:rsidRPr="00B71D31">
        <w:rPr>
          <w:rFonts w:cs="Times New Roman"/>
          <w:b/>
          <w:i/>
          <w:color w:val="000000" w:themeColor="text1"/>
          <w:u w:val="single"/>
        </w:rPr>
        <w:instrText xml:space="preserve"> (36.4% </w:instrText>
      </w:r>
      <w:r w:rsidR="00935A5F">
        <w:rPr>
          <w:rFonts w:cs="Times New Roman"/>
          <w:b/>
          <w:i/>
          <w:color w:val="000000" w:themeColor="text1"/>
          <w:u w:val="single"/>
          <w:lang w:val="en-US"/>
        </w:rPr>
        <w:instrText>versus</w:instrText>
      </w:r>
      <w:r w:rsidR="00935A5F" w:rsidRPr="00B71D31">
        <w:rPr>
          <w:rFonts w:cs="Times New Roman"/>
          <w:b/>
          <w:i/>
          <w:color w:val="000000" w:themeColor="text1"/>
          <w:u w:val="single"/>
        </w:rPr>
        <w:instrText xml:space="preserve"> 31%; </w:instrText>
      </w:r>
      <w:r w:rsidR="00935A5F">
        <w:rPr>
          <w:rFonts w:cs="Times New Roman"/>
          <w:b/>
          <w:i/>
          <w:color w:val="000000" w:themeColor="text1"/>
          <w:u w:val="single"/>
          <w:lang w:val="en-US"/>
        </w:rPr>
        <w:instrText>RR</w:instrText>
      </w:r>
      <w:r w:rsidR="00935A5F" w:rsidRPr="00B71D31">
        <w:rPr>
          <w:rFonts w:cs="Times New Roman"/>
          <w:b/>
          <w:i/>
          <w:color w:val="000000" w:themeColor="text1"/>
          <w:u w:val="single"/>
        </w:rPr>
        <w:instrText>51.13; 95%</w:instrText>
      </w:r>
      <w:r w:rsidR="00935A5F">
        <w:rPr>
          <w:rFonts w:cs="Times New Roman"/>
          <w:b/>
          <w:i/>
          <w:color w:val="000000" w:themeColor="text1"/>
          <w:u w:val="single"/>
          <w:lang w:val="en-US"/>
        </w:rPr>
        <w:instrText>CI</w:instrText>
      </w:r>
      <w:r w:rsidR="00935A5F" w:rsidRPr="00B71D31">
        <w:rPr>
          <w:rFonts w:cs="Times New Roman"/>
          <w:b/>
          <w:i/>
          <w:color w:val="000000" w:themeColor="text1"/>
          <w:u w:val="single"/>
        </w:rPr>
        <w:instrText xml:space="preserve">, 1.01–1.27; </w:instrText>
      </w:r>
      <w:r w:rsidR="00935A5F">
        <w:rPr>
          <w:rFonts w:cs="Times New Roman"/>
          <w:b/>
          <w:i/>
          <w:color w:val="000000" w:themeColor="text1"/>
          <w:u w:val="single"/>
          <w:lang w:val="en-US"/>
        </w:rPr>
        <w:instrText>P</w:instrText>
      </w:r>
      <w:r w:rsidR="00935A5F" w:rsidRPr="00B71D31">
        <w:rPr>
          <w:rFonts w:cs="Times New Roman"/>
          <w:b/>
          <w:i/>
          <w:color w:val="000000" w:themeColor="text1"/>
          <w:u w:val="single"/>
        </w:rPr>
        <w:instrText xml:space="preserve">50.03). </w:instrText>
      </w:r>
      <w:r w:rsidR="00935A5F">
        <w:rPr>
          <w:rFonts w:cs="Times New Roman"/>
          <w:b/>
          <w:i/>
          <w:color w:val="000000" w:themeColor="text1"/>
          <w:u w:val="single"/>
          <w:lang w:val="en-US"/>
        </w:rPr>
        <w:instrText>The</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incidences</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of</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fatal</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AEs</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showed</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noteworthy</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difference</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between</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rituximab</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group</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and</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control</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group</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RR</w:instrText>
      </w:r>
      <w:r w:rsidR="00935A5F" w:rsidRPr="00B71D31">
        <w:rPr>
          <w:rFonts w:cs="Times New Roman"/>
          <w:b/>
          <w:i/>
          <w:color w:val="000000" w:themeColor="text1"/>
          <w:u w:val="single"/>
        </w:rPr>
        <w:instrText xml:space="preserve">51.45; 95% </w:instrText>
      </w:r>
      <w:r w:rsidR="00935A5F">
        <w:rPr>
          <w:rFonts w:cs="Times New Roman"/>
          <w:b/>
          <w:i/>
          <w:color w:val="000000" w:themeColor="text1"/>
          <w:u w:val="single"/>
          <w:lang w:val="en-US"/>
        </w:rPr>
        <w:instrText>CI</w:instrText>
      </w:r>
      <w:r w:rsidR="00935A5F" w:rsidRPr="00B71D31">
        <w:rPr>
          <w:rFonts w:cs="Times New Roman"/>
          <w:b/>
          <w:i/>
          <w:color w:val="000000" w:themeColor="text1"/>
          <w:u w:val="single"/>
        </w:rPr>
        <w:instrText xml:space="preserve">, 1.04–2.02; </w:instrText>
      </w:r>
      <w:r w:rsidR="00935A5F">
        <w:rPr>
          <w:rFonts w:cs="Times New Roman"/>
          <w:b/>
          <w:i/>
          <w:color w:val="000000" w:themeColor="text1"/>
          <w:u w:val="single"/>
          <w:lang w:val="en-US"/>
        </w:rPr>
        <w:instrText>P</w:instrText>
      </w:r>
      <w:r w:rsidR="00935A5F" w:rsidRPr="00B71D31">
        <w:rPr>
          <w:rFonts w:cs="Times New Roman"/>
          <w:b/>
          <w:i/>
          <w:color w:val="000000" w:themeColor="text1"/>
          <w:u w:val="single"/>
        </w:rPr>
        <w:instrText xml:space="preserve">50.03). </w:instrText>
      </w:r>
      <w:r w:rsidR="00935A5F">
        <w:rPr>
          <w:rFonts w:cs="Times New Roman"/>
          <w:b/>
          <w:i/>
          <w:color w:val="000000" w:themeColor="text1"/>
          <w:u w:val="single"/>
          <w:lang w:val="en-US"/>
        </w:rPr>
        <w:instrText>Conclusion</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This</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meta</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analysis</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indicates</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that</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there</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was</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no</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proof</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of</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statistically</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higher</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incidence</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of</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most</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SAEs</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in</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rituximab</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containing</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group</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compared</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with</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chemotherapy</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alone</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However</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fatal</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infections</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were</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more</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frequently</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observed</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in</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patients</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who</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received</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rituximab</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Considering</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the</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low</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incidence</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infectioninduced</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death</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during</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the</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treatment</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period</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the</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effects</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of</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rituximab</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on</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infections</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need</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further</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investigation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author</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dropping</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family</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Hua</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given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Qingling</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non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dropping</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names</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false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suffix</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dropping</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family</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Zhu</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given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Yanzhe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non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dropping</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names</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false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suffix</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dropping</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family</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Liu</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given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Hu</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non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dropping</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names</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false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suffix</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container</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title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Journal</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of</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Chemotherapy</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id</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ITEM</w:instrText>
      </w:r>
      <w:r w:rsidR="00935A5F" w:rsidRPr="00B71D31">
        <w:rPr>
          <w:rFonts w:cs="Times New Roman"/>
          <w:b/>
          <w:i/>
          <w:color w:val="000000" w:themeColor="text1"/>
          <w:u w:val="single"/>
        </w:rPr>
        <w:instrText>-2","</w:instrText>
      </w:r>
      <w:r w:rsidR="00935A5F">
        <w:rPr>
          <w:rFonts w:cs="Times New Roman"/>
          <w:b/>
          <w:i/>
          <w:color w:val="000000" w:themeColor="text1"/>
          <w:u w:val="single"/>
          <w:lang w:val="en-US"/>
        </w:rPr>
        <w:instrText>issued</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date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parts</w:instrText>
      </w:r>
      <w:r w:rsidR="00935A5F" w:rsidRPr="00B71D31">
        <w:rPr>
          <w:rFonts w:cs="Times New Roman"/>
          <w:b/>
          <w:i/>
          <w:color w:val="000000" w:themeColor="text1"/>
          <w:u w:val="single"/>
        </w:rPr>
        <w:instrText>":[["2015"]]},"</w:instrText>
      </w:r>
      <w:r w:rsidR="00935A5F">
        <w:rPr>
          <w:rFonts w:cs="Times New Roman"/>
          <w:b/>
          <w:i/>
          <w:color w:val="000000" w:themeColor="text1"/>
          <w:u w:val="single"/>
          <w:lang w:val="en-US"/>
        </w:rPr>
        <w:instrText>title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Severe</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and</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fatal</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adverse</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events</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risk</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associated</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with</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rituximab</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addition</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to</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b</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cell</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non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hodgkin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s</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lymphoma</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B</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NHL</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chemotherapy</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A</w:instrText>
      </w:r>
      <w:r w:rsidR="00935A5F" w:rsidRPr="00B71D31">
        <w:rPr>
          <w:rFonts w:cs="Times New Roman"/>
          <w:b/>
          <w:i/>
          <w:color w:val="000000" w:themeColor="text1"/>
          <w:u w:val="single"/>
        </w:rPr>
        <w:instrText xml:space="preserve"> </w:instrText>
      </w:r>
      <w:r w:rsidR="00935A5F">
        <w:rPr>
          <w:rFonts w:cs="Times New Roman"/>
          <w:b/>
          <w:i/>
          <w:color w:val="000000" w:themeColor="text1"/>
          <w:u w:val="single"/>
          <w:lang w:val="en-US"/>
        </w:rPr>
        <w:instrText>meta</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analysis</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type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article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journal</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uris</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http</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www</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mendeley</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com</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documents</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uuid</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a</w:instrText>
      </w:r>
      <w:r w:rsidR="00935A5F" w:rsidRPr="00B71D31">
        <w:rPr>
          <w:rFonts w:cs="Times New Roman"/>
          <w:b/>
          <w:i/>
          <w:color w:val="000000" w:themeColor="text1"/>
          <w:u w:val="single"/>
        </w:rPr>
        <w:instrText>993</w:instrText>
      </w:r>
      <w:r w:rsidR="00935A5F">
        <w:rPr>
          <w:rFonts w:cs="Times New Roman"/>
          <w:b/>
          <w:i/>
          <w:color w:val="000000" w:themeColor="text1"/>
          <w:u w:val="single"/>
          <w:lang w:val="en-US"/>
        </w:rPr>
        <w:instrText>da</w:instrText>
      </w:r>
      <w:r w:rsidR="00935A5F" w:rsidRPr="00B71D31">
        <w:rPr>
          <w:rFonts w:cs="Times New Roman"/>
          <w:b/>
          <w:i/>
          <w:color w:val="000000" w:themeColor="text1"/>
          <w:u w:val="single"/>
        </w:rPr>
        <w:instrText>07-</w:instrText>
      </w:r>
      <w:r w:rsidR="00935A5F">
        <w:rPr>
          <w:rFonts w:cs="Times New Roman"/>
          <w:b/>
          <w:i/>
          <w:color w:val="000000" w:themeColor="text1"/>
          <w:u w:val="single"/>
          <w:lang w:val="en-US"/>
        </w:rPr>
        <w:instrText>fb</w:instrText>
      </w:r>
      <w:r w:rsidR="00935A5F" w:rsidRPr="00B71D31">
        <w:rPr>
          <w:rFonts w:cs="Times New Roman"/>
          <w:b/>
          <w:i/>
          <w:color w:val="000000" w:themeColor="text1"/>
          <w:u w:val="single"/>
        </w:rPr>
        <w:instrText>07-41</w:instrText>
      </w:r>
      <w:r w:rsidR="00935A5F">
        <w:rPr>
          <w:rFonts w:cs="Times New Roman"/>
          <w:b/>
          <w:i/>
          <w:color w:val="000000" w:themeColor="text1"/>
          <w:u w:val="single"/>
          <w:lang w:val="en-US"/>
        </w:rPr>
        <w:instrText>c</w:instrText>
      </w:r>
      <w:r w:rsidR="00935A5F" w:rsidRPr="00B71D31">
        <w:rPr>
          <w:rFonts w:cs="Times New Roman"/>
          <w:b/>
          <w:i/>
          <w:color w:val="000000" w:themeColor="text1"/>
          <w:u w:val="single"/>
        </w:rPr>
        <w:instrText>0-8</w:instrText>
      </w:r>
      <w:r w:rsidR="00935A5F">
        <w:rPr>
          <w:rFonts w:cs="Times New Roman"/>
          <w:b/>
          <w:i/>
          <w:color w:val="000000" w:themeColor="text1"/>
          <w:u w:val="single"/>
          <w:lang w:val="en-US"/>
        </w:rPr>
        <w:instrText>d</w:instrText>
      </w:r>
      <w:r w:rsidR="00935A5F" w:rsidRPr="00B71D31">
        <w:rPr>
          <w:rFonts w:cs="Times New Roman"/>
          <w:b/>
          <w:i/>
          <w:color w:val="000000" w:themeColor="text1"/>
          <w:u w:val="single"/>
        </w:rPr>
        <w:instrText>06-4</w:instrText>
      </w:r>
      <w:r w:rsidR="00935A5F">
        <w:rPr>
          <w:rFonts w:cs="Times New Roman"/>
          <w:b/>
          <w:i/>
          <w:color w:val="000000" w:themeColor="text1"/>
          <w:u w:val="single"/>
          <w:lang w:val="en-US"/>
        </w:rPr>
        <w:instrText>d</w:instrText>
      </w:r>
      <w:r w:rsidR="00935A5F" w:rsidRPr="00B71D31">
        <w:rPr>
          <w:rFonts w:cs="Times New Roman"/>
          <w:b/>
          <w:i/>
          <w:color w:val="000000" w:themeColor="text1"/>
          <w:u w:val="single"/>
        </w:rPr>
        <w:instrText>598</w:instrText>
      </w:r>
      <w:r w:rsidR="00935A5F">
        <w:rPr>
          <w:rFonts w:cs="Times New Roman"/>
          <w:b/>
          <w:i/>
          <w:color w:val="000000" w:themeColor="text1"/>
          <w:u w:val="single"/>
          <w:lang w:val="en-US"/>
        </w:rPr>
        <w:instrText>ab</w:instrText>
      </w:r>
      <w:r w:rsidR="00935A5F" w:rsidRPr="00B71D31">
        <w:rPr>
          <w:rFonts w:cs="Times New Roman"/>
          <w:b/>
          <w:i/>
          <w:color w:val="000000" w:themeColor="text1"/>
          <w:u w:val="single"/>
        </w:rPr>
        <w:instrText>3</w:instrText>
      </w:r>
      <w:r w:rsidR="00935A5F">
        <w:rPr>
          <w:rFonts w:cs="Times New Roman"/>
          <w:b/>
          <w:i/>
          <w:color w:val="000000" w:themeColor="text1"/>
          <w:u w:val="single"/>
          <w:lang w:val="en-US"/>
        </w:rPr>
        <w:instrText>f</w:instrText>
      </w:r>
      <w:r w:rsidR="00935A5F" w:rsidRPr="00B71D31">
        <w:rPr>
          <w:rFonts w:cs="Times New Roman"/>
          <w:b/>
          <w:i/>
          <w:color w:val="000000" w:themeColor="text1"/>
          <w:u w:val="single"/>
        </w:rPr>
        <w:instrText>684"]}],"</w:instrText>
      </w:r>
      <w:r w:rsidR="00935A5F">
        <w:rPr>
          <w:rFonts w:cs="Times New Roman"/>
          <w:b/>
          <w:i/>
          <w:color w:val="000000" w:themeColor="text1"/>
          <w:u w:val="single"/>
          <w:lang w:val="en-US"/>
        </w:rPr>
        <w:instrText>mendeley</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formattedCitation</w:instrText>
      </w:r>
      <w:r w:rsidR="00935A5F" w:rsidRPr="00B71D31">
        <w:rPr>
          <w:rFonts w:cs="Times New Roman"/>
          <w:b/>
          <w:i/>
          <w:color w:val="000000" w:themeColor="text1"/>
          <w:u w:val="single"/>
        </w:rPr>
        <w:instrText>":"[137,139]","</w:instrText>
      </w:r>
      <w:r w:rsidR="00935A5F">
        <w:rPr>
          <w:rFonts w:cs="Times New Roman"/>
          <w:b/>
          <w:i/>
          <w:color w:val="000000" w:themeColor="text1"/>
          <w:u w:val="single"/>
          <w:lang w:val="en-US"/>
        </w:rPr>
        <w:instrText>plainTextFormattedCitation</w:instrText>
      </w:r>
      <w:r w:rsidR="00935A5F" w:rsidRPr="00B71D31">
        <w:rPr>
          <w:rFonts w:cs="Times New Roman"/>
          <w:b/>
          <w:i/>
          <w:color w:val="000000" w:themeColor="text1"/>
          <w:u w:val="single"/>
        </w:rPr>
        <w:instrText>":"[137,139]","</w:instrText>
      </w:r>
      <w:r w:rsidR="00935A5F">
        <w:rPr>
          <w:rFonts w:cs="Times New Roman"/>
          <w:b/>
          <w:i/>
          <w:color w:val="000000" w:themeColor="text1"/>
          <w:u w:val="single"/>
          <w:lang w:val="en-US"/>
        </w:rPr>
        <w:instrText>previouslyFormattedCitation</w:instrText>
      </w:r>
      <w:r w:rsidR="00935A5F" w:rsidRPr="00B71D31">
        <w:rPr>
          <w:rFonts w:cs="Times New Roman"/>
          <w:b/>
          <w:i/>
          <w:color w:val="000000" w:themeColor="text1"/>
          <w:u w:val="single"/>
        </w:rPr>
        <w:instrText>":"[137,139]"},"</w:instrText>
      </w:r>
      <w:r w:rsidR="00935A5F">
        <w:rPr>
          <w:rFonts w:cs="Times New Roman"/>
          <w:b/>
          <w:i/>
          <w:color w:val="000000" w:themeColor="text1"/>
          <w:u w:val="single"/>
          <w:lang w:val="en-US"/>
        </w:rPr>
        <w:instrText>properties</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noteIndex</w:instrText>
      </w:r>
      <w:r w:rsidR="00935A5F" w:rsidRPr="00B71D31">
        <w:rPr>
          <w:rFonts w:cs="Times New Roman"/>
          <w:b/>
          <w:i/>
          <w:color w:val="000000" w:themeColor="text1"/>
          <w:u w:val="single"/>
        </w:rPr>
        <w:instrText>":0},"</w:instrText>
      </w:r>
      <w:r w:rsidR="00935A5F">
        <w:rPr>
          <w:rFonts w:cs="Times New Roman"/>
          <w:b/>
          <w:i/>
          <w:color w:val="000000" w:themeColor="text1"/>
          <w:u w:val="single"/>
          <w:lang w:val="en-US"/>
        </w:rPr>
        <w:instrText>schema</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https</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github</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com</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citation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style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language</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schema</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raw</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master</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csl</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citation</w:instrText>
      </w:r>
      <w:r w:rsidR="00935A5F" w:rsidRPr="00B71D31">
        <w:rPr>
          <w:rFonts w:cs="Times New Roman"/>
          <w:b/>
          <w:i/>
          <w:color w:val="000000" w:themeColor="text1"/>
          <w:u w:val="single"/>
        </w:rPr>
        <w:instrText>.</w:instrText>
      </w:r>
      <w:r w:rsidR="00935A5F">
        <w:rPr>
          <w:rFonts w:cs="Times New Roman"/>
          <w:b/>
          <w:i/>
          <w:color w:val="000000" w:themeColor="text1"/>
          <w:u w:val="single"/>
          <w:lang w:val="en-US"/>
        </w:rPr>
        <w:instrText>json</w:instrText>
      </w:r>
      <w:r w:rsidR="00935A5F" w:rsidRPr="00B71D31">
        <w:rPr>
          <w:rFonts w:cs="Times New Roman"/>
          <w:b/>
          <w:i/>
          <w:color w:val="000000" w:themeColor="text1"/>
          <w:u w:val="single"/>
        </w:rPr>
        <w:instrText>"}</w:instrText>
      </w:r>
      <w:r w:rsidRPr="00053AE8">
        <w:rPr>
          <w:rFonts w:cs="Times New Roman"/>
          <w:b/>
          <w:i/>
          <w:color w:val="000000" w:themeColor="text1"/>
          <w:u w:val="single"/>
          <w:lang w:val="en-US"/>
        </w:rPr>
        <w:fldChar w:fldCharType="separate"/>
      </w:r>
      <w:r w:rsidR="00053AE8" w:rsidRPr="00053AE8">
        <w:rPr>
          <w:rFonts w:cs="Times New Roman"/>
          <w:noProof/>
          <w:color w:val="000000" w:themeColor="text1"/>
        </w:rPr>
        <w:t>[137,139]</w:t>
      </w:r>
      <w:r w:rsidRPr="00053AE8">
        <w:rPr>
          <w:rFonts w:cs="Times New Roman"/>
          <w:b/>
          <w:i/>
          <w:color w:val="000000" w:themeColor="text1"/>
          <w:u w:val="single"/>
          <w:lang w:val="en-US"/>
        </w:rPr>
        <w:fldChar w:fldCharType="end"/>
      </w:r>
    </w:p>
    <w:p w14:paraId="30AD58EF" w14:textId="012BB19B" w:rsidR="00A16AAE" w:rsidRPr="00053AE8" w:rsidRDefault="00053AE8" w:rsidP="00053AE8">
      <w:pPr>
        <w:tabs>
          <w:tab w:val="left" w:pos="0"/>
        </w:tabs>
        <w:ind w:firstLine="0"/>
        <w:rPr>
          <w:rFonts w:cs="Times New Roman"/>
          <w:i/>
          <w:color w:val="000000" w:themeColor="text1"/>
          <w:lang w:eastAsia="ru-RU"/>
        </w:rPr>
      </w:pPr>
      <w:r>
        <w:rPr>
          <w:rFonts w:cs="Times New Roman"/>
          <w:i/>
          <w:color w:val="000000" w:themeColor="text1"/>
          <w:lang w:eastAsia="ru-RU"/>
        </w:rPr>
        <w:tab/>
      </w:r>
      <w:r w:rsidR="00A16AAE" w:rsidRPr="00053AE8">
        <w:rPr>
          <w:rFonts w:cs="Times New Roman"/>
          <w:i/>
          <w:color w:val="000000" w:themeColor="text1"/>
          <w:lang w:eastAsia="ru-RU"/>
        </w:rPr>
        <w:t xml:space="preserve">Внутривенное применение: </w:t>
      </w:r>
    </w:p>
    <w:p w14:paraId="053996AE" w14:textId="77777777" w:rsidR="00A16AAE" w:rsidRPr="00CB3251" w:rsidRDefault="00A16AAE" w:rsidP="00A16AAE">
      <w:pPr>
        <w:tabs>
          <w:tab w:val="left" w:pos="0"/>
        </w:tabs>
        <w:rPr>
          <w:rFonts w:cs="Times New Roman"/>
          <w:color w:val="000000" w:themeColor="text1"/>
          <w:lang w:eastAsia="ru-RU"/>
        </w:rPr>
      </w:pPr>
      <w:r w:rsidRPr="00CB3251">
        <w:rPr>
          <w:rFonts w:cs="Times New Roman"/>
          <w:color w:val="000000" w:themeColor="text1"/>
          <w:lang w:eastAsia="ru-RU"/>
        </w:rPr>
        <w:t>Стандартная дозировка препарата на разовое введение составляет 375 мг/м</w:t>
      </w:r>
      <w:r w:rsidRPr="00CB3251">
        <w:rPr>
          <w:rFonts w:cs="Times New Roman"/>
          <w:color w:val="000000" w:themeColor="text1"/>
          <w:vertAlign w:val="superscript"/>
          <w:lang w:eastAsia="ru-RU"/>
        </w:rPr>
        <w:t>2</w:t>
      </w:r>
      <w:r w:rsidRPr="00CB3251">
        <w:rPr>
          <w:rFonts w:cs="Times New Roman"/>
          <w:color w:val="000000" w:themeColor="text1"/>
          <w:lang w:eastAsia="ru-RU"/>
        </w:rPr>
        <w:t>. Необходимое количество препарата набирают в асептических условиях и разводят до расчетной концентрации (1–4 мг/мл) в инфузионном флаконе (пакете) с 0,9% раствором натрия хлорида для инъекции или 5% раствором декстрозы (растворы должны быть стерильными и апирогенными). Приготовленный инфузионный раствор стабилен в течение 12 ч при комнатной температуре или в течение не более 24 ч при температуре от 2 до 8 °C. Препарат вводят внутривенно, инфузионно (медленно), через отдельный катетер.   Препарат нельзя вводить в/в болюсно или в виде в/в инъекций.</w:t>
      </w:r>
    </w:p>
    <w:p w14:paraId="0D563A20" w14:textId="77777777" w:rsidR="00A16AAE" w:rsidRPr="00CB3251" w:rsidRDefault="00A16AAE" w:rsidP="00A16AAE">
      <w:pPr>
        <w:tabs>
          <w:tab w:val="left" w:pos="0"/>
        </w:tabs>
        <w:rPr>
          <w:rFonts w:cs="Times New Roman"/>
          <w:color w:val="000000" w:themeColor="text1"/>
          <w:lang w:eastAsia="ru-RU"/>
        </w:rPr>
      </w:pPr>
      <w:r w:rsidRPr="00CB3251">
        <w:rPr>
          <w:rFonts w:cs="Times New Roman"/>
          <w:color w:val="000000" w:themeColor="text1"/>
          <w:lang w:eastAsia="ru-RU"/>
        </w:rPr>
        <w:t>Рекомендуемая начальная скорость первой инфузии — 50 мг/ч, в дальнейшем ее можно увеличивать на 50 мг/ч каждые 30 мин, доводя до максимальной скорости — 400 мг/ч. Последующие инфузии можно начинать со скорости 100 мг/ч и увеличивать ее на 100 мг/ч каждые 30 мин до максимальной скорости 400 мг/ч.</w:t>
      </w:r>
    </w:p>
    <w:p w14:paraId="400097D8" w14:textId="77777777" w:rsidR="00A16AAE" w:rsidRPr="00CB3251" w:rsidRDefault="00A16AAE" w:rsidP="00A16AAE">
      <w:pPr>
        <w:tabs>
          <w:tab w:val="left" w:pos="0"/>
        </w:tabs>
        <w:rPr>
          <w:rFonts w:cs="Times New Roman"/>
          <w:color w:val="000000" w:themeColor="text1"/>
          <w:szCs w:val="24"/>
        </w:rPr>
      </w:pPr>
      <w:r w:rsidRPr="00CB3251">
        <w:rPr>
          <w:rFonts w:cs="Times New Roman"/>
          <w:color w:val="000000" w:themeColor="text1"/>
          <w:lang w:eastAsia="ru-RU"/>
        </w:rPr>
        <w:t xml:space="preserve">Перед каждой инфузией ритуксимаба за 30-60 мин до введения необходимо проводить премедикацию (анальгетик/антипиретик, например парацетамол или </w:t>
      </w:r>
      <w:r w:rsidRPr="00CB3251">
        <w:rPr>
          <w:rFonts w:cs="Times New Roman"/>
          <w:color w:val="000000" w:themeColor="text1"/>
          <w:szCs w:val="24"/>
        </w:rPr>
        <w:t>кетопрофен</w:t>
      </w:r>
      <w:r w:rsidRPr="00CB3251">
        <w:rPr>
          <w:rFonts w:cs="Times New Roman"/>
          <w:color w:val="000000" w:themeColor="text1"/>
          <w:szCs w:val="24"/>
          <w:lang w:eastAsia="ru-RU"/>
        </w:rPr>
        <w:t>; антигистаминный препарат, например дифенгидрамин или клемастин;</w:t>
      </w:r>
      <w:r w:rsidRPr="00CB3251">
        <w:rPr>
          <w:rFonts w:cs="Times New Roman"/>
          <w:color w:val="000000" w:themeColor="text1"/>
          <w:lang w:eastAsia="ru-RU"/>
        </w:rPr>
        <w:t xml:space="preserve"> глюкокортикоид, например, дексаметазон).</w:t>
      </w:r>
      <w:r w:rsidRPr="00CB3251">
        <w:rPr>
          <w:color w:val="000000" w:themeColor="text1"/>
        </w:rPr>
        <w:t xml:space="preserve"> </w:t>
      </w:r>
      <w:r w:rsidRPr="00CB3251">
        <w:rPr>
          <w:rFonts w:cs="Times New Roman"/>
          <w:color w:val="000000" w:themeColor="text1"/>
          <w:szCs w:val="24"/>
        </w:rPr>
        <w:t xml:space="preserve">Стандартной премедикацией является введение кетопрофен 100 мг в/в капельно на 100 мл физ.раствора + </w:t>
      </w:r>
      <w:r w:rsidRPr="00CB3251">
        <w:rPr>
          <w:rFonts w:cs="Times New Roman"/>
          <w:color w:val="000000" w:themeColor="text1"/>
          <w:szCs w:val="24"/>
          <w:lang w:eastAsia="ru-RU"/>
        </w:rPr>
        <w:t>клемастин</w:t>
      </w:r>
      <w:r w:rsidRPr="00CB3251">
        <w:rPr>
          <w:rFonts w:cs="Times New Roman"/>
          <w:color w:val="000000" w:themeColor="text1"/>
          <w:szCs w:val="24"/>
        </w:rPr>
        <w:t xml:space="preserve"> 2 мг в/в капельно на 100 мл физ.раствора + дексаметазон 8 мг в/в капельно на 50 мл физ. раствора.</w:t>
      </w:r>
    </w:p>
    <w:p w14:paraId="71CE187A" w14:textId="77777777" w:rsidR="00A16AAE" w:rsidRPr="00CB3251" w:rsidRDefault="00A16AAE" w:rsidP="00A16AAE">
      <w:pPr>
        <w:tabs>
          <w:tab w:val="left" w:pos="0"/>
        </w:tabs>
        <w:rPr>
          <w:rFonts w:cs="Times New Roman"/>
          <w:color w:val="000000" w:themeColor="text1"/>
          <w:szCs w:val="24"/>
        </w:rPr>
      </w:pPr>
      <w:r w:rsidRPr="00CB3251">
        <w:rPr>
          <w:rFonts w:cs="Times New Roman"/>
          <w:color w:val="000000" w:themeColor="text1"/>
          <w:szCs w:val="24"/>
        </w:rPr>
        <w:t>У большинства больных в ходе первой инфузии отмечается инфузионный симптомокомплекс от легкой до умеренной степени выраженности, заключающийся в появлении лихорадки и озноба/дрожи. Другими часто наблюдающимися инфузионными симптомами являются тошнота, зуд, ангионевротический отек, астения, гипотензия, головная боль, бронхоспазм, раздражение в горле, ринит, крапивница, сыпь, рвота, миалгия, головокружение, гипертензия. Как правило, эти реакции возникают в пределах 30–120 мин после начала первой инфузии и исчезают после замедления или прерывания введения препарата и проведения поддерживающих мероприятий (</w:t>
      </w:r>
      <w:r w:rsidRPr="00CB3251">
        <w:rPr>
          <w:rStyle w:val="sokr"/>
          <w:rFonts w:cs="Times New Roman"/>
          <w:color w:val="000000" w:themeColor="text1"/>
          <w:szCs w:val="24"/>
        </w:rPr>
        <w:t>в т.ч.</w:t>
      </w:r>
      <w:r w:rsidRPr="00CB3251">
        <w:rPr>
          <w:rFonts w:cs="Times New Roman"/>
          <w:color w:val="000000" w:themeColor="text1"/>
          <w:szCs w:val="24"/>
        </w:rPr>
        <w:t xml:space="preserve"> </w:t>
      </w:r>
      <w:r w:rsidRPr="00CB3251">
        <w:rPr>
          <w:rStyle w:val="sokr"/>
          <w:rFonts w:cs="Times New Roman"/>
          <w:color w:val="000000" w:themeColor="text1"/>
          <w:szCs w:val="24"/>
        </w:rPr>
        <w:t>в/в</w:t>
      </w:r>
      <w:r w:rsidRPr="00CB3251">
        <w:rPr>
          <w:rFonts w:cs="Times New Roman"/>
          <w:color w:val="000000" w:themeColor="text1"/>
          <w:szCs w:val="24"/>
        </w:rPr>
        <w:t xml:space="preserve"> введений физиологического раствора, клемастина/ дифенгидрамина, кетонала/парацетамола). Легкие или умеренно выраженные реакции могут быть устранены уменьшением скорости введения, которую можно вновь увеличить после исчезновения симптоматики. Пациентам, у которых развились инфузионные реакции 1-3 степени, следует снизить скорость введения при возобновлении инфузии. При развитии анафилактической реакции или жизнеугрожающей инфузионной реакции 4-й степени необходимо окончательно прекратить введение ритуксимаба и оказать необходимую экстренную помощь.</w:t>
      </w:r>
    </w:p>
    <w:p w14:paraId="0A8DE673" w14:textId="77777777" w:rsidR="00A16AAE" w:rsidRPr="00CB3251" w:rsidRDefault="00A16AAE" w:rsidP="00A16AAE">
      <w:pPr>
        <w:tabs>
          <w:tab w:val="left" w:pos="0"/>
        </w:tabs>
        <w:rPr>
          <w:rFonts w:cs="Times New Roman"/>
          <w:color w:val="000000" w:themeColor="text1"/>
          <w:szCs w:val="24"/>
        </w:rPr>
      </w:pPr>
      <w:r w:rsidRPr="00CB3251">
        <w:rPr>
          <w:rFonts w:cs="Times New Roman"/>
          <w:color w:val="000000" w:themeColor="text1"/>
          <w:szCs w:val="24"/>
        </w:rPr>
        <w:t>В связи с опасностью развития гипотензии рекомендуется отмена антигипертензивных препаратов за 12 ч до начала и на протяжении всего времени инфузии ритуксимаба.</w:t>
      </w:r>
    </w:p>
    <w:p w14:paraId="00CE9370" w14:textId="4A715B6D" w:rsidR="00A16AAE" w:rsidRPr="00053AE8" w:rsidRDefault="00053AE8" w:rsidP="00053AE8">
      <w:pPr>
        <w:tabs>
          <w:tab w:val="left" w:pos="0"/>
        </w:tabs>
        <w:ind w:firstLine="0"/>
        <w:rPr>
          <w:rFonts w:cs="Times New Roman"/>
          <w:i/>
          <w:color w:val="000000" w:themeColor="text1"/>
          <w:lang w:eastAsia="ru-RU"/>
        </w:rPr>
      </w:pPr>
      <w:r>
        <w:rPr>
          <w:rFonts w:cs="Times New Roman"/>
          <w:i/>
          <w:color w:val="000000" w:themeColor="text1"/>
          <w:lang w:eastAsia="ru-RU"/>
        </w:rPr>
        <w:tab/>
      </w:r>
      <w:r w:rsidR="00A16AAE" w:rsidRPr="00053AE8">
        <w:rPr>
          <w:rFonts w:cs="Times New Roman"/>
          <w:i/>
          <w:color w:val="000000" w:themeColor="text1"/>
          <w:lang w:eastAsia="ru-RU"/>
        </w:rPr>
        <w:t>Подкожное применение</w:t>
      </w:r>
    </w:p>
    <w:p w14:paraId="0FFAD202" w14:textId="51A1E334" w:rsidR="00A16AAE" w:rsidRPr="00CB3251" w:rsidRDefault="00A16AAE" w:rsidP="00A16AAE">
      <w:pPr>
        <w:tabs>
          <w:tab w:val="left" w:pos="0"/>
        </w:tabs>
        <w:rPr>
          <w:rFonts w:cs="Times New Roman"/>
          <w:color w:val="000000" w:themeColor="text1"/>
          <w:szCs w:val="24"/>
        </w:rPr>
      </w:pPr>
      <w:r w:rsidRPr="00CB3251">
        <w:rPr>
          <w:rFonts w:cs="Times New Roman"/>
          <w:color w:val="000000" w:themeColor="text1"/>
          <w:szCs w:val="24"/>
        </w:rPr>
        <w:t>Ритуксимаб в лекарственной форме «раствор для подкожного введения» в дозировке 1400мг может применяться после внутривенного ведения полной первой дозы препараты, в том числе у пациентов с затрудненным венозным доступом. Игла для подкожного введения должна быть присоединена к шприцу непосредственно перед введением препарата для предотвращения возможной закупорки иглы. Препарат вводится в течение 5 минут подкожно в переднюю брюшную стенку, исключая места гематом, уплотнений, повышенной чувствительности, покраснений, родимые пятна, ткани рубцов. В случае прерывания инъекции ее можно возобновить в том же самом месте или, при необходимости, изменить место инъекции. Препарат в лекарственной форме «раствор для подкожного введения» и другие препараты, также предназначенные для п/к введения, по возможности, следует вводить в разные места. Перед каждым применением препарата необходимо проводить премедикацию (анальгетик/антипиретик, например парацетамол/кетопрофен; антигистаминный препарат, например, дифенгидрамин/клемастин). Если препарат применяется не в комбинации с химиотерапией, содержащей глюкокортикостероиды, то в состав премедикации также входят глюкокортикостероиды.</w:t>
      </w:r>
    </w:p>
    <w:p w14:paraId="352A83C8" w14:textId="7DB80F53" w:rsidR="00A16AAE" w:rsidRDefault="00A16AAE" w:rsidP="00A16AAE">
      <w:pPr>
        <w:rPr>
          <w:rFonts w:cs="Times New Roman"/>
          <w:color w:val="000000" w:themeColor="text1"/>
          <w:szCs w:val="24"/>
        </w:rPr>
      </w:pPr>
    </w:p>
    <w:p w14:paraId="1ACB0BBD" w14:textId="7FC91E68" w:rsidR="00731C0C" w:rsidRPr="00731C0C" w:rsidRDefault="00053AE8" w:rsidP="00731C0C">
      <w:pPr>
        <w:pStyle w:val="11"/>
      </w:pPr>
      <w:bookmarkStart w:id="109" w:name="_Toc65586428"/>
      <w:r>
        <w:t>Приложение А3.4.</w:t>
      </w:r>
      <w:r w:rsidR="00731C0C">
        <w:t xml:space="preserve"> </w:t>
      </w:r>
      <w:r w:rsidR="00731C0C" w:rsidRPr="00CC66C1">
        <w:t>Инфузионная терапия у гематологических пациентов</w:t>
      </w:r>
      <w:bookmarkEnd w:id="109"/>
    </w:p>
    <w:p w14:paraId="3908579D" w14:textId="77777777" w:rsidR="00731C0C" w:rsidRPr="00CC66C1" w:rsidRDefault="00731C0C" w:rsidP="00731C0C">
      <w:pPr>
        <w:rPr>
          <w:rFonts w:cs="Times New Roman"/>
          <w:szCs w:val="24"/>
        </w:rPr>
      </w:pPr>
      <w:r w:rsidRPr="00CC66C1">
        <w:rPr>
          <w:rFonts w:cs="Times New Roman"/>
          <w:szCs w:val="24"/>
        </w:rPr>
        <w:t>Особое место в сопроводительной терапии пациентов с онкогематологическими заболеваниями занимает инфузионная терапия (ИТ). Она используется почти у всех пациентов, находящихся на стационарном лечении. Однако некорректное ее применение может приводить к тяжелым осложнениям. Инфузионные растворы должны рассматриваться как лекарственные препараты со своими показаниями и противопоказаниями. Необходим обоснованный выбор типа раствора, его количества и темпа введения. Несмотря на накопленный опыт использования ИТ (первое сообщение о применении внутривенной инфузии раствора солей у больных холерой появилось почти 200 лет назад), концепции и схемы ИТ продолжают развиваться.</w:t>
      </w:r>
    </w:p>
    <w:p w14:paraId="1016071E" w14:textId="77777777" w:rsidR="00731C0C" w:rsidRPr="00CC66C1" w:rsidRDefault="00731C0C" w:rsidP="00731C0C">
      <w:pPr>
        <w:rPr>
          <w:rFonts w:cs="Times New Roman"/>
          <w:szCs w:val="24"/>
        </w:rPr>
      </w:pPr>
      <w:r w:rsidRPr="00CC66C1">
        <w:rPr>
          <w:rFonts w:cs="Times New Roman"/>
          <w:szCs w:val="24"/>
        </w:rPr>
        <w:t>ИТ в гематологии используется для решения таких задач, как создание гемоделюции и форсированного диуреза для профилактики синдрома лизиса опухоли, возмещение жидкостных потерь в результате диареи, лихорадки, сепсиса, кровотечения, депонирования в полостях организма и коррекция электролитных расстройств.</w:t>
      </w:r>
    </w:p>
    <w:p w14:paraId="381BBEA6" w14:textId="77777777" w:rsidR="00731C0C" w:rsidRDefault="00731C0C" w:rsidP="00731C0C">
      <w:pPr>
        <w:rPr>
          <w:rFonts w:cs="Times New Roman"/>
          <w:i/>
          <w:szCs w:val="24"/>
        </w:rPr>
      </w:pPr>
    </w:p>
    <w:p w14:paraId="1B6DBB5A" w14:textId="77777777" w:rsidR="00731C0C" w:rsidRPr="00CC66C1" w:rsidRDefault="00731C0C" w:rsidP="00731C0C">
      <w:pPr>
        <w:rPr>
          <w:rFonts w:cs="Times New Roman"/>
          <w:i/>
          <w:szCs w:val="24"/>
          <w:u w:val="single"/>
        </w:rPr>
      </w:pPr>
      <w:r w:rsidRPr="00CC66C1">
        <w:rPr>
          <w:rFonts w:cs="Times New Roman"/>
          <w:i/>
          <w:szCs w:val="24"/>
          <w:u w:val="single"/>
        </w:rPr>
        <w:t>Виды инфузионных растворов</w:t>
      </w:r>
    </w:p>
    <w:p w14:paraId="5BB92564" w14:textId="77777777" w:rsidR="00731C0C" w:rsidRPr="00CC66C1" w:rsidRDefault="00731C0C" w:rsidP="00731C0C">
      <w:pPr>
        <w:rPr>
          <w:rFonts w:cs="Times New Roman"/>
          <w:szCs w:val="24"/>
        </w:rPr>
      </w:pPr>
      <w:r w:rsidRPr="00CC66C1">
        <w:rPr>
          <w:rFonts w:cs="Times New Roman"/>
          <w:szCs w:val="24"/>
        </w:rPr>
        <w:t xml:space="preserve">Кристаллоиды и коллоиды – два основных типа растворов, которые используются для ИТ в медицине. Кристаллоиды – это растворы солей и глюкозы, которые могут легко премещаться за пределы сосудистого русла посредством диффузии в отличие от коллоидов, представляющие собой растворы крупных молекул (гидроксиэтилкрахмала (ГЭК), альбумина), благодаря которым после инфузии преимущественно остаются в русле и увеличивают коллоидно-осмотическое давление, тем самым удерживая жидкость в просвете сосуда. Однако коллоидные растворы (в частности растворы ГЭК первого и второго поколения) обладают более широким спектром побочных эффектов: нефротоксичность, способность вызывать гипокоагуляцию. Поэтому высокая способность удерживать жидкость в сосудистом русле в сочетании с потенциальной опасностью у коллоидов против низкой коллоидно-осмотической способности и относительной безопасности кристаллоидов являются предметом спора в выборе наилучшего типа раствора для инфузии. Но коллоиды и кристаллоиды не являются взаимоисключающими растворами, а используются в различных клинических ситуациях. Преимущественно для поддерживающей ИТ и при коррекции </w:t>
      </w:r>
      <w:r w:rsidRPr="00CC66C1">
        <w:rPr>
          <w:rFonts w:cs="Times New Roman"/>
          <w:i/>
          <w:szCs w:val="24"/>
        </w:rPr>
        <w:t>дегидратации</w:t>
      </w:r>
      <w:r w:rsidRPr="00CC66C1">
        <w:rPr>
          <w:rFonts w:cs="Times New Roman"/>
          <w:szCs w:val="24"/>
        </w:rPr>
        <w:t xml:space="preserve"> в результате потери жидкости с перспирацией, лихорадкой, диареей, когда обезвоживаются все жидкостные пространства организма (сосудистое русло, интерстиций, внутриклеточная жидкость) используют сбалансированные кристаллоидные растворы. В экстренных ситуациях, например при массивном кровотечении (</w:t>
      </w:r>
      <w:r w:rsidRPr="00CC66C1">
        <w:rPr>
          <w:rFonts w:cs="Times New Roman"/>
          <w:i/>
          <w:szCs w:val="24"/>
        </w:rPr>
        <w:t>гиповолемия</w:t>
      </w:r>
      <w:r w:rsidRPr="00CC66C1">
        <w:rPr>
          <w:rFonts w:cs="Times New Roman"/>
          <w:szCs w:val="24"/>
        </w:rPr>
        <w:t>), когда требуется быстрое восполнение объема циркулирующей крови для поддержания гемодинамики и, соответственно, доставки кислорода тканям, используют комбинацию коллоидных и кристаллоидных растворов.</w:t>
      </w:r>
    </w:p>
    <w:p w14:paraId="68DC41EC" w14:textId="46C57720" w:rsidR="00731C0C" w:rsidRPr="00CC66C1" w:rsidRDefault="00731C0C" w:rsidP="00731C0C">
      <w:pPr>
        <w:rPr>
          <w:rFonts w:cs="Times New Roman"/>
          <w:szCs w:val="24"/>
        </w:rPr>
      </w:pPr>
      <w:r w:rsidRPr="00CC66C1">
        <w:rPr>
          <w:rFonts w:cs="Times New Roman"/>
          <w:i/>
          <w:szCs w:val="24"/>
        </w:rPr>
        <w:t xml:space="preserve">Изотонический 0,9% раствор натрия хлорида (0,9% </w:t>
      </w:r>
      <w:r w:rsidRPr="00CC66C1">
        <w:rPr>
          <w:rFonts w:cs="Times New Roman"/>
          <w:i/>
          <w:szCs w:val="24"/>
          <w:lang w:val="en-US"/>
        </w:rPr>
        <w:t>NaCl</w:t>
      </w:r>
      <w:r w:rsidRPr="00CC66C1">
        <w:rPr>
          <w:rFonts w:cs="Times New Roman"/>
          <w:i/>
          <w:szCs w:val="24"/>
        </w:rPr>
        <w:t>),</w:t>
      </w:r>
      <w:r w:rsidRPr="00CC66C1">
        <w:rPr>
          <w:rFonts w:cs="Times New Roman"/>
          <w:szCs w:val="24"/>
        </w:rPr>
        <w:t xml:space="preserve"> который исторически принято было называть физиологическим, таковым не является. Это связано с его высокой концентрацией ионов натрия 154 ммоль/л и хлорида 154 ммоль/л, что выше, чем в плазме здорового человека (см. таб. 1), и с отсутствием буфера. Поэтому инфузия изотонического раствора хлорида натрия может привести к гиперхлоремическому метаболическому ацидозу с развитием хлорид-индуцированного спазма почечных капилляров с последующей острой почечной недостаточностью</w:t>
      </w:r>
      <w:r w:rsidRPr="0048699E">
        <w:rPr>
          <w:rFonts w:cs="Times New Roman"/>
          <w:szCs w:val="24"/>
        </w:rPr>
        <w:t xml:space="preserve"> </w:t>
      </w:r>
      <w:r w:rsidRPr="00CC66C1">
        <w:rPr>
          <w:rFonts w:cs="Times New Roman"/>
          <w:szCs w:val="24"/>
        </w:rPr>
        <w:fldChar w:fldCharType="begin" w:fldLock="1"/>
      </w:r>
      <w:r w:rsidR="00C05F48">
        <w:rPr>
          <w:rFonts w:cs="Times New Roman"/>
          <w:szCs w:val="24"/>
        </w:rPr>
        <w:instrText>ADDIN CSL_CITATION {"citationItems":[{"id":"ITEM-1","itemData":{"DOI":"10.1001/jama.2015.12334","ISSN":"15383598","abstract":"IMPORTANCE: Saline (0.9% sodium chloride) is the most commonly administered intravenous fluid; however, its use may be associated with acute kidney injury (AKI) and increased mortality. OBJECTIVE: To determine the effect of a buffered crystalloid compared with saline on renal complications in patients admitted to the intensive care unit (ICU). DESIGN AND SETTING: Double-blind, cluster randomized, double-crossover trial conducted in 4 ICUs in New Zealand from April 2014 through October 2014. Three ICUs were general medical and surgical ICUs; 1ICU had a predominance of cardiothoracic and vascular surgical patients. PARTICIPANTS: All patients admitted to the ICU requiring crystalloid fluid therapy were eligible for inclusion. Patients with established AKI requiring renal replacement therapy (RRT) were excluded. All 2278 eligible patients were enrolled; 1152 of 1162 patients (99.1%) receiving buffered crystalloid and 1110 of 1116 patients (99.5%) receiving saline were analyzed. INTERVENTIONS: Participating ICUs were assigned a masked study fluid, either saline or a buffered crystalloid, for alternating 7-week treatment blocks. Two ICUs commenced using 1 fluid and the other 2 commenced using the alternative fluid. Two crossovers occurred so that each ICU used each fluid twice over the 28 weeks of the study. The treating clinician determined the rate and frequency of fluid administration. MAIN OUTCOMES AND MEASURES: The primary outcome was proportion of patients with AKI (defined as a rise in serum creatinine level of at least 2-fold or a serum creatinine level of ≥3.96 mg/dL with an increase of ≥0.5 mg/dL); main secondary outcomes were incidence of RRT use and in-hospital mortality. RESULTS: In the buffered crystalloid group, 102 of 1067 patients (9.6%) developed AKI within 90 days after enrollment compared with 94 of 1025 patients (9.2%) in the saline group (absolute difference, 0.4% [95% CI, -2.1% to 2.9%]; relative risk [RR], 1.04 [95% CI, 0.80 to 1.36]; P =.77). In the buffered crystalloid group, RRT was used in 38 of 1152 patients (3.3%) compared with 38 of 1110 patients (3.4%) in the saline group (absolute difference, -0.1% [95% CI, -1.6% to 1.4%]; RR, 0.96 [95% CI, 0.62 to 1.50]; P =.91). Overall, 87 of 1152 patients (7.6%) in the buffered crystalloid group and 95 of 1110 patients (8.6%) in the saline group died in the hospital (absolute difference, -1.0% [95% CI, -3.3% to 1.2%]; RR, 0.88 [95% CI, 0.67 to 1.17]; P=.40). CONCLUSIONS AND RELEVANCE: Amon…","author":[{"dropping-particle":"","family":"Young","given":"Paul","non-dropping-particle":"","parse-names":false,"suffix":""},{"dropping-particle":"","family":"Bailey","given":"Michael","non-dropping-particle":"","parse-names":false,"suffix":""},{"dropping-particle":"","family":"Beasley","given":"Richard","non-dropping-particle":"","parse-names":false,"suffix":""},{"dropping-particle":"","family":"Henderson","given":"Seton","non-dropping-particle":"","parse-names":false,"suffix":""},{"dropping-particle":"","family":"Mackle","given":"Diane","non-dropping-particle":"","parse-names":false,"suffix":""},{"dropping-particle":"","family":"McArthur","given":"Colin","non-dropping-particle":"","parse-names":false,"suffix":""},{"dropping-particle":"","family":"McGuinness","given":"Shay","non-dropping-particle":"","parse-names":false,"suffix":""},{"dropping-particle":"","family":"Mehrtens","given":"Jan","non-dropping-particle":"","parse-names":false,"suffix":""},{"dropping-particle":"","family":"Myburgh","given":"John","non-dropping-particle":"","parse-names":false,"suffix":""},{"dropping-particle":"","family":"Psirides","given":"Alex","non-dropping-particle":"","parse-names":false,"suffix":""},{"dropping-particle":"","family":"Reddy","given":"Sumeet","non-dropping-particle":"","parse-names":false,"suffix":""},{"dropping-particle":"","family":"Bellomo","given":"Rinaldo","non-dropping-particle":"","parse-names":false,"suffix":""},{"dropping-particle":"","family":"Hunt","given":"Anna","non-dropping-particle":"","parse-names":false,"suffix":""},{"dropping-particle":"","family":"Hurford","given":"Sally","non-dropping-particle":"","parse-names":false,"suffix":""},{"dropping-particle":"","family":"Navarra","given":"Leanlove","non-dropping-particle":"","parse-names":false,"suffix":""},{"dropping-particle":"","family":"Jason-Smith","given":"Adelaide","non-dropping-particle":"","parse-names":false,"suffix":""},{"dropping-particle":"","family":"Andrews","given":"Lynn","non-dropping-particle":"","parse-names":false,"suffix":""},{"dropping-particle":"","family":"Hitchings","given":"Louise","non-dropping-particle":"","parse-names":false,"suffix":""},{"dropping-particle":"","family":"Closey","given":"David","non-dropping-particle":"","parse-names":false,"suffix":""},{"dropping-particle":"","family":"Parker","given":"Kim","non-dropping-particle":"","parse-names":false,"suffix":""},{"dropping-particle":"","family":"Minto","given":"Emmeline","non-dropping-particle":"","parse-names":false,"suffix":""},{"dropping-particle":"","family":"Morris","given":"Anna","non-dropping-particle":"","parse-names":false,"suffix":""},{"dropping-particle":"","family":"McConnochie","given":"Rachael","non-dropping-particle":"","parse-names":false,"suffix":""},{"dropping-particle":"","family":"Chen","given":"Yan","non-dropping-particle":"","parse-names":false,"suffix":""},{"dropping-particle":"","family":"Newby","given":"Lynette","non-dropping-particle":"","parse-names":false,"suffix":""},{"dropping-particle":"","family":"Parke","given":"Rachael","non-dropping-particle":"","parse-names":false,"suffix":""},{"dropping-particle":"","family":"McCarthy","given":"Lianne","non-dropping-particle":"","parse-names":false,"suffix":""},{"dropping-particle":"","family":"Gilder","given":"Eileen","non-dropping-particle":"","parse-names":false,"suffix":""},{"dropping-particle":"","family":"Lammert","given":"Andrea","non-dropping-particle":"","parse-names":false,"suffix":""},{"dropping-particle":"","family":"Long","given":"Stephanie","non-dropping-particle":"","parse-names":false,"suffix":""},{"dropping-particle":"","family":"Cowdrey","given":"Keri Anne","non-dropping-particle":"","parse-names":false,"suffix":""},{"dropping-particle":"","family":"Perner","given":"Anders","non-dropping-particle":"","parse-names":false,"suffix":""},{"dropping-particle":"","family":"Morgan","given":"John","non-dropping-particle":"","parse-names":false,"suffix":""},{"dropping-particle":"","family":"Forbes","given":"Andrew","non-dropping-particle":"","parse-names":false,"suffix":""}],"container-title":"JAMA - Journal of the American Medical Association","id":"ITEM-1","issue":"16","issued":{"date-parts":[["2015","10"]]},"page":"1701-1710","publisher":"American Medical Association","title":"Effect of a buffered crystalloid solution vs saline on acute kidney injury among patients in the intensive care unit: The SPLIT randomized clinical trial","type":"article-journal","volume":"314"},"uris":["http://www.mendeley.com/documents/?uuid=2c88c5d9-bfcc-3520-b6bd-db50c835be5e","http://www.mendeley.com/documents/?uuid=14481e58-7f37-4980-972f-c16576e0318f"]}],"mendeley":{"formattedCitation":"[140]","plainTextFormattedCitation":"[140]","previouslyFormattedCitation":"[140]"},"properties":{"noteIndex":0},"schema":"https://github.com/citation-style-language/schema/raw/master/csl-citation.json"}</w:instrText>
      </w:r>
      <w:r w:rsidRPr="00CC66C1">
        <w:rPr>
          <w:rFonts w:cs="Times New Roman"/>
          <w:szCs w:val="24"/>
        </w:rPr>
        <w:fldChar w:fldCharType="end"/>
      </w:r>
      <w:r w:rsidR="00F040F8">
        <w:rPr>
          <w:rFonts w:cs="Times New Roman"/>
          <w:szCs w:val="24"/>
        </w:rPr>
        <w:t>[140]</w:t>
      </w:r>
      <w:r w:rsidR="005C0C1F">
        <w:rPr>
          <w:rFonts w:cs="Times New Roman"/>
          <w:szCs w:val="24"/>
        </w:rPr>
        <w:t>[140]</w:t>
      </w:r>
      <w:r w:rsidR="00955421">
        <w:rPr>
          <w:rFonts w:cs="Times New Roman"/>
          <w:szCs w:val="24"/>
        </w:rPr>
        <w:t>[140]</w:t>
      </w:r>
      <w:r w:rsidR="00ED3198">
        <w:rPr>
          <w:rFonts w:cs="Times New Roman"/>
          <w:szCs w:val="24"/>
        </w:rPr>
        <w:t>[140]</w:t>
      </w:r>
      <w:r w:rsidR="00A9496B">
        <w:rPr>
          <w:rFonts w:cs="Times New Roman"/>
          <w:szCs w:val="24"/>
        </w:rPr>
        <w:t>[140][140][140][140]</w:t>
      </w:r>
      <w:r w:rsidR="004810E5">
        <w:rPr>
          <w:rFonts w:cs="Times New Roman"/>
          <w:szCs w:val="24"/>
        </w:rPr>
        <w:t>[140][140]</w:t>
      </w:r>
      <w:r w:rsidR="004F33C9">
        <w:rPr>
          <w:rFonts w:cs="Times New Roman"/>
          <w:szCs w:val="24"/>
        </w:rPr>
        <w:t>[140]</w:t>
      </w:r>
      <w:r w:rsidR="00C05F48">
        <w:rPr>
          <w:rFonts w:cs="Times New Roman"/>
          <w:szCs w:val="24"/>
        </w:rPr>
        <w:t>[140]</w:t>
      </w:r>
      <w:r w:rsidR="00935A5F">
        <w:rPr>
          <w:rFonts w:cs="Times New Roman"/>
          <w:szCs w:val="24"/>
        </w:rPr>
        <w:t>[140]</w:t>
      </w:r>
      <w:r>
        <w:rPr>
          <w:rFonts w:cs="Times New Roman"/>
          <w:szCs w:val="24"/>
        </w:rPr>
        <w:t>[1]</w:t>
      </w:r>
      <w:r w:rsidRPr="00CC66C1">
        <w:rPr>
          <w:rFonts w:cs="Times New Roman"/>
          <w:szCs w:val="24"/>
        </w:rPr>
        <w:t xml:space="preserve">. </w:t>
      </w:r>
    </w:p>
    <w:p w14:paraId="64D9D758" w14:textId="77777777" w:rsidR="00731C0C" w:rsidRPr="00CC66C1" w:rsidRDefault="00731C0C" w:rsidP="00731C0C">
      <w:pPr>
        <w:rPr>
          <w:rFonts w:cs="Times New Roman"/>
          <w:szCs w:val="24"/>
        </w:rPr>
      </w:pPr>
      <w:r w:rsidRPr="00CC66C1">
        <w:rPr>
          <w:rFonts w:cs="Times New Roman"/>
          <w:szCs w:val="24"/>
        </w:rPr>
        <w:t xml:space="preserve">Введение 1000 мл 0,9% натрия хлорида увеличивает объем плазмы на 275 мл, а интерстициальной жидкости на 875 мл,  суммарно 1100 мл  (на 100 мл больше за счет диффузии воды из внутриклеточного пространства в интерстиций под действием концентрационного градиента, который создается ионами </w:t>
      </w:r>
      <w:r w:rsidRPr="00CC66C1">
        <w:rPr>
          <w:rFonts w:cs="Times New Roman"/>
          <w:szCs w:val="24"/>
          <w:lang w:val="en-US"/>
        </w:rPr>
        <w:t>Na</w:t>
      </w:r>
      <w:r w:rsidRPr="00CC66C1">
        <w:rPr>
          <w:rFonts w:cs="Times New Roman"/>
          <w:szCs w:val="24"/>
        </w:rPr>
        <w:t xml:space="preserve">).   Принимая во внимание побочные эффекты, следует избегать использования 0,9% </w:t>
      </w:r>
      <w:r w:rsidRPr="00CC66C1">
        <w:rPr>
          <w:rFonts w:cs="Times New Roman"/>
          <w:szCs w:val="24"/>
          <w:lang w:val="en-US"/>
        </w:rPr>
        <w:t>NaCl</w:t>
      </w:r>
      <w:r w:rsidRPr="00CC66C1">
        <w:rPr>
          <w:rFonts w:cs="Times New Roman"/>
          <w:szCs w:val="24"/>
        </w:rPr>
        <w:t xml:space="preserve"> для ИТ и применять его в качестве растворителя для фармакологических препаратов. </w:t>
      </w:r>
    </w:p>
    <w:p w14:paraId="1427384B" w14:textId="77777777" w:rsidR="00731C0C" w:rsidRPr="00CC66C1" w:rsidRDefault="00731C0C" w:rsidP="00731C0C">
      <w:pPr>
        <w:rPr>
          <w:rFonts w:cs="Times New Roman"/>
          <w:szCs w:val="24"/>
        </w:rPr>
      </w:pPr>
      <w:r w:rsidRPr="00CC66C1">
        <w:rPr>
          <w:rFonts w:cs="Times New Roman"/>
          <w:i/>
          <w:szCs w:val="24"/>
        </w:rPr>
        <w:t>Сбалансированные кристаллоидные растворы (Стерофундин, Плазмалит, Рингер-лактат (таб.1))</w:t>
      </w:r>
      <w:r w:rsidRPr="00CC66C1">
        <w:rPr>
          <w:rFonts w:cs="Times New Roman"/>
          <w:szCs w:val="24"/>
        </w:rPr>
        <w:t xml:space="preserve"> обладают меньшим количеством побочных эффектов за счет снижения концентрации ионов натрия и добавления буфера в раствор, что частично решает проблемы периферических отеков: низкая концентрация ионов натрия в растворе не создает градиент для диффузии воды из внутриклеточного пространства, как это происходит при использовании 0,9% натрия хлорида, а находящийся в растворе  буфер предотвращает развитие ацидоза. Однако раствор Рингер-лактата</w:t>
      </w:r>
      <w:r w:rsidRPr="00CC66C1">
        <w:rPr>
          <w:rFonts w:cs="Times New Roman"/>
          <w:i/>
          <w:szCs w:val="24"/>
        </w:rPr>
        <w:t xml:space="preserve"> </w:t>
      </w:r>
      <w:r w:rsidRPr="00CC66C1">
        <w:rPr>
          <w:rFonts w:cs="Times New Roman"/>
          <w:szCs w:val="24"/>
        </w:rPr>
        <w:t xml:space="preserve">является гипоосмолярным – 256 ммоль/л, что делает его непригодным для использования у пациентов с отеком головного мозга. В настоящее время раствор Рингер-лактата успешно применяется для коррекции гипернатриемии, инфузионной терапии во время лечения сепсиса, панкреатита и др. </w:t>
      </w:r>
    </w:p>
    <w:p w14:paraId="3FA7493F" w14:textId="77777777" w:rsidR="00731C0C" w:rsidRPr="00CC66C1" w:rsidRDefault="00731C0C" w:rsidP="00731C0C">
      <w:pPr>
        <w:rPr>
          <w:rFonts w:cs="Times New Roman"/>
          <w:szCs w:val="24"/>
        </w:rPr>
      </w:pPr>
      <w:r w:rsidRPr="00CC66C1">
        <w:rPr>
          <w:rFonts w:cs="Times New Roman"/>
          <w:szCs w:val="24"/>
        </w:rPr>
        <w:t xml:space="preserve">Следует помнить, что у пациентов с циркуляторным шоком (тканевой гипоксией) и с заболеваниями печени лактат из раствора не будет метаболизироваться в анаэробных условиях до бикарбоната, что может приводить к гиперлактатаемии. Следует ограничивать проведение ИТ раствором Рингер-лактата у пациентов с циркуляторным шоком. Необходимо с осторожностью использовать раствор Рингер – Лактата для разведения эритроцитарной массы, так как находящийся в растворе кальций может связать цитрат (антикоагулянт для компонентов крови) и вызвать образование сгустков крови в пакете с компонентами крови.  </w:t>
      </w:r>
    </w:p>
    <w:p w14:paraId="0FB1D1FA" w14:textId="230F328B" w:rsidR="00731C0C" w:rsidRPr="00CC66C1" w:rsidRDefault="00731C0C" w:rsidP="00731C0C">
      <w:pPr>
        <w:ind w:firstLine="708"/>
        <w:rPr>
          <w:rFonts w:cs="Times New Roman"/>
          <w:szCs w:val="24"/>
        </w:rPr>
      </w:pPr>
      <w:r w:rsidRPr="00CC66C1">
        <w:rPr>
          <w:rFonts w:cs="Times New Roman"/>
          <w:szCs w:val="24"/>
        </w:rPr>
        <w:t xml:space="preserve">Современные растворы, такие как </w:t>
      </w:r>
      <w:r w:rsidRPr="00CC66C1">
        <w:rPr>
          <w:rFonts w:cs="Times New Roman"/>
          <w:i/>
          <w:szCs w:val="24"/>
        </w:rPr>
        <w:t>Стерофундин, Плазмалит</w:t>
      </w:r>
      <w:r w:rsidRPr="00CC66C1">
        <w:rPr>
          <w:rFonts w:cs="Times New Roman"/>
          <w:szCs w:val="24"/>
        </w:rPr>
        <w:t xml:space="preserve"> и др., содержат в себе меньшую концентрацию кальция за счет добавления ионов магния, а в качестве буфера – ацетат. Таким образом, у этих растворов также имеется ряд преимуществ перед изотоническим раствором натрия и раствором Рингер-лактат: более низкая концентрация хлорида уменьшает риск развития гиперхлоремического ацидоза, а применение ацетата в качестве буфера дает возможность применять эти растворы у больных с печеночной недостаточностью и циркуляторным шоком без риска ятрогенной гиперлактатемии. Эти растворы также подходят для проведения регидратации при снижении объема жидкости при диареи, рвоте, лихорадке. </w:t>
      </w:r>
    </w:p>
    <w:p w14:paraId="33D1205D" w14:textId="77777777" w:rsidR="00731C0C" w:rsidRPr="00CC66C1" w:rsidRDefault="00731C0C" w:rsidP="00731C0C">
      <w:pPr>
        <w:rPr>
          <w:rFonts w:cs="Times New Roman"/>
          <w:szCs w:val="24"/>
        </w:rPr>
      </w:pPr>
      <w:r w:rsidRPr="00CC66C1">
        <w:rPr>
          <w:rFonts w:cs="Times New Roman"/>
          <w:szCs w:val="24"/>
        </w:rPr>
        <w:t xml:space="preserve">Не рекомендуется использование изотонического раствора  натрия хлорида у пациентов с гиперкалиемией и почечной недостаточностью (например, при синдроме лизиса опухоли) вместо сбалансированных кристаллоидных растворов, несмотря на наличие в составе последних ионов калия, так как ацидоз, возникающий при использовании 0,9% раствора натрия хлорида, может усугубить гиперкалиемию за счет трансклеточного сдвига калия, который происходит для поддержания электронейтральности плазмы во время ацидоза. Введение же сбалансированного кристаллоидного инфузионного раствора с концентрацией калия 4 ммоль/л больному с гиперкалиемией будет уменьшать концентрацию калия в сторону значения концентрации калия в вводимом растворе.     </w:t>
      </w:r>
    </w:p>
    <w:p w14:paraId="78D360A1" w14:textId="77777777" w:rsidR="00731C0C" w:rsidRPr="00CC66C1" w:rsidRDefault="00731C0C" w:rsidP="00731C0C">
      <w:pPr>
        <w:rPr>
          <w:rFonts w:cs="Times New Roman"/>
          <w:szCs w:val="24"/>
        </w:rPr>
      </w:pPr>
      <w:r w:rsidRPr="00CC66C1">
        <w:rPr>
          <w:rFonts w:cs="Times New Roman"/>
          <w:szCs w:val="24"/>
        </w:rPr>
        <w:t xml:space="preserve">Растворы глюкозы в настоящее время для инфузионной терапии практически не применяются. Это связано как с побочными эффектами – гипергликемия  и повышение концентрации лактата крови, так и с низкой волемической активностью 5% раствора глюкозы: при инфузии 1000 мл 5% раствора глюкозы только 100 мл остается в сосудистом русле, объем жидкости в интерстициальном пространстве увеличивается на 250 мл, 650 мл раствора перемещается во внутриклеточное пространство. </w:t>
      </w:r>
    </w:p>
    <w:p w14:paraId="602F0050" w14:textId="77777777" w:rsidR="00731C0C" w:rsidRDefault="00731C0C" w:rsidP="00731C0C">
      <w:pPr>
        <w:rPr>
          <w:rFonts w:cs="Times New Roman"/>
          <w:szCs w:val="24"/>
        </w:rPr>
      </w:pPr>
    </w:p>
    <w:p w14:paraId="062BF8C6" w14:textId="77777777" w:rsidR="00731C0C" w:rsidRPr="00CC66C1" w:rsidRDefault="00731C0C" w:rsidP="00731C0C">
      <w:pPr>
        <w:rPr>
          <w:rFonts w:cs="Times New Roman"/>
          <w:szCs w:val="24"/>
        </w:rPr>
      </w:pPr>
      <w:r w:rsidRPr="00CC66C1">
        <w:rPr>
          <w:rFonts w:cs="Times New Roman"/>
          <w:szCs w:val="24"/>
        </w:rPr>
        <w:t>Таблица 1. Кристаллоидные растворы</w:t>
      </w:r>
    </w:p>
    <w:tbl>
      <w:tblPr>
        <w:tblStyle w:val="aff9"/>
        <w:tblW w:w="0" w:type="auto"/>
        <w:tblLook w:val="04A0" w:firstRow="1" w:lastRow="0" w:firstColumn="1" w:lastColumn="0" w:noHBand="0" w:noVBand="1"/>
      </w:tblPr>
      <w:tblGrid>
        <w:gridCol w:w="1900"/>
        <w:gridCol w:w="1859"/>
        <w:gridCol w:w="1841"/>
        <w:gridCol w:w="1861"/>
        <w:gridCol w:w="1885"/>
      </w:tblGrid>
      <w:tr w:rsidR="00731C0C" w:rsidRPr="00CC66C1" w14:paraId="6F5FDA90" w14:textId="77777777" w:rsidTr="002D3EBF">
        <w:tc>
          <w:tcPr>
            <w:tcW w:w="1914" w:type="dxa"/>
          </w:tcPr>
          <w:p w14:paraId="5FF37322" w14:textId="77777777" w:rsidR="00731C0C" w:rsidRPr="00CC66C1" w:rsidRDefault="00731C0C" w:rsidP="00B71D31">
            <w:pPr>
              <w:spacing w:line="240" w:lineRule="auto"/>
              <w:ind w:firstLine="0"/>
              <w:jc w:val="center"/>
              <w:rPr>
                <w:rFonts w:cs="Times New Roman"/>
                <w:b/>
                <w:szCs w:val="24"/>
              </w:rPr>
            </w:pPr>
            <w:r w:rsidRPr="00CC66C1">
              <w:rPr>
                <w:rFonts w:cs="Times New Roman"/>
                <w:b/>
                <w:szCs w:val="24"/>
              </w:rPr>
              <w:t>Компоненты</w:t>
            </w:r>
          </w:p>
        </w:tc>
        <w:tc>
          <w:tcPr>
            <w:tcW w:w="1914" w:type="dxa"/>
          </w:tcPr>
          <w:p w14:paraId="1994C9D4" w14:textId="77777777" w:rsidR="00731C0C" w:rsidRPr="00CC66C1" w:rsidRDefault="00731C0C" w:rsidP="00B71D31">
            <w:pPr>
              <w:spacing w:line="240" w:lineRule="auto"/>
              <w:ind w:firstLine="0"/>
              <w:jc w:val="center"/>
              <w:rPr>
                <w:rFonts w:cs="Times New Roman"/>
                <w:b/>
                <w:szCs w:val="24"/>
              </w:rPr>
            </w:pPr>
            <w:r w:rsidRPr="00CC66C1">
              <w:rPr>
                <w:rFonts w:cs="Times New Roman"/>
                <w:b/>
                <w:szCs w:val="24"/>
              </w:rPr>
              <w:t>Плазма</w:t>
            </w:r>
          </w:p>
        </w:tc>
        <w:tc>
          <w:tcPr>
            <w:tcW w:w="1914" w:type="dxa"/>
          </w:tcPr>
          <w:p w14:paraId="7C0F81C2" w14:textId="77777777" w:rsidR="00731C0C" w:rsidRPr="00CC66C1" w:rsidRDefault="00731C0C" w:rsidP="00B71D31">
            <w:pPr>
              <w:spacing w:line="240" w:lineRule="auto"/>
              <w:ind w:firstLine="0"/>
              <w:jc w:val="center"/>
              <w:rPr>
                <w:rFonts w:cs="Times New Roman"/>
                <w:b/>
                <w:szCs w:val="24"/>
                <w:lang w:val="en-US"/>
              </w:rPr>
            </w:pPr>
            <w:r w:rsidRPr="00CC66C1">
              <w:rPr>
                <w:rFonts w:cs="Times New Roman"/>
                <w:b/>
                <w:szCs w:val="24"/>
              </w:rPr>
              <w:t xml:space="preserve">0,9% </w:t>
            </w:r>
            <w:r w:rsidRPr="00CC66C1">
              <w:rPr>
                <w:rFonts w:cs="Times New Roman"/>
                <w:b/>
                <w:szCs w:val="24"/>
                <w:lang w:val="en-US"/>
              </w:rPr>
              <w:t>NaCl</w:t>
            </w:r>
          </w:p>
        </w:tc>
        <w:tc>
          <w:tcPr>
            <w:tcW w:w="1914" w:type="dxa"/>
          </w:tcPr>
          <w:p w14:paraId="79F1F512" w14:textId="77777777" w:rsidR="00731C0C" w:rsidRPr="00CC66C1" w:rsidRDefault="00731C0C" w:rsidP="00B71D31">
            <w:pPr>
              <w:spacing w:line="240" w:lineRule="auto"/>
              <w:ind w:firstLine="0"/>
              <w:jc w:val="center"/>
              <w:rPr>
                <w:rFonts w:cs="Times New Roman"/>
                <w:b/>
                <w:szCs w:val="24"/>
              </w:rPr>
            </w:pPr>
            <w:r w:rsidRPr="00CC66C1">
              <w:rPr>
                <w:rFonts w:cs="Times New Roman"/>
                <w:b/>
                <w:szCs w:val="24"/>
              </w:rPr>
              <w:t>Рингер-лактат</w:t>
            </w:r>
          </w:p>
        </w:tc>
        <w:tc>
          <w:tcPr>
            <w:tcW w:w="1915" w:type="dxa"/>
          </w:tcPr>
          <w:p w14:paraId="5253AEA5" w14:textId="77777777" w:rsidR="00731C0C" w:rsidRPr="00CC66C1" w:rsidRDefault="00731C0C" w:rsidP="00B71D31">
            <w:pPr>
              <w:spacing w:line="240" w:lineRule="auto"/>
              <w:ind w:firstLine="0"/>
              <w:jc w:val="center"/>
              <w:rPr>
                <w:rFonts w:cs="Times New Roman"/>
                <w:b/>
                <w:szCs w:val="24"/>
              </w:rPr>
            </w:pPr>
            <w:r w:rsidRPr="00CC66C1">
              <w:rPr>
                <w:rFonts w:cs="Times New Roman"/>
                <w:b/>
                <w:szCs w:val="24"/>
              </w:rPr>
              <w:t>Плазмалит</w:t>
            </w:r>
          </w:p>
        </w:tc>
      </w:tr>
      <w:tr w:rsidR="00731C0C" w:rsidRPr="00CC66C1" w14:paraId="3101C1C4" w14:textId="77777777" w:rsidTr="002D3EBF">
        <w:tc>
          <w:tcPr>
            <w:tcW w:w="1914" w:type="dxa"/>
          </w:tcPr>
          <w:p w14:paraId="4B50B25C" w14:textId="77777777" w:rsidR="00731C0C" w:rsidRPr="00CC66C1" w:rsidRDefault="00731C0C" w:rsidP="00B71D31">
            <w:pPr>
              <w:spacing w:line="240" w:lineRule="auto"/>
              <w:ind w:firstLine="0"/>
              <w:jc w:val="center"/>
              <w:rPr>
                <w:rFonts w:cs="Times New Roman"/>
                <w:szCs w:val="24"/>
              </w:rPr>
            </w:pPr>
            <w:r w:rsidRPr="00CC66C1">
              <w:rPr>
                <w:rFonts w:cs="Times New Roman"/>
                <w:szCs w:val="24"/>
              </w:rPr>
              <w:t>Натрий (ммоль/л)</w:t>
            </w:r>
          </w:p>
        </w:tc>
        <w:tc>
          <w:tcPr>
            <w:tcW w:w="1914" w:type="dxa"/>
          </w:tcPr>
          <w:p w14:paraId="71D74A90" w14:textId="77777777" w:rsidR="00731C0C" w:rsidRPr="00CC66C1" w:rsidRDefault="00731C0C" w:rsidP="00B71D31">
            <w:pPr>
              <w:spacing w:line="240" w:lineRule="auto"/>
              <w:ind w:firstLine="0"/>
              <w:jc w:val="center"/>
              <w:rPr>
                <w:rFonts w:cs="Times New Roman"/>
                <w:szCs w:val="24"/>
              </w:rPr>
            </w:pPr>
            <w:r w:rsidRPr="00CC66C1">
              <w:rPr>
                <w:rFonts w:cs="Times New Roman"/>
                <w:szCs w:val="24"/>
              </w:rPr>
              <w:t>135-145</w:t>
            </w:r>
          </w:p>
        </w:tc>
        <w:tc>
          <w:tcPr>
            <w:tcW w:w="1914" w:type="dxa"/>
          </w:tcPr>
          <w:p w14:paraId="6B5459AA" w14:textId="77777777" w:rsidR="00731C0C" w:rsidRPr="00CC66C1" w:rsidRDefault="00731C0C" w:rsidP="00B71D31">
            <w:pPr>
              <w:spacing w:line="240" w:lineRule="auto"/>
              <w:ind w:firstLine="0"/>
              <w:jc w:val="center"/>
              <w:rPr>
                <w:rFonts w:cs="Times New Roman"/>
                <w:szCs w:val="24"/>
                <w:lang w:val="en-US"/>
              </w:rPr>
            </w:pPr>
            <w:r w:rsidRPr="00CC66C1">
              <w:rPr>
                <w:rFonts w:cs="Times New Roman"/>
                <w:szCs w:val="24"/>
                <w:lang w:val="en-US"/>
              </w:rPr>
              <w:t>154</w:t>
            </w:r>
          </w:p>
        </w:tc>
        <w:tc>
          <w:tcPr>
            <w:tcW w:w="1914" w:type="dxa"/>
          </w:tcPr>
          <w:p w14:paraId="1E00C991" w14:textId="77777777" w:rsidR="00731C0C" w:rsidRPr="00CC66C1" w:rsidRDefault="00731C0C" w:rsidP="00B71D31">
            <w:pPr>
              <w:spacing w:line="240" w:lineRule="auto"/>
              <w:ind w:firstLine="0"/>
              <w:jc w:val="center"/>
              <w:rPr>
                <w:rFonts w:cs="Times New Roman"/>
                <w:szCs w:val="24"/>
                <w:lang w:val="en-US"/>
              </w:rPr>
            </w:pPr>
            <w:r w:rsidRPr="00CC66C1">
              <w:rPr>
                <w:rFonts w:cs="Times New Roman"/>
                <w:szCs w:val="24"/>
                <w:lang w:val="en-US"/>
              </w:rPr>
              <w:t>130</w:t>
            </w:r>
          </w:p>
        </w:tc>
        <w:tc>
          <w:tcPr>
            <w:tcW w:w="1915" w:type="dxa"/>
          </w:tcPr>
          <w:p w14:paraId="1F418E6E" w14:textId="77777777" w:rsidR="00731C0C" w:rsidRPr="00CC66C1" w:rsidRDefault="00731C0C" w:rsidP="00B71D31">
            <w:pPr>
              <w:spacing w:line="240" w:lineRule="auto"/>
              <w:ind w:firstLine="0"/>
              <w:jc w:val="center"/>
              <w:rPr>
                <w:rFonts w:cs="Times New Roman"/>
                <w:szCs w:val="24"/>
              </w:rPr>
            </w:pPr>
            <w:r w:rsidRPr="00CC66C1">
              <w:rPr>
                <w:rFonts w:cs="Times New Roman"/>
                <w:szCs w:val="24"/>
              </w:rPr>
              <w:t>140</w:t>
            </w:r>
          </w:p>
        </w:tc>
      </w:tr>
      <w:tr w:rsidR="00731C0C" w:rsidRPr="00CC66C1" w14:paraId="2D13A50D" w14:textId="77777777" w:rsidTr="002D3EBF">
        <w:tc>
          <w:tcPr>
            <w:tcW w:w="1914" w:type="dxa"/>
          </w:tcPr>
          <w:p w14:paraId="2B7351B3" w14:textId="77777777" w:rsidR="00731C0C" w:rsidRPr="00CC66C1" w:rsidRDefault="00731C0C" w:rsidP="00B71D31">
            <w:pPr>
              <w:spacing w:line="240" w:lineRule="auto"/>
              <w:ind w:firstLine="0"/>
              <w:jc w:val="center"/>
              <w:rPr>
                <w:rFonts w:cs="Times New Roman"/>
                <w:szCs w:val="24"/>
              </w:rPr>
            </w:pPr>
            <w:r w:rsidRPr="00CC66C1">
              <w:rPr>
                <w:rFonts w:cs="Times New Roman"/>
                <w:szCs w:val="24"/>
              </w:rPr>
              <w:t>Хлорид (ммоль/л)</w:t>
            </w:r>
          </w:p>
        </w:tc>
        <w:tc>
          <w:tcPr>
            <w:tcW w:w="1914" w:type="dxa"/>
          </w:tcPr>
          <w:p w14:paraId="0211FD2C" w14:textId="77777777" w:rsidR="00731C0C" w:rsidRPr="00CC66C1" w:rsidRDefault="00731C0C" w:rsidP="00B71D31">
            <w:pPr>
              <w:spacing w:line="240" w:lineRule="auto"/>
              <w:ind w:firstLine="0"/>
              <w:jc w:val="center"/>
              <w:rPr>
                <w:rFonts w:cs="Times New Roman"/>
                <w:szCs w:val="24"/>
              </w:rPr>
            </w:pPr>
            <w:r w:rsidRPr="00CC66C1">
              <w:rPr>
                <w:rFonts w:cs="Times New Roman"/>
                <w:szCs w:val="24"/>
              </w:rPr>
              <w:t>98-106</w:t>
            </w:r>
          </w:p>
        </w:tc>
        <w:tc>
          <w:tcPr>
            <w:tcW w:w="1914" w:type="dxa"/>
          </w:tcPr>
          <w:p w14:paraId="072A3CDB" w14:textId="77777777" w:rsidR="00731C0C" w:rsidRPr="00CC66C1" w:rsidRDefault="00731C0C" w:rsidP="00B71D31">
            <w:pPr>
              <w:spacing w:line="240" w:lineRule="auto"/>
              <w:ind w:firstLine="0"/>
              <w:jc w:val="center"/>
              <w:rPr>
                <w:rFonts w:cs="Times New Roman"/>
                <w:szCs w:val="24"/>
                <w:lang w:val="en-US"/>
              </w:rPr>
            </w:pPr>
            <w:r w:rsidRPr="00CC66C1">
              <w:rPr>
                <w:rFonts w:cs="Times New Roman"/>
                <w:szCs w:val="24"/>
                <w:lang w:val="en-US"/>
              </w:rPr>
              <w:t>154</w:t>
            </w:r>
          </w:p>
        </w:tc>
        <w:tc>
          <w:tcPr>
            <w:tcW w:w="1914" w:type="dxa"/>
          </w:tcPr>
          <w:p w14:paraId="7A6D560E" w14:textId="77777777" w:rsidR="00731C0C" w:rsidRPr="00CC66C1" w:rsidRDefault="00731C0C" w:rsidP="00B71D31">
            <w:pPr>
              <w:spacing w:line="240" w:lineRule="auto"/>
              <w:ind w:firstLine="0"/>
              <w:jc w:val="center"/>
              <w:rPr>
                <w:rFonts w:cs="Times New Roman"/>
                <w:szCs w:val="24"/>
                <w:lang w:val="en-US"/>
              </w:rPr>
            </w:pPr>
            <w:r w:rsidRPr="00CC66C1">
              <w:rPr>
                <w:rFonts w:cs="Times New Roman"/>
                <w:szCs w:val="24"/>
                <w:lang w:val="en-US"/>
              </w:rPr>
              <w:t>109</w:t>
            </w:r>
          </w:p>
        </w:tc>
        <w:tc>
          <w:tcPr>
            <w:tcW w:w="1915" w:type="dxa"/>
          </w:tcPr>
          <w:p w14:paraId="4F8B4645" w14:textId="77777777" w:rsidR="00731C0C" w:rsidRPr="00CC66C1" w:rsidRDefault="00731C0C" w:rsidP="00B71D31">
            <w:pPr>
              <w:spacing w:line="240" w:lineRule="auto"/>
              <w:ind w:firstLine="0"/>
              <w:jc w:val="center"/>
              <w:rPr>
                <w:rFonts w:cs="Times New Roman"/>
                <w:szCs w:val="24"/>
              </w:rPr>
            </w:pPr>
            <w:r w:rsidRPr="00CC66C1">
              <w:rPr>
                <w:rFonts w:cs="Times New Roman"/>
                <w:szCs w:val="24"/>
              </w:rPr>
              <w:t>98</w:t>
            </w:r>
          </w:p>
        </w:tc>
      </w:tr>
      <w:tr w:rsidR="00731C0C" w:rsidRPr="00CC66C1" w14:paraId="5F0A7970" w14:textId="77777777" w:rsidTr="002D3EBF">
        <w:tc>
          <w:tcPr>
            <w:tcW w:w="1914" w:type="dxa"/>
          </w:tcPr>
          <w:p w14:paraId="65AFB159" w14:textId="77777777" w:rsidR="00731C0C" w:rsidRPr="00CC66C1" w:rsidRDefault="00731C0C" w:rsidP="00B71D31">
            <w:pPr>
              <w:spacing w:line="240" w:lineRule="auto"/>
              <w:ind w:firstLine="0"/>
              <w:jc w:val="center"/>
              <w:rPr>
                <w:rFonts w:cs="Times New Roman"/>
                <w:szCs w:val="24"/>
              </w:rPr>
            </w:pPr>
            <w:r w:rsidRPr="00CC66C1">
              <w:rPr>
                <w:rFonts w:cs="Times New Roman"/>
                <w:szCs w:val="24"/>
              </w:rPr>
              <w:t>Калий (ммоль/л)</w:t>
            </w:r>
          </w:p>
        </w:tc>
        <w:tc>
          <w:tcPr>
            <w:tcW w:w="1914" w:type="dxa"/>
          </w:tcPr>
          <w:p w14:paraId="20338411" w14:textId="77777777" w:rsidR="00731C0C" w:rsidRPr="00CC66C1" w:rsidRDefault="00731C0C" w:rsidP="00B71D31">
            <w:pPr>
              <w:spacing w:line="240" w:lineRule="auto"/>
              <w:ind w:firstLine="0"/>
              <w:jc w:val="center"/>
              <w:rPr>
                <w:rFonts w:cs="Times New Roman"/>
                <w:szCs w:val="24"/>
              </w:rPr>
            </w:pPr>
            <w:r w:rsidRPr="00CC66C1">
              <w:rPr>
                <w:rFonts w:cs="Times New Roman"/>
                <w:szCs w:val="24"/>
              </w:rPr>
              <w:t>3,5-5,0</w:t>
            </w:r>
          </w:p>
        </w:tc>
        <w:tc>
          <w:tcPr>
            <w:tcW w:w="1914" w:type="dxa"/>
          </w:tcPr>
          <w:p w14:paraId="735E46C1" w14:textId="77777777" w:rsidR="00731C0C" w:rsidRPr="00CC66C1" w:rsidRDefault="00731C0C" w:rsidP="00B71D31">
            <w:pPr>
              <w:spacing w:line="240" w:lineRule="auto"/>
              <w:ind w:firstLine="0"/>
              <w:jc w:val="center"/>
              <w:rPr>
                <w:rFonts w:cs="Times New Roman"/>
                <w:szCs w:val="24"/>
                <w:lang w:val="en-US"/>
              </w:rPr>
            </w:pPr>
            <w:r w:rsidRPr="00CC66C1">
              <w:rPr>
                <w:rFonts w:cs="Times New Roman"/>
                <w:szCs w:val="24"/>
                <w:lang w:val="en-US"/>
              </w:rPr>
              <w:t>-</w:t>
            </w:r>
          </w:p>
        </w:tc>
        <w:tc>
          <w:tcPr>
            <w:tcW w:w="1914" w:type="dxa"/>
          </w:tcPr>
          <w:p w14:paraId="02CD5E5E" w14:textId="77777777" w:rsidR="00731C0C" w:rsidRPr="00CC66C1" w:rsidRDefault="00731C0C" w:rsidP="00B71D31">
            <w:pPr>
              <w:spacing w:line="240" w:lineRule="auto"/>
              <w:ind w:firstLine="0"/>
              <w:jc w:val="center"/>
              <w:rPr>
                <w:rFonts w:cs="Times New Roman"/>
                <w:szCs w:val="24"/>
                <w:lang w:val="en-US"/>
              </w:rPr>
            </w:pPr>
            <w:r w:rsidRPr="00CC66C1">
              <w:rPr>
                <w:rFonts w:cs="Times New Roman"/>
                <w:szCs w:val="24"/>
                <w:lang w:val="en-US"/>
              </w:rPr>
              <w:t>4</w:t>
            </w:r>
          </w:p>
        </w:tc>
        <w:tc>
          <w:tcPr>
            <w:tcW w:w="1915" w:type="dxa"/>
          </w:tcPr>
          <w:p w14:paraId="1BA9E031" w14:textId="77777777" w:rsidR="00731C0C" w:rsidRPr="00CC66C1" w:rsidRDefault="00731C0C" w:rsidP="00B71D31">
            <w:pPr>
              <w:spacing w:line="240" w:lineRule="auto"/>
              <w:ind w:firstLine="0"/>
              <w:jc w:val="center"/>
              <w:rPr>
                <w:rFonts w:cs="Times New Roman"/>
                <w:szCs w:val="24"/>
              </w:rPr>
            </w:pPr>
            <w:r w:rsidRPr="00CC66C1">
              <w:rPr>
                <w:rFonts w:cs="Times New Roman"/>
                <w:szCs w:val="24"/>
              </w:rPr>
              <w:t>5</w:t>
            </w:r>
          </w:p>
        </w:tc>
      </w:tr>
      <w:tr w:rsidR="00731C0C" w:rsidRPr="00CC66C1" w14:paraId="6D9017EF" w14:textId="77777777" w:rsidTr="002D3EBF">
        <w:tc>
          <w:tcPr>
            <w:tcW w:w="1914" w:type="dxa"/>
          </w:tcPr>
          <w:p w14:paraId="2FE1B307" w14:textId="77777777" w:rsidR="00731C0C" w:rsidRPr="00CC66C1" w:rsidRDefault="00731C0C" w:rsidP="00B71D31">
            <w:pPr>
              <w:spacing w:line="240" w:lineRule="auto"/>
              <w:ind w:firstLine="0"/>
              <w:jc w:val="center"/>
              <w:rPr>
                <w:rFonts w:cs="Times New Roman"/>
                <w:szCs w:val="24"/>
              </w:rPr>
            </w:pPr>
            <w:r w:rsidRPr="00CC66C1">
              <w:rPr>
                <w:rFonts w:cs="Times New Roman"/>
                <w:szCs w:val="24"/>
              </w:rPr>
              <w:t>Кальций (мг/дл)</w:t>
            </w:r>
          </w:p>
        </w:tc>
        <w:tc>
          <w:tcPr>
            <w:tcW w:w="1914" w:type="dxa"/>
          </w:tcPr>
          <w:p w14:paraId="009DD842" w14:textId="77777777" w:rsidR="00731C0C" w:rsidRPr="00CC66C1" w:rsidRDefault="00731C0C" w:rsidP="00B71D31">
            <w:pPr>
              <w:spacing w:line="240" w:lineRule="auto"/>
              <w:ind w:firstLine="0"/>
              <w:jc w:val="center"/>
              <w:rPr>
                <w:rFonts w:cs="Times New Roman"/>
                <w:szCs w:val="24"/>
              </w:rPr>
            </w:pPr>
            <w:r w:rsidRPr="00CC66C1">
              <w:rPr>
                <w:rFonts w:cs="Times New Roman"/>
                <w:szCs w:val="24"/>
              </w:rPr>
              <w:t>3,0-4,5</w:t>
            </w:r>
          </w:p>
        </w:tc>
        <w:tc>
          <w:tcPr>
            <w:tcW w:w="1914" w:type="dxa"/>
          </w:tcPr>
          <w:p w14:paraId="427DFEBE" w14:textId="77777777" w:rsidR="00731C0C" w:rsidRPr="00CC66C1" w:rsidRDefault="00731C0C" w:rsidP="00B71D31">
            <w:pPr>
              <w:spacing w:line="240" w:lineRule="auto"/>
              <w:ind w:firstLine="0"/>
              <w:jc w:val="center"/>
              <w:rPr>
                <w:rFonts w:cs="Times New Roman"/>
                <w:szCs w:val="24"/>
                <w:lang w:val="en-US"/>
              </w:rPr>
            </w:pPr>
            <w:r w:rsidRPr="00CC66C1">
              <w:rPr>
                <w:rFonts w:cs="Times New Roman"/>
                <w:szCs w:val="24"/>
                <w:lang w:val="en-US"/>
              </w:rPr>
              <w:t>-</w:t>
            </w:r>
          </w:p>
        </w:tc>
        <w:tc>
          <w:tcPr>
            <w:tcW w:w="1914" w:type="dxa"/>
          </w:tcPr>
          <w:p w14:paraId="76A2A3A6" w14:textId="77777777" w:rsidR="00731C0C" w:rsidRPr="00CC66C1" w:rsidRDefault="00731C0C" w:rsidP="00B71D31">
            <w:pPr>
              <w:spacing w:line="240" w:lineRule="auto"/>
              <w:ind w:firstLine="0"/>
              <w:jc w:val="center"/>
              <w:rPr>
                <w:rFonts w:cs="Times New Roman"/>
                <w:szCs w:val="24"/>
                <w:lang w:val="en-US"/>
              </w:rPr>
            </w:pPr>
            <w:r w:rsidRPr="00CC66C1">
              <w:rPr>
                <w:rFonts w:cs="Times New Roman"/>
                <w:szCs w:val="24"/>
                <w:lang w:val="en-US"/>
              </w:rPr>
              <w:t>4</w:t>
            </w:r>
          </w:p>
        </w:tc>
        <w:tc>
          <w:tcPr>
            <w:tcW w:w="1915" w:type="dxa"/>
          </w:tcPr>
          <w:p w14:paraId="586D20CC" w14:textId="77777777" w:rsidR="00731C0C" w:rsidRPr="00CC66C1" w:rsidRDefault="00731C0C" w:rsidP="00B71D31">
            <w:pPr>
              <w:spacing w:line="240" w:lineRule="auto"/>
              <w:ind w:firstLine="0"/>
              <w:jc w:val="center"/>
              <w:rPr>
                <w:rFonts w:cs="Times New Roman"/>
                <w:szCs w:val="24"/>
              </w:rPr>
            </w:pPr>
            <w:r w:rsidRPr="00CC66C1">
              <w:rPr>
                <w:rFonts w:cs="Times New Roman"/>
                <w:szCs w:val="24"/>
              </w:rPr>
              <w:t>-</w:t>
            </w:r>
          </w:p>
        </w:tc>
      </w:tr>
      <w:tr w:rsidR="00731C0C" w:rsidRPr="00CC66C1" w14:paraId="3C126A6D" w14:textId="77777777" w:rsidTr="002D3EBF">
        <w:tc>
          <w:tcPr>
            <w:tcW w:w="1914" w:type="dxa"/>
          </w:tcPr>
          <w:p w14:paraId="4BF32642" w14:textId="77777777" w:rsidR="00731C0C" w:rsidRPr="00CC66C1" w:rsidRDefault="00731C0C" w:rsidP="00B71D31">
            <w:pPr>
              <w:spacing w:line="240" w:lineRule="auto"/>
              <w:ind w:firstLine="0"/>
              <w:jc w:val="center"/>
              <w:rPr>
                <w:rFonts w:cs="Times New Roman"/>
                <w:szCs w:val="24"/>
              </w:rPr>
            </w:pPr>
            <w:r w:rsidRPr="00CC66C1">
              <w:rPr>
                <w:rFonts w:cs="Times New Roman"/>
                <w:szCs w:val="24"/>
              </w:rPr>
              <w:t>Магний (ммоль/л)</w:t>
            </w:r>
          </w:p>
        </w:tc>
        <w:tc>
          <w:tcPr>
            <w:tcW w:w="1914" w:type="dxa"/>
          </w:tcPr>
          <w:p w14:paraId="4A0F8453" w14:textId="77777777" w:rsidR="00731C0C" w:rsidRPr="00CC66C1" w:rsidRDefault="00731C0C" w:rsidP="00B71D31">
            <w:pPr>
              <w:spacing w:line="240" w:lineRule="auto"/>
              <w:ind w:firstLine="0"/>
              <w:jc w:val="center"/>
              <w:rPr>
                <w:rFonts w:cs="Times New Roman"/>
                <w:szCs w:val="24"/>
              </w:rPr>
            </w:pPr>
            <w:r w:rsidRPr="00CC66C1">
              <w:rPr>
                <w:rFonts w:cs="Times New Roman"/>
                <w:szCs w:val="24"/>
              </w:rPr>
              <w:t>0,7-1,2</w:t>
            </w:r>
          </w:p>
        </w:tc>
        <w:tc>
          <w:tcPr>
            <w:tcW w:w="1914" w:type="dxa"/>
          </w:tcPr>
          <w:p w14:paraId="50542F88" w14:textId="77777777" w:rsidR="00731C0C" w:rsidRPr="00CC66C1" w:rsidRDefault="00731C0C" w:rsidP="00B71D31">
            <w:pPr>
              <w:spacing w:line="240" w:lineRule="auto"/>
              <w:ind w:firstLine="0"/>
              <w:jc w:val="center"/>
              <w:rPr>
                <w:rFonts w:cs="Times New Roman"/>
                <w:szCs w:val="24"/>
                <w:lang w:val="en-US"/>
              </w:rPr>
            </w:pPr>
            <w:r w:rsidRPr="00CC66C1">
              <w:rPr>
                <w:rFonts w:cs="Times New Roman"/>
                <w:szCs w:val="24"/>
                <w:lang w:val="en-US"/>
              </w:rPr>
              <w:t>-</w:t>
            </w:r>
          </w:p>
        </w:tc>
        <w:tc>
          <w:tcPr>
            <w:tcW w:w="1914" w:type="dxa"/>
          </w:tcPr>
          <w:p w14:paraId="48B043E8" w14:textId="77777777" w:rsidR="00731C0C" w:rsidRPr="00CC66C1" w:rsidRDefault="00731C0C" w:rsidP="00B71D31">
            <w:pPr>
              <w:spacing w:line="240" w:lineRule="auto"/>
              <w:ind w:firstLine="0"/>
              <w:jc w:val="center"/>
              <w:rPr>
                <w:rFonts w:cs="Times New Roman"/>
                <w:szCs w:val="24"/>
                <w:lang w:val="en-US"/>
              </w:rPr>
            </w:pPr>
            <w:r w:rsidRPr="00CC66C1">
              <w:rPr>
                <w:rFonts w:cs="Times New Roman"/>
                <w:szCs w:val="24"/>
                <w:lang w:val="en-US"/>
              </w:rPr>
              <w:t>-</w:t>
            </w:r>
          </w:p>
        </w:tc>
        <w:tc>
          <w:tcPr>
            <w:tcW w:w="1915" w:type="dxa"/>
          </w:tcPr>
          <w:p w14:paraId="2D29EA68" w14:textId="77777777" w:rsidR="00731C0C" w:rsidRPr="00CC66C1" w:rsidRDefault="00731C0C" w:rsidP="00B71D31">
            <w:pPr>
              <w:spacing w:line="240" w:lineRule="auto"/>
              <w:ind w:firstLine="0"/>
              <w:jc w:val="center"/>
              <w:rPr>
                <w:rFonts w:cs="Times New Roman"/>
                <w:szCs w:val="24"/>
              </w:rPr>
            </w:pPr>
            <w:r w:rsidRPr="00CC66C1">
              <w:rPr>
                <w:rFonts w:cs="Times New Roman"/>
                <w:szCs w:val="24"/>
              </w:rPr>
              <w:t>3</w:t>
            </w:r>
          </w:p>
        </w:tc>
      </w:tr>
      <w:tr w:rsidR="00731C0C" w:rsidRPr="00CC66C1" w14:paraId="63F614B3" w14:textId="77777777" w:rsidTr="002D3EBF">
        <w:tc>
          <w:tcPr>
            <w:tcW w:w="1914" w:type="dxa"/>
          </w:tcPr>
          <w:p w14:paraId="2989BEDA" w14:textId="77777777" w:rsidR="00731C0C" w:rsidRPr="00CC66C1" w:rsidRDefault="00731C0C" w:rsidP="00B71D31">
            <w:pPr>
              <w:spacing w:line="240" w:lineRule="auto"/>
              <w:ind w:firstLine="0"/>
              <w:jc w:val="center"/>
              <w:rPr>
                <w:rFonts w:cs="Times New Roman"/>
                <w:szCs w:val="24"/>
              </w:rPr>
            </w:pPr>
            <w:r w:rsidRPr="00CC66C1">
              <w:rPr>
                <w:rFonts w:cs="Times New Roman"/>
                <w:szCs w:val="24"/>
              </w:rPr>
              <w:t>Буфер (ммоль/л)</w:t>
            </w:r>
          </w:p>
        </w:tc>
        <w:tc>
          <w:tcPr>
            <w:tcW w:w="1914" w:type="dxa"/>
          </w:tcPr>
          <w:p w14:paraId="246B7036" w14:textId="77777777" w:rsidR="00731C0C" w:rsidRPr="00CC66C1" w:rsidRDefault="00731C0C" w:rsidP="00B71D31">
            <w:pPr>
              <w:spacing w:line="240" w:lineRule="auto"/>
              <w:ind w:firstLine="0"/>
              <w:jc w:val="center"/>
              <w:rPr>
                <w:rFonts w:cs="Times New Roman"/>
                <w:szCs w:val="24"/>
                <w:vertAlign w:val="subscript"/>
                <w:lang w:val="en-US"/>
              </w:rPr>
            </w:pPr>
            <w:r w:rsidRPr="00CC66C1">
              <w:rPr>
                <w:rFonts w:cs="Times New Roman"/>
                <w:szCs w:val="24"/>
                <w:lang w:val="en-US"/>
              </w:rPr>
              <w:t>HCO</w:t>
            </w:r>
            <w:r w:rsidRPr="00CC66C1">
              <w:rPr>
                <w:rFonts w:cs="Times New Roman"/>
                <w:szCs w:val="24"/>
                <w:vertAlign w:val="superscript"/>
                <w:lang w:val="en-US"/>
              </w:rPr>
              <w:t>-</w:t>
            </w:r>
            <w:r w:rsidRPr="00CC66C1">
              <w:rPr>
                <w:rFonts w:cs="Times New Roman"/>
                <w:szCs w:val="24"/>
                <w:vertAlign w:val="subscript"/>
                <w:lang w:val="en-US"/>
              </w:rPr>
              <w:t>3</w:t>
            </w:r>
          </w:p>
          <w:p w14:paraId="48BC983D" w14:textId="77777777" w:rsidR="00731C0C" w:rsidRPr="00CC66C1" w:rsidRDefault="00731C0C" w:rsidP="00B71D31">
            <w:pPr>
              <w:spacing w:line="240" w:lineRule="auto"/>
              <w:ind w:firstLine="0"/>
              <w:jc w:val="center"/>
              <w:rPr>
                <w:rFonts w:cs="Times New Roman"/>
                <w:szCs w:val="24"/>
                <w:lang w:val="en-US"/>
              </w:rPr>
            </w:pPr>
            <w:r w:rsidRPr="00CC66C1">
              <w:rPr>
                <w:rFonts w:cs="Times New Roman"/>
                <w:szCs w:val="24"/>
                <w:lang w:val="en-US"/>
              </w:rPr>
              <w:t>(22-28)</w:t>
            </w:r>
          </w:p>
        </w:tc>
        <w:tc>
          <w:tcPr>
            <w:tcW w:w="1914" w:type="dxa"/>
          </w:tcPr>
          <w:p w14:paraId="06294716" w14:textId="77777777" w:rsidR="00731C0C" w:rsidRPr="00CC66C1" w:rsidRDefault="00731C0C" w:rsidP="00B71D31">
            <w:pPr>
              <w:spacing w:line="240" w:lineRule="auto"/>
              <w:ind w:firstLine="0"/>
              <w:jc w:val="center"/>
              <w:rPr>
                <w:rFonts w:cs="Times New Roman"/>
                <w:szCs w:val="24"/>
                <w:lang w:val="en-US"/>
              </w:rPr>
            </w:pPr>
            <w:r w:rsidRPr="00CC66C1">
              <w:rPr>
                <w:rFonts w:cs="Times New Roman"/>
                <w:szCs w:val="24"/>
                <w:lang w:val="en-US"/>
              </w:rPr>
              <w:t>-</w:t>
            </w:r>
          </w:p>
        </w:tc>
        <w:tc>
          <w:tcPr>
            <w:tcW w:w="1914" w:type="dxa"/>
          </w:tcPr>
          <w:p w14:paraId="7898D22F" w14:textId="77777777" w:rsidR="00731C0C" w:rsidRPr="00CC66C1" w:rsidRDefault="00731C0C" w:rsidP="00B71D31">
            <w:pPr>
              <w:spacing w:line="240" w:lineRule="auto"/>
              <w:ind w:firstLine="0"/>
              <w:jc w:val="center"/>
              <w:rPr>
                <w:rFonts w:cs="Times New Roman"/>
                <w:szCs w:val="24"/>
              </w:rPr>
            </w:pPr>
            <w:r w:rsidRPr="00CC66C1">
              <w:rPr>
                <w:rFonts w:cs="Times New Roman"/>
                <w:szCs w:val="24"/>
              </w:rPr>
              <w:t>Лактат (28)</w:t>
            </w:r>
          </w:p>
        </w:tc>
        <w:tc>
          <w:tcPr>
            <w:tcW w:w="1915" w:type="dxa"/>
          </w:tcPr>
          <w:p w14:paraId="19C441F3" w14:textId="77777777" w:rsidR="00731C0C" w:rsidRPr="00CC66C1" w:rsidRDefault="00731C0C" w:rsidP="00B71D31">
            <w:pPr>
              <w:spacing w:line="240" w:lineRule="auto"/>
              <w:ind w:firstLine="0"/>
              <w:jc w:val="center"/>
              <w:rPr>
                <w:rFonts w:cs="Times New Roman"/>
                <w:szCs w:val="24"/>
              </w:rPr>
            </w:pPr>
            <w:r w:rsidRPr="00CC66C1">
              <w:rPr>
                <w:rFonts w:cs="Times New Roman"/>
                <w:szCs w:val="24"/>
              </w:rPr>
              <w:t>Ацетат (27)</w:t>
            </w:r>
          </w:p>
          <w:p w14:paraId="1922B7E9" w14:textId="77777777" w:rsidR="00731C0C" w:rsidRPr="00CC66C1" w:rsidRDefault="00731C0C" w:rsidP="00B71D31">
            <w:pPr>
              <w:spacing w:line="240" w:lineRule="auto"/>
              <w:ind w:firstLine="0"/>
              <w:jc w:val="center"/>
              <w:rPr>
                <w:rFonts w:cs="Times New Roman"/>
                <w:szCs w:val="24"/>
              </w:rPr>
            </w:pPr>
            <w:r w:rsidRPr="00CC66C1">
              <w:rPr>
                <w:rFonts w:cs="Times New Roman"/>
                <w:szCs w:val="24"/>
              </w:rPr>
              <w:t>Глюканат (23)</w:t>
            </w:r>
          </w:p>
        </w:tc>
      </w:tr>
      <w:tr w:rsidR="00731C0C" w:rsidRPr="00CC66C1" w14:paraId="3B794D54" w14:textId="77777777" w:rsidTr="002D3EBF">
        <w:tc>
          <w:tcPr>
            <w:tcW w:w="1914" w:type="dxa"/>
          </w:tcPr>
          <w:p w14:paraId="7284F390" w14:textId="77777777" w:rsidR="00731C0C" w:rsidRPr="00CC66C1" w:rsidRDefault="00731C0C" w:rsidP="00B71D31">
            <w:pPr>
              <w:spacing w:line="240" w:lineRule="auto"/>
              <w:ind w:firstLine="0"/>
              <w:jc w:val="center"/>
              <w:rPr>
                <w:rFonts w:cs="Times New Roman"/>
                <w:szCs w:val="24"/>
              </w:rPr>
            </w:pPr>
            <w:r w:rsidRPr="00CC66C1">
              <w:rPr>
                <w:rFonts w:cs="Times New Roman"/>
                <w:szCs w:val="24"/>
              </w:rPr>
              <w:t>Осмолярность  (мОсм/л)</w:t>
            </w:r>
          </w:p>
        </w:tc>
        <w:tc>
          <w:tcPr>
            <w:tcW w:w="1914" w:type="dxa"/>
          </w:tcPr>
          <w:p w14:paraId="7180C1A9" w14:textId="77777777" w:rsidR="00731C0C" w:rsidRPr="00CC66C1" w:rsidRDefault="00731C0C" w:rsidP="00B71D31">
            <w:pPr>
              <w:spacing w:line="240" w:lineRule="auto"/>
              <w:ind w:firstLine="0"/>
              <w:jc w:val="center"/>
              <w:rPr>
                <w:rFonts w:cs="Times New Roman"/>
                <w:szCs w:val="24"/>
                <w:lang w:val="en-US"/>
              </w:rPr>
            </w:pPr>
            <w:r w:rsidRPr="00CC66C1">
              <w:rPr>
                <w:rFonts w:cs="Times New Roman"/>
                <w:szCs w:val="24"/>
                <w:lang w:val="en-US"/>
              </w:rPr>
              <w:t>290</w:t>
            </w:r>
          </w:p>
        </w:tc>
        <w:tc>
          <w:tcPr>
            <w:tcW w:w="1914" w:type="dxa"/>
          </w:tcPr>
          <w:p w14:paraId="73927564" w14:textId="77777777" w:rsidR="00731C0C" w:rsidRPr="00CC66C1" w:rsidRDefault="00731C0C" w:rsidP="00B71D31">
            <w:pPr>
              <w:spacing w:line="240" w:lineRule="auto"/>
              <w:ind w:firstLine="0"/>
              <w:jc w:val="center"/>
              <w:rPr>
                <w:rFonts w:cs="Times New Roman"/>
                <w:szCs w:val="24"/>
                <w:lang w:val="en-US"/>
              </w:rPr>
            </w:pPr>
            <w:r w:rsidRPr="00CC66C1">
              <w:rPr>
                <w:rFonts w:cs="Times New Roman"/>
                <w:szCs w:val="24"/>
                <w:lang w:val="en-US"/>
              </w:rPr>
              <w:t>308</w:t>
            </w:r>
          </w:p>
        </w:tc>
        <w:tc>
          <w:tcPr>
            <w:tcW w:w="1914" w:type="dxa"/>
          </w:tcPr>
          <w:p w14:paraId="54AE670D" w14:textId="77777777" w:rsidR="00731C0C" w:rsidRPr="00CC66C1" w:rsidRDefault="00731C0C" w:rsidP="00B71D31">
            <w:pPr>
              <w:spacing w:line="240" w:lineRule="auto"/>
              <w:ind w:firstLine="0"/>
              <w:jc w:val="center"/>
              <w:rPr>
                <w:rFonts w:cs="Times New Roman"/>
                <w:szCs w:val="24"/>
              </w:rPr>
            </w:pPr>
            <w:r w:rsidRPr="00CC66C1">
              <w:rPr>
                <w:rFonts w:cs="Times New Roman"/>
                <w:szCs w:val="24"/>
              </w:rPr>
              <w:t>273</w:t>
            </w:r>
          </w:p>
        </w:tc>
        <w:tc>
          <w:tcPr>
            <w:tcW w:w="1915" w:type="dxa"/>
          </w:tcPr>
          <w:p w14:paraId="41B442F3" w14:textId="77777777" w:rsidR="00731C0C" w:rsidRPr="00CC66C1" w:rsidRDefault="00731C0C" w:rsidP="00B71D31">
            <w:pPr>
              <w:spacing w:line="240" w:lineRule="auto"/>
              <w:ind w:firstLine="0"/>
              <w:jc w:val="center"/>
              <w:rPr>
                <w:rFonts w:cs="Times New Roman"/>
                <w:szCs w:val="24"/>
              </w:rPr>
            </w:pPr>
            <w:r w:rsidRPr="00CC66C1">
              <w:rPr>
                <w:rFonts w:cs="Times New Roman"/>
                <w:szCs w:val="24"/>
              </w:rPr>
              <w:t>295</w:t>
            </w:r>
          </w:p>
        </w:tc>
      </w:tr>
    </w:tbl>
    <w:p w14:paraId="37985C51" w14:textId="77777777" w:rsidR="00731C0C" w:rsidRPr="00CC66C1" w:rsidRDefault="00731C0C" w:rsidP="00731C0C">
      <w:pPr>
        <w:rPr>
          <w:rFonts w:cs="Times New Roman"/>
          <w:szCs w:val="24"/>
        </w:rPr>
      </w:pPr>
    </w:p>
    <w:p w14:paraId="6B1A703B" w14:textId="77777777" w:rsidR="00731C0C" w:rsidRPr="00CC66C1" w:rsidRDefault="00731C0C" w:rsidP="00731C0C">
      <w:pPr>
        <w:rPr>
          <w:rFonts w:cs="Times New Roman"/>
          <w:i/>
          <w:szCs w:val="24"/>
          <w:u w:val="single"/>
        </w:rPr>
      </w:pPr>
      <w:r w:rsidRPr="00CC66C1">
        <w:rPr>
          <w:rFonts w:cs="Times New Roman"/>
          <w:i/>
          <w:szCs w:val="24"/>
          <w:u w:val="single"/>
        </w:rPr>
        <w:t>Показания к проведению инфузионной терапии</w:t>
      </w:r>
    </w:p>
    <w:p w14:paraId="70507B58" w14:textId="77777777" w:rsidR="00731C0C" w:rsidRPr="00CC66C1" w:rsidRDefault="00731C0C" w:rsidP="00731C0C">
      <w:pPr>
        <w:rPr>
          <w:rFonts w:cs="Times New Roman"/>
          <w:szCs w:val="24"/>
        </w:rPr>
      </w:pPr>
      <w:r w:rsidRPr="00CC66C1">
        <w:rPr>
          <w:rFonts w:cs="Times New Roman"/>
          <w:szCs w:val="24"/>
        </w:rPr>
        <w:t>Основными показаниями для инфузионной терапии у пацментов с онкогематологическими заболеваниями (лейкозы, лимфомы) являются:</w:t>
      </w:r>
    </w:p>
    <w:p w14:paraId="5A98DF2B" w14:textId="77777777" w:rsidR="00731C0C" w:rsidRPr="00CC66C1" w:rsidRDefault="00731C0C" w:rsidP="00731C0C">
      <w:pPr>
        <w:pStyle w:val="afe"/>
        <w:numPr>
          <w:ilvl w:val="0"/>
          <w:numId w:val="105"/>
        </w:numPr>
        <w:rPr>
          <w:rFonts w:cs="Times New Roman"/>
          <w:szCs w:val="24"/>
        </w:rPr>
      </w:pPr>
      <w:r w:rsidRPr="00CC66C1">
        <w:rPr>
          <w:rFonts w:cs="Times New Roman"/>
          <w:szCs w:val="24"/>
        </w:rPr>
        <w:t>Дегидратация,</w:t>
      </w:r>
      <w:r w:rsidRPr="00CC66C1">
        <w:rPr>
          <w:rFonts w:cs="Times New Roman"/>
          <w:i/>
          <w:szCs w:val="24"/>
        </w:rPr>
        <w:t xml:space="preserve"> </w:t>
      </w:r>
      <w:r w:rsidRPr="00CC66C1">
        <w:rPr>
          <w:rFonts w:cs="Times New Roman"/>
          <w:szCs w:val="24"/>
        </w:rPr>
        <w:t>причинами которой могут быть диарея, перспирация (вследствие лихорадки), рвота, алиментарная недостаточность.</w:t>
      </w:r>
    </w:p>
    <w:p w14:paraId="35B66CBB" w14:textId="77777777" w:rsidR="00731C0C" w:rsidRPr="00CC66C1" w:rsidRDefault="00731C0C" w:rsidP="00731C0C">
      <w:pPr>
        <w:pStyle w:val="afe"/>
        <w:numPr>
          <w:ilvl w:val="0"/>
          <w:numId w:val="105"/>
        </w:numPr>
        <w:rPr>
          <w:rFonts w:cs="Times New Roman"/>
          <w:szCs w:val="24"/>
        </w:rPr>
      </w:pPr>
      <w:r w:rsidRPr="00CC66C1">
        <w:rPr>
          <w:rFonts w:cs="Times New Roman"/>
          <w:szCs w:val="24"/>
        </w:rPr>
        <w:t>Гиповолемия или дефицит объема циркулирующей крови (например, при кровотечении у гематологических пациентов).</w:t>
      </w:r>
    </w:p>
    <w:p w14:paraId="3276224B" w14:textId="77777777" w:rsidR="00731C0C" w:rsidRPr="00CC66C1" w:rsidRDefault="00731C0C" w:rsidP="00731C0C">
      <w:pPr>
        <w:pStyle w:val="afe"/>
        <w:numPr>
          <w:ilvl w:val="0"/>
          <w:numId w:val="105"/>
        </w:numPr>
        <w:rPr>
          <w:rFonts w:cs="Times New Roman"/>
          <w:szCs w:val="24"/>
        </w:rPr>
      </w:pPr>
      <w:r w:rsidRPr="00CC66C1">
        <w:rPr>
          <w:rFonts w:cs="Times New Roman"/>
          <w:szCs w:val="24"/>
        </w:rPr>
        <w:t xml:space="preserve">Проведение форсированного диуреза для профилактики синдрома лизиса опухоли. </w:t>
      </w:r>
    </w:p>
    <w:p w14:paraId="790E6159" w14:textId="77777777" w:rsidR="00731C0C" w:rsidRPr="00CC66C1" w:rsidRDefault="00731C0C" w:rsidP="00731C0C">
      <w:pPr>
        <w:pStyle w:val="afe"/>
        <w:numPr>
          <w:ilvl w:val="0"/>
          <w:numId w:val="105"/>
        </w:numPr>
        <w:rPr>
          <w:rFonts w:cs="Times New Roman"/>
          <w:szCs w:val="24"/>
        </w:rPr>
      </w:pPr>
      <w:r w:rsidRPr="00CC66C1">
        <w:rPr>
          <w:rFonts w:cs="Times New Roman"/>
          <w:szCs w:val="24"/>
        </w:rPr>
        <w:t xml:space="preserve">Проведение терапевтической гемоделюции (для лечения ишемических и тромботических осложнений). </w:t>
      </w:r>
    </w:p>
    <w:p w14:paraId="37B985D3" w14:textId="77777777" w:rsidR="00731C0C" w:rsidRPr="00CC66C1" w:rsidRDefault="00731C0C" w:rsidP="00731C0C">
      <w:pPr>
        <w:pStyle w:val="afe"/>
        <w:numPr>
          <w:ilvl w:val="0"/>
          <w:numId w:val="105"/>
        </w:numPr>
        <w:rPr>
          <w:rFonts w:cs="Times New Roman"/>
          <w:szCs w:val="24"/>
        </w:rPr>
      </w:pPr>
      <w:r w:rsidRPr="00CC66C1">
        <w:rPr>
          <w:rFonts w:cs="Times New Roman"/>
          <w:szCs w:val="24"/>
        </w:rPr>
        <w:t xml:space="preserve">Коррекция электролитных нарушений. </w:t>
      </w:r>
    </w:p>
    <w:p w14:paraId="634FB81B" w14:textId="77777777" w:rsidR="00731C0C" w:rsidRPr="00CC66C1" w:rsidRDefault="00731C0C" w:rsidP="00731C0C">
      <w:pPr>
        <w:pStyle w:val="afe"/>
        <w:numPr>
          <w:ilvl w:val="0"/>
          <w:numId w:val="105"/>
        </w:numPr>
        <w:rPr>
          <w:rFonts w:cs="Times New Roman"/>
          <w:szCs w:val="24"/>
        </w:rPr>
      </w:pPr>
      <w:r w:rsidRPr="00CC66C1">
        <w:rPr>
          <w:rFonts w:cs="Times New Roman"/>
          <w:szCs w:val="24"/>
        </w:rPr>
        <w:t xml:space="preserve">Дезинтоксикационная терапия. </w:t>
      </w:r>
    </w:p>
    <w:p w14:paraId="0456D674" w14:textId="77777777" w:rsidR="00731C0C" w:rsidRDefault="00731C0C" w:rsidP="00731C0C">
      <w:pPr>
        <w:rPr>
          <w:rFonts w:cs="Times New Roman"/>
          <w:b/>
          <w:szCs w:val="24"/>
        </w:rPr>
      </w:pPr>
    </w:p>
    <w:p w14:paraId="126DD02C" w14:textId="1F1747A1" w:rsidR="00731C0C" w:rsidRPr="0048699E" w:rsidRDefault="00731C0C" w:rsidP="00731C0C">
      <w:pPr>
        <w:rPr>
          <w:rFonts w:cs="Times New Roman"/>
          <w:i/>
          <w:szCs w:val="24"/>
          <w:u w:val="single"/>
          <w:lang w:val="en-US"/>
        </w:rPr>
      </w:pPr>
      <w:r w:rsidRPr="00CC66C1">
        <w:rPr>
          <w:rFonts w:cs="Times New Roman"/>
          <w:i/>
          <w:szCs w:val="24"/>
          <w:u w:val="single"/>
        </w:rPr>
        <w:t>Выбор инфузионных растворов</w:t>
      </w:r>
      <w:r>
        <w:rPr>
          <w:rFonts w:cs="Times New Roman"/>
          <w:i/>
          <w:szCs w:val="24"/>
          <w:u w:val="single"/>
        </w:rPr>
        <w:t xml:space="preserve"> </w:t>
      </w:r>
      <w:r>
        <w:rPr>
          <w:rFonts w:cs="Times New Roman"/>
          <w:i/>
          <w:szCs w:val="24"/>
          <w:u w:val="single"/>
        </w:rPr>
        <w:fldChar w:fldCharType="begin" w:fldLock="1"/>
      </w:r>
      <w:r w:rsidR="00C05F48">
        <w:rPr>
          <w:rFonts w:cs="Times New Roman"/>
          <w:i/>
          <w:szCs w:val="24"/>
          <w:u w:val="single"/>
        </w:rPr>
        <w:instrText>ADDIN CSL_CITATION {"citationItems":[{"id":"ITEM-1","itemData":{"DOI":"10.1007/s40620-016-0363-9","ISSN":"17246059","PMID":"27900717","abstract":"The topic of intravenous (IV) fluids may be regarded as “reverse nephrology”, because nephrologists usually treat to remove fluids rather than to infuse them. However, because nephrology is deeply rooted in fluid, electrolyte, and acid-base balance, IV fluids belong in the realm of our specialty. The field of IV fluid therapy is in motion due to the increasing use of balanced crystalloids, partly fueled by the advent of new solutions. This review aims to capture these recent developments by critically evaluating the current evidence base. It will review both indications and complications of IV fluid therapy, including the characteristics of the currently available solutions. It will also cover the use of IV fluids in specific settings such as kidney transplantation and pediatrics. Finally, this review will address the pathogenesis of saline-induced hyperchloremic acidosis, its potential effect on outcomes, and the question if this should lead to a definitive switch to balanced solutions.","author":[{"dropping-particle":"","family":"Hoorn","given":"Ewout J.","non-dropping-particle":"","parse-names":false,"suffix":""}],"container-title":"Journal of Nephrology","id":"ITEM-1","issue":"4","issued":{"date-parts":[["2017","8","1"]]},"page":"485-492","publisher":"Springer New York LLC","title":"Intravenous fluids: balancing solutions","type":"article","volume":"30"},"uris":["http://www.mendeley.com/documents/?uuid=5b8712a4-69fa-3f35-a7d0-5673405bd845"]}],"mendeley":{"formattedCitation":"[141]","plainTextFormattedCitation":"[141]","previouslyFormattedCitation":"[141]"},"properties":{"noteIndex":0},"schema":"https://github.com/citation-style-language/schema/raw/master/csl-citation.json"}</w:instrText>
      </w:r>
      <w:r>
        <w:rPr>
          <w:rFonts w:cs="Times New Roman"/>
          <w:i/>
          <w:szCs w:val="24"/>
          <w:u w:val="single"/>
        </w:rPr>
        <w:fldChar w:fldCharType="separate"/>
      </w:r>
      <w:r w:rsidR="00935A5F" w:rsidRPr="00935A5F">
        <w:rPr>
          <w:rFonts w:cs="Times New Roman"/>
          <w:noProof/>
          <w:szCs w:val="24"/>
        </w:rPr>
        <w:t>[141]</w:t>
      </w:r>
      <w:r>
        <w:rPr>
          <w:rFonts w:cs="Times New Roman"/>
          <w:i/>
          <w:szCs w:val="24"/>
          <w:u w:val="single"/>
        </w:rPr>
        <w:fldChar w:fldCharType="end"/>
      </w:r>
    </w:p>
    <w:p w14:paraId="19D7EC06" w14:textId="77777777" w:rsidR="00731C0C" w:rsidRPr="00CC66C1" w:rsidRDefault="00731C0C" w:rsidP="00731C0C">
      <w:pPr>
        <w:rPr>
          <w:rFonts w:cs="Times New Roman"/>
          <w:szCs w:val="24"/>
        </w:rPr>
      </w:pPr>
      <w:r w:rsidRPr="00CC66C1">
        <w:rPr>
          <w:rFonts w:cs="Times New Roman"/>
          <w:szCs w:val="24"/>
        </w:rPr>
        <w:t>Сбалансированные полиэлектролитные растворы применяются для коррекции дегидратации, форсированного диуреза, терапевтической гемоделюции.</w:t>
      </w:r>
    </w:p>
    <w:p w14:paraId="0B8652F6" w14:textId="77777777" w:rsidR="00731C0C" w:rsidRPr="00CC66C1" w:rsidRDefault="00731C0C" w:rsidP="00731C0C">
      <w:pPr>
        <w:rPr>
          <w:rFonts w:cs="Times New Roman"/>
          <w:szCs w:val="24"/>
        </w:rPr>
      </w:pPr>
      <w:r w:rsidRPr="00CC66C1">
        <w:rPr>
          <w:rFonts w:cs="Times New Roman"/>
          <w:szCs w:val="24"/>
        </w:rPr>
        <w:t>Коллоидные растворы (такие как раствор альбумина), используются в сочетании с кристаллоидными для коррекции гиповолемии. Допустимо использовать только кристаллоидные растворы для коррекции гиповолемии легкой степени.</w:t>
      </w:r>
    </w:p>
    <w:p w14:paraId="3B29645C" w14:textId="77777777" w:rsidR="00731C0C" w:rsidRPr="00CC66C1" w:rsidRDefault="00731C0C" w:rsidP="00731C0C">
      <w:pPr>
        <w:rPr>
          <w:rFonts w:cs="Times New Roman"/>
          <w:szCs w:val="24"/>
        </w:rPr>
      </w:pPr>
      <w:r w:rsidRPr="00CC66C1">
        <w:rPr>
          <w:rFonts w:cs="Times New Roman"/>
          <w:szCs w:val="24"/>
        </w:rPr>
        <w:t>Для разведения лекарственных препаратов используется 0,9% раствор натрия хлорида, что исключает выпадения солей кальция в приготовленном растворе.</w:t>
      </w:r>
    </w:p>
    <w:p w14:paraId="3DFBF1B7" w14:textId="77777777" w:rsidR="00731C0C" w:rsidRPr="00CC66C1" w:rsidRDefault="00731C0C" w:rsidP="00731C0C">
      <w:pPr>
        <w:rPr>
          <w:rFonts w:cs="Times New Roman"/>
          <w:szCs w:val="24"/>
        </w:rPr>
      </w:pPr>
      <w:r w:rsidRPr="00CC66C1">
        <w:rPr>
          <w:rFonts w:cs="Times New Roman"/>
          <w:szCs w:val="24"/>
        </w:rPr>
        <w:t xml:space="preserve">Объем инфузионной терапии определяется клиническими показаниями. </w:t>
      </w:r>
    </w:p>
    <w:p w14:paraId="0574E096" w14:textId="77777777" w:rsidR="00731C0C" w:rsidRDefault="00731C0C" w:rsidP="00731C0C">
      <w:pPr>
        <w:rPr>
          <w:rFonts w:cs="Times New Roman"/>
          <w:b/>
          <w:szCs w:val="24"/>
        </w:rPr>
      </w:pPr>
    </w:p>
    <w:p w14:paraId="6FD88B91" w14:textId="77777777" w:rsidR="00731C0C" w:rsidRPr="00CC66C1" w:rsidRDefault="00731C0C" w:rsidP="00731C0C">
      <w:pPr>
        <w:rPr>
          <w:rFonts w:cs="Times New Roman"/>
          <w:i/>
          <w:szCs w:val="24"/>
          <w:u w:val="single"/>
        </w:rPr>
      </w:pPr>
      <w:r w:rsidRPr="00CC66C1">
        <w:rPr>
          <w:rFonts w:cs="Times New Roman"/>
          <w:i/>
          <w:szCs w:val="24"/>
          <w:u w:val="single"/>
        </w:rPr>
        <w:t>Алгоритм действия врача</w:t>
      </w:r>
    </w:p>
    <w:p w14:paraId="616F38E7" w14:textId="77777777" w:rsidR="00731C0C" w:rsidRPr="00CC66C1" w:rsidRDefault="00731C0C" w:rsidP="00731C0C">
      <w:pPr>
        <w:pStyle w:val="afe"/>
        <w:numPr>
          <w:ilvl w:val="0"/>
          <w:numId w:val="106"/>
        </w:numPr>
        <w:rPr>
          <w:rFonts w:cs="Times New Roman"/>
          <w:szCs w:val="24"/>
        </w:rPr>
      </w:pPr>
      <w:r w:rsidRPr="00CC66C1">
        <w:rPr>
          <w:rFonts w:cs="Times New Roman"/>
          <w:szCs w:val="24"/>
        </w:rPr>
        <w:t>Определение показаний для инфузионная терапии.</w:t>
      </w:r>
    </w:p>
    <w:p w14:paraId="02E6E03F" w14:textId="77777777" w:rsidR="00731C0C" w:rsidRPr="00CC66C1" w:rsidRDefault="00731C0C" w:rsidP="00731C0C">
      <w:pPr>
        <w:pStyle w:val="afe"/>
        <w:numPr>
          <w:ilvl w:val="0"/>
          <w:numId w:val="106"/>
        </w:numPr>
        <w:rPr>
          <w:rFonts w:cs="Times New Roman"/>
          <w:szCs w:val="24"/>
        </w:rPr>
      </w:pPr>
      <w:r w:rsidRPr="00CC66C1">
        <w:rPr>
          <w:rFonts w:cs="Times New Roman"/>
          <w:szCs w:val="24"/>
        </w:rPr>
        <w:t>Выбор инфузионного раствора в зависимости от показаний.</w:t>
      </w:r>
    </w:p>
    <w:p w14:paraId="6E357AB2" w14:textId="77777777" w:rsidR="00731C0C" w:rsidRPr="00CC66C1" w:rsidRDefault="00731C0C" w:rsidP="00731C0C">
      <w:pPr>
        <w:pStyle w:val="afe"/>
        <w:numPr>
          <w:ilvl w:val="0"/>
          <w:numId w:val="106"/>
        </w:numPr>
        <w:rPr>
          <w:rFonts w:cs="Times New Roman"/>
          <w:szCs w:val="24"/>
        </w:rPr>
      </w:pPr>
      <w:r w:rsidRPr="00CC66C1">
        <w:rPr>
          <w:rFonts w:cs="Times New Roman"/>
          <w:szCs w:val="24"/>
        </w:rPr>
        <w:t>Оценка волемического статуса пациента (оценка частоты сердечных сокращений, артериального давления, тургора кожи, влажности слизистых, темпа диуреза и др.). Центральное венозное давление (ЦВД) не является единственным показателем волемического статуса больного и часто может не отражать истинное состояние. Так, у больного с легочной гипертензией и гиповолемией ЦВД может превышать нормальные значения.</w:t>
      </w:r>
    </w:p>
    <w:p w14:paraId="14B0E625" w14:textId="77777777" w:rsidR="00731C0C" w:rsidRPr="00CC66C1" w:rsidRDefault="00731C0C" w:rsidP="00731C0C">
      <w:pPr>
        <w:pStyle w:val="afe"/>
        <w:numPr>
          <w:ilvl w:val="0"/>
          <w:numId w:val="106"/>
        </w:numPr>
        <w:rPr>
          <w:rFonts w:cs="Times New Roman"/>
          <w:szCs w:val="24"/>
        </w:rPr>
      </w:pPr>
      <w:r w:rsidRPr="00CC66C1">
        <w:rPr>
          <w:rFonts w:cs="Times New Roman"/>
          <w:szCs w:val="24"/>
        </w:rPr>
        <w:t>Обеспечение сосудистого доступа. Проведение инфузионной терапии и оценка ее эффекта (частота сердечных сокращений, артериальное давление, тургор кожи, влажность слизистых, темп диуреза и др.).</w:t>
      </w:r>
    </w:p>
    <w:p w14:paraId="6179DE00" w14:textId="5E4CAA0F" w:rsidR="00731C0C" w:rsidRDefault="00731C0C" w:rsidP="00731C0C">
      <w:pPr>
        <w:widowControl w:val="0"/>
        <w:autoSpaceDE w:val="0"/>
        <w:autoSpaceDN w:val="0"/>
        <w:adjustRightInd w:val="0"/>
        <w:rPr>
          <w:rFonts w:cs="Times New Roman"/>
          <w:szCs w:val="24"/>
        </w:rPr>
      </w:pPr>
    </w:p>
    <w:p w14:paraId="3DAD6465" w14:textId="2FDCD190" w:rsidR="009A5B55" w:rsidRDefault="00B71D31" w:rsidP="009A5B55">
      <w:pPr>
        <w:pStyle w:val="11"/>
      </w:pPr>
      <w:bookmarkStart w:id="110" w:name="_Toc65586429"/>
      <w:r>
        <w:t>Приложение А3.5.</w:t>
      </w:r>
      <w:bookmarkStart w:id="111" w:name="_Toc64477951"/>
      <w:r w:rsidR="009A5B55">
        <w:t xml:space="preserve"> Применение</w:t>
      </w:r>
      <w:r w:rsidR="009A5B55" w:rsidRPr="009848E0">
        <w:t xml:space="preserve"> компонентов донорской крови у </w:t>
      </w:r>
      <w:r w:rsidR="009A5B55">
        <w:t xml:space="preserve">гематологических </w:t>
      </w:r>
      <w:r w:rsidR="009A5B55" w:rsidRPr="009848E0">
        <w:t>пациентов</w:t>
      </w:r>
      <w:bookmarkEnd w:id="110"/>
      <w:bookmarkEnd w:id="111"/>
    </w:p>
    <w:p w14:paraId="2435EAEA" w14:textId="77777777" w:rsidR="009A5B55" w:rsidRPr="00106C1D" w:rsidRDefault="009A5B55" w:rsidP="009A5B55">
      <w:pPr>
        <w:ind w:firstLine="708"/>
        <w:contextualSpacing/>
        <w:rPr>
          <w:szCs w:val="24"/>
        </w:rPr>
      </w:pPr>
      <w:r w:rsidRPr="004C7AAC">
        <w:rPr>
          <w:szCs w:val="24"/>
        </w:rPr>
        <w:t xml:space="preserve">Основным </w:t>
      </w:r>
      <w:r w:rsidRPr="004C7AAC">
        <w:rPr>
          <w:szCs w:val="24"/>
          <w:lang w:eastAsia="ru-RU"/>
        </w:rPr>
        <w:t xml:space="preserve">медицинским </w:t>
      </w:r>
      <w:r w:rsidRPr="00E74023">
        <w:rPr>
          <w:szCs w:val="24"/>
          <w:lang w:eastAsia="ru-RU"/>
        </w:rPr>
        <w:t xml:space="preserve">показанием к </w:t>
      </w:r>
      <w:r w:rsidRPr="00E74023">
        <w:rPr>
          <w:szCs w:val="24"/>
        </w:rPr>
        <w:t xml:space="preserve">трансфузии эритроцитов у </w:t>
      </w:r>
      <w:r>
        <w:rPr>
          <w:szCs w:val="24"/>
        </w:rPr>
        <w:t xml:space="preserve">гематологических </w:t>
      </w:r>
      <w:r w:rsidRPr="00E74023">
        <w:rPr>
          <w:szCs w:val="24"/>
        </w:rPr>
        <w:t xml:space="preserve">пациентов является неадекватная оксигенация </w:t>
      </w:r>
      <w:r>
        <w:rPr>
          <w:szCs w:val="24"/>
        </w:rPr>
        <w:t xml:space="preserve">органов и тканей </w:t>
      </w:r>
      <w:r w:rsidRPr="00E74023">
        <w:rPr>
          <w:szCs w:val="24"/>
        </w:rPr>
        <w:t>и связанный с этим риск осложнений.</w:t>
      </w:r>
      <w:r>
        <w:rPr>
          <w:szCs w:val="24"/>
        </w:rPr>
        <w:t xml:space="preserve"> </w:t>
      </w:r>
      <w:r w:rsidRPr="00E74023">
        <w:rPr>
          <w:szCs w:val="24"/>
        </w:rPr>
        <w:t xml:space="preserve">Переливание донорских тромбоцитов гематологическим </w:t>
      </w:r>
      <w:r>
        <w:rPr>
          <w:szCs w:val="24"/>
        </w:rPr>
        <w:t>пациента</w:t>
      </w:r>
      <w:r w:rsidRPr="00E74023">
        <w:rPr>
          <w:szCs w:val="24"/>
        </w:rPr>
        <w:t xml:space="preserve">м проводят </w:t>
      </w:r>
      <w:r w:rsidRPr="00E74023">
        <w:rPr>
          <w:szCs w:val="24"/>
          <w:lang w:val="en-US"/>
        </w:rPr>
        <w:t>c</w:t>
      </w:r>
      <w:r w:rsidRPr="00E74023">
        <w:rPr>
          <w:szCs w:val="24"/>
        </w:rPr>
        <w:t xml:space="preserve"> целью профилактики спонтанных геморрагических осложнений на фоне глубокой тромбоцитопении, индуцированной проведением интенсивной химиотерапии, или с лечебной целью пациентам с уже имеющимися геморрагическими осложнениями.</w:t>
      </w:r>
      <w:r>
        <w:rPr>
          <w:szCs w:val="24"/>
        </w:rPr>
        <w:t xml:space="preserve"> При необходимости </w:t>
      </w:r>
      <w:r w:rsidRPr="00E74023">
        <w:rPr>
          <w:szCs w:val="24"/>
        </w:rPr>
        <w:t>восполнения дефицита факторов свертывания</w:t>
      </w:r>
      <w:r>
        <w:rPr>
          <w:szCs w:val="24"/>
        </w:rPr>
        <w:t xml:space="preserve"> </w:t>
      </w:r>
      <w:r w:rsidRPr="00E74023">
        <w:rPr>
          <w:szCs w:val="24"/>
        </w:rPr>
        <w:t>универсальным препаратом</w:t>
      </w:r>
      <w:r w:rsidRPr="009848E0">
        <w:rPr>
          <w:szCs w:val="24"/>
        </w:rPr>
        <w:t xml:space="preserve"> </w:t>
      </w:r>
      <w:r w:rsidRPr="00E74023">
        <w:rPr>
          <w:szCs w:val="24"/>
        </w:rPr>
        <w:t xml:space="preserve">на сегодняшний день является </w:t>
      </w:r>
      <w:r>
        <w:rPr>
          <w:szCs w:val="24"/>
        </w:rPr>
        <w:t>с</w:t>
      </w:r>
      <w:r w:rsidRPr="00E74023">
        <w:rPr>
          <w:szCs w:val="24"/>
        </w:rPr>
        <w:t>вежезамороженная плазма (СЗП</w:t>
      </w:r>
      <w:r>
        <w:rPr>
          <w:szCs w:val="24"/>
        </w:rPr>
        <w:t>)</w:t>
      </w:r>
      <w:r w:rsidRPr="00E74023">
        <w:rPr>
          <w:szCs w:val="24"/>
        </w:rPr>
        <w:t xml:space="preserve">. Показаниями для ее применения при острой кровопотере являются удлинение хронометрических показателей коагулограммы более чем в 1,8 раз; изолированное снижение уровня одного из факторов свертывания на 20% и более или комплекса факторов на 40% и более. Кроме СЗП для коррекции нарушений гемостаза при острой кровопотере применяются криопреципитат, очищенные или генноинженерные препараты факторов свертывания или их комплексов, ингибиторы протеаз, ингибиторы фибринолиза, десмопрессин. Трансфузии СЗП показаны </w:t>
      </w:r>
      <w:r>
        <w:rPr>
          <w:szCs w:val="24"/>
        </w:rPr>
        <w:t xml:space="preserve">также </w:t>
      </w:r>
      <w:r w:rsidRPr="00E74023">
        <w:rPr>
          <w:szCs w:val="24"/>
        </w:rPr>
        <w:t xml:space="preserve">для </w:t>
      </w:r>
      <w:r w:rsidRPr="00E74023">
        <w:rPr>
          <w:color w:val="000000"/>
          <w:szCs w:val="24"/>
        </w:rPr>
        <w:t>возмещения объема при проведении</w:t>
      </w:r>
      <w:r w:rsidRPr="004C7AAC">
        <w:rPr>
          <w:color w:val="000000"/>
          <w:szCs w:val="24"/>
        </w:rPr>
        <w:t xml:space="preserve"> </w:t>
      </w:r>
      <w:r w:rsidRPr="004C7AAC">
        <w:rPr>
          <w:szCs w:val="24"/>
        </w:rPr>
        <w:t xml:space="preserve">процедур плазмафереза при гиперлейкоцитозе, </w:t>
      </w:r>
      <w:r>
        <w:rPr>
          <w:szCs w:val="24"/>
        </w:rPr>
        <w:t>Выбор конкретного вида компонента крови для гемотрансфузии (тип э</w:t>
      </w:r>
      <w:r>
        <w:rPr>
          <w:szCs w:val="24"/>
          <w:lang w:eastAsia="ru-RU"/>
        </w:rPr>
        <w:t>ритроцитосодержащего компонента</w:t>
      </w:r>
      <w:r w:rsidRPr="003B52EE">
        <w:rPr>
          <w:szCs w:val="24"/>
          <w:lang w:eastAsia="ru-RU"/>
        </w:rPr>
        <w:t xml:space="preserve"> крови</w:t>
      </w:r>
      <w:r>
        <w:rPr>
          <w:szCs w:val="24"/>
          <w:lang w:eastAsia="ru-RU"/>
        </w:rPr>
        <w:t xml:space="preserve">, тип </w:t>
      </w:r>
      <w:r w:rsidRPr="003B52EE">
        <w:rPr>
          <w:bCs/>
          <w:iCs/>
          <w:szCs w:val="24"/>
          <w:lang w:eastAsia="ru-RU"/>
        </w:rPr>
        <w:t>концентрата тромбоцитов</w:t>
      </w:r>
      <w:r>
        <w:rPr>
          <w:bCs/>
          <w:iCs/>
          <w:szCs w:val="24"/>
          <w:lang w:eastAsia="ru-RU"/>
        </w:rPr>
        <w:t xml:space="preserve">, тип препарата </w:t>
      </w:r>
      <w:r w:rsidRPr="003B52EE">
        <w:rPr>
          <w:iCs/>
          <w:szCs w:val="24"/>
        </w:rPr>
        <w:t>плазмы</w:t>
      </w:r>
      <w:r>
        <w:rPr>
          <w:iCs/>
          <w:szCs w:val="24"/>
        </w:rPr>
        <w:t xml:space="preserve">) осуществляется лечащим врачом или врачом-трансфузиологом в соответствии с клинической ситуаций и на основании </w:t>
      </w:r>
      <w:r w:rsidRPr="00EE003B">
        <w:rPr>
          <w:szCs w:val="24"/>
        </w:rPr>
        <w:t>Приказа Минздрава России от 28.10.2020 N 1170н</w:t>
      </w:r>
      <w:r w:rsidRPr="00EE003B">
        <w:rPr>
          <w:szCs w:val="24"/>
        </w:rPr>
        <w:br/>
        <w:t xml:space="preserve">"Об утверждении порядка оказания медицинской помощи населению по профилю "трансфузиология", Приказа Минздрава России от 20.10.2020 </w:t>
      </w:r>
      <w:r w:rsidRPr="00EE003B">
        <w:rPr>
          <w:szCs w:val="24"/>
          <w:lang w:val="en-US"/>
        </w:rPr>
        <w:t>N</w:t>
      </w:r>
      <w:r w:rsidRPr="00EE003B">
        <w:rPr>
          <w:szCs w:val="24"/>
        </w:rPr>
        <w:t xml:space="preserve"> 1134н «О порядке медицинского обследования реципиента, проведения проб на индивидуальную совместимость, включая биологическую пробу, при трансфузии донорской крови и (или) ее компонентов»</w:t>
      </w:r>
      <w:r>
        <w:rPr>
          <w:szCs w:val="24"/>
        </w:rPr>
        <w:t>, рекомендациями «Клиническое использование эритроцитсодержащих компонентов крови»  (2018</w:t>
      </w:r>
      <w:r w:rsidRPr="00360841">
        <w:rPr>
          <w:szCs w:val="24"/>
        </w:rPr>
        <w:t xml:space="preserve"> </w:t>
      </w:r>
      <w:r>
        <w:rPr>
          <w:szCs w:val="24"/>
        </w:rPr>
        <w:t>г</w:t>
      </w:r>
      <w:r w:rsidRPr="00360841">
        <w:rPr>
          <w:szCs w:val="24"/>
        </w:rPr>
        <w:t>.</w:t>
      </w:r>
      <w:r>
        <w:rPr>
          <w:szCs w:val="24"/>
        </w:rPr>
        <w:t xml:space="preserve">), </w:t>
      </w:r>
      <w:r w:rsidRPr="00106C1D">
        <w:rPr>
          <w:szCs w:val="24"/>
        </w:rPr>
        <w:t xml:space="preserve">Постановления от 22.06.2019 г. </w:t>
      </w:r>
      <w:r w:rsidRPr="00106C1D">
        <w:rPr>
          <w:szCs w:val="24"/>
          <w:lang w:val="en-US"/>
        </w:rPr>
        <w:t>N</w:t>
      </w:r>
      <w:r w:rsidRPr="00106C1D">
        <w:rPr>
          <w:szCs w:val="24"/>
        </w:rPr>
        <w:t xml:space="preserve"> 797 «Об утверждении правил заготовки, хранения, транспортировки и клинического использования донорской крови и ее компонентов и о признании утратившими силу некоторых актов Правительства Российской Федерации»,  другими нормативными актами.</w:t>
      </w:r>
    </w:p>
    <w:p w14:paraId="4381C955" w14:textId="77777777" w:rsidR="009A5B55" w:rsidRDefault="009A5B55" w:rsidP="009A5B55">
      <w:pPr>
        <w:contextualSpacing/>
        <w:rPr>
          <w:b/>
          <w:szCs w:val="24"/>
          <w:lang w:eastAsia="ru-RU"/>
        </w:rPr>
      </w:pPr>
    </w:p>
    <w:p w14:paraId="65158FCD" w14:textId="77777777" w:rsidR="009A5B55" w:rsidRPr="00360841" w:rsidRDefault="009A5B55" w:rsidP="009A5B55">
      <w:pPr>
        <w:contextualSpacing/>
        <w:rPr>
          <w:i/>
          <w:szCs w:val="24"/>
          <w:u w:val="single"/>
          <w:lang w:eastAsia="ru-RU"/>
        </w:rPr>
      </w:pPr>
      <w:r w:rsidRPr="00360841">
        <w:rPr>
          <w:i/>
          <w:szCs w:val="24"/>
          <w:u w:val="single"/>
          <w:lang w:eastAsia="ru-RU"/>
        </w:rPr>
        <w:t>Трансфузии эритроцитосодержащих компонентов крови (ЭСК)</w:t>
      </w:r>
    </w:p>
    <w:p w14:paraId="073AA815" w14:textId="77777777" w:rsidR="009A5B55" w:rsidRPr="00FA3E28" w:rsidRDefault="009A5B55" w:rsidP="009A5B55">
      <w:pPr>
        <w:ind w:firstLine="708"/>
        <w:rPr>
          <w:rFonts w:eastAsia="Times New Roman"/>
          <w:szCs w:val="24"/>
          <w:u w:val="single"/>
        </w:rPr>
      </w:pPr>
      <w:r w:rsidRPr="00FA3E28">
        <w:rPr>
          <w:rFonts w:eastAsia="Times New Roman"/>
          <w:bCs/>
          <w:szCs w:val="24"/>
          <w:u w:val="single"/>
        </w:rPr>
        <w:t>Необходимые исследования до трансфузии</w:t>
      </w:r>
    </w:p>
    <w:p w14:paraId="704EE3B9" w14:textId="77777777" w:rsidR="009A5B55" w:rsidRDefault="009A5B55" w:rsidP="009A5B55">
      <w:pPr>
        <w:ind w:firstLine="708"/>
        <w:rPr>
          <w:rFonts w:eastAsia="Times New Roman"/>
          <w:szCs w:val="24"/>
        </w:rPr>
      </w:pPr>
      <w:r>
        <w:rPr>
          <w:rFonts w:eastAsia="Times New Roman"/>
          <w:szCs w:val="24"/>
        </w:rPr>
        <w:t xml:space="preserve">Всем гематологическим пациентам при поступлении в медицинскую организацию необходимо осуществить первичное определение группы крови в клиническом отделении по системе AB0 и резус-принадлежности с внесением результатов определения в медицинскую документацию. После первичного определения группы крови образец крови больного направляется в клинико-диагностическую лабораторию организации, осуществляющей клиническое использование донорской крови и ее компонентов, где проводят следующие подтверждающие исследования, c внесением в медицинскую документацию: </w:t>
      </w:r>
    </w:p>
    <w:p w14:paraId="1D8335F5" w14:textId="77777777" w:rsidR="009A5B55" w:rsidRPr="00360841" w:rsidRDefault="009A5B55" w:rsidP="00296A09">
      <w:pPr>
        <w:pStyle w:val="afe"/>
        <w:numPr>
          <w:ilvl w:val="0"/>
          <w:numId w:val="119"/>
        </w:numPr>
        <w:rPr>
          <w:szCs w:val="24"/>
        </w:rPr>
      </w:pPr>
      <w:r w:rsidRPr="00360841">
        <w:rPr>
          <w:rFonts w:eastAsia="Times New Roman"/>
          <w:szCs w:val="24"/>
        </w:rPr>
        <w:t>определение группы крови по системе AB0 и резус-принадлежности;</w:t>
      </w:r>
    </w:p>
    <w:p w14:paraId="4DB9B452" w14:textId="77777777" w:rsidR="009A5B55" w:rsidRPr="00360841" w:rsidRDefault="009A5B55" w:rsidP="00296A09">
      <w:pPr>
        <w:pStyle w:val="afe"/>
        <w:numPr>
          <w:ilvl w:val="0"/>
          <w:numId w:val="119"/>
        </w:numPr>
        <w:rPr>
          <w:szCs w:val="24"/>
        </w:rPr>
      </w:pPr>
      <w:r w:rsidRPr="00360841">
        <w:rPr>
          <w:rFonts w:eastAsia="Times New Roman"/>
          <w:szCs w:val="24"/>
        </w:rPr>
        <w:t>определение антигена K;</w:t>
      </w:r>
    </w:p>
    <w:p w14:paraId="68479018" w14:textId="77777777" w:rsidR="009A5B55" w:rsidRPr="00360841" w:rsidRDefault="009A5B55" w:rsidP="00296A09">
      <w:pPr>
        <w:pStyle w:val="afe"/>
        <w:numPr>
          <w:ilvl w:val="0"/>
          <w:numId w:val="119"/>
        </w:numPr>
        <w:rPr>
          <w:szCs w:val="24"/>
        </w:rPr>
      </w:pPr>
      <w:r w:rsidRPr="00360841">
        <w:rPr>
          <w:rFonts w:eastAsia="Times New Roman"/>
          <w:szCs w:val="24"/>
        </w:rPr>
        <w:t>скрининг аллоиммунных антител с использованием не менее 3 образцов тест-эритроцитов;</w:t>
      </w:r>
    </w:p>
    <w:p w14:paraId="1C6FCE8C" w14:textId="77777777" w:rsidR="009A5B55" w:rsidRPr="00360841" w:rsidRDefault="009A5B55" w:rsidP="00296A09">
      <w:pPr>
        <w:pStyle w:val="afe"/>
        <w:numPr>
          <w:ilvl w:val="0"/>
          <w:numId w:val="119"/>
        </w:numPr>
        <w:rPr>
          <w:szCs w:val="24"/>
        </w:rPr>
      </w:pPr>
      <w:r w:rsidRPr="00360841">
        <w:rPr>
          <w:rFonts w:eastAsia="Times New Roman"/>
          <w:szCs w:val="24"/>
        </w:rPr>
        <w:t>определение антигенов эритроцитов C, c, E, e. При совпадении результатов определения антигенов эритроцитов C, c, E, e, K, проведенных дважды в организации, осуществляющей клиническое использование донорской крови и ее компонентов, антигены эритроцитов C, c, E, e, K  считаются установленными и в дальнейшем не определяются.</w:t>
      </w:r>
    </w:p>
    <w:p w14:paraId="0853A4EF" w14:textId="77777777" w:rsidR="009A5B55" w:rsidRDefault="009A5B55" w:rsidP="009A5B55">
      <w:pPr>
        <w:ind w:firstLine="708"/>
        <w:rPr>
          <w:szCs w:val="24"/>
        </w:rPr>
      </w:pPr>
      <w:r>
        <w:rPr>
          <w:rFonts w:eastAsia="Times New Roman"/>
          <w:szCs w:val="24"/>
        </w:rPr>
        <w:t>Не допускается внесение в медицинскую документацию результатов указанных выше исследований на основании данных медицинской документации, оформленной иными медицинскими организациями, в которых больному ранее была оказана медицинская помощь или проводилось медицинское обследование.</w:t>
      </w:r>
    </w:p>
    <w:p w14:paraId="0BEB10A9" w14:textId="77777777" w:rsidR="009A5B55" w:rsidRDefault="009A5B55" w:rsidP="009A5B55">
      <w:pPr>
        <w:ind w:firstLine="708"/>
        <w:rPr>
          <w:rFonts w:eastAsia="Times New Roman"/>
          <w:szCs w:val="24"/>
        </w:rPr>
      </w:pPr>
      <w:r>
        <w:rPr>
          <w:rFonts w:eastAsia="Times New Roman"/>
          <w:szCs w:val="24"/>
        </w:rPr>
        <w:t>В целях профилактики реакций и осложнений в связи с трансфузией используются ЭСК, идентичные или совместимые по системе AB0, резус-принадлежности и K. При плановых трансфузиях ЭСК дополнительно учитывают совместимость донора и реципиента по антигенам эритроцитов C, c, E, e, С</w:t>
      </w:r>
      <w:r>
        <w:rPr>
          <w:rFonts w:eastAsia="Times New Roman"/>
          <w:szCs w:val="24"/>
          <w:vertAlign w:val="superscript"/>
          <w:lang w:val="en-US" w:eastAsia="ru-RU"/>
        </w:rPr>
        <w:t>W</w:t>
      </w:r>
      <w:r>
        <w:rPr>
          <w:rFonts w:eastAsia="Times New Roman"/>
          <w:szCs w:val="24"/>
        </w:rPr>
        <w:t>.</w:t>
      </w:r>
    </w:p>
    <w:p w14:paraId="53EAE0D6" w14:textId="77777777" w:rsidR="009A5B55" w:rsidRDefault="009A5B55" w:rsidP="009A5B55">
      <w:pPr>
        <w:ind w:firstLine="708"/>
        <w:rPr>
          <w:rFonts w:eastAsia="Times New Roman"/>
          <w:szCs w:val="24"/>
        </w:rPr>
      </w:pPr>
      <w:r>
        <w:rPr>
          <w:rFonts w:eastAsia="Times New Roman"/>
          <w:szCs w:val="24"/>
          <w:lang w:eastAsia="ru-RU"/>
        </w:rPr>
        <w:t xml:space="preserve">Индивидуальный подбор компонентов крови осуществляется реципиентам, имеющим: </w:t>
      </w:r>
    </w:p>
    <w:p w14:paraId="74C0497B" w14:textId="77777777" w:rsidR="009A5B55" w:rsidRPr="00360841" w:rsidRDefault="009A5B55" w:rsidP="00296A09">
      <w:pPr>
        <w:pStyle w:val="afe"/>
        <w:numPr>
          <w:ilvl w:val="0"/>
          <w:numId w:val="120"/>
        </w:numPr>
        <w:rPr>
          <w:rFonts w:eastAsia="Times New Roman"/>
          <w:szCs w:val="24"/>
        </w:rPr>
      </w:pPr>
      <w:r w:rsidRPr="00360841">
        <w:rPr>
          <w:rFonts w:eastAsia="Times New Roman"/>
          <w:szCs w:val="24"/>
          <w:lang w:eastAsia="ru-RU"/>
        </w:rPr>
        <w:t>посттрансфузионные осложнения в анамнезе</w:t>
      </w:r>
    </w:p>
    <w:p w14:paraId="0FCFE86D" w14:textId="77777777" w:rsidR="009A5B55" w:rsidRPr="00360841" w:rsidRDefault="009A5B55" w:rsidP="00296A09">
      <w:pPr>
        <w:pStyle w:val="afe"/>
        <w:numPr>
          <w:ilvl w:val="0"/>
          <w:numId w:val="120"/>
        </w:numPr>
        <w:rPr>
          <w:rFonts w:eastAsia="Times New Roman"/>
          <w:szCs w:val="24"/>
          <w:lang w:eastAsia="ru-RU"/>
        </w:rPr>
      </w:pPr>
      <w:r w:rsidRPr="00360841">
        <w:rPr>
          <w:rFonts w:eastAsia="Times New Roman"/>
          <w:szCs w:val="24"/>
          <w:lang w:eastAsia="ru-RU"/>
        </w:rPr>
        <w:t>беременность</w:t>
      </w:r>
    </w:p>
    <w:p w14:paraId="36145113" w14:textId="77777777" w:rsidR="009A5B55" w:rsidRPr="00360841" w:rsidRDefault="009A5B55" w:rsidP="00296A09">
      <w:pPr>
        <w:pStyle w:val="afe"/>
        <w:numPr>
          <w:ilvl w:val="0"/>
          <w:numId w:val="120"/>
        </w:numPr>
        <w:rPr>
          <w:rFonts w:eastAsia="Times New Roman"/>
          <w:szCs w:val="24"/>
          <w:lang w:eastAsia="ru-RU"/>
        </w:rPr>
      </w:pPr>
      <w:r w:rsidRPr="00360841">
        <w:rPr>
          <w:rFonts w:eastAsia="Times New Roman"/>
          <w:szCs w:val="24"/>
          <w:lang w:eastAsia="ru-RU"/>
        </w:rPr>
        <w:t>рождение детей с гемолитической болезнью новорожденного в анамнезе</w:t>
      </w:r>
    </w:p>
    <w:p w14:paraId="44771793" w14:textId="77777777" w:rsidR="009A5B55" w:rsidRPr="00360841" w:rsidRDefault="009A5B55" w:rsidP="00296A09">
      <w:pPr>
        <w:pStyle w:val="afe"/>
        <w:numPr>
          <w:ilvl w:val="0"/>
          <w:numId w:val="120"/>
        </w:numPr>
        <w:rPr>
          <w:rFonts w:eastAsia="Times New Roman"/>
          <w:szCs w:val="24"/>
        </w:rPr>
      </w:pPr>
      <w:r w:rsidRPr="00360841">
        <w:rPr>
          <w:rFonts w:eastAsia="Times New Roman"/>
          <w:szCs w:val="24"/>
          <w:lang w:eastAsia="ru-RU"/>
        </w:rPr>
        <w:t xml:space="preserve">аллоиммунные антитела. </w:t>
      </w:r>
    </w:p>
    <w:p w14:paraId="27D03BCB" w14:textId="77777777" w:rsidR="009A5B55" w:rsidRDefault="009A5B55" w:rsidP="009A5B55">
      <w:pPr>
        <w:ind w:firstLine="708"/>
        <w:rPr>
          <w:rFonts w:eastAsia="Times New Roman"/>
          <w:szCs w:val="24"/>
        </w:rPr>
      </w:pPr>
      <w:r w:rsidRPr="001A5953">
        <w:rPr>
          <w:rFonts w:eastAsia="Times New Roman"/>
          <w:szCs w:val="24"/>
        </w:rPr>
        <w:t>Индивидуальный подбор не отменяет постановку пробы на совместимость на плоскости</w:t>
      </w:r>
      <w:r>
        <w:rPr>
          <w:rFonts w:eastAsia="Times New Roman"/>
          <w:szCs w:val="24"/>
        </w:rPr>
        <w:t xml:space="preserve"> при комнатной температуре</w:t>
      </w:r>
      <w:r w:rsidRPr="001A5953">
        <w:rPr>
          <w:rFonts w:eastAsia="Times New Roman"/>
          <w:szCs w:val="24"/>
        </w:rPr>
        <w:t xml:space="preserve"> и биологическую пробу врачом, проводящим трансфузию.</w:t>
      </w:r>
    </w:p>
    <w:p w14:paraId="7A92A8F8" w14:textId="77777777" w:rsidR="009A5B55" w:rsidRDefault="009A5B55" w:rsidP="009A5B55">
      <w:pPr>
        <w:ind w:firstLine="708"/>
        <w:rPr>
          <w:rFonts w:eastAsia="Times New Roman"/>
          <w:szCs w:val="24"/>
        </w:rPr>
      </w:pPr>
      <w:r>
        <w:rPr>
          <w:rFonts w:eastAsia="Times New Roman"/>
          <w:szCs w:val="24"/>
        </w:rPr>
        <w:t>При определении показаний к трансфузиям компонентов донорской крови обязательно проводятся следующие лабораторные исследования:</w:t>
      </w:r>
    </w:p>
    <w:p w14:paraId="67692435" w14:textId="77777777" w:rsidR="009A5B55" w:rsidRPr="00360841" w:rsidRDefault="009A5B55" w:rsidP="00296A09">
      <w:pPr>
        <w:pStyle w:val="afe"/>
        <w:numPr>
          <w:ilvl w:val="0"/>
          <w:numId w:val="121"/>
        </w:numPr>
        <w:rPr>
          <w:rFonts w:eastAsia="Times New Roman"/>
          <w:szCs w:val="24"/>
        </w:rPr>
      </w:pPr>
      <w:r w:rsidRPr="00360841">
        <w:rPr>
          <w:rFonts w:eastAsia="Times New Roman"/>
          <w:szCs w:val="24"/>
        </w:rPr>
        <w:t>Перед трансфузией клеточных компонентов донорской крови (эритроцитная взвесь, концентрат тромбоцитов) - общий (клинический) анализ крови</w:t>
      </w:r>
    </w:p>
    <w:p w14:paraId="479EF7AB" w14:textId="77777777" w:rsidR="009A5B55" w:rsidRPr="00360841" w:rsidRDefault="009A5B55" w:rsidP="00296A09">
      <w:pPr>
        <w:pStyle w:val="afe"/>
        <w:numPr>
          <w:ilvl w:val="0"/>
          <w:numId w:val="121"/>
        </w:numPr>
        <w:rPr>
          <w:szCs w:val="24"/>
        </w:rPr>
      </w:pPr>
      <w:r w:rsidRPr="00360841">
        <w:rPr>
          <w:rFonts w:eastAsia="Times New Roman"/>
          <w:szCs w:val="24"/>
        </w:rPr>
        <w:t>Перед трансфузией СЗП, криопреципитата и криосупернатантной плазмы - коагулограмма.</w:t>
      </w:r>
    </w:p>
    <w:p w14:paraId="389042F9" w14:textId="77777777" w:rsidR="009A5B55" w:rsidRPr="00360841" w:rsidRDefault="009A5B55" w:rsidP="00296A09">
      <w:pPr>
        <w:pStyle w:val="afe"/>
        <w:numPr>
          <w:ilvl w:val="0"/>
          <w:numId w:val="121"/>
        </w:numPr>
        <w:rPr>
          <w:szCs w:val="24"/>
        </w:rPr>
      </w:pPr>
      <w:r w:rsidRPr="00360841">
        <w:rPr>
          <w:rFonts w:eastAsia="Times New Roman"/>
          <w:szCs w:val="24"/>
        </w:rPr>
        <w:t>После трансфузии компонентов крови</w:t>
      </w:r>
    </w:p>
    <w:p w14:paraId="11661ADC" w14:textId="77777777" w:rsidR="009A5B55" w:rsidRPr="004E4312" w:rsidRDefault="009A5B55" w:rsidP="009A5B55">
      <w:pPr>
        <w:rPr>
          <w:b/>
          <w:u w:val="single"/>
        </w:rPr>
      </w:pPr>
      <w:r w:rsidRPr="004E4312">
        <w:rPr>
          <w:u w:val="single"/>
        </w:rPr>
        <w:t>Показания к переливанию ЭСК</w:t>
      </w:r>
    </w:p>
    <w:p w14:paraId="15211994" w14:textId="77777777" w:rsidR="009A5B55" w:rsidRPr="003E19FB" w:rsidRDefault="009A5B55" w:rsidP="00296A09">
      <w:pPr>
        <w:pStyle w:val="FitzBullet"/>
        <w:numPr>
          <w:ilvl w:val="0"/>
          <w:numId w:val="122"/>
        </w:numPr>
        <w:tabs>
          <w:tab w:val="clear" w:pos="317"/>
          <w:tab w:val="left" w:pos="144"/>
        </w:tabs>
        <w:spacing w:before="0" w:after="0" w:line="360" w:lineRule="auto"/>
        <w:jc w:val="both"/>
      </w:pPr>
      <w:r w:rsidRPr="003E19FB">
        <w:t>Пациентам с хронической анемией переливание показано при уровне гемоглобина &lt; 60 г/л. В данном случае переливание донорских эритроцитов проводится только для коррекции важнейших симптомов, обусловленных анемией и не поддающихся основной патогенетической терапии.</w:t>
      </w:r>
    </w:p>
    <w:p w14:paraId="31DF0A53" w14:textId="77777777" w:rsidR="009A5B55" w:rsidRPr="003E19FB" w:rsidRDefault="009A5B55" w:rsidP="00296A09">
      <w:pPr>
        <w:pStyle w:val="FitzBullet"/>
        <w:numPr>
          <w:ilvl w:val="0"/>
          <w:numId w:val="122"/>
        </w:numPr>
        <w:tabs>
          <w:tab w:val="clear" w:pos="317"/>
          <w:tab w:val="left" w:pos="144"/>
        </w:tabs>
        <w:spacing w:before="0" w:after="0" w:line="360" w:lineRule="auto"/>
        <w:jc w:val="both"/>
      </w:pPr>
      <w:r w:rsidRPr="003E19FB">
        <w:t>Пациентам с сепсисом, ишемической болезнью сердца (в том числе, инфарктом миокарда, стенокардией напряжения), миокардитом и другими кардиопатиями трансфузии эритроцитов рекомендованы при уровне гемоглобина &lt; 100 г/л.</w:t>
      </w:r>
    </w:p>
    <w:p w14:paraId="549BD789" w14:textId="77777777" w:rsidR="009A5B55" w:rsidRPr="003E19FB" w:rsidRDefault="009A5B55" w:rsidP="00296A09">
      <w:pPr>
        <w:pStyle w:val="FitzBullet"/>
        <w:numPr>
          <w:ilvl w:val="0"/>
          <w:numId w:val="122"/>
        </w:numPr>
        <w:tabs>
          <w:tab w:val="clear" w:pos="317"/>
          <w:tab w:val="left" w:pos="144"/>
        </w:tabs>
        <w:spacing w:before="0" w:after="0" w:line="360" w:lineRule="auto"/>
        <w:jc w:val="both"/>
      </w:pPr>
      <w:r w:rsidRPr="003E19FB">
        <w:t>Пациентам старше 60 лет трансфузии эритроцитов показаны при уровне гемоглобина &lt; 100 г/л.</w:t>
      </w:r>
    </w:p>
    <w:p w14:paraId="79A8843F" w14:textId="77777777" w:rsidR="009A5B55" w:rsidRPr="003E19FB" w:rsidRDefault="009A5B55" w:rsidP="00296A09">
      <w:pPr>
        <w:pStyle w:val="FitzBullet"/>
        <w:numPr>
          <w:ilvl w:val="0"/>
          <w:numId w:val="122"/>
        </w:numPr>
        <w:tabs>
          <w:tab w:val="clear" w:pos="317"/>
          <w:tab w:val="left" w:pos="144"/>
        </w:tabs>
        <w:spacing w:before="0" w:after="0" w:line="360" w:lineRule="auto"/>
        <w:jc w:val="both"/>
      </w:pPr>
      <w:r w:rsidRPr="003E19FB">
        <w:t>Беременным пациенткам с заболеваниями системы крови рекомендовано обеспечивать уровень гемоглобина в крови не менее 80 г/л.</w:t>
      </w:r>
    </w:p>
    <w:p w14:paraId="50E67127" w14:textId="77777777" w:rsidR="009A5B55" w:rsidRPr="004E4312" w:rsidRDefault="009A5B55" w:rsidP="009A5B55">
      <w:pPr>
        <w:rPr>
          <w:b/>
          <w:u w:val="single"/>
        </w:rPr>
      </w:pPr>
      <w:r w:rsidRPr="004E4312">
        <w:rPr>
          <w:u w:val="single"/>
        </w:rPr>
        <w:t>Показания к ЭСК при острой анемии вследствие массивной кровопотери</w:t>
      </w:r>
    </w:p>
    <w:p w14:paraId="338FC035" w14:textId="77777777" w:rsidR="009A5B55" w:rsidRPr="003E19FB" w:rsidRDefault="009A5B55" w:rsidP="00296A09">
      <w:pPr>
        <w:pStyle w:val="FitzBullet"/>
        <w:numPr>
          <w:ilvl w:val="0"/>
          <w:numId w:val="122"/>
        </w:numPr>
        <w:tabs>
          <w:tab w:val="clear" w:pos="317"/>
          <w:tab w:val="left" w:pos="144"/>
        </w:tabs>
        <w:spacing w:before="0" w:after="0" w:line="360" w:lineRule="auto"/>
        <w:jc w:val="both"/>
      </w:pPr>
      <w:r w:rsidRPr="003E19FB">
        <w:t>Кровопотеря, составляющая 15—30% от объема циркулирующей крови при наличии предшествующей анемии или сопутствующих кардиологических или пульмонологических заболеваниях.</w:t>
      </w:r>
    </w:p>
    <w:p w14:paraId="2CCD7F55" w14:textId="77777777" w:rsidR="009A5B55" w:rsidRPr="003E19FB" w:rsidRDefault="009A5B55" w:rsidP="00296A09">
      <w:pPr>
        <w:pStyle w:val="FitzBullet"/>
        <w:numPr>
          <w:ilvl w:val="0"/>
          <w:numId w:val="122"/>
        </w:numPr>
        <w:tabs>
          <w:tab w:val="clear" w:pos="317"/>
          <w:tab w:val="left" w:pos="144"/>
        </w:tabs>
        <w:spacing w:before="0" w:after="0" w:line="360" w:lineRule="auto"/>
        <w:jc w:val="both"/>
      </w:pPr>
      <w:r w:rsidRPr="003E19FB">
        <w:t>Уровень гемоглобина ниже 70—90 г/л при активном кровотечении.</w:t>
      </w:r>
    </w:p>
    <w:p w14:paraId="629A9DB1" w14:textId="77777777" w:rsidR="009A5B55" w:rsidRPr="003E19FB" w:rsidRDefault="009A5B55" w:rsidP="00296A09">
      <w:pPr>
        <w:pStyle w:val="FitzBullet"/>
        <w:numPr>
          <w:ilvl w:val="0"/>
          <w:numId w:val="122"/>
        </w:numPr>
        <w:tabs>
          <w:tab w:val="clear" w:pos="317"/>
          <w:tab w:val="left" w:pos="144"/>
        </w:tabs>
        <w:spacing w:before="0" w:after="0" w:line="360" w:lineRule="auto"/>
        <w:jc w:val="both"/>
      </w:pPr>
      <w:r w:rsidRPr="003E19FB">
        <w:t>Уровень гемоглобина &lt; 100 г/л у пациентов с черепно-мозговой травмой, субарахноидальным кровоизлиянием, хронической дыхательной недостаточностью, ишемической болезнью сердца, кардиохирургических пациентов, пожилых пациентов </w:t>
      </w:r>
    </w:p>
    <w:p w14:paraId="60A089E2" w14:textId="77777777" w:rsidR="009A5B55" w:rsidRDefault="009A5B55" w:rsidP="00296A09">
      <w:pPr>
        <w:pStyle w:val="FitzBullet"/>
        <w:numPr>
          <w:ilvl w:val="0"/>
          <w:numId w:val="122"/>
        </w:numPr>
        <w:tabs>
          <w:tab w:val="clear" w:pos="317"/>
          <w:tab w:val="left" w:pos="144"/>
        </w:tabs>
        <w:spacing w:before="0" w:after="0" w:line="360" w:lineRule="auto"/>
        <w:jc w:val="both"/>
      </w:pPr>
      <w:r w:rsidRPr="003E19FB">
        <w:t>Рекомендуется соблюдение формулы 1:1:1, обозначающей должное соотношение эритроцитов, СЗП и тромбоцитов.</w:t>
      </w:r>
    </w:p>
    <w:p w14:paraId="09D6833D" w14:textId="77777777" w:rsidR="009A5B55" w:rsidRPr="003E19FB" w:rsidRDefault="009A5B55" w:rsidP="009A5B55">
      <w:pPr>
        <w:pStyle w:val="FitzBullet"/>
        <w:spacing w:before="0" w:after="0" w:line="360" w:lineRule="auto"/>
        <w:ind w:left="720" w:firstLine="0"/>
      </w:pPr>
    </w:p>
    <w:p w14:paraId="0575705D" w14:textId="77777777" w:rsidR="009A5B55" w:rsidRPr="00360841" w:rsidRDefault="009A5B55" w:rsidP="009A5B55">
      <w:pPr>
        <w:rPr>
          <w:bCs/>
          <w:i/>
          <w:iCs/>
          <w:szCs w:val="24"/>
          <w:u w:val="single"/>
          <w:lang w:eastAsia="ru-RU"/>
        </w:rPr>
      </w:pPr>
      <w:r w:rsidRPr="00360841">
        <w:rPr>
          <w:bCs/>
          <w:i/>
          <w:iCs/>
          <w:szCs w:val="24"/>
          <w:u w:val="single"/>
          <w:lang w:eastAsia="ru-RU"/>
        </w:rPr>
        <w:t>Трансфузии концентрата тромбоцитов</w:t>
      </w:r>
    </w:p>
    <w:p w14:paraId="056451EB" w14:textId="77777777" w:rsidR="009A5B55" w:rsidRPr="003E19FB" w:rsidRDefault="009A5B55" w:rsidP="009A5B55">
      <w:pPr>
        <w:contextualSpacing/>
        <w:rPr>
          <w:color w:val="333333"/>
          <w:szCs w:val="24"/>
        </w:rPr>
      </w:pPr>
      <w:r>
        <w:rPr>
          <w:color w:val="373838"/>
          <w:szCs w:val="24"/>
        </w:rPr>
        <w:t xml:space="preserve">Считается, что </w:t>
      </w:r>
      <w:r w:rsidRPr="003E19FB">
        <w:rPr>
          <w:color w:val="333333"/>
          <w:szCs w:val="24"/>
        </w:rPr>
        <w:t>пороговый уровень тромбоцитов у пациентов в стационаре, при котором проводятся профилактические трансфузии концентрата тромбоцитов, составляет 10</w:t>
      </w:r>
      <w:r>
        <w:rPr>
          <w:color w:val="333333"/>
          <w:szCs w:val="24"/>
        </w:rPr>
        <w:t>х</w:t>
      </w:r>
      <w:r w:rsidRPr="003E19FB">
        <w:rPr>
          <w:color w:val="333333"/>
          <w:szCs w:val="24"/>
        </w:rPr>
        <w:t>10</w:t>
      </w:r>
      <w:r w:rsidRPr="003E19FB">
        <w:rPr>
          <w:color w:val="333333"/>
          <w:szCs w:val="24"/>
          <w:vertAlign w:val="superscript"/>
        </w:rPr>
        <w:t>9</w:t>
      </w:r>
      <w:r w:rsidRPr="003E19FB">
        <w:rPr>
          <w:color w:val="333333"/>
          <w:szCs w:val="24"/>
        </w:rPr>
        <w:t>/л при условии отсутствия факторов риска кровотечения. Для амбулаторных пациентов это значение может быть увеличено. Медицинские манипуляции, например, установка центрального венозного катетера (ЦВК), являются условием к проведению профилактических трансфузий концентрата тромбоцитов при количестве тромбоцитов в периферической крови 20</w:t>
      </w:r>
      <w:r>
        <w:rPr>
          <w:color w:val="333333"/>
          <w:szCs w:val="24"/>
        </w:rPr>
        <w:t>-30</w:t>
      </w:r>
      <w:r>
        <w:rPr>
          <w:szCs w:val="24"/>
        </w:rPr>
        <w:t>х</w:t>
      </w:r>
      <w:r w:rsidRPr="003E19FB">
        <w:rPr>
          <w:color w:val="333333"/>
          <w:szCs w:val="24"/>
        </w:rPr>
        <w:t>10</w:t>
      </w:r>
      <w:r w:rsidRPr="003E19FB">
        <w:rPr>
          <w:color w:val="333333"/>
          <w:szCs w:val="24"/>
          <w:vertAlign w:val="superscript"/>
        </w:rPr>
        <w:t>9</w:t>
      </w:r>
      <w:r w:rsidRPr="003E19FB">
        <w:rPr>
          <w:color w:val="333333"/>
          <w:szCs w:val="24"/>
        </w:rPr>
        <w:t>/л и ниже, а перед люмбальной пункцией или объемной операцией пороговый уровень тромбоцитов повышается до 50</w:t>
      </w:r>
      <w:r>
        <w:rPr>
          <w:color w:val="333333"/>
          <w:szCs w:val="24"/>
        </w:rPr>
        <w:t>х</w:t>
      </w:r>
      <w:r w:rsidRPr="003E19FB">
        <w:rPr>
          <w:color w:val="333333"/>
          <w:szCs w:val="24"/>
        </w:rPr>
        <w:t>10</w:t>
      </w:r>
      <w:r w:rsidRPr="003E19FB">
        <w:rPr>
          <w:color w:val="333333"/>
          <w:szCs w:val="24"/>
          <w:vertAlign w:val="superscript"/>
        </w:rPr>
        <w:t>9</w:t>
      </w:r>
      <w:r w:rsidRPr="003E19FB">
        <w:rPr>
          <w:color w:val="333333"/>
          <w:szCs w:val="24"/>
        </w:rPr>
        <w:t>/л</w:t>
      </w:r>
      <w:r>
        <w:rPr>
          <w:color w:val="333333"/>
          <w:szCs w:val="24"/>
        </w:rPr>
        <w:t>.</w:t>
      </w:r>
      <w:r>
        <w:rPr>
          <w:szCs w:val="24"/>
        </w:rPr>
        <w:t xml:space="preserve"> </w:t>
      </w:r>
    </w:p>
    <w:p w14:paraId="74A74556" w14:textId="77777777" w:rsidR="009A5B55" w:rsidRDefault="009A5B55" w:rsidP="009A5B55">
      <w:pPr>
        <w:contextualSpacing/>
        <w:rPr>
          <w:bCs/>
          <w:szCs w:val="24"/>
        </w:rPr>
      </w:pPr>
      <w:r>
        <w:rPr>
          <w:szCs w:val="24"/>
        </w:rPr>
        <w:t>При некоторых гематологических заболеваниях, ассоциированных с повышенным риском геморрагических осложнений, пороговый уровень тромбоцитов должен быть увеличен. Так,  у  всех пациентов</w:t>
      </w:r>
      <w:r w:rsidRPr="003E19FB">
        <w:rPr>
          <w:szCs w:val="24"/>
        </w:rPr>
        <w:t xml:space="preserve"> с острым промиелоцитарным лейкозом (ОПЛ)</w:t>
      </w:r>
      <w:r>
        <w:rPr>
          <w:szCs w:val="24"/>
        </w:rPr>
        <w:t xml:space="preserve"> пороговый уровень тромбоцитов увеличен до </w:t>
      </w:r>
      <w:r w:rsidRPr="003E19FB">
        <w:rPr>
          <w:color w:val="333333"/>
          <w:szCs w:val="24"/>
        </w:rPr>
        <w:t>50</w:t>
      </w:r>
      <w:r>
        <w:rPr>
          <w:color w:val="333333"/>
          <w:szCs w:val="24"/>
        </w:rPr>
        <w:t>х</w:t>
      </w:r>
      <w:r w:rsidRPr="003E19FB">
        <w:rPr>
          <w:color w:val="333333"/>
          <w:szCs w:val="24"/>
        </w:rPr>
        <w:t>10</w:t>
      </w:r>
      <w:r w:rsidRPr="003E19FB">
        <w:rPr>
          <w:color w:val="333333"/>
          <w:szCs w:val="24"/>
          <w:vertAlign w:val="superscript"/>
        </w:rPr>
        <w:t>9</w:t>
      </w:r>
      <w:r w:rsidRPr="003E19FB">
        <w:rPr>
          <w:color w:val="333333"/>
          <w:szCs w:val="24"/>
        </w:rPr>
        <w:t>/л</w:t>
      </w:r>
      <w:r>
        <w:rPr>
          <w:szCs w:val="24"/>
        </w:rPr>
        <w:t>,</w:t>
      </w:r>
      <w:r w:rsidRPr="003E19FB">
        <w:rPr>
          <w:szCs w:val="24"/>
        </w:rPr>
        <w:t xml:space="preserve"> </w:t>
      </w:r>
      <w:r w:rsidRPr="003E19FB">
        <w:rPr>
          <w:bCs/>
          <w:szCs w:val="24"/>
        </w:rPr>
        <w:t>поскольку ОПЛ характеризуется тяжелым геморрагическим синдромом и избыточным активированным фибринолизом</w:t>
      </w:r>
      <w:r>
        <w:rPr>
          <w:bCs/>
          <w:szCs w:val="24"/>
        </w:rPr>
        <w:t xml:space="preserve">; у  </w:t>
      </w:r>
      <w:r w:rsidRPr="003E19FB">
        <w:rPr>
          <w:szCs w:val="24"/>
        </w:rPr>
        <w:t>беременны</w:t>
      </w:r>
      <w:r>
        <w:rPr>
          <w:szCs w:val="24"/>
        </w:rPr>
        <w:t>х</w:t>
      </w:r>
      <w:r w:rsidRPr="003E19FB">
        <w:rPr>
          <w:szCs w:val="24"/>
        </w:rPr>
        <w:t xml:space="preserve"> пациент</w:t>
      </w:r>
      <w:r>
        <w:rPr>
          <w:szCs w:val="24"/>
        </w:rPr>
        <w:t>ок</w:t>
      </w:r>
      <w:r w:rsidRPr="003E19FB">
        <w:rPr>
          <w:szCs w:val="24"/>
        </w:rPr>
        <w:t xml:space="preserve"> с </w:t>
      </w:r>
      <w:r>
        <w:rPr>
          <w:szCs w:val="24"/>
        </w:rPr>
        <w:t xml:space="preserve">другими </w:t>
      </w:r>
      <w:r w:rsidRPr="003E19FB">
        <w:rPr>
          <w:szCs w:val="24"/>
        </w:rPr>
        <w:t xml:space="preserve">опухолевыми </w:t>
      </w:r>
      <w:r>
        <w:rPr>
          <w:szCs w:val="24"/>
        </w:rPr>
        <w:t>гематологическими заболеваниями</w:t>
      </w:r>
      <w:r w:rsidRPr="003E19FB">
        <w:rPr>
          <w:bCs/>
          <w:szCs w:val="24"/>
        </w:rPr>
        <w:t xml:space="preserve"> пороговый уровень тромбоцитов составляет 30</w:t>
      </w:r>
      <w:r>
        <w:rPr>
          <w:bCs/>
          <w:szCs w:val="24"/>
        </w:rPr>
        <w:t>х</w:t>
      </w:r>
      <w:r w:rsidRPr="003E19FB">
        <w:rPr>
          <w:bCs/>
          <w:szCs w:val="24"/>
        </w:rPr>
        <w:t>10</w:t>
      </w:r>
      <w:r w:rsidRPr="003E19FB">
        <w:rPr>
          <w:bCs/>
          <w:szCs w:val="24"/>
          <w:vertAlign w:val="superscript"/>
        </w:rPr>
        <w:t>9</w:t>
      </w:r>
      <w:r w:rsidRPr="003E19FB">
        <w:rPr>
          <w:bCs/>
          <w:szCs w:val="24"/>
        </w:rPr>
        <w:t>/л.</w:t>
      </w:r>
    </w:p>
    <w:p w14:paraId="501BF172" w14:textId="77777777" w:rsidR="009A5B55" w:rsidRPr="003E19FB" w:rsidRDefault="009A5B55" w:rsidP="009A5B55">
      <w:pPr>
        <w:contextualSpacing/>
        <w:rPr>
          <w:szCs w:val="24"/>
          <w:lang w:eastAsia="ru-RU"/>
        </w:rPr>
      </w:pPr>
      <w:r w:rsidRPr="003E19FB">
        <w:rPr>
          <w:szCs w:val="24"/>
          <w:lang w:eastAsia="ru-RU"/>
        </w:rPr>
        <w:t>Переливание тромбоцитов не показано при тромбоцитопении иммунного генеза, за исключением случаев, когда оно необходимо по жизненным показаниям при развивш</w:t>
      </w:r>
      <w:r>
        <w:rPr>
          <w:szCs w:val="24"/>
          <w:lang w:eastAsia="ru-RU"/>
        </w:rPr>
        <w:t>е</w:t>
      </w:r>
      <w:r w:rsidRPr="003E19FB">
        <w:rPr>
          <w:szCs w:val="24"/>
          <w:lang w:eastAsia="ru-RU"/>
        </w:rPr>
        <w:t>мся кровотечении.</w:t>
      </w:r>
      <w:r>
        <w:rPr>
          <w:szCs w:val="24"/>
          <w:lang w:eastAsia="ru-RU"/>
        </w:rPr>
        <w:t xml:space="preserve"> </w:t>
      </w:r>
      <w:r w:rsidRPr="003E19FB">
        <w:rPr>
          <w:szCs w:val="24"/>
          <w:lang w:eastAsia="ru-RU"/>
        </w:rPr>
        <w:t xml:space="preserve">При тромбоцитопатиях трансфузия тромбоцитов также </w:t>
      </w:r>
      <w:r>
        <w:rPr>
          <w:szCs w:val="24"/>
          <w:lang w:eastAsia="ru-RU"/>
        </w:rPr>
        <w:t xml:space="preserve">рутинно не показана, и </w:t>
      </w:r>
      <w:r w:rsidRPr="003E19FB">
        <w:rPr>
          <w:szCs w:val="24"/>
          <w:lang w:eastAsia="ru-RU"/>
        </w:rPr>
        <w:t>осуществляется только в неотложных ситуациях: при массивных кровотечениях, операциях, родах.</w:t>
      </w:r>
    </w:p>
    <w:p w14:paraId="5B0A9055" w14:textId="77777777" w:rsidR="009A5B55" w:rsidRDefault="009A5B55" w:rsidP="009A5B55">
      <w:pPr>
        <w:contextualSpacing/>
        <w:rPr>
          <w:szCs w:val="24"/>
        </w:rPr>
      </w:pPr>
      <w:r w:rsidRPr="002A1C4D">
        <w:rPr>
          <w:szCs w:val="24"/>
          <w:u w:val="single"/>
        </w:rPr>
        <w:t>Показания к переливанию концентрата тромбоцитов с профилактической целью</w:t>
      </w:r>
      <w:r w:rsidRPr="00BA458B">
        <w:rPr>
          <w:szCs w:val="24"/>
        </w:rPr>
        <w:t xml:space="preserve"> приведены в табл. 1.</w:t>
      </w:r>
    </w:p>
    <w:p w14:paraId="3F4FF8A0" w14:textId="77777777" w:rsidR="009A5B55" w:rsidRDefault="009A5B55" w:rsidP="009A5B55">
      <w:pPr>
        <w:contextualSpacing/>
        <w:rPr>
          <w:bCs/>
          <w:szCs w:val="24"/>
        </w:rPr>
      </w:pPr>
    </w:p>
    <w:p w14:paraId="7A01F39A" w14:textId="77777777" w:rsidR="009A5B55" w:rsidRPr="0008195A" w:rsidRDefault="009A5B55" w:rsidP="009A5B55">
      <w:pPr>
        <w:contextualSpacing/>
        <w:rPr>
          <w:szCs w:val="24"/>
        </w:rPr>
      </w:pPr>
      <w:r w:rsidRPr="0008195A">
        <w:rPr>
          <w:bCs/>
          <w:szCs w:val="24"/>
        </w:rPr>
        <w:t>Таблица 1. Показания к переливанию концентрата тромбоцитов</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7"/>
        <w:gridCol w:w="2663"/>
        <w:gridCol w:w="3690"/>
      </w:tblGrid>
      <w:tr w:rsidR="009A5B55" w:rsidRPr="004C7AAC" w14:paraId="484C23FD" w14:textId="77777777" w:rsidTr="002D3EBF">
        <w:tc>
          <w:tcPr>
            <w:tcW w:w="3007" w:type="dxa"/>
            <w:vAlign w:val="center"/>
          </w:tcPr>
          <w:p w14:paraId="37EB6736" w14:textId="77777777" w:rsidR="009A5B55" w:rsidRPr="00BA458B" w:rsidRDefault="009A5B55" w:rsidP="002D3EBF">
            <w:pPr>
              <w:pStyle w:val="Table-head-italic"/>
              <w:spacing w:line="360" w:lineRule="auto"/>
              <w:jc w:val="center"/>
              <w:rPr>
                <w:i w:val="0"/>
                <w:sz w:val="22"/>
                <w:szCs w:val="22"/>
                <w:lang w:val="ru-RU"/>
              </w:rPr>
            </w:pPr>
            <w:r w:rsidRPr="00BA458B">
              <w:rPr>
                <w:i w:val="0"/>
                <w:sz w:val="22"/>
                <w:szCs w:val="22"/>
                <w:lang w:val="ru-RU"/>
              </w:rPr>
              <w:t>Показание</w:t>
            </w:r>
          </w:p>
        </w:tc>
        <w:tc>
          <w:tcPr>
            <w:tcW w:w="2663" w:type="dxa"/>
            <w:vAlign w:val="center"/>
          </w:tcPr>
          <w:p w14:paraId="5CE35DA7" w14:textId="77777777" w:rsidR="009A5B55" w:rsidRPr="00BA458B" w:rsidRDefault="009A5B55" w:rsidP="002D3EBF">
            <w:pPr>
              <w:pStyle w:val="Table-head-italic"/>
              <w:spacing w:line="360" w:lineRule="auto"/>
              <w:jc w:val="center"/>
              <w:rPr>
                <w:i w:val="0"/>
                <w:sz w:val="22"/>
                <w:szCs w:val="22"/>
                <w:lang w:val="ru-RU"/>
              </w:rPr>
            </w:pPr>
            <w:r w:rsidRPr="00BA458B">
              <w:rPr>
                <w:i w:val="0"/>
                <w:sz w:val="22"/>
                <w:szCs w:val="22"/>
                <w:lang w:val="ru-RU"/>
              </w:rPr>
              <w:t>Количество тромбоцитов в периферической крови</w:t>
            </w:r>
          </w:p>
        </w:tc>
        <w:tc>
          <w:tcPr>
            <w:tcW w:w="3690" w:type="dxa"/>
            <w:vAlign w:val="center"/>
          </w:tcPr>
          <w:p w14:paraId="198CC41C" w14:textId="77777777" w:rsidR="009A5B55" w:rsidRPr="00BA458B" w:rsidRDefault="009A5B55" w:rsidP="002D3EBF">
            <w:pPr>
              <w:pStyle w:val="Table-head-italic"/>
              <w:spacing w:line="360" w:lineRule="auto"/>
              <w:jc w:val="center"/>
              <w:rPr>
                <w:i w:val="0"/>
                <w:sz w:val="22"/>
                <w:szCs w:val="22"/>
                <w:lang w:val="ru-RU"/>
              </w:rPr>
            </w:pPr>
            <w:r w:rsidRPr="00BA458B">
              <w:rPr>
                <w:i w:val="0"/>
                <w:sz w:val="22"/>
                <w:szCs w:val="22"/>
                <w:lang w:val="ru-RU"/>
              </w:rPr>
              <w:t>Примечания</w:t>
            </w:r>
          </w:p>
        </w:tc>
      </w:tr>
      <w:tr w:rsidR="009A5B55" w:rsidRPr="004C7AAC" w14:paraId="6F3B2224" w14:textId="77777777" w:rsidTr="002D3EBF">
        <w:tc>
          <w:tcPr>
            <w:tcW w:w="3007" w:type="dxa"/>
          </w:tcPr>
          <w:p w14:paraId="2C0D7522" w14:textId="77777777" w:rsidR="009A5B55" w:rsidRPr="00BA458B" w:rsidRDefault="009A5B55" w:rsidP="002D3EBF">
            <w:pPr>
              <w:pStyle w:val="table-text-0"/>
              <w:spacing w:before="0" w:line="360" w:lineRule="auto"/>
              <w:ind w:firstLine="0"/>
              <w:rPr>
                <w:sz w:val="22"/>
                <w:szCs w:val="22"/>
                <w:lang w:val="ru-RU"/>
              </w:rPr>
            </w:pPr>
            <w:r w:rsidRPr="00BA458B">
              <w:rPr>
                <w:sz w:val="22"/>
                <w:szCs w:val="22"/>
                <w:lang w:val="ru-RU"/>
              </w:rPr>
              <w:t>Во время или после химиотерапии, в период миелотоксического агранулоцитоза</w:t>
            </w:r>
          </w:p>
        </w:tc>
        <w:tc>
          <w:tcPr>
            <w:tcW w:w="2663" w:type="dxa"/>
            <w:vAlign w:val="center"/>
          </w:tcPr>
          <w:p w14:paraId="1B535320" w14:textId="77777777" w:rsidR="009A5B55" w:rsidRPr="00BA458B" w:rsidRDefault="009A5B55" w:rsidP="002D3EBF">
            <w:pPr>
              <w:pStyle w:val="table-text-0"/>
              <w:spacing w:before="0" w:line="360" w:lineRule="auto"/>
              <w:ind w:firstLine="0"/>
              <w:rPr>
                <w:sz w:val="22"/>
                <w:szCs w:val="22"/>
                <w:lang w:val="ru-RU"/>
              </w:rPr>
            </w:pPr>
            <w:r>
              <w:rPr>
                <w:sz w:val="22"/>
                <w:szCs w:val="22"/>
                <w:lang w:val="ru-RU"/>
              </w:rPr>
              <w:t>М</w:t>
            </w:r>
            <w:r w:rsidRPr="00BA458B">
              <w:rPr>
                <w:sz w:val="22"/>
                <w:szCs w:val="22"/>
                <w:lang w:val="ru-RU"/>
              </w:rPr>
              <w:t>енее 10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66A8A7D2" w14:textId="77777777" w:rsidR="009A5B55" w:rsidRPr="00A83EB7" w:rsidRDefault="009A5B55" w:rsidP="002D3EBF">
            <w:pPr>
              <w:pStyle w:val="table-text-0"/>
              <w:spacing w:before="0" w:line="360" w:lineRule="auto"/>
              <w:ind w:firstLine="0"/>
              <w:rPr>
                <w:sz w:val="22"/>
                <w:szCs w:val="22"/>
                <w:lang w:val="ru-RU"/>
              </w:rPr>
            </w:pPr>
            <w:r w:rsidRPr="00A83EB7">
              <w:rPr>
                <w:sz w:val="22"/>
                <w:szCs w:val="22"/>
                <w:lang w:val="ru-RU"/>
              </w:rPr>
              <w:t>При синдроме повышенного потребления тромбоцитов* данный порог необходимо повысить</w:t>
            </w:r>
          </w:p>
        </w:tc>
      </w:tr>
      <w:tr w:rsidR="009A5B55" w:rsidRPr="004C7AAC" w14:paraId="4254D5EC" w14:textId="77777777" w:rsidTr="002D3EBF">
        <w:tc>
          <w:tcPr>
            <w:tcW w:w="3007" w:type="dxa"/>
          </w:tcPr>
          <w:p w14:paraId="4A99ACC6" w14:textId="77777777" w:rsidR="009A5B55" w:rsidRPr="00BA458B" w:rsidRDefault="009A5B55" w:rsidP="002D3EBF">
            <w:pPr>
              <w:pStyle w:val="table-text-0"/>
              <w:spacing w:before="0" w:line="360" w:lineRule="auto"/>
              <w:ind w:firstLine="0"/>
              <w:rPr>
                <w:sz w:val="22"/>
                <w:szCs w:val="22"/>
                <w:lang w:val="ru-RU"/>
              </w:rPr>
            </w:pPr>
            <w:r w:rsidRPr="00BA458B">
              <w:rPr>
                <w:sz w:val="22"/>
                <w:szCs w:val="22"/>
                <w:lang w:val="ru-RU"/>
              </w:rPr>
              <w:t>Установка ЦВК</w:t>
            </w:r>
          </w:p>
        </w:tc>
        <w:tc>
          <w:tcPr>
            <w:tcW w:w="2663" w:type="dxa"/>
            <w:vAlign w:val="center"/>
          </w:tcPr>
          <w:p w14:paraId="0485FEC7" w14:textId="77777777" w:rsidR="009A5B55" w:rsidRPr="00BA458B" w:rsidRDefault="009A5B55" w:rsidP="002D3EBF">
            <w:pPr>
              <w:pStyle w:val="table-text-0"/>
              <w:spacing w:before="0" w:line="360" w:lineRule="auto"/>
              <w:ind w:firstLine="0"/>
              <w:rPr>
                <w:sz w:val="22"/>
                <w:szCs w:val="22"/>
                <w:lang w:val="ru-RU"/>
              </w:rPr>
            </w:pPr>
            <w:r>
              <w:rPr>
                <w:sz w:val="22"/>
                <w:szCs w:val="22"/>
                <w:lang w:val="ru-RU"/>
              </w:rPr>
              <w:t>М</w:t>
            </w:r>
            <w:r w:rsidRPr="00BA458B">
              <w:rPr>
                <w:sz w:val="22"/>
                <w:szCs w:val="22"/>
                <w:lang w:val="ru-RU"/>
              </w:rPr>
              <w:t>енее 30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238BB96A" w14:textId="77777777" w:rsidR="009A5B55" w:rsidRPr="00A83EB7" w:rsidRDefault="009A5B55" w:rsidP="002D3EBF">
            <w:pPr>
              <w:pStyle w:val="table-text-0"/>
              <w:spacing w:before="0" w:line="360" w:lineRule="auto"/>
              <w:ind w:firstLine="0"/>
              <w:jc w:val="center"/>
              <w:rPr>
                <w:sz w:val="22"/>
                <w:szCs w:val="22"/>
                <w:lang w:val="ru-RU"/>
              </w:rPr>
            </w:pPr>
            <w:r>
              <w:rPr>
                <w:sz w:val="22"/>
                <w:szCs w:val="22"/>
                <w:lang w:val="ru-RU"/>
              </w:rPr>
              <w:t>-</w:t>
            </w:r>
          </w:p>
        </w:tc>
      </w:tr>
      <w:tr w:rsidR="009A5B55" w:rsidRPr="004C7AAC" w14:paraId="2A743E4F" w14:textId="77777777" w:rsidTr="002D3EBF">
        <w:tc>
          <w:tcPr>
            <w:tcW w:w="3007" w:type="dxa"/>
          </w:tcPr>
          <w:p w14:paraId="4B9FA456" w14:textId="77777777" w:rsidR="009A5B55" w:rsidRPr="00BA458B" w:rsidRDefault="009A5B55" w:rsidP="002D3EBF">
            <w:pPr>
              <w:pStyle w:val="table-text-0"/>
              <w:spacing w:before="0" w:line="360" w:lineRule="auto"/>
              <w:ind w:firstLine="0"/>
              <w:rPr>
                <w:sz w:val="22"/>
                <w:szCs w:val="22"/>
                <w:lang w:val="ru-RU"/>
              </w:rPr>
            </w:pPr>
            <w:r w:rsidRPr="00BA458B">
              <w:rPr>
                <w:sz w:val="22"/>
                <w:szCs w:val="22"/>
                <w:lang w:val="ru-RU"/>
              </w:rPr>
              <w:t>Люмбальная пункция</w:t>
            </w:r>
          </w:p>
        </w:tc>
        <w:tc>
          <w:tcPr>
            <w:tcW w:w="2663" w:type="dxa"/>
            <w:vAlign w:val="center"/>
          </w:tcPr>
          <w:p w14:paraId="46705CC5" w14:textId="77777777" w:rsidR="009A5B55" w:rsidRPr="00BA458B" w:rsidRDefault="009A5B55" w:rsidP="002D3EBF">
            <w:pPr>
              <w:pStyle w:val="table-text-0"/>
              <w:spacing w:before="0" w:line="360" w:lineRule="auto"/>
              <w:ind w:firstLine="0"/>
              <w:rPr>
                <w:sz w:val="22"/>
                <w:szCs w:val="22"/>
                <w:lang w:val="ru-RU"/>
              </w:rPr>
            </w:pPr>
            <w:r>
              <w:rPr>
                <w:sz w:val="22"/>
                <w:szCs w:val="22"/>
                <w:lang w:val="ru-RU"/>
              </w:rPr>
              <w:t>М</w:t>
            </w:r>
            <w:r w:rsidRPr="00BA458B">
              <w:rPr>
                <w:sz w:val="22"/>
                <w:szCs w:val="22"/>
                <w:lang w:val="ru-RU"/>
              </w:rPr>
              <w:t>енее 50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5FA3D020" w14:textId="77777777" w:rsidR="009A5B55" w:rsidRPr="00A83EB7" w:rsidRDefault="009A5B55" w:rsidP="002D3EBF">
            <w:pPr>
              <w:pStyle w:val="table-text-0"/>
              <w:spacing w:before="0" w:line="360" w:lineRule="auto"/>
              <w:ind w:firstLine="0"/>
              <w:jc w:val="center"/>
              <w:rPr>
                <w:sz w:val="22"/>
                <w:szCs w:val="22"/>
                <w:lang w:val="ru-RU"/>
              </w:rPr>
            </w:pPr>
            <w:r>
              <w:rPr>
                <w:sz w:val="22"/>
                <w:szCs w:val="22"/>
                <w:lang w:val="ru-RU"/>
              </w:rPr>
              <w:t>-</w:t>
            </w:r>
          </w:p>
        </w:tc>
      </w:tr>
      <w:tr w:rsidR="009A5B55" w:rsidRPr="004C7AAC" w14:paraId="2B3A1B65" w14:textId="77777777" w:rsidTr="002D3EBF">
        <w:tc>
          <w:tcPr>
            <w:tcW w:w="3007" w:type="dxa"/>
          </w:tcPr>
          <w:p w14:paraId="488718A4" w14:textId="77777777" w:rsidR="009A5B55" w:rsidRPr="00BA458B" w:rsidRDefault="009A5B55" w:rsidP="002D3EBF">
            <w:pPr>
              <w:pStyle w:val="table-text-0"/>
              <w:spacing w:before="0" w:line="360" w:lineRule="auto"/>
              <w:ind w:firstLine="0"/>
              <w:rPr>
                <w:sz w:val="22"/>
                <w:szCs w:val="22"/>
                <w:lang w:val="ru-RU"/>
              </w:rPr>
            </w:pPr>
            <w:r w:rsidRPr="00BA458B">
              <w:rPr>
                <w:sz w:val="22"/>
                <w:szCs w:val="22"/>
                <w:lang w:val="ru-RU"/>
              </w:rPr>
              <w:t>Объемные операции и малообъемные инвазивные вмешательства</w:t>
            </w:r>
          </w:p>
        </w:tc>
        <w:tc>
          <w:tcPr>
            <w:tcW w:w="2663" w:type="dxa"/>
            <w:vAlign w:val="center"/>
          </w:tcPr>
          <w:p w14:paraId="01C93169" w14:textId="77777777" w:rsidR="009A5B55" w:rsidRPr="00BA458B" w:rsidRDefault="009A5B55" w:rsidP="002D3EBF">
            <w:pPr>
              <w:pStyle w:val="table-text-0"/>
              <w:spacing w:before="0" w:line="360" w:lineRule="auto"/>
              <w:ind w:firstLine="0"/>
              <w:rPr>
                <w:sz w:val="22"/>
                <w:szCs w:val="22"/>
                <w:lang w:val="ru-RU"/>
              </w:rPr>
            </w:pPr>
            <w:r>
              <w:rPr>
                <w:sz w:val="22"/>
                <w:szCs w:val="22"/>
                <w:lang w:val="ru-RU"/>
              </w:rPr>
              <w:t>М</w:t>
            </w:r>
            <w:r w:rsidRPr="00BA458B">
              <w:rPr>
                <w:sz w:val="22"/>
                <w:szCs w:val="22"/>
                <w:lang w:val="ru-RU"/>
              </w:rPr>
              <w:t>енее 50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1E7936DA" w14:textId="77777777" w:rsidR="009A5B55" w:rsidRPr="00A83EB7" w:rsidRDefault="009A5B55" w:rsidP="002D3EBF">
            <w:pPr>
              <w:pStyle w:val="table-text-0"/>
              <w:spacing w:before="0" w:line="360" w:lineRule="auto"/>
              <w:ind w:firstLine="0"/>
              <w:rPr>
                <w:sz w:val="22"/>
                <w:szCs w:val="22"/>
                <w:lang w:val="ru-RU"/>
              </w:rPr>
            </w:pPr>
            <w:r w:rsidRPr="00A83EB7">
              <w:rPr>
                <w:sz w:val="22"/>
                <w:szCs w:val="22"/>
                <w:lang w:val="ru-RU"/>
              </w:rPr>
              <w:t>Помимо профилактической трансфузии, необходимо резервирование концентрата тромбоцитов для проведения операции. Доза определяется массой тела пациента, а количество трансфузий — объемом операции</w:t>
            </w:r>
          </w:p>
        </w:tc>
      </w:tr>
      <w:tr w:rsidR="009A5B55" w:rsidRPr="004C7AAC" w14:paraId="5CF7A666" w14:textId="77777777" w:rsidTr="002D3EBF">
        <w:tc>
          <w:tcPr>
            <w:tcW w:w="3007" w:type="dxa"/>
          </w:tcPr>
          <w:p w14:paraId="6F39C622" w14:textId="77777777" w:rsidR="009A5B55" w:rsidRPr="00BA458B" w:rsidRDefault="009A5B55" w:rsidP="002D3EBF">
            <w:pPr>
              <w:pStyle w:val="table-text-0"/>
              <w:spacing w:before="0" w:line="360" w:lineRule="auto"/>
              <w:ind w:firstLine="0"/>
              <w:rPr>
                <w:sz w:val="22"/>
                <w:szCs w:val="22"/>
                <w:lang w:val="ru-RU"/>
              </w:rPr>
            </w:pPr>
            <w:r w:rsidRPr="00BA458B">
              <w:rPr>
                <w:sz w:val="22"/>
                <w:szCs w:val="22"/>
                <w:lang w:val="ru-RU"/>
              </w:rPr>
              <w:t>Беременные</w:t>
            </w:r>
          </w:p>
        </w:tc>
        <w:tc>
          <w:tcPr>
            <w:tcW w:w="2663" w:type="dxa"/>
          </w:tcPr>
          <w:p w14:paraId="1672FB64" w14:textId="77777777" w:rsidR="009A5B55" w:rsidRPr="00BA458B" w:rsidRDefault="009A5B55" w:rsidP="002D3EBF">
            <w:pPr>
              <w:pStyle w:val="table-text-0"/>
              <w:spacing w:before="0" w:line="360" w:lineRule="auto"/>
              <w:ind w:firstLine="0"/>
              <w:rPr>
                <w:sz w:val="22"/>
                <w:szCs w:val="22"/>
                <w:lang w:val="ru-RU"/>
              </w:rPr>
            </w:pPr>
            <w:r>
              <w:rPr>
                <w:sz w:val="22"/>
                <w:szCs w:val="22"/>
                <w:lang w:val="ru-RU"/>
              </w:rPr>
              <w:t xml:space="preserve">Менее </w:t>
            </w:r>
            <w:r w:rsidRPr="00BA458B">
              <w:rPr>
                <w:sz w:val="22"/>
                <w:szCs w:val="22"/>
                <w:lang w:val="ru-RU"/>
              </w:rPr>
              <w:t>30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5422FAAD" w14:textId="77777777" w:rsidR="009A5B55" w:rsidRPr="00A83EB7" w:rsidRDefault="009A5B55" w:rsidP="002D3EBF">
            <w:pPr>
              <w:pStyle w:val="table-text-0"/>
              <w:spacing w:before="0" w:line="360" w:lineRule="auto"/>
              <w:ind w:firstLine="0"/>
              <w:jc w:val="center"/>
              <w:rPr>
                <w:sz w:val="22"/>
                <w:szCs w:val="22"/>
                <w:lang w:val="ru-RU"/>
              </w:rPr>
            </w:pPr>
            <w:r>
              <w:rPr>
                <w:sz w:val="22"/>
                <w:szCs w:val="22"/>
                <w:lang w:val="ru-RU"/>
              </w:rPr>
              <w:t>-</w:t>
            </w:r>
          </w:p>
        </w:tc>
      </w:tr>
      <w:tr w:rsidR="009A5B55" w:rsidRPr="004C7AAC" w14:paraId="4FE0BAE9" w14:textId="77777777" w:rsidTr="002D3EBF">
        <w:tc>
          <w:tcPr>
            <w:tcW w:w="3007" w:type="dxa"/>
          </w:tcPr>
          <w:p w14:paraId="23B771F2" w14:textId="77777777" w:rsidR="009A5B55" w:rsidRPr="00BA458B" w:rsidRDefault="009A5B55" w:rsidP="002D3EBF">
            <w:pPr>
              <w:pStyle w:val="table-text-0"/>
              <w:spacing w:before="0" w:line="360" w:lineRule="auto"/>
              <w:ind w:firstLine="0"/>
              <w:rPr>
                <w:sz w:val="22"/>
                <w:szCs w:val="22"/>
                <w:lang w:val="ru-RU"/>
              </w:rPr>
            </w:pPr>
            <w:r>
              <w:rPr>
                <w:sz w:val="22"/>
                <w:szCs w:val="22"/>
                <w:lang w:val="ru-RU"/>
              </w:rPr>
              <w:t>Пациенты с</w:t>
            </w:r>
            <w:r w:rsidRPr="00BA458B">
              <w:rPr>
                <w:sz w:val="22"/>
                <w:szCs w:val="22"/>
                <w:lang w:val="ru-RU"/>
              </w:rPr>
              <w:t xml:space="preserve"> ОПЛ</w:t>
            </w:r>
          </w:p>
        </w:tc>
        <w:tc>
          <w:tcPr>
            <w:tcW w:w="2663" w:type="dxa"/>
          </w:tcPr>
          <w:p w14:paraId="4F9B110D" w14:textId="77777777" w:rsidR="009A5B55" w:rsidRPr="00BA458B" w:rsidRDefault="009A5B55" w:rsidP="002D3EBF">
            <w:pPr>
              <w:pStyle w:val="table-text-0"/>
              <w:spacing w:before="0" w:line="360" w:lineRule="auto"/>
              <w:ind w:firstLine="0"/>
              <w:rPr>
                <w:sz w:val="22"/>
                <w:szCs w:val="22"/>
                <w:lang w:val="ru-RU"/>
              </w:rPr>
            </w:pPr>
            <w:r>
              <w:rPr>
                <w:sz w:val="22"/>
                <w:szCs w:val="22"/>
                <w:lang w:val="ru-RU"/>
              </w:rPr>
              <w:t>Менее</w:t>
            </w:r>
            <w:r w:rsidRPr="00BA458B">
              <w:rPr>
                <w:sz w:val="22"/>
                <w:szCs w:val="22"/>
                <w:lang w:val="ru-RU"/>
              </w:rPr>
              <w:t xml:space="preserve"> 50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0AEA0C26" w14:textId="77777777" w:rsidR="009A5B55" w:rsidRPr="00A83EB7" w:rsidRDefault="009A5B55" w:rsidP="002D3EBF">
            <w:pPr>
              <w:pStyle w:val="table-text-0"/>
              <w:spacing w:before="0" w:line="360" w:lineRule="auto"/>
              <w:ind w:firstLine="0"/>
              <w:jc w:val="center"/>
              <w:rPr>
                <w:sz w:val="22"/>
                <w:szCs w:val="22"/>
                <w:lang w:val="ru-RU"/>
              </w:rPr>
            </w:pPr>
            <w:r>
              <w:rPr>
                <w:sz w:val="22"/>
                <w:szCs w:val="22"/>
                <w:lang w:val="ru-RU"/>
              </w:rPr>
              <w:t>-</w:t>
            </w:r>
          </w:p>
        </w:tc>
      </w:tr>
      <w:tr w:rsidR="009A5B55" w:rsidRPr="004C7AAC" w14:paraId="1E2E9031" w14:textId="77777777" w:rsidTr="002D3EBF">
        <w:tc>
          <w:tcPr>
            <w:tcW w:w="3007" w:type="dxa"/>
          </w:tcPr>
          <w:p w14:paraId="7B6F63D1" w14:textId="77777777" w:rsidR="009A5B55" w:rsidRPr="00BA458B" w:rsidRDefault="009A5B55" w:rsidP="002D3EBF">
            <w:pPr>
              <w:pStyle w:val="table-text-0"/>
              <w:spacing w:before="0" w:line="360" w:lineRule="auto"/>
              <w:ind w:firstLine="0"/>
              <w:rPr>
                <w:sz w:val="22"/>
                <w:szCs w:val="22"/>
                <w:lang w:val="ru-RU"/>
              </w:rPr>
            </w:pPr>
            <w:r w:rsidRPr="00BA458B">
              <w:rPr>
                <w:sz w:val="22"/>
                <w:szCs w:val="22"/>
                <w:lang w:val="ru-RU"/>
              </w:rPr>
              <w:t>ДВС</w:t>
            </w:r>
            <w:r>
              <w:rPr>
                <w:sz w:val="22"/>
                <w:szCs w:val="22"/>
                <w:lang w:val="ru-RU"/>
              </w:rPr>
              <w:t>-</w:t>
            </w:r>
            <w:r w:rsidRPr="00BA458B">
              <w:rPr>
                <w:sz w:val="22"/>
                <w:szCs w:val="22"/>
                <w:lang w:val="ru-RU"/>
              </w:rPr>
              <w:t>синдром</w:t>
            </w:r>
          </w:p>
        </w:tc>
        <w:tc>
          <w:tcPr>
            <w:tcW w:w="2663" w:type="dxa"/>
          </w:tcPr>
          <w:p w14:paraId="7B554DB2" w14:textId="77777777" w:rsidR="009A5B55" w:rsidRPr="00BA458B" w:rsidRDefault="009A5B55" w:rsidP="002D3EBF">
            <w:pPr>
              <w:pStyle w:val="table-text-0"/>
              <w:spacing w:before="0" w:line="360" w:lineRule="auto"/>
              <w:ind w:firstLine="0"/>
              <w:rPr>
                <w:sz w:val="22"/>
                <w:szCs w:val="22"/>
                <w:lang w:val="ru-RU"/>
              </w:rPr>
            </w:pPr>
            <w:r>
              <w:rPr>
                <w:sz w:val="22"/>
                <w:szCs w:val="22"/>
                <w:lang w:val="ru-RU"/>
              </w:rPr>
              <w:t>Менее</w:t>
            </w:r>
            <w:r w:rsidRPr="00BA458B">
              <w:rPr>
                <w:sz w:val="22"/>
                <w:szCs w:val="22"/>
                <w:lang w:val="ru-RU"/>
              </w:rPr>
              <w:t xml:space="preserve"> 50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1292A0C6" w14:textId="77777777" w:rsidR="009A5B55" w:rsidRPr="00A83EB7" w:rsidRDefault="009A5B55" w:rsidP="002D3EBF">
            <w:pPr>
              <w:pStyle w:val="table-text-0"/>
              <w:spacing w:before="0" w:line="360" w:lineRule="auto"/>
              <w:ind w:firstLine="0"/>
              <w:rPr>
                <w:sz w:val="22"/>
                <w:szCs w:val="22"/>
                <w:lang w:val="ru-RU"/>
              </w:rPr>
            </w:pPr>
            <w:r w:rsidRPr="00A83EB7">
              <w:rPr>
                <w:sz w:val="22"/>
                <w:szCs w:val="22"/>
                <w:lang w:val="ru-RU"/>
              </w:rPr>
              <w:t>Как часть основной терапии ДВС- синдрома</w:t>
            </w:r>
          </w:p>
        </w:tc>
      </w:tr>
    </w:tbl>
    <w:p w14:paraId="7B5E6D7B" w14:textId="77777777" w:rsidR="009A5B55" w:rsidRPr="0008195A" w:rsidRDefault="009A5B55" w:rsidP="009A5B55">
      <w:pPr>
        <w:rPr>
          <w:b/>
        </w:rPr>
      </w:pPr>
      <w:r w:rsidRPr="0008195A">
        <w:t>* Сепсис, пульмонологические заболевания, лихорадка.</w:t>
      </w:r>
    </w:p>
    <w:p w14:paraId="709B0509" w14:textId="77777777" w:rsidR="009A5B55" w:rsidRDefault="009A5B55" w:rsidP="009A5B55">
      <w:pPr>
        <w:pStyle w:val="3"/>
        <w:spacing w:before="0"/>
        <w:ind w:firstLine="708"/>
        <w:rPr>
          <w:rFonts w:ascii="Times New Roman" w:hAnsi="Times New Roman" w:cs="Times New Roman"/>
          <w:b/>
          <w:u w:val="single"/>
        </w:rPr>
      </w:pPr>
    </w:p>
    <w:p w14:paraId="061D2621" w14:textId="77777777" w:rsidR="009A5B55" w:rsidRPr="00287E25" w:rsidRDefault="009A5B55" w:rsidP="009A5B55">
      <w:pPr>
        <w:ind w:firstLine="708"/>
        <w:rPr>
          <w:b/>
          <w:u w:val="single"/>
        </w:rPr>
      </w:pPr>
      <w:r w:rsidRPr="00287E25">
        <w:rPr>
          <w:u w:val="single"/>
        </w:rPr>
        <w:t>Показания к переливанию концентрата тромбоцитов с лечебной целью.</w:t>
      </w:r>
    </w:p>
    <w:p w14:paraId="274C7D35" w14:textId="77777777" w:rsidR="009A5B55" w:rsidRDefault="009A5B55" w:rsidP="009A5B55">
      <w:pPr>
        <w:ind w:firstLine="708"/>
        <w:rPr>
          <w:szCs w:val="24"/>
        </w:rPr>
      </w:pPr>
      <w:r w:rsidRPr="004C7AAC">
        <w:rPr>
          <w:bCs/>
          <w:szCs w:val="24"/>
        </w:rPr>
        <w:t>Наличие у пациента геморрагического синдрома</w:t>
      </w:r>
      <w:r>
        <w:rPr>
          <w:bCs/>
          <w:szCs w:val="24"/>
        </w:rPr>
        <w:t xml:space="preserve"> — </w:t>
      </w:r>
      <w:r w:rsidRPr="00A83EB7">
        <w:rPr>
          <w:bCs/>
          <w:szCs w:val="24"/>
        </w:rPr>
        <w:t>прямое показание к переливанию концентрата тромбоцитов независимо от лабораторных показателей. Оценка тяжести</w:t>
      </w:r>
      <w:r>
        <w:rPr>
          <w:bCs/>
          <w:szCs w:val="24"/>
        </w:rPr>
        <w:t xml:space="preserve"> </w:t>
      </w:r>
      <w:r w:rsidRPr="004C7AAC">
        <w:rPr>
          <w:bCs/>
          <w:szCs w:val="24"/>
        </w:rPr>
        <w:t>геморрагического синдрома проводится по шкале ВОЗ</w:t>
      </w:r>
      <w:r>
        <w:rPr>
          <w:bCs/>
          <w:szCs w:val="24"/>
        </w:rPr>
        <w:t xml:space="preserve"> (табл. 2)</w:t>
      </w:r>
      <w:r w:rsidRPr="004C7AAC">
        <w:rPr>
          <w:szCs w:val="24"/>
        </w:rPr>
        <w:t>.</w:t>
      </w:r>
    </w:p>
    <w:p w14:paraId="3C6C1D17" w14:textId="77777777" w:rsidR="009A5B55" w:rsidRDefault="009A5B55" w:rsidP="009A5B55">
      <w:pPr>
        <w:rPr>
          <w:bCs/>
          <w:szCs w:val="24"/>
        </w:rPr>
      </w:pPr>
    </w:p>
    <w:p w14:paraId="1AA4D619" w14:textId="77777777" w:rsidR="009A5B55" w:rsidRPr="002A1C4D" w:rsidRDefault="009A5B55" w:rsidP="009A5B55">
      <w:pPr>
        <w:rPr>
          <w:szCs w:val="24"/>
        </w:rPr>
      </w:pPr>
      <w:r w:rsidRPr="002A1C4D">
        <w:rPr>
          <w:bCs/>
          <w:szCs w:val="24"/>
        </w:rPr>
        <w:t>Таблица 2. Шкала кровотечений по ВОЗ</w:t>
      </w:r>
    </w:p>
    <w:tbl>
      <w:tblPr>
        <w:tblW w:w="0" w:type="auto"/>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96"/>
      </w:tblGrid>
      <w:tr w:rsidR="009A5B55" w:rsidRPr="004C7AAC" w14:paraId="2840D1D2" w14:textId="77777777" w:rsidTr="002D3EBF">
        <w:tc>
          <w:tcPr>
            <w:tcW w:w="9121" w:type="dxa"/>
            <w:shd w:val="clear" w:color="auto" w:fill="auto"/>
          </w:tcPr>
          <w:p w14:paraId="40B62F49" w14:textId="77777777" w:rsidR="009A5B55" w:rsidRPr="004C7AAC" w:rsidRDefault="009A5B55" w:rsidP="002D3EBF">
            <w:pPr>
              <w:pStyle w:val="table-text-1"/>
              <w:spacing w:before="0" w:after="0" w:line="360" w:lineRule="auto"/>
              <w:rPr>
                <w:b/>
                <w:i/>
                <w:sz w:val="24"/>
                <w:szCs w:val="24"/>
              </w:rPr>
            </w:pPr>
            <w:r w:rsidRPr="002E0659">
              <w:rPr>
                <w:sz w:val="22"/>
                <w:szCs w:val="22"/>
              </w:rPr>
              <w:t>1 степень (не требует трансфузии)</w:t>
            </w:r>
          </w:p>
        </w:tc>
      </w:tr>
      <w:tr w:rsidR="009A5B55" w:rsidRPr="004C7AAC" w14:paraId="5BC08F45" w14:textId="77777777" w:rsidTr="002D3EBF">
        <w:tc>
          <w:tcPr>
            <w:tcW w:w="9121" w:type="dxa"/>
            <w:shd w:val="clear" w:color="auto" w:fill="auto"/>
          </w:tcPr>
          <w:p w14:paraId="59BE3802" w14:textId="77777777" w:rsidR="009A5B55" w:rsidRPr="002E0659" w:rsidRDefault="009A5B55" w:rsidP="002D3EBF">
            <w:pPr>
              <w:pStyle w:val="table-text-0"/>
              <w:spacing w:before="0" w:line="360" w:lineRule="auto"/>
              <w:ind w:firstLine="0"/>
              <w:rPr>
                <w:sz w:val="22"/>
                <w:szCs w:val="22"/>
                <w:lang w:val="ru-RU"/>
              </w:rPr>
            </w:pPr>
            <w:r w:rsidRPr="002E0659">
              <w:rPr>
                <w:sz w:val="22"/>
                <w:szCs w:val="22"/>
                <w:lang w:val="ru-RU"/>
              </w:rPr>
              <w:t xml:space="preserve">Кровоточивость кожи и слизистых, включая </w:t>
            </w:r>
            <w:r>
              <w:rPr>
                <w:sz w:val="22"/>
                <w:szCs w:val="22"/>
                <w:lang w:val="ru-RU"/>
              </w:rPr>
              <w:t>полость рта</w:t>
            </w:r>
          </w:p>
          <w:p w14:paraId="717792F2" w14:textId="77777777" w:rsidR="009A5B55" w:rsidRPr="002E0659" w:rsidRDefault="009A5B55" w:rsidP="002D3EBF">
            <w:pPr>
              <w:pStyle w:val="table-text-0"/>
              <w:spacing w:before="0" w:line="360" w:lineRule="auto"/>
              <w:ind w:firstLine="0"/>
              <w:rPr>
                <w:sz w:val="22"/>
                <w:szCs w:val="22"/>
                <w:lang w:val="ru-RU"/>
              </w:rPr>
            </w:pPr>
            <w:r w:rsidRPr="002E0659">
              <w:rPr>
                <w:sz w:val="22"/>
                <w:szCs w:val="22"/>
                <w:lang w:val="ru-RU"/>
              </w:rPr>
              <w:t>Петехии менее 2</w:t>
            </w:r>
            <w:r>
              <w:rPr>
                <w:sz w:val="22"/>
                <w:szCs w:val="22"/>
                <w:lang w:val="ru-RU"/>
              </w:rPr>
              <w:t> </w:t>
            </w:r>
            <w:r w:rsidRPr="002E0659">
              <w:rPr>
                <w:sz w:val="22"/>
                <w:szCs w:val="22"/>
                <w:lang w:val="ru-RU"/>
              </w:rPr>
              <w:t>мм</w:t>
            </w:r>
          </w:p>
          <w:p w14:paraId="134D2F2D" w14:textId="77777777" w:rsidR="009A5B55" w:rsidRPr="002E0659" w:rsidRDefault="009A5B55" w:rsidP="002D3EBF">
            <w:pPr>
              <w:pStyle w:val="table-text-0"/>
              <w:spacing w:before="0" w:line="360" w:lineRule="auto"/>
              <w:ind w:firstLine="0"/>
              <w:rPr>
                <w:sz w:val="22"/>
                <w:szCs w:val="22"/>
                <w:lang w:val="ru-RU"/>
              </w:rPr>
            </w:pPr>
            <w:r>
              <w:rPr>
                <w:sz w:val="22"/>
                <w:szCs w:val="22"/>
                <w:lang w:val="ru-RU"/>
              </w:rPr>
              <w:t>Пурпура менее 2,54 </w:t>
            </w:r>
            <w:r w:rsidRPr="002E0659">
              <w:rPr>
                <w:sz w:val="22"/>
                <w:szCs w:val="22"/>
                <w:lang w:val="ru-RU"/>
              </w:rPr>
              <w:t>см в диаметре</w:t>
            </w:r>
          </w:p>
          <w:p w14:paraId="13177C23" w14:textId="77777777" w:rsidR="009A5B55" w:rsidRPr="002E0659" w:rsidRDefault="009A5B55" w:rsidP="002D3EBF">
            <w:pPr>
              <w:pStyle w:val="table-text-0"/>
              <w:spacing w:before="0" w:line="360" w:lineRule="auto"/>
              <w:ind w:firstLine="0"/>
              <w:rPr>
                <w:sz w:val="22"/>
                <w:szCs w:val="22"/>
                <w:lang w:val="ru-RU"/>
              </w:rPr>
            </w:pPr>
            <w:r>
              <w:rPr>
                <w:sz w:val="22"/>
                <w:szCs w:val="22"/>
                <w:lang w:val="ru-RU"/>
              </w:rPr>
              <w:t>Экхимозы (очаги менее 10 </w:t>
            </w:r>
            <w:r w:rsidRPr="002E0659">
              <w:rPr>
                <w:sz w:val="22"/>
                <w:szCs w:val="22"/>
                <w:lang w:val="ru-RU"/>
              </w:rPr>
              <w:t>см в диаметре)</w:t>
            </w:r>
          </w:p>
          <w:p w14:paraId="0701F354" w14:textId="77777777" w:rsidR="009A5B55" w:rsidRPr="002E0659" w:rsidRDefault="009A5B55" w:rsidP="002D3EBF">
            <w:pPr>
              <w:pStyle w:val="table-text-0"/>
              <w:spacing w:before="0" w:line="360" w:lineRule="auto"/>
              <w:ind w:firstLine="0"/>
              <w:rPr>
                <w:sz w:val="22"/>
                <w:szCs w:val="22"/>
                <w:lang w:val="ru-RU"/>
              </w:rPr>
            </w:pPr>
            <w:r w:rsidRPr="002E0659">
              <w:rPr>
                <w:sz w:val="22"/>
                <w:szCs w:val="22"/>
                <w:lang w:val="ru-RU"/>
              </w:rPr>
              <w:t>Ротоглоточные кровотечения</w:t>
            </w:r>
          </w:p>
          <w:p w14:paraId="70E0A239" w14:textId="77777777" w:rsidR="009A5B55" w:rsidRPr="002E0659" w:rsidRDefault="009A5B55" w:rsidP="002D3EBF">
            <w:pPr>
              <w:pStyle w:val="table-text-0"/>
              <w:spacing w:before="0" w:line="360" w:lineRule="auto"/>
              <w:ind w:firstLine="0"/>
              <w:rPr>
                <w:sz w:val="22"/>
                <w:szCs w:val="22"/>
                <w:lang w:val="ru-RU"/>
              </w:rPr>
            </w:pPr>
            <w:r w:rsidRPr="002E0659">
              <w:rPr>
                <w:sz w:val="22"/>
                <w:szCs w:val="22"/>
                <w:lang w:val="ru-RU"/>
              </w:rPr>
              <w:t>Кровоизлияния в конъюнктиву</w:t>
            </w:r>
          </w:p>
          <w:p w14:paraId="74BC5433" w14:textId="77777777" w:rsidR="009A5B55" w:rsidRPr="002E0659" w:rsidRDefault="009A5B55" w:rsidP="002D3EBF">
            <w:pPr>
              <w:pStyle w:val="table-text-0"/>
              <w:spacing w:before="0" w:line="360" w:lineRule="auto"/>
              <w:ind w:firstLine="0"/>
              <w:rPr>
                <w:sz w:val="22"/>
                <w:szCs w:val="22"/>
                <w:lang w:val="ru-RU"/>
              </w:rPr>
            </w:pPr>
            <w:r w:rsidRPr="002E0659">
              <w:rPr>
                <w:sz w:val="22"/>
                <w:szCs w:val="22"/>
                <w:lang w:val="ru-RU"/>
              </w:rPr>
              <w:t>Носовые кровотечения продолжительностью менее 1</w:t>
            </w:r>
            <w:r>
              <w:rPr>
                <w:sz w:val="22"/>
                <w:szCs w:val="22"/>
                <w:lang w:val="ru-RU"/>
              </w:rPr>
              <w:t> </w:t>
            </w:r>
            <w:r w:rsidRPr="002E0659">
              <w:rPr>
                <w:sz w:val="22"/>
                <w:szCs w:val="22"/>
                <w:lang w:val="ru-RU"/>
              </w:rPr>
              <w:t>часа</w:t>
            </w:r>
            <w:r>
              <w:rPr>
                <w:sz w:val="22"/>
                <w:szCs w:val="22"/>
                <w:lang w:val="ru-RU"/>
              </w:rPr>
              <w:t>,</w:t>
            </w:r>
            <w:r w:rsidRPr="002E0659">
              <w:rPr>
                <w:sz w:val="22"/>
                <w:szCs w:val="22"/>
                <w:lang w:val="ru-RU"/>
              </w:rPr>
              <w:t xml:space="preserve"> не требующие вмешательства</w:t>
            </w:r>
          </w:p>
          <w:p w14:paraId="77F70D27" w14:textId="77777777" w:rsidR="009A5B55" w:rsidRPr="002E0659" w:rsidRDefault="009A5B55" w:rsidP="002D3EBF">
            <w:pPr>
              <w:pStyle w:val="table-text-0"/>
              <w:spacing w:before="0" w:line="360" w:lineRule="auto"/>
              <w:ind w:firstLine="0"/>
              <w:rPr>
                <w:sz w:val="22"/>
                <w:szCs w:val="22"/>
                <w:lang w:val="ru-RU"/>
              </w:rPr>
            </w:pPr>
            <w:r w:rsidRPr="002E0659">
              <w:rPr>
                <w:sz w:val="22"/>
                <w:szCs w:val="22"/>
                <w:lang w:val="ru-RU"/>
              </w:rPr>
              <w:t xml:space="preserve">Аномальные ациклические маточные кровотечения (менее </w:t>
            </w:r>
            <w:r>
              <w:rPr>
                <w:sz w:val="22"/>
                <w:szCs w:val="22"/>
                <w:lang w:val="ru-RU"/>
              </w:rPr>
              <w:t xml:space="preserve">двух </w:t>
            </w:r>
            <w:r w:rsidRPr="002E0659">
              <w:rPr>
                <w:sz w:val="22"/>
                <w:szCs w:val="22"/>
                <w:lang w:val="ru-RU"/>
              </w:rPr>
              <w:t xml:space="preserve">прокладок в </w:t>
            </w:r>
            <w:r>
              <w:rPr>
                <w:sz w:val="22"/>
                <w:szCs w:val="22"/>
                <w:lang w:val="ru-RU"/>
              </w:rPr>
              <w:t>сутки</w:t>
            </w:r>
            <w:r w:rsidRPr="002E0659">
              <w:rPr>
                <w:sz w:val="22"/>
                <w:szCs w:val="22"/>
                <w:lang w:val="ru-RU"/>
              </w:rPr>
              <w:t>)</w:t>
            </w:r>
          </w:p>
        </w:tc>
      </w:tr>
      <w:tr w:rsidR="009A5B55" w:rsidRPr="004C7AAC" w14:paraId="4C8A1E65" w14:textId="77777777" w:rsidTr="002D3EBF">
        <w:tc>
          <w:tcPr>
            <w:tcW w:w="9121" w:type="dxa"/>
            <w:shd w:val="clear" w:color="auto" w:fill="auto"/>
          </w:tcPr>
          <w:p w14:paraId="05453EE2" w14:textId="77777777" w:rsidR="009A5B55" w:rsidRPr="002E0659" w:rsidRDefault="009A5B55" w:rsidP="002D3EBF">
            <w:pPr>
              <w:pStyle w:val="table-text-1"/>
              <w:spacing w:before="0" w:after="0" w:line="360" w:lineRule="auto"/>
              <w:rPr>
                <w:sz w:val="22"/>
                <w:szCs w:val="22"/>
              </w:rPr>
            </w:pPr>
            <w:r w:rsidRPr="002E0659">
              <w:rPr>
                <w:sz w:val="22"/>
                <w:szCs w:val="22"/>
              </w:rPr>
              <w:t>2 степень (</w:t>
            </w:r>
            <w:r>
              <w:rPr>
                <w:sz w:val="22"/>
                <w:szCs w:val="22"/>
              </w:rPr>
              <w:t xml:space="preserve">в основном </w:t>
            </w:r>
            <w:r w:rsidRPr="002E0659">
              <w:rPr>
                <w:sz w:val="22"/>
                <w:szCs w:val="22"/>
              </w:rPr>
              <w:t>не требуют трансфузии)</w:t>
            </w:r>
          </w:p>
        </w:tc>
      </w:tr>
      <w:tr w:rsidR="009A5B55" w:rsidRPr="004C7AAC" w14:paraId="5C42281A" w14:textId="77777777" w:rsidTr="002D3EBF">
        <w:tc>
          <w:tcPr>
            <w:tcW w:w="9121" w:type="dxa"/>
            <w:shd w:val="clear" w:color="auto" w:fill="auto"/>
          </w:tcPr>
          <w:p w14:paraId="69BCEEAB" w14:textId="77777777" w:rsidR="009A5B55" w:rsidRPr="002E0659" w:rsidRDefault="009A5B55" w:rsidP="002D3EBF">
            <w:pPr>
              <w:pStyle w:val="table-text-0"/>
              <w:spacing w:before="0" w:line="360" w:lineRule="auto"/>
              <w:ind w:firstLine="0"/>
              <w:rPr>
                <w:sz w:val="22"/>
                <w:szCs w:val="22"/>
                <w:lang w:val="ru-RU"/>
              </w:rPr>
            </w:pPr>
            <w:r w:rsidRPr="002E0659">
              <w:rPr>
                <w:sz w:val="22"/>
                <w:szCs w:val="22"/>
                <w:lang w:val="ru-RU"/>
              </w:rPr>
              <w:t>Экхимозы (более 10</w:t>
            </w:r>
            <w:r>
              <w:rPr>
                <w:sz w:val="22"/>
                <w:szCs w:val="22"/>
                <w:lang w:val="ru-RU"/>
              </w:rPr>
              <w:t> </w:t>
            </w:r>
            <w:r w:rsidRPr="002E0659">
              <w:rPr>
                <w:sz w:val="22"/>
                <w:szCs w:val="22"/>
                <w:lang w:val="ru-RU"/>
              </w:rPr>
              <w:t>см в диаметре)</w:t>
            </w:r>
          </w:p>
          <w:p w14:paraId="101CF821" w14:textId="77777777" w:rsidR="009A5B55" w:rsidRPr="002E0659" w:rsidRDefault="009A5B55" w:rsidP="002D3EBF">
            <w:pPr>
              <w:pStyle w:val="table-text-0"/>
              <w:spacing w:before="0" w:line="360" w:lineRule="auto"/>
              <w:ind w:firstLine="0"/>
              <w:rPr>
                <w:sz w:val="22"/>
                <w:szCs w:val="22"/>
                <w:lang w:val="ru-RU"/>
              </w:rPr>
            </w:pPr>
            <w:r w:rsidRPr="002E0659">
              <w:rPr>
                <w:sz w:val="22"/>
                <w:szCs w:val="22"/>
                <w:lang w:val="ru-RU"/>
              </w:rPr>
              <w:t>Гематомы</w:t>
            </w:r>
          </w:p>
          <w:p w14:paraId="4267D3F1" w14:textId="77777777" w:rsidR="009A5B55" w:rsidRPr="002E0659" w:rsidRDefault="009A5B55" w:rsidP="002D3EBF">
            <w:pPr>
              <w:pStyle w:val="table-text-0"/>
              <w:spacing w:before="0" w:line="360" w:lineRule="auto"/>
              <w:ind w:firstLine="0"/>
              <w:rPr>
                <w:sz w:val="22"/>
                <w:szCs w:val="22"/>
                <w:lang w:val="ru-RU"/>
              </w:rPr>
            </w:pPr>
            <w:r w:rsidRPr="002E0659">
              <w:rPr>
                <w:sz w:val="22"/>
                <w:szCs w:val="22"/>
                <w:lang w:val="ru-RU"/>
              </w:rPr>
              <w:t>Носовые кровотечения продолжительностью более 1</w:t>
            </w:r>
            <w:r>
              <w:rPr>
                <w:sz w:val="22"/>
                <w:szCs w:val="22"/>
                <w:lang w:val="ru-RU"/>
              </w:rPr>
              <w:t> </w:t>
            </w:r>
            <w:r w:rsidRPr="002E0659">
              <w:rPr>
                <w:sz w:val="22"/>
                <w:szCs w:val="22"/>
                <w:lang w:val="ru-RU"/>
              </w:rPr>
              <w:t>часа или требующие тампонады</w:t>
            </w:r>
          </w:p>
          <w:p w14:paraId="243AA91B" w14:textId="77777777" w:rsidR="009A5B55" w:rsidRPr="002E0659" w:rsidRDefault="009A5B55" w:rsidP="002D3EBF">
            <w:pPr>
              <w:pStyle w:val="table-text-0"/>
              <w:spacing w:before="0" w:line="360" w:lineRule="auto"/>
              <w:ind w:firstLine="0"/>
              <w:rPr>
                <w:sz w:val="22"/>
                <w:szCs w:val="22"/>
                <w:lang w:val="ru-RU"/>
              </w:rPr>
            </w:pPr>
            <w:r w:rsidRPr="002E0659">
              <w:rPr>
                <w:sz w:val="22"/>
                <w:szCs w:val="22"/>
                <w:lang w:val="ru-RU"/>
              </w:rPr>
              <w:t>Кровоизлияния в сетчатку без ухудшения зрения</w:t>
            </w:r>
          </w:p>
          <w:p w14:paraId="79764181" w14:textId="77777777" w:rsidR="009A5B55" w:rsidRPr="002E0659" w:rsidRDefault="009A5B55" w:rsidP="002D3EBF">
            <w:pPr>
              <w:pStyle w:val="table-text-0"/>
              <w:spacing w:before="0" w:line="360" w:lineRule="auto"/>
              <w:ind w:firstLine="0"/>
              <w:rPr>
                <w:sz w:val="22"/>
                <w:szCs w:val="22"/>
                <w:lang w:val="ru-RU"/>
              </w:rPr>
            </w:pPr>
            <w:r w:rsidRPr="002E0659">
              <w:rPr>
                <w:sz w:val="22"/>
                <w:szCs w:val="22"/>
                <w:lang w:val="ru-RU"/>
              </w:rPr>
              <w:t xml:space="preserve">Аномальные ациклические маточные кровотечения (более </w:t>
            </w:r>
            <w:r>
              <w:rPr>
                <w:sz w:val="22"/>
                <w:szCs w:val="22"/>
                <w:lang w:val="ru-RU"/>
              </w:rPr>
              <w:t xml:space="preserve">двух </w:t>
            </w:r>
            <w:r w:rsidRPr="002E0659">
              <w:rPr>
                <w:sz w:val="22"/>
                <w:szCs w:val="22"/>
                <w:lang w:val="ru-RU"/>
              </w:rPr>
              <w:t xml:space="preserve">прокладок в </w:t>
            </w:r>
            <w:r>
              <w:rPr>
                <w:sz w:val="22"/>
                <w:szCs w:val="22"/>
                <w:lang w:val="ru-RU"/>
              </w:rPr>
              <w:t>сутки</w:t>
            </w:r>
            <w:r w:rsidRPr="002E0659">
              <w:rPr>
                <w:sz w:val="22"/>
                <w:szCs w:val="22"/>
                <w:lang w:val="ru-RU"/>
              </w:rPr>
              <w:t>)</w:t>
            </w:r>
          </w:p>
          <w:p w14:paraId="48BBE3C1" w14:textId="77777777" w:rsidR="009A5B55" w:rsidRPr="002E0659" w:rsidRDefault="009A5B55" w:rsidP="002D3EBF">
            <w:pPr>
              <w:pStyle w:val="table-text-0"/>
              <w:spacing w:before="0" w:line="360" w:lineRule="auto"/>
              <w:ind w:firstLine="0"/>
              <w:rPr>
                <w:sz w:val="22"/>
                <w:szCs w:val="22"/>
                <w:lang w:val="ru-RU"/>
              </w:rPr>
            </w:pPr>
            <w:r w:rsidRPr="002E0659">
              <w:rPr>
                <w:sz w:val="22"/>
                <w:szCs w:val="22"/>
                <w:lang w:val="ru-RU"/>
              </w:rPr>
              <w:t>Мелена, рвота с кровью, кровохарканье, гематурия, стул с кровью</w:t>
            </w:r>
          </w:p>
          <w:p w14:paraId="6B1D408C" w14:textId="77777777" w:rsidR="009A5B55" w:rsidRPr="00360841" w:rsidRDefault="009A5B55" w:rsidP="002D3EBF">
            <w:pPr>
              <w:pStyle w:val="table-text-0"/>
              <w:spacing w:before="0" w:line="360" w:lineRule="auto"/>
              <w:ind w:firstLine="0"/>
              <w:rPr>
                <w:sz w:val="24"/>
                <w:szCs w:val="24"/>
                <w:lang w:val="ru-RU"/>
              </w:rPr>
            </w:pPr>
            <w:r w:rsidRPr="002E0659">
              <w:rPr>
                <w:sz w:val="22"/>
                <w:szCs w:val="22"/>
                <w:lang w:val="ru-RU"/>
              </w:rPr>
              <w:t>Кровотечения после инвазивных вмешательств, мышечно-суставные кровоизлияния</w:t>
            </w:r>
          </w:p>
        </w:tc>
      </w:tr>
      <w:tr w:rsidR="009A5B55" w:rsidRPr="004C7AAC" w14:paraId="10CED5D8" w14:textId="77777777" w:rsidTr="002D3EBF">
        <w:tc>
          <w:tcPr>
            <w:tcW w:w="9121" w:type="dxa"/>
            <w:shd w:val="clear" w:color="auto" w:fill="auto"/>
          </w:tcPr>
          <w:p w14:paraId="7109675A" w14:textId="77777777" w:rsidR="009A5B55" w:rsidRPr="004C7AAC" w:rsidRDefault="009A5B55" w:rsidP="002D3EBF">
            <w:pPr>
              <w:pStyle w:val="table-text-1"/>
              <w:spacing w:before="0" w:after="0" w:line="360" w:lineRule="auto"/>
              <w:rPr>
                <w:b/>
                <w:i/>
                <w:sz w:val="24"/>
                <w:szCs w:val="24"/>
              </w:rPr>
            </w:pPr>
            <w:r w:rsidRPr="002E0659">
              <w:rPr>
                <w:sz w:val="22"/>
                <w:szCs w:val="22"/>
              </w:rPr>
              <w:t>3 степень (требуют трансфузии)</w:t>
            </w:r>
          </w:p>
        </w:tc>
      </w:tr>
      <w:tr w:rsidR="009A5B55" w:rsidRPr="004C7AAC" w14:paraId="660B8BB4" w14:textId="77777777" w:rsidTr="002D3EBF">
        <w:tc>
          <w:tcPr>
            <w:tcW w:w="9121" w:type="dxa"/>
            <w:shd w:val="clear" w:color="auto" w:fill="auto"/>
          </w:tcPr>
          <w:p w14:paraId="69EE738B" w14:textId="77777777" w:rsidR="009A5B55" w:rsidRPr="002E0659" w:rsidRDefault="009A5B55" w:rsidP="002D3EBF">
            <w:pPr>
              <w:pStyle w:val="table-text-0"/>
              <w:spacing w:before="0" w:line="360" w:lineRule="auto"/>
              <w:ind w:firstLine="0"/>
              <w:rPr>
                <w:sz w:val="22"/>
                <w:szCs w:val="22"/>
                <w:lang w:val="ru-RU"/>
              </w:rPr>
            </w:pPr>
            <w:r w:rsidRPr="002E0659">
              <w:rPr>
                <w:sz w:val="22"/>
                <w:szCs w:val="22"/>
                <w:lang w:val="ru-RU"/>
              </w:rPr>
              <w:t>Мелена</w:t>
            </w:r>
          </w:p>
          <w:p w14:paraId="7BD37E8C" w14:textId="77777777" w:rsidR="009A5B55" w:rsidRPr="002E0659" w:rsidRDefault="009A5B55" w:rsidP="002D3EBF">
            <w:pPr>
              <w:pStyle w:val="table-text-0"/>
              <w:spacing w:before="0" w:line="360" w:lineRule="auto"/>
              <w:ind w:firstLine="0"/>
              <w:rPr>
                <w:sz w:val="22"/>
                <w:szCs w:val="22"/>
                <w:lang w:val="ru-RU"/>
              </w:rPr>
            </w:pPr>
            <w:r w:rsidRPr="002E0659">
              <w:rPr>
                <w:sz w:val="22"/>
                <w:szCs w:val="22"/>
                <w:lang w:val="ru-RU"/>
              </w:rPr>
              <w:t>Рвота с кровью</w:t>
            </w:r>
          </w:p>
          <w:p w14:paraId="7BAAC601" w14:textId="77777777" w:rsidR="009A5B55" w:rsidRPr="002E0659" w:rsidRDefault="009A5B55" w:rsidP="002D3EBF">
            <w:pPr>
              <w:pStyle w:val="table-text-0"/>
              <w:spacing w:before="0" w:line="360" w:lineRule="auto"/>
              <w:ind w:firstLine="0"/>
              <w:rPr>
                <w:sz w:val="22"/>
                <w:szCs w:val="22"/>
                <w:lang w:val="ru-RU"/>
              </w:rPr>
            </w:pPr>
            <w:r w:rsidRPr="002E0659">
              <w:rPr>
                <w:sz w:val="22"/>
                <w:szCs w:val="22"/>
                <w:lang w:val="ru-RU"/>
              </w:rPr>
              <w:t>Кровохарканье</w:t>
            </w:r>
          </w:p>
          <w:p w14:paraId="617B0C06" w14:textId="77777777" w:rsidR="009A5B55" w:rsidRPr="002E0659" w:rsidRDefault="009A5B55" w:rsidP="002D3EBF">
            <w:pPr>
              <w:pStyle w:val="table-text-0"/>
              <w:spacing w:before="0" w:line="360" w:lineRule="auto"/>
              <w:ind w:firstLine="0"/>
              <w:rPr>
                <w:sz w:val="22"/>
                <w:szCs w:val="22"/>
                <w:lang w:val="ru-RU"/>
              </w:rPr>
            </w:pPr>
            <w:r w:rsidRPr="002E0659">
              <w:rPr>
                <w:sz w:val="22"/>
                <w:szCs w:val="22"/>
                <w:lang w:val="ru-RU"/>
              </w:rPr>
              <w:t>Гематурия</w:t>
            </w:r>
            <w:r>
              <w:rPr>
                <w:sz w:val="22"/>
                <w:szCs w:val="22"/>
                <w:lang w:val="ru-RU"/>
              </w:rPr>
              <w:t>,</w:t>
            </w:r>
            <w:r w:rsidRPr="002E0659">
              <w:rPr>
                <w:sz w:val="22"/>
                <w:szCs w:val="22"/>
                <w:lang w:val="ru-RU"/>
              </w:rPr>
              <w:t xml:space="preserve"> включая непрекращающееся кровотечение без свертывания </w:t>
            </w:r>
          </w:p>
          <w:p w14:paraId="48891F2A" w14:textId="77777777" w:rsidR="009A5B55" w:rsidRPr="002E0659" w:rsidRDefault="009A5B55" w:rsidP="002D3EBF">
            <w:pPr>
              <w:pStyle w:val="table-text-0"/>
              <w:spacing w:before="0" w:line="360" w:lineRule="auto"/>
              <w:ind w:firstLine="0"/>
              <w:rPr>
                <w:sz w:val="22"/>
                <w:szCs w:val="22"/>
                <w:lang w:val="ru-RU"/>
              </w:rPr>
            </w:pPr>
            <w:r w:rsidRPr="002E0659">
              <w:rPr>
                <w:sz w:val="22"/>
                <w:szCs w:val="22"/>
                <w:lang w:val="ru-RU"/>
              </w:rPr>
              <w:t>Аномальные маточные кровотечения</w:t>
            </w:r>
          </w:p>
          <w:p w14:paraId="4F7D780E" w14:textId="77777777" w:rsidR="009A5B55" w:rsidRPr="002E0659" w:rsidRDefault="009A5B55" w:rsidP="002D3EBF">
            <w:pPr>
              <w:pStyle w:val="table-text-0"/>
              <w:spacing w:before="0" w:line="360" w:lineRule="auto"/>
              <w:ind w:firstLine="0"/>
              <w:rPr>
                <w:sz w:val="22"/>
                <w:szCs w:val="22"/>
                <w:lang w:val="ru-RU"/>
              </w:rPr>
            </w:pPr>
            <w:r w:rsidRPr="002E0659">
              <w:rPr>
                <w:sz w:val="22"/>
                <w:szCs w:val="22"/>
                <w:lang w:val="ru-RU"/>
              </w:rPr>
              <w:t>Стул с кровью</w:t>
            </w:r>
          </w:p>
          <w:p w14:paraId="1B739D36" w14:textId="77777777" w:rsidR="009A5B55" w:rsidRPr="002E0659" w:rsidRDefault="009A5B55" w:rsidP="002D3EBF">
            <w:pPr>
              <w:pStyle w:val="table-text-0"/>
              <w:spacing w:before="0" w:line="360" w:lineRule="auto"/>
              <w:ind w:firstLine="0"/>
              <w:rPr>
                <w:sz w:val="22"/>
                <w:szCs w:val="22"/>
                <w:lang w:val="ru-RU"/>
              </w:rPr>
            </w:pPr>
            <w:r w:rsidRPr="002E0659">
              <w:rPr>
                <w:sz w:val="22"/>
                <w:szCs w:val="22"/>
                <w:lang w:val="ru-RU"/>
              </w:rPr>
              <w:t xml:space="preserve">Носовое кровотечение </w:t>
            </w:r>
          </w:p>
          <w:p w14:paraId="3D62D837" w14:textId="77777777" w:rsidR="009A5B55" w:rsidRPr="002E0659" w:rsidRDefault="009A5B55" w:rsidP="002D3EBF">
            <w:pPr>
              <w:pStyle w:val="table-text-0"/>
              <w:spacing w:before="0" w:line="360" w:lineRule="auto"/>
              <w:ind w:firstLine="0"/>
              <w:rPr>
                <w:sz w:val="22"/>
                <w:szCs w:val="22"/>
                <w:lang w:val="ru-RU"/>
              </w:rPr>
            </w:pPr>
            <w:r w:rsidRPr="00A83EB7">
              <w:rPr>
                <w:sz w:val="22"/>
                <w:szCs w:val="22"/>
                <w:lang w:val="ru-RU"/>
              </w:rPr>
              <w:t>Ротоглоточное кровотечение</w:t>
            </w:r>
          </w:p>
          <w:p w14:paraId="140D8748" w14:textId="77777777" w:rsidR="009A5B55" w:rsidRPr="00360841" w:rsidRDefault="009A5B55" w:rsidP="002D3EBF">
            <w:pPr>
              <w:pStyle w:val="table-text-0"/>
              <w:spacing w:before="0" w:line="360" w:lineRule="auto"/>
              <w:ind w:firstLine="0"/>
              <w:rPr>
                <w:sz w:val="24"/>
                <w:szCs w:val="24"/>
                <w:lang w:val="ru-RU"/>
              </w:rPr>
            </w:pPr>
            <w:r w:rsidRPr="002E0659">
              <w:rPr>
                <w:sz w:val="22"/>
                <w:szCs w:val="22"/>
                <w:lang w:val="ru-RU"/>
              </w:rPr>
              <w:t>Кровотечения после инвазивных вмешательств, мышечно-суставные кровоизлияния или кровоизлияния в мягкие ткани</w:t>
            </w:r>
          </w:p>
        </w:tc>
      </w:tr>
      <w:tr w:rsidR="009A5B55" w:rsidRPr="004C7AAC" w14:paraId="3CE76396" w14:textId="77777777" w:rsidTr="002D3EBF">
        <w:tc>
          <w:tcPr>
            <w:tcW w:w="9121" w:type="dxa"/>
            <w:shd w:val="clear" w:color="auto" w:fill="auto"/>
          </w:tcPr>
          <w:p w14:paraId="63FB5B38" w14:textId="77777777" w:rsidR="009A5B55" w:rsidRPr="004C7AAC" w:rsidRDefault="009A5B55" w:rsidP="002D3EBF">
            <w:pPr>
              <w:pStyle w:val="table-text-1"/>
              <w:spacing w:before="0" w:after="0" w:line="360" w:lineRule="auto"/>
              <w:rPr>
                <w:b/>
                <w:i/>
                <w:sz w:val="24"/>
                <w:szCs w:val="24"/>
              </w:rPr>
            </w:pPr>
            <w:r w:rsidRPr="002E0659">
              <w:rPr>
                <w:sz w:val="22"/>
                <w:szCs w:val="22"/>
              </w:rPr>
              <w:t>4 степень (требуют трансфузии)</w:t>
            </w:r>
          </w:p>
        </w:tc>
      </w:tr>
      <w:tr w:rsidR="009A5B55" w:rsidRPr="004C7AAC" w14:paraId="4C73C666" w14:textId="77777777" w:rsidTr="002D3EBF">
        <w:tc>
          <w:tcPr>
            <w:tcW w:w="9121" w:type="dxa"/>
            <w:shd w:val="clear" w:color="auto" w:fill="auto"/>
          </w:tcPr>
          <w:p w14:paraId="13E44F15" w14:textId="77777777" w:rsidR="009A5B55" w:rsidRPr="002E0659" w:rsidRDefault="009A5B55" w:rsidP="002D3EBF">
            <w:pPr>
              <w:pStyle w:val="table-text-0"/>
              <w:spacing w:before="0" w:line="360" w:lineRule="auto"/>
              <w:ind w:firstLine="0"/>
              <w:rPr>
                <w:sz w:val="22"/>
                <w:szCs w:val="22"/>
                <w:lang w:val="ru-RU"/>
              </w:rPr>
            </w:pPr>
            <w:r w:rsidRPr="002E0659">
              <w:rPr>
                <w:sz w:val="22"/>
                <w:szCs w:val="22"/>
                <w:lang w:val="ru-RU"/>
              </w:rPr>
              <w:t>Кровоизлияния в сетчатку с нарушением зрения</w:t>
            </w:r>
          </w:p>
          <w:p w14:paraId="38BA8716" w14:textId="77777777" w:rsidR="009A5B55" w:rsidRPr="002E0659" w:rsidRDefault="009A5B55" w:rsidP="002D3EBF">
            <w:pPr>
              <w:pStyle w:val="table-text-0"/>
              <w:spacing w:before="0" w:line="360" w:lineRule="auto"/>
              <w:ind w:firstLine="0"/>
              <w:rPr>
                <w:sz w:val="22"/>
                <w:szCs w:val="22"/>
                <w:lang w:val="ru-RU"/>
              </w:rPr>
            </w:pPr>
            <w:r w:rsidRPr="002E0659">
              <w:rPr>
                <w:sz w:val="22"/>
                <w:szCs w:val="22"/>
                <w:lang w:val="ru-RU"/>
              </w:rPr>
              <w:t xml:space="preserve">Нефатальные кровоизлияния в </w:t>
            </w:r>
            <w:r>
              <w:rPr>
                <w:sz w:val="22"/>
                <w:szCs w:val="22"/>
                <w:lang w:val="ru-RU"/>
              </w:rPr>
              <w:t>ЦНС</w:t>
            </w:r>
            <w:r w:rsidRPr="002E0659">
              <w:rPr>
                <w:sz w:val="22"/>
                <w:szCs w:val="22"/>
                <w:lang w:val="ru-RU"/>
              </w:rPr>
              <w:t xml:space="preserve"> с невро</w:t>
            </w:r>
            <w:r>
              <w:rPr>
                <w:sz w:val="22"/>
                <w:szCs w:val="22"/>
                <w:lang w:val="ru-RU"/>
              </w:rPr>
              <w:t>логической симптоматикой</w:t>
            </w:r>
          </w:p>
          <w:p w14:paraId="66DD2225" w14:textId="77777777" w:rsidR="009A5B55" w:rsidRPr="00360841" w:rsidRDefault="009A5B55" w:rsidP="002D3EBF">
            <w:pPr>
              <w:pStyle w:val="table-text-0"/>
              <w:spacing w:before="0" w:line="360" w:lineRule="auto"/>
              <w:ind w:firstLine="0"/>
              <w:rPr>
                <w:sz w:val="24"/>
                <w:szCs w:val="24"/>
                <w:lang w:val="ru-RU"/>
              </w:rPr>
            </w:pPr>
            <w:r w:rsidRPr="002E0659">
              <w:rPr>
                <w:sz w:val="22"/>
                <w:szCs w:val="22"/>
                <w:lang w:val="ru-RU"/>
              </w:rPr>
              <w:t>Фатальные кровотечения вне зависимости от источника</w:t>
            </w:r>
          </w:p>
        </w:tc>
      </w:tr>
    </w:tbl>
    <w:p w14:paraId="108F128C" w14:textId="77777777" w:rsidR="009A5B55" w:rsidRDefault="009A5B55" w:rsidP="009A5B55">
      <w:pPr>
        <w:pStyle w:val="3"/>
        <w:spacing w:before="0"/>
        <w:ind w:firstLine="708"/>
        <w:rPr>
          <w:rFonts w:ascii="Times New Roman" w:hAnsi="Times New Roman" w:cs="Times New Roman"/>
          <w:b/>
          <w:u w:val="single"/>
        </w:rPr>
      </w:pPr>
    </w:p>
    <w:p w14:paraId="5BC73004" w14:textId="77777777" w:rsidR="009A5B55" w:rsidRPr="00287E25" w:rsidRDefault="009A5B55" w:rsidP="009A5B55">
      <w:pPr>
        <w:ind w:firstLine="708"/>
        <w:rPr>
          <w:b/>
          <w:u w:val="single"/>
        </w:rPr>
      </w:pPr>
      <w:r w:rsidRPr="00287E25">
        <w:rPr>
          <w:u w:val="single"/>
        </w:rPr>
        <w:t>Расчет дозы концентрата тромбоцитов для трансфузий</w:t>
      </w:r>
    </w:p>
    <w:p w14:paraId="0389FB46" w14:textId="77777777" w:rsidR="009A5B55" w:rsidRPr="001A1BC0" w:rsidRDefault="009A5B55" w:rsidP="009A5B55">
      <w:pPr>
        <w:ind w:firstLine="708"/>
        <w:rPr>
          <w:szCs w:val="24"/>
        </w:rPr>
      </w:pPr>
      <w:r w:rsidRPr="001A5953">
        <w:rPr>
          <w:rFonts w:eastAsia="Times New Roman"/>
          <w:szCs w:val="24"/>
        </w:rPr>
        <w:t>Количество концентрата тромбоцитов для трансфузии необходимо использовать из расчета 50-70х</w:t>
      </w:r>
      <w:r w:rsidRPr="001A5953">
        <w:rPr>
          <w:szCs w:val="24"/>
        </w:rPr>
        <w:t>10</w:t>
      </w:r>
      <w:r>
        <w:rPr>
          <w:szCs w:val="24"/>
          <w:vertAlign w:val="superscript"/>
        </w:rPr>
        <w:t>9</w:t>
      </w:r>
      <w:r w:rsidRPr="001A5953">
        <w:rPr>
          <w:szCs w:val="24"/>
        </w:rPr>
        <w:t xml:space="preserve"> тромбоцитов на 10</w:t>
      </w:r>
      <w:r>
        <w:rPr>
          <w:szCs w:val="24"/>
        </w:rPr>
        <w:t xml:space="preserve"> </w:t>
      </w:r>
      <w:r w:rsidRPr="001A5953">
        <w:rPr>
          <w:szCs w:val="24"/>
        </w:rPr>
        <w:t>кг массы тела реципиента или 200-2</w:t>
      </w:r>
      <w:r w:rsidRPr="001A5953">
        <w:rPr>
          <w:rFonts w:eastAsia="Times New Roman"/>
          <w:szCs w:val="24"/>
        </w:rPr>
        <w:t>50х</w:t>
      </w:r>
      <w:r w:rsidRPr="001A5953">
        <w:rPr>
          <w:szCs w:val="24"/>
        </w:rPr>
        <w:t>10</w:t>
      </w:r>
      <w:r>
        <w:rPr>
          <w:szCs w:val="24"/>
          <w:vertAlign w:val="superscript"/>
        </w:rPr>
        <w:t>9</w:t>
      </w:r>
      <w:r w:rsidRPr="001A5953">
        <w:rPr>
          <w:szCs w:val="24"/>
        </w:rPr>
        <w:t xml:space="preserve"> тромбоцитов на 1м</w:t>
      </w:r>
      <w:r w:rsidRPr="00A17D81">
        <w:rPr>
          <w:szCs w:val="24"/>
          <w:vertAlign w:val="superscript"/>
        </w:rPr>
        <w:t>2</w:t>
      </w:r>
      <w:r w:rsidRPr="001A5953">
        <w:rPr>
          <w:szCs w:val="24"/>
        </w:rPr>
        <w:t xml:space="preserve"> поверхности тела реципиента.</w:t>
      </w:r>
    </w:p>
    <w:p w14:paraId="5F795C88" w14:textId="77777777" w:rsidR="009A5B55" w:rsidRDefault="009A5B55" w:rsidP="009A5B55">
      <w:pPr>
        <w:ind w:firstLine="708"/>
        <w:rPr>
          <w:szCs w:val="24"/>
        </w:rPr>
      </w:pPr>
      <w:r>
        <w:rPr>
          <w:szCs w:val="24"/>
        </w:rPr>
        <w:t>О</w:t>
      </w:r>
      <w:r w:rsidRPr="001A1BC0">
        <w:rPr>
          <w:szCs w:val="24"/>
        </w:rPr>
        <w:t xml:space="preserve">птимальная доза для лечебных трансфузий — спорный вопрос; на основании общего консенсуса, терапевтические трансфузии должны увеличить количество тромбоцитов до уровня, обеспечивающего адекватный гемостаз. </w:t>
      </w:r>
    </w:p>
    <w:p w14:paraId="4DDFBEC6" w14:textId="77777777" w:rsidR="009A5B55" w:rsidRDefault="009A5B55" w:rsidP="009A5B55">
      <w:pPr>
        <w:ind w:firstLine="708"/>
        <w:rPr>
          <w:u w:val="single"/>
        </w:rPr>
      </w:pPr>
    </w:p>
    <w:p w14:paraId="1BA684F4" w14:textId="77777777" w:rsidR="009A5B55" w:rsidRPr="00287E25" w:rsidRDefault="009A5B55" w:rsidP="009A5B55">
      <w:pPr>
        <w:ind w:firstLine="708"/>
        <w:rPr>
          <w:b/>
          <w:u w:val="single"/>
        </w:rPr>
      </w:pPr>
      <w:r w:rsidRPr="00287E25">
        <w:rPr>
          <w:u w:val="single"/>
        </w:rPr>
        <w:t>Критерии эффективности трансфузий концентрата тромбоцитов</w:t>
      </w:r>
    </w:p>
    <w:p w14:paraId="5E474201" w14:textId="77777777" w:rsidR="009A5B55" w:rsidRPr="00A17D81" w:rsidRDefault="009A5B55" w:rsidP="009A5B55">
      <w:pPr>
        <w:ind w:firstLine="708"/>
        <w:contextualSpacing/>
        <w:rPr>
          <w:szCs w:val="24"/>
          <w:lang w:eastAsia="ru-RU"/>
        </w:rPr>
      </w:pPr>
      <w:r w:rsidRPr="003B6BB6">
        <w:rPr>
          <w:i/>
          <w:szCs w:val="24"/>
          <w:lang w:eastAsia="ru-RU"/>
        </w:rPr>
        <w:t xml:space="preserve">Клиническими критериями </w:t>
      </w:r>
      <w:r w:rsidRPr="00A17D81">
        <w:rPr>
          <w:szCs w:val="24"/>
          <w:lang w:eastAsia="ru-RU"/>
        </w:rPr>
        <w:t xml:space="preserve">эффективности трансфузии </w:t>
      </w:r>
      <w:r>
        <w:rPr>
          <w:szCs w:val="24"/>
          <w:lang w:eastAsia="ru-RU"/>
        </w:rPr>
        <w:t xml:space="preserve">концентрата </w:t>
      </w:r>
      <w:r w:rsidRPr="00A17D81">
        <w:rPr>
          <w:szCs w:val="24"/>
          <w:lang w:eastAsia="ru-RU"/>
        </w:rPr>
        <w:t>тромбоцитов являются прекращение или уменьшение выраженности спонтанной кровоточивости, отсутствие свежих геморрагий на коже и видимых слизистых.</w:t>
      </w:r>
    </w:p>
    <w:p w14:paraId="6EBC177F" w14:textId="77777777" w:rsidR="009A5B55" w:rsidRPr="00A17D81" w:rsidRDefault="009A5B55" w:rsidP="009A5B55">
      <w:pPr>
        <w:ind w:firstLine="708"/>
        <w:contextualSpacing/>
        <w:rPr>
          <w:szCs w:val="24"/>
          <w:lang w:eastAsia="ru-RU"/>
        </w:rPr>
      </w:pPr>
      <w:r w:rsidRPr="003B6BB6">
        <w:rPr>
          <w:i/>
          <w:szCs w:val="24"/>
          <w:lang w:eastAsia="ru-RU"/>
        </w:rPr>
        <w:t xml:space="preserve">Лабораторными </w:t>
      </w:r>
      <w:r>
        <w:rPr>
          <w:i/>
          <w:szCs w:val="24"/>
          <w:lang w:eastAsia="ru-RU"/>
        </w:rPr>
        <w:t>критериями</w:t>
      </w:r>
      <w:r w:rsidRPr="00A17D81">
        <w:rPr>
          <w:szCs w:val="24"/>
          <w:lang w:eastAsia="ru-RU"/>
        </w:rPr>
        <w:t xml:space="preserve"> эффективности переливания тромбоцитов являются увеличение количества циркулирующих тромбоцитов — абсолютный прирост тромбоцитов (АПТ) или скорректированный прирост тромбоцитов (СПТ) через 1 час и 18—24 ч после окончания трансфузии, а также показатели максимальной амплитуды на тромбоэластограмме.</w:t>
      </w:r>
    </w:p>
    <w:p w14:paraId="40DE5BFF" w14:textId="77777777" w:rsidR="009A5B55" w:rsidRPr="00A17D81" w:rsidRDefault="009A5B55" w:rsidP="009A5B55">
      <w:pPr>
        <w:ind w:firstLine="708"/>
        <w:contextualSpacing/>
        <w:rPr>
          <w:bCs/>
          <w:szCs w:val="24"/>
        </w:rPr>
      </w:pPr>
      <w:r w:rsidRPr="00A17D81">
        <w:rPr>
          <w:color w:val="000000"/>
          <w:szCs w:val="24"/>
        </w:rPr>
        <w:t xml:space="preserve">Трансфузию считают эффективной, если абсолютный прирост тромбоцитов через 1 час составил </w:t>
      </w:r>
      <w:r w:rsidRPr="00A17D81">
        <w:rPr>
          <w:szCs w:val="24"/>
        </w:rPr>
        <w:t>10</w:t>
      </w:r>
      <w:r>
        <w:rPr>
          <w:szCs w:val="24"/>
        </w:rPr>
        <w:t>х</w:t>
      </w:r>
      <w:r w:rsidRPr="00A17D81">
        <w:rPr>
          <w:szCs w:val="24"/>
        </w:rPr>
        <w:t>10</w:t>
      </w:r>
      <w:r w:rsidRPr="00A17D81">
        <w:rPr>
          <w:szCs w:val="24"/>
          <w:vertAlign w:val="superscript"/>
        </w:rPr>
        <w:t>9</w:t>
      </w:r>
      <w:r w:rsidRPr="00A17D81">
        <w:rPr>
          <w:szCs w:val="24"/>
        </w:rPr>
        <w:t>/л от исходного уровня.</w:t>
      </w:r>
      <w:r>
        <w:rPr>
          <w:szCs w:val="24"/>
        </w:rPr>
        <w:t xml:space="preserve"> </w:t>
      </w:r>
      <w:r w:rsidRPr="00A17D81">
        <w:rPr>
          <w:bCs/>
          <w:szCs w:val="24"/>
        </w:rPr>
        <w:t>Для стандартизации оценки эффективности трансфузий скорректированный прирост тромбоцитов рассчитывается по формуле и выража</w:t>
      </w:r>
      <w:r>
        <w:rPr>
          <w:bCs/>
          <w:szCs w:val="24"/>
        </w:rPr>
        <w:t>ется в расчетных единицах (РЕ)</w:t>
      </w:r>
      <w:r w:rsidRPr="00A17D81">
        <w:rPr>
          <w:bCs/>
          <w:szCs w:val="24"/>
        </w:rPr>
        <w:t>:</w:t>
      </w:r>
    </w:p>
    <w:p w14:paraId="2D7C1F07" w14:textId="77777777" w:rsidR="009A5B55" w:rsidRPr="00A17D81" w:rsidRDefault="009A5B55" w:rsidP="009A5B55">
      <w:pPr>
        <w:pStyle w:val="formula"/>
        <w:spacing w:before="0" w:after="0" w:line="360" w:lineRule="auto"/>
        <w:rPr>
          <w:sz w:val="24"/>
          <w:szCs w:val="24"/>
        </w:rPr>
      </w:pPr>
      <w:r w:rsidRPr="00A17D81">
        <w:rPr>
          <w:sz w:val="24"/>
          <w:szCs w:val="24"/>
        </w:rPr>
        <w:t>СПТ = (АПТ </w:t>
      </w:r>
      <w:r>
        <w:rPr>
          <w:sz w:val="24"/>
          <w:szCs w:val="24"/>
        </w:rPr>
        <w:t xml:space="preserve">х </w:t>
      </w:r>
      <w:r w:rsidRPr="00A17D81">
        <w:rPr>
          <w:sz w:val="24"/>
          <w:szCs w:val="24"/>
        </w:rPr>
        <w:t>площадь поверхности тела, м</w:t>
      </w:r>
      <w:r w:rsidRPr="00A17D81">
        <w:rPr>
          <w:sz w:val="24"/>
          <w:szCs w:val="24"/>
          <w:vertAlign w:val="superscript"/>
        </w:rPr>
        <w:t>2</w:t>
      </w:r>
      <w:r w:rsidRPr="00A17D81">
        <w:rPr>
          <w:sz w:val="24"/>
          <w:szCs w:val="24"/>
        </w:rPr>
        <w:t xml:space="preserve">) / количество перелитых тромбоцитов </w:t>
      </w:r>
      <w:r>
        <w:rPr>
          <w:sz w:val="24"/>
          <w:szCs w:val="24"/>
        </w:rPr>
        <w:t>х</w:t>
      </w:r>
      <w:r w:rsidRPr="00A17D81">
        <w:rPr>
          <w:sz w:val="24"/>
          <w:szCs w:val="24"/>
        </w:rPr>
        <w:t> 10</w:t>
      </w:r>
      <w:r w:rsidRPr="00A17D81">
        <w:rPr>
          <w:sz w:val="24"/>
          <w:szCs w:val="24"/>
          <w:vertAlign w:val="superscript"/>
        </w:rPr>
        <w:t>11</w:t>
      </w:r>
    </w:p>
    <w:p w14:paraId="0DBF1DC6" w14:textId="77777777" w:rsidR="009A5B55" w:rsidRPr="00D77CA7" w:rsidRDefault="009A5B55" w:rsidP="009A5B55">
      <w:pPr>
        <w:ind w:firstLine="227"/>
        <w:contextualSpacing/>
        <w:rPr>
          <w:szCs w:val="24"/>
        </w:rPr>
      </w:pPr>
      <w:r w:rsidRPr="00A17D81">
        <w:rPr>
          <w:szCs w:val="24"/>
        </w:rPr>
        <w:t>Трансфузию считают эффективной, если СПТ через 1 час составил &gt; 7,5 РЕ, а СПТ через 24 ч &gt; 4,5 РЕ.</w:t>
      </w:r>
      <w:r>
        <w:rPr>
          <w:szCs w:val="24"/>
        </w:rPr>
        <w:t xml:space="preserve"> </w:t>
      </w:r>
      <w:r w:rsidRPr="00A17D81">
        <w:rPr>
          <w:szCs w:val="24"/>
          <w:lang w:eastAsia="ru-RU"/>
        </w:rPr>
        <w:t>В случае неэффективности трансфузий необходимо определить возможные причины. При возникновении рефрактерности к трансфузиям или наличия в анамнезе посттрансфузионных реакций и осложнений показан индивидуал</w:t>
      </w:r>
      <w:r>
        <w:rPr>
          <w:szCs w:val="24"/>
          <w:lang w:eastAsia="ru-RU"/>
        </w:rPr>
        <w:t xml:space="preserve">ьный подбор тромбоцитов донора, применение плазмафереза (см. Приложение </w:t>
      </w:r>
      <w:r w:rsidRPr="00D77CA7">
        <w:rPr>
          <w:szCs w:val="24"/>
        </w:rPr>
        <w:t>«Лечебный цитаферез и плазмаферез при гематологических заболеваниях»</w:t>
      </w:r>
      <w:r w:rsidRPr="00D77CA7">
        <w:rPr>
          <w:szCs w:val="24"/>
          <w:lang w:eastAsia="ru-RU"/>
        </w:rPr>
        <w:t>).</w:t>
      </w:r>
    </w:p>
    <w:p w14:paraId="77E5DA51" w14:textId="77777777" w:rsidR="009A5B55" w:rsidRDefault="009A5B55" w:rsidP="009A5B55">
      <w:pPr>
        <w:rPr>
          <w:i/>
          <w:iCs/>
          <w:u w:val="single"/>
        </w:rPr>
      </w:pPr>
    </w:p>
    <w:p w14:paraId="47F547C4" w14:textId="77777777" w:rsidR="009A5B55" w:rsidRPr="00287E25" w:rsidRDefault="009A5B55" w:rsidP="009A5B55">
      <w:pPr>
        <w:rPr>
          <w:b/>
          <w:i/>
          <w:iCs/>
          <w:u w:val="single"/>
        </w:rPr>
      </w:pPr>
      <w:r w:rsidRPr="00287E25">
        <w:rPr>
          <w:i/>
          <w:iCs/>
          <w:u w:val="single"/>
        </w:rPr>
        <w:t>Трансфузии СЗП</w:t>
      </w:r>
    </w:p>
    <w:p w14:paraId="27CF0B3D" w14:textId="77777777" w:rsidR="009A5B55" w:rsidRPr="00287E25" w:rsidRDefault="009A5B55" w:rsidP="009A5B55">
      <w:pPr>
        <w:ind w:firstLine="349"/>
        <w:rPr>
          <w:b/>
          <w:u w:val="single"/>
        </w:rPr>
      </w:pPr>
      <w:r w:rsidRPr="00287E25">
        <w:rPr>
          <w:u w:val="single"/>
        </w:rPr>
        <w:t>Показания к переливанию СЗП:</w:t>
      </w:r>
    </w:p>
    <w:p w14:paraId="4CEEDF41" w14:textId="77777777" w:rsidR="009A5B55" w:rsidRPr="003B52EE" w:rsidRDefault="009A5B55" w:rsidP="00296A09">
      <w:pPr>
        <w:pStyle w:val="FitzBullet"/>
        <w:numPr>
          <w:ilvl w:val="0"/>
          <w:numId w:val="123"/>
        </w:numPr>
        <w:tabs>
          <w:tab w:val="clear" w:pos="317"/>
          <w:tab w:val="left" w:pos="144"/>
        </w:tabs>
        <w:spacing w:before="0" w:after="0" w:line="360" w:lineRule="auto"/>
        <w:ind w:left="709"/>
        <w:jc w:val="both"/>
      </w:pPr>
      <w:r w:rsidRPr="003B52EE">
        <w:t xml:space="preserve">Экстренная реверсия действия непрямых антикоагулянтов (варфарин); переливают </w:t>
      </w:r>
      <w:r>
        <w:t xml:space="preserve">СЗП из расчета </w:t>
      </w:r>
      <w:r w:rsidRPr="003B52EE">
        <w:t>5—8 мл/кг.</w:t>
      </w:r>
    </w:p>
    <w:p w14:paraId="02F78E05" w14:textId="77777777" w:rsidR="009A5B55" w:rsidRPr="003B52EE" w:rsidRDefault="009A5B55" w:rsidP="00296A09">
      <w:pPr>
        <w:pStyle w:val="FitzBullet"/>
        <w:numPr>
          <w:ilvl w:val="0"/>
          <w:numId w:val="123"/>
        </w:numPr>
        <w:tabs>
          <w:tab w:val="clear" w:pos="317"/>
          <w:tab w:val="left" w:pos="144"/>
        </w:tabs>
        <w:spacing w:before="0" w:after="0" w:line="360" w:lineRule="auto"/>
        <w:ind w:left="709"/>
        <w:jc w:val="both"/>
      </w:pPr>
      <w:r w:rsidRPr="003B52EE">
        <w:t>Коррекция дефицита известного фактора свертывания, для которого нет в наличии специфического концентрата. Для достижения 30% концентрации факторов в плазме необходимо переливать СЗП в количестве 10—15 мл/кг.</w:t>
      </w:r>
    </w:p>
    <w:p w14:paraId="6E0FFB47" w14:textId="77777777" w:rsidR="009A5B55" w:rsidRPr="003B52EE" w:rsidRDefault="009A5B55" w:rsidP="00296A09">
      <w:pPr>
        <w:pStyle w:val="FitzBullet"/>
        <w:numPr>
          <w:ilvl w:val="0"/>
          <w:numId w:val="123"/>
        </w:numPr>
        <w:tabs>
          <w:tab w:val="clear" w:pos="317"/>
          <w:tab w:val="left" w:pos="144"/>
        </w:tabs>
        <w:spacing w:before="0" w:after="0" w:line="360" w:lineRule="auto"/>
        <w:ind w:left="709"/>
        <w:jc w:val="both"/>
      </w:pPr>
      <w:r w:rsidRPr="003B52EE">
        <w:t>Коррекция геморрагического синдрома при увеличении (&gt; 1,5 раз по сравнению с нормой) ПВ или АЧТВ.</w:t>
      </w:r>
    </w:p>
    <w:p w14:paraId="7627CC1A" w14:textId="77777777" w:rsidR="009A5B55" w:rsidRPr="003B52EE" w:rsidRDefault="009A5B55" w:rsidP="00296A09">
      <w:pPr>
        <w:pStyle w:val="FitzBullet"/>
        <w:numPr>
          <w:ilvl w:val="0"/>
          <w:numId w:val="123"/>
        </w:numPr>
        <w:tabs>
          <w:tab w:val="clear" w:pos="317"/>
          <w:tab w:val="left" w:pos="144"/>
        </w:tabs>
        <w:spacing w:before="0" w:after="0" w:line="360" w:lineRule="auto"/>
        <w:ind w:left="709"/>
        <w:jc w:val="both"/>
      </w:pPr>
      <w:r>
        <w:t>В</w:t>
      </w:r>
      <w:r w:rsidRPr="003B52EE">
        <w:t>озмещени</w:t>
      </w:r>
      <w:r>
        <w:t>е</w:t>
      </w:r>
      <w:r w:rsidRPr="003B52EE">
        <w:t xml:space="preserve"> объема при проведении плазмафереза.</w:t>
      </w:r>
    </w:p>
    <w:p w14:paraId="6FCDF535" w14:textId="77777777" w:rsidR="009A5B55" w:rsidRPr="003B52EE" w:rsidRDefault="009A5B55" w:rsidP="00296A09">
      <w:pPr>
        <w:pStyle w:val="FitzBullet"/>
        <w:numPr>
          <w:ilvl w:val="0"/>
          <w:numId w:val="123"/>
        </w:numPr>
        <w:tabs>
          <w:tab w:val="clear" w:pos="317"/>
          <w:tab w:val="left" w:pos="144"/>
        </w:tabs>
        <w:spacing w:before="0" w:after="0" w:line="360" w:lineRule="auto"/>
        <w:ind w:left="709"/>
        <w:jc w:val="both"/>
      </w:pPr>
      <w:r>
        <w:t>Д</w:t>
      </w:r>
      <w:r w:rsidRPr="003B52EE">
        <w:t>ефицит антитромбина III в ходе терапии аспарагиназой. СЗП вводят в дозе 3—3,5 мл/кг/сут.</w:t>
      </w:r>
    </w:p>
    <w:p w14:paraId="4B44E485" w14:textId="77777777" w:rsidR="009A5B55" w:rsidRPr="003B52EE" w:rsidRDefault="009A5B55" w:rsidP="00296A09">
      <w:pPr>
        <w:pStyle w:val="FitzBullet"/>
        <w:numPr>
          <w:ilvl w:val="0"/>
          <w:numId w:val="123"/>
        </w:numPr>
        <w:tabs>
          <w:tab w:val="clear" w:pos="317"/>
          <w:tab w:val="left" w:pos="144"/>
        </w:tabs>
        <w:spacing w:before="0" w:after="0" w:line="360" w:lineRule="auto"/>
        <w:ind w:left="709"/>
        <w:jc w:val="both"/>
      </w:pPr>
      <w:r>
        <w:t>И</w:t>
      </w:r>
      <w:r w:rsidRPr="003B52EE">
        <w:t>нгибиторн</w:t>
      </w:r>
      <w:r>
        <w:t>ая</w:t>
      </w:r>
      <w:r w:rsidRPr="003B52EE">
        <w:t xml:space="preserve"> форм</w:t>
      </w:r>
      <w:r>
        <w:t>а</w:t>
      </w:r>
      <w:r w:rsidRPr="003B52EE">
        <w:t xml:space="preserve"> гемофилии </w:t>
      </w:r>
      <w:r w:rsidRPr="003B52EE">
        <w:rPr>
          <w:lang w:val="en-US"/>
        </w:rPr>
        <w:t>A</w:t>
      </w:r>
      <w:r w:rsidRPr="003B52EE">
        <w:t xml:space="preserve"> и массивны</w:t>
      </w:r>
      <w:r>
        <w:t>е</w:t>
      </w:r>
      <w:r w:rsidRPr="003B52EE">
        <w:t xml:space="preserve"> кровопотер</w:t>
      </w:r>
      <w:r>
        <w:t>и. П</w:t>
      </w:r>
      <w:r w:rsidRPr="003B52EE">
        <w:t>оказано переливание криосупернатантной плазмы (плазма со сниженной концентрацией фактора VIII).</w:t>
      </w:r>
    </w:p>
    <w:p w14:paraId="2CFF9C4F" w14:textId="77777777" w:rsidR="009A5B55" w:rsidRPr="00287E25" w:rsidRDefault="009A5B55" w:rsidP="009A5B55">
      <w:pPr>
        <w:ind w:firstLine="349"/>
        <w:rPr>
          <w:b/>
          <w:u w:val="single"/>
        </w:rPr>
      </w:pPr>
      <w:r w:rsidRPr="00287E25">
        <w:rPr>
          <w:u w:val="single"/>
        </w:rPr>
        <w:t>Показания к переливанию криопреципитата</w:t>
      </w:r>
    </w:p>
    <w:p w14:paraId="651C3BF1" w14:textId="77777777" w:rsidR="009A5B55" w:rsidRPr="003B52EE" w:rsidRDefault="009A5B55" w:rsidP="00296A09">
      <w:pPr>
        <w:pStyle w:val="FitzBullet"/>
        <w:numPr>
          <w:ilvl w:val="0"/>
          <w:numId w:val="124"/>
        </w:numPr>
        <w:tabs>
          <w:tab w:val="clear" w:pos="317"/>
          <w:tab w:val="left" w:pos="144"/>
        </w:tabs>
        <w:spacing w:before="0" w:after="0" w:line="360" w:lineRule="auto"/>
        <w:ind w:left="709"/>
        <w:jc w:val="both"/>
      </w:pPr>
      <w:r w:rsidRPr="003B52EE">
        <w:t xml:space="preserve">Операции или роды у </w:t>
      </w:r>
      <w:r>
        <w:t>пациентов с</w:t>
      </w:r>
      <w:r w:rsidRPr="003B52EE">
        <w:t xml:space="preserve"> болезнью Виллебранда (при отсутствии эффекта десмопрессина).</w:t>
      </w:r>
    </w:p>
    <w:p w14:paraId="07348411" w14:textId="77777777" w:rsidR="009A5B55" w:rsidRPr="003B52EE" w:rsidRDefault="009A5B55" w:rsidP="00296A09">
      <w:pPr>
        <w:pStyle w:val="FitzBullet"/>
        <w:numPr>
          <w:ilvl w:val="0"/>
          <w:numId w:val="124"/>
        </w:numPr>
        <w:tabs>
          <w:tab w:val="clear" w:pos="317"/>
          <w:tab w:val="left" w:pos="144"/>
        </w:tabs>
        <w:spacing w:before="0" w:after="0" w:line="360" w:lineRule="auto"/>
        <w:ind w:left="709"/>
        <w:jc w:val="both"/>
      </w:pPr>
      <w:r w:rsidRPr="003B52EE">
        <w:t>Гипофибриногенемия (&lt; 1 г/л).</w:t>
      </w:r>
    </w:p>
    <w:p w14:paraId="04BB28CA" w14:textId="77777777" w:rsidR="009A5B55" w:rsidRPr="003B52EE" w:rsidRDefault="009A5B55" w:rsidP="00296A09">
      <w:pPr>
        <w:pStyle w:val="FitzBullet"/>
        <w:numPr>
          <w:ilvl w:val="0"/>
          <w:numId w:val="124"/>
        </w:numPr>
        <w:tabs>
          <w:tab w:val="clear" w:pos="317"/>
          <w:tab w:val="left" w:pos="144"/>
        </w:tabs>
        <w:spacing w:before="0" w:after="0" w:line="360" w:lineRule="auto"/>
        <w:ind w:left="709"/>
        <w:jc w:val="both"/>
      </w:pPr>
      <w:r w:rsidRPr="003B52EE">
        <w:t>Болезнь Виллебранда с геморрагическими осложнениями.</w:t>
      </w:r>
    </w:p>
    <w:p w14:paraId="1B189218" w14:textId="77777777" w:rsidR="009A5B55" w:rsidRPr="003B52EE" w:rsidRDefault="009A5B55" w:rsidP="00296A09">
      <w:pPr>
        <w:pStyle w:val="FitzBullet"/>
        <w:numPr>
          <w:ilvl w:val="0"/>
          <w:numId w:val="124"/>
        </w:numPr>
        <w:tabs>
          <w:tab w:val="clear" w:pos="317"/>
          <w:tab w:val="left" w:pos="144"/>
        </w:tabs>
        <w:spacing w:before="0" w:after="0" w:line="360" w:lineRule="auto"/>
        <w:ind w:left="709"/>
        <w:jc w:val="both"/>
      </w:pPr>
      <w:r>
        <w:t>П</w:t>
      </w:r>
      <w:r w:rsidRPr="003B52EE">
        <w:t>ериоперационн</w:t>
      </w:r>
      <w:r>
        <w:t>ый</w:t>
      </w:r>
      <w:r w:rsidRPr="003B52EE">
        <w:t xml:space="preserve"> период или массивны</w:t>
      </w:r>
      <w:r>
        <w:t>е</w:t>
      </w:r>
      <w:r w:rsidRPr="003B52EE">
        <w:t xml:space="preserve"> </w:t>
      </w:r>
      <w:r>
        <w:t>кровотечения при</w:t>
      </w:r>
      <w:r w:rsidRPr="003B52EE">
        <w:t xml:space="preserve"> уровне фибриногена &lt; 1,5 г/л.</w:t>
      </w:r>
    </w:p>
    <w:p w14:paraId="18A96BDA" w14:textId="77777777" w:rsidR="009A5B55" w:rsidRPr="003B52EE" w:rsidRDefault="009A5B55" w:rsidP="009A5B55">
      <w:pPr>
        <w:ind w:firstLine="708"/>
        <w:rPr>
          <w:szCs w:val="24"/>
        </w:rPr>
      </w:pPr>
      <w:r w:rsidRPr="003B52EE">
        <w:rPr>
          <w:szCs w:val="24"/>
        </w:rPr>
        <w:t xml:space="preserve">Расчетная доза </w:t>
      </w:r>
      <w:r w:rsidRPr="00C019E2">
        <w:rPr>
          <w:iCs/>
          <w:szCs w:val="24"/>
        </w:rPr>
        <w:t>криопреципитата</w:t>
      </w:r>
      <w:r w:rsidRPr="003B52EE">
        <w:rPr>
          <w:szCs w:val="24"/>
        </w:rPr>
        <w:t xml:space="preserve"> составляет 1 ед на 5 кг массы тела </w:t>
      </w:r>
      <w:r>
        <w:rPr>
          <w:szCs w:val="24"/>
        </w:rPr>
        <w:t>пациента</w:t>
      </w:r>
      <w:r w:rsidRPr="003B52EE">
        <w:rPr>
          <w:szCs w:val="24"/>
        </w:rPr>
        <w:t xml:space="preserve"> или 15</w:t>
      </w:r>
      <w:r>
        <w:rPr>
          <w:szCs w:val="24"/>
        </w:rPr>
        <w:t>—20 ед при массе тела 70 кг</w:t>
      </w:r>
      <w:r w:rsidRPr="003B52EE">
        <w:rPr>
          <w:szCs w:val="24"/>
        </w:rPr>
        <w:t>. В 1 единице содержится: фибриногена не менее 140 мг, FVIII — не менее 70 МЕ.</w:t>
      </w:r>
    </w:p>
    <w:p w14:paraId="369B4876" w14:textId="77777777" w:rsidR="009A5B55" w:rsidRDefault="009A5B55" w:rsidP="009A5B55">
      <w:pPr>
        <w:ind w:firstLine="708"/>
        <w:rPr>
          <w:u w:val="single"/>
        </w:rPr>
      </w:pPr>
    </w:p>
    <w:p w14:paraId="7E37AE88" w14:textId="77777777" w:rsidR="009A5B55" w:rsidRPr="00287E25" w:rsidRDefault="009A5B55" w:rsidP="009A5B55">
      <w:pPr>
        <w:ind w:firstLine="708"/>
        <w:rPr>
          <w:b/>
          <w:u w:val="single"/>
        </w:rPr>
      </w:pPr>
      <w:r w:rsidRPr="00287E25">
        <w:rPr>
          <w:u w:val="single"/>
        </w:rPr>
        <w:t xml:space="preserve">Качество компонентов крови, применяемых при сопроводительной терапии гематологических пациентов </w:t>
      </w:r>
    </w:p>
    <w:p w14:paraId="392F852D" w14:textId="77777777" w:rsidR="009A5B55" w:rsidRPr="003B52EE" w:rsidRDefault="009A5B55" w:rsidP="009A5B55">
      <w:pPr>
        <w:rPr>
          <w:szCs w:val="24"/>
        </w:rPr>
      </w:pPr>
      <w:r>
        <w:rPr>
          <w:szCs w:val="24"/>
        </w:rPr>
        <w:t xml:space="preserve">При </w:t>
      </w:r>
      <w:r w:rsidRPr="003B52EE">
        <w:rPr>
          <w:szCs w:val="24"/>
        </w:rPr>
        <w:t>гематологически</w:t>
      </w:r>
      <w:r>
        <w:rPr>
          <w:szCs w:val="24"/>
        </w:rPr>
        <w:t>х заболеваниях с известными показаниями</w:t>
      </w:r>
      <w:r w:rsidRPr="003B52EE">
        <w:rPr>
          <w:szCs w:val="24"/>
        </w:rPr>
        <w:t xml:space="preserve"> </w:t>
      </w:r>
      <w:r>
        <w:rPr>
          <w:szCs w:val="24"/>
        </w:rPr>
        <w:t>к неоднократным</w:t>
      </w:r>
      <w:r w:rsidRPr="003B52EE">
        <w:rPr>
          <w:szCs w:val="24"/>
        </w:rPr>
        <w:t xml:space="preserve"> трансфузия</w:t>
      </w:r>
      <w:r>
        <w:rPr>
          <w:szCs w:val="24"/>
        </w:rPr>
        <w:t>м</w:t>
      </w:r>
      <w:r w:rsidRPr="003B52EE">
        <w:rPr>
          <w:szCs w:val="24"/>
        </w:rPr>
        <w:t xml:space="preserve"> компонентов крови</w:t>
      </w:r>
      <w:r>
        <w:rPr>
          <w:szCs w:val="24"/>
        </w:rPr>
        <w:t xml:space="preserve"> (лейкозы, лимфомы, миелодиспластические синдромы, апластическая анемия и др), </w:t>
      </w:r>
      <w:r w:rsidRPr="003B52EE">
        <w:rPr>
          <w:szCs w:val="24"/>
        </w:rPr>
        <w:t xml:space="preserve">с целью профилактики нежелательных реакций и осложнений, связанных с трансфузиями, </w:t>
      </w:r>
      <w:r>
        <w:rPr>
          <w:szCs w:val="24"/>
        </w:rPr>
        <w:t>рекомендуется</w:t>
      </w:r>
      <w:r w:rsidRPr="003B52EE">
        <w:rPr>
          <w:szCs w:val="24"/>
        </w:rPr>
        <w:t xml:space="preserve"> использование компонентов крови со следующими характеристиками:</w:t>
      </w:r>
    </w:p>
    <w:p w14:paraId="6F14ED3B" w14:textId="77777777" w:rsidR="009A5B55" w:rsidRPr="003B52EE" w:rsidRDefault="009A5B55" w:rsidP="00296A09">
      <w:pPr>
        <w:pStyle w:val="FitzBullet"/>
        <w:numPr>
          <w:ilvl w:val="0"/>
          <w:numId w:val="125"/>
        </w:numPr>
        <w:tabs>
          <w:tab w:val="clear" w:pos="317"/>
          <w:tab w:val="left" w:pos="144"/>
        </w:tabs>
        <w:spacing w:before="0" w:after="0" w:line="360" w:lineRule="auto"/>
        <w:ind w:left="709"/>
        <w:jc w:val="both"/>
      </w:pPr>
      <w:r w:rsidRPr="003B52EE">
        <w:t>Лейкоредуцированные — содержание лейкоцитов в дозе переливаемой среды снижено до 1 </w:t>
      </w:r>
      <w:r>
        <w:t>х</w:t>
      </w:r>
      <w:r w:rsidRPr="003B52EE">
        <w:t xml:space="preserve"> 10</w:t>
      </w:r>
      <w:r w:rsidRPr="003B52EE">
        <w:rPr>
          <w:vertAlign w:val="superscript"/>
        </w:rPr>
        <w:t>6</w:t>
      </w:r>
      <w:r w:rsidRPr="003B52EE">
        <w:t> клеток.</w:t>
      </w:r>
    </w:p>
    <w:p w14:paraId="10DDE121" w14:textId="77777777" w:rsidR="009A5B55" w:rsidRPr="003B52EE" w:rsidRDefault="009A5B55" w:rsidP="00296A09">
      <w:pPr>
        <w:pStyle w:val="FitzBullet"/>
        <w:numPr>
          <w:ilvl w:val="0"/>
          <w:numId w:val="125"/>
        </w:numPr>
        <w:tabs>
          <w:tab w:val="clear" w:pos="317"/>
          <w:tab w:val="left" w:pos="144"/>
        </w:tabs>
        <w:spacing w:before="0" w:after="0" w:line="360" w:lineRule="auto"/>
        <w:ind w:left="709"/>
        <w:jc w:val="both"/>
      </w:pPr>
      <w:r w:rsidRPr="003B52EE">
        <w:t>Облученные эритроциты и тромбоциты (гамма-излучение или рентегновское излучение в дозе 25—50 Гр).</w:t>
      </w:r>
    </w:p>
    <w:p w14:paraId="2B1269A9" w14:textId="77777777" w:rsidR="009A5B55" w:rsidRPr="003B52EE" w:rsidRDefault="009A5B55" w:rsidP="00296A09">
      <w:pPr>
        <w:pStyle w:val="FitzBullet"/>
        <w:numPr>
          <w:ilvl w:val="0"/>
          <w:numId w:val="125"/>
        </w:numPr>
        <w:tabs>
          <w:tab w:val="clear" w:pos="317"/>
          <w:tab w:val="left" w:pos="144"/>
        </w:tabs>
        <w:spacing w:before="0" w:after="0" w:line="360" w:lineRule="auto"/>
        <w:ind w:left="709"/>
        <w:jc w:val="both"/>
      </w:pPr>
      <w:r w:rsidRPr="003B52EE">
        <w:t>Ограничение использования донорской плазмы путем использования взвешивающих растворов для эритроцитов.</w:t>
      </w:r>
    </w:p>
    <w:p w14:paraId="7C6C347C" w14:textId="77777777" w:rsidR="009A5B55" w:rsidRPr="003B52EE" w:rsidRDefault="009A5B55" w:rsidP="00296A09">
      <w:pPr>
        <w:pStyle w:val="FitzBullet"/>
        <w:numPr>
          <w:ilvl w:val="0"/>
          <w:numId w:val="125"/>
        </w:numPr>
        <w:tabs>
          <w:tab w:val="clear" w:pos="317"/>
          <w:tab w:val="left" w:pos="144"/>
        </w:tabs>
        <w:spacing w:before="0" w:after="0" w:line="360" w:lineRule="auto"/>
        <w:ind w:left="709"/>
        <w:jc w:val="both"/>
      </w:pPr>
      <w:r w:rsidRPr="003B52EE">
        <w:t>После исследования донорской крови на маркеры вирусных инфекций посредством молекулярно-биологических методов.</w:t>
      </w:r>
    </w:p>
    <w:p w14:paraId="5E266CCF" w14:textId="77777777" w:rsidR="009A5B55" w:rsidRPr="00360841" w:rsidRDefault="009A5B55" w:rsidP="00296A09">
      <w:pPr>
        <w:pStyle w:val="afe"/>
        <w:numPr>
          <w:ilvl w:val="0"/>
          <w:numId w:val="125"/>
        </w:numPr>
        <w:ind w:left="709"/>
        <w:rPr>
          <w:szCs w:val="24"/>
        </w:rPr>
      </w:pPr>
      <w:r w:rsidRPr="00360841">
        <w:rPr>
          <w:szCs w:val="24"/>
        </w:rPr>
        <w:t>С целью повышения безопасности трансфузий дополнительно могут применяться следующие технологии:</w:t>
      </w:r>
    </w:p>
    <w:p w14:paraId="03293378" w14:textId="77777777" w:rsidR="009A5B55" w:rsidRPr="003B52EE" w:rsidRDefault="009A5B55" w:rsidP="00296A09">
      <w:pPr>
        <w:pStyle w:val="FitzBullet"/>
        <w:numPr>
          <w:ilvl w:val="0"/>
          <w:numId w:val="125"/>
        </w:numPr>
        <w:tabs>
          <w:tab w:val="clear" w:pos="317"/>
          <w:tab w:val="left" w:pos="144"/>
        </w:tabs>
        <w:spacing w:before="0" w:after="0" w:line="360" w:lineRule="auto"/>
        <w:ind w:left="709"/>
        <w:jc w:val="both"/>
      </w:pPr>
      <w:r w:rsidRPr="003B52EE">
        <w:t>Инактивация патогенов в концентрате тромбоцитов.</w:t>
      </w:r>
    </w:p>
    <w:p w14:paraId="5EA83625" w14:textId="77777777" w:rsidR="009A5B55" w:rsidRPr="003B52EE" w:rsidRDefault="009A5B55" w:rsidP="00296A09">
      <w:pPr>
        <w:pStyle w:val="FitzBullet"/>
        <w:numPr>
          <w:ilvl w:val="0"/>
          <w:numId w:val="125"/>
        </w:numPr>
        <w:tabs>
          <w:tab w:val="clear" w:pos="317"/>
          <w:tab w:val="left" w:pos="144"/>
        </w:tabs>
        <w:spacing w:before="0" w:after="0" w:line="360" w:lineRule="auto"/>
        <w:ind w:left="709"/>
        <w:jc w:val="both"/>
      </w:pPr>
      <w:r w:rsidRPr="003B52EE">
        <w:t>Применение добавочных растворов для замещения донорской плазмы в концентрате тромбоцитов.</w:t>
      </w:r>
    </w:p>
    <w:p w14:paraId="76320215" w14:textId="77777777" w:rsidR="009A5B55" w:rsidRPr="003B52EE" w:rsidRDefault="009A5B55" w:rsidP="00296A09">
      <w:pPr>
        <w:pStyle w:val="FitzBullet"/>
        <w:numPr>
          <w:ilvl w:val="0"/>
          <w:numId w:val="125"/>
        </w:numPr>
        <w:tabs>
          <w:tab w:val="clear" w:pos="317"/>
          <w:tab w:val="left" w:pos="144"/>
        </w:tabs>
        <w:spacing w:before="0" w:after="0" w:line="360" w:lineRule="auto"/>
        <w:ind w:left="709"/>
        <w:jc w:val="both"/>
      </w:pPr>
      <w:r w:rsidRPr="003B52EE">
        <w:t>Расширение спектра тестируемых маркеров вирусных инфекций (цитомегаловирус, вирус гепатита </w:t>
      </w:r>
      <w:r w:rsidRPr="003B52EE">
        <w:rPr>
          <w:lang w:val="en-US"/>
        </w:rPr>
        <w:t>B</w:t>
      </w:r>
      <w:r w:rsidRPr="003B52EE">
        <w:t xml:space="preserve">, </w:t>
      </w:r>
      <w:r w:rsidRPr="003B52EE">
        <w:rPr>
          <w:lang w:val="en-US"/>
        </w:rPr>
        <w:t>T</w:t>
      </w:r>
      <w:r w:rsidRPr="003B52EE">
        <w:t>-лимфотропный вирус человека и другие).</w:t>
      </w:r>
    </w:p>
    <w:p w14:paraId="7786CBE6" w14:textId="77777777" w:rsidR="009A5B55" w:rsidRDefault="009A5B55" w:rsidP="009A5B55">
      <w:pPr>
        <w:rPr>
          <w:szCs w:val="24"/>
        </w:rPr>
      </w:pPr>
      <w:r w:rsidRPr="003B52EE">
        <w:rPr>
          <w:szCs w:val="24"/>
        </w:rPr>
        <w:t>Основные реакции и осложнения, связанные с трансфузией приведены в табл. 3.</w:t>
      </w:r>
    </w:p>
    <w:p w14:paraId="09492288" w14:textId="77777777" w:rsidR="009A5B55" w:rsidRDefault="009A5B55" w:rsidP="009A5B55">
      <w:pPr>
        <w:rPr>
          <w:bCs/>
          <w:szCs w:val="24"/>
        </w:rPr>
      </w:pPr>
    </w:p>
    <w:p w14:paraId="55BE6524" w14:textId="77777777" w:rsidR="009A5B55" w:rsidRPr="008E43BE" w:rsidRDefault="009A5B55" w:rsidP="009A5B55">
      <w:pPr>
        <w:rPr>
          <w:szCs w:val="24"/>
        </w:rPr>
      </w:pPr>
      <w:r w:rsidRPr="008E43BE">
        <w:rPr>
          <w:bCs/>
          <w:szCs w:val="24"/>
        </w:rPr>
        <w:t>Таблица 3. Основные реакции и осложнения, связанные с трансфузией (переливанием) компонентов донорской крови</w:t>
      </w:r>
    </w:p>
    <w:tbl>
      <w:tblPr>
        <w:tblW w:w="9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10"/>
        <w:gridCol w:w="2340"/>
        <w:gridCol w:w="2520"/>
        <w:gridCol w:w="2284"/>
      </w:tblGrid>
      <w:tr w:rsidR="009A5B55" w:rsidRPr="004C7AAC" w14:paraId="13C49A66" w14:textId="77777777" w:rsidTr="002D3EBF">
        <w:trPr>
          <w:jc w:val="center"/>
        </w:trPr>
        <w:tc>
          <w:tcPr>
            <w:tcW w:w="2110" w:type="dxa"/>
          </w:tcPr>
          <w:p w14:paraId="043AF697" w14:textId="77777777" w:rsidR="009A5B55" w:rsidRPr="00CA11E8" w:rsidRDefault="009A5B55" w:rsidP="002D3EBF">
            <w:pPr>
              <w:pStyle w:val="Table-head-italic"/>
              <w:spacing w:line="360" w:lineRule="auto"/>
              <w:jc w:val="center"/>
              <w:rPr>
                <w:i w:val="0"/>
                <w:sz w:val="22"/>
                <w:szCs w:val="22"/>
                <w:lang w:val="ru-RU"/>
              </w:rPr>
            </w:pPr>
            <w:r w:rsidRPr="00CA11E8">
              <w:rPr>
                <w:i w:val="0"/>
                <w:sz w:val="22"/>
                <w:szCs w:val="22"/>
                <w:lang w:val="ru-RU"/>
              </w:rPr>
              <w:t>Реакция (осложнение)</w:t>
            </w:r>
          </w:p>
        </w:tc>
        <w:tc>
          <w:tcPr>
            <w:tcW w:w="2340" w:type="dxa"/>
          </w:tcPr>
          <w:p w14:paraId="6512B088" w14:textId="77777777" w:rsidR="009A5B55" w:rsidRPr="00CA11E8" w:rsidRDefault="009A5B55" w:rsidP="002D3EBF">
            <w:pPr>
              <w:pStyle w:val="Table-head-italic"/>
              <w:spacing w:line="360" w:lineRule="auto"/>
              <w:jc w:val="center"/>
              <w:rPr>
                <w:i w:val="0"/>
                <w:sz w:val="22"/>
                <w:szCs w:val="22"/>
                <w:lang w:val="ru-RU"/>
              </w:rPr>
            </w:pPr>
            <w:r w:rsidRPr="00CA11E8">
              <w:rPr>
                <w:i w:val="0"/>
                <w:sz w:val="22"/>
                <w:szCs w:val="22"/>
                <w:lang w:val="ru-RU"/>
              </w:rPr>
              <w:t>Причина</w:t>
            </w:r>
          </w:p>
        </w:tc>
        <w:tc>
          <w:tcPr>
            <w:tcW w:w="2520" w:type="dxa"/>
          </w:tcPr>
          <w:p w14:paraId="190B3BA8" w14:textId="77777777" w:rsidR="009A5B55" w:rsidRPr="00CA11E8" w:rsidRDefault="009A5B55" w:rsidP="002D3EBF">
            <w:pPr>
              <w:pStyle w:val="Table-head-italic"/>
              <w:spacing w:line="360" w:lineRule="auto"/>
              <w:jc w:val="center"/>
              <w:rPr>
                <w:i w:val="0"/>
                <w:sz w:val="22"/>
                <w:szCs w:val="22"/>
                <w:lang w:val="ru-RU"/>
              </w:rPr>
            </w:pPr>
            <w:r w:rsidRPr="00CA11E8">
              <w:rPr>
                <w:i w:val="0"/>
                <w:sz w:val="22"/>
                <w:szCs w:val="22"/>
                <w:lang w:val="ru-RU"/>
              </w:rPr>
              <w:t>Лечение</w:t>
            </w:r>
          </w:p>
        </w:tc>
        <w:tc>
          <w:tcPr>
            <w:tcW w:w="2284" w:type="dxa"/>
          </w:tcPr>
          <w:p w14:paraId="5EFC653C" w14:textId="77777777" w:rsidR="009A5B55" w:rsidRPr="00CA11E8" w:rsidRDefault="009A5B55" w:rsidP="002D3EBF">
            <w:pPr>
              <w:pStyle w:val="Table-head-italic"/>
              <w:spacing w:line="360" w:lineRule="auto"/>
              <w:jc w:val="center"/>
              <w:rPr>
                <w:i w:val="0"/>
                <w:sz w:val="22"/>
                <w:szCs w:val="22"/>
                <w:lang w:val="ru-RU"/>
              </w:rPr>
            </w:pPr>
            <w:r w:rsidRPr="00CA11E8">
              <w:rPr>
                <w:i w:val="0"/>
                <w:sz w:val="22"/>
                <w:szCs w:val="22"/>
                <w:lang w:val="ru-RU"/>
              </w:rPr>
              <w:t>Обязательные и дополнительные лабораторные и инструментальные исследования*</w:t>
            </w:r>
          </w:p>
        </w:tc>
      </w:tr>
      <w:tr w:rsidR="009A5B55" w:rsidRPr="004C7AAC" w14:paraId="23A8EC84" w14:textId="77777777" w:rsidTr="002D3EBF">
        <w:trPr>
          <w:jc w:val="center"/>
        </w:trPr>
        <w:tc>
          <w:tcPr>
            <w:tcW w:w="2110" w:type="dxa"/>
            <w:vAlign w:val="center"/>
          </w:tcPr>
          <w:p w14:paraId="7863E83C"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 xml:space="preserve">Острая сердечно-сосудистая недостаточность, отек легких (синдром </w:t>
            </w:r>
            <w:r w:rsidRPr="00CA11E8">
              <w:rPr>
                <w:sz w:val="22"/>
                <w:szCs w:val="22"/>
              </w:rPr>
              <w:t>TACO</w:t>
            </w:r>
            <w:r w:rsidRPr="00CA11E8">
              <w:rPr>
                <w:sz w:val="22"/>
                <w:szCs w:val="22"/>
                <w:lang w:val="ru-RU"/>
              </w:rPr>
              <w:t xml:space="preserve">, от </w:t>
            </w:r>
            <w:r w:rsidRPr="00CA11E8">
              <w:rPr>
                <w:sz w:val="22"/>
                <w:szCs w:val="22"/>
              </w:rPr>
              <w:t>t</w:t>
            </w:r>
            <w:r w:rsidRPr="00CA11E8">
              <w:rPr>
                <w:sz w:val="22"/>
                <w:szCs w:val="22"/>
                <w:lang w:val="ru-RU"/>
              </w:rPr>
              <w:t>ransfusion associated circulatory overload)</w:t>
            </w:r>
          </w:p>
        </w:tc>
        <w:tc>
          <w:tcPr>
            <w:tcW w:w="2340" w:type="dxa"/>
          </w:tcPr>
          <w:p w14:paraId="2BD133F1"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Перегрузка объемом</w:t>
            </w:r>
          </w:p>
        </w:tc>
        <w:tc>
          <w:tcPr>
            <w:tcW w:w="2520" w:type="dxa"/>
          </w:tcPr>
          <w:p w14:paraId="13C27EFE"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 xml:space="preserve">Симптоматическая терапия отека легких </w:t>
            </w:r>
          </w:p>
        </w:tc>
        <w:tc>
          <w:tcPr>
            <w:tcW w:w="2284" w:type="dxa"/>
          </w:tcPr>
          <w:p w14:paraId="278E92F8" w14:textId="77777777" w:rsidR="009A5B55" w:rsidRPr="00CA11E8" w:rsidRDefault="009A5B55" w:rsidP="002D3EBF">
            <w:pPr>
              <w:pStyle w:val="table-text-0"/>
              <w:spacing w:before="0" w:line="360" w:lineRule="auto"/>
              <w:ind w:firstLine="0"/>
              <w:rPr>
                <w:sz w:val="22"/>
                <w:szCs w:val="22"/>
                <w:lang w:val="ru-RU"/>
              </w:rPr>
            </w:pPr>
          </w:p>
        </w:tc>
      </w:tr>
      <w:tr w:rsidR="009A5B55" w:rsidRPr="004C7AAC" w14:paraId="6B4BCF4E" w14:textId="77777777" w:rsidTr="002D3EBF">
        <w:trPr>
          <w:jc w:val="center"/>
        </w:trPr>
        <w:tc>
          <w:tcPr>
            <w:tcW w:w="2110" w:type="dxa"/>
          </w:tcPr>
          <w:p w14:paraId="2286552D"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 xml:space="preserve">Острое обусловленное трансфузией повреждение легких (синдром TRALI, от </w:t>
            </w:r>
            <w:r w:rsidRPr="00CA11E8">
              <w:rPr>
                <w:sz w:val="22"/>
                <w:szCs w:val="22"/>
              </w:rPr>
              <w:t>t</w:t>
            </w:r>
            <w:r w:rsidRPr="00CA11E8">
              <w:rPr>
                <w:sz w:val="22"/>
                <w:szCs w:val="22"/>
                <w:lang w:val="ru-RU"/>
              </w:rPr>
              <w:t>ransfusion-related acute lung injury)</w:t>
            </w:r>
          </w:p>
        </w:tc>
        <w:tc>
          <w:tcPr>
            <w:tcW w:w="2340" w:type="dxa"/>
          </w:tcPr>
          <w:p w14:paraId="167E754B"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Наличие донорских антилейкоцитарных антител в крови реципиента</w:t>
            </w:r>
          </w:p>
        </w:tc>
        <w:tc>
          <w:tcPr>
            <w:tcW w:w="2520" w:type="dxa"/>
          </w:tcPr>
          <w:p w14:paraId="0C667ED6"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Глюкокортикоиды (преднизолон, 30—60 мг, или дексаметазон, по 4—8 мг)</w:t>
            </w:r>
          </w:p>
          <w:p w14:paraId="531CA13F"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Симптоматическая терапия отека легких</w:t>
            </w:r>
          </w:p>
        </w:tc>
        <w:tc>
          <w:tcPr>
            <w:tcW w:w="2284" w:type="dxa"/>
          </w:tcPr>
          <w:p w14:paraId="0C62CEFF"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Обязательные: рентгенография органов грудной клетки</w:t>
            </w:r>
          </w:p>
          <w:p w14:paraId="45ABCFB3"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Дополнительные: тесты на антилейкоцитарные антитела и антитела к нейтрофилам в сыворотке</w:t>
            </w:r>
          </w:p>
        </w:tc>
      </w:tr>
      <w:tr w:rsidR="009A5B55" w:rsidRPr="004C7AAC" w14:paraId="74E9CB68" w14:textId="77777777" w:rsidTr="002D3EBF">
        <w:trPr>
          <w:jc w:val="center"/>
        </w:trPr>
        <w:tc>
          <w:tcPr>
            <w:tcW w:w="2110" w:type="dxa"/>
          </w:tcPr>
          <w:p w14:paraId="565CD5E6"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Одышка, связанная с трансфузией (синдром TAD, от transfusion-associated dyspnea)</w:t>
            </w:r>
          </w:p>
        </w:tc>
        <w:tc>
          <w:tcPr>
            <w:tcW w:w="2340" w:type="dxa"/>
          </w:tcPr>
          <w:p w14:paraId="4286CE6B"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Острый респираторный дистресс-синдром, развивающийся в течение 24 часов после трансфузии</w:t>
            </w:r>
          </w:p>
        </w:tc>
        <w:tc>
          <w:tcPr>
            <w:tcW w:w="2520" w:type="dxa"/>
          </w:tcPr>
          <w:p w14:paraId="48A9ADFF"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Симптоматическая терапия</w:t>
            </w:r>
          </w:p>
        </w:tc>
        <w:tc>
          <w:tcPr>
            <w:tcW w:w="2284" w:type="dxa"/>
          </w:tcPr>
          <w:p w14:paraId="3084E249" w14:textId="77777777" w:rsidR="009A5B55" w:rsidRPr="00CA11E8" w:rsidRDefault="009A5B55" w:rsidP="002D3EBF">
            <w:pPr>
              <w:pStyle w:val="table-text-0"/>
              <w:spacing w:before="0" w:line="360" w:lineRule="auto"/>
              <w:ind w:firstLine="0"/>
              <w:rPr>
                <w:sz w:val="22"/>
                <w:szCs w:val="22"/>
                <w:lang w:val="ru-RU"/>
              </w:rPr>
            </w:pPr>
          </w:p>
        </w:tc>
      </w:tr>
      <w:tr w:rsidR="009A5B55" w:rsidRPr="004C7AAC" w14:paraId="46673689" w14:textId="77777777" w:rsidTr="002D3EBF">
        <w:trPr>
          <w:jc w:val="center"/>
        </w:trPr>
        <w:tc>
          <w:tcPr>
            <w:tcW w:w="2110" w:type="dxa"/>
            <w:vMerge w:val="restart"/>
          </w:tcPr>
          <w:p w14:paraId="482D3A29"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Аллергические реакции (крапивница, анафилактический шок и др.)</w:t>
            </w:r>
          </w:p>
        </w:tc>
        <w:tc>
          <w:tcPr>
            <w:tcW w:w="2340" w:type="dxa"/>
          </w:tcPr>
          <w:p w14:paraId="0A1D0799"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Крапивница: наличие антител к белкам плазмы</w:t>
            </w:r>
          </w:p>
        </w:tc>
        <w:tc>
          <w:tcPr>
            <w:tcW w:w="2520" w:type="dxa"/>
          </w:tcPr>
          <w:p w14:paraId="16B91DC0"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Антигистаминные препараты (клемастин, 2%, 2 мг, или другой препарат с аналогичным действием)</w:t>
            </w:r>
          </w:p>
        </w:tc>
        <w:tc>
          <w:tcPr>
            <w:tcW w:w="2284" w:type="dxa"/>
          </w:tcPr>
          <w:p w14:paraId="56B705D2" w14:textId="77777777" w:rsidR="009A5B55" w:rsidRPr="00CA11E8" w:rsidRDefault="009A5B55" w:rsidP="002D3EBF">
            <w:pPr>
              <w:pStyle w:val="table-text-0"/>
              <w:spacing w:before="0" w:line="360" w:lineRule="auto"/>
              <w:ind w:firstLine="0"/>
              <w:rPr>
                <w:sz w:val="22"/>
                <w:szCs w:val="22"/>
                <w:lang w:val="ru-RU"/>
              </w:rPr>
            </w:pPr>
          </w:p>
        </w:tc>
      </w:tr>
      <w:tr w:rsidR="009A5B55" w:rsidRPr="004C7AAC" w14:paraId="4B40A379" w14:textId="77777777" w:rsidTr="002D3EBF">
        <w:trPr>
          <w:jc w:val="center"/>
        </w:trPr>
        <w:tc>
          <w:tcPr>
            <w:tcW w:w="2110" w:type="dxa"/>
            <w:vMerge/>
            <w:vAlign w:val="center"/>
          </w:tcPr>
          <w:p w14:paraId="00A3F92B" w14:textId="77777777" w:rsidR="009A5B55" w:rsidRPr="00CA11E8" w:rsidRDefault="009A5B55" w:rsidP="002D3EBF">
            <w:pPr>
              <w:pStyle w:val="table-text-0"/>
              <w:spacing w:before="0" w:line="360" w:lineRule="auto"/>
              <w:ind w:firstLine="0"/>
              <w:rPr>
                <w:sz w:val="22"/>
                <w:szCs w:val="22"/>
                <w:lang w:val="ru-RU"/>
              </w:rPr>
            </w:pPr>
          </w:p>
        </w:tc>
        <w:tc>
          <w:tcPr>
            <w:tcW w:w="2340" w:type="dxa"/>
          </w:tcPr>
          <w:p w14:paraId="2D9AA078"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Анафилактический шок: первичный иммунодефицит IgA у реципиента</w:t>
            </w:r>
          </w:p>
        </w:tc>
        <w:tc>
          <w:tcPr>
            <w:tcW w:w="2520" w:type="dxa"/>
          </w:tcPr>
          <w:p w14:paraId="200AD7C4"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Противошоковая терапия</w:t>
            </w:r>
          </w:p>
        </w:tc>
        <w:tc>
          <w:tcPr>
            <w:tcW w:w="2284" w:type="dxa"/>
          </w:tcPr>
          <w:p w14:paraId="5B0433B6"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Дополнительные: оценка уровня сывороточного IgA у реципиента</w:t>
            </w:r>
          </w:p>
        </w:tc>
      </w:tr>
      <w:tr w:rsidR="009A5B55" w:rsidRPr="004C7AAC" w14:paraId="0F15B65C" w14:textId="77777777" w:rsidTr="002D3EBF">
        <w:trPr>
          <w:jc w:val="center"/>
        </w:trPr>
        <w:tc>
          <w:tcPr>
            <w:tcW w:w="2110" w:type="dxa"/>
          </w:tcPr>
          <w:p w14:paraId="09CC2CBB"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 xml:space="preserve">Пострансфузионная артериальная гипотония (HTR, от </w:t>
            </w:r>
            <w:r w:rsidRPr="00CA11E8">
              <w:rPr>
                <w:sz w:val="22"/>
                <w:szCs w:val="22"/>
              </w:rPr>
              <w:t>post</w:t>
            </w:r>
            <w:r w:rsidRPr="00CA11E8">
              <w:rPr>
                <w:sz w:val="22"/>
                <w:szCs w:val="22"/>
                <w:lang w:val="ru-RU"/>
              </w:rPr>
              <w:t>-</w:t>
            </w:r>
            <w:r w:rsidRPr="00CA11E8">
              <w:rPr>
                <w:sz w:val="22"/>
                <w:szCs w:val="22"/>
              </w:rPr>
              <w:t>transfusion</w:t>
            </w:r>
            <w:r w:rsidRPr="00CA11E8">
              <w:rPr>
                <w:sz w:val="22"/>
                <w:szCs w:val="22"/>
                <w:lang w:val="ru-RU"/>
              </w:rPr>
              <w:t xml:space="preserve"> </w:t>
            </w:r>
            <w:r w:rsidRPr="00CA11E8">
              <w:rPr>
                <w:sz w:val="22"/>
                <w:szCs w:val="22"/>
              </w:rPr>
              <w:t>hypotension</w:t>
            </w:r>
            <w:r w:rsidRPr="00CA11E8">
              <w:rPr>
                <w:sz w:val="22"/>
                <w:szCs w:val="22"/>
                <w:lang w:val="ru-RU"/>
              </w:rPr>
              <w:t>)</w:t>
            </w:r>
          </w:p>
        </w:tc>
        <w:tc>
          <w:tcPr>
            <w:tcW w:w="2340" w:type="dxa"/>
          </w:tcPr>
          <w:p w14:paraId="78DCB841"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Сосудистая реакция, обусловленная выбросом брадикинина</w:t>
            </w:r>
          </w:p>
        </w:tc>
        <w:tc>
          <w:tcPr>
            <w:tcW w:w="2520" w:type="dxa"/>
          </w:tcPr>
          <w:p w14:paraId="469589E7"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 xml:space="preserve">Симптоматическая терапия, в тяжелых случаях — применение вазопрессоров </w:t>
            </w:r>
          </w:p>
        </w:tc>
        <w:tc>
          <w:tcPr>
            <w:tcW w:w="2284" w:type="dxa"/>
          </w:tcPr>
          <w:p w14:paraId="71D83928" w14:textId="77777777" w:rsidR="009A5B55" w:rsidRPr="00CA11E8" w:rsidRDefault="009A5B55" w:rsidP="002D3EBF">
            <w:pPr>
              <w:pStyle w:val="table-text-0"/>
              <w:spacing w:before="0" w:line="360" w:lineRule="auto"/>
              <w:ind w:firstLine="0"/>
              <w:rPr>
                <w:sz w:val="22"/>
                <w:szCs w:val="22"/>
                <w:lang w:val="ru-RU"/>
              </w:rPr>
            </w:pPr>
          </w:p>
        </w:tc>
      </w:tr>
      <w:tr w:rsidR="009A5B55" w:rsidRPr="004C7AAC" w14:paraId="6586326D" w14:textId="77777777" w:rsidTr="002D3EBF">
        <w:trPr>
          <w:jc w:val="center"/>
        </w:trPr>
        <w:tc>
          <w:tcPr>
            <w:tcW w:w="2110" w:type="dxa"/>
          </w:tcPr>
          <w:p w14:paraId="4F01A097"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Гипертермическая (фебрильная) негемолитическая реакция (FNHTR, от febrile non-hemolytic transfusion reaction)</w:t>
            </w:r>
          </w:p>
        </w:tc>
        <w:tc>
          <w:tcPr>
            <w:tcW w:w="2340" w:type="dxa"/>
          </w:tcPr>
          <w:p w14:paraId="0C7AB167"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Секреция цитокинов иммунокомпетентными клетками, сопровождающаяся повышением температуры тела реципиента выше 38</w:t>
            </w:r>
            <w:r w:rsidRPr="00CA11E8">
              <w:rPr>
                <w:rFonts w:ascii="Symbol" w:hAnsi="Symbol" w:cs="Symbol"/>
              </w:rPr>
              <w:t></w:t>
            </w:r>
            <w:r w:rsidRPr="00CA11E8">
              <w:rPr>
                <w:sz w:val="22"/>
                <w:szCs w:val="22"/>
                <w:lang w:val="ru-RU"/>
              </w:rPr>
              <w:t>С</w:t>
            </w:r>
          </w:p>
        </w:tc>
        <w:tc>
          <w:tcPr>
            <w:tcW w:w="2520" w:type="dxa"/>
          </w:tcPr>
          <w:p w14:paraId="59F46926"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Антигистаминные препараты (клемастин 2%, 2 мг, или другой препарат с аналогичным действием)</w:t>
            </w:r>
          </w:p>
          <w:p w14:paraId="1072C181"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Наркотические анальгетики (промедол 2%, 2 мл)</w:t>
            </w:r>
          </w:p>
          <w:p w14:paraId="1D763E84"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Глюкокортикоиды (преднизолон, 30—60 мг, или дексаметазон, 4—8 мг)</w:t>
            </w:r>
          </w:p>
        </w:tc>
        <w:tc>
          <w:tcPr>
            <w:tcW w:w="2284" w:type="dxa"/>
          </w:tcPr>
          <w:p w14:paraId="5C4920D3"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Обязательные: бактериологическое исследование крови</w:t>
            </w:r>
          </w:p>
          <w:p w14:paraId="7C7D1471"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Дополнительные: определение антилейкоцитарных антител, антитромбоцитарных антител, антител к нейтрофилам в сыворотке</w:t>
            </w:r>
          </w:p>
        </w:tc>
      </w:tr>
      <w:tr w:rsidR="009A5B55" w:rsidRPr="004C7AAC" w14:paraId="022D2A30" w14:textId="77777777" w:rsidTr="002D3EBF">
        <w:trPr>
          <w:jc w:val="center"/>
        </w:trPr>
        <w:tc>
          <w:tcPr>
            <w:tcW w:w="2110" w:type="dxa"/>
            <w:vMerge w:val="restart"/>
          </w:tcPr>
          <w:p w14:paraId="684977B5" w14:textId="77777777" w:rsidR="009A5B55" w:rsidRPr="00360841" w:rsidRDefault="009A5B55" w:rsidP="002D3EBF">
            <w:pPr>
              <w:pStyle w:val="table-text-0"/>
              <w:spacing w:before="0" w:line="360" w:lineRule="auto"/>
              <w:ind w:firstLine="0"/>
              <w:rPr>
                <w:sz w:val="22"/>
                <w:szCs w:val="22"/>
              </w:rPr>
            </w:pPr>
            <w:r w:rsidRPr="00CA11E8">
              <w:rPr>
                <w:sz w:val="22"/>
                <w:szCs w:val="22"/>
                <w:lang w:val="ru-RU"/>
              </w:rPr>
              <w:t>Острый</w:t>
            </w:r>
            <w:r w:rsidRPr="00360841">
              <w:rPr>
                <w:sz w:val="22"/>
                <w:szCs w:val="22"/>
              </w:rPr>
              <w:t xml:space="preserve"> </w:t>
            </w:r>
            <w:r w:rsidRPr="00CA11E8">
              <w:rPr>
                <w:sz w:val="22"/>
                <w:szCs w:val="22"/>
                <w:lang w:val="ru-RU"/>
              </w:rPr>
              <w:t>гемолиз</w:t>
            </w:r>
            <w:r w:rsidRPr="00360841">
              <w:rPr>
                <w:sz w:val="22"/>
                <w:szCs w:val="22"/>
              </w:rPr>
              <w:t xml:space="preserve"> (AHTR, </w:t>
            </w:r>
            <w:r w:rsidRPr="00CA11E8">
              <w:rPr>
                <w:sz w:val="22"/>
                <w:szCs w:val="22"/>
                <w:lang w:val="ru-RU"/>
              </w:rPr>
              <w:t>от</w:t>
            </w:r>
            <w:r w:rsidRPr="00360841">
              <w:rPr>
                <w:sz w:val="22"/>
                <w:szCs w:val="22"/>
              </w:rPr>
              <w:t xml:space="preserve"> acute hemolytic transfusion reaction)</w:t>
            </w:r>
          </w:p>
        </w:tc>
        <w:tc>
          <w:tcPr>
            <w:tcW w:w="2340" w:type="dxa"/>
          </w:tcPr>
          <w:p w14:paraId="65823B1C"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 xml:space="preserve">Иммунная реакция: наличие у реципиента антител к аллоантигенам эритроцитов донора (ABO, резус-фактор и другая несовместимость) </w:t>
            </w:r>
          </w:p>
        </w:tc>
        <w:tc>
          <w:tcPr>
            <w:tcW w:w="2520" w:type="dxa"/>
            <w:vMerge w:val="restart"/>
          </w:tcPr>
          <w:p w14:paraId="502291A3"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Глюкокортикоиды (преднизолон, 30—60 мг, или дексаметазон, 4—8 мг)</w:t>
            </w:r>
          </w:p>
          <w:p w14:paraId="593A0CB4"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Форсированный диурез (NaCl 0,9%, 2000—3000 мл; фуросемид, 20—40 мг); проводится до купирования клинических проявлений гемолиза</w:t>
            </w:r>
          </w:p>
          <w:p w14:paraId="23064436"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Контроль АД, ЦВД, объема и цвет мочи</w:t>
            </w:r>
          </w:p>
          <w:p w14:paraId="427397E5"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При неэффективности консервативной терапии или анурии —плазмаферез и гемодиализ</w:t>
            </w:r>
          </w:p>
        </w:tc>
        <w:tc>
          <w:tcPr>
            <w:tcW w:w="2284" w:type="dxa"/>
          </w:tcPr>
          <w:p w14:paraId="67970295"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Обязательные: определение в сыворотке свободного гемоглобина, билирубина; анализ мочи на гемоглобинурию, гемосидеринурию</w:t>
            </w:r>
          </w:p>
          <w:p w14:paraId="274AF887"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Дополнительные: прямая проба Кумбса, оценка химеризма эритроцитов в периферической крови реципиента</w:t>
            </w:r>
          </w:p>
        </w:tc>
      </w:tr>
      <w:tr w:rsidR="009A5B55" w:rsidRPr="004C7AAC" w14:paraId="25B73302" w14:textId="77777777" w:rsidTr="002D3EBF">
        <w:trPr>
          <w:jc w:val="center"/>
        </w:trPr>
        <w:tc>
          <w:tcPr>
            <w:tcW w:w="2110" w:type="dxa"/>
            <w:vMerge/>
          </w:tcPr>
          <w:p w14:paraId="19B8306F" w14:textId="77777777" w:rsidR="009A5B55" w:rsidRPr="00CA11E8" w:rsidRDefault="009A5B55" w:rsidP="002D3EBF">
            <w:pPr>
              <w:pStyle w:val="table-text-0"/>
              <w:spacing w:before="0" w:line="360" w:lineRule="auto"/>
              <w:ind w:firstLine="0"/>
              <w:rPr>
                <w:sz w:val="22"/>
                <w:szCs w:val="22"/>
                <w:lang w:val="ru-RU"/>
              </w:rPr>
            </w:pPr>
          </w:p>
        </w:tc>
        <w:tc>
          <w:tcPr>
            <w:tcW w:w="2340" w:type="dxa"/>
          </w:tcPr>
          <w:p w14:paraId="4A26C042"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Неиммунная реакция: разрушение эритроцитов донора вследствие нарушения температурного режима или сроков хранения, несоблюдения правил подготовки к переливанию, смешивания с гипотоническим или гипертоническим растворами</w:t>
            </w:r>
          </w:p>
        </w:tc>
        <w:tc>
          <w:tcPr>
            <w:tcW w:w="2520" w:type="dxa"/>
            <w:vMerge/>
          </w:tcPr>
          <w:p w14:paraId="4BAA7BB8" w14:textId="77777777" w:rsidR="009A5B55" w:rsidRPr="00CA11E8" w:rsidRDefault="009A5B55" w:rsidP="002D3EBF">
            <w:pPr>
              <w:pStyle w:val="table-text-0"/>
              <w:spacing w:before="0" w:line="360" w:lineRule="auto"/>
              <w:ind w:firstLine="0"/>
              <w:rPr>
                <w:sz w:val="22"/>
                <w:szCs w:val="22"/>
                <w:lang w:val="ru-RU"/>
              </w:rPr>
            </w:pPr>
          </w:p>
        </w:tc>
        <w:tc>
          <w:tcPr>
            <w:tcW w:w="2284" w:type="dxa"/>
          </w:tcPr>
          <w:p w14:paraId="66591037"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Обязательные: определение в сыворотке свободного гемоглобина, билирубина; анализ мочи на гемоглобинурию, гемосидеринурию</w:t>
            </w:r>
          </w:p>
          <w:p w14:paraId="01D00E09" w14:textId="77777777" w:rsidR="009A5B55" w:rsidRPr="00CA11E8" w:rsidRDefault="009A5B55" w:rsidP="002D3EBF">
            <w:pPr>
              <w:pStyle w:val="table-text-0"/>
              <w:spacing w:before="0" w:line="360" w:lineRule="auto"/>
              <w:ind w:firstLine="0"/>
              <w:rPr>
                <w:sz w:val="22"/>
                <w:szCs w:val="22"/>
                <w:lang w:val="ru-RU"/>
              </w:rPr>
            </w:pPr>
          </w:p>
        </w:tc>
      </w:tr>
      <w:tr w:rsidR="009A5B55" w:rsidRPr="004C7AAC" w14:paraId="16A1FC1A" w14:textId="77777777" w:rsidTr="002D3EBF">
        <w:trPr>
          <w:jc w:val="center"/>
        </w:trPr>
        <w:tc>
          <w:tcPr>
            <w:tcW w:w="2110" w:type="dxa"/>
          </w:tcPr>
          <w:p w14:paraId="002C8F00" w14:textId="77777777" w:rsidR="009A5B55" w:rsidRPr="00360841" w:rsidRDefault="009A5B55" w:rsidP="002D3EBF">
            <w:pPr>
              <w:pStyle w:val="table-text-0"/>
              <w:spacing w:before="0" w:line="360" w:lineRule="auto"/>
              <w:ind w:firstLine="0"/>
              <w:rPr>
                <w:sz w:val="22"/>
                <w:szCs w:val="22"/>
              </w:rPr>
            </w:pPr>
            <w:r w:rsidRPr="00CA11E8">
              <w:rPr>
                <w:sz w:val="22"/>
                <w:szCs w:val="22"/>
                <w:lang w:val="ru-RU"/>
              </w:rPr>
              <w:t>Отсроченный</w:t>
            </w:r>
            <w:r w:rsidRPr="00360841">
              <w:rPr>
                <w:sz w:val="22"/>
                <w:szCs w:val="22"/>
              </w:rPr>
              <w:t xml:space="preserve"> </w:t>
            </w:r>
            <w:r w:rsidRPr="00CA11E8">
              <w:rPr>
                <w:sz w:val="22"/>
                <w:szCs w:val="22"/>
                <w:lang w:val="ru-RU"/>
              </w:rPr>
              <w:t>гемолиз</w:t>
            </w:r>
            <w:r w:rsidRPr="00360841">
              <w:rPr>
                <w:sz w:val="22"/>
                <w:szCs w:val="22"/>
              </w:rPr>
              <w:t xml:space="preserve"> (DHTR, </w:t>
            </w:r>
            <w:r w:rsidRPr="00CA11E8">
              <w:rPr>
                <w:sz w:val="22"/>
                <w:szCs w:val="22"/>
                <w:lang w:val="ru-RU"/>
              </w:rPr>
              <w:t>от</w:t>
            </w:r>
            <w:r w:rsidRPr="00360841">
              <w:rPr>
                <w:sz w:val="22"/>
                <w:szCs w:val="22"/>
              </w:rPr>
              <w:t xml:space="preserve"> delayed hemolytic transfusion reaction)</w:t>
            </w:r>
          </w:p>
        </w:tc>
        <w:tc>
          <w:tcPr>
            <w:tcW w:w="2340" w:type="dxa"/>
          </w:tcPr>
          <w:p w14:paraId="4876B11E"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Внутриклеточный (тканевый) гемолиз в результате трансфузии несовместимых по аллоантигенам эритроцитов донора</w:t>
            </w:r>
          </w:p>
          <w:p w14:paraId="0C7595A2"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Аллоиммунизация отмечается в период от 24 часов до 28 дней после трансфузии</w:t>
            </w:r>
          </w:p>
        </w:tc>
        <w:tc>
          <w:tcPr>
            <w:tcW w:w="2520" w:type="dxa"/>
          </w:tcPr>
          <w:p w14:paraId="15FA1F87"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 xml:space="preserve"> Глюкокортикоиды (преднизолон, 30—60 мг, или дексаметазон, 4—8 мг)</w:t>
            </w:r>
          </w:p>
          <w:p w14:paraId="37982FF2"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Форсированный диурез (NaCl 0,9%, 2000—3000 мл; фуросемид, 20—40 мг); проводится до купирования клинических проявлений гемолиза</w:t>
            </w:r>
          </w:p>
          <w:p w14:paraId="64742FB4"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Контроль АД, ЦВД, объема и цвет мочи</w:t>
            </w:r>
          </w:p>
          <w:p w14:paraId="5856EF98"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При неэффективности консервативной терапии или анурии —плазмаферез и гемодиализ</w:t>
            </w:r>
          </w:p>
        </w:tc>
        <w:tc>
          <w:tcPr>
            <w:tcW w:w="2284" w:type="dxa"/>
          </w:tcPr>
          <w:p w14:paraId="1A3286F1"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Обязательные: определение в сыворотке свободного гемоглобина, билирубина; анализ мочи на гемоглобинурию, гемосидеринурию; прямая проба Кумбса</w:t>
            </w:r>
          </w:p>
          <w:p w14:paraId="1F6F9489"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Дополнительные: выявление антиэритроцитарных аллоантител с новой специфичностью</w:t>
            </w:r>
          </w:p>
        </w:tc>
      </w:tr>
      <w:tr w:rsidR="009A5B55" w:rsidRPr="004C7AAC" w14:paraId="63D28C42" w14:textId="77777777" w:rsidTr="002D3EBF">
        <w:trPr>
          <w:jc w:val="center"/>
        </w:trPr>
        <w:tc>
          <w:tcPr>
            <w:tcW w:w="2110" w:type="dxa"/>
          </w:tcPr>
          <w:p w14:paraId="5F512AFD"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Отсроченная серологическая трансфузионная реакция (DSTR, от delayed serologic transfusion reaction)</w:t>
            </w:r>
          </w:p>
        </w:tc>
        <w:tc>
          <w:tcPr>
            <w:tcW w:w="2340" w:type="dxa"/>
          </w:tcPr>
          <w:p w14:paraId="47EB18EE"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Непосредственно после трансфузии признаки гемолиза отсутствуют; в срок от 24 ч до 28 дней после трансфузии у реципиента выявляются новые антиэритроцитарные аллоантитела</w:t>
            </w:r>
          </w:p>
        </w:tc>
        <w:tc>
          <w:tcPr>
            <w:tcW w:w="2520" w:type="dxa"/>
          </w:tcPr>
          <w:p w14:paraId="21284751" w14:textId="77777777" w:rsidR="009A5B55" w:rsidRPr="00CA11E8" w:rsidRDefault="009A5B55" w:rsidP="002D3EBF">
            <w:pPr>
              <w:pStyle w:val="table-text-0"/>
              <w:spacing w:before="0" w:line="360" w:lineRule="auto"/>
              <w:ind w:firstLine="0"/>
              <w:rPr>
                <w:sz w:val="22"/>
                <w:szCs w:val="22"/>
                <w:lang w:val="ru-RU"/>
              </w:rPr>
            </w:pPr>
          </w:p>
        </w:tc>
        <w:tc>
          <w:tcPr>
            <w:tcW w:w="2284" w:type="dxa"/>
          </w:tcPr>
          <w:p w14:paraId="2144B4A3"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Обязательные: прямая проба Кумбса</w:t>
            </w:r>
          </w:p>
        </w:tc>
      </w:tr>
      <w:tr w:rsidR="009A5B55" w:rsidRPr="004C7AAC" w14:paraId="70DBA336" w14:textId="77777777" w:rsidTr="002D3EBF">
        <w:trPr>
          <w:jc w:val="center"/>
        </w:trPr>
        <w:tc>
          <w:tcPr>
            <w:tcW w:w="2110" w:type="dxa"/>
          </w:tcPr>
          <w:p w14:paraId="1F5B9EEA"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Посттрансфузионная реакция «трансплантат против хозяина» (TA-GVHD, от transfusion-associated graft-versus-host-disease)</w:t>
            </w:r>
          </w:p>
        </w:tc>
        <w:tc>
          <w:tcPr>
            <w:tcW w:w="2340" w:type="dxa"/>
          </w:tcPr>
          <w:p w14:paraId="18EC2FCE"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Введение иммунокомпетентных клеток донора (</w:t>
            </w:r>
            <w:r w:rsidRPr="00CA11E8">
              <w:rPr>
                <w:sz w:val="22"/>
                <w:szCs w:val="22"/>
              </w:rPr>
              <w:t>T</w:t>
            </w:r>
            <w:r w:rsidRPr="00CA11E8">
              <w:rPr>
                <w:sz w:val="22"/>
                <w:szCs w:val="22"/>
                <w:lang w:val="ru-RU"/>
              </w:rPr>
              <w:t xml:space="preserve">-лимфоцитов) иммунокомпрометированному реципиенту приводит к их пролиферации и дифференцировке в организме реципиента, что вызывает повреждение клеток реципиента, экспрессирующих HLA-антигены </w:t>
            </w:r>
            <w:r w:rsidRPr="00CA11E8">
              <w:rPr>
                <w:sz w:val="22"/>
                <w:szCs w:val="22"/>
              </w:rPr>
              <w:t>I</w:t>
            </w:r>
            <w:r w:rsidRPr="00CA11E8">
              <w:rPr>
                <w:sz w:val="22"/>
                <w:szCs w:val="22"/>
                <w:lang w:val="ru-RU"/>
              </w:rPr>
              <w:t xml:space="preserve"> и </w:t>
            </w:r>
            <w:r w:rsidRPr="00CA11E8">
              <w:rPr>
                <w:sz w:val="22"/>
                <w:szCs w:val="22"/>
              </w:rPr>
              <w:t>II</w:t>
            </w:r>
            <w:r w:rsidRPr="00CA11E8">
              <w:rPr>
                <w:sz w:val="22"/>
                <w:szCs w:val="22"/>
                <w:lang w:val="ru-RU"/>
              </w:rPr>
              <w:t> классов (кожа, ЖКТ, печень, селезенка, костный мозг)</w:t>
            </w:r>
          </w:p>
          <w:p w14:paraId="37F2BF8A"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Характерны кожная эритема, диарея, поражение печени с гепатомегалией</w:t>
            </w:r>
          </w:p>
          <w:p w14:paraId="76AAD278"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Синдром может развиваться в сроки от 2 дней до 6 недель после трансфузии</w:t>
            </w:r>
          </w:p>
        </w:tc>
        <w:tc>
          <w:tcPr>
            <w:tcW w:w="2520" w:type="dxa"/>
          </w:tcPr>
          <w:p w14:paraId="12592E6C"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Глюкокортикоиды</w:t>
            </w:r>
          </w:p>
        </w:tc>
        <w:tc>
          <w:tcPr>
            <w:tcW w:w="2284" w:type="dxa"/>
          </w:tcPr>
          <w:p w14:paraId="02569D36"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Обязательные: общий и биохимический (активность АЛТ, АСТ, ЩФ, уровень билирубина) анализ крови, коагулограмма (уровень фибриногена), биопсия кожи с гистологическим исследованием (при наличии кожной эритемы)</w:t>
            </w:r>
          </w:p>
          <w:p w14:paraId="4FD9C807"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Дополнительные: исследование химеризма лейкоцитов; УЗИ брюшной полости</w:t>
            </w:r>
          </w:p>
        </w:tc>
      </w:tr>
      <w:tr w:rsidR="009A5B55" w:rsidRPr="004C7AAC" w14:paraId="04362230" w14:textId="77777777" w:rsidTr="002D3EBF">
        <w:trPr>
          <w:jc w:val="center"/>
        </w:trPr>
        <w:tc>
          <w:tcPr>
            <w:tcW w:w="2110" w:type="dxa"/>
          </w:tcPr>
          <w:p w14:paraId="35114A53"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Пострансфузионная пурпура (PTP, от post-transfusion purpura)</w:t>
            </w:r>
          </w:p>
        </w:tc>
        <w:tc>
          <w:tcPr>
            <w:tcW w:w="2340" w:type="dxa"/>
          </w:tcPr>
          <w:p w14:paraId="735D27CB"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Образование антител к тромбоцитам или лейкоцитам (анти-HLA, анти-HPA) через 5—12 дней после трансфузии, проявляющееся выраженной тромбоцитопенией и геморрагическим синдромом</w:t>
            </w:r>
          </w:p>
        </w:tc>
        <w:tc>
          <w:tcPr>
            <w:tcW w:w="2520" w:type="dxa"/>
          </w:tcPr>
          <w:p w14:paraId="57CC8830"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 xml:space="preserve">Глюкокортикоиды </w:t>
            </w:r>
          </w:p>
        </w:tc>
        <w:tc>
          <w:tcPr>
            <w:tcW w:w="2284" w:type="dxa"/>
          </w:tcPr>
          <w:p w14:paraId="5C917393"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Обязательные: общий анализ крови, выявление антилейкоцитарных аллоантител (анти-HLA) в сыворотке</w:t>
            </w:r>
          </w:p>
          <w:p w14:paraId="530BBBF2"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Дополнительные: выявление антитромбоцитарных антител (анти-HPA) в сыворотке</w:t>
            </w:r>
          </w:p>
        </w:tc>
      </w:tr>
      <w:tr w:rsidR="009A5B55" w:rsidRPr="004C7AAC" w14:paraId="03303EED" w14:textId="77777777" w:rsidTr="002D3EBF">
        <w:trPr>
          <w:jc w:val="center"/>
        </w:trPr>
        <w:tc>
          <w:tcPr>
            <w:tcW w:w="2110" w:type="dxa"/>
            <w:vMerge w:val="restart"/>
          </w:tcPr>
          <w:p w14:paraId="2BCA34CD"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Другие</w:t>
            </w:r>
          </w:p>
        </w:tc>
        <w:tc>
          <w:tcPr>
            <w:tcW w:w="2340" w:type="dxa"/>
          </w:tcPr>
          <w:p w14:paraId="07585A24"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Септический шок при переливании инфицированного компонента крови</w:t>
            </w:r>
          </w:p>
        </w:tc>
        <w:tc>
          <w:tcPr>
            <w:tcW w:w="2520" w:type="dxa"/>
          </w:tcPr>
          <w:p w14:paraId="6386DD5C"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Антибактериальная терапия широкого спектра действия, противошоковая терапия</w:t>
            </w:r>
          </w:p>
        </w:tc>
        <w:tc>
          <w:tcPr>
            <w:tcW w:w="2284" w:type="dxa"/>
          </w:tcPr>
          <w:p w14:paraId="47E6FACC"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Обязательные: бактериологическое исследование крови</w:t>
            </w:r>
          </w:p>
        </w:tc>
      </w:tr>
      <w:tr w:rsidR="009A5B55" w:rsidRPr="004C7AAC" w14:paraId="66968F13" w14:textId="77777777" w:rsidTr="002D3EBF">
        <w:trPr>
          <w:jc w:val="center"/>
        </w:trPr>
        <w:tc>
          <w:tcPr>
            <w:tcW w:w="2110" w:type="dxa"/>
            <w:vMerge/>
          </w:tcPr>
          <w:p w14:paraId="6CEAC344" w14:textId="77777777" w:rsidR="009A5B55" w:rsidRPr="00CA11E8" w:rsidRDefault="009A5B55" w:rsidP="002D3EBF">
            <w:pPr>
              <w:pStyle w:val="table-text-0"/>
              <w:spacing w:before="0" w:line="360" w:lineRule="auto"/>
              <w:ind w:firstLine="0"/>
              <w:rPr>
                <w:sz w:val="22"/>
                <w:szCs w:val="22"/>
                <w:lang w:val="ru-RU"/>
              </w:rPr>
            </w:pPr>
          </w:p>
        </w:tc>
        <w:tc>
          <w:tcPr>
            <w:tcW w:w="2340" w:type="dxa"/>
          </w:tcPr>
          <w:p w14:paraId="0551F840"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Перегрузка железом (гемосидероз) органов в результате множественных переливаний эритроцитов</w:t>
            </w:r>
          </w:p>
        </w:tc>
        <w:tc>
          <w:tcPr>
            <w:tcW w:w="2520" w:type="dxa"/>
          </w:tcPr>
          <w:p w14:paraId="34AD7310"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Комплексообразующие средства (деферазирокс, 15—20 мг/кг или другой препарат с аналогичным действием)</w:t>
            </w:r>
          </w:p>
        </w:tc>
        <w:tc>
          <w:tcPr>
            <w:tcW w:w="2284" w:type="dxa"/>
          </w:tcPr>
          <w:p w14:paraId="7D23EF0C"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Обязательные: определение уровня ферритина в сыворотке (не должен превышать 1000 мкг/л)</w:t>
            </w:r>
          </w:p>
        </w:tc>
      </w:tr>
    </w:tbl>
    <w:p w14:paraId="38FBC583" w14:textId="77777777" w:rsidR="009A5B55" w:rsidRPr="008E43BE" w:rsidRDefault="009A5B55" w:rsidP="009A5B55">
      <w:pPr>
        <w:rPr>
          <w:sz w:val="20"/>
          <w:szCs w:val="20"/>
        </w:rPr>
      </w:pPr>
      <w:r w:rsidRPr="008E43BE">
        <w:rPr>
          <w:sz w:val="20"/>
          <w:szCs w:val="20"/>
        </w:rPr>
        <w:t>* Контейнер с компонентом крови, при трансфузии которого возникла реакция или осложнение, передается в установленном порядке для оценки параметров качества и безопасности.</w:t>
      </w:r>
    </w:p>
    <w:p w14:paraId="2DD504DD" w14:textId="77777777" w:rsidR="009A5B55" w:rsidRDefault="009A5B55" w:rsidP="009A5B55">
      <w:pPr>
        <w:ind w:firstLine="708"/>
        <w:rPr>
          <w:szCs w:val="24"/>
        </w:rPr>
      </w:pPr>
    </w:p>
    <w:p w14:paraId="602856B1" w14:textId="77777777" w:rsidR="009A5B55" w:rsidRDefault="009A5B55" w:rsidP="009A5B55">
      <w:pPr>
        <w:ind w:firstLine="708"/>
        <w:rPr>
          <w:szCs w:val="24"/>
        </w:rPr>
      </w:pPr>
      <w:r w:rsidRPr="002D194B">
        <w:rPr>
          <w:szCs w:val="24"/>
        </w:rPr>
        <w:t>Степень тяжести посттрансфузионных реакции и осложнений можно определить по шкале</w:t>
      </w:r>
      <w:r>
        <w:rPr>
          <w:szCs w:val="24"/>
        </w:rPr>
        <w:t>,</w:t>
      </w:r>
      <w:r w:rsidRPr="002D194B">
        <w:rPr>
          <w:szCs w:val="24"/>
        </w:rPr>
        <w:t xml:space="preserve"> приведенной в табл</w:t>
      </w:r>
      <w:r>
        <w:rPr>
          <w:szCs w:val="24"/>
        </w:rPr>
        <w:t>. </w:t>
      </w:r>
      <w:r w:rsidRPr="002D194B">
        <w:rPr>
          <w:szCs w:val="24"/>
        </w:rPr>
        <w:t>4.</w:t>
      </w:r>
    </w:p>
    <w:p w14:paraId="0692BE4A" w14:textId="77777777" w:rsidR="009A5B55" w:rsidRDefault="009A5B55" w:rsidP="009A5B55">
      <w:pPr>
        <w:rPr>
          <w:bCs/>
          <w:szCs w:val="24"/>
        </w:rPr>
      </w:pPr>
    </w:p>
    <w:p w14:paraId="469AC545" w14:textId="77777777" w:rsidR="009A5B55" w:rsidRPr="008E43BE" w:rsidRDefault="009A5B55" w:rsidP="009A5B55">
      <w:pPr>
        <w:rPr>
          <w:szCs w:val="24"/>
        </w:rPr>
      </w:pPr>
      <w:r w:rsidRPr="008E43BE">
        <w:rPr>
          <w:bCs/>
          <w:szCs w:val="24"/>
        </w:rPr>
        <w:t>Таблица 4. Шкала степени тяжести реакции или осложнения</w:t>
      </w: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0"/>
        <w:gridCol w:w="7380"/>
      </w:tblGrid>
      <w:tr w:rsidR="009A5B55" w:rsidRPr="004C7AAC" w14:paraId="4DB0CF63" w14:textId="77777777" w:rsidTr="002D3EBF">
        <w:tc>
          <w:tcPr>
            <w:tcW w:w="1800" w:type="dxa"/>
          </w:tcPr>
          <w:p w14:paraId="3A8EBE3C" w14:textId="77777777" w:rsidR="009A5B55" w:rsidRPr="002F2E09" w:rsidRDefault="009A5B55" w:rsidP="002D3EBF">
            <w:pPr>
              <w:pStyle w:val="Table-head-italic"/>
              <w:spacing w:line="360" w:lineRule="auto"/>
              <w:rPr>
                <w:i w:val="0"/>
                <w:sz w:val="22"/>
                <w:szCs w:val="22"/>
                <w:lang w:val="ru-RU"/>
              </w:rPr>
            </w:pPr>
            <w:r w:rsidRPr="002F2E09">
              <w:rPr>
                <w:i w:val="0"/>
                <w:sz w:val="22"/>
                <w:szCs w:val="22"/>
                <w:lang w:val="ru-RU"/>
              </w:rPr>
              <w:t>Категори</w:t>
            </w:r>
            <w:r>
              <w:rPr>
                <w:i w:val="0"/>
                <w:sz w:val="22"/>
                <w:szCs w:val="22"/>
                <w:lang w:val="ru-RU"/>
              </w:rPr>
              <w:t>я</w:t>
            </w:r>
          </w:p>
        </w:tc>
        <w:tc>
          <w:tcPr>
            <w:tcW w:w="7380" w:type="dxa"/>
          </w:tcPr>
          <w:p w14:paraId="1124D94B" w14:textId="77777777" w:rsidR="009A5B55" w:rsidRPr="002F2E09" w:rsidRDefault="009A5B55" w:rsidP="002D3EBF">
            <w:pPr>
              <w:pStyle w:val="Table-head-italic"/>
              <w:spacing w:line="360" w:lineRule="auto"/>
              <w:rPr>
                <w:i w:val="0"/>
                <w:sz w:val="22"/>
                <w:szCs w:val="22"/>
                <w:lang w:val="ru-RU"/>
              </w:rPr>
            </w:pPr>
            <w:r>
              <w:rPr>
                <w:i w:val="0"/>
                <w:sz w:val="22"/>
                <w:szCs w:val="22"/>
                <w:lang w:val="ru-RU"/>
              </w:rPr>
              <w:t>Определение</w:t>
            </w:r>
          </w:p>
        </w:tc>
      </w:tr>
      <w:tr w:rsidR="009A5B55" w:rsidRPr="004C7AAC" w14:paraId="42090A5F" w14:textId="77777777" w:rsidTr="002D3EBF">
        <w:tc>
          <w:tcPr>
            <w:tcW w:w="1800" w:type="dxa"/>
          </w:tcPr>
          <w:p w14:paraId="1310EB33" w14:textId="77777777" w:rsidR="009A5B55" w:rsidRPr="002F2E09" w:rsidRDefault="009A5B55" w:rsidP="002D3EBF">
            <w:pPr>
              <w:pStyle w:val="table-text-0"/>
              <w:spacing w:before="0" w:line="360" w:lineRule="auto"/>
              <w:ind w:firstLine="0"/>
              <w:rPr>
                <w:sz w:val="22"/>
                <w:szCs w:val="22"/>
                <w:lang w:val="ru-RU"/>
              </w:rPr>
            </w:pPr>
            <w:r w:rsidRPr="002F2E09">
              <w:rPr>
                <w:sz w:val="22"/>
                <w:szCs w:val="22"/>
                <w:lang w:val="ru-RU"/>
              </w:rPr>
              <w:t>0</w:t>
            </w:r>
          </w:p>
        </w:tc>
        <w:tc>
          <w:tcPr>
            <w:tcW w:w="7380" w:type="dxa"/>
          </w:tcPr>
          <w:p w14:paraId="0B1BBC07" w14:textId="77777777" w:rsidR="009A5B55" w:rsidRPr="002F2E09" w:rsidRDefault="009A5B55" w:rsidP="002D3EBF">
            <w:pPr>
              <w:pStyle w:val="table-text-0"/>
              <w:spacing w:before="0" w:line="360" w:lineRule="auto"/>
              <w:ind w:firstLine="0"/>
              <w:rPr>
                <w:sz w:val="22"/>
                <w:szCs w:val="22"/>
                <w:lang w:val="ru-RU"/>
              </w:rPr>
            </w:pPr>
            <w:r w:rsidRPr="002F2E09">
              <w:rPr>
                <w:sz w:val="22"/>
                <w:szCs w:val="22"/>
                <w:lang w:val="ru-RU"/>
              </w:rPr>
              <w:t>Реакци</w:t>
            </w:r>
            <w:r>
              <w:rPr>
                <w:sz w:val="22"/>
                <w:szCs w:val="22"/>
                <w:lang w:val="ru-RU"/>
              </w:rPr>
              <w:t>и</w:t>
            </w:r>
            <w:r w:rsidRPr="002F2E09">
              <w:rPr>
                <w:sz w:val="22"/>
                <w:szCs w:val="22"/>
                <w:lang w:val="ru-RU"/>
              </w:rPr>
              <w:t xml:space="preserve"> и осложнений нет</w:t>
            </w:r>
          </w:p>
        </w:tc>
      </w:tr>
      <w:tr w:rsidR="009A5B55" w:rsidRPr="004C7AAC" w14:paraId="0D4E7B51" w14:textId="77777777" w:rsidTr="002D3EBF">
        <w:tc>
          <w:tcPr>
            <w:tcW w:w="1800" w:type="dxa"/>
          </w:tcPr>
          <w:p w14:paraId="6FDFB055" w14:textId="77777777" w:rsidR="009A5B55" w:rsidRPr="002F2E09" w:rsidRDefault="009A5B55" w:rsidP="002D3EBF">
            <w:pPr>
              <w:pStyle w:val="table-text-0"/>
              <w:spacing w:before="0" w:line="360" w:lineRule="auto"/>
              <w:ind w:firstLine="0"/>
              <w:rPr>
                <w:sz w:val="22"/>
                <w:szCs w:val="22"/>
                <w:lang w:val="ru-RU"/>
              </w:rPr>
            </w:pPr>
            <w:r w:rsidRPr="002F2E09">
              <w:rPr>
                <w:sz w:val="22"/>
                <w:szCs w:val="22"/>
                <w:lang w:val="ru-RU"/>
              </w:rPr>
              <w:t>1</w:t>
            </w:r>
          </w:p>
        </w:tc>
        <w:tc>
          <w:tcPr>
            <w:tcW w:w="7380" w:type="dxa"/>
          </w:tcPr>
          <w:p w14:paraId="737C9434" w14:textId="77777777" w:rsidR="009A5B55" w:rsidRPr="002F2E09" w:rsidRDefault="009A5B55" w:rsidP="002D3EBF">
            <w:pPr>
              <w:pStyle w:val="table-text-0"/>
              <w:spacing w:before="0" w:line="360" w:lineRule="auto"/>
              <w:ind w:firstLine="0"/>
              <w:rPr>
                <w:sz w:val="22"/>
                <w:szCs w:val="22"/>
                <w:lang w:val="ru-RU"/>
              </w:rPr>
            </w:pPr>
            <w:r w:rsidRPr="002F2E09">
              <w:rPr>
                <w:sz w:val="22"/>
                <w:szCs w:val="22"/>
                <w:lang w:val="ru-RU"/>
              </w:rPr>
              <w:t>Легкой степени: температура &lt;</w:t>
            </w:r>
            <w:r>
              <w:rPr>
                <w:sz w:val="22"/>
                <w:szCs w:val="22"/>
                <w:lang w:val="ru-RU"/>
              </w:rPr>
              <w:t> </w:t>
            </w:r>
            <w:r w:rsidRPr="002F2E09">
              <w:rPr>
                <w:sz w:val="22"/>
                <w:szCs w:val="22"/>
                <w:lang w:val="ru-RU"/>
              </w:rPr>
              <w:t>38</w:t>
            </w:r>
            <w:r w:rsidRPr="003511FE">
              <w:rPr>
                <w:rFonts w:ascii="Symbol" w:hAnsi="Symbol" w:cs="Symbol"/>
              </w:rPr>
              <w:t></w:t>
            </w:r>
            <w:r>
              <w:rPr>
                <w:sz w:val="22"/>
                <w:szCs w:val="22"/>
              </w:rPr>
              <w:t>C</w:t>
            </w:r>
            <w:r w:rsidRPr="002F2E09">
              <w:rPr>
                <w:sz w:val="22"/>
                <w:szCs w:val="22"/>
                <w:lang w:val="ru-RU"/>
              </w:rPr>
              <w:t xml:space="preserve">, другие незначительные симптомы, без долгосрочных </w:t>
            </w:r>
            <w:r>
              <w:rPr>
                <w:sz w:val="22"/>
                <w:szCs w:val="22"/>
                <w:lang w:val="ru-RU"/>
              </w:rPr>
              <w:t xml:space="preserve">патологических </w:t>
            </w:r>
            <w:r w:rsidRPr="002F2E09">
              <w:rPr>
                <w:sz w:val="22"/>
                <w:szCs w:val="22"/>
                <w:lang w:val="ru-RU"/>
              </w:rPr>
              <w:t xml:space="preserve">последствий. </w:t>
            </w:r>
            <w:r w:rsidRPr="002F2E09">
              <w:rPr>
                <w:sz w:val="22"/>
                <w:szCs w:val="22"/>
                <w:u w:val="single"/>
                <w:lang w:val="ru-RU"/>
              </w:rPr>
              <w:t>Не требует</w:t>
            </w:r>
            <w:r>
              <w:rPr>
                <w:sz w:val="22"/>
                <w:szCs w:val="22"/>
                <w:u w:val="single"/>
                <w:lang w:val="ru-RU"/>
              </w:rPr>
              <w:t xml:space="preserve"> </w:t>
            </w:r>
            <w:r w:rsidRPr="002F2E09">
              <w:rPr>
                <w:sz w:val="22"/>
                <w:szCs w:val="22"/>
                <w:u w:val="single"/>
                <w:lang w:val="ru-RU"/>
              </w:rPr>
              <w:t>терапевтического вмешательства</w:t>
            </w:r>
          </w:p>
        </w:tc>
      </w:tr>
      <w:tr w:rsidR="009A5B55" w:rsidRPr="004C7AAC" w14:paraId="10DC7B6F" w14:textId="77777777" w:rsidTr="002D3EBF">
        <w:tc>
          <w:tcPr>
            <w:tcW w:w="1800" w:type="dxa"/>
          </w:tcPr>
          <w:p w14:paraId="16DD7F9C" w14:textId="77777777" w:rsidR="009A5B55" w:rsidRPr="002F2E09" w:rsidRDefault="009A5B55" w:rsidP="002D3EBF">
            <w:pPr>
              <w:pStyle w:val="table-text-0"/>
              <w:spacing w:before="0" w:line="360" w:lineRule="auto"/>
              <w:ind w:firstLine="0"/>
              <w:rPr>
                <w:sz w:val="22"/>
                <w:szCs w:val="22"/>
                <w:lang w:val="ru-RU"/>
              </w:rPr>
            </w:pPr>
            <w:r w:rsidRPr="002F2E09">
              <w:rPr>
                <w:sz w:val="22"/>
                <w:szCs w:val="22"/>
                <w:lang w:val="ru-RU"/>
              </w:rPr>
              <w:t>2</w:t>
            </w:r>
          </w:p>
        </w:tc>
        <w:tc>
          <w:tcPr>
            <w:tcW w:w="7380" w:type="dxa"/>
          </w:tcPr>
          <w:p w14:paraId="4A754B74" w14:textId="77777777" w:rsidR="009A5B55" w:rsidRPr="002F2E09" w:rsidRDefault="009A5B55" w:rsidP="002D3EBF">
            <w:pPr>
              <w:pStyle w:val="table-text-0"/>
              <w:spacing w:before="0" w:line="360" w:lineRule="auto"/>
              <w:ind w:firstLine="0"/>
              <w:rPr>
                <w:sz w:val="22"/>
                <w:szCs w:val="22"/>
                <w:lang w:val="ru-RU"/>
              </w:rPr>
            </w:pPr>
            <w:r w:rsidRPr="002F2E09">
              <w:rPr>
                <w:sz w:val="22"/>
                <w:szCs w:val="22"/>
                <w:lang w:val="ru-RU"/>
              </w:rPr>
              <w:t>Средней степени: симптомы, требующие терапевтического вмешательства, стабильные гемодинамические и вентиляционные показатели, возможны долгосрочные последствия (например</w:t>
            </w:r>
            <w:r>
              <w:rPr>
                <w:sz w:val="22"/>
                <w:szCs w:val="22"/>
                <w:lang w:val="ru-RU"/>
              </w:rPr>
              <w:t>,</w:t>
            </w:r>
            <w:r w:rsidRPr="002F2E09">
              <w:rPr>
                <w:sz w:val="22"/>
                <w:szCs w:val="22"/>
                <w:lang w:val="ru-RU"/>
              </w:rPr>
              <w:t xml:space="preserve"> аллосенсибилизация в качестве причины рефрактерности к трансфузиям)</w:t>
            </w:r>
          </w:p>
        </w:tc>
      </w:tr>
      <w:tr w:rsidR="009A5B55" w:rsidRPr="004C7AAC" w14:paraId="1F3A9BCC" w14:textId="77777777" w:rsidTr="002D3EBF">
        <w:tc>
          <w:tcPr>
            <w:tcW w:w="1800" w:type="dxa"/>
          </w:tcPr>
          <w:p w14:paraId="75780014" w14:textId="77777777" w:rsidR="009A5B55" w:rsidRPr="002F2E09" w:rsidRDefault="009A5B55" w:rsidP="002D3EBF">
            <w:pPr>
              <w:pStyle w:val="table-text-0"/>
              <w:spacing w:before="0" w:line="360" w:lineRule="auto"/>
              <w:ind w:firstLine="0"/>
              <w:rPr>
                <w:sz w:val="22"/>
                <w:szCs w:val="22"/>
                <w:lang w:val="ru-RU"/>
              </w:rPr>
            </w:pPr>
            <w:r w:rsidRPr="002F2E09">
              <w:rPr>
                <w:sz w:val="22"/>
                <w:szCs w:val="22"/>
                <w:lang w:val="ru-RU"/>
              </w:rPr>
              <w:t>3</w:t>
            </w:r>
          </w:p>
        </w:tc>
        <w:tc>
          <w:tcPr>
            <w:tcW w:w="7380" w:type="dxa"/>
          </w:tcPr>
          <w:p w14:paraId="17A7E64B" w14:textId="77777777" w:rsidR="009A5B55" w:rsidRPr="002F2E09" w:rsidRDefault="009A5B55" w:rsidP="002D3EBF">
            <w:pPr>
              <w:pStyle w:val="table-text-0"/>
              <w:spacing w:before="0" w:line="360" w:lineRule="auto"/>
              <w:ind w:firstLine="0"/>
              <w:rPr>
                <w:sz w:val="22"/>
                <w:szCs w:val="22"/>
                <w:lang w:val="ru-RU"/>
              </w:rPr>
            </w:pPr>
            <w:r w:rsidRPr="002F2E09">
              <w:rPr>
                <w:sz w:val="22"/>
                <w:szCs w:val="22"/>
                <w:lang w:val="ru-RU"/>
              </w:rPr>
              <w:t>Тяжелой степени (непосредственная угроза жизни реципиента): нестабильные гемодинамичес</w:t>
            </w:r>
            <w:r>
              <w:rPr>
                <w:sz w:val="22"/>
                <w:szCs w:val="22"/>
                <w:lang w:val="ru-RU"/>
              </w:rPr>
              <w:t>кие и вентиляционные показатели</w:t>
            </w:r>
          </w:p>
        </w:tc>
      </w:tr>
      <w:tr w:rsidR="009A5B55" w:rsidRPr="00CA11E8" w14:paraId="4376CBE3" w14:textId="77777777" w:rsidTr="002D3EBF">
        <w:tc>
          <w:tcPr>
            <w:tcW w:w="1800" w:type="dxa"/>
          </w:tcPr>
          <w:p w14:paraId="26779EB4"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4</w:t>
            </w:r>
          </w:p>
        </w:tc>
        <w:tc>
          <w:tcPr>
            <w:tcW w:w="7380" w:type="dxa"/>
          </w:tcPr>
          <w:p w14:paraId="56101EB4" w14:textId="77777777" w:rsidR="009A5B55" w:rsidRPr="00CA11E8" w:rsidRDefault="009A5B55" w:rsidP="002D3EBF">
            <w:pPr>
              <w:pStyle w:val="table-text-0"/>
              <w:spacing w:before="0" w:line="360" w:lineRule="auto"/>
              <w:ind w:firstLine="0"/>
              <w:rPr>
                <w:sz w:val="22"/>
                <w:szCs w:val="22"/>
                <w:lang w:val="ru-RU"/>
              </w:rPr>
            </w:pPr>
            <w:r w:rsidRPr="00CA11E8">
              <w:rPr>
                <w:sz w:val="22"/>
                <w:szCs w:val="22"/>
                <w:lang w:val="ru-RU"/>
              </w:rPr>
              <w:t>Смерть от осложнения, выявленного в первые 24 часов после трансфузии</w:t>
            </w:r>
          </w:p>
        </w:tc>
      </w:tr>
    </w:tbl>
    <w:p w14:paraId="3F789DE7" w14:textId="77777777" w:rsidR="009A5B55" w:rsidRDefault="009A5B55" w:rsidP="009A5B55">
      <w:pPr>
        <w:jc w:val="center"/>
        <w:rPr>
          <w:b/>
          <w:bCs/>
          <w:szCs w:val="24"/>
        </w:rPr>
      </w:pPr>
    </w:p>
    <w:p w14:paraId="114E89FA" w14:textId="77777777" w:rsidR="009A5B55" w:rsidRPr="00360841" w:rsidRDefault="009A5B55" w:rsidP="009A5B55">
      <w:pPr>
        <w:rPr>
          <w:bCs/>
          <w:i/>
          <w:szCs w:val="24"/>
          <w:u w:val="single"/>
        </w:rPr>
      </w:pPr>
      <w:r w:rsidRPr="00360841">
        <w:rPr>
          <w:bCs/>
          <w:i/>
          <w:szCs w:val="24"/>
          <w:u w:val="single"/>
        </w:rPr>
        <w:t>Премедикация перед проведением трансфузии компонентов донорской крови</w:t>
      </w:r>
    </w:p>
    <w:p w14:paraId="0D0FF43F" w14:textId="77777777" w:rsidR="009A5B55" w:rsidRDefault="009A5B55" w:rsidP="009A5B55">
      <w:pPr>
        <w:rPr>
          <w:bCs/>
          <w:szCs w:val="24"/>
        </w:rPr>
      </w:pPr>
      <w:r>
        <w:rPr>
          <w:bCs/>
          <w:szCs w:val="24"/>
        </w:rPr>
        <w:t xml:space="preserve">Для профилактики нежелательных реакций на трансфузию при неоднократном проведении трансфузий компонентов крови может потребоваться премедикация. </w:t>
      </w:r>
      <w:r w:rsidRPr="00BC3659">
        <w:rPr>
          <w:bCs/>
          <w:szCs w:val="24"/>
        </w:rPr>
        <w:t>Алгоритм выбора премедикации перед проведением трансфузии компонентов донорской крови</w:t>
      </w:r>
      <w:r>
        <w:rPr>
          <w:bCs/>
          <w:szCs w:val="24"/>
        </w:rPr>
        <w:t xml:space="preserve"> приведен в табл.5.</w:t>
      </w:r>
    </w:p>
    <w:p w14:paraId="3819BFBF" w14:textId="77777777" w:rsidR="009A5B55" w:rsidRDefault="009A5B55" w:rsidP="009A5B55">
      <w:pPr>
        <w:rPr>
          <w:bCs/>
          <w:szCs w:val="24"/>
        </w:rPr>
      </w:pPr>
    </w:p>
    <w:p w14:paraId="4EDDD854" w14:textId="77777777" w:rsidR="009A5B55" w:rsidRPr="00BC3659" w:rsidRDefault="009A5B55" w:rsidP="009A5B55">
      <w:pPr>
        <w:rPr>
          <w:bCs/>
          <w:szCs w:val="24"/>
        </w:rPr>
      </w:pPr>
      <w:r>
        <w:rPr>
          <w:bCs/>
          <w:szCs w:val="24"/>
        </w:rPr>
        <w:t>Таблица 5. В</w:t>
      </w:r>
      <w:r w:rsidRPr="00BC3659">
        <w:rPr>
          <w:bCs/>
          <w:szCs w:val="24"/>
        </w:rPr>
        <w:t>ыбор премедикации перед проведением трансфузии компонентов донорской крови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2526"/>
        <w:gridCol w:w="4480"/>
      </w:tblGrid>
      <w:tr w:rsidR="009A5B55" w:rsidRPr="00915AAD" w14:paraId="02A4B0DE" w14:textId="77777777" w:rsidTr="002D3EBF">
        <w:tc>
          <w:tcPr>
            <w:tcW w:w="3208" w:type="dxa"/>
            <w:shd w:val="clear" w:color="auto" w:fill="auto"/>
          </w:tcPr>
          <w:p w14:paraId="2FC0F578" w14:textId="77777777" w:rsidR="009A5B55" w:rsidRPr="007A2B03" w:rsidRDefault="009A5B55" w:rsidP="009A5B55">
            <w:pPr>
              <w:spacing w:line="240" w:lineRule="auto"/>
              <w:ind w:firstLine="0"/>
              <w:jc w:val="center"/>
              <w:rPr>
                <w:bCs/>
              </w:rPr>
            </w:pPr>
            <w:r w:rsidRPr="007A2B03">
              <w:rPr>
                <w:bCs/>
              </w:rPr>
              <w:t>Вид реакции или осложнения, связанный с переливанием донорской крови и/или её компонентов, зафиксированных при предыдущих трансфузиях</w:t>
            </w:r>
          </w:p>
        </w:tc>
        <w:tc>
          <w:tcPr>
            <w:tcW w:w="3082" w:type="dxa"/>
            <w:shd w:val="clear" w:color="auto" w:fill="auto"/>
          </w:tcPr>
          <w:p w14:paraId="1895C61A" w14:textId="77777777" w:rsidR="009A5B55" w:rsidRPr="007A2B03" w:rsidRDefault="009A5B55" w:rsidP="009A5B55">
            <w:pPr>
              <w:spacing w:line="240" w:lineRule="auto"/>
              <w:ind w:firstLine="0"/>
              <w:jc w:val="center"/>
              <w:rPr>
                <w:bCs/>
              </w:rPr>
            </w:pPr>
            <w:r w:rsidRPr="007A2B03">
              <w:rPr>
                <w:bCs/>
              </w:rPr>
              <w:t>Наименование компонента донорской крови, показанного для предстоящей трансфузии</w:t>
            </w:r>
          </w:p>
        </w:tc>
        <w:tc>
          <w:tcPr>
            <w:tcW w:w="8270" w:type="dxa"/>
            <w:shd w:val="clear" w:color="auto" w:fill="auto"/>
          </w:tcPr>
          <w:p w14:paraId="44DD8E30" w14:textId="77777777" w:rsidR="009A5B55" w:rsidRPr="007A2B03" w:rsidRDefault="009A5B55" w:rsidP="009A5B55">
            <w:pPr>
              <w:spacing w:line="240" w:lineRule="auto"/>
              <w:ind w:firstLine="0"/>
              <w:jc w:val="center"/>
              <w:rPr>
                <w:bCs/>
              </w:rPr>
            </w:pPr>
            <w:r w:rsidRPr="007A2B03">
              <w:rPr>
                <w:bCs/>
              </w:rPr>
              <w:t>Премедикация перед предстоящей трансфузией</w:t>
            </w:r>
          </w:p>
        </w:tc>
      </w:tr>
      <w:tr w:rsidR="009A5B55" w:rsidRPr="00915AAD" w14:paraId="4457A1E1" w14:textId="77777777" w:rsidTr="002D3EBF">
        <w:tc>
          <w:tcPr>
            <w:tcW w:w="14560" w:type="dxa"/>
            <w:gridSpan w:val="3"/>
            <w:shd w:val="clear" w:color="auto" w:fill="auto"/>
          </w:tcPr>
          <w:p w14:paraId="0321D792" w14:textId="77777777" w:rsidR="009A5B55" w:rsidRPr="007A2B03" w:rsidRDefault="009A5B55" w:rsidP="009A5B55">
            <w:pPr>
              <w:spacing w:line="240" w:lineRule="auto"/>
              <w:ind w:firstLine="0"/>
              <w:jc w:val="center"/>
              <w:rPr>
                <w:b/>
                <w:bCs/>
              </w:rPr>
            </w:pPr>
            <w:r w:rsidRPr="007A2B03">
              <w:rPr>
                <w:b/>
                <w:bCs/>
              </w:rPr>
              <w:t>А. Пациент без трансфузий донорской крови и/или её компонентов в анамнезе</w:t>
            </w:r>
          </w:p>
        </w:tc>
      </w:tr>
      <w:tr w:rsidR="009A5B55" w:rsidRPr="00915AAD" w14:paraId="0751CDB1" w14:textId="77777777" w:rsidTr="002D3EBF">
        <w:tc>
          <w:tcPr>
            <w:tcW w:w="3208" w:type="dxa"/>
            <w:shd w:val="clear" w:color="auto" w:fill="auto"/>
          </w:tcPr>
          <w:p w14:paraId="70EA1B28" w14:textId="77777777" w:rsidR="009A5B55" w:rsidRPr="007A2B03" w:rsidRDefault="009A5B55" w:rsidP="009A5B55">
            <w:pPr>
              <w:spacing w:line="240" w:lineRule="auto"/>
              <w:ind w:firstLine="0"/>
            </w:pPr>
            <w:r w:rsidRPr="007A2B03">
              <w:t>-</w:t>
            </w:r>
          </w:p>
        </w:tc>
        <w:tc>
          <w:tcPr>
            <w:tcW w:w="3082" w:type="dxa"/>
            <w:shd w:val="clear" w:color="auto" w:fill="auto"/>
          </w:tcPr>
          <w:p w14:paraId="6020D1B4" w14:textId="77777777" w:rsidR="009A5B55" w:rsidRPr="007A2B03" w:rsidRDefault="009A5B55" w:rsidP="009A5B55">
            <w:pPr>
              <w:spacing w:line="240" w:lineRule="auto"/>
              <w:ind w:firstLine="0"/>
            </w:pPr>
            <w:r w:rsidRPr="007A2B03">
              <w:t>Любой компонент донорской крови</w:t>
            </w:r>
          </w:p>
        </w:tc>
        <w:tc>
          <w:tcPr>
            <w:tcW w:w="8270" w:type="dxa"/>
            <w:shd w:val="clear" w:color="auto" w:fill="auto"/>
          </w:tcPr>
          <w:p w14:paraId="6619D01D" w14:textId="77777777" w:rsidR="009A5B55" w:rsidRPr="007A2B03" w:rsidRDefault="009A5B55" w:rsidP="009A5B55">
            <w:pPr>
              <w:spacing w:line="240" w:lineRule="auto"/>
              <w:ind w:firstLine="0"/>
            </w:pPr>
            <w:r w:rsidRPr="007A2B03">
              <w:t>10 мл 10% кальция глюконата в 100 мл 0,9% раствора NaC</w:t>
            </w:r>
            <w:r w:rsidRPr="007A2B03">
              <w:rPr>
                <w:lang w:val="en-US"/>
              </w:rPr>
              <w:t>l</w:t>
            </w:r>
            <w:r w:rsidRPr="007A2B03">
              <w:t xml:space="preserve"> в/в капельно</w:t>
            </w:r>
          </w:p>
        </w:tc>
      </w:tr>
      <w:tr w:rsidR="009A5B55" w:rsidRPr="00915AAD" w14:paraId="62AF7FBD" w14:textId="77777777" w:rsidTr="002D3EBF">
        <w:tc>
          <w:tcPr>
            <w:tcW w:w="14560" w:type="dxa"/>
            <w:gridSpan w:val="3"/>
            <w:shd w:val="clear" w:color="auto" w:fill="auto"/>
          </w:tcPr>
          <w:p w14:paraId="684CBB04" w14:textId="77777777" w:rsidR="009A5B55" w:rsidRPr="007A2B03" w:rsidRDefault="009A5B55" w:rsidP="009A5B55">
            <w:pPr>
              <w:spacing w:line="240" w:lineRule="auto"/>
              <w:ind w:firstLine="0"/>
              <w:jc w:val="center"/>
              <w:rPr>
                <w:b/>
                <w:bCs/>
              </w:rPr>
            </w:pPr>
            <w:r w:rsidRPr="007A2B03">
              <w:rPr>
                <w:b/>
                <w:bCs/>
              </w:rPr>
              <w:t>Б. Пациент с трансфузией донорской крови и/или её компонентов без реакций или осложнений в анамнезе*</w:t>
            </w:r>
          </w:p>
        </w:tc>
      </w:tr>
      <w:tr w:rsidR="009A5B55" w:rsidRPr="00915AAD" w14:paraId="65DA71F2" w14:textId="77777777" w:rsidTr="002D3EBF">
        <w:tc>
          <w:tcPr>
            <w:tcW w:w="3208" w:type="dxa"/>
            <w:shd w:val="clear" w:color="auto" w:fill="auto"/>
          </w:tcPr>
          <w:p w14:paraId="01C45619" w14:textId="77777777" w:rsidR="009A5B55" w:rsidRPr="007A2B03" w:rsidRDefault="009A5B55" w:rsidP="009A5B55">
            <w:pPr>
              <w:spacing w:line="240" w:lineRule="auto"/>
              <w:ind w:firstLine="0"/>
            </w:pPr>
            <w:r w:rsidRPr="007A2B03">
              <w:t>-</w:t>
            </w:r>
          </w:p>
        </w:tc>
        <w:tc>
          <w:tcPr>
            <w:tcW w:w="3082" w:type="dxa"/>
            <w:shd w:val="clear" w:color="auto" w:fill="auto"/>
          </w:tcPr>
          <w:p w14:paraId="6427A7CA" w14:textId="77777777" w:rsidR="009A5B55" w:rsidRPr="007A2B03" w:rsidRDefault="009A5B55" w:rsidP="009A5B55">
            <w:pPr>
              <w:spacing w:line="240" w:lineRule="auto"/>
              <w:ind w:firstLine="0"/>
            </w:pPr>
            <w:r w:rsidRPr="007A2B03">
              <w:t>Любой компонент донорской крови</w:t>
            </w:r>
          </w:p>
        </w:tc>
        <w:tc>
          <w:tcPr>
            <w:tcW w:w="8270" w:type="dxa"/>
            <w:shd w:val="clear" w:color="auto" w:fill="auto"/>
          </w:tcPr>
          <w:p w14:paraId="605CDEC1" w14:textId="77777777" w:rsidR="009A5B55" w:rsidRPr="007A2B03" w:rsidRDefault="009A5B55" w:rsidP="009A5B55">
            <w:pPr>
              <w:spacing w:line="240" w:lineRule="auto"/>
              <w:ind w:firstLine="0"/>
            </w:pPr>
            <w:r w:rsidRPr="007A2B03">
              <w:t>10 мл 10% кальция глюконата в 100 мл 0,9% раствора NaC</w:t>
            </w:r>
            <w:r w:rsidRPr="007A2B03">
              <w:rPr>
                <w:lang w:val="en-US"/>
              </w:rPr>
              <w:t>l</w:t>
            </w:r>
            <w:r w:rsidRPr="007A2B03">
              <w:t xml:space="preserve"> в/в капельно</w:t>
            </w:r>
          </w:p>
        </w:tc>
      </w:tr>
      <w:tr w:rsidR="009A5B55" w:rsidRPr="00915AAD" w14:paraId="55138AB4" w14:textId="77777777" w:rsidTr="002D3EBF">
        <w:tc>
          <w:tcPr>
            <w:tcW w:w="14560" w:type="dxa"/>
            <w:gridSpan w:val="3"/>
            <w:shd w:val="clear" w:color="auto" w:fill="auto"/>
          </w:tcPr>
          <w:p w14:paraId="085236F8" w14:textId="77777777" w:rsidR="009A5B55" w:rsidRPr="007A2B03" w:rsidRDefault="009A5B55" w:rsidP="009A5B55">
            <w:pPr>
              <w:spacing w:line="240" w:lineRule="auto"/>
              <w:ind w:firstLine="0"/>
              <w:jc w:val="center"/>
              <w:rPr>
                <w:b/>
                <w:bCs/>
              </w:rPr>
            </w:pPr>
            <w:r w:rsidRPr="007A2B03">
              <w:rPr>
                <w:b/>
                <w:bCs/>
              </w:rPr>
              <w:t>В. Пациент с трансфузией донорской крови и/или её компонентов с реакциями или осложнениями на в анамнезе</w:t>
            </w:r>
          </w:p>
        </w:tc>
      </w:tr>
      <w:tr w:rsidR="009A5B55" w:rsidRPr="00915AAD" w14:paraId="13D8EA6C" w14:textId="77777777" w:rsidTr="002D3EBF">
        <w:tc>
          <w:tcPr>
            <w:tcW w:w="14560" w:type="dxa"/>
            <w:gridSpan w:val="3"/>
            <w:shd w:val="clear" w:color="auto" w:fill="auto"/>
          </w:tcPr>
          <w:p w14:paraId="69BD0796" w14:textId="77777777" w:rsidR="009A5B55" w:rsidRPr="007A2B03" w:rsidRDefault="009A5B55" w:rsidP="00296A09">
            <w:pPr>
              <w:pStyle w:val="afe"/>
              <w:numPr>
                <w:ilvl w:val="0"/>
                <w:numId w:val="114"/>
              </w:numPr>
              <w:spacing w:line="240" w:lineRule="auto"/>
              <w:ind w:firstLine="0"/>
              <w:rPr>
                <w:b/>
                <w:bCs/>
              </w:rPr>
            </w:pPr>
            <w:r w:rsidRPr="007A2B03">
              <w:rPr>
                <w:b/>
                <w:bCs/>
              </w:rPr>
              <w:t>Аллергические реакции (крапивница, бронхоспазм, отек Квинке, анафилактический шок и др.) в зависимости от степени тяжести</w:t>
            </w:r>
          </w:p>
        </w:tc>
      </w:tr>
      <w:tr w:rsidR="009A5B55" w:rsidRPr="00915AAD" w14:paraId="3D09D0DA" w14:textId="77777777" w:rsidTr="002D3EBF">
        <w:tc>
          <w:tcPr>
            <w:tcW w:w="3208" w:type="dxa"/>
            <w:shd w:val="clear" w:color="auto" w:fill="auto"/>
          </w:tcPr>
          <w:p w14:paraId="03A5FE6A" w14:textId="77777777" w:rsidR="009A5B55" w:rsidRPr="007A2B03" w:rsidRDefault="009A5B55" w:rsidP="00296A09">
            <w:pPr>
              <w:pStyle w:val="afe"/>
              <w:numPr>
                <w:ilvl w:val="0"/>
                <w:numId w:val="108"/>
              </w:numPr>
              <w:spacing w:line="240" w:lineRule="auto"/>
              <w:ind w:left="0" w:firstLine="0"/>
            </w:pPr>
            <w:r w:rsidRPr="007A2B03">
              <w:t>Аллергические реакции легкой степени</w:t>
            </w:r>
          </w:p>
          <w:p w14:paraId="121DDF6F" w14:textId="77777777" w:rsidR="009A5B55" w:rsidRPr="007A2B03" w:rsidRDefault="009A5B55" w:rsidP="009A5B55">
            <w:pPr>
              <w:spacing w:line="240" w:lineRule="auto"/>
              <w:ind w:firstLine="0"/>
            </w:pPr>
          </w:p>
        </w:tc>
        <w:tc>
          <w:tcPr>
            <w:tcW w:w="3082" w:type="dxa"/>
            <w:shd w:val="clear" w:color="auto" w:fill="auto"/>
          </w:tcPr>
          <w:p w14:paraId="1F115E46" w14:textId="77777777" w:rsidR="009A5B55" w:rsidRPr="007A2B03" w:rsidRDefault="009A5B55" w:rsidP="009A5B55">
            <w:pPr>
              <w:spacing w:line="240" w:lineRule="auto"/>
              <w:ind w:firstLine="0"/>
            </w:pPr>
            <w:r w:rsidRPr="007A2B03">
              <w:t>Любой компонент донорской крови</w:t>
            </w:r>
          </w:p>
        </w:tc>
        <w:tc>
          <w:tcPr>
            <w:tcW w:w="8270" w:type="dxa"/>
            <w:shd w:val="clear" w:color="auto" w:fill="auto"/>
          </w:tcPr>
          <w:p w14:paraId="785A58B3" w14:textId="77777777" w:rsidR="009A5B55" w:rsidRPr="007A2B03" w:rsidRDefault="009A5B55" w:rsidP="009A5B55">
            <w:pPr>
              <w:spacing w:line="240" w:lineRule="auto"/>
              <w:ind w:firstLine="0"/>
            </w:pPr>
            <w:r w:rsidRPr="007A2B03">
              <w:t>10 мл 10% кальция глюконата в 100 мл 0,9% раствора NaC</w:t>
            </w:r>
            <w:r w:rsidRPr="007A2B03">
              <w:rPr>
                <w:lang w:val="en-US"/>
              </w:rPr>
              <w:t>l</w:t>
            </w:r>
            <w:r w:rsidRPr="007A2B03">
              <w:t xml:space="preserve"> в/в капельно</w:t>
            </w:r>
          </w:p>
        </w:tc>
      </w:tr>
      <w:tr w:rsidR="009A5B55" w:rsidRPr="00915AAD" w14:paraId="6AAFAFF2" w14:textId="77777777" w:rsidTr="002D3EBF">
        <w:tc>
          <w:tcPr>
            <w:tcW w:w="3208" w:type="dxa"/>
            <w:vMerge w:val="restart"/>
            <w:shd w:val="clear" w:color="auto" w:fill="auto"/>
          </w:tcPr>
          <w:p w14:paraId="3C9DFE8E" w14:textId="77777777" w:rsidR="009A5B55" w:rsidRPr="007A2B03" w:rsidRDefault="009A5B55" w:rsidP="00296A09">
            <w:pPr>
              <w:pStyle w:val="afe"/>
              <w:numPr>
                <w:ilvl w:val="0"/>
                <w:numId w:val="108"/>
              </w:numPr>
              <w:spacing w:line="240" w:lineRule="auto"/>
              <w:ind w:left="0" w:firstLine="0"/>
            </w:pPr>
            <w:r w:rsidRPr="007A2B03">
              <w:t>Аллергические реакции средней тяжести (протекающие без нарушений гемодинамических и вентиляционных показателей)</w:t>
            </w:r>
          </w:p>
        </w:tc>
        <w:tc>
          <w:tcPr>
            <w:tcW w:w="3082" w:type="dxa"/>
            <w:shd w:val="clear" w:color="auto" w:fill="auto"/>
          </w:tcPr>
          <w:p w14:paraId="143B72BE" w14:textId="77777777" w:rsidR="009A5B55" w:rsidRPr="007A2B03" w:rsidRDefault="009A5B55" w:rsidP="009A5B55">
            <w:pPr>
              <w:spacing w:line="240" w:lineRule="auto"/>
              <w:ind w:firstLine="0"/>
            </w:pPr>
            <w:r w:rsidRPr="007A2B03">
              <w:t>Компонент донорской крови, вызвавший реакцию ранее</w:t>
            </w:r>
          </w:p>
        </w:tc>
        <w:tc>
          <w:tcPr>
            <w:tcW w:w="8270" w:type="dxa"/>
            <w:shd w:val="clear" w:color="auto" w:fill="auto"/>
          </w:tcPr>
          <w:p w14:paraId="47AD9EBE" w14:textId="77777777" w:rsidR="009A5B55" w:rsidRPr="007A2B03" w:rsidRDefault="009A5B55" w:rsidP="009A5B55">
            <w:pPr>
              <w:spacing w:line="240" w:lineRule="auto"/>
              <w:ind w:firstLine="0"/>
            </w:pPr>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tc>
      </w:tr>
      <w:tr w:rsidR="009A5B55" w:rsidRPr="00915AAD" w14:paraId="1A8CC8F5" w14:textId="77777777" w:rsidTr="002D3EBF">
        <w:tc>
          <w:tcPr>
            <w:tcW w:w="3208" w:type="dxa"/>
            <w:vMerge/>
            <w:shd w:val="clear" w:color="auto" w:fill="auto"/>
          </w:tcPr>
          <w:p w14:paraId="70FDB758" w14:textId="77777777" w:rsidR="009A5B55" w:rsidRPr="007A2B03" w:rsidRDefault="009A5B55" w:rsidP="00296A09">
            <w:pPr>
              <w:pStyle w:val="afe"/>
              <w:numPr>
                <w:ilvl w:val="0"/>
                <w:numId w:val="108"/>
              </w:numPr>
              <w:spacing w:line="240" w:lineRule="auto"/>
              <w:ind w:left="0" w:firstLine="0"/>
            </w:pPr>
          </w:p>
        </w:tc>
        <w:tc>
          <w:tcPr>
            <w:tcW w:w="3082" w:type="dxa"/>
            <w:shd w:val="clear" w:color="auto" w:fill="auto"/>
          </w:tcPr>
          <w:p w14:paraId="506FA267" w14:textId="77777777" w:rsidR="009A5B55" w:rsidRPr="007A2B03" w:rsidRDefault="009A5B55" w:rsidP="009A5B55">
            <w:pPr>
              <w:spacing w:line="240" w:lineRule="auto"/>
              <w:ind w:firstLine="0"/>
            </w:pPr>
            <w:r w:rsidRPr="007A2B03">
              <w:t>Другие компоненты донорской крови (не вызывавшие реакции ранее)</w:t>
            </w:r>
          </w:p>
        </w:tc>
        <w:tc>
          <w:tcPr>
            <w:tcW w:w="8270" w:type="dxa"/>
            <w:shd w:val="clear" w:color="auto" w:fill="auto"/>
          </w:tcPr>
          <w:p w14:paraId="65B637EF" w14:textId="77777777" w:rsidR="009A5B55" w:rsidRPr="007A2B03" w:rsidRDefault="009A5B55" w:rsidP="009A5B55">
            <w:pPr>
              <w:spacing w:line="240" w:lineRule="auto"/>
              <w:ind w:firstLine="0"/>
            </w:pPr>
            <w:r w:rsidRPr="007A2B03">
              <w:t>10 мл 10% кальция глюконата в 100 мл 0,9% раствора NaC</w:t>
            </w:r>
            <w:r w:rsidRPr="007A2B03">
              <w:rPr>
                <w:lang w:val="en-US"/>
              </w:rPr>
              <w:t>l</w:t>
            </w:r>
            <w:r w:rsidRPr="007A2B03">
              <w:t xml:space="preserve"> в/в капельно</w:t>
            </w:r>
          </w:p>
        </w:tc>
      </w:tr>
      <w:tr w:rsidR="009A5B55" w:rsidRPr="00915AAD" w14:paraId="06A8DE9A" w14:textId="77777777" w:rsidTr="002D3EBF">
        <w:tc>
          <w:tcPr>
            <w:tcW w:w="3208" w:type="dxa"/>
            <w:shd w:val="clear" w:color="auto" w:fill="auto"/>
          </w:tcPr>
          <w:p w14:paraId="26061F85" w14:textId="77777777" w:rsidR="009A5B55" w:rsidRPr="007A2B03" w:rsidRDefault="009A5B55" w:rsidP="00296A09">
            <w:pPr>
              <w:pStyle w:val="afe"/>
              <w:numPr>
                <w:ilvl w:val="0"/>
                <w:numId w:val="108"/>
              </w:numPr>
              <w:spacing w:line="240" w:lineRule="auto"/>
              <w:ind w:left="0" w:firstLine="0"/>
            </w:pPr>
            <w:r w:rsidRPr="007A2B03">
              <w:t>Тяжелые аллергические реакции (протекающие с нарушением гемодинамических и вентиляционных показателей)</w:t>
            </w:r>
          </w:p>
        </w:tc>
        <w:tc>
          <w:tcPr>
            <w:tcW w:w="3082" w:type="dxa"/>
            <w:shd w:val="clear" w:color="auto" w:fill="auto"/>
          </w:tcPr>
          <w:p w14:paraId="53F3F3DA" w14:textId="77777777" w:rsidR="009A5B55" w:rsidRPr="007A2B03" w:rsidRDefault="009A5B55" w:rsidP="009A5B55">
            <w:pPr>
              <w:spacing w:line="240" w:lineRule="auto"/>
              <w:ind w:firstLine="0"/>
            </w:pPr>
            <w:r w:rsidRPr="007A2B03">
              <w:t>Любой компонент донорской крови</w:t>
            </w:r>
          </w:p>
        </w:tc>
        <w:tc>
          <w:tcPr>
            <w:tcW w:w="8270" w:type="dxa"/>
            <w:shd w:val="clear" w:color="auto" w:fill="auto"/>
          </w:tcPr>
          <w:p w14:paraId="50DED76C" w14:textId="77777777" w:rsidR="009A5B55" w:rsidRPr="007A2B03" w:rsidRDefault="009A5B55" w:rsidP="009A5B55">
            <w:pPr>
              <w:spacing w:line="240" w:lineRule="auto"/>
              <w:ind w:firstLine="0"/>
            </w:pPr>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p w14:paraId="0FFB3349" w14:textId="77777777" w:rsidR="009A5B55" w:rsidRPr="007A2B03" w:rsidRDefault="009A5B55" w:rsidP="009A5B55">
            <w:pPr>
              <w:pStyle w:val="afe"/>
              <w:spacing w:line="240" w:lineRule="auto"/>
              <w:ind w:left="0" w:firstLine="0"/>
            </w:pPr>
            <w:r w:rsidRPr="007A2B03">
              <w:t>Возможно разовое применение глюкокортикостероидов** (</w:t>
            </w:r>
            <w:r w:rsidRPr="007A2B03">
              <w:rPr>
                <w:shd w:val="clear" w:color="auto" w:fill="FFFFFF"/>
              </w:rPr>
              <w:t>следует </w:t>
            </w:r>
            <w:r w:rsidRPr="007A2B03">
              <w:rPr>
                <w:rStyle w:val="affc"/>
                <w:shd w:val="clear" w:color="auto" w:fill="FFFFFF"/>
              </w:rPr>
              <w:t>соотнести</w:t>
            </w:r>
            <w:r w:rsidRPr="007A2B03">
              <w:rPr>
                <w:shd w:val="clear" w:color="auto" w:fill="FFFFFF"/>
              </w:rPr>
              <w:t> потенциальные </w:t>
            </w:r>
            <w:r w:rsidRPr="007A2B03">
              <w:rPr>
                <w:rStyle w:val="affc"/>
                <w:shd w:val="clear" w:color="auto" w:fill="FFFFFF"/>
              </w:rPr>
              <w:t>риски</w:t>
            </w:r>
            <w:r w:rsidRPr="007A2B03">
              <w:rPr>
                <w:shd w:val="clear" w:color="auto" w:fill="FFFFFF"/>
              </w:rPr>
              <w:t> и ожидаемую </w:t>
            </w:r>
            <w:r w:rsidRPr="007A2B03">
              <w:rPr>
                <w:rStyle w:val="affc"/>
                <w:shd w:val="clear" w:color="auto" w:fill="FFFFFF"/>
              </w:rPr>
              <w:t>пользу</w:t>
            </w:r>
            <w:r w:rsidRPr="007A2B03">
              <w:t>).</w:t>
            </w:r>
          </w:p>
          <w:p w14:paraId="32EB4452" w14:textId="77777777" w:rsidR="009A5B55" w:rsidRPr="007A2B03" w:rsidRDefault="009A5B55" w:rsidP="009A5B55">
            <w:pPr>
              <w:spacing w:line="240" w:lineRule="auto"/>
              <w:ind w:firstLine="0"/>
            </w:pPr>
            <w:r w:rsidRPr="007A2B03">
              <w:t>Уменьшение скорости трансфузии.</w:t>
            </w:r>
          </w:p>
        </w:tc>
      </w:tr>
      <w:tr w:rsidR="009A5B55" w:rsidRPr="00915AAD" w14:paraId="4D4B2F1D" w14:textId="77777777" w:rsidTr="002D3EBF">
        <w:tc>
          <w:tcPr>
            <w:tcW w:w="14560" w:type="dxa"/>
            <w:gridSpan w:val="3"/>
            <w:shd w:val="clear" w:color="auto" w:fill="auto"/>
          </w:tcPr>
          <w:p w14:paraId="17706123" w14:textId="77777777" w:rsidR="009A5B55" w:rsidRPr="007A2B03" w:rsidRDefault="009A5B55" w:rsidP="00296A09">
            <w:pPr>
              <w:pStyle w:val="afe"/>
              <w:numPr>
                <w:ilvl w:val="0"/>
                <w:numId w:val="113"/>
              </w:numPr>
              <w:spacing w:line="240" w:lineRule="auto"/>
              <w:ind w:firstLine="0"/>
              <w:jc w:val="center"/>
              <w:rPr>
                <w:b/>
                <w:bCs/>
              </w:rPr>
            </w:pPr>
            <w:r w:rsidRPr="007A2B03">
              <w:rPr>
                <w:b/>
                <w:bCs/>
              </w:rPr>
              <w:t>Однократная гипертермическая фебрильная негемолитическая реакция (ФНР) в анамнезе</w:t>
            </w:r>
          </w:p>
        </w:tc>
      </w:tr>
      <w:tr w:rsidR="009A5B55" w:rsidRPr="00915AAD" w14:paraId="0AB1B556" w14:textId="77777777" w:rsidTr="002D3EBF">
        <w:tc>
          <w:tcPr>
            <w:tcW w:w="3208" w:type="dxa"/>
            <w:shd w:val="clear" w:color="auto" w:fill="auto"/>
          </w:tcPr>
          <w:p w14:paraId="585B5C9A" w14:textId="77777777" w:rsidR="009A5B55" w:rsidRPr="007A2B03" w:rsidRDefault="009A5B55" w:rsidP="00296A09">
            <w:pPr>
              <w:pStyle w:val="afe"/>
              <w:numPr>
                <w:ilvl w:val="0"/>
                <w:numId w:val="108"/>
              </w:numPr>
              <w:spacing w:line="240" w:lineRule="auto"/>
              <w:ind w:left="0" w:firstLine="0"/>
            </w:pPr>
            <w:r w:rsidRPr="007A2B03">
              <w:t>Однократная ФНР в анамнезе</w:t>
            </w:r>
          </w:p>
        </w:tc>
        <w:tc>
          <w:tcPr>
            <w:tcW w:w="3082" w:type="dxa"/>
            <w:shd w:val="clear" w:color="auto" w:fill="auto"/>
          </w:tcPr>
          <w:p w14:paraId="43FC5D75" w14:textId="77777777" w:rsidR="009A5B55" w:rsidRPr="007A2B03" w:rsidRDefault="009A5B55" w:rsidP="009A5B55">
            <w:pPr>
              <w:spacing w:line="240" w:lineRule="auto"/>
              <w:ind w:firstLine="0"/>
            </w:pPr>
            <w:r w:rsidRPr="007A2B03">
              <w:t>Любой компонент донорской крови</w:t>
            </w:r>
          </w:p>
        </w:tc>
        <w:tc>
          <w:tcPr>
            <w:tcW w:w="8270" w:type="dxa"/>
            <w:shd w:val="clear" w:color="auto" w:fill="auto"/>
          </w:tcPr>
          <w:p w14:paraId="439A1F5B" w14:textId="77777777" w:rsidR="009A5B55" w:rsidRPr="007A2B03" w:rsidRDefault="009A5B55" w:rsidP="009A5B55">
            <w:pPr>
              <w:spacing w:line="240" w:lineRule="auto"/>
              <w:ind w:firstLine="0"/>
            </w:pPr>
            <w:r w:rsidRPr="007A2B03">
              <w:t>10 мл 10% кальция глюконата в 100 мл 0,9% раствора NaC</w:t>
            </w:r>
            <w:r w:rsidRPr="007A2B03">
              <w:rPr>
                <w:lang w:val="en-US"/>
              </w:rPr>
              <w:t>l</w:t>
            </w:r>
            <w:r w:rsidRPr="007A2B03">
              <w:t xml:space="preserve"> в/в капельно</w:t>
            </w:r>
          </w:p>
        </w:tc>
      </w:tr>
      <w:tr w:rsidR="009A5B55" w:rsidRPr="00915AAD" w14:paraId="63E2B3E0" w14:textId="77777777" w:rsidTr="002D3EBF">
        <w:tc>
          <w:tcPr>
            <w:tcW w:w="14560" w:type="dxa"/>
            <w:gridSpan w:val="3"/>
            <w:shd w:val="clear" w:color="auto" w:fill="auto"/>
          </w:tcPr>
          <w:p w14:paraId="5E865E76" w14:textId="77777777" w:rsidR="009A5B55" w:rsidRPr="007A2B03" w:rsidRDefault="009A5B55" w:rsidP="00296A09">
            <w:pPr>
              <w:pStyle w:val="afe"/>
              <w:numPr>
                <w:ilvl w:val="0"/>
                <w:numId w:val="113"/>
              </w:numPr>
              <w:spacing w:line="240" w:lineRule="auto"/>
              <w:ind w:firstLine="0"/>
              <w:jc w:val="center"/>
              <w:rPr>
                <w:b/>
                <w:bCs/>
              </w:rPr>
            </w:pPr>
            <w:r w:rsidRPr="007A2B03">
              <w:rPr>
                <w:b/>
                <w:bCs/>
              </w:rPr>
              <w:t>Многократные (≥2) гипертермические фебрильные негемолитические реакции (ФНР) в анамнезе</w:t>
            </w:r>
          </w:p>
        </w:tc>
      </w:tr>
      <w:tr w:rsidR="009A5B55" w:rsidRPr="00915AAD" w14:paraId="061AA71F" w14:textId="77777777" w:rsidTr="002D3EBF">
        <w:tc>
          <w:tcPr>
            <w:tcW w:w="3208" w:type="dxa"/>
            <w:vMerge w:val="restart"/>
            <w:shd w:val="clear" w:color="auto" w:fill="auto"/>
          </w:tcPr>
          <w:p w14:paraId="0B1B7E81" w14:textId="77777777" w:rsidR="009A5B55" w:rsidRPr="007A2B03" w:rsidRDefault="009A5B55" w:rsidP="00296A09">
            <w:pPr>
              <w:pStyle w:val="afe"/>
              <w:numPr>
                <w:ilvl w:val="0"/>
                <w:numId w:val="110"/>
              </w:numPr>
              <w:spacing w:line="240" w:lineRule="auto"/>
              <w:ind w:left="0" w:firstLine="0"/>
            </w:pPr>
            <w:r w:rsidRPr="007A2B03">
              <w:t>Протекающие без потрясающего озноба</w:t>
            </w:r>
          </w:p>
        </w:tc>
        <w:tc>
          <w:tcPr>
            <w:tcW w:w="3082" w:type="dxa"/>
            <w:shd w:val="clear" w:color="auto" w:fill="auto"/>
          </w:tcPr>
          <w:p w14:paraId="38D0E472" w14:textId="77777777" w:rsidR="009A5B55" w:rsidRPr="007A2B03" w:rsidRDefault="009A5B55" w:rsidP="009A5B55">
            <w:pPr>
              <w:spacing w:line="240" w:lineRule="auto"/>
              <w:ind w:firstLine="0"/>
            </w:pPr>
            <w:r w:rsidRPr="007A2B03">
              <w:t>Компонент донорской крови, вызвавший реакцию ранее</w:t>
            </w:r>
          </w:p>
        </w:tc>
        <w:tc>
          <w:tcPr>
            <w:tcW w:w="8270" w:type="dxa"/>
            <w:shd w:val="clear" w:color="auto" w:fill="auto"/>
          </w:tcPr>
          <w:p w14:paraId="40D8AB20" w14:textId="77777777" w:rsidR="009A5B55" w:rsidRPr="007A2B03" w:rsidRDefault="009A5B55" w:rsidP="009A5B55">
            <w:pPr>
              <w:spacing w:line="240" w:lineRule="auto"/>
              <w:ind w:firstLine="0"/>
            </w:pPr>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p w14:paraId="5329CFED" w14:textId="77777777" w:rsidR="009A5B55" w:rsidRPr="007A2B03" w:rsidRDefault="009A5B55" w:rsidP="009A5B55">
            <w:pPr>
              <w:spacing w:line="240" w:lineRule="auto"/>
              <w:ind w:firstLine="0"/>
            </w:pPr>
            <w:r w:rsidRPr="007A2B03">
              <w:t>При сохраняющихся ФНР, несмотря на добавление антигистаминных препаратов, дополнительно за 60 минут до трансфузии ввести 250-650 мг парацетамола в 250 мл 0,9% раствора NaC</w:t>
            </w:r>
            <w:r w:rsidRPr="007A2B03">
              <w:rPr>
                <w:lang w:val="en-US"/>
              </w:rPr>
              <w:t>l</w:t>
            </w:r>
            <w:r w:rsidRPr="007A2B03">
              <w:t xml:space="preserve"> в/в капельно (не рекомендовано у пациентов с нейтропенией, глубокой тромбоцитопенией).</w:t>
            </w:r>
          </w:p>
        </w:tc>
      </w:tr>
      <w:tr w:rsidR="009A5B55" w:rsidRPr="00915AAD" w14:paraId="0C4E37DD" w14:textId="77777777" w:rsidTr="002D3EBF">
        <w:tc>
          <w:tcPr>
            <w:tcW w:w="3208" w:type="dxa"/>
            <w:vMerge/>
            <w:shd w:val="clear" w:color="auto" w:fill="auto"/>
          </w:tcPr>
          <w:p w14:paraId="4789F294" w14:textId="77777777" w:rsidR="009A5B55" w:rsidRPr="007A2B03" w:rsidRDefault="009A5B55" w:rsidP="00296A09">
            <w:pPr>
              <w:pStyle w:val="afe"/>
              <w:numPr>
                <w:ilvl w:val="0"/>
                <w:numId w:val="110"/>
              </w:numPr>
              <w:spacing w:line="240" w:lineRule="auto"/>
              <w:ind w:left="0" w:firstLine="0"/>
            </w:pPr>
          </w:p>
        </w:tc>
        <w:tc>
          <w:tcPr>
            <w:tcW w:w="3082" w:type="dxa"/>
            <w:shd w:val="clear" w:color="auto" w:fill="auto"/>
          </w:tcPr>
          <w:p w14:paraId="122BF8F3" w14:textId="77777777" w:rsidR="009A5B55" w:rsidRPr="007A2B03" w:rsidRDefault="009A5B55" w:rsidP="009A5B55">
            <w:pPr>
              <w:spacing w:line="240" w:lineRule="auto"/>
              <w:ind w:firstLine="0"/>
            </w:pPr>
            <w:r w:rsidRPr="007A2B03">
              <w:t>Другие компоненты донорской крови (не вызывавшие реакции ранее)</w:t>
            </w:r>
          </w:p>
        </w:tc>
        <w:tc>
          <w:tcPr>
            <w:tcW w:w="8270" w:type="dxa"/>
            <w:shd w:val="clear" w:color="auto" w:fill="auto"/>
          </w:tcPr>
          <w:p w14:paraId="3BFA4C4F" w14:textId="77777777" w:rsidR="009A5B55" w:rsidRPr="007A2B03" w:rsidRDefault="009A5B55" w:rsidP="009A5B55">
            <w:pPr>
              <w:spacing w:line="240" w:lineRule="auto"/>
              <w:ind w:firstLine="0"/>
            </w:pPr>
            <w:r w:rsidRPr="007A2B03">
              <w:t>10 мл 10% кальция глюконата в 100 мл 0,9% раствора NaC</w:t>
            </w:r>
            <w:r w:rsidRPr="007A2B03">
              <w:rPr>
                <w:lang w:val="en-US"/>
              </w:rPr>
              <w:t>l</w:t>
            </w:r>
            <w:r w:rsidRPr="007A2B03">
              <w:t xml:space="preserve"> в/в капельно</w:t>
            </w:r>
          </w:p>
        </w:tc>
      </w:tr>
      <w:tr w:rsidR="009A5B55" w:rsidRPr="00915AAD" w14:paraId="06FB7719" w14:textId="77777777" w:rsidTr="002D3EBF">
        <w:tc>
          <w:tcPr>
            <w:tcW w:w="3208" w:type="dxa"/>
            <w:vMerge w:val="restart"/>
            <w:shd w:val="clear" w:color="auto" w:fill="auto"/>
          </w:tcPr>
          <w:p w14:paraId="2FC1BF80" w14:textId="77777777" w:rsidR="009A5B55" w:rsidRPr="007A2B03" w:rsidRDefault="009A5B55" w:rsidP="00296A09">
            <w:pPr>
              <w:pStyle w:val="afe"/>
              <w:numPr>
                <w:ilvl w:val="0"/>
                <w:numId w:val="110"/>
              </w:numPr>
              <w:spacing w:line="240" w:lineRule="auto"/>
              <w:ind w:left="0" w:firstLine="0"/>
            </w:pPr>
            <w:r w:rsidRPr="007A2B03">
              <w:t>Протекающие с потрясающим ознобом</w:t>
            </w:r>
          </w:p>
        </w:tc>
        <w:tc>
          <w:tcPr>
            <w:tcW w:w="3082" w:type="dxa"/>
            <w:shd w:val="clear" w:color="auto" w:fill="auto"/>
          </w:tcPr>
          <w:p w14:paraId="36DC5D67" w14:textId="77777777" w:rsidR="009A5B55" w:rsidRPr="007A2B03" w:rsidRDefault="009A5B55" w:rsidP="009A5B55">
            <w:pPr>
              <w:spacing w:line="240" w:lineRule="auto"/>
              <w:ind w:firstLine="0"/>
            </w:pPr>
            <w:r w:rsidRPr="007A2B03">
              <w:t>Компонент донорской крови, вызвавший реакцию ранее</w:t>
            </w:r>
          </w:p>
        </w:tc>
        <w:tc>
          <w:tcPr>
            <w:tcW w:w="8270" w:type="dxa"/>
            <w:shd w:val="clear" w:color="auto" w:fill="auto"/>
          </w:tcPr>
          <w:p w14:paraId="3EF81255" w14:textId="77777777" w:rsidR="009A5B55" w:rsidRPr="007A2B03" w:rsidRDefault="009A5B55" w:rsidP="009A5B55">
            <w:pPr>
              <w:spacing w:line="240" w:lineRule="auto"/>
              <w:ind w:firstLine="0"/>
            </w:pPr>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 В случае сохранения тяжелых реакций возможно дополнительное введение 0,5-1 мл 2% промедола в 100 мл 0,9% раствора NaC</w:t>
            </w:r>
            <w:r w:rsidRPr="007A2B03">
              <w:rPr>
                <w:lang w:val="en-US"/>
              </w:rPr>
              <w:t>l</w:t>
            </w:r>
            <w:r w:rsidRPr="007A2B03">
              <w:t xml:space="preserve"> в/в капельно (до или параллельно с трансфузией).</w:t>
            </w:r>
          </w:p>
          <w:p w14:paraId="4DE41F85" w14:textId="77777777" w:rsidR="009A5B55" w:rsidRPr="007A2B03" w:rsidRDefault="009A5B55" w:rsidP="009A5B55">
            <w:pPr>
              <w:pStyle w:val="afe"/>
              <w:spacing w:line="240" w:lineRule="auto"/>
              <w:ind w:left="0" w:firstLine="0"/>
            </w:pPr>
            <w:r w:rsidRPr="007A2B03">
              <w:t>Возможно разовое применение глюкокортикостероидов** (</w:t>
            </w:r>
            <w:r w:rsidRPr="007A2B03">
              <w:rPr>
                <w:shd w:val="clear" w:color="auto" w:fill="FFFFFF"/>
              </w:rPr>
              <w:t>следует </w:t>
            </w:r>
            <w:r w:rsidRPr="007A2B03">
              <w:rPr>
                <w:rStyle w:val="affc"/>
                <w:shd w:val="clear" w:color="auto" w:fill="FFFFFF"/>
              </w:rPr>
              <w:t>соотнести</w:t>
            </w:r>
            <w:r w:rsidRPr="007A2B03">
              <w:rPr>
                <w:shd w:val="clear" w:color="auto" w:fill="FFFFFF"/>
              </w:rPr>
              <w:t> потенциальные </w:t>
            </w:r>
            <w:r w:rsidRPr="007A2B03">
              <w:rPr>
                <w:rStyle w:val="affc"/>
                <w:shd w:val="clear" w:color="auto" w:fill="FFFFFF"/>
              </w:rPr>
              <w:t>риски</w:t>
            </w:r>
            <w:r w:rsidRPr="007A2B03">
              <w:rPr>
                <w:shd w:val="clear" w:color="auto" w:fill="FFFFFF"/>
              </w:rPr>
              <w:t> и ожидаемую </w:t>
            </w:r>
            <w:r w:rsidRPr="007A2B03">
              <w:rPr>
                <w:rStyle w:val="affc"/>
                <w:shd w:val="clear" w:color="auto" w:fill="FFFFFF"/>
              </w:rPr>
              <w:t>пользу</w:t>
            </w:r>
            <w:r w:rsidRPr="007A2B03">
              <w:t>).</w:t>
            </w:r>
          </w:p>
          <w:p w14:paraId="439A0696" w14:textId="77777777" w:rsidR="009A5B55" w:rsidRPr="007A2B03" w:rsidRDefault="009A5B55" w:rsidP="009A5B55">
            <w:pPr>
              <w:spacing w:line="240" w:lineRule="auto"/>
              <w:ind w:firstLine="0"/>
            </w:pPr>
            <w:r w:rsidRPr="007A2B03">
              <w:t>Уменьшение скорости трансфузии.</w:t>
            </w:r>
          </w:p>
        </w:tc>
      </w:tr>
      <w:tr w:rsidR="009A5B55" w:rsidRPr="00915AAD" w14:paraId="0FFE979E" w14:textId="77777777" w:rsidTr="002D3EBF">
        <w:tc>
          <w:tcPr>
            <w:tcW w:w="3208" w:type="dxa"/>
            <w:vMerge/>
            <w:shd w:val="clear" w:color="auto" w:fill="auto"/>
          </w:tcPr>
          <w:p w14:paraId="78149BF2" w14:textId="77777777" w:rsidR="009A5B55" w:rsidRPr="007A2B03" w:rsidRDefault="009A5B55" w:rsidP="00296A09">
            <w:pPr>
              <w:pStyle w:val="afe"/>
              <w:numPr>
                <w:ilvl w:val="0"/>
                <w:numId w:val="110"/>
              </w:numPr>
              <w:spacing w:line="240" w:lineRule="auto"/>
              <w:ind w:left="0" w:firstLine="0"/>
            </w:pPr>
          </w:p>
        </w:tc>
        <w:tc>
          <w:tcPr>
            <w:tcW w:w="3082" w:type="dxa"/>
            <w:shd w:val="clear" w:color="auto" w:fill="auto"/>
          </w:tcPr>
          <w:p w14:paraId="49AF9703" w14:textId="77777777" w:rsidR="009A5B55" w:rsidRPr="007A2B03" w:rsidRDefault="009A5B55" w:rsidP="009A5B55">
            <w:pPr>
              <w:spacing w:line="240" w:lineRule="auto"/>
              <w:ind w:firstLine="0"/>
            </w:pPr>
            <w:r w:rsidRPr="007A2B03">
              <w:t>Другие компоненты донорской крови (не вызывавшие реакции ранее)</w:t>
            </w:r>
          </w:p>
        </w:tc>
        <w:tc>
          <w:tcPr>
            <w:tcW w:w="8270" w:type="dxa"/>
            <w:shd w:val="clear" w:color="auto" w:fill="auto"/>
          </w:tcPr>
          <w:p w14:paraId="704130EB" w14:textId="77777777" w:rsidR="009A5B55" w:rsidRPr="007A2B03" w:rsidRDefault="009A5B55" w:rsidP="009A5B55">
            <w:pPr>
              <w:spacing w:line="240" w:lineRule="auto"/>
              <w:ind w:firstLine="0"/>
            </w:pPr>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tc>
      </w:tr>
      <w:tr w:rsidR="009A5B55" w:rsidRPr="00915AAD" w14:paraId="39487210" w14:textId="77777777" w:rsidTr="002D3EBF">
        <w:tc>
          <w:tcPr>
            <w:tcW w:w="14560" w:type="dxa"/>
            <w:gridSpan w:val="3"/>
            <w:shd w:val="clear" w:color="auto" w:fill="auto"/>
          </w:tcPr>
          <w:p w14:paraId="350B3FC5" w14:textId="77777777" w:rsidR="009A5B55" w:rsidRPr="007A2B03" w:rsidRDefault="009A5B55" w:rsidP="00296A09">
            <w:pPr>
              <w:pStyle w:val="afe"/>
              <w:numPr>
                <w:ilvl w:val="0"/>
                <w:numId w:val="113"/>
              </w:numPr>
              <w:spacing w:line="240" w:lineRule="auto"/>
              <w:ind w:firstLine="0"/>
              <w:jc w:val="center"/>
              <w:rPr>
                <w:b/>
                <w:bCs/>
              </w:rPr>
            </w:pPr>
            <w:r w:rsidRPr="007A2B03">
              <w:rPr>
                <w:b/>
                <w:bCs/>
              </w:rPr>
              <w:t>Отсроченная серологическая трансфузионная реакция:</w:t>
            </w:r>
          </w:p>
          <w:p w14:paraId="0B9A4B53" w14:textId="77777777" w:rsidR="009A5B55" w:rsidRPr="007A2B03" w:rsidRDefault="009A5B55" w:rsidP="009A5B55">
            <w:pPr>
              <w:spacing w:line="240" w:lineRule="auto"/>
              <w:ind w:left="360" w:firstLine="0"/>
              <w:rPr>
                <w:b/>
                <w:bCs/>
              </w:rPr>
            </w:pPr>
            <w:r w:rsidRPr="007A2B03">
              <w:t>установленное наличие антиэритроцитарных антител: положительная непрямая проба Кумбса при определении индивидуальной совместимости крови донора и реципиента в лаборатории иммуногематологии или если таковая не проводилась, ЛИБО предполагаемое - при эритроцитарном химеризме</w:t>
            </w:r>
          </w:p>
        </w:tc>
      </w:tr>
      <w:tr w:rsidR="009A5B55" w:rsidRPr="00915AAD" w14:paraId="1628E928" w14:textId="77777777" w:rsidTr="002D3EBF">
        <w:tc>
          <w:tcPr>
            <w:tcW w:w="3208" w:type="dxa"/>
            <w:shd w:val="clear" w:color="auto" w:fill="auto"/>
          </w:tcPr>
          <w:p w14:paraId="2B4CB185" w14:textId="77777777" w:rsidR="009A5B55" w:rsidRPr="007A2B03" w:rsidRDefault="009A5B55" w:rsidP="009A5B55">
            <w:pPr>
              <w:spacing w:line="240" w:lineRule="auto"/>
              <w:ind w:firstLine="0"/>
            </w:pPr>
            <w:r w:rsidRPr="007A2B03">
              <w:t xml:space="preserve">Отсроченная серологическая трансфузионная реакция </w:t>
            </w:r>
          </w:p>
        </w:tc>
        <w:tc>
          <w:tcPr>
            <w:tcW w:w="3082" w:type="dxa"/>
            <w:shd w:val="clear" w:color="auto" w:fill="auto"/>
          </w:tcPr>
          <w:p w14:paraId="38430FC3" w14:textId="77777777" w:rsidR="009A5B55" w:rsidRPr="007A2B03" w:rsidRDefault="009A5B55" w:rsidP="009A5B55">
            <w:pPr>
              <w:spacing w:line="240" w:lineRule="auto"/>
              <w:ind w:firstLine="0"/>
            </w:pPr>
            <w:r w:rsidRPr="007A2B03">
              <w:t>Любой компонент донорской крови</w:t>
            </w:r>
          </w:p>
        </w:tc>
        <w:tc>
          <w:tcPr>
            <w:tcW w:w="8270" w:type="dxa"/>
            <w:shd w:val="clear" w:color="auto" w:fill="auto"/>
          </w:tcPr>
          <w:p w14:paraId="7FC07A83" w14:textId="77777777" w:rsidR="009A5B55" w:rsidRPr="007A2B03" w:rsidRDefault="009A5B55" w:rsidP="009A5B55">
            <w:pPr>
              <w:spacing w:line="240" w:lineRule="auto"/>
              <w:ind w:firstLine="0"/>
            </w:pPr>
            <w:r w:rsidRPr="007A2B03">
              <w:t>10 мл 10% кальция глюконата в 100 мл 0,9% раствора NaC</w:t>
            </w:r>
            <w:r w:rsidRPr="007A2B03">
              <w:rPr>
                <w:lang w:val="en-US"/>
              </w:rPr>
              <w:t>l</w:t>
            </w:r>
            <w:r w:rsidRPr="007A2B03">
              <w:t xml:space="preserve"> в/в капельно.</w:t>
            </w:r>
          </w:p>
        </w:tc>
      </w:tr>
      <w:tr w:rsidR="009A5B55" w:rsidRPr="00915AAD" w14:paraId="2861F9A9" w14:textId="77777777" w:rsidTr="002D3EBF">
        <w:tc>
          <w:tcPr>
            <w:tcW w:w="14560" w:type="dxa"/>
            <w:gridSpan w:val="3"/>
            <w:shd w:val="clear" w:color="auto" w:fill="auto"/>
          </w:tcPr>
          <w:p w14:paraId="3A8556DC" w14:textId="77777777" w:rsidR="009A5B55" w:rsidRPr="007A2B03" w:rsidRDefault="009A5B55" w:rsidP="00296A09">
            <w:pPr>
              <w:pStyle w:val="afe"/>
              <w:numPr>
                <w:ilvl w:val="0"/>
                <w:numId w:val="113"/>
              </w:numPr>
              <w:spacing w:line="240" w:lineRule="auto"/>
              <w:ind w:firstLine="0"/>
              <w:jc w:val="center"/>
              <w:rPr>
                <w:b/>
                <w:bCs/>
              </w:rPr>
            </w:pPr>
            <w:r w:rsidRPr="007A2B03">
              <w:rPr>
                <w:b/>
                <w:bCs/>
              </w:rPr>
              <w:t>Острый или отсроченный иммунный гемолиз</w:t>
            </w:r>
          </w:p>
        </w:tc>
      </w:tr>
      <w:tr w:rsidR="009A5B55" w:rsidRPr="00915AAD" w14:paraId="0B42741F" w14:textId="77777777" w:rsidTr="002D3EBF">
        <w:tc>
          <w:tcPr>
            <w:tcW w:w="3208" w:type="dxa"/>
            <w:shd w:val="clear" w:color="auto" w:fill="auto"/>
          </w:tcPr>
          <w:p w14:paraId="51B383A9" w14:textId="77777777" w:rsidR="009A5B55" w:rsidRPr="007A2B03" w:rsidRDefault="009A5B55" w:rsidP="00296A09">
            <w:pPr>
              <w:pStyle w:val="afe"/>
              <w:numPr>
                <w:ilvl w:val="0"/>
                <w:numId w:val="111"/>
              </w:numPr>
              <w:spacing w:line="240" w:lineRule="auto"/>
              <w:ind w:left="0" w:firstLine="0"/>
            </w:pPr>
            <w:r w:rsidRPr="007A2B03">
              <w:t>Гемолиз в анамнезе (клинических признаков гемолиза в настоящее время нет)</w:t>
            </w:r>
          </w:p>
        </w:tc>
        <w:tc>
          <w:tcPr>
            <w:tcW w:w="3082" w:type="dxa"/>
            <w:shd w:val="clear" w:color="auto" w:fill="auto"/>
          </w:tcPr>
          <w:p w14:paraId="6ECEDE3B" w14:textId="77777777" w:rsidR="009A5B55" w:rsidRPr="007A2B03" w:rsidRDefault="009A5B55" w:rsidP="009A5B55">
            <w:pPr>
              <w:spacing w:line="240" w:lineRule="auto"/>
              <w:ind w:firstLine="0"/>
            </w:pPr>
            <w:r w:rsidRPr="007A2B03">
              <w:t>Любой компонент донорской крови</w:t>
            </w:r>
          </w:p>
        </w:tc>
        <w:tc>
          <w:tcPr>
            <w:tcW w:w="8270" w:type="dxa"/>
            <w:shd w:val="clear" w:color="auto" w:fill="auto"/>
          </w:tcPr>
          <w:p w14:paraId="11307699" w14:textId="77777777" w:rsidR="009A5B55" w:rsidRPr="007A2B03" w:rsidRDefault="009A5B55" w:rsidP="009A5B55">
            <w:pPr>
              <w:spacing w:line="240" w:lineRule="auto"/>
              <w:ind w:firstLine="0"/>
            </w:pPr>
            <w:r w:rsidRPr="007A2B03">
              <w:t>10 мл 10% кальция глюконата в 100 мл 0,9% раствора NaC</w:t>
            </w:r>
            <w:r w:rsidRPr="007A2B03">
              <w:rPr>
                <w:lang w:val="en-US"/>
              </w:rPr>
              <w:t>l</w:t>
            </w:r>
            <w:r w:rsidRPr="007A2B03">
              <w:t xml:space="preserve"> в/в капельно</w:t>
            </w:r>
          </w:p>
        </w:tc>
      </w:tr>
      <w:tr w:rsidR="009A5B55" w:rsidRPr="00915AAD" w14:paraId="0020314C" w14:textId="77777777" w:rsidTr="002D3EBF">
        <w:tc>
          <w:tcPr>
            <w:tcW w:w="3208" w:type="dxa"/>
            <w:vMerge w:val="restart"/>
            <w:shd w:val="clear" w:color="auto" w:fill="auto"/>
          </w:tcPr>
          <w:p w14:paraId="0F6D8702" w14:textId="77777777" w:rsidR="009A5B55" w:rsidRPr="007A2B03" w:rsidRDefault="009A5B55" w:rsidP="00296A09">
            <w:pPr>
              <w:pStyle w:val="afe"/>
              <w:numPr>
                <w:ilvl w:val="0"/>
                <w:numId w:val="111"/>
              </w:numPr>
              <w:spacing w:line="240" w:lineRule="auto"/>
              <w:ind w:left="0" w:firstLine="0"/>
            </w:pPr>
            <w:r w:rsidRPr="007A2B03">
              <w:t>Активный гемолиз (признаки гемолиза сохраняются)</w:t>
            </w:r>
          </w:p>
        </w:tc>
        <w:tc>
          <w:tcPr>
            <w:tcW w:w="3082" w:type="dxa"/>
            <w:shd w:val="clear" w:color="auto" w:fill="auto"/>
          </w:tcPr>
          <w:p w14:paraId="77E0FE9C" w14:textId="77777777" w:rsidR="009A5B55" w:rsidRPr="007A2B03" w:rsidRDefault="009A5B55" w:rsidP="009A5B55">
            <w:pPr>
              <w:spacing w:line="240" w:lineRule="auto"/>
              <w:ind w:firstLine="0"/>
            </w:pPr>
            <w:r w:rsidRPr="007A2B03">
              <w:t>Эритроцитсодержащие компоненты донорской крови</w:t>
            </w:r>
          </w:p>
        </w:tc>
        <w:tc>
          <w:tcPr>
            <w:tcW w:w="8270" w:type="dxa"/>
            <w:shd w:val="clear" w:color="auto" w:fill="auto"/>
          </w:tcPr>
          <w:p w14:paraId="0D94B14B" w14:textId="77777777" w:rsidR="009A5B55" w:rsidRPr="007A2B03" w:rsidRDefault="009A5B55" w:rsidP="009A5B55">
            <w:pPr>
              <w:spacing w:line="240" w:lineRule="auto"/>
              <w:ind w:firstLine="0"/>
            </w:pPr>
            <w:r w:rsidRPr="007A2B03">
              <w:t>10 мл 10% кальция глюконата в 250-500 мл 0,9% раствора NaC</w:t>
            </w:r>
            <w:r w:rsidRPr="007A2B03">
              <w:rPr>
                <w:lang w:val="en-US"/>
              </w:rPr>
              <w:t>l</w:t>
            </w:r>
            <w:r w:rsidRPr="007A2B03">
              <w:t xml:space="preserve"> в/в капельно.</w:t>
            </w:r>
          </w:p>
          <w:p w14:paraId="1C623F39" w14:textId="77777777" w:rsidR="009A5B55" w:rsidRPr="007A2B03" w:rsidRDefault="009A5B55" w:rsidP="009A5B55">
            <w:pPr>
              <w:spacing w:line="240" w:lineRule="auto"/>
              <w:ind w:firstLine="0"/>
            </w:pPr>
            <w:r w:rsidRPr="007A2B03">
              <w:t>При высоком риске дальнейшего усиления иммунного гемолиза следует индивидуально рассмотреть возможность введения глюкокортикостероидов**, ритуксимаба.</w:t>
            </w:r>
          </w:p>
        </w:tc>
      </w:tr>
      <w:tr w:rsidR="009A5B55" w:rsidRPr="00915AAD" w14:paraId="608616A5" w14:textId="77777777" w:rsidTr="002D3EBF">
        <w:tc>
          <w:tcPr>
            <w:tcW w:w="3208" w:type="dxa"/>
            <w:vMerge/>
            <w:shd w:val="clear" w:color="auto" w:fill="auto"/>
          </w:tcPr>
          <w:p w14:paraId="6E0FDDF0" w14:textId="77777777" w:rsidR="009A5B55" w:rsidRPr="007A2B03" w:rsidRDefault="009A5B55" w:rsidP="009A5B55">
            <w:pPr>
              <w:spacing w:line="240" w:lineRule="auto"/>
              <w:ind w:firstLine="0"/>
            </w:pPr>
          </w:p>
        </w:tc>
        <w:tc>
          <w:tcPr>
            <w:tcW w:w="3082" w:type="dxa"/>
            <w:shd w:val="clear" w:color="auto" w:fill="auto"/>
          </w:tcPr>
          <w:p w14:paraId="71C23C44" w14:textId="77777777" w:rsidR="009A5B55" w:rsidRPr="007A2B03" w:rsidRDefault="009A5B55" w:rsidP="009A5B55">
            <w:pPr>
              <w:spacing w:line="240" w:lineRule="auto"/>
              <w:ind w:firstLine="0"/>
            </w:pPr>
            <w:r w:rsidRPr="007A2B03">
              <w:t>Концентрат тромбоцитов, свежезамороженная плазма, криопреципитат, криосупернатант</w:t>
            </w:r>
          </w:p>
        </w:tc>
        <w:tc>
          <w:tcPr>
            <w:tcW w:w="8270" w:type="dxa"/>
            <w:shd w:val="clear" w:color="auto" w:fill="auto"/>
          </w:tcPr>
          <w:p w14:paraId="438F0380" w14:textId="77777777" w:rsidR="009A5B55" w:rsidRPr="007A2B03" w:rsidRDefault="009A5B55" w:rsidP="009A5B55">
            <w:pPr>
              <w:spacing w:line="240" w:lineRule="auto"/>
              <w:ind w:firstLine="0"/>
            </w:pPr>
            <w:r w:rsidRPr="007A2B03">
              <w:t>10 мл 10% кальция глюконата в 500 мл 0,9% раствора NaC</w:t>
            </w:r>
            <w:r w:rsidRPr="007A2B03">
              <w:rPr>
                <w:lang w:val="en-US"/>
              </w:rPr>
              <w:t>l</w:t>
            </w:r>
            <w:r w:rsidRPr="007A2B03">
              <w:t xml:space="preserve"> в/в капельно</w:t>
            </w:r>
          </w:p>
        </w:tc>
      </w:tr>
      <w:tr w:rsidR="009A5B55" w:rsidRPr="00915AAD" w14:paraId="414767DE" w14:textId="77777777" w:rsidTr="002D3EBF">
        <w:tc>
          <w:tcPr>
            <w:tcW w:w="14560" w:type="dxa"/>
            <w:gridSpan w:val="3"/>
            <w:shd w:val="clear" w:color="auto" w:fill="auto"/>
          </w:tcPr>
          <w:p w14:paraId="131FAD48" w14:textId="77777777" w:rsidR="009A5B55" w:rsidRPr="007A2B03" w:rsidRDefault="009A5B55" w:rsidP="00296A09">
            <w:pPr>
              <w:pStyle w:val="afe"/>
              <w:numPr>
                <w:ilvl w:val="0"/>
                <w:numId w:val="113"/>
              </w:numPr>
              <w:spacing w:line="240" w:lineRule="auto"/>
              <w:ind w:firstLine="0"/>
              <w:jc w:val="center"/>
              <w:rPr>
                <w:b/>
                <w:bCs/>
              </w:rPr>
            </w:pPr>
            <w:r w:rsidRPr="007A2B03">
              <w:rPr>
                <w:b/>
                <w:bCs/>
              </w:rPr>
              <w:t>Посттрансфузионная болезнь «трансплантат против хозяина»</w:t>
            </w:r>
          </w:p>
        </w:tc>
      </w:tr>
      <w:tr w:rsidR="009A5B55" w:rsidRPr="00915AAD" w14:paraId="693195B1" w14:textId="77777777" w:rsidTr="002D3EBF">
        <w:tc>
          <w:tcPr>
            <w:tcW w:w="3208" w:type="dxa"/>
            <w:shd w:val="clear" w:color="auto" w:fill="auto"/>
          </w:tcPr>
          <w:p w14:paraId="6B6878C7" w14:textId="77777777" w:rsidR="009A5B55" w:rsidRPr="007A2B03" w:rsidRDefault="009A5B55" w:rsidP="009A5B55">
            <w:pPr>
              <w:spacing w:line="240" w:lineRule="auto"/>
              <w:ind w:firstLine="0"/>
            </w:pPr>
            <w:r w:rsidRPr="007A2B03">
              <w:t>Посттрансфузионная болезнь «трансплантат против хозяина»</w:t>
            </w:r>
          </w:p>
        </w:tc>
        <w:tc>
          <w:tcPr>
            <w:tcW w:w="3082" w:type="dxa"/>
            <w:shd w:val="clear" w:color="auto" w:fill="auto"/>
          </w:tcPr>
          <w:p w14:paraId="21EE4EED" w14:textId="77777777" w:rsidR="009A5B55" w:rsidRPr="007A2B03" w:rsidRDefault="009A5B55" w:rsidP="009A5B55">
            <w:pPr>
              <w:spacing w:line="240" w:lineRule="auto"/>
              <w:ind w:firstLine="0"/>
            </w:pPr>
            <w:r w:rsidRPr="007A2B03">
              <w:t>Любой компонент донорской крови</w:t>
            </w:r>
          </w:p>
        </w:tc>
        <w:tc>
          <w:tcPr>
            <w:tcW w:w="8270" w:type="dxa"/>
            <w:shd w:val="clear" w:color="auto" w:fill="auto"/>
          </w:tcPr>
          <w:p w14:paraId="4E568B7A" w14:textId="77777777" w:rsidR="009A5B55" w:rsidRPr="007A2B03" w:rsidRDefault="009A5B55" w:rsidP="009A5B55">
            <w:pPr>
              <w:spacing w:line="240" w:lineRule="auto"/>
              <w:ind w:firstLine="0"/>
            </w:pPr>
            <w:r w:rsidRPr="007A2B03">
              <w:t>10 мл 10% кальция глюконата в 100 мл 0,9% раствора NaC</w:t>
            </w:r>
            <w:r w:rsidRPr="007A2B03">
              <w:rPr>
                <w:lang w:val="en-US"/>
              </w:rPr>
              <w:t>l</w:t>
            </w:r>
            <w:r w:rsidRPr="007A2B03">
              <w:t xml:space="preserve"> в/в капельно</w:t>
            </w:r>
          </w:p>
        </w:tc>
      </w:tr>
      <w:tr w:rsidR="009A5B55" w:rsidRPr="00915AAD" w14:paraId="723C7A60" w14:textId="77777777" w:rsidTr="002D3EBF">
        <w:tc>
          <w:tcPr>
            <w:tcW w:w="14560" w:type="dxa"/>
            <w:gridSpan w:val="3"/>
            <w:shd w:val="clear" w:color="auto" w:fill="auto"/>
          </w:tcPr>
          <w:p w14:paraId="2E48A75B" w14:textId="77777777" w:rsidR="009A5B55" w:rsidRPr="007A2B03" w:rsidRDefault="009A5B55" w:rsidP="00296A09">
            <w:pPr>
              <w:pStyle w:val="afe"/>
              <w:numPr>
                <w:ilvl w:val="0"/>
                <w:numId w:val="113"/>
              </w:numPr>
              <w:spacing w:line="240" w:lineRule="auto"/>
              <w:ind w:firstLine="0"/>
              <w:jc w:val="center"/>
              <w:rPr>
                <w:b/>
                <w:bCs/>
              </w:rPr>
            </w:pPr>
            <w:r w:rsidRPr="007A2B03">
              <w:rPr>
                <w:b/>
                <w:bCs/>
              </w:rPr>
              <w:t xml:space="preserve">Посттрансфузионная пурпура: </w:t>
            </w:r>
          </w:p>
          <w:p w14:paraId="344911CB" w14:textId="77777777" w:rsidR="009A5B55" w:rsidRPr="007A2B03" w:rsidRDefault="009A5B55" w:rsidP="009A5B55">
            <w:pPr>
              <w:spacing w:line="240" w:lineRule="auto"/>
              <w:ind w:firstLine="0"/>
              <w:rPr>
                <w:b/>
                <w:bCs/>
              </w:rPr>
            </w:pPr>
            <w:r w:rsidRPr="007A2B03">
              <w:t>наличие антилейкоцитарных и (или) специфических антитромбоцитарных антител, рефрактерность к трансфузиям тромбоцитсодержащих сред</w:t>
            </w:r>
          </w:p>
        </w:tc>
      </w:tr>
      <w:tr w:rsidR="009A5B55" w:rsidRPr="00915AAD" w14:paraId="716C8750" w14:textId="77777777" w:rsidTr="002D3EBF">
        <w:tc>
          <w:tcPr>
            <w:tcW w:w="3208" w:type="dxa"/>
            <w:vMerge w:val="restart"/>
            <w:shd w:val="clear" w:color="auto" w:fill="auto"/>
          </w:tcPr>
          <w:p w14:paraId="152FA8B8" w14:textId="77777777" w:rsidR="009A5B55" w:rsidRPr="007A2B03" w:rsidRDefault="009A5B55" w:rsidP="009A5B55">
            <w:pPr>
              <w:spacing w:line="240" w:lineRule="auto"/>
              <w:ind w:firstLine="0"/>
            </w:pPr>
            <w:r w:rsidRPr="007A2B03">
              <w:t xml:space="preserve">Посттрансфузионная пурпура </w:t>
            </w:r>
          </w:p>
        </w:tc>
        <w:tc>
          <w:tcPr>
            <w:tcW w:w="3082" w:type="dxa"/>
            <w:shd w:val="clear" w:color="auto" w:fill="auto"/>
          </w:tcPr>
          <w:p w14:paraId="6068476D" w14:textId="77777777" w:rsidR="009A5B55" w:rsidRPr="007A2B03" w:rsidRDefault="009A5B55" w:rsidP="009A5B55">
            <w:pPr>
              <w:spacing w:line="240" w:lineRule="auto"/>
              <w:ind w:firstLine="0"/>
            </w:pPr>
            <w:r w:rsidRPr="007A2B03">
              <w:t>Индивидуально подобранный концентрат тромбоцитов методом адгезии на твердой фазе / в лимфоцитотоксическом тесте</w:t>
            </w:r>
          </w:p>
        </w:tc>
        <w:tc>
          <w:tcPr>
            <w:tcW w:w="8270" w:type="dxa"/>
            <w:shd w:val="clear" w:color="auto" w:fill="auto"/>
          </w:tcPr>
          <w:p w14:paraId="1B88FD5D" w14:textId="77777777" w:rsidR="009A5B55" w:rsidRPr="007A2B03" w:rsidRDefault="009A5B55" w:rsidP="009A5B55">
            <w:pPr>
              <w:spacing w:line="240" w:lineRule="auto"/>
              <w:ind w:firstLine="0"/>
            </w:pPr>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tc>
      </w:tr>
      <w:tr w:rsidR="009A5B55" w:rsidRPr="00915AAD" w14:paraId="324E2D19" w14:textId="77777777" w:rsidTr="002D3EBF">
        <w:tc>
          <w:tcPr>
            <w:tcW w:w="3208" w:type="dxa"/>
            <w:vMerge/>
            <w:shd w:val="clear" w:color="auto" w:fill="auto"/>
          </w:tcPr>
          <w:p w14:paraId="6B90008B" w14:textId="77777777" w:rsidR="009A5B55" w:rsidRPr="007A2B03" w:rsidRDefault="009A5B55" w:rsidP="009A5B55">
            <w:pPr>
              <w:spacing w:line="240" w:lineRule="auto"/>
              <w:ind w:firstLine="0"/>
            </w:pPr>
          </w:p>
        </w:tc>
        <w:tc>
          <w:tcPr>
            <w:tcW w:w="3082" w:type="dxa"/>
            <w:shd w:val="clear" w:color="auto" w:fill="auto"/>
          </w:tcPr>
          <w:p w14:paraId="0E71D7B3" w14:textId="77777777" w:rsidR="009A5B55" w:rsidRPr="007A2B03" w:rsidRDefault="009A5B55" w:rsidP="009A5B55">
            <w:pPr>
              <w:spacing w:line="240" w:lineRule="auto"/>
              <w:ind w:firstLine="0"/>
            </w:pPr>
            <w:r w:rsidRPr="007A2B03">
              <w:t>Концентрат тромбоцитов с невозможностью проведения индивидуального подбора</w:t>
            </w:r>
          </w:p>
        </w:tc>
        <w:tc>
          <w:tcPr>
            <w:tcW w:w="8270" w:type="dxa"/>
            <w:shd w:val="clear" w:color="auto" w:fill="auto"/>
          </w:tcPr>
          <w:p w14:paraId="406CA39A" w14:textId="77777777" w:rsidR="009A5B55" w:rsidRPr="007A2B03" w:rsidRDefault="009A5B55" w:rsidP="009A5B55">
            <w:pPr>
              <w:spacing w:line="240" w:lineRule="auto"/>
              <w:ind w:firstLine="0"/>
            </w:pPr>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p w14:paraId="22CD1FEB" w14:textId="77777777" w:rsidR="009A5B55" w:rsidRPr="007A2B03" w:rsidRDefault="009A5B55" w:rsidP="009A5B55">
            <w:pPr>
              <w:spacing w:line="240" w:lineRule="auto"/>
              <w:ind w:firstLine="0"/>
            </w:pPr>
            <w:r w:rsidRPr="007A2B03">
              <w:t>Индивидуально рассмотреть возможность разового введения глюкокортикостероидов** с целью снижения дальнейшей аллоиммунизации и уменьшения выраженности возможной посттрансфузионной реакции или осложнений на данную трансфузию (</w:t>
            </w:r>
            <w:r w:rsidRPr="007A2B03">
              <w:rPr>
                <w:shd w:val="clear" w:color="auto" w:fill="FFFFFF"/>
              </w:rPr>
              <w:t>следует </w:t>
            </w:r>
            <w:r w:rsidRPr="007A2B03">
              <w:rPr>
                <w:rStyle w:val="affc"/>
                <w:shd w:val="clear" w:color="auto" w:fill="FFFFFF"/>
              </w:rPr>
              <w:t>соотнести</w:t>
            </w:r>
            <w:r w:rsidRPr="007A2B03">
              <w:rPr>
                <w:shd w:val="clear" w:color="auto" w:fill="FFFFFF"/>
              </w:rPr>
              <w:t> потенциальные </w:t>
            </w:r>
            <w:r w:rsidRPr="007A2B03">
              <w:rPr>
                <w:rStyle w:val="affc"/>
                <w:shd w:val="clear" w:color="auto" w:fill="FFFFFF"/>
              </w:rPr>
              <w:t>риски</w:t>
            </w:r>
            <w:r w:rsidRPr="007A2B03">
              <w:rPr>
                <w:shd w:val="clear" w:color="auto" w:fill="FFFFFF"/>
              </w:rPr>
              <w:t> и ожидаемую </w:t>
            </w:r>
            <w:r w:rsidRPr="007A2B03">
              <w:rPr>
                <w:rStyle w:val="affc"/>
                <w:shd w:val="clear" w:color="auto" w:fill="FFFFFF"/>
              </w:rPr>
              <w:t>пользу</w:t>
            </w:r>
            <w:r w:rsidRPr="007A2B03">
              <w:t>).</w:t>
            </w:r>
          </w:p>
        </w:tc>
      </w:tr>
      <w:tr w:rsidR="009A5B55" w:rsidRPr="00915AAD" w14:paraId="63F48209" w14:textId="77777777" w:rsidTr="002D3EBF">
        <w:tc>
          <w:tcPr>
            <w:tcW w:w="3208" w:type="dxa"/>
            <w:vMerge/>
            <w:shd w:val="clear" w:color="auto" w:fill="auto"/>
          </w:tcPr>
          <w:p w14:paraId="7C24F0CB" w14:textId="77777777" w:rsidR="009A5B55" w:rsidRPr="007A2B03" w:rsidRDefault="009A5B55" w:rsidP="009A5B55">
            <w:pPr>
              <w:spacing w:line="240" w:lineRule="auto"/>
              <w:ind w:firstLine="0"/>
            </w:pPr>
          </w:p>
        </w:tc>
        <w:tc>
          <w:tcPr>
            <w:tcW w:w="3082" w:type="dxa"/>
            <w:shd w:val="clear" w:color="auto" w:fill="auto"/>
          </w:tcPr>
          <w:p w14:paraId="30369E59" w14:textId="77777777" w:rsidR="009A5B55" w:rsidRPr="007A2B03" w:rsidRDefault="009A5B55" w:rsidP="009A5B55">
            <w:pPr>
              <w:spacing w:line="240" w:lineRule="auto"/>
              <w:ind w:firstLine="0"/>
            </w:pPr>
            <w:r w:rsidRPr="007A2B03">
              <w:t>Другие компоненты донорской крови</w:t>
            </w:r>
          </w:p>
        </w:tc>
        <w:tc>
          <w:tcPr>
            <w:tcW w:w="8270" w:type="dxa"/>
            <w:shd w:val="clear" w:color="auto" w:fill="auto"/>
          </w:tcPr>
          <w:p w14:paraId="3A6586E3" w14:textId="77777777" w:rsidR="009A5B55" w:rsidRPr="007A2B03" w:rsidRDefault="009A5B55" w:rsidP="009A5B55">
            <w:pPr>
              <w:spacing w:line="240" w:lineRule="auto"/>
              <w:ind w:firstLine="0"/>
            </w:pPr>
            <w:r w:rsidRPr="007A2B03">
              <w:t>10 мл 10% кальция глюконата в 100 мл 0,9% раствора NaC</w:t>
            </w:r>
            <w:r w:rsidRPr="007A2B03">
              <w:rPr>
                <w:lang w:val="en-US"/>
              </w:rPr>
              <w:t>l</w:t>
            </w:r>
            <w:r w:rsidRPr="007A2B03">
              <w:t xml:space="preserve"> в/в капельно</w:t>
            </w:r>
          </w:p>
        </w:tc>
      </w:tr>
    </w:tbl>
    <w:p w14:paraId="362D8FBA" w14:textId="77777777" w:rsidR="009A5B55" w:rsidRPr="00BC3659" w:rsidRDefault="009A5B55" w:rsidP="009A5B55">
      <w:pPr>
        <w:rPr>
          <w:sz w:val="20"/>
          <w:szCs w:val="20"/>
        </w:rPr>
      </w:pPr>
      <w:r w:rsidRPr="00915AAD">
        <w:rPr>
          <w:szCs w:val="24"/>
        </w:rPr>
        <w:t xml:space="preserve">* </w:t>
      </w:r>
      <w:r w:rsidRPr="00BC3659">
        <w:rPr>
          <w:sz w:val="20"/>
          <w:szCs w:val="20"/>
        </w:rPr>
        <w:t>Предшествующие реакции и осложнения, связанные с трансфузией донорской крови и (или) ее компонентов, не влияющие на объем последующей премедикации при проведении трансфузионной терапии:</w:t>
      </w:r>
    </w:p>
    <w:p w14:paraId="0CEFA119" w14:textId="77777777" w:rsidR="009A5B55" w:rsidRPr="00BC3659" w:rsidRDefault="009A5B55" w:rsidP="00296A09">
      <w:pPr>
        <w:pStyle w:val="afe"/>
        <w:numPr>
          <w:ilvl w:val="0"/>
          <w:numId w:val="112"/>
        </w:numPr>
        <w:rPr>
          <w:sz w:val="20"/>
          <w:szCs w:val="20"/>
        </w:rPr>
      </w:pPr>
      <w:r w:rsidRPr="00BC3659">
        <w:rPr>
          <w:sz w:val="20"/>
          <w:szCs w:val="20"/>
        </w:rPr>
        <w:t>Иммунные:</w:t>
      </w:r>
    </w:p>
    <w:p w14:paraId="6003FD58" w14:textId="77777777" w:rsidR="009A5B55" w:rsidRPr="00BC3659" w:rsidRDefault="009A5B55" w:rsidP="00296A09">
      <w:pPr>
        <w:pStyle w:val="afe"/>
        <w:numPr>
          <w:ilvl w:val="0"/>
          <w:numId w:val="107"/>
        </w:numPr>
        <w:rPr>
          <w:sz w:val="20"/>
          <w:szCs w:val="20"/>
        </w:rPr>
      </w:pPr>
      <w:r w:rsidRPr="00BC3659">
        <w:rPr>
          <w:sz w:val="20"/>
          <w:szCs w:val="20"/>
        </w:rPr>
        <w:t>Обусловленное трансфузией острое повреждение легких</w:t>
      </w:r>
    </w:p>
    <w:p w14:paraId="141AFAD4" w14:textId="77777777" w:rsidR="009A5B55" w:rsidRPr="00BC3659" w:rsidRDefault="009A5B55" w:rsidP="00296A09">
      <w:pPr>
        <w:pStyle w:val="afe"/>
        <w:numPr>
          <w:ilvl w:val="0"/>
          <w:numId w:val="107"/>
        </w:numPr>
        <w:rPr>
          <w:sz w:val="20"/>
          <w:szCs w:val="20"/>
        </w:rPr>
      </w:pPr>
      <w:r w:rsidRPr="00BC3659">
        <w:rPr>
          <w:sz w:val="20"/>
          <w:szCs w:val="20"/>
        </w:rPr>
        <w:t>Обусловленная трансфузией одышка</w:t>
      </w:r>
    </w:p>
    <w:p w14:paraId="6A155308" w14:textId="77777777" w:rsidR="009A5B55" w:rsidRPr="00BC3659" w:rsidRDefault="009A5B55" w:rsidP="00296A09">
      <w:pPr>
        <w:pStyle w:val="afe"/>
        <w:numPr>
          <w:ilvl w:val="0"/>
          <w:numId w:val="112"/>
        </w:numPr>
        <w:rPr>
          <w:sz w:val="20"/>
          <w:szCs w:val="20"/>
        </w:rPr>
      </w:pPr>
      <w:r w:rsidRPr="00BC3659">
        <w:rPr>
          <w:sz w:val="20"/>
          <w:szCs w:val="20"/>
        </w:rPr>
        <w:t>Неиммуные:</w:t>
      </w:r>
    </w:p>
    <w:p w14:paraId="4F1F46B4" w14:textId="77777777" w:rsidR="009A5B55" w:rsidRPr="00BC3659" w:rsidRDefault="009A5B55" w:rsidP="00296A09">
      <w:pPr>
        <w:pStyle w:val="afe"/>
        <w:numPr>
          <w:ilvl w:val="0"/>
          <w:numId w:val="109"/>
        </w:numPr>
        <w:rPr>
          <w:sz w:val="20"/>
          <w:szCs w:val="20"/>
        </w:rPr>
      </w:pPr>
      <w:r w:rsidRPr="00BC3659">
        <w:rPr>
          <w:sz w:val="20"/>
          <w:szCs w:val="20"/>
        </w:rPr>
        <w:t>Обусловленная трансфузией циркуляторная перегрузка</w:t>
      </w:r>
    </w:p>
    <w:p w14:paraId="7DE83756" w14:textId="77777777" w:rsidR="009A5B55" w:rsidRPr="00BC3659" w:rsidRDefault="009A5B55" w:rsidP="00296A09">
      <w:pPr>
        <w:pStyle w:val="afe"/>
        <w:numPr>
          <w:ilvl w:val="0"/>
          <w:numId w:val="109"/>
        </w:numPr>
        <w:rPr>
          <w:sz w:val="20"/>
          <w:szCs w:val="20"/>
        </w:rPr>
      </w:pPr>
      <w:r w:rsidRPr="00BC3659">
        <w:rPr>
          <w:sz w:val="20"/>
          <w:szCs w:val="20"/>
        </w:rPr>
        <w:t>Посттрансфузионная гипертензия</w:t>
      </w:r>
    </w:p>
    <w:p w14:paraId="509FD72D" w14:textId="77777777" w:rsidR="009A5B55" w:rsidRPr="00BC3659" w:rsidRDefault="009A5B55" w:rsidP="00296A09">
      <w:pPr>
        <w:pStyle w:val="afe"/>
        <w:numPr>
          <w:ilvl w:val="0"/>
          <w:numId w:val="109"/>
        </w:numPr>
        <w:rPr>
          <w:sz w:val="20"/>
          <w:szCs w:val="20"/>
        </w:rPr>
      </w:pPr>
      <w:r w:rsidRPr="00BC3659">
        <w:rPr>
          <w:sz w:val="20"/>
          <w:szCs w:val="20"/>
        </w:rPr>
        <w:t>Острый неиммунный гемолиз</w:t>
      </w:r>
    </w:p>
    <w:p w14:paraId="1F0EB9C8" w14:textId="77777777" w:rsidR="009A5B55" w:rsidRPr="00BC3659" w:rsidRDefault="009A5B55" w:rsidP="00296A09">
      <w:pPr>
        <w:pStyle w:val="afe"/>
        <w:numPr>
          <w:ilvl w:val="0"/>
          <w:numId w:val="109"/>
        </w:numPr>
        <w:rPr>
          <w:sz w:val="20"/>
          <w:szCs w:val="20"/>
        </w:rPr>
      </w:pPr>
      <w:r w:rsidRPr="00BC3659">
        <w:rPr>
          <w:sz w:val="20"/>
          <w:szCs w:val="20"/>
        </w:rPr>
        <w:t>Септический шок</w:t>
      </w:r>
    </w:p>
    <w:p w14:paraId="12F9FEBB" w14:textId="77777777" w:rsidR="009A5B55" w:rsidRPr="00BC3659" w:rsidRDefault="009A5B55" w:rsidP="00296A09">
      <w:pPr>
        <w:pStyle w:val="afe"/>
        <w:numPr>
          <w:ilvl w:val="0"/>
          <w:numId w:val="109"/>
        </w:numPr>
        <w:rPr>
          <w:sz w:val="20"/>
          <w:szCs w:val="20"/>
        </w:rPr>
      </w:pPr>
      <w:r w:rsidRPr="00BC3659">
        <w:rPr>
          <w:sz w:val="20"/>
          <w:szCs w:val="20"/>
        </w:rPr>
        <w:t>Хроническая перегрузка железом</w:t>
      </w:r>
    </w:p>
    <w:p w14:paraId="1BAE13F1" w14:textId="77777777" w:rsidR="009A5B55" w:rsidRPr="00BC3659" w:rsidRDefault="009A5B55" w:rsidP="009A5B55">
      <w:pPr>
        <w:rPr>
          <w:sz w:val="20"/>
          <w:szCs w:val="20"/>
        </w:rPr>
      </w:pPr>
      <w:r w:rsidRPr="00BC3659">
        <w:rPr>
          <w:sz w:val="20"/>
          <w:szCs w:val="20"/>
        </w:rPr>
        <w:t xml:space="preserve">** Решение вопроса о введении глюкокортикостероидов и выбор дозы зависит от выраженности посттрансфузионной реакции или осложнения в анамнезе, степени тяжести сопутствующей патологии – инфекционные осложнения (особенно в период глубокой нейтропении), сахарный диабет, артериальная гипертензия и другие. Глюкокортикостероидные препараты в эквивалентных дозировках, применяемые в качестве премедикации перед трансфузией: 10-50 мг преднизолона, либо 2-6 мг дексаметазона, либо 25-100 мг гидрокортизона, либо 62,5-250 мг метилпреднизолона. </w:t>
      </w:r>
    </w:p>
    <w:p w14:paraId="003FCD63" w14:textId="77777777" w:rsidR="009A5B55" w:rsidRDefault="009A5B55" w:rsidP="009A5B55">
      <w:pPr>
        <w:rPr>
          <w:b/>
          <w:szCs w:val="24"/>
        </w:rPr>
      </w:pPr>
    </w:p>
    <w:p w14:paraId="2AB6F15C" w14:textId="77777777" w:rsidR="009A5B55" w:rsidRPr="00360841" w:rsidRDefault="009A5B55" w:rsidP="009A5B55">
      <w:pPr>
        <w:rPr>
          <w:i/>
          <w:szCs w:val="24"/>
          <w:u w:val="single"/>
        </w:rPr>
      </w:pPr>
      <w:r w:rsidRPr="00360841">
        <w:rPr>
          <w:i/>
          <w:szCs w:val="24"/>
          <w:u w:val="single"/>
        </w:rPr>
        <w:t xml:space="preserve">Лечебный плазмаферез в терапии рефрактерности к трансфузиям тромбоцитов </w:t>
      </w:r>
    </w:p>
    <w:p w14:paraId="47561836" w14:textId="77777777" w:rsidR="009A5B55" w:rsidRPr="003A7159" w:rsidRDefault="009A5B55" w:rsidP="009A5B55">
      <w:pPr>
        <w:pStyle w:val="afe"/>
        <w:ind w:left="0"/>
        <w:rPr>
          <w:szCs w:val="24"/>
        </w:rPr>
      </w:pPr>
      <w:r w:rsidRPr="003A7159">
        <w:rPr>
          <w:szCs w:val="24"/>
        </w:rPr>
        <w:t xml:space="preserve">Если с помощью индивидуального подбора донорских </w:t>
      </w:r>
      <w:r>
        <w:rPr>
          <w:szCs w:val="24"/>
        </w:rPr>
        <w:t>т</w:t>
      </w:r>
      <w:r w:rsidRPr="003A7159">
        <w:rPr>
          <w:szCs w:val="24"/>
        </w:rPr>
        <w:t xml:space="preserve">ромбоцитов не удаётся получить достаточный прирост тромбоцитов и клинический эффект от  трансфузий </w:t>
      </w:r>
      <w:r>
        <w:rPr>
          <w:szCs w:val="24"/>
        </w:rPr>
        <w:t>концентрата тромбоцитов</w:t>
      </w:r>
      <w:r w:rsidRPr="003A7159">
        <w:rPr>
          <w:szCs w:val="24"/>
        </w:rPr>
        <w:t xml:space="preserve">, то для улучшения эффективности индивидуального подбора пары «донор-реципиент» к терапии добавляют процедуры плазмафереза. В основе развивающейся рефрактерности к трансфузиям </w:t>
      </w:r>
      <w:r>
        <w:rPr>
          <w:szCs w:val="24"/>
        </w:rPr>
        <w:t>концентрата тромбоцитов</w:t>
      </w:r>
      <w:r w:rsidRPr="003A7159">
        <w:rPr>
          <w:szCs w:val="24"/>
        </w:rPr>
        <w:t xml:space="preserve"> лежит аллосенсибилизация реципиента лейкоцитарными и тромбоцитарными антигенами донорских клеток крови. </w:t>
      </w:r>
      <w:r>
        <w:rPr>
          <w:szCs w:val="24"/>
        </w:rPr>
        <w:t>В этом случае ц</w:t>
      </w:r>
      <w:r w:rsidRPr="003A7159">
        <w:rPr>
          <w:szCs w:val="24"/>
        </w:rPr>
        <w:t>елью проведения ПА является уменьшение концентрации циркулирующих аллоантител и иммунных комплексов.</w:t>
      </w:r>
    </w:p>
    <w:p w14:paraId="4CEBA3E9" w14:textId="77777777" w:rsidR="009A5B55" w:rsidRPr="003A7159" w:rsidRDefault="009A5B55" w:rsidP="009A5B55">
      <w:pPr>
        <w:pStyle w:val="afe"/>
        <w:ind w:left="0"/>
        <w:rPr>
          <w:szCs w:val="24"/>
        </w:rPr>
      </w:pPr>
      <w:r w:rsidRPr="003A7159">
        <w:rPr>
          <w:szCs w:val="24"/>
        </w:rPr>
        <w:t>Для преод</w:t>
      </w:r>
      <w:r>
        <w:rPr>
          <w:szCs w:val="24"/>
        </w:rPr>
        <w:t>о</w:t>
      </w:r>
      <w:r w:rsidRPr="003A7159">
        <w:rPr>
          <w:szCs w:val="24"/>
        </w:rPr>
        <w:t xml:space="preserve">ления рефрактерности к трансфузиям </w:t>
      </w:r>
      <w:r>
        <w:rPr>
          <w:szCs w:val="24"/>
        </w:rPr>
        <w:t>концентрата тромбоцитов</w:t>
      </w:r>
      <w:r w:rsidRPr="003A7159">
        <w:rPr>
          <w:szCs w:val="24"/>
        </w:rPr>
        <w:t xml:space="preserve"> в большинстве случаев достаточно провести 5-6 процедур (от 2 до 15 процедур) ПА в сочетании с индивидуальным подбором тромбоцитов. </w:t>
      </w:r>
    </w:p>
    <w:p w14:paraId="06FC08C0" w14:textId="77777777" w:rsidR="009A5B55" w:rsidRPr="00736DDC" w:rsidRDefault="009A5B55" w:rsidP="00296A09">
      <w:pPr>
        <w:pStyle w:val="afe"/>
        <w:numPr>
          <w:ilvl w:val="0"/>
          <w:numId w:val="115"/>
        </w:numPr>
        <w:rPr>
          <w:szCs w:val="24"/>
        </w:rPr>
      </w:pPr>
      <w:r w:rsidRPr="00736DDC">
        <w:rPr>
          <w:szCs w:val="24"/>
        </w:rPr>
        <w:t xml:space="preserve">ПА проводятся 2-3 раза в неделю с интервалом 2-3 дня. </w:t>
      </w:r>
    </w:p>
    <w:p w14:paraId="0DE85ED5" w14:textId="77777777" w:rsidR="009A5B55" w:rsidRPr="00736DDC" w:rsidRDefault="009A5B55" w:rsidP="00296A09">
      <w:pPr>
        <w:pStyle w:val="afe"/>
        <w:numPr>
          <w:ilvl w:val="0"/>
          <w:numId w:val="115"/>
        </w:numPr>
        <w:rPr>
          <w:szCs w:val="24"/>
        </w:rPr>
      </w:pPr>
      <w:r w:rsidRPr="00736DDC">
        <w:rPr>
          <w:szCs w:val="24"/>
        </w:rPr>
        <w:t>Объём удаляемой плазмы:</w:t>
      </w:r>
      <w:r>
        <w:rPr>
          <w:szCs w:val="24"/>
        </w:rPr>
        <w:t xml:space="preserve"> </w:t>
      </w:r>
      <w:r w:rsidRPr="00736DDC">
        <w:rPr>
          <w:szCs w:val="24"/>
        </w:rPr>
        <w:t xml:space="preserve">за одну процедуру удаляется 0,5 </w:t>
      </w:r>
      <w:r>
        <w:rPr>
          <w:szCs w:val="24"/>
        </w:rPr>
        <w:t>ОЦП</w:t>
      </w:r>
      <w:r w:rsidRPr="00736DDC">
        <w:rPr>
          <w:szCs w:val="24"/>
        </w:rPr>
        <w:t>, в среднем 1500</w:t>
      </w:r>
      <w:r>
        <w:rPr>
          <w:szCs w:val="24"/>
        </w:rPr>
        <w:t xml:space="preserve"> </w:t>
      </w:r>
      <w:r w:rsidRPr="00736DDC">
        <w:rPr>
          <w:szCs w:val="24"/>
        </w:rPr>
        <w:t>мл</w:t>
      </w:r>
      <w:r>
        <w:rPr>
          <w:szCs w:val="24"/>
        </w:rPr>
        <w:t xml:space="preserve"> (1000 – </w:t>
      </w:r>
      <w:r w:rsidRPr="00736DDC">
        <w:rPr>
          <w:szCs w:val="24"/>
        </w:rPr>
        <w:t>2000</w:t>
      </w:r>
      <w:r>
        <w:rPr>
          <w:szCs w:val="24"/>
        </w:rPr>
        <w:t xml:space="preserve"> </w:t>
      </w:r>
      <w:r w:rsidRPr="00736DDC">
        <w:rPr>
          <w:szCs w:val="24"/>
        </w:rPr>
        <w:t>мл)</w:t>
      </w:r>
      <w:r>
        <w:rPr>
          <w:szCs w:val="24"/>
        </w:rPr>
        <w:t>.</w:t>
      </w:r>
    </w:p>
    <w:p w14:paraId="268AC3E2" w14:textId="77777777" w:rsidR="009A5B55" w:rsidRPr="003A7159" w:rsidRDefault="009A5B55" w:rsidP="009A5B55">
      <w:pPr>
        <w:rPr>
          <w:szCs w:val="24"/>
        </w:rPr>
      </w:pPr>
      <w:r w:rsidRPr="003A7159">
        <w:rPr>
          <w:szCs w:val="24"/>
        </w:rPr>
        <w:t>С целью предупреждения  дополнительной аллоиммунизации антигенами донорских клеток крови и белками донорской плазмы замещение объёма удалённой плазмы проводится 5%, 10%, 20% раствором альбумина и раствором</w:t>
      </w:r>
      <w:r>
        <w:rPr>
          <w:szCs w:val="24"/>
        </w:rPr>
        <w:t xml:space="preserve"> натрия хлорида 0,9%</w:t>
      </w:r>
      <w:r w:rsidRPr="003A7159">
        <w:rPr>
          <w:szCs w:val="24"/>
        </w:rPr>
        <w:t>.</w:t>
      </w:r>
    </w:p>
    <w:p w14:paraId="348978EA" w14:textId="77777777" w:rsidR="009A5B55" w:rsidRDefault="009A5B55" w:rsidP="009A5B55">
      <w:pPr>
        <w:rPr>
          <w:szCs w:val="24"/>
        </w:rPr>
      </w:pPr>
      <w:r w:rsidRPr="003A7159">
        <w:rPr>
          <w:szCs w:val="24"/>
        </w:rPr>
        <w:t xml:space="preserve">Соотношение раствора 5% альбумина и </w:t>
      </w:r>
      <w:r>
        <w:rPr>
          <w:szCs w:val="24"/>
        </w:rPr>
        <w:t>р</w:t>
      </w:r>
      <w:r w:rsidRPr="00623297">
        <w:rPr>
          <w:szCs w:val="24"/>
        </w:rPr>
        <w:t>аствор</w:t>
      </w:r>
      <w:r>
        <w:rPr>
          <w:szCs w:val="24"/>
        </w:rPr>
        <w:t>а</w:t>
      </w:r>
      <w:r w:rsidRPr="00623297">
        <w:rPr>
          <w:szCs w:val="24"/>
        </w:rPr>
        <w:t xml:space="preserve"> </w:t>
      </w:r>
      <w:r>
        <w:rPr>
          <w:szCs w:val="24"/>
        </w:rPr>
        <w:t xml:space="preserve">натрия хлорида 0,9% </w:t>
      </w:r>
      <w:r w:rsidRPr="003A7159">
        <w:rPr>
          <w:szCs w:val="24"/>
        </w:rPr>
        <w:t>1:1 при уровне общего белка ≥ 65г/л</w:t>
      </w:r>
      <w:r>
        <w:rPr>
          <w:szCs w:val="24"/>
        </w:rPr>
        <w:t xml:space="preserve">: </w:t>
      </w:r>
    </w:p>
    <w:p w14:paraId="18F06B3F" w14:textId="77777777" w:rsidR="009A5B55" w:rsidRPr="009A1835" w:rsidRDefault="009A5B55" w:rsidP="00296A09">
      <w:pPr>
        <w:pStyle w:val="afe"/>
        <w:numPr>
          <w:ilvl w:val="0"/>
          <w:numId w:val="116"/>
        </w:numPr>
        <w:rPr>
          <w:szCs w:val="24"/>
        </w:rPr>
      </w:pPr>
      <w:r w:rsidRPr="009A1835">
        <w:rPr>
          <w:szCs w:val="24"/>
        </w:rPr>
        <w:t xml:space="preserve">Альбумин 5% - (500мл – 1000мл) в среднем 800 мл; </w:t>
      </w:r>
    </w:p>
    <w:p w14:paraId="5A4F193E" w14:textId="77777777" w:rsidR="009A5B55" w:rsidRPr="009A1835" w:rsidRDefault="009A5B55" w:rsidP="00296A09">
      <w:pPr>
        <w:pStyle w:val="afe"/>
        <w:numPr>
          <w:ilvl w:val="0"/>
          <w:numId w:val="116"/>
        </w:numPr>
        <w:rPr>
          <w:szCs w:val="24"/>
        </w:rPr>
      </w:pPr>
      <w:r>
        <w:rPr>
          <w:szCs w:val="24"/>
        </w:rPr>
        <w:t>Р</w:t>
      </w:r>
      <w:r w:rsidRPr="00623297">
        <w:rPr>
          <w:szCs w:val="24"/>
        </w:rPr>
        <w:t xml:space="preserve">аствор </w:t>
      </w:r>
      <w:r>
        <w:rPr>
          <w:szCs w:val="24"/>
        </w:rPr>
        <w:t xml:space="preserve">натрия хлорида 0,9% </w:t>
      </w:r>
      <w:r w:rsidRPr="009A1835">
        <w:rPr>
          <w:szCs w:val="24"/>
        </w:rPr>
        <w:t>в среднем 800 мл (500 – 1000 мл).</w:t>
      </w:r>
    </w:p>
    <w:p w14:paraId="278832B2" w14:textId="77777777" w:rsidR="009A5B55" w:rsidRDefault="009A5B55" w:rsidP="009A5B55">
      <w:pPr>
        <w:rPr>
          <w:szCs w:val="24"/>
          <w:u w:val="single"/>
        </w:rPr>
      </w:pPr>
    </w:p>
    <w:p w14:paraId="2F0DA1F8" w14:textId="77777777" w:rsidR="009A5B55" w:rsidRDefault="009A5B55" w:rsidP="009A5B55">
      <w:pPr>
        <w:rPr>
          <w:szCs w:val="24"/>
          <w:u w:val="single"/>
        </w:rPr>
      </w:pPr>
      <w:r w:rsidRPr="00623297">
        <w:rPr>
          <w:szCs w:val="24"/>
          <w:u w:val="single"/>
        </w:rPr>
        <w:t>Методические аспекты проведения ПА при тромбоцитопении, рефрактерной к трансфузиям концентрата тромбоцитов:</w:t>
      </w:r>
      <w:r>
        <w:rPr>
          <w:szCs w:val="24"/>
          <w:u w:val="single"/>
        </w:rPr>
        <w:t xml:space="preserve"> </w:t>
      </w:r>
    </w:p>
    <w:p w14:paraId="390B6FA0" w14:textId="77777777" w:rsidR="009A5B55" w:rsidRPr="00623297" w:rsidRDefault="009A5B55" w:rsidP="00296A09">
      <w:pPr>
        <w:pStyle w:val="afe"/>
        <w:numPr>
          <w:ilvl w:val="0"/>
          <w:numId w:val="117"/>
        </w:numPr>
        <w:rPr>
          <w:szCs w:val="24"/>
          <w:u w:val="single"/>
        </w:rPr>
      </w:pPr>
      <w:r w:rsidRPr="00623297">
        <w:rPr>
          <w:szCs w:val="24"/>
        </w:rPr>
        <w:t>При наличии глубокой  тромбоцитопении (≤ 20х10</w:t>
      </w:r>
      <w:r w:rsidRPr="00623297">
        <w:rPr>
          <w:szCs w:val="24"/>
          <w:vertAlign w:val="superscript"/>
        </w:rPr>
        <w:t>9</w:t>
      </w:r>
      <w:r w:rsidRPr="00623297">
        <w:rPr>
          <w:szCs w:val="24"/>
        </w:rPr>
        <w:t>/л) перед началом  проведения процедуры ПА необходимо провести трансфузию 4 – 6 доз тромбоцитов, заказать концентрат тромбоцитов для трансфузии после окончания процедуры ПА.</w:t>
      </w:r>
    </w:p>
    <w:p w14:paraId="06C62060" w14:textId="77777777" w:rsidR="009A5B55" w:rsidRPr="00C62ED8" w:rsidRDefault="009A5B55" w:rsidP="00296A09">
      <w:pPr>
        <w:pStyle w:val="afe"/>
        <w:numPr>
          <w:ilvl w:val="0"/>
          <w:numId w:val="117"/>
        </w:numPr>
        <w:rPr>
          <w:szCs w:val="24"/>
        </w:rPr>
      </w:pPr>
      <w:r w:rsidRPr="00C62ED8">
        <w:rPr>
          <w:szCs w:val="24"/>
        </w:rPr>
        <w:t>После проведённой процедуры ПА уровень общего белка плазмы должен быть ≥ 50г/л; если уровень общего белка плазмы будет меньше, то требуется дополнительное введение альбумина.</w:t>
      </w:r>
    </w:p>
    <w:p w14:paraId="79D4AEC8" w14:textId="77777777" w:rsidR="009A5B55" w:rsidRDefault="009A5B55" w:rsidP="00296A09">
      <w:pPr>
        <w:pStyle w:val="afe"/>
        <w:numPr>
          <w:ilvl w:val="0"/>
          <w:numId w:val="117"/>
        </w:numPr>
        <w:rPr>
          <w:szCs w:val="24"/>
        </w:rPr>
      </w:pPr>
      <w:r w:rsidRPr="00623297">
        <w:rPr>
          <w:szCs w:val="24"/>
        </w:rPr>
        <w:t xml:space="preserve">После каждых 2 – 3 процедур ПА необходим контроль уровня сывороточного белка и коагулограммы для исключения дефицита факторов свёртывания крови и развития геморрагического синдрома. При сохранении дефицита факторов свёртывания крови замещение объёма удалённой плазмы надо проводить СЗП + р-ром 5% альбумина  и </w:t>
      </w:r>
      <w:r>
        <w:rPr>
          <w:szCs w:val="24"/>
        </w:rPr>
        <w:t>р</w:t>
      </w:r>
      <w:r w:rsidRPr="00623297">
        <w:rPr>
          <w:szCs w:val="24"/>
        </w:rPr>
        <w:t>аствор</w:t>
      </w:r>
      <w:r>
        <w:rPr>
          <w:szCs w:val="24"/>
        </w:rPr>
        <w:t>ом</w:t>
      </w:r>
      <w:r w:rsidRPr="00623297">
        <w:rPr>
          <w:szCs w:val="24"/>
        </w:rPr>
        <w:t xml:space="preserve"> </w:t>
      </w:r>
      <w:r>
        <w:rPr>
          <w:szCs w:val="24"/>
        </w:rPr>
        <w:t>натрия хлорида 0,9%</w:t>
      </w:r>
      <w:r w:rsidRPr="00623297">
        <w:rPr>
          <w:szCs w:val="24"/>
        </w:rPr>
        <w:t xml:space="preserve">. </w:t>
      </w:r>
    </w:p>
    <w:p w14:paraId="6F42196D" w14:textId="77777777" w:rsidR="009A5B55" w:rsidRPr="00623297" w:rsidRDefault="009A5B55" w:rsidP="00296A09">
      <w:pPr>
        <w:pStyle w:val="afe"/>
        <w:numPr>
          <w:ilvl w:val="0"/>
          <w:numId w:val="117"/>
        </w:numPr>
        <w:rPr>
          <w:szCs w:val="24"/>
        </w:rPr>
      </w:pPr>
      <w:r w:rsidRPr="00623297">
        <w:rPr>
          <w:szCs w:val="24"/>
        </w:rPr>
        <w:t xml:space="preserve">Соотношение СЗП + раствора 5% альбумина и </w:t>
      </w:r>
      <w:r>
        <w:rPr>
          <w:szCs w:val="24"/>
        </w:rPr>
        <w:t>р</w:t>
      </w:r>
      <w:r w:rsidRPr="00623297">
        <w:rPr>
          <w:szCs w:val="24"/>
        </w:rPr>
        <w:t>аствор</w:t>
      </w:r>
      <w:r>
        <w:rPr>
          <w:szCs w:val="24"/>
        </w:rPr>
        <w:t>а</w:t>
      </w:r>
      <w:r w:rsidRPr="00623297">
        <w:rPr>
          <w:szCs w:val="24"/>
        </w:rPr>
        <w:t xml:space="preserve"> </w:t>
      </w:r>
      <w:r>
        <w:rPr>
          <w:szCs w:val="24"/>
        </w:rPr>
        <w:t xml:space="preserve">натрия хлорида 0,9% </w:t>
      </w:r>
      <w:r w:rsidRPr="00623297">
        <w:rPr>
          <w:szCs w:val="24"/>
        </w:rPr>
        <w:t xml:space="preserve">1:1 при уровне общего белка ≥ 65г/л </w:t>
      </w:r>
    </w:p>
    <w:p w14:paraId="55D664A8" w14:textId="77777777" w:rsidR="009A5B55" w:rsidRPr="00623297" w:rsidRDefault="009A5B55" w:rsidP="00296A09">
      <w:pPr>
        <w:pStyle w:val="afe"/>
        <w:numPr>
          <w:ilvl w:val="0"/>
          <w:numId w:val="118"/>
        </w:numPr>
        <w:rPr>
          <w:szCs w:val="24"/>
        </w:rPr>
      </w:pPr>
      <w:r w:rsidRPr="00623297">
        <w:rPr>
          <w:szCs w:val="24"/>
        </w:rPr>
        <w:t>СЗП –  в среднем 500</w:t>
      </w:r>
      <w:r>
        <w:rPr>
          <w:szCs w:val="24"/>
        </w:rPr>
        <w:t xml:space="preserve"> </w:t>
      </w:r>
      <w:r w:rsidRPr="00623297">
        <w:rPr>
          <w:szCs w:val="24"/>
        </w:rPr>
        <w:t>мл</w:t>
      </w:r>
      <w:r>
        <w:rPr>
          <w:szCs w:val="24"/>
        </w:rPr>
        <w:t xml:space="preserve"> (500 – </w:t>
      </w:r>
      <w:r w:rsidRPr="00623297">
        <w:rPr>
          <w:szCs w:val="24"/>
        </w:rPr>
        <w:t>1000</w:t>
      </w:r>
      <w:r>
        <w:rPr>
          <w:szCs w:val="24"/>
        </w:rPr>
        <w:t xml:space="preserve"> </w:t>
      </w:r>
      <w:r w:rsidRPr="00623297">
        <w:rPr>
          <w:szCs w:val="24"/>
        </w:rPr>
        <w:t>мл);</w:t>
      </w:r>
    </w:p>
    <w:p w14:paraId="1CE056D4" w14:textId="77777777" w:rsidR="009A5B55" w:rsidRPr="00623297" w:rsidRDefault="009A5B55" w:rsidP="00296A09">
      <w:pPr>
        <w:pStyle w:val="afe"/>
        <w:numPr>
          <w:ilvl w:val="0"/>
          <w:numId w:val="118"/>
        </w:numPr>
        <w:rPr>
          <w:szCs w:val="24"/>
        </w:rPr>
      </w:pPr>
      <w:r>
        <w:rPr>
          <w:szCs w:val="24"/>
        </w:rPr>
        <w:t xml:space="preserve">Альбумин 5%  200 – </w:t>
      </w:r>
      <w:r w:rsidRPr="00623297">
        <w:rPr>
          <w:szCs w:val="24"/>
        </w:rPr>
        <w:t>300мл (10 - 15г);</w:t>
      </w:r>
    </w:p>
    <w:p w14:paraId="656FB5AA" w14:textId="77777777" w:rsidR="009A5B55" w:rsidRPr="00623297" w:rsidRDefault="009A5B55" w:rsidP="00296A09">
      <w:pPr>
        <w:pStyle w:val="afe"/>
        <w:numPr>
          <w:ilvl w:val="0"/>
          <w:numId w:val="118"/>
        </w:numPr>
        <w:rPr>
          <w:szCs w:val="24"/>
        </w:rPr>
      </w:pPr>
      <w:r>
        <w:rPr>
          <w:szCs w:val="24"/>
        </w:rPr>
        <w:t>Р</w:t>
      </w:r>
      <w:r w:rsidRPr="00623297">
        <w:rPr>
          <w:szCs w:val="24"/>
        </w:rPr>
        <w:t xml:space="preserve">аствор </w:t>
      </w:r>
      <w:r>
        <w:rPr>
          <w:szCs w:val="24"/>
        </w:rPr>
        <w:t xml:space="preserve">натрия хлорида 0,9% </w:t>
      </w:r>
      <w:r w:rsidRPr="00623297">
        <w:rPr>
          <w:szCs w:val="24"/>
        </w:rPr>
        <w:t>в среднем 800</w:t>
      </w:r>
      <w:r>
        <w:rPr>
          <w:szCs w:val="24"/>
        </w:rPr>
        <w:t xml:space="preserve"> </w:t>
      </w:r>
      <w:r w:rsidRPr="00623297">
        <w:rPr>
          <w:szCs w:val="24"/>
        </w:rPr>
        <w:t>мл</w:t>
      </w:r>
      <w:r>
        <w:rPr>
          <w:szCs w:val="24"/>
        </w:rPr>
        <w:t xml:space="preserve"> </w:t>
      </w:r>
      <w:r w:rsidRPr="003A7159">
        <w:rPr>
          <w:szCs w:val="24"/>
        </w:rPr>
        <w:t>(500 – 1000</w:t>
      </w:r>
      <w:r>
        <w:rPr>
          <w:szCs w:val="24"/>
        </w:rPr>
        <w:t xml:space="preserve"> </w:t>
      </w:r>
      <w:r w:rsidRPr="003A7159">
        <w:rPr>
          <w:szCs w:val="24"/>
        </w:rPr>
        <w:t>мл)</w:t>
      </w:r>
      <w:r>
        <w:rPr>
          <w:szCs w:val="24"/>
        </w:rPr>
        <w:t>.</w:t>
      </w:r>
      <w:r w:rsidRPr="00623297">
        <w:rPr>
          <w:szCs w:val="24"/>
        </w:rPr>
        <w:t xml:space="preserve"> </w:t>
      </w:r>
    </w:p>
    <w:p w14:paraId="099932DF" w14:textId="77777777" w:rsidR="009A5B55" w:rsidRPr="003A7159" w:rsidRDefault="009A5B55" w:rsidP="009A5B55">
      <w:pPr>
        <w:rPr>
          <w:szCs w:val="24"/>
        </w:rPr>
      </w:pPr>
      <w:r w:rsidRPr="003A7159">
        <w:rPr>
          <w:szCs w:val="24"/>
        </w:rPr>
        <w:t>Соотношение СЗП + раствора 5% альбумина и раствора</w:t>
      </w:r>
      <w:r>
        <w:rPr>
          <w:szCs w:val="24"/>
        </w:rPr>
        <w:t xml:space="preserve"> натрия хлорида 0,9% </w:t>
      </w:r>
      <w:r w:rsidRPr="003A7159">
        <w:rPr>
          <w:szCs w:val="24"/>
        </w:rPr>
        <w:t xml:space="preserve"> </w:t>
      </w:r>
      <w:r>
        <w:rPr>
          <w:szCs w:val="24"/>
        </w:rPr>
        <w:t xml:space="preserve">составляет </w:t>
      </w:r>
      <w:r w:rsidRPr="003A7159">
        <w:rPr>
          <w:szCs w:val="24"/>
        </w:rPr>
        <w:t xml:space="preserve">2:1 при уровне общего белка </w:t>
      </w:r>
      <w:r>
        <w:rPr>
          <w:szCs w:val="24"/>
        </w:rPr>
        <w:t xml:space="preserve"> ≤ 55г/л:</w:t>
      </w:r>
    </w:p>
    <w:p w14:paraId="55414F01" w14:textId="77777777" w:rsidR="009A5B55" w:rsidRPr="00767D08" w:rsidRDefault="009A5B55" w:rsidP="00296A09">
      <w:pPr>
        <w:pStyle w:val="afe"/>
        <w:numPr>
          <w:ilvl w:val="0"/>
          <w:numId w:val="118"/>
        </w:numPr>
        <w:rPr>
          <w:szCs w:val="24"/>
        </w:rPr>
      </w:pPr>
      <w:r w:rsidRPr="00C02A00">
        <w:rPr>
          <w:szCs w:val="24"/>
        </w:rPr>
        <w:t xml:space="preserve">СЗП </w:t>
      </w:r>
      <w:r>
        <w:rPr>
          <w:szCs w:val="24"/>
        </w:rPr>
        <w:t>–</w:t>
      </w:r>
      <w:r w:rsidRPr="00C02A00">
        <w:rPr>
          <w:szCs w:val="24"/>
        </w:rPr>
        <w:t xml:space="preserve"> </w:t>
      </w:r>
      <w:r w:rsidRPr="00767D08">
        <w:rPr>
          <w:szCs w:val="24"/>
        </w:rPr>
        <w:t>в среднем 800</w:t>
      </w:r>
      <w:r>
        <w:rPr>
          <w:szCs w:val="24"/>
        </w:rPr>
        <w:t xml:space="preserve"> </w:t>
      </w:r>
      <w:r w:rsidRPr="00767D08">
        <w:rPr>
          <w:szCs w:val="24"/>
        </w:rPr>
        <w:t>мл</w:t>
      </w:r>
      <w:r>
        <w:rPr>
          <w:szCs w:val="24"/>
        </w:rPr>
        <w:t xml:space="preserve"> </w:t>
      </w:r>
      <w:r w:rsidRPr="00C02A00">
        <w:rPr>
          <w:szCs w:val="24"/>
        </w:rPr>
        <w:t>(500 – 1000мл)</w:t>
      </w:r>
      <w:r w:rsidRPr="00767D08">
        <w:rPr>
          <w:szCs w:val="24"/>
        </w:rPr>
        <w:t xml:space="preserve">; </w:t>
      </w:r>
    </w:p>
    <w:p w14:paraId="4580C9D5" w14:textId="77777777" w:rsidR="009A5B55" w:rsidRPr="00767D08" w:rsidRDefault="009A5B55" w:rsidP="00296A09">
      <w:pPr>
        <w:pStyle w:val="afe"/>
        <w:numPr>
          <w:ilvl w:val="0"/>
          <w:numId w:val="118"/>
        </w:numPr>
        <w:rPr>
          <w:szCs w:val="24"/>
        </w:rPr>
      </w:pPr>
      <w:r>
        <w:rPr>
          <w:szCs w:val="24"/>
        </w:rPr>
        <w:t>Альбумин 5%</w:t>
      </w:r>
      <w:r w:rsidRPr="00C02A00">
        <w:rPr>
          <w:szCs w:val="24"/>
        </w:rPr>
        <w:t xml:space="preserve"> 200</w:t>
      </w:r>
      <w:r>
        <w:rPr>
          <w:szCs w:val="24"/>
        </w:rPr>
        <w:t xml:space="preserve"> – </w:t>
      </w:r>
      <w:r w:rsidRPr="00767D08">
        <w:rPr>
          <w:szCs w:val="24"/>
        </w:rPr>
        <w:t>300мл  (10-15г);</w:t>
      </w:r>
    </w:p>
    <w:p w14:paraId="78CBBC81" w14:textId="77777777" w:rsidR="009A5B55" w:rsidRPr="00C02A00" w:rsidRDefault="009A5B55" w:rsidP="00296A09">
      <w:pPr>
        <w:pStyle w:val="afe"/>
        <w:numPr>
          <w:ilvl w:val="0"/>
          <w:numId w:val="118"/>
        </w:numPr>
        <w:rPr>
          <w:szCs w:val="24"/>
        </w:rPr>
      </w:pPr>
      <w:r w:rsidRPr="00C02A00">
        <w:rPr>
          <w:szCs w:val="24"/>
        </w:rPr>
        <w:t>Раствор натрия хлорида 0,9% –</w:t>
      </w:r>
      <w:r>
        <w:rPr>
          <w:szCs w:val="24"/>
        </w:rPr>
        <w:t xml:space="preserve"> </w:t>
      </w:r>
      <w:r w:rsidRPr="00C02A00">
        <w:rPr>
          <w:szCs w:val="24"/>
        </w:rPr>
        <w:t>в среднем 500мл (500 – 1000мл)</w:t>
      </w:r>
      <w:r>
        <w:rPr>
          <w:szCs w:val="24"/>
        </w:rPr>
        <w:t>.</w:t>
      </w:r>
      <w:r w:rsidRPr="00C02A00">
        <w:rPr>
          <w:szCs w:val="24"/>
        </w:rPr>
        <w:t xml:space="preserve">   </w:t>
      </w:r>
    </w:p>
    <w:p w14:paraId="3B0B8FAF" w14:textId="77777777" w:rsidR="009A5B55" w:rsidRPr="003A7159" w:rsidRDefault="009A5B55" w:rsidP="009A5B55">
      <w:pPr>
        <w:pStyle w:val="afe"/>
        <w:ind w:left="0"/>
        <w:rPr>
          <w:szCs w:val="24"/>
        </w:rPr>
      </w:pPr>
      <w:r w:rsidRPr="003A7159">
        <w:rPr>
          <w:szCs w:val="24"/>
        </w:rPr>
        <w:t xml:space="preserve">С целью профилактики цитратной реакции на каждый 1л СЗП вводится </w:t>
      </w:r>
      <w:r>
        <w:rPr>
          <w:szCs w:val="24"/>
        </w:rPr>
        <w:t>внутривенно 5мл раствора к</w:t>
      </w:r>
      <w:r w:rsidRPr="003A7159">
        <w:rPr>
          <w:szCs w:val="24"/>
        </w:rPr>
        <w:t xml:space="preserve">альция глюконата 10% или 5мл раствора </w:t>
      </w:r>
      <w:r>
        <w:rPr>
          <w:szCs w:val="24"/>
        </w:rPr>
        <w:t>к</w:t>
      </w:r>
      <w:r w:rsidRPr="003A7159">
        <w:rPr>
          <w:szCs w:val="24"/>
        </w:rPr>
        <w:t>альция хлорида 10%.</w:t>
      </w:r>
    </w:p>
    <w:p w14:paraId="4593F8ED" w14:textId="77777777" w:rsidR="009A5B55" w:rsidRDefault="009A5B55" w:rsidP="009A5B55">
      <w:pPr>
        <w:pStyle w:val="afe"/>
        <w:ind w:left="0"/>
        <w:rPr>
          <w:szCs w:val="24"/>
        </w:rPr>
      </w:pPr>
      <w:r w:rsidRPr="003A7159">
        <w:rPr>
          <w:szCs w:val="24"/>
        </w:rPr>
        <w:t xml:space="preserve">При наличии негемолитической посттрансфузионной реакции на трансфузии СЗП перед процедурой необходима премедикация (антигистаминные препараты, 10% раствор </w:t>
      </w:r>
      <w:r>
        <w:rPr>
          <w:szCs w:val="24"/>
        </w:rPr>
        <w:t>к</w:t>
      </w:r>
      <w:r w:rsidRPr="003A7159">
        <w:rPr>
          <w:szCs w:val="24"/>
        </w:rPr>
        <w:t>альция глюконата 10</w:t>
      </w:r>
      <w:r>
        <w:rPr>
          <w:szCs w:val="24"/>
        </w:rPr>
        <w:t xml:space="preserve"> </w:t>
      </w:r>
      <w:r w:rsidRPr="003A7159">
        <w:rPr>
          <w:szCs w:val="24"/>
        </w:rPr>
        <w:t>мл).</w:t>
      </w:r>
    </w:p>
    <w:p w14:paraId="58C17975" w14:textId="77777777" w:rsidR="009A5B55" w:rsidRPr="00A33DCF" w:rsidRDefault="009A5B55" w:rsidP="009A5B55">
      <w:pPr>
        <w:pStyle w:val="afffff1"/>
        <w:spacing w:after="0" w:line="360" w:lineRule="auto"/>
        <w:rPr>
          <w:i w:val="0"/>
          <w:lang w:val="ru-RU"/>
        </w:rPr>
      </w:pPr>
    </w:p>
    <w:p w14:paraId="1D7357E1" w14:textId="390D180F" w:rsidR="00691CAB" w:rsidRPr="00691CAB" w:rsidRDefault="009A5B55" w:rsidP="00691CAB">
      <w:pPr>
        <w:pStyle w:val="11"/>
      </w:pPr>
      <w:bookmarkStart w:id="112" w:name="_Toc65586430"/>
      <w:r>
        <w:t xml:space="preserve">Приложение А3.6. </w:t>
      </w:r>
      <w:bookmarkStart w:id="113" w:name="_Toc64477555"/>
      <w:r w:rsidR="00691CAB" w:rsidRPr="002C6FFD">
        <w:rPr>
          <w:rFonts w:eastAsia="Arial Unicode MS"/>
        </w:rPr>
        <w:t>Протоколы выполнения аспирационного и биопсийного исследования костного мозга</w:t>
      </w:r>
      <w:bookmarkEnd w:id="112"/>
      <w:bookmarkEnd w:id="113"/>
    </w:p>
    <w:p w14:paraId="10394B29" w14:textId="77777777" w:rsidR="00691CAB" w:rsidRPr="002C6FFD" w:rsidRDefault="00691CAB" w:rsidP="00691CAB">
      <w:pPr>
        <w:pStyle w:val="Normal11"/>
        <w:spacing w:before="0" w:line="360" w:lineRule="auto"/>
        <w:ind w:left="0" w:firstLine="699"/>
        <w:jc w:val="both"/>
        <w:rPr>
          <w:rFonts w:cs="Times New Roman"/>
          <w:spacing w:val="0"/>
        </w:rPr>
      </w:pPr>
      <w:r w:rsidRPr="002C6FFD">
        <w:rPr>
          <w:rFonts w:cs="Times New Roman"/>
          <w:spacing w:val="0"/>
          <w:shd w:val="clear" w:color="auto" w:fill="FFFFFF"/>
        </w:rPr>
        <w:t>Пункционное (стернальная пункция, аспирация костного мозга) и биопсийное (трепанобиопсия, биопсия костного мозга) исследования костного мозга — это диагностические методы, позволяющие получить образец тканей костного мозга из грудины или костей таза, путем аспирации и чрескожной трепанобиопсии.</w:t>
      </w:r>
    </w:p>
    <w:p w14:paraId="01052F80" w14:textId="77777777" w:rsidR="00691CAB" w:rsidRPr="002C6FFD" w:rsidRDefault="00691CAB" w:rsidP="00691CAB">
      <w:pPr>
        <w:ind w:firstLine="699"/>
        <w:rPr>
          <w:rFonts w:cs="Times New Roman"/>
          <w:szCs w:val="24"/>
        </w:rPr>
      </w:pPr>
      <w:r w:rsidRPr="002C6FFD">
        <w:rPr>
          <w:rFonts w:cs="Times New Roman"/>
          <w:szCs w:val="24"/>
        </w:rPr>
        <w:t xml:space="preserve">С помощью аспирационной биопсии (пункции) получают образцы костного мозга для морфологической оценки клеточного состава и, при необходимости, дополнительных исследований – иммунофенотипический анализ методом проточной цитометрии, цитогенетические, молекулярные и другие исследования. Биопсия костного мозга (трепанобиопсия) дополнительно позволяет получить при гистологическом исследовании более подробную информацию о клеточности костного мозга, его морфологическом составе, особенностях стромы, детально охарактеризовать клеточные популяции, в том числе, с помощью иммуногистохимического исследования. </w:t>
      </w:r>
    </w:p>
    <w:p w14:paraId="3EFBFF8B" w14:textId="77777777" w:rsidR="00691CAB" w:rsidRPr="002C6FFD" w:rsidRDefault="00691CAB" w:rsidP="00691CAB">
      <w:pPr>
        <w:ind w:firstLine="699"/>
        <w:rPr>
          <w:rFonts w:cs="Times New Roman"/>
          <w:szCs w:val="24"/>
        </w:rPr>
      </w:pPr>
      <w:r w:rsidRPr="002C6FFD">
        <w:rPr>
          <w:rFonts w:cs="Times New Roman"/>
          <w:szCs w:val="24"/>
        </w:rPr>
        <w:t xml:space="preserve">Процедуры аспирационного и биопсийного исследования костного мозга являются рутинными и проводятся в амбулаторных и стационарных условиях. Для выполнения пункции костного мозга применяются одноразовые или многоразовые стерилизуемые иглы. </w:t>
      </w:r>
      <w:r w:rsidRPr="002C6FFD">
        <w:rPr>
          <w:rFonts w:cs="Times New Roman"/>
          <w:color w:val="212121"/>
          <w:szCs w:val="24"/>
        </w:rPr>
        <w:t xml:space="preserve">Трепанобиопсия костного мозга </w:t>
      </w:r>
      <w:r w:rsidRPr="002C6FFD">
        <w:rPr>
          <w:rFonts w:cs="Times New Roman"/>
          <w:szCs w:val="24"/>
        </w:rPr>
        <w:t xml:space="preserve">выполняется одноразовой или многоразовой стерелизуемой иглой Jamshidi или иглой сходной с ней конструкции. </w:t>
      </w:r>
    </w:p>
    <w:p w14:paraId="64873A42" w14:textId="77777777" w:rsidR="00691CAB" w:rsidRDefault="00691CAB" w:rsidP="00691CAB">
      <w:pPr>
        <w:ind w:firstLine="699"/>
        <w:rPr>
          <w:rFonts w:cs="Times New Roman"/>
          <w:szCs w:val="24"/>
        </w:rPr>
      </w:pPr>
      <w:r w:rsidRPr="002C6FFD">
        <w:rPr>
          <w:rFonts w:cs="Times New Roman"/>
          <w:szCs w:val="24"/>
        </w:rPr>
        <w:t xml:space="preserve">При выполнении процедур взятия костного мозга для исследований редко возможны осложнения. Так, частота возникновения осложнений биопсии костного мозга по данным Британского общества гематологов за период 7 лет (1995—2001 гг.) составила 0,05% (26 / 54890, в том числе, 2 фатальных – сепсис, массивное кровотечение). В спектре осложнений наиболее частыми были: кровотечения (в том числе развитие массивных ретроперитонеальных гематом), поломка инструмента, инфекционные осложнения. Факторами риска развития кровотечения являлись проводимая больному терапия антикоагулянтами и антиагрегантами, миелопролиферативный или миелодиспластический синдромы, сопровождающиеся дисфункцией тромбоцитов, коагулологические нарушения, тромбоцитопения.  </w:t>
      </w:r>
    </w:p>
    <w:p w14:paraId="32D2D536" w14:textId="77777777" w:rsidR="00691CAB" w:rsidRPr="002C6FFD" w:rsidRDefault="00691CAB" w:rsidP="00691CAB">
      <w:pPr>
        <w:ind w:firstLine="699"/>
        <w:rPr>
          <w:rFonts w:cs="Times New Roman"/>
          <w:szCs w:val="24"/>
        </w:rPr>
      </w:pPr>
    </w:p>
    <w:p w14:paraId="5D4A4D49" w14:textId="09794B80" w:rsidR="00691CAB" w:rsidRPr="00F30696" w:rsidRDefault="00691CAB" w:rsidP="00691CAB">
      <w:pPr>
        <w:rPr>
          <w:b/>
          <w:i/>
          <w:iCs/>
          <w:u w:val="single"/>
          <w:shd w:val="clear" w:color="auto" w:fill="FFFFFF"/>
        </w:rPr>
      </w:pPr>
      <w:r w:rsidRPr="00F30696">
        <w:rPr>
          <w:i/>
          <w:iCs/>
          <w:u w:val="single"/>
          <w:shd w:val="clear" w:color="auto" w:fill="FFFFFF"/>
        </w:rPr>
        <w:t xml:space="preserve">Показания к выполнению пункционного (аспирационного) исследования костного мозга </w:t>
      </w:r>
      <w:r w:rsidRPr="00F30696">
        <w:rPr>
          <w:b/>
          <w:i/>
          <w:iCs/>
          <w:u w:val="single"/>
          <w:shd w:val="clear" w:color="auto" w:fill="FFFFFF"/>
        </w:rPr>
        <w:fldChar w:fldCharType="begin" w:fldLock="1"/>
      </w:r>
      <w:r w:rsidR="004F33C9">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[142]","plainTextFormattedCitation":"[142]","previouslyFormattedCitation":"[142]"},"properties":{"noteIndex":0},"schema":"https://github.com/citation-style-language/schema/raw/master/csl-citation.json"}</w:instrText>
      </w:r>
      <w:r w:rsidRPr="00F30696">
        <w:rPr>
          <w:b/>
          <w:i/>
          <w:iCs/>
          <w:u w:val="single"/>
          <w:shd w:val="clear" w:color="auto" w:fill="FFFFFF"/>
        </w:rPr>
        <w:fldChar w:fldCharType="separate"/>
      </w:r>
      <w:r w:rsidR="00C05F48" w:rsidRPr="00C05F48">
        <w:rPr>
          <w:iCs/>
          <w:noProof/>
          <w:shd w:val="clear" w:color="auto" w:fill="FFFFFF"/>
        </w:rPr>
        <w:t>[142]</w:t>
      </w:r>
      <w:r w:rsidRPr="00F30696">
        <w:rPr>
          <w:b/>
          <w:i/>
          <w:iCs/>
          <w:u w:val="single"/>
          <w:shd w:val="clear" w:color="auto" w:fill="FFFFFF"/>
        </w:rPr>
        <w:fldChar w:fldCharType="end"/>
      </w:r>
      <w:r w:rsidRPr="00F30696">
        <w:rPr>
          <w:i/>
          <w:iCs/>
          <w:u w:val="single"/>
          <w:shd w:val="clear" w:color="auto" w:fill="FFFFFF"/>
        </w:rPr>
        <w:t xml:space="preserve"> </w:t>
      </w:r>
    </w:p>
    <w:p w14:paraId="0683CD1A" w14:textId="77777777" w:rsidR="00691CAB" w:rsidRPr="002C6FFD" w:rsidRDefault="00691CAB" w:rsidP="00691CAB">
      <w:pPr>
        <w:pStyle w:val="bullet"/>
        <w:numPr>
          <w:ilvl w:val="0"/>
          <w:numId w:val="126"/>
        </w:numPr>
        <w:spacing w:line="360" w:lineRule="auto"/>
        <w:jc w:val="both"/>
        <w:rPr>
          <w:rFonts w:cs="Times New Roman"/>
          <w:spacing w:val="0"/>
          <w:shd w:val="clear" w:color="auto" w:fill="FFFFFF"/>
        </w:rPr>
      </w:pPr>
      <w:r w:rsidRPr="002C6FFD">
        <w:rPr>
          <w:rFonts w:cs="Times New Roman"/>
          <w:spacing w:val="0"/>
          <w:shd w:val="clear" w:color="auto" w:fill="FFFFFF"/>
        </w:rPr>
        <w:t>Дифференциальная диагностика гематологических заболеваний: острых и хронических лейкозов</w:t>
      </w:r>
      <w:r w:rsidRPr="002C6FFD">
        <w:rPr>
          <w:rFonts w:cs="Times New Roman"/>
          <w:spacing w:val="0"/>
        </w:rPr>
        <w:t xml:space="preserve">, </w:t>
      </w:r>
      <w:r w:rsidRPr="002C6FFD">
        <w:rPr>
          <w:rFonts w:cs="Times New Roman"/>
          <w:spacing w:val="0"/>
          <w:shd w:val="clear" w:color="auto" w:fill="FFFFFF"/>
        </w:rPr>
        <w:t>миелодиспластических синдромов, миелопролиферативных и лимфопролиферативных заболеваний, множественной миеломы и других плазмоклеточных заболеваний, апластической анемии, идиопатической тромбоцитопенической пурпуры.</w:t>
      </w:r>
    </w:p>
    <w:p w14:paraId="09602149" w14:textId="77777777" w:rsidR="00691CAB" w:rsidRPr="002C6FFD" w:rsidRDefault="00691CAB" w:rsidP="00691CAB">
      <w:pPr>
        <w:pStyle w:val="bullet"/>
        <w:numPr>
          <w:ilvl w:val="0"/>
          <w:numId w:val="126"/>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при цитопении (одно-, двухростковой или панцитопении) невыясненной этиологии.</w:t>
      </w:r>
    </w:p>
    <w:p w14:paraId="47E9A1E5" w14:textId="77777777" w:rsidR="00691CAB" w:rsidRPr="002C6FFD" w:rsidRDefault="00691CAB" w:rsidP="00691CAB">
      <w:pPr>
        <w:pStyle w:val="bullet"/>
        <w:numPr>
          <w:ilvl w:val="0"/>
          <w:numId w:val="126"/>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при наличии незрелых клеток в периферической крови, особенно бластов; при лейкоцитозе невыясненной этиологии; при моноклональной гаммапатии.</w:t>
      </w:r>
    </w:p>
    <w:p w14:paraId="68F4A6C1" w14:textId="77777777" w:rsidR="00691CAB" w:rsidRPr="002C6FFD" w:rsidRDefault="00691CAB" w:rsidP="00691CAB">
      <w:pPr>
        <w:pStyle w:val="bullet"/>
        <w:numPr>
          <w:ilvl w:val="0"/>
          <w:numId w:val="126"/>
        </w:numPr>
        <w:spacing w:line="360" w:lineRule="auto"/>
        <w:jc w:val="both"/>
        <w:rPr>
          <w:rFonts w:cs="Times New Roman"/>
          <w:spacing w:val="0"/>
          <w:shd w:val="clear" w:color="auto" w:fill="FFFFFF"/>
        </w:rPr>
      </w:pPr>
      <w:r w:rsidRPr="002C6FFD">
        <w:rPr>
          <w:rFonts w:cs="Times New Roman"/>
          <w:spacing w:val="0"/>
          <w:shd w:val="clear" w:color="auto" w:fill="FFFFFF"/>
        </w:rPr>
        <w:t>Оценка миелопоэза при макроцитарной анемии (вследствие недостаточного поступления или нарушения всасывания таких веществ как медь, цинк, витамин B</w:t>
      </w:r>
      <w:r w:rsidRPr="002C6FFD">
        <w:rPr>
          <w:rFonts w:cs="Times New Roman"/>
          <w:spacing w:val="0"/>
          <w:shd w:val="clear" w:color="auto" w:fill="FFFFFF"/>
          <w:vertAlign w:val="subscript"/>
        </w:rPr>
        <w:t>12</w:t>
      </w:r>
      <w:r w:rsidRPr="002C6FFD">
        <w:rPr>
          <w:rFonts w:cs="Times New Roman"/>
          <w:spacing w:val="0"/>
          <w:shd w:val="clear" w:color="auto" w:fill="FFFFFF"/>
        </w:rPr>
        <w:t xml:space="preserve"> или фолиевая кислота).</w:t>
      </w:r>
    </w:p>
    <w:p w14:paraId="0CAE2EC8" w14:textId="77777777" w:rsidR="00691CAB" w:rsidRPr="002C6FFD" w:rsidRDefault="00691CAB" w:rsidP="00691CAB">
      <w:pPr>
        <w:pStyle w:val="bullet"/>
        <w:numPr>
          <w:ilvl w:val="0"/>
          <w:numId w:val="126"/>
        </w:numPr>
        <w:spacing w:line="360" w:lineRule="auto"/>
        <w:jc w:val="both"/>
        <w:rPr>
          <w:rFonts w:cs="Times New Roman"/>
          <w:spacing w:val="0"/>
          <w:shd w:val="clear" w:color="auto" w:fill="FFFFFF"/>
        </w:rPr>
      </w:pPr>
      <w:r w:rsidRPr="002C6FFD">
        <w:rPr>
          <w:rFonts w:cs="Times New Roman"/>
          <w:spacing w:val="0"/>
          <w:shd w:val="clear" w:color="auto" w:fill="FFFFFF"/>
        </w:rPr>
        <w:t xml:space="preserve">Дифференциальная диагностика при лихорадке неясного генеза в сочетании с увеличением </w:t>
      </w:r>
      <w:r w:rsidRPr="002C6FFD">
        <w:rPr>
          <w:rFonts w:cs="Times New Roman"/>
          <w:color w:val="auto"/>
          <w:spacing w:val="0"/>
          <w:shd w:val="clear" w:color="auto" w:fill="FFFFFF"/>
        </w:rPr>
        <w:t>размеров</w:t>
      </w:r>
      <w:r w:rsidRPr="002C6FFD">
        <w:rPr>
          <w:rFonts w:cs="Times New Roman"/>
          <w:spacing w:val="0"/>
          <w:shd w:val="clear" w:color="auto" w:fill="FFFFFF"/>
        </w:rPr>
        <w:t xml:space="preserve"> селезенки и/или лимфоузлов или без их увеличения.</w:t>
      </w:r>
    </w:p>
    <w:p w14:paraId="11455B04" w14:textId="77777777" w:rsidR="00691CAB" w:rsidRPr="002C6FFD" w:rsidRDefault="00691CAB" w:rsidP="00691CAB">
      <w:pPr>
        <w:pStyle w:val="bullet"/>
        <w:numPr>
          <w:ilvl w:val="0"/>
          <w:numId w:val="126"/>
        </w:numPr>
        <w:spacing w:line="360" w:lineRule="auto"/>
        <w:jc w:val="both"/>
        <w:rPr>
          <w:rFonts w:cs="Times New Roman"/>
          <w:spacing w:val="0"/>
          <w:shd w:val="clear" w:color="auto" w:fill="FFFFFF"/>
        </w:rPr>
      </w:pPr>
      <w:r w:rsidRPr="002C6FFD">
        <w:rPr>
          <w:rFonts w:cs="Times New Roman"/>
          <w:spacing w:val="0"/>
          <w:shd w:val="clear" w:color="auto" w:fill="FFFFFF"/>
        </w:rPr>
        <w:t>Мониторинг эффективности лечения различных заболеваний системы крови.</w:t>
      </w:r>
    </w:p>
    <w:p w14:paraId="2CC17050" w14:textId="77777777" w:rsidR="00691CAB" w:rsidRPr="002C6FFD" w:rsidRDefault="00691CAB" w:rsidP="00691CAB">
      <w:pPr>
        <w:pStyle w:val="bullet"/>
        <w:numPr>
          <w:ilvl w:val="0"/>
          <w:numId w:val="126"/>
        </w:numPr>
        <w:spacing w:line="360" w:lineRule="auto"/>
        <w:jc w:val="both"/>
        <w:rPr>
          <w:rFonts w:cs="Times New Roman"/>
          <w:spacing w:val="0"/>
          <w:shd w:val="clear" w:color="auto" w:fill="FFFFFF"/>
        </w:rPr>
      </w:pPr>
      <w:r w:rsidRPr="002C6FFD">
        <w:rPr>
          <w:rFonts w:cs="Times New Roman"/>
          <w:spacing w:val="0"/>
          <w:shd w:val="clear" w:color="auto" w:fill="FFFFFF"/>
        </w:rPr>
        <w:t>Оценка восстановления гемопоэза после трансплантации гемопоэтический стволовых клеток (ТГСК).</w:t>
      </w:r>
    </w:p>
    <w:p w14:paraId="13FE67F6" w14:textId="77777777" w:rsidR="00691CAB" w:rsidRPr="002C6FFD" w:rsidRDefault="00691CAB" w:rsidP="00691CAB">
      <w:pPr>
        <w:pStyle w:val="bullet"/>
        <w:numPr>
          <w:ilvl w:val="0"/>
          <w:numId w:val="126"/>
        </w:numPr>
        <w:spacing w:line="360" w:lineRule="auto"/>
        <w:jc w:val="both"/>
        <w:rPr>
          <w:rFonts w:cs="Times New Roman"/>
          <w:spacing w:val="0"/>
          <w:shd w:val="clear" w:color="auto" w:fill="FFFFFF"/>
        </w:rPr>
      </w:pPr>
      <w:r w:rsidRPr="002C6FFD">
        <w:rPr>
          <w:rFonts w:cs="Times New Roman"/>
          <w:spacing w:val="0"/>
          <w:shd w:val="clear" w:color="auto" w:fill="FFFFFF"/>
        </w:rPr>
        <w:t xml:space="preserve">В составе комплексного обследования при негематологических заболеваниях, например, у больных с </w:t>
      </w:r>
      <w:r w:rsidRPr="002C6FFD">
        <w:rPr>
          <w:rFonts w:cs="Times New Roman"/>
          <w:spacing w:val="0"/>
        </w:rPr>
        <w:t xml:space="preserve">ВИЧ-инфекцией </w:t>
      </w:r>
      <w:r w:rsidRPr="002C6FFD">
        <w:rPr>
          <w:rFonts w:cs="Times New Roman"/>
          <w:spacing w:val="0"/>
          <w:shd w:val="clear" w:color="auto" w:fill="FFFFFF"/>
        </w:rPr>
        <w:t>и СПИДом.</w:t>
      </w:r>
    </w:p>
    <w:p w14:paraId="21E6F301" w14:textId="77777777" w:rsidR="00691CAB" w:rsidRPr="002C6FFD" w:rsidRDefault="00691CAB" w:rsidP="00691CAB">
      <w:pPr>
        <w:pStyle w:val="bullet"/>
        <w:numPr>
          <w:ilvl w:val="0"/>
          <w:numId w:val="126"/>
        </w:numPr>
        <w:spacing w:line="360" w:lineRule="auto"/>
        <w:jc w:val="both"/>
        <w:rPr>
          <w:rFonts w:cs="Times New Roman"/>
          <w:spacing w:val="0"/>
          <w:shd w:val="clear" w:color="auto" w:fill="FFFFFF"/>
        </w:rPr>
      </w:pPr>
      <w:r w:rsidRPr="002C6FFD">
        <w:rPr>
          <w:rFonts w:cs="Times New Roman"/>
          <w:spacing w:val="0"/>
          <w:shd w:val="clear" w:color="auto" w:fill="FFFFFF"/>
        </w:rPr>
        <w:t>Дифференциальная диагностика болезней накопления и других метаболических заболеваний.</w:t>
      </w:r>
    </w:p>
    <w:p w14:paraId="34052E67" w14:textId="77777777" w:rsidR="00691CAB" w:rsidRPr="002C6FFD" w:rsidRDefault="00691CAB" w:rsidP="00691CAB">
      <w:pPr>
        <w:pStyle w:val="bullet"/>
        <w:numPr>
          <w:ilvl w:val="0"/>
          <w:numId w:val="126"/>
        </w:numPr>
        <w:spacing w:line="360" w:lineRule="auto"/>
        <w:jc w:val="both"/>
        <w:rPr>
          <w:rFonts w:cs="Times New Roman"/>
          <w:spacing w:val="0"/>
          <w:shd w:val="clear" w:color="auto" w:fill="FFFFFF"/>
        </w:rPr>
      </w:pPr>
      <w:r w:rsidRPr="002C6FFD">
        <w:rPr>
          <w:rFonts w:cs="Times New Roman"/>
          <w:spacing w:val="0"/>
        </w:rPr>
        <w:t>Определение степени повреждения костного мозга у пациентов, подвергшихся воздействию радиации, наркотиков, химических веществ и других миелотоксических веществ (в том числе лекарственных средств).</w:t>
      </w:r>
    </w:p>
    <w:p w14:paraId="45D1F25F" w14:textId="77777777" w:rsidR="00691CAB" w:rsidRPr="002C6FFD" w:rsidRDefault="00691CAB" w:rsidP="00691CAB">
      <w:pPr>
        <w:pStyle w:val="bullet"/>
        <w:numPr>
          <w:ilvl w:val="0"/>
          <w:numId w:val="126"/>
        </w:numPr>
        <w:spacing w:line="360" w:lineRule="auto"/>
        <w:jc w:val="both"/>
        <w:rPr>
          <w:rFonts w:cs="Times New Roman"/>
          <w:spacing w:val="0"/>
          <w:shd w:val="clear" w:color="auto" w:fill="FFFFFF"/>
        </w:rPr>
      </w:pPr>
      <w:r w:rsidRPr="002C6FFD">
        <w:rPr>
          <w:rFonts w:cs="Times New Roman"/>
          <w:spacing w:val="0"/>
          <w:shd w:val="clear" w:color="auto" w:fill="FFFFFF"/>
        </w:rPr>
        <w:t>Диагностика (иногда, в составе комплексной диагностики) железодефицитной анемии, полицитемии, тромбоцитозов и инфекционного мононуклеоза.</w:t>
      </w:r>
    </w:p>
    <w:p w14:paraId="224BEEE5" w14:textId="77777777" w:rsidR="00691CAB" w:rsidRPr="002C6FFD" w:rsidRDefault="00691CAB" w:rsidP="00691CAB">
      <w:pPr>
        <w:rPr>
          <w:rFonts w:cs="Times New Roman"/>
          <w:szCs w:val="24"/>
        </w:rPr>
      </w:pPr>
      <w:r w:rsidRPr="002C6FFD">
        <w:rPr>
          <w:rFonts w:cs="Times New Roman"/>
          <w:szCs w:val="24"/>
        </w:rPr>
        <w:t>При невозможности получить при пункции костного мозга адекватный диагностический материал («сухой» аспират), после повторной попытки показано выполнение трепанобиопсии костного мозга с приготовление отпечатков трепанобиоптата.</w:t>
      </w:r>
    </w:p>
    <w:p w14:paraId="56188C80" w14:textId="77777777" w:rsidR="00691CAB" w:rsidRDefault="00691CAB" w:rsidP="00691CAB">
      <w:pPr>
        <w:pStyle w:val="2"/>
        <w:spacing w:before="0"/>
        <w:rPr>
          <w:rFonts w:eastAsia="Arial Unicode MS"/>
          <w:shd w:val="clear" w:color="auto" w:fill="FFFFFF"/>
        </w:rPr>
      </w:pPr>
    </w:p>
    <w:p w14:paraId="06D2E504" w14:textId="5EBF0DDE" w:rsidR="00691CAB" w:rsidRPr="00F30696" w:rsidRDefault="00691CAB" w:rsidP="00691CAB">
      <w:pPr>
        <w:rPr>
          <w:b/>
          <w:i/>
          <w:iCs/>
          <w:u w:val="single"/>
          <w:shd w:val="clear" w:color="auto" w:fill="FFFFFF"/>
        </w:rPr>
      </w:pPr>
      <w:r w:rsidRPr="00F30696">
        <w:rPr>
          <w:i/>
          <w:iCs/>
          <w:u w:val="single"/>
          <w:shd w:val="clear" w:color="auto" w:fill="FFFFFF"/>
        </w:rPr>
        <w:t xml:space="preserve">Показания к выполнению биопсийного исследования костного мозга (трепанобиопсии) </w:t>
      </w:r>
      <w:r w:rsidRPr="00F30696">
        <w:rPr>
          <w:b/>
          <w:i/>
          <w:iCs/>
          <w:u w:val="single"/>
          <w:shd w:val="clear" w:color="auto" w:fill="FFFFFF"/>
        </w:rPr>
        <w:fldChar w:fldCharType="begin" w:fldLock="1"/>
      </w:r>
      <w:r w:rsidR="004F33C9">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[142]","plainTextFormattedCitation":"[142]","previouslyFormattedCitation":"[142]"},"properties":{"noteIndex":0},"schema":"https://github.com/citation-style-language/schema/raw/master/csl-citation.json"}</w:instrText>
      </w:r>
      <w:r w:rsidRPr="00F30696">
        <w:rPr>
          <w:b/>
          <w:i/>
          <w:iCs/>
          <w:u w:val="single"/>
          <w:shd w:val="clear" w:color="auto" w:fill="FFFFFF"/>
        </w:rPr>
        <w:fldChar w:fldCharType="separate"/>
      </w:r>
      <w:r w:rsidR="00C05F48" w:rsidRPr="00C05F48">
        <w:rPr>
          <w:iCs/>
          <w:noProof/>
          <w:shd w:val="clear" w:color="auto" w:fill="FFFFFF"/>
        </w:rPr>
        <w:t>[142]</w:t>
      </w:r>
      <w:r w:rsidRPr="00F30696">
        <w:rPr>
          <w:b/>
          <w:i/>
          <w:iCs/>
          <w:u w:val="single"/>
          <w:shd w:val="clear" w:color="auto" w:fill="FFFFFF"/>
        </w:rPr>
        <w:fldChar w:fldCharType="end"/>
      </w:r>
    </w:p>
    <w:p w14:paraId="63A88E1D" w14:textId="77777777" w:rsidR="00691CAB" w:rsidRPr="002C6FFD" w:rsidRDefault="00691CAB" w:rsidP="00691CAB">
      <w:pPr>
        <w:pStyle w:val="bullet"/>
        <w:numPr>
          <w:ilvl w:val="0"/>
          <w:numId w:val="126"/>
        </w:numPr>
        <w:spacing w:line="360" w:lineRule="auto"/>
        <w:jc w:val="both"/>
        <w:rPr>
          <w:rFonts w:cs="Times New Roman"/>
          <w:spacing w:val="0"/>
          <w:shd w:val="clear" w:color="auto" w:fill="FFFFFF"/>
        </w:rPr>
      </w:pPr>
      <w:r w:rsidRPr="002C6FFD">
        <w:rPr>
          <w:rFonts w:cs="Times New Roman"/>
          <w:spacing w:val="0"/>
          <w:shd w:val="clear" w:color="auto" w:fill="FFFFFF"/>
        </w:rPr>
        <w:t xml:space="preserve">Диагностика и </w:t>
      </w:r>
      <w:r w:rsidRPr="002C6FFD">
        <w:rPr>
          <w:rFonts w:cs="Times New Roman"/>
          <w:spacing w:val="0"/>
        </w:rPr>
        <w:t>определение распространенности (стадии) при первичной диагностике и/или при рецидиве заболевания</w:t>
      </w:r>
      <w:r w:rsidRPr="002C6FFD">
        <w:rPr>
          <w:rFonts w:cs="Times New Roman"/>
          <w:spacing w:val="0"/>
          <w:shd w:val="clear" w:color="auto" w:fill="FFFFFF"/>
        </w:rPr>
        <w:t xml:space="preserve">, а также оценка эффективности терапии при  различных онкогематологических заболеваниях (лимфопролиферативные заболевания, в том числе хронический лимфолейкоз, лимфома Ходжкина и неходжкинские лимфомы, волосатоклеточный лейкоз; хронические миелопролиферативные заболевания, в том числе </w:t>
      </w:r>
      <w:r w:rsidRPr="002C6FFD">
        <w:rPr>
          <w:rFonts w:cs="Times New Roman"/>
          <w:spacing w:val="0"/>
        </w:rPr>
        <w:t xml:space="preserve">истинная полицитемия, эссенциальная тромбоцитемия, первичный миелофиброз, системный мастоцитоз;  </w:t>
      </w:r>
      <w:r w:rsidRPr="002C6FFD">
        <w:rPr>
          <w:rFonts w:cs="Times New Roman"/>
          <w:spacing w:val="0"/>
          <w:shd w:val="clear" w:color="auto" w:fill="FFFFFF"/>
        </w:rPr>
        <w:t>множественная миелома и прочие плазмоклеточноые неоплазии).</w:t>
      </w:r>
    </w:p>
    <w:p w14:paraId="5460C933" w14:textId="77777777" w:rsidR="00691CAB" w:rsidRPr="002C6FFD" w:rsidRDefault="00691CAB" w:rsidP="00691CAB">
      <w:pPr>
        <w:pStyle w:val="bullet"/>
        <w:numPr>
          <w:ilvl w:val="0"/>
          <w:numId w:val="126"/>
        </w:numPr>
        <w:spacing w:line="360" w:lineRule="auto"/>
        <w:jc w:val="both"/>
        <w:rPr>
          <w:rFonts w:cs="Times New Roman"/>
          <w:spacing w:val="0"/>
          <w:shd w:val="clear" w:color="auto" w:fill="FFFFFF"/>
        </w:rPr>
      </w:pPr>
      <w:r w:rsidRPr="002C6FFD">
        <w:rPr>
          <w:rFonts w:cs="Times New Roman"/>
          <w:spacing w:val="0"/>
          <w:shd w:val="clear" w:color="auto" w:fill="FFFFFF"/>
        </w:rPr>
        <w:t>Диагностика и оценка эффективности лечения апластической анемии, миелодиспластических синдромов, идиопатической тромбоцитопенической пурпуры, острых лейкозов и при других гематологических заболеваниях/состояниях.</w:t>
      </w:r>
    </w:p>
    <w:p w14:paraId="20137B20" w14:textId="77777777" w:rsidR="00691CAB" w:rsidRPr="002C6FFD" w:rsidRDefault="00691CAB" w:rsidP="00691CAB">
      <w:pPr>
        <w:pStyle w:val="bullet"/>
        <w:numPr>
          <w:ilvl w:val="0"/>
          <w:numId w:val="126"/>
        </w:numPr>
        <w:spacing w:line="360" w:lineRule="auto"/>
        <w:jc w:val="both"/>
        <w:rPr>
          <w:rFonts w:cs="Times New Roman"/>
          <w:spacing w:val="0"/>
        </w:rPr>
      </w:pPr>
      <w:r w:rsidRPr="002C6FFD">
        <w:rPr>
          <w:rFonts w:cs="Times New Roman"/>
          <w:spacing w:val="0"/>
        </w:rPr>
        <w:t>Диагностика, определение распространенности (стадии),</w:t>
      </w:r>
      <w:r w:rsidRPr="002C6FFD">
        <w:rPr>
          <w:rFonts w:cs="Times New Roman"/>
          <w:spacing w:val="0"/>
          <w:shd w:val="clear" w:color="auto" w:fill="FFFFFF"/>
        </w:rPr>
        <w:t xml:space="preserve"> оценка метастатического поражения</w:t>
      </w:r>
      <w:r w:rsidRPr="002C6FFD">
        <w:rPr>
          <w:rFonts w:cs="Times New Roman"/>
          <w:spacing w:val="0"/>
        </w:rPr>
        <w:t xml:space="preserve"> и эффекта лечения солидных опухолей (нейробластома, рабдомиосаркома, примитивные нейроэктодермальные опухоли, саркома Юинга и другие).</w:t>
      </w:r>
    </w:p>
    <w:p w14:paraId="26674D0C" w14:textId="77777777" w:rsidR="00691CAB" w:rsidRPr="002C6FFD" w:rsidRDefault="00691CAB" w:rsidP="00691CAB">
      <w:pPr>
        <w:pStyle w:val="bullet"/>
        <w:numPr>
          <w:ilvl w:val="0"/>
          <w:numId w:val="126"/>
        </w:numPr>
        <w:spacing w:line="360" w:lineRule="auto"/>
        <w:jc w:val="both"/>
        <w:rPr>
          <w:rFonts w:cs="Times New Roman"/>
          <w:spacing w:val="0"/>
          <w:shd w:val="clear" w:color="auto" w:fill="FFFFFF"/>
        </w:rPr>
      </w:pPr>
      <w:r w:rsidRPr="002C6FFD">
        <w:rPr>
          <w:rFonts w:cs="Times New Roman"/>
          <w:spacing w:val="0"/>
          <w:shd w:val="clear" w:color="auto" w:fill="FFFFFF"/>
        </w:rPr>
        <w:t>Мониторинг эффективности лечения или оценки прогрессирования заболеваний системы крови.</w:t>
      </w:r>
    </w:p>
    <w:p w14:paraId="640397B4" w14:textId="77777777" w:rsidR="00691CAB" w:rsidRPr="002C6FFD" w:rsidRDefault="00691CAB" w:rsidP="00691CAB">
      <w:pPr>
        <w:pStyle w:val="bullet"/>
        <w:numPr>
          <w:ilvl w:val="0"/>
          <w:numId w:val="126"/>
        </w:numPr>
        <w:spacing w:line="360" w:lineRule="auto"/>
        <w:jc w:val="both"/>
        <w:rPr>
          <w:rFonts w:cs="Times New Roman"/>
          <w:spacing w:val="0"/>
          <w:shd w:val="clear" w:color="auto" w:fill="FFFFFF"/>
        </w:rPr>
      </w:pPr>
      <w:r w:rsidRPr="002C6FFD">
        <w:rPr>
          <w:rFonts w:cs="Times New Roman"/>
          <w:spacing w:val="0"/>
          <w:shd w:val="clear" w:color="auto" w:fill="FFFFFF"/>
        </w:rPr>
        <w:t xml:space="preserve">Оценка миелопоэза до и после выполнения трансплантации костного мозга / гемопоэтических стволовых клеток (ТКМ / ТГСК). </w:t>
      </w:r>
    </w:p>
    <w:p w14:paraId="78DFC621" w14:textId="77777777" w:rsidR="00691CAB" w:rsidRPr="002C6FFD" w:rsidRDefault="00691CAB" w:rsidP="00691CAB">
      <w:pPr>
        <w:pStyle w:val="bullet"/>
        <w:numPr>
          <w:ilvl w:val="0"/>
          <w:numId w:val="126"/>
        </w:numPr>
        <w:spacing w:line="360" w:lineRule="auto"/>
        <w:jc w:val="both"/>
        <w:rPr>
          <w:rFonts w:cs="Times New Roman"/>
          <w:spacing w:val="0"/>
          <w:shd w:val="clear" w:color="auto" w:fill="FFFFFF"/>
        </w:rPr>
      </w:pPr>
      <w:r w:rsidRPr="002C6FFD">
        <w:rPr>
          <w:rFonts w:cs="Times New Roman"/>
          <w:spacing w:val="0"/>
        </w:rPr>
        <w:t>Обследование больных с предполагаемым первичным амилоидозом и заболеваниями костной ткани.</w:t>
      </w:r>
    </w:p>
    <w:p w14:paraId="3BC0D5DA" w14:textId="77777777" w:rsidR="00691CAB" w:rsidRPr="002C6FFD" w:rsidRDefault="00691CAB" w:rsidP="00691CAB">
      <w:pPr>
        <w:pStyle w:val="bullet"/>
        <w:numPr>
          <w:ilvl w:val="0"/>
          <w:numId w:val="126"/>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при цитопении, тромбоцитозе, лейкоцитозе, анемии, изменениях состава лейкоцитов (лейкоцитарная формула), и для диагностики перегрузки железом.</w:t>
      </w:r>
    </w:p>
    <w:p w14:paraId="6FD8DB64" w14:textId="77777777" w:rsidR="00691CAB" w:rsidRPr="002C6FFD" w:rsidRDefault="00691CAB" w:rsidP="00691CAB">
      <w:pPr>
        <w:pStyle w:val="bullet"/>
        <w:numPr>
          <w:ilvl w:val="0"/>
          <w:numId w:val="126"/>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и вовлечения костного мозга при инфекционных заболеваниях (например, при грибковых, микобактериальных инфекциях, в том числе при туберкулезе и других гранулематозных процессах, в также при гистоплазмозе и лейшманиозе).</w:t>
      </w:r>
    </w:p>
    <w:p w14:paraId="6D658B4E" w14:textId="77777777" w:rsidR="00691CAB" w:rsidRPr="002C6FFD" w:rsidRDefault="00691CAB" w:rsidP="00691CAB">
      <w:pPr>
        <w:pStyle w:val="bullet"/>
        <w:numPr>
          <w:ilvl w:val="0"/>
          <w:numId w:val="126"/>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и вовлечения костного мозга при болезнях накопления (например, болезнь Нимана—Пика и болезнь Гоше) и гранулематозных заболеваниях (например, саркоидоз).</w:t>
      </w:r>
    </w:p>
    <w:p w14:paraId="6B9E1277" w14:textId="77777777" w:rsidR="00691CAB" w:rsidRDefault="00691CAB" w:rsidP="00691CAB">
      <w:pPr>
        <w:pStyle w:val="2"/>
        <w:spacing w:before="0"/>
        <w:rPr>
          <w:rFonts w:eastAsia="Arial Unicode MS"/>
        </w:rPr>
      </w:pPr>
    </w:p>
    <w:p w14:paraId="2A37450F" w14:textId="76D294BF" w:rsidR="00691CAB" w:rsidRPr="00F30696" w:rsidRDefault="00691CAB" w:rsidP="00691CAB">
      <w:pPr>
        <w:rPr>
          <w:b/>
          <w:i/>
          <w:iCs/>
          <w:u w:val="single"/>
          <w:shd w:val="clear" w:color="auto" w:fill="FFFFFF"/>
        </w:rPr>
      </w:pPr>
      <w:r w:rsidRPr="00F30696">
        <w:rPr>
          <w:i/>
          <w:iCs/>
          <w:u w:val="single"/>
          <w:shd w:val="clear" w:color="auto" w:fill="FFFFFF"/>
        </w:rPr>
        <w:t xml:space="preserve">Противопоказания для выполнения биопсийного исследования костного мозга </w:t>
      </w:r>
      <w:r w:rsidRPr="00F30696">
        <w:rPr>
          <w:b/>
          <w:i/>
          <w:iCs/>
          <w:u w:val="single"/>
          <w:shd w:val="clear" w:color="auto" w:fill="FFFFFF"/>
        </w:rPr>
        <w:fldChar w:fldCharType="begin" w:fldLock="1"/>
      </w:r>
      <w:r w:rsidR="004F33C9">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[142]","plainTextFormattedCitation":"[142]","previouslyFormattedCitation":"[142]"},"properties":{"noteIndex":0},"schema":"https://github.com/citation-style-language/schema/raw/master/csl-citation.json"}</w:instrText>
      </w:r>
      <w:r w:rsidRPr="00F30696">
        <w:rPr>
          <w:b/>
          <w:i/>
          <w:iCs/>
          <w:u w:val="single"/>
          <w:shd w:val="clear" w:color="auto" w:fill="FFFFFF"/>
        </w:rPr>
        <w:fldChar w:fldCharType="separate"/>
      </w:r>
      <w:r w:rsidR="00C05F48" w:rsidRPr="00C05F48">
        <w:rPr>
          <w:iCs/>
          <w:noProof/>
          <w:shd w:val="clear" w:color="auto" w:fill="FFFFFF"/>
        </w:rPr>
        <w:t>[142]</w:t>
      </w:r>
      <w:r w:rsidRPr="00F30696">
        <w:rPr>
          <w:b/>
          <w:i/>
          <w:iCs/>
          <w:u w:val="single"/>
          <w:shd w:val="clear" w:color="auto" w:fill="FFFFFF"/>
        </w:rPr>
        <w:fldChar w:fldCharType="end"/>
      </w:r>
    </w:p>
    <w:p w14:paraId="25612498" w14:textId="77777777" w:rsidR="00691CAB" w:rsidRPr="002C6FFD" w:rsidRDefault="00691CAB" w:rsidP="00691CAB">
      <w:pPr>
        <w:pStyle w:val="Normal11"/>
        <w:spacing w:before="0" w:line="360" w:lineRule="auto"/>
        <w:ind w:firstLine="699"/>
        <w:jc w:val="both"/>
        <w:rPr>
          <w:rFonts w:cs="Times New Roman"/>
          <w:spacing w:val="0"/>
        </w:rPr>
      </w:pPr>
      <w:r w:rsidRPr="002C6FFD">
        <w:rPr>
          <w:rFonts w:cs="Times New Roman"/>
          <w:spacing w:val="0"/>
        </w:rPr>
        <w:t>Аспирация костного мозга и биопсия не имеют абсолютных противопоказаний, но могут быть относительные противопоказания, связанные с общим состоянием пациента:</w:t>
      </w:r>
    </w:p>
    <w:p w14:paraId="1AC5B463" w14:textId="77777777" w:rsidR="00691CAB" w:rsidRPr="002C6FFD" w:rsidRDefault="00691CAB" w:rsidP="00691CAB">
      <w:pPr>
        <w:pStyle w:val="bullet"/>
        <w:numPr>
          <w:ilvl w:val="0"/>
          <w:numId w:val="126"/>
        </w:numPr>
        <w:spacing w:line="360" w:lineRule="auto"/>
        <w:jc w:val="both"/>
        <w:rPr>
          <w:rFonts w:cs="Times New Roman"/>
          <w:spacing w:val="0"/>
        </w:rPr>
      </w:pPr>
      <w:r w:rsidRPr="002C6FFD">
        <w:rPr>
          <w:rFonts w:cs="Times New Roman"/>
          <w:spacing w:val="0"/>
        </w:rPr>
        <w:t>Раневая поверхность кожи и подлежащих тканей с признаками воспаления в месте проведения процедуры.</w:t>
      </w:r>
    </w:p>
    <w:p w14:paraId="2DA5F349" w14:textId="77777777" w:rsidR="00691CAB" w:rsidRPr="002C6FFD" w:rsidRDefault="00691CAB" w:rsidP="00691CAB">
      <w:pPr>
        <w:pStyle w:val="bullet"/>
        <w:numPr>
          <w:ilvl w:val="0"/>
          <w:numId w:val="126"/>
        </w:numPr>
        <w:spacing w:line="360" w:lineRule="auto"/>
        <w:jc w:val="both"/>
        <w:rPr>
          <w:rFonts w:cs="Times New Roman"/>
          <w:spacing w:val="0"/>
        </w:rPr>
      </w:pPr>
      <w:r w:rsidRPr="002C6FFD">
        <w:rPr>
          <w:rFonts w:cs="Times New Roman"/>
          <w:spacing w:val="0"/>
        </w:rPr>
        <w:t>Тромбоцитопения и другие коагулопатии, геморрагический синдром (выполнение процедуры возможно после купирования нарушений гемостаза и коррекции тромбоцитопении).</w:t>
      </w:r>
    </w:p>
    <w:p w14:paraId="52730FA2" w14:textId="77777777" w:rsidR="00691CAB" w:rsidRPr="002C6FFD" w:rsidRDefault="00691CAB" w:rsidP="00691CAB">
      <w:pPr>
        <w:pStyle w:val="bullet"/>
        <w:numPr>
          <w:ilvl w:val="0"/>
          <w:numId w:val="126"/>
        </w:numPr>
        <w:spacing w:line="360" w:lineRule="auto"/>
        <w:jc w:val="both"/>
        <w:rPr>
          <w:rFonts w:cs="Times New Roman"/>
          <w:spacing w:val="0"/>
          <w:shd w:val="clear" w:color="auto" w:fill="FFFFFF"/>
        </w:rPr>
      </w:pPr>
      <w:r w:rsidRPr="002C6FFD">
        <w:rPr>
          <w:rFonts w:cs="Times New Roman"/>
          <w:spacing w:val="0"/>
          <w:shd w:val="clear" w:color="auto" w:fill="FFFFFF"/>
        </w:rPr>
        <w:t xml:space="preserve">При терапии антикоагулянтами и антиагрегантами, перед выполнением процедуры должны учитываться показатели коагулологических тестов. </w:t>
      </w:r>
    </w:p>
    <w:p w14:paraId="232BAB12" w14:textId="77777777" w:rsidR="00691CAB" w:rsidRPr="002C6FFD" w:rsidRDefault="00691CAB" w:rsidP="00691CAB">
      <w:pPr>
        <w:pStyle w:val="bullet"/>
        <w:numPr>
          <w:ilvl w:val="0"/>
          <w:numId w:val="126"/>
        </w:numPr>
        <w:spacing w:line="360" w:lineRule="auto"/>
        <w:jc w:val="both"/>
        <w:rPr>
          <w:rFonts w:cs="Times New Roman"/>
          <w:spacing w:val="0"/>
          <w:shd w:val="clear" w:color="auto" w:fill="FFFFFF"/>
        </w:rPr>
      </w:pPr>
      <w:r w:rsidRPr="002C6FFD">
        <w:rPr>
          <w:rFonts w:cs="Times New Roman"/>
          <w:spacing w:val="0"/>
          <w:shd w:val="clear" w:color="auto" w:fill="FFFFFF"/>
        </w:rPr>
        <w:t xml:space="preserve">Наличие признаков резорбции кости </w:t>
      </w:r>
      <w:r w:rsidRPr="002C6FFD">
        <w:rPr>
          <w:rFonts w:cs="Times New Roman"/>
          <w:spacing w:val="0"/>
        </w:rPr>
        <w:t>в месте проведения процедуры</w:t>
      </w:r>
      <w:r w:rsidRPr="002C6FFD">
        <w:rPr>
          <w:rFonts w:cs="Times New Roman"/>
          <w:spacing w:val="0"/>
          <w:shd w:val="clear" w:color="auto" w:fill="FFFFFF"/>
        </w:rPr>
        <w:t>.</w:t>
      </w:r>
    </w:p>
    <w:p w14:paraId="5D4E969F" w14:textId="77777777" w:rsidR="00691CAB" w:rsidRPr="002C6FFD" w:rsidRDefault="00691CAB" w:rsidP="00691CAB">
      <w:pPr>
        <w:pStyle w:val="bullet"/>
        <w:spacing w:line="360" w:lineRule="auto"/>
        <w:ind w:firstLine="709"/>
        <w:jc w:val="both"/>
        <w:rPr>
          <w:rFonts w:cs="Times New Roman"/>
          <w:spacing w:val="0"/>
          <w:shd w:val="clear" w:color="auto" w:fill="FFFFFF"/>
        </w:rPr>
      </w:pPr>
      <w:r w:rsidRPr="002C6FFD">
        <w:rPr>
          <w:rFonts w:cs="Times New Roman"/>
          <w:spacing w:val="0"/>
          <w:shd w:val="clear" w:color="auto" w:fill="FFFFFF"/>
        </w:rPr>
        <w:t>При соматически тяжелом состоянии пациента и повышенном риске развития осложнений при амбулаторном проведении процедуры, трепанобиопсию возможно выполнить в условиях стационара.</w:t>
      </w:r>
    </w:p>
    <w:p w14:paraId="2AF53DBC" w14:textId="77777777" w:rsidR="00691CAB" w:rsidRDefault="00691CAB" w:rsidP="00691CAB">
      <w:pPr>
        <w:pStyle w:val="2"/>
        <w:spacing w:before="0"/>
        <w:rPr>
          <w:rFonts w:eastAsia="Arial Unicode MS"/>
        </w:rPr>
      </w:pPr>
    </w:p>
    <w:p w14:paraId="1D4E2553" w14:textId="6CFB711B" w:rsidR="00691CAB" w:rsidRPr="00F30696" w:rsidRDefault="00691CAB" w:rsidP="00691CAB">
      <w:pPr>
        <w:rPr>
          <w:b/>
          <w:i/>
          <w:iCs/>
          <w:u w:val="single"/>
          <w:shd w:val="clear" w:color="auto" w:fill="FFFFFF"/>
        </w:rPr>
      </w:pPr>
      <w:r w:rsidRPr="00F30696">
        <w:rPr>
          <w:i/>
          <w:iCs/>
          <w:u w:val="single"/>
          <w:shd w:val="clear" w:color="auto" w:fill="FFFFFF"/>
        </w:rPr>
        <w:t xml:space="preserve">Возможные технические трудности выполнения пункционного и биопсийного исследований костного мозга </w:t>
      </w:r>
      <w:r w:rsidRPr="00F30696">
        <w:rPr>
          <w:b/>
          <w:i/>
          <w:iCs/>
          <w:u w:val="single"/>
          <w:shd w:val="clear" w:color="auto" w:fill="FFFFFF"/>
        </w:rPr>
        <w:fldChar w:fldCharType="begin" w:fldLock="1"/>
      </w:r>
      <w:r w:rsidR="004F33C9">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[142]","plainTextFormattedCitation":"[142]","previouslyFormattedCitation":"[142]"},"properties":{"noteIndex":0},"schema":"https://github.com/citation-style-language/schema/raw/master/csl-citation.json"}</w:instrText>
      </w:r>
      <w:r w:rsidRPr="00F30696">
        <w:rPr>
          <w:b/>
          <w:i/>
          <w:iCs/>
          <w:u w:val="single"/>
          <w:shd w:val="clear" w:color="auto" w:fill="FFFFFF"/>
        </w:rPr>
        <w:fldChar w:fldCharType="separate"/>
      </w:r>
      <w:r w:rsidR="00C05F48" w:rsidRPr="00C05F48">
        <w:rPr>
          <w:iCs/>
          <w:noProof/>
          <w:shd w:val="clear" w:color="auto" w:fill="FFFFFF"/>
        </w:rPr>
        <w:t>[142]</w:t>
      </w:r>
      <w:r w:rsidRPr="00F30696">
        <w:rPr>
          <w:b/>
          <w:i/>
          <w:iCs/>
          <w:u w:val="single"/>
          <w:shd w:val="clear" w:color="auto" w:fill="FFFFFF"/>
        </w:rPr>
        <w:fldChar w:fldCharType="end"/>
      </w:r>
    </w:p>
    <w:p w14:paraId="59FA9454" w14:textId="77777777" w:rsidR="00691CAB" w:rsidRPr="002C6FFD" w:rsidRDefault="00691CAB" w:rsidP="00691CAB">
      <w:pPr>
        <w:pStyle w:val="bullet"/>
        <w:numPr>
          <w:ilvl w:val="0"/>
          <w:numId w:val="126"/>
        </w:numPr>
        <w:spacing w:line="360" w:lineRule="auto"/>
        <w:jc w:val="both"/>
        <w:rPr>
          <w:rFonts w:cs="Times New Roman"/>
          <w:spacing w:val="0"/>
          <w:shd w:val="clear" w:color="auto" w:fill="FFFFFF"/>
        </w:rPr>
      </w:pPr>
      <w:r w:rsidRPr="002C6FFD">
        <w:rPr>
          <w:rFonts w:cs="Times New Roman"/>
          <w:spacing w:val="0"/>
          <w:shd w:val="clear" w:color="auto" w:fill="FFFFFF"/>
        </w:rPr>
        <w:t>Плохое качество инструментария.</w:t>
      </w:r>
    </w:p>
    <w:p w14:paraId="7D1936AD" w14:textId="77777777" w:rsidR="00691CAB" w:rsidRPr="002C6FFD" w:rsidRDefault="00691CAB" w:rsidP="00691CAB">
      <w:pPr>
        <w:pStyle w:val="bullet"/>
        <w:numPr>
          <w:ilvl w:val="0"/>
          <w:numId w:val="126"/>
        </w:numPr>
        <w:spacing w:line="360" w:lineRule="auto"/>
        <w:jc w:val="both"/>
        <w:rPr>
          <w:rFonts w:cs="Times New Roman"/>
          <w:spacing w:val="0"/>
          <w:shd w:val="clear" w:color="auto" w:fill="FFFFFF"/>
        </w:rPr>
      </w:pPr>
      <w:r w:rsidRPr="002C6FFD">
        <w:rPr>
          <w:rFonts w:cs="Times New Roman"/>
          <w:spacing w:val="0"/>
          <w:shd w:val="clear" w:color="auto" w:fill="FFFFFF"/>
        </w:rPr>
        <w:t>Избыточный вес больного или большая толщина подкожно-жировой клетчатки и анатомические особенности строения грудной клетки и костей таза.</w:t>
      </w:r>
    </w:p>
    <w:p w14:paraId="4B5374B9" w14:textId="77777777" w:rsidR="00691CAB" w:rsidRPr="002C6FFD" w:rsidRDefault="00691CAB" w:rsidP="00691CAB">
      <w:pPr>
        <w:pStyle w:val="bullet"/>
        <w:numPr>
          <w:ilvl w:val="0"/>
          <w:numId w:val="126"/>
        </w:numPr>
        <w:spacing w:line="360" w:lineRule="auto"/>
        <w:jc w:val="both"/>
        <w:rPr>
          <w:rFonts w:cs="Times New Roman"/>
          <w:spacing w:val="0"/>
          <w:shd w:val="clear" w:color="auto" w:fill="FFFFFF"/>
        </w:rPr>
      </w:pPr>
      <w:r w:rsidRPr="002C6FFD">
        <w:rPr>
          <w:rFonts w:cs="Times New Roman"/>
          <w:spacing w:val="0"/>
          <w:shd w:val="clear" w:color="auto" w:fill="FFFFFF"/>
        </w:rPr>
        <w:t>Остеопороз.</w:t>
      </w:r>
    </w:p>
    <w:p w14:paraId="5BB1AA02" w14:textId="77777777" w:rsidR="00691CAB" w:rsidRPr="002C6FFD" w:rsidRDefault="00691CAB" w:rsidP="00691CAB">
      <w:pPr>
        <w:pStyle w:val="bullet"/>
        <w:numPr>
          <w:ilvl w:val="0"/>
          <w:numId w:val="126"/>
        </w:numPr>
        <w:spacing w:line="360" w:lineRule="auto"/>
        <w:jc w:val="both"/>
        <w:rPr>
          <w:rFonts w:cs="Times New Roman"/>
          <w:spacing w:val="0"/>
          <w:shd w:val="clear" w:color="auto" w:fill="FFFFFF"/>
        </w:rPr>
      </w:pPr>
      <w:r w:rsidRPr="002C6FFD">
        <w:rPr>
          <w:rFonts w:cs="Times New Roman"/>
          <w:spacing w:val="0"/>
          <w:shd w:val="clear" w:color="auto" w:fill="FFFFFF"/>
        </w:rPr>
        <w:t>Фиброз стромы.</w:t>
      </w:r>
    </w:p>
    <w:p w14:paraId="49D3EF89" w14:textId="77777777" w:rsidR="00691CAB" w:rsidRDefault="00691CAB" w:rsidP="00691CAB">
      <w:pPr>
        <w:pStyle w:val="2"/>
        <w:spacing w:before="0"/>
        <w:rPr>
          <w:rFonts w:eastAsia="Arial Unicode MS"/>
        </w:rPr>
      </w:pPr>
    </w:p>
    <w:p w14:paraId="62992852" w14:textId="3AB1DD38" w:rsidR="00691CAB" w:rsidRPr="00F30696" w:rsidRDefault="00691CAB" w:rsidP="00691CAB">
      <w:pPr>
        <w:rPr>
          <w:b/>
          <w:i/>
          <w:iCs/>
          <w:u w:val="single"/>
          <w:shd w:val="clear" w:color="auto" w:fill="FFFFFF"/>
        </w:rPr>
      </w:pPr>
      <w:r w:rsidRPr="00F30696">
        <w:rPr>
          <w:i/>
          <w:iCs/>
          <w:u w:val="single"/>
          <w:shd w:val="clear" w:color="auto" w:fill="FFFFFF"/>
        </w:rPr>
        <w:t xml:space="preserve">Возможные осложнения пункционного и биопсийного исследований костного мозга и способы их профилактики </w:t>
      </w:r>
      <w:r w:rsidRPr="00F30696">
        <w:rPr>
          <w:b/>
          <w:i/>
          <w:iCs/>
          <w:u w:val="single"/>
          <w:shd w:val="clear" w:color="auto" w:fill="FFFFFF"/>
        </w:rPr>
        <w:fldChar w:fldCharType="begin" w:fldLock="1"/>
      </w:r>
      <w:r w:rsidR="004F33C9">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[142]","plainTextFormattedCitation":"[142]","previouslyFormattedCitation":"[142]"},"properties":{"noteIndex":0},"schema":"https://github.com/citation-style-language/schema/raw/master/csl-citation.json"}</w:instrText>
      </w:r>
      <w:r w:rsidRPr="00F30696">
        <w:rPr>
          <w:b/>
          <w:i/>
          <w:iCs/>
          <w:u w:val="single"/>
          <w:shd w:val="clear" w:color="auto" w:fill="FFFFFF"/>
        </w:rPr>
        <w:fldChar w:fldCharType="separate"/>
      </w:r>
      <w:r w:rsidR="00C05F48" w:rsidRPr="00C05F48">
        <w:rPr>
          <w:iCs/>
          <w:noProof/>
          <w:shd w:val="clear" w:color="auto" w:fill="FFFFFF"/>
        </w:rPr>
        <w:t>[142]</w:t>
      </w:r>
      <w:r w:rsidRPr="00F30696">
        <w:rPr>
          <w:b/>
          <w:i/>
          <w:iCs/>
          <w:u w:val="single"/>
          <w:shd w:val="clear" w:color="auto" w:fill="FFFFFF"/>
        </w:rPr>
        <w:fldChar w:fldCharType="end"/>
      </w:r>
    </w:p>
    <w:p w14:paraId="28ACAB8E" w14:textId="77777777" w:rsidR="00691CAB" w:rsidRPr="002C6FFD" w:rsidRDefault="00691CAB" w:rsidP="00691CAB">
      <w:pPr>
        <w:pStyle w:val="bullet"/>
        <w:numPr>
          <w:ilvl w:val="0"/>
          <w:numId w:val="126"/>
        </w:numPr>
        <w:spacing w:line="360" w:lineRule="auto"/>
        <w:jc w:val="both"/>
        <w:rPr>
          <w:rFonts w:cs="Times New Roman"/>
          <w:spacing w:val="0"/>
          <w:shd w:val="clear" w:color="auto" w:fill="FFFFFF"/>
        </w:rPr>
      </w:pPr>
      <w:r w:rsidRPr="002C6FFD">
        <w:rPr>
          <w:rFonts w:cs="Times New Roman"/>
          <w:spacing w:val="0"/>
          <w:shd w:val="clear" w:color="auto" w:fill="FFFFFF"/>
        </w:rPr>
        <w:t>Кровотечение (раннее и/или отсроченное), особенно при тромбоцитопении и/или наличии нарушений свертывания крови.</w:t>
      </w:r>
    </w:p>
    <w:p w14:paraId="033E314B" w14:textId="77777777" w:rsidR="00691CAB" w:rsidRPr="002C6FFD" w:rsidRDefault="00691CAB" w:rsidP="00691CAB">
      <w:pPr>
        <w:pStyle w:val="bullet"/>
        <w:numPr>
          <w:ilvl w:val="0"/>
          <w:numId w:val="126"/>
        </w:numPr>
        <w:spacing w:line="360" w:lineRule="auto"/>
        <w:jc w:val="both"/>
        <w:rPr>
          <w:rFonts w:cs="Times New Roman"/>
          <w:spacing w:val="0"/>
          <w:shd w:val="clear" w:color="auto" w:fill="FFFFFF"/>
        </w:rPr>
      </w:pPr>
      <w:r w:rsidRPr="002C6FFD">
        <w:rPr>
          <w:rFonts w:cs="Times New Roman"/>
          <w:spacing w:val="0"/>
          <w:shd w:val="clear" w:color="auto" w:fill="FFFFFF"/>
        </w:rPr>
        <w:t>Инфекция, особенно в условиях иммунодефицита и нейтропении.</w:t>
      </w:r>
    </w:p>
    <w:p w14:paraId="03F5C166" w14:textId="77777777" w:rsidR="00691CAB" w:rsidRPr="002C6FFD" w:rsidRDefault="00691CAB" w:rsidP="00691CAB">
      <w:pPr>
        <w:pStyle w:val="bullet"/>
        <w:numPr>
          <w:ilvl w:val="0"/>
          <w:numId w:val="126"/>
        </w:numPr>
        <w:spacing w:line="360" w:lineRule="auto"/>
        <w:jc w:val="both"/>
        <w:rPr>
          <w:rFonts w:cs="Times New Roman"/>
          <w:spacing w:val="0"/>
          <w:shd w:val="clear" w:color="auto" w:fill="FFFFFF"/>
        </w:rPr>
      </w:pPr>
      <w:r w:rsidRPr="002C6FFD">
        <w:rPr>
          <w:rFonts w:cs="Times New Roman"/>
          <w:spacing w:val="0"/>
          <w:shd w:val="clear" w:color="auto" w:fill="FFFFFF"/>
        </w:rPr>
        <w:t>Длительный болевой синдром и дискомфорт в месте биопсии.</w:t>
      </w:r>
    </w:p>
    <w:p w14:paraId="06090D8C" w14:textId="77777777" w:rsidR="00691CAB" w:rsidRPr="002C6FFD" w:rsidRDefault="00691CAB" w:rsidP="00691CAB">
      <w:pPr>
        <w:pStyle w:val="bullet"/>
        <w:numPr>
          <w:ilvl w:val="0"/>
          <w:numId w:val="126"/>
        </w:numPr>
        <w:spacing w:line="360" w:lineRule="auto"/>
        <w:jc w:val="both"/>
        <w:rPr>
          <w:rFonts w:cs="Times New Roman"/>
          <w:spacing w:val="0"/>
          <w:shd w:val="clear" w:color="auto" w:fill="FFFFFF"/>
        </w:rPr>
      </w:pPr>
      <w:r w:rsidRPr="002C6FFD">
        <w:rPr>
          <w:rFonts w:cs="Times New Roman"/>
          <w:spacing w:val="0"/>
          <w:shd w:val="clear" w:color="auto" w:fill="FFFFFF"/>
        </w:rPr>
        <w:t>Переломы кости.</w:t>
      </w:r>
    </w:p>
    <w:p w14:paraId="245973C4" w14:textId="77777777" w:rsidR="00691CAB" w:rsidRPr="002C6FFD" w:rsidRDefault="00691CAB" w:rsidP="00691CAB">
      <w:pPr>
        <w:pStyle w:val="bullet"/>
        <w:numPr>
          <w:ilvl w:val="0"/>
          <w:numId w:val="126"/>
        </w:numPr>
        <w:spacing w:line="360" w:lineRule="auto"/>
        <w:jc w:val="both"/>
        <w:rPr>
          <w:rFonts w:cs="Times New Roman"/>
          <w:spacing w:val="0"/>
          <w:shd w:val="clear" w:color="auto" w:fill="FFFFFF"/>
        </w:rPr>
      </w:pPr>
      <w:r w:rsidRPr="002C6FFD">
        <w:rPr>
          <w:rFonts w:cs="Times New Roman"/>
          <w:spacing w:val="0"/>
          <w:shd w:val="clear" w:color="auto" w:fill="FFFFFF"/>
        </w:rPr>
        <w:t>Поломка инструмента.</w:t>
      </w:r>
    </w:p>
    <w:p w14:paraId="16BAEE77" w14:textId="77777777" w:rsidR="00691CAB" w:rsidRPr="002C6FFD" w:rsidRDefault="00691CAB" w:rsidP="00691CAB">
      <w:pPr>
        <w:pStyle w:val="bullet"/>
        <w:numPr>
          <w:ilvl w:val="0"/>
          <w:numId w:val="126"/>
        </w:numPr>
        <w:spacing w:line="360" w:lineRule="auto"/>
        <w:jc w:val="both"/>
        <w:rPr>
          <w:rFonts w:cs="Times New Roman"/>
          <w:spacing w:val="0"/>
          <w:shd w:val="clear" w:color="auto" w:fill="FFFFFF"/>
        </w:rPr>
      </w:pPr>
      <w:r w:rsidRPr="002C6FFD">
        <w:rPr>
          <w:rFonts w:cs="Times New Roman"/>
          <w:spacing w:val="0"/>
          <w:shd w:val="clear" w:color="auto" w:fill="FFFFFF"/>
        </w:rPr>
        <w:t>Сквозное ранение органов средостения при выполнение стернальной пункции.</w:t>
      </w:r>
    </w:p>
    <w:p w14:paraId="1C5B0A06" w14:textId="77777777" w:rsidR="00691CAB" w:rsidRPr="002C6FFD" w:rsidRDefault="00691CAB" w:rsidP="00691CAB">
      <w:pPr>
        <w:pStyle w:val="bullet"/>
        <w:numPr>
          <w:ilvl w:val="0"/>
          <w:numId w:val="126"/>
        </w:numPr>
        <w:spacing w:line="360" w:lineRule="auto"/>
        <w:jc w:val="both"/>
        <w:rPr>
          <w:rFonts w:cs="Times New Roman"/>
          <w:spacing w:val="0"/>
          <w:shd w:val="clear" w:color="auto" w:fill="FFFFFF"/>
        </w:rPr>
      </w:pPr>
      <w:r w:rsidRPr="002C6FFD">
        <w:rPr>
          <w:rFonts w:cs="Times New Roman"/>
          <w:spacing w:val="0"/>
          <w:shd w:val="clear" w:color="auto" w:fill="FFFFFF"/>
        </w:rPr>
        <w:t>Анафилактические реакции (на анестетики).</w:t>
      </w:r>
    </w:p>
    <w:p w14:paraId="6B9C43E5" w14:textId="77777777" w:rsidR="00691CAB" w:rsidRPr="002C6FFD" w:rsidRDefault="00691CAB" w:rsidP="00691CAB">
      <w:pPr>
        <w:ind w:firstLine="708"/>
        <w:rPr>
          <w:rFonts w:cs="Times New Roman"/>
          <w:szCs w:val="24"/>
        </w:rPr>
      </w:pPr>
    </w:p>
    <w:p w14:paraId="64E59F7A" w14:textId="77777777" w:rsidR="00691CAB" w:rsidRPr="002C6FFD" w:rsidRDefault="00691CAB" w:rsidP="00691CAB">
      <w:pPr>
        <w:ind w:firstLine="708"/>
        <w:rPr>
          <w:rFonts w:cs="Times New Roman"/>
          <w:szCs w:val="24"/>
        </w:rPr>
      </w:pPr>
      <w:r w:rsidRPr="002C6FFD">
        <w:rPr>
          <w:rFonts w:cs="Times New Roman"/>
          <w:szCs w:val="24"/>
        </w:rPr>
        <w:t>При выполнении стернальной пункции, из-за тонкой структуры кости грудины в области пункции (толщина ~ 1 см у взрослых), возможно сквозное проникновение в средостение с возможным повреждением органов средостения и развитием медиастинита, пневмоторакса, травмы и тампонады сердца. Для профилактики данного осложнения необходимо использовать стернальные иглы с ограничителем.</w:t>
      </w:r>
    </w:p>
    <w:p w14:paraId="5823EBC0" w14:textId="77777777" w:rsidR="00691CAB" w:rsidRPr="002C6FFD" w:rsidRDefault="00691CAB" w:rsidP="00691CAB">
      <w:pPr>
        <w:ind w:firstLine="708"/>
        <w:rPr>
          <w:rFonts w:cs="Times New Roman"/>
          <w:color w:val="1A1718"/>
          <w:szCs w:val="24"/>
        </w:rPr>
      </w:pPr>
      <w:r w:rsidRPr="002C6FFD">
        <w:rPr>
          <w:rFonts w:cs="Times New Roman"/>
          <w:color w:val="212121"/>
          <w:szCs w:val="24"/>
        </w:rPr>
        <w:t xml:space="preserve">Ряд осложнений может быть обусловлен некоторыми анатомическими особенностями больного. </w:t>
      </w:r>
      <w:r w:rsidRPr="002C6FFD">
        <w:rPr>
          <w:rFonts w:cs="Times New Roman"/>
          <w:szCs w:val="24"/>
        </w:rPr>
        <w:t>Так у больных с ожирением выше вероятность развития осложнений, т</w:t>
      </w:r>
      <w:r w:rsidRPr="002C6FFD">
        <w:rPr>
          <w:rFonts w:cs="Times New Roman"/>
          <w:color w:val="212121"/>
          <w:szCs w:val="24"/>
        </w:rPr>
        <w:t xml:space="preserve">акже осложнять проведение процедуры могут сопутствующие заболевания, влияющие на плотность костной ткани (например, остеопороз и резорбция </w:t>
      </w:r>
      <w:r w:rsidRPr="002C6FFD">
        <w:rPr>
          <w:rFonts w:cs="Times New Roman"/>
          <w:szCs w:val="24"/>
        </w:rPr>
        <w:t xml:space="preserve">кости). Для минимизации риска развития локальных и генерализованных инфекций, необходимо использовать только стерильный инструмент и строго соблюдать все правила асептики и антисептики. </w:t>
      </w:r>
      <w:r w:rsidRPr="002C6FFD">
        <w:rPr>
          <w:rFonts w:cs="Times New Roman"/>
          <w:color w:val="1A1718"/>
          <w:szCs w:val="24"/>
        </w:rPr>
        <w:t>Основными способами профилактики геморрагических осложнений является коррекция тромбоцитопении и коагулологических нарушений перед выполнением процедуры и контроль параметров гемостаза и состояния больного в раннем периоде после биопсии. При своевременном грамотном вмешательстве осложнения процедур исследования костного мозга (пункция, биопсия) курабельны.</w:t>
      </w:r>
    </w:p>
    <w:p w14:paraId="75181C2F" w14:textId="77777777" w:rsidR="00691CAB" w:rsidRPr="002C6FFD" w:rsidRDefault="00691CAB" w:rsidP="00691CAB">
      <w:pPr>
        <w:ind w:firstLine="708"/>
        <w:rPr>
          <w:rFonts w:cs="Times New Roman"/>
          <w:color w:val="000000"/>
          <w:szCs w:val="24"/>
        </w:rPr>
      </w:pPr>
      <w:r w:rsidRPr="002C6FFD">
        <w:rPr>
          <w:rFonts w:cs="Times New Roman"/>
          <w:szCs w:val="24"/>
        </w:rPr>
        <w:t xml:space="preserve">При развитии осложнений биопсийного исследования необходимо связаться с врачом, выполнившим процедуру, тактика терапии осложнения должна быть согласована с гематологом. </w:t>
      </w:r>
    </w:p>
    <w:p w14:paraId="38FE2572" w14:textId="77777777" w:rsidR="00691CAB" w:rsidRDefault="00691CAB" w:rsidP="00691CAB">
      <w:pPr>
        <w:pStyle w:val="2"/>
        <w:spacing w:before="0"/>
        <w:rPr>
          <w:rFonts w:eastAsia="Arial Unicode MS"/>
        </w:rPr>
      </w:pPr>
    </w:p>
    <w:p w14:paraId="08EF4F53" w14:textId="77777777" w:rsidR="00691CAB" w:rsidRPr="00F30696" w:rsidRDefault="00691CAB" w:rsidP="00691CAB">
      <w:pPr>
        <w:rPr>
          <w:b/>
          <w:i/>
          <w:iCs/>
          <w:u w:val="single"/>
          <w:shd w:val="clear" w:color="auto" w:fill="FFFFFF"/>
        </w:rPr>
      </w:pPr>
      <w:r w:rsidRPr="00F30696">
        <w:rPr>
          <w:i/>
          <w:iCs/>
          <w:u w:val="single"/>
          <w:shd w:val="clear" w:color="auto" w:fill="FFFFFF"/>
        </w:rPr>
        <w:t>Односторонняя и двусторонняя биопсия подвздошной кости</w:t>
      </w:r>
    </w:p>
    <w:p w14:paraId="5FC2CC83" w14:textId="1C4BBFD2" w:rsidR="00691CAB" w:rsidRPr="002C6FFD" w:rsidRDefault="00691CAB" w:rsidP="00691CAB">
      <w:pPr>
        <w:pStyle w:val="Normal11"/>
        <w:spacing w:before="0" w:line="360" w:lineRule="auto"/>
        <w:ind w:left="0" w:firstLine="699"/>
        <w:jc w:val="both"/>
        <w:rPr>
          <w:rFonts w:cs="Times New Roman"/>
          <w:spacing w:val="0"/>
        </w:rPr>
      </w:pPr>
      <w:r w:rsidRPr="002C6FFD">
        <w:rPr>
          <w:rFonts w:cs="Times New Roman"/>
          <w:spacing w:val="0"/>
        </w:rPr>
        <w:t>Выполнение двусторонней биопсии подвздошной кости увеличивает вероятность выявления очаговых поражений костного мозга при подозрении на метастатическое поражение при солидных опухолях, лимфопролиферативных заболеваниях, которые при односторонней биопсии могут быть не выявлены. Выполнение билатерального биопсийного исследования костного мозга также показано для более детальной оценки клеточности и наличия фиброза стромы при диагностике апластической анемии и миелодиспластических синдромов</w:t>
      </w:r>
      <w:r>
        <w:rPr>
          <w:rFonts w:cs="Times New Roman"/>
          <w:spacing w:val="0"/>
        </w:rPr>
        <w:t xml:space="preserve"> </w:t>
      </w:r>
      <w:r>
        <w:rPr>
          <w:rFonts w:cs="Times New Roman"/>
          <w:spacing w:val="0"/>
        </w:rPr>
        <w:fldChar w:fldCharType="begin" w:fldLock="1"/>
      </w:r>
      <w:r w:rsidR="004F33C9">
        <w:rPr>
          <w:rFonts w:cs="Times New Roman"/>
          <w:spacing w:val="0"/>
        </w:rPr>
        <w:instrText>ADDIN CSL_CITATION {"citationItems":[{"id":"ITEM-1","itemData":{"DOI":"10.1002/cncr.10364","ISSN":"0008543X","PMID":"11920510","abstract":"BACKGROUND. To retrospectively evaluate the significance of morphologic examination and ancillary studies performed on bilateral bone marrow biopsy specimens, 1864 bone marrow samples were studied. METHODS. Bilateral bone marrow biopsy specimens included 883 specimens that were evaluated for involvement by non-Hodgkin lymphoma (NHL); 381 specimens that were evaluated for involvement by carcinoma (CA); 362 specimens that were evaluated for involvement by Hodgkin disease (HD); 94 specimens that were evaluated for involvement by sarcoma (SA); 56 specimens that were evaluated for involvement by multiple myeloma (MM); 53 specimens that were evaluated for involvement by acute and chronic leukemia, myelodysplasia, and/or myeloproliferative disorders (LEUK); and 35 specimens that were evaluated for other reasons. RESULTS. Of all 1864 specimens, 410 samples (22.0%) were positive for disease, including 77% of MM samples, 58% of LEUK samples, 29.6% of NHL samples, 14% of SA samples, 9.9% of HD samples, and 6.8% of CA samples. A discrepancy between the left and right sides was identified in 48 specimens (11.7% of positive samples). The discrepancy rate was 39% for HD samples, 29% for SA samples, 23% for CA samples, and 9.2% for NHL samples. No morphologic discrepancies between bilateral samples were found in MM samples or LEUK samples. Bilateral flow cytometric studies (n = 113 samples) were positive in 11 samples (9.7%; all morphologically positive), with two discrepancies detected between bilateral samples. Bilateral cytogenetic studies (n = 74 samples) were positive in 5 samples (7%), and there were no discrepancies. Bilateral molecular studies (n = 16 samples)were positive in 7 samples (44%), and there were 3 discrepancies. CONCLUSIONS. Bilateral morphologic evaluation is useful in the evaluation of patients with NHL, HD, CA, and SA and is not indicated for patients with acute or chronic leukemia, myelodysplasia, MM, and other diseases. Bilateral flow cytomettic or cytogenetic studies of bone marrow did not provide additional information in this population to justify bilateral samples. The role of bilateral molecular analysis needs to be defined further, but pooled samples for molecular studies may be adequate. © 2002 American Cancer Society.","author":[{"dropping-particle":"","family":"Wang","given":"Jun","non-dropping-particle":"","parse-names":false,"suffix":""},{"dropping-particle":"","family":"Weiss","given":"Lawrence M.","non-dropping-particle":"","parse-names":false,"suffix":""},{"dropping-particle":"","family":"Chang","given":"Karen L.","non-dropping-particle":"","parse-names":false,"suffix":""},{"dropping-particle":"","family":"Slovak","given":"Marilyn L.","non-dropping-particle":"","parse-names":false,"suffix":""},{"dropping-particle":"","family":"Gaal","given":"Karl","non-dropping-particle":"","parse-names":false,"suffix":""},{"dropping-particle":"","family":"Forman","given":"Stephen J.","non-dropping-particle":"","parse-names":false,"suffix":""},{"dropping-particle":"","family":"Arber","given":"Daniel A.","non-dropping-particle":"","parse-names":false,"suffix":""}],"container-title":"Cancer","id":"ITEM-1","issue":"5","issued":{"date-parts":[["2002","3","1"]]},"page":"1522-1531","publisher":"Cancer","title":"Diagnostic utility of bilateral bone marrow examination: Significance of morphologic and ancillary technique study in malignancy","type":"article-journal","volume":"94"},"uris":["http://www.mendeley.com/documents/?uuid=a4dddfa3-ad50-3935-9640-ea89d6a1fc11"]}],"mendeley":{"formattedCitation":"[143]","plainTextFormattedCitation":"[143]","previouslyFormattedCitation":"[143]"},"properties":{"noteIndex":0},"schema":"https://github.com/citation-style-language/schema/raw/master/csl-citation.json"}</w:instrText>
      </w:r>
      <w:r>
        <w:rPr>
          <w:rFonts w:cs="Times New Roman"/>
          <w:spacing w:val="0"/>
        </w:rPr>
        <w:fldChar w:fldCharType="separate"/>
      </w:r>
      <w:r w:rsidR="00C05F48" w:rsidRPr="00C05F48">
        <w:rPr>
          <w:rFonts w:cs="Times New Roman"/>
          <w:noProof/>
          <w:spacing w:val="0"/>
        </w:rPr>
        <w:t>[143]</w:t>
      </w:r>
      <w:r>
        <w:rPr>
          <w:rFonts w:cs="Times New Roman"/>
          <w:spacing w:val="0"/>
        </w:rPr>
        <w:fldChar w:fldCharType="end"/>
      </w:r>
      <w:r w:rsidRPr="002C6FFD">
        <w:rPr>
          <w:rFonts w:cs="Times New Roman"/>
          <w:spacing w:val="0"/>
        </w:rPr>
        <w:t xml:space="preserve">. </w:t>
      </w:r>
    </w:p>
    <w:p w14:paraId="4F2CA19E" w14:textId="77777777" w:rsidR="00691CAB" w:rsidRPr="002C6FFD" w:rsidRDefault="00691CAB" w:rsidP="00691CAB">
      <w:pPr>
        <w:pStyle w:val="Normal11"/>
        <w:spacing w:before="0" w:line="360" w:lineRule="auto"/>
        <w:ind w:left="0" w:firstLine="699"/>
        <w:jc w:val="both"/>
        <w:rPr>
          <w:rFonts w:cs="Times New Roman"/>
          <w:spacing w:val="0"/>
        </w:rPr>
      </w:pPr>
      <w:r w:rsidRPr="002C6FFD">
        <w:rPr>
          <w:rFonts w:cs="Times New Roman"/>
          <w:spacing w:val="0"/>
        </w:rPr>
        <w:t>Выполнение одностороннего биопсийного исследования подвздошной кости считался достаточным в большинстве случаев при множественной миеломе и хронических миелопролиферативных заболеваниях.</w:t>
      </w:r>
    </w:p>
    <w:p w14:paraId="7E41170A" w14:textId="77777777" w:rsidR="00691CAB" w:rsidRPr="002C6FFD" w:rsidRDefault="00691CAB" w:rsidP="00691CAB">
      <w:pPr>
        <w:ind w:firstLine="699"/>
        <w:rPr>
          <w:rFonts w:cs="Times New Roman"/>
          <w:szCs w:val="24"/>
        </w:rPr>
      </w:pPr>
      <w:r w:rsidRPr="002C6FFD">
        <w:rPr>
          <w:rFonts w:cs="Times New Roman"/>
          <w:szCs w:val="24"/>
        </w:rPr>
        <w:t xml:space="preserve">В настоящее время, с учетом применения в диагностике и стадировании лимфом позитронно-эмиссионной томографии (ПЭТ), с возможностью оценки ПЭТ-позитивного вовлечения костной ткани, указывающего на наличие поражения костного мозга, билатеральная биопсия при лимфомах, возможно, будет выполняться реже. </w:t>
      </w:r>
    </w:p>
    <w:p w14:paraId="221DE960" w14:textId="77777777" w:rsidR="00691CAB" w:rsidRDefault="00691CAB" w:rsidP="00691CAB">
      <w:pPr>
        <w:pStyle w:val="2"/>
        <w:spacing w:before="0"/>
        <w:rPr>
          <w:rFonts w:eastAsia="Arial Unicode MS"/>
        </w:rPr>
      </w:pPr>
    </w:p>
    <w:p w14:paraId="708EBC66" w14:textId="77777777" w:rsidR="00691CAB" w:rsidRPr="008E213C" w:rsidRDefault="00691CAB" w:rsidP="00691CAB">
      <w:pPr>
        <w:rPr>
          <w:b/>
          <w:i/>
          <w:iCs/>
          <w:u w:val="single"/>
          <w:shd w:val="clear" w:color="auto" w:fill="FFFFFF"/>
        </w:rPr>
      </w:pPr>
      <w:r w:rsidRPr="008E213C">
        <w:rPr>
          <w:i/>
          <w:iCs/>
          <w:u w:val="single"/>
          <w:shd w:val="clear" w:color="auto" w:fill="FFFFFF"/>
        </w:rPr>
        <w:t>Необходимая документация</w:t>
      </w:r>
    </w:p>
    <w:p w14:paraId="2EDE7B8F" w14:textId="77777777" w:rsidR="00691CAB" w:rsidRPr="002C6FFD" w:rsidRDefault="00691CAB" w:rsidP="00691CAB">
      <w:pPr>
        <w:pStyle w:val="Normal11"/>
        <w:spacing w:before="0" w:line="360" w:lineRule="auto"/>
        <w:ind w:firstLine="699"/>
        <w:jc w:val="both"/>
        <w:rPr>
          <w:rFonts w:cs="Times New Roman"/>
          <w:color w:val="212121"/>
          <w:spacing w:val="0"/>
        </w:rPr>
      </w:pPr>
      <w:r w:rsidRPr="002C6FFD">
        <w:rPr>
          <w:rFonts w:cs="Times New Roman"/>
          <w:spacing w:val="0"/>
        </w:rPr>
        <w:t>Перед началом выполнения процедуры пациенту (доверенному лицу или опекуну) врач объясняет показания для ее выполнения, ожидаемые результаты и возможные осложнения</w:t>
      </w:r>
      <w:r w:rsidRPr="002C6FFD">
        <w:rPr>
          <w:rFonts w:cs="Times New Roman"/>
          <w:color w:val="212121"/>
          <w:spacing w:val="0"/>
        </w:rPr>
        <w:t xml:space="preserve"> и риски (включая риск инфицирования, кровотечения, болевого синдрома, образования рубцов и вероятность получения неинформативного материала)</w:t>
      </w:r>
      <w:r w:rsidRPr="002C6FFD">
        <w:rPr>
          <w:rFonts w:cs="Times New Roman"/>
          <w:spacing w:val="0"/>
        </w:rPr>
        <w:t xml:space="preserve">, отвечает на возникающие у больного вопросы. После этого пациент (доверенное лицо или опекун) подписывает информированное согласие, которое прилагается к медицинской документации и протоколу выполнения процедуры. </w:t>
      </w:r>
      <w:r w:rsidRPr="002C6FFD">
        <w:rPr>
          <w:rFonts w:cs="Times New Roman"/>
          <w:color w:val="212121"/>
          <w:spacing w:val="0"/>
        </w:rPr>
        <w:t xml:space="preserve">Факт выполнения процедуры фиксируется в процедурном журнале за подписью врача, выполнявшего процедуру с указанием даты, времени, вида и </w:t>
      </w:r>
      <w:r w:rsidRPr="002C6FFD">
        <w:rPr>
          <w:rFonts w:cs="Times New Roman"/>
          <w:spacing w:val="0"/>
        </w:rPr>
        <w:t xml:space="preserve">локуса </w:t>
      </w:r>
      <w:r w:rsidRPr="002C6FFD">
        <w:rPr>
          <w:rFonts w:cs="Times New Roman"/>
          <w:color w:val="212121"/>
          <w:spacing w:val="0"/>
        </w:rPr>
        <w:t>биопсийного исследования и возникших осложнений процедуры.</w:t>
      </w:r>
    </w:p>
    <w:p w14:paraId="2836E302" w14:textId="77777777" w:rsidR="00691CAB" w:rsidRDefault="00691CAB" w:rsidP="00691CAB">
      <w:pPr>
        <w:pStyle w:val="2"/>
        <w:spacing w:before="0"/>
        <w:rPr>
          <w:rFonts w:eastAsia="Arial Unicode MS"/>
        </w:rPr>
      </w:pPr>
    </w:p>
    <w:p w14:paraId="5CAF9732" w14:textId="3ABCF5C9" w:rsidR="00691CAB" w:rsidRPr="008E213C" w:rsidRDefault="00691CAB" w:rsidP="00691CAB">
      <w:pPr>
        <w:rPr>
          <w:b/>
          <w:i/>
          <w:iCs/>
          <w:u w:val="single"/>
          <w:shd w:val="clear" w:color="auto" w:fill="FFFFFF"/>
        </w:rPr>
      </w:pPr>
      <w:r w:rsidRPr="008E213C">
        <w:rPr>
          <w:i/>
          <w:iCs/>
          <w:u w:val="single"/>
          <w:shd w:val="clear" w:color="auto" w:fill="FFFFFF"/>
        </w:rPr>
        <w:t xml:space="preserve">Техника выполнения пункции (аспирации) костного мозга из грудины (стернальной пункции) </w:t>
      </w:r>
      <w:r w:rsidRPr="008E213C">
        <w:rPr>
          <w:b/>
          <w:i/>
          <w:iCs/>
          <w:u w:val="single"/>
          <w:shd w:val="clear" w:color="auto" w:fill="FFFFFF"/>
        </w:rPr>
        <w:fldChar w:fldCharType="begin" w:fldLock="1"/>
      </w:r>
      <w:r w:rsidR="004F33C9">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[142]","plainTextFormattedCitation":"[142]","previouslyFormattedCitation":"[142]"},"properties":{"noteIndex":0},"schema":"https://github.com/citation-style-language/schema/raw/master/csl-citation.json"}</w:instrText>
      </w:r>
      <w:r w:rsidRPr="008E213C">
        <w:rPr>
          <w:b/>
          <w:i/>
          <w:iCs/>
          <w:u w:val="single"/>
          <w:shd w:val="clear" w:color="auto" w:fill="FFFFFF"/>
        </w:rPr>
        <w:fldChar w:fldCharType="separate"/>
      </w:r>
      <w:r w:rsidR="00C05F48" w:rsidRPr="00C05F48">
        <w:rPr>
          <w:iCs/>
          <w:noProof/>
          <w:shd w:val="clear" w:color="auto" w:fill="FFFFFF"/>
        </w:rPr>
        <w:t>[142]</w:t>
      </w:r>
      <w:r w:rsidRPr="008E213C">
        <w:rPr>
          <w:b/>
          <w:i/>
          <w:iCs/>
          <w:u w:val="single"/>
          <w:shd w:val="clear" w:color="auto" w:fill="FFFFFF"/>
        </w:rPr>
        <w:fldChar w:fldCharType="end"/>
      </w:r>
    </w:p>
    <w:p w14:paraId="57484057" w14:textId="77777777" w:rsidR="00691CAB" w:rsidRPr="002C6FFD" w:rsidRDefault="00691CAB" w:rsidP="00691CAB">
      <w:pPr>
        <w:pStyle w:val="Number1"/>
        <w:numPr>
          <w:ilvl w:val="0"/>
          <w:numId w:val="127"/>
        </w:numPr>
        <w:overflowPunct/>
        <w:autoSpaceDE/>
        <w:autoSpaceDN/>
        <w:adjustRightInd/>
        <w:spacing w:before="0"/>
        <w:textAlignment w:val="auto"/>
        <w:rPr>
          <w:spacing w:val="0"/>
        </w:rPr>
      </w:pPr>
      <w:r w:rsidRPr="002C6FFD">
        <w:rPr>
          <w:spacing w:val="0"/>
          <w:shd w:val="clear" w:color="auto" w:fill="FFFFFF"/>
        </w:rPr>
        <w:t xml:space="preserve">Врач перед началом выполнения процедуры обязательно выясняет наличие и вид аллергических реакций на лекарственные средства, включая анестетики, перечень принимаемых больным препаратов (антикоагулянты и антиагреганты), наличие сопутствующих заболеваний, остеопороза. При невозможности выполнения местной анестезии, пункция может быть выполнена как без анестезии, так и под общей анестезией. </w:t>
      </w:r>
    </w:p>
    <w:p w14:paraId="09D92805" w14:textId="77777777" w:rsidR="00691CAB" w:rsidRPr="002C6FFD" w:rsidRDefault="00691CAB" w:rsidP="00691CAB">
      <w:pPr>
        <w:pStyle w:val="Number1"/>
        <w:numPr>
          <w:ilvl w:val="0"/>
          <w:numId w:val="127"/>
        </w:numPr>
        <w:overflowPunct/>
        <w:autoSpaceDE/>
        <w:autoSpaceDN/>
        <w:adjustRightInd/>
        <w:spacing w:before="0"/>
        <w:textAlignment w:val="auto"/>
        <w:rPr>
          <w:spacing w:val="0"/>
        </w:rPr>
      </w:pPr>
      <w:r w:rsidRPr="002C6FFD">
        <w:rPr>
          <w:spacing w:val="0"/>
          <w:shd w:val="clear" w:color="auto" w:fill="FFFFFF"/>
        </w:rPr>
        <w:t xml:space="preserve">Тромбоцитопения не является противопоказанием для проведения пункции костного мозга, однако при наличии развернутого геморрагического синдрома желательно предварительно выполнить заместительные трансфузии тромбоконцентратов и, при необходимости, свежезамороженной плазмы и/или криопреципитата. </w:t>
      </w:r>
    </w:p>
    <w:p w14:paraId="6AE0F632" w14:textId="77777777" w:rsidR="00691CAB" w:rsidRPr="002C6FFD" w:rsidRDefault="00691CAB" w:rsidP="00691CAB">
      <w:pPr>
        <w:pStyle w:val="Number1"/>
        <w:numPr>
          <w:ilvl w:val="0"/>
          <w:numId w:val="127"/>
        </w:numPr>
        <w:overflowPunct/>
        <w:autoSpaceDE/>
        <w:autoSpaceDN/>
        <w:adjustRightInd/>
        <w:spacing w:before="0"/>
        <w:textAlignment w:val="auto"/>
        <w:rPr>
          <w:spacing w:val="0"/>
        </w:rPr>
      </w:pPr>
      <w:r w:rsidRPr="002C6FFD">
        <w:rPr>
          <w:spacing w:val="0"/>
        </w:rPr>
        <w:t xml:space="preserve">Аспирация костного мозга может выполняться из </w:t>
      </w:r>
      <w:r w:rsidRPr="002C6FFD">
        <w:rPr>
          <w:spacing w:val="0"/>
          <w:shd w:val="clear" w:color="auto" w:fill="FFFFFF"/>
        </w:rPr>
        <w:t>области рукоятки грудины или тела грудины на уровне III—IV ребра, избегая область сочленения рукоятки и тела грудины (</w:t>
      </w:r>
      <w:r w:rsidRPr="002C6FFD">
        <w:rPr>
          <w:spacing w:val="0"/>
        </w:rPr>
        <w:t>по методу Аринкина</w:t>
      </w:r>
      <w:r w:rsidRPr="002C6FFD">
        <w:rPr>
          <w:spacing w:val="0"/>
          <w:shd w:val="clear" w:color="auto" w:fill="FFFFFF"/>
        </w:rPr>
        <w:t>), или из гребня подвздошной кости</w:t>
      </w:r>
      <w:r w:rsidRPr="002C6FFD">
        <w:rPr>
          <w:spacing w:val="0"/>
        </w:rPr>
        <w:t xml:space="preserve">. </w:t>
      </w:r>
    </w:p>
    <w:p w14:paraId="5351C6B6" w14:textId="77777777" w:rsidR="00691CAB" w:rsidRPr="002C6FFD" w:rsidRDefault="00691CAB" w:rsidP="00691CAB">
      <w:pPr>
        <w:pStyle w:val="Number1"/>
        <w:numPr>
          <w:ilvl w:val="0"/>
          <w:numId w:val="127"/>
        </w:numPr>
        <w:overflowPunct/>
        <w:autoSpaceDE/>
        <w:autoSpaceDN/>
        <w:adjustRightInd/>
        <w:spacing w:before="0"/>
        <w:textAlignment w:val="auto"/>
        <w:rPr>
          <w:color w:val="212121"/>
          <w:spacing w:val="0"/>
        </w:rPr>
      </w:pPr>
      <w:r w:rsidRPr="002C6FFD">
        <w:rPr>
          <w:spacing w:val="0"/>
        </w:rPr>
        <w:t>При выполнении стернальной пункции (по методу Аринкина) больного укладывают на манипуляционный стол на спину.</w:t>
      </w:r>
      <w:r w:rsidRPr="002C6FFD">
        <w:rPr>
          <w:spacing w:val="0"/>
          <w:shd w:val="clear" w:color="auto" w:fill="FFFFFF"/>
        </w:rPr>
        <w:t xml:space="preserve"> Для облегчения выполнения процедуры можно приподнять грудную клетку, поместив под лопатки больного валик.</w:t>
      </w:r>
    </w:p>
    <w:p w14:paraId="03411959" w14:textId="77777777" w:rsidR="00691CAB" w:rsidRPr="002C6FFD" w:rsidRDefault="00691CAB" w:rsidP="00691CAB">
      <w:pPr>
        <w:pStyle w:val="Number1"/>
        <w:numPr>
          <w:ilvl w:val="0"/>
          <w:numId w:val="127"/>
        </w:numPr>
        <w:overflowPunct/>
        <w:autoSpaceDE/>
        <w:autoSpaceDN/>
        <w:adjustRightInd/>
        <w:spacing w:before="0"/>
        <w:textAlignment w:val="auto"/>
        <w:rPr>
          <w:spacing w:val="0"/>
        </w:rPr>
      </w:pPr>
      <w:r w:rsidRPr="002C6FFD">
        <w:rPr>
          <w:spacing w:val="0"/>
        </w:rPr>
        <w:t xml:space="preserve">При применении инфильтрационной анестезии выполняется обезболивание кожи («лимонная корочка») с дальнейшей послойной инфильтративной анестезией вплоть до надкостницы и под надкостницу — </w:t>
      </w:r>
      <w:r w:rsidRPr="002C6FFD">
        <w:rPr>
          <w:color w:val="212121"/>
          <w:spacing w:val="0"/>
          <w:shd w:val="clear" w:color="auto" w:fill="FFFFFF"/>
        </w:rPr>
        <w:t>2,0% раствором лидокаина или 0,25—0,5% раствором новокаина</w:t>
      </w:r>
      <w:r w:rsidRPr="002C6FFD">
        <w:rPr>
          <w:spacing w:val="0"/>
        </w:rPr>
        <w:t xml:space="preserve"> (анестетик выбирается с учетом аллергологического анамнеза) 1,0—2,0 мл. Использование 10% лидокаина недопустимо для местной анестезии в виду возможности некротизирования тканей. </w:t>
      </w:r>
    </w:p>
    <w:p w14:paraId="73762E04" w14:textId="77777777" w:rsidR="00691CAB" w:rsidRPr="002C6FFD" w:rsidRDefault="00691CAB" w:rsidP="00691CAB">
      <w:pPr>
        <w:pStyle w:val="Number1"/>
        <w:numPr>
          <w:ilvl w:val="0"/>
          <w:numId w:val="127"/>
        </w:numPr>
        <w:overflowPunct/>
        <w:autoSpaceDE/>
        <w:autoSpaceDN/>
        <w:adjustRightInd/>
        <w:spacing w:before="0"/>
        <w:textAlignment w:val="auto"/>
        <w:rPr>
          <w:color w:val="222222"/>
          <w:spacing w:val="0"/>
        </w:rPr>
      </w:pPr>
      <w:r w:rsidRPr="002C6FFD">
        <w:rPr>
          <w:spacing w:val="0"/>
        </w:rPr>
        <w:t xml:space="preserve">Пункция костного мозга выполняется иглой Кассирского или иглой сходной с ней конструкции. </w:t>
      </w:r>
    </w:p>
    <w:p w14:paraId="17D0429F" w14:textId="77777777" w:rsidR="00691CAB" w:rsidRPr="002C6FFD" w:rsidRDefault="00691CAB" w:rsidP="00691CAB">
      <w:pPr>
        <w:pStyle w:val="Number1"/>
        <w:numPr>
          <w:ilvl w:val="0"/>
          <w:numId w:val="127"/>
        </w:numPr>
        <w:overflowPunct/>
        <w:autoSpaceDE/>
        <w:autoSpaceDN/>
        <w:adjustRightInd/>
        <w:spacing w:before="0"/>
        <w:textAlignment w:val="auto"/>
        <w:rPr>
          <w:color w:val="222222"/>
          <w:spacing w:val="0"/>
        </w:rPr>
      </w:pPr>
      <w:r w:rsidRPr="002C6FFD">
        <w:rPr>
          <w:spacing w:val="0"/>
        </w:rPr>
        <w:t xml:space="preserve">Ограничитель </w:t>
      </w:r>
      <w:r w:rsidRPr="002C6FFD">
        <w:rPr>
          <w:color w:val="222222"/>
          <w:spacing w:val="0"/>
        </w:rPr>
        <w:t xml:space="preserve">устанавливается с учетом </w:t>
      </w:r>
      <w:r w:rsidRPr="002C6FFD">
        <w:rPr>
          <w:spacing w:val="0"/>
        </w:rPr>
        <w:t xml:space="preserve">возраста, выраженности подкожно-жировой клетчатки пациента из расчета, </w:t>
      </w:r>
      <w:r w:rsidRPr="002C6FFD">
        <w:rPr>
          <w:color w:val="222222"/>
          <w:spacing w:val="0"/>
        </w:rPr>
        <w:t>чтобы игла, пройдя мягкие ткани, продвинулась на 5 мм</w:t>
      </w:r>
      <w:r w:rsidRPr="002C6FFD">
        <w:rPr>
          <w:spacing w:val="0"/>
        </w:rPr>
        <w:t xml:space="preserve">. </w:t>
      </w:r>
      <w:r w:rsidRPr="002C6FFD">
        <w:rPr>
          <w:color w:val="222222"/>
          <w:spacing w:val="0"/>
        </w:rPr>
        <w:t xml:space="preserve">При этом конец иглы, проколов наружную пластинку грудины, окажется в полости грудины. </w:t>
      </w:r>
    </w:p>
    <w:p w14:paraId="2B989F36" w14:textId="77777777" w:rsidR="00691CAB" w:rsidRPr="002C6FFD" w:rsidRDefault="00691CAB" w:rsidP="00691CAB">
      <w:pPr>
        <w:pStyle w:val="Number1"/>
        <w:numPr>
          <w:ilvl w:val="0"/>
          <w:numId w:val="127"/>
        </w:numPr>
        <w:overflowPunct/>
        <w:autoSpaceDE/>
        <w:autoSpaceDN/>
        <w:adjustRightInd/>
        <w:spacing w:before="0"/>
        <w:textAlignment w:val="auto"/>
        <w:rPr>
          <w:color w:val="222222"/>
          <w:spacing w:val="0"/>
        </w:rPr>
      </w:pPr>
      <w:r w:rsidRPr="002C6FFD">
        <w:rPr>
          <w:spacing w:val="0"/>
          <w:shd w:val="clear" w:color="auto" w:fill="FFFFFF"/>
        </w:rPr>
        <w:t xml:space="preserve">Игла направляется перпендикулярно поверхности кости и вкалывается быстрым и четким движением на уровне одного из межреберий (I—III). </w:t>
      </w:r>
      <w:r w:rsidRPr="002C6FFD">
        <w:rPr>
          <w:color w:val="222222"/>
          <w:spacing w:val="0"/>
        </w:rPr>
        <w:t>Это момент ощущается врачом как «провал».</w:t>
      </w:r>
    </w:p>
    <w:p w14:paraId="19209F1B" w14:textId="77777777" w:rsidR="00691CAB" w:rsidRPr="002C6FFD" w:rsidRDefault="00691CAB" w:rsidP="00691CAB">
      <w:pPr>
        <w:pStyle w:val="Number1"/>
        <w:numPr>
          <w:ilvl w:val="0"/>
          <w:numId w:val="127"/>
        </w:numPr>
        <w:overflowPunct/>
        <w:autoSpaceDE/>
        <w:autoSpaceDN/>
        <w:adjustRightInd/>
        <w:spacing w:before="0"/>
        <w:textAlignment w:val="auto"/>
        <w:rPr>
          <w:color w:val="222222"/>
          <w:spacing w:val="0"/>
        </w:rPr>
      </w:pPr>
      <w:r w:rsidRPr="002C6FFD">
        <w:rPr>
          <w:spacing w:val="0"/>
          <w:shd w:val="clear" w:color="auto" w:fill="FFFFFF"/>
        </w:rPr>
        <w:t xml:space="preserve">Игла должна быть неподвижно фиксирована в грудине. </w:t>
      </w:r>
    </w:p>
    <w:p w14:paraId="13848309" w14:textId="77777777" w:rsidR="00691CAB" w:rsidRPr="002C6FFD" w:rsidRDefault="00691CAB" w:rsidP="00691CAB">
      <w:pPr>
        <w:pStyle w:val="Number1"/>
        <w:numPr>
          <w:ilvl w:val="0"/>
          <w:numId w:val="127"/>
        </w:numPr>
        <w:overflowPunct/>
        <w:autoSpaceDE/>
        <w:autoSpaceDN/>
        <w:adjustRightInd/>
        <w:spacing w:before="0"/>
        <w:textAlignment w:val="auto"/>
        <w:rPr>
          <w:color w:val="222222"/>
          <w:spacing w:val="0"/>
        </w:rPr>
      </w:pPr>
      <w:r w:rsidRPr="002C6FFD">
        <w:rPr>
          <w:color w:val="222222"/>
          <w:spacing w:val="0"/>
        </w:rPr>
        <w:t xml:space="preserve">После извлечения мандрена к игле присоединяют шприц и производят аспирацию костного мозга. </w:t>
      </w:r>
    </w:p>
    <w:p w14:paraId="5DA3BAE6" w14:textId="77777777" w:rsidR="00691CAB" w:rsidRPr="002C6FFD" w:rsidRDefault="00691CAB" w:rsidP="00691CAB">
      <w:pPr>
        <w:pStyle w:val="Number1"/>
        <w:numPr>
          <w:ilvl w:val="0"/>
          <w:numId w:val="127"/>
        </w:numPr>
        <w:overflowPunct/>
        <w:autoSpaceDE/>
        <w:autoSpaceDN/>
        <w:adjustRightInd/>
        <w:spacing w:before="0"/>
        <w:textAlignment w:val="auto"/>
        <w:rPr>
          <w:color w:val="222222"/>
          <w:spacing w:val="0"/>
        </w:rPr>
      </w:pPr>
      <w:r w:rsidRPr="002C6FFD">
        <w:rPr>
          <w:color w:val="222222"/>
          <w:spacing w:val="0"/>
        </w:rPr>
        <w:t>Из полученного пунктата готовят мазки и направляют материал на различные исследования.</w:t>
      </w:r>
    </w:p>
    <w:p w14:paraId="6D45E018" w14:textId="77777777" w:rsidR="00691CAB" w:rsidRDefault="00691CAB" w:rsidP="00691CAB">
      <w:pPr>
        <w:pStyle w:val="Number1"/>
        <w:numPr>
          <w:ilvl w:val="0"/>
          <w:numId w:val="127"/>
        </w:numPr>
        <w:overflowPunct/>
        <w:autoSpaceDE/>
        <w:autoSpaceDN/>
        <w:adjustRightInd/>
        <w:spacing w:before="0"/>
        <w:textAlignment w:val="auto"/>
        <w:rPr>
          <w:color w:val="222222"/>
          <w:spacing w:val="0"/>
        </w:rPr>
      </w:pPr>
      <w:r w:rsidRPr="002C6FFD">
        <w:rPr>
          <w:color w:val="222222"/>
          <w:spacing w:val="0"/>
        </w:rPr>
        <w:t>Первые 0,5 мл костномозговой взвеси используют для приготовления мазков, которые направляются на:</w:t>
      </w:r>
    </w:p>
    <w:p w14:paraId="2CB2F10E" w14:textId="77777777" w:rsidR="00691CAB" w:rsidRPr="002C6FFD" w:rsidRDefault="00691CAB" w:rsidP="00691CAB">
      <w:pPr>
        <w:pStyle w:val="Number1"/>
        <w:numPr>
          <w:ilvl w:val="1"/>
          <w:numId w:val="127"/>
        </w:numPr>
        <w:overflowPunct/>
        <w:autoSpaceDE/>
        <w:autoSpaceDN/>
        <w:adjustRightInd/>
        <w:spacing w:before="0"/>
        <w:textAlignment w:val="auto"/>
        <w:rPr>
          <w:color w:val="222222"/>
          <w:spacing w:val="0"/>
        </w:rPr>
      </w:pPr>
      <w:r w:rsidRPr="002C6FFD">
        <w:rPr>
          <w:spacing w:val="0"/>
        </w:rPr>
        <w:t>цитологическое исследование;</w:t>
      </w:r>
    </w:p>
    <w:p w14:paraId="67D67522" w14:textId="77777777" w:rsidR="00691CAB" w:rsidRDefault="00691CAB" w:rsidP="00691CAB">
      <w:pPr>
        <w:pStyle w:val="Number1"/>
        <w:numPr>
          <w:ilvl w:val="1"/>
          <w:numId w:val="127"/>
        </w:numPr>
        <w:overflowPunct/>
        <w:autoSpaceDE/>
        <w:autoSpaceDN/>
        <w:adjustRightInd/>
        <w:spacing w:before="0"/>
        <w:textAlignment w:val="auto"/>
        <w:rPr>
          <w:color w:val="222222"/>
          <w:spacing w:val="0"/>
        </w:rPr>
      </w:pPr>
      <w:r w:rsidRPr="002C6FFD">
        <w:rPr>
          <w:spacing w:val="0"/>
        </w:rPr>
        <w:t>цитохимическое исследование.</w:t>
      </w:r>
    </w:p>
    <w:p w14:paraId="29588B65" w14:textId="77777777" w:rsidR="00691CAB" w:rsidRPr="002C6FFD" w:rsidRDefault="00691CAB" w:rsidP="00691CAB">
      <w:pPr>
        <w:pStyle w:val="Number1"/>
        <w:numPr>
          <w:ilvl w:val="0"/>
          <w:numId w:val="127"/>
        </w:numPr>
        <w:overflowPunct/>
        <w:autoSpaceDE/>
        <w:autoSpaceDN/>
        <w:adjustRightInd/>
        <w:spacing w:before="0"/>
        <w:textAlignment w:val="auto"/>
        <w:rPr>
          <w:color w:val="222222"/>
          <w:spacing w:val="0"/>
        </w:rPr>
      </w:pPr>
      <w:r w:rsidRPr="002C6FFD">
        <w:rPr>
          <w:spacing w:val="0"/>
        </w:rPr>
        <w:t>При необходимости остальную костномозговую взвесь помещают</w:t>
      </w:r>
      <w:r>
        <w:rPr>
          <w:spacing w:val="0"/>
        </w:rPr>
        <w:t>:</w:t>
      </w:r>
      <w:r w:rsidRPr="002C6FFD">
        <w:rPr>
          <w:spacing w:val="0"/>
        </w:rPr>
        <w:t xml:space="preserve"> </w:t>
      </w:r>
    </w:p>
    <w:p w14:paraId="44E866B3" w14:textId="77777777" w:rsidR="00691CAB" w:rsidRPr="002C6FFD" w:rsidRDefault="00691CAB" w:rsidP="00691CAB">
      <w:pPr>
        <w:pStyle w:val="Number1"/>
        <w:numPr>
          <w:ilvl w:val="1"/>
          <w:numId w:val="127"/>
        </w:numPr>
        <w:overflowPunct/>
        <w:autoSpaceDE/>
        <w:autoSpaceDN/>
        <w:adjustRightInd/>
        <w:spacing w:before="0"/>
        <w:textAlignment w:val="auto"/>
        <w:rPr>
          <w:color w:val="222222"/>
          <w:spacing w:val="0"/>
        </w:rPr>
      </w:pPr>
      <w:r w:rsidRPr="002C6FFD">
        <w:rPr>
          <w:spacing w:val="0"/>
        </w:rPr>
        <w:t>в пробирки с консервантом ЭДТА для проведения исследований:</w:t>
      </w:r>
    </w:p>
    <w:p w14:paraId="22B8C608" w14:textId="77777777" w:rsidR="00691CAB" w:rsidRPr="002C6FFD" w:rsidRDefault="00691CAB" w:rsidP="00691CAB">
      <w:pPr>
        <w:pStyle w:val="Number1"/>
        <w:numPr>
          <w:ilvl w:val="2"/>
          <w:numId w:val="127"/>
        </w:numPr>
        <w:overflowPunct/>
        <w:autoSpaceDE/>
        <w:autoSpaceDN/>
        <w:adjustRightInd/>
        <w:spacing w:before="0"/>
        <w:textAlignment w:val="auto"/>
        <w:rPr>
          <w:color w:val="222222"/>
          <w:spacing w:val="0"/>
        </w:rPr>
      </w:pPr>
      <w:r w:rsidRPr="002C6FFD">
        <w:rPr>
          <w:spacing w:val="0"/>
        </w:rPr>
        <w:t>иммунофенотипическое исследование;</w:t>
      </w:r>
    </w:p>
    <w:p w14:paraId="2591F50D" w14:textId="77777777" w:rsidR="00691CAB" w:rsidRDefault="00691CAB" w:rsidP="00691CAB">
      <w:pPr>
        <w:pStyle w:val="Number1"/>
        <w:numPr>
          <w:ilvl w:val="2"/>
          <w:numId w:val="127"/>
        </w:numPr>
        <w:overflowPunct/>
        <w:autoSpaceDE/>
        <w:autoSpaceDN/>
        <w:adjustRightInd/>
        <w:spacing w:before="0"/>
        <w:textAlignment w:val="auto"/>
        <w:rPr>
          <w:color w:val="222222"/>
          <w:spacing w:val="0"/>
        </w:rPr>
      </w:pPr>
      <w:r w:rsidRPr="002C6FFD">
        <w:rPr>
          <w:spacing w:val="0"/>
        </w:rPr>
        <w:t>молекулярное исследование (методом ПЦР).</w:t>
      </w:r>
    </w:p>
    <w:p w14:paraId="6B72CCE3" w14:textId="77777777" w:rsidR="00691CAB" w:rsidRPr="002C6FFD" w:rsidRDefault="00691CAB" w:rsidP="00691CAB">
      <w:pPr>
        <w:pStyle w:val="Number1"/>
        <w:numPr>
          <w:ilvl w:val="1"/>
          <w:numId w:val="127"/>
        </w:numPr>
        <w:overflowPunct/>
        <w:autoSpaceDE/>
        <w:autoSpaceDN/>
        <w:adjustRightInd/>
        <w:spacing w:before="0"/>
        <w:textAlignment w:val="auto"/>
        <w:rPr>
          <w:color w:val="222222"/>
          <w:spacing w:val="0"/>
        </w:rPr>
      </w:pPr>
      <w:r w:rsidRPr="002C6FFD">
        <w:rPr>
          <w:spacing w:val="0"/>
        </w:rPr>
        <w:t>в пробирки с литиевой солью гепарина для цитогенетического (кариологического) исследования.</w:t>
      </w:r>
    </w:p>
    <w:p w14:paraId="2E2B0026" w14:textId="77777777" w:rsidR="00691CAB" w:rsidRPr="002C6FFD" w:rsidRDefault="00691CAB" w:rsidP="00691CAB">
      <w:pPr>
        <w:pStyle w:val="Number1"/>
        <w:numPr>
          <w:ilvl w:val="0"/>
          <w:numId w:val="127"/>
        </w:numPr>
        <w:overflowPunct/>
        <w:autoSpaceDE/>
        <w:autoSpaceDN/>
        <w:adjustRightInd/>
        <w:spacing w:before="0"/>
        <w:textAlignment w:val="auto"/>
        <w:rPr>
          <w:spacing w:val="0"/>
        </w:rPr>
      </w:pPr>
      <w:r w:rsidRPr="002C6FFD">
        <w:rPr>
          <w:spacing w:val="0"/>
        </w:rPr>
        <w:t>После окончания процедуры аспирации иглу извлекают из грудины и на место пункции накладывают асептическую повязку.</w:t>
      </w:r>
    </w:p>
    <w:p w14:paraId="42B189FF" w14:textId="77777777" w:rsidR="00691CAB" w:rsidRPr="002C6FFD" w:rsidRDefault="00691CAB" w:rsidP="00691CAB">
      <w:pPr>
        <w:pStyle w:val="Number1"/>
        <w:numPr>
          <w:ilvl w:val="0"/>
          <w:numId w:val="127"/>
        </w:numPr>
        <w:overflowPunct/>
        <w:autoSpaceDE/>
        <w:autoSpaceDN/>
        <w:adjustRightInd/>
        <w:spacing w:before="0"/>
        <w:textAlignment w:val="auto"/>
        <w:rPr>
          <w:spacing w:val="0"/>
        </w:rPr>
      </w:pPr>
      <w:r w:rsidRPr="002C6FFD">
        <w:rPr>
          <w:spacing w:val="0"/>
        </w:rPr>
        <w:t xml:space="preserve">Возможно приготовление гистологического препарата из аспирата костного мозга («крошка») – это так называемый clot (сверток, сгусток) аспирата, содержащий частицы костного мозга. Сформировавшийся сгусток помещают в 10% раствор формалина и направляют на гистологическое исследование, которое может быть выполнено в более короткие сроки, чем исследование трепанобиоптата, поскольку не требует выполнения декальцинации кости. </w:t>
      </w:r>
    </w:p>
    <w:p w14:paraId="3007CD76" w14:textId="77777777" w:rsidR="00691CAB" w:rsidRDefault="00691CAB" w:rsidP="00691CAB">
      <w:pPr>
        <w:pStyle w:val="2"/>
        <w:spacing w:before="0"/>
        <w:rPr>
          <w:rFonts w:eastAsia="Arial Unicode MS"/>
        </w:rPr>
      </w:pPr>
    </w:p>
    <w:p w14:paraId="3661E8D5" w14:textId="28D93803" w:rsidR="00691CAB" w:rsidRPr="008E213C" w:rsidRDefault="00691CAB" w:rsidP="00691CAB">
      <w:pPr>
        <w:rPr>
          <w:b/>
          <w:i/>
          <w:iCs/>
          <w:u w:val="single"/>
          <w:shd w:val="clear" w:color="auto" w:fill="FFFFFF"/>
        </w:rPr>
      </w:pPr>
      <w:r w:rsidRPr="008E213C">
        <w:rPr>
          <w:i/>
          <w:iCs/>
          <w:u w:val="single"/>
          <w:shd w:val="clear" w:color="auto" w:fill="FFFFFF"/>
        </w:rPr>
        <w:t xml:space="preserve">Техника выполнения процедуры трепанобиопсии костного мозга </w:t>
      </w:r>
      <w:r w:rsidRPr="008E213C">
        <w:rPr>
          <w:b/>
          <w:i/>
          <w:iCs/>
          <w:u w:val="single"/>
          <w:shd w:val="clear" w:color="auto" w:fill="FFFFFF"/>
        </w:rPr>
        <w:fldChar w:fldCharType="begin" w:fldLock="1"/>
      </w:r>
      <w:r w:rsidR="004F33C9">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[142]","plainTextFormattedCitation":"[142]","previouslyFormattedCitation":"[142]"},"properties":{"noteIndex":0},"schema":"https://github.com/citation-style-language/schema/raw/master/csl-citation.json"}</w:instrText>
      </w:r>
      <w:r w:rsidRPr="008E213C">
        <w:rPr>
          <w:b/>
          <w:i/>
          <w:iCs/>
          <w:u w:val="single"/>
          <w:shd w:val="clear" w:color="auto" w:fill="FFFFFF"/>
        </w:rPr>
        <w:fldChar w:fldCharType="separate"/>
      </w:r>
      <w:r w:rsidR="00C05F48" w:rsidRPr="00C05F48">
        <w:rPr>
          <w:iCs/>
          <w:noProof/>
          <w:shd w:val="clear" w:color="auto" w:fill="FFFFFF"/>
        </w:rPr>
        <w:t>[142]</w:t>
      </w:r>
      <w:r w:rsidRPr="008E213C">
        <w:rPr>
          <w:b/>
          <w:i/>
          <w:iCs/>
          <w:u w:val="single"/>
          <w:shd w:val="clear" w:color="auto" w:fill="FFFFFF"/>
        </w:rPr>
        <w:fldChar w:fldCharType="end"/>
      </w:r>
    </w:p>
    <w:p w14:paraId="652DF95C" w14:textId="77777777" w:rsidR="00691CAB" w:rsidRPr="002C6FFD" w:rsidRDefault="00691CAB" w:rsidP="00691CAB">
      <w:pPr>
        <w:pStyle w:val="Number1"/>
        <w:numPr>
          <w:ilvl w:val="0"/>
          <w:numId w:val="128"/>
        </w:numPr>
        <w:overflowPunct/>
        <w:autoSpaceDE/>
        <w:autoSpaceDN/>
        <w:adjustRightInd/>
        <w:spacing w:before="0"/>
        <w:textAlignment w:val="auto"/>
        <w:rPr>
          <w:spacing w:val="0"/>
        </w:rPr>
      </w:pPr>
      <w:r w:rsidRPr="002C6FFD">
        <w:rPr>
          <w:spacing w:val="0"/>
        </w:rPr>
        <w:t xml:space="preserve">Во время проведения процедуры врач должен комментировать все свои действия и предупреждать пациента обо всех ощущениях, которые могут ее сопровождать. </w:t>
      </w:r>
    </w:p>
    <w:p w14:paraId="2FC4314A" w14:textId="77777777" w:rsidR="00691CAB" w:rsidRPr="002C6FFD" w:rsidRDefault="00691CAB" w:rsidP="00691CAB">
      <w:pPr>
        <w:pStyle w:val="Number1"/>
        <w:numPr>
          <w:ilvl w:val="0"/>
          <w:numId w:val="128"/>
        </w:numPr>
        <w:overflowPunct/>
        <w:autoSpaceDE/>
        <w:autoSpaceDN/>
        <w:adjustRightInd/>
        <w:spacing w:before="0"/>
        <w:textAlignment w:val="auto"/>
        <w:rPr>
          <w:spacing w:val="0"/>
        </w:rPr>
      </w:pPr>
      <w:r w:rsidRPr="002C6FFD">
        <w:rPr>
          <w:color w:val="252525"/>
          <w:spacing w:val="0"/>
          <w:shd w:val="clear" w:color="auto" w:fill="FFFFFF"/>
        </w:rPr>
        <w:t>Врач перед началом выполнения процедуры обязательно выясняет наличие и вид аллергических реакций на лекарственные средства, включая анестетики, перечень принимаемых препаратов (антикоагулянты и антиагреганты), наличие сопутствующих заболеваний, остеопороза. При невозможности выполнения местной анестезии, трепанобиопсия может быть выполнена под общей анестезией.</w:t>
      </w:r>
    </w:p>
    <w:p w14:paraId="14A3A8D2" w14:textId="77777777" w:rsidR="00691CAB" w:rsidRPr="002C6FFD" w:rsidRDefault="00691CAB" w:rsidP="00691CAB">
      <w:pPr>
        <w:pStyle w:val="Number1"/>
        <w:numPr>
          <w:ilvl w:val="0"/>
          <w:numId w:val="128"/>
        </w:numPr>
        <w:overflowPunct/>
        <w:autoSpaceDE/>
        <w:autoSpaceDN/>
        <w:adjustRightInd/>
        <w:spacing w:before="0"/>
        <w:textAlignment w:val="auto"/>
        <w:rPr>
          <w:spacing w:val="0"/>
        </w:rPr>
      </w:pPr>
      <w:r w:rsidRPr="002C6FFD">
        <w:rPr>
          <w:color w:val="252525"/>
          <w:spacing w:val="0"/>
          <w:shd w:val="clear" w:color="auto" w:fill="FFFFFF"/>
        </w:rPr>
        <w:t xml:space="preserve">При наличии тромбоцитопении, коагулологических нарушений и геморрагического синдрома перед началом процедуры необходимо выполнить трансфузии тромбоконцентратов и скорректировать коагулологические нарушения трансфузиями СЗП и/или криопреципитата. </w:t>
      </w:r>
    </w:p>
    <w:p w14:paraId="659037F5" w14:textId="77777777" w:rsidR="00691CAB" w:rsidRPr="002C6FFD" w:rsidRDefault="00691CAB" w:rsidP="00691CAB">
      <w:pPr>
        <w:pStyle w:val="Number1"/>
        <w:numPr>
          <w:ilvl w:val="0"/>
          <w:numId w:val="128"/>
        </w:numPr>
        <w:overflowPunct/>
        <w:autoSpaceDE/>
        <w:autoSpaceDN/>
        <w:adjustRightInd/>
        <w:spacing w:before="0"/>
        <w:textAlignment w:val="auto"/>
        <w:rPr>
          <w:spacing w:val="0"/>
        </w:rPr>
      </w:pPr>
      <w:r w:rsidRPr="002C6FFD">
        <w:rPr>
          <w:color w:val="212121"/>
          <w:spacing w:val="0"/>
        </w:rPr>
        <w:t xml:space="preserve">Трепанобиопсия костного мозга </w:t>
      </w:r>
      <w:r w:rsidRPr="002C6FFD">
        <w:rPr>
          <w:spacing w:val="0"/>
        </w:rPr>
        <w:t xml:space="preserve">выполняется иглой Jamshidi — цилиндрической иглой длиной не более 15 см, дистальная часть которой имеет коническое сужение наружного контура и внутренней полости. Игла заканчивается остро заточенным срезом. Внутрь иглы помещается стилет-обтуратор, имеющий срез, плоскость которого совпадает со срезом иглы Jamshidi. </w:t>
      </w:r>
    </w:p>
    <w:p w14:paraId="68BFB0A1" w14:textId="77777777" w:rsidR="00691CAB" w:rsidRPr="002C6FFD" w:rsidRDefault="00691CAB" w:rsidP="00691CAB">
      <w:pPr>
        <w:pStyle w:val="Number1"/>
        <w:numPr>
          <w:ilvl w:val="0"/>
          <w:numId w:val="128"/>
        </w:numPr>
        <w:overflowPunct/>
        <w:autoSpaceDE/>
        <w:autoSpaceDN/>
        <w:adjustRightInd/>
        <w:spacing w:before="0"/>
        <w:textAlignment w:val="auto"/>
        <w:rPr>
          <w:spacing w:val="0"/>
        </w:rPr>
      </w:pPr>
      <w:r w:rsidRPr="002C6FFD">
        <w:rPr>
          <w:spacing w:val="0"/>
        </w:rPr>
        <w:t>Трепанобиопсию проводят в области задней верхней ости правой и/или левой подвздошных костей (spina iliaca posterior superior). В особых случаях (см. ниже) — в области передней верхней ости правой и/или левой подвздошных костей.</w:t>
      </w:r>
    </w:p>
    <w:p w14:paraId="1CE80FA5" w14:textId="77777777" w:rsidR="00691CAB" w:rsidRDefault="00691CAB" w:rsidP="00691CAB">
      <w:pPr>
        <w:pStyle w:val="Number1"/>
        <w:numPr>
          <w:ilvl w:val="0"/>
          <w:numId w:val="128"/>
        </w:numPr>
        <w:overflowPunct/>
        <w:autoSpaceDE/>
        <w:autoSpaceDN/>
        <w:adjustRightInd/>
        <w:spacing w:before="0"/>
        <w:textAlignment w:val="auto"/>
        <w:rPr>
          <w:spacing w:val="0"/>
        </w:rPr>
      </w:pPr>
      <w:r w:rsidRPr="002C6FFD">
        <w:rPr>
          <w:spacing w:val="0"/>
        </w:rPr>
        <w:t xml:space="preserve">Пациента располагают в одном из положений: </w:t>
      </w:r>
    </w:p>
    <w:p w14:paraId="0DACE9C9" w14:textId="77777777" w:rsidR="00691CAB" w:rsidRDefault="00691CAB" w:rsidP="00691CAB">
      <w:pPr>
        <w:pStyle w:val="Number1"/>
        <w:numPr>
          <w:ilvl w:val="1"/>
          <w:numId w:val="128"/>
        </w:numPr>
        <w:overflowPunct/>
        <w:autoSpaceDE/>
        <w:autoSpaceDN/>
        <w:adjustRightInd/>
        <w:spacing w:before="0"/>
        <w:textAlignment w:val="auto"/>
        <w:rPr>
          <w:spacing w:val="0"/>
        </w:rPr>
      </w:pPr>
      <w:r w:rsidRPr="002C6FFD">
        <w:rPr>
          <w:spacing w:val="0"/>
        </w:rPr>
        <w:t xml:space="preserve">лежа на животе; </w:t>
      </w:r>
    </w:p>
    <w:p w14:paraId="3D918A61" w14:textId="77777777" w:rsidR="00691CAB" w:rsidRDefault="00691CAB" w:rsidP="00691CAB">
      <w:pPr>
        <w:pStyle w:val="Number1"/>
        <w:numPr>
          <w:ilvl w:val="1"/>
          <w:numId w:val="128"/>
        </w:numPr>
        <w:overflowPunct/>
        <w:autoSpaceDE/>
        <w:autoSpaceDN/>
        <w:adjustRightInd/>
        <w:spacing w:before="0"/>
        <w:textAlignment w:val="auto"/>
        <w:rPr>
          <w:spacing w:val="0"/>
        </w:rPr>
      </w:pPr>
      <w:r w:rsidRPr="002C6FFD">
        <w:rPr>
          <w:spacing w:val="0"/>
        </w:rPr>
        <w:t xml:space="preserve">сидя спиной к врачу, туловище несколько приведено к бедрам, для упора на колени можно положить подушку, ноги пациента стоят на скамейке; </w:t>
      </w:r>
    </w:p>
    <w:p w14:paraId="13767439" w14:textId="77777777" w:rsidR="00691CAB" w:rsidRDefault="00691CAB" w:rsidP="00691CAB">
      <w:pPr>
        <w:pStyle w:val="Number1"/>
        <w:numPr>
          <w:ilvl w:val="1"/>
          <w:numId w:val="128"/>
        </w:numPr>
        <w:overflowPunct/>
        <w:autoSpaceDE/>
        <w:autoSpaceDN/>
        <w:adjustRightInd/>
        <w:spacing w:before="0"/>
        <w:textAlignment w:val="auto"/>
        <w:rPr>
          <w:spacing w:val="0"/>
        </w:rPr>
      </w:pPr>
      <w:r w:rsidRPr="002C6FFD">
        <w:rPr>
          <w:spacing w:val="0"/>
        </w:rPr>
        <w:t>лежа на боку, ноги согнуты в коленях и приведены к груди, спина несколько согнута</w:t>
      </w:r>
      <w:r>
        <w:rPr>
          <w:spacing w:val="0"/>
        </w:rPr>
        <w:t>;</w:t>
      </w:r>
    </w:p>
    <w:p w14:paraId="42555F09" w14:textId="77777777" w:rsidR="00691CAB" w:rsidRPr="002C6FFD" w:rsidRDefault="00691CAB" w:rsidP="00691CAB">
      <w:pPr>
        <w:pStyle w:val="Number1"/>
        <w:numPr>
          <w:ilvl w:val="1"/>
          <w:numId w:val="128"/>
        </w:numPr>
        <w:overflowPunct/>
        <w:autoSpaceDE/>
        <w:autoSpaceDN/>
        <w:adjustRightInd/>
        <w:spacing w:before="0"/>
        <w:textAlignment w:val="auto"/>
        <w:rPr>
          <w:spacing w:val="0"/>
        </w:rPr>
      </w:pPr>
      <w:r w:rsidRPr="002C6FFD">
        <w:rPr>
          <w:spacing w:val="0"/>
        </w:rPr>
        <w:t xml:space="preserve">в исключительных случаях (крайне тяжелое состояние пациента, искусственная вентиляция легких, поздние сроки беременности, ожирение и др.), когда ни одно из этих положений невозможно, манипуляцию выполняют в положении лежа на спине и трепанобиопсию проводят в переднюю верхнюю ость подвздошной кости. </w:t>
      </w:r>
    </w:p>
    <w:p w14:paraId="602BBC2D" w14:textId="77777777" w:rsidR="00691CAB" w:rsidRPr="002C6FFD" w:rsidRDefault="00691CAB" w:rsidP="00691CAB">
      <w:pPr>
        <w:pStyle w:val="Number1"/>
        <w:numPr>
          <w:ilvl w:val="0"/>
          <w:numId w:val="128"/>
        </w:numPr>
        <w:overflowPunct/>
        <w:autoSpaceDE/>
        <w:autoSpaceDN/>
        <w:adjustRightInd/>
        <w:spacing w:before="0"/>
        <w:textAlignment w:val="auto"/>
        <w:rPr>
          <w:spacing w:val="0"/>
        </w:rPr>
      </w:pPr>
      <w:r w:rsidRPr="002C6FFD">
        <w:rPr>
          <w:spacing w:val="0"/>
        </w:rPr>
        <w:t xml:space="preserve">Чаще всего при выполнении трепанобиопсии пациент находится в сознании. </w:t>
      </w:r>
      <w:r w:rsidRPr="002C6FFD">
        <w:rPr>
          <w:spacing w:val="0"/>
          <w:shd w:val="clear" w:color="auto" w:fill="FFFFFF"/>
        </w:rPr>
        <w:t xml:space="preserve">При невозможности выполнения местной анестезии пункция может быть выполнена под общей анестезией. </w:t>
      </w:r>
      <w:r w:rsidRPr="002C6FFD">
        <w:rPr>
          <w:spacing w:val="0"/>
        </w:rPr>
        <w:t xml:space="preserve">В педиатрической практике манипуляцию проводят под наркозом. </w:t>
      </w:r>
    </w:p>
    <w:p w14:paraId="08DEF75F" w14:textId="77777777" w:rsidR="00691CAB" w:rsidRPr="002C6FFD" w:rsidRDefault="00691CAB" w:rsidP="00691CAB">
      <w:pPr>
        <w:pStyle w:val="Number1"/>
        <w:numPr>
          <w:ilvl w:val="0"/>
          <w:numId w:val="128"/>
        </w:numPr>
        <w:overflowPunct/>
        <w:autoSpaceDE/>
        <w:autoSpaceDN/>
        <w:adjustRightInd/>
        <w:spacing w:before="0"/>
        <w:textAlignment w:val="auto"/>
        <w:rPr>
          <w:spacing w:val="0"/>
        </w:rPr>
      </w:pPr>
      <w:r w:rsidRPr="002C6FFD">
        <w:rPr>
          <w:spacing w:val="0"/>
        </w:rPr>
        <w:t xml:space="preserve">Пальпацией гребня задней верхней ости подвздошной кости и крестцово-подвздошного сочленения выполняется выбор места трепанобиопсии. </w:t>
      </w:r>
    </w:p>
    <w:p w14:paraId="6CC4B600" w14:textId="77777777" w:rsidR="00691CAB" w:rsidRPr="002C6FFD" w:rsidRDefault="00691CAB" w:rsidP="00691CAB">
      <w:pPr>
        <w:pStyle w:val="Number1"/>
        <w:numPr>
          <w:ilvl w:val="0"/>
          <w:numId w:val="128"/>
        </w:numPr>
        <w:overflowPunct/>
        <w:autoSpaceDE/>
        <w:autoSpaceDN/>
        <w:adjustRightInd/>
        <w:spacing w:before="0"/>
        <w:textAlignment w:val="auto"/>
        <w:rPr>
          <w:spacing w:val="0"/>
        </w:rPr>
      </w:pPr>
      <w:r w:rsidRPr="002C6FFD">
        <w:rPr>
          <w:spacing w:val="0"/>
        </w:rPr>
        <w:t xml:space="preserve">Обработка кожи растворами антисептиков, как для оперативного вмешательства. </w:t>
      </w:r>
    </w:p>
    <w:p w14:paraId="51870A92" w14:textId="77777777" w:rsidR="00691CAB" w:rsidRPr="002C6FFD" w:rsidRDefault="00691CAB" w:rsidP="00691CAB">
      <w:pPr>
        <w:pStyle w:val="Number1"/>
        <w:numPr>
          <w:ilvl w:val="0"/>
          <w:numId w:val="128"/>
        </w:numPr>
        <w:overflowPunct/>
        <w:autoSpaceDE/>
        <w:autoSpaceDN/>
        <w:adjustRightInd/>
        <w:spacing w:before="0"/>
        <w:textAlignment w:val="auto"/>
        <w:rPr>
          <w:spacing w:val="0"/>
        </w:rPr>
      </w:pPr>
      <w:r w:rsidRPr="002C6FFD">
        <w:rPr>
          <w:spacing w:val="0"/>
        </w:rPr>
        <w:t xml:space="preserve">Обезболивание кожи («лимонная корочка») и далее послойная анестезия тканей вплоть до надкостницы и поднадкостнично — </w:t>
      </w:r>
      <w:r w:rsidRPr="002C6FFD">
        <w:rPr>
          <w:spacing w:val="0"/>
          <w:shd w:val="clear" w:color="auto" w:fill="FFFFFF"/>
        </w:rPr>
        <w:t>2% раствор лидокаина или 0,25—0,5% раствор новокаина</w:t>
      </w:r>
      <w:r w:rsidRPr="002C6FFD">
        <w:rPr>
          <w:spacing w:val="0"/>
        </w:rPr>
        <w:t xml:space="preserve"> (выбранным с учетом аллергологического анамнеза) 4,0—6,0 мл. Использование 10% лидокаина недопустимо для местной анестезии в виду возможности некротизирования тканей. </w:t>
      </w:r>
    </w:p>
    <w:p w14:paraId="44AD6485" w14:textId="77777777" w:rsidR="00691CAB" w:rsidRPr="002C6FFD" w:rsidRDefault="00691CAB" w:rsidP="00691CAB">
      <w:pPr>
        <w:pStyle w:val="Number1"/>
        <w:numPr>
          <w:ilvl w:val="0"/>
          <w:numId w:val="128"/>
        </w:numPr>
        <w:overflowPunct/>
        <w:autoSpaceDE/>
        <w:autoSpaceDN/>
        <w:adjustRightInd/>
        <w:spacing w:before="0"/>
        <w:textAlignment w:val="auto"/>
        <w:rPr>
          <w:spacing w:val="0"/>
        </w:rPr>
      </w:pPr>
      <w:r w:rsidRPr="002C6FFD">
        <w:rPr>
          <w:spacing w:val="0"/>
        </w:rPr>
        <w:t xml:space="preserve">Анестезия наступает не ранее через 1 мин после инфильтрации надкостницы раствором анестетика. </w:t>
      </w:r>
    </w:p>
    <w:p w14:paraId="4AF62838" w14:textId="77777777" w:rsidR="00691CAB" w:rsidRPr="002C6FFD" w:rsidRDefault="00691CAB" w:rsidP="00691CAB">
      <w:pPr>
        <w:pStyle w:val="Number1"/>
        <w:numPr>
          <w:ilvl w:val="0"/>
          <w:numId w:val="128"/>
        </w:numPr>
        <w:overflowPunct/>
        <w:autoSpaceDE/>
        <w:autoSpaceDN/>
        <w:adjustRightInd/>
        <w:spacing w:before="0"/>
        <w:textAlignment w:val="auto"/>
        <w:rPr>
          <w:spacing w:val="0"/>
        </w:rPr>
      </w:pPr>
      <w:r w:rsidRPr="002C6FFD">
        <w:rPr>
          <w:spacing w:val="0"/>
        </w:rPr>
        <w:t xml:space="preserve">Выполняют разрез кожи длиной около 3 мм скальпелем с узким лезвием, однако возможно прохождение кожи и тканей до надкостницы иглой для трепанобиопсии с вставленным стилетом-обтуратором без выполнения кожного разреза. </w:t>
      </w:r>
    </w:p>
    <w:p w14:paraId="6071C761" w14:textId="77777777" w:rsidR="00691CAB" w:rsidRPr="002C6FFD" w:rsidRDefault="00691CAB" w:rsidP="00691CAB">
      <w:pPr>
        <w:pStyle w:val="Number1"/>
        <w:numPr>
          <w:ilvl w:val="0"/>
          <w:numId w:val="128"/>
        </w:numPr>
        <w:overflowPunct/>
        <w:autoSpaceDE/>
        <w:autoSpaceDN/>
        <w:adjustRightInd/>
        <w:spacing w:before="0"/>
        <w:textAlignment w:val="auto"/>
        <w:rPr>
          <w:spacing w:val="0"/>
        </w:rPr>
      </w:pPr>
      <w:r w:rsidRPr="002C6FFD">
        <w:rPr>
          <w:spacing w:val="0"/>
        </w:rPr>
        <w:t>Через кожный разрез / прокол вводят иглу Jamshidi со стилетом-обтуратором, зафиксированным внутри иглы, и продвигают сквозь мягкие ткани до надкостницы. Игла вращательно-поступательными движениями с некоторым усилием должна быть направлена с небольшим отклонением латерально и кзади. Одноразовые иглы исключительно острые и не требуют прикладывания усилий. Вращательные движения вокруг оси иглы должны совершаться попеременно по и против часовой стрелки не более чем на 120</w:t>
      </w:r>
      <w:r w:rsidRPr="002C6FFD">
        <w:rPr>
          <w:color w:val="auto"/>
          <w:spacing w:val="0"/>
        </w:rPr>
        <w:sym w:font="Symbol" w:char="F0B0"/>
      </w:r>
      <w:r w:rsidRPr="002C6FFD">
        <w:rPr>
          <w:spacing w:val="0"/>
        </w:rPr>
        <w:t xml:space="preserve"> в ту и другую сторону. Проникновение через кортикальную пластинку воспринимается врачом как ощущение «провала» в ткань меньшей плотности. </w:t>
      </w:r>
    </w:p>
    <w:p w14:paraId="07FAC8AE" w14:textId="77777777" w:rsidR="00691CAB" w:rsidRPr="002C6FFD" w:rsidRDefault="00691CAB" w:rsidP="00691CAB">
      <w:pPr>
        <w:pStyle w:val="Number1"/>
        <w:numPr>
          <w:ilvl w:val="0"/>
          <w:numId w:val="128"/>
        </w:numPr>
        <w:overflowPunct/>
        <w:autoSpaceDE/>
        <w:autoSpaceDN/>
        <w:adjustRightInd/>
        <w:spacing w:before="0"/>
        <w:textAlignment w:val="auto"/>
        <w:rPr>
          <w:spacing w:val="0"/>
        </w:rPr>
      </w:pPr>
      <w:r w:rsidRPr="002C6FFD">
        <w:rPr>
          <w:spacing w:val="0"/>
        </w:rPr>
        <w:t xml:space="preserve">После того как кортикальная пластинка пройдена, вынимается из иглы Jamshidi стилет-обтуратор и вращательно-поступательным движением углубляется в кость на 3—4 см. Продвижение иглы Jamshidi в толще губчатой кости может сопровождаться для больного неприятными ощущениями с иррадиацией в бедро, о чем необходимо предупредить пациента. </w:t>
      </w:r>
    </w:p>
    <w:p w14:paraId="3AF17907" w14:textId="77777777" w:rsidR="00691CAB" w:rsidRPr="002C6FFD" w:rsidRDefault="00691CAB" w:rsidP="00691CAB">
      <w:pPr>
        <w:pStyle w:val="Number1"/>
        <w:numPr>
          <w:ilvl w:val="0"/>
          <w:numId w:val="128"/>
        </w:numPr>
        <w:overflowPunct/>
        <w:autoSpaceDE/>
        <w:autoSpaceDN/>
        <w:adjustRightInd/>
        <w:spacing w:before="0"/>
        <w:textAlignment w:val="auto"/>
        <w:rPr>
          <w:spacing w:val="0"/>
        </w:rPr>
      </w:pPr>
      <w:r w:rsidRPr="002C6FFD">
        <w:rPr>
          <w:spacing w:val="0"/>
        </w:rPr>
        <w:t xml:space="preserve">Для отделения от костного массива столбика, вырезанного иглой и находящегося в ее просвете, его основание необходимо «подрезать». Чтобы это сделать, нужно несколько раз повернуть иглу в одном и другом направлении вокруг оси. Далее иглу медленно извлекают вращательно-поступательными движениями. </w:t>
      </w:r>
    </w:p>
    <w:p w14:paraId="5CBCD5C3" w14:textId="77777777" w:rsidR="00691CAB" w:rsidRPr="002C6FFD" w:rsidRDefault="00691CAB" w:rsidP="00691CAB">
      <w:pPr>
        <w:pStyle w:val="Number1"/>
        <w:numPr>
          <w:ilvl w:val="0"/>
          <w:numId w:val="128"/>
        </w:numPr>
        <w:overflowPunct/>
        <w:autoSpaceDE/>
        <w:autoSpaceDN/>
        <w:adjustRightInd/>
        <w:spacing w:before="0"/>
        <w:textAlignment w:val="auto"/>
        <w:rPr>
          <w:spacing w:val="0"/>
        </w:rPr>
      </w:pPr>
      <w:r w:rsidRPr="002C6FFD">
        <w:rPr>
          <w:spacing w:val="0"/>
        </w:rPr>
        <w:t xml:space="preserve">После извлечения иглы стержнем-толкателем трепанобиоптат длиной 3—4 см (из передней верхней ости подвздошной кости) и более, иногда до 5–6 см (из задней верхней ости подвздошной кости)  выталкивается в обратном направлении от острия к рукоятке, то есть через отверстие рукоятки инструмента. </w:t>
      </w:r>
    </w:p>
    <w:p w14:paraId="536179F9" w14:textId="77777777" w:rsidR="00691CAB" w:rsidRPr="002C6FFD" w:rsidRDefault="00691CAB" w:rsidP="00691CAB">
      <w:pPr>
        <w:pStyle w:val="Number1"/>
        <w:numPr>
          <w:ilvl w:val="0"/>
          <w:numId w:val="128"/>
        </w:numPr>
        <w:overflowPunct/>
        <w:autoSpaceDE/>
        <w:autoSpaceDN/>
        <w:adjustRightInd/>
        <w:spacing w:before="0"/>
        <w:textAlignment w:val="auto"/>
        <w:rPr>
          <w:spacing w:val="0"/>
        </w:rPr>
      </w:pPr>
      <w:r w:rsidRPr="002C6FFD">
        <w:rPr>
          <w:spacing w:val="0"/>
        </w:rPr>
        <w:t xml:space="preserve">После выполнения трепанобиопсии через этот же кожный разрез можно получить аспират костного мозга, пропунктировав заднюю верхнюю ость подвздошной кости в стороне от трепанационного отверстия. Практически все иглы для трепанобиопсии костного мозга имеют со стороны рукоятки коническую втулку, которая позволяет присоединить шприц для создания разрежения в просвете иглы и аспирации костного мозга. Пользоваться иглой Jamshidi для аспирации не очень удобно, лучше применять специальные, более тонкие и короткие иглы. Для этого необходимо через уже существующий разрез кожи пройти аспирационной иглой до кости и, сместив иглу вместе с мягкими тканями, снова выполнить пункцию кортикальной пластинки на некотором удалении (1,5 см) от первого сделанного отверстия, после чего аспирировать костный мозг для исследований, как указано выше. </w:t>
      </w:r>
    </w:p>
    <w:p w14:paraId="5D912105" w14:textId="77777777" w:rsidR="00691CAB" w:rsidRPr="002C6FFD" w:rsidRDefault="00691CAB" w:rsidP="00691CAB">
      <w:pPr>
        <w:pStyle w:val="Number1"/>
        <w:numPr>
          <w:ilvl w:val="0"/>
          <w:numId w:val="128"/>
        </w:numPr>
        <w:overflowPunct/>
        <w:autoSpaceDE/>
        <w:autoSpaceDN/>
        <w:adjustRightInd/>
        <w:spacing w:before="0"/>
        <w:textAlignment w:val="auto"/>
        <w:rPr>
          <w:spacing w:val="0"/>
        </w:rPr>
      </w:pPr>
      <w:r w:rsidRPr="002C6FFD">
        <w:rPr>
          <w:spacing w:val="0"/>
        </w:rPr>
        <w:t xml:space="preserve">В случае невозможности получения аспирата костного мозга выполняют отпечатки трепанобиоптата методом «прокатывания» столбика между двумя предметными стеклами. </w:t>
      </w:r>
    </w:p>
    <w:p w14:paraId="23AC954F" w14:textId="77777777" w:rsidR="00691CAB" w:rsidRPr="002C6FFD" w:rsidRDefault="00691CAB" w:rsidP="00691CAB">
      <w:pPr>
        <w:pStyle w:val="Number1"/>
        <w:numPr>
          <w:ilvl w:val="0"/>
          <w:numId w:val="128"/>
        </w:numPr>
        <w:overflowPunct/>
        <w:autoSpaceDE/>
        <w:autoSpaceDN/>
        <w:adjustRightInd/>
        <w:spacing w:before="0"/>
        <w:textAlignment w:val="auto"/>
        <w:rPr>
          <w:spacing w:val="0"/>
        </w:rPr>
      </w:pPr>
      <w:r w:rsidRPr="002C6FFD">
        <w:rPr>
          <w:spacing w:val="0"/>
        </w:rPr>
        <w:t>Столбик трепанобиоптата помещают в емкость с физиологическим раствором или 10% раствором формалина и направляют в лабораторию на гистологическое и, при необходимости, иммуногистохимическое исследования.</w:t>
      </w:r>
    </w:p>
    <w:p w14:paraId="2EE8BF08" w14:textId="77777777" w:rsidR="00691CAB" w:rsidRPr="002C6FFD" w:rsidRDefault="00691CAB" w:rsidP="00691CAB">
      <w:pPr>
        <w:pStyle w:val="Number1"/>
        <w:numPr>
          <w:ilvl w:val="0"/>
          <w:numId w:val="128"/>
        </w:numPr>
        <w:overflowPunct/>
        <w:autoSpaceDE/>
        <w:autoSpaceDN/>
        <w:adjustRightInd/>
        <w:spacing w:before="0"/>
        <w:textAlignment w:val="auto"/>
        <w:rPr>
          <w:spacing w:val="0"/>
        </w:rPr>
      </w:pPr>
      <w:r w:rsidRPr="002C6FFD">
        <w:rPr>
          <w:spacing w:val="0"/>
        </w:rPr>
        <w:t xml:space="preserve">По окончании манипуляции на кожу накладывают асептическую повязку (наклейку), рекомендуется приложить хладоэлемент на 10-15мин во избежание образования гематомы. </w:t>
      </w:r>
    </w:p>
    <w:p w14:paraId="31F56CC0" w14:textId="77777777" w:rsidR="00691CAB" w:rsidRPr="002C6FFD" w:rsidRDefault="00691CAB" w:rsidP="00691CAB">
      <w:pPr>
        <w:pStyle w:val="Number1"/>
        <w:numPr>
          <w:ilvl w:val="0"/>
          <w:numId w:val="128"/>
        </w:numPr>
        <w:overflowPunct/>
        <w:autoSpaceDE/>
        <w:autoSpaceDN/>
        <w:adjustRightInd/>
        <w:spacing w:before="0"/>
        <w:textAlignment w:val="auto"/>
        <w:rPr>
          <w:spacing w:val="0"/>
        </w:rPr>
      </w:pPr>
      <w:r w:rsidRPr="002C6FFD">
        <w:rPr>
          <w:spacing w:val="0"/>
        </w:rPr>
        <w:t xml:space="preserve">Пациент должен провести под наблюдением медицинского персонала 2—3 часа после процедуры. </w:t>
      </w:r>
    </w:p>
    <w:p w14:paraId="2F59C93C" w14:textId="77777777" w:rsidR="00691CAB" w:rsidRPr="002C6FFD" w:rsidRDefault="00691CAB" w:rsidP="00691CAB">
      <w:pPr>
        <w:pStyle w:val="Number1"/>
        <w:numPr>
          <w:ilvl w:val="0"/>
          <w:numId w:val="128"/>
        </w:numPr>
        <w:overflowPunct/>
        <w:autoSpaceDE/>
        <w:autoSpaceDN/>
        <w:adjustRightInd/>
        <w:spacing w:before="0"/>
        <w:textAlignment w:val="auto"/>
        <w:rPr>
          <w:spacing w:val="0"/>
        </w:rPr>
      </w:pPr>
      <w:r w:rsidRPr="002C6FFD">
        <w:rPr>
          <w:spacing w:val="0"/>
        </w:rPr>
        <w:t>В первые сутки после выполнения трепанобиопсии больному необходимо избегать физических нагрузок и выполнения работ, связанных с повышенным вниманием (в том числе управление автотранспортным средством). Повязку необходимо сохранять в течение 1-2 суток, при необходимости осуществляется замена повязки с обработкой кожи вокруг места биопсии антисептиками. При гигиенических процедурах пациент должен избегать намокания повязки.</w:t>
      </w:r>
    </w:p>
    <w:p w14:paraId="2289C137" w14:textId="77777777" w:rsidR="00691CAB" w:rsidRPr="002C6FFD" w:rsidRDefault="00691CAB" w:rsidP="00691CAB">
      <w:pPr>
        <w:pStyle w:val="Number1"/>
        <w:numPr>
          <w:ilvl w:val="0"/>
          <w:numId w:val="128"/>
        </w:numPr>
        <w:overflowPunct/>
        <w:autoSpaceDE/>
        <w:autoSpaceDN/>
        <w:adjustRightInd/>
        <w:spacing w:before="0"/>
        <w:textAlignment w:val="auto"/>
        <w:rPr>
          <w:color w:val="auto"/>
          <w:spacing w:val="0"/>
        </w:rPr>
      </w:pPr>
      <w:r w:rsidRPr="002C6FFD">
        <w:rPr>
          <w:spacing w:val="0"/>
        </w:rPr>
        <w:t>На следующий день после выполнения манипуляции медицинскому персоналу необходимо проконтролировать состояние пациента (</w:t>
      </w:r>
      <w:r w:rsidRPr="002C6FFD">
        <w:rPr>
          <w:color w:val="auto"/>
          <w:spacing w:val="0"/>
        </w:rPr>
        <w:t xml:space="preserve">при выполнении манипуляции в амбулаторных условиях - возможно по телефону). </w:t>
      </w:r>
    </w:p>
    <w:p w14:paraId="19C61A39" w14:textId="77777777" w:rsidR="00691CAB" w:rsidRPr="00F30696" w:rsidRDefault="00691CAB" w:rsidP="00691CAB">
      <w:pPr>
        <w:rPr>
          <w:rFonts w:cs="Times New Roman"/>
          <w:szCs w:val="24"/>
        </w:rPr>
      </w:pPr>
    </w:p>
    <w:p w14:paraId="45367134" w14:textId="66F73B4E" w:rsidR="000155C0" w:rsidRPr="000155C0" w:rsidRDefault="00C05F48" w:rsidP="000155C0">
      <w:pPr>
        <w:pStyle w:val="11"/>
      </w:pPr>
      <w:bookmarkStart w:id="114" w:name="_Toc65586431"/>
      <w:r>
        <w:t xml:space="preserve">Приложение А3.7. </w:t>
      </w:r>
      <w:r w:rsidR="000155C0" w:rsidRPr="00952000">
        <w:rPr>
          <w:bCs/>
        </w:rPr>
        <w:t>Обеспечение сосудистого доступа</w:t>
      </w:r>
      <w:bookmarkEnd w:id="114"/>
    </w:p>
    <w:p w14:paraId="5785C320" w14:textId="77777777" w:rsidR="000155C0" w:rsidRPr="00952000" w:rsidRDefault="000155C0" w:rsidP="000155C0">
      <w:pPr>
        <w:rPr>
          <w:rFonts w:cs="Times New Roman"/>
          <w:szCs w:val="24"/>
          <w:shd w:val="clear" w:color="auto" w:fill="FFFFFF"/>
        </w:rPr>
      </w:pPr>
      <w:r w:rsidRPr="00952000">
        <w:rPr>
          <w:rFonts w:cs="Times New Roman"/>
          <w:szCs w:val="24"/>
          <w:shd w:val="clear" w:color="auto" w:fill="FFFFFF"/>
        </w:rPr>
        <w:t>Обеспечение сосудистого доступа является неотъемлемой составляющей частью современной химиотерапии онкогематологических больных</w:t>
      </w:r>
      <w:r w:rsidRPr="00952000">
        <w:rPr>
          <w:rFonts w:cs="Times New Roman"/>
          <w:szCs w:val="24"/>
        </w:rPr>
        <w:t xml:space="preserve">. </w:t>
      </w:r>
      <w:r w:rsidRPr="00952000">
        <w:rPr>
          <w:rFonts w:cs="Times New Roman"/>
          <w:szCs w:val="24"/>
          <w:shd w:val="clear" w:color="auto" w:fill="FFFFFF"/>
        </w:rPr>
        <w:t xml:space="preserve">Через центральный венозный катетер (ЦВК) вводятся химиотерапевтические препараты, корригируются электролитные нарушения, проводится парентеральное питание, осуществляется взятие образцов крови для исследования и т.д. </w:t>
      </w:r>
    </w:p>
    <w:p w14:paraId="419B8980" w14:textId="49E02384" w:rsidR="000155C0" w:rsidRPr="00952000" w:rsidRDefault="000155C0" w:rsidP="000155C0">
      <w:pPr>
        <w:rPr>
          <w:rFonts w:cs="Times New Roman"/>
          <w:szCs w:val="24"/>
        </w:rPr>
      </w:pPr>
      <w:r w:rsidRPr="00952000">
        <w:rPr>
          <w:rFonts w:cs="Times New Roman"/>
          <w:szCs w:val="24"/>
        </w:rPr>
        <w:t xml:space="preserve">Выделяют следующие особенности сосудистого доступа в гематологии: необходимость только внутривенного введения многих лекарственных препаратов, массивность инфузионных программ сдавление крупных венозных сосудов увеличенными лимфатическими узлами и/или опухолевой массой, </w:t>
      </w:r>
      <w:r w:rsidRPr="00952000">
        <w:rPr>
          <w:rFonts w:eastAsia="Times New Roman" w:cs="Times New Roman"/>
          <w:szCs w:val="24"/>
        </w:rPr>
        <w:t>как с внутригрудным, так и с внутрибрюшным поражением,</w:t>
      </w:r>
      <w:r w:rsidRPr="00952000">
        <w:rPr>
          <w:rFonts w:cs="Times New Roman"/>
          <w:szCs w:val="24"/>
        </w:rPr>
        <w:t xml:space="preserve"> что значительно затрудняет задачу обеспечения сосудистого доступа </w:t>
      </w:r>
      <w:r w:rsidRPr="00952000">
        <w:rPr>
          <w:rFonts w:cs="Times New Roman"/>
          <w:szCs w:val="24"/>
        </w:rPr>
        <w:fldChar w:fldCharType="begin" w:fldLock="1"/>
      </w:r>
      <w:r w:rsidR="004810E5">
        <w:rPr>
          <w:rFonts w:cs="Times New Roman"/>
          <w:szCs w:val="24"/>
        </w:rPr>
        <w:instrText>ADDIN CSL_CITATION {"citationItems":[{"id":"ITEM-1","itemData":{"abstract":"NTRODUCTION. SVCS results from compression of the superior vena cava. Lymphoma - one of the most frequent causes of the malignant SVCS.\r\nThe aim of the study was to identify the incidence of SVCS in lymphoma pts and features of the central venous access in lymphoma pts\r\nwith SVCS. METHODS. Materials and methods. 686 lymphoma pts (311 male,\r\n375 female) were included in the prospective study. The pts suffered\r\nfrom Hodgkin's lymphoma (HL) (69 pts) and non-Hodgkin's lymphoma (NHL) (617 pts). In all pts SVCS was diagnosed clinically and was\r\nconfirmed by CT scan or MRI. In pts with confirmed SVCS the central\r\nvenous access was provided by non-tunneled central venous catheters (non-tCVCs) (Certofix DUO 7Fr, BBraun) and totally implantable\r\ncentral venous port system (PowerPort, Bard Access System). The indwelling time, the number of the replaced CVCs and the incidence of complications were analyzed. Statistic: SPSS ver.23 (IBM, Chicago, II., USA). Pearson's chi-squared test and Fisher's exact test were used.\r\nRESULTS. . SVCS was revealed in 70 (10.2%) of 686 lymphoma pts (9 pts with HL and 61 pts with NHL). Among lymphoma pts the frequency of SVCS was highest in pts with primary mediastinal large Bcell lymphoma (PMBCL). SVCS was revealed in 49 (51.6%) of 95 PMBCL pts. In SVCS pts venous access was provided by non-tCVC\r\ninserted in femoral vein (50 pts) and TIVAPS (20 pts) implanted into v. cava inferior through the femoral vein. TIVAPS reservoirs were implanted on the thigh. During lymphoma treatment most pts with non-tCVCs needed repeated catheterizations: median 3 (1-14) CVCs. Among pts with TIVAPS only in 3 pts TIVAPS needed repeated catheterizations; their TIVAPS were removed due to complications. The median indwelling times were 6 (1-129) catheter days for CVCs and\r\n164 (1-280) catheter days for TIVAPS (p&lt;0.05). Incidences of CVC related bloodstream infections (CRBSI) were 2.1/1000 catheter days for\r\nCVCs and 0.1/1000 catheter days for TIVAPS. Incidence of CVC associated thrombosis (CAT) were 4.1/1000 catheter days for CVCs and 0.5/\r\n1000 catheter days for TIVAPS. One patient had infection of the subcutaneous pocket (0.3/1000 catheter days). The reasons for nontCVCs removal were the treatment completion (82.8%) and complications: CRBSI (7.1%), CAT (8.5%), malfunction (1.6%). The reasons for the TIVAPS removal were the treatment completion (85%), CRBSI (5%), infection of the subcutaneous pocket (5%) and CAT (5%). CONCLUSION. SVCS was revealed in 10.2% l…","author":[{"dropping-particle":"","family":"SPIRIN","given":"M.","non-dropping-particle":"","parse-names":false,"suffix":""},{"dropping-particle":"","family":"GALSTYAN","given":"G.","non-dropping-particle":"","parse-names":false,"suffix":""},{"dropping-particle":"","family":"DROKOV","given":"M.","non-dropping-particle":"","parse-names":false,"suffix":""}],"container-title":"INTENSIVE CARE MEDICINE EXPERIMENTAL","id":"ITEM-1","issue":"Suppl. 3:001341","issued":{"date-parts":[["2019"]]},"page":"388-389","title":"Central venous access in lymphoma patients (pts) with superior vena cava syndrome (SVCS)","type":"article-journal","volume":"7"},"uris":["http://www.mendeley.com/documents/?uuid=d4b66f57-5a46-3b0e-bb39-8451d9534a0c","http://www.mendeley.com/documents/?uuid=c29428ae-471c-4ca0-bb6e-1085dbeae434","http://www.mendeley.com/documents/?uuid=34ed67cd-3386-4746-82ca-e1d8edc0179d"]}],"mendeley":{"formattedCitation":"[144]","plainTextFormattedCitation":"[144]","previouslyFormattedCitation":"[144]"},"properties":{"noteIndex":0},"schema":"https://github.com/citation-style-language/schema/raw/master/csl-citation.json"}</w:instrText>
      </w:r>
      <w:r w:rsidRPr="00952000">
        <w:rPr>
          <w:rFonts w:cs="Times New Roman"/>
          <w:szCs w:val="24"/>
        </w:rPr>
        <w:fldChar w:fldCharType="separate"/>
      </w:r>
      <w:r w:rsidR="004F33C9" w:rsidRPr="004F33C9">
        <w:rPr>
          <w:rFonts w:cs="Times New Roman"/>
          <w:noProof/>
          <w:szCs w:val="24"/>
        </w:rPr>
        <w:t>[144]</w:t>
      </w:r>
      <w:r w:rsidRPr="00952000">
        <w:rPr>
          <w:rFonts w:cs="Times New Roman"/>
          <w:szCs w:val="24"/>
        </w:rPr>
        <w:fldChar w:fldCharType="end"/>
      </w:r>
      <w:r w:rsidRPr="00952000">
        <w:rPr>
          <w:rFonts w:cs="Times New Roman"/>
          <w:szCs w:val="24"/>
        </w:rPr>
        <w:t xml:space="preserve">, высокий риск геморрагического синдрома (врожденные и приобретенные коагулопатии, тромбоцитопения), тромбоза, большая продолжительность лечения. В общей сложности, в надежном сосудистом доступе онкогематологические пациенты нуждаются от нескольких месяцев до года, как в стационарных, так и амбулаторных условиях. Использование с этой целью периферического венозного доступа неприемлемо, поскольку большинство вводимых растворов обладает раздражающим действием (везиканты, ирританты, эксфолианты) и экстравазация таких препаратов в подкожную клетчатку может привести к ее некрозу </w:t>
      </w:r>
      <w:r w:rsidRPr="00952000">
        <w:rPr>
          <w:rFonts w:cs="Times New Roman"/>
          <w:szCs w:val="24"/>
        </w:rPr>
        <w:fldChar w:fldCharType="begin" w:fldLock="1"/>
      </w:r>
      <w:r w:rsidR="004810E5">
        <w:rPr>
          <w:rFonts w:cs="Times New Roman"/>
          <w:szCs w:val="24"/>
        </w:rPr>
        <w:instrText>ADDIN CSL_CITATION {"citationItems":[{"id":"ITEM-1","itemData":{"DOI":"10.1007/s12254-016-0304-2","ISSN":"1865-5041","PMID":"28058065","abstract":"In cancer treatment, extravasation is defined as an inadvertent instillation or leakage of cytotoxic drugs into the perivascular space during infusion. As a dreaded complication of chemotherapy, extravasation has gained increasing attention in recent years. Classified according to their subcutaneous toxicity, three types of cytotoxins have been established: vesicants, irritants and nonvesicant drugs. Vesicant cytotoxic drugs may induce tissue damage, ulceration and tissue necrosis. Although we have established measures to manage extravasation emergencies, prevention is of paramount importance. This may be achieved within hospitals through regular training and education, which is best provided by a specialised and experienced task force including all disciplines involved in cancer therapy. Moreover, clinical and translational studies contribute to a better management of chemotherapy-induced extravasation as shown by our group in recent years. We were able to demonstrate that the evaluation of blood flow by indocyanine green angiography in the extravasation area predicts the extent of damage and the need of future surgical intervention. When a Port-a-Cath® extravasation is detected early, a subcutaneous wash-out procedure was found to be beneficial, corroborated by the analytical evaluation of the removed cytotoxic compound epirubicin. In another study, the tissue distribution of platinum was quantified at the anatomic level in cryosections of various tissues. This novel knowledge complements and supports our current efforts to handle extravasations better. On the other hand, a number of new drugs (chemotherapy, monoclonal antibodies, checkpoint inhibitors etc.) with many open issues to reliably classify their tissue toxicity still require our attention.","author":[{"dropping-particle":"","family":"Pluschnig","given":"Ursula","non-dropping-particle":"","parse-names":false,"suffix":""},{"dropping-particle":"","family":"Haslik","given":"Werner","non-dropping-particle":"","parse-names":false,"suffix":""},{"dropping-particle":"","family":"Bartsch","given":"Rupert","non-dropping-particle":"","parse-names":false,"suffix":""},{"dropping-particle":"","family":"Mader","given":"Robert M","non-dropping-particle":"","parse-names":false,"suffix":""}],"container-title":"Memo","id":"ITEM-1","issue":"4","issued":{"date-parts":[["2016"]]},"page":"226-230","publisher":"Springer","title":"Extravasation emergencies: state-of-the-art management and progress in clinical research.","type":"article-journal","volume":"9"},"uris":["http://www.mendeley.com/documents/?uuid=587be6ac-ed25-3be6-bca1-30c719328058","http://www.mendeley.com/documents/?uuid=aed12f5b-d478-4cce-aae2-def10fec8352"]}],"mendeley":{"formattedCitation":"[145]","plainTextFormattedCitation":"[145]","previouslyFormattedCitation":"[145]"},"properties":{"noteIndex":0},"schema":"https://github.com/citation-style-language/schema/raw/master/csl-citation.json"}</w:instrText>
      </w:r>
      <w:r w:rsidRPr="00952000">
        <w:rPr>
          <w:rFonts w:cs="Times New Roman"/>
          <w:szCs w:val="24"/>
        </w:rPr>
        <w:fldChar w:fldCharType="separate"/>
      </w:r>
      <w:r w:rsidR="004F33C9" w:rsidRPr="004F33C9">
        <w:rPr>
          <w:rFonts w:cs="Times New Roman"/>
          <w:noProof/>
          <w:szCs w:val="24"/>
        </w:rPr>
        <w:t>[145]</w:t>
      </w:r>
      <w:r w:rsidRPr="00952000">
        <w:rPr>
          <w:rFonts w:cs="Times New Roman"/>
          <w:szCs w:val="24"/>
        </w:rPr>
        <w:fldChar w:fldCharType="end"/>
      </w:r>
      <w:r w:rsidRPr="00952000">
        <w:rPr>
          <w:rFonts w:cs="Times New Roman"/>
          <w:szCs w:val="24"/>
        </w:rPr>
        <w:t>. Помимо этого, у многих больных вследствие проводимой ранее химиотерапии нередко отсутствуют доступные периферические вены.</w:t>
      </w:r>
    </w:p>
    <w:p w14:paraId="06F6DC67" w14:textId="77777777" w:rsidR="000155C0" w:rsidRDefault="000155C0" w:rsidP="000155C0">
      <w:pPr>
        <w:rPr>
          <w:rFonts w:cs="Times New Roman"/>
          <w:b/>
          <w:bCs/>
          <w:szCs w:val="24"/>
        </w:rPr>
      </w:pPr>
    </w:p>
    <w:p w14:paraId="47721A48" w14:textId="77777777" w:rsidR="000155C0" w:rsidRPr="004A739C" w:rsidRDefault="000155C0" w:rsidP="000155C0">
      <w:pPr>
        <w:rPr>
          <w:rFonts w:cs="Times New Roman"/>
          <w:i/>
          <w:iCs/>
          <w:szCs w:val="24"/>
          <w:u w:val="single"/>
        </w:rPr>
      </w:pPr>
      <w:r w:rsidRPr="004A739C">
        <w:rPr>
          <w:rFonts w:cs="Times New Roman"/>
          <w:i/>
          <w:iCs/>
          <w:szCs w:val="24"/>
          <w:u w:val="single"/>
        </w:rPr>
        <w:t>Показания к катетеризации центральных вен.</w:t>
      </w:r>
    </w:p>
    <w:p w14:paraId="7F672534" w14:textId="77777777" w:rsidR="000155C0" w:rsidRPr="00952000" w:rsidRDefault="000155C0" w:rsidP="000155C0">
      <w:pPr>
        <w:pStyle w:val="afe"/>
        <w:numPr>
          <w:ilvl w:val="0"/>
          <w:numId w:val="129"/>
        </w:numPr>
        <w:ind w:left="993" w:hanging="284"/>
        <w:rPr>
          <w:rFonts w:eastAsia="Times New Roman" w:cs="Times New Roman"/>
          <w:szCs w:val="24"/>
          <w:lang w:eastAsia="ru-RU"/>
        </w:rPr>
      </w:pPr>
      <w:r w:rsidRPr="00952000">
        <w:rPr>
          <w:rFonts w:eastAsia="Times New Roman" w:cs="Times New Roman"/>
          <w:szCs w:val="24"/>
          <w:lang w:eastAsia="ru-RU"/>
        </w:rPr>
        <w:t>ограниченный доступ к периферическим венам,</w:t>
      </w:r>
    </w:p>
    <w:p w14:paraId="330B2F0E" w14:textId="77777777" w:rsidR="000155C0" w:rsidRPr="00952000" w:rsidRDefault="000155C0" w:rsidP="000155C0">
      <w:pPr>
        <w:pStyle w:val="afe"/>
        <w:numPr>
          <w:ilvl w:val="0"/>
          <w:numId w:val="129"/>
        </w:numPr>
        <w:ind w:left="993" w:hanging="284"/>
        <w:rPr>
          <w:rFonts w:eastAsia="Times New Roman" w:cs="Times New Roman"/>
          <w:szCs w:val="24"/>
          <w:lang w:eastAsia="ru-RU"/>
        </w:rPr>
      </w:pPr>
      <w:r w:rsidRPr="00952000">
        <w:rPr>
          <w:rFonts w:eastAsia="Times New Roman" w:cs="Times New Roman"/>
          <w:szCs w:val="24"/>
          <w:lang w:eastAsia="ru-RU"/>
        </w:rPr>
        <w:t>необходимость проведения химиотерапии или парентерального питания, массивная инфузионная терапия,</w:t>
      </w:r>
    </w:p>
    <w:p w14:paraId="4F190CF8" w14:textId="77777777" w:rsidR="000155C0" w:rsidRPr="00952000" w:rsidRDefault="000155C0" w:rsidP="000155C0">
      <w:pPr>
        <w:pStyle w:val="afe"/>
        <w:numPr>
          <w:ilvl w:val="0"/>
          <w:numId w:val="129"/>
        </w:numPr>
        <w:ind w:left="993" w:hanging="284"/>
        <w:rPr>
          <w:rFonts w:eastAsia="Times New Roman" w:cs="Times New Roman"/>
          <w:szCs w:val="24"/>
          <w:lang w:eastAsia="ru-RU"/>
        </w:rPr>
      </w:pPr>
      <w:r w:rsidRPr="00952000">
        <w:rPr>
          <w:rFonts w:eastAsia="Times New Roman" w:cs="Times New Roman"/>
          <w:szCs w:val="24"/>
          <w:lang w:eastAsia="ru-RU"/>
        </w:rPr>
        <w:t>необходимость мониторинга гемодинамики (центральное венозное давление),</w:t>
      </w:r>
    </w:p>
    <w:p w14:paraId="0F135A9E" w14:textId="77777777" w:rsidR="000155C0" w:rsidRPr="00952000" w:rsidRDefault="000155C0" w:rsidP="000155C0">
      <w:pPr>
        <w:pStyle w:val="afe"/>
        <w:numPr>
          <w:ilvl w:val="0"/>
          <w:numId w:val="129"/>
        </w:numPr>
        <w:ind w:left="993" w:hanging="284"/>
        <w:rPr>
          <w:rFonts w:eastAsia="Times New Roman" w:cs="Times New Roman"/>
          <w:szCs w:val="24"/>
          <w:lang w:eastAsia="ru-RU"/>
        </w:rPr>
      </w:pPr>
      <w:r w:rsidRPr="00952000">
        <w:rPr>
          <w:rFonts w:eastAsia="Times New Roman" w:cs="Times New Roman"/>
          <w:szCs w:val="24"/>
          <w:lang w:eastAsia="ru-RU"/>
        </w:rPr>
        <w:t>необходимость мониторинга давления в легочной артерии,</w:t>
      </w:r>
    </w:p>
    <w:p w14:paraId="74880EAD" w14:textId="77777777" w:rsidR="000155C0" w:rsidRPr="00952000" w:rsidRDefault="000155C0" w:rsidP="000155C0">
      <w:pPr>
        <w:pStyle w:val="afe"/>
        <w:numPr>
          <w:ilvl w:val="0"/>
          <w:numId w:val="129"/>
        </w:numPr>
        <w:ind w:left="993" w:hanging="284"/>
        <w:rPr>
          <w:rFonts w:eastAsia="Times New Roman" w:cs="Times New Roman"/>
          <w:szCs w:val="24"/>
          <w:lang w:eastAsia="ru-RU"/>
        </w:rPr>
      </w:pPr>
      <w:r w:rsidRPr="00952000">
        <w:rPr>
          <w:rFonts w:eastAsia="Times New Roman" w:cs="Times New Roman"/>
          <w:szCs w:val="24"/>
          <w:lang w:eastAsia="ru-RU"/>
        </w:rPr>
        <w:t>установка кардиостимулятора,</w:t>
      </w:r>
    </w:p>
    <w:p w14:paraId="22A7F44B" w14:textId="77777777" w:rsidR="000155C0" w:rsidRPr="00952000" w:rsidRDefault="000155C0" w:rsidP="000155C0">
      <w:pPr>
        <w:pStyle w:val="afe"/>
        <w:numPr>
          <w:ilvl w:val="0"/>
          <w:numId w:val="129"/>
        </w:numPr>
        <w:ind w:left="993" w:hanging="284"/>
        <w:rPr>
          <w:rFonts w:eastAsia="Times New Roman" w:cs="Times New Roman"/>
          <w:szCs w:val="24"/>
          <w:lang w:eastAsia="ru-RU"/>
        </w:rPr>
      </w:pPr>
      <w:r w:rsidRPr="00952000">
        <w:rPr>
          <w:rFonts w:eastAsia="Times New Roman" w:cs="Times New Roman"/>
          <w:szCs w:val="24"/>
          <w:lang w:eastAsia="ru-RU"/>
        </w:rPr>
        <w:t>необходимость проведения заместительной почечной терапии.</w:t>
      </w:r>
    </w:p>
    <w:p w14:paraId="20539506" w14:textId="77777777" w:rsidR="000155C0" w:rsidRDefault="000155C0" w:rsidP="000155C0">
      <w:pPr>
        <w:rPr>
          <w:rFonts w:cs="Times New Roman"/>
          <w:b/>
          <w:bCs/>
          <w:szCs w:val="24"/>
        </w:rPr>
      </w:pPr>
    </w:p>
    <w:p w14:paraId="4188CE5D" w14:textId="77777777" w:rsidR="000155C0" w:rsidRPr="004A739C" w:rsidRDefault="000155C0" w:rsidP="000155C0">
      <w:pPr>
        <w:rPr>
          <w:rFonts w:cs="Times New Roman"/>
          <w:i/>
          <w:iCs/>
          <w:szCs w:val="24"/>
          <w:u w:val="single"/>
        </w:rPr>
      </w:pPr>
      <w:r w:rsidRPr="004A739C">
        <w:rPr>
          <w:rFonts w:cs="Times New Roman"/>
          <w:i/>
          <w:iCs/>
          <w:szCs w:val="24"/>
          <w:u w:val="single"/>
        </w:rPr>
        <w:t>Противопоказания к катетеризации центральных вен</w:t>
      </w:r>
    </w:p>
    <w:p w14:paraId="38618EB1" w14:textId="77777777" w:rsidR="000155C0" w:rsidRPr="004A739C" w:rsidRDefault="000155C0" w:rsidP="000155C0">
      <w:pPr>
        <w:pStyle w:val="afe"/>
        <w:numPr>
          <w:ilvl w:val="0"/>
          <w:numId w:val="129"/>
        </w:numPr>
        <w:ind w:left="993" w:hanging="284"/>
        <w:rPr>
          <w:rFonts w:eastAsia="Times New Roman" w:cs="Times New Roman"/>
          <w:szCs w:val="24"/>
          <w:lang w:eastAsia="ru-RU"/>
        </w:rPr>
      </w:pPr>
      <w:r w:rsidRPr="004A739C">
        <w:rPr>
          <w:rFonts w:eastAsia="Times New Roman" w:cs="Times New Roman"/>
          <w:szCs w:val="24"/>
          <w:lang w:eastAsia="ru-RU"/>
        </w:rPr>
        <w:t>Абсолютные:</w:t>
      </w:r>
    </w:p>
    <w:p w14:paraId="11ABEC07" w14:textId="77777777" w:rsidR="000155C0" w:rsidRPr="004A739C" w:rsidRDefault="000155C0" w:rsidP="000155C0">
      <w:pPr>
        <w:pStyle w:val="afe"/>
        <w:numPr>
          <w:ilvl w:val="1"/>
          <w:numId w:val="129"/>
        </w:numPr>
        <w:rPr>
          <w:rFonts w:eastAsia="Times New Roman" w:cs="Times New Roman"/>
          <w:szCs w:val="24"/>
          <w:lang w:eastAsia="ru-RU"/>
        </w:rPr>
      </w:pPr>
      <w:r w:rsidRPr="004A739C">
        <w:rPr>
          <w:rFonts w:eastAsia="Times New Roman" w:cs="Times New Roman"/>
          <w:szCs w:val="24"/>
          <w:lang w:eastAsia="ru-RU"/>
        </w:rPr>
        <w:t>воспаление в планируемом месте доступа</w:t>
      </w:r>
    </w:p>
    <w:p w14:paraId="0B8A8636" w14:textId="77777777" w:rsidR="000155C0" w:rsidRPr="004A739C" w:rsidRDefault="000155C0" w:rsidP="000155C0">
      <w:pPr>
        <w:pStyle w:val="afe"/>
        <w:numPr>
          <w:ilvl w:val="1"/>
          <w:numId w:val="129"/>
        </w:numPr>
        <w:rPr>
          <w:rFonts w:eastAsia="Times New Roman" w:cs="Times New Roman"/>
          <w:szCs w:val="24"/>
          <w:lang w:eastAsia="ru-RU"/>
        </w:rPr>
      </w:pPr>
      <w:r w:rsidRPr="004A739C">
        <w:rPr>
          <w:rFonts w:eastAsia="Times New Roman" w:cs="Times New Roman"/>
          <w:szCs w:val="24"/>
          <w:lang w:eastAsia="ru-RU"/>
        </w:rPr>
        <w:t>недавно проведенное оперативное вмешательство в месте доступа</w:t>
      </w:r>
    </w:p>
    <w:p w14:paraId="5C4B8BE6" w14:textId="77777777" w:rsidR="000155C0" w:rsidRPr="004A739C" w:rsidRDefault="000155C0" w:rsidP="000155C0">
      <w:pPr>
        <w:pStyle w:val="afe"/>
        <w:numPr>
          <w:ilvl w:val="0"/>
          <w:numId w:val="129"/>
        </w:numPr>
        <w:ind w:left="993" w:hanging="284"/>
        <w:rPr>
          <w:rFonts w:eastAsia="Times New Roman" w:cs="Times New Roman"/>
          <w:szCs w:val="24"/>
          <w:lang w:eastAsia="ru-RU"/>
        </w:rPr>
      </w:pPr>
      <w:r w:rsidRPr="004A739C">
        <w:rPr>
          <w:rFonts w:eastAsia="Times New Roman" w:cs="Times New Roman"/>
          <w:szCs w:val="24"/>
          <w:lang w:eastAsia="ru-RU"/>
        </w:rPr>
        <w:t>Относительные</w:t>
      </w:r>
    </w:p>
    <w:p w14:paraId="5942DEEE" w14:textId="77777777" w:rsidR="000155C0" w:rsidRPr="004A739C" w:rsidRDefault="000155C0" w:rsidP="000155C0">
      <w:pPr>
        <w:pStyle w:val="afe"/>
        <w:numPr>
          <w:ilvl w:val="1"/>
          <w:numId w:val="129"/>
        </w:numPr>
        <w:rPr>
          <w:rFonts w:eastAsia="Times New Roman" w:cs="Times New Roman"/>
          <w:szCs w:val="24"/>
          <w:lang w:eastAsia="ru-RU"/>
        </w:rPr>
      </w:pPr>
      <w:r w:rsidRPr="004A739C">
        <w:rPr>
          <w:rFonts w:eastAsia="Times New Roman" w:cs="Times New Roman"/>
          <w:szCs w:val="24"/>
          <w:lang w:eastAsia="ru-RU"/>
        </w:rPr>
        <w:t>выраженный геморрагический синдром (вследствие тромбоцитопении, гипофибриногенемии, наследственных или приобретенных коагулопатий).</w:t>
      </w:r>
    </w:p>
    <w:p w14:paraId="756F2B45" w14:textId="77777777" w:rsidR="000155C0" w:rsidRDefault="000155C0" w:rsidP="000155C0">
      <w:pPr>
        <w:pStyle w:val="Default"/>
        <w:spacing w:line="360" w:lineRule="auto"/>
        <w:ind w:firstLine="709"/>
        <w:jc w:val="both"/>
        <w:rPr>
          <w:i/>
          <w:color w:val="auto"/>
        </w:rPr>
      </w:pPr>
    </w:p>
    <w:p w14:paraId="44DBFBF7" w14:textId="77777777" w:rsidR="000155C0" w:rsidRPr="00952000" w:rsidRDefault="000155C0" w:rsidP="000155C0">
      <w:pPr>
        <w:pStyle w:val="Default"/>
        <w:spacing w:line="360" w:lineRule="auto"/>
        <w:ind w:firstLine="709"/>
        <w:jc w:val="both"/>
        <w:rPr>
          <w:color w:val="auto"/>
        </w:rPr>
      </w:pPr>
      <w:r w:rsidRPr="00952000">
        <w:rPr>
          <w:i/>
          <w:color w:val="auto"/>
        </w:rPr>
        <w:t>Тромбоцитопения</w:t>
      </w:r>
      <w:r w:rsidRPr="00952000">
        <w:rPr>
          <w:color w:val="auto"/>
        </w:rPr>
        <w:t xml:space="preserve"> – одна из самых частых причин геморрагического синдрома. Хотя безопасным уровнем для катетеризации мы считаем количество тромбоцитов крови более 20 х 10</w:t>
      </w:r>
      <w:r w:rsidRPr="00952000">
        <w:rPr>
          <w:color w:val="auto"/>
          <w:vertAlign w:val="superscript"/>
        </w:rPr>
        <w:t>9</w:t>
      </w:r>
      <w:r w:rsidRPr="00952000">
        <w:rPr>
          <w:color w:val="auto"/>
        </w:rPr>
        <w:t>/л, у ряда пациентов достичь этого порогового уровня не удается вследствие различных причин, например, рефрактерность к трансфузиям. В этих случаях катетеризация центральной вены под контролем ультразвука без использования дилататора, может быть безопасной даже при количестве тромбоцитов менее 20 х 10</w:t>
      </w:r>
      <w:r w:rsidRPr="00952000">
        <w:rPr>
          <w:color w:val="auto"/>
          <w:vertAlign w:val="superscript"/>
        </w:rPr>
        <w:t>9</w:t>
      </w:r>
      <w:r w:rsidRPr="00952000">
        <w:rPr>
          <w:color w:val="auto"/>
        </w:rPr>
        <w:t>/л.</w:t>
      </w:r>
    </w:p>
    <w:p w14:paraId="465DFCFC" w14:textId="1391B583" w:rsidR="000155C0" w:rsidRPr="00952000" w:rsidRDefault="000155C0" w:rsidP="000155C0">
      <w:pPr>
        <w:rPr>
          <w:rFonts w:cs="Times New Roman"/>
          <w:szCs w:val="24"/>
        </w:rPr>
      </w:pPr>
      <w:r w:rsidRPr="00952000">
        <w:rPr>
          <w:rFonts w:cs="Times New Roman"/>
          <w:i/>
          <w:szCs w:val="24"/>
        </w:rPr>
        <w:t>Плазменная концентрация фибриногена</w:t>
      </w:r>
      <w:r w:rsidRPr="00952000">
        <w:rPr>
          <w:rFonts w:cs="Times New Roman"/>
          <w:szCs w:val="24"/>
        </w:rPr>
        <w:t xml:space="preserve"> ассоциируется с геморрагическими осложнениями при установке ЦВК: она значимо ниже у больных с геморрагическими осложнениями, чем без осложнений </w:t>
      </w:r>
      <w:r w:rsidRPr="00952000">
        <w:rPr>
          <w:rFonts w:cs="Times New Roman"/>
          <w:szCs w:val="24"/>
        </w:rPr>
        <w:fldChar w:fldCharType="begin" w:fldLock="1"/>
      </w:r>
      <w:r w:rsidR="004810E5">
        <w:rPr>
          <w:rFonts w:cs="Times New Roman"/>
          <w:szCs w:val="24"/>
        </w:rPr>
        <w:instrText>ADDIN CSL_CITATION {"citationItems":[{"id":"ITEM-1","itemData":{"DOI":"10.1111/j.1537-2995.2011.03147.x","ISSN":"1537-2995","PMID":"21517892","abstract":"BACKGROUND Patients with severe thrombocytopenia are at risk for bleeding during insertion of central venous catheters (CVCs). Although most guidelines recommend preprocedural platelet (PLT) transfusions at a threshold of less than 50 × 10(9) /L, there is only weak evidence supporting such recommendations. STUDY DESIGN AND METHODS The current study aimed to establish a safe PLT transfusion trigger in patients with CVC placements. We performed a retrospective single-center analysis of 604 CVC insertions in 193 patients with acute leukemia receiving intensive chemotherapy or stem cell transplantation. RESULTS A total of 48% of the patients had a bleeding risk during CVC insertions, mostly due to thrombocytopenia. The bleeding incidence was 32% with 96% Grade 1 and 4% Grade 2 bleedings requiring prolonged local compression. There were no Grade 3 to 4 bleedings. Hemoglobin levels were similar before and 24 and 48 hours after the CVC insertion in the bleeding and nonbleeding group and there was no difference in the red blood cell (p = 0.72) and PLT transfusion requirements (p = 0.057) after CVC insertion. In multivariate analysis, only patients with PLT counts of less than 20 × 10(9) /L were at higher risk for bleeding before (p = 0.015) and after preprocedural PLT transfusions (p =0.006) compared to patients with PLT counts of 100 × 10(9) /L or more. CONCLUSION CVC placements can safely be performed in patients with PLT counts of 20 × 10(9) /L or more without preprocedural PLT transfusions.","author":[{"dropping-particle":"","family":"Zeidler","given":"Kristin","non-dropping-particle":"","parse-names":false,"suffix":""},{"dropping-particle":"","family":"Arn","given":"Kornelius","non-dropping-particle":"","parse-names":false,"suffix":""},{"dropping-particle":"","family":"Senn","given":"Oliver","non-dropping-particle":"","parse-names":false,"suffix":""},{"dropping-particle":"","family":"Schanz","given":"Urs","non-dropping-particle":"","parse-names":false,"suffix":""},{"dropping-particle":"","family":"Stussi","given":"Georg","non-dropping-particle":"","parse-names":false,"suffix":""}],"container-title":"Transfusion","id":"ITEM-1","issue":"11","issued":{"date-parts":[["2011","11"]]},"page":"2269-76","title":"Optimal preprocedural platelet transfusion threshold for central venous catheter insertions in patients with thrombocytopenia.","type":"article-journal","volume":"51"},"uris":["http://www.mendeley.com/documents/?uuid=11f6a6da-e80c-4c12-b31e-ce8ac19b442b"]}],"mendeley":{"formattedCitation":"[146]","plainTextFormattedCitation":"[146]","previouslyFormattedCitation":"[146]"},"properties":{"noteIndex":0},"schema":"https://github.com/citation-style-language/schema/raw/master/csl-citation.json"}</w:instrText>
      </w:r>
      <w:r w:rsidRPr="00952000">
        <w:rPr>
          <w:rFonts w:cs="Times New Roman"/>
          <w:szCs w:val="24"/>
        </w:rPr>
        <w:fldChar w:fldCharType="separate"/>
      </w:r>
      <w:r w:rsidR="004F33C9" w:rsidRPr="004F33C9">
        <w:rPr>
          <w:rFonts w:cs="Times New Roman"/>
          <w:noProof/>
          <w:szCs w:val="24"/>
        </w:rPr>
        <w:t>[146]</w:t>
      </w:r>
      <w:r w:rsidRPr="00952000">
        <w:rPr>
          <w:rFonts w:cs="Times New Roman"/>
          <w:szCs w:val="24"/>
        </w:rPr>
        <w:fldChar w:fldCharType="end"/>
      </w:r>
      <w:r w:rsidRPr="00952000">
        <w:rPr>
          <w:rFonts w:cs="Times New Roman"/>
          <w:szCs w:val="24"/>
        </w:rPr>
        <w:t>.</w:t>
      </w:r>
    </w:p>
    <w:p w14:paraId="1EBF299D" w14:textId="77777777" w:rsidR="000155C0" w:rsidRDefault="000155C0" w:rsidP="000155C0">
      <w:pPr>
        <w:rPr>
          <w:rFonts w:cs="Times New Roman"/>
          <w:b/>
          <w:bCs/>
          <w:szCs w:val="24"/>
        </w:rPr>
      </w:pPr>
    </w:p>
    <w:p w14:paraId="26AC2C40" w14:textId="77777777" w:rsidR="000155C0" w:rsidRPr="008879EC" w:rsidRDefault="000155C0" w:rsidP="000155C0">
      <w:pPr>
        <w:rPr>
          <w:rFonts w:cs="Times New Roman"/>
          <w:i/>
          <w:iCs/>
          <w:szCs w:val="24"/>
          <w:u w:val="single"/>
        </w:rPr>
      </w:pPr>
      <w:r w:rsidRPr="008879EC">
        <w:rPr>
          <w:rFonts w:cs="Times New Roman"/>
          <w:i/>
          <w:iCs/>
          <w:szCs w:val="24"/>
          <w:u w:val="single"/>
        </w:rPr>
        <w:t>Типы катетеров</w:t>
      </w:r>
    </w:p>
    <w:p w14:paraId="362A6047" w14:textId="77777777" w:rsidR="000155C0" w:rsidRPr="00952000" w:rsidRDefault="000155C0" w:rsidP="000155C0">
      <w:pPr>
        <w:ind w:firstLine="708"/>
        <w:contextualSpacing/>
        <w:rPr>
          <w:rFonts w:cs="Times New Roman"/>
          <w:szCs w:val="24"/>
        </w:rPr>
      </w:pPr>
      <w:r w:rsidRPr="00952000">
        <w:rPr>
          <w:rFonts w:cs="Times New Roman"/>
          <w:i/>
          <w:szCs w:val="24"/>
        </w:rPr>
        <w:t>ЦВК</w:t>
      </w:r>
      <w:r w:rsidRPr="00952000">
        <w:rPr>
          <w:rFonts w:cs="Times New Roman"/>
          <w:szCs w:val="24"/>
        </w:rPr>
        <w:t xml:space="preserve"> – это полая трубка, устанавливаемая в одну из центральных вен. ЦВК изготавливаются из различных материалов, имеют разный диаметр. ЦВК могут быть оснащены клапанами на разных концах, или камерой на проксимальном конце, а также иметь один или несколько просветов, для возможности проведения одновременных инфузий несовместимых между собой растворов. </w:t>
      </w:r>
    </w:p>
    <w:p w14:paraId="12BC5325" w14:textId="77777777" w:rsidR="000155C0" w:rsidRPr="00952000" w:rsidRDefault="000155C0" w:rsidP="000155C0">
      <w:pPr>
        <w:ind w:firstLine="700"/>
        <w:rPr>
          <w:rFonts w:eastAsia="Times New Roman" w:cs="Times New Roman"/>
          <w:i/>
          <w:szCs w:val="24"/>
          <w:lang w:eastAsia="ru-RU"/>
        </w:rPr>
      </w:pPr>
      <w:r w:rsidRPr="00952000">
        <w:rPr>
          <w:rFonts w:eastAsia="Times New Roman" w:cs="Times New Roman"/>
          <w:i/>
          <w:szCs w:val="24"/>
          <w:lang w:eastAsia="ru-RU"/>
        </w:rPr>
        <w:t>Нетуннелируемые катетеры</w:t>
      </w:r>
    </w:p>
    <w:p w14:paraId="5DCE73A1" w14:textId="5827D87B" w:rsidR="000155C0" w:rsidRPr="00DE117D" w:rsidRDefault="000155C0" w:rsidP="000155C0">
      <w:pPr>
        <w:ind w:firstLine="700"/>
        <w:rPr>
          <w:rFonts w:eastAsia="Times New Roman" w:cs="Times New Roman"/>
          <w:strike/>
          <w:szCs w:val="24"/>
        </w:rPr>
      </w:pPr>
      <w:r w:rsidRPr="00952000">
        <w:rPr>
          <w:rFonts w:eastAsia="Times New Roman" w:cs="Times New Roman"/>
          <w:szCs w:val="24"/>
          <w:lang w:eastAsia="ru-RU"/>
        </w:rPr>
        <w:t xml:space="preserve">Это полиуретановые устройства длиной от 20 до 30 см и с внешним диаметром до 8 Fr, а в случае с катетером для проведения гемодиализа 12 </w:t>
      </w:r>
      <w:r w:rsidRPr="00952000">
        <w:rPr>
          <w:rFonts w:eastAsia="Times New Roman" w:cs="Times New Roman"/>
          <w:szCs w:val="24"/>
          <w:lang w:val="en-US" w:eastAsia="ru-RU"/>
        </w:rPr>
        <w:t>Fr</w:t>
      </w:r>
      <w:r w:rsidRPr="00952000">
        <w:rPr>
          <w:rFonts w:eastAsia="Times New Roman" w:cs="Times New Roman"/>
          <w:szCs w:val="24"/>
          <w:lang w:eastAsia="ru-RU"/>
        </w:rPr>
        <w:t>, которые имплантируются путем чрескожной пункции вены (внутренней ярёмной, подключичной, подмышечной или бедренной вены), с позиционированием дистального конца катетера у кава-атриального соединения. Использование в амбулаторных условиях не рекомендуется, так как риск инфицирования или случайного повреждения/удаления у них выше</w:t>
      </w:r>
      <w:r>
        <w:rPr>
          <w:rFonts w:eastAsia="Times New Roman" w:cs="Times New Roman"/>
          <w:szCs w:val="24"/>
          <w:lang w:eastAsia="ru-RU"/>
        </w:rPr>
        <w:t>,</w:t>
      </w:r>
      <w:r w:rsidRPr="00952000">
        <w:rPr>
          <w:rFonts w:eastAsia="Times New Roman" w:cs="Times New Roman"/>
          <w:szCs w:val="24"/>
          <w:lang w:eastAsia="ru-RU"/>
        </w:rPr>
        <w:t xml:space="preserve"> по сравнению с другими типами катетеров, вследствие того, что они не туннелированы и удерживаются на месте фиксирующим швом или при помощи устройства бесшовной фиксации на коже у места пункции </w:t>
      </w:r>
      <w:r w:rsidRPr="00952000">
        <w:rPr>
          <w:rFonts w:eastAsia="Times New Roman" w:cs="Times New Roman"/>
          <w:szCs w:val="24"/>
          <w:lang w:eastAsia="ru-RU"/>
        </w:rPr>
        <w:fldChar w:fldCharType="begin" w:fldLock="1"/>
      </w:r>
      <w:r w:rsidR="004810E5">
        <w:rPr>
          <w:rFonts w:eastAsia="Times New Roman" w:cs="Times New Roman"/>
          <w:szCs w:val="24"/>
          <w:lang w:eastAsia="ru-RU"/>
        </w:rPr>
        <w:instrText>ADDIN CSL_CITATION {"citationItems":[{"id":"ITEM-1","itemData":{"DOI":"10.1590/1677-5449.008216","author":[{"dropping-particle":"","family":"Zerati","given":"A.E.","non-dropping-particle":"","parse-names":false,"suffix":""},{"dropping-particle":"","family":"Wolosker","given":"N","non-dropping-particle":"","parse-names":false,"suffix":""},{"dropping-particle":"","family":"Luccia","given":"N","non-dropping-particle":"de","parse-names":false,"suffix":""},{"dropping-particle":"","family":"Puech-Leão","given":"P.","non-dropping-particle":"","parse-names":false,"suffix":""}],"container-title":"J Vasc Bras.","id":"ITEM-1","issue":"2","issued":{"date-parts":[["2017"]]},"page":"128-139","title":"Totally implantable venous catheters : history , implantation technique and complications.","type":"article-journal","volume":"16"},"uris":["http://www.mendeley.com/documents/?uuid=d029e3cf-7ed7-47d9-8f50-87f7004ddbed","http://www.mendeley.com/documents/?uuid=5353e640-d658-416d-8033-f443a1c37557"]}],"mendeley":{"formattedCitation":"[147]","plainTextFormattedCitation":"[147]","previouslyFormattedCitation":"[147]"},"properties":{"noteIndex":0},"schema":"https://github.com/citation-style-language/schema/raw/master/csl-citation.json"}</w:instrText>
      </w:r>
      <w:r w:rsidRPr="00952000">
        <w:rPr>
          <w:rFonts w:eastAsia="Times New Roman" w:cs="Times New Roman"/>
          <w:szCs w:val="24"/>
          <w:lang w:eastAsia="ru-RU"/>
        </w:rPr>
        <w:fldChar w:fldCharType="separate"/>
      </w:r>
      <w:r w:rsidR="004F33C9" w:rsidRPr="004F33C9">
        <w:rPr>
          <w:rFonts w:eastAsia="Times New Roman" w:cs="Times New Roman"/>
          <w:noProof/>
          <w:szCs w:val="24"/>
          <w:lang w:eastAsia="ru-RU"/>
        </w:rPr>
        <w:t>[147]</w:t>
      </w:r>
      <w:r w:rsidRPr="00952000">
        <w:rPr>
          <w:rFonts w:eastAsia="Times New Roman" w:cs="Times New Roman"/>
          <w:szCs w:val="24"/>
          <w:lang w:eastAsia="ru-RU"/>
        </w:rPr>
        <w:fldChar w:fldCharType="end"/>
      </w:r>
      <w:r>
        <w:rPr>
          <w:rFonts w:eastAsia="Times New Roman" w:cs="Times New Roman"/>
          <w:szCs w:val="24"/>
          <w:lang w:eastAsia="ru-RU"/>
        </w:rPr>
        <w:t>. Существую</w:t>
      </w:r>
      <w:r w:rsidRPr="00952000">
        <w:rPr>
          <w:rFonts w:eastAsia="Times New Roman" w:cs="Times New Roman"/>
          <w:szCs w:val="24"/>
          <w:lang w:eastAsia="ru-RU"/>
        </w:rPr>
        <w:t>т версии катетеров с антимикробными или антисептическими покрытиями. Применение катетеров с покрытием требует дальнейшего изучения, так как не раскрыты вопросы антибиотикорезистентности</w:t>
      </w:r>
      <w:r>
        <w:rPr>
          <w:rFonts w:eastAsia="Times New Roman" w:cs="Times New Roman"/>
          <w:szCs w:val="24"/>
          <w:lang w:eastAsia="ru-RU"/>
        </w:rPr>
        <w:t xml:space="preserve">. </w:t>
      </w:r>
    </w:p>
    <w:p w14:paraId="5436C260" w14:textId="77777777" w:rsidR="000155C0" w:rsidRPr="00952000" w:rsidRDefault="000155C0" w:rsidP="000155C0">
      <w:pPr>
        <w:ind w:firstLine="708"/>
        <w:rPr>
          <w:rFonts w:eastAsia="Times New Roman" w:cs="Times New Roman"/>
          <w:i/>
          <w:szCs w:val="24"/>
          <w:lang w:eastAsia="ru-RU"/>
        </w:rPr>
      </w:pPr>
      <w:r w:rsidRPr="00952000">
        <w:rPr>
          <w:rFonts w:eastAsia="Times New Roman" w:cs="Times New Roman"/>
          <w:i/>
          <w:szCs w:val="24"/>
          <w:lang w:eastAsia="ru-RU"/>
        </w:rPr>
        <w:t xml:space="preserve">Туннелируемые катетеры </w:t>
      </w:r>
    </w:p>
    <w:p w14:paraId="53CBC360" w14:textId="72499287" w:rsidR="000155C0" w:rsidRPr="00952000" w:rsidRDefault="000155C0" w:rsidP="000155C0">
      <w:pPr>
        <w:ind w:firstLine="708"/>
        <w:rPr>
          <w:rFonts w:eastAsia="Times New Roman" w:cs="Times New Roman"/>
          <w:strike/>
          <w:szCs w:val="24"/>
          <w:lang w:eastAsia="ru-RU"/>
        </w:rPr>
      </w:pPr>
      <w:r w:rsidRPr="00952000">
        <w:rPr>
          <w:rFonts w:eastAsia="Times New Roman" w:cs="Times New Roman"/>
          <w:szCs w:val="24"/>
          <w:lang w:eastAsia="ru-RU"/>
        </w:rPr>
        <w:t xml:space="preserve">Туннелируемые катетеры – это имплантируемые катетеры, у которых при помощи подкожного туннеля разнесены места пункции вены и выхода на кожу. Внутри туннеля катетер имеет манжету, которая, врастая в окружающие ткани, фиксирует катетер в туннеле и препятствует распространению инфекции </w:t>
      </w:r>
      <w:r w:rsidRPr="00952000">
        <w:rPr>
          <w:rFonts w:eastAsia="Times New Roman" w:cs="Times New Roman"/>
          <w:szCs w:val="24"/>
          <w:lang w:eastAsia="ru-RU"/>
        </w:rPr>
        <w:fldChar w:fldCharType="begin" w:fldLock="1"/>
      </w:r>
      <w:r w:rsidR="004810E5">
        <w:rPr>
          <w:rFonts w:eastAsia="Times New Roman" w:cs="Times New Roman"/>
          <w:szCs w:val="24"/>
          <w:lang w:eastAsia="ru-RU"/>
        </w:rPr>
        <w:instrText>ADDIN CSL_CITATION {"citationItems":[{"id":"ITEM-1","itemData":{"DOI":"10.1016/j.amjsurg.2017.03.021","ISSN":"18791883","PMID":"28364951","abstract":"Background Tunneled central venous catheters (CVC) were developed five decades ago. Since then, several clinician-inventors have created a variety of catheters with different functions. Indeed, many catheters have been named after their inventor. Many have wondered who the inventors were of each catheter, and what specifically inspired their inventions. Many of these compelling stories have yet to be told. Data source A literature review of common catheters and personal communication with inventors. Only first person accounts from inventors or those close to the invention were used. Conclusions CVCs are now essential devices that have saved countless lives. Though the inventors have earned the honor of naming their catheters, it may be reasonable to consider more consistent terminology to describe these catheters to avoid confusion.","author":[{"dropping-particle":"","family":"Gow","given":"Kenneth W.","non-dropping-particle":"","parse-names":false,"suffix":""},{"dropping-particle":"","family":"Tapper","given":"David","non-dropping-particle":"","parse-names":false,"suffix":""},{"dropping-particle":"","family":"Hickman","given":"Robert O.","non-dropping-particle":"","parse-names":false,"suffix":""}],"container-title":"American Journal of Surgery","id":"ITEM-1","issue":"5","issued":{"date-parts":[["2017"]]},"page":"837-848","publisher":"Elsevier Ltd","title":"Between the lines: The 50th anniversary of long-term central venous catheters","type":"article-journal","volume":"213"},"uris":["http://www.mendeley.com/documents/?uuid=161c3217-d679-4fd1-9554-18030d03e6fc","http://www.mendeley.com/documents/?uuid=fd0b87b9-b50a-4553-a221-0efbeb55e54e"]}],"mendeley":{"formattedCitation":"[148]","plainTextFormattedCitation":"[148]","previouslyFormattedCitation":"[148]"},"properties":{"noteIndex":0},"schema":"https://github.com/citation-style-language/schema/raw/master/csl-citation.json"}</w:instrText>
      </w:r>
      <w:r w:rsidRPr="00952000">
        <w:rPr>
          <w:rFonts w:eastAsia="Times New Roman" w:cs="Times New Roman"/>
          <w:szCs w:val="24"/>
          <w:lang w:eastAsia="ru-RU"/>
        </w:rPr>
        <w:fldChar w:fldCharType="separate"/>
      </w:r>
      <w:r w:rsidR="004F33C9" w:rsidRPr="004F33C9">
        <w:rPr>
          <w:rFonts w:eastAsia="Times New Roman" w:cs="Times New Roman"/>
          <w:noProof/>
          <w:szCs w:val="24"/>
          <w:lang w:eastAsia="ru-RU"/>
        </w:rPr>
        <w:t>[148]</w:t>
      </w:r>
      <w:r w:rsidRPr="00952000">
        <w:rPr>
          <w:rFonts w:eastAsia="Times New Roman" w:cs="Times New Roman"/>
          <w:szCs w:val="24"/>
          <w:lang w:eastAsia="ru-RU"/>
        </w:rPr>
        <w:fldChar w:fldCharType="end"/>
      </w:r>
      <w:r w:rsidRPr="00952000">
        <w:rPr>
          <w:rFonts w:eastAsia="Times New Roman" w:cs="Times New Roman"/>
          <w:szCs w:val="24"/>
          <w:lang w:eastAsia="ru-RU"/>
        </w:rPr>
        <w:t xml:space="preserve">. </w:t>
      </w:r>
    </w:p>
    <w:p w14:paraId="4B13264C" w14:textId="6E263F15" w:rsidR="000155C0" w:rsidRPr="00952000" w:rsidRDefault="000155C0" w:rsidP="000155C0">
      <w:pPr>
        <w:ind w:firstLine="708"/>
        <w:rPr>
          <w:rFonts w:eastAsia="Times New Roman" w:cs="Times New Roman"/>
          <w:szCs w:val="24"/>
          <w:lang w:eastAsia="ru-RU"/>
        </w:rPr>
      </w:pPr>
      <w:r w:rsidRPr="00952000">
        <w:rPr>
          <w:rFonts w:eastAsia="Times New Roman" w:cs="Times New Roman"/>
          <w:szCs w:val="24"/>
          <w:lang w:eastAsia="ru-RU"/>
        </w:rPr>
        <w:t>Туннелируемый тип катетера предпочтительнее нетуннелируемого</w:t>
      </w:r>
      <w:r>
        <w:rPr>
          <w:rFonts w:eastAsia="Times New Roman" w:cs="Times New Roman"/>
          <w:szCs w:val="24"/>
          <w:lang w:eastAsia="ru-RU"/>
        </w:rPr>
        <w:t>, особенно</w:t>
      </w:r>
      <w:r w:rsidRPr="00952000">
        <w:rPr>
          <w:rFonts w:eastAsia="Times New Roman" w:cs="Times New Roman"/>
          <w:szCs w:val="24"/>
          <w:lang w:eastAsia="ru-RU"/>
        </w:rPr>
        <w:t xml:space="preserve"> при необходимости проведения массивной инфузионной терапии </w:t>
      </w:r>
      <w:r>
        <w:rPr>
          <w:rFonts w:eastAsia="Times New Roman" w:cs="Times New Roman"/>
          <w:szCs w:val="24"/>
          <w:lang w:eastAsia="ru-RU"/>
        </w:rPr>
        <w:t>в течение более 3 недель</w:t>
      </w:r>
      <w:r w:rsidRPr="00952000">
        <w:rPr>
          <w:rFonts w:eastAsia="Times New Roman" w:cs="Times New Roman"/>
          <w:szCs w:val="24"/>
          <w:lang w:eastAsia="ru-RU"/>
        </w:rPr>
        <w:t xml:space="preserve">, особенно у онкогематологических пациентов </w:t>
      </w:r>
      <w:r w:rsidRPr="00952000">
        <w:rPr>
          <w:rFonts w:eastAsia="Times New Roman" w:cs="Times New Roman"/>
          <w:szCs w:val="24"/>
          <w:lang w:eastAsia="ru-RU"/>
        </w:rPr>
        <w:fldChar w:fldCharType="begin" w:fldLock="1"/>
      </w:r>
      <w:r w:rsidR="004810E5">
        <w:rPr>
          <w:rFonts w:eastAsia="Times New Roman" w:cs="Times New Roman"/>
          <w:szCs w:val="24"/>
          <w:lang w:eastAsia="ru-RU"/>
        </w:rPr>
        <w:instrText>ADDIN CSL_CITATION {"citationItems":[{"id":"ITEM-1","itemData":{"DOI":"10.4274/tjh.2013.0278","ISSN":"1300-7777","PMID":"25805675","abstract":"OBJECTIVE Haematopoietic stem cell recipients need central venous catheters (CVCs) for easy administration of intravenous fluid, medications, apheresis, or dialysis procedures. However, CVCs may lead to infectious or non-infectious complications such as thrombosis. The effect of these complications on transplantation outcome is not clear. This manuscript presents the complication rates of double-lumen tunnelled CVCs and their effect on transplantation outcome. MATERIALS AND METHODS Data from 111 consecutive patients, of whom 75 received autologous and 36 received allogeneic peripheral blood stem cell transplantations, were collected retrospectively. The data were validated by the Record Inspection Group of the related JACIE-accredited transplantation centre. RESULTS Thrombosis developed in 2.7% of recipients (0.9 per 1000 catheter days). Catheter-related infection was identified in 14 (12.6%) patients (3.6 per 1000 catheter days). Coagulase-negative Staphylococcus was the most common causative agent. Engraftment time, rate of 100-day mortality, and development of grade II-IV graft-versus-host disease were not found to be associated with catheter-related complications. CONCLUSION These results indicate that adverse events related with tunnelled CVCs are manageable and have no negative effects on transplant outcome. Amaç: Hematopoetik kök hücre nakli alıcıları damar içi mayi, ilaç, aferez ve diyaliz işlemleri için santral venöz kateterlere (SVK) ihtiyaç duyarlar. Ancak SVK’ların enfeksiyöz ve tromboz gibi enfeksiyöz olmayan komplikasyonları vardır. Bu komplikasyonların nakil sürecine etkisi net değildir. Bu çalışma ile çift lümen tünelli santral kateter komplikasyonlarının sıklığı ve nakil sürecine etkisi araştırılmıştır. Gereç ve Yöntemler: Geriye dönük olarak 75 otolog ve 39 allojeneik periferik kök hücre nakli uygulanan toplam 111 hastanın verileri toparlandı. Verilerin doğruluğu JACIE akredite merkezimizin kayıt denetleme grubu tarafından kontrol edildi. Bulgular: Olguların %2,7’sinde tromboz gelişti (1000 kateter gününde 0,9). Hastaların 14’ünde (%12,6) kateter ilişkili enfeksiyon tesbit edildi (1000 kateter gününde 3,6). Koagulaz negatif Stafilokoklar en sık etken idi. Kateter ilişkili komplikasyonlar ile engrafman zamanı, evre II-IV graft versus host hastalığı ve 100 günlük mortalite arasında bir ilişki saptanmadı. Sonuç: Sonuçlarımız nakil hastalarında tünelli SVK komplikasyonlarının yönetilebilir olduğunu ve bu komplikasyonların nakil üzerine olu…","author":[{"dropping-particle":"","family":"Yeral","given":"Mahmut","non-dropping-particle":"","parse-names":false,"suffix":""},{"dropping-particle":"","family":"Boğa","given":"Can","non-dropping-particle":"","parse-names":false,"suffix":""},{"dropping-particle":"","family":"Oğuzkurt","given":"Levent","non-dropping-particle":"","parse-names":false,"suffix":""},{"dropping-particle":"","family":"Alışkan","given":"Hikmet Eda","non-dropping-particle":"","parse-names":false,"suffix":""},{"dropping-particle":"","family":"Özdoğu","given":"Hakan","non-dropping-particle":"","parse-names":false,"suffix":""},{"dropping-particle":"","family":"Demiroğlu","given":"Yusuf Ziya","non-dropping-particle":"","parse-names":false,"suffix":""}],"container-title":"Turkish journal of haematology : official journal of Turkish Society of Haematology","id":"ITEM-1","issue":"1","issued":{"date-parts":[["2015","3"]]},"page":"51-7","publisher":"Galenos Yayinevi","title":"Tunnelled central venous catheter-related problems in the early phase of haematopoietic stem cell transplantation and effects on transplant outcome.","type":"article-journal","volume":"32"},"uris":["http://www.mendeley.com/documents/?uuid=2bc92935-3e96-3617-9553-d5dd4c0694cf","http://www.mendeley.com/documents/?uuid=af150765-c543-48ae-8459-7ae0c47be16e"]}],"mendeley":{"formattedCitation":"[149]","plainTextFormattedCitation":"[149]","previouslyFormattedCitation":"[149]"},"properties":{"noteIndex":0},"schema":"https://github.com/citation-style-language/schema/raw/master/csl-citation.json"}</w:instrText>
      </w:r>
      <w:r w:rsidRPr="00952000">
        <w:rPr>
          <w:rFonts w:eastAsia="Times New Roman" w:cs="Times New Roman"/>
          <w:szCs w:val="24"/>
          <w:lang w:eastAsia="ru-RU"/>
        </w:rPr>
        <w:fldChar w:fldCharType="separate"/>
      </w:r>
      <w:r w:rsidR="004F33C9" w:rsidRPr="004F33C9">
        <w:rPr>
          <w:rFonts w:eastAsia="Times New Roman" w:cs="Times New Roman"/>
          <w:noProof/>
          <w:szCs w:val="24"/>
          <w:lang w:eastAsia="ru-RU"/>
        </w:rPr>
        <w:t>[149]</w:t>
      </w:r>
      <w:r w:rsidRPr="00952000">
        <w:rPr>
          <w:rFonts w:eastAsia="Times New Roman" w:cs="Times New Roman"/>
          <w:szCs w:val="24"/>
          <w:lang w:eastAsia="ru-RU"/>
        </w:rPr>
        <w:fldChar w:fldCharType="end"/>
      </w:r>
      <w:r w:rsidRPr="00952000">
        <w:rPr>
          <w:rFonts w:eastAsia="Times New Roman" w:cs="Times New Roman"/>
          <w:szCs w:val="24"/>
          <w:lang w:eastAsia="ru-RU"/>
        </w:rPr>
        <w:t xml:space="preserve">. </w:t>
      </w:r>
    </w:p>
    <w:p w14:paraId="38B10515" w14:textId="77777777" w:rsidR="000155C0" w:rsidRPr="00952000" w:rsidRDefault="000155C0" w:rsidP="000155C0">
      <w:pPr>
        <w:ind w:firstLine="708"/>
        <w:rPr>
          <w:rFonts w:eastAsia="Times New Roman" w:cs="Times New Roman"/>
          <w:i/>
          <w:szCs w:val="24"/>
          <w:lang w:eastAsia="ru-RU"/>
        </w:rPr>
      </w:pPr>
      <w:r w:rsidRPr="00952000">
        <w:rPr>
          <w:rFonts w:eastAsia="Times New Roman" w:cs="Times New Roman"/>
          <w:i/>
          <w:szCs w:val="24"/>
          <w:lang w:eastAsia="ru-RU"/>
        </w:rPr>
        <w:t xml:space="preserve">Порт-системы </w:t>
      </w:r>
    </w:p>
    <w:p w14:paraId="7A1CB770" w14:textId="0218E4A1" w:rsidR="000155C0" w:rsidRPr="00952000" w:rsidRDefault="000155C0" w:rsidP="000155C0">
      <w:pPr>
        <w:ind w:firstLine="708"/>
        <w:rPr>
          <w:rFonts w:eastAsia="Times New Roman" w:cs="Times New Roman"/>
          <w:szCs w:val="24"/>
          <w:lang w:eastAsia="ru-RU"/>
        </w:rPr>
      </w:pPr>
      <w:r w:rsidRPr="00952000">
        <w:rPr>
          <w:rFonts w:eastAsia="Times New Roman" w:cs="Times New Roman"/>
          <w:szCs w:val="24"/>
          <w:lang w:eastAsia="ru-RU"/>
        </w:rPr>
        <w:t>Полностью имплантируемые венозные устройства доступа используются для обеспечения долгосрочного центрального венозного доступа при проведении химиотерапии, парентерального питания, обеспечения возможности профилактического введения фактора свёртывания при наследственных коагулопатиях, например, гемофилии. Порт-системы</w:t>
      </w:r>
      <w:r w:rsidRPr="00952000">
        <w:rPr>
          <w:rFonts w:eastAsia="Times New Roman" w:cs="Times New Roman"/>
          <w:strike/>
          <w:szCs w:val="24"/>
          <w:lang w:eastAsia="ru-RU"/>
        </w:rPr>
        <w:t xml:space="preserve"> </w:t>
      </w:r>
      <w:r w:rsidRPr="00952000">
        <w:rPr>
          <w:rFonts w:eastAsia="Times New Roman" w:cs="Times New Roman"/>
          <w:szCs w:val="24"/>
          <w:lang w:eastAsia="ru-RU"/>
        </w:rPr>
        <w:t xml:space="preserve">полностью скрыты от внешней среды под кожей, их наличие никак не влияет на физическую активность пациентов и считается, что порт-система – это наименее подверженный инфицированию тип ЦВК </w:t>
      </w:r>
      <w:r w:rsidRPr="00952000">
        <w:rPr>
          <w:rFonts w:eastAsia="Times New Roman" w:cs="Times New Roman"/>
          <w:szCs w:val="24"/>
          <w:lang w:eastAsia="ru-RU"/>
        </w:rPr>
        <w:fldChar w:fldCharType="begin" w:fldLock="1"/>
      </w:r>
      <w:r w:rsidR="004810E5">
        <w:rPr>
          <w:rFonts w:eastAsia="Times New Roman" w:cs="Times New Roman"/>
          <w:szCs w:val="24"/>
          <w:lang w:eastAsia="ru-RU"/>
        </w:rPr>
        <w:instrText>ADDIN CSL_CITATION {"citationItems":[{"id":"ITEM-1","itemData":{"DOI":"10.4065/81.9.1159","ISSN":"00256196","abstract":"&lt;h3&gt;OBJECTIVE&lt;/h3&gt;&lt;p&gt;To better understand the absolute and relative risks of bloodstream infection (BSI) associated with the various types of intravascular devices (IVDs), we analyzed 200 published studies of adults in which every device in the study population was prospectively evaluated for evidence of associated infection and microbiologically based criteria were used to define IVD-related BSI.&lt;/p&gt;&lt;h3&gt;METHODS&lt;/h3&gt;&lt;p&gt;English-language reports of prospective studies of adults published between January 1, 1966, and July 1, 2005, were identified by MEDLINE search using the following general search strategy: bacteremia [Medical Subject Heading, MeSH] OR septicemia [MeSH] OR bloodstream infection AND the specific type of intravascular device (eg, central venous port). Mean rates of IVD-related BSI were calculated from pooled data for each type of device and expressed as BSIs per 100 IVDs (%) and per 1000 IVD days.&lt;/p&gt;&lt;h3&gt;RESULTS&lt;/h3&gt;&lt;p&gt;Point incidence rates of IVD-related BSI were lowest with peripheral intravenous catheters (0.1%, 0.5 per 1000 IVD-days) and midline catheters (0.4%, 0.2 per 1000 catheter-days). Far higher rates were seen with short-term noncuffed and nonmedicated central venous catheters (CVCs) (4.4%, 2.7 per 1000 catheter-days). Arterial catheters used for hemodynamic monitoring (0.8%, 1.7 per 1000 catheter-days) and peripherally inserted central catheters used in hospitalized patients (2.4%, 2.1 per 1000 catheter-days) posed risks approaching those seen with short-term conventional CVCs used in the intensive care unit. Surgically implanted long-term central venous devices—cuffed and tunneled catheters (22.5%, 1.6 per 1000 IVD-days) and central venous ports (3.6%, 0.1 per 1000 IVD-days)—appear to have high rates of infection when risk is expressed as BSIs per 100 IVDs but actually pose much lower risk when rates are expressed per 1000 IVD-days. The use of cuffed and tunneled dual lumen CVCs rather than noncuffed, nontunneled catheters for temporary hemodialysis and novel preventive technologies, such as CVCs with anti-infective surfaces, was associated with considerably lower rates of catheter-related BSI.&lt;/p&gt;&lt;h3&gt;CONCLUSIONS&lt;/h3&gt;&lt;p&gt;Expressing risk of IVD-related BSI per 1000 IVD-days rather than BSIs per 100 IVDs allows for more meaningful estimates of risk. These data, based on prospective studies in which every IVD in the study cohort was analyzed for evidence of infection by microbiologically based criteria, show that &lt;i&gt;all&lt;/i&gt; types o…","author":[{"dropping-particle":"","family":"Maki","given":"Dennis G.","non-dropping-particle":"","parse-names":false,"suffix":""},{"dropping-particle":"","family":"Kluger","given":"Daniel M.","non-dropping-particle":"","parse-names":false,"suffix":""},{"dropping-particle":"","family":"Crnich","given":"Christopher J.","non-dropping-particle":"","parse-names":false,"suffix":""}],"container-title":"Mayo Clinic Proceedings","id":"ITEM-1","issue":"9","issued":{"date-parts":[["2006","9"]]},"page":"1159-1171","publisher":"Elsevier","title":"The Risk of Bloodstream Infection in Adults With Different Intravascular Devices: A Systematic Review of 200 Published Prospective Studies","type":"article-journal","volume":"81"},"uris":["http://www.mendeley.com/documents/?uuid=f5c4baf8-7e14-301a-815e-3dfe468d40e4","http://www.mendeley.com/documents/?uuid=3cd9be52-e3e0-46b8-abdf-c9f0acf4135d"]}],"mendeley":{"formattedCitation":"[150]","plainTextFormattedCitation":"[150]","previouslyFormattedCitation":"[150]"},"properties":{"noteIndex":0},"schema":"https://github.com/citation-style-language/schema/raw/master/csl-citation.json"}</w:instrText>
      </w:r>
      <w:r w:rsidRPr="00952000">
        <w:rPr>
          <w:rFonts w:eastAsia="Times New Roman" w:cs="Times New Roman"/>
          <w:szCs w:val="24"/>
          <w:lang w:eastAsia="ru-RU"/>
        </w:rPr>
        <w:fldChar w:fldCharType="separate"/>
      </w:r>
      <w:r w:rsidR="004F33C9" w:rsidRPr="004F33C9">
        <w:rPr>
          <w:rFonts w:eastAsia="Times New Roman" w:cs="Times New Roman"/>
          <w:noProof/>
          <w:szCs w:val="24"/>
          <w:lang w:eastAsia="ru-RU"/>
        </w:rPr>
        <w:t>[150]</w:t>
      </w:r>
      <w:r w:rsidRPr="00952000">
        <w:rPr>
          <w:rFonts w:eastAsia="Times New Roman" w:cs="Times New Roman"/>
          <w:szCs w:val="24"/>
          <w:lang w:eastAsia="ru-RU"/>
        </w:rPr>
        <w:fldChar w:fldCharType="end"/>
      </w:r>
      <w:r w:rsidRPr="00952000">
        <w:rPr>
          <w:rFonts w:eastAsia="Times New Roman" w:cs="Times New Roman"/>
          <w:szCs w:val="24"/>
          <w:lang w:eastAsia="ru-RU"/>
        </w:rPr>
        <w:t xml:space="preserve">. </w:t>
      </w:r>
    </w:p>
    <w:p w14:paraId="3AB64876" w14:textId="77777777" w:rsidR="000155C0" w:rsidRPr="00952000" w:rsidRDefault="000155C0" w:rsidP="000155C0">
      <w:pPr>
        <w:ind w:firstLine="708"/>
        <w:rPr>
          <w:rFonts w:eastAsia="Times New Roman" w:cs="Times New Roman"/>
          <w:szCs w:val="24"/>
          <w:lang w:eastAsia="ru-RU"/>
        </w:rPr>
      </w:pPr>
      <w:r w:rsidRPr="00952000">
        <w:rPr>
          <w:rFonts w:eastAsia="Times New Roman" w:cs="Times New Roman"/>
          <w:szCs w:val="24"/>
          <w:lang w:eastAsia="ru-RU"/>
        </w:rPr>
        <w:t xml:space="preserve">В настоящее время существует множество модификаций порт-систем, в т.ч. МРТ совместимые модификации и изделия, обладающие высокой пропускной способностью, позволяющие проводить введение контрастных веществ с использованием автоматических устройств. </w:t>
      </w:r>
    </w:p>
    <w:p w14:paraId="7E06AB9C" w14:textId="77777777" w:rsidR="000155C0" w:rsidRPr="00952000" w:rsidRDefault="000155C0" w:rsidP="000155C0">
      <w:pPr>
        <w:ind w:firstLine="708"/>
        <w:rPr>
          <w:rFonts w:eastAsia="Times New Roman" w:cs="Times New Roman"/>
          <w:i/>
          <w:szCs w:val="24"/>
          <w:lang w:eastAsia="ru-RU"/>
        </w:rPr>
      </w:pPr>
      <w:r w:rsidRPr="00952000">
        <w:rPr>
          <w:rFonts w:eastAsia="Times New Roman" w:cs="Times New Roman"/>
          <w:i/>
          <w:szCs w:val="24"/>
          <w:lang w:eastAsia="ru-RU"/>
        </w:rPr>
        <w:t>Периферически имплантируемые центральные венозные катетеры.</w:t>
      </w:r>
    </w:p>
    <w:p w14:paraId="60F26A38" w14:textId="08EB80F2" w:rsidR="000155C0" w:rsidRPr="00952000" w:rsidRDefault="000155C0" w:rsidP="000155C0">
      <w:pPr>
        <w:ind w:firstLine="708"/>
        <w:rPr>
          <w:rFonts w:eastAsia="Times New Roman" w:cs="Times New Roman"/>
          <w:szCs w:val="24"/>
          <w:lang w:eastAsia="ru-RU"/>
        </w:rPr>
      </w:pPr>
      <w:r w:rsidRPr="00952000">
        <w:rPr>
          <w:rFonts w:eastAsia="Times New Roman" w:cs="Times New Roman"/>
          <w:szCs w:val="24"/>
          <w:lang w:eastAsia="ru-RU"/>
        </w:rPr>
        <w:t>Периферически имплантируемые центральные венозные катетеры (ПИЦВК) – это катетеры для долговременного центрального венозного доступа, которые устанавливают через одну из периферических вен руки в центральную вену. ПИЦВК изготавливаются из силикона или полиуретана, они могут быть одно-, двух- и трехпросветными, их диаметр различный, от 3 Fr до 7 Fr. ПИЦВК используют для проведения терапии</w:t>
      </w:r>
      <w:r>
        <w:rPr>
          <w:rFonts w:eastAsia="Times New Roman" w:cs="Times New Roman"/>
          <w:szCs w:val="24"/>
          <w:lang w:eastAsia="ru-RU"/>
        </w:rPr>
        <w:t xml:space="preserve"> </w:t>
      </w:r>
      <w:r w:rsidRPr="00952000">
        <w:rPr>
          <w:rFonts w:eastAsia="Times New Roman" w:cs="Times New Roman"/>
          <w:szCs w:val="24"/>
          <w:lang w:eastAsia="ru-RU"/>
        </w:rPr>
        <w:t xml:space="preserve">(химиотерапия, гемостатическая терапия и т.д.), в среднем, от 6 мес. до 1 года и рассматривают как вариант центрального венозного доступа, который может использоваться как в стационарных, так и в амбулаторных условиях, как ежедневно, так и периодически, обеспечивая пациенту безопасность и комфорт </w:t>
      </w:r>
      <w:r w:rsidRPr="00952000">
        <w:rPr>
          <w:rFonts w:eastAsia="Times New Roman" w:cs="Times New Roman"/>
          <w:szCs w:val="24"/>
          <w:lang w:eastAsia="ru-RU"/>
        </w:rPr>
        <w:fldChar w:fldCharType="begin" w:fldLock="1"/>
      </w:r>
      <w:r w:rsidR="004810E5">
        <w:rPr>
          <w:rFonts w:eastAsia="Times New Roman" w:cs="Times New Roman"/>
          <w:szCs w:val="24"/>
          <w:lang w:eastAsia="ru-RU"/>
        </w:rPr>
        <w:instrText>ADDIN CSL_CITATION {"citationItems":[{"id":"ITEM-1","itemData":{"DOI":"10.1002/9780470750186","ISBN":"9780470750186","author":[{"dropping-particle":"","family":"Hamilton","given":"Helen","non-dropping-particle":"","parse-names":false,"suffix":""}],"editor":[{"dropping-particle":"","family":"Bodenham","given":"Andrew R.","non-dropping-particle":"","parse-names":false,"suffix":""}],"id":"ITEM-1","issued":{"date-parts":[["2009","2"]]},"publisher":"Wiley-Blackwell","publisher-place":"Oxford, UK","title":"Central Venous Catheters","type":"book"},"uris":["http://www.mendeley.com/documents/?uuid=e2be4192-4b13-32c7-ac3a-c1ee92dec830","http://www.mendeley.com/documents/?uuid=e9419574-fa82-44c8-8d1a-190e223d334b"]}],"mendeley":{"formattedCitation":"[151]","plainTextFormattedCitation":"[151]","previouslyFormattedCitation":"[151]"},"properties":{"noteIndex":0},"schema":"https://github.com/citation-style-language/schema/raw/master/csl-citation.json"}</w:instrText>
      </w:r>
      <w:r w:rsidRPr="00952000">
        <w:rPr>
          <w:rFonts w:eastAsia="Times New Roman" w:cs="Times New Roman"/>
          <w:szCs w:val="24"/>
          <w:lang w:eastAsia="ru-RU"/>
        </w:rPr>
        <w:fldChar w:fldCharType="separate"/>
      </w:r>
      <w:r w:rsidR="004F33C9" w:rsidRPr="004F33C9">
        <w:rPr>
          <w:rFonts w:eastAsia="Times New Roman" w:cs="Times New Roman"/>
          <w:noProof/>
          <w:szCs w:val="24"/>
          <w:lang w:eastAsia="ru-RU"/>
        </w:rPr>
        <w:t>[151]</w:t>
      </w:r>
      <w:r w:rsidRPr="00952000">
        <w:rPr>
          <w:rFonts w:eastAsia="Times New Roman" w:cs="Times New Roman"/>
          <w:szCs w:val="24"/>
          <w:lang w:eastAsia="ru-RU"/>
        </w:rPr>
        <w:fldChar w:fldCharType="end"/>
      </w:r>
      <w:r w:rsidRPr="00952000">
        <w:rPr>
          <w:rFonts w:eastAsia="Times New Roman" w:cs="Times New Roman"/>
          <w:szCs w:val="24"/>
          <w:lang w:eastAsia="ru-RU"/>
        </w:rPr>
        <w:fldChar w:fldCharType="begin" w:fldLock="1"/>
      </w:r>
      <w:r w:rsidR="004810E5">
        <w:rPr>
          <w:rFonts w:eastAsia="Times New Roman" w:cs="Times New Roman"/>
          <w:szCs w:val="24"/>
          <w:lang w:val="en-US" w:eastAsia="ru-RU"/>
        </w:rPr>
        <w:instrText>ADDIN CSL_CITATION {"citationItems":[{"id":"ITEM-1","itemData":{"DOI":"10.1007/978-88-470-5665-7_1","author":[{"dropping-particle":"","family":"Biffi","given":"Roberto","non-dropping-particle":"","parse-names":false,"suffix":""}],"container-title":"Peripherally Inserted Central Venous Catheters","id":"ITEM-1","issued":{"date-parts":[["2014"]]},"page":"1-6","publisher":"Springer Milan","publisher-place":"Milano","title":"Introduction and Overview of PICC History","type":"chapter"},"uris":["http://www.mendeley.com/documents/?uuid=7dba9d59-13c1-354f-9c32-ced4c0b75a01","http://www.mendeley.com/documents/?uuid=575e509f-3cbc-47da-b3dc-996cea404095"]}],"mendeley":{"formattedCitation":"[152]","plainTextFormattedCitation":"[152]","previouslyFormattedCitation":"[152]"},"properties":{"noteIndex":0},"schema":"https://github.com/citation-style-language/schema/raw/master/csl-citation.json"}</w:instrText>
      </w:r>
      <w:r w:rsidRPr="00952000">
        <w:rPr>
          <w:rFonts w:eastAsia="Times New Roman" w:cs="Times New Roman"/>
          <w:szCs w:val="24"/>
          <w:lang w:eastAsia="ru-RU"/>
        </w:rPr>
        <w:fldChar w:fldCharType="separate"/>
      </w:r>
      <w:r w:rsidR="004F33C9" w:rsidRPr="004F33C9">
        <w:rPr>
          <w:rFonts w:eastAsia="Times New Roman" w:cs="Times New Roman"/>
          <w:noProof/>
          <w:szCs w:val="24"/>
          <w:lang w:eastAsia="ru-RU"/>
        </w:rPr>
        <w:t>[152]</w:t>
      </w:r>
      <w:r w:rsidRPr="00952000">
        <w:rPr>
          <w:rFonts w:eastAsia="Times New Roman" w:cs="Times New Roman"/>
          <w:szCs w:val="24"/>
          <w:lang w:eastAsia="ru-RU"/>
        </w:rPr>
        <w:fldChar w:fldCharType="end"/>
      </w:r>
      <w:r w:rsidRPr="00952000">
        <w:rPr>
          <w:rFonts w:eastAsia="Times New Roman" w:cs="Times New Roman"/>
          <w:szCs w:val="24"/>
          <w:lang w:eastAsia="ru-RU"/>
        </w:rPr>
        <w:t>. ПИЦВК имеют ряд преимуществ перед обычными ЦВК. При их установке исключен риск пневмоторакса и гемоторакса, пациенты отмечают больший комфорт, иногда предпочитают по косметическим причинам. Важным преимуществом ПИЦВК является и меньшее количество инфекционных осложнений. ПИЦВК практически незаменимы при наличии выраженного геморрагического синдрома.</w:t>
      </w:r>
    </w:p>
    <w:p w14:paraId="4EE1CB92" w14:textId="77777777" w:rsidR="000155C0" w:rsidRPr="00952000" w:rsidRDefault="000155C0" w:rsidP="000155C0">
      <w:pPr>
        <w:ind w:firstLine="708"/>
        <w:rPr>
          <w:rFonts w:eastAsia="Times New Roman" w:cs="Times New Roman"/>
          <w:i/>
          <w:szCs w:val="24"/>
          <w:lang w:eastAsia="ru-RU"/>
        </w:rPr>
      </w:pPr>
      <w:r w:rsidRPr="00952000">
        <w:rPr>
          <w:rFonts w:eastAsia="Times New Roman" w:cs="Times New Roman"/>
          <w:i/>
          <w:szCs w:val="24"/>
          <w:lang w:eastAsia="ru-RU"/>
        </w:rPr>
        <w:t>Диализные катетеры.</w:t>
      </w:r>
    </w:p>
    <w:p w14:paraId="474B8917" w14:textId="77777777" w:rsidR="000155C0" w:rsidRPr="00952000" w:rsidRDefault="000155C0" w:rsidP="000155C0">
      <w:pPr>
        <w:ind w:firstLine="700"/>
        <w:rPr>
          <w:rFonts w:cs="Times New Roman"/>
          <w:szCs w:val="24"/>
        </w:rPr>
      </w:pPr>
      <w:r w:rsidRPr="00952000">
        <w:rPr>
          <w:rFonts w:eastAsia="Times New Roman" w:cs="Times New Roman"/>
          <w:szCs w:val="24"/>
          <w:lang w:eastAsia="ru-RU"/>
        </w:rPr>
        <w:t xml:space="preserve">Отдельное место занимают так называемые диализные катетеры, то есть катетеры, которые используются для проведения заместительной почечной терапии, а также процедур плазмафереза и лейкоцитафереза, сбора гемопоэтических стволовых клеток. Связано это с большим диаметром катетера, а также особенностями строения дистального конца катетера. </w:t>
      </w:r>
      <w:r w:rsidRPr="00952000">
        <w:rPr>
          <w:rFonts w:cs="Times New Roman"/>
          <w:szCs w:val="24"/>
        </w:rPr>
        <w:t>Они устанавливаются на время формирования (“созревания”) фистулы или протеза у больных с хронической почечной недостаточностью, нуждающихся в программном гемодиализе или в качестве единственного сосудистого доступа при наличии тяжелой сердечной недостаточности.</w:t>
      </w:r>
    </w:p>
    <w:p w14:paraId="37D70428" w14:textId="77777777" w:rsidR="000155C0" w:rsidRPr="00781F82" w:rsidRDefault="000155C0" w:rsidP="000155C0">
      <w:pPr>
        <w:rPr>
          <w:rFonts w:cs="Times New Roman"/>
          <w:i/>
          <w:iCs/>
          <w:szCs w:val="24"/>
          <w:u w:val="single"/>
        </w:rPr>
      </w:pPr>
      <w:r w:rsidRPr="00781F82">
        <w:rPr>
          <w:rFonts w:cs="Times New Roman"/>
          <w:i/>
          <w:iCs/>
          <w:szCs w:val="24"/>
          <w:u w:val="single"/>
        </w:rPr>
        <w:t>Осложнения</w:t>
      </w:r>
      <w:r w:rsidRPr="00781F82">
        <w:rPr>
          <w:rFonts w:eastAsia="Times New Roman" w:cs="Times New Roman"/>
          <w:i/>
          <w:iCs/>
          <w:szCs w:val="24"/>
          <w:u w:val="single"/>
          <w:lang w:eastAsia="ru-RU"/>
        </w:rPr>
        <w:t xml:space="preserve"> катетеризации центральных вен</w:t>
      </w:r>
    </w:p>
    <w:p w14:paraId="4EC75357" w14:textId="77777777" w:rsidR="000155C0" w:rsidRPr="00952000" w:rsidRDefault="000155C0" w:rsidP="000155C0">
      <w:pPr>
        <w:rPr>
          <w:rFonts w:eastAsia="Times New Roman" w:cs="Times New Roman"/>
          <w:szCs w:val="24"/>
          <w:lang w:eastAsia="ru-RU"/>
        </w:rPr>
      </w:pPr>
      <w:r w:rsidRPr="00952000">
        <w:rPr>
          <w:rFonts w:eastAsia="Times New Roman" w:cs="Times New Roman"/>
          <w:i/>
          <w:szCs w:val="24"/>
          <w:lang w:eastAsia="ru-RU"/>
        </w:rPr>
        <w:t>К ранним осложнениям</w:t>
      </w:r>
      <w:r w:rsidRPr="00952000">
        <w:rPr>
          <w:rFonts w:eastAsia="Times New Roman" w:cs="Times New Roman"/>
          <w:szCs w:val="24"/>
          <w:lang w:eastAsia="ru-RU"/>
        </w:rPr>
        <w:t xml:space="preserve"> относят возникшие во время проведения манипуляции:</w:t>
      </w:r>
    </w:p>
    <w:p w14:paraId="4FD4FE28" w14:textId="77777777" w:rsidR="000155C0" w:rsidRPr="00952000" w:rsidRDefault="000155C0" w:rsidP="000155C0">
      <w:pPr>
        <w:pStyle w:val="afe"/>
        <w:numPr>
          <w:ilvl w:val="0"/>
          <w:numId w:val="130"/>
        </w:numPr>
        <w:ind w:left="993" w:hanging="284"/>
        <w:rPr>
          <w:rFonts w:eastAsia="Times New Roman" w:cs="Times New Roman"/>
          <w:szCs w:val="24"/>
          <w:lang w:eastAsia="ru-RU"/>
        </w:rPr>
      </w:pPr>
      <w:r w:rsidRPr="00952000">
        <w:rPr>
          <w:rFonts w:eastAsia="Times New Roman" w:cs="Times New Roman"/>
          <w:szCs w:val="24"/>
          <w:lang w:eastAsia="ru-RU"/>
        </w:rPr>
        <w:t xml:space="preserve">ранение магистральных артерий, </w:t>
      </w:r>
    </w:p>
    <w:p w14:paraId="39271E4C" w14:textId="77777777" w:rsidR="000155C0" w:rsidRPr="00952000" w:rsidRDefault="000155C0" w:rsidP="000155C0">
      <w:pPr>
        <w:pStyle w:val="afe"/>
        <w:numPr>
          <w:ilvl w:val="0"/>
          <w:numId w:val="130"/>
        </w:numPr>
        <w:ind w:left="993" w:hanging="284"/>
        <w:rPr>
          <w:rFonts w:eastAsia="Times New Roman" w:cs="Times New Roman"/>
          <w:szCs w:val="24"/>
          <w:lang w:eastAsia="ru-RU"/>
        </w:rPr>
      </w:pPr>
      <w:r w:rsidRPr="00952000">
        <w:rPr>
          <w:rFonts w:eastAsia="Times New Roman" w:cs="Times New Roman"/>
          <w:szCs w:val="24"/>
          <w:lang w:eastAsia="ru-RU"/>
        </w:rPr>
        <w:t>развитие гематомы в месте пункции сосуда</w:t>
      </w:r>
    </w:p>
    <w:p w14:paraId="2CC21450" w14:textId="77777777" w:rsidR="000155C0" w:rsidRPr="00952000" w:rsidRDefault="000155C0" w:rsidP="000155C0">
      <w:pPr>
        <w:pStyle w:val="afe"/>
        <w:numPr>
          <w:ilvl w:val="0"/>
          <w:numId w:val="130"/>
        </w:numPr>
        <w:ind w:left="993" w:hanging="284"/>
        <w:rPr>
          <w:rFonts w:eastAsia="Times New Roman" w:cs="Times New Roman"/>
          <w:szCs w:val="24"/>
          <w:lang w:eastAsia="ru-RU"/>
        </w:rPr>
      </w:pPr>
      <w:r w:rsidRPr="00952000">
        <w:rPr>
          <w:rFonts w:eastAsia="Times New Roman" w:cs="Times New Roman"/>
          <w:szCs w:val="24"/>
          <w:lang w:eastAsia="ru-RU"/>
        </w:rPr>
        <w:t xml:space="preserve">развитие пневмоторакса, гемоторакса, </w:t>
      </w:r>
    </w:p>
    <w:p w14:paraId="2C921E93" w14:textId="77777777" w:rsidR="000155C0" w:rsidRPr="00952000" w:rsidRDefault="000155C0" w:rsidP="000155C0">
      <w:pPr>
        <w:pStyle w:val="afe"/>
        <w:numPr>
          <w:ilvl w:val="0"/>
          <w:numId w:val="130"/>
        </w:numPr>
        <w:ind w:left="993" w:hanging="284"/>
        <w:rPr>
          <w:rFonts w:eastAsia="Times New Roman" w:cs="Times New Roman"/>
          <w:szCs w:val="24"/>
          <w:lang w:eastAsia="ru-RU"/>
        </w:rPr>
      </w:pPr>
      <w:r w:rsidRPr="00952000">
        <w:rPr>
          <w:rFonts w:eastAsia="Times New Roman" w:cs="Times New Roman"/>
          <w:szCs w:val="24"/>
          <w:lang w:eastAsia="ru-RU"/>
        </w:rPr>
        <w:t xml:space="preserve">ранение грудного лимфатического протока, </w:t>
      </w:r>
    </w:p>
    <w:p w14:paraId="7CABBB40" w14:textId="77777777" w:rsidR="000155C0" w:rsidRPr="00952000" w:rsidRDefault="000155C0" w:rsidP="000155C0">
      <w:pPr>
        <w:pStyle w:val="afe"/>
        <w:numPr>
          <w:ilvl w:val="0"/>
          <w:numId w:val="130"/>
        </w:numPr>
        <w:ind w:left="993" w:hanging="284"/>
        <w:rPr>
          <w:rFonts w:eastAsia="Times New Roman" w:cs="Times New Roman"/>
          <w:szCs w:val="24"/>
          <w:lang w:eastAsia="ru-RU"/>
        </w:rPr>
      </w:pPr>
      <w:r w:rsidRPr="00952000">
        <w:rPr>
          <w:rFonts w:eastAsia="Times New Roman" w:cs="Times New Roman"/>
          <w:szCs w:val="24"/>
          <w:lang w:eastAsia="ru-RU"/>
        </w:rPr>
        <w:t xml:space="preserve">повреждение нервных сплетений, </w:t>
      </w:r>
    </w:p>
    <w:p w14:paraId="633B7BE3" w14:textId="77777777" w:rsidR="000155C0" w:rsidRPr="00952000" w:rsidRDefault="000155C0" w:rsidP="000155C0">
      <w:pPr>
        <w:pStyle w:val="afe"/>
        <w:numPr>
          <w:ilvl w:val="0"/>
          <w:numId w:val="130"/>
        </w:numPr>
        <w:ind w:left="993" w:hanging="284"/>
        <w:rPr>
          <w:rFonts w:eastAsia="Times New Roman" w:cs="Times New Roman"/>
          <w:szCs w:val="24"/>
          <w:lang w:eastAsia="ru-RU"/>
        </w:rPr>
      </w:pPr>
      <w:r w:rsidRPr="00952000">
        <w:rPr>
          <w:rFonts w:eastAsia="Times New Roman" w:cs="Times New Roman"/>
          <w:szCs w:val="24"/>
          <w:lang w:eastAsia="ru-RU"/>
        </w:rPr>
        <w:t>неправильная установка катетера</w:t>
      </w:r>
    </w:p>
    <w:p w14:paraId="7C0C9432" w14:textId="77777777" w:rsidR="000155C0" w:rsidRPr="00952000" w:rsidRDefault="000155C0" w:rsidP="000155C0">
      <w:pPr>
        <w:rPr>
          <w:rFonts w:cs="Times New Roman"/>
          <w:szCs w:val="24"/>
        </w:rPr>
      </w:pPr>
      <w:r w:rsidRPr="00952000">
        <w:rPr>
          <w:rFonts w:cs="Times New Roman"/>
          <w:i/>
          <w:iCs/>
          <w:szCs w:val="24"/>
        </w:rPr>
        <w:t>Поздние осложнения</w:t>
      </w:r>
      <w:r>
        <w:rPr>
          <w:rFonts w:cs="Times New Roman"/>
          <w:i/>
          <w:iCs/>
          <w:szCs w:val="24"/>
        </w:rPr>
        <w:t>,</w:t>
      </w:r>
      <w:r w:rsidRPr="00952000">
        <w:rPr>
          <w:rFonts w:cs="Times New Roman"/>
          <w:szCs w:val="24"/>
        </w:rPr>
        <w:t xml:space="preserve"> возникающие во время или после эксплуатации катетера</w:t>
      </w:r>
      <w:r>
        <w:rPr>
          <w:rFonts w:cs="Times New Roman"/>
          <w:szCs w:val="24"/>
        </w:rPr>
        <w:t>,</w:t>
      </w:r>
      <w:r w:rsidRPr="00952000">
        <w:rPr>
          <w:rFonts w:cs="Times New Roman"/>
          <w:szCs w:val="24"/>
        </w:rPr>
        <w:t xml:space="preserve"> бывают тромботическими, стенотическими и инфекционными.</w:t>
      </w:r>
    </w:p>
    <w:p w14:paraId="099E2F1D" w14:textId="77777777" w:rsidR="000155C0" w:rsidRPr="00952000" w:rsidRDefault="000155C0" w:rsidP="000155C0">
      <w:pPr>
        <w:ind w:firstLine="708"/>
        <w:rPr>
          <w:rFonts w:cs="Times New Roman"/>
          <w:szCs w:val="24"/>
        </w:rPr>
      </w:pPr>
      <w:r w:rsidRPr="00952000">
        <w:rPr>
          <w:rFonts w:cs="Times New Roman"/>
          <w:szCs w:val="24"/>
        </w:rPr>
        <w:t>Под катетер-ассоциированным тромбозом (</w:t>
      </w:r>
      <w:r w:rsidRPr="00952000">
        <w:rPr>
          <w:rFonts w:cs="Times New Roman"/>
          <w:i/>
          <w:szCs w:val="24"/>
        </w:rPr>
        <w:t xml:space="preserve">КАТ) </w:t>
      </w:r>
      <w:r w:rsidRPr="00952000">
        <w:rPr>
          <w:rFonts w:cs="Times New Roman"/>
          <w:szCs w:val="24"/>
        </w:rPr>
        <w:t xml:space="preserve">понимают сочетание клинических и инструментальных признаков тромбоза. </w:t>
      </w:r>
    </w:p>
    <w:p w14:paraId="14822336" w14:textId="77777777" w:rsidR="000155C0" w:rsidRPr="00952000" w:rsidRDefault="000155C0" w:rsidP="000155C0">
      <w:pPr>
        <w:pStyle w:val="afe"/>
        <w:numPr>
          <w:ilvl w:val="0"/>
          <w:numId w:val="134"/>
        </w:numPr>
        <w:ind w:left="0" w:firstLine="349"/>
        <w:rPr>
          <w:rFonts w:cs="Times New Roman"/>
          <w:szCs w:val="24"/>
        </w:rPr>
      </w:pPr>
      <w:r w:rsidRPr="00952000">
        <w:rPr>
          <w:rFonts w:cs="Times New Roman"/>
          <w:szCs w:val="24"/>
        </w:rPr>
        <w:t xml:space="preserve">Клинические признаки: гиперемия кожи, отек подкожной клетчатки и боль, усиление подкожного сосудистого рисунка на стороне установки катетера, нарушение проходимости катетера, истечение жидкости по каналу катетера при проведении инфузии. </w:t>
      </w:r>
    </w:p>
    <w:p w14:paraId="5F8D8085" w14:textId="77777777" w:rsidR="000155C0" w:rsidRPr="00952000" w:rsidRDefault="000155C0" w:rsidP="000155C0">
      <w:pPr>
        <w:pStyle w:val="afe"/>
        <w:numPr>
          <w:ilvl w:val="0"/>
          <w:numId w:val="134"/>
        </w:numPr>
        <w:ind w:left="0" w:firstLine="349"/>
        <w:rPr>
          <w:rFonts w:cs="Times New Roman"/>
          <w:szCs w:val="24"/>
        </w:rPr>
      </w:pPr>
      <w:r w:rsidRPr="00952000">
        <w:rPr>
          <w:rFonts w:cs="Times New Roman"/>
          <w:szCs w:val="24"/>
        </w:rPr>
        <w:t xml:space="preserve">Инструментальные признаки: выявление при </w:t>
      </w:r>
      <w:r w:rsidRPr="00952000">
        <w:rPr>
          <w:rFonts w:cs="Times New Roman"/>
          <w:i/>
          <w:szCs w:val="24"/>
        </w:rPr>
        <w:t>УЗИ</w:t>
      </w:r>
      <w:r w:rsidRPr="00952000">
        <w:rPr>
          <w:rFonts w:cs="Times New Roman"/>
          <w:szCs w:val="24"/>
        </w:rPr>
        <w:t xml:space="preserve"> гиперэхогенного образования в месте установки катетера, полностью или частично перекрывающего просвет сосуда, препятствующее смыканию стенок вен при компрессии датчиком, полное или частичное отсутствие кровотока при УЗИ в допплеровском режиме, появление турбулентного тока крови; дефекты контрастирования сосудов при </w:t>
      </w:r>
      <w:r w:rsidRPr="00952000">
        <w:rPr>
          <w:rFonts w:cs="Times New Roman"/>
          <w:i/>
          <w:szCs w:val="24"/>
        </w:rPr>
        <w:t>КТ-ангиографии или прямой ангиографии</w:t>
      </w:r>
      <w:r w:rsidRPr="00952000">
        <w:rPr>
          <w:rFonts w:cs="Times New Roman"/>
          <w:szCs w:val="24"/>
        </w:rPr>
        <w:t>.</w:t>
      </w:r>
    </w:p>
    <w:p w14:paraId="5288471B" w14:textId="77777777" w:rsidR="000155C0" w:rsidRPr="00952000" w:rsidRDefault="000155C0" w:rsidP="000155C0">
      <w:pPr>
        <w:pStyle w:val="afd"/>
      </w:pPr>
      <w:r w:rsidRPr="00952000">
        <w:t xml:space="preserve">Тромботические осложнения, ассоциированные с ЦВК, можно разделить на три вида: </w:t>
      </w:r>
    </w:p>
    <w:p w14:paraId="511CBA03" w14:textId="77777777" w:rsidR="000155C0" w:rsidRPr="00952000" w:rsidRDefault="000155C0" w:rsidP="000155C0">
      <w:pPr>
        <w:pStyle w:val="afd"/>
        <w:numPr>
          <w:ilvl w:val="0"/>
          <w:numId w:val="131"/>
        </w:numPr>
        <w:spacing w:beforeAutospacing="0" w:afterAutospacing="0" w:line="360" w:lineRule="auto"/>
      </w:pPr>
      <w:r w:rsidRPr="00952000">
        <w:t xml:space="preserve">«фибриновый чехол», </w:t>
      </w:r>
    </w:p>
    <w:p w14:paraId="5618F1CF" w14:textId="77777777" w:rsidR="000155C0" w:rsidRPr="00952000" w:rsidRDefault="000155C0" w:rsidP="000155C0">
      <w:pPr>
        <w:pStyle w:val="afd"/>
        <w:numPr>
          <w:ilvl w:val="0"/>
          <w:numId w:val="131"/>
        </w:numPr>
        <w:spacing w:beforeAutospacing="0" w:afterAutospacing="0" w:line="360" w:lineRule="auto"/>
      </w:pPr>
      <w:r w:rsidRPr="00952000">
        <w:t>обструкция катетера</w:t>
      </w:r>
    </w:p>
    <w:p w14:paraId="1601818C" w14:textId="77777777" w:rsidR="000155C0" w:rsidRPr="00952000" w:rsidRDefault="000155C0" w:rsidP="000155C0">
      <w:pPr>
        <w:pStyle w:val="afd"/>
        <w:numPr>
          <w:ilvl w:val="0"/>
          <w:numId w:val="131"/>
        </w:numPr>
        <w:spacing w:beforeAutospacing="0" w:afterAutospacing="0" w:line="360" w:lineRule="auto"/>
      </w:pPr>
      <w:r w:rsidRPr="00952000">
        <w:t>пристеночный или обтурирующий внутрисосудистый тромбоз.</w:t>
      </w:r>
    </w:p>
    <w:p w14:paraId="52D38830" w14:textId="4AD51969" w:rsidR="000155C0" w:rsidRPr="00952000" w:rsidRDefault="000155C0" w:rsidP="000155C0">
      <w:pPr>
        <w:pStyle w:val="afd"/>
      </w:pPr>
      <w:r w:rsidRPr="00952000">
        <w:t xml:space="preserve">Бессимптомные КАТ более распространены, но их клиническое значение не ясно. Частота выявления КАТ колеблется, по разным данным, от 5% до 12-14% </w:t>
      </w:r>
      <w:r w:rsidRPr="00952000">
        <w:fldChar w:fldCharType="begin" w:fldLock="1"/>
      </w:r>
      <w:r w:rsidR="004810E5">
        <w:instrText>ADDIN CSL_CITATION {"citationItems":[{"id":"ITEM-1","itemData":{"ISSN":"1540-1405","PMID":"17020667","abstract":"Symptomatic thromboembolic complications of central venous catheters (CVCs) occur in 5% or less of general oncology patients. Asymptomatic CVC-related thrombi are more common, but their clinical significance is unclear. Thrombotic risk may be increased by primary thrombophilic disorders, especially the factor V G1691A (Leiden) mutation, thrombogenic catheter material, larger catheter diameter and greater number of lumens, catheter tip malposition, left-sided placement, percutaneous or multiple insertion attempts, a previous CVC or preexisting venous obstruction, prothrombotic therapeutic agents, catheter-associated infections, and fibrinous catheter lumen occlusion. Three recent randomized, prospective, placebo-controlled trials observed no benefit of routine low-dose warfarin or low-molecular-weight heparin in preventing catheter-associated thrombosis. Nevertheless, thromboprophylaxis may be appropriate and safe for selected high-risk patients. Duplex ultrasound can accurately detect CVC-related thrombi involving the jugular, axillary, distal subclavian, and arm veins. Contrast venographic imaging is required for indeterminate duplex findings and to evaluate the deep central veins and pulmonary arteries. Therapeutic anticoagulation, with or without catheter removal, is indicated for patients with acute deep vein thrombosis (DVT) or pulmonary embolism who have no contraindications. Catheter removal alone, with close follow-up, may be sufficient when bleeding risk precludes safe anticoagulation. Approaches to managing catheter-associated thrombosis, including the use of thrombolytic agents, are guided by limited published experience and extrapolation from practices used for lower-extremity DVT. Prospective, randomized, controlled trials are needed to identify the safest and most effective anticoagulant agents, treatment durations, and alternative venous access strategies for cancer patients who develop catheter-associated thrombosis.","author":[{"dropping-particle":"","family":"Linenberger","given":"Michael L","non-dropping-particle":"","parse-names":false,"suffix":""}],"container-title":"Journal of the National Comprehensive Cancer Network : JNCCN","id":"ITEM-1","issue":"9","issued":{"date-parts":[["2006","10"]]},"page":"889-901","title":"Catheter-related thrombosis: risks, diagnosis, and management.","type":"article-journal","volume":"4"},"uris":["http://www.mendeley.com/documents/?uuid=fd996227-febf-46f9-8b4a-37c976acd280"]},{"id":"ITEM-2","itemData":{"DOI":"10.1111/j.1538-7836.2012.04817.x","abstract":"Central venous catheters are extensively used in patients with cancer to secure delivery of chemotherapy and facilitate phlebotomy. Unfortunately, considerable morbidity can result from early complications or late sequelae, ranging from arterial puncture, pneumothorax and bloodstream infections to catheter-related thrombosis (CRT). Contempo-rary studies have shown that the incidence of symptomatic CRT is 5%, whereas the incidence of asymptomatic CRT is higher, at 14–18%. The significance and mechanisms of catheter design, material, insertion location and technique, position of the catheter tip and other risk factors in contributing to the development of CRT are not well understood. Efforts to reduce thrombotic complications, involving flushing the catheter with heparinized solutions, the use of heparin-bonded catheters, and systemic anticoag-ulant prophylaxis, have been largely ineffective. More studies are needed to understand the pathophysiology of thrombotic complications, to help identify effective interventions to reduce this adverse outcome.","author":[{"dropping-particle":"","family":"Lee","given":"A.Y.Y.","non-dropping-particle":"","parse-names":false,"suffix":""},{"dropping-particle":"","family":"Kamphuisen","given":"P.W.","non-dropping-particle":"","parse-names":false,"suffix":""}],"container-title":"Journal of Thrombosis and Haemostasis","id":"ITEM-2","issue":"10","issued":{"date-parts":[["2012"]]},"page":"1491-1499","title":"Epidemiology and prevention of catheter-related thrombosis in patients with cancer","type":"article-journal"},"uris":["http://www.mendeley.com/documents/?uuid=2f9bf3d1-5851-4e76-89ac-5c3d038d67a9"]}],"mendeley":{"formattedCitation":"[153,154]","plainTextFormattedCitation":"[153,154]","previouslyFormattedCitation":"[153,154]"},"properties":{"noteIndex":0},"schema":"https://github.com/citation-style-language/schema/raw/master/csl-citation.json"}</w:instrText>
      </w:r>
      <w:r w:rsidRPr="00952000">
        <w:fldChar w:fldCharType="separate"/>
      </w:r>
      <w:r w:rsidR="004F33C9" w:rsidRPr="004F33C9">
        <w:rPr>
          <w:noProof/>
        </w:rPr>
        <w:t>[153,154]</w:t>
      </w:r>
      <w:r w:rsidRPr="00952000">
        <w:fldChar w:fldCharType="end"/>
      </w:r>
      <w:r w:rsidRPr="00952000">
        <w:t xml:space="preserve">. Факторы, предрасполагающие к развитию КАТ, разделяют на три группы: </w:t>
      </w:r>
    </w:p>
    <w:p w14:paraId="181C7959" w14:textId="77777777" w:rsidR="000155C0" w:rsidRPr="00952000" w:rsidRDefault="000155C0" w:rsidP="000155C0">
      <w:pPr>
        <w:pStyle w:val="afd"/>
        <w:numPr>
          <w:ilvl w:val="0"/>
          <w:numId w:val="139"/>
        </w:numPr>
        <w:spacing w:beforeAutospacing="0" w:afterAutospacing="0" w:line="360" w:lineRule="auto"/>
      </w:pPr>
      <w:r w:rsidRPr="00952000">
        <w:t xml:space="preserve">связанные с пациентом (пол, возраст, наличие опухолевого заболевания, тромбофилии); </w:t>
      </w:r>
    </w:p>
    <w:p w14:paraId="176811FE" w14:textId="77777777" w:rsidR="000155C0" w:rsidRPr="00952000" w:rsidRDefault="000155C0" w:rsidP="000155C0">
      <w:pPr>
        <w:pStyle w:val="afd"/>
        <w:numPr>
          <w:ilvl w:val="0"/>
          <w:numId w:val="139"/>
        </w:numPr>
        <w:spacing w:beforeAutospacing="0" w:afterAutospacing="0" w:line="360" w:lineRule="auto"/>
      </w:pPr>
      <w:r w:rsidRPr="00952000">
        <w:t xml:space="preserve">связанные с катетером (большой диаметр, материал катетера, т.е. «жесткий» катетер); </w:t>
      </w:r>
    </w:p>
    <w:p w14:paraId="0E86FBC4" w14:textId="77777777" w:rsidR="000155C0" w:rsidRPr="00952000" w:rsidRDefault="000155C0" w:rsidP="000155C0">
      <w:pPr>
        <w:pStyle w:val="afd"/>
        <w:numPr>
          <w:ilvl w:val="0"/>
          <w:numId w:val="139"/>
        </w:numPr>
        <w:spacing w:beforeAutospacing="0" w:afterAutospacing="0" w:line="360" w:lineRule="auto"/>
      </w:pPr>
      <w:r w:rsidRPr="00952000">
        <w:t xml:space="preserve">связанные с лечением (химиотерапия, парентеральное питание и введение других раздражающих веществ). </w:t>
      </w:r>
    </w:p>
    <w:p w14:paraId="6B755469" w14:textId="77777777" w:rsidR="000155C0" w:rsidRPr="00952000" w:rsidRDefault="000155C0" w:rsidP="000155C0">
      <w:pPr>
        <w:ind w:firstLine="708"/>
        <w:rPr>
          <w:rFonts w:cs="Times New Roman"/>
          <w:strike/>
          <w:szCs w:val="24"/>
        </w:rPr>
      </w:pPr>
      <w:r w:rsidRPr="00952000">
        <w:rPr>
          <w:rFonts w:cs="Times New Roman"/>
          <w:szCs w:val="24"/>
        </w:rPr>
        <w:t>Наличие опухолевого заболевания увеличивает риск тромбоза.</w:t>
      </w:r>
    </w:p>
    <w:p w14:paraId="0F34218E" w14:textId="28C45499" w:rsidR="000155C0" w:rsidRPr="00952000" w:rsidRDefault="000155C0" w:rsidP="000155C0">
      <w:pPr>
        <w:ind w:firstLine="708"/>
        <w:rPr>
          <w:rFonts w:cs="Times New Roman"/>
          <w:szCs w:val="24"/>
        </w:rPr>
      </w:pPr>
      <w:r w:rsidRPr="00952000">
        <w:rPr>
          <w:rFonts w:cs="Times New Roman"/>
          <w:szCs w:val="24"/>
        </w:rPr>
        <w:t xml:space="preserve">Важную роль в формировании КАТ имеет соотношение диаметра катетера к диаметру вены, которое не должно превышать 1/3, иначе происходит дополнительная травма эндотелия </w:t>
      </w:r>
      <w:r w:rsidRPr="00952000">
        <w:rPr>
          <w:rFonts w:cs="Times New Roman"/>
          <w:szCs w:val="24"/>
        </w:rPr>
        <w:fldChar w:fldCharType="begin" w:fldLock="1"/>
      </w:r>
      <w:r w:rsidR="004810E5">
        <w:rPr>
          <w:rFonts w:cs="Times New Roman"/>
          <w:szCs w:val="24"/>
        </w:rPr>
        <w:instrText>ADDIN CSL_CITATION {"citationItems":[{"id":"ITEM-1","itemData":{"author":[{"dropping-particle":"","family":"Цепенщинков","given":"Л.В","non-dropping-particle":"","parse-names":false,"suffix":""},{"dropping-particle":"","family":"Лядов","given":"В.К.","non-dropping-particle":"","parse-names":false,"suffix":""}],"container-title":"Клиническая онкогематология","id":"ITEM-1","issue":"2","issued":{"date-parts":[["2014"]]},"page":"220-228","title":"Периферически имплантируемый центральный венозный катетер: обзор литераутры.","type":"article-journal","volume":"7"},"uris":["http://www.mendeley.com/documents/?uuid=88221962-7bef-43f1-95ef-c82831c18b7b","http://www.mendeley.com/documents/?uuid=6bf891a9-cc26-48dd-8e38-76815056737b"]}],"mendeley":{"formattedCitation":"[155]","plainTextFormattedCitation":"[155]","previouslyFormattedCitation":"[155]"},"properties":{"noteIndex":0},"schema":"https://github.com/citation-style-language/schema/raw/master/csl-citation.json"}</w:instrText>
      </w:r>
      <w:r w:rsidRPr="00952000">
        <w:rPr>
          <w:rFonts w:cs="Times New Roman"/>
          <w:szCs w:val="24"/>
        </w:rPr>
        <w:fldChar w:fldCharType="separate"/>
      </w:r>
      <w:r w:rsidR="004F33C9" w:rsidRPr="004F33C9">
        <w:rPr>
          <w:rFonts w:cs="Times New Roman"/>
          <w:noProof/>
          <w:szCs w:val="24"/>
        </w:rPr>
        <w:t>[155]</w:t>
      </w:r>
      <w:r w:rsidRPr="00952000">
        <w:rPr>
          <w:rFonts w:cs="Times New Roman"/>
          <w:szCs w:val="24"/>
        </w:rPr>
        <w:fldChar w:fldCharType="end"/>
      </w:r>
      <w:r w:rsidRPr="00952000">
        <w:rPr>
          <w:rFonts w:cs="Times New Roman"/>
          <w:szCs w:val="24"/>
        </w:rPr>
        <w:t xml:space="preserve">. При сравнении силиконовых и полиуретановых катетеров, установленных в вены плеча, значимой разницы </w:t>
      </w:r>
      <w:r w:rsidRPr="00DB2B4A">
        <w:rPr>
          <w:rFonts w:cs="Times New Roman"/>
          <w:szCs w:val="24"/>
        </w:rPr>
        <w:t xml:space="preserve">в частоте развития КАТ </w:t>
      </w:r>
      <w:r w:rsidRPr="00952000">
        <w:rPr>
          <w:rFonts w:cs="Times New Roman"/>
          <w:szCs w:val="24"/>
        </w:rPr>
        <w:t xml:space="preserve">не выявили, но отмечен факт повреждения эндотелия, способствующего развитию тромбоза </w:t>
      </w:r>
      <w:r w:rsidRPr="00952000">
        <w:rPr>
          <w:rFonts w:cs="Times New Roman"/>
          <w:szCs w:val="24"/>
        </w:rPr>
        <w:fldChar w:fldCharType="begin" w:fldLock="1"/>
      </w:r>
      <w:r w:rsidR="004810E5">
        <w:rPr>
          <w:rFonts w:cs="Times New Roman"/>
          <w:szCs w:val="24"/>
        </w:rPr>
        <w:instrText>ADDIN CSL_CITATION {"citationItems":[{"id":"ITEM-1","itemData":{"DOI":"10.1177/0148607184008004399","ISSN":"0148-6071","PMID":"6431130","abstract":"In order to compare two types of long, soft central venous catheters with the same stiffness, 39 silicone elastomer (SE) and 36 polyurethane (PU) catheters were inserted in 75 patients via basilic or cephalic veins punctured at the cubital fossa. Mean duration of catheterization was 10.5 days. Scanning electron microscopy revealed that the SE catheters to have a more uniform, but somewhat rougher surface topography than the PU catheters. The platelet adhesion in vitro to the SE catheters was four times higher than to the PU catheters. The incidence of clinical thrombophlebitis in the arm veins was 36% with the SE catheters, and 5.5% with the PU catheters (p less than 0.01). No significant differences were found between the SE and PU catheters regarding the number and size of radiologic thrombi in the peripheral and central veins, catheter occlusion rate, and platelet adhesion to the inner side of the catheter tip at withdrawal. Platelet adhesion in vivo correlated with the duration of catheterization in both groups of catheters. Mechanical trauma to the vein endothelium seems to be of vital importance in thrombus formation, but not in the induction of clinical thrombophlebitis.","author":[{"dropping-particle":"","family":"Linder","given":"L E","non-dropping-particle":"","parse-names":false,"suffix":""},{"dropping-particle":"","family":"Curelaru","given":"I","non-dropping-particle":"","parse-names":false,"suffix":""},{"dropping-particle":"","family":"Gustavsson","given":"B","non-dropping-particle":"","parse-names":false,"suffix":""},{"dropping-particle":"","family":"Hansson","given":"H A","non-dropping-particle":"","parse-names":false,"suffix":""},{"dropping-particle":"","family":"Stenqvist","given":"O","non-dropping-particle":"","parse-names":false,"suffix":""},{"dropping-particle":"","family":"Wojciechowski","given":"J","non-dropping-particle":"","parse-names":false,"suffix":""}],"container-title":"JPEN. Journal of parenteral and enteral nutrition","id":"ITEM-1","issue":"4","issued":{"date-parts":[["1984"]]},"page":"399-406","title":"Material thrombogenicity in central venous catheterization: a comparison between soft, antebrachial catheters of silicone elastomer and polyurethane.","type":"article-journal","volume":"8"},"uris":["http://www.mendeley.com/documents/?uuid=50c99be9-4388-35af-aba0-01eefc84f6b5","http://www.mendeley.com/documents/?uuid=52fd94cb-1dbb-4a1b-a63a-91cf9a99438a"]}],"mendeley":{"formattedCitation":"[156]","plainTextFormattedCitation":"[156]","previouslyFormattedCitation":"[156]"},"properties":{"noteIndex":0},"schema":"https://github.com/citation-style-language/schema/raw/master/csl-citation.json"}</w:instrText>
      </w:r>
      <w:r w:rsidRPr="00952000">
        <w:rPr>
          <w:rFonts w:cs="Times New Roman"/>
          <w:szCs w:val="24"/>
        </w:rPr>
        <w:fldChar w:fldCharType="separate"/>
      </w:r>
      <w:r w:rsidR="004F33C9" w:rsidRPr="004F33C9">
        <w:rPr>
          <w:rFonts w:cs="Times New Roman"/>
          <w:noProof/>
          <w:szCs w:val="24"/>
        </w:rPr>
        <w:t>[156]</w:t>
      </w:r>
      <w:r w:rsidRPr="00952000">
        <w:rPr>
          <w:rFonts w:cs="Times New Roman"/>
          <w:szCs w:val="24"/>
        </w:rPr>
        <w:fldChar w:fldCharType="end"/>
      </w:r>
      <w:r w:rsidRPr="00952000">
        <w:rPr>
          <w:rFonts w:cs="Times New Roman"/>
          <w:szCs w:val="24"/>
        </w:rPr>
        <w:t xml:space="preserve">. Также в патогенезе развития КАТ значимы такие факторы, как травматичность установки </w:t>
      </w:r>
      <w:r w:rsidRPr="00DE117D">
        <w:rPr>
          <w:rFonts w:cs="Times New Roman"/>
          <w:strike/>
          <w:szCs w:val="24"/>
        </w:rPr>
        <w:t>катетера</w:t>
      </w:r>
      <w:r w:rsidRPr="00952000">
        <w:rPr>
          <w:rFonts w:cs="Times New Roman"/>
          <w:szCs w:val="24"/>
        </w:rPr>
        <w:t xml:space="preserve">, неправильное расположение дистального конца катетера, левостороннее размещение катетера, множественные попытки пункции вены, наличие предшествующих катетеризаций и их количество, а также эпизоды КАИК в анамнезе. Установка ЦВК сопровождается локальным повреждением стенки вены и эндотелия и образованием тромба, с дальнейшим формированием «фибринового» чехла. </w:t>
      </w:r>
      <w:r w:rsidRPr="00952000">
        <w:rPr>
          <w:rFonts w:eastAsia="Times New Roman" w:cs="Times New Roman"/>
          <w:szCs w:val="24"/>
          <w:lang w:eastAsia="ru-RU"/>
        </w:rPr>
        <w:t xml:space="preserve">Одним из факторов развития венозных тромбозов является наличие венозных клапанов, создающих турбулентный поток. </w:t>
      </w:r>
      <w:r w:rsidRPr="00952000">
        <w:rPr>
          <w:rFonts w:eastAsia="Arial Unicode MS" w:cs="Times New Roman"/>
          <w:szCs w:val="24"/>
        </w:rPr>
        <w:t xml:space="preserve">Фактором, способствующим возникновению КАТ, является позиционирование ЦВК, поскольку миграция катетера, окклюзия дистального конца катетера венозной стенкой, травма венозной стенки дистальным концом катетера, присасывание к стенке конца катетера во время аспирации образцов крови, а введение раздражающих растворов способствуют травме венозной стенке </w:t>
      </w:r>
      <w:r w:rsidRPr="00952000">
        <w:rPr>
          <w:rFonts w:eastAsia="Arial Unicode MS" w:cs="Times New Roman"/>
          <w:szCs w:val="24"/>
        </w:rPr>
        <w:fldChar w:fldCharType="begin" w:fldLock="1"/>
      </w:r>
      <w:r w:rsidR="004810E5">
        <w:rPr>
          <w:rFonts w:eastAsia="Arial Unicode MS" w:cs="Times New Roman"/>
          <w:szCs w:val="24"/>
        </w:rPr>
        <w:instrText>ADDIN CSL_CITATION {"citationItems":[{"id":"ITEM-1","itemData":{"abstract":"Objective This study evaluated the accuracy of placing right atrial catheters using an electrocardiographic (ECG) technique. Summary Background Data Placement of right atrial catheters for vascular access is a common operative procedure. Accurate placement is essential for proper function. Previous placement techniques have used fluoroscopy, which is both time consuming and hazardous. Methods The accuracy of placement of 1236 right atrial catheters using an ECG technique was compared to placement of 586 catheters using fluoroscopy between March 1991 and November 1995. In the ECG technique, the catheter was flushed with sodium bicarbonate. A sterile left-leg ECG lead was attached to the catheter with the other ECG leads applied normally. On advancing the catheter through the superior vena cava, the P-wave amplitude (lead 11) increased in negative deflection until greater than the QRS complex. Passing the sinoatrial node, the P-wave developed an initial positive then negative deflection. The catheter was positioned so the P-wave was biphasic, representing a position midway between the sinoatrial and atrioventricular nodes. For the fluoroscopic technique, catheters were positioned under direct observation just within the atrium estimated from cardiac contour. Use of contrast was optional if atrial anatomy was unclear. Results Postoperative portable chest x-rays showed the ECG method to position the catheter tip within the right atrium just as accurately (average, 1.9 ± 1.3 cm) as with the use of fluoroscopy (average, 1.1 ± 1.6 cm). The ECG method eliminated an average of 20 seconds of radiation exposure, an average of 3.0 minutes operating room time (p &lt; 0.04), avoided all risks of contrast dye, and saved $279.10 per case.","author":[{"dropping-particle":"","family":"Watters","given":"Virginia A","non-dropping-particle":"","parse-names":false,"suffix":""},{"dropping-particle":"","family":"Grant","given":"John P","non-dropping-particle":"","parse-names":false,"suffix":""}],"container-title":"ANNALS OF SURGERY","id":"ITEM-1","issue":"2","issued":{"date-parts":[["0"]]},"page":"165-171","title":"Use of Electrocardiogram to Position Right Atrial Catheters During Surgery","type":"article-journal","volume":"225"},"uris":["http://www.mendeley.com/documents/?uuid=634418a9-1b6a-3971-a74a-26cac4fcbb73","http://www.mendeley.com/documents/?uuid=216df258-45c1-414a-b26e-b5eb61d53634"]}],"mendeley":{"formattedCitation":"[157]","plainTextFormattedCitation":"[157]","previouslyFormattedCitation":"[157]"},"properties":{"noteIndex":0},"schema":"https://github.com/citation-style-language/schema/raw/master/csl-citation.json"}</w:instrText>
      </w:r>
      <w:r w:rsidRPr="00952000">
        <w:rPr>
          <w:rFonts w:eastAsia="Arial Unicode MS" w:cs="Times New Roman"/>
          <w:szCs w:val="24"/>
        </w:rPr>
        <w:fldChar w:fldCharType="separate"/>
      </w:r>
      <w:r w:rsidR="004F33C9" w:rsidRPr="004F33C9">
        <w:rPr>
          <w:rFonts w:eastAsia="Arial Unicode MS" w:cs="Times New Roman"/>
          <w:noProof/>
          <w:szCs w:val="24"/>
        </w:rPr>
        <w:t>[157]</w:t>
      </w:r>
      <w:r w:rsidRPr="00952000">
        <w:rPr>
          <w:rFonts w:eastAsia="Arial Unicode MS" w:cs="Times New Roman"/>
          <w:szCs w:val="24"/>
        </w:rPr>
        <w:fldChar w:fldCharType="end"/>
      </w:r>
      <w:r w:rsidRPr="00952000">
        <w:rPr>
          <w:rFonts w:eastAsia="Arial Unicode MS" w:cs="Times New Roman"/>
          <w:szCs w:val="24"/>
        </w:rPr>
        <w:t xml:space="preserve">. </w:t>
      </w:r>
      <w:r w:rsidRPr="00952000">
        <w:rPr>
          <w:rFonts w:cs="Times New Roman"/>
          <w:szCs w:val="24"/>
        </w:rPr>
        <w:t xml:space="preserve">ЦВК находятся в непосредственном контакте с внутренней стенкой вен, в результате постоянного движения катетеров, связанного с дыханием, сокращениями сердца, поворотами головы, происходит еще большее повреждение эндотелия. Травма эндотелия усугубляется, если траектория катетера в вене характеризуется одним или несколькими изгибами </w:t>
      </w:r>
      <w:r w:rsidRPr="00952000">
        <w:rPr>
          <w:rFonts w:cs="Times New Roman"/>
          <w:szCs w:val="24"/>
        </w:rPr>
        <w:fldChar w:fldCharType="begin" w:fldLock="1"/>
      </w:r>
      <w:r w:rsidR="004810E5">
        <w:rPr>
          <w:rFonts w:cs="Times New Roman"/>
          <w:szCs w:val="24"/>
        </w:rPr>
        <w:instrText>ADDIN CSL_CITATION {"citationItems":[{"id":"ITEM-1","itemData":{"DOI":"10.1093/ndt/gfh216","ISSN":"0931-0509","author":[{"dropping-particle":"","family":"Taal","given":"M. W.","non-dropping-particle":"","parse-names":false,"suffix":""},{"dropping-particle":"","family":"Chesterton","given":"L. J.","non-dropping-particle":"","parse-names":false,"suffix":""},{"dropping-particle":"","family":"McIntyre","given":"C. W.","non-dropping-particle":"","parse-names":false,"suffix":""}],"container-title":"Nephrology Dialysis Transplantation","id":"ITEM-1","issue":"6","issued":{"date-parts":[["2004","6"]]},"page":"1542-1545","publisher":"Oxford University Press","title":"Venography at insertion of tunnelled internal jugular vein dialysis catheters reveals significant occult stenosis","type":"article-journal","volume":"19"},"uris":["http://www.mendeley.com/documents/?uuid=27bd8603-4b5c-3170-8bd9-40145339d105","http://www.mendeley.com/documents/?uuid=f32593e8-087e-487f-af57-700299c86f69"]}],"mendeley":{"formattedCitation":"[158]","plainTextFormattedCitation":"[158]","previouslyFormattedCitation":"[158]"},"properties":{"noteIndex":0},"schema":"https://github.com/citation-style-language/schema/raw/master/csl-citation.json"}</w:instrText>
      </w:r>
      <w:r w:rsidRPr="00952000">
        <w:rPr>
          <w:rFonts w:cs="Times New Roman"/>
          <w:szCs w:val="24"/>
        </w:rPr>
        <w:fldChar w:fldCharType="separate"/>
      </w:r>
      <w:r w:rsidR="004F33C9" w:rsidRPr="004F33C9">
        <w:rPr>
          <w:rFonts w:cs="Times New Roman"/>
          <w:noProof/>
          <w:szCs w:val="24"/>
        </w:rPr>
        <w:t>[158]</w:t>
      </w:r>
      <w:r w:rsidRPr="00952000">
        <w:rPr>
          <w:rFonts w:cs="Times New Roman"/>
          <w:szCs w:val="24"/>
        </w:rPr>
        <w:fldChar w:fldCharType="end"/>
      </w:r>
      <w:r w:rsidRPr="00952000">
        <w:rPr>
          <w:rFonts w:cs="Times New Roman"/>
          <w:szCs w:val="24"/>
        </w:rPr>
        <w:t xml:space="preserve">. В дополнение к травме происходит воспаление интимы как ответ на повреждение, которое приводит к гиперплазии интимы или развитию тромбоза. Пункция левой внутренней яремной вены по сравнению с пункцией правой яремной вены более сложная, так как у 34% пациентов внутренняя яремной вены слева меньше чем правая </w:t>
      </w:r>
      <w:r w:rsidRPr="00952000">
        <w:rPr>
          <w:rFonts w:cs="Times New Roman"/>
          <w:szCs w:val="24"/>
        </w:rPr>
        <w:fldChar w:fldCharType="begin" w:fldLock="1"/>
      </w:r>
      <w:r w:rsidR="004810E5">
        <w:rPr>
          <w:rFonts w:cs="Times New Roman"/>
          <w:szCs w:val="24"/>
        </w:rPr>
        <w:instrText>ADDIN CSL_CITATION {"citationItems":[{"id":"ITEM-1","itemData":{"ISSN":"1053-0770","PMID":"10230944","abstract":"OBJECTIVE To compare the cross-sectional area (CSA) of the right internal jugular vein (RIJV) with the left internal jugular vein (LIJV) using two-dimensional ultrasound and to measure the response to the Valsalva maneuver in both the supine and Trendelenburg positions. DESIGN Prospective and randomized. SETTING University-affiliated hospital. PARTICIPANTS Fifty healthy adult volunteers. INTERVENTIONS The CSA of both the RIJV and LIJV was measured with a 5-MHz, two-dimensional surface transducer before and during a 10-second Valsalva maneuver with the subjects in the supine position, and then with the subjects in a 10 degree Trendelenburg tilt. MEASUREMENTS AND MAIN RESULTS After the baseline measurements were performed, the subjects were divided into two groups based on the CSA of the RIJV and LIJV. Group 1 had an LIJV CSA equal to or greater than that of the RIJV (n = 10) and group 2 had an LIJV CSA less than that of the RIJV (n = 40). Of the latter 40 patients, 17 (34%) had an LIJV CSA less than 50% of that of the RIJV. In both groups, the CSA of both veins increased significantly with the Valsalva maneuver, Trendelenburg tilt, and both maneuvers combined. CONCLUSION The findings suggest that in one third of adults (34%), the LIJV is significantly smaller compared with the RIJV and, combined with operator inexperience, may influence the success rate and risk for complications. Thus, the use of ultrasound and maneuvers that increase CSA is suggested during LIJV cannulation.","author":[{"dropping-particle":"","family":"Lobato","given":"E B","non-dropping-particle":"","parse-names":false,"suffix":""},{"dropping-particle":"","family":"Sulek","given":"C A","non-dropping-particle":"","parse-names":false,"suffix":""},{"dropping-particle":"","family":"Moody","given":"R L","non-dropping-particle":"","parse-names":false,"suffix":""},{"dropping-particle":"","family":"Morey","given":"T E","non-dropping-particle":"","parse-names":false,"suffix":""}],"container-title":"Journal of cardiothoracic and vascular anesthesia","id":"ITEM-1","issue":"2","issued":{"date-parts":[["1999","4"]]},"page":"136-8","title":"Cross-sectional area of the right and left internal jugular veins.","type":"article-journal","volume":"13"},"uris":["http://www.mendeley.com/documents/?uuid=946e04e1-436d-33e9-8d74-b2b7aa6566b2","http://www.mendeley.com/documents/?uuid=3c8cfbcb-4e79-4dbf-88c6-7197a21370b9"]}],"mendeley":{"formattedCitation":"[159]","plainTextFormattedCitation":"[159]","previouslyFormattedCitation":"[159]"},"properties":{"noteIndex":0},"schema":"https://github.com/citation-style-language/schema/raw/master/csl-citation.json"}</w:instrText>
      </w:r>
      <w:r w:rsidRPr="00952000">
        <w:rPr>
          <w:rFonts w:cs="Times New Roman"/>
          <w:szCs w:val="24"/>
        </w:rPr>
        <w:fldChar w:fldCharType="separate"/>
      </w:r>
      <w:r w:rsidR="004F33C9" w:rsidRPr="004F33C9">
        <w:rPr>
          <w:rFonts w:cs="Times New Roman"/>
          <w:noProof/>
          <w:szCs w:val="24"/>
        </w:rPr>
        <w:t>[159]</w:t>
      </w:r>
      <w:r w:rsidRPr="00952000">
        <w:rPr>
          <w:rFonts w:cs="Times New Roman"/>
          <w:szCs w:val="24"/>
        </w:rPr>
        <w:fldChar w:fldCharType="end"/>
      </w:r>
      <w:r w:rsidRPr="00952000">
        <w:rPr>
          <w:rFonts w:cs="Times New Roman"/>
          <w:szCs w:val="24"/>
        </w:rPr>
        <w:t>, что особенно важно при диагностике катетерассоциированного стеноза (КА</w:t>
      </w:r>
      <w:r w:rsidRPr="00952000">
        <w:rPr>
          <w:rFonts w:cs="Times New Roman"/>
          <w:szCs w:val="24"/>
          <w:lang w:val="en-US"/>
        </w:rPr>
        <w:t>C</w:t>
      </w:r>
      <w:r w:rsidRPr="00952000">
        <w:rPr>
          <w:rFonts w:cs="Times New Roman"/>
          <w:szCs w:val="24"/>
        </w:rPr>
        <w:t xml:space="preserve">). </w:t>
      </w:r>
    </w:p>
    <w:p w14:paraId="5DF7FD28" w14:textId="3910C3A0" w:rsidR="000155C0" w:rsidRPr="00952000" w:rsidRDefault="000155C0" w:rsidP="000155C0">
      <w:pPr>
        <w:ind w:firstLine="708"/>
        <w:rPr>
          <w:rFonts w:cs="Times New Roman"/>
          <w:b/>
          <w:szCs w:val="24"/>
        </w:rPr>
      </w:pPr>
      <w:r w:rsidRPr="00952000">
        <w:rPr>
          <w:rFonts w:cs="Times New Roman"/>
          <w:szCs w:val="24"/>
        </w:rPr>
        <w:t>Катетер-ассоциированый стеноз (</w:t>
      </w:r>
      <w:r w:rsidRPr="00952000">
        <w:rPr>
          <w:rFonts w:cs="Times New Roman"/>
          <w:i/>
          <w:szCs w:val="24"/>
        </w:rPr>
        <w:t>КАС)</w:t>
      </w:r>
      <w:r w:rsidRPr="00952000">
        <w:rPr>
          <w:rFonts w:cs="Times New Roman"/>
          <w:szCs w:val="24"/>
        </w:rPr>
        <w:t xml:space="preserve"> – стойкое сужение просвета сосуда, вплоть до полной облитерации, выявляемое при УЗИ в покое и при выполнении функциональных проб, возникшее после катетеризации, связанное или не связанное с КАТ. У онкогематологических пациентов, наряду с вышеуказанными причинами, значительное место в формировании КАТ и КАС занимает проведение химиотерапии </w:t>
      </w:r>
      <w:r w:rsidRPr="00952000">
        <w:rPr>
          <w:rFonts w:cs="Times New Roman"/>
          <w:szCs w:val="24"/>
        </w:rPr>
        <w:fldChar w:fldCharType="begin" w:fldLock="1"/>
      </w:r>
      <w:r w:rsidR="004810E5">
        <w:rPr>
          <w:rFonts w:cs="Times New Roman"/>
          <w:szCs w:val="24"/>
        </w:rPr>
        <w:instrText>ADDIN CSL_CITATION {"citationItems":[{"id":"ITEM-1","itemData":{"author":[{"dropping-particle":"","family":"Червонцева","given":"Алевтина Михайловна","non-dropping-particle":"","parse-names":false,"suffix":""}],"id":"ITEM-1","issued":{"date-parts":[["2008"]]},"title":"Повреждение сосудистого эндотелия в процессе лечения острых миелоидных лейкозов","type":"article"},"uris":["http://www.mendeley.com/documents/?uuid=9afd28b5-41fc-3e5e-bfac-710d3bccc2cd","http://www.mendeley.com/documents/?uuid=b0c847b8-b368-40a1-9c35-cebd6d9d96b6"]}],"mendeley":{"formattedCitation":"[160]","plainTextFormattedCitation":"[160]","previouslyFormattedCitation":"[160]"},"properties":{"noteIndex":0},"schema":"https://github.com/citation-style-language/schema/raw/master/csl-citation.json"}</w:instrText>
      </w:r>
      <w:r w:rsidRPr="00952000">
        <w:rPr>
          <w:rFonts w:cs="Times New Roman"/>
          <w:szCs w:val="24"/>
        </w:rPr>
        <w:fldChar w:fldCharType="separate"/>
      </w:r>
      <w:r w:rsidR="004F33C9" w:rsidRPr="004F33C9">
        <w:rPr>
          <w:rFonts w:cs="Times New Roman"/>
          <w:noProof/>
          <w:szCs w:val="24"/>
        </w:rPr>
        <w:t>[160]</w:t>
      </w:r>
      <w:r w:rsidRPr="00952000">
        <w:rPr>
          <w:rFonts w:cs="Times New Roman"/>
          <w:szCs w:val="24"/>
        </w:rPr>
        <w:fldChar w:fldCharType="end"/>
      </w:r>
      <w:r w:rsidRPr="00952000">
        <w:rPr>
          <w:rFonts w:cs="Times New Roman"/>
          <w:szCs w:val="24"/>
        </w:rPr>
        <w:t>.</w:t>
      </w:r>
    </w:p>
    <w:p w14:paraId="0DB7C6B2" w14:textId="55915B1D" w:rsidR="000155C0" w:rsidRPr="00952000" w:rsidRDefault="000155C0" w:rsidP="000155C0">
      <w:pPr>
        <w:ind w:firstLine="708"/>
        <w:rPr>
          <w:rFonts w:cs="Times New Roman"/>
          <w:szCs w:val="24"/>
        </w:rPr>
      </w:pPr>
      <w:r w:rsidRPr="00952000">
        <w:rPr>
          <w:rFonts w:cs="Times New Roman"/>
          <w:szCs w:val="24"/>
        </w:rPr>
        <w:t>Катетер-ассоциированная инфекция кровотока (</w:t>
      </w:r>
      <w:r w:rsidRPr="00952000">
        <w:rPr>
          <w:rFonts w:cs="Times New Roman"/>
          <w:i/>
          <w:szCs w:val="24"/>
        </w:rPr>
        <w:t>КАИК)</w:t>
      </w:r>
      <w:r w:rsidRPr="00952000">
        <w:rPr>
          <w:rFonts w:cs="Times New Roman"/>
          <w:szCs w:val="24"/>
        </w:rPr>
        <w:t xml:space="preserve"> – выявление положительной гемокультуры в образце крови взятой из катетера на 2 и более часа ранее, чем в образце крови, взятом из периферической вены, рост микроорганизмов при микробиологическом исследовании дистального конца катетера </w:t>
      </w:r>
      <w:r w:rsidRPr="00952000">
        <w:rPr>
          <w:rFonts w:cs="Times New Roman"/>
          <w:szCs w:val="24"/>
        </w:rPr>
        <w:fldChar w:fldCharType="begin" w:fldLock="1"/>
      </w:r>
      <w:r w:rsidR="004810E5">
        <w:rPr>
          <w:rFonts w:cs="Times New Roman"/>
          <w:szCs w:val="24"/>
        </w:rPr>
        <w:instrText>ADDIN CSL_CITATION {"citationItems":[{"id":"ITEM-1","itemData":{"author":[{"dropping-particle":"","family":"Багирова","given":"Н.С.","non-dropping-particle":"","parse-names":false,"suffix":""}],"container-title":"Злокачественные опухоли","id":"ITEM-1","issue":"3","issued":{"date-parts":[["2014"]]},"page":"164-171","title":"Инфекции, связанные с внутрисосудистыми устройствами: терминология, диагностика, профилактика и терапия","type":"article-journal"},"uris":["http://www.mendeley.com/documents/?uuid=fee4a9db-618b-4f34-9352-2ad7841cc05f","http://www.mendeley.com/documents/?uuid=973153ce-d078-4e08-a598-f09e2ab23f94"]}],"mendeley":{"formattedCitation":"[161]","plainTextFormattedCitation":"[161]","previouslyFormattedCitation":"[161]"},"properties":{"noteIndex":0},"schema":"https://github.com/citation-style-language/schema/raw/master/csl-citation.json"}</w:instrText>
      </w:r>
      <w:r w:rsidRPr="00952000">
        <w:rPr>
          <w:rFonts w:cs="Times New Roman"/>
          <w:szCs w:val="24"/>
        </w:rPr>
        <w:fldChar w:fldCharType="separate"/>
      </w:r>
      <w:r w:rsidR="004F33C9" w:rsidRPr="004F33C9">
        <w:rPr>
          <w:rFonts w:cs="Times New Roman"/>
          <w:noProof/>
          <w:szCs w:val="24"/>
        </w:rPr>
        <w:t>[161]</w:t>
      </w:r>
      <w:r w:rsidRPr="00952000">
        <w:rPr>
          <w:rFonts w:cs="Times New Roman"/>
          <w:szCs w:val="24"/>
        </w:rPr>
        <w:fldChar w:fldCharType="end"/>
      </w:r>
      <w:r w:rsidRPr="00952000">
        <w:rPr>
          <w:rFonts w:cs="Times New Roman"/>
          <w:szCs w:val="24"/>
        </w:rPr>
        <w:t>.</w:t>
      </w:r>
    </w:p>
    <w:p w14:paraId="5E4E4200" w14:textId="77777777" w:rsidR="000155C0" w:rsidRPr="00952000" w:rsidRDefault="000155C0" w:rsidP="000155C0">
      <w:pPr>
        <w:ind w:left="360"/>
        <w:rPr>
          <w:rFonts w:cs="Times New Roman"/>
          <w:szCs w:val="24"/>
        </w:rPr>
      </w:pPr>
      <w:r w:rsidRPr="00952000">
        <w:rPr>
          <w:rFonts w:cs="Times New Roman"/>
          <w:szCs w:val="24"/>
        </w:rPr>
        <w:t>При применении туннелируемых катетеров могут возникать следующие виды инфицирования:</w:t>
      </w:r>
    </w:p>
    <w:p w14:paraId="7B46E1B3" w14:textId="77777777" w:rsidR="000155C0" w:rsidRPr="00952000" w:rsidRDefault="000155C0" w:rsidP="000155C0">
      <w:pPr>
        <w:pStyle w:val="afe"/>
        <w:numPr>
          <w:ilvl w:val="0"/>
          <w:numId w:val="133"/>
        </w:numPr>
        <w:rPr>
          <w:rFonts w:cs="Times New Roman"/>
          <w:i/>
          <w:szCs w:val="24"/>
        </w:rPr>
      </w:pPr>
      <w:r w:rsidRPr="00952000">
        <w:rPr>
          <w:rFonts w:cs="Times New Roman"/>
          <w:i/>
          <w:szCs w:val="24"/>
        </w:rPr>
        <w:t xml:space="preserve">Туннельная инфекция – </w:t>
      </w:r>
      <w:r w:rsidRPr="00952000">
        <w:rPr>
          <w:rFonts w:cs="Times New Roman"/>
          <w:szCs w:val="24"/>
        </w:rPr>
        <w:t xml:space="preserve">местное воспаление по ходу сформированного туннеля от места выходного отверстия катетера до манжеты или с локализацией только в </w:t>
      </w:r>
      <w:r w:rsidRPr="00952000">
        <w:rPr>
          <w:rFonts w:cs="Times New Roman"/>
          <w:iCs/>
          <w:szCs w:val="24"/>
        </w:rPr>
        <w:t>области фиксации манжеты</w:t>
      </w:r>
      <w:r w:rsidRPr="00952000">
        <w:rPr>
          <w:rFonts w:cs="Times New Roman"/>
          <w:i/>
          <w:szCs w:val="24"/>
        </w:rPr>
        <w:t>.</w:t>
      </w:r>
    </w:p>
    <w:p w14:paraId="694D78DA" w14:textId="77777777" w:rsidR="000155C0" w:rsidRPr="00952000" w:rsidRDefault="000155C0" w:rsidP="000155C0">
      <w:pPr>
        <w:pStyle w:val="afe"/>
        <w:numPr>
          <w:ilvl w:val="0"/>
          <w:numId w:val="133"/>
        </w:numPr>
        <w:rPr>
          <w:rFonts w:cs="Times New Roman"/>
          <w:szCs w:val="24"/>
        </w:rPr>
      </w:pPr>
      <w:r w:rsidRPr="00952000">
        <w:rPr>
          <w:rFonts w:cs="Times New Roman"/>
          <w:i/>
          <w:szCs w:val="24"/>
        </w:rPr>
        <w:t xml:space="preserve">Инфекция выходного отверстия – </w:t>
      </w:r>
      <w:r w:rsidRPr="00952000">
        <w:rPr>
          <w:rFonts w:cs="Times New Roman"/>
          <w:szCs w:val="24"/>
        </w:rPr>
        <w:t>местное воспаление, с локализацией только в месте выхода катетера на поверхность кожи.</w:t>
      </w:r>
    </w:p>
    <w:p w14:paraId="5C222187" w14:textId="77777777" w:rsidR="000155C0" w:rsidRPr="00952000" w:rsidRDefault="000155C0" w:rsidP="000155C0">
      <w:pPr>
        <w:pStyle w:val="afe"/>
        <w:numPr>
          <w:ilvl w:val="0"/>
          <w:numId w:val="133"/>
        </w:numPr>
        <w:rPr>
          <w:rFonts w:cs="Times New Roman"/>
          <w:szCs w:val="24"/>
        </w:rPr>
      </w:pPr>
      <w:r w:rsidRPr="00952000">
        <w:rPr>
          <w:rFonts w:cs="Times New Roman"/>
          <w:i/>
          <w:szCs w:val="24"/>
        </w:rPr>
        <w:t xml:space="preserve">Инфекция подкожного кармана – </w:t>
      </w:r>
      <w:r w:rsidRPr="00952000">
        <w:rPr>
          <w:rFonts w:cs="Times New Roman"/>
          <w:szCs w:val="24"/>
        </w:rPr>
        <w:t xml:space="preserve">местное воспаление, локализующееся в месте установки камеры порт-системы. </w:t>
      </w:r>
    </w:p>
    <w:p w14:paraId="246D2C2F" w14:textId="77777777" w:rsidR="000155C0" w:rsidRDefault="000155C0" w:rsidP="000155C0">
      <w:pPr>
        <w:rPr>
          <w:rFonts w:eastAsia="Arial Unicode MS" w:cs="Times New Roman"/>
          <w:b/>
          <w:bCs/>
          <w:szCs w:val="24"/>
          <w:lang w:eastAsia="ru-RU"/>
        </w:rPr>
      </w:pPr>
    </w:p>
    <w:p w14:paraId="0B44CF62" w14:textId="77777777" w:rsidR="000155C0" w:rsidRPr="009F4EC0" w:rsidRDefault="000155C0" w:rsidP="000155C0">
      <w:pPr>
        <w:rPr>
          <w:rFonts w:eastAsia="Arial Unicode MS" w:cs="Times New Roman"/>
          <w:i/>
          <w:iCs/>
          <w:szCs w:val="24"/>
          <w:u w:val="single"/>
          <w:lang w:eastAsia="ru-RU"/>
        </w:rPr>
      </w:pPr>
      <w:r w:rsidRPr="009F4EC0">
        <w:rPr>
          <w:rFonts w:eastAsia="Arial Unicode MS" w:cs="Times New Roman"/>
          <w:i/>
          <w:iCs/>
          <w:szCs w:val="24"/>
          <w:u w:val="single"/>
          <w:lang w:eastAsia="ru-RU"/>
        </w:rPr>
        <w:t>Способы контроля дистального конца ЦВК</w:t>
      </w:r>
    </w:p>
    <w:p w14:paraId="69D4A0F1" w14:textId="77777777" w:rsidR="000155C0" w:rsidRPr="009F4EC0" w:rsidRDefault="000155C0" w:rsidP="000155C0">
      <w:pPr>
        <w:rPr>
          <w:rFonts w:eastAsia="Arial Unicode MS" w:cs="Times New Roman"/>
          <w:i/>
          <w:iCs/>
          <w:szCs w:val="24"/>
          <w:lang w:eastAsia="ru-RU"/>
        </w:rPr>
      </w:pPr>
      <w:r w:rsidRPr="009F4EC0">
        <w:rPr>
          <w:rFonts w:eastAsia="Arial Unicode MS" w:cs="Times New Roman"/>
          <w:i/>
          <w:iCs/>
          <w:szCs w:val="24"/>
          <w:lang w:eastAsia="ru-RU"/>
        </w:rPr>
        <w:t>Электрокардиографический метод</w:t>
      </w:r>
    </w:p>
    <w:p w14:paraId="1D2F1C30" w14:textId="77777777" w:rsidR="000155C0" w:rsidRPr="00952000" w:rsidRDefault="000155C0" w:rsidP="000155C0">
      <w:pPr>
        <w:rPr>
          <w:rFonts w:eastAsia="Arial Unicode MS" w:cs="Times New Roman"/>
          <w:strike/>
          <w:szCs w:val="24"/>
          <w:lang w:eastAsia="ru-RU"/>
        </w:rPr>
      </w:pPr>
      <w:r w:rsidRPr="00952000">
        <w:rPr>
          <w:rFonts w:eastAsia="Arial Unicode MS" w:cs="Times New Roman"/>
          <w:szCs w:val="24"/>
          <w:lang w:eastAsia="ru-RU"/>
        </w:rPr>
        <w:t xml:space="preserve">Для контроля положения ЦВК, снабженных штатным электродом, используют эндовенозную </w:t>
      </w:r>
      <w:r w:rsidRPr="00952000">
        <w:rPr>
          <w:rFonts w:cs="Times New Roman"/>
          <w:szCs w:val="24"/>
        </w:rPr>
        <w:t>электрокардиографию (</w:t>
      </w:r>
      <w:r w:rsidRPr="00952000">
        <w:rPr>
          <w:rFonts w:eastAsia="Arial Unicode MS" w:cs="Times New Roman"/>
          <w:szCs w:val="24"/>
          <w:lang w:eastAsia="ru-RU"/>
        </w:rPr>
        <w:t xml:space="preserve">ЭКГ). Она позволяет позиционировать дистальный конец ЦВК, не увеличивая время установки, по изменениям Р-зубца ЭКГ. </w:t>
      </w:r>
    </w:p>
    <w:p w14:paraId="335920B9" w14:textId="77777777" w:rsidR="000155C0" w:rsidRDefault="000155C0" w:rsidP="000155C0">
      <w:pPr>
        <w:rPr>
          <w:rFonts w:eastAsia="ＭＳ 明朝 (Основной текст темы (ази" w:cs="Times New Roman"/>
          <w:b/>
          <w:bCs/>
          <w:szCs w:val="24"/>
          <w:lang w:eastAsia="ru-RU"/>
        </w:rPr>
      </w:pPr>
    </w:p>
    <w:p w14:paraId="7D493763" w14:textId="77777777" w:rsidR="000155C0" w:rsidRPr="009F4EC0" w:rsidRDefault="000155C0" w:rsidP="000155C0">
      <w:pPr>
        <w:rPr>
          <w:rFonts w:eastAsia="ＭＳ 明朝 (Основной текст темы (ази" w:cs="Times New Roman"/>
          <w:i/>
          <w:iCs/>
          <w:szCs w:val="24"/>
          <w:lang w:eastAsia="ru-RU"/>
        </w:rPr>
      </w:pPr>
      <w:r w:rsidRPr="009F4EC0">
        <w:rPr>
          <w:rFonts w:eastAsia="ＭＳ 明朝 (Основной текст темы (ази" w:cs="Times New Roman"/>
          <w:i/>
          <w:iCs/>
          <w:szCs w:val="24"/>
          <w:lang w:eastAsia="ru-RU"/>
        </w:rPr>
        <w:t xml:space="preserve">Рентгенологический метод </w:t>
      </w:r>
    </w:p>
    <w:p w14:paraId="7CDEDD87" w14:textId="77777777" w:rsidR="000155C0" w:rsidRPr="00952000" w:rsidRDefault="000155C0" w:rsidP="000155C0">
      <w:pPr>
        <w:rPr>
          <w:rFonts w:cs="Times New Roman"/>
          <w:strike/>
          <w:szCs w:val="24"/>
        </w:rPr>
      </w:pPr>
      <w:r w:rsidRPr="00952000">
        <w:rPr>
          <w:rFonts w:eastAsia="ＭＳ 明朝 (Основной текст темы (ази" w:cs="Times New Roman"/>
          <w:szCs w:val="24"/>
          <w:lang w:eastAsia="ru-RU"/>
        </w:rPr>
        <w:t xml:space="preserve">При установке туннелируемых ЦВК, ПИЦВК, порт-систем, а также в </w:t>
      </w:r>
      <w:r w:rsidRPr="00952000">
        <w:rPr>
          <w:rFonts w:cs="Times New Roman"/>
          <w:szCs w:val="24"/>
        </w:rPr>
        <w:t>случаях мерцательной аритмии или ритма, навязанного кардиостимулятором, положение дистального конца ЦВК подтверждают рентгенологически:</w:t>
      </w:r>
      <w:r w:rsidRPr="00952000">
        <w:rPr>
          <w:rFonts w:cs="Times New Roman"/>
          <w:strike/>
          <w:szCs w:val="24"/>
        </w:rPr>
        <w:t xml:space="preserve"> </w:t>
      </w:r>
    </w:p>
    <w:p w14:paraId="0CE57AF5" w14:textId="77777777" w:rsidR="000155C0" w:rsidRPr="00952000" w:rsidRDefault="000155C0" w:rsidP="000155C0">
      <w:pPr>
        <w:rPr>
          <w:rFonts w:cs="Times New Roman"/>
          <w:szCs w:val="24"/>
        </w:rPr>
      </w:pPr>
      <w:r w:rsidRPr="00952000">
        <w:rPr>
          <w:rFonts w:cs="Times New Roman"/>
          <w:szCs w:val="24"/>
        </w:rPr>
        <w:t xml:space="preserve">- на </w:t>
      </w:r>
      <w:r w:rsidRPr="00952000">
        <w:rPr>
          <w:rFonts w:cs="Times New Roman"/>
          <w:bCs/>
          <w:szCs w:val="24"/>
        </w:rPr>
        <w:t xml:space="preserve">рентгенограмме грудной клетки дистальный конец ЦВК должен был находиться между </w:t>
      </w:r>
      <w:r w:rsidRPr="00952000">
        <w:rPr>
          <w:rFonts w:cs="Times New Roman"/>
          <w:bCs/>
          <w:szCs w:val="24"/>
          <w:lang w:val="en-US"/>
        </w:rPr>
        <w:t>V</w:t>
      </w:r>
      <w:r w:rsidRPr="00952000">
        <w:rPr>
          <w:rFonts w:cs="Times New Roman"/>
          <w:bCs/>
          <w:szCs w:val="24"/>
        </w:rPr>
        <w:t xml:space="preserve"> и </w:t>
      </w:r>
      <w:r w:rsidRPr="00952000">
        <w:rPr>
          <w:rFonts w:cs="Times New Roman"/>
          <w:bCs/>
          <w:szCs w:val="24"/>
          <w:lang w:val="en-US"/>
        </w:rPr>
        <w:t>VI</w:t>
      </w:r>
      <w:r w:rsidRPr="00952000">
        <w:rPr>
          <w:rFonts w:cs="Times New Roman"/>
          <w:bCs/>
          <w:szCs w:val="24"/>
        </w:rPr>
        <w:t xml:space="preserve"> грудными позвонками. </w:t>
      </w:r>
    </w:p>
    <w:p w14:paraId="5AAAC6AB" w14:textId="77777777" w:rsidR="000155C0" w:rsidRPr="00952000" w:rsidRDefault="000155C0" w:rsidP="000155C0">
      <w:pPr>
        <w:widowControl w:val="0"/>
        <w:ind w:firstLine="708"/>
        <w:rPr>
          <w:rFonts w:cs="Times New Roman"/>
          <w:szCs w:val="24"/>
        </w:rPr>
      </w:pPr>
      <w:r w:rsidRPr="00952000">
        <w:rPr>
          <w:rFonts w:cs="Times New Roman"/>
          <w:szCs w:val="24"/>
        </w:rPr>
        <w:t>- также ориентиром для позиционирования дистального конца ЦВК является правый трахебронхиальный угол, который соответствует верхней границе верхней полой вены. Каваатриальное соединение находится на 3 см ниже этого угла.</w:t>
      </w:r>
    </w:p>
    <w:p w14:paraId="64947AC4" w14:textId="77777777" w:rsidR="000155C0" w:rsidRPr="00952000" w:rsidRDefault="000155C0" w:rsidP="000155C0">
      <w:pPr>
        <w:widowControl w:val="0"/>
        <w:ind w:firstLine="708"/>
        <w:rPr>
          <w:rFonts w:cs="Times New Roman"/>
          <w:szCs w:val="24"/>
        </w:rPr>
      </w:pPr>
      <w:r w:rsidRPr="00952000">
        <w:rPr>
          <w:rFonts w:cs="Times New Roman"/>
          <w:szCs w:val="24"/>
        </w:rPr>
        <w:t>- рентгенологическим ориентиром впадения ВПВ в правое предсердие также является пересечение дуги правой границы сердца и линии, идущей вдоль правой границы средостения.</w:t>
      </w:r>
    </w:p>
    <w:p w14:paraId="2F369994" w14:textId="77777777" w:rsidR="000155C0" w:rsidRDefault="000155C0" w:rsidP="000155C0">
      <w:pPr>
        <w:rPr>
          <w:rFonts w:cs="Times New Roman"/>
          <w:b/>
          <w:bCs/>
          <w:szCs w:val="24"/>
        </w:rPr>
      </w:pPr>
    </w:p>
    <w:p w14:paraId="5CAE9D94" w14:textId="77777777" w:rsidR="000155C0" w:rsidRPr="009F4EC0" w:rsidRDefault="000155C0" w:rsidP="000155C0">
      <w:pPr>
        <w:ind w:firstLine="708"/>
        <w:rPr>
          <w:rFonts w:cs="Times New Roman"/>
          <w:i/>
          <w:iCs/>
          <w:szCs w:val="24"/>
          <w:u w:val="single"/>
        </w:rPr>
      </w:pPr>
      <w:r w:rsidRPr="009F4EC0">
        <w:rPr>
          <w:rFonts w:cs="Times New Roman"/>
          <w:i/>
          <w:iCs/>
          <w:szCs w:val="24"/>
          <w:u w:val="single"/>
        </w:rPr>
        <w:t>Обследование пациента, подготовка к манипуляции</w:t>
      </w:r>
    </w:p>
    <w:p w14:paraId="31E0164D" w14:textId="77777777" w:rsidR="000155C0" w:rsidRPr="00952000" w:rsidRDefault="000155C0" w:rsidP="000155C0">
      <w:pPr>
        <w:ind w:firstLine="708"/>
        <w:rPr>
          <w:rFonts w:cs="Times New Roman"/>
          <w:szCs w:val="24"/>
        </w:rPr>
      </w:pPr>
      <w:r w:rsidRPr="00952000">
        <w:rPr>
          <w:rFonts w:cs="Times New Roman"/>
          <w:szCs w:val="24"/>
        </w:rPr>
        <w:t xml:space="preserve">Для обеспечения сосудистого доступа необходима консультация врачом-анестезиологом-реаниматологом. </w:t>
      </w:r>
    </w:p>
    <w:p w14:paraId="7CC45226" w14:textId="77777777" w:rsidR="000155C0" w:rsidRPr="00952000" w:rsidRDefault="000155C0" w:rsidP="004F02C5">
      <w:pPr>
        <w:ind w:firstLine="708"/>
        <w:rPr>
          <w:rFonts w:cs="Times New Roman"/>
          <w:szCs w:val="24"/>
        </w:rPr>
      </w:pPr>
      <w:r w:rsidRPr="00952000">
        <w:rPr>
          <w:rFonts w:cs="Times New Roman"/>
          <w:szCs w:val="24"/>
        </w:rPr>
        <w:t>Физикальный осмотр проводится перед катетеризацией на наличие воспалительных и послеоперационных изменений кожи в местах возможной пункции вен, наличие увеличенных и изменённых лимфоузлов, препятствующих катетеризации, наличие усиленного подкожного рисунка вен, наличие клинических проявлений синдрома сдавления верхней полой вены (осиплость голоса, одышка, кашель, невозможность принятия горизонтального положения и т. д.) Уточняются анамнестические данные – количество предшествующих катетеризаций, имели ли место осложнения катетеризации; интенсивность и сроки планируемого лечения, возможные осложнения (неблагоприятные реакции) терапии, возможность применения других методов лечения, например, лучевой терапии.</w:t>
      </w:r>
    </w:p>
    <w:p w14:paraId="12907544" w14:textId="77777777" w:rsidR="000155C0" w:rsidRDefault="000155C0" w:rsidP="004F02C5">
      <w:pPr>
        <w:ind w:firstLine="708"/>
        <w:rPr>
          <w:rFonts w:cs="Times New Roman"/>
          <w:b/>
          <w:bCs/>
          <w:szCs w:val="24"/>
          <w:shd w:val="clear" w:color="auto" w:fill="FFFFFF"/>
        </w:rPr>
      </w:pPr>
    </w:p>
    <w:p w14:paraId="4AEF761D" w14:textId="77777777" w:rsidR="000155C0" w:rsidRPr="009F4EC0" w:rsidRDefault="000155C0" w:rsidP="004F02C5">
      <w:pPr>
        <w:ind w:firstLine="708"/>
        <w:rPr>
          <w:rFonts w:cs="Times New Roman"/>
          <w:i/>
          <w:iCs/>
          <w:szCs w:val="24"/>
          <w:shd w:val="clear" w:color="auto" w:fill="FFFFFF"/>
        </w:rPr>
      </w:pPr>
      <w:r w:rsidRPr="009F4EC0">
        <w:rPr>
          <w:rFonts w:cs="Times New Roman"/>
          <w:i/>
          <w:iCs/>
          <w:szCs w:val="24"/>
          <w:shd w:val="clear" w:color="auto" w:fill="FFFFFF"/>
        </w:rPr>
        <w:t>Лабораторная диагностика.</w:t>
      </w:r>
    </w:p>
    <w:p w14:paraId="5F930A27" w14:textId="77777777" w:rsidR="000155C0" w:rsidRPr="00952000" w:rsidRDefault="000155C0" w:rsidP="004F02C5">
      <w:pPr>
        <w:rPr>
          <w:rFonts w:cs="Times New Roman"/>
          <w:szCs w:val="24"/>
          <w:shd w:val="clear" w:color="auto" w:fill="FFFFFF"/>
        </w:rPr>
      </w:pPr>
      <w:r w:rsidRPr="00952000">
        <w:rPr>
          <w:rFonts w:cs="Times New Roman"/>
          <w:szCs w:val="24"/>
          <w:shd w:val="clear" w:color="auto" w:fill="FFFFFF"/>
        </w:rPr>
        <w:t>Перед установкой ЦВК необходимо выполнить:</w:t>
      </w:r>
    </w:p>
    <w:p w14:paraId="26F96F48" w14:textId="77777777" w:rsidR="000155C0" w:rsidRPr="00952000" w:rsidRDefault="000155C0" w:rsidP="004F02C5">
      <w:pPr>
        <w:pStyle w:val="afe"/>
        <w:numPr>
          <w:ilvl w:val="0"/>
          <w:numId w:val="136"/>
        </w:numPr>
        <w:rPr>
          <w:rFonts w:cs="Times New Roman"/>
          <w:i/>
          <w:szCs w:val="24"/>
          <w:shd w:val="clear" w:color="auto" w:fill="FFFFFF"/>
        </w:rPr>
      </w:pPr>
      <w:r w:rsidRPr="00952000">
        <w:rPr>
          <w:rFonts w:cs="Times New Roman"/>
          <w:szCs w:val="24"/>
        </w:rPr>
        <w:t>общий (клинический) анализ крови развернутый (при необходимости – с исследованием уровня тромбоцитов в крови по мазку)</w:t>
      </w:r>
    </w:p>
    <w:p w14:paraId="4A2EF353" w14:textId="77777777" w:rsidR="000155C0" w:rsidRPr="00952000" w:rsidRDefault="000155C0" w:rsidP="004F02C5">
      <w:pPr>
        <w:pStyle w:val="afe"/>
        <w:numPr>
          <w:ilvl w:val="0"/>
          <w:numId w:val="135"/>
        </w:numPr>
        <w:rPr>
          <w:rFonts w:cs="Times New Roman"/>
          <w:szCs w:val="24"/>
        </w:rPr>
      </w:pPr>
      <w:r w:rsidRPr="00952000">
        <w:rPr>
          <w:rFonts w:cs="Times New Roman"/>
          <w:szCs w:val="24"/>
          <w:shd w:val="clear" w:color="auto" w:fill="FFFFFF"/>
        </w:rPr>
        <w:t>коагулограмма с определением АЧТВ, протромбинового индекса, фибриногена, при необходимости – с и</w:t>
      </w:r>
      <w:r w:rsidRPr="00952000">
        <w:rPr>
          <w:rFonts w:cs="Times New Roman"/>
          <w:szCs w:val="24"/>
        </w:rPr>
        <w:t>сследованием агрегации тромбоцитов</w:t>
      </w:r>
    </w:p>
    <w:p w14:paraId="06398CA6" w14:textId="77777777" w:rsidR="000155C0" w:rsidRPr="00952000" w:rsidRDefault="000155C0" w:rsidP="004F02C5">
      <w:pPr>
        <w:pStyle w:val="afe"/>
        <w:numPr>
          <w:ilvl w:val="0"/>
          <w:numId w:val="135"/>
        </w:numPr>
        <w:rPr>
          <w:rFonts w:cs="Times New Roman"/>
          <w:szCs w:val="24"/>
        </w:rPr>
      </w:pPr>
      <w:r w:rsidRPr="00952000">
        <w:rPr>
          <w:rFonts w:cs="Times New Roman"/>
          <w:szCs w:val="24"/>
        </w:rPr>
        <w:t xml:space="preserve">определение активности факторов </w:t>
      </w:r>
      <w:r w:rsidRPr="00952000">
        <w:rPr>
          <w:rFonts w:cs="Times New Roman"/>
          <w:szCs w:val="24"/>
          <w:lang w:val="en-US"/>
        </w:rPr>
        <w:t>VIII</w:t>
      </w:r>
      <w:r w:rsidRPr="00952000">
        <w:rPr>
          <w:rFonts w:cs="Times New Roman"/>
          <w:szCs w:val="24"/>
        </w:rPr>
        <w:t xml:space="preserve">, </w:t>
      </w:r>
      <w:r w:rsidRPr="00952000">
        <w:rPr>
          <w:rFonts w:cs="Times New Roman"/>
          <w:szCs w:val="24"/>
          <w:lang w:val="en-US"/>
        </w:rPr>
        <w:t>IX</w:t>
      </w:r>
      <w:r w:rsidRPr="00952000">
        <w:rPr>
          <w:rFonts w:cs="Times New Roman"/>
          <w:szCs w:val="24"/>
        </w:rPr>
        <w:t xml:space="preserve"> и иных в сыворотке крови – по показаниям</w:t>
      </w:r>
    </w:p>
    <w:p w14:paraId="68D57972" w14:textId="77777777" w:rsidR="000155C0" w:rsidRPr="00952000" w:rsidRDefault="000155C0" w:rsidP="004F02C5">
      <w:pPr>
        <w:pStyle w:val="afe"/>
        <w:numPr>
          <w:ilvl w:val="0"/>
          <w:numId w:val="135"/>
        </w:numPr>
        <w:rPr>
          <w:rFonts w:cs="Times New Roman"/>
          <w:szCs w:val="24"/>
        </w:rPr>
      </w:pPr>
      <w:r w:rsidRPr="00952000">
        <w:rPr>
          <w:rFonts w:cs="Times New Roman"/>
          <w:szCs w:val="24"/>
        </w:rPr>
        <w:t>определение основных групп крови, определение подгруппы м других групп крови меньшего значения, определение резус-фактора</w:t>
      </w:r>
    </w:p>
    <w:p w14:paraId="60A0ECA5" w14:textId="77777777" w:rsidR="000155C0" w:rsidRDefault="000155C0" w:rsidP="004F02C5">
      <w:pPr>
        <w:ind w:firstLine="708"/>
        <w:rPr>
          <w:rFonts w:cs="Times New Roman"/>
          <w:b/>
          <w:bCs/>
          <w:szCs w:val="24"/>
        </w:rPr>
      </w:pPr>
    </w:p>
    <w:p w14:paraId="18A354CE" w14:textId="77777777" w:rsidR="000155C0" w:rsidRPr="009F4EC0" w:rsidRDefault="000155C0" w:rsidP="004F02C5">
      <w:pPr>
        <w:ind w:firstLine="708"/>
        <w:rPr>
          <w:rFonts w:cs="Times New Roman"/>
          <w:i/>
          <w:iCs/>
          <w:szCs w:val="24"/>
        </w:rPr>
      </w:pPr>
      <w:r w:rsidRPr="009F4EC0">
        <w:rPr>
          <w:rFonts w:cs="Times New Roman"/>
          <w:i/>
          <w:iCs/>
          <w:szCs w:val="24"/>
        </w:rPr>
        <w:t>Инструментальная диагностика</w:t>
      </w:r>
    </w:p>
    <w:p w14:paraId="4CF914AA" w14:textId="77777777" w:rsidR="000155C0" w:rsidRPr="00952000" w:rsidRDefault="000155C0" w:rsidP="004F02C5">
      <w:pPr>
        <w:rPr>
          <w:rFonts w:cs="Times New Roman"/>
          <w:szCs w:val="24"/>
        </w:rPr>
      </w:pPr>
      <w:r w:rsidRPr="00952000">
        <w:rPr>
          <w:rFonts w:cs="Times New Roman"/>
          <w:szCs w:val="24"/>
        </w:rPr>
        <w:t>Перед выполнением катетеризации необходимо выполнить:</w:t>
      </w:r>
    </w:p>
    <w:p w14:paraId="0A9A8F95" w14:textId="77777777" w:rsidR="000155C0" w:rsidRPr="00DB2B4A" w:rsidRDefault="000155C0" w:rsidP="004F02C5">
      <w:pPr>
        <w:pStyle w:val="afe"/>
        <w:numPr>
          <w:ilvl w:val="0"/>
          <w:numId w:val="135"/>
        </w:numPr>
        <w:rPr>
          <w:rFonts w:cs="Times New Roman"/>
          <w:szCs w:val="24"/>
        </w:rPr>
      </w:pPr>
      <w:r w:rsidRPr="00DB2B4A">
        <w:rPr>
          <w:rFonts w:cs="Times New Roman"/>
          <w:szCs w:val="24"/>
        </w:rPr>
        <w:t xml:space="preserve">рентгенография органов грудной клетки или </w:t>
      </w:r>
      <w:r w:rsidRPr="00DB2B4A">
        <w:rPr>
          <w:rFonts w:cs="Times New Roman"/>
          <w:szCs w:val="24"/>
          <w:shd w:val="clear" w:color="auto" w:fill="FFFFFF" w:themeFill="background1"/>
        </w:rPr>
        <w:t>– предпочтительно</w:t>
      </w:r>
      <w:r w:rsidRPr="00DB2B4A">
        <w:rPr>
          <w:rFonts w:cs="Times New Roman"/>
          <w:szCs w:val="24"/>
        </w:rPr>
        <w:t xml:space="preserve"> </w:t>
      </w:r>
      <w:r>
        <w:rPr>
          <w:rFonts w:cs="Times New Roman"/>
          <w:szCs w:val="24"/>
        </w:rPr>
        <w:t xml:space="preserve">– </w:t>
      </w:r>
      <w:r w:rsidRPr="00DB2B4A">
        <w:rPr>
          <w:rFonts w:cs="Times New Roman"/>
          <w:szCs w:val="24"/>
        </w:rPr>
        <w:t>компьютерная томография органов грудной клетки (КТ)</w:t>
      </w:r>
      <w:r w:rsidRPr="00DB2B4A">
        <w:rPr>
          <w:rFonts w:cs="Times New Roman"/>
          <w:szCs w:val="24"/>
          <w:shd w:val="clear" w:color="auto" w:fill="FFFFFF" w:themeFill="background1"/>
        </w:rPr>
        <w:t>, с болюсным контрастным усилением (по показаниям)</w:t>
      </w:r>
    </w:p>
    <w:p w14:paraId="66830817" w14:textId="77777777" w:rsidR="000155C0" w:rsidRPr="00952000" w:rsidRDefault="000155C0" w:rsidP="004F02C5">
      <w:pPr>
        <w:pStyle w:val="afe"/>
        <w:numPr>
          <w:ilvl w:val="0"/>
          <w:numId w:val="135"/>
        </w:numPr>
        <w:rPr>
          <w:rFonts w:cs="Times New Roman"/>
          <w:szCs w:val="24"/>
        </w:rPr>
      </w:pPr>
      <w:r w:rsidRPr="00952000">
        <w:rPr>
          <w:rFonts w:cs="Times New Roman"/>
          <w:szCs w:val="24"/>
        </w:rPr>
        <w:t xml:space="preserve">ультразвуковое агиосканирование </w:t>
      </w:r>
    </w:p>
    <w:p w14:paraId="4BDA46B4" w14:textId="77777777" w:rsidR="000155C0" w:rsidRPr="00952000" w:rsidRDefault="000155C0" w:rsidP="004F02C5">
      <w:pPr>
        <w:pStyle w:val="afe"/>
        <w:numPr>
          <w:ilvl w:val="0"/>
          <w:numId w:val="135"/>
        </w:numPr>
        <w:rPr>
          <w:rFonts w:cs="Times New Roman"/>
          <w:szCs w:val="24"/>
        </w:rPr>
      </w:pPr>
      <w:r w:rsidRPr="00952000">
        <w:rPr>
          <w:rFonts w:cs="Times New Roman"/>
          <w:szCs w:val="24"/>
        </w:rPr>
        <w:t>ЭКГ</w:t>
      </w:r>
    </w:p>
    <w:p w14:paraId="0FD733E5" w14:textId="4F3C6279" w:rsidR="000155C0" w:rsidRPr="00952000" w:rsidRDefault="000155C0" w:rsidP="004F02C5">
      <w:pPr>
        <w:pStyle w:val="afd"/>
        <w:spacing w:beforeAutospacing="0" w:afterAutospacing="0" w:line="360" w:lineRule="auto"/>
      </w:pPr>
      <w:r w:rsidRPr="00952000">
        <w:t xml:space="preserve">Ультразвуковое сопровождение в реальном времени обеспечивает возможность выбора направления иглы при пункции внутренней яремной, аксиллярной, подмышечной или бедренной вены, позволяя тем самым избежать случайного ранение артерии </w:t>
      </w:r>
      <w:r w:rsidRPr="00952000">
        <w:fldChar w:fldCharType="begin" w:fldLock="1"/>
      </w:r>
      <w:r w:rsidR="004810E5">
        <w:instrText>ADDIN CSL_CITATION {"citationItems":[{"id":"ITEM-1","itemData":{"DOI":"10.2147/RMHP.S10383","ISSN":"1179-1594","PMID":"22312225","abstract":"Central venous cannulation is a commonly performed procedure which facilitates resuscitation, nutritional support, and long-term vascular access. Mechanical complications most often occur during insertion and are intimately related to the anatomic relationship of the central veins. Working knowledge of surface and deep anatomy minimizes complications. Use of surface anatomic landmarks to orient the deep course of cannulating needle tracts appropriately comprises the crux of complication avoidance. The authors describe use of surface landmarks to facilitate safe placement of internal jugular, subclavian, and femoral venous catheters. The role of real-time sonography as a safety-enhancing adjunct is reviewed.","author":[{"dropping-particle":"","family":"Bannon","given":"Michael P","non-dropping-particle":"","parse-names":false,"suffix":""},{"dropping-particle":"","family":"Heller","given":"Stephanie F","non-dropping-particle":"","parse-names":false,"suffix":""},{"dropping-particle":"","family":"Rivera","given":"Mariela","non-dropping-particle":"","parse-names":false,"suffix":""}],"container-title":"Risk management and healthcare policy","id":"ITEM-1","issued":{"date-parts":[["2011"]]},"page":"27-39","publisher":"Dove Press","title":"Anatomic considerations for central venous cannulation.","type":"article-journal","volume":"4"},"uris":["http://www.mendeley.com/documents/?uuid=f27d2d96-8c0e-37ae-a769-16d58b15a227","http://www.mendeley.com/documents/?uuid=f0df5ed8-bde5-4ae2-bb07-d53d990cfba6"]}],"mendeley":{"formattedCitation":"[162]","plainTextFormattedCitation":"[162]","previouslyFormattedCitation":"[162]"},"properties":{"noteIndex":0},"schema":"https://github.com/citation-style-language/schema/raw/master/csl-citation.json"}</w:instrText>
      </w:r>
      <w:r w:rsidRPr="00952000">
        <w:fldChar w:fldCharType="separate"/>
      </w:r>
      <w:r w:rsidR="004F33C9" w:rsidRPr="004F33C9">
        <w:rPr>
          <w:noProof/>
        </w:rPr>
        <w:t>[162]</w:t>
      </w:r>
      <w:r w:rsidRPr="00952000">
        <w:fldChar w:fldCharType="end"/>
      </w:r>
      <w:r w:rsidRPr="00952000">
        <w:t>.</w:t>
      </w:r>
    </w:p>
    <w:p w14:paraId="4DEE9D20" w14:textId="77777777" w:rsidR="000155C0" w:rsidRPr="00952000" w:rsidRDefault="000155C0" w:rsidP="004F02C5">
      <w:pPr>
        <w:pStyle w:val="afd"/>
        <w:spacing w:beforeAutospacing="0" w:afterAutospacing="0" w:line="360" w:lineRule="auto"/>
        <w:rPr>
          <w:strike/>
        </w:rPr>
      </w:pPr>
      <w:r w:rsidRPr="00952000">
        <w:t>Использование ультразвукового сопровождения даже при установке ЦВК при тромбоцитопении менее 20х10</w:t>
      </w:r>
      <w:r w:rsidRPr="00952000">
        <w:rPr>
          <w:vertAlign w:val="superscript"/>
        </w:rPr>
        <w:t>9</w:t>
      </w:r>
      <w:r w:rsidRPr="00952000">
        <w:t>/л позволяет избежать серьезных геморрагических осложнений.</w:t>
      </w:r>
    </w:p>
    <w:p w14:paraId="560EB2A9" w14:textId="60CECB99" w:rsidR="000155C0" w:rsidRPr="00952000" w:rsidRDefault="000155C0" w:rsidP="004F02C5">
      <w:pPr>
        <w:pStyle w:val="afd"/>
        <w:spacing w:beforeAutospacing="0" w:afterAutospacing="0" w:line="360" w:lineRule="auto"/>
      </w:pPr>
      <w:r w:rsidRPr="00952000">
        <w:t xml:space="preserve">В настоящее время УЗИ считается «золотым стандартом» при установке центрального венозного катетера с использованием яремного доступа, так как ВЯВ близко прилежит к поверхности кожи, нет мышц, которые бы могли затруднить визуализацию </w:t>
      </w:r>
      <w:r w:rsidRPr="00952000">
        <w:fldChar w:fldCharType="begin" w:fldLock="1"/>
      </w:r>
      <w:r w:rsidR="004810E5">
        <w:instrText>ADDIN CSL_CITATION {"citationItems":[{"id":"ITEM-1","itemData":{"DOI":"10.1097/01.CCM.0000171533.92856.E5","ISSN":"0090-3493","author":[{"dropping-particle":"","family":"Milling","given":"Truman J.","non-dropping-particle":"","parse-names":false,"suffix":""},{"dropping-particle":"","family":"Rose","given":"John","non-dropping-particle":"","parse-names":false,"suffix":""},{"dropping-particle":"","family":"Briggs","given":"William M.","non-dropping-particle":"","parse-names":false,"suffix":""},{"dropping-particle":"","family":"Birkhahn","given":"Robert","non-dropping-particle":"","parse-names":false,"suffix":""},{"dropping-particle":"","family":"Gaeta","given":"Theodore J.","non-dropping-particle":"","parse-names":false,"suffix":""},{"dropping-particle":"","family":"Bove","given":"Joseph J.","non-dropping-particle":"","parse-names":false,"suffix":""},{"dropping-particle":"","family":"Melniker","given":"Lawrence A.","non-dropping-particle":"","parse-names":false,"suffix":""}],"container-title":"Critical Care Medicine","id":"ITEM-1","issue":"8","issued":{"date-parts":[["2005","8"]]},"page":"1764-1769","title":"Randomized, controlled clinical trial of point-of-care limited ultrasonography assistance of central venous cannulation: The Third Sonography Outcomes Assessment Program (SOAP-3) Trial*","type":"article-journal","volume":"33"},"uris":["http://www.mendeley.com/documents/?uuid=054ddacc-452c-3e56-9229-17632ae9ca05","http://www.mendeley.com/documents/?uuid=d52028d6-19cc-49b2-bfeb-b898ed00d7fe"]}],"mendeley":{"formattedCitation":"[163]","plainTextFormattedCitation":"[163]","previouslyFormattedCitation":"[163]"},"properties":{"noteIndex":0},"schema":"https://github.com/citation-style-language/schema/raw/master/csl-citation.json"}</w:instrText>
      </w:r>
      <w:r w:rsidRPr="00952000">
        <w:fldChar w:fldCharType="separate"/>
      </w:r>
      <w:r w:rsidR="004F33C9" w:rsidRPr="004F33C9">
        <w:rPr>
          <w:noProof/>
        </w:rPr>
        <w:t>[163]</w:t>
      </w:r>
      <w:r w:rsidRPr="00952000">
        <w:fldChar w:fldCharType="end"/>
      </w:r>
      <w:r w:rsidRPr="00952000">
        <w:t>. Помимо этого, правая ВЯВ образует практически прямую линию, что уменьшает травму сосуда и риск возникновения КАТ при использовании катетера.</w:t>
      </w:r>
    </w:p>
    <w:p w14:paraId="0CE8D5AA" w14:textId="77777777" w:rsidR="000155C0" w:rsidRPr="00952000" w:rsidRDefault="000155C0" w:rsidP="004F02C5">
      <w:pPr>
        <w:ind w:firstLine="700"/>
        <w:rPr>
          <w:rFonts w:eastAsia="Times New Roman" w:cs="Times New Roman"/>
          <w:szCs w:val="24"/>
          <w:lang w:eastAsia="ru-RU"/>
        </w:rPr>
      </w:pPr>
      <w:r w:rsidRPr="00952000">
        <w:rPr>
          <w:rFonts w:eastAsia="Times New Roman" w:cs="Times New Roman"/>
          <w:szCs w:val="24"/>
          <w:lang w:eastAsia="ru-RU"/>
        </w:rPr>
        <w:t xml:space="preserve">Ультразвуковое сопровождение катетеризации центральных вен не исключает знания анатомии и поверхностных анатомических ориентиров, которые остаются необходимыми для ориентации как иглы, так и самого ультразвукового датчика. Ультразвуковое сопровождение катетеризации позволяет визуализировать не только вену, но и располагающиеся вблизи анатомические структуры. </w:t>
      </w:r>
    </w:p>
    <w:p w14:paraId="5B598D2F" w14:textId="77777777" w:rsidR="000155C0" w:rsidRPr="00952000" w:rsidRDefault="000155C0" w:rsidP="004F02C5">
      <w:pPr>
        <w:ind w:firstLine="708"/>
        <w:rPr>
          <w:rFonts w:cs="Times New Roman"/>
          <w:szCs w:val="24"/>
        </w:rPr>
      </w:pPr>
      <w:r w:rsidRPr="00952000">
        <w:rPr>
          <w:rFonts w:cs="Times New Roman"/>
          <w:szCs w:val="24"/>
        </w:rPr>
        <w:t>В случае выявления поражения средостения по данным рентгенологического исследования, а также при клинической картине синдрома сдавления верхней полой вены, перед катетеризацией необходимо выполнение КТ органов грудной клетки с болюсным контрастным усилением для оценки проходимости крупных венозных сосудов, диагностики тромботических осложнений.</w:t>
      </w:r>
    </w:p>
    <w:p w14:paraId="158A2748" w14:textId="77777777" w:rsidR="000155C0" w:rsidRDefault="000155C0" w:rsidP="004F02C5">
      <w:pPr>
        <w:rPr>
          <w:rFonts w:cs="Times New Roman"/>
          <w:b/>
          <w:bCs/>
          <w:szCs w:val="24"/>
        </w:rPr>
      </w:pPr>
    </w:p>
    <w:p w14:paraId="7011BB83" w14:textId="77777777" w:rsidR="000155C0" w:rsidRPr="009F4EC0" w:rsidRDefault="000155C0" w:rsidP="004F02C5">
      <w:pPr>
        <w:rPr>
          <w:rFonts w:cs="Times New Roman"/>
          <w:i/>
          <w:iCs/>
          <w:szCs w:val="24"/>
        </w:rPr>
      </w:pPr>
      <w:r w:rsidRPr="009F4EC0">
        <w:rPr>
          <w:rFonts w:cs="Times New Roman"/>
          <w:i/>
          <w:iCs/>
          <w:szCs w:val="24"/>
        </w:rPr>
        <w:t xml:space="preserve">Выбор типа ЦВК </w:t>
      </w:r>
    </w:p>
    <w:p w14:paraId="73537FEE" w14:textId="77777777" w:rsidR="000155C0" w:rsidRPr="00952000" w:rsidRDefault="000155C0" w:rsidP="004F02C5">
      <w:pPr>
        <w:rPr>
          <w:rFonts w:cs="Times New Roman"/>
          <w:szCs w:val="24"/>
        </w:rPr>
      </w:pPr>
      <w:r w:rsidRPr="00952000">
        <w:rPr>
          <w:rFonts w:cs="Times New Roman"/>
          <w:szCs w:val="24"/>
        </w:rPr>
        <w:t xml:space="preserve">Больным </w:t>
      </w:r>
      <w:r w:rsidRPr="00952000">
        <w:rPr>
          <w:rFonts w:cs="Times New Roman"/>
          <w:b/>
          <w:szCs w:val="24"/>
        </w:rPr>
        <w:t>острым миелоидным лейкозом</w:t>
      </w:r>
      <w:r w:rsidRPr="00952000">
        <w:rPr>
          <w:rFonts w:cs="Times New Roman"/>
          <w:szCs w:val="24"/>
        </w:rPr>
        <w:t xml:space="preserve"> при проведении индукционных курсов химиотерапии, а также при проведении курсов консолидации и поддерживающей терапии устанавливается нетуннелируемый центральный венозный катетер в одну из вен бассейна верхней полой вены (внутреннюю яремную вену, подключичную вену, аксиллярную вену). Следует отдавать предпочтение двухпросветным или трехпросветным нетуннелируемым катетерам, поскольку нередко больным одновременно вводят несовместимые между собой растворы.</w:t>
      </w:r>
    </w:p>
    <w:p w14:paraId="655FCAAA" w14:textId="77777777" w:rsidR="000155C0" w:rsidRPr="00952000" w:rsidRDefault="000155C0" w:rsidP="004F02C5">
      <w:pPr>
        <w:ind w:firstLine="708"/>
        <w:rPr>
          <w:rFonts w:cs="Times New Roman"/>
          <w:szCs w:val="24"/>
        </w:rPr>
      </w:pPr>
      <w:r w:rsidRPr="00952000">
        <w:rPr>
          <w:rFonts w:cs="Times New Roman"/>
          <w:szCs w:val="24"/>
        </w:rPr>
        <w:t>Установка долговременных венозных катетеров не оправдана из-за высокого риска инфицирования системы.</w:t>
      </w:r>
    </w:p>
    <w:p w14:paraId="26EEC9AE" w14:textId="77777777" w:rsidR="000155C0" w:rsidRPr="00952000" w:rsidRDefault="000155C0" w:rsidP="000155C0">
      <w:pPr>
        <w:ind w:firstLine="708"/>
        <w:rPr>
          <w:rFonts w:cs="Times New Roman"/>
          <w:szCs w:val="24"/>
        </w:rPr>
      </w:pPr>
      <w:r w:rsidRPr="00952000">
        <w:rPr>
          <w:rFonts w:cs="Times New Roman"/>
          <w:szCs w:val="24"/>
        </w:rPr>
        <w:t xml:space="preserve">У больных </w:t>
      </w:r>
      <w:r w:rsidRPr="00952000">
        <w:rPr>
          <w:rFonts w:cs="Times New Roman"/>
          <w:b/>
          <w:szCs w:val="24"/>
        </w:rPr>
        <w:t>острым промиелоцитарным лейкозом</w:t>
      </w:r>
      <w:r w:rsidRPr="00952000">
        <w:rPr>
          <w:rFonts w:cs="Times New Roman"/>
          <w:szCs w:val="24"/>
        </w:rPr>
        <w:t xml:space="preserve"> при наличии выраженного геморрагического синдрома, как правило, вызванного тромбоцитопенией, гипофибриногенемией, гиперфибринолизом при проведении индукционного курса химиотерапии рекомендуется воздержаться от катетеризации яремных или подключичных вен из-за риска развития угрожающих жизни геморрагических осложнений (возможно развитие гемоторакса, обширных гематом на грудной клетке, развитие гематомы на шее со сдавлением и обструкцией верхних дыхательных путей). В условиях выраженного геморрагического синдрома у этой категории больных методом выбора может явиться катетеризация бедренной вены, либо установка периферически имплантируемого центрального венозного катетера (ПИЦВК) в кубитальную или плечевую вену. Поскольку этим больным требуются большие объемы инфузий, предпочтение следует отдать высокопоточным ПИЦВК, желательно имеющим два-три просвета. После купирования геморрагического синдрома в результате применения дифференцировочных препаратов (полностью транс-ретиноевой кислоты, мышьяка) и/или циторедуктивной химиотерапии больному может быть безопасно установлен нетуннелируемый катетер в одну из вен бассейна верхней полой вены (внутреннюю яремную вену, подключичную вену, аксиллярную вену). В то же время у больных острым промиелоцитарным лейкозом ПИ-ЦВК могут использоваться длительно, при отсутствии осложнений вся программа лечения лейкоза может быть выполнена через него. </w:t>
      </w:r>
    </w:p>
    <w:p w14:paraId="31BBDD99" w14:textId="77777777" w:rsidR="000155C0" w:rsidRPr="00952000" w:rsidRDefault="000155C0" w:rsidP="000155C0">
      <w:pPr>
        <w:ind w:firstLine="708"/>
        <w:rPr>
          <w:rFonts w:cs="Times New Roman"/>
          <w:szCs w:val="24"/>
        </w:rPr>
      </w:pPr>
      <w:r w:rsidRPr="00952000">
        <w:rPr>
          <w:rFonts w:cs="Times New Roman"/>
          <w:szCs w:val="24"/>
        </w:rPr>
        <w:t>Нет четких показаний для удаления ПИЦВК в межкурсовом периоде. Учитывая срок службы катетера, а также с целью предотвращения дополнительной травмы венозной стенки или для продолжения терапии может быть установлена полностью имплантируемая порт-система (порт-система).</w:t>
      </w:r>
    </w:p>
    <w:p w14:paraId="0F30F1B4" w14:textId="77777777" w:rsidR="000155C0" w:rsidRPr="00952000" w:rsidRDefault="000155C0" w:rsidP="000155C0">
      <w:pPr>
        <w:ind w:firstLine="708"/>
        <w:rPr>
          <w:rFonts w:cs="Times New Roman"/>
          <w:szCs w:val="24"/>
        </w:rPr>
      </w:pPr>
      <w:r w:rsidRPr="00952000">
        <w:rPr>
          <w:rFonts w:cs="Times New Roman"/>
          <w:szCs w:val="24"/>
        </w:rPr>
        <w:t xml:space="preserve">Важной задачей является обеспечение сосудистого доступа </w:t>
      </w:r>
      <w:r w:rsidRPr="00952000">
        <w:rPr>
          <w:rFonts w:cs="Times New Roman"/>
          <w:b/>
          <w:szCs w:val="24"/>
        </w:rPr>
        <w:t>при проведении трансплантации гемопоэтических стволовых клеток</w:t>
      </w:r>
      <w:r w:rsidRPr="00952000">
        <w:rPr>
          <w:rFonts w:cs="Times New Roman"/>
          <w:szCs w:val="24"/>
        </w:rPr>
        <w:t xml:space="preserve"> (ТГСК). При трансплантации аутологичных ГСК достаточно установки нетуннелируемого катетера. При трансплантации аллогенных ГСК и прежде всего неродственных ГСК показана установка либо двухпросветного или трехпросветного ЦВК либо туннелируемых катетеров (катетер Хикмана, Леонарда). При проведении трансплантации с использованием туннелируемых ЦВК значительно реже развиваются ЦВК-ассоциированные инфекционные осложнения. Туннелируемые ЦВК не имеют преимуществ перед нетуннелируемыми ЦВК с антибактериальным покрытием при использовании в течение одного месяца. Однако при длительном использовании туннелируемых катетеров осложнений значительно меньше, чем при использовании нетуннелируемых (как с антибактериальным покрытием, так и без него). Поскольку при трансплантации аллогенных ГСК (прежде всего, неродственных) многие осложнения (реакция трансплантат против хозяина с поражением кожи, кишечника, инфекционные осложнения, геморрагический цистит и т. д.) возникают в первые 100 дней после трансплантации, и больные длительно нуждаются в сосудистом доступе, предпочтение следует отдать туннелируемым ЦВК (катетер Хикмана, Леонарда). Эти катетеры следует оставлять на несколько месяцев даже после выписки больного из стационара. Для уменьшения риска воздушной эмболии может быть установлен катетер Хикмана с клапаном Грошонга на дистальном конце, либо на проксимальный конец туннелируемого катетера устанавливаются специальные клапаны. Опыт длительного (в течение 4—6 мес) использования туннелируемых катетеров после ТГСК показал их безопасность и эффективность.</w:t>
      </w:r>
    </w:p>
    <w:p w14:paraId="63B545EE" w14:textId="77777777" w:rsidR="000155C0" w:rsidRDefault="000155C0" w:rsidP="000155C0">
      <w:pPr>
        <w:ind w:firstLine="708"/>
        <w:rPr>
          <w:rFonts w:cs="Times New Roman"/>
          <w:b/>
          <w:bCs/>
          <w:szCs w:val="24"/>
        </w:rPr>
      </w:pPr>
    </w:p>
    <w:p w14:paraId="3C489680" w14:textId="77777777" w:rsidR="000155C0" w:rsidRPr="009F4EC0" w:rsidRDefault="000155C0" w:rsidP="000155C0">
      <w:pPr>
        <w:ind w:firstLine="708"/>
        <w:rPr>
          <w:rFonts w:cs="Times New Roman"/>
          <w:i/>
          <w:iCs/>
          <w:szCs w:val="24"/>
          <w:u w:val="single"/>
        </w:rPr>
      </w:pPr>
      <w:r w:rsidRPr="009F4EC0">
        <w:rPr>
          <w:rFonts w:cs="Times New Roman"/>
          <w:i/>
          <w:iCs/>
          <w:szCs w:val="24"/>
          <w:u w:val="single"/>
        </w:rPr>
        <w:t>Профилактика осложнений</w:t>
      </w:r>
    </w:p>
    <w:p w14:paraId="47C27A93" w14:textId="77777777" w:rsidR="000155C0" w:rsidRPr="009F4EC0" w:rsidRDefault="000155C0" w:rsidP="000155C0">
      <w:pPr>
        <w:ind w:firstLine="708"/>
        <w:rPr>
          <w:rFonts w:cs="Times New Roman"/>
          <w:i/>
          <w:iCs/>
          <w:szCs w:val="24"/>
        </w:rPr>
      </w:pPr>
      <w:r w:rsidRPr="009F4EC0">
        <w:rPr>
          <w:rFonts w:cs="Times New Roman"/>
          <w:i/>
          <w:iCs/>
          <w:szCs w:val="24"/>
        </w:rPr>
        <w:t>Методы профилактики ранних осложнений</w:t>
      </w:r>
    </w:p>
    <w:p w14:paraId="0AE53D96" w14:textId="77777777" w:rsidR="000155C0" w:rsidRPr="00952000" w:rsidRDefault="000155C0" w:rsidP="000155C0">
      <w:pPr>
        <w:pStyle w:val="afe"/>
        <w:numPr>
          <w:ilvl w:val="0"/>
          <w:numId w:val="137"/>
        </w:numPr>
        <w:tabs>
          <w:tab w:val="left" w:pos="709"/>
        </w:tabs>
        <w:ind w:left="709"/>
        <w:rPr>
          <w:rFonts w:cs="Times New Roman"/>
          <w:szCs w:val="24"/>
        </w:rPr>
      </w:pPr>
      <w:r w:rsidRPr="00952000">
        <w:rPr>
          <w:rFonts w:cs="Times New Roman"/>
          <w:szCs w:val="24"/>
        </w:rPr>
        <w:t>Ультразвуковое сопровождение катетеризации центральных вен</w:t>
      </w:r>
    </w:p>
    <w:p w14:paraId="1778515A" w14:textId="77777777" w:rsidR="000155C0" w:rsidRPr="00952000" w:rsidRDefault="000155C0" w:rsidP="000155C0">
      <w:pPr>
        <w:ind w:firstLine="708"/>
        <w:rPr>
          <w:rFonts w:cs="Times New Roman"/>
          <w:strike/>
          <w:szCs w:val="24"/>
        </w:rPr>
      </w:pPr>
      <w:r w:rsidRPr="00952000">
        <w:rPr>
          <w:rFonts w:cs="Times New Roman"/>
          <w:szCs w:val="24"/>
        </w:rPr>
        <w:t>С использованием линейного датчика 10 МГц, который обеспечивает поверхность сканирования 20-50 мм и глубину до 80 мм или в допплеровском режиме.</w:t>
      </w:r>
    </w:p>
    <w:p w14:paraId="7DD5A376" w14:textId="77777777" w:rsidR="000155C0" w:rsidRPr="00952000" w:rsidRDefault="000155C0" w:rsidP="000155C0">
      <w:pPr>
        <w:ind w:firstLine="708"/>
        <w:rPr>
          <w:rFonts w:cs="Times New Roman"/>
          <w:szCs w:val="24"/>
        </w:rPr>
      </w:pPr>
      <w:r w:rsidRPr="00952000">
        <w:rPr>
          <w:rFonts w:cs="Times New Roman"/>
          <w:szCs w:val="24"/>
        </w:rPr>
        <w:t>Пункцию вены осуществляют в режиме постоянной визуализации острия иглы.</w:t>
      </w:r>
    </w:p>
    <w:p w14:paraId="07ECE7CC" w14:textId="77777777" w:rsidR="000155C0" w:rsidRPr="00952000" w:rsidRDefault="000155C0" w:rsidP="000155C0">
      <w:pPr>
        <w:ind w:firstLine="708"/>
        <w:rPr>
          <w:rFonts w:cs="Times New Roman"/>
          <w:szCs w:val="24"/>
        </w:rPr>
      </w:pPr>
      <w:r w:rsidRPr="00952000">
        <w:rPr>
          <w:rFonts w:cs="Times New Roman"/>
          <w:szCs w:val="24"/>
        </w:rPr>
        <w:t xml:space="preserve">Нарушения гемостаза компенсируются с помощью заместительной терапии компонентами крови. </w:t>
      </w:r>
    </w:p>
    <w:p w14:paraId="26852F63" w14:textId="77777777" w:rsidR="000155C0" w:rsidRPr="00952000" w:rsidRDefault="000155C0" w:rsidP="000155C0">
      <w:pPr>
        <w:ind w:firstLine="708"/>
        <w:rPr>
          <w:rFonts w:eastAsia="ＭＳ 明朝 (Основной текст темы (ази" w:cs="Times New Roman"/>
          <w:szCs w:val="24"/>
          <w:lang w:eastAsia="ru-RU"/>
        </w:rPr>
      </w:pPr>
      <w:r w:rsidRPr="00952000">
        <w:rPr>
          <w:rFonts w:cs="Times New Roman"/>
          <w:szCs w:val="24"/>
        </w:rPr>
        <w:t>Трансфузию концентратов тромбоцитов выполняют при снижении их концентрации в периферической крови ниже 20х10</w:t>
      </w:r>
      <w:r w:rsidRPr="00952000">
        <w:rPr>
          <w:rFonts w:cs="Times New Roman"/>
          <w:szCs w:val="24"/>
          <w:vertAlign w:val="superscript"/>
        </w:rPr>
        <w:t>9</w:t>
      </w:r>
      <w:r w:rsidRPr="00952000">
        <w:rPr>
          <w:rFonts w:cs="Times New Roman"/>
          <w:szCs w:val="24"/>
        </w:rPr>
        <w:t xml:space="preserve">/л </w:t>
      </w:r>
      <w:r w:rsidRPr="00952000">
        <w:rPr>
          <w:rFonts w:eastAsia="ＭＳ 明朝 (Основной текст темы (ази" w:cs="Times New Roman"/>
          <w:szCs w:val="24"/>
          <w:lang w:eastAsia="ru-RU"/>
        </w:rPr>
        <w:t>из расчета 1 ед. или 0,6х10</w:t>
      </w:r>
      <w:r w:rsidRPr="00952000">
        <w:rPr>
          <w:rFonts w:eastAsia="ＭＳ 明朝 (Основной текст темы (ази" w:cs="Times New Roman"/>
          <w:szCs w:val="24"/>
          <w:vertAlign w:val="superscript"/>
          <w:lang w:eastAsia="ru-RU"/>
        </w:rPr>
        <w:t>11</w:t>
      </w:r>
      <w:r w:rsidRPr="00952000">
        <w:rPr>
          <w:rFonts w:eastAsia="ＭＳ 明朝 (Основной текст темы (ази" w:cs="Times New Roman"/>
          <w:szCs w:val="24"/>
          <w:lang w:eastAsia="ru-RU"/>
        </w:rPr>
        <w:t xml:space="preserve"> клеток на 10 кг массы тела либо 1 терапевтическая доза (2х10</w:t>
      </w:r>
      <w:r w:rsidRPr="00952000">
        <w:rPr>
          <w:rFonts w:eastAsia="ＭＳ 明朝 (Основной текст темы (ази" w:cs="Times New Roman"/>
          <w:szCs w:val="24"/>
          <w:vertAlign w:val="superscript"/>
          <w:lang w:eastAsia="ru-RU"/>
        </w:rPr>
        <w:t>11</w:t>
      </w:r>
      <w:r w:rsidRPr="00952000">
        <w:rPr>
          <w:rFonts w:eastAsia="ＭＳ 明朝 (Основной текст темы (ази" w:cs="Times New Roman"/>
          <w:szCs w:val="24"/>
          <w:lang w:eastAsia="ru-RU"/>
        </w:rPr>
        <w:t xml:space="preserve"> клеток) на 1 м</w:t>
      </w:r>
      <w:r w:rsidRPr="00952000">
        <w:rPr>
          <w:rFonts w:eastAsia="ＭＳ 明朝 (Основной текст темы (ази" w:cs="Times New Roman"/>
          <w:szCs w:val="24"/>
          <w:vertAlign w:val="superscript"/>
          <w:lang w:eastAsia="ru-RU"/>
        </w:rPr>
        <w:t>2</w:t>
      </w:r>
      <w:r w:rsidRPr="00952000">
        <w:rPr>
          <w:rFonts w:eastAsia="ＭＳ 明朝 (Основной текст темы (ази" w:cs="Times New Roman"/>
          <w:szCs w:val="24"/>
          <w:lang w:eastAsia="ru-RU"/>
        </w:rPr>
        <w:t xml:space="preserve"> поверхности тела.</w:t>
      </w:r>
    </w:p>
    <w:p w14:paraId="5E77BE3B" w14:textId="77777777" w:rsidR="000155C0" w:rsidRPr="00952000" w:rsidRDefault="000155C0" w:rsidP="000155C0">
      <w:pPr>
        <w:ind w:firstLine="708"/>
        <w:rPr>
          <w:rFonts w:cs="Times New Roman"/>
          <w:szCs w:val="24"/>
        </w:rPr>
      </w:pPr>
      <w:r w:rsidRPr="00952000">
        <w:rPr>
          <w:rFonts w:eastAsia="ＭＳ 明朝 (Основной текст темы (ази" w:cs="Times New Roman"/>
          <w:szCs w:val="24"/>
          <w:lang w:eastAsia="ru-RU"/>
        </w:rPr>
        <w:t>Трансфузии</w:t>
      </w:r>
      <w:r w:rsidRPr="00952000">
        <w:rPr>
          <w:rFonts w:cs="Times New Roman"/>
          <w:szCs w:val="24"/>
        </w:rPr>
        <w:t xml:space="preserve"> криопреципитата выполняют при снижении концентрации фибриногена плазмы &lt;1,5 г/л из расчета 1 доза на 5 кг массы тела больного.</w:t>
      </w:r>
    </w:p>
    <w:p w14:paraId="32C9D266" w14:textId="77777777" w:rsidR="000155C0" w:rsidRPr="00952000" w:rsidRDefault="000155C0" w:rsidP="000155C0">
      <w:pPr>
        <w:ind w:firstLine="708"/>
        <w:rPr>
          <w:rFonts w:eastAsia="ＭＳ 明朝 (Основной текст темы (ази" w:cs="Times New Roman"/>
          <w:szCs w:val="24"/>
          <w:lang w:eastAsia="ru-RU"/>
        </w:rPr>
      </w:pPr>
      <w:r w:rsidRPr="00952000">
        <w:rPr>
          <w:rFonts w:cs="Times New Roman"/>
          <w:szCs w:val="24"/>
        </w:rPr>
        <w:t>Трансфузии свежезамороженной плазмы проводят для коррекции дефицита факторов свертывания в дозе 10-15 мл/кг для обеспечения концентрации факторов свёртывания на уровне 30%.</w:t>
      </w:r>
    </w:p>
    <w:p w14:paraId="03995B4A" w14:textId="687B11A3" w:rsidR="000155C0" w:rsidRPr="00952000" w:rsidRDefault="000155C0" w:rsidP="000155C0">
      <w:pPr>
        <w:rPr>
          <w:rFonts w:cs="Times New Roman"/>
          <w:szCs w:val="24"/>
        </w:rPr>
      </w:pPr>
      <w:r w:rsidRPr="00952000">
        <w:rPr>
          <w:rFonts w:cs="Times New Roman"/>
          <w:szCs w:val="24"/>
        </w:rPr>
        <w:t xml:space="preserve">У больных гемофилией расчет дозы концентрата дефицитного фактора свертывания проводят по формулам </w:t>
      </w:r>
      <w:r w:rsidRPr="00952000">
        <w:rPr>
          <w:rFonts w:cs="Times New Roman"/>
          <w:szCs w:val="24"/>
        </w:rPr>
        <w:fldChar w:fldCharType="begin" w:fldLock="1"/>
      </w:r>
      <w:r w:rsidR="004810E5">
        <w:rPr>
          <w:rFonts w:cs="Times New Roman"/>
          <w:szCs w:val="24"/>
        </w:rPr>
        <w:instrText>ADDIN CSL_CITATION {"citationItems":[{"id":"ITEM-1","itemData":{"author":[{"dropping-particle":"","family":"Зозуля","given":"Н.И.","non-dropping-particle":"","parse-names":false,"suffix":""},{"dropping-particle":"","family":"Кумскова","given":"М.А.","non-dropping-particle":"","parse-names":false,"suffix":""}],"container-title":"Алгоритмы диагностики и протоколы лечения заболеваний системы крови. Том 1.","edition":"Практика","editor":[{"dropping-particle":"","family":"Савченко","given":"В.Г.","non-dropping-particle":"","parse-names":false,"suffix":""}],"id":"ITEM-1","issued":{"date-parts":[["2018"]]},"page":"333-358","publisher-place":"Москва","title":"Протокол диагностики и лечения гемофилии.","type":"chapter"},"uris":["http://www.mendeley.com/documents/?uuid=0f5fa306-495f-47fd-a308-cb7187da6dc9","http://www.mendeley.com/documents/?uuid=401a8177-eb94-4a41-8d27-6243609619c9"]}],"mendeley":{"formattedCitation":"[164]","plainTextFormattedCitation":"[164]","previouslyFormattedCitation":"[164]"},"properties":{"noteIndex":0},"schema":"https://github.com/citation-style-language/schema/raw/master/csl-citation.json"}</w:instrText>
      </w:r>
      <w:r w:rsidRPr="00952000">
        <w:rPr>
          <w:rFonts w:cs="Times New Roman"/>
          <w:szCs w:val="24"/>
        </w:rPr>
        <w:fldChar w:fldCharType="separate"/>
      </w:r>
      <w:r w:rsidR="004F33C9" w:rsidRPr="004F33C9">
        <w:rPr>
          <w:rFonts w:cs="Times New Roman"/>
          <w:noProof/>
          <w:szCs w:val="24"/>
        </w:rPr>
        <w:t>[164]</w:t>
      </w:r>
      <w:r w:rsidRPr="00952000">
        <w:rPr>
          <w:rFonts w:cs="Times New Roman"/>
          <w:szCs w:val="24"/>
        </w:rPr>
        <w:fldChar w:fldCharType="end"/>
      </w:r>
      <w:r w:rsidRPr="00952000">
        <w:rPr>
          <w:rFonts w:cs="Times New Roman"/>
          <w:szCs w:val="24"/>
        </w:rPr>
        <w:t>:</w:t>
      </w:r>
    </w:p>
    <w:p w14:paraId="2D4FDD42" w14:textId="77777777" w:rsidR="000155C0" w:rsidRPr="00952000" w:rsidRDefault="000155C0" w:rsidP="000155C0">
      <w:pPr>
        <w:pStyle w:val="afe"/>
        <w:numPr>
          <w:ilvl w:val="0"/>
          <w:numId w:val="132"/>
        </w:numPr>
        <w:rPr>
          <w:rFonts w:cs="Times New Roman"/>
          <w:szCs w:val="24"/>
        </w:rPr>
      </w:pPr>
      <w:r w:rsidRPr="00952000">
        <w:rPr>
          <w:rFonts w:cs="Times New Roman"/>
          <w:szCs w:val="24"/>
        </w:rPr>
        <w:t>FVIII: доза (МЕ) = масса тела (кг) х (требуемая активность (не менее 70%) – базальная активность) х 0,5,</w:t>
      </w:r>
    </w:p>
    <w:p w14:paraId="6BE7E95E" w14:textId="77777777" w:rsidR="000155C0" w:rsidRPr="00952000" w:rsidRDefault="000155C0" w:rsidP="000155C0">
      <w:pPr>
        <w:pStyle w:val="afe"/>
        <w:numPr>
          <w:ilvl w:val="0"/>
          <w:numId w:val="132"/>
        </w:numPr>
        <w:rPr>
          <w:rFonts w:cs="Times New Roman"/>
          <w:szCs w:val="24"/>
        </w:rPr>
      </w:pPr>
      <w:r w:rsidRPr="00952000">
        <w:rPr>
          <w:rFonts w:cs="Times New Roman"/>
          <w:szCs w:val="24"/>
        </w:rPr>
        <w:t>FIX: доза (МЕ) = масса тела (кг) х (требуемая активность (не менее 70%) – базальная активность).</w:t>
      </w:r>
    </w:p>
    <w:p w14:paraId="3AF0A46C" w14:textId="24E96495" w:rsidR="000155C0" w:rsidRPr="00952000" w:rsidRDefault="000155C0" w:rsidP="000155C0">
      <w:pPr>
        <w:ind w:firstLine="360"/>
        <w:rPr>
          <w:rFonts w:cs="Times New Roman"/>
          <w:szCs w:val="24"/>
        </w:rPr>
      </w:pPr>
      <w:r w:rsidRPr="00952000">
        <w:rPr>
          <w:rFonts w:cs="Times New Roman"/>
          <w:szCs w:val="24"/>
        </w:rPr>
        <w:t xml:space="preserve">При применении противоингибиторного коагулянтного комплекса дозу препарата рассчитывают исходя из потребности в 50-100 МЕ/кг </w:t>
      </w:r>
      <w:r w:rsidRPr="00952000">
        <w:rPr>
          <w:rFonts w:cs="Times New Roman"/>
          <w:szCs w:val="24"/>
        </w:rPr>
        <w:fldChar w:fldCharType="begin" w:fldLock="1"/>
      </w:r>
      <w:r w:rsidR="004810E5">
        <w:rPr>
          <w:rFonts w:cs="Times New Roman"/>
          <w:szCs w:val="24"/>
        </w:rPr>
        <w:instrText>ADDIN CSL_CITATION {"citationItems":[{"id":"ITEM-1","itemData":{"author":[{"dropping-particle":"","family":"Галстян","given":"Г.М.","non-dropping-particle":"","parse-names":false,"suffix":""}],"container-title":"Гематология и трансфузиология.","id":"ITEM-1","issue":"2","issued":{"date-parts":[["2012"]]},"page":"7 - 21","title":"НАРУШЕНИЯ ГЕМОСТАЗА, ОБУСЛОВЛЕННЫЕ ДЕФИЦИТОМ ВИТАМИН К-ЗАВИСИМЫХ ФАКТОРОВ СВЕРТЫВАНИЯ КРОВИ — ПАТОГЕНЕЗ, СПОСОБЫ КОРРЕКЦИИ И РЕКОМЕНДАЦИИ ПО ЛЕЧЕНИЮ.","type":"article-journal","volume":"27"},"uris":["http://www.mendeley.com/documents/?uuid=52f305ab-0108-47a6-9673-c9e5246a7900","http://www.mendeley.com/documents/?uuid=e948cfe1-2831-4737-b489-e36df40a40f3"]}],"mendeley":{"formattedCitation":"[165]","plainTextFormattedCitation":"[165]","previouslyFormattedCitation":"[165]"},"properties":{"noteIndex":0},"schema":"https://github.com/citation-style-language/schema/raw/master/csl-citation.json"}</w:instrText>
      </w:r>
      <w:r w:rsidRPr="00952000">
        <w:rPr>
          <w:rFonts w:cs="Times New Roman"/>
          <w:szCs w:val="24"/>
        </w:rPr>
        <w:fldChar w:fldCharType="separate"/>
      </w:r>
      <w:r w:rsidR="004F33C9" w:rsidRPr="004F33C9">
        <w:rPr>
          <w:rFonts w:cs="Times New Roman"/>
          <w:noProof/>
          <w:szCs w:val="24"/>
        </w:rPr>
        <w:t>[165]</w:t>
      </w:r>
      <w:r w:rsidRPr="00952000">
        <w:rPr>
          <w:rFonts w:cs="Times New Roman"/>
          <w:szCs w:val="24"/>
        </w:rPr>
        <w:fldChar w:fldCharType="end"/>
      </w:r>
      <w:r w:rsidRPr="00952000">
        <w:rPr>
          <w:rFonts w:cs="Times New Roman"/>
          <w:szCs w:val="24"/>
        </w:rPr>
        <w:t xml:space="preserve"> для однократного применения.</w:t>
      </w:r>
    </w:p>
    <w:p w14:paraId="3CE0A504" w14:textId="77777777" w:rsidR="000155C0" w:rsidRPr="00952000" w:rsidRDefault="000155C0" w:rsidP="000155C0">
      <w:pPr>
        <w:ind w:firstLine="360"/>
        <w:rPr>
          <w:rFonts w:cs="Times New Roman"/>
          <w:szCs w:val="24"/>
        </w:rPr>
      </w:pPr>
      <w:r w:rsidRPr="00952000">
        <w:rPr>
          <w:rFonts w:cs="Times New Roman"/>
          <w:szCs w:val="24"/>
        </w:rPr>
        <w:t>Препараты рекомбинантного активированного фактора свертывания VII (rFVIIa) вводят в дозе 120 мг/кг однократно, после процедуры, в случаях неэффективности предшествующих мероприятий.</w:t>
      </w:r>
    </w:p>
    <w:p w14:paraId="112765DE" w14:textId="77777777" w:rsidR="000155C0" w:rsidRPr="00952000" w:rsidRDefault="000155C0" w:rsidP="000155C0">
      <w:pPr>
        <w:pStyle w:val="Default"/>
        <w:spacing w:line="360" w:lineRule="auto"/>
        <w:ind w:firstLine="709"/>
        <w:jc w:val="both"/>
        <w:rPr>
          <w:color w:val="auto"/>
        </w:rPr>
      </w:pPr>
      <w:r w:rsidRPr="00952000">
        <w:rPr>
          <w:color w:val="auto"/>
        </w:rPr>
        <w:t>Хотя безопасным уровнем для катетеризации мы считаем количество тромбоцитов крови более 20 х 10</w:t>
      </w:r>
      <w:r w:rsidRPr="00952000">
        <w:rPr>
          <w:color w:val="auto"/>
          <w:vertAlign w:val="superscript"/>
        </w:rPr>
        <w:t>9</w:t>
      </w:r>
      <w:r w:rsidRPr="00952000">
        <w:rPr>
          <w:color w:val="auto"/>
        </w:rPr>
        <w:t>/л, у ряда пациентов достичь этого порогового уровня не удается вследствие различных причин, например, рефрактерность к трансфузиям. В этих случаях катетеризация центральной вены проводится только  под контролем ультразвука.</w:t>
      </w:r>
    </w:p>
    <w:p w14:paraId="2F7BC034" w14:textId="77777777" w:rsidR="000155C0" w:rsidRDefault="000155C0" w:rsidP="000155C0">
      <w:pPr>
        <w:ind w:firstLine="708"/>
        <w:rPr>
          <w:rFonts w:cs="Times New Roman"/>
          <w:b/>
          <w:bCs/>
          <w:szCs w:val="24"/>
        </w:rPr>
      </w:pPr>
    </w:p>
    <w:p w14:paraId="39895A77" w14:textId="77777777" w:rsidR="000155C0" w:rsidRPr="009F4EC0" w:rsidRDefault="000155C0" w:rsidP="000155C0">
      <w:pPr>
        <w:ind w:firstLine="708"/>
        <w:rPr>
          <w:rFonts w:cs="Times New Roman"/>
          <w:i/>
          <w:iCs/>
          <w:szCs w:val="24"/>
        </w:rPr>
      </w:pPr>
      <w:r w:rsidRPr="009F4EC0">
        <w:rPr>
          <w:rFonts w:cs="Times New Roman"/>
          <w:i/>
          <w:iCs/>
          <w:szCs w:val="24"/>
        </w:rPr>
        <w:t>Методы профилактики поздних осложнений</w:t>
      </w:r>
    </w:p>
    <w:p w14:paraId="65605D52" w14:textId="77777777" w:rsidR="000155C0" w:rsidRPr="00952000" w:rsidRDefault="000155C0" w:rsidP="000155C0">
      <w:pPr>
        <w:ind w:firstLine="708"/>
        <w:rPr>
          <w:rFonts w:cs="Times New Roman"/>
          <w:szCs w:val="24"/>
        </w:rPr>
      </w:pPr>
      <w:r w:rsidRPr="00952000">
        <w:rPr>
          <w:rFonts w:cs="Times New Roman"/>
          <w:szCs w:val="24"/>
        </w:rPr>
        <w:t xml:space="preserve">После окончания использования все катетеры должны быть промыты соответствующим объемом физиологического раствора (табл. 1), а затем закрыты с помощью раствора, создающего «катетерный замок» также в соответствии с объемом катетера. На короткий срок (1-2 сут.) может быть использован «гепариновый замок» (гепарин в физиологическом растворе в концентрации 100 Ед/мл), при закрытии катетера на длительный срок, а также при высоком риске инфицирования катетера предпочтительным является использование раствора Тауролока. </w:t>
      </w:r>
    </w:p>
    <w:p w14:paraId="3CE907AD" w14:textId="77777777" w:rsidR="000155C0" w:rsidRPr="00952000" w:rsidRDefault="000155C0" w:rsidP="000155C0">
      <w:pPr>
        <w:ind w:firstLine="708"/>
        <w:rPr>
          <w:rFonts w:eastAsia="ＭＳ 明朝 (Основной текст темы (ази" w:cs="Times New Roman"/>
          <w:szCs w:val="24"/>
        </w:rPr>
      </w:pPr>
      <w:r w:rsidRPr="00952000">
        <w:rPr>
          <w:rFonts w:eastAsia="ＭＳ 明朝 (Основной текст темы (ази" w:cs="Times New Roman"/>
          <w:szCs w:val="24"/>
        </w:rPr>
        <w:t>В случае перерывов в лечении катетер необходимо промывать 1 раз в 24 часа для нетуннелируемых ЦВК, 1 раз в 7 (10) дней для ПИЦВК и туннелируемых катетеров, 1 раз в 30 дней для порт-систем.</w:t>
      </w:r>
    </w:p>
    <w:p w14:paraId="52D85F79" w14:textId="77777777" w:rsidR="000155C0" w:rsidRPr="009F4EC0" w:rsidRDefault="000155C0" w:rsidP="000155C0">
      <w:pPr>
        <w:ind w:firstLine="708"/>
        <w:rPr>
          <w:rFonts w:cs="Times New Roman"/>
          <w:szCs w:val="24"/>
        </w:rPr>
      </w:pPr>
      <w:r w:rsidRPr="00952000">
        <w:rPr>
          <w:rFonts w:eastAsia="ＭＳ 明朝 (Основной текст темы (ази" w:cs="Times New Roman"/>
          <w:szCs w:val="24"/>
        </w:rPr>
        <w:t xml:space="preserve">Асептическая повязка накладывается на место выхода катетера на кожу. Частота замены повязки с обязательной обработкой места выхода катетера, в соответствии с общими </w:t>
      </w:r>
      <w:r w:rsidRPr="009F4EC0">
        <w:rPr>
          <w:rFonts w:eastAsia="ＭＳ 明朝 (Основной текст темы (ази" w:cs="Times New Roman"/>
          <w:szCs w:val="24"/>
        </w:rPr>
        <w:t>принципами хирургической обработки, 2 раза в неделю при использовании нетуннелируемых катетеров, 1 раз в неделю для туннелируемых катетеров и ПИЦВК, и при необходимости (таб.1). Предпочтительно использовать прозрачные повязки для возможности ежедневной оценки кожи в месте установки катетера на наличие воспалительных изменений.</w:t>
      </w:r>
    </w:p>
    <w:p w14:paraId="51D386D0" w14:textId="77777777" w:rsidR="000155C0" w:rsidRPr="00952000" w:rsidRDefault="000155C0" w:rsidP="000155C0">
      <w:pPr>
        <w:ind w:firstLine="708"/>
        <w:rPr>
          <w:rFonts w:cs="Times New Roman"/>
          <w:szCs w:val="24"/>
        </w:rPr>
      </w:pPr>
      <w:r w:rsidRPr="009F4EC0">
        <w:rPr>
          <w:rFonts w:cs="Times New Roman"/>
          <w:szCs w:val="24"/>
        </w:rPr>
        <w:t>Таблица 1. Режимы промы</w:t>
      </w:r>
      <w:r w:rsidRPr="00952000">
        <w:rPr>
          <w:rFonts w:cs="Times New Roman"/>
          <w:szCs w:val="24"/>
        </w:rPr>
        <w:t>вания и закрытия катетеров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002"/>
        <w:gridCol w:w="6708"/>
      </w:tblGrid>
      <w:tr w:rsidR="000155C0" w:rsidRPr="00952000" w14:paraId="2ABCEBBB" w14:textId="77777777" w:rsidTr="002D3EBF">
        <w:trPr>
          <w:cantSplit/>
          <w:trHeight w:val="2220"/>
        </w:trPr>
        <w:tc>
          <w:tcPr>
            <w:tcW w:w="534" w:type="dxa"/>
            <w:vMerge w:val="restart"/>
            <w:textDirection w:val="btLr"/>
          </w:tcPr>
          <w:p w14:paraId="3AE7BBF2" w14:textId="77777777" w:rsidR="000155C0" w:rsidRPr="00952000" w:rsidRDefault="000155C0" w:rsidP="004F02C5">
            <w:pPr>
              <w:ind w:left="113" w:right="113" w:firstLine="0"/>
              <w:rPr>
                <w:rFonts w:eastAsia="ＭＳ 明朝 (Основной текст темы (ази" w:cs="Times New Roman"/>
                <w:szCs w:val="24"/>
              </w:rPr>
            </w:pPr>
            <w:r w:rsidRPr="00952000">
              <w:rPr>
                <w:rFonts w:eastAsia="ＭＳ 明朝 (Основной текст темы (ази" w:cs="Times New Roman"/>
                <w:szCs w:val="24"/>
              </w:rPr>
              <w:t>Промывание катетера</w:t>
            </w:r>
          </w:p>
        </w:tc>
        <w:tc>
          <w:tcPr>
            <w:tcW w:w="2011" w:type="dxa"/>
            <w:shd w:val="clear" w:color="auto" w:fill="auto"/>
          </w:tcPr>
          <w:p w14:paraId="6721F958" w14:textId="77777777" w:rsidR="000155C0" w:rsidRPr="00952000" w:rsidRDefault="000155C0" w:rsidP="004F02C5">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Введение препаратов</w:t>
            </w:r>
          </w:p>
        </w:tc>
        <w:tc>
          <w:tcPr>
            <w:tcW w:w="7026" w:type="dxa"/>
            <w:shd w:val="clear" w:color="auto" w:fill="auto"/>
          </w:tcPr>
          <w:p w14:paraId="1D679B48" w14:textId="77777777" w:rsidR="000155C0" w:rsidRPr="00952000" w:rsidRDefault="000155C0" w:rsidP="004F02C5">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 xml:space="preserve">Промывать катетеры необходимо до и после введения лекарственных препаратов и компонентов крови. Использовать болюсное (импульсный режим) промывание 10 мл физиологического раствора для всех внутривенных катетеров (за исключением периферических катетеров, где достаточно 5 мл). </w:t>
            </w:r>
          </w:p>
        </w:tc>
      </w:tr>
      <w:tr w:rsidR="000155C0" w:rsidRPr="00952000" w14:paraId="4EC9AF17" w14:textId="77777777" w:rsidTr="002D3EBF">
        <w:trPr>
          <w:cantSplit/>
          <w:trHeight w:val="1920"/>
        </w:trPr>
        <w:tc>
          <w:tcPr>
            <w:tcW w:w="534" w:type="dxa"/>
            <w:vMerge/>
            <w:textDirection w:val="btLr"/>
          </w:tcPr>
          <w:p w14:paraId="2CAC1EDB" w14:textId="77777777" w:rsidR="000155C0" w:rsidRPr="00952000" w:rsidRDefault="000155C0" w:rsidP="004F02C5">
            <w:pPr>
              <w:ind w:left="113" w:right="113" w:firstLine="0"/>
              <w:rPr>
                <w:rFonts w:eastAsia="ＭＳ 明朝 (Основной текст темы (ази" w:cs="Times New Roman"/>
                <w:szCs w:val="24"/>
              </w:rPr>
            </w:pPr>
          </w:p>
        </w:tc>
        <w:tc>
          <w:tcPr>
            <w:tcW w:w="2011" w:type="dxa"/>
            <w:shd w:val="clear" w:color="auto" w:fill="auto"/>
          </w:tcPr>
          <w:p w14:paraId="62287AB1" w14:textId="77777777" w:rsidR="000155C0" w:rsidRPr="00952000" w:rsidRDefault="000155C0" w:rsidP="004F02C5">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Парентеральное питание, компоненты крови</w:t>
            </w:r>
          </w:p>
        </w:tc>
        <w:tc>
          <w:tcPr>
            <w:tcW w:w="7026" w:type="dxa"/>
            <w:shd w:val="clear" w:color="auto" w:fill="auto"/>
          </w:tcPr>
          <w:p w14:paraId="45F7CEEA" w14:textId="77777777" w:rsidR="000155C0" w:rsidRPr="00952000" w:rsidRDefault="000155C0" w:rsidP="004F02C5">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После введения в катетер компонентов крови или парентерально питания использовать 20 мл (10 мл х 2) для промывания катетера. Промывать необходимо чередуя импульсный режим и струйное болюсное введение.</w:t>
            </w:r>
          </w:p>
        </w:tc>
      </w:tr>
      <w:tr w:rsidR="000155C0" w:rsidRPr="00952000" w14:paraId="74BE48D4" w14:textId="77777777" w:rsidTr="002D3EBF">
        <w:trPr>
          <w:cantSplit/>
          <w:trHeight w:val="1134"/>
        </w:trPr>
        <w:tc>
          <w:tcPr>
            <w:tcW w:w="534" w:type="dxa"/>
            <w:vMerge w:val="restart"/>
            <w:textDirection w:val="btLr"/>
          </w:tcPr>
          <w:p w14:paraId="2A4ED528" w14:textId="77777777" w:rsidR="000155C0" w:rsidRPr="00952000" w:rsidRDefault="000155C0" w:rsidP="004F02C5">
            <w:pPr>
              <w:ind w:left="113" w:right="113" w:firstLine="0"/>
              <w:rPr>
                <w:rFonts w:eastAsia="ＭＳ 明朝 (Основной текст темы (ази" w:cs="Times New Roman"/>
                <w:szCs w:val="24"/>
              </w:rPr>
            </w:pPr>
            <w:r w:rsidRPr="00952000">
              <w:rPr>
                <w:rFonts w:eastAsia="ＭＳ 明朝 (Основной текст темы (ази" w:cs="Times New Roman"/>
                <w:szCs w:val="24"/>
              </w:rPr>
              <w:t>Закрытие катетера</w:t>
            </w:r>
          </w:p>
        </w:tc>
        <w:tc>
          <w:tcPr>
            <w:tcW w:w="2011" w:type="dxa"/>
            <w:shd w:val="clear" w:color="auto" w:fill="auto"/>
          </w:tcPr>
          <w:p w14:paraId="2D54242B" w14:textId="77777777" w:rsidR="000155C0" w:rsidRPr="00952000" w:rsidRDefault="000155C0" w:rsidP="004F02C5">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 xml:space="preserve">Объем </w:t>
            </w:r>
          </w:p>
        </w:tc>
        <w:tc>
          <w:tcPr>
            <w:tcW w:w="7026" w:type="dxa"/>
            <w:shd w:val="clear" w:color="auto" w:fill="auto"/>
          </w:tcPr>
          <w:p w14:paraId="0FFC47C9" w14:textId="77777777" w:rsidR="000155C0" w:rsidRPr="00952000" w:rsidRDefault="000155C0" w:rsidP="004F02C5">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1 мл для периферических катетеров</w:t>
            </w:r>
          </w:p>
          <w:p w14:paraId="5C5AAC68" w14:textId="77777777" w:rsidR="000155C0" w:rsidRPr="00952000" w:rsidRDefault="000155C0" w:rsidP="004F02C5">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 xml:space="preserve">1,5 мл для катетеров типа </w:t>
            </w:r>
            <w:r w:rsidRPr="00952000">
              <w:rPr>
                <w:rFonts w:eastAsia="ＭＳ 明朝 (Основной текст темы (ази" w:cs="Times New Roman"/>
                <w:szCs w:val="24"/>
                <w:lang w:val="en-US"/>
              </w:rPr>
              <w:t>MidLine</w:t>
            </w:r>
            <w:r w:rsidRPr="00952000">
              <w:rPr>
                <w:rFonts w:eastAsia="ＭＳ 明朝 (Основной текст темы (ази" w:cs="Times New Roman"/>
                <w:szCs w:val="24"/>
              </w:rPr>
              <w:t>, ПИЦВК, нетуннелируемых ЦВК и туннелируемых ЦВК с небольшим (</w:t>
            </w:r>
            <w:r w:rsidRPr="00952000">
              <w:rPr>
                <w:rFonts w:eastAsia="MS Gothic" w:cs="Times New Roman"/>
                <w:szCs w:val="24"/>
              </w:rPr>
              <w:t>≤1 мм)</w:t>
            </w:r>
            <w:r w:rsidRPr="00952000">
              <w:rPr>
                <w:rFonts w:eastAsia="ＭＳ 明朝 (Основной текст темы (ази" w:cs="Times New Roman"/>
                <w:szCs w:val="24"/>
              </w:rPr>
              <w:t xml:space="preserve"> внутренним диаметром </w:t>
            </w:r>
          </w:p>
          <w:p w14:paraId="1D94E913" w14:textId="77777777" w:rsidR="000155C0" w:rsidRPr="00952000" w:rsidRDefault="000155C0" w:rsidP="004F02C5">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2,0-2,5 мл для туннелируемых ЦВК с большим (≥</w:t>
            </w:r>
            <w:r w:rsidRPr="00952000">
              <w:rPr>
                <w:rFonts w:eastAsia="MS Gothic" w:cs="Times New Roman"/>
                <w:szCs w:val="24"/>
              </w:rPr>
              <w:t>1 мм)</w:t>
            </w:r>
            <w:r w:rsidRPr="00952000">
              <w:rPr>
                <w:rFonts w:eastAsia="ＭＳ 明朝 (Основной текст темы (ази" w:cs="Times New Roman"/>
                <w:szCs w:val="24"/>
              </w:rPr>
              <w:t xml:space="preserve"> внутренним диаметром (в каждый ход), порт систем</w:t>
            </w:r>
          </w:p>
        </w:tc>
      </w:tr>
      <w:tr w:rsidR="000155C0" w:rsidRPr="00952000" w14:paraId="6D792628" w14:textId="77777777" w:rsidTr="002D3EBF">
        <w:trPr>
          <w:cantSplit/>
          <w:trHeight w:val="1134"/>
        </w:trPr>
        <w:tc>
          <w:tcPr>
            <w:tcW w:w="534" w:type="dxa"/>
            <w:vMerge/>
            <w:textDirection w:val="btLr"/>
          </w:tcPr>
          <w:p w14:paraId="42FCDF6E" w14:textId="77777777" w:rsidR="000155C0" w:rsidRPr="00952000" w:rsidRDefault="000155C0" w:rsidP="004F02C5">
            <w:pPr>
              <w:ind w:left="113" w:right="113" w:firstLine="0"/>
              <w:rPr>
                <w:rFonts w:eastAsia="ＭＳ 明朝 (Основной текст темы (ази" w:cs="Times New Roman"/>
                <w:szCs w:val="24"/>
              </w:rPr>
            </w:pPr>
          </w:p>
        </w:tc>
        <w:tc>
          <w:tcPr>
            <w:tcW w:w="2011" w:type="dxa"/>
            <w:shd w:val="clear" w:color="auto" w:fill="auto"/>
          </w:tcPr>
          <w:p w14:paraId="7A1466E2" w14:textId="77777777" w:rsidR="000155C0" w:rsidRPr="00952000" w:rsidRDefault="000155C0" w:rsidP="004F02C5">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Режимы</w:t>
            </w:r>
          </w:p>
        </w:tc>
        <w:tc>
          <w:tcPr>
            <w:tcW w:w="7026" w:type="dxa"/>
            <w:shd w:val="clear" w:color="auto" w:fill="auto"/>
          </w:tcPr>
          <w:p w14:paraId="7BBBE9D4" w14:textId="77777777" w:rsidR="000155C0" w:rsidRPr="00952000" w:rsidRDefault="000155C0" w:rsidP="004F02C5">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Каждые 8-24 ч для кратковременных ЦВК</w:t>
            </w:r>
          </w:p>
          <w:p w14:paraId="7306626C" w14:textId="77777777" w:rsidR="000155C0" w:rsidRPr="00952000" w:rsidRDefault="000155C0" w:rsidP="004F02C5">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Еженедельно – для туннелируемых ЦВК и ПИЦВК</w:t>
            </w:r>
          </w:p>
          <w:p w14:paraId="56FAC58A" w14:textId="77777777" w:rsidR="000155C0" w:rsidRPr="00952000" w:rsidRDefault="000155C0" w:rsidP="004F02C5">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Каждые 6-8 недель для порт-систем</w:t>
            </w:r>
          </w:p>
        </w:tc>
      </w:tr>
    </w:tbl>
    <w:p w14:paraId="1AC523E5" w14:textId="77777777" w:rsidR="000155C0" w:rsidRDefault="000155C0" w:rsidP="000155C0">
      <w:pPr>
        <w:rPr>
          <w:rFonts w:cs="Times New Roman"/>
          <w:b/>
          <w:bCs/>
          <w:szCs w:val="24"/>
        </w:rPr>
      </w:pPr>
    </w:p>
    <w:p w14:paraId="17FEC5B6" w14:textId="77777777" w:rsidR="000155C0" w:rsidRPr="009F4EC0" w:rsidRDefault="000155C0" w:rsidP="000155C0">
      <w:pPr>
        <w:rPr>
          <w:rFonts w:cs="Times New Roman"/>
          <w:i/>
          <w:iCs/>
          <w:szCs w:val="24"/>
          <w:u w:val="single"/>
        </w:rPr>
      </w:pPr>
      <w:r w:rsidRPr="009F4EC0">
        <w:rPr>
          <w:rFonts w:cs="Times New Roman"/>
          <w:i/>
          <w:iCs/>
          <w:szCs w:val="24"/>
          <w:u w:val="single"/>
        </w:rPr>
        <w:t>Алгоритм действий врача</w:t>
      </w:r>
    </w:p>
    <w:p w14:paraId="23F39AF7" w14:textId="52668BA4" w:rsidR="000155C0" w:rsidRPr="00952000" w:rsidRDefault="000155C0" w:rsidP="000155C0">
      <w:pPr>
        <w:rPr>
          <w:rFonts w:cs="Times New Roman"/>
          <w:szCs w:val="24"/>
        </w:rPr>
      </w:pPr>
      <w:r w:rsidRPr="00952000">
        <w:rPr>
          <w:rFonts w:cs="Times New Roman"/>
          <w:szCs w:val="24"/>
        </w:rPr>
        <w:t>Манипуляция проводится только при наличии информированного согласия на проведение катетеризации.</w:t>
      </w:r>
    </w:p>
    <w:p w14:paraId="538CCEA2" w14:textId="77777777" w:rsidR="000155C0" w:rsidRPr="009F4EC0" w:rsidRDefault="000155C0" w:rsidP="000155C0">
      <w:pPr>
        <w:pStyle w:val="afe"/>
        <w:numPr>
          <w:ilvl w:val="0"/>
          <w:numId w:val="140"/>
        </w:numPr>
        <w:rPr>
          <w:rFonts w:cs="Times New Roman"/>
          <w:szCs w:val="24"/>
        </w:rPr>
      </w:pPr>
      <w:r w:rsidRPr="009F4EC0">
        <w:rPr>
          <w:rFonts w:cs="Times New Roman"/>
          <w:szCs w:val="24"/>
        </w:rPr>
        <w:t>Физикальный осмотр</w:t>
      </w:r>
    </w:p>
    <w:p w14:paraId="5BDFF753" w14:textId="77777777" w:rsidR="000155C0" w:rsidRPr="009F4EC0" w:rsidRDefault="000155C0" w:rsidP="000155C0">
      <w:pPr>
        <w:pStyle w:val="afe"/>
        <w:numPr>
          <w:ilvl w:val="0"/>
          <w:numId w:val="140"/>
        </w:numPr>
        <w:rPr>
          <w:rFonts w:cs="Times New Roman"/>
          <w:szCs w:val="24"/>
        </w:rPr>
      </w:pPr>
      <w:r w:rsidRPr="009F4EC0">
        <w:rPr>
          <w:rFonts w:cs="Times New Roman"/>
          <w:szCs w:val="24"/>
        </w:rPr>
        <w:t xml:space="preserve">Выбор типа ЦВК после физикального осмотра, сбора анамнеза, ознакомления с результатами лабораторных и инструментальных методов исследования. </w:t>
      </w:r>
    </w:p>
    <w:p w14:paraId="3A2024D6" w14:textId="77777777" w:rsidR="000155C0" w:rsidRPr="009F4EC0" w:rsidRDefault="000155C0" w:rsidP="000155C0">
      <w:pPr>
        <w:pStyle w:val="afe"/>
        <w:numPr>
          <w:ilvl w:val="0"/>
          <w:numId w:val="140"/>
        </w:numPr>
        <w:rPr>
          <w:rFonts w:cs="Times New Roman"/>
          <w:szCs w:val="24"/>
        </w:rPr>
      </w:pPr>
      <w:r w:rsidRPr="009F4EC0">
        <w:rPr>
          <w:rFonts w:cs="Times New Roman"/>
          <w:szCs w:val="24"/>
        </w:rPr>
        <w:t>Дуплексное сканирование вен в месте планируемой установки ЦВК (определяется диаметр вены, наличие сдавления вен в месте пункции и по ходу установленного ЦВК, тромба в просвете вен, наличие клапанного аппарата и его состоятельность. Устанавливать ЦВК в вену, диаметр которой не превышает 50% диаметра катетера и/или выявлен тромбоз недопустимо).</w:t>
      </w:r>
    </w:p>
    <w:p w14:paraId="7E31FEFA" w14:textId="77777777" w:rsidR="000155C0" w:rsidRPr="009F4EC0" w:rsidRDefault="000155C0" w:rsidP="000155C0">
      <w:pPr>
        <w:pStyle w:val="afe"/>
        <w:numPr>
          <w:ilvl w:val="0"/>
          <w:numId w:val="140"/>
        </w:numPr>
        <w:rPr>
          <w:rFonts w:cs="Times New Roman"/>
          <w:szCs w:val="24"/>
        </w:rPr>
      </w:pPr>
      <w:r w:rsidRPr="009F4EC0">
        <w:rPr>
          <w:rFonts w:cs="Times New Roman"/>
          <w:szCs w:val="24"/>
        </w:rPr>
        <w:t>Имплантация ЦВК с обязательным позиционированием дистального конца у кава-атриального соединения в случае катетеризации ВПВ и кава-атриального соединения или ниже устья почечных вен при катетеризации НПВ.</w:t>
      </w:r>
    </w:p>
    <w:p w14:paraId="5F0FC9D5" w14:textId="77777777" w:rsidR="000155C0" w:rsidRPr="009F4EC0" w:rsidRDefault="000155C0" w:rsidP="000155C0">
      <w:pPr>
        <w:pStyle w:val="afe"/>
        <w:numPr>
          <w:ilvl w:val="0"/>
          <w:numId w:val="140"/>
        </w:numPr>
        <w:rPr>
          <w:rFonts w:cs="Times New Roman"/>
          <w:szCs w:val="24"/>
        </w:rPr>
      </w:pPr>
      <w:r w:rsidRPr="009F4EC0">
        <w:rPr>
          <w:rFonts w:cs="Times New Roman"/>
          <w:szCs w:val="24"/>
        </w:rPr>
        <w:t>Закрепление катетера на коже больного у места выхода с использованием шовных материалов или устройств бесшовной фиксации.</w:t>
      </w:r>
    </w:p>
    <w:p w14:paraId="7BBEEAE2" w14:textId="77777777" w:rsidR="000155C0" w:rsidRPr="009F4EC0" w:rsidRDefault="000155C0" w:rsidP="000155C0">
      <w:pPr>
        <w:pStyle w:val="afe"/>
        <w:numPr>
          <w:ilvl w:val="0"/>
          <w:numId w:val="140"/>
        </w:numPr>
        <w:rPr>
          <w:rFonts w:cs="Times New Roman"/>
          <w:szCs w:val="24"/>
        </w:rPr>
      </w:pPr>
      <w:r w:rsidRPr="009F4EC0">
        <w:rPr>
          <w:rFonts w:cs="Times New Roman"/>
          <w:szCs w:val="24"/>
        </w:rPr>
        <w:t>Наложение асептической повязки.</w:t>
      </w:r>
    </w:p>
    <w:p w14:paraId="6645DFA1" w14:textId="77777777" w:rsidR="000155C0" w:rsidRPr="009F4EC0" w:rsidRDefault="000155C0" w:rsidP="000155C0">
      <w:pPr>
        <w:pStyle w:val="afe"/>
        <w:numPr>
          <w:ilvl w:val="0"/>
          <w:numId w:val="140"/>
        </w:numPr>
        <w:rPr>
          <w:rFonts w:cs="Times New Roman"/>
          <w:szCs w:val="24"/>
        </w:rPr>
      </w:pPr>
      <w:r w:rsidRPr="009F4EC0">
        <w:rPr>
          <w:rFonts w:cs="Times New Roman"/>
          <w:szCs w:val="24"/>
        </w:rPr>
        <w:t>Заполнение протокола катетеризации с обязательным указанием ранних осложнений, количества попыток катетеризации, типа установленного ЦВК.</w:t>
      </w:r>
    </w:p>
    <w:p w14:paraId="21A10353" w14:textId="77777777" w:rsidR="000155C0" w:rsidRPr="00952000" w:rsidRDefault="000155C0" w:rsidP="000155C0">
      <w:pPr>
        <w:rPr>
          <w:rFonts w:cs="Times New Roman"/>
          <w:szCs w:val="24"/>
        </w:rPr>
      </w:pPr>
    </w:p>
    <w:p w14:paraId="390946D8" w14:textId="77777777" w:rsidR="000155C0" w:rsidRPr="008635A0" w:rsidRDefault="000155C0" w:rsidP="000155C0">
      <w:pPr>
        <w:ind w:firstLine="708"/>
        <w:rPr>
          <w:rFonts w:cs="Times New Roman"/>
          <w:bCs/>
          <w:i/>
          <w:iCs/>
          <w:szCs w:val="24"/>
        </w:rPr>
      </w:pPr>
      <w:r w:rsidRPr="008635A0">
        <w:rPr>
          <w:rFonts w:cs="Times New Roman"/>
          <w:bCs/>
          <w:i/>
          <w:iCs/>
          <w:spacing w:val="2"/>
          <w:szCs w:val="24"/>
          <w:shd w:val="clear" w:color="auto" w:fill="FFFFFF"/>
        </w:rPr>
        <w:t>Дополнительные сведения об особенностях выполнения обработки катетера (смена повязки):</w:t>
      </w:r>
    </w:p>
    <w:p w14:paraId="33EF8F15" w14:textId="77777777" w:rsidR="000155C0" w:rsidRPr="001352F1" w:rsidRDefault="000155C0" w:rsidP="000155C0">
      <w:pPr>
        <w:pStyle w:val="afe"/>
        <w:numPr>
          <w:ilvl w:val="0"/>
          <w:numId w:val="138"/>
        </w:numPr>
        <w:rPr>
          <w:rFonts w:cs="Times New Roman"/>
          <w:b/>
          <w:szCs w:val="24"/>
        </w:rPr>
      </w:pPr>
      <w:r w:rsidRPr="008635A0">
        <w:rPr>
          <w:rFonts w:cs="Times New Roman"/>
          <w:spacing w:val="2"/>
          <w:szCs w:val="24"/>
          <w:shd w:val="clear" w:color="auto" w:fill="FFFFFF"/>
        </w:rPr>
        <w:t>При проведении процедуры обработки (перевязки) с ЦВК пациент может</w:t>
      </w:r>
      <w:r w:rsidRPr="001352F1">
        <w:rPr>
          <w:rFonts w:cs="Times New Roman"/>
          <w:spacing w:val="2"/>
          <w:szCs w:val="24"/>
          <w:shd w:val="clear" w:color="auto" w:fill="FFFFFF"/>
        </w:rPr>
        <w:t xml:space="preserve"> сидеть или лежать на спине, рука, на стороне которой в вене находится катетер, расположена вдоль туловища. При применении дополнительных зажимов не катетере снятие заглушки не связано с фазой дыхания. При проведении процедуры с катетером, находящимся в бедренной вене, ножной конец кровати опущен на 25°. Снятие заглушки не связано с фазой дыхания.</w:t>
      </w:r>
    </w:p>
    <w:p w14:paraId="0850DE77" w14:textId="77777777" w:rsidR="000155C0" w:rsidRPr="00952000" w:rsidRDefault="000155C0" w:rsidP="000155C0">
      <w:pPr>
        <w:pStyle w:val="afe"/>
        <w:numPr>
          <w:ilvl w:val="0"/>
          <w:numId w:val="138"/>
        </w:numPr>
        <w:rPr>
          <w:rFonts w:cs="Times New Roman"/>
          <w:szCs w:val="24"/>
        </w:rPr>
      </w:pPr>
      <w:r w:rsidRPr="00952000">
        <w:rPr>
          <w:rFonts w:cs="Times New Roman"/>
          <w:spacing w:val="2"/>
          <w:szCs w:val="24"/>
          <w:shd w:val="clear" w:color="auto" w:fill="FFFFFF"/>
        </w:rPr>
        <w:t>При смене повязки у пациентов с чувствительной кожей рекомендуется нанести стерильное барьерное средство для защиты кожи вокруг места установки сосудистого катетера и дождаться полного его высыхания.</w:t>
      </w:r>
    </w:p>
    <w:p w14:paraId="217339CC" w14:textId="77777777" w:rsidR="000155C0" w:rsidRPr="00952000" w:rsidRDefault="000155C0" w:rsidP="000155C0">
      <w:pPr>
        <w:pStyle w:val="afe"/>
        <w:numPr>
          <w:ilvl w:val="0"/>
          <w:numId w:val="138"/>
        </w:numPr>
        <w:rPr>
          <w:rFonts w:cs="Times New Roman"/>
          <w:szCs w:val="24"/>
        </w:rPr>
      </w:pPr>
      <w:r w:rsidRPr="00952000">
        <w:rPr>
          <w:rFonts w:cs="Times New Roman"/>
          <w:spacing w:val="2"/>
          <w:szCs w:val="24"/>
          <w:shd w:val="clear" w:color="auto" w:fill="FFFFFF"/>
        </w:rPr>
        <w:t>Выбор повязки необходимо осуществлять с учетом индивидуальных особенностей пациента. Если существуют предрасполагающие к развитию инфекции факторы (длительность стояния ЦВК свыше трех суток; сниженный иммунный статус (онкологические пациенты и т.д.); повышенный риск колонизации катетера), то рекомендуется выбирать прозрачную полиуретановую повязку, содержащую гелевую подушечку с хлоргексидином. Для прочих случаев оптимальным выбором является стерильная прозрачная повязка.</w:t>
      </w:r>
    </w:p>
    <w:p w14:paraId="5C7D1449" w14:textId="77777777" w:rsidR="000155C0" w:rsidRPr="00952000" w:rsidRDefault="000155C0" w:rsidP="000155C0">
      <w:pPr>
        <w:pStyle w:val="afe"/>
        <w:numPr>
          <w:ilvl w:val="0"/>
          <w:numId w:val="138"/>
        </w:numPr>
        <w:rPr>
          <w:rFonts w:cs="Times New Roman"/>
          <w:szCs w:val="24"/>
        </w:rPr>
      </w:pPr>
      <w:r w:rsidRPr="00952000">
        <w:rPr>
          <w:rFonts w:cs="Times New Roman"/>
          <w:spacing w:val="2"/>
          <w:szCs w:val="24"/>
          <w:shd w:val="clear" w:color="auto" w:fill="FFFFFF"/>
        </w:rPr>
        <w:t>Если наблюдается кровоточивость вокруг места входа катетера в первые сутки после его введения, допустимо использование нетканой повязки с впитывающей подушечкой, которая подлежи</w:t>
      </w:r>
      <w:r>
        <w:rPr>
          <w:rFonts w:cs="Times New Roman"/>
          <w:spacing w:val="2"/>
          <w:szCs w:val="24"/>
          <w:shd w:val="clear" w:color="auto" w:fill="FFFFFF"/>
        </w:rPr>
        <w:t>т замене на прозрачную через 24</w:t>
      </w:r>
      <w:r w:rsidRPr="00952000">
        <w:rPr>
          <w:rFonts w:cs="Times New Roman"/>
          <w:spacing w:val="2"/>
          <w:szCs w:val="24"/>
          <w:shd w:val="clear" w:color="auto" w:fill="FFFFFF"/>
        </w:rPr>
        <w:t>ч.</w:t>
      </w:r>
    </w:p>
    <w:p w14:paraId="458011CE" w14:textId="77777777" w:rsidR="000155C0" w:rsidRPr="00952000" w:rsidRDefault="000155C0" w:rsidP="000155C0">
      <w:pPr>
        <w:pStyle w:val="afe"/>
        <w:numPr>
          <w:ilvl w:val="0"/>
          <w:numId w:val="138"/>
        </w:numPr>
        <w:rPr>
          <w:rFonts w:cs="Times New Roman"/>
          <w:szCs w:val="24"/>
        </w:rPr>
      </w:pPr>
      <w:r w:rsidRPr="00952000">
        <w:rPr>
          <w:rFonts w:cs="Times New Roman"/>
          <w:spacing w:val="2"/>
          <w:szCs w:val="24"/>
          <w:shd w:val="clear" w:color="auto" w:fill="FFFFFF"/>
        </w:rPr>
        <w:t>Замена прозрачных полиуретановых повязок на ЦВК производится каждые 5-7 сут (при условии, что фиксация не нарушена, нет выделений, сохранен обзор).</w:t>
      </w:r>
    </w:p>
    <w:p w14:paraId="5D37EB25" w14:textId="77777777" w:rsidR="000155C0" w:rsidRDefault="000155C0" w:rsidP="000155C0">
      <w:pPr>
        <w:pStyle w:val="afe"/>
        <w:numPr>
          <w:ilvl w:val="0"/>
          <w:numId w:val="138"/>
        </w:numPr>
        <w:rPr>
          <w:rFonts w:cs="Times New Roman"/>
          <w:spacing w:val="2"/>
          <w:szCs w:val="24"/>
          <w:shd w:val="clear" w:color="auto" w:fill="FFFFFF"/>
        </w:rPr>
      </w:pPr>
      <w:r w:rsidRPr="00952000">
        <w:rPr>
          <w:rFonts w:cs="Times New Roman"/>
          <w:spacing w:val="2"/>
          <w:szCs w:val="24"/>
          <w:shd w:val="clear" w:color="auto" w:fill="FFFFFF"/>
        </w:rPr>
        <w:t>Визуальный осмотр места установки сосудистого катетера проводить не реже 1 раза в сутки</w:t>
      </w:r>
    </w:p>
    <w:p w14:paraId="4544C614" w14:textId="77777777" w:rsidR="000155C0" w:rsidRPr="00952000" w:rsidRDefault="000155C0" w:rsidP="000155C0">
      <w:pPr>
        <w:widowControl w:val="0"/>
        <w:autoSpaceDE w:val="0"/>
        <w:autoSpaceDN w:val="0"/>
        <w:adjustRightInd w:val="0"/>
        <w:spacing w:line="240" w:lineRule="auto"/>
        <w:ind w:left="640" w:hanging="640"/>
        <w:rPr>
          <w:rFonts w:cs="Times New Roman"/>
          <w:szCs w:val="24"/>
        </w:rPr>
      </w:pPr>
    </w:p>
    <w:p w14:paraId="289C2DA9" w14:textId="7E23BD1D" w:rsidR="0075793D" w:rsidRPr="0075793D" w:rsidRDefault="004F02C5" w:rsidP="0075793D">
      <w:pPr>
        <w:pStyle w:val="11"/>
      </w:pPr>
      <w:bookmarkStart w:id="115" w:name="_Toc65586432"/>
      <w:r w:rsidRPr="0075793D">
        <w:t xml:space="preserve">Приложение А3.8. </w:t>
      </w:r>
      <w:bookmarkStart w:id="116" w:name="_Toc64475918"/>
      <w:bookmarkStart w:id="117" w:name="_Toc44926599"/>
      <w:r w:rsidR="0075793D" w:rsidRPr="0075793D">
        <w:t>Трансплантация аутологичных гемопоэтических стволовых клеток</w:t>
      </w:r>
      <w:bookmarkEnd w:id="115"/>
      <w:bookmarkEnd w:id="116"/>
    </w:p>
    <w:p w14:paraId="0A90693D" w14:textId="77777777" w:rsidR="0075793D" w:rsidRPr="00BA4F0F" w:rsidRDefault="0075793D" w:rsidP="0075793D">
      <w:pPr>
        <w:rPr>
          <w:rFonts w:cs="Times New Roman"/>
          <w:i/>
          <w:szCs w:val="24"/>
          <w:u w:val="single"/>
        </w:rPr>
      </w:pPr>
      <w:r w:rsidRPr="00BA4F0F">
        <w:rPr>
          <w:rFonts w:cs="Times New Roman"/>
          <w:i/>
          <w:szCs w:val="24"/>
          <w:u w:val="single"/>
        </w:rPr>
        <w:t>Мобилизация и сбор гемопоэтических стволовых клеток крови</w:t>
      </w:r>
      <w:bookmarkEnd w:id="117"/>
    </w:p>
    <w:p w14:paraId="61220F84" w14:textId="77777777" w:rsidR="0075793D" w:rsidRPr="00BA4F0F" w:rsidRDefault="0075793D" w:rsidP="0075793D">
      <w:pPr>
        <w:ind w:firstLine="567"/>
        <w:rPr>
          <w:rFonts w:cs="Times New Roman"/>
          <w:szCs w:val="24"/>
        </w:rPr>
      </w:pPr>
      <w:r w:rsidRPr="00BA4F0F">
        <w:rPr>
          <w:rFonts w:cs="Times New Roman"/>
          <w:szCs w:val="24"/>
        </w:rPr>
        <w:t>Мобилизация – резкое увеличение количества гемопоэтических стволовых клеток (ГСК) в периферической крови под воздействием ростовых факторов.</w:t>
      </w:r>
    </w:p>
    <w:p w14:paraId="72BA2A4B" w14:textId="6677E8F4" w:rsidR="0075793D" w:rsidRPr="00BA4F0F" w:rsidRDefault="0075793D" w:rsidP="0075793D">
      <w:pPr>
        <w:ind w:firstLine="567"/>
        <w:rPr>
          <w:rFonts w:cs="Times New Roman"/>
          <w:szCs w:val="24"/>
        </w:rPr>
      </w:pPr>
      <w:r w:rsidRPr="00BA4F0F">
        <w:rPr>
          <w:rFonts w:cs="Times New Roman"/>
          <w:szCs w:val="24"/>
        </w:rPr>
        <w:t xml:space="preserve">Исторически схемы мобилизации были основаны на применении химиотерапевтических препаратов, так как во время восстановления гемопоэза было замечено временное увеличение циркуляции стволовых клеток в крови. Однако результаты сбора ГСК были неудовлетворительными. Первые упоминания о присутствии в крови факторов, влияющих на кроветворение, относятся к началу прошлого столетия. В середине </w:t>
      </w:r>
      <w:r w:rsidRPr="00BA4F0F">
        <w:rPr>
          <w:rFonts w:cs="Times New Roman"/>
          <w:szCs w:val="24"/>
          <w:lang w:val="en-US"/>
        </w:rPr>
        <w:t>XX</w:t>
      </w:r>
      <w:r w:rsidRPr="00BA4F0F">
        <w:rPr>
          <w:rFonts w:cs="Times New Roman"/>
          <w:szCs w:val="24"/>
        </w:rPr>
        <w:t xml:space="preserve"> века две группы исследователей из США и Австралии разработали культуральную агаровую систему, в которой наблюдали рост колоний кроветворных клеток-предшественниц при добавлении определенных веществ. Эти вещества назвали колониестимулирующими факторами (КСФ). Дальнейшее их изучение позволило выделить несколько видов КСФ: гранулоцитарный (Г-КСФ), гранулоцитарно-макрофагальный (ГМ-КСФ), макрофагальный (М-КСФ), а также интерлейкин-3 (ИЛ-3) </w:t>
      </w:r>
      <w:r w:rsidRPr="00BA4F0F">
        <w:rPr>
          <w:rFonts w:cs="Times New Roman"/>
          <w:szCs w:val="24"/>
        </w:rPr>
        <w:fldChar w:fldCharType="begin" w:fldLock="1"/>
      </w:r>
      <w:r w:rsidR="004810E5">
        <w:rPr>
          <w:rFonts w:cs="Times New Roman"/>
          <w:szCs w:val="24"/>
        </w:rPr>
        <w:instrText>ADDIN CSL_CITATION {"citationItems":[{"id":"ITEM-1","itemData":{"DOI":"10.1073/pnas.82.5.1526","ISSN":"00278424","PMID":"3871951","abstract":"Pluripotent hematopoietic colony-stimulating factor (pluripotent CSF), a protein that is constitutively produced by the human bladder carcinoma cell line 5637, has been purified from low serum (0.2% fetal calf serum)-containing conditioned medium. The purification involved sequential ammonium sulfate precipitation, ion-exchange chromatography, gel filtration, and reversed-phase high-performance liquid chromatography. The purified protein has a molecular weight of 18,000 in NaDodSO4/polyacrylamide gel electrophoresis, both by the silver staining technique and by elution of biological activity from a corresponding gel slice, and has an isoelectric point of 5.5. Pluripotent CSF supports the growth of human mixed colonies, granulocyte-macrophage colonies, and early erythroid colonies and induces differentiation of the human promyelocytic leukemic cell line HL-60 and the murine myelomonocytic leukemic cell line WEHI-3B (D+). The specific activity of the purified pluripotent CSF in the granulocyte-macrophage colony assay is 1.5 x 108 units/mg of protein.","author":[{"dropping-particle":"","family":"Welte","given":"K.","non-dropping-particle":"","parse-names":false,"suffix":""},{"dropping-particle":"","family":"Platzer","given":"E.","non-dropping-particle":"","parse-names":false,"suffix":""},{"dropping-particle":"","family":"Lu","given":"L.","non-dropping-particle":"","parse-names":false,"suffix":""},{"dropping-particle":"","family":"Gabrilove","given":"J. L.","non-dropping-particle":"","parse-names":false,"suffix":""},{"dropping-particle":"","family":"Levi","given":"E.","non-dropping-particle":"","parse-names":false,"suffix":""},{"dropping-particle":"","family":"Mertelsmann","given":"R.","non-dropping-particle":"","parse-names":false,"suffix":""},{"dropping-particle":"","family":"Moore","given":"M. A.","non-dropping-particle":"","parse-names":false,"suffix":""}],"container-title":"Proceedings of the National Academy of Sciences of the United States of America","id":"ITEM-1","issue":"5","issued":{"date-parts":[["1985"]]},"page":"1526-1530","publisher":"Proc Natl Acad Sci U S A","title":"Purification and biochemical characterization of human pluripotent hematopoietic colony-stimulating factor","type":"article-journal","volume":"82"},"uris":["http://www.mendeley.com/documents/?uuid=5a57c90b-10d4-3d1e-84dc-5ac72b3ec78e","http://www.mendeley.com/documents/?uuid=41736d03-81c6-4c9d-9a68-05b29415ebd4","http://www.mendeley.com/documents/?uuid=8b38e00f-df77-4da9-9ba0-e5a98fa4faf8","http://www.mendeley.com/documents/?uuid=9ac7dafe-885b-40a2-b482-765fe36e21ca","http://www.mendeley.com/documents/?uuid=bc0e2586-6f76-47d1-901a-4feb252dd38c","http://www.mendeley.com/documents/?uuid=ce804cbb-1eb2-4746-a514-982ca9436e54","http://www.mendeley.com/documents/?uuid=b7e547dc-3d9b-40b2-b055-6d376790a636"]}],"mendeley":{"formattedCitation":"[166]","plainTextFormattedCitation":"[166]","previouslyFormattedCitation":"[166]"},"properties":{"noteIndex":0},"schema":"https://github.com/citation-style-language/schema/raw/master/csl-citation.json"}</w:instrText>
      </w:r>
      <w:r w:rsidRPr="00BA4F0F">
        <w:rPr>
          <w:rFonts w:cs="Times New Roman"/>
          <w:szCs w:val="24"/>
        </w:rPr>
        <w:fldChar w:fldCharType="separate"/>
      </w:r>
      <w:r w:rsidR="004810E5" w:rsidRPr="004810E5">
        <w:rPr>
          <w:rFonts w:cs="Times New Roman"/>
          <w:noProof/>
          <w:szCs w:val="24"/>
        </w:rPr>
        <w:t>[166]</w:t>
      </w:r>
      <w:r w:rsidRPr="00BA4F0F">
        <w:rPr>
          <w:rFonts w:cs="Times New Roman"/>
          <w:szCs w:val="24"/>
        </w:rPr>
        <w:fldChar w:fldCharType="end"/>
      </w:r>
      <w:r w:rsidRPr="00BA4F0F">
        <w:rPr>
          <w:rFonts w:cs="Times New Roman"/>
          <w:szCs w:val="24"/>
        </w:rPr>
        <w:t>.</w:t>
      </w:r>
    </w:p>
    <w:p w14:paraId="6AF57C4D" w14:textId="77777777" w:rsidR="0075793D" w:rsidRPr="00BA4F0F" w:rsidRDefault="0075793D" w:rsidP="0075793D">
      <w:pPr>
        <w:ind w:firstLine="567"/>
        <w:rPr>
          <w:rFonts w:cs="Times New Roman"/>
          <w:szCs w:val="24"/>
        </w:rPr>
      </w:pPr>
      <w:r w:rsidRPr="00BA4F0F">
        <w:rPr>
          <w:rFonts w:cs="Times New Roman"/>
          <w:szCs w:val="24"/>
        </w:rPr>
        <w:t xml:space="preserve">В клинической практике рекомбинантные препараты Г-КСФ получили наиболее широкое распространение в качестве стимуляторов лейкопоэза. В настоящее время применение Г-КСФ является стандартом при мобилизации ГСК . </w:t>
      </w:r>
    </w:p>
    <w:p w14:paraId="66AE75F4" w14:textId="77777777" w:rsidR="0075793D" w:rsidRPr="00BA4F0F" w:rsidRDefault="0075793D" w:rsidP="0075793D">
      <w:pPr>
        <w:ind w:firstLine="567"/>
        <w:rPr>
          <w:rFonts w:cs="Times New Roman"/>
          <w:szCs w:val="24"/>
        </w:rPr>
      </w:pPr>
      <w:r w:rsidRPr="00BA4F0F">
        <w:rPr>
          <w:rFonts w:cs="Times New Roman"/>
          <w:szCs w:val="24"/>
        </w:rPr>
        <w:t xml:space="preserve">Разработано несколько схем мобилизации ГСК, используемых в онкогематологии, в каждой из которых применяется Г-КСФ. </w:t>
      </w:r>
    </w:p>
    <w:p w14:paraId="4DF005B4" w14:textId="77777777" w:rsidR="0075793D" w:rsidRPr="00BA4F0F" w:rsidRDefault="0075793D" w:rsidP="0075793D">
      <w:pPr>
        <w:pStyle w:val="11"/>
        <w:spacing w:before="0"/>
      </w:pPr>
      <w:bookmarkStart w:id="118" w:name="_Toc44926601"/>
    </w:p>
    <w:p w14:paraId="0C17B218" w14:textId="77777777" w:rsidR="0075793D" w:rsidRPr="00BA4F0F" w:rsidRDefault="0075793D" w:rsidP="0075793D">
      <w:pPr>
        <w:rPr>
          <w:rFonts w:cs="Times New Roman"/>
          <w:b/>
          <w:szCs w:val="24"/>
        </w:rPr>
      </w:pPr>
      <w:r w:rsidRPr="00BA4F0F">
        <w:rPr>
          <w:rFonts w:cs="Times New Roman"/>
          <w:b/>
          <w:szCs w:val="24"/>
        </w:rPr>
        <w:t>Алгоритм принятия решения перед мобилизацией ГСК</w:t>
      </w:r>
      <w:bookmarkEnd w:id="118"/>
    </w:p>
    <w:p w14:paraId="0418052F" w14:textId="77777777" w:rsidR="0075793D" w:rsidRPr="00BA4F0F" w:rsidRDefault="0075793D" w:rsidP="005E0272">
      <w:pPr>
        <w:pStyle w:val="afe"/>
        <w:numPr>
          <w:ilvl w:val="0"/>
          <w:numId w:val="242"/>
        </w:numPr>
        <w:rPr>
          <w:rFonts w:cs="Times New Roman"/>
          <w:szCs w:val="24"/>
        </w:rPr>
      </w:pPr>
      <w:r w:rsidRPr="00BA4F0F">
        <w:rPr>
          <w:rFonts w:cs="Times New Roman"/>
          <w:szCs w:val="24"/>
        </w:rPr>
        <w:t>оценка статуса больного (наличие показаний для трансплантации аутологичных гемопоэтических стволовых клеток (ауто-ТГСК), стандартное обследование для исключения факторов, препятствующих проведению высокодозного лечения, коморбидность, согласие больного, изучение предшествующей терапии - количество курсов и сроки окончания лечения, использование лучевой терапии)</w:t>
      </w:r>
    </w:p>
    <w:p w14:paraId="288B93F9" w14:textId="77777777" w:rsidR="0075793D" w:rsidRPr="00BA4F0F" w:rsidRDefault="0075793D" w:rsidP="005E0272">
      <w:pPr>
        <w:pStyle w:val="afe"/>
        <w:numPr>
          <w:ilvl w:val="0"/>
          <w:numId w:val="242"/>
        </w:numPr>
        <w:rPr>
          <w:rFonts w:cs="Times New Roman"/>
          <w:szCs w:val="24"/>
        </w:rPr>
      </w:pPr>
      <w:r w:rsidRPr="00BA4F0F">
        <w:rPr>
          <w:rFonts w:cs="Times New Roman"/>
          <w:szCs w:val="24"/>
        </w:rPr>
        <w:t>оценка статуса болезни - глубина противоопухолевого ответа, наличие ремиссии, сроки ее достижения;</w:t>
      </w:r>
    </w:p>
    <w:p w14:paraId="0DB87E45" w14:textId="77777777" w:rsidR="0075793D" w:rsidRPr="00BA4F0F" w:rsidRDefault="0075793D" w:rsidP="005E0272">
      <w:pPr>
        <w:pStyle w:val="afe"/>
        <w:numPr>
          <w:ilvl w:val="0"/>
          <w:numId w:val="242"/>
        </w:numPr>
        <w:rPr>
          <w:rFonts w:cs="Times New Roman"/>
          <w:szCs w:val="24"/>
        </w:rPr>
      </w:pPr>
      <w:r w:rsidRPr="00BA4F0F">
        <w:rPr>
          <w:rFonts w:cs="Times New Roman"/>
          <w:szCs w:val="24"/>
        </w:rPr>
        <w:t>оценка состояния кроветворения (гистологическое исследование костного мозга позволит выявить угнетение ростков кроветворения, а также инфильтрацию костного мозга опухолевыми клетками)</w:t>
      </w:r>
    </w:p>
    <w:p w14:paraId="79D0C320" w14:textId="77777777" w:rsidR="0075793D" w:rsidRPr="00BA4F0F" w:rsidRDefault="0075793D" w:rsidP="0075793D">
      <w:pPr>
        <w:ind w:firstLine="567"/>
        <w:rPr>
          <w:rFonts w:cs="Times New Roman"/>
          <w:szCs w:val="24"/>
        </w:rPr>
      </w:pPr>
      <w:r w:rsidRPr="00BA4F0F">
        <w:rPr>
          <w:rFonts w:cs="Times New Roman"/>
          <w:szCs w:val="24"/>
        </w:rPr>
        <w:t>Наиболее доступным иммунологическим маркером кроветворных предшественников является экспрессия антигена СD34. Эта молекула присутствует как на наиболее примитивных стволовых клетках, так и на дифференцированных предшественниках, однако на зрелых гемопоэтических клетках экспрессии CD34 нет.</w:t>
      </w:r>
    </w:p>
    <w:p w14:paraId="58DAAD51" w14:textId="0138D26D" w:rsidR="0075793D" w:rsidRPr="00BA4F0F" w:rsidRDefault="0075793D" w:rsidP="0075793D">
      <w:pPr>
        <w:ind w:firstLine="567"/>
        <w:rPr>
          <w:rFonts w:cs="Times New Roman"/>
          <w:szCs w:val="24"/>
        </w:rPr>
      </w:pPr>
      <w:r w:rsidRPr="00BA4F0F">
        <w:rPr>
          <w:rFonts w:cs="Times New Roman"/>
          <w:szCs w:val="24"/>
        </w:rPr>
        <w:t xml:space="preserve">Именно суммарный пул CD34+ клеток определяет сроки восстановления кроветворения после трансплантации </w:t>
      </w:r>
      <w:r w:rsidRPr="00BA4F0F">
        <w:rPr>
          <w:rFonts w:cs="Times New Roman"/>
          <w:szCs w:val="24"/>
        </w:rPr>
        <w:fldChar w:fldCharType="begin" w:fldLock="1"/>
      </w:r>
      <w:r w:rsidR="004810E5">
        <w:rPr>
          <w:rFonts w:cs="Times New Roman"/>
          <w:szCs w:val="24"/>
        </w:rPr>
        <w:instrText>ADDIN CSL_CITATION {"citationItems":[{"id":"ITEM-1","itemData":{"DOI":"10.1182/blood.v87.1.1.bloodjournal8711","ISSN":"00064971","PMID":"8547630","author":[{"dropping-particle":"","family":"Krause","given":"Diane S.","non-dropping-particle":"","parse-names":false,"suffix":""},{"dropping-particle":"","family":"Fackler","given":"Mary Jo","non-dropping-particle":"","parse-names":false,"suffix":""},{"dropping-particle":"","family":"Civin","given":"Curt I.","non-dropping-particle":"","parse-names":false,"suffix":""},{"dropping-particle":"","family":"May","given":"W. Stratford","non-dropping-particle":"","parse-names":false,"suffix":""}],"container-title":"Blood","id":"ITEM-1","issue":"1","issued":{"date-parts":[["1996","1"]]},"page":"1-13","publisher":"American Society of Hematology","title":"CD34: Structure, biology, and clinical utility","type":"article","volume":"87"},"uris":["http://www.mendeley.com/documents/?uuid=e4a53186-d5a2-35ce-9c02-67bfa05e0886","http://www.mendeley.com/documents/?uuid=1a71f447-44fb-4b59-ac8a-1da92d0990b3","http://www.mendeley.com/documents/?uuid=518c4307-6db7-4716-894c-8d6c14cf80db","http://www.mendeley.com/documents/?uuid=c05ac1ea-efeb-4341-9a99-2e75eb37db1e","http://www.mendeley.com/documents/?uuid=95496d3c-b097-411f-9ec4-45c1036c6a68","http://www.mendeley.com/documents/?uuid=f461ab1d-9e2e-41ce-99d7-7c0f5d907eb5","http://www.mendeley.com/documents/?uuid=6bac5d54-b1f3-4ac8-a201-bb7356545600"]},{"id":"ITEM-2","itemData":{"DOI":"10.1016/j.bbmt.2013.10.013","ISSN":"10838791","abstract":"Autologous hematopoietic stem cell transplantation (aHSCT) is a well-established treatment for malignancies such as multiple myeloma (MM) and lymphomas. Various changes in the field over the past decade, including the frequent use of tandem aHSCT in MM, the advent of novel therapies for the treatment of MM and lymphoma, and the addition of new stem cell mobilization techniques, have led to the need to reassess current stem cell mobilization strategies. Mobilization failures with traditional strategies are common and result in delays in treatment and increased cost and resource utilization. Recently, plerixafor-containing strategies have been shown to significantly reduce mobilization failure rates, but the ideal method to maximize stem cell yields and minimize costs associated with collection has not yet been determined. A panel of experts convened to discuss the currently available data on autologous hematopoietic stem cell mobilization and transplantation and to devise guidelines to optimize mobilization strategies. Herein is a summary of their discussion and consensus. © 2014 American Society for Blood and Marrow Transplantation.","author":[{"dropping-particle":"","family":"Giralt","given":"Sergio","non-dropping-particle":"","parse-names":false,"suffix":""},{"dropping-particle":"","family":"Costa","given":"Luciano","non-dropping-particle":"","parse-names":false,"suffix":""},{"dropping-particle":"","family":"Schriber","given":"Jeffrey","non-dropping-particle":"","parse-names":false,"suffix":""},{"dropping-particle":"","family":"DiPersio","given":"John","non-dropping-particle":"","parse-names":false,"suffix":""},{"dropping-particle":"","family":"Maziarz","given":"Richard","non-dropping-particle":"","parse-names":false,"suffix":""},{"dropping-particle":"","family":"McCarty","given":"John","non-dropping-particle":"","parse-names":false,"suffix":""},{"dropping-particle":"","family":"Shaughnessy","given":"Paul","non-dropping-particle":"","parse-names":false,"suffix":""},{"dropping-particle":"","family":"Snyder","given":"Edward","non-dropping-particle":"","parse-names":false,"suffix":""},{"dropping-particle":"","family":"Bensinger","given":"William","non-dropping-particle":"","parse-names":false,"suffix":""},{"dropping-particle":"","family":"Copelan","given":"Edward","non-dropping-particle":"","parse-names":false,"suffix":""},{"dropping-particle":"","family":"Hosing","given":"Chitra","non-dropping-particle":"","parse-names":false,"suffix":""},{"dropping-particle":"","family":"Negrin","given":"Robert","non-dropping-particle":"","parse-names":false,"suffix":""},{"dropping-particle":"","family":"Petersen","given":"Finn Bo","non-dropping-particle":"","parse-names":false,"suffix":""},{"dropping-particle":"","family":"Rondelli","given":"Damiano","non-dropping-particle":"","parse-names":false,"suffix":""},{"dropping-particle":"","family":"Soiffer","given":"Robert","non-dropping-particle":"","parse-names":false,"suffix":""},{"dropping-particle":"","family":"Leather","given":"Helen","non-dropping-particle":"","parse-names":false,"suffix":""},{"dropping-particle":"","family":"Pazzalia","given":"Amy","non-dropping-particle":"","parse-names":false,"suffix":""},{"dropping-particle":"","family":"Devine","given":"Steven","non-dropping-particle":"","parse-names":false,"suffix":""}],"container-title":"Biology of Blood and Marrow Transplantation","id":"ITEM-2","issue":"3","issued":{"date-parts":[["2014","3"]]},"page":"295-308","publisher":"Elsevier","title":"Optimizing autologous stem cell mobilization strategies to improve patient outcomes: Consensus guidelines and recommendations","type":"article","volume":"20"},"uris":["http://www.mendeley.com/documents/?uuid=f0ad3abd-ce55-3df5-b4f9-e8598b8d0fa8","http://www.mendeley.com/documents/?uuid=aa3272db-ed0f-40c1-949a-b78843f4ce67","http://www.mendeley.com/documents/?uuid=cf158ac3-8f92-4973-85ea-fed641e1f9aa","http://www.mendeley.com/documents/?uuid=312e78a3-0bac-4bd4-bc5d-4ab2db1ceb87","http://www.mendeley.com/documents/?uuid=e4bbc320-ed80-4839-8759-9919ec753098","http://www.mendeley.com/documents/?uuid=43c5883b-a94a-435d-a102-5bbe11f4e704","http://www.mendeley.com/documents/?uuid=43ce11fb-9802-4761-b036-0d546f3d6abf"]}],"mendeley":{"formattedCitation":"[167,168]","plainTextFormattedCitation":"[167,168]","previouslyFormattedCitation":"[167,168]"},"properties":{"noteIndex":0},"schema":"https://github.com/citation-style-language/schema/raw/master/csl-citation.json"}</w:instrText>
      </w:r>
      <w:r w:rsidRPr="00BA4F0F">
        <w:rPr>
          <w:rFonts w:cs="Times New Roman"/>
          <w:szCs w:val="24"/>
        </w:rPr>
        <w:fldChar w:fldCharType="separate"/>
      </w:r>
      <w:r w:rsidR="004810E5" w:rsidRPr="004810E5">
        <w:rPr>
          <w:rFonts w:cs="Times New Roman"/>
          <w:noProof/>
          <w:szCs w:val="24"/>
        </w:rPr>
        <w:t>[167,168]</w:t>
      </w:r>
      <w:r w:rsidRPr="00BA4F0F">
        <w:rPr>
          <w:rFonts w:cs="Times New Roman"/>
          <w:szCs w:val="24"/>
        </w:rPr>
        <w:fldChar w:fldCharType="end"/>
      </w:r>
      <w:r w:rsidRPr="00BA4F0F">
        <w:rPr>
          <w:rFonts w:cs="Times New Roman"/>
          <w:szCs w:val="24"/>
        </w:rPr>
        <w:t>. Неоднократно предпринимались попытки установить количество CD34+ клеток, необходимое для быстрого и успешного восстановления гемопоэза после трансплантации</w:t>
      </w:r>
      <w:r w:rsidRPr="00BA4F0F">
        <w:rPr>
          <w:rFonts w:cs="Times New Roman"/>
          <w:szCs w:val="24"/>
        </w:rPr>
        <w:fldChar w:fldCharType="begin" w:fldLock="1"/>
      </w:r>
      <w:r w:rsidR="004810E5">
        <w:rPr>
          <w:rFonts w:cs="Times New Roman"/>
          <w:szCs w:val="24"/>
        </w:rPr>
        <w:instrText>ADDIN CSL_CITATION {"citationItems":[{"id":"ITEM-1","itemData":{"DOI":"10.1016/j.bbmt.2010.11.021","ISSN":"10838791","abstract":"Autologous hematopoietic stem cell transplantation (ASCT) is an established treatment for patients with hematologic malignancies, yet the impact of transplanted CD34 + cell dose on clinical outcomes is unresolved. We conducted post hoc analyses of transplanted CD34 + cell dose and hematopoietic recovery following ASCT in 438 patients with non-Hodgkin lymphoma (NHL) or multiple myeloma (MM), using data from 2 multicenter phase 3 clinical studies that compared plerixafor plus granulocyte-colony stimulating factor (G-CSF) versus placebo plus G-CSF as stem cell mobilization regimens. Days to engraftment and the proportion of patients who reached predetermined blood count thresholds were compared across 3 CD34 + cell dose levels: 2-4 × 10 6 cells/kg, 4-6 × 10 6 cells/kg, and &gt;6 × 10 6 cells/kg, regardless of mobilization treatment. Short-term neutrophil and platelet engraftment times were similar regardless of cell dose. A significant linear trend was observed between transplanted CD34 + cell dose and the proportion of patients with platelet count &gt;150 × 10 9/L at 100 days (P &lt; .001), 6 months (P = 026), and 12 months (P = 020) in patients with NHL, and at 100 days in patients with MM (P = 004). A linear trend was also observed between transplanted cell dose and the proportion of patients with platelet count &gt;100 × 10 9/L at 100 days (P &lt; .001) and 6 months (P = 023) in patients with NHL. A higher cell dose was associated with a lower percentage of NHL patients requiring red blood cell transfusions (P = 006). Our analyses confirm previous findings that transplanted CD34 + cell dose may be associated with better long-term platelet recovery after ASCT. © 2011 American Society for Blood and Marrow Transplantation.","author":[{"dropping-particle":"","family":"Stiff","given":"Patrick J.","non-dropping-particle":"","parse-names":false,"suffix":""},{"dropping-particle":"","family":"Micallef","given":"Ivana","non-dropping-particle":"","parse-names":false,"suffix":""},{"dropping-particle":"","family":"Nademanee","given":"Auayporn P.","non-dropping-particle":"","parse-names":false,"suffix":""},{"dropping-particle":"","family":"Stadtmauer","given":"Edward A.","non-dropping-particle":"","parse-names":false,"suffix":""},{"dropping-particle":"","family":"Maziarz","given":"Richard T.","non-dropping-particle":"","parse-names":false,"suffix":""},{"dropping-particle":"","family":"Bolwell","given":"Brian J.","non-dropping-particle":"","parse-names":false,"suffix":""},{"dropping-particle":"","family":"Bridger","given":"Gary","non-dropping-particle":"","parse-names":false,"suffix":""},{"dropping-particle":"","family":"Marulkar","given":"Sachin","non-dropping-particle":"","parse-names":false,"suffix":""},{"dropping-particle":"","family":"Hsu","given":"Frank J.","non-dropping-particle":"","parse-names":false,"suffix":""},{"dropping-particle":"","family":"DiPersio","given":"John F.","non-dropping-particle":"","parse-names":false,"suffix":""}],"container-title":"Biology of Blood and Marrow Transplantation","id":"ITEM-1","issue":"8","issued":{"date-parts":[["2011","8"]]},"page":"1146-1153","publisher":"Biol Blood Marrow Transplant","title":"Transplanted CD34 + Cell Dose Is Associated with Long-Term Platelet Count Recovery following Autologous Peripheral Blood Stem Cell Transplant in Patients with Non-Hodgkin Lymphoma or Multiple Myeloma","type":"article-journal","volume":"17"},"uris":["http://www.mendeley.com/documents/?uuid=48a19164-f2f4-3c72-92ac-75035529f84f","http://www.mendeley.com/documents/?uuid=0a6d07c9-82c9-4733-a748-4fde4ac355bf","http://www.mendeley.com/documents/?uuid=bf0d8f8a-f914-4a58-91b3-f9ddad3e5687","http://www.mendeley.com/documents/?uuid=b1384089-6533-4d2c-bd79-0f7357070e64","http://www.mendeley.com/documents/?uuid=58d20dd0-b39a-406e-8082-76a20c05645c","http://www.mendeley.com/documents/?uuid=cfbf2990-7580-4b9a-af63-5c87bebbc637","http://www.mendeley.com/documents/?uuid=aeec743f-aab0-4ef2-b5a9-bcb8a120b592"]},{"id":"ITEM-2","itemData":{"DOI":"10.1200/JCO.1995.13.3.705","ISSN":"0732183X","abstract":"Purpose: (1) To study the ability of mobilized peripheral-blood progenitor cells (PBPC) collected in a single large-volume leukapheresis performed on a predetermined date to accelerate engraftment after high-dose cyclophosphamide and thiotepa; (2) to establish the minimum dose of PBPC associated with early engraftment; and (3) to identify parameters predictive of collection of large numbers of PBPC. Patients and Methods: Twenty-three patients with breast cancer received cyclophosphamide (4 g/m2) and granulocyte-macrophage colony- stimulating factor ([GM-CSF] 5 μg/kg/d x 15 days) for PBPC mobilization. A single leukapheresis was performed 15 days after cyclophosphamide administration. Then, patients received high-dose cyclophosphamide and thiotepa followed by reinfusion of PBPC and 4-hydroperoxycyclophosphamide (4HC)-purged bone marrow. PBPC concentration was measured in serial peripheral-blood samples and in the leukapheresis product. Correlation analysis between PBPC dose and engraftment and between leukapheresis yield and patient characteristics was attempted. Results: A single leukapheresis processed a median 36 L (range, 24 to 46) blood and collected 5 x 106 CD34+ cells/kg (&lt; 0.3 to 24) and 6.2 x 105 colony-forming units granulocyte- macrophage (CFU-GM)/kg (&lt; 0.001 to 29). All sixteen patients (70%) reinfused with ≥ 2.9 x 106 CD34+ cells/kg reached a level of greater than 1,000 leukocytes/μL by day 13 and greater than 50,000 platelets/μL by day 15. All of these patients had a percentage of peripheral-blood CD34+ cells ≥ 0.5%, and all but one, a level of greater than 100,000 platelets/μL, on the day of leukapheresis. The bone marrow CD34+ cell percentage at study entry predicted the number of CD34+ cells collected after PBPC mobilization (R2 = .42, P = .002). All patients with ≥ 2.5% bone marrow CD34+ cells experienced early engraftment. Conclusion: Reinfusion of PBPC collected in a single leukapheresis accelerates engraftment in the majority of patients. Pretreatment bone marrow CD34+ cell content determines PBPC mobilization capacity and may help select hematopoietic rescue strategies.","author":[{"dropping-particle":"","family":"Passos-Coelho","given":"J. L.","non-dropping-particle":"","parse-names":false,"suffix":""},{"dropping-particle":"","family":"Braine","given":"H. G.","non-dropping-particle":"","parse-names":false,"suffix":""},{"dropping-particle":"","family":"Davis","given":"J. M.","non-dropping-particle":"","parse-names":false,"suffix":""},{"dropping-particle":"","family":"Huelskamp","given":"A. M.","non-dropping-particle":"","parse-names":false,"suffix":""},{"dropping-particle":"","family":"Schepers","given":"K. G.","non-dropping-particle":"","parse-names":false,"suffix":""},{"dropping-particle":"","family":"Ohly","given":"K.","non-dropping-particle":"","parse-names":false,"suffix":""},{"dropping-particle":"","family":"Clarke","given":"B.","non-dropping-particle":"","parse-names":false,"suffix":""},{"dropping-particle":"","family":"Wright","given":"S. K.","non-dropping-particle":"","parse-names":false,"suffix":""},{"dropping-particle":"","family":"Noga","given":"S. J.","non-dropping-particle":"","parse-names":false,"suffix":""},{"dropping-particle":"","family":"Davidson","given":"N. E.","non-dropping-particle":"","parse-names":false,"suffix":""},{"dropping-particle":"","family":"Kennedy","given":"M. J.","non-dropping-particle":"","parse-names":false,"suffix":""}],"container-title":"Journal of Clinical Oncology","id":"ITEM-2","issue":"3","issued":{"date-parts":[["1995"]]},"page":"705-714","publisher":"American Society of Clinical Oncology","title":"Predictive factors for peripheral-blood progenitor-cell collections using a single large-volume leukapheresis after cyclophosphamide and granulocyte- macrophage colony-stimulating factor mobilization","type":"article-journal","volume":"13"},"uris":["http://www.mendeley.com/documents/?uuid=9f936e14-dfc0-3b69-9eaa-703ea91a9517","http://www.mendeley.com/documents/?uuid=9bed808d-d71c-46a0-b6d7-9d6ce13e9c7d","http://www.mendeley.com/documents/?uuid=3706d09b-9023-490d-be3b-1e194d3fc1e4","http://www.mendeley.com/documents/?uuid=b899bbef-369f-4f35-8bd0-80f8725dd530","http://www.mendeley.com/documents/?uuid=32153687-438a-4c6a-ac63-3b5dbfa89f35","http://www.mendeley.com/documents/?uuid=69a86837-0dbe-4f8c-a0e9-040b7ce7c64b","http://www.mendeley.com/documents/?uuid=0a886e27-4a35-4e92-a56e-e7808e952669"]},{"id":"ITEM-3","itemData":{"ISSN":"0301-472X","PMID":"7681782","abstract":"High-dose conditioning therapy followed by autografting with blood stem cells rather than bone marrow has become an increasingly used transplantation modality for patients with chemosensitive malignancies. We treated 10 patients with malignant lymphoma in sensitive relapse with recombinant human granulocyte colony-stimulating factor (rhG-CSF) following salvage therapy. rhG-CSF was given subcutaneously (5 micrograms/kg/day) starting 24 hours after chemotherapy and stem cell collection was performed by repeated leukaphereses during leukocyte recovery. The yield of myeloid progenitors varied between 0.79 and 38.36 x 10(4) CFU-GM/kg body weight (median 4.1 x 10(4). A strong correlation was found between the number of granulocyte-macrophage colony-forming cells (CFU-GM) plus blast-forming erythroid cells (BFU-E) and CD34-positive (CD34+) cells (R = 0.80; p &lt; 0.001). The majority of CD34+ cells (&gt; 95%) strongly coexpressed human lymphocyte antigen-DR (HLA-DR) and CD38, whereas CD33 varied between 20% and 94%. Costaining of CD34+ cells for CD19 above the control level could not be detected, suggesting that early B lymphoid progenitors are not expanded or released into the circulation by rhG-CSF. Following total body irradiation (TBI)/cyclophosphamide or the CBV regimen (cyclophosphamide, BCNU, VP-16), all patients achieved complete engraftment with a median of 14 days for 1.0 x 10(9)/L white blood cells (WBC), 15 days for 0.5 x 10(9)/L polymorphonuclear cells (PMN) and 22 days for 20 x 10(9)/L platelets. The quantity of CFU-GM/kg transplanted was predictive for neutrophil and platelet recovery. The strongest correlation, however, was found between the number of CD34+ cells/kg autografted and platelet recovery (R = -0.86; p &lt; 0.001). The patients transplanted with more than 5 x 10(6)/kg CD34+ cells reached an unsubstituted platelet count &gt; 20 x 10(9)/L within 8 to 12 days. Our data demonstrate that rapid and complete engraftment can be achieved following myeloablative conditioning therapy with rhG-CSF-exposed blood stem cells without the need for additional bone marrow support or growth factor administration posttransplantation.","author":[{"dropping-particle":"","family":"Hohaus","given":"S","non-dropping-particle":"","parse-names":false,"suffix":""},{"dropping-particle":"","family":"Goldschmidt","given":"H","non-dropping-particle":"","parse-names":false,"suffix":""},{"dropping-particle":"","family":"Ehrhardt","given":"R","non-dropping-particle":"","parse-names":false,"suffix":""},{"dropping-particle":"","family":"Haas","given":"R","non-dropping-particle":"","parse-names":false,"suffix":""}],"container-title":"Experimental hematology","id":"ITEM-3","issue":"4","issued":{"date-parts":[["1993","4"]]},"page":"508-14","title":"Successful autografting following myeloablative conditioning therapy with blood stem cells mobilized by chemotherapy plus rhG-CSF.","type":"article-journal","volume":"21"},"uris":["http://www.mendeley.com/documents/?uuid=93812be1-7e65-3951-a468-4e3845502bab","http://www.mendeley.com/documents/?uuid=5b122eed-6453-4084-bfc7-422828bb1ccd","http://www.mendeley.com/documents/?uuid=b7c9c36c-a1b4-443e-870d-da0340dfc5f8","http://www.mendeley.com/documents/?uuid=80050e51-5010-4c71-a36b-97f1521bf43a","http://www.mendeley.com/documents/?uuid=38148a1c-e077-4358-ba14-0dc030862937","http://www.mendeley.com/documents/?uuid=7bc7df1c-3342-4a37-b645-1fd9957bd694","http://www.mendeley.com/documents/?uuid=841a47c1-56d9-4183-95e4-12fced0a860d"]},{"id":"ITEM-4","itemData":{"DOI":"10.1016/j.bbmt.2013.10.013","ISSN":"10838791","abstract":"Autologous hematopoietic stem cell transplantation (aHSCT) is a well-established treatment for malignancies such as multiple myeloma (MM) and lymphomas. Various changes in the field over the past decade, including the frequent use of tandem aHSCT in MM, the advent of novel therapies for the treatment of MM and lymphoma, and the addition of new stem cell mobilization techniques, have led to the need to reassess current stem cell mobilization strategies. Mobilization failures with traditional strategies are common and result in delays in treatment and increased cost and resource utilization. Recently, plerixafor-containing strategies have been shown to significantly reduce mobilization failure rates, but the ideal method to maximize stem cell yields and minimize costs associated with collection has not yet been determined. A panel of experts convened to discuss the currently available data on autologous hematopoietic stem cell mobilization and transplantation and to devise guidelines to optimize mobilization strategies. Herein is a summary of their discussion and consensus. © 2014 American Society for Blood and Marrow Transplantation.","author":[{"dropping-particle":"","family":"Giralt","given":"Sergio","non-dropping-particle":"","parse-names":false,"suffix":""},{"dropping-particle":"","family":"Costa","given":"Luciano","non-dropping-particle":"","parse-names":false,"suffix":""},{"dropping-particle":"","family":"Schriber","given":"Jeffrey","non-dropping-particle":"","parse-names":false,"suffix":""},{"dropping-particle":"","family":"DiPersio","given":"John","non-dropping-particle":"","parse-names":false,"suffix":""},{"dropping-particle":"","family":"Maziarz","given":"Richard","non-dropping-particle":"","parse-names":false,"suffix":""},{"dropping-particle":"","family":"McCarty","given":"John","non-dropping-particle":"","parse-names":false,"suffix":""},{"dropping-particle":"","family":"Shaughnessy","given":"Paul","non-dropping-particle":"","parse-names":false,"suffix":""},{"dropping-particle":"","family":"Snyder","given":"Edward","non-dropping-particle":"","parse-names":false,"suffix":""},{"dropping-particle":"","family":"Bensinger","given":"William","non-dropping-particle":"","parse-names":false,"suffix":""},{"dropping-particle":"","family":"Copelan","given":"Edward","non-dropping-particle":"","parse-names":false,"suffix":""},{"dropping-particle":"","family":"Hosing","given":"Chitra","non-dropping-particle":"","parse-names":false,"suffix":""},{"dropping-particle":"","family":"Negrin","given":"Robert","non-dropping-particle":"","parse-names":false,"suffix":""},{"dropping-particle":"","family":"Petersen","given":"Finn Bo","non-dropping-particle":"","parse-names":false,"suffix":""},{"dropping-particle":"","family":"Rondelli","given":"Damiano","non-dropping-particle":"","parse-names":false,"suffix":""},{"dropping-particle":"","family":"Soiffer","given":"Robert","non-dropping-particle":"","parse-names":false,"suffix":""},{"dropping-particle":"","family":"Leather","given":"Helen","non-dropping-particle":"","parse-names":false,"suffix":""},{"dropping-particle":"","family":"Pazzalia","given":"Amy","non-dropping-particle":"","parse-names":false,"suffix":""},{"dropping-particle":"","family":"Devine","given":"Steven","non-dropping-particle":"","parse-names":false,"suffix":""}],"container-title":"Biology of Blood and Marrow Transplantation","id":"ITEM-4","issue":"3","issued":{"date-parts":[["2014","3"]]},"page":"295-308","publisher":"Elsevier","title":"Optimizing autologous stem cell mobilization strategies to improve patient outcomes: Consensus guidelines and recommendations","type":"article","volume":"20"},"uris":["http://www.mendeley.com/documents/?uuid=43ce11fb-9802-4761-b036-0d546f3d6abf","http://www.mendeley.com/documents/?uuid=43c5883b-a94a-435d-a102-5bbe11f4e704","http://www.mendeley.com/documents/?uuid=e4bbc320-ed80-4839-8759-9919ec753098","http://www.mendeley.com/documents/?uuid=312e78a3-0bac-4bd4-bc5d-4ab2db1ceb87","http://www.mendeley.com/documents/?uuid=cf158ac3-8f92-4973-85ea-fed641e1f9aa","http://www.mendeley.com/documents/?uuid=aa3272db-ed0f-40c1-949a-b78843f4ce67","http://www.mendeley.com/documents/?uuid=f0ad3abd-ce55-3df5-b4f9-e8598b8d0fa8"]}],"mendeley":{"formattedCitation":"[168–171]","plainTextFormattedCitation":"[168–171]","previouslyFormattedCitation":"[168–171]"},"properties":{"noteIndex":0},"schema":"https://github.com/citation-style-language/schema/raw/master/csl-citation.json"}</w:instrText>
      </w:r>
      <w:r w:rsidRPr="00BA4F0F">
        <w:rPr>
          <w:rFonts w:cs="Times New Roman"/>
          <w:szCs w:val="24"/>
        </w:rPr>
        <w:fldChar w:fldCharType="separate"/>
      </w:r>
      <w:r w:rsidR="004810E5" w:rsidRPr="004810E5">
        <w:rPr>
          <w:rFonts w:cs="Times New Roman"/>
          <w:noProof/>
          <w:szCs w:val="24"/>
        </w:rPr>
        <w:t>[168–171]</w:t>
      </w:r>
      <w:r w:rsidRPr="00BA4F0F">
        <w:rPr>
          <w:rFonts w:cs="Times New Roman"/>
          <w:szCs w:val="24"/>
        </w:rPr>
        <w:fldChar w:fldCharType="end"/>
      </w:r>
      <w:r w:rsidRPr="00BA4F0F">
        <w:rPr>
          <w:rFonts w:cs="Times New Roman"/>
          <w:szCs w:val="24"/>
        </w:rPr>
        <w:t xml:space="preserve">. </w:t>
      </w:r>
    </w:p>
    <w:p w14:paraId="5837DEA8" w14:textId="77777777" w:rsidR="0075793D" w:rsidRPr="00BA4F0F" w:rsidRDefault="0075793D" w:rsidP="0075793D">
      <w:pPr>
        <w:ind w:firstLine="567"/>
        <w:rPr>
          <w:rFonts w:cs="Times New Roman"/>
          <w:szCs w:val="24"/>
        </w:rPr>
      </w:pPr>
      <w:r w:rsidRPr="00BA4F0F">
        <w:rPr>
          <w:rFonts w:cs="Times New Roman"/>
          <w:szCs w:val="24"/>
        </w:rPr>
        <w:t>В настоящее время принято считать, что минимальным количеством клеток, необходимым для проведения одной аутологичной трансплантации, является 2×10</w:t>
      </w:r>
      <w:r w:rsidRPr="00BA4F0F">
        <w:rPr>
          <w:rFonts w:cs="Times New Roman"/>
          <w:szCs w:val="24"/>
          <w:vertAlign w:val="superscript"/>
        </w:rPr>
        <w:t xml:space="preserve">6 </w:t>
      </w:r>
      <w:r w:rsidRPr="00BA4F0F">
        <w:rPr>
          <w:rFonts w:cs="Times New Roman"/>
          <w:szCs w:val="24"/>
        </w:rPr>
        <w:t>CD34+ клеток/кг веса больного, а оптимальным количеством – значение 3 – 5 × 10</w:t>
      </w:r>
      <w:r w:rsidRPr="00BA4F0F">
        <w:rPr>
          <w:rFonts w:cs="Times New Roman"/>
          <w:szCs w:val="24"/>
          <w:vertAlign w:val="superscript"/>
        </w:rPr>
        <w:t xml:space="preserve">6 </w:t>
      </w:r>
      <w:r w:rsidRPr="00BA4F0F">
        <w:rPr>
          <w:rFonts w:cs="Times New Roman"/>
          <w:szCs w:val="24"/>
        </w:rPr>
        <w:t>CD34+ клеток/кг. В некоторых работах представлено, что при использовании трансплантата, содержащего более 5х10</w:t>
      </w:r>
      <w:r w:rsidRPr="00BA4F0F">
        <w:rPr>
          <w:rFonts w:cs="Times New Roman"/>
          <w:szCs w:val="24"/>
          <w:vertAlign w:val="superscript"/>
        </w:rPr>
        <w:t xml:space="preserve">6 </w:t>
      </w:r>
      <w:r w:rsidRPr="00BA4F0F">
        <w:rPr>
          <w:rFonts w:cs="Times New Roman"/>
          <w:szCs w:val="24"/>
        </w:rPr>
        <w:t xml:space="preserve">CD34+клеток/кг, отмечается меньшая длительность нейтропении и тромбоцитопении. </w:t>
      </w:r>
    </w:p>
    <w:p w14:paraId="7265B1E3" w14:textId="61E795FD" w:rsidR="0075793D" w:rsidRPr="00BA4F0F" w:rsidRDefault="0075793D" w:rsidP="0075793D">
      <w:pPr>
        <w:ind w:firstLine="567"/>
        <w:rPr>
          <w:rFonts w:cs="Times New Roman"/>
          <w:szCs w:val="24"/>
        </w:rPr>
      </w:pPr>
      <w:r w:rsidRPr="00BA4F0F">
        <w:rPr>
          <w:rFonts w:cs="Times New Roman"/>
          <w:szCs w:val="24"/>
        </w:rPr>
        <w:t xml:space="preserve">Однако тщательно спланированных проспективных рандомизированных исследований не проводилось, поэтому определить влияние высоких доз CD34+ клеток на кинетику приживления не представляется возможным </w:t>
      </w:r>
      <w:r w:rsidRPr="00BA4F0F">
        <w:rPr>
          <w:rFonts w:cs="Times New Roman"/>
          <w:szCs w:val="24"/>
        </w:rPr>
        <w:fldChar w:fldCharType="begin" w:fldLock="1"/>
      </w:r>
      <w:r w:rsidR="004810E5">
        <w:rPr>
          <w:rFonts w:cs="Times New Roman"/>
          <w:szCs w:val="24"/>
        </w:rPr>
        <w:instrText>ADDIN CSL_CITATION {"citationItems":[{"id":"ITEM-1","itemData":{"DOI":"10.1016/j.bbmt.2013.10.013","ISSN":"10838791","abstract":"Autologous hematopoietic stem cell transplantation (aHSCT) is a well-established treatment for malignancies such as multiple myeloma (MM) and lymphomas. Various changes in the field over the past decade, including the frequent use of tandem aHSCT in MM, the advent of novel therapies for the treatment of MM and lymphoma, and the addition of new stem cell mobilization techniques, have led to the need to reassess current stem cell mobilization strategies. Mobilization failures with traditional strategies are common and result in delays in treatment and increased cost and resource utilization. Recently, plerixafor-containing strategies have been shown to significantly reduce mobilization failure rates, but the ideal method to maximize stem cell yields and minimize costs associated with collection has not yet been determined. A panel of experts convened to discuss the currently available data on autologous hematopoietic stem cell mobilization and transplantation and to devise guidelines to optimize mobilization strategies. Herein is a summary of their discussion and consensus. © 2014 American Society for Blood and Marrow Transplantation.","author":[{"dropping-particle":"","family":"Giralt","given":"Sergio","non-dropping-particle":"","parse-names":false,"suffix":""},{"dropping-particle":"","family":"Costa","given":"Luciano","non-dropping-particle":"","parse-names":false,"suffix":""},{"dropping-particle":"","family":"Schriber","given":"Jeffrey","non-dropping-particle":"","parse-names":false,"suffix":""},{"dropping-particle":"","family":"DiPersio","given":"John","non-dropping-particle":"","parse-names":false,"suffix":""},{"dropping-particle":"","family":"Maziarz","given":"Richard","non-dropping-particle":"","parse-names":false,"suffix":""},{"dropping-particle":"","family":"McCarty","given":"John","non-dropping-particle":"","parse-names":false,"suffix":""},{"dropping-particle":"","family":"Shaughnessy","given":"Paul","non-dropping-particle":"","parse-names":false,"suffix":""},{"dropping-particle":"","family":"Snyder","given":"Edward","non-dropping-particle":"","parse-names":false,"suffix":""},{"dropping-particle":"","family":"Bensinger","given":"William","non-dropping-particle":"","parse-names":false,"suffix":""},{"dropping-particle":"","family":"Copelan","given":"Edward","non-dropping-particle":"","parse-names":false,"suffix":""},{"dropping-particle":"","family":"Hosing","given":"Chitra","non-dropping-particle":"","parse-names":false,"suffix":""},{"dropping-particle":"","family":"Negrin","given":"Robert","non-dropping-particle":"","parse-names":false,"suffix":""},{"dropping-particle":"","family":"Petersen","given":"Finn Bo","non-dropping-particle":"","parse-names":false,"suffix":""},{"dropping-particle":"","family":"Rondelli","given":"Damiano","non-dropping-particle":"","parse-names":false,"suffix":""},{"dropping-particle":"","family":"Soiffer","given":"Robert","non-dropping-particle":"","parse-names":false,"suffix":""},{"dropping-particle":"","family":"Leather","given":"Helen","non-dropping-particle":"","parse-names":false,"suffix":""},{"dropping-particle":"","family":"Pazzalia","given":"Amy","non-dropping-particle":"","parse-names":false,"suffix":""},{"dropping-particle":"","family":"Devine","given":"Steven","non-dropping-particle":"","parse-names":false,"suffix":""}],"container-title":"Biology of Blood and Marrow Transplantation","id":"ITEM-1","issue":"3","issued":{"date-parts":[["2014","3"]]},"page":"295-308","publisher":"Elsevier","title":"Optimizing autologous stem cell mobilization strategies to improve patient outcomes: Consensus guidelines and recommendations","type":"article","volume":"20"},"uris":["http://www.mendeley.com/documents/?uuid=43ce11fb-9802-4761-b036-0d546f3d6abf","http://www.mendeley.com/documents/?uuid=43c5883b-a94a-435d-a102-5bbe11f4e704","http://www.mendeley.com/documents/?uuid=e4bbc320-ed80-4839-8759-9919ec753098","http://www.mendeley.com/documents/?uuid=312e78a3-0bac-4bd4-bc5d-4ab2db1ceb87","http://www.mendeley.com/documents/?uuid=cf158ac3-8f92-4973-85ea-fed641e1f9aa","http://www.mendeley.com/documents/?uuid=aa3272db-ed0f-40c1-949a-b78843f4ce67","http://www.mendeley.com/documents/?uuid=f0ad3abd-ce55-3df5-b4f9-e8598b8d0fa8"]}],"mendeley":{"formattedCitation":"[168]","plainTextFormattedCitation":"[168]","previouslyFormattedCitation":"[168]"},"properties":{"noteIndex":0},"schema":"https://github.com/citation-style-language/schema/raw/master/csl-citation.json"}</w:instrText>
      </w:r>
      <w:r w:rsidRPr="00BA4F0F">
        <w:rPr>
          <w:rFonts w:cs="Times New Roman"/>
          <w:szCs w:val="24"/>
        </w:rPr>
        <w:fldChar w:fldCharType="separate"/>
      </w:r>
      <w:r w:rsidR="004810E5" w:rsidRPr="004810E5">
        <w:rPr>
          <w:rFonts w:cs="Times New Roman"/>
          <w:noProof/>
          <w:szCs w:val="24"/>
        </w:rPr>
        <w:t>[168]</w:t>
      </w:r>
      <w:r w:rsidRPr="00BA4F0F">
        <w:rPr>
          <w:rFonts w:cs="Times New Roman"/>
          <w:szCs w:val="24"/>
        </w:rPr>
        <w:fldChar w:fldCharType="end"/>
      </w:r>
      <w:r w:rsidRPr="00BA4F0F">
        <w:rPr>
          <w:rFonts w:cs="Times New Roman"/>
          <w:szCs w:val="24"/>
        </w:rPr>
        <w:t>.</w:t>
      </w:r>
    </w:p>
    <w:p w14:paraId="42665005" w14:textId="77777777" w:rsidR="0075793D" w:rsidRPr="00BA4F0F" w:rsidRDefault="0075793D" w:rsidP="0075793D">
      <w:pPr>
        <w:pStyle w:val="11"/>
        <w:spacing w:before="0"/>
      </w:pPr>
      <w:bookmarkStart w:id="119" w:name="_Toc44926602"/>
    </w:p>
    <w:p w14:paraId="6A18A1B6" w14:textId="77777777" w:rsidR="0075793D" w:rsidRPr="00BA4F0F" w:rsidRDefault="0075793D" w:rsidP="0075793D">
      <w:pPr>
        <w:rPr>
          <w:rFonts w:cs="Times New Roman"/>
          <w:b/>
          <w:bCs/>
          <w:szCs w:val="24"/>
        </w:rPr>
      </w:pPr>
      <w:r w:rsidRPr="00BA4F0F">
        <w:rPr>
          <w:rFonts w:cs="Times New Roman"/>
          <w:b/>
          <w:bCs/>
          <w:szCs w:val="24"/>
        </w:rPr>
        <w:t>Факторы риска неэффективной мобилизации ГСК</w:t>
      </w:r>
      <w:bookmarkEnd w:id="119"/>
    </w:p>
    <w:p w14:paraId="4E00B169" w14:textId="68743B41" w:rsidR="0075793D" w:rsidRPr="00BA4F0F" w:rsidRDefault="0075793D" w:rsidP="0075793D">
      <w:pPr>
        <w:ind w:firstLine="567"/>
        <w:rPr>
          <w:rFonts w:cs="Times New Roman"/>
          <w:szCs w:val="24"/>
        </w:rPr>
      </w:pPr>
      <w:r w:rsidRPr="00BA4F0F">
        <w:rPr>
          <w:rFonts w:cs="Times New Roman"/>
          <w:szCs w:val="24"/>
        </w:rPr>
        <w:t xml:space="preserve">Несмотря на совершенствование методик и появление новых препаратов, неудача мобилизации ГСК остается проблемой для пациентов с онкогематологическими заболеваниями </w:t>
      </w:r>
      <w:r w:rsidRPr="00BA4F0F">
        <w:rPr>
          <w:rFonts w:cs="Times New Roman"/>
          <w:szCs w:val="24"/>
        </w:rPr>
        <w:fldChar w:fldCharType="begin" w:fldLock="1"/>
      </w:r>
      <w:r w:rsidR="004810E5">
        <w:rPr>
          <w:rFonts w:cs="Times New Roman"/>
          <w:szCs w:val="24"/>
        </w:rPr>
        <w:instrText>ADDIN CSL_CITATION {"citationItems":[{"id":"ITEM-1","itemData":{"author":[{"dropping-particle":"","family":"Покровская О.С., Менделеева Л.П., Гальцева И.В., Варламова Е.Ю., Капланская И.Б., Воробьев И.А., Грецов Е.М., Калинин Н.Н., Варламова С.В., Клясова Г.А., Тихонова Л.Ю.","given":"Савченко В.Г.","non-dropping-particle":"","parse-names":false,"suffix":""}],"container-title":"Проблемы гематологии и переливания","id":"ITEM-1","issued":{"date-parts":[["2003"]]},"page":"55-56","title":"Мобилизация гемопоэтических клеток крови у больных миеломной болезнью","type":"article-journal"},"uris":["http://www.mendeley.com/documents/?uuid=ffac3994-c2e2-36fa-a30d-0feb13f9a7fd","http://www.mendeley.com/documents/?uuid=8770f689-e379-4f05-bd8a-15cddd1006fb"]}],"mendeley":{"formattedCitation":"[172]","plainTextFormattedCitation":"[172]","previouslyFormattedCitation":"[172]"},"properties":{"noteIndex":0},"schema":"https://github.com/citation-style-language/schema/raw/master/csl-citation.json"}</w:instrText>
      </w:r>
      <w:r w:rsidRPr="00BA4F0F">
        <w:rPr>
          <w:rFonts w:cs="Times New Roman"/>
          <w:szCs w:val="24"/>
        </w:rPr>
        <w:fldChar w:fldCharType="separate"/>
      </w:r>
      <w:r w:rsidR="004810E5" w:rsidRPr="004810E5">
        <w:rPr>
          <w:rFonts w:cs="Times New Roman"/>
          <w:noProof/>
          <w:szCs w:val="24"/>
        </w:rPr>
        <w:t>[172]</w:t>
      </w:r>
      <w:r w:rsidRPr="00BA4F0F">
        <w:rPr>
          <w:rFonts w:cs="Times New Roman"/>
          <w:szCs w:val="24"/>
        </w:rPr>
        <w:fldChar w:fldCharType="end"/>
      </w:r>
      <w:r w:rsidRPr="00BA4F0F">
        <w:rPr>
          <w:rFonts w:cs="Times New Roman"/>
          <w:szCs w:val="24"/>
        </w:rPr>
        <w:t>. Группа итальянских исследователей GITIMO определила критерии доказанного и вероятного риска неудачи мобилизации ГСК у больных ММ и НХЛ.</w:t>
      </w:r>
    </w:p>
    <w:p w14:paraId="0BA2F160" w14:textId="77777777" w:rsidR="0075793D" w:rsidRPr="00BA4F0F" w:rsidRDefault="0075793D" w:rsidP="0075793D">
      <w:pPr>
        <w:ind w:firstLine="567"/>
        <w:rPr>
          <w:rFonts w:cs="Times New Roman"/>
          <w:szCs w:val="24"/>
        </w:rPr>
      </w:pPr>
      <w:r w:rsidRPr="00BA4F0F">
        <w:rPr>
          <w:rFonts w:cs="Times New Roman"/>
          <w:szCs w:val="24"/>
        </w:rPr>
        <w:t>К факторам доказанного риска неудачи относятся два параметра: если показатели циркулирующих в крови СD34+ не достигают 20 клеток в 1 мкл. на 4-6-й дни после старта Г–КСФ или же заготовлено менее 2х10</w:t>
      </w:r>
      <w:r w:rsidRPr="00BA4F0F">
        <w:rPr>
          <w:rFonts w:cs="Times New Roman"/>
          <w:szCs w:val="24"/>
          <w:vertAlign w:val="superscript"/>
        </w:rPr>
        <w:t xml:space="preserve">6 </w:t>
      </w:r>
      <w:r w:rsidRPr="00BA4F0F">
        <w:rPr>
          <w:rFonts w:cs="Times New Roman"/>
          <w:szCs w:val="24"/>
        </w:rPr>
        <w:t>CD34+ клеток/кг за 3 лейкафереза.</w:t>
      </w:r>
    </w:p>
    <w:p w14:paraId="05129664" w14:textId="1D0AA5CC" w:rsidR="0075793D" w:rsidRPr="00BA4F0F" w:rsidRDefault="0075793D" w:rsidP="0075793D">
      <w:pPr>
        <w:ind w:firstLine="567"/>
        <w:rPr>
          <w:rFonts w:cs="Times New Roman"/>
          <w:szCs w:val="24"/>
        </w:rPr>
      </w:pPr>
      <w:r w:rsidRPr="00BA4F0F">
        <w:rPr>
          <w:rFonts w:cs="Times New Roman"/>
          <w:szCs w:val="24"/>
        </w:rPr>
        <w:t xml:space="preserve">Критериями вероятного риска неудачи мобилизации ГСК является наличие предшествующей неэффективной мобилизации ГСК; длительной ХТ или лучевой терапии, использование флюдарабина, мелфалана, леналидомида на предыдущих этапах лечения; продвинутая фаза болезни, потребовавшая проведения как минимум двух линий ХТ. Клеточность костного мозга менее 30% на момент мобилизации и возраст старше 65 лет также являются факторами риска неэффективной мобилизации </w:t>
      </w:r>
      <w:r w:rsidRPr="00BA4F0F">
        <w:rPr>
          <w:rFonts w:cs="Times New Roman"/>
          <w:szCs w:val="24"/>
        </w:rPr>
        <w:fldChar w:fldCharType="begin" w:fldLock="1"/>
      </w:r>
      <w:r w:rsidR="004810E5">
        <w:rPr>
          <w:rFonts w:cs="Times New Roman"/>
          <w:szCs w:val="24"/>
        </w:rPr>
        <w:instrText>ADDIN CSL_CITATION {"citationItems":[{"id":"ITEM-1","itemData":{"DOI":"10.1038/bmt.2011.82","ISSN":"02683369","abstract":"Many lymphoma and myeloma patients fail to undergo ASCT owing to poor mobilization. Identification of poor mobilizers (PMs) would provide a tool for early intervention with new mobilization agents. The Gruppo italianoTrapianto di Midollo Osseo working group proposed a definition of PMs applicable to clinical trials and clinical practice. The analytic hierarchy process, a method for group decision making, was used in setting prioritized criteria. Lymphoma or myeloma patients were defined as 'proven PM' when: (1) after adequate mobilization (G-CSF 10 μg/kg if used alone or ≥5 μg/kg after chemotherapy) circulating CD34 + cell peak is &lt;20/μL up to 6 days after mobilization with G-CSF or up to 20 days after chemotherapy and G-CSF or (2) they yielded &lt;2.0 × 10 6 CD34 + cells per kg in ≤3 apheresis. Patients were defined as predicted PMs if: (1) they failed a previous collection attempt (not otherwise specified); (2) they previously received extensive radiotherapy or full courses of therapy affecting SC mobilization; and (3) they met two of the following criteria: advanced disease (≥2 lines of chemotherapy), refractory disease, extensive BM involvement or cellularity &lt;30% at the time of mobilization; age ≥65 years. This definition of proven and predicted PMs should be validated in clinical trials and common clinical practice. © 2012 Macmillan Publishers Limited All rights reserved.","author":[{"dropping-particle":"","family":"Olivieri","given":"A.","non-dropping-particle":"","parse-names":false,"suffix":""},{"dropping-particle":"","family":"Marchetti","given":"M.","non-dropping-particle":"","parse-names":false,"suffix":""},{"dropping-particle":"","family":"Lemoli","given":"R.","non-dropping-particle":"","parse-names":false,"suffix":""},{"dropping-particle":"","family":"Tarella","given":"C.","non-dropping-particle":"","parse-names":false,"suffix":""},{"dropping-particle":"","family":"Iacone","given":"A.","non-dropping-particle":"","parse-names":false,"suffix":""},{"dropping-particle":"","family":"Lanza","given":"F.","non-dropping-particle":"","parse-names":false,"suffix":""},{"dropping-particle":"","family":"Rambaldi","given":"A.","non-dropping-particle":"","parse-names":false,"suffix":""},{"dropping-particle":"","family":"Bosi","given":"A.","non-dropping-particle":"","parse-names":false,"suffix":""}],"container-title":"Bone Marrow Transplantation","id":"ITEM-1","issue":"3","issued":{"date-parts":[["2012","3"]]},"page":"342-351","publisher":"Bone Marrow Transplant","title":"Proposed definition of 'poor mobilizer' in lymphoma and multiple myeloma: An analytic hierarchy process by ad hoc working group Gruppo ItalianoTrapianto di Midollo Osseo","type":"article-journal","volume":"47"},"uris":["http://www.mendeley.com/documents/?uuid=ba171d2e-11ed-30e4-8419-628863ccc7d5","http://www.mendeley.com/documents/?uuid=889b327f-5a75-4546-9a08-eda1f05160e3","http://www.mendeley.com/documents/?uuid=8da75729-e2dd-4c45-a604-256ab831ad9d","http://www.mendeley.com/documents/?uuid=5f9c85d8-eabb-4b72-a615-ad332ceb6a28","http://www.mendeley.com/documents/?uuid=77a1aded-f417-40b5-92fe-c81e7ab18493","http://www.mendeley.com/documents/?uuid=8ccbbe36-8201-44c0-91bf-f8fc6344c830","http://www.mendeley.com/documents/?uuid=39d3b635-3780-462d-8abb-b71c080a2618"]}],"mendeley":{"formattedCitation":"[173]","plainTextFormattedCitation":"[173]","previouslyFormattedCitation":"[173]"},"properties":{"noteIndex":0},"schema":"https://github.com/citation-style-language/schema/raw/master/csl-citation.json"}</w:instrText>
      </w:r>
      <w:r w:rsidRPr="00BA4F0F">
        <w:rPr>
          <w:rFonts w:cs="Times New Roman"/>
          <w:szCs w:val="24"/>
        </w:rPr>
        <w:fldChar w:fldCharType="separate"/>
      </w:r>
      <w:r w:rsidR="004810E5" w:rsidRPr="004810E5">
        <w:rPr>
          <w:rFonts w:cs="Times New Roman"/>
          <w:noProof/>
          <w:szCs w:val="24"/>
        </w:rPr>
        <w:t>[173]</w:t>
      </w:r>
      <w:r w:rsidRPr="00BA4F0F">
        <w:rPr>
          <w:rFonts w:cs="Times New Roman"/>
          <w:szCs w:val="24"/>
        </w:rPr>
        <w:fldChar w:fldCharType="end"/>
      </w:r>
      <w:r w:rsidRPr="00BA4F0F">
        <w:rPr>
          <w:rFonts w:cs="Times New Roman"/>
          <w:szCs w:val="24"/>
        </w:rPr>
        <w:t>.</w:t>
      </w:r>
    </w:p>
    <w:p w14:paraId="35203BBE" w14:textId="77777777" w:rsidR="0075793D" w:rsidRPr="00BA4F0F" w:rsidRDefault="0075793D" w:rsidP="0075793D">
      <w:pPr>
        <w:ind w:firstLine="567"/>
        <w:rPr>
          <w:rFonts w:cs="Times New Roman"/>
          <w:szCs w:val="24"/>
        </w:rPr>
      </w:pPr>
      <w:r w:rsidRPr="00BA4F0F">
        <w:rPr>
          <w:rFonts w:cs="Times New Roman"/>
          <w:szCs w:val="24"/>
        </w:rPr>
        <w:t>В случае недостаточного количества заготовленных ГСК обсуждается вопрос об эскалации дозы ростового фактора, проведении повторной мобилизации по другой схеме, эксфузии костного мозга. В настоящее время трансплантация ГСК, полученных из периферической крови, вытесняет трансплантацию костного мозга. Это связанно с тем, что методы сбора клеток из периферической крови менее инвазивны, а восстановление гемопоэза после трансплантации ГСК происходит быстрее, чем после трансплантации костного мозга.</w:t>
      </w:r>
    </w:p>
    <w:p w14:paraId="30A0B174" w14:textId="77777777" w:rsidR="0075793D" w:rsidRPr="00BA4F0F" w:rsidRDefault="0075793D" w:rsidP="0075793D">
      <w:pPr>
        <w:ind w:firstLine="567"/>
        <w:rPr>
          <w:rFonts w:cs="Times New Roman"/>
          <w:szCs w:val="24"/>
        </w:rPr>
      </w:pPr>
      <w:r w:rsidRPr="00BA4F0F">
        <w:rPr>
          <w:rFonts w:cs="Times New Roman"/>
          <w:szCs w:val="24"/>
        </w:rPr>
        <w:t>Цель мобилизации – заготовка адекватного количества CD34+клеток, достаточного для выполнения одной или двух трансплантаций.</w:t>
      </w:r>
    </w:p>
    <w:p w14:paraId="1FC48948" w14:textId="77777777" w:rsidR="0075793D" w:rsidRPr="00BA4F0F" w:rsidRDefault="0075793D" w:rsidP="0075793D">
      <w:pPr>
        <w:ind w:firstLine="567"/>
        <w:rPr>
          <w:rFonts w:cs="Times New Roman"/>
          <w:szCs w:val="24"/>
        </w:rPr>
      </w:pPr>
      <w:r w:rsidRPr="00BA4F0F">
        <w:rPr>
          <w:rFonts w:cs="Times New Roman"/>
          <w:szCs w:val="24"/>
        </w:rPr>
        <w:t>Далее представлена подробная характеристика препаратов, стимулирующих выброс ГСК в периферическую кровь.</w:t>
      </w:r>
    </w:p>
    <w:p w14:paraId="51D35656" w14:textId="77777777" w:rsidR="0075793D" w:rsidRPr="00BA4F0F" w:rsidRDefault="0075793D" w:rsidP="0075793D">
      <w:pPr>
        <w:pStyle w:val="11"/>
        <w:spacing w:before="0"/>
      </w:pPr>
      <w:bookmarkStart w:id="120" w:name="_Toc44926603"/>
    </w:p>
    <w:p w14:paraId="33A41083" w14:textId="77777777" w:rsidR="0075793D" w:rsidRPr="00BA4F0F" w:rsidRDefault="0075793D" w:rsidP="0075793D">
      <w:pPr>
        <w:rPr>
          <w:rFonts w:cs="Times New Roman"/>
          <w:b/>
          <w:bCs/>
          <w:szCs w:val="24"/>
        </w:rPr>
      </w:pPr>
      <w:r w:rsidRPr="00BA4F0F">
        <w:rPr>
          <w:rFonts w:cs="Times New Roman"/>
          <w:b/>
          <w:bCs/>
          <w:szCs w:val="24"/>
        </w:rPr>
        <w:t>Препараты, используемые для мобилизации ГСК.</w:t>
      </w:r>
      <w:bookmarkEnd w:id="120"/>
    </w:p>
    <w:p w14:paraId="381A4150" w14:textId="77777777" w:rsidR="0075793D" w:rsidRPr="00BA4F0F" w:rsidRDefault="0075793D" w:rsidP="0075793D">
      <w:pPr>
        <w:pStyle w:val="afe"/>
        <w:ind w:left="0"/>
        <w:rPr>
          <w:rFonts w:cs="Times New Roman"/>
          <w:szCs w:val="24"/>
          <w:u w:val="single"/>
        </w:rPr>
      </w:pPr>
      <w:r w:rsidRPr="00BA4F0F">
        <w:rPr>
          <w:rFonts w:cs="Times New Roman"/>
          <w:szCs w:val="24"/>
          <w:u w:val="single"/>
        </w:rPr>
        <w:t>Гранулоцитарный колониестимулирующий фактор</w:t>
      </w:r>
    </w:p>
    <w:p w14:paraId="62487E17" w14:textId="77777777" w:rsidR="0075793D" w:rsidRPr="00BA4F0F" w:rsidRDefault="0075793D" w:rsidP="0075793D">
      <w:pPr>
        <w:ind w:firstLine="567"/>
        <w:rPr>
          <w:rFonts w:cs="Times New Roman"/>
          <w:szCs w:val="24"/>
        </w:rPr>
      </w:pPr>
      <w:r w:rsidRPr="00BA4F0F">
        <w:rPr>
          <w:rFonts w:cs="Times New Roman"/>
          <w:szCs w:val="24"/>
        </w:rPr>
        <w:t xml:space="preserve">Г-КСФ – гликопротеин, ускоряющий пролиферацию гранулоцитарных клеток-предшественников нейтрофильного ростка костного мозга, дифференцировку в направлении зрелых нейтрофилов и их выход из костного мозга в периферическую кровь. Применение Г-КСФ как после курса химиотерапии (ХТ), так и независимо от нее, приводит к мобилизации в периферическую кровь клеток-предшественниц гемопоэза. </w:t>
      </w:r>
    </w:p>
    <w:p w14:paraId="121A2501" w14:textId="77777777" w:rsidR="0075793D" w:rsidRPr="00BA4F0F" w:rsidRDefault="0075793D" w:rsidP="0075793D">
      <w:pPr>
        <w:ind w:firstLine="567"/>
        <w:rPr>
          <w:rFonts w:cs="Times New Roman"/>
          <w:szCs w:val="24"/>
        </w:rPr>
      </w:pPr>
      <w:r w:rsidRPr="00BA4F0F">
        <w:rPr>
          <w:rFonts w:cs="Times New Roman"/>
          <w:szCs w:val="24"/>
        </w:rPr>
        <w:t xml:space="preserve">Г-КСФ значительно увеличивает число нейтрофилов в периферической крови уже в первые 24 часа после введения. После окончания применения Г-КСФ число нейтрофилов в периферической крови снижается на 50% в течение 1-2 дней и возвращается к нормальным значениям в течение 1-7 дней. </w:t>
      </w:r>
    </w:p>
    <w:p w14:paraId="100A5961" w14:textId="084B402F" w:rsidR="0075793D" w:rsidRPr="00BA4F0F" w:rsidRDefault="0075793D" w:rsidP="0075793D">
      <w:pPr>
        <w:ind w:firstLine="567"/>
        <w:rPr>
          <w:rFonts w:cs="Times New Roman"/>
          <w:szCs w:val="24"/>
        </w:rPr>
      </w:pPr>
      <w:r w:rsidRPr="00BA4F0F">
        <w:rPr>
          <w:rFonts w:cs="Times New Roman"/>
          <w:szCs w:val="24"/>
        </w:rPr>
        <w:t xml:space="preserve">Изучение фармакокинетики Г-КСФ показало, что препарат быстро выводится из организма, что требует применения многократных инъекций. С целью пролонгации действия разработана иммобилизованная на полиэтиленгликоле (ПЭГ) форма Г-КСФ. В иммобилизованном препарате ПЭГ присоединяется ковалентной связью к N-концевому пептиду молекулы, увеличивая ее размер, что приводит к замедлению почечного клиренса. Время циркуляции в крови пэгилированной формы увеличивается с 3,5 ч. до 42ч. После одной инъекции препарата высокий уровень нейтрофилов поддерживается в крови в течение 9 дней </w:t>
      </w:r>
      <w:r w:rsidRPr="00BA4F0F">
        <w:rPr>
          <w:rFonts w:cs="Times New Roman"/>
          <w:szCs w:val="24"/>
        </w:rPr>
        <w:fldChar w:fldCharType="begin" w:fldLock="1"/>
      </w:r>
      <w:r w:rsidR="004810E5">
        <w:rPr>
          <w:rFonts w:cs="Times New Roman"/>
          <w:szCs w:val="24"/>
        </w:rPr>
        <w:instrText>ADDIN CSL_CITATION {"citationItems":[{"id":"ITEM-1","itemData":{"DOI":"10.2165/11586040-000000000-00000","ISSN":"03125963","abstract":"Pegfilgrastim is a sustained-duration form of filgrastim, a recombinant methionyl form of human granulocyte colony-stimulating factor (G-CSF), to which a 20kDa polyethylene glycol molecule is covalently bound to the N-terminal methionine residue. Similar to filgrastim, pegfilgrastim increases the proliferation and differentiation of neutrophils from committed progenitor cells, induces maturation, and enhances the survival and function of mature neutrophils, resulting in dose-dependent increases in neutrophils.After subcutaneous administration, pegfilgrastim exhibits nonlinear pharmacokinetics and exposure to pegfilgrastim increases in more than a dose-proportional manner, suggesting that the clearance of pegfilgrastim decreases with increased dosing. Filgrastim is primarily eliminated by the kidney and neutrophilsneutrophil precursors; the latter presumably involves binding of the growth factor to the G-CSF receptor on the cell surface, internalization of the growth factor-receptor complexes via endocytosis, and subsequent degradation inside the cells. Pegylation of filgrastim renders renal clearance insignificant, which was demonstrated in bilaterally nephrectomized rats and confirmed in subjects with renal impairment. As a result, the neutrophil-mediated clearance is the predominant elimination pathway for pegfilgrastim.During chemotherapy-induced neutropenia, the clearance of pegfilgrastim is significantly reduced and the concentration of pegfilgrastim is sustained until onset of neutrophil recovery. Pegfilgrastim concentrations are sustained longer in patients with profound neutropenia. Evidence supports the use of a postnadir absolute neutrophil count (ANC) of ≥1×109/L as a surrogate marker threshold for the clearance of pegfilgrastim to subtherapeutic levels. After repeated administration of pegfilgrastim, the peak concentrations of pegfilgrastim decrease, likely due to increased neutrophil and neutrophil precursor mass.A pharmacokinetic-pharmacodynamic model was developed to describe the pharmacokinetic and ANC profiles of pegfilgrastim; the analysis supported that 100μgkg was an adequate weight-based dose of pegfilgrastim and predicted that 6mg would be an optimal fixed dose of pegfilgrastim to simplify treatment. Data from a pivotal study confirmed that a once-per-chemotherapy-cycle injection of pegfilgrastim at 6mg was as safe and effective as 11 daily injections of filgrastim at 5μgkg in reducing neutropenia and its complications in patients …","author":[{"dropping-particle":"","family":"Yang","given":"Bing Bing","non-dropping-particle":"","parse-names":false,"suffix":""},{"dropping-particle":"","family":"Kido","given":"Anna","non-dropping-particle":"","parse-names":false,"suffix":""}],"container-title":"Clinical Pharmacokinetics","id":"ITEM-1","issue":"5","issued":{"date-parts":[["2011"]]},"page":"295-306","publisher":"Clin Pharmacokinet","title":"Pharmacokinetics and pharmacodynamics of pegfilgrastim","type":"article","volume":"50"},"uris":["http://www.mendeley.com/documents/?uuid=445b8605-4444-3286-9533-f890634da33f","http://www.mendeley.com/documents/?uuid=8c131309-d633-4467-9e52-e36f2f6739d8","http://www.mendeley.com/documents/?uuid=d0ae95d8-455a-466d-b2b7-1cf20c6911c3","http://www.mendeley.com/documents/?uuid=350f69c3-8670-4b28-9ce6-bbf7bbe95719","http://www.mendeley.com/documents/?uuid=aed192a7-bd44-4087-8c83-7bb80ed986b5","http://www.mendeley.com/documents/?uuid=4fb6ef40-750e-4e26-80f5-5d3e68016e6f","http://www.mendeley.com/documents/?uuid=ec9d7c0f-5da5-47cd-a932-c0af1a9d94a0"]}],"mendeley":{"formattedCitation":"[174]","plainTextFormattedCitation":"[174]","previouslyFormattedCitation":"[174]"},"properties":{"noteIndex":0},"schema":"https://github.com/citation-style-language/schema/raw/master/csl-citation.json"}</w:instrText>
      </w:r>
      <w:r w:rsidRPr="00BA4F0F">
        <w:rPr>
          <w:rFonts w:cs="Times New Roman"/>
          <w:szCs w:val="24"/>
        </w:rPr>
        <w:fldChar w:fldCharType="separate"/>
      </w:r>
      <w:r w:rsidR="004810E5" w:rsidRPr="004810E5">
        <w:rPr>
          <w:rFonts w:cs="Times New Roman"/>
          <w:noProof/>
          <w:szCs w:val="24"/>
        </w:rPr>
        <w:t>[174]</w:t>
      </w:r>
      <w:r w:rsidRPr="00BA4F0F">
        <w:rPr>
          <w:rFonts w:cs="Times New Roman"/>
          <w:szCs w:val="24"/>
        </w:rPr>
        <w:fldChar w:fldCharType="end"/>
      </w:r>
      <w:r w:rsidRPr="00BA4F0F">
        <w:rPr>
          <w:rFonts w:cs="Times New Roman"/>
          <w:szCs w:val="24"/>
        </w:rPr>
        <w:t>.</w:t>
      </w:r>
    </w:p>
    <w:p w14:paraId="781392AF" w14:textId="77777777" w:rsidR="0075793D" w:rsidRPr="00BA4F0F" w:rsidRDefault="0075793D" w:rsidP="0075793D">
      <w:pPr>
        <w:rPr>
          <w:rFonts w:cs="Times New Roman"/>
          <w:i/>
          <w:szCs w:val="24"/>
        </w:rPr>
      </w:pPr>
    </w:p>
    <w:p w14:paraId="21EF4979" w14:textId="77777777" w:rsidR="0075793D" w:rsidRPr="00BA4F0F" w:rsidRDefault="0075793D" w:rsidP="0075793D">
      <w:pPr>
        <w:rPr>
          <w:rFonts w:cs="Times New Roman"/>
          <w:b/>
          <w:i/>
          <w:szCs w:val="24"/>
        </w:rPr>
      </w:pPr>
      <w:r w:rsidRPr="00BA4F0F">
        <w:rPr>
          <w:rFonts w:cs="Times New Roman"/>
          <w:b/>
          <w:i/>
          <w:szCs w:val="24"/>
          <w:lang w:val="en-US"/>
        </w:rPr>
        <w:t>P</w:t>
      </w:r>
      <w:r w:rsidRPr="00BA4F0F">
        <w:rPr>
          <w:rFonts w:cs="Times New Roman"/>
          <w:b/>
          <w:i/>
          <w:szCs w:val="24"/>
        </w:rPr>
        <w:t xml:space="preserve">ежим дозирования Г-КСФ для мобилизации СКК </w:t>
      </w:r>
    </w:p>
    <w:p w14:paraId="73E27135" w14:textId="552E3399" w:rsidR="0075793D" w:rsidRPr="00BA4F0F" w:rsidRDefault="0075793D" w:rsidP="0075793D">
      <w:pPr>
        <w:ind w:firstLine="567"/>
        <w:rPr>
          <w:rFonts w:cs="Times New Roman"/>
          <w:szCs w:val="24"/>
        </w:rPr>
      </w:pPr>
      <w:r w:rsidRPr="00BA4F0F">
        <w:rPr>
          <w:rFonts w:cs="Times New Roman"/>
          <w:szCs w:val="24"/>
        </w:rPr>
        <w:t xml:space="preserve">Г-КСФ вводится в дозе 5 или 10 мкг/кг/сутки подкожно в зависимости от режима мобилизации ГСК. Пегилированный Г-КСФ вводится однократно в дозе 12 мг подкожно </w:t>
      </w:r>
      <w:r w:rsidRPr="00BA4F0F">
        <w:rPr>
          <w:rFonts w:cs="Times New Roman"/>
          <w:szCs w:val="24"/>
        </w:rPr>
        <w:fldChar w:fldCharType="begin" w:fldLock="1"/>
      </w:r>
      <w:r w:rsidR="004810E5">
        <w:rPr>
          <w:rFonts w:cs="Times New Roman"/>
          <w:szCs w:val="24"/>
        </w:rPr>
        <w:instrText>ADDIN CSL_CITATION {"citationItems":[{"id":"ITEM-1","itemData":{"DOI":"10.1111/j.1537-2995.2012.03579.x","ISSN":"00411132","abstract":"Background: Plerixafor enhances the ability of filgrastim (FIL) to mobilize CD34+ cells but adds cost to the mobilization. We hypothesized that replacing weight-based FIL with flat-dose pegfilgrastim (PEG) in a validated cost-based mobilization algorithm for patient-adapted use of plerixafor would add convenience without increased cost. Study design and methods: A single-center retrospective analysis compared two consecutive cohorts undergoing FIL or PEG mobilization before autologous hematopoietic stem cell transplantation for multiple myeloma or lymphoma. FIL dose was 10 Âμg/kg/day continuing until completion of collection and a 12-mg flat dose of PEG. Peripheral blood CD34+ cells (PB-CD34+) enumeration was performed on the fourth day after initiation of growth factor. Subjects surpassing a certain target-specific threshold of PB-CD34+ started apheresis immediately while subjects with lower PB-CD34+ received plerixafor with apheresis starting on the fifth day. Results: Overall 68 of 74 in the FIL group and 52 of 57 patients in the PEG group met the mobilization target. Only one patient in each cohort required remobilization. Median PB-CD34+ on Day 4 was significantly higher in patients in the PEG group (18.1 × 106 vs. 28.7 × 106 cells/L, p = 0.01). Consequently, patients in the PEG group were less likely to require administration of plerixafor (67.5% vs. 45.6%, p = 0.01). Cohorts had near identical mean number of apheresis sessions and comparable CD34+ yield. The estimated cost associated with growth factor was higher in patients in the PEG group, but it was counterbalanced by lower cost associated with use of plerixafor. Conclusion: Single administration of 12 mg of PEG is associated with better CD34+ mobilization than FIL allowing for effective, convenient mobilization with less frequent use of plerixafor. © 2012 American Association of Blood Banks.","author":[{"dropping-particle":"","family":"Costa","given":"Luciano J.","non-dropping-particle":"","parse-names":false,"suffix":""},{"dropping-particle":"","family":"Kramer","given":"Cindy","non-dropping-particle":"","parse-names":false,"suffix":""},{"dropping-particle":"","family":"Hogan","given":"Kathy R.","non-dropping-particle":"","parse-names":false,"suffix":""},{"dropping-particle":"","family":"Butcher","given":"Coleen D.","non-dropping-particle":"","parse-names":false,"suffix":""},{"dropping-particle":"","family":"Littleton","given":"Amanda L.","non-dropping-particle":"","parse-names":false,"suffix":""},{"dropping-particle":"","family":"Shoptaw","given":"Katie B.","non-dropping-particle":"","parse-names":false,"suffix":""},{"dropping-particle":"","family":"Kang","given":"Yubin","non-dropping-particle":"","parse-names":false,"suffix":""},{"dropping-particle":"","family":"Stuart","given":"Robert K.","non-dropping-particle":"","parse-names":false,"suffix":""}],"container-title":"Transfusion","id":"ITEM-1","issue":"11","issued":{"date-parts":[["2012","11"]]},"page":"2375-2381","publisher":"Transfusion","title":"Pegfilgrastim-versus filgrastim-based autologous hematopoietic stem cell mobilization in the setting of preemptive use of plerixafor: Efficacy and cost analysis","type":"article-journal","volume":"52"},"uris":["http://www.mendeley.com/documents/?uuid=c9b6d466-e5cf-3a1f-9950-47a4a1f2595f","http://www.mendeley.com/documents/?uuid=5869ab33-84d0-4d40-9e0a-c68492375302","http://www.mendeley.com/documents/?uuid=da79130c-3245-4bb6-b0b1-d1a74f3c45ce","http://www.mendeley.com/documents/?uuid=23c5daaf-4836-423a-a293-5308de4b05a8","http://www.mendeley.com/documents/?uuid=5bc9223b-2a8e-4a1d-a5ea-925322f33fc0","http://www.mendeley.com/documents/?uuid=cfca06c2-6f99-4d09-bcd1-d6e958d0398f","http://www.mendeley.com/documents/?uuid=f71837f6-2c18-4b5c-aa96-74199fe38ec4"]}],"mendeley":{"formattedCitation":"[175]","plainTextFormattedCitation":"[175]","previouslyFormattedCitation":"[175]"},"properties":{"noteIndex":0},"schema":"https://github.com/citation-style-language/schema/raw/master/csl-citation.json"}</w:instrText>
      </w:r>
      <w:r w:rsidRPr="00BA4F0F">
        <w:rPr>
          <w:rFonts w:cs="Times New Roman"/>
          <w:szCs w:val="24"/>
        </w:rPr>
        <w:fldChar w:fldCharType="separate"/>
      </w:r>
      <w:r w:rsidR="004810E5" w:rsidRPr="004810E5">
        <w:rPr>
          <w:rFonts w:cs="Times New Roman"/>
          <w:noProof/>
          <w:szCs w:val="24"/>
        </w:rPr>
        <w:t>[175]</w:t>
      </w:r>
      <w:r w:rsidRPr="00BA4F0F">
        <w:rPr>
          <w:rFonts w:cs="Times New Roman"/>
          <w:szCs w:val="24"/>
        </w:rPr>
        <w:fldChar w:fldCharType="end"/>
      </w:r>
      <w:r w:rsidRPr="00BA4F0F">
        <w:rPr>
          <w:rFonts w:cs="Times New Roman"/>
          <w:szCs w:val="24"/>
        </w:rPr>
        <w:t>.</w:t>
      </w:r>
    </w:p>
    <w:p w14:paraId="511DFEAE" w14:textId="77777777" w:rsidR="0075793D" w:rsidRPr="00BA4F0F" w:rsidRDefault="0075793D" w:rsidP="0075793D">
      <w:pPr>
        <w:rPr>
          <w:rFonts w:cs="Times New Roman"/>
          <w:b/>
          <w:i/>
          <w:szCs w:val="24"/>
        </w:rPr>
      </w:pPr>
    </w:p>
    <w:p w14:paraId="06C03FF1" w14:textId="77777777" w:rsidR="0075793D" w:rsidRPr="00BA4F0F" w:rsidRDefault="0075793D" w:rsidP="0075793D">
      <w:pPr>
        <w:rPr>
          <w:rFonts w:cs="Times New Roman"/>
          <w:b/>
          <w:i/>
          <w:szCs w:val="24"/>
        </w:rPr>
      </w:pPr>
      <w:r w:rsidRPr="00BA4F0F">
        <w:rPr>
          <w:rFonts w:cs="Times New Roman"/>
          <w:b/>
          <w:i/>
          <w:szCs w:val="24"/>
        </w:rPr>
        <w:t xml:space="preserve">Особые указания при применении Г-КСФ </w:t>
      </w:r>
    </w:p>
    <w:p w14:paraId="1861B527" w14:textId="77777777" w:rsidR="0075793D" w:rsidRPr="00BA4F0F" w:rsidRDefault="0075793D" w:rsidP="0075793D">
      <w:pPr>
        <w:ind w:firstLine="567"/>
        <w:rPr>
          <w:rFonts w:cs="Times New Roman"/>
          <w:szCs w:val="24"/>
        </w:rPr>
      </w:pPr>
      <w:r w:rsidRPr="00BA4F0F">
        <w:rPr>
          <w:rFonts w:cs="Times New Roman"/>
          <w:szCs w:val="24"/>
        </w:rPr>
        <w:t>На фоне терапии Г-КСФ отмечается увеличение размеров селезенки. Во время клинических исследований у 31% больных с тяжелой хронической нейтропенией пальпаторно обнаруживалась спленомегалия. При рентгенографии увеличение селезенки выявлялось вскоре после назначения Г-КСФ и далее имело тенденцию к стабилизации. Установлено, что уменьшение дозы препарата останавливало спленомегалию; спленэктомия потребовалась 3% больных. Необходимо регулярно контролировать размеры селезенки при проведении мобилизации ГКС.</w:t>
      </w:r>
    </w:p>
    <w:p w14:paraId="776F6046" w14:textId="114C8675" w:rsidR="0075793D" w:rsidRPr="00BA4F0F" w:rsidRDefault="0075793D" w:rsidP="0075793D">
      <w:pPr>
        <w:ind w:firstLine="567"/>
        <w:rPr>
          <w:rFonts w:cs="Times New Roman"/>
          <w:szCs w:val="24"/>
        </w:rPr>
      </w:pPr>
      <w:r w:rsidRPr="00BA4F0F">
        <w:rPr>
          <w:rFonts w:cs="Times New Roman"/>
          <w:szCs w:val="24"/>
        </w:rPr>
        <w:t xml:space="preserve">Эффективность и безопасность Г-КСФ у пациентов с тяжелыми нарушениями функции почек или печени не изучена, поэтому при использовании препарата у данной категории больных нужно соблюдать осторожность </w:t>
      </w:r>
      <w:r w:rsidRPr="00BA4F0F">
        <w:rPr>
          <w:rFonts w:cs="Times New Roman"/>
          <w:szCs w:val="24"/>
        </w:rPr>
        <w:fldChar w:fldCharType="begin" w:fldLock="1"/>
      </w:r>
      <w:r w:rsidR="004810E5">
        <w:rPr>
          <w:rFonts w:cs="Times New Roman"/>
          <w:szCs w:val="24"/>
        </w:rPr>
        <w:instrText>ADDIN CSL_CITATION {"citationItems":[{"id":"ITEM-1","itemData":{"DOI":"10.1007/s00520-017-3854-x","ISSN":"14337339","abstract":"Purpose: Filgrastim (NEUPOGEN®) is the originator recombinant human granulocyte colony-stimulating factor widely used for preventing neutropenia-related infections and mobilizing hematopoietic stem cells. This report presents findings of a systematic literature review and meta-analysis of efficacy and safety of originator filgrastim to update previous reports. Methods: A literature search of electronic databases, congress abstracts, and bibliographies of recent reviews was conducted to identify English-language reports of clinical trials and observational studies evaluating filgrastim in its US-approved indications up to February 2015. Two independent reviewers assessed titles/abstracts and full texts of publications, and extracted data from studies that compared originator filgrastim vs placebo or no treatment. For outcomes with sufficient homogeneous data reported across studies, meta-analysis was performed and relative risk (RR) determined. Data were summarized descriptively for all other evaluated outcomes. Results: A total of 1194 unique articles evaluating originator filgrastim were identified, with 25 meeting eligibility criteria for data extraction: 18 randomized controlled trials, 2 nonrandomized clinical trials, and 5 observational studies. In chemotherapy-induced neutropenia (CIN), filgrastim vs placebo or no treatment significantly reduced febrile neutropenia incidence (RR 0.63, 95% CI 0.53–0.75) and grade 3 or 4 neutropenia incidence (RR 0.50, 95% CI 0.37–0.68). The most commonly reported adverse event (AE) with filgrastim was bone pain (RR 2.61, 95% CI 1.29–5.27 in CIN). Additional efficacy and safety outcomes are described within indications. Conclusions: This systematic literature review and meta-analysis confirms and updates previous reports on the efficacy and safety of originator filgrastim. Bone pain was the commonly reported AE associated with filgrastim use.","author":[{"dropping-particle":"","family":"Dale","given":"David C.","non-dropping-particle":"","parse-names":false,"suffix":""},{"dropping-particle":"","family":"Crawford","given":"Jeffrey","non-dropping-particle":"","parse-names":false,"suffix":""},{"dropping-particle":"","family":"Klippel","given":"Zandra","non-dropping-particle":"","parse-names":false,"suffix":""},{"dropping-particle":"","family":"Reiner","given":"Maureen","non-dropping-particle":"","parse-names":false,"suffix":""},{"dropping-particle":"","family":"Osslund","given":"Timothy","non-dropping-particle":"","parse-names":false,"suffix":""},{"dropping-particle":"","family":"Fan","given":"Ellen","non-dropping-particle":"","parse-names":false,"suffix":""},{"dropping-particle":"","family":"Morrow","given":"Phuong Khanh","non-dropping-particle":"","parse-names":false,"suffix":""},{"dropping-particle":"","family":"Allcott","given":"Kim","non-dropping-particle":"","parse-names":false,"suffix":""},{"dropping-particle":"","family":"Lyman","given":"Gary H.","non-dropping-particle":"","parse-names":false,"suffix":""}],"container-title":"Supportive Care in Cancer","id":"ITEM-1","issue":"1","issued":{"date-parts":[["2018","1"]]},"page":"7-20","publisher":"Springer Verlag","title":"A systematic literature review of the efficacy, effectiveness, and safety of filgrastim","type":"article","volume":"26"},"uris":["http://www.mendeley.com/documents/?uuid=550ab93e-65c6-3635-bdec-ce1335957f6b","http://www.mendeley.com/documents/?uuid=81154266-ebc4-4411-a600-130a38d299b0","http://www.mendeley.com/documents/?uuid=c2be01fc-c6e8-4713-b92d-b16c6c5c4162","http://www.mendeley.com/documents/?uuid=51012d54-9729-4c59-8188-bd27dd02ced0","http://www.mendeley.com/documents/?uuid=7b228875-1c78-4dc7-aa5d-6018d173c1d5","http://www.mendeley.com/documents/?uuid=330cd959-497b-4a4c-b7a0-3a2c812989a6","http://www.mendeley.com/documents/?uuid=5ddce061-fa65-466f-9706-626067ecf30d"]}],"mendeley":{"formattedCitation":"[176]","plainTextFormattedCitation":"[176]","previouslyFormattedCitation":"[176]"},"properties":{"noteIndex":0},"schema":"https://github.com/citation-style-language/schema/raw/master/csl-citation.json"}</w:instrText>
      </w:r>
      <w:r w:rsidRPr="00BA4F0F">
        <w:rPr>
          <w:rFonts w:cs="Times New Roman"/>
          <w:szCs w:val="24"/>
        </w:rPr>
        <w:fldChar w:fldCharType="separate"/>
      </w:r>
      <w:r w:rsidR="004810E5" w:rsidRPr="004810E5">
        <w:rPr>
          <w:rFonts w:cs="Times New Roman"/>
          <w:noProof/>
          <w:szCs w:val="24"/>
        </w:rPr>
        <w:t>[176]</w:t>
      </w:r>
      <w:r w:rsidRPr="00BA4F0F">
        <w:rPr>
          <w:rFonts w:cs="Times New Roman"/>
          <w:szCs w:val="24"/>
        </w:rPr>
        <w:fldChar w:fldCharType="end"/>
      </w:r>
      <w:r w:rsidRPr="00BA4F0F">
        <w:rPr>
          <w:rFonts w:cs="Times New Roman"/>
          <w:szCs w:val="24"/>
        </w:rPr>
        <w:t xml:space="preserve">. </w:t>
      </w:r>
    </w:p>
    <w:p w14:paraId="06CD45BC" w14:textId="77777777" w:rsidR="0075793D" w:rsidRPr="00BA4F0F" w:rsidRDefault="0075793D" w:rsidP="0075793D">
      <w:pPr>
        <w:rPr>
          <w:rFonts w:cs="Times New Roman"/>
          <w:b/>
          <w:i/>
          <w:szCs w:val="24"/>
        </w:rPr>
      </w:pPr>
    </w:p>
    <w:p w14:paraId="0BF8EAC8" w14:textId="77777777" w:rsidR="0075793D" w:rsidRPr="00BA4F0F" w:rsidRDefault="0075793D" w:rsidP="0075793D">
      <w:pPr>
        <w:rPr>
          <w:rFonts w:cs="Times New Roman"/>
          <w:b/>
          <w:i/>
          <w:szCs w:val="24"/>
        </w:rPr>
      </w:pPr>
      <w:r w:rsidRPr="00BA4F0F">
        <w:rPr>
          <w:rFonts w:cs="Times New Roman"/>
          <w:b/>
          <w:i/>
          <w:szCs w:val="24"/>
        </w:rPr>
        <w:t>Побочные эффекты Г-КСФ</w:t>
      </w:r>
    </w:p>
    <w:p w14:paraId="6753B7F2" w14:textId="77777777" w:rsidR="0075793D" w:rsidRPr="00BA4F0F" w:rsidRDefault="0075793D" w:rsidP="0075793D">
      <w:pPr>
        <w:ind w:firstLine="567"/>
        <w:rPr>
          <w:rFonts w:cs="Times New Roman"/>
          <w:szCs w:val="24"/>
        </w:rPr>
      </w:pPr>
      <w:r w:rsidRPr="00BA4F0F">
        <w:rPr>
          <w:rFonts w:cs="Times New Roman"/>
          <w:szCs w:val="24"/>
        </w:rPr>
        <w:t>Нежелательные явления после назначения встречаются в 30% случаев, как у пациентов, так и у здоровых доноров.</w:t>
      </w:r>
    </w:p>
    <w:p w14:paraId="11C4AF16" w14:textId="7D4F4B5D" w:rsidR="0075793D" w:rsidRPr="00BA4F0F" w:rsidRDefault="0075793D" w:rsidP="0075793D">
      <w:pPr>
        <w:ind w:firstLine="567"/>
        <w:rPr>
          <w:rFonts w:cs="Times New Roman"/>
          <w:szCs w:val="24"/>
        </w:rPr>
      </w:pPr>
      <w:r w:rsidRPr="00BA4F0F">
        <w:rPr>
          <w:rFonts w:cs="Times New Roman"/>
          <w:szCs w:val="24"/>
        </w:rPr>
        <w:t xml:space="preserve">Наиболее частые осложнения: боли в костях, головные боли, общая слабость. Реже встречаются миалгии, тревога, бессонница, гипергидроз, лихорадка, тошнота, кожные реакции в месте введения </w:t>
      </w:r>
      <w:r w:rsidRPr="00BA4F0F">
        <w:rPr>
          <w:rFonts w:cs="Times New Roman"/>
          <w:szCs w:val="24"/>
        </w:rPr>
        <w:fldChar w:fldCharType="begin" w:fldLock="1"/>
      </w:r>
      <w:r w:rsidR="004810E5">
        <w:rPr>
          <w:rFonts w:cs="Times New Roman"/>
          <w:szCs w:val="24"/>
        </w:rPr>
        <w:instrText>ADDIN CSL_CITATION {"citationItems":[{"id":"ITEM-1","itemData":{"DOI":"10.1200/JCO.2015.62.3488","ISSN":"15277755","PMID":"26169616","abstract":"Purpose To update the 2006 American Society of Clinical Oncology guideline on the use of hematopoietic colony-stimulating factors (CSFs). Methods The American Society of Clinical Oncology convened an Update Committee and conducted a systematic review of randomized clinical trials, meta-analyses, and systematic reviews from October 2005 through September 2014. Guideline recommendations were based on the review of the evidence by the Update Committee. Results Changes to previous recommendations include the addition of tbo-filgrastim and filgrastim-sndz, moderation of the recommendation regarding routine use of CSFs in older patients with diffuse aggressive lymphoma, and addition of recommendations against routine dose-dense chemotherapy in lymphoma and in favor of high- dose-intensity chemotherapy in urothelial cancer. The Update Committee did not address recommendations regarding use of CSFs in acute myeloid leukemia or myelodysplastic syndromes in adults. Recommendations Prophylactic use of CSFs to reduce the risk of febrile neutropenia is warranted when the risk of febrile neutropenia is approximately 20% or higher and no other equally effective and safe regimen that does not require CSFs is available. Primary prophylaxis is recommended for the prevention of febrile neutropenia in patients who are at high risk on the basis of age, medical history, disease characteristics, and myelotoxicity of the chemotherapy regimen. Dose-dense regimens that require CSFs should only be used within an appropriately designed clinical trial or if supported by convincing efficacy data. Current recommendations for the management of patients exposed to lethal doses of total-body radiotherapy, but not doses high enough to lead to certain death as a result of injury to other organs, include the prompt administration of CSFs.","author":[{"dropping-particle":"","family":"Smith","given":"Thomas J.","non-dropping-particle":"","parse-names":false,"suffix":""},{"dropping-particle":"","family":"Bohlke","given":"Kari","non-dropping-particle":"","parse-names":false,"suffix":""},{"dropping-particle":"","family":"Lyman","given":"Gary H.","non-dropping-particle":"","parse-names":false,"suffix":""},{"dropping-particle":"","family":"Carson","given":"Kenneth R.","non-dropping-particle":"","parse-names":false,"suffix":""},{"dropping-particle":"","family":"Crawford","given":"Jeffrey","non-dropping-particle":"","parse-names":false,"suffix":""},{"dropping-particle":"","family":"Cross","given":"Scott J.","non-dropping-particle":"","parse-names":false,"suffix":""},{"dropping-particle":"","family":"Goldberg","given":"John M.","non-dropping-particle":"","parse-names":false,"suffix":""},{"dropping-particle":"","family":"Khatcheressian","given":"James L.","non-dropping-particle":"","parse-names":false,"suffix":""},{"dropping-particle":"","family":"Leighl","given":"Natasha B.","non-dropping-particle":"","parse-names":false,"suffix":""},{"dropping-particle":"","family":"Perkins","given":"Cheryl L.","non-dropping-particle":"","parse-names":false,"suffix":""},{"dropping-particle":"","family":"Somlo","given":"George","non-dropping-particle":"","parse-names":false,"suffix":""},{"dropping-particle":"","family":"Wade","given":"James L.","non-dropping-particle":"","parse-names":false,"suffix":""},{"dropping-particle":"","family":"Wozniak","given":"Antoinette J.","non-dropping-particle":"","parse-names":false,"suffix":""},{"dropping-particle":"","family":"Armitage","given":"James O.","non-dropping-particle":"","parse-names":false,"suffix":""}],"container-title":"Journal of Clinical Oncology","id":"ITEM-1","issue":"28","issued":{"date-parts":[["2015","10"]]},"page":"3199-3212","publisher":"American Society of Clinical Oncology","title":"Recommendations for the use of WBC growth factors: American society of clinical oncology clinical practice guideline update","type":"article-journal","volume":"33"},"uris":["http://www.mendeley.com/documents/?uuid=996f59f3-1fa6-3fdf-aac4-35481ffe75e2","http://www.mendeley.com/documents/?uuid=77b4204a-c7e8-425a-b269-9b71b8f10079","http://www.mendeley.com/documents/?uuid=baf8a5c7-f217-426b-bdd6-7823d15881a5","http://www.mendeley.com/documents/?uuid=029b05a4-3aab-45bc-848d-3c17ab334b1a","http://www.mendeley.com/documents/?uuid=c4b68753-8af0-43d3-9c09-5a220cdb4e31","http://www.mendeley.com/documents/?uuid=aea3c5b8-ada6-45f7-8bc1-f029c0318fdc","http://www.mendeley.com/documents/?uuid=0f204161-3323-434c-b1c0-eb5ffafca3ca"]}],"mendeley":{"formattedCitation":"[177]","plainTextFormattedCitation":"[177]","previouslyFormattedCitation":"[177]"},"properties":{"noteIndex":0},"schema":"https://github.com/citation-style-language/schema/raw/master/csl-citation.json"}</w:instrText>
      </w:r>
      <w:r w:rsidRPr="00BA4F0F">
        <w:rPr>
          <w:rFonts w:cs="Times New Roman"/>
          <w:szCs w:val="24"/>
        </w:rPr>
        <w:fldChar w:fldCharType="separate"/>
      </w:r>
      <w:r w:rsidR="004810E5" w:rsidRPr="004810E5">
        <w:rPr>
          <w:rFonts w:cs="Times New Roman"/>
          <w:noProof/>
          <w:szCs w:val="24"/>
        </w:rPr>
        <w:t>[177]</w:t>
      </w:r>
      <w:r w:rsidRPr="00BA4F0F">
        <w:rPr>
          <w:rFonts w:cs="Times New Roman"/>
          <w:szCs w:val="24"/>
        </w:rPr>
        <w:fldChar w:fldCharType="end"/>
      </w:r>
      <w:r w:rsidRPr="00BA4F0F">
        <w:rPr>
          <w:rFonts w:cs="Times New Roman"/>
          <w:szCs w:val="24"/>
        </w:rPr>
        <w:t xml:space="preserve">. </w:t>
      </w:r>
    </w:p>
    <w:p w14:paraId="417D8F3F" w14:textId="77777777" w:rsidR="0075793D" w:rsidRPr="00BA4F0F" w:rsidRDefault="0075793D" w:rsidP="0075793D">
      <w:pPr>
        <w:ind w:firstLine="567"/>
        <w:rPr>
          <w:rFonts w:cs="Times New Roman"/>
          <w:szCs w:val="24"/>
        </w:rPr>
      </w:pPr>
      <w:r w:rsidRPr="00BA4F0F">
        <w:rPr>
          <w:rFonts w:cs="Times New Roman"/>
          <w:szCs w:val="24"/>
        </w:rPr>
        <w:t>Оссалгии связаны с изменением метаболизма костной ткани под действием Г-КСФ. Боли могут быть интенсивными, пульсирующего характера, чаще локализованы в позвоночнике, костях таза. Выраженный болевой синдром в костях во время мобилизации ГСК требует адекватной аналгезии.</w:t>
      </w:r>
    </w:p>
    <w:p w14:paraId="08ED3CD5" w14:textId="77777777" w:rsidR="0075793D" w:rsidRPr="00BA4F0F" w:rsidRDefault="0075793D" w:rsidP="0075793D">
      <w:pPr>
        <w:pStyle w:val="afe"/>
        <w:ind w:left="0"/>
        <w:rPr>
          <w:rFonts w:cs="Times New Roman"/>
          <w:b/>
          <w:szCs w:val="24"/>
        </w:rPr>
      </w:pPr>
    </w:p>
    <w:p w14:paraId="10435BCC" w14:textId="77777777" w:rsidR="0075793D" w:rsidRPr="00BA4F0F" w:rsidRDefault="0075793D" w:rsidP="0075793D">
      <w:pPr>
        <w:pStyle w:val="afe"/>
        <w:ind w:left="0"/>
        <w:rPr>
          <w:rFonts w:cs="Times New Roman"/>
          <w:szCs w:val="24"/>
          <w:u w:val="single"/>
        </w:rPr>
      </w:pPr>
      <w:r w:rsidRPr="00BA4F0F">
        <w:rPr>
          <w:rFonts w:cs="Times New Roman"/>
          <w:szCs w:val="24"/>
          <w:u w:val="single"/>
        </w:rPr>
        <w:t>Плериксафор</w:t>
      </w:r>
    </w:p>
    <w:p w14:paraId="03255F3B" w14:textId="77777777" w:rsidR="0075793D" w:rsidRPr="00BA4F0F" w:rsidRDefault="0075793D" w:rsidP="0075793D">
      <w:pPr>
        <w:ind w:firstLine="567"/>
        <w:rPr>
          <w:rFonts w:cs="Times New Roman"/>
          <w:szCs w:val="24"/>
        </w:rPr>
      </w:pPr>
      <w:r w:rsidRPr="00BA4F0F">
        <w:rPr>
          <w:rFonts w:cs="Times New Roman"/>
          <w:szCs w:val="24"/>
        </w:rPr>
        <w:t xml:space="preserve">Клетки стромы костного мозга секретируют стромальный фактор роста-1α (SDF-1α, CXCL12). Рецептором SDF-1α является CXCR4, который присутствует на поверхности ГСК. Взаимодействие между SDF-1α и его рецептором CXCR4 является необходимым для «удержания» стволовой клетки в костном мозге. </w:t>
      </w:r>
    </w:p>
    <w:p w14:paraId="4BC2FDCD" w14:textId="77777777" w:rsidR="0075793D" w:rsidRPr="00BA4F0F" w:rsidRDefault="0075793D" w:rsidP="0075793D">
      <w:pPr>
        <w:ind w:firstLine="567"/>
        <w:rPr>
          <w:rFonts w:cs="Times New Roman"/>
          <w:szCs w:val="24"/>
        </w:rPr>
      </w:pPr>
      <w:r w:rsidRPr="00BA4F0F">
        <w:rPr>
          <w:rFonts w:cs="Times New Roman"/>
          <w:szCs w:val="24"/>
        </w:rPr>
        <w:t xml:space="preserve">Плериксафор –селективный обратимый антагонист хемокинового рецептора CXCR4. Он блокирует CXCR4 за счет связывания с фактором SDF-1α, в результате чего ГСК «отрывается» от стромы костного мозга и выходит в периферическую кровь. </w:t>
      </w:r>
    </w:p>
    <w:p w14:paraId="128F7120" w14:textId="30369018" w:rsidR="0075793D" w:rsidRPr="00BA4F0F" w:rsidRDefault="0075793D" w:rsidP="0075793D">
      <w:pPr>
        <w:ind w:firstLine="567"/>
        <w:rPr>
          <w:rFonts w:cs="Times New Roman"/>
          <w:szCs w:val="24"/>
        </w:rPr>
      </w:pPr>
      <w:r w:rsidRPr="00BA4F0F">
        <w:rPr>
          <w:rFonts w:cs="Times New Roman"/>
          <w:szCs w:val="24"/>
        </w:rPr>
        <w:t xml:space="preserve">Считается, что индуцированный плериксафором лейкоцитоз и увеличение количества циркулирующих гемопоэтических прогениторных клеток является результатом нарушения связи между CXCR4 и его лигандом, которое приводит к появлению в системном кровотоке как зрелых, так и полипотентных клеток. CD34+ клетки, мобилизованные с помощью плериксафора, являются функциональными и способными к приживлению, с долгосрочным потенциалом восстановления популяции </w:t>
      </w:r>
      <w:r w:rsidRPr="00BA4F0F">
        <w:rPr>
          <w:rFonts w:cs="Times New Roman"/>
          <w:szCs w:val="24"/>
        </w:rPr>
        <w:fldChar w:fldCharType="begin" w:fldLock="1"/>
      </w:r>
      <w:r w:rsidR="004810E5">
        <w:rPr>
          <w:rFonts w:cs="Times New Roman"/>
          <w:szCs w:val="24"/>
        </w:rPr>
        <w:instrText>ADDIN CSL_CITATION {"citationItems":[{"id":"ITEM-1","itemData":{"DOI":"10.1097/MOH.0000000000000200","ISSN":"15317048","abstract":"Purpose of review Nowadays, plerixafor is approved for patients who fail to mobilize sufficient CD34+ cells for an autologous stem cell transplantation. Plerixafor is effective in the majority of these patients, who otherwise could not be treated adequately. We discussed in this review the current status of the optimal use of plerixafor in different clinical diagnoses and settings. Recent findings Plerixafor seems to be more effective in patients with multiple myeloma than in lymphoma. Even patients who had very low circulating CD34+ cells before administration of plerixafor have an important benefit. Several strategies in different clinical settings showed an effective response after administration of plerixafor, without the superiority of one strategy. Plerixafor is well tolerated with acceptable toxicity; however, it is an expensive drug. Summary Plerixafor is an effective drug in patients who fail to mobilize with conventional strategy. No strategy seems superior for the optimal use of plerixafor. More studies focusing on the kinetics and cost-effectiveness are needed.","author":[{"dropping-particle":"","family":"Bilgin","given":"Yavuz M.","non-dropping-particle":"","parse-names":false,"suffix":""},{"dropping-particle":"","family":"Greef","given":"Georgine E.","non-dropping-particle":"De","parse-names":false,"suffix":""}],"container-title":"Current Opinion in Hematology","id":"ITEM-1","issue":"1","issued":{"date-parts":[["2016"]]},"page":"67-71","publisher":"Lippincott Williams and Wilkins","title":"Plerixafor for stem cell mobilization: The current status","type":"article","volume":"23"},"uris":["http://www.mendeley.com/documents/?uuid=772496d3-3f49-3543-8e45-953927e66576","http://www.mendeley.com/documents/?uuid=0e6ef96a-3564-45dd-86c9-2dcce383b7dc","http://www.mendeley.com/documents/?uuid=80ac083b-a6cc-43ec-ac5c-5dd1106427cb","http://www.mendeley.com/documents/?uuid=d683afc4-05d3-4238-aa1a-cbd32aa0e13a","http://www.mendeley.com/documents/?uuid=b4dd41b8-108e-46be-ac3b-33a16d49ba72","http://www.mendeley.com/documents/?uuid=4631457b-a0e4-4adb-98c7-81b6f793c719","http://www.mendeley.com/documents/?uuid=2945107f-96a2-4ce6-a467-54c0b3287fab"]}],"mendeley":{"formattedCitation":"[178]","plainTextFormattedCitation":"[178]","previouslyFormattedCitation":"[178]"},"properties":{"noteIndex":0},"schema":"https://github.com/citation-style-language/schema/raw/master/csl-citation.json"}</w:instrText>
      </w:r>
      <w:r w:rsidRPr="00BA4F0F">
        <w:rPr>
          <w:rFonts w:cs="Times New Roman"/>
          <w:szCs w:val="24"/>
        </w:rPr>
        <w:fldChar w:fldCharType="separate"/>
      </w:r>
      <w:r w:rsidR="004810E5" w:rsidRPr="004810E5">
        <w:rPr>
          <w:rFonts w:cs="Times New Roman"/>
          <w:noProof/>
          <w:szCs w:val="24"/>
        </w:rPr>
        <w:t>[178]</w:t>
      </w:r>
      <w:r w:rsidRPr="00BA4F0F">
        <w:rPr>
          <w:rFonts w:cs="Times New Roman"/>
          <w:szCs w:val="24"/>
        </w:rPr>
        <w:fldChar w:fldCharType="end"/>
      </w:r>
      <w:r w:rsidRPr="00BA4F0F">
        <w:rPr>
          <w:rFonts w:cs="Times New Roman"/>
          <w:szCs w:val="24"/>
        </w:rPr>
        <w:t>.</w:t>
      </w:r>
    </w:p>
    <w:p w14:paraId="23F3A654" w14:textId="77777777" w:rsidR="0075793D" w:rsidRPr="00BA4F0F" w:rsidRDefault="0075793D" w:rsidP="0075793D">
      <w:pPr>
        <w:ind w:firstLine="567"/>
        <w:rPr>
          <w:rFonts w:cs="Times New Roman"/>
          <w:szCs w:val="24"/>
        </w:rPr>
      </w:pPr>
      <w:r w:rsidRPr="00BA4F0F">
        <w:rPr>
          <w:rFonts w:cs="Times New Roman"/>
          <w:szCs w:val="24"/>
        </w:rPr>
        <w:t>Плериксафор применяется для усиления мобилизации гемопоэтических стволовых клеток в периферический кровоток с целью их сбора и последующей ауто-ТГСК пациентам с лимфомой и множественной миеломой в сочетании с Г-КСФ.</w:t>
      </w:r>
    </w:p>
    <w:p w14:paraId="5540A5DA" w14:textId="77777777" w:rsidR="0075793D" w:rsidRPr="00BA4F0F" w:rsidRDefault="0075793D" w:rsidP="0075793D">
      <w:pPr>
        <w:pStyle w:val="afe"/>
        <w:rPr>
          <w:rFonts w:cs="Times New Roman"/>
          <w:b/>
          <w:szCs w:val="24"/>
        </w:rPr>
      </w:pPr>
    </w:p>
    <w:p w14:paraId="2C278506" w14:textId="77777777" w:rsidR="0075793D" w:rsidRPr="00BA4F0F" w:rsidRDefault="0075793D" w:rsidP="0075793D">
      <w:pPr>
        <w:rPr>
          <w:rFonts w:cs="Times New Roman"/>
          <w:b/>
          <w:i/>
          <w:szCs w:val="24"/>
        </w:rPr>
      </w:pPr>
      <w:r w:rsidRPr="00BA4F0F">
        <w:rPr>
          <w:rFonts w:cs="Times New Roman"/>
          <w:b/>
          <w:i/>
          <w:szCs w:val="24"/>
          <w:lang w:val="en-US"/>
        </w:rPr>
        <w:t>P</w:t>
      </w:r>
      <w:r w:rsidRPr="00BA4F0F">
        <w:rPr>
          <w:rFonts w:cs="Times New Roman"/>
          <w:b/>
          <w:i/>
          <w:szCs w:val="24"/>
        </w:rPr>
        <w:t>ежим дозирования плериксафора</w:t>
      </w:r>
    </w:p>
    <w:p w14:paraId="0326EF15" w14:textId="77777777" w:rsidR="0075793D" w:rsidRPr="00BA4F0F" w:rsidRDefault="0075793D" w:rsidP="0075793D">
      <w:pPr>
        <w:ind w:firstLine="567"/>
        <w:rPr>
          <w:rFonts w:cs="Times New Roman"/>
          <w:szCs w:val="24"/>
        </w:rPr>
      </w:pPr>
      <w:r w:rsidRPr="00BA4F0F">
        <w:rPr>
          <w:rFonts w:cs="Times New Roman"/>
          <w:szCs w:val="24"/>
        </w:rPr>
        <w:t>Рекомендованная доза плериксафора составляет 0,24 мг/кг/сут. Препарат вводят подкожно за 6-11 ч до начала афереза после предварительной 4-дневной терапии Г-КСФ. В клинических исследованиях препарат обычно использовался в течение 2-4 дней подряд (до 7 дней непрерывного применения).</w:t>
      </w:r>
    </w:p>
    <w:p w14:paraId="07AE9914" w14:textId="77777777" w:rsidR="0075793D" w:rsidRPr="00BA4F0F" w:rsidRDefault="0075793D" w:rsidP="0075793D">
      <w:pPr>
        <w:ind w:firstLine="567"/>
        <w:rPr>
          <w:rFonts w:cs="Times New Roman"/>
          <w:szCs w:val="24"/>
        </w:rPr>
      </w:pPr>
      <w:r w:rsidRPr="00BA4F0F">
        <w:rPr>
          <w:rFonts w:cs="Times New Roman"/>
          <w:szCs w:val="24"/>
        </w:rPr>
        <w:t>У пациентов с нарушением функции почек при скорости клубочковой фильтрации (СКФ) менее 50 мл/мин дозу плериксафора следует уменьшить на 1/3 до 0,16 мг/кг/сут. Клинические данные по применению скорректированной дозы препарата ограничены. Имеющийся опыт клинического применения плериксафора не позволяет дать рекомендаций по дозированию препарата при СКФ менее 20 мл/мин.</w:t>
      </w:r>
    </w:p>
    <w:p w14:paraId="50333A55" w14:textId="77777777" w:rsidR="0075793D" w:rsidRPr="00BA4F0F" w:rsidRDefault="0075793D" w:rsidP="0075793D">
      <w:pPr>
        <w:pStyle w:val="afe"/>
        <w:rPr>
          <w:rFonts w:cs="Times New Roman"/>
          <w:b/>
          <w:szCs w:val="24"/>
        </w:rPr>
      </w:pPr>
    </w:p>
    <w:p w14:paraId="5851A3D6" w14:textId="77777777" w:rsidR="0075793D" w:rsidRPr="00BA4F0F" w:rsidRDefault="0075793D" w:rsidP="0075793D">
      <w:pPr>
        <w:rPr>
          <w:rFonts w:cs="Times New Roman"/>
          <w:b/>
          <w:i/>
          <w:szCs w:val="24"/>
        </w:rPr>
      </w:pPr>
      <w:r w:rsidRPr="00BA4F0F">
        <w:rPr>
          <w:rFonts w:cs="Times New Roman"/>
          <w:b/>
          <w:i/>
          <w:szCs w:val="24"/>
        </w:rPr>
        <w:t>Особые указания при применении плериксафора</w:t>
      </w:r>
    </w:p>
    <w:p w14:paraId="4F0738E9" w14:textId="77777777" w:rsidR="0075793D" w:rsidRPr="00BA4F0F" w:rsidRDefault="0075793D" w:rsidP="0075793D">
      <w:pPr>
        <w:ind w:firstLine="567"/>
        <w:rPr>
          <w:rFonts w:cs="Times New Roman"/>
          <w:i/>
          <w:szCs w:val="24"/>
        </w:rPr>
      </w:pPr>
      <w:r w:rsidRPr="00BA4F0F">
        <w:rPr>
          <w:rFonts w:cs="Times New Roman"/>
          <w:i/>
          <w:szCs w:val="24"/>
        </w:rPr>
        <w:t>Мобилизация опухолевых клеток у пациентов с лейкозами.</w:t>
      </w:r>
    </w:p>
    <w:p w14:paraId="631F1943" w14:textId="77777777" w:rsidR="0075793D" w:rsidRPr="00BA4F0F" w:rsidRDefault="0075793D" w:rsidP="0075793D">
      <w:pPr>
        <w:ind w:firstLine="567"/>
        <w:rPr>
          <w:rFonts w:cs="Times New Roman"/>
          <w:szCs w:val="24"/>
        </w:rPr>
      </w:pPr>
      <w:r w:rsidRPr="00BA4F0F">
        <w:rPr>
          <w:rFonts w:cs="Times New Roman"/>
          <w:szCs w:val="24"/>
        </w:rPr>
        <w:t>Плериксафор и Г-КСФ назначали при остром миелоидном и плазмоцитарном лейкозах в рамках программы по применению исследуемого препарата в индивидуальном порядке. При этом в отдельных случаях наблюдалось увеличение числа циркулирующих лейкемических клеток. Поэтому плериксафор не рекомендуется применять при лейкозах для мобилизации гемопоэтических стволовых клеток и их последующего забора.</w:t>
      </w:r>
    </w:p>
    <w:p w14:paraId="3B18F848" w14:textId="77777777" w:rsidR="0075793D" w:rsidRPr="00BA4F0F" w:rsidRDefault="0075793D" w:rsidP="0075793D">
      <w:pPr>
        <w:ind w:firstLine="567"/>
        <w:rPr>
          <w:rFonts w:cs="Times New Roman"/>
          <w:i/>
          <w:szCs w:val="24"/>
        </w:rPr>
      </w:pPr>
      <w:r w:rsidRPr="00BA4F0F">
        <w:rPr>
          <w:rFonts w:cs="Times New Roman"/>
          <w:i/>
          <w:szCs w:val="24"/>
        </w:rPr>
        <w:t xml:space="preserve">Тромбоцитопения. </w:t>
      </w:r>
    </w:p>
    <w:p w14:paraId="47F9ACEF" w14:textId="77777777" w:rsidR="0075793D" w:rsidRPr="00BA4F0F" w:rsidRDefault="0075793D" w:rsidP="0075793D">
      <w:pPr>
        <w:ind w:firstLine="567"/>
        <w:rPr>
          <w:rFonts w:cs="Times New Roman"/>
          <w:szCs w:val="24"/>
        </w:rPr>
      </w:pPr>
      <w:r w:rsidRPr="00BA4F0F">
        <w:rPr>
          <w:rFonts w:cs="Times New Roman"/>
          <w:szCs w:val="24"/>
        </w:rPr>
        <w:t xml:space="preserve">Тромбоцитопения является известным осложнением афереза и наблюдается у пациентов, получающих как Г-КСФ, так и плериксафор. </w:t>
      </w:r>
    </w:p>
    <w:p w14:paraId="506C314D" w14:textId="77777777" w:rsidR="0075793D" w:rsidRPr="00BA4F0F" w:rsidRDefault="0075793D" w:rsidP="0075793D">
      <w:pPr>
        <w:ind w:firstLine="567"/>
        <w:rPr>
          <w:rFonts w:cs="Times New Roman"/>
          <w:i/>
          <w:szCs w:val="24"/>
        </w:rPr>
      </w:pPr>
      <w:r w:rsidRPr="00BA4F0F">
        <w:rPr>
          <w:rFonts w:cs="Times New Roman"/>
          <w:i/>
          <w:szCs w:val="24"/>
        </w:rPr>
        <w:t>Возможность мобилизации опухолевых клеток у пациентов с лимфомой и множественной миеломой.</w:t>
      </w:r>
    </w:p>
    <w:p w14:paraId="61AC4710" w14:textId="77777777" w:rsidR="0075793D" w:rsidRPr="00BA4F0F" w:rsidRDefault="0075793D" w:rsidP="0075793D">
      <w:pPr>
        <w:ind w:firstLine="567"/>
        <w:rPr>
          <w:rFonts w:cs="Times New Roman"/>
          <w:szCs w:val="24"/>
        </w:rPr>
      </w:pPr>
      <w:r w:rsidRPr="00BA4F0F">
        <w:rPr>
          <w:rFonts w:cs="Times New Roman"/>
          <w:szCs w:val="24"/>
        </w:rPr>
        <w:t>Последствия потенциальной реинфузии опухолевых клеток должным образом не изучены. При применении плериксафора в сочетании с Г-КСФ для мобилизации гемопоэтических стволовых клеток при лимфоме или множественной миеломе (ММ) возможно высвобождение опухолевых клеток из костного мозга и их последующий забор при лейкаферезе. Клиническое значение возможного риска мобилизации опухолевых клеток определено не полностью. В клинических исследованиях с участием пациентов с неходжкинской лимфомой и множественной миеломой не наблюдалось мобилизации клеток опухоли при применении плериксафора.</w:t>
      </w:r>
    </w:p>
    <w:p w14:paraId="292F26D4" w14:textId="77777777" w:rsidR="0075793D" w:rsidRPr="00BA4F0F" w:rsidRDefault="0075793D" w:rsidP="0075793D">
      <w:pPr>
        <w:ind w:firstLine="567"/>
        <w:rPr>
          <w:rFonts w:cs="Times New Roman"/>
          <w:i/>
          <w:szCs w:val="24"/>
        </w:rPr>
      </w:pPr>
      <w:r w:rsidRPr="00BA4F0F">
        <w:rPr>
          <w:rFonts w:cs="Times New Roman"/>
          <w:i/>
          <w:szCs w:val="24"/>
        </w:rPr>
        <w:t>Вазовагальные реакции</w:t>
      </w:r>
    </w:p>
    <w:p w14:paraId="10F149B7" w14:textId="77777777" w:rsidR="0075793D" w:rsidRPr="00BA4F0F" w:rsidRDefault="0075793D" w:rsidP="0075793D">
      <w:pPr>
        <w:ind w:firstLine="567"/>
        <w:rPr>
          <w:rFonts w:cs="Times New Roman"/>
          <w:szCs w:val="24"/>
        </w:rPr>
      </w:pPr>
      <w:r w:rsidRPr="00BA4F0F">
        <w:rPr>
          <w:rFonts w:cs="Times New Roman"/>
          <w:szCs w:val="24"/>
        </w:rPr>
        <w:t>После подкожной инъекций препарата могут отмечаться вазовагальные реакции, ортостатическая гипотензия и/или синкопе.</w:t>
      </w:r>
    </w:p>
    <w:p w14:paraId="13A5BBE3" w14:textId="77777777" w:rsidR="0075793D" w:rsidRPr="00BA4F0F" w:rsidRDefault="0075793D" w:rsidP="0075793D">
      <w:pPr>
        <w:ind w:firstLine="567"/>
        <w:rPr>
          <w:rFonts w:cs="Times New Roman"/>
          <w:i/>
          <w:szCs w:val="24"/>
        </w:rPr>
      </w:pPr>
      <w:r w:rsidRPr="00BA4F0F">
        <w:rPr>
          <w:rFonts w:cs="Times New Roman"/>
          <w:i/>
          <w:szCs w:val="24"/>
        </w:rPr>
        <w:t>Спленомегалия</w:t>
      </w:r>
    </w:p>
    <w:p w14:paraId="5825B51A" w14:textId="77777777" w:rsidR="0075793D" w:rsidRPr="00BA4F0F" w:rsidRDefault="0075793D" w:rsidP="0075793D">
      <w:pPr>
        <w:ind w:firstLine="567"/>
        <w:rPr>
          <w:rFonts w:cs="Times New Roman"/>
          <w:szCs w:val="24"/>
        </w:rPr>
      </w:pPr>
      <w:r w:rsidRPr="00BA4F0F">
        <w:rPr>
          <w:rFonts w:cs="Times New Roman"/>
          <w:szCs w:val="24"/>
        </w:rPr>
        <w:t>В клинических исследованиях влияние плериксафора на размер селезенки специально не оценивалось. Учитывая, что использование Г-КСФ может провоцировать спленомегалию, а также сочетанное применение плериксафора и Г-КСФ, необходимо регулярно контролировать размеры селезенки.</w:t>
      </w:r>
    </w:p>
    <w:p w14:paraId="39A184C8" w14:textId="77777777" w:rsidR="0075793D" w:rsidRPr="00BA4F0F" w:rsidRDefault="0075793D" w:rsidP="0075793D">
      <w:pPr>
        <w:pStyle w:val="afe"/>
        <w:rPr>
          <w:rFonts w:cs="Times New Roman"/>
          <w:b/>
          <w:szCs w:val="24"/>
        </w:rPr>
      </w:pPr>
    </w:p>
    <w:p w14:paraId="046FBA70" w14:textId="77777777" w:rsidR="0075793D" w:rsidRPr="00BA4F0F" w:rsidRDefault="0075793D" w:rsidP="0075793D">
      <w:pPr>
        <w:rPr>
          <w:rFonts w:cs="Times New Roman"/>
          <w:b/>
          <w:i/>
          <w:szCs w:val="24"/>
        </w:rPr>
      </w:pPr>
      <w:r w:rsidRPr="00BA4F0F">
        <w:rPr>
          <w:rFonts w:cs="Times New Roman"/>
          <w:b/>
          <w:i/>
          <w:szCs w:val="24"/>
        </w:rPr>
        <w:t>Побочные эффекты плериксафора</w:t>
      </w:r>
    </w:p>
    <w:p w14:paraId="4D4FFCA1" w14:textId="77777777" w:rsidR="0075793D" w:rsidRPr="00BA4F0F" w:rsidRDefault="0075793D" w:rsidP="0075793D">
      <w:pPr>
        <w:ind w:firstLine="567"/>
        <w:rPr>
          <w:rFonts w:cs="Times New Roman"/>
          <w:szCs w:val="24"/>
        </w:rPr>
      </w:pPr>
      <w:r w:rsidRPr="00BA4F0F">
        <w:rPr>
          <w:rFonts w:cs="Times New Roman"/>
          <w:szCs w:val="24"/>
        </w:rPr>
        <w:t>Наиболее частые осложнения: скелетно-мышечная боль, головные боли, головокружение, бессонница, общая слабость, диарея, тошнота. Также встречаются метеоризм, запор, сухость во рту, гипергидроз, кожные реакции в месте введения</w:t>
      </w:r>
    </w:p>
    <w:p w14:paraId="109B9132" w14:textId="77777777" w:rsidR="0075793D" w:rsidRPr="00BA4F0F" w:rsidRDefault="0075793D" w:rsidP="0075793D">
      <w:pPr>
        <w:pStyle w:val="11"/>
        <w:spacing w:before="0"/>
        <w:ind w:left="480"/>
      </w:pPr>
      <w:bookmarkStart w:id="121" w:name="_Toc44926604"/>
    </w:p>
    <w:p w14:paraId="3B1DE370" w14:textId="77777777" w:rsidR="0075793D" w:rsidRPr="00BA4F0F" w:rsidRDefault="0075793D" w:rsidP="0075793D">
      <w:pPr>
        <w:pStyle w:val="11"/>
        <w:spacing w:before="0"/>
      </w:pPr>
      <w:bookmarkStart w:id="122" w:name="_Toc64475919"/>
      <w:bookmarkStart w:id="123" w:name="_Toc65586433"/>
      <w:r w:rsidRPr="00BA4F0F">
        <w:t>Режимы мобилизации ГСК</w:t>
      </w:r>
      <w:bookmarkEnd w:id="121"/>
      <w:bookmarkEnd w:id="122"/>
      <w:bookmarkEnd w:id="123"/>
    </w:p>
    <w:p w14:paraId="04AB02FA" w14:textId="77777777" w:rsidR="0075793D" w:rsidRPr="00BA4F0F" w:rsidRDefault="0075793D" w:rsidP="0075793D">
      <w:pPr>
        <w:autoSpaceDE w:val="0"/>
        <w:autoSpaceDN w:val="0"/>
        <w:adjustRightInd w:val="0"/>
        <w:ind w:firstLine="567"/>
        <w:rPr>
          <w:rFonts w:cs="Times New Roman"/>
          <w:szCs w:val="24"/>
        </w:rPr>
      </w:pPr>
      <w:r w:rsidRPr="00BA4F0F">
        <w:rPr>
          <w:rFonts w:cs="Times New Roman"/>
          <w:szCs w:val="24"/>
        </w:rPr>
        <w:t>В настоящее время в онкогематологии широкое распространение получили следующие режимы мобилизации ГСК:</w:t>
      </w:r>
    </w:p>
    <w:p w14:paraId="2F9DE8A5" w14:textId="77777777" w:rsidR="0075793D" w:rsidRPr="00BA4F0F" w:rsidRDefault="0075793D" w:rsidP="0075793D">
      <w:pPr>
        <w:numPr>
          <w:ilvl w:val="0"/>
          <w:numId w:val="141"/>
        </w:numPr>
        <w:contextualSpacing/>
        <w:rPr>
          <w:rFonts w:cs="Times New Roman"/>
          <w:szCs w:val="24"/>
        </w:rPr>
      </w:pPr>
      <w:r w:rsidRPr="00BA4F0F">
        <w:rPr>
          <w:rFonts w:cs="Times New Roman"/>
          <w:szCs w:val="24"/>
        </w:rPr>
        <w:t>Г-КСФ в монорежиме</w:t>
      </w:r>
    </w:p>
    <w:p w14:paraId="57F2C1C7" w14:textId="77777777" w:rsidR="0075793D" w:rsidRPr="00BA4F0F" w:rsidRDefault="0075793D" w:rsidP="0075793D">
      <w:pPr>
        <w:numPr>
          <w:ilvl w:val="0"/>
          <w:numId w:val="141"/>
        </w:numPr>
        <w:contextualSpacing/>
        <w:rPr>
          <w:rFonts w:cs="Times New Roman"/>
          <w:szCs w:val="24"/>
        </w:rPr>
      </w:pPr>
      <w:r w:rsidRPr="00BA4F0F">
        <w:rPr>
          <w:rFonts w:cs="Times New Roman"/>
          <w:szCs w:val="24"/>
        </w:rPr>
        <w:t>Г-КСФ после миелосупрессивной химиотерапии (ХТ + Г-КСФ)</w:t>
      </w:r>
    </w:p>
    <w:p w14:paraId="1700E635" w14:textId="77777777" w:rsidR="0075793D" w:rsidRPr="00BA4F0F" w:rsidRDefault="0075793D" w:rsidP="0075793D">
      <w:pPr>
        <w:numPr>
          <w:ilvl w:val="0"/>
          <w:numId w:val="141"/>
        </w:numPr>
        <w:contextualSpacing/>
        <w:rPr>
          <w:rFonts w:cs="Times New Roman"/>
          <w:szCs w:val="24"/>
        </w:rPr>
      </w:pPr>
      <w:r w:rsidRPr="00BA4F0F">
        <w:rPr>
          <w:rFonts w:cs="Times New Roman"/>
          <w:szCs w:val="24"/>
        </w:rPr>
        <w:t>Г-КСФ в сочетании с плериксафором</w:t>
      </w:r>
    </w:p>
    <w:p w14:paraId="188C3CD9" w14:textId="77777777" w:rsidR="0075793D" w:rsidRPr="00BA4F0F" w:rsidRDefault="0075793D" w:rsidP="0075793D">
      <w:pPr>
        <w:pStyle w:val="afe"/>
        <w:ind w:left="0"/>
        <w:rPr>
          <w:rFonts w:cs="Times New Roman"/>
          <w:szCs w:val="24"/>
          <w:u w:val="single"/>
        </w:rPr>
      </w:pPr>
      <w:bookmarkStart w:id="124" w:name="_Toc44926605"/>
    </w:p>
    <w:p w14:paraId="57071025" w14:textId="77777777" w:rsidR="0075793D" w:rsidRPr="00BA4F0F" w:rsidRDefault="0075793D" w:rsidP="0075793D">
      <w:pPr>
        <w:pStyle w:val="afe"/>
        <w:ind w:left="0"/>
        <w:rPr>
          <w:rFonts w:cs="Times New Roman"/>
          <w:szCs w:val="24"/>
          <w:u w:val="single"/>
        </w:rPr>
      </w:pPr>
      <w:r w:rsidRPr="00BA4F0F">
        <w:rPr>
          <w:rFonts w:cs="Times New Roman"/>
          <w:szCs w:val="24"/>
          <w:u w:val="single"/>
        </w:rPr>
        <w:t>Г-КСФ в монорежиме</w:t>
      </w:r>
      <w:bookmarkEnd w:id="124"/>
    </w:p>
    <w:p w14:paraId="450347F0" w14:textId="77777777" w:rsidR="0075793D" w:rsidRPr="00BA4F0F" w:rsidRDefault="0075793D" w:rsidP="0075793D">
      <w:pPr>
        <w:ind w:firstLine="567"/>
        <w:rPr>
          <w:rFonts w:cs="Times New Roman"/>
          <w:szCs w:val="24"/>
        </w:rPr>
      </w:pPr>
      <w:r w:rsidRPr="00BA4F0F">
        <w:rPr>
          <w:rFonts w:cs="Times New Roman"/>
          <w:szCs w:val="24"/>
        </w:rPr>
        <w:t>Данный режим также называют «мобилизация на стабильном состоянии кроветворения», так как у пациента не развивается миелотоксический агранулоцитоз (МТА).</w:t>
      </w:r>
    </w:p>
    <w:p w14:paraId="29EB9CA1" w14:textId="77777777" w:rsidR="0075793D" w:rsidRPr="00BA4F0F" w:rsidRDefault="0075793D" w:rsidP="0075793D">
      <w:pPr>
        <w:contextualSpacing/>
        <w:rPr>
          <w:rFonts w:cs="Times New Roman"/>
          <w:b/>
          <w:szCs w:val="24"/>
        </w:rPr>
      </w:pPr>
      <w:r w:rsidRPr="00BA4F0F">
        <w:rPr>
          <w:rFonts w:cs="Times New Roman"/>
          <w:b/>
          <w:szCs w:val="24"/>
        </w:rPr>
        <w:t xml:space="preserve">Показания </w:t>
      </w:r>
    </w:p>
    <w:p w14:paraId="4EE4892E" w14:textId="77777777" w:rsidR="0075793D" w:rsidRPr="00BA4F0F" w:rsidRDefault="0075793D" w:rsidP="005E0272">
      <w:pPr>
        <w:numPr>
          <w:ilvl w:val="0"/>
          <w:numId w:val="233"/>
        </w:numPr>
        <w:ind w:left="426"/>
        <w:contextualSpacing/>
        <w:rPr>
          <w:rFonts w:cs="Times New Roman"/>
          <w:szCs w:val="24"/>
        </w:rPr>
      </w:pPr>
      <w:r w:rsidRPr="00BA4F0F">
        <w:rPr>
          <w:rFonts w:cs="Times New Roman"/>
          <w:szCs w:val="24"/>
        </w:rPr>
        <w:t>Мобилизация ГСК у здоровых доноров;</w:t>
      </w:r>
    </w:p>
    <w:p w14:paraId="306F887F" w14:textId="77777777" w:rsidR="0075793D" w:rsidRPr="00BA4F0F" w:rsidRDefault="0075793D" w:rsidP="005E0272">
      <w:pPr>
        <w:numPr>
          <w:ilvl w:val="0"/>
          <w:numId w:val="233"/>
        </w:numPr>
        <w:ind w:left="426"/>
        <w:contextualSpacing/>
        <w:rPr>
          <w:rFonts w:cs="Times New Roman"/>
          <w:szCs w:val="24"/>
        </w:rPr>
      </w:pPr>
      <w:r w:rsidRPr="00BA4F0F">
        <w:rPr>
          <w:rFonts w:cs="Times New Roman"/>
          <w:szCs w:val="24"/>
        </w:rPr>
        <w:t xml:space="preserve"> Мобилизация ГСК у пациентов с онкогематологическими заболеваниями;</w:t>
      </w:r>
    </w:p>
    <w:p w14:paraId="41D4415C" w14:textId="77777777" w:rsidR="0075793D" w:rsidRPr="00BA4F0F" w:rsidRDefault="0075793D" w:rsidP="005E0272">
      <w:pPr>
        <w:numPr>
          <w:ilvl w:val="0"/>
          <w:numId w:val="233"/>
        </w:numPr>
        <w:ind w:left="426"/>
        <w:contextualSpacing/>
        <w:rPr>
          <w:rFonts w:cs="Times New Roman"/>
          <w:szCs w:val="24"/>
        </w:rPr>
      </w:pPr>
      <w:r w:rsidRPr="00BA4F0F">
        <w:rPr>
          <w:rFonts w:cs="Times New Roman"/>
          <w:szCs w:val="24"/>
        </w:rPr>
        <w:t>Мобилизация ГСК у пациентов, проведение которым режима «ХТ+ Г-КСФ» не является безопасным (при наличии коморбидности, кардиальной патологии, диализ-зависимой почечной недостаточности);</w:t>
      </w:r>
    </w:p>
    <w:p w14:paraId="06DC3C5E" w14:textId="77777777" w:rsidR="0075793D" w:rsidRPr="00BA4F0F" w:rsidRDefault="0075793D" w:rsidP="005E0272">
      <w:pPr>
        <w:numPr>
          <w:ilvl w:val="0"/>
          <w:numId w:val="233"/>
        </w:numPr>
        <w:ind w:left="426"/>
        <w:contextualSpacing/>
        <w:rPr>
          <w:rFonts w:cs="Times New Roman"/>
          <w:szCs w:val="24"/>
        </w:rPr>
      </w:pPr>
      <w:r w:rsidRPr="00BA4F0F">
        <w:rPr>
          <w:rFonts w:cs="Times New Roman"/>
          <w:szCs w:val="24"/>
        </w:rPr>
        <w:t>Повторная мобилизация после неудачи первой мобилизации ГСК схемами, включающими миелосупрессивные препараты.</w:t>
      </w:r>
    </w:p>
    <w:p w14:paraId="4A04A2BD" w14:textId="77777777" w:rsidR="0075793D" w:rsidRPr="00BA4F0F" w:rsidRDefault="0075793D" w:rsidP="0075793D">
      <w:pPr>
        <w:contextualSpacing/>
        <w:rPr>
          <w:rFonts w:cs="Times New Roman"/>
          <w:b/>
          <w:szCs w:val="24"/>
        </w:rPr>
      </w:pPr>
      <w:r w:rsidRPr="00BA4F0F">
        <w:rPr>
          <w:rFonts w:cs="Times New Roman"/>
          <w:b/>
          <w:szCs w:val="24"/>
        </w:rPr>
        <w:t>Схема мобилизации ГСК</w:t>
      </w:r>
    </w:p>
    <w:p w14:paraId="2EE3F62B" w14:textId="77777777" w:rsidR="0075793D" w:rsidRPr="00BA4F0F" w:rsidRDefault="0075793D" w:rsidP="0075793D">
      <w:pPr>
        <w:ind w:firstLine="426"/>
        <w:rPr>
          <w:rFonts w:cs="Times New Roman"/>
          <w:szCs w:val="24"/>
        </w:rPr>
      </w:pPr>
      <w:r w:rsidRPr="00BA4F0F">
        <w:rPr>
          <w:rFonts w:cs="Times New Roman"/>
          <w:szCs w:val="24"/>
        </w:rPr>
        <w:t xml:space="preserve">Г-КСФ назначают в дозе 10 мкг/кг/сутки, вводят подкожно утром (или по 5 мкг 2 раза в сутки). Лейкаферез начинается на четвертый день введения Г-КСФ при наличии адекватного количества </w:t>
      </w:r>
      <w:r w:rsidRPr="00BA4F0F">
        <w:rPr>
          <w:rFonts w:cs="Times New Roman"/>
          <w:szCs w:val="24"/>
          <w:lang w:val="en-US"/>
        </w:rPr>
        <w:t>CD</w:t>
      </w:r>
      <w:r w:rsidRPr="00BA4F0F">
        <w:rPr>
          <w:rFonts w:cs="Times New Roman"/>
          <w:szCs w:val="24"/>
        </w:rPr>
        <w:t xml:space="preserve">34+ клеток в периферической крови. При их количестве более 10-20 клеток/мкл начинают сепарацию клеток. Если </w:t>
      </w:r>
      <w:r w:rsidRPr="00BA4F0F">
        <w:rPr>
          <w:rFonts w:cs="Times New Roman"/>
          <w:szCs w:val="24"/>
          <w:lang w:val="en-US"/>
        </w:rPr>
        <w:t>CD</w:t>
      </w:r>
      <w:r w:rsidRPr="00BA4F0F">
        <w:rPr>
          <w:rFonts w:cs="Times New Roman"/>
          <w:szCs w:val="24"/>
        </w:rPr>
        <w:t>34+ в периферической крови менее 10 клеток/мкл, необходимо отказаться от лейкафереза и повторить подсчет клеток на следующий день. Число сеансов лейкафереза зависит от результатов сбора ГСК, для заготовки оптимального  количества CD34+ клеток необходимо 2 - 4 процедуры (от 1 до 5). В заключительный день проведения лейкафереза Г-КСФ не вводится (таблица 1).</w:t>
      </w:r>
    </w:p>
    <w:p w14:paraId="7A678A5D" w14:textId="77777777" w:rsidR="0075793D" w:rsidRPr="00BA4F0F" w:rsidRDefault="0075793D" w:rsidP="0075793D">
      <w:pPr>
        <w:rPr>
          <w:rFonts w:cs="Times New Roman"/>
          <w:szCs w:val="24"/>
        </w:rPr>
      </w:pPr>
    </w:p>
    <w:p w14:paraId="7133FB35" w14:textId="77777777" w:rsidR="0075793D" w:rsidRPr="00BA4F0F" w:rsidRDefault="0075793D" w:rsidP="0075793D">
      <w:pPr>
        <w:rPr>
          <w:rFonts w:cs="Times New Roman"/>
          <w:szCs w:val="24"/>
        </w:rPr>
      </w:pPr>
      <w:r w:rsidRPr="00BA4F0F">
        <w:rPr>
          <w:rFonts w:cs="Times New Roman"/>
          <w:szCs w:val="24"/>
        </w:rPr>
        <w:t xml:space="preserve">Таблица 1 . Схема мобилизации ГСК «Г-КСФ в монорежиме» </w:t>
      </w:r>
    </w:p>
    <w:tbl>
      <w:tblPr>
        <w:tblStyle w:val="1f3"/>
        <w:tblW w:w="8930" w:type="dxa"/>
        <w:tblInd w:w="108" w:type="dxa"/>
        <w:tblLook w:val="04A0" w:firstRow="1" w:lastRow="0" w:firstColumn="1" w:lastColumn="0" w:noHBand="0" w:noVBand="1"/>
      </w:tblPr>
      <w:tblGrid>
        <w:gridCol w:w="1583"/>
        <w:gridCol w:w="1142"/>
        <w:gridCol w:w="1139"/>
        <w:gridCol w:w="1139"/>
        <w:gridCol w:w="1142"/>
        <w:gridCol w:w="1143"/>
        <w:gridCol w:w="1642"/>
      </w:tblGrid>
      <w:tr w:rsidR="0075793D" w:rsidRPr="00BA4F0F" w14:paraId="19BEFA64" w14:textId="77777777" w:rsidTr="002D3EBF">
        <w:tc>
          <w:tcPr>
            <w:tcW w:w="1583" w:type="dxa"/>
          </w:tcPr>
          <w:p w14:paraId="72390FF8" w14:textId="77777777" w:rsidR="0075793D" w:rsidRPr="00BA4F0F" w:rsidRDefault="0075793D" w:rsidP="0075793D">
            <w:pPr>
              <w:ind w:firstLine="0"/>
              <w:rPr>
                <w:rFonts w:cs="Times New Roman"/>
              </w:rPr>
            </w:pPr>
            <w:r w:rsidRPr="00BA4F0F">
              <w:rPr>
                <w:rFonts w:cs="Times New Roman"/>
              </w:rPr>
              <w:t>Дни</w:t>
            </w:r>
          </w:p>
        </w:tc>
        <w:tc>
          <w:tcPr>
            <w:tcW w:w="1142" w:type="dxa"/>
          </w:tcPr>
          <w:p w14:paraId="122696B5" w14:textId="77777777" w:rsidR="0075793D" w:rsidRPr="00BA4F0F" w:rsidRDefault="0075793D" w:rsidP="0075793D">
            <w:pPr>
              <w:ind w:firstLine="0"/>
              <w:rPr>
                <w:rFonts w:cs="Times New Roman"/>
              </w:rPr>
            </w:pPr>
            <w:r w:rsidRPr="00BA4F0F">
              <w:rPr>
                <w:rFonts w:cs="Times New Roman"/>
              </w:rPr>
              <w:t>1</w:t>
            </w:r>
          </w:p>
        </w:tc>
        <w:tc>
          <w:tcPr>
            <w:tcW w:w="1139" w:type="dxa"/>
          </w:tcPr>
          <w:p w14:paraId="6D7049BC" w14:textId="77777777" w:rsidR="0075793D" w:rsidRPr="00BA4F0F" w:rsidRDefault="0075793D" w:rsidP="0075793D">
            <w:pPr>
              <w:ind w:firstLine="0"/>
              <w:rPr>
                <w:rFonts w:cs="Times New Roman"/>
              </w:rPr>
            </w:pPr>
            <w:r w:rsidRPr="00BA4F0F">
              <w:rPr>
                <w:rFonts w:cs="Times New Roman"/>
              </w:rPr>
              <w:t>2</w:t>
            </w:r>
          </w:p>
        </w:tc>
        <w:tc>
          <w:tcPr>
            <w:tcW w:w="1139" w:type="dxa"/>
          </w:tcPr>
          <w:p w14:paraId="07C9A30B" w14:textId="77777777" w:rsidR="0075793D" w:rsidRPr="00BA4F0F" w:rsidRDefault="0075793D" w:rsidP="0075793D">
            <w:pPr>
              <w:ind w:firstLine="0"/>
              <w:rPr>
                <w:rFonts w:cs="Times New Roman"/>
              </w:rPr>
            </w:pPr>
            <w:r w:rsidRPr="00BA4F0F">
              <w:rPr>
                <w:rFonts w:cs="Times New Roman"/>
              </w:rPr>
              <w:t>3</w:t>
            </w:r>
          </w:p>
        </w:tc>
        <w:tc>
          <w:tcPr>
            <w:tcW w:w="1142" w:type="dxa"/>
          </w:tcPr>
          <w:p w14:paraId="5D808648" w14:textId="77777777" w:rsidR="0075793D" w:rsidRPr="00BA4F0F" w:rsidRDefault="0075793D" w:rsidP="0075793D">
            <w:pPr>
              <w:ind w:firstLine="0"/>
              <w:rPr>
                <w:rFonts w:cs="Times New Roman"/>
              </w:rPr>
            </w:pPr>
            <w:r w:rsidRPr="00BA4F0F">
              <w:rPr>
                <w:rFonts w:cs="Times New Roman"/>
              </w:rPr>
              <w:t>4</w:t>
            </w:r>
          </w:p>
        </w:tc>
        <w:tc>
          <w:tcPr>
            <w:tcW w:w="1143" w:type="dxa"/>
          </w:tcPr>
          <w:p w14:paraId="26AC5538" w14:textId="77777777" w:rsidR="0075793D" w:rsidRPr="00BA4F0F" w:rsidRDefault="0075793D" w:rsidP="0075793D">
            <w:pPr>
              <w:ind w:firstLine="0"/>
              <w:rPr>
                <w:rFonts w:cs="Times New Roman"/>
              </w:rPr>
            </w:pPr>
            <w:r w:rsidRPr="00BA4F0F">
              <w:rPr>
                <w:rFonts w:cs="Times New Roman"/>
              </w:rPr>
              <w:t>5</w:t>
            </w:r>
          </w:p>
        </w:tc>
        <w:tc>
          <w:tcPr>
            <w:tcW w:w="1642" w:type="dxa"/>
          </w:tcPr>
          <w:p w14:paraId="3C4E0FC0" w14:textId="77777777" w:rsidR="0075793D" w:rsidRPr="00BA4F0F" w:rsidRDefault="0075793D" w:rsidP="0075793D">
            <w:pPr>
              <w:ind w:firstLine="0"/>
              <w:rPr>
                <w:rFonts w:cs="Times New Roman"/>
              </w:rPr>
            </w:pPr>
            <w:r w:rsidRPr="00BA4F0F">
              <w:rPr>
                <w:rFonts w:cs="Times New Roman"/>
              </w:rPr>
              <w:t>6</w:t>
            </w:r>
          </w:p>
        </w:tc>
      </w:tr>
      <w:tr w:rsidR="0075793D" w:rsidRPr="00BA4F0F" w14:paraId="552A630D" w14:textId="77777777" w:rsidTr="002D3EBF">
        <w:tc>
          <w:tcPr>
            <w:tcW w:w="1583" w:type="dxa"/>
          </w:tcPr>
          <w:p w14:paraId="4E98864D" w14:textId="77777777" w:rsidR="0075793D" w:rsidRPr="00BA4F0F" w:rsidRDefault="0075793D" w:rsidP="0075793D">
            <w:pPr>
              <w:ind w:firstLine="0"/>
              <w:rPr>
                <w:rFonts w:cs="Times New Roman"/>
              </w:rPr>
            </w:pPr>
            <w:r w:rsidRPr="00BA4F0F">
              <w:rPr>
                <w:rFonts w:cs="Times New Roman"/>
              </w:rPr>
              <w:t xml:space="preserve">Г-КСФ, </w:t>
            </w:r>
          </w:p>
          <w:p w14:paraId="4C6505BF" w14:textId="77777777" w:rsidR="0075793D" w:rsidRPr="00BA4F0F" w:rsidRDefault="0075793D" w:rsidP="0075793D">
            <w:pPr>
              <w:ind w:firstLine="0"/>
              <w:rPr>
                <w:rFonts w:cs="Times New Roman"/>
              </w:rPr>
            </w:pPr>
            <w:r w:rsidRPr="00BA4F0F">
              <w:rPr>
                <w:rFonts w:cs="Times New Roman"/>
              </w:rPr>
              <w:t>10 мкг/кг</w:t>
            </w:r>
          </w:p>
        </w:tc>
        <w:tc>
          <w:tcPr>
            <w:tcW w:w="1142" w:type="dxa"/>
          </w:tcPr>
          <w:p w14:paraId="5A9A5F0E" w14:textId="77777777" w:rsidR="0075793D" w:rsidRPr="00BA4F0F" w:rsidRDefault="0075793D" w:rsidP="0075793D">
            <w:pPr>
              <w:ind w:firstLine="0"/>
              <w:rPr>
                <w:rFonts w:cs="Times New Roman"/>
              </w:rPr>
            </w:pPr>
            <w:r w:rsidRPr="00BA4F0F">
              <w:rPr>
                <w:rFonts w:cs="Times New Roman"/>
              </w:rPr>
              <w:t>Х</w:t>
            </w:r>
          </w:p>
        </w:tc>
        <w:tc>
          <w:tcPr>
            <w:tcW w:w="1139" w:type="dxa"/>
          </w:tcPr>
          <w:p w14:paraId="6F3D80C9" w14:textId="77777777" w:rsidR="0075793D" w:rsidRPr="00BA4F0F" w:rsidRDefault="0075793D" w:rsidP="0075793D">
            <w:pPr>
              <w:ind w:firstLine="0"/>
              <w:rPr>
                <w:rFonts w:cs="Times New Roman"/>
              </w:rPr>
            </w:pPr>
            <w:r w:rsidRPr="00BA4F0F">
              <w:rPr>
                <w:rFonts w:cs="Times New Roman"/>
              </w:rPr>
              <w:t>Х</w:t>
            </w:r>
          </w:p>
        </w:tc>
        <w:tc>
          <w:tcPr>
            <w:tcW w:w="1139" w:type="dxa"/>
          </w:tcPr>
          <w:p w14:paraId="2582A405" w14:textId="77777777" w:rsidR="0075793D" w:rsidRPr="00BA4F0F" w:rsidRDefault="0075793D" w:rsidP="0075793D">
            <w:pPr>
              <w:ind w:firstLine="0"/>
              <w:rPr>
                <w:rFonts w:cs="Times New Roman"/>
              </w:rPr>
            </w:pPr>
            <w:r w:rsidRPr="00BA4F0F">
              <w:rPr>
                <w:rFonts w:cs="Times New Roman"/>
              </w:rPr>
              <w:t>Х</w:t>
            </w:r>
          </w:p>
        </w:tc>
        <w:tc>
          <w:tcPr>
            <w:tcW w:w="1142" w:type="dxa"/>
          </w:tcPr>
          <w:p w14:paraId="1FDB172E" w14:textId="77777777" w:rsidR="0075793D" w:rsidRPr="00BA4F0F" w:rsidRDefault="0075793D" w:rsidP="0075793D">
            <w:pPr>
              <w:ind w:firstLine="0"/>
              <w:rPr>
                <w:rFonts w:cs="Times New Roman"/>
              </w:rPr>
            </w:pPr>
            <w:r w:rsidRPr="00BA4F0F">
              <w:rPr>
                <w:rFonts w:cs="Times New Roman"/>
              </w:rPr>
              <w:t>Х</w:t>
            </w:r>
          </w:p>
        </w:tc>
        <w:tc>
          <w:tcPr>
            <w:tcW w:w="1143" w:type="dxa"/>
          </w:tcPr>
          <w:p w14:paraId="3314FE81" w14:textId="77777777" w:rsidR="0075793D" w:rsidRPr="00BA4F0F" w:rsidRDefault="0075793D" w:rsidP="0075793D">
            <w:pPr>
              <w:ind w:firstLine="0"/>
              <w:rPr>
                <w:rFonts w:cs="Times New Roman"/>
              </w:rPr>
            </w:pPr>
            <w:r w:rsidRPr="00BA4F0F">
              <w:rPr>
                <w:rFonts w:cs="Times New Roman"/>
              </w:rPr>
              <w:t>Х</w:t>
            </w:r>
          </w:p>
        </w:tc>
        <w:tc>
          <w:tcPr>
            <w:tcW w:w="1642" w:type="dxa"/>
          </w:tcPr>
          <w:p w14:paraId="47745695" w14:textId="77777777" w:rsidR="0075793D" w:rsidRPr="00BA4F0F" w:rsidRDefault="0075793D" w:rsidP="0075793D">
            <w:pPr>
              <w:ind w:firstLine="0"/>
              <w:rPr>
                <w:rFonts w:cs="Times New Roman"/>
              </w:rPr>
            </w:pPr>
            <w:r w:rsidRPr="00BA4F0F">
              <w:rPr>
                <w:rFonts w:cs="Times New Roman"/>
              </w:rPr>
              <w:t>отмена</w:t>
            </w:r>
          </w:p>
        </w:tc>
      </w:tr>
      <w:tr w:rsidR="0075793D" w:rsidRPr="00BA4F0F" w14:paraId="06DB1988" w14:textId="77777777" w:rsidTr="002D3EBF">
        <w:tc>
          <w:tcPr>
            <w:tcW w:w="1583" w:type="dxa"/>
          </w:tcPr>
          <w:p w14:paraId="5626CA28" w14:textId="77777777" w:rsidR="0075793D" w:rsidRPr="00BA4F0F" w:rsidRDefault="0075793D" w:rsidP="0075793D">
            <w:pPr>
              <w:ind w:firstLine="0"/>
              <w:rPr>
                <w:rFonts w:cs="Times New Roman"/>
              </w:rPr>
            </w:pPr>
            <w:r w:rsidRPr="00BA4F0F">
              <w:rPr>
                <w:rFonts w:cs="Times New Roman"/>
              </w:rPr>
              <w:t>Лейкаферез</w:t>
            </w:r>
          </w:p>
        </w:tc>
        <w:tc>
          <w:tcPr>
            <w:tcW w:w="1142" w:type="dxa"/>
          </w:tcPr>
          <w:p w14:paraId="2926319B" w14:textId="77777777" w:rsidR="0075793D" w:rsidRPr="00BA4F0F" w:rsidRDefault="0075793D" w:rsidP="0075793D">
            <w:pPr>
              <w:ind w:firstLine="0"/>
              <w:rPr>
                <w:rFonts w:cs="Times New Roman"/>
              </w:rPr>
            </w:pPr>
          </w:p>
        </w:tc>
        <w:tc>
          <w:tcPr>
            <w:tcW w:w="1139" w:type="dxa"/>
          </w:tcPr>
          <w:p w14:paraId="3949CF51" w14:textId="77777777" w:rsidR="0075793D" w:rsidRPr="00BA4F0F" w:rsidRDefault="0075793D" w:rsidP="0075793D">
            <w:pPr>
              <w:ind w:firstLine="0"/>
              <w:rPr>
                <w:rFonts w:cs="Times New Roman"/>
              </w:rPr>
            </w:pPr>
          </w:p>
        </w:tc>
        <w:tc>
          <w:tcPr>
            <w:tcW w:w="1139" w:type="dxa"/>
          </w:tcPr>
          <w:p w14:paraId="5FA31F41" w14:textId="77777777" w:rsidR="0075793D" w:rsidRPr="00BA4F0F" w:rsidRDefault="0075793D" w:rsidP="0075793D">
            <w:pPr>
              <w:ind w:firstLine="0"/>
              <w:rPr>
                <w:rFonts w:cs="Times New Roman"/>
              </w:rPr>
            </w:pPr>
          </w:p>
        </w:tc>
        <w:tc>
          <w:tcPr>
            <w:tcW w:w="1142" w:type="dxa"/>
          </w:tcPr>
          <w:p w14:paraId="0FF2EFBC" w14:textId="77777777" w:rsidR="0075793D" w:rsidRPr="00BA4F0F" w:rsidRDefault="0075793D" w:rsidP="0075793D">
            <w:pPr>
              <w:ind w:firstLine="0"/>
              <w:rPr>
                <w:rFonts w:cs="Times New Roman"/>
                <w:lang w:val="en-US"/>
              </w:rPr>
            </w:pPr>
            <w:r w:rsidRPr="00BA4F0F">
              <w:rPr>
                <w:rFonts w:cs="Times New Roman"/>
                <w:lang w:val="en-US"/>
              </w:rPr>
              <w:t>V</w:t>
            </w:r>
          </w:p>
        </w:tc>
        <w:tc>
          <w:tcPr>
            <w:tcW w:w="1143" w:type="dxa"/>
          </w:tcPr>
          <w:p w14:paraId="75E3C115" w14:textId="77777777" w:rsidR="0075793D" w:rsidRPr="00BA4F0F" w:rsidRDefault="0075793D" w:rsidP="0075793D">
            <w:pPr>
              <w:ind w:firstLine="0"/>
              <w:rPr>
                <w:rFonts w:cs="Times New Roman"/>
                <w:lang w:val="en-US"/>
              </w:rPr>
            </w:pPr>
            <w:r w:rsidRPr="00BA4F0F">
              <w:rPr>
                <w:rFonts w:cs="Times New Roman"/>
                <w:lang w:val="en-US"/>
              </w:rPr>
              <w:t>V</w:t>
            </w:r>
          </w:p>
        </w:tc>
        <w:tc>
          <w:tcPr>
            <w:tcW w:w="1642" w:type="dxa"/>
          </w:tcPr>
          <w:p w14:paraId="3D732EE7" w14:textId="77777777" w:rsidR="0075793D" w:rsidRPr="00BA4F0F" w:rsidRDefault="0075793D" w:rsidP="0075793D">
            <w:pPr>
              <w:ind w:firstLine="0"/>
              <w:rPr>
                <w:rFonts w:cs="Times New Roman"/>
                <w:lang w:val="en-US"/>
              </w:rPr>
            </w:pPr>
            <w:r w:rsidRPr="00BA4F0F">
              <w:rPr>
                <w:rFonts w:cs="Times New Roman"/>
                <w:lang w:val="en-US"/>
              </w:rPr>
              <w:t>V</w:t>
            </w:r>
          </w:p>
        </w:tc>
      </w:tr>
    </w:tbl>
    <w:p w14:paraId="1E6F2012" w14:textId="77777777" w:rsidR="0075793D" w:rsidRPr="00BA4F0F" w:rsidRDefault="0075793D" w:rsidP="0075793D">
      <w:pPr>
        <w:pStyle w:val="11"/>
        <w:spacing w:before="0"/>
      </w:pPr>
      <w:bookmarkStart w:id="125" w:name="_Toc44926606"/>
    </w:p>
    <w:p w14:paraId="282E05B8" w14:textId="77777777" w:rsidR="0075793D" w:rsidRPr="00BA4F0F" w:rsidRDefault="0075793D" w:rsidP="0075793D">
      <w:pPr>
        <w:pStyle w:val="afe"/>
        <w:ind w:left="0"/>
        <w:rPr>
          <w:rFonts w:cs="Times New Roman"/>
          <w:szCs w:val="24"/>
          <w:u w:val="single"/>
        </w:rPr>
      </w:pPr>
      <w:r w:rsidRPr="00BA4F0F">
        <w:rPr>
          <w:rFonts w:cs="Times New Roman"/>
          <w:szCs w:val="24"/>
          <w:u w:val="single"/>
        </w:rPr>
        <w:t>Г-КСФ после миелосупрессивной химиотерапии</w:t>
      </w:r>
      <w:bookmarkEnd w:id="125"/>
    </w:p>
    <w:p w14:paraId="089E19A5" w14:textId="77777777" w:rsidR="0075793D" w:rsidRPr="00BA4F0F" w:rsidRDefault="0075793D" w:rsidP="0075793D">
      <w:pPr>
        <w:rPr>
          <w:rFonts w:cs="Times New Roman"/>
          <w:b/>
          <w:i/>
          <w:szCs w:val="24"/>
          <w:lang w:val="en-US"/>
        </w:rPr>
      </w:pPr>
      <w:r w:rsidRPr="00BA4F0F">
        <w:rPr>
          <w:rFonts w:cs="Times New Roman"/>
          <w:b/>
          <w:i/>
          <w:szCs w:val="24"/>
          <w:lang w:val="en-US"/>
        </w:rPr>
        <w:t xml:space="preserve">Показания </w:t>
      </w:r>
    </w:p>
    <w:p w14:paraId="344A9274" w14:textId="77777777" w:rsidR="0075793D" w:rsidRPr="00BA4F0F" w:rsidRDefault="0075793D" w:rsidP="005E0272">
      <w:pPr>
        <w:numPr>
          <w:ilvl w:val="0"/>
          <w:numId w:val="234"/>
        </w:numPr>
        <w:contextualSpacing/>
        <w:rPr>
          <w:rFonts w:cs="Times New Roman"/>
          <w:b/>
          <w:szCs w:val="24"/>
        </w:rPr>
      </w:pPr>
      <w:r w:rsidRPr="00BA4F0F">
        <w:rPr>
          <w:rFonts w:cs="Times New Roman"/>
          <w:szCs w:val="24"/>
        </w:rPr>
        <w:t>Мобилизация ГСК у пациентов с онкогематологическими заболеваниями</w:t>
      </w:r>
    </w:p>
    <w:p w14:paraId="2BE138DE" w14:textId="77777777" w:rsidR="0075793D" w:rsidRPr="00BA4F0F" w:rsidRDefault="0075793D" w:rsidP="0075793D">
      <w:pPr>
        <w:rPr>
          <w:rFonts w:cs="Times New Roman"/>
          <w:b/>
          <w:i/>
          <w:szCs w:val="24"/>
        </w:rPr>
      </w:pPr>
    </w:p>
    <w:p w14:paraId="7A4F767C" w14:textId="77777777" w:rsidR="0075793D" w:rsidRPr="00BA4F0F" w:rsidRDefault="0075793D" w:rsidP="0075793D">
      <w:pPr>
        <w:rPr>
          <w:rFonts w:cs="Times New Roman"/>
          <w:b/>
          <w:i/>
          <w:szCs w:val="24"/>
        </w:rPr>
      </w:pPr>
      <w:r w:rsidRPr="00BA4F0F">
        <w:rPr>
          <w:rFonts w:cs="Times New Roman"/>
          <w:b/>
          <w:i/>
          <w:szCs w:val="24"/>
        </w:rPr>
        <w:t>Схема мобилизации ГСК «ХТ + Г-КСФ»</w:t>
      </w:r>
    </w:p>
    <w:p w14:paraId="55816B15" w14:textId="77777777" w:rsidR="0075793D" w:rsidRPr="00BA4F0F" w:rsidRDefault="0075793D" w:rsidP="0075793D">
      <w:pPr>
        <w:rPr>
          <w:rFonts w:cs="Times New Roman"/>
          <w:szCs w:val="24"/>
        </w:rPr>
      </w:pPr>
      <w:r w:rsidRPr="00BA4F0F">
        <w:rPr>
          <w:rFonts w:cs="Times New Roman"/>
          <w:szCs w:val="24"/>
        </w:rPr>
        <w:t>Миелосупрессивная ХТ стимулирует пролиферацию стволовых клеток и клеток-предшественниц, что приводит к увеличению выброса ГСК из костного мозга в кровь. Принцип данного режима мобилизации ГСК: пациенту вводится химиопрепарат (или несколько препаратов) согласно соответствующему протоколу лечения, а затем, после развития МТА, начинается стимуляция лейкопоэза Г-КСФ в дозе 5 мг/кг/сут.</w:t>
      </w:r>
    </w:p>
    <w:p w14:paraId="60F5DE2B" w14:textId="77777777" w:rsidR="0075793D" w:rsidRPr="00BA4F0F" w:rsidRDefault="0075793D" w:rsidP="0075793D">
      <w:pPr>
        <w:rPr>
          <w:rFonts w:cs="Times New Roman"/>
          <w:szCs w:val="24"/>
        </w:rPr>
      </w:pPr>
      <w:r w:rsidRPr="00BA4F0F">
        <w:rPr>
          <w:rFonts w:cs="Times New Roman"/>
          <w:szCs w:val="24"/>
        </w:rPr>
        <w:t xml:space="preserve">При условии восстановления лейкоцитов периферической крови и адекватного количества среди них </w:t>
      </w:r>
      <w:r w:rsidRPr="00BA4F0F">
        <w:rPr>
          <w:rFonts w:cs="Times New Roman"/>
          <w:szCs w:val="24"/>
          <w:lang w:val="en-US"/>
        </w:rPr>
        <w:t>CD</w:t>
      </w:r>
      <w:r w:rsidRPr="00BA4F0F">
        <w:rPr>
          <w:rFonts w:cs="Times New Roman"/>
          <w:szCs w:val="24"/>
        </w:rPr>
        <w:t xml:space="preserve">34+ клеток начинаются процедуры сбора ГСК (как правило, на 6-8 день введения Г-КСФ). </w:t>
      </w:r>
    </w:p>
    <w:p w14:paraId="5358F3C8" w14:textId="77777777" w:rsidR="0075793D" w:rsidRPr="00BA4F0F" w:rsidRDefault="0075793D" w:rsidP="0075793D">
      <w:pPr>
        <w:rPr>
          <w:rFonts w:cs="Times New Roman"/>
          <w:szCs w:val="24"/>
        </w:rPr>
      </w:pPr>
      <w:r w:rsidRPr="00BA4F0F">
        <w:rPr>
          <w:rFonts w:cs="Times New Roman"/>
          <w:szCs w:val="24"/>
        </w:rPr>
        <w:t xml:space="preserve">На рисунке 1 представлен алгоритм определения показаний к проведению первого лейкафереза. Количество лейкаферезов зависит от результата сбора ГСК (от 1 до 5). В заключительный день проведения лейкафереза Г-КСФ не вводится. </w:t>
      </w:r>
    </w:p>
    <w:p w14:paraId="168D2988" w14:textId="77777777" w:rsidR="0075793D" w:rsidRPr="00BA4F0F" w:rsidRDefault="0075793D" w:rsidP="0075793D">
      <w:pPr>
        <w:jc w:val="center"/>
        <w:rPr>
          <w:rFonts w:cs="Times New Roman"/>
          <w:szCs w:val="24"/>
        </w:rPr>
      </w:pPr>
      <w:r w:rsidRPr="00BA4F0F">
        <w:rPr>
          <w:rFonts w:cs="Times New Roman"/>
          <w:noProof/>
          <w:szCs w:val="24"/>
          <w:lang w:eastAsia="ru-RU"/>
        </w:rPr>
        <w:drawing>
          <wp:inline distT="0" distB="0" distL="0" distR="0" wp14:anchorId="5FF5E2FB" wp14:editId="7711AD1E">
            <wp:extent cx="4177990" cy="2665737"/>
            <wp:effectExtent l="0" t="0" r="0" b="1270"/>
            <wp:docPr id="3" name="Picture 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Изображение выглядит как текст&#10;&#10;Автоматически созданное описание"/>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176702" cy="2664915"/>
                    </a:xfrm>
                    <a:prstGeom prst="rect">
                      <a:avLst/>
                    </a:prstGeom>
                    <a:noFill/>
                    <a:ln>
                      <a:noFill/>
                    </a:ln>
                    <a:effectLst/>
                  </pic:spPr>
                </pic:pic>
              </a:graphicData>
            </a:graphic>
          </wp:inline>
        </w:drawing>
      </w:r>
    </w:p>
    <w:p w14:paraId="407F1322" w14:textId="77777777" w:rsidR="0075793D" w:rsidRPr="00BA4F0F" w:rsidRDefault="0075793D" w:rsidP="0075793D">
      <w:pPr>
        <w:jc w:val="center"/>
        <w:rPr>
          <w:rFonts w:cs="Times New Roman"/>
          <w:i/>
          <w:szCs w:val="24"/>
        </w:rPr>
      </w:pPr>
      <w:r w:rsidRPr="00BA4F0F">
        <w:rPr>
          <w:rFonts w:cs="Times New Roman"/>
          <w:szCs w:val="24"/>
        </w:rPr>
        <w:t xml:space="preserve">Рисунок 1. Алгоритм определения показаний к проведению первого лейкафереза при мобилизации ГСК в режиме «ХТ+ Г-КСФ». </w:t>
      </w:r>
      <w:r w:rsidRPr="00BA4F0F">
        <w:rPr>
          <w:rFonts w:cs="Times New Roman"/>
          <w:i/>
          <w:szCs w:val="24"/>
        </w:rPr>
        <w:t>ХТ – химиотерапия, МТА – миелотоксический агранулоцитоз</w:t>
      </w:r>
    </w:p>
    <w:p w14:paraId="660DD930" w14:textId="77777777" w:rsidR="0075793D" w:rsidRPr="00BA4F0F" w:rsidRDefault="0075793D" w:rsidP="0075793D">
      <w:pPr>
        <w:rPr>
          <w:rFonts w:cs="Times New Roman"/>
          <w:szCs w:val="24"/>
        </w:rPr>
      </w:pPr>
    </w:p>
    <w:p w14:paraId="3C51FE79" w14:textId="7F183687" w:rsidR="0075793D" w:rsidRPr="00BA4F0F" w:rsidRDefault="0075793D" w:rsidP="0075793D">
      <w:pPr>
        <w:rPr>
          <w:rFonts w:cs="Times New Roman"/>
          <w:szCs w:val="24"/>
        </w:rPr>
      </w:pPr>
      <w:r w:rsidRPr="00BA4F0F">
        <w:rPr>
          <w:rFonts w:cs="Times New Roman"/>
          <w:szCs w:val="24"/>
        </w:rPr>
        <w:t xml:space="preserve">Данная схема мобилизации ГСК применяется в период индукции первой или второй ремиссии при ММ, НХЛ, лимфоме Ходжкина; при острых лейкозах в период ремиссии. Выбор химиотерапевтических препаратов зависит от конкретной нозологии и протокола терапии. Так, при ММ чаще используется циклофосфан, также возможны схемы </w:t>
      </w:r>
      <w:r w:rsidRPr="00BA4F0F">
        <w:rPr>
          <w:rFonts w:cs="Times New Roman"/>
          <w:szCs w:val="24"/>
          <w:lang w:val="en-US"/>
        </w:rPr>
        <w:t>VD</w:t>
      </w:r>
      <w:r w:rsidRPr="00BA4F0F">
        <w:rPr>
          <w:rFonts w:cs="Times New Roman"/>
          <w:szCs w:val="24"/>
        </w:rPr>
        <w:t>-</w:t>
      </w:r>
      <w:r w:rsidRPr="00BA4F0F">
        <w:rPr>
          <w:rFonts w:cs="Times New Roman"/>
          <w:szCs w:val="24"/>
          <w:lang w:val="en-US"/>
        </w:rPr>
        <w:t>PACE</w:t>
      </w:r>
      <w:r w:rsidRPr="00BA4F0F">
        <w:rPr>
          <w:rFonts w:cs="Times New Roman"/>
          <w:szCs w:val="24"/>
        </w:rPr>
        <w:t xml:space="preserve">, </w:t>
      </w:r>
      <w:r w:rsidRPr="00BA4F0F">
        <w:rPr>
          <w:rFonts w:cs="Times New Roman"/>
          <w:szCs w:val="24"/>
          <w:lang w:val="en-US"/>
        </w:rPr>
        <w:t>DHAP</w:t>
      </w:r>
      <w:r w:rsidRPr="00BA4F0F">
        <w:rPr>
          <w:rFonts w:cs="Times New Roman"/>
          <w:szCs w:val="24"/>
        </w:rPr>
        <w:t>, средние дозы цитарабина (1,6 мг/м</w:t>
      </w:r>
      <w:r w:rsidRPr="00BA4F0F">
        <w:rPr>
          <w:rFonts w:cs="Times New Roman"/>
          <w:szCs w:val="24"/>
          <w:vertAlign w:val="superscript"/>
        </w:rPr>
        <w:t>2</w:t>
      </w:r>
      <w:r w:rsidRPr="00BA4F0F">
        <w:rPr>
          <w:rFonts w:cs="Times New Roman"/>
          <w:szCs w:val="24"/>
        </w:rPr>
        <w:t xml:space="preserve">) </w:t>
      </w:r>
      <w:r w:rsidRPr="00BA4F0F">
        <w:rPr>
          <w:rFonts w:cs="Times New Roman"/>
          <w:szCs w:val="24"/>
        </w:rPr>
        <w:fldChar w:fldCharType="begin" w:fldLock="1"/>
      </w:r>
      <w:r w:rsidR="004810E5">
        <w:rPr>
          <w:rFonts w:cs="Times New Roman"/>
          <w:szCs w:val="24"/>
        </w:rPr>
        <w:instrText>ADDIN CSL_CITATION {"citationItems":[{"id":"ITEM-1","itemData":{"DOI":"http://dx.doi.org/10.18821/0234-5730-2017-62-4-180-187","author":[{"dropping-particle":"","family":"Бабенецкая Д.В., Моторин Д.В., Петров А.В., Алексеева Ю.А.","given":"Зарицкий А.Ю.","non-dropping-particle":"","parse-names":false,"suffix":""}],"container-title":"Гематология и трансфузиология.","id":"ITEM-1","issue":"62(4)","issued":{"date-parts":[["2017"]]},"page":"180-187.","title":"Мобилизация гемопоэтических стволовых клеток препаратами циклофосфамид и цитарабин в сочетании с колониестимулирующим фактором у больных множественной миеломой, кандидатов для проведения трансплантации аутологичных гемопоэтических стволовых клеток","type":"article-journal"},"uris":["http://www.mendeley.com/documents/?uuid=ac290ab9-3704-3deb-9ee1-a77054689a23","http://www.mendeley.com/documents/?uuid=18434bdd-f835-497e-85ae-9a174b52514e"]}],"mendeley":{"formattedCitation":"[179]","plainTextFormattedCitation":"[179]","previouslyFormattedCitation":"[179]"},"properties":{"noteIndex":0},"schema":"https://github.com/citation-style-language/schema/raw/master/csl-citation.json"}</w:instrText>
      </w:r>
      <w:r w:rsidRPr="00BA4F0F">
        <w:rPr>
          <w:rFonts w:cs="Times New Roman"/>
          <w:szCs w:val="24"/>
        </w:rPr>
        <w:fldChar w:fldCharType="separate"/>
      </w:r>
      <w:r w:rsidR="004810E5" w:rsidRPr="004810E5">
        <w:rPr>
          <w:rFonts w:cs="Times New Roman"/>
          <w:noProof/>
          <w:szCs w:val="24"/>
        </w:rPr>
        <w:t>[179]</w:t>
      </w:r>
      <w:r w:rsidRPr="00BA4F0F">
        <w:rPr>
          <w:rFonts w:cs="Times New Roman"/>
          <w:szCs w:val="24"/>
        </w:rPr>
        <w:fldChar w:fldCharType="end"/>
      </w:r>
      <w:r w:rsidRPr="00BA4F0F">
        <w:rPr>
          <w:rFonts w:cs="Times New Roman"/>
          <w:szCs w:val="24"/>
        </w:rPr>
        <w:t xml:space="preserve">. При агрессивных лимфопролиферативных заболеваниях мобилизация клеток осуществляется после блоков ЛБ-М-04, </w:t>
      </w:r>
      <w:r w:rsidRPr="00BA4F0F">
        <w:rPr>
          <w:rFonts w:cs="Times New Roman"/>
          <w:szCs w:val="24"/>
          <w:lang w:val="en-US"/>
        </w:rPr>
        <w:t>DA</w:t>
      </w:r>
      <w:r w:rsidRPr="00BA4F0F">
        <w:rPr>
          <w:rFonts w:cs="Times New Roman"/>
          <w:szCs w:val="24"/>
        </w:rPr>
        <w:t>-</w:t>
      </w:r>
      <w:r w:rsidRPr="00BA4F0F">
        <w:rPr>
          <w:rFonts w:cs="Times New Roman"/>
          <w:szCs w:val="24"/>
          <w:lang w:val="en-US"/>
        </w:rPr>
        <w:t>R</w:t>
      </w:r>
      <w:r w:rsidRPr="00BA4F0F">
        <w:rPr>
          <w:rFonts w:cs="Times New Roman"/>
          <w:szCs w:val="24"/>
        </w:rPr>
        <w:t>-</w:t>
      </w:r>
      <w:r w:rsidRPr="00BA4F0F">
        <w:rPr>
          <w:rFonts w:cs="Times New Roman"/>
          <w:szCs w:val="24"/>
          <w:lang w:val="en-US"/>
        </w:rPr>
        <w:t>EPOCH</w:t>
      </w:r>
      <w:r w:rsidRPr="00BA4F0F">
        <w:rPr>
          <w:rFonts w:cs="Times New Roman"/>
          <w:szCs w:val="24"/>
        </w:rPr>
        <w:t xml:space="preserve">, </w:t>
      </w:r>
      <w:r w:rsidRPr="00BA4F0F">
        <w:rPr>
          <w:rFonts w:cs="Times New Roman"/>
          <w:szCs w:val="24"/>
          <w:lang w:val="en-US"/>
        </w:rPr>
        <w:t>ESGAP</w:t>
      </w:r>
      <w:r w:rsidRPr="00BA4F0F">
        <w:rPr>
          <w:rFonts w:cs="Times New Roman"/>
          <w:szCs w:val="24"/>
        </w:rPr>
        <w:t xml:space="preserve">, </w:t>
      </w:r>
      <w:r w:rsidRPr="00BA4F0F">
        <w:rPr>
          <w:rFonts w:cs="Times New Roman"/>
          <w:szCs w:val="24"/>
          <w:lang w:val="en-US"/>
        </w:rPr>
        <w:t>IGEV</w:t>
      </w:r>
      <w:r w:rsidRPr="00BA4F0F">
        <w:rPr>
          <w:rFonts w:cs="Times New Roman"/>
          <w:szCs w:val="24"/>
        </w:rPr>
        <w:t xml:space="preserve">, </w:t>
      </w:r>
      <w:r w:rsidRPr="00BA4F0F">
        <w:rPr>
          <w:rFonts w:cs="Times New Roman"/>
          <w:szCs w:val="24"/>
          <w:lang w:val="en-US"/>
        </w:rPr>
        <w:t>NHL</w:t>
      </w:r>
      <w:r w:rsidRPr="00BA4F0F">
        <w:rPr>
          <w:rFonts w:cs="Times New Roman"/>
          <w:szCs w:val="24"/>
        </w:rPr>
        <w:t>-</w:t>
      </w:r>
      <w:r w:rsidRPr="00BA4F0F">
        <w:rPr>
          <w:rFonts w:cs="Times New Roman"/>
          <w:szCs w:val="24"/>
          <w:lang w:val="en-US"/>
        </w:rPr>
        <w:t>BFM</w:t>
      </w:r>
      <w:r w:rsidRPr="00BA4F0F">
        <w:rPr>
          <w:rFonts w:cs="Times New Roman"/>
          <w:szCs w:val="24"/>
        </w:rPr>
        <w:t xml:space="preserve">-90, </w:t>
      </w:r>
      <w:r w:rsidRPr="00BA4F0F">
        <w:rPr>
          <w:rFonts w:cs="Times New Roman"/>
          <w:szCs w:val="24"/>
          <w:lang w:val="en-US"/>
        </w:rPr>
        <w:t>SMILE</w:t>
      </w:r>
      <w:r w:rsidRPr="00BA4F0F">
        <w:rPr>
          <w:rFonts w:cs="Times New Roman"/>
          <w:szCs w:val="24"/>
        </w:rPr>
        <w:t xml:space="preserve">, </w:t>
      </w:r>
      <w:r w:rsidRPr="00BA4F0F">
        <w:rPr>
          <w:rFonts w:cs="Times New Roman"/>
          <w:szCs w:val="24"/>
          <w:lang w:val="en-US"/>
        </w:rPr>
        <w:t>TL</w:t>
      </w:r>
      <w:r w:rsidRPr="00BA4F0F">
        <w:rPr>
          <w:rFonts w:cs="Times New Roman"/>
          <w:szCs w:val="24"/>
        </w:rPr>
        <w:t>-</w:t>
      </w:r>
      <w:r w:rsidRPr="00BA4F0F">
        <w:rPr>
          <w:rFonts w:cs="Times New Roman"/>
          <w:szCs w:val="24"/>
          <w:lang w:val="en-US"/>
        </w:rPr>
        <w:t>REZ</w:t>
      </w:r>
      <w:r w:rsidRPr="00BA4F0F">
        <w:rPr>
          <w:rFonts w:cs="Times New Roman"/>
          <w:szCs w:val="24"/>
        </w:rPr>
        <w:t xml:space="preserve">-09, R-HМA, R-BAC, </w:t>
      </w:r>
      <w:r w:rsidRPr="00BA4F0F">
        <w:rPr>
          <w:rFonts w:cs="Times New Roman"/>
          <w:szCs w:val="24"/>
          <w:lang w:val="en-US"/>
        </w:rPr>
        <w:t>DHAP</w:t>
      </w:r>
      <w:r w:rsidRPr="00BA4F0F">
        <w:rPr>
          <w:rFonts w:cs="Times New Roman"/>
          <w:szCs w:val="24"/>
        </w:rPr>
        <w:t xml:space="preserve">, </w:t>
      </w:r>
      <w:r w:rsidRPr="00BA4F0F">
        <w:rPr>
          <w:rFonts w:cs="Times New Roman"/>
          <w:szCs w:val="24"/>
          <w:lang w:val="en-US"/>
        </w:rPr>
        <w:t>R</w:t>
      </w:r>
      <w:r w:rsidRPr="00BA4F0F">
        <w:rPr>
          <w:rFonts w:cs="Times New Roman"/>
          <w:szCs w:val="24"/>
        </w:rPr>
        <w:t>-</w:t>
      </w:r>
      <w:r w:rsidRPr="00BA4F0F">
        <w:rPr>
          <w:rFonts w:cs="Times New Roman"/>
          <w:szCs w:val="24"/>
          <w:lang w:val="en-US"/>
        </w:rPr>
        <w:t>ICE</w:t>
      </w:r>
      <w:r w:rsidRPr="00BA4F0F">
        <w:rPr>
          <w:rFonts w:cs="Times New Roman"/>
          <w:szCs w:val="24"/>
        </w:rPr>
        <w:t xml:space="preserve"> (приложение 1).</w:t>
      </w:r>
    </w:p>
    <w:p w14:paraId="309C4159" w14:textId="77777777" w:rsidR="0075793D" w:rsidRPr="00BA4F0F" w:rsidRDefault="0075793D" w:rsidP="0075793D">
      <w:pPr>
        <w:rPr>
          <w:rFonts w:cs="Times New Roman"/>
          <w:szCs w:val="24"/>
        </w:rPr>
      </w:pPr>
      <w:r w:rsidRPr="00BA4F0F">
        <w:rPr>
          <w:rFonts w:cs="Times New Roman"/>
          <w:szCs w:val="24"/>
        </w:rPr>
        <w:t xml:space="preserve">При </w:t>
      </w:r>
      <w:r w:rsidRPr="00BA4F0F">
        <w:rPr>
          <w:rFonts w:cs="Times New Roman"/>
          <w:szCs w:val="24"/>
          <w:lang w:val="en-US"/>
        </w:rPr>
        <w:t>Ph</w:t>
      </w:r>
      <w:r w:rsidRPr="00BA4F0F">
        <w:rPr>
          <w:rFonts w:cs="Times New Roman"/>
          <w:szCs w:val="24"/>
        </w:rPr>
        <w:t>-позитивных острых лимфобластных лейкозах проведение мобилизации ГСК возможно после подтверждения полной молекулярной ремиссии, при остром промиелоцитарном лейкозе – при подтверждении второй полной молекулярной ремиссии на терапии по протоколу «Риск-адаптированная программа терапии больных ОПЛ (</w:t>
      </w:r>
      <w:r w:rsidRPr="00BA4F0F">
        <w:rPr>
          <w:rFonts w:cs="Times New Roman"/>
          <w:szCs w:val="24"/>
          <w:lang w:val="en-US"/>
        </w:rPr>
        <w:t>ATRA</w:t>
      </w:r>
      <w:r w:rsidRPr="00BA4F0F">
        <w:rPr>
          <w:rFonts w:cs="Times New Roman"/>
          <w:szCs w:val="24"/>
        </w:rPr>
        <w:t>-</w:t>
      </w:r>
      <w:r w:rsidRPr="00BA4F0F">
        <w:rPr>
          <w:rFonts w:cs="Times New Roman"/>
          <w:szCs w:val="24"/>
          <w:lang w:val="en-US"/>
        </w:rPr>
        <w:t>ATO</w:t>
      </w:r>
      <w:r w:rsidRPr="00BA4F0F">
        <w:rPr>
          <w:rFonts w:cs="Times New Roman"/>
          <w:szCs w:val="24"/>
        </w:rPr>
        <w:t>-</w:t>
      </w:r>
      <w:r w:rsidRPr="00BA4F0F">
        <w:rPr>
          <w:rFonts w:cs="Times New Roman"/>
          <w:szCs w:val="24"/>
          <w:lang w:val="en-US"/>
        </w:rPr>
        <w:t>CT</w:t>
      </w:r>
      <w:r w:rsidRPr="00BA4F0F">
        <w:rPr>
          <w:rFonts w:cs="Times New Roman"/>
          <w:szCs w:val="24"/>
        </w:rPr>
        <w:t xml:space="preserve">) с обязательным молекулярным мониторингом», при ОМЛ (благоприятный и промежуточный риск) в случае достижения МРБ негативной ремиссии в возрасте до 40 лет рассматривается вопрос о выполнении мобилизации с последующей ауто-ТГСК. </w:t>
      </w:r>
    </w:p>
    <w:p w14:paraId="7583C18E" w14:textId="77777777" w:rsidR="0075793D" w:rsidRPr="00BA4F0F" w:rsidRDefault="0075793D" w:rsidP="0075793D">
      <w:pPr>
        <w:rPr>
          <w:rFonts w:cs="Times New Roman"/>
          <w:szCs w:val="24"/>
        </w:rPr>
      </w:pPr>
      <w:r w:rsidRPr="00BA4F0F">
        <w:rPr>
          <w:rFonts w:cs="Times New Roman"/>
          <w:szCs w:val="24"/>
        </w:rPr>
        <w:t>Если период МТА осложнился тяжелым инфекционным процессом и к моменту сбора ГСК сохраняются осложнения, угрожающие жизни, от лейкафереза следует воздержаться. Если состояние стабилизировано, мобилизация и сбор ГСК продолжаются.</w:t>
      </w:r>
    </w:p>
    <w:p w14:paraId="5AA556B3" w14:textId="55CE2649" w:rsidR="0075793D" w:rsidRPr="00BA4F0F" w:rsidRDefault="0075793D" w:rsidP="0075793D">
      <w:pPr>
        <w:rPr>
          <w:rFonts w:cs="Times New Roman"/>
          <w:szCs w:val="24"/>
        </w:rPr>
      </w:pPr>
      <w:r w:rsidRPr="00BA4F0F">
        <w:rPr>
          <w:rFonts w:cs="Times New Roman"/>
          <w:szCs w:val="24"/>
        </w:rPr>
        <w:t>При ММ циклофосфамид применяется как в качестве противоопухолевого средства, так и для усиления эффекта мобилизации ГСК. Применяются высокие дозы циклофосфана (6-7 г/м</w:t>
      </w:r>
      <w:r w:rsidRPr="00BA4F0F">
        <w:rPr>
          <w:rFonts w:cs="Times New Roman"/>
          <w:szCs w:val="24"/>
          <w:vertAlign w:val="superscript"/>
        </w:rPr>
        <w:t>2</w:t>
      </w:r>
      <w:r w:rsidRPr="00BA4F0F">
        <w:rPr>
          <w:rFonts w:cs="Times New Roman"/>
          <w:szCs w:val="24"/>
        </w:rPr>
        <w:t>), промежуточные (3-4 г/м</w:t>
      </w:r>
      <w:r w:rsidRPr="00BA4F0F">
        <w:rPr>
          <w:rFonts w:cs="Times New Roman"/>
          <w:szCs w:val="24"/>
          <w:vertAlign w:val="superscript"/>
        </w:rPr>
        <w:t>2</w:t>
      </w:r>
      <w:r w:rsidRPr="00BA4F0F">
        <w:rPr>
          <w:rFonts w:cs="Times New Roman"/>
          <w:szCs w:val="24"/>
        </w:rPr>
        <w:t>), и низкие (1,2-2 г/м</w:t>
      </w:r>
      <w:r w:rsidRPr="00BA4F0F">
        <w:rPr>
          <w:rFonts w:cs="Times New Roman"/>
          <w:szCs w:val="24"/>
          <w:vertAlign w:val="superscript"/>
        </w:rPr>
        <w:t>2</w:t>
      </w:r>
      <w:r w:rsidRPr="00BA4F0F">
        <w:rPr>
          <w:rFonts w:cs="Times New Roman"/>
          <w:szCs w:val="24"/>
        </w:rPr>
        <w:t>). По данным ретроспективного исследования, сравнивающего эффективность и переносимость высоких и промежуточных доз циклофосфана, оказалось, что доза 4 г/м</w:t>
      </w:r>
      <w:r w:rsidRPr="00BA4F0F">
        <w:rPr>
          <w:rFonts w:cs="Times New Roman"/>
          <w:szCs w:val="24"/>
          <w:vertAlign w:val="superscript"/>
        </w:rPr>
        <w:t>2</w:t>
      </w:r>
      <w:r w:rsidRPr="00BA4F0F">
        <w:rPr>
          <w:rFonts w:cs="Times New Roman"/>
          <w:szCs w:val="24"/>
        </w:rPr>
        <w:t xml:space="preserve"> является оптимальной. При использовании данной дозы удавалось собрать необходимое для двух трансплантаций количество </w:t>
      </w:r>
      <w:r w:rsidRPr="00BA4F0F">
        <w:rPr>
          <w:rFonts w:cs="Times New Roman"/>
          <w:szCs w:val="24"/>
          <w:lang w:val="en-US"/>
        </w:rPr>
        <w:t>CD</w:t>
      </w:r>
      <w:r w:rsidRPr="00BA4F0F">
        <w:rPr>
          <w:rFonts w:cs="Times New Roman"/>
          <w:szCs w:val="24"/>
        </w:rPr>
        <w:t>34+ клеток, при этом тромбоцитопения была кратковременной, что способствовало меньшей потребности в заместительно</w:t>
      </w:r>
      <w:r w:rsidRPr="00BA4F0F">
        <w:rPr>
          <w:rFonts w:cs="Times New Roman"/>
          <w:szCs w:val="24"/>
        </w:rPr>
        <w:tab/>
        <w:t xml:space="preserve">й трансфузионной терапии, по сравнению с применением высоких доз циклофосфана </w:t>
      </w:r>
      <w:r w:rsidRPr="00BA4F0F">
        <w:rPr>
          <w:rFonts w:cs="Times New Roman"/>
          <w:szCs w:val="24"/>
        </w:rPr>
        <w:fldChar w:fldCharType="begin" w:fldLock="1"/>
      </w:r>
      <w:r w:rsidR="004810E5">
        <w:rPr>
          <w:rFonts w:cs="Times New Roman"/>
          <w:szCs w:val="24"/>
        </w:rPr>
        <w:instrText>ADDIN CSL_CITATION {"citationItems":[{"id":"ITEM-1","itemData":{"author":[{"dropping-particle":"","family":"Покровская","given":"О.С.","non-dropping-particle":"","parse-names":false,"suffix":""}],"id":"ITEM-1","issued":{"date-parts":[["2011"]]},"number-of-pages":"29","title":"Кроветворная ткань и стромальное микроокружение в процессе интенсивной терапии и мобилизации гемопоэтических стволовых клеток у больных множественной миеломой: Автореф. дис.канд.мед.наук.","type":"book","volume":"153"},"uris":["http://www.mendeley.com/documents/?uuid=31091715-13d1-4b36-acd3-bca783c58345","http://www.mendeley.com/documents/?uuid=a016ab64-5d26-4905-b085-fc6d0ca143d0","http://www.mendeley.com/documents/?uuid=6158326c-b49e-4b3d-9638-c661a40fa88b","http://www.mendeley.com/documents/?uuid=4a2a3881-134d-4851-9770-aa58ad4c9728","http://www.mendeley.com/documents/?uuid=179afc56-227d-482c-af90-308ef68f889a","http://www.mendeley.com/documents/?uuid=171c99f1-9907-4fc7-9260-90f70ac873fa","http://www.mendeley.com/documents/?uuid=df9a843f-a2d8-42ee-9e40-dfba104520d3"]}],"mendeley":{"formattedCitation":"[180]","plainTextFormattedCitation":"[180]","previouslyFormattedCitation":"[180]"},"properties":{"noteIndex":0},"schema":"https://github.com/citation-style-language/schema/raw/master/csl-citation.json"}</w:instrText>
      </w:r>
      <w:r w:rsidRPr="00BA4F0F">
        <w:rPr>
          <w:rFonts w:cs="Times New Roman"/>
          <w:szCs w:val="24"/>
        </w:rPr>
        <w:fldChar w:fldCharType="separate"/>
      </w:r>
      <w:r w:rsidR="004810E5" w:rsidRPr="004810E5">
        <w:rPr>
          <w:rFonts w:cs="Times New Roman"/>
          <w:noProof/>
          <w:szCs w:val="24"/>
        </w:rPr>
        <w:t>[180]</w:t>
      </w:r>
      <w:r w:rsidRPr="00BA4F0F">
        <w:rPr>
          <w:rFonts w:cs="Times New Roman"/>
          <w:szCs w:val="24"/>
        </w:rPr>
        <w:fldChar w:fldCharType="end"/>
      </w:r>
      <w:r w:rsidRPr="00BA4F0F">
        <w:rPr>
          <w:rFonts w:cs="Times New Roman"/>
          <w:szCs w:val="24"/>
        </w:rPr>
        <w:t xml:space="preserve">. </w:t>
      </w:r>
    </w:p>
    <w:p w14:paraId="13FC0372" w14:textId="77777777" w:rsidR="0075793D" w:rsidRPr="00BA4F0F" w:rsidRDefault="0075793D" w:rsidP="0075793D">
      <w:pPr>
        <w:rPr>
          <w:rFonts w:cs="Times New Roman"/>
          <w:szCs w:val="24"/>
        </w:rPr>
      </w:pPr>
      <w:r w:rsidRPr="00BA4F0F">
        <w:rPr>
          <w:rFonts w:cs="Times New Roman"/>
          <w:szCs w:val="24"/>
        </w:rPr>
        <w:t>Стандартная схема мобилизации ГСК при ММ, применяемая в настоящее время: циклофосфан 4 г/м</w:t>
      </w:r>
      <w:r w:rsidRPr="00BA4F0F">
        <w:rPr>
          <w:rFonts w:cs="Times New Roman"/>
          <w:szCs w:val="24"/>
          <w:vertAlign w:val="superscript"/>
        </w:rPr>
        <w:t>2</w:t>
      </w:r>
      <w:r w:rsidRPr="00BA4F0F">
        <w:rPr>
          <w:rFonts w:cs="Times New Roman"/>
          <w:szCs w:val="24"/>
        </w:rPr>
        <w:t xml:space="preserve"> + Г-КСФ в дозе 5 мкг/кг/сут (табл. 2).</w:t>
      </w:r>
    </w:p>
    <w:p w14:paraId="461CEDE7" w14:textId="77777777" w:rsidR="0075793D" w:rsidRPr="00BA4F0F" w:rsidRDefault="0075793D" w:rsidP="0075793D">
      <w:pPr>
        <w:rPr>
          <w:rFonts w:cs="Times New Roman"/>
          <w:szCs w:val="24"/>
        </w:rPr>
      </w:pPr>
      <w:r w:rsidRPr="00BA4F0F">
        <w:rPr>
          <w:rFonts w:cs="Times New Roman"/>
          <w:szCs w:val="24"/>
        </w:rPr>
        <w:t>Ориентировочно через 7 дней после введения химиопрепарата отмечается развитие МТА, что является показанием для назначения Г-КСФ в дозе 5 мкг/кг/сут. В случае если МТА не развивается, доза Г-КСФ увеличивается до 10 мкг/кг/сут. На 6-8 день введения Г-КСФ начинаются процедуры лейкафереза. Медиана даты первого сбора ГСК – 15 день после введения циклофосфамида.</w:t>
      </w:r>
    </w:p>
    <w:p w14:paraId="5EDF8751" w14:textId="77777777" w:rsidR="0075793D" w:rsidRPr="00BA4F0F" w:rsidRDefault="0075793D" w:rsidP="0075793D">
      <w:pPr>
        <w:rPr>
          <w:rFonts w:cs="Times New Roman"/>
          <w:szCs w:val="24"/>
        </w:rPr>
      </w:pPr>
    </w:p>
    <w:p w14:paraId="40570472" w14:textId="77777777" w:rsidR="0075793D" w:rsidRPr="00BA4F0F" w:rsidRDefault="0075793D" w:rsidP="0075793D">
      <w:pPr>
        <w:rPr>
          <w:rFonts w:cs="Times New Roman"/>
          <w:bCs/>
          <w:szCs w:val="24"/>
        </w:rPr>
      </w:pPr>
      <w:r w:rsidRPr="00BA4F0F">
        <w:rPr>
          <w:rFonts w:cs="Times New Roman"/>
          <w:bCs/>
          <w:szCs w:val="24"/>
        </w:rPr>
        <w:t>Таблица 2. Высокодозный циклофосфамид 4 г/м</w:t>
      </w:r>
      <w:r w:rsidRPr="00BA4F0F">
        <w:rPr>
          <w:rFonts w:cs="Times New Roman"/>
          <w:bCs/>
          <w:szCs w:val="24"/>
          <w:vertAlign w:val="superscript"/>
        </w:rPr>
        <w:t xml:space="preserve">2 </w:t>
      </w:r>
      <w:r w:rsidRPr="00BA4F0F">
        <w:rPr>
          <w:rFonts w:cs="Times New Roman"/>
          <w:bCs/>
          <w:szCs w:val="24"/>
        </w:rPr>
        <w:t>+ Г-КСФ 5 мкг/кг с сопроводительной терапией.</w:t>
      </w:r>
    </w:p>
    <w:tbl>
      <w:tblPr>
        <w:tblStyle w:val="aff9"/>
        <w:tblW w:w="0" w:type="auto"/>
        <w:tblLook w:val="04A0" w:firstRow="1" w:lastRow="0" w:firstColumn="1" w:lastColumn="0" w:noHBand="0" w:noVBand="1"/>
      </w:tblPr>
      <w:tblGrid>
        <w:gridCol w:w="2911"/>
        <w:gridCol w:w="3568"/>
        <w:gridCol w:w="2867"/>
      </w:tblGrid>
      <w:tr w:rsidR="0075793D" w:rsidRPr="00BA4F0F" w14:paraId="642A8265" w14:textId="77777777" w:rsidTr="002D3EBF">
        <w:tc>
          <w:tcPr>
            <w:tcW w:w="2943" w:type="dxa"/>
          </w:tcPr>
          <w:p w14:paraId="655250F8" w14:textId="77777777" w:rsidR="0075793D" w:rsidRPr="00BA4F0F" w:rsidRDefault="0075793D" w:rsidP="007A7C4E">
            <w:pPr>
              <w:spacing w:line="240" w:lineRule="auto"/>
              <w:ind w:firstLine="0"/>
              <w:rPr>
                <w:rFonts w:cs="Times New Roman"/>
                <w:b/>
                <w:szCs w:val="24"/>
              </w:rPr>
            </w:pPr>
            <w:r w:rsidRPr="00BA4F0F">
              <w:rPr>
                <w:rFonts w:cs="Times New Roman"/>
                <w:b/>
                <w:szCs w:val="24"/>
              </w:rPr>
              <w:t xml:space="preserve">Препарат </w:t>
            </w:r>
          </w:p>
        </w:tc>
        <w:tc>
          <w:tcPr>
            <w:tcW w:w="3686" w:type="dxa"/>
          </w:tcPr>
          <w:p w14:paraId="21F925D8" w14:textId="77777777" w:rsidR="0075793D" w:rsidRPr="00BA4F0F" w:rsidRDefault="0075793D" w:rsidP="007A7C4E">
            <w:pPr>
              <w:spacing w:line="240" w:lineRule="auto"/>
              <w:ind w:firstLine="0"/>
              <w:rPr>
                <w:rFonts w:cs="Times New Roman"/>
                <w:b/>
                <w:szCs w:val="24"/>
              </w:rPr>
            </w:pPr>
            <w:r w:rsidRPr="00BA4F0F">
              <w:rPr>
                <w:rFonts w:cs="Times New Roman"/>
                <w:b/>
                <w:szCs w:val="24"/>
              </w:rPr>
              <w:t>Дозировка, путь введения</w:t>
            </w:r>
          </w:p>
        </w:tc>
        <w:tc>
          <w:tcPr>
            <w:tcW w:w="2942" w:type="dxa"/>
          </w:tcPr>
          <w:p w14:paraId="6E2D8A96" w14:textId="77777777" w:rsidR="0075793D" w:rsidRPr="00BA4F0F" w:rsidRDefault="0075793D" w:rsidP="007A7C4E">
            <w:pPr>
              <w:spacing w:line="240" w:lineRule="auto"/>
              <w:ind w:firstLine="0"/>
              <w:rPr>
                <w:rFonts w:cs="Times New Roman"/>
                <w:b/>
                <w:szCs w:val="24"/>
              </w:rPr>
            </w:pPr>
            <w:r w:rsidRPr="00BA4F0F">
              <w:rPr>
                <w:rFonts w:cs="Times New Roman"/>
                <w:b/>
                <w:szCs w:val="24"/>
              </w:rPr>
              <w:t>День введения</w:t>
            </w:r>
          </w:p>
        </w:tc>
      </w:tr>
      <w:tr w:rsidR="0075793D" w:rsidRPr="00BA4F0F" w14:paraId="0E8163E9" w14:textId="77777777" w:rsidTr="002D3EBF">
        <w:tc>
          <w:tcPr>
            <w:tcW w:w="2943" w:type="dxa"/>
          </w:tcPr>
          <w:p w14:paraId="4DD937BB" w14:textId="77777777" w:rsidR="0075793D" w:rsidRPr="00BA4F0F" w:rsidRDefault="0075793D" w:rsidP="007A7C4E">
            <w:pPr>
              <w:spacing w:line="240" w:lineRule="auto"/>
              <w:ind w:firstLine="0"/>
              <w:rPr>
                <w:rFonts w:cs="Times New Roman"/>
                <w:szCs w:val="24"/>
              </w:rPr>
            </w:pPr>
            <w:r w:rsidRPr="00BA4F0F">
              <w:rPr>
                <w:rFonts w:cs="Times New Roman"/>
                <w:szCs w:val="24"/>
              </w:rPr>
              <w:t>Внутривенные инфузии:</w:t>
            </w:r>
          </w:p>
        </w:tc>
        <w:tc>
          <w:tcPr>
            <w:tcW w:w="6628" w:type="dxa"/>
            <w:gridSpan w:val="2"/>
          </w:tcPr>
          <w:p w14:paraId="213BCF03" w14:textId="77777777" w:rsidR="0075793D" w:rsidRPr="00BA4F0F" w:rsidRDefault="0075793D" w:rsidP="007A7C4E">
            <w:pPr>
              <w:spacing w:line="240" w:lineRule="auto"/>
              <w:ind w:firstLine="0"/>
              <w:rPr>
                <w:rFonts w:cs="Times New Roman"/>
                <w:szCs w:val="24"/>
              </w:rPr>
            </w:pPr>
          </w:p>
        </w:tc>
      </w:tr>
      <w:tr w:rsidR="0075793D" w:rsidRPr="00BA4F0F" w14:paraId="284BDE00" w14:textId="77777777" w:rsidTr="002D3EBF">
        <w:tc>
          <w:tcPr>
            <w:tcW w:w="2943" w:type="dxa"/>
          </w:tcPr>
          <w:p w14:paraId="14E28F81" w14:textId="77777777" w:rsidR="0075793D" w:rsidRPr="00BA4F0F" w:rsidRDefault="0075793D" w:rsidP="007A7C4E">
            <w:pPr>
              <w:spacing w:line="240" w:lineRule="auto"/>
              <w:ind w:firstLine="0"/>
              <w:rPr>
                <w:rFonts w:cs="Times New Roman"/>
                <w:szCs w:val="24"/>
              </w:rPr>
            </w:pPr>
            <w:r w:rsidRPr="00BA4F0F">
              <w:rPr>
                <w:rFonts w:cs="Times New Roman"/>
                <w:szCs w:val="24"/>
              </w:rPr>
              <w:t>Циклофосфамид</w:t>
            </w:r>
          </w:p>
        </w:tc>
        <w:tc>
          <w:tcPr>
            <w:tcW w:w="3686" w:type="dxa"/>
          </w:tcPr>
          <w:p w14:paraId="52A801A2" w14:textId="77777777" w:rsidR="0075793D" w:rsidRPr="00BA4F0F" w:rsidRDefault="0075793D" w:rsidP="007A7C4E">
            <w:pPr>
              <w:spacing w:line="240" w:lineRule="auto"/>
              <w:ind w:firstLine="0"/>
              <w:rPr>
                <w:rFonts w:cs="Times New Roman"/>
                <w:szCs w:val="24"/>
              </w:rPr>
            </w:pPr>
            <w:r w:rsidRPr="00BA4F0F">
              <w:rPr>
                <w:rFonts w:cs="Times New Roman"/>
                <w:szCs w:val="24"/>
              </w:rPr>
              <w:t>4 г/м</w:t>
            </w:r>
            <w:r w:rsidRPr="00BA4F0F">
              <w:rPr>
                <w:rFonts w:cs="Times New Roman"/>
                <w:szCs w:val="24"/>
                <w:vertAlign w:val="superscript"/>
              </w:rPr>
              <w:t>2</w:t>
            </w:r>
            <w:r w:rsidRPr="00BA4F0F">
              <w:rPr>
                <w:rFonts w:cs="Times New Roman"/>
                <w:szCs w:val="24"/>
              </w:rPr>
              <w:t xml:space="preserve"> в/в капельно 5 раз в сутки (по 0,8 г/м</w:t>
            </w:r>
            <w:r w:rsidRPr="00BA4F0F">
              <w:rPr>
                <w:rFonts w:cs="Times New Roman"/>
                <w:szCs w:val="24"/>
                <w:vertAlign w:val="superscript"/>
              </w:rPr>
              <w:t>2</w:t>
            </w:r>
            <w:r w:rsidRPr="00BA4F0F">
              <w:rPr>
                <w:rFonts w:cs="Times New Roman"/>
                <w:szCs w:val="24"/>
              </w:rPr>
              <w:t>)</w:t>
            </w:r>
          </w:p>
        </w:tc>
        <w:tc>
          <w:tcPr>
            <w:tcW w:w="2942" w:type="dxa"/>
          </w:tcPr>
          <w:p w14:paraId="12537F6B" w14:textId="77777777" w:rsidR="0075793D" w:rsidRPr="00BA4F0F" w:rsidRDefault="0075793D" w:rsidP="007A7C4E">
            <w:pPr>
              <w:spacing w:line="240" w:lineRule="auto"/>
              <w:ind w:firstLine="0"/>
              <w:rPr>
                <w:rFonts w:cs="Times New Roman"/>
                <w:szCs w:val="24"/>
              </w:rPr>
            </w:pPr>
            <w:r w:rsidRPr="00BA4F0F">
              <w:rPr>
                <w:rFonts w:cs="Times New Roman"/>
                <w:szCs w:val="24"/>
              </w:rPr>
              <w:t>+1</w:t>
            </w:r>
          </w:p>
        </w:tc>
      </w:tr>
      <w:tr w:rsidR="0075793D" w:rsidRPr="00BA4F0F" w14:paraId="05735C39" w14:textId="77777777" w:rsidTr="002D3EBF">
        <w:tc>
          <w:tcPr>
            <w:tcW w:w="2943" w:type="dxa"/>
          </w:tcPr>
          <w:p w14:paraId="01906D56" w14:textId="77777777" w:rsidR="0075793D" w:rsidRPr="00BA4F0F" w:rsidRDefault="0075793D" w:rsidP="007A7C4E">
            <w:pPr>
              <w:spacing w:line="240" w:lineRule="auto"/>
              <w:ind w:firstLine="0"/>
              <w:rPr>
                <w:rFonts w:cs="Times New Roman"/>
                <w:szCs w:val="24"/>
              </w:rPr>
            </w:pPr>
            <w:r w:rsidRPr="00BA4F0F">
              <w:rPr>
                <w:rFonts w:cs="Times New Roman"/>
                <w:szCs w:val="24"/>
              </w:rPr>
              <w:t>Уромитексан</w:t>
            </w:r>
          </w:p>
        </w:tc>
        <w:tc>
          <w:tcPr>
            <w:tcW w:w="3686" w:type="dxa"/>
          </w:tcPr>
          <w:p w14:paraId="1CBF2CB9" w14:textId="77777777" w:rsidR="0075793D" w:rsidRPr="00BA4F0F" w:rsidRDefault="0075793D" w:rsidP="007A7C4E">
            <w:pPr>
              <w:spacing w:line="240" w:lineRule="auto"/>
              <w:ind w:firstLine="0"/>
              <w:rPr>
                <w:rFonts w:cs="Times New Roman"/>
                <w:szCs w:val="24"/>
              </w:rPr>
            </w:pPr>
            <w:r w:rsidRPr="00BA4F0F">
              <w:rPr>
                <w:rFonts w:cs="Times New Roman"/>
                <w:szCs w:val="24"/>
              </w:rPr>
              <w:t>2,4 мг/м</w:t>
            </w:r>
            <w:r w:rsidRPr="00BA4F0F">
              <w:rPr>
                <w:rFonts w:cs="Times New Roman"/>
                <w:szCs w:val="24"/>
                <w:vertAlign w:val="superscript"/>
              </w:rPr>
              <w:t>2</w:t>
            </w:r>
            <w:r w:rsidRPr="00BA4F0F">
              <w:rPr>
                <w:rFonts w:cs="Times New Roman"/>
                <w:szCs w:val="24"/>
              </w:rPr>
              <w:t xml:space="preserve"> в/в через инфузомат на 24 часа</w:t>
            </w:r>
          </w:p>
        </w:tc>
        <w:tc>
          <w:tcPr>
            <w:tcW w:w="2942" w:type="dxa"/>
          </w:tcPr>
          <w:p w14:paraId="6D237CB0" w14:textId="77777777" w:rsidR="0075793D" w:rsidRPr="00BA4F0F" w:rsidRDefault="0075793D" w:rsidP="007A7C4E">
            <w:pPr>
              <w:spacing w:line="240" w:lineRule="auto"/>
              <w:ind w:firstLine="0"/>
              <w:rPr>
                <w:rFonts w:cs="Times New Roman"/>
                <w:szCs w:val="24"/>
              </w:rPr>
            </w:pPr>
            <w:r w:rsidRPr="00BA4F0F">
              <w:rPr>
                <w:rFonts w:cs="Times New Roman"/>
                <w:szCs w:val="24"/>
              </w:rPr>
              <w:t>+1</w:t>
            </w:r>
          </w:p>
        </w:tc>
      </w:tr>
      <w:tr w:rsidR="0075793D" w:rsidRPr="00BA4F0F" w14:paraId="3F01C67B" w14:textId="77777777" w:rsidTr="002D3EBF">
        <w:tc>
          <w:tcPr>
            <w:tcW w:w="2943" w:type="dxa"/>
          </w:tcPr>
          <w:p w14:paraId="35A59E58" w14:textId="77777777" w:rsidR="0075793D" w:rsidRPr="00BA4F0F" w:rsidRDefault="0075793D" w:rsidP="007A7C4E">
            <w:pPr>
              <w:spacing w:line="240" w:lineRule="auto"/>
              <w:ind w:firstLine="0"/>
              <w:rPr>
                <w:rFonts w:cs="Times New Roman"/>
                <w:szCs w:val="24"/>
              </w:rPr>
            </w:pPr>
            <w:r w:rsidRPr="00BA4F0F">
              <w:rPr>
                <w:rFonts w:cs="Times New Roman"/>
                <w:szCs w:val="24"/>
              </w:rPr>
              <w:t xml:space="preserve">Солевые растворы </w:t>
            </w:r>
          </w:p>
        </w:tc>
        <w:tc>
          <w:tcPr>
            <w:tcW w:w="3686" w:type="dxa"/>
          </w:tcPr>
          <w:p w14:paraId="2DB8732E" w14:textId="77777777" w:rsidR="0075793D" w:rsidRPr="00BA4F0F" w:rsidRDefault="0075793D" w:rsidP="007A7C4E">
            <w:pPr>
              <w:spacing w:line="240" w:lineRule="auto"/>
              <w:ind w:firstLine="0"/>
              <w:rPr>
                <w:rFonts w:cs="Times New Roman"/>
                <w:szCs w:val="24"/>
              </w:rPr>
            </w:pPr>
            <w:r w:rsidRPr="00BA4F0F">
              <w:rPr>
                <w:rFonts w:cs="Times New Roman"/>
                <w:szCs w:val="24"/>
              </w:rPr>
              <w:t>3л/м</w:t>
            </w:r>
            <w:r w:rsidRPr="00BA4F0F">
              <w:rPr>
                <w:rFonts w:cs="Times New Roman"/>
                <w:szCs w:val="24"/>
                <w:vertAlign w:val="superscript"/>
              </w:rPr>
              <w:t xml:space="preserve">2 </w:t>
            </w:r>
            <w:r w:rsidRPr="00BA4F0F">
              <w:rPr>
                <w:rFonts w:cs="Times New Roman"/>
                <w:szCs w:val="24"/>
              </w:rPr>
              <w:t>в/в капельно 4 раза в сутки</w:t>
            </w:r>
            <w:r w:rsidRPr="00BA4F0F">
              <w:rPr>
                <w:rFonts w:cs="Times New Roman"/>
                <w:szCs w:val="24"/>
                <w:vertAlign w:val="superscript"/>
              </w:rPr>
              <w:t>*</w:t>
            </w:r>
          </w:p>
        </w:tc>
        <w:tc>
          <w:tcPr>
            <w:tcW w:w="2942" w:type="dxa"/>
          </w:tcPr>
          <w:p w14:paraId="1827840E" w14:textId="77777777" w:rsidR="0075793D" w:rsidRPr="00BA4F0F" w:rsidRDefault="0075793D" w:rsidP="007A7C4E">
            <w:pPr>
              <w:spacing w:line="240" w:lineRule="auto"/>
              <w:ind w:firstLine="0"/>
              <w:rPr>
                <w:rFonts w:cs="Times New Roman"/>
                <w:szCs w:val="24"/>
              </w:rPr>
            </w:pPr>
            <w:r w:rsidRPr="00BA4F0F">
              <w:rPr>
                <w:rFonts w:cs="Times New Roman"/>
                <w:szCs w:val="24"/>
              </w:rPr>
              <w:t>+1 - +5 (далее по показаниям)</w:t>
            </w:r>
          </w:p>
        </w:tc>
      </w:tr>
      <w:tr w:rsidR="0075793D" w:rsidRPr="00BA4F0F" w14:paraId="44D3A013" w14:textId="77777777" w:rsidTr="002D3EBF">
        <w:tc>
          <w:tcPr>
            <w:tcW w:w="2943" w:type="dxa"/>
          </w:tcPr>
          <w:p w14:paraId="42283BC5" w14:textId="77777777" w:rsidR="0075793D" w:rsidRPr="00BA4F0F" w:rsidRDefault="0075793D" w:rsidP="007A7C4E">
            <w:pPr>
              <w:spacing w:line="240" w:lineRule="auto"/>
              <w:ind w:firstLine="0"/>
              <w:rPr>
                <w:rFonts w:cs="Times New Roman"/>
                <w:szCs w:val="24"/>
              </w:rPr>
            </w:pPr>
            <w:r w:rsidRPr="00BA4F0F">
              <w:rPr>
                <w:rFonts w:cs="Times New Roman"/>
                <w:szCs w:val="24"/>
              </w:rPr>
              <w:t>Противорвотные средства:</w:t>
            </w:r>
          </w:p>
          <w:p w14:paraId="1C89BB4D" w14:textId="77777777" w:rsidR="0075793D" w:rsidRPr="00BA4F0F" w:rsidRDefault="0075793D" w:rsidP="007A7C4E">
            <w:pPr>
              <w:spacing w:line="240" w:lineRule="auto"/>
              <w:ind w:firstLine="0"/>
              <w:rPr>
                <w:rFonts w:cs="Times New Roman"/>
                <w:szCs w:val="24"/>
              </w:rPr>
            </w:pPr>
            <w:r w:rsidRPr="00BA4F0F">
              <w:rPr>
                <w:rFonts w:cs="Times New Roman"/>
                <w:szCs w:val="24"/>
              </w:rPr>
              <w:t xml:space="preserve">ондансетрон </w:t>
            </w:r>
          </w:p>
        </w:tc>
        <w:tc>
          <w:tcPr>
            <w:tcW w:w="3686" w:type="dxa"/>
          </w:tcPr>
          <w:p w14:paraId="6AE33E6E" w14:textId="77777777" w:rsidR="0075793D" w:rsidRPr="00BA4F0F" w:rsidRDefault="0075793D" w:rsidP="007A7C4E">
            <w:pPr>
              <w:spacing w:line="240" w:lineRule="auto"/>
              <w:ind w:firstLine="0"/>
              <w:rPr>
                <w:rFonts w:cs="Times New Roman"/>
                <w:szCs w:val="24"/>
              </w:rPr>
            </w:pPr>
            <w:r w:rsidRPr="00BA4F0F">
              <w:rPr>
                <w:rFonts w:cs="Times New Roman"/>
                <w:szCs w:val="24"/>
              </w:rPr>
              <w:t xml:space="preserve">8 мг в/в капельно 3 раза в сутки </w:t>
            </w:r>
          </w:p>
        </w:tc>
        <w:tc>
          <w:tcPr>
            <w:tcW w:w="2942" w:type="dxa"/>
          </w:tcPr>
          <w:p w14:paraId="2ADEEA6A" w14:textId="77777777" w:rsidR="0075793D" w:rsidRPr="00BA4F0F" w:rsidRDefault="0075793D" w:rsidP="007A7C4E">
            <w:pPr>
              <w:spacing w:line="240" w:lineRule="auto"/>
              <w:ind w:firstLine="0"/>
              <w:rPr>
                <w:rFonts w:cs="Times New Roman"/>
                <w:szCs w:val="24"/>
              </w:rPr>
            </w:pPr>
            <w:r w:rsidRPr="00BA4F0F">
              <w:rPr>
                <w:rFonts w:cs="Times New Roman"/>
                <w:szCs w:val="24"/>
              </w:rPr>
              <w:t>-1 - +2 (далее по показаниям)</w:t>
            </w:r>
          </w:p>
        </w:tc>
      </w:tr>
      <w:tr w:rsidR="0075793D" w:rsidRPr="00BA4F0F" w14:paraId="5C94A348" w14:textId="77777777" w:rsidTr="002D3EBF">
        <w:tc>
          <w:tcPr>
            <w:tcW w:w="2943" w:type="dxa"/>
          </w:tcPr>
          <w:p w14:paraId="05B0E241" w14:textId="77777777" w:rsidR="0075793D" w:rsidRPr="00BA4F0F" w:rsidRDefault="0075793D" w:rsidP="007A7C4E">
            <w:pPr>
              <w:spacing w:line="240" w:lineRule="auto"/>
              <w:ind w:firstLine="0"/>
              <w:rPr>
                <w:rFonts w:cs="Times New Roman"/>
                <w:szCs w:val="24"/>
              </w:rPr>
            </w:pPr>
            <w:r w:rsidRPr="00BA4F0F">
              <w:rPr>
                <w:rFonts w:cs="Times New Roman"/>
                <w:szCs w:val="24"/>
              </w:rPr>
              <w:t>Гепарин</w:t>
            </w:r>
          </w:p>
        </w:tc>
        <w:tc>
          <w:tcPr>
            <w:tcW w:w="3686" w:type="dxa"/>
          </w:tcPr>
          <w:p w14:paraId="6DE499EC" w14:textId="77777777" w:rsidR="0075793D" w:rsidRPr="00BA4F0F" w:rsidRDefault="0075793D" w:rsidP="007A7C4E">
            <w:pPr>
              <w:spacing w:line="240" w:lineRule="auto"/>
              <w:ind w:firstLine="0"/>
              <w:rPr>
                <w:rFonts w:cs="Times New Roman"/>
                <w:szCs w:val="24"/>
              </w:rPr>
            </w:pPr>
            <w:r w:rsidRPr="00BA4F0F">
              <w:rPr>
                <w:rFonts w:cs="Times New Roman"/>
                <w:szCs w:val="24"/>
              </w:rPr>
              <w:t>12000 ЕД в/в через инфузомат на 24 часа</w:t>
            </w:r>
          </w:p>
        </w:tc>
        <w:tc>
          <w:tcPr>
            <w:tcW w:w="2942" w:type="dxa"/>
          </w:tcPr>
          <w:p w14:paraId="75F1E96B" w14:textId="77777777" w:rsidR="0075793D" w:rsidRPr="00BA4F0F" w:rsidRDefault="0075793D" w:rsidP="007A7C4E">
            <w:pPr>
              <w:spacing w:line="240" w:lineRule="auto"/>
              <w:ind w:firstLine="0"/>
              <w:rPr>
                <w:rFonts w:cs="Times New Roman"/>
                <w:szCs w:val="24"/>
              </w:rPr>
            </w:pPr>
            <w:r w:rsidRPr="00BA4F0F">
              <w:rPr>
                <w:rFonts w:cs="Times New Roman"/>
                <w:szCs w:val="24"/>
              </w:rPr>
              <w:t xml:space="preserve">-1 - +14 </w:t>
            </w:r>
          </w:p>
        </w:tc>
      </w:tr>
      <w:tr w:rsidR="0075793D" w:rsidRPr="00BA4F0F" w14:paraId="64733C47" w14:textId="77777777" w:rsidTr="002D3EBF">
        <w:tc>
          <w:tcPr>
            <w:tcW w:w="2943" w:type="dxa"/>
          </w:tcPr>
          <w:p w14:paraId="4D48F346" w14:textId="77777777" w:rsidR="0075793D" w:rsidRPr="00BA4F0F" w:rsidRDefault="0075793D" w:rsidP="007A7C4E">
            <w:pPr>
              <w:spacing w:line="240" w:lineRule="auto"/>
              <w:ind w:firstLine="0"/>
              <w:rPr>
                <w:rFonts w:cs="Times New Roman"/>
                <w:szCs w:val="24"/>
              </w:rPr>
            </w:pPr>
            <w:r w:rsidRPr="00BA4F0F">
              <w:rPr>
                <w:rFonts w:cs="Times New Roman"/>
                <w:szCs w:val="24"/>
              </w:rPr>
              <w:t>Допамин 4%</w:t>
            </w:r>
          </w:p>
        </w:tc>
        <w:tc>
          <w:tcPr>
            <w:tcW w:w="3686" w:type="dxa"/>
          </w:tcPr>
          <w:p w14:paraId="02A99069" w14:textId="77777777" w:rsidR="0075793D" w:rsidRPr="00BA4F0F" w:rsidRDefault="0075793D" w:rsidP="007A7C4E">
            <w:pPr>
              <w:spacing w:line="240" w:lineRule="auto"/>
              <w:ind w:firstLine="0"/>
              <w:rPr>
                <w:rFonts w:cs="Times New Roman"/>
                <w:szCs w:val="24"/>
              </w:rPr>
            </w:pPr>
            <w:r w:rsidRPr="00BA4F0F">
              <w:rPr>
                <w:rFonts w:cs="Times New Roman"/>
                <w:szCs w:val="24"/>
              </w:rPr>
              <w:t>0,5 мг в/в через инфузомат на 24 часа</w:t>
            </w:r>
          </w:p>
        </w:tc>
        <w:tc>
          <w:tcPr>
            <w:tcW w:w="2942" w:type="dxa"/>
          </w:tcPr>
          <w:p w14:paraId="3E15C6AA" w14:textId="77777777" w:rsidR="0075793D" w:rsidRPr="00BA4F0F" w:rsidRDefault="0075793D" w:rsidP="007A7C4E">
            <w:pPr>
              <w:spacing w:line="240" w:lineRule="auto"/>
              <w:ind w:firstLine="0"/>
              <w:rPr>
                <w:rFonts w:cs="Times New Roman"/>
                <w:szCs w:val="24"/>
              </w:rPr>
            </w:pPr>
            <w:r w:rsidRPr="00BA4F0F">
              <w:rPr>
                <w:rFonts w:cs="Times New Roman"/>
                <w:szCs w:val="24"/>
              </w:rPr>
              <w:t>-1 - +1</w:t>
            </w:r>
          </w:p>
        </w:tc>
      </w:tr>
      <w:tr w:rsidR="0075793D" w:rsidRPr="00BA4F0F" w14:paraId="7759DEA8" w14:textId="77777777" w:rsidTr="002D3EBF">
        <w:tc>
          <w:tcPr>
            <w:tcW w:w="2943" w:type="dxa"/>
          </w:tcPr>
          <w:p w14:paraId="33DC5C71" w14:textId="77777777" w:rsidR="0075793D" w:rsidRPr="00BA4F0F" w:rsidRDefault="0075793D" w:rsidP="007A7C4E">
            <w:pPr>
              <w:spacing w:line="240" w:lineRule="auto"/>
              <w:ind w:firstLine="0"/>
              <w:rPr>
                <w:rFonts w:cs="Times New Roman"/>
                <w:szCs w:val="24"/>
              </w:rPr>
            </w:pPr>
            <w:r w:rsidRPr="00BA4F0F">
              <w:rPr>
                <w:rFonts w:cs="Times New Roman"/>
                <w:szCs w:val="24"/>
              </w:rPr>
              <w:t>Фуросемид</w:t>
            </w:r>
          </w:p>
        </w:tc>
        <w:tc>
          <w:tcPr>
            <w:tcW w:w="3686" w:type="dxa"/>
          </w:tcPr>
          <w:p w14:paraId="27D31D10" w14:textId="77777777" w:rsidR="0075793D" w:rsidRPr="00BA4F0F" w:rsidRDefault="0075793D" w:rsidP="007A7C4E">
            <w:pPr>
              <w:spacing w:line="240" w:lineRule="auto"/>
              <w:ind w:firstLine="0"/>
              <w:rPr>
                <w:rFonts w:cs="Times New Roman"/>
                <w:szCs w:val="24"/>
              </w:rPr>
            </w:pPr>
            <w:r w:rsidRPr="00BA4F0F">
              <w:rPr>
                <w:rFonts w:cs="Times New Roman"/>
                <w:szCs w:val="24"/>
              </w:rPr>
              <w:t>20 мг в/в струйно 3 раза в сутки</w:t>
            </w:r>
          </w:p>
        </w:tc>
        <w:tc>
          <w:tcPr>
            <w:tcW w:w="2942" w:type="dxa"/>
          </w:tcPr>
          <w:p w14:paraId="690EC9A0" w14:textId="77777777" w:rsidR="0075793D" w:rsidRPr="00BA4F0F" w:rsidRDefault="0075793D" w:rsidP="007A7C4E">
            <w:pPr>
              <w:spacing w:line="240" w:lineRule="auto"/>
              <w:ind w:firstLine="0"/>
              <w:rPr>
                <w:rFonts w:cs="Times New Roman"/>
                <w:szCs w:val="24"/>
              </w:rPr>
            </w:pPr>
            <w:r w:rsidRPr="00BA4F0F">
              <w:rPr>
                <w:rFonts w:cs="Times New Roman"/>
                <w:szCs w:val="24"/>
              </w:rPr>
              <w:t>+1 - +3</w:t>
            </w:r>
          </w:p>
        </w:tc>
      </w:tr>
      <w:tr w:rsidR="0075793D" w:rsidRPr="00BA4F0F" w14:paraId="3EB1FF94" w14:textId="77777777" w:rsidTr="002D3EBF">
        <w:tc>
          <w:tcPr>
            <w:tcW w:w="2943" w:type="dxa"/>
          </w:tcPr>
          <w:p w14:paraId="4DBFC393" w14:textId="77777777" w:rsidR="0075793D" w:rsidRPr="00BA4F0F" w:rsidRDefault="0075793D" w:rsidP="007A7C4E">
            <w:pPr>
              <w:spacing w:line="240" w:lineRule="auto"/>
              <w:ind w:firstLine="0"/>
              <w:rPr>
                <w:rFonts w:cs="Times New Roman"/>
                <w:szCs w:val="24"/>
              </w:rPr>
            </w:pPr>
            <w:r w:rsidRPr="00BA4F0F">
              <w:rPr>
                <w:rFonts w:cs="Times New Roman"/>
                <w:szCs w:val="24"/>
              </w:rPr>
              <w:t>Таблетированные препараты:</w:t>
            </w:r>
          </w:p>
        </w:tc>
        <w:tc>
          <w:tcPr>
            <w:tcW w:w="6628" w:type="dxa"/>
            <w:gridSpan w:val="2"/>
          </w:tcPr>
          <w:p w14:paraId="50BEB1A6" w14:textId="77777777" w:rsidR="0075793D" w:rsidRPr="00BA4F0F" w:rsidRDefault="0075793D" w:rsidP="007A7C4E">
            <w:pPr>
              <w:spacing w:line="240" w:lineRule="auto"/>
              <w:ind w:firstLine="0"/>
              <w:rPr>
                <w:rFonts w:cs="Times New Roman"/>
                <w:szCs w:val="24"/>
              </w:rPr>
            </w:pPr>
          </w:p>
        </w:tc>
      </w:tr>
      <w:tr w:rsidR="0075793D" w:rsidRPr="00BA4F0F" w14:paraId="42370EA3" w14:textId="77777777" w:rsidTr="002D3EBF">
        <w:tc>
          <w:tcPr>
            <w:tcW w:w="2943" w:type="dxa"/>
          </w:tcPr>
          <w:p w14:paraId="4DA6952D" w14:textId="77777777" w:rsidR="0075793D" w:rsidRPr="00BA4F0F" w:rsidRDefault="0075793D" w:rsidP="007A7C4E">
            <w:pPr>
              <w:spacing w:line="240" w:lineRule="auto"/>
              <w:ind w:firstLine="0"/>
              <w:rPr>
                <w:rFonts w:cs="Times New Roman"/>
                <w:szCs w:val="24"/>
              </w:rPr>
            </w:pPr>
            <w:r w:rsidRPr="00BA4F0F">
              <w:rPr>
                <w:rFonts w:cs="Times New Roman"/>
                <w:szCs w:val="24"/>
              </w:rPr>
              <w:t>Аллопуринол</w:t>
            </w:r>
          </w:p>
        </w:tc>
        <w:tc>
          <w:tcPr>
            <w:tcW w:w="3686" w:type="dxa"/>
          </w:tcPr>
          <w:p w14:paraId="0AB5B2F9" w14:textId="77777777" w:rsidR="0075793D" w:rsidRPr="00BA4F0F" w:rsidRDefault="0075793D" w:rsidP="007A7C4E">
            <w:pPr>
              <w:spacing w:line="240" w:lineRule="auto"/>
              <w:ind w:firstLine="0"/>
              <w:rPr>
                <w:rFonts w:cs="Times New Roman"/>
                <w:szCs w:val="24"/>
              </w:rPr>
            </w:pPr>
            <w:r w:rsidRPr="00BA4F0F">
              <w:rPr>
                <w:rFonts w:cs="Times New Roman"/>
                <w:szCs w:val="24"/>
              </w:rPr>
              <w:t>200 мг/м</w:t>
            </w:r>
            <w:r w:rsidRPr="00BA4F0F">
              <w:rPr>
                <w:rFonts w:cs="Times New Roman"/>
                <w:szCs w:val="24"/>
                <w:vertAlign w:val="superscript"/>
              </w:rPr>
              <w:t>2</w:t>
            </w:r>
            <w:r w:rsidRPr="00BA4F0F">
              <w:rPr>
                <w:rFonts w:cs="Times New Roman"/>
                <w:szCs w:val="24"/>
              </w:rPr>
              <w:t xml:space="preserve"> внутрь </w:t>
            </w:r>
          </w:p>
        </w:tc>
        <w:tc>
          <w:tcPr>
            <w:tcW w:w="2942" w:type="dxa"/>
          </w:tcPr>
          <w:p w14:paraId="779FA2D7" w14:textId="77777777" w:rsidR="0075793D" w:rsidRPr="00BA4F0F" w:rsidRDefault="0075793D" w:rsidP="007A7C4E">
            <w:pPr>
              <w:spacing w:line="240" w:lineRule="auto"/>
              <w:ind w:firstLine="0"/>
              <w:rPr>
                <w:rFonts w:cs="Times New Roman"/>
                <w:szCs w:val="24"/>
              </w:rPr>
            </w:pPr>
            <w:r w:rsidRPr="00BA4F0F">
              <w:rPr>
                <w:rFonts w:cs="Times New Roman"/>
                <w:szCs w:val="24"/>
              </w:rPr>
              <w:t xml:space="preserve">+1 - +3 </w:t>
            </w:r>
          </w:p>
        </w:tc>
      </w:tr>
      <w:tr w:rsidR="0075793D" w:rsidRPr="00BA4F0F" w14:paraId="287A25C1" w14:textId="77777777" w:rsidTr="002D3EBF">
        <w:tc>
          <w:tcPr>
            <w:tcW w:w="2943" w:type="dxa"/>
          </w:tcPr>
          <w:p w14:paraId="553958DB" w14:textId="77777777" w:rsidR="0075793D" w:rsidRPr="00BA4F0F" w:rsidRDefault="0075793D" w:rsidP="007A7C4E">
            <w:pPr>
              <w:spacing w:line="240" w:lineRule="auto"/>
              <w:ind w:firstLine="0"/>
              <w:rPr>
                <w:rFonts w:cs="Times New Roman"/>
                <w:szCs w:val="24"/>
              </w:rPr>
            </w:pPr>
            <w:r w:rsidRPr="00BA4F0F">
              <w:rPr>
                <w:rFonts w:cs="Times New Roman"/>
                <w:szCs w:val="24"/>
              </w:rPr>
              <w:t>Противосудорожные средства:</w:t>
            </w:r>
          </w:p>
          <w:p w14:paraId="1412BB01" w14:textId="77777777" w:rsidR="0075793D" w:rsidRPr="00BA4F0F" w:rsidRDefault="0075793D" w:rsidP="007A7C4E">
            <w:pPr>
              <w:spacing w:line="240" w:lineRule="auto"/>
              <w:ind w:firstLine="0"/>
              <w:rPr>
                <w:rFonts w:cs="Times New Roman"/>
                <w:szCs w:val="24"/>
              </w:rPr>
            </w:pPr>
            <w:r w:rsidRPr="00BA4F0F">
              <w:rPr>
                <w:rFonts w:cs="Times New Roman"/>
                <w:szCs w:val="24"/>
              </w:rPr>
              <w:t>карбамазепин</w:t>
            </w:r>
          </w:p>
        </w:tc>
        <w:tc>
          <w:tcPr>
            <w:tcW w:w="3686" w:type="dxa"/>
          </w:tcPr>
          <w:p w14:paraId="2D9CC8FE" w14:textId="77777777" w:rsidR="0075793D" w:rsidRPr="00BA4F0F" w:rsidRDefault="0075793D" w:rsidP="007A7C4E">
            <w:pPr>
              <w:spacing w:line="240" w:lineRule="auto"/>
              <w:ind w:firstLine="0"/>
              <w:rPr>
                <w:rFonts w:cs="Times New Roman"/>
                <w:szCs w:val="24"/>
              </w:rPr>
            </w:pPr>
          </w:p>
          <w:p w14:paraId="72D77184" w14:textId="77777777" w:rsidR="0075793D" w:rsidRPr="00BA4F0F" w:rsidRDefault="0075793D" w:rsidP="007A7C4E">
            <w:pPr>
              <w:spacing w:line="240" w:lineRule="auto"/>
              <w:ind w:firstLine="0"/>
              <w:rPr>
                <w:rFonts w:cs="Times New Roman"/>
                <w:szCs w:val="24"/>
              </w:rPr>
            </w:pPr>
          </w:p>
          <w:p w14:paraId="4E2ACC77" w14:textId="77777777" w:rsidR="0075793D" w:rsidRPr="00BA4F0F" w:rsidRDefault="0075793D" w:rsidP="007A7C4E">
            <w:pPr>
              <w:spacing w:line="240" w:lineRule="auto"/>
              <w:ind w:firstLine="0"/>
              <w:rPr>
                <w:rFonts w:cs="Times New Roman"/>
                <w:szCs w:val="24"/>
              </w:rPr>
            </w:pPr>
            <w:r w:rsidRPr="00BA4F0F">
              <w:rPr>
                <w:rFonts w:cs="Times New Roman"/>
                <w:szCs w:val="24"/>
              </w:rPr>
              <w:t xml:space="preserve">200 мг внутрь на ночь </w:t>
            </w:r>
          </w:p>
        </w:tc>
        <w:tc>
          <w:tcPr>
            <w:tcW w:w="2942" w:type="dxa"/>
          </w:tcPr>
          <w:p w14:paraId="5AF2C047" w14:textId="77777777" w:rsidR="0075793D" w:rsidRPr="00BA4F0F" w:rsidRDefault="0075793D" w:rsidP="007A7C4E">
            <w:pPr>
              <w:spacing w:line="240" w:lineRule="auto"/>
              <w:ind w:firstLine="0"/>
              <w:rPr>
                <w:rFonts w:cs="Times New Roman"/>
                <w:szCs w:val="24"/>
              </w:rPr>
            </w:pPr>
          </w:p>
          <w:p w14:paraId="2DC755D6" w14:textId="77777777" w:rsidR="0075793D" w:rsidRPr="00BA4F0F" w:rsidRDefault="0075793D" w:rsidP="007A7C4E">
            <w:pPr>
              <w:spacing w:line="240" w:lineRule="auto"/>
              <w:ind w:firstLine="0"/>
              <w:rPr>
                <w:rFonts w:cs="Times New Roman"/>
                <w:szCs w:val="24"/>
              </w:rPr>
            </w:pPr>
          </w:p>
          <w:p w14:paraId="5334B7C0" w14:textId="77777777" w:rsidR="0075793D" w:rsidRPr="00BA4F0F" w:rsidRDefault="0075793D" w:rsidP="007A7C4E">
            <w:pPr>
              <w:spacing w:line="240" w:lineRule="auto"/>
              <w:ind w:firstLine="0"/>
              <w:rPr>
                <w:rFonts w:cs="Times New Roman"/>
                <w:szCs w:val="24"/>
              </w:rPr>
            </w:pPr>
            <w:r w:rsidRPr="00BA4F0F">
              <w:rPr>
                <w:rFonts w:cs="Times New Roman"/>
                <w:szCs w:val="24"/>
              </w:rPr>
              <w:t>-1 - +1</w:t>
            </w:r>
          </w:p>
        </w:tc>
      </w:tr>
      <w:tr w:rsidR="0075793D" w:rsidRPr="00BA4F0F" w14:paraId="6EB9DEB2" w14:textId="77777777" w:rsidTr="002D3EBF">
        <w:tc>
          <w:tcPr>
            <w:tcW w:w="2943" w:type="dxa"/>
          </w:tcPr>
          <w:p w14:paraId="71073141" w14:textId="77777777" w:rsidR="0075793D" w:rsidRPr="00BA4F0F" w:rsidRDefault="0075793D" w:rsidP="007A7C4E">
            <w:pPr>
              <w:spacing w:line="240" w:lineRule="auto"/>
              <w:ind w:firstLine="0"/>
              <w:rPr>
                <w:rFonts w:cs="Times New Roman"/>
                <w:szCs w:val="24"/>
              </w:rPr>
            </w:pPr>
            <w:r w:rsidRPr="00BA4F0F">
              <w:rPr>
                <w:rFonts w:cs="Times New Roman"/>
                <w:szCs w:val="24"/>
              </w:rPr>
              <w:t xml:space="preserve">Обработка полости рта растворами антисептиков </w:t>
            </w:r>
          </w:p>
        </w:tc>
        <w:tc>
          <w:tcPr>
            <w:tcW w:w="3686" w:type="dxa"/>
          </w:tcPr>
          <w:p w14:paraId="3BF98A24" w14:textId="77777777" w:rsidR="0075793D" w:rsidRPr="00BA4F0F" w:rsidRDefault="0075793D" w:rsidP="007A7C4E">
            <w:pPr>
              <w:spacing w:line="240" w:lineRule="auto"/>
              <w:ind w:firstLine="0"/>
              <w:rPr>
                <w:rFonts w:cs="Times New Roman"/>
                <w:szCs w:val="24"/>
              </w:rPr>
            </w:pPr>
            <w:r w:rsidRPr="00BA4F0F">
              <w:rPr>
                <w:rFonts w:cs="Times New Roman"/>
                <w:szCs w:val="24"/>
              </w:rPr>
              <w:t>многократно</w:t>
            </w:r>
          </w:p>
        </w:tc>
        <w:tc>
          <w:tcPr>
            <w:tcW w:w="2942" w:type="dxa"/>
          </w:tcPr>
          <w:p w14:paraId="6F3566E9" w14:textId="77777777" w:rsidR="0075793D" w:rsidRPr="00BA4F0F" w:rsidRDefault="0075793D" w:rsidP="007A7C4E">
            <w:pPr>
              <w:spacing w:line="240" w:lineRule="auto"/>
              <w:ind w:firstLine="0"/>
              <w:rPr>
                <w:rFonts w:cs="Times New Roman"/>
                <w:szCs w:val="24"/>
              </w:rPr>
            </w:pPr>
            <w:r w:rsidRPr="00BA4F0F">
              <w:rPr>
                <w:rFonts w:cs="Times New Roman"/>
                <w:szCs w:val="24"/>
              </w:rPr>
              <w:t>весь период мобилизации</w:t>
            </w:r>
          </w:p>
        </w:tc>
      </w:tr>
      <w:tr w:rsidR="0075793D" w:rsidRPr="00BA4F0F" w14:paraId="6E99FCCC" w14:textId="77777777" w:rsidTr="002D3EBF">
        <w:tc>
          <w:tcPr>
            <w:tcW w:w="2943" w:type="dxa"/>
          </w:tcPr>
          <w:p w14:paraId="6BA13BC9" w14:textId="77777777" w:rsidR="0075793D" w:rsidRPr="00BA4F0F" w:rsidRDefault="0075793D" w:rsidP="007A7C4E">
            <w:pPr>
              <w:spacing w:line="240" w:lineRule="auto"/>
              <w:ind w:firstLine="0"/>
              <w:rPr>
                <w:rFonts w:cs="Times New Roman"/>
                <w:szCs w:val="24"/>
              </w:rPr>
            </w:pPr>
            <w:r w:rsidRPr="00BA4F0F">
              <w:rPr>
                <w:rFonts w:cs="Times New Roman"/>
                <w:szCs w:val="24"/>
              </w:rPr>
              <w:t>Стимуляция:</w:t>
            </w:r>
          </w:p>
        </w:tc>
        <w:tc>
          <w:tcPr>
            <w:tcW w:w="6628" w:type="dxa"/>
            <w:gridSpan w:val="2"/>
          </w:tcPr>
          <w:p w14:paraId="237F883B" w14:textId="77777777" w:rsidR="0075793D" w:rsidRPr="00BA4F0F" w:rsidRDefault="0075793D" w:rsidP="007A7C4E">
            <w:pPr>
              <w:spacing w:line="240" w:lineRule="auto"/>
              <w:ind w:firstLine="0"/>
              <w:rPr>
                <w:rFonts w:cs="Times New Roman"/>
                <w:szCs w:val="24"/>
              </w:rPr>
            </w:pPr>
          </w:p>
        </w:tc>
      </w:tr>
      <w:tr w:rsidR="0075793D" w:rsidRPr="00BA4F0F" w14:paraId="4DDB3E8F" w14:textId="77777777" w:rsidTr="002D3EBF">
        <w:tc>
          <w:tcPr>
            <w:tcW w:w="2943" w:type="dxa"/>
          </w:tcPr>
          <w:p w14:paraId="2484153F" w14:textId="77777777" w:rsidR="0075793D" w:rsidRPr="00BA4F0F" w:rsidRDefault="0075793D" w:rsidP="007A7C4E">
            <w:pPr>
              <w:spacing w:line="240" w:lineRule="auto"/>
              <w:ind w:firstLine="0"/>
              <w:rPr>
                <w:rFonts w:cs="Times New Roman"/>
                <w:szCs w:val="24"/>
              </w:rPr>
            </w:pPr>
            <w:r w:rsidRPr="00BA4F0F">
              <w:rPr>
                <w:rFonts w:cs="Times New Roman"/>
                <w:szCs w:val="24"/>
              </w:rPr>
              <w:t>Г-КСФ</w:t>
            </w:r>
          </w:p>
        </w:tc>
        <w:tc>
          <w:tcPr>
            <w:tcW w:w="3686" w:type="dxa"/>
          </w:tcPr>
          <w:p w14:paraId="7A2FE488" w14:textId="77777777" w:rsidR="0075793D" w:rsidRPr="00BA4F0F" w:rsidRDefault="0075793D" w:rsidP="007A7C4E">
            <w:pPr>
              <w:spacing w:line="240" w:lineRule="auto"/>
              <w:ind w:firstLine="0"/>
              <w:rPr>
                <w:rFonts w:cs="Times New Roman"/>
                <w:szCs w:val="24"/>
              </w:rPr>
            </w:pPr>
            <w:r w:rsidRPr="00BA4F0F">
              <w:rPr>
                <w:rFonts w:cs="Times New Roman"/>
                <w:szCs w:val="24"/>
              </w:rPr>
              <w:t>5 мкг/кг в сутки подкожно</w:t>
            </w:r>
            <w:r w:rsidRPr="00BA4F0F">
              <w:rPr>
                <w:rFonts w:cs="Times New Roman"/>
                <w:szCs w:val="24"/>
                <w:vertAlign w:val="superscript"/>
              </w:rPr>
              <w:t>**</w:t>
            </w:r>
          </w:p>
        </w:tc>
        <w:tc>
          <w:tcPr>
            <w:tcW w:w="2942" w:type="dxa"/>
          </w:tcPr>
          <w:p w14:paraId="1A5F1CA9" w14:textId="77777777" w:rsidR="0075793D" w:rsidRPr="00BA4F0F" w:rsidRDefault="0075793D" w:rsidP="007A7C4E">
            <w:pPr>
              <w:spacing w:line="240" w:lineRule="auto"/>
              <w:ind w:firstLine="0"/>
              <w:rPr>
                <w:rFonts w:cs="Times New Roman"/>
                <w:szCs w:val="24"/>
              </w:rPr>
            </w:pPr>
            <w:r w:rsidRPr="00BA4F0F">
              <w:rPr>
                <w:rFonts w:cs="Times New Roman"/>
                <w:szCs w:val="24"/>
              </w:rPr>
              <w:t>с момента снижения числа лейкоцитов менее 1х10</w:t>
            </w:r>
            <w:r w:rsidRPr="00BA4F0F">
              <w:rPr>
                <w:rFonts w:cs="Times New Roman"/>
                <w:szCs w:val="24"/>
                <w:vertAlign w:val="superscript"/>
              </w:rPr>
              <w:t>9</w:t>
            </w:r>
            <w:r w:rsidRPr="00BA4F0F">
              <w:rPr>
                <w:rFonts w:cs="Times New Roman"/>
                <w:szCs w:val="24"/>
              </w:rPr>
              <w:t>/л.</w:t>
            </w:r>
          </w:p>
        </w:tc>
      </w:tr>
    </w:tbl>
    <w:p w14:paraId="6EFBD282" w14:textId="1770219A" w:rsidR="0075793D" w:rsidRPr="00BA4F0F" w:rsidRDefault="0075793D" w:rsidP="0075793D">
      <w:pPr>
        <w:rPr>
          <w:rFonts w:cs="Times New Roman"/>
          <w:szCs w:val="24"/>
        </w:rPr>
      </w:pPr>
      <w:r w:rsidRPr="00BA4F0F">
        <w:rPr>
          <w:rFonts w:cs="Times New Roman"/>
          <w:i/>
          <w:szCs w:val="24"/>
          <w:vertAlign w:val="superscript"/>
        </w:rPr>
        <w:t>*</w:t>
      </w:r>
      <w:r w:rsidRPr="00BA4F0F">
        <w:rPr>
          <w:rFonts w:cs="Times New Roman"/>
          <w:i/>
          <w:szCs w:val="24"/>
        </w:rPr>
        <w:t xml:space="preserve"> </w:t>
      </w:r>
      <w:r w:rsidRPr="00BA4F0F">
        <w:rPr>
          <w:rFonts w:cs="Times New Roman"/>
          <w:szCs w:val="24"/>
        </w:rPr>
        <w:t xml:space="preserve">с +3 дня терапии объем вводимых растворов уменьшается в 2 раза. </w:t>
      </w:r>
    </w:p>
    <w:p w14:paraId="7F8151A9" w14:textId="092FC42D" w:rsidR="0075793D" w:rsidRPr="00BA4F0F" w:rsidRDefault="0075793D" w:rsidP="007A7C4E">
      <w:pPr>
        <w:ind w:firstLine="708"/>
        <w:rPr>
          <w:rFonts w:cs="Times New Roman"/>
          <w:szCs w:val="24"/>
        </w:rPr>
      </w:pPr>
      <w:r w:rsidRPr="00BA4F0F">
        <w:rPr>
          <w:rFonts w:cs="Times New Roman"/>
          <w:szCs w:val="24"/>
          <w:vertAlign w:val="superscript"/>
        </w:rPr>
        <w:t>**</w:t>
      </w:r>
      <w:r w:rsidRPr="00BA4F0F">
        <w:rPr>
          <w:rFonts w:cs="Times New Roman"/>
          <w:szCs w:val="24"/>
        </w:rPr>
        <w:t xml:space="preserve"> при отсутствии снижения числа лейкоцитов возможно увеличение дозы Г-КСФ до 10 мкг/кг/сут.</w:t>
      </w:r>
    </w:p>
    <w:p w14:paraId="1F26AD31" w14:textId="77777777" w:rsidR="0075793D" w:rsidRPr="00BA4F0F" w:rsidRDefault="0075793D" w:rsidP="0075793D">
      <w:pPr>
        <w:rPr>
          <w:rFonts w:cs="Times New Roman"/>
          <w:b/>
          <w:szCs w:val="24"/>
        </w:rPr>
      </w:pPr>
    </w:p>
    <w:p w14:paraId="29CF00C0" w14:textId="77777777" w:rsidR="0075793D" w:rsidRPr="00BA4F0F" w:rsidRDefault="0075793D" w:rsidP="0075793D">
      <w:pPr>
        <w:pStyle w:val="afe"/>
        <w:ind w:left="0"/>
        <w:rPr>
          <w:rFonts w:cs="Times New Roman"/>
          <w:szCs w:val="24"/>
          <w:u w:val="single"/>
        </w:rPr>
      </w:pPr>
      <w:bookmarkStart w:id="126" w:name="_Toc44926607"/>
      <w:r w:rsidRPr="00BA4F0F">
        <w:rPr>
          <w:rFonts w:cs="Times New Roman"/>
          <w:szCs w:val="24"/>
          <w:u w:val="single"/>
        </w:rPr>
        <w:t>Г-КСФ в сочетании с плериксафором</w:t>
      </w:r>
      <w:bookmarkEnd w:id="126"/>
    </w:p>
    <w:p w14:paraId="055C9853" w14:textId="77777777" w:rsidR="0075793D" w:rsidRPr="00BA4F0F" w:rsidRDefault="0075793D" w:rsidP="0075793D">
      <w:pPr>
        <w:rPr>
          <w:rFonts w:cs="Times New Roman"/>
          <w:b/>
          <w:i/>
          <w:szCs w:val="24"/>
          <w:lang w:val="en-US"/>
        </w:rPr>
      </w:pPr>
      <w:r w:rsidRPr="00BA4F0F">
        <w:rPr>
          <w:rFonts w:cs="Times New Roman"/>
          <w:b/>
          <w:i/>
          <w:szCs w:val="24"/>
          <w:lang w:val="en-US"/>
        </w:rPr>
        <w:t>Показания</w:t>
      </w:r>
    </w:p>
    <w:p w14:paraId="4C4C6212" w14:textId="77777777" w:rsidR="0075793D" w:rsidRPr="00BA4F0F" w:rsidRDefault="0075793D" w:rsidP="005E0272">
      <w:pPr>
        <w:numPr>
          <w:ilvl w:val="0"/>
          <w:numId w:val="234"/>
        </w:numPr>
        <w:ind w:left="0" w:firstLine="0"/>
        <w:contextualSpacing/>
        <w:rPr>
          <w:rFonts w:cs="Times New Roman"/>
          <w:szCs w:val="24"/>
        </w:rPr>
      </w:pPr>
      <w:r w:rsidRPr="00BA4F0F">
        <w:rPr>
          <w:rFonts w:cs="Times New Roman"/>
          <w:szCs w:val="24"/>
        </w:rPr>
        <w:t>Повторная мобилизация после неудачи первой мобилизации ГСК схемами, включающими миелосупрессивные препараты в сочетании с Г-КСФ или применения Г-КСФ в монорежиме у пациентов с лимфомами и ММ;</w:t>
      </w:r>
    </w:p>
    <w:p w14:paraId="295B360A" w14:textId="77777777" w:rsidR="0075793D" w:rsidRPr="00BA4F0F" w:rsidRDefault="0075793D" w:rsidP="005E0272">
      <w:pPr>
        <w:numPr>
          <w:ilvl w:val="0"/>
          <w:numId w:val="234"/>
        </w:numPr>
        <w:ind w:left="0" w:firstLine="0"/>
        <w:contextualSpacing/>
        <w:rPr>
          <w:rFonts w:cs="Times New Roman"/>
          <w:szCs w:val="24"/>
        </w:rPr>
      </w:pPr>
      <w:r w:rsidRPr="00BA4F0F">
        <w:rPr>
          <w:rFonts w:cs="Times New Roman"/>
          <w:szCs w:val="24"/>
        </w:rPr>
        <w:t>Неудовлетворительные результаты текущей мобилизации у пациентов с лимфомами и ММ.</w:t>
      </w:r>
    </w:p>
    <w:p w14:paraId="2B34EDE2" w14:textId="77777777" w:rsidR="0075793D" w:rsidRPr="00BA4F0F" w:rsidRDefault="0075793D" w:rsidP="0075793D">
      <w:pPr>
        <w:rPr>
          <w:rFonts w:cs="Times New Roman"/>
          <w:szCs w:val="24"/>
        </w:rPr>
      </w:pPr>
      <w:r w:rsidRPr="00BA4F0F">
        <w:rPr>
          <w:rFonts w:cs="Times New Roman"/>
          <w:szCs w:val="24"/>
        </w:rPr>
        <w:t>Неудовлетворительные результаты текущей мобилизации:</w:t>
      </w:r>
    </w:p>
    <w:p w14:paraId="2896BF2F" w14:textId="77777777" w:rsidR="0075793D" w:rsidRPr="00BA4F0F" w:rsidRDefault="0075793D" w:rsidP="0075793D">
      <w:pPr>
        <w:rPr>
          <w:rFonts w:cs="Times New Roman"/>
          <w:szCs w:val="24"/>
        </w:rPr>
      </w:pPr>
      <w:r w:rsidRPr="00BA4F0F">
        <w:rPr>
          <w:rFonts w:cs="Times New Roman"/>
          <w:szCs w:val="24"/>
        </w:rPr>
        <w:t>а) количество CD34+ клеток в периферической крови в день предполагаемого первого лейкафереза менее 10 клеток/мкл (при планируемой одной аутотрансплантации) и 10-20 клеток/мкл (при планируемой тандемной аутотрансплантации);</w:t>
      </w:r>
    </w:p>
    <w:p w14:paraId="3A313DE0" w14:textId="77777777" w:rsidR="0075793D" w:rsidRPr="00BA4F0F" w:rsidRDefault="0075793D" w:rsidP="0075793D">
      <w:pPr>
        <w:rPr>
          <w:rFonts w:cs="Times New Roman"/>
          <w:szCs w:val="24"/>
        </w:rPr>
      </w:pPr>
      <w:r w:rsidRPr="00BA4F0F">
        <w:rPr>
          <w:rFonts w:cs="Times New Roman"/>
          <w:szCs w:val="24"/>
        </w:rPr>
        <w:t>б) за первый лейкаферез заготовлено менее 30-50% от необходимого количества CD34+ клеток.</w:t>
      </w:r>
    </w:p>
    <w:p w14:paraId="0E1F7F03" w14:textId="77777777" w:rsidR="0075793D" w:rsidRPr="00BA4F0F" w:rsidRDefault="0075793D" w:rsidP="0075793D">
      <w:pPr>
        <w:contextualSpacing/>
        <w:rPr>
          <w:rFonts w:cs="Times New Roman"/>
          <w:b/>
          <w:szCs w:val="24"/>
        </w:rPr>
      </w:pPr>
    </w:p>
    <w:p w14:paraId="69585840" w14:textId="77777777" w:rsidR="0075793D" w:rsidRPr="00BA4F0F" w:rsidRDefault="0075793D" w:rsidP="0075793D">
      <w:pPr>
        <w:rPr>
          <w:rFonts w:cs="Times New Roman"/>
          <w:b/>
          <w:i/>
          <w:szCs w:val="24"/>
        </w:rPr>
      </w:pPr>
      <w:r w:rsidRPr="00BA4F0F">
        <w:rPr>
          <w:rFonts w:cs="Times New Roman"/>
          <w:b/>
          <w:i/>
          <w:szCs w:val="24"/>
        </w:rPr>
        <w:t>Схема мобилизации ГСК</w:t>
      </w:r>
    </w:p>
    <w:p w14:paraId="7D3E77FF" w14:textId="77777777" w:rsidR="0075793D" w:rsidRPr="00BA4F0F" w:rsidRDefault="0075793D" w:rsidP="0075793D">
      <w:pPr>
        <w:rPr>
          <w:rFonts w:cs="Times New Roman"/>
          <w:szCs w:val="24"/>
        </w:rPr>
      </w:pPr>
      <w:r w:rsidRPr="00BA4F0F">
        <w:rPr>
          <w:rFonts w:cs="Times New Roman"/>
          <w:szCs w:val="24"/>
        </w:rPr>
        <w:t>Г-КСФ назначают в дозе 10 мкг/кг/сутки, вводят подкожно утром. На четвертый день введения Г-КСФ плериксафор назначается за 12 часов до лейкафереза в дозе 240 мкг/кг подкожно. По результатам лейкафереза решается вопрос о необходимости повторного введения плериксафора (таблица 3). Возможно применение нескольких введений плериксафора.</w:t>
      </w:r>
    </w:p>
    <w:p w14:paraId="608E6F4A" w14:textId="77777777" w:rsidR="0075793D" w:rsidRPr="00BA4F0F" w:rsidRDefault="0075793D" w:rsidP="0075793D">
      <w:pPr>
        <w:rPr>
          <w:rFonts w:cs="Times New Roman"/>
          <w:szCs w:val="24"/>
        </w:rPr>
      </w:pPr>
    </w:p>
    <w:p w14:paraId="53505B40" w14:textId="77777777" w:rsidR="0075793D" w:rsidRPr="00BA4F0F" w:rsidRDefault="0075793D" w:rsidP="0075793D">
      <w:pPr>
        <w:rPr>
          <w:rFonts w:cs="Times New Roman"/>
          <w:szCs w:val="24"/>
        </w:rPr>
      </w:pPr>
      <w:r w:rsidRPr="00BA4F0F">
        <w:rPr>
          <w:rFonts w:cs="Times New Roman"/>
          <w:szCs w:val="24"/>
        </w:rPr>
        <w:t xml:space="preserve">Таблица 3. Схема мобилизации ГСК «Г-КСФ + плериксафор» </w:t>
      </w:r>
    </w:p>
    <w:tbl>
      <w:tblPr>
        <w:tblStyle w:val="1f3"/>
        <w:tblW w:w="0" w:type="auto"/>
        <w:jc w:val="center"/>
        <w:tblLook w:val="04A0" w:firstRow="1" w:lastRow="0" w:firstColumn="1" w:lastColumn="0" w:noHBand="0" w:noVBand="1"/>
      </w:tblPr>
      <w:tblGrid>
        <w:gridCol w:w="1651"/>
        <w:gridCol w:w="1133"/>
        <w:gridCol w:w="1129"/>
        <w:gridCol w:w="1129"/>
        <w:gridCol w:w="1132"/>
        <w:gridCol w:w="1133"/>
        <w:gridCol w:w="1133"/>
      </w:tblGrid>
      <w:tr w:rsidR="0075793D" w:rsidRPr="00BA4F0F" w14:paraId="60EC504A" w14:textId="77777777" w:rsidTr="002D3EBF">
        <w:trPr>
          <w:jc w:val="center"/>
        </w:trPr>
        <w:tc>
          <w:tcPr>
            <w:tcW w:w="1651" w:type="dxa"/>
          </w:tcPr>
          <w:p w14:paraId="4CC97945" w14:textId="77777777" w:rsidR="0075793D" w:rsidRPr="00BA4F0F" w:rsidRDefault="0075793D" w:rsidP="007A7C4E">
            <w:pPr>
              <w:ind w:firstLine="0"/>
              <w:rPr>
                <w:rFonts w:cs="Times New Roman"/>
              </w:rPr>
            </w:pPr>
            <w:r w:rsidRPr="00BA4F0F">
              <w:rPr>
                <w:rFonts w:cs="Times New Roman"/>
              </w:rPr>
              <w:t>Дни</w:t>
            </w:r>
          </w:p>
        </w:tc>
        <w:tc>
          <w:tcPr>
            <w:tcW w:w="1133" w:type="dxa"/>
          </w:tcPr>
          <w:p w14:paraId="683E2FCB" w14:textId="77777777" w:rsidR="0075793D" w:rsidRPr="00BA4F0F" w:rsidRDefault="0075793D" w:rsidP="007A7C4E">
            <w:pPr>
              <w:ind w:firstLine="0"/>
              <w:rPr>
                <w:rFonts w:cs="Times New Roman"/>
              </w:rPr>
            </w:pPr>
            <w:r w:rsidRPr="00BA4F0F">
              <w:rPr>
                <w:rFonts w:cs="Times New Roman"/>
              </w:rPr>
              <w:t>1</w:t>
            </w:r>
          </w:p>
        </w:tc>
        <w:tc>
          <w:tcPr>
            <w:tcW w:w="1129" w:type="dxa"/>
          </w:tcPr>
          <w:p w14:paraId="34BC75E2" w14:textId="77777777" w:rsidR="0075793D" w:rsidRPr="00BA4F0F" w:rsidRDefault="0075793D" w:rsidP="007A7C4E">
            <w:pPr>
              <w:ind w:firstLine="0"/>
              <w:rPr>
                <w:rFonts w:cs="Times New Roman"/>
              </w:rPr>
            </w:pPr>
            <w:r w:rsidRPr="00BA4F0F">
              <w:rPr>
                <w:rFonts w:cs="Times New Roman"/>
              </w:rPr>
              <w:t>2</w:t>
            </w:r>
          </w:p>
        </w:tc>
        <w:tc>
          <w:tcPr>
            <w:tcW w:w="1129" w:type="dxa"/>
          </w:tcPr>
          <w:p w14:paraId="3D033199" w14:textId="77777777" w:rsidR="0075793D" w:rsidRPr="00BA4F0F" w:rsidRDefault="0075793D" w:rsidP="007A7C4E">
            <w:pPr>
              <w:ind w:firstLine="0"/>
              <w:rPr>
                <w:rFonts w:cs="Times New Roman"/>
              </w:rPr>
            </w:pPr>
            <w:r w:rsidRPr="00BA4F0F">
              <w:rPr>
                <w:rFonts w:cs="Times New Roman"/>
              </w:rPr>
              <w:t>3</w:t>
            </w:r>
          </w:p>
        </w:tc>
        <w:tc>
          <w:tcPr>
            <w:tcW w:w="1132" w:type="dxa"/>
          </w:tcPr>
          <w:p w14:paraId="3E9293E6" w14:textId="77777777" w:rsidR="0075793D" w:rsidRPr="00BA4F0F" w:rsidRDefault="0075793D" w:rsidP="007A7C4E">
            <w:pPr>
              <w:ind w:firstLine="0"/>
              <w:rPr>
                <w:rFonts w:cs="Times New Roman"/>
              </w:rPr>
            </w:pPr>
            <w:r w:rsidRPr="00BA4F0F">
              <w:rPr>
                <w:rFonts w:cs="Times New Roman"/>
              </w:rPr>
              <w:t>4</w:t>
            </w:r>
          </w:p>
        </w:tc>
        <w:tc>
          <w:tcPr>
            <w:tcW w:w="1133" w:type="dxa"/>
          </w:tcPr>
          <w:p w14:paraId="1840A5D0" w14:textId="77777777" w:rsidR="0075793D" w:rsidRPr="00BA4F0F" w:rsidRDefault="0075793D" w:rsidP="007A7C4E">
            <w:pPr>
              <w:ind w:firstLine="0"/>
              <w:rPr>
                <w:rFonts w:cs="Times New Roman"/>
              </w:rPr>
            </w:pPr>
            <w:r w:rsidRPr="00BA4F0F">
              <w:rPr>
                <w:rFonts w:cs="Times New Roman"/>
              </w:rPr>
              <w:t>5</w:t>
            </w:r>
          </w:p>
        </w:tc>
        <w:tc>
          <w:tcPr>
            <w:tcW w:w="1133" w:type="dxa"/>
          </w:tcPr>
          <w:p w14:paraId="0325EC71" w14:textId="77777777" w:rsidR="0075793D" w:rsidRPr="00BA4F0F" w:rsidRDefault="0075793D" w:rsidP="007A7C4E">
            <w:pPr>
              <w:ind w:firstLine="0"/>
              <w:rPr>
                <w:rFonts w:cs="Times New Roman"/>
              </w:rPr>
            </w:pPr>
            <w:r w:rsidRPr="00BA4F0F">
              <w:rPr>
                <w:rFonts w:cs="Times New Roman"/>
              </w:rPr>
              <w:t>6</w:t>
            </w:r>
          </w:p>
        </w:tc>
      </w:tr>
      <w:tr w:rsidR="0075793D" w:rsidRPr="00BA4F0F" w14:paraId="35F5DBA0" w14:textId="77777777" w:rsidTr="002D3EBF">
        <w:trPr>
          <w:jc w:val="center"/>
        </w:trPr>
        <w:tc>
          <w:tcPr>
            <w:tcW w:w="1651" w:type="dxa"/>
          </w:tcPr>
          <w:p w14:paraId="64D10B4A" w14:textId="77777777" w:rsidR="0075793D" w:rsidRPr="00BA4F0F" w:rsidRDefault="0075793D" w:rsidP="007A7C4E">
            <w:pPr>
              <w:ind w:firstLine="0"/>
              <w:rPr>
                <w:rFonts w:cs="Times New Roman"/>
              </w:rPr>
            </w:pPr>
            <w:r w:rsidRPr="00BA4F0F">
              <w:rPr>
                <w:rFonts w:cs="Times New Roman"/>
              </w:rPr>
              <w:t xml:space="preserve">Г-КСФ, </w:t>
            </w:r>
          </w:p>
          <w:p w14:paraId="42AAEFA6" w14:textId="77777777" w:rsidR="0075793D" w:rsidRPr="00BA4F0F" w:rsidRDefault="0075793D" w:rsidP="007A7C4E">
            <w:pPr>
              <w:ind w:firstLine="0"/>
              <w:rPr>
                <w:rFonts w:cs="Times New Roman"/>
              </w:rPr>
            </w:pPr>
            <w:r w:rsidRPr="00BA4F0F">
              <w:rPr>
                <w:rFonts w:cs="Times New Roman"/>
              </w:rPr>
              <w:t>10 мкг/кг</w:t>
            </w:r>
          </w:p>
        </w:tc>
        <w:tc>
          <w:tcPr>
            <w:tcW w:w="1133" w:type="dxa"/>
          </w:tcPr>
          <w:p w14:paraId="32B87E02" w14:textId="77777777" w:rsidR="0075793D" w:rsidRPr="00BA4F0F" w:rsidRDefault="0075793D" w:rsidP="007A7C4E">
            <w:pPr>
              <w:ind w:firstLine="0"/>
              <w:rPr>
                <w:rFonts w:cs="Times New Roman"/>
              </w:rPr>
            </w:pPr>
            <w:r w:rsidRPr="00BA4F0F">
              <w:rPr>
                <w:rFonts w:cs="Times New Roman"/>
              </w:rPr>
              <w:t>Х</w:t>
            </w:r>
          </w:p>
        </w:tc>
        <w:tc>
          <w:tcPr>
            <w:tcW w:w="1129" w:type="dxa"/>
          </w:tcPr>
          <w:p w14:paraId="6AC6F03C" w14:textId="77777777" w:rsidR="0075793D" w:rsidRPr="00BA4F0F" w:rsidRDefault="0075793D" w:rsidP="007A7C4E">
            <w:pPr>
              <w:ind w:firstLine="0"/>
              <w:rPr>
                <w:rFonts w:cs="Times New Roman"/>
              </w:rPr>
            </w:pPr>
            <w:r w:rsidRPr="00BA4F0F">
              <w:rPr>
                <w:rFonts w:cs="Times New Roman"/>
              </w:rPr>
              <w:t>Х</w:t>
            </w:r>
          </w:p>
        </w:tc>
        <w:tc>
          <w:tcPr>
            <w:tcW w:w="1129" w:type="dxa"/>
          </w:tcPr>
          <w:p w14:paraId="6CFB2202" w14:textId="77777777" w:rsidR="0075793D" w:rsidRPr="00BA4F0F" w:rsidRDefault="0075793D" w:rsidP="007A7C4E">
            <w:pPr>
              <w:ind w:firstLine="0"/>
              <w:rPr>
                <w:rFonts w:cs="Times New Roman"/>
              </w:rPr>
            </w:pPr>
            <w:r w:rsidRPr="00BA4F0F">
              <w:rPr>
                <w:rFonts w:cs="Times New Roman"/>
              </w:rPr>
              <w:t>Х</w:t>
            </w:r>
          </w:p>
        </w:tc>
        <w:tc>
          <w:tcPr>
            <w:tcW w:w="1132" w:type="dxa"/>
          </w:tcPr>
          <w:p w14:paraId="79549C70" w14:textId="77777777" w:rsidR="0075793D" w:rsidRPr="00BA4F0F" w:rsidRDefault="0075793D" w:rsidP="007A7C4E">
            <w:pPr>
              <w:ind w:firstLine="0"/>
              <w:rPr>
                <w:rFonts w:cs="Times New Roman"/>
              </w:rPr>
            </w:pPr>
            <w:r w:rsidRPr="00BA4F0F">
              <w:rPr>
                <w:rFonts w:cs="Times New Roman"/>
              </w:rPr>
              <w:t>Х</w:t>
            </w:r>
          </w:p>
        </w:tc>
        <w:tc>
          <w:tcPr>
            <w:tcW w:w="1133" w:type="dxa"/>
          </w:tcPr>
          <w:p w14:paraId="3E025C50" w14:textId="77777777" w:rsidR="0075793D" w:rsidRPr="00BA4F0F" w:rsidRDefault="0075793D" w:rsidP="007A7C4E">
            <w:pPr>
              <w:ind w:firstLine="0"/>
              <w:rPr>
                <w:rFonts w:cs="Times New Roman"/>
              </w:rPr>
            </w:pPr>
            <w:r w:rsidRPr="00BA4F0F">
              <w:rPr>
                <w:rFonts w:cs="Times New Roman"/>
              </w:rPr>
              <w:t>Х</w:t>
            </w:r>
          </w:p>
        </w:tc>
        <w:tc>
          <w:tcPr>
            <w:tcW w:w="1133" w:type="dxa"/>
          </w:tcPr>
          <w:p w14:paraId="7B9C4AFE" w14:textId="77777777" w:rsidR="0075793D" w:rsidRPr="00BA4F0F" w:rsidRDefault="0075793D" w:rsidP="007A7C4E">
            <w:pPr>
              <w:ind w:firstLine="0"/>
              <w:rPr>
                <w:rFonts w:cs="Times New Roman"/>
              </w:rPr>
            </w:pPr>
          </w:p>
        </w:tc>
      </w:tr>
      <w:tr w:rsidR="0075793D" w:rsidRPr="00BA4F0F" w14:paraId="042AC4AA" w14:textId="77777777" w:rsidTr="002D3EBF">
        <w:trPr>
          <w:jc w:val="center"/>
        </w:trPr>
        <w:tc>
          <w:tcPr>
            <w:tcW w:w="1651" w:type="dxa"/>
          </w:tcPr>
          <w:p w14:paraId="33F74B96" w14:textId="77777777" w:rsidR="0075793D" w:rsidRPr="00BA4F0F" w:rsidRDefault="0075793D" w:rsidP="007A7C4E">
            <w:pPr>
              <w:ind w:firstLine="0"/>
              <w:rPr>
                <w:rFonts w:cs="Times New Roman"/>
              </w:rPr>
            </w:pPr>
            <w:r w:rsidRPr="00BA4F0F">
              <w:rPr>
                <w:rFonts w:cs="Times New Roman"/>
              </w:rPr>
              <w:t>Плериксафор, 240 мкг/кг</w:t>
            </w:r>
          </w:p>
        </w:tc>
        <w:tc>
          <w:tcPr>
            <w:tcW w:w="1133" w:type="dxa"/>
          </w:tcPr>
          <w:p w14:paraId="311B97C1" w14:textId="77777777" w:rsidR="0075793D" w:rsidRPr="00BA4F0F" w:rsidRDefault="0075793D" w:rsidP="007A7C4E">
            <w:pPr>
              <w:ind w:firstLine="0"/>
              <w:rPr>
                <w:rFonts w:cs="Times New Roman"/>
              </w:rPr>
            </w:pPr>
          </w:p>
        </w:tc>
        <w:tc>
          <w:tcPr>
            <w:tcW w:w="1129" w:type="dxa"/>
          </w:tcPr>
          <w:p w14:paraId="0A998DED" w14:textId="77777777" w:rsidR="0075793D" w:rsidRPr="00BA4F0F" w:rsidRDefault="0075793D" w:rsidP="007A7C4E">
            <w:pPr>
              <w:ind w:firstLine="0"/>
              <w:rPr>
                <w:rFonts w:cs="Times New Roman"/>
              </w:rPr>
            </w:pPr>
          </w:p>
        </w:tc>
        <w:tc>
          <w:tcPr>
            <w:tcW w:w="1129" w:type="dxa"/>
          </w:tcPr>
          <w:p w14:paraId="3FE66329" w14:textId="77777777" w:rsidR="0075793D" w:rsidRPr="00BA4F0F" w:rsidRDefault="0075793D" w:rsidP="007A7C4E">
            <w:pPr>
              <w:ind w:firstLine="0"/>
              <w:rPr>
                <w:rFonts w:cs="Times New Roman"/>
              </w:rPr>
            </w:pPr>
          </w:p>
        </w:tc>
        <w:tc>
          <w:tcPr>
            <w:tcW w:w="1132" w:type="dxa"/>
          </w:tcPr>
          <w:p w14:paraId="0477003A" w14:textId="77777777" w:rsidR="0075793D" w:rsidRPr="00BA4F0F" w:rsidRDefault="0075793D" w:rsidP="007A7C4E">
            <w:pPr>
              <w:ind w:firstLine="0"/>
              <w:rPr>
                <w:rFonts w:cs="Times New Roman"/>
              </w:rPr>
            </w:pPr>
            <w:r w:rsidRPr="00BA4F0F">
              <w:rPr>
                <w:rFonts w:cs="Times New Roman"/>
              </w:rPr>
              <w:t>Х</w:t>
            </w:r>
          </w:p>
        </w:tc>
        <w:tc>
          <w:tcPr>
            <w:tcW w:w="1133" w:type="dxa"/>
          </w:tcPr>
          <w:p w14:paraId="64506CDC" w14:textId="77777777" w:rsidR="0075793D" w:rsidRPr="00BA4F0F" w:rsidRDefault="0075793D" w:rsidP="007A7C4E">
            <w:pPr>
              <w:ind w:firstLine="0"/>
              <w:rPr>
                <w:rFonts w:cs="Times New Roman"/>
              </w:rPr>
            </w:pPr>
            <w:r w:rsidRPr="00BA4F0F">
              <w:rPr>
                <w:rFonts w:cs="Times New Roman"/>
              </w:rPr>
              <w:t>(Х)</w:t>
            </w:r>
          </w:p>
        </w:tc>
        <w:tc>
          <w:tcPr>
            <w:tcW w:w="1133" w:type="dxa"/>
          </w:tcPr>
          <w:p w14:paraId="7C6D322C" w14:textId="77777777" w:rsidR="0075793D" w:rsidRPr="00BA4F0F" w:rsidRDefault="0075793D" w:rsidP="007A7C4E">
            <w:pPr>
              <w:ind w:firstLine="0"/>
              <w:rPr>
                <w:rFonts w:cs="Times New Roman"/>
              </w:rPr>
            </w:pPr>
          </w:p>
        </w:tc>
      </w:tr>
      <w:tr w:rsidR="0075793D" w:rsidRPr="00BA4F0F" w14:paraId="1686D384" w14:textId="77777777" w:rsidTr="002D3EBF">
        <w:trPr>
          <w:jc w:val="center"/>
        </w:trPr>
        <w:tc>
          <w:tcPr>
            <w:tcW w:w="1651" w:type="dxa"/>
          </w:tcPr>
          <w:p w14:paraId="77C758D7" w14:textId="77777777" w:rsidR="0075793D" w:rsidRPr="00BA4F0F" w:rsidRDefault="0075793D" w:rsidP="007A7C4E">
            <w:pPr>
              <w:ind w:firstLine="0"/>
              <w:rPr>
                <w:rFonts w:cs="Times New Roman"/>
              </w:rPr>
            </w:pPr>
            <w:r w:rsidRPr="00BA4F0F">
              <w:rPr>
                <w:rFonts w:cs="Times New Roman"/>
              </w:rPr>
              <w:t>Лейкаферез</w:t>
            </w:r>
          </w:p>
        </w:tc>
        <w:tc>
          <w:tcPr>
            <w:tcW w:w="1133" w:type="dxa"/>
          </w:tcPr>
          <w:p w14:paraId="35A81AF4" w14:textId="77777777" w:rsidR="0075793D" w:rsidRPr="00BA4F0F" w:rsidRDefault="0075793D" w:rsidP="007A7C4E">
            <w:pPr>
              <w:ind w:firstLine="0"/>
              <w:rPr>
                <w:rFonts w:cs="Times New Roman"/>
              </w:rPr>
            </w:pPr>
          </w:p>
        </w:tc>
        <w:tc>
          <w:tcPr>
            <w:tcW w:w="1129" w:type="dxa"/>
          </w:tcPr>
          <w:p w14:paraId="0D1EDD62" w14:textId="77777777" w:rsidR="0075793D" w:rsidRPr="00BA4F0F" w:rsidRDefault="0075793D" w:rsidP="007A7C4E">
            <w:pPr>
              <w:ind w:firstLine="0"/>
              <w:rPr>
                <w:rFonts w:cs="Times New Roman"/>
              </w:rPr>
            </w:pPr>
          </w:p>
        </w:tc>
        <w:tc>
          <w:tcPr>
            <w:tcW w:w="1129" w:type="dxa"/>
          </w:tcPr>
          <w:p w14:paraId="741FAACD" w14:textId="77777777" w:rsidR="0075793D" w:rsidRPr="00BA4F0F" w:rsidRDefault="0075793D" w:rsidP="007A7C4E">
            <w:pPr>
              <w:ind w:firstLine="0"/>
              <w:rPr>
                <w:rFonts w:cs="Times New Roman"/>
              </w:rPr>
            </w:pPr>
          </w:p>
        </w:tc>
        <w:tc>
          <w:tcPr>
            <w:tcW w:w="1132" w:type="dxa"/>
          </w:tcPr>
          <w:p w14:paraId="7DE86F22" w14:textId="77777777" w:rsidR="0075793D" w:rsidRPr="00BA4F0F" w:rsidRDefault="0075793D" w:rsidP="007A7C4E">
            <w:pPr>
              <w:ind w:firstLine="0"/>
              <w:rPr>
                <w:rFonts w:cs="Times New Roman"/>
              </w:rPr>
            </w:pPr>
          </w:p>
        </w:tc>
        <w:tc>
          <w:tcPr>
            <w:tcW w:w="1133" w:type="dxa"/>
          </w:tcPr>
          <w:p w14:paraId="58FC6482" w14:textId="77777777" w:rsidR="0075793D" w:rsidRPr="00BA4F0F" w:rsidRDefault="0075793D" w:rsidP="007A7C4E">
            <w:pPr>
              <w:ind w:firstLine="0"/>
              <w:rPr>
                <w:rFonts w:cs="Times New Roman"/>
                <w:lang w:val="en-US"/>
              </w:rPr>
            </w:pPr>
            <w:r w:rsidRPr="00BA4F0F">
              <w:rPr>
                <w:rFonts w:cs="Times New Roman"/>
                <w:lang w:val="en-US"/>
              </w:rPr>
              <w:t>V</w:t>
            </w:r>
          </w:p>
        </w:tc>
        <w:tc>
          <w:tcPr>
            <w:tcW w:w="1133" w:type="dxa"/>
          </w:tcPr>
          <w:p w14:paraId="65A8C47D" w14:textId="77777777" w:rsidR="0075793D" w:rsidRPr="00BA4F0F" w:rsidRDefault="0075793D" w:rsidP="007A7C4E">
            <w:pPr>
              <w:ind w:firstLine="0"/>
              <w:rPr>
                <w:rFonts w:cs="Times New Roman"/>
                <w:lang w:val="en-US"/>
              </w:rPr>
            </w:pPr>
            <w:r w:rsidRPr="00BA4F0F">
              <w:rPr>
                <w:rFonts w:cs="Times New Roman"/>
                <w:lang w:val="en-US"/>
              </w:rPr>
              <w:t>V</w:t>
            </w:r>
          </w:p>
        </w:tc>
      </w:tr>
    </w:tbl>
    <w:p w14:paraId="4D6D3C34" w14:textId="77777777" w:rsidR="0075793D" w:rsidRPr="00BA4F0F" w:rsidRDefault="0075793D" w:rsidP="0075793D">
      <w:pPr>
        <w:pStyle w:val="11"/>
        <w:spacing w:before="0"/>
        <w:ind w:left="840"/>
      </w:pPr>
    </w:p>
    <w:p w14:paraId="72AB7B24" w14:textId="77777777" w:rsidR="0075793D" w:rsidRPr="00BA4F0F" w:rsidRDefault="0075793D" w:rsidP="0075793D">
      <w:pPr>
        <w:pStyle w:val="afe"/>
        <w:ind w:left="0"/>
        <w:rPr>
          <w:rFonts w:cs="Times New Roman"/>
          <w:szCs w:val="24"/>
          <w:u w:val="single"/>
        </w:rPr>
      </w:pPr>
      <w:bookmarkStart w:id="127" w:name="_Toc44926608"/>
      <w:r w:rsidRPr="00BA4F0F">
        <w:rPr>
          <w:rFonts w:cs="Times New Roman"/>
          <w:szCs w:val="24"/>
          <w:u w:val="single"/>
        </w:rPr>
        <w:t>Сравнительная характеристика режимов мобилизации ГСК</w:t>
      </w:r>
      <w:bookmarkEnd w:id="127"/>
    </w:p>
    <w:p w14:paraId="37A015A1" w14:textId="77777777" w:rsidR="0075793D" w:rsidRPr="00BA4F0F" w:rsidRDefault="0075793D" w:rsidP="0075793D">
      <w:pPr>
        <w:rPr>
          <w:rFonts w:cs="Times New Roman"/>
          <w:szCs w:val="24"/>
        </w:rPr>
      </w:pPr>
      <w:r w:rsidRPr="00BA4F0F">
        <w:rPr>
          <w:rFonts w:cs="Times New Roman"/>
          <w:szCs w:val="24"/>
        </w:rPr>
        <w:t xml:space="preserve">Проспективных рандомизированных исследований, сравнивающих методы мобилизации (только ростовой фактор или сочетание Г-КСФ с миелосупрессивной химиотерапией) на одном и том же контингенте больных не проводилось, а прямое сравнение различных исследований затруднено. В связи с этим оптимальный метод мобилизации ГСК определить невозможно. </w:t>
      </w:r>
    </w:p>
    <w:p w14:paraId="136A9D94" w14:textId="77777777" w:rsidR="0075793D" w:rsidRPr="00BA4F0F" w:rsidRDefault="0075793D" w:rsidP="0075793D">
      <w:pPr>
        <w:rPr>
          <w:rFonts w:cs="Times New Roman"/>
          <w:szCs w:val="24"/>
        </w:rPr>
      </w:pPr>
      <w:r w:rsidRPr="00BA4F0F">
        <w:rPr>
          <w:rFonts w:cs="Times New Roman"/>
          <w:szCs w:val="24"/>
        </w:rPr>
        <w:t xml:space="preserve">У каждого режима мобилизации ГСК есть определенные преимущества и недостатки, поэтому существует индивидуальный подход в выборе лечебной схемы в каждой конкретной ситуации (таблица 4). Так, при использовании Г-КСФ в монорежиме уменьшаются сроки госпитализации, не наблюдаются осложнения, характерные для периода МТА, нет потребности в трансфузионной терапии. Применение этого режима является относительно безопасным у больных с диализ-зависимой почечной недостаточностью, пациентов с кардиальной патологией. </w:t>
      </w:r>
    </w:p>
    <w:p w14:paraId="7C2BF34E" w14:textId="77777777" w:rsidR="0075793D" w:rsidRPr="00BA4F0F" w:rsidRDefault="0075793D" w:rsidP="0075793D">
      <w:pPr>
        <w:rPr>
          <w:rFonts w:cs="Times New Roman"/>
          <w:szCs w:val="24"/>
        </w:rPr>
      </w:pPr>
      <w:r w:rsidRPr="00BA4F0F">
        <w:rPr>
          <w:rFonts w:cs="Times New Roman"/>
          <w:szCs w:val="24"/>
        </w:rPr>
        <w:t xml:space="preserve">Но у больных с длительным анамнезом лечения велика вероятность неудовлетворительного результата сбора ГСК. Использование режима «ХТ+ Г-КСФ» часто позволяет заготовить адекватное количество клеток, однако сопряжено с развитием инфекционных и токсических осложнений в период МТА, требует назначения массивной сопроводительной терапии, что удлиняет сроки госпитализации. </w:t>
      </w:r>
    </w:p>
    <w:p w14:paraId="3D21EE8C" w14:textId="77777777" w:rsidR="0075793D" w:rsidRPr="00BA4F0F" w:rsidRDefault="0075793D" w:rsidP="0075793D">
      <w:pPr>
        <w:rPr>
          <w:rFonts w:cs="Times New Roman"/>
          <w:szCs w:val="24"/>
        </w:rPr>
      </w:pPr>
    </w:p>
    <w:p w14:paraId="59C94A66" w14:textId="77777777" w:rsidR="0075793D" w:rsidRPr="00BA4F0F" w:rsidRDefault="0075793D" w:rsidP="0075793D">
      <w:pPr>
        <w:rPr>
          <w:rFonts w:cs="Times New Roman"/>
          <w:szCs w:val="24"/>
        </w:rPr>
      </w:pPr>
      <w:r w:rsidRPr="00BA4F0F">
        <w:rPr>
          <w:rFonts w:cs="Times New Roman"/>
          <w:szCs w:val="24"/>
        </w:rPr>
        <w:t>Таблица 4. Сравнительная характеристика режимов мобилизации ГСК</w:t>
      </w:r>
    </w:p>
    <w:tbl>
      <w:tblPr>
        <w:tblStyle w:val="1f3"/>
        <w:tblW w:w="0" w:type="auto"/>
        <w:tblInd w:w="108" w:type="dxa"/>
        <w:tblLook w:val="04A0" w:firstRow="1" w:lastRow="0" w:firstColumn="1" w:lastColumn="0" w:noHBand="0" w:noVBand="1"/>
      </w:tblPr>
      <w:tblGrid>
        <w:gridCol w:w="1836"/>
        <w:gridCol w:w="3912"/>
        <w:gridCol w:w="3490"/>
      </w:tblGrid>
      <w:tr w:rsidR="0075793D" w:rsidRPr="00BA4F0F" w14:paraId="4814F25C" w14:textId="77777777" w:rsidTr="002D3EBF">
        <w:trPr>
          <w:trHeight w:val="896"/>
        </w:trPr>
        <w:tc>
          <w:tcPr>
            <w:tcW w:w="1843" w:type="dxa"/>
          </w:tcPr>
          <w:p w14:paraId="1A380738" w14:textId="77777777" w:rsidR="0075793D" w:rsidRPr="00BA4F0F" w:rsidRDefault="0075793D" w:rsidP="007A7C4E">
            <w:pPr>
              <w:ind w:firstLine="0"/>
              <w:rPr>
                <w:rFonts w:cs="Times New Roman"/>
              </w:rPr>
            </w:pPr>
            <w:r w:rsidRPr="00BA4F0F">
              <w:rPr>
                <w:rFonts w:cs="Times New Roman"/>
                <w:b/>
                <w:bCs/>
              </w:rPr>
              <w:t>Режим мобилизации</w:t>
            </w:r>
          </w:p>
        </w:tc>
        <w:tc>
          <w:tcPr>
            <w:tcW w:w="3969" w:type="dxa"/>
          </w:tcPr>
          <w:p w14:paraId="7279B2DA" w14:textId="77777777" w:rsidR="0075793D" w:rsidRPr="00BA4F0F" w:rsidRDefault="0075793D" w:rsidP="007A7C4E">
            <w:pPr>
              <w:ind w:left="720" w:firstLine="0"/>
              <w:contextualSpacing/>
              <w:rPr>
                <w:rFonts w:cs="Times New Roman"/>
              </w:rPr>
            </w:pPr>
            <w:r w:rsidRPr="00BA4F0F">
              <w:rPr>
                <w:rFonts w:cs="Times New Roman"/>
                <w:b/>
                <w:bCs/>
              </w:rPr>
              <w:t>Преимущества</w:t>
            </w:r>
          </w:p>
        </w:tc>
        <w:tc>
          <w:tcPr>
            <w:tcW w:w="3544" w:type="dxa"/>
          </w:tcPr>
          <w:p w14:paraId="41CF4849" w14:textId="77777777" w:rsidR="0075793D" w:rsidRPr="00BA4F0F" w:rsidRDefault="0075793D" w:rsidP="007A7C4E">
            <w:pPr>
              <w:ind w:left="720" w:firstLine="0"/>
              <w:contextualSpacing/>
              <w:rPr>
                <w:rFonts w:cs="Times New Roman"/>
              </w:rPr>
            </w:pPr>
            <w:r w:rsidRPr="00BA4F0F">
              <w:rPr>
                <w:rFonts w:cs="Times New Roman"/>
                <w:b/>
                <w:bCs/>
              </w:rPr>
              <w:t>Недостатки</w:t>
            </w:r>
          </w:p>
        </w:tc>
      </w:tr>
      <w:tr w:rsidR="0075793D" w:rsidRPr="00BA4F0F" w14:paraId="1143E42E" w14:textId="77777777" w:rsidTr="002D3EBF">
        <w:tc>
          <w:tcPr>
            <w:tcW w:w="1843" w:type="dxa"/>
          </w:tcPr>
          <w:p w14:paraId="66A28517" w14:textId="77777777" w:rsidR="0075793D" w:rsidRPr="00BA4F0F" w:rsidRDefault="0075793D" w:rsidP="007A7C4E">
            <w:pPr>
              <w:ind w:firstLine="0"/>
              <w:rPr>
                <w:rFonts w:cs="Times New Roman"/>
                <w:b/>
              </w:rPr>
            </w:pPr>
            <w:r w:rsidRPr="00BA4F0F">
              <w:rPr>
                <w:rFonts w:cs="Times New Roman"/>
                <w:b/>
              </w:rPr>
              <w:t>Г-КСФ в монорежиме</w:t>
            </w:r>
          </w:p>
        </w:tc>
        <w:tc>
          <w:tcPr>
            <w:tcW w:w="3969" w:type="dxa"/>
          </w:tcPr>
          <w:p w14:paraId="03D8C31D" w14:textId="77777777" w:rsidR="0075793D" w:rsidRPr="00BA4F0F" w:rsidRDefault="0075793D" w:rsidP="007A7C4E">
            <w:pPr>
              <w:ind w:firstLine="0"/>
              <w:rPr>
                <w:rFonts w:cs="Times New Roman"/>
              </w:rPr>
            </w:pPr>
            <w:r w:rsidRPr="00BA4F0F">
              <w:rPr>
                <w:rFonts w:cs="Times New Roman"/>
              </w:rPr>
              <w:t>Уменьшение сроков госпитализации, четко планируемые сроки лейкаферезов, отсутствие антибиотикотерапии, заместительной трансфузионной терапии</w:t>
            </w:r>
          </w:p>
          <w:p w14:paraId="2DC1D766" w14:textId="77777777" w:rsidR="0075793D" w:rsidRPr="00BA4F0F" w:rsidRDefault="0075793D" w:rsidP="007A7C4E">
            <w:pPr>
              <w:ind w:firstLine="0"/>
              <w:rPr>
                <w:rFonts w:cs="Times New Roman"/>
              </w:rPr>
            </w:pPr>
          </w:p>
        </w:tc>
        <w:tc>
          <w:tcPr>
            <w:tcW w:w="3544" w:type="dxa"/>
          </w:tcPr>
          <w:p w14:paraId="00712FD0" w14:textId="77777777" w:rsidR="0075793D" w:rsidRPr="00BA4F0F" w:rsidRDefault="0075793D" w:rsidP="007A7C4E">
            <w:pPr>
              <w:ind w:firstLine="0"/>
              <w:rPr>
                <w:rFonts w:cs="Times New Roman"/>
              </w:rPr>
            </w:pPr>
            <w:r w:rsidRPr="00BA4F0F">
              <w:rPr>
                <w:rFonts w:cs="Times New Roman"/>
              </w:rPr>
              <w:t>Неэффективна у предлеченных больных</w:t>
            </w:r>
          </w:p>
        </w:tc>
      </w:tr>
      <w:tr w:rsidR="0075793D" w:rsidRPr="00BA4F0F" w14:paraId="4F7AB547" w14:textId="77777777" w:rsidTr="002D3EBF">
        <w:tc>
          <w:tcPr>
            <w:tcW w:w="1843" w:type="dxa"/>
          </w:tcPr>
          <w:p w14:paraId="7495733A" w14:textId="77777777" w:rsidR="0075793D" w:rsidRPr="00BA4F0F" w:rsidRDefault="0075793D" w:rsidP="007A7C4E">
            <w:pPr>
              <w:ind w:firstLine="0"/>
              <w:rPr>
                <w:rFonts w:cs="Times New Roman"/>
                <w:b/>
              </w:rPr>
            </w:pPr>
            <w:r w:rsidRPr="00BA4F0F">
              <w:rPr>
                <w:rFonts w:cs="Times New Roman"/>
                <w:b/>
              </w:rPr>
              <w:t>ХТ+ Г-КСФ</w:t>
            </w:r>
          </w:p>
        </w:tc>
        <w:tc>
          <w:tcPr>
            <w:tcW w:w="3969" w:type="dxa"/>
          </w:tcPr>
          <w:p w14:paraId="24727E75" w14:textId="77777777" w:rsidR="0075793D" w:rsidRPr="00BA4F0F" w:rsidRDefault="0075793D" w:rsidP="007A7C4E">
            <w:pPr>
              <w:ind w:firstLine="0"/>
              <w:rPr>
                <w:rFonts w:cs="Times New Roman"/>
              </w:rPr>
            </w:pPr>
            <w:r w:rsidRPr="00BA4F0F">
              <w:rPr>
                <w:rFonts w:cs="Times New Roman"/>
              </w:rPr>
              <w:t>Высокая эффективность  мобилизации</w:t>
            </w:r>
          </w:p>
        </w:tc>
        <w:tc>
          <w:tcPr>
            <w:tcW w:w="3544" w:type="dxa"/>
          </w:tcPr>
          <w:p w14:paraId="576A0C78" w14:textId="77777777" w:rsidR="0075793D" w:rsidRPr="00BA4F0F" w:rsidRDefault="0075793D" w:rsidP="007A7C4E">
            <w:pPr>
              <w:ind w:firstLine="0"/>
              <w:rPr>
                <w:rFonts w:cs="Times New Roman"/>
              </w:rPr>
            </w:pPr>
            <w:r w:rsidRPr="00BA4F0F">
              <w:rPr>
                <w:rFonts w:cs="Times New Roman"/>
              </w:rPr>
              <w:t>Цитопения</w:t>
            </w:r>
          </w:p>
          <w:p w14:paraId="1A6D39C1" w14:textId="77777777" w:rsidR="0075793D" w:rsidRPr="00BA4F0F" w:rsidRDefault="0075793D" w:rsidP="007A7C4E">
            <w:pPr>
              <w:ind w:firstLine="0"/>
              <w:rPr>
                <w:rFonts w:cs="Times New Roman"/>
              </w:rPr>
            </w:pPr>
            <w:r w:rsidRPr="00BA4F0F">
              <w:rPr>
                <w:rFonts w:cs="Times New Roman"/>
              </w:rPr>
              <w:t xml:space="preserve">Инфекционные осложнения </w:t>
            </w:r>
          </w:p>
          <w:p w14:paraId="6B4D52A3" w14:textId="77777777" w:rsidR="0075793D" w:rsidRPr="00BA4F0F" w:rsidRDefault="0075793D" w:rsidP="007A7C4E">
            <w:pPr>
              <w:ind w:firstLine="0"/>
              <w:rPr>
                <w:rFonts w:cs="Times New Roman"/>
              </w:rPr>
            </w:pPr>
            <w:r w:rsidRPr="00BA4F0F">
              <w:rPr>
                <w:rFonts w:cs="Times New Roman"/>
              </w:rPr>
              <w:t>Трансфузии компонентов крови</w:t>
            </w:r>
          </w:p>
          <w:p w14:paraId="106839E5" w14:textId="77777777" w:rsidR="0075793D" w:rsidRPr="00BA4F0F" w:rsidRDefault="0075793D" w:rsidP="007A7C4E">
            <w:pPr>
              <w:ind w:firstLine="0"/>
              <w:rPr>
                <w:rFonts w:cs="Times New Roman"/>
              </w:rPr>
            </w:pPr>
            <w:r w:rsidRPr="00BA4F0F">
              <w:rPr>
                <w:rFonts w:cs="Times New Roman"/>
              </w:rPr>
              <w:t>Нет четкого планирования сроков лейкаферезов</w:t>
            </w:r>
          </w:p>
          <w:p w14:paraId="0981B147" w14:textId="77777777" w:rsidR="0075793D" w:rsidRPr="00BA4F0F" w:rsidRDefault="0075793D" w:rsidP="007A7C4E">
            <w:pPr>
              <w:ind w:firstLine="0"/>
              <w:rPr>
                <w:rFonts w:cs="Times New Roman"/>
              </w:rPr>
            </w:pPr>
            <w:r w:rsidRPr="00BA4F0F">
              <w:rPr>
                <w:rFonts w:cs="Times New Roman"/>
              </w:rPr>
              <w:t>Небезопасна при коморбидности</w:t>
            </w:r>
          </w:p>
        </w:tc>
      </w:tr>
    </w:tbl>
    <w:p w14:paraId="31893F62" w14:textId="77777777" w:rsidR="0075793D" w:rsidRPr="00BA4F0F" w:rsidRDefault="0075793D" w:rsidP="0075793D">
      <w:pPr>
        <w:rPr>
          <w:rFonts w:cs="Times New Roman"/>
          <w:i/>
          <w:szCs w:val="24"/>
        </w:rPr>
      </w:pPr>
      <w:r w:rsidRPr="00BA4F0F">
        <w:rPr>
          <w:rFonts w:cs="Times New Roman"/>
          <w:i/>
          <w:szCs w:val="24"/>
        </w:rPr>
        <w:t>ХТ – химиотерапия, ЛЛТ – локальная лучевая терапия</w:t>
      </w:r>
    </w:p>
    <w:p w14:paraId="79515D3A" w14:textId="77777777" w:rsidR="0075793D" w:rsidRPr="00BA4F0F" w:rsidRDefault="0075793D" w:rsidP="0075793D">
      <w:pPr>
        <w:rPr>
          <w:rFonts w:cs="Times New Roman"/>
          <w:szCs w:val="24"/>
        </w:rPr>
      </w:pPr>
      <w:r w:rsidRPr="00BA4F0F">
        <w:rPr>
          <w:rFonts w:cs="Times New Roman"/>
          <w:szCs w:val="24"/>
        </w:rPr>
        <w:t xml:space="preserve">Продолжаются многочисленные исследования, направленные на оптимизацию режимов мобилизации стволовых клеток, обсуждаются возможности применения новых ростовых факторов, апробируются различные дозы цитостатических препаратов. </w:t>
      </w:r>
    </w:p>
    <w:p w14:paraId="417276FA" w14:textId="77777777" w:rsidR="0075793D" w:rsidRPr="00BA4F0F" w:rsidRDefault="0075793D" w:rsidP="0075793D">
      <w:pPr>
        <w:rPr>
          <w:rFonts w:cs="Times New Roman"/>
          <w:szCs w:val="24"/>
        </w:rPr>
      </w:pPr>
      <w:bookmarkStart w:id="128" w:name="_Toc44926609"/>
    </w:p>
    <w:p w14:paraId="5F4B26DD" w14:textId="77777777" w:rsidR="0075793D" w:rsidRPr="00BA4F0F" w:rsidRDefault="0075793D" w:rsidP="0075793D">
      <w:pPr>
        <w:rPr>
          <w:rFonts w:cs="Times New Roman"/>
          <w:b/>
          <w:szCs w:val="24"/>
        </w:rPr>
      </w:pPr>
      <w:r w:rsidRPr="00BA4F0F">
        <w:rPr>
          <w:rFonts w:cs="Times New Roman"/>
          <w:b/>
          <w:szCs w:val="24"/>
        </w:rPr>
        <w:t>Особенности сопроводительной терапии при мобилизации ГСК</w:t>
      </w:r>
      <w:bookmarkEnd w:id="128"/>
    </w:p>
    <w:p w14:paraId="611EE884" w14:textId="77777777" w:rsidR="0075793D" w:rsidRPr="00BA4F0F" w:rsidRDefault="0075793D" w:rsidP="0075793D">
      <w:pPr>
        <w:pStyle w:val="afe"/>
        <w:ind w:left="0"/>
        <w:rPr>
          <w:rFonts w:cs="Times New Roman"/>
          <w:szCs w:val="24"/>
          <w:u w:val="single"/>
        </w:rPr>
      </w:pPr>
      <w:r w:rsidRPr="00BA4F0F">
        <w:rPr>
          <w:rFonts w:cs="Times New Roman"/>
          <w:szCs w:val="24"/>
          <w:u w:val="single"/>
        </w:rPr>
        <w:t>Г-КСФ в монорежиме и Г-КСФ в сочетании с плериксафором</w:t>
      </w:r>
    </w:p>
    <w:p w14:paraId="79CAEFEF" w14:textId="77777777" w:rsidR="0075793D" w:rsidRPr="00BA4F0F" w:rsidRDefault="0075793D" w:rsidP="005E0272">
      <w:pPr>
        <w:numPr>
          <w:ilvl w:val="0"/>
          <w:numId w:val="232"/>
        </w:numPr>
        <w:ind w:left="0" w:firstLine="0"/>
        <w:rPr>
          <w:rFonts w:cs="Times New Roman"/>
          <w:szCs w:val="24"/>
        </w:rPr>
      </w:pPr>
      <w:r w:rsidRPr="00BA4F0F">
        <w:rPr>
          <w:rFonts w:cs="Times New Roman"/>
          <w:szCs w:val="24"/>
        </w:rPr>
        <w:t>Если есть сложности с доступом к периферическим венам, перед началом сбора ГСК устанавливается перфузионный катетер в центральную вену;</w:t>
      </w:r>
    </w:p>
    <w:p w14:paraId="796397CF" w14:textId="77777777" w:rsidR="0075793D" w:rsidRPr="00BA4F0F" w:rsidRDefault="0075793D" w:rsidP="005E0272">
      <w:pPr>
        <w:numPr>
          <w:ilvl w:val="0"/>
          <w:numId w:val="232"/>
        </w:numPr>
        <w:ind w:left="0" w:firstLine="0"/>
        <w:rPr>
          <w:rFonts w:cs="Times New Roman"/>
          <w:szCs w:val="24"/>
        </w:rPr>
      </w:pPr>
      <w:r w:rsidRPr="00BA4F0F">
        <w:rPr>
          <w:rFonts w:cs="Times New Roman"/>
          <w:szCs w:val="24"/>
        </w:rPr>
        <w:t>С целью профилактики тромботических осложнений проводится введение низкомолекулярных гепаринов (эноксапарин 40 мг или эквивалент) в профилактической дозе подкожно один раз в сутки на фоне введения Г-КСФ и в течение 2-3 суток после его отмены;</w:t>
      </w:r>
    </w:p>
    <w:p w14:paraId="7CC3E74B" w14:textId="77777777" w:rsidR="0075793D" w:rsidRPr="00BA4F0F" w:rsidRDefault="0075793D" w:rsidP="005E0272">
      <w:pPr>
        <w:numPr>
          <w:ilvl w:val="0"/>
          <w:numId w:val="232"/>
        </w:numPr>
        <w:ind w:left="0" w:firstLine="0"/>
        <w:rPr>
          <w:rFonts w:cs="Times New Roman"/>
          <w:szCs w:val="24"/>
        </w:rPr>
      </w:pPr>
      <w:r w:rsidRPr="00BA4F0F">
        <w:rPr>
          <w:rFonts w:cs="Times New Roman"/>
          <w:szCs w:val="24"/>
        </w:rPr>
        <w:t xml:space="preserve">Адекватное обезболивание при болевом синдроме в костях, вызванном введением Г-КСФ. Предпочтение отдается наркотическим аналгетикам (промедол 10 мг в/в, трамадол 100 мг в/в, фентанил 25 мкг/час трансдермально), при отсутствии миелотксического агранулоцитоза возможно использование нестероидных противовоспалительных препаратов. </w:t>
      </w:r>
    </w:p>
    <w:p w14:paraId="028D1545" w14:textId="77777777" w:rsidR="0075793D" w:rsidRPr="00BA4F0F" w:rsidRDefault="0075793D" w:rsidP="0075793D">
      <w:pPr>
        <w:rPr>
          <w:rFonts w:cs="Times New Roman"/>
          <w:b/>
          <w:i/>
          <w:szCs w:val="24"/>
        </w:rPr>
      </w:pPr>
    </w:p>
    <w:p w14:paraId="7975B6A1" w14:textId="77777777" w:rsidR="0075793D" w:rsidRPr="00BA4F0F" w:rsidRDefault="0075793D" w:rsidP="0075793D">
      <w:pPr>
        <w:pStyle w:val="afe"/>
        <w:ind w:left="0"/>
        <w:rPr>
          <w:rFonts w:cs="Times New Roman"/>
          <w:szCs w:val="24"/>
          <w:u w:val="single"/>
        </w:rPr>
      </w:pPr>
      <w:r w:rsidRPr="00BA4F0F">
        <w:rPr>
          <w:rFonts w:cs="Times New Roman"/>
          <w:szCs w:val="24"/>
          <w:u w:val="single"/>
        </w:rPr>
        <w:t>Режим «ХТ + Г-КСФ»</w:t>
      </w:r>
    </w:p>
    <w:p w14:paraId="33EC3208" w14:textId="77777777" w:rsidR="0075793D" w:rsidRPr="00BA4F0F" w:rsidRDefault="0075793D" w:rsidP="005E0272">
      <w:pPr>
        <w:numPr>
          <w:ilvl w:val="0"/>
          <w:numId w:val="232"/>
        </w:numPr>
        <w:ind w:left="0" w:firstLine="0"/>
        <w:rPr>
          <w:rFonts w:cs="Times New Roman"/>
          <w:szCs w:val="24"/>
        </w:rPr>
      </w:pPr>
      <w:r w:rsidRPr="00BA4F0F">
        <w:rPr>
          <w:rFonts w:cs="Times New Roman"/>
          <w:szCs w:val="24"/>
        </w:rPr>
        <w:t>Необходима установка центрального венозного катетера (ЦВК) для обеспечения сосудистого доступа. Если есть сложности с доступом к периферическим венам, перед началом сбора ГСК центральный катетер меняют на перфузионный;</w:t>
      </w:r>
    </w:p>
    <w:p w14:paraId="07482AE9" w14:textId="77777777" w:rsidR="0075793D" w:rsidRPr="00BA4F0F" w:rsidRDefault="0075793D" w:rsidP="005E0272">
      <w:pPr>
        <w:numPr>
          <w:ilvl w:val="0"/>
          <w:numId w:val="232"/>
        </w:numPr>
        <w:ind w:left="0" w:firstLine="0"/>
        <w:rPr>
          <w:rFonts w:cs="Times New Roman"/>
          <w:szCs w:val="24"/>
        </w:rPr>
      </w:pPr>
      <w:r w:rsidRPr="00BA4F0F">
        <w:rPr>
          <w:rFonts w:cs="Times New Roman"/>
          <w:szCs w:val="24"/>
        </w:rPr>
        <w:t>Круглосуточное введение гепарина с целью профилактики тромботических осложнений. Начальная доза гепарина 12 000 ЕД/сут., далее - под контролем АЧТВ (АЧТВ 1,5-2 нормы);</w:t>
      </w:r>
    </w:p>
    <w:p w14:paraId="76A2E37D" w14:textId="77777777" w:rsidR="0075793D" w:rsidRPr="00BA4F0F" w:rsidRDefault="0075793D" w:rsidP="005E0272">
      <w:pPr>
        <w:numPr>
          <w:ilvl w:val="0"/>
          <w:numId w:val="232"/>
        </w:numPr>
        <w:ind w:left="0" w:firstLine="0"/>
        <w:rPr>
          <w:rFonts w:cs="Times New Roman"/>
          <w:szCs w:val="24"/>
        </w:rPr>
      </w:pPr>
      <w:r w:rsidRPr="00BA4F0F">
        <w:rPr>
          <w:rFonts w:cs="Times New Roman"/>
          <w:szCs w:val="24"/>
        </w:rPr>
        <w:t>Введение химиопрепаратов сопровождается массивной гидратацией из расчета 1,5-3 л/м</w:t>
      </w:r>
      <w:r w:rsidRPr="00BA4F0F">
        <w:rPr>
          <w:rFonts w:cs="Times New Roman"/>
          <w:szCs w:val="24"/>
          <w:vertAlign w:val="superscript"/>
        </w:rPr>
        <w:t>2</w:t>
      </w:r>
      <w:r w:rsidRPr="00BA4F0F">
        <w:rPr>
          <w:rFonts w:cs="Times New Roman"/>
          <w:szCs w:val="24"/>
        </w:rPr>
        <w:t>, гипоурикемической терапией аллопуринолом 400 - 600 мг/сут. (за исключением схем, содержащих метотрексат), диуретической терапией (фуросемид 20 мг болюсно 3 р/сут)</w:t>
      </w:r>
    </w:p>
    <w:p w14:paraId="61FE311D" w14:textId="77777777" w:rsidR="0075793D" w:rsidRPr="00BA4F0F" w:rsidRDefault="0075793D" w:rsidP="005E0272">
      <w:pPr>
        <w:numPr>
          <w:ilvl w:val="0"/>
          <w:numId w:val="232"/>
        </w:numPr>
        <w:ind w:left="0" w:firstLine="0"/>
        <w:rPr>
          <w:rFonts w:cs="Times New Roman"/>
          <w:szCs w:val="24"/>
        </w:rPr>
      </w:pPr>
      <w:r w:rsidRPr="00BA4F0F">
        <w:rPr>
          <w:rFonts w:cs="Times New Roman"/>
          <w:szCs w:val="24"/>
        </w:rPr>
        <w:t>При наличии в схеме ХТ ифосфамида, циклофосфамида для защиты слизистой мочевого пузыря и мочевыводящих путей назначается уромитексан в дозе 2,4 г/м</w:t>
      </w:r>
      <w:r w:rsidRPr="00BA4F0F">
        <w:rPr>
          <w:rFonts w:cs="Times New Roman"/>
          <w:szCs w:val="24"/>
          <w:vertAlign w:val="superscript"/>
        </w:rPr>
        <w:t>2</w:t>
      </w:r>
      <w:r w:rsidRPr="00BA4F0F">
        <w:rPr>
          <w:rFonts w:cs="Times New Roman"/>
          <w:szCs w:val="24"/>
        </w:rPr>
        <w:t xml:space="preserve"> круглосуточно в день введения цитостатика;</w:t>
      </w:r>
    </w:p>
    <w:p w14:paraId="6FAF055E" w14:textId="77777777" w:rsidR="0075793D" w:rsidRPr="00BA4F0F" w:rsidRDefault="0075793D" w:rsidP="005E0272">
      <w:pPr>
        <w:numPr>
          <w:ilvl w:val="0"/>
          <w:numId w:val="232"/>
        </w:numPr>
        <w:ind w:left="0" w:firstLine="0"/>
        <w:rPr>
          <w:rFonts w:cs="Times New Roman"/>
          <w:szCs w:val="24"/>
        </w:rPr>
      </w:pPr>
      <w:r w:rsidRPr="00BA4F0F">
        <w:rPr>
          <w:rFonts w:cs="Times New Roman"/>
          <w:szCs w:val="24"/>
        </w:rPr>
        <w:t>При наличии в схеме ХТ метотрексата через 12 ч. после окончания его введения назначается лейковорин в дозе 25 мг внутрь и внутривенно 6 раз в сутки 4 дня или до достижения концентрации метотрексата в крови менее 0,1 мкмоль/л.</w:t>
      </w:r>
    </w:p>
    <w:p w14:paraId="286DCD34" w14:textId="77777777" w:rsidR="0075793D" w:rsidRPr="00BA4F0F" w:rsidRDefault="0075793D" w:rsidP="005E0272">
      <w:pPr>
        <w:numPr>
          <w:ilvl w:val="0"/>
          <w:numId w:val="232"/>
        </w:numPr>
        <w:ind w:left="0" w:firstLine="0"/>
        <w:rPr>
          <w:rFonts w:cs="Times New Roman"/>
          <w:szCs w:val="24"/>
        </w:rPr>
      </w:pPr>
      <w:r w:rsidRPr="00BA4F0F">
        <w:rPr>
          <w:rFonts w:cs="Times New Roman"/>
          <w:szCs w:val="24"/>
        </w:rPr>
        <w:t>Противосудорожная профилактика, если применяется бусульфан, циклофосфан (карбамазепин 200 мг+ диазепам 10 мг);</w:t>
      </w:r>
    </w:p>
    <w:p w14:paraId="176606A8" w14:textId="77777777" w:rsidR="0075793D" w:rsidRPr="00BA4F0F" w:rsidRDefault="0075793D" w:rsidP="005E0272">
      <w:pPr>
        <w:numPr>
          <w:ilvl w:val="0"/>
          <w:numId w:val="232"/>
        </w:numPr>
        <w:ind w:left="0" w:firstLine="0"/>
        <w:rPr>
          <w:rFonts w:cs="Times New Roman"/>
          <w:szCs w:val="24"/>
        </w:rPr>
      </w:pPr>
      <w:r w:rsidRPr="00BA4F0F">
        <w:rPr>
          <w:rFonts w:cs="Times New Roman"/>
          <w:szCs w:val="24"/>
        </w:rPr>
        <w:t>Противорвотная терапия по стандартным схемам (ондансетрон 8 мг, метоклопрамид 10 мг и тд.);</w:t>
      </w:r>
    </w:p>
    <w:p w14:paraId="401A0870" w14:textId="77777777" w:rsidR="0075793D" w:rsidRPr="00BA4F0F" w:rsidRDefault="0075793D" w:rsidP="005E0272">
      <w:pPr>
        <w:numPr>
          <w:ilvl w:val="0"/>
          <w:numId w:val="232"/>
        </w:numPr>
        <w:ind w:left="0" w:firstLine="0"/>
        <w:rPr>
          <w:rFonts w:cs="Times New Roman"/>
          <w:szCs w:val="24"/>
        </w:rPr>
      </w:pPr>
      <w:r w:rsidRPr="00BA4F0F">
        <w:rPr>
          <w:rFonts w:cs="Times New Roman"/>
          <w:szCs w:val="24"/>
        </w:rPr>
        <w:t xml:space="preserve">Противоязвенная терапия по стандартным схемам (омепразол 20 мг или ранитидин 150 мг) </w:t>
      </w:r>
    </w:p>
    <w:p w14:paraId="41C28D60" w14:textId="77777777" w:rsidR="0075793D" w:rsidRPr="00BA4F0F" w:rsidRDefault="0075793D" w:rsidP="005E0272">
      <w:pPr>
        <w:numPr>
          <w:ilvl w:val="0"/>
          <w:numId w:val="232"/>
        </w:numPr>
        <w:ind w:left="0" w:firstLine="0"/>
        <w:rPr>
          <w:rFonts w:cs="Times New Roman"/>
          <w:szCs w:val="24"/>
        </w:rPr>
      </w:pPr>
      <w:r w:rsidRPr="00BA4F0F">
        <w:rPr>
          <w:rFonts w:cs="Times New Roman"/>
          <w:szCs w:val="24"/>
        </w:rPr>
        <w:t>Овариопротекция проводится женщинам фертильного возраста по показаниям</w:t>
      </w:r>
    </w:p>
    <w:p w14:paraId="5FB669CC" w14:textId="77777777" w:rsidR="0075793D" w:rsidRPr="00BA4F0F" w:rsidRDefault="0075793D" w:rsidP="0075793D">
      <w:pPr>
        <w:rPr>
          <w:rFonts w:cs="Times New Roman"/>
          <w:b/>
          <w:szCs w:val="24"/>
        </w:rPr>
      </w:pPr>
      <w:bookmarkStart w:id="129" w:name="_Toc44926610"/>
    </w:p>
    <w:p w14:paraId="7405B3B6" w14:textId="77777777" w:rsidR="0075793D" w:rsidRPr="00BA4F0F" w:rsidRDefault="0075793D" w:rsidP="0075793D">
      <w:pPr>
        <w:rPr>
          <w:rFonts w:cs="Times New Roman"/>
          <w:b/>
          <w:szCs w:val="24"/>
        </w:rPr>
      </w:pPr>
      <w:r w:rsidRPr="00BA4F0F">
        <w:rPr>
          <w:rFonts w:cs="Times New Roman"/>
          <w:b/>
          <w:szCs w:val="24"/>
        </w:rPr>
        <w:t>Лейкаферез и криоконсервирование</w:t>
      </w:r>
      <w:bookmarkEnd w:id="129"/>
    </w:p>
    <w:p w14:paraId="19CC4FF2" w14:textId="77777777" w:rsidR="0075793D" w:rsidRPr="00BA4F0F" w:rsidRDefault="0075793D" w:rsidP="0075793D">
      <w:pPr>
        <w:pStyle w:val="afe"/>
        <w:ind w:left="0"/>
        <w:rPr>
          <w:rFonts w:cs="Times New Roman"/>
          <w:szCs w:val="24"/>
          <w:u w:val="single"/>
        </w:rPr>
      </w:pPr>
      <w:bookmarkStart w:id="130" w:name="_Toc44926611"/>
      <w:r w:rsidRPr="00BA4F0F">
        <w:rPr>
          <w:rFonts w:cs="Times New Roman"/>
          <w:szCs w:val="24"/>
          <w:u w:val="single"/>
        </w:rPr>
        <w:t>Лейкоцитаферез</w:t>
      </w:r>
      <w:bookmarkEnd w:id="130"/>
    </w:p>
    <w:p w14:paraId="4E23B015" w14:textId="738BBAFB" w:rsidR="0075793D" w:rsidRPr="00BA4F0F" w:rsidRDefault="0075793D" w:rsidP="0075793D">
      <w:pPr>
        <w:rPr>
          <w:rFonts w:cs="Times New Roman"/>
          <w:szCs w:val="24"/>
        </w:rPr>
      </w:pPr>
      <w:r w:rsidRPr="00BA4F0F">
        <w:rPr>
          <w:rFonts w:cs="Times New Roman"/>
          <w:szCs w:val="24"/>
        </w:rPr>
        <w:t xml:space="preserve">Лейкаферез – полуселективный метод экстракорпоральной гемокоррекции, основанный на разделении плазмы и клеток крови под воздействием центробежной силы и выделении из крови фракции лейкоцитов </w:t>
      </w:r>
      <w:r w:rsidRPr="00BA4F0F">
        <w:rPr>
          <w:rFonts w:cs="Times New Roman"/>
          <w:szCs w:val="24"/>
        </w:rPr>
        <w:fldChar w:fldCharType="begin" w:fldLock="1"/>
      </w:r>
      <w:r w:rsidR="004810E5">
        <w:rPr>
          <w:rFonts w:cs="Times New Roman"/>
          <w:szCs w:val="24"/>
        </w:rPr>
        <w:instrText>ADDIN CSL_CITATION {"citationItems":[{"id":"ITEM-1","itemData":{"author":[{"dropping-particle":"","family":"Афанасьева О.И., Воинов В.А.","given":"Гольдфарб Ю.С.","non-dropping-particle":"","parse-names":false,"suffix":""}],"id":"ITEM-1","issued":{"date-parts":[["2016"]]},"page":"7-15","publisher-place":"СПб","title":"Экстракорпоральная гемокоррекция: терминология, языковые соответствия","type":"paper-conference"},"uris":["http://www.mendeley.com/documents/?uuid=dd794081-f883-4721-812b-15ca1118ea10","http://www.mendeley.com/documents/?uuid=e6fbe91e-84b6-4e21-8e03-046ee3f21147","http://www.mendeley.com/documents/?uuid=97018312-9d9b-48d4-8675-1e409d0ed713","http://www.mendeley.com/documents/?uuid=282ee115-b097-474e-a9bb-520be3f26e12","http://www.mendeley.com/documents/?uuid=27217d21-2275-40b2-ad81-407c9211ec51","http://www.mendeley.com/documents/?uuid=caa1a6ba-88e1-4c61-a222-974128ef3624","http://www.mendeley.com/documents/?uuid=3b79c5e9-e873-4ee1-a644-2cc9d177aaa6"]}],"mendeley":{"formattedCitation":"[181]","plainTextFormattedCitation":"[181]","previouslyFormattedCitation":"[181]"},"properties":{"noteIndex":0},"schema":"https://github.com/citation-style-language/schema/raw/master/csl-citation.json"}</w:instrText>
      </w:r>
      <w:r w:rsidRPr="00BA4F0F">
        <w:rPr>
          <w:rFonts w:cs="Times New Roman"/>
          <w:szCs w:val="24"/>
        </w:rPr>
        <w:fldChar w:fldCharType="separate"/>
      </w:r>
      <w:r w:rsidR="004810E5" w:rsidRPr="004810E5">
        <w:rPr>
          <w:rFonts w:cs="Times New Roman"/>
          <w:noProof/>
          <w:szCs w:val="24"/>
        </w:rPr>
        <w:t>[181]</w:t>
      </w:r>
      <w:r w:rsidRPr="00BA4F0F">
        <w:rPr>
          <w:rFonts w:cs="Times New Roman"/>
          <w:szCs w:val="24"/>
        </w:rPr>
        <w:fldChar w:fldCharType="end"/>
      </w:r>
      <w:r w:rsidRPr="00BA4F0F">
        <w:rPr>
          <w:rFonts w:cs="Times New Roman"/>
          <w:szCs w:val="24"/>
        </w:rPr>
        <w:t xml:space="preserve">. </w:t>
      </w:r>
    </w:p>
    <w:p w14:paraId="4A27062C" w14:textId="7524DF39" w:rsidR="0075793D" w:rsidRPr="00BA4F0F" w:rsidRDefault="0075793D" w:rsidP="0075793D">
      <w:pPr>
        <w:rPr>
          <w:rFonts w:cs="Times New Roman"/>
          <w:szCs w:val="24"/>
        </w:rPr>
      </w:pPr>
      <w:r w:rsidRPr="00BA4F0F">
        <w:rPr>
          <w:rFonts w:cs="Times New Roman"/>
          <w:szCs w:val="24"/>
        </w:rPr>
        <w:t xml:space="preserve">Как уже упоминалось выше, основным критерием, позволяющим прогнозировать успешный сбор ГСК, является содержание СD34+ клеток в периферической крови в день проведения предполагаемого первого лейкафереза. Если сбор ГСК начат рано, потребуются большее количество процедур, что приводит к увеличению финансовых и трудозатрат. Кроме того, увеличение числа лейкаферезов приводит к возрастанию общего объема заготовленного продукта. Соответственно, применяется большее количество криопротектора (диметилсульфоксида – ДМСО), который при дальнейшем внутривенном введении во время ауто-ТГСК может вызывать побочные явления </w:t>
      </w:r>
      <w:r w:rsidRPr="00BA4F0F">
        <w:rPr>
          <w:rFonts w:cs="Times New Roman"/>
          <w:szCs w:val="24"/>
        </w:rPr>
        <w:fldChar w:fldCharType="begin" w:fldLock="1"/>
      </w:r>
      <w:r w:rsidR="004810E5">
        <w:rPr>
          <w:rFonts w:cs="Times New Roman"/>
          <w:szCs w:val="24"/>
        </w:rPr>
        <w:instrText>ADDIN CSL_CITATION {"citationItems":[{"id":"ITEM-1","itemData":{"DOI":"10.1016/j.tmrv.2018.05.005","ISSN":"15329496","abstract":"Adverse events (AEs) associated with blood transfusions, including component-specific red cell, platelet, and plasma products, have been extensively surveyed. In contrast, surveillance of AEs associated with hematopoietic stem cell (HSC) products in HSC transplantation (HSCT) has been less rigorous, even though HSC products include a diversity of immature and mature hematopoietic cells, substantial plasma, and dimethyl sulfoxide (DMSO) in the case of cryopreserved HSC products. HSC infusion-related AEs have been attributed to DMSO toxicity, but AEs associated with the infusion of noncryopreserved HSC products are not uncommon. To quantify the frequencies, types, and risk factors of HSC infusion-related AEs, we implemented national surveillance for AEs observed within 24 hours after infusion. Herein we report on 1125 HSCTs, including 570 peripheral blood stem cell transplantations (PBSCTs) (290 autologous [auto-] and 280 allogeneic [allo-]), 332 allo-bone marrow transplantations (allo-BMTs) and 223 allo-cord blood transplantations (allo-CBTs). Unexpectedly, incidences of grade ≥ 2 AEs were most frequent in allo-BMTs (37.7%) with no DMSO in any product compared with auto-/allo-PBSCTs (20.9%, P &lt;.001) and allo-CBTs (19.3%, P &lt;.001) typically cryopreserved with DMSO. Hypertension was most often noted in BMTs, whereas nausea/vomiting, fever, and allergic reactions were most frequent in allo-PBSCTs. In a multivariate analysis, a history of transfusion reactions was a risk factor for overall AEs in all HSCTs (odds ratio [OR] = 1.459, P =.045). For grade ≥ 2 AEs in allo-HSCTs, a history of transfusion reactions (OR = 1.551, P =.044) for overall AEs, and high infusion volume (OR = 7.544, P =.005) and allo-PBSCTs (versus BMTs, OR = 9.948, P =.002) for allergic reactions were identified as risk factors. These findings suggest that some factors unrelated to DMSO, such as allo-antigens, contribute to HSC infusion-related AEs. As severe AEs, a total of 117 grade ≥ 3 AEs were reported in 1125 HSCTs, including life-threatening complications in 3 (0.3%) HSCTs: 1 allo-CBT (anaphylaxis) and 2 allo-PBSCTs (hypoxia, kidney injury) with cryopreserved product. Our data show that HSC infusion risks vary by product, can be severe, and should be monitored with the same rigor as modern transfusion hemovigilance programs.","author":[{"dropping-particle":"","family":"Ikeda","given":"Kazuhiko","non-dropping-particle":"","parse-names":false,"suffix":""},{"dropping-particle":"","family":"Ohto","given":"Hitoshi","non-dropping-particle":"","parse-names":false,"suffix":""},{"dropping-particle":"","family":"Okuyama","given":"Yoshiki","non-dropping-particle":"","parse-names":false,"suffix":""},{"dropping-particle":"","family":"Yamada-Fujiwara","given":"Minami","non-dropping-particle":"","parse-names":false,"suffix":""},{"dropping-particle":"","family":"Kanamori","given":"Heiwa","non-dropping-particle":"","parse-names":false,"suffix":""},{"dropping-particle":"","family":"Fujiwara","given":"Shin ichiro","non-dropping-particle":"","parse-names":false,"suffix":""},{"dropping-particle":"","family":"Muroi","given":"Kazuo","non-dropping-particle":"","parse-names":false,"suffix":""},{"dropping-particle":"","family":"Mori","given":"Takehiko","non-dropping-particle":"","parse-names":false,"suffix":""},{"dropping-particle":"","family":"Kasama","given":"Kinuyo","non-dropping-particle":"","parse-names":false,"suffix":""},{"dropping-particle":"","family":"Iseki","given":"Tohru","non-dropping-particle":"","parse-names":false,"suffix":""},{"dropping-particle":"","family":"Nagamura-Inoue","given":"Tokiko","non-dropping-particle":"","parse-names":false,"suffix":""},{"dropping-particle":"","family":"Fujii","given":"Nobuharu","non-dropping-particle":"","parse-names":false,"suffix":""},{"dropping-particle":"","family":"Ashida","given":"Takashi","non-dropping-particle":"","parse-names":false,"suffix":""},{"dropping-particle":"","family":"Kameda","given":"Kazuaki","non-dropping-particle":"","parse-names":false,"suffix":""},{"dropping-particle":"","family":"Kanda","given":"Junya","non-dropping-particle":"","parse-names":false,"suffix":""},{"dropping-particle":"","family":"Hirose","given":"Asao","non-dropping-particle":"","parse-names":false,"suffix":""},{"dropping-particle":"","family":"Takahashi","given":"Tsutomu","non-dropping-particle":"","parse-names":false,"suffix":""},{"dropping-particle":"","family":"Nagai","given":"Kazuhiro","non-dropping-particle":"","parse-names":false,"suffix":""},{"dropping-particle":"","family":"Minakawa","given":"Keiji","non-dropping-particle":"","parse-names":false,"suffix":""},{"dropping-particle":"","family":"Tanosaki","given":"Ryuji","non-dropping-particle":"","parse-names":false,"suffix":""}],"container-title":"Transfusion Medicine Reviews","id":"ITEM-1","issue":"3","issued":{"date-parts":[["2018","7"]]},"page":"186-194","publisher":"W.B. Saunders","title":"Adverse Events Associated With Infusion of Hematopoietic Stem Cell Products: A Prospective and Multicenter Surveillance Study","type":"article","volume":"32"},"uris":["http://www.mendeley.com/documents/?uuid=2e13cd0a-f7bd-3f0b-9f56-84feb90b58e3","http://www.mendeley.com/documents/?uuid=a903b5b4-4cb1-456e-bc41-559a068a0277","http://www.mendeley.com/documents/?uuid=201cecad-134f-4334-bb07-0660edb2e18c","http://www.mendeley.com/documents/?uuid=cc644c52-3cf9-41a4-b48f-f140f5d4382f","http://www.mendeley.com/documents/?uuid=f5fc6f3f-947c-4a93-beef-6bc30e68b9fb","http://www.mendeley.com/documents/?uuid=6bcbd89e-0776-47b7-ab98-6c90c4abb14e","http://www.mendeley.com/documents/?uuid=bfeee95e-b93a-4f49-832f-3b7dd952e5b5"]}],"mendeley":{"formattedCitation":"[182]","plainTextFormattedCitation":"[182]","previouslyFormattedCitation":"[182]"},"properties":{"noteIndex":0},"schema":"https://github.com/citation-style-language/schema/raw/master/csl-citation.json"}</w:instrText>
      </w:r>
      <w:r w:rsidRPr="00BA4F0F">
        <w:rPr>
          <w:rFonts w:cs="Times New Roman"/>
          <w:szCs w:val="24"/>
        </w:rPr>
        <w:fldChar w:fldCharType="separate"/>
      </w:r>
      <w:r w:rsidR="004810E5" w:rsidRPr="004810E5">
        <w:rPr>
          <w:rFonts w:cs="Times New Roman"/>
          <w:noProof/>
          <w:szCs w:val="24"/>
        </w:rPr>
        <w:t>[182]</w:t>
      </w:r>
      <w:r w:rsidRPr="00BA4F0F">
        <w:rPr>
          <w:rFonts w:cs="Times New Roman"/>
          <w:szCs w:val="24"/>
        </w:rPr>
        <w:fldChar w:fldCharType="end"/>
      </w:r>
      <w:r w:rsidRPr="00BA4F0F">
        <w:rPr>
          <w:rFonts w:cs="Times New Roman"/>
          <w:szCs w:val="24"/>
        </w:rPr>
        <w:t>.</w:t>
      </w:r>
    </w:p>
    <w:p w14:paraId="56249914" w14:textId="77777777" w:rsidR="0075793D" w:rsidRPr="00BA4F0F" w:rsidRDefault="0075793D" w:rsidP="0075793D">
      <w:pPr>
        <w:rPr>
          <w:rFonts w:cs="Times New Roman"/>
          <w:szCs w:val="24"/>
        </w:rPr>
      </w:pPr>
      <w:r w:rsidRPr="00BA4F0F">
        <w:rPr>
          <w:rFonts w:cs="Times New Roman"/>
          <w:szCs w:val="24"/>
        </w:rPr>
        <w:t>Оценивая число клеток-предшественников, следует уделить особое внимание методу количественного определения. Результаты проточного цитометрического анализа числа CD34+клеток различаются в зависимости от конкретной методологии, и следует с осторожностью относиться к рекомендациям по их числу, основанным на исследованиях, проведенных в других лабораториях.</w:t>
      </w:r>
    </w:p>
    <w:p w14:paraId="55117EF6" w14:textId="77777777" w:rsidR="0075793D" w:rsidRPr="00BA4F0F" w:rsidRDefault="0075793D" w:rsidP="0075793D">
      <w:pPr>
        <w:rPr>
          <w:rFonts w:cs="Times New Roman"/>
          <w:szCs w:val="24"/>
        </w:rPr>
      </w:pPr>
      <w:r w:rsidRPr="00BA4F0F">
        <w:rPr>
          <w:rFonts w:cs="Times New Roman"/>
          <w:szCs w:val="24"/>
        </w:rPr>
        <w:t xml:space="preserve">В день первого предполагаемого сбора выполняется общий анализ крови и подсчет </w:t>
      </w:r>
      <w:r w:rsidRPr="00BA4F0F">
        <w:rPr>
          <w:rFonts w:cs="Times New Roman"/>
          <w:szCs w:val="24"/>
          <w:lang w:val="en-US"/>
        </w:rPr>
        <w:t>CD</w:t>
      </w:r>
      <w:r w:rsidRPr="00BA4F0F">
        <w:rPr>
          <w:rFonts w:cs="Times New Roman"/>
          <w:szCs w:val="24"/>
        </w:rPr>
        <w:t xml:space="preserve">34+ в крови методом проточной цитометрии. </w:t>
      </w:r>
    </w:p>
    <w:p w14:paraId="1B409662" w14:textId="77777777" w:rsidR="0075793D" w:rsidRPr="00BA4F0F" w:rsidRDefault="0075793D" w:rsidP="0075793D">
      <w:pPr>
        <w:rPr>
          <w:rFonts w:cs="Times New Roman"/>
          <w:szCs w:val="24"/>
        </w:rPr>
      </w:pPr>
      <w:r w:rsidRPr="00BA4F0F">
        <w:rPr>
          <w:rFonts w:cs="Times New Roman"/>
          <w:szCs w:val="24"/>
        </w:rPr>
        <w:t xml:space="preserve">Подсчет абсолютного количества </w:t>
      </w:r>
      <w:r w:rsidRPr="00BA4F0F">
        <w:rPr>
          <w:rFonts w:cs="Times New Roman"/>
          <w:szCs w:val="24"/>
          <w:lang w:val="en-US"/>
        </w:rPr>
        <w:t>CD</w:t>
      </w:r>
      <w:r w:rsidRPr="00BA4F0F">
        <w:rPr>
          <w:rFonts w:cs="Times New Roman"/>
          <w:szCs w:val="24"/>
        </w:rPr>
        <w:t xml:space="preserve">34+ ГСК в крови проводится по формуле: </w:t>
      </w:r>
    </w:p>
    <w:p w14:paraId="17D6007A" w14:textId="77777777" w:rsidR="0075793D" w:rsidRPr="00BA4F0F" w:rsidRDefault="0075793D" w:rsidP="0075793D">
      <w:pPr>
        <w:jc w:val="center"/>
        <w:rPr>
          <w:rFonts w:cs="Times New Roman"/>
          <w:i/>
          <w:szCs w:val="24"/>
        </w:rPr>
      </w:pPr>
      <w:r w:rsidRPr="00BA4F0F">
        <w:rPr>
          <w:rFonts w:cs="Times New Roman"/>
          <w:i/>
          <w:szCs w:val="24"/>
        </w:rPr>
        <w:t xml:space="preserve">Абсолютное содержание </w:t>
      </w:r>
      <w:r w:rsidRPr="00BA4F0F">
        <w:rPr>
          <w:rFonts w:cs="Times New Roman"/>
          <w:i/>
          <w:szCs w:val="24"/>
          <w:lang w:val="en-US"/>
        </w:rPr>
        <w:t>CD</w:t>
      </w:r>
      <w:r w:rsidRPr="00BA4F0F">
        <w:rPr>
          <w:rFonts w:cs="Times New Roman"/>
          <w:i/>
          <w:szCs w:val="24"/>
        </w:rPr>
        <w:t>34+ клеток в крови (клеток/мкл) =</w:t>
      </w:r>
    </w:p>
    <w:p w14:paraId="07DCF7C1" w14:textId="77777777" w:rsidR="0075793D" w:rsidRPr="00BA4F0F" w:rsidRDefault="0075793D" w:rsidP="0075793D">
      <w:pPr>
        <w:jc w:val="center"/>
        <w:rPr>
          <w:rFonts w:cs="Times New Roman"/>
          <w:i/>
          <w:szCs w:val="24"/>
        </w:rPr>
      </w:pPr>
      <w:r w:rsidRPr="00BA4F0F">
        <w:rPr>
          <w:rFonts w:cs="Times New Roman"/>
          <w:i/>
          <w:szCs w:val="24"/>
        </w:rPr>
        <w:t xml:space="preserve">доля </w:t>
      </w:r>
      <w:r w:rsidRPr="00BA4F0F">
        <w:rPr>
          <w:rFonts w:cs="Times New Roman"/>
          <w:i/>
          <w:szCs w:val="24"/>
          <w:lang w:val="en-US"/>
        </w:rPr>
        <w:t>CD</w:t>
      </w:r>
      <w:r w:rsidRPr="00BA4F0F">
        <w:rPr>
          <w:rFonts w:cs="Times New Roman"/>
          <w:i/>
          <w:szCs w:val="24"/>
        </w:rPr>
        <w:t>34+ клеток (%) × количество лейкоцитов (10</w:t>
      </w:r>
      <w:r w:rsidRPr="00BA4F0F">
        <w:rPr>
          <w:rFonts w:cs="Times New Roman"/>
          <w:i/>
          <w:szCs w:val="24"/>
          <w:vertAlign w:val="superscript"/>
        </w:rPr>
        <w:t>9</w:t>
      </w:r>
      <w:r w:rsidRPr="00BA4F0F">
        <w:rPr>
          <w:rFonts w:cs="Times New Roman"/>
          <w:i/>
          <w:szCs w:val="24"/>
        </w:rPr>
        <w:t>/л) × 10</w:t>
      </w:r>
    </w:p>
    <w:p w14:paraId="431959C4" w14:textId="77777777" w:rsidR="0075793D" w:rsidRPr="00BA4F0F" w:rsidRDefault="0075793D" w:rsidP="0075793D">
      <w:pPr>
        <w:rPr>
          <w:rFonts w:cs="Times New Roman"/>
          <w:szCs w:val="24"/>
        </w:rPr>
      </w:pPr>
      <w:r w:rsidRPr="00BA4F0F">
        <w:rPr>
          <w:rFonts w:cs="Times New Roman"/>
          <w:szCs w:val="24"/>
        </w:rPr>
        <w:t xml:space="preserve">При содержании </w:t>
      </w:r>
      <w:r w:rsidRPr="00BA4F0F">
        <w:rPr>
          <w:rFonts w:cs="Times New Roman"/>
          <w:szCs w:val="24"/>
          <w:lang w:val="en-US"/>
        </w:rPr>
        <w:t>CD</w:t>
      </w:r>
      <w:r w:rsidRPr="00BA4F0F">
        <w:rPr>
          <w:rFonts w:cs="Times New Roman"/>
          <w:szCs w:val="24"/>
        </w:rPr>
        <w:t>34+ клеток в периферической крови более 10-20 в 1 мкл. можно начинать первый лейкаферез.</w:t>
      </w:r>
    </w:p>
    <w:p w14:paraId="3E9585F3" w14:textId="77777777" w:rsidR="0075793D" w:rsidRPr="00BA4F0F" w:rsidRDefault="0075793D" w:rsidP="0075793D">
      <w:pPr>
        <w:rPr>
          <w:rFonts w:cs="Times New Roman"/>
          <w:szCs w:val="24"/>
        </w:rPr>
      </w:pPr>
      <w:r w:rsidRPr="00BA4F0F">
        <w:rPr>
          <w:rFonts w:cs="Times New Roman"/>
          <w:szCs w:val="24"/>
        </w:rPr>
        <w:t xml:space="preserve">Если абсолютное количество </w:t>
      </w:r>
      <w:r w:rsidRPr="00BA4F0F">
        <w:rPr>
          <w:rFonts w:cs="Times New Roman"/>
          <w:szCs w:val="24"/>
          <w:lang w:val="en-US"/>
        </w:rPr>
        <w:t>CD</w:t>
      </w:r>
      <w:r w:rsidRPr="00BA4F0F">
        <w:rPr>
          <w:rFonts w:cs="Times New Roman"/>
          <w:szCs w:val="24"/>
        </w:rPr>
        <w:t>34+ клеток в крови более 20 в 1 мкл., высока вероятность заготовки трансплантата за 1-2 процедуры лейкафкереза.</w:t>
      </w:r>
    </w:p>
    <w:p w14:paraId="09409BA4" w14:textId="77777777" w:rsidR="0075793D" w:rsidRPr="00BA4F0F" w:rsidRDefault="0075793D" w:rsidP="0075793D">
      <w:pPr>
        <w:rPr>
          <w:rFonts w:cs="Times New Roman"/>
          <w:szCs w:val="24"/>
        </w:rPr>
      </w:pPr>
      <w:r w:rsidRPr="00BA4F0F">
        <w:rPr>
          <w:rFonts w:cs="Times New Roman"/>
          <w:szCs w:val="24"/>
        </w:rPr>
        <w:t xml:space="preserve">При обнаружении </w:t>
      </w:r>
      <w:r w:rsidRPr="00BA4F0F">
        <w:rPr>
          <w:rFonts w:cs="Times New Roman"/>
          <w:szCs w:val="24"/>
          <w:lang w:val="en-US"/>
        </w:rPr>
        <w:t>CD</w:t>
      </w:r>
      <w:r w:rsidRPr="00BA4F0F">
        <w:rPr>
          <w:rFonts w:cs="Times New Roman"/>
          <w:szCs w:val="24"/>
        </w:rPr>
        <w:t>34+ клеток в крови в количе</w:t>
      </w:r>
      <w:r w:rsidRPr="00BA4F0F">
        <w:rPr>
          <w:rFonts w:cs="Times New Roman"/>
          <w:szCs w:val="24"/>
          <w:lang w:val="en-US"/>
        </w:rPr>
        <w:t>c</w:t>
      </w:r>
      <w:r w:rsidRPr="00BA4F0F">
        <w:rPr>
          <w:rFonts w:cs="Times New Roman"/>
          <w:szCs w:val="24"/>
        </w:rPr>
        <w:t xml:space="preserve">тве 10-20 в 1 мкл. обычно необходимо 2-4 процедуры лейкафереза. </w:t>
      </w:r>
    </w:p>
    <w:p w14:paraId="0E9F8653" w14:textId="77777777" w:rsidR="0075793D" w:rsidRPr="00BA4F0F" w:rsidRDefault="0075793D" w:rsidP="0075793D">
      <w:pPr>
        <w:rPr>
          <w:rFonts w:cs="Times New Roman"/>
          <w:szCs w:val="24"/>
        </w:rPr>
      </w:pPr>
      <w:r w:rsidRPr="00BA4F0F">
        <w:rPr>
          <w:rFonts w:cs="Times New Roman"/>
          <w:szCs w:val="24"/>
        </w:rPr>
        <w:t xml:space="preserve">Если содержание </w:t>
      </w:r>
      <w:r w:rsidRPr="00BA4F0F">
        <w:rPr>
          <w:rFonts w:cs="Times New Roman"/>
          <w:szCs w:val="24"/>
          <w:lang w:val="en-US"/>
        </w:rPr>
        <w:t>CD</w:t>
      </w:r>
      <w:r w:rsidRPr="00BA4F0F">
        <w:rPr>
          <w:rFonts w:cs="Times New Roman"/>
          <w:szCs w:val="24"/>
        </w:rPr>
        <w:t>34+ клеток менее 10 в 1 мкл., желательно воздержаться от сбора клеток в этот день и повторить анализ на следующий день.</w:t>
      </w:r>
    </w:p>
    <w:p w14:paraId="18F0C3EB" w14:textId="77777777" w:rsidR="0075793D" w:rsidRPr="00BA4F0F" w:rsidRDefault="0075793D" w:rsidP="0075793D">
      <w:pPr>
        <w:rPr>
          <w:rFonts w:cs="Times New Roman"/>
          <w:szCs w:val="24"/>
        </w:rPr>
      </w:pPr>
      <w:r w:rsidRPr="00BA4F0F">
        <w:rPr>
          <w:rFonts w:cs="Times New Roman"/>
          <w:szCs w:val="24"/>
        </w:rPr>
        <w:t xml:space="preserve">При содержании </w:t>
      </w:r>
      <w:r w:rsidRPr="00BA4F0F">
        <w:rPr>
          <w:rFonts w:cs="Times New Roman"/>
          <w:szCs w:val="24"/>
          <w:lang w:val="en-US"/>
        </w:rPr>
        <w:t>CD</w:t>
      </w:r>
      <w:r w:rsidRPr="00BA4F0F">
        <w:rPr>
          <w:rFonts w:cs="Times New Roman"/>
          <w:szCs w:val="24"/>
        </w:rPr>
        <w:t>34+ клеток менее 5 в 1 мкл. необходимо обсудить вопрос об отказе от продолжения мобилизации или же возможности применения плериксафора.</w:t>
      </w:r>
    </w:p>
    <w:p w14:paraId="6798D6D3" w14:textId="77777777" w:rsidR="0075793D" w:rsidRPr="00BA4F0F" w:rsidRDefault="0075793D" w:rsidP="0075793D">
      <w:pPr>
        <w:rPr>
          <w:rFonts w:cs="Times New Roman"/>
          <w:szCs w:val="24"/>
        </w:rPr>
      </w:pPr>
      <w:r w:rsidRPr="00BA4F0F">
        <w:rPr>
          <w:rFonts w:cs="Times New Roman"/>
          <w:szCs w:val="24"/>
        </w:rPr>
        <w:t>Процедура лейкафереза может осуществлятъся как в автоматическом, так и в полуавтоматическом режиме. При количестве лейкоцитов более 20 ×10</w:t>
      </w:r>
      <w:r w:rsidRPr="00BA4F0F">
        <w:rPr>
          <w:rFonts w:cs="Times New Roman"/>
          <w:szCs w:val="24"/>
          <w:vertAlign w:val="superscript"/>
        </w:rPr>
        <w:t>9</w:t>
      </w:r>
      <w:r w:rsidRPr="00BA4F0F">
        <w:rPr>
          <w:rFonts w:cs="Times New Roman"/>
          <w:szCs w:val="24"/>
        </w:rPr>
        <w:t xml:space="preserve">/л предпочтителен полуавтоматический режим для возможности ручной регулировки границы раздела сред. </w:t>
      </w:r>
    </w:p>
    <w:p w14:paraId="6D764F4A" w14:textId="77777777" w:rsidR="0075793D" w:rsidRPr="00BA4F0F" w:rsidRDefault="0075793D" w:rsidP="0075793D">
      <w:pPr>
        <w:rPr>
          <w:rFonts w:cs="Times New Roman"/>
          <w:szCs w:val="24"/>
        </w:rPr>
      </w:pPr>
      <w:r w:rsidRPr="00BA4F0F">
        <w:rPr>
          <w:rFonts w:cs="Times New Roman"/>
          <w:szCs w:val="24"/>
        </w:rPr>
        <w:t>Абсолютными противопоказаниями для проведения процедуры лейкафереза являются тяжелые соматические заболевания в стадии декомпенсации, угрожающие жизни состояния.</w:t>
      </w:r>
    </w:p>
    <w:p w14:paraId="6ECCC6A3" w14:textId="77777777" w:rsidR="0075793D" w:rsidRPr="00BA4F0F" w:rsidRDefault="0075793D" w:rsidP="0075793D">
      <w:pPr>
        <w:rPr>
          <w:rFonts w:cs="Times New Roman"/>
          <w:szCs w:val="24"/>
        </w:rPr>
      </w:pPr>
      <w:r w:rsidRPr="00BA4F0F">
        <w:rPr>
          <w:rFonts w:cs="Times New Roman"/>
          <w:szCs w:val="24"/>
        </w:rPr>
        <w:t>Примерами относительных противопоказаний может быть значимое снижение гемоглобина или тромбоцитов, что компенсируется трансфузионной поддержкой до процедуры. Непосредственно перед процедурой необходимо измерить артериальное давление, оценить общее состояние пациента, ознакомиться с результатами биохимического анализа крови и коагулограммы.</w:t>
      </w:r>
    </w:p>
    <w:p w14:paraId="40ED45B0" w14:textId="77777777" w:rsidR="0075793D" w:rsidRPr="00BA4F0F" w:rsidRDefault="0075793D" w:rsidP="0075793D">
      <w:pPr>
        <w:rPr>
          <w:rFonts w:cs="Times New Roman"/>
          <w:szCs w:val="24"/>
        </w:rPr>
      </w:pPr>
      <w:r w:rsidRPr="00BA4F0F">
        <w:rPr>
          <w:rFonts w:cs="Times New Roman"/>
          <w:szCs w:val="24"/>
        </w:rPr>
        <w:t>Процедура сбора ГСК длится около 3-4 часов. Во время проведения лейкафереза при развитии гипокальцемии (проявляется парестезией губ, языка, кончиков пальцев) необходимо замедлить скорость возврата крови. Для профилактики цитратной реакции рекомендуется введение 10 мл 10% раствора кальция глюконата или 5 мл 10% раствора кальция хлорида на каждые 200 мл цитратного раствора при массе тела пациента &lt; 60 кг или на каждые 400 мл при массе тела &gt; 70 кг.</w:t>
      </w:r>
    </w:p>
    <w:p w14:paraId="69974F1F" w14:textId="671D8809" w:rsidR="0075793D" w:rsidRPr="00BA4F0F" w:rsidRDefault="0075793D" w:rsidP="0075793D">
      <w:pPr>
        <w:rPr>
          <w:rFonts w:cs="Times New Roman"/>
          <w:szCs w:val="24"/>
        </w:rPr>
      </w:pPr>
      <w:r w:rsidRPr="00BA4F0F">
        <w:rPr>
          <w:rFonts w:cs="Times New Roman"/>
          <w:szCs w:val="24"/>
        </w:rPr>
        <w:t>Из полученного продукта берут пробу ГСК для определения содержания С</w:t>
      </w:r>
      <w:r w:rsidRPr="00BA4F0F">
        <w:rPr>
          <w:rFonts w:cs="Times New Roman"/>
          <w:szCs w:val="24"/>
          <w:lang w:val="en-US"/>
        </w:rPr>
        <w:t>D</w:t>
      </w:r>
      <w:r w:rsidRPr="00BA4F0F">
        <w:rPr>
          <w:rFonts w:cs="Times New Roman"/>
          <w:szCs w:val="24"/>
        </w:rPr>
        <w:t xml:space="preserve">34+ клеток при помощи проточного цитофлуориметра. Существует множество рекомендуемых схем по подсчету </w:t>
      </w:r>
      <w:r w:rsidRPr="00BA4F0F">
        <w:rPr>
          <w:rFonts w:cs="Times New Roman"/>
          <w:szCs w:val="24"/>
          <w:lang w:val="en-US"/>
        </w:rPr>
        <w:t>CD</w:t>
      </w:r>
      <w:r w:rsidRPr="00BA4F0F">
        <w:rPr>
          <w:rFonts w:cs="Times New Roman"/>
          <w:szCs w:val="24"/>
        </w:rPr>
        <w:t xml:space="preserve">34+ ГСК, наиболее известен </w:t>
      </w:r>
      <w:r w:rsidRPr="00BA4F0F">
        <w:rPr>
          <w:rFonts w:cs="Times New Roman"/>
          <w:szCs w:val="24"/>
          <w:lang w:val="en-US"/>
        </w:rPr>
        <w:t>ISHAGE</w:t>
      </w:r>
      <w:r w:rsidRPr="00BA4F0F">
        <w:rPr>
          <w:rFonts w:cs="Times New Roman"/>
          <w:szCs w:val="24"/>
        </w:rPr>
        <w:t xml:space="preserve">-протокол (International Society of Hematotherapy and Graft Engineering) </w:t>
      </w:r>
      <w:r w:rsidRPr="00BA4F0F">
        <w:rPr>
          <w:rFonts w:cs="Times New Roman"/>
          <w:szCs w:val="24"/>
        </w:rPr>
        <w:fldChar w:fldCharType="begin" w:fldLock="1"/>
      </w:r>
      <w:r w:rsidR="004810E5">
        <w:rPr>
          <w:rFonts w:cs="Times New Roman"/>
          <w:szCs w:val="24"/>
        </w:rPr>
        <w:instrText>ADDIN CSL_CITATION {"citationItems":[{"id":"ITEM-1","itemData":{"DOI":"10.1089/scd.1.1996.5.213","ISSN":"15258165","abstract":"The increased use of Peripheral Blood Stem Cells (PBSC) to reconstitute hematopoiesis in autotransplant and, more recently, allotransplant settings has not been associated with a consensus means to quality control the PBSC product. Since the small population of cells that bear the CD34 antigen are thought to be responsible for multilineage engraftment, graft assessment by flow cytometric quantitation of CD34+ cells should provide a rapid, reliable, and reproducible assay. Unfortunately, although a number of flow cytometric assays for CD34 enumeration have been described, the lack of a standardized method has led to the generation of widely divergent data. Furthermore, none of these assays has been validated as to interlaboratory reproducibility and suitability for widespread clinical application. In early 1995, the International Society of Hematotherapy and Graft Engineering (ISHAGE) established a Stem Cell Enumeration Committee, the mandate of which was to validate a simple, rapid, and sensitive flow cytometric method to quantitate CD34+ cells in peripheral blood and apheresis products. We also sought to establish its utility on a variety of flow cytometers in clinical laboratories and its reproducibility between transplant centers. Here, we describe the four-parameter flow methodology adopted by ISHAGE for validation in a multicenter study in North America.","author":[{"dropping-particle":"","family":"Sutherland","given":"D. Robert","non-dropping-particle":"","parse-names":false,"suffix":""},{"dropping-particle":"","family":"Anderson","given":"Lori","non-dropping-particle":"","parse-names":false,"suffix":""},{"dropping-particle":"","family":"Keeney","given":"Michael","non-dropping-particle":"","parse-names":false,"suffix":""},{"dropping-particle":"","family":"Nayar","given":"Rakash","non-dropping-particle":"","parse-names":false,"suffix":""},{"dropping-particle":"","family":"Chin-Yee","given":"Ian","non-dropping-particle":"","parse-names":false,"suffix":""}],"container-title":"Journal of Hematotherapy and Stem Cell Research","id":"ITEM-1","issue":"3","issued":{"date-parts":[["1996","6"]]},"page":"213-226","publisher":"J Hematother","title":"The ISHAGE guidelines for CD34+ cell determination by flow cytometry","type":"article","volume":"5"},"uris":["http://www.mendeley.com/documents/?uuid=af6aeaab-986b-3c29-a268-8b3298a087ff","http://www.mendeley.com/documents/?uuid=9e9b6059-b96a-40ee-8392-9fa21aa556d8","http://www.mendeley.com/documents/?uuid=396368c5-3715-4315-9d9f-b0f985c72f2e","http://www.mendeley.com/documents/?uuid=832a537d-2a1a-436d-b363-a2a1b60dd4aa","http://www.mendeley.com/documents/?uuid=d76426e4-3e5f-4355-ae7b-509de6e06dd4","http://www.mendeley.com/documents/?uuid=022d11d0-3e2a-46a4-9f7c-deed4443ec90","http://www.mendeley.com/documents/?uuid=3b63824f-4c14-4eba-b990-62e0bcaea90c"]}],"mendeley":{"formattedCitation":"[183]","plainTextFormattedCitation":"[183]","previouslyFormattedCitation":"[183]"},"properties":{"noteIndex":0},"schema":"https://github.com/citation-style-language/schema/raw/master/csl-citation.json"}</w:instrText>
      </w:r>
      <w:r w:rsidRPr="00BA4F0F">
        <w:rPr>
          <w:rFonts w:cs="Times New Roman"/>
          <w:szCs w:val="24"/>
        </w:rPr>
        <w:fldChar w:fldCharType="separate"/>
      </w:r>
      <w:r w:rsidR="004810E5" w:rsidRPr="004810E5">
        <w:rPr>
          <w:rFonts w:cs="Times New Roman"/>
          <w:noProof/>
          <w:szCs w:val="24"/>
        </w:rPr>
        <w:t>[183]</w:t>
      </w:r>
      <w:r w:rsidRPr="00BA4F0F">
        <w:rPr>
          <w:rFonts w:cs="Times New Roman"/>
          <w:szCs w:val="24"/>
        </w:rPr>
        <w:fldChar w:fldCharType="end"/>
      </w:r>
      <w:r w:rsidRPr="00BA4F0F">
        <w:rPr>
          <w:rFonts w:cs="Times New Roman"/>
          <w:szCs w:val="24"/>
        </w:rPr>
        <w:t xml:space="preserve">. </w:t>
      </w:r>
    </w:p>
    <w:p w14:paraId="6CC33E76" w14:textId="77777777" w:rsidR="0075793D" w:rsidRPr="00BA4F0F" w:rsidRDefault="0075793D" w:rsidP="0075793D">
      <w:pPr>
        <w:rPr>
          <w:rFonts w:cs="Times New Roman"/>
          <w:szCs w:val="24"/>
        </w:rPr>
      </w:pPr>
      <w:r w:rsidRPr="00BA4F0F">
        <w:rPr>
          <w:rFonts w:cs="Times New Roman"/>
          <w:szCs w:val="24"/>
        </w:rPr>
        <w:t xml:space="preserve">Таким образом, для успешного сбора ГСК важны своевременное начало первой процедуры лейкафереза и отлаженная лабораторная методика, включающая цитофлуориметрический анализ. </w:t>
      </w:r>
    </w:p>
    <w:p w14:paraId="19402BC8" w14:textId="77777777" w:rsidR="0075793D" w:rsidRPr="00BA4F0F" w:rsidRDefault="0075793D" w:rsidP="0075793D">
      <w:pPr>
        <w:pStyle w:val="afe"/>
        <w:ind w:left="0"/>
        <w:rPr>
          <w:rFonts w:cs="Times New Roman"/>
          <w:szCs w:val="24"/>
          <w:u w:val="single"/>
        </w:rPr>
      </w:pPr>
      <w:bookmarkStart w:id="131" w:name="_Toc44926612"/>
    </w:p>
    <w:p w14:paraId="4DDC5552" w14:textId="77777777" w:rsidR="0075793D" w:rsidRPr="00BA4F0F" w:rsidRDefault="0075793D" w:rsidP="0075793D">
      <w:pPr>
        <w:pStyle w:val="afe"/>
        <w:ind w:left="0"/>
        <w:rPr>
          <w:rFonts w:cs="Times New Roman"/>
          <w:szCs w:val="24"/>
          <w:u w:val="single"/>
        </w:rPr>
      </w:pPr>
      <w:r w:rsidRPr="00BA4F0F">
        <w:rPr>
          <w:rFonts w:cs="Times New Roman"/>
          <w:szCs w:val="24"/>
          <w:u w:val="single"/>
        </w:rPr>
        <w:t>Криоконсервирование трансплантата</w:t>
      </w:r>
      <w:bookmarkEnd w:id="131"/>
    </w:p>
    <w:p w14:paraId="18C21770" w14:textId="77777777" w:rsidR="0075793D" w:rsidRPr="00BA4F0F" w:rsidRDefault="0075793D" w:rsidP="0075793D">
      <w:pPr>
        <w:rPr>
          <w:rFonts w:cs="Times New Roman"/>
          <w:szCs w:val="24"/>
        </w:rPr>
      </w:pPr>
      <w:r w:rsidRPr="00BA4F0F">
        <w:rPr>
          <w:rFonts w:cs="Times New Roman"/>
          <w:szCs w:val="24"/>
        </w:rPr>
        <w:t xml:space="preserve">Параллельно с подсчетом CD34+ клеток проводится фракционирование полученного продукта лейкафереза. Сначала маркируют полимерный двухкамерный контейнер (первая камера - «плазма», вторая - «гемопоэтические стволовые клетки»), переносят лейкоконцентрат в контейнер для ГСК в асептических условиях и проводят центрифугирование (2000 об/мин) в течение 15 мин. </w:t>
      </w:r>
    </w:p>
    <w:p w14:paraId="6909E5B2" w14:textId="77777777" w:rsidR="0075793D" w:rsidRPr="00BA4F0F" w:rsidRDefault="0075793D" w:rsidP="0075793D">
      <w:pPr>
        <w:rPr>
          <w:rFonts w:cs="Times New Roman"/>
          <w:szCs w:val="24"/>
        </w:rPr>
      </w:pPr>
      <w:r w:rsidRPr="00BA4F0F">
        <w:rPr>
          <w:rFonts w:cs="Times New Roman"/>
          <w:szCs w:val="24"/>
        </w:rPr>
        <w:t xml:space="preserve">Фракционирование проводят в асептических условиях, например, в условиях ламинарного шкафа биологической безопасности </w:t>
      </w:r>
      <w:r w:rsidRPr="00BA4F0F">
        <w:rPr>
          <w:rFonts w:cs="Times New Roman"/>
          <w:szCs w:val="24"/>
          <w:lang w:val="en-US"/>
        </w:rPr>
        <w:t>II</w:t>
      </w:r>
      <w:r w:rsidRPr="00BA4F0F">
        <w:rPr>
          <w:rFonts w:cs="Times New Roman"/>
          <w:szCs w:val="24"/>
        </w:rPr>
        <w:t xml:space="preserve"> класса. Далее осуществляется подсчет </w:t>
      </w:r>
      <w:r w:rsidRPr="00BA4F0F">
        <w:rPr>
          <w:rFonts w:cs="Times New Roman"/>
          <w:szCs w:val="24"/>
          <w:lang w:val="en-US"/>
        </w:rPr>
        <w:t>CD</w:t>
      </w:r>
      <w:r w:rsidRPr="00BA4F0F">
        <w:rPr>
          <w:rFonts w:cs="Times New Roman"/>
          <w:szCs w:val="24"/>
        </w:rPr>
        <w:t>34+ клеток в полученном лейкоконцентрате. Получив долю CD34+ клеток от всех лейкоцитов в лейкоконцентрате, подсчитывают количество CD34+ клеток на 1 кг массы тела пациента.</w:t>
      </w:r>
    </w:p>
    <w:p w14:paraId="3BBDDED7" w14:textId="77777777" w:rsidR="0075793D" w:rsidRPr="00BA4F0F" w:rsidRDefault="0075793D" w:rsidP="0075793D">
      <w:pPr>
        <w:rPr>
          <w:rFonts w:cs="Times New Roman"/>
          <w:szCs w:val="24"/>
        </w:rPr>
      </w:pPr>
      <w:r w:rsidRPr="00BA4F0F">
        <w:rPr>
          <w:rFonts w:cs="Times New Roman"/>
          <w:szCs w:val="24"/>
        </w:rPr>
        <w:t xml:space="preserve">Процесс криоконсервирования включает несколько этапов. Сначала проводят расчет необходимого количества раствора ДМСО, который нужно добавить к ГСК. Полученный биоматериал с криопротектором переносят в контейнер для криоконсервирования и тщательно удаляют пузыри воздуха. </w:t>
      </w:r>
    </w:p>
    <w:p w14:paraId="7E1ABDA3" w14:textId="77777777" w:rsidR="0075793D" w:rsidRPr="00BA4F0F" w:rsidRDefault="0075793D" w:rsidP="0075793D">
      <w:pPr>
        <w:rPr>
          <w:rFonts w:cs="Times New Roman"/>
          <w:szCs w:val="24"/>
        </w:rPr>
      </w:pPr>
      <w:r w:rsidRPr="00BA4F0F">
        <w:rPr>
          <w:rFonts w:cs="Times New Roman"/>
          <w:szCs w:val="24"/>
        </w:rPr>
        <w:t xml:space="preserve">Заморозку и хранение биоматериала производят в емкости с парами жидкого азота. </w:t>
      </w:r>
    </w:p>
    <w:p w14:paraId="62EA06C1" w14:textId="77777777" w:rsidR="0075793D" w:rsidRPr="00BA4F0F" w:rsidRDefault="0075793D" w:rsidP="0075793D">
      <w:pPr>
        <w:rPr>
          <w:rFonts w:cs="Times New Roman"/>
          <w:b/>
          <w:szCs w:val="24"/>
        </w:rPr>
      </w:pPr>
      <w:bookmarkStart w:id="132" w:name="_Toc44926613"/>
    </w:p>
    <w:p w14:paraId="471213B9" w14:textId="77777777" w:rsidR="0075793D" w:rsidRPr="00BA4F0F" w:rsidRDefault="0075793D" w:rsidP="0075793D">
      <w:pPr>
        <w:rPr>
          <w:rFonts w:cs="Times New Roman"/>
          <w:b/>
          <w:szCs w:val="24"/>
        </w:rPr>
      </w:pPr>
      <w:r w:rsidRPr="00BA4F0F">
        <w:rPr>
          <w:rFonts w:cs="Times New Roman"/>
          <w:b/>
          <w:szCs w:val="24"/>
        </w:rPr>
        <w:t>Обследование пациентов перед мобилизацией и сбором ГСК</w:t>
      </w:r>
      <w:bookmarkEnd w:id="132"/>
    </w:p>
    <w:p w14:paraId="1B8B727B" w14:textId="77777777" w:rsidR="0075793D" w:rsidRPr="00BA4F0F" w:rsidRDefault="0075793D" w:rsidP="0075793D">
      <w:pPr>
        <w:ind w:firstLine="284"/>
        <w:rPr>
          <w:rFonts w:cs="Times New Roman"/>
          <w:szCs w:val="24"/>
        </w:rPr>
      </w:pPr>
      <w:r w:rsidRPr="00BA4F0F">
        <w:rPr>
          <w:rFonts w:cs="Times New Roman"/>
          <w:szCs w:val="24"/>
        </w:rPr>
        <w:t>Перед началом мобилизации гемопоэтических стволовых клеток необходимо определить фазу заболевания, оценить соматический статус пациента и состояние кроветворения. Для этого всем пациентам проводится рутинный комплекс обследования, включающий как лабораторные, так и инструментальные методы.</w:t>
      </w:r>
    </w:p>
    <w:p w14:paraId="4FB39D18" w14:textId="77777777" w:rsidR="0075793D" w:rsidRPr="00BA4F0F" w:rsidRDefault="0075793D" w:rsidP="0075793D">
      <w:pPr>
        <w:pStyle w:val="afe"/>
        <w:ind w:left="0"/>
        <w:rPr>
          <w:rFonts w:cs="Times New Roman"/>
          <w:szCs w:val="24"/>
          <w:u w:val="single"/>
        </w:rPr>
      </w:pPr>
      <w:bookmarkStart w:id="133" w:name="_Toc44926614"/>
    </w:p>
    <w:p w14:paraId="389E7557" w14:textId="77777777" w:rsidR="0075793D" w:rsidRPr="00BA4F0F" w:rsidRDefault="0075793D" w:rsidP="0075793D">
      <w:pPr>
        <w:pStyle w:val="afe"/>
        <w:ind w:left="0"/>
        <w:rPr>
          <w:rFonts w:cs="Times New Roman"/>
          <w:szCs w:val="24"/>
          <w:u w:val="single"/>
        </w:rPr>
      </w:pPr>
      <w:r w:rsidRPr="00BA4F0F">
        <w:rPr>
          <w:rFonts w:cs="Times New Roman"/>
          <w:szCs w:val="24"/>
          <w:u w:val="single"/>
        </w:rPr>
        <w:t>Общие методы обследования</w:t>
      </w:r>
      <w:bookmarkEnd w:id="133"/>
    </w:p>
    <w:p w14:paraId="3208595B" w14:textId="77777777" w:rsidR="0075793D" w:rsidRPr="00BA4F0F" w:rsidRDefault="0075793D" w:rsidP="0075793D">
      <w:pPr>
        <w:pStyle w:val="Numlist"/>
        <w:numPr>
          <w:ilvl w:val="0"/>
          <w:numId w:val="142"/>
        </w:numPr>
        <w:tabs>
          <w:tab w:val="left" w:pos="284"/>
        </w:tabs>
        <w:autoSpaceDE w:val="0"/>
        <w:autoSpaceDN w:val="0"/>
        <w:adjustRightInd w:val="0"/>
        <w:spacing w:line="360" w:lineRule="auto"/>
        <w:ind w:left="0" w:firstLine="284"/>
        <w:jc w:val="both"/>
      </w:pPr>
      <w:r w:rsidRPr="00BA4F0F">
        <w:t>Развернутый анализ крови.</w:t>
      </w:r>
    </w:p>
    <w:p w14:paraId="0558CE3B" w14:textId="77777777" w:rsidR="0075793D" w:rsidRPr="00BA4F0F" w:rsidRDefault="0075793D" w:rsidP="0075793D">
      <w:pPr>
        <w:pStyle w:val="Numlist"/>
        <w:numPr>
          <w:ilvl w:val="0"/>
          <w:numId w:val="142"/>
        </w:numPr>
        <w:tabs>
          <w:tab w:val="left" w:pos="284"/>
        </w:tabs>
        <w:autoSpaceDE w:val="0"/>
        <w:autoSpaceDN w:val="0"/>
        <w:adjustRightInd w:val="0"/>
        <w:spacing w:line="360" w:lineRule="auto"/>
        <w:ind w:left="0" w:firstLine="284"/>
        <w:jc w:val="both"/>
      </w:pPr>
      <w:r w:rsidRPr="00BA4F0F">
        <w:t>Биохимический анализ крови с обязательным определением: уровней общего белка, альбумина, креатинина, мочевой кислоты, калия, кальция, активности ЛДГ.</w:t>
      </w:r>
    </w:p>
    <w:p w14:paraId="3AEC5C90" w14:textId="77777777" w:rsidR="0075793D" w:rsidRPr="00BA4F0F" w:rsidRDefault="0075793D" w:rsidP="0075793D">
      <w:pPr>
        <w:pStyle w:val="Numlist"/>
        <w:numPr>
          <w:ilvl w:val="0"/>
          <w:numId w:val="142"/>
        </w:numPr>
        <w:tabs>
          <w:tab w:val="left" w:pos="284"/>
        </w:tabs>
        <w:autoSpaceDE w:val="0"/>
        <w:autoSpaceDN w:val="0"/>
        <w:adjustRightInd w:val="0"/>
        <w:spacing w:line="360" w:lineRule="auto"/>
        <w:ind w:left="0" w:firstLine="284"/>
        <w:jc w:val="both"/>
      </w:pPr>
      <w:r w:rsidRPr="00BA4F0F">
        <w:t>Общий анализ мочи.</w:t>
      </w:r>
    </w:p>
    <w:p w14:paraId="18A7E3D2" w14:textId="77777777" w:rsidR="0075793D" w:rsidRPr="00BA4F0F" w:rsidRDefault="0075793D" w:rsidP="0075793D">
      <w:pPr>
        <w:pStyle w:val="Numlist"/>
        <w:numPr>
          <w:ilvl w:val="0"/>
          <w:numId w:val="142"/>
        </w:numPr>
        <w:tabs>
          <w:tab w:val="left" w:pos="284"/>
        </w:tabs>
        <w:autoSpaceDE w:val="0"/>
        <w:autoSpaceDN w:val="0"/>
        <w:adjustRightInd w:val="0"/>
        <w:spacing w:line="360" w:lineRule="auto"/>
        <w:ind w:left="0" w:firstLine="284"/>
        <w:jc w:val="both"/>
      </w:pPr>
      <w:r w:rsidRPr="00BA4F0F">
        <w:t>Глюкоза крови.</w:t>
      </w:r>
    </w:p>
    <w:p w14:paraId="7BDBAB27" w14:textId="77777777" w:rsidR="0075793D" w:rsidRPr="00BA4F0F" w:rsidRDefault="0075793D" w:rsidP="0075793D">
      <w:pPr>
        <w:pStyle w:val="Numlist"/>
        <w:numPr>
          <w:ilvl w:val="0"/>
          <w:numId w:val="142"/>
        </w:numPr>
        <w:tabs>
          <w:tab w:val="left" w:pos="284"/>
        </w:tabs>
        <w:autoSpaceDE w:val="0"/>
        <w:autoSpaceDN w:val="0"/>
        <w:adjustRightInd w:val="0"/>
        <w:spacing w:line="360" w:lineRule="auto"/>
        <w:ind w:left="0" w:firstLine="284"/>
        <w:jc w:val="both"/>
      </w:pPr>
      <w:r w:rsidRPr="00BA4F0F">
        <w:t>Определение скорости клубочковой фильтрации.</w:t>
      </w:r>
    </w:p>
    <w:p w14:paraId="3541FC64" w14:textId="77777777" w:rsidR="0075793D" w:rsidRPr="00BA4F0F" w:rsidRDefault="0075793D" w:rsidP="0075793D">
      <w:pPr>
        <w:pStyle w:val="Numlist"/>
        <w:numPr>
          <w:ilvl w:val="0"/>
          <w:numId w:val="142"/>
        </w:numPr>
        <w:tabs>
          <w:tab w:val="left" w:pos="284"/>
        </w:tabs>
        <w:autoSpaceDE w:val="0"/>
        <w:autoSpaceDN w:val="0"/>
        <w:adjustRightInd w:val="0"/>
        <w:spacing w:line="360" w:lineRule="auto"/>
        <w:ind w:left="0" w:firstLine="284"/>
        <w:jc w:val="both"/>
      </w:pPr>
      <w:r w:rsidRPr="00BA4F0F">
        <w:t>Коагулограмма (протромбин, международное нормализованное отношение, активированное частичное тромбопластиновое время, фибриноген, тромбиновое время, антитромбин III, плазминоген).</w:t>
      </w:r>
    </w:p>
    <w:p w14:paraId="3F7C60AB" w14:textId="77777777" w:rsidR="0075793D" w:rsidRPr="00BA4F0F" w:rsidRDefault="0075793D" w:rsidP="0075793D">
      <w:pPr>
        <w:pStyle w:val="Numlist"/>
        <w:numPr>
          <w:ilvl w:val="0"/>
          <w:numId w:val="142"/>
        </w:numPr>
        <w:tabs>
          <w:tab w:val="left" w:pos="284"/>
        </w:tabs>
        <w:autoSpaceDE w:val="0"/>
        <w:autoSpaceDN w:val="0"/>
        <w:adjustRightInd w:val="0"/>
        <w:spacing w:line="360" w:lineRule="auto"/>
        <w:ind w:left="0" w:firstLine="284"/>
        <w:jc w:val="both"/>
      </w:pPr>
      <w:r w:rsidRPr="00BA4F0F">
        <w:t>Пункция костного мозга с подсчетом миелограммы.</w:t>
      </w:r>
    </w:p>
    <w:p w14:paraId="21955FE2" w14:textId="77777777" w:rsidR="0075793D" w:rsidRPr="00BA4F0F" w:rsidRDefault="0075793D" w:rsidP="0075793D">
      <w:pPr>
        <w:pStyle w:val="Numlist"/>
        <w:numPr>
          <w:ilvl w:val="0"/>
          <w:numId w:val="142"/>
        </w:numPr>
        <w:tabs>
          <w:tab w:val="left" w:pos="284"/>
        </w:tabs>
        <w:autoSpaceDE w:val="0"/>
        <w:autoSpaceDN w:val="0"/>
        <w:adjustRightInd w:val="0"/>
        <w:spacing w:line="360" w:lineRule="auto"/>
        <w:ind w:left="0" w:firstLine="284"/>
        <w:jc w:val="both"/>
      </w:pPr>
      <w:r w:rsidRPr="00BA4F0F">
        <w:t>Гистологическое исследование биопсийного материала костного мозга для оценки состояния кроветворения.</w:t>
      </w:r>
    </w:p>
    <w:p w14:paraId="7A8C19D2" w14:textId="77777777" w:rsidR="0075793D" w:rsidRPr="00BA4F0F" w:rsidRDefault="0075793D" w:rsidP="0075793D">
      <w:pPr>
        <w:pStyle w:val="Numlist"/>
        <w:numPr>
          <w:ilvl w:val="0"/>
          <w:numId w:val="142"/>
        </w:numPr>
        <w:tabs>
          <w:tab w:val="left" w:pos="284"/>
        </w:tabs>
        <w:autoSpaceDE w:val="0"/>
        <w:autoSpaceDN w:val="0"/>
        <w:adjustRightInd w:val="0"/>
        <w:spacing w:line="360" w:lineRule="auto"/>
        <w:ind w:left="0" w:firstLine="284"/>
        <w:jc w:val="both"/>
      </w:pPr>
      <w:r w:rsidRPr="00BA4F0F">
        <w:t>Гистологическое исследование биопсийного материала костного мозга с применением иммуногистохимических методов для оценки состояния кроветворения и инфильтрации костного мозга опухолевыми клетками.</w:t>
      </w:r>
    </w:p>
    <w:p w14:paraId="6BC77A62" w14:textId="77777777" w:rsidR="0075793D" w:rsidRPr="00BA4F0F" w:rsidRDefault="0075793D" w:rsidP="0075793D">
      <w:pPr>
        <w:pStyle w:val="Numlist"/>
        <w:numPr>
          <w:ilvl w:val="0"/>
          <w:numId w:val="142"/>
        </w:numPr>
        <w:tabs>
          <w:tab w:val="left" w:pos="284"/>
        </w:tabs>
        <w:autoSpaceDE w:val="0"/>
        <w:autoSpaceDN w:val="0"/>
        <w:adjustRightInd w:val="0"/>
        <w:spacing w:line="360" w:lineRule="auto"/>
        <w:ind w:left="0" w:firstLine="284"/>
        <w:jc w:val="both"/>
      </w:pPr>
      <w:r w:rsidRPr="00BA4F0F">
        <w:t>Иммунофенотипическое исследование костного мозга методом проточной цитометрии для определения маркеров минимальной остаточной болезни.</w:t>
      </w:r>
    </w:p>
    <w:p w14:paraId="5EAEED6C" w14:textId="77777777" w:rsidR="0075793D" w:rsidRPr="00BA4F0F" w:rsidRDefault="0075793D" w:rsidP="0075793D">
      <w:pPr>
        <w:pStyle w:val="Numlist"/>
        <w:numPr>
          <w:ilvl w:val="0"/>
          <w:numId w:val="142"/>
        </w:numPr>
        <w:tabs>
          <w:tab w:val="left" w:pos="284"/>
        </w:tabs>
        <w:autoSpaceDE w:val="0"/>
        <w:autoSpaceDN w:val="0"/>
        <w:adjustRightInd w:val="0"/>
        <w:spacing w:line="360" w:lineRule="auto"/>
        <w:ind w:left="0" w:firstLine="284"/>
        <w:jc w:val="both"/>
      </w:pPr>
      <w:r w:rsidRPr="00BA4F0F">
        <w:t>Определение группы крови (</w:t>
      </w:r>
      <w:r w:rsidRPr="00BA4F0F">
        <w:rPr>
          <w:lang w:val="en-US"/>
        </w:rPr>
        <w:t>ABO</w:t>
      </w:r>
      <w:r w:rsidRPr="00BA4F0F">
        <w:t>, Резус, фенотип по антигенам C, c, E, e, Cw, K, k, а также определение антиэритроцитарных антител).</w:t>
      </w:r>
    </w:p>
    <w:p w14:paraId="77D730C2" w14:textId="77777777" w:rsidR="0075793D" w:rsidRPr="00BA4F0F" w:rsidRDefault="0075793D" w:rsidP="0075793D">
      <w:pPr>
        <w:pStyle w:val="Numlist"/>
        <w:numPr>
          <w:ilvl w:val="0"/>
          <w:numId w:val="142"/>
        </w:numPr>
        <w:tabs>
          <w:tab w:val="left" w:pos="284"/>
        </w:tabs>
        <w:autoSpaceDE w:val="0"/>
        <w:autoSpaceDN w:val="0"/>
        <w:adjustRightInd w:val="0"/>
        <w:spacing w:line="360" w:lineRule="auto"/>
        <w:ind w:left="0" w:firstLine="284"/>
        <w:jc w:val="both"/>
      </w:pPr>
      <w:r w:rsidRPr="00BA4F0F">
        <w:t>Исследование на маркеры вирусов гепатитов</w:t>
      </w:r>
      <w:r w:rsidRPr="00BA4F0F">
        <w:rPr>
          <w:lang w:val="en-US"/>
        </w:rPr>
        <w:t> B</w:t>
      </w:r>
      <w:r w:rsidRPr="00BA4F0F">
        <w:t xml:space="preserve"> и </w:t>
      </w:r>
      <w:r w:rsidRPr="00BA4F0F">
        <w:rPr>
          <w:lang w:val="en-US"/>
        </w:rPr>
        <w:t>C</w:t>
      </w:r>
      <w:r w:rsidRPr="00BA4F0F">
        <w:t xml:space="preserve">, ВИЧ, </w:t>
      </w:r>
      <w:r w:rsidRPr="00BA4F0F">
        <w:rPr>
          <w:lang w:val="en-US"/>
        </w:rPr>
        <w:t>RW</w:t>
      </w:r>
      <w:r w:rsidRPr="00BA4F0F">
        <w:t>.</w:t>
      </w:r>
    </w:p>
    <w:p w14:paraId="15766B3B" w14:textId="77777777" w:rsidR="0075793D" w:rsidRPr="00BA4F0F" w:rsidRDefault="0075793D" w:rsidP="0075793D">
      <w:pPr>
        <w:pStyle w:val="Numlist"/>
        <w:numPr>
          <w:ilvl w:val="0"/>
          <w:numId w:val="142"/>
        </w:numPr>
        <w:tabs>
          <w:tab w:val="left" w:pos="284"/>
        </w:tabs>
        <w:autoSpaceDE w:val="0"/>
        <w:autoSpaceDN w:val="0"/>
        <w:adjustRightInd w:val="0"/>
        <w:spacing w:line="360" w:lineRule="auto"/>
        <w:ind w:left="0" w:firstLine="284"/>
        <w:jc w:val="both"/>
      </w:pPr>
      <w:r w:rsidRPr="00BA4F0F">
        <w:t>Электрокардиограмма.</w:t>
      </w:r>
    </w:p>
    <w:p w14:paraId="7AFC6782" w14:textId="77777777" w:rsidR="0075793D" w:rsidRPr="00BA4F0F" w:rsidRDefault="0075793D" w:rsidP="0075793D">
      <w:pPr>
        <w:pStyle w:val="Numlist"/>
        <w:numPr>
          <w:ilvl w:val="0"/>
          <w:numId w:val="142"/>
        </w:numPr>
        <w:tabs>
          <w:tab w:val="left" w:pos="284"/>
        </w:tabs>
        <w:autoSpaceDE w:val="0"/>
        <w:autoSpaceDN w:val="0"/>
        <w:adjustRightInd w:val="0"/>
        <w:spacing w:line="360" w:lineRule="auto"/>
        <w:ind w:left="0" w:firstLine="284"/>
        <w:jc w:val="both"/>
      </w:pPr>
      <w:r w:rsidRPr="00BA4F0F">
        <w:t>Эхокардиография.</w:t>
      </w:r>
    </w:p>
    <w:p w14:paraId="401BE575" w14:textId="77777777" w:rsidR="0075793D" w:rsidRPr="00BA4F0F" w:rsidRDefault="0075793D" w:rsidP="0075793D">
      <w:pPr>
        <w:pStyle w:val="Numlist"/>
        <w:numPr>
          <w:ilvl w:val="0"/>
          <w:numId w:val="142"/>
        </w:numPr>
        <w:tabs>
          <w:tab w:val="left" w:pos="284"/>
        </w:tabs>
        <w:autoSpaceDE w:val="0"/>
        <w:autoSpaceDN w:val="0"/>
        <w:adjustRightInd w:val="0"/>
        <w:spacing w:line="360" w:lineRule="auto"/>
        <w:ind w:left="0" w:firstLine="284"/>
        <w:jc w:val="both"/>
      </w:pPr>
      <w:r w:rsidRPr="00BA4F0F">
        <w:t>Холтеровское мониторирование сердечного ритма – при выявлении нарушений ритма и проводимости на ЭКГ.</w:t>
      </w:r>
    </w:p>
    <w:p w14:paraId="093E7D78" w14:textId="77777777" w:rsidR="0075793D" w:rsidRPr="00BA4F0F" w:rsidRDefault="0075793D" w:rsidP="0075793D">
      <w:pPr>
        <w:pStyle w:val="Numlist"/>
        <w:numPr>
          <w:ilvl w:val="0"/>
          <w:numId w:val="142"/>
        </w:numPr>
        <w:tabs>
          <w:tab w:val="left" w:pos="284"/>
        </w:tabs>
        <w:autoSpaceDE w:val="0"/>
        <w:autoSpaceDN w:val="0"/>
        <w:adjustRightInd w:val="0"/>
        <w:spacing w:line="360" w:lineRule="auto"/>
        <w:ind w:left="0" w:firstLine="284"/>
        <w:jc w:val="both"/>
      </w:pPr>
      <w:r w:rsidRPr="00BA4F0F">
        <w:t>УЗИ брюшной полости (комплексное).</w:t>
      </w:r>
    </w:p>
    <w:p w14:paraId="3D600E67" w14:textId="77777777" w:rsidR="0075793D" w:rsidRPr="00BA4F0F" w:rsidRDefault="0075793D" w:rsidP="0075793D">
      <w:pPr>
        <w:pStyle w:val="Numlist"/>
        <w:numPr>
          <w:ilvl w:val="0"/>
          <w:numId w:val="142"/>
        </w:numPr>
        <w:tabs>
          <w:tab w:val="left" w:pos="284"/>
        </w:tabs>
        <w:autoSpaceDE w:val="0"/>
        <w:autoSpaceDN w:val="0"/>
        <w:adjustRightInd w:val="0"/>
        <w:spacing w:line="360" w:lineRule="auto"/>
        <w:ind w:left="0" w:firstLine="284"/>
        <w:jc w:val="both"/>
      </w:pPr>
      <w:r w:rsidRPr="00BA4F0F">
        <w:t>Ультразвуковая допплерография сосудов (артерий и вен) нижних конечностей - при необходимости.</w:t>
      </w:r>
    </w:p>
    <w:p w14:paraId="29156CE5" w14:textId="77777777" w:rsidR="0075793D" w:rsidRPr="00BA4F0F" w:rsidRDefault="0075793D" w:rsidP="0075793D">
      <w:pPr>
        <w:pStyle w:val="Numlist"/>
        <w:numPr>
          <w:ilvl w:val="0"/>
          <w:numId w:val="142"/>
        </w:numPr>
        <w:tabs>
          <w:tab w:val="left" w:pos="284"/>
        </w:tabs>
        <w:autoSpaceDE w:val="0"/>
        <w:autoSpaceDN w:val="0"/>
        <w:adjustRightInd w:val="0"/>
        <w:spacing w:line="360" w:lineRule="auto"/>
        <w:ind w:left="0" w:firstLine="284"/>
        <w:jc w:val="both"/>
      </w:pPr>
      <w:r w:rsidRPr="00BA4F0F">
        <w:t>Эзофагогастродуоденоскопия с биопсией – при наличии диспепсических расстройств или язвенной болезни желудка/ двенадцатиперстной кишки в анамнезе.</w:t>
      </w:r>
    </w:p>
    <w:p w14:paraId="35FF611D" w14:textId="77777777" w:rsidR="0075793D" w:rsidRPr="00BA4F0F" w:rsidRDefault="0075793D" w:rsidP="0075793D">
      <w:pPr>
        <w:pStyle w:val="Numlist"/>
        <w:numPr>
          <w:ilvl w:val="0"/>
          <w:numId w:val="142"/>
        </w:numPr>
        <w:tabs>
          <w:tab w:val="left" w:pos="284"/>
        </w:tabs>
        <w:autoSpaceDE w:val="0"/>
        <w:autoSpaceDN w:val="0"/>
        <w:adjustRightInd w:val="0"/>
        <w:spacing w:line="360" w:lineRule="auto"/>
        <w:ind w:left="0" w:firstLine="284"/>
        <w:jc w:val="both"/>
      </w:pPr>
      <w:r w:rsidRPr="00BA4F0F">
        <w:t>МРТ головного мозга.</w:t>
      </w:r>
    </w:p>
    <w:p w14:paraId="213D59CC" w14:textId="77777777" w:rsidR="0075793D" w:rsidRPr="00BA4F0F" w:rsidRDefault="0075793D" w:rsidP="0075793D">
      <w:pPr>
        <w:pStyle w:val="Numlist"/>
        <w:numPr>
          <w:ilvl w:val="0"/>
          <w:numId w:val="142"/>
        </w:numPr>
        <w:tabs>
          <w:tab w:val="left" w:pos="284"/>
        </w:tabs>
        <w:autoSpaceDE w:val="0"/>
        <w:autoSpaceDN w:val="0"/>
        <w:adjustRightInd w:val="0"/>
        <w:spacing w:line="360" w:lineRule="auto"/>
        <w:ind w:left="0" w:firstLine="284"/>
        <w:jc w:val="both"/>
      </w:pPr>
      <w:r w:rsidRPr="00BA4F0F">
        <w:t>КТ органов грудной полости.</w:t>
      </w:r>
    </w:p>
    <w:p w14:paraId="49AAACCB" w14:textId="77777777" w:rsidR="0075793D" w:rsidRPr="00BA4F0F" w:rsidRDefault="0075793D" w:rsidP="0075793D">
      <w:pPr>
        <w:pStyle w:val="Numlist"/>
        <w:numPr>
          <w:ilvl w:val="0"/>
          <w:numId w:val="142"/>
        </w:numPr>
        <w:tabs>
          <w:tab w:val="left" w:pos="284"/>
        </w:tabs>
        <w:autoSpaceDE w:val="0"/>
        <w:autoSpaceDN w:val="0"/>
        <w:adjustRightInd w:val="0"/>
        <w:spacing w:line="360" w:lineRule="auto"/>
        <w:ind w:left="0" w:firstLine="284"/>
        <w:jc w:val="both"/>
      </w:pPr>
      <w:r w:rsidRPr="00BA4F0F">
        <w:t>Люмбальная пункция с последующим цитологическим, комплексным иммунохимическим и иммунофенотипическим исследованием ликвора при подозрении на вовлечение в патологический процесс центральной нервной системы.</w:t>
      </w:r>
    </w:p>
    <w:p w14:paraId="33B3BEBD" w14:textId="77777777" w:rsidR="0075793D" w:rsidRPr="00BA4F0F" w:rsidRDefault="0075793D" w:rsidP="0075793D">
      <w:pPr>
        <w:pStyle w:val="Numlist"/>
        <w:numPr>
          <w:ilvl w:val="0"/>
          <w:numId w:val="142"/>
        </w:numPr>
        <w:tabs>
          <w:tab w:val="left" w:pos="284"/>
        </w:tabs>
        <w:autoSpaceDE w:val="0"/>
        <w:autoSpaceDN w:val="0"/>
        <w:adjustRightInd w:val="0"/>
        <w:spacing w:line="360" w:lineRule="auto"/>
        <w:ind w:left="0" w:firstLine="284"/>
        <w:jc w:val="both"/>
      </w:pPr>
      <w:r w:rsidRPr="00BA4F0F">
        <w:t>Осмотр гинеколога и УЗИ органов малого таза - для женщин.</w:t>
      </w:r>
    </w:p>
    <w:p w14:paraId="11A92E15" w14:textId="77777777" w:rsidR="0075793D" w:rsidRPr="00BA4F0F" w:rsidRDefault="0075793D" w:rsidP="0075793D">
      <w:pPr>
        <w:pStyle w:val="afe"/>
        <w:ind w:left="0"/>
        <w:rPr>
          <w:rFonts w:cs="Times New Roman"/>
          <w:szCs w:val="24"/>
          <w:u w:val="single"/>
        </w:rPr>
      </w:pPr>
      <w:bookmarkStart w:id="134" w:name="_Toc44926615"/>
    </w:p>
    <w:p w14:paraId="225991CE" w14:textId="0CBB2BF2" w:rsidR="007A7C4E" w:rsidRPr="00E93A18" w:rsidRDefault="0075793D" w:rsidP="007A7C4E">
      <w:pPr>
        <w:pStyle w:val="afe"/>
        <w:ind w:left="0"/>
        <w:rPr>
          <w:rFonts w:cs="Times New Roman"/>
          <w:b/>
          <w:i/>
          <w:szCs w:val="24"/>
        </w:rPr>
      </w:pPr>
      <w:r w:rsidRPr="00BA4F0F">
        <w:rPr>
          <w:rFonts w:cs="Times New Roman"/>
          <w:szCs w:val="24"/>
          <w:u w:val="single"/>
        </w:rPr>
        <w:t>Специальные методы обследования при</w:t>
      </w:r>
      <w:r w:rsidR="007A7C4E">
        <w:rPr>
          <w:rFonts w:cs="Times New Roman"/>
          <w:szCs w:val="24"/>
          <w:u w:val="single"/>
        </w:rPr>
        <w:t xml:space="preserve"> ЛХ: </w:t>
      </w:r>
      <w:bookmarkEnd w:id="134"/>
    </w:p>
    <w:p w14:paraId="06C60402" w14:textId="77777777" w:rsidR="0075793D" w:rsidRPr="00BA4F0F" w:rsidRDefault="0075793D" w:rsidP="005E0272">
      <w:pPr>
        <w:pStyle w:val="Numlist"/>
        <w:numPr>
          <w:ilvl w:val="0"/>
          <w:numId w:val="143"/>
        </w:numPr>
        <w:tabs>
          <w:tab w:val="left" w:pos="284"/>
        </w:tabs>
        <w:autoSpaceDE w:val="0"/>
        <w:autoSpaceDN w:val="0"/>
        <w:adjustRightInd w:val="0"/>
        <w:spacing w:line="360" w:lineRule="auto"/>
        <w:ind w:left="0" w:firstLine="284"/>
        <w:jc w:val="both"/>
      </w:pPr>
      <w:r w:rsidRPr="00BA4F0F">
        <w:t>Позитронно-эмиссионная томография, совмещенная с КТ.</w:t>
      </w:r>
    </w:p>
    <w:p w14:paraId="7594868F" w14:textId="77777777" w:rsidR="0075793D" w:rsidRPr="00BA4F0F" w:rsidRDefault="0075793D" w:rsidP="005E0272">
      <w:pPr>
        <w:pStyle w:val="Numlist"/>
        <w:numPr>
          <w:ilvl w:val="0"/>
          <w:numId w:val="143"/>
        </w:numPr>
        <w:tabs>
          <w:tab w:val="left" w:pos="284"/>
        </w:tabs>
        <w:autoSpaceDE w:val="0"/>
        <w:autoSpaceDN w:val="0"/>
        <w:adjustRightInd w:val="0"/>
        <w:spacing w:line="360" w:lineRule="auto"/>
        <w:ind w:left="0" w:firstLine="284"/>
        <w:jc w:val="both"/>
      </w:pPr>
      <w:r w:rsidRPr="00BA4F0F">
        <w:t>Исследование клональности (В/Т в зависимости от варианта заболевания) в периферической крови, костном мозге методом полимеразной цепной реакции.</w:t>
      </w:r>
    </w:p>
    <w:p w14:paraId="5DFB00E0" w14:textId="77777777" w:rsidR="0075793D" w:rsidRPr="00BA4F0F" w:rsidRDefault="0075793D" w:rsidP="005E0272">
      <w:pPr>
        <w:pStyle w:val="Numlist"/>
        <w:numPr>
          <w:ilvl w:val="0"/>
          <w:numId w:val="143"/>
        </w:numPr>
        <w:tabs>
          <w:tab w:val="left" w:pos="284"/>
        </w:tabs>
        <w:autoSpaceDE w:val="0"/>
        <w:autoSpaceDN w:val="0"/>
        <w:adjustRightInd w:val="0"/>
        <w:spacing w:line="360" w:lineRule="auto"/>
        <w:ind w:left="0" w:firstLine="284"/>
        <w:jc w:val="both"/>
      </w:pPr>
      <w:r w:rsidRPr="00BA4F0F">
        <w:t>Определение уровня поликлональных иммуноглобулинов (A, G,M).</w:t>
      </w:r>
    </w:p>
    <w:p w14:paraId="015D84FE" w14:textId="77777777" w:rsidR="0075793D" w:rsidRPr="00BA4F0F" w:rsidRDefault="0075793D" w:rsidP="005E0272">
      <w:pPr>
        <w:pStyle w:val="Numlist"/>
        <w:numPr>
          <w:ilvl w:val="0"/>
          <w:numId w:val="143"/>
        </w:numPr>
        <w:tabs>
          <w:tab w:val="left" w:pos="284"/>
        </w:tabs>
        <w:autoSpaceDE w:val="0"/>
        <w:autoSpaceDN w:val="0"/>
        <w:adjustRightInd w:val="0"/>
        <w:spacing w:line="360" w:lineRule="auto"/>
        <w:ind w:left="0" w:firstLine="284"/>
        <w:jc w:val="both"/>
      </w:pPr>
      <w:r w:rsidRPr="00BA4F0F">
        <w:t>КТ органов грудной полости с контрастированием при первичном вовлечении средостения.</w:t>
      </w:r>
    </w:p>
    <w:p w14:paraId="7BC3C229" w14:textId="77777777" w:rsidR="0075793D" w:rsidRPr="00BA4F0F" w:rsidRDefault="0075793D" w:rsidP="005E0272">
      <w:pPr>
        <w:pStyle w:val="Numlist"/>
        <w:numPr>
          <w:ilvl w:val="0"/>
          <w:numId w:val="143"/>
        </w:numPr>
        <w:tabs>
          <w:tab w:val="left" w:pos="284"/>
        </w:tabs>
        <w:autoSpaceDE w:val="0"/>
        <w:autoSpaceDN w:val="0"/>
        <w:adjustRightInd w:val="0"/>
        <w:spacing w:line="360" w:lineRule="auto"/>
        <w:ind w:left="0" w:firstLine="284"/>
        <w:jc w:val="both"/>
      </w:pPr>
      <w:r w:rsidRPr="00BA4F0F">
        <w:t>УЗИ периферических лимфоузлов.</w:t>
      </w:r>
    </w:p>
    <w:p w14:paraId="1FFCA073" w14:textId="77777777" w:rsidR="0075793D" w:rsidRPr="00BA4F0F" w:rsidRDefault="0075793D" w:rsidP="005E0272">
      <w:pPr>
        <w:pStyle w:val="Numlist"/>
        <w:numPr>
          <w:ilvl w:val="0"/>
          <w:numId w:val="143"/>
        </w:numPr>
        <w:tabs>
          <w:tab w:val="left" w:pos="284"/>
        </w:tabs>
        <w:autoSpaceDE w:val="0"/>
        <w:autoSpaceDN w:val="0"/>
        <w:adjustRightInd w:val="0"/>
        <w:spacing w:line="360" w:lineRule="auto"/>
        <w:ind w:left="0" w:firstLine="284"/>
        <w:jc w:val="both"/>
      </w:pPr>
      <w:r w:rsidRPr="00BA4F0F">
        <w:t>Активность лактатдегидрогеназы.</w:t>
      </w:r>
    </w:p>
    <w:p w14:paraId="39A41D0A" w14:textId="77777777" w:rsidR="0075793D" w:rsidRPr="00BA4F0F" w:rsidRDefault="0075793D" w:rsidP="005E0272">
      <w:pPr>
        <w:pStyle w:val="Numlist"/>
        <w:numPr>
          <w:ilvl w:val="0"/>
          <w:numId w:val="143"/>
        </w:numPr>
        <w:tabs>
          <w:tab w:val="left" w:pos="284"/>
        </w:tabs>
        <w:autoSpaceDE w:val="0"/>
        <w:autoSpaceDN w:val="0"/>
        <w:adjustRightInd w:val="0"/>
        <w:spacing w:line="360" w:lineRule="auto"/>
        <w:ind w:left="0" w:firstLine="284"/>
        <w:jc w:val="both"/>
      </w:pPr>
      <w:r w:rsidRPr="00BA4F0F">
        <w:t>КТ грудной полости/ брюшной полости/ таза – для оценки противоопухолевого ответа при отсутствии возможности выполнить ПЭТ/КТ или наличии противопоказаний.</w:t>
      </w:r>
    </w:p>
    <w:p w14:paraId="5A36C570" w14:textId="77777777" w:rsidR="007A7C4E" w:rsidRPr="00E93A18" w:rsidRDefault="007A7C4E" w:rsidP="0075793D">
      <w:pPr>
        <w:rPr>
          <w:rFonts w:cs="Times New Roman"/>
          <w:b/>
          <w:i/>
          <w:szCs w:val="24"/>
        </w:rPr>
      </w:pPr>
      <w:bookmarkStart w:id="135" w:name="_Toc44926616"/>
    </w:p>
    <w:p w14:paraId="6E029968" w14:textId="67D7BB3B" w:rsidR="0075793D" w:rsidRPr="00BA4F0F" w:rsidRDefault="0075793D" w:rsidP="0075793D">
      <w:pPr>
        <w:rPr>
          <w:rFonts w:cs="Times New Roman"/>
          <w:i/>
          <w:szCs w:val="24"/>
          <w:u w:val="single"/>
        </w:rPr>
      </w:pPr>
      <w:r w:rsidRPr="00BA4F0F">
        <w:rPr>
          <w:rFonts w:cs="Times New Roman"/>
          <w:i/>
          <w:szCs w:val="24"/>
          <w:u w:val="single"/>
        </w:rPr>
        <w:t>Трансплантация аутологичных стволовых клеток крови</w:t>
      </w:r>
      <w:bookmarkEnd w:id="135"/>
    </w:p>
    <w:p w14:paraId="1218E966" w14:textId="77777777" w:rsidR="0075793D" w:rsidRPr="00BA4F0F" w:rsidRDefault="0075793D" w:rsidP="0075793D">
      <w:pPr>
        <w:rPr>
          <w:rFonts w:cs="Times New Roman"/>
          <w:b/>
          <w:szCs w:val="24"/>
        </w:rPr>
      </w:pPr>
      <w:bookmarkStart w:id="136" w:name="_Toc44926621"/>
      <w:r w:rsidRPr="00BA4F0F">
        <w:rPr>
          <w:rFonts w:cs="Times New Roman"/>
          <w:b/>
          <w:szCs w:val="24"/>
        </w:rPr>
        <w:t>Противопоказания к выполнению ауто-ТГСК</w:t>
      </w:r>
      <w:bookmarkEnd w:id="136"/>
    </w:p>
    <w:p w14:paraId="60BEAC05" w14:textId="77777777" w:rsidR="0075793D" w:rsidRPr="00BA4F0F" w:rsidRDefault="0075793D" w:rsidP="0075793D">
      <w:pPr>
        <w:pStyle w:val="afe"/>
        <w:ind w:left="0"/>
        <w:rPr>
          <w:rFonts w:cs="Times New Roman"/>
          <w:szCs w:val="24"/>
          <w:u w:val="single"/>
        </w:rPr>
      </w:pPr>
      <w:bookmarkStart w:id="137" w:name="_Toc44926622"/>
      <w:r w:rsidRPr="00BA4F0F">
        <w:rPr>
          <w:rFonts w:cs="Times New Roman"/>
          <w:szCs w:val="24"/>
          <w:u w:val="single"/>
        </w:rPr>
        <w:t>Абсолютные противопоказания к выполнению ауто-ТГСК</w:t>
      </w:r>
      <w:bookmarkEnd w:id="137"/>
    </w:p>
    <w:p w14:paraId="0DDA1DFA" w14:textId="77777777" w:rsidR="0075793D" w:rsidRPr="00BA4F0F" w:rsidRDefault="0075793D" w:rsidP="0075793D">
      <w:pPr>
        <w:ind w:firstLine="567"/>
        <w:rPr>
          <w:rFonts w:cs="Times New Roman"/>
          <w:szCs w:val="24"/>
        </w:rPr>
      </w:pPr>
      <w:r w:rsidRPr="00BA4F0F">
        <w:rPr>
          <w:rFonts w:cs="Times New Roman"/>
          <w:szCs w:val="24"/>
        </w:rPr>
        <w:t>- прогрессия/рецидив основного заболевания;</w:t>
      </w:r>
    </w:p>
    <w:p w14:paraId="03BCB15A" w14:textId="77777777" w:rsidR="0075793D" w:rsidRPr="00BA4F0F" w:rsidRDefault="0075793D" w:rsidP="0075793D">
      <w:pPr>
        <w:ind w:firstLine="567"/>
        <w:rPr>
          <w:rFonts w:cs="Times New Roman"/>
          <w:szCs w:val="24"/>
        </w:rPr>
      </w:pPr>
      <w:r w:rsidRPr="00BA4F0F">
        <w:rPr>
          <w:rFonts w:cs="Times New Roman"/>
          <w:szCs w:val="24"/>
        </w:rPr>
        <w:t>- инфекционные заболевания в стадии обострения;</w:t>
      </w:r>
    </w:p>
    <w:p w14:paraId="78EC7FA4" w14:textId="77777777" w:rsidR="0075793D" w:rsidRPr="00BA4F0F" w:rsidRDefault="0075793D" w:rsidP="0075793D">
      <w:pPr>
        <w:ind w:firstLine="567"/>
        <w:rPr>
          <w:rFonts w:cs="Times New Roman"/>
          <w:szCs w:val="24"/>
        </w:rPr>
      </w:pPr>
      <w:r w:rsidRPr="00BA4F0F">
        <w:rPr>
          <w:rFonts w:cs="Times New Roman"/>
          <w:szCs w:val="24"/>
        </w:rPr>
        <w:t>- заболевания опорно-двигательного аппарата, системы кровообращения, органов пищеварения и дыхания, мочеполовой, эндокринной и нервной систем, а также заболевания других органов и систем в стадии обострения и сопровождающиеся стойким расстройством функций;</w:t>
      </w:r>
    </w:p>
    <w:p w14:paraId="23E9AE64" w14:textId="77777777" w:rsidR="0075793D" w:rsidRPr="00BA4F0F" w:rsidRDefault="0075793D" w:rsidP="0075793D">
      <w:pPr>
        <w:ind w:firstLine="567"/>
        <w:rPr>
          <w:rFonts w:cs="Times New Roman"/>
          <w:szCs w:val="24"/>
        </w:rPr>
      </w:pPr>
      <w:r w:rsidRPr="00BA4F0F">
        <w:rPr>
          <w:rFonts w:cs="Times New Roman"/>
          <w:szCs w:val="24"/>
        </w:rPr>
        <w:t>- наличие «вторых» злокачественных новообразований вне ремиссии;</w:t>
      </w:r>
    </w:p>
    <w:p w14:paraId="56D3F6E3" w14:textId="77777777" w:rsidR="0075793D" w:rsidRPr="00BA4F0F" w:rsidRDefault="0075793D" w:rsidP="0075793D">
      <w:pPr>
        <w:ind w:firstLine="567"/>
        <w:rPr>
          <w:rFonts w:cs="Times New Roman"/>
          <w:szCs w:val="24"/>
        </w:rPr>
      </w:pPr>
      <w:r w:rsidRPr="00BA4F0F">
        <w:rPr>
          <w:rFonts w:cs="Times New Roman"/>
          <w:szCs w:val="24"/>
        </w:rPr>
        <w:t>- терапия иммуносупрессивными или иными лекарственными препаратами, которые могут повлиять на способность к самоподдержанию собственной популяции и полипотентность гемопоэтических стволовых клеток;</w:t>
      </w:r>
    </w:p>
    <w:p w14:paraId="1CB34406" w14:textId="77777777" w:rsidR="0075793D" w:rsidRPr="00BA4F0F" w:rsidRDefault="0075793D" w:rsidP="0075793D">
      <w:pPr>
        <w:ind w:firstLine="567"/>
        <w:rPr>
          <w:rFonts w:cs="Times New Roman"/>
          <w:szCs w:val="24"/>
        </w:rPr>
      </w:pPr>
      <w:r w:rsidRPr="00BA4F0F">
        <w:rPr>
          <w:rFonts w:cs="Times New Roman"/>
          <w:szCs w:val="24"/>
        </w:rPr>
        <w:t>- психические расстройства и расстройства поведения в состоянии обострения и (или) представляющие опасность для больного и окружающих;</w:t>
      </w:r>
    </w:p>
    <w:p w14:paraId="244560B0" w14:textId="77777777" w:rsidR="0075793D" w:rsidRPr="00BA4F0F" w:rsidRDefault="0075793D" w:rsidP="0075793D">
      <w:pPr>
        <w:ind w:firstLine="567"/>
        <w:rPr>
          <w:rFonts w:cs="Times New Roman"/>
          <w:szCs w:val="24"/>
        </w:rPr>
      </w:pPr>
      <w:r w:rsidRPr="00BA4F0F">
        <w:rPr>
          <w:rFonts w:cs="Times New Roman"/>
          <w:szCs w:val="24"/>
        </w:rPr>
        <w:t>- психические расстройства и расстройства поведения, вызванные употреблением психоактивных веществ;</w:t>
      </w:r>
    </w:p>
    <w:p w14:paraId="149B16DB" w14:textId="77777777" w:rsidR="0075793D" w:rsidRPr="00BA4F0F" w:rsidRDefault="0075793D" w:rsidP="0075793D">
      <w:pPr>
        <w:ind w:firstLine="567"/>
        <w:rPr>
          <w:rFonts w:cs="Times New Roman"/>
          <w:szCs w:val="24"/>
        </w:rPr>
      </w:pPr>
      <w:r w:rsidRPr="00BA4F0F">
        <w:rPr>
          <w:rFonts w:cs="Times New Roman"/>
          <w:szCs w:val="24"/>
        </w:rPr>
        <w:t>- кахексия;</w:t>
      </w:r>
    </w:p>
    <w:p w14:paraId="1CC89E03" w14:textId="77777777" w:rsidR="0075793D" w:rsidRPr="00BA4F0F" w:rsidRDefault="0075793D" w:rsidP="0075793D">
      <w:pPr>
        <w:ind w:firstLine="567"/>
        <w:rPr>
          <w:rFonts w:cs="Times New Roman"/>
          <w:szCs w:val="24"/>
        </w:rPr>
      </w:pPr>
      <w:r w:rsidRPr="00BA4F0F">
        <w:rPr>
          <w:rFonts w:cs="Times New Roman"/>
          <w:szCs w:val="24"/>
        </w:rPr>
        <w:t>- беременность;</w:t>
      </w:r>
    </w:p>
    <w:p w14:paraId="57629362" w14:textId="77777777" w:rsidR="0075793D" w:rsidRPr="00BA4F0F" w:rsidRDefault="0075793D" w:rsidP="0075793D">
      <w:pPr>
        <w:ind w:firstLine="567"/>
        <w:rPr>
          <w:rFonts w:cs="Times New Roman"/>
          <w:szCs w:val="24"/>
        </w:rPr>
      </w:pPr>
      <w:r w:rsidRPr="00BA4F0F">
        <w:rPr>
          <w:rFonts w:cs="Times New Roman"/>
          <w:szCs w:val="24"/>
        </w:rPr>
        <w:t>- ранний послеоперационный период с наличием потенциальных рисков инфицирования послеоперационных ран в период миелотоксического агранулоцитоза.</w:t>
      </w:r>
    </w:p>
    <w:p w14:paraId="7BBCFC93" w14:textId="77777777" w:rsidR="0075793D" w:rsidRPr="00BA4F0F" w:rsidRDefault="0075793D" w:rsidP="0075793D">
      <w:pPr>
        <w:ind w:firstLine="567"/>
        <w:rPr>
          <w:rFonts w:cs="Times New Roman"/>
          <w:szCs w:val="24"/>
        </w:rPr>
      </w:pPr>
      <w:r w:rsidRPr="00BA4F0F">
        <w:rPr>
          <w:rFonts w:cs="Times New Roman"/>
          <w:szCs w:val="24"/>
        </w:rPr>
        <w:t>- отсутствие подписанного информированного согласия на выполнение трансплантации.</w:t>
      </w:r>
    </w:p>
    <w:p w14:paraId="1C329BC6" w14:textId="77777777" w:rsidR="0075793D" w:rsidRPr="00BA4F0F" w:rsidRDefault="0075793D" w:rsidP="0075793D">
      <w:pPr>
        <w:pStyle w:val="11"/>
        <w:spacing w:before="0"/>
      </w:pPr>
      <w:bookmarkStart w:id="138" w:name="_Toc44926623"/>
    </w:p>
    <w:p w14:paraId="5C8EC4E2" w14:textId="77777777" w:rsidR="0075793D" w:rsidRPr="00BA4F0F" w:rsidRDefault="0075793D" w:rsidP="0075793D">
      <w:pPr>
        <w:pStyle w:val="afe"/>
        <w:ind w:left="0"/>
        <w:rPr>
          <w:rFonts w:cs="Times New Roman"/>
          <w:szCs w:val="24"/>
          <w:u w:val="single"/>
        </w:rPr>
      </w:pPr>
      <w:r w:rsidRPr="00BA4F0F">
        <w:rPr>
          <w:rFonts w:cs="Times New Roman"/>
          <w:szCs w:val="24"/>
          <w:u w:val="single"/>
        </w:rPr>
        <w:t>Относительные противопоказания к выполнению ауто-ТГСК</w:t>
      </w:r>
      <w:bookmarkEnd w:id="138"/>
    </w:p>
    <w:p w14:paraId="6C23F6A7" w14:textId="77777777" w:rsidR="0075793D" w:rsidRPr="00BA4F0F" w:rsidRDefault="0075793D" w:rsidP="0075793D">
      <w:pPr>
        <w:ind w:firstLine="567"/>
        <w:rPr>
          <w:rFonts w:cs="Times New Roman"/>
          <w:szCs w:val="24"/>
        </w:rPr>
      </w:pPr>
      <w:r w:rsidRPr="00BA4F0F">
        <w:rPr>
          <w:rFonts w:cs="Times New Roman"/>
          <w:szCs w:val="24"/>
        </w:rPr>
        <w:t>- инфекционные заболевания вне обострения (очаги инфекций, требующие санации);</w:t>
      </w:r>
    </w:p>
    <w:p w14:paraId="3ABA5BBB" w14:textId="77777777" w:rsidR="0075793D" w:rsidRPr="00BA4F0F" w:rsidRDefault="0075793D" w:rsidP="0075793D">
      <w:pPr>
        <w:ind w:firstLine="567"/>
        <w:rPr>
          <w:rFonts w:cs="Times New Roman"/>
          <w:szCs w:val="24"/>
        </w:rPr>
      </w:pPr>
      <w:r w:rsidRPr="00BA4F0F">
        <w:rPr>
          <w:rFonts w:cs="Times New Roman"/>
          <w:szCs w:val="24"/>
        </w:rPr>
        <w:t>- заболевания опорно-двигательного аппарата, системы кровообращения, органов пищеварения и дыхания, мочеполовой, эндокринной и нервной систем, а также заболевания других органов и систем в стадии компенсации;</w:t>
      </w:r>
    </w:p>
    <w:p w14:paraId="1A5DE08A" w14:textId="77777777" w:rsidR="0075793D" w:rsidRPr="00BA4F0F" w:rsidRDefault="0075793D" w:rsidP="0075793D">
      <w:pPr>
        <w:ind w:firstLine="567"/>
        <w:rPr>
          <w:rFonts w:cs="Times New Roman"/>
          <w:szCs w:val="24"/>
        </w:rPr>
      </w:pPr>
      <w:r w:rsidRPr="00BA4F0F">
        <w:rPr>
          <w:rFonts w:cs="Times New Roman"/>
          <w:szCs w:val="24"/>
        </w:rPr>
        <w:t>- возраст старше 65 лет.</w:t>
      </w:r>
    </w:p>
    <w:p w14:paraId="1E7BCC2D" w14:textId="77777777" w:rsidR="0075793D" w:rsidRPr="00BA4F0F" w:rsidRDefault="0075793D" w:rsidP="0075793D">
      <w:pPr>
        <w:ind w:firstLine="567"/>
        <w:rPr>
          <w:rFonts w:cs="Times New Roman"/>
          <w:szCs w:val="24"/>
        </w:rPr>
      </w:pPr>
      <w:r w:rsidRPr="00BA4F0F">
        <w:rPr>
          <w:rFonts w:cs="Times New Roman"/>
          <w:szCs w:val="24"/>
        </w:rPr>
        <w:t>- наличие в крови маркеров вируса иммунодефицита человека;</w:t>
      </w:r>
    </w:p>
    <w:p w14:paraId="0E549D1D" w14:textId="77777777" w:rsidR="0075793D" w:rsidRPr="00BA4F0F" w:rsidRDefault="0075793D" w:rsidP="0075793D">
      <w:pPr>
        <w:rPr>
          <w:rFonts w:cs="Times New Roman"/>
          <w:b/>
          <w:szCs w:val="24"/>
        </w:rPr>
      </w:pPr>
      <w:bookmarkStart w:id="139" w:name="_Toc44926624"/>
    </w:p>
    <w:p w14:paraId="5F1C0EF1" w14:textId="77777777" w:rsidR="0075793D" w:rsidRPr="00BA4F0F" w:rsidRDefault="0075793D" w:rsidP="0075793D">
      <w:pPr>
        <w:rPr>
          <w:rFonts w:cs="Times New Roman"/>
          <w:b/>
          <w:szCs w:val="24"/>
        </w:rPr>
      </w:pPr>
      <w:r w:rsidRPr="00BA4F0F">
        <w:rPr>
          <w:rFonts w:cs="Times New Roman"/>
          <w:b/>
          <w:szCs w:val="24"/>
        </w:rPr>
        <w:t>Обследование пациентов перед ауто-ТГСК</w:t>
      </w:r>
      <w:bookmarkEnd w:id="139"/>
    </w:p>
    <w:p w14:paraId="5276103C" w14:textId="77777777" w:rsidR="0075793D" w:rsidRPr="00BA4F0F" w:rsidRDefault="0075793D" w:rsidP="00E242EE">
      <w:pPr>
        <w:rPr>
          <w:rFonts w:cs="Times New Roman"/>
          <w:szCs w:val="24"/>
        </w:rPr>
      </w:pPr>
      <w:r w:rsidRPr="00BA4F0F">
        <w:rPr>
          <w:rFonts w:cs="Times New Roman"/>
          <w:szCs w:val="24"/>
        </w:rPr>
        <w:t>Перед выполнением трансплантации аутологичных гемопоэтических стволовых клеток необходимо определить фазу заболевания, оценить соматический статус пациента и состояние кроветворения. Для этого всем пациентам проводится рутинный комплекс обследования, включающий как лабораторные, так и инструментальные методы.</w:t>
      </w:r>
    </w:p>
    <w:p w14:paraId="1659C217" w14:textId="77777777" w:rsidR="0075793D" w:rsidRPr="00BA4F0F" w:rsidRDefault="0075793D" w:rsidP="0075793D">
      <w:pPr>
        <w:pStyle w:val="afe"/>
        <w:ind w:left="0"/>
        <w:rPr>
          <w:rFonts w:cs="Times New Roman"/>
          <w:szCs w:val="24"/>
          <w:u w:val="single"/>
        </w:rPr>
      </w:pPr>
      <w:bookmarkStart w:id="140" w:name="_Toc44926625"/>
    </w:p>
    <w:p w14:paraId="0C779C3D" w14:textId="77777777" w:rsidR="0075793D" w:rsidRPr="00BA4F0F" w:rsidRDefault="0075793D" w:rsidP="0075793D">
      <w:pPr>
        <w:pStyle w:val="afe"/>
        <w:ind w:left="0"/>
        <w:rPr>
          <w:rFonts w:cs="Times New Roman"/>
          <w:szCs w:val="24"/>
          <w:u w:val="single"/>
        </w:rPr>
      </w:pPr>
      <w:r w:rsidRPr="00BA4F0F">
        <w:rPr>
          <w:rFonts w:cs="Times New Roman"/>
          <w:szCs w:val="24"/>
          <w:u w:val="single"/>
        </w:rPr>
        <w:t>Общие методы обследования</w:t>
      </w:r>
      <w:bookmarkEnd w:id="140"/>
    </w:p>
    <w:p w14:paraId="63B18642" w14:textId="77777777" w:rsidR="0075793D" w:rsidRPr="00BA4F0F" w:rsidRDefault="0075793D" w:rsidP="005E0272">
      <w:pPr>
        <w:pStyle w:val="Numlist"/>
        <w:numPr>
          <w:ilvl w:val="0"/>
          <w:numId w:val="144"/>
        </w:numPr>
        <w:tabs>
          <w:tab w:val="left" w:pos="284"/>
        </w:tabs>
        <w:autoSpaceDE w:val="0"/>
        <w:autoSpaceDN w:val="0"/>
        <w:adjustRightInd w:val="0"/>
        <w:spacing w:line="360" w:lineRule="auto"/>
        <w:ind w:left="0" w:firstLine="284"/>
        <w:jc w:val="both"/>
      </w:pPr>
      <w:r w:rsidRPr="00BA4F0F">
        <w:t>Развернутый анализ крови.</w:t>
      </w:r>
    </w:p>
    <w:p w14:paraId="2C78715D" w14:textId="77777777" w:rsidR="0075793D" w:rsidRPr="00BA4F0F" w:rsidRDefault="0075793D" w:rsidP="005E0272">
      <w:pPr>
        <w:pStyle w:val="Numlist"/>
        <w:numPr>
          <w:ilvl w:val="0"/>
          <w:numId w:val="144"/>
        </w:numPr>
        <w:tabs>
          <w:tab w:val="left" w:pos="284"/>
        </w:tabs>
        <w:autoSpaceDE w:val="0"/>
        <w:autoSpaceDN w:val="0"/>
        <w:adjustRightInd w:val="0"/>
        <w:spacing w:line="360" w:lineRule="auto"/>
        <w:ind w:left="0" w:firstLine="284"/>
        <w:jc w:val="both"/>
      </w:pPr>
      <w:r w:rsidRPr="00BA4F0F">
        <w:t>Биохимический анализ крови с обязательным определением: уровней общего белка, альбумина, креатинина, мочевой кислоты, калия, кальция, активности ЛДГ.</w:t>
      </w:r>
    </w:p>
    <w:p w14:paraId="23A1B908" w14:textId="77777777" w:rsidR="0075793D" w:rsidRPr="00BA4F0F" w:rsidRDefault="0075793D" w:rsidP="005E0272">
      <w:pPr>
        <w:pStyle w:val="Numlist"/>
        <w:numPr>
          <w:ilvl w:val="0"/>
          <w:numId w:val="144"/>
        </w:numPr>
        <w:tabs>
          <w:tab w:val="left" w:pos="284"/>
        </w:tabs>
        <w:autoSpaceDE w:val="0"/>
        <w:autoSpaceDN w:val="0"/>
        <w:adjustRightInd w:val="0"/>
        <w:spacing w:line="360" w:lineRule="auto"/>
        <w:ind w:left="0" w:firstLine="284"/>
        <w:jc w:val="both"/>
      </w:pPr>
      <w:r w:rsidRPr="00BA4F0F">
        <w:t>Общий анализ мочи.</w:t>
      </w:r>
    </w:p>
    <w:p w14:paraId="0E441CE2" w14:textId="77777777" w:rsidR="0075793D" w:rsidRPr="00BA4F0F" w:rsidRDefault="0075793D" w:rsidP="005E0272">
      <w:pPr>
        <w:pStyle w:val="Numlist"/>
        <w:numPr>
          <w:ilvl w:val="0"/>
          <w:numId w:val="144"/>
        </w:numPr>
        <w:tabs>
          <w:tab w:val="left" w:pos="284"/>
        </w:tabs>
        <w:autoSpaceDE w:val="0"/>
        <w:autoSpaceDN w:val="0"/>
        <w:adjustRightInd w:val="0"/>
        <w:spacing w:line="360" w:lineRule="auto"/>
        <w:ind w:left="0" w:firstLine="284"/>
        <w:jc w:val="both"/>
      </w:pPr>
      <w:r w:rsidRPr="00BA4F0F">
        <w:t>Глюкоза крови.</w:t>
      </w:r>
    </w:p>
    <w:p w14:paraId="6614CDAF" w14:textId="77777777" w:rsidR="0075793D" w:rsidRPr="00BA4F0F" w:rsidRDefault="0075793D" w:rsidP="005E0272">
      <w:pPr>
        <w:pStyle w:val="Numlist"/>
        <w:numPr>
          <w:ilvl w:val="0"/>
          <w:numId w:val="144"/>
        </w:numPr>
        <w:tabs>
          <w:tab w:val="left" w:pos="284"/>
        </w:tabs>
        <w:autoSpaceDE w:val="0"/>
        <w:autoSpaceDN w:val="0"/>
        <w:adjustRightInd w:val="0"/>
        <w:spacing w:line="360" w:lineRule="auto"/>
        <w:ind w:left="0" w:firstLine="284"/>
        <w:jc w:val="both"/>
      </w:pPr>
      <w:r w:rsidRPr="00BA4F0F">
        <w:t>Определение скорости клубочковой фильтрации.</w:t>
      </w:r>
    </w:p>
    <w:p w14:paraId="4723ACA2" w14:textId="77777777" w:rsidR="0075793D" w:rsidRPr="00BA4F0F" w:rsidRDefault="0075793D" w:rsidP="005E0272">
      <w:pPr>
        <w:pStyle w:val="Numlist"/>
        <w:numPr>
          <w:ilvl w:val="0"/>
          <w:numId w:val="144"/>
        </w:numPr>
        <w:tabs>
          <w:tab w:val="left" w:pos="284"/>
        </w:tabs>
        <w:autoSpaceDE w:val="0"/>
        <w:autoSpaceDN w:val="0"/>
        <w:adjustRightInd w:val="0"/>
        <w:spacing w:line="360" w:lineRule="auto"/>
        <w:ind w:left="0" w:firstLine="284"/>
        <w:jc w:val="both"/>
      </w:pPr>
      <w:r w:rsidRPr="00BA4F0F">
        <w:t>Коагулограмма (протромбин, международное нормализованное отношение, активированное частичное тромбопластиновое время, фибриноген, тромбиновое время, антитромбин III, плазминоген).</w:t>
      </w:r>
    </w:p>
    <w:p w14:paraId="3EA29892" w14:textId="77777777" w:rsidR="0075793D" w:rsidRPr="00BA4F0F" w:rsidRDefault="0075793D" w:rsidP="005E0272">
      <w:pPr>
        <w:pStyle w:val="Numlist"/>
        <w:numPr>
          <w:ilvl w:val="0"/>
          <w:numId w:val="144"/>
        </w:numPr>
        <w:tabs>
          <w:tab w:val="left" w:pos="284"/>
        </w:tabs>
        <w:autoSpaceDE w:val="0"/>
        <w:autoSpaceDN w:val="0"/>
        <w:adjustRightInd w:val="0"/>
        <w:spacing w:line="360" w:lineRule="auto"/>
        <w:ind w:left="0" w:firstLine="284"/>
        <w:jc w:val="both"/>
      </w:pPr>
      <w:r w:rsidRPr="00BA4F0F">
        <w:t>Пункция костного мозга с подсчетом миелограммы.</w:t>
      </w:r>
    </w:p>
    <w:p w14:paraId="7EC3EB15" w14:textId="77777777" w:rsidR="0075793D" w:rsidRPr="00BA4F0F" w:rsidRDefault="0075793D" w:rsidP="005E0272">
      <w:pPr>
        <w:pStyle w:val="Numlist"/>
        <w:numPr>
          <w:ilvl w:val="0"/>
          <w:numId w:val="144"/>
        </w:numPr>
        <w:tabs>
          <w:tab w:val="left" w:pos="284"/>
        </w:tabs>
        <w:autoSpaceDE w:val="0"/>
        <w:autoSpaceDN w:val="0"/>
        <w:adjustRightInd w:val="0"/>
        <w:spacing w:line="360" w:lineRule="auto"/>
        <w:ind w:left="0" w:firstLine="284"/>
        <w:jc w:val="both"/>
      </w:pPr>
      <w:r w:rsidRPr="00BA4F0F">
        <w:t>Гистологическое исследование биопсийного материала костного мозга для оценки кроветворения.</w:t>
      </w:r>
    </w:p>
    <w:p w14:paraId="3D1E80DC" w14:textId="77777777" w:rsidR="0075793D" w:rsidRPr="00BA4F0F" w:rsidRDefault="0075793D" w:rsidP="005E0272">
      <w:pPr>
        <w:pStyle w:val="Numlist"/>
        <w:numPr>
          <w:ilvl w:val="0"/>
          <w:numId w:val="144"/>
        </w:numPr>
        <w:tabs>
          <w:tab w:val="left" w:pos="284"/>
        </w:tabs>
        <w:autoSpaceDE w:val="0"/>
        <w:autoSpaceDN w:val="0"/>
        <w:adjustRightInd w:val="0"/>
        <w:spacing w:line="360" w:lineRule="auto"/>
        <w:ind w:left="0" w:firstLine="284"/>
        <w:jc w:val="both"/>
      </w:pPr>
      <w:r w:rsidRPr="00BA4F0F">
        <w:t>Гистологическое исследование биопсийного материала костного мозга с применением иммуногистохимических методов для оценки состояния кроветворения и инфильтрации костного мозга опухолевыми клетками.</w:t>
      </w:r>
    </w:p>
    <w:p w14:paraId="5642580E" w14:textId="77777777" w:rsidR="0075793D" w:rsidRPr="00BA4F0F" w:rsidRDefault="0075793D" w:rsidP="005E0272">
      <w:pPr>
        <w:pStyle w:val="Numlist"/>
        <w:numPr>
          <w:ilvl w:val="0"/>
          <w:numId w:val="144"/>
        </w:numPr>
        <w:tabs>
          <w:tab w:val="left" w:pos="284"/>
        </w:tabs>
        <w:autoSpaceDE w:val="0"/>
        <w:autoSpaceDN w:val="0"/>
        <w:adjustRightInd w:val="0"/>
        <w:spacing w:line="360" w:lineRule="auto"/>
        <w:ind w:left="0" w:firstLine="284"/>
        <w:jc w:val="both"/>
      </w:pPr>
      <w:r w:rsidRPr="00BA4F0F">
        <w:t>Иммунофенотипическое исследование костного мозга методом проточной цитометрии для определения маркеров минимальной остаточной болезни.</w:t>
      </w:r>
    </w:p>
    <w:p w14:paraId="4A38ECA6" w14:textId="77777777" w:rsidR="0075793D" w:rsidRPr="00BA4F0F" w:rsidRDefault="0075793D" w:rsidP="005E0272">
      <w:pPr>
        <w:pStyle w:val="Numlist"/>
        <w:numPr>
          <w:ilvl w:val="0"/>
          <w:numId w:val="144"/>
        </w:numPr>
        <w:tabs>
          <w:tab w:val="left" w:pos="284"/>
        </w:tabs>
        <w:autoSpaceDE w:val="0"/>
        <w:autoSpaceDN w:val="0"/>
        <w:adjustRightInd w:val="0"/>
        <w:spacing w:line="360" w:lineRule="auto"/>
        <w:ind w:left="0" w:firstLine="284"/>
        <w:jc w:val="both"/>
      </w:pPr>
      <w:r w:rsidRPr="00BA4F0F">
        <w:t>Определение группы крови (</w:t>
      </w:r>
      <w:r w:rsidRPr="00BA4F0F">
        <w:rPr>
          <w:lang w:val="en-US"/>
        </w:rPr>
        <w:t>ABO</w:t>
      </w:r>
      <w:r w:rsidRPr="00BA4F0F">
        <w:t>, Резус, фенотип по антигенам C, c, E, e, Cw, K, k, а также определение антиэритроцитарных антител).</w:t>
      </w:r>
    </w:p>
    <w:p w14:paraId="04DB74CD" w14:textId="77777777" w:rsidR="0075793D" w:rsidRPr="00BA4F0F" w:rsidRDefault="0075793D" w:rsidP="005E0272">
      <w:pPr>
        <w:pStyle w:val="Numlist"/>
        <w:numPr>
          <w:ilvl w:val="0"/>
          <w:numId w:val="144"/>
        </w:numPr>
        <w:tabs>
          <w:tab w:val="left" w:pos="284"/>
        </w:tabs>
        <w:autoSpaceDE w:val="0"/>
        <w:autoSpaceDN w:val="0"/>
        <w:adjustRightInd w:val="0"/>
        <w:spacing w:line="360" w:lineRule="auto"/>
        <w:ind w:left="0" w:firstLine="284"/>
        <w:jc w:val="both"/>
      </w:pPr>
      <w:r w:rsidRPr="00BA4F0F">
        <w:t>Исследование на маркеры вирусов гепатитов</w:t>
      </w:r>
      <w:r w:rsidRPr="00BA4F0F">
        <w:rPr>
          <w:lang w:val="en-US"/>
        </w:rPr>
        <w:t> B</w:t>
      </w:r>
      <w:r w:rsidRPr="00BA4F0F">
        <w:t xml:space="preserve"> и </w:t>
      </w:r>
      <w:r w:rsidRPr="00BA4F0F">
        <w:rPr>
          <w:lang w:val="en-US"/>
        </w:rPr>
        <w:t>C</w:t>
      </w:r>
      <w:r w:rsidRPr="00BA4F0F">
        <w:t xml:space="preserve">, ВИЧ, </w:t>
      </w:r>
      <w:r w:rsidRPr="00BA4F0F">
        <w:rPr>
          <w:lang w:val="en-US"/>
        </w:rPr>
        <w:t>RW</w:t>
      </w:r>
      <w:r w:rsidRPr="00BA4F0F">
        <w:t>, ЦМВ, ЭБВ, при возможности токсоплазмы.</w:t>
      </w:r>
    </w:p>
    <w:p w14:paraId="721C7D70" w14:textId="77777777" w:rsidR="0075793D" w:rsidRPr="00BA4F0F" w:rsidRDefault="0075793D" w:rsidP="005E0272">
      <w:pPr>
        <w:pStyle w:val="Numlist"/>
        <w:numPr>
          <w:ilvl w:val="0"/>
          <w:numId w:val="144"/>
        </w:numPr>
        <w:tabs>
          <w:tab w:val="left" w:pos="284"/>
        </w:tabs>
        <w:autoSpaceDE w:val="0"/>
        <w:autoSpaceDN w:val="0"/>
        <w:adjustRightInd w:val="0"/>
        <w:spacing w:line="360" w:lineRule="auto"/>
        <w:ind w:left="0" w:firstLine="284"/>
        <w:jc w:val="both"/>
      </w:pPr>
      <w:r w:rsidRPr="00BA4F0F">
        <w:t>Электрокардиограмма.</w:t>
      </w:r>
    </w:p>
    <w:p w14:paraId="4A052EE4" w14:textId="77777777" w:rsidR="0075793D" w:rsidRPr="00BA4F0F" w:rsidRDefault="0075793D" w:rsidP="005E0272">
      <w:pPr>
        <w:pStyle w:val="Numlist"/>
        <w:numPr>
          <w:ilvl w:val="0"/>
          <w:numId w:val="144"/>
        </w:numPr>
        <w:tabs>
          <w:tab w:val="left" w:pos="284"/>
        </w:tabs>
        <w:autoSpaceDE w:val="0"/>
        <w:autoSpaceDN w:val="0"/>
        <w:adjustRightInd w:val="0"/>
        <w:spacing w:line="360" w:lineRule="auto"/>
        <w:ind w:left="0" w:firstLine="284"/>
        <w:jc w:val="both"/>
      </w:pPr>
      <w:r w:rsidRPr="00BA4F0F">
        <w:t>Эхокардиография.</w:t>
      </w:r>
    </w:p>
    <w:p w14:paraId="43E4CEBF" w14:textId="77777777" w:rsidR="0075793D" w:rsidRPr="00BA4F0F" w:rsidRDefault="0075793D" w:rsidP="005E0272">
      <w:pPr>
        <w:pStyle w:val="Numlist"/>
        <w:numPr>
          <w:ilvl w:val="0"/>
          <w:numId w:val="144"/>
        </w:numPr>
        <w:tabs>
          <w:tab w:val="left" w:pos="284"/>
        </w:tabs>
        <w:autoSpaceDE w:val="0"/>
        <w:autoSpaceDN w:val="0"/>
        <w:adjustRightInd w:val="0"/>
        <w:spacing w:line="360" w:lineRule="auto"/>
        <w:ind w:left="0" w:firstLine="284"/>
        <w:jc w:val="both"/>
      </w:pPr>
      <w:r w:rsidRPr="00BA4F0F">
        <w:t>Функция внешнего дыхания.</w:t>
      </w:r>
    </w:p>
    <w:p w14:paraId="3BDC6122" w14:textId="77777777" w:rsidR="0075793D" w:rsidRPr="00BA4F0F" w:rsidRDefault="0075793D" w:rsidP="005E0272">
      <w:pPr>
        <w:pStyle w:val="Numlist"/>
        <w:numPr>
          <w:ilvl w:val="0"/>
          <w:numId w:val="144"/>
        </w:numPr>
        <w:tabs>
          <w:tab w:val="left" w:pos="284"/>
        </w:tabs>
        <w:autoSpaceDE w:val="0"/>
        <w:autoSpaceDN w:val="0"/>
        <w:adjustRightInd w:val="0"/>
        <w:spacing w:line="360" w:lineRule="auto"/>
        <w:ind w:left="0" w:firstLine="284"/>
        <w:jc w:val="both"/>
      </w:pPr>
      <w:r w:rsidRPr="00BA4F0F">
        <w:t>Холтеровское мониторирование сердечного ритма – при выявлении нарушений ритма и проводимости на ЭКГ.</w:t>
      </w:r>
    </w:p>
    <w:p w14:paraId="108736D6" w14:textId="77777777" w:rsidR="0075793D" w:rsidRPr="00BA4F0F" w:rsidRDefault="0075793D" w:rsidP="005E0272">
      <w:pPr>
        <w:pStyle w:val="Numlist"/>
        <w:numPr>
          <w:ilvl w:val="0"/>
          <w:numId w:val="144"/>
        </w:numPr>
        <w:tabs>
          <w:tab w:val="left" w:pos="284"/>
        </w:tabs>
        <w:autoSpaceDE w:val="0"/>
        <w:autoSpaceDN w:val="0"/>
        <w:adjustRightInd w:val="0"/>
        <w:spacing w:line="360" w:lineRule="auto"/>
        <w:ind w:left="0" w:firstLine="284"/>
        <w:jc w:val="both"/>
      </w:pPr>
      <w:r w:rsidRPr="00BA4F0F">
        <w:t>УЗИ брюшной полости (комплексное).</w:t>
      </w:r>
    </w:p>
    <w:p w14:paraId="2E4F6F48" w14:textId="77777777" w:rsidR="0075793D" w:rsidRPr="00BA4F0F" w:rsidRDefault="0075793D" w:rsidP="005E0272">
      <w:pPr>
        <w:pStyle w:val="Numlist"/>
        <w:numPr>
          <w:ilvl w:val="0"/>
          <w:numId w:val="144"/>
        </w:numPr>
        <w:tabs>
          <w:tab w:val="left" w:pos="284"/>
        </w:tabs>
        <w:autoSpaceDE w:val="0"/>
        <w:autoSpaceDN w:val="0"/>
        <w:adjustRightInd w:val="0"/>
        <w:spacing w:line="360" w:lineRule="auto"/>
        <w:ind w:left="0" w:firstLine="284"/>
        <w:jc w:val="both"/>
      </w:pPr>
      <w:r w:rsidRPr="00BA4F0F">
        <w:t>Ультразвуковая допплерография сосудов (артерий и вен) нижних конечностей - при необходимости.</w:t>
      </w:r>
    </w:p>
    <w:p w14:paraId="386CF832" w14:textId="77777777" w:rsidR="0075793D" w:rsidRPr="00BA4F0F" w:rsidRDefault="0075793D" w:rsidP="005E0272">
      <w:pPr>
        <w:pStyle w:val="Numlist"/>
        <w:numPr>
          <w:ilvl w:val="0"/>
          <w:numId w:val="144"/>
        </w:numPr>
        <w:tabs>
          <w:tab w:val="left" w:pos="284"/>
        </w:tabs>
        <w:autoSpaceDE w:val="0"/>
        <w:autoSpaceDN w:val="0"/>
        <w:adjustRightInd w:val="0"/>
        <w:spacing w:line="360" w:lineRule="auto"/>
        <w:ind w:left="0" w:firstLine="284"/>
        <w:jc w:val="both"/>
      </w:pPr>
      <w:r w:rsidRPr="00BA4F0F">
        <w:t>Эзофагогастродуоденоскопия с биопсией – при наличии диспепсических расстройств или язвенной болезни желудка/ двенадцатиперстной кишки в анамнезе.</w:t>
      </w:r>
    </w:p>
    <w:p w14:paraId="477A643D" w14:textId="77777777" w:rsidR="0075793D" w:rsidRPr="00BA4F0F" w:rsidRDefault="0075793D" w:rsidP="005E0272">
      <w:pPr>
        <w:pStyle w:val="Numlist"/>
        <w:numPr>
          <w:ilvl w:val="0"/>
          <w:numId w:val="144"/>
        </w:numPr>
        <w:tabs>
          <w:tab w:val="left" w:pos="284"/>
        </w:tabs>
        <w:autoSpaceDE w:val="0"/>
        <w:autoSpaceDN w:val="0"/>
        <w:adjustRightInd w:val="0"/>
        <w:spacing w:line="360" w:lineRule="auto"/>
        <w:ind w:left="0" w:firstLine="284"/>
        <w:jc w:val="both"/>
      </w:pPr>
      <w:r w:rsidRPr="00BA4F0F">
        <w:t>МРТ головного мозга, придаточных пазух носа с целью выявления скрытых очагов инфекций.</w:t>
      </w:r>
    </w:p>
    <w:p w14:paraId="3D645C57" w14:textId="77777777" w:rsidR="0075793D" w:rsidRPr="00BA4F0F" w:rsidRDefault="0075793D" w:rsidP="005E0272">
      <w:pPr>
        <w:pStyle w:val="Numlist"/>
        <w:numPr>
          <w:ilvl w:val="0"/>
          <w:numId w:val="144"/>
        </w:numPr>
        <w:tabs>
          <w:tab w:val="left" w:pos="284"/>
        </w:tabs>
        <w:autoSpaceDE w:val="0"/>
        <w:autoSpaceDN w:val="0"/>
        <w:adjustRightInd w:val="0"/>
        <w:spacing w:line="360" w:lineRule="auto"/>
        <w:ind w:left="0" w:firstLine="284"/>
        <w:jc w:val="both"/>
      </w:pPr>
      <w:r w:rsidRPr="00BA4F0F">
        <w:t>КТ органов грудной полости.</w:t>
      </w:r>
    </w:p>
    <w:p w14:paraId="4E3749D3" w14:textId="77777777" w:rsidR="0075793D" w:rsidRPr="00BA4F0F" w:rsidRDefault="0075793D" w:rsidP="005E0272">
      <w:pPr>
        <w:pStyle w:val="Numlist"/>
        <w:numPr>
          <w:ilvl w:val="0"/>
          <w:numId w:val="144"/>
        </w:numPr>
        <w:tabs>
          <w:tab w:val="left" w:pos="284"/>
        </w:tabs>
        <w:autoSpaceDE w:val="0"/>
        <w:autoSpaceDN w:val="0"/>
        <w:adjustRightInd w:val="0"/>
        <w:spacing w:line="360" w:lineRule="auto"/>
        <w:ind w:left="0" w:firstLine="284"/>
        <w:jc w:val="both"/>
      </w:pPr>
      <w:r w:rsidRPr="00BA4F0F">
        <w:t>Люмбальная пункция с последующим цитологическим, комплексным иммунохимическим и иммунофенотипическим исследованием ликвора при подозрении на вовлечение в патологический процесс центральной нервной системы.</w:t>
      </w:r>
    </w:p>
    <w:p w14:paraId="3A1803C9" w14:textId="77777777" w:rsidR="0075793D" w:rsidRPr="00BA4F0F" w:rsidRDefault="0075793D" w:rsidP="005E0272">
      <w:pPr>
        <w:pStyle w:val="Numlist"/>
        <w:numPr>
          <w:ilvl w:val="0"/>
          <w:numId w:val="144"/>
        </w:numPr>
        <w:tabs>
          <w:tab w:val="left" w:pos="284"/>
        </w:tabs>
        <w:autoSpaceDE w:val="0"/>
        <w:autoSpaceDN w:val="0"/>
        <w:adjustRightInd w:val="0"/>
        <w:spacing w:line="360" w:lineRule="auto"/>
        <w:ind w:left="0" w:firstLine="284"/>
        <w:jc w:val="both"/>
      </w:pPr>
      <w:r w:rsidRPr="00BA4F0F">
        <w:t>Осмотр стоматолога.</w:t>
      </w:r>
    </w:p>
    <w:p w14:paraId="46561195" w14:textId="77777777" w:rsidR="0075793D" w:rsidRPr="00BA4F0F" w:rsidRDefault="0075793D" w:rsidP="005E0272">
      <w:pPr>
        <w:pStyle w:val="Numlist"/>
        <w:numPr>
          <w:ilvl w:val="0"/>
          <w:numId w:val="144"/>
        </w:numPr>
        <w:tabs>
          <w:tab w:val="left" w:pos="284"/>
        </w:tabs>
        <w:autoSpaceDE w:val="0"/>
        <w:autoSpaceDN w:val="0"/>
        <w:adjustRightInd w:val="0"/>
        <w:spacing w:line="360" w:lineRule="auto"/>
        <w:ind w:left="0" w:firstLine="284"/>
        <w:jc w:val="both"/>
      </w:pPr>
      <w:r w:rsidRPr="00BA4F0F">
        <w:t>Осмотр гинеколога и УЗИ органов малого таза - для женщин.</w:t>
      </w:r>
    </w:p>
    <w:p w14:paraId="6EED599E" w14:textId="77777777" w:rsidR="0075793D" w:rsidRPr="00BA4F0F" w:rsidRDefault="0075793D" w:rsidP="0075793D">
      <w:pPr>
        <w:pStyle w:val="afe"/>
        <w:ind w:left="0"/>
        <w:rPr>
          <w:rFonts w:cs="Times New Roman"/>
          <w:szCs w:val="24"/>
          <w:u w:val="single"/>
        </w:rPr>
      </w:pPr>
      <w:bookmarkStart w:id="141" w:name="_Toc44926626"/>
    </w:p>
    <w:p w14:paraId="4DA92E23" w14:textId="77777777" w:rsidR="003A1755" w:rsidRDefault="0075793D" w:rsidP="0075793D">
      <w:pPr>
        <w:pStyle w:val="afe"/>
        <w:ind w:left="0"/>
        <w:rPr>
          <w:rFonts w:cs="Times New Roman"/>
          <w:szCs w:val="24"/>
          <w:u w:val="single"/>
        </w:rPr>
      </w:pPr>
      <w:r w:rsidRPr="00BA4F0F">
        <w:rPr>
          <w:rFonts w:cs="Times New Roman"/>
          <w:szCs w:val="24"/>
          <w:u w:val="single"/>
        </w:rPr>
        <w:t>Специальные методы обследования при</w:t>
      </w:r>
      <w:r w:rsidR="003A1755">
        <w:rPr>
          <w:rFonts w:cs="Times New Roman"/>
          <w:szCs w:val="24"/>
          <w:u w:val="single"/>
        </w:rPr>
        <w:t xml:space="preserve"> ЛХ</w:t>
      </w:r>
    </w:p>
    <w:bookmarkEnd w:id="141"/>
    <w:p w14:paraId="5DA02075" w14:textId="77777777" w:rsidR="0075793D" w:rsidRPr="00BA4F0F" w:rsidRDefault="0075793D" w:rsidP="005E0272">
      <w:pPr>
        <w:pStyle w:val="Numlist"/>
        <w:numPr>
          <w:ilvl w:val="0"/>
          <w:numId w:val="145"/>
        </w:numPr>
        <w:tabs>
          <w:tab w:val="left" w:pos="284"/>
        </w:tabs>
        <w:autoSpaceDE w:val="0"/>
        <w:autoSpaceDN w:val="0"/>
        <w:adjustRightInd w:val="0"/>
        <w:spacing w:line="360" w:lineRule="auto"/>
        <w:ind w:left="0" w:firstLine="284"/>
        <w:jc w:val="both"/>
      </w:pPr>
      <w:r w:rsidRPr="00BA4F0F">
        <w:t>Позитронно-эмиссионная томография, совмещенная с КТ.</w:t>
      </w:r>
    </w:p>
    <w:p w14:paraId="630A1E84" w14:textId="77777777" w:rsidR="0075793D" w:rsidRPr="00BA4F0F" w:rsidRDefault="0075793D" w:rsidP="005E0272">
      <w:pPr>
        <w:pStyle w:val="Numlist"/>
        <w:numPr>
          <w:ilvl w:val="0"/>
          <w:numId w:val="145"/>
        </w:numPr>
        <w:tabs>
          <w:tab w:val="left" w:pos="284"/>
        </w:tabs>
        <w:autoSpaceDE w:val="0"/>
        <w:autoSpaceDN w:val="0"/>
        <w:adjustRightInd w:val="0"/>
        <w:spacing w:line="360" w:lineRule="auto"/>
        <w:ind w:left="0" w:firstLine="284"/>
        <w:jc w:val="both"/>
      </w:pPr>
      <w:r w:rsidRPr="00BA4F0F">
        <w:t>Исследование клональности (В/Т в зависимости от варианта заболевания) в периферической крови, костном мозге методом полимеразной цепной реакции.</w:t>
      </w:r>
    </w:p>
    <w:p w14:paraId="16418B04" w14:textId="77777777" w:rsidR="0075793D" w:rsidRPr="00BA4F0F" w:rsidRDefault="0075793D" w:rsidP="005E0272">
      <w:pPr>
        <w:pStyle w:val="Numlist"/>
        <w:numPr>
          <w:ilvl w:val="0"/>
          <w:numId w:val="145"/>
        </w:numPr>
        <w:tabs>
          <w:tab w:val="left" w:pos="284"/>
        </w:tabs>
        <w:autoSpaceDE w:val="0"/>
        <w:autoSpaceDN w:val="0"/>
        <w:adjustRightInd w:val="0"/>
        <w:spacing w:line="360" w:lineRule="auto"/>
        <w:ind w:left="0" w:firstLine="284"/>
        <w:jc w:val="both"/>
      </w:pPr>
      <w:r w:rsidRPr="00BA4F0F">
        <w:t>Определение уровня поликлональных иммуноглобулинов (A, G,M).</w:t>
      </w:r>
    </w:p>
    <w:p w14:paraId="6B7EE2DB" w14:textId="77777777" w:rsidR="0075793D" w:rsidRPr="00BA4F0F" w:rsidRDefault="0075793D" w:rsidP="005E0272">
      <w:pPr>
        <w:pStyle w:val="Numlist"/>
        <w:numPr>
          <w:ilvl w:val="0"/>
          <w:numId w:val="145"/>
        </w:numPr>
        <w:tabs>
          <w:tab w:val="left" w:pos="284"/>
        </w:tabs>
        <w:autoSpaceDE w:val="0"/>
        <w:autoSpaceDN w:val="0"/>
        <w:adjustRightInd w:val="0"/>
        <w:spacing w:line="360" w:lineRule="auto"/>
        <w:ind w:left="0" w:firstLine="284"/>
        <w:jc w:val="both"/>
      </w:pPr>
      <w:r w:rsidRPr="00BA4F0F">
        <w:t>КТ органов грудной полости с контрастированием при первичном вовлечении средостения.</w:t>
      </w:r>
    </w:p>
    <w:p w14:paraId="7DD1D38E" w14:textId="77777777" w:rsidR="0075793D" w:rsidRPr="00BA4F0F" w:rsidRDefault="0075793D" w:rsidP="005E0272">
      <w:pPr>
        <w:pStyle w:val="Numlist"/>
        <w:numPr>
          <w:ilvl w:val="0"/>
          <w:numId w:val="145"/>
        </w:numPr>
        <w:tabs>
          <w:tab w:val="left" w:pos="284"/>
        </w:tabs>
        <w:autoSpaceDE w:val="0"/>
        <w:autoSpaceDN w:val="0"/>
        <w:adjustRightInd w:val="0"/>
        <w:spacing w:line="360" w:lineRule="auto"/>
        <w:ind w:left="0" w:firstLine="284"/>
        <w:jc w:val="both"/>
      </w:pPr>
      <w:r w:rsidRPr="00BA4F0F">
        <w:t>УЗИ периферических лимфоузлов.</w:t>
      </w:r>
    </w:p>
    <w:p w14:paraId="75ADF348" w14:textId="77777777" w:rsidR="0075793D" w:rsidRPr="00BA4F0F" w:rsidRDefault="0075793D" w:rsidP="005E0272">
      <w:pPr>
        <w:pStyle w:val="Numlist"/>
        <w:numPr>
          <w:ilvl w:val="0"/>
          <w:numId w:val="145"/>
        </w:numPr>
        <w:tabs>
          <w:tab w:val="left" w:pos="284"/>
        </w:tabs>
        <w:autoSpaceDE w:val="0"/>
        <w:autoSpaceDN w:val="0"/>
        <w:adjustRightInd w:val="0"/>
        <w:spacing w:line="360" w:lineRule="auto"/>
        <w:ind w:left="0" w:firstLine="284"/>
        <w:jc w:val="both"/>
      </w:pPr>
      <w:r w:rsidRPr="00BA4F0F">
        <w:t>Активность лактатдегидрогеназы.</w:t>
      </w:r>
    </w:p>
    <w:p w14:paraId="2D5B055F" w14:textId="77777777" w:rsidR="0075793D" w:rsidRPr="00BA4F0F" w:rsidRDefault="0075793D" w:rsidP="005E0272">
      <w:pPr>
        <w:pStyle w:val="Numlist"/>
        <w:numPr>
          <w:ilvl w:val="0"/>
          <w:numId w:val="145"/>
        </w:numPr>
        <w:tabs>
          <w:tab w:val="left" w:pos="284"/>
        </w:tabs>
        <w:autoSpaceDE w:val="0"/>
        <w:autoSpaceDN w:val="0"/>
        <w:adjustRightInd w:val="0"/>
        <w:spacing w:line="360" w:lineRule="auto"/>
        <w:ind w:left="0" w:firstLine="284"/>
        <w:jc w:val="both"/>
      </w:pPr>
      <w:r w:rsidRPr="00BA4F0F">
        <w:t>КТ грудной полости/ брюшной полости/ таза – для оценки противоопухолевого ответа при отсутствии возможности выполнить ПЭТ/КТ или наличии противопоказаний.</w:t>
      </w:r>
    </w:p>
    <w:p w14:paraId="35AD577F" w14:textId="77777777" w:rsidR="0075793D" w:rsidRPr="00BA4F0F" w:rsidRDefault="0075793D" w:rsidP="0075793D">
      <w:pPr>
        <w:rPr>
          <w:rFonts w:cs="Times New Roman"/>
          <w:b/>
          <w:szCs w:val="24"/>
        </w:rPr>
      </w:pPr>
      <w:bookmarkStart w:id="142" w:name="_Toc44926627"/>
    </w:p>
    <w:p w14:paraId="56026752" w14:textId="77777777" w:rsidR="0075793D" w:rsidRPr="00BA4F0F" w:rsidRDefault="0075793D" w:rsidP="0075793D">
      <w:pPr>
        <w:rPr>
          <w:rFonts w:cs="Times New Roman"/>
          <w:b/>
          <w:szCs w:val="24"/>
        </w:rPr>
      </w:pPr>
      <w:r w:rsidRPr="00BA4F0F">
        <w:rPr>
          <w:rFonts w:cs="Times New Roman"/>
          <w:b/>
          <w:szCs w:val="24"/>
        </w:rPr>
        <w:t>Режимы предтрансплантационной подготовки при ауто-ТГСК</w:t>
      </w:r>
      <w:bookmarkEnd w:id="142"/>
      <w:r w:rsidRPr="00BA4F0F">
        <w:rPr>
          <w:rFonts w:cs="Times New Roman"/>
          <w:b/>
          <w:szCs w:val="24"/>
        </w:rPr>
        <w:t xml:space="preserve"> </w:t>
      </w:r>
    </w:p>
    <w:p w14:paraId="354299DE" w14:textId="77777777" w:rsidR="0075793D" w:rsidRPr="00BA4F0F" w:rsidRDefault="0075793D" w:rsidP="00E242EE">
      <w:pPr>
        <w:pStyle w:val="afe"/>
        <w:ind w:left="0"/>
        <w:rPr>
          <w:rFonts w:cs="Times New Roman"/>
          <w:szCs w:val="24"/>
        </w:rPr>
      </w:pPr>
      <w:r w:rsidRPr="00BA4F0F">
        <w:rPr>
          <w:rFonts w:cs="Times New Roman"/>
          <w:szCs w:val="24"/>
        </w:rPr>
        <w:t>Трансплантация аутологичных гемопоэтических стволовых клеток крови включает в себя несколько этапов, среди которых различают мобилизацию и сбор ГСК, предтрансплантационную подготовку («кондиционирование» / введение химиопрепаратов в высоких дозах), инфузию ГСК в центральный венозный катетер, ранний посттрансплантационный период, характеризующийся высокой частотой развития инфекционных осложнений на фоне МТА.</w:t>
      </w:r>
    </w:p>
    <w:p w14:paraId="5715B4C3" w14:textId="77777777" w:rsidR="0075793D" w:rsidRPr="00BA4F0F" w:rsidRDefault="0075793D" w:rsidP="00E242EE">
      <w:pPr>
        <w:pStyle w:val="afe"/>
        <w:ind w:left="0"/>
        <w:rPr>
          <w:rFonts w:cs="Times New Roman"/>
          <w:szCs w:val="24"/>
        </w:rPr>
      </w:pPr>
      <w:r w:rsidRPr="00BA4F0F">
        <w:rPr>
          <w:rFonts w:cs="Times New Roman"/>
          <w:szCs w:val="24"/>
        </w:rPr>
        <w:t>При различных вариантах гемобластозов используются различные режимы кондиционирования.</w:t>
      </w:r>
    </w:p>
    <w:p w14:paraId="76C471E1" w14:textId="77777777" w:rsidR="0075793D" w:rsidRPr="00BA4F0F" w:rsidRDefault="0075793D" w:rsidP="0075793D">
      <w:pPr>
        <w:pStyle w:val="afe"/>
        <w:ind w:left="0"/>
        <w:rPr>
          <w:rFonts w:cs="Times New Roman"/>
          <w:szCs w:val="24"/>
          <w:u w:val="single"/>
        </w:rPr>
      </w:pPr>
      <w:bookmarkStart w:id="143" w:name="_Toc44926628"/>
    </w:p>
    <w:p w14:paraId="7E962802" w14:textId="174AC00B" w:rsidR="0075793D" w:rsidRPr="00BA4F0F" w:rsidRDefault="0075793D" w:rsidP="0075793D">
      <w:pPr>
        <w:pStyle w:val="afe"/>
        <w:ind w:left="0"/>
        <w:rPr>
          <w:rFonts w:cs="Times New Roman"/>
          <w:szCs w:val="24"/>
          <w:u w:val="single"/>
        </w:rPr>
      </w:pPr>
      <w:bookmarkStart w:id="144" w:name="_Toc44926629"/>
      <w:bookmarkEnd w:id="143"/>
      <w:r w:rsidRPr="00E242EE">
        <w:rPr>
          <w:rFonts w:cs="Times New Roman"/>
          <w:szCs w:val="24"/>
          <w:u w:val="single"/>
        </w:rPr>
        <w:t>Режимы кондиционирования при</w:t>
      </w:r>
      <w:r w:rsidR="007C1A8B" w:rsidRPr="00E242EE">
        <w:rPr>
          <w:rFonts w:cs="Times New Roman"/>
          <w:szCs w:val="24"/>
          <w:u w:val="single"/>
        </w:rPr>
        <w:t xml:space="preserve"> ЛХ</w:t>
      </w:r>
      <w:r w:rsidRPr="00E242EE">
        <w:rPr>
          <w:rFonts w:cs="Times New Roman"/>
          <w:szCs w:val="24"/>
          <w:u w:val="single"/>
        </w:rPr>
        <w:t xml:space="preserve"> </w:t>
      </w:r>
      <w:bookmarkEnd w:id="144"/>
    </w:p>
    <w:p w14:paraId="6189D77A" w14:textId="77777777" w:rsidR="0075793D" w:rsidRPr="00BA4F0F" w:rsidRDefault="0075793D" w:rsidP="00E242EE">
      <w:pPr>
        <w:rPr>
          <w:rFonts w:cs="Times New Roman"/>
          <w:szCs w:val="24"/>
        </w:rPr>
      </w:pPr>
      <w:r w:rsidRPr="00BA4F0F">
        <w:rPr>
          <w:rFonts w:cs="Times New Roman"/>
          <w:szCs w:val="24"/>
        </w:rPr>
        <w:t>Цель высокодозной химиотерапии - устранение оставшихся после противоопухолевой терапии опухолевых клеток с минимальным токсическим воздействием на системы органов.</w:t>
      </w:r>
    </w:p>
    <w:p w14:paraId="001C3BD1" w14:textId="650208AF" w:rsidR="0075793D" w:rsidRPr="00BA4F0F" w:rsidRDefault="0075793D" w:rsidP="00E242EE">
      <w:pPr>
        <w:rPr>
          <w:rFonts w:cs="Times New Roman"/>
          <w:szCs w:val="24"/>
        </w:rPr>
      </w:pPr>
      <w:r w:rsidRPr="00BA4F0F">
        <w:rPr>
          <w:rFonts w:cs="Times New Roman"/>
          <w:szCs w:val="24"/>
        </w:rPr>
        <w:t>Для предтрансплантационной подготовки при ЛХ</w:t>
      </w:r>
      <w:r w:rsidR="007C1A8B">
        <w:rPr>
          <w:rFonts w:cs="Times New Roman"/>
          <w:szCs w:val="24"/>
        </w:rPr>
        <w:t xml:space="preserve"> </w:t>
      </w:r>
      <w:r w:rsidRPr="00BA4F0F">
        <w:rPr>
          <w:rFonts w:cs="Times New Roman"/>
          <w:szCs w:val="24"/>
        </w:rPr>
        <w:t>используют режим кондиционирования BEAM, который, состоит из BCNU (300 мг / м</w:t>
      </w:r>
      <w:r w:rsidRPr="00BA4F0F">
        <w:rPr>
          <w:rFonts w:cs="Times New Roman"/>
          <w:szCs w:val="24"/>
          <w:vertAlign w:val="superscript"/>
        </w:rPr>
        <w:t>2</w:t>
      </w:r>
      <w:r w:rsidRPr="00BA4F0F">
        <w:rPr>
          <w:rFonts w:cs="Times New Roman"/>
          <w:szCs w:val="24"/>
        </w:rPr>
        <w:t xml:space="preserve"> × 1, день-6), VP (200 мг / м</w:t>
      </w:r>
      <w:r w:rsidRPr="00BA4F0F">
        <w:rPr>
          <w:rFonts w:cs="Times New Roman"/>
          <w:szCs w:val="24"/>
          <w:vertAlign w:val="superscript"/>
        </w:rPr>
        <w:t>2</w:t>
      </w:r>
      <w:r w:rsidRPr="00BA4F0F">
        <w:rPr>
          <w:rFonts w:cs="Times New Roman"/>
          <w:szCs w:val="24"/>
        </w:rPr>
        <w:t>, дни от -5 до -2), Ara-C (200 мг/м</w:t>
      </w:r>
      <w:r w:rsidRPr="00BA4F0F">
        <w:rPr>
          <w:rFonts w:cs="Times New Roman"/>
          <w:szCs w:val="24"/>
          <w:vertAlign w:val="superscript"/>
        </w:rPr>
        <w:t xml:space="preserve">2 </w:t>
      </w:r>
      <w:r w:rsidRPr="00BA4F0F">
        <w:rPr>
          <w:rFonts w:cs="Times New Roman"/>
          <w:szCs w:val="24"/>
        </w:rPr>
        <w:t>х дважды в день, дни от -5 до - 2), и MEL (140 мг / м</w:t>
      </w:r>
      <w:r w:rsidRPr="00BA4F0F">
        <w:rPr>
          <w:rFonts w:cs="Times New Roman"/>
          <w:szCs w:val="24"/>
          <w:vertAlign w:val="superscript"/>
        </w:rPr>
        <w:t>2</w:t>
      </w:r>
      <w:r w:rsidRPr="00BA4F0F">
        <w:rPr>
          <w:rFonts w:cs="Times New Roman"/>
          <w:szCs w:val="24"/>
        </w:rPr>
        <w:t xml:space="preserve">/ день × 1, дни -1) </w:t>
      </w:r>
      <w:r w:rsidRPr="00BA4F0F">
        <w:rPr>
          <w:rFonts w:cs="Times New Roman"/>
          <w:szCs w:val="24"/>
        </w:rPr>
        <w:fldChar w:fldCharType="begin" w:fldLock="1"/>
      </w:r>
      <w:r w:rsidR="004810E5">
        <w:rPr>
          <w:rFonts w:cs="Times New Roman"/>
          <w:szCs w:val="24"/>
        </w:rPr>
        <w:instrText>ADDIN CSL_CITATION {"citationItems":[{"id":"ITEM-1","itemData":{"ISBN":"9783030022778","author":[{"dropping-particle":"","family":"Enric Carreras","given":"Dufour Carlo","non-dropping-particle":"","parse-names":false,"suffix":""},{"dropping-particle":"","family":"Mohty Mohamad","given":"Kröger Nicolaus","non-dropping-particle":"","parse-names":false,"suffix":""}],"id":"ITEM-1","issued":{"date-parts":[["2019"]]},"number-of-pages":"702","title":"Hematopoietic Stem Cell Transplantation and Cellular Therapies","type":"book"},"uris":["http://www.mendeley.com/documents/?uuid=891fa663-7797-4301-8893-3b0a5d75b173","http://www.mendeley.com/documents/?uuid=b2895edd-cfbd-4cbf-8d9b-e50422d61d71"]},{"id":"ITEM-2","itemData":{"DOI":"10.5114/wo.2018.77046","ISSN":"1428-2526","PMID":"30150889","abstract":"Introduction BEAM (carmustine, etoposide, cytarabine, melphalan) is the most frequently used high-dose chemotherapy regimen for patients with lymphoma referred for autologous haematopoietic cell transplantation (autoHCT). Recently, a novel conditioning protocol containing bendamustine instead of carmustine (BeEAM) has been proposed to potentially increase the efficacy. Aim of the study The aim of this study was to retrospectively compare the safety profile of BEAM and BeEAM based on single-centre experience. Material and methods A total of 237 consecutive patients with lymphoma treated with either BEAM (n = 174) or BeEAM (n = 63), between the years 2011 and 2016, were included in the analysis. Clinical characteristics of both groups were comparable. Patients with Hodgkin's lymphoma (HL) constituted 49% of the BEAM group and 40% of the BeEAM group. Results Median time to neutrophil &gt; 0.5 × 109/l recovery was 10 days in both groups (p = 0.29), while median time to platelet &gt; 50 × 109/l recovery was 13 and 14 days after BEAM and BeEAM, respectively (p = 0.12). The toxicity profile was comparable except for arterial hypertension and severe hypokalaemia, which occurred more frequently after BeEAM compared to BEAM (p = 0.02 and p = 0.004, respectively). The rate of early mortality was 1.7% and 1.6%, respectively. The probabilities of the overall and progression-free survival were comparable for both groups (p = 0.73 and p = 0.55, respectively). Conclusions Administration of bendamustine instead of carmustine as part of conditioning does not affect the engraftment or the toxicity profile of the regimen. Therefore, BeEAM may be safely used in patients with lymphoma undergoing autoHCT. Its efficacy requires evaluation in prospective studies.","author":[{"dropping-particle":"","family":"Frankiewicz","given":"Andrzej","non-dropping-particle":"","parse-names":false,"suffix":""},{"dropping-particle":"","family":"Saduś-Wojciechowska","given":"Maria","non-dropping-particle":"","parse-names":false,"suffix":""},{"dropping-particle":"","family":"Najda","given":"Jacek","non-dropping-particle":"","parse-names":false,"suffix":""},{"dropping-particle":"","family":"Czerw","given":"Tomasz","non-dropping-particle":"","parse-names":false,"suffix":""},{"dropping-particle":"","family":"Mendrek","given":"Włodzimierz","non-dropping-particle":"","parse-names":false,"suffix":""},{"dropping-particle":"","family":"Sobczyk-Kruszelnicka","given":"Małgorzata","non-dropping-particle":"","parse-names":false,"suffix":""},{"dropping-particle":"","family":"Soska","given":"Katarzyna","non-dropping-particle":"","parse-names":false,"suffix":""},{"dropping-particle":"","family":"Ociepa","given":"Małgorzata","non-dropping-particle":"","parse-names":false,"suffix":""},{"dropping-particle":"","family":"Hołowiecki","given":"Jerzy","non-dropping-particle":"","parse-names":false,"suffix":""},{"dropping-particle":"","family":"Giebel","given":"Sebastian","non-dropping-particle":"","parse-names":false,"suffix":""}],"container-title":"Contemporary oncology (Poznan, Poland)","id":"ITEM-2","issue":"2","issued":{"date-parts":[["2018"]]},"page":"113-117","publisher":"Termedia Publishing","title":"Comparable safety profile of BeEAM (bendamustine, etoposide, cytarabine, melphalan) and BEAM (carmustine, etoposide, cytarabine, melphalan) as conditioning before autologous haematopoietic cell transplantation.","type":"article-journal","volume":"22"},"uris":["http://www.mendeley.com/documents/?uuid=5cbf9ec0-cb46-34bb-9da8-ba263a19a7fa","http://www.mendeley.com/documents/?uuid=fae33e18-ab1d-4ae6-86c6-c9c239bca9c9"]},{"id":"ITEM-3","itemData":{"DOI":"10.1038/sj.bmt.1700913","ISSN":"0268-3369","PMID":"9313877","abstract":"In the present paper, we evaluate tolerability, outcome and prognostic factors in patients with poor prognosis non-Hodgkin's lymphoma (NHL) and Hodgkin's disease (HD) when uniformly treated with BCNU, etoposide, cytarabine and melphalan (BEAM) and autologous stem cell transplant (ASCT). On hundred and forty-eight patients with NHL (n = 112) or HD (n = 36) received BEAM followed by infusion of bone marrow (n = 55), peripheral blood stem cells (n = 79) or both (n = 14). Twenty-eight patients had low-grade lymphoma (LGL), 68 intermediate- and 16 high-grade lymphoma (IGL). Within the NHL group, 21 patients were in 2nd or subsequent complete remission (CR) at transplant, 34 had sensitive disease and 11 resistant disease; 46 patients were transplanted in 1st CR due to the presence of &gt; or = 2 adverse prognostic features at diagnosis or to a slow CR. Of the HD patients at transplant 17 had active disease, 16 were in &gt; or = 2 CR and three in 1st CR. The overall percentage of toxic deaths was 5.4%, while in the group of patients transplanted with PBSC it was only 1.3%. NHL patients: 78% were in CR following ASCT, including 25 out of 45 patients (56%) who were transplanted with active disease. Only two of the 11 patients transplanted with resistant disease achieved CR. Incidence of overall survival (OS) and disease-free survival (DFS) at 3 years was 65 and 75%, respectively. As far as histology was concerned, OS was significantly better for patients with LGL in comparison with IGL (88 vs 56%) (P = 0.002). DFS was significantly higher for patients transplanted in first CR or first partial remission (PR) than it was for those transplanted in a later CR or PR (86 vs 53%) (P = 0.02). Multivariate analysis for OS showed that histology, bulky disease, poor performance status at transplant and achievement of CR were independent prognostic factors. In addition, a high number of infused MNC was associated with poor DFS. HD patients: 30 (83%) were in CR after transplantation, with 25 maintaining CR at the end of the study. Only one of the four patients transplanted with resistant disease reached CR. Incidence of OS and DFS at 3 years was 78 and 81%. DFS was similar for patients transplanted with early or late relapse (95 and 93%). With multivariate analysis, the only independent variable for OS was CR after transplant. In conclusion, the present results demonstrate the efficacy and low toxicity of the BEAM regimen in high-risk lymphoma patients with sensitive disease. Othe…","author":[{"dropping-particle":"","family":"Caballero","given":"M D","non-dropping-particle":"","parse-names":false,"suffix":""},{"dropping-particle":"","family":"Rubio","given":"V","non-dropping-particle":"","parse-names":false,"suffix":""},{"dropping-particle":"","family":"Rifon","given":"J","non-dropping-particle":"","parse-names":false,"suffix":""},{"dropping-particle":"","family":"Heras","given":"I","non-dropping-particle":"","parse-names":false,"suffix":""},{"dropping-particle":"","family":"García-Sanz","given":"R","non-dropping-particle":"","parse-names":false,"suffix":""},{"dropping-particle":"","family":"Vázquez","given":"L","non-dropping-particle":"","parse-names":false,"suffix":""},{"dropping-particle":"","family":"Vidriales","given":"B","non-dropping-particle":"","parse-names":false,"suffix":""},{"dropping-particle":"","family":"Cañizo","given":"M C","non-dropping-particle":"del","parse-names":false,"suffix":""},{"dropping-particle":"","family":"Corral","given":"M","non-dropping-particle":"","parse-names":false,"suffix":""},{"dropping-particle":"","family":"Gonzalez","given":"M","non-dropping-particle":"","parse-names":false,"suffix":""},{"dropping-particle":"","family":"León","given":"A","non-dropping-particle":"","parse-names":false,"suffix":""},{"dropping-particle":"","family":"Jean-Paul","given":"E","non-dropping-particle":"","parse-names":false,"suffix":""},{"dropping-particle":"","family":"Rocha","given":"E","non-dropping-particle":"","parse-names":false,"suffix":""},{"dropping-particle":"","family":"Moraleda","given":"J M","non-dropping-particle":"","parse-names":false,"suffix":""},{"dropping-particle":"","family":"San Miguel","given":"J F","non-dropping-particle":"","parse-names":false,"suffix":""}],"container-title":"Bone marrow transplantation","id":"ITEM-3","issue":"6","issued":{"date-parts":[["1997","9"]]},"page":"451-8","publisher":"Bone Marrow Transplant","title":"BEAM chemotherapy followed by autologous stem cell support in lymphoma patients: analysis of efficacy, toxicity and prognostic factors.","type":"article-journal","volume":"20"},"uris":["http://www.mendeley.com/documents/?uuid=83d43668-9134-3bde-8ac7-eb055fb3d2a1","http://www.mendeley.com/documents/?uuid=2b94cb18-5ce5-4ed6-a557-5d87d182dcc3"]}],"mendeley":{"formattedCitation":"[184–186]","plainTextFormattedCitation":"[184–186]","previouslyFormattedCitation":"[184–186]"},"properties":{"noteIndex":0},"schema":"https://github.com/citation-style-language/schema/raw/master/csl-citation.json"}</w:instrText>
      </w:r>
      <w:r w:rsidRPr="00BA4F0F">
        <w:rPr>
          <w:rFonts w:cs="Times New Roman"/>
          <w:szCs w:val="24"/>
        </w:rPr>
        <w:fldChar w:fldCharType="separate"/>
      </w:r>
      <w:r w:rsidR="004810E5" w:rsidRPr="004810E5">
        <w:rPr>
          <w:rFonts w:cs="Times New Roman"/>
          <w:noProof/>
          <w:szCs w:val="24"/>
        </w:rPr>
        <w:t>[184–186]</w:t>
      </w:r>
      <w:r w:rsidRPr="00BA4F0F">
        <w:rPr>
          <w:rFonts w:cs="Times New Roman"/>
          <w:szCs w:val="24"/>
        </w:rPr>
        <w:fldChar w:fldCharType="end"/>
      </w:r>
      <w:r w:rsidRPr="00BA4F0F">
        <w:rPr>
          <w:rFonts w:cs="Times New Roman"/>
          <w:szCs w:val="24"/>
        </w:rPr>
        <w:t xml:space="preserve">. Схемы введения препаратов и дозы </w:t>
      </w:r>
      <w:r w:rsidRPr="00E242EE">
        <w:rPr>
          <w:rFonts w:cs="Times New Roman"/>
          <w:szCs w:val="24"/>
        </w:rPr>
        <w:t xml:space="preserve">представлены в таблице </w:t>
      </w:r>
      <w:r w:rsidR="00E242EE" w:rsidRPr="00E242EE">
        <w:rPr>
          <w:rFonts w:cs="Times New Roman"/>
          <w:szCs w:val="24"/>
        </w:rPr>
        <w:t>5</w:t>
      </w:r>
      <w:r w:rsidRPr="00E242EE">
        <w:rPr>
          <w:rFonts w:cs="Times New Roman"/>
          <w:szCs w:val="24"/>
        </w:rPr>
        <w:t>.</w:t>
      </w:r>
    </w:p>
    <w:p w14:paraId="562F61E5" w14:textId="77777777" w:rsidR="0075793D" w:rsidRPr="00BA4F0F" w:rsidRDefault="0075793D" w:rsidP="00E242EE">
      <w:pPr>
        <w:rPr>
          <w:rFonts w:cs="Times New Roman"/>
          <w:szCs w:val="24"/>
        </w:rPr>
      </w:pPr>
      <w:r w:rsidRPr="00BA4F0F">
        <w:rPr>
          <w:rFonts w:cs="Times New Roman"/>
          <w:szCs w:val="24"/>
        </w:rPr>
        <w:t>Ранняя токсичность режима BEAM включает тяжелый мукозит, тошноту и рвоту, диарею, гепатотоксичность, нефротоксичность и неинфекционные легочные осложнения.</w:t>
      </w:r>
    </w:p>
    <w:p w14:paraId="72CB6508" w14:textId="77777777" w:rsidR="0075793D" w:rsidRPr="00BA4F0F" w:rsidRDefault="0075793D" w:rsidP="00E242EE">
      <w:pPr>
        <w:rPr>
          <w:rFonts w:cs="Times New Roman"/>
          <w:szCs w:val="24"/>
        </w:rPr>
      </w:pPr>
      <w:r w:rsidRPr="00BA4F0F">
        <w:rPr>
          <w:rFonts w:cs="Times New Roman"/>
          <w:szCs w:val="24"/>
        </w:rPr>
        <w:t>Поздняя токсичность включает легочные осложнения, такие как хронический интерстициальный фиброз и снижение диффузионной способности легких (21%), инфекция (30%), метаболический синдром (17%), сердечно-сосудистые осложнения (12%), вторичные опухоли (20%).</w:t>
      </w:r>
    </w:p>
    <w:p w14:paraId="7FEFE022" w14:textId="77777777" w:rsidR="0075793D" w:rsidRPr="00BA4F0F" w:rsidRDefault="0075793D" w:rsidP="0075793D">
      <w:pPr>
        <w:ind w:firstLine="426"/>
        <w:rPr>
          <w:rFonts w:cs="Times New Roman"/>
          <w:b/>
          <w:szCs w:val="24"/>
        </w:rPr>
      </w:pPr>
    </w:p>
    <w:p w14:paraId="30767ED9" w14:textId="4B88E974" w:rsidR="0075793D" w:rsidRPr="00BA4F0F" w:rsidRDefault="0075793D" w:rsidP="00E242EE">
      <w:pPr>
        <w:ind w:firstLine="0"/>
        <w:rPr>
          <w:rFonts w:cs="Times New Roman"/>
          <w:szCs w:val="24"/>
        </w:rPr>
      </w:pPr>
      <w:r w:rsidRPr="00E242EE">
        <w:rPr>
          <w:rFonts w:cs="Times New Roman"/>
          <w:szCs w:val="24"/>
        </w:rPr>
        <w:t xml:space="preserve">Таблица </w:t>
      </w:r>
      <w:r w:rsidR="00E242EE" w:rsidRPr="00E242EE">
        <w:rPr>
          <w:rFonts w:cs="Times New Roman"/>
          <w:szCs w:val="24"/>
        </w:rPr>
        <w:t>5</w:t>
      </w:r>
      <w:r w:rsidRPr="00E242EE">
        <w:rPr>
          <w:rFonts w:cs="Times New Roman"/>
          <w:szCs w:val="24"/>
        </w:rPr>
        <w:t xml:space="preserve">. Схема предтрансплантационного кондиционирования </w:t>
      </w:r>
      <w:r w:rsidRPr="00E242EE">
        <w:rPr>
          <w:rFonts w:cs="Times New Roman"/>
          <w:szCs w:val="24"/>
          <w:lang w:val="en-US"/>
        </w:rPr>
        <w:t>BEAM</w:t>
      </w:r>
      <w:r w:rsidRPr="00E242EE">
        <w:rPr>
          <w:rFonts w:cs="Times New Roman"/>
          <w:szCs w:val="24"/>
        </w:rPr>
        <w:t xml:space="preserve"> </w:t>
      </w:r>
      <w:r w:rsidRPr="00E242EE">
        <w:rPr>
          <w:rFonts w:cs="Times New Roman"/>
          <w:szCs w:val="24"/>
          <w:lang w:val="en-US"/>
        </w:rPr>
        <w:fldChar w:fldCharType="begin" w:fldLock="1"/>
      </w:r>
      <w:r w:rsidR="004810E5">
        <w:rPr>
          <w:rFonts w:cs="Times New Roman"/>
          <w:szCs w:val="24"/>
          <w:lang w:val="en-US"/>
        </w:rPr>
        <w:instrText>ADDIN</w:instrText>
      </w:r>
      <w:r w:rsidR="004810E5" w:rsidRPr="00E93A18">
        <w:rPr>
          <w:rFonts w:cs="Times New Roman"/>
          <w:szCs w:val="24"/>
        </w:rPr>
        <w:instrText xml:space="preserve"> </w:instrText>
      </w:r>
      <w:r w:rsidR="004810E5">
        <w:rPr>
          <w:rFonts w:cs="Times New Roman"/>
          <w:szCs w:val="24"/>
          <w:lang w:val="en-US"/>
        </w:rPr>
        <w:instrText>CSL</w:instrText>
      </w:r>
      <w:r w:rsidR="004810E5" w:rsidRPr="00E93A18">
        <w:rPr>
          <w:rFonts w:cs="Times New Roman"/>
          <w:szCs w:val="24"/>
        </w:rPr>
        <w:instrText>_</w:instrText>
      </w:r>
      <w:r w:rsidR="004810E5">
        <w:rPr>
          <w:rFonts w:cs="Times New Roman"/>
          <w:szCs w:val="24"/>
          <w:lang w:val="en-US"/>
        </w:rPr>
        <w:instrText>CITATION</w:instrText>
      </w:r>
      <w:r w:rsidR="004810E5" w:rsidRPr="00E93A18">
        <w:rPr>
          <w:rFonts w:cs="Times New Roman"/>
          <w:szCs w:val="24"/>
        </w:rPr>
        <w:instrText xml:space="preserve"> {"</w:instrText>
      </w:r>
      <w:r w:rsidR="004810E5">
        <w:rPr>
          <w:rFonts w:cs="Times New Roman"/>
          <w:szCs w:val="24"/>
          <w:lang w:val="en-US"/>
        </w:rPr>
        <w:instrText>citationItems</w:instrText>
      </w:r>
      <w:r w:rsidR="004810E5" w:rsidRPr="00E93A18">
        <w:rPr>
          <w:rFonts w:cs="Times New Roman"/>
          <w:szCs w:val="24"/>
        </w:rPr>
        <w:instrText>":[{"</w:instrText>
      </w:r>
      <w:r w:rsidR="004810E5">
        <w:rPr>
          <w:rFonts w:cs="Times New Roman"/>
          <w:szCs w:val="24"/>
          <w:lang w:val="en-US"/>
        </w:rPr>
        <w:instrText>id</w:instrText>
      </w:r>
      <w:r w:rsidR="004810E5" w:rsidRPr="00E93A18">
        <w:rPr>
          <w:rFonts w:cs="Times New Roman"/>
          <w:szCs w:val="24"/>
        </w:rPr>
        <w:instrText>":"</w:instrText>
      </w:r>
      <w:r w:rsidR="004810E5">
        <w:rPr>
          <w:rFonts w:cs="Times New Roman"/>
          <w:szCs w:val="24"/>
          <w:lang w:val="en-US"/>
        </w:rPr>
        <w:instrText>ITEM</w:instrText>
      </w:r>
      <w:r w:rsidR="004810E5" w:rsidRPr="00E93A18">
        <w:rPr>
          <w:rFonts w:cs="Times New Roman"/>
          <w:szCs w:val="24"/>
        </w:rPr>
        <w:instrText>-1","</w:instrText>
      </w:r>
      <w:r w:rsidR="004810E5">
        <w:rPr>
          <w:rFonts w:cs="Times New Roman"/>
          <w:szCs w:val="24"/>
          <w:lang w:val="en-US"/>
        </w:rPr>
        <w:instrText>itemData</w:instrText>
      </w:r>
      <w:r w:rsidR="004810E5" w:rsidRPr="00E93A18">
        <w:rPr>
          <w:rFonts w:cs="Times New Roman"/>
          <w:szCs w:val="24"/>
        </w:rPr>
        <w:instrText>":{"</w:instrText>
      </w:r>
      <w:r w:rsidR="004810E5">
        <w:rPr>
          <w:rFonts w:cs="Times New Roman"/>
          <w:szCs w:val="24"/>
          <w:lang w:val="en-US"/>
        </w:rPr>
        <w:instrText>DOI</w:instrText>
      </w:r>
      <w:r w:rsidR="004810E5" w:rsidRPr="00E93A18">
        <w:rPr>
          <w:rFonts w:cs="Times New Roman"/>
          <w:szCs w:val="24"/>
        </w:rPr>
        <w:instrText>":"10.1200/</w:instrText>
      </w:r>
      <w:r w:rsidR="004810E5">
        <w:rPr>
          <w:rFonts w:cs="Times New Roman"/>
          <w:szCs w:val="24"/>
          <w:lang w:val="en-US"/>
        </w:rPr>
        <w:instrText>JCO</w:instrText>
      </w:r>
      <w:r w:rsidR="004810E5" w:rsidRPr="00E93A18">
        <w:rPr>
          <w:rFonts w:cs="Times New Roman"/>
          <w:szCs w:val="24"/>
        </w:rPr>
        <w:instrText>.1995.13.3.588","</w:instrText>
      </w:r>
      <w:r w:rsidR="004810E5">
        <w:rPr>
          <w:rFonts w:cs="Times New Roman"/>
          <w:szCs w:val="24"/>
          <w:lang w:val="en-US"/>
        </w:rPr>
        <w:instrText>ISSN</w:instrText>
      </w:r>
      <w:r w:rsidR="004810E5" w:rsidRPr="00E93A18">
        <w:rPr>
          <w:rFonts w:cs="Times New Roman"/>
          <w:szCs w:val="24"/>
        </w:rPr>
        <w:instrText>":"0732-183</w:instrText>
      </w:r>
      <w:r w:rsidR="004810E5">
        <w:rPr>
          <w:rFonts w:cs="Times New Roman"/>
          <w:szCs w:val="24"/>
          <w:lang w:val="en-US"/>
        </w:rPr>
        <w:instrText>X</w:instrText>
      </w:r>
      <w:r w:rsidR="004810E5" w:rsidRPr="00E93A18">
        <w:rPr>
          <w:rFonts w:cs="Times New Roman"/>
          <w:szCs w:val="24"/>
        </w:rPr>
        <w:instrText>","</w:instrText>
      </w:r>
      <w:r w:rsidR="004810E5">
        <w:rPr>
          <w:rFonts w:cs="Times New Roman"/>
          <w:szCs w:val="24"/>
          <w:lang w:val="en-US"/>
        </w:rPr>
        <w:instrText>PMID</w:instrText>
      </w:r>
      <w:r w:rsidR="004810E5" w:rsidRPr="00E93A18">
        <w:rPr>
          <w:rFonts w:cs="Times New Roman"/>
          <w:szCs w:val="24"/>
        </w:rPr>
        <w:instrText>":"7884420","</w:instrText>
      </w:r>
      <w:r w:rsidR="004810E5">
        <w:rPr>
          <w:rFonts w:cs="Times New Roman"/>
          <w:szCs w:val="24"/>
          <w:lang w:val="en-US"/>
        </w:rPr>
        <w:instrText>abstract</w:instrText>
      </w:r>
      <w:r w:rsidR="004810E5" w:rsidRPr="00E93A18">
        <w:rPr>
          <w:rFonts w:cs="Times New Roman"/>
          <w:szCs w:val="24"/>
        </w:rPr>
        <w:instrText>":"</w:instrText>
      </w:r>
      <w:r w:rsidR="004810E5">
        <w:rPr>
          <w:rFonts w:cs="Times New Roman"/>
          <w:szCs w:val="24"/>
          <w:lang w:val="en-US"/>
        </w:rPr>
        <w:instrText>PURPOSE</w:instrText>
      </w:r>
      <w:r w:rsidR="004810E5" w:rsidRPr="00E93A18">
        <w:rPr>
          <w:rFonts w:cs="Times New Roman"/>
          <w:szCs w:val="24"/>
        </w:rPr>
        <w:instrText xml:space="preserve"> </w:instrText>
      </w:r>
      <w:r w:rsidR="004810E5">
        <w:rPr>
          <w:rFonts w:cs="Times New Roman"/>
          <w:szCs w:val="24"/>
          <w:lang w:val="en-US"/>
        </w:rPr>
        <w:instrText>To</w:instrText>
      </w:r>
      <w:r w:rsidR="004810E5" w:rsidRPr="00E93A18">
        <w:rPr>
          <w:rFonts w:cs="Times New Roman"/>
          <w:szCs w:val="24"/>
        </w:rPr>
        <w:instrText xml:space="preserve"> </w:instrText>
      </w:r>
      <w:r w:rsidR="004810E5">
        <w:rPr>
          <w:rFonts w:cs="Times New Roman"/>
          <w:szCs w:val="24"/>
          <w:lang w:val="en-US"/>
        </w:rPr>
        <w:instrText>evaluate</w:instrText>
      </w:r>
      <w:r w:rsidR="004810E5" w:rsidRPr="00E93A18">
        <w:rPr>
          <w:rFonts w:cs="Times New Roman"/>
          <w:szCs w:val="24"/>
        </w:rPr>
        <w:instrText xml:space="preserve"> </w:instrText>
      </w:r>
      <w:r w:rsidR="004810E5">
        <w:rPr>
          <w:rFonts w:cs="Times New Roman"/>
          <w:szCs w:val="24"/>
          <w:lang w:val="en-US"/>
        </w:rPr>
        <w:instrText>the</w:instrText>
      </w:r>
      <w:r w:rsidR="004810E5" w:rsidRPr="00E93A18">
        <w:rPr>
          <w:rFonts w:cs="Times New Roman"/>
          <w:szCs w:val="24"/>
        </w:rPr>
        <w:instrText xml:space="preserve"> </w:instrText>
      </w:r>
      <w:r w:rsidR="004810E5">
        <w:rPr>
          <w:rFonts w:cs="Times New Roman"/>
          <w:szCs w:val="24"/>
          <w:lang w:val="en-US"/>
        </w:rPr>
        <w:instrText>outcome</w:instrText>
      </w:r>
      <w:r w:rsidR="004810E5" w:rsidRPr="00E93A18">
        <w:rPr>
          <w:rFonts w:cs="Times New Roman"/>
          <w:szCs w:val="24"/>
        </w:rPr>
        <w:instrText xml:space="preserve"> </w:instrText>
      </w:r>
      <w:r w:rsidR="004810E5">
        <w:rPr>
          <w:rFonts w:cs="Times New Roman"/>
          <w:szCs w:val="24"/>
          <w:lang w:val="en-US"/>
        </w:rPr>
        <w:instrText>of</w:instrText>
      </w:r>
      <w:r w:rsidR="004810E5" w:rsidRPr="00E93A18">
        <w:rPr>
          <w:rFonts w:cs="Times New Roman"/>
          <w:szCs w:val="24"/>
        </w:rPr>
        <w:instrText xml:space="preserve"> </w:instrText>
      </w:r>
      <w:r w:rsidR="004810E5">
        <w:rPr>
          <w:rFonts w:cs="Times New Roman"/>
          <w:szCs w:val="24"/>
          <w:lang w:val="en-US"/>
        </w:rPr>
        <w:instrText>patients</w:instrText>
      </w:r>
      <w:r w:rsidR="004810E5" w:rsidRPr="00E93A18">
        <w:rPr>
          <w:rFonts w:cs="Times New Roman"/>
          <w:szCs w:val="24"/>
        </w:rPr>
        <w:instrText xml:space="preserve"> </w:instrText>
      </w:r>
      <w:r w:rsidR="004810E5">
        <w:rPr>
          <w:rFonts w:cs="Times New Roman"/>
          <w:szCs w:val="24"/>
          <w:lang w:val="en-US"/>
        </w:rPr>
        <w:instrText>with</w:instrText>
      </w:r>
      <w:r w:rsidR="004810E5" w:rsidRPr="00E93A18">
        <w:rPr>
          <w:rFonts w:cs="Times New Roman"/>
          <w:szCs w:val="24"/>
        </w:rPr>
        <w:instrText xml:space="preserve"> </w:instrText>
      </w:r>
      <w:r w:rsidR="004810E5">
        <w:rPr>
          <w:rFonts w:cs="Times New Roman"/>
          <w:szCs w:val="24"/>
          <w:lang w:val="en-US"/>
        </w:rPr>
        <w:instrText>relapsed</w:instrText>
      </w:r>
      <w:r w:rsidR="004810E5" w:rsidRPr="00E93A18">
        <w:rPr>
          <w:rFonts w:cs="Times New Roman"/>
          <w:szCs w:val="24"/>
        </w:rPr>
        <w:instrText xml:space="preserve"> </w:instrText>
      </w:r>
      <w:r w:rsidR="004810E5">
        <w:rPr>
          <w:rFonts w:cs="Times New Roman"/>
          <w:szCs w:val="24"/>
          <w:lang w:val="en-US"/>
        </w:rPr>
        <w:instrText>or</w:instrText>
      </w:r>
      <w:r w:rsidR="004810E5" w:rsidRPr="00E93A18">
        <w:rPr>
          <w:rFonts w:cs="Times New Roman"/>
          <w:szCs w:val="24"/>
        </w:rPr>
        <w:instrText xml:space="preserve"> </w:instrText>
      </w:r>
      <w:r w:rsidR="004810E5">
        <w:rPr>
          <w:rFonts w:cs="Times New Roman"/>
          <w:szCs w:val="24"/>
          <w:lang w:val="en-US"/>
        </w:rPr>
        <w:instrText>resistant</w:instrText>
      </w:r>
      <w:r w:rsidR="004810E5" w:rsidRPr="00E93A18">
        <w:rPr>
          <w:rFonts w:cs="Times New Roman"/>
          <w:szCs w:val="24"/>
        </w:rPr>
        <w:instrText xml:space="preserve"> </w:instrText>
      </w:r>
      <w:r w:rsidR="004810E5">
        <w:rPr>
          <w:rFonts w:cs="Times New Roman"/>
          <w:szCs w:val="24"/>
          <w:lang w:val="en-US"/>
        </w:rPr>
        <w:instrText>non</w:instrText>
      </w:r>
      <w:r w:rsidR="004810E5" w:rsidRPr="00E93A18">
        <w:rPr>
          <w:rFonts w:cs="Times New Roman"/>
          <w:szCs w:val="24"/>
        </w:rPr>
        <w:instrText>-</w:instrText>
      </w:r>
      <w:r w:rsidR="004810E5">
        <w:rPr>
          <w:rFonts w:cs="Times New Roman"/>
          <w:szCs w:val="24"/>
          <w:lang w:val="en-US"/>
        </w:rPr>
        <w:instrText>Hodgkin</w:instrText>
      </w:r>
      <w:r w:rsidR="004810E5" w:rsidRPr="00E93A18">
        <w:rPr>
          <w:rFonts w:cs="Times New Roman"/>
          <w:szCs w:val="24"/>
        </w:rPr>
        <w:instrText>'</w:instrText>
      </w:r>
      <w:r w:rsidR="004810E5">
        <w:rPr>
          <w:rFonts w:cs="Times New Roman"/>
          <w:szCs w:val="24"/>
          <w:lang w:val="en-US"/>
        </w:rPr>
        <w:instrText>s</w:instrText>
      </w:r>
      <w:r w:rsidR="004810E5" w:rsidRPr="00E93A18">
        <w:rPr>
          <w:rFonts w:cs="Times New Roman"/>
          <w:szCs w:val="24"/>
        </w:rPr>
        <w:instrText xml:space="preserve"> </w:instrText>
      </w:r>
      <w:r w:rsidR="004810E5">
        <w:rPr>
          <w:rFonts w:cs="Times New Roman"/>
          <w:szCs w:val="24"/>
          <w:lang w:val="en-US"/>
        </w:rPr>
        <w:instrText>lymphoma</w:instrText>
      </w:r>
      <w:r w:rsidR="004810E5" w:rsidRPr="00E93A18">
        <w:rPr>
          <w:rFonts w:cs="Times New Roman"/>
          <w:szCs w:val="24"/>
        </w:rPr>
        <w:instrText xml:space="preserve"> (</w:instrText>
      </w:r>
      <w:r w:rsidR="004810E5">
        <w:rPr>
          <w:rFonts w:cs="Times New Roman"/>
          <w:szCs w:val="24"/>
          <w:lang w:val="en-US"/>
        </w:rPr>
        <w:instrText>NHL</w:instrText>
      </w:r>
      <w:r w:rsidR="004810E5" w:rsidRPr="00E93A18">
        <w:rPr>
          <w:rFonts w:cs="Times New Roman"/>
          <w:szCs w:val="24"/>
        </w:rPr>
        <w:instrText xml:space="preserve">) </w:instrText>
      </w:r>
      <w:r w:rsidR="004810E5">
        <w:rPr>
          <w:rFonts w:cs="Times New Roman"/>
          <w:szCs w:val="24"/>
          <w:lang w:val="en-US"/>
        </w:rPr>
        <w:instrText>undergoing</w:instrText>
      </w:r>
      <w:r w:rsidR="004810E5" w:rsidRPr="00E93A18">
        <w:rPr>
          <w:rFonts w:cs="Times New Roman"/>
          <w:szCs w:val="24"/>
        </w:rPr>
        <w:instrText xml:space="preserve"> </w:instrText>
      </w:r>
      <w:r w:rsidR="004810E5">
        <w:rPr>
          <w:rFonts w:cs="Times New Roman"/>
          <w:szCs w:val="24"/>
          <w:lang w:val="en-US"/>
        </w:rPr>
        <w:instrText>high</w:instrText>
      </w:r>
      <w:r w:rsidR="004810E5" w:rsidRPr="00E93A18">
        <w:rPr>
          <w:rFonts w:cs="Times New Roman"/>
          <w:szCs w:val="24"/>
        </w:rPr>
        <w:instrText>-</w:instrText>
      </w:r>
      <w:r w:rsidR="004810E5">
        <w:rPr>
          <w:rFonts w:cs="Times New Roman"/>
          <w:szCs w:val="24"/>
          <w:lang w:val="en-US"/>
        </w:rPr>
        <w:instrText>dose</w:instrText>
      </w:r>
      <w:r w:rsidR="004810E5" w:rsidRPr="00E93A18">
        <w:rPr>
          <w:rFonts w:cs="Times New Roman"/>
          <w:szCs w:val="24"/>
        </w:rPr>
        <w:instrText xml:space="preserve"> </w:instrText>
      </w:r>
      <w:r w:rsidR="004810E5">
        <w:rPr>
          <w:rFonts w:cs="Times New Roman"/>
          <w:szCs w:val="24"/>
          <w:lang w:val="en-US"/>
        </w:rPr>
        <w:instrText>chemotherapy</w:instrText>
      </w:r>
      <w:r w:rsidR="004810E5" w:rsidRPr="00E93A18">
        <w:rPr>
          <w:rFonts w:cs="Times New Roman"/>
          <w:szCs w:val="24"/>
        </w:rPr>
        <w:instrText xml:space="preserve"> </w:instrText>
      </w:r>
      <w:r w:rsidR="004810E5">
        <w:rPr>
          <w:rFonts w:cs="Times New Roman"/>
          <w:szCs w:val="24"/>
          <w:lang w:val="en-US"/>
        </w:rPr>
        <w:instrText>and</w:instrText>
      </w:r>
      <w:r w:rsidR="004810E5" w:rsidRPr="00E93A18">
        <w:rPr>
          <w:rFonts w:cs="Times New Roman"/>
          <w:szCs w:val="24"/>
        </w:rPr>
        <w:instrText xml:space="preserve"> </w:instrText>
      </w:r>
      <w:r w:rsidR="004810E5">
        <w:rPr>
          <w:rFonts w:cs="Times New Roman"/>
          <w:szCs w:val="24"/>
          <w:lang w:val="en-US"/>
        </w:rPr>
        <w:instrText>autologous</w:instrText>
      </w:r>
      <w:r w:rsidR="004810E5" w:rsidRPr="00E93A18">
        <w:rPr>
          <w:rFonts w:cs="Times New Roman"/>
          <w:szCs w:val="24"/>
        </w:rPr>
        <w:instrText xml:space="preserve"> </w:instrText>
      </w:r>
      <w:r w:rsidR="004810E5">
        <w:rPr>
          <w:rFonts w:cs="Times New Roman"/>
          <w:szCs w:val="24"/>
          <w:lang w:val="en-US"/>
        </w:rPr>
        <w:instrText>bone</w:instrText>
      </w:r>
      <w:r w:rsidR="004810E5" w:rsidRPr="00E93A18">
        <w:rPr>
          <w:rFonts w:cs="Times New Roman"/>
          <w:szCs w:val="24"/>
        </w:rPr>
        <w:instrText xml:space="preserve"> </w:instrText>
      </w:r>
      <w:r w:rsidR="004810E5">
        <w:rPr>
          <w:rFonts w:cs="Times New Roman"/>
          <w:szCs w:val="24"/>
          <w:lang w:val="en-US"/>
        </w:rPr>
        <w:instrText>marrow</w:instrText>
      </w:r>
      <w:r w:rsidR="004810E5" w:rsidRPr="00E93A18">
        <w:rPr>
          <w:rFonts w:cs="Times New Roman"/>
          <w:szCs w:val="24"/>
        </w:rPr>
        <w:instrText xml:space="preserve"> </w:instrText>
      </w:r>
      <w:r w:rsidR="004810E5">
        <w:rPr>
          <w:rFonts w:cs="Times New Roman"/>
          <w:szCs w:val="24"/>
          <w:lang w:val="en-US"/>
        </w:rPr>
        <w:instrText>transplantation</w:instrText>
      </w:r>
      <w:r w:rsidR="004810E5" w:rsidRPr="00E93A18">
        <w:rPr>
          <w:rFonts w:cs="Times New Roman"/>
          <w:szCs w:val="24"/>
        </w:rPr>
        <w:instrText xml:space="preserve"> (</w:instrText>
      </w:r>
      <w:r w:rsidR="004810E5">
        <w:rPr>
          <w:rFonts w:cs="Times New Roman"/>
          <w:szCs w:val="24"/>
          <w:lang w:val="en-US"/>
        </w:rPr>
        <w:instrText>ABMT</w:instrText>
      </w:r>
      <w:r w:rsidR="004810E5" w:rsidRPr="00E93A18">
        <w:rPr>
          <w:rFonts w:cs="Times New Roman"/>
          <w:szCs w:val="24"/>
        </w:rPr>
        <w:instrText xml:space="preserve">) </w:instrText>
      </w:r>
      <w:r w:rsidR="004810E5">
        <w:rPr>
          <w:rFonts w:cs="Times New Roman"/>
          <w:szCs w:val="24"/>
          <w:lang w:val="en-US"/>
        </w:rPr>
        <w:instrText>and</w:instrText>
      </w:r>
      <w:r w:rsidR="004810E5" w:rsidRPr="00E93A18">
        <w:rPr>
          <w:rFonts w:cs="Times New Roman"/>
          <w:szCs w:val="24"/>
        </w:rPr>
        <w:instrText xml:space="preserve"> </w:instrText>
      </w:r>
      <w:r w:rsidR="004810E5">
        <w:rPr>
          <w:rFonts w:cs="Times New Roman"/>
          <w:szCs w:val="24"/>
          <w:lang w:val="en-US"/>
        </w:rPr>
        <w:instrText>to</w:instrText>
      </w:r>
      <w:r w:rsidR="004810E5" w:rsidRPr="00E93A18">
        <w:rPr>
          <w:rFonts w:cs="Times New Roman"/>
          <w:szCs w:val="24"/>
        </w:rPr>
        <w:instrText xml:space="preserve"> </w:instrText>
      </w:r>
      <w:r w:rsidR="004810E5">
        <w:rPr>
          <w:rFonts w:cs="Times New Roman"/>
          <w:szCs w:val="24"/>
          <w:lang w:val="en-US"/>
        </w:rPr>
        <w:instrText>determine</w:instrText>
      </w:r>
      <w:r w:rsidR="004810E5" w:rsidRPr="00E93A18">
        <w:rPr>
          <w:rFonts w:cs="Times New Roman"/>
          <w:szCs w:val="24"/>
        </w:rPr>
        <w:instrText xml:space="preserve"> </w:instrText>
      </w:r>
      <w:r w:rsidR="004810E5">
        <w:rPr>
          <w:rFonts w:cs="Times New Roman"/>
          <w:szCs w:val="24"/>
          <w:lang w:val="en-US"/>
        </w:rPr>
        <w:instrText>the</w:instrText>
      </w:r>
      <w:r w:rsidR="004810E5" w:rsidRPr="00E93A18">
        <w:rPr>
          <w:rFonts w:cs="Times New Roman"/>
          <w:szCs w:val="24"/>
        </w:rPr>
        <w:instrText xml:space="preserve"> </w:instrText>
      </w:r>
      <w:r w:rsidR="004810E5">
        <w:rPr>
          <w:rFonts w:cs="Times New Roman"/>
          <w:szCs w:val="24"/>
          <w:lang w:val="en-US"/>
        </w:rPr>
        <w:instrText>main</w:instrText>
      </w:r>
      <w:r w:rsidR="004810E5" w:rsidRPr="00E93A18">
        <w:rPr>
          <w:rFonts w:cs="Times New Roman"/>
          <w:szCs w:val="24"/>
        </w:rPr>
        <w:instrText xml:space="preserve"> </w:instrText>
      </w:r>
      <w:r w:rsidR="004810E5">
        <w:rPr>
          <w:rFonts w:cs="Times New Roman"/>
          <w:szCs w:val="24"/>
          <w:lang w:val="en-US"/>
        </w:rPr>
        <w:instrText>prognostic</w:instrText>
      </w:r>
      <w:r w:rsidR="004810E5" w:rsidRPr="00E93A18">
        <w:rPr>
          <w:rFonts w:cs="Times New Roman"/>
          <w:szCs w:val="24"/>
        </w:rPr>
        <w:instrText xml:space="preserve"> </w:instrText>
      </w:r>
      <w:r w:rsidR="004810E5">
        <w:rPr>
          <w:rFonts w:cs="Times New Roman"/>
          <w:szCs w:val="24"/>
          <w:lang w:val="en-US"/>
        </w:rPr>
        <w:instrText>factors</w:instrText>
      </w:r>
      <w:r w:rsidR="004810E5" w:rsidRPr="00E93A18">
        <w:rPr>
          <w:rFonts w:cs="Times New Roman"/>
          <w:szCs w:val="24"/>
        </w:rPr>
        <w:instrText xml:space="preserve">. </w:instrText>
      </w:r>
      <w:r w:rsidR="004810E5">
        <w:rPr>
          <w:rFonts w:cs="Times New Roman"/>
          <w:szCs w:val="24"/>
          <w:lang w:val="en-US"/>
        </w:rPr>
        <w:instrText>PATIENTS</w:instrText>
      </w:r>
      <w:r w:rsidR="004810E5" w:rsidRPr="00E93A18">
        <w:rPr>
          <w:rFonts w:cs="Times New Roman"/>
          <w:szCs w:val="24"/>
        </w:rPr>
        <w:instrText xml:space="preserve"> </w:instrText>
      </w:r>
      <w:r w:rsidR="004810E5">
        <w:rPr>
          <w:rFonts w:cs="Times New Roman"/>
          <w:szCs w:val="24"/>
          <w:lang w:val="en-US"/>
        </w:rPr>
        <w:instrText>AND</w:instrText>
      </w:r>
      <w:r w:rsidR="004810E5" w:rsidRPr="00E93A18">
        <w:rPr>
          <w:rFonts w:cs="Times New Roman"/>
          <w:szCs w:val="24"/>
        </w:rPr>
        <w:instrText xml:space="preserve"> </w:instrText>
      </w:r>
      <w:r w:rsidR="004810E5">
        <w:rPr>
          <w:rFonts w:cs="Times New Roman"/>
          <w:szCs w:val="24"/>
          <w:lang w:val="en-US"/>
        </w:rPr>
        <w:instrText>METHODS</w:instrText>
      </w:r>
      <w:r w:rsidR="004810E5" w:rsidRPr="00E93A18">
        <w:rPr>
          <w:rFonts w:cs="Times New Roman"/>
          <w:szCs w:val="24"/>
        </w:rPr>
        <w:instrText xml:space="preserve"> </w:instrText>
      </w:r>
      <w:r w:rsidR="004810E5">
        <w:rPr>
          <w:rFonts w:cs="Times New Roman"/>
          <w:szCs w:val="24"/>
          <w:lang w:val="en-US"/>
        </w:rPr>
        <w:instrText>One</w:instrText>
      </w:r>
      <w:r w:rsidR="004810E5" w:rsidRPr="00E93A18">
        <w:rPr>
          <w:rFonts w:cs="Times New Roman"/>
          <w:szCs w:val="24"/>
        </w:rPr>
        <w:instrText xml:space="preserve"> </w:instrText>
      </w:r>
      <w:r w:rsidR="004810E5">
        <w:rPr>
          <w:rFonts w:cs="Times New Roman"/>
          <w:szCs w:val="24"/>
          <w:lang w:val="en-US"/>
        </w:rPr>
        <w:instrText>hundred</w:instrText>
      </w:r>
      <w:r w:rsidR="004810E5" w:rsidRPr="00E93A18">
        <w:rPr>
          <w:rFonts w:cs="Times New Roman"/>
          <w:szCs w:val="24"/>
        </w:rPr>
        <w:instrText xml:space="preserve"> </w:instrText>
      </w:r>
      <w:r w:rsidR="004810E5">
        <w:rPr>
          <w:rFonts w:cs="Times New Roman"/>
          <w:szCs w:val="24"/>
          <w:lang w:val="en-US"/>
        </w:rPr>
        <w:instrText>seven</w:instrText>
      </w:r>
      <w:r w:rsidR="004810E5" w:rsidRPr="00E93A18">
        <w:rPr>
          <w:rFonts w:cs="Times New Roman"/>
          <w:szCs w:val="24"/>
        </w:rPr>
        <w:instrText xml:space="preserve"> </w:instrText>
      </w:r>
      <w:r w:rsidR="004810E5">
        <w:rPr>
          <w:rFonts w:cs="Times New Roman"/>
          <w:szCs w:val="24"/>
          <w:lang w:val="en-US"/>
        </w:rPr>
        <w:instrText>patients</w:instrText>
      </w:r>
      <w:r w:rsidR="004810E5" w:rsidRPr="00E93A18">
        <w:rPr>
          <w:rFonts w:cs="Times New Roman"/>
          <w:szCs w:val="24"/>
        </w:rPr>
        <w:instrText xml:space="preserve"> </w:instrText>
      </w:r>
      <w:r w:rsidR="004810E5">
        <w:rPr>
          <w:rFonts w:cs="Times New Roman"/>
          <w:szCs w:val="24"/>
          <w:lang w:val="en-US"/>
        </w:rPr>
        <w:instrText>with</w:instrText>
      </w:r>
      <w:r w:rsidR="004810E5" w:rsidRPr="00E93A18">
        <w:rPr>
          <w:rFonts w:cs="Times New Roman"/>
          <w:szCs w:val="24"/>
        </w:rPr>
        <w:instrText xml:space="preserve"> </w:instrText>
      </w:r>
      <w:r w:rsidR="004810E5">
        <w:rPr>
          <w:rFonts w:cs="Times New Roman"/>
          <w:szCs w:val="24"/>
          <w:lang w:val="en-US"/>
        </w:rPr>
        <w:instrText>relapsed</w:instrText>
      </w:r>
      <w:r w:rsidR="004810E5" w:rsidRPr="00E93A18">
        <w:rPr>
          <w:rFonts w:cs="Times New Roman"/>
          <w:szCs w:val="24"/>
        </w:rPr>
        <w:instrText xml:space="preserve"> </w:instrText>
      </w:r>
      <w:r w:rsidR="004810E5">
        <w:rPr>
          <w:rFonts w:cs="Times New Roman"/>
          <w:szCs w:val="24"/>
          <w:lang w:val="en-US"/>
        </w:rPr>
        <w:instrText>or</w:instrText>
      </w:r>
      <w:r w:rsidR="004810E5" w:rsidRPr="00E93A18">
        <w:rPr>
          <w:rFonts w:cs="Times New Roman"/>
          <w:szCs w:val="24"/>
        </w:rPr>
        <w:instrText xml:space="preserve"> </w:instrText>
      </w:r>
      <w:r w:rsidR="004810E5">
        <w:rPr>
          <w:rFonts w:cs="Times New Roman"/>
          <w:szCs w:val="24"/>
          <w:lang w:val="en-US"/>
        </w:rPr>
        <w:instrText>resistant</w:instrText>
      </w:r>
      <w:r w:rsidR="004810E5" w:rsidRPr="00E93A18">
        <w:rPr>
          <w:rFonts w:cs="Times New Roman"/>
          <w:szCs w:val="24"/>
        </w:rPr>
        <w:instrText xml:space="preserve"> </w:instrText>
      </w:r>
      <w:r w:rsidR="004810E5">
        <w:rPr>
          <w:rFonts w:cs="Times New Roman"/>
          <w:szCs w:val="24"/>
          <w:lang w:val="en-US"/>
        </w:rPr>
        <w:instrText>intermediate</w:instrText>
      </w:r>
      <w:r w:rsidR="004810E5" w:rsidRPr="00E93A18">
        <w:rPr>
          <w:rFonts w:cs="Times New Roman"/>
          <w:szCs w:val="24"/>
        </w:rPr>
        <w:instrText>-/</w:instrText>
      </w:r>
      <w:r w:rsidR="004810E5">
        <w:rPr>
          <w:rFonts w:cs="Times New Roman"/>
          <w:szCs w:val="24"/>
          <w:lang w:val="en-US"/>
        </w:rPr>
        <w:instrText>high</w:instrText>
      </w:r>
      <w:r w:rsidR="004810E5" w:rsidRPr="00E93A18">
        <w:rPr>
          <w:rFonts w:cs="Times New Roman"/>
          <w:szCs w:val="24"/>
        </w:rPr>
        <w:instrText>-</w:instrText>
      </w:r>
      <w:r w:rsidR="004810E5">
        <w:rPr>
          <w:rFonts w:cs="Times New Roman"/>
          <w:szCs w:val="24"/>
          <w:lang w:val="en-US"/>
        </w:rPr>
        <w:instrText>grade</w:instrText>
      </w:r>
      <w:r w:rsidR="004810E5" w:rsidRPr="00E93A18">
        <w:rPr>
          <w:rFonts w:cs="Times New Roman"/>
          <w:szCs w:val="24"/>
        </w:rPr>
        <w:instrText xml:space="preserve"> </w:instrText>
      </w:r>
      <w:r w:rsidR="004810E5">
        <w:rPr>
          <w:rFonts w:cs="Times New Roman"/>
          <w:szCs w:val="24"/>
          <w:lang w:val="en-US"/>
        </w:rPr>
        <w:instrText>NHL</w:instrText>
      </w:r>
      <w:r w:rsidR="004810E5" w:rsidRPr="00E93A18">
        <w:rPr>
          <w:rFonts w:cs="Times New Roman"/>
          <w:szCs w:val="24"/>
        </w:rPr>
        <w:instrText xml:space="preserve"> </w:instrText>
      </w:r>
      <w:r w:rsidR="004810E5">
        <w:rPr>
          <w:rFonts w:cs="Times New Roman"/>
          <w:szCs w:val="24"/>
          <w:lang w:val="en-US"/>
        </w:rPr>
        <w:instrText>underwent</w:instrText>
      </w:r>
      <w:r w:rsidR="004810E5" w:rsidRPr="00E93A18">
        <w:rPr>
          <w:rFonts w:cs="Times New Roman"/>
          <w:szCs w:val="24"/>
        </w:rPr>
        <w:instrText xml:space="preserve"> </w:instrText>
      </w:r>
      <w:r w:rsidR="004810E5">
        <w:rPr>
          <w:rFonts w:cs="Times New Roman"/>
          <w:szCs w:val="24"/>
          <w:lang w:val="en-US"/>
        </w:rPr>
        <w:instrText>high</w:instrText>
      </w:r>
      <w:r w:rsidR="004810E5" w:rsidRPr="00E93A18">
        <w:rPr>
          <w:rFonts w:cs="Times New Roman"/>
          <w:szCs w:val="24"/>
        </w:rPr>
        <w:instrText>-</w:instrText>
      </w:r>
      <w:r w:rsidR="004810E5">
        <w:rPr>
          <w:rFonts w:cs="Times New Roman"/>
          <w:szCs w:val="24"/>
          <w:lang w:val="en-US"/>
        </w:rPr>
        <w:instrText>dose</w:instrText>
      </w:r>
      <w:r w:rsidR="004810E5" w:rsidRPr="00E93A18">
        <w:rPr>
          <w:rFonts w:cs="Times New Roman"/>
          <w:szCs w:val="24"/>
        </w:rPr>
        <w:instrText xml:space="preserve"> </w:instrText>
      </w:r>
      <w:r w:rsidR="004810E5">
        <w:rPr>
          <w:rFonts w:cs="Times New Roman"/>
          <w:szCs w:val="24"/>
          <w:lang w:val="en-US"/>
        </w:rPr>
        <w:instrText>carmustine</w:instrText>
      </w:r>
      <w:r w:rsidR="004810E5" w:rsidRPr="00E93A18">
        <w:rPr>
          <w:rFonts w:cs="Times New Roman"/>
          <w:szCs w:val="24"/>
        </w:rPr>
        <w:instrText xml:space="preserve">, </w:instrText>
      </w:r>
      <w:r w:rsidR="004810E5">
        <w:rPr>
          <w:rFonts w:cs="Times New Roman"/>
          <w:szCs w:val="24"/>
          <w:lang w:val="en-US"/>
        </w:rPr>
        <w:instrText>etoposide</w:instrText>
      </w:r>
      <w:r w:rsidR="004810E5" w:rsidRPr="00E93A18">
        <w:rPr>
          <w:rFonts w:cs="Times New Roman"/>
          <w:szCs w:val="24"/>
        </w:rPr>
        <w:instrText xml:space="preserve">, </w:instrText>
      </w:r>
      <w:r w:rsidR="004810E5">
        <w:rPr>
          <w:rFonts w:cs="Times New Roman"/>
          <w:szCs w:val="24"/>
          <w:lang w:val="en-US"/>
        </w:rPr>
        <w:instrText>cytarabine</w:instrText>
      </w:r>
      <w:r w:rsidR="004810E5" w:rsidRPr="00E93A18">
        <w:rPr>
          <w:rFonts w:cs="Times New Roman"/>
          <w:szCs w:val="24"/>
        </w:rPr>
        <w:instrText xml:space="preserve">, </w:instrText>
      </w:r>
      <w:r w:rsidR="004810E5">
        <w:rPr>
          <w:rFonts w:cs="Times New Roman"/>
          <w:szCs w:val="24"/>
          <w:lang w:val="en-US"/>
        </w:rPr>
        <w:instrText>and</w:instrText>
      </w:r>
      <w:r w:rsidR="004810E5" w:rsidRPr="00E93A18">
        <w:rPr>
          <w:rFonts w:cs="Times New Roman"/>
          <w:szCs w:val="24"/>
        </w:rPr>
        <w:instrText xml:space="preserve"> </w:instrText>
      </w:r>
      <w:r w:rsidR="004810E5">
        <w:rPr>
          <w:rFonts w:cs="Times New Roman"/>
          <w:szCs w:val="24"/>
          <w:lang w:val="en-US"/>
        </w:rPr>
        <w:instrText>melphalan</w:instrText>
      </w:r>
      <w:r w:rsidR="004810E5" w:rsidRPr="00E93A18">
        <w:rPr>
          <w:rFonts w:cs="Times New Roman"/>
          <w:szCs w:val="24"/>
        </w:rPr>
        <w:instrText xml:space="preserve"> (</w:instrText>
      </w:r>
      <w:r w:rsidR="004810E5">
        <w:rPr>
          <w:rFonts w:cs="Times New Roman"/>
          <w:szCs w:val="24"/>
          <w:lang w:val="en-US"/>
        </w:rPr>
        <w:instrText>BEAM</w:instrText>
      </w:r>
      <w:r w:rsidR="004810E5" w:rsidRPr="00E93A18">
        <w:rPr>
          <w:rFonts w:cs="Times New Roman"/>
          <w:szCs w:val="24"/>
        </w:rPr>
        <w:instrText xml:space="preserve">) </w:instrText>
      </w:r>
      <w:r w:rsidR="004810E5">
        <w:rPr>
          <w:rFonts w:cs="Times New Roman"/>
          <w:szCs w:val="24"/>
          <w:lang w:val="en-US"/>
        </w:rPr>
        <w:instrText>chemotherapy</w:instrText>
      </w:r>
      <w:r w:rsidR="004810E5" w:rsidRPr="00E93A18">
        <w:rPr>
          <w:rFonts w:cs="Times New Roman"/>
          <w:szCs w:val="24"/>
        </w:rPr>
        <w:instrText xml:space="preserve"> </w:instrText>
      </w:r>
      <w:r w:rsidR="004810E5">
        <w:rPr>
          <w:rFonts w:cs="Times New Roman"/>
          <w:szCs w:val="24"/>
          <w:lang w:val="en-US"/>
        </w:rPr>
        <w:instrText>and</w:instrText>
      </w:r>
      <w:r w:rsidR="004810E5" w:rsidRPr="00E93A18">
        <w:rPr>
          <w:rFonts w:cs="Times New Roman"/>
          <w:szCs w:val="24"/>
        </w:rPr>
        <w:instrText xml:space="preserve"> </w:instrText>
      </w:r>
      <w:r w:rsidR="004810E5">
        <w:rPr>
          <w:rFonts w:cs="Times New Roman"/>
          <w:szCs w:val="24"/>
          <w:lang w:val="en-US"/>
        </w:rPr>
        <w:instrText>ABMT</w:instrText>
      </w:r>
      <w:r w:rsidR="004810E5" w:rsidRPr="00E93A18">
        <w:rPr>
          <w:rFonts w:cs="Times New Roman"/>
          <w:szCs w:val="24"/>
        </w:rPr>
        <w:instrText xml:space="preserve"> </w:instrText>
      </w:r>
      <w:r w:rsidR="004810E5">
        <w:rPr>
          <w:rFonts w:cs="Times New Roman"/>
          <w:szCs w:val="24"/>
          <w:lang w:val="en-US"/>
        </w:rPr>
        <w:instrText>at</w:instrText>
      </w:r>
      <w:r w:rsidR="004810E5" w:rsidRPr="00E93A18">
        <w:rPr>
          <w:rFonts w:cs="Times New Roman"/>
          <w:szCs w:val="24"/>
        </w:rPr>
        <w:instrText xml:space="preserve"> </w:instrText>
      </w:r>
      <w:r w:rsidR="004810E5">
        <w:rPr>
          <w:rFonts w:cs="Times New Roman"/>
          <w:szCs w:val="24"/>
          <w:lang w:val="en-US"/>
        </w:rPr>
        <w:instrText>University</w:instrText>
      </w:r>
      <w:r w:rsidR="004810E5" w:rsidRPr="00E93A18">
        <w:rPr>
          <w:rFonts w:cs="Times New Roman"/>
          <w:szCs w:val="24"/>
        </w:rPr>
        <w:instrText xml:space="preserve"> </w:instrText>
      </w:r>
      <w:r w:rsidR="004810E5">
        <w:rPr>
          <w:rFonts w:cs="Times New Roman"/>
          <w:szCs w:val="24"/>
          <w:lang w:val="en-US"/>
        </w:rPr>
        <w:instrText>College</w:instrText>
      </w:r>
      <w:r w:rsidR="004810E5" w:rsidRPr="00E93A18">
        <w:rPr>
          <w:rFonts w:cs="Times New Roman"/>
          <w:szCs w:val="24"/>
        </w:rPr>
        <w:instrText xml:space="preserve"> </w:instrText>
      </w:r>
      <w:r w:rsidR="004810E5">
        <w:rPr>
          <w:rFonts w:cs="Times New Roman"/>
          <w:szCs w:val="24"/>
          <w:lang w:val="en-US"/>
        </w:rPr>
        <w:instrText>Hospitals</w:instrText>
      </w:r>
      <w:r w:rsidR="004810E5" w:rsidRPr="00E93A18">
        <w:rPr>
          <w:rFonts w:cs="Times New Roman"/>
          <w:szCs w:val="24"/>
        </w:rPr>
        <w:instrText xml:space="preserve"> </w:instrText>
      </w:r>
      <w:r w:rsidR="004810E5">
        <w:rPr>
          <w:rFonts w:cs="Times New Roman"/>
          <w:szCs w:val="24"/>
          <w:lang w:val="en-US"/>
        </w:rPr>
        <w:instrText>between</w:instrText>
      </w:r>
      <w:r w:rsidR="004810E5" w:rsidRPr="00E93A18">
        <w:rPr>
          <w:rFonts w:cs="Times New Roman"/>
          <w:szCs w:val="24"/>
        </w:rPr>
        <w:instrText xml:space="preserve"> </w:instrText>
      </w:r>
      <w:r w:rsidR="004810E5">
        <w:rPr>
          <w:rFonts w:cs="Times New Roman"/>
          <w:szCs w:val="24"/>
          <w:lang w:val="en-US"/>
        </w:rPr>
        <w:instrText>September</w:instrText>
      </w:r>
      <w:r w:rsidR="004810E5" w:rsidRPr="00E93A18">
        <w:rPr>
          <w:rFonts w:cs="Times New Roman"/>
          <w:szCs w:val="24"/>
        </w:rPr>
        <w:instrText xml:space="preserve"> 1981 </w:instrText>
      </w:r>
      <w:r w:rsidR="004810E5">
        <w:rPr>
          <w:rFonts w:cs="Times New Roman"/>
          <w:szCs w:val="24"/>
          <w:lang w:val="en-US"/>
        </w:rPr>
        <w:instrText>and</w:instrText>
      </w:r>
      <w:r w:rsidR="004810E5" w:rsidRPr="00E93A18">
        <w:rPr>
          <w:rFonts w:cs="Times New Roman"/>
          <w:szCs w:val="24"/>
        </w:rPr>
        <w:instrText xml:space="preserve"> </w:instrText>
      </w:r>
      <w:r w:rsidR="004810E5">
        <w:rPr>
          <w:rFonts w:cs="Times New Roman"/>
          <w:szCs w:val="24"/>
          <w:lang w:val="en-US"/>
        </w:rPr>
        <w:instrText>February</w:instrText>
      </w:r>
      <w:r w:rsidR="004810E5" w:rsidRPr="00E93A18">
        <w:rPr>
          <w:rFonts w:cs="Times New Roman"/>
          <w:szCs w:val="24"/>
        </w:rPr>
        <w:instrText xml:space="preserve"> 1993. </w:instrText>
      </w:r>
      <w:r w:rsidR="004810E5">
        <w:rPr>
          <w:rFonts w:cs="Times New Roman"/>
          <w:szCs w:val="24"/>
          <w:lang w:val="en-US"/>
        </w:rPr>
        <w:instrText>The</w:instrText>
      </w:r>
      <w:r w:rsidR="004810E5" w:rsidRPr="00E93A18">
        <w:rPr>
          <w:rFonts w:cs="Times New Roman"/>
          <w:szCs w:val="24"/>
        </w:rPr>
        <w:instrText xml:space="preserve"> </w:instrText>
      </w:r>
      <w:r w:rsidR="004810E5">
        <w:rPr>
          <w:rFonts w:cs="Times New Roman"/>
          <w:szCs w:val="24"/>
          <w:lang w:val="en-US"/>
        </w:rPr>
        <w:instrText>minimum</w:instrText>
      </w:r>
      <w:r w:rsidR="004810E5" w:rsidRPr="00E93A18">
        <w:rPr>
          <w:rFonts w:cs="Times New Roman"/>
          <w:szCs w:val="24"/>
        </w:rPr>
        <w:instrText xml:space="preserve"> </w:instrText>
      </w:r>
      <w:r w:rsidR="004810E5">
        <w:rPr>
          <w:rFonts w:cs="Times New Roman"/>
          <w:szCs w:val="24"/>
          <w:lang w:val="en-US"/>
        </w:rPr>
        <w:instrText>follow</w:instrText>
      </w:r>
      <w:r w:rsidR="004810E5" w:rsidRPr="00E93A18">
        <w:rPr>
          <w:rFonts w:cs="Times New Roman"/>
          <w:szCs w:val="24"/>
        </w:rPr>
        <w:instrText>-</w:instrText>
      </w:r>
      <w:r w:rsidR="004810E5">
        <w:rPr>
          <w:rFonts w:cs="Times New Roman"/>
          <w:szCs w:val="24"/>
          <w:lang w:val="en-US"/>
        </w:rPr>
        <w:instrText>up</w:instrText>
      </w:r>
      <w:r w:rsidR="004810E5" w:rsidRPr="00E93A18">
        <w:rPr>
          <w:rFonts w:cs="Times New Roman"/>
          <w:szCs w:val="24"/>
        </w:rPr>
        <w:instrText xml:space="preserve"> </w:instrText>
      </w:r>
      <w:r w:rsidR="004810E5">
        <w:rPr>
          <w:rFonts w:cs="Times New Roman"/>
          <w:szCs w:val="24"/>
          <w:lang w:val="en-US"/>
        </w:rPr>
        <w:instrText>duration</w:instrText>
      </w:r>
      <w:r w:rsidR="004810E5" w:rsidRPr="00E93A18">
        <w:rPr>
          <w:rFonts w:cs="Times New Roman"/>
          <w:szCs w:val="24"/>
        </w:rPr>
        <w:instrText xml:space="preserve"> </w:instrText>
      </w:r>
      <w:r w:rsidR="004810E5">
        <w:rPr>
          <w:rFonts w:cs="Times New Roman"/>
          <w:szCs w:val="24"/>
          <w:lang w:val="en-US"/>
        </w:rPr>
        <w:instrText>of</w:instrText>
      </w:r>
      <w:r w:rsidR="004810E5" w:rsidRPr="00E93A18">
        <w:rPr>
          <w:rFonts w:cs="Times New Roman"/>
          <w:szCs w:val="24"/>
        </w:rPr>
        <w:instrText xml:space="preserve"> </w:instrText>
      </w:r>
      <w:r w:rsidR="004810E5">
        <w:rPr>
          <w:rFonts w:cs="Times New Roman"/>
          <w:szCs w:val="24"/>
          <w:lang w:val="en-US"/>
        </w:rPr>
        <w:instrText>all</w:instrText>
      </w:r>
      <w:r w:rsidR="004810E5" w:rsidRPr="00E93A18">
        <w:rPr>
          <w:rFonts w:cs="Times New Roman"/>
          <w:szCs w:val="24"/>
        </w:rPr>
        <w:instrText xml:space="preserve"> </w:instrText>
      </w:r>
      <w:r w:rsidR="004810E5">
        <w:rPr>
          <w:rFonts w:cs="Times New Roman"/>
          <w:szCs w:val="24"/>
          <w:lang w:val="en-US"/>
        </w:rPr>
        <w:instrText>patients</w:instrText>
      </w:r>
      <w:r w:rsidR="004810E5" w:rsidRPr="00E93A18">
        <w:rPr>
          <w:rFonts w:cs="Times New Roman"/>
          <w:szCs w:val="24"/>
        </w:rPr>
        <w:instrText xml:space="preserve"> </w:instrText>
      </w:r>
      <w:r w:rsidR="004810E5">
        <w:rPr>
          <w:rFonts w:cs="Times New Roman"/>
          <w:szCs w:val="24"/>
          <w:lang w:val="en-US"/>
        </w:rPr>
        <w:instrText>is</w:instrText>
      </w:r>
      <w:r w:rsidR="004810E5" w:rsidRPr="00E93A18">
        <w:rPr>
          <w:rFonts w:cs="Times New Roman"/>
          <w:szCs w:val="24"/>
        </w:rPr>
        <w:instrText xml:space="preserve"> 6 </w:instrText>
      </w:r>
      <w:r w:rsidR="004810E5">
        <w:rPr>
          <w:rFonts w:cs="Times New Roman"/>
          <w:szCs w:val="24"/>
          <w:lang w:val="en-US"/>
        </w:rPr>
        <w:instrText>months</w:instrText>
      </w:r>
      <w:r w:rsidR="004810E5" w:rsidRPr="00E93A18">
        <w:rPr>
          <w:rFonts w:cs="Times New Roman"/>
          <w:szCs w:val="24"/>
        </w:rPr>
        <w:instrText xml:space="preserve">. </w:instrText>
      </w:r>
      <w:r w:rsidR="004810E5">
        <w:rPr>
          <w:rFonts w:cs="Times New Roman"/>
          <w:szCs w:val="24"/>
          <w:lang w:val="en-US"/>
        </w:rPr>
        <w:instrText>RESULTS</w:instrText>
      </w:r>
      <w:r w:rsidR="004810E5" w:rsidRPr="00E93A18">
        <w:rPr>
          <w:rFonts w:cs="Times New Roman"/>
          <w:szCs w:val="24"/>
        </w:rPr>
        <w:instrText xml:space="preserve"> </w:instrText>
      </w:r>
      <w:r w:rsidR="004810E5">
        <w:rPr>
          <w:rFonts w:cs="Times New Roman"/>
          <w:szCs w:val="24"/>
          <w:lang w:val="en-US"/>
        </w:rPr>
        <w:instrText>At</w:instrText>
      </w:r>
      <w:r w:rsidR="004810E5" w:rsidRPr="00E93A18">
        <w:rPr>
          <w:rFonts w:cs="Times New Roman"/>
          <w:szCs w:val="24"/>
        </w:rPr>
        <w:instrText xml:space="preserve"> 3 </w:instrText>
      </w:r>
      <w:r w:rsidR="004810E5">
        <w:rPr>
          <w:rFonts w:cs="Times New Roman"/>
          <w:szCs w:val="24"/>
          <w:lang w:val="en-US"/>
        </w:rPr>
        <w:instrText>months</w:instrText>
      </w:r>
      <w:r w:rsidR="004810E5" w:rsidRPr="00E93A18">
        <w:rPr>
          <w:rFonts w:cs="Times New Roman"/>
          <w:szCs w:val="24"/>
        </w:rPr>
        <w:instrText xml:space="preserve">, </w:instrText>
      </w:r>
      <w:r w:rsidR="004810E5">
        <w:rPr>
          <w:rFonts w:cs="Times New Roman"/>
          <w:szCs w:val="24"/>
          <w:lang w:val="en-US"/>
        </w:rPr>
        <w:instrText>the</w:instrText>
      </w:r>
      <w:r w:rsidR="004810E5" w:rsidRPr="00E93A18">
        <w:rPr>
          <w:rFonts w:cs="Times New Roman"/>
          <w:szCs w:val="24"/>
        </w:rPr>
        <w:instrText xml:space="preserve"> </w:instrText>
      </w:r>
      <w:r w:rsidR="004810E5">
        <w:rPr>
          <w:rFonts w:cs="Times New Roman"/>
          <w:szCs w:val="24"/>
          <w:lang w:val="en-US"/>
        </w:rPr>
        <w:instrText>overall</w:instrText>
      </w:r>
      <w:r w:rsidR="004810E5" w:rsidRPr="00E93A18">
        <w:rPr>
          <w:rFonts w:cs="Times New Roman"/>
          <w:szCs w:val="24"/>
        </w:rPr>
        <w:instrText xml:space="preserve"> </w:instrText>
      </w:r>
      <w:r w:rsidR="004810E5">
        <w:rPr>
          <w:rFonts w:cs="Times New Roman"/>
          <w:szCs w:val="24"/>
          <w:lang w:val="en-US"/>
        </w:rPr>
        <w:instrText>response</w:instrText>
      </w:r>
      <w:r w:rsidR="004810E5" w:rsidRPr="00E93A18">
        <w:rPr>
          <w:rFonts w:cs="Times New Roman"/>
          <w:szCs w:val="24"/>
        </w:rPr>
        <w:instrText xml:space="preserve"> </w:instrText>
      </w:r>
      <w:r w:rsidR="004810E5">
        <w:rPr>
          <w:rFonts w:cs="Times New Roman"/>
          <w:szCs w:val="24"/>
          <w:lang w:val="en-US"/>
        </w:rPr>
        <w:instrText>rate</w:instrText>
      </w:r>
      <w:r w:rsidR="004810E5" w:rsidRPr="00E93A18">
        <w:rPr>
          <w:rFonts w:cs="Times New Roman"/>
          <w:szCs w:val="24"/>
        </w:rPr>
        <w:instrText xml:space="preserve"> </w:instrText>
      </w:r>
      <w:r w:rsidR="004810E5">
        <w:rPr>
          <w:rFonts w:cs="Times New Roman"/>
          <w:szCs w:val="24"/>
          <w:lang w:val="en-US"/>
        </w:rPr>
        <w:instrText>to</w:instrText>
      </w:r>
      <w:r w:rsidR="004810E5" w:rsidRPr="00E93A18">
        <w:rPr>
          <w:rFonts w:cs="Times New Roman"/>
          <w:szCs w:val="24"/>
        </w:rPr>
        <w:instrText xml:space="preserve"> </w:instrText>
      </w:r>
      <w:r w:rsidR="004810E5">
        <w:rPr>
          <w:rFonts w:cs="Times New Roman"/>
          <w:szCs w:val="24"/>
          <w:lang w:val="en-US"/>
        </w:rPr>
        <w:instrText>BEAM</w:instrText>
      </w:r>
      <w:r w:rsidR="004810E5" w:rsidRPr="00E93A18">
        <w:rPr>
          <w:rFonts w:cs="Times New Roman"/>
          <w:szCs w:val="24"/>
        </w:rPr>
        <w:instrText xml:space="preserve"> </w:instrText>
      </w:r>
      <w:r w:rsidR="004810E5">
        <w:rPr>
          <w:rFonts w:cs="Times New Roman"/>
          <w:szCs w:val="24"/>
          <w:lang w:val="en-US"/>
        </w:rPr>
        <w:instrText>and</w:instrText>
      </w:r>
      <w:r w:rsidR="004810E5" w:rsidRPr="00E93A18">
        <w:rPr>
          <w:rFonts w:cs="Times New Roman"/>
          <w:szCs w:val="24"/>
        </w:rPr>
        <w:instrText xml:space="preserve"> </w:instrText>
      </w:r>
      <w:r w:rsidR="004810E5">
        <w:rPr>
          <w:rFonts w:cs="Times New Roman"/>
          <w:szCs w:val="24"/>
          <w:lang w:val="en-US"/>
        </w:rPr>
        <w:instrText>ABMT</w:instrText>
      </w:r>
      <w:r w:rsidR="004810E5" w:rsidRPr="00E93A18">
        <w:rPr>
          <w:rFonts w:cs="Times New Roman"/>
          <w:szCs w:val="24"/>
        </w:rPr>
        <w:instrText xml:space="preserve"> </w:instrText>
      </w:r>
      <w:r w:rsidR="004810E5">
        <w:rPr>
          <w:rFonts w:cs="Times New Roman"/>
          <w:szCs w:val="24"/>
          <w:lang w:val="en-US"/>
        </w:rPr>
        <w:instrText>was</w:instrText>
      </w:r>
      <w:r w:rsidR="004810E5" w:rsidRPr="00E93A18">
        <w:rPr>
          <w:rFonts w:cs="Times New Roman"/>
          <w:szCs w:val="24"/>
        </w:rPr>
        <w:instrText xml:space="preserve"> 73% (41% </w:instrText>
      </w:r>
      <w:r w:rsidR="004810E5">
        <w:rPr>
          <w:rFonts w:cs="Times New Roman"/>
          <w:szCs w:val="24"/>
          <w:lang w:val="en-US"/>
        </w:rPr>
        <w:instrText>complete</w:instrText>
      </w:r>
      <w:r w:rsidR="004810E5" w:rsidRPr="00E93A18">
        <w:rPr>
          <w:rFonts w:cs="Times New Roman"/>
          <w:szCs w:val="24"/>
        </w:rPr>
        <w:instrText xml:space="preserve"> </w:instrText>
      </w:r>
      <w:r w:rsidR="004810E5">
        <w:rPr>
          <w:rFonts w:cs="Times New Roman"/>
          <w:szCs w:val="24"/>
          <w:lang w:val="en-US"/>
        </w:rPr>
        <w:instrText>response</w:instrText>
      </w:r>
      <w:r w:rsidR="004810E5" w:rsidRPr="00E93A18">
        <w:rPr>
          <w:rFonts w:cs="Times New Roman"/>
          <w:szCs w:val="24"/>
        </w:rPr>
        <w:instrText xml:space="preserve"> </w:instrText>
      </w:r>
      <w:r w:rsidR="004810E5">
        <w:rPr>
          <w:rFonts w:cs="Times New Roman"/>
          <w:szCs w:val="24"/>
          <w:lang w:val="en-US"/>
        </w:rPr>
        <w:instrText>and</w:instrText>
      </w:r>
      <w:r w:rsidR="004810E5" w:rsidRPr="00E93A18">
        <w:rPr>
          <w:rFonts w:cs="Times New Roman"/>
          <w:szCs w:val="24"/>
        </w:rPr>
        <w:instrText xml:space="preserve"> 32% </w:instrText>
      </w:r>
      <w:r w:rsidR="004810E5">
        <w:rPr>
          <w:rFonts w:cs="Times New Roman"/>
          <w:szCs w:val="24"/>
          <w:lang w:val="en-US"/>
        </w:rPr>
        <w:instrText>partial</w:instrText>
      </w:r>
      <w:r w:rsidR="004810E5" w:rsidRPr="00E93A18">
        <w:rPr>
          <w:rFonts w:cs="Times New Roman"/>
          <w:szCs w:val="24"/>
        </w:rPr>
        <w:instrText xml:space="preserve"> </w:instrText>
      </w:r>
      <w:r w:rsidR="004810E5">
        <w:rPr>
          <w:rFonts w:cs="Times New Roman"/>
          <w:szCs w:val="24"/>
          <w:lang w:val="en-US"/>
        </w:rPr>
        <w:instrText>response</w:instrText>
      </w:r>
      <w:r w:rsidR="004810E5" w:rsidRPr="00E93A18">
        <w:rPr>
          <w:rFonts w:cs="Times New Roman"/>
          <w:szCs w:val="24"/>
        </w:rPr>
        <w:instrText xml:space="preserve">). </w:instrText>
      </w:r>
      <w:r w:rsidR="004810E5">
        <w:rPr>
          <w:rFonts w:cs="Times New Roman"/>
          <w:szCs w:val="24"/>
          <w:lang w:val="en-US"/>
        </w:rPr>
        <w:instrText>The</w:instrText>
      </w:r>
      <w:r w:rsidR="004810E5" w:rsidRPr="00E93A18">
        <w:rPr>
          <w:rFonts w:cs="Times New Roman"/>
          <w:szCs w:val="24"/>
        </w:rPr>
        <w:instrText xml:space="preserve"> 5-</w:instrText>
      </w:r>
      <w:r w:rsidR="004810E5">
        <w:rPr>
          <w:rFonts w:cs="Times New Roman"/>
          <w:szCs w:val="24"/>
          <w:lang w:val="en-US"/>
        </w:rPr>
        <w:instrText>year</w:instrText>
      </w:r>
      <w:r w:rsidR="004810E5" w:rsidRPr="00E93A18">
        <w:rPr>
          <w:rFonts w:cs="Times New Roman"/>
          <w:szCs w:val="24"/>
        </w:rPr>
        <w:instrText xml:space="preserve"> </w:instrText>
      </w:r>
      <w:r w:rsidR="004810E5">
        <w:rPr>
          <w:rFonts w:cs="Times New Roman"/>
          <w:szCs w:val="24"/>
          <w:lang w:val="en-US"/>
        </w:rPr>
        <w:instrText>actuarial</w:instrText>
      </w:r>
      <w:r w:rsidR="004810E5" w:rsidRPr="00E93A18">
        <w:rPr>
          <w:rFonts w:cs="Times New Roman"/>
          <w:szCs w:val="24"/>
        </w:rPr>
        <w:instrText xml:space="preserve"> </w:instrText>
      </w:r>
      <w:r w:rsidR="004810E5">
        <w:rPr>
          <w:rFonts w:cs="Times New Roman"/>
          <w:szCs w:val="24"/>
          <w:lang w:val="en-US"/>
        </w:rPr>
        <w:instrText>overall</w:instrText>
      </w:r>
      <w:r w:rsidR="004810E5" w:rsidRPr="00E93A18">
        <w:rPr>
          <w:rFonts w:cs="Times New Roman"/>
          <w:szCs w:val="24"/>
        </w:rPr>
        <w:instrText xml:space="preserve"> </w:instrText>
      </w:r>
      <w:r w:rsidR="004810E5">
        <w:rPr>
          <w:rFonts w:cs="Times New Roman"/>
          <w:szCs w:val="24"/>
          <w:lang w:val="en-US"/>
        </w:rPr>
        <w:instrText>survival</w:instrText>
      </w:r>
      <w:r w:rsidR="004810E5" w:rsidRPr="00E93A18">
        <w:rPr>
          <w:rFonts w:cs="Times New Roman"/>
          <w:szCs w:val="24"/>
        </w:rPr>
        <w:instrText xml:space="preserve"> </w:instrText>
      </w:r>
      <w:r w:rsidR="004810E5">
        <w:rPr>
          <w:rFonts w:cs="Times New Roman"/>
          <w:szCs w:val="24"/>
          <w:lang w:val="en-US"/>
        </w:rPr>
        <w:instrText>and</w:instrText>
      </w:r>
      <w:r w:rsidR="004810E5" w:rsidRPr="00E93A18">
        <w:rPr>
          <w:rFonts w:cs="Times New Roman"/>
          <w:szCs w:val="24"/>
        </w:rPr>
        <w:instrText xml:space="preserve"> </w:instrText>
      </w:r>
      <w:r w:rsidR="004810E5">
        <w:rPr>
          <w:rFonts w:cs="Times New Roman"/>
          <w:szCs w:val="24"/>
          <w:lang w:val="en-US"/>
        </w:rPr>
        <w:instrText>progression</w:instrText>
      </w:r>
      <w:r w:rsidR="004810E5" w:rsidRPr="00E93A18">
        <w:rPr>
          <w:rFonts w:cs="Times New Roman"/>
          <w:szCs w:val="24"/>
        </w:rPr>
        <w:instrText>-</w:instrText>
      </w:r>
      <w:r w:rsidR="004810E5">
        <w:rPr>
          <w:rFonts w:cs="Times New Roman"/>
          <w:szCs w:val="24"/>
          <w:lang w:val="en-US"/>
        </w:rPr>
        <w:instrText>free</w:instrText>
      </w:r>
      <w:r w:rsidR="004810E5" w:rsidRPr="00E93A18">
        <w:rPr>
          <w:rFonts w:cs="Times New Roman"/>
          <w:szCs w:val="24"/>
        </w:rPr>
        <w:instrText xml:space="preserve"> </w:instrText>
      </w:r>
      <w:r w:rsidR="004810E5">
        <w:rPr>
          <w:rFonts w:cs="Times New Roman"/>
          <w:szCs w:val="24"/>
          <w:lang w:val="en-US"/>
        </w:rPr>
        <w:instrText>survival</w:instrText>
      </w:r>
      <w:r w:rsidR="004810E5" w:rsidRPr="00E93A18">
        <w:rPr>
          <w:rFonts w:cs="Times New Roman"/>
          <w:szCs w:val="24"/>
        </w:rPr>
        <w:instrText xml:space="preserve"> </w:instrText>
      </w:r>
      <w:r w:rsidR="004810E5">
        <w:rPr>
          <w:rFonts w:cs="Times New Roman"/>
          <w:szCs w:val="24"/>
          <w:lang w:val="en-US"/>
        </w:rPr>
        <w:instrText>rates</w:instrText>
      </w:r>
      <w:r w:rsidR="004810E5" w:rsidRPr="00E93A18">
        <w:rPr>
          <w:rFonts w:cs="Times New Roman"/>
          <w:szCs w:val="24"/>
        </w:rPr>
        <w:instrText xml:space="preserve"> </w:instrText>
      </w:r>
      <w:r w:rsidR="004810E5">
        <w:rPr>
          <w:rFonts w:cs="Times New Roman"/>
          <w:szCs w:val="24"/>
          <w:lang w:val="en-US"/>
        </w:rPr>
        <w:instrText>were</w:instrText>
      </w:r>
      <w:r w:rsidR="004810E5" w:rsidRPr="00E93A18">
        <w:rPr>
          <w:rFonts w:cs="Times New Roman"/>
          <w:szCs w:val="24"/>
        </w:rPr>
        <w:instrText xml:space="preserve"> 41% </w:instrText>
      </w:r>
      <w:r w:rsidR="004810E5">
        <w:rPr>
          <w:rFonts w:cs="Times New Roman"/>
          <w:szCs w:val="24"/>
          <w:lang w:val="en-US"/>
        </w:rPr>
        <w:instrText>and</w:instrText>
      </w:r>
      <w:r w:rsidR="004810E5" w:rsidRPr="00E93A18">
        <w:rPr>
          <w:rFonts w:cs="Times New Roman"/>
          <w:szCs w:val="24"/>
        </w:rPr>
        <w:instrText xml:space="preserve"> 35%, </w:instrText>
      </w:r>
      <w:r w:rsidR="004810E5">
        <w:rPr>
          <w:rFonts w:cs="Times New Roman"/>
          <w:szCs w:val="24"/>
          <w:lang w:val="en-US"/>
        </w:rPr>
        <w:instrText>respectively</w:instrText>
      </w:r>
      <w:r w:rsidR="004810E5" w:rsidRPr="00E93A18">
        <w:rPr>
          <w:rFonts w:cs="Times New Roman"/>
          <w:szCs w:val="24"/>
        </w:rPr>
        <w:instrText xml:space="preserve">. </w:instrText>
      </w:r>
      <w:r w:rsidR="004810E5">
        <w:rPr>
          <w:rFonts w:cs="Times New Roman"/>
          <w:szCs w:val="24"/>
          <w:lang w:val="en-US"/>
        </w:rPr>
        <w:instrText>The</w:instrText>
      </w:r>
      <w:r w:rsidR="004810E5" w:rsidRPr="00E93A18">
        <w:rPr>
          <w:rFonts w:cs="Times New Roman"/>
          <w:szCs w:val="24"/>
        </w:rPr>
        <w:instrText xml:space="preserve"> </w:instrText>
      </w:r>
      <w:r w:rsidR="004810E5">
        <w:rPr>
          <w:rFonts w:cs="Times New Roman"/>
          <w:szCs w:val="24"/>
          <w:lang w:val="en-US"/>
        </w:rPr>
        <w:instrText>early</w:instrText>
      </w:r>
      <w:r w:rsidR="004810E5" w:rsidRPr="00E93A18">
        <w:rPr>
          <w:rFonts w:cs="Times New Roman"/>
          <w:szCs w:val="24"/>
        </w:rPr>
        <w:instrText xml:space="preserve"> </w:instrText>
      </w:r>
      <w:r w:rsidR="004810E5">
        <w:rPr>
          <w:rFonts w:cs="Times New Roman"/>
          <w:szCs w:val="24"/>
          <w:lang w:val="en-US"/>
        </w:rPr>
        <w:instrText>procedure</w:instrText>
      </w:r>
      <w:r w:rsidR="004810E5" w:rsidRPr="00E93A18">
        <w:rPr>
          <w:rFonts w:cs="Times New Roman"/>
          <w:szCs w:val="24"/>
        </w:rPr>
        <w:instrText>-</w:instrText>
      </w:r>
      <w:r w:rsidR="004810E5">
        <w:rPr>
          <w:rFonts w:cs="Times New Roman"/>
          <w:szCs w:val="24"/>
          <w:lang w:val="en-US"/>
        </w:rPr>
        <w:instrText>related</w:instrText>
      </w:r>
      <w:r w:rsidR="004810E5" w:rsidRPr="00E93A18">
        <w:rPr>
          <w:rFonts w:cs="Times New Roman"/>
          <w:szCs w:val="24"/>
        </w:rPr>
        <w:instrText xml:space="preserve"> </w:instrText>
      </w:r>
      <w:r w:rsidR="004810E5">
        <w:rPr>
          <w:rFonts w:cs="Times New Roman"/>
          <w:szCs w:val="24"/>
          <w:lang w:val="en-US"/>
        </w:rPr>
        <w:instrText>mortality</w:instrText>
      </w:r>
      <w:r w:rsidR="004810E5" w:rsidRPr="00E93A18">
        <w:rPr>
          <w:rFonts w:cs="Times New Roman"/>
          <w:szCs w:val="24"/>
        </w:rPr>
        <w:instrText xml:space="preserve"> </w:instrText>
      </w:r>
      <w:r w:rsidR="004810E5">
        <w:rPr>
          <w:rFonts w:cs="Times New Roman"/>
          <w:szCs w:val="24"/>
          <w:lang w:val="en-US"/>
        </w:rPr>
        <w:instrText>rate</w:instrText>
      </w:r>
      <w:r w:rsidR="004810E5" w:rsidRPr="00E93A18">
        <w:rPr>
          <w:rFonts w:cs="Times New Roman"/>
          <w:szCs w:val="24"/>
        </w:rPr>
        <w:instrText xml:space="preserve"> </w:instrText>
      </w:r>
      <w:r w:rsidR="004810E5">
        <w:rPr>
          <w:rFonts w:cs="Times New Roman"/>
          <w:szCs w:val="24"/>
          <w:lang w:val="en-US"/>
        </w:rPr>
        <w:instrText>was</w:instrText>
      </w:r>
      <w:r w:rsidR="004810E5" w:rsidRPr="00E93A18">
        <w:rPr>
          <w:rFonts w:cs="Times New Roman"/>
          <w:szCs w:val="24"/>
        </w:rPr>
        <w:instrText xml:space="preserve"> 7% (</w:instrText>
      </w:r>
      <w:r w:rsidR="004810E5">
        <w:rPr>
          <w:rFonts w:cs="Times New Roman"/>
          <w:szCs w:val="24"/>
          <w:lang w:val="en-US"/>
        </w:rPr>
        <w:instrText>eight</w:instrText>
      </w:r>
      <w:r w:rsidR="004810E5" w:rsidRPr="00E93A18">
        <w:rPr>
          <w:rFonts w:cs="Times New Roman"/>
          <w:szCs w:val="24"/>
        </w:rPr>
        <w:instrText xml:space="preserve"> </w:instrText>
      </w:r>
      <w:r w:rsidR="004810E5">
        <w:rPr>
          <w:rFonts w:cs="Times New Roman"/>
          <w:szCs w:val="24"/>
          <w:lang w:val="en-US"/>
        </w:rPr>
        <w:instrText>of</w:instrText>
      </w:r>
      <w:r w:rsidR="004810E5" w:rsidRPr="00E93A18">
        <w:rPr>
          <w:rFonts w:cs="Times New Roman"/>
          <w:szCs w:val="24"/>
        </w:rPr>
        <w:instrText xml:space="preserve"> 107 </w:instrText>
      </w:r>
      <w:r w:rsidR="004810E5">
        <w:rPr>
          <w:rFonts w:cs="Times New Roman"/>
          <w:szCs w:val="24"/>
          <w:lang w:val="en-US"/>
        </w:rPr>
        <w:instrText>patients</w:instrText>
      </w:r>
      <w:r w:rsidR="004810E5" w:rsidRPr="00E93A18">
        <w:rPr>
          <w:rFonts w:cs="Times New Roman"/>
          <w:szCs w:val="24"/>
        </w:rPr>
        <w:instrText xml:space="preserve">). </w:instrText>
      </w:r>
      <w:r w:rsidR="004810E5">
        <w:rPr>
          <w:rFonts w:cs="Times New Roman"/>
          <w:szCs w:val="24"/>
          <w:lang w:val="en-US"/>
        </w:rPr>
        <w:instrText>On</w:instrText>
      </w:r>
      <w:r w:rsidR="004810E5" w:rsidRPr="00E93A18">
        <w:rPr>
          <w:rFonts w:cs="Times New Roman"/>
          <w:szCs w:val="24"/>
        </w:rPr>
        <w:instrText xml:space="preserve"> </w:instrText>
      </w:r>
      <w:r w:rsidR="004810E5">
        <w:rPr>
          <w:rFonts w:cs="Times New Roman"/>
          <w:szCs w:val="24"/>
          <w:lang w:val="en-US"/>
        </w:rPr>
        <w:instrText>multivariate</w:instrText>
      </w:r>
      <w:r w:rsidR="004810E5" w:rsidRPr="00E93A18">
        <w:rPr>
          <w:rFonts w:cs="Times New Roman"/>
          <w:szCs w:val="24"/>
        </w:rPr>
        <w:instrText xml:space="preserve"> </w:instrText>
      </w:r>
      <w:r w:rsidR="004810E5">
        <w:rPr>
          <w:rFonts w:cs="Times New Roman"/>
          <w:szCs w:val="24"/>
          <w:lang w:val="en-US"/>
        </w:rPr>
        <w:instrText>analysis</w:instrText>
      </w:r>
      <w:r w:rsidR="004810E5" w:rsidRPr="00E93A18">
        <w:rPr>
          <w:rFonts w:cs="Times New Roman"/>
          <w:szCs w:val="24"/>
        </w:rPr>
        <w:instrText xml:space="preserve">, </w:instrText>
      </w:r>
      <w:r w:rsidR="004810E5">
        <w:rPr>
          <w:rFonts w:cs="Times New Roman"/>
          <w:szCs w:val="24"/>
          <w:lang w:val="en-US"/>
        </w:rPr>
        <w:instrText>the</w:instrText>
      </w:r>
      <w:r w:rsidR="004810E5" w:rsidRPr="00E93A18">
        <w:rPr>
          <w:rFonts w:cs="Times New Roman"/>
          <w:szCs w:val="24"/>
        </w:rPr>
        <w:instrText xml:space="preserve"> </w:instrText>
      </w:r>
      <w:r w:rsidR="004810E5">
        <w:rPr>
          <w:rFonts w:cs="Times New Roman"/>
          <w:szCs w:val="24"/>
          <w:lang w:val="en-US"/>
        </w:rPr>
        <w:instrText>main</w:instrText>
      </w:r>
      <w:r w:rsidR="004810E5" w:rsidRPr="00E93A18">
        <w:rPr>
          <w:rFonts w:cs="Times New Roman"/>
          <w:szCs w:val="24"/>
        </w:rPr>
        <w:instrText xml:space="preserve"> </w:instrText>
      </w:r>
      <w:r w:rsidR="004810E5">
        <w:rPr>
          <w:rFonts w:cs="Times New Roman"/>
          <w:szCs w:val="24"/>
          <w:lang w:val="en-US"/>
        </w:rPr>
        <w:instrText>prognostic</w:instrText>
      </w:r>
      <w:r w:rsidR="004810E5" w:rsidRPr="00E93A18">
        <w:rPr>
          <w:rFonts w:cs="Times New Roman"/>
          <w:szCs w:val="24"/>
        </w:rPr>
        <w:instrText xml:space="preserve"> </w:instrText>
      </w:r>
      <w:r w:rsidR="004810E5">
        <w:rPr>
          <w:rFonts w:cs="Times New Roman"/>
          <w:szCs w:val="24"/>
          <w:lang w:val="en-US"/>
        </w:rPr>
        <w:instrText>factor</w:instrText>
      </w:r>
      <w:r w:rsidR="004810E5" w:rsidRPr="00E93A18">
        <w:rPr>
          <w:rFonts w:cs="Times New Roman"/>
          <w:szCs w:val="24"/>
        </w:rPr>
        <w:instrText xml:space="preserve"> </w:instrText>
      </w:r>
      <w:r w:rsidR="004810E5">
        <w:rPr>
          <w:rFonts w:cs="Times New Roman"/>
          <w:szCs w:val="24"/>
          <w:lang w:val="en-US"/>
        </w:rPr>
        <w:instrText>was</w:instrText>
      </w:r>
      <w:r w:rsidR="004810E5" w:rsidRPr="00E93A18">
        <w:rPr>
          <w:rFonts w:cs="Times New Roman"/>
          <w:szCs w:val="24"/>
        </w:rPr>
        <w:instrText xml:space="preserve"> </w:instrText>
      </w:r>
      <w:r w:rsidR="004810E5">
        <w:rPr>
          <w:rFonts w:cs="Times New Roman"/>
          <w:szCs w:val="24"/>
          <w:lang w:val="en-US"/>
        </w:rPr>
        <w:instrText>disease</w:instrText>
      </w:r>
      <w:r w:rsidR="004810E5" w:rsidRPr="00E93A18">
        <w:rPr>
          <w:rFonts w:cs="Times New Roman"/>
          <w:szCs w:val="24"/>
        </w:rPr>
        <w:instrText xml:space="preserve"> </w:instrText>
      </w:r>
      <w:r w:rsidR="004810E5">
        <w:rPr>
          <w:rFonts w:cs="Times New Roman"/>
          <w:szCs w:val="24"/>
          <w:lang w:val="en-US"/>
        </w:rPr>
        <w:instrText>status</w:instrText>
      </w:r>
      <w:r w:rsidR="004810E5" w:rsidRPr="00E93A18">
        <w:rPr>
          <w:rFonts w:cs="Times New Roman"/>
          <w:szCs w:val="24"/>
        </w:rPr>
        <w:instrText xml:space="preserve"> </w:instrText>
      </w:r>
      <w:r w:rsidR="004810E5">
        <w:rPr>
          <w:rFonts w:cs="Times New Roman"/>
          <w:szCs w:val="24"/>
          <w:lang w:val="en-US"/>
        </w:rPr>
        <w:instrText>at</w:instrText>
      </w:r>
      <w:r w:rsidR="004810E5" w:rsidRPr="00E93A18">
        <w:rPr>
          <w:rFonts w:cs="Times New Roman"/>
          <w:szCs w:val="24"/>
        </w:rPr>
        <w:instrText xml:space="preserve"> </w:instrText>
      </w:r>
      <w:r w:rsidR="004810E5">
        <w:rPr>
          <w:rFonts w:cs="Times New Roman"/>
          <w:szCs w:val="24"/>
          <w:lang w:val="en-US"/>
        </w:rPr>
        <w:instrText>the</w:instrText>
      </w:r>
      <w:r w:rsidR="004810E5" w:rsidRPr="00E93A18">
        <w:rPr>
          <w:rFonts w:cs="Times New Roman"/>
          <w:szCs w:val="24"/>
        </w:rPr>
        <w:instrText xml:space="preserve"> </w:instrText>
      </w:r>
      <w:r w:rsidR="004810E5">
        <w:rPr>
          <w:rFonts w:cs="Times New Roman"/>
          <w:szCs w:val="24"/>
          <w:lang w:val="en-US"/>
        </w:rPr>
        <w:instrText>time</w:instrText>
      </w:r>
      <w:r w:rsidR="004810E5" w:rsidRPr="00E93A18">
        <w:rPr>
          <w:rFonts w:cs="Times New Roman"/>
          <w:szCs w:val="24"/>
        </w:rPr>
        <w:instrText xml:space="preserve"> </w:instrText>
      </w:r>
      <w:r w:rsidR="004810E5">
        <w:rPr>
          <w:rFonts w:cs="Times New Roman"/>
          <w:szCs w:val="24"/>
          <w:lang w:val="en-US"/>
        </w:rPr>
        <w:instrText>of</w:instrText>
      </w:r>
      <w:r w:rsidR="004810E5" w:rsidRPr="00E93A18">
        <w:rPr>
          <w:rFonts w:cs="Times New Roman"/>
          <w:szCs w:val="24"/>
        </w:rPr>
        <w:instrText xml:space="preserve"> </w:instrText>
      </w:r>
      <w:r w:rsidR="004810E5">
        <w:rPr>
          <w:rFonts w:cs="Times New Roman"/>
          <w:szCs w:val="24"/>
          <w:lang w:val="en-US"/>
        </w:rPr>
        <w:instrText>ABMT</w:instrText>
      </w:r>
      <w:r w:rsidR="004810E5" w:rsidRPr="00E93A18">
        <w:rPr>
          <w:rFonts w:cs="Times New Roman"/>
          <w:szCs w:val="24"/>
        </w:rPr>
        <w:instrText xml:space="preserve">. </w:instrText>
      </w:r>
      <w:r w:rsidR="004810E5">
        <w:rPr>
          <w:rFonts w:cs="Times New Roman"/>
          <w:szCs w:val="24"/>
          <w:lang w:val="en-US"/>
        </w:rPr>
        <w:instrText>Patients</w:instrText>
      </w:r>
      <w:r w:rsidR="004810E5" w:rsidRPr="00E93A18">
        <w:rPr>
          <w:rFonts w:cs="Times New Roman"/>
          <w:szCs w:val="24"/>
        </w:rPr>
        <w:instrText xml:space="preserve"> </w:instrText>
      </w:r>
      <w:r w:rsidR="004810E5">
        <w:rPr>
          <w:rFonts w:cs="Times New Roman"/>
          <w:szCs w:val="24"/>
          <w:lang w:val="en-US"/>
        </w:rPr>
        <w:instrText>with</w:instrText>
      </w:r>
      <w:r w:rsidR="004810E5" w:rsidRPr="00E93A18">
        <w:rPr>
          <w:rFonts w:cs="Times New Roman"/>
          <w:szCs w:val="24"/>
        </w:rPr>
        <w:instrText xml:space="preserve"> </w:instrText>
      </w:r>
      <w:r w:rsidR="004810E5">
        <w:rPr>
          <w:rFonts w:cs="Times New Roman"/>
          <w:szCs w:val="24"/>
          <w:lang w:val="en-US"/>
        </w:rPr>
        <w:instrText>chemosensitive</w:instrText>
      </w:r>
      <w:r w:rsidR="004810E5" w:rsidRPr="00E93A18">
        <w:rPr>
          <w:rFonts w:cs="Times New Roman"/>
          <w:szCs w:val="24"/>
        </w:rPr>
        <w:instrText xml:space="preserve"> </w:instrText>
      </w:r>
      <w:r w:rsidR="004810E5">
        <w:rPr>
          <w:rFonts w:cs="Times New Roman"/>
          <w:szCs w:val="24"/>
          <w:lang w:val="en-US"/>
        </w:rPr>
        <w:instrText>disease</w:instrText>
      </w:r>
      <w:r w:rsidR="004810E5" w:rsidRPr="00E93A18">
        <w:rPr>
          <w:rFonts w:cs="Times New Roman"/>
          <w:szCs w:val="24"/>
        </w:rPr>
        <w:instrText xml:space="preserve"> </w:instrText>
      </w:r>
      <w:r w:rsidR="004810E5">
        <w:rPr>
          <w:rFonts w:cs="Times New Roman"/>
          <w:szCs w:val="24"/>
          <w:lang w:val="en-US"/>
        </w:rPr>
        <w:instrText>had</w:instrText>
      </w:r>
      <w:r w:rsidR="004810E5" w:rsidRPr="00E93A18">
        <w:rPr>
          <w:rFonts w:cs="Times New Roman"/>
          <w:szCs w:val="24"/>
        </w:rPr>
        <w:instrText xml:space="preserve"> </w:instrText>
      </w:r>
      <w:r w:rsidR="004810E5">
        <w:rPr>
          <w:rFonts w:cs="Times New Roman"/>
          <w:szCs w:val="24"/>
          <w:lang w:val="en-US"/>
        </w:rPr>
        <w:instrText>an</w:instrText>
      </w:r>
      <w:r w:rsidR="004810E5" w:rsidRPr="00E93A18">
        <w:rPr>
          <w:rFonts w:cs="Times New Roman"/>
          <w:szCs w:val="24"/>
        </w:rPr>
        <w:instrText xml:space="preserve"> </w:instrText>
      </w:r>
      <w:r w:rsidR="004810E5">
        <w:rPr>
          <w:rFonts w:cs="Times New Roman"/>
          <w:szCs w:val="24"/>
          <w:lang w:val="en-US"/>
        </w:rPr>
        <w:instrText>actuarial</w:instrText>
      </w:r>
      <w:r w:rsidR="004810E5" w:rsidRPr="00E93A18">
        <w:rPr>
          <w:rFonts w:cs="Times New Roman"/>
          <w:szCs w:val="24"/>
        </w:rPr>
        <w:instrText xml:space="preserve"> 5-</w:instrText>
      </w:r>
      <w:r w:rsidR="004810E5">
        <w:rPr>
          <w:rFonts w:cs="Times New Roman"/>
          <w:szCs w:val="24"/>
          <w:lang w:val="en-US"/>
        </w:rPr>
        <w:instrText>year</w:instrText>
      </w:r>
      <w:r w:rsidR="004810E5" w:rsidRPr="00E93A18">
        <w:rPr>
          <w:rFonts w:cs="Times New Roman"/>
          <w:szCs w:val="24"/>
        </w:rPr>
        <w:instrText xml:space="preserve"> </w:instrText>
      </w:r>
      <w:r w:rsidR="004810E5">
        <w:rPr>
          <w:rFonts w:cs="Times New Roman"/>
          <w:szCs w:val="24"/>
          <w:lang w:val="en-US"/>
        </w:rPr>
        <w:instrText>survival</w:instrText>
      </w:r>
      <w:r w:rsidR="004810E5" w:rsidRPr="00E93A18">
        <w:rPr>
          <w:rFonts w:cs="Times New Roman"/>
          <w:szCs w:val="24"/>
        </w:rPr>
        <w:instrText xml:space="preserve"> </w:instrText>
      </w:r>
      <w:r w:rsidR="004810E5">
        <w:rPr>
          <w:rFonts w:cs="Times New Roman"/>
          <w:szCs w:val="24"/>
          <w:lang w:val="en-US"/>
        </w:rPr>
        <w:instrText>rate</w:instrText>
      </w:r>
      <w:r w:rsidR="004810E5" w:rsidRPr="00E93A18">
        <w:rPr>
          <w:rFonts w:cs="Times New Roman"/>
          <w:szCs w:val="24"/>
        </w:rPr>
        <w:instrText xml:space="preserve"> </w:instrText>
      </w:r>
      <w:r w:rsidR="004810E5">
        <w:rPr>
          <w:rFonts w:cs="Times New Roman"/>
          <w:szCs w:val="24"/>
          <w:lang w:val="en-US"/>
        </w:rPr>
        <w:instrText>of</w:instrText>
      </w:r>
      <w:r w:rsidR="004810E5" w:rsidRPr="00E93A18">
        <w:rPr>
          <w:rFonts w:cs="Times New Roman"/>
          <w:szCs w:val="24"/>
        </w:rPr>
        <w:instrText xml:space="preserve"> 49% </w:instrText>
      </w:r>
      <w:r w:rsidR="004810E5">
        <w:rPr>
          <w:rFonts w:cs="Times New Roman"/>
          <w:szCs w:val="24"/>
          <w:lang w:val="en-US"/>
        </w:rPr>
        <w:instrText>at</w:instrText>
      </w:r>
      <w:r w:rsidR="004810E5" w:rsidRPr="00E93A18">
        <w:rPr>
          <w:rFonts w:cs="Times New Roman"/>
          <w:szCs w:val="24"/>
        </w:rPr>
        <w:instrText xml:space="preserve"> 5 </w:instrText>
      </w:r>
      <w:r w:rsidR="004810E5">
        <w:rPr>
          <w:rFonts w:cs="Times New Roman"/>
          <w:szCs w:val="24"/>
          <w:lang w:val="en-US"/>
        </w:rPr>
        <w:instrText>years</w:instrText>
      </w:r>
      <w:r w:rsidR="004810E5" w:rsidRPr="00E93A18">
        <w:rPr>
          <w:rFonts w:cs="Times New Roman"/>
          <w:szCs w:val="24"/>
        </w:rPr>
        <w:instrText xml:space="preserve"> </w:instrText>
      </w:r>
      <w:r w:rsidR="004810E5">
        <w:rPr>
          <w:rFonts w:cs="Times New Roman"/>
          <w:szCs w:val="24"/>
          <w:lang w:val="en-US"/>
        </w:rPr>
        <w:instrText>compared</w:instrText>
      </w:r>
      <w:r w:rsidR="004810E5" w:rsidRPr="00E93A18">
        <w:rPr>
          <w:rFonts w:cs="Times New Roman"/>
          <w:szCs w:val="24"/>
        </w:rPr>
        <w:instrText xml:space="preserve"> </w:instrText>
      </w:r>
      <w:r w:rsidR="004810E5">
        <w:rPr>
          <w:rFonts w:cs="Times New Roman"/>
          <w:szCs w:val="24"/>
          <w:lang w:val="en-US"/>
        </w:rPr>
        <w:instrText>with</w:instrText>
      </w:r>
      <w:r w:rsidR="004810E5" w:rsidRPr="00E93A18">
        <w:rPr>
          <w:rFonts w:cs="Times New Roman"/>
          <w:szCs w:val="24"/>
        </w:rPr>
        <w:instrText xml:space="preserve"> 13% </w:instrText>
      </w:r>
      <w:r w:rsidR="004810E5">
        <w:rPr>
          <w:rFonts w:cs="Times New Roman"/>
          <w:szCs w:val="24"/>
          <w:lang w:val="en-US"/>
        </w:rPr>
        <w:instrText>for</w:instrText>
      </w:r>
      <w:r w:rsidR="004810E5" w:rsidRPr="00E93A18">
        <w:rPr>
          <w:rFonts w:cs="Times New Roman"/>
          <w:szCs w:val="24"/>
        </w:rPr>
        <w:instrText xml:space="preserve"> </w:instrText>
      </w:r>
      <w:r w:rsidR="004810E5">
        <w:rPr>
          <w:rFonts w:cs="Times New Roman"/>
          <w:szCs w:val="24"/>
          <w:lang w:val="en-US"/>
        </w:rPr>
        <w:instrText>those</w:instrText>
      </w:r>
      <w:r w:rsidR="004810E5" w:rsidRPr="00E93A18">
        <w:rPr>
          <w:rFonts w:cs="Times New Roman"/>
          <w:szCs w:val="24"/>
        </w:rPr>
        <w:instrText xml:space="preserve"> </w:instrText>
      </w:r>
      <w:r w:rsidR="004810E5">
        <w:rPr>
          <w:rFonts w:cs="Times New Roman"/>
          <w:szCs w:val="24"/>
          <w:lang w:val="en-US"/>
        </w:rPr>
        <w:instrText>with</w:instrText>
      </w:r>
      <w:r w:rsidR="004810E5" w:rsidRPr="00E93A18">
        <w:rPr>
          <w:rFonts w:cs="Times New Roman"/>
          <w:szCs w:val="24"/>
        </w:rPr>
        <w:instrText xml:space="preserve"> </w:instrText>
      </w:r>
      <w:r w:rsidR="004810E5">
        <w:rPr>
          <w:rFonts w:cs="Times New Roman"/>
          <w:szCs w:val="24"/>
          <w:lang w:val="en-US"/>
        </w:rPr>
        <w:instrText>chemoresistant</w:instrText>
      </w:r>
      <w:r w:rsidR="004810E5" w:rsidRPr="00E93A18">
        <w:rPr>
          <w:rFonts w:cs="Times New Roman"/>
          <w:szCs w:val="24"/>
        </w:rPr>
        <w:instrText xml:space="preserve"> </w:instrText>
      </w:r>
      <w:r w:rsidR="004810E5">
        <w:rPr>
          <w:rFonts w:cs="Times New Roman"/>
          <w:szCs w:val="24"/>
          <w:lang w:val="en-US"/>
        </w:rPr>
        <w:instrText>disease</w:instrText>
      </w:r>
      <w:r w:rsidR="004810E5" w:rsidRPr="00E93A18">
        <w:rPr>
          <w:rFonts w:cs="Times New Roman"/>
          <w:szCs w:val="24"/>
        </w:rPr>
        <w:instrText xml:space="preserve"> (</w:instrText>
      </w:r>
      <w:r w:rsidR="004810E5">
        <w:rPr>
          <w:rFonts w:cs="Times New Roman"/>
          <w:szCs w:val="24"/>
          <w:lang w:val="en-US"/>
        </w:rPr>
        <w:instrText>P</w:instrText>
      </w:r>
      <w:r w:rsidR="004810E5" w:rsidRPr="00E93A18">
        <w:rPr>
          <w:rFonts w:cs="Times New Roman"/>
          <w:szCs w:val="24"/>
        </w:rPr>
        <w:instrText xml:space="preserve"> &lt; .001). </w:instrText>
      </w:r>
      <w:r w:rsidR="004810E5">
        <w:rPr>
          <w:rFonts w:cs="Times New Roman"/>
          <w:szCs w:val="24"/>
          <w:lang w:val="en-US"/>
        </w:rPr>
        <w:instrText>For</w:instrText>
      </w:r>
      <w:r w:rsidR="004810E5" w:rsidRPr="00E93A18">
        <w:rPr>
          <w:rFonts w:cs="Times New Roman"/>
          <w:szCs w:val="24"/>
        </w:rPr>
        <w:instrText xml:space="preserve"> </w:instrText>
      </w:r>
      <w:r w:rsidR="004810E5">
        <w:rPr>
          <w:rFonts w:cs="Times New Roman"/>
          <w:szCs w:val="24"/>
          <w:lang w:val="en-US"/>
        </w:rPr>
        <w:instrText>patients</w:instrText>
      </w:r>
      <w:r w:rsidR="004810E5" w:rsidRPr="00E93A18">
        <w:rPr>
          <w:rFonts w:cs="Times New Roman"/>
          <w:szCs w:val="24"/>
        </w:rPr>
        <w:instrText xml:space="preserve"> </w:instrText>
      </w:r>
      <w:r w:rsidR="004810E5">
        <w:rPr>
          <w:rFonts w:cs="Times New Roman"/>
          <w:szCs w:val="24"/>
          <w:lang w:val="en-US"/>
        </w:rPr>
        <w:instrText>considered</w:instrText>
      </w:r>
      <w:r w:rsidR="004810E5" w:rsidRPr="00E93A18">
        <w:rPr>
          <w:rFonts w:cs="Times New Roman"/>
          <w:szCs w:val="24"/>
        </w:rPr>
        <w:instrText xml:space="preserve"> </w:instrText>
      </w:r>
      <w:r w:rsidR="004810E5">
        <w:rPr>
          <w:rFonts w:cs="Times New Roman"/>
          <w:szCs w:val="24"/>
          <w:lang w:val="en-US"/>
        </w:rPr>
        <w:instrText>to</w:instrText>
      </w:r>
      <w:r w:rsidR="004810E5" w:rsidRPr="00E93A18">
        <w:rPr>
          <w:rFonts w:cs="Times New Roman"/>
          <w:szCs w:val="24"/>
        </w:rPr>
        <w:instrText xml:space="preserve"> </w:instrText>
      </w:r>
      <w:r w:rsidR="004810E5">
        <w:rPr>
          <w:rFonts w:cs="Times New Roman"/>
          <w:szCs w:val="24"/>
          <w:lang w:val="en-US"/>
        </w:rPr>
        <w:instrText>have</w:instrText>
      </w:r>
      <w:r w:rsidR="004810E5" w:rsidRPr="00E93A18">
        <w:rPr>
          <w:rFonts w:cs="Times New Roman"/>
          <w:szCs w:val="24"/>
        </w:rPr>
        <w:instrText xml:space="preserve"> </w:instrText>
      </w:r>
      <w:r w:rsidR="004810E5">
        <w:rPr>
          <w:rFonts w:cs="Times New Roman"/>
          <w:szCs w:val="24"/>
          <w:lang w:val="en-US"/>
        </w:rPr>
        <w:instrText>chemosensitive</w:instrText>
      </w:r>
      <w:r w:rsidR="004810E5" w:rsidRPr="00E93A18">
        <w:rPr>
          <w:rFonts w:cs="Times New Roman"/>
          <w:szCs w:val="24"/>
        </w:rPr>
        <w:instrText xml:space="preserve"> </w:instrText>
      </w:r>
      <w:r w:rsidR="004810E5">
        <w:rPr>
          <w:rFonts w:cs="Times New Roman"/>
          <w:szCs w:val="24"/>
          <w:lang w:val="en-US"/>
        </w:rPr>
        <w:instrText>disease</w:instrText>
      </w:r>
      <w:r w:rsidR="004810E5" w:rsidRPr="00E93A18">
        <w:rPr>
          <w:rFonts w:cs="Times New Roman"/>
          <w:szCs w:val="24"/>
        </w:rPr>
        <w:instrText xml:space="preserve"> </w:instrText>
      </w:r>
      <w:r w:rsidR="004810E5">
        <w:rPr>
          <w:rFonts w:cs="Times New Roman"/>
          <w:szCs w:val="24"/>
          <w:lang w:val="en-US"/>
        </w:rPr>
        <w:instrText>at</w:instrText>
      </w:r>
      <w:r w:rsidR="004810E5" w:rsidRPr="00E93A18">
        <w:rPr>
          <w:rFonts w:cs="Times New Roman"/>
          <w:szCs w:val="24"/>
        </w:rPr>
        <w:instrText xml:space="preserve"> </w:instrText>
      </w:r>
      <w:r w:rsidR="004810E5">
        <w:rPr>
          <w:rFonts w:cs="Times New Roman"/>
          <w:szCs w:val="24"/>
          <w:lang w:val="en-US"/>
        </w:rPr>
        <w:instrText>the</w:instrText>
      </w:r>
      <w:r w:rsidR="004810E5" w:rsidRPr="00E93A18">
        <w:rPr>
          <w:rFonts w:cs="Times New Roman"/>
          <w:szCs w:val="24"/>
        </w:rPr>
        <w:instrText xml:space="preserve"> </w:instrText>
      </w:r>
      <w:r w:rsidR="004810E5">
        <w:rPr>
          <w:rFonts w:cs="Times New Roman"/>
          <w:szCs w:val="24"/>
          <w:lang w:val="en-US"/>
        </w:rPr>
        <w:instrText>time</w:instrText>
      </w:r>
      <w:r w:rsidR="004810E5" w:rsidRPr="00E93A18">
        <w:rPr>
          <w:rFonts w:cs="Times New Roman"/>
          <w:szCs w:val="24"/>
        </w:rPr>
        <w:instrText xml:space="preserve"> </w:instrText>
      </w:r>
      <w:r w:rsidR="004810E5">
        <w:rPr>
          <w:rFonts w:cs="Times New Roman"/>
          <w:szCs w:val="24"/>
          <w:lang w:val="en-US"/>
        </w:rPr>
        <w:instrText>of</w:instrText>
      </w:r>
      <w:r w:rsidR="004810E5" w:rsidRPr="00E93A18">
        <w:rPr>
          <w:rFonts w:cs="Times New Roman"/>
          <w:szCs w:val="24"/>
        </w:rPr>
        <w:instrText xml:space="preserve"> </w:instrText>
      </w:r>
      <w:r w:rsidR="004810E5">
        <w:rPr>
          <w:rFonts w:cs="Times New Roman"/>
          <w:szCs w:val="24"/>
          <w:lang w:val="en-US"/>
        </w:rPr>
        <w:instrText>transplantation</w:instrText>
      </w:r>
      <w:r w:rsidR="004810E5" w:rsidRPr="00E93A18">
        <w:rPr>
          <w:rFonts w:cs="Times New Roman"/>
          <w:szCs w:val="24"/>
        </w:rPr>
        <w:instrText xml:space="preserve">, </w:instrText>
      </w:r>
      <w:r w:rsidR="004810E5">
        <w:rPr>
          <w:rFonts w:cs="Times New Roman"/>
          <w:szCs w:val="24"/>
          <w:lang w:val="en-US"/>
        </w:rPr>
        <w:instrText>there</w:instrText>
      </w:r>
      <w:r w:rsidR="004810E5" w:rsidRPr="00E93A18">
        <w:rPr>
          <w:rFonts w:cs="Times New Roman"/>
          <w:szCs w:val="24"/>
        </w:rPr>
        <w:instrText xml:space="preserve"> </w:instrText>
      </w:r>
      <w:r w:rsidR="004810E5">
        <w:rPr>
          <w:rFonts w:cs="Times New Roman"/>
          <w:szCs w:val="24"/>
          <w:lang w:val="en-US"/>
        </w:rPr>
        <w:instrText>is</w:instrText>
      </w:r>
      <w:r w:rsidR="004810E5" w:rsidRPr="00E93A18">
        <w:rPr>
          <w:rFonts w:cs="Times New Roman"/>
          <w:szCs w:val="24"/>
        </w:rPr>
        <w:instrText xml:space="preserve"> </w:instrText>
      </w:r>
      <w:r w:rsidR="004810E5">
        <w:rPr>
          <w:rFonts w:cs="Times New Roman"/>
          <w:szCs w:val="24"/>
          <w:lang w:val="en-US"/>
        </w:rPr>
        <w:instrText>a</w:instrText>
      </w:r>
      <w:r w:rsidR="004810E5" w:rsidRPr="00E93A18">
        <w:rPr>
          <w:rFonts w:cs="Times New Roman"/>
          <w:szCs w:val="24"/>
        </w:rPr>
        <w:instrText xml:space="preserve"> </w:instrText>
      </w:r>
      <w:r w:rsidR="004810E5">
        <w:rPr>
          <w:rFonts w:cs="Times New Roman"/>
          <w:szCs w:val="24"/>
          <w:lang w:val="en-US"/>
        </w:rPr>
        <w:instrText>significant</w:instrText>
      </w:r>
      <w:r w:rsidR="004810E5" w:rsidRPr="00E93A18">
        <w:rPr>
          <w:rFonts w:cs="Times New Roman"/>
          <w:szCs w:val="24"/>
        </w:rPr>
        <w:instrText xml:space="preserve"> </w:instrText>
      </w:r>
      <w:r w:rsidR="004810E5">
        <w:rPr>
          <w:rFonts w:cs="Times New Roman"/>
          <w:szCs w:val="24"/>
          <w:lang w:val="en-US"/>
        </w:rPr>
        <w:instrText>difference</w:instrText>
      </w:r>
      <w:r w:rsidR="004810E5" w:rsidRPr="00E93A18">
        <w:rPr>
          <w:rFonts w:cs="Times New Roman"/>
          <w:szCs w:val="24"/>
        </w:rPr>
        <w:instrText xml:space="preserve"> </w:instrText>
      </w:r>
      <w:r w:rsidR="004810E5">
        <w:rPr>
          <w:rFonts w:cs="Times New Roman"/>
          <w:szCs w:val="24"/>
          <w:lang w:val="en-US"/>
        </w:rPr>
        <w:instrText>in</w:instrText>
      </w:r>
      <w:r w:rsidR="004810E5" w:rsidRPr="00E93A18">
        <w:rPr>
          <w:rFonts w:cs="Times New Roman"/>
          <w:szCs w:val="24"/>
        </w:rPr>
        <w:instrText xml:space="preserve"> </w:instrText>
      </w:r>
      <w:r w:rsidR="004810E5">
        <w:rPr>
          <w:rFonts w:cs="Times New Roman"/>
          <w:szCs w:val="24"/>
          <w:lang w:val="en-US"/>
        </w:rPr>
        <w:instrText>the</w:instrText>
      </w:r>
      <w:r w:rsidR="004810E5" w:rsidRPr="00E93A18">
        <w:rPr>
          <w:rFonts w:cs="Times New Roman"/>
          <w:szCs w:val="24"/>
        </w:rPr>
        <w:instrText xml:space="preserve"> </w:instrText>
      </w:r>
      <w:r w:rsidR="004810E5">
        <w:rPr>
          <w:rFonts w:cs="Times New Roman"/>
          <w:szCs w:val="24"/>
          <w:lang w:val="en-US"/>
        </w:rPr>
        <w:instrText>actuarial</w:instrText>
      </w:r>
      <w:r w:rsidR="004810E5" w:rsidRPr="00E93A18">
        <w:rPr>
          <w:rFonts w:cs="Times New Roman"/>
          <w:szCs w:val="24"/>
        </w:rPr>
        <w:instrText xml:space="preserve"> </w:instrText>
      </w:r>
      <w:r w:rsidR="004810E5">
        <w:rPr>
          <w:rFonts w:cs="Times New Roman"/>
          <w:szCs w:val="24"/>
          <w:lang w:val="en-US"/>
        </w:rPr>
        <w:instrText>progression</w:instrText>
      </w:r>
      <w:r w:rsidR="004810E5" w:rsidRPr="00E93A18">
        <w:rPr>
          <w:rFonts w:cs="Times New Roman"/>
          <w:szCs w:val="24"/>
        </w:rPr>
        <w:instrText>-</w:instrText>
      </w:r>
      <w:r w:rsidR="004810E5">
        <w:rPr>
          <w:rFonts w:cs="Times New Roman"/>
          <w:szCs w:val="24"/>
          <w:lang w:val="en-US"/>
        </w:rPr>
        <w:instrText>free</w:instrText>
      </w:r>
      <w:r w:rsidR="004810E5" w:rsidRPr="00E93A18">
        <w:rPr>
          <w:rFonts w:cs="Times New Roman"/>
          <w:szCs w:val="24"/>
        </w:rPr>
        <w:instrText xml:space="preserve"> </w:instrText>
      </w:r>
      <w:r w:rsidR="004810E5">
        <w:rPr>
          <w:rFonts w:cs="Times New Roman"/>
          <w:szCs w:val="24"/>
          <w:lang w:val="en-US"/>
        </w:rPr>
        <w:instrText>survival</w:instrText>
      </w:r>
      <w:r w:rsidR="004810E5" w:rsidRPr="00E93A18">
        <w:rPr>
          <w:rFonts w:cs="Times New Roman"/>
          <w:szCs w:val="24"/>
        </w:rPr>
        <w:instrText xml:space="preserve"> </w:instrText>
      </w:r>
      <w:r w:rsidR="004810E5">
        <w:rPr>
          <w:rFonts w:cs="Times New Roman"/>
          <w:szCs w:val="24"/>
          <w:lang w:val="en-US"/>
        </w:rPr>
        <w:instrText>rates</w:instrText>
      </w:r>
      <w:r w:rsidR="004810E5" w:rsidRPr="00E93A18">
        <w:rPr>
          <w:rFonts w:cs="Times New Roman"/>
          <w:szCs w:val="24"/>
        </w:rPr>
        <w:instrText xml:space="preserve"> </w:instrText>
      </w:r>
      <w:r w:rsidR="004810E5">
        <w:rPr>
          <w:rFonts w:cs="Times New Roman"/>
          <w:szCs w:val="24"/>
          <w:lang w:val="en-US"/>
        </w:rPr>
        <w:instrText>for</w:instrText>
      </w:r>
      <w:r w:rsidR="004810E5" w:rsidRPr="00E93A18">
        <w:rPr>
          <w:rFonts w:cs="Times New Roman"/>
          <w:szCs w:val="24"/>
        </w:rPr>
        <w:instrText xml:space="preserve"> </w:instrText>
      </w:r>
      <w:r w:rsidR="004810E5">
        <w:rPr>
          <w:rFonts w:cs="Times New Roman"/>
          <w:szCs w:val="24"/>
          <w:lang w:val="en-US"/>
        </w:rPr>
        <w:instrText>those</w:instrText>
      </w:r>
      <w:r w:rsidR="004810E5" w:rsidRPr="00E93A18">
        <w:rPr>
          <w:rFonts w:cs="Times New Roman"/>
          <w:szCs w:val="24"/>
        </w:rPr>
        <w:instrText xml:space="preserve"> </w:instrText>
      </w:r>
      <w:r w:rsidR="004810E5">
        <w:rPr>
          <w:rFonts w:cs="Times New Roman"/>
          <w:szCs w:val="24"/>
          <w:lang w:val="en-US"/>
        </w:rPr>
        <w:instrText>who</w:instrText>
      </w:r>
      <w:r w:rsidR="004810E5" w:rsidRPr="00E93A18">
        <w:rPr>
          <w:rFonts w:cs="Times New Roman"/>
          <w:szCs w:val="24"/>
        </w:rPr>
        <w:instrText xml:space="preserve"> </w:instrText>
      </w:r>
      <w:r w:rsidR="004810E5">
        <w:rPr>
          <w:rFonts w:cs="Times New Roman"/>
          <w:szCs w:val="24"/>
          <w:lang w:val="en-US"/>
        </w:rPr>
        <w:instrText>received</w:instrText>
      </w:r>
      <w:r w:rsidR="004810E5" w:rsidRPr="00E93A18">
        <w:rPr>
          <w:rFonts w:cs="Times New Roman"/>
          <w:szCs w:val="24"/>
        </w:rPr>
        <w:instrText xml:space="preserve"> </w:instrText>
      </w:r>
      <w:r w:rsidR="004810E5">
        <w:rPr>
          <w:rFonts w:cs="Times New Roman"/>
          <w:szCs w:val="24"/>
          <w:lang w:val="en-US"/>
        </w:rPr>
        <w:instrText>high</w:instrText>
      </w:r>
      <w:r w:rsidR="004810E5" w:rsidRPr="00E93A18">
        <w:rPr>
          <w:rFonts w:cs="Times New Roman"/>
          <w:szCs w:val="24"/>
        </w:rPr>
        <w:instrText>-</w:instrText>
      </w:r>
      <w:r w:rsidR="004810E5">
        <w:rPr>
          <w:rFonts w:cs="Times New Roman"/>
          <w:szCs w:val="24"/>
          <w:lang w:val="en-US"/>
        </w:rPr>
        <w:instrText>dose</w:instrText>
      </w:r>
      <w:r w:rsidR="004810E5" w:rsidRPr="00E93A18">
        <w:rPr>
          <w:rFonts w:cs="Times New Roman"/>
          <w:szCs w:val="24"/>
        </w:rPr>
        <w:instrText xml:space="preserve"> </w:instrText>
      </w:r>
      <w:r w:rsidR="004810E5">
        <w:rPr>
          <w:rFonts w:cs="Times New Roman"/>
          <w:szCs w:val="24"/>
          <w:lang w:val="en-US"/>
        </w:rPr>
        <w:instrText>therapy</w:instrText>
      </w:r>
      <w:r w:rsidR="004810E5" w:rsidRPr="00E93A18">
        <w:rPr>
          <w:rFonts w:cs="Times New Roman"/>
          <w:szCs w:val="24"/>
        </w:rPr>
        <w:instrText xml:space="preserve"> </w:instrText>
      </w:r>
      <w:r w:rsidR="004810E5">
        <w:rPr>
          <w:rFonts w:cs="Times New Roman"/>
          <w:szCs w:val="24"/>
          <w:lang w:val="en-US"/>
        </w:rPr>
        <w:instrText>after</w:instrText>
      </w:r>
      <w:r w:rsidR="004810E5" w:rsidRPr="00E93A18">
        <w:rPr>
          <w:rFonts w:cs="Times New Roman"/>
          <w:szCs w:val="24"/>
        </w:rPr>
        <w:instrText xml:space="preserve"> </w:instrText>
      </w:r>
      <w:r w:rsidR="004810E5">
        <w:rPr>
          <w:rFonts w:cs="Times New Roman"/>
          <w:szCs w:val="24"/>
          <w:lang w:val="en-US"/>
        </w:rPr>
        <w:instrText>attaining</w:instrText>
      </w:r>
      <w:r w:rsidR="004810E5" w:rsidRPr="00E93A18">
        <w:rPr>
          <w:rFonts w:cs="Times New Roman"/>
          <w:szCs w:val="24"/>
        </w:rPr>
        <w:instrText xml:space="preserve"> </w:instrText>
      </w:r>
      <w:r w:rsidR="004810E5">
        <w:rPr>
          <w:rFonts w:cs="Times New Roman"/>
          <w:szCs w:val="24"/>
          <w:lang w:val="en-US"/>
        </w:rPr>
        <w:instrText>a</w:instrText>
      </w:r>
      <w:r w:rsidR="004810E5" w:rsidRPr="00E93A18">
        <w:rPr>
          <w:rFonts w:cs="Times New Roman"/>
          <w:szCs w:val="24"/>
        </w:rPr>
        <w:instrText xml:space="preserve"> </w:instrText>
      </w:r>
      <w:r w:rsidR="004810E5">
        <w:rPr>
          <w:rFonts w:cs="Times New Roman"/>
          <w:szCs w:val="24"/>
          <w:lang w:val="en-US"/>
        </w:rPr>
        <w:instrText>partial</w:instrText>
      </w:r>
      <w:r w:rsidR="004810E5" w:rsidRPr="00E93A18">
        <w:rPr>
          <w:rFonts w:cs="Times New Roman"/>
          <w:szCs w:val="24"/>
        </w:rPr>
        <w:instrText xml:space="preserve"> </w:instrText>
      </w:r>
      <w:r w:rsidR="004810E5">
        <w:rPr>
          <w:rFonts w:cs="Times New Roman"/>
          <w:szCs w:val="24"/>
          <w:lang w:val="en-US"/>
        </w:rPr>
        <w:instrText>response</w:instrText>
      </w:r>
      <w:r w:rsidR="004810E5" w:rsidRPr="00E93A18">
        <w:rPr>
          <w:rFonts w:cs="Times New Roman"/>
          <w:szCs w:val="24"/>
        </w:rPr>
        <w:instrText xml:space="preserve"> </w:instrText>
      </w:r>
      <w:r w:rsidR="004810E5">
        <w:rPr>
          <w:rFonts w:cs="Times New Roman"/>
          <w:szCs w:val="24"/>
          <w:lang w:val="en-US"/>
        </w:rPr>
        <w:instrText>to</w:instrText>
      </w:r>
      <w:r w:rsidR="004810E5" w:rsidRPr="00E93A18">
        <w:rPr>
          <w:rFonts w:cs="Times New Roman"/>
          <w:szCs w:val="24"/>
        </w:rPr>
        <w:instrText xml:space="preserve"> </w:instrText>
      </w:r>
      <w:r w:rsidR="004810E5">
        <w:rPr>
          <w:rFonts w:cs="Times New Roman"/>
          <w:szCs w:val="24"/>
          <w:lang w:val="en-US"/>
        </w:rPr>
        <w:instrText>first</w:instrText>
      </w:r>
      <w:r w:rsidR="004810E5" w:rsidRPr="00E93A18">
        <w:rPr>
          <w:rFonts w:cs="Times New Roman"/>
          <w:szCs w:val="24"/>
        </w:rPr>
        <w:instrText>-</w:instrText>
      </w:r>
      <w:r w:rsidR="004810E5">
        <w:rPr>
          <w:rFonts w:cs="Times New Roman"/>
          <w:szCs w:val="24"/>
          <w:lang w:val="en-US"/>
        </w:rPr>
        <w:instrText>line</w:instrText>
      </w:r>
      <w:r w:rsidR="004810E5" w:rsidRPr="00E93A18">
        <w:rPr>
          <w:rFonts w:cs="Times New Roman"/>
          <w:szCs w:val="24"/>
        </w:rPr>
        <w:instrText xml:space="preserve"> </w:instrText>
      </w:r>
      <w:r w:rsidR="004810E5">
        <w:rPr>
          <w:rFonts w:cs="Times New Roman"/>
          <w:szCs w:val="24"/>
          <w:lang w:val="en-US"/>
        </w:rPr>
        <w:instrText>therapy</w:instrText>
      </w:r>
      <w:r w:rsidR="004810E5" w:rsidRPr="00E93A18">
        <w:rPr>
          <w:rFonts w:cs="Times New Roman"/>
          <w:szCs w:val="24"/>
        </w:rPr>
        <w:instrText xml:space="preserve"> (69% </w:instrText>
      </w:r>
      <w:r w:rsidR="004810E5">
        <w:rPr>
          <w:rFonts w:cs="Times New Roman"/>
          <w:szCs w:val="24"/>
          <w:lang w:val="en-US"/>
        </w:rPr>
        <w:instrText>at</w:instrText>
      </w:r>
      <w:r w:rsidR="004810E5" w:rsidRPr="00E93A18">
        <w:rPr>
          <w:rFonts w:cs="Times New Roman"/>
          <w:szCs w:val="24"/>
        </w:rPr>
        <w:instrText xml:space="preserve"> 5 </w:instrText>
      </w:r>
      <w:r w:rsidR="004810E5">
        <w:rPr>
          <w:rFonts w:cs="Times New Roman"/>
          <w:szCs w:val="24"/>
          <w:lang w:val="en-US"/>
        </w:rPr>
        <w:instrText>years</w:instrText>
      </w:r>
      <w:r w:rsidR="004810E5" w:rsidRPr="00E93A18">
        <w:rPr>
          <w:rFonts w:cs="Times New Roman"/>
          <w:szCs w:val="24"/>
        </w:rPr>
        <w:instrText xml:space="preserve">) </w:instrText>
      </w:r>
      <w:r w:rsidR="004810E5">
        <w:rPr>
          <w:rFonts w:cs="Times New Roman"/>
          <w:szCs w:val="24"/>
          <w:lang w:val="en-US"/>
        </w:rPr>
        <w:instrText>as</w:instrText>
      </w:r>
      <w:r w:rsidR="004810E5" w:rsidRPr="00E93A18">
        <w:rPr>
          <w:rFonts w:cs="Times New Roman"/>
          <w:szCs w:val="24"/>
        </w:rPr>
        <w:instrText xml:space="preserve"> </w:instrText>
      </w:r>
      <w:r w:rsidR="004810E5">
        <w:rPr>
          <w:rFonts w:cs="Times New Roman"/>
          <w:szCs w:val="24"/>
          <w:lang w:val="en-US"/>
        </w:rPr>
        <w:instrText>compared</w:instrText>
      </w:r>
      <w:r w:rsidR="004810E5" w:rsidRPr="00E93A18">
        <w:rPr>
          <w:rFonts w:cs="Times New Roman"/>
          <w:szCs w:val="24"/>
        </w:rPr>
        <w:instrText xml:space="preserve"> </w:instrText>
      </w:r>
      <w:r w:rsidR="004810E5">
        <w:rPr>
          <w:rFonts w:cs="Times New Roman"/>
          <w:szCs w:val="24"/>
          <w:lang w:val="en-US"/>
        </w:rPr>
        <w:instrText>with</w:instrText>
      </w:r>
      <w:r w:rsidR="004810E5" w:rsidRPr="00E93A18">
        <w:rPr>
          <w:rFonts w:cs="Times New Roman"/>
          <w:szCs w:val="24"/>
        </w:rPr>
        <w:instrText xml:space="preserve"> </w:instrText>
      </w:r>
      <w:r w:rsidR="004810E5">
        <w:rPr>
          <w:rFonts w:cs="Times New Roman"/>
          <w:szCs w:val="24"/>
          <w:lang w:val="en-US"/>
        </w:rPr>
        <w:instrText>those</w:instrText>
      </w:r>
      <w:r w:rsidR="004810E5" w:rsidRPr="00E93A18">
        <w:rPr>
          <w:rFonts w:cs="Times New Roman"/>
          <w:szCs w:val="24"/>
        </w:rPr>
        <w:instrText xml:space="preserve"> </w:instrText>
      </w:r>
      <w:r w:rsidR="004810E5">
        <w:rPr>
          <w:rFonts w:cs="Times New Roman"/>
          <w:szCs w:val="24"/>
          <w:lang w:val="en-US"/>
        </w:rPr>
        <w:instrText>with</w:instrText>
      </w:r>
      <w:r w:rsidR="004810E5" w:rsidRPr="00E93A18">
        <w:rPr>
          <w:rFonts w:cs="Times New Roman"/>
          <w:szCs w:val="24"/>
        </w:rPr>
        <w:instrText xml:space="preserve"> </w:instrText>
      </w:r>
      <w:r w:rsidR="004810E5">
        <w:rPr>
          <w:rFonts w:cs="Times New Roman"/>
          <w:szCs w:val="24"/>
          <w:lang w:val="en-US"/>
        </w:rPr>
        <w:instrText>sensitive</w:instrText>
      </w:r>
      <w:r w:rsidR="004810E5" w:rsidRPr="00E93A18">
        <w:rPr>
          <w:rFonts w:cs="Times New Roman"/>
          <w:szCs w:val="24"/>
        </w:rPr>
        <w:instrText xml:space="preserve"> </w:instrText>
      </w:r>
      <w:r w:rsidR="004810E5">
        <w:rPr>
          <w:rFonts w:cs="Times New Roman"/>
          <w:szCs w:val="24"/>
          <w:lang w:val="en-US"/>
        </w:rPr>
        <w:instrText>but</w:instrText>
      </w:r>
      <w:r w:rsidR="004810E5" w:rsidRPr="00E93A18">
        <w:rPr>
          <w:rFonts w:cs="Times New Roman"/>
          <w:szCs w:val="24"/>
        </w:rPr>
        <w:instrText xml:space="preserve"> </w:instrText>
      </w:r>
      <w:r w:rsidR="004810E5">
        <w:rPr>
          <w:rFonts w:cs="Times New Roman"/>
          <w:szCs w:val="24"/>
          <w:lang w:val="en-US"/>
        </w:rPr>
        <w:instrText>relapsed</w:instrText>
      </w:r>
      <w:r w:rsidR="004810E5" w:rsidRPr="00E93A18">
        <w:rPr>
          <w:rFonts w:cs="Times New Roman"/>
          <w:szCs w:val="24"/>
        </w:rPr>
        <w:instrText xml:space="preserve"> </w:instrText>
      </w:r>
      <w:r w:rsidR="004810E5">
        <w:rPr>
          <w:rFonts w:cs="Times New Roman"/>
          <w:szCs w:val="24"/>
          <w:lang w:val="en-US"/>
        </w:rPr>
        <w:instrText>disease</w:instrText>
      </w:r>
      <w:r w:rsidR="004810E5" w:rsidRPr="00E93A18">
        <w:rPr>
          <w:rFonts w:cs="Times New Roman"/>
          <w:szCs w:val="24"/>
        </w:rPr>
        <w:instrText xml:space="preserve"> (32% </w:instrText>
      </w:r>
      <w:r w:rsidR="004810E5">
        <w:rPr>
          <w:rFonts w:cs="Times New Roman"/>
          <w:szCs w:val="24"/>
          <w:lang w:val="en-US"/>
        </w:rPr>
        <w:instrText>at</w:instrText>
      </w:r>
      <w:r w:rsidR="004810E5" w:rsidRPr="00E93A18">
        <w:rPr>
          <w:rFonts w:cs="Times New Roman"/>
          <w:szCs w:val="24"/>
        </w:rPr>
        <w:instrText xml:space="preserve"> 5 </w:instrText>
      </w:r>
      <w:r w:rsidR="004810E5">
        <w:rPr>
          <w:rFonts w:cs="Times New Roman"/>
          <w:szCs w:val="24"/>
          <w:lang w:val="en-US"/>
        </w:rPr>
        <w:instrText>years</w:instrText>
      </w:r>
      <w:r w:rsidR="004810E5" w:rsidRPr="00E93A18">
        <w:rPr>
          <w:rFonts w:cs="Times New Roman"/>
          <w:szCs w:val="24"/>
        </w:rPr>
        <w:instrText>) (</w:instrText>
      </w:r>
      <w:r w:rsidR="004810E5">
        <w:rPr>
          <w:rFonts w:cs="Times New Roman"/>
          <w:szCs w:val="24"/>
          <w:lang w:val="en-US"/>
        </w:rPr>
        <w:instrText>P</w:instrText>
      </w:r>
      <w:r w:rsidR="004810E5" w:rsidRPr="00E93A18">
        <w:rPr>
          <w:rFonts w:cs="Times New Roman"/>
          <w:szCs w:val="24"/>
        </w:rPr>
        <w:instrText xml:space="preserve"> = .003). </w:instrText>
      </w:r>
      <w:r w:rsidR="004810E5">
        <w:rPr>
          <w:rFonts w:cs="Times New Roman"/>
          <w:szCs w:val="24"/>
          <w:lang w:val="en-US"/>
        </w:rPr>
        <w:instrText>CONCLUSION</w:instrText>
      </w:r>
      <w:r w:rsidR="004810E5" w:rsidRPr="00E93A18">
        <w:rPr>
          <w:rFonts w:cs="Times New Roman"/>
          <w:szCs w:val="24"/>
        </w:rPr>
        <w:instrText xml:space="preserve"> </w:instrText>
      </w:r>
      <w:r w:rsidR="004810E5">
        <w:rPr>
          <w:rFonts w:cs="Times New Roman"/>
          <w:szCs w:val="24"/>
          <w:lang w:val="en-US"/>
        </w:rPr>
        <w:instrText>Patients</w:instrText>
      </w:r>
      <w:r w:rsidR="004810E5" w:rsidRPr="00E93A18">
        <w:rPr>
          <w:rFonts w:cs="Times New Roman"/>
          <w:szCs w:val="24"/>
        </w:rPr>
        <w:instrText xml:space="preserve"> </w:instrText>
      </w:r>
      <w:r w:rsidR="004810E5">
        <w:rPr>
          <w:rFonts w:cs="Times New Roman"/>
          <w:szCs w:val="24"/>
          <w:lang w:val="en-US"/>
        </w:rPr>
        <w:instrText>with</w:instrText>
      </w:r>
      <w:r w:rsidR="004810E5" w:rsidRPr="00E93A18">
        <w:rPr>
          <w:rFonts w:cs="Times New Roman"/>
          <w:szCs w:val="24"/>
        </w:rPr>
        <w:instrText xml:space="preserve"> </w:instrText>
      </w:r>
      <w:r w:rsidR="004810E5">
        <w:rPr>
          <w:rFonts w:cs="Times New Roman"/>
          <w:szCs w:val="24"/>
          <w:lang w:val="en-US"/>
        </w:rPr>
        <w:instrText>chemosensitive</w:instrText>
      </w:r>
      <w:r w:rsidR="004810E5" w:rsidRPr="00E93A18">
        <w:rPr>
          <w:rFonts w:cs="Times New Roman"/>
          <w:szCs w:val="24"/>
        </w:rPr>
        <w:instrText xml:space="preserve"> </w:instrText>
      </w:r>
      <w:r w:rsidR="004810E5">
        <w:rPr>
          <w:rFonts w:cs="Times New Roman"/>
          <w:szCs w:val="24"/>
          <w:lang w:val="en-US"/>
        </w:rPr>
        <w:instrText>disease</w:instrText>
      </w:r>
      <w:r w:rsidR="004810E5" w:rsidRPr="00E93A18">
        <w:rPr>
          <w:rFonts w:cs="Times New Roman"/>
          <w:szCs w:val="24"/>
        </w:rPr>
        <w:instrText xml:space="preserve"> </w:instrText>
      </w:r>
      <w:r w:rsidR="004810E5">
        <w:rPr>
          <w:rFonts w:cs="Times New Roman"/>
          <w:szCs w:val="24"/>
          <w:lang w:val="en-US"/>
        </w:rPr>
        <w:instrText>benefit</w:instrText>
      </w:r>
      <w:r w:rsidR="004810E5" w:rsidRPr="00E93A18">
        <w:rPr>
          <w:rFonts w:cs="Times New Roman"/>
          <w:szCs w:val="24"/>
        </w:rPr>
        <w:instrText xml:space="preserve"> </w:instrText>
      </w:r>
      <w:r w:rsidR="004810E5">
        <w:rPr>
          <w:rFonts w:cs="Times New Roman"/>
          <w:szCs w:val="24"/>
          <w:lang w:val="en-US"/>
        </w:rPr>
        <w:instrText>most</w:instrText>
      </w:r>
      <w:r w:rsidR="004810E5" w:rsidRPr="00E93A18">
        <w:rPr>
          <w:rFonts w:cs="Times New Roman"/>
          <w:szCs w:val="24"/>
        </w:rPr>
        <w:instrText xml:space="preserve"> </w:instrText>
      </w:r>
      <w:r w:rsidR="004810E5">
        <w:rPr>
          <w:rFonts w:cs="Times New Roman"/>
          <w:szCs w:val="24"/>
          <w:lang w:val="en-US"/>
        </w:rPr>
        <w:instrText>from</w:instrText>
      </w:r>
      <w:r w:rsidR="004810E5" w:rsidRPr="00E93A18">
        <w:rPr>
          <w:rFonts w:cs="Times New Roman"/>
          <w:szCs w:val="24"/>
        </w:rPr>
        <w:instrText xml:space="preserve"> </w:instrText>
      </w:r>
      <w:r w:rsidR="004810E5">
        <w:rPr>
          <w:rFonts w:cs="Times New Roman"/>
          <w:szCs w:val="24"/>
          <w:lang w:val="en-US"/>
        </w:rPr>
        <w:instrText>high</w:instrText>
      </w:r>
      <w:r w:rsidR="004810E5" w:rsidRPr="00E93A18">
        <w:rPr>
          <w:rFonts w:cs="Times New Roman"/>
          <w:szCs w:val="24"/>
        </w:rPr>
        <w:instrText>-</w:instrText>
      </w:r>
      <w:r w:rsidR="004810E5">
        <w:rPr>
          <w:rFonts w:cs="Times New Roman"/>
          <w:szCs w:val="24"/>
          <w:lang w:val="en-US"/>
        </w:rPr>
        <w:instrText>dose</w:instrText>
      </w:r>
      <w:r w:rsidR="004810E5" w:rsidRPr="00E93A18">
        <w:rPr>
          <w:rFonts w:cs="Times New Roman"/>
          <w:szCs w:val="24"/>
        </w:rPr>
        <w:instrText xml:space="preserve"> </w:instrText>
      </w:r>
      <w:r w:rsidR="004810E5">
        <w:rPr>
          <w:rFonts w:cs="Times New Roman"/>
          <w:szCs w:val="24"/>
          <w:lang w:val="en-US"/>
        </w:rPr>
        <w:instrText>chemotherapy</w:instrText>
      </w:r>
      <w:r w:rsidR="004810E5" w:rsidRPr="00E93A18">
        <w:rPr>
          <w:rFonts w:cs="Times New Roman"/>
          <w:szCs w:val="24"/>
        </w:rPr>
        <w:instrText xml:space="preserve">, </w:instrText>
      </w:r>
      <w:r w:rsidR="004810E5">
        <w:rPr>
          <w:rFonts w:cs="Times New Roman"/>
          <w:szCs w:val="24"/>
          <w:lang w:val="en-US"/>
        </w:rPr>
        <w:instrText>and</w:instrText>
      </w:r>
      <w:r w:rsidR="004810E5" w:rsidRPr="00E93A18">
        <w:rPr>
          <w:rFonts w:cs="Times New Roman"/>
          <w:szCs w:val="24"/>
        </w:rPr>
        <w:instrText xml:space="preserve"> </w:instrText>
      </w:r>
      <w:r w:rsidR="004810E5">
        <w:rPr>
          <w:rFonts w:cs="Times New Roman"/>
          <w:szCs w:val="24"/>
          <w:lang w:val="en-US"/>
        </w:rPr>
        <w:instrText>those</w:instrText>
      </w:r>
      <w:r w:rsidR="004810E5" w:rsidRPr="00E93A18">
        <w:rPr>
          <w:rFonts w:cs="Times New Roman"/>
          <w:szCs w:val="24"/>
        </w:rPr>
        <w:instrText xml:space="preserve"> </w:instrText>
      </w:r>
      <w:r w:rsidR="004810E5">
        <w:rPr>
          <w:rFonts w:cs="Times New Roman"/>
          <w:szCs w:val="24"/>
          <w:lang w:val="en-US"/>
        </w:rPr>
        <w:instrText>who</w:instrText>
      </w:r>
      <w:r w:rsidR="004810E5" w:rsidRPr="00E93A18">
        <w:rPr>
          <w:rFonts w:cs="Times New Roman"/>
          <w:szCs w:val="24"/>
        </w:rPr>
        <w:instrText xml:space="preserve"> </w:instrText>
      </w:r>
      <w:r w:rsidR="004810E5">
        <w:rPr>
          <w:rFonts w:cs="Times New Roman"/>
          <w:szCs w:val="24"/>
          <w:lang w:val="en-US"/>
        </w:rPr>
        <w:instrText>receive</w:instrText>
      </w:r>
      <w:r w:rsidR="004810E5" w:rsidRPr="00E93A18">
        <w:rPr>
          <w:rFonts w:cs="Times New Roman"/>
          <w:szCs w:val="24"/>
        </w:rPr>
        <w:instrText xml:space="preserve"> </w:instrText>
      </w:r>
      <w:r w:rsidR="004810E5">
        <w:rPr>
          <w:rFonts w:cs="Times New Roman"/>
          <w:szCs w:val="24"/>
          <w:lang w:val="en-US"/>
        </w:rPr>
        <w:instrText>such</w:instrText>
      </w:r>
      <w:r w:rsidR="004810E5" w:rsidRPr="00E93A18">
        <w:rPr>
          <w:rFonts w:cs="Times New Roman"/>
          <w:szCs w:val="24"/>
        </w:rPr>
        <w:instrText xml:space="preserve"> </w:instrText>
      </w:r>
      <w:r w:rsidR="004810E5">
        <w:rPr>
          <w:rFonts w:cs="Times New Roman"/>
          <w:szCs w:val="24"/>
          <w:lang w:val="en-US"/>
        </w:rPr>
        <w:instrText>therapy</w:instrText>
      </w:r>
      <w:r w:rsidR="004810E5" w:rsidRPr="00E93A18">
        <w:rPr>
          <w:rFonts w:cs="Times New Roman"/>
          <w:szCs w:val="24"/>
        </w:rPr>
        <w:instrText xml:space="preserve"> </w:instrText>
      </w:r>
      <w:r w:rsidR="004810E5">
        <w:rPr>
          <w:rFonts w:cs="Times New Roman"/>
          <w:szCs w:val="24"/>
          <w:lang w:val="en-US"/>
        </w:rPr>
        <w:instrText>early</w:instrText>
      </w:r>
      <w:r w:rsidR="004810E5" w:rsidRPr="00E93A18">
        <w:rPr>
          <w:rFonts w:cs="Times New Roman"/>
          <w:szCs w:val="24"/>
        </w:rPr>
        <w:instrText xml:space="preserve"> </w:instrText>
      </w:r>
      <w:r w:rsidR="004810E5">
        <w:rPr>
          <w:rFonts w:cs="Times New Roman"/>
          <w:szCs w:val="24"/>
          <w:lang w:val="en-US"/>
        </w:rPr>
        <w:instrText>after</w:instrText>
      </w:r>
      <w:r w:rsidR="004810E5" w:rsidRPr="00E93A18">
        <w:rPr>
          <w:rFonts w:cs="Times New Roman"/>
          <w:szCs w:val="24"/>
        </w:rPr>
        <w:instrText xml:space="preserve"> </w:instrText>
      </w:r>
      <w:r w:rsidR="004810E5">
        <w:rPr>
          <w:rFonts w:cs="Times New Roman"/>
          <w:szCs w:val="24"/>
          <w:lang w:val="en-US"/>
        </w:rPr>
        <w:instrText>achieving</w:instrText>
      </w:r>
      <w:r w:rsidR="004810E5" w:rsidRPr="00E93A18">
        <w:rPr>
          <w:rFonts w:cs="Times New Roman"/>
          <w:szCs w:val="24"/>
        </w:rPr>
        <w:instrText xml:space="preserve"> </w:instrText>
      </w:r>
      <w:r w:rsidR="004810E5">
        <w:rPr>
          <w:rFonts w:cs="Times New Roman"/>
          <w:szCs w:val="24"/>
          <w:lang w:val="en-US"/>
        </w:rPr>
        <w:instrText>a</w:instrText>
      </w:r>
      <w:r w:rsidR="004810E5" w:rsidRPr="00E93A18">
        <w:rPr>
          <w:rFonts w:cs="Times New Roman"/>
          <w:szCs w:val="24"/>
        </w:rPr>
        <w:instrText xml:space="preserve"> </w:instrText>
      </w:r>
      <w:r w:rsidR="004810E5">
        <w:rPr>
          <w:rFonts w:cs="Times New Roman"/>
          <w:szCs w:val="24"/>
          <w:lang w:val="en-US"/>
        </w:rPr>
        <w:instrText>partial</w:instrText>
      </w:r>
      <w:r w:rsidR="004810E5" w:rsidRPr="00E93A18">
        <w:rPr>
          <w:rFonts w:cs="Times New Roman"/>
          <w:szCs w:val="24"/>
        </w:rPr>
        <w:instrText xml:space="preserve"> </w:instrText>
      </w:r>
      <w:r w:rsidR="004810E5">
        <w:rPr>
          <w:rFonts w:cs="Times New Roman"/>
          <w:szCs w:val="24"/>
          <w:lang w:val="en-US"/>
        </w:rPr>
        <w:instrText>response</w:instrText>
      </w:r>
      <w:r w:rsidR="004810E5" w:rsidRPr="00E93A18">
        <w:rPr>
          <w:rFonts w:cs="Times New Roman"/>
          <w:szCs w:val="24"/>
        </w:rPr>
        <w:instrText xml:space="preserve"> </w:instrText>
      </w:r>
      <w:r w:rsidR="004810E5">
        <w:rPr>
          <w:rFonts w:cs="Times New Roman"/>
          <w:szCs w:val="24"/>
          <w:lang w:val="en-US"/>
        </w:rPr>
        <w:instrText>to</w:instrText>
      </w:r>
      <w:r w:rsidR="004810E5" w:rsidRPr="00E93A18">
        <w:rPr>
          <w:rFonts w:cs="Times New Roman"/>
          <w:szCs w:val="24"/>
        </w:rPr>
        <w:instrText xml:space="preserve"> </w:instrText>
      </w:r>
      <w:r w:rsidR="004810E5">
        <w:rPr>
          <w:rFonts w:cs="Times New Roman"/>
          <w:szCs w:val="24"/>
          <w:lang w:val="en-US"/>
        </w:rPr>
        <w:instrText>first</w:instrText>
      </w:r>
      <w:r w:rsidR="004810E5" w:rsidRPr="00E93A18">
        <w:rPr>
          <w:rFonts w:cs="Times New Roman"/>
          <w:szCs w:val="24"/>
        </w:rPr>
        <w:instrText>-</w:instrText>
      </w:r>
      <w:r w:rsidR="004810E5">
        <w:rPr>
          <w:rFonts w:cs="Times New Roman"/>
          <w:szCs w:val="24"/>
          <w:lang w:val="en-US"/>
        </w:rPr>
        <w:instrText>line</w:instrText>
      </w:r>
      <w:r w:rsidR="004810E5" w:rsidRPr="00E93A18">
        <w:rPr>
          <w:rFonts w:cs="Times New Roman"/>
          <w:szCs w:val="24"/>
        </w:rPr>
        <w:instrText xml:space="preserve"> </w:instrText>
      </w:r>
      <w:r w:rsidR="004810E5">
        <w:rPr>
          <w:rFonts w:cs="Times New Roman"/>
          <w:szCs w:val="24"/>
          <w:lang w:val="en-US"/>
        </w:rPr>
        <w:instrText>therapy</w:instrText>
      </w:r>
      <w:r w:rsidR="004810E5" w:rsidRPr="00E93A18">
        <w:rPr>
          <w:rFonts w:cs="Times New Roman"/>
          <w:szCs w:val="24"/>
        </w:rPr>
        <w:instrText xml:space="preserve"> </w:instrText>
      </w:r>
      <w:r w:rsidR="004810E5">
        <w:rPr>
          <w:rFonts w:cs="Times New Roman"/>
          <w:szCs w:val="24"/>
          <w:lang w:val="en-US"/>
        </w:rPr>
        <w:instrText>have</w:instrText>
      </w:r>
      <w:r w:rsidR="004810E5" w:rsidRPr="00E93A18">
        <w:rPr>
          <w:rFonts w:cs="Times New Roman"/>
          <w:szCs w:val="24"/>
        </w:rPr>
        <w:instrText xml:space="preserve"> </w:instrText>
      </w:r>
      <w:r w:rsidR="004810E5">
        <w:rPr>
          <w:rFonts w:cs="Times New Roman"/>
          <w:szCs w:val="24"/>
          <w:lang w:val="en-US"/>
        </w:rPr>
        <w:instrText>a</w:instrText>
      </w:r>
      <w:r w:rsidR="004810E5" w:rsidRPr="00E93A18">
        <w:rPr>
          <w:rFonts w:cs="Times New Roman"/>
          <w:szCs w:val="24"/>
        </w:rPr>
        <w:instrText xml:space="preserve"> </w:instrText>
      </w:r>
      <w:r w:rsidR="004810E5">
        <w:rPr>
          <w:rFonts w:cs="Times New Roman"/>
          <w:szCs w:val="24"/>
          <w:lang w:val="en-US"/>
        </w:rPr>
        <w:instrText>high</w:instrText>
      </w:r>
      <w:r w:rsidR="004810E5" w:rsidRPr="00E93A18">
        <w:rPr>
          <w:rFonts w:cs="Times New Roman"/>
          <w:szCs w:val="24"/>
        </w:rPr>
        <w:instrText xml:space="preserve"> </w:instrText>
      </w:r>
      <w:r w:rsidR="004810E5">
        <w:rPr>
          <w:rFonts w:cs="Times New Roman"/>
          <w:szCs w:val="24"/>
          <w:lang w:val="en-US"/>
        </w:rPr>
        <w:instrText>rate</w:instrText>
      </w:r>
      <w:r w:rsidR="004810E5" w:rsidRPr="00E93A18">
        <w:rPr>
          <w:rFonts w:cs="Times New Roman"/>
          <w:szCs w:val="24"/>
        </w:rPr>
        <w:instrText xml:space="preserve"> </w:instrText>
      </w:r>
      <w:r w:rsidR="004810E5">
        <w:rPr>
          <w:rFonts w:cs="Times New Roman"/>
          <w:szCs w:val="24"/>
          <w:lang w:val="en-US"/>
        </w:rPr>
        <w:instrText>of</w:instrText>
      </w:r>
      <w:r w:rsidR="004810E5" w:rsidRPr="00E93A18">
        <w:rPr>
          <w:rFonts w:cs="Times New Roman"/>
          <w:szCs w:val="24"/>
        </w:rPr>
        <w:instrText xml:space="preserve"> </w:instrText>
      </w:r>
      <w:r w:rsidR="004810E5">
        <w:rPr>
          <w:rFonts w:cs="Times New Roman"/>
          <w:szCs w:val="24"/>
          <w:lang w:val="en-US"/>
        </w:rPr>
        <w:instrText>cure</w:instrText>
      </w:r>
      <w:r w:rsidR="004810E5" w:rsidRPr="00E93A18">
        <w:rPr>
          <w:rFonts w:cs="Times New Roman"/>
          <w:szCs w:val="24"/>
        </w:rPr>
        <w:instrText>.","</w:instrText>
      </w:r>
      <w:r w:rsidR="004810E5">
        <w:rPr>
          <w:rFonts w:cs="Times New Roman"/>
          <w:szCs w:val="24"/>
          <w:lang w:val="en-US"/>
        </w:rPr>
        <w:instrText>author</w:instrText>
      </w:r>
      <w:r w:rsidR="004810E5" w:rsidRPr="00E93A18">
        <w:rPr>
          <w:rFonts w:cs="Times New Roman"/>
          <w:szCs w:val="24"/>
        </w:rPr>
        <w:instrText>":[{"</w:instrText>
      </w:r>
      <w:r w:rsidR="004810E5">
        <w:rPr>
          <w:rFonts w:cs="Times New Roman"/>
          <w:szCs w:val="24"/>
          <w:lang w:val="en-US"/>
        </w:rPr>
        <w:instrText>dropping</w:instrText>
      </w:r>
      <w:r w:rsidR="004810E5" w:rsidRPr="00E93A18">
        <w:rPr>
          <w:rFonts w:cs="Times New Roman"/>
          <w:szCs w:val="24"/>
        </w:rPr>
        <w:instrText>-</w:instrText>
      </w:r>
      <w:r w:rsidR="004810E5">
        <w:rPr>
          <w:rFonts w:cs="Times New Roman"/>
          <w:szCs w:val="24"/>
          <w:lang w:val="en-US"/>
        </w:rPr>
        <w:instrText>particle</w:instrText>
      </w:r>
      <w:r w:rsidR="004810E5" w:rsidRPr="00E93A18">
        <w:rPr>
          <w:rFonts w:cs="Times New Roman"/>
          <w:szCs w:val="24"/>
        </w:rPr>
        <w:instrText>":"","</w:instrText>
      </w:r>
      <w:r w:rsidR="004810E5">
        <w:rPr>
          <w:rFonts w:cs="Times New Roman"/>
          <w:szCs w:val="24"/>
          <w:lang w:val="en-US"/>
        </w:rPr>
        <w:instrText>family</w:instrText>
      </w:r>
      <w:r w:rsidR="004810E5" w:rsidRPr="00E93A18">
        <w:rPr>
          <w:rFonts w:cs="Times New Roman"/>
          <w:szCs w:val="24"/>
        </w:rPr>
        <w:instrText>":"</w:instrText>
      </w:r>
      <w:r w:rsidR="004810E5">
        <w:rPr>
          <w:rFonts w:cs="Times New Roman"/>
          <w:szCs w:val="24"/>
          <w:lang w:val="en-US"/>
        </w:rPr>
        <w:instrText>Mills</w:instrText>
      </w:r>
      <w:r w:rsidR="004810E5" w:rsidRPr="00E93A18">
        <w:rPr>
          <w:rFonts w:cs="Times New Roman"/>
          <w:szCs w:val="24"/>
        </w:rPr>
        <w:instrText>","</w:instrText>
      </w:r>
      <w:r w:rsidR="004810E5">
        <w:rPr>
          <w:rFonts w:cs="Times New Roman"/>
          <w:szCs w:val="24"/>
          <w:lang w:val="en-US"/>
        </w:rPr>
        <w:instrText>given</w:instrText>
      </w:r>
      <w:r w:rsidR="004810E5" w:rsidRPr="00E93A18">
        <w:rPr>
          <w:rFonts w:cs="Times New Roman"/>
          <w:szCs w:val="24"/>
        </w:rPr>
        <w:instrText>":"</w:instrText>
      </w:r>
      <w:r w:rsidR="004810E5">
        <w:rPr>
          <w:rFonts w:cs="Times New Roman"/>
          <w:szCs w:val="24"/>
          <w:lang w:val="en-US"/>
        </w:rPr>
        <w:instrText>W</w:instrText>
      </w:r>
      <w:r w:rsidR="004810E5" w:rsidRPr="00E93A18">
        <w:rPr>
          <w:rFonts w:cs="Times New Roman"/>
          <w:szCs w:val="24"/>
        </w:rPr>
        <w:instrText>","</w:instrText>
      </w:r>
      <w:r w:rsidR="004810E5">
        <w:rPr>
          <w:rFonts w:cs="Times New Roman"/>
          <w:szCs w:val="24"/>
          <w:lang w:val="en-US"/>
        </w:rPr>
        <w:instrText>non</w:instrText>
      </w:r>
      <w:r w:rsidR="004810E5" w:rsidRPr="00E93A18">
        <w:rPr>
          <w:rFonts w:cs="Times New Roman"/>
          <w:szCs w:val="24"/>
        </w:rPr>
        <w:instrText>-</w:instrText>
      </w:r>
      <w:r w:rsidR="004810E5">
        <w:rPr>
          <w:rFonts w:cs="Times New Roman"/>
          <w:szCs w:val="24"/>
          <w:lang w:val="en-US"/>
        </w:rPr>
        <w:instrText>dropping</w:instrText>
      </w:r>
      <w:r w:rsidR="004810E5" w:rsidRPr="00E93A18">
        <w:rPr>
          <w:rFonts w:cs="Times New Roman"/>
          <w:szCs w:val="24"/>
        </w:rPr>
        <w:instrText>-</w:instrText>
      </w:r>
      <w:r w:rsidR="004810E5">
        <w:rPr>
          <w:rFonts w:cs="Times New Roman"/>
          <w:szCs w:val="24"/>
          <w:lang w:val="en-US"/>
        </w:rPr>
        <w:instrText>particle</w:instrText>
      </w:r>
      <w:r w:rsidR="004810E5" w:rsidRPr="00E93A18">
        <w:rPr>
          <w:rFonts w:cs="Times New Roman"/>
          <w:szCs w:val="24"/>
        </w:rPr>
        <w:instrText>":"","</w:instrText>
      </w:r>
      <w:r w:rsidR="004810E5">
        <w:rPr>
          <w:rFonts w:cs="Times New Roman"/>
          <w:szCs w:val="24"/>
          <w:lang w:val="en-US"/>
        </w:rPr>
        <w:instrText>parse</w:instrText>
      </w:r>
      <w:r w:rsidR="004810E5" w:rsidRPr="00E93A18">
        <w:rPr>
          <w:rFonts w:cs="Times New Roman"/>
          <w:szCs w:val="24"/>
        </w:rPr>
        <w:instrText>-</w:instrText>
      </w:r>
      <w:r w:rsidR="004810E5">
        <w:rPr>
          <w:rFonts w:cs="Times New Roman"/>
          <w:szCs w:val="24"/>
          <w:lang w:val="en-US"/>
        </w:rPr>
        <w:instrText>names</w:instrText>
      </w:r>
      <w:r w:rsidR="004810E5" w:rsidRPr="00E93A18">
        <w:rPr>
          <w:rFonts w:cs="Times New Roman"/>
          <w:szCs w:val="24"/>
        </w:rPr>
        <w:instrText>":</w:instrText>
      </w:r>
      <w:r w:rsidR="004810E5">
        <w:rPr>
          <w:rFonts w:cs="Times New Roman"/>
          <w:szCs w:val="24"/>
          <w:lang w:val="en-US"/>
        </w:rPr>
        <w:instrText>false</w:instrText>
      </w:r>
      <w:r w:rsidR="004810E5" w:rsidRPr="00E93A18">
        <w:rPr>
          <w:rFonts w:cs="Times New Roman"/>
          <w:szCs w:val="24"/>
        </w:rPr>
        <w:instrText>,"</w:instrText>
      </w:r>
      <w:r w:rsidR="004810E5">
        <w:rPr>
          <w:rFonts w:cs="Times New Roman"/>
          <w:szCs w:val="24"/>
          <w:lang w:val="en-US"/>
        </w:rPr>
        <w:instrText>suffix</w:instrText>
      </w:r>
      <w:r w:rsidR="004810E5" w:rsidRPr="00E93A18">
        <w:rPr>
          <w:rFonts w:cs="Times New Roman"/>
          <w:szCs w:val="24"/>
        </w:rPr>
        <w:instrText>":""},{"</w:instrText>
      </w:r>
      <w:r w:rsidR="004810E5">
        <w:rPr>
          <w:rFonts w:cs="Times New Roman"/>
          <w:szCs w:val="24"/>
          <w:lang w:val="en-US"/>
        </w:rPr>
        <w:instrText>dropping</w:instrText>
      </w:r>
      <w:r w:rsidR="004810E5" w:rsidRPr="00E93A18">
        <w:rPr>
          <w:rFonts w:cs="Times New Roman"/>
          <w:szCs w:val="24"/>
        </w:rPr>
        <w:instrText>-</w:instrText>
      </w:r>
      <w:r w:rsidR="004810E5">
        <w:rPr>
          <w:rFonts w:cs="Times New Roman"/>
          <w:szCs w:val="24"/>
          <w:lang w:val="en-US"/>
        </w:rPr>
        <w:instrText>particle</w:instrText>
      </w:r>
      <w:r w:rsidR="004810E5" w:rsidRPr="00E93A18">
        <w:rPr>
          <w:rFonts w:cs="Times New Roman"/>
          <w:szCs w:val="24"/>
        </w:rPr>
        <w:instrText>":"","</w:instrText>
      </w:r>
      <w:r w:rsidR="004810E5">
        <w:rPr>
          <w:rFonts w:cs="Times New Roman"/>
          <w:szCs w:val="24"/>
          <w:lang w:val="en-US"/>
        </w:rPr>
        <w:instrText>family</w:instrText>
      </w:r>
      <w:r w:rsidR="004810E5" w:rsidRPr="00E93A18">
        <w:rPr>
          <w:rFonts w:cs="Times New Roman"/>
          <w:szCs w:val="24"/>
        </w:rPr>
        <w:instrText>":"</w:instrText>
      </w:r>
      <w:r w:rsidR="004810E5">
        <w:rPr>
          <w:rFonts w:cs="Times New Roman"/>
          <w:szCs w:val="24"/>
          <w:lang w:val="en-US"/>
        </w:rPr>
        <w:instrText>Chopra</w:instrText>
      </w:r>
      <w:r w:rsidR="004810E5" w:rsidRPr="00E93A18">
        <w:rPr>
          <w:rFonts w:cs="Times New Roman"/>
          <w:szCs w:val="24"/>
        </w:rPr>
        <w:instrText>","</w:instrText>
      </w:r>
      <w:r w:rsidR="004810E5">
        <w:rPr>
          <w:rFonts w:cs="Times New Roman"/>
          <w:szCs w:val="24"/>
          <w:lang w:val="en-US"/>
        </w:rPr>
        <w:instrText>given</w:instrText>
      </w:r>
      <w:r w:rsidR="004810E5" w:rsidRPr="00E93A18">
        <w:rPr>
          <w:rFonts w:cs="Times New Roman"/>
          <w:szCs w:val="24"/>
        </w:rPr>
        <w:instrText>":"</w:instrText>
      </w:r>
      <w:r w:rsidR="004810E5">
        <w:rPr>
          <w:rFonts w:cs="Times New Roman"/>
          <w:szCs w:val="24"/>
          <w:lang w:val="en-US"/>
        </w:rPr>
        <w:instrText>R</w:instrText>
      </w:r>
      <w:r w:rsidR="004810E5" w:rsidRPr="00E93A18">
        <w:rPr>
          <w:rFonts w:cs="Times New Roman"/>
          <w:szCs w:val="24"/>
        </w:rPr>
        <w:instrText>","</w:instrText>
      </w:r>
      <w:r w:rsidR="004810E5">
        <w:rPr>
          <w:rFonts w:cs="Times New Roman"/>
          <w:szCs w:val="24"/>
          <w:lang w:val="en-US"/>
        </w:rPr>
        <w:instrText>non</w:instrText>
      </w:r>
      <w:r w:rsidR="004810E5" w:rsidRPr="00E93A18">
        <w:rPr>
          <w:rFonts w:cs="Times New Roman"/>
          <w:szCs w:val="24"/>
        </w:rPr>
        <w:instrText>-</w:instrText>
      </w:r>
      <w:r w:rsidR="004810E5">
        <w:rPr>
          <w:rFonts w:cs="Times New Roman"/>
          <w:szCs w:val="24"/>
          <w:lang w:val="en-US"/>
        </w:rPr>
        <w:instrText>dropping</w:instrText>
      </w:r>
      <w:r w:rsidR="004810E5" w:rsidRPr="00E93A18">
        <w:rPr>
          <w:rFonts w:cs="Times New Roman"/>
          <w:szCs w:val="24"/>
        </w:rPr>
        <w:instrText>-</w:instrText>
      </w:r>
      <w:r w:rsidR="004810E5">
        <w:rPr>
          <w:rFonts w:cs="Times New Roman"/>
          <w:szCs w:val="24"/>
          <w:lang w:val="en-US"/>
        </w:rPr>
        <w:instrText>particle</w:instrText>
      </w:r>
      <w:r w:rsidR="004810E5" w:rsidRPr="00E93A18">
        <w:rPr>
          <w:rFonts w:cs="Times New Roman"/>
          <w:szCs w:val="24"/>
        </w:rPr>
        <w:instrText>":"","</w:instrText>
      </w:r>
      <w:r w:rsidR="004810E5">
        <w:rPr>
          <w:rFonts w:cs="Times New Roman"/>
          <w:szCs w:val="24"/>
          <w:lang w:val="en-US"/>
        </w:rPr>
        <w:instrText>parse</w:instrText>
      </w:r>
      <w:r w:rsidR="004810E5" w:rsidRPr="00E93A18">
        <w:rPr>
          <w:rFonts w:cs="Times New Roman"/>
          <w:szCs w:val="24"/>
        </w:rPr>
        <w:instrText>-</w:instrText>
      </w:r>
      <w:r w:rsidR="004810E5">
        <w:rPr>
          <w:rFonts w:cs="Times New Roman"/>
          <w:szCs w:val="24"/>
          <w:lang w:val="en-US"/>
        </w:rPr>
        <w:instrText>names</w:instrText>
      </w:r>
      <w:r w:rsidR="004810E5" w:rsidRPr="00E93A18">
        <w:rPr>
          <w:rFonts w:cs="Times New Roman"/>
          <w:szCs w:val="24"/>
        </w:rPr>
        <w:instrText>":</w:instrText>
      </w:r>
      <w:r w:rsidR="004810E5">
        <w:rPr>
          <w:rFonts w:cs="Times New Roman"/>
          <w:szCs w:val="24"/>
          <w:lang w:val="en-US"/>
        </w:rPr>
        <w:instrText>false</w:instrText>
      </w:r>
      <w:r w:rsidR="004810E5" w:rsidRPr="00E93A18">
        <w:rPr>
          <w:rFonts w:cs="Times New Roman"/>
          <w:szCs w:val="24"/>
        </w:rPr>
        <w:instrText>,"</w:instrText>
      </w:r>
      <w:r w:rsidR="004810E5">
        <w:rPr>
          <w:rFonts w:cs="Times New Roman"/>
          <w:szCs w:val="24"/>
          <w:lang w:val="en-US"/>
        </w:rPr>
        <w:instrText>suffix</w:instrText>
      </w:r>
      <w:r w:rsidR="004810E5" w:rsidRPr="00E93A18">
        <w:rPr>
          <w:rFonts w:cs="Times New Roman"/>
          <w:szCs w:val="24"/>
        </w:rPr>
        <w:instrText>":""},{"</w:instrText>
      </w:r>
      <w:r w:rsidR="004810E5">
        <w:rPr>
          <w:rFonts w:cs="Times New Roman"/>
          <w:szCs w:val="24"/>
          <w:lang w:val="en-US"/>
        </w:rPr>
        <w:instrText>dropping</w:instrText>
      </w:r>
      <w:r w:rsidR="004810E5" w:rsidRPr="00E93A18">
        <w:rPr>
          <w:rFonts w:cs="Times New Roman"/>
          <w:szCs w:val="24"/>
        </w:rPr>
        <w:instrText>-</w:instrText>
      </w:r>
      <w:r w:rsidR="004810E5">
        <w:rPr>
          <w:rFonts w:cs="Times New Roman"/>
          <w:szCs w:val="24"/>
          <w:lang w:val="en-US"/>
        </w:rPr>
        <w:instrText>particle</w:instrText>
      </w:r>
      <w:r w:rsidR="004810E5" w:rsidRPr="00E93A18">
        <w:rPr>
          <w:rFonts w:cs="Times New Roman"/>
          <w:szCs w:val="24"/>
        </w:rPr>
        <w:instrText>":"","</w:instrText>
      </w:r>
      <w:r w:rsidR="004810E5">
        <w:rPr>
          <w:rFonts w:cs="Times New Roman"/>
          <w:szCs w:val="24"/>
          <w:lang w:val="en-US"/>
        </w:rPr>
        <w:instrText>family</w:instrText>
      </w:r>
      <w:r w:rsidR="004810E5" w:rsidRPr="00E93A18">
        <w:rPr>
          <w:rFonts w:cs="Times New Roman"/>
          <w:szCs w:val="24"/>
        </w:rPr>
        <w:instrText>":"</w:instrText>
      </w:r>
      <w:r w:rsidR="004810E5">
        <w:rPr>
          <w:rFonts w:cs="Times New Roman"/>
          <w:szCs w:val="24"/>
          <w:lang w:val="en-US"/>
        </w:rPr>
        <w:instrText>McMillan</w:instrText>
      </w:r>
      <w:r w:rsidR="004810E5" w:rsidRPr="00E93A18">
        <w:rPr>
          <w:rFonts w:cs="Times New Roman"/>
          <w:szCs w:val="24"/>
        </w:rPr>
        <w:instrText>","</w:instrText>
      </w:r>
      <w:r w:rsidR="004810E5">
        <w:rPr>
          <w:rFonts w:cs="Times New Roman"/>
          <w:szCs w:val="24"/>
          <w:lang w:val="en-US"/>
        </w:rPr>
        <w:instrText>given</w:instrText>
      </w:r>
      <w:r w:rsidR="004810E5" w:rsidRPr="00E93A18">
        <w:rPr>
          <w:rFonts w:cs="Times New Roman"/>
          <w:szCs w:val="24"/>
        </w:rPr>
        <w:instrText>":"</w:instrText>
      </w:r>
      <w:r w:rsidR="004810E5">
        <w:rPr>
          <w:rFonts w:cs="Times New Roman"/>
          <w:szCs w:val="24"/>
          <w:lang w:val="en-US"/>
        </w:rPr>
        <w:instrText>A</w:instrText>
      </w:r>
      <w:r w:rsidR="004810E5" w:rsidRPr="00E93A18">
        <w:rPr>
          <w:rFonts w:cs="Times New Roman"/>
          <w:szCs w:val="24"/>
        </w:rPr>
        <w:instrText>","</w:instrText>
      </w:r>
      <w:r w:rsidR="004810E5">
        <w:rPr>
          <w:rFonts w:cs="Times New Roman"/>
          <w:szCs w:val="24"/>
          <w:lang w:val="en-US"/>
        </w:rPr>
        <w:instrText>non</w:instrText>
      </w:r>
      <w:r w:rsidR="004810E5" w:rsidRPr="00E93A18">
        <w:rPr>
          <w:rFonts w:cs="Times New Roman"/>
          <w:szCs w:val="24"/>
        </w:rPr>
        <w:instrText>-</w:instrText>
      </w:r>
      <w:r w:rsidR="004810E5">
        <w:rPr>
          <w:rFonts w:cs="Times New Roman"/>
          <w:szCs w:val="24"/>
          <w:lang w:val="en-US"/>
        </w:rPr>
        <w:instrText>dropping</w:instrText>
      </w:r>
      <w:r w:rsidR="004810E5" w:rsidRPr="00E93A18">
        <w:rPr>
          <w:rFonts w:cs="Times New Roman"/>
          <w:szCs w:val="24"/>
        </w:rPr>
        <w:instrText>-</w:instrText>
      </w:r>
      <w:r w:rsidR="004810E5">
        <w:rPr>
          <w:rFonts w:cs="Times New Roman"/>
          <w:szCs w:val="24"/>
          <w:lang w:val="en-US"/>
        </w:rPr>
        <w:instrText>particle</w:instrText>
      </w:r>
      <w:r w:rsidR="004810E5" w:rsidRPr="00E93A18">
        <w:rPr>
          <w:rFonts w:cs="Times New Roman"/>
          <w:szCs w:val="24"/>
        </w:rPr>
        <w:instrText>":"","</w:instrText>
      </w:r>
      <w:r w:rsidR="004810E5">
        <w:rPr>
          <w:rFonts w:cs="Times New Roman"/>
          <w:szCs w:val="24"/>
          <w:lang w:val="en-US"/>
        </w:rPr>
        <w:instrText>parse</w:instrText>
      </w:r>
      <w:r w:rsidR="004810E5" w:rsidRPr="00E93A18">
        <w:rPr>
          <w:rFonts w:cs="Times New Roman"/>
          <w:szCs w:val="24"/>
        </w:rPr>
        <w:instrText>-</w:instrText>
      </w:r>
      <w:r w:rsidR="004810E5">
        <w:rPr>
          <w:rFonts w:cs="Times New Roman"/>
          <w:szCs w:val="24"/>
          <w:lang w:val="en-US"/>
        </w:rPr>
        <w:instrText>names</w:instrText>
      </w:r>
      <w:r w:rsidR="004810E5" w:rsidRPr="00E93A18">
        <w:rPr>
          <w:rFonts w:cs="Times New Roman"/>
          <w:szCs w:val="24"/>
        </w:rPr>
        <w:instrText>":</w:instrText>
      </w:r>
      <w:r w:rsidR="004810E5">
        <w:rPr>
          <w:rFonts w:cs="Times New Roman"/>
          <w:szCs w:val="24"/>
          <w:lang w:val="en-US"/>
        </w:rPr>
        <w:instrText>false</w:instrText>
      </w:r>
      <w:r w:rsidR="004810E5" w:rsidRPr="00E93A18">
        <w:rPr>
          <w:rFonts w:cs="Times New Roman"/>
          <w:szCs w:val="24"/>
        </w:rPr>
        <w:instrText>,"</w:instrText>
      </w:r>
      <w:r w:rsidR="004810E5">
        <w:rPr>
          <w:rFonts w:cs="Times New Roman"/>
          <w:szCs w:val="24"/>
          <w:lang w:val="en-US"/>
        </w:rPr>
        <w:instrText>suffix</w:instrText>
      </w:r>
      <w:r w:rsidR="004810E5" w:rsidRPr="00E93A18">
        <w:rPr>
          <w:rFonts w:cs="Times New Roman"/>
          <w:szCs w:val="24"/>
        </w:rPr>
        <w:instrText>":""},{"</w:instrText>
      </w:r>
      <w:r w:rsidR="004810E5">
        <w:rPr>
          <w:rFonts w:cs="Times New Roman"/>
          <w:szCs w:val="24"/>
          <w:lang w:val="en-US"/>
        </w:rPr>
        <w:instrText>dropping</w:instrText>
      </w:r>
      <w:r w:rsidR="004810E5" w:rsidRPr="00E93A18">
        <w:rPr>
          <w:rFonts w:cs="Times New Roman"/>
          <w:szCs w:val="24"/>
        </w:rPr>
        <w:instrText>-</w:instrText>
      </w:r>
      <w:r w:rsidR="004810E5">
        <w:rPr>
          <w:rFonts w:cs="Times New Roman"/>
          <w:szCs w:val="24"/>
          <w:lang w:val="en-US"/>
        </w:rPr>
        <w:instrText>particle</w:instrText>
      </w:r>
      <w:r w:rsidR="004810E5" w:rsidRPr="00E93A18">
        <w:rPr>
          <w:rFonts w:cs="Times New Roman"/>
          <w:szCs w:val="24"/>
        </w:rPr>
        <w:instrText>":"","</w:instrText>
      </w:r>
      <w:r w:rsidR="004810E5">
        <w:rPr>
          <w:rFonts w:cs="Times New Roman"/>
          <w:szCs w:val="24"/>
          <w:lang w:val="en-US"/>
        </w:rPr>
        <w:instrText>family</w:instrText>
      </w:r>
      <w:r w:rsidR="004810E5" w:rsidRPr="00E93A18">
        <w:rPr>
          <w:rFonts w:cs="Times New Roman"/>
          <w:szCs w:val="24"/>
        </w:rPr>
        <w:instrText>":"</w:instrText>
      </w:r>
      <w:r w:rsidR="004810E5">
        <w:rPr>
          <w:rFonts w:cs="Times New Roman"/>
          <w:szCs w:val="24"/>
          <w:lang w:val="en-US"/>
        </w:rPr>
        <w:instrText>Pearce</w:instrText>
      </w:r>
      <w:r w:rsidR="004810E5" w:rsidRPr="00E93A18">
        <w:rPr>
          <w:rFonts w:cs="Times New Roman"/>
          <w:szCs w:val="24"/>
        </w:rPr>
        <w:instrText>","</w:instrText>
      </w:r>
      <w:r w:rsidR="004810E5">
        <w:rPr>
          <w:rFonts w:cs="Times New Roman"/>
          <w:szCs w:val="24"/>
          <w:lang w:val="en-US"/>
        </w:rPr>
        <w:instrText>given</w:instrText>
      </w:r>
      <w:r w:rsidR="004810E5" w:rsidRPr="00E93A18">
        <w:rPr>
          <w:rFonts w:cs="Times New Roman"/>
          <w:szCs w:val="24"/>
        </w:rPr>
        <w:instrText>":"</w:instrText>
      </w:r>
      <w:r w:rsidR="004810E5">
        <w:rPr>
          <w:rFonts w:cs="Times New Roman"/>
          <w:szCs w:val="24"/>
          <w:lang w:val="en-US"/>
        </w:rPr>
        <w:instrText>R</w:instrText>
      </w:r>
      <w:r w:rsidR="004810E5" w:rsidRPr="00E93A18">
        <w:rPr>
          <w:rFonts w:cs="Times New Roman"/>
          <w:szCs w:val="24"/>
        </w:rPr>
        <w:instrText>","</w:instrText>
      </w:r>
      <w:r w:rsidR="004810E5">
        <w:rPr>
          <w:rFonts w:cs="Times New Roman"/>
          <w:szCs w:val="24"/>
          <w:lang w:val="en-US"/>
        </w:rPr>
        <w:instrText>non</w:instrText>
      </w:r>
      <w:r w:rsidR="004810E5" w:rsidRPr="00E93A18">
        <w:rPr>
          <w:rFonts w:cs="Times New Roman"/>
          <w:szCs w:val="24"/>
        </w:rPr>
        <w:instrText>-</w:instrText>
      </w:r>
      <w:r w:rsidR="004810E5">
        <w:rPr>
          <w:rFonts w:cs="Times New Roman"/>
          <w:szCs w:val="24"/>
          <w:lang w:val="en-US"/>
        </w:rPr>
        <w:instrText>dropping</w:instrText>
      </w:r>
      <w:r w:rsidR="004810E5" w:rsidRPr="00E93A18">
        <w:rPr>
          <w:rFonts w:cs="Times New Roman"/>
          <w:szCs w:val="24"/>
        </w:rPr>
        <w:instrText>-</w:instrText>
      </w:r>
      <w:r w:rsidR="004810E5">
        <w:rPr>
          <w:rFonts w:cs="Times New Roman"/>
          <w:szCs w:val="24"/>
          <w:lang w:val="en-US"/>
        </w:rPr>
        <w:instrText>particle</w:instrText>
      </w:r>
      <w:r w:rsidR="004810E5" w:rsidRPr="00E93A18">
        <w:rPr>
          <w:rFonts w:cs="Times New Roman"/>
          <w:szCs w:val="24"/>
        </w:rPr>
        <w:instrText>":"","</w:instrText>
      </w:r>
      <w:r w:rsidR="004810E5">
        <w:rPr>
          <w:rFonts w:cs="Times New Roman"/>
          <w:szCs w:val="24"/>
          <w:lang w:val="en-US"/>
        </w:rPr>
        <w:instrText>parse</w:instrText>
      </w:r>
      <w:r w:rsidR="004810E5" w:rsidRPr="00E93A18">
        <w:rPr>
          <w:rFonts w:cs="Times New Roman"/>
          <w:szCs w:val="24"/>
        </w:rPr>
        <w:instrText>-</w:instrText>
      </w:r>
      <w:r w:rsidR="004810E5">
        <w:rPr>
          <w:rFonts w:cs="Times New Roman"/>
          <w:szCs w:val="24"/>
          <w:lang w:val="en-US"/>
        </w:rPr>
        <w:instrText>names</w:instrText>
      </w:r>
      <w:r w:rsidR="004810E5" w:rsidRPr="00E93A18">
        <w:rPr>
          <w:rFonts w:cs="Times New Roman"/>
          <w:szCs w:val="24"/>
        </w:rPr>
        <w:instrText>":</w:instrText>
      </w:r>
      <w:r w:rsidR="004810E5">
        <w:rPr>
          <w:rFonts w:cs="Times New Roman"/>
          <w:szCs w:val="24"/>
          <w:lang w:val="en-US"/>
        </w:rPr>
        <w:instrText>false</w:instrText>
      </w:r>
      <w:r w:rsidR="004810E5" w:rsidRPr="00E93A18">
        <w:rPr>
          <w:rFonts w:cs="Times New Roman"/>
          <w:szCs w:val="24"/>
        </w:rPr>
        <w:instrText>,"</w:instrText>
      </w:r>
      <w:r w:rsidR="004810E5">
        <w:rPr>
          <w:rFonts w:cs="Times New Roman"/>
          <w:szCs w:val="24"/>
          <w:lang w:val="en-US"/>
        </w:rPr>
        <w:instrText>suffix</w:instrText>
      </w:r>
      <w:r w:rsidR="004810E5" w:rsidRPr="00E93A18">
        <w:rPr>
          <w:rFonts w:cs="Times New Roman"/>
          <w:szCs w:val="24"/>
        </w:rPr>
        <w:instrText>":""},{"</w:instrText>
      </w:r>
      <w:r w:rsidR="004810E5">
        <w:rPr>
          <w:rFonts w:cs="Times New Roman"/>
          <w:szCs w:val="24"/>
          <w:lang w:val="en-US"/>
        </w:rPr>
        <w:instrText>dropping</w:instrText>
      </w:r>
      <w:r w:rsidR="004810E5" w:rsidRPr="00E93A18">
        <w:rPr>
          <w:rFonts w:cs="Times New Roman"/>
          <w:szCs w:val="24"/>
        </w:rPr>
        <w:instrText>-</w:instrText>
      </w:r>
      <w:r w:rsidR="004810E5">
        <w:rPr>
          <w:rFonts w:cs="Times New Roman"/>
          <w:szCs w:val="24"/>
          <w:lang w:val="en-US"/>
        </w:rPr>
        <w:instrText>particle</w:instrText>
      </w:r>
      <w:r w:rsidR="004810E5" w:rsidRPr="00E93A18">
        <w:rPr>
          <w:rFonts w:cs="Times New Roman"/>
          <w:szCs w:val="24"/>
        </w:rPr>
        <w:instrText>":"","</w:instrText>
      </w:r>
      <w:r w:rsidR="004810E5">
        <w:rPr>
          <w:rFonts w:cs="Times New Roman"/>
          <w:szCs w:val="24"/>
          <w:lang w:val="en-US"/>
        </w:rPr>
        <w:instrText>family</w:instrText>
      </w:r>
      <w:r w:rsidR="004810E5" w:rsidRPr="00E93A18">
        <w:rPr>
          <w:rFonts w:cs="Times New Roman"/>
          <w:szCs w:val="24"/>
        </w:rPr>
        <w:instrText>":"</w:instrText>
      </w:r>
      <w:r w:rsidR="004810E5">
        <w:rPr>
          <w:rFonts w:cs="Times New Roman"/>
          <w:szCs w:val="24"/>
          <w:lang w:val="en-US"/>
        </w:rPr>
        <w:instrText>Linch</w:instrText>
      </w:r>
      <w:r w:rsidR="004810E5" w:rsidRPr="00E93A18">
        <w:rPr>
          <w:rFonts w:cs="Times New Roman"/>
          <w:szCs w:val="24"/>
        </w:rPr>
        <w:instrText>","</w:instrText>
      </w:r>
      <w:r w:rsidR="004810E5">
        <w:rPr>
          <w:rFonts w:cs="Times New Roman"/>
          <w:szCs w:val="24"/>
          <w:lang w:val="en-US"/>
        </w:rPr>
        <w:instrText>given</w:instrText>
      </w:r>
      <w:r w:rsidR="004810E5" w:rsidRPr="00E93A18">
        <w:rPr>
          <w:rFonts w:cs="Times New Roman"/>
          <w:szCs w:val="24"/>
        </w:rPr>
        <w:instrText>":"</w:instrText>
      </w:r>
      <w:r w:rsidR="004810E5">
        <w:rPr>
          <w:rFonts w:cs="Times New Roman"/>
          <w:szCs w:val="24"/>
          <w:lang w:val="en-US"/>
        </w:rPr>
        <w:instrText>D</w:instrText>
      </w:r>
      <w:r w:rsidR="004810E5" w:rsidRPr="00E93A18">
        <w:rPr>
          <w:rFonts w:cs="Times New Roman"/>
          <w:szCs w:val="24"/>
        </w:rPr>
        <w:instrText xml:space="preserve"> </w:instrText>
      </w:r>
      <w:r w:rsidR="004810E5">
        <w:rPr>
          <w:rFonts w:cs="Times New Roman"/>
          <w:szCs w:val="24"/>
          <w:lang w:val="en-US"/>
        </w:rPr>
        <w:instrText>C</w:instrText>
      </w:r>
      <w:r w:rsidR="004810E5" w:rsidRPr="00E93A18">
        <w:rPr>
          <w:rFonts w:cs="Times New Roman"/>
          <w:szCs w:val="24"/>
        </w:rPr>
        <w:instrText>","</w:instrText>
      </w:r>
      <w:r w:rsidR="004810E5">
        <w:rPr>
          <w:rFonts w:cs="Times New Roman"/>
          <w:szCs w:val="24"/>
          <w:lang w:val="en-US"/>
        </w:rPr>
        <w:instrText>non</w:instrText>
      </w:r>
      <w:r w:rsidR="004810E5" w:rsidRPr="00E93A18">
        <w:rPr>
          <w:rFonts w:cs="Times New Roman"/>
          <w:szCs w:val="24"/>
        </w:rPr>
        <w:instrText>-</w:instrText>
      </w:r>
      <w:r w:rsidR="004810E5">
        <w:rPr>
          <w:rFonts w:cs="Times New Roman"/>
          <w:szCs w:val="24"/>
          <w:lang w:val="en-US"/>
        </w:rPr>
        <w:instrText>dropping</w:instrText>
      </w:r>
      <w:r w:rsidR="004810E5" w:rsidRPr="00E93A18">
        <w:rPr>
          <w:rFonts w:cs="Times New Roman"/>
          <w:szCs w:val="24"/>
        </w:rPr>
        <w:instrText>-</w:instrText>
      </w:r>
      <w:r w:rsidR="004810E5">
        <w:rPr>
          <w:rFonts w:cs="Times New Roman"/>
          <w:szCs w:val="24"/>
          <w:lang w:val="en-US"/>
        </w:rPr>
        <w:instrText>particle</w:instrText>
      </w:r>
      <w:r w:rsidR="004810E5" w:rsidRPr="00E93A18">
        <w:rPr>
          <w:rFonts w:cs="Times New Roman"/>
          <w:szCs w:val="24"/>
        </w:rPr>
        <w:instrText>":"","</w:instrText>
      </w:r>
      <w:r w:rsidR="004810E5">
        <w:rPr>
          <w:rFonts w:cs="Times New Roman"/>
          <w:szCs w:val="24"/>
          <w:lang w:val="en-US"/>
        </w:rPr>
        <w:instrText>parse</w:instrText>
      </w:r>
      <w:r w:rsidR="004810E5" w:rsidRPr="00E93A18">
        <w:rPr>
          <w:rFonts w:cs="Times New Roman"/>
          <w:szCs w:val="24"/>
        </w:rPr>
        <w:instrText>-</w:instrText>
      </w:r>
      <w:r w:rsidR="004810E5">
        <w:rPr>
          <w:rFonts w:cs="Times New Roman"/>
          <w:szCs w:val="24"/>
          <w:lang w:val="en-US"/>
        </w:rPr>
        <w:instrText>names</w:instrText>
      </w:r>
      <w:r w:rsidR="004810E5" w:rsidRPr="00E93A18">
        <w:rPr>
          <w:rFonts w:cs="Times New Roman"/>
          <w:szCs w:val="24"/>
        </w:rPr>
        <w:instrText>":</w:instrText>
      </w:r>
      <w:r w:rsidR="004810E5">
        <w:rPr>
          <w:rFonts w:cs="Times New Roman"/>
          <w:szCs w:val="24"/>
          <w:lang w:val="en-US"/>
        </w:rPr>
        <w:instrText>false</w:instrText>
      </w:r>
      <w:r w:rsidR="004810E5" w:rsidRPr="00E93A18">
        <w:rPr>
          <w:rFonts w:cs="Times New Roman"/>
          <w:szCs w:val="24"/>
        </w:rPr>
        <w:instrText>,"</w:instrText>
      </w:r>
      <w:r w:rsidR="004810E5">
        <w:rPr>
          <w:rFonts w:cs="Times New Roman"/>
          <w:szCs w:val="24"/>
          <w:lang w:val="en-US"/>
        </w:rPr>
        <w:instrText>suffix</w:instrText>
      </w:r>
      <w:r w:rsidR="004810E5" w:rsidRPr="00E93A18">
        <w:rPr>
          <w:rFonts w:cs="Times New Roman"/>
          <w:szCs w:val="24"/>
        </w:rPr>
        <w:instrText>":""},{"</w:instrText>
      </w:r>
      <w:r w:rsidR="004810E5">
        <w:rPr>
          <w:rFonts w:cs="Times New Roman"/>
          <w:szCs w:val="24"/>
          <w:lang w:val="en-US"/>
        </w:rPr>
        <w:instrText>dropping</w:instrText>
      </w:r>
      <w:r w:rsidR="004810E5" w:rsidRPr="00E93A18">
        <w:rPr>
          <w:rFonts w:cs="Times New Roman"/>
          <w:szCs w:val="24"/>
        </w:rPr>
        <w:instrText>-</w:instrText>
      </w:r>
      <w:r w:rsidR="004810E5">
        <w:rPr>
          <w:rFonts w:cs="Times New Roman"/>
          <w:szCs w:val="24"/>
          <w:lang w:val="en-US"/>
        </w:rPr>
        <w:instrText>particle</w:instrText>
      </w:r>
      <w:r w:rsidR="004810E5" w:rsidRPr="00E93A18">
        <w:rPr>
          <w:rFonts w:cs="Times New Roman"/>
          <w:szCs w:val="24"/>
        </w:rPr>
        <w:instrText>":"","</w:instrText>
      </w:r>
      <w:r w:rsidR="004810E5">
        <w:rPr>
          <w:rFonts w:cs="Times New Roman"/>
          <w:szCs w:val="24"/>
          <w:lang w:val="en-US"/>
        </w:rPr>
        <w:instrText>family</w:instrText>
      </w:r>
      <w:r w:rsidR="004810E5" w:rsidRPr="00E93A18">
        <w:rPr>
          <w:rFonts w:cs="Times New Roman"/>
          <w:szCs w:val="24"/>
        </w:rPr>
        <w:instrText>":"</w:instrText>
      </w:r>
      <w:r w:rsidR="004810E5">
        <w:rPr>
          <w:rFonts w:cs="Times New Roman"/>
          <w:szCs w:val="24"/>
          <w:lang w:val="en-US"/>
        </w:rPr>
        <w:instrText>Goldstone</w:instrText>
      </w:r>
      <w:r w:rsidR="004810E5" w:rsidRPr="00E93A18">
        <w:rPr>
          <w:rFonts w:cs="Times New Roman"/>
          <w:szCs w:val="24"/>
        </w:rPr>
        <w:instrText>","</w:instrText>
      </w:r>
      <w:r w:rsidR="004810E5">
        <w:rPr>
          <w:rFonts w:cs="Times New Roman"/>
          <w:szCs w:val="24"/>
          <w:lang w:val="en-US"/>
        </w:rPr>
        <w:instrText>given</w:instrText>
      </w:r>
      <w:r w:rsidR="004810E5" w:rsidRPr="00E93A18">
        <w:rPr>
          <w:rFonts w:cs="Times New Roman"/>
          <w:szCs w:val="24"/>
        </w:rPr>
        <w:instrText>":"</w:instrText>
      </w:r>
      <w:r w:rsidR="004810E5">
        <w:rPr>
          <w:rFonts w:cs="Times New Roman"/>
          <w:szCs w:val="24"/>
          <w:lang w:val="en-US"/>
        </w:rPr>
        <w:instrText>A</w:instrText>
      </w:r>
      <w:r w:rsidR="004810E5" w:rsidRPr="00E93A18">
        <w:rPr>
          <w:rFonts w:cs="Times New Roman"/>
          <w:szCs w:val="24"/>
        </w:rPr>
        <w:instrText xml:space="preserve"> </w:instrText>
      </w:r>
      <w:r w:rsidR="004810E5">
        <w:rPr>
          <w:rFonts w:cs="Times New Roman"/>
          <w:szCs w:val="24"/>
          <w:lang w:val="en-US"/>
        </w:rPr>
        <w:instrText>H</w:instrText>
      </w:r>
      <w:r w:rsidR="004810E5" w:rsidRPr="00E93A18">
        <w:rPr>
          <w:rFonts w:cs="Times New Roman"/>
          <w:szCs w:val="24"/>
        </w:rPr>
        <w:instrText>","</w:instrText>
      </w:r>
      <w:r w:rsidR="004810E5">
        <w:rPr>
          <w:rFonts w:cs="Times New Roman"/>
          <w:szCs w:val="24"/>
          <w:lang w:val="en-US"/>
        </w:rPr>
        <w:instrText>non</w:instrText>
      </w:r>
      <w:r w:rsidR="004810E5" w:rsidRPr="00E93A18">
        <w:rPr>
          <w:rFonts w:cs="Times New Roman"/>
          <w:szCs w:val="24"/>
        </w:rPr>
        <w:instrText>-</w:instrText>
      </w:r>
      <w:r w:rsidR="004810E5">
        <w:rPr>
          <w:rFonts w:cs="Times New Roman"/>
          <w:szCs w:val="24"/>
          <w:lang w:val="en-US"/>
        </w:rPr>
        <w:instrText>dropping</w:instrText>
      </w:r>
      <w:r w:rsidR="004810E5" w:rsidRPr="00E93A18">
        <w:rPr>
          <w:rFonts w:cs="Times New Roman"/>
          <w:szCs w:val="24"/>
        </w:rPr>
        <w:instrText>-</w:instrText>
      </w:r>
      <w:r w:rsidR="004810E5">
        <w:rPr>
          <w:rFonts w:cs="Times New Roman"/>
          <w:szCs w:val="24"/>
          <w:lang w:val="en-US"/>
        </w:rPr>
        <w:instrText>particle</w:instrText>
      </w:r>
      <w:r w:rsidR="004810E5" w:rsidRPr="00E93A18">
        <w:rPr>
          <w:rFonts w:cs="Times New Roman"/>
          <w:szCs w:val="24"/>
        </w:rPr>
        <w:instrText>":"","</w:instrText>
      </w:r>
      <w:r w:rsidR="004810E5">
        <w:rPr>
          <w:rFonts w:cs="Times New Roman"/>
          <w:szCs w:val="24"/>
          <w:lang w:val="en-US"/>
        </w:rPr>
        <w:instrText>parse</w:instrText>
      </w:r>
      <w:r w:rsidR="004810E5" w:rsidRPr="00E93A18">
        <w:rPr>
          <w:rFonts w:cs="Times New Roman"/>
          <w:szCs w:val="24"/>
        </w:rPr>
        <w:instrText>-</w:instrText>
      </w:r>
      <w:r w:rsidR="004810E5">
        <w:rPr>
          <w:rFonts w:cs="Times New Roman"/>
          <w:szCs w:val="24"/>
          <w:lang w:val="en-US"/>
        </w:rPr>
        <w:instrText>names</w:instrText>
      </w:r>
      <w:r w:rsidR="004810E5" w:rsidRPr="00E93A18">
        <w:rPr>
          <w:rFonts w:cs="Times New Roman"/>
          <w:szCs w:val="24"/>
        </w:rPr>
        <w:instrText>":</w:instrText>
      </w:r>
      <w:r w:rsidR="004810E5">
        <w:rPr>
          <w:rFonts w:cs="Times New Roman"/>
          <w:szCs w:val="24"/>
          <w:lang w:val="en-US"/>
        </w:rPr>
        <w:instrText>false</w:instrText>
      </w:r>
      <w:r w:rsidR="004810E5" w:rsidRPr="00E93A18">
        <w:rPr>
          <w:rFonts w:cs="Times New Roman"/>
          <w:szCs w:val="24"/>
        </w:rPr>
        <w:instrText>,"</w:instrText>
      </w:r>
      <w:r w:rsidR="004810E5">
        <w:rPr>
          <w:rFonts w:cs="Times New Roman"/>
          <w:szCs w:val="24"/>
          <w:lang w:val="en-US"/>
        </w:rPr>
        <w:instrText>suffix</w:instrText>
      </w:r>
      <w:r w:rsidR="004810E5" w:rsidRPr="00E93A18">
        <w:rPr>
          <w:rFonts w:cs="Times New Roman"/>
          <w:szCs w:val="24"/>
        </w:rPr>
        <w:instrText>":""}],"</w:instrText>
      </w:r>
      <w:r w:rsidR="004810E5">
        <w:rPr>
          <w:rFonts w:cs="Times New Roman"/>
          <w:szCs w:val="24"/>
          <w:lang w:val="en-US"/>
        </w:rPr>
        <w:instrText>container</w:instrText>
      </w:r>
      <w:r w:rsidR="004810E5" w:rsidRPr="00E93A18">
        <w:rPr>
          <w:rFonts w:cs="Times New Roman"/>
          <w:szCs w:val="24"/>
        </w:rPr>
        <w:instrText>-</w:instrText>
      </w:r>
      <w:r w:rsidR="004810E5">
        <w:rPr>
          <w:rFonts w:cs="Times New Roman"/>
          <w:szCs w:val="24"/>
          <w:lang w:val="en-US"/>
        </w:rPr>
        <w:instrText>title</w:instrText>
      </w:r>
      <w:r w:rsidR="004810E5" w:rsidRPr="00E93A18">
        <w:rPr>
          <w:rFonts w:cs="Times New Roman"/>
          <w:szCs w:val="24"/>
        </w:rPr>
        <w:instrText>":"</w:instrText>
      </w:r>
      <w:r w:rsidR="004810E5">
        <w:rPr>
          <w:rFonts w:cs="Times New Roman"/>
          <w:szCs w:val="24"/>
          <w:lang w:val="en-US"/>
        </w:rPr>
        <w:instrText>Journal</w:instrText>
      </w:r>
      <w:r w:rsidR="004810E5" w:rsidRPr="00E93A18">
        <w:rPr>
          <w:rFonts w:cs="Times New Roman"/>
          <w:szCs w:val="24"/>
        </w:rPr>
        <w:instrText xml:space="preserve"> </w:instrText>
      </w:r>
      <w:r w:rsidR="004810E5">
        <w:rPr>
          <w:rFonts w:cs="Times New Roman"/>
          <w:szCs w:val="24"/>
          <w:lang w:val="en-US"/>
        </w:rPr>
        <w:instrText>of</w:instrText>
      </w:r>
      <w:r w:rsidR="004810E5" w:rsidRPr="00E93A18">
        <w:rPr>
          <w:rFonts w:cs="Times New Roman"/>
          <w:szCs w:val="24"/>
        </w:rPr>
        <w:instrText xml:space="preserve"> </w:instrText>
      </w:r>
      <w:r w:rsidR="004810E5">
        <w:rPr>
          <w:rFonts w:cs="Times New Roman"/>
          <w:szCs w:val="24"/>
          <w:lang w:val="en-US"/>
        </w:rPr>
        <w:instrText>clinical</w:instrText>
      </w:r>
      <w:r w:rsidR="004810E5" w:rsidRPr="00E93A18">
        <w:rPr>
          <w:rFonts w:cs="Times New Roman"/>
          <w:szCs w:val="24"/>
        </w:rPr>
        <w:instrText xml:space="preserve"> </w:instrText>
      </w:r>
      <w:r w:rsidR="004810E5">
        <w:rPr>
          <w:rFonts w:cs="Times New Roman"/>
          <w:szCs w:val="24"/>
          <w:lang w:val="en-US"/>
        </w:rPr>
        <w:instrText>oncology</w:instrText>
      </w:r>
      <w:r w:rsidR="004810E5" w:rsidRPr="00E93A18">
        <w:rPr>
          <w:rFonts w:cs="Times New Roman"/>
          <w:szCs w:val="24"/>
        </w:rPr>
        <w:instrText xml:space="preserve"> : </w:instrText>
      </w:r>
      <w:r w:rsidR="004810E5">
        <w:rPr>
          <w:rFonts w:cs="Times New Roman"/>
          <w:szCs w:val="24"/>
          <w:lang w:val="en-US"/>
        </w:rPr>
        <w:instrText>official</w:instrText>
      </w:r>
      <w:r w:rsidR="004810E5" w:rsidRPr="00E93A18">
        <w:rPr>
          <w:rFonts w:cs="Times New Roman"/>
          <w:szCs w:val="24"/>
        </w:rPr>
        <w:instrText xml:space="preserve"> </w:instrText>
      </w:r>
      <w:r w:rsidR="004810E5">
        <w:rPr>
          <w:rFonts w:cs="Times New Roman"/>
          <w:szCs w:val="24"/>
          <w:lang w:val="en-US"/>
        </w:rPr>
        <w:instrText>journal</w:instrText>
      </w:r>
      <w:r w:rsidR="004810E5" w:rsidRPr="00E93A18">
        <w:rPr>
          <w:rFonts w:cs="Times New Roman"/>
          <w:szCs w:val="24"/>
        </w:rPr>
        <w:instrText xml:space="preserve"> </w:instrText>
      </w:r>
      <w:r w:rsidR="004810E5">
        <w:rPr>
          <w:rFonts w:cs="Times New Roman"/>
          <w:szCs w:val="24"/>
          <w:lang w:val="en-US"/>
        </w:rPr>
        <w:instrText>of</w:instrText>
      </w:r>
      <w:r w:rsidR="004810E5" w:rsidRPr="00E93A18">
        <w:rPr>
          <w:rFonts w:cs="Times New Roman"/>
          <w:szCs w:val="24"/>
        </w:rPr>
        <w:instrText xml:space="preserve"> </w:instrText>
      </w:r>
      <w:r w:rsidR="004810E5">
        <w:rPr>
          <w:rFonts w:cs="Times New Roman"/>
          <w:szCs w:val="24"/>
          <w:lang w:val="en-US"/>
        </w:rPr>
        <w:instrText>the</w:instrText>
      </w:r>
      <w:r w:rsidR="004810E5" w:rsidRPr="00E93A18">
        <w:rPr>
          <w:rFonts w:cs="Times New Roman"/>
          <w:szCs w:val="24"/>
        </w:rPr>
        <w:instrText xml:space="preserve"> </w:instrText>
      </w:r>
      <w:r w:rsidR="004810E5">
        <w:rPr>
          <w:rFonts w:cs="Times New Roman"/>
          <w:szCs w:val="24"/>
          <w:lang w:val="en-US"/>
        </w:rPr>
        <w:instrText>American</w:instrText>
      </w:r>
      <w:r w:rsidR="004810E5" w:rsidRPr="00E93A18">
        <w:rPr>
          <w:rFonts w:cs="Times New Roman"/>
          <w:szCs w:val="24"/>
        </w:rPr>
        <w:instrText xml:space="preserve"> </w:instrText>
      </w:r>
      <w:r w:rsidR="004810E5">
        <w:rPr>
          <w:rFonts w:cs="Times New Roman"/>
          <w:szCs w:val="24"/>
          <w:lang w:val="en-US"/>
        </w:rPr>
        <w:instrText>Society</w:instrText>
      </w:r>
      <w:r w:rsidR="004810E5" w:rsidRPr="00E93A18">
        <w:rPr>
          <w:rFonts w:cs="Times New Roman"/>
          <w:szCs w:val="24"/>
        </w:rPr>
        <w:instrText xml:space="preserve"> </w:instrText>
      </w:r>
      <w:r w:rsidR="004810E5">
        <w:rPr>
          <w:rFonts w:cs="Times New Roman"/>
          <w:szCs w:val="24"/>
          <w:lang w:val="en-US"/>
        </w:rPr>
        <w:instrText>of</w:instrText>
      </w:r>
      <w:r w:rsidR="004810E5" w:rsidRPr="00E93A18">
        <w:rPr>
          <w:rFonts w:cs="Times New Roman"/>
          <w:szCs w:val="24"/>
        </w:rPr>
        <w:instrText xml:space="preserve"> </w:instrText>
      </w:r>
      <w:r w:rsidR="004810E5">
        <w:rPr>
          <w:rFonts w:cs="Times New Roman"/>
          <w:szCs w:val="24"/>
          <w:lang w:val="en-US"/>
        </w:rPr>
        <w:instrText>Clinical</w:instrText>
      </w:r>
      <w:r w:rsidR="004810E5" w:rsidRPr="00E93A18">
        <w:rPr>
          <w:rFonts w:cs="Times New Roman"/>
          <w:szCs w:val="24"/>
        </w:rPr>
        <w:instrText xml:space="preserve"> </w:instrText>
      </w:r>
      <w:r w:rsidR="004810E5">
        <w:rPr>
          <w:rFonts w:cs="Times New Roman"/>
          <w:szCs w:val="24"/>
          <w:lang w:val="en-US"/>
        </w:rPr>
        <w:instrText>Oncology</w:instrText>
      </w:r>
      <w:r w:rsidR="004810E5" w:rsidRPr="00E93A18">
        <w:rPr>
          <w:rFonts w:cs="Times New Roman"/>
          <w:szCs w:val="24"/>
        </w:rPr>
        <w:instrText>","</w:instrText>
      </w:r>
      <w:r w:rsidR="004810E5">
        <w:rPr>
          <w:rFonts w:cs="Times New Roman"/>
          <w:szCs w:val="24"/>
          <w:lang w:val="en-US"/>
        </w:rPr>
        <w:instrText>id</w:instrText>
      </w:r>
      <w:r w:rsidR="004810E5" w:rsidRPr="00E93A18">
        <w:rPr>
          <w:rFonts w:cs="Times New Roman"/>
          <w:szCs w:val="24"/>
        </w:rPr>
        <w:instrText>":"</w:instrText>
      </w:r>
      <w:r w:rsidR="004810E5">
        <w:rPr>
          <w:rFonts w:cs="Times New Roman"/>
          <w:szCs w:val="24"/>
          <w:lang w:val="en-US"/>
        </w:rPr>
        <w:instrText>ITEM</w:instrText>
      </w:r>
      <w:r w:rsidR="004810E5" w:rsidRPr="00E93A18">
        <w:rPr>
          <w:rFonts w:cs="Times New Roman"/>
          <w:szCs w:val="24"/>
        </w:rPr>
        <w:instrText>-1","</w:instrText>
      </w:r>
      <w:r w:rsidR="004810E5">
        <w:rPr>
          <w:rFonts w:cs="Times New Roman"/>
          <w:szCs w:val="24"/>
          <w:lang w:val="en-US"/>
        </w:rPr>
        <w:instrText>issue</w:instrText>
      </w:r>
      <w:r w:rsidR="004810E5" w:rsidRPr="00E93A18">
        <w:rPr>
          <w:rFonts w:cs="Times New Roman"/>
          <w:szCs w:val="24"/>
        </w:rPr>
        <w:instrText>":"3","</w:instrText>
      </w:r>
      <w:r w:rsidR="004810E5">
        <w:rPr>
          <w:rFonts w:cs="Times New Roman"/>
          <w:szCs w:val="24"/>
          <w:lang w:val="en-US"/>
        </w:rPr>
        <w:instrText>issued</w:instrText>
      </w:r>
      <w:r w:rsidR="004810E5" w:rsidRPr="00E93A18">
        <w:rPr>
          <w:rFonts w:cs="Times New Roman"/>
          <w:szCs w:val="24"/>
        </w:rPr>
        <w:instrText>":{"</w:instrText>
      </w:r>
      <w:r w:rsidR="004810E5">
        <w:rPr>
          <w:rFonts w:cs="Times New Roman"/>
          <w:szCs w:val="24"/>
          <w:lang w:val="en-US"/>
        </w:rPr>
        <w:instrText>date</w:instrText>
      </w:r>
      <w:r w:rsidR="004810E5" w:rsidRPr="00E93A18">
        <w:rPr>
          <w:rFonts w:cs="Times New Roman"/>
          <w:szCs w:val="24"/>
        </w:rPr>
        <w:instrText>-</w:instrText>
      </w:r>
      <w:r w:rsidR="004810E5">
        <w:rPr>
          <w:rFonts w:cs="Times New Roman"/>
          <w:szCs w:val="24"/>
          <w:lang w:val="en-US"/>
        </w:rPr>
        <w:instrText>parts</w:instrText>
      </w:r>
      <w:r w:rsidR="004810E5" w:rsidRPr="00E93A18">
        <w:rPr>
          <w:rFonts w:cs="Times New Roman"/>
          <w:szCs w:val="24"/>
        </w:rPr>
        <w:instrText>":[["1995","3"]]},"</w:instrText>
      </w:r>
      <w:r w:rsidR="004810E5">
        <w:rPr>
          <w:rFonts w:cs="Times New Roman"/>
          <w:szCs w:val="24"/>
          <w:lang w:val="en-US"/>
        </w:rPr>
        <w:instrText>page</w:instrText>
      </w:r>
      <w:r w:rsidR="004810E5" w:rsidRPr="00E93A18">
        <w:rPr>
          <w:rFonts w:cs="Times New Roman"/>
          <w:szCs w:val="24"/>
        </w:rPr>
        <w:instrText>":"588-95","</w:instrText>
      </w:r>
      <w:r w:rsidR="004810E5">
        <w:rPr>
          <w:rFonts w:cs="Times New Roman"/>
          <w:szCs w:val="24"/>
          <w:lang w:val="en-US"/>
        </w:rPr>
        <w:instrText>publisher</w:instrText>
      </w:r>
      <w:r w:rsidR="004810E5" w:rsidRPr="00E93A18">
        <w:rPr>
          <w:rFonts w:cs="Times New Roman"/>
          <w:szCs w:val="24"/>
        </w:rPr>
        <w:instrText>":"</w:instrText>
      </w:r>
      <w:r w:rsidR="004810E5">
        <w:rPr>
          <w:rFonts w:cs="Times New Roman"/>
          <w:szCs w:val="24"/>
          <w:lang w:val="en-US"/>
        </w:rPr>
        <w:instrText>J</w:instrText>
      </w:r>
      <w:r w:rsidR="004810E5" w:rsidRPr="00E93A18">
        <w:rPr>
          <w:rFonts w:cs="Times New Roman"/>
          <w:szCs w:val="24"/>
        </w:rPr>
        <w:instrText xml:space="preserve"> </w:instrText>
      </w:r>
      <w:r w:rsidR="004810E5">
        <w:rPr>
          <w:rFonts w:cs="Times New Roman"/>
          <w:szCs w:val="24"/>
          <w:lang w:val="en-US"/>
        </w:rPr>
        <w:instrText>Clin</w:instrText>
      </w:r>
      <w:r w:rsidR="004810E5" w:rsidRPr="00E93A18">
        <w:rPr>
          <w:rFonts w:cs="Times New Roman"/>
          <w:szCs w:val="24"/>
        </w:rPr>
        <w:instrText xml:space="preserve"> </w:instrText>
      </w:r>
      <w:r w:rsidR="004810E5">
        <w:rPr>
          <w:rFonts w:cs="Times New Roman"/>
          <w:szCs w:val="24"/>
          <w:lang w:val="en-US"/>
        </w:rPr>
        <w:instrText>Oncol</w:instrText>
      </w:r>
      <w:r w:rsidR="004810E5" w:rsidRPr="00E93A18">
        <w:rPr>
          <w:rFonts w:cs="Times New Roman"/>
          <w:szCs w:val="24"/>
        </w:rPr>
        <w:instrText>","</w:instrText>
      </w:r>
      <w:r w:rsidR="004810E5">
        <w:rPr>
          <w:rFonts w:cs="Times New Roman"/>
          <w:szCs w:val="24"/>
          <w:lang w:val="en-US"/>
        </w:rPr>
        <w:instrText>title</w:instrText>
      </w:r>
      <w:r w:rsidR="004810E5" w:rsidRPr="00E93A18">
        <w:rPr>
          <w:rFonts w:cs="Times New Roman"/>
          <w:szCs w:val="24"/>
        </w:rPr>
        <w:instrText>":"</w:instrText>
      </w:r>
      <w:r w:rsidR="004810E5">
        <w:rPr>
          <w:rFonts w:cs="Times New Roman"/>
          <w:szCs w:val="24"/>
          <w:lang w:val="en-US"/>
        </w:rPr>
        <w:instrText>BEAM</w:instrText>
      </w:r>
      <w:r w:rsidR="004810E5" w:rsidRPr="00E93A18">
        <w:rPr>
          <w:rFonts w:cs="Times New Roman"/>
          <w:szCs w:val="24"/>
        </w:rPr>
        <w:instrText xml:space="preserve"> </w:instrText>
      </w:r>
      <w:r w:rsidR="004810E5">
        <w:rPr>
          <w:rFonts w:cs="Times New Roman"/>
          <w:szCs w:val="24"/>
          <w:lang w:val="en-US"/>
        </w:rPr>
        <w:instrText>chemotherapy</w:instrText>
      </w:r>
      <w:r w:rsidR="004810E5" w:rsidRPr="00E93A18">
        <w:rPr>
          <w:rFonts w:cs="Times New Roman"/>
          <w:szCs w:val="24"/>
        </w:rPr>
        <w:instrText xml:space="preserve"> </w:instrText>
      </w:r>
      <w:r w:rsidR="004810E5">
        <w:rPr>
          <w:rFonts w:cs="Times New Roman"/>
          <w:szCs w:val="24"/>
          <w:lang w:val="en-US"/>
        </w:rPr>
        <w:instrText>and</w:instrText>
      </w:r>
      <w:r w:rsidR="004810E5" w:rsidRPr="00E93A18">
        <w:rPr>
          <w:rFonts w:cs="Times New Roman"/>
          <w:szCs w:val="24"/>
        </w:rPr>
        <w:instrText xml:space="preserve"> </w:instrText>
      </w:r>
      <w:r w:rsidR="004810E5">
        <w:rPr>
          <w:rFonts w:cs="Times New Roman"/>
          <w:szCs w:val="24"/>
          <w:lang w:val="en-US"/>
        </w:rPr>
        <w:instrText>autologous</w:instrText>
      </w:r>
      <w:r w:rsidR="004810E5" w:rsidRPr="00E93A18">
        <w:rPr>
          <w:rFonts w:cs="Times New Roman"/>
          <w:szCs w:val="24"/>
        </w:rPr>
        <w:instrText xml:space="preserve"> </w:instrText>
      </w:r>
      <w:r w:rsidR="004810E5">
        <w:rPr>
          <w:rFonts w:cs="Times New Roman"/>
          <w:szCs w:val="24"/>
          <w:lang w:val="en-US"/>
        </w:rPr>
        <w:instrText>bone</w:instrText>
      </w:r>
      <w:r w:rsidR="004810E5" w:rsidRPr="00E93A18">
        <w:rPr>
          <w:rFonts w:cs="Times New Roman"/>
          <w:szCs w:val="24"/>
        </w:rPr>
        <w:instrText xml:space="preserve"> </w:instrText>
      </w:r>
      <w:r w:rsidR="004810E5">
        <w:rPr>
          <w:rFonts w:cs="Times New Roman"/>
          <w:szCs w:val="24"/>
          <w:lang w:val="en-US"/>
        </w:rPr>
        <w:instrText>marrow</w:instrText>
      </w:r>
      <w:r w:rsidR="004810E5" w:rsidRPr="00E93A18">
        <w:rPr>
          <w:rFonts w:cs="Times New Roman"/>
          <w:szCs w:val="24"/>
        </w:rPr>
        <w:instrText xml:space="preserve"> </w:instrText>
      </w:r>
      <w:r w:rsidR="004810E5">
        <w:rPr>
          <w:rFonts w:cs="Times New Roman"/>
          <w:szCs w:val="24"/>
          <w:lang w:val="en-US"/>
        </w:rPr>
        <w:instrText>transplantation</w:instrText>
      </w:r>
      <w:r w:rsidR="004810E5" w:rsidRPr="00E93A18">
        <w:rPr>
          <w:rFonts w:cs="Times New Roman"/>
          <w:szCs w:val="24"/>
        </w:rPr>
        <w:instrText xml:space="preserve"> </w:instrText>
      </w:r>
      <w:r w:rsidR="004810E5">
        <w:rPr>
          <w:rFonts w:cs="Times New Roman"/>
          <w:szCs w:val="24"/>
          <w:lang w:val="en-US"/>
        </w:rPr>
        <w:instrText>for</w:instrText>
      </w:r>
      <w:r w:rsidR="004810E5" w:rsidRPr="00E93A18">
        <w:rPr>
          <w:rFonts w:cs="Times New Roman"/>
          <w:szCs w:val="24"/>
        </w:rPr>
        <w:instrText xml:space="preserve"> </w:instrText>
      </w:r>
      <w:r w:rsidR="004810E5">
        <w:rPr>
          <w:rFonts w:cs="Times New Roman"/>
          <w:szCs w:val="24"/>
          <w:lang w:val="en-US"/>
        </w:rPr>
        <w:instrText>patients</w:instrText>
      </w:r>
      <w:r w:rsidR="004810E5" w:rsidRPr="00E93A18">
        <w:rPr>
          <w:rFonts w:cs="Times New Roman"/>
          <w:szCs w:val="24"/>
        </w:rPr>
        <w:instrText xml:space="preserve"> </w:instrText>
      </w:r>
      <w:r w:rsidR="004810E5">
        <w:rPr>
          <w:rFonts w:cs="Times New Roman"/>
          <w:szCs w:val="24"/>
          <w:lang w:val="en-US"/>
        </w:rPr>
        <w:instrText>with</w:instrText>
      </w:r>
      <w:r w:rsidR="004810E5" w:rsidRPr="00E93A18">
        <w:rPr>
          <w:rFonts w:cs="Times New Roman"/>
          <w:szCs w:val="24"/>
        </w:rPr>
        <w:instrText xml:space="preserve"> </w:instrText>
      </w:r>
      <w:r w:rsidR="004810E5">
        <w:rPr>
          <w:rFonts w:cs="Times New Roman"/>
          <w:szCs w:val="24"/>
          <w:lang w:val="en-US"/>
        </w:rPr>
        <w:instrText>relapsed</w:instrText>
      </w:r>
      <w:r w:rsidR="004810E5" w:rsidRPr="00E93A18">
        <w:rPr>
          <w:rFonts w:cs="Times New Roman"/>
          <w:szCs w:val="24"/>
        </w:rPr>
        <w:instrText xml:space="preserve"> </w:instrText>
      </w:r>
      <w:r w:rsidR="004810E5">
        <w:rPr>
          <w:rFonts w:cs="Times New Roman"/>
          <w:szCs w:val="24"/>
          <w:lang w:val="en-US"/>
        </w:rPr>
        <w:instrText>or</w:instrText>
      </w:r>
      <w:r w:rsidR="004810E5" w:rsidRPr="00E93A18">
        <w:rPr>
          <w:rFonts w:cs="Times New Roman"/>
          <w:szCs w:val="24"/>
        </w:rPr>
        <w:instrText xml:space="preserve"> </w:instrText>
      </w:r>
      <w:r w:rsidR="004810E5">
        <w:rPr>
          <w:rFonts w:cs="Times New Roman"/>
          <w:szCs w:val="24"/>
          <w:lang w:val="en-US"/>
        </w:rPr>
        <w:instrText>refractory</w:instrText>
      </w:r>
      <w:r w:rsidR="004810E5" w:rsidRPr="00E93A18">
        <w:rPr>
          <w:rFonts w:cs="Times New Roman"/>
          <w:szCs w:val="24"/>
        </w:rPr>
        <w:instrText xml:space="preserve"> </w:instrText>
      </w:r>
      <w:r w:rsidR="004810E5">
        <w:rPr>
          <w:rFonts w:cs="Times New Roman"/>
          <w:szCs w:val="24"/>
          <w:lang w:val="en-US"/>
        </w:rPr>
        <w:instrText>non</w:instrText>
      </w:r>
      <w:r w:rsidR="004810E5" w:rsidRPr="00E93A18">
        <w:rPr>
          <w:rFonts w:cs="Times New Roman"/>
          <w:szCs w:val="24"/>
        </w:rPr>
        <w:instrText>-</w:instrText>
      </w:r>
      <w:r w:rsidR="004810E5">
        <w:rPr>
          <w:rFonts w:cs="Times New Roman"/>
          <w:szCs w:val="24"/>
          <w:lang w:val="en-US"/>
        </w:rPr>
        <w:instrText>Hodgkin</w:instrText>
      </w:r>
      <w:r w:rsidR="004810E5" w:rsidRPr="00E93A18">
        <w:rPr>
          <w:rFonts w:cs="Times New Roman"/>
          <w:szCs w:val="24"/>
        </w:rPr>
        <w:instrText>'</w:instrText>
      </w:r>
      <w:r w:rsidR="004810E5">
        <w:rPr>
          <w:rFonts w:cs="Times New Roman"/>
          <w:szCs w:val="24"/>
          <w:lang w:val="en-US"/>
        </w:rPr>
        <w:instrText>s</w:instrText>
      </w:r>
      <w:r w:rsidR="004810E5" w:rsidRPr="00E93A18">
        <w:rPr>
          <w:rFonts w:cs="Times New Roman"/>
          <w:szCs w:val="24"/>
        </w:rPr>
        <w:instrText xml:space="preserve"> </w:instrText>
      </w:r>
      <w:r w:rsidR="004810E5">
        <w:rPr>
          <w:rFonts w:cs="Times New Roman"/>
          <w:szCs w:val="24"/>
          <w:lang w:val="en-US"/>
        </w:rPr>
        <w:instrText>lymphoma</w:instrText>
      </w:r>
      <w:r w:rsidR="004810E5" w:rsidRPr="00E93A18">
        <w:rPr>
          <w:rFonts w:cs="Times New Roman"/>
          <w:szCs w:val="24"/>
        </w:rPr>
        <w:instrText>.","</w:instrText>
      </w:r>
      <w:r w:rsidR="004810E5">
        <w:rPr>
          <w:rFonts w:cs="Times New Roman"/>
          <w:szCs w:val="24"/>
          <w:lang w:val="en-US"/>
        </w:rPr>
        <w:instrText>type</w:instrText>
      </w:r>
      <w:r w:rsidR="004810E5" w:rsidRPr="00E93A18">
        <w:rPr>
          <w:rFonts w:cs="Times New Roman"/>
          <w:szCs w:val="24"/>
        </w:rPr>
        <w:instrText>":"</w:instrText>
      </w:r>
      <w:r w:rsidR="004810E5">
        <w:rPr>
          <w:rFonts w:cs="Times New Roman"/>
          <w:szCs w:val="24"/>
          <w:lang w:val="en-US"/>
        </w:rPr>
        <w:instrText>article</w:instrText>
      </w:r>
      <w:r w:rsidR="004810E5" w:rsidRPr="00E93A18">
        <w:rPr>
          <w:rFonts w:cs="Times New Roman"/>
          <w:szCs w:val="24"/>
        </w:rPr>
        <w:instrText>-</w:instrText>
      </w:r>
      <w:r w:rsidR="004810E5">
        <w:rPr>
          <w:rFonts w:cs="Times New Roman"/>
          <w:szCs w:val="24"/>
          <w:lang w:val="en-US"/>
        </w:rPr>
        <w:instrText>journal","volume":"13"},"uris":["http://www.mendeley.com/documents/?uuid=31ee3b3b-7e9b-351f-9bed-caba68be2117","http://www.mendeley.com/documents/?uuid=d7dd3d81-9258-4d54-8bba-a07894a41483"]},{"id":"ITEM-2","itemData":{"DOI":"10.3389/fonc.2019.00892","ISSN":"2234-943X","PMID":"31552193","abstract":"High-dose chemotherapy (HDT) followed by autologous hematopoietic stem cell transplantation (ASCT) is widely used in patients with malignant lymphomas. In Europe over 8,000 ASCTs for lymphoma were performed out of a total of 40,000 transplants according to the European Bone Marrow Transplant (EBMT) activity survey in 2017. ASCT is considered the standard treatment for eligible patients failing to achieve remission after first line chemotherapy or patients with relapsed or refractory lymphomas, including classical Hodkin's lymphoma, diffuse large B-cell lymphoma, mantle cell lymphoma, and follicular lymphoma, as well as consolidation therapy in first remission in mantle cell lymphoma. BEAM (BCNU/carmustine, etoposide, cytarabine, and melphalan) is the most commonly used conditioning regimen for ASCT in patients with relapsed/refractory (R/R) lymphomas in Europe, whereas the CBV (cyclophosphamide, BCNU, and etoposide) regimen is also widely used in North America. Recently, concerns regarding BCNU toxicity as well as restricted availability of BCNU and melphalan has determined an increasing number of transplant centers to use alternative conditioning regimens. Currently, only a few comparative studies, most of them retrospective, between different conditioning protocols regarding efficacy and toxicity have been published. Thus, in the current manuscript, we report the experience of 2 transplant centers in ASCT in R/R lymphomas with three types of conditioning: BEAM, CLV (cyclophosphamide, lomustine, etoposide) and LEAM (lomustine, etoposide, cytarabine, and melphalan), with the aim to evaluate the results of alternative conditioning regimens using lomustine (LEAM and CLV) and compare them with the standard BEAM regarding early toxicity, engraftment, and transplant related mortality (TRM). All patients developed grade IV neutropenia, anemia with/without transfusion necessity. Severe thrombocytopenia with transfusion requirements is reported in most cases. Median time to platelet engraftment and neutrophil engraftment was 13 days (range) and 10 days (range), respectively. Gastrointestinal toxicity was the most common non-hematologic toxicity after all three conditioning regimens. Oral mucositis in various grades from I to IV was diagnosed in most cases. Other side effects include vomiting, diarrhea, colitis, and skin rash but with low severity grades. For the LEAM arm, one patient died after transplant, before engrafting, one patient didn't achieve platelet …","author":[{"dropping-particle":"","family":"Colita","given":"Andrei","non-dropping-particle":"","parse-names":false,"suffix":""},{"dropping-particle":"","family":"Colita","given":"Anca","non-dropping-particle":"","parse-names":false,"suffix":""},{"dropping-particle":"","family":"Bumbea","given":"Horia","non-dropping-particle":"","parse-names":false,"suffix":""},{"dropping-particle":"","family":"Croitoru","given":"Adina","non-dropping-particle":"","parse-names":false,"suffix":""},{"dropping-particle":"","family":"Orban","given":"Carmen","non-dropping-particle":"","parse-names":false,"suffix":""},{"dropping-particle":"","family":"Lipan","given":"Lavinia Eugenia","non-dropping-particle":"","parse-names":false,"suffix":""},{"dropping-particle":"","family":"Craciun","given":"Oana-Gabriela","non-dropping-particle":"","parse-names":false,"suffix":""},{"dropping-particle":"","family":"Soare","given":"Dan","non-dropping-particle":"","parse-names":false,"suffix":""},{"dropping-particle":"","family":"Ghimici","given":"Cecilia","non-dropping-particle":"","parse-names":false,"suffix":""},{"dropping-particle":"","family":"Manolache","given":"Raluca","non-dropping-particle":"","parse-names":false,"suffix":""},{"dropping-particle":"","family":"Gelatu","given":"Ionel","non-dropping-particle":"","parse-names":false,"suffix":""},{"dropping-particle":"","family":"Vladareanu","given":"Ana-Maria","non-dropping-particle":"","parse-names":false,"suffix":""},{"dropping-particle":"","family":"Pasca","given":"Sergiu","non-dropping-particle":"","parse-names":false,"suffix":""},{"dropping-particle":"","family":"Teodorescu","given":"Patric","non-dropping-particle":"","parse-names":false,"suffix":""},{"dropping-particle":"","family":"Dima","given":"Delia","non-dropping-particle":"","parse-names":false,"suffix":""},{"dropping-particle":"","family":"Lupu","given":"Anca","non-dropping-particle":"","parse-names":false,"suffix":""},{"dropping-particle":"","family":"Coriu","given":"Daniel","non-dropping-particle":"","parse-names":false,"suffix":""},{"dropping-particle":"","family":"Tomuleasa","given":"Ciprian","non-dropping-particle":"","parse-names":false,"suffix":""},{"dropping-particle":"","family":"Tanase","given":"Alina","non-dropping-particle":"","parse-names":false,"suffix":""}],"container-title":"Frontiers in oncology","id":"ITEM-2","issued":{"date-parts":[["2019","9"]]},"page":"892","title":"LEAM vs. BEAM vs. CLV Conditioning Regimen for Autologous Stem Cell Transplantation in Malignant Lymphomas. Retrospective Comparison of Toxicity and Efficacy on 222 Patients in the First 100 Days After Transplant, On Behalf of the Romanian Society for Bon","type":"article-journal","volume":"9"},"uris":["http://www.mendeley.com/documents/?uuid=f0950c98-e48f-3e46-9b59-e92d523f0b5d","http://www.mendeley.com/documents/?uuid=1a8d312b-cff1-42d2-81dd-d36c0430abd5"]},{"id":"ITEM-3","itemData":{"ISBN":"9783030022778","author":[{"dropping-particle":"","family":"Enric Carreras","given":"Dufour Carlo","non-dropping-particle":"","parse-names":false,"suffix":""},{"dropping-particle":"","family":"Mohty Mohamad","given":"Kröger Nicolaus","non-dropping-particle":"","parse-names":false,"suffix":""}],"id":"ITEM-3","issued":{"date-parts":[["2019"]]},"number-of-pages":"702","title":"Hematopoietic Stem Cell Transplantation and Cellular Therapies","type":"book"},"uris":["http://www.mendeley.com/documents/?uuid=b2895edd-cfbd-4cbf-8d9b-e50422d61d71","http://www.mendeley.com/documents/?uuid=891fa663-7797-4301-8893-3b0a5d75b173"]},{"id":"ITEM-4","itemData":{"DOI":"10.5114/wo.2018.77046","ISSN":"1428-2526","PMID":"30150889","abstract":"Introduction BEAM (carmustine, etoposide, cytarabine, melphalan) is the most frequently used high-dose chemotherapy regimen for patients with lymphoma referred for autologous haematopoietic cell transplantation (autoHCT). Recently, a novel conditioning protocol containing bendamustine instead of carmustine (BeEAM) has been proposed to potentially increase the efficacy. Aim of the study The aim of this study was to retrospectively compare the safety profile of BEAM and BeEAM based on single-centre experience. Material and methods A total of 237 consecutive patients with lymphoma treated with either BEAM (n = 174) or BeEAM (n = 63), between the years 2011 and 2016, were included in the analysis. Clinical characteristics of both groups were comparable. Patients with Hodgkin's lymphoma (HL) constituted 49% of the BEAM group and 40% of the BeEAM group. Results Median time to neutrophil &gt; 0.5 × 109/l recovery was 10 days in both groups (p = 0.29), while median time to platelet &gt; 50 × 109/l recovery was 13 and 14 days after BEAM and BeEAM, respectively (p = 0.12). The toxicity profile was comparable except for arterial hypertension and severe hypokalaemia, which occurred more frequently after BeEAM compared to BEAM (p = 0.02 and p = 0.004, respectively). The rate of early mortality was 1.7% and 1.6%, respectively. The probabilities of the overall and progression-free survival were comparable for both groups (p = 0.73 and p = 0.55, respectively). Conclusions Administration of bendamustine instead of carmustine as part of conditioning does not affect the engraftment or the toxicity profile of the regimen. Therefore, BeEAM may be safely used in patients with lymphoma undergoing autoHCT. Its efficacy requires evaluation in prospective studies.","author":[{"dropping-particle":"","family":"Frankiewicz","given":"Andrzej","non-dropping-particle":"","parse-names":false,"suffix":""},{"dropping-particle":"","family":"Saduś-Wojciechowska","given":"Maria","non-dropping-particle":"","parse-names":false,"suffix":""},{"dropping-particle":"","family":"Najda","given":"Jacek","non-dropping-particle":"","parse-names":false,"suffix":""},{"dropping-particle":"","family":"Czerw","given":"Tomasz","non-dropping-particle":"","parse-names":false,"suffix":""},{"dropping-particle":"","family":"Mendrek","given":"Włodzimierz","non-dropping-particle":"","parse-names":false,"suffix":""},{"dropping-particle":"","family":"Sobczyk-Kruszelnicka","given":"Małgorzata","non-dropping-particle":"","parse-names":false,"suffix":""},{"dropping-particle":"","family":"Soska","given":"Katarzyna","non-dropping-particle":"","parse-names":false,"suffix":""},{"dropping-particle":"","family":"Ociepa","given":"Małgorzata","non-dropping-particle":"","parse-names":false,"suffix":""},{"dropping-particle":"","family":"Hołowiecki","given":"Jerzy","non-dropping-particle":"","parse-names":false,"suffix":""},{"dropping-particle":"","family":"Giebel","given":"Sebastian","non-dropping-particle":"","parse-names":false,"suffix":""}],"container-title":"Contemporary oncology (Poznan, Poland)","id":"ITEM-4","issue":"2","issued":{"date-parts":[["2018"]]},"page":"113-117","publisher":"Termedia Publishing","title":"Comparable safety profile of BeEAM (bendamustine, etoposide, cytarabine, melphalan) and BEAM (carmustine, etoposide, cytarabine, melphalan) as conditioning before autologous haematopoietic cell transplantation.","type":"article-journal","volume":"22"},"uris":["http://www.mendeley.com/documents/?uuid=fae33e18-ab1d-4ae6-86c6-c9c239bca9c9","http://www.mendeley.com/documents/?uuid=5cbf9ec0-cb46-34bb-9da8-ba263a19a7fa","http://www.mendeley.com/documents/?uuid=16329f66-6ee6-49a6-bcf0-a4309ffb9b19"]},{"id":"ITEM-5","itemData":{"DOI":"10.1038/sj.bmt.1700913","ISSN":"0268-3369","PMID":"9313877","abstract":"In the present paper, we evaluate tolerability, outcome and prognostic factors in patients with poor prognosis non-Hodgkin's lymphoma (NHL) and Hodgkin's disease (HD) when uniformly treated with BCNU, etoposide, cytarabine and melphalan (BEAM) and autologous stem cell transplant (ASCT). On hundred and forty-eight patients with NHL (n = 112) or HD (n = 36) received BEAM followed by infusion of bone marrow (n = 55), peripheral blood stem cells (n = 79) or both (n = 14). Twenty-eight patients had low-grade lymphoma (LGL), 68 intermediate- and 16 high-grade lymphoma (IGL). Within the NHL group, 21 patients were in 2nd or subsequent complete remission (CR) at transplant, 34 had sensitive disease and 11 resistant disease; 46 patients were transplanted in 1st CR due to the presence of &gt; or = 2 adverse prognostic features at diagnosis or to a slow CR. Of the HD patients at transplant 17 had active disease, 16 were in &gt; or = 2 CR and three in 1st CR. The overall percentage of toxic deaths was 5.4%, while in the group of patients transplanted with PBSC it was only 1.3%. NHL patients: 78% were in CR following ASCT, including 25 out of 45 patients (56%) who were transplanted with active disease. Only two of the 11 patients transplanted with resistant disease achieved CR. Incidence of overall survival (OS) and disease-free survival (DFS) at 3 years was 65 and 75%, respectively. As far as histology was concerned, OS was significantly better for patients with LGL in comparison with IGL (88 vs 56%) (P = 0.002). DFS was significantly higher for patients transplanted in first CR or first partial remission (PR) than it was for those transplanted in a later CR or PR (86 vs 53%) (P = 0.02). Multivariate analysis for OS showed that histology, bulky disease, poor performance status at transplant and achievement of CR were independent prognostic factors. In addition, a high number of infused MNC was associated with poor DFS. HD patients: 30 (83%) were in CR after transplantation, with 25 maintaining CR at the end of the study. Only one of the four patients transplanted with resistant disease reached CR. Incidence of OS and DFS at 3 years was 78 and 81%. DFS was similar for patients transplanted with early or late relapse (95 and 93%). With multivariate analysis, the only independent variable for OS was CR after transplant. In conclusion, the present results demonstrate the efficacy and low toxicity of the BEAM regimen in high-risk lymphoma patients with sensitive disease. Othe…","author":[{"dropping-particle":"","family":"Caballero","given":"M D","non-dropping-particle":"","parse-names":false,"suffix":""},{"dropping-particle":"","family":"Rubio","given":"V","non-dropping-particle":"","parse-names":false,"suffix":""},{"dropping-particle":"","family":"Rifon","given":"J","non-dropping-particle":"","parse-names":false,"suffix":""},{"dropping-particle":"","family":"Heras","given":"I","non-dropping-particle":"","parse-names":false,"suffix":""},{"dropping-particle":"","family":"García-Sanz","given":"R","non-dropping-particle":"","parse-names":false,"suffix":""},{"dropping-particle":"","family":"Vázquez","given":"L","non-dropping-particle":"","parse-names":false,"suffix":""},{"dropping-particle":"","family":"Vidriales","given":"B","non-dropping-particle":"","parse-names":false,"suffix":""},{"dropping-particle":"","family":"Cañizo","given":"M C","non-dropping-particle":"del","parse-names":false,"suffix":""},{"dropping-particle":"","family":"Corral","given":"M","non-dropping-particle":"","parse-names":false,"suffix":""},{"dropping-particle":"","family":"Gonzalez","given":"M","non-dropping-particle":"","parse-names":false,"suffix":""},{"dropping-particle":"","family":"León","given":"A","non-dropping-particle":"","parse-names":false,"suffix":""},{"dropping-particle":"","family":"Jean-Paul","given":"E","non-dropping-particle":"","parse-names":false,"suffix":""},{"dropping-particle":"","family":"Rocha","given":"E","non-dropping-particle":"","parse-names":false,"suffix":""},{"dropping-particle":"","family":"Moraleda","given":"J M","non-dropping-particle":"","parse-names":false,"suffix":""},{"dropping-particle":"","family":"San Miguel","given":"J F","non-dropping-particle":"","parse-names":false,"suffix":""}],"container-title":"Bone marrow transplantation","id":"ITEM-5","issue":"6","issued":{"date-parts":[["1997","9"]]},"page":"451-8","publisher":"Bone Marrow Transplant","title":"BEAM chemotherapy followed by autologous stem cell support in lymphoma patients: analysis of efficacy, toxicity and prognostic factors.","type":"article-journal","volume":"20"},"uris":["http://www.mendeley.com/documents/?uuid=2b94cb18-5ce5-4ed6-a557-5d87d182dcc3","http://www.mendeley.com/documents/?uuid=83d43668-9134-3bde-8ac7-eb055fb3d2a1","http://www.mendeley.com/documents/?uuid=45bc2ec5-b853-48e8-a5e0-d90f0a5a885e"]}],"mendeley":{"formattedCitation":"[184–188]","plainTextFormattedCitation":"[184–188]","previouslyFormattedCitation":"[184–188]"},"properties":{"noteIndex":0},"schema":"https://github.com/citation-style-language/schema/raw/master/csl-citation.json"}</w:instrText>
      </w:r>
      <w:r w:rsidRPr="00E242EE">
        <w:rPr>
          <w:rFonts w:cs="Times New Roman"/>
          <w:szCs w:val="24"/>
          <w:lang w:val="en-US"/>
        </w:rPr>
        <w:fldChar w:fldCharType="separate"/>
      </w:r>
      <w:r w:rsidR="004810E5" w:rsidRPr="004810E5">
        <w:rPr>
          <w:rFonts w:cs="Times New Roman"/>
          <w:noProof/>
          <w:szCs w:val="24"/>
        </w:rPr>
        <w:t>[184–188]</w:t>
      </w:r>
      <w:r w:rsidRPr="00E242EE">
        <w:rPr>
          <w:rFonts w:cs="Times New Roman"/>
          <w:szCs w:val="24"/>
          <w:lang w:val="en-US"/>
        </w:rPr>
        <w:fldChar w:fldCharType="end"/>
      </w:r>
    </w:p>
    <w:tbl>
      <w:tblPr>
        <w:tblStyle w:val="aff9"/>
        <w:tblW w:w="0" w:type="auto"/>
        <w:tblInd w:w="108" w:type="dxa"/>
        <w:tblLayout w:type="fixed"/>
        <w:tblLook w:val="04A0" w:firstRow="1" w:lastRow="0" w:firstColumn="1" w:lastColumn="0" w:noHBand="0" w:noVBand="1"/>
      </w:tblPr>
      <w:tblGrid>
        <w:gridCol w:w="1418"/>
        <w:gridCol w:w="1701"/>
        <w:gridCol w:w="1134"/>
        <w:gridCol w:w="1276"/>
        <w:gridCol w:w="1275"/>
        <w:gridCol w:w="2659"/>
      </w:tblGrid>
      <w:tr w:rsidR="0075793D" w:rsidRPr="00BA4F0F" w14:paraId="041560C1" w14:textId="77777777" w:rsidTr="002D3EBF">
        <w:tc>
          <w:tcPr>
            <w:tcW w:w="1418" w:type="dxa"/>
          </w:tcPr>
          <w:p w14:paraId="4CED2678" w14:textId="77777777" w:rsidR="0075793D" w:rsidRPr="00BA4F0F" w:rsidRDefault="0075793D" w:rsidP="00E242EE">
            <w:pPr>
              <w:pStyle w:val="afe"/>
              <w:ind w:left="0" w:firstLine="0"/>
              <w:rPr>
                <w:rFonts w:cs="Times New Roman"/>
                <w:szCs w:val="24"/>
              </w:rPr>
            </w:pPr>
            <w:r w:rsidRPr="00BA4F0F">
              <w:rPr>
                <w:rFonts w:cs="Times New Roman"/>
                <w:szCs w:val="24"/>
              </w:rPr>
              <w:t>Препарат</w:t>
            </w:r>
          </w:p>
        </w:tc>
        <w:tc>
          <w:tcPr>
            <w:tcW w:w="1701" w:type="dxa"/>
          </w:tcPr>
          <w:p w14:paraId="40E9A90D" w14:textId="77777777" w:rsidR="0075793D" w:rsidRPr="00BA4F0F" w:rsidRDefault="0075793D" w:rsidP="00E242EE">
            <w:pPr>
              <w:pStyle w:val="afe"/>
              <w:ind w:left="0" w:firstLine="0"/>
              <w:rPr>
                <w:rFonts w:cs="Times New Roman"/>
                <w:szCs w:val="24"/>
              </w:rPr>
            </w:pPr>
            <w:r w:rsidRPr="00BA4F0F">
              <w:rPr>
                <w:rFonts w:cs="Times New Roman"/>
                <w:szCs w:val="24"/>
              </w:rPr>
              <w:t>Дни введения перед ауто-ТГСК</w:t>
            </w:r>
          </w:p>
        </w:tc>
        <w:tc>
          <w:tcPr>
            <w:tcW w:w="1134" w:type="dxa"/>
          </w:tcPr>
          <w:p w14:paraId="5F07414C" w14:textId="77777777" w:rsidR="0075793D" w:rsidRPr="00BA4F0F" w:rsidRDefault="0075793D" w:rsidP="00E242EE">
            <w:pPr>
              <w:pStyle w:val="afe"/>
              <w:ind w:left="0" w:firstLine="0"/>
              <w:rPr>
                <w:rFonts w:cs="Times New Roman"/>
                <w:szCs w:val="24"/>
              </w:rPr>
            </w:pPr>
            <w:r w:rsidRPr="00BA4F0F">
              <w:rPr>
                <w:rFonts w:cs="Times New Roman"/>
                <w:szCs w:val="24"/>
              </w:rPr>
              <w:t>Разовая доза</w:t>
            </w:r>
          </w:p>
        </w:tc>
        <w:tc>
          <w:tcPr>
            <w:tcW w:w="1276" w:type="dxa"/>
          </w:tcPr>
          <w:p w14:paraId="3460D7D4" w14:textId="77777777" w:rsidR="0075793D" w:rsidRPr="00BA4F0F" w:rsidRDefault="0075793D" w:rsidP="00E242EE">
            <w:pPr>
              <w:pStyle w:val="afe"/>
              <w:ind w:left="0" w:firstLine="0"/>
              <w:rPr>
                <w:rFonts w:cs="Times New Roman"/>
                <w:szCs w:val="24"/>
              </w:rPr>
            </w:pPr>
            <w:r w:rsidRPr="00BA4F0F">
              <w:rPr>
                <w:rFonts w:cs="Times New Roman"/>
                <w:szCs w:val="24"/>
              </w:rPr>
              <w:t>Суточная доза</w:t>
            </w:r>
          </w:p>
        </w:tc>
        <w:tc>
          <w:tcPr>
            <w:tcW w:w="1275" w:type="dxa"/>
          </w:tcPr>
          <w:p w14:paraId="0244A3FB" w14:textId="77777777" w:rsidR="0075793D" w:rsidRPr="00BA4F0F" w:rsidRDefault="0075793D" w:rsidP="00E242EE">
            <w:pPr>
              <w:pStyle w:val="afe"/>
              <w:ind w:left="0" w:firstLine="0"/>
              <w:rPr>
                <w:rFonts w:cs="Times New Roman"/>
                <w:szCs w:val="24"/>
              </w:rPr>
            </w:pPr>
            <w:r w:rsidRPr="00BA4F0F">
              <w:rPr>
                <w:rFonts w:cs="Times New Roman"/>
                <w:szCs w:val="24"/>
              </w:rPr>
              <w:t>Курсовая доза</w:t>
            </w:r>
          </w:p>
        </w:tc>
        <w:tc>
          <w:tcPr>
            <w:tcW w:w="2659" w:type="dxa"/>
          </w:tcPr>
          <w:p w14:paraId="1E537DFF" w14:textId="77777777" w:rsidR="0075793D" w:rsidRPr="00BA4F0F" w:rsidRDefault="0075793D" w:rsidP="00E242EE">
            <w:pPr>
              <w:pStyle w:val="afe"/>
              <w:ind w:left="0" w:firstLine="0"/>
              <w:rPr>
                <w:rFonts w:cs="Times New Roman"/>
                <w:szCs w:val="24"/>
              </w:rPr>
            </w:pPr>
            <w:r w:rsidRPr="00BA4F0F">
              <w:rPr>
                <w:rFonts w:cs="Times New Roman"/>
                <w:szCs w:val="24"/>
              </w:rPr>
              <w:t>Особенности введения</w:t>
            </w:r>
          </w:p>
        </w:tc>
      </w:tr>
      <w:tr w:rsidR="0075793D" w:rsidRPr="00BA4F0F" w14:paraId="6EDD5135" w14:textId="77777777" w:rsidTr="002D3EBF">
        <w:tc>
          <w:tcPr>
            <w:tcW w:w="1418" w:type="dxa"/>
          </w:tcPr>
          <w:p w14:paraId="432D90AC" w14:textId="77777777" w:rsidR="0075793D" w:rsidRPr="00BA4F0F" w:rsidRDefault="0075793D" w:rsidP="00E242EE">
            <w:pPr>
              <w:pStyle w:val="afe"/>
              <w:ind w:left="0" w:firstLine="0"/>
              <w:jc w:val="center"/>
              <w:rPr>
                <w:rFonts w:cs="Times New Roman"/>
                <w:szCs w:val="24"/>
              </w:rPr>
            </w:pPr>
            <w:r w:rsidRPr="00BA4F0F">
              <w:rPr>
                <w:rFonts w:cs="Times New Roman"/>
                <w:szCs w:val="24"/>
              </w:rPr>
              <w:t>Кармустин</w:t>
            </w:r>
          </w:p>
        </w:tc>
        <w:tc>
          <w:tcPr>
            <w:tcW w:w="1701" w:type="dxa"/>
          </w:tcPr>
          <w:p w14:paraId="4613F80A" w14:textId="77777777" w:rsidR="0075793D" w:rsidRPr="00BA4F0F" w:rsidRDefault="0075793D" w:rsidP="00E242EE">
            <w:pPr>
              <w:pStyle w:val="afe"/>
              <w:ind w:left="0" w:firstLine="0"/>
              <w:jc w:val="center"/>
              <w:rPr>
                <w:rFonts w:cs="Times New Roman"/>
                <w:szCs w:val="24"/>
              </w:rPr>
            </w:pPr>
            <w:r w:rsidRPr="00BA4F0F">
              <w:rPr>
                <w:rFonts w:cs="Times New Roman"/>
                <w:szCs w:val="24"/>
              </w:rPr>
              <w:t>-6 день</w:t>
            </w:r>
          </w:p>
        </w:tc>
        <w:tc>
          <w:tcPr>
            <w:tcW w:w="1134" w:type="dxa"/>
          </w:tcPr>
          <w:p w14:paraId="071F8482" w14:textId="77777777" w:rsidR="0075793D" w:rsidRPr="00BA4F0F" w:rsidRDefault="0075793D" w:rsidP="00E242EE">
            <w:pPr>
              <w:pStyle w:val="afe"/>
              <w:ind w:left="0" w:firstLine="0"/>
              <w:jc w:val="center"/>
              <w:rPr>
                <w:rFonts w:cs="Times New Roman"/>
                <w:szCs w:val="24"/>
              </w:rPr>
            </w:pPr>
            <w:r w:rsidRPr="00BA4F0F">
              <w:rPr>
                <w:rFonts w:cs="Times New Roman"/>
                <w:szCs w:val="24"/>
              </w:rPr>
              <w:t>300мг/м</w:t>
            </w:r>
            <w:r w:rsidRPr="00BA4F0F">
              <w:rPr>
                <w:rFonts w:cs="Times New Roman"/>
                <w:szCs w:val="24"/>
                <w:vertAlign w:val="superscript"/>
              </w:rPr>
              <w:t>2</w:t>
            </w:r>
          </w:p>
        </w:tc>
        <w:tc>
          <w:tcPr>
            <w:tcW w:w="1276" w:type="dxa"/>
          </w:tcPr>
          <w:p w14:paraId="5F2B1FC7" w14:textId="77777777" w:rsidR="0075793D" w:rsidRPr="00BA4F0F" w:rsidRDefault="0075793D" w:rsidP="00E242EE">
            <w:pPr>
              <w:pStyle w:val="afe"/>
              <w:ind w:left="0" w:firstLine="0"/>
              <w:jc w:val="center"/>
              <w:rPr>
                <w:rFonts w:cs="Times New Roman"/>
                <w:szCs w:val="24"/>
              </w:rPr>
            </w:pPr>
            <w:r w:rsidRPr="00BA4F0F">
              <w:rPr>
                <w:rFonts w:cs="Times New Roman"/>
                <w:szCs w:val="24"/>
              </w:rPr>
              <w:t>300 мг/м</w:t>
            </w:r>
            <w:r w:rsidRPr="00BA4F0F">
              <w:rPr>
                <w:rFonts w:cs="Times New Roman"/>
                <w:szCs w:val="24"/>
                <w:vertAlign w:val="superscript"/>
              </w:rPr>
              <w:t>2</w:t>
            </w:r>
          </w:p>
        </w:tc>
        <w:tc>
          <w:tcPr>
            <w:tcW w:w="1275" w:type="dxa"/>
          </w:tcPr>
          <w:p w14:paraId="146F0A1C" w14:textId="77777777" w:rsidR="0075793D" w:rsidRPr="00BA4F0F" w:rsidRDefault="0075793D" w:rsidP="00E242EE">
            <w:pPr>
              <w:pStyle w:val="afe"/>
              <w:ind w:left="0" w:firstLine="0"/>
              <w:jc w:val="center"/>
              <w:rPr>
                <w:rFonts w:cs="Times New Roman"/>
                <w:szCs w:val="24"/>
              </w:rPr>
            </w:pPr>
            <w:r w:rsidRPr="00BA4F0F">
              <w:rPr>
                <w:rFonts w:cs="Times New Roman"/>
                <w:szCs w:val="24"/>
              </w:rPr>
              <w:t>300 мг/м</w:t>
            </w:r>
            <w:r w:rsidRPr="00BA4F0F">
              <w:rPr>
                <w:rFonts w:cs="Times New Roman"/>
                <w:szCs w:val="24"/>
                <w:vertAlign w:val="superscript"/>
              </w:rPr>
              <w:t>2</w:t>
            </w:r>
          </w:p>
        </w:tc>
        <w:tc>
          <w:tcPr>
            <w:tcW w:w="2659" w:type="dxa"/>
          </w:tcPr>
          <w:p w14:paraId="02E38E78" w14:textId="77777777" w:rsidR="0075793D" w:rsidRPr="00BA4F0F" w:rsidRDefault="0075793D" w:rsidP="00E242EE">
            <w:pPr>
              <w:pStyle w:val="afe"/>
              <w:ind w:left="0" w:firstLine="0"/>
              <w:rPr>
                <w:rFonts w:cs="Times New Roman"/>
                <w:szCs w:val="24"/>
              </w:rPr>
            </w:pPr>
            <w:r w:rsidRPr="00BA4F0F">
              <w:rPr>
                <w:rFonts w:cs="Times New Roman"/>
                <w:szCs w:val="24"/>
              </w:rPr>
              <w:t xml:space="preserve">Вводится в/в в виде инфузии в течение 2 ч в 500 мл 0,9% </w:t>
            </w:r>
            <w:r w:rsidRPr="00BA4F0F">
              <w:rPr>
                <w:rFonts w:cs="Times New Roman"/>
                <w:szCs w:val="24"/>
                <w:lang w:val="en-US"/>
              </w:rPr>
              <w:t>NaCl</w:t>
            </w:r>
          </w:p>
        </w:tc>
      </w:tr>
      <w:tr w:rsidR="0075793D" w:rsidRPr="00BA4F0F" w14:paraId="405B529C" w14:textId="77777777" w:rsidTr="002D3EBF">
        <w:tc>
          <w:tcPr>
            <w:tcW w:w="1418" w:type="dxa"/>
          </w:tcPr>
          <w:p w14:paraId="3B814043" w14:textId="77777777" w:rsidR="0075793D" w:rsidRPr="00BA4F0F" w:rsidRDefault="0075793D" w:rsidP="00E242EE">
            <w:pPr>
              <w:pStyle w:val="afe"/>
              <w:ind w:left="0" w:firstLine="0"/>
              <w:jc w:val="center"/>
              <w:rPr>
                <w:rFonts w:cs="Times New Roman"/>
                <w:szCs w:val="24"/>
              </w:rPr>
            </w:pPr>
            <w:r w:rsidRPr="00BA4F0F">
              <w:rPr>
                <w:rFonts w:cs="Times New Roman"/>
                <w:szCs w:val="24"/>
              </w:rPr>
              <w:t>Этопозид</w:t>
            </w:r>
          </w:p>
        </w:tc>
        <w:tc>
          <w:tcPr>
            <w:tcW w:w="1701" w:type="dxa"/>
          </w:tcPr>
          <w:p w14:paraId="688B2B5F" w14:textId="77777777" w:rsidR="0075793D" w:rsidRPr="00BA4F0F" w:rsidRDefault="0075793D" w:rsidP="00E242EE">
            <w:pPr>
              <w:pStyle w:val="afe"/>
              <w:ind w:left="0" w:firstLine="0"/>
              <w:jc w:val="center"/>
              <w:rPr>
                <w:rFonts w:cs="Times New Roman"/>
                <w:szCs w:val="24"/>
              </w:rPr>
            </w:pPr>
            <w:r w:rsidRPr="00BA4F0F">
              <w:rPr>
                <w:rFonts w:cs="Times New Roman"/>
                <w:szCs w:val="24"/>
              </w:rPr>
              <w:t>-5, -4, -3, -2 дни</w:t>
            </w:r>
          </w:p>
        </w:tc>
        <w:tc>
          <w:tcPr>
            <w:tcW w:w="1134" w:type="dxa"/>
          </w:tcPr>
          <w:p w14:paraId="3E0BBDF8" w14:textId="77777777" w:rsidR="0075793D" w:rsidRPr="00BA4F0F" w:rsidRDefault="0075793D" w:rsidP="00E242EE">
            <w:pPr>
              <w:pStyle w:val="afe"/>
              <w:ind w:left="0" w:firstLine="0"/>
              <w:jc w:val="center"/>
              <w:rPr>
                <w:rFonts w:cs="Times New Roman"/>
                <w:szCs w:val="24"/>
              </w:rPr>
            </w:pPr>
            <w:r w:rsidRPr="00BA4F0F">
              <w:rPr>
                <w:rFonts w:cs="Times New Roman"/>
                <w:szCs w:val="24"/>
              </w:rPr>
              <w:t>200мг/м</w:t>
            </w:r>
            <w:r w:rsidRPr="00BA4F0F">
              <w:rPr>
                <w:rFonts w:cs="Times New Roman"/>
                <w:szCs w:val="24"/>
                <w:vertAlign w:val="superscript"/>
              </w:rPr>
              <w:t>2</w:t>
            </w:r>
          </w:p>
        </w:tc>
        <w:tc>
          <w:tcPr>
            <w:tcW w:w="1276" w:type="dxa"/>
          </w:tcPr>
          <w:p w14:paraId="6383A07E" w14:textId="77777777" w:rsidR="0075793D" w:rsidRPr="00BA4F0F" w:rsidRDefault="0075793D" w:rsidP="00E242EE">
            <w:pPr>
              <w:pStyle w:val="afe"/>
              <w:ind w:left="0" w:firstLine="0"/>
              <w:jc w:val="center"/>
              <w:rPr>
                <w:rFonts w:cs="Times New Roman"/>
                <w:szCs w:val="24"/>
              </w:rPr>
            </w:pPr>
            <w:r w:rsidRPr="00BA4F0F">
              <w:rPr>
                <w:rFonts w:cs="Times New Roman"/>
                <w:szCs w:val="24"/>
              </w:rPr>
              <w:t>200 мг/м</w:t>
            </w:r>
            <w:r w:rsidRPr="00BA4F0F">
              <w:rPr>
                <w:rFonts w:cs="Times New Roman"/>
                <w:szCs w:val="24"/>
                <w:vertAlign w:val="superscript"/>
              </w:rPr>
              <w:t>2</w:t>
            </w:r>
          </w:p>
        </w:tc>
        <w:tc>
          <w:tcPr>
            <w:tcW w:w="1275" w:type="dxa"/>
          </w:tcPr>
          <w:p w14:paraId="4BB0F3F7" w14:textId="77777777" w:rsidR="0075793D" w:rsidRPr="00BA4F0F" w:rsidRDefault="0075793D" w:rsidP="00E242EE">
            <w:pPr>
              <w:pStyle w:val="afe"/>
              <w:ind w:left="0" w:firstLine="0"/>
              <w:jc w:val="center"/>
              <w:rPr>
                <w:rFonts w:cs="Times New Roman"/>
                <w:szCs w:val="24"/>
              </w:rPr>
            </w:pPr>
            <w:r w:rsidRPr="00BA4F0F">
              <w:rPr>
                <w:rFonts w:cs="Times New Roman"/>
                <w:szCs w:val="24"/>
              </w:rPr>
              <w:t>800 мг/м</w:t>
            </w:r>
            <w:r w:rsidRPr="00BA4F0F">
              <w:rPr>
                <w:rFonts w:cs="Times New Roman"/>
                <w:szCs w:val="24"/>
                <w:vertAlign w:val="superscript"/>
              </w:rPr>
              <w:t>2</w:t>
            </w:r>
          </w:p>
        </w:tc>
        <w:tc>
          <w:tcPr>
            <w:tcW w:w="2659" w:type="dxa"/>
          </w:tcPr>
          <w:p w14:paraId="5E8C1DAD" w14:textId="77777777" w:rsidR="0075793D" w:rsidRPr="00BA4F0F" w:rsidRDefault="0075793D" w:rsidP="00E242EE">
            <w:pPr>
              <w:pStyle w:val="afe"/>
              <w:ind w:left="0" w:firstLine="0"/>
              <w:rPr>
                <w:rFonts w:cs="Times New Roman"/>
                <w:szCs w:val="24"/>
              </w:rPr>
            </w:pPr>
            <w:r w:rsidRPr="00BA4F0F">
              <w:rPr>
                <w:rFonts w:cs="Times New Roman"/>
                <w:szCs w:val="24"/>
              </w:rPr>
              <w:t xml:space="preserve">Вводится в/в в виде инфузии в течение 30 минут в 500 мл 0,9% </w:t>
            </w:r>
            <w:r w:rsidRPr="00BA4F0F">
              <w:rPr>
                <w:rFonts w:cs="Times New Roman"/>
                <w:szCs w:val="24"/>
                <w:lang w:val="en-US"/>
              </w:rPr>
              <w:t>NaCl</w:t>
            </w:r>
          </w:p>
        </w:tc>
      </w:tr>
      <w:tr w:rsidR="0075793D" w:rsidRPr="00BA4F0F" w14:paraId="49B4AF0C" w14:textId="77777777" w:rsidTr="002D3EBF">
        <w:tc>
          <w:tcPr>
            <w:tcW w:w="1418" w:type="dxa"/>
          </w:tcPr>
          <w:p w14:paraId="0A7CFF92" w14:textId="77777777" w:rsidR="0075793D" w:rsidRPr="00BA4F0F" w:rsidRDefault="0075793D" w:rsidP="00E242EE">
            <w:pPr>
              <w:pStyle w:val="afe"/>
              <w:ind w:left="0" w:firstLine="0"/>
              <w:jc w:val="center"/>
              <w:rPr>
                <w:rFonts w:cs="Times New Roman"/>
                <w:szCs w:val="24"/>
              </w:rPr>
            </w:pPr>
            <w:r w:rsidRPr="00BA4F0F">
              <w:rPr>
                <w:rFonts w:cs="Times New Roman"/>
                <w:szCs w:val="24"/>
              </w:rPr>
              <w:t>Цитарабин</w:t>
            </w:r>
          </w:p>
        </w:tc>
        <w:tc>
          <w:tcPr>
            <w:tcW w:w="1701" w:type="dxa"/>
          </w:tcPr>
          <w:p w14:paraId="78652FCB" w14:textId="77777777" w:rsidR="0075793D" w:rsidRPr="00BA4F0F" w:rsidRDefault="0075793D" w:rsidP="00E242EE">
            <w:pPr>
              <w:pStyle w:val="afe"/>
              <w:ind w:left="0" w:firstLine="0"/>
              <w:jc w:val="center"/>
              <w:rPr>
                <w:rFonts w:cs="Times New Roman"/>
                <w:szCs w:val="24"/>
              </w:rPr>
            </w:pPr>
            <w:r w:rsidRPr="00BA4F0F">
              <w:rPr>
                <w:rFonts w:cs="Times New Roman"/>
                <w:szCs w:val="24"/>
              </w:rPr>
              <w:t>-5, -4, -3, -2 дни</w:t>
            </w:r>
          </w:p>
        </w:tc>
        <w:tc>
          <w:tcPr>
            <w:tcW w:w="1134" w:type="dxa"/>
          </w:tcPr>
          <w:p w14:paraId="5CE781F2" w14:textId="77777777" w:rsidR="0075793D" w:rsidRPr="00BA4F0F" w:rsidRDefault="0075793D" w:rsidP="00E242EE">
            <w:pPr>
              <w:pStyle w:val="afe"/>
              <w:ind w:left="0" w:firstLine="0"/>
              <w:jc w:val="center"/>
              <w:rPr>
                <w:rFonts w:cs="Times New Roman"/>
                <w:szCs w:val="24"/>
              </w:rPr>
            </w:pPr>
            <w:r w:rsidRPr="00BA4F0F">
              <w:rPr>
                <w:rFonts w:cs="Times New Roman"/>
                <w:szCs w:val="24"/>
              </w:rPr>
              <w:t>200мг/м</w:t>
            </w:r>
            <w:r w:rsidRPr="00BA4F0F">
              <w:rPr>
                <w:rFonts w:cs="Times New Roman"/>
                <w:szCs w:val="24"/>
                <w:vertAlign w:val="superscript"/>
              </w:rPr>
              <w:t>2</w:t>
            </w:r>
          </w:p>
        </w:tc>
        <w:tc>
          <w:tcPr>
            <w:tcW w:w="1276" w:type="dxa"/>
          </w:tcPr>
          <w:p w14:paraId="3870FCDA" w14:textId="77777777" w:rsidR="0075793D" w:rsidRPr="00BA4F0F" w:rsidRDefault="0075793D" w:rsidP="00E242EE">
            <w:pPr>
              <w:pStyle w:val="afe"/>
              <w:ind w:left="0" w:firstLine="0"/>
              <w:jc w:val="center"/>
              <w:rPr>
                <w:rFonts w:cs="Times New Roman"/>
                <w:szCs w:val="24"/>
              </w:rPr>
            </w:pPr>
            <w:r w:rsidRPr="00BA4F0F">
              <w:rPr>
                <w:rFonts w:cs="Times New Roman"/>
                <w:szCs w:val="24"/>
              </w:rPr>
              <w:t>400 мг/ м</w:t>
            </w:r>
            <w:r w:rsidRPr="00BA4F0F">
              <w:rPr>
                <w:rFonts w:cs="Times New Roman"/>
                <w:szCs w:val="24"/>
                <w:vertAlign w:val="superscript"/>
              </w:rPr>
              <w:t>2</w:t>
            </w:r>
          </w:p>
        </w:tc>
        <w:tc>
          <w:tcPr>
            <w:tcW w:w="1275" w:type="dxa"/>
          </w:tcPr>
          <w:p w14:paraId="61A10C2A" w14:textId="77777777" w:rsidR="0075793D" w:rsidRPr="00BA4F0F" w:rsidRDefault="0075793D" w:rsidP="00E242EE">
            <w:pPr>
              <w:pStyle w:val="afe"/>
              <w:ind w:left="0" w:firstLine="0"/>
              <w:jc w:val="center"/>
              <w:rPr>
                <w:rFonts w:cs="Times New Roman"/>
                <w:szCs w:val="24"/>
              </w:rPr>
            </w:pPr>
            <w:r w:rsidRPr="00BA4F0F">
              <w:rPr>
                <w:rFonts w:cs="Times New Roman"/>
                <w:szCs w:val="24"/>
              </w:rPr>
              <w:t>1600 мг/м</w:t>
            </w:r>
            <w:r w:rsidRPr="00BA4F0F">
              <w:rPr>
                <w:rFonts w:cs="Times New Roman"/>
                <w:szCs w:val="24"/>
                <w:vertAlign w:val="superscript"/>
              </w:rPr>
              <w:t>2</w:t>
            </w:r>
          </w:p>
        </w:tc>
        <w:tc>
          <w:tcPr>
            <w:tcW w:w="2659" w:type="dxa"/>
          </w:tcPr>
          <w:p w14:paraId="7A5C8058" w14:textId="77777777" w:rsidR="0075793D" w:rsidRPr="00BA4F0F" w:rsidRDefault="0075793D" w:rsidP="00E242EE">
            <w:pPr>
              <w:pStyle w:val="afe"/>
              <w:ind w:left="0" w:firstLine="0"/>
              <w:rPr>
                <w:rFonts w:cs="Times New Roman"/>
                <w:szCs w:val="24"/>
              </w:rPr>
            </w:pPr>
            <w:r w:rsidRPr="00BA4F0F">
              <w:rPr>
                <w:rFonts w:cs="Times New Roman"/>
                <w:szCs w:val="24"/>
              </w:rPr>
              <w:t xml:space="preserve">Вводится в/в в виде инфузии в течение 30 минут в 500 мл 0,9% </w:t>
            </w:r>
            <w:r w:rsidRPr="00BA4F0F">
              <w:rPr>
                <w:rFonts w:cs="Times New Roman"/>
                <w:szCs w:val="24"/>
                <w:lang w:val="en-US"/>
              </w:rPr>
              <w:t>NaCl</w:t>
            </w:r>
          </w:p>
        </w:tc>
      </w:tr>
      <w:tr w:rsidR="0075793D" w:rsidRPr="00BA4F0F" w14:paraId="6AF3DBD1" w14:textId="77777777" w:rsidTr="002D3EBF">
        <w:tc>
          <w:tcPr>
            <w:tcW w:w="1418" w:type="dxa"/>
          </w:tcPr>
          <w:p w14:paraId="33AC3B99" w14:textId="77777777" w:rsidR="0075793D" w:rsidRPr="00BA4F0F" w:rsidRDefault="0075793D" w:rsidP="00E242EE">
            <w:pPr>
              <w:pStyle w:val="afe"/>
              <w:ind w:left="0" w:firstLine="0"/>
              <w:jc w:val="center"/>
              <w:rPr>
                <w:rFonts w:cs="Times New Roman"/>
                <w:szCs w:val="24"/>
              </w:rPr>
            </w:pPr>
            <w:r w:rsidRPr="00BA4F0F">
              <w:rPr>
                <w:rFonts w:cs="Times New Roman"/>
                <w:szCs w:val="24"/>
              </w:rPr>
              <w:t>Мелфалан</w:t>
            </w:r>
          </w:p>
        </w:tc>
        <w:tc>
          <w:tcPr>
            <w:tcW w:w="1701" w:type="dxa"/>
          </w:tcPr>
          <w:p w14:paraId="7177270F" w14:textId="77777777" w:rsidR="0075793D" w:rsidRPr="00BA4F0F" w:rsidRDefault="0075793D" w:rsidP="00E242EE">
            <w:pPr>
              <w:pStyle w:val="afe"/>
              <w:ind w:left="0" w:firstLine="0"/>
              <w:jc w:val="center"/>
              <w:rPr>
                <w:rFonts w:cs="Times New Roman"/>
                <w:szCs w:val="24"/>
              </w:rPr>
            </w:pPr>
            <w:r w:rsidRPr="00BA4F0F">
              <w:rPr>
                <w:rFonts w:cs="Times New Roman"/>
                <w:szCs w:val="24"/>
              </w:rPr>
              <w:t>- 1 день</w:t>
            </w:r>
          </w:p>
        </w:tc>
        <w:tc>
          <w:tcPr>
            <w:tcW w:w="1134" w:type="dxa"/>
          </w:tcPr>
          <w:p w14:paraId="0322596C" w14:textId="77777777" w:rsidR="0075793D" w:rsidRPr="00BA4F0F" w:rsidRDefault="0075793D" w:rsidP="00E242EE">
            <w:pPr>
              <w:pStyle w:val="afe"/>
              <w:ind w:left="0" w:firstLine="0"/>
              <w:jc w:val="center"/>
              <w:rPr>
                <w:rFonts w:cs="Times New Roman"/>
                <w:szCs w:val="24"/>
              </w:rPr>
            </w:pPr>
            <w:r w:rsidRPr="00BA4F0F">
              <w:rPr>
                <w:rFonts w:cs="Times New Roman"/>
                <w:szCs w:val="24"/>
              </w:rPr>
              <w:t>140мг/м</w:t>
            </w:r>
            <w:r w:rsidRPr="00BA4F0F">
              <w:rPr>
                <w:rFonts w:cs="Times New Roman"/>
                <w:szCs w:val="24"/>
                <w:vertAlign w:val="superscript"/>
              </w:rPr>
              <w:t>2</w:t>
            </w:r>
          </w:p>
        </w:tc>
        <w:tc>
          <w:tcPr>
            <w:tcW w:w="1276" w:type="dxa"/>
          </w:tcPr>
          <w:p w14:paraId="57CD3829" w14:textId="77777777" w:rsidR="0075793D" w:rsidRPr="00BA4F0F" w:rsidRDefault="0075793D" w:rsidP="00E242EE">
            <w:pPr>
              <w:pStyle w:val="afe"/>
              <w:ind w:left="0" w:firstLine="0"/>
              <w:jc w:val="center"/>
              <w:rPr>
                <w:rFonts w:cs="Times New Roman"/>
                <w:szCs w:val="24"/>
              </w:rPr>
            </w:pPr>
            <w:r w:rsidRPr="00BA4F0F">
              <w:rPr>
                <w:rFonts w:cs="Times New Roman"/>
                <w:szCs w:val="24"/>
              </w:rPr>
              <w:t>140 мг/м</w:t>
            </w:r>
            <w:r w:rsidRPr="00BA4F0F">
              <w:rPr>
                <w:rFonts w:cs="Times New Roman"/>
                <w:szCs w:val="24"/>
                <w:vertAlign w:val="superscript"/>
              </w:rPr>
              <w:t>2</w:t>
            </w:r>
          </w:p>
        </w:tc>
        <w:tc>
          <w:tcPr>
            <w:tcW w:w="1275" w:type="dxa"/>
          </w:tcPr>
          <w:p w14:paraId="76F05203" w14:textId="77777777" w:rsidR="0075793D" w:rsidRPr="00BA4F0F" w:rsidRDefault="0075793D" w:rsidP="00E242EE">
            <w:pPr>
              <w:pStyle w:val="afe"/>
              <w:ind w:left="0" w:firstLine="0"/>
              <w:jc w:val="center"/>
              <w:rPr>
                <w:rFonts w:cs="Times New Roman"/>
                <w:szCs w:val="24"/>
              </w:rPr>
            </w:pPr>
            <w:r w:rsidRPr="00BA4F0F">
              <w:rPr>
                <w:rFonts w:cs="Times New Roman"/>
                <w:szCs w:val="24"/>
              </w:rPr>
              <w:t>140 мг/м</w:t>
            </w:r>
            <w:r w:rsidRPr="00BA4F0F">
              <w:rPr>
                <w:rFonts w:cs="Times New Roman"/>
                <w:szCs w:val="24"/>
                <w:vertAlign w:val="superscript"/>
              </w:rPr>
              <w:t>2</w:t>
            </w:r>
          </w:p>
        </w:tc>
        <w:tc>
          <w:tcPr>
            <w:tcW w:w="2659" w:type="dxa"/>
          </w:tcPr>
          <w:p w14:paraId="7C873B1E" w14:textId="77777777" w:rsidR="0075793D" w:rsidRPr="00BA4F0F" w:rsidRDefault="0075793D" w:rsidP="00E242EE">
            <w:pPr>
              <w:pStyle w:val="afe"/>
              <w:ind w:left="0" w:firstLine="0"/>
              <w:rPr>
                <w:rFonts w:cs="Times New Roman"/>
                <w:szCs w:val="24"/>
              </w:rPr>
            </w:pPr>
            <w:r w:rsidRPr="00BA4F0F">
              <w:rPr>
                <w:rFonts w:cs="Times New Roman"/>
                <w:szCs w:val="24"/>
              </w:rPr>
              <w:t xml:space="preserve">Вводится в/в в виде инфузии в течение 1ч в 500 мл 0,9% </w:t>
            </w:r>
            <w:r w:rsidRPr="00BA4F0F">
              <w:rPr>
                <w:rFonts w:cs="Times New Roman"/>
                <w:szCs w:val="24"/>
                <w:lang w:val="en-US"/>
              </w:rPr>
              <w:t>NaCl</w:t>
            </w:r>
          </w:p>
        </w:tc>
      </w:tr>
    </w:tbl>
    <w:p w14:paraId="2844CCC0" w14:textId="67FE4A11" w:rsidR="0075793D" w:rsidRPr="00E242EE" w:rsidRDefault="0075793D" w:rsidP="00E242EE">
      <w:pPr>
        <w:rPr>
          <w:rFonts w:cs="Times New Roman"/>
          <w:szCs w:val="24"/>
        </w:rPr>
      </w:pPr>
      <w:r w:rsidRPr="00BA4F0F">
        <w:rPr>
          <w:rFonts w:cs="Times New Roman"/>
          <w:szCs w:val="24"/>
        </w:rPr>
        <w:t xml:space="preserve">Для снижения токсичности режима предтрансплантационной подготовки </w:t>
      </w:r>
      <w:r w:rsidRPr="00BA4F0F">
        <w:rPr>
          <w:rFonts w:cs="Times New Roman"/>
          <w:szCs w:val="24"/>
          <w:lang w:val="en-US"/>
        </w:rPr>
        <w:t>BEAM</w:t>
      </w:r>
      <w:r w:rsidRPr="00BA4F0F">
        <w:rPr>
          <w:rFonts w:cs="Times New Roman"/>
          <w:szCs w:val="24"/>
        </w:rPr>
        <w:t xml:space="preserve"> в ряде случаев вместо кармустина используется ломустин (</w:t>
      </w:r>
      <w:r w:rsidRPr="00BA4F0F">
        <w:rPr>
          <w:rFonts w:cs="Times New Roman"/>
          <w:szCs w:val="24"/>
          <w:lang w:val="en-US"/>
        </w:rPr>
        <w:t>CEAM</w:t>
      </w:r>
      <w:r w:rsidRPr="00BA4F0F">
        <w:rPr>
          <w:rFonts w:cs="Times New Roman"/>
          <w:szCs w:val="24"/>
        </w:rPr>
        <w:t xml:space="preserve"> / </w:t>
      </w:r>
      <w:r w:rsidRPr="00BA4F0F">
        <w:rPr>
          <w:rFonts w:cs="Times New Roman"/>
          <w:szCs w:val="24"/>
          <w:lang w:val="en-US"/>
        </w:rPr>
        <w:t>LEAM</w:t>
      </w:r>
      <w:r w:rsidRPr="00BA4F0F">
        <w:rPr>
          <w:rFonts w:cs="Times New Roman"/>
          <w:szCs w:val="24"/>
        </w:rPr>
        <w:t xml:space="preserve">). Схема </w:t>
      </w:r>
      <w:r w:rsidRPr="00E242EE">
        <w:rPr>
          <w:rFonts w:cs="Times New Roman"/>
          <w:szCs w:val="24"/>
        </w:rPr>
        <w:t xml:space="preserve">введения препаратов и дозы представлены в таблице </w:t>
      </w:r>
      <w:r w:rsidR="00E242EE" w:rsidRPr="00E242EE">
        <w:rPr>
          <w:rFonts w:cs="Times New Roman"/>
          <w:szCs w:val="24"/>
        </w:rPr>
        <w:t>6</w:t>
      </w:r>
      <w:r w:rsidRPr="00E242EE">
        <w:rPr>
          <w:rFonts w:cs="Times New Roman"/>
          <w:szCs w:val="24"/>
        </w:rPr>
        <w:t>.</w:t>
      </w:r>
    </w:p>
    <w:p w14:paraId="726FA3E9" w14:textId="77777777" w:rsidR="0075793D" w:rsidRPr="00E242EE" w:rsidRDefault="0075793D" w:rsidP="00E242EE">
      <w:pPr>
        <w:rPr>
          <w:rFonts w:cs="Times New Roman"/>
          <w:b/>
          <w:szCs w:val="24"/>
        </w:rPr>
      </w:pPr>
    </w:p>
    <w:p w14:paraId="3FF00A65" w14:textId="6FC03B96" w:rsidR="0075793D" w:rsidRPr="007A7C4E" w:rsidRDefault="0075793D" w:rsidP="00E242EE">
      <w:pPr>
        <w:rPr>
          <w:rFonts w:cs="Times New Roman"/>
          <w:szCs w:val="24"/>
        </w:rPr>
      </w:pPr>
      <w:r w:rsidRPr="00E242EE">
        <w:rPr>
          <w:rFonts w:cs="Times New Roman"/>
          <w:szCs w:val="24"/>
        </w:rPr>
        <w:t xml:space="preserve">Таблица </w:t>
      </w:r>
      <w:r w:rsidR="00E242EE" w:rsidRPr="00E242EE">
        <w:rPr>
          <w:rFonts w:cs="Times New Roman"/>
          <w:szCs w:val="24"/>
        </w:rPr>
        <w:t>6</w:t>
      </w:r>
      <w:r w:rsidRPr="00E242EE">
        <w:rPr>
          <w:rFonts w:cs="Times New Roman"/>
          <w:szCs w:val="24"/>
        </w:rPr>
        <w:t xml:space="preserve">. Схема предтрансплантационного кондиционирования </w:t>
      </w:r>
      <w:r w:rsidRPr="00E242EE">
        <w:rPr>
          <w:rFonts w:cs="Times New Roman"/>
          <w:szCs w:val="24"/>
          <w:lang w:val="en-US"/>
        </w:rPr>
        <w:t>CEAM</w:t>
      </w:r>
      <w:r w:rsidRPr="00E242EE">
        <w:rPr>
          <w:rFonts w:cs="Times New Roman"/>
          <w:szCs w:val="24"/>
        </w:rPr>
        <w:t>/</w:t>
      </w:r>
      <w:r w:rsidRPr="00E242EE">
        <w:rPr>
          <w:rFonts w:cs="Times New Roman"/>
          <w:szCs w:val="24"/>
          <w:lang w:val="en-US"/>
        </w:rPr>
        <w:t>LEAM</w:t>
      </w:r>
      <w:r w:rsidRPr="00E242EE">
        <w:rPr>
          <w:rFonts w:cs="Times New Roman"/>
          <w:b/>
          <w:szCs w:val="24"/>
        </w:rPr>
        <w:t xml:space="preserve"> </w:t>
      </w:r>
      <w:r w:rsidRPr="00E242EE">
        <w:rPr>
          <w:rFonts w:cs="Times New Roman"/>
          <w:szCs w:val="24"/>
        </w:rPr>
        <w:fldChar w:fldCharType="begin" w:fldLock="1"/>
      </w:r>
      <w:r w:rsidR="004810E5">
        <w:rPr>
          <w:rFonts w:cs="Times New Roman"/>
          <w:szCs w:val="24"/>
          <w:lang w:val="en-US"/>
        </w:rPr>
        <w:instrText>ADDIN</w:instrText>
      </w:r>
      <w:r w:rsidR="004810E5" w:rsidRPr="00E93A18">
        <w:rPr>
          <w:rFonts w:cs="Times New Roman"/>
          <w:szCs w:val="24"/>
        </w:rPr>
        <w:instrText xml:space="preserve"> </w:instrText>
      </w:r>
      <w:r w:rsidR="004810E5">
        <w:rPr>
          <w:rFonts w:cs="Times New Roman"/>
          <w:szCs w:val="24"/>
          <w:lang w:val="en-US"/>
        </w:rPr>
        <w:instrText>CSL</w:instrText>
      </w:r>
      <w:r w:rsidR="004810E5" w:rsidRPr="00E93A18">
        <w:rPr>
          <w:rFonts w:cs="Times New Roman"/>
          <w:szCs w:val="24"/>
        </w:rPr>
        <w:instrText>_</w:instrText>
      </w:r>
      <w:r w:rsidR="004810E5">
        <w:rPr>
          <w:rFonts w:cs="Times New Roman"/>
          <w:szCs w:val="24"/>
          <w:lang w:val="en-US"/>
        </w:rPr>
        <w:instrText>CITATION</w:instrText>
      </w:r>
      <w:r w:rsidR="004810E5" w:rsidRPr="00E93A18">
        <w:rPr>
          <w:rFonts w:cs="Times New Roman"/>
          <w:szCs w:val="24"/>
        </w:rPr>
        <w:instrText xml:space="preserve"> {"</w:instrText>
      </w:r>
      <w:r w:rsidR="004810E5">
        <w:rPr>
          <w:rFonts w:cs="Times New Roman"/>
          <w:szCs w:val="24"/>
          <w:lang w:val="en-US"/>
        </w:rPr>
        <w:instrText>citationItems</w:instrText>
      </w:r>
      <w:r w:rsidR="004810E5" w:rsidRPr="00E93A18">
        <w:rPr>
          <w:rFonts w:cs="Times New Roman"/>
          <w:szCs w:val="24"/>
        </w:rPr>
        <w:instrText>":[{"</w:instrText>
      </w:r>
      <w:r w:rsidR="004810E5">
        <w:rPr>
          <w:rFonts w:cs="Times New Roman"/>
          <w:szCs w:val="24"/>
          <w:lang w:val="en-US"/>
        </w:rPr>
        <w:instrText>id</w:instrText>
      </w:r>
      <w:r w:rsidR="004810E5" w:rsidRPr="00E93A18">
        <w:rPr>
          <w:rFonts w:cs="Times New Roman"/>
          <w:szCs w:val="24"/>
        </w:rPr>
        <w:instrText>":"</w:instrText>
      </w:r>
      <w:r w:rsidR="004810E5">
        <w:rPr>
          <w:rFonts w:cs="Times New Roman"/>
          <w:szCs w:val="24"/>
          <w:lang w:val="en-US"/>
        </w:rPr>
        <w:instrText>ITEM</w:instrText>
      </w:r>
      <w:r w:rsidR="004810E5" w:rsidRPr="00E93A18">
        <w:rPr>
          <w:rFonts w:cs="Times New Roman"/>
          <w:szCs w:val="24"/>
        </w:rPr>
        <w:instrText>-1","</w:instrText>
      </w:r>
      <w:r w:rsidR="004810E5">
        <w:rPr>
          <w:rFonts w:cs="Times New Roman"/>
          <w:szCs w:val="24"/>
          <w:lang w:val="en-US"/>
        </w:rPr>
        <w:instrText>itemData</w:instrText>
      </w:r>
      <w:r w:rsidR="004810E5" w:rsidRPr="00E93A18">
        <w:rPr>
          <w:rFonts w:cs="Times New Roman"/>
          <w:szCs w:val="24"/>
        </w:rPr>
        <w:instrText>":{"</w:instrText>
      </w:r>
      <w:r w:rsidR="004810E5">
        <w:rPr>
          <w:rFonts w:cs="Times New Roman"/>
          <w:szCs w:val="24"/>
          <w:lang w:val="en-US"/>
        </w:rPr>
        <w:instrText>DOI</w:instrText>
      </w:r>
      <w:r w:rsidR="004810E5" w:rsidRPr="00E93A18">
        <w:rPr>
          <w:rFonts w:cs="Times New Roman"/>
          <w:szCs w:val="24"/>
        </w:rPr>
        <w:instrText>":"10.1186/2193-1801-2-489","</w:instrText>
      </w:r>
      <w:r w:rsidR="004810E5">
        <w:rPr>
          <w:rFonts w:cs="Times New Roman"/>
          <w:szCs w:val="24"/>
          <w:lang w:val="en-US"/>
        </w:rPr>
        <w:instrText>ISSN</w:instrText>
      </w:r>
      <w:r w:rsidR="004810E5" w:rsidRPr="00E93A18">
        <w:rPr>
          <w:rFonts w:cs="Times New Roman"/>
          <w:szCs w:val="24"/>
        </w:rPr>
        <w:instrText>":"2193-1801","</w:instrText>
      </w:r>
      <w:r w:rsidR="004810E5">
        <w:rPr>
          <w:rFonts w:cs="Times New Roman"/>
          <w:szCs w:val="24"/>
          <w:lang w:val="en-US"/>
        </w:rPr>
        <w:instrText>PMID</w:instrText>
      </w:r>
      <w:r w:rsidR="004810E5" w:rsidRPr="00E93A18">
        <w:rPr>
          <w:rFonts w:cs="Times New Roman"/>
          <w:szCs w:val="24"/>
        </w:rPr>
        <w:instrText>":"25674395","</w:instrText>
      </w:r>
      <w:r w:rsidR="004810E5">
        <w:rPr>
          <w:rFonts w:cs="Times New Roman"/>
          <w:szCs w:val="24"/>
          <w:lang w:val="en-US"/>
        </w:rPr>
        <w:instrText>abstract</w:instrText>
      </w:r>
      <w:r w:rsidR="004810E5" w:rsidRPr="00E93A18">
        <w:rPr>
          <w:rFonts w:cs="Times New Roman"/>
          <w:szCs w:val="24"/>
        </w:rPr>
        <w:instrText>":"</w:instrText>
      </w:r>
      <w:r w:rsidR="004810E5">
        <w:rPr>
          <w:rFonts w:cs="Times New Roman"/>
          <w:szCs w:val="24"/>
          <w:lang w:val="en-US"/>
        </w:rPr>
        <w:instrText>BEAM</w:instrText>
      </w:r>
      <w:r w:rsidR="004810E5" w:rsidRPr="00E93A18">
        <w:rPr>
          <w:rFonts w:cs="Times New Roman"/>
          <w:szCs w:val="24"/>
        </w:rPr>
        <w:instrText xml:space="preserve"> (</w:instrText>
      </w:r>
      <w:r w:rsidR="004810E5">
        <w:rPr>
          <w:rFonts w:cs="Times New Roman"/>
          <w:szCs w:val="24"/>
          <w:lang w:val="en-US"/>
        </w:rPr>
        <w:instrText>BCNU</w:instrText>
      </w:r>
      <w:r w:rsidR="004810E5" w:rsidRPr="00E93A18">
        <w:rPr>
          <w:rFonts w:cs="Times New Roman"/>
          <w:szCs w:val="24"/>
        </w:rPr>
        <w:instrText xml:space="preserve">, </w:instrText>
      </w:r>
      <w:r w:rsidR="004810E5">
        <w:rPr>
          <w:rFonts w:cs="Times New Roman"/>
          <w:szCs w:val="24"/>
          <w:lang w:val="en-US"/>
        </w:rPr>
        <w:instrText>etoposide</w:instrText>
      </w:r>
      <w:r w:rsidR="004810E5" w:rsidRPr="00E93A18">
        <w:rPr>
          <w:rFonts w:cs="Times New Roman"/>
          <w:szCs w:val="24"/>
        </w:rPr>
        <w:instrText xml:space="preserve">, </w:instrText>
      </w:r>
      <w:r w:rsidR="004810E5">
        <w:rPr>
          <w:rFonts w:cs="Times New Roman"/>
          <w:szCs w:val="24"/>
          <w:lang w:val="en-US"/>
        </w:rPr>
        <w:instrText>cytrabine</w:instrText>
      </w:r>
      <w:r w:rsidR="004810E5" w:rsidRPr="00E93A18">
        <w:rPr>
          <w:rFonts w:cs="Times New Roman"/>
          <w:szCs w:val="24"/>
        </w:rPr>
        <w:instrText xml:space="preserve">, </w:instrText>
      </w:r>
      <w:r w:rsidR="004810E5">
        <w:rPr>
          <w:rFonts w:cs="Times New Roman"/>
          <w:szCs w:val="24"/>
          <w:lang w:val="en-US"/>
        </w:rPr>
        <w:instrText>melphalan</w:instrText>
      </w:r>
      <w:r w:rsidR="004810E5" w:rsidRPr="00E93A18">
        <w:rPr>
          <w:rFonts w:cs="Times New Roman"/>
          <w:szCs w:val="24"/>
        </w:rPr>
        <w:instrText xml:space="preserve">) </w:instrText>
      </w:r>
      <w:r w:rsidR="004810E5">
        <w:rPr>
          <w:rFonts w:cs="Times New Roman"/>
          <w:szCs w:val="24"/>
          <w:lang w:val="en-US"/>
        </w:rPr>
        <w:instrText>is</w:instrText>
      </w:r>
      <w:r w:rsidR="004810E5" w:rsidRPr="00E93A18">
        <w:rPr>
          <w:rFonts w:cs="Times New Roman"/>
          <w:szCs w:val="24"/>
        </w:rPr>
        <w:instrText xml:space="preserve"> </w:instrText>
      </w:r>
      <w:r w:rsidR="004810E5">
        <w:rPr>
          <w:rFonts w:cs="Times New Roman"/>
          <w:szCs w:val="24"/>
          <w:lang w:val="en-US"/>
        </w:rPr>
        <w:instrText>the</w:instrText>
      </w:r>
      <w:r w:rsidR="004810E5" w:rsidRPr="00E93A18">
        <w:rPr>
          <w:rFonts w:cs="Times New Roman"/>
          <w:szCs w:val="24"/>
        </w:rPr>
        <w:instrText xml:space="preserve"> </w:instrText>
      </w:r>
      <w:r w:rsidR="004810E5">
        <w:rPr>
          <w:rFonts w:cs="Times New Roman"/>
          <w:szCs w:val="24"/>
          <w:lang w:val="en-US"/>
        </w:rPr>
        <w:instrText>most</w:instrText>
      </w:r>
      <w:r w:rsidR="004810E5" w:rsidRPr="00E93A18">
        <w:rPr>
          <w:rFonts w:cs="Times New Roman"/>
          <w:szCs w:val="24"/>
        </w:rPr>
        <w:instrText xml:space="preserve"> </w:instrText>
      </w:r>
      <w:r w:rsidR="004810E5">
        <w:rPr>
          <w:rFonts w:cs="Times New Roman"/>
          <w:szCs w:val="24"/>
          <w:lang w:val="en-US"/>
        </w:rPr>
        <w:instrText>widely</w:instrText>
      </w:r>
      <w:r w:rsidR="004810E5" w:rsidRPr="00E93A18">
        <w:rPr>
          <w:rFonts w:cs="Times New Roman"/>
          <w:szCs w:val="24"/>
        </w:rPr>
        <w:instrText xml:space="preserve"> </w:instrText>
      </w:r>
      <w:r w:rsidR="004810E5">
        <w:rPr>
          <w:rFonts w:cs="Times New Roman"/>
          <w:szCs w:val="24"/>
          <w:lang w:val="en-US"/>
        </w:rPr>
        <w:instrText>used</w:instrText>
      </w:r>
      <w:r w:rsidR="004810E5" w:rsidRPr="00E93A18">
        <w:rPr>
          <w:rFonts w:cs="Times New Roman"/>
          <w:szCs w:val="24"/>
        </w:rPr>
        <w:instrText xml:space="preserve"> </w:instrText>
      </w:r>
      <w:r w:rsidR="004810E5">
        <w:rPr>
          <w:rFonts w:cs="Times New Roman"/>
          <w:szCs w:val="24"/>
          <w:lang w:val="en-US"/>
        </w:rPr>
        <w:instrText>high</w:instrText>
      </w:r>
      <w:r w:rsidR="004810E5" w:rsidRPr="00E93A18">
        <w:rPr>
          <w:rFonts w:cs="Times New Roman"/>
          <w:szCs w:val="24"/>
        </w:rPr>
        <w:instrText xml:space="preserve"> </w:instrText>
      </w:r>
      <w:r w:rsidR="004810E5">
        <w:rPr>
          <w:rFonts w:cs="Times New Roman"/>
          <w:szCs w:val="24"/>
          <w:lang w:val="en-US"/>
        </w:rPr>
        <w:instrText>dose</w:instrText>
      </w:r>
      <w:r w:rsidR="004810E5" w:rsidRPr="00E93A18">
        <w:rPr>
          <w:rFonts w:cs="Times New Roman"/>
          <w:szCs w:val="24"/>
        </w:rPr>
        <w:instrText xml:space="preserve"> </w:instrText>
      </w:r>
      <w:r w:rsidR="004810E5">
        <w:rPr>
          <w:rFonts w:cs="Times New Roman"/>
          <w:szCs w:val="24"/>
          <w:lang w:val="en-US"/>
        </w:rPr>
        <w:instrText>chemotherapy</w:instrText>
      </w:r>
      <w:r w:rsidR="004810E5" w:rsidRPr="00E93A18">
        <w:rPr>
          <w:rFonts w:cs="Times New Roman"/>
          <w:szCs w:val="24"/>
        </w:rPr>
        <w:instrText xml:space="preserve"> </w:instrText>
      </w:r>
      <w:r w:rsidR="004810E5">
        <w:rPr>
          <w:rFonts w:cs="Times New Roman"/>
          <w:szCs w:val="24"/>
          <w:lang w:val="en-US"/>
        </w:rPr>
        <w:instrText>regimen</w:instrText>
      </w:r>
      <w:r w:rsidR="004810E5" w:rsidRPr="00E93A18">
        <w:rPr>
          <w:rFonts w:cs="Times New Roman"/>
          <w:szCs w:val="24"/>
        </w:rPr>
        <w:instrText xml:space="preserve"> </w:instrText>
      </w:r>
      <w:r w:rsidR="004810E5">
        <w:rPr>
          <w:rFonts w:cs="Times New Roman"/>
          <w:szCs w:val="24"/>
          <w:lang w:val="en-US"/>
        </w:rPr>
        <w:instrText>for</w:instrText>
      </w:r>
      <w:r w:rsidR="004810E5" w:rsidRPr="00E93A18">
        <w:rPr>
          <w:rFonts w:cs="Times New Roman"/>
          <w:szCs w:val="24"/>
        </w:rPr>
        <w:instrText xml:space="preserve"> </w:instrText>
      </w:r>
      <w:r w:rsidR="004810E5">
        <w:rPr>
          <w:rFonts w:cs="Times New Roman"/>
          <w:szCs w:val="24"/>
          <w:lang w:val="en-US"/>
        </w:rPr>
        <w:instrText>autologous</w:instrText>
      </w:r>
      <w:r w:rsidR="004810E5" w:rsidRPr="00E93A18">
        <w:rPr>
          <w:rFonts w:cs="Times New Roman"/>
          <w:szCs w:val="24"/>
        </w:rPr>
        <w:instrText xml:space="preserve"> </w:instrText>
      </w:r>
      <w:r w:rsidR="004810E5">
        <w:rPr>
          <w:rFonts w:cs="Times New Roman"/>
          <w:szCs w:val="24"/>
          <w:lang w:val="en-US"/>
        </w:rPr>
        <w:instrText>transplant</w:instrText>
      </w:r>
      <w:r w:rsidR="004810E5" w:rsidRPr="00E93A18">
        <w:rPr>
          <w:rFonts w:cs="Times New Roman"/>
          <w:szCs w:val="24"/>
        </w:rPr>
        <w:instrText xml:space="preserve"> </w:instrText>
      </w:r>
      <w:r w:rsidR="004810E5">
        <w:rPr>
          <w:rFonts w:cs="Times New Roman"/>
          <w:szCs w:val="24"/>
          <w:lang w:val="en-US"/>
        </w:rPr>
        <w:instrText>in</w:instrText>
      </w:r>
      <w:r w:rsidR="004810E5" w:rsidRPr="00E93A18">
        <w:rPr>
          <w:rFonts w:cs="Times New Roman"/>
          <w:szCs w:val="24"/>
        </w:rPr>
        <w:instrText xml:space="preserve"> </w:instrText>
      </w:r>
      <w:r w:rsidR="004810E5">
        <w:rPr>
          <w:rFonts w:cs="Times New Roman"/>
          <w:szCs w:val="24"/>
          <w:lang w:val="en-US"/>
        </w:rPr>
        <w:instrText>lymphoid</w:instrText>
      </w:r>
      <w:r w:rsidR="004810E5" w:rsidRPr="00E93A18">
        <w:rPr>
          <w:rFonts w:cs="Times New Roman"/>
          <w:szCs w:val="24"/>
        </w:rPr>
        <w:instrText xml:space="preserve"> </w:instrText>
      </w:r>
      <w:r w:rsidR="004810E5">
        <w:rPr>
          <w:rFonts w:cs="Times New Roman"/>
          <w:szCs w:val="24"/>
          <w:lang w:val="en-US"/>
        </w:rPr>
        <w:instrText>malignancies</w:instrText>
      </w:r>
      <w:r w:rsidR="004810E5" w:rsidRPr="00E93A18">
        <w:rPr>
          <w:rFonts w:cs="Times New Roman"/>
          <w:szCs w:val="24"/>
        </w:rPr>
        <w:instrText xml:space="preserve">. </w:instrText>
      </w:r>
      <w:r w:rsidR="004810E5">
        <w:rPr>
          <w:rFonts w:cs="Times New Roman"/>
          <w:szCs w:val="24"/>
          <w:lang w:val="en-US"/>
        </w:rPr>
        <w:instrText>We</w:instrText>
      </w:r>
      <w:r w:rsidR="004810E5" w:rsidRPr="00E93A18">
        <w:rPr>
          <w:rFonts w:cs="Times New Roman"/>
          <w:szCs w:val="24"/>
        </w:rPr>
        <w:instrText xml:space="preserve"> </w:instrText>
      </w:r>
      <w:r w:rsidR="004810E5">
        <w:rPr>
          <w:rFonts w:cs="Times New Roman"/>
          <w:szCs w:val="24"/>
          <w:lang w:val="en-US"/>
        </w:rPr>
        <w:instrText>report</w:instrText>
      </w:r>
      <w:r w:rsidR="004810E5" w:rsidRPr="00E93A18">
        <w:rPr>
          <w:rFonts w:cs="Times New Roman"/>
          <w:szCs w:val="24"/>
        </w:rPr>
        <w:instrText xml:space="preserve"> </w:instrText>
      </w:r>
      <w:r w:rsidR="004810E5">
        <w:rPr>
          <w:rFonts w:cs="Times New Roman"/>
          <w:szCs w:val="24"/>
          <w:lang w:val="en-US"/>
        </w:rPr>
        <w:instrText>our</w:instrText>
      </w:r>
      <w:r w:rsidR="004810E5" w:rsidRPr="00E93A18">
        <w:rPr>
          <w:rFonts w:cs="Times New Roman"/>
          <w:szCs w:val="24"/>
        </w:rPr>
        <w:instrText xml:space="preserve"> </w:instrText>
      </w:r>
      <w:r w:rsidR="004810E5">
        <w:rPr>
          <w:rFonts w:cs="Times New Roman"/>
          <w:szCs w:val="24"/>
          <w:lang w:val="en-US"/>
        </w:rPr>
        <w:instrText>early</w:instrText>
      </w:r>
      <w:r w:rsidR="004810E5" w:rsidRPr="00E93A18">
        <w:rPr>
          <w:rFonts w:cs="Times New Roman"/>
          <w:szCs w:val="24"/>
        </w:rPr>
        <w:instrText xml:space="preserve"> </w:instrText>
      </w:r>
      <w:r w:rsidR="004810E5">
        <w:rPr>
          <w:rFonts w:cs="Times New Roman"/>
          <w:szCs w:val="24"/>
          <w:lang w:val="en-US"/>
        </w:rPr>
        <w:instrText>experience</w:instrText>
      </w:r>
      <w:r w:rsidR="004810E5" w:rsidRPr="00E93A18">
        <w:rPr>
          <w:rFonts w:cs="Times New Roman"/>
          <w:szCs w:val="24"/>
        </w:rPr>
        <w:instrText xml:space="preserve"> </w:instrText>
      </w:r>
      <w:r w:rsidR="004810E5">
        <w:rPr>
          <w:rFonts w:cs="Times New Roman"/>
          <w:szCs w:val="24"/>
          <w:lang w:val="en-US"/>
        </w:rPr>
        <w:instrText>with</w:instrText>
      </w:r>
      <w:r w:rsidR="004810E5" w:rsidRPr="00E93A18">
        <w:rPr>
          <w:rFonts w:cs="Times New Roman"/>
          <w:szCs w:val="24"/>
        </w:rPr>
        <w:instrText xml:space="preserve"> </w:instrText>
      </w:r>
      <w:r w:rsidR="004810E5">
        <w:rPr>
          <w:rFonts w:cs="Times New Roman"/>
          <w:szCs w:val="24"/>
          <w:lang w:val="en-US"/>
        </w:rPr>
        <w:instrText>an</w:instrText>
      </w:r>
      <w:r w:rsidR="004810E5" w:rsidRPr="00E93A18">
        <w:rPr>
          <w:rFonts w:cs="Times New Roman"/>
          <w:szCs w:val="24"/>
        </w:rPr>
        <w:instrText xml:space="preserve"> </w:instrText>
      </w:r>
      <w:r w:rsidR="004810E5">
        <w:rPr>
          <w:rFonts w:cs="Times New Roman"/>
          <w:szCs w:val="24"/>
          <w:lang w:val="en-US"/>
        </w:rPr>
        <w:instrText>alternative</w:instrText>
      </w:r>
      <w:r w:rsidR="004810E5" w:rsidRPr="00E93A18">
        <w:rPr>
          <w:rFonts w:cs="Times New Roman"/>
          <w:szCs w:val="24"/>
        </w:rPr>
        <w:instrText xml:space="preserve"> </w:instrText>
      </w:r>
      <w:r w:rsidR="004810E5">
        <w:rPr>
          <w:rFonts w:cs="Times New Roman"/>
          <w:szCs w:val="24"/>
          <w:lang w:val="en-US"/>
        </w:rPr>
        <w:instrText>regimen</w:instrText>
      </w:r>
      <w:r w:rsidR="004810E5" w:rsidRPr="00E93A18">
        <w:rPr>
          <w:rFonts w:cs="Times New Roman"/>
          <w:szCs w:val="24"/>
        </w:rPr>
        <w:instrText xml:space="preserve"> </w:instrText>
      </w:r>
      <w:r w:rsidR="004810E5">
        <w:rPr>
          <w:rFonts w:cs="Times New Roman"/>
          <w:szCs w:val="24"/>
          <w:lang w:val="en-US"/>
        </w:rPr>
        <w:instrText>LEAM</w:instrText>
      </w:r>
      <w:r w:rsidR="004810E5" w:rsidRPr="00E93A18">
        <w:rPr>
          <w:rFonts w:cs="Times New Roman"/>
          <w:szCs w:val="24"/>
        </w:rPr>
        <w:instrText xml:space="preserve"> </w:instrText>
      </w:r>
      <w:r w:rsidR="004810E5">
        <w:rPr>
          <w:rFonts w:cs="Times New Roman"/>
          <w:szCs w:val="24"/>
          <w:lang w:val="en-US"/>
        </w:rPr>
        <w:instrText>where</w:instrText>
      </w:r>
      <w:r w:rsidR="004810E5" w:rsidRPr="00E93A18">
        <w:rPr>
          <w:rFonts w:cs="Times New Roman"/>
          <w:szCs w:val="24"/>
        </w:rPr>
        <w:instrText xml:space="preserve"> </w:instrText>
      </w:r>
      <w:r w:rsidR="004810E5">
        <w:rPr>
          <w:rFonts w:cs="Times New Roman"/>
          <w:szCs w:val="24"/>
          <w:lang w:val="en-US"/>
        </w:rPr>
        <w:instrText>BCNU</w:instrText>
      </w:r>
      <w:r w:rsidR="004810E5" w:rsidRPr="00E93A18">
        <w:rPr>
          <w:rFonts w:cs="Times New Roman"/>
          <w:szCs w:val="24"/>
        </w:rPr>
        <w:instrText xml:space="preserve"> </w:instrText>
      </w:r>
      <w:r w:rsidR="004810E5">
        <w:rPr>
          <w:rFonts w:cs="Times New Roman"/>
          <w:szCs w:val="24"/>
          <w:lang w:val="en-US"/>
        </w:rPr>
        <w:instrText>was</w:instrText>
      </w:r>
      <w:r w:rsidR="004810E5" w:rsidRPr="00E93A18">
        <w:rPr>
          <w:rFonts w:cs="Times New Roman"/>
          <w:szCs w:val="24"/>
        </w:rPr>
        <w:instrText xml:space="preserve"> </w:instrText>
      </w:r>
      <w:r w:rsidR="004810E5">
        <w:rPr>
          <w:rFonts w:cs="Times New Roman"/>
          <w:szCs w:val="24"/>
          <w:lang w:val="en-US"/>
        </w:rPr>
        <w:instrText>replaced</w:instrText>
      </w:r>
      <w:r w:rsidR="004810E5" w:rsidRPr="00E93A18">
        <w:rPr>
          <w:rFonts w:cs="Times New Roman"/>
          <w:szCs w:val="24"/>
        </w:rPr>
        <w:instrText xml:space="preserve"> </w:instrText>
      </w:r>
      <w:r w:rsidR="004810E5">
        <w:rPr>
          <w:rFonts w:cs="Times New Roman"/>
          <w:szCs w:val="24"/>
          <w:lang w:val="en-US"/>
        </w:rPr>
        <w:instrText>with</w:instrText>
      </w:r>
      <w:r w:rsidR="004810E5" w:rsidRPr="00E93A18">
        <w:rPr>
          <w:rFonts w:cs="Times New Roman"/>
          <w:szCs w:val="24"/>
        </w:rPr>
        <w:instrText xml:space="preserve"> </w:instrText>
      </w:r>
      <w:r w:rsidR="004810E5">
        <w:rPr>
          <w:rFonts w:cs="Times New Roman"/>
          <w:szCs w:val="24"/>
          <w:lang w:val="en-US"/>
        </w:rPr>
        <w:instrText>the</w:instrText>
      </w:r>
      <w:r w:rsidR="004810E5" w:rsidRPr="00E93A18">
        <w:rPr>
          <w:rFonts w:cs="Times New Roman"/>
          <w:szCs w:val="24"/>
        </w:rPr>
        <w:instrText xml:space="preserve"> </w:instrText>
      </w:r>
      <w:r w:rsidR="004810E5">
        <w:rPr>
          <w:rFonts w:cs="Times New Roman"/>
          <w:szCs w:val="24"/>
          <w:lang w:val="en-US"/>
        </w:rPr>
        <w:instrText>oral</w:instrText>
      </w:r>
      <w:r w:rsidR="004810E5" w:rsidRPr="00E93A18">
        <w:rPr>
          <w:rFonts w:cs="Times New Roman"/>
          <w:szCs w:val="24"/>
        </w:rPr>
        <w:instrText xml:space="preserve"> </w:instrText>
      </w:r>
      <w:r w:rsidR="004810E5">
        <w:rPr>
          <w:rFonts w:cs="Times New Roman"/>
          <w:szCs w:val="24"/>
          <w:lang w:val="en-US"/>
        </w:rPr>
        <w:instrText>analogue</w:instrText>
      </w:r>
      <w:r w:rsidR="004810E5" w:rsidRPr="00E93A18">
        <w:rPr>
          <w:rFonts w:cs="Times New Roman"/>
          <w:szCs w:val="24"/>
        </w:rPr>
        <w:instrText xml:space="preserve"> </w:instrText>
      </w:r>
      <w:r w:rsidR="004810E5">
        <w:rPr>
          <w:rFonts w:cs="Times New Roman"/>
          <w:szCs w:val="24"/>
          <w:lang w:val="en-US"/>
        </w:rPr>
        <w:instrText>CCNU</w:instrText>
      </w:r>
      <w:r w:rsidR="004810E5" w:rsidRPr="00E93A18">
        <w:rPr>
          <w:rFonts w:cs="Times New Roman"/>
          <w:szCs w:val="24"/>
        </w:rPr>
        <w:instrText xml:space="preserve"> (</w:instrText>
      </w:r>
      <w:r w:rsidR="004810E5">
        <w:rPr>
          <w:rFonts w:cs="Times New Roman"/>
          <w:szCs w:val="24"/>
          <w:lang w:val="en-US"/>
        </w:rPr>
        <w:instrText>lomustine</w:instrText>
      </w:r>
      <w:r w:rsidR="004810E5" w:rsidRPr="00E93A18">
        <w:rPr>
          <w:rFonts w:cs="Times New Roman"/>
          <w:szCs w:val="24"/>
        </w:rPr>
        <w:instrText xml:space="preserve">) </w:instrText>
      </w:r>
      <w:r w:rsidR="004810E5">
        <w:rPr>
          <w:rFonts w:cs="Times New Roman"/>
          <w:szCs w:val="24"/>
          <w:lang w:val="en-US"/>
        </w:rPr>
        <w:instrText>to</w:instrText>
      </w:r>
      <w:r w:rsidR="004810E5" w:rsidRPr="00E93A18">
        <w:rPr>
          <w:rFonts w:cs="Times New Roman"/>
          <w:szCs w:val="24"/>
        </w:rPr>
        <w:instrText xml:space="preserve"> </w:instrText>
      </w:r>
      <w:r w:rsidR="004810E5">
        <w:rPr>
          <w:rFonts w:cs="Times New Roman"/>
          <w:szCs w:val="24"/>
          <w:lang w:val="en-US"/>
        </w:rPr>
        <w:instrText>tide</w:instrText>
      </w:r>
      <w:r w:rsidR="004810E5" w:rsidRPr="00E93A18">
        <w:rPr>
          <w:rFonts w:cs="Times New Roman"/>
          <w:szCs w:val="24"/>
        </w:rPr>
        <w:instrText xml:space="preserve"> </w:instrText>
      </w:r>
      <w:r w:rsidR="004810E5">
        <w:rPr>
          <w:rFonts w:cs="Times New Roman"/>
          <w:szCs w:val="24"/>
          <w:lang w:val="en-US"/>
        </w:rPr>
        <w:instrText>over</w:instrText>
      </w:r>
      <w:r w:rsidR="004810E5" w:rsidRPr="00E93A18">
        <w:rPr>
          <w:rFonts w:cs="Times New Roman"/>
          <w:szCs w:val="24"/>
        </w:rPr>
        <w:instrText xml:space="preserve"> </w:instrText>
      </w:r>
      <w:r w:rsidR="004810E5">
        <w:rPr>
          <w:rFonts w:cs="Times New Roman"/>
          <w:szCs w:val="24"/>
          <w:lang w:val="en-US"/>
        </w:rPr>
        <w:instrText>the</w:instrText>
      </w:r>
      <w:r w:rsidR="004810E5" w:rsidRPr="00E93A18">
        <w:rPr>
          <w:rFonts w:cs="Times New Roman"/>
          <w:szCs w:val="24"/>
        </w:rPr>
        <w:instrText xml:space="preserve"> </w:instrText>
      </w:r>
      <w:r w:rsidR="004810E5">
        <w:rPr>
          <w:rFonts w:cs="Times New Roman"/>
          <w:szCs w:val="24"/>
          <w:lang w:val="en-US"/>
        </w:rPr>
        <w:instrText>non</w:instrText>
      </w:r>
      <w:r w:rsidR="004810E5" w:rsidRPr="00E93A18">
        <w:rPr>
          <w:rFonts w:cs="Times New Roman"/>
          <w:szCs w:val="24"/>
        </w:rPr>
        <w:instrText>-</w:instrText>
      </w:r>
      <w:r w:rsidR="004810E5">
        <w:rPr>
          <w:rFonts w:cs="Times New Roman"/>
          <w:szCs w:val="24"/>
          <w:lang w:val="en-US"/>
        </w:rPr>
        <w:instrText>availability</w:instrText>
      </w:r>
      <w:r w:rsidR="004810E5" w:rsidRPr="00E93A18">
        <w:rPr>
          <w:rFonts w:cs="Times New Roman"/>
          <w:szCs w:val="24"/>
        </w:rPr>
        <w:instrText xml:space="preserve"> </w:instrText>
      </w:r>
      <w:r w:rsidR="004810E5">
        <w:rPr>
          <w:rFonts w:cs="Times New Roman"/>
          <w:szCs w:val="24"/>
          <w:lang w:val="en-US"/>
        </w:rPr>
        <w:instrText>of</w:instrText>
      </w:r>
      <w:r w:rsidR="004810E5" w:rsidRPr="00E93A18">
        <w:rPr>
          <w:rFonts w:cs="Times New Roman"/>
          <w:szCs w:val="24"/>
        </w:rPr>
        <w:instrText xml:space="preserve"> </w:instrText>
      </w:r>
      <w:r w:rsidR="004810E5">
        <w:rPr>
          <w:rFonts w:cs="Times New Roman"/>
          <w:szCs w:val="24"/>
          <w:lang w:val="en-US"/>
        </w:rPr>
        <w:instrText>BCNU</w:instrText>
      </w:r>
      <w:r w:rsidR="004810E5" w:rsidRPr="00E93A18">
        <w:rPr>
          <w:rFonts w:cs="Times New Roman"/>
          <w:szCs w:val="24"/>
        </w:rPr>
        <w:instrText xml:space="preserve">. </w:instrText>
      </w:r>
      <w:r w:rsidR="004810E5">
        <w:rPr>
          <w:rFonts w:cs="Times New Roman"/>
          <w:szCs w:val="24"/>
          <w:lang w:val="en-US"/>
        </w:rPr>
        <w:instrText>Fifty</w:instrText>
      </w:r>
      <w:r w:rsidR="004810E5" w:rsidRPr="00E93A18">
        <w:rPr>
          <w:rFonts w:cs="Times New Roman"/>
          <w:szCs w:val="24"/>
        </w:rPr>
        <w:instrText xml:space="preserve"> </w:instrText>
      </w:r>
      <w:r w:rsidR="004810E5">
        <w:rPr>
          <w:rFonts w:cs="Times New Roman"/>
          <w:szCs w:val="24"/>
          <w:lang w:val="en-US"/>
        </w:rPr>
        <w:instrText>one</w:instrText>
      </w:r>
      <w:r w:rsidR="004810E5" w:rsidRPr="00E93A18">
        <w:rPr>
          <w:rFonts w:cs="Times New Roman"/>
          <w:szCs w:val="24"/>
        </w:rPr>
        <w:instrText xml:space="preserve"> </w:instrText>
      </w:r>
      <w:r w:rsidR="004810E5">
        <w:rPr>
          <w:rFonts w:cs="Times New Roman"/>
          <w:szCs w:val="24"/>
          <w:lang w:val="en-US"/>
        </w:rPr>
        <w:instrText>patients</w:instrText>
      </w:r>
      <w:r w:rsidR="004810E5" w:rsidRPr="00E93A18">
        <w:rPr>
          <w:rFonts w:cs="Times New Roman"/>
          <w:szCs w:val="24"/>
        </w:rPr>
        <w:instrText xml:space="preserve"> </w:instrText>
      </w:r>
      <w:r w:rsidR="004810E5">
        <w:rPr>
          <w:rFonts w:cs="Times New Roman"/>
          <w:szCs w:val="24"/>
          <w:lang w:val="en-US"/>
        </w:rPr>
        <w:instrText>of</w:instrText>
      </w:r>
      <w:r w:rsidR="004810E5" w:rsidRPr="00E93A18">
        <w:rPr>
          <w:rFonts w:cs="Times New Roman"/>
          <w:szCs w:val="24"/>
        </w:rPr>
        <w:instrText xml:space="preserve"> </w:instrText>
      </w:r>
      <w:r w:rsidR="004810E5">
        <w:rPr>
          <w:rFonts w:cs="Times New Roman"/>
          <w:szCs w:val="24"/>
          <w:lang w:val="en-US"/>
        </w:rPr>
        <w:instrText>relapsed</w:instrText>
      </w:r>
      <w:r w:rsidR="004810E5" w:rsidRPr="00E93A18">
        <w:rPr>
          <w:rFonts w:cs="Times New Roman"/>
          <w:szCs w:val="24"/>
        </w:rPr>
        <w:instrText xml:space="preserve"> </w:instrText>
      </w:r>
      <w:r w:rsidR="004810E5">
        <w:rPr>
          <w:rFonts w:cs="Times New Roman"/>
          <w:szCs w:val="24"/>
          <w:lang w:val="en-US"/>
        </w:rPr>
        <w:instrText>or</w:instrText>
      </w:r>
      <w:r w:rsidR="004810E5" w:rsidRPr="00E93A18">
        <w:rPr>
          <w:rFonts w:cs="Times New Roman"/>
          <w:szCs w:val="24"/>
        </w:rPr>
        <w:instrText xml:space="preserve"> </w:instrText>
      </w:r>
      <w:r w:rsidR="004810E5">
        <w:rPr>
          <w:rFonts w:cs="Times New Roman"/>
          <w:szCs w:val="24"/>
          <w:lang w:val="en-US"/>
        </w:rPr>
        <w:instrText>refractory</w:instrText>
      </w:r>
      <w:r w:rsidR="004810E5" w:rsidRPr="00E93A18">
        <w:rPr>
          <w:rFonts w:cs="Times New Roman"/>
          <w:szCs w:val="24"/>
        </w:rPr>
        <w:instrText xml:space="preserve"> </w:instrText>
      </w:r>
      <w:r w:rsidR="004810E5">
        <w:rPr>
          <w:rFonts w:cs="Times New Roman"/>
          <w:szCs w:val="24"/>
          <w:lang w:val="en-US"/>
        </w:rPr>
        <w:instrText>lymphoma</w:instrText>
      </w:r>
      <w:r w:rsidR="004810E5" w:rsidRPr="00E93A18">
        <w:rPr>
          <w:rFonts w:cs="Times New Roman"/>
          <w:szCs w:val="24"/>
        </w:rPr>
        <w:instrText xml:space="preserve"> </w:instrText>
      </w:r>
      <w:r w:rsidR="004810E5">
        <w:rPr>
          <w:rFonts w:cs="Times New Roman"/>
          <w:szCs w:val="24"/>
          <w:lang w:val="en-US"/>
        </w:rPr>
        <w:instrText>who</w:instrText>
      </w:r>
      <w:r w:rsidR="004810E5" w:rsidRPr="00E93A18">
        <w:rPr>
          <w:rFonts w:cs="Times New Roman"/>
          <w:szCs w:val="24"/>
        </w:rPr>
        <w:instrText xml:space="preserve"> </w:instrText>
      </w:r>
      <w:r w:rsidR="004810E5">
        <w:rPr>
          <w:rFonts w:cs="Times New Roman"/>
          <w:szCs w:val="24"/>
          <w:lang w:val="en-US"/>
        </w:rPr>
        <w:instrText>received</w:instrText>
      </w:r>
      <w:r w:rsidR="004810E5" w:rsidRPr="00E93A18">
        <w:rPr>
          <w:rFonts w:cs="Times New Roman"/>
          <w:szCs w:val="24"/>
        </w:rPr>
        <w:instrText xml:space="preserve"> </w:instrText>
      </w:r>
      <w:r w:rsidR="004810E5">
        <w:rPr>
          <w:rFonts w:cs="Times New Roman"/>
          <w:szCs w:val="24"/>
          <w:lang w:val="en-US"/>
        </w:rPr>
        <w:instrText>BEAM</w:instrText>
      </w:r>
      <w:r w:rsidR="004810E5" w:rsidRPr="00E93A18">
        <w:rPr>
          <w:rFonts w:cs="Times New Roman"/>
          <w:szCs w:val="24"/>
        </w:rPr>
        <w:instrText xml:space="preserve"> (</w:instrText>
      </w:r>
      <w:r w:rsidR="004810E5">
        <w:rPr>
          <w:rFonts w:cs="Times New Roman"/>
          <w:szCs w:val="24"/>
          <w:lang w:val="en-US"/>
        </w:rPr>
        <w:instrText>n</w:instrText>
      </w:r>
      <w:r w:rsidR="004810E5" w:rsidRPr="00E93A18">
        <w:rPr>
          <w:rFonts w:cs="Times New Roman"/>
          <w:szCs w:val="24"/>
        </w:rPr>
        <w:instrText xml:space="preserve">= 34) </w:instrText>
      </w:r>
      <w:r w:rsidR="004810E5">
        <w:rPr>
          <w:rFonts w:cs="Times New Roman"/>
          <w:szCs w:val="24"/>
          <w:lang w:val="en-US"/>
        </w:rPr>
        <w:instrText>and</w:instrText>
      </w:r>
      <w:r w:rsidR="004810E5" w:rsidRPr="00E93A18">
        <w:rPr>
          <w:rFonts w:cs="Times New Roman"/>
          <w:szCs w:val="24"/>
        </w:rPr>
        <w:instrText xml:space="preserve"> </w:instrText>
      </w:r>
      <w:r w:rsidR="004810E5">
        <w:rPr>
          <w:rFonts w:cs="Times New Roman"/>
          <w:szCs w:val="24"/>
          <w:lang w:val="en-US"/>
        </w:rPr>
        <w:instrText>LEAM</w:instrText>
      </w:r>
      <w:r w:rsidR="004810E5" w:rsidRPr="00E93A18">
        <w:rPr>
          <w:rFonts w:cs="Times New Roman"/>
          <w:szCs w:val="24"/>
        </w:rPr>
        <w:instrText xml:space="preserve"> (</w:instrText>
      </w:r>
      <w:r w:rsidR="004810E5">
        <w:rPr>
          <w:rFonts w:cs="Times New Roman"/>
          <w:szCs w:val="24"/>
          <w:lang w:val="en-US"/>
        </w:rPr>
        <w:instrText>n</w:instrText>
      </w:r>
      <w:r w:rsidR="004810E5" w:rsidRPr="00E93A18">
        <w:rPr>
          <w:rFonts w:cs="Times New Roman"/>
          <w:szCs w:val="24"/>
        </w:rPr>
        <w:instrText xml:space="preserve">= 17) </w:instrText>
      </w:r>
      <w:r w:rsidR="004810E5">
        <w:rPr>
          <w:rFonts w:cs="Times New Roman"/>
          <w:szCs w:val="24"/>
          <w:lang w:val="en-US"/>
        </w:rPr>
        <w:instrText>from</w:instrText>
      </w:r>
      <w:r w:rsidR="004810E5" w:rsidRPr="00E93A18">
        <w:rPr>
          <w:rFonts w:cs="Times New Roman"/>
          <w:szCs w:val="24"/>
        </w:rPr>
        <w:instrText xml:space="preserve"> </w:instrText>
      </w:r>
      <w:r w:rsidR="004810E5">
        <w:rPr>
          <w:rFonts w:cs="Times New Roman"/>
          <w:szCs w:val="24"/>
          <w:lang w:val="en-US"/>
        </w:rPr>
        <w:instrText>September</w:instrText>
      </w:r>
      <w:r w:rsidR="004810E5" w:rsidRPr="00E93A18">
        <w:rPr>
          <w:rFonts w:cs="Times New Roman"/>
          <w:szCs w:val="24"/>
        </w:rPr>
        <w:instrText xml:space="preserve"> 2001 </w:instrText>
      </w:r>
      <w:r w:rsidR="004810E5">
        <w:rPr>
          <w:rFonts w:cs="Times New Roman"/>
          <w:szCs w:val="24"/>
          <w:lang w:val="en-US"/>
        </w:rPr>
        <w:instrText>to</w:instrText>
      </w:r>
      <w:r w:rsidR="004810E5" w:rsidRPr="00E93A18">
        <w:rPr>
          <w:rFonts w:cs="Times New Roman"/>
          <w:szCs w:val="24"/>
        </w:rPr>
        <w:instrText xml:space="preserve"> </w:instrText>
      </w:r>
      <w:r w:rsidR="004810E5">
        <w:rPr>
          <w:rFonts w:cs="Times New Roman"/>
          <w:szCs w:val="24"/>
          <w:lang w:val="en-US"/>
        </w:rPr>
        <w:instrText>February</w:instrText>
      </w:r>
      <w:r w:rsidR="004810E5" w:rsidRPr="00E93A18">
        <w:rPr>
          <w:rFonts w:cs="Times New Roman"/>
          <w:szCs w:val="24"/>
        </w:rPr>
        <w:instrText xml:space="preserve"> 2012 </w:instrText>
      </w:r>
      <w:r w:rsidR="004810E5">
        <w:rPr>
          <w:rFonts w:cs="Times New Roman"/>
          <w:szCs w:val="24"/>
          <w:lang w:val="en-US"/>
        </w:rPr>
        <w:instrText>were</w:instrText>
      </w:r>
      <w:r w:rsidR="004810E5" w:rsidRPr="00E93A18">
        <w:rPr>
          <w:rFonts w:cs="Times New Roman"/>
          <w:szCs w:val="24"/>
        </w:rPr>
        <w:instrText xml:space="preserve"> </w:instrText>
      </w:r>
      <w:r w:rsidR="004810E5">
        <w:rPr>
          <w:rFonts w:cs="Times New Roman"/>
          <w:szCs w:val="24"/>
          <w:lang w:val="en-US"/>
        </w:rPr>
        <w:instrText>analyzed</w:instrText>
      </w:r>
      <w:r w:rsidR="004810E5" w:rsidRPr="00E93A18">
        <w:rPr>
          <w:rFonts w:cs="Times New Roman"/>
          <w:szCs w:val="24"/>
        </w:rPr>
        <w:instrText xml:space="preserve">. </w:instrText>
      </w:r>
      <w:r w:rsidR="004810E5">
        <w:rPr>
          <w:rFonts w:cs="Times New Roman"/>
          <w:szCs w:val="24"/>
          <w:lang w:val="en-US"/>
        </w:rPr>
        <w:instrText>From</w:instrText>
      </w:r>
      <w:r w:rsidR="004810E5" w:rsidRPr="00E93A18">
        <w:rPr>
          <w:rFonts w:cs="Times New Roman"/>
          <w:szCs w:val="24"/>
        </w:rPr>
        <w:instrText xml:space="preserve"> </w:instrText>
      </w:r>
      <w:r w:rsidR="004810E5">
        <w:rPr>
          <w:rFonts w:cs="Times New Roman"/>
          <w:szCs w:val="24"/>
          <w:lang w:val="en-US"/>
        </w:rPr>
        <w:instrText>October</w:instrText>
      </w:r>
      <w:r w:rsidR="004810E5" w:rsidRPr="00E93A18">
        <w:rPr>
          <w:rFonts w:cs="Times New Roman"/>
          <w:szCs w:val="24"/>
        </w:rPr>
        <w:instrText xml:space="preserve"> 2009 </w:instrText>
      </w:r>
      <w:r w:rsidR="004810E5">
        <w:rPr>
          <w:rFonts w:cs="Times New Roman"/>
          <w:szCs w:val="24"/>
          <w:lang w:val="en-US"/>
        </w:rPr>
        <w:instrText>onwards</w:instrText>
      </w:r>
      <w:r w:rsidR="004810E5" w:rsidRPr="00E93A18">
        <w:rPr>
          <w:rFonts w:cs="Times New Roman"/>
          <w:szCs w:val="24"/>
        </w:rPr>
        <w:instrText xml:space="preserve"> </w:instrText>
      </w:r>
      <w:r w:rsidR="004810E5">
        <w:rPr>
          <w:rFonts w:cs="Times New Roman"/>
          <w:szCs w:val="24"/>
          <w:lang w:val="en-US"/>
        </w:rPr>
        <w:instrText>LEAM</w:instrText>
      </w:r>
      <w:r w:rsidR="004810E5" w:rsidRPr="00E93A18">
        <w:rPr>
          <w:rFonts w:cs="Times New Roman"/>
          <w:szCs w:val="24"/>
        </w:rPr>
        <w:instrText xml:space="preserve"> </w:instrText>
      </w:r>
      <w:r w:rsidR="004810E5">
        <w:rPr>
          <w:rFonts w:cs="Times New Roman"/>
          <w:szCs w:val="24"/>
          <w:lang w:val="en-US"/>
        </w:rPr>
        <w:instrText>was</w:instrText>
      </w:r>
      <w:r w:rsidR="004810E5" w:rsidRPr="00E93A18">
        <w:rPr>
          <w:rFonts w:cs="Times New Roman"/>
          <w:szCs w:val="24"/>
        </w:rPr>
        <w:instrText xml:space="preserve"> </w:instrText>
      </w:r>
      <w:r w:rsidR="004810E5">
        <w:rPr>
          <w:rFonts w:cs="Times New Roman"/>
          <w:szCs w:val="24"/>
          <w:lang w:val="en-US"/>
        </w:rPr>
        <w:instrText>used</w:instrText>
      </w:r>
      <w:r w:rsidR="004810E5" w:rsidRPr="00E93A18">
        <w:rPr>
          <w:rFonts w:cs="Times New Roman"/>
          <w:szCs w:val="24"/>
        </w:rPr>
        <w:instrText xml:space="preserve"> </w:instrText>
      </w:r>
      <w:r w:rsidR="004810E5">
        <w:rPr>
          <w:rFonts w:cs="Times New Roman"/>
          <w:szCs w:val="24"/>
          <w:lang w:val="en-US"/>
        </w:rPr>
        <w:instrText>as</w:instrText>
      </w:r>
      <w:r w:rsidR="004810E5" w:rsidRPr="00E93A18">
        <w:rPr>
          <w:rFonts w:cs="Times New Roman"/>
          <w:szCs w:val="24"/>
        </w:rPr>
        <w:instrText xml:space="preserve"> </w:instrText>
      </w:r>
      <w:r w:rsidR="004810E5">
        <w:rPr>
          <w:rFonts w:cs="Times New Roman"/>
          <w:szCs w:val="24"/>
          <w:lang w:val="en-US"/>
        </w:rPr>
        <w:instrText>the</w:instrText>
      </w:r>
      <w:r w:rsidR="004810E5" w:rsidRPr="00E93A18">
        <w:rPr>
          <w:rFonts w:cs="Times New Roman"/>
          <w:szCs w:val="24"/>
        </w:rPr>
        <w:instrText xml:space="preserve"> </w:instrText>
      </w:r>
      <w:r w:rsidR="004810E5">
        <w:rPr>
          <w:rFonts w:cs="Times New Roman"/>
          <w:szCs w:val="24"/>
          <w:lang w:val="en-US"/>
        </w:rPr>
        <w:instrText>conditioning</w:instrText>
      </w:r>
      <w:r w:rsidR="004810E5" w:rsidRPr="00E93A18">
        <w:rPr>
          <w:rFonts w:cs="Times New Roman"/>
          <w:szCs w:val="24"/>
        </w:rPr>
        <w:instrText xml:space="preserve"> </w:instrText>
      </w:r>
      <w:r w:rsidR="004810E5">
        <w:rPr>
          <w:rFonts w:cs="Times New Roman"/>
          <w:szCs w:val="24"/>
          <w:lang w:val="en-US"/>
        </w:rPr>
        <w:instrText>regimen</w:instrText>
      </w:r>
      <w:r w:rsidR="004810E5" w:rsidRPr="00E93A18">
        <w:rPr>
          <w:rFonts w:cs="Times New Roman"/>
          <w:szCs w:val="24"/>
        </w:rPr>
        <w:instrText xml:space="preserve"> </w:instrText>
      </w:r>
      <w:r w:rsidR="004810E5">
        <w:rPr>
          <w:rFonts w:cs="Times New Roman"/>
          <w:szCs w:val="24"/>
          <w:lang w:val="en-US"/>
        </w:rPr>
        <w:instrText>instead</w:instrText>
      </w:r>
      <w:r w:rsidR="004810E5" w:rsidRPr="00E93A18">
        <w:rPr>
          <w:rFonts w:cs="Times New Roman"/>
          <w:szCs w:val="24"/>
        </w:rPr>
        <w:instrText xml:space="preserve"> </w:instrText>
      </w:r>
      <w:r w:rsidR="004810E5">
        <w:rPr>
          <w:rFonts w:cs="Times New Roman"/>
          <w:szCs w:val="24"/>
          <w:lang w:val="en-US"/>
        </w:rPr>
        <w:instrText>of</w:instrText>
      </w:r>
      <w:r w:rsidR="004810E5" w:rsidRPr="00E93A18">
        <w:rPr>
          <w:rFonts w:cs="Times New Roman"/>
          <w:szCs w:val="24"/>
        </w:rPr>
        <w:instrText xml:space="preserve"> </w:instrText>
      </w:r>
      <w:r w:rsidR="004810E5">
        <w:rPr>
          <w:rFonts w:cs="Times New Roman"/>
          <w:szCs w:val="24"/>
          <w:lang w:val="en-US"/>
        </w:rPr>
        <w:instrText>conventional</w:instrText>
      </w:r>
      <w:r w:rsidR="004810E5" w:rsidRPr="00E93A18">
        <w:rPr>
          <w:rFonts w:cs="Times New Roman"/>
          <w:szCs w:val="24"/>
        </w:rPr>
        <w:instrText xml:space="preserve"> </w:instrText>
      </w:r>
      <w:r w:rsidR="004810E5">
        <w:rPr>
          <w:rFonts w:cs="Times New Roman"/>
          <w:szCs w:val="24"/>
          <w:lang w:val="en-US"/>
        </w:rPr>
        <w:instrText>BEAM</w:instrText>
      </w:r>
      <w:r w:rsidR="004810E5" w:rsidRPr="00E93A18">
        <w:rPr>
          <w:rFonts w:cs="Times New Roman"/>
          <w:szCs w:val="24"/>
        </w:rPr>
        <w:instrText xml:space="preserve">. </w:instrText>
      </w:r>
      <w:r w:rsidR="004810E5">
        <w:rPr>
          <w:rFonts w:cs="Times New Roman"/>
          <w:szCs w:val="24"/>
          <w:lang w:val="en-US"/>
        </w:rPr>
        <w:instrText>Patients</w:instrText>
      </w:r>
      <w:r w:rsidR="004810E5" w:rsidRPr="00E93A18">
        <w:rPr>
          <w:rFonts w:cs="Times New Roman"/>
          <w:szCs w:val="24"/>
        </w:rPr>
        <w:instrText xml:space="preserve"> </w:instrText>
      </w:r>
      <w:r w:rsidR="004810E5">
        <w:rPr>
          <w:rFonts w:cs="Times New Roman"/>
          <w:szCs w:val="24"/>
          <w:lang w:val="en-US"/>
        </w:rPr>
        <w:instrText>in</w:instrText>
      </w:r>
      <w:r w:rsidR="004810E5" w:rsidRPr="00E93A18">
        <w:rPr>
          <w:rFonts w:cs="Times New Roman"/>
          <w:szCs w:val="24"/>
        </w:rPr>
        <w:instrText xml:space="preserve"> </w:instrText>
      </w:r>
      <w:r w:rsidR="004810E5">
        <w:rPr>
          <w:rFonts w:cs="Times New Roman"/>
          <w:szCs w:val="24"/>
          <w:lang w:val="en-US"/>
        </w:rPr>
        <w:instrText>the</w:instrText>
      </w:r>
      <w:r w:rsidR="004810E5" w:rsidRPr="00E93A18">
        <w:rPr>
          <w:rFonts w:cs="Times New Roman"/>
          <w:szCs w:val="24"/>
        </w:rPr>
        <w:instrText xml:space="preserve"> </w:instrText>
      </w:r>
      <w:r w:rsidR="004810E5">
        <w:rPr>
          <w:rFonts w:cs="Times New Roman"/>
          <w:szCs w:val="24"/>
          <w:lang w:val="en-US"/>
        </w:rPr>
        <w:instrText>LEAM</w:instrText>
      </w:r>
      <w:r w:rsidR="004810E5" w:rsidRPr="00E93A18">
        <w:rPr>
          <w:rFonts w:cs="Times New Roman"/>
          <w:szCs w:val="24"/>
        </w:rPr>
        <w:instrText xml:space="preserve"> </w:instrText>
      </w:r>
      <w:r w:rsidR="004810E5">
        <w:rPr>
          <w:rFonts w:cs="Times New Roman"/>
          <w:szCs w:val="24"/>
          <w:lang w:val="en-US"/>
        </w:rPr>
        <w:instrText>group</w:instrText>
      </w:r>
      <w:r w:rsidR="004810E5" w:rsidRPr="00E93A18">
        <w:rPr>
          <w:rFonts w:cs="Times New Roman"/>
          <w:szCs w:val="24"/>
        </w:rPr>
        <w:instrText xml:space="preserve"> </w:instrText>
      </w:r>
      <w:r w:rsidR="004810E5">
        <w:rPr>
          <w:rFonts w:cs="Times New Roman"/>
          <w:szCs w:val="24"/>
          <w:lang w:val="en-US"/>
        </w:rPr>
        <w:instrText>had</w:instrText>
      </w:r>
      <w:r w:rsidR="004810E5" w:rsidRPr="00E93A18">
        <w:rPr>
          <w:rFonts w:cs="Times New Roman"/>
          <w:szCs w:val="24"/>
        </w:rPr>
        <w:instrText xml:space="preserve"> </w:instrText>
      </w:r>
      <w:r w:rsidR="004810E5">
        <w:rPr>
          <w:rFonts w:cs="Times New Roman"/>
          <w:szCs w:val="24"/>
          <w:lang w:val="en-US"/>
        </w:rPr>
        <w:instrText>more</w:instrText>
      </w:r>
      <w:r w:rsidR="004810E5" w:rsidRPr="00E93A18">
        <w:rPr>
          <w:rFonts w:cs="Times New Roman"/>
          <w:szCs w:val="24"/>
        </w:rPr>
        <w:instrText xml:space="preserve"> </w:instrText>
      </w:r>
      <w:r w:rsidR="004810E5">
        <w:rPr>
          <w:rFonts w:cs="Times New Roman"/>
          <w:szCs w:val="24"/>
          <w:lang w:val="en-US"/>
        </w:rPr>
        <w:instrText>chemorefractory</w:instrText>
      </w:r>
      <w:r w:rsidR="004810E5" w:rsidRPr="00E93A18">
        <w:rPr>
          <w:rFonts w:cs="Times New Roman"/>
          <w:szCs w:val="24"/>
        </w:rPr>
        <w:instrText xml:space="preserve"> </w:instrText>
      </w:r>
      <w:r w:rsidR="004810E5">
        <w:rPr>
          <w:rFonts w:cs="Times New Roman"/>
          <w:szCs w:val="24"/>
          <w:lang w:val="en-US"/>
        </w:rPr>
        <w:instrText>disease</w:instrText>
      </w:r>
      <w:r w:rsidR="004810E5" w:rsidRPr="00E93A18">
        <w:rPr>
          <w:rFonts w:cs="Times New Roman"/>
          <w:szCs w:val="24"/>
        </w:rPr>
        <w:instrText xml:space="preserve"> (35% </w:instrText>
      </w:r>
      <w:r w:rsidR="004810E5">
        <w:rPr>
          <w:rFonts w:cs="Times New Roman"/>
          <w:szCs w:val="24"/>
          <w:lang w:val="en-US"/>
        </w:rPr>
        <w:instrText>vs</w:instrText>
      </w:r>
      <w:r w:rsidR="004810E5" w:rsidRPr="00E93A18">
        <w:rPr>
          <w:rFonts w:cs="Times New Roman"/>
          <w:szCs w:val="24"/>
        </w:rPr>
        <w:instrText xml:space="preserve"> 9%, </w:instrText>
      </w:r>
      <w:r w:rsidR="004810E5">
        <w:rPr>
          <w:rFonts w:cs="Times New Roman"/>
          <w:szCs w:val="24"/>
          <w:lang w:val="en-US"/>
        </w:rPr>
        <w:instrText>p</w:instrText>
      </w:r>
      <w:r w:rsidR="004810E5" w:rsidRPr="00E93A18">
        <w:rPr>
          <w:rFonts w:cs="Times New Roman"/>
          <w:szCs w:val="24"/>
        </w:rPr>
        <w:instrText xml:space="preserve"> = 0.045) </w:instrText>
      </w:r>
      <w:r w:rsidR="004810E5">
        <w:rPr>
          <w:rFonts w:cs="Times New Roman"/>
          <w:szCs w:val="24"/>
          <w:lang w:val="en-US"/>
        </w:rPr>
        <w:instrText>and</w:instrText>
      </w:r>
      <w:r w:rsidR="004810E5" w:rsidRPr="00E93A18">
        <w:rPr>
          <w:rFonts w:cs="Times New Roman"/>
          <w:szCs w:val="24"/>
        </w:rPr>
        <w:instrText xml:space="preserve"> </w:instrText>
      </w:r>
      <w:r w:rsidR="004810E5">
        <w:rPr>
          <w:rFonts w:cs="Times New Roman"/>
          <w:szCs w:val="24"/>
          <w:lang w:val="en-US"/>
        </w:rPr>
        <w:instrText>high</w:instrText>
      </w:r>
      <w:r w:rsidR="004810E5" w:rsidRPr="00E93A18">
        <w:rPr>
          <w:rFonts w:cs="Times New Roman"/>
          <w:szCs w:val="24"/>
        </w:rPr>
        <w:instrText xml:space="preserve"> </w:instrText>
      </w:r>
      <w:r w:rsidR="004810E5">
        <w:rPr>
          <w:rFonts w:cs="Times New Roman"/>
          <w:szCs w:val="24"/>
          <w:lang w:val="en-US"/>
        </w:rPr>
        <w:instrText>risk</w:instrText>
      </w:r>
      <w:r w:rsidR="004810E5" w:rsidRPr="00E93A18">
        <w:rPr>
          <w:rFonts w:cs="Times New Roman"/>
          <w:szCs w:val="24"/>
        </w:rPr>
        <w:instrText xml:space="preserve"> </w:instrText>
      </w:r>
      <w:r w:rsidR="004810E5">
        <w:rPr>
          <w:rFonts w:cs="Times New Roman"/>
          <w:szCs w:val="24"/>
          <w:lang w:val="en-US"/>
        </w:rPr>
        <w:instrText>comorbidity</w:instrText>
      </w:r>
      <w:r w:rsidR="004810E5" w:rsidRPr="00E93A18">
        <w:rPr>
          <w:rFonts w:cs="Times New Roman"/>
          <w:szCs w:val="24"/>
        </w:rPr>
        <w:instrText xml:space="preserve"> </w:instrText>
      </w:r>
      <w:r w:rsidR="004810E5">
        <w:rPr>
          <w:rFonts w:cs="Times New Roman"/>
          <w:szCs w:val="24"/>
          <w:lang w:val="en-US"/>
        </w:rPr>
        <w:instrText>score</w:instrText>
      </w:r>
      <w:r w:rsidR="004810E5" w:rsidRPr="00E93A18">
        <w:rPr>
          <w:rFonts w:cs="Times New Roman"/>
          <w:szCs w:val="24"/>
        </w:rPr>
        <w:instrText xml:space="preserve"> (24% </w:instrText>
      </w:r>
      <w:r w:rsidR="004810E5">
        <w:rPr>
          <w:rFonts w:cs="Times New Roman"/>
          <w:szCs w:val="24"/>
          <w:lang w:val="en-US"/>
        </w:rPr>
        <w:instrText>vs</w:instrText>
      </w:r>
      <w:r w:rsidR="004810E5" w:rsidRPr="00E93A18">
        <w:rPr>
          <w:rFonts w:cs="Times New Roman"/>
          <w:szCs w:val="24"/>
        </w:rPr>
        <w:instrText xml:space="preserve"> 0%, </w:instrText>
      </w:r>
      <w:r w:rsidR="004810E5">
        <w:rPr>
          <w:rFonts w:cs="Times New Roman"/>
          <w:szCs w:val="24"/>
          <w:lang w:val="en-US"/>
        </w:rPr>
        <w:instrText>p</w:instrText>
      </w:r>
      <w:r w:rsidR="004810E5" w:rsidRPr="00E93A18">
        <w:rPr>
          <w:rFonts w:cs="Times New Roman"/>
          <w:szCs w:val="24"/>
        </w:rPr>
        <w:instrText xml:space="preserve"> = 0.019). </w:instrText>
      </w:r>
      <w:r w:rsidR="004810E5">
        <w:rPr>
          <w:rFonts w:cs="Times New Roman"/>
          <w:szCs w:val="24"/>
          <w:lang w:val="en-US"/>
        </w:rPr>
        <w:instrText>Grade</w:instrText>
      </w:r>
      <w:r w:rsidR="004810E5" w:rsidRPr="00E93A18">
        <w:rPr>
          <w:rFonts w:cs="Times New Roman"/>
          <w:szCs w:val="24"/>
        </w:rPr>
        <w:instrText xml:space="preserve"> 3 </w:instrText>
      </w:r>
      <w:r w:rsidR="004810E5">
        <w:rPr>
          <w:rFonts w:cs="Times New Roman"/>
          <w:szCs w:val="24"/>
          <w:lang w:val="en-US"/>
        </w:rPr>
        <w:instrText>and</w:instrText>
      </w:r>
      <w:r w:rsidR="004810E5" w:rsidRPr="00E93A18">
        <w:rPr>
          <w:rFonts w:cs="Times New Roman"/>
          <w:szCs w:val="24"/>
        </w:rPr>
        <w:instrText xml:space="preserve"> 4 </w:instrText>
      </w:r>
      <w:r w:rsidR="004810E5">
        <w:rPr>
          <w:rFonts w:cs="Times New Roman"/>
          <w:szCs w:val="24"/>
          <w:lang w:val="en-US"/>
        </w:rPr>
        <w:instrText>oral</w:instrText>
      </w:r>
      <w:r w:rsidR="004810E5" w:rsidRPr="00E93A18">
        <w:rPr>
          <w:rFonts w:cs="Times New Roman"/>
          <w:szCs w:val="24"/>
        </w:rPr>
        <w:instrText xml:space="preserve"> </w:instrText>
      </w:r>
      <w:r w:rsidR="004810E5">
        <w:rPr>
          <w:rFonts w:cs="Times New Roman"/>
          <w:szCs w:val="24"/>
          <w:lang w:val="en-US"/>
        </w:rPr>
        <w:instrText>mucositis</w:instrText>
      </w:r>
      <w:r w:rsidR="004810E5" w:rsidRPr="00E93A18">
        <w:rPr>
          <w:rFonts w:cs="Times New Roman"/>
          <w:szCs w:val="24"/>
        </w:rPr>
        <w:instrText xml:space="preserve"> (67.6% </w:instrText>
      </w:r>
      <w:r w:rsidR="004810E5">
        <w:rPr>
          <w:rFonts w:cs="Times New Roman"/>
          <w:szCs w:val="24"/>
          <w:lang w:val="en-US"/>
        </w:rPr>
        <w:instrText>vs</w:instrText>
      </w:r>
      <w:r w:rsidR="004810E5" w:rsidRPr="00E93A18">
        <w:rPr>
          <w:rFonts w:cs="Times New Roman"/>
          <w:szCs w:val="24"/>
        </w:rPr>
        <w:instrText xml:space="preserve">. 64.7%, </w:instrText>
      </w:r>
      <w:r w:rsidR="004810E5">
        <w:rPr>
          <w:rFonts w:cs="Times New Roman"/>
          <w:szCs w:val="24"/>
          <w:lang w:val="en-US"/>
        </w:rPr>
        <w:instrText>p</w:instrText>
      </w:r>
      <w:r w:rsidR="004810E5" w:rsidRPr="00E93A18">
        <w:rPr>
          <w:rFonts w:cs="Times New Roman"/>
          <w:szCs w:val="24"/>
        </w:rPr>
        <w:instrText xml:space="preserve"> = 0.834) </w:instrText>
      </w:r>
      <w:r w:rsidR="004810E5">
        <w:rPr>
          <w:rFonts w:cs="Times New Roman"/>
          <w:szCs w:val="24"/>
          <w:lang w:val="en-US"/>
        </w:rPr>
        <w:instrText>and</w:instrText>
      </w:r>
      <w:r w:rsidR="004810E5" w:rsidRPr="00E93A18">
        <w:rPr>
          <w:rFonts w:cs="Times New Roman"/>
          <w:szCs w:val="24"/>
        </w:rPr>
        <w:instrText xml:space="preserve"> </w:instrText>
      </w:r>
      <w:r w:rsidR="004810E5">
        <w:rPr>
          <w:rFonts w:cs="Times New Roman"/>
          <w:szCs w:val="24"/>
          <w:lang w:val="en-US"/>
        </w:rPr>
        <w:instrText>diarrhea</w:instrText>
      </w:r>
      <w:r w:rsidR="004810E5" w:rsidRPr="00E93A18">
        <w:rPr>
          <w:rFonts w:cs="Times New Roman"/>
          <w:szCs w:val="24"/>
        </w:rPr>
        <w:instrText xml:space="preserve"> (47% </w:instrText>
      </w:r>
      <w:r w:rsidR="004810E5">
        <w:rPr>
          <w:rFonts w:cs="Times New Roman"/>
          <w:szCs w:val="24"/>
          <w:lang w:val="en-US"/>
        </w:rPr>
        <w:instrText>vs</w:instrText>
      </w:r>
      <w:r w:rsidR="004810E5" w:rsidRPr="00E93A18">
        <w:rPr>
          <w:rFonts w:cs="Times New Roman"/>
          <w:szCs w:val="24"/>
        </w:rPr>
        <w:instrText xml:space="preserve">. 41.1%, </w:instrText>
      </w:r>
      <w:r w:rsidR="004810E5">
        <w:rPr>
          <w:rFonts w:cs="Times New Roman"/>
          <w:szCs w:val="24"/>
          <w:lang w:val="en-US"/>
        </w:rPr>
        <w:instrText>p</w:instrText>
      </w:r>
      <w:r w:rsidR="004810E5" w:rsidRPr="00E93A18">
        <w:rPr>
          <w:rFonts w:cs="Times New Roman"/>
          <w:szCs w:val="24"/>
        </w:rPr>
        <w:instrText xml:space="preserve"> = 0.691) </w:instrText>
      </w:r>
      <w:r w:rsidR="004810E5">
        <w:rPr>
          <w:rFonts w:cs="Times New Roman"/>
          <w:szCs w:val="24"/>
          <w:lang w:val="en-US"/>
        </w:rPr>
        <w:instrText>were</w:instrText>
      </w:r>
      <w:r w:rsidR="004810E5" w:rsidRPr="00E93A18">
        <w:rPr>
          <w:rFonts w:cs="Times New Roman"/>
          <w:szCs w:val="24"/>
        </w:rPr>
        <w:instrText xml:space="preserve"> </w:instrText>
      </w:r>
      <w:r w:rsidR="004810E5">
        <w:rPr>
          <w:rFonts w:cs="Times New Roman"/>
          <w:szCs w:val="24"/>
          <w:lang w:val="en-US"/>
        </w:rPr>
        <w:instrText>similar</w:instrText>
      </w:r>
      <w:r w:rsidR="004810E5" w:rsidRPr="00E93A18">
        <w:rPr>
          <w:rFonts w:cs="Times New Roman"/>
          <w:szCs w:val="24"/>
        </w:rPr>
        <w:instrText xml:space="preserve">. </w:instrText>
      </w:r>
      <w:r w:rsidR="004810E5">
        <w:rPr>
          <w:rFonts w:cs="Times New Roman"/>
          <w:szCs w:val="24"/>
          <w:lang w:val="en-US"/>
        </w:rPr>
        <w:instrText>No</w:instrText>
      </w:r>
      <w:r w:rsidR="004810E5" w:rsidRPr="00E93A18">
        <w:rPr>
          <w:rFonts w:cs="Times New Roman"/>
          <w:szCs w:val="24"/>
        </w:rPr>
        <w:instrText xml:space="preserve"> </w:instrText>
      </w:r>
      <w:r w:rsidR="004810E5">
        <w:rPr>
          <w:rFonts w:cs="Times New Roman"/>
          <w:szCs w:val="24"/>
          <w:lang w:val="en-US"/>
        </w:rPr>
        <w:instrText>difference</w:instrText>
      </w:r>
      <w:r w:rsidR="004810E5" w:rsidRPr="00E93A18">
        <w:rPr>
          <w:rFonts w:cs="Times New Roman"/>
          <w:szCs w:val="24"/>
        </w:rPr>
        <w:instrText xml:space="preserve"> </w:instrText>
      </w:r>
      <w:r w:rsidR="004810E5">
        <w:rPr>
          <w:rFonts w:cs="Times New Roman"/>
          <w:szCs w:val="24"/>
          <w:lang w:val="en-US"/>
        </w:rPr>
        <w:instrText>was</w:instrText>
      </w:r>
      <w:r w:rsidR="004810E5" w:rsidRPr="00E93A18">
        <w:rPr>
          <w:rFonts w:cs="Times New Roman"/>
          <w:szCs w:val="24"/>
        </w:rPr>
        <w:instrText xml:space="preserve"> </w:instrText>
      </w:r>
      <w:r w:rsidR="004810E5">
        <w:rPr>
          <w:rFonts w:cs="Times New Roman"/>
          <w:szCs w:val="24"/>
          <w:lang w:val="en-US"/>
        </w:rPr>
        <w:instrText>noted</w:instrText>
      </w:r>
      <w:r w:rsidR="004810E5" w:rsidRPr="00E93A18">
        <w:rPr>
          <w:rFonts w:cs="Times New Roman"/>
          <w:szCs w:val="24"/>
        </w:rPr>
        <w:instrText xml:space="preserve"> </w:instrText>
      </w:r>
      <w:r w:rsidR="004810E5">
        <w:rPr>
          <w:rFonts w:cs="Times New Roman"/>
          <w:szCs w:val="24"/>
          <w:lang w:val="en-US"/>
        </w:rPr>
        <w:instrText>between</w:instrText>
      </w:r>
      <w:r w:rsidR="004810E5" w:rsidRPr="00E93A18">
        <w:rPr>
          <w:rFonts w:cs="Times New Roman"/>
          <w:szCs w:val="24"/>
        </w:rPr>
        <w:instrText xml:space="preserve"> </w:instrText>
      </w:r>
      <w:r w:rsidR="004810E5">
        <w:rPr>
          <w:rFonts w:cs="Times New Roman"/>
          <w:szCs w:val="24"/>
          <w:lang w:val="en-US"/>
        </w:rPr>
        <w:instrText>the</w:instrText>
      </w:r>
      <w:r w:rsidR="004810E5" w:rsidRPr="00E93A18">
        <w:rPr>
          <w:rFonts w:cs="Times New Roman"/>
          <w:szCs w:val="24"/>
        </w:rPr>
        <w:instrText xml:space="preserve"> </w:instrText>
      </w:r>
      <w:r w:rsidR="004810E5">
        <w:rPr>
          <w:rFonts w:cs="Times New Roman"/>
          <w:szCs w:val="24"/>
          <w:lang w:val="en-US"/>
        </w:rPr>
        <w:instrText>two</w:instrText>
      </w:r>
      <w:r w:rsidR="004810E5" w:rsidRPr="00E93A18">
        <w:rPr>
          <w:rFonts w:cs="Times New Roman"/>
          <w:szCs w:val="24"/>
        </w:rPr>
        <w:instrText xml:space="preserve"> </w:instrText>
      </w:r>
      <w:r w:rsidR="004810E5">
        <w:rPr>
          <w:rFonts w:cs="Times New Roman"/>
          <w:szCs w:val="24"/>
          <w:lang w:val="en-US"/>
        </w:rPr>
        <w:instrText>groups</w:instrText>
      </w:r>
      <w:r w:rsidR="004810E5" w:rsidRPr="00E93A18">
        <w:rPr>
          <w:rFonts w:cs="Times New Roman"/>
          <w:szCs w:val="24"/>
        </w:rPr>
        <w:instrText xml:space="preserve"> </w:instrText>
      </w:r>
      <w:r w:rsidR="004810E5">
        <w:rPr>
          <w:rFonts w:cs="Times New Roman"/>
          <w:szCs w:val="24"/>
          <w:lang w:val="en-US"/>
        </w:rPr>
        <w:instrText>in</w:instrText>
      </w:r>
      <w:r w:rsidR="004810E5" w:rsidRPr="00E93A18">
        <w:rPr>
          <w:rFonts w:cs="Times New Roman"/>
          <w:szCs w:val="24"/>
        </w:rPr>
        <w:instrText xml:space="preserve"> </w:instrText>
      </w:r>
      <w:r w:rsidR="004810E5">
        <w:rPr>
          <w:rFonts w:cs="Times New Roman"/>
          <w:szCs w:val="24"/>
          <w:lang w:val="en-US"/>
        </w:rPr>
        <w:instrText>terms</w:instrText>
      </w:r>
      <w:r w:rsidR="004810E5" w:rsidRPr="00E93A18">
        <w:rPr>
          <w:rFonts w:cs="Times New Roman"/>
          <w:szCs w:val="24"/>
        </w:rPr>
        <w:instrText xml:space="preserve"> </w:instrText>
      </w:r>
      <w:r w:rsidR="004810E5">
        <w:rPr>
          <w:rFonts w:cs="Times New Roman"/>
          <w:szCs w:val="24"/>
          <w:lang w:val="en-US"/>
        </w:rPr>
        <w:instrText>of</w:instrText>
      </w:r>
      <w:r w:rsidR="004810E5" w:rsidRPr="00E93A18">
        <w:rPr>
          <w:rFonts w:cs="Times New Roman"/>
          <w:szCs w:val="24"/>
        </w:rPr>
        <w:instrText xml:space="preserve"> </w:instrText>
      </w:r>
      <w:r w:rsidR="004810E5">
        <w:rPr>
          <w:rFonts w:cs="Times New Roman"/>
          <w:szCs w:val="24"/>
          <w:lang w:val="en-US"/>
        </w:rPr>
        <w:instrText>engraftment</w:instrText>
      </w:r>
      <w:r w:rsidR="004810E5" w:rsidRPr="00E93A18">
        <w:rPr>
          <w:rFonts w:cs="Times New Roman"/>
          <w:szCs w:val="24"/>
        </w:rPr>
        <w:instrText xml:space="preserve">, </w:instrText>
      </w:r>
      <w:r w:rsidR="004810E5">
        <w:rPr>
          <w:rFonts w:cs="Times New Roman"/>
          <w:szCs w:val="24"/>
          <w:lang w:val="en-US"/>
        </w:rPr>
        <w:instrText>documented</w:instrText>
      </w:r>
      <w:r w:rsidR="004810E5" w:rsidRPr="00E93A18">
        <w:rPr>
          <w:rFonts w:cs="Times New Roman"/>
          <w:szCs w:val="24"/>
        </w:rPr>
        <w:instrText xml:space="preserve"> </w:instrText>
      </w:r>
      <w:r w:rsidR="004810E5">
        <w:rPr>
          <w:rFonts w:cs="Times New Roman"/>
          <w:szCs w:val="24"/>
          <w:lang w:val="en-US"/>
        </w:rPr>
        <w:instrText>infections</w:instrText>
      </w:r>
      <w:r w:rsidR="004810E5" w:rsidRPr="00E93A18">
        <w:rPr>
          <w:rFonts w:cs="Times New Roman"/>
          <w:szCs w:val="24"/>
        </w:rPr>
        <w:instrText xml:space="preserve">, </w:instrText>
      </w:r>
      <w:r w:rsidR="004810E5">
        <w:rPr>
          <w:rFonts w:cs="Times New Roman"/>
          <w:szCs w:val="24"/>
          <w:lang w:val="en-US"/>
        </w:rPr>
        <w:instrText>antibiotic</w:instrText>
      </w:r>
      <w:r w:rsidR="004810E5" w:rsidRPr="00E93A18">
        <w:rPr>
          <w:rFonts w:cs="Times New Roman"/>
          <w:szCs w:val="24"/>
        </w:rPr>
        <w:instrText xml:space="preserve"> </w:instrText>
      </w:r>
      <w:r w:rsidR="004810E5">
        <w:rPr>
          <w:rFonts w:cs="Times New Roman"/>
          <w:szCs w:val="24"/>
          <w:lang w:val="en-US"/>
        </w:rPr>
        <w:instrText>use</w:instrText>
      </w:r>
      <w:r w:rsidR="004810E5" w:rsidRPr="00E93A18">
        <w:rPr>
          <w:rFonts w:cs="Times New Roman"/>
          <w:szCs w:val="24"/>
        </w:rPr>
        <w:instrText xml:space="preserve">, </w:instrText>
      </w:r>
      <w:r w:rsidR="004810E5">
        <w:rPr>
          <w:rFonts w:cs="Times New Roman"/>
          <w:szCs w:val="24"/>
          <w:lang w:val="en-US"/>
        </w:rPr>
        <w:instrText>cumulative</w:instrText>
      </w:r>
      <w:r w:rsidR="004810E5" w:rsidRPr="00E93A18">
        <w:rPr>
          <w:rFonts w:cs="Times New Roman"/>
          <w:szCs w:val="24"/>
        </w:rPr>
        <w:instrText xml:space="preserve"> </w:instrText>
      </w:r>
      <w:r w:rsidR="004810E5">
        <w:rPr>
          <w:rFonts w:cs="Times New Roman"/>
          <w:szCs w:val="24"/>
          <w:lang w:val="en-US"/>
        </w:rPr>
        <w:instrText>toxicity</w:instrText>
      </w:r>
      <w:r w:rsidR="004810E5" w:rsidRPr="00E93A18">
        <w:rPr>
          <w:rFonts w:cs="Times New Roman"/>
          <w:szCs w:val="24"/>
        </w:rPr>
        <w:instrText xml:space="preserve"> </w:instrText>
      </w:r>
      <w:r w:rsidR="004810E5">
        <w:rPr>
          <w:rFonts w:cs="Times New Roman"/>
          <w:szCs w:val="24"/>
          <w:lang w:val="en-US"/>
        </w:rPr>
        <w:instrText>risk</w:instrText>
      </w:r>
      <w:r w:rsidR="004810E5" w:rsidRPr="00E93A18">
        <w:rPr>
          <w:rFonts w:cs="Times New Roman"/>
          <w:szCs w:val="24"/>
        </w:rPr>
        <w:instrText xml:space="preserve">, </w:instrText>
      </w:r>
      <w:r w:rsidR="004810E5">
        <w:rPr>
          <w:rFonts w:cs="Times New Roman"/>
          <w:szCs w:val="24"/>
          <w:lang w:val="en-US"/>
        </w:rPr>
        <w:instrText>length</w:instrText>
      </w:r>
      <w:r w:rsidR="004810E5" w:rsidRPr="00E93A18">
        <w:rPr>
          <w:rFonts w:cs="Times New Roman"/>
          <w:szCs w:val="24"/>
        </w:rPr>
        <w:instrText xml:space="preserve"> </w:instrText>
      </w:r>
      <w:r w:rsidR="004810E5">
        <w:rPr>
          <w:rFonts w:cs="Times New Roman"/>
          <w:szCs w:val="24"/>
          <w:lang w:val="en-US"/>
        </w:rPr>
        <w:instrText>of</w:instrText>
      </w:r>
      <w:r w:rsidR="004810E5" w:rsidRPr="00E93A18">
        <w:rPr>
          <w:rFonts w:cs="Times New Roman"/>
          <w:szCs w:val="24"/>
        </w:rPr>
        <w:instrText xml:space="preserve"> </w:instrText>
      </w:r>
      <w:r w:rsidR="004810E5">
        <w:rPr>
          <w:rFonts w:cs="Times New Roman"/>
          <w:szCs w:val="24"/>
          <w:lang w:val="en-US"/>
        </w:rPr>
        <w:instrText>hospital</w:instrText>
      </w:r>
      <w:r w:rsidR="004810E5" w:rsidRPr="00E93A18">
        <w:rPr>
          <w:rFonts w:cs="Times New Roman"/>
          <w:szCs w:val="24"/>
        </w:rPr>
        <w:instrText xml:space="preserve"> </w:instrText>
      </w:r>
      <w:r w:rsidR="004810E5">
        <w:rPr>
          <w:rFonts w:cs="Times New Roman"/>
          <w:szCs w:val="24"/>
          <w:lang w:val="en-US"/>
        </w:rPr>
        <w:instrText>stay</w:instrText>
      </w:r>
      <w:r w:rsidR="004810E5" w:rsidRPr="00E93A18">
        <w:rPr>
          <w:rFonts w:cs="Times New Roman"/>
          <w:szCs w:val="24"/>
        </w:rPr>
        <w:instrText xml:space="preserve"> </w:instrText>
      </w:r>
      <w:r w:rsidR="004810E5">
        <w:rPr>
          <w:rFonts w:cs="Times New Roman"/>
          <w:szCs w:val="24"/>
          <w:lang w:val="en-US"/>
        </w:rPr>
        <w:instrText>and</w:instrText>
      </w:r>
      <w:r w:rsidR="004810E5" w:rsidRPr="00E93A18">
        <w:rPr>
          <w:rFonts w:cs="Times New Roman"/>
          <w:szCs w:val="24"/>
        </w:rPr>
        <w:instrText xml:space="preserve"> 100 </w:instrText>
      </w:r>
      <w:r w:rsidR="004810E5">
        <w:rPr>
          <w:rFonts w:cs="Times New Roman"/>
          <w:szCs w:val="24"/>
          <w:lang w:val="en-US"/>
        </w:rPr>
        <w:instrText>day</w:instrText>
      </w:r>
      <w:r w:rsidR="004810E5" w:rsidRPr="00E93A18">
        <w:rPr>
          <w:rFonts w:cs="Times New Roman"/>
          <w:szCs w:val="24"/>
        </w:rPr>
        <w:instrText xml:space="preserve"> </w:instrText>
      </w:r>
      <w:r w:rsidR="004810E5">
        <w:rPr>
          <w:rFonts w:cs="Times New Roman"/>
          <w:szCs w:val="24"/>
          <w:lang w:val="en-US"/>
        </w:rPr>
        <w:instrText>transplant</w:instrText>
      </w:r>
      <w:r w:rsidR="004810E5" w:rsidRPr="00E93A18">
        <w:rPr>
          <w:rFonts w:cs="Times New Roman"/>
          <w:szCs w:val="24"/>
        </w:rPr>
        <w:instrText xml:space="preserve"> </w:instrText>
      </w:r>
      <w:r w:rsidR="004810E5">
        <w:rPr>
          <w:rFonts w:cs="Times New Roman"/>
          <w:szCs w:val="24"/>
          <w:lang w:val="en-US"/>
        </w:rPr>
        <w:instrText>related</w:instrText>
      </w:r>
      <w:r w:rsidR="004810E5" w:rsidRPr="00E93A18">
        <w:rPr>
          <w:rFonts w:cs="Times New Roman"/>
          <w:szCs w:val="24"/>
        </w:rPr>
        <w:instrText xml:space="preserve"> </w:instrText>
      </w:r>
      <w:r w:rsidR="004810E5">
        <w:rPr>
          <w:rFonts w:cs="Times New Roman"/>
          <w:szCs w:val="24"/>
          <w:lang w:val="en-US"/>
        </w:rPr>
        <w:instrText>mortality</w:instrText>
      </w:r>
      <w:r w:rsidR="004810E5" w:rsidRPr="00E93A18">
        <w:rPr>
          <w:rFonts w:cs="Times New Roman"/>
          <w:szCs w:val="24"/>
        </w:rPr>
        <w:instrText xml:space="preserve">. </w:instrText>
      </w:r>
      <w:r w:rsidR="004810E5">
        <w:rPr>
          <w:rFonts w:cs="Times New Roman"/>
          <w:szCs w:val="24"/>
          <w:lang w:val="en-US"/>
        </w:rPr>
        <w:instrText>The</w:instrText>
      </w:r>
      <w:r w:rsidR="004810E5" w:rsidRPr="00E93A18">
        <w:rPr>
          <w:rFonts w:cs="Times New Roman"/>
          <w:szCs w:val="24"/>
        </w:rPr>
        <w:instrText xml:space="preserve"> </w:instrText>
      </w:r>
      <w:r w:rsidR="004810E5">
        <w:rPr>
          <w:rFonts w:cs="Times New Roman"/>
          <w:szCs w:val="24"/>
          <w:lang w:val="en-US"/>
        </w:rPr>
        <w:instrText>estimated</w:instrText>
      </w:r>
      <w:r w:rsidR="004810E5" w:rsidRPr="00E93A18">
        <w:rPr>
          <w:rFonts w:cs="Times New Roman"/>
          <w:szCs w:val="24"/>
        </w:rPr>
        <w:instrText xml:space="preserve"> 2 </w:instrText>
      </w:r>
      <w:r w:rsidR="004810E5">
        <w:rPr>
          <w:rFonts w:cs="Times New Roman"/>
          <w:szCs w:val="24"/>
          <w:lang w:val="en-US"/>
        </w:rPr>
        <w:instrText>year</w:instrText>
      </w:r>
      <w:r w:rsidR="004810E5" w:rsidRPr="00E93A18">
        <w:rPr>
          <w:rFonts w:cs="Times New Roman"/>
          <w:szCs w:val="24"/>
        </w:rPr>
        <w:instrText xml:space="preserve"> </w:instrText>
      </w:r>
      <w:r w:rsidR="004810E5">
        <w:rPr>
          <w:rFonts w:cs="Times New Roman"/>
          <w:szCs w:val="24"/>
          <w:lang w:val="en-US"/>
        </w:rPr>
        <w:instrText>overall</w:instrText>
      </w:r>
      <w:r w:rsidR="004810E5" w:rsidRPr="00E93A18">
        <w:rPr>
          <w:rFonts w:cs="Times New Roman"/>
          <w:szCs w:val="24"/>
        </w:rPr>
        <w:instrText xml:space="preserve"> </w:instrText>
      </w:r>
      <w:r w:rsidR="004810E5">
        <w:rPr>
          <w:rFonts w:cs="Times New Roman"/>
          <w:szCs w:val="24"/>
          <w:lang w:val="en-US"/>
        </w:rPr>
        <w:instrText>survival</w:instrText>
      </w:r>
      <w:r w:rsidR="004810E5" w:rsidRPr="00E93A18">
        <w:rPr>
          <w:rFonts w:cs="Times New Roman"/>
          <w:szCs w:val="24"/>
        </w:rPr>
        <w:instrText xml:space="preserve"> (61.7% </w:instrText>
      </w:r>
      <w:r w:rsidR="004810E5">
        <w:rPr>
          <w:rFonts w:cs="Times New Roman"/>
          <w:szCs w:val="24"/>
          <w:lang w:val="en-US"/>
        </w:rPr>
        <w:instrText>vs</w:instrText>
      </w:r>
      <w:r w:rsidR="004810E5" w:rsidRPr="00E93A18">
        <w:rPr>
          <w:rFonts w:cs="Times New Roman"/>
          <w:szCs w:val="24"/>
        </w:rPr>
        <w:instrText xml:space="preserve">. 62.7%, </w:instrText>
      </w:r>
      <w:r w:rsidR="004810E5">
        <w:rPr>
          <w:rFonts w:cs="Times New Roman"/>
          <w:szCs w:val="24"/>
          <w:lang w:val="en-US"/>
        </w:rPr>
        <w:instrText>p</w:instrText>
      </w:r>
      <w:r w:rsidR="004810E5" w:rsidRPr="00E93A18">
        <w:rPr>
          <w:rFonts w:cs="Times New Roman"/>
          <w:szCs w:val="24"/>
        </w:rPr>
        <w:instrText xml:space="preserve"> = 0.928) </w:instrText>
      </w:r>
      <w:r w:rsidR="004810E5">
        <w:rPr>
          <w:rFonts w:cs="Times New Roman"/>
          <w:szCs w:val="24"/>
          <w:lang w:val="en-US"/>
        </w:rPr>
        <w:instrText>and</w:instrText>
      </w:r>
      <w:r w:rsidR="004810E5" w:rsidRPr="00E93A18">
        <w:rPr>
          <w:rFonts w:cs="Times New Roman"/>
          <w:szCs w:val="24"/>
        </w:rPr>
        <w:instrText xml:space="preserve"> </w:instrText>
      </w:r>
      <w:r w:rsidR="004810E5">
        <w:rPr>
          <w:rFonts w:cs="Times New Roman"/>
          <w:szCs w:val="24"/>
          <w:lang w:val="en-US"/>
        </w:rPr>
        <w:instrText>event</w:instrText>
      </w:r>
      <w:r w:rsidR="004810E5" w:rsidRPr="00E93A18">
        <w:rPr>
          <w:rFonts w:cs="Times New Roman"/>
          <w:szCs w:val="24"/>
        </w:rPr>
        <w:instrText xml:space="preserve"> </w:instrText>
      </w:r>
      <w:r w:rsidR="004810E5">
        <w:rPr>
          <w:rFonts w:cs="Times New Roman"/>
          <w:szCs w:val="24"/>
          <w:lang w:val="en-US"/>
        </w:rPr>
        <w:instrText>free</w:instrText>
      </w:r>
      <w:r w:rsidR="004810E5" w:rsidRPr="00E93A18">
        <w:rPr>
          <w:rFonts w:cs="Times New Roman"/>
          <w:szCs w:val="24"/>
        </w:rPr>
        <w:instrText xml:space="preserve"> </w:instrText>
      </w:r>
      <w:r w:rsidR="004810E5">
        <w:rPr>
          <w:rFonts w:cs="Times New Roman"/>
          <w:szCs w:val="24"/>
          <w:lang w:val="en-US"/>
        </w:rPr>
        <w:instrText>survival</w:instrText>
      </w:r>
      <w:r w:rsidR="004810E5" w:rsidRPr="00E93A18">
        <w:rPr>
          <w:rFonts w:cs="Times New Roman"/>
          <w:szCs w:val="24"/>
        </w:rPr>
        <w:instrText xml:space="preserve"> (44.6% </w:instrText>
      </w:r>
      <w:r w:rsidR="004810E5">
        <w:rPr>
          <w:rFonts w:cs="Times New Roman"/>
          <w:szCs w:val="24"/>
          <w:lang w:val="en-US"/>
        </w:rPr>
        <w:instrText>vs</w:instrText>
      </w:r>
      <w:r w:rsidR="004810E5" w:rsidRPr="00E93A18">
        <w:rPr>
          <w:rFonts w:cs="Times New Roman"/>
          <w:szCs w:val="24"/>
        </w:rPr>
        <w:instrText xml:space="preserve">. 41.1%, </w:instrText>
      </w:r>
      <w:r w:rsidR="004810E5">
        <w:rPr>
          <w:rFonts w:cs="Times New Roman"/>
          <w:szCs w:val="24"/>
          <w:lang w:val="en-US"/>
        </w:rPr>
        <w:instrText>p</w:instrText>
      </w:r>
      <w:r w:rsidR="004810E5" w:rsidRPr="00E93A18">
        <w:rPr>
          <w:rFonts w:cs="Times New Roman"/>
          <w:szCs w:val="24"/>
        </w:rPr>
        <w:instrText xml:space="preserve"> = 0.510) </w:instrText>
      </w:r>
      <w:r w:rsidR="004810E5">
        <w:rPr>
          <w:rFonts w:cs="Times New Roman"/>
          <w:szCs w:val="24"/>
          <w:lang w:val="en-US"/>
        </w:rPr>
        <w:instrText>of</w:instrText>
      </w:r>
      <w:r w:rsidR="004810E5" w:rsidRPr="00E93A18">
        <w:rPr>
          <w:rFonts w:cs="Times New Roman"/>
          <w:szCs w:val="24"/>
        </w:rPr>
        <w:instrText xml:space="preserve"> </w:instrText>
      </w:r>
      <w:r w:rsidR="004810E5">
        <w:rPr>
          <w:rFonts w:cs="Times New Roman"/>
          <w:szCs w:val="24"/>
          <w:lang w:val="en-US"/>
        </w:rPr>
        <w:instrText>the</w:instrText>
      </w:r>
      <w:r w:rsidR="004810E5" w:rsidRPr="00E93A18">
        <w:rPr>
          <w:rFonts w:cs="Times New Roman"/>
          <w:szCs w:val="24"/>
        </w:rPr>
        <w:instrText xml:space="preserve"> </w:instrText>
      </w:r>
      <w:r w:rsidR="004810E5">
        <w:rPr>
          <w:rFonts w:cs="Times New Roman"/>
          <w:szCs w:val="24"/>
          <w:lang w:val="en-US"/>
        </w:rPr>
        <w:instrText>regimens</w:instrText>
      </w:r>
      <w:r w:rsidR="004810E5" w:rsidRPr="00E93A18">
        <w:rPr>
          <w:rFonts w:cs="Times New Roman"/>
          <w:szCs w:val="24"/>
        </w:rPr>
        <w:instrText xml:space="preserve"> </w:instrText>
      </w:r>
      <w:r w:rsidR="004810E5">
        <w:rPr>
          <w:rFonts w:cs="Times New Roman"/>
          <w:szCs w:val="24"/>
          <w:lang w:val="en-US"/>
        </w:rPr>
        <w:instrText>BEAM</w:instrText>
      </w:r>
      <w:r w:rsidR="004810E5" w:rsidRPr="00E93A18">
        <w:rPr>
          <w:rFonts w:cs="Times New Roman"/>
          <w:szCs w:val="24"/>
        </w:rPr>
        <w:instrText xml:space="preserve"> </w:instrText>
      </w:r>
      <w:r w:rsidR="004810E5">
        <w:rPr>
          <w:rFonts w:cs="Times New Roman"/>
          <w:szCs w:val="24"/>
          <w:lang w:val="en-US"/>
        </w:rPr>
        <w:instrText>and</w:instrText>
      </w:r>
      <w:r w:rsidR="004810E5" w:rsidRPr="00E93A18">
        <w:rPr>
          <w:rFonts w:cs="Times New Roman"/>
          <w:szCs w:val="24"/>
        </w:rPr>
        <w:instrText xml:space="preserve"> </w:instrText>
      </w:r>
      <w:r w:rsidR="004810E5">
        <w:rPr>
          <w:rFonts w:cs="Times New Roman"/>
          <w:szCs w:val="24"/>
          <w:lang w:val="en-US"/>
        </w:rPr>
        <w:instrText>LEAM</w:instrText>
      </w:r>
      <w:r w:rsidR="004810E5" w:rsidRPr="00E93A18">
        <w:rPr>
          <w:rFonts w:cs="Times New Roman"/>
          <w:szCs w:val="24"/>
        </w:rPr>
        <w:instrText xml:space="preserve"> </w:instrText>
      </w:r>
      <w:r w:rsidR="004810E5">
        <w:rPr>
          <w:rFonts w:cs="Times New Roman"/>
          <w:szCs w:val="24"/>
          <w:lang w:val="en-US"/>
        </w:rPr>
        <w:instrText>respectively</w:instrText>
      </w:r>
      <w:r w:rsidR="004810E5" w:rsidRPr="00E93A18">
        <w:rPr>
          <w:rFonts w:cs="Times New Roman"/>
          <w:szCs w:val="24"/>
        </w:rPr>
        <w:instrText xml:space="preserve"> </w:instrText>
      </w:r>
      <w:r w:rsidR="004810E5">
        <w:rPr>
          <w:rFonts w:cs="Times New Roman"/>
          <w:szCs w:val="24"/>
          <w:lang w:val="en-US"/>
        </w:rPr>
        <w:instrText>were</w:instrText>
      </w:r>
      <w:r w:rsidR="004810E5" w:rsidRPr="00E93A18">
        <w:rPr>
          <w:rFonts w:cs="Times New Roman"/>
          <w:szCs w:val="24"/>
        </w:rPr>
        <w:instrText xml:space="preserve"> </w:instrText>
      </w:r>
      <w:r w:rsidR="004810E5">
        <w:rPr>
          <w:rFonts w:cs="Times New Roman"/>
          <w:szCs w:val="24"/>
          <w:lang w:val="en-US"/>
        </w:rPr>
        <w:instrText>comparable</w:instrText>
      </w:r>
      <w:r w:rsidR="004810E5" w:rsidRPr="00E93A18">
        <w:rPr>
          <w:rFonts w:cs="Times New Roman"/>
          <w:szCs w:val="24"/>
        </w:rPr>
        <w:instrText xml:space="preserve">. </w:instrText>
      </w:r>
      <w:r w:rsidR="004810E5">
        <w:rPr>
          <w:rFonts w:cs="Times New Roman"/>
          <w:szCs w:val="24"/>
          <w:lang w:val="en-US"/>
        </w:rPr>
        <w:instrText>Thus</w:instrText>
      </w:r>
      <w:r w:rsidR="004810E5" w:rsidRPr="00E93A18">
        <w:rPr>
          <w:rFonts w:cs="Times New Roman"/>
          <w:szCs w:val="24"/>
        </w:rPr>
        <w:instrText xml:space="preserve"> </w:instrText>
      </w:r>
      <w:r w:rsidR="004810E5">
        <w:rPr>
          <w:rFonts w:cs="Times New Roman"/>
          <w:szCs w:val="24"/>
          <w:lang w:val="en-US"/>
        </w:rPr>
        <w:instrText>LEAM</w:instrText>
      </w:r>
      <w:r w:rsidR="004810E5" w:rsidRPr="00E93A18">
        <w:rPr>
          <w:rFonts w:cs="Times New Roman"/>
          <w:szCs w:val="24"/>
        </w:rPr>
        <w:instrText xml:space="preserve"> </w:instrText>
      </w:r>
      <w:r w:rsidR="004810E5">
        <w:rPr>
          <w:rFonts w:cs="Times New Roman"/>
          <w:szCs w:val="24"/>
          <w:lang w:val="en-US"/>
        </w:rPr>
        <w:instrText>appeared</w:instrText>
      </w:r>
      <w:r w:rsidR="004810E5" w:rsidRPr="00E93A18">
        <w:rPr>
          <w:rFonts w:cs="Times New Roman"/>
          <w:szCs w:val="24"/>
        </w:rPr>
        <w:instrText xml:space="preserve"> </w:instrText>
      </w:r>
      <w:r w:rsidR="004810E5">
        <w:rPr>
          <w:rFonts w:cs="Times New Roman"/>
          <w:szCs w:val="24"/>
          <w:lang w:val="en-US"/>
        </w:rPr>
        <w:instrText>equivalent</w:instrText>
      </w:r>
      <w:r w:rsidR="004810E5" w:rsidRPr="00E93A18">
        <w:rPr>
          <w:rFonts w:cs="Times New Roman"/>
          <w:szCs w:val="24"/>
        </w:rPr>
        <w:instrText xml:space="preserve"> </w:instrText>
      </w:r>
      <w:r w:rsidR="004810E5">
        <w:rPr>
          <w:rFonts w:cs="Times New Roman"/>
          <w:szCs w:val="24"/>
          <w:lang w:val="en-US"/>
        </w:rPr>
        <w:instrText>to</w:instrText>
      </w:r>
      <w:r w:rsidR="004810E5" w:rsidRPr="00E93A18">
        <w:rPr>
          <w:rFonts w:cs="Times New Roman"/>
          <w:szCs w:val="24"/>
        </w:rPr>
        <w:instrText xml:space="preserve"> </w:instrText>
      </w:r>
      <w:r w:rsidR="004810E5">
        <w:rPr>
          <w:rFonts w:cs="Times New Roman"/>
          <w:szCs w:val="24"/>
          <w:lang w:val="en-US"/>
        </w:rPr>
        <w:instrText>BEAM</w:instrText>
      </w:r>
      <w:r w:rsidR="004810E5" w:rsidRPr="00E93A18">
        <w:rPr>
          <w:rFonts w:cs="Times New Roman"/>
          <w:szCs w:val="24"/>
        </w:rPr>
        <w:instrText xml:space="preserve"> </w:instrText>
      </w:r>
      <w:r w:rsidR="004810E5">
        <w:rPr>
          <w:rFonts w:cs="Times New Roman"/>
          <w:szCs w:val="24"/>
          <w:lang w:val="en-US"/>
        </w:rPr>
        <w:instrText>in</w:instrText>
      </w:r>
      <w:r w:rsidR="004810E5" w:rsidRPr="00E93A18">
        <w:rPr>
          <w:rFonts w:cs="Times New Roman"/>
          <w:szCs w:val="24"/>
        </w:rPr>
        <w:instrText xml:space="preserve"> </w:instrText>
      </w:r>
      <w:r w:rsidR="004810E5">
        <w:rPr>
          <w:rFonts w:cs="Times New Roman"/>
          <w:szCs w:val="24"/>
          <w:lang w:val="en-US"/>
        </w:rPr>
        <w:instrText>terms</w:instrText>
      </w:r>
      <w:r w:rsidR="004810E5" w:rsidRPr="00E93A18">
        <w:rPr>
          <w:rFonts w:cs="Times New Roman"/>
          <w:szCs w:val="24"/>
        </w:rPr>
        <w:instrText xml:space="preserve"> </w:instrText>
      </w:r>
      <w:r w:rsidR="004810E5">
        <w:rPr>
          <w:rFonts w:cs="Times New Roman"/>
          <w:szCs w:val="24"/>
          <w:lang w:val="en-US"/>
        </w:rPr>
        <w:instrText>of</w:instrText>
      </w:r>
      <w:r w:rsidR="004810E5" w:rsidRPr="00E93A18">
        <w:rPr>
          <w:rFonts w:cs="Times New Roman"/>
          <w:szCs w:val="24"/>
        </w:rPr>
        <w:instrText xml:space="preserve"> </w:instrText>
      </w:r>
      <w:r w:rsidR="004810E5">
        <w:rPr>
          <w:rFonts w:cs="Times New Roman"/>
          <w:szCs w:val="24"/>
          <w:lang w:val="en-US"/>
        </w:rPr>
        <w:instrText>toxicity</w:instrText>
      </w:r>
      <w:r w:rsidR="004810E5" w:rsidRPr="00E93A18">
        <w:rPr>
          <w:rFonts w:cs="Times New Roman"/>
          <w:szCs w:val="24"/>
        </w:rPr>
        <w:instrText xml:space="preserve"> </w:instrText>
      </w:r>
      <w:r w:rsidR="004810E5">
        <w:rPr>
          <w:rFonts w:cs="Times New Roman"/>
          <w:szCs w:val="24"/>
          <w:lang w:val="en-US"/>
        </w:rPr>
        <w:instrText>and</w:instrText>
      </w:r>
      <w:r w:rsidR="004810E5" w:rsidRPr="00E93A18">
        <w:rPr>
          <w:rFonts w:cs="Times New Roman"/>
          <w:szCs w:val="24"/>
        </w:rPr>
        <w:instrText xml:space="preserve"> </w:instrText>
      </w:r>
      <w:r w:rsidR="004810E5">
        <w:rPr>
          <w:rFonts w:cs="Times New Roman"/>
          <w:szCs w:val="24"/>
          <w:lang w:val="en-US"/>
        </w:rPr>
        <w:instrText>efficacy</w:instrText>
      </w:r>
      <w:r w:rsidR="004810E5" w:rsidRPr="00E93A18">
        <w:rPr>
          <w:rFonts w:cs="Times New Roman"/>
          <w:szCs w:val="24"/>
        </w:rPr>
        <w:instrText xml:space="preserve"> </w:instrText>
      </w:r>
      <w:r w:rsidR="004810E5">
        <w:rPr>
          <w:rFonts w:cs="Times New Roman"/>
          <w:szCs w:val="24"/>
          <w:lang w:val="en-US"/>
        </w:rPr>
        <w:instrText>and</w:instrText>
      </w:r>
      <w:r w:rsidR="004810E5" w:rsidRPr="00E93A18">
        <w:rPr>
          <w:rFonts w:cs="Times New Roman"/>
          <w:szCs w:val="24"/>
        </w:rPr>
        <w:instrText xml:space="preserve"> </w:instrText>
      </w:r>
      <w:r w:rsidR="004810E5">
        <w:rPr>
          <w:rFonts w:cs="Times New Roman"/>
          <w:szCs w:val="24"/>
          <w:lang w:val="en-US"/>
        </w:rPr>
        <w:instrText>can</w:instrText>
      </w:r>
      <w:r w:rsidR="004810E5" w:rsidRPr="00E93A18">
        <w:rPr>
          <w:rFonts w:cs="Times New Roman"/>
          <w:szCs w:val="24"/>
        </w:rPr>
        <w:instrText xml:space="preserve"> </w:instrText>
      </w:r>
      <w:r w:rsidR="004810E5">
        <w:rPr>
          <w:rFonts w:cs="Times New Roman"/>
          <w:szCs w:val="24"/>
          <w:lang w:val="en-US"/>
        </w:rPr>
        <w:instrText>be</w:instrText>
      </w:r>
      <w:r w:rsidR="004810E5" w:rsidRPr="00E93A18">
        <w:rPr>
          <w:rFonts w:cs="Times New Roman"/>
          <w:szCs w:val="24"/>
        </w:rPr>
        <w:instrText xml:space="preserve"> </w:instrText>
      </w:r>
      <w:r w:rsidR="004810E5">
        <w:rPr>
          <w:rFonts w:cs="Times New Roman"/>
          <w:szCs w:val="24"/>
          <w:lang w:val="en-US"/>
        </w:rPr>
        <w:instrText>used</w:instrText>
      </w:r>
      <w:r w:rsidR="004810E5" w:rsidRPr="00E93A18">
        <w:rPr>
          <w:rFonts w:cs="Times New Roman"/>
          <w:szCs w:val="24"/>
        </w:rPr>
        <w:instrText xml:space="preserve"> </w:instrText>
      </w:r>
      <w:r w:rsidR="004810E5">
        <w:rPr>
          <w:rFonts w:cs="Times New Roman"/>
          <w:szCs w:val="24"/>
          <w:lang w:val="en-US"/>
        </w:rPr>
        <w:instrText>as</w:instrText>
      </w:r>
      <w:r w:rsidR="004810E5" w:rsidRPr="00E93A18">
        <w:rPr>
          <w:rFonts w:cs="Times New Roman"/>
          <w:szCs w:val="24"/>
        </w:rPr>
        <w:instrText xml:space="preserve"> </w:instrText>
      </w:r>
      <w:r w:rsidR="004810E5">
        <w:rPr>
          <w:rFonts w:cs="Times New Roman"/>
          <w:szCs w:val="24"/>
          <w:lang w:val="en-US"/>
        </w:rPr>
        <w:instrText>an</w:instrText>
      </w:r>
      <w:r w:rsidR="004810E5" w:rsidRPr="00E93A18">
        <w:rPr>
          <w:rFonts w:cs="Times New Roman"/>
          <w:szCs w:val="24"/>
        </w:rPr>
        <w:instrText xml:space="preserve"> </w:instrText>
      </w:r>
      <w:r w:rsidR="004810E5">
        <w:rPr>
          <w:rFonts w:cs="Times New Roman"/>
          <w:szCs w:val="24"/>
          <w:lang w:val="en-US"/>
        </w:rPr>
        <w:instrText>alternative</w:instrText>
      </w:r>
      <w:r w:rsidR="004810E5" w:rsidRPr="00E93A18">
        <w:rPr>
          <w:rFonts w:cs="Times New Roman"/>
          <w:szCs w:val="24"/>
        </w:rPr>
        <w:instrText xml:space="preserve"> </w:instrText>
      </w:r>
      <w:r w:rsidR="004810E5">
        <w:rPr>
          <w:rFonts w:cs="Times New Roman"/>
          <w:szCs w:val="24"/>
          <w:lang w:val="en-US"/>
        </w:rPr>
        <w:instrText>to</w:instrText>
      </w:r>
      <w:r w:rsidR="004810E5" w:rsidRPr="00E93A18">
        <w:rPr>
          <w:rFonts w:cs="Times New Roman"/>
          <w:szCs w:val="24"/>
        </w:rPr>
        <w:instrText xml:space="preserve"> </w:instrText>
      </w:r>
      <w:r w:rsidR="004810E5">
        <w:rPr>
          <w:rFonts w:cs="Times New Roman"/>
          <w:szCs w:val="24"/>
          <w:lang w:val="en-US"/>
        </w:rPr>
        <w:instrText>BEAM</w:instrText>
      </w:r>
      <w:r w:rsidR="004810E5" w:rsidRPr="00E93A18">
        <w:rPr>
          <w:rFonts w:cs="Times New Roman"/>
          <w:szCs w:val="24"/>
        </w:rPr>
        <w:instrText>.","</w:instrText>
      </w:r>
      <w:r w:rsidR="004810E5">
        <w:rPr>
          <w:rFonts w:cs="Times New Roman"/>
          <w:szCs w:val="24"/>
          <w:lang w:val="en-US"/>
        </w:rPr>
        <w:instrText>author</w:instrText>
      </w:r>
      <w:r w:rsidR="004810E5" w:rsidRPr="00E93A18">
        <w:rPr>
          <w:rFonts w:cs="Times New Roman"/>
          <w:szCs w:val="24"/>
        </w:rPr>
        <w:instrText>":[{"</w:instrText>
      </w:r>
      <w:r w:rsidR="004810E5">
        <w:rPr>
          <w:rFonts w:cs="Times New Roman"/>
          <w:szCs w:val="24"/>
          <w:lang w:val="en-US"/>
        </w:rPr>
        <w:instrText>dropping</w:instrText>
      </w:r>
      <w:r w:rsidR="004810E5" w:rsidRPr="00E93A18">
        <w:rPr>
          <w:rFonts w:cs="Times New Roman"/>
          <w:szCs w:val="24"/>
        </w:rPr>
        <w:instrText>-</w:instrText>
      </w:r>
      <w:r w:rsidR="004810E5">
        <w:rPr>
          <w:rFonts w:cs="Times New Roman"/>
          <w:szCs w:val="24"/>
          <w:lang w:val="en-US"/>
        </w:rPr>
        <w:instrText>particle</w:instrText>
      </w:r>
      <w:r w:rsidR="004810E5" w:rsidRPr="00E93A18">
        <w:rPr>
          <w:rFonts w:cs="Times New Roman"/>
          <w:szCs w:val="24"/>
        </w:rPr>
        <w:instrText>":"","</w:instrText>
      </w:r>
      <w:r w:rsidR="004810E5">
        <w:rPr>
          <w:rFonts w:cs="Times New Roman"/>
          <w:szCs w:val="24"/>
          <w:lang w:val="en-US"/>
        </w:rPr>
        <w:instrText>family</w:instrText>
      </w:r>
      <w:r w:rsidR="004810E5" w:rsidRPr="00E93A18">
        <w:rPr>
          <w:rFonts w:cs="Times New Roman"/>
          <w:szCs w:val="24"/>
        </w:rPr>
        <w:instrText>":"</w:instrText>
      </w:r>
      <w:r w:rsidR="004810E5">
        <w:rPr>
          <w:rFonts w:cs="Times New Roman"/>
          <w:szCs w:val="24"/>
          <w:lang w:val="en-US"/>
        </w:rPr>
        <w:instrText>Sharma</w:instrText>
      </w:r>
      <w:r w:rsidR="004810E5" w:rsidRPr="00E93A18">
        <w:rPr>
          <w:rFonts w:cs="Times New Roman"/>
          <w:szCs w:val="24"/>
        </w:rPr>
        <w:instrText>","</w:instrText>
      </w:r>
      <w:r w:rsidR="004810E5">
        <w:rPr>
          <w:rFonts w:cs="Times New Roman"/>
          <w:szCs w:val="24"/>
          <w:lang w:val="en-US"/>
        </w:rPr>
        <w:instrText>given</w:instrText>
      </w:r>
      <w:r w:rsidR="004810E5" w:rsidRPr="00E93A18">
        <w:rPr>
          <w:rFonts w:cs="Times New Roman"/>
          <w:szCs w:val="24"/>
        </w:rPr>
        <w:instrText>":"</w:instrText>
      </w:r>
      <w:r w:rsidR="004810E5">
        <w:rPr>
          <w:rFonts w:cs="Times New Roman"/>
          <w:szCs w:val="24"/>
          <w:lang w:val="en-US"/>
        </w:rPr>
        <w:instrText>Atul</w:instrText>
      </w:r>
      <w:r w:rsidR="004810E5" w:rsidRPr="00E93A18">
        <w:rPr>
          <w:rFonts w:cs="Times New Roman"/>
          <w:szCs w:val="24"/>
        </w:rPr>
        <w:instrText>","</w:instrText>
      </w:r>
      <w:r w:rsidR="004810E5">
        <w:rPr>
          <w:rFonts w:cs="Times New Roman"/>
          <w:szCs w:val="24"/>
          <w:lang w:val="en-US"/>
        </w:rPr>
        <w:instrText>non</w:instrText>
      </w:r>
      <w:r w:rsidR="004810E5" w:rsidRPr="00E93A18">
        <w:rPr>
          <w:rFonts w:cs="Times New Roman"/>
          <w:szCs w:val="24"/>
        </w:rPr>
        <w:instrText>-</w:instrText>
      </w:r>
      <w:r w:rsidR="004810E5">
        <w:rPr>
          <w:rFonts w:cs="Times New Roman"/>
          <w:szCs w:val="24"/>
          <w:lang w:val="en-US"/>
        </w:rPr>
        <w:instrText>dropping</w:instrText>
      </w:r>
      <w:r w:rsidR="004810E5" w:rsidRPr="00E93A18">
        <w:rPr>
          <w:rFonts w:cs="Times New Roman"/>
          <w:szCs w:val="24"/>
        </w:rPr>
        <w:instrText>-</w:instrText>
      </w:r>
      <w:r w:rsidR="004810E5">
        <w:rPr>
          <w:rFonts w:cs="Times New Roman"/>
          <w:szCs w:val="24"/>
          <w:lang w:val="en-US"/>
        </w:rPr>
        <w:instrText>particle</w:instrText>
      </w:r>
      <w:r w:rsidR="004810E5" w:rsidRPr="00E93A18">
        <w:rPr>
          <w:rFonts w:cs="Times New Roman"/>
          <w:szCs w:val="24"/>
        </w:rPr>
        <w:instrText>":"","</w:instrText>
      </w:r>
      <w:r w:rsidR="004810E5">
        <w:rPr>
          <w:rFonts w:cs="Times New Roman"/>
          <w:szCs w:val="24"/>
          <w:lang w:val="en-US"/>
        </w:rPr>
        <w:instrText>parse</w:instrText>
      </w:r>
      <w:r w:rsidR="004810E5" w:rsidRPr="00E93A18">
        <w:rPr>
          <w:rFonts w:cs="Times New Roman"/>
          <w:szCs w:val="24"/>
        </w:rPr>
        <w:instrText>-</w:instrText>
      </w:r>
      <w:r w:rsidR="004810E5">
        <w:rPr>
          <w:rFonts w:cs="Times New Roman"/>
          <w:szCs w:val="24"/>
          <w:lang w:val="en-US"/>
        </w:rPr>
        <w:instrText>names</w:instrText>
      </w:r>
      <w:r w:rsidR="004810E5" w:rsidRPr="00E93A18">
        <w:rPr>
          <w:rFonts w:cs="Times New Roman"/>
          <w:szCs w:val="24"/>
        </w:rPr>
        <w:instrText>":</w:instrText>
      </w:r>
      <w:r w:rsidR="004810E5">
        <w:rPr>
          <w:rFonts w:cs="Times New Roman"/>
          <w:szCs w:val="24"/>
          <w:lang w:val="en-US"/>
        </w:rPr>
        <w:instrText>false</w:instrText>
      </w:r>
      <w:r w:rsidR="004810E5" w:rsidRPr="00E93A18">
        <w:rPr>
          <w:rFonts w:cs="Times New Roman"/>
          <w:szCs w:val="24"/>
        </w:rPr>
        <w:instrText>,"</w:instrText>
      </w:r>
      <w:r w:rsidR="004810E5">
        <w:rPr>
          <w:rFonts w:cs="Times New Roman"/>
          <w:szCs w:val="24"/>
          <w:lang w:val="en-US"/>
        </w:rPr>
        <w:instrText>suffix</w:instrText>
      </w:r>
      <w:r w:rsidR="004810E5" w:rsidRPr="00E93A18">
        <w:rPr>
          <w:rFonts w:cs="Times New Roman"/>
          <w:szCs w:val="24"/>
        </w:rPr>
        <w:instrText>":""},{"</w:instrText>
      </w:r>
      <w:r w:rsidR="004810E5">
        <w:rPr>
          <w:rFonts w:cs="Times New Roman"/>
          <w:szCs w:val="24"/>
          <w:lang w:val="en-US"/>
        </w:rPr>
        <w:instrText>dropping</w:instrText>
      </w:r>
      <w:r w:rsidR="004810E5" w:rsidRPr="00E93A18">
        <w:rPr>
          <w:rFonts w:cs="Times New Roman"/>
          <w:szCs w:val="24"/>
        </w:rPr>
        <w:instrText>-</w:instrText>
      </w:r>
      <w:r w:rsidR="004810E5">
        <w:rPr>
          <w:rFonts w:cs="Times New Roman"/>
          <w:szCs w:val="24"/>
          <w:lang w:val="en-US"/>
        </w:rPr>
        <w:instrText>particle</w:instrText>
      </w:r>
      <w:r w:rsidR="004810E5" w:rsidRPr="00E93A18">
        <w:rPr>
          <w:rFonts w:cs="Times New Roman"/>
          <w:szCs w:val="24"/>
        </w:rPr>
        <w:instrText>":"","</w:instrText>
      </w:r>
      <w:r w:rsidR="004810E5">
        <w:rPr>
          <w:rFonts w:cs="Times New Roman"/>
          <w:szCs w:val="24"/>
          <w:lang w:val="en-US"/>
        </w:rPr>
        <w:instrText>family</w:instrText>
      </w:r>
      <w:r w:rsidR="004810E5" w:rsidRPr="00E93A18">
        <w:rPr>
          <w:rFonts w:cs="Times New Roman"/>
          <w:szCs w:val="24"/>
        </w:rPr>
        <w:instrText>":"</w:instrText>
      </w:r>
      <w:r w:rsidR="004810E5">
        <w:rPr>
          <w:rFonts w:cs="Times New Roman"/>
          <w:szCs w:val="24"/>
          <w:lang w:val="en-US"/>
        </w:rPr>
        <w:instrText>Kayal</w:instrText>
      </w:r>
      <w:r w:rsidR="004810E5" w:rsidRPr="00E93A18">
        <w:rPr>
          <w:rFonts w:cs="Times New Roman"/>
          <w:szCs w:val="24"/>
        </w:rPr>
        <w:instrText>","</w:instrText>
      </w:r>
      <w:r w:rsidR="004810E5">
        <w:rPr>
          <w:rFonts w:cs="Times New Roman"/>
          <w:szCs w:val="24"/>
          <w:lang w:val="en-US"/>
        </w:rPr>
        <w:instrText>given</w:instrText>
      </w:r>
      <w:r w:rsidR="004810E5" w:rsidRPr="00E93A18">
        <w:rPr>
          <w:rFonts w:cs="Times New Roman"/>
          <w:szCs w:val="24"/>
        </w:rPr>
        <w:instrText>":"</w:instrText>
      </w:r>
      <w:r w:rsidR="004810E5">
        <w:rPr>
          <w:rFonts w:cs="Times New Roman"/>
          <w:szCs w:val="24"/>
          <w:lang w:val="en-US"/>
        </w:rPr>
        <w:instrText>Smita</w:instrText>
      </w:r>
      <w:r w:rsidR="004810E5" w:rsidRPr="00E93A18">
        <w:rPr>
          <w:rFonts w:cs="Times New Roman"/>
          <w:szCs w:val="24"/>
        </w:rPr>
        <w:instrText>","</w:instrText>
      </w:r>
      <w:r w:rsidR="004810E5">
        <w:rPr>
          <w:rFonts w:cs="Times New Roman"/>
          <w:szCs w:val="24"/>
          <w:lang w:val="en-US"/>
        </w:rPr>
        <w:instrText>non</w:instrText>
      </w:r>
      <w:r w:rsidR="004810E5" w:rsidRPr="00E93A18">
        <w:rPr>
          <w:rFonts w:cs="Times New Roman"/>
          <w:szCs w:val="24"/>
        </w:rPr>
        <w:instrText>-</w:instrText>
      </w:r>
      <w:r w:rsidR="004810E5">
        <w:rPr>
          <w:rFonts w:cs="Times New Roman"/>
          <w:szCs w:val="24"/>
          <w:lang w:val="en-US"/>
        </w:rPr>
        <w:instrText>dropping</w:instrText>
      </w:r>
      <w:r w:rsidR="004810E5" w:rsidRPr="00E93A18">
        <w:rPr>
          <w:rFonts w:cs="Times New Roman"/>
          <w:szCs w:val="24"/>
        </w:rPr>
        <w:instrText>-</w:instrText>
      </w:r>
      <w:r w:rsidR="004810E5">
        <w:rPr>
          <w:rFonts w:cs="Times New Roman"/>
          <w:szCs w:val="24"/>
          <w:lang w:val="en-US"/>
        </w:rPr>
        <w:instrText>particle</w:instrText>
      </w:r>
      <w:r w:rsidR="004810E5" w:rsidRPr="00E93A18">
        <w:rPr>
          <w:rFonts w:cs="Times New Roman"/>
          <w:szCs w:val="24"/>
        </w:rPr>
        <w:instrText>":"","</w:instrText>
      </w:r>
      <w:r w:rsidR="004810E5">
        <w:rPr>
          <w:rFonts w:cs="Times New Roman"/>
          <w:szCs w:val="24"/>
          <w:lang w:val="en-US"/>
        </w:rPr>
        <w:instrText>parse</w:instrText>
      </w:r>
      <w:r w:rsidR="004810E5" w:rsidRPr="00E93A18">
        <w:rPr>
          <w:rFonts w:cs="Times New Roman"/>
          <w:szCs w:val="24"/>
        </w:rPr>
        <w:instrText>-</w:instrText>
      </w:r>
      <w:r w:rsidR="004810E5">
        <w:rPr>
          <w:rFonts w:cs="Times New Roman"/>
          <w:szCs w:val="24"/>
          <w:lang w:val="en-US"/>
        </w:rPr>
        <w:instrText>names</w:instrText>
      </w:r>
      <w:r w:rsidR="004810E5" w:rsidRPr="00E93A18">
        <w:rPr>
          <w:rFonts w:cs="Times New Roman"/>
          <w:szCs w:val="24"/>
        </w:rPr>
        <w:instrText>":</w:instrText>
      </w:r>
      <w:r w:rsidR="004810E5">
        <w:rPr>
          <w:rFonts w:cs="Times New Roman"/>
          <w:szCs w:val="24"/>
          <w:lang w:val="en-US"/>
        </w:rPr>
        <w:instrText>false</w:instrText>
      </w:r>
      <w:r w:rsidR="004810E5" w:rsidRPr="00E93A18">
        <w:rPr>
          <w:rFonts w:cs="Times New Roman"/>
          <w:szCs w:val="24"/>
        </w:rPr>
        <w:instrText>,"</w:instrText>
      </w:r>
      <w:r w:rsidR="004810E5">
        <w:rPr>
          <w:rFonts w:cs="Times New Roman"/>
          <w:szCs w:val="24"/>
          <w:lang w:val="en-US"/>
        </w:rPr>
        <w:instrText>suffix</w:instrText>
      </w:r>
      <w:r w:rsidR="004810E5" w:rsidRPr="00E93A18">
        <w:rPr>
          <w:rFonts w:cs="Times New Roman"/>
          <w:szCs w:val="24"/>
        </w:rPr>
        <w:instrText>":""},{"</w:instrText>
      </w:r>
      <w:r w:rsidR="004810E5">
        <w:rPr>
          <w:rFonts w:cs="Times New Roman"/>
          <w:szCs w:val="24"/>
          <w:lang w:val="en-US"/>
        </w:rPr>
        <w:instrText>dropping</w:instrText>
      </w:r>
      <w:r w:rsidR="004810E5" w:rsidRPr="00E93A18">
        <w:rPr>
          <w:rFonts w:cs="Times New Roman"/>
          <w:szCs w:val="24"/>
        </w:rPr>
        <w:instrText>-</w:instrText>
      </w:r>
      <w:r w:rsidR="004810E5">
        <w:rPr>
          <w:rFonts w:cs="Times New Roman"/>
          <w:szCs w:val="24"/>
          <w:lang w:val="en-US"/>
        </w:rPr>
        <w:instrText>particle</w:instrText>
      </w:r>
      <w:r w:rsidR="004810E5" w:rsidRPr="00E93A18">
        <w:rPr>
          <w:rFonts w:cs="Times New Roman"/>
          <w:szCs w:val="24"/>
        </w:rPr>
        <w:instrText>":"","</w:instrText>
      </w:r>
      <w:r w:rsidR="004810E5">
        <w:rPr>
          <w:rFonts w:cs="Times New Roman"/>
          <w:szCs w:val="24"/>
          <w:lang w:val="en-US"/>
        </w:rPr>
        <w:instrText>family</w:instrText>
      </w:r>
      <w:r w:rsidR="004810E5" w:rsidRPr="00E93A18">
        <w:rPr>
          <w:rFonts w:cs="Times New Roman"/>
          <w:szCs w:val="24"/>
        </w:rPr>
        <w:instrText>":"</w:instrText>
      </w:r>
      <w:r w:rsidR="004810E5">
        <w:rPr>
          <w:rFonts w:cs="Times New Roman"/>
          <w:szCs w:val="24"/>
          <w:lang w:val="en-US"/>
        </w:rPr>
        <w:instrText>Iqbal</w:instrText>
      </w:r>
      <w:r w:rsidR="004810E5" w:rsidRPr="00E93A18">
        <w:rPr>
          <w:rFonts w:cs="Times New Roman"/>
          <w:szCs w:val="24"/>
        </w:rPr>
        <w:instrText>","</w:instrText>
      </w:r>
      <w:r w:rsidR="004810E5">
        <w:rPr>
          <w:rFonts w:cs="Times New Roman"/>
          <w:szCs w:val="24"/>
          <w:lang w:val="en-US"/>
        </w:rPr>
        <w:instrText>given</w:instrText>
      </w:r>
      <w:r w:rsidR="004810E5" w:rsidRPr="00E93A18">
        <w:rPr>
          <w:rFonts w:cs="Times New Roman"/>
          <w:szCs w:val="24"/>
        </w:rPr>
        <w:instrText>":"</w:instrText>
      </w:r>
      <w:r w:rsidR="004810E5">
        <w:rPr>
          <w:rFonts w:cs="Times New Roman"/>
          <w:szCs w:val="24"/>
          <w:lang w:val="en-US"/>
        </w:rPr>
        <w:instrText>Sobuhi</w:instrText>
      </w:r>
      <w:r w:rsidR="004810E5" w:rsidRPr="00E93A18">
        <w:rPr>
          <w:rFonts w:cs="Times New Roman"/>
          <w:szCs w:val="24"/>
        </w:rPr>
        <w:instrText>","</w:instrText>
      </w:r>
      <w:r w:rsidR="004810E5">
        <w:rPr>
          <w:rFonts w:cs="Times New Roman"/>
          <w:szCs w:val="24"/>
          <w:lang w:val="en-US"/>
        </w:rPr>
        <w:instrText>non</w:instrText>
      </w:r>
      <w:r w:rsidR="004810E5" w:rsidRPr="00E93A18">
        <w:rPr>
          <w:rFonts w:cs="Times New Roman"/>
          <w:szCs w:val="24"/>
        </w:rPr>
        <w:instrText>-</w:instrText>
      </w:r>
      <w:r w:rsidR="004810E5">
        <w:rPr>
          <w:rFonts w:cs="Times New Roman"/>
          <w:szCs w:val="24"/>
          <w:lang w:val="en-US"/>
        </w:rPr>
        <w:instrText>dropping</w:instrText>
      </w:r>
      <w:r w:rsidR="004810E5" w:rsidRPr="00E93A18">
        <w:rPr>
          <w:rFonts w:cs="Times New Roman"/>
          <w:szCs w:val="24"/>
        </w:rPr>
        <w:instrText>-</w:instrText>
      </w:r>
      <w:r w:rsidR="004810E5">
        <w:rPr>
          <w:rFonts w:cs="Times New Roman"/>
          <w:szCs w:val="24"/>
          <w:lang w:val="en-US"/>
        </w:rPr>
        <w:instrText>particle</w:instrText>
      </w:r>
      <w:r w:rsidR="004810E5" w:rsidRPr="00E93A18">
        <w:rPr>
          <w:rFonts w:cs="Times New Roman"/>
          <w:szCs w:val="24"/>
        </w:rPr>
        <w:instrText>":"","</w:instrText>
      </w:r>
      <w:r w:rsidR="004810E5">
        <w:rPr>
          <w:rFonts w:cs="Times New Roman"/>
          <w:szCs w:val="24"/>
          <w:lang w:val="en-US"/>
        </w:rPr>
        <w:instrText>parse</w:instrText>
      </w:r>
      <w:r w:rsidR="004810E5" w:rsidRPr="00E93A18">
        <w:rPr>
          <w:rFonts w:cs="Times New Roman"/>
          <w:szCs w:val="24"/>
        </w:rPr>
        <w:instrText>-</w:instrText>
      </w:r>
      <w:r w:rsidR="004810E5">
        <w:rPr>
          <w:rFonts w:cs="Times New Roman"/>
          <w:szCs w:val="24"/>
          <w:lang w:val="en-US"/>
        </w:rPr>
        <w:instrText>names</w:instrText>
      </w:r>
      <w:r w:rsidR="004810E5" w:rsidRPr="00E93A18">
        <w:rPr>
          <w:rFonts w:cs="Times New Roman"/>
          <w:szCs w:val="24"/>
        </w:rPr>
        <w:instrText>":</w:instrText>
      </w:r>
      <w:r w:rsidR="004810E5">
        <w:rPr>
          <w:rFonts w:cs="Times New Roman"/>
          <w:szCs w:val="24"/>
          <w:lang w:val="en-US"/>
        </w:rPr>
        <w:instrText>false</w:instrText>
      </w:r>
      <w:r w:rsidR="004810E5" w:rsidRPr="00E93A18">
        <w:rPr>
          <w:rFonts w:cs="Times New Roman"/>
          <w:szCs w:val="24"/>
        </w:rPr>
        <w:instrText>,"</w:instrText>
      </w:r>
      <w:r w:rsidR="004810E5">
        <w:rPr>
          <w:rFonts w:cs="Times New Roman"/>
          <w:szCs w:val="24"/>
          <w:lang w:val="en-US"/>
        </w:rPr>
        <w:instrText>suffix</w:instrText>
      </w:r>
      <w:r w:rsidR="004810E5" w:rsidRPr="00E93A18">
        <w:rPr>
          <w:rFonts w:cs="Times New Roman"/>
          <w:szCs w:val="24"/>
        </w:rPr>
        <w:instrText>":""},{"</w:instrText>
      </w:r>
      <w:r w:rsidR="004810E5">
        <w:rPr>
          <w:rFonts w:cs="Times New Roman"/>
          <w:szCs w:val="24"/>
          <w:lang w:val="en-US"/>
        </w:rPr>
        <w:instrText>dropping</w:instrText>
      </w:r>
      <w:r w:rsidR="004810E5" w:rsidRPr="00E93A18">
        <w:rPr>
          <w:rFonts w:cs="Times New Roman"/>
          <w:szCs w:val="24"/>
        </w:rPr>
        <w:instrText>-</w:instrText>
      </w:r>
      <w:r w:rsidR="004810E5">
        <w:rPr>
          <w:rFonts w:cs="Times New Roman"/>
          <w:szCs w:val="24"/>
          <w:lang w:val="en-US"/>
        </w:rPr>
        <w:instrText>particle</w:instrText>
      </w:r>
      <w:r w:rsidR="004810E5" w:rsidRPr="00E93A18">
        <w:rPr>
          <w:rFonts w:cs="Times New Roman"/>
          <w:szCs w:val="24"/>
        </w:rPr>
        <w:instrText>":"","</w:instrText>
      </w:r>
      <w:r w:rsidR="004810E5">
        <w:rPr>
          <w:rFonts w:cs="Times New Roman"/>
          <w:szCs w:val="24"/>
          <w:lang w:val="en-US"/>
        </w:rPr>
        <w:instrText>family</w:instrText>
      </w:r>
      <w:r w:rsidR="004810E5" w:rsidRPr="00E93A18">
        <w:rPr>
          <w:rFonts w:cs="Times New Roman"/>
          <w:szCs w:val="24"/>
        </w:rPr>
        <w:instrText>":"</w:instrText>
      </w:r>
      <w:r w:rsidR="004810E5">
        <w:rPr>
          <w:rFonts w:cs="Times New Roman"/>
          <w:szCs w:val="24"/>
          <w:lang w:val="en-US"/>
        </w:rPr>
        <w:instrText>Malik</w:instrText>
      </w:r>
      <w:r w:rsidR="004810E5" w:rsidRPr="00E93A18">
        <w:rPr>
          <w:rFonts w:cs="Times New Roman"/>
          <w:szCs w:val="24"/>
        </w:rPr>
        <w:instrText>","</w:instrText>
      </w:r>
      <w:r w:rsidR="004810E5">
        <w:rPr>
          <w:rFonts w:cs="Times New Roman"/>
          <w:szCs w:val="24"/>
          <w:lang w:val="en-US"/>
        </w:rPr>
        <w:instrText>given</w:instrText>
      </w:r>
      <w:r w:rsidR="004810E5" w:rsidRPr="00E93A18">
        <w:rPr>
          <w:rFonts w:cs="Times New Roman"/>
          <w:szCs w:val="24"/>
        </w:rPr>
        <w:instrText>":"</w:instrText>
      </w:r>
      <w:r w:rsidR="004810E5">
        <w:rPr>
          <w:rFonts w:cs="Times New Roman"/>
          <w:szCs w:val="24"/>
          <w:lang w:val="en-US"/>
        </w:rPr>
        <w:instrText>Prabhat</w:instrText>
      </w:r>
      <w:r w:rsidR="004810E5" w:rsidRPr="00E93A18">
        <w:rPr>
          <w:rFonts w:cs="Times New Roman"/>
          <w:szCs w:val="24"/>
        </w:rPr>
        <w:instrText xml:space="preserve"> </w:instrText>
      </w:r>
      <w:r w:rsidR="004810E5">
        <w:rPr>
          <w:rFonts w:cs="Times New Roman"/>
          <w:szCs w:val="24"/>
          <w:lang w:val="en-US"/>
        </w:rPr>
        <w:instrText>Singh</w:instrText>
      </w:r>
      <w:r w:rsidR="004810E5" w:rsidRPr="00E93A18">
        <w:rPr>
          <w:rFonts w:cs="Times New Roman"/>
          <w:szCs w:val="24"/>
        </w:rPr>
        <w:instrText>","</w:instrText>
      </w:r>
      <w:r w:rsidR="004810E5">
        <w:rPr>
          <w:rFonts w:cs="Times New Roman"/>
          <w:szCs w:val="24"/>
          <w:lang w:val="en-US"/>
        </w:rPr>
        <w:instrText>non</w:instrText>
      </w:r>
      <w:r w:rsidR="004810E5" w:rsidRPr="00E93A18">
        <w:rPr>
          <w:rFonts w:cs="Times New Roman"/>
          <w:szCs w:val="24"/>
        </w:rPr>
        <w:instrText>-</w:instrText>
      </w:r>
      <w:r w:rsidR="004810E5">
        <w:rPr>
          <w:rFonts w:cs="Times New Roman"/>
          <w:szCs w:val="24"/>
          <w:lang w:val="en-US"/>
        </w:rPr>
        <w:instrText>dropping</w:instrText>
      </w:r>
      <w:r w:rsidR="004810E5" w:rsidRPr="00E93A18">
        <w:rPr>
          <w:rFonts w:cs="Times New Roman"/>
          <w:szCs w:val="24"/>
        </w:rPr>
        <w:instrText>-</w:instrText>
      </w:r>
      <w:r w:rsidR="004810E5">
        <w:rPr>
          <w:rFonts w:cs="Times New Roman"/>
          <w:szCs w:val="24"/>
          <w:lang w:val="en-US"/>
        </w:rPr>
        <w:instrText>particle</w:instrText>
      </w:r>
      <w:r w:rsidR="004810E5" w:rsidRPr="00E93A18">
        <w:rPr>
          <w:rFonts w:cs="Times New Roman"/>
          <w:szCs w:val="24"/>
        </w:rPr>
        <w:instrText>":"","</w:instrText>
      </w:r>
      <w:r w:rsidR="004810E5">
        <w:rPr>
          <w:rFonts w:cs="Times New Roman"/>
          <w:szCs w:val="24"/>
          <w:lang w:val="en-US"/>
        </w:rPr>
        <w:instrText>parse</w:instrText>
      </w:r>
      <w:r w:rsidR="004810E5" w:rsidRPr="00E93A18">
        <w:rPr>
          <w:rFonts w:cs="Times New Roman"/>
          <w:szCs w:val="24"/>
        </w:rPr>
        <w:instrText>-</w:instrText>
      </w:r>
      <w:r w:rsidR="004810E5">
        <w:rPr>
          <w:rFonts w:cs="Times New Roman"/>
          <w:szCs w:val="24"/>
          <w:lang w:val="en-US"/>
        </w:rPr>
        <w:instrText>names</w:instrText>
      </w:r>
      <w:r w:rsidR="004810E5" w:rsidRPr="00E93A18">
        <w:rPr>
          <w:rFonts w:cs="Times New Roman"/>
          <w:szCs w:val="24"/>
        </w:rPr>
        <w:instrText>":</w:instrText>
      </w:r>
      <w:r w:rsidR="004810E5">
        <w:rPr>
          <w:rFonts w:cs="Times New Roman"/>
          <w:szCs w:val="24"/>
          <w:lang w:val="en-US"/>
        </w:rPr>
        <w:instrText>false</w:instrText>
      </w:r>
      <w:r w:rsidR="004810E5" w:rsidRPr="00E93A18">
        <w:rPr>
          <w:rFonts w:cs="Times New Roman"/>
          <w:szCs w:val="24"/>
        </w:rPr>
        <w:instrText>,"</w:instrText>
      </w:r>
      <w:r w:rsidR="004810E5">
        <w:rPr>
          <w:rFonts w:cs="Times New Roman"/>
          <w:szCs w:val="24"/>
          <w:lang w:val="en-US"/>
        </w:rPr>
        <w:instrText>suffix</w:instrText>
      </w:r>
      <w:r w:rsidR="004810E5" w:rsidRPr="00E93A18">
        <w:rPr>
          <w:rFonts w:cs="Times New Roman"/>
          <w:szCs w:val="24"/>
        </w:rPr>
        <w:instrText>":""},{"</w:instrText>
      </w:r>
      <w:r w:rsidR="004810E5">
        <w:rPr>
          <w:rFonts w:cs="Times New Roman"/>
          <w:szCs w:val="24"/>
          <w:lang w:val="en-US"/>
        </w:rPr>
        <w:instrText>dropping</w:instrText>
      </w:r>
      <w:r w:rsidR="004810E5" w:rsidRPr="00E93A18">
        <w:rPr>
          <w:rFonts w:cs="Times New Roman"/>
          <w:szCs w:val="24"/>
        </w:rPr>
        <w:instrText>-</w:instrText>
      </w:r>
      <w:r w:rsidR="004810E5">
        <w:rPr>
          <w:rFonts w:cs="Times New Roman"/>
          <w:szCs w:val="24"/>
          <w:lang w:val="en-US"/>
        </w:rPr>
        <w:instrText>particle</w:instrText>
      </w:r>
      <w:r w:rsidR="004810E5" w:rsidRPr="00E93A18">
        <w:rPr>
          <w:rFonts w:cs="Times New Roman"/>
          <w:szCs w:val="24"/>
        </w:rPr>
        <w:instrText>":"","</w:instrText>
      </w:r>
      <w:r w:rsidR="004810E5">
        <w:rPr>
          <w:rFonts w:cs="Times New Roman"/>
          <w:szCs w:val="24"/>
          <w:lang w:val="en-US"/>
        </w:rPr>
        <w:instrText>family</w:instrText>
      </w:r>
      <w:r w:rsidR="004810E5" w:rsidRPr="00E93A18">
        <w:rPr>
          <w:rFonts w:cs="Times New Roman"/>
          <w:szCs w:val="24"/>
        </w:rPr>
        <w:instrText>":"</w:instrText>
      </w:r>
      <w:r w:rsidR="004810E5">
        <w:rPr>
          <w:rFonts w:cs="Times New Roman"/>
          <w:szCs w:val="24"/>
          <w:lang w:val="en-US"/>
        </w:rPr>
        <w:instrText>Raina</w:instrText>
      </w:r>
      <w:r w:rsidR="004810E5" w:rsidRPr="00E93A18">
        <w:rPr>
          <w:rFonts w:cs="Times New Roman"/>
          <w:szCs w:val="24"/>
        </w:rPr>
        <w:instrText>","</w:instrText>
      </w:r>
      <w:r w:rsidR="004810E5">
        <w:rPr>
          <w:rFonts w:cs="Times New Roman"/>
          <w:szCs w:val="24"/>
          <w:lang w:val="en-US"/>
        </w:rPr>
        <w:instrText>given</w:instrText>
      </w:r>
      <w:r w:rsidR="004810E5" w:rsidRPr="00E93A18">
        <w:rPr>
          <w:rFonts w:cs="Times New Roman"/>
          <w:szCs w:val="24"/>
        </w:rPr>
        <w:instrText>":"</w:instrText>
      </w:r>
      <w:r w:rsidR="004810E5">
        <w:rPr>
          <w:rFonts w:cs="Times New Roman"/>
          <w:szCs w:val="24"/>
          <w:lang w:val="en-US"/>
        </w:rPr>
        <w:instrText>Vinod</w:instrText>
      </w:r>
      <w:r w:rsidR="004810E5" w:rsidRPr="00E93A18">
        <w:rPr>
          <w:rFonts w:cs="Times New Roman"/>
          <w:szCs w:val="24"/>
        </w:rPr>
        <w:instrText>","</w:instrText>
      </w:r>
      <w:r w:rsidR="004810E5">
        <w:rPr>
          <w:rFonts w:cs="Times New Roman"/>
          <w:szCs w:val="24"/>
          <w:lang w:val="en-US"/>
        </w:rPr>
        <w:instrText>non</w:instrText>
      </w:r>
      <w:r w:rsidR="004810E5" w:rsidRPr="00E93A18">
        <w:rPr>
          <w:rFonts w:cs="Times New Roman"/>
          <w:szCs w:val="24"/>
        </w:rPr>
        <w:instrText>-</w:instrText>
      </w:r>
      <w:r w:rsidR="004810E5">
        <w:rPr>
          <w:rFonts w:cs="Times New Roman"/>
          <w:szCs w:val="24"/>
          <w:lang w:val="en-US"/>
        </w:rPr>
        <w:instrText>dropping</w:instrText>
      </w:r>
      <w:r w:rsidR="004810E5" w:rsidRPr="00E93A18">
        <w:rPr>
          <w:rFonts w:cs="Times New Roman"/>
          <w:szCs w:val="24"/>
        </w:rPr>
        <w:instrText>-</w:instrText>
      </w:r>
      <w:r w:rsidR="004810E5">
        <w:rPr>
          <w:rFonts w:cs="Times New Roman"/>
          <w:szCs w:val="24"/>
          <w:lang w:val="en-US"/>
        </w:rPr>
        <w:instrText>particle</w:instrText>
      </w:r>
      <w:r w:rsidR="004810E5" w:rsidRPr="00E93A18">
        <w:rPr>
          <w:rFonts w:cs="Times New Roman"/>
          <w:szCs w:val="24"/>
        </w:rPr>
        <w:instrText>":"","</w:instrText>
      </w:r>
      <w:r w:rsidR="004810E5">
        <w:rPr>
          <w:rFonts w:cs="Times New Roman"/>
          <w:szCs w:val="24"/>
          <w:lang w:val="en-US"/>
        </w:rPr>
        <w:instrText>parse</w:instrText>
      </w:r>
      <w:r w:rsidR="004810E5" w:rsidRPr="00E93A18">
        <w:rPr>
          <w:rFonts w:cs="Times New Roman"/>
          <w:szCs w:val="24"/>
        </w:rPr>
        <w:instrText>-</w:instrText>
      </w:r>
      <w:r w:rsidR="004810E5">
        <w:rPr>
          <w:rFonts w:cs="Times New Roman"/>
          <w:szCs w:val="24"/>
          <w:lang w:val="en-US"/>
        </w:rPr>
        <w:instrText>names</w:instrText>
      </w:r>
      <w:r w:rsidR="004810E5" w:rsidRPr="00E93A18">
        <w:rPr>
          <w:rFonts w:cs="Times New Roman"/>
          <w:szCs w:val="24"/>
        </w:rPr>
        <w:instrText>":</w:instrText>
      </w:r>
      <w:r w:rsidR="004810E5">
        <w:rPr>
          <w:rFonts w:cs="Times New Roman"/>
          <w:szCs w:val="24"/>
          <w:lang w:val="en-US"/>
        </w:rPr>
        <w:instrText>false</w:instrText>
      </w:r>
      <w:r w:rsidR="004810E5" w:rsidRPr="00E93A18">
        <w:rPr>
          <w:rFonts w:cs="Times New Roman"/>
          <w:szCs w:val="24"/>
        </w:rPr>
        <w:instrText>,"</w:instrText>
      </w:r>
      <w:r w:rsidR="004810E5">
        <w:rPr>
          <w:rFonts w:cs="Times New Roman"/>
          <w:szCs w:val="24"/>
          <w:lang w:val="en-US"/>
        </w:rPr>
        <w:instrText>suffix</w:instrText>
      </w:r>
      <w:r w:rsidR="004810E5" w:rsidRPr="00E93A18">
        <w:rPr>
          <w:rFonts w:cs="Times New Roman"/>
          <w:szCs w:val="24"/>
        </w:rPr>
        <w:instrText>":""}],"</w:instrText>
      </w:r>
      <w:r w:rsidR="004810E5">
        <w:rPr>
          <w:rFonts w:cs="Times New Roman"/>
          <w:szCs w:val="24"/>
          <w:lang w:val="en-US"/>
        </w:rPr>
        <w:instrText>container</w:instrText>
      </w:r>
      <w:r w:rsidR="004810E5" w:rsidRPr="00E93A18">
        <w:rPr>
          <w:rFonts w:cs="Times New Roman"/>
          <w:szCs w:val="24"/>
        </w:rPr>
        <w:instrText>-</w:instrText>
      </w:r>
      <w:r w:rsidR="004810E5">
        <w:rPr>
          <w:rFonts w:cs="Times New Roman"/>
          <w:szCs w:val="24"/>
          <w:lang w:val="en-US"/>
        </w:rPr>
        <w:instrText>title</w:instrText>
      </w:r>
      <w:r w:rsidR="004810E5" w:rsidRPr="00E93A18">
        <w:rPr>
          <w:rFonts w:cs="Times New Roman"/>
          <w:szCs w:val="24"/>
        </w:rPr>
        <w:instrText>":"</w:instrText>
      </w:r>
      <w:r w:rsidR="004810E5">
        <w:rPr>
          <w:rFonts w:cs="Times New Roman"/>
          <w:szCs w:val="24"/>
          <w:lang w:val="en-US"/>
        </w:rPr>
        <w:instrText>SpringerPlus</w:instrText>
      </w:r>
      <w:r w:rsidR="004810E5" w:rsidRPr="00E93A18">
        <w:rPr>
          <w:rFonts w:cs="Times New Roman"/>
          <w:szCs w:val="24"/>
        </w:rPr>
        <w:instrText>","</w:instrText>
      </w:r>
      <w:r w:rsidR="004810E5">
        <w:rPr>
          <w:rFonts w:cs="Times New Roman"/>
          <w:szCs w:val="24"/>
          <w:lang w:val="en-US"/>
        </w:rPr>
        <w:instrText>id</w:instrText>
      </w:r>
      <w:r w:rsidR="004810E5" w:rsidRPr="00E93A18">
        <w:rPr>
          <w:rFonts w:cs="Times New Roman"/>
          <w:szCs w:val="24"/>
        </w:rPr>
        <w:instrText>":"</w:instrText>
      </w:r>
      <w:r w:rsidR="004810E5">
        <w:rPr>
          <w:rFonts w:cs="Times New Roman"/>
          <w:szCs w:val="24"/>
          <w:lang w:val="en-US"/>
        </w:rPr>
        <w:instrText>ITEM</w:instrText>
      </w:r>
      <w:r w:rsidR="004810E5" w:rsidRPr="00E93A18">
        <w:rPr>
          <w:rFonts w:cs="Times New Roman"/>
          <w:szCs w:val="24"/>
        </w:rPr>
        <w:instrText>-1","</w:instrText>
      </w:r>
      <w:r w:rsidR="004810E5">
        <w:rPr>
          <w:rFonts w:cs="Times New Roman"/>
          <w:szCs w:val="24"/>
          <w:lang w:val="en-US"/>
        </w:rPr>
        <w:instrText>issued</w:instrText>
      </w:r>
      <w:r w:rsidR="004810E5" w:rsidRPr="00E93A18">
        <w:rPr>
          <w:rFonts w:cs="Times New Roman"/>
          <w:szCs w:val="24"/>
        </w:rPr>
        <w:instrText>":{"</w:instrText>
      </w:r>
      <w:r w:rsidR="004810E5">
        <w:rPr>
          <w:rFonts w:cs="Times New Roman"/>
          <w:szCs w:val="24"/>
          <w:lang w:val="en-US"/>
        </w:rPr>
        <w:instrText>date</w:instrText>
      </w:r>
      <w:r w:rsidR="004810E5" w:rsidRPr="00E93A18">
        <w:rPr>
          <w:rFonts w:cs="Times New Roman"/>
          <w:szCs w:val="24"/>
        </w:rPr>
        <w:instrText>-</w:instrText>
      </w:r>
      <w:r w:rsidR="004810E5">
        <w:rPr>
          <w:rFonts w:cs="Times New Roman"/>
          <w:szCs w:val="24"/>
          <w:lang w:val="en-US"/>
        </w:rPr>
        <w:instrText>parts</w:instrText>
      </w:r>
      <w:r w:rsidR="004810E5" w:rsidRPr="00E93A18">
        <w:rPr>
          <w:rFonts w:cs="Times New Roman"/>
          <w:szCs w:val="24"/>
        </w:rPr>
        <w:instrText>":[["2013"]]},"</w:instrText>
      </w:r>
      <w:r w:rsidR="004810E5">
        <w:rPr>
          <w:rFonts w:cs="Times New Roman"/>
          <w:szCs w:val="24"/>
          <w:lang w:val="en-US"/>
        </w:rPr>
        <w:instrText>page</w:instrText>
      </w:r>
      <w:r w:rsidR="004810E5" w:rsidRPr="00E93A18">
        <w:rPr>
          <w:rFonts w:cs="Times New Roman"/>
          <w:szCs w:val="24"/>
        </w:rPr>
        <w:instrText>":"489","</w:instrText>
      </w:r>
      <w:r w:rsidR="004810E5">
        <w:rPr>
          <w:rFonts w:cs="Times New Roman"/>
          <w:szCs w:val="24"/>
          <w:lang w:val="en-US"/>
        </w:rPr>
        <w:instrText>publisher</w:instrText>
      </w:r>
      <w:r w:rsidR="004810E5" w:rsidRPr="00E93A18">
        <w:rPr>
          <w:rFonts w:cs="Times New Roman"/>
          <w:szCs w:val="24"/>
        </w:rPr>
        <w:instrText>":"</w:instrText>
      </w:r>
      <w:r w:rsidR="004810E5">
        <w:rPr>
          <w:rFonts w:cs="Times New Roman"/>
          <w:szCs w:val="24"/>
          <w:lang w:val="en-US"/>
        </w:rPr>
        <w:instrText>Springerplus</w:instrText>
      </w:r>
      <w:r w:rsidR="004810E5" w:rsidRPr="00E93A18">
        <w:rPr>
          <w:rFonts w:cs="Times New Roman"/>
          <w:szCs w:val="24"/>
        </w:rPr>
        <w:instrText>","</w:instrText>
      </w:r>
      <w:r w:rsidR="004810E5">
        <w:rPr>
          <w:rFonts w:cs="Times New Roman"/>
          <w:szCs w:val="24"/>
          <w:lang w:val="en-US"/>
        </w:rPr>
        <w:instrText>title</w:instrText>
      </w:r>
      <w:r w:rsidR="004810E5" w:rsidRPr="00E93A18">
        <w:rPr>
          <w:rFonts w:cs="Times New Roman"/>
          <w:szCs w:val="24"/>
        </w:rPr>
        <w:instrText>":"</w:instrText>
      </w:r>
      <w:r w:rsidR="004810E5">
        <w:rPr>
          <w:rFonts w:cs="Times New Roman"/>
          <w:szCs w:val="24"/>
          <w:lang w:val="en-US"/>
        </w:rPr>
        <w:instrText>Comparison</w:instrText>
      </w:r>
      <w:r w:rsidR="004810E5" w:rsidRPr="00E93A18">
        <w:rPr>
          <w:rFonts w:cs="Times New Roman"/>
          <w:szCs w:val="24"/>
        </w:rPr>
        <w:instrText xml:space="preserve"> </w:instrText>
      </w:r>
      <w:r w:rsidR="004810E5">
        <w:rPr>
          <w:rFonts w:cs="Times New Roman"/>
          <w:szCs w:val="24"/>
          <w:lang w:val="en-US"/>
        </w:rPr>
        <w:instrText>of</w:instrText>
      </w:r>
      <w:r w:rsidR="004810E5" w:rsidRPr="00E93A18">
        <w:rPr>
          <w:rFonts w:cs="Times New Roman"/>
          <w:szCs w:val="24"/>
        </w:rPr>
        <w:instrText xml:space="preserve"> </w:instrText>
      </w:r>
      <w:r w:rsidR="004810E5">
        <w:rPr>
          <w:rFonts w:cs="Times New Roman"/>
          <w:szCs w:val="24"/>
          <w:lang w:val="en-US"/>
        </w:rPr>
        <w:instrText>BEAM</w:instrText>
      </w:r>
      <w:r w:rsidR="004810E5" w:rsidRPr="00E93A18">
        <w:rPr>
          <w:rFonts w:cs="Times New Roman"/>
          <w:szCs w:val="24"/>
        </w:rPr>
        <w:instrText xml:space="preserve"> </w:instrText>
      </w:r>
      <w:r w:rsidR="004810E5">
        <w:rPr>
          <w:rFonts w:cs="Times New Roman"/>
          <w:szCs w:val="24"/>
          <w:lang w:val="en-US"/>
        </w:rPr>
        <w:instrText>vs</w:instrText>
      </w:r>
      <w:r w:rsidR="004810E5" w:rsidRPr="00E93A18">
        <w:rPr>
          <w:rFonts w:cs="Times New Roman"/>
          <w:szCs w:val="24"/>
        </w:rPr>
        <w:instrText xml:space="preserve">. </w:instrText>
      </w:r>
      <w:r w:rsidR="004810E5">
        <w:rPr>
          <w:rFonts w:cs="Times New Roman"/>
          <w:szCs w:val="24"/>
          <w:lang w:val="en-US"/>
        </w:rPr>
        <w:instrText>LEAM</w:instrText>
      </w:r>
      <w:r w:rsidR="004810E5" w:rsidRPr="00E93A18">
        <w:rPr>
          <w:rFonts w:cs="Times New Roman"/>
          <w:szCs w:val="24"/>
        </w:rPr>
        <w:instrText xml:space="preserve"> </w:instrText>
      </w:r>
      <w:r w:rsidR="004810E5">
        <w:rPr>
          <w:rFonts w:cs="Times New Roman"/>
          <w:szCs w:val="24"/>
          <w:lang w:val="en-US"/>
        </w:rPr>
        <w:instrText>regimen</w:instrText>
      </w:r>
      <w:r w:rsidR="004810E5" w:rsidRPr="00E93A18">
        <w:rPr>
          <w:rFonts w:cs="Times New Roman"/>
          <w:szCs w:val="24"/>
        </w:rPr>
        <w:instrText xml:space="preserve"> </w:instrText>
      </w:r>
      <w:r w:rsidR="004810E5">
        <w:rPr>
          <w:rFonts w:cs="Times New Roman"/>
          <w:szCs w:val="24"/>
          <w:lang w:val="en-US"/>
        </w:rPr>
        <w:instrText>in</w:instrText>
      </w:r>
      <w:r w:rsidR="004810E5" w:rsidRPr="00E93A18">
        <w:rPr>
          <w:rFonts w:cs="Times New Roman"/>
          <w:szCs w:val="24"/>
        </w:rPr>
        <w:instrText xml:space="preserve"> </w:instrText>
      </w:r>
      <w:r w:rsidR="004810E5">
        <w:rPr>
          <w:rFonts w:cs="Times New Roman"/>
          <w:szCs w:val="24"/>
          <w:lang w:val="en-US"/>
        </w:rPr>
        <w:instrText>autologous</w:instrText>
      </w:r>
      <w:r w:rsidR="004810E5" w:rsidRPr="00E93A18">
        <w:rPr>
          <w:rFonts w:cs="Times New Roman"/>
          <w:szCs w:val="24"/>
        </w:rPr>
        <w:instrText xml:space="preserve"> </w:instrText>
      </w:r>
      <w:r w:rsidR="004810E5">
        <w:rPr>
          <w:rFonts w:cs="Times New Roman"/>
          <w:szCs w:val="24"/>
          <w:lang w:val="en-US"/>
        </w:rPr>
        <w:instrText>transplant</w:instrText>
      </w:r>
      <w:r w:rsidR="004810E5" w:rsidRPr="00E93A18">
        <w:rPr>
          <w:rFonts w:cs="Times New Roman"/>
          <w:szCs w:val="24"/>
        </w:rPr>
        <w:instrText xml:space="preserve"> </w:instrText>
      </w:r>
      <w:r w:rsidR="004810E5">
        <w:rPr>
          <w:rFonts w:cs="Times New Roman"/>
          <w:szCs w:val="24"/>
          <w:lang w:val="en-US"/>
        </w:rPr>
        <w:instrText>for</w:instrText>
      </w:r>
      <w:r w:rsidR="004810E5" w:rsidRPr="00E93A18">
        <w:rPr>
          <w:rFonts w:cs="Times New Roman"/>
          <w:szCs w:val="24"/>
        </w:rPr>
        <w:instrText xml:space="preserve"> </w:instrText>
      </w:r>
      <w:r w:rsidR="004810E5">
        <w:rPr>
          <w:rFonts w:cs="Times New Roman"/>
          <w:szCs w:val="24"/>
          <w:lang w:val="en-US"/>
        </w:rPr>
        <w:instrText>lymphoma</w:instrText>
      </w:r>
      <w:r w:rsidR="004810E5" w:rsidRPr="00E93A18">
        <w:rPr>
          <w:rFonts w:cs="Times New Roman"/>
          <w:szCs w:val="24"/>
        </w:rPr>
        <w:instrText xml:space="preserve"> </w:instrText>
      </w:r>
      <w:r w:rsidR="004810E5">
        <w:rPr>
          <w:rFonts w:cs="Times New Roman"/>
          <w:szCs w:val="24"/>
          <w:lang w:val="en-US"/>
        </w:rPr>
        <w:instrText>at</w:instrText>
      </w:r>
      <w:r w:rsidR="004810E5" w:rsidRPr="00E93A18">
        <w:rPr>
          <w:rFonts w:cs="Times New Roman"/>
          <w:szCs w:val="24"/>
        </w:rPr>
        <w:instrText xml:space="preserve"> </w:instrText>
      </w:r>
      <w:r w:rsidR="004810E5">
        <w:rPr>
          <w:rFonts w:cs="Times New Roman"/>
          <w:szCs w:val="24"/>
          <w:lang w:val="en-US"/>
        </w:rPr>
        <w:instrText>AIIMS</w:instrText>
      </w:r>
      <w:r w:rsidR="004810E5" w:rsidRPr="00E93A18">
        <w:rPr>
          <w:rFonts w:cs="Times New Roman"/>
          <w:szCs w:val="24"/>
        </w:rPr>
        <w:instrText>.","</w:instrText>
      </w:r>
      <w:r w:rsidR="004810E5">
        <w:rPr>
          <w:rFonts w:cs="Times New Roman"/>
          <w:szCs w:val="24"/>
          <w:lang w:val="en-US"/>
        </w:rPr>
        <w:instrText>type</w:instrText>
      </w:r>
      <w:r w:rsidR="004810E5" w:rsidRPr="00E93A18">
        <w:rPr>
          <w:rFonts w:cs="Times New Roman"/>
          <w:szCs w:val="24"/>
        </w:rPr>
        <w:instrText>":"</w:instrText>
      </w:r>
      <w:r w:rsidR="004810E5">
        <w:rPr>
          <w:rFonts w:cs="Times New Roman"/>
          <w:szCs w:val="24"/>
          <w:lang w:val="en-US"/>
        </w:rPr>
        <w:instrText>article</w:instrText>
      </w:r>
      <w:r w:rsidR="004810E5" w:rsidRPr="00E93A18">
        <w:rPr>
          <w:rFonts w:cs="Times New Roman"/>
          <w:szCs w:val="24"/>
        </w:rPr>
        <w:instrText>-</w:instrText>
      </w:r>
      <w:r w:rsidR="004810E5">
        <w:rPr>
          <w:rFonts w:cs="Times New Roman"/>
          <w:szCs w:val="24"/>
          <w:lang w:val="en-US"/>
        </w:rPr>
        <w:instrText>journal</w:instrText>
      </w:r>
      <w:r w:rsidR="004810E5" w:rsidRPr="00E93A18">
        <w:rPr>
          <w:rFonts w:cs="Times New Roman"/>
          <w:szCs w:val="24"/>
        </w:rPr>
        <w:instrText>","</w:instrText>
      </w:r>
      <w:r w:rsidR="004810E5">
        <w:rPr>
          <w:rFonts w:cs="Times New Roman"/>
          <w:szCs w:val="24"/>
          <w:lang w:val="en-US"/>
        </w:rPr>
        <w:instrText>volume</w:instrText>
      </w:r>
      <w:r w:rsidR="004810E5" w:rsidRPr="00E93A18">
        <w:rPr>
          <w:rFonts w:cs="Times New Roman"/>
          <w:szCs w:val="24"/>
        </w:rPr>
        <w:instrText>":"2"},"</w:instrText>
      </w:r>
      <w:r w:rsidR="004810E5">
        <w:rPr>
          <w:rFonts w:cs="Times New Roman"/>
          <w:szCs w:val="24"/>
          <w:lang w:val="en-US"/>
        </w:rPr>
        <w:instrText>uris</w:instrText>
      </w:r>
      <w:r w:rsidR="004810E5" w:rsidRPr="00E93A18">
        <w:rPr>
          <w:rFonts w:cs="Times New Roman"/>
          <w:szCs w:val="24"/>
        </w:rPr>
        <w:instrText>":["</w:instrText>
      </w:r>
      <w:r w:rsidR="004810E5">
        <w:rPr>
          <w:rFonts w:cs="Times New Roman"/>
          <w:szCs w:val="24"/>
          <w:lang w:val="en-US"/>
        </w:rPr>
        <w:instrText>http</w:instrText>
      </w:r>
      <w:r w:rsidR="004810E5" w:rsidRPr="00E93A18">
        <w:rPr>
          <w:rFonts w:cs="Times New Roman"/>
          <w:szCs w:val="24"/>
        </w:rPr>
        <w:instrText>://</w:instrText>
      </w:r>
      <w:r w:rsidR="004810E5">
        <w:rPr>
          <w:rFonts w:cs="Times New Roman"/>
          <w:szCs w:val="24"/>
          <w:lang w:val="en-US"/>
        </w:rPr>
        <w:instrText>www</w:instrText>
      </w:r>
      <w:r w:rsidR="004810E5" w:rsidRPr="00E93A18">
        <w:rPr>
          <w:rFonts w:cs="Times New Roman"/>
          <w:szCs w:val="24"/>
        </w:rPr>
        <w:instrText>.</w:instrText>
      </w:r>
      <w:r w:rsidR="004810E5">
        <w:rPr>
          <w:rFonts w:cs="Times New Roman"/>
          <w:szCs w:val="24"/>
          <w:lang w:val="en-US"/>
        </w:rPr>
        <w:instrText>mendeley</w:instrText>
      </w:r>
      <w:r w:rsidR="004810E5" w:rsidRPr="00E93A18">
        <w:rPr>
          <w:rFonts w:cs="Times New Roman"/>
          <w:szCs w:val="24"/>
        </w:rPr>
        <w:instrText>.</w:instrText>
      </w:r>
      <w:r w:rsidR="004810E5">
        <w:rPr>
          <w:rFonts w:cs="Times New Roman"/>
          <w:szCs w:val="24"/>
          <w:lang w:val="en-US"/>
        </w:rPr>
        <w:instrText>com</w:instrText>
      </w:r>
      <w:r w:rsidR="004810E5" w:rsidRPr="00E93A18">
        <w:rPr>
          <w:rFonts w:cs="Times New Roman"/>
          <w:szCs w:val="24"/>
        </w:rPr>
        <w:instrText>/</w:instrText>
      </w:r>
      <w:r w:rsidR="004810E5">
        <w:rPr>
          <w:rFonts w:cs="Times New Roman"/>
          <w:szCs w:val="24"/>
          <w:lang w:val="en-US"/>
        </w:rPr>
        <w:instrText>documents</w:instrText>
      </w:r>
      <w:r w:rsidR="004810E5" w:rsidRPr="00E93A18">
        <w:rPr>
          <w:rFonts w:cs="Times New Roman"/>
          <w:szCs w:val="24"/>
        </w:rPr>
        <w:instrText>/?</w:instrText>
      </w:r>
      <w:r w:rsidR="004810E5">
        <w:rPr>
          <w:rFonts w:cs="Times New Roman"/>
          <w:szCs w:val="24"/>
          <w:lang w:val="en-US"/>
        </w:rPr>
        <w:instrText>uuid</w:instrText>
      </w:r>
      <w:r w:rsidR="004810E5" w:rsidRPr="00E93A18">
        <w:rPr>
          <w:rFonts w:cs="Times New Roman"/>
          <w:szCs w:val="24"/>
        </w:rPr>
        <w:instrText>=21</w:instrText>
      </w:r>
      <w:r w:rsidR="004810E5">
        <w:rPr>
          <w:rFonts w:cs="Times New Roman"/>
          <w:szCs w:val="24"/>
          <w:lang w:val="en-US"/>
        </w:rPr>
        <w:instrText>a</w:instrText>
      </w:r>
      <w:r w:rsidR="004810E5" w:rsidRPr="00E93A18">
        <w:rPr>
          <w:rFonts w:cs="Times New Roman"/>
          <w:szCs w:val="24"/>
        </w:rPr>
        <w:instrText>4</w:instrText>
      </w:r>
      <w:r w:rsidR="004810E5">
        <w:rPr>
          <w:rFonts w:cs="Times New Roman"/>
          <w:szCs w:val="24"/>
          <w:lang w:val="en-US"/>
        </w:rPr>
        <w:instrText>d</w:instrText>
      </w:r>
      <w:r w:rsidR="004810E5" w:rsidRPr="00E93A18">
        <w:rPr>
          <w:rFonts w:cs="Times New Roman"/>
          <w:szCs w:val="24"/>
        </w:rPr>
        <w:instrText>437-7</w:instrText>
      </w:r>
      <w:r w:rsidR="004810E5">
        <w:rPr>
          <w:rFonts w:cs="Times New Roman"/>
          <w:szCs w:val="24"/>
          <w:lang w:val="en-US"/>
        </w:rPr>
        <w:instrText>f</w:instrText>
      </w:r>
      <w:r w:rsidR="004810E5" w:rsidRPr="00E93A18">
        <w:rPr>
          <w:rFonts w:cs="Times New Roman"/>
          <w:szCs w:val="24"/>
        </w:rPr>
        <w:instrText>12-381</w:instrText>
      </w:r>
      <w:r w:rsidR="004810E5">
        <w:rPr>
          <w:rFonts w:cs="Times New Roman"/>
          <w:szCs w:val="24"/>
          <w:lang w:val="en-US"/>
        </w:rPr>
        <w:instrText>a</w:instrText>
      </w:r>
      <w:r w:rsidR="004810E5" w:rsidRPr="00E93A18">
        <w:rPr>
          <w:rFonts w:cs="Times New Roman"/>
          <w:szCs w:val="24"/>
        </w:rPr>
        <w:instrText>-</w:instrText>
      </w:r>
      <w:r w:rsidR="004810E5">
        <w:rPr>
          <w:rFonts w:cs="Times New Roman"/>
          <w:szCs w:val="24"/>
          <w:lang w:val="en-US"/>
        </w:rPr>
        <w:instrText>b</w:instrText>
      </w:r>
      <w:r w:rsidR="004810E5" w:rsidRPr="00E93A18">
        <w:rPr>
          <w:rFonts w:cs="Times New Roman"/>
          <w:szCs w:val="24"/>
        </w:rPr>
        <w:instrText>742-56143</w:instrText>
      </w:r>
      <w:r w:rsidR="004810E5">
        <w:rPr>
          <w:rFonts w:cs="Times New Roman"/>
          <w:szCs w:val="24"/>
          <w:lang w:val="en-US"/>
        </w:rPr>
        <w:instrText>dfb</w:instrText>
      </w:r>
      <w:r w:rsidR="004810E5" w:rsidRPr="00E93A18">
        <w:rPr>
          <w:rFonts w:cs="Times New Roman"/>
          <w:szCs w:val="24"/>
        </w:rPr>
        <w:instrText>3</w:instrText>
      </w:r>
      <w:r w:rsidR="004810E5">
        <w:rPr>
          <w:rFonts w:cs="Times New Roman"/>
          <w:szCs w:val="24"/>
          <w:lang w:val="en-US"/>
        </w:rPr>
        <w:instrText>da</w:instrText>
      </w:r>
      <w:r w:rsidR="004810E5" w:rsidRPr="00E93A18">
        <w:rPr>
          <w:rFonts w:cs="Times New Roman"/>
          <w:szCs w:val="24"/>
        </w:rPr>
        <w:instrText>9","</w:instrText>
      </w:r>
      <w:r w:rsidR="004810E5">
        <w:rPr>
          <w:rFonts w:cs="Times New Roman"/>
          <w:szCs w:val="24"/>
          <w:lang w:val="en-US"/>
        </w:rPr>
        <w:instrText>http</w:instrText>
      </w:r>
      <w:r w:rsidR="004810E5" w:rsidRPr="00E93A18">
        <w:rPr>
          <w:rFonts w:cs="Times New Roman"/>
          <w:szCs w:val="24"/>
        </w:rPr>
        <w:instrText>://</w:instrText>
      </w:r>
      <w:r w:rsidR="004810E5">
        <w:rPr>
          <w:rFonts w:cs="Times New Roman"/>
          <w:szCs w:val="24"/>
          <w:lang w:val="en-US"/>
        </w:rPr>
        <w:instrText>www</w:instrText>
      </w:r>
      <w:r w:rsidR="004810E5" w:rsidRPr="00E93A18">
        <w:rPr>
          <w:rFonts w:cs="Times New Roman"/>
          <w:szCs w:val="24"/>
        </w:rPr>
        <w:instrText>.</w:instrText>
      </w:r>
      <w:r w:rsidR="004810E5">
        <w:rPr>
          <w:rFonts w:cs="Times New Roman"/>
          <w:szCs w:val="24"/>
          <w:lang w:val="en-US"/>
        </w:rPr>
        <w:instrText>mendeley</w:instrText>
      </w:r>
      <w:r w:rsidR="004810E5" w:rsidRPr="00E93A18">
        <w:rPr>
          <w:rFonts w:cs="Times New Roman"/>
          <w:szCs w:val="24"/>
        </w:rPr>
        <w:instrText>.</w:instrText>
      </w:r>
      <w:r w:rsidR="004810E5">
        <w:rPr>
          <w:rFonts w:cs="Times New Roman"/>
          <w:szCs w:val="24"/>
          <w:lang w:val="en-US"/>
        </w:rPr>
        <w:instrText>com</w:instrText>
      </w:r>
      <w:r w:rsidR="004810E5" w:rsidRPr="00E93A18">
        <w:rPr>
          <w:rFonts w:cs="Times New Roman"/>
          <w:szCs w:val="24"/>
        </w:rPr>
        <w:instrText>/</w:instrText>
      </w:r>
      <w:r w:rsidR="004810E5">
        <w:rPr>
          <w:rFonts w:cs="Times New Roman"/>
          <w:szCs w:val="24"/>
          <w:lang w:val="en-US"/>
        </w:rPr>
        <w:instrText>documents</w:instrText>
      </w:r>
      <w:r w:rsidR="004810E5" w:rsidRPr="00E93A18">
        <w:rPr>
          <w:rFonts w:cs="Times New Roman"/>
          <w:szCs w:val="24"/>
        </w:rPr>
        <w:instrText>/?</w:instrText>
      </w:r>
      <w:r w:rsidR="004810E5">
        <w:rPr>
          <w:rFonts w:cs="Times New Roman"/>
          <w:szCs w:val="24"/>
          <w:lang w:val="en-US"/>
        </w:rPr>
        <w:instrText>uuid</w:instrText>
      </w:r>
      <w:r w:rsidR="004810E5" w:rsidRPr="00E93A18">
        <w:rPr>
          <w:rFonts w:cs="Times New Roman"/>
          <w:szCs w:val="24"/>
        </w:rPr>
        <w:instrText>=101407</w:instrText>
      </w:r>
      <w:r w:rsidR="004810E5">
        <w:rPr>
          <w:rFonts w:cs="Times New Roman"/>
          <w:szCs w:val="24"/>
          <w:lang w:val="en-US"/>
        </w:rPr>
        <w:instrText>b</w:instrText>
      </w:r>
      <w:r w:rsidR="004810E5" w:rsidRPr="00E93A18">
        <w:rPr>
          <w:rFonts w:cs="Times New Roman"/>
          <w:szCs w:val="24"/>
        </w:rPr>
        <w:instrText>9-4546-4</w:instrText>
      </w:r>
      <w:r w:rsidR="004810E5">
        <w:rPr>
          <w:rFonts w:cs="Times New Roman"/>
          <w:szCs w:val="24"/>
          <w:lang w:val="en-US"/>
        </w:rPr>
        <w:instrText>cbb</w:instrText>
      </w:r>
      <w:r w:rsidR="004810E5" w:rsidRPr="00E93A18">
        <w:rPr>
          <w:rFonts w:cs="Times New Roman"/>
          <w:szCs w:val="24"/>
        </w:rPr>
        <w:instrText>-9</w:instrText>
      </w:r>
      <w:r w:rsidR="004810E5">
        <w:rPr>
          <w:rFonts w:cs="Times New Roman"/>
          <w:szCs w:val="24"/>
          <w:lang w:val="en-US"/>
        </w:rPr>
        <w:instrText>ac</w:instrText>
      </w:r>
      <w:r w:rsidR="004810E5" w:rsidRPr="00E93A18">
        <w:rPr>
          <w:rFonts w:cs="Times New Roman"/>
          <w:szCs w:val="24"/>
        </w:rPr>
        <w:instrText>0-735</w:instrText>
      </w:r>
      <w:r w:rsidR="004810E5">
        <w:rPr>
          <w:rFonts w:cs="Times New Roman"/>
          <w:szCs w:val="24"/>
          <w:lang w:val="en-US"/>
        </w:rPr>
        <w:instrText>f</w:instrText>
      </w:r>
      <w:r w:rsidR="004810E5" w:rsidRPr="00E93A18">
        <w:rPr>
          <w:rFonts w:cs="Times New Roman"/>
          <w:szCs w:val="24"/>
        </w:rPr>
        <w:instrText>0</w:instrText>
      </w:r>
      <w:r w:rsidR="004810E5">
        <w:rPr>
          <w:rFonts w:cs="Times New Roman"/>
          <w:szCs w:val="24"/>
          <w:lang w:val="en-US"/>
        </w:rPr>
        <w:instrText>dacc</w:instrText>
      </w:r>
      <w:r w:rsidR="004810E5" w:rsidRPr="00E93A18">
        <w:rPr>
          <w:rFonts w:cs="Times New Roman"/>
          <w:szCs w:val="24"/>
        </w:rPr>
        <w:instrText>33</w:instrText>
      </w:r>
      <w:r w:rsidR="004810E5">
        <w:rPr>
          <w:rFonts w:cs="Times New Roman"/>
          <w:szCs w:val="24"/>
          <w:lang w:val="en-US"/>
        </w:rPr>
        <w:instrText>c</w:instrText>
      </w:r>
      <w:r w:rsidR="004810E5" w:rsidRPr="00E93A18">
        <w:rPr>
          <w:rFonts w:cs="Times New Roman"/>
          <w:szCs w:val="24"/>
        </w:rPr>
        <w:instrText>"]},{"</w:instrText>
      </w:r>
      <w:r w:rsidR="004810E5">
        <w:rPr>
          <w:rFonts w:cs="Times New Roman"/>
          <w:szCs w:val="24"/>
          <w:lang w:val="en-US"/>
        </w:rPr>
        <w:instrText>id</w:instrText>
      </w:r>
      <w:r w:rsidR="004810E5" w:rsidRPr="00E93A18">
        <w:rPr>
          <w:rFonts w:cs="Times New Roman"/>
          <w:szCs w:val="24"/>
        </w:rPr>
        <w:instrText>":"</w:instrText>
      </w:r>
      <w:r w:rsidR="004810E5">
        <w:rPr>
          <w:rFonts w:cs="Times New Roman"/>
          <w:szCs w:val="24"/>
          <w:lang w:val="en-US"/>
        </w:rPr>
        <w:instrText>ITEM</w:instrText>
      </w:r>
      <w:r w:rsidR="004810E5" w:rsidRPr="00E93A18">
        <w:rPr>
          <w:rFonts w:cs="Times New Roman"/>
          <w:szCs w:val="24"/>
        </w:rPr>
        <w:instrText>-2","</w:instrText>
      </w:r>
      <w:r w:rsidR="004810E5">
        <w:rPr>
          <w:rFonts w:cs="Times New Roman"/>
          <w:szCs w:val="24"/>
          <w:lang w:val="en-US"/>
        </w:rPr>
        <w:instrText>itemData</w:instrText>
      </w:r>
      <w:r w:rsidR="004810E5" w:rsidRPr="00E93A18">
        <w:rPr>
          <w:rFonts w:cs="Times New Roman"/>
          <w:szCs w:val="24"/>
        </w:rPr>
        <w:instrText>":{"</w:instrText>
      </w:r>
      <w:r w:rsidR="004810E5">
        <w:rPr>
          <w:rFonts w:cs="Times New Roman"/>
          <w:szCs w:val="24"/>
          <w:lang w:val="en-US"/>
        </w:rPr>
        <w:instrText>DOI</w:instrText>
      </w:r>
      <w:r w:rsidR="004810E5" w:rsidRPr="00E93A18">
        <w:rPr>
          <w:rFonts w:cs="Times New Roman"/>
          <w:szCs w:val="24"/>
        </w:rPr>
        <w:instrText>":"10.1038/</w:instrText>
      </w:r>
      <w:r w:rsidR="004810E5">
        <w:rPr>
          <w:rFonts w:cs="Times New Roman"/>
          <w:szCs w:val="24"/>
          <w:lang w:val="en-US"/>
        </w:rPr>
        <w:instrText>sj</w:instrText>
      </w:r>
      <w:r w:rsidR="004810E5" w:rsidRPr="00E93A18">
        <w:rPr>
          <w:rFonts w:cs="Times New Roman"/>
          <w:szCs w:val="24"/>
        </w:rPr>
        <w:instrText>.</w:instrText>
      </w:r>
      <w:r w:rsidR="004810E5">
        <w:rPr>
          <w:rFonts w:cs="Times New Roman"/>
          <w:szCs w:val="24"/>
          <w:lang w:val="en-US"/>
        </w:rPr>
        <w:instrText>bmt</w:instrText>
      </w:r>
      <w:r w:rsidR="004810E5" w:rsidRPr="00E93A18">
        <w:rPr>
          <w:rFonts w:cs="Times New Roman"/>
          <w:szCs w:val="24"/>
        </w:rPr>
        <w:instrText>.1705544","</w:instrText>
      </w:r>
      <w:r w:rsidR="004810E5">
        <w:rPr>
          <w:rFonts w:cs="Times New Roman"/>
          <w:szCs w:val="24"/>
          <w:lang w:val="en-US"/>
        </w:rPr>
        <w:instrText>ISSN</w:instrText>
      </w:r>
      <w:r w:rsidR="004810E5" w:rsidRPr="00E93A18">
        <w:rPr>
          <w:rFonts w:cs="Times New Roman"/>
          <w:szCs w:val="24"/>
        </w:rPr>
        <w:instrText>":"0268-3369","</w:instrText>
      </w:r>
      <w:r w:rsidR="004810E5">
        <w:rPr>
          <w:rFonts w:cs="Times New Roman"/>
          <w:szCs w:val="24"/>
          <w:lang w:val="en-US"/>
        </w:rPr>
        <w:instrText>PMID</w:instrText>
      </w:r>
      <w:r w:rsidR="004810E5" w:rsidRPr="00E93A18">
        <w:rPr>
          <w:rFonts w:cs="Times New Roman"/>
          <w:szCs w:val="24"/>
        </w:rPr>
        <w:instrText>":"17115062","</w:instrText>
      </w:r>
      <w:r w:rsidR="004810E5">
        <w:rPr>
          <w:rFonts w:cs="Times New Roman"/>
          <w:szCs w:val="24"/>
          <w:lang w:val="en-US"/>
        </w:rPr>
        <w:instrText>abstract</w:instrText>
      </w:r>
      <w:r w:rsidR="004810E5" w:rsidRPr="00E93A18">
        <w:rPr>
          <w:rFonts w:cs="Times New Roman"/>
          <w:szCs w:val="24"/>
        </w:rPr>
        <w:instrText>":"</w:instrText>
      </w:r>
      <w:r w:rsidR="004810E5">
        <w:rPr>
          <w:rFonts w:cs="Times New Roman"/>
          <w:szCs w:val="24"/>
          <w:lang w:val="en-US"/>
        </w:rPr>
        <w:instrText>High</w:instrText>
      </w:r>
      <w:r w:rsidR="004810E5" w:rsidRPr="00E93A18">
        <w:rPr>
          <w:rFonts w:cs="Times New Roman"/>
          <w:szCs w:val="24"/>
        </w:rPr>
        <w:instrText>-</w:instrText>
      </w:r>
      <w:r w:rsidR="004810E5">
        <w:rPr>
          <w:rFonts w:cs="Times New Roman"/>
          <w:szCs w:val="24"/>
          <w:lang w:val="en-US"/>
        </w:rPr>
        <w:instrText>dose</w:instrText>
      </w:r>
      <w:r w:rsidR="004810E5" w:rsidRPr="00E93A18">
        <w:rPr>
          <w:rFonts w:cs="Times New Roman"/>
          <w:szCs w:val="24"/>
        </w:rPr>
        <w:instrText xml:space="preserve"> </w:instrText>
      </w:r>
      <w:r w:rsidR="004810E5">
        <w:rPr>
          <w:rFonts w:cs="Times New Roman"/>
          <w:szCs w:val="24"/>
          <w:lang w:val="en-US"/>
        </w:rPr>
        <w:instrText>chemotherapy</w:instrText>
      </w:r>
      <w:r w:rsidR="004810E5" w:rsidRPr="00E93A18">
        <w:rPr>
          <w:rFonts w:cs="Times New Roman"/>
          <w:szCs w:val="24"/>
        </w:rPr>
        <w:instrText xml:space="preserve"> </w:instrText>
      </w:r>
      <w:r w:rsidR="004810E5">
        <w:rPr>
          <w:rFonts w:cs="Times New Roman"/>
          <w:szCs w:val="24"/>
          <w:lang w:val="en-US"/>
        </w:rPr>
        <w:instrText>followed</w:instrText>
      </w:r>
      <w:r w:rsidR="004810E5" w:rsidRPr="00E93A18">
        <w:rPr>
          <w:rFonts w:cs="Times New Roman"/>
          <w:szCs w:val="24"/>
        </w:rPr>
        <w:instrText xml:space="preserve"> </w:instrText>
      </w:r>
      <w:r w:rsidR="004810E5">
        <w:rPr>
          <w:rFonts w:cs="Times New Roman"/>
          <w:szCs w:val="24"/>
          <w:lang w:val="en-US"/>
        </w:rPr>
        <w:instrText>by</w:instrText>
      </w:r>
      <w:r w:rsidR="004810E5" w:rsidRPr="00E93A18">
        <w:rPr>
          <w:rFonts w:cs="Times New Roman"/>
          <w:szCs w:val="24"/>
        </w:rPr>
        <w:instrText xml:space="preserve"> </w:instrText>
      </w:r>
      <w:r w:rsidR="004810E5">
        <w:rPr>
          <w:rFonts w:cs="Times New Roman"/>
          <w:szCs w:val="24"/>
          <w:lang w:val="en-US"/>
        </w:rPr>
        <w:instrText>autologous</w:instrText>
      </w:r>
      <w:r w:rsidR="004810E5" w:rsidRPr="00E93A18">
        <w:rPr>
          <w:rFonts w:cs="Times New Roman"/>
          <w:szCs w:val="24"/>
        </w:rPr>
        <w:instrText xml:space="preserve"> </w:instrText>
      </w:r>
      <w:r w:rsidR="004810E5">
        <w:rPr>
          <w:rFonts w:cs="Times New Roman"/>
          <w:szCs w:val="24"/>
          <w:lang w:val="en-US"/>
        </w:rPr>
        <w:instrText>stem</w:instrText>
      </w:r>
      <w:r w:rsidR="004810E5" w:rsidRPr="00E93A18">
        <w:rPr>
          <w:rFonts w:cs="Times New Roman"/>
          <w:szCs w:val="24"/>
        </w:rPr>
        <w:instrText xml:space="preserve"> </w:instrText>
      </w:r>
      <w:r w:rsidR="004810E5">
        <w:rPr>
          <w:rFonts w:cs="Times New Roman"/>
          <w:szCs w:val="24"/>
          <w:lang w:val="en-US"/>
        </w:rPr>
        <w:instrText>cell</w:instrText>
      </w:r>
      <w:r w:rsidR="004810E5" w:rsidRPr="00E93A18">
        <w:rPr>
          <w:rFonts w:cs="Times New Roman"/>
          <w:szCs w:val="24"/>
        </w:rPr>
        <w:instrText xml:space="preserve"> </w:instrText>
      </w:r>
      <w:r w:rsidR="004810E5">
        <w:rPr>
          <w:rFonts w:cs="Times New Roman"/>
          <w:szCs w:val="24"/>
          <w:lang w:val="en-US"/>
        </w:rPr>
        <w:instrText>transplantation</w:instrText>
      </w:r>
      <w:r w:rsidR="004810E5" w:rsidRPr="00E93A18">
        <w:rPr>
          <w:rFonts w:cs="Times New Roman"/>
          <w:szCs w:val="24"/>
        </w:rPr>
        <w:instrText xml:space="preserve"> (</w:instrText>
      </w:r>
      <w:r w:rsidR="004810E5">
        <w:rPr>
          <w:rFonts w:cs="Times New Roman"/>
          <w:szCs w:val="24"/>
          <w:lang w:val="en-US"/>
        </w:rPr>
        <w:instrText>ASCT</w:instrText>
      </w:r>
      <w:r w:rsidR="004810E5" w:rsidRPr="00E93A18">
        <w:rPr>
          <w:rFonts w:cs="Times New Roman"/>
          <w:szCs w:val="24"/>
        </w:rPr>
        <w:instrText xml:space="preserve">) </w:instrText>
      </w:r>
      <w:r w:rsidR="004810E5">
        <w:rPr>
          <w:rFonts w:cs="Times New Roman"/>
          <w:szCs w:val="24"/>
          <w:lang w:val="en-US"/>
        </w:rPr>
        <w:instrText>is</w:instrText>
      </w:r>
      <w:r w:rsidR="004810E5" w:rsidRPr="00E93A18">
        <w:rPr>
          <w:rFonts w:cs="Times New Roman"/>
          <w:szCs w:val="24"/>
        </w:rPr>
        <w:instrText xml:space="preserve"> </w:instrText>
      </w:r>
      <w:r w:rsidR="004810E5">
        <w:rPr>
          <w:rFonts w:cs="Times New Roman"/>
          <w:szCs w:val="24"/>
          <w:lang w:val="en-US"/>
        </w:rPr>
        <w:instrText>a</w:instrText>
      </w:r>
      <w:r w:rsidR="004810E5" w:rsidRPr="00E93A18">
        <w:rPr>
          <w:rFonts w:cs="Times New Roman"/>
          <w:szCs w:val="24"/>
        </w:rPr>
        <w:instrText xml:space="preserve"> </w:instrText>
      </w:r>
      <w:r w:rsidR="004810E5">
        <w:rPr>
          <w:rFonts w:cs="Times New Roman"/>
          <w:szCs w:val="24"/>
          <w:lang w:val="en-US"/>
        </w:rPr>
        <w:instrText>recognized</w:instrText>
      </w:r>
      <w:r w:rsidR="004810E5" w:rsidRPr="00E93A18">
        <w:rPr>
          <w:rFonts w:cs="Times New Roman"/>
          <w:szCs w:val="24"/>
        </w:rPr>
        <w:instrText xml:space="preserve"> </w:instrText>
      </w:r>
      <w:r w:rsidR="004810E5">
        <w:rPr>
          <w:rFonts w:cs="Times New Roman"/>
          <w:szCs w:val="24"/>
          <w:lang w:val="en-US"/>
        </w:rPr>
        <w:instrText>treatment</w:instrText>
      </w:r>
      <w:r w:rsidR="004810E5" w:rsidRPr="00E93A18">
        <w:rPr>
          <w:rFonts w:cs="Times New Roman"/>
          <w:szCs w:val="24"/>
        </w:rPr>
        <w:instrText xml:space="preserve"> </w:instrText>
      </w:r>
      <w:r w:rsidR="004810E5">
        <w:rPr>
          <w:rFonts w:cs="Times New Roman"/>
          <w:szCs w:val="24"/>
          <w:lang w:val="en-US"/>
        </w:rPr>
        <w:instrText>option</w:instrText>
      </w:r>
      <w:r w:rsidR="004810E5" w:rsidRPr="00E93A18">
        <w:rPr>
          <w:rFonts w:cs="Times New Roman"/>
          <w:szCs w:val="24"/>
        </w:rPr>
        <w:instrText xml:space="preserve"> </w:instrText>
      </w:r>
      <w:r w:rsidR="004810E5">
        <w:rPr>
          <w:rFonts w:cs="Times New Roman"/>
          <w:szCs w:val="24"/>
          <w:lang w:val="en-US"/>
        </w:rPr>
        <w:instrText>for</w:instrText>
      </w:r>
      <w:r w:rsidR="004810E5" w:rsidRPr="00E93A18">
        <w:rPr>
          <w:rFonts w:cs="Times New Roman"/>
          <w:szCs w:val="24"/>
        </w:rPr>
        <w:instrText xml:space="preserve"> </w:instrText>
      </w:r>
      <w:r w:rsidR="004810E5">
        <w:rPr>
          <w:rFonts w:cs="Times New Roman"/>
          <w:szCs w:val="24"/>
          <w:lang w:val="en-US"/>
        </w:rPr>
        <w:instrText>patients</w:instrText>
      </w:r>
      <w:r w:rsidR="004810E5" w:rsidRPr="00E93A18">
        <w:rPr>
          <w:rFonts w:cs="Times New Roman"/>
          <w:szCs w:val="24"/>
        </w:rPr>
        <w:instrText xml:space="preserve"> </w:instrText>
      </w:r>
      <w:r w:rsidR="004810E5">
        <w:rPr>
          <w:rFonts w:cs="Times New Roman"/>
          <w:szCs w:val="24"/>
          <w:lang w:val="en-US"/>
        </w:rPr>
        <w:instrText>with</w:instrText>
      </w:r>
      <w:r w:rsidR="004810E5" w:rsidRPr="00E93A18">
        <w:rPr>
          <w:rFonts w:cs="Times New Roman"/>
          <w:szCs w:val="24"/>
        </w:rPr>
        <w:instrText xml:space="preserve"> </w:instrText>
      </w:r>
      <w:r w:rsidR="004810E5">
        <w:rPr>
          <w:rFonts w:cs="Times New Roman"/>
          <w:szCs w:val="24"/>
          <w:lang w:val="en-US"/>
        </w:rPr>
        <w:instrText>relapsed</w:instrText>
      </w:r>
      <w:r w:rsidR="004810E5" w:rsidRPr="00E93A18">
        <w:rPr>
          <w:rFonts w:cs="Times New Roman"/>
          <w:szCs w:val="24"/>
        </w:rPr>
        <w:instrText xml:space="preserve"> </w:instrText>
      </w:r>
      <w:r w:rsidR="004810E5">
        <w:rPr>
          <w:rFonts w:cs="Times New Roman"/>
          <w:szCs w:val="24"/>
          <w:lang w:val="en-US"/>
        </w:rPr>
        <w:instrText>Hodgkin</w:instrText>
      </w:r>
      <w:r w:rsidR="004810E5" w:rsidRPr="00E93A18">
        <w:rPr>
          <w:rFonts w:cs="Times New Roman"/>
          <w:szCs w:val="24"/>
        </w:rPr>
        <w:instrText>'</w:instrText>
      </w:r>
      <w:r w:rsidR="004810E5">
        <w:rPr>
          <w:rFonts w:cs="Times New Roman"/>
          <w:szCs w:val="24"/>
          <w:lang w:val="en-US"/>
        </w:rPr>
        <w:instrText>s</w:instrText>
      </w:r>
      <w:r w:rsidR="004810E5" w:rsidRPr="00E93A18">
        <w:rPr>
          <w:rFonts w:cs="Times New Roman"/>
          <w:szCs w:val="24"/>
        </w:rPr>
        <w:instrText xml:space="preserve"> </w:instrText>
      </w:r>
      <w:r w:rsidR="004810E5">
        <w:rPr>
          <w:rFonts w:cs="Times New Roman"/>
          <w:szCs w:val="24"/>
          <w:lang w:val="en-US"/>
        </w:rPr>
        <w:instrText>lymphoma</w:instrText>
      </w:r>
      <w:r w:rsidR="004810E5" w:rsidRPr="00E93A18">
        <w:rPr>
          <w:rFonts w:cs="Times New Roman"/>
          <w:szCs w:val="24"/>
        </w:rPr>
        <w:instrText xml:space="preserve">. </w:instrText>
      </w:r>
      <w:r w:rsidR="004810E5">
        <w:rPr>
          <w:rFonts w:cs="Times New Roman"/>
          <w:szCs w:val="24"/>
          <w:lang w:val="en-US"/>
        </w:rPr>
        <w:instrText>We</w:instrText>
      </w:r>
      <w:r w:rsidR="004810E5" w:rsidRPr="00E93A18">
        <w:rPr>
          <w:rFonts w:cs="Times New Roman"/>
          <w:szCs w:val="24"/>
        </w:rPr>
        <w:instrText xml:space="preserve"> </w:instrText>
      </w:r>
      <w:r w:rsidR="004810E5">
        <w:rPr>
          <w:rFonts w:cs="Times New Roman"/>
          <w:szCs w:val="24"/>
          <w:lang w:val="en-US"/>
        </w:rPr>
        <w:instrText>have</w:instrText>
      </w:r>
      <w:r w:rsidR="004810E5" w:rsidRPr="00E93A18">
        <w:rPr>
          <w:rFonts w:cs="Times New Roman"/>
          <w:szCs w:val="24"/>
        </w:rPr>
        <w:instrText xml:space="preserve"> </w:instrText>
      </w:r>
      <w:r w:rsidR="004810E5">
        <w:rPr>
          <w:rFonts w:cs="Times New Roman"/>
          <w:szCs w:val="24"/>
          <w:lang w:val="en-US"/>
        </w:rPr>
        <w:instrText>analysed</w:instrText>
      </w:r>
      <w:r w:rsidR="004810E5" w:rsidRPr="00E93A18">
        <w:rPr>
          <w:rFonts w:cs="Times New Roman"/>
          <w:szCs w:val="24"/>
        </w:rPr>
        <w:instrText xml:space="preserve"> 67 </w:instrText>
      </w:r>
      <w:r w:rsidR="004810E5">
        <w:rPr>
          <w:rFonts w:cs="Times New Roman"/>
          <w:szCs w:val="24"/>
          <w:lang w:val="en-US"/>
        </w:rPr>
        <w:instrText>patients</w:instrText>
      </w:r>
      <w:r w:rsidR="004810E5" w:rsidRPr="00E93A18">
        <w:rPr>
          <w:rFonts w:cs="Times New Roman"/>
          <w:szCs w:val="24"/>
        </w:rPr>
        <w:instrText xml:space="preserve"> </w:instrText>
      </w:r>
      <w:r w:rsidR="004810E5">
        <w:rPr>
          <w:rFonts w:cs="Times New Roman"/>
          <w:szCs w:val="24"/>
          <w:lang w:val="en-US"/>
        </w:rPr>
        <w:instrText>who</w:instrText>
      </w:r>
      <w:r w:rsidR="004810E5" w:rsidRPr="00E93A18">
        <w:rPr>
          <w:rFonts w:cs="Times New Roman"/>
          <w:szCs w:val="24"/>
        </w:rPr>
        <w:instrText xml:space="preserve"> </w:instrText>
      </w:r>
      <w:r w:rsidR="004810E5">
        <w:rPr>
          <w:rFonts w:cs="Times New Roman"/>
          <w:szCs w:val="24"/>
          <w:lang w:val="en-US"/>
        </w:rPr>
        <w:instrText>underwent</w:instrText>
      </w:r>
      <w:r w:rsidR="004810E5" w:rsidRPr="00E93A18">
        <w:rPr>
          <w:rFonts w:cs="Times New Roman"/>
          <w:szCs w:val="24"/>
        </w:rPr>
        <w:instrText xml:space="preserve"> </w:instrText>
      </w:r>
      <w:r w:rsidR="004810E5">
        <w:rPr>
          <w:rFonts w:cs="Times New Roman"/>
          <w:szCs w:val="24"/>
          <w:lang w:val="en-US"/>
        </w:rPr>
        <w:instrText>ASCT</w:instrText>
      </w:r>
      <w:r w:rsidR="004810E5" w:rsidRPr="00E93A18">
        <w:rPr>
          <w:rFonts w:cs="Times New Roman"/>
          <w:szCs w:val="24"/>
        </w:rPr>
        <w:instrText xml:space="preserve"> </w:instrText>
      </w:r>
      <w:r w:rsidR="004810E5">
        <w:rPr>
          <w:rFonts w:cs="Times New Roman"/>
          <w:szCs w:val="24"/>
          <w:lang w:val="en-US"/>
        </w:rPr>
        <w:instrText>after</w:instrText>
      </w:r>
      <w:r w:rsidR="004810E5" w:rsidRPr="00E93A18">
        <w:rPr>
          <w:rFonts w:cs="Times New Roman"/>
          <w:szCs w:val="24"/>
        </w:rPr>
        <w:instrText xml:space="preserve"> </w:instrText>
      </w:r>
      <w:r w:rsidR="004810E5">
        <w:rPr>
          <w:rFonts w:cs="Times New Roman"/>
          <w:szCs w:val="24"/>
          <w:lang w:val="en-US"/>
        </w:rPr>
        <w:instrText>LACE</w:instrText>
      </w:r>
      <w:r w:rsidR="004810E5" w:rsidRPr="00E93A18">
        <w:rPr>
          <w:rFonts w:cs="Times New Roman"/>
          <w:szCs w:val="24"/>
        </w:rPr>
        <w:instrText xml:space="preserve"> (</w:instrText>
      </w:r>
      <w:r w:rsidR="004810E5">
        <w:rPr>
          <w:rFonts w:cs="Times New Roman"/>
          <w:szCs w:val="24"/>
          <w:lang w:val="en-US"/>
        </w:rPr>
        <w:instrText>lomustine</w:instrText>
      </w:r>
      <w:r w:rsidR="004810E5" w:rsidRPr="00E93A18">
        <w:rPr>
          <w:rFonts w:cs="Times New Roman"/>
          <w:szCs w:val="24"/>
        </w:rPr>
        <w:instrText xml:space="preserve"> (</w:instrText>
      </w:r>
      <w:r w:rsidR="004810E5">
        <w:rPr>
          <w:rFonts w:cs="Times New Roman"/>
          <w:szCs w:val="24"/>
          <w:lang w:val="en-US"/>
        </w:rPr>
        <w:instrText>CCNU</w:instrText>
      </w:r>
      <w:r w:rsidR="004810E5" w:rsidRPr="00E93A18">
        <w:rPr>
          <w:rFonts w:cs="Times New Roman"/>
          <w:szCs w:val="24"/>
        </w:rPr>
        <w:instrText xml:space="preserve">), </w:instrText>
      </w:r>
      <w:r w:rsidR="004810E5">
        <w:rPr>
          <w:rFonts w:cs="Times New Roman"/>
          <w:szCs w:val="24"/>
          <w:lang w:val="en-US"/>
        </w:rPr>
        <w:instrText>cytarabine</w:instrText>
      </w:r>
      <w:r w:rsidR="004810E5" w:rsidRPr="00E93A18">
        <w:rPr>
          <w:rFonts w:cs="Times New Roman"/>
          <w:szCs w:val="24"/>
        </w:rPr>
        <w:instrText xml:space="preserve"> (</w:instrText>
      </w:r>
      <w:r w:rsidR="004810E5">
        <w:rPr>
          <w:rFonts w:cs="Times New Roman"/>
          <w:szCs w:val="24"/>
          <w:lang w:val="en-US"/>
        </w:rPr>
        <w:instrText>Ara</w:instrText>
      </w:r>
      <w:r w:rsidR="004810E5" w:rsidRPr="00E93A18">
        <w:rPr>
          <w:rFonts w:cs="Times New Roman"/>
          <w:szCs w:val="24"/>
        </w:rPr>
        <w:instrText>-</w:instrText>
      </w:r>
      <w:r w:rsidR="004810E5">
        <w:rPr>
          <w:rFonts w:cs="Times New Roman"/>
          <w:szCs w:val="24"/>
          <w:lang w:val="en-US"/>
        </w:rPr>
        <w:instrText>C</w:instrText>
      </w:r>
      <w:r w:rsidR="004810E5" w:rsidRPr="00E93A18">
        <w:rPr>
          <w:rFonts w:cs="Times New Roman"/>
          <w:szCs w:val="24"/>
        </w:rPr>
        <w:instrText xml:space="preserve">), </w:instrText>
      </w:r>
      <w:r w:rsidR="004810E5">
        <w:rPr>
          <w:rFonts w:cs="Times New Roman"/>
          <w:szCs w:val="24"/>
          <w:lang w:val="en-US"/>
        </w:rPr>
        <w:instrText>cyclophosphamide</w:instrText>
      </w:r>
      <w:r w:rsidR="004810E5" w:rsidRPr="00E93A18">
        <w:rPr>
          <w:rFonts w:cs="Times New Roman"/>
          <w:szCs w:val="24"/>
        </w:rPr>
        <w:instrText xml:space="preserve">, </w:instrText>
      </w:r>
      <w:r w:rsidR="004810E5">
        <w:rPr>
          <w:rFonts w:cs="Times New Roman"/>
          <w:szCs w:val="24"/>
          <w:lang w:val="en-US"/>
        </w:rPr>
        <w:instrText>etoposide</w:instrText>
      </w:r>
      <w:r w:rsidR="004810E5" w:rsidRPr="00E93A18">
        <w:rPr>
          <w:rFonts w:cs="Times New Roman"/>
          <w:szCs w:val="24"/>
        </w:rPr>
        <w:instrText xml:space="preserve">) </w:instrText>
      </w:r>
      <w:r w:rsidR="004810E5">
        <w:rPr>
          <w:rFonts w:cs="Times New Roman"/>
          <w:szCs w:val="24"/>
          <w:lang w:val="en-US"/>
        </w:rPr>
        <w:instrText>conditioning</w:instrText>
      </w:r>
      <w:r w:rsidR="004810E5" w:rsidRPr="00E93A18">
        <w:rPr>
          <w:rFonts w:cs="Times New Roman"/>
          <w:szCs w:val="24"/>
        </w:rPr>
        <w:instrText xml:space="preserve"> </w:instrText>
      </w:r>
      <w:r w:rsidR="004810E5">
        <w:rPr>
          <w:rFonts w:cs="Times New Roman"/>
          <w:szCs w:val="24"/>
          <w:lang w:val="en-US"/>
        </w:rPr>
        <w:instrText>for</w:instrText>
      </w:r>
      <w:r w:rsidR="004810E5" w:rsidRPr="00E93A18">
        <w:rPr>
          <w:rFonts w:cs="Times New Roman"/>
          <w:szCs w:val="24"/>
        </w:rPr>
        <w:instrText xml:space="preserve"> </w:instrText>
      </w:r>
      <w:r w:rsidR="004810E5">
        <w:rPr>
          <w:rFonts w:cs="Times New Roman"/>
          <w:szCs w:val="24"/>
          <w:lang w:val="en-US"/>
        </w:rPr>
        <w:instrText>relapsed</w:instrText>
      </w:r>
      <w:r w:rsidR="004810E5" w:rsidRPr="00E93A18">
        <w:rPr>
          <w:rFonts w:cs="Times New Roman"/>
          <w:szCs w:val="24"/>
        </w:rPr>
        <w:instrText xml:space="preserve"> (</w:instrText>
      </w:r>
      <w:r w:rsidR="004810E5">
        <w:rPr>
          <w:rFonts w:cs="Times New Roman"/>
          <w:szCs w:val="24"/>
          <w:lang w:val="en-US"/>
        </w:rPr>
        <w:instrText>n</w:instrText>
      </w:r>
      <w:r w:rsidR="004810E5" w:rsidRPr="00E93A18">
        <w:rPr>
          <w:rFonts w:cs="Times New Roman"/>
          <w:szCs w:val="24"/>
        </w:rPr>
        <w:instrText xml:space="preserve">=61) </w:instrText>
      </w:r>
      <w:r w:rsidR="004810E5">
        <w:rPr>
          <w:rFonts w:cs="Times New Roman"/>
          <w:szCs w:val="24"/>
          <w:lang w:val="en-US"/>
        </w:rPr>
        <w:instrText>or</w:instrText>
      </w:r>
      <w:r w:rsidR="004810E5" w:rsidRPr="00E93A18">
        <w:rPr>
          <w:rFonts w:cs="Times New Roman"/>
          <w:szCs w:val="24"/>
        </w:rPr>
        <w:instrText xml:space="preserve"> </w:instrText>
      </w:r>
      <w:r w:rsidR="004810E5">
        <w:rPr>
          <w:rFonts w:cs="Times New Roman"/>
          <w:szCs w:val="24"/>
          <w:lang w:val="en-US"/>
        </w:rPr>
        <w:instrText>primary</w:instrText>
      </w:r>
      <w:r w:rsidR="004810E5" w:rsidRPr="00E93A18">
        <w:rPr>
          <w:rFonts w:cs="Times New Roman"/>
          <w:szCs w:val="24"/>
        </w:rPr>
        <w:instrText xml:space="preserve"> </w:instrText>
      </w:r>
      <w:r w:rsidR="004810E5">
        <w:rPr>
          <w:rFonts w:cs="Times New Roman"/>
          <w:szCs w:val="24"/>
          <w:lang w:val="en-US"/>
        </w:rPr>
        <w:instrText>refractory (n=6) Hodgkin's lymphoma. The 100-day treatment-related mortality was 3%. With a median follow-up of 67 months (range 3.3-161.0) the probabilities of overall survival (OS) and progression-free survival (PFS) at 5 years were 68 and 64%, respectively. Probabilities for OS and PFS at 5 years for patients with chemosensitive relapse (n=40) were 81 and 78% versus 50 and 35%, respectively, for patients (n=27) with chemoresistant relapse (P=0.012 for OS, P=0.002 for PFS). In multivariate analysis mixed cellularity classical or lymphocyte-depleted classical histology subtype and haemoglobin level of 10 g/dl or less at the time of ASCT were identified as risk factors for worse OS, whereas stage III or IV disease at diagnosis and disease status at ASCT other than complete or partial remission predicted inferior PFS. LACE followed by ASCT is an effective treatment for the majority of patients with chemosensitive relapsed Hodgkin's lymphoma and a proportion of chemorefractory patients also benefit.","author":[{"dropping-particle":"","family":"Perz","given":"J B","non-dropping-particle":"","parse-names":false,"suffix":""},{"dropping-particle":"","family":"Giles","given":"C","non-dropping-particle":"","parse-names":false,"suffix":""},{"dropping-particle":"","family":"Szydlo","given":"R","non-dropping-particle":"","parse-names":false,"suffix":""},{"dropping-particle":"","family":"O'Shea","given":"D","non-dropping-particle":"","parse-names":false,"suffix":""},{"dropping-particle":"","family":"Sanz","given":"J","non-dropping-particle":"","parse-names":false,"suffix":""},{"dropping-particle":"","family":"Chaidos","given":"A","non-dropping-particle":"","parse-names":false,"suffix":""},{"dropping-particle":"","family":"Wagner","given":"S","non-dropping-particle":"","parse-names":false,"suffix":""},{"dropping-particle":"","family":"Davis","given":"J","non-dropping-particle":"","parse-names":false,"suffix":""},{"dropping-particle":"","family":"Loaiza","given":"S","non-dropping-particle":"","parse-names":false,"suffix":""},{"dropping-particle":"","family":"Marin","given":"D","non-dropping-particle":"","parse-names":false,"suffix":""},{"dropping-particle":"","family":"Apperley","given":"J","non-dropping-particle":"","parse-names":false,"suffix":""},{"dropping-particle":"","family":"Olavarria","given":"E","non-dropping-particle":"","parse-names":false,"suffix":""},{"dropping-particle":"","family":"Rahemtulla","given":"A","non-dropping-particle":"","parse-names":false,"suffix":""},{"dropping-particle":"","family":"Lampert","given":"I","non-dropping-particle":"","parse-names":false,"suffix":""},{"dropping-particle":"","family":"Naresh","given":"K","non-dropping-particle":"","parse-names":false,"suffix":""},{"dropping-particle":"","family":"Samson","given":"D","non-dropping-particle":"","parse-names":false,"suffix":""},{"dropping-particle":"","family":"MacDonald","given":"D","non-dropping-particle":"","parse-names":false,"suffix":""},{"dropping-particle":"","family":"Kanfer","given":"E J","non-dropping-particle":"","parse-names":false,"suffix":""}],"container-title":"Bone marrow transplantation","id":"ITEM-2","issue":"1","issued":{"date-parts":[["2007","1"]]},"page":"41-7","publisher":"Bone Marrow Transplant","title":"LACE-conditioned autologous stem cell transplantation for relapsed or refractory Hodgkin's lymphoma: treatment outcome and risk factor analysis in 67 patients from a single centre.","type":"article-journal","volume":"39"},"uris":["http://www.mendeley.com/documents/?uuid=a8c80dd3-9f3f-3bd3-8ad8-c4b068fdf579","http://www.mendeley.com/documents/?uuid=1b0196ad-e3d1-415d-9222-3686ef87b016"]},{"id":"ITEM-3","itemData":{"DOI":"10.6002/ect.2011.0092","ISSN":"2146-8427","PMID":"22432762","abstract":"OBJECTIVES A BEAM regimen including carmustine (BiCNU: bis-chloroethyl nitrosourea), etoposide, cytarabine (cytosine arabinoside), and melphalan is a widely used conditioning regimen for autologous stem cell transplant in patients with Hodgkin lymphoma. We report the results of noncryopreserved autologous stem cell transplant of 45 patients with Hodgkin lymphoma given an alternative regimen, modified BEAM-like regimen (CEAM regimen: lomustine, etoposide, cytarabine, and melphalan), in which carmustine (BiCNU IV) was substituted by oral lomustine (CCNU: 2 chloroethyl cyclohexyl nitrosourea). PATIENTS AND METHODS Forty-five eligible patients with relapsed/refractory Hodgkin lymphoma were consecutively enrolled and underwent conditioning regimen with BEAM-like regimen protocol as follows: Lomustine 200 mg/m(2) on day -3; etoposide 1000 mg/m(2) on day -3 and -2; cytarabine 1000 mg/m(2) on days -3, -2; and Melphalan 140 mg/m(2) on day -1. RESULTS All 45 patients showed engraftment of infused stem cell, and there was no graft failure in the study group. The median mononuclear cell dose was 3.4 × 10(8). The median time to absolute neutrophil count &gt; 0.5 × 10(9)/L was 11 days, and the median time to platelet count &gt; 20 × 10(9) was 14 days. Grade 2 and grade 3 mucositis was seen in 64.5% our patients. Transplant-related mortality at 100 days occurred in 1 patient (2.2%). With a median follow-up of 27 months, median disease-free survival was 20 months, mean overall survival was 27 months, and median overall survival has not yet been reached. CONCLUSIONS These data demonstrate the safety and feasibility of BEAM-like regimen as a new and modified regimen; longer follow-up is required to evaluate fully efficacy and long-term safety of our method.","author":[{"dropping-particle":"","family":"Ramzi","given":"Mani","non-dropping-particle":"","parse-names":false,"suffix":""},{"dropping-particle":"","family":"Mohamadian","given":"Mohsen","non-dropping-particle":"","parse-names":false,"suffix":""},{"dropping-particle":"","family":"Vojdani","given":"Reza","non-dropping-particle":"","parse-names":false,"suffix":""},{"dropping-particle":"","family":"Dehghani","given":"Mehdi","non-dropping-particle":"","parse-names":false,"suffix":""},{"dropping-particle":"","family":"Nourani","given":"Habib","non-dropping-particle":"","parse-names":false,"suffix":""},{"dropping-particle":"","family":"Zakerinia","given":"Maryam","non-dropping-particle":"","parse-names":false,"suffix":""},{"dropping-particle":"","family":"Haghighinejad","given":"Hoorvash","non-dropping-particle":"","parse-names":false,"suffix":""}],"container-title":"Experimental and clinical transplantation : official journal of the Middle East Society for Organ Transplantation","id":"ITEM-3","issue":"2","issued":{"date-parts":[["2012","4"]]},"page":"163-7","publisher":"Exp Clin Transplant","title":"Autologous noncryopreserved hematopoietic stem cell transplant with CEAM as a modified conditioning regimen in patients with Hodgkin lymphoma: a single-center experience with a new protocol.","type":"article-journal","volume":"10"},"uris":["http://www.mendeley.com/documents/?uuid=4fa47866-15e7-323f-bafd-68fc7216a752","http://www.mendeley.com/documents/?uuid=9ca20e06-5e69-4a38-956e-4d81d8214f0a"]},{"id":"ITEM-4","itemData":{"DOI":"10.3389/fonc.2019.00892","ISSN":"2234-943X","PMID":"31552193","abstract":"High-dose chemotherapy (HDT) followed by autologous hematopoietic stem cell transplantation (ASCT) is widely used in patients with malignant lymphomas. In Europe over 8,000 ASCTs for lymphoma were performed out of a total of 40,000 transplants according to the European Bone Marrow Transplant (EBMT) activity survey in 2017. ASCT is considered the standard treatment for eligible patients failing to achieve remission after first line chemotherapy or patients with relapsed or refractory lymphomas, including classical Hodkin's lymphoma, diffuse large B-cell lymphoma, mantle cell lymphoma, and follicular lymphoma, as well as consolidation therapy in first remission in mantle cell lymphoma. BEAM (BCNU/carmustine, etoposide, cytarabine, and melphalan) is the most commonly used conditioning regimen for ASCT in patients with relapsed/refractory (R/R) lymphomas in Europe, whereas the CBV (cyclophosphamide, BCNU, and etoposide) regimen is also widely used in North America. Recently, concerns regarding BCNU toxicity as well as restricted availability of BCNU and melphalan has determined an increasing number of transplant centers to use alternative conditioning regimens. Currently, only a few comparative studies, most of them retrospective, between different conditioning protocols regarding efficacy and toxicity have been published. Thus, in the current manuscript, we report the experience of 2 transplant centers in ASCT in R/R lymphomas with three types of conditioning: BEAM, CLV (cyclophosphamide, lomustine, etoposide) and LEAM (lomustine, etoposide, cytarabine, and melphalan), with the aim to evaluate the results of alternative conditioning regimens using lomustine (LEAM and CLV) and compare them with the standard BEAM regarding early toxicity, engraftment, and transplant related mortality (TRM). All patients developed grade IV neutropenia, anemia with/without transfusion necessity. Severe thrombocytopenia with transfusion requirements is reported in most cases. Median time to platelet engraftment and neutrophil engraftment was 13 days (range) and 10 days (range), respectively. Gastrointestinal toxicity was the most common non-hematologic toxicity after all three conditioning regimens. Oral mucositis in various grades from I to IV was diagnosed in most cases. Other side effects include vomiting, diarrhea, colitis, and skin rash but with low severity grades. For the LEAM arm, one patient died after transplant, before engrafting, one patient didn't achieve platelet …","author":[{"dropping-particle":"","family":"Colita","given":"Andrei","non-dropping-particle":"","parse-names":false,"suffix":""},{"dropping-particle":"","family":"Colita","given":"Anca","non-dropping-particle":"","parse-names":false,"suffix":""},{"dropping-particle":"","family":"Bumbea","given":"Horia","non-dropping-particle":"","parse-names":false,"suffix":""},{"dropping-particle":"","family":"Croitoru","given":"Adina","non-dropping-particle":"","parse-names":false,"suffix":""},{"dropping-particle":"","family":"Orban","given":"Carmen","non-dropping-particle":"","parse-names":false,"suffix":""},{"dropping-particle":"","family":"Lipan","given":"Lavinia Eugenia","non-dropping-particle":"","parse-names":false,"suffix":""},{"dropping-particle":"","family":"Craciun","given":"Oana-Gabriela","non-dropping-particle":"","parse-names":false,"suffix":""},{"dropping-particle":"","family":"Soare","given":"Dan","non-dropping-particle":"","parse-names":false,"suffix":""},{"dropping-particle":"","family":"Ghimici","given":"Cecilia","non-dropping-particle":"","parse-names":false,"suffix":""},{"dropping-particle":"","family":"Manolache","given":"Raluca","non-dropping-particle":"","parse-names":false,"suffix":""},{"dropping-particle":"","family":"Gelatu","given":"Ionel","non-dropping-particle":"","parse-names":false,"suffix":""},{"dropping-particle":"","family":"Vladareanu","given":"Ana-Maria","non-dropping-particle":"","parse-names":false,"suffix":""},{"dropping-particle":"","family":"Pasca","given":"Sergiu","non-dropping-particle":"","parse-names":false,"suffix":""},{"dropping-particle":"","family":"Teodorescu","given":"Patric","non-dropping-particle":"","parse-names":false,"suffix":""},{"dropping-particle":"","family":"Dima","given":"Delia","non-dropping-particle":"","parse-names":false,"suffix":""},{"dropping-particle":"","family":"Lupu","given":"Anca","non-dropping-particle":"","parse-names":false,"suffix":""},{"dropping-particle":"","family":"Coriu","given":"Daniel","non-dropping-particle":"","parse-names":false,"suffix":""},{"dropping-particle":"","family":"Tomuleasa","given":"Ciprian","non-dropping-particle":"","parse-names":false,"suffix":""},{"dropping-particle":"","family":"Tanase","given":"Alina","non-dropping-particle":"","parse-names":false,"suffix":""}],"container-title":"Frontiers in oncology","id":"ITEM-4","issued":{"date-parts":[["2019","9"]]},"page":"892","title":"LEAM vs. BEAM vs. CLV Conditioning Regimen for Autologous Stem Cell Transplantation in Malignant Lymphomas. Retrospective Comparison of Toxicity and Efficacy on 222 Patients in the First 100 Days After Transplant, On Behalf of the Romanian Society for Bon","type":"article-journal","volume":"9"},"uris":["http://www.mendeley.com/documents/?uuid=1a8d312b-cff1-42d2-81dd-d36c0430abd5","http://www.mendeley.com/documents/?uuid=ad47bb84-1f12-3f23-9753-d1c2161ab990"]},{"id":"ITEM-5","itemData":{"ISBN":"9783030022778","author":[{"dropping-particle":"","family":"Enric Carreras","given":"Dufour Carlo","non-dropping-particle":"","parse-names":false,"suffix":""},{"dropping-particle":"","family":"Mohty Mohamad","given":"Kröger Nicolaus","non-dropping-particle":"","parse-names":false,"suffix":""}],"id":"ITEM-5","issued":{"date-parts":[["2019"]]},"number-of-pages":"702","title":"Hematopoietic Stem Cell Transplantation and Cellular Therapies","type":"book"},"uris":["http://www.mendeley.com/documents/?uuid=b2895edd-cfbd-4cbf-8d9b-e50422d61d71","http://www.mendeley.com/documents/?uuid=891fa663-7797-4301-8893-3b0a5d75b173","http://www.mendeley.com/documents/?uuid=a3640929-94cd-4fb4-896e-6145e0e14c8e"]}],"mendeley":{"formattedCitation":"[184,188–191]","plainTextFormattedCitation":"[184,188–191]","previouslyFormattedCitation":"[184,188–191]"},"properties":{"noteIndex":0},"schema":"https://github.com/citation-style-language/schema/raw/master/csl-citation.json"}</w:instrText>
      </w:r>
      <w:r w:rsidRPr="00E242EE">
        <w:rPr>
          <w:rFonts w:cs="Times New Roman"/>
          <w:szCs w:val="24"/>
        </w:rPr>
        <w:fldChar w:fldCharType="separate"/>
      </w:r>
      <w:r w:rsidR="004810E5" w:rsidRPr="004810E5">
        <w:rPr>
          <w:rFonts w:cs="Times New Roman"/>
          <w:noProof/>
          <w:szCs w:val="24"/>
        </w:rPr>
        <w:t>[184,188–191]</w:t>
      </w:r>
      <w:r w:rsidRPr="00E242EE">
        <w:rPr>
          <w:rFonts w:cs="Times New Roman"/>
          <w:szCs w:val="24"/>
        </w:rPr>
        <w:fldChar w:fldCharType="end"/>
      </w:r>
    </w:p>
    <w:tbl>
      <w:tblPr>
        <w:tblStyle w:val="aff9"/>
        <w:tblW w:w="0" w:type="auto"/>
        <w:tblInd w:w="108" w:type="dxa"/>
        <w:tblLayout w:type="fixed"/>
        <w:tblLook w:val="04A0" w:firstRow="1" w:lastRow="0" w:firstColumn="1" w:lastColumn="0" w:noHBand="0" w:noVBand="1"/>
      </w:tblPr>
      <w:tblGrid>
        <w:gridCol w:w="1418"/>
        <w:gridCol w:w="1701"/>
        <w:gridCol w:w="1134"/>
        <w:gridCol w:w="1276"/>
        <w:gridCol w:w="1275"/>
        <w:gridCol w:w="2659"/>
      </w:tblGrid>
      <w:tr w:rsidR="0075793D" w:rsidRPr="00BA4F0F" w14:paraId="2121FD87" w14:textId="77777777" w:rsidTr="002D3EBF">
        <w:tc>
          <w:tcPr>
            <w:tcW w:w="1418" w:type="dxa"/>
          </w:tcPr>
          <w:p w14:paraId="76CB9C21" w14:textId="77777777" w:rsidR="0075793D" w:rsidRPr="007A7C4E" w:rsidRDefault="0075793D" w:rsidP="00E242EE">
            <w:pPr>
              <w:pStyle w:val="afe"/>
              <w:ind w:left="0" w:firstLine="0"/>
              <w:rPr>
                <w:rFonts w:cs="Times New Roman"/>
                <w:szCs w:val="24"/>
              </w:rPr>
            </w:pPr>
            <w:r w:rsidRPr="00BA4F0F">
              <w:rPr>
                <w:rFonts w:cs="Times New Roman"/>
                <w:szCs w:val="24"/>
              </w:rPr>
              <w:t>Препарат</w:t>
            </w:r>
          </w:p>
        </w:tc>
        <w:tc>
          <w:tcPr>
            <w:tcW w:w="1701" w:type="dxa"/>
          </w:tcPr>
          <w:p w14:paraId="7C319D37" w14:textId="77777777" w:rsidR="0075793D" w:rsidRPr="007A7C4E" w:rsidRDefault="0075793D" w:rsidP="00E242EE">
            <w:pPr>
              <w:pStyle w:val="afe"/>
              <w:ind w:left="0" w:firstLine="0"/>
              <w:rPr>
                <w:rFonts w:cs="Times New Roman"/>
                <w:szCs w:val="24"/>
              </w:rPr>
            </w:pPr>
            <w:r w:rsidRPr="00BA4F0F">
              <w:rPr>
                <w:rFonts w:cs="Times New Roman"/>
                <w:szCs w:val="24"/>
              </w:rPr>
              <w:t>Дни</w:t>
            </w:r>
            <w:r w:rsidRPr="007A7C4E">
              <w:rPr>
                <w:rFonts w:cs="Times New Roman"/>
                <w:szCs w:val="24"/>
              </w:rPr>
              <w:t xml:space="preserve"> </w:t>
            </w:r>
            <w:r w:rsidRPr="00BA4F0F">
              <w:rPr>
                <w:rFonts w:cs="Times New Roman"/>
                <w:szCs w:val="24"/>
              </w:rPr>
              <w:t>введения</w:t>
            </w:r>
            <w:r w:rsidRPr="007A7C4E">
              <w:rPr>
                <w:rFonts w:cs="Times New Roman"/>
                <w:szCs w:val="24"/>
              </w:rPr>
              <w:t xml:space="preserve"> </w:t>
            </w:r>
            <w:r w:rsidRPr="00BA4F0F">
              <w:rPr>
                <w:rFonts w:cs="Times New Roman"/>
                <w:szCs w:val="24"/>
              </w:rPr>
              <w:t>перед</w:t>
            </w:r>
            <w:r w:rsidRPr="007A7C4E">
              <w:rPr>
                <w:rFonts w:cs="Times New Roman"/>
                <w:szCs w:val="24"/>
              </w:rPr>
              <w:t xml:space="preserve"> </w:t>
            </w:r>
            <w:r w:rsidRPr="00BA4F0F">
              <w:rPr>
                <w:rFonts w:cs="Times New Roman"/>
                <w:szCs w:val="24"/>
              </w:rPr>
              <w:t>ауто</w:t>
            </w:r>
            <w:r w:rsidRPr="007A7C4E">
              <w:rPr>
                <w:rFonts w:cs="Times New Roman"/>
                <w:szCs w:val="24"/>
              </w:rPr>
              <w:t>-</w:t>
            </w:r>
            <w:r w:rsidRPr="00BA4F0F">
              <w:rPr>
                <w:rFonts w:cs="Times New Roman"/>
                <w:szCs w:val="24"/>
              </w:rPr>
              <w:t>ТГСК</w:t>
            </w:r>
          </w:p>
        </w:tc>
        <w:tc>
          <w:tcPr>
            <w:tcW w:w="1134" w:type="dxa"/>
          </w:tcPr>
          <w:p w14:paraId="1669314E" w14:textId="77777777" w:rsidR="0075793D" w:rsidRPr="007A7C4E" w:rsidRDefault="0075793D" w:rsidP="00E242EE">
            <w:pPr>
              <w:pStyle w:val="afe"/>
              <w:ind w:left="0" w:firstLine="0"/>
              <w:rPr>
                <w:rFonts w:cs="Times New Roman"/>
                <w:szCs w:val="24"/>
              </w:rPr>
            </w:pPr>
            <w:r w:rsidRPr="00BA4F0F">
              <w:rPr>
                <w:rFonts w:cs="Times New Roman"/>
                <w:szCs w:val="24"/>
              </w:rPr>
              <w:t>Разовая</w:t>
            </w:r>
            <w:r w:rsidRPr="007A7C4E">
              <w:rPr>
                <w:rFonts w:cs="Times New Roman"/>
                <w:szCs w:val="24"/>
              </w:rPr>
              <w:t xml:space="preserve"> </w:t>
            </w:r>
            <w:r w:rsidRPr="00BA4F0F">
              <w:rPr>
                <w:rFonts w:cs="Times New Roman"/>
                <w:szCs w:val="24"/>
              </w:rPr>
              <w:t>доза</w:t>
            </w:r>
          </w:p>
        </w:tc>
        <w:tc>
          <w:tcPr>
            <w:tcW w:w="1276" w:type="dxa"/>
          </w:tcPr>
          <w:p w14:paraId="5C954D95" w14:textId="77777777" w:rsidR="0075793D" w:rsidRPr="007A7C4E" w:rsidRDefault="0075793D" w:rsidP="00E242EE">
            <w:pPr>
              <w:pStyle w:val="afe"/>
              <w:ind w:left="0" w:firstLine="0"/>
              <w:rPr>
                <w:rFonts w:cs="Times New Roman"/>
                <w:szCs w:val="24"/>
              </w:rPr>
            </w:pPr>
            <w:r w:rsidRPr="00BA4F0F">
              <w:rPr>
                <w:rFonts w:cs="Times New Roman"/>
                <w:szCs w:val="24"/>
              </w:rPr>
              <w:t>Суточная</w:t>
            </w:r>
            <w:r w:rsidRPr="007A7C4E">
              <w:rPr>
                <w:rFonts w:cs="Times New Roman"/>
                <w:szCs w:val="24"/>
              </w:rPr>
              <w:t xml:space="preserve"> </w:t>
            </w:r>
            <w:r w:rsidRPr="00BA4F0F">
              <w:rPr>
                <w:rFonts w:cs="Times New Roman"/>
                <w:szCs w:val="24"/>
              </w:rPr>
              <w:t>доза</w:t>
            </w:r>
          </w:p>
        </w:tc>
        <w:tc>
          <w:tcPr>
            <w:tcW w:w="1275" w:type="dxa"/>
          </w:tcPr>
          <w:p w14:paraId="66CE3B92" w14:textId="77777777" w:rsidR="0075793D" w:rsidRPr="00BA4F0F" w:rsidRDefault="0075793D" w:rsidP="00E242EE">
            <w:pPr>
              <w:pStyle w:val="afe"/>
              <w:ind w:left="0" w:firstLine="0"/>
              <w:rPr>
                <w:rFonts w:cs="Times New Roman"/>
                <w:szCs w:val="24"/>
              </w:rPr>
            </w:pPr>
            <w:r w:rsidRPr="00BA4F0F">
              <w:rPr>
                <w:rFonts w:cs="Times New Roman"/>
                <w:szCs w:val="24"/>
              </w:rPr>
              <w:t>Курсовая доза</w:t>
            </w:r>
          </w:p>
        </w:tc>
        <w:tc>
          <w:tcPr>
            <w:tcW w:w="2659" w:type="dxa"/>
          </w:tcPr>
          <w:p w14:paraId="10D04634" w14:textId="77777777" w:rsidR="0075793D" w:rsidRPr="00BA4F0F" w:rsidRDefault="0075793D" w:rsidP="00E242EE">
            <w:pPr>
              <w:pStyle w:val="afe"/>
              <w:ind w:left="0" w:firstLine="0"/>
              <w:rPr>
                <w:rFonts w:cs="Times New Roman"/>
                <w:szCs w:val="24"/>
              </w:rPr>
            </w:pPr>
            <w:r w:rsidRPr="00BA4F0F">
              <w:rPr>
                <w:rFonts w:cs="Times New Roman"/>
                <w:szCs w:val="24"/>
              </w:rPr>
              <w:t>Особенности введения</w:t>
            </w:r>
          </w:p>
        </w:tc>
      </w:tr>
      <w:tr w:rsidR="0075793D" w:rsidRPr="00BA4F0F" w14:paraId="6BAF4281" w14:textId="77777777" w:rsidTr="002D3EBF">
        <w:tc>
          <w:tcPr>
            <w:tcW w:w="1418" w:type="dxa"/>
          </w:tcPr>
          <w:p w14:paraId="3007E635" w14:textId="77777777" w:rsidR="0075793D" w:rsidRPr="00BA4F0F" w:rsidRDefault="0075793D" w:rsidP="00E242EE">
            <w:pPr>
              <w:pStyle w:val="afe"/>
              <w:ind w:left="0" w:firstLine="0"/>
              <w:jc w:val="center"/>
              <w:rPr>
                <w:rFonts w:cs="Times New Roman"/>
                <w:szCs w:val="24"/>
              </w:rPr>
            </w:pPr>
            <w:r w:rsidRPr="00BA4F0F">
              <w:rPr>
                <w:rFonts w:cs="Times New Roman"/>
                <w:szCs w:val="24"/>
              </w:rPr>
              <w:t>Ломустин</w:t>
            </w:r>
          </w:p>
        </w:tc>
        <w:tc>
          <w:tcPr>
            <w:tcW w:w="1701" w:type="dxa"/>
          </w:tcPr>
          <w:p w14:paraId="3A1741A4" w14:textId="77777777" w:rsidR="0075793D" w:rsidRPr="00BA4F0F" w:rsidRDefault="0075793D" w:rsidP="00E242EE">
            <w:pPr>
              <w:pStyle w:val="afe"/>
              <w:ind w:left="0" w:firstLine="0"/>
              <w:jc w:val="center"/>
              <w:rPr>
                <w:rFonts w:cs="Times New Roman"/>
                <w:szCs w:val="24"/>
              </w:rPr>
            </w:pPr>
            <w:r w:rsidRPr="00BA4F0F">
              <w:rPr>
                <w:rFonts w:cs="Times New Roman"/>
                <w:szCs w:val="24"/>
              </w:rPr>
              <w:t>-6 день</w:t>
            </w:r>
          </w:p>
        </w:tc>
        <w:tc>
          <w:tcPr>
            <w:tcW w:w="1134" w:type="dxa"/>
          </w:tcPr>
          <w:p w14:paraId="293E07DF" w14:textId="77777777" w:rsidR="0075793D" w:rsidRPr="00BA4F0F" w:rsidRDefault="0075793D" w:rsidP="00E242EE">
            <w:pPr>
              <w:pStyle w:val="afe"/>
              <w:ind w:left="0" w:firstLine="0"/>
              <w:jc w:val="center"/>
              <w:rPr>
                <w:rFonts w:cs="Times New Roman"/>
                <w:szCs w:val="24"/>
              </w:rPr>
            </w:pPr>
            <w:r w:rsidRPr="00BA4F0F">
              <w:rPr>
                <w:rFonts w:cs="Times New Roman"/>
                <w:szCs w:val="24"/>
              </w:rPr>
              <w:t>200мг/м</w:t>
            </w:r>
            <w:r w:rsidRPr="00BA4F0F">
              <w:rPr>
                <w:rFonts w:cs="Times New Roman"/>
                <w:szCs w:val="24"/>
                <w:vertAlign w:val="superscript"/>
              </w:rPr>
              <w:t>2</w:t>
            </w:r>
          </w:p>
        </w:tc>
        <w:tc>
          <w:tcPr>
            <w:tcW w:w="1276" w:type="dxa"/>
          </w:tcPr>
          <w:p w14:paraId="4BC0C0F1" w14:textId="77777777" w:rsidR="0075793D" w:rsidRPr="00BA4F0F" w:rsidRDefault="0075793D" w:rsidP="00E242EE">
            <w:pPr>
              <w:pStyle w:val="afe"/>
              <w:ind w:left="0" w:firstLine="0"/>
              <w:jc w:val="center"/>
              <w:rPr>
                <w:rFonts w:cs="Times New Roman"/>
                <w:szCs w:val="24"/>
              </w:rPr>
            </w:pPr>
            <w:r w:rsidRPr="00BA4F0F">
              <w:rPr>
                <w:rFonts w:cs="Times New Roman"/>
                <w:szCs w:val="24"/>
              </w:rPr>
              <w:t>200 мг/м</w:t>
            </w:r>
            <w:r w:rsidRPr="00BA4F0F">
              <w:rPr>
                <w:rFonts w:cs="Times New Roman"/>
                <w:szCs w:val="24"/>
                <w:vertAlign w:val="superscript"/>
              </w:rPr>
              <w:t>2</w:t>
            </w:r>
          </w:p>
        </w:tc>
        <w:tc>
          <w:tcPr>
            <w:tcW w:w="1275" w:type="dxa"/>
          </w:tcPr>
          <w:p w14:paraId="3CB6A99B" w14:textId="77777777" w:rsidR="0075793D" w:rsidRPr="00BA4F0F" w:rsidRDefault="0075793D" w:rsidP="00E242EE">
            <w:pPr>
              <w:pStyle w:val="afe"/>
              <w:ind w:left="0" w:firstLine="0"/>
              <w:jc w:val="center"/>
              <w:rPr>
                <w:rFonts w:cs="Times New Roman"/>
                <w:szCs w:val="24"/>
              </w:rPr>
            </w:pPr>
            <w:r w:rsidRPr="00BA4F0F">
              <w:rPr>
                <w:rFonts w:cs="Times New Roman"/>
                <w:szCs w:val="24"/>
              </w:rPr>
              <w:t>200 мг/м</w:t>
            </w:r>
            <w:r w:rsidRPr="00BA4F0F">
              <w:rPr>
                <w:rFonts w:cs="Times New Roman"/>
                <w:szCs w:val="24"/>
                <w:vertAlign w:val="superscript"/>
              </w:rPr>
              <w:t>2</w:t>
            </w:r>
          </w:p>
        </w:tc>
        <w:tc>
          <w:tcPr>
            <w:tcW w:w="2659" w:type="dxa"/>
          </w:tcPr>
          <w:p w14:paraId="469560CC" w14:textId="77777777" w:rsidR="0075793D" w:rsidRPr="00BA4F0F" w:rsidRDefault="0075793D" w:rsidP="00E242EE">
            <w:pPr>
              <w:pStyle w:val="afe"/>
              <w:ind w:left="0" w:firstLine="0"/>
              <w:rPr>
                <w:rFonts w:cs="Times New Roman"/>
                <w:szCs w:val="24"/>
              </w:rPr>
            </w:pPr>
            <w:r w:rsidRPr="00BA4F0F">
              <w:rPr>
                <w:rFonts w:cs="Times New Roman"/>
                <w:szCs w:val="24"/>
              </w:rPr>
              <w:t>Внутрь</w:t>
            </w:r>
          </w:p>
        </w:tc>
      </w:tr>
      <w:tr w:rsidR="0075793D" w:rsidRPr="00BA4F0F" w14:paraId="4122E982" w14:textId="77777777" w:rsidTr="002D3EBF">
        <w:tc>
          <w:tcPr>
            <w:tcW w:w="1418" w:type="dxa"/>
          </w:tcPr>
          <w:p w14:paraId="3D974B3F" w14:textId="77777777" w:rsidR="0075793D" w:rsidRPr="00BA4F0F" w:rsidRDefault="0075793D" w:rsidP="00E242EE">
            <w:pPr>
              <w:pStyle w:val="afe"/>
              <w:ind w:left="0" w:firstLine="0"/>
              <w:jc w:val="center"/>
              <w:rPr>
                <w:rFonts w:cs="Times New Roman"/>
                <w:szCs w:val="24"/>
              </w:rPr>
            </w:pPr>
            <w:r w:rsidRPr="00BA4F0F">
              <w:rPr>
                <w:rFonts w:cs="Times New Roman"/>
                <w:szCs w:val="24"/>
              </w:rPr>
              <w:t>Этопозид</w:t>
            </w:r>
          </w:p>
        </w:tc>
        <w:tc>
          <w:tcPr>
            <w:tcW w:w="1701" w:type="dxa"/>
          </w:tcPr>
          <w:p w14:paraId="702E7771" w14:textId="77777777" w:rsidR="0075793D" w:rsidRPr="00BA4F0F" w:rsidRDefault="0075793D" w:rsidP="00E242EE">
            <w:pPr>
              <w:pStyle w:val="afe"/>
              <w:ind w:left="0" w:firstLine="0"/>
              <w:jc w:val="center"/>
              <w:rPr>
                <w:rFonts w:cs="Times New Roman"/>
                <w:szCs w:val="24"/>
              </w:rPr>
            </w:pPr>
            <w:r w:rsidRPr="00BA4F0F">
              <w:rPr>
                <w:rFonts w:cs="Times New Roman"/>
                <w:szCs w:val="24"/>
              </w:rPr>
              <w:t>-5, -4, -3, -2 дни</w:t>
            </w:r>
          </w:p>
        </w:tc>
        <w:tc>
          <w:tcPr>
            <w:tcW w:w="1134" w:type="dxa"/>
          </w:tcPr>
          <w:p w14:paraId="41A915CC" w14:textId="77777777" w:rsidR="0075793D" w:rsidRPr="00BA4F0F" w:rsidRDefault="0075793D" w:rsidP="00E242EE">
            <w:pPr>
              <w:pStyle w:val="afe"/>
              <w:ind w:left="0" w:firstLine="0"/>
              <w:jc w:val="center"/>
              <w:rPr>
                <w:rFonts w:cs="Times New Roman"/>
                <w:szCs w:val="24"/>
              </w:rPr>
            </w:pPr>
            <w:r w:rsidRPr="00BA4F0F">
              <w:rPr>
                <w:rFonts w:cs="Times New Roman"/>
                <w:szCs w:val="24"/>
              </w:rPr>
              <w:t>200мг/м</w:t>
            </w:r>
            <w:r w:rsidRPr="00BA4F0F">
              <w:rPr>
                <w:rFonts w:cs="Times New Roman"/>
                <w:szCs w:val="24"/>
                <w:vertAlign w:val="superscript"/>
              </w:rPr>
              <w:t>2</w:t>
            </w:r>
          </w:p>
        </w:tc>
        <w:tc>
          <w:tcPr>
            <w:tcW w:w="1276" w:type="dxa"/>
          </w:tcPr>
          <w:p w14:paraId="0EB614BF" w14:textId="77777777" w:rsidR="0075793D" w:rsidRPr="00BA4F0F" w:rsidRDefault="0075793D" w:rsidP="00E242EE">
            <w:pPr>
              <w:pStyle w:val="afe"/>
              <w:ind w:left="0" w:firstLine="0"/>
              <w:jc w:val="center"/>
              <w:rPr>
                <w:rFonts w:cs="Times New Roman"/>
                <w:szCs w:val="24"/>
              </w:rPr>
            </w:pPr>
            <w:r w:rsidRPr="00BA4F0F">
              <w:rPr>
                <w:rFonts w:cs="Times New Roman"/>
                <w:szCs w:val="24"/>
              </w:rPr>
              <w:t>200 мг/м</w:t>
            </w:r>
            <w:r w:rsidRPr="00BA4F0F">
              <w:rPr>
                <w:rFonts w:cs="Times New Roman"/>
                <w:szCs w:val="24"/>
                <w:vertAlign w:val="superscript"/>
              </w:rPr>
              <w:t>2</w:t>
            </w:r>
          </w:p>
        </w:tc>
        <w:tc>
          <w:tcPr>
            <w:tcW w:w="1275" w:type="dxa"/>
          </w:tcPr>
          <w:p w14:paraId="7A468A7F" w14:textId="77777777" w:rsidR="0075793D" w:rsidRPr="00BA4F0F" w:rsidRDefault="0075793D" w:rsidP="00E242EE">
            <w:pPr>
              <w:pStyle w:val="afe"/>
              <w:ind w:left="0" w:firstLine="0"/>
              <w:jc w:val="center"/>
              <w:rPr>
                <w:rFonts w:cs="Times New Roman"/>
                <w:szCs w:val="24"/>
              </w:rPr>
            </w:pPr>
            <w:r w:rsidRPr="00BA4F0F">
              <w:rPr>
                <w:rFonts w:cs="Times New Roman"/>
                <w:szCs w:val="24"/>
              </w:rPr>
              <w:t>800 мг/м</w:t>
            </w:r>
            <w:r w:rsidRPr="00BA4F0F">
              <w:rPr>
                <w:rFonts w:cs="Times New Roman"/>
                <w:szCs w:val="24"/>
                <w:vertAlign w:val="superscript"/>
              </w:rPr>
              <w:t>2</w:t>
            </w:r>
          </w:p>
        </w:tc>
        <w:tc>
          <w:tcPr>
            <w:tcW w:w="2659" w:type="dxa"/>
          </w:tcPr>
          <w:p w14:paraId="7F3C234B" w14:textId="77777777" w:rsidR="0075793D" w:rsidRPr="00BA4F0F" w:rsidRDefault="0075793D" w:rsidP="00E242EE">
            <w:pPr>
              <w:pStyle w:val="afe"/>
              <w:ind w:left="0" w:firstLine="0"/>
              <w:rPr>
                <w:rFonts w:cs="Times New Roman"/>
                <w:szCs w:val="24"/>
              </w:rPr>
            </w:pPr>
            <w:r w:rsidRPr="00BA4F0F">
              <w:rPr>
                <w:rFonts w:cs="Times New Roman"/>
                <w:szCs w:val="24"/>
              </w:rPr>
              <w:t xml:space="preserve">Вводится в/в в виде инфузии в течение 30 минут в 500 мл 0,9% </w:t>
            </w:r>
            <w:r w:rsidRPr="00BA4F0F">
              <w:rPr>
                <w:rFonts w:cs="Times New Roman"/>
                <w:szCs w:val="24"/>
                <w:lang w:val="en-US"/>
              </w:rPr>
              <w:t>NaCl</w:t>
            </w:r>
          </w:p>
        </w:tc>
      </w:tr>
      <w:tr w:rsidR="0075793D" w:rsidRPr="00BA4F0F" w14:paraId="4BE1D938" w14:textId="77777777" w:rsidTr="002D3EBF">
        <w:tc>
          <w:tcPr>
            <w:tcW w:w="1418" w:type="dxa"/>
          </w:tcPr>
          <w:p w14:paraId="73650467" w14:textId="77777777" w:rsidR="0075793D" w:rsidRPr="00BA4F0F" w:rsidRDefault="0075793D" w:rsidP="00E242EE">
            <w:pPr>
              <w:pStyle w:val="afe"/>
              <w:ind w:left="0" w:firstLine="0"/>
              <w:jc w:val="center"/>
              <w:rPr>
                <w:rFonts w:cs="Times New Roman"/>
                <w:szCs w:val="24"/>
              </w:rPr>
            </w:pPr>
            <w:r w:rsidRPr="00BA4F0F">
              <w:rPr>
                <w:rFonts w:cs="Times New Roman"/>
                <w:szCs w:val="24"/>
              </w:rPr>
              <w:t>Цитарабин</w:t>
            </w:r>
          </w:p>
        </w:tc>
        <w:tc>
          <w:tcPr>
            <w:tcW w:w="1701" w:type="dxa"/>
          </w:tcPr>
          <w:p w14:paraId="0566DE01" w14:textId="77777777" w:rsidR="0075793D" w:rsidRPr="00BA4F0F" w:rsidRDefault="0075793D" w:rsidP="00E242EE">
            <w:pPr>
              <w:pStyle w:val="afe"/>
              <w:ind w:left="0" w:firstLine="0"/>
              <w:jc w:val="center"/>
              <w:rPr>
                <w:rFonts w:cs="Times New Roman"/>
                <w:szCs w:val="24"/>
              </w:rPr>
            </w:pPr>
            <w:r w:rsidRPr="00BA4F0F">
              <w:rPr>
                <w:rFonts w:cs="Times New Roman"/>
                <w:szCs w:val="24"/>
              </w:rPr>
              <w:t>-5, -4, -3, -2 дни</w:t>
            </w:r>
          </w:p>
        </w:tc>
        <w:tc>
          <w:tcPr>
            <w:tcW w:w="1134" w:type="dxa"/>
          </w:tcPr>
          <w:p w14:paraId="565F8622" w14:textId="77777777" w:rsidR="0075793D" w:rsidRPr="00BA4F0F" w:rsidRDefault="0075793D" w:rsidP="00E242EE">
            <w:pPr>
              <w:pStyle w:val="afe"/>
              <w:ind w:left="0" w:firstLine="0"/>
              <w:jc w:val="center"/>
              <w:rPr>
                <w:rFonts w:cs="Times New Roman"/>
                <w:szCs w:val="24"/>
              </w:rPr>
            </w:pPr>
            <w:r w:rsidRPr="00BA4F0F">
              <w:rPr>
                <w:rFonts w:cs="Times New Roman"/>
                <w:szCs w:val="24"/>
              </w:rPr>
              <w:t>200мг/м</w:t>
            </w:r>
            <w:r w:rsidRPr="00BA4F0F">
              <w:rPr>
                <w:rFonts w:cs="Times New Roman"/>
                <w:szCs w:val="24"/>
                <w:vertAlign w:val="superscript"/>
              </w:rPr>
              <w:t>2</w:t>
            </w:r>
          </w:p>
        </w:tc>
        <w:tc>
          <w:tcPr>
            <w:tcW w:w="1276" w:type="dxa"/>
          </w:tcPr>
          <w:p w14:paraId="29A9A1EA" w14:textId="77777777" w:rsidR="0075793D" w:rsidRPr="00BA4F0F" w:rsidRDefault="0075793D" w:rsidP="00E242EE">
            <w:pPr>
              <w:pStyle w:val="afe"/>
              <w:ind w:left="0" w:firstLine="0"/>
              <w:jc w:val="center"/>
              <w:rPr>
                <w:rFonts w:cs="Times New Roman"/>
                <w:szCs w:val="24"/>
              </w:rPr>
            </w:pPr>
            <w:r w:rsidRPr="00BA4F0F">
              <w:rPr>
                <w:rFonts w:cs="Times New Roman"/>
                <w:szCs w:val="24"/>
              </w:rPr>
              <w:t>400 мг/ м</w:t>
            </w:r>
            <w:r w:rsidRPr="00BA4F0F">
              <w:rPr>
                <w:rFonts w:cs="Times New Roman"/>
                <w:szCs w:val="24"/>
                <w:vertAlign w:val="superscript"/>
              </w:rPr>
              <w:t>2</w:t>
            </w:r>
          </w:p>
        </w:tc>
        <w:tc>
          <w:tcPr>
            <w:tcW w:w="1275" w:type="dxa"/>
          </w:tcPr>
          <w:p w14:paraId="6BB5667F" w14:textId="77777777" w:rsidR="0075793D" w:rsidRPr="00BA4F0F" w:rsidRDefault="0075793D" w:rsidP="00E242EE">
            <w:pPr>
              <w:pStyle w:val="afe"/>
              <w:ind w:left="0" w:firstLine="0"/>
              <w:jc w:val="center"/>
              <w:rPr>
                <w:rFonts w:cs="Times New Roman"/>
                <w:szCs w:val="24"/>
              </w:rPr>
            </w:pPr>
            <w:r w:rsidRPr="00BA4F0F">
              <w:rPr>
                <w:rFonts w:cs="Times New Roman"/>
                <w:szCs w:val="24"/>
              </w:rPr>
              <w:t>1600 мг/м</w:t>
            </w:r>
            <w:r w:rsidRPr="00BA4F0F">
              <w:rPr>
                <w:rFonts w:cs="Times New Roman"/>
                <w:szCs w:val="24"/>
                <w:vertAlign w:val="superscript"/>
              </w:rPr>
              <w:t>2</w:t>
            </w:r>
          </w:p>
        </w:tc>
        <w:tc>
          <w:tcPr>
            <w:tcW w:w="2659" w:type="dxa"/>
          </w:tcPr>
          <w:p w14:paraId="292A03D5" w14:textId="77777777" w:rsidR="0075793D" w:rsidRPr="00BA4F0F" w:rsidRDefault="0075793D" w:rsidP="00E242EE">
            <w:pPr>
              <w:pStyle w:val="afe"/>
              <w:ind w:left="0" w:firstLine="0"/>
              <w:rPr>
                <w:rFonts w:cs="Times New Roman"/>
                <w:szCs w:val="24"/>
              </w:rPr>
            </w:pPr>
            <w:r w:rsidRPr="00BA4F0F">
              <w:rPr>
                <w:rFonts w:cs="Times New Roman"/>
                <w:szCs w:val="24"/>
              </w:rPr>
              <w:t xml:space="preserve">Вводится в/в в виде инфузии в течение 30 минут в 500 мл 0,9% </w:t>
            </w:r>
            <w:r w:rsidRPr="00BA4F0F">
              <w:rPr>
                <w:rFonts w:cs="Times New Roman"/>
                <w:szCs w:val="24"/>
                <w:lang w:val="en-US"/>
              </w:rPr>
              <w:t>NaCl</w:t>
            </w:r>
          </w:p>
        </w:tc>
      </w:tr>
      <w:tr w:rsidR="0075793D" w:rsidRPr="00BA4F0F" w14:paraId="1FF98114" w14:textId="77777777" w:rsidTr="002D3EBF">
        <w:tc>
          <w:tcPr>
            <w:tcW w:w="1418" w:type="dxa"/>
          </w:tcPr>
          <w:p w14:paraId="32572731" w14:textId="77777777" w:rsidR="0075793D" w:rsidRPr="00BA4F0F" w:rsidRDefault="0075793D" w:rsidP="00E242EE">
            <w:pPr>
              <w:pStyle w:val="afe"/>
              <w:ind w:left="0" w:firstLine="0"/>
              <w:jc w:val="center"/>
              <w:rPr>
                <w:rFonts w:cs="Times New Roman"/>
                <w:szCs w:val="24"/>
              </w:rPr>
            </w:pPr>
            <w:r w:rsidRPr="00BA4F0F">
              <w:rPr>
                <w:rFonts w:cs="Times New Roman"/>
                <w:szCs w:val="24"/>
              </w:rPr>
              <w:t>Мелфалан</w:t>
            </w:r>
          </w:p>
        </w:tc>
        <w:tc>
          <w:tcPr>
            <w:tcW w:w="1701" w:type="dxa"/>
          </w:tcPr>
          <w:p w14:paraId="54874137" w14:textId="77777777" w:rsidR="0075793D" w:rsidRPr="00BA4F0F" w:rsidRDefault="0075793D" w:rsidP="00E242EE">
            <w:pPr>
              <w:pStyle w:val="afe"/>
              <w:ind w:left="0" w:firstLine="0"/>
              <w:jc w:val="center"/>
              <w:rPr>
                <w:rFonts w:cs="Times New Roman"/>
                <w:szCs w:val="24"/>
              </w:rPr>
            </w:pPr>
            <w:r w:rsidRPr="00BA4F0F">
              <w:rPr>
                <w:rFonts w:cs="Times New Roman"/>
                <w:szCs w:val="24"/>
              </w:rPr>
              <w:t>- 1 день</w:t>
            </w:r>
          </w:p>
        </w:tc>
        <w:tc>
          <w:tcPr>
            <w:tcW w:w="1134" w:type="dxa"/>
          </w:tcPr>
          <w:p w14:paraId="63DDC095" w14:textId="77777777" w:rsidR="0075793D" w:rsidRPr="00BA4F0F" w:rsidRDefault="0075793D" w:rsidP="00E242EE">
            <w:pPr>
              <w:pStyle w:val="afe"/>
              <w:ind w:left="0" w:firstLine="0"/>
              <w:jc w:val="center"/>
              <w:rPr>
                <w:rFonts w:cs="Times New Roman"/>
                <w:szCs w:val="24"/>
              </w:rPr>
            </w:pPr>
            <w:r w:rsidRPr="00BA4F0F">
              <w:rPr>
                <w:rFonts w:cs="Times New Roman"/>
                <w:szCs w:val="24"/>
              </w:rPr>
              <w:t>140мг/м</w:t>
            </w:r>
            <w:r w:rsidRPr="00BA4F0F">
              <w:rPr>
                <w:rFonts w:cs="Times New Roman"/>
                <w:szCs w:val="24"/>
                <w:vertAlign w:val="superscript"/>
              </w:rPr>
              <w:t>2</w:t>
            </w:r>
          </w:p>
        </w:tc>
        <w:tc>
          <w:tcPr>
            <w:tcW w:w="1276" w:type="dxa"/>
          </w:tcPr>
          <w:p w14:paraId="4D31F9A8" w14:textId="77777777" w:rsidR="0075793D" w:rsidRPr="00BA4F0F" w:rsidRDefault="0075793D" w:rsidP="00E242EE">
            <w:pPr>
              <w:pStyle w:val="afe"/>
              <w:ind w:left="0" w:firstLine="0"/>
              <w:jc w:val="center"/>
              <w:rPr>
                <w:rFonts w:cs="Times New Roman"/>
                <w:szCs w:val="24"/>
              </w:rPr>
            </w:pPr>
            <w:r w:rsidRPr="00BA4F0F">
              <w:rPr>
                <w:rFonts w:cs="Times New Roman"/>
                <w:szCs w:val="24"/>
              </w:rPr>
              <w:t>140 мг/м</w:t>
            </w:r>
            <w:r w:rsidRPr="00BA4F0F">
              <w:rPr>
                <w:rFonts w:cs="Times New Roman"/>
                <w:szCs w:val="24"/>
                <w:vertAlign w:val="superscript"/>
              </w:rPr>
              <w:t>2</w:t>
            </w:r>
          </w:p>
        </w:tc>
        <w:tc>
          <w:tcPr>
            <w:tcW w:w="1275" w:type="dxa"/>
          </w:tcPr>
          <w:p w14:paraId="11438098" w14:textId="77777777" w:rsidR="0075793D" w:rsidRPr="00BA4F0F" w:rsidRDefault="0075793D" w:rsidP="00E242EE">
            <w:pPr>
              <w:pStyle w:val="afe"/>
              <w:ind w:left="0" w:firstLine="0"/>
              <w:jc w:val="center"/>
              <w:rPr>
                <w:rFonts w:cs="Times New Roman"/>
                <w:szCs w:val="24"/>
              </w:rPr>
            </w:pPr>
            <w:r w:rsidRPr="00BA4F0F">
              <w:rPr>
                <w:rFonts w:cs="Times New Roman"/>
                <w:szCs w:val="24"/>
              </w:rPr>
              <w:t>140 мг/м</w:t>
            </w:r>
            <w:r w:rsidRPr="00BA4F0F">
              <w:rPr>
                <w:rFonts w:cs="Times New Roman"/>
                <w:szCs w:val="24"/>
                <w:vertAlign w:val="superscript"/>
              </w:rPr>
              <w:t>2</w:t>
            </w:r>
          </w:p>
        </w:tc>
        <w:tc>
          <w:tcPr>
            <w:tcW w:w="2659" w:type="dxa"/>
          </w:tcPr>
          <w:p w14:paraId="65A90389" w14:textId="77777777" w:rsidR="0075793D" w:rsidRPr="00BA4F0F" w:rsidRDefault="0075793D" w:rsidP="00E242EE">
            <w:pPr>
              <w:pStyle w:val="afe"/>
              <w:ind w:left="0" w:firstLine="0"/>
              <w:rPr>
                <w:rFonts w:cs="Times New Roman"/>
                <w:szCs w:val="24"/>
              </w:rPr>
            </w:pPr>
            <w:r w:rsidRPr="00BA4F0F">
              <w:rPr>
                <w:rFonts w:cs="Times New Roman"/>
                <w:szCs w:val="24"/>
              </w:rPr>
              <w:t xml:space="preserve">Вводится в/в в виде инфузии в течение 1ч в 500 мл 0,9% </w:t>
            </w:r>
            <w:r w:rsidRPr="00BA4F0F">
              <w:rPr>
                <w:rFonts w:cs="Times New Roman"/>
                <w:szCs w:val="24"/>
                <w:lang w:val="en-US"/>
              </w:rPr>
              <w:t>NaCl</w:t>
            </w:r>
          </w:p>
        </w:tc>
      </w:tr>
    </w:tbl>
    <w:p w14:paraId="41D99BBB" w14:textId="77777777" w:rsidR="0075793D" w:rsidRPr="00BA4F0F" w:rsidRDefault="0075793D" w:rsidP="0075793D">
      <w:pPr>
        <w:ind w:firstLine="426"/>
        <w:rPr>
          <w:rFonts w:cs="Times New Roman"/>
          <w:szCs w:val="24"/>
        </w:rPr>
      </w:pPr>
    </w:p>
    <w:p w14:paraId="54382901" w14:textId="67A68E55" w:rsidR="0075793D" w:rsidRPr="00E242EE" w:rsidRDefault="0075793D" w:rsidP="00E242EE">
      <w:pPr>
        <w:rPr>
          <w:rFonts w:cs="Times New Roman"/>
          <w:szCs w:val="24"/>
        </w:rPr>
      </w:pPr>
      <w:r w:rsidRPr="00BA4F0F">
        <w:rPr>
          <w:rFonts w:cs="Times New Roman"/>
          <w:szCs w:val="24"/>
        </w:rPr>
        <w:t xml:space="preserve">В ряде клинических исследований была подтверждена эффективность режима предтрансплантационного кондиционирования </w:t>
      </w:r>
      <w:r w:rsidRPr="00BA4F0F">
        <w:rPr>
          <w:rFonts w:cs="Times New Roman"/>
          <w:szCs w:val="24"/>
          <w:lang w:val="en-US"/>
        </w:rPr>
        <w:t>Benda</w:t>
      </w:r>
      <w:r w:rsidRPr="00BA4F0F">
        <w:rPr>
          <w:rFonts w:cs="Times New Roman"/>
          <w:szCs w:val="24"/>
        </w:rPr>
        <w:t>-</w:t>
      </w:r>
      <w:r w:rsidRPr="00BA4F0F">
        <w:rPr>
          <w:rFonts w:cs="Times New Roman"/>
          <w:szCs w:val="24"/>
          <w:lang w:val="en-US"/>
        </w:rPr>
        <w:t>EAM</w:t>
      </w:r>
      <w:r w:rsidRPr="00BA4F0F">
        <w:rPr>
          <w:rFonts w:cs="Times New Roman"/>
          <w:szCs w:val="24"/>
        </w:rPr>
        <w:t xml:space="preserve"> при лимфопролиферативных заболеваниях. Схема введения препаратов и дозы </w:t>
      </w:r>
      <w:r w:rsidRPr="00E242EE">
        <w:rPr>
          <w:rFonts w:cs="Times New Roman"/>
          <w:szCs w:val="24"/>
        </w:rPr>
        <w:t xml:space="preserve">представлены в таблице </w:t>
      </w:r>
      <w:r w:rsidR="00E242EE" w:rsidRPr="00E242EE">
        <w:rPr>
          <w:rFonts w:cs="Times New Roman"/>
          <w:szCs w:val="24"/>
        </w:rPr>
        <w:t>7</w:t>
      </w:r>
      <w:r w:rsidRPr="00E242EE">
        <w:rPr>
          <w:rFonts w:cs="Times New Roman"/>
          <w:szCs w:val="24"/>
        </w:rPr>
        <w:t>.</w:t>
      </w:r>
    </w:p>
    <w:p w14:paraId="0989DD90" w14:textId="77777777" w:rsidR="0075793D" w:rsidRPr="00E242EE" w:rsidRDefault="0075793D" w:rsidP="0075793D">
      <w:pPr>
        <w:ind w:firstLine="426"/>
        <w:rPr>
          <w:rFonts w:cs="Times New Roman"/>
          <w:b/>
          <w:szCs w:val="24"/>
        </w:rPr>
      </w:pPr>
    </w:p>
    <w:p w14:paraId="09059AC2" w14:textId="22164CC0" w:rsidR="0075793D" w:rsidRPr="00BA4F0F" w:rsidRDefault="0075793D" w:rsidP="00E242EE">
      <w:pPr>
        <w:ind w:firstLine="0"/>
        <w:rPr>
          <w:rFonts w:cs="Times New Roman"/>
          <w:szCs w:val="24"/>
        </w:rPr>
      </w:pPr>
      <w:r w:rsidRPr="00E242EE">
        <w:rPr>
          <w:rFonts w:cs="Times New Roman"/>
          <w:szCs w:val="24"/>
        </w:rPr>
        <w:t xml:space="preserve">Таблица </w:t>
      </w:r>
      <w:r w:rsidR="00E242EE" w:rsidRPr="00E242EE">
        <w:rPr>
          <w:rFonts w:cs="Times New Roman"/>
          <w:szCs w:val="24"/>
        </w:rPr>
        <w:t>7</w:t>
      </w:r>
      <w:r w:rsidRPr="00E242EE">
        <w:rPr>
          <w:rFonts w:cs="Times New Roman"/>
          <w:szCs w:val="24"/>
        </w:rPr>
        <w:t>. Схема предтрансплантационного кондиционирования Benda-EAM</w:t>
      </w:r>
      <w:r w:rsidRPr="00BA4F0F">
        <w:rPr>
          <w:rFonts w:cs="Times New Roman"/>
          <w:szCs w:val="24"/>
        </w:rPr>
        <w:t xml:space="preserve"> </w:t>
      </w:r>
      <w:r w:rsidRPr="00BA4F0F">
        <w:rPr>
          <w:rFonts w:cs="Times New Roman"/>
          <w:szCs w:val="24"/>
        </w:rPr>
        <w:fldChar w:fldCharType="begin" w:fldLock="1"/>
      </w:r>
      <w:r w:rsidR="004810E5">
        <w:rPr>
          <w:rFonts w:cs="Times New Roman"/>
          <w:szCs w:val="24"/>
        </w:rPr>
        <w:instrText>ADDIN CSL_CITATION {"citationItems":[{"id":"ITEM-1","itemData":{"DOI":"10.1038/s41409-019-0572-7","ISSN":"0268-3369","author":[{"dropping-particle":"","family":"Visani","given":"Giuseppe","non-dropping-particle":"","parse-names":false,"suffix":""},{"dropping-particle":"","family":"Loscocco","given":"Federica","non-dropping-particle":"","parse-names":false,"suffix":""},{"dropping-particle":"","family":"Bagaloni","given":"Irene","non-dropping-particle":"","parse-names":false,"suffix":""},{"dropping-particle":"","family":"Ruzzo","given":"Annamaria","non-dropping-particle":"","parse-names":false,"suffix":""},{"dropping-particle":"","family":"Fuligni","given":"Fabio","non-dropping-particle":"","parse-names":false,"suffix":""},{"dropping-particle":"","family":"Graziano","given":"Francesco","non-dropping-particle":"","parse-names":false,"suffix":""},{"dropping-particle":"","family":"Magnani","given":"Mauro","non-dropping-particle":"","parse-names":false,"suffix":""},{"dropping-particle":"","family":"Isidori","given":"Alessandro","non-dropping-particle":"","parse-names":false,"suffix":""}],"container-title":"Bone Marrow Transplantation","id":"ITEM-1","issue":"4","issued":{"date-parts":[["2020","4"]]},"page":"818-820","publisher":"Nature Publishing Group","title":"XRCC1 399GG genotype predicts significantly longer overall survival in resistant lymphoma patients treated with Benda-EAM and ASCT","type":"article-journal","volume":"55"},"uris":["http://www.mendeley.com/documents/?uuid=91fbd7c4-108e-3fa6-a12d-7807a539235e","http://www.mendeley.com/documents/?uuid=e90b652d-5001-4921-8b90-45d74510ea4a"]},{"id":"ITEM-2","itemData":{"DOI":"10.1182/blood-2011-04-351924","ISSN":"1528-0020","PMID":"21816830","abstract":"We designed a phase 1-2 study to evaluate the safety and the efficacy of increasing doses of bendamustine (160 mg/m², 180 mg/m², and 200 mg/m² given on days -7 and -6) coupled with fixed doses of etoposide, cytarabine, and melphalan (BeEAM regimen) as the conditioning regimen to autologous stem cell transplantation for resistant/relapsed lymphoma patients. Forty-three patients (median age, 47 years) with non-Hodgkin (n = 28) or Hodgkin (n = 15) lymphoma were consecutively treated. Nine patients entered the phase 1 study; no patients experienced a dose-limiting toxicity. Thirty-four additional patients were then treated in the phase 2. A median number of 6 × 10⁶ CD34(+) cells/kg (range, 2.4-15.5) were reinfused. All patients engrafted, with a median time to absolute neutrophil count &gt; 0.5 × 10⁹/L of 10 days. The 100-day transplantation-related mortality was 0%. After a median follow-up of 18 months, 35 of 43 patients (81%) are in complete remission, whereas 6 of 43 relapsed and 2 of 43 did not respond. Disease type (non-Hodgkin lymphomas vs Hodgkin disease) and disease status at transplantation (chemosensitive vs chemoresistant) significantly influenced DFS (P = .01; P = .007). Remarkably, 4 of 43 (9%) patients achieved the first complete remission after receiving the high-dose therapy with autologous stem cell transplantation. In conclusion, the new BeEAM regimen is safe and effective for heavily pretreated lymphoma patients. The study was registered at European Medicines Agency (EudraCT number 2008-002736-15).","author":[{"dropping-particle":"","family":"Visani","given":"Giuseppe","non-dropping-particle":"","parse-names":false,"suffix":""},{"dropping-particle":"","family":"Malerba","given":"Lara","non-dropping-particle":"","parse-names":false,"suffix":""},{"dropping-particle":"","family":"Stefani","given":"Pietro Maria","non-dropping-particle":"","parse-names":false,"suffix":""},{"dropping-particle":"","family":"Capria","given":"Saveria","non-dropping-particle":"","parse-names":false,"suffix":""},{"dropping-particle":"","family":"Galieni","given":"Piero","non-dropping-particle":"","parse-names":false,"suffix":""},{"dropping-particle":"","family":"Gaudio","given":"Francesco","non-dropping-particle":"","parse-names":false,"suffix":""},{"dropping-particle":"","family":"Specchia","given":"Giorgina","non-dropping-particle":"","parse-names":false,"suffix":""},{"dropping-particle":"","family":"Meloni","given":"Giovanna","non-dropping-particle":"","parse-names":false,"suffix":""},{"dropping-particle":"","family":"Gherlinzoni","given":"Filippo","non-dropping-particle":"","parse-names":false,"suffix":""},{"dropping-particle":"","family":"Giardini","given":"Claudio","non-dropping-particle":"","parse-names":false,"suffix":""},{"dropping-particle":"","family":"Falcioni","given":"Sadia","non-dropping-particle":"","parse-names":false,"suffix":""},{"dropping-particle":"","family":"Cuberli","given":"Francesca","non-dropping-particle":"","parse-names":false,"suffix":""},{"dropping-particle":"","family":"Gobbi","given":"Marco","non-dropping-particle":"","parse-names":false,"suffix":""},{"dropping-particle":"","family":"Sarina","given":"Barbara","non-dropping-particle":"","parse-names":false,"suffix":""},{"dropping-particle":"","family":"Santoro","given":"Armando","non-dropping-particle":"","parse-names":false,"suffix":""},{"dropping-particle":"","family":"Ferrara","given":"Felicetto","non-dropping-particle":"","parse-names":false,"suffix":""},{"dropping-particle":"","family":"Rocchi","given":"Marco","non-dropping-particle":"","parse-names":false,"suffix":""},{"dropping-particle":"","family":"Ocio","given":"Enrique M","non-dropping-particle":"","parse-names":false,"suffix":""},{"dropping-particle":"","family":"Caballero","given":"Maria Dolores","non-dropping-particle":"","parse-names":false,"suffix":""},{"dropping-particle":"","family":"Isidori","given":"Alessandro","non-dropping-particle":"","parse-names":false,"suffix":""}],"container-title":"Blood","id":"ITEM-2","issue":"12","issued":{"date-parts":[["2011","9","22"]]},"page":"3419-25","title":"BeEAM (bendamustine, etoposide, cytarabine, melphalan) before autologous stem cell transplantation is safe and effective for resistant/relapsed lymphoma patients.","type":"article-journal","volume":"118"},"uris":["http://www.mendeley.com/documents/?uuid=ab79b1d2-22d1-3d69-b3cc-3774a11bbd10"]}],"mendeley":{"formattedCitation":"[192,193]","plainTextFormattedCitation":"[192,193]","previouslyFormattedCitation":"[192,193]"},"properties":{"noteIndex":0},"schema":"https://github.com/citation-style-language/schema/raw/master/csl-citation.json"}</w:instrText>
      </w:r>
      <w:r w:rsidRPr="00BA4F0F">
        <w:rPr>
          <w:rFonts w:cs="Times New Roman"/>
          <w:szCs w:val="24"/>
        </w:rPr>
        <w:fldChar w:fldCharType="separate"/>
      </w:r>
      <w:r w:rsidR="004810E5" w:rsidRPr="004810E5">
        <w:rPr>
          <w:rFonts w:cs="Times New Roman"/>
          <w:noProof/>
          <w:szCs w:val="24"/>
        </w:rPr>
        <w:t>[192,193]</w:t>
      </w:r>
      <w:r w:rsidRPr="00BA4F0F">
        <w:rPr>
          <w:rFonts w:cs="Times New Roman"/>
          <w:szCs w:val="24"/>
        </w:rPr>
        <w:fldChar w:fldCharType="end"/>
      </w:r>
    </w:p>
    <w:tbl>
      <w:tblPr>
        <w:tblStyle w:val="aff9"/>
        <w:tblW w:w="0" w:type="auto"/>
        <w:tblInd w:w="108" w:type="dxa"/>
        <w:tblLayout w:type="fixed"/>
        <w:tblLook w:val="04A0" w:firstRow="1" w:lastRow="0" w:firstColumn="1" w:lastColumn="0" w:noHBand="0" w:noVBand="1"/>
      </w:tblPr>
      <w:tblGrid>
        <w:gridCol w:w="1418"/>
        <w:gridCol w:w="1701"/>
        <w:gridCol w:w="1134"/>
        <w:gridCol w:w="1276"/>
        <w:gridCol w:w="1275"/>
        <w:gridCol w:w="2659"/>
      </w:tblGrid>
      <w:tr w:rsidR="0075793D" w:rsidRPr="00BA4F0F" w14:paraId="0D383AC1" w14:textId="77777777" w:rsidTr="002D3EBF">
        <w:tc>
          <w:tcPr>
            <w:tcW w:w="1418" w:type="dxa"/>
          </w:tcPr>
          <w:p w14:paraId="370EB5DB" w14:textId="77777777" w:rsidR="0075793D" w:rsidRPr="00BA4F0F" w:rsidRDefault="0075793D" w:rsidP="00E242EE">
            <w:pPr>
              <w:pStyle w:val="afe"/>
              <w:ind w:left="0" w:firstLine="0"/>
              <w:rPr>
                <w:rFonts w:cs="Times New Roman"/>
                <w:szCs w:val="24"/>
              </w:rPr>
            </w:pPr>
            <w:r w:rsidRPr="00BA4F0F">
              <w:rPr>
                <w:rFonts w:cs="Times New Roman"/>
                <w:szCs w:val="24"/>
              </w:rPr>
              <w:t>Препарат</w:t>
            </w:r>
          </w:p>
        </w:tc>
        <w:tc>
          <w:tcPr>
            <w:tcW w:w="1701" w:type="dxa"/>
          </w:tcPr>
          <w:p w14:paraId="4A6360EF" w14:textId="77777777" w:rsidR="0075793D" w:rsidRPr="00BA4F0F" w:rsidRDefault="0075793D" w:rsidP="00E242EE">
            <w:pPr>
              <w:pStyle w:val="afe"/>
              <w:ind w:left="0" w:firstLine="0"/>
              <w:rPr>
                <w:rFonts w:cs="Times New Roman"/>
                <w:szCs w:val="24"/>
              </w:rPr>
            </w:pPr>
            <w:r w:rsidRPr="00BA4F0F">
              <w:rPr>
                <w:rFonts w:cs="Times New Roman"/>
                <w:szCs w:val="24"/>
              </w:rPr>
              <w:t>Дни введения перед ауто-ТГСК</w:t>
            </w:r>
          </w:p>
        </w:tc>
        <w:tc>
          <w:tcPr>
            <w:tcW w:w="1134" w:type="dxa"/>
          </w:tcPr>
          <w:p w14:paraId="618A8A83" w14:textId="77777777" w:rsidR="0075793D" w:rsidRPr="00BA4F0F" w:rsidRDefault="0075793D" w:rsidP="00E242EE">
            <w:pPr>
              <w:pStyle w:val="afe"/>
              <w:ind w:left="0" w:firstLine="0"/>
              <w:rPr>
                <w:rFonts w:cs="Times New Roman"/>
                <w:szCs w:val="24"/>
              </w:rPr>
            </w:pPr>
            <w:r w:rsidRPr="00BA4F0F">
              <w:rPr>
                <w:rFonts w:cs="Times New Roman"/>
                <w:szCs w:val="24"/>
              </w:rPr>
              <w:t>Разовая доза</w:t>
            </w:r>
          </w:p>
        </w:tc>
        <w:tc>
          <w:tcPr>
            <w:tcW w:w="1276" w:type="dxa"/>
          </w:tcPr>
          <w:p w14:paraId="1AF0ADB1" w14:textId="77777777" w:rsidR="0075793D" w:rsidRPr="00BA4F0F" w:rsidRDefault="0075793D" w:rsidP="00E242EE">
            <w:pPr>
              <w:pStyle w:val="afe"/>
              <w:ind w:left="0" w:firstLine="0"/>
              <w:rPr>
                <w:rFonts w:cs="Times New Roman"/>
                <w:szCs w:val="24"/>
              </w:rPr>
            </w:pPr>
            <w:r w:rsidRPr="00BA4F0F">
              <w:rPr>
                <w:rFonts w:cs="Times New Roman"/>
                <w:szCs w:val="24"/>
              </w:rPr>
              <w:t>Суточная доза</w:t>
            </w:r>
          </w:p>
        </w:tc>
        <w:tc>
          <w:tcPr>
            <w:tcW w:w="1275" w:type="dxa"/>
          </w:tcPr>
          <w:p w14:paraId="1E441A92" w14:textId="77777777" w:rsidR="0075793D" w:rsidRPr="00BA4F0F" w:rsidRDefault="0075793D" w:rsidP="00E242EE">
            <w:pPr>
              <w:pStyle w:val="afe"/>
              <w:ind w:left="0" w:firstLine="0"/>
              <w:rPr>
                <w:rFonts w:cs="Times New Roman"/>
                <w:szCs w:val="24"/>
              </w:rPr>
            </w:pPr>
            <w:r w:rsidRPr="00BA4F0F">
              <w:rPr>
                <w:rFonts w:cs="Times New Roman"/>
                <w:szCs w:val="24"/>
              </w:rPr>
              <w:t>Курсовая доза</w:t>
            </w:r>
          </w:p>
        </w:tc>
        <w:tc>
          <w:tcPr>
            <w:tcW w:w="2659" w:type="dxa"/>
          </w:tcPr>
          <w:p w14:paraId="35BC2084" w14:textId="77777777" w:rsidR="0075793D" w:rsidRPr="00BA4F0F" w:rsidRDefault="0075793D" w:rsidP="00E242EE">
            <w:pPr>
              <w:pStyle w:val="afe"/>
              <w:ind w:left="0" w:firstLine="0"/>
              <w:rPr>
                <w:rFonts w:cs="Times New Roman"/>
                <w:szCs w:val="24"/>
              </w:rPr>
            </w:pPr>
            <w:r w:rsidRPr="00BA4F0F">
              <w:rPr>
                <w:rFonts w:cs="Times New Roman"/>
                <w:szCs w:val="24"/>
              </w:rPr>
              <w:t>Особенности введения</w:t>
            </w:r>
          </w:p>
        </w:tc>
      </w:tr>
      <w:tr w:rsidR="0075793D" w:rsidRPr="00BA4F0F" w14:paraId="2499B94A" w14:textId="77777777" w:rsidTr="002D3EBF">
        <w:tc>
          <w:tcPr>
            <w:tcW w:w="1418" w:type="dxa"/>
          </w:tcPr>
          <w:p w14:paraId="4132A693" w14:textId="77777777" w:rsidR="0075793D" w:rsidRPr="00BA4F0F" w:rsidRDefault="0075793D" w:rsidP="00E242EE">
            <w:pPr>
              <w:pStyle w:val="afe"/>
              <w:ind w:left="0" w:firstLine="0"/>
              <w:jc w:val="center"/>
              <w:rPr>
                <w:rFonts w:cs="Times New Roman"/>
                <w:szCs w:val="24"/>
              </w:rPr>
            </w:pPr>
            <w:r w:rsidRPr="00BA4F0F">
              <w:rPr>
                <w:rFonts w:cs="Times New Roman"/>
                <w:szCs w:val="24"/>
              </w:rPr>
              <w:t>Бендамустин</w:t>
            </w:r>
          </w:p>
        </w:tc>
        <w:tc>
          <w:tcPr>
            <w:tcW w:w="1701" w:type="dxa"/>
          </w:tcPr>
          <w:p w14:paraId="4F2D328A" w14:textId="77777777" w:rsidR="0075793D" w:rsidRPr="00BA4F0F" w:rsidRDefault="0075793D" w:rsidP="00E242EE">
            <w:pPr>
              <w:pStyle w:val="afe"/>
              <w:ind w:left="0" w:firstLine="0"/>
              <w:jc w:val="center"/>
              <w:rPr>
                <w:rFonts w:cs="Times New Roman"/>
                <w:szCs w:val="24"/>
              </w:rPr>
            </w:pPr>
            <w:r w:rsidRPr="00BA4F0F">
              <w:rPr>
                <w:rFonts w:cs="Times New Roman"/>
                <w:szCs w:val="24"/>
              </w:rPr>
              <w:t>-7, -6 день</w:t>
            </w:r>
          </w:p>
        </w:tc>
        <w:tc>
          <w:tcPr>
            <w:tcW w:w="1134" w:type="dxa"/>
          </w:tcPr>
          <w:p w14:paraId="13F8A982" w14:textId="77777777" w:rsidR="0075793D" w:rsidRPr="00BA4F0F" w:rsidRDefault="0075793D" w:rsidP="00E242EE">
            <w:pPr>
              <w:pStyle w:val="afe"/>
              <w:ind w:left="0" w:firstLine="0"/>
              <w:jc w:val="center"/>
              <w:rPr>
                <w:rFonts w:cs="Times New Roman"/>
                <w:szCs w:val="24"/>
              </w:rPr>
            </w:pPr>
            <w:r w:rsidRPr="00BA4F0F">
              <w:rPr>
                <w:rFonts w:cs="Times New Roman"/>
                <w:szCs w:val="24"/>
              </w:rPr>
              <w:t>200мг/м</w:t>
            </w:r>
            <w:r w:rsidRPr="00BA4F0F">
              <w:rPr>
                <w:rFonts w:cs="Times New Roman"/>
                <w:szCs w:val="24"/>
                <w:vertAlign w:val="superscript"/>
              </w:rPr>
              <w:t>2</w:t>
            </w:r>
          </w:p>
        </w:tc>
        <w:tc>
          <w:tcPr>
            <w:tcW w:w="1276" w:type="dxa"/>
          </w:tcPr>
          <w:p w14:paraId="458B9DBE" w14:textId="77777777" w:rsidR="0075793D" w:rsidRPr="00BA4F0F" w:rsidRDefault="0075793D" w:rsidP="00E242EE">
            <w:pPr>
              <w:pStyle w:val="afe"/>
              <w:ind w:left="0" w:firstLine="0"/>
              <w:jc w:val="center"/>
              <w:rPr>
                <w:rFonts w:cs="Times New Roman"/>
                <w:szCs w:val="24"/>
              </w:rPr>
            </w:pPr>
            <w:r w:rsidRPr="00BA4F0F">
              <w:rPr>
                <w:rFonts w:cs="Times New Roman"/>
                <w:szCs w:val="24"/>
              </w:rPr>
              <w:t>200 мг/м</w:t>
            </w:r>
            <w:r w:rsidRPr="00BA4F0F">
              <w:rPr>
                <w:rFonts w:cs="Times New Roman"/>
                <w:szCs w:val="24"/>
                <w:vertAlign w:val="superscript"/>
              </w:rPr>
              <w:t>2</w:t>
            </w:r>
          </w:p>
        </w:tc>
        <w:tc>
          <w:tcPr>
            <w:tcW w:w="1275" w:type="dxa"/>
          </w:tcPr>
          <w:p w14:paraId="182F60BC" w14:textId="77777777" w:rsidR="0075793D" w:rsidRPr="00BA4F0F" w:rsidRDefault="0075793D" w:rsidP="00E242EE">
            <w:pPr>
              <w:pStyle w:val="afe"/>
              <w:ind w:left="0" w:firstLine="0"/>
              <w:jc w:val="center"/>
              <w:rPr>
                <w:rFonts w:cs="Times New Roman"/>
                <w:szCs w:val="24"/>
              </w:rPr>
            </w:pPr>
            <w:r w:rsidRPr="00BA4F0F">
              <w:rPr>
                <w:rFonts w:cs="Times New Roman"/>
                <w:szCs w:val="24"/>
              </w:rPr>
              <w:t>400 мг/м</w:t>
            </w:r>
            <w:r w:rsidRPr="00BA4F0F">
              <w:rPr>
                <w:rFonts w:cs="Times New Roman"/>
                <w:szCs w:val="24"/>
                <w:vertAlign w:val="superscript"/>
              </w:rPr>
              <w:t>2</w:t>
            </w:r>
          </w:p>
        </w:tc>
        <w:tc>
          <w:tcPr>
            <w:tcW w:w="2659" w:type="dxa"/>
          </w:tcPr>
          <w:p w14:paraId="6C9ED68C" w14:textId="77777777" w:rsidR="0075793D" w:rsidRPr="00BA4F0F" w:rsidRDefault="0075793D" w:rsidP="00E242EE">
            <w:pPr>
              <w:pStyle w:val="afe"/>
              <w:ind w:left="0" w:firstLine="0"/>
              <w:rPr>
                <w:rFonts w:cs="Times New Roman"/>
                <w:szCs w:val="24"/>
              </w:rPr>
            </w:pPr>
            <w:r w:rsidRPr="00BA4F0F">
              <w:rPr>
                <w:rFonts w:cs="Times New Roman"/>
                <w:szCs w:val="24"/>
              </w:rPr>
              <w:t xml:space="preserve">Вводится в/в в виде инфузии в течение 30-60 минут в 500 мл 0,9% </w:t>
            </w:r>
            <w:r w:rsidRPr="00BA4F0F">
              <w:rPr>
                <w:rFonts w:cs="Times New Roman"/>
                <w:szCs w:val="24"/>
                <w:lang w:val="en-US"/>
              </w:rPr>
              <w:t>NaCl</w:t>
            </w:r>
          </w:p>
        </w:tc>
      </w:tr>
      <w:tr w:rsidR="0075793D" w:rsidRPr="00BA4F0F" w14:paraId="3A00D2CC" w14:textId="77777777" w:rsidTr="002D3EBF">
        <w:tc>
          <w:tcPr>
            <w:tcW w:w="1418" w:type="dxa"/>
          </w:tcPr>
          <w:p w14:paraId="38660C3F" w14:textId="77777777" w:rsidR="0075793D" w:rsidRPr="00BA4F0F" w:rsidRDefault="0075793D" w:rsidP="00E242EE">
            <w:pPr>
              <w:pStyle w:val="afe"/>
              <w:ind w:left="0" w:firstLine="0"/>
              <w:jc w:val="center"/>
              <w:rPr>
                <w:rFonts w:cs="Times New Roman"/>
                <w:szCs w:val="24"/>
              </w:rPr>
            </w:pPr>
            <w:r w:rsidRPr="00BA4F0F">
              <w:rPr>
                <w:rFonts w:cs="Times New Roman"/>
                <w:szCs w:val="24"/>
              </w:rPr>
              <w:t>Этопозид</w:t>
            </w:r>
          </w:p>
        </w:tc>
        <w:tc>
          <w:tcPr>
            <w:tcW w:w="1701" w:type="dxa"/>
          </w:tcPr>
          <w:p w14:paraId="3DF0A7DA" w14:textId="77777777" w:rsidR="0075793D" w:rsidRPr="00BA4F0F" w:rsidRDefault="0075793D" w:rsidP="00E242EE">
            <w:pPr>
              <w:pStyle w:val="afe"/>
              <w:ind w:left="0" w:firstLine="0"/>
              <w:jc w:val="center"/>
              <w:rPr>
                <w:rFonts w:cs="Times New Roman"/>
                <w:szCs w:val="24"/>
              </w:rPr>
            </w:pPr>
            <w:r w:rsidRPr="00BA4F0F">
              <w:rPr>
                <w:rFonts w:cs="Times New Roman"/>
                <w:szCs w:val="24"/>
              </w:rPr>
              <w:t>-5, -4, -3, -2 дни</w:t>
            </w:r>
          </w:p>
        </w:tc>
        <w:tc>
          <w:tcPr>
            <w:tcW w:w="1134" w:type="dxa"/>
          </w:tcPr>
          <w:p w14:paraId="54641D4D" w14:textId="77777777" w:rsidR="0075793D" w:rsidRPr="00BA4F0F" w:rsidRDefault="0075793D" w:rsidP="00E242EE">
            <w:pPr>
              <w:pStyle w:val="afe"/>
              <w:ind w:left="0" w:firstLine="0"/>
              <w:jc w:val="center"/>
              <w:rPr>
                <w:rFonts w:cs="Times New Roman"/>
                <w:szCs w:val="24"/>
              </w:rPr>
            </w:pPr>
            <w:r w:rsidRPr="00BA4F0F">
              <w:rPr>
                <w:rFonts w:cs="Times New Roman"/>
                <w:szCs w:val="24"/>
              </w:rPr>
              <w:t>200мг/м</w:t>
            </w:r>
            <w:r w:rsidRPr="00BA4F0F">
              <w:rPr>
                <w:rFonts w:cs="Times New Roman"/>
                <w:szCs w:val="24"/>
                <w:vertAlign w:val="superscript"/>
              </w:rPr>
              <w:t>2</w:t>
            </w:r>
          </w:p>
        </w:tc>
        <w:tc>
          <w:tcPr>
            <w:tcW w:w="1276" w:type="dxa"/>
          </w:tcPr>
          <w:p w14:paraId="1FC4FB46" w14:textId="77777777" w:rsidR="0075793D" w:rsidRPr="00BA4F0F" w:rsidRDefault="0075793D" w:rsidP="00E242EE">
            <w:pPr>
              <w:pStyle w:val="afe"/>
              <w:ind w:left="0" w:firstLine="0"/>
              <w:jc w:val="center"/>
              <w:rPr>
                <w:rFonts w:cs="Times New Roman"/>
                <w:szCs w:val="24"/>
              </w:rPr>
            </w:pPr>
            <w:r w:rsidRPr="00BA4F0F">
              <w:rPr>
                <w:rFonts w:cs="Times New Roman"/>
                <w:szCs w:val="24"/>
              </w:rPr>
              <w:t>200 мг/м</w:t>
            </w:r>
            <w:r w:rsidRPr="00BA4F0F">
              <w:rPr>
                <w:rFonts w:cs="Times New Roman"/>
                <w:szCs w:val="24"/>
                <w:vertAlign w:val="superscript"/>
              </w:rPr>
              <w:t>2</w:t>
            </w:r>
          </w:p>
        </w:tc>
        <w:tc>
          <w:tcPr>
            <w:tcW w:w="1275" w:type="dxa"/>
          </w:tcPr>
          <w:p w14:paraId="62E88046" w14:textId="77777777" w:rsidR="0075793D" w:rsidRPr="00BA4F0F" w:rsidRDefault="0075793D" w:rsidP="00E242EE">
            <w:pPr>
              <w:pStyle w:val="afe"/>
              <w:ind w:left="0" w:firstLine="0"/>
              <w:jc w:val="center"/>
              <w:rPr>
                <w:rFonts w:cs="Times New Roman"/>
                <w:szCs w:val="24"/>
              </w:rPr>
            </w:pPr>
            <w:r w:rsidRPr="00BA4F0F">
              <w:rPr>
                <w:rFonts w:cs="Times New Roman"/>
                <w:szCs w:val="24"/>
              </w:rPr>
              <w:t>800 мг/м</w:t>
            </w:r>
            <w:r w:rsidRPr="00BA4F0F">
              <w:rPr>
                <w:rFonts w:cs="Times New Roman"/>
                <w:szCs w:val="24"/>
                <w:vertAlign w:val="superscript"/>
              </w:rPr>
              <w:t>2</w:t>
            </w:r>
          </w:p>
        </w:tc>
        <w:tc>
          <w:tcPr>
            <w:tcW w:w="2659" w:type="dxa"/>
          </w:tcPr>
          <w:p w14:paraId="0C8DE116" w14:textId="77777777" w:rsidR="0075793D" w:rsidRPr="00BA4F0F" w:rsidRDefault="0075793D" w:rsidP="00E242EE">
            <w:pPr>
              <w:pStyle w:val="afe"/>
              <w:ind w:left="0" w:firstLine="0"/>
              <w:rPr>
                <w:rFonts w:cs="Times New Roman"/>
                <w:szCs w:val="24"/>
              </w:rPr>
            </w:pPr>
            <w:r w:rsidRPr="00BA4F0F">
              <w:rPr>
                <w:rFonts w:cs="Times New Roman"/>
                <w:szCs w:val="24"/>
              </w:rPr>
              <w:t xml:space="preserve">Вводится в/в в виде инфузии в течение 30 минут в 500 мл 0,9% </w:t>
            </w:r>
            <w:r w:rsidRPr="00BA4F0F">
              <w:rPr>
                <w:rFonts w:cs="Times New Roman"/>
                <w:szCs w:val="24"/>
                <w:lang w:val="en-US"/>
              </w:rPr>
              <w:t>NaCl</w:t>
            </w:r>
          </w:p>
        </w:tc>
      </w:tr>
      <w:tr w:rsidR="0075793D" w:rsidRPr="00BA4F0F" w14:paraId="2A67F669" w14:textId="77777777" w:rsidTr="002D3EBF">
        <w:tc>
          <w:tcPr>
            <w:tcW w:w="1418" w:type="dxa"/>
          </w:tcPr>
          <w:p w14:paraId="4CA3B2BA" w14:textId="77777777" w:rsidR="0075793D" w:rsidRPr="00BA4F0F" w:rsidRDefault="0075793D" w:rsidP="00E242EE">
            <w:pPr>
              <w:pStyle w:val="afe"/>
              <w:ind w:left="0" w:firstLine="0"/>
              <w:jc w:val="center"/>
              <w:rPr>
                <w:rFonts w:cs="Times New Roman"/>
                <w:szCs w:val="24"/>
              </w:rPr>
            </w:pPr>
            <w:r w:rsidRPr="00BA4F0F">
              <w:rPr>
                <w:rFonts w:cs="Times New Roman"/>
                <w:szCs w:val="24"/>
              </w:rPr>
              <w:t>Цитарабин</w:t>
            </w:r>
          </w:p>
        </w:tc>
        <w:tc>
          <w:tcPr>
            <w:tcW w:w="1701" w:type="dxa"/>
          </w:tcPr>
          <w:p w14:paraId="3F0C6283" w14:textId="77777777" w:rsidR="0075793D" w:rsidRPr="00BA4F0F" w:rsidRDefault="0075793D" w:rsidP="00E242EE">
            <w:pPr>
              <w:pStyle w:val="afe"/>
              <w:ind w:left="0" w:firstLine="0"/>
              <w:jc w:val="center"/>
              <w:rPr>
                <w:rFonts w:cs="Times New Roman"/>
                <w:szCs w:val="24"/>
              </w:rPr>
            </w:pPr>
            <w:r w:rsidRPr="00BA4F0F">
              <w:rPr>
                <w:rFonts w:cs="Times New Roman"/>
                <w:szCs w:val="24"/>
              </w:rPr>
              <w:t>-5, -4, -3, -2 дни</w:t>
            </w:r>
          </w:p>
        </w:tc>
        <w:tc>
          <w:tcPr>
            <w:tcW w:w="1134" w:type="dxa"/>
          </w:tcPr>
          <w:p w14:paraId="592C065E" w14:textId="77777777" w:rsidR="0075793D" w:rsidRPr="00BA4F0F" w:rsidRDefault="0075793D" w:rsidP="00E242EE">
            <w:pPr>
              <w:pStyle w:val="afe"/>
              <w:ind w:left="0" w:firstLine="0"/>
              <w:jc w:val="center"/>
              <w:rPr>
                <w:rFonts w:cs="Times New Roman"/>
                <w:szCs w:val="24"/>
              </w:rPr>
            </w:pPr>
            <w:r w:rsidRPr="00BA4F0F">
              <w:rPr>
                <w:rFonts w:cs="Times New Roman"/>
                <w:szCs w:val="24"/>
              </w:rPr>
              <w:t>200мг/м</w:t>
            </w:r>
            <w:r w:rsidRPr="00BA4F0F">
              <w:rPr>
                <w:rFonts w:cs="Times New Roman"/>
                <w:szCs w:val="24"/>
                <w:vertAlign w:val="superscript"/>
              </w:rPr>
              <w:t>2</w:t>
            </w:r>
          </w:p>
        </w:tc>
        <w:tc>
          <w:tcPr>
            <w:tcW w:w="1276" w:type="dxa"/>
          </w:tcPr>
          <w:p w14:paraId="08FD28A2" w14:textId="77777777" w:rsidR="0075793D" w:rsidRPr="00BA4F0F" w:rsidRDefault="0075793D" w:rsidP="00E242EE">
            <w:pPr>
              <w:pStyle w:val="afe"/>
              <w:ind w:left="0" w:firstLine="0"/>
              <w:jc w:val="center"/>
              <w:rPr>
                <w:rFonts w:cs="Times New Roman"/>
                <w:szCs w:val="24"/>
              </w:rPr>
            </w:pPr>
            <w:r w:rsidRPr="00BA4F0F">
              <w:rPr>
                <w:rFonts w:cs="Times New Roman"/>
                <w:szCs w:val="24"/>
              </w:rPr>
              <w:t>400 мг/ м</w:t>
            </w:r>
            <w:r w:rsidRPr="00BA4F0F">
              <w:rPr>
                <w:rFonts w:cs="Times New Roman"/>
                <w:szCs w:val="24"/>
                <w:vertAlign w:val="superscript"/>
              </w:rPr>
              <w:t>2</w:t>
            </w:r>
          </w:p>
        </w:tc>
        <w:tc>
          <w:tcPr>
            <w:tcW w:w="1275" w:type="dxa"/>
          </w:tcPr>
          <w:p w14:paraId="730C7237" w14:textId="77777777" w:rsidR="0075793D" w:rsidRPr="00BA4F0F" w:rsidRDefault="0075793D" w:rsidP="00E242EE">
            <w:pPr>
              <w:pStyle w:val="afe"/>
              <w:ind w:left="0" w:firstLine="0"/>
              <w:jc w:val="center"/>
              <w:rPr>
                <w:rFonts w:cs="Times New Roman"/>
                <w:szCs w:val="24"/>
              </w:rPr>
            </w:pPr>
            <w:r w:rsidRPr="00BA4F0F">
              <w:rPr>
                <w:rFonts w:cs="Times New Roman"/>
                <w:szCs w:val="24"/>
              </w:rPr>
              <w:t>1600 мг/м</w:t>
            </w:r>
            <w:r w:rsidRPr="00BA4F0F">
              <w:rPr>
                <w:rFonts w:cs="Times New Roman"/>
                <w:szCs w:val="24"/>
                <w:vertAlign w:val="superscript"/>
              </w:rPr>
              <w:t>2</w:t>
            </w:r>
          </w:p>
        </w:tc>
        <w:tc>
          <w:tcPr>
            <w:tcW w:w="2659" w:type="dxa"/>
          </w:tcPr>
          <w:p w14:paraId="3F869DFE" w14:textId="77777777" w:rsidR="0075793D" w:rsidRPr="00BA4F0F" w:rsidRDefault="0075793D" w:rsidP="00E242EE">
            <w:pPr>
              <w:pStyle w:val="afe"/>
              <w:ind w:left="0" w:firstLine="0"/>
              <w:rPr>
                <w:rFonts w:cs="Times New Roman"/>
                <w:szCs w:val="24"/>
              </w:rPr>
            </w:pPr>
            <w:r w:rsidRPr="00BA4F0F">
              <w:rPr>
                <w:rFonts w:cs="Times New Roman"/>
                <w:szCs w:val="24"/>
              </w:rPr>
              <w:t xml:space="preserve">Вводится в/в в виде инфузии в течение 30 минут в 500 мл 0,9% </w:t>
            </w:r>
            <w:r w:rsidRPr="00BA4F0F">
              <w:rPr>
                <w:rFonts w:cs="Times New Roman"/>
                <w:szCs w:val="24"/>
                <w:lang w:val="en-US"/>
              </w:rPr>
              <w:t>NaCl</w:t>
            </w:r>
          </w:p>
        </w:tc>
      </w:tr>
      <w:tr w:rsidR="0075793D" w:rsidRPr="00BA4F0F" w14:paraId="094FA1EC" w14:textId="77777777" w:rsidTr="002D3EBF">
        <w:tc>
          <w:tcPr>
            <w:tcW w:w="1418" w:type="dxa"/>
          </w:tcPr>
          <w:p w14:paraId="7164EB84" w14:textId="77777777" w:rsidR="0075793D" w:rsidRPr="00BA4F0F" w:rsidRDefault="0075793D" w:rsidP="00E242EE">
            <w:pPr>
              <w:pStyle w:val="afe"/>
              <w:ind w:left="0" w:firstLine="0"/>
              <w:jc w:val="center"/>
              <w:rPr>
                <w:rFonts w:cs="Times New Roman"/>
                <w:szCs w:val="24"/>
              </w:rPr>
            </w:pPr>
            <w:r w:rsidRPr="00BA4F0F">
              <w:rPr>
                <w:rFonts w:cs="Times New Roman"/>
                <w:szCs w:val="24"/>
              </w:rPr>
              <w:t>Мелфалан</w:t>
            </w:r>
          </w:p>
        </w:tc>
        <w:tc>
          <w:tcPr>
            <w:tcW w:w="1701" w:type="dxa"/>
          </w:tcPr>
          <w:p w14:paraId="47AC0AD5" w14:textId="77777777" w:rsidR="0075793D" w:rsidRPr="00BA4F0F" w:rsidRDefault="0075793D" w:rsidP="00E242EE">
            <w:pPr>
              <w:pStyle w:val="afe"/>
              <w:ind w:left="0" w:firstLine="0"/>
              <w:jc w:val="center"/>
              <w:rPr>
                <w:rFonts w:cs="Times New Roman"/>
                <w:szCs w:val="24"/>
              </w:rPr>
            </w:pPr>
            <w:r w:rsidRPr="00BA4F0F">
              <w:rPr>
                <w:rFonts w:cs="Times New Roman"/>
                <w:szCs w:val="24"/>
              </w:rPr>
              <w:t>- 1 день</w:t>
            </w:r>
          </w:p>
        </w:tc>
        <w:tc>
          <w:tcPr>
            <w:tcW w:w="1134" w:type="dxa"/>
          </w:tcPr>
          <w:p w14:paraId="2E286C2A" w14:textId="77777777" w:rsidR="0075793D" w:rsidRPr="00BA4F0F" w:rsidRDefault="0075793D" w:rsidP="00E242EE">
            <w:pPr>
              <w:pStyle w:val="afe"/>
              <w:ind w:left="0" w:firstLine="0"/>
              <w:jc w:val="center"/>
              <w:rPr>
                <w:rFonts w:cs="Times New Roman"/>
                <w:szCs w:val="24"/>
              </w:rPr>
            </w:pPr>
            <w:r w:rsidRPr="00BA4F0F">
              <w:rPr>
                <w:rFonts w:cs="Times New Roman"/>
                <w:szCs w:val="24"/>
              </w:rPr>
              <w:t>140мг/м</w:t>
            </w:r>
            <w:r w:rsidRPr="00BA4F0F">
              <w:rPr>
                <w:rFonts w:cs="Times New Roman"/>
                <w:szCs w:val="24"/>
                <w:vertAlign w:val="superscript"/>
              </w:rPr>
              <w:t>2</w:t>
            </w:r>
          </w:p>
        </w:tc>
        <w:tc>
          <w:tcPr>
            <w:tcW w:w="1276" w:type="dxa"/>
          </w:tcPr>
          <w:p w14:paraId="5FCA587A" w14:textId="77777777" w:rsidR="0075793D" w:rsidRPr="00BA4F0F" w:rsidRDefault="0075793D" w:rsidP="00E242EE">
            <w:pPr>
              <w:pStyle w:val="afe"/>
              <w:ind w:left="0" w:firstLine="0"/>
              <w:jc w:val="center"/>
              <w:rPr>
                <w:rFonts w:cs="Times New Roman"/>
                <w:szCs w:val="24"/>
              </w:rPr>
            </w:pPr>
            <w:r w:rsidRPr="00BA4F0F">
              <w:rPr>
                <w:rFonts w:cs="Times New Roman"/>
                <w:szCs w:val="24"/>
              </w:rPr>
              <w:t>140 мг/м</w:t>
            </w:r>
            <w:r w:rsidRPr="00BA4F0F">
              <w:rPr>
                <w:rFonts w:cs="Times New Roman"/>
                <w:szCs w:val="24"/>
                <w:vertAlign w:val="superscript"/>
              </w:rPr>
              <w:t>2</w:t>
            </w:r>
          </w:p>
        </w:tc>
        <w:tc>
          <w:tcPr>
            <w:tcW w:w="1275" w:type="dxa"/>
          </w:tcPr>
          <w:p w14:paraId="70B13CA0" w14:textId="77777777" w:rsidR="0075793D" w:rsidRPr="00BA4F0F" w:rsidRDefault="0075793D" w:rsidP="00E242EE">
            <w:pPr>
              <w:pStyle w:val="afe"/>
              <w:ind w:left="0" w:firstLine="0"/>
              <w:jc w:val="center"/>
              <w:rPr>
                <w:rFonts w:cs="Times New Roman"/>
                <w:szCs w:val="24"/>
              </w:rPr>
            </w:pPr>
            <w:r w:rsidRPr="00BA4F0F">
              <w:rPr>
                <w:rFonts w:cs="Times New Roman"/>
                <w:szCs w:val="24"/>
              </w:rPr>
              <w:t>140 мг/м</w:t>
            </w:r>
            <w:r w:rsidRPr="00BA4F0F">
              <w:rPr>
                <w:rFonts w:cs="Times New Roman"/>
                <w:szCs w:val="24"/>
                <w:vertAlign w:val="superscript"/>
              </w:rPr>
              <w:t>2</w:t>
            </w:r>
          </w:p>
        </w:tc>
        <w:tc>
          <w:tcPr>
            <w:tcW w:w="2659" w:type="dxa"/>
          </w:tcPr>
          <w:p w14:paraId="5A6FAD13" w14:textId="77777777" w:rsidR="0075793D" w:rsidRPr="00BA4F0F" w:rsidRDefault="0075793D" w:rsidP="00E242EE">
            <w:pPr>
              <w:pStyle w:val="afe"/>
              <w:ind w:left="0" w:firstLine="0"/>
              <w:rPr>
                <w:rFonts w:cs="Times New Roman"/>
                <w:szCs w:val="24"/>
              </w:rPr>
            </w:pPr>
            <w:r w:rsidRPr="00BA4F0F">
              <w:rPr>
                <w:rFonts w:cs="Times New Roman"/>
                <w:szCs w:val="24"/>
              </w:rPr>
              <w:t xml:space="preserve">Вводится в/в в виде инфузии в течение 1ч в 500 мл 0,9% </w:t>
            </w:r>
            <w:r w:rsidRPr="00BA4F0F">
              <w:rPr>
                <w:rFonts w:cs="Times New Roman"/>
                <w:szCs w:val="24"/>
                <w:lang w:val="en-US"/>
              </w:rPr>
              <w:t>NaCl</w:t>
            </w:r>
          </w:p>
        </w:tc>
      </w:tr>
    </w:tbl>
    <w:p w14:paraId="4F03A36A" w14:textId="77777777" w:rsidR="0075793D" w:rsidRPr="00BA4F0F" w:rsidRDefault="0075793D" w:rsidP="0075793D">
      <w:pPr>
        <w:pStyle w:val="afe"/>
        <w:ind w:left="0"/>
        <w:rPr>
          <w:rFonts w:cs="Times New Roman"/>
          <w:szCs w:val="24"/>
          <w:u w:val="single"/>
        </w:rPr>
      </w:pPr>
      <w:bookmarkStart w:id="145" w:name="_Toc44926630"/>
    </w:p>
    <w:p w14:paraId="6C8CDBD5" w14:textId="77777777" w:rsidR="0075793D" w:rsidRPr="00BA4F0F" w:rsidRDefault="0075793D" w:rsidP="0075793D">
      <w:pPr>
        <w:rPr>
          <w:rFonts w:cs="Times New Roman"/>
          <w:b/>
          <w:szCs w:val="24"/>
        </w:rPr>
      </w:pPr>
      <w:bookmarkStart w:id="146" w:name="_Toc44926632"/>
      <w:bookmarkEnd w:id="145"/>
      <w:r w:rsidRPr="00BA4F0F">
        <w:rPr>
          <w:rFonts w:cs="Times New Roman"/>
          <w:b/>
          <w:szCs w:val="24"/>
        </w:rPr>
        <w:t>Инфузия аутологичных гемопоэтических стволовых клеток.</w:t>
      </w:r>
      <w:bookmarkEnd w:id="146"/>
    </w:p>
    <w:p w14:paraId="72DA6393" w14:textId="77777777" w:rsidR="0075793D" w:rsidRPr="00BA4F0F" w:rsidRDefault="0075793D" w:rsidP="0075793D">
      <w:pPr>
        <w:rPr>
          <w:rFonts w:cs="Times New Roman"/>
          <w:szCs w:val="24"/>
        </w:rPr>
      </w:pPr>
      <w:r w:rsidRPr="00BA4F0F">
        <w:rPr>
          <w:rFonts w:cs="Times New Roman"/>
          <w:szCs w:val="24"/>
        </w:rPr>
        <w:t>Инфузия гемопоэтических стволовых клеток осуществляется в центральный венозный катетер с соблюдением принципов асептики и антисептики.</w:t>
      </w:r>
    </w:p>
    <w:p w14:paraId="3F2AFF81" w14:textId="77777777" w:rsidR="0075793D" w:rsidRPr="00BA4F0F" w:rsidRDefault="0075793D" w:rsidP="0075793D">
      <w:pPr>
        <w:rPr>
          <w:rFonts w:cs="Times New Roman"/>
          <w:szCs w:val="24"/>
        </w:rPr>
      </w:pPr>
      <w:r w:rsidRPr="00BA4F0F">
        <w:rPr>
          <w:rFonts w:cs="Times New Roman"/>
          <w:szCs w:val="24"/>
        </w:rPr>
        <w:t>Временной интервал после оканчание химиотерапии до инфузии ГСК не менее 24ч.</w:t>
      </w:r>
    </w:p>
    <w:p w14:paraId="6F98D080" w14:textId="77777777" w:rsidR="0075793D" w:rsidRPr="00BA4F0F" w:rsidRDefault="0075793D" w:rsidP="0075793D">
      <w:pPr>
        <w:rPr>
          <w:rFonts w:cs="Times New Roman"/>
          <w:szCs w:val="24"/>
        </w:rPr>
      </w:pPr>
      <w:r w:rsidRPr="00BA4F0F">
        <w:rPr>
          <w:rFonts w:cs="Times New Roman"/>
          <w:szCs w:val="24"/>
        </w:rPr>
        <w:t>Перед началом процедуры трансплантации врач обязан осмотреть криоконсервированные мешки, содержащие ГСК, убедиться в целостности упаковки и отсутствии повреждений, сравнить идентификационные данные, указанные на упаковке с данными пациента.</w:t>
      </w:r>
    </w:p>
    <w:p w14:paraId="5483BA21" w14:textId="77777777" w:rsidR="0075793D" w:rsidRPr="00BA4F0F" w:rsidRDefault="0075793D" w:rsidP="0075793D">
      <w:pPr>
        <w:rPr>
          <w:rFonts w:cs="Times New Roman"/>
          <w:szCs w:val="24"/>
        </w:rPr>
      </w:pPr>
      <w:r w:rsidRPr="00BA4F0F">
        <w:rPr>
          <w:rFonts w:cs="Times New Roman"/>
          <w:szCs w:val="24"/>
        </w:rPr>
        <w:t>Для первого введения выбирают мешок с максимальной клеточностью. При манипуляциях с мешком запрещается использовать металлические предметы (зажимы, пинцеты и т.д.). При наличии нескольких пакетов криоконсервированных ГСК между инфузиями целесообразно делать перерывы. В ряде случаев допустимо введение ГСК в течение 2 дней (пожилые, ослабленные пациенты).</w:t>
      </w:r>
    </w:p>
    <w:p w14:paraId="5C88791A" w14:textId="77777777" w:rsidR="0075793D" w:rsidRPr="00BA4F0F" w:rsidRDefault="0075793D" w:rsidP="0075793D">
      <w:pPr>
        <w:rPr>
          <w:rFonts w:cs="Times New Roman"/>
          <w:szCs w:val="24"/>
        </w:rPr>
      </w:pPr>
      <w:r w:rsidRPr="00BA4F0F">
        <w:rPr>
          <w:rFonts w:cs="Times New Roman"/>
          <w:szCs w:val="24"/>
        </w:rPr>
        <w:t>Криоконсервированные ГСК размораживают на водяной бане или программном размораживателе при температуре 37</w:t>
      </w:r>
      <w:r w:rsidRPr="00BA4F0F">
        <w:rPr>
          <w:rFonts w:cs="Times New Roman"/>
          <w:szCs w:val="24"/>
          <w:vertAlign w:val="superscript"/>
        </w:rPr>
        <w:t>о</w:t>
      </w:r>
      <w:r w:rsidRPr="00BA4F0F">
        <w:rPr>
          <w:rFonts w:cs="Times New Roman"/>
          <w:szCs w:val="24"/>
        </w:rPr>
        <w:t>С. После разморозки врач должен убедиться в том, что в мешке отсутствуют фрагменты льда или сгустки. После этого врач присоединяет мешок к системе для инфузии.</w:t>
      </w:r>
    </w:p>
    <w:p w14:paraId="7A9AB09C" w14:textId="77777777" w:rsidR="0075793D" w:rsidRPr="00BA4F0F" w:rsidRDefault="0075793D" w:rsidP="0075793D">
      <w:pPr>
        <w:rPr>
          <w:rFonts w:cs="Times New Roman"/>
          <w:szCs w:val="24"/>
        </w:rPr>
      </w:pPr>
      <w:r w:rsidRPr="00BA4F0F">
        <w:rPr>
          <w:rFonts w:cs="Times New Roman"/>
          <w:szCs w:val="24"/>
        </w:rPr>
        <w:t>В ряде случаев перед введением лейкоконцентрата в центральный венозный катетер проводится премедикация, для которой используется промедол в стандартной дозировке.</w:t>
      </w:r>
    </w:p>
    <w:p w14:paraId="1B764C88" w14:textId="77777777" w:rsidR="0075793D" w:rsidRPr="00BA4F0F" w:rsidRDefault="0075793D" w:rsidP="0075793D">
      <w:pPr>
        <w:rPr>
          <w:rFonts w:cs="Times New Roman"/>
          <w:szCs w:val="24"/>
        </w:rPr>
      </w:pPr>
      <w:r w:rsidRPr="00BA4F0F">
        <w:rPr>
          <w:rFonts w:cs="Times New Roman"/>
          <w:szCs w:val="24"/>
        </w:rPr>
        <w:t xml:space="preserve">Начальная скорость введения ГСК составляет 3-5 мл/мин (4-5 минут), после чего скорость можно увеличить до максимально возможной. Во время и после инфузий ГСК осуществляется мониторинг жизненно-важных показателей: АД, ЧСС, ЧД. </w:t>
      </w:r>
    </w:p>
    <w:p w14:paraId="2462BAA0" w14:textId="1C2D0012" w:rsidR="0075793D" w:rsidRPr="00BA4F0F" w:rsidRDefault="0075793D" w:rsidP="0075793D">
      <w:pPr>
        <w:rPr>
          <w:rFonts w:cs="Times New Roman"/>
          <w:szCs w:val="24"/>
        </w:rPr>
      </w:pPr>
      <w:r w:rsidRPr="00BA4F0F">
        <w:rPr>
          <w:rFonts w:cs="Times New Roman"/>
          <w:szCs w:val="24"/>
        </w:rPr>
        <w:t xml:space="preserve">В случае развития гемолиза инфузия следующего мешка приостанавливается до купирования осложнений. </w:t>
      </w:r>
    </w:p>
    <w:p w14:paraId="7A9E4EF5" w14:textId="77777777" w:rsidR="0075793D" w:rsidRPr="00BA4F0F" w:rsidRDefault="0075793D" w:rsidP="0075793D">
      <w:pPr>
        <w:rPr>
          <w:rFonts w:cs="Times New Roman"/>
          <w:szCs w:val="24"/>
        </w:rPr>
      </w:pPr>
      <w:r w:rsidRPr="00BA4F0F">
        <w:rPr>
          <w:rFonts w:cs="Times New Roman"/>
          <w:szCs w:val="24"/>
        </w:rPr>
        <w:t xml:space="preserve">После завершения инфузии ход ЦВК промывают физиологическим раствором. </w:t>
      </w:r>
    </w:p>
    <w:p w14:paraId="26480E1B" w14:textId="77777777" w:rsidR="0075793D" w:rsidRPr="00BA4F0F" w:rsidRDefault="0075793D" w:rsidP="0075793D">
      <w:pPr>
        <w:rPr>
          <w:rFonts w:cs="Times New Roman"/>
          <w:szCs w:val="24"/>
        </w:rPr>
      </w:pPr>
      <w:r w:rsidRPr="00BA4F0F">
        <w:rPr>
          <w:rFonts w:cs="Times New Roman"/>
          <w:szCs w:val="24"/>
        </w:rPr>
        <w:t>Через 2 часа после завершения инфузии выполняют биохимическое исследование крови (оценка электролитов), оценивают цвет мочи для исключения гемолиза.</w:t>
      </w:r>
    </w:p>
    <w:p w14:paraId="3551FA73" w14:textId="77777777" w:rsidR="0075793D" w:rsidRPr="00BA4F0F" w:rsidRDefault="0075793D" w:rsidP="0075793D">
      <w:pPr>
        <w:rPr>
          <w:rFonts w:cs="Times New Roman"/>
          <w:szCs w:val="24"/>
        </w:rPr>
      </w:pPr>
      <w:r w:rsidRPr="00BA4F0F">
        <w:rPr>
          <w:rFonts w:cs="Times New Roman"/>
          <w:szCs w:val="24"/>
        </w:rPr>
        <w:t xml:space="preserve">В истории болезни оформляется протокол операции, с указанием этапов введения ГСК, временных интервалов и состояния пациента. </w:t>
      </w:r>
    </w:p>
    <w:p w14:paraId="2501E30C" w14:textId="77777777" w:rsidR="0075793D" w:rsidRPr="00BA4F0F" w:rsidRDefault="0075793D" w:rsidP="0075793D">
      <w:pPr>
        <w:rPr>
          <w:rFonts w:cs="Times New Roman"/>
          <w:szCs w:val="24"/>
        </w:rPr>
      </w:pPr>
      <w:r w:rsidRPr="00BA4F0F">
        <w:rPr>
          <w:rFonts w:cs="Times New Roman"/>
          <w:szCs w:val="24"/>
        </w:rPr>
        <w:t xml:space="preserve">На следующий день выполняется общий анализ мочи. </w:t>
      </w:r>
    </w:p>
    <w:p w14:paraId="547011F5" w14:textId="77777777" w:rsidR="0075793D" w:rsidRPr="00BA4F0F" w:rsidRDefault="0075793D" w:rsidP="0075793D">
      <w:pPr>
        <w:rPr>
          <w:rFonts w:eastAsiaTheme="majorEastAsia" w:cs="Times New Roman"/>
          <w:b/>
          <w:bCs/>
          <w:szCs w:val="24"/>
        </w:rPr>
      </w:pPr>
      <w:bookmarkStart w:id="147" w:name="_Toc44926633"/>
    </w:p>
    <w:p w14:paraId="6A6DD299" w14:textId="77777777" w:rsidR="0075793D" w:rsidRPr="00BA4F0F" w:rsidRDefault="0075793D" w:rsidP="0075793D">
      <w:pPr>
        <w:rPr>
          <w:rFonts w:cs="Times New Roman"/>
          <w:i/>
          <w:szCs w:val="24"/>
          <w:u w:val="single"/>
        </w:rPr>
      </w:pPr>
      <w:r w:rsidRPr="00BA4F0F">
        <w:rPr>
          <w:rFonts w:cs="Times New Roman"/>
          <w:i/>
          <w:szCs w:val="24"/>
          <w:u w:val="single"/>
        </w:rPr>
        <w:t>Сопроводительная терапия при ауто-ТГСК.</w:t>
      </w:r>
      <w:bookmarkEnd w:id="147"/>
    </w:p>
    <w:p w14:paraId="12351552" w14:textId="77777777" w:rsidR="0075793D" w:rsidRPr="00BA4F0F" w:rsidRDefault="0075793D" w:rsidP="0075793D">
      <w:pPr>
        <w:rPr>
          <w:rFonts w:cs="Times New Roman"/>
          <w:b/>
          <w:szCs w:val="24"/>
        </w:rPr>
      </w:pPr>
      <w:bookmarkStart w:id="148" w:name="_Toc44926634"/>
      <w:r w:rsidRPr="00BA4F0F">
        <w:rPr>
          <w:rFonts w:cs="Times New Roman"/>
          <w:b/>
          <w:szCs w:val="24"/>
        </w:rPr>
        <w:t>Инфузионная терапия</w:t>
      </w:r>
      <w:bookmarkEnd w:id="148"/>
    </w:p>
    <w:p w14:paraId="197FA72F" w14:textId="77777777" w:rsidR="0075793D" w:rsidRPr="00BA4F0F" w:rsidRDefault="0075793D" w:rsidP="00E242EE">
      <w:pPr>
        <w:pStyle w:val="afe"/>
        <w:ind w:left="0"/>
        <w:rPr>
          <w:rFonts w:cs="Times New Roman"/>
          <w:szCs w:val="24"/>
        </w:rPr>
      </w:pPr>
      <w:r w:rsidRPr="00BA4F0F">
        <w:rPr>
          <w:rFonts w:cs="Times New Roman"/>
          <w:szCs w:val="24"/>
        </w:rPr>
        <w:t>С целью уменьшения токсичности кондиционирования и профилактики синдрома лизиса опухоли всем пациентам проводится инфузионная терапия.</w:t>
      </w:r>
    </w:p>
    <w:p w14:paraId="513D78FC" w14:textId="77777777" w:rsidR="0075793D" w:rsidRPr="00BA4F0F" w:rsidRDefault="0075793D" w:rsidP="00E242EE">
      <w:pPr>
        <w:pStyle w:val="afe"/>
        <w:ind w:left="0"/>
        <w:rPr>
          <w:rFonts w:cs="Times New Roman"/>
          <w:szCs w:val="24"/>
        </w:rPr>
      </w:pPr>
      <w:r w:rsidRPr="00BA4F0F">
        <w:rPr>
          <w:rFonts w:cs="Times New Roman"/>
          <w:szCs w:val="24"/>
        </w:rPr>
        <w:t>Основные принципы инфузионной терапии во время ауто-ТГСК:</w:t>
      </w:r>
    </w:p>
    <w:p w14:paraId="3E573D41" w14:textId="77777777" w:rsidR="0075793D" w:rsidRPr="00BA4F0F" w:rsidRDefault="0075793D" w:rsidP="005E0272">
      <w:pPr>
        <w:pStyle w:val="afe"/>
        <w:numPr>
          <w:ilvl w:val="0"/>
          <w:numId w:val="236"/>
        </w:numPr>
        <w:ind w:left="0" w:firstLine="0"/>
        <w:rPr>
          <w:rFonts w:cs="Times New Roman"/>
          <w:szCs w:val="24"/>
        </w:rPr>
      </w:pPr>
      <w:r w:rsidRPr="00BA4F0F">
        <w:rPr>
          <w:rFonts w:cs="Times New Roman"/>
          <w:szCs w:val="24"/>
        </w:rPr>
        <w:t>Все инфузии проводятся в центральный венозный катетер</w:t>
      </w:r>
    </w:p>
    <w:p w14:paraId="33D5BB0F" w14:textId="77777777" w:rsidR="0075793D" w:rsidRPr="00BA4F0F" w:rsidRDefault="0075793D" w:rsidP="005E0272">
      <w:pPr>
        <w:pStyle w:val="afe"/>
        <w:numPr>
          <w:ilvl w:val="0"/>
          <w:numId w:val="236"/>
        </w:numPr>
        <w:ind w:left="0" w:firstLine="0"/>
        <w:rPr>
          <w:rFonts w:cs="Times New Roman"/>
          <w:szCs w:val="24"/>
        </w:rPr>
      </w:pPr>
      <w:r w:rsidRPr="00BA4F0F">
        <w:rPr>
          <w:rFonts w:cs="Times New Roman"/>
          <w:szCs w:val="24"/>
        </w:rPr>
        <w:t xml:space="preserve">На этапе предтрансплантационного кондиционирования объем инфузионной терапии составляет 2-3 литра в сутки, после трансплантации объем инфузий должен составлять не менее 1,5 литров в сутки, водная нагрузка распределяется равномерно в течение суток. Чаще всего применяются кристаллоидные растворы: изотонический раствор хлорида натрия (0,9% </w:t>
      </w:r>
      <w:r w:rsidRPr="00BA4F0F">
        <w:rPr>
          <w:rFonts w:cs="Times New Roman"/>
          <w:szCs w:val="24"/>
          <w:lang w:val="en-US"/>
        </w:rPr>
        <w:t>NaCl</w:t>
      </w:r>
      <w:r w:rsidRPr="00BA4F0F">
        <w:rPr>
          <w:rFonts w:cs="Times New Roman"/>
          <w:szCs w:val="24"/>
        </w:rPr>
        <w:t>), раствор 5% глюкозы,</w:t>
      </w:r>
      <w:r w:rsidRPr="00BA4F0F">
        <w:rPr>
          <w:szCs w:val="24"/>
        </w:rPr>
        <w:t xml:space="preserve"> </w:t>
      </w:r>
      <w:r w:rsidRPr="00BA4F0F">
        <w:rPr>
          <w:rFonts w:cs="Times New Roman"/>
          <w:szCs w:val="24"/>
        </w:rPr>
        <w:t>раствор Рингера, калия и магния аспарагинат. Для коррекции ацидоза используют 5% раствор натрия гидрокарбоната. В случае выраженной гипоальбумиемии, отечного синдрома безбелкового генеза применяются коллоидные растворы (5-20% растворы альбумина человеческого).</w:t>
      </w:r>
    </w:p>
    <w:p w14:paraId="2975FD20" w14:textId="77777777" w:rsidR="0075793D" w:rsidRPr="00BA4F0F" w:rsidRDefault="0075793D" w:rsidP="005E0272">
      <w:pPr>
        <w:pStyle w:val="afe"/>
        <w:numPr>
          <w:ilvl w:val="0"/>
          <w:numId w:val="236"/>
        </w:numPr>
        <w:ind w:left="0" w:firstLine="0"/>
        <w:rPr>
          <w:rFonts w:cs="Times New Roman"/>
          <w:szCs w:val="24"/>
        </w:rPr>
      </w:pPr>
      <w:r w:rsidRPr="00BA4F0F">
        <w:rPr>
          <w:rFonts w:cs="Times New Roman"/>
          <w:szCs w:val="24"/>
        </w:rPr>
        <w:t>В состав солевого раствора, как правило, входят раствор 5% глюкозы и 4% хлорида калия (</w:t>
      </w:r>
      <w:r w:rsidRPr="00BA4F0F">
        <w:rPr>
          <w:rFonts w:cs="Times New Roman"/>
          <w:szCs w:val="24"/>
          <w:lang w:val="en-US"/>
        </w:rPr>
        <w:t>KCl</w:t>
      </w:r>
      <w:r w:rsidRPr="00BA4F0F">
        <w:rPr>
          <w:rFonts w:cs="Times New Roman"/>
          <w:szCs w:val="24"/>
        </w:rPr>
        <w:t xml:space="preserve">). На этапе предтрансплантационного кондиционирования суточное количество 4% </w:t>
      </w:r>
      <w:r w:rsidRPr="00BA4F0F">
        <w:rPr>
          <w:rFonts w:cs="Times New Roman"/>
          <w:szCs w:val="24"/>
          <w:lang w:val="en-US"/>
        </w:rPr>
        <w:t>KCl</w:t>
      </w:r>
      <w:r w:rsidRPr="00BA4F0F">
        <w:rPr>
          <w:rFonts w:cs="Times New Roman"/>
          <w:szCs w:val="24"/>
        </w:rPr>
        <w:t xml:space="preserve"> составляет 120-150 мл, в дальнейшем доза титруется в зависимости от концентрации калия в крови. При значительной гипокалиемии, которая может быть обусловлена выраженной диарей, рвотой, применяется круглосуточное введение 4% раствора </w:t>
      </w:r>
      <w:r w:rsidRPr="00BA4F0F">
        <w:rPr>
          <w:rFonts w:cs="Times New Roman"/>
          <w:szCs w:val="24"/>
          <w:lang w:val="en-US"/>
        </w:rPr>
        <w:t>KCl</w:t>
      </w:r>
      <w:r w:rsidRPr="00BA4F0F">
        <w:rPr>
          <w:rFonts w:cs="Times New Roman"/>
          <w:szCs w:val="24"/>
        </w:rPr>
        <w:t>, скорость инфузии корректируется с учетом данных биохимического анализа крови.</w:t>
      </w:r>
    </w:p>
    <w:p w14:paraId="2E7C83D3" w14:textId="77777777" w:rsidR="0075793D" w:rsidRPr="00BA4F0F" w:rsidRDefault="0075793D" w:rsidP="005E0272">
      <w:pPr>
        <w:pStyle w:val="afe"/>
        <w:numPr>
          <w:ilvl w:val="0"/>
          <w:numId w:val="236"/>
        </w:numPr>
        <w:ind w:left="0" w:firstLine="0"/>
        <w:rPr>
          <w:rFonts w:cs="Times New Roman"/>
          <w:szCs w:val="24"/>
        </w:rPr>
      </w:pPr>
      <w:r w:rsidRPr="00BA4F0F">
        <w:rPr>
          <w:rFonts w:cs="Times New Roman"/>
          <w:szCs w:val="24"/>
        </w:rPr>
        <w:t>У пациентов на гемодиализе объем солевых растворов не должен превышать 1 литр в сутки, при этом хлорид калия назначается только при развитии гипокалиемии.</w:t>
      </w:r>
    </w:p>
    <w:p w14:paraId="79DA0F43" w14:textId="77777777" w:rsidR="0075793D" w:rsidRPr="00BA4F0F" w:rsidRDefault="0075793D" w:rsidP="005E0272">
      <w:pPr>
        <w:pStyle w:val="afe"/>
        <w:numPr>
          <w:ilvl w:val="0"/>
          <w:numId w:val="236"/>
        </w:numPr>
        <w:ind w:left="0" w:firstLine="0"/>
        <w:rPr>
          <w:rFonts w:cs="Times New Roman"/>
          <w:szCs w:val="24"/>
        </w:rPr>
      </w:pPr>
      <w:r w:rsidRPr="00BA4F0F">
        <w:rPr>
          <w:rFonts w:cs="Times New Roman"/>
          <w:szCs w:val="24"/>
        </w:rPr>
        <w:t>Для оценки состояния водного баланса, предотвращения объемной перегрузки следует ежедневно взвешивать пациента, контролировать центральное венозное давление, артериальное давление, диурез и баланс жидкости.</w:t>
      </w:r>
    </w:p>
    <w:p w14:paraId="3D8886D5" w14:textId="77777777" w:rsidR="0075793D" w:rsidRPr="00BA4F0F" w:rsidRDefault="0075793D" w:rsidP="005E0272">
      <w:pPr>
        <w:pStyle w:val="afe"/>
        <w:numPr>
          <w:ilvl w:val="0"/>
          <w:numId w:val="236"/>
        </w:numPr>
        <w:ind w:left="0" w:firstLine="0"/>
        <w:rPr>
          <w:rFonts w:cs="Times New Roman"/>
          <w:szCs w:val="24"/>
        </w:rPr>
      </w:pPr>
      <w:r w:rsidRPr="00BA4F0F">
        <w:rPr>
          <w:rFonts w:cs="Times New Roman"/>
          <w:szCs w:val="24"/>
        </w:rPr>
        <w:t>При развитии фебрильной лихорадки объем инфузионной терапии должен быть увеличен до 3-4 литров в сутки под контролем водного баланса.</w:t>
      </w:r>
    </w:p>
    <w:p w14:paraId="39A97F35" w14:textId="77777777" w:rsidR="0075793D" w:rsidRPr="00BA4F0F" w:rsidRDefault="0075793D" w:rsidP="005E0272">
      <w:pPr>
        <w:pStyle w:val="afe"/>
        <w:numPr>
          <w:ilvl w:val="0"/>
          <w:numId w:val="236"/>
        </w:numPr>
        <w:ind w:left="0" w:firstLine="0"/>
        <w:rPr>
          <w:rFonts w:cs="Times New Roman"/>
          <w:szCs w:val="24"/>
        </w:rPr>
      </w:pPr>
      <w:r w:rsidRPr="00BA4F0F">
        <w:rPr>
          <w:rFonts w:cs="Times New Roman"/>
          <w:szCs w:val="24"/>
        </w:rPr>
        <w:t>Регулярный контроль электролитов (калия, натрия, кальция, хлора, магния) необходим для коррекции инфузионной терапии, при выраженной гипокальциемии, гипомагниемии назначается внутривенное введение препаратов кальция, магния.</w:t>
      </w:r>
    </w:p>
    <w:p w14:paraId="3681E853" w14:textId="77777777" w:rsidR="0075793D" w:rsidRPr="00BA4F0F" w:rsidRDefault="0075793D" w:rsidP="005E0272">
      <w:pPr>
        <w:pStyle w:val="afe"/>
        <w:numPr>
          <w:ilvl w:val="0"/>
          <w:numId w:val="236"/>
        </w:numPr>
        <w:ind w:left="0" w:firstLine="0"/>
        <w:rPr>
          <w:rFonts w:cs="Times New Roman"/>
          <w:szCs w:val="24"/>
        </w:rPr>
      </w:pPr>
      <w:r w:rsidRPr="00BA4F0F">
        <w:rPr>
          <w:rFonts w:cs="Times New Roman"/>
          <w:szCs w:val="24"/>
        </w:rPr>
        <w:t>Во время предтрансплантационного кондиционирования проводится гипоурикемическая терапия аллопуринолом в суточной дозе 200 мг/м</w:t>
      </w:r>
      <w:r w:rsidRPr="00BA4F0F">
        <w:rPr>
          <w:rFonts w:cs="Times New Roman"/>
          <w:szCs w:val="24"/>
          <w:vertAlign w:val="superscript"/>
        </w:rPr>
        <w:t>2</w:t>
      </w:r>
      <w:r w:rsidRPr="00BA4F0F">
        <w:rPr>
          <w:rFonts w:cs="Times New Roman"/>
          <w:szCs w:val="24"/>
        </w:rPr>
        <w:t xml:space="preserve"> .</w:t>
      </w:r>
    </w:p>
    <w:p w14:paraId="30BA8A5A" w14:textId="77777777" w:rsidR="0075793D" w:rsidRPr="00BA4F0F" w:rsidRDefault="0075793D" w:rsidP="005E0272">
      <w:pPr>
        <w:pStyle w:val="afe"/>
        <w:numPr>
          <w:ilvl w:val="0"/>
          <w:numId w:val="236"/>
        </w:numPr>
        <w:ind w:left="0" w:firstLine="0"/>
        <w:rPr>
          <w:rFonts w:cs="Times New Roman"/>
          <w:szCs w:val="24"/>
        </w:rPr>
      </w:pPr>
      <w:r w:rsidRPr="00BA4F0F">
        <w:rPr>
          <w:rFonts w:cs="Times New Roman"/>
          <w:szCs w:val="24"/>
        </w:rPr>
        <w:t>Во время предтрансплантационного кондиционирования рекомендуется назначение мочегонных средств для форсированного диуреза (фуросемид 20-60 мг/сут).</w:t>
      </w:r>
    </w:p>
    <w:p w14:paraId="7F5A5C22" w14:textId="77777777" w:rsidR="0075793D" w:rsidRPr="00BA4F0F" w:rsidRDefault="0075793D" w:rsidP="0075793D">
      <w:pPr>
        <w:rPr>
          <w:rFonts w:cs="Times New Roman"/>
          <w:b/>
          <w:szCs w:val="24"/>
        </w:rPr>
      </w:pPr>
      <w:bookmarkStart w:id="149" w:name="_Toc44926635"/>
    </w:p>
    <w:p w14:paraId="488D8275" w14:textId="77777777" w:rsidR="0075793D" w:rsidRPr="00BA4F0F" w:rsidRDefault="0075793D" w:rsidP="0075793D">
      <w:pPr>
        <w:rPr>
          <w:rFonts w:cs="Times New Roman"/>
          <w:b/>
          <w:szCs w:val="24"/>
        </w:rPr>
      </w:pPr>
      <w:bookmarkStart w:id="150" w:name="_Toc44926637"/>
      <w:bookmarkEnd w:id="149"/>
      <w:r w:rsidRPr="00BA4F0F">
        <w:rPr>
          <w:rFonts w:cs="Times New Roman"/>
          <w:b/>
          <w:szCs w:val="24"/>
        </w:rPr>
        <w:t>Антисекреторная терапия</w:t>
      </w:r>
      <w:bookmarkEnd w:id="150"/>
    </w:p>
    <w:p w14:paraId="77D290F3" w14:textId="6DF90D77" w:rsidR="0075793D" w:rsidRPr="00BA4F0F" w:rsidRDefault="0075793D" w:rsidP="0075793D">
      <w:pPr>
        <w:shd w:val="clear" w:color="auto" w:fill="FFFFFF"/>
        <w:tabs>
          <w:tab w:val="left" w:pos="0"/>
          <w:tab w:val="left" w:pos="394"/>
        </w:tabs>
        <w:rPr>
          <w:rFonts w:eastAsia="Arial Unicode MS" w:cs="Times New Roman"/>
          <w:color w:val="000000"/>
          <w:spacing w:val="4"/>
          <w:szCs w:val="24"/>
          <w:u w:color="000000"/>
          <w:lang w:eastAsia="ru-RU"/>
        </w:rPr>
      </w:pPr>
      <w:r w:rsidRPr="00BA4F0F">
        <w:rPr>
          <w:rFonts w:eastAsia="Arial Unicode MS" w:cs="Times New Roman"/>
          <w:color w:val="000000"/>
          <w:spacing w:val="4"/>
          <w:szCs w:val="24"/>
          <w:u w:color="000000"/>
          <w:shd w:val="clear" w:color="auto" w:fill="FFFFFF"/>
          <w:lang w:eastAsia="ru-RU"/>
        </w:rPr>
        <w:t>В настоящее время с антисекреторной целью применяются два класса п</w:t>
      </w:r>
      <w:r w:rsidRPr="00BA4F0F">
        <w:rPr>
          <w:rFonts w:eastAsia="Arial Unicode MS" w:cs="Times New Roman"/>
          <w:color w:val="000000"/>
          <w:spacing w:val="4"/>
          <w:szCs w:val="24"/>
          <w:u w:color="000000"/>
          <w:lang w:eastAsia="ru-RU"/>
        </w:rPr>
        <w:t xml:space="preserve">репаратов: ингибиторы протонной помпы и блокаторы Н2-гистаминовых рецепторов </w:t>
      </w:r>
      <w:r w:rsidRPr="00BA4F0F">
        <w:rPr>
          <w:rFonts w:eastAsia="Arial Unicode MS" w:cs="Times New Roman"/>
          <w:color w:val="000000"/>
          <w:spacing w:val="4"/>
          <w:szCs w:val="24"/>
          <w:u w:color="000000"/>
          <w:lang w:eastAsia="ru-RU"/>
        </w:rPr>
        <w:fldChar w:fldCharType="begin" w:fldLock="1"/>
      </w:r>
      <w:r w:rsidR="004810E5">
        <w:rPr>
          <w:rFonts w:eastAsia="Arial Unicode MS" w:cs="Times New Roman"/>
          <w:color w:val="000000"/>
          <w:spacing w:val="4"/>
          <w:szCs w:val="24"/>
          <w:u w:color="000000"/>
          <w:lang w:eastAsia="ru-RU"/>
        </w:rPr>
        <w:instrText>ADDIN CSL_CITATION {"citationItems":[{"id":"ITEM-1","itemData":{"DOI":"10.1136/bmjopen-2013-004587","ISSN":"20446055","PMID":"24833682","abstract":"Objective: To assess whether corticosteroids are associated with increased risk of gastrointestinal bleeding or perforation. Design: Systematic review and meta-analysis of randomised, double-blind, controlled trials comparing a corticosteroid to placebo for any medical condition or in healthy participants. Studies with steroids given either locally, as a single dose, or in crossover studies were excluded. Data sources: Literature search using MEDLINE, EMBASE and Cochrane Database of Systematic Reviews between 1983 and 22 May 2013. Outcome measure: Outcome measures were the occurrence of gastrointestinal bleeding or perforation. Predefined subgroup analyses were carried out for disease severity, use of non-steroidal anti-inflammatory drugs (NSAIDs) or gastroprotective drugs, and history of peptic ulcer. Results: 159 studies (N=33 253) were included. In total, 804 (2.4%) patients had a gastrointestinal bleeding or perforation (2.9% and 2.0% for corticosteroids and placebo). Corticosteroids increased the risk of gastrointestinal bleeding or perforation by 40% (OR 1.43, 95% CI 1.22 to 1.66). The risk was increased for hospitalised patients (OR 1.42, 95% CI 1.22 to 1.66). For patients in ambulatory care, the increased risk was not statistically significant (OR 1.63, 95% CI 0.42 to 6.34). Only 11 gastrointestinal bleeds or perforations occurred among 8651 patients in ambulatory care (0.13%). Increased risk was still present in subgroup analyses (studies with NSAID use excluded; OR 1.44, 95% CI 1.20 to 1.71, peptic ulcer as an exclusion criterion excluded; OR 1.47, 95% CI 1.21 to 1.78, and use of gastroprotective drugs excluded; OR 1.42, 95% CI 1.21 to 1.67). Conclusions: Corticosteroid use was associated with increased risk of gastrointestinal bleeding and perforation. The increased risk was statistically significant for hospitalised patients only. For patients in ambulatory care, the total occurrence of bleeding or perforation was very low, and the increased risk was not statistically significant.","author":[{"dropping-particle":"","family":"Narum","given":"Sigrid","non-dropping-particle":"","parse-names":false,"suffix":""},{"dropping-particle":"","family":"Westergren","given":"Tone","non-dropping-particle":"","parse-names":false,"suffix":""},{"dropping-particle":"","family":"Klemp","given":"Marianne","non-dropping-particle":"","parse-names":false,"suffix":""}],"container-title":"BMJ Open","id":"ITEM-1","issue":"5","issued":{"date-parts":[["2014"]]},"publisher":"BMJ Publishing Group","title":"Corticosteroids and risk of gastrointestinal bleeding: A systematic review and meta-analysis","type":"article-journal","volume":"4"},"uris":["http://www.mendeley.com/documents/?uuid=e701298a-dc65-3059-b1f1-21f394625ffe"]},{"id":"ITEM-2","itemData":{"DOI":"10.1111/j.1365-2796.1994.tb00855.x","ISSN":"0954-6820","PMID":"7989897","abstract":"OBJECTIVES This meta-analysis was performed to determine whether corticosteroid therapy induces the development of peptic ulcer and other putative complications of steroid therapy. DESIGN A retrospective investigation in which we analysed all the randomized, double-blind, controlled trials (RDBCT) in which steroids had been administered that we were able to identify. The number of episodes of peptic ulcer, dermatological effects, sepsis, diabetes, hypertension, osteoporosis, psychosis and tuberculosis reported in both the placebo and steroid groups were compared. SETTING The international medical literature was analysed for any RDBCT in which any steroid or ACTH had been administered in any dosage for any duration, and any putative complication of steroid therapy was reported. SUBJECTS Of 1857 articles, 93 satisfied our requirements and were analysed by the meta-analytic techniques of Peto, DerSimonian and Laird. A total of 6602 patients were included. MAIN OUTCOME MEASURES The relative frequencies of each of these eight 'complications' were compared in the placebo and steroid groups using conventional statistics and meta-analysis. The relative frequencies of 'annualized' subgroups of patients who received treatment for 1 to 7 days, 1 week to 1 month, 1 to 3 months and more than 3 months, were similarly analysed. RESULTS Nine of 3267 patients in the placebo group (0.3%) and 13 of 3335 patients in the steroid group (0.4%) were reported to develop peptic ulcer (P &gt; 0.05). The dermatological cosmetic effects of steroid therapy were observed more frequently in the steroid group (P &lt; 0.001), as was diabetes (P &lt; 0.001), hypertension (P &lt; 0.01) and psychosis (P &lt; 0.001). Sepsis, osteoporosis and tuberculosis all occurred more frequently in the steroid than in the placebo group, but the differences are not statistically significant. CONCLUSIONS Peptic ulcer is a rare complication of corticosteroid therapy that should not be considered a contraindication when steroid therapy is indicated.","author":[{"dropping-particle":"","family":"Conn","given":"H O","non-dropping-particle":"","parse-names":false,"suffix":""},{"dropping-particle":"","family":"Poynard","given":"T","non-dropping-particle":"","parse-names":false,"suffix":""}],"container-title":"Journal of internal medicine","id":"ITEM-2","issue":"6","issued":{"date-parts":[["1994","12"]]},"page":"619-32","publisher":"J Intern Med","title":"Corticosteroids and peptic ulcer: meta-analysis of adverse events during steroid therapy.","type":"article-journal","volume":"236"},"uris":["http://www.mendeley.com/documents/?uuid=84af1729-7cf0-45a4-828e-6c0ee9132476"]}],"mendeley":{"formattedCitation":"[80,81]","plainTextFormattedCitation":"[80,81]","previouslyFormattedCitation":"[80,81]"},"properties":{"noteIndex":0},"schema":"https://github.com/citation-style-language/schema/raw/master/csl-citation.json"}</w:instrText>
      </w:r>
      <w:r w:rsidRPr="00BA4F0F">
        <w:rPr>
          <w:rFonts w:eastAsia="Arial Unicode MS" w:cs="Times New Roman"/>
          <w:color w:val="000000"/>
          <w:spacing w:val="4"/>
          <w:szCs w:val="24"/>
          <w:u w:color="000000"/>
          <w:lang w:eastAsia="ru-RU"/>
        </w:rPr>
        <w:fldChar w:fldCharType="separate"/>
      </w:r>
      <w:r w:rsidR="004810E5" w:rsidRPr="004810E5">
        <w:rPr>
          <w:rFonts w:eastAsia="Arial Unicode MS" w:cs="Times New Roman"/>
          <w:noProof/>
          <w:color w:val="000000"/>
          <w:spacing w:val="4"/>
          <w:szCs w:val="24"/>
          <w:u w:color="000000"/>
          <w:lang w:eastAsia="ru-RU"/>
        </w:rPr>
        <w:t>[80,81]</w:t>
      </w:r>
      <w:r w:rsidRPr="00BA4F0F">
        <w:rPr>
          <w:rFonts w:eastAsia="Arial Unicode MS" w:cs="Times New Roman"/>
          <w:color w:val="000000"/>
          <w:spacing w:val="4"/>
          <w:szCs w:val="24"/>
          <w:u w:color="000000"/>
          <w:lang w:eastAsia="ru-RU"/>
        </w:rPr>
        <w:fldChar w:fldCharType="end"/>
      </w:r>
      <w:r w:rsidRPr="00BA4F0F">
        <w:rPr>
          <w:rFonts w:eastAsia="Arial Unicode MS" w:cs="Times New Roman"/>
          <w:color w:val="000000"/>
          <w:spacing w:val="4"/>
          <w:szCs w:val="24"/>
          <w:u w:color="000000"/>
          <w:lang w:eastAsia="ru-RU"/>
        </w:rPr>
        <w:t>.</w:t>
      </w:r>
    </w:p>
    <w:p w14:paraId="640FC14C" w14:textId="77777777" w:rsidR="0075793D" w:rsidRPr="00BA4F0F" w:rsidRDefault="0075793D" w:rsidP="0075793D">
      <w:pPr>
        <w:pStyle w:val="afe"/>
        <w:ind w:left="0"/>
        <w:rPr>
          <w:rFonts w:cs="Times New Roman"/>
          <w:szCs w:val="24"/>
          <w:u w:val="single"/>
        </w:rPr>
      </w:pPr>
    </w:p>
    <w:p w14:paraId="4B7766BC" w14:textId="77777777" w:rsidR="0075793D" w:rsidRPr="00BA4F0F" w:rsidRDefault="0075793D" w:rsidP="0075793D">
      <w:pPr>
        <w:pStyle w:val="afe"/>
        <w:ind w:left="0"/>
        <w:rPr>
          <w:rFonts w:cs="Times New Roman"/>
          <w:szCs w:val="24"/>
          <w:u w:val="single"/>
        </w:rPr>
      </w:pPr>
      <w:r w:rsidRPr="00BA4F0F">
        <w:rPr>
          <w:rFonts w:cs="Times New Roman"/>
          <w:szCs w:val="24"/>
          <w:u w:val="single"/>
        </w:rPr>
        <w:t>Ингибиторы протонной помпы (ИПП)</w:t>
      </w:r>
    </w:p>
    <w:p w14:paraId="3EAD2A3D" w14:textId="77777777" w:rsidR="0075793D" w:rsidRPr="00BA4F0F" w:rsidRDefault="0075793D" w:rsidP="0075793D">
      <w:pPr>
        <w:shd w:val="clear" w:color="auto" w:fill="FFFFFF"/>
        <w:tabs>
          <w:tab w:val="left" w:pos="0"/>
          <w:tab w:val="left" w:pos="394"/>
        </w:tabs>
        <w:rPr>
          <w:rFonts w:eastAsia="Arial Unicode MS" w:cs="Times New Roman"/>
          <w:b/>
          <w:color w:val="000000"/>
          <w:spacing w:val="4"/>
          <w:szCs w:val="24"/>
          <w:u w:color="000000"/>
          <w:lang w:eastAsia="ru-RU"/>
        </w:rPr>
      </w:pPr>
      <w:r w:rsidRPr="00BA4F0F">
        <w:rPr>
          <w:rFonts w:eastAsia="Arial Unicode MS" w:cs="Times New Roman"/>
          <w:b/>
          <w:color w:val="000000"/>
          <w:spacing w:val="4"/>
          <w:szCs w:val="24"/>
          <w:u w:color="000000"/>
          <w:lang w:eastAsia="ru-RU"/>
        </w:rPr>
        <w:t xml:space="preserve">Фармакологическое действие </w:t>
      </w:r>
    </w:p>
    <w:p w14:paraId="143A4E3D" w14:textId="77777777" w:rsidR="0075793D" w:rsidRPr="00BA4F0F" w:rsidRDefault="0075793D" w:rsidP="0075793D">
      <w:pPr>
        <w:shd w:val="clear" w:color="auto" w:fill="FFFFFF"/>
        <w:tabs>
          <w:tab w:val="left" w:pos="0"/>
          <w:tab w:val="left" w:pos="394"/>
        </w:tabs>
        <w:rPr>
          <w:rFonts w:eastAsia="Arial Unicode MS" w:cs="Times New Roman"/>
          <w:color w:val="000000"/>
          <w:spacing w:val="4"/>
          <w:szCs w:val="24"/>
          <w:u w:color="000000"/>
          <w:lang w:eastAsia="ru-RU"/>
        </w:rPr>
      </w:pPr>
      <w:r w:rsidRPr="00BA4F0F">
        <w:rPr>
          <w:rFonts w:eastAsia="Arial Unicode MS" w:cs="Times New Roman"/>
          <w:color w:val="000000"/>
          <w:spacing w:val="4"/>
          <w:szCs w:val="24"/>
          <w:u w:color="000000"/>
          <w:lang w:eastAsia="ru-RU"/>
        </w:rPr>
        <w:t>Ингибиторы протоновой помпы (ингибиторы протонового насоса, блокаторы протонного насоса, блокаторы Н+/К+-АТФазы, блокаторы водородной помпы) — антисекреторные лекарственные препараты, блокирующие Н+/К+-АТФазу обкладочных (париетальных) клеток слизистой оболочки желудка и уменьшающие секрецию соляной кислоты.</w:t>
      </w:r>
    </w:p>
    <w:p w14:paraId="1BD8391A" w14:textId="564306A6" w:rsidR="0075793D" w:rsidRPr="00BA4F0F" w:rsidRDefault="0075793D" w:rsidP="0075793D">
      <w:pPr>
        <w:shd w:val="clear" w:color="auto" w:fill="FFFFFF"/>
        <w:tabs>
          <w:tab w:val="left" w:pos="0"/>
          <w:tab w:val="left" w:pos="394"/>
        </w:tabs>
        <w:rPr>
          <w:rFonts w:eastAsia="Arial Unicode MS" w:cs="Times New Roman"/>
          <w:color w:val="000000"/>
          <w:spacing w:val="4"/>
          <w:szCs w:val="24"/>
          <w:u w:color="000000"/>
          <w:lang w:eastAsia="ru-RU"/>
        </w:rPr>
      </w:pPr>
      <w:r w:rsidRPr="00BA4F0F">
        <w:rPr>
          <w:rFonts w:eastAsia="Arial Unicode MS" w:cs="Times New Roman"/>
          <w:color w:val="000000"/>
          <w:spacing w:val="4"/>
          <w:szCs w:val="24"/>
          <w:u w:color="000000"/>
          <w:lang w:eastAsia="ru-RU"/>
        </w:rPr>
        <w:t>ИПП, после прохождения желудка, попадают в тонкую кишку, где растворяются, после чего по кровотоку поступают в печень, а затем проникают через мембрану в париетальные клетки слизистой оболочки желудка, где концентрируются в секреторных канальцах. Здесь, при кислом значении рН, ингибиторы протонного насоса активируются. В этой форме ИПП образуют прочные ковалентные связи с меркаптогруппами цистеиновых остатков Н+/К+-АТФазы, что блокирует действие протонной помпы, она становится необратимо исключенной из процесса секреции соляной кислоты. Влияние ИПП на последнюю стадию процесса образования соляной кислоты в желудке является дозозависимым и обеспечивает высокоэффективное ингибирование базальной и стимулированной секреции соляной кислоты независимо от фактора его вызывающего</w:t>
      </w:r>
      <w:r w:rsidRPr="00BA4F0F">
        <w:rPr>
          <w:rFonts w:eastAsia="Arial Unicode MS" w:cs="Times New Roman"/>
          <w:color w:val="000000"/>
          <w:spacing w:val="4"/>
          <w:szCs w:val="24"/>
          <w:u w:color="000000"/>
          <w:lang w:eastAsia="ru-RU"/>
        </w:rPr>
        <w:fldChar w:fldCharType="begin" w:fldLock="1"/>
      </w:r>
      <w:r w:rsidR="004810E5">
        <w:rPr>
          <w:rFonts w:eastAsia="Arial Unicode MS" w:cs="Times New Roman"/>
          <w:color w:val="000000"/>
          <w:spacing w:val="4"/>
          <w:szCs w:val="24"/>
          <w:u w:color="000000"/>
          <w:lang w:eastAsia="ru-RU"/>
        </w:rPr>
        <w:instrText>ADDIN CSL_CITATION {"citationItems":[{"id":"ITEM-1","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колопроктологии.","id":"ITEM-1","issue":"1","issued":{"date-parts":[["2020"]]},"page":"49-70","title":"Диагностика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mendeley":{"formattedCitation":"[83]","plainTextFormattedCitation":"[83]","previouslyFormattedCitation":"[83]"},"properties":{"noteIndex":0},"schema":"https://github.com/citation-style-language/schema/raw/master/csl-citation.json"}</w:instrText>
      </w:r>
      <w:r w:rsidRPr="00BA4F0F">
        <w:rPr>
          <w:rFonts w:eastAsia="Arial Unicode MS" w:cs="Times New Roman"/>
          <w:color w:val="000000"/>
          <w:spacing w:val="4"/>
          <w:szCs w:val="24"/>
          <w:u w:color="000000"/>
          <w:lang w:eastAsia="ru-RU"/>
        </w:rPr>
        <w:fldChar w:fldCharType="separate"/>
      </w:r>
      <w:r w:rsidR="004810E5" w:rsidRPr="004810E5">
        <w:rPr>
          <w:rFonts w:eastAsia="Arial Unicode MS" w:cs="Times New Roman"/>
          <w:noProof/>
          <w:color w:val="000000"/>
          <w:spacing w:val="4"/>
          <w:szCs w:val="24"/>
          <w:u w:color="000000"/>
          <w:lang w:eastAsia="ru-RU"/>
        </w:rPr>
        <w:t>[83]</w:t>
      </w:r>
      <w:r w:rsidRPr="00BA4F0F">
        <w:rPr>
          <w:rFonts w:eastAsia="Arial Unicode MS" w:cs="Times New Roman"/>
          <w:color w:val="000000"/>
          <w:spacing w:val="4"/>
          <w:szCs w:val="24"/>
          <w:u w:color="000000"/>
          <w:lang w:eastAsia="ru-RU"/>
        </w:rPr>
        <w:fldChar w:fldCharType="end"/>
      </w:r>
      <w:r w:rsidRPr="00BA4F0F">
        <w:rPr>
          <w:rFonts w:eastAsia="Arial Unicode MS" w:cs="Times New Roman"/>
          <w:color w:val="000000"/>
          <w:spacing w:val="4"/>
          <w:szCs w:val="24"/>
          <w:u w:color="000000"/>
          <w:lang w:eastAsia="ru-RU"/>
        </w:rPr>
        <w:t>.</w:t>
      </w:r>
    </w:p>
    <w:p w14:paraId="51136419" w14:textId="77777777" w:rsidR="0075793D" w:rsidRPr="00BA4F0F" w:rsidRDefault="0075793D" w:rsidP="0075793D">
      <w:pPr>
        <w:shd w:val="clear" w:color="auto" w:fill="FFFFFF"/>
        <w:tabs>
          <w:tab w:val="left" w:pos="0"/>
          <w:tab w:val="left" w:pos="394"/>
        </w:tabs>
        <w:ind w:left="709"/>
        <w:rPr>
          <w:rFonts w:eastAsia="Arial Unicode MS" w:cs="Times New Roman"/>
          <w:b/>
          <w:color w:val="000000"/>
          <w:spacing w:val="4"/>
          <w:szCs w:val="24"/>
          <w:u w:color="000000"/>
          <w:lang w:eastAsia="ru-RU"/>
        </w:rPr>
      </w:pPr>
      <w:r w:rsidRPr="00BA4F0F">
        <w:rPr>
          <w:rFonts w:eastAsia="Arial Unicode MS" w:cs="Times New Roman"/>
          <w:color w:val="000000"/>
          <w:spacing w:val="4"/>
          <w:szCs w:val="24"/>
          <w:u w:color="000000"/>
          <w:lang w:eastAsia="ru-RU"/>
        </w:rPr>
        <w:t>Показания</w:t>
      </w:r>
    </w:p>
    <w:p w14:paraId="6FF40220" w14:textId="77777777" w:rsidR="0075793D" w:rsidRPr="00BA4F0F" w:rsidRDefault="0075793D" w:rsidP="005E0272">
      <w:pPr>
        <w:numPr>
          <w:ilvl w:val="0"/>
          <w:numId w:val="235"/>
        </w:numPr>
        <w:tabs>
          <w:tab w:val="left" w:pos="0"/>
        </w:tabs>
        <w:ind w:left="0" w:firstLine="709"/>
        <w:contextualSpacing/>
        <w:rPr>
          <w:rFonts w:cs="Times New Roman"/>
          <w:szCs w:val="24"/>
        </w:rPr>
      </w:pPr>
      <w:r w:rsidRPr="00BA4F0F">
        <w:rPr>
          <w:rFonts w:cs="Times New Roman"/>
          <w:szCs w:val="24"/>
        </w:rPr>
        <w:t>Профилактика/лечение язвенной болезни желудка и двенадцатиперстной кишки, в том числе на фоне терапии глюкокортикостероидами</w:t>
      </w:r>
    </w:p>
    <w:p w14:paraId="7F0266CE" w14:textId="77777777" w:rsidR="0075793D" w:rsidRPr="00BA4F0F" w:rsidRDefault="0075793D" w:rsidP="0075793D">
      <w:pPr>
        <w:shd w:val="clear" w:color="auto" w:fill="FFFFFF"/>
        <w:tabs>
          <w:tab w:val="left" w:pos="0"/>
          <w:tab w:val="left" w:pos="394"/>
        </w:tabs>
        <w:ind w:left="709"/>
        <w:rPr>
          <w:rFonts w:eastAsia="Arial Unicode MS" w:cs="Times New Roman"/>
          <w:b/>
          <w:color w:val="000000"/>
          <w:spacing w:val="4"/>
          <w:szCs w:val="24"/>
          <w:u w:color="000000"/>
          <w:lang w:eastAsia="ru-RU"/>
        </w:rPr>
      </w:pPr>
      <w:r w:rsidRPr="00BA4F0F">
        <w:rPr>
          <w:rFonts w:eastAsia="Arial Unicode MS" w:cs="Times New Roman"/>
          <w:b/>
          <w:color w:val="000000"/>
          <w:spacing w:val="4"/>
          <w:szCs w:val="24"/>
          <w:u w:color="000000"/>
          <w:shd w:val="clear" w:color="auto" w:fill="FFFFFF"/>
          <w:lang w:eastAsia="ru-RU"/>
        </w:rPr>
        <w:t>Режим дозирования</w:t>
      </w:r>
    </w:p>
    <w:p w14:paraId="1A2EDD4E" w14:textId="1F5C2A02" w:rsidR="0075793D" w:rsidRPr="00BA4F0F" w:rsidRDefault="0075793D" w:rsidP="0075793D">
      <w:pPr>
        <w:shd w:val="clear" w:color="auto" w:fill="FFFFFF"/>
        <w:tabs>
          <w:tab w:val="left" w:pos="0"/>
          <w:tab w:val="left" w:pos="394"/>
        </w:tabs>
        <w:rPr>
          <w:rFonts w:eastAsia="Arial Unicode MS" w:cs="Times New Roman"/>
          <w:color w:val="000000"/>
          <w:spacing w:val="4"/>
          <w:szCs w:val="24"/>
          <w:u w:color="000000"/>
          <w:lang w:eastAsia="ru-RU"/>
        </w:rPr>
      </w:pPr>
      <w:r w:rsidRPr="00BA4F0F">
        <w:rPr>
          <w:rFonts w:eastAsia="Arial Unicode MS" w:cs="Times New Roman"/>
          <w:color w:val="000000"/>
          <w:spacing w:val="4"/>
          <w:szCs w:val="24"/>
          <w:u w:color="000000"/>
          <w:lang w:eastAsia="ru-RU"/>
        </w:rPr>
        <w:t xml:space="preserve">Пациентам во время проведения курсов специфической противоопухолевой терапии, рекомендован прием ИПП в указанных в таблице </w:t>
      </w:r>
      <w:r w:rsidR="003A3438">
        <w:rPr>
          <w:rFonts w:eastAsia="Arial Unicode MS" w:cs="Times New Roman"/>
          <w:color w:val="000000"/>
          <w:spacing w:val="4"/>
          <w:szCs w:val="24"/>
          <w:u w:color="000000"/>
          <w:lang w:eastAsia="ru-RU"/>
        </w:rPr>
        <w:t>8</w:t>
      </w:r>
      <w:r w:rsidRPr="00BA4F0F">
        <w:rPr>
          <w:rFonts w:eastAsia="Arial Unicode MS" w:cs="Times New Roman"/>
          <w:color w:val="000000"/>
          <w:spacing w:val="4"/>
          <w:szCs w:val="24"/>
          <w:u w:color="000000"/>
          <w:lang w:eastAsia="ru-RU"/>
        </w:rPr>
        <w:t xml:space="preserve"> дозах. </w:t>
      </w:r>
    </w:p>
    <w:p w14:paraId="12ECC58B" w14:textId="77777777" w:rsidR="0075793D" w:rsidRPr="00BA4F0F" w:rsidRDefault="0075793D" w:rsidP="0075793D">
      <w:pPr>
        <w:shd w:val="clear" w:color="auto" w:fill="FFFFFF"/>
        <w:tabs>
          <w:tab w:val="left" w:pos="0"/>
          <w:tab w:val="left" w:pos="394"/>
        </w:tabs>
        <w:rPr>
          <w:rFonts w:eastAsia="Arial Unicode MS" w:cs="Times New Roman"/>
          <w:color w:val="000000"/>
          <w:spacing w:val="4"/>
          <w:szCs w:val="24"/>
          <w:u w:color="000000"/>
          <w:lang w:eastAsia="ru-RU"/>
        </w:rPr>
      </w:pPr>
    </w:p>
    <w:p w14:paraId="20630E8F" w14:textId="1EC297F6" w:rsidR="0075793D" w:rsidRPr="00BA4F0F" w:rsidRDefault="0075793D" w:rsidP="003A3438">
      <w:pPr>
        <w:shd w:val="clear" w:color="auto" w:fill="FFFFFF"/>
        <w:tabs>
          <w:tab w:val="left" w:pos="0"/>
          <w:tab w:val="left" w:pos="394"/>
        </w:tabs>
        <w:ind w:firstLine="0"/>
        <w:rPr>
          <w:rFonts w:eastAsia="Arial Unicode MS" w:cs="Times New Roman"/>
          <w:color w:val="000000"/>
          <w:spacing w:val="4"/>
          <w:szCs w:val="24"/>
          <w:u w:color="000000"/>
          <w:lang w:eastAsia="ru-RU"/>
        </w:rPr>
      </w:pPr>
      <w:r w:rsidRPr="003A3438">
        <w:rPr>
          <w:rFonts w:eastAsia="Arial Unicode MS" w:cs="Times New Roman"/>
          <w:color w:val="000000"/>
          <w:spacing w:val="4"/>
          <w:szCs w:val="24"/>
          <w:u w:color="000000"/>
          <w:lang w:eastAsia="ru-RU"/>
        </w:rPr>
        <w:t xml:space="preserve">Таблица </w:t>
      </w:r>
      <w:r w:rsidR="00E242EE" w:rsidRPr="003A3438">
        <w:rPr>
          <w:rFonts w:eastAsia="Arial Unicode MS" w:cs="Times New Roman"/>
          <w:color w:val="000000"/>
          <w:spacing w:val="4"/>
          <w:szCs w:val="24"/>
          <w:u w:color="000000"/>
          <w:lang w:eastAsia="ru-RU"/>
        </w:rPr>
        <w:t>8</w:t>
      </w:r>
      <w:r w:rsidRPr="003A3438">
        <w:rPr>
          <w:rFonts w:eastAsia="Arial Unicode MS" w:cs="Times New Roman"/>
          <w:color w:val="000000"/>
          <w:spacing w:val="4"/>
          <w:szCs w:val="24"/>
          <w:u w:color="000000"/>
          <w:lang w:eastAsia="ru-RU"/>
        </w:rPr>
        <w:t>. Режим дозирования ИПП с профилактической целью</w:t>
      </w:r>
    </w:p>
    <w:tbl>
      <w:tblPr>
        <w:tblStyle w:val="31"/>
        <w:tblW w:w="0" w:type="auto"/>
        <w:jc w:val="center"/>
        <w:tblLook w:val="04A0" w:firstRow="1" w:lastRow="0" w:firstColumn="1" w:lastColumn="0" w:noHBand="0" w:noVBand="1"/>
      </w:tblPr>
      <w:tblGrid>
        <w:gridCol w:w="2220"/>
        <w:gridCol w:w="1857"/>
        <w:gridCol w:w="4200"/>
      </w:tblGrid>
      <w:tr w:rsidR="0075793D" w:rsidRPr="00BA4F0F" w14:paraId="4A92F0B1" w14:textId="77777777" w:rsidTr="002D3EBF">
        <w:trPr>
          <w:jc w:val="center"/>
        </w:trPr>
        <w:tc>
          <w:tcPr>
            <w:tcW w:w="2220" w:type="dxa"/>
          </w:tcPr>
          <w:p w14:paraId="13324C1C" w14:textId="77777777" w:rsidR="0075793D" w:rsidRPr="00BA4F0F" w:rsidRDefault="0075793D" w:rsidP="003A3438">
            <w:pPr>
              <w:tabs>
                <w:tab w:val="left" w:pos="0"/>
              </w:tabs>
              <w:ind w:firstLine="0"/>
              <w:jc w:val="center"/>
              <w:rPr>
                <w:rFonts w:cs="Times New Roman"/>
                <w:b/>
                <w:lang w:eastAsia="ru-RU"/>
              </w:rPr>
            </w:pPr>
            <w:r w:rsidRPr="00BA4F0F">
              <w:rPr>
                <w:rFonts w:cs="Times New Roman"/>
                <w:b/>
                <w:lang w:eastAsia="ru-RU"/>
              </w:rPr>
              <w:t>Препарат</w:t>
            </w:r>
          </w:p>
        </w:tc>
        <w:tc>
          <w:tcPr>
            <w:tcW w:w="1857" w:type="dxa"/>
          </w:tcPr>
          <w:p w14:paraId="0B9E7E94" w14:textId="77777777" w:rsidR="0075793D" w:rsidRPr="00BA4F0F" w:rsidRDefault="0075793D" w:rsidP="003A3438">
            <w:pPr>
              <w:tabs>
                <w:tab w:val="left" w:pos="0"/>
              </w:tabs>
              <w:ind w:firstLine="0"/>
              <w:jc w:val="center"/>
              <w:rPr>
                <w:rFonts w:cs="Times New Roman"/>
                <w:b/>
                <w:lang w:eastAsia="ru-RU"/>
              </w:rPr>
            </w:pPr>
            <w:r w:rsidRPr="00BA4F0F">
              <w:rPr>
                <w:rFonts w:cs="Times New Roman"/>
                <w:b/>
                <w:lang w:eastAsia="ru-RU"/>
              </w:rPr>
              <w:t>Суточная доза, мг</w:t>
            </w:r>
          </w:p>
        </w:tc>
        <w:tc>
          <w:tcPr>
            <w:tcW w:w="4200" w:type="dxa"/>
          </w:tcPr>
          <w:p w14:paraId="5A6AB447" w14:textId="77777777" w:rsidR="0075793D" w:rsidRPr="00BA4F0F" w:rsidRDefault="0075793D" w:rsidP="003A3438">
            <w:pPr>
              <w:tabs>
                <w:tab w:val="left" w:pos="0"/>
              </w:tabs>
              <w:ind w:firstLine="0"/>
              <w:jc w:val="center"/>
              <w:rPr>
                <w:rFonts w:cs="Times New Roman"/>
                <w:b/>
                <w:lang w:eastAsia="ru-RU"/>
              </w:rPr>
            </w:pPr>
            <w:r w:rsidRPr="00BA4F0F">
              <w:rPr>
                <w:rFonts w:cs="Times New Roman"/>
                <w:b/>
                <w:lang w:eastAsia="ru-RU"/>
              </w:rPr>
              <w:t>Режим дозирования</w:t>
            </w:r>
          </w:p>
        </w:tc>
      </w:tr>
      <w:tr w:rsidR="0075793D" w:rsidRPr="00BA4F0F" w14:paraId="7E648C8B" w14:textId="77777777" w:rsidTr="002D3EBF">
        <w:trPr>
          <w:jc w:val="center"/>
        </w:trPr>
        <w:tc>
          <w:tcPr>
            <w:tcW w:w="2220" w:type="dxa"/>
          </w:tcPr>
          <w:p w14:paraId="02289B88" w14:textId="77777777" w:rsidR="0075793D" w:rsidRPr="00BA4F0F" w:rsidRDefault="0075793D" w:rsidP="003A3438">
            <w:pPr>
              <w:tabs>
                <w:tab w:val="left" w:pos="0"/>
              </w:tabs>
              <w:ind w:firstLine="0"/>
              <w:rPr>
                <w:rFonts w:cs="Times New Roman"/>
                <w:lang w:eastAsia="ru-RU"/>
              </w:rPr>
            </w:pPr>
            <w:r w:rsidRPr="00BA4F0F">
              <w:rPr>
                <w:rFonts w:cs="Times New Roman"/>
                <w:lang w:eastAsia="ru-RU"/>
              </w:rPr>
              <w:t>Омепразол</w:t>
            </w:r>
          </w:p>
        </w:tc>
        <w:tc>
          <w:tcPr>
            <w:tcW w:w="1857" w:type="dxa"/>
          </w:tcPr>
          <w:p w14:paraId="6AE37317" w14:textId="77777777" w:rsidR="0075793D" w:rsidRPr="00BA4F0F" w:rsidRDefault="0075793D" w:rsidP="003A3438">
            <w:pPr>
              <w:tabs>
                <w:tab w:val="left" w:pos="0"/>
              </w:tabs>
              <w:ind w:firstLine="0"/>
              <w:rPr>
                <w:rFonts w:cs="Times New Roman"/>
                <w:lang w:eastAsia="ru-RU"/>
              </w:rPr>
            </w:pPr>
            <w:r w:rsidRPr="00BA4F0F">
              <w:rPr>
                <w:rFonts w:cs="Times New Roman"/>
                <w:lang w:eastAsia="ru-RU"/>
              </w:rPr>
              <w:t xml:space="preserve">20 </w:t>
            </w:r>
          </w:p>
          <w:p w14:paraId="32C32C86" w14:textId="77777777" w:rsidR="0075793D" w:rsidRPr="00BA4F0F" w:rsidRDefault="0075793D" w:rsidP="003A3438">
            <w:pPr>
              <w:tabs>
                <w:tab w:val="left" w:pos="0"/>
              </w:tabs>
              <w:ind w:firstLine="0"/>
              <w:rPr>
                <w:rFonts w:cs="Times New Roman"/>
                <w:lang w:eastAsia="ru-RU"/>
              </w:rPr>
            </w:pPr>
            <w:r w:rsidRPr="00BA4F0F">
              <w:rPr>
                <w:rFonts w:cs="Times New Roman"/>
                <w:lang w:eastAsia="ru-RU"/>
              </w:rPr>
              <w:t>40</w:t>
            </w:r>
          </w:p>
        </w:tc>
        <w:tc>
          <w:tcPr>
            <w:tcW w:w="4200" w:type="dxa"/>
          </w:tcPr>
          <w:p w14:paraId="048FE221" w14:textId="77777777" w:rsidR="0075793D" w:rsidRPr="00BA4F0F" w:rsidRDefault="0075793D" w:rsidP="003A3438">
            <w:pPr>
              <w:tabs>
                <w:tab w:val="left" w:pos="0"/>
              </w:tabs>
              <w:ind w:firstLine="0"/>
              <w:rPr>
                <w:rFonts w:cs="Times New Roman"/>
                <w:lang w:eastAsia="ru-RU"/>
              </w:rPr>
            </w:pPr>
            <w:r w:rsidRPr="00BA4F0F">
              <w:rPr>
                <w:rFonts w:cs="Times New Roman"/>
                <w:lang w:eastAsia="ru-RU"/>
              </w:rPr>
              <w:t>Внутрь, 1 раз в сутки;</w:t>
            </w:r>
          </w:p>
          <w:p w14:paraId="1EE2D07A" w14:textId="77777777" w:rsidR="0075793D" w:rsidRPr="00BA4F0F" w:rsidRDefault="0075793D" w:rsidP="003A3438">
            <w:pPr>
              <w:tabs>
                <w:tab w:val="left" w:pos="0"/>
              </w:tabs>
              <w:ind w:firstLine="0"/>
              <w:rPr>
                <w:rFonts w:cs="Times New Roman"/>
                <w:lang w:eastAsia="ru-RU"/>
              </w:rPr>
            </w:pPr>
            <w:r w:rsidRPr="00BA4F0F">
              <w:rPr>
                <w:rFonts w:cs="Times New Roman"/>
                <w:lang w:eastAsia="ru-RU"/>
              </w:rPr>
              <w:t xml:space="preserve"> в/в, 1 раз в сутки</w:t>
            </w:r>
          </w:p>
        </w:tc>
      </w:tr>
      <w:tr w:rsidR="0075793D" w:rsidRPr="00BA4F0F" w14:paraId="0674CDCF" w14:textId="77777777" w:rsidTr="002D3EBF">
        <w:trPr>
          <w:jc w:val="center"/>
        </w:trPr>
        <w:tc>
          <w:tcPr>
            <w:tcW w:w="2220" w:type="dxa"/>
          </w:tcPr>
          <w:p w14:paraId="7270A17C" w14:textId="77777777" w:rsidR="0075793D" w:rsidRPr="00BA4F0F" w:rsidRDefault="0075793D" w:rsidP="003A3438">
            <w:pPr>
              <w:tabs>
                <w:tab w:val="left" w:pos="0"/>
              </w:tabs>
              <w:ind w:firstLine="0"/>
              <w:rPr>
                <w:rFonts w:cs="Times New Roman"/>
                <w:lang w:eastAsia="ru-RU"/>
              </w:rPr>
            </w:pPr>
            <w:r w:rsidRPr="00BA4F0F">
              <w:rPr>
                <w:rFonts w:cs="Times New Roman"/>
                <w:lang w:eastAsia="ru-RU"/>
              </w:rPr>
              <w:t>Лансопразол</w:t>
            </w:r>
          </w:p>
        </w:tc>
        <w:tc>
          <w:tcPr>
            <w:tcW w:w="1857" w:type="dxa"/>
          </w:tcPr>
          <w:p w14:paraId="65F00EF3" w14:textId="77777777" w:rsidR="0075793D" w:rsidRPr="00BA4F0F" w:rsidRDefault="0075793D" w:rsidP="003A3438">
            <w:pPr>
              <w:tabs>
                <w:tab w:val="left" w:pos="0"/>
              </w:tabs>
              <w:ind w:firstLine="0"/>
              <w:rPr>
                <w:rFonts w:cs="Times New Roman"/>
                <w:lang w:eastAsia="ru-RU"/>
              </w:rPr>
            </w:pPr>
            <w:r w:rsidRPr="00BA4F0F">
              <w:rPr>
                <w:rFonts w:cs="Times New Roman"/>
                <w:lang w:eastAsia="ru-RU"/>
              </w:rPr>
              <w:t xml:space="preserve">30 </w:t>
            </w:r>
          </w:p>
        </w:tc>
        <w:tc>
          <w:tcPr>
            <w:tcW w:w="4200" w:type="dxa"/>
          </w:tcPr>
          <w:p w14:paraId="457A78B0" w14:textId="77777777" w:rsidR="0075793D" w:rsidRPr="00BA4F0F" w:rsidRDefault="0075793D" w:rsidP="003A3438">
            <w:pPr>
              <w:ind w:firstLine="0"/>
            </w:pPr>
            <w:r w:rsidRPr="00BA4F0F">
              <w:rPr>
                <w:rFonts w:cs="Times New Roman"/>
                <w:lang w:eastAsia="ru-RU"/>
              </w:rPr>
              <w:t>Внутрь, 1 раз в сутки</w:t>
            </w:r>
          </w:p>
        </w:tc>
      </w:tr>
      <w:tr w:rsidR="0075793D" w:rsidRPr="00BA4F0F" w14:paraId="4B2E0C9B" w14:textId="77777777" w:rsidTr="002D3EBF">
        <w:trPr>
          <w:jc w:val="center"/>
        </w:trPr>
        <w:tc>
          <w:tcPr>
            <w:tcW w:w="2220" w:type="dxa"/>
          </w:tcPr>
          <w:p w14:paraId="4A0837D2" w14:textId="77777777" w:rsidR="0075793D" w:rsidRPr="00BA4F0F" w:rsidRDefault="0075793D" w:rsidP="003A3438">
            <w:pPr>
              <w:tabs>
                <w:tab w:val="left" w:pos="0"/>
              </w:tabs>
              <w:ind w:firstLine="0"/>
              <w:rPr>
                <w:rFonts w:cs="Times New Roman"/>
                <w:lang w:eastAsia="ru-RU"/>
              </w:rPr>
            </w:pPr>
            <w:r w:rsidRPr="00BA4F0F">
              <w:rPr>
                <w:rFonts w:cs="Times New Roman"/>
                <w:lang w:eastAsia="ru-RU"/>
              </w:rPr>
              <w:t>Пантопразол</w:t>
            </w:r>
          </w:p>
        </w:tc>
        <w:tc>
          <w:tcPr>
            <w:tcW w:w="1857" w:type="dxa"/>
          </w:tcPr>
          <w:p w14:paraId="385240EA" w14:textId="77777777" w:rsidR="0075793D" w:rsidRPr="00BA4F0F" w:rsidRDefault="0075793D" w:rsidP="003A3438">
            <w:pPr>
              <w:tabs>
                <w:tab w:val="left" w:pos="0"/>
              </w:tabs>
              <w:ind w:firstLine="0"/>
              <w:rPr>
                <w:rFonts w:cs="Times New Roman"/>
                <w:lang w:eastAsia="ru-RU"/>
              </w:rPr>
            </w:pPr>
            <w:r w:rsidRPr="00BA4F0F">
              <w:rPr>
                <w:rFonts w:cs="Times New Roman"/>
                <w:lang w:eastAsia="ru-RU"/>
              </w:rPr>
              <w:t xml:space="preserve">40 </w:t>
            </w:r>
          </w:p>
        </w:tc>
        <w:tc>
          <w:tcPr>
            <w:tcW w:w="4200" w:type="dxa"/>
          </w:tcPr>
          <w:p w14:paraId="469131BD" w14:textId="77777777" w:rsidR="0075793D" w:rsidRPr="00BA4F0F" w:rsidRDefault="0075793D" w:rsidP="003A3438">
            <w:pPr>
              <w:ind w:firstLine="0"/>
            </w:pPr>
            <w:r w:rsidRPr="00BA4F0F">
              <w:rPr>
                <w:rFonts w:cs="Times New Roman"/>
                <w:lang w:eastAsia="ru-RU"/>
              </w:rPr>
              <w:t>Внутрь, 1 раз в сутки</w:t>
            </w:r>
          </w:p>
        </w:tc>
      </w:tr>
      <w:tr w:rsidR="0075793D" w:rsidRPr="00BA4F0F" w14:paraId="0A76074C" w14:textId="77777777" w:rsidTr="002D3EBF">
        <w:trPr>
          <w:jc w:val="center"/>
        </w:trPr>
        <w:tc>
          <w:tcPr>
            <w:tcW w:w="2220" w:type="dxa"/>
          </w:tcPr>
          <w:p w14:paraId="40A67432" w14:textId="77777777" w:rsidR="0075793D" w:rsidRPr="00BA4F0F" w:rsidRDefault="0075793D" w:rsidP="003A3438">
            <w:pPr>
              <w:tabs>
                <w:tab w:val="left" w:pos="0"/>
              </w:tabs>
              <w:ind w:firstLine="0"/>
              <w:rPr>
                <w:rFonts w:cs="Times New Roman"/>
                <w:lang w:eastAsia="ru-RU"/>
              </w:rPr>
            </w:pPr>
            <w:r w:rsidRPr="00BA4F0F">
              <w:rPr>
                <w:rFonts w:cs="Times New Roman"/>
              </w:rPr>
              <w:t>Рабепразол</w:t>
            </w:r>
          </w:p>
        </w:tc>
        <w:tc>
          <w:tcPr>
            <w:tcW w:w="1857" w:type="dxa"/>
          </w:tcPr>
          <w:p w14:paraId="4CC46C7E" w14:textId="77777777" w:rsidR="0075793D" w:rsidRPr="00BA4F0F" w:rsidRDefault="0075793D" w:rsidP="003A3438">
            <w:pPr>
              <w:tabs>
                <w:tab w:val="left" w:pos="0"/>
              </w:tabs>
              <w:ind w:firstLine="0"/>
              <w:rPr>
                <w:rFonts w:cs="Times New Roman"/>
                <w:lang w:eastAsia="ru-RU"/>
              </w:rPr>
            </w:pPr>
            <w:r w:rsidRPr="00BA4F0F">
              <w:rPr>
                <w:rFonts w:cs="Times New Roman"/>
                <w:lang w:eastAsia="ru-RU"/>
              </w:rPr>
              <w:t>20</w:t>
            </w:r>
          </w:p>
        </w:tc>
        <w:tc>
          <w:tcPr>
            <w:tcW w:w="4200" w:type="dxa"/>
          </w:tcPr>
          <w:p w14:paraId="2682FECF" w14:textId="77777777" w:rsidR="0075793D" w:rsidRPr="00BA4F0F" w:rsidRDefault="0075793D" w:rsidP="003A3438">
            <w:pPr>
              <w:ind w:firstLine="0"/>
            </w:pPr>
            <w:r w:rsidRPr="00BA4F0F">
              <w:rPr>
                <w:rFonts w:cs="Times New Roman"/>
                <w:lang w:eastAsia="ru-RU"/>
              </w:rPr>
              <w:t>Внутрь, 1 раз в сутки</w:t>
            </w:r>
          </w:p>
        </w:tc>
      </w:tr>
      <w:tr w:rsidR="0075793D" w:rsidRPr="00BA4F0F" w14:paraId="02819460" w14:textId="77777777" w:rsidTr="002D3EBF">
        <w:trPr>
          <w:jc w:val="center"/>
        </w:trPr>
        <w:tc>
          <w:tcPr>
            <w:tcW w:w="2220" w:type="dxa"/>
          </w:tcPr>
          <w:p w14:paraId="6D0295A5" w14:textId="77777777" w:rsidR="0075793D" w:rsidRPr="00BA4F0F" w:rsidRDefault="0075793D" w:rsidP="003A3438">
            <w:pPr>
              <w:tabs>
                <w:tab w:val="left" w:pos="0"/>
              </w:tabs>
              <w:ind w:firstLine="0"/>
              <w:rPr>
                <w:rFonts w:cs="Times New Roman"/>
              </w:rPr>
            </w:pPr>
            <w:r w:rsidRPr="00BA4F0F">
              <w:rPr>
                <w:rFonts w:cs="Times New Roman"/>
              </w:rPr>
              <w:t>Эзомепразол</w:t>
            </w:r>
          </w:p>
        </w:tc>
        <w:tc>
          <w:tcPr>
            <w:tcW w:w="1857" w:type="dxa"/>
          </w:tcPr>
          <w:p w14:paraId="1733CD23" w14:textId="77777777" w:rsidR="0075793D" w:rsidRPr="00BA4F0F" w:rsidRDefault="0075793D" w:rsidP="003A3438">
            <w:pPr>
              <w:tabs>
                <w:tab w:val="left" w:pos="0"/>
              </w:tabs>
              <w:ind w:firstLine="0"/>
              <w:rPr>
                <w:rFonts w:cs="Times New Roman"/>
                <w:lang w:eastAsia="ru-RU"/>
              </w:rPr>
            </w:pPr>
            <w:r w:rsidRPr="00BA4F0F">
              <w:rPr>
                <w:rFonts w:cs="Times New Roman"/>
                <w:lang w:eastAsia="ru-RU"/>
              </w:rPr>
              <w:t>20</w:t>
            </w:r>
          </w:p>
        </w:tc>
        <w:tc>
          <w:tcPr>
            <w:tcW w:w="4200" w:type="dxa"/>
          </w:tcPr>
          <w:p w14:paraId="3951644C" w14:textId="77777777" w:rsidR="0075793D" w:rsidRPr="00BA4F0F" w:rsidRDefault="0075793D" w:rsidP="003A3438">
            <w:pPr>
              <w:ind w:firstLine="0"/>
            </w:pPr>
            <w:r w:rsidRPr="00BA4F0F">
              <w:rPr>
                <w:rFonts w:cs="Times New Roman"/>
                <w:lang w:eastAsia="ru-RU"/>
              </w:rPr>
              <w:t>Внутрь или в/в, 1 раз в сутки</w:t>
            </w:r>
          </w:p>
        </w:tc>
      </w:tr>
    </w:tbl>
    <w:p w14:paraId="4025D568" w14:textId="77777777" w:rsidR="0075793D" w:rsidRPr="00BA4F0F" w:rsidRDefault="0075793D" w:rsidP="0075793D">
      <w:pPr>
        <w:shd w:val="clear" w:color="auto" w:fill="FFFFFF"/>
        <w:tabs>
          <w:tab w:val="left" w:pos="0"/>
          <w:tab w:val="left" w:pos="394"/>
        </w:tabs>
        <w:rPr>
          <w:rFonts w:eastAsia="Arial Unicode MS" w:cs="Times New Roman"/>
          <w:color w:val="000000"/>
          <w:spacing w:val="4"/>
          <w:szCs w:val="24"/>
          <w:u w:color="000000"/>
          <w:lang w:eastAsia="ru-RU"/>
        </w:rPr>
      </w:pPr>
    </w:p>
    <w:p w14:paraId="0678C8E9" w14:textId="77777777" w:rsidR="0075793D" w:rsidRPr="00BA4F0F" w:rsidRDefault="0075793D" w:rsidP="0075793D">
      <w:pPr>
        <w:shd w:val="clear" w:color="auto" w:fill="FFFFFF"/>
        <w:tabs>
          <w:tab w:val="left" w:pos="0"/>
          <w:tab w:val="left" w:pos="394"/>
        </w:tabs>
        <w:rPr>
          <w:rFonts w:eastAsia="Arial Unicode MS" w:cs="Times New Roman"/>
          <w:color w:val="000000"/>
          <w:spacing w:val="4"/>
          <w:szCs w:val="24"/>
          <w:u w:color="000000"/>
          <w:lang w:eastAsia="ru-RU"/>
        </w:rPr>
      </w:pPr>
      <w:r w:rsidRPr="00BA4F0F">
        <w:rPr>
          <w:rFonts w:eastAsia="Arial Unicode MS" w:cs="Times New Roman"/>
          <w:color w:val="000000"/>
          <w:spacing w:val="4"/>
          <w:szCs w:val="24"/>
          <w:u w:color="000000"/>
          <w:lang w:eastAsia="ru-RU"/>
        </w:rPr>
        <w:t>Время суток и прием пищи не влияют на активность ИПП. Коррекции дозы при почечной недостаточности не требуется. При невозможности перорального приема ИПП вводятся внутривенно.</w:t>
      </w:r>
    </w:p>
    <w:p w14:paraId="62C039C1" w14:textId="68BE7479" w:rsidR="0075793D" w:rsidRPr="00BA4F0F" w:rsidRDefault="0075793D" w:rsidP="0075793D">
      <w:pPr>
        <w:rPr>
          <w:rFonts w:cs="Times New Roman"/>
          <w:szCs w:val="24"/>
          <w:lang w:eastAsia="ru-RU"/>
        </w:rPr>
      </w:pPr>
      <w:r w:rsidRPr="00BA4F0F">
        <w:rPr>
          <w:rFonts w:cs="Times New Roman"/>
          <w:szCs w:val="24"/>
          <w:lang w:eastAsia="ru-RU"/>
        </w:rPr>
        <w:t xml:space="preserve">В 1990 г. Burget и соавторы опубликовали результаты мета-анализа 300 работ, установившего, что язвы желудка и двенадцатиперстной кишки рубцуются практически во всех случаях, если рН внутрижелудочного содержимого поддерживается более 3 в течение суток на протяжении 18 часов </w:t>
      </w:r>
      <w:r w:rsidRPr="00BA4F0F">
        <w:rPr>
          <w:rFonts w:cs="Times New Roman"/>
          <w:szCs w:val="24"/>
          <w:lang w:eastAsia="ru-RU"/>
        </w:rPr>
        <w:fldChar w:fldCharType="begin" w:fldLock="1"/>
      </w:r>
      <w:r w:rsidR="004810E5">
        <w:rPr>
          <w:rFonts w:cs="Times New Roman"/>
          <w:szCs w:val="24"/>
          <w:lang w:eastAsia="ru-RU"/>
        </w:rPr>
        <w:instrText>ADDIN CSL_CITATION {"citationItems":[{"id":"ITEM-1","itemData":{"DOI":"10.1016/0016-5085(90)91015-X","ISSN":"00165085","PMID":"2142113","abstract":"The optimal degree and duration of suppression of gastric acidity required for the healing of peptic ulcers has never been established. Although very potent inhibitors of acid secretion are now available, the need for this degree of suppression has not been shown, and there is a possibility of adverse effects because of pronounced acid inhibition. Therefore, a model has been constructed that defines the relationship between duodenal ulcer healing and antisecretory therapy. Acid suppression data were obtained directly from investigators as raw data from 24-hour studies of acid secretion. Twenty-one experiments from seven investigators provided 490 24-hour studies using 19 different treatment regimens. Healing data were collected from a metaanalysis of published clinical trials of duodenal ulcer healing. A total of 144 published trials in 14,208 patients provided healing data at several endoscopic endpoints for the 19 drug regimens for which acidity data were provided. Weighted least-squares polynomial regression analysis was used to define those parameters of antisecretory therapy that contributed most to duodenal ulcer healing and to define the shape of the response surface. A highly significant correlation (r = 0.9814) was found between healing and the degree of acid suppression, the duration of acid suppression, and the length of therapy. The shape of the contour expressing this relationship shows that healing increases as the duration of suppression increases and as gastric pH increases. However, suppression that increased pH beyond 3.0 was not found to increase ulcer healing further. It is concluded that a longer duration of antisecretory effect and/or a longer duration of therapy are of greater importance than potency for duodenal ulcer healing. © 1990.","author":[{"dropping-particle":"","family":"Burget","given":"Douglas W.","non-dropping-particle":"","parse-names":false,"suffix":""},{"dropping-particle":"","family":"Chiverton","given":"Stephen G.","non-dropping-particle":"","parse-names":false,"suffix":""},{"dropping-particle":"","family":"Hunt","given":"Richard H.","non-dropping-particle":"","parse-names":false,"suffix":""}],"container-title":"Gastroenterology","id":"ITEM-1","issue":"2","issued":{"date-parts":[["1990","8"]]},"page":"345-351","publisher":"Gastroenterology","title":"Is there an optimal degree of acid suppression for healing of duodenal ulcers? A model of the relationship between ulcer healing and acid suppression","type":"article-journal","volume":"99"},"uris":["http://www.mendeley.com/documents/?uuid=55c5fe56-6faa-4e55-bfe2-e8e5c51854a2"]}],"mendeley":{"formattedCitation":"[82]","plainTextFormattedCitation":"[82]","previouslyFormattedCitation":"[82]"},"properties":{"noteIndex":0},"schema":"https://github.com/citation-style-language/schema/raw/master/csl-citation.json"}</w:instrText>
      </w:r>
      <w:r w:rsidRPr="00BA4F0F">
        <w:rPr>
          <w:rFonts w:cs="Times New Roman"/>
          <w:szCs w:val="24"/>
          <w:lang w:eastAsia="ru-RU"/>
        </w:rPr>
        <w:fldChar w:fldCharType="separate"/>
      </w:r>
      <w:r w:rsidR="004810E5" w:rsidRPr="004810E5">
        <w:rPr>
          <w:rFonts w:cs="Times New Roman"/>
          <w:noProof/>
          <w:szCs w:val="24"/>
          <w:lang w:eastAsia="ru-RU"/>
        </w:rPr>
        <w:t>[82]</w:t>
      </w:r>
      <w:r w:rsidRPr="00BA4F0F">
        <w:rPr>
          <w:rFonts w:cs="Times New Roman"/>
          <w:szCs w:val="24"/>
          <w:lang w:eastAsia="ru-RU"/>
        </w:rPr>
        <w:fldChar w:fldCharType="end"/>
      </w:r>
      <w:r w:rsidRPr="00BA4F0F">
        <w:rPr>
          <w:rFonts w:cs="Times New Roman"/>
          <w:szCs w:val="24"/>
          <w:lang w:eastAsia="ru-RU"/>
        </w:rPr>
        <w:t>. С учетом указанного правила в качестве противоязвенной терапии в настоящее время могут рассматриваться антациды, Н2-блокаторы и ИПП. Согласно одному из последних мета-анализов, при использовании ИПП или Н2-блокаторов достоверно эффективнее достигается рубцевание язвенного дефекта</w:t>
      </w:r>
      <w:r w:rsidRPr="00BA4F0F">
        <w:rPr>
          <w:rFonts w:cs="Times New Roman"/>
          <w:szCs w:val="24"/>
        </w:rPr>
        <w:t>, а также с</w:t>
      </w:r>
      <w:r w:rsidRPr="00BA4F0F">
        <w:rPr>
          <w:rFonts w:cs="Times New Roman"/>
          <w:szCs w:val="24"/>
          <w:lang w:eastAsia="ru-RU"/>
        </w:rPr>
        <w:t xml:space="preserve">нижается риск повторного кровотечения, по сравнению с плацебо </w:t>
      </w:r>
      <w:r w:rsidRPr="00BA4F0F">
        <w:rPr>
          <w:rFonts w:cs="Times New Roman"/>
          <w:szCs w:val="24"/>
          <w:lang w:eastAsia="ru-RU"/>
        </w:rPr>
        <w:fldChar w:fldCharType="begin" w:fldLock="1"/>
      </w:r>
      <w:r w:rsidR="004810E5">
        <w:rPr>
          <w:rFonts w:cs="Times New Roman"/>
          <w:szCs w:val="24"/>
          <w:lang w:eastAsia="ru-RU"/>
        </w:rPr>
        <w:instrText>ADDIN CSL_CITATION {"citationItems":[{"id":"ITEM-1","itemData":{"DOI":"10.1016/S2468-1253(18)30037-2","ISSN":"24681253","PMID":"29475806","abstract":"Background: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Hepatology","id":"ITEM-1","issue":"4","issued":{"date-parts":[["2018","4","1"]]},"page":"231-241","publisher":"Elsevier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mendeley":{"formattedCitation":"[84]","plainTextFormattedCitation":"[84]","previouslyFormattedCitation":"[84]"},"properties":{"noteIndex":0},"schema":"https://github.com/citation-style-language/schema/raw/master/csl-citation.json"}</w:instrText>
      </w:r>
      <w:r w:rsidRPr="00BA4F0F">
        <w:rPr>
          <w:rFonts w:cs="Times New Roman"/>
          <w:szCs w:val="24"/>
          <w:lang w:eastAsia="ru-RU"/>
        </w:rPr>
        <w:fldChar w:fldCharType="separate"/>
      </w:r>
      <w:r w:rsidR="004810E5" w:rsidRPr="004810E5">
        <w:rPr>
          <w:rFonts w:cs="Times New Roman"/>
          <w:noProof/>
          <w:szCs w:val="24"/>
          <w:lang w:eastAsia="ru-RU"/>
        </w:rPr>
        <w:t>[84]</w:t>
      </w:r>
      <w:r w:rsidRPr="00BA4F0F">
        <w:rPr>
          <w:rFonts w:cs="Times New Roman"/>
          <w:szCs w:val="24"/>
          <w:lang w:eastAsia="ru-RU"/>
        </w:rPr>
        <w:fldChar w:fldCharType="end"/>
      </w:r>
      <w:r w:rsidRPr="00BA4F0F">
        <w:rPr>
          <w:rFonts w:cs="Times New Roman"/>
          <w:szCs w:val="24"/>
          <w:lang w:eastAsia="ru-RU"/>
        </w:rPr>
        <w:t xml:space="preserve">. Лишь препараты этих двух групп позволяют достигать и поддерживать необходимую рН-среду желудка, при которой происходит заживление гастродуоденальных язв. </w:t>
      </w:r>
    </w:p>
    <w:p w14:paraId="03749A47" w14:textId="344B13A2" w:rsidR="0075793D" w:rsidRPr="00BA4F0F" w:rsidRDefault="0075793D" w:rsidP="0075793D">
      <w:pPr>
        <w:rPr>
          <w:rFonts w:cs="Times New Roman"/>
          <w:szCs w:val="24"/>
          <w:lang w:eastAsia="ru-RU"/>
        </w:rPr>
      </w:pPr>
      <w:r w:rsidRPr="00BA4F0F">
        <w:rPr>
          <w:rFonts w:cs="Times New Roman"/>
          <w:szCs w:val="24"/>
          <w:lang w:eastAsia="ru-RU"/>
        </w:rPr>
        <w:t xml:space="preserve">В настоящее время ИПП являются средством базисной терапии. Результаты рандомизированных сравнительных исследований свидетельствуют о высокой эффективности ИПП по сравнению с Н2-блокаторами </w:t>
      </w:r>
      <w:r w:rsidRPr="00BA4F0F">
        <w:rPr>
          <w:rFonts w:cs="Times New Roman"/>
          <w:szCs w:val="24"/>
          <w:lang w:eastAsia="ru-RU"/>
        </w:rPr>
        <w:fldChar w:fldCharType="begin" w:fldLock="1"/>
      </w:r>
      <w:r w:rsidR="004810E5">
        <w:rPr>
          <w:rFonts w:cs="Times New Roman"/>
          <w:szCs w:val="24"/>
          <w:lang w:eastAsia="ru-RU"/>
        </w:rPr>
        <w:instrText>ADDIN CSL_CITATION {"citationItems":[{"id":"ITEM-1","itemData":{"DOI":"10.4103/1319-3767.199117","ISSN":"1319-3767","abstract":"Background/Aim: To compare the efficacy and tolerance of different proton pump inhibitors (PPIs) in different doses for patients with duodenal ulcers. Materials and Methods: An electronic database was searched to collect all randomized clinical trials (RCTs), and a pairwise and network meta-analysis were performed. Results: A total of 24 RCTs involving 6188 patients were included. The network meta-analysis showed that there were no significant differences for the 4-week healing rate of duodenal ulcer treated with different PPI regimens except pantoprazle 40 mg/d versus lansoprazole 15 mg/d [Relative risk (RR) = 3.57; 95% confidence interval (CI) = 1.36-10.31)] and lansoprazole 30 mg/d versus lansoprazole 15 mg/d (RR = 2.45; 95% CI = 1.01-6.14). In comparison with H2receptor antagonists (H2RA), pantoprazole 40 mg/d and lansoprazole 30 mg/d significantly increase the healing rate (RR = 2.96; 95% CI = 1.78-5.14 and RR = 2.04; 95% CI = 1.13-3.53, respectively). There was no significant difference for the rate of adverse events between different regimens, including H2RA for a duration of 4-week of follow up. Conclusion: There was no significant difference for the efficacy and tolerance between the ordinary doses of different PPIs with the exception of lansoprazle 15 mg/d.","author":[{"dropping-particle":"","family":"Hu","given":"Zhan-Hong","non-dropping-particle":"","parse-names":false,"suffix":""},{"dropping-particle":"","family":"Shi","given":"Ai-Ming","non-dropping-particle":"","parse-names":false,"suffix":""},{"dropping-particle":"","family":"Hu","given":"Duan-Min","non-dropping-particle":"","parse-names":false,"suffix":""},{"dropping-particle":"","family":"Bao","given":"Jun-Jie","non-dropping-particle":"","parse-names":false,"suffix":""}],"container-title":"Saudi Journal of Gastroenterology","id":"ITEM-1","issue":"1","issued":{"date-parts":[["2017","1","1"]]},"page":"11","publisher":"Medknow Publications","title":"Efficacy of proton pump inhibitors for patients with duodenal ulcers: A pairwise and network meta-analysis of randomized controlled trials","type":"article-journal","volume":"23"},"uris":["http://www.mendeley.com/documents/?uuid=d523d0fc-026a-365d-b2ac-773ed8aed036"]}],"mendeley":{"formattedCitation":"[85]","plainTextFormattedCitation":"[85]","previouslyFormattedCitation":"[85]"},"properties":{"noteIndex":0},"schema":"https://github.com/citation-style-language/schema/raw/master/csl-citation.json"}</w:instrText>
      </w:r>
      <w:r w:rsidRPr="00BA4F0F">
        <w:rPr>
          <w:rFonts w:cs="Times New Roman"/>
          <w:szCs w:val="24"/>
          <w:lang w:eastAsia="ru-RU"/>
        </w:rPr>
        <w:fldChar w:fldCharType="separate"/>
      </w:r>
      <w:r w:rsidR="004810E5" w:rsidRPr="004810E5">
        <w:rPr>
          <w:rFonts w:cs="Times New Roman"/>
          <w:noProof/>
          <w:szCs w:val="24"/>
          <w:lang w:eastAsia="ru-RU"/>
        </w:rPr>
        <w:t>[85]</w:t>
      </w:r>
      <w:r w:rsidRPr="00BA4F0F">
        <w:rPr>
          <w:rFonts w:cs="Times New Roman"/>
          <w:szCs w:val="24"/>
          <w:lang w:eastAsia="ru-RU"/>
        </w:rPr>
        <w:fldChar w:fldCharType="end"/>
      </w:r>
      <w:r w:rsidRPr="00BA4F0F">
        <w:rPr>
          <w:rFonts w:cs="Times New Roman"/>
          <w:szCs w:val="24"/>
          <w:lang w:eastAsia="ru-RU"/>
        </w:rPr>
        <w:t>. ИПП практически в 1,5 раза эффективнее Н2-блокаторов в отношении эпителизации язвенного дефекта</w:t>
      </w:r>
      <w:r w:rsidRPr="00BA4F0F">
        <w:rPr>
          <w:rFonts w:cs="Times New Roman"/>
          <w:szCs w:val="24"/>
          <w:lang w:eastAsia="ru-RU"/>
        </w:rPr>
        <w:fldChar w:fldCharType="begin" w:fldLock="1"/>
      </w:r>
      <w:r w:rsidR="004810E5">
        <w:rPr>
          <w:rFonts w:cs="Times New Roman"/>
          <w:szCs w:val="24"/>
          <w:lang w:eastAsia="ru-RU"/>
        </w:rPr>
        <w:instrText>ADDIN CSL_CITATION {"citationItems":[{"id":"ITEM-1","itemData":{"DOI":"10.1016/S2468-1253(18)30037-2","ISSN":"24681253","PMID":"29475806","abstract":"Background: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Hepatology","id":"ITEM-1","issue":"4","issued":{"date-parts":[["2018","4","1"]]},"page":"231-241","publisher":"Elsevier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mendeley":{"formattedCitation":"[84]","plainTextFormattedCitation":"[84]","previouslyFormattedCitation":"[84]"},"properties":{"noteIndex":0},"schema":"https://github.com/citation-style-language/schema/raw/master/csl-citation.json"}</w:instrText>
      </w:r>
      <w:r w:rsidRPr="00BA4F0F">
        <w:rPr>
          <w:rFonts w:cs="Times New Roman"/>
          <w:szCs w:val="24"/>
          <w:lang w:eastAsia="ru-RU"/>
        </w:rPr>
        <w:fldChar w:fldCharType="separate"/>
      </w:r>
      <w:r w:rsidR="004810E5" w:rsidRPr="004810E5">
        <w:rPr>
          <w:rFonts w:cs="Times New Roman"/>
          <w:noProof/>
          <w:szCs w:val="24"/>
          <w:lang w:eastAsia="ru-RU"/>
        </w:rPr>
        <w:t>[84]</w:t>
      </w:r>
      <w:r w:rsidRPr="00BA4F0F">
        <w:rPr>
          <w:rFonts w:cs="Times New Roman"/>
          <w:szCs w:val="24"/>
          <w:lang w:eastAsia="ru-RU"/>
        </w:rPr>
        <w:fldChar w:fldCharType="end"/>
      </w:r>
      <w:r w:rsidRPr="00BA4F0F">
        <w:rPr>
          <w:rFonts w:cs="Times New Roman"/>
          <w:szCs w:val="24"/>
          <w:lang w:eastAsia="ru-RU"/>
        </w:rPr>
        <w:t>.</w:t>
      </w:r>
    </w:p>
    <w:p w14:paraId="2B4F3E41" w14:textId="77777777" w:rsidR="0075793D" w:rsidRPr="00BA4F0F" w:rsidRDefault="0075793D" w:rsidP="0075793D">
      <w:pPr>
        <w:tabs>
          <w:tab w:val="left" w:pos="0"/>
        </w:tabs>
        <w:rPr>
          <w:rFonts w:cs="Times New Roman"/>
          <w:b/>
          <w:szCs w:val="24"/>
        </w:rPr>
      </w:pPr>
    </w:p>
    <w:p w14:paraId="1A1420C0" w14:textId="77777777" w:rsidR="0075793D" w:rsidRPr="00BA4F0F" w:rsidRDefault="0075793D" w:rsidP="0075793D">
      <w:pPr>
        <w:pStyle w:val="afe"/>
        <w:ind w:left="0"/>
        <w:rPr>
          <w:rFonts w:cs="Times New Roman"/>
          <w:szCs w:val="24"/>
          <w:u w:val="single"/>
        </w:rPr>
      </w:pPr>
      <w:r w:rsidRPr="00BA4F0F">
        <w:rPr>
          <w:rFonts w:cs="Times New Roman"/>
          <w:szCs w:val="24"/>
          <w:u w:val="single"/>
        </w:rPr>
        <w:t xml:space="preserve">Блокаторы Н2-гистаминовых рецепторов </w:t>
      </w:r>
    </w:p>
    <w:p w14:paraId="11393720" w14:textId="77777777" w:rsidR="0075793D" w:rsidRPr="00BA4F0F" w:rsidRDefault="0075793D" w:rsidP="0075793D">
      <w:pPr>
        <w:tabs>
          <w:tab w:val="left" w:pos="0"/>
        </w:tabs>
        <w:rPr>
          <w:rFonts w:cs="Times New Roman"/>
          <w:b/>
          <w:szCs w:val="24"/>
        </w:rPr>
      </w:pPr>
      <w:r w:rsidRPr="00BA4F0F">
        <w:rPr>
          <w:rFonts w:cs="Times New Roman"/>
          <w:b/>
          <w:szCs w:val="24"/>
        </w:rPr>
        <w:t>Фармакологическое действие</w:t>
      </w:r>
    </w:p>
    <w:p w14:paraId="5B048424" w14:textId="77777777" w:rsidR="0075793D" w:rsidRPr="00BA4F0F" w:rsidRDefault="0075793D" w:rsidP="0075793D">
      <w:pPr>
        <w:tabs>
          <w:tab w:val="left" w:pos="0"/>
        </w:tabs>
        <w:rPr>
          <w:rFonts w:cs="Times New Roman"/>
          <w:szCs w:val="24"/>
        </w:rPr>
      </w:pPr>
      <w:r w:rsidRPr="00BA4F0F">
        <w:rPr>
          <w:rFonts w:cs="Times New Roman"/>
          <w:szCs w:val="24"/>
        </w:rPr>
        <w:t xml:space="preserve">Препараты, блокирующие гистаминовые Н2-рецепторы – лекарственные средства, устраняющие физиологические эффекты гистамина, блокируя рецепторы чувствительных к нему клеток. </w:t>
      </w:r>
    </w:p>
    <w:p w14:paraId="574E37C9" w14:textId="77777777" w:rsidR="0075793D" w:rsidRPr="00BA4F0F" w:rsidRDefault="0075793D" w:rsidP="0075793D">
      <w:pPr>
        <w:tabs>
          <w:tab w:val="left" w:pos="0"/>
        </w:tabs>
        <w:rPr>
          <w:rFonts w:cs="Times New Roman"/>
          <w:szCs w:val="24"/>
        </w:rPr>
      </w:pPr>
      <w:r w:rsidRPr="00BA4F0F">
        <w:rPr>
          <w:rFonts w:cs="Times New Roman"/>
          <w:szCs w:val="24"/>
        </w:rPr>
        <w:t xml:space="preserve">Популяция гистаминорецепторов состоит из 2-х подтипов, названных Н (Н1- и Н2-гистаминорецепторы). Секреторные реакции желудка при действии экзогенного или эндогенного гистамина реализуются через Н2-гистаминорецепторы. Блокаторы гистаминовых Н2-рецепторов являются конкурентными антагонистами гистамина. Наиболее выраженный эффект ассоциирован с влиянием на секрецию желез слизистой оболочки желудка. Препараты воздействуют на гистаминовые Н2-рецепторы париетальных клеток и значительно уменьшают вызванную различными раздражителями секрецию соляной кислоты. </w:t>
      </w:r>
    </w:p>
    <w:p w14:paraId="6EBF0AA2" w14:textId="77777777" w:rsidR="0075793D" w:rsidRPr="00BA4F0F" w:rsidRDefault="0075793D" w:rsidP="0075793D">
      <w:pPr>
        <w:tabs>
          <w:tab w:val="left" w:pos="0"/>
        </w:tabs>
        <w:rPr>
          <w:rFonts w:cs="Times New Roman"/>
          <w:b/>
          <w:szCs w:val="24"/>
        </w:rPr>
      </w:pPr>
      <w:r w:rsidRPr="00BA4F0F">
        <w:rPr>
          <w:rFonts w:cs="Times New Roman"/>
          <w:b/>
          <w:szCs w:val="24"/>
        </w:rPr>
        <w:t>Показания</w:t>
      </w:r>
    </w:p>
    <w:p w14:paraId="3207E948" w14:textId="77777777" w:rsidR="0075793D" w:rsidRPr="00BA4F0F" w:rsidRDefault="0075793D" w:rsidP="005E0272">
      <w:pPr>
        <w:numPr>
          <w:ilvl w:val="0"/>
          <w:numId w:val="235"/>
        </w:numPr>
        <w:tabs>
          <w:tab w:val="left" w:pos="0"/>
        </w:tabs>
        <w:ind w:left="0" w:firstLine="709"/>
        <w:contextualSpacing/>
        <w:rPr>
          <w:rFonts w:cs="Times New Roman"/>
          <w:szCs w:val="24"/>
        </w:rPr>
      </w:pPr>
      <w:r w:rsidRPr="00BA4F0F">
        <w:rPr>
          <w:rFonts w:cs="Times New Roman"/>
          <w:szCs w:val="24"/>
        </w:rPr>
        <w:t>Профилактика/лечение язвенной болезни желудка и двенадцатиперстной кишки, в том числе на фоне высокодозной химиотерапии</w:t>
      </w:r>
    </w:p>
    <w:p w14:paraId="748D2F84" w14:textId="77777777" w:rsidR="0075793D" w:rsidRPr="00BA4F0F" w:rsidRDefault="0075793D" w:rsidP="0075793D">
      <w:pPr>
        <w:tabs>
          <w:tab w:val="left" w:pos="0"/>
        </w:tabs>
        <w:rPr>
          <w:rFonts w:cs="Times New Roman"/>
          <w:b/>
          <w:szCs w:val="24"/>
        </w:rPr>
      </w:pPr>
      <w:r w:rsidRPr="00BA4F0F">
        <w:rPr>
          <w:rFonts w:cs="Times New Roman"/>
          <w:b/>
          <w:szCs w:val="24"/>
        </w:rPr>
        <w:t>5.3. Режим дозирования</w:t>
      </w:r>
    </w:p>
    <w:p w14:paraId="6764DC47" w14:textId="67A8090C" w:rsidR="0075793D" w:rsidRPr="00BA4F0F" w:rsidRDefault="0075793D" w:rsidP="0075793D">
      <w:pPr>
        <w:tabs>
          <w:tab w:val="left" w:pos="0"/>
        </w:tabs>
        <w:rPr>
          <w:rFonts w:cs="Times New Roman"/>
          <w:szCs w:val="24"/>
        </w:rPr>
      </w:pPr>
      <w:r w:rsidRPr="00BA4F0F">
        <w:rPr>
          <w:rFonts w:cs="Times New Roman"/>
          <w:szCs w:val="24"/>
        </w:rPr>
        <w:t xml:space="preserve">Пациентам во время проведения курсов специфической противоопухолевой терапии, с профилактической целью рекомендован прием блокаторов Н2-гистаминовых рецепторов в указанных в таблице </w:t>
      </w:r>
      <w:r w:rsidR="003A3438">
        <w:rPr>
          <w:rFonts w:cs="Times New Roman"/>
          <w:szCs w:val="24"/>
        </w:rPr>
        <w:t>9</w:t>
      </w:r>
      <w:r w:rsidRPr="00BA4F0F">
        <w:rPr>
          <w:rFonts w:cs="Times New Roman"/>
          <w:szCs w:val="24"/>
        </w:rPr>
        <w:t xml:space="preserve"> дозах.</w:t>
      </w:r>
    </w:p>
    <w:p w14:paraId="23637D6A" w14:textId="77777777" w:rsidR="0075793D" w:rsidRPr="00BA4F0F" w:rsidRDefault="0075793D" w:rsidP="0075793D">
      <w:pPr>
        <w:tabs>
          <w:tab w:val="left" w:pos="0"/>
        </w:tabs>
        <w:rPr>
          <w:rFonts w:cs="Times New Roman"/>
          <w:szCs w:val="24"/>
        </w:rPr>
      </w:pPr>
    </w:p>
    <w:p w14:paraId="3ACF1B62" w14:textId="409981AF" w:rsidR="0075793D" w:rsidRPr="00BA4F0F" w:rsidRDefault="0075793D" w:rsidP="003A3438">
      <w:pPr>
        <w:tabs>
          <w:tab w:val="left" w:pos="0"/>
        </w:tabs>
        <w:ind w:firstLine="0"/>
        <w:rPr>
          <w:rFonts w:cs="Times New Roman"/>
          <w:szCs w:val="24"/>
        </w:rPr>
      </w:pPr>
      <w:r w:rsidRPr="003A3438">
        <w:rPr>
          <w:rFonts w:cs="Times New Roman"/>
          <w:szCs w:val="24"/>
        </w:rPr>
        <w:t xml:space="preserve">Таблица </w:t>
      </w:r>
      <w:r w:rsidR="00E242EE" w:rsidRPr="003A3438">
        <w:rPr>
          <w:rFonts w:cs="Times New Roman"/>
          <w:szCs w:val="24"/>
        </w:rPr>
        <w:t>9</w:t>
      </w:r>
      <w:r w:rsidRPr="003A3438">
        <w:rPr>
          <w:rFonts w:cs="Times New Roman"/>
          <w:szCs w:val="24"/>
        </w:rPr>
        <w:t>. Режим дозирования блокаторов Н2-гистаминовых рецепторов</w:t>
      </w:r>
      <w:r w:rsidRPr="00BA4F0F">
        <w:rPr>
          <w:rFonts w:cs="Times New Roman"/>
          <w:szCs w:val="24"/>
        </w:rPr>
        <w:t xml:space="preserve"> </w:t>
      </w:r>
    </w:p>
    <w:tbl>
      <w:tblPr>
        <w:tblStyle w:val="31"/>
        <w:tblW w:w="0" w:type="auto"/>
        <w:jc w:val="center"/>
        <w:tblLook w:val="04A0" w:firstRow="1" w:lastRow="0" w:firstColumn="1" w:lastColumn="0" w:noHBand="0" w:noVBand="1"/>
      </w:tblPr>
      <w:tblGrid>
        <w:gridCol w:w="2220"/>
        <w:gridCol w:w="1857"/>
        <w:gridCol w:w="3491"/>
      </w:tblGrid>
      <w:tr w:rsidR="0075793D" w:rsidRPr="00BA4F0F" w14:paraId="3988B748" w14:textId="77777777" w:rsidTr="002D3EBF">
        <w:trPr>
          <w:jc w:val="center"/>
        </w:trPr>
        <w:tc>
          <w:tcPr>
            <w:tcW w:w="2220" w:type="dxa"/>
          </w:tcPr>
          <w:p w14:paraId="365A4A35" w14:textId="77777777" w:rsidR="0075793D" w:rsidRPr="00BA4F0F" w:rsidRDefault="0075793D" w:rsidP="003A3438">
            <w:pPr>
              <w:tabs>
                <w:tab w:val="left" w:pos="0"/>
              </w:tabs>
              <w:ind w:firstLine="0"/>
              <w:jc w:val="center"/>
              <w:rPr>
                <w:rFonts w:cs="Times New Roman"/>
                <w:b/>
                <w:lang w:eastAsia="ru-RU"/>
              </w:rPr>
            </w:pPr>
            <w:r w:rsidRPr="00BA4F0F">
              <w:rPr>
                <w:rFonts w:cs="Times New Roman"/>
                <w:b/>
                <w:lang w:eastAsia="ru-RU"/>
              </w:rPr>
              <w:t>Препараты</w:t>
            </w:r>
          </w:p>
        </w:tc>
        <w:tc>
          <w:tcPr>
            <w:tcW w:w="1857" w:type="dxa"/>
          </w:tcPr>
          <w:p w14:paraId="40DD914B" w14:textId="77777777" w:rsidR="0075793D" w:rsidRPr="00BA4F0F" w:rsidRDefault="0075793D" w:rsidP="003A3438">
            <w:pPr>
              <w:tabs>
                <w:tab w:val="left" w:pos="0"/>
              </w:tabs>
              <w:ind w:firstLine="0"/>
              <w:jc w:val="center"/>
              <w:rPr>
                <w:rFonts w:cs="Times New Roman"/>
                <w:b/>
                <w:lang w:eastAsia="ru-RU"/>
              </w:rPr>
            </w:pPr>
            <w:r w:rsidRPr="00BA4F0F">
              <w:rPr>
                <w:rFonts w:cs="Times New Roman"/>
                <w:b/>
                <w:lang w:eastAsia="ru-RU"/>
              </w:rPr>
              <w:t>Суточная доза, мг</w:t>
            </w:r>
          </w:p>
        </w:tc>
        <w:tc>
          <w:tcPr>
            <w:tcW w:w="3491" w:type="dxa"/>
          </w:tcPr>
          <w:p w14:paraId="0F1BD360" w14:textId="77777777" w:rsidR="0075793D" w:rsidRPr="00BA4F0F" w:rsidRDefault="0075793D" w:rsidP="003A3438">
            <w:pPr>
              <w:tabs>
                <w:tab w:val="left" w:pos="0"/>
              </w:tabs>
              <w:ind w:firstLine="0"/>
              <w:jc w:val="center"/>
              <w:rPr>
                <w:rFonts w:cs="Times New Roman"/>
                <w:b/>
                <w:lang w:eastAsia="ru-RU"/>
              </w:rPr>
            </w:pPr>
            <w:r w:rsidRPr="00BA4F0F">
              <w:rPr>
                <w:rFonts w:cs="Times New Roman"/>
                <w:b/>
                <w:lang w:eastAsia="ru-RU"/>
              </w:rPr>
              <w:t>Режим дозирования</w:t>
            </w:r>
          </w:p>
        </w:tc>
      </w:tr>
      <w:tr w:rsidR="0075793D" w:rsidRPr="00BA4F0F" w14:paraId="4C81F649" w14:textId="77777777" w:rsidTr="002D3EBF">
        <w:trPr>
          <w:jc w:val="center"/>
        </w:trPr>
        <w:tc>
          <w:tcPr>
            <w:tcW w:w="2220" w:type="dxa"/>
          </w:tcPr>
          <w:p w14:paraId="4CEC21D8" w14:textId="77777777" w:rsidR="0075793D" w:rsidRPr="00BA4F0F" w:rsidRDefault="0075793D" w:rsidP="003A3438">
            <w:pPr>
              <w:tabs>
                <w:tab w:val="left" w:pos="0"/>
              </w:tabs>
              <w:ind w:firstLine="0"/>
              <w:rPr>
                <w:rFonts w:cs="Times New Roman"/>
                <w:lang w:eastAsia="ru-RU"/>
              </w:rPr>
            </w:pPr>
            <w:r w:rsidRPr="00BA4F0F">
              <w:rPr>
                <w:rFonts w:cs="Times New Roman"/>
                <w:lang w:eastAsia="ru-RU"/>
              </w:rPr>
              <w:t>Ранитидин</w:t>
            </w:r>
          </w:p>
        </w:tc>
        <w:tc>
          <w:tcPr>
            <w:tcW w:w="1857" w:type="dxa"/>
          </w:tcPr>
          <w:p w14:paraId="19DB2966" w14:textId="77777777" w:rsidR="0075793D" w:rsidRPr="00BA4F0F" w:rsidRDefault="0075793D" w:rsidP="003A3438">
            <w:pPr>
              <w:tabs>
                <w:tab w:val="left" w:pos="0"/>
              </w:tabs>
              <w:ind w:firstLine="0"/>
              <w:rPr>
                <w:rFonts w:cs="Times New Roman"/>
                <w:lang w:eastAsia="ru-RU"/>
              </w:rPr>
            </w:pPr>
            <w:r w:rsidRPr="00BA4F0F">
              <w:rPr>
                <w:rFonts w:cs="Times New Roman"/>
                <w:lang w:eastAsia="ru-RU"/>
              </w:rPr>
              <w:t>150</w:t>
            </w:r>
          </w:p>
        </w:tc>
        <w:tc>
          <w:tcPr>
            <w:tcW w:w="3491" w:type="dxa"/>
          </w:tcPr>
          <w:p w14:paraId="07CFDDF0" w14:textId="77777777" w:rsidR="0075793D" w:rsidRPr="00BA4F0F" w:rsidRDefault="0075793D" w:rsidP="003A3438">
            <w:pPr>
              <w:tabs>
                <w:tab w:val="left" w:pos="0"/>
              </w:tabs>
              <w:ind w:firstLine="0"/>
              <w:rPr>
                <w:rFonts w:cs="Times New Roman"/>
                <w:lang w:eastAsia="ru-RU"/>
              </w:rPr>
            </w:pPr>
            <w:r w:rsidRPr="00BA4F0F">
              <w:rPr>
                <w:rFonts w:cs="Times New Roman"/>
                <w:lang w:eastAsia="ru-RU"/>
              </w:rPr>
              <w:t>Внутрь, 1 раз в сутки, на ночь</w:t>
            </w:r>
          </w:p>
        </w:tc>
      </w:tr>
      <w:tr w:rsidR="0075793D" w:rsidRPr="00BA4F0F" w14:paraId="01B31468" w14:textId="77777777" w:rsidTr="002D3EBF">
        <w:trPr>
          <w:jc w:val="center"/>
        </w:trPr>
        <w:tc>
          <w:tcPr>
            <w:tcW w:w="2220" w:type="dxa"/>
          </w:tcPr>
          <w:p w14:paraId="30D22DE8" w14:textId="77777777" w:rsidR="0075793D" w:rsidRPr="00BA4F0F" w:rsidRDefault="0075793D" w:rsidP="003A3438">
            <w:pPr>
              <w:tabs>
                <w:tab w:val="left" w:pos="0"/>
              </w:tabs>
              <w:ind w:firstLine="0"/>
              <w:rPr>
                <w:rFonts w:cs="Times New Roman"/>
                <w:lang w:eastAsia="ru-RU"/>
              </w:rPr>
            </w:pPr>
            <w:r w:rsidRPr="00BA4F0F">
              <w:rPr>
                <w:rFonts w:cs="Times New Roman"/>
                <w:lang w:eastAsia="ru-RU"/>
              </w:rPr>
              <w:t>Фамотидин</w:t>
            </w:r>
          </w:p>
        </w:tc>
        <w:tc>
          <w:tcPr>
            <w:tcW w:w="1857" w:type="dxa"/>
          </w:tcPr>
          <w:p w14:paraId="0A37D987" w14:textId="77777777" w:rsidR="0075793D" w:rsidRPr="00BA4F0F" w:rsidRDefault="0075793D" w:rsidP="003A3438">
            <w:pPr>
              <w:tabs>
                <w:tab w:val="left" w:pos="0"/>
              </w:tabs>
              <w:ind w:firstLine="0"/>
              <w:rPr>
                <w:rFonts w:cs="Times New Roman"/>
                <w:lang w:eastAsia="ru-RU"/>
              </w:rPr>
            </w:pPr>
            <w:r w:rsidRPr="00BA4F0F">
              <w:rPr>
                <w:rFonts w:cs="Times New Roman"/>
                <w:lang w:eastAsia="ru-RU"/>
              </w:rPr>
              <w:t xml:space="preserve">20 </w:t>
            </w:r>
          </w:p>
        </w:tc>
        <w:tc>
          <w:tcPr>
            <w:tcW w:w="3491" w:type="dxa"/>
          </w:tcPr>
          <w:p w14:paraId="1BA0C505" w14:textId="77777777" w:rsidR="0075793D" w:rsidRPr="00BA4F0F" w:rsidRDefault="0075793D" w:rsidP="003A3438">
            <w:pPr>
              <w:ind w:firstLine="0"/>
            </w:pPr>
            <w:r w:rsidRPr="00BA4F0F">
              <w:rPr>
                <w:rFonts w:cs="Times New Roman"/>
                <w:lang w:eastAsia="ru-RU"/>
              </w:rPr>
              <w:t>Внутрь, 1 раз в сутки, на ночь</w:t>
            </w:r>
          </w:p>
        </w:tc>
      </w:tr>
    </w:tbl>
    <w:p w14:paraId="4E22871D" w14:textId="77777777" w:rsidR="0075793D" w:rsidRPr="00BA4F0F" w:rsidRDefault="0075793D" w:rsidP="0075793D">
      <w:pPr>
        <w:autoSpaceDE w:val="0"/>
        <w:autoSpaceDN w:val="0"/>
        <w:adjustRightInd w:val="0"/>
        <w:rPr>
          <w:rFonts w:cs="Times New Roman"/>
          <w:iCs/>
          <w:szCs w:val="24"/>
        </w:rPr>
      </w:pPr>
    </w:p>
    <w:p w14:paraId="1DA63942" w14:textId="12231205" w:rsidR="0075793D" w:rsidRPr="00BA4F0F" w:rsidRDefault="0075793D" w:rsidP="0075793D">
      <w:pPr>
        <w:autoSpaceDE w:val="0"/>
        <w:autoSpaceDN w:val="0"/>
        <w:adjustRightInd w:val="0"/>
        <w:rPr>
          <w:rFonts w:cs="Times New Roman"/>
          <w:iCs/>
          <w:szCs w:val="24"/>
        </w:rPr>
      </w:pPr>
      <w:r w:rsidRPr="00BA4F0F">
        <w:rPr>
          <w:rFonts w:cs="Times New Roman"/>
          <w:iCs/>
          <w:szCs w:val="24"/>
        </w:rPr>
        <w:t xml:space="preserve">Н2-блокаторы гистамина подавляют секрецию соляной кислоты за счет вытеснения гистамина из связи с Н2-рецепторами париетальных клеток. Препараты этой группы поддерживают показатели внутрижелудочного рН &gt; 3 на протяжении суток. Проведенные исследования показали, что применение Н2-блокаторов в течение 1-1,5 месяца приводит к рубцеванию язвенного дефекта у 70–80 % пациентов с дуоденальными язвами и у 55–60 % пациентов с язвами желудка </w:t>
      </w:r>
      <w:r w:rsidRPr="00BA4F0F">
        <w:rPr>
          <w:rFonts w:cs="Times New Roman"/>
          <w:iCs/>
          <w:szCs w:val="24"/>
        </w:rPr>
        <w:fldChar w:fldCharType="begin" w:fldLock="1"/>
      </w:r>
      <w:r w:rsidR="004810E5">
        <w:rPr>
          <w:rFonts w:cs="Times New Roman"/>
          <w:iCs/>
          <w:szCs w:val="24"/>
        </w:rPr>
        <w:instrText>ADDIN CSL_CITATION {"citationItems":[{"id":"ITEM-1","itemData":{"DOI":"10.1016/S0140-6736(16)32404-7","ISSN":"1474-547X","PMID":"28242110","abstract":"The rapidly declining prevalence of Helicobacter pylori infection and widespread use of potent anti-secretory drugs means peptic ulcer disease has become substantially less prevalent than it was two decades ago. Management has, however, become more challenging than ever because of the threat of increasing antimicrobial resistance worldwide and widespread use of complex anti-thrombotic therapy in the ageing population. Peptic ulcers not associated with H pylori infection or the use of non-steroidal anti-inflammatory drugs are now also imposing substantial diagnostic and therapeutic challenges. This Seminar aims to provide a balanced overview of the latest advances in the pathogenetic mechanisms of peptic ulcers, guidelines on therapies targeting H pylori infection, approaches to treatment of peptic ulcer complications associated with anti-inflammatory analgesics and anti-thrombotic agents, and the unmet needs in terms of our knowledge and management of this increasingly challenging condition.","author":[{"dropping-particle":"","family":"Lanas","given":"Angel","non-dropping-particle":"","parse-names":false,"suffix":""},{"dropping-particle":"","family":"Chan","given":"Francis K L","non-dropping-particle":"","parse-names":false,"suffix":""}],"container-title":"Lancet (London, England)","id":"ITEM-1","issue":"10094","issued":{"date-parts":[["2017"]]},"page":"613-624","publisher":"Lancet","title":"Peptic ulcer disease.","type":"article-journal","volume":"390"},"uris":["http://www.mendeley.com/documents/?uuid=dcbc625a-2314-3bed-910d-92b1cdf9da49","http://www.mendeley.com/documents/?uuid=624fee9b-1b8b-4f2d-a0e5-4146c75dcad9"]}],"mendeley":{"formattedCitation":"[194]","plainTextFormattedCitation":"[194]","previouslyFormattedCitation":"[194]"},"properties":{"noteIndex":0},"schema":"https://github.com/citation-style-language/schema/raw/master/csl-citation.json"}</w:instrText>
      </w:r>
      <w:r w:rsidRPr="00BA4F0F">
        <w:rPr>
          <w:rFonts w:cs="Times New Roman"/>
          <w:iCs/>
          <w:szCs w:val="24"/>
        </w:rPr>
        <w:fldChar w:fldCharType="separate"/>
      </w:r>
      <w:r w:rsidR="004810E5" w:rsidRPr="004810E5">
        <w:rPr>
          <w:rFonts w:cs="Times New Roman"/>
          <w:iCs/>
          <w:noProof/>
          <w:szCs w:val="24"/>
        </w:rPr>
        <w:t>[194]</w:t>
      </w:r>
      <w:r w:rsidRPr="00BA4F0F">
        <w:rPr>
          <w:rFonts w:cs="Times New Roman"/>
          <w:iCs/>
          <w:szCs w:val="24"/>
        </w:rPr>
        <w:fldChar w:fldCharType="end"/>
      </w:r>
      <w:r w:rsidRPr="00BA4F0F">
        <w:rPr>
          <w:rFonts w:cs="Times New Roman"/>
          <w:iCs/>
          <w:szCs w:val="24"/>
        </w:rPr>
        <w:t xml:space="preserve">. Н2-блокаторы значительно эффективнее плацебо в достижении рубцевания язвенного дефекта </w:t>
      </w:r>
      <w:r w:rsidRPr="00BA4F0F">
        <w:rPr>
          <w:rFonts w:cs="Times New Roman"/>
          <w:iCs/>
          <w:szCs w:val="24"/>
        </w:rPr>
        <w:fldChar w:fldCharType="begin" w:fldLock="1"/>
      </w:r>
      <w:r w:rsidR="004810E5">
        <w:rPr>
          <w:rFonts w:cs="Times New Roman"/>
          <w:iCs/>
          <w:szCs w:val="24"/>
        </w:rPr>
        <w:instrText>ADDIN CSL_CITATION {"citationItems":[{"id":"ITEM-1","itemData":{"DOI":"10.1016/S2468-1253(18)30037-2","ISSN":"24681253","PMID":"29475806","abstract":"Background: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Hepatology","id":"ITEM-1","issue":"4","issued":{"date-parts":[["2018","4","1"]]},"page":"231-241","publisher":"Elsevier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mendeley":{"formattedCitation":"[84]","plainTextFormattedCitation":"[84]","previouslyFormattedCitation":"[84]"},"properties":{"noteIndex":0},"schema":"https://github.com/citation-style-language/schema/raw/master/csl-citation.json"}</w:instrText>
      </w:r>
      <w:r w:rsidRPr="00BA4F0F">
        <w:rPr>
          <w:rFonts w:cs="Times New Roman"/>
          <w:iCs/>
          <w:szCs w:val="24"/>
        </w:rPr>
        <w:fldChar w:fldCharType="separate"/>
      </w:r>
      <w:r w:rsidR="004810E5" w:rsidRPr="004810E5">
        <w:rPr>
          <w:rFonts w:cs="Times New Roman"/>
          <w:iCs/>
          <w:noProof/>
          <w:szCs w:val="24"/>
        </w:rPr>
        <w:t>[84]</w:t>
      </w:r>
      <w:r w:rsidRPr="00BA4F0F">
        <w:rPr>
          <w:rFonts w:cs="Times New Roman"/>
          <w:iCs/>
          <w:szCs w:val="24"/>
        </w:rPr>
        <w:fldChar w:fldCharType="end"/>
      </w:r>
      <w:r w:rsidRPr="00BA4F0F">
        <w:rPr>
          <w:rFonts w:cs="Times New Roman"/>
          <w:iCs/>
          <w:szCs w:val="24"/>
        </w:rPr>
        <w:t>. Тем не менее, после внедрения ИПП в клиническую практику в качестве базисной антисекреторной терапии, Н2-блокаторы применяются реже, главным образом при невозможности применения ИПП.</w:t>
      </w:r>
    </w:p>
    <w:p w14:paraId="0CEF5BAB" w14:textId="77777777" w:rsidR="0075793D" w:rsidRPr="00BA4F0F" w:rsidRDefault="0075793D" w:rsidP="0075793D">
      <w:pPr>
        <w:rPr>
          <w:rFonts w:cs="Times New Roman"/>
          <w:b/>
          <w:szCs w:val="24"/>
          <w:highlight w:val="green"/>
        </w:rPr>
      </w:pPr>
      <w:bookmarkStart w:id="151" w:name="_Toc44926638"/>
    </w:p>
    <w:p w14:paraId="559C558F" w14:textId="77777777" w:rsidR="0075793D" w:rsidRPr="00BA4F0F" w:rsidRDefault="0075793D" w:rsidP="0075793D">
      <w:pPr>
        <w:rPr>
          <w:rFonts w:cs="Times New Roman"/>
          <w:b/>
          <w:szCs w:val="24"/>
        </w:rPr>
      </w:pPr>
      <w:r w:rsidRPr="00BA4F0F">
        <w:rPr>
          <w:rFonts w:cs="Times New Roman"/>
          <w:b/>
          <w:szCs w:val="24"/>
        </w:rPr>
        <w:t>Антимикробная терапия</w:t>
      </w:r>
      <w:bookmarkEnd w:id="151"/>
    </w:p>
    <w:p w14:paraId="698B2FC1" w14:textId="2881DFBC" w:rsidR="0075793D" w:rsidRPr="00BA4F0F" w:rsidRDefault="0075793D" w:rsidP="0075793D">
      <w:pPr>
        <w:tabs>
          <w:tab w:val="left" w:pos="0"/>
          <w:tab w:val="left" w:pos="567"/>
        </w:tabs>
        <w:rPr>
          <w:rFonts w:cs="Times New Roman"/>
          <w:szCs w:val="24"/>
        </w:rPr>
      </w:pPr>
      <w:r w:rsidRPr="00BA4F0F">
        <w:rPr>
          <w:rFonts w:cs="Times New Roman"/>
          <w:szCs w:val="24"/>
        </w:rPr>
        <w:t xml:space="preserve">Применение высокодозной химиотерапии с последующей трансплантацией аутологичных стволовых клеток крови по данным различных авторов приводит к развитию инфекционных осложнений более чем у 90 % больных </w:t>
      </w:r>
      <w:r w:rsidRPr="00BA4F0F">
        <w:rPr>
          <w:rFonts w:cs="Times New Roman"/>
          <w:szCs w:val="24"/>
        </w:rPr>
        <w:fldChar w:fldCharType="begin" w:fldLock="1"/>
      </w:r>
      <w:r w:rsidR="004810E5">
        <w:rPr>
          <w:rFonts w:cs="Times New Roman"/>
          <w:szCs w:val="24"/>
        </w:rPr>
        <w:instrText>ADDIN CSL_CITATION {"citationItems":[{"id":"ITEM-1","itemData":{"DOI":"10.1007/s00277-002-0484-1","ISSN":"09395555","abstract":"It is yet undetermined whether patients with different hematological malignancies have different pro-pensities to infectious complications after high-dose chemotherapy (HDC) and autologous hematopoietic stem cell transplantation (HSCT). We retrospectively analyzed 136 cycles of HDC and autologous HSCT in 114 patients with acute myeloid leukemia (AML, 24 cycles), non-Hodgkin's lymphoma/Hodgkin's disease (NHL/HD, 55 cycles), and multiple myeloma (MM, 57 cycles) with respect to early infectious complications. Median duration of neutropenia was longer in patients with AML and NHL/HD than in patients with MM (11 days vs 8 days) and after conditioning including total body irradiation (TBI) compared with chemotherapy only preparative regimens (11 days vs 7 days). Fever requiring antimicrobial therapy was observed in 88% of cycles, with fever of unknown origin (FUO) accounting for 60% of febrile episodes. There was no proven fungal infection, but one case of probable invasive pulmonary aspergillosis. Microbiologically documented infections were seen in 29% and clinically documented infections in 11%. Response to first-line empirical antibiotic therapy was better for FUO than for documented infections (70% vs 40%). Patients with TBI as part of their conditioning regimen had more overall infections than patients without TBI (96% vs 82%). There were no differences with respect to the type or incidence of infections between patients with AML, NHL/HD, and MM. Patients with different hematological malignancies have similar rates of early infectious complications after HDC and autologous HSCT. TBI may be associated with an increased risk for infections in the early post-transplant period.","author":[{"dropping-particle":"","family":"Auner","given":"H. W.","non-dropping-particle":"","parse-names":false,"suffix":""},{"dropping-particle":"","family":"Sill","given":"H.","non-dropping-particle":"","parse-names":false,"suffix":""},{"dropping-particle":"","family":"Mulabecirovic","given":"A.","non-dropping-particle":"","parse-names":false,"suffix":""},{"dropping-particle":"","family":"Linkesch","given":"W.","non-dropping-particle":"","parse-names":false,"suffix":""},{"dropping-particle":"","family":"Krause","given":"R.","non-dropping-particle":"","parse-names":false,"suffix":""}],"container-title":"Annals of Hematology","id":"ITEM-1","issue":"7","issued":{"date-parts":[["2002"]]},"page":"374-377","publisher":"Ann Hematol","title":"Infectious complications after autologous hematopoietic stem cell transplantation: Comparison of patients with acute myeloid leukemia, malignant lymphoma, and multiple myeloma","type":"article-journal","volume":"81"},"uris":["http://www.mendeley.com/documents/?uuid=f1a86368-84b1-3c12-a8de-28ac6a6f005c","http://www.mendeley.com/documents/?uuid=4fdc9fd0-5eb8-4b96-b6b8-9b8085bef2b6","http://www.mendeley.com/documents/?uuid=81487a63-368f-45a3-96bd-a065db655523","http://www.mendeley.com/documents/?uuid=3f2b3f0f-80f0-426a-b243-a2231ace928a","http://www.mendeley.com/documents/?uuid=9ea48387-c84f-41f8-868e-392b32d4973d","http://www.mendeley.com/documents/?uuid=214eabb8-c545-489f-ad37-bd70dd8865a6","http://www.mendeley.com/documents/?uuid=f9b66049-e8d5-49d2-9034-b13f690ee446","http://www.mendeley.com/documents/?uuid=dc5e0773-1562-4dba-8594-e4550238c737"]},{"id":"ITEM-2","itemData":{"DOI":"10.1007/s15010-007-6350-2","ISSN":"03008126","abstract":"Background: Infectious complications occur in most of the patients receiving high-dose therapy (HDT) and autologous hematopoietic stem cell transplantation (HSCT). The objective of the study was to analyze of the type and incidence of infectious complications during neutropenia after HDT and autologous HSCT with respect to risk factors related to stem cell transplant setting in patients treated for hematological malignancies in a single center. Patients and Methods: A total number of 314 patients diagnosed for Hodgkin's disease (HD), non-Hodgkin's lymphoma (NHL), acute myeloid leukemia (AML), multiple myeloma (MM) or acute lymphoblastic leukemia (ALL) were included in the study. Analysis of risk factors and outcome of infections after HDT and autologous HSCT was performed. Results: Infectious complications during neutropenia after HDT occurred in 92.3% patients. Microbiologically documented infections (MDI) accounted for 38.9% of febrile episodes, clinically documented infections (CDI) for 9.3%, and fever of unknown origin (FUO) for 51.7% cases. Median time to defervescence with antibiotic therapy was seven days for FUO and nine days for documented infections (p &lt; 0.001). Duration of infection correlated with the length of very severe neutropenia (p &lt; 0.001). Response to first-line antibiotic therapy was seen in 34% patients. Infections were fatal in 12 (3.8%) patients. The highest probability of infection was observed for ALL and AML patients, especially these conditioned with total body irradiation (TBI). Conclusion: Patients at high risk of infection after autologous HSCT were identified as those with acute leukemia and those after conditioning with TBI, all with prolonged neutropenia. We suggest that newer prophylactic strategies should be administered to these groups of patients. © 2007 Urban &amp; Vogel.","author":[{"dropping-particle":"","family":"Gil","given":"L.","non-dropping-particle":"","parse-names":false,"suffix":""},{"dropping-particle":"","family":"Styczynski","given":"J.","non-dropping-particle":"","parse-names":false,"suffix":""},{"dropping-particle":"","family":"Komarnicki","given":"M.","non-dropping-particle":"","parse-names":false,"suffix":""}],"container-title":"Infection","id":"ITEM-2","issue":"6","issued":{"date-parts":[["2007","12"]]},"page":"421-427","publisher":"Infection","title":"Infectious complication in 314 patients after high-dose therapy and autologous hematopoietic stem cell transplantation: Risk factors analysis and outcome","type":"article-journal","volume":"35"},"uris":["http://www.mendeley.com/documents/?uuid=2484101e-8b0b-3a5f-a697-4baf2d1f00ec","http://www.mendeley.com/documents/?uuid=4b9974a2-0e3e-44ce-ac02-f3dad90354f7","http://www.mendeley.com/documents/?uuid=621597e4-9f72-47a3-98b8-f1cb6c6ec284","http://www.mendeley.com/documents/?uuid=2a53cc22-2809-49ef-869c-a3d053a9fe19","http://www.mendeley.com/documents/?uuid=9f0564c3-3b67-41ba-875e-02194c8b103f","http://www.mendeley.com/documents/?uuid=02c86a55-b501-43b0-aca1-e8355618aa56","http://www.mendeley.com/documents/?uuid=aa713873-711b-4840-84ae-7ab465fc9da8","http://www.mendeley.com/documents/?uuid=7e6ea6ab-47bd-4208-9803-60b645a808e3"]},{"id":"ITEM-3","itemData":{"DOI":"10.1002/ajh.21855","ISSN":"03618609","abstract":"One hundred and fifty-seven patients undergoing high-dose chemotherapy (HDT) and autologous stem-cell transplantation (ASCT) for hematopoietic malignancies and solid tumors were randomly assigned to receive (Group A) or not (Group B) prophylaxis with ciprofloxacin, orally, and vancomycin, intravenously. Prophylactic antibiotics were given from day 0 until resolution of neutropenia or the appearance of a febrile event. Furthermore, patients in both groups received once a day fluconazole, orally. The primary end-point of our study was the incidence of neutropenic febrile episodes attributed to infection. One hundred and twelve (71.3%) patients developed neutropenic fever, 50 (56.2%) in Group A and 62 (91.2%) in Group B (P &lt; 0.001) with the majority (82%) of patients developing fever of unknown origin. Patients on prophylactic antibiotics had a significantly lower rate of bacteremias (5.6%) than did those randomized to no prophylaxis (29.4%) (P = 0.005) and, when developing neutropenic fever, they had a lower probability of response to first-line empirical antibiotics (P = 0.025). Prophylactic administration of ciprofloxacin and vancomycin reduced the incidence of neutropenic fever in patients receiving HDT with ASCT, however, without affecting the total interval of hospitalization, time to engraftment, or all-cause mortality. Therefore, our results do not support the use of antibiotic prophylaxis for patients undergoing HDT and ASCT. © 2010 Wiley-Liss, Inc.","author":[{"dropping-particle":"","family":"Eleutherakis-Papaiakovou","given":"Evangelos","non-dropping-particle":"","parse-names":false,"suffix":""},{"dropping-particle":"","family":"Kostis","given":"Evangelos","non-dropping-particle":"","parse-names":false,"suffix":""},{"dropping-particle":"","family":"Migkou","given":"Magda","non-dropping-particle":"","parse-names":false,"suffix":""},{"dropping-particle":"","family":"Christoulas","given":"Dimitrios","non-dropping-particle":"","parse-names":false,"suffix":""},{"dropping-particle":"","family":"Terpos","given":"Evangelos","non-dropping-particle":"","parse-names":false,"suffix":""},{"dropping-particle":"","family":"Gavriatopoulou","given":"Maria","non-dropping-particle":"","parse-names":false,"suffix":""},{"dropping-particle":"","family":"Roussou","given":"Maria","non-dropping-particle":"","parse-names":false,"suffix":""},{"dropping-particle":"","family":"Bournakis","given":"Evangelos","non-dropping-particle":"","parse-names":false,"suffix":""},{"dropping-particle":"","family":"Kastritis","given":"Efstathios","non-dropping-particle":"","parse-names":false,"suffix":""},{"dropping-particle":"","family":"Efstathiou","given":"Eleni","non-dropping-particle":"","parse-names":false,"suffix":""},{"dropping-particle":"","family":"Dimopoulos","given":"Meletios A.","non-dropping-particle":"","parse-names":false,"suffix":""},{"dropping-particle":"","family":"Papadimitriou","given":"Christos A.","non-dropping-particle":"","parse-names":false,"suffix":""}],"container-title":"American Journal of Hematology","id":"ITEM-3","issue":"11","issued":{"date-parts":[["2010","11"]]},"page":"863-867","publisher":"Am J Hematol","title":"Prophylactic antibiotics for the prevention of neutropenic fever in patients undergoing autologous stem-cell transplantation: Results of a single institution, randomized phase 2 trial","type":"article-journal","volume":"85"},"uris":["http://www.mendeley.com/documents/?uuid=e9c8d6a3-bf24-3a10-be69-dbf56d33e220","http://www.mendeley.com/documents/?uuid=53d1d1c5-dcbb-4103-80be-837e10537355","http://www.mendeley.com/documents/?uuid=6e7642af-251b-4056-bc76-4c25fd6ab0e5","http://www.mendeley.com/documents/?uuid=16f62455-5dc2-4a1d-b988-18db9ac13408","http://www.mendeley.com/documents/?uuid=4c4353f2-c724-4054-bfb5-29023200ae81","http://www.mendeley.com/documents/?uuid=9a4fea57-5691-4c44-8c79-67124536a57e","http://www.mendeley.com/documents/?uuid=dc975761-e88a-4365-8582-efe82fb0848d","http://www.mendeley.com/documents/?uuid=d790a518-2556-405a-9e4a-e8c3041eb741"]},{"id":"ITEM-4","itemData":{"DOI":"10.1007/s00277-013-1698-0","ISSN":"09395555","abstract":"Bacterial infections are the most common cause for treatment-related mortality in patients with neutropenia after chemotherapy. Here, we discuss the use of antibacterial prophylaxis against bacteria and Pneumocystis pneumonia (PCP) in neutropenic cancer patients and offer guidance towards the choice of drug. A literature search was performed to screen all articles published between September 2000 and January 2012 on antibiotic prophylaxis in neutropenic cancer patients. The authors assembled original reports and meta-analysis from the literature and drew conclusions, which were discussed and approved in a consensus conference of the Infectious Disease Working Party of the German Society of Hematology and Oncology (AGIHO). Antibacterial prophylaxis has led to a reduction of febrile events and infections. A significant reduction of overall mortality could only be shown in a meta-analysis. Fluoroquinolones are preferred for antibacterial and trimethoprim-sulfamethoxazole for PCP prophylaxis. Due to serious concerns about an increase of resistant pathogens, only patients at high risk of severe infections should be considered for antibiotic prophylaxis. Risk factors of individual patients and local resistance patterns must be taken into account. Risk factors, choice of drug for antibacterial and PCP prophylaxis and concerns regarding the use of prophylactic antibiotics are discussed in the review. © 2013 The Author(s).","author":[{"dropping-particle":"","family":"Neumann","given":"S.","non-dropping-particle":"","parse-names":false,"suffix":""},{"dropping-particle":"","family":"Krause","given":"S. W.","non-dropping-particle":"","parse-names":false,"suffix":""},{"dropping-particle":"","family":"Maschmeyer","given":"G.","non-dropping-particle":"","parse-names":false,"suffix":""},{"dropping-particle":"","family":"Schiel","given":"X.","non-dropping-particle":"","parse-names":false,"suffix":""},{"dropping-particle":"","family":"Lilienfeld-Toal","given":"M.","non-dropping-particle":"Von","parse-names":false,"suffix":""}],"container-title":"Annals of Hematology","id":"ITEM-4","issue":"4","issued":{"date-parts":[["2013","4"]]},"page":"433-442","publisher":"Ann Hematol","title":"Primary prophylaxis of bacterial infections and Pneumocystis jirovecii pneumonia in patients with hematological malignancies and solid tumors: Guidelines of the Infectious Diseases Working Party (AGIHO) of the German Society of Hematology and Oncology (DG","type":"article","volume":"92"},"uris":["http://www.mendeley.com/documents/?uuid=5d017807-56d5-3c29-9e5b-06adbcf241d7","http://www.mendeley.com/documents/?uuid=0c431f2d-f131-4475-bc03-927c20fc8427","http://www.mendeley.com/documents/?uuid=cb8a28f6-34d3-47b6-aac5-75eae4c6597a","http://www.mendeley.com/documents/?uuid=1da004eb-c4a8-438d-8229-3b75c2c05578","http://www.mendeley.com/documents/?uuid=447ce80b-5ffd-4f72-a842-6d050b4c0058","http://www.mendeley.com/documents/?uuid=75718eaf-f3e7-47ed-a437-a0877b2432c4","http://www.mendeley.com/documents/?uuid=92ffaa87-61f2-4a29-ab3b-0229b7e2d3b0","http://www.mendeley.com/documents/?uuid=300b3a3c-d6fd-4873-aabf-5d8646d68ed5"]},{"id":"ITEM-5","itemData":{"DOI":"10.1007/s15010-018-1200-y","ISSN":"14390973","abstract":"Purpose: In this study, we assessed the incidence, contributing factors and outcome of prolonged neutropenia above 7 days and of bacteraemia in patients with lymphoma and multiple myeloma who underwent autologous haematopoietic stem cell transplantation (AHSCT) without antibacterial prophylaxis. Methods: This is a retrospective chart review of 190 adult patients who underwent AHSCT between 2005 and 2015 at a Lebanese hospital. Results: Neutropenia of 7 days duration and longer was documented in 66% of the patient population. Through univariate analysis, patients with lymphoma were significantly more likely to have prolonged neutropenia (≥ 7 days) compared to those with myeloma. Mucositis above grade 3, diarrhoea and fever were more likely to occur in patients with prolonged neutropenia. Bacteraemia was documented in 12.6% of the patients. Total mortality rate was 3.7%, and that attributed to bacteraemia was 12.5% in the bacteraemia subgroup. Among bacterial isolates recovered from clinical specimens (89 isolates), 70% were Gram-negative, of which 57% were fluoroquinolone susceptible. Ninety-five percent of the Gram-negative bacteria causing bacteraemia were susceptible to fluoroquinolones. Conclusion: Bacterial pathogens causing bacteraemia were still highly susceptible to fluoroquinolones, despite the high prevalence of fluoroquinolone-resistant strains in the general bacterial ecology. Accordingly, the pertinence of fluoroquinolone prophylaxis in the AHSCT setting warrants further investigation. Moreover, continuous surveillance of local antibiograms in this patient population has become a must in an era of preponderant antibiotic resistance.","author":[{"dropping-particle":"","family":"Moghnieh","given":"Rima","non-dropping-particle":"","parse-names":false,"suffix":""},{"dropping-particle":"","family":"Abdallah","given":"Dania","non-dropping-particle":"","parse-names":false,"suffix":""},{"dropping-particle":"","family":"Awad","given":"Lyn","non-dropping-particle":"","parse-names":false,"suffix":""},{"dropping-particle":"","family":"Jisr","given":"Tamima","non-dropping-particle":"","parse-names":false,"suffix":""},{"dropping-particle":"","family":"Mugharbil","given":"Anas","non-dropping-particle":"","parse-names":false,"suffix":""},{"dropping-particle":"","family":"Youssef","given":"Ali","non-dropping-particle":"","parse-names":false,"suffix":""},{"dropping-particle":"","family":"Tamim","given":"Hani","non-dropping-particle":"","parse-names":false,"suffix":""},{"dropping-particle":"","family":"Khaldieh","given":"Samer","non-dropping-particle":"","parse-names":false,"suffix":""},{"dropping-particle":"","family":"Massri","given":"Oula","non-dropping-particle":"","parse-names":false,"suffix":""},{"dropping-particle":"","family":"Rashini","given":"Najat","non-dropping-particle":"","parse-names":false,"suffix":""},{"dropping-particle":"","family":"Hamdan","given":"Youssef","non-dropping-particle":"","parse-names":false,"suffix":""},{"dropping-particle":"","family":"Ibrahim","given":"Ahmad","non-dropping-particle":"","parse-names":false,"suffix":""}],"container-title":"Infection","id":"ITEM-5","issue":"6","issued":{"date-parts":[["2018"]]},"publisher":"Urban und Vogel GmbH","title":"Bacteraemia post-autologous haematopoietic stem cell transplantation in the absence of antibacterial prophylaxis: a decade’s experience from Lebanon","type":"article-journal","volume":"46"},"uris":["http://www.mendeley.com/documents/?uuid=ae672191-2fc7-35b4-bb6f-de9083ec561f","http://www.mendeley.com/documents/?uuid=3eb7eca1-f810-48f1-8c56-0b2d965d8011","http://www.mendeley.com/documents/?uuid=5ebcf890-5e16-4450-9634-3c05a12d76c0","http://www.mendeley.com/documents/?uuid=853c0c3e-4b77-4603-bf23-18587d4490b6","http://www.mendeley.com/documents/?uuid=26920eda-53a6-4a84-9487-903994067277","http://www.mendeley.com/documents/?uuid=dd8b341d-4c23-4bd9-9d5d-3dceeb3afe7c","http://www.mendeley.com/documents/?uuid=994064a7-7ad5-46d6-af07-2b010e03da9d","http://www.mendeley.com/documents/?uuid=fcf50596-2552-44da-a965-28f05137efeb"]}],"mendeley":{"formattedCitation":"[195–199]","plainTextFormattedCitation":"[195–199]","previouslyFormattedCitation":"[195–199]"},"properties":{"noteIndex":0},"schema":"https://github.com/citation-style-language/schema/raw/master/csl-citation.json"}</w:instrText>
      </w:r>
      <w:r w:rsidRPr="00BA4F0F">
        <w:rPr>
          <w:rFonts w:cs="Times New Roman"/>
          <w:szCs w:val="24"/>
        </w:rPr>
        <w:fldChar w:fldCharType="separate"/>
      </w:r>
      <w:r w:rsidR="004810E5" w:rsidRPr="004810E5">
        <w:rPr>
          <w:rFonts w:cs="Times New Roman"/>
          <w:noProof/>
          <w:szCs w:val="24"/>
        </w:rPr>
        <w:t>[195–199]</w:t>
      </w:r>
      <w:r w:rsidRPr="00BA4F0F">
        <w:rPr>
          <w:rFonts w:cs="Times New Roman"/>
          <w:szCs w:val="24"/>
        </w:rPr>
        <w:fldChar w:fldCharType="end"/>
      </w:r>
      <w:r w:rsidRPr="00BA4F0F">
        <w:rPr>
          <w:rFonts w:cs="Times New Roman"/>
          <w:szCs w:val="24"/>
        </w:rPr>
        <w:t>.</w:t>
      </w:r>
    </w:p>
    <w:p w14:paraId="1BB3F308" w14:textId="77777777" w:rsidR="0075793D" w:rsidRPr="00BA4F0F" w:rsidRDefault="0075793D" w:rsidP="0075793D">
      <w:pPr>
        <w:tabs>
          <w:tab w:val="left" w:pos="0"/>
          <w:tab w:val="left" w:pos="567"/>
        </w:tabs>
        <w:rPr>
          <w:rFonts w:cs="Times New Roman"/>
          <w:szCs w:val="24"/>
        </w:rPr>
      </w:pPr>
      <w:r w:rsidRPr="00BA4F0F">
        <w:rPr>
          <w:rFonts w:cs="Times New Roman"/>
          <w:szCs w:val="24"/>
        </w:rPr>
        <w:t>Основными факторами, определяющими развитие инфекций у иммунокомпрометированных больных, являются нейтропения (глубина, длительность и быстрота развития), нарушения клеточного и гуморального иммунитета, повреждение слизистой желудочно-кишечного тракта, наличие центрального венозного катетера (ЦВК).</w:t>
      </w:r>
    </w:p>
    <w:p w14:paraId="617F2D4E" w14:textId="0026F26E" w:rsidR="0075793D" w:rsidRPr="00BA4F0F" w:rsidRDefault="0075793D" w:rsidP="0075793D">
      <w:pPr>
        <w:tabs>
          <w:tab w:val="left" w:pos="0"/>
          <w:tab w:val="left" w:pos="567"/>
        </w:tabs>
        <w:rPr>
          <w:rFonts w:cs="Times New Roman"/>
          <w:szCs w:val="24"/>
        </w:rPr>
      </w:pPr>
      <w:r w:rsidRPr="00BA4F0F">
        <w:rPr>
          <w:rFonts w:cs="Times New Roman"/>
          <w:szCs w:val="24"/>
        </w:rPr>
        <w:t xml:space="preserve">Наиболее высокая частота инфекционных осложнений наблюдается у больных с длительностью нейтропении от 10 дней и более </w:t>
      </w:r>
      <w:r w:rsidRPr="00BA4F0F">
        <w:rPr>
          <w:rFonts w:cs="Times New Roman"/>
          <w:szCs w:val="24"/>
        </w:rPr>
        <w:fldChar w:fldCharType="begin" w:fldLock="1"/>
      </w:r>
      <w:r w:rsidR="004810E5">
        <w:rPr>
          <w:rFonts w:cs="Times New Roman"/>
          <w:szCs w:val="24"/>
        </w:rPr>
        <w:instrText>ADDIN CSL_CITATION {"citationItems":[{"id":"ITEM-1","itemData":{"DOI":"10.1007/s15010-018-1200-y","ISSN":"14390973","abstract":"Purpose: In this study, we assessed the incidence, contributing factors and outcome of prolonged neutropenia above 7 days and of bacteraemia in patients with lymphoma and multiple myeloma who underwent autologous haematopoietic stem cell transplantation (AHSCT) without antibacterial prophylaxis. Methods: This is a retrospective chart review of 190 adult patients who underwent AHSCT between 2005 and 2015 at a Lebanese hospital. Results: Neutropenia of 7 days duration and longer was documented in 66% of the patient population. Through univariate analysis, patients with lymphoma were significantly more likely to have prolonged neutropenia (≥ 7 days) compared to those with myeloma. Mucositis above grade 3, diarrhoea and fever were more likely to occur in patients with prolonged neutropenia. Bacteraemia was documented in 12.6% of the patients. Total mortality rate was 3.7%, and that attributed to bacteraemia was 12.5% in the bacteraemia subgroup. Among bacterial isolates recovered from clinical specimens (89 isolates), 70% were Gram-negative, of which 57% were fluoroquinolone susceptible. Ninety-five percent of the Gram-negative bacteria causing bacteraemia were susceptible to fluoroquinolones. Conclusion: Bacterial pathogens causing bacteraemia were still highly susceptible to fluoroquinolones, despite the high prevalence of fluoroquinolone-resistant strains in the general bacterial ecology. Accordingly, the pertinence of fluoroquinolone prophylaxis in the AHSCT setting warrants further investigation. Moreover, continuous surveillance of local antibiograms in this patient population has become a must in an era of preponderant antibiotic resistance.","author":[{"dropping-particle":"","family":"Moghnieh","given":"Rima","non-dropping-particle":"","parse-names":false,"suffix":""},{"dropping-particle":"","family":"Abdallah","given":"Dania","non-dropping-particle":"","parse-names":false,"suffix":""},{"dropping-particle":"","family":"Awad","given":"Lyn","non-dropping-particle":"","parse-names":false,"suffix":""},{"dropping-particle":"","family":"Jisr","given":"Tamima","non-dropping-particle":"","parse-names":false,"suffix":""},{"dropping-particle":"","family":"Mugharbil","given":"Anas","non-dropping-particle":"","parse-names":false,"suffix":""},{"dropping-particle":"","family":"Youssef","given":"Ali","non-dropping-particle":"","parse-names":false,"suffix":""},{"dropping-particle":"","family":"Tamim","given":"Hani","non-dropping-particle":"","parse-names":false,"suffix":""},{"dropping-particle":"","family":"Khaldieh","given":"Samer","non-dropping-particle":"","parse-names":false,"suffix":""},{"dropping-particle":"","family":"Massri","given":"Oula","non-dropping-particle":"","parse-names":false,"suffix":""},{"dropping-particle":"","family":"Rashini","given":"Najat","non-dropping-particle":"","parse-names":false,"suffix":""},{"dropping-particle":"","family":"Hamdan","given":"Youssef","non-dropping-particle":"","parse-names":false,"suffix":""},{"dropping-particle":"","family":"Ibrahim","given":"Ahmad","non-dropping-particle":"","parse-names":false,"suffix":""}],"container-title":"Infection","id":"ITEM-1","issue":"6","issued":{"date-parts":[["2018"]]},"publisher":"Urban und Vogel GmbH","title":"Bacteraemia post-autologous haematopoietic stem cell transplantation in the absence of antibacterial prophylaxis: a decade’s experience from Lebanon","type":"article-journal","volume":"46"},"uris":["http://www.mendeley.com/documents/?uuid=fcf50596-2552-44da-a965-28f05137efeb","http://www.mendeley.com/documents/?uuid=994064a7-7ad5-46d6-af07-2b010e03da9d","http://www.mendeley.com/documents/?uuid=dd8b341d-4c23-4bd9-9d5d-3dceeb3afe7c","http://www.mendeley.com/documents/?uuid=26920eda-53a6-4a84-9487-903994067277","http://www.mendeley.com/documents/?uuid=853c0c3e-4b77-4603-bf23-18587d4490b6","http://www.mendeley.com/documents/?uuid=5ebcf890-5e16-4450-9634-3c05a12d76c0","http://www.mendeley.com/documents/?uuid=3eb7eca1-f810-48f1-8c56-0b2d965d8011","http://www.mendeley.com/documents/?uuid=ae672191-2fc7-35b4-bb6f-de9083ec561f"]}],"mendeley":{"formattedCitation":"[199]","plainTextFormattedCitation":"[199]","previouslyFormattedCitation":"[199]"},"properties":{"noteIndex":0},"schema":"https://github.com/citation-style-language/schema/raw/master/csl-citation.json"}</w:instrText>
      </w:r>
      <w:r w:rsidRPr="00BA4F0F">
        <w:rPr>
          <w:rFonts w:cs="Times New Roman"/>
          <w:szCs w:val="24"/>
        </w:rPr>
        <w:fldChar w:fldCharType="separate"/>
      </w:r>
      <w:r w:rsidR="004810E5" w:rsidRPr="004810E5">
        <w:rPr>
          <w:rFonts w:cs="Times New Roman"/>
          <w:noProof/>
          <w:szCs w:val="24"/>
        </w:rPr>
        <w:t>[199]</w:t>
      </w:r>
      <w:r w:rsidRPr="00BA4F0F">
        <w:rPr>
          <w:rFonts w:cs="Times New Roman"/>
          <w:szCs w:val="24"/>
        </w:rPr>
        <w:fldChar w:fldCharType="end"/>
      </w:r>
      <w:r w:rsidRPr="00BA4F0F">
        <w:rPr>
          <w:rFonts w:cs="Times New Roman"/>
          <w:szCs w:val="24"/>
        </w:rPr>
        <w:t>.</w:t>
      </w:r>
    </w:p>
    <w:p w14:paraId="66F9FA67" w14:textId="3DC90C01" w:rsidR="0075793D" w:rsidRPr="00BA4F0F" w:rsidRDefault="0075793D" w:rsidP="0075793D">
      <w:pPr>
        <w:tabs>
          <w:tab w:val="left" w:pos="0"/>
          <w:tab w:val="left" w:pos="567"/>
        </w:tabs>
        <w:rPr>
          <w:rFonts w:cs="Times New Roman"/>
          <w:szCs w:val="24"/>
        </w:rPr>
      </w:pPr>
      <w:r w:rsidRPr="00BA4F0F">
        <w:rPr>
          <w:rFonts w:cs="Times New Roman"/>
          <w:szCs w:val="24"/>
        </w:rPr>
        <w:t xml:space="preserve">Клинические проявления инфекционного процесса у этой категории пациентов, особенно в период нейтропении, крайне скудные. Ранее лихорадка неясной этиологии (повышение температуры тела без каких-либо других проявлений инфекции) являлась наиболее частым проявлением фебрильной нейтропении (≈ 50% случаев) </w:t>
      </w:r>
      <w:r w:rsidRPr="00BA4F0F">
        <w:rPr>
          <w:rFonts w:cs="Times New Roman"/>
          <w:szCs w:val="24"/>
        </w:rPr>
        <w:fldChar w:fldCharType="begin" w:fldLock="1"/>
      </w:r>
      <w:r w:rsidR="004810E5">
        <w:rPr>
          <w:rFonts w:cs="Times New Roman"/>
          <w:szCs w:val="24"/>
        </w:rPr>
        <w:instrText>ADDIN CSL_CITATION {"citationItems":[{"id":"ITEM-1","itemData":{"author":[{"dropping-particle":"","family":"Клясова","given":"Г.А.","non-dropping-particle":"","parse-names":false,"suffix":""},{"dropping-particle":"","family":"Савченко","given":"В.Г.","non-dropping-particle":"","parse-names":false,"suffix":""},{"dropping-particle":"","family":"Паровичникова","given":"Е.Н.","non-dropping-particle":"","parse-names":false,"suffix":""},{"dropping-particle":"","family":"Исаев","given":"В.Г.","non-dropping-particle":"","parse-names":false,"suffix":""},{"dropping-particle":"","family":"Толкачева","given":"Т.В.","non-dropping-particle":"","parse-names":false,"suffix":""},{"dropping-particle":"","family":"Маслова","given":"Е.Р.","non-dropping-particle":"","parse-names":false,"suffix":""}],"container-title":"Терапевтический архив","id":"ITEM-1","issue":"7","issued":{"date-parts":[["1998"]]},"page":"15-21","title":"Эмпирическая антимикробная терапия у больных острыми лейкозами: итоги многоцентрового исследования","type":"article-journal","volume":"70"},"uris":["http://www.mendeley.com/documents/?uuid=8c0ade5e-966e-4a67-abb0-83bf29a0c9b4"]}],"mendeley":{"formattedCitation":"[200]","plainTextFormattedCitation":"[200]","previouslyFormattedCitation":"[200]"},"properties":{"noteIndex":0},"schema":"https://github.com/citation-style-language/schema/raw/master/csl-citation.json"}</w:instrText>
      </w:r>
      <w:r w:rsidRPr="00BA4F0F">
        <w:rPr>
          <w:rFonts w:cs="Times New Roman"/>
          <w:szCs w:val="24"/>
        </w:rPr>
        <w:fldChar w:fldCharType="separate"/>
      </w:r>
      <w:r w:rsidR="004810E5" w:rsidRPr="004810E5">
        <w:rPr>
          <w:rFonts w:cs="Times New Roman"/>
          <w:noProof/>
          <w:szCs w:val="24"/>
        </w:rPr>
        <w:t>[200]</w:t>
      </w:r>
      <w:r w:rsidRPr="00BA4F0F">
        <w:rPr>
          <w:rFonts w:cs="Times New Roman"/>
          <w:szCs w:val="24"/>
        </w:rPr>
        <w:fldChar w:fldCharType="end"/>
      </w:r>
      <w:r w:rsidRPr="00BA4F0F">
        <w:rPr>
          <w:rFonts w:cs="Times New Roman"/>
          <w:szCs w:val="24"/>
        </w:rPr>
        <w:t>.</w:t>
      </w:r>
    </w:p>
    <w:p w14:paraId="1F081EEE" w14:textId="77777777" w:rsidR="0075793D" w:rsidRPr="00BA4F0F" w:rsidRDefault="0075793D" w:rsidP="0075793D">
      <w:pPr>
        <w:tabs>
          <w:tab w:val="left" w:pos="0"/>
          <w:tab w:val="left" w:pos="567"/>
        </w:tabs>
        <w:rPr>
          <w:rFonts w:cs="Times New Roman"/>
          <w:szCs w:val="24"/>
        </w:rPr>
      </w:pPr>
      <w:r w:rsidRPr="00BA4F0F">
        <w:rPr>
          <w:rFonts w:cs="Times New Roman"/>
          <w:szCs w:val="24"/>
        </w:rPr>
        <w:t xml:space="preserve">Микробиологически и клинически доказанные инфекции встречались реже. К клинически доказанным инфекциям относят те, которые удается верифицировать с помощью физикальных или инструментальных методов диагностики при отсутствии микробиологического подтверждения. Микробиологическим подтверждением наличия инфекции в период гранулоцитопении в большинстве случаев является выделение микроорганизмов из гемокультуры. </w:t>
      </w:r>
    </w:p>
    <w:p w14:paraId="15975E50" w14:textId="77777777" w:rsidR="0075793D" w:rsidRPr="00BA4F0F" w:rsidRDefault="0075793D" w:rsidP="0075793D">
      <w:pPr>
        <w:tabs>
          <w:tab w:val="left" w:pos="0"/>
          <w:tab w:val="left" w:pos="567"/>
        </w:tabs>
        <w:rPr>
          <w:rFonts w:cs="Times New Roman"/>
          <w:szCs w:val="24"/>
        </w:rPr>
      </w:pPr>
      <w:r w:rsidRPr="00BA4F0F">
        <w:rPr>
          <w:rFonts w:cs="Times New Roman"/>
          <w:szCs w:val="24"/>
        </w:rPr>
        <w:t xml:space="preserve">В последнее время возможности по диагностике инфекционных осложнений существенно расширились как за счет внедрения новых и совершенствования ранее используемых методов, так и сокращения времени исследования в микробиологии благодаря введению в лабораторную практику автоматических анализаторов и новых технологий дли идентификации микроорганизмов. </w:t>
      </w:r>
    </w:p>
    <w:p w14:paraId="6B09F256" w14:textId="77777777" w:rsidR="0075793D" w:rsidRPr="00BA4F0F" w:rsidRDefault="0075793D" w:rsidP="0075793D">
      <w:pPr>
        <w:tabs>
          <w:tab w:val="left" w:pos="0"/>
          <w:tab w:val="left" w:pos="567"/>
        </w:tabs>
        <w:rPr>
          <w:rFonts w:cs="Times New Roman"/>
          <w:szCs w:val="24"/>
        </w:rPr>
      </w:pPr>
      <w:r w:rsidRPr="00BA4F0F">
        <w:rPr>
          <w:rFonts w:cs="Times New Roman"/>
          <w:szCs w:val="24"/>
        </w:rPr>
        <w:t xml:space="preserve">В первые сутки, как правило, единственным симптомом бывает лишь повышение температуры, а информацию о бактериемии или пневмонии у больных с нейтропенией удается получить не раньше, чем на второй день инфекционного эпизода. В связи с этим основным принципом терапии инфекционных осложнений у больных с фебрильной нейтропенией является эмпирический подход к назначению антибактериальных препаратов, когда их применяют при первых признаках инфекции, при лихорадке до идентификации возбудителей инфекции. В то же время эмпирический подход к назначению антибиотиков является относительным, поскольку выбор антимикробных препаратов определяется ретроспективным анализом верифицированных возбудителей и их антибиотикочувствительностью. </w:t>
      </w:r>
    </w:p>
    <w:p w14:paraId="77A2ADD2" w14:textId="77777777" w:rsidR="0075793D" w:rsidRPr="00BA4F0F" w:rsidRDefault="0075793D" w:rsidP="0075793D">
      <w:pPr>
        <w:pStyle w:val="afe"/>
        <w:ind w:left="0"/>
        <w:rPr>
          <w:rFonts w:cs="Times New Roman"/>
          <w:szCs w:val="24"/>
          <w:u w:val="single"/>
        </w:rPr>
      </w:pPr>
    </w:p>
    <w:p w14:paraId="36F356BD" w14:textId="7341B5DC" w:rsidR="0075793D" w:rsidRPr="00BA4F0F" w:rsidRDefault="0075793D" w:rsidP="0075793D">
      <w:pPr>
        <w:pStyle w:val="afe"/>
        <w:ind w:left="0"/>
        <w:rPr>
          <w:rFonts w:cs="Times New Roman"/>
          <w:szCs w:val="24"/>
          <w:u w:val="single"/>
        </w:rPr>
      </w:pPr>
      <w:r w:rsidRPr="00BA4F0F">
        <w:rPr>
          <w:rFonts w:cs="Times New Roman"/>
          <w:szCs w:val="24"/>
          <w:u w:val="single"/>
        </w:rPr>
        <w:t xml:space="preserve">Диагностические исследования, проводимые при лихорадке у больных гемобластозами </w:t>
      </w:r>
      <w:r w:rsidRPr="00BA4F0F">
        <w:rPr>
          <w:rFonts w:cs="Times New Roman"/>
          <w:szCs w:val="24"/>
          <w:u w:val="single"/>
        </w:rPr>
        <w:fldChar w:fldCharType="begin" w:fldLock="1"/>
      </w:r>
      <w:r w:rsidR="004810E5">
        <w:rPr>
          <w:rFonts w:cs="Times New Roman"/>
          <w:szCs w:val="24"/>
          <w:u w:val="single"/>
        </w:rPr>
        <w:instrText>ADDIN CSL_CITATION {"citationItems":[{"id":"ITEM-1","itemData":{"author":[{"dropping-particle":"","family":"Савченко В.Г. и др","given":"","non-dropping-particle":"","parse-names":false,"suffix":""}],"id":"ITEM-1","issued":{"date-parts":[["2018"]]},"number-of-pages":"1008","publisher":"Практика","publisher-place":"Москва","title":"Алгоритмы диагностики и протоколы лечения заболеваний системы крови.","type":"book"},"uris":["http://www.mendeley.com/documents/?uuid=f91ae641-8062-4f5f-b416-94b015742043","http://www.mendeley.com/documents/?uuid=c0eae3a3-34ee-40e1-8813-566cb7fa2b4a","http://www.mendeley.com/documents/?uuid=9cac36ab-7685-4894-b1cb-f141a1797526","http://www.mendeley.com/documents/?uuid=478d6ce1-e425-4912-87db-adfee39f1ce9","http://www.mendeley.com/documents/?uuid=a1e2f5d6-ef05-4351-9481-13fad4fd103b","http://www.mendeley.com/documents/?uuid=26da25a5-bd21-4509-8e88-e4e6744fab98","http://www.mendeley.com/documents/?uuid=fe583573-532c-46dc-b4f4-f9d01345e27c","http://www.mendeley.com/documents/?uuid=2cd270b2-efaf-4da9-a95d-66324661ea35"]}],"mendeley":{"formattedCitation":"[201]","plainTextFormattedCitation":"[201]","previouslyFormattedCitation":"[201]"},"properties":{"noteIndex":0},"schema":"https://github.com/citation-style-language/schema/raw/master/csl-citation.json"}</w:instrText>
      </w:r>
      <w:r w:rsidRPr="00BA4F0F">
        <w:rPr>
          <w:rFonts w:cs="Times New Roman"/>
          <w:szCs w:val="24"/>
          <w:u w:val="single"/>
        </w:rPr>
        <w:fldChar w:fldCharType="separate"/>
      </w:r>
      <w:r w:rsidR="004810E5" w:rsidRPr="004810E5">
        <w:rPr>
          <w:rFonts w:cs="Times New Roman"/>
          <w:noProof/>
          <w:szCs w:val="24"/>
        </w:rPr>
        <w:t>[201]</w:t>
      </w:r>
      <w:r w:rsidRPr="00BA4F0F">
        <w:rPr>
          <w:rFonts w:cs="Times New Roman"/>
          <w:szCs w:val="24"/>
          <w:u w:val="single"/>
        </w:rPr>
        <w:fldChar w:fldCharType="end"/>
      </w:r>
    </w:p>
    <w:p w14:paraId="30535778" w14:textId="77777777" w:rsidR="0075793D" w:rsidRPr="00BA4F0F" w:rsidRDefault="0075793D" w:rsidP="0075793D">
      <w:pPr>
        <w:tabs>
          <w:tab w:val="left" w:pos="0"/>
          <w:tab w:val="left" w:pos="567"/>
        </w:tabs>
        <w:rPr>
          <w:rFonts w:cs="Times New Roman"/>
          <w:szCs w:val="24"/>
        </w:rPr>
      </w:pPr>
      <w:r w:rsidRPr="00BA4F0F">
        <w:rPr>
          <w:rFonts w:cs="Times New Roman"/>
          <w:szCs w:val="24"/>
        </w:rPr>
        <w:t>Во всех случаях инфекционного процесса следует активно проводить диагностику, направленную на выявление, как очагов инфекции, так и этиологических агентов.</w:t>
      </w:r>
    </w:p>
    <w:p w14:paraId="084F6306" w14:textId="77777777" w:rsidR="0075793D" w:rsidRPr="00BA4F0F" w:rsidRDefault="0075793D" w:rsidP="0075793D">
      <w:pPr>
        <w:tabs>
          <w:tab w:val="left" w:pos="0"/>
          <w:tab w:val="left" w:pos="567"/>
        </w:tabs>
        <w:rPr>
          <w:rFonts w:cs="Times New Roman"/>
          <w:szCs w:val="24"/>
        </w:rPr>
      </w:pPr>
      <w:r w:rsidRPr="00BA4F0F">
        <w:rPr>
          <w:rFonts w:cs="Times New Roman"/>
          <w:szCs w:val="24"/>
        </w:rPr>
        <w:t>При подозрении на инфекцию образцы клинического материала от больных должны быть взяты незамедлительно. Особо следует подчеркнуть необходимость пристального внимания и проведения тщательных микробиологических исследований у больных, принимающих глюкокортикоиды, и у лиц пожилого возраста.</w:t>
      </w:r>
    </w:p>
    <w:p w14:paraId="68969B25" w14:textId="77777777" w:rsidR="0075793D" w:rsidRPr="00BA4F0F" w:rsidRDefault="0075793D" w:rsidP="0075793D">
      <w:pPr>
        <w:tabs>
          <w:tab w:val="left" w:pos="0"/>
          <w:tab w:val="left" w:pos="567"/>
        </w:tabs>
        <w:rPr>
          <w:rFonts w:cs="Times New Roman"/>
          <w:szCs w:val="24"/>
        </w:rPr>
      </w:pPr>
      <w:r w:rsidRPr="00BA4F0F">
        <w:rPr>
          <w:rFonts w:cs="Times New Roman"/>
          <w:szCs w:val="24"/>
        </w:rPr>
        <w:t xml:space="preserve">У этой группы пациентов септицемия может протекать без температуры, что бывает у 70% тяжелобольных в возрасте от 66 лет и старше, или лихорадка может быть лишь субфебрильной. </w:t>
      </w:r>
    </w:p>
    <w:p w14:paraId="74CABC98" w14:textId="77777777" w:rsidR="0075793D" w:rsidRPr="00BA4F0F" w:rsidRDefault="0075793D" w:rsidP="0075793D">
      <w:pPr>
        <w:tabs>
          <w:tab w:val="left" w:pos="0"/>
          <w:tab w:val="left" w:pos="567"/>
        </w:tabs>
        <w:rPr>
          <w:rFonts w:cs="Times New Roman"/>
          <w:szCs w:val="24"/>
        </w:rPr>
      </w:pPr>
    </w:p>
    <w:p w14:paraId="20B2117A" w14:textId="0F403711" w:rsidR="0075793D" w:rsidRPr="00BA4F0F" w:rsidRDefault="0075793D" w:rsidP="0075793D">
      <w:pPr>
        <w:tabs>
          <w:tab w:val="left" w:pos="284"/>
        </w:tabs>
        <w:rPr>
          <w:rFonts w:cs="Times New Roman"/>
          <w:szCs w:val="24"/>
        </w:rPr>
      </w:pPr>
      <w:r w:rsidRPr="003A3438">
        <w:rPr>
          <w:rFonts w:cs="Times New Roman"/>
          <w:szCs w:val="24"/>
        </w:rPr>
        <w:t>Таблица 1</w:t>
      </w:r>
      <w:r w:rsidR="00E242EE" w:rsidRPr="003A3438">
        <w:rPr>
          <w:rFonts w:cs="Times New Roman"/>
          <w:szCs w:val="24"/>
        </w:rPr>
        <w:t>0</w:t>
      </w:r>
      <w:r w:rsidRPr="003A3438">
        <w:rPr>
          <w:rFonts w:cs="Times New Roman"/>
          <w:szCs w:val="24"/>
        </w:rPr>
        <w:t>. Алгоритм диагностики инфекционных осложнений у больных</w:t>
      </w:r>
      <w:r w:rsidRPr="00BA4F0F">
        <w:rPr>
          <w:rFonts w:cs="Times New Roman"/>
          <w:szCs w:val="24"/>
        </w:rPr>
        <w:t xml:space="preserve"> гемобластозами в период ауто-ТГСК.</w:t>
      </w:r>
    </w:p>
    <w:tbl>
      <w:tblPr>
        <w:tblStyle w:val="aff9"/>
        <w:tblW w:w="0" w:type="auto"/>
        <w:tblInd w:w="108" w:type="dxa"/>
        <w:tblLook w:val="04A0" w:firstRow="1" w:lastRow="0" w:firstColumn="1" w:lastColumn="0" w:noHBand="0" w:noVBand="1"/>
      </w:tblPr>
      <w:tblGrid>
        <w:gridCol w:w="4557"/>
        <w:gridCol w:w="4681"/>
      </w:tblGrid>
      <w:tr w:rsidR="0075793D" w:rsidRPr="00BA4F0F" w14:paraId="435E4154" w14:textId="77777777" w:rsidTr="002D3EBF">
        <w:tc>
          <w:tcPr>
            <w:tcW w:w="4677" w:type="dxa"/>
          </w:tcPr>
          <w:p w14:paraId="6A552B57" w14:textId="77777777" w:rsidR="0075793D" w:rsidRPr="00BA4F0F" w:rsidRDefault="0075793D" w:rsidP="003A3438">
            <w:pPr>
              <w:tabs>
                <w:tab w:val="left" w:pos="176"/>
              </w:tabs>
              <w:spacing w:line="240" w:lineRule="auto"/>
              <w:ind w:left="34" w:firstLine="0"/>
              <w:rPr>
                <w:rFonts w:cs="Times New Roman"/>
                <w:szCs w:val="24"/>
              </w:rPr>
            </w:pPr>
            <w:r w:rsidRPr="00BA4F0F">
              <w:rPr>
                <w:rFonts w:cs="Times New Roman"/>
                <w:szCs w:val="24"/>
              </w:rPr>
              <w:t>Показания</w:t>
            </w:r>
          </w:p>
        </w:tc>
        <w:tc>
          <w:tcPr>
            <w:tcW w:w="4786" w:type="dxa"/>
          </w:tcPr>
          <w:p w14:paraId="606CA762" w14:textId="77777777" w:rsidR="0075793D" w:rsidRPr="00BA4F0F" w:rsidRDefault="0075793D" w:rsidP="003A3438">
            <w:pPr>
              <w:tabs>
                <w:tab w:val="left" w:pos="34"/>
              </w:tabs>
              <w:spacing w:line="240" w:lineRule="auto"/>
              <w:ind w:left="35" w:firstLine="0"/>
              <w:rPr>
                <w:rFonts w:cs="Times New Roman"/>
                <w:szCs w:val="24"/>
              </w:rPr>
            </w:pPr>
            <w:r w:rsidRPr="00BA4F0F">
              <w:rPr>
                <w:rFonts w:cs="Times New Roman"/>
                <w:szCs w:val="24"/>
              </w:rPr>
              <w:t>Исследование</w:t>
            </w:r>
          </w:p>
        </w:tc>
      </w:tr>
      <w:tr w:rsidR="0075793D" w:rsidRPr="00BA4F0F" w14:paraId="7C656CAE" w14:textId="77777777" w:rsidTr="002D3EBF">
        <w:tc>
          <w:tcPr>
            <w:tcW w:w="4677" w:type="dxa"/>
          </w:tcPr>
          <w:p w14:paraId="11FD0E7B" w14:textId="77777777" w:rsidR="0075793D" w:rsidRPr="00BA4F0F" w:rsidRDefault="0075793D" w:rsidP="003A3438">
            <w:pPr>
              <w:tabs>
                <w:tab w:val="left" w:pos="176"/>
                <w:tab w:val="left" w:pos="284"/>
              </w:tabs>
              <w:spacing w:line="240" w:lineRule="auto"/>
              <w:ind w:left="34" w:firstLine="0"/>
              <w:rPr>
                <w:rFonts w:cs="Times New Roman"/>
                <w:szCs w:val="24"/>
              </w:rPr>
            </w:pPr>
            <w:r w:rsidRPr="00BA4F0F">
              <w:rPr>
                <w:rFonts w:cs="Times New Roman"/>
                <w:szCs w:val="24"/>
              </w:rPr>
              <w:t>Температура ≥38</w:t>
            </w:r>
            <w:r w:rsidRPr="00BA4F0F">
              <w:rPr>
                <w:rFonts w:cs="Times New Roman"/>
                <w:szCs w:val="24"/>
                <w:vertAlign w:val="superscript"/>
              </w:rPr>
              <w:t>о</w:t>
            </w:r>
            <w:r w:rsidRPr="00BA4F0F">
              <w:rPr>
                <w:rFonts w:cs="Times New Roman"/>
                <w:szCs w:val="24"/>
              </w:rPr>
              <w:t>С, впервые возникшая</w:t>
            </w:r>
          </w:p>
        </w:tc>
        <w:tc>
          <w:tcPr>
            <w:tcW w:w="4786" w:type="dxa"/>
          </w:tcPr>
          <w:p w14:paraId="34214BCB" w14:textId="77777777" w:rsidR="0075793D" w:rsidRPr="00BA4F0F" w:rsidRDefault="0075793D" w:rsidP="003A3438">
            <w:pPr>
              <w:tabs>
                <w:tab w:val="left" w:pos="34"/>
              </w:tabs>
              <w:spacing w:line="240" w:lineRule="auto"/>
              <w:ind w:left="35" w:firstLine="0"/>
              <w:rPr>
                <w:rFonts w:cs="Times New Roman"/>
                <w:szCs w:val="24"/>
              </w:rPr>
            </w:pPr>
            <w:r w:rsidRPr="00BA4F0F">
              <w:rPr>
                <w:rFonts w:cs="Times New Roman"/>
                <w:szCs w:val="24"/>
              </w:rPr>
              <w:t>Взятие крови в 2 флакона для гемокультуры (вена-катетер или вена-вена).</w:t>
            </w:r>
          </w:p>
        </w:tc>
      </w:tr>
      <w:tr w:rsidR="0075793D" w:rsidRPr="00BA4F0F" w14:paraId="5F2A40FD" w14:textId="77777777" w:rsidTr="002D3EBF">
        <w:tc>
          <w:tcPr>
            <w:tcW w:w="4677" w:type="dxa"/>
          </w:tcPr>
          <w:p w14:paraId="5A07496B" w14:textId="77777777" w:rsidR="0075793D" w:rsidRPr="00BA4F0F" w:rsidRDefault="0075793D" w:rsidP="003A3438">
            <w:pPr>
              <w:tabs>
                <w:tab w:val="left" w:pos="176"/>
                <w:tab w:val="left" w:pos="284"/>
              </w:tabs>
              <w:spacing w:line="240" w:lineRule="auto"/>
              <w:ind w:left="34" w:firstLine="0"/>
              <w:rPr>
                <w:rFonts w:cs="Times New Roman"/>
                <w:szCs w:val="24"/>
              </w:rPr>
            </w:pPr>
            <w:r w:rsidRPr="00BA4F0F">
              <w:rPr>
                <w:rFonts w:cs="Times New Roman"/>
                <w:szCs w:val="24"/>
              </w:rPr>
              <w:t>Температура ≥38</w:t>
            </w:r>
            <w:r w:rsidRPr="00BA4F0F">
              <w:rPr>
                <w:rFonts w:cs="Times New Roman"/>
                <w:szCs w:val="24"/>
                <w:vertAlign w:val="superscript"/>
              </w:rPr>
              <w:t>о</w:t>
            </w:r>
            <w:r w:rsidRPr="00BA4F0F">
              <w:rPr>
                <w:rFonts w:cs="Times New Roman"/>
                <w:szCs w:val="24"/>
              </w:rPr>
              <w:t>С в течение ≥5 дней и нейтропения</w:t>
            </w:r>
          </w:p>
        </w:tc>
        <w:tc>
          <w:tcPr>
            <w:tcW w:w="4786" w:type="dxa"/>
          </w:tcPr>
          <w:p w14:paraId="64987199" w14:textId="77777777" w:rsidR="0075793D" w:rsidRPr="00BA4F0F" w:rsidRDefault="0075793D" w:rsidP="003A3438">
            <w:pPr>
              <w:tabs>
                <w:tab w:val="left" w:pos="34"/>
              </w:tabs>
              <w:spacing w:line="240" w:lineRule="auto"/>
              <w:ind w:left="35" w:firstLine="0"/>
              <w:rPr>
                <w:rFonts w:cs="Times New Roman"/>
                <w:szCs w:val="24"/>
              </w:rPr>
            </w:pPr>
            <w:r w:rsidRPr="00BA4F0F">
              <w:rPr>
                <w:rFonts w:cs="Times New Roman"/>
                <w:szCs w:val="24"/>
              </w:rPr>
              <w:t xml:space="preserve">Повторное взятие крови для гемокультуры 1 раз в неделю. </w:t>
            </w:r>
          </w:p>
          <w:p w14:paraId="474AF1B8" w14:textId="77777777" w:rsidR="0075793D" w:rsidRPr="00BA4F0F" w:rsidRDefault="0075793D" w:rsidP="003A3438">
            <w:pPr>
              <w:tabs>
                <w:tab w:val="left" w:pos="34"/>
              </w:tabs>
              <w:spacing w:line="240" w:lineRule="auto"/>
              <w:ind w:left="35" w:firstLine="0"/>
              <w:rPr>
                <w:rFonts w:cs="Times New Roman"/>
                <w:szCs w:val="24"/>
              </w:rPr>
            </w:pPr>
            <w:r w:rsidRPr="00BA4F0F">
              <w:rPr>
                <w:rFonts w:cs="Times New Roman"/>
                <w:szCs w:val="24"/>
              </w:rPr>
              <w:t xml:space="preserve">Микробиологическое исследование мочи. </w:t>
            </w:r>
          </w:p>
          <w:p w14:paraId="2127F258" w14:textId="77777777" w:rsidR="0075793D" w:rsidRPr="00BA4F0F" w:rsidRDefault="0075793D" w:rsidP="003A3438">
            <w:pPr>
              <w:tabs>
                <w:tab w:val="left" w:pos="34"/>
              </w:tabs>
              <w:spacing w:line="240" w:lineRule="auto"/>
              <w:ind w:left="35" w:firstLine="0"/>
              <w:rPr>
                <w:rFonts w:cs="Times New Roman"/>
                <w:szCs w:val="24"/>
              </w:rPr>
            </w:pPr>
            <w:r w:rsidRPr="00BA4F0F">
              <w:rPr>
                <w:rFonts w:cs="Times New Roman"/>
                <w:szCs w:val="24"/>
              </w:rPr>
              <w:t xml:space="preserve">КТ легких. </w:t>
            </w:r>
          </w:p>
          <w:p w14:paraId="1488CCEC" w14:textId="77777777" w:rsidR="0075793D" w:rsidRPr="00BA4F0F" w:rsidRDefault="0075793D" w:rsidP="003A3438">
            <w:pPr>
              <w:tabs>
                <w:tab w:val="left" w:pos="34"/>
              </w:tabs>
              <w:spacing w:line="240" w:lineRule="auto"/>
              <w:ind w:left="35" w:firstLine="0"/>
              <w:rPr>
                <w:rFonts w:cs="Times New Roman"/>
                <w:szCs w:val="24"/>
              </w:rPr>
            </w:pPr>
            <w:r w:rsidRPr="00BA4F0F">
              <w:rPr>
                <w:rFonts w:cs="Times New Roman"/>
                <w:szCs w:val="24"/>
              </w:rPr>
              <w:t>Мазок со слизистой оболочки кишечника.</w:t>
            </w:r>
          </w:p>
        </w:tc>
      </w:tr>
      <w:tr w:rsidR="0075793D" w:rsidRPr="00BA4F0F" w14:paraId="7194EB11" w14:textId="77777777" w:rsidTr="002D3EBF">
        <w:tc>
          <w:tcPr>
            <w:tcW w:w="4677" w:type="dxa"/>
          </w:tcPr>
          <w:p w14:paraId="730C2025" w14:textId="77777777" w:rsidR="0075793D" w:rsidRPr="00BA4F0F" w:rsidRDefault="0075793D" w:rsidP="003A3438">
            <w:pPr>
              <w:tabs>
                <w:tab w:val="left" w:pos="176"/>
                <w:tab w:val="left" w:pos="284"/>
              </w:tabs>
              <w:spacing w:line="240" w:lineRule="auto"/>
              <w:ind w:left="34" w:firstLine="0"/>
              <w:rPr>
                <w:rFonts w:cs="Times New Roman"/>
                <w:szCs w:val="24"/>
              </w:rPr>
            </w:pPr>
            <w:r w:rsidRPr="00BA4F0F">
              <w:rPr>
                <w:rFonts w:cs="Times New Roman"/>
                <w:szCs w:val="24"/>
              </w:rPr>
              <w:t>Температура ≥38</w:t>
            </w:r>
            <w:r w:rsidRPr="00BA4F0F">
              <w:rPr>
                <w:rFonts w:cs="Times New Roman"/>
                <w:szCs w:val="24"/>
                <w:vertAlign w:val="superscript"/>
              </w:rPr>
              <w:t>о</w:t>
            </w:r>
            <w:r w:rsidRPr="00BA4F0F">
              <w:rPr>
                <w:rFonts w:cs="Times New Roman"/>
                <w:szCs w:val="24"/>
              </w:rPr>
              <w:t>С, длительная, сохраняется после выхода из нейтропении</w:t>
            </w:r>
          </w:p>
        </w:tc>
        <w:tc>
          <w:tcPr>
            <w:tcW w:w="4786" w:type="dxa"/>
          </w:tcPr>
          <w:p w14:paraId="333A1D69" w14:textId="77777777" w:rsidR="0075793D" w:rsidRPr="00BA4F0F" w:rsidRDefault="0075793D" w:rsidP="003A3438">
            <w:pPr>
              <w:tabs>
                <w:tab w:val="left" w:pos="34"/>
              </w:tabs>
              <w:spacing w:line="240" w:lineRule="auto"/>
              <w:ind w:left="35" w:firstLine="0"/>
              <w:rPr>
                <w:rFonts w:cs="Times New Roman"/>
                <w:szCs w:val="24"/>
              </w:rPr>
            </w:pPr>
            <w:r w:rsidRPr="00BA4F0F">
              <w:rPr>
                <w:rFonts w:cs="Times New Roman"/>
                <w:szCs w:val="24"/>
              </w:rPr>
              <w:t xml:space="preserve">УЗИ брюшной полости. </w:t>
            </w:r>
          </w:p>
          <w:p w14:paraId="57870342" w14:textId="77777777" w:rsidR="0075793D" w:rsidRPr="00BA4F0F" w:rsidRDefault="0075793D" w:rsidP="003A3438">
            <w:pPr>
              <w:tabs>
                <w:tab w:val="left" w:pos="34"/>
              </w:tabs>
              <w:spacing w:line="240" w:lineRule="auto"/>
              <w:ind w:left="35" w:firstLine="0"/>
              <w:rPr>
                <w:rFonts w:cs="Times New Roman"/>
                <w:szCs w:val="24"/>
              </w:rPr>
            </w:pPr>
            <w:r w:rsidRPr="00BA4F0F">
              <w:rPr>
                <w:rFonts w:cs="Times New Roman"/>
                <w:szCs w:val="24"/>
              </w:rPr>
              <w:t xml:space="preserve">Определение антигена </w:t>
            </w:r>
            <w:r w:rsidRPr="00BA4F0F">
              <w:rPr>
                <w:rFonts w:cs="Times New Roman"/>
                <w:i/>
                <w:szCs w:val="24"/>
                <w:lang w:val="en-US"/>
              </w:rPr>
              <w:t>Candida</w:t>
            </w:r>
            <w:r w:rsidRPr="00BA4F0F">
              <w:rPr>
                <w:rFonts w:cs="Times New Roman"/>
                <w:szCs w:val="24"/>
              </w:rPr>
              <w:t xml:space="preserve"> (маннан) и антител </w:t>
            </w:r>
            <w:r w:rsidRPr="00BA4F0F">
              <w:rPr>
                <w:rFonts w:cs="Times New Roman"/>
                <w:i/>
                <w:szCs w:val="24"/>
                <w:lang w:val="en-US"/>
              </w:rPr>
              <w:t>Candida</w:t>
            </w:r>
            <w:r w:rsidRPr="00BA4F0F">
              <w:rPr>
                <w:rFonts w:cs="Times New Roman"/>
                <w:szCs w:val="24"/>
              </w:rPr>
              <w:t xml:space="preserve"> (антиманнан) в крови.</w:t>
            </w:r>
          </w:p>
        </w:tc>
      </w:tr>
      <w:tr w:rsidR="0075793D" w:rsidRPr="00BA4F0F" w14:paraId="75F94AAD" w14:textId="77777777" w:rsidTr="002D3EBF">
        <w:tc>
          <w:tcPr>
            <w:tcW w:w="4677" w:type="dxa"/>
          </w:tcPr>
          <w:p w14:paraId="790AE12F" w14:textId="77777777" w:rsidR="0075793D" w:rsidRPr="00BA4F0F" w:rsidRDefault="0075793D" w:rsidP="003A3438">
            <w:pPr>
              <w:tabs>
                <w:tab w:val="left" w:pos="176"/>
                <w:tab w:val="left" w:pos="284"/>
              </w:tabs>
              <w:spacing w:line="240" w:lineRule="auto"/>
              <w:ind w:left="34" w:firstLine="0"/>
              <w:rPr>
                <w:rFonts w:cs="Times New Roman"/>
                <w:szCs w:val="24"/>
              </w:rPr>
            </w:pPr>
            <w:r w:rsidRPr="00BA4F0F">
              <w:rPr>
                <w:rFonts w:cs="Times New Roman"/>
                <w:szCs w:val="24"/>
              </w:rPr>
              <w:t>Катетер-ассоциированная инфекция</w:t>
            </w:r>
          </w:p>
        </w:tc>
        <w:tc>
          <w:tcPr>
            <w:tcW w:w="4786" w:type="dxa"/>
          </w:tcPr>
          <w:p w14:paraId="316DCB93" w14:textId="77777777" w:rsidR="0075793D" w:rsidRPr="00BA4F0F" w:rsidRDefault="0075793D" w:rsidP="003A3438">
            <w:pPr>
              <w:tabs>
                <w:tab w:val="left" w:pos="34"/>
              </w:tabs>
              <w:spacing w:line="240" w:lineRule="auto"/>
              <w:ind w:left="35" w:firstLine="0"/>
              <w:rPr>
                <w:rFonts w:cs="Times New Roman"/>
                <w:szCs w:val="24"/>
              </w:rPr>
            </w:pPr>
            <w:r w:rsidRPr="00BA4F0F">
              <w:rPr>
                <w:rFonts w:cs="Times New Roman"/>
                <w:szCs w:val="24"/>
              </w:rPr>
              <w:t xml:space="preserve">Взятие одновременно гемокультуры из вены и ЦВК. </w:t>
            </w:r>
          </w:p>
          <w:p w14:paraId="5C2797D9" w14:textId="77777777" w:rsidR="0075793D" w:rsidRPr="00BA4F0F" w:rsidRDefault="0075793D" w:rsidP="003A3438">
            <w:pPr>
              <w:tabs>
                <w:tab w:val="left" w:pos="34"/>
              </w:tabs>
              <w:spacing w:line="240" w:lineRule="auto"/>
              <w:ind w:left="35" w:firstLine="0"/>
              <w:rPr>
                <w:rFonts w:cs="Times New Roman"/>
                <w:szCs w:val="24"/>
              </w:rPr>
            </w:pPr>
            <w:r w:rsidRPr="00BA4F0F">
              <w:rPr>
                <w:rFonts w:cs="Times New Roman"/>
                <w:szCs w:val="24"/>
              </w:rPr>
              <w:t>При подтверждении необходимо удалить ЦВК .</w:t>
            </w:r>
          </w:p>
        </w:tc>
      </w:tr>
      <w:tr w:rsidR="0075793D" w:rsidRPr="00BA4F0F" w14:paraId="5E8BB9EE" w14:textId="77777777" w:rsidTr="002D3EBF">
        <w:tc>
          <w:tcPr>
            <w:tcW w:w="4677" w:type="dxa"/>
          </w:tcPr>
          <w:p w14:paraId="77B2CFCC" w14:textId="77777777" w:rsidR="0075793D" w:rsidRPr="00BA4F0F" w:rsidRDefault="0075793D" w:rsidP="003A3438">
            <w:pPr>
              <w:tabs>
                <w:tab w:val="left" w:pos="176"/>
                <w:tab w:val="left" w:pos="284"/>
              </w:tabs>
              <w:spacing w:line="240" w:lineRule="auto"/>
              <w:ind w:left="34" w:firstLine="0"/>
              <w:rPr>
                <w:rFonts w:cs="Times New Roman"/>
                <w:szCs w:val="24"/>
              </w:rPr>
            </w:pPr>
            <w:r w:rsidRPr="00BA4F0F">
              <w:rPr>
                <w:rFonts w:cs="Times New Roman"/>
                <w:szCs w:val="24"/>
              </w:rPr>
              <w:t>Нейтропения более 10 дней</w:t>
            </w:r>
          </w:p>
        </w:tc>
        <w:tc>
          <w:tcPr>
            <w:tcW w:w="4786" w:type="dxa"/>
          </w:tcPr>
          <w:p w14:paraId="21DAB62E" w14:textId="77777777" w:rsidR="0075793D" w:rsidRPr="00BA4F0F" w:rsidRDefault="0075793D" w:rsidP="003A3438">
            <w:pPr>
              <w:tabs>
                <w:tab w:val="left" w:pos="34"/>
              </w:tabs>
              <w:spacing w:line="240" w:lineRule="auto"/>
              <w:ind w:left="35" w:firstLine="0"/>
              <w:rPr>
                <w:rFonts w:cs="Times New Roman"/>
                <w:szCs w:val="24"/>
              </w:rPr>
            </w:pPr>
            <w:r w:rsidRPr="00BA4F0F">
              <w:rPr>
                <w:rFonts w:cs="Times New Roman"/>
                <w:szCs w:val="24"/>
              </w:rPr>
              <w:t xml:space="preserve">Исследование крови на антиген </w:t>
            </w:r>
            <w:r w:rsidRPr="00BA4F0F">
              <w:rPr>
                <w:rFonts w:cs="Times New Roman"/>
                <w:szCs w:val="24"/>
                <w:lang w:val="en-US"/>
              </w:rPr>
              <w:t>Aspergillus</w:t>
            </w:r>
            <w:r w:rsidRPr="00BA4F0F">
              <w:rPr>
                <w:rFonts w:cs="Times New Roman"/>
                <w:szCs w:val="24"/>
              </w:rPr>
              <w:t xml:space="preserve"> 2 раза в неделю.</w:t>
            </w:r>
          </w:p>
        </w:tc>
      </w:tr>
      <w:tr w:rsidR="0075793D" w:rsidRPr="00BA4F0F" w14:paraId="63B4F4AD" w14:textId="77777777" w:rsidTr="002D3EBF">
        <w:tc>
          <w:tcPr>
            <w:tcW w:w="4677" w:type="dxa"/>
          </w:tcPr>
          <w:p w14:paraId="3168DAA5" w14:textId="77777777" w:rsidR="0075793D" w:rsidRPr="00BA4F0F" w:rsidRDefault="0075793D" w:rsidP="003A3438">
            <w:pPr>
              <w:tabs>
                <w:tab w:val="left" w:pos="176"/>
                <w:tab w:val="left" w:pos="284"/>
              </w:tabs>
              <w:spacing w:line="240" w:lineRule="auto"/>
              <w:ind w:left="34" w:firstLine="0"/>
              <w:rPr>
                <w:rFonts w:cs="Times New Roman"/>
                <w:szCs w:val="24"/>
              </w:rPr>
            </w:pPr>
            <w:r w:rsidRPr="00BA4F0F">
              <w:rPr>
                <w:rFonts w:cs="Times New Roman"/>
                <w:szCs w:val="24"/>
              </w:rPr>
              <w:t>Стоматит</w:t>
            </w:r>
          </w:p>
        </w:tc>
        <w:tc>
          <w:tcPr>
            <w:tcW w:w="4786" w:type="dxa"/>
          </w:tcPr>
          <w:p w14:paraId="1E98B719" w14:textId="77777777" w:rsidR="0075793D" w:rsidRPr="00BA4F0F" w:rsidRDefault="0075793D" w:rsidP="003A3438">
            <w:pPr>
              <w:tabs>
                <w:tab w:val="left" w:pos="34"/>
              </w:tabs>
              <w:spacing w:line="240" w:lineRule="auto"/>
              <w:ind w:left="35" w:firstLine="0"/>
              <w:rPr>
                <w:rFonts w:cs="Times New Roman"/>
                <w:szCs w:val="24"/>
              </w:rPr>
            </w:pPr>
            <w:r w:rsidRPr="00BA4F0F">
              <w:rPr>
                <w:rFonts w:cs="Times New Roman"/>
                <w:szCs w:val="24"/>
              </w:rPr>
              <w:t>Мазок со слизистой ротоглотки.</w:t>
            </w:r>
          </w:p>
        </w:tc>
      </w:tr>
      <w:tr w:rsidR="0075793D" w:rsidRPr="00BA4F0F" w14:paraId="29AEB580" w14:textId="77777777" w:rsidTr="002D3EBF">
        <w:tc>
          <w:tcPr>
            <w:tcW w:w="4677" w:type="dxa"/>
          </w:tcPr>
          <w:p w14:paraId="301B6C56" w14:textId="77777777" w:rsidR="0075793D" w:rsidRPr="00BA4F0F" w:rsidRDefault="0075793D" w:rsidP="003A3438">
            <w:pPr>
              <w:tabs>
                <w:tab w:val="left" w:pos="176"/>
                <w:tab w:val="left" w:pos="284"/>
              </w:tabs>
              <w:spacing w:line="240" w:lineRule="auto"/>
              <w:ind w:left="34" w:firstLine="0"/>
              <w:rPr>
                <w:rFonts w:cs="Times New Roman"/>
                <w:szCs w:val="24"/>
              </w:rPr>
            </w:pPr>
            <w:r w:rsidRPr="00BA4F0F">
              <w:rPr>
                <w:rFonts w:cs="Times New Roman"/>
                <w:szCs w:val="24"/>
              </w:rPr>
              <w:t>Эзофагит</w:t>
            </w:r>
          </w:p>
        </w:tc>
        <w:tc>
          <w:tcPr>
            <w:tcW w:w="4786" w:type="dxa"/>
          </w:tcPr>
          <w:p w14:paraId="2717F0C4" w14:textId="77777777" w:rsidR="0075793D" w:rsidRPr="00BA4F0F" w:rsidRDefault="0075793D" w:rsidP="003A3438">
            <w:pPr>
              <w:tabs>
                <w:tab w:val="left" w:pos="34"/>
              </w:tabs>
              <w:spacing w:line="240" w:lineRule="auto"/>
              <w:ind w:left="35" w:firstLine="0"/>
              <w:rPr>
                <w:rFonts w:cs="Times New Roman"/>
                <w:szCs w:val="24"/>
              </w:rPr>
            </w:pPr>
            <w:r w:rsidRPr="00BA4F0F">
              <w:rPr>
                <w:rFonts w:cs="Times New Roman"/>
                <w:szCs w:val="24"/>
              </w:rPr>
              <w:t xml:space="preserve">Эзофагоскопия (тромбоцитов не менее 50 х 109/л). </w:t>
            </w:r>
          </w:p>
          <w:p w14:paraId="5C7C5AA8" w14:textId="77777777" w:rsidR="0075793D" w:rsidRPr="00BA4F0F" w:rsidRDefault="0075793D" w:rsidP="003A3438">
            <w:pPr>
              <w:tabs>
                <w:tab w:val="left" w:pos="34"/>
              </w:tabs>
              <w:spacing w:line="240" w:lineRule="auto"/>
              <w:ind w:left="35" w:firstLine="0"/>
              <w:rPr>
                <w:rFonts w:cs="Times New Roman"/>
                <w:szCs w:val="24"/>
              </w:rPr>
            </w:pPr>
            <w:r w:rsidRPr="00BA4F0F">
              <w:rPr>
                <w:rFonts w:cs="Times New Roman"/>
                <w:szCs w:val="24"/>
              </w:rPr>
              <w:t>Исследование – соскоб (браш-метод) со слизистой оболочки или биопсия.</w:t>
            </w:r>
          </w:p>
        </w:tc>
      </w:tr>
      <w:tr w:rsidR="0075793D" w:rsidRPr="00BA4F0F" w14:paraId="6667F6D4" w14:textId="77777777" w:rsidTr="002D3EBF">
        <w:tc>
          <w:tcPr>
            <w:tcW w:w="4677" w:type="dxa"/>
          </w:tcPr>
          <w:p w14:paraId="2E75BA81" w14:textId="77777777" w:rsidR="0075793D" w:rsidRPr="00BA4F0F" w:rsidRDefault="0075793D" w:rsidP="003A3438">
            <w:pPr>
              <w:tabs>
                <w:tab w:val="left" w:pos="176"/>
                <w:tab w:val="left" w:pos="284"/>
              </w:tabs>
              <w:spacing w:line="240" w:lineRule="auto"/>
              <w:ind w:left="34" w:firstLine="0"/>
              <w:rPr>
                <w:rFonts w:cs="Times New Roman"/>
                <w:szCs w:val="24"/>
              </w:rPr>
            </w:pPr>
            <w:r w:rsidRPr="00BA4F0F">
              <w:rPr>
                <w:rFonts w:cs="Times New Roman"/>
                <w:szCs w:val="24"/>
              </w:rPr>
              <w:t>Некроз слизистой оболочки носового хода</w:t>
            </w:r>
          </w:p>
        </w:tc>
        <w:tc>
          <w:tcPr>
            <w:tcW w:w="4786" w:type="dxa"/>
          </w:tcPr>
          <w:p w14:paraId="7580B9E2" w14:textId="77777777" w:rsidR="0075793D" w:rsidRPr="00BA4F0F" w:rsidRDefault="0075793D" w:rsidP="003A3438">
            <w:pPr>
              <w:tabs>
                <w:tab w:val="left" w:pos="34"/>
              </w:tabs>
              <w:spacing w:line="240" w:lineRule="auto"/>
              <w:ind w:left="35" w:firstLine="0"/>
              <w:rPr>
                <w:rFonts w:cs="Times New Roman"/>
                <w:szCs w:val="24"/>
              </w:rPr>
            </w:pPr>
            <w:r w:rsidRPr="00BA4F0F">
              <w:rPr>
                <w:rFonts w:cs="Times New Roman"/>
                <w:szCs w:val="24"/>
              </w:rPr>
              <w:t>Мазок со слизистой оболочки носа</w:t>
            </w:r>
          </w:p>
        </w:tc>
      </w:tr>
      <w:tr w:rsidR="0075793D" w:rsidRPr="00BA4F0F" w14:paraId="3F93E8F7" w14:textId="77777777" w:rsidTr="002D3EBF">
        <w:tc>
          <w:tcPr>
            <w:tcW w:w="4677" w:type="dxa"/>
          </w:tcPr>
          <w:p w14:paraId="3D751A3A" w14:textId="77777777" w:rsidR="0075793D" w:rsidRPr="00BA4F0F" w:rsidRDefault="0075793D" w:rsidP="003A3438">
            <w:pPr>
              <w:tabs>
                <w:tab w:val="left" w:pos="176"/>
                <w:tab w:val="left" w:pos="284"/>
              </w:tabs>
              <w:spacing w:line="240" w:lineRule="auto"/>
              <w:ind w:left="34" w:firstLine="0"/>
              <w:rPr>
                <w:rFonts w:cs="Times New Roman"/>
                <w:szCs w:val="24"/>
              </w:rPr>
            </w:pPr>
            <w:r w:rsidRPr="00BA4F0F">
              <w:rPr>
                <w:rFonts w:cs="Times New Roman"/>
                <w:szCs w:val="24"/>
              </w:rPr>
              <w:t>Гайморит</w:t>
            </w:r>
          </w:p>
        </w:tc>
        <w:tc>
          <w:tcPr>
            <w:tcW w:w="4786" w:type="dxa"/>
          </w:tcPr>
          <w:p w14:paraId="507BFC89" w14:textId="77777777" w:rsidR="0075793D" w:rsidRPr="00BA4F0F" w:rsidRDefault="0075793D" w:rsidP="003A3438">
            <w:pPr>
              <w:tabs>
                <w:tab w:val="left" w:pos="34"/>
              </w:tabs>
              <w:spacing w:line="240" w:lineRule="auto"/>
              <w:ind w:left="35" w:firstLine="0"/>
              <w:rPr>
                <w:rFonts w:cs="Times New Roman"/>
                <w:szCs w:val="24"/>
              </w:rPr>
            </w:pPr>
            <w:r w:rsidRPr="00BA4F0F">
              <w:rPr>
                <w:rFonts w:cs="Times New Roman"/>
                <w:szCs w:val="24"/>
              </w:rPr>
              <w:t>Исследование содержимого околоносовой пазухи, полученной при пункции.</w:t>
            </w:r>
          </w:p>
        </w:tc>
      </w:tr>
      <w:tr w:rsidR="0075793D" w:rsidRPr="00BA4F0F" w14:paraId="133EE62F" w14:textId="77777777" w:rsidTr="002D3EBF">
        <w:tc>
          <w:tcPr>
            <w:tcW w:w="4677" w:type="dxa"/>
          </w:tcPr>
          <w:p w14:paraId="285D135D" w14:textId="77777777" w:rsidR="0075793D" w:rsidRPr="00BA4F0F" w:rsidRDefault="0075793D" w:rsidP="003A3438">
            <w:pPr>
              <w:tabs>
                <w:tab w:val="left" w:pos="176"/>
                <w:tab w:val="left" w:pos="284"/>
              </w:tabs>
              <w:spacing w:line="240" w:lineRule="auto"/>
              <w:ind w:left="34" w:firstLine="0"/>
              <w:rPr>
                <w:rFonts w:cs="Times New Roman"/>
                <w:szCs w:val="24"/>
              </w:rPr>
            </w:pPr>
            <w:r w:rsidRPr="00BA4F0F">
              <w:rPr>
                <w:rFonts w:cs="Times New Roman"/>
                <w:szCs w:val="24"/>
              </w:rPr>
              <w:t>Симптомы инфекции мочевыводящих путей</w:t>
            </w:r>
          </w:p>
          <w:p w14:paraId="15BCA324" w14:textId="77777777" w:rsidR="0075793D" w:rsidRPr="00BA4F0F" w:rsidRDefault="0075793D" w:rsidP="003A3438">
            <w:pPr>
              <w:tabs>
                <w:tab w:val="left" w:pos="176"/>
                <w:tab w:val="left" w:pos="284"/>
              </w:tabs>
              <w:spacing w:line="240" w:lineRule="auto"/>
              <w:ind w:left="34" w:firstLine="0"/>
              <w:rPr>
                <w:rFonts w:cs="Times New Roman"/>
                <w:szCs w:val="24"/>
              </w:rPr>
            </w:pPr>
            <w:r w:rsidRPr="00BA4F0F">
              <w:rPr>
                <w:rFonts w:cs="Times New Roman"/>
                <w:szCs w:val="24"/>
              </w:rPr>
              <w:t>Лейкоцитурия</w:t>
            </w:r>
          </w:p>
        </w:tc>
        <w:tc>
          <w:tcPr>
            <w:tcW w:w="4786" w:type="dxa"/>
          </w:tcPr>
          <w:p w14:paraId="00CB5314" w14:textId="77777777" w:rsidR="0075793D" w:rsidRPr="00BA4F0F" w:rsidRDefault="0075793D" w:rsidP="003A3438">
            <w:pPr>
              <w:tabs>
                <w:tab w:val="left" w:pos="34"/>
              </w:tabs>
              <w:spacing w:line="240" w:lineRule="auto"/>
              <w:ind w:left="35" w:firstLine="0"/>
              <w:rPr>
                <w:rFonts w:cs="Times New Roman"/>
                <w:szCs w:val="24"/>
              </w:rPr>
            </w:pPr>
            <w:r w:rsidRPr="00BA4F0F">
              <w:rPr>
                <w:rFonts w:cs="Times New Roman"/>
                <w:szCs w:val="24"/>
              </w:rPr>
              <w:t>Микробиологическое исследование мочи.</w:t>
            </w:r>
          </w:p>
        </w:tc>
      </w:tr>
      <w:tr w:rsidR="0075793D" w:rsidRPr="00BA4F0F" w14:paraId="39660D51" w14:textId="77777777" w:rsidTr="002D3EBF">
        <w:tc>
          <w:tcPr>
            <w:tcW w:w="4677" w:type="dxa"/>
          </w:tcPr>
          <w:p w14:paraId="6F114A3A" w14:textId="77777777" w:rsidR="0075793D" w:rsidRPr="00BA4F0F" w:rsidRDefault="0075793D" w:rsidP="003A3438">
            <w:pPr>
              <w:tabs>
                <w:tab w:val="left" w:pos="176"/>
                <w:tab w:val="left" w:pos="284"/>
              </w:tabs>
              <w:spacing w:line="240" w:lineRule="auto"/>
              <w:ind w:left="34" w:firstLine="0"/>
              <w:rPr>
                <w:rFonts w:cs="Times New Roman"/>
                <w:szCs w:val="24"/>
              </w:rPr>
            </w:pPr>
            <w:r w:rsidRPr="00BA4F0F">
              <w:rPr>
                <w:rFonts w:cs="Times New Roman"/>
                <w:szCs w:val="24"/>
              </w:rPr>
              <w:t>Пневмония</w:t>
            </w:r>
          </w:p>
        </w:tc>
        <w:tc>
          <w:tcPr>
            <w:tcW w:w="4786" w:type="dxa"/>
          </w:tcPr>
          <w:p w14:paraId="05597E69" w14:textId="77777777" w:rsidR="0075793D" w:rsidRPr="00BA4F0F" w:rsidRDefault="0075793D" w:rsidP="003A3438">
            <w:pPr>
              <w:tabs>
                <w:tab w:val="left" w:pos="34"/>
              </w:tabs>
              <w:spacing w:line="240" w:lineRule="auto"/>
              <w:ind w:left="35" w:firstLine="0"/>
              <w:rPr>
                <w:rFonts w:cs="Times New Roman"/>
                <w:szCs w:val="24"/>
              </w:rPr>
            </w:pPr>
            <w:r w:rsidRPr="00BA4F0F">
              <w:rPr>
                <w:rFonts w:cs="Times New Roman"/>
                <w:szCs w:val="24"/>
              </w:rPr>
              <w:t>КТ легких.</w:t>
            </w:r>
          </w:p>
          <w:p w14:paraId="55532A3B" w14:textId="77777777" w:rsidR="0075793D" w:rsidRPr="00BA4F0F" w:rsidRDefault="0075793D" w:rsidP="003A3438">
            <w:pPr>
              <w:tabs>
                <w:tab w:val="left" w:pos="34"/>
              </w:tabs>
              <w:spacing w:line="240" w:lineRule="auto"/>
              <w:ind w:left="35" w:firstLine="0"/>
              <w:rPr>
                <w:rFonts w:cs="Times New Roman"/>
                <w:szCs w:val="24"/>
              </w:rPr>
            </w:pPr>
            <w:r w:rsidRPr="00BA4F0F">
              <w:rPr>
                <w:rFonts w:cs="Times New Roman"/>
                <w:szCs w:val="24"/>
              </w:rPr>
              <w:t>БАЛ после КТ легких.</w:t>
            </w:r>
          </w:p>
          <w:p w14:paraId="7287FA17" w14:textId="77777777" w:rsidR="0075793D" w:rsidRPr="00BA4F0F" w:rsidRDefault="0075793D" w:rsidP="003A3438">
            <w:pPr>
              <w:tabs>
                <w:tab w:val="left" w:pos="34"/>
              </w:tabs>
              <w:spacing w:line="240" w:lineRule="auto"/>
              <w:ind w:left="35" w:firstLine="0"/>
              <w:rPr>
                <w:rFonts w:cs="Times New Roman"/>
                <w:szCs w:val="24"/>
              </w:rPr>
            </w:pPr>
            <w:r w:rsidRPr="00BA4F0F">
              <w:rPr>
                <w:rFonts w:cs="Times New Roman"/>
                <w:szCs w:val="24"/>
              </w:rPr>
              <w:t>Полное исследование жидкости БАЛ.</w:t>
            </w:r>
          </w:p>
          <w:p w14:paraId="65922A55" w14:textId="77777777" w:rsidR="0075793D" w:rsidRPr="00BA4F0F" w:rsidRDefault="0075793D" w:rsidP="003A3438">
            <w:pPr>
              <w:tabs>
                <w:tab w:val="left" w:pos="34"/>
              </w:tabs>
              <w:spacing w:line="240" w:lineRule="auto"/>
              <w:ind w:left="35" w:firstLine="0"/>
              <w:rPr>
                <w:rFonts w:cs="Times New Roman"/>
                <w:szCs w:val="24"/>
              </w:rPr>
            </w:pPr>
            <w:r w:rsidRPr="00BA4F0F">
              <w:rPr>
                <w:rFonts w:cs="Times New Roman"/>
                <w:szCs w:val="24"/>
              </w:rPr>
              <w:t xml:space="preserve">Исследование крови на антиген </w:t>
            </w:r>
            <w:r w:rsidRPr="00BA4F0F">
              <w:rPr>
                <w:rFonts w:cs="Times New Roman"/>
                <w:szCs w:val="24"/>
                <w:lang w:val="en-US"/>
              </w:rPr>
              <w:t>Aspergillus</w:t>
            </w:r>
            <w:r w:rsidRPr="00BA4F0F">
              <w:rPr>
                <w:rFonts w:cs="Times New Roman"/>
                <w:szCs w:val="24"/>
              </w:rPr>
              <w:t>.</w:t>
            </w:r>
          </w:p>
          <w:p w14:paraId="336EE0F6" w14:textId="77777777" w:rsidR="0075793D" w:rsidRPr="00BA4F0F" w:rsidRDefault="0075793D" w:rsidP="003A3438">
            <w:pPr>
              <w:tabs>
                <w:tab w:val="left" w:pos="34"/>
              </w:tabs>
              <w:spacing w:line="240" w:lineRule="auto"/>
              <w:ind w:left="35" w:firstLine="0"/>
              <w:rPr>
                <w:rFonts w:cs="Times New Roman"/>
                <w:szCs w:val="24"/>
              </w:rPr>
            </w:pPr>
            <w:r w:rsidRPr="00BA4F0F">
              <w:rPr>
                <w:rFonts w:cs="Times New Roman"/>
                <w:szCs w:val="24"/>
              </w:rPr>
              <w:t xml:space="preserve">Исследование крови на антитела к </w:t>
            </w:r>
            <w:r w:rsidRPr="00BA4F0F">
              <w:rPr>
                <w:rFonts w:cs="Times New Roman"/>
                <w:szCs w:val="24"/>
                <w:lang w:val="en-US"/>
              </w:rPr>
              <w:t>Mycoplasma</w:t>
            </w:r>
            <w:r w:rsidRPr="00BA4F0F">
              <w:rPr>
                <w:rFonts w:cs="Times New Roman"/>
                <w:szCs w:val="24"/>
              </w:rPr>
              <w:t xml:space="preserve"> </w:t>
            </w:r>
            <w:r w:rsidRPr="00BA4F0F">
              <w:rPr>
                <w:rFonts w:cs="Times New Roman"/>
                <w:szCs w:val="24"/>
                <w:lang w:val="en-US"/>
              </w:rPr>
              <w:t>pneumoniae</w:t>
            </w:r>
            <w:r w:rsidRPr="00BA4F0F">
              <w:rPr>
                <w:rFonts w:cs="Times New Roman"/>
                <w:szCs w:val="24"/>
              </w:rPr>
              <w:t xml:space="preserve"> (</w:t>
            </w:r>
            <w:r w:rsidRPr="00BA4F0F">
              <w:rPr>
                <w:rFonts w:cs="Times New Roman"/>
                <w:szCs w:val="24"/>
                <w:lang w:val="en-US"/>
              </w:rPr>
              <w:t>IgM</w:t>
            </w:r>
            <w:r w:rsidRPr="00BA4F0F">
              <w:rPr>
                <w:rFonts w:cs="Times New Roman"/>
                <w:szCs w:val="24"/>
              </w:rPr>
              <w:t xml:space="preserve">, </w:t>
            </w:r>
            <w:r w:rsidRPr="00BA4F0F">
              <w:rPr>
                <w:rFonts w:cs="Times New Roman"/>
                <w:szCs w:val="24"/>
                <w:lang w:val="en-US"/>
              </w:rPr>
              <w:t>IgG</w:t>
            </w:r>
            <w:r w:rsidRPr="00BA4F0F">
              <w:rPr>
                <w:rFonts w:cs="Times New Roman"/>
                <w:szCs w:val="24"/>
              </w:rPr>
              <w:t xml:space="preserve">). </w:t>
            </w:r>
          </w:p>
          <w:p w14:paraId="3FB90E4A" w14:textId="77777777" w:rsidR="0075793D" w:rsidRPr="00BA4F0F" w:rsidRDefault="0075793D" w:rsidP="003A3438">
            <w:pPr>
              <w:tabs>
                <w:tab w:val="left" w:pos="34"/>
              </w:tabs>
              <w:spacing w:line="240" w:lineRule="auto"/>
              <w:ind w:left="35" w:firstLine="0"/>
              <w:rPr>
                <w:rFonts w:cs="Times New Roman"/>
                <w:szCs w:val="24"/>
              </w:rPr>
            </w:pPr>
            <w:r w:rsidRPr="00BA4F0F">
              <w:rPr>
                <w:rFonts w:cs="Times New Roman"/>
                <w:szCs w:val="24"/>
              </w:rPr>
              <w:t xml:space="preserve">Исследование крови на антитела к </w:t>
            </w:r>
            <w:r w:rsidRPr="00BA4F0F">
              <w:rPr>
                <w:rFonts w:cs="Times New Roman"/>
                <w:szCs w:val="24"/>
                <w:lang w:val="en-US"/>
              </w:rPr>
              <w:t>Chlamydia</w:t>
            </w:r>
            <w:r w:rsidRPr="00BA4F0F">
              <w:rPr>
                <w:rFonts w:cs="Times New Roman"/>
                <w:szCs w:val="24"/>
              </w:rPr>
              <w:t xml:space="preserve"> </w:t>
            </w:r>
            <w:r w:rsidRPr="00BA4F0F">
              <w:rPr>
                <w:rFonts w:cs="Times New Roman"/>
                <w:szCs w:val="24"/>
                <w:lang w:val="en-US"/>
              </w:rPr>
              <w:t>pneumoniae</w:t>
            </w:r>
            <w:r w:rsidRPr="00BA4F0F">
              <w:rPr>
                <w:rFonts w:cs="Times New Roman"/>
                <w:szCs w:val="24"/>
              </w:rPr>
              <w:t xml:space="preserve"> (</w:t>
            </w:r>
            <w:r w:rsidRPr="00BA4F0F">
              <w:rPr>
                <w:rFonts w:cs="Times New Roman"/>
                <w:szCs w:val="24"/>
                <w:lang w:val="en-US"/>
              </w:rPr>
              <w:t>IgM</w:t>
            </w:r>
            <w:r w:rsidRPr="00BA4F0F">
              <w:rPr>
                <w:rFonts w:cs="Times New Roman"/>
                <w:szCs w:val="24"/>
              </w:rPr>
              <w:t xml:space="preserve">, </w:t>
            </w:r>
            <w:r w:rsidRPr="00BA4F0F">
              <w:rPr>
                <w:rFonts w:cs="Times New Roman"/>
                <w:szCs w:val="24"/>
                <w:lang w:val="en-US"/>
              </w:rPr>
              <w:t>IgG</w:t>
            </w:r>
            <w:r w:rsidRPr="00BA4F0F">
              <w:rPr>
                <w:rFonts w:cs="Times New Roman"/>
                <w:szCs w:val="24"/>
              </w:rPr>
              <w:t xml:space="preserve">). </w:t>
            </w:r>
          </w:p>
        </w:tc>
      </w:tr>
      <w:tr w:rsidR="0075793D" w:rsidRPr="00BA4F0F" w14:paraId="5C3E4334" w14:textId="77777777" w:rsidTr="002D3EBF">
        <w:tc>
          <w:tcPr>
            <w:tcW w:w="4677" w:type="dxa"/>
          </w:tcPr>
          <w:p w14:paraId="1B19AD80" w14:textId="77777777" w:rsidR="0075793D" w:rsidRPr="00BA4F0F" w:rsidRDefault="0075793D" w:rsidP="003A3438">
            <w:pPr>
              <w:tabs>
                <w:tab w:val="left" w:pos="176"/>
                <w:tab w:val="left" w:pos="284"/>
              </w:tabs>
              <w:spacing w:line="240" w:lineRule="auto"/>
              <w:ind w:left="34" w:firstLine="0"/>
              <w:rPr>
                <w:rFonts w:cs="Times New Roman"/>
                <w:szCs w:val="24"/>
              </w:rPr>
            </w:pPr>
            <w:r w:rsidRPr="00BA4F0F">
              <w:rPr>
                <w:rFonts w:cs="Times New Roman"/>
                <w:szCs w:val="24"/>
              </w:rPr>
              <w:t>Симптомы менингита. Мозговая симптоматика на фоне фебрильной нейтропении. Обнаружение очага (очагов) в головном мозге</w:t>
            </w:r>
          </w:p>
        </w:tc>
        <w:tc>
          <w:tcPr>
            <w:tcW w:w="4786" w:type="dxa"/>
          </w:tcPr>
          <w:p w14:paraId="4321CF82" w14:textId="77777777" w:rsidR="0075793D" w:rsidRPr="00BA4F0F" w:rsidRDefault="0075793D" w:rsidP="003A3438">
            <w:pPr>
              <w:tabs>
                <w:tab w:val="left" w:pos="34"/>
              </w:tabs>
              <w:spacing w:line="240" w:lineRule="auto"/>
              <w:ind w:left="35" w:firstLine="0"/>
              <w:rPr>
                <w:rFonts w:cs="Times New Roman"/>
                <w:szCs w:val="24"/>
              </w:rPr>
            </w:pPr>
            <w:r w:rsidRPr="00BA4F0F">
              <w:rPr>
                <w:rFonts w:cs="Times New Roman"/>
                <w:szCs w:val="24"/>
              </w:rPr>
              <w:t xml:space="preserve">Люмбальная пункция. </w:t>
            </w:r>
          </w:p>
          <w:p w14:paraId="03227710" w14:textId="77777777" w:rsidR="0075793D" w:rsidRPr="00BA4F0F" w:rsidRDefault="0075793D" w:rsidP="003A3438">
            <w:pPr>
              <w:tabs>
                <w:tab w:val="left" w:pos="34"/>
              </w:tabs>
              <w:spacing w:line="240" w:lineRule="auto"/>
              <w:ind w:left="35" w:firstLine="0"/>
              <w:rPr>
                <w:rFonts w:cs="Times New Roman"/>
                <w:szCs w:val="24"/>
              </w:rPr>
            </w:pPr>
            <w:r w:rsidRPr="00BA4F0F">
              <w:rPr>
                <w:rFonts w:cs="Times New Roman"/>
                <w:szCs w:val="24"/>
              </w:rPr>
              <w:t xml:space="preserve">Полное исследование СМЖ. </w:t>
            </w:r>
          </w:p>
        </w:tc>
      </w:tr>
      <w:tr w:rsidR="0075793D" w:rsidRPr="00BA4F0F" w14:paraId="59B7BB1C" w14:textId="77777777" w:rsidTr="002D3EBF">
        <w:tc>
          <w:tcPr>
            <w:tcW w:w="4677" w:type="dxa"/>
          </w:tcPr>
          <w:p w14:paraId="5BA50A0B" w14:textId="77777777" w:rsidR="0075793D" w:rsidRPr="00BA4F0F" w:rsidRDefault="0075793D" w:rsidP="003A3438">
            <w:pPr>
              <w:tabs>
                <w:tab w:val="left" w:pos="176"/>
                <w:tab w:val="left" w:pos="284"/>
              </w:tabs>
              <w:spacing w:line="240" w:lineRule="auto"/>
              <w:ind w:left="34" w:firstLine="0"/>
              <w:rPr>
                <w:rFonts w:cs="Times New Roman"/>
                <w:szCs w:val="24"/>
              </w:rPr>
            </w:pPr>
            <w:r w:rsidRPr="00BA4F0F">
              <w:rPr>
                <w:rFonts w:cs="Times New Roman"/>
                <w:szCs w:val="24"/>
              </w:rPr>
              <w:t>Диарея</w:t>
            </w:r>
          </w:p>
        </w:tc>
        <w:tc>
          <w:tcPr>
            <w:tcW w:w="4786" w:type="dxa"/>
          </w:tcPr>
          <w:p w14:paraId="657F24E8" w14:textId="77777777" w:rsidR="0075793D" w:rsidRPr="00BA4F0F" w:rsidRDefault="0075793D" w:rsidP="003A3438">
            <w:pPr>
              <w:tabs>
                <w:tab w:val="left" w:pos="34"/>
              </w:tabs>
              <w:spacing w:line="240" w:lineRule="auto"/>
              <w:ind w:left="35" w:firstLine="0"/>
              <w:rPr>
                <w:rFonts w:cs="Times New Roman"/>
                <w:szCs w:val="24"/>
              </w:rPr>
            </w:pPr>
            <w:r w:rsidRPr="00BA4F0F">
              <w:rPr>
                <w:rFonts w:cs="Times New Roman"/>
                <w:szCs w:val="24"/>
              </w:rPr>
              <w:t xml:space="preserve">Исследование кала на токсин </w:t>
            </w:r>
            <w:r w:rsidRPr="00BA4F0F">
              <w:rPr>
                <w:rFonts w:cs="Times New Roman"/>
                <w:i/>
                <w:szCs w:val="24"/>
                <w:lang w:val="en-US"/>
              </w:rPr>
              <w:t>Clostridium</w:t>
            </w:r>
            <w:r w:rsidRPr="00BA4F0F">
              <w:rPr>
                <w:rFonts w:cs="Times New Roman"/>
                <w:i/>
                <w:szCs w:val="24"/>
              </w:rPr>
              <w:t xml:space="preserve"> </w:t>
            </w:r>
            <w:r w:rsidRPr="00BA4F0F">
              <w:rPr>
                <w:rFonts w:cs="Times New Roman"/>
                <w:i/>
                <w:szCs w:val="24"/>
                <w:lang w:val="en-US"/>
              </w:rPr>
              <w:t>difficil</w:t>
            </w:r>
            <w:r w:rsidRPr="00BA4F0F">
              <w:rPr>
                <w:rFonts w:cs="Times New Roman"/>
                <w:i/>
                <w:szCs w:val="24"/>
              </w:rPr>
              <w:t xml:space="preserve">е. </w:t>
            </w:r>
          </w:p>
        </w:tc>
      </w:tr>
      <w:tr w:rsidR="0075793D" w:rsidRPr="00BA4F0F" w14:paraId="1EBF0729" w14:textId="77777777" w:rsidTr="002D3EBF">
        <w:tc>
          <w:tcPr>
            <w:tcW w:w="4677" w:type="dxa"/>
          </w:tcPr>
          <w:p w14:paraId="78921169" w14:textId="77777777" w:rsidR="0075793D" w:rsidRPr="00BA4F0F" w:rsidRDefault="0075793D" w:rsidP="003A3438">
            <w:pPr>
              <w:tabs>
                <w:tab w:val="left" w:pos="176"/>
                <w:tab w:val="left" w:pos="284"/>
              </w:tabs>
              <w:spacing w:line="240" w:lineRule="auto"/>
              <w:ind w:left="34" w:firstLine="0"/>
              <w:rPr>
                <w:rFonts w:cs="Times New Roman"/>
                <w:szCs w:val="24"/>
              </w:rPr>
            </w:pPr>
            <w:r w:rsidRPr="00BA4F0F">
              <w:rPr>
                <w:rFonts w:cs="Times New Roman"/>
                <w:szCs w:val="24"/>
              </w:rPr>
              <w:t>Парапроктит</w:t>
            </w:r>
          </w:p>
          <w:p w14:paraId="16B2ED19" w14:textId="77777777" w:rsidR="0075793D" w:rsidRPr="00BA4F0F" w:rsidRDefault="0075793D" w:rsidP="003A3438">
            <w:pPr>
              <w:tabs>
                <w:tab w:val="left" w:pos="176"/>
                <w:tab w:val="left" w:pos="284"/>
              </w:tabs>
              <w:spacing w:line="240" w:lineRule="auto"/>
              <w:ind w:left="34" w:firstLine="0"/>
              <w:rPr>
                <w:rFonts w:cs="Times New Roman"/>
                <w:szCs w:val="24"/>
              </w:rPr>
            </w:pPr>
            <w:r w:rsidRPr="00BA4F0F">
              <w:rPr>
                <w:rFonts w:cs="Times New Roman"/>
                <w:szCs w:val="24"/>
              </w:rPr>
              <w:t>Трещина в области прямой кишки</w:t>
            </w:r>
          </w:p>
        </w:tc>
        <w:tc>
          <w:tcPr>
            <w:tcW w:w="4786" w:type="dxa"/>
          </w:tcPr>
          <w:p w14:paraId="693E869C" w14:textId="77777777" w:rsidR="0075793D" w:rsidRPr="00BA4F0F" w:rsidRDefault="0075793D" w:rsidP="003A3438">
            <w:pPr>
              <w:tabs>
                <w:tab w:val="left" w:pos="34"/>
              </w:tabs>
              <w:spacing w:line="240" w:lineRule="auto"/>
              <w:ind w:left="35" w:firstLine="0"/>
              <w:rPr>
                <w:rFonts w:cs="Times New Roman"/>
                <w:szCs w:val="24"/>
              </w:rPr>
            </w:pPr>
            <w:r w:rsidRPr="00BA4F0F">
              <w:rPr>
                <w:rFonts w:cs="Times New Roman"/>
                <w:szCs w:val="24"/>
              </w:rPr>
              <w:t>Мазок со слизистой оболочки прямой кишки.</w:t>
            </w:r>
          </w:p>
        </w:tc>
      </w:tr>
      <w:tr w:rsidR="0075793D" w:rsidRPr="00BA4F0F" w14:paraId="3A94EC91" w14:textId="77777777" w:rsidTr="002D3EBF">
        <w:tc>
          <w:tcPr>
            <w:tcW w:w="4677" w:type="dxa"/>
          </w:tcPr>
          <w:p w14:paraId="2182665F" w14:textId="77777777" w:rsidR="0075793D" w:rsidRPr="00BA4F0F" w:rsidRDefault="0075793D" w:rsidP="003A3438">
            <w:pPr>
              <w:tabs>
                <w:tab w:val="left" w:pos="176"/>
                <w:tab w:val="left" w:pos="284"/>
              </w:tabs>
              <w:spacing w:line="240" w:lineRule="auto"/>
              <w:ind w:left="34" w:firstLine="0"/>
              <w:rPr>
                <w:rFonts w:cs="Times New Roman"/>
                <w:szCs w:val="24"/>
              </w:rPr>
            </w:pPr>
            <w:r w:rsidRPr="00BA4F0F">
              <w:rPr>
                <w:rFonts w:cs="Times New Roman"/>
                <w:szCs w:val="24"/>
              </w:rPr>
              <w:t>Инфильтраты на коже</w:t>
            </w:r>
          </w:p>
        </w:tc>
        <w:tc>
          <w:tcPr>
            <w:tcW w:w="4786" w:type="dxa"/>
          </w:tcPr>
          <w:p w14:paraId="229E0003" w14:textId="77777777" w:rsidR="0075793D" w:rsidRPr="00BA4F0F" w:rsidRDefault="0075793D" w:rsidP="003A3438">
            <w:pPr>
              <w:tabs>
                <w:tab w:val="left" w:pos="34"/>
              </w:tabs>
              <w:spacing w:line="240" w:lineRule="auto"/>
              <w:ind w:left="35" w:firstLine="0"/>
              <w:rPr>
                <w:rFonts w:cs="Times New Roman"/>
                <w:szCs w:val="24"/>
              </w:rPr>
            </w:pPr>
            <w:r w:rsidRPr="00BA4F0F">
              <w:rPr>
                <w:rFonts w:cs="Times New Roman"/>
                <w:szCs w:val="24"/>
              </w:rPr>
              <w:t xml:space="preserve">Биопсия. </w:t>
            </w:r>
          </w:p>
          <w:p w14:paraId="22734118" w14:textId="77777777" w:rsidR="0075793D" w:rsidRPr="00BA4F0F" w:rsidRDefault="0075793D" w:rsidP="003A3438">
            <w:pPr>
              <w:tabs>
                <w:tab w:val="left" w:pos="34"/>
              </w:tabs>
              <w:spacing w:line="240" w:lineRule="auto"/>
              <w:ind w:left="35" w:firstLine="0"/>
              <w:rPr>
                <w:rFonts w:cs="Times New Roman"/>
                <w:szCs w:val="24"/>
              </w:rPr>
            </w:pPr>
            <w:r w:rsidRPr="00BA4F0F">
              <w:rPr>
                <w:rFonts w:cs="Times New Roman"/>
                <w:szCs w:val="24"/>
              </w:rPr>
              <w:t xml:space="preserve">Микробиологическое и гистологическое исследование биоптата. </w:t>
            </w:r>
          </w:p>
        </w:tc>
      </w:tr>
    </w:tbl>
    <w:p w14:paraId="7E444F03" w14:textId="77777777" w:rsidR="0075793D" w:rsidRPr="00BA4F0F" w:rsidRDefault="0075793D" w:rsidP="0075793D">
      <w:pPr>
        <w:tabs>
          <w:tab w:val="left" w:pos="0"/>
          <w:tab w:val="left" w:pos="567"/>
        </w:tabs>
        <w:rPr>
          <w:rFonts w:cs="Times New Roman"/>
          <w:b/>
          <w:szCs w:val="24"/>
        </w:rPr>
      </w:pPr>
    </w:p>
    <w:p w14:paraId="1D982C37" w14:textId="77777777" w:rsidR="0075793D" w:rsidRPr="00BA4F0F" w:rsidRDefault="0075793D" w:rsidP="0075793D">
      <w:pPr>
        <w:pStyle w:val="afe"/>
        <w:ind w:left="0"/>
        <w:rPr>
          <w:rFonts w:cs="Times New Roman"/>
          <w:b/>
          <w:i/>
          <w:szCs w:val="24"/>
        </w:rPr>
      </w:pPr>
      <w:r w:rsidRPr="00BA4F0F">
        <w:rPr>
          <w:rFonts w:cs="Times New Roman"/>
          <w:b/>
          <w:i/>
          <w:szCs w:val="24"/>
        </w:rPr>
        <w:t>Ежедневный осмотр пациента</w:t>
      </w:r>
    </w:p>
    <w:p w14:paraId="71E4F2D9" w14:textId="77777777" w:rsidR="0075793D" w:rsidRPr="00BA4F0F" w:rsidRDefault="0075793D" w:rsidP="0075793D">
      <w:pPr>
        <w:tabs>
          <w:tab w:val="left" w:pos="0"/>
          <w:tab w:val="left" w:pos="567"/>
        </w:tabs>
        <w:rPr>
          <w:rFonts w:cs="Times New Roman"/>
          <w:szCs w:val="24"/>
        </w:rPr>
      </w:pPr>
      <w:r w:rsidRPr="00BA4F0F">
        <w:rPr>
          <w:rFonts w:cs="Times New Roman"/>
          <w:szCs w:val="24"/>
        </w:rPr>
        <w:t xml:space="preserve">При нейтропении ежедневно проводят тщательный осмотр пациента, который наряду с обычными терапевтическими стандартами обследования больных включает следующие подходы. </w:t>
      </w:r>
    </w:p>
    <w:p w14:paraId="774569DC" w14:textId="77777777" w:rsidR="0075793D" w:rsidRPr="00BA4F0F" w:rsidRDefault="0075793D" w:rsidP="005E0272">
      <w:pPr>
        <w:numPr>
          <w:ilvl w:val="0"/>
          <w:numId w:val="147"/>
        </w:numPr>
        <w:tabs>
          <w:tab w:val="left" w:pos="0"/>
          <w:tab w:val="left" w:pos="567"/>
        </w:tabs>
        <w:ind w:left="0" w:firstLine="0"/>
        <w:rPr>
          <w:rFonts w:cs="Times New Roman"/>
          <w:szCs w:val="24"/>
        </w:rPr>
      </w:pPr>
      <w:r w:rsidRPr="00BA4F0F">
        <w:rPr>
          <w:rFonts w:cs="Times New Roman"/>
          <w:szCs w:val="24"/>
        </w:rPr>
        <w:t>Активный опрос больного относительно возможных симптомов инфекции, включая наличие болей по ходу пищевода, в промежности.</w:t>
      </w:r>
    </w:p>
    <w:p w14:paraId="3CFB2704" w14:textId="77777777" w:rsidR="0075793D" w:rsidRPr="00BA4F0F" w:rsidRDefault="0075793D" w:rsidP="005E0272">
      <w:pPr>
        <w:numPr>
          <w:ilvl w:val="0"/>
          <w:numId w:val="147"/>
        </w:numPr>
        <w:tabs>
          <w:tab w:val="left" w:pos="0"/>
          <w:tab w:val="left" w:pos="567"/>
        </w:tabs>
        <w:ind w:left="0" w:firstLine="0"/>
        <w:rPr>
          <w:rFonts w:cs="Times New Roman"/>
          <w:szCs w:val="24"/>
        </w:rPr>
      </w:pPr>
      <w:r w:rsidRPr="00BA4F0F">
        <w:rPr>
          <w:rFonts w:cs="Times New Roman"/>
          <w:szCs w:val="24"/>
        </w:rPr>
        <w:t>Ежедневный осмотр слизистой оболочки полости рта при нейтропении, особенно периодонта. Обращают внимание на рыхлость, отек слизистой оболочки (мукозит), наличие налетов, язв.</w:t>
      </w:r>
    </w:p>
    <w:p w14:paraId="0A14954E" w14:textId="77777777" w:rsidR="0075793D" w:rsidRPr="00BA4F0F" w:rsidRDefault="0075793D" w:rsidP="005E0272">
      <w:pPr>
        <w:numPr>
          <w:ilvl w:val="0"/>
          <w:numId w:val="147"/>
        </w:numPr>
        <w:tabs>
          <w:tab w:val="left" w:pos="0"/>
          <w:tab w:val="left" w:pos="567"/>
        </w:tabs>
        <w:ind w:left="0" w:firstLine="0"/>
        <w:rPr>
          <w:rFonts w:cs="Times New Roman"/>
          <w:szCs w:val="24"/>
        </w:rPr>
      </w:pPr>
      <w:r w:rsidRPr="00BA4F0F">
        <w:rPr>
          <w:rFonts w:cs="Times New Roman"/>
          <w:szCs w:val="24"/>
        </w:rPr>
        <w:t>Осмотр кожи в отношении возможного появления септикопиемических очагов при лихорадке, даже в отсутствие жалоб больного. При лечении глюкокортикоидами септикопиемические очаги могут быть и при нормальной температуре.</w:t>
      </w:r>
    </w:p>
    <w:p w14:paraId="52B08470" w14:textId="77777777" w:rsidR="0075793D" w:rsidRPr="00BA4F0F" w:rsidRDefault="0075793D" w:rsidP="005E0272">
      <w:pPr>
        <w:numPr>
          <w:ilvl w:val="0"/>
          <w:numId w:val="147"/>
        </w:numPr>
        <w:tabs>
          <w:tab w:val="left" w:pos="0"/>
          <w:tab w:val="left" w:pos="567"/>
        </w:tabs>
        <w:ind w:left="0" w:firstLine="0"/>
        <w:rPr>
          <w:rFonts w:cs="Times New Roman"/>
          <w:szCs w:val="24"/>
        </w:rPr>
      </w:pPr>
      <w:r w:rsidRPr="00BA4F0F">
        <w:rPr>
          <w:rFonts w:cs="Times New Roman"/>
          <w:szCs w:val="24"/>
        </w:rPr>
        <w:t xml:space="preserve">Осмотр места установки венозного катетера. </w:t>
      </w:r>
    </w:p>
    <w:p w14:paraId="58D591E1" w14:textId="77777777" w:rsidR="0075793D" w:rsidRPr="00BA4F0F" w:rsidRDefault="0075793D" w:rsidP="005E0272">
      <w:pPr>
        <w:numPr>
          <w:ilvl w:val="0"/>
          <w:numId w:val="147"/>
        </w:numPr>
        <w:tabs>
          <w:tab w:val="left" w:pos="0"/>
          <w:tab w:val="left" w:pos="567"/>
        </w:tabs>
        <w:ind w:left="0" w:firstLine="0"/>
        <w:rPr>
          <w:rFonts w:cs="Times New Roman"/>
          <w:szCs w:val="24"/>
        </w:rPr>
      </w:pPr>
      <w:r w:rsidRPr="00BA4F0F">
        <w:rPr>
          <w:rFonts w:cs="Times New Roman"/>
          <w:szCs w:val="24"/>
        </w:rPr>
        <w:t xml:space="preserve">Внимательная аускультация грудной клетки. Жесткое дыхание в отсутствие хрипов, минимальное количество влажных хрипов на ограниченном участке могут быть начальным проявлением пневмонии. </w:t>
      </w:r>
    </w:p>
    <w:p w14:paraId="144A52BC" w14:textId="77777777" w:rsidR="0075793D" w:rsidRPr="00BA4F0F" w:rsidRDefault="0075793D" w:rsidP="005E0272">
      <w:pPr>
        <w:numPr>
          <w:ilvl w:val="0"/>
          <w:numId w:val="147"/>
        </w:numPr>
        <w:tabs>
          <w:tab w:val="left" w:pos="0"/>
          <w:tab w:val="left" w:pos="567"/>
        </w:tabs>
        <w:ind w:left="0" w:firstLine="0"/>
        <w:rPr>
          <w:rFonts w:cs="Times New Roman"/>
          <w:szCs w:val="24"/>
        </w:rPr>
      </w:pPr>
      <w:r w:rsidRPr="00BA4F0F">
        <w:rPr>
          <w:rFonts w:cs="Times New Roman"/>
          <w:szCs w:val="24"/>
        </w:rPr>
        <w:t>Тщательная пальпация живота. Первые симптомы псевдомембранозного колита — это появление боли или «урчание» при пальпации в правой подвздошной области (область слепой кишки).</w:t>
      </w:r>
    </w:p>
    <w:p w14:paraId="0254C2A7" w14:textId="77777777" w:rsidR="0075793D" w:rsidRPr="00BA4F0F" w:rsidRDefault="0075793D" w:rsidP="0075793D">
      <w:pPr>
        <w:tabs>
          <w:tab w:val="left" w:pos="0"/>
          <w:tab w:val="left" w:pos="567"/>
        </w:tabs>
        <w:rPr>
          <w:rFonts w:cs="Times New Roman"/>
          <w:szCs w:val="24"/>
        </w:rPr>
      </w:pPr>
    </w:p>
    <w:p w14:paraId="08BC37AB" w14:textId="77777777" w:rsidR="0075793D" w:rsidRPr="00BA4F0F" w:rsidRDefault="0075793D" w:rsidP="0075793D">
      <w:pPr>
        <w:pStyle w:val="afe"/>
        <w:ind w:left="0"/>
        <w:rPr>
          <w:rFonts w:cs="Times New Roman"/>
          <w:b/>
          <w:i/>
          <w:szCs w:val="24"/>
        </w:rPr>
      </w:pPr>
      <w:r w:rsidRPr="00BA4F0F">
        <w:rPr>
          <w:rFonts w:cs="Times New Roman"/>
          <w:b/>
          <w:i/>
          <w:szCs w:val="24"/>
        </w:rPr>
        <w:t>Микробиологические исследования</w:t>
      </w:r>
    </w:p>
    <w:p w14:paraId="37B05B0A" w14:textId="77777777" w:rsidR="0075793D" w:rsidRPr="00BA4F0F" w:rsidRDefault="0075793D" w:rsidP="0075793D">
      <w:pPr>
        <w:pStyle w:val="afe"/>
        <w:ind w:left="0"/>
        <w:rPr>
          <w:rFonts w:cs="Times New Roman"/>
          <w:i/>
          <w:szCs w:val="24"/>
        </w:rPr>
      </w:pPr>
      <w:r w:rsidRPr="00BA4F0F">
        <w:rPr>
          <w:rFonts w:cs="Times New Roman"/>
          <w:i/>
          <w:szCs w:val="24"/>
        </w:rPr>
        <w:t>Микробиологическое исследование крови</w:t>
      </w:r>
    </w:p>
    <w:p w14:paraId="03A156C9" w14:textId="77777777" w:rsidR="0075793D" w:rsidRPr="00BA4F0F" w:rsidRDefault="0075793D" w:rsidP="005E0272">
      <w:pPr>
        <w:numPr>
          <w:ilvl w:val="0"/>
          <w:numId w:val="152"/>
        </w:numPr>
        <w:tabs>
          <w:tab w:val="left" w:pos="0"/>
          <w:tab w:val="left" w:pos="567"/>
        </w:tabs>
        <w:ind w:left="0" w:firstLine="0"/>
        <w:rPr>
          <w:rFonts w:cs="Times New Roman"/>
          <w:szCs w:val="24"/>
        </w:rPr>
      </w:pPr>
      <w:r w:rsidRPr="00BA4F0F">
        <w:rPr>
          <w:rFonts w:cs="Times New Roman"/>
          <w:szCs w:val="24"/>
        </w:rPr>
        <w:t xml:space="preserve">Показания — температура ≥ 38°С или наличие септикопиемических очагов на коже. </w:t>
      </w:r>
    </w:p>
    <w:p w14:paraId="5F8AFE23" w14:textId="77777777" w:rsidR="0075793D" w:rsidRPr="00BA4F0F" w:rsidRDefault="0075793D" w:rsidP="005E0272">
      <w:pPr>
        <w:numPr>
          <w:ilvl w:val="0"/>
          <w:numId w:val="148"/>
        </w:numPr>
        <w:tabs>
          <w:tab w:val="left" w:pos="0"/>
          <w:tab w:val="left" w:pos="567"/>
        </w:tabs>
        <w:ind w:left="0" w:firstLine="0"/>
        <w:rPr>
          <w:rFonts w:cs="Times New Roman"/>
          <w:szCs w:val="24"/>
        </w:rPr>
      </w:pPr>
      <w:r w:rsidRPr="00BA4F0F">
        <w:rPr>
          <w:rFonts w:cs="Times New Roman"/>
          <w:szCs w:val="24"/>
        </w:rPr>
        <w:t xml:space="preserve">Кровь из вены берут до введения антибиотиков в два флакона (аэробы/анаэробы или аэробы/аэробы) одновременно из вены и из ЦВК или из разных вен; при перитоните или абдоминальной операции в два разных флакона (для аэробов и для анаэробов); при бактериальном эндокардите — 3 раза с интервалом 1—2 часа; при подозрении на катетер-ассоциированную инфекцию — одновременно из вены и из ЦВК во флаконы для автоматического бактериологического анализатора гемокультур (Bactek или другие автоматические анализаторы). На основании разницы во времени (2 часа и более) появления роста микроорганизмов можно предположить инфицирование венозного катетера. При катетер-ассоциированной инфекции положительная гемокультура из ЦВК опережает на 2 часа и более положительную гемокультуру из вены. </w:t>
      </w:r>
    </w:p>
    <w:p w14:paraId="7244697E" w14:textId="77777777" w:rsidR="0075793D" w:rsidRPr="00BA4F0F" w:rsidRDefault="0075793D" w:rsidP="005E0272">
      <w:pPr>
        <w:numPr>
          <w:ilvl w:val="0"/>
          <w:numId w:val="148"/>
        </w:numPr>
        <w:tabs>
          <w:tab w:val="left" w:pos="0"/>
          <w:tab w:val="left" w:pos="567"/>
        </w:tabs>
        <w:ind w:left="0" w:firstLine="0"/>
        <w:rPr>
          <w:rFonts w:cs="Times New Roman"/>
          <w:szCs w:val="24"/>
        </w:rPr>
      </w:pPr>
      <w:r w:rsidRPr="00BA4F0F">
        <w:rPr>
          <w:rFonts w:cs="Times New Roman"/>
          <w:szCs w:val="24"/>
        </w:rPr>
        <w:t xml:space="preserve">Взятие крови для микробиологического исследования следует проводить в период повышения температуры (≥ 38°С) с максимальным соблюдением правил асептики, чтобы исключить вероятность контаминации культуральной среды микробами с кожи. Медсестра должна проводить взятие крови в перчатках и в маске; кожа больного в месте венепункции тщательно обрабатывается дезинфицирующим раствором (дезинфицирующий раствор должен высохнуть); после обработки кожи дезинфицирующим раствором не проводят повторную пальпацию вены для определения места венепункции. </w:t>
      </w:r>
    </w:p>
    <w:p w14:paraId="458FEC60" w14:textId="77777777" w:rsidR="0075793D" w:rsidRPr="00BA4F0F" w:rsidRDefault="0075793D" w:rsidP="005E0272">
      <w:pPr>
        <w:numPr>
          <w:ilvl w:val="0"/>
          <w:numId w:val="148"/>
        </w:numPr>
        <w:tabs>
          <w:tab w:val="left" w:pos="0"/>
          <w:tab w:val="left" w:pos="567"/>
        </w:tabs>
        <w:ind w:left="0" w:firstLine="0"/>
        <w:rPr>
          <w:rFonts w:cs="Times New Roman"/>
          <w:szCs w:val="24"/>
        </w:rPr>
      </w:pPr>
      <w:r w:rsidRPr="00BA4F0F">
        <w:rPr>
          <w:rFonts w:cs="Times New Roman"/>
          <w:szCs w:val="24"/>
        </w:rPr>
        <w:t xml:space="preserve">Крайне важным является взятие достаточного количества крови для гемокультуры – за одно исследование у взрослых суммарно берут 20-30 мл крови в 2-3 флакона (по 10 мл каждый флакон). </w:t>
      </w:r>
    </w:p>
    <w:p w14:paraId="3D6C0467" w14:textId="77777777" w:rsidR="0075793D" w:rsidRPr="00BA4F0F" w:rsidRDefault="0075793D" w:rsidP="005E0272">
      <w:pPr>
        <w:numPr>
          <w:ilvl w:val="0"/>
          <w:numId w:val="148"/>
        </w:numPr>
        <w:tabs>
          <w:tab w:val="left" w:pos="0"/>
          <w:tab w:val="left" w:pos="567"/>
        </w:tabs>
        <w:ind w:left="0" w:firstLine="0"/>
        <w:rPr>
          <w:rFonts w:cs="Times New Roman"/>
          <w:szCs w:val="24"/>
        </w:rPr>
      </w:pPr>
      <w:r w:rsidRPr="00BA4F0F">
        <w:rPr>
          <w:rFonts w:cs="Times New Roman"/>
          <w:szCs w:val="24"/>
        </w:rPr>
        <w:t>Не направляют в лабораторию на исследование гемокультуру из ЦВК без гемокультуры из вены.</w:t>
      </w:r>
    </w:p>
    <w:p w14:paraId="73F1C1FA" w14:textId="77777777" w:rsidR="0075793D" w:rsidRPr="00BA4F0F" w:rsidRDefault="0075793D" w:rsidP="005E0272">
      <w:pPr>
        <w:numPr>
          <w:ilvl w:val="0"/>
          <w:numId w:val="148"/>
        </w:numPr>
        <w:tabs>
          <w:tab w:val="left" w:pos="0"/>
          <w:tab w:val="left" w:pos="567"/>
        </w:tabs>
        <w:ind w:left="0" w:firstLine="0"/>
        <w:rPr>
          <w:rFonts w:cs="Times New Roman"/>
          <w:szCs w:val="24"/>
        </w:rPr>
      </w:pPr>
      <w:r w:rsidRPr="00BA4F0F">
        <w:rPr>
          <w:rFonts w:cs="Times New Roman"/>
          <w:szCs w:val="24"/>
        </w:rPr>
        <w:t>Нельзя флаконы с гемокультурой ставить в холодильник.</w:t>
      </w:r>
    </w:p>
    <w:p w14:paraId="1CAB7681" w14:textId="77777777" w:rsidR="0075793D" w:rsidRPr="00BA4F0F" w:rsidRDefault="0075793D" w:rsidP="0075793D">
      <w:pPr>
        <w:tabs>
          <w:tab w:val="left" w:pos="0"/>
          <w:tab w:val="left" w:pos="567"/>
        </w:tabs>
        <w:ind w:firstLine="567"/>
        <w:rPr>
          <w:rFonts w:cs="Times New Roman"/>
          <w:szCs w:val="24"/>
        </w:rPr>
      </w:pPr>
      <w:r w:rsidRPr="00BA4F0F">
        <w:rPr>
          <w:rFonts w:cs="Times New Roman"/>
          <w:i/>
          <w:szCs w:val="24"/>
        </w:rPr>
        <w:t>Примечание.</w:t>
      </w:r>
      <w:r w:rsidRPr="00BA4F0F">
        <w:rPr>
          <w:rFonts w:cs="Times New Roman"/>
          <w:szCs w:val="24"/>
        </w:rPr>
        <w:t xml:space="preserve"> Выделение коагулазанегативных стафилококков (основную долю которых составляет </w:t>
      </w:r>
      <w:r w:rsidRPr="00BA4F0F">
        <w:rPr>
          <w:rFonts w:cs="Times New Roman"/>
          <w:i/>
          <w:szCs w:val="24"/>
        </w:rPr>
        <w:t>Staphylococcus epidermidis</w:t>
      </w:r>
      <w:r w:rsidRPr="00BA4F0F">
        <w:rPr>
          <w:rFonts w:cs="Times New Roman"/>
          <w:szCs w:val="24"/>
        </w:rPr>
        <w:t xml:space="preserve">) должно быть подтверждено двумя гемокультурами, поскольку высока вероятность контаминации этими микроорганизмами исследуемых образцов крови (облигатная микрофлора). Это относится и к </w:t>
      </w:r>
      <w:r w:rsidRPr="00BA4F0F">
        <w:rPr>
          <w:rFonts w:cs="Times New Roman"/>
          <w:i/>
          <w:szCs w:val="24"/>
        </w:rPr>
        <w:t>Corynebacterium spp</w:t>
      </w:r>
      <w:r w:rsidRPr="00BA4F0F">
        <w:rPr>
          <w:rFonts w:cs="Times New Roman"/>
          <w:szCs w:val="24"/>
        </w:rPr>
        <w:t xml:space="preserve">. Повторное исследование проводится максимально близко по времени к первому исследованию. </w:t>
      </w:r>
    </w:p>
    <w:p w14:paraId="78EDEEE1" w14:textId="77777777" w:rsidR="0075793D" w:rsidRPr="00BA4F0F" w:rsidRDefault="0075793D" w:rsidP="0075793D">
      <w:pPr>
        <w:pStyle w:val="afe"/>
        <w:ind w:left="0"/>
        <w:rPr>
          <w:rFonts w:cs="Times New Roman"/>
          <w:i/>
          <w:szCs w:val="24"/>
        </w:rPr>
      </w:pPr>
    </w:p>
    <w:p w14:paraId="5AF21A88" w14:textId="77777777" w:rsidR="0075793D" w:rsidRPr="00BA4F0F" w:rsidRDefault="0075793D" w:rsidP="0075793D">
      <w:pPr>
        <w:pStyle w:val="afe"/>
        <w:ind w:left="0"/>
        <w:rPr>
          <w:rFonts w:cs="Times New Roman"/>
          <w:i/>
          <w:szCs w:val="24"/>
        </w:rPr>
      </w:pPr>
      <w:r w:rsidRPr="00BA4F0F">
        <w:rPr>
          <w:rFonts w:cs="Times New Roman"/>
          <w:i/>
          <w:szCs w:val="24"/>
        </w:rPr>
        <w:t>Микробиологическое исследование крови, взятой одновременно из вены и из центрального венозного катетера, при подозрении на катетер-ассоциированную инфекцию</w:t>
      </w:r>
    </w:p>
    <w:p w14:paraId="14F0C9B9" w14:textId="77777777" w:rsidR="0075793D" w:rsidRPr="00BA4F0F" w:rsidRDefault="0075793D" w:rsidP="005E0272">
      <w:pPr>
        <w:numPr>
          <w:ilvl w:val="0"/>
          <w:numId w:val="149"/>
        </w:numPr>
        <w:tabs>
          <w:tab w:val="left" w:pos="0"/>
          <w:tab w:val="left" w:pos="567"/>
        </w:tabs>
        <w:ind w:left="0" w:firstLine="0"/>
        <w:rPr>
          <w:rFonts w:cs="Times New Roman"/>
          <w:szCs w:val="24"/>
        </w:rPr>
      </w:pPr>
      <w:r w:rsidRPr="00BA4F0F">
        <w:rPr>
          <w:rFonts w:cs="Times New Roman"/>
          <w:szCs w:val="24"/>
        </w:rPr>
        <w:t>Показания:</w:t>
      </w:r>
    </w:p>
    <w:p w14:paraId="74776A69" w14:textId="77777777" w:rsidR="0075793D" w:rsidRPr="00BA4F0F" w:rsidRDefault="0075793D" w:rsidP="005E0272">
      <w:pPr>
        <w:numPr>
          <w:ilvl w:val="0"/>
          <w:numId w:val="150"/>
        </w:numPr>
        <w:tabs>
          <w:tab w:val="left" w:pos="0"/>
          <w:tab w:val="left" w:pos="567"/>
        </w:tabs>
        <w:ind w:left="0" w:firstLine="0"/>
        <w:rPr>
          <w:rFonts w:cs="Times New Roman"/>
          <w:szCs w:val="24"/>
        </w:rPr>
      </w:pPr>
      <w:r w:rsidRPr="00BA4F0F">
        <w:rPr>
          <w:rFonts w:cs="Times New Roman"/>
          <w:szCs w:val="24"/>
        </w:rPr>
        <w:t xml:space="preserve">Гиперемия (инфильтрат) в месте установки катетера. </w:t>
      </w:r>
    </w:p>
    <w:p w14:paraId="243A44CB" w14:textId="77777777" w:rsidR="0075793D" w:rsidRPr="00BA4F0F" w:rsidRDefault="0075793D" w:rsidP="005E0272">
      <w:pPr>
        <w:numPr>
          <w:ilvl w:val="0"/>
          <w:numId w:val="150"/>
        </w:numPr>
        <w:tabs>
          <w:tab w:val="left" w:pos="0"/>
          <w:tab w:val="left" w:pos="567"/>
        </w:tabs>
        <w:ind w:left="0" w:firstLine="0"/>
        <w:rPr>
          <w:rFonts w:cs="Times New Roman"/>
          <w:szCs w:val="24"/>
        </w:rPr>
      </w:pPr>
      <w:r w:rsidRPr="00BA4F0F">
        <w:rPr>
          <w:rFonts w:cs="Times New Roman"/>
          <w:szCs w:val="24"/>
        </w:rPr>
        <w:t xml:space="preserve">Повышение температуры сопряжено с инфузиями в катетер. </w:t>
      </w:r>
    </w:p>
    <w:p w14:paraId="6A6DE2F4" w14:textId="77777777" w:rsidR="0075793D" w:rsidRPr="00BA4F0F" w:rsidRDefault="0075793D" w:rsidP="005E0272">
      <w:pPr>
        <w:numPr>
          <w:ilvl w:val="0"/>
          <w:numId w:val="150"/>
        </w:numPr>
        <w:tabs>
          <w:tab w:val="left" w:pos="0"/>
          <w:tab w:val="left" w:pos="567"/>
        </w:tabs>
        <w:ind w:left="0" w:firstLine="0"/>
        <w:rPr>
          <w:rFonts w:cs="Times New Roman"/>
          <w:szCs w:val="24"/>
        </w:rPr>
      </w:pPr>
      <w:r w:rsidRPr="00BA4F0F">
        <w:rPr>
          <w:rFonts w:cs="Times New Roman"/>
          <w:szCs w:val="24"/>
        </w:rPr>
        <w:t xml:space="preserve">Плохая проходимость катетера (проблемы при промывании или заборе крови из катетера). </w:t>
      </w:r>
    </w:p>
    <w:p w14:paraId="14A8A839" w14:textId="77777777" w:rsidR="0075793D" w:rsidRPr="00BA4F0F" w:rsidRDefault="0075793D" w:rsidP="005E0272">
      <w:pPr>
        <w:numPr>
          <w:ilvl w:val="0"/>
          <w:numId w:val="150"/>
        </w:numPr>
        <w:tabs>
          <w:tab w:val="left" w:pos="0"/>
          <w:tab w:val="left" w:pos="567"/>
        </w:tabs>
        <w:ind w:left="0" w:firstLine="0"/>
        <w:rPr>
          <w:rFonts w:cs="Times New Roman"/>
          <w:szCs w:val="24"/>
        </w:rPr>
      </w:pPr>
      <w:r w:rsidRPr="00BA4F0F">
        <w:rPr>
          <w:rFonts w:cs="Times New Roman"/>
          <w:szCs w:val="24"/>
        </w:rPr>
        <w:t>Возникновение температуры &gt; 38°С при восстановлении числа нейтрофилов (число гранулоцитов &gt; 0,5 × 10</w:t>
      </w:r>
      <w:r w:rsidRPr="00BA4F0F">
        <w:rPr>
          <w:rFonts w:cs="Times New Roman"/>
          <w:szCs w:val="24"/>
          <w:vertAlign w:val="superscript"/>
        </w:rPr>
        <w:t>9</w:t>
      </w:r>
      <w:r w:rsidRPr="00BA4F0F">
        <w:rPr>
          <w:rFonts w:cs="Times New Roman"/>
          <w:szCs w:val="24"/>
        </w:rPr>
        <w:t xml:space="preserve"> /л). </w:t>
      </w:r>
    </w:p>
    <w:p w14:paraId="254A56AB" w14:textId="77777777" w:rsidR="0075793D" w:rsidRPr="00BA4F0F" w:rsidRDefault="0075793D" w:rsidP="005E0272">
      <w:pPr>
        <w:numPr>
          <w:ilvl w:val="0"/>
          <w:numId w:val="150"/>
        </w:numPr>
        <w:tabs>
          <w:tab w:val="left" w:pos="0"/>
          <w:tab w:val="left" w:pos="567"/>
        </w:tabs>
        <w:ind w:left="0" w:firstLine="0"/>
        <w:rPr>
          <w:rFonts w:cs="Times New Roman"/>
          <w:szCs w:val="24"/>
        </w:rPr>
      </w:pPr>
      <w:r w:rsidRPr="00BA4F0F">
        <w:rPr>
          <w:rFonts w:cs="Times New Roman"/>
          <w:szCs w:val="24"/>
        </w:rPr>
        <w:t>Возникновение температуры &gt; 38°С вне нейтропении (число гранулоцитов &gt; 0,5 × 10</w:t>
      </w:r>
      <w:r w:rsidRPr="00BA4F0F">
        <w:rPr>
          <w:rFonts w:cs="Times New Roman"/>
          <w:szCs w:val="24"/>
          <w:vertAlign w:val="superscript"/>
        </w:rPr>
        <w:t>9</w:t>
      </w:r>
      <w:r w:rsidRPr="00BA4F0F">
        <w:rPr>
          <w:rFonts w:cs="Times New Roman"/>
          <w:szCs w:val="24"/>
        </w:rPr>
        <w:t xml:space="preserve"> /л) и наличие центрального венозного катетера, давность установки которого ≥ 7 дней. </w:t>
      </w:r>
    </w:p>
    <w:p w14:paraId="2FEBAE4C" w14:textId="77777777" w:rsidR="0075793D" w:rsidRPr="00BA4F0F" w:rsidRDefault="0075793D" w:rsidP="0075793D">
      <w:pPr>
        <w:tabs>
          <w:tab w:val="left" w:pos="0"/>
          <w:tab w:val="left" w:pos="567"/>
        </w:tabs>
        <w:rPr>
          <w:rFonts w:cs="Times New Roman"/>
          <w:szCs w:val="24"/>
        </w:rPr>
      </w:pPr>
      <w:r w:rsidRPr="00BA4F0F">
        <w:rPr>
          <w:rFonts w:cs="Times New Roman"/>
          <w:i/>
          <w:szCs w:val="24"/>
        </w:rPr>
        <w:t>Примечание.</w:t>
      </w:r>
      <w:r w:rsidRPr="00BA4F0F">
        <w:rPr>
          <w:rFonts w:cs="Times New Roman"/>
          <w:szCs w:val="24"/>
        </w:rPr>
        <w:t xml:space="preserve"> Чаще всего катетер-ассоциированная инфекция развивается вне периода нейтропении или в период восстановления числа нейтрофилов. </w:t>
      </w:r>
    </w:p>
    <w:p w14:paraId="7F8A5AB8" w14:textId="77777777" w:rsidR="0075793D" w:rsidRPr="00BA4F0F" w:rsidRDefault="0075793D" w:rsidP="005E0272">
      <w:pPr>
        <w:numPr>
          <w:ilvl w:val="0"/>
          <w:numId w:val="151"/>
        </w:numPr>
        <w:tabs>
          <w:tab w:val="left" w:pos="0"/>
          <w:tab w:val="left" w:pos="567"/>
        </w:tabs>
        <w:ind w:left="0" w:firstLine="0"/>
        <w:rPr>
          <w:rFonts w:cs="Times New Roman"/>
          <w:szCs w:val="24"/>
        </w:rPr>
      </w:pPr>
      <w:r w:rsidRPr="00BA4F0F">
        <w:rPr>
          <w:rFonts w:cs="Times New Roman"/>
          <w:szCs w:val="24"/>
        </w:rPr>
        <w:t xml:space="preserve">При сохраняющейся температуре (≥ 38°С) посевы крови проводят каждые 4—5 дней. </w:t>
      </w:r>
    </w:p>
    <w:p w14:paraId="79C73F20" w14:textId="77777777" w:rsidR="0075793D" w:rsidRPr="00BA4F0F" w:rsidRDefault="0075793D" w:rsidP="0075793D">
      <w:pPr>
        <w:tabs>
          <w:tab w:val="left" w:pos="0"/>
          <w:tab w:val="left" w:pos="567"/>
        </w:tabs>
        <w:jc w:val="center"/>
        <w:rPr>
          <w:rFonts w:cs="Times New Roman"/>
          <w:b/>
          <w:szCs w:val="24"/>
        </w:rPr>
      </w:pPr>
    </w:p>
    <w:p w14:paraId="6BCD993F" w14:textId="77777777" w:rsidR="0075793D" w:rsidRPr="00BA4F0F" w:rsidRDefault="0075793D" w:rsidP="0075793D">
      <w:pPr>
        <w:pStyle w:val="afe"/>
        <w:ind w:left="0"/>
        <w:rPr>
          <w:rFonts w:cs="Times New Roman"/>
          <w:i/>
          <w:szCs w:val="24"/>
        </w:rPr>
      </w:pPr>
      <w:r w:rsidRPr="00BA4F0F">
        <w:rPr>
          <w:rFonts w:cs="Times New Roman"/>
          <w:i/>
          <w:szCs w:val="24"/>
        </w:rPr>
        <w:t>Микробиологическое исследование центрального внутривенного катетера</w:t>
      </w:r>
    </w:p>
    <w:p w14:paraId="497CF202" w14:textId="77777777" w:rsidR="0075793D" w:rsidRPr="00BA4F0F" w:rsidRDefault="0075793D" w:rsidP="0075793D">
      <w:pPr>
        <w:tabs>
          <w:tab w:val="left" w:pos="0"/>
          <w:tab w:val="left" w:pos="567"/>
        </w:tabs>
        <w:rPr>
          <w:rFonts w:cs="Times New Roman"/>
          <w:szCs w:val="24"/>
        </w:rPr>
      </w:pPr>
      <w:r w:rsidRPr="00BA4F0F">
        <w:rPr>
          <w:rFonts w:cs="Times New Roman"/>
          <w:szCs w:val="24"/>
        </w:rPr>
        <w:t>Катетер удаляют и направляют на исследование в бактериологическую лабораторию.</w:t>
      </w:r>
    </w:p>
    <w:p w14:paraId="595D14C3" w14:textId="77777777" w:rsidR="0075793D" w:rsidRPr="00BA4F0F" w:rsidRDefault="0075793D" w:rsidP="005E0272">
      <w:pPr>
        <w:numPr>
          <w:ilvl w:val="0"/>
          <w:numId w:val="151"/>
        </w:numPr>
        <w:tabs>
          <w:tab w:val="left" w:pos="0"/>
          <w:tab w:val="left" w:pos="567"/>
        </w:tabs>
        <w:ind w:left="0" w:firstLine="0"/>
        <w:rPr>
          <w:rFonts w:cs="Times New Roman"/>
          <w:szCs w:val="24"/>
        </w:rPr>
      </w:pPr>
      <w:r w:rsidRPr="00BA4F0F">
        <w:rPr>
          <w:rFonts w:cs="Times New Roman"/>
          <w:szCs w:val="24"/>
        </w:rPr>
        <w:t>Показания:</w:t>
      </w:r>
    </w:p>
    <w:p w14:paraId="62F2551B" w14:textId="77777777" w:rsidR="0075793D" w:rsidRPr="00BA4F0F" w:rsidRDefault="0075793D" w:rsidP="005E0272">
      <w:pPr>
        <w:numPr>
          <w:ilvl w:val="0"/>
          <w:numId w:val="153"/>
        </w:numPr>
        <w:tabs>
          <w:tab w:val="left" w:pos="0"/>
          <w:tab w:val="left" w:pos="567"/>
        </w:tabs>
        <w:ind w:left="0" w:firstLine="0"/>
        <w:rPr>
          <w:rFonts w:cs="Times New Roman"/>
          <w:szCs w:val="24"/>
        </w:rPr>
      </w:pPr>
      <w:r w:rsidRPr="00BA4F0F">
        <w:rPr>
          <w:rFonts w:cs="Times New Roman"/>
          <w:szCs w:val="24"/>
        </w:rPr>
        <w:t xml:space="preserve">Подозрение на катетер-ассоциированную инфекцию. </w:t>
      </w:r>
    </w:p>
    <w:p w14:paraId="05B7C59A" w14:textId="77777777" w:rsidR="0075793D" w:rsidRPr="00BA4F0F" w:rsidRDefault="0075793D" w:rsidP="005E0272">
      <w:pPr>
        <w:numPr>
          <w:ilvl w:val="0"/>
          <w:numId w:val="153"/>
        </w:numPr>
        <w:tabs>
          <w:tab w:val="left" w:pos="0"/>
          <w:tab w:val="left" w:pos="567"/>
        </w:tabs>
        <w:ind w:left="0" w:firstLine="0"/>
        <w:rPr>
          <w:rFonts w:cs="Times New Roman"/>
          <w:szCs w:val="24"/>
        </w:rPr>
      </w:pPr>
      <w:r w:rsidRPr="00BA4F0F">
        <w:rPr>
          <w:rFonts w:cs="Times New Roman"/>
          <w:szCs w:val="24"/>
        </w:rPr>
        <w:t xml:space="preserve">Выделение дрожжевых или мицелиальных грибов из крови. </w:t>
      </w:r>
    </w:p>
    <w:p w14:paraId="762461C9" w14:textId="77777777" w:rsidR="0075793D" w:rsidRPr="00BA4F0F" w:rsidRDefault="0075793D" w:rsidP="005E0272">
      <w:pPr>
        <w:numPr>
          <w:ilvl w:val="0"/>
          <w:numId w:val="153"/>
        </w:numPr>
        <w:tabs>
          <w:tab w:val="left" w:pos="0"/>
          <w:tab w:val="left" w:pos="567"/>
        </w:tabs>
        <w:ind w:left="0" w:firstLine="0"/>
        <w:rPr>
          <w:rFonts w:cs="Times New Roman"/>
          <w:szCs w:val="24"/>
        </w:rPr>
      </w:pPr>
      <w:r w:rsidRPr="00BA4F0F">
        <w:rPr>
          <w:rFonts w:cs="Times New Roman"/>
          <w:szCs w:val="24"/>
        </w:rPr>
        <w:t xml:space="preserve">Перевод больного из другого стационара с ЦВК. </w:t>
      </w:r>
    </w:p>
    <w:p w14:paraId="6CC848BD" w14:textId="77777777" w:rsidR="0075793D" w:rsidRPr="00BA4F0F" w:rsidRDefault="0075793D" w:rsidP="005E0272">
      <w:pPr>
        <w:numPr>
          <w:ilvl w:val="0"/>
          <w:numId w:val="153"/>
        </w:numPr>
        <w:tabs>
          <w:tab w:val="left" w:pos="0"/>
          <w:tab w:val="left" w:pos="567"/>
        </w:tabs>
        <w:ind w:left="0" w:firstLine="0"/>
        <w:rPr>
          <w:rFonts w:cs="Times New Roman"/>
          <w:szCs w:val="24"/>
        </w:rPr>
      </w:pPr>
      <w:r w:rsidRPr="00BA4F0F">
        <w:rPr>
          <w:rFonts w:cs="Times New Roman"/>
          <w:szCs w:val="24"/>
        </w:rPr>
        <w:t xml:space="preserve">Восстановление числа гранулоцитов у больных сепсисом, обусловленным грамотрицательными бактериями. </w:t>
      </w:r>
    </w:p>
    <w:p w14:paraId="5A9B6A14" w14:textId="77777777" w:rsidR="0075793D" w:rsidRPr="00BA4F0F" w:rsidRDefault="0075793D" w:rsidP="0075793D">
      <w:pPr>
        <w:tabs>
          <w:tab w:val="left" w:pos="0"/>
          <w:tab w:val="left" w:pos="567"/>
        </w:tabs>
        <w:rPr>
          <w:rFonts w:cs="Times New Roman"/>
          <w:szCs w:val="24"/>
        </w:rPr>
      </w:pPr>
      <w:r w:rsidRPr="00BA4F0F">
        <w:rPr>
          <w:rFonts w:cs="Times New Roman"/>
          <w:i/>
          <w:szCs w:val="24"/>
        </w:rPr>
        <w:t>Примечание.</w:t>
      </w:r>
      <w:r w:rsidRPr="00BA4F0F">
        <w:rPr>
          <w:rFonts w:cs="Times New Roman"/>
          <w:szCs w:val="24"/>
        </w:rPr>
        <w:t xml:space="preserve"> Если больной переведен из другого стационара с ЦВК, то катетер удаляют в день поступления в другую клинику.</w:t>
      </w:r>
    </w:p>
    <w:p w14:paraId="17415F01" w14:textId="77777777" w:rsidR="0075793D" w:rsidRPr="00BA4F0F" w:rsidRDefault="0075793D" w:rsidP="005E0272">
      <w:pPr>
        <w:numPr>
          <w:ilvl w:val="0"/>
          <w:numId w:val="154"/>
        </w:numPr>
        <w:tabs>
          <w:tab w:val="left" w:pos="0"/>
          <w:tab w:val="left" w:pos="567"/>
        </w:tabs>
        <w:ind w:left="0" w:firstLine="0"/>
        <w:rPr>
          <w:rFonts w:cs="Times New Roman"/>
          <w:szCs w:val="24"/>
        </w:rPr>
      </w:pPr>
      <w:r w:rsidRPr="00BA4F0F">
        <w:rPr>
          <w:rFonts w:cs="Times New Roman"/>
          <w:szCs w:val="24"/>
        </w:rPr>
        <w:t xml:space="preserve">Для бактериологического исследования используется асептически удаленный дистальный отрезок катетера длиной 5—6 см. Удаленный отрезок катетера кладут в чашку Петри или другую стерильную емкость и сразу же доставляют в лабораторию для исследования. Хранение и последующее исследование удаленного катетера недопустимо. </w:t>
      </w:r>
    </w:p>
    <w:p w14:paraId="41E665C1" w14:textId="77777777" w:rsidR="0075793D" w:rsidRPr="00BA4F0F" w:rsidRDefault="0075793D" w:rsidP="005E0272">
      <w:pPr>
        <w:numPr>
          <w:ilvl w:val="0"/>
          <w:numId w:val="154"/>
        </w:numPr>
        <w:tabs>
          <w:tab w:val="left" w:pos="0"/>
          <w:tab w:val="left" w:pos="567"/>
        </w:tabs>
        <w:ind w:left="0" w:firstLine="0"/>
        <w:rPr>
          <w:rFonts w:cs="Times New Roman"/>
          <w:szCs w:val="24"/>
        </w:rPr>
      </w:pPr>
      <w:r w:rsidRPr="00BA4F0F">
        <w:rPr>
          <w:rFonts w:cs="Times New Roman"/>
          <w:szCs w:val="24"/>
        </w:rPr>
        <w:t>Исследование проводят полуколичественным (метод Маки) или количественным методом. Диагностически значимым (подтверждает инфицирование катетера) при полуколичественном исследовании является выделение микроорганизмов в количестве ≥ 15 КОЕ, при количественном — ≥ 10</w:t>
      </w:r>
      <w:r w:rsidRPr="00BA4F0F">
        <w:rPr>
          <w:rFonts w:cs="Times New Roman"/>
          <w:szCs w:val="24"/>
          <w:vertAlign w:val="superscript"/>
        </w:rPr>
        <w:t>3</w:t>
      </w:r>
      <w:r w:rsidRPr="00BA4F0F">
        <w:rPr>
          <w:rFonts w:cs="Times New Roman"/>
          <w:szCs w:val="24"/>
        </w:rPr>
        <w:t xml:space="preserve"> КОЕ/мл. Для постановки диагноза катетер-ассоциированной инфекции, кроме выделения микроорганизмов в диагностически значимых количествах при исследовании удаленного катетера, необходимо выделение того же микроорганизма из крови. </w:t>
      </w:r>
    </w:p>
    <w:p w14:paraId="3EDA8663" w14:textId="77777777" w:rsidR="0075793D" w:rsidRPr="00BA4F0F" w:rsidRDefault="0075793D" w:rsidP="005E0272">
      <w:pPr>
        <w:numPr>
          <w:ilvl w:val="0"/>
          <w:numId w:val="154"/>
        </w:numPr>
        <w:tabs>
          <w:tab w:val="left" w:pos="0"/>
          <w:tab w:val="left" w:pos="567"/>
        </w:tabs>
        <w:ind w:left="0" w:firstLine="0"/>
        <w:rPr>
          <w:rFonts w:cs="Times New Roman"/>
          <w:szCs w:val="24"/>
        </w:rPr>
      </w:pPr>
      <w:r w:rsidRPr="00BA4F0F">
        <w:rPr>
          <w:rFonts w:cs="Times New Roman"/>
          <w:szCs w:val="24"/>
        </w:rPr>
        <w:t xml:space="preserve">При появлении признаков воспаления и отделяемого в месте установки венозного катетера необходимо провести микробиологическое исследование отделяемого, а если эти изменения сохраняются или приобретают хронический характер, выполнить исследование на наличие нетуберкулезных микобактерий. </w:t>
      </w:r>
    </w:p>
    <w:p w14:paraId="606265AB" w14:textId="77777777" w:rsidR="0075793D" w:rsidRPr="00BA4F0F" w:rsidRDefault="0075793D" w:rsidP="005E0272">
      <w:pPr>
        <w:numPr>
          <w:ilvl w:val="0"/>
          <w:numId w:val="154"/>
        </w:numPr>
        <w:tabs>
          <w:tab w:val="left" w:pos="0"/>
          <w:tab w:val="left" w:pos="567"/>
        </w:tabs>
        <w:ind w:left="0" w:firstLine="0"/>
        <w:rPr>
          <w:rFonts w:cs="Times New Roman"/>
          <w:szCs w:val="24"/>
        </w:rPr>
      </w:pPr>
      <w:r w:rsidRPr="00BA4F0F">
        <w:rPr>
          <w:rFonts w:cs="Times New Roman"/>
          <w:szCs w:val="24"/>
        </w:rPr>
        <w:t xml:space="preserve">Не проводят рутинное исследование всех удаленных катетеров. </w:t>
      </w:r>
    </w:p>
    <w:p w14:paraId="39E34BEE" w14:textId="77777777" w:rsidR="0075793D" w:rsidRPr="00BA4F0F" w:rsidRDefault="0075793D" w:rsidP="0075793D">
      <w:pPr>
        <w:pStyle w:val="afe"/>
        <w:ind w:left="0"/>
        <w:rPr>
          <w:rFonts w:cs="Times New Roman"/>
          <w:i/>
          <w:szCs w:val="24"/>
        </w:rPr>
      </w:pPr>
    </w:p>
    <w:p w14:paraId="5FE4B822" w14:textId="77777777" w:rsidR="0075793D" w:rsidRPr="00BA4F0F" w:rsidRDefault="0075793D" w:rsidP="0075793D">
      <w:pPr>
        <w:pStyle w:val="afe"/>
        <w:ind w:left="0"/>
        <w:rPr>
          <w:rFonts w:cs="Times New Roman"/>
          <w:i/>
          <w:szCs w:val="24"/>
        </w:rPr>
      </w:pPr>
      <w:r w:rsidRPr="00BA4F0F">
        <w:rPr>
          <w:rFonts w:cs="Times New Roman"/>
          <w:i/>
          <w:szCs w:val="24"/>
        </w:rPr>
        <w:t>Микробиологическое исследование мочи</w:t>
      </w:r>
    </w:p>
    <w:p w14:paraId="6478E5EA" w14:textId="77777777" w:rsidR="0075793D" w:rsidRPr="00BA4F0F" w:rsidRDefault="0075793D" w:rsidP="005E0272">
      <w:pPr>
        <w:numPr>
          <w:ilvl w:val="0"/>
          <w:numId w:val="155"/>
        </w:numPr>
        <w:tabs>
          <w:tab w:val="left" w:pos="0"/>
          <w:tab w:val="left" w:pos="567"/>
        </w:tabs>
        <w:ind w:left="0" w:firstLine="0"/>
        <w:rPr>
          <w:rFonts w:cs="Times New Roman"/>
          <w:szCs w:val="24"/>
        </w:rPr>
      </w:pPr>
      <w:r w:rsidRPr="00BA4F0F">
        <w:rPr>
          <w:rFonts w:cs="Times New Roman"/>
          <w:szCs w:val="24"/>
        </w:rPr>
        <w:t>Показания:</w:t>
      </w:r>
    </w:p>
    <w:p w14:paraId="0D191BA0" w14:textId="77777777" w:rsidR="0075793D" w:rsidRPr="00BA4F0F" w:rsidRDefault="0075793D" w:rsidP="005E0272">
      <w:pPr>
        <w:numPr>
          <w:ilvl w:val="0"/>
          <w:numId w:val="156"/>
        </w:numPr>
        <w:tabs>
          <w:tab w:val="left" w:pos="0"/>
          <w:tab w:val="left" w:pos="567"/>
        </w:tabs>
        <w:ind w:left="0" w:firstLine="0"/>
        <w:rPr>
          <w:rFonts w:cs="Times New Roman"/>
          <w:szCs w:val="24"/>
        </w:rPr>
      </w:pPr>
      <w:r w:rsidRPr="00BA4F0F">
        <w:rPr>
          <w:rFonts w:cs="Times New Roman"/>
          <w:szCs w:val="24"/>
        </w:rPr>
        <w:t xml:space="preserve">Симптомы инфекции мочевыводящих путей. </w:t>
      </w:r>
    </w:p>
    <w:p w14:paraId="174585E5" w14:textId="77777777" w:rsidR="0075793D" w:rsidRPr="00BA4F0F" w:rsidRDefault="0075793D" w:rsidP="005E0272">
      <w:pPr>
        <w:numPr>
          <w:ilvl w:val="0"/>
          <w:numId w:val="156"/>
        </w:numPr>
        <w:tabs>
          <w:tab w:val="left" w:pos="0"/>
          <w:tab w:val="left" w:pos="567"/>
        </w:tabs>
        <w:ind w:left="0" w:firstLine="0"/>
        <w:rPr>
          <w:rFonts w:cs="Times New Roman"/>
          <w:szCs w:val="24"/>
        </w:rPr>
      </w:pPr>
      <w:r w:rsidRPr="00BA4F0F">
        <w:rPr>
          <w:rFonts w:cs="Times New Roman"/>
          <w:szCs w:val="24"/>
        </w:rPr>
        <w:t xml:space="preserve">Лейкоцитурия. </w:t>
      </w:r>
    </w:p>
    <w:p w14:paraId="612E6194" w14:textId="77777777" w:rsidR="0075793D" w:rsidRPr="00BA4F0F" w:rsidRDefault="0075793D" w:rsidP="005E0272">
      <w:pPr>
        <w:numPr>
          <w:ilvl w:val="0"/>
          <w:numId w:val="156"/>
        </w:numPr>
        <w:tabs>
          <w:tab w:val="left" w:pos="0"/>
          <w:tab w:val="left" w:pos="567"/>
        </w:tabs>
        <w:ind w:left="0" w:firstLine="0"/>
        <w:rPr>
          <w:rFonts w:cs="Times New Roman"/>
          <w:szCs w:val="24"/>
        </w:rPr>
      </w:pPr>
      <w:r w:rsidRPr="00BA4F0F">
        <w:rPr>
          <w:rFonts w:cs="Times New Roman"/>
          <w:szCs w:val="24"/>
        </w:rPr>
        <w:t xml:space="preserve">Длительная лихорадка неясной этиологии. </w:t>
      </w:r>
    </w:p>
    <w:p w14:paraId="4B625E3B" w14:textId="77777777" w:rsidR="0075793D" w:rsidRPr="00BA4F0F" w:rsidRDefault="0075793D" w:rsidP="005E0272">
      <w:pPr>
        <w:numPr>
          <w:ilvl w:val="0"/>
          <w:numId w:val="157"/>
        </w:numPr>
        <w:tabs>
          <w:tab w:val="left" w:pos="0"/>
          <w:tab w:val="left" w:pos="567"/>
        </w:tabs>
        <w:ind w:left="0" w:firstLine="0"/>
        <w:rPr>
          <w:rFonts w:cs="Times New Roman"/>
          <w:szCs w:val="24"/>
        </w:rPr>
      </w:pPr>
      <w:r w:rsidRPr="00BA4F0F">
        <w:rPr>
          <w:rFonts w:cs="Times New Roman"/>
          <w:szCs w:val="24"/>
        </w:rPr>
        <w:t xml:space="preserve">Для исследования направляют утреннюю среднюю порцию мочи; доставку мочи в лабораторию проводят немедленно, максимально допустимое время с момента забора до доставки в лабораторию — 2 часа. </w:t>
      </w:r>
    </w:p>
    <w:p w14:paraId="17C5D3C1" w14:textId="77777777" w:rsidR="0075793D" w:rsidRPr="00BA4F0F" w:rsidRDefault="0075793D" w:rsidP="0075793D">
      <w:pPr>
        <w:tabs>
          <w:tab w:val="left" w:pos="0"/>
          <w:tab w:val="left" w:pos="567"/>
        </w:tabs>
        <w:rPr>
          <w:rFonts w:cs="Times New Roman"/>
          <w:szCs w:val="24"/>
        </w:rPr>
      </w:pPr>
      <w:r w:rsidRPr="00BA4F0F">
        <w:rPr>
          <w:rFonts w:cs="Times New Roman"/>
          <w:i/>
          <w:szCs w:val="24"/>
        </w:rPr>
        <w:t>Примечание.</w:t>
      </w:r>
      <w:r w:rsidRPr="00BA4F0F">
        <w:rPr>
          <w:rFonts w:cs="Times New Roman"/>
          <w:szCs w:val="24"/>
        </w:rPr>
        <w:t xml:space="preserve"> Микробиологическое исследование мочи, взятой из катетера Фоли, мочесборных мешков, не проводят из-за контаминации пластика. Исследование мочи в этих случаях проводят в день постановки мочевого катетера. Микробиологическое исследование удаленного катетера Фоли также не проводят. </w:t>
      </w:r>
    </w:p>
    <w:p w14:paraId="1B59502F" w14:textId="77777777" w:rsidR="0075793D" w:rsidRPr="00BA4F0F" w:rsidRDefault="0075793D" w:rsidP="005E0272">
      <w:pPr>
        <w:numPr>
          <w:ilvl w:val="0"/>
          <w:numId w:val="157"/>
        </w:numPr>
        <w:tabs>
          <w:tab w:val="left" w:pos="0"/>
          <w:tab w:val="left" w:pos="567"/>
        </w:tabs>
        <w:ind w:left="0" w:firstLine="0"/>
        <w:rPr>
          <w:rFonts w:cs="Times New Roman"/>
          <w:szCs w:val="24"/>
        </w:rPr>
      </w:pPr>
      <w:r w:rsidRPr="00BA4F0F">
        <w:rPr>
          <w:rFonts w:cs="Times New Roman"/>
          <w:szCs w:val="24"/>
        </w:rPr>
        <w:t>Бактериурия является диагностически значимой, если выделен один микроорганизм в количестве ≥ 10</w:t>
      </w:r>
      <w:r w:rsidRPr="00BA4F0F">
        <w:rPr>
          <w:rFonts w:cs="Times New Roman"/>
          <w:szCs w:val="24"/>
          <w:vertAlign w:val="superscript"/>
        </w:rPr>
        <w:t>3</w:t>
      </w:r>
      <w:r w:rsidRPr="00BA4F0F">
        <w:rPr>
          <w:rFonts w:cs="Times New Roman"/>
          <w:szCs w:val="24"/>
        </w:rPr>
        <w:t xml:space="preserve"> КОЕ/мл. </w:t>
      </w:r>
    </w:p>
    <w:p w14:paraId="4C65CFF9" w14:textId="77777777" w:rsidR="0075793D" w:rsidRPr="00BA4F0F" w:rsidRDefault="0075793D" w:rsidP="005E0272">
      <w:pPr>
        <w:numPr>
          <w:ilvl w:val="0"/>
          <w:numId w:val="157"/>
        </w:numPr>
        <w:tabs>
          <w:tab w:val="left" w:pos="0"/>
          <w:tab w:val="left" w:pos="567"/>
        </w:tabs>
        <w:ind w:left="0" w:firstLine="0"/>
        <w:rPr>
          <w:rFonts w:cs="Times New Roman"/>
          <w:szCs w:val="24"/>
        </w:rPr>
      </w:pPr>
      <w:r w:rsidRPr="00BA4F0F">
        <w:rPr>
          <w:rFonts w:cs="Times New Roman"/>
          <w:szCs w:val="24"/>
        </w:rPr>
        <w:t>Если выделены два микроорганизма в количестве ≥ 10</w:t>
      </w:r>
      <w:r w:rsidRPr="00BA4F0F">
        <w:rPr>
          <w:rFonts w:cs="Times New Roman"/>
          <w:szCs w:val="24"/>
          <w:vertAlign w:val="superscript"/>
        </w:rPr>
        <w:t>3</w:t>
      </w:r>
      <w:r w:rsidRPr="00BA4F0F">
        <w:rPr>
          <w:rFonts w:cs="Times New Roman"/>
          <w:szCs w:val="24"/>
        </w:rPr>
        <w:t xml:space="preserve"> КОЕ/мл, то микробиологическое исследование мочи повторяют на следующий день. Повторное выделение тех же микроорганизмов (за исключением бактерий, указанных в примечании) подтверждает инфекцию мочевыводящих путей. </w:t>
      </w:r>
    </w:p>
    <w:p w14:paraId="78E8666F" w14:textId="77777777" w:rsidR="0075793D" w:rsidRPr="00BA4F0F" w:rsidRDefault="0075793D" w:rsidP="005E0272">
      <w:pPr>
        <w:numPr>
          <w:ilvl w:val="0"/>
          <w:numId w:val="157"/>
        </w:numPr>
        <w:tabs>
          <w:tab w:val="left" w:pos="0"/>
          <w:tab w:val="left" w:pos="567"/>
        </w:tabs>
        <w:ind w:left="0" w:firstLine="0"/>
        <w:rPr>
          <w:rFonts w:cs="Times New Roman"/>
          <w:szCs w:val="24"/>
        </w:rPr>
      </w:pPr>
      <w:r w:rsidRPr="00BA4F0F">
        <w:rPr>
          <w:rFonts w:cs="Times New Roman"/>
          <w:szCs w:val="24"/>
        </w:rPr>
        <w:t xml:space="preserve">Любое количество бактерий в моче, полученной путем надлобковой пункции мочевого пузыря, является значимой бактериурией. </w:t>
      </w:r>
    </w:p>
    <w:p w14:paraId="06AEAE82" w14:textId="77777777" w:rsidR="0075793D" w:rsidRPr="00BA4F0F" w:rsidRDefault="0075793D" w:rsidP="005E0272">
      <w:pPr>
        <w:numPr>
          <w:ilvl w:val="0"/>
          <w:numId w:val="157"/>
        </w:numPr>
        <w:tabs>
          <w:tab w:val="left" w:pos="0"/>
          <w:tab w:val="left" w:pos="567"/>
        </w:tabs>
        <w:ind w:left="0" w:firstLine="0"/>
        <w:rPr>
          <w:rFonts w:cs="Times New Roman"/>
          <w:szCs w:val="24"/>
        </w:rPr>
      </w:pPr>
      <w:r w:rsidRPr="00BA4F0F">
        <w:rPr>
          <w:rFonts w:cs="Times New Roman"/>
          <w:szCs w:val="24"/>
        </w:rPr>
        <w:t>Бактериурию считают бессимптомной, если в двух последовательных образцах, взятых с интервалом более 24 часов, обнаруживается один и тот же патогенный микроорганизм в количестве ≥ 10</w:t>
      </w:r>
      <w:r w:rsidRPr="00BA4F0F">
        <w:rPr>
          <w:rFonts w:cs="Times New Roman"/>
          <w:szCs w:val="24"/>
          <w:vertAlign w:val="superscript"/>
        </w:rPr>
        <w:t>5</w:t>
      </w:r>
      <w:r w:rsidRPr="00BA4F0F">
        <w:rPr>
          <w:rFonts w:cs="Times New Roman"/>
          <w:szCs w:val="24"/>
        </w:rPr>
        <w:t xml:space="preserve"> КОЕ/мл. </w:t>
      </w:r>
    </w:p>
    <w:p w14:paraId="76696034" w14:textId="77777777" w:rsidR="0075793D" w:rsidRPr="00BA4F0F" w:rsidRDefault="0075793D" w:rsidP="005E0272">
      <w:pPr>
        <w:numPr>
          <w:ilvl w:val="0"/>
          <w:numId w:val="157"/>
        </w:numPr>
        <w:tabs>
          <w:tab w:val="left" w:pos="0"/>
          <w:tab w:val="left" w:pos="567"/>
        </w:tabs>
        <w:ind w:left="0" w:firstLine="0"/>
        <w:rPr>
          <w:rFonts w:cs="Times New Roman"/>
          <w:i/>
          <w:szCs w:val="24"/>
        </w:rPr>
      </w:pPr>
      <w:r w:rsidRPr="00BA4F0F">
        <w:rPr>
          <w:rFonts w:cs="Times New Roman"/>
          <w:szCs w:val="24"/>
        </w:rPr>
        <w:t xml:space="preserve">Наиболее частые возбудители инфекции мочевыводящих путей — это энтеробактерии, в составе которых преобладают </w:t>
      </w:r>
      <w:r w:rsidRPr="00BA4F0F">
        <w:rPr>
          <w:rFonts w:cs="Times New Roman"/>
          <w:i/>
          <w:szCs w:val="24"/>
        </w:rPr>
        <w:t>Escherichia coli</w:t>
      </w:r>
      <w:r w:rsidRPr="00BA4F0F">
        <w:rPr>
          <w:rFonts w:cs="Times New Roman"/>
          <w:szCs w:val="24"/>
        </w:rPr>
        <w:t xml:space="preserve">, далее </w:t>
      </w:r>
      <w:r w:rsidRPr="00BA4F0F">
        <w:rPr>
          <w:rFonts w:cs="Times New Roman"/>
          <w:i/>
          <w:szCs w:val="24"/>
        </w:rPr>
        <w:t>Staphylococcus saprophyticus</w:t>
      </w:r>
      <w:r w:rsidRPr="00BA4F0F">
        <w:rPr>
          <w:rFonts w:cs="Times New Roman"/>
          <w:szCs w:val="24"/>
        </w:rPr>
        <w:t xml:space="preserve"> (чаще у молодых женщин), </w:t>
      </w:r>
      <w:r w:rsidRPr="00BA4F0F">
        <w:rPr>
          <w:rFonts w:cs="Times New Roman"/>
          <w:i/>
          <w:szCs w:val="24"/>
        </w:rPr>
        <w:t xml:space="preserve">Enterococcus spp., Pseudomonas aeruginosa. </w:t>
      </w:r>
    </w:p>
    <w:p w14:paraId="439CA6D2" w14:textId="77777777" w:rsidR="0075793D" w:rsidRPr="00BA4F0F" w:rsidRDefault="0075793D" w:rsidP="005E0272">
      <w:pPr>
        <w:numPr>
          <w:ilvl w:val="0"/>
          <w:numId w:val="157"/>
        </w:numPr>
        <w:tabs>
          <w:tab w:val="left" w:pos="0"/>
          <w:tab w:val="left" w:pos="567"/>
        </w:tabs>
        <w:ind w:left="0" w:firstLine="0"/>
        <w:rPr>
          <w:rFonts w:cs="Times New Roman"/>
          <w:i/>
          <w:szCs w:val="24"/>
        </w:rPr>
      </w:pPr>
      <w:r w:rsidRPr="00BA4F0F">
        <w:rPr>
          <w:rFonts w:cs="Times New Roman"/>
          <w:szCs w:val="24"/>
        </w:rPr>
        <w:t>При выделении из мочи коагулазанегативных стафилококков в монокультуре (≥ 10</w:t>
      </w:r>
      <w:r w:rsidRPr="00BA4F0F">
        <w:rPr>
          <w:rFonts w:cs="Times New Roman"/>
          <w:szCs w:val="24"/>
          <w:vertAlign w:val="superscript"/>
        </w:rPr>
        <w:t>4</w:t>
      </w:r>
      <w:r w:rsidRPr="00BA4F0F">
        <w:rPr>
          <w:rFonts w:cs="Times New Roman"/>
          <w:szCs w:val="24"/>
        </w:rPr>
        <w:t xml:space="preserve"> КОЕ/мл) проводят дополнительное исследование для идентификации </w:t>
      </w:r>
      <w:r w:rsidRPr="00BA4F0F">
        <w:rPr>
          <w:rFonts w:cs="Times New Roman"/>
          <w:i/>
          <w:szCs w:val="24"/>
        </w:rPr>
        <w:t xml:space="preserve">Staphylococcus saprophyticus. </w:t>
      </w:r>
    </w:p>
    <w:p w14:paraId="6BB8B0E9" w14:textId="77777777" w:rsidR="0075793D" w:rsidRPr="00BA4F0F" w:rsidRDefault="0075793D" w:rsidP="005E0272">
      <w:pPr>
        <w:numPr>
          <w:ilvl w:val="0"/>
          <w:numId w:val="157"/>
        </w:numPr>
        <w:tabs>
          <w:tab w:val="left" w:pos="0"/>
          <w:tab w:val="left" w:pos="567"/>
        </w:tabs>
        <w:ind w:left="0" w:firstLine="0"/>
        <w:rPr>
          <w:rFonts w:cs="Times New Roman"/>
          <w:szCs w:val="24"/>
        </w:rPr>
      </w:pPr>
      <w:r w:rsidRPr="00BA4F0F">
        <w:rPr>
          <w:rFonts w:cs="Times New Roman"/>
          <w:szCs w:val="24"/>
        </w:rPr>
        <w:t xml:space="preserve">Высокое содержание </w:t>
      </w:r>
      <w:r w:rsidRPr="00BA4F0F">
        <w:rPr>
          <w:rFonts w:cs="Times New Roman"/>
          <w:i/>
          <w:szCs w:val="24"/>
        </w:rPr>
        <w:t>Staphylococcus epidermidis</w:t>
      </w:r>
      <w:r w:rsidRPr="00BA4F0F">
        <w:rPr>
          <w:rFonts w:cs="Times New Roman"/>
          <w:szCs w:val="24"/>
        </w:rPr>
        <w:t xml:space="preserve"> (≥ 10</w:t>
      </w:r>
      <w:r w:rsidRPr="00BA4F0F">
        <w:rPr>
          <w:rFonts w:cs="Times New Roman"/>
          <w:szCs w:val="24"/>
          <w:vertAlign w:val="superscript"/>
        </w:rPr>
        <w:t>5</w:t>
      </w:r>
      <w:r w:rsidRPr="00BA4F0F">
        <w:rPr>
          <w:rFonts w:cs="Times New Roman"/>
          <w:szCs w:val="24"/>
        </w:rPr>
        <w:t xml:space="preserve"> КОЕ/мл) является диагностически значимым. </w:t>
      </w:r>
    </w:p>
    <w:p w14:paraId="2767C6B1" w14:textId="77777777" w:rsidR="0075793D" w:rsidRPr="00BA4F0F" w:rsidRDefault="0075793D" w:rsidP="005E0272">
      <w:pPr>
        <w:numPr>
          <w:ilvl w:val="0"/>
          <w:numId w:val="157"/>
        </w:numPr>
        <w:tabs>
          <w:tab w:val="left" w:pos="0"/>
          <w:tab w:val="left" w:pos="567"/>
        </w:tabs>
        <w:ind w:left="0" w:firstLine="0"/>
        <w:rPr>
          <w:rFonts w:cs="Times New Roman"/>
          <w:szCs w:val="24"/>
        </w:rPr>
      </w:pPr>
      <w:r w:rsidRPr="00BA4F0F">
        <w:rPr>
          <w:rFonts w:cs="Times New Roman"/>
          <w:szCs w:val="24"/>
        </w:rPr>
        <w:t xml:space="preserve">Неоднократное выделение из мочи </w:t>
      </w:r>
      <w:r w:rsidRPr="00BA4F0F">
        <w:rPr>
          <w:rFonts w:cs="Times New Roman"/>
          <w:i/>
          <w:szCs w:val="24"/>
        </w:rPr>
        <w:t>Сandida spp</w:t>
      </w:r>
      <w:r w:rsidRPr="00BA4F0F">
        <w:rPr>
          <w:rFonts w:cs="Times New Roman"/>
          <w:szCs w:val="24"/>
        </w:rPr>
        <w:t xml:space="preserve">. у больных с фебрильной нейтропенией, не имеющих мочевого катетера, свидетельствует о высокой вероятности наличия диссеминированного инвазивного кандидоза. </w:t>
      </w:r>
    </w:p>
    <w:p w14:paraId="533E4B71" w14:textId="77777777" w:rsidR="0075793D" w:rsidRPr="00BA4F0F" w:rsidRDefault="0075793D" w:rsidP="0075793D">
      <w:pPr>
        <w:tabs>
          <w:tab w:val="left" w:pos="0"/>
          <w:tab w:val="left" w:pos="567"/>
        </w:tabs>
        <w:rPr>
          <w:rFonts w:cs="Times New Roman"/>
          <w:szCs w:val="24"/>
        </w:rPr>
      </w:pPr>
      <w:r w:rsidRPr="00BA4F0F">
        <w:rPr>
          <w:rFonts w:cs="Times New Roman"/>
          <w:i/>
          <w:szCs w:val="24"/>
        </w:rPr>
        <w:t>Примечание.</w:t>
      </w:r>
      <w:r w:rsidRPr="00BA4F0F">
        <w:rPr>
          <w:rFonts w:cs="Times New Roman"/>
          <w:szCs w:val="24"/>
        </w:rPr>
        <w:t xml:space="preserve"> Выделение из мочи таких микроорганизмов, как дифтероиды, стрептококки группы </w:t>
      </w:r>
      <w:r w:rsidRPr="00BA4F0F">
        <w:rPr>
          <w:rFonts w:cs="Times New Roman"/>
          <w:i/>
          <w:szCs w:val="24"/>
        </w:rPr>
        <w:t>viridans</w:t>
      </w:r>
      <w:r w:rsidRPr="00BA4F0F">
        <w:rPr>
          <w:rFonts w:cs="Times New Roman"/>
          <w:szCs w:val="24"/>
        </w:rPr>
        <w:t xml:space="preserve">, лактобактерии, коагулазанегативные стафилококки (исключение составляет </w:t>
      </w:r>
      <w:r w:rsidRPr="00BA4F0F">
        <w:rPr>
          <w:rFonts w:cs="Times New Roman"/>
          <w:i/>
          <w:szCs w:val="24"/>
        </w:rPr>
        <w:t>Staphylococcus saprophyticus</w:t>
      </w:r>
      <w:r w:rsidRPr="00BA4F0F">
        <w:rPr>
          <w:rFonts w:cs="Times New Roman"/>
          <w:szCs w:val="24"/>
        </w:rPr>
        <w:t>), свидетельствует о контаминации образцов мочи (кожа, влагалище).</w:t>
      </w:r>
    </w:p>
    <w:p w14:paraId="17E11169" w14:textId="77777777" w:rsidR="0075793D" w:rsidRPr="00BA4F0F" w:rsidRDefault="0075793D" w:rsidP="0075793D">
      <w:pPr>
        <w:pStyle w:val="afe"/>
        <w:ind w:left="0"/>
        <w:rPr>
          <w:rFonts w:cs="Times New Roman"/>
          <w:i/>
          <w:szCs w:val="24"/>
        </w:rPr>
      </w:pPr>
    </w:p>
    <w:p w14:paraId="30659714" w14:textId="77777777" w:rsidR="0075793D" w:rsidRPr="00BA4F0F" w:rsidRDefault="0075793D" w:rsidP="0075793D">
      <w:pPr>
        <w:pStyle w:val="afe"/>
        <w:ind w:left="0"/>
        <w:rPr>
          <w:rFonts w:cs="Times New Roman"/>
          <w:i/>
          <w:szCs w:val="24"/>
        </w:rPr>
      </w:pPr>
      <w:r w:rsidRPr="00BA4F0F">
        <w:rPr>
          <w:rFonts w:cs="Times New Roman"/>
          <w:i/>
          <w:szCs w:val="24"/>
        </w:rPr>
        <w:t>Микробиологическое исследование спинномозговой жидкости</w:t>
      </w:r>
    </w:p>
    <w:p w14:paraId="44619B01" w14:textId="77777777" w:rsidR="0075793D" w:rsidRPr="00BA4F0F" w:rsidRDefault="0075793D" w:rsidP="005E0272">
      <w:pPr>
        <w:numPr>
          <w:ilvl w:val="0"/>
          <w:numId w:val="158"/>
        </w:numPr>
        <w:tabs>
          <w:tab w:val="left" w:pos="0"/>
          <w:tab w:val="left" w:pos="567"/>
        </w:tabs>
        <w:ind w:left="0" w:firstLine="0"/>
        <w:rPr>
          <w:rFonts w:cs="Times New Roman"/>
          <w:szCs w:val="24"/>
        </w:rPr>
      </w:pPr>
      <w:r w:rsidRPr="00BA4F0F">
        <w:rPr>
          <w:rFonts w:cs="Times New Roman"/>
          <w:szCs w:val="24"/>
        </w:rPr>
        <w:t xml:space="preserve">Показания: </w:t>
      </w:r>
    </w:p>
    <w:p w14:paraId="6F844CCD" w14:textId="77777777" w:rsidR="0075793D" w:rsidRPr="00BA4F0F" w:rsidRDefault="0075793D" w:rsidP="005E0272">
      <w:pPr>
        <w:numPr>
          <w:ilvl w:val="0"/>
          <w:numId w:val="160"/>
        </w:numPr>
        <w:tabs>
          <w:tab w:val="left" w:pos="0"/>
          <w:tab w:val="left" w:pos="567"/>
        </w:tabs>
        <w:ind w:left="0" w:firstLine="0"/>
        <w:rPr>
          <w:rFonts w:cs="Times New Roman"/>
          <w:szCs w:val="24"/>
        </w:rPr>
      </w:pPr>
      <w:r w:rsidRPr="00BA4F0F">
        <w:rPr>
          <w:rFonts w:cs="Times New Roman"/>
          <w:szCs w:val="24"/>
        </w:rPr>
        <w:t xml:space="preserve">Симптомы менингита. </w:t>
      </w:r>
    </w:p>
    <w:p w14:paraId="418353B3" w14:textId="77777777" w:rsidR="0075793D" w:rsidRPr="00BA4F0F" w:rsidRDefault="0075793D" w:rsidP="005E0272">
      <w:pPr>
        <w:numPr>
          <w:ilvl w:val="0"/>
          <w:numId w:val="160"/>
        </w:numPr>
        <w:tabs>
          <w:tab w:val="left" w:pos="0"/>
          <w:tab w:val="left" w:pos="567"/>
        </w:tabs>
        <w:ind w:left="0" w:firstLine="0"/>
        <w:rPr>
          <w:rFonts w:cs="Times New Roman"/>
          <w:szCs w:val="24"/>
        </w:rPr>
      </w:pPr>
      <w:r w:rsidRPr="00BA4F0F">
        <w:rPr>
          <w:rFonts w:cs="Times New Roman"/>
          <w:szCs w:val="24"/>
        </w:rPr>
        <w:t xml:space="preserve">«Мозговая» симптоматика на фоне лихорадки и нейтропении. </w:t>
      </w:r>
    </w:p>
    <w:p w14:paraId="662EE459" w14:textId="77777777" w:rsidR="0075793D" w:rsidRPr="00BA4F0F" w:rsidRDefault="0075793D" w:rsidP="005E0272">
      <w:pPr>
        <w:numPr>
          <w:ilvl w:val="0"/>
          <w:numId w:val="160"/>
        </w:numPr>
        <w:tabs>
          <w:tab w:val="left" w:pos="0"/>
          <w:tab w:val="left" w:pos="567"/>
        </w:tabs>
        <w:ind w:left="0" w:firstLine="0"/>
        <w:rPr>
          <w:rFonts w:cs="Times New Roman"/>
          <w:szCs w:val="24"/>
        </w:rPr>
      </w:pPr>
      <w:r w:rsidRPr="00BA4F0F">
        <w:rPr>
          <w:rFonts w:cs="Times New Roman"/>
          <w:szCs w:val="24"/>
        </w:rPr>
        <w:t xml:space="preserve">Обнаружение очага (очагов) в головном мозге при КТ или МРТ. </w:t>
      </w:r>
    </w:p>
    <w:p w14:paraId="2FFB20DF" w14:textId="77777777" w:rsidR="0075793D" w:rsidRPr="00BA4F0F" w:rsidRDefault="0075793D" w:rsidP="005E0272">
      <w:pPr>
        <w:numPr>
          <w:ilvl w:val="0"/>
          <w:numId w:val="159"/>
        </w:numPr>
        <w:tabs>
          <w:tab w:val="left" w:pos="0"/>
          <w:tab w:val="left" w:pos="567"/>
        </w:tabs>
        <w:ind w:left="0" w:firstLine="0"/>
        <w:rPr>
          <w:rFonts w:cs="Times New Roman"/>
          <w:szCs w:val="24"/>
        </w:rPr>
      </w:pPr>
      <w:r w:rsidRPr="00BA4F0F">
        <w:rPr>
          <w:rFonts w:cs="Times New Roman"/>
          <w:szCs w:val="24"/>
        </w:rPr>
        <w:t>Доставка материала в лабораторию должна быть немедленной</w:t>
      </w:r>
      <w:r w:rsidRPr="00BA4F0F">
        <w:rPr>
          <w:rFonts w:cs="Times New Roman"/>
          <w:b/>
          <w:szCs w:val="24"/>
        </w:rPr>
        <w:t xml:space="preserve"> </w:t>
      </w:r>
      <w:r w:rsidRPr="00BA4F0F">
        <w:rPr>
          <w:rFonts w:cs="Times New Roman"/>
          <w:szCs w:val="24"/>
        </w:rPr>
        <w:t xml:space="preserve">в стерильной пробирке или в шприце с закрытым наконечником. </w:t>
      </w:r>
    </w:p>
    <w:p w14:paraId="5028CC20" w14:textId="77777777" w:rsidR="0075793D" w:rsidRPr="00BA4F0F" w:rsidRDefault="0075793D" w:rsidP="005E0272">
      <w:pPr>
        <w:numPr>
          <w:ilvl w:val="0"/>
          <w:numId w:val="159"/>
        </w:numPr>
        <w:tabs>
          <w:tab w:val="left" w:pos="0"/>
          <w:tab w:val="left" w:pos="567"/>
        </w:tabs>
        <w:ind w:left="0" w:firstLine="0"/>
        <w:rPr>
          <w:rFonts w:cs="Times New Roman"/>
          <w:szCs w:val="24"/>
        </w:rPr>
      </w:pPr>
      <w:r w:rsidRPr="00BA4F0F">
        <w:rPr>
          <w:rFonts w:cs="Times New Roman"/>
          <w:szCs w:val="24"/>
        </w:rPr>
        <w:t xml:space="preserve">Не помещают образцы СМЖ в холодильник. </w:t>
      </w:r>
    </w:p>
    <w:p w14:paraId="482BBB8B" w14:textId="77777777" w:rsidR="0075793D" w:rsidRPr="00BA4F0F" w:rsidRDefault="0075793D" w:rsidP="005E0272">
      <w:pPr>
        <w:numPr>
          <w:ilvl w:val="0"/>
          <w:numId w:val="159"/>
        </w:numPr>
        <w:tabs>
          <w:tab w:val="left" w:pos="0"/>
          <w:tab w:val="left" w:pos="567"/>
        </w:tabs>
        <w:ind w:left="0" w:firstLine="0"/>
        <w:rPr>
          <w:rFonts w:cs="Times New Roman"/>
          <w:szCs w:val="24"/>
        </w:rPr>
      </w:pPr>
      <w:r w:rsidRPr="00BA4F0F">
        <w:rPr>
          <w:rFonts w:cs="Times New Roman"/>
          <w:szCs w:val="24"/>
        </w:rPr>
        <w:t>Для полного исследования (бактерии, грибы, антигены) необходимо 2 мл СМЖ. Минимальное количество жидкости, необходимое для микробиологического исследования, составляет 0,5-1 мл.</w:t>
      </w:r>
    </w:p>
    <w:p w14:paraId="50C6AE1E" w14:textId="77777777" w:rsidR="0075793D" w:rsidRPr="00BA4F0F" w:rsidRDefault="0075793D" w:rsidP="005E0272">
      <w:pPr>
        <w:numPr>
          <w:ilvl w:val="0"/>
          <w:numId w:val="159"/>
        </w:numPr>
        <w:tabs>
          <w:tab w:val="left" w:pos="0"/>
          <w:tab w:val="left" w:pos="567"/>
        </w:tabs>
        <w:ind w:left="0" w:firstLine="0"/>
        <w:rPr>
          <w:rFonts w:cs="Times New Roman"/>
          <w:szCs w:val="24"/>
        </w:rPr>
      </w:pPr>
      <w:r w:rsidRPr="00BA4F0F">
        <w:rPr>
          <w:rFonts w:cs="Times New Roman"/>
          <w:szCs w:val="24"/>
        </w:rPr>
        <w:t xml:space="preserve">Не направляют в лабораторию образец СМЖ, полученный в первой пробирке пункции, поскольку имеется высокая вероятность контаминации образца микроорганизмами с кожи и, вполне определенно, будут возникать проблемы в интерпретации результатов исследования в случае выделения коагулозанегативных стафилококков. Первый образец СМЖ может быть использован для цитологического исследования.  </w:t>
      </w:r>
    </w:p>
    <w:p w14:paraId="7112A0F1" w14:textId="414095A9" w:rsidR="0075793D" w:rsidRPr="00BA4F0F" w:rsidRDefault="0075793D" w:rsidP="005E0272">
      <w:pPr>
        <w:numPr>
          <w:ilvl w:val="0"/>
          <w:numId w:val="159"/>
        </w:numPr>
        <w:tabs>
          <w:tab w:val="left" w:pos="0"/>
          <w:tab w:val="left" w:pos="567"/>
        </w:tabs>
        <w:ind w:left="0" w:firstLine="0"/>
        <w:rPr>
          <w:rFonts w:cs="Times New Roman"/>
          <w:szCs w:val="24"/>
        </w:rPr>
      </w:pPr>
      <w:r w:rsidRPr="00BA4F0F">
        <w:rPr>
          <w:rFonts w:cs="Times New Roman"/>
          <w:szCs w:val="24"/>
        </w:rPr>
        <w:t xml:space="preserve">СМЖ исследуют на бактерии (микроскопия, посев, определение антигенов), микобактерии (микроскопия, определение ДНК микобактерий), вирусы (определение ДНК вирусов герпетической группы, ЦМВ), грибы (микроскопия, посев, антигены), определяют антигены </w:t>
      </w:r>
      <w:r w:rsidRPr="00BA4F0F">
        <w:rPr>
          <w:rFonts w:cs="Times New Roman"/>
          <w:i/>
          <w:szCs w:val="24"/>
        </w:rPr>
        <w:t>Cryptococcus spp., Aspergillus spp.</w:t>
      </w:r>
      <w:r w:rsidRPr="00BA4F0F">
        <w:rPr>
          <w:rFonts w:cs="Times New Roman"/>
          <w:szCs w:val="24"/>
        </w:rPr>
        <w:t xml:space="preserve"> – при наличии инвазиного аспергиллеза легких или придаточных пазух носа, при необходимости — антигены бактерий (</w:t>
      </w:r>
      <w:r w:rsidRPr="00BA4F0F">
        <w:rPr>
          <w:rFonts w:cs="Times New Roman"/>
          <w:i/>
          <w:szCs w:val="24"/>
        </w:rPr>
        <w:t>Streptococcus pneumoniae, Haemophilus influenzae, Neisseria meningitides</w:t>
      </w:r>
      <w:r w:rsidRPr="00BA4F0F">
        <w:rPr>
          <w:rFonts w:cs="Times New Roman"/>
          <w:szCs w:val="24"/>
        </w:rPr>
        <w:t xml:space="preserve">, стрептококки группы В - </w:t>
      </w:r>
      <w:r w:rsidRPr="00BA4F0F">
        <w:rPr>
          <w:rFonts w:cs="Times New Roman"/>
          <w:i/>
          <w:szCs w:val="24"/>
        </w:rPr>
        <w:t>Streptococcus agalactiae</w:t>
      </w:r>
      <w:r w:rsidRPr="00BA4F0F">
        <w:rPr>
          <w:rFonts w:cs="Times New Roman"/>
          <w:szCs w:val="24"/>
        </w:rPr>
        <w:t xml:space="preserve">). У больных, имеющих очаги в головном мозге и выраженный иммунодефицит (при длительной нейтропении), следует определять СМЖ ДНК </w:t>
      </w:r>
      <w:r w:rsidRPr="00BA4F0F">
        <w:rPr>
          <w:rFonts w:cs="Times New Roman"/>
          <w:i/>
          <w:szCs w:val="24"/>
        </w:rPr>
        <w:t>Toxoplasma gondii</w:t>
      </w:r>
      <w:r w:rsidRPr="00BA4F0F">
        <w:rPr>
          <w:rFonts w:cs="Times New Roman"/>
          <w:szCs w:val="24"/>
        </w:rPr>
        <w:t xml:space="preserve"> (ПЦР). </w:t>
      </w:r>
    </w:p>
    <w:p w14:paraId="72B53AE7" w14:textId="77777777" w:rsidR="0075793D" w:rsidRPr="00BA4F0F" w:rsidRDefault="0075793D" w:rsidP="0075793D">
      <w:pPr>
        <w:pStyle w:val="afe"/>
        <w:ind w:left="0"/>
        <w:rPr>
          <w:rFonts w:cs="Times New Roman"/>
          <w:i/>
          <w:szCs w:val="24"/>
        </w:rPr>
      </w:pPr>
    </w:p>
    <w:p w14:paraId="2DA1ABC7" w14:textId="77777777" w:rsidR="0075793D" w:rsidRPr="00BA4F0F" w:rsidRDefault="0075793D" w:rsidP="0075793D">
      <w:pPr>
        <w:pStyle w:val="afe"/>
        <w:ind w:left="0"/>
        <w:rPr>
          <w:rFonts w:cs="Times New Roman"/>
          <w:i/>
          <w:szCs w:val="24"/>
        </w:rPr>
      </w:pPr>
      <w:r w:rsidRPr="00BA4F0F">
        <w:rPr>
          <w:rFonts w:cs="Times New Roman"/>
          <w:i/>
          <w:szCs w:val="24"/>
        </w:rPr>
        <w:t>Микробиологическое исследование кала</w:t>
      </w:r>
    </w:p>
    <w:p w14:paraId="2E47AE83" w14:textId="77777777" w:rsidR="0075793D" w:rsidRPr="00BA4F0F" w:rsidRDefault="0075793D" w:rsidP="005E0272">
      <w:pPr>
        <w:numPr>
          <w:ilvl w:val="0"/>
          <w:numId w:val="161"/>
        </w:numPr>
        <w:tabs>
          <w:tab w:val="left" w:pos="0"/>
          <w:tab w:val="left" w:pos="567"/>
        </w:tabs>
        <w:ind w:left="0" w:firstLine="0"/>
        <w:rPr>
          <w:rFonts w:cs="Times New Roman"/>
          <w:szCs w:val="24"/>
        </w:rPr>
      </w:pPr>
      <w:r w:rsidRPr="00BA4F0F">
        <w:rPr>
          <w:rFonts w:cs="Times New Roman"/>
          <w:szCs w:val="24"/>
        </w:rPr>
        <w:t xml:space="preserve">Показания — диарея. </w:t>
      </w:r>
    </w:p>
    <w:p w14:paraId="0EFE9A6E" w14:textId="77777777" w:rsidR="0075793D" w:rsidRPr="00BA4F0F" w:rsidRDefault="0075793D" w:rsidP="005E0272">
      <w:pPr>
        <w:numPr>
          <w:ilvl w:val="0"/>
          <w:numId w:val="161"/>
        </w:numPr>
        <w:tabs>
          <w:tab w:val="left" w:pos="0"/>
          <w:tab w:val="left" w:pos="567"/>
        </w:tabs>
        <w:ind w:left="0" w:firstLine="0"/>
        <w:rPr>
          <w:rFonts w:cs="Times New Roman"/>
          <w:i/>
          <w:szCs w:val="24"/>
        </w:rPr>
      </w:pPr>
      <w:r w:rsidRPr="00BA4F0F">
        <w:rPr>
          <w:rFonts w:cs="Times New Roman"/>
          <w:szCs w:val="24"/>
        </w:rPr>
        <w:t xml:space="preserve">Во всех случаях следует провести тест на токсин </w:t>
      </w:r>
      <w:r w:rsidRPr="00BA4F0F">
        <w:rPr>
          <w:rFonts w:cs="Times New Roman"/>
          <w:i/>
          <w:szCs w:val="24"/>
        </w:rPr>
        <w:t xml:space="preserve">Clostridium difficile. </w:t>
      </w:r>
    </w:p>
    <w:p w14:paraId="58772256" w14:textId="77777777" w:rsidR="0075793D" w:rsidRPr="00BA4F0F" w:rsidRDefault="0075793D" w:rsidP="005E0272">
      <w:pPr>
        <w:numPr>
          <w:ilvl w:val="0"/>
          <w:numId w:val="161"/>
        </w:numPr>
        <w:tabs>
          <w:tab w:val="left" w:pos="0"/>
          <w:tab w:val="left" w:pos="567"/>
        </w:tabs>
        <w:ind w:left="0" w:firstLine="0"/>
        <w:rPr>
          <w:rFonts w:cs="Times New Roman"/>
          <w:szCs w:val="24"/>
        </w:rPr>
      </w:pPr>
      <w:r w:rsidRPr="00BA4F0F">
        <w:rPr>
          <w:rFonts w:cs="Times New Roman"/>
          <w:szCs w:val="24"/>
        </w:rPr>
        <w:t xml:space="preserve">Если результат этого теста оказывается отрицательным, проводят количественное исследование на условно-патогенные микроорганизмы, а также на </w:t>
      </w:r>
      <w:r w:rsidRPr="00BA4F0F">
        <w:rPr>
          <w:rFonts w:cs="Times New Roman"/>
          <w:i/>
          <w:szCs w:val="24"/>
        </w:rPr>
        <w:t>Сryptosporidium parvum, Salmonella spp., Shigella spp., Listeria spp., Yersenia spp.</w:t>
      </w:r>
      <w:r w:rsidRPr="00BA4F0F">
        <w:rPr>
          <w:rFonts w:cs="Times New Roman"/>
          <w:szCs w:val="24"/>
        </w:rPr>
        <w:t xml:space="preserve">, вирусы (ротавирусы, аденовирусы). Энтероколиты могут быть обусловлены </w:t>
      </w:r>
      <w:r w:rsidRPr="00BA4F0F">
        <w:rPr>
          <w:rFonts w:cs="Times New Roman"/>
          <w:i/>
          <w:szCs w:val="24"/>
        </w:rPr>
        <w:t>Candida spp</w:t>
      </w:r>
      <w:r w:rsidRPr="00BA4F0F">
        <w:rPr>
          <w:rFonts w:cs="Times New Roman"/>
          <w:szCs w:val="24"/>
        </w:rPr>
        <w:t xml:space="preserve">. При количественном исследовании кала следует обращать внимание на выделение штаммов </w:t>
      </w:r>
      <w:r w:rsidRPr="00BA4F0F">
        <w:rPr>
          <w:rFonts w:cs="Times New Roman"/>
          <w:i/>
          <w:szCs w:val="24"/>
        </w:rPr>
        <w:t>Pseudomonas aeruginosa</w:t>
      </w:r>
      <w:r w:rsidRPr="00BA4F0F">
        <w:rPr>
          <w:rFonts w:cs="Times New Roman"/>
          <w:szCs w:val="24"/>
        </w:rPr>
        <w:t>, энтеробактерий (</w:t>
      </w:r>
      <w:r w:rsidRPr="00BA4F0F">
        <w:rPr>
          <w:rFonts w:cs="Times New Roman"/>
          <w:i/>
          <w:szCs w:val="24"/>
        </w:rPr>
        <w:t>Escherichia coli, Klebsiella spp.),</w:t>
      </w:r>
      <w:r w:rsidRPr="00BA4F0F">
        <w:rPr>
          <w:rFonts w:cs="Times New Roman"/>
          <w:szCs w:val="24"/>
        </w:rPr>
        <w:t xml:space="preserve"> продуцирующих БЛРС или карбапенемазы. У больных с персистирующей фебрильной нейтропенией и отсутствием положительной гемокультуры эти микроорганизмы могут быть причиной инфекции. </w:t>
      </w:r>
    </w:p>
    <w:p w14:paraId="6D6D15CE" w14:textId="77777777" w:rsidR="0075793D" w:rsidRPr="00BA4F0F" w:rsidRDefault="0075793D" w:rsidP="0075793D">
      <w:pPr>
        <w:tabs>
          <w:tab w:val="left" w:pos="0"/>
          <w:tab w:val="left" w:pos="567"/>
        </w:tabs>
        <w:rPr>
          <w:rFonts w:cs="Times New Roman"/>
          <w:szCs w:val="24"/>
        </w:rPr>
      </w:pPr>
      <w:r w:rsidRPr="00BA4F0F">
        <w:rPr>
          <w:rFonts w:cs="Times New Roman"/>
          <w:i/>
          <w:szCs w:val="24"/>
        </w:rPr>
        <w:t>Примечание.</w:t>
      </w:r>
      <w:r w:rsidRPr="00BA4F0F">
        <w:rPr>
          <w:rFonts w:cs="Times New Roman"/>
          <w:szCs w:val="24"/>
        </w:rPr>
        <w:t xml:space="preserve"> Исследование на дисбактериоз кишечника у больных без диареи относится к исследованиям, которые приняты лишь в России, оно трудоемко и малоинформативно, особенно у больных вне нейтропении. </w:t>
      </w:r>
    </w:p>
    <w:p w14:paraId="0CEA7481" w14:textId="77777777" w:rsidR="0075793D" w:rsidRPr="00BA4F0F" w:rsidRDefault="0075793D" w:rsidP="0075793D">
      <w:pPr>
        <w:pStyle w:val="afe"/>
        <w:ind w:left="0"/>
        <w:rPr>
          <w:rFonts w:cs="Times New Roman"/>
          <w:i/>
          <w:szCs w:val="24"/>
        </w:rPr>
      </w:pPr>
    </w:p>
    <w:p w14:paraId="1984254C" w14:textId="77777777" w:rsidR="0075793D" w:rsidRPr="00BA4F0F" w:rsidRDefault="0075793D" w:rsidP="0075793D">
      <w:pPr>
        <w:pStyle w:val="afe"/>
        <w:ind w:left="0"/>
        <w:rPr>
          <w:rFonts w:cs="Times New Roman"/>
          <w:i/>
          <w:szCs w:val="24"/>
        </w:rPr>
      </w:pPr>
      <w:r w:rsidRPr="00BA4F0F">
        <w:rPr>
          <w:rFonts w:cs="Times New Roman"/>
          <w:i/>
          <w:szCs w:val="24"/>
        </w:rPr>
        <w:t>Микробиологическое исследование мазка со слизистой оболочки ротоглотки</w:t>
      </w:r>
    </w:p>
    <w:p w14:paraId="7D97A36E" w14:textId="77777777" w:rsidR="0075793D" w:rsidRPr="00BA4F0F" w:rsidRDefault="0075793D" w:rsidP="005E0272">
      <w:pPr>
        <w:numPr>
          <w:ilvl w:val="0"/>
          <w:numId w:val="162"/>
        </w:numPr>
        <w:tabs>
          <w:tab w:val="left" w:pos="0"/>
          <w:tab w:val="left" w:pos="567"/>
        </w:tabs>
        <w:ind w:left="0" w:firstLine="0"/>
        <w:rPr>
          <w:rFonts w:cs="Times New Roman"/>
          <w:szCs w:val="24"/>
        </w:rPr>
      </w:pPr>
      <w:r w:rsidRPr="00BA4F0F">
        <w:rPr>
          <w:rFonts w:cs="Times New Roman"/>
          <w:szCs w:val="24"/>
        </w:rPr>
        <w:t xml:space="preserve">Показания — наличие признаков стоматита. </w:t>
      </w:r>
    </w:p>
    <w:p w14:paraId="3D65B676" w14:textId="77777777" w:rsidR="0075793D" w:rsidRPr="00BA4F0F" w:rsidRDefault="0075793D" w:rsidP="005E0272">
      <w:pPr>
        <w:numPr>
          <w:ilvl w:val="0"/>
          <w:numId w:val="162"/>
        </w:numPr>
        <w:tabs>
          <w:tab w:val="left" w:pos="0"/>
          <w:tab w:val="left" w:pos="567"/>
        </w:tabs>
        <w:ind w:left="0" w:firstLine="0"/>
        <w:rPr>
          <w:rFonts w:cs="Times New Roman"/>
          <w:szCs w:val="24"/>
        </w:rPr>
      </w:pPr>
      <w:r w:rsidRPr="00BA4F0F">
        <w:rPr>
          <w:rFonts w:cs="Times New Roman"/>
          <w:szCs w:val="24"/>
        </w:rPr>
        <w:t xml:space="preserve">При нейтропении обращают внимание на выделение </w:t>
      </w:r>
      <w:r w:rsidRPr="00BA4F0F">
        <w:rPr>
          <w:rFonts w:cs="Times New Roman"/>
          <w:i/>
          <w:szCs w:val="24"/>
        </w:rPr>
        <w:t>Candida spp</w:t>
      </w:r>
      <w:r w:rsidRPr="00BA4F0F">
        <w:rPr>
          <w:rFonts w:cs="Times New Roman"/>
          <w:szCs w:val="24"/>
        </w:rPr>
        <w:t xml:space="preserve">., грамотрицательных бактерий, особенно </w:t>
      </w:r>
      <w:r w:rsidRPr="00BA4F0F">
        <w:rPr>
          <w:rFonts w:cs="Times New Roman"/>
          <w:i/>
          <w:szCs w:val="24"/>
        </w:rPr>
        <w:t>Pseudomonas aeruginosa</w:t>
      </w:r>
      <w:r w:rsidRPr="00BA4F0F">
        <w:rPr>
          <w:rFonts w:cs="Times New Roman"/>
          <w:szCs w:val="24"/>
        </w:rPr>
        <w:t xml:space="preserve"> или </w:t>
      </w:r>
      <w:r w:rsidRPr="00BA4F0F">
        <w:rPr>
          <w:rFonts w:cs="Times New Roman"/>
          <w:i/>
          <w:szCs w:val="24"/>
          <w:lang w:val="en-US"/>
        </w:rPr>
        <w:t>Stenotrophomonas</w:t>
      </w:r>
      <w:r w:rsidRPr="00BA4F0F">
        <w:rPr>
          <w:rFonts w:cs="Times New Roman"/>
          <w:i/>
          <w:szCs w:val="24"/>
        </w:rPr>
        <w:t xml:space="preserve"> </w:t>
      </w:r>
      <w:r w:rsidRPr="00BA4F0F">
        <w:rPr>
          <w:rFonts w:cs="Times New Roman"/>
          <w:i/>
          <w:szCs w:val="24"/>
          <w:lang w:val="en-US"/>
        </w:rPr>
        <w:t>maltophilia</w:t>
      </w:r>
      <w:r w:rsidRPr="00BA4F0F">
        <w:rPr>
          <w:rFonts w:cs="Times New Roman"/>
          <w:szCs w:val="24"/>
        </w:rPr>
        <w:t>, энтеробактерий (</w:t>
      </w:r>
      <w:r w:rsidRPr="00BA4F0F">
        <w:rPr>
          <w:rFonts w:cs="Times New Roman"/>
          <w:i/>
          <w:szCs w:val="24"/>
        </w:rPr>
        <w:t>Escherichia coli, Klebsiella spp</w:t>
      </w:r>
      <w:r w:rsidRPr="00BA4F0F">
        <w:rPr>
          <w:rFonts w:cs="Times New Roman"/>
          <w:szCs w:val="24"/>
        </w:rPr>
        <w:t xml:space="preserve">.), продуцирующих БЛРС или карбапенемазы. </w:t>
      </w:r>
    </w:p>
    <w:p w14:paraId="02159E51" w14:textId="77777777" w:rsidR="0075793D" w:rsidRPr="00BA4F0F" w:rsidRDefault="0075793D" w:rsidP="005E0272">
      <w:pPr>
        <w:numPr>
          <w:ilvl w:val="0"/>
          <w:numId w:val="162"/>
        </w:numPr>
        <w:tabs>
          <w:tab w:val="left" w:pos="0"/>
          <w:tab w:val="left" w:pos="567"/>
        </w:tabs>
        <w:ind w:left="0" w:firstLine="0"/>
        <w:rPr>
          <w:rFonts w:cs="Times New Roman"/>
          <w:szCs w:val="24"/>
        </w:rPr>
      </w:pPr>
      <w:r w:rsidRPr="00BA4F0F">
        <w:rPr>
          <w:rFonts w:cs="Times New Roman"/>
          <w:szCs w:val="24"/>
        </w:rPr>
        <w:t xml:space="preserve">Следует помнить, что такие бактерии, как </w:t>
      </w:r>
      <w:r w:rsidRPr="00BA4F0F">
        <w:rPr>
          <w:rFonts w:cs="Times New Roman"/>
          <w:i/>
          <w:szCs w:val="24"/>
        </w:rPr>
        <w:t>Enterococcus spp.</w:t>
      </w:r>
      <w:r w:rsidRPr="00BA4F0F">
        <w:rPr>
          <w:rFonts w:cs="Times New Roman"/>
          <w:szCs w:val="24"/>
        </w:rPr>
        <w:t xml:space="preserve"> и стрептококки группы </w:t>
      </w:r>
      <w:r w:rsidRPr="00BA4F0F">
        <w:rPr>
          <w:rFonts w:cs="Times New Roman"/>
          <w:i/>
          <w:szCs w:val="24"/>
        </w:rPr>
        <w:t>viridans</w:t>
      </w:r>
      <w:r w:rsidRPr="00BA4F0F">
        <w:rPr>
          <w:rFonts w:cs="Times New Roman"/>
          <w:szCs w:val="24"/>
        </w:rPr>
        <w:t xml:space="preserve">, являются нормальными представителями микрофлоры ротоглотки. На основании выделения этих бактерий не следует добавлять ванкомицин при фебрильной нейтропении в отсутствие признаков мукозита. </w:t>
      </w:r>
    </w:p>
    <w:p w14:paraId="12674DEA" w14:textId="77777777" w:rsidR="0075793D" w:rsidRPr="00BA4F0F" w:rsidRDefault="0075793D" w:rsidP="0075793D">
      <w:pPr>
        <w:tabs>
          <w:tab w:val="left" w:pos="0"/>
          <w:tab w:val="left" w:pos="567"/>
        </w:tabs>
        <w:rPr>
          <w:rFonts w:cs="Times New Roman"/>
          <w:szCs w:val="24"/>
        </w:rPr>
      </w:pPr>
      <w:r w:rsidRPr="00BA4F0F">
        <w:rPr>
          <w:rFonts w:cs="Times New Roman"/>
          <w:i/>
          <w:szCs w:val="24"/>
        </w:rPr>
        <w:t>Примечание.</w:t>
      </w:r>
      <w:r w:rsidRPr="00BA4F0F">
        <w:rPr>
          <w:rFonts w:cs="Times New Roman"/>
          <w:szCs w:val="24"/>
        </w:rPr>
        <w:t xml:space="preserve"> Дрожжевые грибы рода </w:t>
      </w:r>
      <w:r w:rsidRPr="00BA4F0F">
        <w:rPr>
          <w:rFonts w:cs="Times New Roman"/>
          <w:i/>
          <w:szCs w:val="24"/>
        </w:rPr>
        <w:t>Candida</w:t>
      </w:r>
      <w:r w:rsidRPr="00BA4F0F">
        <w:rPr>
          <w:rFonts w:cs="Times New Roman"/>
          <w:szCs w:val="24"/>
        </w:rPr>
        <w:t xml:space="preserve"> обнаруживают у 30% здоровых людей. </w:t>
      </w:r>
    </w:p>
    <w:p w14:paraId="2024BE3D" w14:textId="77777777" w:rsidR="0075793D" w:rsidRPr="00BA4F0F" w:rsidRDefault="0075793D" w:rsidP="0075793D">
      <w:pPr>
        <w:pStyle w:val="afe"/>
        <w:ind w:left="0"/>
        <w:rPr>
          <w:rFonts w:cs="Times New Roman"/>
          <w:i/>
          <w:szCs w:val="24"/>
        </w:rPr>
      </w:pPr>
    </w:p>
    <w:p w14:paraId="3CA2E56E" w14:textId="77777777" w:rsidR="0075793D" w:rsidRPr="00BA4F0F" w:rsidRDefault="0075793D" w:rsidP="0075793D">
      <w:pPr>
        <w:pStyle w:val="afe"/>
        <w:ind w:left="0"/>
        <w:rPr>
          <w:rFonts w:cs="Times New Roman"/>
          <w:i/>
          <w:szCs w:val="24"/>
        </w:rPr>
      </w:pPr>
      <w:r w:rsidRPr="00BA4F0F">
        <w:rPr>
          <w:rFonts w:cs="Times New Roman"/>
          <w:i/>
          <w:szCs w:val="24"/>
        </w:rPr>
        <w:t>Микробиологическое исследование материала со слизистой оболочки пищевода</w:t>
      </w:r>
    </w:p>
    <w:p w14:paraId="50487A70" w14:textId="77777777" w:rsidR="0075793D" w:rsidRPr="00BA4F0F" w:rsidRDefault="0075793D" w:rsidP="005E0272">
      <w:pPr>
        <w:numPr>
          <w:ilvl w:val="0"/>
          <w:numId w:val="186"/>
        </w:numPr>
        <w:tabs>
          <w:tab w:val="left" w:pos="0"/>
          <w:tab w:val="left" w:pos="567"/>
        </w:tabs>
        <w:ind w:left="0" w:firstLine="0"/>
        <w:rPr>
          <w:rFonts w:cs="Times New Roman"/>
          <w:szCs w:val="24"/>
        </w:rPr>
      </w:pPr>
      <w:r w:rsidRPr="00BA4F0F">
        <w:rPr>
          <w:rFonts w:cs="Times New Roman"/>
          <w:szCs w:val="24"/>
        </w:rPr>
        <w:t xml:space="preserve">Показания — боль по ходу пищевода. </w:t>
      </w:r>
    </w:p>
    <w:p w14:paraId="078DED7D" w14:textId="77777777" w:rsidR="0075793D" w:rsidRPr="00BA4F0F" w:rsidRDefault="0075793D" w:rsidP="005E0272">
      <w:pPr>
        <w:numPr>
          <w:ilvl w:val="0"/>
          <w:numId w:val="186"/>
        </w:numPr>
        <w:tabs>
          <w:tab w:val="left" w:pos="0"/>
          <w:tab w:val="left" w:pos="567"/>
        </w:tabs>
        <w:ind w:left="0" w:firstLine="0"/>
        <w:rPr>
          <w:rFonts w:cs="Times New Roman"/>
          <w:szCs w:val="24"/>
        </w:rPr>
      </w:pPr>
      <w:r w:rsidRPr="00BA4F0F">
        <w:rPr>
          <w:rFonts w:cs="Times New Roman"/>
          <w:szCs w:val="24"/>
        </w:rPr>
        <w:t>Выполняется эзофагоскопия (число тромбоцитов должно быть не менее 50 × 10</w:t>
      </w:r>
      <w:r w:rsidRPr="00BA4F0F">
        <w:rPr>
          <w:rFonts w:cs="Times New Roman"/>
          <w:szCs w:val="24"/>
          <w:vertAlign w:val="superscript"/>
        </w:rPr>
        <w:t>9</w:t>
      </w:r>
      <w:r w:rsidRPr="00BA4F0F">
        <w:rPr>
          <w:rFonts w:cs="Times New Roman"/>
          <w:szCs w:val="24"/>
        </w:rPr>
        <w:t xml:space="preserve"> /л). </w:t>
      </w:r>
    </w:p>
    <w:p w14:paraId="6ADC7CDF" w14:textId="77777777" w:rsidR="0075793D" w:rsidRPr="00BA4F0F" w:rsidRDefault="0075793D" w:rsidP="005E0272">
      <w:pPr>
        <w:numPr>
          <w:ilvl w:val="0"/>
          <w:numId w:val="186"/>
        </w:numPr>
        <w:tabs>
          <w:tab w:val="left" w:pos="0"/>
          <w:tab w:val="left" w:pos="567"/>
        </w:tabs>
        <w:ind w:left="0" w:firstLine="0"/>
        <w:rPr>
          <w:rFonts w:cs="Times New Roman"/>
          <w:szCs w:val="24"/>
        </w:rPr>
      </w:pPr>
      <w:r w:rsidRPr="00BA4F0F">
        <w:rPr>
          <w:rFonts w:cs="Times New Roman"/>
          <w:szCs w:val="24"/>
        </w:rPr>
        <w:t xml:space="preserve">Проводится соскоб со слизистой пищевода (браш-методом при нейтропении) или биопсия (вне нейтропении). </w:t>
      </w:r>
    </w:p>
    <w:p w14:paraId="27AF5426" w14:textId="77777777" w:rsidR="0075793D" w:rsidRPr="00BA4F0F" w:rsidRDefault="0075793D" w:rsidP="005E0272">
      <w:pPr>
        <w:numPr>
          <w:ilvl w:val="0"/>
          <w:numId w:val="186"/>
        </w:numPr>
        <w:tabs>
          <w:tab w:val="left" w:pos="0"/>
          <w:tab w:val="left" w:pos="567"/>
        </w:tabs>
        <w:ind w:left="0" w:firstLine="0"/>
        <w:rPr>
          <w:rFonts w:cs="Times New Roman"/>
          <w:szCs w:val="24"/>
        </w:rPr>
      </w:pPr>
      <w:r w:rsidRPr="00BA4F0F">
        <w:rPr>
          <w:rFonts w:cs="Times New Roman"/>
          <w:szCs w:val="24"/>
        </w:rPr>
        <w:t xml:space="preserve">Исследуют образцы в микробиологической (бактерии, грибы), вирусологической (ДНК вируса простого герпеса, ЦМВ) и гистологической лаборатории. </w:t>
      </w:r>
    </w:p>
    <w:p w14:paraId="0C3C0741" w14:textId="77777777" w:rsidR="0075793D" w:rsidRPr="00BA4F0F" w:rsidRDefault="0075793D" w:rsidP="0075793D">
      <w:pPr>
        <w:pStyle w:val="afe"/>
        <w:ind w:left="0"/>
        <w:rPr>
          <w:rFonts w:cs="Times New Roman"/>
          <w:i/>
          <w:szCs w:val="24"/>
        </w:rPr>
      </w:pPr>
    </w:p>
    <w:p w14:paraId="75EF0D18" w14:textId="77777777" w:rsidR="0075793D" w:rsidRPr="00BA4F0F" w:rsidRDefault="0075793D" w:rsidP="0075793D">
      <w:pPr>
        <w:pStyle w:val="afe"/>
        <w:ind w:left="0"/>
        <w:rPr>
          <w:rFonts w:cs="Times New Roman"/>
          <w:i/>
          <w:szCs w:val="24"/>
        </w:rPr>
      </w:pPr>
      <w:r w:rsidRPr="00BA4F0F">
        <w:rPr>
          <w:rFonts w:cs="Times New Roman"/>
          <w:i/>
          <w:szCs w:val="24"/>
        </w:rPr>
        <w:t>Микробиологическое исследование мазка со слизистой оболочки прямой кишки</w:t>
      </w:r>
    </w:p>
    <w:p w14:paraId="6ED652AB" w14:textId="77777777" w:rsidR="0075793D" w:rsidRPr="00BA4F0F" w:rsidRDefault="0075793D" w:rsidP="005E0272">
      <w:pPr>
        <w:numPr>
          <w:ilvl w:val="0"/>
          <w:numId w:val="163"/>
        </w:numPr>
        <w:tabs>
          <w:tab w:val="left" w:pos="0"/>
          <w:tab w:val="left" w:pos="567"/>
        </w:tabs>
        <w:ind w:left="0" w:firstLine="0"/>
        <w:rPr>
          <w:rFonts w:cs="Times New Roman"/>
          <w:szCs w:val="24"/>
        </w:rPr>
      </w:pPr>
      <w:r w:rsidRPr="00BA4F0F">
        <w:rPr>
          <w:rFonts w:cs="Times New Roman"/>
          <w:szCs w:val="24"/>
        </w:rPr>
        <w:t>Показания:</w:t>
      </w:r>
    </w:p>
    <w:p w14:paraId="2F2E5B30" w14:textId="77777777" w:rsidR="0075793D" w:rsidRPr="00BA4F0F" w:rsidRDefault="0075793D" w:rsidP="005E0272">
      <w:pPr>
        <w:numPr>
          <w:ilvl w:val="0"/>
          <w:numId w:val="187"/>
        </w:numPr>
        <w:tabs>
          <w:tab w:val="left" w:pos="0"/>
          <w:tab w:val="left" w:pos="567"/>
        </w:tabs>
        <w:ind w:left="0" w:firstLine="0"/>
        <w:rPr>
          <w:rFonts w:cs="Times New Roman"/>
          <w:szCs w:val="24"/>
        </w:rPr>
      </w:pPr>
      <w:r w:rsidRPr="00BA4F0F">
        <w:rPr>
          <w:rFonts w:cs="Times New Roman"/>
          <w:szCs w:val="24"/>
        </w:rPr>
        <w:t xml:space="preserve">Воспаление или повреждение слизистой (трещина, парапроктит и др.) прямой кишки. </w:t>
      </w:r>
    </w:p>
    <w:p w14:paraId="206D1E06" w14:textId="77777777" w:rsidR="0075793D" w:rsidRPr="00BA4F0F" w:rsidRDefault="0075793D" w:rsidP="005E0272">
      <w:pPr>
        <w:numPr>
          <w:ilvl w:val="0"/>
          <w:numId w:val="187"/>
        </w:numPr>
        <w:tabs>
          <w:tab w:val="left" w:pos="0"/>
          <w:tab w:val="left" w:pos="567"/>
        </w:tabs>
        <w:ind w:left="0" w:firstLine="0"/>
        <w:rPr>
          <w:rFonts w:cs="Times New Roman"/>
          <w:szCs w:val="24"/>
        </w:rPr>
      </w:pPr>
      <w:r w:rsidRPr="00BA4F0F">
        <w:rPr>
          <w:rFonts w:cs="Times New Roman"/>
          <w:szCs w:val="24"/>
        </w:rPr>
        <w:t xml:space="preserve">У больных с фебрильной нейтропенией более 3-4 дней. </w:t>
      </w:r>
    </w:p>
    <w:p w14:paraId="1525A100" w14:textId="77777777" w:rsidR="0075793D" w:rsidRPr="00BA4F0F" w:rsidRDefault="0075793D" w:rsidP="005E0272">
      <w:pPr>
        <w:numPr>
          <w:ilvl w:val="0"/>
          <w:numId w:val="164"/>
        </w:numPr>
        <w:tabs>
          <w:tab w:val="left" w:pos="0"/>
          <w:tab w:val="left" w:pos="567"/>
        </w:tabs>
        <w:ind w:left="0" w:firstLine="0"/>
        <w:rPr>
          <w:rFonts w:cs="Times New Roman"/>
          <w:szCs w:val="24"/>
        </w:rPr>
      </w:pPr>
      <w:r w:rsidRPr="00BA4F0F">
        <w:rPr>
          <w:rFonts w:cs="Times New Roman"/>
          <w:szCs w:val="24"/>
        </w:rPr>
        <w:t xml:space="preserve">На основании выделенных микроорганизмов может быть проведена коррекция антимикробной терапии при сохраняющейся фебрильной нейтропении в случаях отсутствия диагностически значимых результатов исследований из клинически значимых образцов. </w:t>
      </w:r>
    </w:p>
    <w:p w14:paraId="5F9E4827" w14:textId="77777777" w:rsidR="0075793D" w:rsidRPr="00BA4F0F" w:rsidRDefault="0075793D" w:rsidP="005E0272">
      <w:pPr>
        <w:numPr>
          <w:ilvl w:val="0"/>
          <w:numId w:val="164"/>
        </w:numPr>
        <w:tabs>
          <w:tab w:val="left" w:pos="0"/>
          <w:tab w:val="left" w:pos="567"/>
        </w:tabs>
        <w:ind w:left="0" w:firstLine="0"/>
        <w:rPr>
          <w:rFonts w:cs="Times New Roman"/>
          <w:szCs w:val="24"/>
        </w:rPr>
      </w:pPr>
      <w:r w:rsidRPr="00BA4F0F">
        <w:rPr>
          <w:rFonts w:cs="Times New Roman"/>
          <w:szCs w:val="24"/>
        </w:rPr>
        <w:t xml:space="preserve">Обращают внимание, прежде всего на выделение полирезистентных грамотрицаетельных бактерий - </w:t>
      </w:r>
      <w:r w:rsidRPr="00BA4F0F">
        <w:rPr>
          <w:rFonts w:cs="Times New Roman"/>
          <w:i/>
          <w:szCs w:val="24"/>
        </w:rPr>
        <w:t>Pseudomonas aeruginosa</w:t>
      </w:r>
      <w:r w:rsidRPr="00BA4F0F">
        <w:rPr>
          <w:rFonts w:cs="Times New Roman"/>
          <w:szCs w:val="24"/>
        </w:rPr>
        <w:t>, энтеробактерий (</w:t>
      </w:r>
      <w:r w:rsidRPr="00BA4F0F">
        <w:rPr>
          <w:rFonts w:cs="Times New Roman"/>
          <w:i/>
          <w:szCs w:val="24"/>
        </w:rPr>
        <w:t>Escherichia coli, Klebsiella spp.</w:t>
      </w:r>
      <w:r w:rsidRPr="00BA4F0F">
        <w:rPr>
          <w:rFonts w:cs="Times New Roman"/>
          <w:szCs w:val="24"/>
        </w:rPr>
        <w:t xml:space="preserve">), продуцирующих БЛРС или карбапенемаз. </w:t>
      </w:r>
    </w:p>
    <w:p w14:paraId="5642E120" w14:textId="77777777" w:rsidR="0075793D" w:rsidRPr="00BA4F0F" w:rsidRDefault="0075793D" w:rsidP="0075793D">
      <w:pPr>
        <w:pStyle w:val="afe"/>
        <w:ind w:left="0"/>
        <w:rPr>
          <w:rFonts w:cs="Times New Roman"/>
          <w:i/>
          <w:szCs w:val="24"/>
        </w:rPr>
      </w:pPr>
    </w:p>
    <w:p w14:paraId="5EC3641C" w14:textId="77777777" w:rsidR="0075793D" w:rsidRPr="00BA4F0F" w:rsidRDefault="0075793D" w:rsidP="0075793D">
      <w:pPr>
        <w:pStyle w:val="afe"/>
        <w:ind w:left="0"/>
        <w:rPr>
          <w:rFonts w:cs="Times New Roman"/>
          <w:i/>
          <w:szCs w:val="24"/>
        </w:rPr>
      </w:pPr>
      <w:r w:rsidRPr="00BA4F0F">
        <w:rPr>
          <w:rFonts w:cs="Times New Roman"/>
          <w:i/>
          <w:szCs w:val="24"/>
        </w:rPr>
        <w:t>Микробиологическое исследование со слизистой оболочки носовых ходов</w:t>
      </w:r>
    </w:p>
    <w:p w14:paraId="08E47E10" w14:textId="77777777" w:rsidR="0075793D" w:rsidRPr="00BA4F0F" w:rsidRDefault="0075793D" w:rsidP="005E0272">
      <w:pPr>
        <w:numPr>
          <w:ilvl w:val="0"/>
          <w:numId w:val="188"/>
        </w:numPr>
        <w:tabs>
          <w:tab w:val="left" w:pos="0"/>
          <w:tab w:val="left" w:pos="567"/>
        </w:tabs>
        <w:ind w:left="0" w:firstLine="0"/>
        <w:rPr>
          <w:rFonts w:cs="Times New Roman"/>
          <w:szCs w:val="24"/>
        </w:rPr>
      </w:pPr>
      <w:r w:rsidRPr="00BA4F0F">
        <w:rPr>
          <w:rFonts w:cs="Times New Roman"/>
          <w:szCs w:val="24"/>
        </w:rPr>
        <w:t xml:space="preserve">Показания — наличие некроза слизистой оболочки носового хода. </w:t>
      </w:r>
    </w:p>
    <w:p w14:paraId="40C4D0E7" w14:textId="77777777" w:rsidR="0075793D" w:rsidRPr="00BA4F0F" w:rsidRDefault="0075793D" w:rsidP="005E0272">
      <w:pPr>
        <w:numPr>
          <w:ilvl w:val="0"/>
          <w:numId w:val="188"/>
        </w:numPr>
        <w:tabs>
          <w:tab w:val="left" w:pos="0"/>
          <w:tab w:val="left" w:pos="567"/>
        </w:tabs>
        <w:ind w:left="0" w:firstLine="0"/>
        <w:rPr>
          <w:rFonts w:cs="Times New Roman"/>
          <w:szCs w:val="24"/>
        </w:rPr>
      </w:pPr>
      <w:r w:rsidRPr="00BA4F0F">
        <w:rPr>
          <w:rFonts w:cs="Times New Roman"/>
          <w:szCs w:val="24"/>
        </w:rPr>
        <w:t xml:space="preserve">Исследование проводят только на плесневые (мицелиальные) грибы. </w:t>
      </w:r>
    </w:p>
    <w:p w14:paraId="598F0462" w14:textId="77777777" w:rsidR="0075793D" w:rsidRPr="00BA4F0F" w:rsidRDefault="0075793D" w:rsidP="0075793D">
      <w:pPr>
        <w:tabs>
          <w:tab w:val="left" w:pos="0"/>
          <w:tab w:val="left" w:pos="567"/>
        </w:tabs>
        <w:rPr>
          <w:rFonts w:cs="Times New Roman"/>
          <w:szCs w:val="24"/>
        </w:rPr>
      </w:pPr>
      <w:r w:rsidRPr="00BA4F0F">
        <w:rPr>
          <w:rFonts w:cs="Times New Roman"/>
          <w:i/>
          <w:szCs w:val="24"/>
        </w:rPr>
        <w:t>Примечание.</w:t>
      </w:r>
      <w:r w:rsidRPr="00BA4F0F">
        <w:rPr>
          <w:rFonts w:cs="Times New Roman"/>
          <w:szCs w:val="24"/>
        </w:rPr>
        <w:t xml:space="preserve"> Рутинное исследование материала, взятого из носоглотки, ротоглотки, прямой кишки, а также посев мочи в отсутствие признаков поражения не представляет большой клинической ценности. </w:t>
      </w:r>
    </w:p>
    <w:p w14:paraId="5EA814F7" w14:textId="77777777" w:rsidR="0075793D" w:rsidRPr="00BA4F0F" w:rsidRDefault="0075793D" w:rsidP="0075793D">
      <w:pPr>
        <w:pStyle w:val="afe"/>
        <w:ind w:left="0"/>
        <w:rPr>
          <w:rFonts w:cs="Times New Roman"/>
          <w:i/>
          <w:szCs w:val="24"/>
        </w:rPr>
      </w:pPr>
    </w:p>
    <w:p w14:paraId="7139411D" w14:textId="77777777" w:rsidR="0075793D" w:rsidRPr="00BA4F0F" w:rsidRDefault="0075793D" w:rsidP="0075793D">
      <w:pPr>
        <w:pStyle w:val="afe"/>
        <w:ind w:left="0"/>
        <w:rPr>
          <w:rFonts w:cs="Times New Roman"/>
          <w:i/>
          <w:szCs w:val="24"/>
        </w:rPr>
      </w:pPr>
      <w:r w:rsidRPr="00BA4F0F">
        <w:rPr>
          <w:rFonts w:cs="Times New Roman"/>
          <w:i/>
          <w:szCs w:val="24"/>
        </w:rPr>
        <w:t>Микробиологическое исследование биоптатов кожи</w:t>
      </w:r>
    </w:p>
    <w:p w14:paraId="3C83D944" w14:textId="77777777" w:rsidR="0075793D" w:rsidRPr="00BA4F0F" w:rsidRDefault="0075793D" w:rsidP="005E0272">
      <w:pPr>
        <w:numPr>
          <w:ilvl w:val="0"/>
          <w:numId w:val="165"/>
        </w:numPr>
        <w:tabs>
          <w:tab w:val="left" w:pos="0"/>
          <w:tab w:val="left" w:pos="567"/>
        </w:tabs>
        <w:ind w:left="0" w:firstLine="0"/>
        <w:rPr>
          <w:rFonts w:cs="Times New Roman"/>
          <w:szCs w:val="24"/>
        </w:rPr>
      </w:pPr>
      <w:r w:rsidRPr="00BA4F0F">
        <w:rPr>
          <w:rFonts w:cs="Times New Roman"/>
          <w:szCs w:val="24"/>
        </w:rPr>
        <w:t xml:space="preserve">Показания — наличие септикопиемических очагов (инфильтраты в толще кожи — в дерме — любых размеров, болезненные при пальпации, возникшие при лихорадке) или других образований на коже. </w:t>
      </w:r>
    </w:p>
    <w:p w14:paraId="2932D68D" w14:textId="77777777" w:rsidR="0075793D" w:rsidRPr="00BA4F0F" w:rsidRDefault="0075793D" w:rsidP="005E0272">
      <w:pPr>
        <w:numPr>
          <w:ilvl w:val="0"/>
          <w:numId w:val="165"/>
        </w:numPr>
        <w:tabs>
          <w:tab w:val="left" w:pos="0"/>
          <w:tab w:val="left" w:pos="567"/>
        </w:tabs>
        <w:ind w:left="0" w:firstLine="0"/>
        <w:rPr>
          <w:rFonts w:cs="Times New Roman"/>
          <w:szCs w:val="24"/>
        </w:rPr>
      </w:pPr>
      <w:r w:rsidRPr="00BA4F0F">
        <w:rPr>
          <w:rFonts w:cs="Times New Roman"/>
          <w:szCs w:val="24"/>
        </w:rPr>
        <w:t xml:space="preserve">Проводят биопсию тех образований, давность которых составляет 1—2 суток. Биопсию проводят с захватом дермы. </w:t>
      </w:r>
    </w:p>
    <w:p w14:paraId="1E5DB8B0" w14:textId="77777777" w:rsidR="0075793D" w:rsidRPr="00BA4F0F" w:rsidRDefault="0075793D" w:rsidP="005E0272">
      <w:pPr>
        <w:numPr>
          <w:ilvl w:val="0"/>
          <w:numId w:val="165"/>
        </w:numPr>
        <w:tabs>
          <w:tab w:val="left" w:pos="0"/>
          <w:tab w:val="left" w:pos="567"/>
        </w:tabs>
        <w:ind w:left="0" w:firstLine="0"/>
        <w:rPr>
          <w:rFonts w:cs="Times New Roman"/>
          <w:szCs w:val="24"/>
        </w:rPr>
      </w:pPr>
      <w:r w:rsidRPr="00BA4F0F">
        <w:rPr>
          <w:rFonts w:cs="Times New Roman"/>
          <w:szCs w:val="24"/>
        </w:rPr>
        <w:t xml:space="preserve">Проводят гистологическое и микробиологическое исследование на наличие бактерий, включая микобактерии, и грибов. Кроме культурального исследования проводят микроскопию всех образцов (окраска по Граму, Цилю— Нильсену, калькофлюором белым). </w:t>
      </w:r>
    </w:p>
    <w:p w14:paraId="0C830D22" w14:textId="77777777" w:rsidR="0075793D" w:rsidRPr="00BA4F0F" w:rsidRDefault="0075793D" w:rsidP="0075793D">
      <w:pPr>
        <w:pStyle w:val="afe"/>
        <w:ind w:left="0"/>
        <w:rPr>
          <w:rFonts w:cs="Times New Roman"/>
          <w:szCs w:val="24"/>
          <w:u w:val="single"/>
        </w:rPr>
      </w:pPr>
    </w:p>
    <w:p w14:paraId="1A9B98FC" w14:textId="77777777" w:rsidR="0075793D" w:rsidRPr="00BA4F0F" w:rsidRDefault="0075793D" w:rsidP="0075793D">
      <w:pPr>
        <w:pStyle w:val="afe"/>
        <w:ind w:left="0"/>
        <w:rPr>
          <w:rFonts w:cs="Times New Roman"/>
          <w:b/>
          <w:i/>
          <w:szCs w:val="24"/>
        </w:rPr>
      </w:pPr>
      <w:r w:rsidRPr="00BA4F0F">
        <w:rPr>
          <w:rFonts w:cs="Times New Roman"/>
          <w:b/>
          <w:i/>
          <w:szCs w:val="24"/>
        </w:rPr>
        <w:t>Компьютерная томография легких</w:t>
      </w:r>
    </w:p>
    <w:p w14:paraId="5E48C7E6" w14:textId="77777777" w:rsidR="0075793D" w:rsidRPr="00BA4F0F" w:rsidRDefault="0075793D" w:rsidP="005E0272">
      <w:pPr>
        <w:numPr>
          <w:ilvl w:val="0"/>
          <w:numId w:val="166"/>
        </w:numPr>
        <w:tabs>
          <w:tab w:val="left" w:pos="0"/>
          <w:tab w:val="left" w:pos="567"/>
        </w:tabs>
        <w:ind w:left="0" w:firstLine="0"/>
        <w:rPr>
          <w:rFonts w:cs="Times New Roman"/>
          <w:szCs w:val="24"/>
        </w:rPr>
      </w:pPr>
      <w:r w:rsidRPr="00BA4F0F">
        <w:rPr>
          <w:rFonts w:cs="Times New Roman"/>
          <w:szCs w:val="24"/>
        </w:rPr>
        <w:t>Показания:</w:t>
      </w:r>
    </w:p>
    <w:p w14:paraId="29299FEB" w14:textId="77777777" w:rsidR="0075793D" w:rsidRPr="00BA4F0F" w:rsidRDefault="0075793D" w:rsidP="005E0272">
      <w:pPr>
        <w:numPr>
          <w:ilvl w:val="0"/>
          <w:numId w:val="167"/>
        </w:numPr>
        <w:tabs>
          <w:tab w:val="left" w:pos="0"/>
          <w:tab w:val="left" w:pos="567"/>
        </w:tabs>
        <w:ind w:left="0" w:firstLine="0"/>
        <w:rPr>
          <w:rFonts w:cs="Times New Roman"/>
          <w:szCs w:val="24"/>
        </w:rPr>
      </w:pPr>
      <w:r w:rsidRPr="00BA4F0F">
        <w:rPr>
          <w:rFonts w:cs="Times New Roman"/>
          <w:szCs w:val="24"/>
        </w:rPr>
        <w:t xml:space="preserve">Лихорадка неясной этиологии ≥ 5 дней в период нейтропении при нормальной физикальной картине в легких. </w:t>
      </w:r>
    </w:p>
    <w:p w14:paraId="3CE8BA49" w14:textId="77777777" w:rsidR="0075793D" w:rsidRPr="00BA4F0F" w:rsidRDefault="0075793D" w:rsidP="005E0272">
      <w:pPr>
        <w:numPr>
          <w:ilvl w:val="0"/>
          <w:numId w:val="167"/>
        </w:numPr>
        <w:tabs>
          <w:tab w:val="left" w:pos="0"/>
          <w:tab w:val="left" w:pos="567"/>
        </w:tabs>
        <w:ind w:left="0" w:firstLine="0"/>
        <w:rPr>
          <w:rFonts w:cs="Times New Roman"/>
          <w:szCs w:val="24"/>
        </w:rPr>
      </w:pPr>
      <w:r w:rsidRPr="00BA4F0F">
        <w:rPr>
          <w:rFonts w:cs="Times New Roman"/>
          <w:szCs w:val="24"/>
        </w:rPr>
        <w:t xml:space="preserve">Контроль выявленных изменений в легких (первое контрольное исследование проводят через 7 дней от момента диагностики пневмонии и начала антибактериальной или противогрибковой терапии, далее — по мере необходимости). </w:t>
      </w:r>
    </w:p>
    <w:p w14:paraId="473F5A09" w14:textId="77777777" w:rsidR="0075793D" w:rsidRPr="00BA4F0F" w:rsidRDefault="0075793D" w:rsidP="005E0272">
      <w:pPr>
        <w:numPr>
          <w:ilvl w:val="0"/>
          <w:numId w:val="168"/>
        </w:numPr>
        <w:tabs>
          <w:tab w:val="left" w:pos="0"/>
          <w:tab w:val="left" w:pos="567"/>
        </w:tabs>
        <w:ind w:left="0" w:firstLine="0"/>
        <w:rPr>
          <w:rFonts w:cs="Times New Roman"/>
          <w:szCs w:val="24"/>
        </w:rPr>
      </w:pPr>
      <w:r w:rsidRPr="00BA4F0F">
        <w:rPr>
          <w:rFonts w:cs="Times New Roman"/>
          <w:szCs w:val="24"/>
        </w:rPr>
        <w:t xml:space="preserve">КТ легких следует проводить без предварительной рентгенографии грудной клетки. </w:t>
      </w:r>
    </w:p>
    <w:p w14:paraId="646DEB1A" w14:textId="77777777" w:rsidR="0075793D" w:rsidRPr="00BA4F0F" w:rsidRDefault="0075793D" w:rsidP="005E0272">
      <w:pPr>
        <w:numPr>
          <w:ilvl w:val="0"/>
          <w:numId w:val="168"/>
        </w:numPr>
        <w:tabs>
          <w:tab w:val="left" w:pos="0"/>
          <w:tab w:val="left" w:pos="567"/>
        </w:tabs>
        <w:ind w:left="0" w:firstLine="0"/>
        <w:rPr>
          <w:rFonts w:cs="Times New Roman"/>
          <w:szCs w:val="24"/>
        </w:rPr>
      </w:pPr>
      <w:r w:rsidRPr="00BA4F0F">
        <w:rPr>
          <w:rFonts w:cs="Times New Roman"/>
          <w:szCs w:val="24"/>
        </w:rPr>
        <w:t xml:space="preserve">КТ легких при лихорадке в период нейтропении проводят независимо от аускультативной картины легких. </w:t>
      </w:r>
    </w:p>
    <w:p w14:paraId="67E12A7F" w14:textId="77777777" w:rsidR="0075793D" w:rsidRPr="00BA4F0F" w:rsidRDefault="0075793D" w:rsidP="0075793D">
      <w:pPr>
        <w:tabs>
          <w:tab w:val="left" w:pos="0"/>
          <w:tab w:val="left" w:pos="567"/>
        </w:tabs>
        <w:rPr>
          <w:rFonts w:cs="Times New Roman"/>
          <w:szCs w:val="24"/>
        </w:rPr>
      </w:pPr>
      <w:r w:rsidRPr="00BA4F0F">
        <w:rPr>
          <w:rFonts w:cs="Times New Roman"/>
          <w:i/>
          <w:szCs w:val="24"/>
        </w:rPr>
        <w:t>Примечание.</w:t>
      </w:r>
      <w:r w:rsidRPr="00BA4F0F">
        <w:rPr>
          <w:rFonts w:cs="Times New Roman"/>
          <w:szCs w:val="24"/>
        </w:rPr>
        <w:t xml:space="preserve"> Рентгенография органов грудной клетки при нейтропении малоинформативна. С ее помощью нельзя своевременно диагностировать инвазивный аспергиллез, интерстициальные поражения легких (вирусные, грибковые). У больных с нейтропенией этот вид исследования, направленный на поиск инфекционного процесса в легких, необходимо исключить. </w:t>
      </w:r>
    </w:p>
    <w:p w14:paraId="4428331C" w14:textId="77777777" w:rsidR="0075793D" w:rsidRPr="00BA4F0F" w:rsidRDefault="0075793D" w:rsidP="0075793D">
      <w:pPr>
        <w:pStyle w:val="afe"/>
        <w:ind w:left="0"/>
        <w:rPr>
          <w:rFonts w:cs="Times New Roman"/>
          <w:szCs w:val="24"/>
          <w:u w:val="single"/>
        </w:rPr>
      </w:pPr>
    </w:p>
    <w:p w14:paraId="553DA55E" w14:textId="77777777" w:rsidR="0075793D" w:rsidRPr="00BA4F0F" w:rsidRDefault="0075793D" w:rsidP="0075793D">
      <w:pPr>
        <w:pStyle w:val="afe"/>
        <w:ind w:left="0"/>
        <w:rPr>
          <w:rFonts w:cs="Times New Roman"/>
          <w:b/>
          <w:i/>
          <w:szCs w:val="24"/>
        </w:rPr>
      </w:pPr>
      <w:r w:rsidRPr="00BA4F0F">
        <w:rPr>
          <w:rFonts w:cs="Times New Roman"/>
          <w:b/>
          <w:i/>
          <w:szCs w:val="24"/>
        </w:rPr>
        <w:t>Бронхоальвеолярный лаваж</w:t>
      </w:r>
    </w:p>
    <w:p w14:paraId="38FDEC14" w14:textId="77777777" w:rsidR="0075793D" w:rsidRPr="00BA4F0F" w:rsidRDefault="0075793D" w:rsidP="005E0272">
      <w:pPr>
        <w:numPr>
          <w:ilvl w:val="0"/>
          <w:numId w:val="169"/>
        </w:numPr>
        <w:tabs>
          <w:tab w:val="left" w:pos="0"/>
          <w:tab w:val="left" w:pos="567"/>
        </w:tabs>
        <w:ind w:left="0" w:firstLine="0"/>
        <w:rPr>
          <w:rFonts w:cs="Times New Roman"/>
          <w:szCs w:val="24"/>
        </w:rPr>
      </w:pPr>
      <w:r w:rsidRPr="00BA4F0F">
        <w:rPr>
          <w:rFonts w:cs="Times New Roman"/>
          <w:szCs w:val="24"/>
        </w:rPr>
        <w:t>Показания: изменения в легких по данным КТ.</w:t>
      </w:r>
    </w:p>
    <w:p w14:paraId="00568872" w14:textId="77777777" w:rsidR="0075793D" w:rsidRPr="00BA4F0F" w:rsidRDefault="0075793D" w:rsidP="0075793D">
      <w:pPr>
        <w:tabs>
          <w:tab w:val="left" w:pos="0"/>
          <w:tab w:val="left" w:pos="567"/>
        </w:tabs>
        <w:rPr>
          <w:rFonts w:cs="Times New Roman"/>
          <w:szCs w:val="24"/>
        </w:rPr>
      </w:pPr>
      <w:r w:rsidRPr="00BA4F0F">
        <w:rPr>
          <w:rFonts w:cs="Times New Roman"/>
          <w:szCs w:val="24"/>
        </w:rPr>
        <w:t>Перечень диагностических тестов:</w:t>
      </w:r>
    </w:p>
    <w:p w14:paraId="12BD3457" w14:textId="77777777" w:rsidR="0075793D" w:rsidRPr="00BA4F0F" w:rsidRDefault="0075793D" w:rsidP="005E0272">
      <w:pPr>
        <w:numPr>
          <w:ilvl w:val="0"/>
          <w:numId w:val="170"/>
        </w:numPr>
        <w:tabs>
          <w:tab w:val="left" w:pos="0"/>
          <w:tab w:val="left" w:pos="567"/>
        </w:tabs>
        <w:ind w:left="0" w:firstLine="0"/>
        <w:rPr>
          <w:rFonts w:cs="Times New Roman"/>
          <w:szCs w:val="24"/>
        </w:rPr>
      </w:pPr>
      <w:r w:rsidRPr="00BA4F0F">
        <w:rPr>
          <w:rFonts w:cs="Times New Roman"/>
          <w:szCs w:val="24"/>
        </w:rPr>
        <w:t>Исследование жидкости бронхоальвеолярного лаважа (БАЛ):</w:t>
      </w:r>
    </w:p>
    <w:p w14:paraId="7F8DA68D" w14:textId="77777777" w:rsidR="0075793D" w:rsidRPr="00BA4F0F" w:rsidRDefault="0075793D" w:rsidP="005E0272">
      <w:pPr>
        <w:numPr>
          <w:ilvl w:val="0"/>
          <w:numId w:val="171"/>
        </w:numPr>
        <w:tabs>
          <w:tab w:val="left" w:pos="0"/>
          <w:tab w:val="left" w:pos="567"/>
        </w:tabs>
        <w:ind w:left="0" w:firstLine="0"/>
        <w:rPr>
          <w:rFonts w:cs="Times New Roman"/>
          <w:szCs w:val="24"/>
        </w:rPr>
      </w:pPr>
      <w:r w:rsidRPr="00BA4F0F">
        <w:rPr>
          <w:rFonts w:cs="Times New Roman"/>
          <w:szCs w:val="24"/>
        </w:rPr>
        <w:t xml:space="preserve">Цитология мазков. </w:t>
      </w:r>
    </w:p>
    <w:p w14:paraId="783B5939" w14:textId="77777777" w:rsidR="0075793D" w:rsidRPr="00BA4F0F" w:rsidRDefault="0075793D" w:rsidP="005E0272">
      <w:pPr>
        <w:numPr>
          <w:ilvl w:val="0"/>
          <w:numId w:val="171"/>
        </w:numPr>
        <w:tabs>
          <w:tab w:val="left" w:pos="0"/>
          <w:tab w:val="left" w:pos="567"/>
        </w:tabs>
        <w:ind w:left="0" w:firstLine="0"/>
        <w:rPr>
          <w:rFonts w:cs="Times New Roman"/>
          <w:szCs w:val="24"/>
        </w:rPr>
      </w:pPr>
      <w:r w:rsidRPr="00BA4F0F">
        <w:rPr>
          <w:rFonts w:cs="Times New Roman"/>
          <w:szCs w:val="24"/>
        </w:rPr>
        <w:t xml:space="preserve">Микроскопия мазков (окраска по Граму, Цилю—Нильсену). </w:t>
      </w:r>
    </w:p>
    <w:p w14:paraId="17DAE89B" w14:textId="77777777" w:rsidR="0075793D" w:rsidRPr="00BA4F0F" w:rsidRDefault="0075793D" w:rsidP="005E0272">
      <w:pPr>
        <w:numPr>
          <w:ilvl w:val="0"/>
          <w:numId w:val="171"/>
        </w:numPr>
        <w:tabs>
          <w:tab w:val="left" w:pos="0"/>
          <w:tab w:val="left" w:pos="567"/>
        </w:tabs>
        <w:ind w:left="0" w:firstLine="0"/>
        <w:rPr>
          <w:rFonts w:cs="Times New Roman"/>
          <w:szCs w:val="24"/>
        </w:rPr>
      </w:pPr>
      <w:r w:rsidRPr="00BA4F0F">
        <w:rPr>
          <w:rFonts w:cs="Times New Roman"/>
          <w:szCs w:val="24"/>
        </w:rPr>
        <w:t>Флюоресцентная микроскопия на грибы с калькофлуором белым.</w:t>
      </w:r>
    </w:p>
    <w:p w14:paraId="441A3064" w14:textId="77777777" w:rsidR="0075793D" w:rsidRPr="00BA4F0F" w:rsidRDefault="0075793D" w:rsidP="005E0272">
      <w:pPr>
        <w:numPr>
          <w:ilvl w:val="0"/>
          <w:numId w:val="171"/>
        </w:numPr>
        <w:tabs>
          <w:tab w:val="left" w:pos="0"/>
          <w:tab w:val="left" w:pos="567"/>
        </w:tabs>
        <w:ind w:left="0" w:firstLine="0"/>
        <w:rPr>
          <w:rFonts w:cs="Times New Roman"/>
          <w:szCs w:val="24"/>
        </w:rPr>
      </w:pPr>
      <w:r w:rsidRPr="00BA4F0F">
        <w:rPr>
          <w:rFonts w:cs="Times New Roman"/>
          <w:szCs w:val="24"/>
        </w:rPr>
        <w:t xml:space="preserve">Микробиологическое исследование (посев) на бактерии, включая нокардии, и грибы (обязательно на мицелиальные — посев на среду Чапека). </w:t>
      </w:r>
    </w:p>
    <w:p w14:paraId="3BBF3B01" w14:textId="77777777" w:rsidR="0075793D" w:rsidRPr="00BA4F0F" w:rsidRDefault="0075793D" w:rsidP="005E0272">
      <w:pPr>
        <w:numPr>
          <w:ilvl w:val="0"/>
          <w:numId w:val="171"/>
        </w:numPr>
        <w:tabs>
          <w:tab w:val="left" w:pos="0"/>
          <w:tab w:val="left" w:pos="567"/>
        </w:tabs>
        <w:ind w:left="0" w:firstLine="0"/>
        <w:rPr>
          <w:rFonts w:cs="Times New Roman"/>
          <w:szCs w:val="24"/>
        </w:rPr>
      </w:pPr>
      <w:r w:rsidRPr="00BA4F0F">
        <w:rPr>
          <w:rFonts w:cs="Times New Roman"/>
          <w:szCs w:val="24"/>
        </w:rPr>
        <w:t xml:space="preserve">Микробиологическое исследование (посев) на </w:t>
      </w:r>
      <w:r w:rsidRPr="00BA4F0F">
        <w:rPr>
          <w:rFonts w:cs="Times New Roman"/>
          <w:i/>
          <w:szCs w:val="24"/>
          <w:lang w:val="en-US"/>
        </w:rPr>
        <w:t>Legionella</w:t>
      </w:r>
      <w:r w:rsidRPr="00BA4F0F">
        <w:rPr>
          <w:rFonts w:cs="Times New Roman"/>
          <w:i/>
          <w:szCs w:val="24"/>
        </w:rPr>
        <w:t xml:space="preserve"> </w:t>
      </w:r>
      <w:r w:rsidRPr="00BA4F0F">
        <w:rPr>
          <w:rFonts w:cs="Times New Roman"/>
          <w:i/>
          <w:szCs w:val="24"/>
          <w:lang w:val="en-US"/>
        </w:rPr>
        <w:t>spp</w:t>
      </w:r>
      <w:r w:rsidRPr="00BA4F0F">
        <w:rPr>
          <w:rFonts w:cs="Times New Roman"/>
          <w:i/>
          <w:szCs w:val="24"/>
        </w:rPr>
        <w:t>.</w:t>
      </w:r>
      <w:r w:rsidRPr="00BA4F0F">
        <w:rPr>
          <w:rFonts w:cs="Times New Roman"/>
          <w:szCs w:val="24"/>
        </w:rPr>
        <w:t xml:space="preserve"> </w:t>
      </w:r>
    </w:p>
    <w:p w14:paraId="32476490" w14:textId="77777777" w:rsidR="0075793D" w:rsidRPr="00BA4F0F" w:rsidRDefault="0075793D" w:rsidP="005E0272">
      <w:pPr>
        <w:numPr>
          <w:ilvl w:val="0"/>
          <w:numId w:val="171"/>
        </w:numPr>
        <w:tabs>
          <w:tab w:val="left" w:pos="0"/>
          <w:tab w:val="left" w:pos="567"/>
        </w:tabs>
        <w:ind w:left="0" w:firstLine="0"/>
        <w:rPr>
          <w:rFonts w:cs="Times New Roman"/>
          <w:szCs w:val="24"/>
        </w:rPr>
      </w:pPr>
      <w:r w:rsidRPr="00BA4F0F">
        <w:rPr>
          <w:rFonts w:cs="Times New Roman"/>
          <w:szCs w:val="24"/>
        </w:rPr>
        <w:t xml:space="preserve">Исследование на микобактерии (ПЦР). </w:t>
      </w:r>
    </w:p>
    <w:p w14:paraId="77E9C1EC" w14:textId="77777777" w:rsidR="0075793D" w:rsidRPr="00BA4F0F" w:rsidRDefault="0075793D" w:rsidP="005E0272">
      <w:pPr>
        <w:numPr>
          <w:ilvl w:val="0"/>
          <w:numId w:val="171"/>
        </w:numPr>
        <w:tabs>
          <w:tab w:val="left" w:pos="0"/>
          <w:tab w:val="left" w:pos="567"/>
        </w:tabs>
        <w:ind w:left="0" w:firstLine="0"/>
        <w:rPr>
          <w:rFonts w:cs="Times New Roman"/>
          <w:i/>
          <w:szCs w:val="24"/>
        </w:rPr>
      </w:pPr>
      <w:r w:rsidRPr="00BA4F0F">
        <w:rPr>
          <w:rFonts w:cs="Times New Roman"/>
          <w:szCs w:val="24"/>
        </w:rPr>
        <w:t xml:space="preserve">Флюоресцентная микроскопия на </w:t>
      </w:r>
      <w:r w:rsidRPr="00BA4F0F">
        <w:rPr>
          <w:rFonts w:cs="Times New Roman"/>
          <w:i/>
          <w:szCs w:val="24"/>
        </w:rPr>
        <w:t xml:space="preserve">Pneumocystis jiroveci. </w:t>
      </w:r>
    </w:p>
    <w:p w14:paraId="5DC1843A" w14:textId="77777777" w:rsidR="0075793D" w:rsidRPr="00BA4F0F" w:rsidRDefault="0075793D" w:rsidP="005E0272">
      <w:pPr>
        <w:numPr>
          <w:ilvl w:val="0"/>
          <w:numId w:val="171"/>
        </w:numPr>
        <w:tabs>
          <w:tab w:val="left" w:pos="0"/>
          <w:tab w:val="left" w:pos="567"/>
        </w:tabs>
        <w:ind w:left="0" w:firstLine="0"/>
        <w:rPr>
          <w:rFonts w:cs="Times New Roman"/>
          <w:szCs w:val="24"/>
        </w:rPr>
      </w:pPr>
      <w:r w:rsidRPr="00BA4F0F">
        <w:rPr>
          <w:rFonts w:cs="Times New Roman"/>
          <w:szCs w:val="24"/>
        </w:rPr>
        <w:t xml:space="preserve">Определение ДНК </w:t>
      </w:r>
      <w:r w:rsidRPr="00BA4F0F">
        <w:rPr>
          <w:rFonts w:cs="Times New Roman"/>
          <w:i/>
          <w:szCs w:val="24"/>
          <w:lang w:val="en-US"/>
        </w:rPr>
        <w:t>Pneumocystis</w:t>
      </w:r>
      <w:r w:rsidRPr="00BA4F0F">
        <w:rPr>
          <w:rFonts w:cs="Times New Roman"/>
          <w:i/>
          <w:szCs w:val="24"/>
        </w:rPr>
        <w:t xml:space="preserve"> </w:t>
      </w:r>
      <w:r w:rsidRPr="00BA4F0F">
        <w:rPr>
          <w:rFonts w:cs="Times New Roman"/>
          <w:i/>
          <w:szCs w:val="24"/>
          <w:lang w:val="en-US"/>
        </w:rPr>
        <w:t>jirovecii</w:t>
      </w:r>
      <w:r w:rsidRPr="00BA4F0F">
        <w:rPr>
          <w:rFonts w:cs="Times New Roman"/>
          <w:szCs w:val="24"/>
        </w:rPr>
        <w:t xml:space="preserve"> (ПЦР).</w:t>
      </w:r>
    </w:p>
    <w:p w14:paraId="63FA8AE5" w14:textId="77777777" w:rsidR="0075793D" w:rsidRPr="00BA4F0F" w:rsidRDefault="0075793D" w:rsidP="005E0272">
      <w:pPr>
        <w:numPr>
          <w:ilvl w:val="0"/>
          <w:numId w:val="171"/>
        </w:numPr>
        <w:tabs>
          <w:tab w:val="left" w:pos="0"/>
          <w:tab w:val="left" w:pos="567"/>
        </w:tabs>
        <w:ind w:left="0" w:firstLine="0"/>
        <w:rPr>
          <w:rFonts w:cs="Times New Roman"/>
          <w:szCs w:val="24"/>
        </w:rPr>
      </w:pPr>
      <w:r w:rsidRPr="00BA4F0F">
        <w:rPr>
          <w:rFonts w:cs="Times New Roman"/>
          <w:szCs w:val="24"/>
        </w:rPr>
        <w:t xml:space="preserve">Определение антигена </w:t>
      </w:r>
      <w:r w:rsidRPr="00BA4F0F">
        <w:rPr>
          <w:rFonts w:cs="Times New Roman"/>
          <w:i/>
          <w:szCs w:val="24"/>
        </w:rPr>
        <w:t>Aspergillus</w:t>
      </w:r>
      <w:r w:rsidRPr="00BA4F0F">
        <w:rPr>
          <w:rFonts w:cs="Times New Roman"/>
          <w:szCs w:val="24"/>
        </w:rPr>
        <w:t xml:space="preserve"> (галактоманнан) в жидкости БАЛ.</w:t>
      </w:r>
    </w:p>
    <w:p w14:paraId="1DAF6DA0" w14:textId="77777777" w:rsidR="0075793D" w:rsidRPr="00BA4F0F" w:rsidRDefault="0075793D" w:rsidP="005E0272">
      <w:pPr>
        <w:numPr>
          <w:ilvl w:val="0"/>
          <w:numId w:val="171"/>
        </w:numPr>
        <w:tabs>
          <w:tab w:val="left" w:pos="0"/>
          <w:tab w:val="left" w:pos="567"/>
        </w:tabs>
        <w:ind w:left="0" w:firstLine="0"/>
        <w:rPr>
          <w:rFonts w:cs="Times New Roman"/>
          <w:szCs w:val="24"/>
        </w:rPr>
      </w:pPr>
      <w:r w:rsidRPr="00BA4F0F">
        <w:rPr>
          <w:rFonts w:cs="Times New Roman"/>
          <w:szCs w:val="24"/>
        </w:rPr>
        <w:t xml:space="preserve">Определение антигена </w:t>
      </w:r>
      <w:r w:rsidRPr="00BA4F0F">
        <w:rPr>
          <w:rFonts w:cs="Times New Roman"/>
          <w:i/>
          <w:szCs w:val="24"/>
          <w:lang w:val="en-US"/>
        </w:rPr>
        <w:t>Legionella</w:t>
      </w:r>
      <w:r w:rsidRPr="00BA4F0F">
        <w:rPr>
          <w:rFonts w:cs="Times New Roman"/>
          <w:i/>
          <w:szCs w:val="24"/>
        </w:rPr>
        <w:t xml:space="preserve"> </w:t>
      </w:r>
      <w:r w:rsidRPr="00BA4F0F">
        <w:rPr>
          <w:rFonts w:cs="Times New Roman"/>
          <w:i/>
          <w:szCs w:val="24"/>
          <w:lang w:val="en-US"/>
        </w:rPr>
        <w:t>pneumophilia</w:t>
      </w:r>
      <w:r w:rsidRPr="00BA4F0F">
        <w:rPr>
          <w:rFonts w:cs="Times New Roman"/>
          <w:szCs w:val="24"/>
        </w:rPr>
        <w:t xml:space="preserve"> в моче. </w:t>
      </w:r>
    </w:p>
    <w:p w14:paraId="6E0D6552" w14:textId="77777777" w:rsidR="0075793D" w:rsidRPr="00BA4F0F" w:rsidRDefault="0075793D" w:rsidP="005E0272">
      <w:pPr>
        <w:numPr>
          <w:ilvl w:val="0"/>
          <w:numId w:val="171"/>
        </w:numPr>
        <w:tabs>
          <w:tab w:val="left" w:pos="0"/>
          <w:tab w:val="left" w:pos="567"/>
        </w:tabs>
        <w:ind w:left="0" w:firstLine="0"/>
        <w:rPr>
          <w:rFonts w:cs="Times New Roman"/>
          <w:szCs w:val="24"/>
        </w:rPr>
      </w:pPr>
      <w:r w:rsidRPr="00BA4F0F">
        <w:rPr>
          <w:rFonts w:cs="Times New Roman"/>
          <w:szCs w:val="24"/>
        </w:rPr>
        <w:t xml:space="preserve">Определение ДНК </w:t>
      </w:r>
      <w:r w:rsidRPr="00BA4F0F">
        <w:rPr>
          <w:rFonts w:cs="Times New Roman"/>
          <w:i/>
          <w:szCs w:val="24"/>
          <w:lang w:val="en-US"/>
        </w:rPr>
        <w:t>Mycoplasma</w:t>
      </w:r>
      <w:r w:rsidRPr="00BA4F0F">
        <w:rPr>
          <w:rFonts w:cs="Times New Roman"/>
          <w:i/>
          <w:szCs w:val="24"/>
        </w:rPr>
        <w:t xml:space="preserve"> </w:t>
      </w:r>
      <w:r w:rsidRPr="00BA4F0F">
        <w:rPr>
          <w:rFonts w:cs="Times New Roman"/>
          <w:i/>
          <w:szCs w:val="24"/>
          <w:lang w:val="en-US"/>
        </w:rPr>
        <w:t>pneumonia</w:t>
      </w:r>
      <w:r w:rsidRPr="00BA4F0F">
        <w:rPr>
          <w:rFonts w:cs="Times New Roman"/>
          <w:i/>
          <w:szCs w:val="24"/>
        </w:rPr>
        <w:t xml:space="preserve">, </w:t>
      </w:r>
      <w:r w:rsidRPr="00BA4F0F">
        <w:rPr>
          <w:rFonts w:cs="Times New Roman"/>
          <w:i/>
          <w:szCs w:val="24"/>
          <w:lang w:val="en-US"/>
        </w:rPr>
        <w:t>Chlamydophila</w:t>
      </w:r>
      <w:r w:rsidRPr="00BA4F0F">
        <w:rPr>
          <w:rFonts w:cs="Times New Roman"/>
          <w:i/>
          <w:szCs w:val="24"/>
        </w:rPr>
        <w:t xml:space="preserve"> </w:t>
      </w:r>
      <w:r w:rsidRPr="00BA4F0F">
        <w:rPr>
          <w:rFonts w:cs="Times New Roman"/>
          <w:i/>
          <w:szCs w:val="24"/>
          <w:lang w:val="en-US"/>
        </w:rPr>
        <w:t>pneumoniae</w:t>
      </w:r>
      <w:r w:rsidRPr="00BA4F0F">
        <w:rPr>
          <w:rFonts w:cs="Times New Roman"/>
          <w:szCs w:val="24"/>
        </w:rPr>
        <w:t xml:space="preserve"> в жидкости БАЛ. </w:t>
      </w:r>
    </w:p>
    <w:p w14:paraId="12F4DE99" w14:textId="77777777" w:rsidR="0075793D" w:rsidRPr="00BA4F0F" w:rsidRDefault="0075793D" w:rsidP="005E0272">
      <w:pPr>
        <w:numPr>
          <w:ilvl w:val="0"/>
          <w:numId w:val="171"/>
        </w:numPr>
        <w:tabs>
          <w:tab w:val="left" w:pos="0"/>
          <w:tab w:val="left" w:pos="567"/>
        </w:tabs>
        <w:ind w:left="0" w:firstLine="0"/>
        <w:rPr>
          <w:rFonts w:cs="Times New Roman"/>
          <w:szCs w:val="24"/>
        </w:rPr>
      </w:pPr>
      <w:r w:rsidRPr="00BA4F0F">
        <w:rPr>
          <w:rFonts w:cs="Times New Roman"/>
          <w:szCs w:val="24"/>
        </w:rPr>
        <w:t xml:space="preserve">Определение ДНК вирусов (ЦМВ, вирусов гриппа, парагриппа, респираторного синтициального вируса, короновирусов, метапнемовируса человека, герпесвируса человека 6 типа) в жидкости БАЛ (ПЦР). </w:t>
      </w:r>
    </w:p>
    <w:p w14:paraId="570C44F5" w14:textId="77777777" w:rsidR="0075793D" w:rsidRPr="00BA4F0F" w:rsidRDefault="0075793D" w:rsidP="0075793D">
      <w:pPr>
        <w:pStyle w:val="afe"/>
        <w:ind w:left="0"/>
        <w:rPr>
          <w:rFonts w:cs="Times New Roman"/>
          <w:szCs w:val="24"/>
          <w:u w:val="single"/>
        </w:rPr>
      </w:pPr>
    </w:p>
    <w:p w14:paraId="0CBE5FBF" w14:textId="77777777" w:rsidR="0075793D" w:rsidRPr="00BA4F0F" w:rsidRDefault="0075793D" w:rsidP="0075793D">
      <w:pPr>
        <w:pStyle w:val="afe"/>
        <w:ind w:left="0"/>
        <w:rPr>
          <w:rFonts w:cs="Times New Roman"/>
          <w:b/>
          <w:i/>
          <w:szCs w:val="24"/>
        </w:rPr>
      </w:pPr>
      <w:r w:rsidRPr="00BA4F0F">
        <w:rPr>
          <w:rFonts w:cs="Times New Roman"/>
          <w:b/>
          <w:i/>
          <w:szCs w:val="24"/>
        </w:rPr>
        <w:t>Определение антигенов грибов</w:t>
      </w:r>
    </w:p>
    <w:p w14:paraId="7E6BD5B6" w14:textId="77777777" w:rsidR="0075793D" w:rsidRPr="00BA4F0F" w:rsidRDefault="0075793D" w:rsidP="0075793D">
      <w:pPr>
        <w:pStyle w:val="afe"/>
        <w:ind w:left="0"/>
        <w:rPr>
          <w:rFonts w:cs="Times New Roman"/>
          <w:i/>
          <w:szCs w:val="24"/>
        </w:rPr>
      </w:pPr>
      <w:r w:rsidRPr="00BA4F0F">
        <w:rPr>
          <w:rFonts w:cs="Times New Roman"/>
          <w:i/>
          <w:szCs w:val="24"/>
        </w:rPr>
        <w:t xml:space="preserve">Антиген Aspergillus (галактоманнан) </w:t>
      </w:r>
    </w:p>
    <w:p w14:paraId="09F29138" w14:textId="77777777" w:rsidR="0075793D" w:rsidRPr="00BA4F0F" w:rsidRDefault="0075793D" w:rsidP="005E0272">
      <w:pPr>
        <w:numPr>
          <w:ilvl w:val="0"/>
          <w:numId w:val="172"/>
        </w:numPr>
        <w:tabs>
          <w:tab w:val="left" w:pos="0"/>
          <w:tab w:val="left" w:pos="567"/>
        </w:tabs>
        <w:ind w:left="0" w:firstLine="0"/>
        <w:rPr>
          <w:rFonts w:cs="Times New Roman"/>
          <w:szCs w:val="24"/>
        </w:rPr>
      </w:pPr>
      <w:r w:rsidRPr="00BA4F0F">
        <w:rPr>
          <w:rFonts w:cs="Times New Roman"/>
          <w:szCs w:val="24"/>
        </w:rPr>
        <w:t xml:space="preserve">Обнаружение антигена </w:t>
      </w:r>
      <w:r w:rsidRPr="00BA4F0F">
        <w:rPr>
          <w:rFonts w:cs="Times New Roman"/>
          <w:i/>
          <w:szCs w:val="24"/>
        </w:rPr>
        <w:t>Aspergillus</w:t>
      </w:r>
      <w:r w:rsidRPr="00BA4F0F">
        <w:rPr>
          <w:rFonts w:cs="Times New Roman"/>
          <w:szCs w:val="24"/>
        </w:rPr>
        <w:t xml:space="preserve"> включено в критерии диагностики инвазивного аспергиллеза.</w:t>
      </w:r>
    </w:p>
    <w:p w14:paraId="39B9CC9D" w14:textId="77777777" w:rsidR="0075793D" w:rsidRPr="00BA4F0F" w:rsidRDefault="0075793D" w:rsidP="005E0272">
      <w:pPr>
        <w:numPr>
          <w:ilvl w:val="0"/>
          <w:numId w:val="172"/>
        </w:numPr>
        <w:tabs>
          <w:tab w:val="left" w:pos="0"/>
          <w:tab w:val="left" w:pos="567"/>
        </w:tabs>
        <w:ind w:left="0" w:firstLine="0"/>
        <w:rPr>
          <w:rFonts w:cs="Times New Roman"/>
          <w:szCs w:val="24"/>
        </w:rPr>
      </w:pPr>
      <w:r w:rsidRPr="00BA4F0F">
        <w:rPr>
          <w:rFonts w:cs="Times New Roman"/>
          <w:szCs w:val="24"/>
        </w:rPr>
        <w:t xml:space="preserve">Образцы для исследования: </w:t>
      </w:r>
    </w:p>
    <w:p w14:paraId="27EB7083" w14:textId="77777777" w:rsidR="0075793D" w:rsidRPr="00BA4F0F" w:rsidRDefault="0075793D" w:rsidP="005E0272">
      <w:pPr>
        <w:numPr>
          <w:ilvl w:val="0"/>
          <w:numId w:val="173"/>
        </w:numPr>
        <w:tabs>
          <w:tab w:val="left" w:pos="0"/>
          <w:tab w:val="left" w:pos="567"/>
        </w:tabs>
        <w:ind w:left="0" w:firstLine="0"/>
        <w:rPr>
          <w:rFonts w:cs="Times New Roman"/>
          <w:szCs w:val="24"/>
        </w:rPr>
      </w:pPr>
      <w:r w:rsidRPr="00BA4F0F">
        <w:rPr>
          <w:rFonts w:cs="Times New Roman"/>
          <w:szCs w:val="24"/>
        </w:rPr>
        <w:t xml:space="preserve">кровь; </w:t>
      </w:r>
    </w:p>
    <w:p w14:paraId="0E482464" w14:textId="77777777" w:rsidR="0075793D" w:rsidRPr="00BA4F0F" w:rsidRDefault="0075793D" w:rsidP="005E0272">
      <w:pPr>
        <w:numPr>
          <w:ilvl w:val="0"/>
          <w:numId w:val="173"/>
        </w:numPr>
        <w:tabs>
          <w:tab w:val="left" w:pos="0"/>
          <w:tab w:val="left" w:pos="567"/>
        </w:tabs>
        <w:ind w:left="0" w:firstLine="0"/>
        <w:rPr>
          <w:rFonts w:cs="Times New Roman"/>
          <w:szCs w:val="24"/>
        </w:rPr>
      </w:pPr>
      <w:r w:rsidRPr="00BA4F0F">
        <w:rPr>
          <w:rFonts w:cs="Times New Roman"/>
          <w:szCs w:val="24"/>
        </w:rPr>
        <w:t xml:space="preserve">жидкость БАЛ; </w:t>
      </w:r>
    </w:p>
    <w:p w14:paraId="00A8B8CB" w14:textId="77777777" w:rsidR="0075793D" w:rsidRPr="00BA4F0F" w:rsidRDefault="0075793D" w:rsidP="005E0272">
      <w:pPr>
        <w:numPr>
          <w:ilvl w:val="0"/>
          <w:numId w:val="173"/>
        </w:numPr>
        <w:tabs>
          <w:tab w:val="left" w:pos="0"/>
          <w:tab w:val="left" w:pos="567"/>
        </w:tabs>
        <w:ind w:left="0" w:firstLine="0"/>
        <w:rPr>
          <w:rFonts w:cs="Times New Roman"/>
          <w:szCs w:val="24"/>
        </w:rPr>
      </w:pPr>
      <w:r w:rsidRPr="00BA4F0F">
        <w:rPr>
          <w:rFonts w:cs="Times New Roman"/>
          <w:szCs w:val="24"/>
        </w:rPr>
        <w:t xml:space="preserve">СМЖ. </w:t>
      </w:r>
    </w:p>
    <w:p w14:paraId="63C5FA84" w14:textId="77777777" w:rsidR="0075793D" w:rsidRPr="00BA4F0F" w:rsidRDefault="0075793D" w:rsidP="005E0272">
      <w:pPr>
        <w:numPr>
          <w:ilvl w:val="0"/>
          <w:numId w:val="174"/>
        </w:numPr>
        <w:tabs>
          <w:tab w:val="left" w:pos="0"/>
          <w:tab w:val="left" w:pos="567"/>
        </w:tabs>
        <w:ind w:left="0" w:firstLine="0"/>
        <w:rPr>
          <w:rFonts w:cs="Times New Roman"/>
          <w:szCs w:val="24"/>
        </w:rPr>
      </w:pPr>
      <w:r w:rsidRPr="00BA4F0F">
        <w:rPr>
          <w:rFonts w:cs="Times New Roman"/>
          <w:szCs w:val="24"/>
        </w:rPr>
        <w:t xml:space="preserve">Результат определения антигена </w:t>
      </w:r>
      <w:r w:rsidRPr="00BA4F0F">
        <w:rPr>
          <w:rFonts w:cs="Times New Roman"/>
          <w:i/>
          <w:szCs w:val="24"/>
        </w:rPr>
        <w:t xml:space="preserve">Aspergillus </w:t>
      </w:r>
      <w:r w:rsidRPr="00BA4F0F">
        <w:rPr>
          <w:rFonts w:cs="Times New Roman"/>
          <w:szCs w:val="24"/>
        </w:rPr>
        <w:t>считают положительным в крови при индексе оптической плотности ≥ 0,5, в жидкости БАЛ ≥ 1,0, в СМЖ ≥ 0,5.</w:t>
      </w:r>
    </w:p>
    <w:p w14:paraId="3D2891B1" w14:textId="77777777" w:rsidR="0075793D" w:rsidRPr="00BA4F0F" w:rsidRDefault="0075793D" w:rsidP="005E0272">
      <w:pPr>
        <w:numPr>
          <w:ilvl w:val="0"/>
          <w:numId w:val="174"/>
        </w:numPr>
        <w:tabs>
          <w:tab w:val="left" w:pos="0"/>
          <w:tab w:val="left" w:pos="567"/>
        </w:tabs>
        <w:ind w:left="0" w:firstLine="0"/>
        <w:rPr>
          <w:rFonts w:cs="Times New Roman"/>
          <w:szCs w:val="24"/>
        </w:rPr>
      </w:pPr>
      <w:r w:rsidRPr="00BA4F0F">
        <w:rPr>
          <w:rFonts w:cs="Times New Roman"/>
          <w:szCs w:val="24"/>
        </w:rPr>
        <w:t xml:space="preserve">Проводят определение антигена </w:t>
      </w:r>
      <w:r w:rsidRPr="00BA4F0F">
        <w:rPr>
          <w:rFonts w:cs="Times New Roman"/>
          <w:i/>
          <w:szCs w:val="24"/>
        </w:rPr>
        <w:t>Aspergillus</w:t>
      </w:r>
      <w:r w:rsidRPr="00BA4F0F">
        <w:rPr>
          <w:rFonts w:cs="Times New Roman"/>
          <w:szCs w:val="24"/>
        </w:rPr>
        <w:t xml:space="preserve"> у больных с клиническими признаками (или факторами риска) возможного инвазивного микоза.</w:t>
      </w:r>
    </w:p>
    <w:p w14:paraId="5869FC48" w14:textId="77777777" w:rsidR="0075793D" w:rsidRPr="00BA4F0F" w:rsidRDefault="0075793D" w:rsidP="0075793D">
      <w:pPr>
        <w:tabs>
          <w:tab w:val="left" w:pos="0"/>
          <w:tab w:val="left" w:pos="567"/>
        </w:tabs>
        <w:jc w:val="center"/>
        <w:rPr>
          <w:rFonts w:cs="Times New Roman"/>
          <w:b/>
          <w:szCs w:val="24"/>
        </w:rPr>
      </w:pPr>
    </w:p>
    <w:p w14:paraId="75002CD8" w14:textId="77777777" w:rsidR="0075793D" w:rsidRPr="00BA4F0F" w:rsidRDefault="0075793D" w:rsidP="0075793D">
      <w:pPr>
        <w:pStyle w:val="afe"/>
        <w:ind w:left="0"/>
        <w:rPr>
          <w:rFonts w:cs="Times New Roman"/>
          <w:i/>
          <w:szCs w:val="24"/>
        </w:rPr>
      </w:pPr>
      <w:r w:rsidRPr="00BA4F0F">
        <w:rPr>
          <w:rFonts w:cs="Times New Roman"/>
          <w:i/>
          <w:szCs w:val="24"/>
        </w:rPr>
        <w:t>Определение антигена Aspergillus</w:t>
      </w:r>
    </w:p>
    <w:p w14:paraId="22C560BE" w14:textId="77777777" w:rsidR="0075793D" w:rsidRPr="00BA4F0F" w:rsidRDefault="0075793D" w:rsidP="005E0272">
      <w:pPr>
        <w:numPr>
          <w:ilvl w:val="0"/>
          <w:numId w:val="175"/>
        </w:numPr>
        <w:tabs>
          <w:tab w:val="left" w:pos="0"/>
          <w:tab w:val="left" w:pos="567"/>
        </w:tabs>
        <w:ind w:left="0" w:firstLine="0"/>
        <w:rPr>
          <w:rFonts w:cs="Times New Roman"/>
          <w:szCs w:val="24"/>
        </w:rPr>
      </w:pPr>
      <w:r w:rsidRPr="00BA4F0F">
        <w:rPr>
          <w:rFonts w:cs="Times New Roman"/>
          <w:szCs w:val="24"/>
        </w:rPr>
        <w:t xml:space="preserve">Определение антигена Aspergillus (галактоманнана) показано больным лимфомой, множественной миеломой, реципиентам аутологичных стволовых клеток крови при подозрении у них инвазивного аспергиллеза на основании изменений в легких на КТ и наличия факторов риска, индуцирующих развитие инвазивного аспергиллеза (нейтропения от 10 дней и более, прием глюкокортикоидов, терапия флударабином или алемтузумабом). </w:t>
      </w:r>
    </w:p>
    <w:p w14:paraId="091D1FAF" w14:textId="77777777" w:rsidR="0075793D" w:rsidRPr="00BA4F0F" w:rsidRDefault="0075793D" w:rsidP="005E0272">
      <w:pPr>
        <w:numPr>
          <w:ilvl w:val="0"/>
          <w:numId w:val="175"/>
        </w:numPr>
        <w:tabs>
          <w:tab w:val="left" w:pos="0"/>
          <w:tab w:val="left" w:pos="567"/>
        </w:tabs>
        <w:ind w:left="0" w:firstLine="0"/>
        <w:rPr>
          <w:rFonts w:cs="Times New Roman"/>
          <w:szCs w:val="24"/>
        </w:rPr>
      </w:pPr>
      <w:r w:rsidRPr="00BA4F0F">
        <w:rPr>
          <w:rFonts w:cs="Times New Roman"/>
          <w:szCs w:val="24"/>
        </w:rPr>
        <w:t xml:space="preserve">В этих случаях проводят однократное определение антигена </w:t>
      </w:r>
      <w:r w:rsidRPr="00BA4F0F">
        <w:rPr>
          <w:rFonts w:cs="Times New Roman"/>
          <w:i/>
          <w:szCs w:val="24"/>
        </w:rPr>
        <w:t>Aspergillus</w:t>
      </w:r>
      <w:r w:rsidRPr="00BA4F0F">
        <w:rPr>
          <w:rFonts w:cs="Times New Roman"/>
          <w:szCs w:val="24"/>
        </w:rPr>
        <w:t xml:space="preserve"> в жидкости БАЛ или, если у больного нейтропения (гранулоцитов &lt; 0,5 × 10</w:t>
      </w:r>
      <w:r w:rsidRPr="00BA4F0F">
        <w:rPr>
          <w:rFonts w:cs="Times New Roman"/>
          <w:szCs w:val="24"/>
          <w:vertAlign w:val="superscript"/>
        </w:rPr>
        <w:t>9</w:t>
      </w:r>
      <w:r w:rsidRPr="00BA4F0F">
        <w:rPr>
          <w:rFonts w:cs="Times New Roman"/>
          <w:szCs w:val="24"/>
        </w:rPr>
        <w:t xml:space="preserve"> /л), определяют антиген </w:t>
      </w:r>
      <w:r w:rsidRPr="00BA4F0F">
        <w:rPr>
          <w:rFonts w:cs="Times New Roman"/>
          <w:i/>
          <w:szCs w:val="24"/>
        </w:rPr>
        <w:t>Aspergillus</w:t>
      </w:r>
      <w:r w:rsidRPr="00BA4F0F">
        <w:rPr>
          <w:rFonts w:cs="Times New Roman"/>
          <w:szCs w:val="24"/>
        </w:rPr>
        <w:t xml:space="preserve"> в 2-3 образцах крови (не в одном!), взятых в течение суток или течение 2 дней.</w:t>
      </w:r>
    </w:p>
    <w:p w14:paraId="3D553B11" w14:textId="77777777" w:rsidR="0075793D" w:rsidRPr="00BA4F0F" w:rsidRDefault="0075793D" w:rsidP="005E0272">
      <w:pPr>
        <w:numPr>
          <w:ilvl w:val="0"/>
          <w:numId w:val="175"/>
        </w:numPr>
        <w:tabs>
          <w:tab w:val="left" w:pos="0"/>
          <w:tab w:val="left" w:pos="567"/>
        </w:tabs>
        <w:ind w:left="0" w:firstLine="0"/>
        <w:rPr>
          <w:rFonts w:cs="Times New Roman"/>
          <w:b/>
          <w:szCs w:val="24"/>
        </w:rPr>
      </w:pPr>
      <w:r w:rsidRPr="00BA4F0F">
        <w:rPr>
          <w:rFonts w:cs="Times New Roman"/>
          <w:szCs w:val="24"/>
        </w:rPr>
        <w:t xml:space="preserve">Исследование антигена </w:t>
      </w:r>
      <w:r w:rsidRPr="00BA4F0F">
        <w:rPr>
          <w:rFonts w:cs="Times New Roman"/>
          <w:i/>
          <w:szCs w:val="24"/>
        </w:rPr>
        <w:t>Aspergillus</w:t>
      </w:r>
      <w:r w:rsidRPr="00BA4F0F">
        <w:rPr>
          <w:rFonts w:cs="Times New Roman"/>
          <w:szCs w:val="24"/>
        </w:rPr>
        <w:t xml:space="preserve"> проводят до назначения противогрибковых препаратов, активных в отношении мицелиальных грибов. </w:t>
      </w:r>
    </w:p>
    <w:p w14:paraId="09C7C163" w14:textId="77777777" w:rsidR="0075793D" w:rsidRPr="00BA4F0F" w:rsidRDefault="0075793D" w:rsidP="0075793D">
      <w:pPr>
        <w:tabs>
          <w:tab w:val="left" w:pos="0"/>
          <w:tab w:val="left" w:pos="567"/>
        </w:tabs>
        <w:rPr>
          <w:rFonts w:cs="Times New Roman"/>
          <w:szCs w:val="24"/>
        </w:rPr>
      </w:pPr>
      <w:r w:rsidRPr="00BA4F0F">
        <w:rPr>
          <w:rFonts w:cs="Times New Roman"/>
          <w:i/>
          <w:szCs w:val="24"/>
        </w:rPr>
        <w:t>Примечание.</w:t>
      </w:r>
      <w:r w:rsidRPr="00BA4F0F">
        <w:rPr>
          <w:rFonts w:cs="Times New Roman"/>
          <w:szCs w:val="24"/>
        </w:rPr>
        <w:t xml:space="preserve"> У категории больных (при лимфомах, множественной миеломе, у реципиентов аутологичных стволовых клеток крови) вероятность развития инвазивного аспергиллеза составляет 1—5%. </w:t>
      </w:r>
    </w:p>
    <w:p w14:paraId="4F52AE02" w14:textId="77777777" w:rsidR="0075793D" w:rsidRPr="00BA4F0F" w:rsidRDefault="0075793D" w:rsidP="0075793D">
      <w:pPr>
        <w:tabs>
          <w:tab w:val="left" w:pos="0"/>
          <w:tab w:val="left" w:pos="567"/>
        </w:tabs>
        <w:jc w:val="center"/>
        <w:rPr>
          <w:rFonts w:cs="Times New Roman"/>
          <w:b/>
          <w:szCs w:val="24"/>
        </w:rPr>
      </w:pPr>
    </w:p>
    <w:p w14:paraId="31EA61A9" w14:textId="77777777" w:rsidR="0075793D" w:rsidRPr="00BA4F0F" w:rsidRDefault="0075793D" w:rsidP="0075793D">
      <w:pPr>
        <w:pStyle w:val="afe"/>
        <w:ind w:left="0"/>
        <w:rPr>
          <w:rFonts w:cs="Times New Roman"/>
          <w:i/>
          <w:szCs w:val="24"/>
        </w:rPr>
      </w:pPr>
      <w:r w:rsidRPr="00BA4F0F">
        <w:rPr>
          <w:rFonts w:cs="Times New Roman"/>
          <w:i/>
          <w:szCs w:val="24"/>
        </w:rPr>
        <w:t>Антиген Candida (маннан) и антитела к Candida (антиманнан)</w:t>
      </w:r>
    </w:p>
    <w:p w14:paraId="07B16F8F" w14:textId="77777777" w:rsidR="0075793D" w:rsidRPr="00BA4F0F" w:rsidRDefault="0075793D" w:rsidP="005E0272">
      <w:pPr>
        <w:numPr>
          <w:ilvl w:val="0"/>
          <w:numId w:val="176"/>
        </w:numPr>
        <w:tabs>
          <w:tab w:val="left" w:pos="0"/>
          <w:tab w:val="left" w:pos="567"/>
        </w:tabs>
        <w:ind w:left="0" w:firstLine="0"/>
        <w:rPr>
          <w:rFonts w:cs="Times New Roman"/>
          <w:szCs w:val="24"/>
        </w:rPr>
      </w:pPr>
      <w:r w:rsidRPr="00BA4F0F">
        <w:rPr>
          <w:rFonts w:cs="Times New Roman"/>
          <w:szCs w:val="24"/>
        </w:rPr>
        <w:t xml:space="preserve">Обнаружение антигена </w:t>
      </w:r>
      <w:r w:rsidRPr="00BA4F0F">
        <w:rPr>
          <w:rFonts w:cs="Times New Roman"/>
          <w:i/>
          <w:szCs w:val="24"/>
        </w:rPr>
        <w:t>Candida</w:t>
      </w:r>
      <w:r w:rsidRPr="00BA4F0F">
        <w:rPr>
          <w:rFonts w:cs="Times New Roman"/>
          <w:szCs w:val="24"/>
        </w:rPr>
        <w:t xml:space="preserve"> и антител к </w:t>
      </w:r>
      <w:r w:rsidRPr="00BA4F0F">
        <w:rPr>
          <w:rFonts w:cs="Times New Roman"/>
          <w:i/>
          <w:szCs w:val="24"/>
        </w:rPr>
        <w:t>Candida</w:t>
      </w:r>
      <w:r w:rsidRPr="00BA4F0F">
        <w:rPr>
          <w:rFonts w:cs="Times New Roman"/>
          <w:szCs w:val="24"/>
        </w:rPr>
        <w:t xml:space="preserve"> не включено в критерии диагностики инвазивного кандидоза. </w:t>
      </w:r>
    </w:p>
    <w:p w14:paraId="3D116849" w14:textId="77777777" w:rsidR="0075793D" w:rsidRPr="00BA4F0F" w:rsidRDefault="0075793D" w:rsidP="005E0272">
      <w:pPr>
        <w:numPr>
          <w:ilvl w:val="0"/>
          <w:numId w:val="176"/>
        </w:numPr>
        <w:tabs>
          <w:tab w:val="left" w:pos="0"/>
          <w:tab w:val="left" w:pos="567"/>
        </w:tabs>
        <w:ind w:left="0" w:firstLine="0"/>
        <w:rPr>
          <w:rFonts w:cs="Times New Roman"/>
          <w:szCs w:val="24"/>
        </w:rPr>
      </w:pPr>
      <w:r w:rsidRPr="00BA4F0F">
        <w:rPr>
          <w:rFonts w:cs="Times New Roman"/>
          <w:szCs w:val="24"/>
        </w:rPr>
        <w:t xml:space="preserve">Образец для исследования — кровь. </w:t>
      </w:r>
    </w:p>
    <w:p w14:paraId="5FDAA038" w14:textId="77777777" w:rsidR="0075793D" w:rsidRPr="00BA4F0F" w:rsidRDefault="0075793D" w:rsidP="005E0272">
      <w:pPr>
        <w:numPr>
          <w:ilvl w:val="0"/>
          <w:numId w:val="176"/>
        </w:numPr>
        <w:tabs>
          <w:tab w:val="left" w:pos="0"/>
          <w:tab w:val="left" w:pos="567"/>
        </w:tabs>
        <w:ind w:left="0" w:firstLine="0"/>
        <w:rPr>
          <w:rFonts w:cs="Times New Roman"/>
          <w:szCs w:val="24"/>
        </w:rPr>
      </w:pPr>
      <w:r w:rsidRPr="00BA4F0F">
        <w:rPr>
          <w:rFonts w:cs="Times New Roman"/>
          <w:szCs w:val="24"/>
        </w:rPr>
        <w:t xml:space="preserve">Результат определения считается положительным при следующих значениях: </w:t>
      </w:r>
    </w:p>
    <w:p w14:paraId="61416D2B" w14:textId="77777777" w:rsidR="0075793D" w:rsidRPr="00BA4F0F" w:rsidRDefault="0075793D" w:rsidP="005E0272">
      <w:pPr>
        <w:numPr>
          <w:ilvl w:val="0"/>
          <w:numId w:val="177"/>
        </w:numPr>
        <w:tabs>
          <w:tab w:val="left" w:pos="0"/>
          <w:tab w:val="left" w:pos="567"/>
        </w:tabs>
        <w:ind w:left="0" w:firstLine="0"/>
        <w:rPr>
          <w:rFonts w:cs="Times New Roman"/>
          <w:szCs w:val="24"/>
        </w:rPr>
      </w:pPr>
      <w:r w:rsidRPr="00BA4F0F">
        <w:rPr>
          <w:rFonts w:cs="Times New Roman"/>
          <w:szCs w:val="24"/>
        </w:rPr>
        <w:t xml:space="preserve">антиген </w:t>
      </w:r>
      <w:r w:rsidRPr="00BA4F0F">
        <w:rPr>
          <w:rFonts w:cs="Times New Roman"/>
          <w:i/>
          <w:szCs w:val="24"/>
        </w:rPr>
        <w:t>Candida</w:t>
      </w:r>
      <w:r w:rsidRPr="00BA4F0F">
        <w:rPr>
          <w:rFonts w:cs="Times New Roman"/>
          <w:szCs w:val="24"/>
        </w:rPr>
        <w:t xml:space="preserve"> (маннан): ≥ 125 пг/мл; </w:t>
      </w:r>
    </w:p>
    <w:p w14:paraId="2605E8E2" w14:textId="77777777" w:rsidR="0075793D" w:rsidRPr="00BA4F0F" w:rsidRDefault="0075793D" w:rsidP="005E0272">
      <w:pPr>
        <w:numPr>
          <w:ilvl w:val="0"/>
          <w:numId w:val="177"/>
        </w:numPr>
        <w:tabs>
          <w:tab w:val="left" w:pos="0"/>
          <w:tab w:val="left" w:pos="567"/>
        </w:tabs>
        <w:ind w:left="0" w:firstLine="0"/>
        <w:rPr>
          <w:rFonts w:cs="Times New Roman"/>
          <w:szCs w:val="24"/>
        </w:rPr>
      </w:pPr>
      <w:r w:rsidRPr="00BA4F0F">
        <w:rPr>
          <w:rFonts w:cs="Times New Roman"/>
          <w:szCs w:val="24"/>
        </w:rPr>
        <w:t xml:space="preserve">антитела к </w:t>
      </w:r>
      <w:r w:rsidRPr="00BA4F0F">
        <w:rPr>
          <w:rFonts w:cs="Times New Roman"/>
          <w:i/>
          <w:szCs w:val="24"/>
        </w:rPr>
        <w:t>Candida</w:t>
      </w:r>
      <w:r w:rsidRPr="00BA4F0F">
        <w:rPr>
          <w:rFonts w:cs="Times New Roman"/>
          <w:szCs w:val="24"/>
        </w:rPr>
        <w:t xml:space="preserve"> (антиманнан): ≥ 10 ME. </w:t>
      </w:r>
    </w:p>
    <w:p w14:paraId="4BC3ECE9" w14:textId="77777777" w:rsidR="0075793D" w:rsidRPr="00BA4F0F" w:rsidRDefault="0075793D" w:rsidP="005E0272">
      <w:pPr>
        <w:numPr>
          <w:ilvl w:val="0"/>
          <w:numId w:val="176"/>
        </w:numPr>
        <w:tabs>
          <w:tab w:val="left" w:pos="0"/>
          <w:tab w:val="left" w:pos="567"/>
        </w:tabs>
        <w:ind w:left="0" w:firstLine="0"/>
        <w:rPr>
          <w:rFonts w:cs="Times New Roman"/>
          <w:szCs w:val="24"/>
        </w:rPr>
      </w:pPr>
      <w:r w:rsidRPr="00BA4F0F">
        <w:rPr>
          <w:rFonts w:cs="Times New Roman"/>
          <w:szCs w:val="24"/>
        </w:rPr>
        <w:t xml:space="preserve">Показания к проведению исследования: </w:t>
      </w:r>
    </w:p>
    <w:p w14:paraId="36647313" w14:textId="77777777" w:rsidR="0075793D" w:rsidRPr="00BA4F0F" w:rsidRDefault="0075793D" w:rsidP="005E0272">
      <w:pPr>
        <w:numPr>
          <w:ilvl w:val="0"/>
          <w:numId w:val="178"/>
        </w:numPr>
        <w:tabs>
          <w:tab w:val="left" w:pos="0"/>
          <w:tab w:val="left" w:pos="567"/>
        </w:tabs>
        <w:ind w:left="0" w:firstLine="0"/>
        <w:rPr>
          <w:rFonts w:cs="Times New Roman"/>
          <w:szCs w:val="24"/>
        </w:rPr>
      </w:pPr>
      <w:r w:rsidRPr="00BA4F0F">
        <w:rPr>
          <w:rFonts w:cs="Times New Roman"/>
          <w:szCs w:val="24"/>
        </w:rPr>
        <w:t xml:space="preserve">множественные очаги в печени и/или селезенке (подозрение на гепатолиенальный кандидоз); </w:t>
      </w:r>
    </w:p>
    <w:p w14:paraId="469F5DDE" w14:textId="77777777" w:rsidR="0075793D" w:rsidRPr="00BA4F0F" w:rsidRDefault="0075793D" w:rsidP="005E0272">
      <w:pPr>
        <w:numPr>
          <w:ilvl w:val="0"/>
          <w:numId w:val="178"/>
        </w:numPr>
        <w:tabs>
          <w:tab w:val="left" w:pos="0"/>
          <w:tab w:val="left" w:pos="567"/>
        </w:tabs>
        <w:ind w:left="0" w:firstLine="0"/>
        <w:rPr>
          <w:rFonts w:cs="Times New Roman"/>
          <w:szCs w:val="24"/>
        </w:rPr>
      </w:pPr>
      <w:r w:rsidRPr="00BA4F0F">
        <w:rPr>
          <w:rFonts w:cs="Times New Roman"/>
          <w:szCs w:val="24"/>
        </w:rPr>
        <w:t xml:space="preserve">предполагаемый инвазивный кандидоз. </w:t>
      </w:r>
    </w:p>
    <w:p w14:paraId="6AE0EFCD" w14:textId="77777777" w:rsidR="0075793D" w:rsidRPr="00BA4F0F" w:rsidRDefault="0075793D" w:rsidP="0075793D">
      <w:pPr>
        <w:tabs>
          <w:tab w:val="left" w:pos="0"/>
          <w:tab w:val="left" w:pos="567"/>
        </w:tabs>
        <w:rPr>
          <w:rFonts w:cs="Times New Roman"/>
          <w:szCs w:val="24"/>
        </w:rPr>
      </w:pPr>
      <w:r w:rsidRPr="00BA4F0F">
        <w:rPr>
          <w:rFonts w:cs="Times New Roman"/>
          <w:i/>
          <w:szCs w:val="24"/>
        </w:rPr>
        <w:t>Примечание.</w:t>
      </w:r>
      <w:r w:rsidRPr="00BA4F0F">
        <w:rPr>
          <w:rFonts w:cs="Times New Roman"/>
          <w:szCs w:val="24"/>
        </w:rPr>
        <w:t xml:space="preserve"> Чувствительность и специфичность исследования составляют около 50—60%. Интерпретация результатов должна быть осторожной, поскольку высока частота ложноположительных результатов. У больных с колонизацией слизистых оболочек кандидами выявляются положительные результаты определения антиманнана. </w:t>
      </w:r>
    </w:p>
    <w:p w14:paraId="525C89BA" w14:textId="77777777" w:rsidR="0075793D" w:rsidRPr="00BA4F0F" w:rsidRDefault="0075793D" w:rsidP="0075793D">
      <w:pPr>
        <w:tabs>
          <w:tab w:val="left" w:pos="0"/>
          <w:tab w:val="left" w:pos="567"/>
        </w:tabs>
        <w:jc w:val="center"/>
        <w:rPr>
          <w:rFonts w:cs="Times New Roman"/>
          <w:b/>
          <w:szCs w:val="24"/>
        </w:rPr>
      </w:pPr>
    </w:p>
    <w:p w14:paraId="431C80F5" w14:textId="77777777" w:rsidR="0075793D" w:rsidRPr="00BA4F0F" w:rsidRDefault="0075793D" w:rsidP="0075793D">
      <w:pPr>
        <w:pStyle w:val="afe"/>
        <w:ind w:left="0"/>
        <w:rPr>
          <w:rFonts w:cs="Times New Roman"/>
          <w:i/>
          <w:szCs w:val="24"/>
        </w:rPr>
      </w:pPr>
      <w:r w:rsidRPr="00BA4F0F">
        <w:rPr>
          <w:rFonts w:cs="Times New Roman"/>
          <w:i/>
          <w:szCs w:val="24"/>
        </w:rPr>
        <w:t>Антиген Cryptococcus (глюкуроноксиломаннан)</w:t>
      </w:r>
    </w:p>
    <w:p w14:paraId="378C0F6C" w14:textId="77777777" w:rsidR="0075793D" w:rsidRPr="00BA4F0F" w:rsidRDefault="0075793D" w:rsidP="005E0272">
      <w:pPr>
        <w:numPr>
          <w:ilvl w:val="0"/>
          <w:numId w:val="179"/>
        </w:numPr>
        <w:tabs>
          <w:tab w:val="left" w:pos="0"/>
          <w:tab w:val="left" w:pos="567"/>
        </w:tabs>
        <w:ind w:left="0" w:firstLine="0"/>
        <w:rPr>
          <w:rFonts w:cs="Times New Roman"/>
          <w:szCs w:val="24"/>
        </w:rPr>
      </w:pPr>
      <w:r w:rsidRPr="00BA4F0F">
        <w:rPr>
          <w:rFonts w:cs="Times New Roman"/>
          <w:szCs w:val="24"/>
        </w:rPr>
        <w:t xml:space="preserve">Обнаружение антигена </w:t>
      </w:r>
      <w:r w:rsidRPr="00BA4F0F">
        <w:rPr>
          <w:rFonts w:cs="Times New Roman"/>
          <w:i/>
          <w:szCs w:val="24"/>
        </w:rPr>
        <w:t>Cryptococcus</w:t>
      </w:r>
      <w:r w:rsidRPr="00BA4F0F">
        <w:rPr>
          <w:rFonts w:cs="Times New Roman"/>
          <w:szCs w:val="24"/>
        </w:rPr>
        <w:t xml:space="preserve"> (глюкуроноксиломаннана) включено в критерии диагностики инвазивного криптоккоза. </w:t>
      </w:r>
    </w:p>
    <w:p w14:paraId="1338629A" w14:textId="77777777" w:rsidR="0075793D" w:rsidRPr="00BA4F0F" w:rsidRDefault="0075793D" w:rsidP="005E0272">
      <w:pPr>
        <w:numPr>
          <w:ilvl w:val="0"/>
          <w:numId w:val="179"/>
        </w:numPr>
        <w:tabs>
          <w:tab w:val="left" w:pos="0"/>
          <w:tab w:val="left" w:pos="567"/>
        </w:tabs>
        <w:ind w:left="0" w:firstLine="0"/>
        <w:rPr>
          <w:rFonts w:cs="Times New Roman"/>
          <w:szCs w:val="24"/>
        </w:rPr>
      </w:pPr>
      <w:r w:rsidRPr="00BA4F0F">
        <w:rPr>
          <w:rFonts w:cs="Times New Roman"/>
          <w:szCs w:val="24"/>
        </w:rPr>
        <w:t xml:space="preserve">Образцы для исследования: </w:t>
      </w:r>
    </w:p>
    <w:p w14:paraId="752B628B" w14:textId="77777777" w:rsidR="0075793D" w:rsidRPr="00BA4F0F" w:rsidRDefault="0075793D" w:rsidP="005E0272">
      <w:pPr>
        <w:numPr>
          <w:ilvl w:val="0"/>
          <w:numId w:val="180"/>
        </w:numPr>
        <w:tabs>
          <w:tab w:val="left" w:pos="0"/>
          <w:tab w:val="left" w:pos="567"/>
        </w:tabs>
        <w:ind w:left="0" w:firstLine="0"/>
        <w:rPr>
          <w:rFonts w:cs="Times New Roman"/>
          <w:szCs w:val="24"/>
        </w:rPr>
      </w:pPr>
      <w:r w:rsidRPr="00BA4F0F">
        <w:rPr>
          <w:rFonts w:cs="Times New Roman"/>
          <w:szCs w:val="24"/>
        </w:rPr>
        <w:t xml:space="preserve">кровь; </w:t>
      </w:r>
    </w:p>
    <w:p w14:paraId="1C705BF8" w14:textId="77777777" w:rsidR="0075793D" w:rsidRPr="00BA4F0F" w:rsidRDefault="0075793D" w:rsidP="005E0272">
      <w:pPr>
        <w:numPr>
          <w:ilvl w:val="0"/>
          <w:numId w:val="180"/>
        </w:numPr>
        <w:tabs>
          <w:tab w:val="left" w:pos="0"/>
          <w:tab w:val="left" w:pos="567"/>
        </w:tabs>
        <w:ind w:left="0" w:firstLine="0"/>
        <w:rPr>
          <w:rFonts w:cs="Times New Roman"/>
          <w:szCs w:val="24"/>
        </w:rPr>
      </w:pPr>
      <w:r w:rsidRPr="00BA4F0F">
        <w:rPr>
          <w:rFonts w:cs="Times New Roman"/>
          <w:szCs w:val="24"/>
        </w:rPr>
        <w:t xml:space="preserve">жидкость БАЛ; </w:t>
      </w:r>
    </w:p>
    <w:p w14:paraId="1D84FB1C" w14:textId="77777777" w:rsidR="0075793D" w:rsidRPr="00BA4F0F" w:rsidRDefault="0075793D" w:rsidP="005E0272">
      <w:pPr>
        <w:numPr>
          <w:ilvl w:val="0"/>
          <w:numId w:val="180"/>
        </w:numPr>
        <w:tabs>
          <w:tab w:val="left" w:pos="0"/>
          <w:tab w:val="left" w:pos="567"/>
        </w:tabs>
        <w:ind w:left="0" w:firstLine="0"/>
        <w:rPr>
          <w:rFonts w:cs="Times New Roman"/>
          <w:szCs w:val="24"/>
        </w:rPr>
      </w:pPr>
      <w:r w:rsidRPr="00BA4F0F">
        <w:rPr>
          <w:rFonts w:cs="Times New Roman"/>
          <w:szCs w:val="24"/>
        </w:rPr>
        <w:t xml:space="preserve">СМЖ; </w:t>
      </w:r>
    </w:p>
    <w:p w14:paraId="11A215A0" w14:textId="77777777" w:rsidR="0075793D" w:rsidRPr="00BA4F0F" w:rsidRDefault="0075793D" w:rsidP="005E0272">
      <w:pPr>
        <w:numPr>
          <w:ilvl w:val="0"/>
          <w:numId w:val="180"/>
        </w:numPr>
        <w:tabs>
          <w:tab w:val="left" w:pos="0"/>
          <w:tab w:val="left" w:pos="567"/>
        </w:tabs>
        <w:ind w:left="0" w:firstLine="0"/>
        <w:rPr>
          <w:rFonts w:cs="Times New Roman"/>
          <w:szCs w:val="24"/>
        </w:rPr>
      </w:pPr>
      <w:r w:rsidRPr="00BA4F0F">
        <w:rPr>
          <w:rFonts w:cs="Times New Roman"/>
          <w:szCs w:val="24"/>
        </w:rPr>
        <w:t xml:space="preserve">моча. </w:t>
      </w:r>
    </w:p>
    <w:p w14:paraId="1224544C" w14:textId="77777777" w:rsidR="0075793D" w:rsidRPr="00BA4F0F" w:rsidRDefault="0075793D" w:rsidP="005E0272">
      <w:pPr>
        <w:numPr>
          <w:ilvl w:val="0"/>
          <w:numId w:val="181"/>
        </w:numPr>
        <w:tabs>
          <w:tab w:val="left" w:pos="0"/>
          <w:tab w:val="left" w:pos="567"/>
        </w:tabs>
        <w:ind w:left="0" w:firstLine="0"/>
        <w:rPr>
          <w:rFonts w:cs="Times New Roman"/>
          <w:szCs w:val="24"/>
        </w:rPr>
      </w:pPr>
      <w:r w:rsidRPr="00BA4F0F">
        <w:rPr>
          <w:rFonts w:cs="Times New Roman"/>
          <w:szCs w:val="24"/>
        </w:rPr>
        <w:t xml:space="preserve">Высокой чувствительностью и специфичностью обладает латекс-тест (анализ качественный - положительный или отрицательный). </w:t>
      </w:r>
    </w:p>
    <w:p w14:paraId="16C2B1CB" w14:textId="77777777" w:rsidR="0075793D" w:rsidRPr="00BA4F0F" w:rsidRDefault="0075793D" w:rsidP="005E0272">
      <w:pPr>
        <w:numPr>
          <w:ilvl w:val="0"/>
          <w:numId w:val="181"/>
        </w:numPr>
        <w:tabs>
          <w:tab w:val="left" w:pos="0"/>
          <w:tab w:val="left" w:pos="567"/>
        </w:tabs>
        <w:ind w:left="0" w:firstLine="0"/>
        <w:rPr>
          <w:rFonts w:cs="Times New Roman"/>
          <w:szCs w:val="24"/>
        </w:rPr>
      </w:pPr>
      <w:r w:rsidRPr="00BA4F0F">
        <w:rPr>
          <w:rFonts w:cs="Times New Roman"/>
          <w:szCs w:val="24"/>
        </w:rPr>
        <w:t xml:space="preserve">Показания к определению антигена </w:t>
      </w:r>
      <w:r w:rsidRPr="00BA4F0F">
        <w:rPr>
          <w:rFonts w:cs="Times New Roman"/>
          <w:i/>
          <w:szCs w:val="24"/>
        </w:rPr>
        <w:t>Cryptococcus</w:t>
      </w:r>
      <w:r w:rsidRPr="00BA4F0F">
        <w:rPr>
          <w:rFonts w:cs="Times New Roman"/>
          <w:szCs w:val="24"/>
        </w:rPr>
        <w:t xml:space="preserve"> (глюкуроноксиломаннан): </w:t>
      </w:r>
    </w:p>
    <w:p w14:paraId="462B657A" w14:textId="77777777" w:rsidR="0075793D" w:rsidRPr="00BA4F0F" w:rsidRDefault="0075793D" w:rsidP="005E0272">
      <w:pPr>
        <w:numPr>
          <w:ilvl w:val="0"/>
          <w:numId w:val="182"/>
        </w:numPr>
        <w:tabs>
          <w:tab w:val="left" w:pos="0"/>
          <w:tab w:val="left" w:pos="567"/>
        </w:tabs>
        <w:ind w:left="0" w:firstLine="0"/>
        <w:rPr>
          <w:rFonts w:cs="Times New Roman"/>
          <w:szCs w:val="24"/>
        </w:rPr>
      </w:pPr>
      <w:r w:rsidRPr="00BA4F0F">
        <w:rPr>
          <w:rFonts w:cs="Times New Roman"/>
          <w:szCs w:val="24"/>
        </w:rPr>
        <w:t xml:space="preserve">исследование всех первых образцов СМЖ при симптомах инфекции ЦНС у больных опухолями системы крови; </w:t>
      </w:r>
    </w:p>
    <w:p w14:paraId="09E0E406" w14:textId="77777777" w:rsidR="0075793D" w:rsidRPr="00BA4F0F" w:rsidRDefault="0075793D" w:rsidP="005E0272">
      <w:pPr>
        <w:numPr>
          <w:ilvl w:val="0"/>
          <w:numId w:val="182"/>
        </w:numPr>
        <w:tabs>
          <w:tab w:val="left" w:pos="0"/>
          <w:tab w:val="left" w:pos="567"/>
        </w:tabs>
        <w:ind w:left="0" w:firstLine="0"/>
        <w:rPr>
          <w:rFonts w:cs="Times New Roman"/>
          <w:szCs w:val="24"/>
        </w:rPr>
      </w:pPr>
      <w:r w:rsidRPr="00BA4F0F">
        <w:rPr>
          <w:rFonts w:cs="Times New Roman"/>
          <w:szCs w:val="24"/>
        </w:rPr>
        <w:t xml:space="preserve">исследование второго образца спинномозговой жидкости при некупируемой инфекции ЦНС; </w:t>
      </w:r>
    </w:p>
    <w:p w14:paraId="13986079" w14:textId="77777777" w:rsidR="0075793D" w:rsidRPr="00BA4F0F" w:rsidRDefault="0075793D" w:rsidP="005E0272">
      <w:pPr>
        <w:numPr>
          <w:ilvl w:val="0"/>
          <w:numId w:val="182"/>
        </w:numPr>
        <w:tabs>
          <w:tab w:val="left" w:pos="0"/>
          <w:tab w:val="left" w:pos="567"/>
        </w:tabs>
        <w:ind w:left="0" w:firstLine="0"/>
        <w:rPr>
          <w:rFonts w:cs="Times New Roman"/>
          <w:szCs w:val="24"/>
        </w:rPr>
      </w:pPr>
      <w:r w:rsidRPr="00BA4F0F">
        <w:rPr>
          <w:rFonts w:cs="Times New Roman"/>
          <w:szCs w:val="24"/>
        </w:rPr>
        <w:t xml:space="preserve">исследование антигена </w:t>
      </w:r>
      <w:r w:rsidRPr="00BA4F0F">
        <w:rPr>
          <w:rFonts w:cs="Times New Roman"/>
          <w:i/>
          <w:szCs w:val="24"/>
        </w:rPr>
        <w:t>Cryptococcus</w:t>
      </w:r>
      <w:r w:rsidRPr="00BA4F0F">
        <w:rPr>
          <w:rFonts w:cs="Times New Roman"/>
          <w:szCs w:val="24"/>
        </w:rPr>
        <w:t xml:space="preserve"> (глюкуроноксиломаннан) в крови в случае предполагаемой криптококковой инфекции. </w:t>
      </w:r>
    </w:p>
    <w:p w14:paraId="57B9AE77" w14:textId="77777777" w:rsidR="0075793D" w:rsidRPr="00BA4F0F" w:rsidRDefault="0075793D" w:rsidP="0075793D">
      <w:pPr>
        <w:tabs>
          <w:tab w:val="left" w:pos="0"/>
          <w:tab w:val="left" w:pos="567"/>
        </w:tabs>
        <w:rPr>
          <w:rFonts w:cs="Times New Roman"/>
          <w:szCs w:val="24"/>
        </w:rPr>
      </w:pPr>
      <w:r w:rsidRPr="00BA4F0F">
        <w:rPr>
          <w:rFonts w:cs="Times New Roman"/>
          <w:i/>
          <w:szCs w:val="24"/>
        </w:rPr>
        <w:t>Примечание.</w:t>
      </w:r>
      <w:r w:rsidRPr="00BA4F0F">
        <w:rPr>
          <w:rFonts w:cs="Times New Roman"/>
          <w:szCs w:val="24"/>
        </w:rPr>
        <w:t xml:space="preserve"> Криптококкоз развивается, прежде всего, у больных с Т-клеточным иммунодефицитом (лимфома, хронический лимфолейкоз). Группу риска составляют больные, которые получают лечение глюкокортикоидами, флударабином, алемтузумабом, циклоспорином. </w:t>
      </w:r>
    </w:p>
    <w:p w14:paraId="0966E107" w14:textId="77777777" w:rsidR="0075793D" w:rsidRPr="00BA4F0F" w:rsidRDefault="0075793D" w:rsidP="0075793D">
      <w:pPr>
        <w:pStyle w:val="afe"/>
        <w:ind w:left="0"/>
        <w:rPr>
          <w:rFonts w:cs="Times New Roman"/>
          <w:szCs w:val="24"/>
          <w:u w:val="single"/>
        </w:rPr>
      </w:pPr>
    </w:p>
    <w:p w14:paraId="4AD37C32" w14:textId="77777777" w:rsidR="0075793D" w:rsidRPr="00BA4F0F" w:rsidRDefault="0075793D" w:rsidP="0075793D">
      <w:pPr>
        <w:pStyle w:val="afe"/>
        <w:ind w:left="0"/>
        <w:rPr>
          <w:rFonts w:cs="Times New Roman"/>
          <w:b/>
          <w:i/>
          <w:szCs w:val="24"/>
        </w:rPr>
      </w:pPr>
      <w:r w:rsidRPr="00BA4F0F">
        <w:rPr>
          <w:rFonts w:cs="Times New Roman"/>
          <w:b/>
          <w:i/>
          <w:szCs w:val="24"/>
        </w:rPr>
        <w:t>Исследование крови на антитела к Мycoplasma pneumoniae (IgM, IgG), Chlamydia pneumoniae (IgM, IgG) в крови</w:t>
      </w:r>
    </w:p>
    <w:p w14:paraId="2E505BEA" w14:textId="77777777" w:rsidR="0075793D" w:rsidRPr="00BA4F0F" w:rsidRDefault="0075793D" w:rsidP="005E0272">
      <w:pPr>
        <w:numPr>
          <w:ilvl w:val="0"/>
          <w:numId w:val="183"/>
        </w:numPr>
        <w:tabs>
          <w:tab w:val="left" w:pos="0"/>
          <w:tab w:val="left" w:pos="567"/>
        </w:tabs>
        <w:ind w:left="0" w:firstLine="0"/>
        <w:rPr>
          <w:rFonts w:cs="Times New Roman"/>
          <w:szCs w:val="24"/>
        </w:rPr>
      </w:pPr>
      <w:r w:rsidRPr="00BA4F0F">
        <w:rPr>
          <w:rFonts w:cs="Times New Roman"/>
          <w:szCs w:val="24"/>
        </w:rPr>
        <w:t xml:space="preserve">Показания — пневмония. </w:t>
      </w:r>
    </w:p>
    <w:p w14:paraId="5BE2DA00" w14:textId="77777777" w:rsidR="0075793D" w:rsidRPr="00BA4F0F" w:rsidRDefault="0075793D" w:rsidP="0075793D">
      <w:pPr>
        <w:tabs>
          <w:tab w:val="left" w:pos="0"/>
          <w:tab w:val="left" w:pos="567"/>
        </w:tabs>
        <w:rPr>
          <w:rFonts w:cs="Times New Roman"/>
          <w:szCs w:val="24"/>
        </w:rPr>
      </w:pPr>
      <w:r w:rsidRPr="00BA4F0F">
        <w:rPr>
          <w:rFonts w:cs="Times New Roman"/>
          <w:i/>
          <w:szCs w:val="24"/>
        </w:rPr>
        <w:t>Примечание.</w:t>
      </w:r>
      <w:r w:rsidRPr="00BA4F0F">
        <w:rPr>
          <w:rFonts w:cs="Times New Roman"/>
          <w:szCs w:val="24"/>
        </w:rPr>
        <w:t xml:space="preserve"> При положительных результатах определения IgG и наличии лихорадки исследование повторяют через 10—14 дней. </w:t>
      </w:r>
    </w:p>
    <w:p w14:paraId="28D22278" w14:textId="77777777" w:rsidR="0075793D" w:rsidRPr="00BA4F0F" w:rsidRDefault="0075793D" w:rsidP="0075793D">
      <w:pPr>
        <w:tabs>
          <w:tab w:val="left" w:pos="0"/>
          <w:tab w:val="left" w:pos="567"/>
        </w:tabs>
        <w:rPr>
          <w:rFonts w:cs="Times New Roman"/>
          <w:szCs w:val="24"/>
        </w:rPr>
      </w:pPr>
    </w:p>
    <w:p w14:paraId="208121B9" w14:textId="77777777" w:rsidR="0075793D" w:rsidRPr="00BA4F0F" w:rsidRDefault="0075793D" w:rsidP="0075793D">
      <w:pPr>
        <w:pStyle w:val="afe"/>
        <w:ind w:left="0"/>
        <w:rPr>
          <w:rFonts w:cs="Times New Roman"/>
          <w:b/>
          <w:i/>
          <w:szCs w:val="24"/>
        </w:rPr>
      </w:pPr>
      <w:r w:rsidRPr="00BA4F0F">
        <w:rPr>
          <w:rFonts w:cs="Times New Roman"/>
          <w:b/>
          <w:i/>
          <w:szCs w:val="24"/>
        </w:rPr>
        <w:t>МРТ головного мозга</w:t>
      </w:r>
    </w:p>
    <w:p w14:paraId="14F77EAA" w14:textId="77777777" w:rsidR="0075793D" w:rsidRPr="00BA4F0F" w:rsidRDefault="0075793D" w:rsidP="005E0272">
      <w:pPr>
        <w:numPr>
          <w:ilvl w:val="0"/>
          <w:numId w:val="231"/>
        </w:numPr>
        <w:tabs>
          <w:tab w:val="left" w:pos="0"/>
          <w:tab w:val="left" w:pos="567"/>
        </w:tabs>
        <w:ind w:left="0" w:firstLine="0"/>
        <w:rPr>
          <w:rFonts w:cs="Times New Roman"/>
          <w:b/>
          <w:szCs w:val="24"/>
        </w:rPr>
      </w:pPr>
      <w:r w:rsidRPr="00BA4F0F">
        <w:rPr>
          <w:rFonts w:cs="Times New Roman"/>
          <w:szCs w:val="24"/>
        </w:rPr>
        <w:t xml:space="preserve">Показания – появление неврологической симптоматики, симптомов менингита. Развитие на фоне фебрильной нейтропении мозговой симптоматики. </w:t>
      </w:r>
    </w:p>
    <w:p w14:paraId="75C30C08" w14:textId="77777777" w:rsidR="0075793D" w:rsidRPr="00BA4F0F" w:rsidRDefault="0075793D" w:rsidP="005E0272">
      <w:pPr>
        <w:numPr>
          <w:ilvl w:val="0"/>
          <w:numId w:val="231"/>
        </w:numPr>
        <w:tabs>
          <w:tab w:val="left" w:pos="0"/>
          <w:tab w:val="left" w:pos="567"/>
        </w:tabs>
        <w:ind w:left="0" w:firstLine="0"/>
        <w:rPr>
          <w:rFonts w:cs="Times New Roman"/>
          <w:b/>
          <w:szCs w:val="24"/>
        </w:rPr>
      </w:pPr>
      <w:r w:rsidRPr="00BA4F0F">
        <w:rPr>
          <w:rFonts w:cs="Times New Roman"/>
          <w:szCs w:val="24"/>
        </w:rPr>
        <w:t xml:space="preserve">При выявлении очага (очагов) в веществе головного мозга необходимо выполнение люмбальной пункции с последующими цитологическим и микробиологическими исследованиями. </w:t>
      </w:r>
    </w:p>
    <w:p w14:paraId="56B18BA9" w14:textId="77777777" w:rsidR="0075793D" w:rsidRPr="00BA4F0F" w:rsidRDefault="0075793D" w:rsidP="0075793D">
      <w:pPr>
        <w:pStyle w:val="afe"/>
        <w:ind w:left="0"/>
        <w:rPr>
          <w:rFonts w:cs="Times New Roman"/>
          <w:szCs w:val="24"/>
          <w:u w:val="single"/>
        </w:rPr>
      </w:pPr>
    </w:p>
    <w:p w14:paraId="7447BCDD" w14:textId="77777777" w:rsidR="0075793D" w:rsidRPr="00BA4F0F" w:rsidRDefault="0075793D" w:rsidP="0075793D">
      <w:pPr>
        <w:pStyle w:val="afe"/>
        <w:ind w:left="0"/>
        <w:rPr>
          <w:rFonts w:cs="Times New Roman"/>
          <w:b/>
          <w:i/>
          <w:szCs w:val="24"/>
        </w:rPr>
      </w:pPr>
      <w:r w:rsidRPr="00BA4F0F">
        <w:rPr>
          <w:rFonts w:cs="Times New Roman"/>
          <w:b/>
          <w:i/>
          <w:szCs w:val="24"/>
        </w:rPr>
        <w:t>Ультразвуковое исследование или компьютерная томография органов брюшной полости</w:t>
      </w:r>
    </w:p>
    <w:p w14:paraId="7F256EC1" w14:textId="77777777" w:rsidR="0075793D" w:rsidRPr="00BA4F0F" w:rsidRDefault="0075793D" w:rsidP="005E0272">
      <w:pPr>
        <w:numPr>
          <w:ilvl w:val="0"/>
          <w:numId w:val="183"/>
        </w:numPr>
        <w:tabs>
          <w:tab w:val="left" w:pos="0"/>
          <w:tab w:val="left" w:pos="567"/>
        </w:tabs>
        <w:ind w:left="0" w:firstLine="0"/>
        <w:rPr>
          <w:rFonts w:cs="Times New Roman"/>
          <w:szCs w:val="24"/>
        </w:rPr>
      </w:pPr>
      <w:r w:rsidRPr="00BA4F0F">
        <w:rPr>
          <w:rFonts w:cs="Times New Roman"/>
          <w:szCs w:val="24"/>
        </w:rPr>
        <w:t>Показания — сохраняющаяся лихорадка (колебания температуры в течение суток от 37 до 39°С) при восстановлении числа нейтрофилов (число гранулоцитов &gt; 0,5 × 10</w:t>
      </w:r>
      <w:r w:rsidRPr="00BA4F0F">
        <w:rPr>
          <w:rFonts w:cs="Times New Roman"/>
          <w:szCs w:val="24"/>
          <w:vertAlign w:val="superscript"/>
        </w:rPr>
        <w:t>9</w:t>
      </w:r>
      <w:r w:rsidRPr="00BA4F0F">
        <w:rPr>
          <w:rFonts w:cs="Times New Roman"/>
          <w:szCs w:val="24"/>
        </w:rPr>
        <w:t xml:space="preserve"> /л). </w:t>
      </w:r>
    </w:p>
    <w:p w14:paraId="5A16E7B6" w14:textId="77777777" w:rsidR="0075793D" w:rsidRPr="00BA4F0F" w:rsidRDefault="0075793D" w:rsidP="0075793D">
      <w:pPr>
        <w:tabs>
          <w:tab w:val="left" w:pos="0"/>
          <w:tab w:val="left" w:pos="567"/>
        </w:tabs>
        <w:rPr>
          <w:rFonts w:cs="Times New Roman"/>
          <w:szCs w:val="24"/>
        </w:rPr>
      </w:pPr>
      <w:r w:rsidRPr="00BA4F0F">
        <w:rPr>
          <w:rFonts w:cs="Times New Roman"/>
          <w:i/>
          <w:szCs w:val="24"/>
        </w:rPr>
        <w:t>Примечание.</w:t>
      </w:r>
      <w:r w:rsidRPr="00BA4F0F">
        <w:rPr>
          <w:rFonts w:cs="Times New Roman"/>
          <w:szCs w:val="24"/>
        </w:rPr>
        <w:t xml:space="preserve"> УЗИ и КТ при гепатолиенальном кандидозе не являются взаимоисключающими диагностическими процедурами. У части больных очаги в печени и/или селезенке могут быть обнаружены только при УЗИ, у других — только при КТ. Наибольшее диагностическое значение имеет МРТ печени и селезенки. </w:t>
      </w:r>
    </w:p>
    <w:p w14:paraId="3BC405DD" w14:textId="77777777" w:rsidR="0075793D" w:rsidRPr="00BA4F0F" w:rsidRDefault="0075793D" w:rsidP="005E0272">
      <w:pPr>
        <w:numPr>
          <w:ilvl w:val="0"/>
          <w:numId w:val="183"/>
        </w:numPr>
        <w:tabs>
          <w:tab w:val="left" w:pos="0"/>
          <w:tab w:val="left" w:pos="567"/>
        </w:tabs>
        <w:ind w:left="0" w:firstLine="0"/>
        <w:rPr>
          <w:rFonts w:cs="Times New Roman"/>
          <w:szCs w:val="24"/>
        </w:rPr>
      </w:pPr>
      <w:r w:rsidRPr="00BA4F0F">
        <w:rPr>
          <w:rFonts w:cs="Times New Roman"/>
          <w:szCs w:val="24"/>
        </w:rPr>
        <w:t>При диагностике гепатолиенального кандидоза контрольное исследование проводят не ранее чем через 3—4 недели терапии системными противогрибковыми препаратами ввиду крайне медленной регрессии очагов.</w:t>
      </w:r>
    </w:p>
    <w:p w14:paraId="6A21B378" w14:textId="77777777" w:rsidR="0075793D" w:rsidRPr="00BA4F0F" w:rsidRDefault="0075793D" w:rsidP="005E0272">
      <w:pPr>
        <w:numPr>
          <w:ilvl w:val="0"/>
          <w:numId w:val="183"/>
        </w:numPr>
        <w:tabs>
          <w:tab w:val="left" w:pos="0"/>
          <w:tab w:val="left" w:pos="567"/>
        </w:tabs>
        <w:ind w:left="0" w:firstLine="0"/>
        <w:rPr>
          <w:rFonts w:cs="Times New Roman"/>
          <w:szCs w:val="24"/>
        </w:rPr>
      </w:pPr>
      <w:r w:rsidRPr="00BA4F0F">
        <w:rPr>
          <w:rFonts w:cs="Times New Roman"/>
          <w:szCs w:val="24"/>
        </w:rPr>
        <w:t>Оценивать состояние очагов (размеры, плотность) в печени и селезенке необходимо всегда при числе гранулоцитов &gt; 0,5 × 10</w:t>
      </w:r>
      <w:r w:rsidRPr="00BA4F0F">
        <w:rPr>
          <w:rFonts w:cs="Times New Roman"/>
          <w:i/>
          <w:szCs w:val="24"/>
          <w:vertAlign w:val="superscript"/>
        </w:rPr>
        <w:t>9</w:t>
      </w:r>
      <w:r w:rsidRPr="00BA4F0F">
        <w:rPr>
          <w:rFonts w:cs="Times New Roman"/>
          <w:szCs w:val="24"/>
        </w:rPr>
        <w:t xml:space="preserve"> /л. Проведение исследования в период нейтропении дает ложную информацию о меньшем размере очагов. </w:t>
      </w:r>
    </w:p>
    <w:p w14:paraId="29EEE7AC" w14:textId="77777777" w:rsidR="0075793D" w:rsidRPr="00BA4F0F" w:rsidRDefault="0075793D" w:rsidP="0075793D">
      <w:pPr>
        <w:pStyle w:val="afe"/>
        <w:ind w:left="0"/>
        <w:rPr>
          <w:rFonts w:cs="Times New Roman"/>
          <w:szCs w:val="24"/>
          <w:u w:val="single"/>
        </w:rPr>
      </w:pPr>
    </w:p>
    <w:p w14:paraId="4D3A8C99" w14:textId="77777777" w:rsidR="0075793D" w:rsidRPr="00BA4F0F" w:rsidRDefault="0075793D" w:rsidP="0075793D">
      <w:pPr>
        <w:pStyle w:val="afe"/>
        <w:ind w:left="0"/>
        <w:rPr>
          <w:rFonts w:cs="Times New Roman"/>
          <w:b/>
          <w:i/>
          <w:szCs w:val="24"/>
        </w:rPr>
      </w:pPr>
      <w:r w:rsidRPr="00BA4F0F">
        <w:rPr>
          <w:rFonts w:cs="Times New Roman"/>
          <w:b/>
          <w:i/>
          <w:szCs w:val="24"/>
        </w:rPr>
        <w:t>Дополнительные исследования</w:t>
      </w:r>
    </w:p>
    <w:p w14:paraId="5A309EA0" w14:textId="77777777" w:rsidR="0075793D" w:rsidRPr="00BA4F0F" w:rsidRDefault="0075793D" w:rsidP="0075793D">
      <w:pPr>
        <w:tabs>
          <w:tab w:val="left" w:pos="0"/>
          <w:tab w:val="left" w:pos="567"/>
        </w:tabs>
        <w:ind w:firstLine="567"/>
        <w:rPr>
          <w:rFonts w:cs="Times New Roman"/>
          <w:szCs w:val="24"/>
        </w:rPr>
      </w:pPr>
      <w:r w:rsidRPr="00BA4F0F">
        <w:rPr>
          <w:rFonts w:cs="Times New Roman"/>
          <w:szCs w:val="24"/>
        </w:rPr>
        <w:t>В случае внезапно развившейся нейтропении или тромбоцитопении либо длительно существующей необъяснимой нейтропении или тромбоцитопении необходимо провести исследования на ЦМВ (определение ДНК ЦМВ в крови), особенно у больных лифопролиферативными заболеваниями, а также у пациентов, длительно принимавших глюкокортикоиды.</w:t>
      </w:r>
    </w:p>
    <w:p w14:paraId="16424030" w14:textId="77777777" w:rsidR="0075793D" w:rsidRPr="00BA4F0F" w:rsidRDefault="0075793D" w:rsidP="0075793D">
      <w:pPr>
        <w:tabs>
          <w:tab w:val="left" w:pos="0"/>
          <w:tab w:val="left" w:pos="567"/>
        </w:tabs>
        <w:ind w:firstLine="567"/>
        <w:rPr>
          <w:rFonts w:cs="Times New Roman"/>
          <w:szCs w:val="24"/>
        </w:rPr>
      </w:pPr>
      <w:r w:rsidRPr="00BA4F0F">
        <w:rPr>
          <w:rFonts w:cs="Times New Roman"/>
          <w:szCs w:val="24"/>
        </w:rPr>
        <w:t xml:space="preserve">При тяжелой инфекции, особенно при бактериемии, может изменяться содержание С-реактивного белка, интерлейкинов (ИЛ-6, ИЛ-8) и прокальцитонина. Однако повышение этих маркеров происходит не всегда, особенно при вирусной или грибковой инфекции. Обнаружение биологически активных соединений в крови или повышение их уровня не является основанием для назначения антимикробных препаратов или изменения терапии инфекционных осложнений при стабильной клинической ситуации в период нейтропении. Не следует определять прокальцитонин и другие маркеры в первые часы повышения температуры, так как в любом случае при фебрильной нейтропении будет назначен антибиотик, и значения прокальцитонина не влияют на выбор антимикробного препарата. </w:t>
      </w:r>
    </w:p>
    <w:p w14:paraId="06A51FAC" w14:textId="77777777" w:rsidR="0075793D" w:rsidRPr="00BA4F0F" w:rsidRDefault="0075793D" w:rsidP="0075793D">
      <w:pPr>
        <w:pStyle w:val="afe"/>
        <w:tabs>
          <w:tab w:val="left" w:pos="0"/>
          <w:tab w:val="left" w:pos="567"/>
        </w:tabs>
        <w:rPr>
          <w:rFonts w:cs="Times New Roman"/>
          <w:szCs w:val="24"/>
          <w:u w:val="single"/>
        </w:rPr>
      </w:pPr>
    </w:p>
    <w:p w14:paraId="07BCBFBC" w14:textId="77777777" w:rsidR="0075793D" w:rsidRPr="00BA4F0F" w:rsidRDefault="0075793D" w:rsidP="0075793D">
      <w:pPr>
        <w:tabs>
          <w:tab w:val="left" w:pos="0"/>
          <w:tab w:val="left" w:pos="567"/>
        </w:tabs>
        <w:rPr>
          <w:rFonts w:cs="Times New Roman"/>
          <w:szCs w:val="24"/>
          <w:u w:val="single"/>
        </w:rPr>
      </w:pPr>
      <w:r w:rsidRPr="00BA4F0F">
        <w:rPr>
          <w:rFonts w:cs="Times New Roman"/>
          <w:szCs w:val="24"/>
          <w:u w:val="single"/>
        </w:rPr>
        <w:t>Порядок назначения антимикробной терапии</w:t>
      </w:r>
    </w:p>
    <w:p w14:paraId="6F145640" w14:textId="77777777" w:rsidR="0075793D" w:rsidRPr="00BA4F0F" w:rsidRDefault="0075793D" w:rsidP="0075793D">
      <w:pPr>
        <w:pStyle w:val="afe"/>
        <w:ind w:left="0"/>
        <w:rPr>
          <w:rFonts w:cs="Times New Roman"/>
          <w:b/>
          <w:i/>
          <w:szCs w:val="24"/>
        </w:rPr>
      </w:pPr>
      <w:r w:rsidRPr="00BA4F0F">
        <w:rPr>
          <w:rFonts w:cs="Times New Roman"/>
          <w:b/>
          <w:i/>
          <w:szCs w:val="24"/>
        </w:rPr>
        <w:t>Показания к назначению антибиотиков первого этапа</w:t>
      </w:r>
    </w:p>
    <w:p w14:paraId="7A3DD5F9" w14:textId="77777777" w:rsidR="0075793D" w:rsidRPr="00BA4F0F" w:rsidRDefault="0075793D" w:rsidP="005E0272">
      <w:pPr>
        <w:numPr>
          <w:ilvl w:val="0"/>
          <w:numId w:val="189"/>
        </w:numPr>
        <w:tabs>
          <w:tab w:val="left" w:pos="0"/>
          <w:tab w:val="left" w:pos="567"/>
        </w:tabs>
        <w:ind w:left="0" w:firstLine="0"/>
        <w:rPr>
          <w:rFonts w:cs="Times New Roman"/>
          <w:szCs w:val="24"/>
        </w:rPr>
      </w:pPr>
      <w:r w:rsidRPr="00BA4F0F">
        <w:rPr>
          <w:rFonts w:cs="Times New Roman"/>
          <w:szCs w:val="24"/>
        </w:rPr>
        <w:t xml:space="preserve">Повышение температуры ≥ 38,0°С (измерение в подмышечных впадинах), сохраняющееся в течение 2 часов и не связанное с введением пирогенных препаратов (например, компонентов крови, факторов роста и др.) </w:t>
      </w:r>
      <w:r w:rsidRPr="00BA4F0F">
        <w:rPr>
          <w:rFonts w:cs="Times New Roman"/>
          <w:i/>
          <w:szCs w:val="24"/>
        </w:rPr>
        <w:t>и/или</w:t>
      </w:r>
    </w:p>
    <w:p w14:paraId="3146B40F" w14:textId="77777777" w:rsidR="0075793D" w:rsidRPr="00BA4F0F" w:rsidRDefault="0075793D" w:rsidP="005E0272">
      <w:pPr>
        <w:numPr>
          <w:ilvl w:val="0"/>
          <w:numId w:val="189"/>
        </w:numPr>
        <w:tabs>
          <w:tab w:val="left" w:pos="0"/>
          <w:tab w:val="left" w:pos="567"/>
        </w:tabs>
        <w:ind w:left="0" w:firstLine="0"/>
        <w:rPr>
          <w:rFonts w:cs="Times New Roman"/>
          <w:szCs w:val="24"/>
        </w:rPr>
      </w:pPr>
      <w:r w:rsidRPr="00BA4F0F">
        <w:rPr>
          <w:rFonts w:cs="Times New Roman"/>
          <w:szCs w:val="24"/>
        </w:rPr>
        <w:t>Наличие очага инфекции (например, пневмония, парапроктит и др.). При наличии очага инфекции уровень лихорадки не является определяющим для назначения антибиотиков.</w:t>
      </w:r>
    </w:p>
    <w:p w14:paraId="00766E02" w14:textId="77777777" w:rsidR="0075793D" w:rsidRPr="00BA4F0F" w:rsidRDefault="0075793D" w:rsidP="0075793D">
      <w:pPr>
        <w:tabs>
          <w:tab w:val="left" w:pos="0"/>
          <w:tab w:val="left" w:pos="567"/>
        </w:tabs>
        <w:rPr>
          <w:rFonts w:cs="Times New Roman"/>
          <w:szCs w:val="24"/>
        </w:rPr>
      </w:pPr>
      <w:r w:rsidRPr="00BA4F0F">
        <w:rPr>
          <w:rFonts w:cs="Times New Roman"/>
          <w:i/>
          <w:szCs w:val="24"/>
        </w:rPr>
        <w:t>Примечание.</w:t>
      </w:r>
      <w:r w:rsidRPr="00BA4F0F">
        <w:rPr>
          <w:rFonts w:cs="Times New Roman"/>
          <w:szCs w:val="24"/>
        </w:rPr>
        <w:t xml:space="preserve"> Сама по себе нейтропения (даже при числе нейтрофилов ≤ 0,1 × 10</w:t>
      </w:r>
      <w:r w:rsidRPr="00BA4F0F">
        <w:rPr>
          <w:rFonts w:cs="Times New Roman"/>
          <w:szCs w:val="24"/>
          <w:vertAlign w:val="superscript"/>
        </w:rPr>
        <w:t>9</w:t>
      </w:r>
      <w:r w:rsidRPr="00BA4F0F">
        <w:rPr>
          <w:rFonts w:cs="Times New Roman"/>
          <w:szCs w:val="24"/>
        </w:rPr>
        <w:t>/л) без лихорадки и очага инфекции не является показанием к назначению антибактериальных препаратов.</w:t>
      </w:r>
    </w:p>
    <w:p w14:paraId="5A66EBF0" w14:textId="77777777" w:rsidR="0075793D" w:rsidRPr="00BA4F0F" w:rsidRDefault="0075793D" w:rsidP="0075793D">
      <w:pPr>
        <w:tabs>
          <w:tab w:val="left" w:pos="0"/>
          <w:tab w:val="left" w:pos="567"/>
        </w:tabs>
        <w:rPr>
          <w:rFonts w:cs="Times New Roman"/>
          <w:b/>
          <w:szCs w:val="24"/>
        </w:rPr>
      </w:pPr>
    </w:p>
    <w:p w14:paraId="39762C48" w14:textId="77777777" w:rsidR="0075793D" w:rsidRPr="00BA4F0F" w:rsidRDefault="0075793D" w:rsidP="0075793D">
      <w:pPr>
        <w:pStyle w:val="afe"/>
        <w:ind w:left="0"/>
        <w:rPr>
          <w:rFonts w:cs="Times New Roman"/>
          <w:b/>
          <w:i/>
          <w:szCs w:val="24"/>
        </w:rPr>
      </w:pPr>
      <w:r w:rsidRPr="00BA4F0F">
        <w:rPr>
          <w:rFonts w:cs="Times New Roman"/>
          <w:b/>
          <w:i/>
          <w:szCs w:val="24"/>
        </w:rPr>
        <w:t>Основные принципы эмпирической терапии при лихорадке периода нейтропении</w:t>
      </w:r>
    </w:p>
    <w:p w14:paraId="058DA026" w14:textId="77777777" w:rsidR="0075793D" w:rsidRPr="00BA4F0F" w:rsidRDefault="0075793D" w:rsidP="005E0272">
      <w:pPr>
        <w:numPr>
          <w:ilvl w:val="0"/>
          <w:numId w:val="190"/>
        </w:numPr>
        <w:tabs>
          <w:tab w:val="left" w:pos="0"/>
          <w:tab w:val="left" w:pos="567"/>
        </w:tabs>
        <w:ind w:left="0" w:firstLine="0"/>
        <w:rPr>
          <w:rFonts w:cs="Times New Roman"/>
          <w:szCs w:val="24"/>
        </w:rPr>
      </w:pPr>
      <w:r w:rsidRPr="00BA4F0F">
        <w:rPr>
          <w:rFonts w:cs="Times New Roman"/>
          <w:szCs w:val="24"/>
        </w:rPr>
        <w:t>Немедленное назначение антибиотиков при лихорадке или очагах инфекции, не дожидаясь результатов бактериологического исследования.</w:t>
      </w:r>
    </w:p>
    <w:p w14:paraId="25458B0D" w14:textId="77777777" w:rsidR="0075793D" w:rsidRPr="00BA4F0F" w:rsidRDefault="0075793D" w:rsidP="005E0272">
      <w:pPr>
        <w:numPr>
          <w:ilvl w:val="0"/>
          <w:numId w:val="190"/>
        </w:numPr>
        <w:tabs>
          <w:tab w:val="left" w:pos="0"/>
          <w:tab w:val="left" w:pos="567"/>
        </w:tabs>
        <w:ind w:left="0" w:firstLine="0"/>
        <w:rPr>
          <w:rFonts w:cs="Times New Roman"/>
          <w:szCs w:val="24"/>
        </w:rPr>
      </w:pPr>
      <w:r w:rsidRPr="00BA4F0F">
        <w:rPr>
          <w:rFonts w:cs="Times New Roman"/>
          <w:szCs w:val="24"/>
        </w:rPr>
        <w:t>Применение на первом этапе антимикробных препаратов, проявляющих активность в отношении грамотрицательных бактерий, включая синегнойную палочку.</w:t>
      </w:r>
    </w:p>
    <w:p w14:paraId="77F442DE" w14:textId="77777777" w:rsidR="0075793D" w:rsidRPr="00BA4F0F" w:rsidRDefault="0075793D" w:rsidP="005E0272">
      <w:pPr>
        <w:numPr>
          <w:ilvl w:val="0"/>
          <w:numId w:val="190"/>
        </w:numPr>
        <w:tabs>
          <w:tab w:val="left" w:pos="0"/>
          <w:tab w:val="left" w:pos="567"/>
        </w:tabs>
        <w:ind w:left="0" w:firstLine="0"/>
        <w:rPr>
          <w:rFonts w:cs="Times New Roman"/>
          <w:szCs w:val="24"/>
        </w:rPr>
      </w:pPr>
      <w:r w:rsidRPr="00BA4F0F">
        <w:rPr>
          <w:rFonts w:cs="Times New Roman"/>
          <w:szCs w:val="24"/>
        </w:rPr>
        <w:t>Назначение на первом этапе наиболее активных антибиотиков (при выборе антибиотиков опираются на результаты последнего ретроспективного анализа).</w:t>
      </w:r>
    </w:p>
    <w:p w14:paraId="70B633FC" w14:textId="77777777" w:rsidR="0075793D" w:rsidRPr="00BA4F0F" w:rsidRDefault="0075793D" w:rsidP="005E0272">
      <w:pPr>
        <w:numPr>
          <w:ilvl w:val="0"/>
          <w:numId w:val="190"/>
        </w:numPr>
        <w:tabs>
          <w:tab w:val="left" w:pos="0"/>
          <w:tab w:val="left" w:pos="567"/>
        </w:tabs>
        <w:ind w:left="0" w:firstLine="0"/>
        <w:rPr>
          <w:rFonts w:cs="Times New Roman"/>
          <w:szCs w:val="24"/>
        </w:rPr>
      </w:pPr>
      <w:r w:rsidRPr="00BA4F0F">
        <w:rPr>
          <w:rFonts w:cs="Times New Roman"/>
          <w:szCs w:val="24"/>
        </w:rPr>
        <w:t>Введение антимикробных препаратов только внутривенно.</w:t>
      </w:r>
    </w:p>
    <w:p w14:paraId="18F535C6" w14:textId="77777777" w:rsidR="0075793D" w:rsidRPr="00BA4F0F" w:rsidRDefault="0075793D" w:rsidP="005E0272">
      <w:pPr>
        <w:numPr>
          <w:ilvl w:val="0"/>
          <w:numId w:val="190"/>
        </w:numPr>
        <w:tabs>
          <w:tab w:val="left" w:pos="0"/>
          <w:tab w:val="left" w:pos="567"/>
        </w:tabs>
        <w:ind w:left="0" w:firstLine="0"/>
        <w:rPr>
          <w:rFonts w:cs="Times New Roman"/>
          <w:szCs w:val="24"/>
        </w:rPr>
      </w:pPr>
      <w:r w:rsidRPr="00BA4F0F">
        <w:rPr>
          <w:rFonts w:cs="Times New Roman"/>
          <w:szCs w:val="24"/>
        </w:rPr>
        <w:t>Модификация, при необходимости, антимикробной терапии согласно результатам микробиологического исследования.</w:t>
      </w:r>
    </w:p>
    <w:p w14:paraId="121C9DB6" w14:textId="77777777" w:rsidR="0075793D" w:rsidRPr="00BA4F0F" w:rsidRDefault="0075793D" w:rsidP="0075793D">
      <w:pPr>
        <w:tabs>
          <w:tab w:val="left" w:pos="0"/>
          <w:tab w:val="left" w:pos="567"/>
        </w:tabs>
        <w:rPr>
          <w:rFonts w:cs="Times New Roman"/>
          <w:szCs w:val="24"/>
        </w:rPr>
      </w:pPr>
      <w:r w:rsidRPr="00BA4F0F">
        <w:rPr>
          <w:rFonts w:cs="Times New Roman"/>
          <w:szCs w:val="24"/>
        </w:rPr>
        <w:t xml:space="preserve">Для стартовой терапии фебрильной нейтропении назначают один антибиотик (монотерапия): </w:t>
      </w:r>
    </w:p>
    <w:p w14:paraId="6EDB0C1B" w14:textId="77777777" w:rsidR="0075793D" w:rsidRPr="00BA4F0F" w:rsidRDefault="0075793D" w:rsidP="005E0272">
      <w:pPr>
        <w:numPr>
          <w:ilvl w:val="0"/>
          <w:numId w:val="191"/>
        </w:numPr>
        <w:tabs>
          <w:tab w:val="left" w:pos="0"/>
          <w:tab w:val="left" w:pos="567"/>
        </w:tabs>
        <w:ind w:left="0" w:firstLine="0"/>
        <w:rPr>
          <w:rFonts w:cs="Times New Roman"/>
          <w:szCs w:val="24"/>
        </w:rPr>
      </w:pPr>
      <w:r w:rsidRPr="00BA4F0F">
        <w:rPr>
          <w:rFonts w:cs="Times New Roman"/>
          <w:szCs w:val="24"/>
        </w:rPr>
        <w:t xml:space="preserve">Цефоперазон/сульбактам </w:t>
      </w:r>
    </w:p>
    <w:p w14:paraId="646C6277" w14:textId="77777777" w:rsidR="0075793D" w:rsidRPr="00BA4F0F" w:rsidRDefault="0075793D" w:rsidP="005E0272">
      <w:pPr>
        <w:numPr>
          <w:ilvl w:val="0"/>
          <w:numId w:val="192"/>
        </w:numPr>
        <w:tabs>
          <w:tab w:val="left" w:pos="0"/>
          <w:tab w:val="left" w:pos="567"/>
        </w:tabs>
        <w:ind w:left="0" w:firstLine="0"/>
        <w:rPr>
          <w:rFonts w:cs="Times New Roman"/>
          <w:szCs w:val="24"/>
        </w:rPr>
      </w:pPr>
      <w:r w:rsidRPr="00BA4F0F">
        <w:rPr>
          <w:rFonts w:cs="Times New Roman"/>
          <w:szCs w:val="24"/>
        </w:rPr>
        <w:t xml:space="preserve">Дозирование: по 4 г 2 раза в сутки. </w:t>
      </w:r>
    </w:p>
    <w:p w14:paraId="2D0A5669" w14:textId="77777777" w:rsidR="0075793D" w:rsidRPr="00BA4F0F" w:rsidRDefault="0075793D" w:rsidP="005E0272">
      <w:pPr>
        <w:numPr>
          <w:ilvl w:val="0"/>
          <w:numId w:val="191"/>
        </w:numPr>
        <w:tabs>
          <w:tab w:val="left" w:pos="0"/>
          <w:tab w:val="left" w:pos="567"/>
        </w:tabs>
        <w:ind w:left="0" w:firstLine="0"/>
        <w:rPr>
          <w:rFonts w:cs="Times New Roman"/>
          <w:szCs w:val="24"/>
        </w:rPr>
      </w:pPr>
      <w:r w:rsidRPr="00BA4F0F">
        <w:rPr>
          <w:rFonts w:cs="Times New Roman"/>
          <w:szCs w:val="24"/>
        </w:rPr>
        <w:t xml:space="preserve">Пиперациллин/тазобактам </w:t>
      </w:r>
    </w:p>
    <w:p w14:paraId="00A1B232" w14:textId="77777777" w:rsidR="0075793D" w:rsidRPr="00BA4F0F" w:rsidRDefault="0075793D" w:rsidP="005E0272">
      <w:pPr>
        <w:numPr>
          <w:ilvl w:val="0"/>
          <w:numId w:val="193"/>
        </w:numPr>
        <w:tabs>
          <w:tab w:val="left" w:pos="0"/>
          <w:tab w:val="left" w:pos="567"/>
        </w:tabs>
        <w:ind w:left="0" w:firstLine="0"/>
        <w:rPr>
          <w:rFonts w:cs="Times New Roman"/>
          <w:szCs w:val="24"/>
        </w:rPr>
      </w:pPr>
      <w:r w:rsidRPr="00BA4F0F">
        <w:rPr>
          <w:rFonts w:cs="Times New Roman"/>
          <w:szCs w:val="24"/>
        </w:rPr>
        <w:t xml:space="preserve">Дозирование: по 4,5 г 3 раза в сутки. </w:t>
      </w:r>
    </w:p>
    <w:p w14:paraId="563DD68B" w14:textId="77777777" w:rsidR="0075793D" w:rsidRPr="00BA4F0F" w:rsidRDefault="0075793D" w:rsidP="005E0272">
      <w:pPr>
        <w:numPr>
          <w:ilvl w:val="0"/>
          <w:numId w:val="191"/>
        </w:numPr>
        <w:tabs>
          <w:tab w:val="left" w:pos="0"/>
          <w:tab w:val="left" w:pos="567"/>
        </w:tabs>
        <w:ind w:left="0" w:firstLine="0"/>
        <w:rPr>
          <w:rFonts w:cs="Times New Roman"/>
          <w:szCs w:val="24"/>
        </w:rPr>
      </w:pPr>
      <w:r w:rsidRPr="00BA4F0F">
        <w:rPr>
          <w:rFonts w:cs="Times New Roman"/>
          <w:szCs w:val="24"/>
        </w:rPr>
        <w:t xml:space="preserve">Цефепим </w:t>
      </w:r>
    </w:p>
    <w:p w14:paraId="1D5C7D0C" w14:textId="77777777" w:rsidR="0075793D" w:rsidRPr="00BA4F0F" w:rsidRDefault="0075793D" w:rsidP="005E0272">
      <w:pPr>
        <w:numPr>
          <w:ilvl w:val="0"/>
          <w:numId w:val="194"/>
        </w:numPr>
        <w:tabs>
          <w:tab w:val="left" w:pos="0"/>
          <w:tab w:val="left" w:pos="567"/>
        </w:tabs>
        <w:ind w:left="0" w:firstLine="0"/>
        <w:rPr>
          <w:rFonts w:cs="Times New Roman"/>
          <w:szCs w:val="24"/>
        </w:rPr>
      </w:pPr>
      <w:r w:rsidRPr="00BA4F0F">
        <w:rPr>
          <w:rFonts w:cs="Times New Roman"/>
          <w:szCs w:val="24"/>
        </w:rPr>
        <w:t xml:space="preserve">Дозирование: по 2 г 2 раза в сутки. </w:t>
      </w:r>
    </w:p>
    <w:p w14:paraId="0035FF8B" w14:textId="77777777" w:rsidR="0075793D" w:rsidRPr="00BA4F0F" w:rsidRDefault="0075793D" w:rsidP="005E0272">
      <w:pPr>
        <w:numPr>
          <w:ilvl w:val="0"/>
          <w:numId w:val="191"/>
        </w:numPr>
        <w:tabs>
          <w:tab w:val="left" w:pos="0"/>
          <w:tab w:val="left" w:pos="567"/>
        </w:tabs>
        <w:ind w:left="0" w:firstLine="0"/>
        <w:rPr>
          <w:rFonts w:cs="Times New Roman"/>
          <w:szCs w:val="24"/>
        </w:rPr>
      </w:pPr>
      <w:r w:rsidRPr="00BA4F0F">
        <w:rPr>
          <w:rFonts w:cs="Times New Roman"/>
          <w:szCs w:val="24"/>
        </w:rPr>
        <w:t xml:space="preserve">Цефтазидим </w:t>
      </w:r>
    </w:p>
    <w:p w14:paraId="3299243B" w14:textId="77777777" w:rsidR="0075793D" w:rsidRPr="00BA4F0F" w:rsidRDefault="0075793D" w:rsidP="005E0272">
      <w:pPr>
        <w:numPr>
          <w:ilvl w:val="0"/>
          <w:numId w:val="195"/>
        </w:numPr>
        <w:tabs>
          <w:tab w:val="left" w:pos="0"/>
          <w:tab w:val="left" w:pos="567"/>
        </w:tabs>
        <w:ind w:left="0" w:firstLine="0"/>
        <w:rPr>
          <w:rFonts w:cs="Times New Roman"/>
          <w:szCs w:val="24"/>
        </w:rPr>
      </w:pPr>
      <w:r w:rsidRPr="00BA4F0F">
        <w:rPr>
          <w:rFonts w:cs="Times New Roman"/>
          <w:szCs w:val="24"/>
        </w:rPr>
        <w:t xml:space="preserve">Дозирование: по 2 г 3 раза в сутки </w:t>
      </w:r>
    </w:p>
    <w:p w14:paraId="380FAFC5" w14:textId="77777777" w:rsidR="0075793D" w:rsidRPr="00BA4F0F" w:rsidRDefault="0075793D" w:rsidP="0075793D">
      <w:pPr>
        <w:tabs>
          <w:tab w:val="left" w:pos="0"/>
          <w:tab w:val="left" w:pos="567"/>
        </w:tabs>
        <w:rPr>
          <w:rFonts w:cs="Times New Roman"/>
          <w:szCs w:val="24"/>
        </w:rPr>
      </w:pPr>
      <w:r w:rsidRPr="00BA4F0F">
        <w:rPr>
          <w:rFonts w:cs="Times New Roman"/>
          <w:szCs w:val="24"/>
        </w:rPr>
        <w:t>При развитии септического шока на первом этапе эмпирической терапии рекомендовано карбапенемов:</w:t>
      </w:r>
    </w:p>
    <w:p w14:paraId="4CD6F39B" w14:textId="77777777" w:rsidR="0075793D" w:rsidRPr="00BA4F0F" w:rsidRDefault="0075793D" w:rsidP="005E0272">
      <w:pPr>
        <w:numPr>
          <w:ilvl w:val="0"/>
          <w:numId w:val="196"/>
        </w:numPr>
        <w:tabs>
          <w:tab w:val="left" w:pos="0"/>
          <w:tab w:val="left" w:pos="567"/>
        </w:tabs>
        <w:ind w:left="0" w:firstLine="0"/>
        <w:rPr>
          <w:rFonts w:cs="Times New Roman"/>
          <w:szCs w:val="24"/>
        </w:rPr>
      </w:pPr>
      <w:r w:rsidRPr="00BA4F0F">
        <w:rPr>
          <w:rFonts w:cs="Times New Roman"/>
          <w:szCs w:val="24"/>
        </w:rPr>
        <w:t>Имипенем/циластатин</w:t>
      </w:r>
    </w:p>
    <w:p w14:paraId="6D4C4F62" w14:textId="77777777" w:rsidR="0075793D" w:rsidRPr="00BA4F0F" w:rsidRDefault="0075793D" w:rsidP="005E0272">
      <w:pPr>
        <w:numPr>
          <w:ilvl w:val="0"/>
          <w:numId w:val="195"/>
        </w:numPr>
        <w:tabs>
          <w:tab w:val="left" w:pos="0"/>
          <w:tab w:val="left" w:pos="567"/>
        </w:tabs>
        <w:ind w:left="0" w:firstLine="0"/>
        <w:rPr>
          <w:rFonts w:cs="Times New Roman"/>
          <w:szCs w:val="24"/>
        </w:rPr>
      </w:pPr>
      <w:r w:rsidRPr="00BA4F0F">
        <w:rPr>
          <w:rFonts w:cs="Times New Roman"/>
          <w:szCs w:val="24"/>
        </w:rPr>
        <w:t>Дозировка: по 0,5 г 4 раза в сутки.</w:t>
      </w:r>
    </w:p>
    <w:p w14:paraId="238E46C8" w14:textId="77777777" w:rsidR="0075793D" w:rsidRPr="00BA4F0F" w:rsidRDefault="0075793D" w:rsidP="005E0272">
      <w:pPr>
        <w:numPr>
          <w:ilvl w:val="0"/>
          <w:numId w:val="197"/>
        </w:numPr>
        <w:tabs>
          <w:tab w:val="left" w:pos="0"/>
          <w:tab w:val="left" w:pos="567"/>
        </w:tabs>
        <w:ind w:left="0" w:firstLine="0"/>
        <w:rPr>
          <w:rFonts w:cs="Times New Roman"/>
          <w:szCs w:val="24"/>
        </w:rPr>
      </w:pPr>
      <w:r w:rsidRPr="00BA4F0F">
        <w:rPr>
          <w:rFonts w:cs="Times New Roman"/>
          <w:szCs w:val="24"/>
        </w:rPr>
        <w:t>Меропенем</w:t>
      </w:r>
    </w:p>
    <w:p w14:paraId="243E3AF4" w14:textId="77777777" w:rsidR="0075793D" w:rsidRPr="00BA4F0F" w:rsidRDefault="0075793D" w:rsidP="005E0272">
      <w:pPr>
        <w:numPr>
          <w:ilvl w:val="0"/>
          <w:numId w:val="195"/>
        </w:numPr>
        <w:tabs>
          <w:tab w:val="left" w:pos="0"/>
          <w:tab w:val="left" w:pos="567"/>
        </w:tabs>
        <w:ind w:left="0" w:firstLine="0"/>
        <w:rPr>
          <w:rFonts w:cs="Times New Roman"/>
          <w:szCs w:val="24"/>
        </w:rPr>
      </w:pPr>
      <w:r w:rsidRPr="00BA4F0F">
        <w:rPr>
          <w:rFonts w:cs="Times New Roman"/>
          <w:szCs w:val="24"/>
        </w:rPr>
        <w:t>Дозировка: по 1 г 3 раза в сутки.</w:t>
      </w:r>
    </w:p>
    <w:p w14:paraId="02686362" w14:textId="77777777" w:rsidR="0075793D" w:rsidRPr="00BA4F0F" w:rsidRDefault="0075793D" w:rsidP="005E0272">
      <w:pPr>
        <w:numPr>
          <w:ilvl w:val="0"/>
          <w:numId w:val="198"/>
        </w:numPr>
        <w:tabs>
          <w:tab w:val="left" w:pos="0"/>
          <w:tab w:val="left" w:pos="567"/>
        </w:tabs>
        <w:ind w:left="0" w:firstLine="0"/>
        <w:rPr>
          <w:rFonts w:cs="Times New Roman"/>
          <w:szCs w:val="24"/>
        </w:rPr>
      </w:pPr>
      <w:r w:rsidRPr="00BA4F0F">
        <w:rPr>
          <w:rFonts w:cs="Times New Roman"/>
          <w:szCs w:val="24"/>
        </w:rPr>
        <w:t>Дорипенем</w:t>
      </w:r>
    </w:p>
    <w:p w14:paraId="79B957AD" w14:textId="77777777" w:rsidR="0075793D" w:rsidRPr="00BA4F0F" w:rsidRDefault="0075793D" w:rsidP="005E0272">
      <w:pPr>
        <w:numPr>
          <w:ilvl w:val="0"/>
          <w:numId w:val="195"/>
        </w:numPr>
        <w:tabs>
          <w:tab w:val="left" w:pos="0"/>
          <w:tab w:val="left" w:pos="567"/>
        </w:tabs>
        <w:ind w:left="0" w:firstLine="0"/>
        <w:rPr>
          <w:rFonts w:cs="Times New Roman"/>
          <w:szCs w:val="24"/>
        </w:rPr>
      </w:pPr>
      <w:r w:rsidRPr="00BA4F0F">
        <w:rPr>
          <w:rFonts w:cs="Times New Roman"/>
          <w:szCs w:val="24"/>
        </w:rPr>
        <w:t>Дозировка: по 0,5 г 3 раза в сутки.</w:t>
      </w:r>
    </w:p>
    <w:p w14:paraId="56658714" w14:textId="77777777" w:rsidR="0075793D" w:rsidRPr="00BA4F0F" w:rsidRDefault="0075793D" w:rsidP="0075793D">
      <w:pPr>
        <w:tabs>
          <w:tab w:val="left" w:pos="0"/>
          <w:tab w:val="left" w:pos="567"/>
        </w:tabs>
        <w:jc w:val="center"/>
        <w:rPr>
          <w:rFonts w:cs="Times New Roman"/>
          <w:b/>
          <w:szCs w:val="24"/>
        </w:rPr>
      </w:pPr>
    </w:p>
    <w:p w14:paraId="0FFBE528" w14:textId="77777777" w:rsidR="0075793D" w:rsidRPr="00BA4F0F" w:rsidRDefault="0075793D" w:rsidP="0075793D">
      <w:pPr>
        <w:pStyle w:val="afe"/>
        <w:ind w:left="0"/>
        <w:rPr>
          <w:rFonts w:cs="Times New Roman"/>
          <w:b/>
          <w:i/>
          <w:szCs w:val="24"/>
        </w:rPr>
      </w:pPr>
      <w:r w:rsidRPr="00BA4F0F">
        <w:rPr>
          <w:rFonts w:cs="Times New Roman"/>
          <w:b/>
          <w:i/>
          <w:szCs w:val="24"/>
        </w:rPr>
        <w:t>Оценка эффективности и модификация антимикробной терапии</w:t>
      </w:r>
    </w:p>
    <w:p w14:paraId="4D92EFAB" w14:textId="77777777" w:rsidR="0075793D" w:rsidRPr="00BA4F0F" w:rsidRDefault="0075793D" w:rsidP="0075793D">
      <w:pPr>
        <w:tabs>
          <w:tab w:val="left" w:pos="0"/>
          <w:tab w:val="left" w:pos="567"/>
        </w:tabs>
        <w:ind w:firstLine="567"/>
        <w:rPr>
          <w:rFonts w:cs="Times New Roman"/>
          <w:szCs w:val="24"/>
        </w:rPr>
      </w:pPr>
      <w:r w:rsidRPr="00BA4F0F">
        <w:rPr>
          <w:rFonts w:cs="Times New Roman"/>
          <w:szCs w:val="24"/>
        </w:rPr>
        <w:t xml:space="preserve">Следует помнить, что антибиотики не являются антипиретиками, и нормализация температуры на другой день после их назначения происходит крайне редко. Более того, при тяжелой инфекции температура становится нормальной лишь на 4—5-й день антибактериальной терапии. В то же время ожидание нормализации температуры в течение первых 4—5 дней антимикробной терапии не должно быть пассивным. У всех больных с лихорадкой во время нейтропении необходимо провести диагностические исследования в соответствии с алгоритмом обследования представленным ранее. </w:t>
      </w:r>
    </w:p>
    <w:p w14:paraId="19015F8C" w14:textId="77777777" w:rsidR="0075793D" w:rsidRPr="00BA4F0F" w:rsidRDefault="0075793D" w:rsidP="0075793D">
      <w:pPr>
        <w:tabs>
          <w:tab w:val="left" w:pos="0"/>
          <w:tab w:val="left" w:pos="567"/>
        </w:tabs>
        <w:jc w:val="center"/>
        <w:rPr>
          <w:rFonts w:cs="Times New Roman"/>
          <w:b/>
          <w:szCs w:val="24"/>
        </w:rPr>
      </w:pPr>
    </w:p>
    <w:p w14:paraId="64BB2AF7" w14:textId="77777777" w:rsidR="0075793D" w:rsidRPr="00BA4F0F" w:rsidRDefault="0075793D" w:rsidP="0075793D">
      <w:pPr>
        <w:pStyle w:val="afe"/>
        <w:ind w:left="0"/>
        <w:rPr>
          <w:rFonts w:cs="Times New Roman"/>
          <w:b/>
          <w:i/>
          <w:szCs w:val="24"/>
        </w:rPr>
      </w:pPr>
      <w:r w:rsidRPr="00BA4F0F">
        <w:rPr>
          <w:rFonts w:cs="Times New Roman"/>
          <w:b/>
          <w:i/>
          <w:szCs w:val="24"/>
        </w:rPr>
        <w:t>Модификация антимикробной терапии на 4-5-й день</w:t>
      </w:r>
    </w:p>
    <w:p w14:paraId="7B6C2CE7" w14:textId="77777777" w:rsidR="0075793D" w:rsidRPr="00BA4F0F" w:rsidRDefault="0075793D" w:rsidP="005E0272">
      <w:pPr>
        <w:numPr>
          <w:ilvl w:val="0"/>
          <w:numId w:val="198"/>
        </w:numPr>
        <w:tabs>
          <w:tab w:val="left" w:pos="0"/>
          <w:tab w:val="left" w:pos="567"/>
        </w:tabs>
        <w:ind w:left="0" w:firstLine="0"/>
        <w:rPr>
          <w:rFonts w:cs="Times New Roman"/>
          <w:szCs w:val="24"/>
        </w:rPr>
      </w:pPr>
      <w:r w:rsidRPr="00BA4F0F">
        <w:rPr>
          <w:rFonts w:cs="Times New Roman"/>
          <w:szCs w:val="24"/>
        </w:rPr>
        <w:t>Показания:</w:t>
      </w:r>
    </w:p>
    <w:p w14:paraId="00039EB2" w14:textId="77777777" w:rsidR="0075793D" w:rsidRPr="00BA4F0F" w:rsidRDefault="0075793D" w:rsidP="005E0272">
      <w:pPr>
        <w:numPr>
          <w:ilvl w:val="0"/>
          <w:numId w:val="199"/>
        </w:numPr>
        <w:tabs>
          <w:tab w:val="left" w:pos="0"/>
          <w:tab w:val="left" w:pos="567"/>
        </w:tabs>
        <w:ind w:left="0" w:firstLine="0"/>
        <w:rPr>
          <w:rFonts w:cs="Times New Roman"/>
          <w:szCs w:val="24"/>
        </w:rPr>
      </w:pPr>
      <w:r w:rsidRPr="00BA4F0F">
        <w:rPr>
          <w:rFonts w:cs="Times New Roman"/>
          <w:szCs w:val="24"/>
        </w:rPr>
        <w:t>Стабильное соматическое состояние больного.</w:t>
      </w:r>
    </w:p>
    <w:p w14:paraId="25EBC10C" w14:textId="77777777" w:rsidR="0075793D" w:rsidRPr="00BA4F0F" w:rsidRDefault="0075793D" w:rsidP="005E0272">
      <w:pPr>
        <w:numPr>
          <w:ilvl w:val="0"/>
          <w:numId w:val="199"/>
        </w:numPr>
        <w:tabs>
          <w:tab w:val="left" w:pos="0"/>
          <w:tab w:val="left" w:pos="567"/>
        </w:tabs>
        <w:ind w:left="0" w:firstLine="0"/>
        <w:rPr>
          <w:rFonts w:cs="Times New Roman"/>
          <w:szCs w:val="24"/>
        </w:rPr>
      </w:pPr>
      <w:r w:rsidRPr="00BA4F0F">
        <w:rPr>
          <w:rFonts w:cs="Times New Roman"/>
          <w:szCs w:val="24"/>
        </w:rPr>
        <w:t>Отрицательные результаты диагностических исследований.</w:t>
      </w:r>
    </w:p>
    <w:p w14:paraId="6059AD8B" w14:textId="77777777" w:rsidR="0075793D" w:rsidRPr="00BA4F0F" w:rsidRDefault="0075793D" w:rsidP="005E0272">
      <w:pPr>
        <w:numPr>
          <w:ilvl w:val="0"/>
          <w:numId w:val="199"/>
        </w:numPr>
        <w:tabs>
          <w:tab w:val="left" w:pos="0"/>
          <w:tab w:val="left" w:pos="567"/>
        </w:tabs>
        <w:ind w:left="0" w:firstLine="0"/>
        <w:rPr>
          <w:rFonts w:cs="Times New Roman"/>
          <w:szCs w:val="24"/>
        </w:rPr>
      </w:pPr>
      <w:r w:rsidRPr="00BA4F0F">
        <w:rPr>
          <w:rFonts w:cs="Times New Roman"/>
          <w:szCs w:val="24"/>
        </w:rPr>
        <w:t>Отсутствие новых симптомов инфекции после назначения антибиотиков.</w:t>
      </w:r>
    </w:p>
    <w:p w14:paraId="6B63A065" w14:textId="77777777" w:rsidR="0075793D" w:rsidRPr="00BA4F0F" w:rsidRDefault="0075793D" w:rsidP="005E0272">
      <w:pPr>
        <w:numPr>
          <w:ilvl w:val="0"/>
          <w:numId w:val="200"/>
        </w:numPr>
        <w:tabs>
          <w:tab w:val="left" w:pos="0"/>
          <w:tab w:val="left" w:pos="567"/>
        </w:tabs>
        <w:ind w:left="0" w:firstLine="0"/>
        <w:rPr>
          <w:rFonts w:cs="Times New Roman"/>
          <w:szCs w:val="24"/>
        </w:rPr>
      </w:pPr>
      <w:r w:rsidRPr="00BA4F0F">
        <w:rPr>
          <w:rFonts w:cs="Times New Roman"/>
          <w:szCs w:val="24"/>
        </w:rPr>
        <w:t>Возможные причины длительной лихорадки (более 4 суток):</w:t>
      </w:r>
    </w:p>
    <w:p w14:paraId="680D449D" w14:textId="77777777" w:rsidR="0075793D" w:rsidRPr="00BA4F0F" w:rsidRDefault="0075793D" w:rsidP="005E0272">
      <w:pPr>
        <w:numPr>
          <w:ilvl w:val="0"/>
          <w:numId w:val="201"/>
        </w:numPr>
        <w:tabs>
          <w:tab w:val="left" w:pos="0"/>
          <w:tab w:val="left" w:pos="567"/>
        </w:tabs>
        <w:ind w:left="0" w:firstLine="0"/>
        <w:rPr>
          <w:rFonts w:cs="Times New Roman"/>
          <w:szCs w:val="24"/>
        </w:rPr>
      </w:pPr>
      <w:r w:rsidRPr="00BA4F0F">
        <w:rPr>
          <w:rFonts w:cs="Times New Roman"/>
          <w:szCs w:val="24"/>
        </w:rPr>
        <w:t>Не обнаружен очаг инфекции.</w:t>
      </w:r>
    </w:p>
    <w:p w14:paraId="600E3A09" w14:textId="77777777" w:rsidR="0075793D" w:rsidRPr="00BA4F0F" w:rsidRDefault="0075793D" w:rsidP="005E0272">
      <w:pPr>
        <w:numPr>
          <w:ilvl w:val="0"/>
          <w:numId w:val="201"/>
        </w:numPr>
        <w:tabs>
          <w:tab w:val="left" w:pos="0"/>
          <w:tab w:val="left" w:pos="567"/>
        </w:tabs>
        <w:ind w:left="0" w:firstLine="0"/>
        <w:rPr>
          <w:rFonts w:cs="Times New Roman"/>
          <w:szCs w:val="24"/>
        </w:rPr>
      </w:pPr>
      <w:r w:rsidRPr="00BA4F0F">
        <w:rPr>
          <w:rFonts w:cs="Times New Roman"/>
          <w:szCs w:val="24"/>
        </w:rPr>
        <w:t>Наличие инфекции, вызванной другими возбудителями (не бактериями).</w:t>
      </w:r>
    </w:p>
    <w:p w14:paraId="1CD566E7" w14:textId="77777777" w:rsidR="0075793D" w:rsidRPr="00BA4F0F" w:rsidRDefault="0075793D" w:rsidP="005E0272">
      <w:pPr>
        <w:numPr>
          <w:ilvl w:val="0"/>
          <w:numId w:val="201"/>
        </w:numPr>
        <w:tabs>
          <w:tab w:val="left" w:pos="0"/>
          <w:tab w:val="left" w:pos="567"/>
        </w:tabs>
        <w:ind w:left="0" w:firstLine="0"/>
        <w:rPr>
          <w:rFonts w:cs="Times New Roman"/>
          <w:szCs w:val="24"/>
        </w:rPr>
      </w:pPr>
      <w:r w:rsidRPr="00BA4F0F">
        <w:rPr>
          <w:rFonts w:cs="Times New Roman"/>
          <w:szCs w:val="24"/>
        </w:rPr>
        <w:t>Бактериальная инфекция, вызванная резистентными микроорганизмами.</w:t>
      </w:r>
    </w:p>
    <w:p w14:paraId="41D97A85" w14:textId="77777777" w:rsidR="0075793D" w:rsidRPr="00BA4F0F" w:rsidRDefault="0075793D" w:rsidP="005E0272">
      <w:pPr>
        <w:numPr>
          <w:ilvl w:val="0"/>
          <w:numId w:val="201"/>
        </w:numPr>
        <w:tabs>
          <w:tab w:val="left" w:pos="0"/>
          <w:tab w:val="left" w:pos="567"/>
        </w:tabs>
        <w:ind w:left="0" w:firstLine="0"/>
        <w:rPr>
          <w:rFonts w:cs="Times New Roman"/>
          <w:szCs w:val="24"/>
        </w:rPr>
      </w:pPr>
      <w:r w:rsidRPr="00BA4F0F">
        <w:rPr>
          <w:rFonts w:cs="Times New Roman"/>
          <w:szCs w:val="24"/>
        </w:rPr>
        <w:t>Присоединение вторичной инфекции.</w:t>
      </w:r>
    </w:p>
    <w:p w14:paraId="4F3E088C" w14:textId="77777777" w:rsidR="0075793D" w:rsidRPr="00BA4F0F" w:rsidRDefault="0075793D" w:rsidP="005E0272">
      <w:pPr>
        <w:numPr>
          <w:ilvl w:val="0"/>
          <w:numId w:val="201"/>
        </w:numPr>
        <w:tabs>
          <w:tab w:val="left" w:pos="0"/>
          <w:tab w:val="left" w:pos="567"/>
        </w:tabs>
        <w:ind w:left="0" w:firstLine="0"/>
        <w:rPr>
          <w:rFonts w:cs="Times New Roman"/>
          <w:szCs w:val="24"/>
        </w:rPr>
      </w:pPr>
      <w:r w:rsidRPr="00BA4F0F">
        <w:rPr>
          <w:rFonts w:cs="Times New Roman"/>
          <w:szCs w:val="24"/>
        </w:rPr>
        <w:t>Лекарственная лихорадка.</w:t>
      </w:r>
    </w:p>
    <w:p w14:paraId="19DAC099" w14:textId="77777777" w:rsidR="0075793D" w:rsidRPr="00BA4F0F" w:rsidRDefault="0075793D" w:rsidP="005E0272">
      <w:pPr>
        <w:numPr>
          <w:ilvl w:val="0"/>
          <w:numId w:val="201"/>
        </w:numPr>
        <w:tabs>
          <w:tab w:val="left" w:pos="0"/>
          <w:tab w:val="left" w:pos="567"/>
        </w:tabs>
        <w:ind w:left="0" w:firstLine="0"/>
        <w:rPr>
          <w:rFonts w:cs="Times New Roman"/>
          <w:szCs w:val="24"/>
        </w:rPr>
      </w:pPr>
      <w:r w:rsidRPr="00BA4F0F">
        <w:rPr>
          <w:rFonts w:cs="Times New Roman"/>
          <w:szCs w:val="24"/>
        </w:rPr>
        <w:t>Недостаточная пенетрация антибиотиков в очаг поражения (например, при абсцессе).</w:t>
      </w:r>
    </w:p>
    <w:p w14:paraId="781B69F9" w14:textId="77777777" w:rsidR="0075793D" w:rsidRPr="00BA4F0F" w:rsidRDefault="0075793D" w:rsidP="005E0272">
      <w:pPr>
        <w:numPr>
          <w:ilvl w:val="0"/>
          <w:numId w:val="202"/>
        </w:numPr>
        <w:tabs>
          <w:tab w:val="left" w:pos="0"/>
          <w:tab w:val="left" w:pos="567"/>
        </w:tabs>
        <w:ind w:left="0" w:firstLine="0"/>
        <w:rPr>
          <w:rFonts w:cs="Times New Roman"/>
          <w:szCs w:val="24"/>
        </w:rPr>
      </w:pPr>
      <w:r w:rsidRPr="00BA4F0F">
        <w:rPr>
          <w:rFonts w:cs="Times New Roman"/>
          <w:szCs w:val="24"/>
        </w:rPr>
        <w:t>При лихорадке неясного генеза длительностью более 4 суток повторяют диагностические исследования. Обязательным в этот период является проведение КТ легких.</w:t>
      </w:r>
    </w:p>
    <w:p w14:paraId="4EBD5EBB" w14:textId="77777777" w:rsidR="0075793D" w:rsidRPr="00BA4F0F" w:rsidRDefault="0075793D" w:rsidP="005E0272">
      <w:pPr>
        <w:numPr>
          <w:ilvl w:val="0"/>
          <w:numId w:val="202"/>
        </w:numPr>
        <w:tabs>
          <w:tab w:val="left" w:pos="0"/>
          <w:tab w:val="left" w:pos="567"/>
        </w:tabs>
        <w:ind w:left="0" w:firstLine="0"/>
        <w:rPr>
          <w:rFonts w:cs="Times New Roman"/>
          <w:szCs w:val="24"/>
        </w:rPr>
      </w:pPr>
      <w:r w:rsidRPr="00BA4F0F">
        <w:rPr>
          <w:rFonts w:cs="Times New Roman"/>
          <w:szCs w:val="24"/>
        </w:rPr>
        <w:t>Варианты модификации антимикробной терапии на 4-5 день фебрильной нейтропении (микробиологические исследование отрицательные, пневмонии по данным КТ нет, состояние стабильное):</w:t>
      </w:r>
    </w:p>
    <w:p w14:paraId="51E80DB7" w14:textId="77777777" w:rsidR="0075793D" w:rsidRPr="00BA4F0F" w:rsidRDefault="0075793D" w:rsidP="005E0272">
      <w:pPr>
        <w:numPr>
          <w:ilvl w:val="0"/>
          <w:numId w:val="203"/>
        </w:numPr>
        <w:tabs>
          <w:tab w:val="left" w:pos="0"/>
          <w:tab w:val="left" w:pos="567"/>
        </w:tabs>
        <w:ind w:left="0" w:firstLine="0"/>
        <w:rPr>
          <w:rFonts w:cs="Times New Roman"/>
          <w:szCs w:val="24"/>
        </w:rPr>
      </w:pPr>
      <w:r w:rsidRPr="00BA4F0F">
        <w:rPr>
          <w:rFonts w:cs="Times New Roman"/>
          <w:szCs w:val="24"/>
        </w:rPr>
        <w:t xml:space="preserve">Отменяют антибиотики первого этапа и назначают карбапенем (меропенем или имипенем/циластатин), если в течение всех 4—5 дней не было снижения температуры и имеется колонизация слизистой оболочки кишечника энтеробактериями с продукцией БЛРС. </w:t>
      </w:r>
    </w:p>
    <w:p w14:paraId="4E6300E4" w14:textId="77777777" w:rsidR="0075793D" w:rsidRPr="00BA4F0F" w:rsidRDefault="0075793D" w:rsidP="005E0272">
      <w:pPr>
        <w:numPr>
          <w:ilvl w:val="0"/>
          <w:numId w:val="203"/>
        </w:numPr>
        <w:tabs>
          <w:tab w:val="left" w:pos="0"/>
          <w:tab w:val="left" w:pos="567"/>
        </w:tabs>
        <w:ind w:left="0" w:firstLine="0"/>
        <w:rPr>
          <w:rFonts w:cs="Times New Roman"/>
          <w:szCs w:val="24"/>
        </w:rPr>
      </w:pPr>
      <w:r w:rsidRPr="00BA4F0F">
        <w:rPr>
          <w:rFonts w:cs="Times New Roman"/>
          <w:szCs w:val="24"/>
        </w:rPr>
        <w:t xml:space="preserve">Добавляют ванкомицин, линезолид, тедизолид или даптомицин к антибиотикам первого этапа при симптомах мукозита </w:t>
      </w:r>
      <w:r w:rsidRPr="00BA4F0F">
        <w:rPr>
          <w:rFonts w:cs="Times New Roman"/>
          <w:szCs w:val="24"/>
          <w:lang w:val="en-US"/>
        </w:rPr>
        <w:t>III</w:t>
      </w:r>
      <w:r w:rsidRPr="00BA4F0F">
        <w:rPr>
          <w:rFonts w:cs="Times New Roman"/>
          <w:szCs w:val="24"/>
        </w:rPr>
        <w:t>-</w:t>
      </w:r>
      <w:r w:rsidRPr="00BA4F0F">
        <w:rPr>
          <w:rFonts w:cs="Times New Roman"/>
          <w:szCs w:val="24"/>
          <w:lang w:val="en-US"/>
        </w:rPr>
        <w:t>IV</w:t>
      </w:r>
      <w:r w:rsidRPr="00BA4F0F">
        <w:rPr>
          <w:rFonts w:cs="Times New Roman"/>
          <w:szCs w:val="24"/>
        </w:rPr>
        <w:t xml:space="preserve"> степени. </w:t>
      </w:r>
    </w:p>
    <w:p w14:paraId="47261BBF" w14:textId="77777777" w:rsidR="0075793D" w:rsidRPr="00BA4F0F" w:rsidRDefault="0075793D" w:rsidP="005E0272">
      <w:pPr>
        <w:numPr>
          <w:ilvl w:val="0"/>
          <w:numId w:val="204"/>
        </w:numPr>
        <w:tabs>
          <w:tab w:val="left" w:pos="0"/>
          <w:tab w:val="left" w:pos="567"/>
        </w:tabs>
        <w:ind w:left="0" w:firstLine="0"/>
        <w:rPr>
          <w:rFonts w:cs="Times New Roman"/>
          <w:szCs w:val="24"/>
        </w:rPr>
      </w:pPr>
      <w:r w:rsidRPr="00BA4F0F">
        <w:rPr>
          <w:rFonts w:cs="Times New Roman"/>
          <w:szCs w:val="24"/>
        </w:rPr>
        <w:t>Ванкомицин: по 1 г 2 раза в сутки.</w:t>
      </w:r>
    </w:p>
    <w:p w14:paraId="1C033DF7" w14:textId="77777777" w:rsidR="0075793D" w:rsidRPr="00BA4F0F" w:rsidRDefault="0075793D" w:rsidP="005E0272">
      <w:pPr>
        <w:numPr>
          <w:ilvl w:val="0"/>
          <w:numId w:val="204"/>
        </w:numPr>
        <w:tabs>
          <w:tab w:val="left" w:pos="0"/>
          <w:tab w:val="left" w:pos="567"/>
        </w:tabs>
        <w:ind w:left="0" w:firstLine="0"/>
        <w:rPr>
          <w:rFonts w:cs="Times New Roman"/>
          <w:szCs w:val="24"/>
        </w:rPr>
      </w:pPr>
      <w:r w:rsidRPr="00BA4F0F">
        <w:rPr>
          <w:rFonts w:cs="Times New Roman"/>
          <w:szCs w:val="24"/>
        </w:rPr>
        <w:t>Тедизолид: по 0,2 г 1 раз в сутки.</w:t>
      </w:r>
    </w:p>
    <w:p w14:paraId="436CDC76" w14:textId="77777777" w:rsidR="0075793D" w:rsidRPr="00BA4F0F" w:rsidRDefault="0075793D" w:rsidP="005E0272">
      <w:pPr>
        <w:numPr>
          <w:ilvl w:val="0"/>
          <w:numId w:val="204"/>
        </w:numPr>
        <w:tabs>
          <w:tab w:val="left" w:pos="0"/>
          <w:tab w:val="left" w:pos="567"/>
        </w:tabs>
        <w:ind w:left="0" w:firstLine="0"/>
        <w:rPr>
          <w:rFonts w:cs="Times New Roman"/>
          <w:szCs w:val="24"/>
        </w:rPr>
      </w:pPr>
      <w:r w:rsidRPr="00BA4F0F">
        <w:rPr>
          <w:rFonts w:cs="Times New Roman"/>
          <w:szCs w:val="24"/>
        </w:rPr>
        <w:t>Даптомицин: по 8-10 мг/кг 1 раз в сутки.</w:t>
      </w:r>
    </w:p>
    <w:p w14:paraId="42526964" w14:textId="77777777" w:rsidR="0075793D" w:rsidRPr="00BA4F0F" w:rsidRDefault="0075793D" w:rsidP="005E0272">
      <w:pPr>
        <w:numPr>
          <w:ilvl w:val="0"/>
          <w:numId w:val="203"/>
        </w:numPr>
        <w:tabs>
          <w:tab w:val="left" w:pos="0"/>
          <w:tab w:val="left" w:pos="567"/>
        </w:tabs>
        <w:ind w:left="0" w:firstLine="0"/>
        <w:rPr>
          <w:rFonts w:cs="Times New Roman"/>
          <w:szCs w:val="24"/>
        </w:rPr>
      </w:pPr>
      <w:r w:rsidRPr="00BA4F0F">
        <w:rPr>
          <w:rFonts w:cs="Times New Roman"/>
          <w:szCs w:val="24"/>
        </w:rPr>
        <w:t>Добавляют каспофунгин (или микафунгин) к антибиотикам первого этапа, если наблюдалось снижение температуры до нормальных значений (исключить назначение анальгина и других жаропонижающих средств), а затем (на следующий день или через день) — вновь повышение до прежних высоких значений.</w:t>
      </w:r>
    </w:p>
    <w:p w14:paraId="6EA208F4" w14:textId="77777777" w:rsidR="0075793D" w:rsidRPr="00BA4F0F" w:rsidRDefault="0075793D" w:rsidP="005E0272">
      <w:pPr>
        <w:numPr>
          <w:ilvl w:val="0"/>
          <w:numId w:val="205"/>
        </w:numPr>
        <w:tabs>
          <w:tab w:val="left" w:pos="0"/>
          <w:tab w:val="left" w:pos="567"/>
        </w:tabs>
        <w:ind w:left="0" w:firstLine="0"/>
        <w:rPr>
          <w:rFonts w:cs="Times New Roman"/>
          <w:szCs w:val="24"/>
        </w:rPr>
      </w:pPr>
      <w:r w:rsidRPr="00BA4F0F">
        <w:rPr>
          <w:rFonts w:cs="Times New Roman"/>
          <w:szCs w:val="24"/>
        </w:rPr>
        <w:t>Каспофунгин: в первый день 70 мг, далее по 50 мг 1 раз в сутки.</w:t>
      </w:r>
    </w:p>
    <w:p w14:paraId="593E5A7F" w14:textId="77777777" w:rsidR="0075793D" w:rsidRPr="00BA4F0F" w:rsidRDefault="0075793D" w:rsidP="005E0272">
      <w:pPr>
        <w:numPr>
          <w:ilvl w:val="0"/>
          <w:numId w:val="203"/>
        </w:numPr>
        <w:tabs>
          <w:tab w:val="left" w:pos="0"/>
          <w:tab w:val="left" w:pos="567"/>
        </w:tabs>
        <w:ind w:left="0" w:firstLine="0"/>
        <w:rPr>
          <w:rFonts w:cs="Times New Roman"/>
          <w:szCs w:val="24"/>
        </w:rPr>
      </w:pPr>
      <w:r w:rsidRPr="00BA4F0F">
        <w:rPr>
          <w:rFonts w:cs="Times New Roman"/>
          <w:szCs w:val="24"/>
        </w:rPr>
        <w:t>Добавляют флуконазол при наличии орофарингиального кандидоза.</w:t>
      </w:r>
    </w:p>
    <w:p w14:paraId="48229CAB" w14:textId="77777777" w:rsidR="0075793D" w:rsidRPr="00BA4F0F" w:rsidRDefault="0075793D" w:rsidP="005E0272">
      <w:pPr>
        <w:numPr>
          <w:ilvl w:val="0"/>
          <w:numId w:val="206"/>
        </w:numPr>
        <w:tabs>
          <w:tab w:val="left" w:pos="0"/>
          <w:tab w:val="left" w:pos="567"/>
        </w:tabs>
        <w:ind w:left="0" w:firstLine="0"/>
        <w:rPr>
          <w:rFonts w:cs="Times New Roman"/>
          <w:szCs w:val="24"/>
        </w:rPr>
      </w:pPr>
      <w:r w:rsidRPr="00BA4F0F">
        <w:rPr>
          <w:rFonts w:cs="Times New Roman"/>
          <w:szCs w:val="24"/>
        </w:rPr>
        <w:t>Флуконазол: по 400 мг 1 раз в сутки.</w:t>
      </w:r>
    </w:p>
    <w:p w14:paraId="72E1207D" w14:textId="77777777" w:rsidR="0075793D" w:rsidRPr="00BA4F0F" w:rsidRDefault="0075793D" w:rsidP="005E0272">
      <w:pPr>
        <w:numPr>
          <w:ilvl w:val="0"/>
          <w:numId w:val="203"/>
        </w:numPr>
        <w:tabs>
          <w:tab w:val="left" w:pos="0"/>
          <w:tab w:val="left" w:pos="567"/>
        </w:tabs>
        <w:ind w:left="0" w:firstLine="0"/>
        <w:rPr>
          <w:rFonts w:cs="Times New Roman"/>
          <w:szCs w:val="24"/>
        </w:rPr>
      </w:pPr>
      <w:r w:rsidRPr="00BA4F0F">
        <w:rPr>
          <w:rFonts w:cs="Times New Roman"/>
          <w:szCs w:val="24"/>
        </w:rPr>
        <w:t xml:space="preserve">Добавляют каспофунгин (или микафунгин) больным с персистирующей фебрильной нейтропенией и выделением </w:t>
      </w:r>
      <w:r w:rsidRPr="00BA4F0F">
        <w:rPr>
          <w:rFonts w:cs="Times New Roman"/>
          <w:i/>
          <w:szCs w:val="24"/>
        </w:rPr>
        <w:t>Candida spp.</w:t>
      </w:r>
      <w:r w:rsidRPr="00BA4F0F">
        <w:rPr>
          <w:rFonts w:cs="Times New Roman"/>
          <w:szCs w:val="24"/>
        </w:rPr>
        <w:t xml:space="preserve"> со слизистой оболочки ротоглотки и кишечника или из мочи. </w:t>
      </w:r>
    </w:p>
    <w:p w14:paraId="41A8497B" w14:textId="77777777" w:rsidR="0075793D" w:rsidRPr="00BA4F0F" w:rsidRDefault="0075793D" w:rsidP="005E0272">
      <w:pPr>
        <w:numPr>
          <w:ilvl w:val="0"/>
          <w:numId w:val="203"/>
        </w:numPr>
        <w:tabs>
          <w:tab w:val="left" w:pos="0"/>
          <w:tab w:val="left" w:pos="567"/>
        </w:tabs>
        <w:ind w:left="0" w:firstLine="0"/>
        <w:rPr>
          <w:rFonts w:cs="Times New Roman"/>
          <w:szCs w:val="24"/>
        </w:rPr>
      </w:pPr>
      <w:r w:rsidRPr="00BA4F0F">
        <w:rPr>
          <w:rFonts w:cs="Times New Roman"/>
          <w:szCs w:val="24"/>
        </w:rPr>
        <w:t>Добавляют вориконазол при пневмонии, резистентной к лечению антибиотиками, больным с гранулоцитопенией длительностью более 10 дней или получающим глюкокортикоиды, если не выявлены другие потенциальные возбудители пневмонии.</w:t>
      </w:r>
    </w:p>
    <w:p w14:paraId="7017C714" w14:textId="77777777" w:rsidR="0075793D" w:rsidRPr="00BA4F0F" w:rsidRDefault="0075793D" w:rsidP="005E0272">
      <w:pPr>
        <w:numPr>
          <w:ilvl w:val="0"/>
          <w:numId w:val="207"/>
        </w:numPr>
        <w:tabs>
          <w:tab w:val="left" w:pos="0"/>
          <w:tab w:val="left" w:pos="567"/>
        </w:tabs>
        <w:ind w:left="0" w:firstLine="0"/>
        <w:rPr>
          <w:rFonts w:cs="Times New Roman"/>
          <w:szCs w:val="24"/>
        </w:rPr>
      </w:pPr>
      <w:r w:rsidRPr="00BA4F0F">
        <w:rPr>
          <w:rFonts w:cs="Times New Roman"/>
          <w:szCs w:val="24"/>
        </w:rPr>
        <w:t>Вориконазол: в первый день 6 мг/кг 2 раза в сутки, далее по 3 мг/кг 2 раза в сутки</w:t>
      </w:r>
    </w:p>
    <w:p w14:paraId="5B3D2A79" w14:textId="77777777" w:rsidR="0075793D" w:rsidRPr="00BA4F0F" w:rsidRDefault="0075793D" w:rsidP="0075793D">
      <w:pPr>
        <w:pStyle w:val="afe"/>
        <w:ind w:left="0"/>
        <w:rPr>
          <w:rFonts w:cs="Times New Roman"/>
          <w:b/>
          <w:i/>
          <w:szCs w:val="24"/>
        </w:rPr>
      </w:pPr>
    </w:p>
    <w:p w14:paraId="5493467D" w14:textId="77777777" w:rsidR="0075793D" w:rsidRPr="00BA4F0F" w:rsidRDefault="0075793D" w:rsidP="0075793D">
      <w:pPr>
        <w:pStyle w:val="afe"/>
        <w:ind w:left="0"/>
        <w:rPr>
          <w:rFonts w:cs="Times New Roman"/>
          <w:b/>
          <w:i/>
          <w:szCs w:val="24"/>
        </w:rPr>
      </w:pPr>
      <w:r w:rsidRPr="00BA4F0F">
        <w:rPr>
          <w:rFonts w:cs="Times New Roman"/>
          <w:b/>
          <w:i/>
          <w:szCs w:val="24"/>
        </w:rPr>
        <w:t>Модификация антимикробной терапии в более ранние сроки</w:t>
      </w:r>
    </w:p>
    <w:p w14:paraId="3103FDC8" w14:textId="77777777" w:rsidR="0075793D" w:rsidRPr="00BA4F0F" w:rsidRDefault="0075793D" w:rsidP="0075793D">
      <w:pPr>
        <w:tabs>
          <w:tab w:val="left" w:pos="0"/>
          <w:tab w:val="left" w:pos="567"/>
        </w:tabs>
        <w:rPr>
          <w:rFonts w:cs="Times New Roman"/>
          <w:szCs w:val="24"/>
        </w:rPr>
      </w:pPr>
      <w:r w:rsidRPr="00BA4F0F">
        <w:rPr>
          <w:rFonts w:cs="Times New Roman"/>
          <w:szCs w:val="24"/>
        </w:rPr>
        <w:t>Модификацию антимикробной терапии в более ранние сроки (2—3-й день эмпирической антимикробной терапии) проводят на основании клинических и/или микробиологических данных.</w:t>
      </w:r>
    </w:p>
    <w:p w14:paraId="012BA95E" w14:textId="77777777" w:rsidR="0075793D" w:rsidRPr="00BA4F0F" w:rsidRDefault="0075793D" w:rsidP="0075793D">
      <w:pPr>
        <w:pStyle w:val="afe"/>
        <w:ind w:left="0"/>
        <w:rPr>
          <w:rFonts w:cs="Times New Roman"/>
          <w:b/>
          <w:i/>
          <w:szCs w:val="24"/>
        </w:rPr>
      </w:pPr>
    </w:p>
    <w:p w14:paraId="030D281C" w14:textId="77777777" w:rsidR="0075793D" w:rsidRPr="00BA4F0F" w:rsidRDefault="0075793D" w:rsidP="0075793D">
      <w:pPr>
        <w:pStyle w:val="afe"/>
        <w:ind w:left="0"/>
        <w:rPr>
          <w:rFonts w:cs="Times New Roman"/>
          <w:b/>
          <w:i/>
          <w:szCs w:val="24"/>
        </w:rPr>
      </w:pPr>
      <w:r w:rsidRPr="00BA4F0F">
        <w:rPr>
          <w:rFonts w:cs="Times New Roman"/>
          <w:b/>
          <w:i/>
          <w:szCs w:val="24"/>
        </w:rPr>
        <w:t>Артериальная гипотония, клиника септического шока</w:t>
      </w:r>
    </w:p>
    <w:p w14:paraId="2AC86D0D" w14:textId="77777777" w:rsidR="0075793D" w:rsidRPr="00BA4F0F" w:rsidRDefault="0075793D" w:rsidP="005E0272">
      <w:pPr>
        <w:numPr>
          <w:ilvl w:val="0"/>
          <w:numId w:val="208"/>
        </w:numPr>
        <w:tabs>
          <w:tab w:val="left" w:pos="0"/>
          <w:tab w:val="left" w:pos="567"/>
        </w:tabs>
        <w:ind w:left="0" w:firstLine="0"/>
        <w:rPr>
          <w:rFonts w:cs="Times New Roman"/>
          <w:szCs w:val="24"/>
        </w:rPr>
      </w:pPr>
      <w:r w:rsidRPr="00BA4F0F">
        <w:rPr>
          <w:rFonts w:cs="Times New Roman"/>
          <w:szCs w:val="24"/>
        </w:rPr>
        <w:t>Вместо цефалоспорина назначают карбапенем — меропенем, имипенем/циластатин или дорипенем.</w:t>
      </w:r>
    </w:p>
    <w:p w14:paraId="660C5782" w14:textId="77777777" w:rsidR="0075793D" w:rsidRPr="00BA4F0F" w:rsidRDefault="0075793D" w:rsidP="0075793D">
      <w:pPr>
        <w:tabs>
          <w:tab w:val="left" w:pos="0"/>
          <w:tab w:val="left" w:pos="567"/>
        </w:tabs>
        <w:rPr>
          <w:rFonts w:cs="Times New Roman"/>
          <w:szCs w:val="24"/>
        </w:rPr>
      </w:pPr>
    </w:p>
    <w:p w14:paraId="0286083C" w14:textId="77777777" w:rsidR="0075793D" w:rsidRPr="00BA4F0F" w:rsidRDefault="0075793D" w:rsidP="0075793D">
      <w:pPr>
        <w:pStyle w:val="afe"/>
        <w:ind w:left="0"/>
        <w:rPr>
          <w:rFonts w:cs="Times New Roman"/>
          <w:b/>
          <w:i/>
          <w:szCs w:val="24"/>
        </w:rPr>
      </w:pPr>
      <w:r w:rsidRPr="00BA4F0F">
        <w:rPr>
          <w:rFonts w:cs="Times New Roman"/>
          <w:b/>
          <w:i/>
          <w:szCs w:val="24"/>
        </w:rPr>
        <w:t>Развитие пневмонии в течение первых 2—3 дней фебрильной нейтропении</w:t>
      </w:r>
    </w:p>
    <w:p w14:paraId="6AF6941A" w14:textId="77777777" w:rsidR="0075793D" w:rsidRPr="00BA4F0F" w:rsidRDefault="0075793D" w:rsidP="005E0272">
      <w:pPr>
        <w:numPr>
          <w:ilvl w:val="0"/>
          <w:numId w:val="208"/>
        </w:numPr>
        <w:tabs>
          <w:tab w:val="left" w:pos="0"/>
          <w:tab w:val="left" w:pos="567"/>
        </w:tabs>
        <w:ind w:left="0" w:firstLine="0"/>
        <w:rPr>
          <w:rFonts w:cs="Times New Roman"/>
          <w:szCs w:val="24"/>
        </w:rPr>
      </w:pPr>
      <w:r w:rsidRPr="00BA4F0F">
        <w:rPr>
          <w:rFonts w:cs="Times New Roman"/>
          <w:szCs w:val="24"/>
        </w:rPr>
        <w:t>При стабильной ситуации проводят БАЛ и дальнейшую модификацию антимикробной терапии осуществляют в соответствии с результатами микробиологического исследования.</w:t>
      </w:r>
    </w:p>
    <w:p w14:paraId="109C8D08" w14:textId="77777777" w:rsidR="0075793D" w:rsidRPr="00BA4F0F" w:rsidRDefault="0075793D" w:rsidP="005E0272">
      <w:pPr>
        <w:numPr>
          <w:ilvl w:val="0"/>
          <w:numId w:val="208"/>
        </w:numPr>
        <w:tabs>
          <w:tab w:val="left" w:pos="0"/>
          <w:tab w:val="left" w:pos="567"/>
        </w:tabs>
        <w:ind w:left="0" w:firstLine="0"/>
        <w:rPr>
          <w:rFonts w:cs="Times New Roman"/>
          <w:szCs w:val="24"/>
        </w:rPr>
      </w:pPr>
      <w:r w:rsidRPr="00BA4F0F">
        <w:rPr>
          <w:rFonts w:cs="Times New Roman"/>
          <w:szCs w:val="24"/>
        </w:rPr>
        <w:t>При нестабильном соматическом состоянии или невозможности выполнения БАЛ назначают карбапенем (меропенем, имипенем/циластатин илиьдорипенем) и отменяют антибиотики первого этапа.</w:t>
      </w:r>
    </w:p>
    <w:p w14:paraId="60DB1F61" w14:textId="77777777" w:rsidR="0075793D" w:rsidRPr="00BA4F0F" w:rsidRDefault="0075793D" w:rsidP="0075793D">
      <w:pPr>
        <w:tabs>
          <w:tab w:val="left" w:pos="0"/>
          <w:tab w:val="left" w:pos="567"/>
        </w:tabs>
        <w:rPr>
          <w:rFonts w:cs="Times New Roman"/>
          <w:b/>
          <w:szCs w:val="24"/>
        </w:rPr>
      </w:pPr>
    </w:p>
    <w:p w14:paraId="514FC446" w14:textId="77777777" w:rsidR="0075793D" w:rsidRPr="00BA4F0F" w:rsidRDefault="0075793D" w:rsidP="0075793D">
      <w:pPr>
        <w:pStyle w:val="afe"/>
        <w:ind w:left="0"/>
        <w:rPr>
          <w:rFonts w:cs="Times New Roman"/>
          <w:b/>
          <w:i/>
          <w:szCs w:val="24"/>
        </w:rPr>
      </w:pPr>
      <w:r w:rsidRPr="00BA4F0F">
        <w:rPr>
          <w:rFonts w:cs="Times New Roman"/>
          <w:b/>
          <w:i/>
          <w:szCs w:val="24"/>
        </w:rPr>
        <w:t>Появление септикопиемических очагов на коже</w:t>
      </w:r>
    </w:p>
    <w:p w14:paraId="7C298AD1" w14:textId="77777777" w:rsidR="0075793D" w:rsidRPr="00BA4F0F" w:rsidRDefault="0075793D" w:rsidP="0075793D">
      <w:pPr>
        <w:tabs>
          <w:tab w:val="left" w:pos="0"/>
          <w:tab w:val="left" w:pos="567"/>
        </w:tabs>
        <w:rPr>
          <w:rFonts w:cs="Times New Roman"/>
          <w:szCs w:val="24"/>
        </w:rPr>
      </w:pPr>
      <w:r w:rsidRPr="00BA4F0F">
        <w:rPr>
          <w:rFonts w:cs="Times New Roman"/>
          <w:szCs w:val="24"/>
        </w:rPr>
        <w:t>Вместо цефалоспорина назначают карбапенем — меропенем, имипенем/циластатин или дорипенем.</w:t>
      </w:r>
    </w:p>
    <w:p w14:paraId="60BF6883" w14:textId="77777777" w:rsidR="0075793D" w:rsidRPr="00BA4F0F" w:rsidRDefault="0075793D" w:rsidP="0075793D">
      <w:pPr>
        <w:tabs>
          <w:tab w:val="left" w:pos="0"/>
          <w:tab w:val="left" w:pos="567"/>
        </w:tabs>
        <w:rPr>
          <w:rFonts w:cs="Times New Roman"/>
          <w:b/>
          <w:szCs w:val="24"/>
        </w:rPr>
      </w:pPr>
    </w:p>
    <w:p w14:paraId="2A195BB5" w14:textId="77777777" w:rsidR="0075793D" w:rsidRPr="00BA4F0F" w:rsidRDefault="0075793D" w:rsidP="0075793D">
      <w:pPr>
        <w:pStyle w:val="afe"/>
        <w:ind w:left="0"/>
        <w:rPr>
          <w:rFonts w:cs="Times New Roman"/>
          <w:b/>
          <w:i/>
          <w:szCs w:val="24"/>
        </w:rPr>
      </w:pPr>
      <w:r w:rsidRPr="00BA4F0F">
        <w:rPr>
          <w:rFonts w:cs="Times New Roman"/>
          <w:b/>
          <w:i/>
          <w:szCs w:val="24"/>
        </w:rPr>
        <w:t>При выделении из крови грамотрицательных микробов (микроскопия)</w:t>
      </w:r>
    </w:p>
    <w:p w14:paraId="29DFFABC" w14:textId="77777777" w:rsidR="0075793D" w:rsidRPr="00BA4F0F" w:rsidRDefault="0075793D" w:rsidP="005E0272">
      <w:pPr>
        <w:numPr>
          <w:ilvl w:val="0"/>
          <w:numId w:val="209"/>
        </w:numPr>
        <w:tabs>
          <w:tab w:val="left" w:pos="0"/>
          <w:tab w:val="left" w:pos="567"/>
        </w:tabs>
        <w:ind w:left="0" w:firstLine="0"/>
        <w:rPr>
          <w:rFonts w:cs="Times New Roman"/>
          <w:szCs w:val="24"/>
        </w:rPr>
      </w:pPr>
      <w:r w:rsidRPr="00BA4F0F">
        <w:rPr>
          <w:rFonts w:cs="Times New Roman"/>
          <w:szCs w:val="24"/>
        </w:rPr>
        <w:t>Оставляют прежние антибиотики при стабильном соматическом состоянии (нет ухудшения) до идентификации бактерий и определения их антибиотикочувствительности.</w:t>
      </w:r>
    </w:p>
    <w:p w14:paraId="10A2B8D2" w14:textId="77777777" w:rsidR="0075793D" w:rsidRPr="00BA4F0F" w:rsidRDefault="0075793D" w:rsidP="005E0272">
      <w:pPr>
        <w:numPr>
          <w:ilvl w:val="0"/>
          <w:numId w:val="209"/>
        </w:numPr>
        <w:tabs>
          <w:tab w:val="left" w:pos="0"/>
          <w:tab w:val="left" w:pos="567"/>
        </w:tabs>
        <w:ind w:left="0" w:firstLine="0"/>
        <w:rPr>
          <w:rFonts w:cs="Times New Roman"/>
          <w:szCs w:val="24"/>
        </w:rPr>
      </w:pPr>
      <w:r w:rsidRPr="00BA4F0F">
        <w:rPr>
          <w:rFonts w:cs="Times New Roman"/>
          <w:szCs w:val="24"/>
        </w:rPr>
        <w:t>Проводят замену на карбапенем (меропенем или имипенем/циластатин) при ухудшении клинического состояния (например, повышение температуры, появление ознобов, развитие пневмонии и др.).</w:t>
      </w:r>
    </w:p>
    <w:p w14:paraId="4D98FE72" w14:textId="77777777" w:rsidR="0075793D" w:rsidRPr="00BA4F0F" w:rsidRDefault="0075793D" w:rsidP="0075793D">
      <w:pPr>
        <w:tabs>
          <w:tab w:val="left" w:pos="0"/>
          <w:tab w:val="left" w:pos="567"/>
        </w:tabs>
        <w:rPr>
          <w:rFonts w:cs="Times New Roman"/>
          <w:b/>
          <w:szCs w:val="24"/>
        </w:rPr>
      </w:pPr>
    </w:p>
    <w:p w14:paraId="01663110" w14:textId="77777777" w:rsidR="0075793D" w:rsidRPr="00BA4F0F" w:rsidRDefault="0075793D" w:rsidP="0075793D">
      <w:pPr>
        <w:pStyle w:val="afe"/>
        <w:ind w:left="0"/>
        <w:rPr>
          <w:rFonts w:cs="Times New Roman"/>
          <w:b/>
          <w:i/>
          <w:szCs w:val="24"/>
        </w:rPr>
      </w:pPr>
      <w:r w:rsidRPr="00BA4F0F">
        <w:rPr>
          <w:rFonts w:cs="Times New Roman"/>
          <w:b/>
          <w:i/>
          <w:szCs w:val="24"/>
        </w:rPr>
        <w:t>При выделении из крови грамположительных бактерий (микроскопия)</w:t>
      </w:r>
    </w:p>
    <w:p w14:paraId="4874D787" w14:textId="77777777" w:rsidR="0075793D" w:rsidRPr="00BA4F0F" w:rsidRDefault="0075793D" w:rsidP="005E0272">
      <w:pPr>
        <w:numPr>
          <w:ilvl w:val="0"/>
          <w:numId w:val="210"/>
        </w:numPr>
        <w:tabs>
          <w:tab w:val="left" w:pos="0"/>
          <w:tab w:val="left" w:pos="567"/>
        </w:tabs>
        <w:ind w:left="0" w:firstLine="0"/>
        <w:rPr>
          <w:rFonts w:cs="Times New Roman"/>
          <w:szCs w:val="24"/>
        </w:rPr>
      </w:pPr>
      <w:r w:rsidRPr="00BA4F0F">
        <w:rPr>
          <w:rFonts w:cs="Times New Roman"/>
          <w:szCs w:val="24"/>
        </w:rPr>
        <w:t>Добавляют даптомицин (в дозе 10 мг/кг 1 раз в сутки) или ванкомицин при сепсисе, появлении септикопиемических отсевов на коже, ухудшении соматического состояния пациента, повторном выделении грамположительных бактерий из крови. Препаратом выбора в лечении инфекций кровотока, вызванных грамположительными бактериями, является даптомицин.</w:t>
      </w:r>
    </w:p>
    <w:p w14:paraId="457D3008" w14:textId="77777777" w:rsidR="0075793D" w:rsidRPr="00BA4F0F" w:rsidRDefault="0075793D" w:rsidP="005E0272">
      <w:pPr>
        <w:numPr>
          <w:ilvl w:val="0"/>
          <w:numId w:val="210"/>
        </w:numPr>
        <w:tabs>
          <w:tab w:val="left" w:pos="0"/>
          <w:tab w:val="left" w:pos="567"/>
        </w:tabs>
        <w:ind w:left="0" w:firstLine="0"/>
        <w:rPr>
          <w:rFonts w:cs="Times New Roman"/>
          <w:szCs w:val="24"/>
        </w:rPr>
      </w:pPr>
      <w:r w:rsidRPr="00BA4F0F">
        <w:rPr>
          <w:rFonts w:cs="Times New Roman"/>
          <w:szCs w:val="24"/>
        </w:rPr>
        <w:t xml:space="preserve">Добавляют линезолид (по 600 мг 2 раза в сутки), если у больного выделены из гемокультуры стрептококки группы </w:t>
      </w:r>
      <w:r w:rsidRPr="00BA4F0F">
        <w:rPr>
          <w:rFonts w:cs="Times New Roman"/>
          <w:i/>
          <w:szCs w:val="24"/>
        </w:rPr>
        <w:t xml:space="preserve">viridans </w:t>
      </w:r>
      <w:r w:rsidRPr="00BA4F0F">
        <w:rPr>
          <w:rFonts w:cs="Times New Roman"/>
          <w:szCs w:val="24"/>
        </w:rPr>
        <w:t xml:space="preserve">и присоединилась пневмония. </w:t>
      </w:r>
    </w:p>
    <w:p w14:paraId="6EA88DFA" w14:textId="77777777" w:rsidR="0075793D" w:rsidRPr="00BA4F0F" w:rsidRDefault="0075793D" w:rsidP="005E0272">
      <w:pPr>
        <w:numPr>
          <w:ilvl w:val="0"/>
          <w:numId w:val="210"/>
        </w:numPr>
        <w:tabs>
          <w:tab w:val="left" w:pos="0"/>
          <w:tab w:val="left" w:pos="567"/>
        </w:tabs>
        <w:ind w:left="0" w:firstLine="0"/>
        <w:rPr>
          <w:rFonts w:cs="Times New Roman"/>
          <w:szCs w:val="24"/>
        </w:rPr>
      </w:pPr>
      <w:r w:rsidRPr="00BA4F0F">
        <w:rPr>
          <w:rFonts w:cs="Times New Roman"/>
          <w:szCs w:val="24"/>
        </w:rPr>
        <w:t>Оставляют антимикробную терапию прежней до получения результатов микробиологического исследования (идентификация вида возбудителя, определение его чувствительности к антибиотикам) при стабильном соматическом состоянии больного (температура прежняя).</w:t>
      </w:r>
    </w:p>
    <w:p w14:paraId="535B9F50" w14:textId="77777777" w:rsidR="0075793D" w:rsidRPr="00BA4F0F" w:rsidRDefault="0075793D" w:rsidP="0075793D">
      <w:pPr>
        <w:tabs>
          <w:tab w:val="left" w:pos="0"/>
          <w:tab w:val="left" w:pos="567"/>
        </w:tabs>
        <w:rPr>
          <w:rFonts w:cs="Times New Roman"/>
          <w:b/>
          <w:szCs w:val="24"/>
        </w:rPr>
      </w:pPr>
    </w:p>
    <w:p w14:paraId="7CFBA4B0" w14:textId="77777777" w:rsidR="0075793D" w:rsidRPr="00BA4F0F" w:rsidRDefault="0075793D" w:rsidP="0075793D">
      <w:pPr>
        <w:pStyle w:val="afe"/>
        <w:ind w:left="0"/>
        <w:rPr>
          <w:rFonts w:cs="Times New Roman"/>
          <w:b/>
          <w:i/>
          <w:szCs w:val="24"/>
        </w:rPr>
      </w:pPr>
      <w:r w:rsidRPr="00BA4F0F">
        <w:rPr>
          <w:rFonts w:cs="Times New Roman"/>
          <w:b/>
          <w:i/>
          <w:szCs w:val="24"/>
        </w:rPr>
        <w:t xml:space="preserve">Инфекция, вызванная энтеробактериями с продукцией БЛРС </w:t>
      </w:r>
    </w:p>
    <w:p w14:paraId="5CE9F1F7" w14:textId="77777777" w:rsidR="0075793D" w:rsidRPr="00BA4F0F" w:rsidRDefault="0075793D" w:rsidP="005E0272">
      <w:pPr>
        <w:numPr>
          <w:ilvl w:val="0"/>
          <w:numId w:val="211"/>
        </w:numPr>
        <w:tabs>
          <w:tab w:val="left" w:pos="0"/>
          <w:tab w:val="left" w:pos="567"/>
        </w:tabs>
        <w:ind w:left="0" w:firstLine="0"/>
        <w:rPr>
          <w:rFonts w:cs="Times New Roman"/>
          <w:szCs w:val="24"/>
        </w:rPr>
      </w:pPr>
      <w:r w:rsidRPr="00BA4F0F">
        <w:rPr>
          <w:rFonts w:cs="Times New Roman"/>
          <w:szCs w:val="24"/>
        </w:rPr>
        <w:t>Препарата выбора – карбапенем (меропенем, имипенем/циластатин или дорипенем).</w:t>
      </w:r>
    </w:p>
    <w:p w14:paraId="15F47EA7" w14:textId="77777777" w:rsidR="0075793D" w:rsidRPr="00BA4F0F" w:rsidRDefault="0075793D" w:rsidP="005E0272">
      <w:pPr>
        <w:numPr>
          <w:ilvl w:val="0"/>
          <w:numId w:val="211"/>
        </w:numPr>
        <w:tabs>
          <w:tab w:val="left" w:pos="0"/>
          <w:tab w:val="left" w:pos="567"/>
        </w:tabs>
        <w:ind w:left="0" w:firstLine="0"/>
        <w:rPr>
          <w:rFonts w:cs="Times New Roman"/>
          <w:szCs w:val="24"/>
        </w:rPr>
      </w:pPr>
      <w:r w:rsidRPr="00BA4F0F">
        <w:rPr>
          <w:rFonts w:cs="Times New Roman"/>
          <w:szCs w:val="24"/>
        </w:rPr>
        <w:t>При неэффективности (появление септикопиемических очагов на коже или пневмонии или повышение температуры с ознобом) используют продленную инфузию или добавляют амикацин.</w:t>
      </w:r>
    </w:p>
    <w:p w14:paraId="5FAB920D" w14:textId="77777777" w:rsidR="0075793D" w:rsidRPr="00BA4F0F" w:rsidRDefault="0075793D" w:rsidP="005E0272">
      <w:pPr>
        <w:numPr>
          <w:ilvl w:val="0"/>
          <w:numId w:val="213"/>
        </w:numPr>
        <w:tabs>
          <w:tab w:val="left" w:pos="0"/>
          <w:tab w:val="left" w:pos="567"/>
        </w:tabs>
        <w:ind w:left="0" w:firstLine="0"/>
        <w:rPr>
          <w:rFonts w:cs="Times New Roman"/>
          <w:szCs w:val="24"/>
        </w:rPr>
      </w:pPr>
      <w:r w:rsidRPr="00BA4F0F">
        <w:rPr>
          <w:rFonts w:cs="Times New Roman"/>
          <w:szCs w:val="24"/>
        </w:rPr>
        <w:t xml:space="preserve">Меропенем по 2 г 3 раза в сутки, введение каждой дозы в течение 3 часов. </w:t>
      </w:r>
    </w:p>
    <w:p w14:paraId="540EDE34" w14:textId="77777777" w:rsidR="0075793D" w:rsidRPr="00BA4F0F" w:rsidRDefault="0075793D" w:rsidP="005E0272">
      <w:pPr>
        <w:numPr>
          <w:ilvl w:val="0"/>
          <w:numId w:val="213"/>
        </w:numPr>
        <w:tabs>
          <w:tab w:val="left" w:pos="0"/>
          <w:tab w:val="left" w:pos="567"/>
        </w:tabs>
        <w:ind w:left="0" w:firstLine="0"/>
        <w:rPr>
          <w:rFonts w:cs="Times New Roman"/>
          <w:szCs w:val="24"/>
        </w:rPr>
      </w:pPr>
      <w:r w:rsidRPr="00BA4F0F">
        <w:rPr>
          <w:rFonts w:cs="Times New Roman"/>
          <w:szCs w:val="24"/>
        </w:rPr>
        <w:t>Амикацин: по 15 мг/кг 1 раз в сутки.</w:t>
      </w:r>
    </w:p>
    <w:p w14:paraId="596F56CB" w14:textId="77777777" w:rsidR="0075793D" w:rsidRPr="00BA4F0F" w:rsidRDefault="0075793D" w:rsidP="005E0272">
      <w:pPr>
        <w:numPr>
          <w:ilvl w:val="0"/>
          <w:numId w:val="212"/>
        </w:numPr>
        <w:tabs>
          <w:tab w:val="left" w:pos="0"/>
          <w:tab w:val="left" w:pos="567"/>
        </w:tabs>
        <w:ind w:left="0" w:firstLine="0"/>
        <w:rPr>
          <w:rFonts w:cs="Times New Roman"/>
          <w:szCs w:val="24"/>
        </w:rPr>
      </w:pPr>
      <w:r w:rsidRPr="00BA4F0F">
        <w:rPr>
          <w:rFonts w:cs="Times New Roman"/>
          <w:szCs w:val="24"/>
        </w:rPr>
        <w:t xml:space="preserve">Больным вне нейтропении, особенно при инфекции мочевыводящих путей, допустимо назначить эртапенем (в дозе 1 г 1 раз в сутки). </w:t>
      </w:r>
    </w:p>
    <w:p w14:paraId="1F6184C9" w14:textId="77777777" w:rsidR="0075793D" w:rsidRPr="00BA4F0F" w:rsidRDefault="0075793D" w:rsidP="0075793D">
      <w:pPr>
        <w:tabs>
          <w:tab w:val="left" w:pos="0"/>
          <w:tab w:val="left" w:pos="567"/>
        </w:tabs>
        <w:rPr>
          <w:rFonts w:cs="Times New Roman"/>
          <w:b/>
          <w:szCs w:val="24"/>
        </w:rPr>
      </w:pPr>
    </w:p>
    <w:p w14:paraId="7B2FE117" w14:textId="77777777" w:rsidR="0075793D" w:rsidRPr="00BA4F0F" w:rsidRDefault="0075793D" w:rsidP="0075793D">
      <w:pPr>
        <w:pStyle w:val="afe"/>
        <w:ind w:left="0"/>
        <w:rPr>
          <w:rFonts w:cs="Times New Roman"/>
          <w:b/>
          <w:i/>
          <w:szCs w:val="24"/>
        </w:rPr>
      </w:pPr>
      <w:r w:rsidRPr="00BA4F0F">
        <w:rPr>
          <w:rFonts w:cs="Times New Roman"/>
          <w:b/>
          <w:i/>
          <w:szCs w:val="24"/>
        </w:rPr>
        <w:t>Инфекция, вызванная энтеробактериями с продукцией карбапенемаз</w:t>
      </w:r>
    </w:p>
    <w:p w14:paraId="76DB39E5" w14:textId="77777777" w:rsidR="0075793D" w:rsidRPr="00BA4F0F" w:rsidRDefault="0075793D" w:rsidP="005E0272">
      <w:pPr>
        <w:numPr>
          <w:ilvl w:val="0"/>
          <w:numId w:val="214"/>
        </w:numPr>
        <w:tabs>
          <w:tab w:val="left" w:pos="0"/>
          <w:tab w:val="left" w:pos="567"/>
        </w:tabs>
        <w:ind w:left="0" w:firstLine="0"/>
        <w:rPr>
          <w:rFonts w:cs="Times New Roman"/>
          <w:szCs w:val="24"/>
        </w:rPr>
      </w:pPr>
      <w:r w:rsidRPr="00BA4F0F">
        <w:rPr>
          <w:rFonts w:cs="Times New Roman"/>
          <w:szCs w:val="24"/>
        </w:rPr>
        <w:t xml:space="preserve">Характеризируются тяжелым течением, отсутствием эффективных препаратов, использованием комбинаций антибактериальных препаратов, высокой летальностью. </w:t>
      </w:r>
    </w:p>
    <w:p w14:paraId="534900D9" w14:textId="77777777" w:rsidR="0075793D" w:rsidRPr="00BA4F0F" w:rsidRDefault="0075793D" w:rsidP="005E0272">
      <w:pPr>
        <w:numPr>
          <w:ilvl w:val="0"/>
          <w:numId w:val="214"/>
        </w:numPr>
        <w:tabs>
          <w:tab w:val="left" w:pos="0"/>
          <w:tab w:val="left" w:pos="567"/>
        </w:tabs>
        <w:ind w:left="0" w:firstLine="0"/>
        <w:rPr>
          <w:rFonts w:cs="Times New Roman"/>
          <w:szCs w:val="24"/>
        </w:rPr>
      </w:pPr>
      <w:r w:rsidRPr="00BA4F0F">
        <w:rPr>
          <w:rFonts w:cs="Times New Roman"/>
          <w:szCs w:val="24"/>
        </w:rPr>
        <w:t>Используемые антимикробные препараты:</w:t>
      </w:r>
    </w:p>
    <w:p w14:paraId="32B26C02" w14:textId="77777777" w:rsidR="0075793D" w:rsidRPr="00BA4F0F" w:rsidRDefault="0075793D" w:rsidP="005E0272">
      <w:pPr>
        <w:numPr>
          <w:ilvl w:val="0"/>
          <w:numId w:val="215"/>
        </w:numPr>
        <w:tabs>
          <w:tab w:val="left" w:pos="0"/>
          <w:tab w:val="left" w:pos="567"/>
        </w:tabs>
        <w:ind w:left="0" w:firstLine="0"/>
        <w:rPr>
          <w:rFonts w:cs="Times New Roman"/>
          <w:szCs w:val="24"/>
        </w:rPr>
      </w:pPr>
      <w:r w:rsidRPr="00BA4F0F">
        <w:rPr>
          <w:rFonts w:cs="Times New Roman"/>
          <w:szCs w:val="24"/>
        </w:rPr>
        <w:t xml:space="preserve">Меропенем (продленная инфузия). </w:t>
      </w:r>
    </w:p>
    <w:p w14:paraId="01E66724" w14:textId="77777777" w:rsidR="0075793D" w:rsidRPr="00BA4F0F" w:rsidRDefault="0075793D" w:rsidP="005E0272">
      <w:pPr>
        <w:numPr>
          <w:ilvl w:val="0"/>
          <w:numId w:val="215"/>
        </w:numPr>
        <w:tabs>
          <w:tab w:val="left" w:pos="0"/>
          <w:tab w:val="left" w:pos="567"/>
        </w:tabs>
        <w:ind w:left="0" w:firstLine="0"/>
        <w:rPr>
          <w:rFonts w:cs="Times New Roman"/>
          <w:szCs w:val="24"/>
        </w:rPr>
      </w:pPr>
      <w:r w:rsidRPr="00BA4F0F">
        <w:rPr>
          <w:rFonts w:cs="Times New Roman"/>
          <w:szCs w:val="24"/>
        </w:rPr>
        <w:t>Гентамицин по 5-7 мг/кг 1 раз в сутки или 1,5-2 мг/кг каждые 8 часов, при этом 1-ая доза составляет 2-3 мг/кг. Не применяют в монотерапии.</w:t>
      </w:r>
    </w:p>
    <w:p w14:paraId="7F0F7E75" w14:textId="77777777" w:rsidR="0075793D" w:rsidRPr="00BA4F0F" w:rsidRDefault="0075793D" w:rsidP="005E0272">
      <w:pPr>
        <w:numPr>
          <w:ilvl w:val="0"/>
          <w:numId w:val="215"/>
        </w:numPr>
        <w:tabs>
          <w:tab w:val="left" w:pos="0"/>
          <w:tab w:val="left" w:pos="567"/>
        </w:tabs>
        <w:ind w:left="0" w:firstLine="0"/>
        <w:rPr>
          <w:rFonts w:cs="Times New Roman"/>
          <w:szCs w:val="24"/>
        </w:rPr>
      </w:pPr>
      <w:r w:rsidRPr="00BA4F0F">
        <w:rPr>
          <w:rFonts w:cs="Times New Roman"/>
          <w:szCs w:val="24"/>
        </w:rPr>
        <w:t xml:space="preserve">Амикацин. Не применяют в монотерапии. </w:t>
      </w:r>
    </w:p>
    <w:p w14:paraId="1073390F" w14:textId="77777777" w:rsidR="0075793D" w:rsidRPr="00BA4F0F" w:rsidRDefault="0075793D" w:rsidP="005E0272">
      <w:pPr>
        <w:numPr>
          <w:ilvl w:val="0"/>
          <w:numId w:val="215"/>
        </w:numPr>
        <w:tabs>
          <w:tab w:val="left" w:pos="0"/>
          <w:tab w:val="left" w:pos="567"/>
        </w:tabs>
        <w:ind w:left="0" w:firstLine="0"/>
        <w:rPr>
          <w:rFonts w:cs="Times New Roman"/>
          <w:szCs w:val="24"/>
        </w:rPr>
      </w:pPr>
      <w:r w:rsidRPr="00BA4F0F">
        <w:rPr>
          <w:rFonts w:cs="Times New Roman"/>
          <w:szCs w:val="24"/>
        </w:rPr>
        <w:t xml:space="preserve">Колистин  1-ый день 9 млн ЕД 1 раз в сутки, далее по 4,5 млн ЕД каждые 12 часов. </w:t>
      </w:r>
    </w:p>
    <w:p w14:paraId="2F60A3E1" w14:textId="77777777" w:rsidR="0075793D" w:rsidRPr="00BA4F0F" w:rsidRDefault="0075793D" w:rsidP="005E0272">
      <w:pPr>
        <w:numPr>
          <w:ilvl w:val="0"/>
          <w:numId w:val="215"/>
        </w:numPr>
        <w:tabs>
          <w:tab w:val="left" w:pos="0"/>
          <w:tab w:val="left" w:pos="567"/>
        </w:tabs>
        <w:ind w:left="0" w:firstLine="0"/>
        <w:rPr>
          <w:rFonts w:cs="Times New Roman"/>
          <w:szCs w:val="24"/>
        </w:rPr>
      </w:pPr>
      <w:r w:rsidRPr="00BA4F0F">
        <w:rPr>
          <w:rFonts w:cs="Times New Roman"/>
          <w:szCs w:val="24"/>
        </w:rPr>
        <w:t xml:space="preserve">Фосфомицин по 3 г 3 раза в сутки. </w:t>
      </w:r>
    </w:p>
    <w:p w14:paraId="297BC7C1" w14:textId="77777777" w:rsidR="0075793D" w:rsidRPr="00BA4F0F" w:rsidRDefault="0075793D" w:rsidP="005E0272">
      <w:pPr>
        <w:numPr>
          <w:ilvl w:val="0"/>
          <w:numId w:val="215"/>
        </w:numPr>
        <w:tabs>
          <w:tab w:val="left" w:pos="0"/>
          <w:tab w:val="left" w:pos="567"/>
        </w:tabs>
        <w:ind w:left="0" w:firstLine="0"/>
        <w:rPr>
          <w:rFonts w:cs="Times New Roman"/>
          <w:szCs w:val="24"/>
        </w:rPr>
      </w:pPr>
      <w:r w:rsidRPr="00BA4F0F">
        <w:rPr>
          <w:rFonts w:cs="Times New Roman"/>
          <w:szCs w:val="24"/>
        </w:rPr>
        <w:t xml:space="preserve">Тигециклин: 1-ая доза 200 мг, далее по 100 мг, каждые 12 часов. </w:t>
      </w:r>
    </w:p>
    <w:p w14:paraId="0CAB08DD" w14:textId="77777777" w:rsidR="0075793D" w:rsidRPr="00BA4F0F" w:rsidRDefault="0075793D" w:rsidP="0075793D">
      <w:pPr>
        <w:tabs>
          <w:tab w:val="left" w:pos="0"/>
          <w:tab w:val="left" w:pos="567"/>
        </w:tabs>
        <w:rPr>
          <w:rFonts w:cs="Times New Roman"/>
          <w:b/>
          <w:szCs w:val="24"/>
        </w:rPr>
      </w:pPr>
    </w:p>
    <w:p w14:paraId="187FC048" w14:textId="77777777" w:rsidR="0075793D" w:rsidRPr="00BA4F0F" w:rsidRDefault="0075793D" w:rsidP="0075793D">
      <w:pPr>
        <w:tabs>
          <w:tab w:val="left" w:pos="0"/>
          <w:tab w:val="left" w:pos="567"/>
        </w:tabs>
        <w:rPr>
          <w:rFonts w:cs="Times New Roman"/>
          <w:b/>
          <w:szCs w:val="24"/>
        </w:rPr>
      </w:pPr>
    </w:p>
    <w:p w14:paraId="78005442" w14:textId="77777777" w:rsidR="0075793D" w:rsidRPr="00BA4F0F" w:rsidRDefault="0075793D" w:rsidP="0075793D">
      <w:pPr>
        <w:pStyle w:val="afe"/>
        <w:ind w:left="0"/>
        <w:rPr>
          <w:rFonts w:cs="Times New Roman"/>
          <w:b/>
          <w:i/>
          <w:szCs w:val="24"/>
        </w:rPr>
      </w:pPr>
      <w:r w:rsidRPr="00BA4F0F">
        <w:rPr>
          <w:rFonts w:cs="Times New Roman"/>
          <w:b/>
          <w:i/>
          <w:szCs w:val="24"/>
        </w:rPr>
        <w:t>Мукозит (слизистая оболочка рта отечная, рыхлая)</w:t>
      </w:r>
    </w:p>
    <w:p w14:paraId="3FAD5A78" w14:textId="77777777" w:rsidR="0075793D" w:rsidRPr="00BA4F0F" w:rsidRDefault="0075793D" w:rsidP="005E0272">
      <w:pPr>
        <w:numPr>
          <w:ilvl w:val="0"/>
          <w:numId w:val="216"/>
        </w:numPr>
        <w:tabs>
          <w:tab w:val="left" w:pos="0"/>
          <w:tab w:val="left" w:pos="567"/>
        </w:tabs>
        <w:ind w:left="0" w:firstLine="0"/>
        <w:rPr>
          <w:rFonts w:cs="Times New Roman"/>
          <w:szCs w:val="24"/>
        </w:rPr>
      </w:pPr>
      <w:r w:rsidRPr="00BA4F0F">
        <w:rPr>
          <w:rFonts w:cs="Times New Roman"/>
          <w:szCs w:val="24"/>
        </w:rPr>
        <w:t xml:space="preserve">Добавляют ванкомицин, даптомицин, линезолид или тедизолид при мукозите </w:t>
      </w:r>
      <w:r w:rsidRPr="00BA4F0F">
        <w:rPr>
          <w:rFonts w:cs="Times New Roman"/>
          <w:szCs w:val="24"/>
          <w:lang w:val="en-US"/>
        </w:rPr>
        <w:t>III</w:t>
      </w:r>
      <w:r w:rsidRPr="00BA4F0F">
        <w:rPr>
          <w:rFonts w:cs="Times New Roman"/>
          <w:szCs w:val="24"/>
        </w:rPr>
        <w:t>-</w:t>
      </w:r>
      <w:r w:rsidRPr="00BA4F0F">
        <w:rPr>
          <w:rFonts w:cs="Times New Roman"/>
          <w:szCs w:val="24"/>
          <w:lang w:val="en-US"/>
        </w:rPr>
        <w:t>IV</w:t>
      </w:r>
      <w:r w:rsidRPr="00BA4F0F">
        <w:rPr>
          <w:rFonts w:cs="Times New Roman"/>
          <w:szCs w:val="24"/>
        </w:rPr>
        <w:t xml:space="preserve"> степени, если выделены только грамположительные бактерии (высокая вероятность развития сепсиса, обусловленного стрептококками группы </w:t>
      </w:r>
      <w:r w:rsidRPr="00BA4F0F">
        <w:rPr>
          <w:rFonts w:cs="Times New Roman"/>
          <w:i/>
          <w:szCs w:val="24"/>
        </w:rPr>
        <w:t>viridans</w:t>
      </w:r>
      <w:r w:rsidRPr="00BA4F0F">
        <w:rPr>
          <w:rFonts w:cs="Times New Roman"/>
          <w:szCs w:val="24"/>
        </w:rPr>
        <w:t>). Проводят исследования на вирусы (определение ДНК герпесвирусов).</w:t>
      </w:r>
    </w:p>
    <w:p w14:paraId="7874760C" w14:textId="77777777" w:rsidR="0075793D" w:rsidRPr="00BA4F0F" w:rsidRDefault="0075793D" w:rsidP="005E0272">
      <w:pPr>
        <w:numPr>
          <w:ilvl w:val="0"/>
          <w:numId w:val="216"/>
        </w:numPr>
        <w:tabs>
          <w:tab w:val="left" w:pos="0"/>
          <w:tab w:val="left" w:pos="567"/>
        </w:tabs>
        <w:ind w:left="0" w:firstLine="0"/>
        <w:rPr>
          <w:rFonts w:cs="Times New Roman"/>
          <w:szCs w:val="24"/>
        </w:rPr>
      </w:pPr>
      <w:r w:rsidRPr="00BA4F0F">
        <w:rPr>
          <w:rFonts w:cs="Times New Roman"/>
          <w:szCs w:val="24"/>
        </w:rPr>
        <w:t xml:space="preserve">Добавляют флуконазол, если со слизистой оболочки выделены </w:t>
      </w:r>
      <w:r w:rsidRPr="00BA4F0F">
        <w:rPr>
          <w:rFonts w:cs="Times New Roman"/>
          <w:i/>
          <w:szCs w:val="24"/>
        </w:rPr>
        <w:t>Candida spp</w:t>
      </w:r>
      <w:r w:rsidRPr="00BA4F0F">
        <w:rPr>
          <w:rFonts w:cs="Times New Roman"/>
          <w:szCs w:val="24"/>
        </w:rPr>
        <w:t xml:space="preserve">.; в отсутствие эффекта дополнительно назначают в/в ванкомицин, или даптомицин, или линезолид, или тедизолид при мукозите </w:t>
      </w:r>
      <w:r w:rsidRPr="00BA4F0F">
        <w:rPr>
          <w:rFonts w:cs="Times New Roman"/>
          <w:szCs w:val="24"/>
          <w:lang w:val="en-US"/>
        </w:rPr>
        <w:t>III</w:t>
      </w:r>
      <w:r w:rsidRPr="00BA4F0F">
        <w:rPr>
          <w:rFonts w:cs="Times New Roman"/>
          <w:szCs w:val="24"/>
        </w:rPr>
        <w:t>-</w:t>
      </w:r>
      <w:r w:rsidRPr="00BA4F0F">
        <w:rPr>
          <w:rFonts w:cs="Times New Roman"/>
          <w:szCs w:val="24"/>
          <w:lang w:val="en-US"/>
        </w:rPr>
        <w:t>IV</w:t>
      </w:r>
      <w:r w:rsidRPr="00BA4F0F">
        <w:rPr>
          <w:rFonts w:cs="Times New Roman"/>
          <w:szCs w:val="24"/>
        </w:rPr>
        <w:t xml:space="preserve"> степени и проводят вирусологическое исследование (определение ДНК герпесвирусов). </w:t>
      </w:r>
    </w:p>
    <w:p w14:paraId="26E19D00" w14:textId="77777777" w:rsidR="0075793D" w:rsidRPr="00BA4F0F" w:rsidRDefault="0075793D" w:rsidP="005E0272">
      <w:pPr>
        <w:numPr>
          <w:ilvl w:val="0"/>
          <w:numId w:val="216"/>
        </w:numPr>
        <w:tabs>
          <w:tab w:val="left" w:pos="0"/>
          <w:tab w:val="left" w:pos="567"/>
        </w:tabs>
        <w:ind w:left="0" w:firstLine="0"/>
        <w:rPr>
          <w:rFonts w:cs="Times New Roman"/>
          <w:szCs w:val="24"/>
        </w:rPr>
      </w:pPr>
      <w:r w:rsidRPr="00BA4F0F">
        <w:rPr>
          <w:rFonts w:cs="Times New Roman"/>
          <w:szCs w:val="24"/>
        </w:rPr>
        <w:t xml:space="preserve">Добавляют ципрофлоксацин (по 0,5 г 2 раза в сутки) при выделении со слизистой оболочки рта </w:t>
      </w:r>
      <w:r w:rsidRPr="00BA4F0F">
        <w:rPr>
          <w:rFonts w:cs="Times New Roman"/>
          <w:i/>
          <w:szCs w:val="24"/>
        </w:rPr>
        <w:t>Pseudomonas aeruginosa</w:t>
      </w:r>
      <w:r w:rsidRPr="00BA4F0F">
        <w:rPr>
          <w:rFonts w:cs="Times New Roman"/>
          <w:szCs w:val="24"/>
        </w:rPr>
        <w:t>, если состояние пациента стабильное. При тяжелом состоянии проводят замену антибиотиков согласно результатам определения чувствительности возбудителя (препараты вводят внутривенно).</w:t>
      </w:r>
    </w:p>
    <w:p w14:paraId="3850DF8B" w14:textId="77777777" w:rsidR="0075793D" w:rsidRPr="00BA4F0F" w:rsidRDefault="0075793D" w:rsidP="005E0272">
      <w:pPr>
        <w:numPr>
          <w:ilvl w:val="0"/>
          <w:numId w:val="216"/>
        </w:numPr>
        <w:tabs>
          <w:tab w:val="left" w:pos="0"/>
          <w:tab w:val="left" w:pos="567"/>
        </w:tabs>
        <w:ind w:left="0" w:firstLine="0"/>
        <w:rPr>
          <w:rFonts w:cs="Times New Roman"/>
          <w:szCs w:val="24"/>
        </w:rPr>
      </w:pPr>
      <w:r w:rsidRPr="00BA4F0F">
        <w:rPr>
          <w:rFonts w:cs="Times New Roman"/>
          <w:szCs w:val="24"/>
        </w:rPr>
        <w:t xml:space="preserve">Модификация антимикробной терапии при выделении других грамотрицательных бактерий (энтеробактерий, продуцирующих БЛРС, </w:t>
      </w:r>
      <w:r w:rsidRPr="00BA4F0F">
        <w:rPr>
          <w:rFonts w:cs="Times New Roman"/>
          <w:i/>
          <w:szCs w:val="24"/>
          <w:lang w:val="en-US"/>
        </w:rPr>
        <w:t>Acinetobacter</w:t>
      </w:r>
      <w:r w:rsidRPr="00BA4F0F">
        <w:rPr>
          <w:rFonts w:cs="Times New Roman"/>
          <w:i/>
          <w:szCs w:val="24"/>
        </w:rPr>
        <w:t xml:space="preserve"> </w:t>
      </w:r>
      <w:r w:rsidRPr="00BA4F0F">
        <w:rPr>
          <w:rFonts w:cs="Times New Roman"/>
          <w:i/>
          <w:szCs w:val="24"/>
          <w:lang w:val="en-US"/>
        </w:rPr>
        <w:t>baumannii</w:t>
      </w:r>
      <w:r w:rsidRPr="00BA4F0F">
        <w:rPr>
          <w:rFonts w:cs="Times New Roman"/>
          <w:szCs w:val="24"/>
        </w:rPr>
        <w:t xml:space="preserve">, </w:t>
      </w:r>
      <w:r w:rsidRPr="00BA4F0F">
        <w:rPr>
          <w:rFonts w:cs="Times New Roman"/>
          <w:i/>
          <w:szCs w:val="24"/>
          <w:lang w:val="en-US"/>
        </w:rPr>
        <w:t>Stenotrophomonas</w:t>
      </w:r>
      <w:r w:rsidRPr="00BA4F0F">
        <w:rPr>
          <w:rFonts w:cs="Times New Roman"/>
          <w:i/>
          <w:szCs w:val="24"/>
        </w:rPr>
        <w:t xml:space="preserve"> </w:t>
      </w:r>
      <w:r w:rsidRPr="00BA4F0F">
        <w:rPr>
          <w:rFonts w:cs="Times New Roman"/>
          <w:i/>
          <w:szCs w:val="24"/>
          <w:lang w:val="en-US"/>
        </w:rPr>
        <w:t>maltophilia</w:t>
      </w:r>
      <w:r w:rsidRPr="00BA4F0F">
        <w:rPr>
          <w:rFonts w:cs="Times New Roman"/>
          <w:szCs w:val="24"/>
        </w:rPr>
        <w:t>) в соответствии с результатами определения чувствительности к антибиотикам.</w:t>
      </w:r>
    </w:p>
    <w:p w14:paraId="119CA979" w14:textId="77777777" w:rsidR="0075793D" w:rsidRPr="00BA4F0F" w:rsidRDefault="0075793D" w:rsidP="0075793D">
      <w:pPr>
        <w:tabs>
          <w:tab w:val="left" w:pos="0"/>
          <w:tab w:val="left" w:pos="567"/>
        </w:tabs>
        <w:rPr>
          <w:rFonts w:cs="Times New Roman"/>
          <w:b/>
          <w:szCs w:val="24"/>
        </w:rPr>
      </w:pPr>
      <w:r w:rsidRPr="00BA4F0F">
        <w:rPr>
          <w:rFonts w:cs="Times New Roman"/>
          <w:b/>
          <w:szCs w:val="24"/>
        </w:rPr>
        <w:t>Парапроктит</w:t>
      </w:r>
    </w:p>
    <w:p w14:paraId="421E2F7E" w14:textId="77777777" w:rsidR="0075793D" w:rsidRPr="00BA4F0F" w:rsidRDefault="0075793D" w:rsidP="0075793D">
      <w:pPr>
        <w:tabs>
          <w:tab w:val="left" w:pos="0"/>
          <w:tab w:val="left" w:pos="567"/>
        </w:tabs>
        <w:rPr>
          <w:rFonts w:cs="Times New Roman"/>
          <w:szCs w:val="24"/>
        </w:rPr>
      </w:pPr>
      <w:r w:rsidRPr="00BA4F0F">
        <w:rPr>
          <w:rFonts w:cs="Times New Roman"/>
          <w:szCs w:val="24"/>
        </w:rPr>
        <w:t>Схемы антимикробной терапии должны включать препараты с активностью против грамотрицательных и анаэробных бактерий.</w:t>
      </w:r>
    </w:p>
    <w:p w14:paraId="1B10D8E1" w14:textId="77777777" w:rsidR="0075793D" w:rsidRPr="00BA4F0F" w:rsidRDefault="0075793D" w:rsidP="005E0272">
      <w:pPr>
        <w:numPr>
          <w:ilvl w:val="0"/>
          <w:numId w:val="217"/>
        </w:numPr>
        <w:tabs>
          <w:tab w:val="left" w:pos="0"/>
          <w:tab w:val="left" w:pos="567"/>
        </w:tabs>
        <w:ind w:left="0" w:firstLine="0"/>
        <w:rPr>
          <w:rFonts w:cs="Times New Roman"/>
          <w:szCs w:val="24"/>
        </w:rPr>
      </w:pPr>
      <w:r w:rsidRPr="00BA4F0F">
        <w:rPr>
          <w:rFonts w:cs="Times New Roman"/>
          <w:szCs w:val="24"/>
        </w:rPr>
        <w:t>Если назначен цефоперазон/сульбактам, то к нему добавляют амикацин.</w:t>
      </w:r>
    </w:p>
    <w:p w14:paraId="705CFCFD" w14:textId="77777777" w:rsidR="0075793D" w:rsidRPr="00BA4F0F" w:rsidRDefault="0075793D" w:rsidP="005E0272">
      <w:pPr>
        <w:numPr>
          <w:ilvl w:val="0"/>
          <w:numId w:val="217"/>
        </w:numPr>
        <w:tabs>
          <w:tab w:val="left" w:pos="0"/>
          <w:tab w:val="left" w:pos="567"/>
        </w:tabs>
        <w:ind w:left="0" w:firstLine="0"/>
        <w:rPr>
          <w:rFonts w:cs="Times New Roman"/>
          <w:szCs w:val="24"/>
        </w:rPr>
      </w:pPr>
      <w:r w:rsidRPr="00BA4F0F">
        <w:rPr>
          <w:rFonts w:cs="Times New Roman"/>
          <w:szCs w:val="24"/>
        </w:rPr>
        <w:t>Если назначен цефепим, то к нему добавляют амикацин и метронидазол.</w:t>
      </w:r>
    </w:p>
    <w:p w14:paraId="3A625A2A" w14:textId="77777777" w:rsidR="0075793D" w:rsidRPr="00BA4F0F" w:rsidRDefault="0075793D" w:rsidP="005E0272">
      <w:pPr>
        <w:numPr>
          <w:ilvl w:val="0"/>
          <w:numId w:val="218"/>
        </w:numPr>
        <w:tabs>
          <w:tab w:val="left" w:pos="0"/>
          <w:tab w:val="left" w:pos="567"/>
        </w:tabs>
        <w:ind w:left="0" w:firstLine="0"/>
        <w:rPr>
          <w:rFonts w:cs="Times New Roman"/>
          <w:szCs w:val="24"/>
        </w:rPr>
      </w:pPr>
      <w:r w:rsidRPr="00BA4F0F">
        <w:rPr>
          <w:rFonts w:cs="Times New Roman"/>
          <w:szCs w:val="24"/>
        </w:rPr>
        <w:t>Метронидазол: по 500 мг 3 раза в сутки.</w:t>
      </w:r>
    </w:p>
    <w:p w14:paraId="6A29D898" w14:textId="77777777" w:rsidR="0075793D" w:rsidRPr="00BA4F0F" w:rsidRDefault="0075793D" w:rsidP="005E0272">
      <w:pPr>
        <w:numPr>
          <w:ilvl w:val="0"/>
          <w:numId w:val="217"/>
        </w:numPr>
        <w:tabs>
          <w:tab w:val="left" w:pos="0"/>
          <w:tab w:val="left" w:pos="567"/>
        </w:tabs>
        <w:ind w:left="0" w:firstLine="0"/>
        <w:rPr>
          <w:rFonts w:cs="Times New Roman"/>
          <w:szCs w:val="24"/>
        </w:rPr>
      </w:pPr>
      <w:r w:rsidRPr="00BA4F0F">
        <w:rPr>
          <w:rFonts w:cs="Times New Roman"/>
          <w:szCs w:val="24"/>
        </w:rPr>
        <w:t xml:space="preserve">В отсутствие эффекта проводят коррекцию терапии согласно результатам микробиологического исследования (посев мазка со слизистой прямой кишки). Если это невозможно сделать, то добавляют ванкомицин или телаванцин (по 10 мг/кг 1 раз в сутки), затем флуконазол. Если инфекционный процесс усугубляется, то проводят замену ванкомицина на линезолид или тедизолид. </w:t>
      </w:r>
    </w:p>
    <w:p w14:paraId="6267292A" w14:textId="77777777" w:rsidR="0075793D" w:rsidRPr="00BA4F0F" w:rsidRDefault="0075793D" w:rsidP="0075793D">
      <w:pPr>
        <w:tabs>
          <w:tab w:val="left" w:pos="0"/>
          <w:tab w:val="left" w:pos="567"/>
        </w:tabs>
        <w:rPr>
          <w:rFonts w:cs="Times New Roman"/>
          <w:b/>
          <w:szCs w:val="24"/>
        </w:rPr>
      </w:pPr>
    </w:p>
    <w:p w14:paraId="2AA32A51" w14:textId="77777777" w:rsidR="0075793D" w:rsidRPr="00BA4F0F" w:rsidRDefault="0075793D" w:rsidP="0075793D">
      <w:pPr>
        <w:pStyle w:val="afe"/>
        <w:ind w:left="0"/>
        <w:rPr>
          <w:rFonts w:cs="Times New Roman"/>
          <w:b/>
          <w:i/>
          <w:szCs w:val="24"/>
        </w:rPr>
      </w:pPr>
      <w:r w:rsidRPr="00BA4F0F">
        <w:rPr>
          <w:rFonts w:cs="Times New Roman"/>
          <w:b/>
          <w:i/>
          <w:szCs w:val="24"/>
        </w:rPr>
        <w:t>Пневмония, которая появилась или прогрессирует (новые очаги) на фоне лечения антибиотиками широкого спектра при нейтропении длительностью более 10 дней или приема глюкокортикоидов</w:t>
      </w:r>
    </w:p>
    <w:p w14:paraId="509B3B25" w14:textId="77777777" w:rsidR="0075793D" w:rsidRPr="00BA4F0F" w:rsidRDefault="0075793D" w:rsidP="005E0272">
      <w:pPr>
        <w:numPr>
          <w:ilvl w:val="0"/>
          <w:numId w:val="219"/>
        </w:numPr>
        <w:tabs>
          <w:tab w:val="left" w:pos="0"/>
          <w:tab w:val="left" w:pos="567"/>
        </w:tabs>
        <w:ind w:left="0" w:firstLine="0"/>
        <w:rPr>
          <w:rFonts w:cs="Times New Roman"/>
          <w:szCs w:val="24"/>
        </w:rPr>
      </w:pPr>
      <w:r w:rsidRPr="00BA4F0F">
        <w:rPr>
          <w:rFonts w:cs="Times New Roman"/>
          <w:szCs w:val="24"/>
        </w:rPr>
        <w:t>Вориконазол (высокая вероятность инвазивного аспергиллеза) внутривенно, в первый день по 6 мг/кг 2 раза в сутки, в последующие дни по 4 мг/кг 2 раза в сутки, с переходом в дальнейшем на пероральную форму по 200 мг 2 раза в сутки, прием таблеток натощак или через 1 час после еды.</w:t>
      </w:r>
    </w:p>
    <w:p w14:paraId="6E38CC7C" w14:textId="77777777" w:rsidR="0075793D" w:rsidRPr="00BA4F0F" w:rsidRDefault="0075793D" w:rsidP="005E0272">
      <w:pPr>
        <w:numPr>
          <w:ilvl w:val="0"/>
          <w:numId w:val="219"/>
        </w:numPr>
        <w:tabs>
          <w:tab w:val="left" w:pos="0"/>
          <w:tab w:val="left" w:pos="567"/>
        </w:tabs>
        <w:ind w:left="0" w:firstLine="0"/>
        <w:rPr>
          <w:rFonts w:cs="Times New Roman"/>
          <w:szCs w:val="24"/>
        </w:rPr>
      </w:pPr>
      <w:r w:rsidRPr="00BA4F0F">
        <w:rPr>
          <w:rFonts w:cs="Times New Roman"/>
          <w:szCs w:val="24"/>
        </w:rPr>
        <w:t xml:space="preserve">Не следует назначать флуконазол пациентам с клиническими симптомами синусита или инфекцией нижних дыхательных путей. </w:t>
      </w:r>
    </w:p>
    <w:p w14:paraId="1409AD48" w14:textId="77777777" w:rsidR="0075793D" w:rsidRPr="00BA4F0F" w:rsidRDefault="0075793D" w:rsidP="0075793D">
      <w:pPr>
        <w:tabs>
          <w:tab w:val="left" w:pos="0"/>
          <w:tab w:val="left" w:pos="567"/>
        </w:tabs>
        <w:rPr>
          <w:rFonts w:cs="Times New Roman"/>
          <w:b/>
          <w:szCs w:val="24"/>
        </w:rPr>
      </w:pPr>
    </w:p>
    <w:p w14:paraId="52495CED" w14:textId="77777777" w:rsidR="0075793D" w:rsidRPr="00BA4F0F" w:rsidRDefault="0075793D" w:rsidP="0075793D">
      <w:pPr>
        <w:pStyle w:val="afe"/>
        <w:ind w:left="0"/>
        <w:rPr>
          <w:rFonts w:cs="Times New Roman"/>
          <w:b/>
          <w:i/>
          <w:szCs w:val="24"/>
        </w:rPr>
      </w:pPr>
      <w:r w:rsidRPr="00BA4F0F">
        <w:rPr>
          <w:rFonts w:cs="Times New Roman"/>
          <w:b/>
          <w:i/>
          <w:szCs w:val="24"/>
        </w:rPr>
        <w:t>Инфекция, вызванная Clostridium difficile</w:t>
      </w:r>
    </w:p>
    <w:p w14:paraId="637ECBA8" w14:textId="77777777" w:rsidR="0075793D" w:rsidRPr="00BA4F0F" w:rsidRDefault="0075793D" w:rsidP="005E0272">
      <w:pPr>
        <w:numPr>
          <w:ilvl w:val="0"/>
          <w:numId w:val="222"/>
        </w:numPr>
        <w:tabs>
          <w:tab w:val="left" w:pos="0"/>
          <w:tab w:val="left" w:pos="567"/>
        </w:tabs>
        <w:ind w:left="0" w:firstLine="0"/>
        <w:rPr>
          <w:rFonts w:cs="Times New Roman"/>
          <w:szCs w:val="24"/>
        </w:rPr>
      </w:pPr>
      <w:r w:rsidRPr="00BA4F0F">
        <w:rPr>
          <w:rFonts w:cs="Times New Roman"/>
          <w:szCs w:val="24"/>
        </w:rPr>
        <w:t xml:space="preserve">Вначале инфекционный процесс, вызванный </w:t>
      </w:r>
      <w:r w:rsidRPr="00BA4F0F">
        <w:rPr>
          <w:rFonts w:cs="Times New Roman"/>
          <w:i/>
          <w:szCs w:val="24"/>
          <w:lang w:val="en-US"/>
        </w:rPr>
        <w:t>C</w:t>
      </w:r>
      <w:r w:rsidRPr="00BA4F0F">
        <w:rPr>
          <w:rFonts w:cs="Times New Roman"/>
          <w:i/>
          <w:szCs w:val="24"/>
        </w:rPr>
        <w:t xml:space="preserve">. </w:t>
      </w:r>
      <w:r w:rsidRPr="00BA4F0F">
        <w:rPr>
          <w:rFonts w:cs="Times New Roman"/>
          <w:i/>
          <w:szCs w:val="24"/>
          <w:lang w:val="en-US"/>
        </w:rPr>
        <w:t>difficile</w:t>
      </w:r>
      <w:r w:rsidRPr="00BA4F0F">
        <w:rPr>
          <w:rFonts w:cs="Times New Roman"/>
          <w:szCs w:val="24"/>
        </w:rPr>
        <w:t>, ограничен толстой кишкой. Клинические проявления:</w:t>
      </w:r>
    </w:p>
    <w:p w14:paraId="1257EAE3" w14:textId="77777777" w:rsidR="0075793D" w:rsidRPr="00BA4F0F" w:rsidRDefault="0075793D" w:rsidP="005E0272">
      <w:pPr>
        <w:numPr>
          <w:ilvl w:val="0"/>
          <w:numId w:val="224"/>
        </w:numPr>
        <w:tabs>
          <w:tab w:val="left" w:pos="0"/>
          <w:tab w:val="left" w:pos="567"/>
        </w:tabs>
        <w:ind w:left="0" w:firstLine="0"/>
        <w:rPr>
          <w:rFonts w:cs="Times New Roman"/>
          <w:szCs w:val="24"/>
        </w:rPr>
      </w:pPr>
      <w:r w:rsidRPr="00BA4F0F">
        <w:rPr>
          <w:rFonts w:cs="Times New Roman"/>
          <w:szCs w:val="24"/>
        </w:rPr>
        <w:t xml:space="preserve">Диарея, ассоциированная с </w:t>
      </w:r>
      <w:r w:rsidRPr="00BA4F0F">
        <w:rPr>
          <w:rFonts w:cs="Times New Roman"/>
          <w:i/>
          <w:szCs w:val="24"/>
          <w:lang w:val="en-US"/>
        </w:rPr>
        <w:t>C</w:t>
      </w:r>
      <w:r w:rsidRPr="00BA4F0F">
        <w:rPr>
          <w:rFonts w:cs="Times New Roman"/>
          <w:i/>
          <w:szCs w:val="24"/>
        </w:rPr>
        <w:t xml:space="preserve">. </w:t>
      </w:r>
      <w:r w:rsidRPr="00BA4F0F">
        <w:rPr>
          <w:rFonts w:cs="Times New Roman"/>
          <w:i/>
          <w:szCs w:val="24"/>
          <w:lang w:val="en-US"/>
        </w:rPr>
        <w:t>difficile</w:t>
      </w:r>
      <w:r w:rsidRPr="00BA4F0F">
        <w:rPr>
          <w:rFonts w:cs="Times New Roman"/>
          <w:i/>
          <w:szCs w:val="24"/>
        </w:rPr>
        <w:t xml:space="preserve"> </w:t>
      </w:r>
      <w:r w:rsidRPr="00BA4F0F">
        <w:rPr>
          <w:rFonts w:cs="Times New Roman"/>
          <w:szCs w:val="24"/>
        </w:rPr>
        <w:t xml:space="preserve">(наличие диареи+ положительный токсин </w:t>
      </w:r>
      <w:r w:rsidRPr="00BA4F0F">
        <w:rPr>
          <w:rFonts w:cs="Times New Roman"/>
          <w:i/>
          <w:szCs w:val="24"/>
          <w:lang w:val="en-US"/>
        </w:rPr>
        <w:t>C</w:t>
      </w:r>
      <w:r w:rsidRPr="00BA4F0F">
        <w:rPr>
          <w:rFonts w:cs="Times New Roman"/>
          <w:i/>
          <w:szCs w:val="24"/>
        </w:rPr>
        <w:t xml:space="preserve">. </w:t>
      </w:r>
      <w:r w:rsidRPr="00BA4F0F">
        <w:rPr>
          <w:rFonts w:cs="Times New Roman"/>
          <w:i/>
          <w:szCs w:val="24"/>
          <w:lang w:val="en-US"/>
        </w:rPr>
        <w:t>difficile</w:t>
      </w:r>
      <w:r w:rsidRPr="00BA4F0F">
        <w:rPr>
          <w:rFonts w:cs="Times New Roman"/>
          <w:szCs w:val="24"/>
        </w:rPr>
        <w:t xml:space="preserve"> в кале).</w:t>
      </w:r>
    </w:p>
    <w:p w14:paraId="51DACDCC" w14:textId="77777777" w:rsidR="0075793D" w:rsidRPr="00BA4F0F" w:rsidRDefault="0075793D" w:rsidP="005E0272">
      <w:pPr>
        <w:numPr>
          <w:ilvl w:val="0"/>
          <w:numId w:val="224"/>
        </w:numPr>
        <w:tabs>
          <w:tab w:val="left" w:pos="0"/>
          <w:tab w:val="left" w:pos="567"/>
        </w:tabs>
        <w:ind w:left="0" w:firstLine="0"/>
        <w:rPr>
          <w:rFonts w:cs="Times New Roman"/>
          <w:szCs w:val="24"/>
        </w:rPr>
      </w:pPr>
      <w:r w:rsidRPr="00BA4F0F">
        <w:rPr>
          <w:rFonts w:cs="Times New Roman"/>
          <w:szCs w:val="24"/>
        </w:rPr>
        <w:t xml:space="preserve">Псевдомембранозный колит (диагностика во время эндоскопии). </w:t>
      </w:r>
    </w:p>
    <w:p w14:paraId="5215E1F3" w14:textId="77777777" w:rsidR="0075793D" w:rsidRPr="00BA4F0F" w:rsidRDefault="0075793D" w:rsidP="005E0272">
      <w:pPr>
        <w:numPr>
          <w:ilvl w:val="0"/>
          <w:numId w:val="223"/>
        </w:numPr>
        <w:tabs>
          <w:tab w:val="left" w:pos="0"/>
          <w:tab w:val="left" w:pos="567"/>
        </w:tabs>
        <w:ind w:left="0" w:firstLine="0"/>
        <w:rPr>
          <w:rFonts w:cs="Times New Roman"/>
          <w:szCs w:val="24"/>
        </w:rPr>
      </w:pPr>
      <w:r w:rsidRPr="00BA4F0F">
        <w:rPr>
          <w:rFonts w:cs="Times New Roman"/>
          <w:szCs w:val="24"/>
        </w:rPr>
        <w:t xml:space="preserve">Исследуют только жидкий кал на наличие А и В токсинов </w:t>
      </w:r>
      <w:r w:rsidRPr="00BA4F0F">
        <w:rPr>
          <w:rFonts w:cs="Times New Roman"/>
          <w:i/>
          <w:szCs w:val="24"/>
          <w:lang w:val="en-US"/>
        </w:rPr>
        <w:t>C</w:t>
      </w:r>
      <w:r w:rsidRPr="00BA4F0F">
        <w:rPr>
          <w:rFonts w:cs="Times New Roman"/>
          <w:i/>
          <w:szCs w:val="24"/>
        </w:rPr>
        <w:t xml:space="preserve">. </w:t>
      </w:r>
      <w:r w:rsidRPr="00BA4F0F">
        <w:rPr>
          <w:rFonts w:cs="Times New Roman"/>
          <w:i/>
          <w:szCs w:val="24"/>
          <w:lang w:val="en-US"/>
        </w:rPr>
        <w:t>difficile</w:t>
      </w:r>
      <w:r w:rsidRPr="00BA4F0F">
        <w:rPr>
          <w:rFonts w:cs="Times New Roman"/>
          <w:szCs w:val="24"/>
        </w:rPr>
        <w:t xml:space="preserve"> и, желательно, бинарного токсина. Образцы кала для исследования на токсин направляют в течение 18 часов от появления диареи. </w:t>
      </w:r>
    </w:p>
    <w:p w14:paraId="2C8A1520" w14:textId="77777777" w:rsidR="0075793D" w:rsidRPr="00BA4F0F" w:rsidRDefault="0075793D" w:rsidP="005E0272">
      <w:pPr>
        <w:numPr>
          <w:ilvl w:val="0"/>
          <w:numId w:val="223"/>
        </w:numPr>
        <w:tabs>
          <w:tab w:val="left" w:pos="0"/>
          <w:tab w:val="left" w:pos="567"/>
        </w:tabs>
        <w:ind w:left="0" w:firstLine="0"/>
        <w:rPr>
          <w:rFonts w:cs="Times New Roman"/>
          <w:szCs w:val="24"/>
        </w:rPr>
      </w:pPr>
      <w:r w:rsidRPr="00BA4F0F">
        <w:rPr>
          <w:rFonts w:cs="Times New Roman"/>
          <w:szCs w:val="24"/>
        </w:rPr>
        <w:t xml:space="preserve">Не проводят повторное определение А и В токсинов с целью контроля над лечением. Критерий излечения – ликвидация симптомов. Допустимо только в случаях персистенции инфекции после 7 дней лечения.  </w:t>
      </w:r>
    </w:p>
    <w:p w14:paraId="48592B0A" w14:textId="77777777" w:rsidR="0075793D" w:rsidRPr="00BA4F0F" w:rsidRDefault="0075793D" w:rsidP="005E0272">
      <w:pPr>
        <w:numPr>
          <w:ilvl w:val="0"/>
          <w:numId w:val="223"/>
        </w:numPr>
        <w:tabs>
          <w:tab w:val="left" w:pos="0"/>
          <w:tab w:val="left" w:pos="567"/>
        </w:tabs>
        <w:ind w:left="0" w:firstLine="0"/>
        <w:rPr>
          <w:rFonts w:cs="Times New Roman"/>
          <w:szCs w:val="24"/>
        </w:rPr>
      </w:pPr>
      <w:r w:rsidRPr="00BA4F0F">
        <w:rPr>
          <w:rFonts w:cs="Times New Roman"/>
          <w:szCs w:val="24"/>
        </w:rPr>
        <w:t xml:space="preserve">Препарат выбора при нетяжелом течении инфекции (диарея, температура, боли в животе) – метронидазол. </w:t>
      </w:r>
    </w:p>
    <w:p w14:paraId="1FD5043D" w14:textId="77777777" w:rsidR="0075793D" w:rsidRPr="00BA4F0F" w:rsidRDefault="0075793D" w:rsidP="005E0272">
      <w:pPr>
        <w:numPr>
          <w:ilvl w:val="0"/>
          <w:numId w:val="223"/>
        </w:numPr>
        <w:tabs>
          <w:tab w:val="left" w:pos="0"/>
          <w:tab w:val="left" w:pos="567"/>
        </w:tabs>
        <w:ind w:left="0" w:firstLine="0"/>
        <w:rPr>
          <w:rFonts w:cs="Times New Roman"/>
          <w:szCs w:val="24"/>
        </w:rPr>
      </w:pPr>
      <w:r w:rsidRPr="00BA4F0F">
        <w:rPr>
          <w:rFonts w:cs="Times New Roman"/>
          <w:szCs w:val="24"/>
        </w:rPr>
        <w:t xml:space="preserve">Препарат выбора при тяжелом течении инфекции (повышение уровня креатинина на 50% и более от исходного значения, снижение уровня альбумина) – ванкомицин по 125 мг 4 раза в сутки перорально. </w:t>
      </w:r>
    </w:p>
    <w:p w14:paraId="4A105753" w14:textId="77777777" w:rsidR="0075793D" w:rsidRPr="00BA4F0F" w:rsidRDefault="0075793D" w:rsidP="005E0272">
      <w:pPr>
        <w:numPr>
          <w:ilvl w:val="0"/>
          <w:numId w:val="223"/>
        </w:numPr>
        <w:tabs>
          <w:tab w:val="left" w:pos="0"/>
          <w:tab w:val="left" w:pos="567"/>
        </w:tabs>
        <w:ind w:left="0" w:firstLine="0"/>
        <w:rPr>
          <w:rFonts w:cs="Times New Roman"/>
          <w:szCs w:val="24"/>
        </w:rPr>
      </w:pPr>
      <w:r w:rsidRPr="00BA4F0F">
        <w:rPr>
          <w:rFonts w:cs="Times New Roman"/>
          <w:szCs w:val="24"/>
        </w:rPr>
        <w:t xml:space="preserve">При рефрактерном течении инфекции используют комбинацию метронидазола с ванкомицином. </w:t>
      </w:r>
    </w:p>
    <w:p w14:paraId="6FF2E9B6" w14:textId="77777777" w:rsidR="0075793D" w:rsidRPr="00BA4F0F" w:rsidRDefault="0075793D" w:rsidP="005E0272">
      <w:pPr>
        <w:numPr>
          <w:ilvl w:val="0"/>
          <w:numId w:val="223"/>
        </w:numPr>
        <w:tabs>
          <w:tab w:val="left" w:pos="0"/>
          <w:tab w:val="left" w:pos="567"/>
        </w:tabs>
        <w:ind w:left="0" w:firstLine="0"/>
        <w:rPr>
          <w:rFonts w:cs="Times New Roman"/>
          <w:szCs w:val="24"/>
        </w:rPr>
      </w:pPr>
      <w:r w:rsidRPr="00BA4F0F">
        <w:rPr>
          <w:rFonts w:cs="Times New Roman"/>
          <w:szCs w:val="24"/>
        </w:rPr>
        <w:t xml:space="preserve">Метронидазол по 500 мг 3 раза в сутки + ванкомицин по 500 мг 4 раза в сутки через оро- или назогастральный зонд. </w:t>
      </w:r>
    </w:p>
    <w:p w14:paraId="54FCCDCC" w14:textId="77777777" w:rsidR="0075793D" w:rsidRPr="00BA4F0F" w:rsidRDefault="0075793D" w:rsidP="005E0272">
      <w:pPr>
        <w:numPr>
          <w:ilvl w:val="0"/>
          <w:numId w:val="223"/>
        </w:numPr>
        <w:tabs>
          <w:tab w:val="left" w:pos="0"/>
          <w:tab w:val="left" w:pos="567"/>
        </w:tabs>
        <w:ind w:left="0" w:firstLine="0"/>
        <w:rPr>
          <w:rFonts w:cs="Times New Roman"/>
          <w:szCs w:val="24"/>
        </w:rPr>
      </w:pPr>
      <w:r w:rsidRPr="00BA4F0F">
        <w:rPr>
          <w:rFonts w:cs="Times New Roman"/>
          <w:szCs w:val="24"/>
        </w:rPr>
        <w:t xml:space="preserve">Длительность лечения составляет 10-14 дней и, помимо назначения антибиотиков, включает отмену или сокращение числа используемых антибиотиков широкого спектра действия, ингибиторов протонной помпы.  </w:t>
      </w:r>
    </w:p>
    <w:p w14:paraId="016FED7F" w14:textId="77777777" w:rsidR="0075793D" w:rsidRPr="00BA4F0F" w:rsidRDefault="0075793D" w:rsidP="0075793D">
      <w:pPr>
        <w:tabs>
          <w:tab w:val="left" w:pos="0"/>
          <w:tab w:val="left" w:pos="567"/>
        </w:tabs>
        <w:rPr>
          <w:rFonts w:cs="Times New Roman"/>
          <w:szCs w:val="24"/>
          <w:u w:val="single"/>
        </w:rPr>
      </w:pPr>
    </w:p>
    <w:p w14:paraId="3DF6C135" w14:textId="77777777" w:rsidR="0075793D" w:rsidRPr="00BA4F0F" w:rsidRDefault="0075793D" w:rsidP="0075793D">
      <w:pPr>
        <w:tabs>
          <w:tab w:val="left" w:pos="0"/>
          <w:tab w:val="left" w:pos="567"/>
        </w:tabs>
        <w:rPr>
          <w:rFonts w:cs="Times New Roman"/>
          <w:szCs w:val="24"/>
          <w:u w:val="single"/>
        </w:rPr>
      </w:pPr>
      <w:r w:rsidRPr="00BA4F0F">
        <w:rPr>
          <w:rFonts w:cs="Times New Roman"/>
          <w:szCs w:val="24"/>
          <w:u w:val="single"/>
        </w:rPr>
        <w:t>Критерии прекращения антимикробной терапии</w:t>
      </w:r>
    </w:p>
    <w:p w14:paraId="3E5EDE34" w14:textId="77777777" w:rsidR="0075793D" w:rsidRPr="00BA4F0F" w:rsidRDefault="0075793D" w:rsidP="0075793D">
      <w:pPr>
        <w:tabs>
          <w:tab w:val="left" w:pos="0"/>
          <w:tab w:val="left" w:pos="567"/>
        </w:tabs>
        <w:ind w:firstLine="567"/>
        <w:rPr>
          <w:rFonts w:cs="Times New Roman"/>
          <w:szCs w:val="24"/>
        </w:rPr>
      </w:pPr>
      <w:r w:rsidRPr="00BA4F0F">
        <w:rPr>
          <w:rFonts w:cs="Times New Roman"/>
          <w:szCs w:val="24"/>
        </w:rPr>
        <w:t xml:space="preserve">Длительность применения антимикробных препаратов зависит от характера инфекционного процесса. Факт наличия гранулоцитопении, независимо от степени ее проявления, не влияет на период применения антибиотиков. </w:t>
      </w:r>
    </w:p>
    <w:p w14:paraId="587F4EED" w14:textId="77777777" w:rsidR="0075793D" w:rsidRPr="00BA4F0F" w:rsidRDefault="0075793D" w:rsidP="0075793D">
      <w:pPr>
        <w:tabs>
          <w:tab w:val="left" w:pos="0"/>
          <w:tab w:val="left" w:pos="567"/>
        </w:tabs>
        <w:ind w:firstLine="567"/>
        <w:rPr>
          <w:rFonts w:cs="Times New Roman"/>
          <w:szCs w:val="24"/>
        </w:rPr>
      </w:pPr>
      <w:r w:rsidRPr="00BA4F0F">
        <w:rPr>
          <w:rFonts w:cs="Times New Roman"/>
          <w:szCs w:val="24"/>
        </w:rPr>
        <w:t xml:space="preserve">При лихорадке неясной этиологии в период гранулоцитопении антибиотики можно отменить через 72 часа, если у больного </w:t>
      </w:r>
    </w:p>
    <w:p w14:paraId="2703B25D" w14:textId="77777777" w:rsidR="0075793D" w:rsidRPr="00BA4F0F" w:rsidRDefault="0075793D" w:rsidP="005E0272">
      <w:pPr>
        <w:numPr>
          <w:ilvl w:val="0"/>
          <w:numId w:val="220"/>
        </w:numPr>
        <w:tabs>
          <w:tab w:val="left" w:pos="0"/>
          <w:tab w:val="left" w:pos="567"/>
        </w:tabs>
        <w:ind w:left="0" w:firstLine="0"/>
        <w:rPr>
          <w:rFonts w:cs="Times New Roman"/>
          <w:szCs w:val="24"/>
        </w:rPr>
      </w:pPr>
      <w:r w:rsidRPr="00BA4F0F">
        <w:rPr>
          <w:rFonts w:cs="Times New Roman"/>
          <w:szCs w:val="24"/>
        </w:rPr>
        <w:t>не было эпизода нестабильной гемодинамики в данный эпизод инфекции и</w:t>
      </w:r>
    </w:p>
    <w:p w14:paraId="53DE7293" w14:textId="77777777" w:rsidR="0075793D" w:rsidRPr="00BA4F0F" w:rsidRDefault="0075793D" w:rsidP="005E0272">
      <w:pPr>
        <w:numPr>
          <w:ilvl w:val="0"/>
          <w:numId w:val="220"/>
        </w:numPr>
        <w:tabs>
          <w:tab w:val="left" w:pos="0"/>
          <w:tab w:val="left" w:pos="567"/>
        </w:tabs>
        <w:ind w:left="0" w:firstLine="0"/>
        <w:rPr>
          <w:rFonts w:cs="Times New Roman"/>
          <w:szCs w:val="24"/>
        </w:rPr>
      </w:pPr>
      <w:r w:rsidRPr="00BA4F0F">
        <w:rPr>
          <w:rFonts w:cs="Times New Roman"/>
          <w:szCs w:val="24"/>
        </w:rPr>
        <w:t xml:space="preserve">нормальная температура отмечается в течение 48 ч. </w:t>
      </w:r>
    </w:p>
    <w:p w14:paraId="17DE549C" w14:textId="77777777" w:rsidR="0075793D" w:rsidRPr="00BA4F0F" w:rsidRDefault="0075793D" w:rsidP="0075793D">
      <w:pPr>
        <w:tabs>
          <w:tab w:val="left" w:pos="0"/>
          <w:tab w:val="left" w:pos="567"/>
        </w:tabs>
        <w:rPr>
          <w:rFonts w:cs="Times New Roman"/>
          <w:szCs w:val="24"/>
        </w:rPr>
      </w:pPr>
      <w:r w:rsidRPr="00BA4F0F">
        <w:rPr>
          <w:rFonts w:cs="Times New Roman"/>
          <w:szCs w:val="24"/>
        </w:rPr>
        <w:t>При клинически и микробиологически доказанной инфекции длительность применения антибиотиков должна составлять не менее 7 дней при условии, что:</w:t>
      </w:r>
    </w:p>
    <w:p w14:paraId="4760AB08" w14:textId="77777777" w:rsidR="0075793D" w:rsidRPr="00BA4F0F" w:rsidRDefault="0075793D" w:rsidP="005E0272">
      <w:pPr>
        <w:numPr>
          <w:ilvl w:val="0"/>
          <w:numId w:val="221"/>
        </w:numPr>
        <w:tabs>
          <w:tab w:val="left" w:pos="0"/>
          <w:tab w:val="left" w:pos="567"/>
        </w:tabs>
        <w:ind w:left="0" w:firstLine="0"/>
        <w:rPr>
          <w:rFonts w:cs="Times New Roman"/>
          <w:szCs w:val="24"/>
        </w:rPr>
      </w:pPr>
      <w:r w:rsidRPr="00BA4F0F">
        <w:rPr>
          <w:rFonts w:cs="Times New Roman"/>
          <w:szCs w:val="24"/>
        </w:rPr>
        <w:t>нормальная температура наблюдается не менее 4 дней;</w:t>
      </w:r>
    </w:p>
    <w:p w14:paraId="628E1AE2" w14:textId="77777777" w:rsidR="0075793D" w:rsidRPr="00BA4F0F" w:rsidRDefault="0075793D" w:rsidP="005E0272">
      <w:pPr>
        <w:numPr>
          <w:ilvl w:val="0"/>
          <w:numId w:val="221"/>
        </w:numPr>
        <w:tabs>
          <w:tab w:val="left" w:pos="0"/>
          <w:tab w:val="left" w:pos="567"/>
        </w:tabs>
        <w:ind w:left="0" w:firstLine="0"/>
        <w:rPr>
          <w:rFonts w:cs="Times New Roman"/>
          <w:szCs w:val="24"/>
        </w:rPr>
      </w:pPr>
      <w:r w:rsidRPr="00BA4F0F">
        <w:rPr>
          <w:rFonts w:cs="Times New Roman"/>
          <w:szCs w:val="24"/>
        </w:rPr>
        <w:t>очаги инфекции полностью регрессировали;</w:t>
      </w:r>
    </w:p>
    <w:p w14:paraId="00AA4D29" w14:textId="77777777" w:rsidR="0075793D" w:rsidRPr="00BA4F0F" w:rsidRDefault="0075793D" w:rsidP="005E0272">
      <w:pPr>
        <w:numPr>
          <w:ilvl w:val="0"/>
          <w:numId w:val="221"/>
        </w:numPr>
        <w:tabs>
          <w:tab w:val="left" w:pos="0"/>
          <w:tab w:val="left" w:pos="567"/>
        </w:tabs>
        <w:ind w:left="0" w:firstLine="0"/>
        <w:rPr>
          <w:rFonts w:cs="Times New Roman"/>
          <w:szCs w:val="24"/>
        </w:rPr>
      </w:pPr>
      <w:r w:rsidRPr="00BA4F0F">
        <w:rPr>
          <w:rFonts w:cs="Times New Roman"/>
          <w:szCs w:val="24"/>
        </w:rPr>
        <w:t xml:space="preserve">достигнута (или предполагается) микробиологическая эрадикация возбудителя подтвержденной инфекции. </w:t>
      </w:r>
    </w:p>
    <w:p w14:paraId="205ED771" w14:textId="77777777" w:rsidR="0075793D" w:rsidRPr="00BA4F0F" w:rsidRDefault="0075793D" w:rsidP="0075793D">
      <w:pPr>
        <w:tabs>
          <w:tab w:val="left" w:pos="0"/>
          <w:tab w:val="left" w:pos="567"/>
        </w:tabs>
        <w:rPr>
          <w:rFonts w:cs="Times New Roman"/>
          <w:szCs w:val="24"/>
        </w:rPr>
      </w:pPr>
      <w:r w:rsidRPr="00BA4F0F">
        <w:rPr>
          <w:rFonts w:cs="Times New Roman"/>
          <w:szCs w:val="24"/>
        </w:rPr>
        <w:t xml:space="preserve">После отмены антибиотиков у больного с гранулоцитопенией необходимо наблюдение за ним в течение последующих 24-48 ч, и в случае появления температуры следует вновь назначить антибиотики. </w:t>
      </w:r>
    </w:p>
    <w:p w14:paraId="717BD0B5" w14:textId="77777777" w:rsidR="0075793D" w:rsidRPr="00BA4F0F" w:rsidRDefault="0075793D" w:rsidP="0075793D">
      <w:pPr>
        <w:tabs>
          <w:tab w:val="left" w:pos="0"/>
          <w:tab w:val="left" w:pos="567"/>
        </w:tabs>
        <w:rPr>
          <w:rFonts w:cs="Times New Roman"/>
          <w:szCs w:val="24"/>
          <w:u w:val="single"/>
        </w:rPr>
      </w:pPr>
    </w:p>
    <w:p w14:paraId="3602A01C" w14:textId="77777777" w:rsidR="0075793D" w:rsidRPr="00BA4F0F" w:rsidRDefault="0075793D" w:rsidP="0075793D">
      <w:pPr>
        <w:tabs>
          <w:tab w:val="left" w:pos="0"/>
          <w:tab w:val="left" w:pos="567"/>
        </w:tabs>
        <w:rPr>
          <w:rFonts w:cs="Times New Roman"/>
          <w:szCs w:val="24"/>
          <w:u w:val="single"/>
        </w:rPr>
      </w:pPr>
      <w:r w:rsidRPr="00BA4F0F">
        <w:rPr>
          <w:rFonts w:cs="Times New Roman"/>
          <w:szCs w:val="24"/>
          <w:u w:val="single"/>
        </w:rPr>
        <w:t>Профилактика инфекционных осложнений</w:t>
      </w:r>
    </w:p>
    <w:p w14:paraId="1DC52711" w14:textId="67939625" w:rsidR="0075793D" w:rsidRPr="00BA4F0F" w:rsidRDefault="0075793D" w:rsidP="0075793D">
      <w:pPr>
        <w:pStyle w:val="afe"/>
        <w:ind w:left="0"/>
        <w:rPr>
          <w:rFonts w:cs="Times New Roman"/>
          <w:b/>
          <w:i/>
          <w:szCs w:val="24"/>
        </w:rPr>
      </w:pPr>
      <w:r w:rsidRPr="00BA4F0F">
        <w:rPr>
          <w:rFonts w:cs="Times New Roman"/>
          <w:b/>
          <w:i/>
          <w:szCs w:val="24"/>
        </w:rPr>
        <w:t xml:space="preserve">Противогрибковая профилактика </w:t>
      </w:r>
      <w:r w:rsidRPr="00BA4F0F">
        <w:rPr>
          <w:rFonts w:cs="Times New Roman"/>
          <w:b/>
          <w:i/>
          <w:szCs w:val="24"/>
        </w:rPr>
        <w:fldChar w:fldCharType="begin" w:fldLock="1"/>
      </w:r>
      <w:r w:rsidR="004810E5">
        <w:rPr>
          <w:rFonts w:cs="Times New Roman"/>
          <w:b/>
          <w:i/>
          <w:szCs w:val="24"/>
        </w:rPr>
        <w:instrText>ADDIN CSL_CITATION {"citationItems":[{"id":"ITEM-1","itemData":{"author":[{"dropping-particle":"","family":"Савченко В.Г. и др","given":"","non-dropping-particle":"","parse-names":false,"suffix":""}],"id":"ITEM-1","issued":{"date-parts":[["2018"]]},"number-of-pages":"1008","publisher":"Практика","publisher-place":"Москва","title":"Алгоритмы диагностики и протоколы лечения заболеваний системы крови.","type":"book"},"uris":["http://www.mendeley.com/documents/?uuid=f91ae641-8062-4f5f-b416-94b015742043","http://www.mendeley.com/documents/?uuid=2cd270b2-efaf-4da9-a95d-66324661ea35","http://www.mendeley.com/documents/?uuid=fe583573-532c-46dc-b4f4-f9d01345e27c","http://www.mendeley.com/documents/?uuid=26da25a5-bd21-4509-8e88-e4e6744fab98","http://www.mendeley.com/documents/?uuid=a1e2f5d6-ef05-4351-9481-13fad4fd103b","http://www.mendeley.com/documents/?uuid=478d6ce1-e425-4912-87db-adfee39f1ce9","http://www.mendeley.com/documents/?uuid=9cac36ab-7685-4894-b1cb-f141a1797526","http://www.mendeley.com/documents/?uuid=c0eae3a3-34ee-40e1-8813-566cb7fa2b4a"]}],"mendeley":{"formattedCitation":"[201]","plainTextFormattedCitation":"[201]","previouslyFormattedCitation":"[201]"},"properties":{"noteIndex":0},"schema":"https://github.com/citation-style-language/schema/raw/master/csl-citation.json"}</w:instrText>
      </w:r>
      <w:r w:rsidRPr="00BA4F0F">
        <w:rPr>
          <w:rFonts w:cs="Times New Roman"/>
          <w:b/>
          <w:i/>
          <w:szCs w:val="24"/>
        </w:rPr>
        <w:fldChar w:fldCharType="separate"/>
      </w:r>
      <w:r w:rsidR="004810E5" w:rsidRPr="004810E5">
        <w:rPr>
          <w:rFonts w:cs="Times New Roman"/>
          <w:noProof/>
          <w:szCs w:val="24"/>
        </w:rPr>
        <w:t>[201]</w:t>
      </w:r>
      <w:r w:rsidRPr="00BA4F0F">
        <w:rPr>
          <w:rFonts w:cs="Times New Roman"/>
          <w:b/>
          <w:i/>
          <w:szCs w:val="24"/>
        </w:rPr>
        <w:fldChar w:fldCharType="end"/>
      </w:r>
    </w:p>
    <w:p w14:paraId="2F78894C" w14:textId="77777777" w:rsidR="0075793D" w:rsidRPr="00BA4F0F" w:rsidRDefault="0075793D" w:rsidP="005E0272">
      <w:pPr>
        <w:numPr>
          <w:ilvl w:val="0"/>
          <w:numId w:val="226"/>
        </w:numPr>
        <w:tabs>
          <w:tab w:val="left" w:pos="0"/>
          <w:tab w:val="left" w:pos="567"/>
        </w:tabs>
        <w:ind w:left="0" w:firstLine="0"/>
        <w:rPr>
          <w:rFonts w:cs="Times New Roman"/>
          <w:szCs w:val="24"/>
        </w:rPr>
      </w:pPr>
      <w:r w:rsidRPr="00BA4F0F">
        <w:rPr>
          <w:rFonts w:cs="Times New Roman"/>
          <w:szCs w:val="24"/>
        </w:rPr>
        <w:t>Проводится пациентам с отягощенным анамнезом (острый диссеминированный кандидоз, хронический диссеминированный кандидоз, мукормикоз или инвазивный аспергиллез).</w:t>
      </w:r>
    </w:p>
    <w:p w14:paraId="3E380572" w14:textId="77777777" w:rsidR="0075793D" w:rsidRPr="00BA4F0F" w:rsidRDefault="0075793D" w:rsidP="005E0272">
      <w:pPr>
        <w:numPr>
          <w:ilvl w:val="0"/>
          <w:numId w:val="226"/>
        </w:numPr>
        <w:tabs>
          <w:tab w:val="left" w:pos="0"/>
          <w:tab w:val="left" w:pos="567"/>
        </w:tabs>
        <w:ind w:left="0" w:firstLine="0"/>
        <w:rPr>
          <w:rFonts w:cs="Times New Roman"/>
          <w:szCs w:val="24"/>
        </w:rPr>
      </w:pPr>
      <w:r w:rsidRPr="00BA4F0F">
        <w:rPr>
          <w:rFonts w:cs="Times New Roman"/>
          <w:szCs w:val="24"/>
        </w:rPr>
        <w:t xml:space="preserve">Назначают препарат, при использовании которого было достигнуто излечение от инвазивного микоза. </w:t>
      </w:r>
    </w:p>
    <w:p w14:paraId="0635C248" w14:textId="77777777" w:rsidR="0075793D" w:rsidRPr="00BA4F0F" w:rsidRDefault="0075793D" w:rsidP="005E0272">
      <w:pPr>
        <w:numPr>
          <w:ilvl w:val="0"/>
          <w:numId w:val="226"/>
        </w:numPr>
        <w:tabs>
          <w:tab w:val="left" w:pos="0"/>
          <w:tab w:val="left" w:pos="567"/>
        </w:tabs>
        <w:ind w:left="0" w:firstLine="0"/>
        <w:rPr>
          <w:rFonts w:cs="Times New Roman"/>
          <w:szCs w:val="24"/>
        </w:rPr>
      </w:pPr>
      <w:r w:rsidRPr="00BA4F0F">
        <w:rPr>
          <w:rFonts w:cs="Times New Roman"/>
          <w:szCs w:val="24"/>
        </w:rPr>
        <w:t>Пациенты с наличием в анамнезе острого или хронического диссеминированного кандидоза (обычно один препарат из перечня):</w:t>
      </w:r>
    </w:p>
    <w:p w14:paraId="576AEBCB" w14:textId="77777777" w:rsidR="0075793D" w:rsidRPr="00BA4F0F" w:rsidRDefault="0075793D" w:rsidP="005E0272">
      <w:pPr>
        <w:numPr>
          <w:ilvl w:val="0"/>
          <w:numId w:val="227"/>
        </w:numPr>
        <w:tabs>
          <w:tab w:val="left" w:pos="0"/>
          <w:tab w:val="left" w:pos="567"/>
        </w:tabs>
        <w:ind w:left="0" w:firstLine="0"/>
        <w:rPr>
          <w:rFonts w:cs="Times New Roman"/>
          <w:szCs w:val="24"/>
        </w:rPr>
      </w:pPr>
      <w:r w:rsidRPr="00BA4F0F">
        <w:rPr>
          <w:rFonts w:cs="Times New Roman"/>
          <w:szCs w:val="24"/>
        </w:rPr>
        <w:t>Флуконазол, по 400 мг в сутки, внутривенно или внутрь.</w:t>
      </w:r>
    </w:p>
    <w:p w14:paraId="3BE4A7F5" w14:textId="77777777" w:rsidR="0075793D" w:rsidRPr="00BA4F0F" w:rsidRDefault="0075793D" w:rsidP="005E0272">
      <w:pPr>
        <w:numPr>
          <w:ilvl w:val="0"/>
          <w:numId w:val="227"/>
        </w:numPr>
        <w:tabs>
          <w:tab w:val="left" w:pos="0"/>
          <w:tab w:val="left" w:pos="567"/>
        </w:tabs>
        <w:ind w:left="0" w:firstLine="0"/>
        <w:rPr>
          <w:rFonts w:cs="Times New Roman"/>
          <w:szCs w:val="24"/>
        </w:rPr>
      </w:pPr>
      <w:r w:rsidRPr="00BA4F0F">
        <w:rPr>
          <w:rFonts w:cs="Times New Roman"/>
          <w:szCs w:val="24"/>
        </w:rPr>
        <w:t>Каспофунгин, по 50 мг в сутки внутривенно.</w:t>
      </w:r>
    </w:p>
    <w:p w14:paraId="4E0C3A58" w14:textId="77777777" w:rsidR="0075793D" w:rsidRPr="00BA4F0F" w:rsidRDefault="0075793D" w:rsidP="005E0272">
      <w:pPr>
        <w:numPr>
          <w:ilvl w:val="0"/>
          <w:numId w:val="227"/>
        </w:numPr>
        <w:tabs>
          <w:tab w:val="left" w:pos="0"/>
          <w:tab w:val="left" w:pos="567"/>
        </w:tabs>
        <w:ind w:left="0" w:firstLine="0"/>
        <w:rPr>
          <w:rFonts w:cs="Times New Roman"/>
          <w:szCs w:val="24"/>
        </w:rPr>
      </w:pPr>
      <w:r w:rsidRPr="00BA4F0F">
        <w:rPr>
          <w:rFonts w:cs="Times New Roman"/>
          <w:szCs w:val="24"/>
        </w:rPr>
        <w:t>Микафунгин, по 100 мг в сутки внутривенно.</w:t>
      </w:r>
    </w:p>
    <w:p w14:paraId="462721BA" w14:textId="77777777" w:rsidR="0075793D" w:rsidRPr="00BA4F0F" w:rsidRDefault="0075793D" w:rsidP="005E0272">
      <w:pPr>
        <w:numPr>
          <w:ilvl w:val="0"/>
          <w:numId w:val="227"/>
        </w:numPr>
        <w:tabs>
          <w:tab w:val="left" w:pos="0"/>
          <w:tab w:val="left" w:pos="567"/>
        </w:tabs>
        <w:ind w:left="0" w:firstLine="0"/>
        <w:rPr>
          <w:rFonts w:cs="Times New Roman"/>
          <w:szCs w:val="24"/>
        </w:rPr>
      </w:pPr>
      <w:r w:rsidRPr="00BA4F0F">
        <w:rPr>
          <w:rFonts w:cs="Times New Roman"/>
          <w:szCs w:val="24"/>
        </w:rPr>
        <w:t>Анидулафунгин, по 100 мг в сутки внутривенно.</w:t>
      </w:r>
    </w:p>
    <w:p w14:paraId="6645BBA7" w14:textId="77777777" w:rsidR="0075793D" w:rsidRPr="00BA4F0F" w:rsidRDefault="0075793D" w:rsidP="005E0272">
      <w:pPr>
        <w:numPr>
          <w:ilvl w:val="0"/>
          <w:numId w:val="226"/>
        </w:numPr>
        <w:tabs>
          <w:tab w:val="left" w:pos="0"/>
          <w:tab w:val="left" w:pos="567"/>
        </w:tabs>
        <w:ind w:left="0" w:firstLine="0"/>
        <w:rPr>
          <w:rFonts w:cs="Times New Roman"/>
          <w:szCs w:val="24"/>
        </w:rPr>
      </w:pPr>
      <w:r w:rsidRPr="00BA4F0F">
        <w:rPr>
          <w:rFonts w:cs="Times New Roman"/>
          <w:szCs w:val="24"/>
        </w:rPr>
        <w:t>Пациенты с наличием в анамнезе инвазивного аспергиллеза (обычно один препарат из перечня):</w:t>
      </w:r>
    </w:p>
    <w:p w14:paraId="1C3CE2C4" w14:textId="77777777" w:rsidR="0075793D" w:rsidRPr="00BA4F0F" w:rsidRDefault="0075793D" w:rsidP="005E0272">
      <w:pPr>
        <w:numPr>
          <w:ilvl w:val="0"/>
          <w:numId w:val="228"/>
        </w:numPr>
        <w:tabs>
          <w:tab w:val="left" w:pos="0"/>
          <w:tab w:val="left" w:pos="567"/>
        </w:tabs>
        <w:ind w:left="0" w:firstLine="0"/>
        <w:rPr>
          <w:rFonts w:cs="Times New Roman"/>
          <w:szCs w:val="24"/>
        </w:rPr>
      </w:pPr>
      <w:r w:rsidRPr="00BA4F0F">
        <w:rPr>
          <w:rFonts w:cs="Times New Roman"/>
          <w:szCs w:val="24"/>
        </w:rPr>
        <w:t>Вориконазол, по 200 мг 2 раза в сутки внутрь (в таблетках, натощак) или внутривенно.</w:t>
      </w:r>
    </w:p>
    <w:p w14:paraId="66D43EA9" w14:textId="77777777" w:rsidR="0075793D" w:rsidRPr="00BA4F0F" w:rsidRDefault="0075793D" w:rsidP="005E0272">
      <w:pPr>
        <w:numPr>
          <w:ilvl w:val="0"/>
          <w:numId w:val="228"/>
        </w:numPr>
        <w:tabs>
          <w:tab w:val="left" w:pos="0"/>
          <w:tab w:val="left" w:pos="567"/>
        </w:tabs>
        <w:ind w:left="0" w:firstLine="0"/>
        <w:rPr>
          <w:rFonts w:cs="Times New Roman"/>
          <w:szCs w:val="24"/>
        </w:rPr>
      </w:pPr>
      <w:r w:rsidRPr="00BA4F0F">
        <w:rPr>
          <w:rFonts w:cs="Times New Roman"/>
          <w:szCs w:val="24"/>
        </w:rPr>
        <w:t>Позаконазол (суспензия), по 200 мг 3 раза в сутки внутрь (после еды).</w:t>
      </w:r>
    </w:p>
    <w:p w14:paraId="7774C1D7" w14:textId="77777777" w:rsidR="0075793D" w:rsidRPr="00BA4F0F" w:rsidRDefault="0075793D" w:rsidP="005E0272">
      <w:pPr>
        <w:numPr>
          <w:ilvl w:val="0"/>
          <w:numId w:val="228"/>
        </w:numPr>
        <w:tabs>
          <w:tab w:val="left" w:pos="0"/>
          <w:tab w:val="left" w:pos="567"/>
        </w:tabs>
        <w:ind w:left="0" w:firstLine="0"/>
        <w:rPr>
          <w:rFonts w:cs="Times New Roman"/>
          <w:szCs w:val="24"/>
        </w:rPr>
      </w:pPr>
      <w:r w:rsidRPr="00BA4F0F">
        <w:rPr>
          <w:rFonts w:cs="Times New Roman"/>
          <w:szCs w:val="24"/>
        </w:rPr>
        <w:t>Итраконазол (суспензия), по 200 мг 2 раза в сутки внутрь (натощак).</w:t>
      </w:r>
    </w:p>
    <w:p w14:paraId="553D5D40" w14:textId="77777777" w:rsidR="0075793D" w:rsidRPr="00BA4F0F" w:rsidRDefault="0075793D" w:rsidP="005E0272">
      <w:pPr>
        <w:numPr>
          <w:ilvl w:val="0"/>
          <w:numId w:val="230"/>
        </w:numPr>
        <w:tabs>
          <w:tab w:val="left" w:pos="0"/>
          <w:tab w:val="left" w:pos="567"/>
        </w:tabs>
        <w:ind w:left="0" w:firstLine="0"/>
        <w:rPr>
          <w:rFonts w:cs="Times New Roman"/>
          <w:szCs w:val="24"/>
        </w:rPr>
      </w:pPr>
      <w:r w:rsidRPr="00BA4F0F">
        <w:rPr>
          <w:rFonts w:cs="Times New Roman"/>
          <w:szCs w:val="24"/>
        </w:rPr>
        <w:t>Пациенты с наличием в анамнезе мукормикоза:</w:t>
      </w:r>
    </w:p>
    <w:p w14:paraId="2E2F3BBD" w14:textId="77777777" w:rsidR="0075793D" w:rsidRPr="00BA4F0F" w:rsidRDefault="0075793D" w:rsidP="0075793D">
      <w:pPr>
        <w:tabs>
          <w:tab w:val="left" w:pos="0"/>
          <w:tab w:val="left" w:pos="567"/>
        </w:tabs>
        <w:rPr>
          <w:rFonts w:cs="Times New Roman"/>
          <w:b/>
          <w:szCs w:val="24"/>
        </w:rPr>
      </w:pPr>
      <w:r w:rsidRPr="00BA4F0F">
        <w:rPr>
          <w:rFonts w:cs="Times New Roman"/>
          <w:szCs w:val="24"/>
        </w:rPr>
        <w:t>Позаконазол (суспензия), по 200 мг 3 раза в сутки внутрь (после еды).</w:t>
      </w:r>
      <w:r w:rsidRPr="00BA4F0F">
        <w:rPr>
          <w:rFonts w:cs="Times New Roman"/>
          <w:b/>
          <w:szCs w:val="24"/>
        </w:rPr>
        <w:t xml:space="preserve"> </w:t>
      </w:r>
    </w:p>
    <w:p w14:paraId="6513932E" w14:textId="77777777" w:rsidR="0075793D" w:rsidRPr="00BA4F0F" w:rsidRDefault="0075793D" w:rsidP="0075793D">
      <w:pPr>
        <w:pStyle w:val="afe"/>
        <w:ind w:left="0"/>
        <w:rPr>
          <w:rFonts w:cs="Times New Roman"/>
          <w:b/>
          <w:i/>
          <w:szCs w:val="24"/>
        </w:rPr>
      </w:pPr>
    </w:p>
    <w:p w14:paraId="3B023D87" w14:textId="53F7E851" w:rsidR="0075793D" w:rsidRPr="00BA4F0F" w:rsidRDefault="0075793D" w:rsidP="0075793D">
      <w:pPr>
        <w:pStyle w:val="afe"/>
        <w:ind w:left="0"/>
        <w:rPr>
          <w:rFonts w:cs="Times New Roman"/>
          <w:b/>
          <w:i/>
          <w:szCs w:val="24"/>
        </w:rPr>
      </w:pPr>
      <w:r w:rsidRPr="00BA4F0F">
        <w:rPr>
          <w:rFonts w:cs="Times New Roman"/>
          <w:b/>
          <w:i/>
          <w:szCs w:val="24"/>
        </w:rPr>
        <w:t xml:space="preserve">Противовирусная профилактика </w:t>
      </w:r>
      <w:r w:rsidRPr="00BA4F0F">
        <w:rPr>
          <w:rFonts w:cs="Times New Roman"/>
          <w:b/>
          <w:i/>
          <w:szCs w:val="24"/>
        </w:rPr>
        <w:fldChar w:fldCharType="begin" w:fldLock="1"/>
      </w:r>
      <w:r w:rsidR="004810E5">
        <w:rPr>
          <w:rFonts w:cs="Times New Roman"/>
          <w:b/>
          <w:i/>
          <w:szCs w:val="24"/>
        </w:rPr>
        <w:instrText>ADDIN CSL_CITATION {"citationItems":[{"id":"ITEM-1","itemData":{"DOI":"10.3324/haematol.2014.117176","ISSN":"15928721","PMID":"26432383","abstract":"The European Myeloma Network provides recommendations for the management of the most common complications of multiple myeloma. Whole body low-dose computed tomography is more sensitive than conventional radiography in depicting osteolytic disease and thus we recommend it as the novel standard for the detection of lytic lesions in myeloma (grade 1A). Myeloma patients with adequate renal function and bone disease at diagnosis should be treated with zoledronic acid or pamidronate (grade 1A). Symptomatic patients without lytic lesions on conventional radiography can be treated with zoledronic acid (grade 1B), but its advantage is not clear for patients with no bone involvement on computed tomography or magnetic resonance imaging. In asymptomatic myeloma, bisphosphonates are not recommended (grade 1A). Zoledronic acid should be given continuously, but it is not clear if patients who achieve at least a very good partial response benefit from its continuous use (grade 1B). Treatment with erythropoietic-stimulating agents may be initiated in patients with persistent symptomatic anemia (hemoglobin &lt;10g/dL) in whom other causes of anemia have been excluded (grade 1B). Erythropoietic agents should be stopped after 6-8 weeks if no adequate hemoglobin response is achieved. For renal impairment, bortezomib-based regimens are the current standard of care (grade 1A). For the management of treatment-induced peripheral neuropathy, drug modification is needed (grade 1C). Vaccination against influenza is recommended; vaccination against streptococcus pneumonia and hemophilus influenza is appropriate, but efficacy is not guaranteed due to suboptimal immune response (grade 1C). Prophylactic aciclovir (or valacyclovir) is recommended for patients receiving proteasome inhibitors, autologous or allogeneic transplantation (grade 1A).","author":[{"dropping-particle":"","family":"Terpos","given":"Evangelos","non-dropping-particle":"","parse-names":false,"suffix":""},{"dropping-particle":"","family":"Kleber","given":"Martina","non-dropping-particle":"","parse-names":false,"suffix":""},{"dropping-particle":"","family":"Engelhardt","given":"Monika","non-dropping-particle":"","parse-names":false,"suffix":""},{"dropping-particle":"","family":"Zweegman","given":"Sonja","non-dropping-particle":"","parse-names":false,"suffix":""},{"dropping-particle":"","family":"Gay","given":"Francesca","non-dropping-particle":"","parse-names":false,"suffix":""},{"dropping-particle":"","family":"Kastritis","given":"Efstathios","non-dropping-particle":"","parse-names":false,"suffix":""},{"dropping-particle":"","family":"Donk","given":"Niels W.C.J.","non-dropping-particle":"van de","parse-names":false,"suffix":""},{"dropping-particle":"","family":"Bruno","given":"Benedetto","non-dropping-particle":"","parse-names":false,"suffix":""},{"dropping-particle":"","family":"Sezer","given":"Orhan","non-dropping-particle":"","parse-names":false,"suffix":""},{"dropping-particle":"","family":"Broij","given":"Annemiek","non-dropping-particle":"","parse-names":false,"suffix":""},{"dropping-particle":"","family":"Bringhen","given":"Sara","non-dropping-particle":"","parse-names":false,"suffix":""},{"dropping-particle":"","family":"Beksac","given":"Meral","non-dropping-particle":"","parse-names":false,"suffix":""},{"dropping-particle":"","family":"Larocca","given":"Alessandra","non-dropping-particle":"","parse-names":false,"suffix":""},{"dropping-particle":"","family":"Hajek","given":"Roman","non-dropping-particle":"","parse-names":false,"suffix":""},{"dropping-particle":"","family":"Musto","given":"Pellegrino","non-dropping-particle":"","parse-names":false,"suffix":""},{"dropping-particle":"","family":"Johnsen","given":"Hans Erik","non-dropping-particle":"","parse-names":false,"suffix":""},{"dropping-particle":"","family":"Morabito","given":"Fortunato","non-dropping-particle":"","parse-names":false,"suffix":""},{"dropping-particle":"","family":"Ludwig","given":"Heinz","non-dropping-particle":"","parse-names":false,"suffix":""},{"dropping-particle":"","family":"Cavo","given":"Michele","non-dropping-particle":"","parse-names":false,"suffix":""},{"dropping-particle":"","family":"Einsele","given":"Hermann","non-dropping-particle":"","parse-names":false,"suffix":""},{"dropping-particle":"","family":"Sonneveld","given":"Pieter","non-dropping-particle":"","parse-names":false,"suffix":""},{"dropping-particle":"","family":"Dimopoulos","given":"Meletios A.","non-dropping-particle":"","parse-names":false,"suffix":""},{"dropping-particle":"","family":"Palumbo","given":"Antonio","non-dropping-particle":"","parse-names":false,"suffix":""}],"container-title":"Haematologica","id":"ITEM-1","issue":"10","issued":{"date-parts":[["2015","10"]]},"page":"1254-1266","publisher":"Ferrata Storti Foundation","title":"European myeloma network guidelines for the management of multiple myeloma-related complications","type":"article-journal","volume":"100"},"uris":["http://www.mendeley.com/documents/?uuid=aac7b897-8190-3c23-bc91-e35f2f0c34c2","http://www.mendeley.com/documents/?uuid=d764576b-b83c-433d-b5a2-7dad0d44d988","http://www.mendeley.com/documents/?uuid=ee597520-c0cc-44d1-88eb-388774bd8550","http://www.mendeley.com/documents/?uuid=c0612fc3-d7f0-4ab2-9abe-e086965714f4","http://www.mendeley.com/documents/?uuid=6d6938c8-1c2d-40c8-b1d1-d79df765c05d","http://www.mendeley.com/documents/?uuid=37f5270f-10ba-4092-bf91-5d27dd1c06ee","http://www.mendeley.com/documents/?uuid=b5a58553-9f9f-4514-b08b-dacb77967682","http://www.mendeley.com/documents/?uuid=a2dc2d73-6f14-4a34-af5c-17ae34364204"]}],"mendeley":{"formattedCitation":"[202]","plainTextFormattedCitation":"[202]","previouslyFormattedCitation":"[202]"},"properties":{"noteIndex":0},"schema":"https://github.com/citation-style-language/schema/raw/master/csl-citation.json"}</w:instrText>
      </w:r>
      <w:r w:rsidRPr="00BA4F0F">
        <w:rPr>
          <w:rFonts w:cs="Times New Roman"/>
          <w:b/>
          <w:i/>
          <w:szCs w:val="24"/>
        </w:rPr>
        <w:fldChar w:fldCharType="separate"/>
      </w:r>
      <w:r w:rsidR="004810E5" w:rsidRPr="004810E5">
        <w:rPr>
          <w:rFonts w:cs="Times New Roman"/>
          <w:noProof/>
          <w:szCs w:val="24"/>
        </w:rPr>
        <w:t>[202]</w:t>
      </w:r>
      <w:r w:rsidRPr="00BA4F0F">
        <w:rPr>
          <w:rFonts w:cs="Times New Roman"/>
          <w:b/>
          <w:i/>
          <w:szCs w:val="24"/>
        </w:rPr>
        <w:fldChar w:fldCharType="end"/>
      </w:r>
    </w:p>
    <w:p w14:paraId="5FFF3A82" w14:textId="77777777" w:rsidR="0075793D" w:rsidRPr="00BA4F0F" w:rsidRDefault="0075793D" w:rsidP="005E0272">
      <w:pPr>
        <w:numPr>
          <w:ilvl w:val="0"/>
          <w:numId w:val="225"/>
        </w:numPr>
        <w:tabs>
          <w:tab w:val="left" w:pos="0"/>
          <w:tab w:val="left" w:pos="567"/>
        </w:tabs>
        <w:ind w:left="0" w:firstLine="0"/>
        <w:rPr>
          <w:rFonts w:cs="Times New Roman"/>
          <w:szCs w:val="24"/>
        </w:rPr>
      </w:pPr>
      <w:r w:rsidRPr="00BA4F0F">
        <w:rPr>
          <w:rFonts w:cs="Times New Roman"/>
          <w:szCs w:val="24"/>
        </w:rPr>
        <w:t xml:space="preserve">Показана пациентам, имеющим отягощенный анамнез (частые, рецидивирующие эпизоды герпетических инфекций). </w:t>
      </w:r>
    </w:p>
    <w:p w14:paraId="5D747E97" w14:textId="77777777" w:rsidR="0075793D" w:rsidRPr="00BA4F0F" w:rsidRDefault="0075793D" w:rsidP="005E0272">
      <w:pPr>
        <w:numPr>
          <w:ilvl w:val="0"/>
          <w:numId w:val="225"/>
        </w:numPr>
        <w:tabs>
          <w:tab w:val="left" w:pos="0"/>
          <w:tab w:val="left" w:pos="567"/>
        </w:tabs>
        <w:ind w:left="0" w:firstLine="0"/>
        <w:rPr>
          <w:rFonts w:cs="Times New Roman"/>
          <w:szCs w:val="24"/>
        </w:rPr>
      </w:pPr>
      <w:r w:rsidRPr="00BA4F0F">
        <w:rPr>
          <w:rFonts w:cs="Times New Roman"/>
          <w:szCs w:val="24"/>
        </w:rPr>
        <w:t>Проводится пероральная профилактика валацикловиром в дозе 500 мг 2 раза в сутки или ацикловиром 250 мг/м</w:t>
      </w:r>
      <w:r w:rsidRPr="00BA4F0F">
        <w:rPr>
          <w:rFonts w:cs="Times New Roman"/>
          <w:szCs w:val="24"/>
          <w:vertAlign w:val="superscript"/>
        </w:rPr>
        <w:t>2</w:t>
      </w:r>
      <w:r w:rsidRPr="00BA4F0F">
        <w:rPr>
          <w:rFonts w:cs="Times New Roman"/>
          <w:szCs w:val="24"/>
        </w:rPr>
        <w:t xml:space="preserve"> х 2 раза в сутки с момента начала предтрансплантационного кондиционирования. </w:t>
      </w:r>
    </w:p>
    <w:p w14:paraId="5929603D" w14:textId="77777777" w:rsidR="0075793D" w:rsidRPr="00BA4F0F" w:rsidRDefault="0075793D" w:rsidP="0075793D">
      <w:pPr>
        <w:pStyle w:val="afe"/>
        <w:ind w:left="0"/>
        <w:rPr>
          <w:rFonts w:cs="Times New Roman"/>
          <w:b/>
          <w:i/>
          <w:szCs w:val="24"/>
        </w:rPr>
      </w:pPr>
    </w:p>
    <w:p w14:paraId="235DE7E4" w14:textId="15441988" w:rsidR="0075793D" w:rsidRPr="00BA4F0F" w:rsidRDefault="0075793D" w:rsidP="0075793D">
      <w:pPr>
        <w:pStyle w:val="afe"/>
        <w:ind w:left="0"/>
        <w:rPr>
          <w:rFonts w:cs="Times New Roman"/>
          <w:b/>
          <w:i/>
          <w:szCs w:val="24"/>
        </w:rPr>
      </w:pPr>
      <w:r w:rsidRPr="00BA4F0F">
        <w:rPr>
          <w:rFonts w:cs="Times New Roman"/>
          <w:b/>
          <w:i/>
          <w:szCs w:val="24"/>
        </w:rPr>
        <w:t xml:space="preserve">Профилактика пневмоцистной пневмонии </w:t>
      </w:r>
      <w:r w:rsidRPr="00BA4F0F">
        <w:rPr>
          <w:rFonts w:cs="Times New Roman"/>
          <w:b/>
          <w:i/>
          <w:szCs w:val="24"/>
        </w:rPr>
        <w:fldChar w:fldCharType="begin" w:fldLock="1"/>
      </w:r>
      <w:r w:rsidR="004810E5">
        <w:rPr>
          <w:rFonts w:cs="Times New Roman"/>
          <w:b/>
          <w:i/>
          <w:szCs w:val="24"/>
        </w:rPr>
        <w:instrText>ADDIN CSL_CITATION {"citationItems":[{"id":"ITEM-1","itemData":{"author":[{"dropping-particle":"","family":"Савченко В.Г. и др","given":"","non-dropping-particle":"","parse-names":false,"suffix":""}],"id":"ITEM-1","issued":{"date-parts":[["2018"]]},"number-of-pages":"1008","publisher":"Практика","publisher-place":"Москва","title":"Алгоритмы диагностики и протоколы лечения заболеваний системы крови.","type":"book"},"uris":["http://www.mendeley.com/documents/?uuid=f91ae641-8062-4f5f-b416-94b015742043","http://www.mendeley.com/documents/?uuid=2cd270b2-efaf-4da9-a95d-66324661ea35","http://www.mendeley.com/documents/?uuid=fe583573-532c-46dc-b4f4-f9d01345e27c","http://www.mendeley.com/documents/?uuid=26da25a5-bd21-4509-8e88-e4e6744fab98","http://www.mendeley.com/documents/?uuid=a1e2f5d6-ef05-4351-9481-13fad4fd103b","http://www.mendeley.com/documents/?uuid=478d6ce1-e425-4912-87db-adfee39f1ce9","http://www.mendeley.com/documents/?uuid=9cac36ab-7685-4894-b1cb-f141a1797526","http://www.mendeley.com/documents/?uuid=c0eae3a3-34ee-40e1-8813-566cb7fa2b4a"]},{"id":"ITEM-2","itemData":{"DOI":"10.1093/jac/dkw157","ISSN":"14602091","PMID":"27550992","abstract":"The 5th European Conference on Infections in Leukaemia (ECIL-5) meeting aimed to establish evidence-based recommendations for the prophylaxis of Pneumocystis jirovecii pneumonia (PCP) in non-HIV-infected patients with an underlying haematological condition, including allogeneic HSCT recipients. Recommendations were based on the grading system of the IDSA. Trimethoprim/sulfamethoxazole given 2-3 times weekly is the drug of choice for the primary prophylaxis of PCP in adults (A-II) and children (A-I) and should be given during the entire period at risk. Recent data indicate that children may benefit equally from a once-weekly regimen (B-II). All other drugs, including pentamidine, atovaquone and dapsone, are considered second-line alternatives when trimethoprim/ sulfamethoxazole is poorly tolerated or contraindicated. The main indications of PCP prophylaxis are ALL, allogeneic HSCT, treatment with alemtuzumab, fludarabine/cyclophosphamide/rituximab combinations, &gt;4 weeks of treatmentwith corticosteroids andwell-defined primary immune deficiencies in children. Additional indications are proposed depending on the treatment regimen.","author":[{"dropping-particle":"","family":"Maertens","given":"Johan","non-dropping-particle":"","parse-names":false,"suffix":""},{"dropping-particle":"","family":"Cesaro","given":"Simone","non-dropping-particle":"","parse-names":false,"suffix":""},{"dropping-particle":"","family":"Maschmeyer","given":"Georg","non-dropping-particle":"","parse-names":false,"suffix":""},{"dropping-particle":"","family":"Einsele","given":"Hermann","non-dropping-particle":"","parse-names":false,"suffix":""},{"dropping-particle":"","family":"Donnelly","given":"J. Peter","non-dropping-particle":"","parse-names":false,"suffix":""},{"dropping-particle":"","family":"Alanio","given":"Alexandre","non-dropping-particle":"","parse-names":false,"suffix":""},{"dropping-particle":"","family":"Hauser","given":"Philippe","non-dropping-particle":"","parse-names":false,"suffix":""},{"dropping-particle":"","family":"Lagrou","given":"Katrien","non-dropping-particle":"","parse-names":false,"suffix":""},{"dropping-particle":"","family":"Melchers","given":"Willem J.G.","non-dropping-particle":"","parse-names":false,"suffix":""},{"dropping-particle":"","family":"Helweg-Larsen","given":"Jannik","non-dropping-particle":"","parse-names":false,"suffix":""},{"dropping-particle":"","family":"Matos","given":"Olga","non-dropping-particle":"","parse-names":false,"suffix":""},{"dropping-particle":"","family":"Bretagne","given":"Stéphane","non-dropping-particle":"","parse-names":false,"suffix":""},{"dropping-particle":"","family":"Cordonnier","given":"Catherine","non-dropping-particle":"","parse-names":false,"suffix":""},{"dropping-particle":"","family":"Agrawal","given":"Samir","non-dropping-particle":"","parse-names":false,"suffix":""},{"dropping-particle":"","family":"Kibbler","given":"Christopher","non-dropping-particle":"","parse-names":false,"suffix":""},{"dropping-particle":"","family":"Pagliuca","given":"Antonio","non-dropping-particle":"","parse-names":false,"suffix":""},{"dropping-particle":"","family":"Ward","given":"Katherine","non-dropping-particle":"","parse-names":false,"suffix":""},{"dropping-particle":"","family":"Akova","given":"Murat","non-dropping-particle":"","parse-names":false,"suffix":""},{"dropping-particle":"","family":"Herbrecht","given":"Raoul","non-dropping-particle":"","parse-names":false,"suffix":""},{"dropping-particle":"","family":"Mallet","given":"Vincent","non-dropping-particle":"","parse-names":false,"suffix":""},{"dropping-particle":"","family":"Ribaud","given":"Patricia","non-dropping-particle":"","parse-names":false,"suffix":""},{"dropping-particle":"","family":"Aljurf","given":"Mahmoud","non-dropping-particle":"","parse-names":false,"suffix":""},{"dropping-particle":"","family":"Averbuch","given":"Dina","non-dropping-particle":"","parse-names":false,"suffix":""},{"dropping-particle":"","family":"Engelhard","given":"Dan","non-dropping-particle":"","parse-names":false,"suffix":""},{"dropping-particle":"","family":"Berg","given":"Thomas","non-dropping-particle":"","parse-names":false,"suffix":""},{"dropping-particle":"","family":"Cornely","given":"Oliver","non-dropping-particle":"","parse-names":false,"suffix":""},{"dropping-particle":"","family":"Penack","given":"Olaf","non-dropping-particle":"","parse-names":false,"suffix":""},{"dropping-particle":"","family":"Boemmel","given":"Florian","non-dropping-particle":"van","parse-names":false,"suffix":""},{"dropping-particle":"","family":"Lilienfeld-Toal","given":"Marie","non-dropping-particle":"von","parse-names":false,"suffix":""},{"dropping-particle":"","family":"Blennow","given":"Ola","non-dropping-particle":"","parse-names":false,"suffix":""},{"dropping-particle":"","family":"Ljungman","given":"Per","non-dropping-particle":"","parse-names":false,"suffix":""},{"dropping-particle":"","family":"Bruggemann","given":"Roger","non-dropping-particle":"","parse-names":false,"suffix":""},{"dropping-particle":"","family":"Donnelly","given":"Peter","non-dropping-particle":"","parse-names":false,"suffix":""},{"dropping-particle":"","family":"Kullberg","given":"Bart Jan","non-dropping-particle":"","parse-names":false,"suffix":""},{"dropping-particle":"","family":"Melchers","given":"Willem","non-dropping-particle":"","parse-names":false,"suffix":""},{"dropping-particle":"","family":"Calandra","given":"Thierry","non-dropping-particle":"","parse-names":false,"suffix":""},{"dropping-particle":"","family":"Hirsch","given":"Hans","non-dropping-particle":"","parse-names":false,"suffix":""},{"dropping-particle":"","family":"Marchetti","given":"Oscar","non-dropping-particle":"","parse-names":false,"suffix":""},{"dropping-particle":"","family":"Orasch","given":"Christina","non-dropping-particle":"","parse-names":false,"suffix":""},{"dropping-particle":"","family":"Tissot","given":"Frederic","non-dropping-particle":"","parse-names":false,"suffix":""},{"dropping-particle":"","family":"Castagnola","given":"Elio","non-dropping-particle":"","parse-names":false,"suffix":""},{"dropping-particle":"","family":"Girmenia","given":"Corrado","non-dropping-particle":"","parse-names":false,"suffix":""},{"dropping-particle":"","family":"Mikulska","given":"Malgorzata","non-dropping-particle":"","parse-names":false,"suffix":""},{"dropping-particle":"","family":"Pagano","given":"Livio","non-dropping-particle":"","parse-names":false,"suffix":""},{"dropping-particle":"","family":"Viscoli","given":"Claudio","non-dropping-particle":"","parse-names":false,"suffix":""},{"dropping-particle":"","family":"La Camara","given":"Rafael","non-dropping-particle":"De","parse-names":false,"suffix":""},{"dropping-particle":"","family":"Duarte","given":"Rafael","non-dropping-particle":"","parse-names":false,"suffix":""},{"dropping-particle":"","family":"Munoz","given":"Patricia","non-dropping-particle":"","parse-names":false,"suffix":""},{"dropping-particle":"","family":"Drgona","given":"Lubos","non-dropping-particle":"","parse-names":false,"suffix":""},{"dropping-particle":"","family":"Hargreaves","given":"Ruth","non-dropping-particle":"","parse-names":false,"suffix":""},{"dropping-particle":"","family":"Hubacek","given":"Petr","non-dropping-particle":"","parse-names":false,"suffix":""},{"dropping-particle":"","family":"Kouba","given":"Michal","non-dropping-particle":"","parse-names":false,"suffix":""},{"dropping-particle":"","family":"Racil","given":"Zdenek","non-dropping-particle":"","parse-names":false,"suffix":""},{"dropping-particle":"","family":"Klyasova","given":"Galina","non-dropping-particle":"","parse-names":false,"suffix":""},{"dropping-particle":"","family":"Pettrikos","given":"George","non-dropping-particle":"","parse-names":false,"suffix":""},{"dropping-particle":"","family":"Roilides","given":"Emmanuel","non-dropping-particle":"","parse-names":false,"suffix":""},{"dropping-particle":"","family":"Skiada","given":"Anna","non-dropping-particle":"","parse-names":false,"suffix":""},{"dropping-particle":"","family":"Rizzi-Puechal","given":"Valérie","non-dropping-particle":"","parse-names":false,"suffix":""},{"dropping-particle":"","family":"Sinko","given":"Janos","non-dropping-particle":"","parse-names":false,"suffix":""},{"dropping-particle":"","family":"Slavin","given":"Monica","non-dropping-particle":"","parse-names":false,"suffix":""},{"dropping-particle":"","family":"Styczynski","given":"Jan","non-dropping-particle":"","parse-names":false,"suffix":""},{"dropping-particle":"","family":"Tweddle","given":"Lorraine","non-dropping-particle":"","parse-names":false,"suffix":""},{"dropping-particle":"","family":"Wood","given":"Craig","non-dropping-particle":"","parse-names":false,"suffix":""}],"container-title":"Journal of Antimicrobial Chemotherapy","id":"ITEM-2","issue":"9","issued":{"date-parts":[["2016","9","1"]]},"page":"1-8","publisher":"Oxford University Press","title":"ECIL guidelines for preventing Pneumocystis jirovecii pneumonia in patients with haematological malignancies and stem cell transplant recipients","type":"bill","volume":"71"},"uris":["http://www.mendeley.com/documents/?uuid=a0eb48bc-4417-4d24-8796-9587f2cfd3b7"]}],"mendeley":{"formattedCitation":"[201,203]","plainTextFormattedCitation":"[201,203]","previouslyFormattedCitation":"[201,203]"},"properties":{"noteIndex":0},"schema":"https://github.com/citation-style-language/schema/raw/master/csl-citation.json"}</w:instrText>
      </w:r>
      <w:r w:rsidRPr="00BA4F0F">
        <w:rPr>
          <w:rFonts w:cs="Times New Roman"/>
          <w:b/>
          <w:i/>
          <w:szCs w:val="24"/>
        </w:rPr>
        <w:fldChar w:fldCharType="separate"/>
      </w:r>
      <w:r w:rsidR="004810E5" w:rsidRPr="004810E5">
        <w:rPr>
          <w:rFonts w:cs="Times New Roman"/>
          <w:noProof/>
          <w:szCs w:val="24"/>
        </w:rPr>
        <w:t>[201,203]</w:t>
      </w:r>
      <w:r w:rsidRPr="00BA4F0F">
        <w:rPr>
          <w:rFonts w:cs="Times New Roman"/>
          <w:b/>
          <w:i/>
          <w:szCs w:val="24"/>
        </w:rPr>
        <w:fldChar w:fldCharType="end"/>
      </w:r>
    </w:p>
    <w:p w14:paraId="6495E699" w14:textId="77777777" w:rsidR="0075793D" w:rsidRPr="00BA4F0F" w:rsidRDefault="0075793D" w:rsidP="005E0272">
      <w:pPr>
        <w:numPr>
          <w:ilvl w:val="0"/>
          <w:numId w:val="146"/>
        </w:numPr>
        <w:tabs>
          <w:tab w:val="left" w:pos="0"/>
          <w:tab w:val="left" w:pos="567"/>
        </w:tabs>
        <w:ind w:left="0" w:firstLine="0"/>
        <w:rPr>
          <w:rFonts w:cs="Times New Roman"/>
          <w:szCs w:val="24"/>
        </w:rPr>
      </w:pPr>
      <w:r w:rsidRPr="00BA4F0F">
        <w:rPr>
          <w:rFonts w:cs="Times New Roman"/>
          <w:szCs w:val="24"/>
        </w:rPr>
        <w:t>Показания:</w:t>
      </w:r>
    </w:p>
    <w:p w14:paraId="65BC7470" w14:textId="77777777" w:rsidR="0075793D" w:rsidRPr="00BA4F0F" w:rsidRDefault="0075793D" w:rsidP="005E0272">
      <w:pPr>
        <w:numPr>
          <w:ilvl w:val="0"/>
          <w:numId w:val="184"/>
        </w:numPr>
        <w:tabs>
          <w:tab w:val="left" w:pos="0"/>
          <w:tab w:val="left" w:pos="567"/>
        </w:tabs>
        <w:ind w:left="0" w:firstLine="0"/>
        <w:rPr>
          <w:rFonts w:cs="Times New Roman"/>
          <w:szCs w:val="24"/>
        </w:rPr>
      </w:pPr>
      <w:r w:rsidRPr="00BA4F0F">
        <w:rPr>
          <w:rFonts w:cs="Times New Roman"/>
          <w:szCs w:val="24"/>
        </w:rPr>
        <w:t xml:space="preserve">Терапия глюкокортикоидами. </w:t>
      </w:r>
    </w:p>
    <w:p w14:paraId="09CBEC5E" w14:textId="77777777" w:rsidR="0075793D" w:rsidRPr="00BA4F0F" w:rsidRDefault="0075793D" w:rsidP="005E0272">
      <w:pPr>
        <w:numPr>
          <w:ilvl w:val="0"/>
          <w:numId w:val="184"/>
        </w:numPr>
        <w:tabs>
          <w:tab w:val="left" w:pos="0"/>
          <w:tab w:val="left" w:pos="567"/>
        </w:tabs>
        <w:ind w:left="0" w:firstLine="0"/>
        <w:rPr>
          <w:rFonts w:cs="Times New Roman"/>
          <w:szCs w:val="24"/>
        </w:rPr>
      </w:pPr>
      <w:r w:rsidRPr="00BA4F0F">
        <w:rPr>
          <w:rFonts w:cs="Times New Roman"/>
          <w:szCs w:val="24"/>
        </w:rPr>
        <w:t>Лечение препаратами, приводящими к снижению числа лимфоцитов CD4.</w:t>
      </w:r>
    </w:p>
    <w:p w14:paraId="6F379967" w14:textId="77777777" w:rsidR="0075793D" w:rsidRPr="00BA4F0F" w:rsidRDefault="0075793D" w:rsidP="005E0272">
      <w:pPr>
        <w:numPr>
          <w:ilvl w:val="0"/>
          <w:numId w:val="184"/>
        </w:numPr>
        <w:tabs>
          <w:tab w:val="left" w:pos="0"/>
          <w:tab w:val="left" w:pos="567"/>
        </w:tabs>
        <w:ind w:left="0" w:firstLine="0"/>
        <w:rPr>
          <w:rFonts w:cs="Times New Roman"/>
          <w:szCs w:val="24"/>
        </w:rPr>
      </w:pPr>
      <w:r w:rsidRPr="00BA4F0F">
        <w:rPr>
          <w:rFonts w:cs="Times New Roman"/>
          <w:szCs w:val="24"/>
        </w:rPr>
        <w:t>Пациенты, имеющие в анамнезе пневмоцистную пневмонию.</w:t>
      </w:r>
    </w:p>
    <w:p w14:paraId="4304FAA8" w14:textId="77777777" w:rsidR="0075793D" w:rsidRPr="00BA4F0F" w:rsidRDefault="0075793D" w:rsidP="005E0272">
      <w:pPr>
        <w:numPr>
          <w:ilvl w:val="0"/>
          <w:numId w:val="185"/>
        </w:numPr>
        <w:tabs>
          <w:tab w:val="left" w:pos="0"/>
          <w:tab w:val="left" w:pos="567"/>
        </w:tabs>
        <w:ind w:left="0" w:firstLine="0"/>
        <w:rPr>
          <w:rFonts w:cs="Times New Roman"/>
          <w:szCs w:val="24"/>
        </w:rPr>
      </w:pPr>
      <w:r w:rsidRPr="00BA4F0F">
        <w:rPr>
          <w:rFonts w:cs="Times New Roman"/>
          <w:szCs w:val="24"/>
        </w:rPr>
        <w:t>Назначают один из следующих препаратов:</w:t>
      </w:r>
    </w:p>
    <w:p w14:paraId="3110CAC9" w14:textId="77777777" w:rsidR="0075793D" w:rsidRPr="00BA4F0F" w:rsidRDefault="0075793D" w:rsidP="005E0272">
      <w:pPr>
        <w:numPr>
          <w:ilvl w:val="0"/>
          <w:numId w:val="184"/>
        </w:numPr>
        <w:tabs>
          <w:tab w:val="left" w:pos="0"/>
          <w:tab w:val="left" w:pos="567"/>
        </w:tabs>
        <w:ind w:left="0" w:firstLine="0"/>
        <w:rPr>
          <w:rFonts w:cs="Times New Roman"/>
          <w:szCs w:val="24"/>
        </w:rPr>
      </w:pPr>
      <w:r w:rsidRPr="00BA4F0F">
        <w:rPr>
          <w:rFonts w:cs="Times New Roman"/>
          <w:szCs w:val="24"/>
        </w:rPr>
        <w:t xml:space="preserve">Триметоприм/сульфаметоксазол назначают по 480 мг ежедневно. </w:t>
      </w:r>
    </w:p>
    <w:p w14:paraId="6C404CFF" w14:textId="77777777" w:rsidR="0075793D" w:rsidRPr="00BA4F0F" w:rsidRDefault="0075793D" w:rsidP="005E0272">
      <w:pPr>
        <w:numPr>
          <w:ilvl w:val="0"/>
          <w:numId w:val="184"/>
        </w:numPr>
        <w:tabs>
          <w:tab w:val="left" w:pos="0"/>
          <w:tab w:val="left" w:pos="567"/>
        </w:tabs>
        <w:ind w:left="0" w:firstLine="0"/>
        <w:rPr>
          <w:rFonts w:cs="Times New Roman"/>
          <w:szCs w:val="24"/>
        </w:rPr>
      </w:pPr>
      <w:r w:rsidRPr="00BA4F0F">
        <w:rPr>
          <w:rFonts w:cs="Times New Roman"/>
          <w:szCs w:val="24"/>
        </w:rPr>
        <w:t>Дапсон, 100 мг внутрь ежедневно.</w:t>
      </w:r>
    </w:p>
    <w:p w14:paraId="79D6B384" w14:textId="77777777" w:rsidR="0075793D" w:rsidRPr="00BA4F0F" w:rsidRDefault="0075793D" w:rsidP="005E0272">
      <w:pPr>
        <w:numPr>
          <w:ilvl w:val="0"/>
          <w:numId w:val="184"/>
        </w:numPr>
        <w:tabs>
          <w:tab w:val="left" w:pos="0"/>
          <w:tab w:val="left" w:pos="567"/>
        </w:tabs>
        <w:ind w:left="0" w:firstLine="0"/>
        <w:rPr>
          <w:rFonts w:cs="Times New Roman"/>
          <w:szCs w:val="24"/>
        </w:rPr>
      </w:pPr>
      <w:r w:rsidRPr="00BA4F0F">
        <w:rPr>
          <w:rFonts w:cs="Times New Roman"/>
          <w:szCs w:val="24"/>
        </w:rPr>
        <w:t>Пентамидин, 300 мг в виде аэрозоля через респираторный ингалятор или внутривенно каждые 3—4 недели.</w:t>
      </w:r>
    </w:p>
    <w:p w14:paraId="3CB1C9E9" w14:textId="77777777" w:rsidR="0075793D" w:rsidRPr="00BA4F0F" w:rsidRDefault="0075793D" w:rsidP="005E0272">
      <w:pPr>
        <w:numPr>
          <w:ilvl w:val="0"/>
          <w:numId w:val="229"/>
        </w:numPr>
        <w:tabs>
          <w:tab w:val="left" w:pos="0"/>
          <w:tab w:val="left" w:pos="567"/>
        </w:tabs>
        <w:ind w:left="0" w:firstLine="0"/>
        <w:rPr>
          <w:rFonts w:cs="Times New Roman"/>
          <w:szCs w:val="24"/>
        </w:rPr>
      </w:pPr>
      <w:r w:rsidRPr="00BA4F0F">
        <w:rPr>
          <w:rFonts w:cs="Times New Roman"/>
          <w:szCs w:val="24"/>
        </w:rPr>
        <w:t>Препараты применяют в период цитостатической терапии и в течение всего периода нейтропении.</w:t>
      </w:r>
    </w:p>
    <w:p w14:paraId="0B9BCC56" w14:textId="77777777" w:rsidR="0075793D" w:rsidRPr="00BA4F0F" w:rsidRDefault="0075793D" w:rsidP="005E0272">
      <w:pPr>
        <w:numPr>
          <w:ilvl w:val="0"/>
          <w:numId w:val="229"/>
        </w:numPr>
        <w:tabs>
          <w:tab w:val="left" w:pos="0"/>
          <w:tab w:val="left" w:pos="567"/>
        </w:tabs>
        <w:ind w:left="0" w:firstLine="0"/>
        <w:rPr>
          <w:rFonts w:cs="Times New Roman"/>
          <w:szCs w:val="24"/>
        </w:rPr>
      </w:pPr>
      <w:r w:rsidRPr="00BA4F0F">
        <w:rPr>
          <w:rFonts w:cs="Times New Roman"/>
          <w:szCs w:val="24"/>
        </w:rPr>
        <w:t xml:space="preserve">Использование триметоприма/сульфаметоксазола одновременно предупреждает инфекции, вызываемые </w:t>
      </w:r>
      <w:r w:rsidRPr="00BA4F0F">
        <w:rPr>
          <w:rFonts w:cs="Times New Roman"/>
          <w:i/>
          <w:szCs w:val="24"/>
        </w:rPr>
        <w:t>Toxoplasma gondii, Listeria monocytogenes, Nocardia asteroides</w:t>
      </w:r>
      <w:r w:rsidRPr="00BA4F0F">
        <w:rPr>
          <w:rFonts w:cs="Times New Roman"/>
          <w:szCs w:val="24"/>
        </w:rPr>
        <w:t xml:space="preserve">. </w:t>
      </w:r>
    </w:p>
    <w:p w14:paraId="72FAA6CD" w14:textId="77777777" w:rsidR="0075793D" w:rsidRPr="00BA4F0F" w:rsidRDefault="0075793D" w:rsidP="0075793D">
      <w:pPr>
        <w:tabs>
          <w:tab w:val="left" w:pos="0"/>
          <w:tab w:val="left" w:pos="284"/>
        </w:tabs>
        <w:rPr>
          <w:rFonts w:cs="Times New Roman"/>
          <w:b/>
          <w:szCs w:val="24"/>
        </w:rPr>
      </w:pPr>
      <w:r w:rsidRPr="00BA4F0F">
        <w:rPr>
          <w:rFonts w:cs="Times New Roman"/>
          <w:szCs w:val="24"/>
        </w:rPr>
        <w:t xml:space="preserve">Пациенты, инфицированные </w:t>
      </w:r>
      <w:r w:rsidRPr="00BA4F0F">
        <w:rPr>
          <w:rFonts w:cs="Times New Roman"/>
          <w:i/>
          <w:szCs w:val="24"/>
        </w:rPr>
        <w:t>Pneumocystis jiroveci</w:t>
      </w:r>
      <w:r w:rsidRPr="00BA4F0F">
        <w:rPr>
          <w:rFonts w:cs="Times New Roman"/>
          <w:szCs w:val="24"/>
        </w:rPr>
        <w:t>, не должны находиться в одной палате с другими иммунокомпрометированными больными.</w:t>
      </w:r>
      <w:r w:rsidRPr="00BA4F0F">
        <w:rPr>
          <w:rFonts w:cs="Times New Roman"/>
          <w:szCs w:val="24"/>
        </w:rPr>
        <w:cr/>
      </w:r>
    </w:p>
    <w:p w14:paraId="14DE0315" w14:textId="77777777" w:rsidR="0075793D" w:rsidRPr="00BA4F0F" w:rsidRDefault="0075793D" w:rsidP="0075793D">
      <w:pPr>
        <w:pStyle w:val="afe"/>
        <w:ind w:left="0"/>
        <w:rPr>
          <w:rFonts w:cs="Times New Roman"/>
          <w:b/>
          <w:i/>
          <w:szCs w:val="24"/>
        </w:rPr>
      </w:pPr>
      <w:r w:rsidRPr="00BA4F0F">
        <w:rPr>
          <w:rFonts w:cs="Times New Roman"/>
          <w:b/>
          <w:i/>
          <w:szCs w:val="24"/>
        </w:rPr>
        <w:t>Иммуноглобулин человеческий</w:t>
      </w:r>
    </w:p>
    <w:p w14:paraId="2428F2CE" w14:textId="77777777" w:rsidR="0075793D" w:rsidRPr="00BA4F0F" w:rsidRDefault="0075793D" w:rsidP="0075793D">
      <w:pPr>
        <w:pStyle w:val="afe"/>
        <w:ind w:left="0"/>
        <w:rPr>
          <w:szCs w:val="24"/>
        </w:rPr>
      </w:pPr>
      <w:r w:rsidRPr="00BA4F0F">
        <w:rPr>
          <w:rFonts w:cs="Times New Roman"/>
          <w:szCs w:val="24"/>
        </w:rPr>
        <w:t xml:space="preserve">У пациентов после ауто-ТГСК развивается вторичный иммунодефицит. Для коррекции гипогаммаглобулинемии применяют препараты человеческого иммуноглобулина. Человеческий иммуноглобулин, восполняя дефицит антител, снижает риск развития инфекций у больных со вторичным иммунодефицитом. </w:t>
      </w:r>
    </w:p>
    <w:p w14:paraId="51F788D3" w14:textId="77777777" w:rsidR="0075793D" w:rsidRPr="00BA4F0F" w:rsidRDefault="0075793D" w:rsidP="0075793D">
      <w:pPr>
        <w:pStyle w:val="afe"/>
        <w:ind w:left="0"/>
        <w:rPr>
          <w:szCs w:val="24"/>
        </w:rPr>
      </w:pPr>
      <w:r w:rsidRPr="00BA4F0F">
        <w:rPr>
          <w:rFonts w:cs="Times New Roman"/>
          <w:szCs w:val="24"/>
        </w:rPr>
        <w:t>До выхода больного из МТА рекомендовано введение препарата внутривенно капельно в дозе 0,4 г/кг еженедельно. При тяжелых бактериальных и вирусных инфекциях рекомендовано 0.4-1 г/кг ежедневно в течение 1-4 дней. Перед введением препарат следует согреть до комнатной температуры или температуры тела. Начальная скорость инфузии - 30 кап/мин (1.65 мл/мин), через 10 мин скорость увеличивают до 40 кап/мин (2.2 мл/мин).</w:t>
      </w:r>
    </w:p>
    <w:p w14:paraId="2048E524" w14:textId="77777777" w:rsidR="0075793D" w:rsidRPr="00BA4F0F" w:rsidRDefault="0075793D" w:rsidP="0075793D">
      <w:pPr>
        <w:rPr>
          <w:rFonts w:cs="Times New Roman"/>
          <w:b/>
          <w:szCs w:val="24"/>
          <w:highlight w:val="green"/>
        </w:rPr>
      </w:pPr>
    </w:p>
    <w:p w14:paraId="278B4B6E" w14:textId="77777777" w:rsidR="0075793D" w:rsidRPr="00BA4F0F" w:rsidRDefault="0075793D" w:rsidP="0075793D">
      <w:pPr>
        <w:rPr>
          <w:rFonts w:cs="Times New Roman"/>
          <w:b/>
          <w:szCs w:val="24"/>
        </w:rPr>
      </w:pPr>
      <w:r w:rsidRPr="00BA4F0F">
        <w:rPr>
          <w:rFonts w:cs="Times New Roman"/>
          <w:b/>
          <w:szCs w:val="24"/>
        </w:rPr>
        <w:t xml:space="preserve"> </w:t>
      </w:r>
      <w:bookmarkStart w:id="152" w:name="_Toc44926639"/>
      <w:r w:rsidRPr="00BA4F0F">
        <w:rPr>
          <w:rFonts w:cs="Times New Roman"/>
          <w:b/>
          <w:szCs w:val="24"/>
        </w:rPr>
        <w:t>Трансфузионная терапия</w:t>
      </w:r>
      <w:bookmarkEnd w:id="152"/>
    </w:p>
    <w:p w14:paraId="25D97B07" w14:textId="77777777" w:rsidR="0075793D" w:rsidRPr="00BA4F0F" w:rsidRDefault="0075793D" w:rsidP="0075793D">
      <w:pPr>
        <w:rPr>
          <w:rFonts w:eastAsia="Calibri" w:cs="Times New Roman"/>
          <w:szCs w:val="24"/>
        </w:rPr>
      </w:pPr>
      <w:r w:rsidRPr="00BA4F0F">
        <w:rPr>
          <w:rFonts w:eastAsia="Calibri" w:cs="Times New Roman"/>
          <w:szCs w:val="24"/>
        </w:rPr>
        <w:t>В ранний пострансплантационный период в связи с развитием анемии, тромбоцитопении, геморрагического синдрома пациентам требуется заместительная терапия компонентами крови. Чаще всего используются эритроцитная масса, тромбоконцентрат, СЗП</w:t>
      </w:r>
    </w:p>
    <w:p w14:paraId="23517AA2" w14:textId="77777777" w:rsidR="0075793D" w:rsidRPr="00BA4F0F" w:rsidRDefault="0075793D" w:rsidP="0075793D">
      <w:pPr>
        <w:rPr>
          <w:rFonts w:eastAsia="Calibri" w:cs="Times New Roman"/>
          <w:szCs w:val="24"/>
        </w:rPr>
      </w:pPr>
      <w:r w:rsidRPr="00BA4F0F">
        <w:rPr>
          <w:rFonts w:eastAsia="Calibri" w:cs="Times New Roman"/>
          <w:szCs w:val="24"/>
        </w:rPr>
        <w:t>Показания к переливанию эритроцитсодержащих сред при ауто-ТГСК:</w:t>
      </w:r>
    </w:p>
    <w:p w14:paraId="07DA7072" w14:textId="77777777" w:rsidR="0075793D" w:rsidRPr="00BA4F0F" w:rsidRDefault="0075793D" w:rsidP="005E0272">
      <w:pPr>
        <w:numPr>
          <w:ilvl w:val="0"/>
          <w:numId w:val="237"/>
        </w:numPr>
        <w:ind w:left="0" w:firstLine="709"/>
        <w:contextualSpacing/>
        <w:rPr>
          <w:rFonts w:eastAsia="Calibri" w:cs="Times New Roman"/>
          <w:szCs w:val="24"/>
        </w:rPr>
      </w:pPr>
      <w:r w:rsidRPr="00BA4F0F">
        <w:rPr>
          <w:rFonts w:eastAsia="Calibri" w:cs="Times New Roman"/>
          <w:szCs w:val="24"/>
        </w:rPr>
        <w:t>Пациентам при значимом снижении гемоглобина и наличии анемических жалоб рекомендованы заместительные трансфузии эритроцитов;</w:t>
      </w:r>
    </w:p>
    <w:p w14:paraId="621885DA" w14:textId="77777777" w:rsidR="0075793D" w:rsidRPr="00BA4F0F" w:rsidRDefault="0075793D" w:rsidP="005E0272">
      <w:pPr>
        <w:numPr>
          <w:ilvl w:val="0"/>
          <w:numId w:val="237"/>
        </w:numPr>
        <w:ind w:left="0" w:firstLine="709"/>
        <w:contextualSpacing/>
        <w:rPr>
          <w:rFonts w:eastAsia="Calibri" w:cs="Times New Roman"/>
          <w:szCs w:val="24"/>
        </w:rPr>
      </w:pPr>
      <w:r w:rsidRPr="00BA4F0F">
        <w:rPr>
          <w:rFonts w:eastAsia="Calibri" w:cs="Times New Roman"/>
          <w:szCs w:val="24"/>
        </w:rPr>
        <w:t>При активном кровотечении трансфузии эритроцитов показаны при уровне гемоглобина менее 70-90 г/л;</w:t>
      </w:r>
    </w:p>
    <w:p w14:paraId="61D3DE20" w14:textId="77777777" w:rsidR="0075793D" w:rsidRPr="00BA4F0F" w:rsidRDefault="0075793D" w:rsidP="005E0272">
      <w:pPr>
        <w:numPr>
          <w:ilvl w:val="0"/>
          <w:numId w:val="237"/>
        </w:numPr>
        <w:ind w:left="0" w:firstLine="709"/>
        <w:contextualSpacing/>
        <w:rPr>
          <w:rFonts w:eastAsia="Calibri" w:cs="Times New Roman"/>
          <w:szCs w:val="24"/>
        </w:rPr>
      </w:pPr>
      <w:r w:rsidRPr="00BA4F0F">
        <w:rPr>
          <w:rFonts w:eastAsia="Calibri" w:cs="Times New Roman"/>
          <w:szCs w:val="24"/>
        </w:rPr>
        <w:t>Пациентам с тяжелыми инфекционными осложнениями (сепсис, пневмония), кардиопатиями (ИБС, миокардит), субарахноидальным кровоизлиянием,  больным старше 60 лет трансфузии эритроцитов рекомендованы при уровне гемоглобина менее 100 г/л;</w:t>
      </w:r>
    </w:p>
    <w:p w14:paraId="17FD5AFA" w14:textId="77777777" w:rsidR="0075793D" w:rsidRPr="00BA4F0F" w:rsidRDefault="0075793D" w:rsidP="005E0272">
      <w:pPr>
        <w:numPr>
          <w:ilvl w:val="0"/>
          <w:numId w:val="237"/>
        </w:numPr>
        <w:ind w:left="0" w:firstLine="709"/>
        <w:contextualSpacing/>
        <w:rPr>
          <w:rFonts w:eastAsia="Calibri" w:cs="Times New Roman"/>
          <w:szCs w:val="24"/>
        </w:rPr>
      </w:pPr>
      <w:r w:rsidRPr="00BA4F0F">
        <w:rPr>
          <w:rFonts w:eastAsia="Calibri" w:cs="Times New Roman"/>
          <w:szCs w:val="24"/>
        </w:rPr>
        <w:t>Пациентам с хронической анемией трансфузии эритроцитов рекомендованы при уровне гемоглобина менее 60 г/л</w:t>
      </w:r>
    </w:p>
    <w:p w14:paraId="6D97EB21" w14:textId="77777777" w:rsidR="0075793D" w:rsidRPr="00BA4F0F" w:rsidRDefault="0075793D" w:rsidP="0075793D">
      <w:pPr>
        <w:rPr>
          <w:rFonts w:eastAsia="Calibri" w:cs="Times New Roman"/>
          <w:szCs w:val="24"/>
        </w:rPr>
      </w:pPr>
      <w:r w:rsidRPr="00BA4F0F">
        <w:rPr>
          <w:rFonts w:eastAsia="Calibri" w:cs="Times New Roman"/>
          <w:szCs w:val="24"/>
        </w:rPr>
        <w:t>Показания к переливанию концентратата тромбоцитов при ауто-ТГСК:</w:t>
      </w:r>
    </w:p>
    <w:p w14:paraId="782447AC" w14:textId="77777777" w:rsidR="0075793D" w:rsidRPr="00BA4F0F" w:rsidRDefault="0075793D" w:rsidP="005E0272">
      <w:pPr>
        <w:numPr>
          <w:ilvl w:val="0"/>
          <w:numId w:val="238"/>
        </w:numPr>
        <w:ind w:left="0" w:firstLine="709"/>
        <w:contextualSpacing/>
        <w:rPr>
          <w:rFonts w:eastAsia="Calibri" w:cs="Times New Roman"/>
          <w:szCs w:val="24"/>
        </w:rPr>
      </w:pPr>
      <w:r w:rsidRPr="00BA4F0F">
        <w:rPr>
          <w:rFonts w:eastAsia="Calibri" w:cs="Times New Roman"/>
          <w:szCs w:val="24"/>
        </w:rPr>
        <w:t>Снижение тромбоцитов крови менее 20 ×10</w:t>
      </w:r>
      <w:r w:rsidRPr="00BA4F0F">
        <w:rPr>
          <w:rFonts w:eastAsia="Calibri" w:cs="Times New Roman"/>
          <w:szCs w:val="24"/>
          <w:vertAlign w:val="superscript"/>
        </w:rPr>
        <w:t>9</w:t>
      </w:r>
      <w:r w:rsidRPr="00BA4F0F">
        <w:rPr>
          <w:rFonts w:eastAsia="Calibri" w:cs="Times New Roman"/>
          <w:szCs w:val="24"/>
        </w:rPr>
        <w:t>/л</w:t>
      </w:r>
    </w:p>
    <w:p w14:paraId="22DE86E6" w14:textId="77777777" w:rsidR="0075793D" w:rsidRPr="00BA4F0F" w:rsidRDefault="0075793D" w:rsidP="005E0272">
      <w:pPr>
        <w:numPr>
          <w:ilvl w:val="0"/>
          <w:numId w:val="238"/>
        </w:numPr>
        <w:ind w:left="0" w:firstLine="709"/>
        <w:contextualSpacing/>
        <w:rPr>
          <w:rFonts w:eastAsia="Calibri" w:cs="Times New Roman"/>
          <w:szCs w:val="24"/>
        </w:rPr>
      </w:pPr>
      <w:r w:rsidRPr="00BA4F0F">
        <w:rPr>
          <w:rFonts w:eastAsia="Calibri" w:cs="Times New Roman"/>
          <w:szCs w:val="24"/>
        </w:rPr>
        <w:t>При необходимости выполнения диагностической люмбальной пункции, малоинвазивного вмешательства (эзофагогастродуоденоскопия, бронхоскопия) трансфузия тромбоконцентрата показана при снижении тромбоцитов крови менее 50 ×10</w:t>
      </w:r>
      <w:r w:rsidRPr="00BA4F0F">
        <w:rPr>
          <w:rFonts w:eastAsia="Calibri" w:cs="Times New Roman"/>
          <w:szCs w:val="24"/>
          <w:vertAlign w:val="superscript"/>
        </w:rPr>
        <w:t>9</w:t>
      </w:r>
      <w:r w:rsidRPr="00BA4F0F">
        <w:rPr>
          <w:rFonts w:eastAsia="Calibri" w:cs="Times New Roman"/>
          <w:szCs w:val="24"/>
        </w:rPr>
        <w:t>/л</w:t>
      </w:r>
    </w:p>
    <w:p w14:paraId="4DE9F14F" w14:textId="77777777" w:rsidR="0075793D" w:rsidRPr="00BA4F0F" w:rsidRDefault="0075793D" w:rsidP="005E0272">
      <w:pPr>
        <w:numPr>
          <w:ilvl w:val="0"/>
          <w:numId w:val="238"/>
        </w:numPr>
        <w:ind w:left="0" w:firstLine="709"/>
        <w:contextualSpacing/>
        <w:rPr>
          <w:rFonts w:eastAsia="Calibri" w:cs="Times New Roman"/>
          <w:szCs w:val="24"/>
        </w:rPr>
      </w:pPr>
      <w:r w:rsidRPr="00BA4F0F">
        <w:rPr>
          <w:rFonts w:eastAsia="Calibri" w:cs="Times New Roman"/>
          <w:szCs w:val="24"/>
        </w:rPr>
        <w:t>Наличие геморрагического синдрома – прямое показание к переливанию тромбоконцентрата независимо от лабораторных показателей;</w:t>
      </w:r>
    </w:p>
    <w:p w14:paraId="22DB2FAE" w14:textId="77777777" w:rsidR="0075793D" w:rsidRPr="00BA4F0F" w:rsidRDefault="0075793D" w:rsidP="0075793D">
      <w:pPr>
        <w:rPr>
          <w:rFonts w:eastAsia="Calibri" w:cs="Times New Roman"/>
          <w:szCs w:val="24"/>
        </w:rPr>
      </w:pPr>
      <w:r w:rsidRPr="00BA4F0F">
        <w:rPr>
          <w:rFonts w:eastAsia="Calibri" w:cs="Times New Roman"/>
          <w:szCs w:val="24"/>
        </w:rPr>
        <w:t xml:space="preserve">СЗП является универсальным препаратом для восполнения дефицита факторов свертывания. Показания к применению СЗП при ауто-ТГСК: </w:t>
      </w:r>
    </w:p>
    <w:p w14:paraId="4DC0E0BB" w14:textId="77777777" w:rsidR="0075793D" w:rsidRPr="00BA4F0F" w:rsidRDefault="0075793D" w:rsidP="005E0272">
      <w:pPr>
        <w:numPr>
          <w:ilvl w:val="0"/>
          <w:numId w:val="239"/>
        </w:numPr>
        <w:ind w:left="0" w:firstLine="709"/>
        <w:contextualSpacing/>
        <w:rPr>
          <w:rFonts w:eastAsia="Calibri" w:cs="Times New Roman"/>
          <w:szCs w:val="24"/>
        </w:rPr>
      </w:pPr>
      <w:r w:rsidRPr="00BA4F0F">
        <w:rPr>
          <w:rFonts w:eastAsia="Calibri" w:cs="Times New Roman"/>
          <w:szCs w:val="24"/>
        </w:rPr>
        <w:t>Коррекция дефицита известного фактора свертывания, при отсутствии специфического концентрата фактора. Требуется переливание СЗП из расчета 10-15 мл/кг.</w:t>
      </w:r>
    </w:p>
    <w:p w14:paraId="7B7A3A73" w14:textId="77777777" w:rsidR="0075793D" w:rsidRPr="00BA4F0F" w:rsidRDefault="0075793D" w:rsidP="005E0272">
      <w:pPr>
        <w:numPr>
          <w:ilvl w:val="0"/>
          <w:numId w:val="239"/>
        </w:numPr>
        <w:ind w:left="0" w:firstLine="709"/>
        <w:contextualSpacing/>
        <w:rPr>
          <w:rFonts w:eastAsia="Calibri" w:cs="Times New Roman"/>
          <w:szCs w:val="24"/>
        </w:rPr>
      </w:pPr>
      <w:r w:rsidRPr="00BA4F0F">
        <w:rPr>
          <w:rFonts w:eastAsia="Calibri" w:cs="Times New Roman"/>
          <w:szCs w:val="24"/>
        </w:rPr>
        <w:t>Коррекция геморрагического синдрома</w:t>
      </w:r>
    </w:p>
    <w:p w14:paraId="1B2149C9" w14:textId="77777777" w:rsidR="0075793D" w:rsidRPr="00BA4F0F" w:rsidRDefault="0075793D" w:rsidP="0075793D">
      <w:pPr>
        <w:rPr>
          <w:rFonts w:eastAsia="Calibri" w:cs="Times New Roman"/>
          <w:szCs w:val="24"/>
        </w:rPr>
      </w:pPr>
      <w:r w:rsidRPr="00BA4F0F">
        <w:rPr>
          <w:rFonts w:eastAsia="Calibri" w:cs="Times New Roman"/>
          <w:szCs w:val="24"/>
        </w:rPr>
        <w:t xml:space="preserve">Основным показанием к применению криопреципитата при ауто-ТГСК является гипофибриногенемия (фибриноген менее 1 г/л). </w:t>
      </w:r>
    </w:p>
    <w:p w14:paraId="67186F2C" w14:textId="77777777" w:rsidR="0075793D" w:rsidRPr="00BA4F0F" w:rsidRDefault="0075793D" w:rsidP="0075793D">
      <w:pPr>
        <w:rPr>
          <w:rFonts w:eastAsia="Calibri" w:cs="Times New Roman"/>
          <w:szCs w:val="24"/>
        </w:rPr>
      </w:pPr>
      <w:r w:rsidRPr="00BA4F0F">
        <w:rPr>
          <w:rFonts w:eastAsia="Calibri" w:cs="Times New Roman"/>
          <w:szCs w:val="24"/>
        </w:rPr>
        <w:t>Принимая во внимание, что пациенты с онкогематологическими заболеваниями нуждаются в многократных трансфузиях компонентов крови, с целью профилактики нежелательных реакций и посттрансфузионных осложнений рекомендовано использование компонентов крови со следующими характеристиками:</w:t>
      </w:r>
    </w:p>
    <w:p w14:paraId="2F6DCBF1" w14:textId="77777777" w:rsidR="0075793D" w:rsidRPr="00BA4F0F" w:rsidRDefault="0075793D" w:rsidP="005E0272">
      <w:pPr>
        <w:numPr>
          <w:ilvl w:val="0"/>
          <w:numId w:val="240"/>
        </w:numPr>
        <w:ind w:left="0" w:firstLine="709"/>
        <w:contextualSpacing/>
        <w:rPr>
          <w:rFonts w:eastAsia="Calibri" w:cs="Times New Roman"/>
          <w:szCs w:val="24"/>
        </w:rPr>
      </w:pPr>
      <w:r w:rsidRPr="00BA4F0F">
        <w:rPr>
          <w:rFonts w:eastAsia="Calibri" w:cs="Times New Roman"/>
          <w:szCs w:val="24"/>
        </w:rPr>
        <w:t>Лейкоредуциорванные среды;</w:t>
      </w:r>
    </w:p>
    <w:p w14:paraId="2235B80A" w14:textId="77777777" w:rsidR="0075793D" w:rsidRPr="00BA4F0F" w:rsidRDefault="0075793D" w:rsidP="005E0272">
      <w:pPr>
        <w:numPr>
          <w:ilvl w:val="0"/>
          <w:numId w:val="240"/>
        </w:numPr>
        <w:ind w:left="0" w:firstLine="709"/>
        <w:contextualSpacing/>
        <w:rPr>
          <w:rFonts w:eastAsia="Calibri" w:cs="Times New Roman"/>
          <w:szCs w:val="24"/>
        </w:rPr>
      </w:pPr>
      <w:r w:rsidRPr="00BA4F0F">
        <w:rPr>
          <w:rFonts w:eastAsia="Calibri" w:cs="Times New Roman"/>
          <w:szCs w:val="24"/>
        </w:rPr>
        <w:t>Облученные эритроциты и тромбоциты (гамма-излучение или рентгеновское излучение в дозе 25-50 Гр)</w:t>
      </w:r>
    </w:p>
    <w:p w14:paraId="01E22929" w14:textId="77777777" w:rsidR="0075793D" w:rsidRPr="00BA4F0F" w:rsidRDefault="0075793D" w:rsidP="005E0272">
      <w:pPr>
        <w:numPr>
          <w:ilvl w:val="0"/>
          <w:numId w:val="240"/>
        </w:numPr>
        <w:ind w:left="0" w:firstLine="709"/>
        <w:contextualSpacing/>
        <w:rPr>
          <w:rFonts w:eastAsia="Calibri" w:cs="Times New Roman"/>
          <w:szCs w:val="24"/>
        </w:rPr>
      </w:pPr>
      <w:r w:rsidRPr="00BA4F0F">
        <w:rPr>
          <w:rFonts w:eastAsia="Calibri" w:cs="Times New Roman"/>
          <w:szCs w:val="24"/>
        </w:rPr>
        <w:t>Проведение инактивации патогенов в концентрате тромбоцитов.</w:t>
      </w:r>
    </w:p>
    <w:p w14:paraId="5C51AEFC" w14:textId="77777777" w:rsidR="0075793D" w:rsidRPr="00BA4F0F" w:rsidRDefault="0075793D" w:rsidP="0075793D">
      <w:pPr>
        <w:rPr>
          <w:rFonts w:cs="Times New Roman"/>
          <w:b/>
          <w:szCs w:val="24"/>
          <w:highlight w:val="green"/>
        </w:rPr>
      </w:pPr>
    </w:p>
    <w:p w14:paraId="44B2D004" w14:textId="77777777" w:rsidR="0075793D" w:rsidRPr="00BA4F0F" w:rsidRDefault="0075793D" w:rsidP="0075793D">
      <w:pPr>
        <w:rPr>
          <w:rFonts w:cs="Times New Roman"/>
          <w:b/>
          <w:szCs w:val="24"/>
        </w:rPr>
      </w:pPr>
      <w:r w:rsidRPr="00BA4F0F">
        <w:rPr>
          <w:rFonts w:cs="Times New Roman"/>
          <w:b/>
          <w:szCs w:val="24"/>
        </w:rPr>
        <w:t xml:space="preserve"> </w:t>
      </w:r>
      <w:bookmarkStart w:id="153" w:name="_Toc44926640"/>
      <w:r w:rsidRPr="00BA4F0F">
        <w:rPr>
          <w:rFonts w:cs="Times New Roman"/>
          <w:b/>
          <w:szCs w:val="24"/>
        </w:rPr>
        <w:t>Лабораторный и инструментальный мониторинг в раннем посттрансплантационном периоде</w:t>
      </w:r>
      <w:bookmarkEnd w:id="153"/>
    </w:p>
    <w:p w14:paraId="1AE30B76" w14:textId="77777777" w:rsidR="0075793D" w:rsidRPr="00BA4F0F" w:rsidRDefault="0075793D" w:rsidP="0075793D">
      <w:pPr>
        <w:contextualSpacing/>
        <w:rPr>
          <w:rFonts w:eastAsia="Calibri" w:cs="Times New Roman"/>
          <w:szCs w:val="24"/>
        </w:rPr>
      </w:pPr>
      <w:r w:rsidRPr="00BA4F0F">
        <w:rPr>
          <w:rFonts w:eastAsia="Calibri" w:cs="Times New Roman"/>
          <w:szCs w:val="24"/>
        </w:rPr>
        <w:t xml:space="preserve">Всем пациентам в раннем посттрансплантационном периоде проводится регулярное исследование общего анализа крови (с целью коррекции анемии и тромбоцитопении), биохимических параметров (с целью коррекции электролитов, гипоальбуминемии), показателей коагулограммы с целью контроля гемостаза, общий анализ мочи, электрокардиограмма и др. методы исследования при необходимости, включая КТ легких, МРТ головного мозга, ХОЛТЕР-ЭКГ. </w:t>
      </w:r>
    </w:p>
    <w:p w14:paraId="133B77D3" w14:textId="77777777" w:rsidR="0075793D" w:rsidRPr="00BA4F0F" w:rsidRDefault="0075793D" w:rsidP="0075793D">
      <w:pPr>
        <w:contextualSpacing/>
        <w:rPr>
          <w:rFonts w:eastAsia="Calibri" w:cs="Times New Roman"/>
          <w:szCs w:val="24"/>
        </w:rPr>
      </w:pPr>
      <w:r w:rsidRPr="00BA4F0F">
        <w:rPr>
          <w:rFonts w:eastAsia="Calibri" w:cs="Times New Roman"/>
          <w:szCs w:val="24"/>
        </w:rPr>
        <w:t>Частота исследования данных показателей может изменяться в зависимости от конкретной клинической ситуации.</w:t>
      </w:r>
    </w:p>
    <w:p w14:paraId="6B7097D7" w14:textId="4B035D84" w:rsidR="0075793D" w:rsidRPr="00767A1C" w:rsidRDefault="0075793D" w:rsidP="005E0272">
      <w:pPr>
        <w:pStyle w:val="afe"/>
        <w:numPr>
          <w:ilvl w:val="0"/>
          <w:numId w:val="243"/>
        </w:numPr>
        <w:rPr>
          <w:rFonts w:eastAsia="Calibri" w:cs="Times New Roman"/>
          <w:szCs w:val="24"/>
        </w:rPr>
      </w:pPr>
      <w:r w:rsidRPr="00767A1C">
        <w:rPr>
          <w:rFonts w:eastAsia="Calibri" w:cs="Times New Roman"/>
          <w:szCs w:val="24"/>
        </w:rPr>
        <w:t>Общий анализ крови 1 раз в 2–3 дня.</w:t>
      </w:r>
    </w:p>
    <w:p w14:paraId="597E0A2A" w14:textId="5DED5BA9" w:rsidR="0075793D" w:rsidRPr="00767A1C" w:rsidRDefault="0075793D" w:rsidP="005E0272">
      <w:pPr>
        <w:pStyle w:val="afe"/>
        <w:numPr>
          <w:ilvl w:val="0"/>
          <w:numId w:val="243"/>
        </w:numPr>
        <w:rPr>
          <w:rFonts w:eastAsia="Calibri" w:cs="Times New Roman"/>
          <w:szCs w:val="24"/>
        </w:rPr>
      </w:pPr>
      <w:r w:rsidRPr="00767A1C">
        <w:rPr>
          <w:rFonts w:eastAsia="Calibri" w:cs="Times New Roman"/>
          <w:szCs w:val="24"/>
        </w:rPr>
        <w:t>Биохимический анализ крови 1 раз в 2–3 дня.</w:t>
      </w:r>
    </w:p>
    <w:p w14:paraId="5358DF39" w14:textId="6FDE709D" w:rsidR="0075793D" w:rsidRPr="00767A1C" w:rsidRDefault="0075793D" w:rsidP="005E0272">
      <w:pPr>
        <w:pStyle w:val="afe"/>
        <w:numPr>
          <w:ilvl w:val="0"/>
          <w:numId w:val="243"/>
        </w:numPr>
        <w:rPr>
          <w:rFonts w:eastAsia="Calibri" w:cs="Times New Roman"/>
          <w:szCs w:val="24"/>
        </w:rPr>
      </w:pPr>
      <w:r w:rsidRPr="00767A1C">
        <w:rPr>
          <w:rFonts w:eastAsia="Calibri" w:cs="Times New Roman"/>
          <w:szCs w:val="24"/>
        </w:rPr>
        <w:t>Коагулограмма 1 раз в 3–4 дня.</w:t>
      </w:r>
    </w:p>
    <w:p w14:paraId="1378721D" w14:textId="4F040687" w:rsidR="0075793D" w:rsidRPr="00767A1C" w:rsidRDefault="0075793D" w:rsidP="005E0272">
      <w:pPr>
        <w:pStyle w:val="afe"/>
        <w:numPr>
          <w:ilvl w:val="0"/>
          <w:numId w:val="243"/>
        </w:numPr>
        <w:rPr>
          <w:rFonts w:eastAsia="Calibri" w:cs="Times New Roman"/>
          <w:szCs w:val="24"/>
        </w:rPr>
      </w:pPr>
      <w:r w:rsidRPr="00767A1C">
        <w:rPr>
          <w:rFonts w:eastAsia="Calibri" w:cs="Times New Roman"/>
          <w:szCs w:val="24"/>
        </w:rPr>
        <w:t>Глюкоза крови 1 раз в 3–4 дня.</w:t>
      </w:r>
    </w:p>
    <w:p w14:paraId="0EBE854D" w14:textId="237C8164" w:rsidR="0075793D" w:rsidRPr="00767A1C" w:rsidRDefault="0075793D" w:rsidP="005E0272">
      <w:pPr>
        <w:pStyle w:val="afe"/>
        <w:numPr>
          <w:ilvl w:val="0"/>
          <w:numId w:val="243"/>
        </w:numPr>
        <w:rPr>
          <w:rFonts w:eastAsia="Calibri" w:cs="Times New Roman"/>
          <w:szCs w:val="24"/>
        </w:rPr>
      </w:pPr>
      <w:r w:rsidRPr="00767A1C">
        <w:rPr>
          <w:rFonts w:eastAsia="Calibri" w:cs="Times New Roman"/>
          <w:szCs w:val="24"/>
        </w:rPr>
        <w:t>Общий анализ мочи - еженедельно.</w:t>
      </w:r>
    </w:p>
    <w:p w14:paraId="3E0C8861" w14:textId="5A9ACF06" w:rsidR="0075793D" w:rsidRPr="00767A1C" w:rsidRDefault="0075793D" w:rsidP="005E0272">
      <w:pPr>
        <w:pStyle w:val="afe"/>
        <w:numPr>
          <w:ilvl w:val="0"/>
          <w:numId w:val="243"/>
        </w:numPr>
        <w:rPr>
          <w:rFonts w:eastAsia="Calibri" w:cs="Times New Roman"/>
          <w:szCs w:val="24"/>
        </w:rPr>
      </w:pPr>
      <w:r w:rsidRPr="00767A1C">
        <w:rPr>
          <w:rFonts w:eastAsia="Calibri" w:cs="Times New Roman"/>
          <w:szCs w:val="24"/>
        </w:rPr>
        <w:t>Электрокардиограмма - еженедельно.</w:t>
      </w:r>
    </w:p>
    <w:p w14:paraId="01D8CDEE" w14:textId="77777777" w:rsidR="0075793D" w:rsidRPr="00BA4F0F" w:rsidRDefault="0075793D" w:rsidP="0075793D">
      <w:pPr>
        <w:rPr>
          <w:rFonts w:cs="Times New Roman"/>
          <w:b/>
          <w:szCs w:val="24"/>
          <w:highlight w:val="green"/>
        </w:rPr>
      </w:pPr>
      <w:bookmarkStart w:id="154" w:name="_Toc44926641"/>
    </w:p>
    <w:p w14:paraId="7560CB05" w14:textId="77777777" w:rsidR="0075793D" w:rsidRPr="00BA4F0F" w:rsidRDefault="0075793D" w:rsidP="0075793D">
      <w:pPr>
        <w:rPr>
          <w:rFonts w:cs="Times New Roman"/>
          <w:b/>
          <w:szCs w:val="24"/>
        </w:rPr>
      </w:pPr>
      <w:r w:rsidRPr="00BA4F0F">
        <w:rPr>
          <w:rFonts w:cs="Times New Roman"/>
          <w:b/>
          <w:szCs w:val="24"/>
        </w:rPr>
        <w:t>Нутритивная терапия</w:t>
      </w:r>
      <w:bookmarkEnd w:id="154"/>
    </w:p>
    <w:p w14:paraId="1D597B6D" w14:textId="77777777" w:rsidR="0075793D" w:rsidRPr="00BA4F0F" w:rsidRDefault="0075793D" w:rsidP="0075793D">
      <w:pPr>
        <w:ind w:firstLine="851"/>
        <w:rPr>
          <w:rFonts w:cs="Times New Roman"/>
          <w:szCs w:val="24"/>
        </w:rPr>
      </w:pPr>
      <w:r w:rsidRPr="00BA4F0F">
        <w:rPr>
          <w:rFonts w:cs="Times New Roman"/>
          <w:szCs w:val="24"/>
        </w:rPr>
        <w:t>Высокодозная химиотерапия с последующей ауто-ТГСК, длительный период гранулоцитопении, инфекционные осложнения, продолжительный период нахождения в стационаре – основные причины, приводящие к снижению поступления питательных веществ в организм и как следствие общей слабости, снижению физической активности, значимому уменьшению массы тела.</w:t>
      </w:r>
    </w:p>
    <w:p w14:paraId="0CE0D1B4" w14:textId="3642A69E" w:rsidR="0075793D" w:rsidRPr="00BA4F0F" w:rsidRDefault="0075793D" w:rsidP="0075793D">
      <w:pPr>
        <w:ind w:firstLine="851"/>
        <w:rPr>
          <w:rFonts w:cs="Times New Roman"/>
          <w:szCs w:val="24"/>
        </w:rPr>
      </w:pPr>
      <w:r w:rsidRPr="00BA4F0F">
        <w:rPr>
          <w:rFonts w:cs="Times New Roman"/>
          <w:szCs w:val="24"/>
        </w:rPr>
        <w:t xml:space="preserve">Недостаточным следует считать питание, при котором пациент не может сам обеспечить поступление более чем 60% от своих энергетических потребностей в течение 1–2 недель </w:t>
      </w:r>
      <w:r w:rsidRPr="00BA4F0F">
        <w:rPr>
          <w:rFonts w:cs="Times New Roman"/>
          <w:szCs w:val="24"/>
        </w:rPr>
        <w:fldChar w:fldCharType="begin" w:fldLock="1"/>
      </w:r>
      <w:r w:rsidR="004810E5">
        <w:rPr>
          <w:rFonts w:cs="Times New Roman"/>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d1a841f7-cf41-3658-b869-ec5c58850b6d","http://www.mendeley.com/documents/?uuid=b7d0213d-9037-458b-9137-8ba92417f389","http://www.mendeley.com/documents/?uuid=09a52a75-b0e4-4371-af21-5958257d9c6b","http://www.mendeley.com/documents/?uuid=a93dd076-f883-470f-9078-09d5bea12d18","http://www.mendeley.com/documents/?uuid=260337e2-8643-4a98-b22a-51f427e64df0","http://www.mendeley.com/documents/?uuid=d8f4044a-9d39-4071-8266-cbd0ae05b0d9","http://www.mendeley.com/documents/?uuid=a6673349-099e-4c86-922d-b6b69b73ee38"]},{"id":"ITEM-2","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Oncology","id":"ITEM-2","issue":"5","issued":{"date-parts":[["2018","5"]]},"page":"619-629","publisher":"Springer-Verlag Italia s.r.l.","title":"Nutritional support and parenteral nutrition in cancer patients: an expert consensus report","type":"article-journal","volume":"20"},"uris":["http://www.mendeley.com/documents/?uuid=555471fe-b9e3-303f-adcc-eecf69d63698","http://www.mendeley.com/documents/?uuid=ed2f4812-c506-484a-afb7-1bb5dae57ffb","http://www.mendeley.com/documents/?uuid=ddeb6586-712b-4c69-81e8-8e7e497e2d57","http://www.mendeley.com/documents/?uuid=99911acc-feb8-4597-a8e1-899d1f00b719","http://www.mendeley.com/documents/?uuid=dc45015e-2bbd-4e0a-8302-25dcb06c3c4c","http://www.mendeley.com/documents/?uuid=4a1cad31-99e3-4cf2-93ad-17d966d60db9","http://www.mendeley.com/documents/?uuid=c83d4cd9-a0be-448a-84b5-000651ccfa6e"]}],"mendeley":{"formattedCitation":"[204,205]","plainTextFormattedCitation":"[204,205]","previouslyFormattedCitation":"[204,205]"},"properties":{"noteIndex":0},"schema":"https://github.com/citation-style-language/schema/raw/master/csl-citation.json"}</w:instrText>
      </w:r>
      <w:r w:rsidRPr="00BA4F0F">
        <w:rPr>
          <w:rFonts w:cs="Times New Roman"/>
          <w:szCs w:val="24"/>
        </w:rPr>
        <w:fldChar w:fldCharType="separate"/>
      </w:r>
      <w:r w:rsidR="004810E5" w:rsidRPr="004810E5">
        <w:rPr>
          <w:rFonts w:cs="Times New Roman"/>
          <w:noProof/>
          <w:szCs w:val="24"/>
        </w:rPr>
        <w:t>[204,205]</w:t>
      </w:r>
      <w:r w:rsidRPr="00BA4F0F">
        <w:rPr>
          <w:rFonts w:cs="Times New Roman"/>
          <w:szCs w:val="24"/>
        </w:rPr>
        <w:fldChar w:fldCharType="end"/>
      </w:r>
      <w:r w:rsidRPr="00BA4F0F">
        <w:rPr>
          <w:rFonts w:cs="Times New Roman"/>
          <w:szCs w:val="24"/>
        </w:rPr>
        <w:t>.</w:t>
      </w:r>
    </w:p>
    <w:p w14:paraId="27D99659" w14:textId="3DBB2A1B" w:rsidR="0075793D" w:rsidRPr="00BA4F0F" w:rsidRDefault="0075793D" w:rsidP="0075793D">
      <w:pPr>
        <w:ind w:firstLine="851"/>
        <w:rPr>
          <w:rFonts w:cs="Times New Roman"/>
          <w:szCs w:val="24"/>
        </w:rPr>
      </w:pPr>
      <w:r w:rsidRPr="00BA4F0F">
        <w:rPr>
          <w:rFonts w:cs="Times New Roman"/>
          <w:szCs w:val="24"/>
        </w:rPr>
        <w:t xml:space="preserve">По данным ESPEN от 46 до 88% больных онкологического профиля в процессе противоопухолевого лечения требуют дополнительной нутритивной поддержке </w:t>
      </w:r>
      <w:r w:rsidRPr="00BA4F0F">
        <w:rPr>
          <w:rFonts w:cs="Times New Roman"/>
          <w:szCs w:val="24"/>
        </w:rPr>
        <w:fldChar w:fldCharType="begin" w:fldLock="1"/>
      </w:r>
      <w:r w:rsidR="004810E5">
        <w:rPr>
          <w:rFonts w:cs="Times New Roman"/>
          <w:szCs w:val="24"/>
        </w:rPr>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id":"ITEM-2","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А.И.","non-dropping-particle":"","parse-names":false,"suffix":""}],"id":"ITEM-2","issued":{"date-parts":[["2014"]]},"title":"Клинические рекомендации по нутритивной поддержке при химиотерапии и/или лучевой терапии","type":"report"},"uris":["http://www.mendeley.com/documents/?uuid=fa470355-bcfd-3bef-a7a1-086215509c2d","http://www.mendeley.com/documents/?uuid=2da28a52-fa64-480f-9c45-312b59a7027b","http://www.mendeley.com/documents/?uuid=17acaf09-3d29-4b25-b43e-598e8835165d","http://www.mendeley.com/documents/?uuid=113bc17a-cb71-4ba2-afb9-083757d46c9b","http://www.mendeley.com/documents/?uuid=2db47854-c914-42bd-bd4d-a19b47e78e0d","http://www.mendeley.com/documents/?uuid=2475f28c-b7e0-408d-8d85-bd890e4862de","http://www.mendeley.com/documents/?uuid=59e000a3-48e0-4529-8954-5598c41cc72e"]}],"mendeley":{"formattedCitation":"[205,206]","plainTextFormattedCitation":"[205,206]","previouslyFormattedCitation":"[205,206]"},"properties":{"noteIndex":0},"schema":"https://github.com/citation-style-language/schema/raw/master/csl-citation.json"}</w:instrText>
      </w:r>
      <w:r w:rsidRPr="00BA4F0F">
        <w:rPr>
          <w:rFonts w:cs="Times New Roman"/>
          <w:szCs w:val="24"/>
        </w:rPr>
        <w:fldChar w:fldCharType="separate"/>
      </w:r>
      <w:r w:rsidR="004810E5" w:rsidRPr="004810E5">
        <w:rPr>
          <w:rFonts w:cs="Times New Roman"/>
          <w:noProof/>
          <w:szCs w:val="24"/>
        </w:rPr>
        <w:t>[205,206]</w:t>
      </w:r>
      <w:r w:rsidRPr="00BA4F0F">
        <w:rPr>
          <w:rFonts w:cs="Times New Roman"/>
          <w:szCs w:val="24"/>
        </w:rPr>
        <w:fldChar w:fldCharType="end"/>
      </w:r>
      <w:r w:rsidRPr="00BA4F0F">
        <w:rPr>
          <w:rFonts w:cs="Times New Roman"/>
          <w:szCs w:val="24"/>
        </w:rPr>
        <w:t>.</w:t>
      </w:r>
    </w:p>
    <w:p w14:paraId="61699166" w14:textId="2A39B06C" w:rsidR="0075793D" w:rsidRPr="00BA4F0F" w:rsidRDefault="0075793D" w:rsidP="0075793D">
      <w:pPr>
        <w:ind w:firstLine="851"/>
        <w:rPr>
          <w:rFonts w:cs="Times New Roman"/>
          <w:szCs w:val="24"/>
        </w:rPr>
      </w:pPr>
      <w:r w:rsidRPr="00BA4F0F">
        <w:rPr>
          <w:rFonts w:cs="Times New Roman"/>
          <w:szCs w:val="24"/>
        </w:rPr>
        <w:t xml:space="preserve">Нутритивная поддержка – это способ обеспечения полноценного питания больных с использованием специальных средств, максимально сбалансированных в количественном и качественном соотношении. Нутритивная поддержка необходима не только для поддержания метаболических резервов организма, но и для повышения его устойчивости к проводимой терапии </w:t>
      </w:r>
      <w:r w:rsidRPr="00BA4F0F">
        <w:rPr>
          <w:rFonts w:cs="Times New Roman"/>
          <w:szCs w:val="24"/>
        </w:rPr>
        <w:fldChar w:fldCharType="begin" w:fldLock="1"/>
      </w:r>
      <w:r w:rsidR="004810E5">
        <w:rPr>
          <w:rFonts w:cs="Times New Roman"/>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Nutrition","id":"ITEM-2","issue":"1","issued":{"date-parts":[["2017"]]},"page":"11-48","publisher":"Churchill Livingstone","title":"ESPEN guidelines on nutrition in cancer patients","type":"article-journal","volume":"36"},"uris":["http://www.mendeley.com/documents/?uuid=2586b0c4-9eb6-4463-a0ba-87fe84fbad8f"]}],"mendeley":{"formattedCitation":"[204,207]","plainTextFormattedCitation":"[204,207]","previouslyFormattedCitation":"[204,207]"},"properties":{"noteIndex":0},"schema":"https://github.com/citation-style-language/schema/raw/master/csl-citation.json"}</w:instrText>
      </w:r>
      <w:r w:rsidRPr="00BA4F0F">
        <w:rPr>
          <w:rFonts w:cs="Times New Roman"/>
          <w:szCs w:val="24"/>
        </w:rPr>
        <w:fldChar w:fldCharType="separate"/>
      </w:r>
      <w:r w:rsidR="004810E5" w:rsidRPr="004810E5">
        <w:rPr>
          <w:rFonts w:cs="Times New Roman"/>
          <w:noProof/>
          <w:szCs w:val="24"/>
        </w:rPr>
        <w:t>[204,207]</w:t>
      </w:r>
      <w:r w:rsidRPr="00BA4F0F">
        <w:rPr>
          <w:rFonts w:cs="Times New Roman"/>
          <w:szCs w:val="24"/>
        </w:rPr>
        <w:fldChar w:fldCharType="end"/>
      </w:r>
      <w:r w:rsidRPr="00BA4F0F">
        <w:rPr>
          <w:rFonts w:cs="Times New Roman"/>
          <w:szCs w:val="24"/>
        </w:rPr>
        <w:t>.</w:t>
      </w:r>
    </w:p>
    <w:p w14:paraId="29FBD152" w14:textId="77777777" w:rsidR="0075793D" w:rsidRPr="00BA4F0F" w:rsidRDefault="0075793D" w:rsidP="0075793D">
      <w:pPr>
        <w:rPr>
          <w:rFonts w:cs="Times New Roman"/>
          <w:szCs w:val="24"/>
          <w:u w:val="single"/>
        </w:rPr>
      </w:pPr>
    </w:p>
    <w:p w14:paraId="3C99F368" w14:textId="18D402A8" w:rsidR="0075793D" w:rsidRPr="00BA4F0F" w:rsidRDefault="0075793D" w:rsidP="0075793D">
      <w:pPr>
        <w:rPr>
          <w:rFonts w:cs="Times New Roman"/>
          <w:szCs w:val="24"/>
          <w:u w:val="single"/>
        </w:rPr>
      </w:pPr>
      <w:r w:rsidRPr="00BA4F0F">
        <w:rPr>
          <w:rFonts w:cs="Times New Roman"/>
          <w:szCs w:val="24"/>
          <w:u w:val="single"/>
        </w:rPr>
        <w:t>Цели нутритивной поддержки</w:t>
      </w:r>
      <w:r w:rsidRPr="00BA4F0F">
        <w:rPr>
          <w:rFonts w:cs="Times New Roman"/>
          <w:szCs w:val="24"/>
          <w:u w:val="single"/>
          <w:lang w:val="en-US"/>
        </w:rPr>
        <w:t xml:space="preserve"> </w:t>
      </w:r>
      <w:r w:rsidRPr="00BA4F0F">
        <w:rPr>
          <w:rFonts w:cs="Times New Roman"/>
          <w:szCs w:val="24"/>
        </w:rPr>
        <w:fldChar w:fldCharType="begin" w:fldLock="1"/>
      </w:r>
      <w:r w:rsidR="004810E5">
        <w:rPr>
          <w:rFonts w:cs="Times New Roman"/>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d1a841f7-cf41-3658-b869-ec5c58850b6d","http://www.mendeley.com/documents/?uuid=b7d0213d-9037-458b-9137-8ba92417f389","http://www.mendeley.com/documents/?uuid=09a52a75-b0e4-4371-af21-5958257d9c6b","http://www.mendeley.com/documents/?uuid=a93dd076-f883-470f-9078-09d5bea12d18","http://www.mendeley.com/documents/?uuid=260337e2-8643-4a98-b22a-51f427e64df0","http://www.mendeley.com/documents/?uuid=d8f4044a-9d39-4071-8266-cbd0ae05b0d9","http://www.mendeley.com/documents/?uuid=a6673349-099e-4c86-922d-b6b69b73ee38"]},{"id":"ITEM-2","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Oncology","id":"ITEM-2","issue":"5","issued":{"date-parts":[["2018","5"]]},"page":"619-629","publisher":"Springer-Verlag Italia s.r.l.","title":"Nutritional support and parenteral nutrition in cancer patients: an expert consensus report","type":"article-journal","volume":"20"},"uris":["http://www.mendeley.com/documents/?uuid=555471fe-b9e3-303f-adcc-eecf69d63698","http://www.mendeley.com/documents/?uuid=ed2f4812-c506-484a-afb7-1bb5dae57ffb","http://www.mendeley.com/documents/?uuid=ddeb6586-712b-4c69-81e8-8e7e497e2d57","http://www.mendeley.com/documents/?uuid=99911acc-feb8-4597-a8e1-899d1f00b719","http://www.mendeley.com/documents/?uuid=dc45015e-2bbd-4e0a-8302-25dcb06c3c4c","http://www.mendeley.com/documents/?uuid=4a1cad31-99e3-4cf2-93ad-17d966d60db9","http://www.mendeley.com/documents/?uuid=c83d4cd9-a0be-448a-84b5-000651ccfa6e"]}],"mendeley":{"formattedCitation":"[204,205]","plainTextFormattedCitation":"[204,205]","previouslyFormattedCitation":"[204,205]"},"properties":{"noteIndex":0},"schema":"https://github.com/citation-style-language/schema/raw/master/csl-citation.json"}</w:instrText>
      </w:r>
      <w:r w:rsidRPr="00BA4F0F">
        <w:rPr>
          <w:rFonts w:cs="Times New Roman"/>
          <w:szCs w:val="24"/>
        </w:rPr>
        <w:fldChar w:fldCharType="separate"/>
      </w:r>
      <w:r w:rsidR="004810E5" w:rsidRPr="004810E5">
        <w:rPr>
          <w:rFonts w:cs="Times New Roman"/>
          <w:noProof/>
          <w:szCs w:val="24"/>
        </w:rPr>
        <w:t>[204,205]</w:t>
      </w:r>
      <w:r w:rsidRPr="00BA4F0F">
        <w:rPr>
          <w:rFonts w:cs="Times New Roman"/>
          <w:szCs w:val="24"/>
        </w:rPr>
        <w:fldChar w:fldCharType="end"/>
      </w:r>
      <w:r w:rsidRPr="00BA4F0F">
        <w:rPr>
          <w:rFonts w:cs="Times New Roman"/>
          <w:szCs w:val="24"/>
          <w:u w:val="single"/>
        </w:rPr>
        <w:t xml:space="preserve">. </w:t>
      </w:r>
    </w:p>
    <w:p w14:paraId="791BB498" w14:textId="20131544" w:rsidR="0075793D" w:rsidRPr="00767A1C" w:rsidRDefault="0075793D" w:rsidP="005E0272">
      <w:pPr>
        <w:pStyle w:val="afe"/>
        <w:numPr>
          <w:ilvl w:val="0"/>
          <w:numId w:val="244"/>
        </w:numPr>
        <w:rPr>
          <w:rFonts w:cs="Times New Roman"/>
          <w:szCs w:val="24"/>
        </w:rPr>
      </w:pPr>
      <w:r w:rsidRPr="00767A1C">
        <w:rPr>
          <w:rFonts w:cs="Times New Roman"/>
          <w:szCs w:val="24"/>
        </w:rPr>
        <w:t>Поддержание оптимальной массы тела.</w:t>
      </w:r>
    </w:p>
    <w:p w14:paraId="36EC26ED" w14:textId="3A20E4C8" w:rsidR="0075793D" w:rsidRPr="00767A1C" w:rsidRDefault="0075793D" w:rsidP="005E0272">
      <w:pPr>
        <w:pStyle w:val="afe"/>
        <w:numPr>
          <w:ilvl w:val="0"/>
          <w:numId w:val="244"/>
        </w:numPr>
        <w:rPr>
          <w:rFonts w:cs="Times New Roman"/>
          <w:szCs w:val="24"/>
        </w:rPr>
      </w:pPr>
      <w:r w:rsidRPr="00767A1C">
        <w:rPr>
          <w:rFonts w:cs="Times New Roman"/>
          <w:szCs w:val="24"/>
        </w:rPr>
        <w:t>Предотвращение или коррекция дефицита макро- и микронутриентов.</w:t>
      </w:r>
    </w:p>
    <w:p w14:paraId="1C9E27BE" w14:textId="066D9CE0" w:rsidR="0075793D" w:rsidRPr="00767A1C" w:rsidRDefault="0075793D" w:rsidP="005E0272">
      <w:pPr>
        <w:pStyle w:val="afe"/>
        <w:numPr>
          <w:ilvl w:val="0"/>
          <w:numId w:val="244"/>
        </w:numPr>
        <w:rPr>
          <w:rFonts w:cs="Times New Roman"/>
          <w:szCs w:val="24"/>
        </w:rPr>
      </w:pPr>
      <w:r w:rsidRPr="00767A1C">
        <w:rPr>
          <w:rFonts w:cs="Times New Roman"/>
          <w:szCs w:val="24"/>
        </w:rPr>
        <w:t>Повышение переносимости высокодозной ХТ.</w:t>
      </w:r>
    </w:p>
    <w:p w14:paraId="7A676F19" w14:textId="3D08EFCF" w:rsidR="0075793D" w:rsidRPr="00767A1C" w:rsidRDefault="0075793D" w:rsidP="005E0272">
      <w:pPr>
        <w:pStyle w:val="afe"/>
        <w:numPr>
          <w:ilvl w:val="0"/>
          <w:numId w:val="244"/>
        </w:numPr>
        <w:rPr>
          <w:rFonts w:cs="Times New Roman"/>
          <w:szCs w:val="24"/>
        </w:rPr>
      </w:pPr>
      <w:r w:rsidRPr="00767A1C">
        <w:rPr>
          <w:rFonts w:cs="Times New Roman"/>
          <w:szCs w:val="24"/>
        </w:rPr>
        <w:t>Снижение выраженности побочных эффектов ХТ.</w:t>
      </w:r>
    </w:p>
    <w:p w14:paraId="6D1E126F" w14:textId="4B90B27A" w:rsidR="0075793D" w:rsidRPr="00767A1C" w:rsidRDefault="0075793D" w:rsidP="005E0272">
      <w:pPr>
        <w:pStyle w:val="afe"/>
        <w:numPr>
          <w:ilvl w:val="0"/>
          <w:numId w:val="244"/>
        </w:numPr>
        <w:rPr>
          <w:rFonts w:cs="Times New Roman"/>
          <w:szCs w:val="24"/>
        </w:rPr>
      </w:pPr>
      <w:r w:rsidRPr="00767A1C">
        <w:rPr>
          <w:rFonts w:cs="Times New Roman"/>
          <w:szCs w:val="24"/>
        </w:rPr>
        <w:t>Повышение качества жизни.</w:t>
      </w:r>
    </w:p>
    <w:p w14:paraId="35B60C02" w14:textId="77777777" w:rsidR="0075793D" w:rsidRPr="00BA4F0F" w:rsidRDefault="0075793D" w:rsidP="0075793D">
      <w:pPr>
        <w:rPr>
          <w:rFonts w:cs="Times New Roman"/>
          <w:szCs w:val="24"/>
          <w:u w:val="single"/>
        </w:rPr>
      </w:pPr>
    </w:p>
    <w:p w14:paraId="23F780EB" w14:textId="77777777" w:rsidR="0075793D" w:rsidRPr="00BA4F0F" w:rsidRDefault="0075793D" w:rsidP="0075793D">
      <w:pPr>
        <w:rPr>
          <w:rFonts w:cs="Times New Roman"/>
          <w:szCs w:val="24"/>
          <w:u w:val="single"/>
        </w:rPr>
      </w:pPr>
      <w:r w:rsidRPr="00BA4F0F">
        <w:rPr>
          <w:rFonts w:cs="Times New Roman"/>
          <w:szCs w:val="24"/>
          <w:u w:val="single"/>
        </w:rPr>
        <w:t xml:space="preserve">Показания к нутритивной поддержке </w:t>
      </w:r>
    </w:p>
    <w:p w14:paraId="69198931" w14:textId="77777777" w:rsidR="0075793D" w:rsidRPr="00BA4F0F" w:rsidRDefault="0075793D" w:rsidP="0075793D">
      <w:pPr>
        <w:ind w:firstLine="851"/>
        <w:rPr>
          <w:rFonts w:cs="Times New Roman"/>
          <w:szCs w:val="24"/>
        </w:rPr>
      </w:pPr>
      <w:r w:rsidRPr="00BA4F0F">
        <w:rPr>
          <w:rFonts w:cs="Times New Roman"/>
          <w:szCs w:val="24"/>
        </w:rPr>
        <w:t>Скрининг недостаточности питания должен проводиться на протяжении всего периода лечения. Для диагностики степени недостаточности питания предложено много критериев, основными из которых являются:</w:t>
      </w:r>
    </w:p>
    <w:p w14:paraId="13B10421" w14:textId="77777777" w:rsidR="0075793D" w:rsidRPr="00BA4F0F" w:rsidRDefault="0075793D" w:rsidP="005E0272">
      <w:pPr>
        <w:pStyle w:val="afe"/>
        <w:numPr>
          <w:ilvl w:val="0"/>
          <w:numId w:val="241"/>
        </w:numPr>
        <w:ind w:left="567" w:hanging="425"/>
        <w:rPr>
          <w:rFonts w:cs="Times New Roman"/>
          <w:szCs w:val="24"/>
        </w:rPr>
      </w:pPr>
      <w:r w:rsidRPr="00BA4F0F">
        <w:rPr>
          <w:rFonts w:cs="Times New Roman"/>
          <w:szCs w:val="24"/>
        </w:rPr>
        <w:t>индекс массы тела &lt; 20 кг/м</w:t>
      </w:r>
      <w:r w:rsidRPr="004810E5">
        <w:rPr>
          <w:rFonts w:cs="Times New Roman"/>
          <w:szCs w:val="24"/>
          <w:vertAlign w:val="superscript"/>
        </w:rPr>
        <w:t>2</w:t>
      </w:r>
      <w:r w:rsidRPr="00BA4F0F">
        <w:rPr>
          <w:rFonts w:cs="Times New Roman"/>
          <w:szCs w:val="24"/>
        </w:rPr>
        <w:t>;</w:t>
      </w:r>
    </w:p>
    <w:p w14:paraId="08F82BFA" w14:textId="77777777" w:rsidR="0075793D" w:rsidRPr="00BA4F0F" w:rsidRDefault="0075793D" w:rsidP="005E0272">
      <w:pPr>
        <w:pStyle w:val="afe"/>
        <w:numPr>
          <w:ilvl w:val="0"/>
          <w:numId w:val="241"/>
        </w:numPr>
        <w:ind w:left="567" w:hanging="425"/>
        <w:rPr>
          <w:rFonts w:cs="Times New Roman"/>
          <w:szCs w:val="24"/>
        </w:rPr>
      </w:pPr>
      <w:r w:rsidRPr="00BA4F0F">
        <w:rPr>
          <w:rFonts w:cs="Times New Roman"/>
          <w:szCs w:val="24"/>
        </w:rPr>
        <w:t>темп потери массы тела;</w:t>
      </w:r>
    </w:p>
    <w:p w14:paraId="33BBBBF6" w14:textId="77777777" w:rsidR="0075793D" w:rsidRPr="00BA4F0F" w:rsidRDefault="0075793D" w:rsidP="005E0272">
      <w:pPr>
        <w:pStyle w:val="afe"/>
        <w:numPr>
          <w:ilvl w:val="0"/>
          <w:numId w:val="241"/>
        </w:numPr>
        <w:ind w:left="567" w:hanging="425"/>
        <w:rPr>
          <w:rFonts w:cs="Times New Roman"/>
          <w:szCs w:val="24"/>
        </w:rPr>
      </w:pPr>
      <w:r w:rsidRPr="00BA4F0F">
        <w:rPr>
          <w:rFonts w:cs="Times New Roman"/>
          <w:szCs w:val="24"/>
        </w:rPr>
        <w:t>гипопротеинемия &lt; 60 г/л или гипоальбуминемия &lt; 30 г/л.;</w:t>
      </w:r>
    </w:p>
    <w:p w14:paraId="4426914D" w14:textId="77777777" w:rsidR="0075793D" w:rsidRPr="00BA4F0F" w:rsidRDefault="0075793D" w:rsidP="005E0272">
      <w:pPr>
        <w:pStyle w:val="afe"/>
        <w:numPr>
          <w:ilvl w:val="0"/>
          <w:numId w:val="241"/>
        </w:numPr>
        <w:ind w:left="567" w:hanging="425"/>
        <w:rPr>
          <w:rFonts w:cs="Times New Roman"/>
          <w:szCs w:val="24"/>
        </w:rPr>
      </w:pPr>
      <w:r w:rsidRPr="00BA4F0F">
        <w:rPr>
          <w:rFonts w:cs="Times New Roman"/>
          <w:szCs w:val="24"/>
        </w:rPr>
        <w:t>невозможность адекватного энтерального питания;</w:t>
      </w:r>
    </w:p>
    <w:p w14:paraId="16A11503" w14:textId="77777777" w:rsidR="0075793D" w:rsidRPr="00BA4F0F" w:rsidRDefault="0075793D" w:rsidP="005E0272">
      <w:pPr>
        <w:pStyle w:val="afe"/>
        <w:numPr>
          <w:ilvl w:val="0"/>
          <w:numId w:val="241"/>
        </w:numPr>
        <w:ind w:left="567" w:hanging="425"/>
        <w:rPr>
          <w:rFonts w:cs="Times New Roman"/>
          <w:szCs w:val="24"/>
        </w:rPr>
      </w:pPr>
      <w:r w:rsidRPr="00BA4F0F">
        <w:rPr>
          <w:rFonts w:cs="Times New Roman"/>
          <w:szCs w:val="24"/>
        </w:rPr>
        <w:t xml:space="preserve">побочные проявления высокодозной химиотерапии: </w:t>
      </w:r>
    </w:p>
    <w:p w14:paraId="3CAFC5FE" w14:textId="77777777" w:rsidR="0075793D" w:rsidRPr="00BA4F0F" w:rsidRDefault="0075793D" w:rsidP="005E0272">
      <w:pPr>
        <w:pStyle w:val="afe"/>
        <w:numPr>
          <w:ilvl w:val="0"/>
          <w:numId w:val="241"/>
        </w:numPr>
        <w:ind w:left="567" w:hanging="425"/>
        <w:rPr>
          <w:rFonts w:cs="Times New Roman"/>
          <w:szCs w:val="24"/>
        </w:rPr>
      </w:pPr>
      <w:r w:rsidRPr="00BA4F0F">
        <w:rPr>
          <w:rFonts w:cs="Times New Roman"/>
          <w:szCs w:val="24"/>
        </w:rPr>
        <w:t>тошнота,</w:t>
      </w:r>
    </w:p>
    <w:p w14:paraId="3E4B7A10" w14:textId="77777777" w:rsidR="0075793D" w:rsidRPr="00BA4F0F" w:rsidRDefault="0075793D" w:rsidP="005E0272">
      <w:pPr>
        <w:pStyle w:val="afe"/>
        <w:numPr>
          <w:ilvl w:val="0"/>
          <w:numId w:val="241"/>
        </w:numPr>
        <w:ind w:left="567" w:hanging="425"/>
        <w:rPr>
          <w:rFonts w:cs="Times New Roman"/>
          <w:szCs w:val="24"/>
        </w:rPr>
      </w:pPr>
      <w:r w:rsidRPr="00BA4F0F">
        <w:rPr>
          <w:rFonts w:cs="Times New Roman"/>
          <w:szCs w:val="24"/>
        </w:rPr>
        <w:t xml:space="preserve">рвота, </w:t>
      </w:r>
    </w:p>
    <w:p w14:paraId="70969B04" w14:textId="77777777" w:rsidR="0075793D" w:rsidRPr="00BA4F0F" w:rsidRDefault="0075793D" w:rsidP="005E0272">
      <w:pPr>
        <w:pStyle w:val="afe"/>
        <w:numPr>
          <w:ilvl w:val="0"/>
          <w:numId w:val="241"/>
        </w:numPr>
        <w:ind w:left="567" w:hanging="425"/>
        <w:rPr>
          <w:rFonts w:cs="Times New Roman"/>
          <w:szCs w:val="24"/>
        </w:rPr>
      </w:pPr>
      <w:r w:rsidRPr="00BA4F0F">
        <w:rPr>
          <w:rFonts w:cs="Times New Roman"/>
          <w:szCs w:val="24"/>
        </w:rPr>
        <w:t xml:space="preserve">потеря аппетита, </w:t>
      </w:r>
    </w:p>
    <w:p w14:paraId="5CC5D52C" w14:textId="77777777" w:rsidR="0075793D" w:rsidRPr="00BA4F0F" w:rsidRDefault="0075793D" w:rsidP="005E0272">
      <w:pPr>
        <w:pStyle w:val="afe"/>
        <w:numPr>
          <w:ilvl w:val="0"/>
          <w:numId w:val="241"/>
        </w:numPr>
        <w:ind w:left="567" w:hanging="425"/>
        <w:rPr>
          <w:rFonts w:cs="Times New Roman"/>
          <w:szCs w:val="24"/>
        </w:rPr>
      </w:pPr>
      <w:r w:rsidRPr="00BA4F0F">
        <w:rPr>
          <w:rFonts w:cs="Times New Roman"/>
          <w:szCs w:val="24"/>
        </w:rPr>
        <w:t xml:space="preserve">дисфагия, </w:t>
      </w:r>
    </w:p>
    <w:p w14:paraId="2C8FE867" w14:textId="77777777" w:rsidR="0075793D" w:rsidRPr="00BA4F0F" w:rsidRDefault="0075793D" w:rsidP="005E0272">
      <w:pPr>
        <w:pStyle w:val="afe"/>
        <w:numPr>
          <w:ilvl w:val="0"/>
          <w:numId w:val="241"/>
        </w:numPr>
        <w:ind w:left="567" w:hanging="425"/>
        <w:rPr>
          <w:rFonts w:cs="Times New Roman"/>
          <w:szCs w:val="24"/>
        </w:rPr>
      </w:pPr>
      <w:r w:rsidRPr="00BA4F0F">
        <w:rPr>
          <w:rFonts w:cs="Times New Roman"/>
          <w:szCs w:val="24"/>
        </w:rPr>
        <w:t>мукозиты различной степени тяжести,</w:t>
      </w:r>
    </w:p>
    <w:p w14:paraId="27D39515" w14:textId="77777777" w:rsidR="0075793D" w:rsidRPr="00BA4F0F" w:rsidRDefault="0075793D" w:rsidP="005E0272">
      <w:pPr>
        <w:pStyle w:val="afe"/>
        <w:numPr>
          <w:ilvl w:val="0"/>
          <w:numId w:val="241"/>
        </w:numPr>
        <w:ind w:left="567" w:hanging="425"/>
        <w:rPr>
          <w:rFonts w:cs="Times New Roman"/>
          <w:szCs w:val="24"/>
        </w:rPr>
      </w:pPr>
      <w:r w:rsidRPr="00BA4F0F">
        <w:rPr>
          <w:rFonts w:cs="Times New Roman"/>
          <w:szCs w:val="24"/>
        </w:rPr>
        <w:t xml:space="preserve">нарушения вкуса и обоняния, </w:t>
      </w:r>
    </w:p>
    <w:p w14:paraId="7B0AFC0D" w14:textId="77777777" w:rsidR="0075793D" w:rsidRPr="00BA4F0F" w:rsidRDefault="0075793D" w:rsidP="005E0272">
      <w:pPr>
        <w:pStyle w:val="afe"/>
        <w:numPr>
          <w:ilvl w:val="0"/>
          <w:numId w:val="241"/>
        </w:numPr>
        <w:ind w:left="567" w:hanging="425"/>
        <w:rPr>
          <w:rFonts w:cs="Times New Roman"/>
          <w:szCs w:val="24"/>
        </w:rPr>
      </w:pPr>
      <w:r w:rsidRPr="00BA4F0F">
        <w:rPr>
          <w:rFonts w:cs="Times New Roman"/>
          <w:szCs w:val="24"/>
        </w:rPr>
        <w:t>некротическая энтеропатия средней и тяжелой степени.</w:t>
      </w:r>
    </w:p>
    <w:p w14:paraId="6F746C1E" w14:textId="1FD0AD66" w:rsidR="0075793D" w:rsidRPr="00BA4F0F" w:rsidRDefault="0075793D" w:rsidP="0075793D">
      <w:pPr>
        <w:ind w:firstLine="851"/>
        <w:rPr>
          <w:rFonts w:cs="Times New Roman"/>
          <w:szCs w:val="24"/>
        </w:rPr>
      </w:pPr>
      <w:r w:rsidRPr="00BA4F0F">
        <w:rPr>
          <w:rFonts w:cs="Times New Roman"/>
          <w:szCs w:val="24"/>
        </w:rPr>
        <w:t xml:space="preserve">Своевременное выявление пациентов из группы нутритивного риска позволяет защитить пациента от прогрессирующей потери массы тела и развития рефрактерной кахексии. Для первичного скрининга можно использовать хорошо зарекомендовавшие себя шкалы, такие как NRS-2002, ИНР (индекс нарушения питания по Buzby G.P.), бальную шкалу А.Б.В.Г. (ESMO, 2008), индекс массы тела по Кетле и другие </w:t>
      </w:r>
      <w:r w:rsidR="004810E5">
        <w:rPr>
          <w:rFonts w:cs="Times New Roman"/>
          <w:szCs w:val="24"/>
        </w:rPr>
        <w:fldChar w:fldCharType="begin" w:fldLock="1"/>
      </w:r>
      <w:r w:rsidR="004810E5">
        <w:rPr>
          <w:rFonts w:cs="Times New Roman"/>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Oncology","id":"ITEM-2","issue":"5","issued":{"date-parts":[["2018","5"]]},"page":"619-629","publisher":"Springer-Verlag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id":"ITEM-3","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А.И.","non-dropping-particle":"","parse-names":false,"suffix":""}],"id":"ITEM-3","issued":{"date-parts":[["2014"]]},"title":"Клинические рекомендации по нутритивной поддержке при химиотерапии и/или лучевой терапии","type":"report"},"uris":["http://www.mendeley.com/documents/?uuid=59e000a3-48e0-4529-8954-5598c41cc72e","http://www.mendeley.com/documents/?uuid=2475f28c-b7e0-408d-8d85-bd890e4862de","http://www.mendeley.com/documents/?uuid=2db47854-c914-42bd-bd4d-a19b47e78e0d","http://www.mendeley.com/documents/?uuid=113bc17a-cb71-4ba2-afb9-083757d46c9b","http://www.mendeley.com/documents/?uuid=17acaf09-3d29-4b25-b43e-598e8835165d","http://www.mendeley.com/documents/?uuid=2da28a52-fa64-480f-9c45-312b59a7027b","http://www.mendeley.com/documents/?uuid=fa470355-bcfd-3bef-a7a1-086215509c2d"]}],"mendeley":{"formattedCitation":"[204–206]","plainTextFormattedCitation":"[204–206]","previouslyFormattedCitation":"[204–206]"},"properties":{"noteIndex":0},"schema":"https://github.com/citation-style-language/schema/raw/master/csl-citation.json"}</w:instrText>
      </w:r>
      <w:r w:rsidR="004810E5">
        <w:rPr>
          <w:rFonts w:cs="Times New Roman"/>
          <w:szCs w:val="24"/>
        </w:rPr>
        <w:fldChar w:fldCharType="separate"/>
      </w:r>
      <w:r w:rsidR="004810E5" w:rsidRPr="004810E5">
        <w:rPr>
          <w:rFonts w:cs="Times New Roman"/>
          <w:noProof/>
          <w:szCs w:val="24"/>
        </w:rPr>
        <w:t>[204–206]</w:t>
      </w:r>
      <w:r w:rsidR="004810E5">
        <w:rPr>
          <w:rFonts w:cs="Times New Roman"/>
          <w:szCs w:val="24"/>
        </w:rPr>
        <w:fldChar w:fldCharType="end"/>
      </w:r>
      <w:r w:rsidRPr="00BA4F0F">
        <w:rPr>
          <w:rFonts w:cs="Times New Roman"/>
          <w:szCs w:val="24"/>
        </w:rPr>
        <w:t xml:space="preserve">. </w:t>
      </w:r>
    </w:p>
    <w:p w14:paraId="60649C3B" w14:textId="11AA05F1" w:rsidR="0075793D" w:rsidRPr="00BA4F0F" w:rsidRDefault="0075793D" w:rsidP="0075793D">
      <w:pPr>
        <w:ind w:firstLine="851"/>
        <w:rPr>
          <w:rFonts w:cs="Times New Roman"/>
          <w:szCs w:val="24"/>
        </w:rPr>
      </w:pPr>
      <w:r w:rsidRPr="00BA4F0F">
        <w:rPr>
          <w:rFonts w:cs="Times New Roman"/>
          <w:szCs w:val="24"/>
        </w:rPr>
        <w:t xml:space="preserve">В том случае, если проведение энтерального питания невозможно или неэффективно, необходимо назначать парентеральное питание </w:t>
      </w:r>
      <w:r w:rsidRPr="00BA4F0F">
        <w:rPr>
          <w:rFonts w:cs="Times New Roman"/>
          <w:szCs w:val="24"/>
        </w:rPr>
        <w:fldChar w:fldCharType="begin" w:fldLock="1"/>
      </w:r>
      <w:r w:rsidR="004810E5">
        <w:rPr>
          <w:rFonts w:cs="Times New Roman"/>
          <w:szCs w:val="24"/>
        </w:rPr>
        <w:instrText>ADDIN CSL_CITATION {"citationItems":[{"id":"ITEM-1","itemData":{"DOI":"10.20960/nh.1361","ISSN":"0212-1611","abstract":"Introducción: La malnutrición es un problema médico frecuente de los pacientes oncológicos que impacta de forma negativa en la calidad de vida. Objetivo: analizar y dar respuesta a diferentes cuestiones a la hora de afrontar el manejo nutricional de un paciente oncológico en la práctica clínica. Métodos: Un grupo multidisciplinar de expertos en Oncología Médica, Farmacia y Nutrición elaboró una lista de temas relacionados con el estado nutricional del paciente oncológico, que fueron agrupados en tres bloques: soporte nutricional; nutrición parenteral (NP) y NP domiciliaria (NPD) en el paciente oncológico. Se realizó una revisión de la literatura que incluyó artículos publicados en español, inglés y francés hasta abril de 2017. El documento se estructuró como un cuestionario con aquellas preguntas que, según el criterio del panel, podrían generar mayor controversia o duda. Resultados: De las 17 cuestiones abordadas, 9 versaron sobre el soporte nutricional; 5 relacionadas con la NP y 3 trataron sobre la NPD. Dentro de las recomendaciones del panel destacar que, en el paciente oncológico, la NP está indicada principalmente cuando no es posible el uso del tubo digestivo y/o la alimentación oral y/o la nutrición enteral no es suficiente o posible. Además, el objetivo de la NPD es mejorar o mantener, el estado de nutrición de un paciente en el ámbito domiciliario. Conclusiones: Esta revisión constituye una herramienta para oncólogos y especialistas responsables del manejo nutricional del paciente con cáncer.","author":[{"dropping-particle":"","family":"Camblor-Álvarez","given":"Miguel","non-dropping-particle":"","parse-names":false,"suffix":""},{"dropping-particle":"","family":"Ocón-Bretón","given":"María Julia","non-dropping-particle":"","parse-names":false,"suffix":""},{"dropping-particle":"","family":"Luengo-Pérez","given":"Luis Miguel","non-dropping-particle":"","parse-names":false,"suffix":""},{"dropping-particle":"","family":"Viruzuela","given":"Juan Antonio","non-dropping-particle":"","parse-names":false,"suffix":""},{"dropping-particle":"","family":"Sendrós-Maroño","given":"María José","non-dropping-particle":"","parse-names":false,"suffix":""},{"dropping-particle":"","family":"Cervera-Peris","given":"Mercedes","non-dropping-particle":"","parse-names":false,"suffix":""},{"dropping-particle":"","family":"Grande","given":"Enrique","non-dropping-particle":"","parse-names":false,"suffix":""},{"dropping-particle":"","family":"Álvarez-Hernández","given":"Julia","non-dropping-particle":"","parse-names":false,"suffix":""},{"dropping-particle":"","family":"Jiménez-Fonseca","given":"Paula","non-dropping-particle":"","parse-names":false,"suffix":""}],"container-title":"Nutrición Hospitalaria","id":"ITEM-1","issue":"1","issued":{"date-parts":[["2018","1"]]},"publisher":"ARAN Ediciones","title":"Soporte nutricional y nutrición parenteral en el paciente oncológico: informe de consenso de un grupo de expertos","type":"article-journal","volume":"35"},"uris":["http://www.mendeley.com/documents/?uuid=2ba4ee95-2957-35dd-a5da-6ddc4066a510","http://www.mendeley.com/documents/?uuid=5fd60395-903b-4161-9de5-593401276b22","http://www.mendeley.com/documents/?uuid=77af6aa2-54a9-4922-85a6-2ba2782c1d0d","http://www.mendeley.com/documents/?uuid=15f2deaa-96e5-4d61-b18b-9ea61e38867f","http://www.mendeley.com/documents/?uuid=bb38c52a-b9be-49b0-b569-e7226cad9509","http://www.mendeley.com/documents/?uuid=cfbf8252-0ba3-48e8-9511-8226f1fa6b44","http://www.mendeley.com/documents/?uuid=28ec27e8-82e5-449f-987c-7f22bad4f962"]}],"mendeley":{"formattedCitation":"[208]","plainTextFormattedCitation":"[208]","previouslyFormattedCitation":"[208]"},"properties":{"noteIndex":0},"schema":"https://github.com/citation-style-language/schema/raw/master/csl-citation.json"}</w:instrText>
      </w:r>
      <w:r w:rsidRPr="00BA4F0F">
        <w:rPr>
          <w:rFonts w:cs="Times New Roman"/>
          <w:szCs w:val="24"/>
        </w:rPr>
        <w:fldChar w:fldCharType="separate"/>
      </w:r>
      <w:r w:rsidR="004810E5" w:rsidRPr="004810E5">
        <w:rPr>
          <w:rFonts w:cs="Times New Roman"/>
          <w:noProof/>
          <w:szCs w:val="24"/>
        </w:rPr>
        <w:t>[208]</w:t>
      </w:r>
      <w:r w:rsidRPr="00BA4F0F">
        <w:rPr>
          <w:rFonts w:cs="Times New Roman"/>
          <w:szCs w:val="24"/>
        </w:rPr>
        <w:fldChar w:fldCharType="end"/>
      </w:r>
      <w:r w:rsidRPr="00BA4F0F">
        <w:rPr>
          <w:rFonts w:cs="Times New Roman"/>
          <w:szCs w:val="24"/>
        </w:rPr>
        <w:t xml:space="preserve">. Доставка белка должна быть не менее 1 г/кг/сут, однако при возможности нужно стремиться к 1,5 г/кг/сут. </w:t>
      </w:r>
    </w:p>
    <w:p w14:paraId="0ECA5B7A" w14:textId="294F79D3" w:rsidR="0075793D" w:rsidRPr="00BA4F0F" w:rsidRDefault="0075793D" w:rsidP="0075793D">
      <w:pPr>
        <w:ind w:firstLine="851"/>
        <w:rPr>
          <w:rFonts w:cs="Times New Roman"/>
          <w:szCs w:val="24"/>
        </w:rPr>
      </w:pPr>
      <w:r w:rsidRPr="00BA4F0F">
        <w:rPr>
          <w:rFonts w:cs="Times New Roman"/>
          <w:szCs w:val="24"/>
        </w:rPr>
        <w:t xml:space="preserve">У больных с сопутствующей хронической почечной недостаточностью белковое обеспечение не должно превышать 1–1,2 г/кг/сут. Энергетическое обеспечение больного с онкологическим заболеванием следует поддерживать на уровне 25–30 ккал/кг/сут </w:t>
      </w:r>
      <w:r w:rsidR="004810E5">
        <w:rPr>
          <w:rFonts w:cs="Times New Roman"/>
          <w:szCs w:val="24"/>
        </w:rPr>
        <w:fldChar w:fldCharType="begin" w:fldLock="1"/>
      </w:r>
      <w:r w:rsidR="00A9496B">
        <w:rPr>
          <w:rFonts w:cs="Times New Roman"/>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Oncology","id":"ITEM-2","issue":"5","issued":{"date-parts":[["2018","5"]]},"page":"619-629","publisher":"Springer-Verlag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mendeley":{"formattedCitation":"[204,205]","plainTextFormattedCitation":"[204,205]","previouslyFormattedCitation":"[204,205]"},"properties":{"noteIndex":0},"schema":"https://github.com/citation-style-language/schema/raw/master/csl-citation.json"}</w:instrText>
      </w:r>
      <w:r w:rsidR="004810E5">
        <w:rPr>
          <w:rFonts w:cs="Times New Roman"/>
          <w:szCs w:val="24"/>
        </w:rPr>
        <w:fldChar w:fldCharType="separate"/>
      </w:r>
      <w:r w:rsidR="004810E5" w:rsidRPr="004810E5">
        <w:rPr>
          <w:rFonts w:cs="Times New Roman"/>
          <w:noProof/>
          <w:szCs w:val="24"/>
        </w:rPr>
        <w:t>[204,205]</w:t>
      </w:r>
      <w:r w:rsidR="004810E5">
        <w:rPr>
          <w:rFonts w:cs="Times New Roman"/>
          <w:szCs w:val="24"/>
        </w:rPr>
        <w:fldChar w:fldCharType="end"/>
      </w:r>
      <w:r w:rsidRPr="00BA4F0F">
        <w:rPr>
          <w:rFonts w:cs="Times New Roman"/>
          <w:szCs w:val="24"/>
        </w:rPr>
        <w:t>.</w:t>
      </w:r>
    </w:p>
    <w:p w14:paraId="04241B36" w14:textId="77777777" w:rsidR="0075793D" w:rsidRPr="00BA4F0F" w:rsidRDefault="0075793D" w:rsidP="0075793D">
      <w:pPr>
        <w:rPr>
          <w:rFonts w:cs="Times New Roman"/>
          <w:szCs w:val="24"/>
          <w:u w:val="single"/>
        </w:rPr>
      </w:pPr>
    </w:p>
    <w:p w14:paraId="78348975" w14:textId="103FDAEE" w:rsidR="0075793D" w:rsidRPr="00BA4F0F" w:rsidRDefault="0075793D" w:rsidP="0075793D">
      <w:pPr>
        <w:rPr>
          <w:rFonts w:cs="Times New Roman"/>
          <w:szCs w:val="24"/>
          <w:u w:val="single"/>
        </w:rPr>
      </w:pPr>
      <w:r w:rsidRPr="00BA4F0F">
        <w:rPr>
          <w:rFonts w:cs="Times New Roman"/>
          <w:szCs w:val="24"/>
          <w:u w:val="single"/>
        </w:rPr>
        <w:t xml:space="preserve">Виды нутритивной поддержки </w:t>
      </w:r>
      <w:r w:rsidRPr="00BA4F0F">
        <w:rPr>
          <w:rFonts w:cs="Times New Roman"/>
          <w:szCs w:val="24"/>
          <w:u w:val="single"/>
        </w:rPr>
        <w:fldChar w:fldCharType="begin" w:fldLock="1"/>
      </w:r>
      <w:r w:rsidR="004810E5">
        <w:rPr>
          <w:rFonts w:cs="Times New Roman"/>
          <w:szCs w:val="24"/>
          <w:u w:val="single"/>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Oncology","id":"ITEM-2","issue":"5","issued":{"date-parts":[["2018","5"]]},"page":"619-629","publisher":"Springer-Verlag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id":"ITEM-3","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Nutrition","id":"ITEM-3","issue":"1","issued":{"date-parts":[["2017"]]},"page":"11-48","publisher":"Churchill Livingstone","title":"ESPEN guidelines on nutrition in cancer patients","type":"article-journal","volume":"36"},"uris":["http://www.mendeley.com/documents/?uuid=2586b0c4-9eb6-4463-a0ba-87fe84fbad8f"]}],"mendeley":{"formattedCitation":"[204,205,207]","plainTextFormattedCitation":"[204,205,207]","previouslyFormattedCitation":"[204,205,207]"},"properties":{"noteIndex":0},"schema":"https://github.com/citation-style-language/schema/raw/master/csl-citation.json"}</w:instrText>
      </w:r>
      <w:r w:rsidRPr="00BA4F0F">
        <w:rPr>
          <w:rFonts w:cs="Times New Roman"/>
          <w:szCs w:val="24"/>
          <w:u w:val="single"/>
        </w:rPr>
        <w:fldChar w:fldCharType="separate"/>
      </w:r>
      <w:r w:rsidR="004810E5" w:rsidRPr="004810E5">
        <w:rPr>
          <w:rFonts w:cs="Times New Roman"/>
          <w:noProof/>
          <w:szCs w:val="24"/>
        </w:rPr>
        <w:t>[204,205,207]</w:t>
      </w:r>
      <w:r w:rsidRPr="00BA4F0F">
        <w:rPr>
          <w:rFonts w:cs="Times New Roman"/>
          <w:szCs w:val="24"/>
          <w:u w:val="single"/>
        </w:rPr>
        <w:fldChar w:fldCharType="end"/>
      </w:r>
    </w:p>
    <w:p w14:paraId="128A391B" w14:textId="77777777" w:rsidR="0075793D" w:rsidRPr="00BA4F0F" w:rsidRDefault="0075793D" w:rsidP="0075793D">
      <w:pPr>
        <w:ind w:firstLine="851"/>
        <w:rPr>
          <w:rFonts w:cs="Times New Roman"/>
          <w:szCs w:val="24"/>
        </w:rPr>
      </w:pPr>
      <w:r w:rsidRPr="00BA4F0F">
        <w:rPr>
          <w:rFonts w:cs="Times New Roman"/>
          <w:szCs w:val="24"/>
        </w:rPr>
        <w:t xml:space="preserve">Выделяют три вида нутритивной поддержки: </w:t>
      </w:r>
    </w:p>
    <w:p w14:paraId="5BBD6DFD" w14:textId="77777777" w:rsidR="0075793D" w:rsidRPr="00BA4F0F" w:rsidRDefault="0075793D" w:rsidP="0075793D">
      <w:pPr>
        <w:ind w:firstLine="567"/>
        <w:rPr>
          <w:rFonts w:cs="Times New Roman"/>
          <w:szCs w:val="24"/>
        </w:rPr>
      </w:pPr>
      <w:r w:rsidRPr="00BA4F0F">
        <w:rPr>
          <w:rFonts w:cs="Times New Roman"/>
          <w:szCs w:val="24"/>
        </w:rPr>
        <w:t xml:space="preserve">• дополнение к пероральному питанию (сипинг) – пероральный прием лечебного (специализированного) питания маленькими глотками; </w:t>
      </w:r>
    </w:p>
    <w:p w14:paraId="0D31710F" w14:textId="77777777" w:rsidR="0075793D" w:rsidRPr="00BA4F0F" w:rsidRDefault="0075793D" w:rsidP="0075793D">
      <w:pPr>
        <w:ind w:firstLine="567"/>
        <w:rPr>
          <w:rFonts w:cs="Times New Roman"/>
          <w:szCs w:val="24"/>
        </w:rPr>
      </w:pPr>
      <w:r w:rsidRPr="00BA4F0F">
        <w:rPr>
          <w:rFonts w:cs="Times New Roman"/>
          <w:szCs w:val="24"/>
        </w:rPr>
        <w:t xml:space="preserve">• энтеральное питание – возможно через назогастральный/назоинтестинальный зонд или через стому (чрескожную, эндоскопическую, лапароскопическую, лапаротомную); </w:t>
      </w:r>
    </w:p>
    <w:p w14:paraId="3CCB0060" w14:textId="77777777" w:rsidR="0075793D" w:rsidRPr="00BA4F0F" w:rsidRDefault="0075793D" w:rsidP="0075793D">
      <w:pPr>
        <w:ind w:firstLine="567"/>
        <w:rPr>
          <w:rFonts w:cs="Times New Roman"/>
          <w:szCs w:val="24"/>
        </w:rPr>
      </w:pPr>
      <w:r w:rsidRPr="00BA4F0F">
        <w:rPr>
          <w:rFonts w:cs="Times New Roman"/>
          <w:szCs w:val="24"/>
        </w:rPr>
        <w:t xml:space="preserve">• парентеральное питание. </w:t>
      </w:r>
    </w:p>
    <w:p w14:paraId="52DA37FE" w14:textId="77777777" w:rsidR="0075793D" w:rsidRPr="00BA4F0F" w:rsidRDefault="0075793D" w:rsidP="0075793D">
      <w:pPr>
        <w:ind w:firstLine="851"/>
        <w:rPr>
          <w:rFonts w:cs="Times New Roman"/>
          <w:szCs w:val="24"/>
        </w:rPr>
      </w:pPr>
      <w:r w:rsidRPr="00BA4F0F">
        <w:rPr>
          <w:rFonts w:cs="Times New Roman"/>
          <w:szCs w:val="24"/>
        </w:rPr>
        <w:t>Энтеральное питание является предпочтительным способом нутритивной поддержки за счет его физиологичности, способности поддерживать функцию кишечника, уменьшать гиперметаболический ответ на повреждение, уменьшать транслокацию бактерий и токсинов из кишечника.</w:t>
      </w:r>
    </w:p>
    <w:p w14:paraId="18A2F24D" w14:textId="77777777" w:rsidR="0075793D" w:rsidRPr="00BA4F0F" w:rsidRDefault="0075793D" w:rsidP="0075793D">
      <w:pPr>
        <w:ind w:firstLine="851"/>
        <w:rPr>
          <w:rFonts w:cs="Times New Roman"/>
          <w:szCs w:val="24"/>
        </w:rPr>
      </w:pPr>
      <w:r w:rsidRPr="00BA4F0F">
        <w:rPr>
          <w:rFonts w:cs="Times New Roman"/>
          <w:szCs w:val="24"/>
        </w:rPr>
        <w:t>Энтеральное питание может проводиться при наличии хотя бы частичной функции ЖКТ. Отсутствие выслушиваемой перистальтики не является противопоказанием для энтерального питания.</w:t>
      </w:r>
    </w:p>
    <w:p w14:paraId="3E364472" w14:textId="0CE69661" w:rsidR="0075793D" w:rsidRPr="00BA4F0F" w:rsidRDefault="0075793D" w:rsidP="0075793D">
      <w:pPr>
        <w:ind w:firstLine="851"/>
        <w:rPr>
          <w:rFonts w:cs="Times New Roman"/>
          <w:szCs w:val="24"/>
        </w:rPr>
      </w:pPr>
      <w:r w:rsidRPr="00BA4F0F">
        <w:rPr>
          <w:rFonts w:cs="Times New Roman"/>
          <w:szCs w:val="24"/>
        </w:rPr>
        <w:t xml:space="preserve">Классификация смесей для энтерального питания </w:t>
      </w:r>
      <w:r w:rsidRPr="00BA4F0F">
        <w:rPr>
          <w:rFonts w:cs="Times New Roman"/>
          <w:szCs w:val="24"/>
        </w:rPr>
        <w:fldChar w:fldCharType="begin" w:fldLock="1"/>
      </w:r>
      <w:r w:rsidR="004810E5">
        <w:rPr>
          <w:rFonts w:cs="Times New Roman"/>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[204]","plainTextFormattedCitation":"[204]","previouslyFormattedCitation":"[204]"},"properties":{"noteIndex":0},"schema":"https://github.com/citation-style-language/schema/raw/master/csl-citation.json"}</w:instrText>
      </w:r>
      <w:r w:rsidRPr="00BA4F0F">
        <w:rPr>
          <w:rFonts w:cs="Times New Roman"/>
          <w:szCs w:val="24"/>
        </w:rPr>
        <w:fldChar w:fldCharType="separate"/>
      </w:r>
      <w:r w:rsidR="004810E5" w:rsidRPr="004810E5">
        <w:rPr>
          <w:rFonts w:cs="Times New Roman"/>
          <w:noProof/>
          <w:szCs w:val="24"/>
        </w:rPr>
        <w:t>[204]</w:t>
      </w:r>
      <w:r w:rsidRPr="00BA4F0F">
        <w:rPr>
          <w:rFonts w:cs="Times New Roman"/>
          <w:szCs w:val="24"/>
        </w:rPr>
        <w:fldChar w:fldCharType="end"/>
      </w:r>
    </w:p>
    <w:p w14:paraId="42ECA666" w14:textId="77777777" w:rsidR="0075793D" w:rsidRPr="00BA4F0F" w:rsidRDefault="0075793D" w:rsidP="0075793D">
      <w:pPr>
        <w:ind w:firstLine="567"/>
        <w:rPr>
          <w:rFonts w:cs="Times New Roman"/>
          <w:szCs w:val="24"/>
        </w:rPr>
      </w:pPr>
      <w:r w:rsidRPr="00BA4F0F">
        <w:rPr>
          <w:rFonts w:cs="Times New Roman"/>
          <w:szCs w:val="24"/>
        </w:rPr>
        <w:t xml:space="preserve">• полимерные: состоят из неизмененных белков, жиров и углеводов; </w:t>
      </w:r>
    </w:p>
    <w:p w14:paraId="0BB880DB" w14:textId="77777777" w:rsidR="0075793D" w:rsidRPr="00BA4F0F" w:rsidRDefault="0075793D" w:rsidP="0075793D">
      <w:pPr>
        <w:ind w:firstLine="567"/>
        <w:rPr>
          <w:rFonts w:cs="Times New Roman"/>
          <w:szCs w:val="24"/>
        </w:rPr>
      </w:pPr>
      <w:r w:rsidRPr="00BA4F0F">
        <w:rPr>
          <w:rFonts w:cs="Times New Roman"/>
          <w:szCs w:val="24"/>
        </w:rPr>
        <w:t xml:space="preserve">• олигомерные (полуэлементные): состоят из расщепленных белков и простых углеводов и содержат масла среднецепочечных триглицеридов; </w:t>
      </w:r>
    </w:p>
    <w:p w14:paraId="40341751" w14:textId="77777777" w:rsidR="0075793D" w:rsidRPr="00BA4F0F" w:rsidRDefault="0075793D" w:rsidP="0075793D">
      <w:pPr>
        <w:ind w:firstLine="567"/>
        <w:rPr>
          <w:rFonts w:cs="Times New Roman"/>
          <w:szCs w:val="24"/>
        </w:rPr>
      </w:pPr>
      <w:r w:rsidRPr="00BA4F0F">
        <w:rPr>
          <w:rFonts w:cs="Times New Roman"/>
          <w:szCs w:val="24"/>
        </w:rPr>
        <w:t xml:space="preserve">• смеси для определенных состояний, изготовленные с учетом потребностей конкретного пациента, страдающего тем или иным заболеванием (сахарный диабет, заболевания почек, печени, легких). </w:t>
      </w:r>
    </w:p>
    <w:p w14:paraId="296F5C63" w14:textId="26C2DFAD" w:rsidR="0075793D" w:rsidRPr="00BA4F0F" w:rsidRDefault="0075793D" w:rsidP="0075793D">
      <w:pPr>
        <w:ind w:firstLine="851"/>
        <w:rPr>
          <w:rFonts w:cs="Times New Roman"/>
          <w:szCs w:val="24"/>
        </w:rPr>
      </w:pPr>
      <w:r w:rsidRPr="00BA4F0F">
        <w:rPr>
          <w:rFonts w:cs="Times New Roman"/>
          <w:szCs w:val="24"/>
        </w:rPr>
        <w:t xml:space="preserve">Противопоказания к энтеральному питанию </w:t>
      </w:r>
      <w:r w:rsidR="00A9496B">
        <w:rPr>
          <w:rFonts w:cs="Times New Roman"/>
          <w:szCs w:val="24"/>
        </w:rPr>
        <w:fldChar w:fldCharType="begin" w:fldLock="1"/>
      </w:r>
      <w:r w:rsidR="00A9496B">
        <w:rPr>
          <w:rFonts w:cs="Times New Roman"/>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А.И.","non-dropping-particle":"","parse-names":false,"suffix":""}],"id":"ITEM-2","issued":{"date-parts":[["2014"]]},"title":"Клинические рекомендации по нутритивной поддержке при химиотерапии и/или лучевой терапии","type":"report"},"uris":["http://www.mendeley.com/documents/?uuid=59e000a3-48e0-4529-8954-5598c41cc72e","http://www.mendeley.com/documents/?uuid=2475f28c-b7e0-408d-8d85-bd890e4862de","http://www.mendeley.com/documents/?uuid=2db47854-c914-42bd-bd4d-a19b47e78e0d","http://www.mendeley.com/documents/?uuid=113bc17a-cb71-4ba2-afb9-083757d46c9b","http://www.mendeley.com/documents/?uuid=17acaf09-3d29-4b25-b43e-598e8835165d","http://www.mendeley.com/documents/?uuid=2da28a52-fa64-480f-9c45-312b59a7027b","http://www.mendeley.com/documents/?uuid=fa470355-bcfd-3bef-a7a1-086215509c2d"]}],"mendeley":{"formattedCitation":"[204,206]","plainTextFormattedCitation":"[204,206]","previouslyFormattedCitation":"[204,206]"},"properties":{"noteIndex":0},"schema":"https://github.com/citation-style-language/schema/raw/master/csl-citation.json"}</w:instrText>
      </w:r>
      <w:r w:rsidR="00A9496B">
        <w:rPr>
          <w:rFonts w:cs="Times New Roman"/>
          <w:szCs w:val="24"/>
        </w:rPr>
        <w:fldChar w:fldCharType="separate"/>
      </w:r>
      <w:r w:rsidR="00A9496B" w:rsidRPr="00A9496B">
        <w:rPr>
          <w:rFonts w:cs="Times New Roman"/>
          <w:noProof/>
          <w:szCs w:val="24"/>
        </w:rPr>
        <w:t>[204,206]</w:t>
      </w:r>
      <w:r w:rsidR="00A9496B">
        <w:rPr>
          <w:rFonts w:cs="Times New Roman"/>
          <w:szCs w:val="24"/>
        </w:rPr>
        <w:fldChar w:fldCharType="end"/>
      </w:r>
    </w:p>
    <w:p w14:paraId="30381343" w14:textId="77777777" w:rsidR="0075793D" w:rsidRPr="00BA4F0F" w:rsidRDefault="0075793D" w:rsidP="0075793D">
      <w:pPr>
        <w:ind w:firstLine="567"/>
        <w:rPr>
          <w:rFonts w:cs="Times New Roman"/>
          <w:szCs w:val="24"/>
        </w:rPr>
      </w:pPr>
      <w:r w:rsidRPr="00BA4F0F">
        <w:rPr>
          <w:rFonts w:cs="Times New Roman"/>
          <w:szCs w:val="24"/>
        </w:rPr>
        <w:t xml:space="preserve">• механическая кишечная непроходимость; </w:t>
      </w:r>
    </w:p>
    <w:p w14:paraId="7247CE40" w14:textId="77777777" w:rsidR="0075793D" w:rsidRPr="00BA4F0F" w:rsidRDefault="0075793D" w:rsidP="0075793D">
      <w:pPr>
        <w:ind w:firstLine="567"/>
        <w:rPr>
          <w:rFonts w:cs="Times New Roman"/>
          <w:szCs w:val="24"/>
        </w:rPr>
      </w:pPr>
      <w:r w:rsidRPr="00BA4F0F">
        <w:rPr>
          <w:rFonts w:cs="Times New Roman"/>
          <w:szCs w:val="24"/>
        </w:rPr>
        <w:t xml:space="preserve">• выраженная тошнота и рвота, не купирующаяся антиэметической терапией; </w:t>
      </w:r>
    </w:p>
    <w:p w14:paraId="47C05015" w14:textId="77777777" w:rsidR="0075793D" w:rsidRPr="00BA4F0F" w:rsidRDefault="0075793D" w:rsidP="0075793D">
      <w:pPr>
        <w:ind w:firstLine="567"/>
        <w:rPr>
          <w:rFonts w:cs="Times New Roman"/>
          <w:szCs w:val="24"/>
        </w:rPr>
      </w:pPr>
      <w:r w:rsidRPr="00BA4F0F">
        <w:rPr>
          <w:rFonts w:cs="Times New Roman"/>
          <w:szCs w:val="24"/>
        </w:rPr>
        <w:t xml:space="preserve">• гипоксия (раО2 70 мм рт. ст.). </w:t>
      </w:r>
    </w:p>
    <w:p w14:paraId="37CCFF95" w14:textId="77777777" w:rsidR="0075793D" w:rsidRPr="00BA4F0F" w:rsidRDefault="0075793D" w:rsidP="0075793D">
      <w:pPr>
        <w:rPr>
          <w:rFonts w:cs="Times New Roman"/>
          <w:szCs w:val="24"/>
          <w:u w:val="single"/>
        </w:rPr>
      </w:pPr>
    </w:p>
    <w:p w14:paraId="4E75DBAF" w14:textId="77777777" w:rsidR="0075793D" w:rsidRPr="00BA4F0F" w:rsidRDefault="0075793D" w:rsidP="0075793D">
      <w:pPr>
        <w:rPr>
          <w:rFonts w:cs="Times New Roman"/>
          <w:szCs w:val="24"/>
          <w:u w:val="single"/>
        </w:rPr>
      </w:pPr>
      <w:r w:rsidRPr="00BA4F0F">
        <w:rPr>
          <w:rFonts w:cs="Times New Roman"/>
          <w:szCs w:val="24"/>
          <w:u w:val="single"/>
        </w:rPr>
        <w:t>Парентеральное питание</w:t>
      </w:r>
    </w:p>
    <w:p w14:paraId="1A799946" w14:textId="29545BB5" w:rsidR="0075793D" w:rsidRPr="00BA4F0F" w:rsidRDefault="0075793D" w:rsidP="0075793D">
      <w:pPr>
        <w:ind w:firstLine="851"/>
        <w:rPr>
          <w:rFonts w:cs="Times New Roman"/>
          <w:szCs w:val="24"/>
        </w:rPr>
      </w:pPr>
      <w:r w:rsidRPr="00BA4F0F">
        <w:rPr>
          <w:rFonts w:cs="Times New Roman"/>
          <w:szCs w:val="24"/>
        </w:rPr>
        <w:t xml:space="preserve">Показанием к парентеральному питанию является невозможность адекватного энтерального питания более 3 суток </w:t>
      </w:r>
      <w:r w:rsidRPr="00BA4F0F">
        <w:rPr>
          <w:rFonts w:cs="Times New Roman"/>
          <w:szCs w:val="24"/>
        </w:rPr>
        <w:fldChar w:fldCharType="begin" w:fldLock="1"/>
      </w:r>
      <w:r w:rsidR="004810E5">
        <w:rPr>
          <w:rFonts w:cs="Times New Roman"/>
          <w:szCs w:val="24"/>
        </w:rPr>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mendeley":{"formattedCitation":"[205]","plainTextFormattedCitation":"[205]","previouslyFormattedCitation":"[205]"},"properties":{"noteIndex":0},"schema":"https://github.com/citation-style-language/schema/raw/master/csl-citation.json"}</w:instrText>
      </w:r>
      <w:r w:rsidRPr="00BA4F0F">
        <w:rPr>
          <w:rFonts w:cs="Times New Roman"/>
          <w:szCs w:val="24"/>
        </w:rPr>
        <w:fldChar w:fldCharType="separate"/>
      </w:r>
      <w:r w:rsidR="004810E5" w:rsidRPr="004810E5">
        <w:rPr>
          <w:rFonts w:cs="Times New Roman"/>
          <w:noProof/>
          <w:szCs w:val="24"/>
        </w:rPr>
        <w:t>[205]</w:t>
      </w:r>
      <w:r w:rsidRPr="00BA4F0F">
        <w:rPr>
          <w:rFonts w:cs="Times New Roman"/>
          <w:szCs w:val="24"/>
        </w:rPr>
        <w:fldChar w:fldCharType="end"/>
      </w:r>
      <w:r w:rsidRPr="00BA4F0F">
        <w:rPr>
          <w:rFonts w:cs="Times New Roman"/>
          <w:szCs w:val="24"/>
        </w:rPr>
        <w:t>. В зависимости от продолжительности парентеральное питание подразделяется на:</w:t>
      </w:r>
    </w:p>
    <w:p w14:paraId="45F9DDF5" w14:textId="77777777" w:rsidR="0075793D" w:rsidRPr="00BA4F0F" w:rsidRDefault="0075793D" w:rsidP="0075793D">
      <w:pPr>
        <w:ind w:firstLine="567"/>
        <w:rPr>
          <w:rFonts w:cs="Times New Roman"/>
          <w:szCs w:val="24"/>
        </w:rPr>
      </w:pPr>
      <w:r w:rsidRPr="00BA4F0F">
        <w:rPr>
          <w:rFonts w:cs="Times New Roman"/>
          <w:szCs w:val="24"/>
        </w:rPr>
        <w:t>• краткосрочное ПП (10–15 суток):</w:t>
      </w:r>
    </w:p>
    <w:p w14:paraId="1DC4DD71" w14:textId="77777777" w:rsidR="0075793D" w:rsidRPr="00BA4F0F" w:rsidRDefault="0075793D" w:rsidP="0075793D">
      <w:pPr>
        <w:ind w:firstLine="567"/>
        <w:rPr>
          <w:rFonts w:cs="Times New Roman"/>
          <w:szCs w:val="24"/>
        </w:rPr>
      </w:pPr>
      <w:r w:rsidRPr="00BA4F0F">
        <w:rPr>
          <w:rFonts w:cs="Times New Roman"/>
          <w:szCs w:val="24"/>
        </w:rPr>
        <w:t>– острый и тяжелый мукозит, илеус, некупируемая рвота;</w:t>
      </w:r>
    </w:p>
    <w:p w14:paraId="246FFEEF" w14:textId="77777777" w:rsidR="0075793D" w:rsidRPr="00BA4F0F" w:rsidRDefault="0075793D" w:rsidP="0075793D">
      <w:pPr>
        <w:ind w:firstLine="567"/>
        <w:rPr>
          <w:rFonts w:cs="Times New Roman"/>
          <w:szCs w:val="24"/>
        </w:rPr>
      </w:pPr>
      <w:r w:rsidRPr="00BA4F0F">
        <w:rPr>
          <w:rFonts w:cs="Times New Roman"/>
          <w:szCs w:val="24"/>
        </w:rPr>
        <w:t>• длительное (более 30 суток):</w:t>
      </w:r>
    </w:p>
    <w:p w14:paraId="7793EA37" w14:textId="77777777" w:rsidR="0075793D" w:rsidRPr="00BA4F0F" w:rsidRDefault="0075793D" w:rsidP="0075793D">
      <w:pPr>
        <w:ind w:firstLine="567"/>
        <w:rPr>
          <w:rFonts w:cs="Times New Roman"/>
          <w:szCs w:val="24"/>
        </w:rPr>
      </w:pPr>
      <w:r w:rsidRPr="00BA4F0F">
        <w:rPr>
          <w:rFonts w:cs="Times New Roman"/>
          <w:szCs w:val="24"/>
        </w:rPr>
        <w:t>– тяжелая мальабсорбция;</w:t>
      </w:r>
    </w:p>
    <w:p w14:paraId="008D468E" w14:textId="77777777" w:rsidR="0075793D" w:rsidRPr="00BA4F0F" w:rsidRDefault="0075793D" w:rsidP="0075793D">
      <w:pPr>
        <w:ind w:firstLine="567"/>
        <w:rPr>
          <w:rFonts w:cs="Times New Roman"/>
          <w:szCs w:val="24"/>
        </w:rPr>
      </w:pPr>
      <w:r w:rsidRPr="00BA4F0F">
        <w:rPr>
          <w:rFonts w:cs="Times New Roman"/>
          <w:szCs w:val="24"/>
        </w:rPr>
        <w:t>– подострый или хронический энтерит;</w:t>
      </w:r>
    </w:p>
    <w:p w14:paraId="46D871C1" w14:textId="26F7893C" w:rsidR="0075793D" w:rsidRPr="00BA4F0F" w:rsidRDefault="0075793D" w:rsidP="0075793D">
      <w:pPr>
        <w:ind w:firstLine="567"/>
        <w:rPr>
          <w:rFonts w:cs="Times New Roman"/>
          <w:szCs w:val="24"/>
        </w:rPr>
      </w:pPr>
      <w:r w:rsidRPr="00BA4F0F">
        <w:rPr>
          <w:rFonts w:cs="Times New Roman"/>
          <w:szCs w:val="24"/>
        </w:rPr>
        <w:t xml:space="preserve">– тяжелая энтеропатия </w:t>
      </w:r>
      <w:r w:rsidR="00A9496B">
        <w:rPr>
          <w:rFonts w:cs="Times New Roman"/>
          <w:szCs w:val="24"/>
        </w:rPr>
        <w:fldChar w:fldCharType="begin" w:fldLock="1"/>
      </w:r>
      <w:r w:rsidR="00A9496B">
        <w:rPr>
          <w:rFonts w:cs="Times New Roman"/>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DOI":"10.1001/jama.2019.4410","ISSN":"15383598","PMID":"31162570","author":[{"dropping-particle":"","family":"Baiu","given":"Ioana","non-dropping-particle":"","parse-names":false,"suffix":""},{"dropping-particle":"","family":"Spain","given":"David A.","non-dropping-particle":"","parse-names":false,"suffix":""}],"container-title":"JAMA - Journal of the American Medical Association","id":"ITEM-2","issue":"21","issued":{"date-parts":[["2019","6"]]},"page":"2142","publisher":"American Medical Association","title":"Parenteral Nutrition","type":"article","volume":"321"},"uris":["http://www.mendeley.com/documents/?uuid=319ff49c-9a97-32da-a348-b9d79eca400b","http://www.mendeley.com/documents/?uuid=03649143-9c16-417d-8fce-a095e89ff015","http://www.mendeley.com/documents/?uuid=8d92b52e-0af0-435c-9547-6d9170d6c9cc","http://www.mendeley.com/documents/?uuid=49bd1d62-adbc-4b20-8d75-34e8045f6cca","http://www.mendeley.com/documents/?uuid=f45d6235-29b7-40a1-9ebd-0275ed3b5ca7","http://www.mendeley.com/documents/?uuid=34664a84-1020-4ffd-981d-6f9624985d2e","http://www.mendeley.com/documents/?uuid=1967195b-eca8-4ade-9d2d-ff8332f19f7b"]}],"mendeley":{"formattedCitation":"[204,209]","plainTextFormattedCitation":"[204,209]","previouslyFormattedCitation":"[204,209]"},"properties":{"noteIndex":0},"schema":"https://github.com/citation-style-language/schema/raw/master/csl-citation.json"}</w:instrText>
      </w:r>
      <w:r w:rsidR="00A9496B">
        <w:rPr>
          <w:rFonts w:cs="Times New Roman"/>
          <w:szCs w:val="24"/>
        </w:rPr>
        <w:fldChar w:fldCharType="separate"/>
      </w:r>
      <w:r w:rsidR="00A9496B" w:rsidRPr="00A9496B">
        <w:rPr>
          <w:rFonts w:cs="Times New Roman"/>
          <w:noProof/>
          <w:szCs w:val="24"/>
        </w:rPr>
        <w:t>[204,209]</w:t>
      </w:r>
      <w:r w:rsidR="00A9496B">
        <w:rPr>
          <w:rFonts w:cs="Times New Roman"/>
          <w:szCs w:val="24"/>
        </w:rPr>
        <w:fldChar w:fldCharType="end"/>
      </w:r>
      <w:r w:rsidRPr="00BA4F0F">
        <w:rPr>
          <w:rFonts w:cs="Times New Roman"/>
          <w:szCs w:val="24"/>
        </w:rPr>
        <w:t>.</w:t>
      </w:r>
    </w:p>
    <w:p w14:paraId="7890CD7B" w14:textId="77777777" w:rsidR="0075793D" w:rsidRPr="00BA4F0F" w:rsidRDefault="0075793D" w:rsidP="0075793D">
      <w:pPr>
        <w:ind w:firstLine="851"/>
        <w:rPr>
          <w:rFonts w:cs="Times New Roman"/>
          <w:szCs w:val="24"/>
        </w:rPr>
      </w:pPr>
      <w:r w:rsidRPr="00BA4F0F">
        <w:rPr>
          <w:rFonts w:cs="Times New Roman"/>
          <w:szCs w:val="24"/>
        </w:rPr>
        <w:t xml:space="preserve">Необходимые организму нутриенты вводятся непосредственно в кровь. Основными составляющими парентерального питания являются: </w:t>
      </w:r>
    </w:p>
    <w:p w14:paraId="6627E137" w14:textId="77777777" w:rsidR="0075793D" w:rsidRPr="00BA4F0F" w:rsidRDefault="0075793D" w:rsidP="0075793D">
      <w:pPr>
        <w:ind w:firstLine="567"/>
        <w:rPr>
          <w:rFonts w:cs="Times New Roman"/>
          <w:szCs w:val="24"/>
        </w:rPr>
      </w:pPr>
      <w:r w:rsidRPr="00BA4F0F">
        <w:rPr>
          <w:rFonts w:cs="Times New Roman"/>
          <w:szCs w:val="24"/>
        </w:rPr>
        <w:t xml:space="preserve">• источники энергии: 10–20% растворы углеводов, жировые эмульсии; </w:t>
      </w:r>
    </w:p>
    <w:p w14:paraId="22F7ECCC" w14:textId="77777777" w:rsidR="0075793D" w:rsidRPr="00BA4F0F" w:rsidRDefault="0075793D" w:rsidP="0075793D">
      <w:pPr>
        <w:ind w:firstLine="567"/>
        <w:rPr>
          <w:rFonts w:cs="Times New Roman"/>
          <w:szCs w:val="24"/>
        </w:rPr>
      </w:pPr>
      <w:r w:rsidRPr="00BA4F0F">
        <w:rPr>
          <w:rFonts w:cs="Times New Roman"/>
          <w:szCs w:val="24"/>
        </w:rPr>
        <w:t xml:space="preserve">• источники пластического материала: растворы кристаллических аминокислот; </w:t>
      </w:r>
    </w:p>
    <w:p w14:paraId="1C442494" w14:textId="09B8C7DD" w:rsidR="0075793D" w:rsidRPr="00BA4F0F" w:rsidRDefault="0075793D" w:rsidP="0075793D">
      <w:pPr>
        <w:ind w:firstLine="567"/>
        <w:rPr>
          <w:rFonts w:cs="Times New Roman"/>
          <w:szCs w:val="24"/>
        </w:rPr>
      </w:pPr>
      <w:r w:rsidRPr="00BA4F0F">
        <w:rPr>
          <w:rFonts w:cs="Times New Roman"/>
          <w:szCs w:val="24"/>
        </w:rPr>
        <w:t xml:space="preserve">• поливитаминные комплексы для парентерального введения: – препараты водорастворимых витаминов; – препараты жирорастворимых витаминов; – препараты водо- и жирорастворимых витаминов; – комплексы микроэлементов для парентерального введения </w:t>
      </w:r>
      <w:r w:rsidRPr="00BA4F0F">
        <w:rPr>
          <w:rFonts w:cs="Times New Roman"/>
          <w:szCs w:val="24"/>
        </w:rPr>
        <w:fldChar w:fldCharType="begin" w:fldLock="1"/>
      </w:r>
      <w:r w:rsidR="004810E5">
        <w:rPr>
          <w:rFonts w:cs="Times New Roman"/>
          <w:szCs w:val="24"/>
        </w:rPr>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mendeley":{"formattedCitation":"[205]","plainTextFormattedCitation":"[205]","previouslyFormattedCitation":"[205]"},"properties":{"noteIndex":0},"schema":"https://github.com/citation-style-language/schema/raw/master/csl-citation.json"}</w:instrText>
      </w:r>
      <w:r w:rsidRPr="00BA4F0F">
        <w:rPr>
          <w:rFonts w:cs="Times New Roman"/>
          <w:szCs w:val="24"/>
        </w:rPr>
        <w:fldChar w:fldCharType="separate"/>
      </w:r>
      <w:r w:rsidR="004810E5" w:rsidRPr="004810E5">
        <w:rPr>
          <w:rFonts w:cs="Times New Roman"/>
          <w:noProof/>
          <w:szCs w:val="24"/>
        </w:rPr>
        <w:t>[205]</w:t>
      </w:r>
      <w:r w:rsidRPr="00BA4F0F">
        <w:rPr>
          <w:rFonts w:cs="Times New Roman"/>
          <w:szCs w:val="24"/>
        </w:rPr>
        <w:fldChar w:fldCharType="end"/>
      </w:r>
      <w:r w:rsidRPr="00BA4F0F">
        <w:rPr>
          <w:rFonts w:cs="Times New Roman"/>
          <w:szCs w:val="24"/>
        </w:rPr>
        <w:t xml:space="preserve">. </w:t>
      </w:r>
    </w:p>
    <w:p w14:paraId="7D3C0CC4" w14:textId="7B6A0FA8" w:rsidR="0075793D" w:rsidRPr="00BA4F0F" w:rsidRDefault="0075793D" w:rsidP="0075793D">
      <w:pPr>
        <w:ind w:firstLine="851"/>
        <w:rPr>
          <w:rFonts w:cs="Times New Roman"/>
          <w:szCs w:val="24"/>
        </w:rPr>
      </w:pPr>
      <w:r w:rsidRPr="00BA4F0F">
        <w:rPr>
          <w:rFonts w:cs="Times New Roman"/>
          <w:szCs w:val="24"/>
        </w:rPr>
        <w:t xml:space="preserve">Системы парентерального питания </w:t>
      </w:r>
      <w:r w:rsidR="00A9496B">
        <w:rPr>
          <w:rFonts w:cs="Times New Roman"/>
          <w:szCs w:val="24"/>
        </w:rPr>
        <w:fldChar w:fldCharType="begin" w:fldLock="1"/>
      </w:r>
      <w:r w:rsidR="00A9496B">
        <w:rPr>
          <w:rFonts w:cs="Times New Roman"/>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Nutrition","id":"ITEM-2","issue":"1","issued":{"date-parts":[["2017"]]},"page":"11-48","publisher":"Churchill Livingstone","title":"ESPEN guidelines on nutrition in cancer patients","type":"article-journal","volume":"36"},"uris":["http://www.mendeley.com/documents/?uuid=2586b0c4-9eb6-4463-a0ba-87fe84fbad8f"]}],"mendeley":{"formattedCitation":"[204,207]","plainTextFormattedCitation":"[204,207]","previouslyFormattedCitation":"[204,207]"},"properties":{"noteIndex":0},"schema":"https://github.com/citation-style-language/schema/raw/master/csl-citation.json"}</w:instrText>
      </w:r>
      <w:r w:rsidR="00A9496B">
        <w:rPr>
          <w:rFonts w:cs="Times New Roman"/>
          <w:szCs w:val="24"/>
        </w:rPr>
        <w:fldChar w:fldCharType="separate"/>
      </w:r>
      <w:r w:rsidR="00A9496B" w:rsidRPr="00A9496B">
        <w:rPr>
          <w:rFonts w:cs="Times New Roman"/>
          <w:noProof/>
          <w:szCs w:val="24"/>
        </w:rPr>
        <w:t>[204,207]</w:t>
      </w:r>
      <w:r w:rsidR="00A9496B">
        <w:rPr>
          <w:rFonts w:cs="Times New Roman"/>
          <w:szCs w:val="24"/>
        </w:rPr>
        <w:fldChar w:fldCharType="end"/>
      </w:r>
    </w:p>
    <w:p w14:paraId="03C2B497" w14:textId="77777777" w:rsidR="0075793D" w:rsidRPr="00BA4F0F" w:rsidRDefault="0075793D" w:rsidP="0075793D">
      <w:pPr>
        <w:ind w:firstLine="851"/>
        <w:rPr>
          <w:rFonts w:cs="Times New Roman"/>
          <w:szCs w:val="24"/>
        </w:rPr>
      </w:pPr>
      <w:r w:rsidRPr="00BA4F0F">
        <w:rPr>
          <w:rFonts w:cs="Times New Roman"/>
          <w:szCs w:val="24"/>
        </w:rPr>
        <w:t xml:space="preserve">• «модульная» – использование флаконов с аминокислотами, глюкозой, жировыми эмульсиями; (главным недостатком данного метода является различная скорость введения препаратов); </w:t>
      </w:r>
    </w:p>
    <w:p w14:paraId="5F96C238" w14:textId="77777777" w:rsidR="0075793D" w:rsidRPr="00BA4F0F" w:rsidRDefault="0075793D" w:rsidP="0075793D">
      <w:pPr>
        <w:ind w:firstLine="851"/>
        <w:rPr>
          <w:rFonts w:cs="Times New Roman"/>
          <w:szCs w:val="24"/>
        </w:rPr>
      </w:pPr>
      <w:r w:rsidRPr="00BA4F0F">
        <w:rPr>
          <w:rFonts w:cs="Times New Roman"/>
          <w:szCs w:val="24"/>
        </w:rPr>
        <w:t xml:space="preserve">• система «все в одном» предполагает использование двух- и трехкомпонентных контейнеров с подобранным необходимым количеством и метаболически верным соотношением аминокислот, глюкозы, липидов и электролитов. </w:t>
      </w:r>
    </w:p>
    <w:p w14:paraId="35A5D57B" w14:textId="1222FDE7" w:rsidR="0075793D" w:rsidRPr="00BA4F0F" w:rsidRDefault="0075793D" w:rsidP="0075793D">
      <w:pPr>
        <w:ind w:firstLine="851"/>
        <w:rPr>
          <w:rFonts w:cs="Times New Roman"/>
          <w:szCs w:val="24"/>
        </w:rPr>
      </w:pPr>
      <w:r w:rsidRPr="00BA4F0F">
        <w:rPr>
          <w:rFonts w:cs="Times New Roman"/>
          <w:szCs w:val="24"/>
        </w:rPr>
        <w:t xml:space="preserve">Противопоказания к парентеральному питанию </w:t>
      </w:r>
      <w:r w:rsidR="00A9496B">
        <w:rPr>
          <w:rFonts w:cs="Times New Roman"/>
          <w:szCs w:val="24"/>
        </w:rPr>
        <w:fldChar w:fldCharType="begin" w:fldLock="1"/>
      </w:r>
      <w:r w:rsidR="00ED3198">
        <w:rPr>
          <w:rFonts w:cs="Times New Roman"/>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Nutrition","id":"ITEM-2","issue":"1","issued":{"date-parts":[["2017"]]},"page":"11-48","publisher":"Churchill Livingstone","title":"ESPEN guidelines on nutrition in cancer patients","type":"article-journal","volume":"36"},"uris":["http://www.mendeley.com/documents/?uuid=2586b0c4-9eb6-4463-a0ba-87fe84fbad8f"]}],"mendeley":{"formattedCitation":"[204,207]","plainTextFormattedCitation":"[204,207]","previouslyFormattedCitation":"[204,207]"},"properties":{"noteIndex":0},"schema":"https://github.com/citation-style-language/schema/raw/master/csl-citation.json"}</w:instrText>
      </w:r>
      <w:r w:rsidR="00A9496B">
        <w:rPr>
          <w:rFonts w:cs="Times New Roman"/>
          <w:szCs w:val="24"/>
        </w:rPr>
        <w:fldChar w:fldCharType="separate"/>
      </w:r>
      <w:r w:rsidR="00A9496B" w:rsidRPr="00A9496B">
        <w:rPr>
          <w:rFonts w:cs="Times New Roman"/>
          <w:noProof/>
          <w:szCs w:val="24"/>
        </w:rPr>
        <w:t>[204,207]</w:t>
      </w:r>
      <w:r w:rsidR="00A9496B">
        <w:rPr>
          <w:rFonts w:cs="Times New Roman"/>
          <w:szCs w:val="24"/>
        </w:rPr>
        <w:fldChar w:fldCharType="end"/>
      </w:r>
    </w:p>
    <w:p w14:paraId="35FBA22E" w14:textId="77777777" w:rsidR="0075793D" w:rsidRPr="00BA4F0F" w:rsidRDefault="0075793D" w:rsidP="0075793D">
      <w:pPr>
        <w:ind w:firstLine="851"/>
        <w:rPr>
          <w:rFonts w:cs="Times New Roman"/>
          <w:szCs w:val="24"/>
        </w:rPr>
      </w:pPr>
      <w:r w:rsidRPr="00BA4F0F">
        <w:rPr>
          <w:rFonts w:cs="Times New Roman"/>
          <w:szCs w:val="24"/>
        </w:rPr>
        <w:t>• возможность энтерального питания;</w:t>
      </w:r>
    </w:p>
    <w:p w14:paraId="11899807" w14:textId="77777777" w:rsidR="0075793D" w:rsidRPr="00BA4F0F" w:rsidRDefault="0075793D" w:rsidP="0075793D">
      <w:pPr>
        <w:ind w:firstLine="851"/>
        <w:rPr>
          <w:rFonts w:cs="Times New Roman"/>
          <w:szCs w:val="24"/>
        </w:rPr>
      </w:pPr>
      <w:r w:rsidRPr="00BA4F0F">
        <w:rPr>
          <w:rFonts w:cs="Times New Roman"/>
          <w:szCs w:val="24"/>
        </w:rPr>
        <w:t xml:space="preserve">• невозможность обеспечения адекватного сосудистого доступа; </w:t>
      </w:r>
    </w:p>
    <w:p w14:paraId="669A0BCC" w14:textId="77777777" w:rsidR="0075793D" w:rsidRPr="00BA4F0F" w:rsidRDefault="0075793D" w:rsidP="0075793D">
      <w:pPr>
        <w:ind w:firstLine="851"/>
        <w:rPr>
          <w:rFonts w:cs="Times New Roman"/>
          <w:szCs w:val="24"/>
        </w:rPr>
      </w:pPr>
      <w:r w:rsidRPr="00BA4F0F">
        <w:rPr>
          <w:rFonts w:cs="Times New Roman"/>
          <w:szCs w:val="24"/>
        </w:rPr>
        <w:t xml:space="preserve">• отсутствие признаков белково-энергетической недостаточности; </w:t>
      </w:r>
    </w:p>
    <w:p w14:paraId="3EC38759" w14:textId="77777777" w:rsidR="0075793D" w:rsidRPr="00BA4F0F" w:rsidRDefault="0075793D" w:rsidP="0075793D">
      <w:pPr>
        <w:ind w:firstLine="851"/>
        <w:rPr>
          <w:rFonts w:cs="Times New Roman"/>
          <w:szCs w:val="24"/>
        </w:rPr>
      </w:pPr>
      <w:r w:rsidRPr="00BA4F0F">
        <w:rPr>
          <w:rFonts w:cs="Times New Roman"/>
          <w:szCs w:val="24"/>
        </w:rPr>
        <w:t xml:space="preserve">• гипоксия (раО2 70 мм рт. ст., сывороточный лактат &gt; 3 ммоль/л); </w:t>
      </w:r>
    </w:p>
    <w:p w14:paraId="6E2C2CEF" w14:textId="77777777" w:rsidR="0075793D" w:rsidRPr="00BA4F0F" w:rsidRDefault="0075793D" w:rsidP="0075793D">
      <w:pPr>
        <w:ind w:firstLine="851"/>
        <w:rPr>
          <w:rFonts w:cs="Times New Roman"/>
          <w:szCs w:val="24"/>
        </w:rPr>
      </w:pPr>
      <w:r w:rsidRPr="00BA4F0F">
        <w:rPr>
          <w:rFonts w:cs="Times New Roman"/>
          <w:szCs w:val="24"/>
        </w:rPr>
        <w:t xml:space="preserve">• анурия или гипергидратация без диализа. </w:t>
      </w:r>
    </w:p>
    <w:p w14:paraId="2FC4B13B" w14:textId="3F078086" w:rsidR="0075793D" w:rsidRPr="00BA4F0F" w:rsidRDefault="0075793D" w:rsidP="0075793D">
      <w:pPr>
        <w:ind w:firstLine="851"/>
        <w:rPr>
          <w:rFonts w:cs="Times New Roman"/>
          <w:szCs w:val="24"/>
        </w:rPr>
      </w:pPr>
      <w:r w:rsidRPr="00BA4F0F">
        <w:rPr>
          <w:rFonts w:cs="Times New Roman"/>
          <w:szCs w:val="24"/>
        </w:rPr>
        <w:t xml:space="preserve">Смешанное питание </w:t>
      </w:r>
      <w:r w:rsidR="00ED3198">
        <w:rPr>
          <w:rFonts w:cs="Times New Roman"/>
          <w:szCs w:val="24"/>
        </w:rPr>
        <w:fldChar w:fldCharType="begin" w:fldLock="1"/>
      </w:r>
      <w:r w:rsidR="00955421">
        <w:rPr>
          <w:rFonts w:cs="Times New Roman"/>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А.И.","non-dropping-particle":"","parse-names":false,"suffix":""}],"id":"ITEM-2","issued":{"date-parts":[["2014"]]},"title":"Клинические рекомендации по нутритивной поддержке при химиотерапии и/или лучевой терапии","type":"report"},"uris":["http://www.mendeley.com/documents/?uuid=59e000a3-48e0-4529-8954-5598c41cc72e","http://www.mendeley.com/documents/?uuid=2475f28c-b7e0-408d-8d85-bd890e4862de","http://www.mendeley.com/documents/?uuid=2db47854-c914-42bd-bd4d-a19b47e78e0d","http://www.mendeley.com/documents/?uuid=113bc17a-cb71-4ba2-afb9-083757d46c9b","http://www.mendeley.com/documents/?uuid=17acaf09-3d29-4b25-b43e-598e8835165d","http://www.mendeley.com/documents/?uuid=2da28a52-fa64-480f-9c45-312b59a7027b","http://www.mendeley.com/documents/?uuid=fa470355-bcfd-3bef-a7a1-086215509c2d"]}],"mendeley":{"formattedCitation":"[204,206]","plainTextFormattedCitation":"[204,206]","previouslyFormattedCitation":"[204,206]"},"properties":{"noteIndex":0},"schema":"https://github.com/citation-style-language/schema/raw/master/csl-citation.json"}</w:instrText>
      </w:r>
      <w:r w:rsidR="00ED3198">
        <w:rPr>
          <w:rFonts w:cs="Times New Roman"/>
          <w:szCs w:val="24"/>
        </w:rPr>
        <w:fldChar w:fldCharType="separate"/>
      </w:r>
      <w:r w:rsidR="00ED3198" w:rsidRPr="00ED3198">
        <w:rPr>
          <w:rFonts w:cs="Times New Roman"/>
          <w:noProof/>
          <w:szCs w:val="24"/>
        </w:rPr>
        <w:t>[204,206]</w:t>
      </w:r>
      <w:r w:rsidR="00ED3198">
        <w:rPr>
          <w:rFonts w:cs="Times New Roman"/>
          <w:szCs w:val="24"/>
        </w:rPr>
        <w:fldChar w:fldCharType="end"/>
      </w:r>
    </w:p>
    <w:p w14:paraId="27CFE732" w14:textId="77777777" w:rsidR="0075793D" w:rsidRPr="00BA4F0F" w:rsidRDefault="0075793D" w:rsidP="0075793D">
      <w:pPr>
        <w:ind w:firstLine="851"/>
        <w:rPr>
          <w:rFonts w:cs="Times New Roman"/>
          <w:szCs w:val="24"/>
        </w:rPr>
      </w:pPr>
      <w:r w:rsidRPr="00BA4F0F">
        <w:rPr>
          <w:rFonts w:cs="Times New Roman"/>
          <w:szCs w:val="24"/>
        </w:rPr>
        <w:t xml:space="preserve">Энтеральное и парентеральное питание может назначаться пациентам одновременно при недостаточной эффективности одного из этих методов (не позволяющем обеспечить более 60% от потребности в энергии). </w:t>
      </w:r>
    </w:p>
    <w:p w14:paraId="6DE53CEE" w14:textId="77777777" w:rsidR="0075793D" w:rsidRPr="00BA4F0F" w:rsidRDefault="0075793D" w:rsidP="0075793D">
      <w:pPr>
        <w:ind w:firstLine="851"/>
        <w:rPr>
          <w:rFonts w:cs="Times New Roman"/>
          <w:szCs w:val="24"/>
        </w:rPr>
      </w:pPr>
      <w:r w:rsidRPr="00BA4F0F">
        <w:rPr>
          <w:rFonts w:cs="Times New Roman"/>
          <w:szCs w:val="24"/>
        </w:rPr>
        <w:t xml:space="preserve">Мониторинг эффективности нутритивной поддержки </w:t>
      </w:r>
    </w:p>
    <w:p w14:paraId="0E5F7984" w14:textId="77777777" w:rsidR="0075793D" w:rsidRPr="00BA4F0F" w:rsidRDefault="0075793D" w:rsidP="0075793D">
      <w:pPr>
        <w:ind w:firstLine="851"/>
        <w:rPr>
          <w:rFonts w:cs="Times New Roman"/>
          <w:szCs w:val="24"/>
        </w:rPr>
      </w:pPr>
      <w:r w:rsidRPr="00BA4F0F">
        <w:rPr>
          <w:rFonts w:cs="Times New Roman"/>
          <w:szCs w:val="24"/>
        </w:rPr>
        <w:t>Частота исследования данных показателей может изменяться в зависимости от конкретной клинической ситуации.</w:t>
      </w:r>
    </w:p>
    <w:p w14:paraId="7FC56496" w14:textId="77777777" w:rsidR="0075793D" w:rsidRPr="00BA4F0F" w:rsidRDefault="0075793D" w:rsidP="0075793D">
      <w:pPr>
        <w:ind w:firstLine="851"/>
        <w:rPr>
          <w:rFonts w:cs="Times New Roman"/>
          <w:szCs w:val="24"/>
        </w:rPr>
      </w:pPr>
      <w:r w:rsidRPr="00BA4F0F">
        <w:rPr>
          <w:rFonts w:cs="Times New Roman"/>
          <w:szCs w:val="24"/>
        </w:rPr>
        <w:t>• Общий белок сыворотки крови 1 раз в 5–7 дней.</w:t>
      </w:r>
    </w:p>
    <w:p w14:paraId="52B0D211" w14:textId="77777777" w:rsidR="0075793D" w:rsidRPr="00BA4F0F" w:rsidRDefault="0075793D" w:rsidP="0075793D">
      <w:pPr>
        <w:ind w:firstLine="851"/>
        <w:rPr>
          <w:rFonts w:cs="Times New Roman"/>
          <w:szCs w:val="24"/>
        </w:rPr>
      </w:pPr>
      <w:r w:rsidRPr="00BA4F0F">
        <w:rPr>
          <w:rFonts w:cs="Times New Roman"/>
          <w:szCs w:val="24"/>
        </w:rPr>
        <w:t>• Альбумин сыворотки крови 1 раз в 5–7 дней.</w:t>
      </w:r>
    </w:p>
    <w:p w14:paraId="6477AE84" w14:textId="77777777" w:rsidR="0075793D" w:rsidRPr="00BA4F0F" w:rsidRDefault="0075793D" w:rsidP="0075793D">
      <w:pPr>
        <w:ind w:firstLine="851"/>
        <w:rPr>
          <w:rFonts w:cs="Times New Roman"/>
          <w:szCs w:val="24"/>
        </w:rPr>
      </w:pPr>
      <w:r w:rsidRPr="00BA4F0F">
        <w:rPr>
          <w:rFonts w:cs="Times New Roman"/>
          <w:szCs w:val="24"/>
        </w:rPr>
        <w:t>• Гемоглобин 1 раз в 5–7 дней.</w:t>
      </w:r>
    </w:p>
    <w:p w14:paraId="5E6EDDB6" w14:textId="77777777" w:rsidR="0075793D" w:rsidRPr="00BA4F0F" w:rsidRDefault="0075793D" w:rsidP="0075793D">
      <w:pPr>
        <w:ind w:firstLine="851"/>
        <w:rPr>
          <w:rFonts w:cs="Times New Roman"/>
          <w:szCs w:val="24"/>
        </w:rPr>
      </w:pPr>
      <w:r w:rsidRPr="00BA4F0F">
        <w:rPr>
          <w:rFonts w:cs="Times New Roman"/>
          <w:szCs w:val="24"/>
        </w:rPr>
        <w:t>• Лимфоциты периферической крови 1 раз в 5–7 дней.</w:t>
      </w:r>
    </w:p>
    <w:p w14:paraId="5E3C6E33" w14:textId="77777777" w:rsidR="0075793D" w:rsidRPr="00BA4F0F" w:rsidRDefault="0075793D" w:rsidP="0075793D">
      <w:pPr>
        <w:ind w:firstLine="851"/>
        <w:rPr>
          <w:rFonts w:cs="Times New Roman"/>
          <w:szCs w:val="24"/>
        </w:rPr>
      </w:pPr>
      <w:r w:rsidRPr="00BA4F0F">
        <w:rPr>
          <w:rFonts w:cs="Times New Roman"/>
          <w:szCs w:val="24"/>
        </w:rPr>
        <w:t>• Масса тела и ИМТ тела 1 раз в 7–10 дней.</w:t>
      </w:r>
    </w:p>
    <w:p w14:paraId="4F5C879F" w14:textId="77777777" w:rsidR="0075793D" w:rsidRPr="00BA4F0F" w:rsidRDefault="0075793D" w:rsidP="0075793D">
      <w:pPr>
        <w:rPr>
          <w:rFonts w:cs="Times New Roman"/>
          <w:b/>
          <w:szCs w:val="24"/>
          <w:highlight w:val="green"/>
        </w:rPr>
      </w:pPr>
    </w:p>
    <w:p w14:paraId="2BCBCA96" w14:textId="77777777" w:rsidR="0075793D" w:rsidRPr="00BA4F0F" w:rsidRDefault="0075793D" w:rsidP="0075793D">
      <w:pPr>
        <w:rPr>
          <w:rFonts w:cs="Times New Roman"/>
          <w:b/>
          <w:szCs w:val="24"/>
        </w:rPr>
      </w:pPr>
      <w:r w:rsidRPr="00BA4F0F">
        <w:rPr>
          <w:rFonts w:cs="Times New Roman"/>
          <w:b/>
          <w:szCs w:val="24"/>
        </w:rPr>
        <w:t xml:space="preserve"> </w:t>
      </w:r>
      <w:bookmarkStart w:id="155" w:name="_Toc44926642"/>
      <w:r w:rsidRPr="00BA4F0F">
        <w:rPr>
          <w:rFonts w:cs="Times New Roman"/>
          <w:b/>
          <w:szCs w:val="24"/>
        </w:rPr>
        <w:t>Обезболивание в период нейтропении</w:t>
      </w:r>
      <w:bookmarkEnd w:id="155"/>
    </w:p>
    <w:p w14:paraId="44279E94" w14:textId="77777777" w:rsidR="0075793D" w:rsidRPr="00BA4F0F" w:rsidRDefault="0075793D" w:rsidP="0075793D">
      <w:pPr>
        <w:ind w:firstLine="851"/>
        <w:rPr>
          <w:rFonts w:cs="Times New Roman"/>
          <w:szCs w:val="24"/>
        </w:rPr>
      </w:pPr>
      <w:r w:rsidRPr="00BA4F0F">
        <w:rPr>
          <w:rFonts w:cs="Times New Roman"/>
          <w:szCs w:val="24"/>
        </w:rPr>
        <w:t xml:space="preserve">Интенсивный болевой синдром в полости рта и при глотании при мукозите </w:t>
      </w:r>
      <w:r w:rsidRPr="00BA4F0F">
        <w:rPr>
          <w:rFonts w:cs="Times New Roman"/>
          <w:szCs w:val="24"/>
          <w:lang w:val="en-US"/>
        </w:rPr>
        <w:t>III</w:t>
      </w:r>
      <w:r w:rsidRPr="00BA4F0F">
        <w:rPr>
          <w:rFonts w:cs="Times New Roman"/>
          <w:szCs w:val="24"/>
        </w:rPr>
        <w:t>-</w:t>
      </w:r>
      <w:r w:rsidRPr="00BA4F0F">
        <w:rPr>
          <w:rFonts w:cs="Times New Roman"/>
          <w:szCs w:val="24"/>
          <w:lang w:val="en-US"/>
        </w:rPr>
        <w:t>IV</w:t>
      </w:r>
      <w:r w:rsidRPr="00BA4F0F">
        <w:rPr>
          <w:rFonts w:cs="Times New Roman"/>
          <w:szCs w:val="24"/>
        </w:rPr>
        <w:t xml:space="preserve"> степени в период миелотоксического агранулоцитоза является показанием к назначению аналгетической терапии. Применение нестероидных противовоспалительных средств (НПВС) не рекомендовано в период МТА. Механизм действия НПВС связан с угнетением активности циклооксигеназы (ЦОГ), катализирующей образование простагландинов из арахидоновой кислоты. Простагландины играют важную роль в патогенезе боли, воспаления и лихорадки. </w:t>
      </w:r>
    </w:p>
    <w:p w14:paraId="3EFB758C" w14:textId="77777777" w:rsidR="0075793D" w:rsidRPr="00BA4F0F" w:rsidRDefault="0075793D" w:rsidP="0075793D">
      <w:pPr>
        <w:ind w:firstLine="851"/>
        <w:rPr>
          <w:rFonts w:cs="Times New Roman"/>
          <w:szCs w:val="24"/>
        </w:rPr>
      </w:pPr>
      <w:r w:rsidRPr="00BA4F0F">
        <w:rPr>
          <w:rFonts w:cs="Times New Roman"/>
          <w:szCs w:val="24"/>
        </w:rPr>
        <w:t xml:space="preserve">В условиях нейтропении блокирование воспалительной реакции может привести к фатальным осложнениям, молниеносному развитию сепсиса и септического шока. Кроме того, в результате ингибирования ЦОГ-1 в тромбоцитах подавляется синтез эндогенного проагреганта тромбоксана. Антиагрегантное действие НПВС в условиях тромбоцитопении может провоцировать кровотечения. </w:t>
      </w:r>
    </w:p>
    <w:p w14:paraId="4FD95745" w14:textId="77777777" w:rsidR="0075793D" w:rsidRPr="00BA4F0F" w:rsidRDefault="0075793D" w:rsidP="0075793D">
      <w:pPr>
        <w:ind w:firstLine="851"/>
        <w:rPr>
          <w:rFonts w:eastAsiaTheme="majorEastAsia" w:cs="Times New Roman"/>
          <w:b/>
          <w:bCs/>
          <w:szCs w:val="24"/>
        </w:rPr>
      </w:pPr>
      <w:r w:rsidRPr="00BA4F0F">
        <w:rPr>
          <w:rFonts w:cs="Times New Roman"/>
          <w:szCs w:val="24"/>
        </w:rPr>
        <w:t xml:space="preserve">В связи с этим в период МТА для обезболивания рекомендованы к применению наркотические аналгетики (промедол 10 мг в/в, трамадол 100 мг в/в, фентанил 25 мкг/час трансдермально). В связи с тем, что у части больных тяжелый мукозит сохраняется длительное время, может потребоваться многократное назначение указанных наркотических аналгетиков. </w:t>
      </w:r>
    </w:p>
    <w:p w14:paraId="478DDE76" w14:textId="0BFEB8FF" w:rsidR="0075793D" w:rsidRDefault="0075793D" w:rsidP="004F02C5">
      <w:pPr>
        <w:pStyle w:val="11"/>
      </w:pPr>
    </w:p>
    <w:p w14:paraId="7848E4F5" w14:textId="2729A1BF" w:rsidR="00124A26" w:rsidRPr="00124A26" w:rsidRDefault="005E0272" w:rsidP="00124A26">
      <w:pPr>
        <w:pStyle w:val="11"/>
      </w:pPr>
      <w:bookmarkStart w:id="156" w:name="_Toc65586434"/>
      <w:r w:rsidRPr="00124A26">
        <w:t xml:space="preserve">Приложение А3.9. </w:t>
      </w:r>
      <w:r w:rsidR="00124A26" w:rsidRPr="00124A26">
        <w:t>Проведение трансплантации аллогенных гемопоэтических стволовых клеток</w:t>
      </w:r>
      <w:bookmarkEnd w:id="156"/>
    </w:p>
    <w:p w14:paraId="1F848D62" w14:textId="77777777" w:rsidR="00124A26" w:rsidRPr="00C07B2E" w:rsidRDefault="00124A26" w:rsidP="00124A26">
      <w:pPr>
        <w:rPr>
          <w:rFonts w:eastAsia="SimSun"/>
        </w:rPr>
      </w:pPr>
    </w:p>
    <w:p w14:paraId="3B309E2D" w14:textId="77777777" w:rsidR="00124A26" w:rsidRPr="00EE51B1" w:rsidRDefault="00124A26" w:rsidP="00124A26">
      <w:pPr>
        <w:rPr>
          <w:rFonts w:eastAsia="SimSun"/>
          <w:b/>
        </w:rPr>
      </w:pPr>
      <w:bookmarkStart w:id="157" w:name="_Toc44401103"/>
      <w:r w:rsidRPr="00EE51B1">
        <w:rPr>
          <w:rFonts w:eastAsia="SimSun"/>
          <w:b/>
        </w:rPr>
        <w:t>1. Отбор пациентов для трансплантации аллогенных гемопоэтических стволовых клеток</w:t>
      </w:r>
      <w:bookmarkEnd w:id="157"/>
    </w:p>
    <w:p w14:paraId="5330F951" w14:textId="0D2263AE" w:rsidR="00124A26" w:rsidRPr="00EE51B1" w:rsidRDefault="00124A26" w:rsidP="00124A26">
      <w:pPr>
        <w:rPr>
          <w:rFonts w:eastAsia="SimSun"/>
          <w:i/>
          <w:u w:val="single"/>
        </w:rPr>
      </w:pPr>
      <w:bookmarkStart w:id="158" w:name="_Toc44401106"/>
      <w:r w:rsidRPr="00EE51B1">
        <w:rPr>
          <w:rFonts w:eastAsia="SimSun"/>
          <w:i/>
          <w:u w:val="single"/>
        </w:rPr>
        <w:t>Показания для проведения алло-ТГСК</w:t>
      </w:r>
      <w:bookmarkEnd w:id="158"/>
      <w:r w:rsidRPr="00EE51B1">
        <w:rPr>
          <w:rFonts w:eastAsia="SimSun"/>
          <w:i/>
          <w:u w:val="single"/>
        </w:rPr>
        <w:t xml:space="preserve"> </w:t>
      </w:r>
      <w:r w:rsidRPr="00EE51B1">
        <w:rPr>
          <w:rFonts w:eastAsia="SimSun"/>
          <w:u w:val="single"/>
        </w:rPr>
        <w:fldChar w:fldCharType="begin" w:fldLock="1"/>
      </w:r>
      <w:r w:rsidR="00F040F8">
        <w:rPr>
          <w:rFonts w:eastAsia="SimSun"/>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[210]","plainTextFormattedCitation":"[210]","previouslyFormattedCitation":"[210]"},"properties":{"noteIndex":0},"schema":"https://github.com/citation-style-language/schema/raw/master/csl-citation.json"}</w:instrText>
      </w:r>
      <w:r w:rsidRPr="00EE51B1">
        <w:rPr>
          <w:rFonts w:eastAsia="SimSun"/>
          <w:u w:val="single"/>
        </w:rPr>
        <w:fldChar w:fldCharType="separate"/>
      </w:r>
      <w:r w:rsidR="005C0C1F" w:rsidRPr="005C0C1F">
        <w:rPr>
          <w:rFonts w:eastAsia="SimSun"/>
          <w:noProof/>
        </w:rPr>
        <w:t>[210]</w:t>
      </w:r>
      <w:r w:rsidRPr="00EE51B1">
        <w:rPr>
          <w:rFonts w:eastAsia="SimSun"/>
          <w:u w:val="single"/>
        </w:rPr>
        <w:fldChar w:fldCharType="end"/>
      </w:r>
      <w:r w:rsidRPr="00EE51B1">
        <w:rPr>
          <w:rFonts w:eastAsia="SimSun"/>
          <w:i/>
          <w:u w:val="single"/>
        </w:rPr>
        <w:t>:</w:t>
      </w:r>
    </w:p>
    <w:p w14:paraId="18D97185" w14:textId="76809A2C" w:rsidR="00124A26" w:rsidRPr="00C07B2E" w:rsidRDefault="00124A26" w:rsidP="00124A26">
      <w:pPr>
        <w:rPr>
          <w:rFonts w:eastAsia="SimSun"/>
        </w:rPr>
      </w:pPr>
      <w:r w:rsidRPr="00C07B2E">
        <w:rPr>
          <w:rFonts w:eastAsia="SimSun"/>
        </w:rPr>
        <w:t>Медицинские показания к трансплантации костного мозга и гемопоэтических стволовых клеток определены Приказом Минздрава России от 12.12.2018 N 875н "Об утверждении Порядка оказания медицин</w:t>
      </w:r>
      <w:r w:rsidR="007A1AC4">
        <w:rPr>
          <w:rFonts w:eastAsia="SimSun"/>
        </w:rPr>
        <w:t>ри</w:t>
      </w:r>
      <w:r w:rsidRPr="00C07B2E">
        <w:rPr>
          <w:rFonts w:eastAsia="SimSun"/>
        </w:rPr>
        <w:t xml:space="preserve">ской помощи при заболеваниях (состояниях), для лечения которых применяется трансплантация (пересадка) костного мозга и гемопоэтических стволовых клеток, и внесении изменения в Порядок оказания медицинской помощи по профилю "хирургия (трансплантация органов и (или) тканей человека)", утвержденный приказом Министерства здравоохранения Российской Федерации от 31 октября 2012 г. N 567н" (Зарегистрировано в Минюсте России 09.01.2019 N 53256).В качестве кандидатов для проведения алло-ТГСК могут рассматриваться пациенты, имеющие: </w:t>
      </w:r>
    </w:p>
    <w:p w14:paraId="68E4ADAB" w14:textId="77777777" w:rsidR="00124A26" w:rsidRPr="00C07B2E" w:rsidRDefault="00124A26" w:rsidP="00A577FB">
      <w:pPr>
        <w:numPr>
          <w:ilvl w:val="0"/>
          <w:numId w:val="245"/>
        </w:numPr>
        <w:overflowPunct w:val="0"/>
        <w:autoSpaceDE w:val="0"/>
        <w:autoSpaceDN w:val="0"/>
        <w:adjustRightInd w:val="0"/>
        <w:textAlignment w:val="baseline"/>
        <w:rPr>
          <w:rFonts w:eastAsia="SimSun"/>
        </w:rPr>
      </w:pPr>
      <w:r w:rsidRPr="00C07B2E">
        <w:rPr>
          <w:rFonts w:eastAsia="SimSun"/>
        </w:rPr>
        <w:t>злокачественные и другие новообразования лимфоидной, кроветворной и родственной им тканей;</w:t>
      </w:r>
    </w:p>
    <w:p w14:paraId="27E7555C" w14:textId="77777777" w:rsidR="00124A26" w:rsidRPr="00C07B2E" w:rsidRDefault="00124A26" w:rsidP="00A577FB">
      <w:pPr>
        <w:numPr>
          <w:ilvl w:val="0"/>
          <w:numId w:val="245"/>
        </w:numPr>
        <w:overflowPunct w:val="0"/>
        <w:autoSpaceDE w:val="0"/>
        <w:autoSpaceDN w:val="0"/>
        <w:adjustRightInd w:val="0"/>
        <w:textAlignment w:val="baseline"/>
        <w:rPr>
          <w:rFonts w:eastAsia="SimSun"/>
        </w:rPr>
      </w:pPr>
      <w:r w:rsidRPr="00C07B2E">
        <w:rPr>
          <w:rFonts w:eastAsia="SimSun"/>
        </w:rPr>
        <w:t>болезни крови, кроветворных органов и отдельные нарушения, вовлекающие иммунный механизм;</w:t>
      </w:r>
    </w:p>
    <w:p w14:paraId="70C274E6" w14:textId="77777777" w:rsidR="00124A26" w:rsidRPr="00C07B2E" w:rsidRDefault="00124A26" w:rsidP="00A577FB">
      <w:pPr>
        <w:numPr>
          <w:ilvl w:val="0"/>
          <w:numId w:val="245"/>
        </w:numPr>
        <w:overflowPunct w:val="0"/>
        <w:autoSpaceDE w:val="0"/>
        <w:autoSpaceDN w:val="0"/>
        <w:adjustRightInd w:val="0"/>
        <w:textAlignment w:val="baseline"/>
        <w:rPr>
          <w:rFonts w:eastAsia="SimSun"/>
        </w:rPr>
      </w:pPr>
      <w:r w:rsidRPr="00C07B2E">
        <w:rPr>
          <w:rFonts w:eastAsia="SimSun"/>
        </w:rPr>
        <w:t>врожденные иммунодефицитные синдромы;</w:t>
      </w:r>
    </w:p>
    <w:p w14:paraId="6F0B8A85" w14:textId="77777777" w:rsidR="00124A26" w:rsidRPr="00C07B2E" w:rsidRDefault="00124A26" w:rsidP="00A577FB">
      <w:pPr>
        <w:numPr>
          <w:ilvl w:val="0"/>
          <w:numId w:val="245"/>
        </w:numPr>
        <w:overflowPunct w:val="0"/>
        <w:autoSpaceDE w:val="0"/>
        <w:autoSpaceDN w:val="0"/>
        <w:adjustRightInd w:val="0"/>
        <w:textAlignment w:val="baseline"/>
        <w:rPr>
          <w:rFonts w:eastAsia="SimSun"/>
        </w:rPr>
      </w:pPr>
      <w:r w:rsidRPr="00C07B2E">
        <w:rPr>
          <w:rFonts w:eastAsia="SimSun"/>
        </w:rPr>
        <w:t>врожденные аномалии (пороки развития), деформации и хромосомные нарушения, болезни эндокринной системы, расстройства питания и нарушения обмена веществ, которые могут быть скорригированы с помощью трансплантации гемопоэтических клеток;</w:t>
      </w:r>
    </w:p>
    <w:p w14:paraId="28CE10F8" w14:textId="77777777" w:rsidR="00124A26" w:rsidRPr="00C07B2E" w:rsidRDefault="00124A26" w:rsidP="00A577FB">
      <w:pPr>
        <w:numPr>
          <w:ilvl w:val="0"/>
          <w:numId w:val="245"/>
        </w:numPr>
        <w:overflowPunct w:val="0"/>
        <w:autoSpaceDE w:val="0"/>
        <w:autoSpaceDN w:val="0"/>
        <w:adjustRightInd w:val="0"/>
        <w:textAlignment w:val="baseline"/>
        <w:rPr>
          <w:rFonts w:eastAsia="SimSun"/>
        </w:rPr>
      </w:pPr>
      <w:r w:rsidRPr="00C07B2E">
        <w:rPr>
          <w:rFonts w:eastAsia="SimSun"/>
        </w:rPr>
        <w:t>злокачественные новообразования мезотелиальной и мягких тканей (рабдомиосаркома);</w:t>
      </w:r>
    </w:p>
    <w:p w14:paraId="046DCF4B" w14:textId="77777777" w:rsidR="00124A26" w:rsidRPr="00C07B2E" w:rsidRDefault="00124A26" w:rsidP="00A577FB">
      <w:pPr>
        <w:numPr>
          <w:ilvl w:val="0"/>
          <w:numId w:val="245"/>
        </w:numPr>
        <w:overflowPunct w:val="0"/>
        <w:autoSpaceDE w:val="0"/>
        <w:autoSpaceDN w:val="0"/>
        <w:adjustRightInd w:val="0"/>
        <w:textAlignment w:val="baseline"/>
        <w:rPr>
          <w:rFonts w:eastAsia="SimSun"/>
        </w:rPr>
      </w:pPr>
      <w:r w:rsidRPr="00C07B2E">
        <w:rPr>
          <w:rFonts w:eastAsia="SimSun"/>
        </w:rPr>
        <w:t>злокачественные новообразования костей и суставных хрящей (саркома Юинга, хондросаркома, фибросаркома);</w:t>
      </w:r>
    </w:p>
    <w:p w14:paraId="03B61185" w14:textId="77777777" w:rsidR="00124A26" w:rsidRPr="00C07B2E" w:rsidRDefault="00124A26" w:rsidP="00A577FB">
      <w:pPr>
        <w:numPr>
          <w:ilvl w:val="0"/>
          <w:numId w:val="245"/>
        </w:numPr>
        <w:overflowPunct w:val="0"/>
        <w:autoSpaceDE w:val="0"/>
        <w:autoSpaceDN w:val="0"/>
        <w:adjustRightInd w:val="0"/>
        <w:textAlignment w:val="baseline"/>
        <w:rPr>
          <w:rFonts w:eastAsia="SimSun"/>
        </w:rPr>
      </w:pPr>
      <w:r w:rsidRPr="00C07B2E">
        <w:rPr>
          <w:rFonts w:eastAsia="SimSun"/>
        </w:rPr>
        <w:t>нейроэпителиальные новообразования (нейробластома, ретинобластома);</w:t>
      </w:r>
    </w:p>
    <w:p w14:paraId="7ACAC14D" w14:textId="77777777" w:rsidR="00124A26" w:rsidRPr="00C07B2E" w:rsidRDefault="00124A26" w:rsidP="00A577FB">
      <w:pPr>
        <w:numPr>
          <w:ilvl w:val="0"/>
          <w:numId w:val="245"/>
        </w:numPr>
        <w:overflowPunct w:val="0"/>
        <w:autoSpaceDE w:val="0"/>
        <w:autoSpaceDN w:val="0"/>
        <w:adjustRightInd w:val="0"/>
        <w:textAlignment w:val="baseline"/>
        <w:rPr>
          <w:rFonts w:eastAsia="SimSun"/>
        </w:rPr>
      </w:pPr>
      <w:r w:rsidRPr="00C07B2E">
        <w:rPr>
          <w:rFonts w:eastAsia="SimSun"/>
        </w:rPr>
        <w:t>демиелинизирующие болезни центральной нервной системы (рассеянный склероз);</w:t>
      </w:r>
    </w:p>
    <w:p w14:paraId="4F66AAB2" w14:textId="77777777" w:rsidR="00124A26" w:rsidRPr="00C07B2E" w:rsidRDefault="00124A26" w:rsidP="00A577FB">
      <w:pPr>
        <w:numPr>
          <w:ilvl w:val="0"/>
          <w:numId w:val="245"/>
        </w:numPr>
        <w:overflowPunct w:val="0"/>
        <w:autoSpaceDE w:val="0"/>
        <w:autoSpaceDN w:val="0"/>
        <w:adjustRightInd w:val="0"/>
        <w:textAlignment w:val="baseline"/>
        <w:rPr>
          <w:rFonts w:eastAsia="SimSun"/>
        </w:rPr>
      </w:pPr>
      <w:r w:rsidRPr="00C07B2E">
        <w:rPr>
          <w:rFonts w:eastAsia="SimSun"/>
        </w:rPr>
        <w:t>герминогенные новообразования;</w:t>
      </w:r>
    </w:p>
    <w:p w14:paraId="30AF5518" w14:textId="77777777" w:rsidR="00124A26" w:rsidRPr="00C07B2E" w:rsidRDefault="00124A26" w:rsidP="00A577FB">
      <w:pPr>
        <w:numPr>
          <w:ilvl w:val="0"/>
          <w:numId w:val="245"/>
        </w:numPr>
        <w:overflowPunct w:val="0"/>
        <w:autoSpaceDE w:val="0"/>
        <w:autoSpaceDN w:val="0"/>
        <w:adjustRightInd w:val="0"/>
        <w:textAlignment w:val="baseline"/>
        <w:rPr>
          <w:rFonts w:eastAsia="SimSun"/>
        </w:rPr>
      </w:pPr>
      <w:r w:rsidRPr="00C07B2E">
        <w:rPr>
          <w:rFonts w:eastAsia="SimSun"/>
        </w:rPr>
        <w:t>сложные и смешанные стромальные новообразования (нефробластома);</w:t>
      </w:r>
    </w:p>
    <w:p w14:paraId="516038CF" w14:textId="77777777" w:rsidR="00124A26" w:rsidRPr="00C07B2E" w:rsidRDefault="00124A26" w:rsidP="00A577FB">
      <w:pPr>
        <w:numPr>
          <w:ilvl w:val="0"/>
          <w:numId w:val="245"/>
        </w:numPr>
        <w:overflowPunct w:val="0"/>
        <w:autoSpaceDE w:val="0"/>
        <w:autoSpaceDN w:val="0"/>
        <w:adjustRightInd w:val="0"/>
        <w:textAlignment w:val="baseline"/>
        <w:rPr>
          <w:rFonts w:eastAsia="SimSun"/>
        </w:rPr>
      </w:pPr>
      <w:r w:rsidRPr="00C07B2E">
        <w:rPr>
          <w:rFonts w:eastAsia="SimSun"/>
        </w:rPr>
        <w:t>глиомы (примитивная нейроэктодермальная опухоль);</w:t>
      </w:r>
    </w:p>
    <w:p w14:paraId="737034CA" w14:textId="77777777" w:rsidR="00124A26" w:rsidRPr="00C07B2E" w:rsidRDefault="00124A26" w:rsidP="00A577FB">
      <w:pPr>
        <w:numPr>
          <w:ilvl w:val="0"/>
          <w:numId w:val="245"/>
        </w:numPr>
        <w:overflowPunct w:val="0"/>
        <w:autoSpaceDE w:val="0"/>
        <w:autoSpaceDN w:val="0"/>
        <w:adjustRightInd w:val="0"/>
        <w:textAlignment w:val="baseline"/>
        <w:rPr>
          <w:rFonts w:eastAsia="SimSun"/>
        </w:rPr>
      </w:pPr>
      <w:r w:rsidRPr="00C07B2E">
        <w:rPr>
          <w:rFonts w:eastAsia="SimSun"/>
        </w:rPr>
        <w:t>злокачественные новообразования печени и внутрипеченочных желчных протоков (гепатобластома);</w:t>
      </w:r>
    </w:p>
    <w:p w14:paraId="32A61030" w14:textId="77777777" w:rsidR="00124A26" w:rsidRPr="00C07B2E" w:rsidRDefault="00124A26" w:rsidP="00A577FB">
      <w:pPr>
        <w:numPr>
          <w:ilvl w:val="0"/>
          <w:numId w:val="245"/>
        </w:numPr>
        <w:overflowPunct w:val="0"/>
        <w:autoSpaceDE w:val="0"/>
        <w:autoSpaceDN w:val="0"/>
        <w:adjustRightInd w:val="0"/>
        <w:textAlignment w:val="baseline"/>
        <w:rPr>
          <w:rFonts w:eastAsia="SimSun"/>
        </w:rPr>
      </w:pPr>
      <w:r w:rsidRPr="00C07B2E">
        <w:rPr>
          <w:rFonts w:eastAsia="SimSun"/>
        </w:rPr>
        <w:t>болезни кожи и подкожной клетчатки (склеродермия);</w:t>
      </w:r>
    </w:p>
    <w:p w14:paraId="27C7BD02" w14:textId="77777777" w:rsidR="00124A26" w:rsidRPr="00C07B2E" w:rsidRDefault="00124A26" w:rsidP="00A577FB">
      <w:pPr>
        <w:numPr>
          <w:ilvl w:val="0"/>
          <w:numId w:val="245"/>
        </w:numPr>
        <w:overflowPunct w:val="0"/>
        <w:autoSpaceDE w:val="0"/>
        <w:autoSpaceDN w:val="0"/>
        <w:adjustRightInd w:val="0"/>
        <w:textAlignment w:val="baseline"/>
        <w:rPr>
          <w:rFonts w:eastAsia="SimSun"/>
        </w:rPr>
      </w:pPr>
      <w:r w:rsidRPr="00C07B2E">
        <w:rPr>
          <w:rFonts w:eastAsia="SimSun"/>
        </w:rPr>
        <w:t>системные поражения соединительной ткани (системная красная волчанка);</w:t>
      </w:r>
    </w:p>
    <w:p w14:paraId="34AAB8B7" w14:textId="77777777" w:rsidR="00124A26" w:rsidRPr="00C07B2E" w:rsidRDefault="00124A26" w:rsidP="00A577FB">
      <w:pPr>
        <w:numPr>
          <w:ilvl w:val="0"/>
          <w:numId w:val="245"/>
        </w:numPr>
        <w:overflowPunct w:val="0"/>
        <w:autoSpaceDE w:val="0"/>
        <w:autoSpaceDN w:val="0"/>
        <w:adjustRightInd w:val="0"/>
        <w:textAlignment w:val="baseline"/>
        <w:rPr>
          <w:rFonts w:eastAsia="SimSun"/>
        </w:rPr>
      </w:pPr>
      <w:r w:rsidRPr="00C07B2E">
        <w:rPr>
          <w:rFonts w:eastAsia="SimSun"/>
        </w:rPr>
        <w:t>иные заболевания (состояния), при которых в соответствии с клиническими рекомендациями (протоколами лечения) по вопросам оказания медицинской помощи применяется трансплантации костного мозга или гемопоэтических стволовых клеток.</w:t>
      </w:r>
    </w:p>
    <w:p w14:paraId="147D06CC" w14:textId="77777777" w:rsidR="00124A26" w:rsidRDefault="00124A26" w:rsidP="00124A26">
      <w:pPr>
        <w:rPr>
          <w:rFonts w:eastAsia="SimSun"/>
        </w:rPr>
      </w:pPr>
      <w:bookmarkStart w:id="159" w:name="_Toc44401107"/>
    </w:p>
    <w:p w14:paraId="1B7A6A12" w14:textId="69078516" w:rsidR="00124A26" w:rsidRPr="00EE51B1" w:rsidRDefault="00124A26" w:rsidP="00124A26">
      <w:pPr>
        <w:rPr>
          <w:rFonts w:eastAsia="SimSun"/>
          <w:i/>
          <w:u w:val="single"/>
        </w:rPr>
      </w:pPr>
      <w:r w:rsidRPr="00EE51B1">
        <w:rPr>
          <w:rFonts w:eastAsia="SimSun"/>
          <w:i/>
          <w:u w:val="single"/>
        </w:rPr>
        <w:t>Основные критерии для определения рисков трансплантационной летальности у пациентов, которым планируется выполнение алло-ТГСК</w:t>
      </w:r>
      <w:bookmarkEnd w:id="159"/>
      <w:r>
        <w:rPr>
          <w:rFonts w:eastAsia="SimSun"/>
          <w:i/>
          <w:u w:val="single"/>
        </w:rPr>
        <w:t xml:space="preserve"> </w:t>
      </w:r>
      <w:r w:rsidRPr="00EE51B1">
        <w:rPr>
          <w:rFonts w:eastAsia="SimSun"/>
          <w:u w:val="single"/>
        </w:rPr>
        <w:fldChar w:fldCharType="begin" w:fldLock="1"/>
      </w:r>
      <w:r w:rsidR="00F040F8">
        <w:rPr>
          <w:rFonts w:eastAsia="SimSun"/>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[210]","plainTextFormattedCitation":"[210]","previouslyFormattedCitation":"[210]"},"properties":{"noteIndex":0},"schema":"https://github.com/citation-style-language/schema/raw/master/csl-citation.json"}</w:instrText>
      </w:r>
      <w:r w:rsidRPr="00EE51B1">
        <w:rPr>
          <w:rFonts w:eastAsia="SimSun"/>
          <w:u w:val="single"/>
        </w:rPr>
        <w:fldChar w:fldCharType="separate"/>
      </w:r>
      <w:r w:rsidR="005C0C1F" w:rsidRPr="005C0C1F">
        <w:rPr>
          <w:rFonts w:eastAsia="SimSun"/>
          <w:noProof/>
        </w:rPr>
        <w:t>[210]</w:t>
      </w:r>
      <w:r w:rsidRPr="00EE51B1">
        <w:rPr>
          <w:rFonts w:eastAsia="SimSun"/>
          <w:u w:val="single"/>
        </w:rPr>
        <w:fldChar w:fldCharType="end"/>
      </w:r>
      <w:r>
        <w:rPr>
          <w:rFonts w:eastAsia="SimSun"/>
          <w:i/>
          <w:u w:val="single"/>
        </w:rPr>
        <w:t>:</w:t>
      </w:r>
      <w:r w:rsidRPr="00EE51B1">
        <w:rPr>
          <w:rFonts w:eastAsia="SimSun"/>
          <w:i/>
          <w:u w:val="single"/>
        </w:rPr>
        <w:t xml:space="preserve"> </w:t>
      </w:r>
    </w:p>
    <w:p w14:paraId="42440397" w14:textId="77777777" w:rsidR="00124A26" w:rsidRPr="00C07B2E" w:rsidRDefault="00124A26" w:rsidP="00A577FB">
      <w:pPr>
        <w:numPr>
          <w:ilvl w:val="0"/>
          <w:numId w:val="246"/>
        </w:numPr>
        <w:overflowPunct w:val="0"/>
        <w:autoSpaceDE w:val="0"/>
        <w:autoSpaceDN w:val="0"/>
        <w:adjustRightInd w:val="0"/>
        <w:textAlignment w:val="baseline"/>
        <w:rPr>
          <w:rFonts w:eastAsia="SimSun"/>
        </w:rPr>
      </w:pPr>
      <w:r w:rsidRPr="00C07B2E">
        <w:rPr>
          <w:rFonts w:eastAsia="SimSun"/>
        </w:rPr>
        <w:t>Наличие верифицированного диагноза и статуса (ремиссия, рецидив, стабилизация, прогрессия), которые являются показанием для проведения алло-ТГСК.</w:t>
      </w:r>
    </w:p>
    <w:p w14:paraId="464A8388" w14:textId="7FE34B33" w:rsidR="00124A26" w:rsidRPr="00107CB3" w:rsidRDefault="00124A26" w:rsidP="00A577FB">
      <w:pPr>
        <w:numPr>
          <w:ilvl w:val="0"/>
          <w:numId w:val="246"/>
        </w:numPr>
        <w:overflowPunct w:val="0"/>
        <w:autoSpaceDE w:val="0"/>
        <w:autoSpaceDN w:val="0"/>
        <w:adjustRightInd w:val="0"/>
        <w:textAlignment w:val="baseline"/>
        <w:rPr>
          <w:rFonts w:eastAsia="SimSun"/>
        </w:rPr>
      </w:pPr>
      <w:r w:rsidRPr="00107CB3">
        <w:rPr>
          <w:rFonts w:eastAsia="SimSun"/>
        </w:rPr>
        <w:t xml:space="preserve">Оценка рисков проведения алло-ТГСК по шкалам </w:t>
      </w:r>
      <w:r w:rsidRPr="00107CB3">
        <w:rPr>
          <w:rFonts w:eastAsia="SimSun"/>
          <w:lang w:val="en-US"/>
        </w:rPr>
        <w:t>EBMT</w:t>
      </w:r>
      <w:r w:rsidRPr="00107CB3">
        <w:rPr>
          <w:rFonts w:eastAsia="SimSun"/>
        </w:rPr>
        <w:t xml:space="preserve"> и </w:t>
      </w:r>
      <w:r w:rsidRPr="00107CB3">
        <w:rPr>
          <w:rFonts w:eastAsia="SimSun"/>
          <w:lang w:val="en-US"/>
        </w:rPr>
        <w:t>HCT</w:t>
      </w:r>
      <w:r w:rsidRPr="00107CB3">
        <w:rPr>
          <w:rFonts w:eastAsia="SimSun"/>
        </w:rPr>
        <w:t>-</w:t>
      </w:r>
      <w:r w:rsidRPr="00107CB3">
        <w:rPr>
          <w:rFonts w:eastAsia="SimSun"/>
          <w:lang w:val="en-US"/>
        </w:rPr>
        <w:t>CI</w:t>
      </w:r>
      <w:r w:rsidRPr="00107CB3">
        <w:rPr>
          <w:rFonts w:eastAsia="SimSun"/>
        </w:rPr>
        <w:t xml:space="preserve"> (приложения </w:t>
      </w:r>
      <w:r w:rsidR="00107CB3" w:rsidRPr="00107CB3">
        <w:rPr>
          <w:rFonts w:eastAsia="SimSun"/>
        </w:rPr>
        <w:t>Г3-Г4</w:t>
      </w:r>
      <w:r w:rsidRPr="00107CB3">
        <w:rPr>
          <w:rFonts w:eastAsia="SimSun"/>
        </w:rPr>
        <w:t>).</w:t>
      </w:r>
    </w:p>
    <w:p w14:paraId="33A4E3C8" w14:textId="76DA9A37" w:rsidR="00124A26" w:rsidRPr="00E84B78" w:rsidRDefault="00124A26" w:rsidP="00A577FB">
      <w:pPr>
        <w:numPr>
          <w:ilvl w:val="0"/>
          <w:numId w:val="246"/>
        </w:numPr>
        <w:overflowPunct w:val="0"/>
        <w:autoSpaceDE w:val="0"/>
        <w:autoSpaceDN w:val="0"/>
        <w:adjustRightInd w:val="0"/>
        <w:textAlignment w:val="baseline"/>
        <w:rPr>
          <w:rFonts w:eastAsia="SimSun"/>
        </w:rPr>
      </w:pPr>
      <w:r w:rsidRPr="00EE51B1">
        <w:rPr>
          <w:rFonts w:eastAsia="SimSun"/>
        </w:rPr>
        <w:t xml:space="preserve">Оценка статуса кандидата в реципиенты согласно определению индекса </w:t>
      </w:r>
      <w:r w:rsidRPr="00E84B78">
        <w:rPr>
          <w:rFonts w:eastAsia="SimSun"/>
        </w:rPr>
        <w:t xml:space="preserve">Карновского и </w:t>
      </w:r>
      <w:r w:rsidRPr="00E84B78">
        <w:rPr>
          <w:rFonts w:eastAsia="SimSun"/>
          <w:lang w:val="en-US"/>
        </w:rPr>
        <w:t>ECOG</w:t>
      </w:r>
      <w:r w:rsidRPr="00E84B78">
        <w:rPr>
          <w:rFonts w:eastAsia="SimSun"/>
        </w:rPr>
        <w:t xml:space="preserve"> (приложение</w:t>
      </w:r>
      <w:r w:rsidR="00E84B78" w:rsidRPr="00E84B78">
        <w:rPr>
          <w:rFonts w:eastAsia="SimSun"/>
        </w:rPr>
        <w:t xml:space="preserve"> Г1</w:t>
      </w:r>
      <w:r w:rsidRPr="00E84B78">
        <w:rPr>
          <w:rFonts w:eastAsia="SimSun"/>
        </w:rPr>
        <w:t xml:space="preserve">) </w:t>
      </w:r>
    </w:p>
    <w:p w14:paraId="57C32E4C" w14:textId="77777777" w:rsidR="00124A26" w:rsidRPr="00EE51B1" w:rsidRDefault="00124A26" w:rsidP="00A577FB">
      <w:pPr>
        <w:numPr>
          <w:ilvl w:val="0"/>
          <w:numId w:val="246"/>
        </w:numPr>
        <w:overflowPunct w:val="0"/>
        <w:autoSpaceDE w:val="0"/>
        <w:autoSpaceDN w:val="0"/>
        <w:adjustRightInd w:val="0"/>
        <w:textAlignment w:val="baseline"/>
        <w:rPr>
          <w:rFonts w:eastAsia="SimSun"/>
        </w:rPr>
      </w:pPr>
      <w:r w:rsidRPr="00EE51B1">
        <w:rPr>
          <w:rFonts w:eastAsia="SimSun"/>
        </w:rPr>
        <w:t xml:space="preserve">Оценка психологического статуса, отсутствие обострения психических заболеваний. </w:t>
      </w:r>
    </w:p>
    <w:p w14:paraId="75D3EDC0" w14:textId="77777777" w:rsidR="00124A26" w:rsidRPr="00EE51B1" w:rsidRDefault="00124A26" w:rsidP="00A577FB">
      <w:pPr>
        <w:numPr>
          <w:ilvl w:val="0"/>
          <w:numId w:val="246"/>
        </w:numPr>
        <w:overflowPunct w:val="0"/>
        <w:autoSpaceDE w:val="0"/>
        <w:autoSpaceDN w:val="0"/>
        <w:adjustRightInd w:val="0"/>
        <w:textAlignment w:val="baseline"/>
        <w:rPr>
          <w:rFonts w:eastAsia="SimSun"/>
        </w:rPr>
      </w:pPr>
      <w:r w:rsidRPr="00EE51B1">
        <w:rPr>
          <w:rFonts w:eastAsia="SimSun"/>
        </w:rPr>
        <w:t>Оценка функционального состояния почек: концентрация креатинина сыворотки &lt;</w:t>
      </w:r>
      <w:r w:rsidRPr="00C07B2E">
        <w:rPr>
          <w:rFonts w:eastAsia="SimSun"/>
          <w:lang w:val="en-US"/>
        </w:rPr>
        <w:t> </w:t>
      </w:r>
      <w:r w:rsidRPr="00EE51B1">
        <w:rPr>
          <w:rFonts w:eastAsia="SimSun"/>
        </w:rPr>
        <w:t>177 мкмоль/л (&lt;</w:t>
      </w:r>
      <w:r w:rsidRPr="00C07B2E">
        <w:rPr>
          <w:rFonts w:eastAsia="SimSun"/>
        </w:rPr>
        <w:t> </w:t>
      </w:r>
      <w:r w:rsidRPr="00EE51B1">
        <w:rPr>
          <w:rFonts w:eastAsia="SimSun"/>
        </w:rPr>
        <w:t>2 мг/дл) или клиренс креатинина &gt;</w:t>
      </w:r>
      <w:r w:rsidRPr="00C07B2E">
        <w:rPr>
          <w:rFonts w:eastAsia="SimSun"/>
          <w:lang w:val="en-US"/>
        </w:rPr>
        <w:t> </w:t>
      </w:r>
      <w:r w:rsidRPr="00EE51B1">
        <w:rPr>
          <w:rFonts w:eastAsia="SimSun"/>
        </w:rPr>
        <w:t>50 мл/мин/1,73 м</w:t>
      </w:r>
      <w:r w:rsidRPr="00EE51B1">
        <w:rPr>
          <w:rFonts w:eastAsia="SimSun"/>
          <w:vertAlign w:val="superscript"/>
        </w:rPr>
        <w:t>2</w:t>
      </w:r>
      <w:r w:rsidRPr="00EE51B1">
        <w:rPr>
          <w:rFonts w:eastAsia="SimSun"/>
        </w:rPr>
        <w:t>.</w:t>
      </w:r>
    </w:p>
    <w:p w14:paraId="5E54DE47" w14:textId="77777777" w:rsidR="00124A26" w:rsidRPr="00C07B2E" w:rsidRDefault="00124A26" w:rsidP="00A577FB">
      <w:pPr>
        <w:numPr>
          <w:ilvl w:val="0"/>
          <w:numId w:val="246"/>
        </w:numPr>
        <w:overflowPunct w:val="0"/>
        <w:autoSpaceDE w:val="0"/>
        <w:autoSpaceDN w:val="0"/>
        <w:adjustRightInd w:val="0"/>
        <w:textAlignment w:val="baseline"/>
        <w:rPr>
          <w:rFonts w:eastAsia="SimSun"/>
        </w:rPr>
      </w:pPr>
      <w:r w:rsidRPr="00C07B2E">
        <w:rPr>
          <w:rFonts w:eastAsia="SimSun"/>
        </w:rPr>
        <w:t xml:space="preserve">Оценка функционального состояния сердечной деятельности: фракция выброса левого желудочка &gt; 35% по </w:t>
      </w:r>
      <w:r w:rsidRPr="00C07B2E">
        <w:rPr>
          <w:rFonts w:eastAsia="SimSun"/>
          <w:lang w:val="en-US"/>
        </w:rPr>
        <w:t>Simpson</w:t>
      </w:r>
      <w:r w:rsidRPr="00C07B2E">
        <w:rPr>
          <w:rFonts w:eastAsia="SimSun"/>
        </w:rPr>
        <w:t xml:space="preserve">, отсутствие нестабильной стенокардии в анамнезе, отсутствие желудочковых аритмий высоких градаций (нарушения ритма </w:t>
      </w:r>
      <w:r w:rsidRPr="00C07B2E">
        <w:rPr>
          <w:rFonts w:eastAsia="SimSun"/>
          <w:lang w:val="en-US"/>
        </w:rPr>
        <w:t>IV</w:t>
      </w:r>
      <w:r w:rsidRPr="00C07B2E">
        <w:rPr>
          <w:rFonts w:eastAsia="SimSun"/>
        </w:rPr>
        <w:t>–</w:t>
      </w:r>
      <w:r w:rsidRPr="00C07B2E">
        <w:rPr>
          <w:rFonts w:eastAsia="SimSun"/>
          <w:lang w:val="en-US"/>
        </w:rPr>
        <w:t>V</w:t>
      </w:r>
      <w:r w:rsidRPr="00C07B2E">
        <w:rPr>
          <w:rFonts w:eastAsia="SimSun"/>
        </w:rPr>
        <w:t xml:space="preserve"> градаций по </w:t>
      </w:r>
      <w:r w:rsidRPr="00C07B2E">
        <w:rPr>
          <w:rFonts w:eastAsia="SimSun"/>
          <w:lang w:val="en-US"/>
        </w:rPr>
        <w:t>Lawn</w:t>
      </w:r>
      <w:r w:rsidRPr="00C07B2E">
        <w:rPr>
          <w:rFonts w:eastAsia="SimSun"/>
        </w:rPr>
        <w:t>—</w:t>
      </w:r>
      <w:r w:rsidRPr="00C07B2E">
        <w:rPr>
          <w:rFonts w:eastAsia="SimSun"/>
          <w:lang w:val="en-US"/>
        </w:rPr>
        <w:t>Wolf</w:t>
      </w:r>
      <w:r w:rsidRPr="00C07B2E">
        <w:rPr>
          <w:rFonts w:eastAsia="SimSun"/>
        </w:rPr>
        <w:t xml:space="preserve">). </w:t>
      </w:r>
    </w:p>
    <w:p w14:paraId="78E029A0" w14:textId="77777777" w:rsidR="00124A26" w:rsidRPr="00C07B2E" w:rsidRDefault="00124A26" w:rsidP="00A577FB">
      <w:pPr>
        <w:numPr>
          <w:ilvl w:val="0"/>
          <w:numId w:val="246"/>
        </w:numPr>
        <w:overflowPunct w:val="0"/>
        <w:autoSpaceDE w:val="0"/>
        <w:autoSpaceDN w:val="0"/>
        <w:adjustRightInd w:val="0"/>
        <w:textAlignment w:val="baseline"/>
        <w:rPr>
          <w:rFonts w:eastAsia="SimSun"/>
        </w:rPr>
      </w:pPr>
      <w:r w:rsidRPr="00C07B2E">
        <w:rPr>
          <w:rFonts w:eastAsia="SimSun"/>
        </w:rPr>
        <w:t>Оценка функционального состояния легких: ОФВ1 ≥ 80%; по возможности определяют скорректированную диффузионную способность легких (DLCO), которая должна быть &gt; 35% должного.</w:t>
      </w:r>
    </w:p>
    <w:p w14:paraId="4AA9C52D" w14:textId="77777777" w:rsidR="00124A26" w:rsidRPr="00C07B2E" w:rsidRDefault="00124A26" w:rsidP="00A577FB">
      <w:pPr>
        <w:numPr>
          <w:ilvl w:val="0"/>
          <w:numId w:val="246"/>
        </w:numPr>
        <w:overflowPunct w:val="0"/>
        <w:autoSpaceDE w:val="0"/>
        <w:autoSpaceDN w:val="0"/>
        <w:adjustRightInd w:val="0"/>
        <w:textAlignment w:val="baseline"/>
        <w:rPr>
          <w:rFonts w:eastAsia="SimSun"/>
        </w:rPr>
      </w:pPr>
      <w:r w:rsidRPr="00C07B2E">
        <w:rPr>
          <w:rFonts w:eastAsia="SimSun"/>
        </w:rPr>
        <w:t xml:space="preserve">Оценка функционального состояния печени: </w:t>
      </w:r>
    </w:p>
    <w:p w14:paraId="6DFE3878" w14:textId="77777777" w:rsidR="00124A26" w:rsidRPr="00C07B2E" w:rsidRDefault="00124A26" w:rsidP="00A577FB">
      <w:pPr>
        <w:numPr>
          <w:ilvl w:val="1"/>
          <w:numId w:val="246"/>
        </w:numPr>
        <w:overflowPunct w:val="0"/>
        <w:autoSpaceDE w:val="0"/>
        <w:autoSpaceDN w:val="0"/>
        <w:adjustRightInd w:val="0"/>
        <w:textAlignment w:val="baseline"/>
      </w:pPr>
      <w:r w:rsidRPr="00C07B2E">
        <w:t>концентрация общего билирубина ≤ 22 мкмоль/л (за исключением доказанного синдрома Жильбера);</w:t>
      </w:r>
    </w:p>
    <w:p w14:paraId="4CC94DBA" w14:textId="77777777" w:rsidR="00124A26" w:rsidRPr="00EE51B1" w:rsidRDefault="00124A26" w:rsidP="00A577FB">
      <w:pPr>
        <w:numPr>
          <w:ilvl w:val="1"/>
          <w:numId w:val="246"/>
        </w:numPr>
        <w:overflowPunct w:val="0"/>
        <w:autoSpaceDE w:val="0"/>
        <w:autoSpaceDN w:val="0"/>
        <w:adjustRightInd w:val="0"/>
        <w:textAlignment w:val="baseline"/>
      </w:pPr>
      <w:r w:rsidRPr="00C07B2E">
        <w:t>концентрация общего билирубина ≤ 30 мкмоль/л (за исключением доказанного синдрома Жильбера)</w:t>
      </w:r>
      <w:r w:rsidRPr="00EE51B1">
        <w:t>.</w:t>
      </w:r>
    </w:p>
    <w:p w14:paraId="61B7B568" w14:textId="77777777" w:rsidR="00124A26" w:rsidRDefault="00124A26" w:rsidP="00124A26">
      <w:pPr>
        <w:rPr>
          <w:rFonts w:eastAsia="SimSun"/>
        </w:rPr>
      </w:pPr>
      <w:bookmarkStart w:id="160" w:name="_Toc44401108"/>
    </w:p>
    <w:p w14:paraId="5FB732A4" w14:textId="6F4892FE" w:rsidR="00124A26" w:rsidRPr="00EE51B1" w:rsidRDefault="00124A26" w:rsidP="00124A26">
      <w:pPr>
        <w:rPr>
          <w:rFonts w:eastAsia="SimSun"/>
          <w:i/>
          <w:u w:val="single"/>
        </w:rPr>
      </w:pPr>
      <w:r w:rsidRPr="00EE51B1">
        <w:rPr>
          <w:rFonts w:eastAsia="SimSun"/>
          <w:i/>
          <w:u w:val="single"/>
        </w:rPr>
        <w:t>Дополнительные критерии определения рисков трансплантационной летальности у пациентов, которым планируется выполнение алло-ТГСК</w:t>
      </w:r>
      <w:bookmarkEnd w:id="160"/>
      <w:r w:rsidRPr="00EE51B1">
        <w:rPr>
          <w:rFonts w:eastAsia="SimSun"/>
          <w:i/>
          <w:u w:val="single"/>
        </w:rPr>
        <w:t xml:space="preserve"> </w:t>
      </w:r>
      <w:r w:rsidRPr="00EE51B1">
        <w:rPr>
          <w:rFonts w:eastAsia="SimSun"/>
          <w:i/>
          <w:u w:val="single"/>
        </w:rPr>
        <w:fldChar w:fldCharType="begin" w:fldLock="1"/>
      </w:r>
      <w:r w:rsidR="00F040F8">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[210]","plainTextFormattedCitation":"[210]","previouslyFormattedCitation":"[210]"},"properties":{"noteIndex":0},"schema":"https://github.com/citation-style-language/schema/raw/master/csl-citation.json"}</w:instrText>
      </w:r>
      <w:r w:rsidRPr="00EE51B1">
        <w:rPr>
          <w:rFonts w:eastAsia="SimSun"/>
          <w:i/>
          <w:u w:val="single"/>
        </w:rPr>
        <w:fldChar w:fldCharType="separate"/>
      </w:r>
      <w:r w:rsidR="005C0C1F" w:rsidRPr="005C0C1F">
        <w:rPr>
          <w:rFonts w:eastAsia="SimSun"/>
          <w:noProof/>
        </w:rPr>
        <w:t>[210]</w:t>
      </w:r>
      <w:r w:rsidRPr="00EE51B1">
        <w:rPr>
          <w:rFonts w:eastAsia="SimSun"/>
          <w:i/>
          <w:u w:val="single"/>
        </w:rPr>
        <w:fldChar w:fldCharType="end"/>
      </w:r>
      <w:r w:rsidRPr="00EE51B1">
        <w:rPr>
          <w:rFonts w:eastAsia="SimSun"/>
          <w:i/>
          <w:u w:val="single"/>
        </w:rPr>
        <w:t>:</w:t>
      </w:r>
    </w:p>
    <w:p w14:paraId="121EB1F2" w14:textId="77777777" w:rsidR="00124A26" w:rsidRPr="00C07B2E" w:rsidRDefault="00124A26" w:rsidP="00A577FB">
      <w:pPr>
        <w:numPr>
          <w:ilvl w:val="0"/>
          <w:numId w:val="247"/>
        </w:numPr>
        <w:overflowPunct w:val="0"/>
        <w:autoSpaceDE w:val="0"/>
        <w:autoSpaceDN w:val="0"/>
        <w:adjustRightInd w:val="0"/>
        <w:textAlignment w:val="baseline"/>
        <w:rPr>
          <w:rFonts w:eastAsia="SimSun"/>
        </w:rPr>
      </w:pPr>
      <w:r w:rsidRPr="00C07B2E">
        <w:rPr>
          <w:rFonts w:eastAsia="SimSun"/>
        </w:rPr>
        <w:t xml:space="preserve">Иммунодепрессивное состояние: нейтропения, лимфопения с концентрацией </w:t>
      </w:r>
      <w:r w:rsidRPr="00C07B2E">
        <w:rPr>
          <w:rFonts w:eastAsia="SimSun"/>
          <w:lang w:val="en-US"/>
        </w:rPr>
        <w:t>CD</w:t>
      </w:r>
      <w:r w:rsidRPr="00C07B2E">
        <w:rPr>
          <w:rFonts w:eastAsia="SimSun"/>
        </w:rPr>
        <w:t>4+ ≤ 200 клеток/мкл, гипогаммаглобулинемия, аспления, применение высоких доз ГКС на этапе предшествующей химиотерапии и связь с основным заболеванием.</w:t>
      </w:r>
    </w:p>
    <w:p w14:paraId="3E9D47C3" w14:textId="77777777" w:rsidR="00124A26" w:rsidRPr="00C07B2E" w:rsidRDefault="00124A26" w:rsidP="00A577FB">
      <w:pPr>
        <w:numPr>
          <w:ilvl w:val="0"/>
          <w:numId w:val="247"/>
        </w:numPr>
        <w:overflowPunct w:val="0"/>
        <w:autoSpaceDE w:val="0"/>
        <w:autoSpaceDN w:val="0"/>
        <w:adjustRightInd w:val="0"/>
        <w:textAlignment w:val="baseline"/>
        <w:rPr>
          <w:rFonts w:eastAsia="SimSun"/>
        </w:rPr>
      </w:pPr>
      <w:r w:rsidRPr="00C07B2E">
        <w:rPr>
          <w:rFonts w:eastAsia="SimSun"/>
        </w:rPr>
        <w:t>Инфекционные осложнения и степень их тяжести, значимость и длительность  в период предшествующей химиотерапии с указанием локализации, чувствительности возбудителя к антимикробным средствам, проводимой терапии: фебрильная нейтропения, пневмония (с указанием установленного возбудителя или отсутствием верификации возбудителя), грибковые инфекции, вирусные инфекции.</w:t>
      </w:r>
    </w:p>
    <w:p w14:paraId="32D6DC2E" w14:textId="77777777" w:rsidR="00124A26" w:rsidRPr="00C07B2E" w:rsidRDefault="00124A26" w:rsidP="00A577FB">
      <w:pPr>
        <w:numPr>
          <w:ilvl w:val="0"/>
          <w:numId w:val="247"/>
        </w:numPr>
        <w:overflowPunct w:val="0"/>
        <w:autoSpaceDE w:val="0"/>
        <w:autoSpaceDN w:val="0"/>
        <w:adjustRightInd w:val="0"/>
        <w:textAlignment w:val="baseline"/>
        <w:rPr>
          <w:rFonts w:eastAsia="SimSun"/>
        </w:rPr>
      </w:pPr>
      <w:r w:rsidRPr="00C07B2E">
        <w:rPr>
          <w:rFonts w:eastAsia="SimSun"/>
        </w:rPr>
        <w:t>Перенесенные заболевания в том числе (</w:t>
      </w:r>
      <w:r w:rsidRPr="00C07B2E">
        <w:rPr>
          <w:rFonts w:eastAsia="SimSun"/>
          <w:lang w:val="en-US"/>
        </w:rPr>
        <w:t>COVID</w:t>
      </w:r>
      <w:r w:rsidRPr="00C07B2E">
        <w:rPr>
          <w:rFonts w:eastAsia="SimSun"/>
        </w:rPr>
        <w:t>-19, туберкулез, вирусные гепатиты)</w:t>
      </w:r>
    </w:p>
    <w:p w14:paraId="77C9B077" w14:textId="77777777" w:rsidR="00124A26" w:rsidRPr="00C07B2E" w:rsidRDefault="00124A26" w:rsidP="00A577FB">
      <w:pPr>
        <w:numPr>
          <w:ilvl w:val="0"/>
          <w:numId w:val="247"/>
        </w:numPr>
        <w:overflowPunct w:val="0"/>
        <w:autoSpaceDE w:val="0"/>
        <w:autoSpaceDN w:val="0"/>
        <w:adjustRightInd w:val="0"/>
        <w:textAlignment w:val="baseline"/>
        <w:rPr>
          <w:rFonts w:eastAsia="SimSun"/>
        </w:rPr>
      </w:pPr>
      <w:r w:rsidRPr="00C07B2E">
        <w:rPr>
          <w:rFonts w:eastAsia="SimSun"/>
        </w:rPr>
        <w:t>Наличие донорспецифичных анти-</w:t>
      </w:r>
      <w:r w:rsidRPr="00C07B2E">
        <w:rPr>
          <w:rFonts w:eastAsia="SimSun"/>
          <w:lang w:val="en-US"/>
        </w:rPr>
        <w:t>HLA</w:t>
      </w:r>
      <w:r w:rsidRPr="00C07B2E">
        <w:rPr>
          <w:rFonts w:eastAsia="SimSun"/>
        </w:rPr>
        <w:t xml:space="preserve">-антител у реципиента при неродственной частично совместимой или гаплоидентичной ТГСК </w:t>
      </w:r>
    </w:p>
    <w:p w14:paraId="0F83CAAE" w14:textId="77777777" w:rsidR="00124A26" w:rsidRPr="00C07B2E" w:rsidRDefault="00124A26" w:rsidP="00A577FB">
      <w:pPr>
        <w:numPr>
          <w:ilvl w:val="0"/>
          <w:numId w:val="247"/>
        </w:numPr>
        <w:overflowPunct w:val="0"/>
        <w:autoSpaceDE w:val="0"/>
        <w:autoSpaceDN w:val="0"/>
        <w:adjustRightInd w:val="0"/>
        <w:textAlignment w:val="baseline"/>
        <w:rPr>
          <w:rFonts w:eastAsia="SimSun"/>
        </w:rPr>
      </w:pPr>
      <w:r w:rsidRPr="00C07B2E">
        <w:rPr>
          <w:rFonts w:eastAsia="SimSun"/>
        </w:rPr>
        <w:t>Тромботические, геморрагические события на этапе предшествующей терапии и причины при их верификации</w:t>
      </w:r>
    </w:p>
    <w:p w14:paraId="4E033C05" w14:textId="77777777" w:rsidR="00124A26" w:rsidRPr="00C07B2E" w:rsidRDefault="00124A26" w:rsidP="00A577FB">
      <w:pPr>
        <w:numPr>
          <w:ilvl w:val="0"/>
          <w:numId w:val="247"/>
        </w:numPr>
        <w:overflowPunct w:val="0"/>
        <w:autoSpaceDE w:val="0"/>
        <w:autoSpaceDN w:val="0"/>
        <w:adjustRightInd w:val="0"/>
        <w:textAlignment w:val="baseline"/>
        <w:rPr>
          <w:rFonts w:eastAsia="SimSun"/>
        </w:rPr>
      </w:pPr>
      <w:r w:rsidRPr="00C07B2E">
        <w:rPr>
          <w:rFonts w:eastAsia="SimSun"/>
        </w:rPr>
        <w:t xml:space="preserve">Трансфузионный анамнез, наличие данных за рефрактерность к трансфузиям компонентов донорской крови. </w:t>
      </w:r>
    </w:p>
    <w:p w14:paraId="6D22583E" w14:textId="77777777" w:rsidR="00124A26" w:rsidRPr="00C07B2E" w:rsidRDefault="00124A26" w:rsidP="00A577FB">
      <w:pPr>
        <w:numPr>
          <w:ilvl w:val="0"/>
          <w:numId w:val="247"/>
        </w:numPr>
        <w:overflowPunct w:val="0"/>
        <w:autoSpaceDE w:val="0"/>
        <w:autoSpaceDN w:val="0"/>
        <w:adjustRightInd w:val="0"/>
        <w:textAlignment w:val="baseline"/>
        <w:rPr>
          <w:rFonts w:eastAsia="SimSun"/>
        </w:rPr>
      </w:pPr>
      <w:r w:rsidRPr="00C07B2E">
        <w:rPr>
          <w:rFonts w:eastAsia="SimSun"/>
        </w:rPr>
        <w:t>Наличие гемохроматоза и/или лабораторных признаков перегрузки железом. Проведение в анамнезе трансфузий от родственных доноров.</w:t>
      </w:r>
    </w:p>
    <w:p w14:paraId="59A026DA" w14:textId="77777777" w:rsidR="00124A26" w:rsidRPr="00C07B2E" w:rsidRDefault="00124A26" w:rsidP="00A577FB">
      <w:pPr>
        <w:numPr>
          <w:ilvl w:val="0"/>
          <w:numId w:val="247"/>
        </w:numPr>
        <w:overflowPunct w:val="0"/>
        <w:autoSpaceDE w:val="0"/>
        <w:autoSpaceDN w:val="0"/>
        <w:adjustRightInd w:val="0"/>
        <w:textAlignment w:val="baseline"/>
        <w:rPr>
          <w:rFonts w:eastAsia="SimSun"/>
        </w:rPr>
      </w:pPr>
      <w:r w:rsidRPr="00C07B2E">
        <w:rPr>
          <w:rFonts w:eastAsia="SimSun"/>
        </w:rPr>
        <w:t>Наличие врожденных или приобретенных пороков</w:t>
      </w:r>
    </w:p>
    <w:p w14:paraId="6FFF5B6C" w14:textId="77777777" w:rsidR="00124A26" w:rsidRPr="00C07B2E" w:rsidRDefault="00124A26" w:rsidP="00A577FB">
      <w:pPr>
        <w:numPr>
          <w:ilvl w:val="0"/>
          <w:numId w:val="247"/>
        </w:numPr>
        <w:overflowPunct w:val="0"/>
        <w:autoSpaceDE w:val="0"/>
        <w:autoSpaceDN w:val="0"/>
        <w:adjustRightInd w:val="0"/>
        <w:textAlignment w:val="baseline"/>
        <w:rPr>
          <w:rFonts w:eastAsia="SimSun"/>
        </w:rPr>
      </w:pPr>
      <w:r w:rsidRPr="00C07B2E">
        <w:rPr>
          <w:rFonts w:eastAsia="SimSun"/>
        </w:rPr>
        <w:t>Наличие протезов, имплантатов и биоматериалов.</w:t>
      </w:r>
    </w:p>
    <w:p w14:paraId="32634375" w14:textId="77777777" w:rsidR="00124A26" w:rsidRPr="00C07B2E" w:rsidRDefault="00124A26" w:rsidP="00A577FB">
      <w:pPr>
        <w:numPr>
          <w:ilvl w:val="0"/>
          <w:numId w:val="247"/>
        </w:numPr>
        <w:overflowPunct w:val="0"/>
        <w:autoSpaceDE w:val="0"/>
        <w:autoSpaceDN w:val="0"/>
        <w:adjustRightInd w:val="0"/>
        <w:textAlignment w:val="baseline"/>
        <w:rPr>
          <w:rFonts w:eastAsia="SimSun"/>
        </w:rPr>
      </w:pPr>
      <w:r w:rsidRPr="00C07B2E">
        <w:rPr>
          <w:rFonts w:eastAsia="SimSun"/>
        </w:rPr>
        <w:t>Наличие хронических заболеваний и их стадия.</w:t>
      </w:r>
    </w:p>
    <w:p w14:paraId="251FB7D9" w14:textId="77777777" w:rsidR="00124A26" w:rsidRPr="00470D3D" w:rsidRDefault="00124A26" w:rsidP="00A577FB">
      <w:pPr>
        <w:numPr>
          <w:ilvl w:val="0"/>
          <w:numId w:val="247"/>
        </w:numPr>
        <w:overflowPunct w:val="0"/>
        <w:autoSpaceDE w:val="0"/>
        <w:autoSpaceDN w:val="0"/>
        <w:adjustRightInd w:val="0"/>
        <w:textAlignment w:val="baseline"/>
        <w:rPr>
          <w:rFonts w:eastAsia="SimSun"/>
        </w:rPr>
      </w:pPr>
      <w:r w:rsidRPr="00470D3D">
        <w:rPr>
          <w:rFonts w:eastAsia="SimSun"/>
        </w:rPr>
        <w:t>Информация о лечении зубов в течение последних 6 мес</w:t>
      </w:r>
      <w:r>
        <w:rPr>
          <w:rFonts w:eastAsia="SimSun"/>
        </w:rPr>
        <w:t>,</w:t>
      </w:r>
      <w:r w:rsidRPr="00470D3D">
        <w:rPr>
          <w:rFonts w:eastAsia="SimSun"/>
        </w:rPr>
        <w:t>, при отсутствии информации</w:t>
      </w:r>
      <w:r w:rsidRPr="00C07B2E">
        <w:rPr>
          <w:rFonts w:eastAsia="SimSun"/>
        </w:rPr>
        <w:t> </w:t>
      </w:r>
      <w:r w:rsidRPr="00470D3D">
        <w:rPr>
          <w:rFonts w:eastAsia="SimSun"/>
        </w:rPr>
        <w:t>— обязательно осмотр стоматолога.</w:t>
      </w:r>
    </w:p>
    <w:p w14:paraId="4CDCB93A" w14:textId="77777777" w:rsidR="00124A26" w:rsidRPr="00C07B2E" w:rsidRDefault="00124A26" w:rsidP="00A577FB">
      <w:pPr>
        <w:numPr>
          <w:ilvl w:val="0"/>
          <w:numId w:val="247"/>
        </w:numPr>
        <w:overflowPunct w:val="0"/>
        <w:autoSpaceDE w:val="0"/>
        <w:autoSpaceDN w:val="0"/>
        <w:adjustRightInd w:val="0"/>
        <w:textAlignment w:val="baseline"/>
        <w:rPr>
          <w:rFonts w:eastAsia="SimSun"/>
        </w:rPr>
      </w:pPr>
      <w:r w:rsidRPr="00C07B2E">
        <w:rPr>
          <w:rFonts w:eastAsia="SimSun"/>
        </w:rPr>
        <w:t>Консультация гинеколога для женщин с целью выявления риска дисфункциональных маточных кровотечений/перименопаузального статуса.</w:t>
      </w:r>
    </w:p>
    <w:p w14:paraId="4ABAC527" w14:textId="77777777" w:rsidR="00124A26" w:rsidRPr="00C07B2E" w:rsidRDefault="00124A26" w:rsidP="00A577FB">
      <w:pPr>
        <w:numPr>
          <w:ilvl w:val="0"/>
          <w:numId w:val="247"/>
        </w:numPr>
        <w:overflowPunct w:val="0"/>
        <w:autoSpaceDE w:val="0"/>
        <w:autoSpaceDN w:val="0"/>
        <w:adjustRightInd w:val="0"/>
        <w:textAlignment w:val="baseline"/>
        <w:rPr>
          <w:rFonts w:eastAsia="SimSun"/>
        </w:rPr>
      </w:pPr>
      <w:r w:rsidRPr="00C07B2E">
        <w:rPr>
          <w:rFonts w:eastAsia="SimSun"/>
        </w:rPr>
        <w:t>Эпилептическая активность подтвержденная результатами ЭЭГ</w:t>
      </w:r>
    </w:p>
    <w:p w14:paraId="7A2A5643" w14:textId="77777777" w:rsidR="00124A26" w:rsidRPr="00C07B2E" w:rsidRDefault="00124A26" w:rsidP="00A577FB">
      <w:pPr>
        <w:numPr>
          <w:ilvl w:val="0"/>
          <w:numId w:val="247"/>
        </w:numPr>
        <w:overflowPunct w:val="0"/>
        <w:autoSpaceDE w:val="0"/>
        <w:autoSpaceDN w:val="0"/>
        <w:adjustRightInd w:val="0"/>
        <w:textAlignment w:val="baseline"/>
        <w:rPr>
          <w:rFonts w:eastAsia="SimSun"/>
        </w:rPr>
      </w:pPr>
      <w:r w:rsidRPr="00C07B2E">
        <w:rPr>
          <w:rFonts w:eastAsia="SimSun"/>
        </w:rPr>
        <w:t xml:space="preserve">Нутритивный статус: избыточный вес или дефицит массы тела. </w:t>
      </w:r>
    </w:p>
    <w:p w14:paraId="453C3429" w14:textId="77777777" w:rsidR="00124A26" w:rsidRPr="00C07B2E" w:rsidRDefault="00124A26" w:rsidP="00A577FB">
      <w:pPr>
        <w:numPr>
          <w:ilvl w:val="0"/>
          <w:numId w:val="247"/>
        </w:numPr>
        <w:overflowPunct w:val="0"/>
        <w:autoSpaceDE w:val="0"/>
        <w:autoSpaceDN w:val="0"/>
        <w:adjustRightInd w:val="0"/>
        <w:textAlignment w:val="baseline"/>
        <w:rPr>
          <w:rFonts w:eastAsia="SimSun"/>
        </w:rPr>
      </w:pPr>
      <w:bookmarkStart w:id="161" w:name="_Toc44401109"/>
      <w:r w:rsidRPr="00C07B2E">
        <w:rPr>
          <w:rFonts w:eastAsia="SimSun"/>
        </w:rPr>
        <w:t>Критерии, при наличии которых выполнение алло-ТГСК противопоказано</w:t>
      </w:r>
      <w:bookmarkEnd w:id="161"/>
      <w:r w:rsidRPr="00C07B2E">
        <w:rPr>
          <w:rFonts w:eastAsia="SimSun"/>
        </w:rPr>
        <w:t xml:space="preserve"> </w:t>
      </w:r>
    </w:p>
    <w:p w14:paraId="31A9F16C" w14:textId="77777777" w:rsidR="00124A26" w:rsidRPr="00C07B2E" w:rsidRDefault="00124A26" w:rsidP="00A577FB">
      <w:pPr>
        <w:numPr>
          <w:ilvl w:val="0"/>
          <w:numId w:val="247"/>
        </w:numPr>
        <w:overflowPunct w:val="0"/>
        <w:autoSpaceDE w:val="0"/>
        <w:autoSpaceDN w:val="0"/>
        <w:adjustRightInd w:val="0"/>
        <w:textAlignment w:val="baseline"/>
        <w:rPr>
          <w:rFonts w:eastAsia="SimSun"/>
        </w:rPr>
      </w:pPr>
      <w:r w:rsidRPr="00C07B2E">
        <w:rPr>
          <w:rFonts w:eastAsia="SimSun"/>
        </w:rPr>
        <w:t>Беременность</w:t>
      </w:r>
    </w:p>
    <w:p w14:paraId="5F9F7E9F" w14:textId="77777777" w:rsidR="00124A26" w:rsidRPr="00C07B2E" w:rsidRDefault="00124A26" w:rsidP="00A577FB">
      <w:pPr>
        <w:numPr>
          <w:ilvl w:val="0"/>
          <w:numId w:val="247"/>
        </w:numPr>
        <w:overflowPunct w:val="0"/>
        <w:autoSpaceDE w:val="0"/>
        <w:autoSpaceDN w:val="0"/>
        <w:adjustRightInd w:val="0"/>
        <w:textAlignment w:val="baseline"/>
        <w:rPr>
          <w:rFonts w:eastAsia="SimSun"/>
        </w:rPr>
      </w:pPr>
      <w:r w:rsidRPr="00C07B2E">
        <w:rPr>
          <w:rFonts w:eastAsia="SimSun"/>
        </w:rPr>
        <w:t xml:space="preserve">Цирроз печени, активный вирусный гепатит с признаками нарушения функции печени (гипербилирубинемия, синдром цитолиза, снижение белково-синтетической функции печени) </w:t>
      </w:r>
    </w:p>
    <w:p w14:paraId="04C9710F" w14:textId="77777777" w:rsidR="00124A26" w:rsidRPr="00C07B2E" w:rsidRDefault="00124A26" w:rsidP="00A577FB">
      <w:pPr>
        <w:numPr>
          <w:ilvl w:val="0"/>
          <w:numId w:val="247"/>
        </w:numPr>
        <w:overflowPunct w:val="0"/>
        <w:autoSpaceDE w:val="0"/>
        <w:autoSpaceDN w:val="0"/>
        <w:adjustRightInd w:val="0"/>
        <w:textAlignment w:val="baseline"/>
        <w:rPr>
          <w:rFonts w:eastAsia="SimSun"/>
        </w:rPr>
      </w:pPr>
      <w:r w:rsidRPr="00C07B2E">
        <w:rPr>
          <w:rFonts w:eastAsia="SimSun"/>
        </w:rPr>
        <w:t>Наличие любой неконтролируемой инфекции.</w:t>
      </w:r>
    </w:p>
    <w:p w14:paraId="3F02F104" w14:textId="77777777" w:rsidR="00124A26" w:rsidRPr="00C07B2E" w:rsidRDefault="00124A26" w:rsidP="00A577FB">
      <w:pPr>
        <w:numPr>
          <w:ilvl w:val="0"/>
          <w:numId w:val="247"/>
        </w:numPr>
        <w:overflowPunct w:val="0"/>
        <w:autoSpaceDE w:val="0"/>
        <w:autoSpaceDN w:val="0"/>
        <w:adjustRightInd w:val="0"/>
        <w:textAlignment w:val="baseline"/>
        <w:rPr>
          <w:rFonts w:eastAsia="SimSun"/>
        </w:rPr>
      </w:pPr>
      <w:r w:rsidRPr="00C07B2E">
        <w:rPr>
          <w:rFonts w:eastAsia="SimSun"/>
          <w:u w:val="single"/>
        </w:rPr>
        <w:t>Другие</w:t>
      </w:r>
      <w:r w:rsidRPr="00C07B2E">
        <w:rPr>
          <w:rFonts w:eastAsia="SimSun"/>
        </w:rPr>
        <w:t xml:space="preserve"> онкологические заболевания различных стадий и локализаций вне ремиссии.</w:t>
      </w:r>
    </w:p>
    <w:p w14:paraId="6EE4F281" w14:textId="77777777" w:rsidR="00124A26" w:rsidRDefault="00124A26" w:rsidP="00124A26">
      <w:pPr>
        <w:rPr>
          <w:rFonts w:eastAsia="SimSun"/>
        </w:rPr>
      </w:pPr>
      <w:bookmarkStart w:id="162" w:name="_Toc44401110"/>
    </w:p>
    <w:p w14:paraId="603826B6" w14:textId="3327108C" w:rsidR="00124A26" w:rsidRPr="00470D3D" w:rsidRDefault="00124A26" w:rsidP="00124A26">
      <w:pPr>
        <w:rPr>
          <w:rFonts w:eastAsia="SimSun"/>
          <w:i/>
          <w:u w:val="single"/>
        </w:rPr>
      </w:pPr>
      <w:bookmarkStart w:id="163" w:name="_Toc44401124"/>
      <w:r w:rsidRPr="00470D3D">
        <w:rPr>
          <w:rFonts w:eastAsia="SimSun"/>
          <w:i/>
          <w:u w:val="single"/>
        </w:rPr>
        <w:t>Список лабораторных и инструментальных исследований для обследования кандидатов на алло-ТГСК</w:t>
      </w:r>
      <w:bookmarkEnd w:id="163"/>
      <w:r w:rsidRPr="00470D3D">
        <w:rPr>
          <w:rFonts w:eastAsia="SimSun"/>
          <w:i/>
          <w:u w:val="single"/>
        </w:rPr>
        <w:t xml:space="preserve"> </w:t>
      </w:r>
      <w:r w:rsidRPr="00470D3D">
        <w:rPr>
          <w:rFonts w:eastAsia="SimSun"/>
          <w:i/>
          <w:u w:val="single"/>
        </w:rPr>
        <w:fldChar w:fldCharType="begin" w:fldLock="1"/>
      </w:r>
      <w:r w:rsidR="00F040F8">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[210]","plainTextFormattedCitation":"[210]","previouslyFormattedCitation":"[210]"},"properties":{"noteIndex":0},"schema":"https://github.com/citation-style-language/schema/raw/master/csl-citation.json"}</w:instrText>
      </w:r>
      <w:r w:rsidRPr="00470D3D">
        <w:rPr>
          <w:rFonts w:eastAsia="SimSun"/>
          <w:i/>
          <w:u w:val="single"/>
        </w:rPr>
        <w:fldChar w:fldCharType="separate"/>
      </w:r>
      <w:r w:rsidR="005C0C1F" w:rsidRPr="005C0C1F">
        <w:rPr>
          <w:rFonts w:eastAsia="SimSun"/>
          <w:noProof/>
        </w:rPr>
        <w:t>[210]</w:t>
      </w:r>
      <w:r w:rsidRPr="00470D3D">
        <w:rPr>
          <w:rFonts w:eastAsia="SimSun"/>
          <w:i/>
          <w:u w:val="single"/>
        </w:rPr>
        <w:fldChar w:fldCharType="end"/>
      </w:r>
      <w:r>
        <w:rPr>
          <w:rFonts w:eastAsia="SimSun"/>
          <w:i/>
          <w:u w:val="single"/>
        </w:rPr>
        <w:t>:</w:t>
      </w:r>
    </w:p>
    <w:p w14:paraId="65320B07" w14:textId="77777777" w:rsidR="00124A26" w:rsidRPr="00470D3D" w:rsidRDefault="00124A26" w:rsidP="00A577FB">
      <w:pPr>
        <w:numPr>
          <w:ilvl w:val="0"/>
          <w:numId w:val="253"/>
        </w:numPr>
        <w:overflowPunct w:val="0"/>
        <w:autoSpaceDE w:val="0"/>
        <w:autoSpaceDN w:val="0"/>
        <w:adjustRightInd w:val="0"/>
        <w:textAlignment w:val="baseline"/>
        <w:rPr>
          <w:rFonts w:eastAsia="SimSun"/>
        </w:rPr>
      </w:pPr>
      <w:r w:rsidRPr="00470D3D">
        <w:rPr>
          <w:rFonts w:eastAsia="SimSun"/>
        </w:rPr>
        <w:t>Общеклинический анализ крови с лейкоцитарной формулой</w:t>
      </w:r>
      <w:r w:rsidRPr="00AC75E2">
        <w:rPr>
          <w:rStyle w:val="af4"/>
          <w:rFonts w:eastAsia="SimSun"/>
        </w:rPr>
        <w:footnoteReference w:id="10"/>
      </w:r>
      <w:r w:rsidRPr="00470D3D">
        <w:rPr>
          <w:rFonts w:eastAsia="SimSun"/>
        </w:rPr>
        <w:t>.</w:t>
      </w:r>
    </w:p>
    <w:p w14:paraId="4BDDEF7F" w14:textId="77777777" w:rsidR="00124A26" w:rsidRPr="00470D3D" w:rsidRDefault="00124A26" w:rsidP="00A577FB">
      <w:pPr>
        <w:numPr>
          <w:ilvl w:val="0"/>
          <w:numId w:val="253"/>
        </w:numPr>
        <w:overflowPunct w:val="0"/>
        <w:autoSpaceDE w:val="0"/>
        <w:autoSpaceDN w:val="0"/>
        <w:adjustRightInd w:val="0"/>
        <w:textAlignment w:val="baseline"/>
        <w:rPr>
          <w:rFonts w:eastAsia="SimSun"/>
        </w:rPr>
      </w:pPr>
      <w:r w:rsidRPr="00470D3D">
        <w:rPr>
          <w:rFonts w:eastAsia="SimSun"/>
        </w:rPr>
        <w:t>Биохимический анализ крови (общий белок, альбумин, глобулин, общий холестерин, мочевая кислота, креатинин, мочевина, билирубин и его фракции, АЛТ, АСТ, щелочная фосфатаза, ГГТП, ЛДГ, ферритин)</w:t>
      </w:r>
      <w:r w:rsidRPr="00AC75E2">
        <w:rPr>
          <w:rStyle w:val="af4"/>
          <w:rFonts w:eastAsia="SimSun"/>
        </w:rPr>
        <w:footnoteReference w:id="11"/>
      </w:r>
      <w:r w:rsidRPr="00470D3D">
        <w:rPr>
          <w:rFonts w:eastAsia="SimSun"/>
        </w:rPr>
        <w:t>.</w:t>
      </w:r>
    </w:p>
    <w:p w14:paraId="1C39C0D1" w14:textId="77777777" w:rsidR="00124A26" w:rsidRPr="00470D3D" w:rsidRDefault="00124A26" w:rsidP="00A577FB">
      <w:pPr>
        <w:numPr>
          <w:ilvl w:val="0"/>
          <w:numId w:val="253"/>
        </w:numPr>
        <w:overflowPunct w:val="0"/>
        <w:autoSpaceDE w:val="0"/>
        <w:autoSpaceDN w:val="0"/>
        <w:adjustRightInd w:val="0"/>
        <w:textAlignment w:val="baseline"/>
        <w:rPr>
          <w:rFonts w:eastAsia="SimSun"/>
        </w:rPr>
      </w:pPr>
      <w:r w:rsidRPr="00470D3D">
        <w:rPr>
          <w:rFonts w:eastAsia="SimSun"/>
        </w:rPr>
        <w:t>Коагулограмма (АЧТВ, фибриноген, ПТИ по Квику, МНО)</w:t>
      </w:r>
      <w:r w:rsidRPr="00AC75E2">
        <w:rPr>
          <w:rStyle w:val="af4"/>
          <w:rFonts w:eastAsia="SimSun"/>
        </w:rPr>
        <w:footnoteReference w:id="12"/>
      </w:r>
      <w:r w:rsidRPr="00470D3D">
        <w:rPr>
          <w:rFonts w:eastAsia="SimSun"/>
        </w:rPr>
        <w:t>.</w:t>
      </w:r>
    </w:p>
    <w:p w14:paraId="6EA6D80E" w14:textId="77777777" w:rsidR="00124A26" w:rsidRPr="00C07B2E" w:rsidRDefault="00124A26" w:rsidP="00A577FB">
      <w:pPr>
        <w:numPr>
          <w:ilvl w:val="0"/>
          <w:numId w:val="253"/>
        </w:numPr>
        <w:overflowPunct w:val="0"/>
        <w:autoSpaceDE w:val="0"/>
        <w:autoSpaceDN w:val="0"/>
        <w:adjustRightInd w:val="0"/>
        <w:textAlignment w:val="baseline"/>
        <w:rPr>
          <w:rFonts w:eastAsia="SimSun"/>
        </w:rPr>
      </w:pPr>
      <w:r w:rsidRPr="00C07B2E">
        <w:rPr>
          <w:rFonts w:eastAsia="SimSun"/>
        </w:rPr>
        <w:t>Глюкоза венозной крови натощак</w:t>
      </w:r>
      <w:r w:rsidRPr="00AC75E2">
        <w:rPr>
          <w:rStyle w:val="af4"/>
          <w:rFonts w:eastAsia="SimSun"/>
        </w:rPr>
        <w:footnoteReference w:id="13"/>
      </w:r>
      <w:r w:rsidRPr="00C07B2E">
        <w:rPr>
          <w:rFonts w:eastAsia="SimSun"/>
        </w:rPr>
        <w:t>.</w:t>
      </w:r>
    </w:p>
    <w:p w14:paraId="11BB91E4" w14:textId="77777777" w:rsidR="00124A26" w:rsidRPr="00470D3D" w:rsidRDefault="00124A26" w:rsidP="00A577FB">
      <w:pPr>
        <w:numPr>
          <w:ilvl w:val="0"/>
          <w:numId w:val="253"/>
        </w:numPr>
        <w:overflowPunct w:val="0"/>
        <w:autoSpaceDE w:val="0"/>
        <w:autoSpaceDN w:val="0"/>
        <w:adjustRightInd w:val="0"/>
        <w:textAlignment w:val="baseline"/>
        <w:rPr>
          <w:rFonts w:eastAsia="SimSun"/>
        </w:rPr>
      </w:pPr>
      <w:r w:rsidRPr="00470D3D">
        <w:rPr>
          <w:rFonts w:eastAsia="SimSun"/>
        </w:rPr>
        <w:t xml:space="preserve">Серологические исследования гемотрансмиссивных инфекций (антитела к ВИЧ, </w:t>
      </w:r>
      <w:r w:rsidRPr="00C07B2E">
        <w:rPr>
          <w:rFonts w:eastAsia="SimSun"/>
        </w:rPr>
        <w:t>HB</w:t>
      </w:r>
      <w:r w:rsidRPr="00C07B2E">
        <w:rPr>
          <w:rFonts w:eastAsia="SimSun"/>
          <w:lang w:val="en-US"/>
        </w:rPr>
        <w:t>sAg</w:t>
      </w:r>
      <w:r w:rsidRPr="00470D3D">
        <w:rPr>
          <w:rFonts w:eastAsia="SimSun"/>
        </w:rPr>
        <w:t xml:space="preserve"> качественно, антитела к </w:t>
      </w:r>
      <w:r w:rsidRPr="00C07B2E">
        <w:rPr>
          <w:rFonts w:eastAsia="SimSun"/>
        </w:rPr>
        <w:t>HB</w:t>
      </w:r>
      <w:r w:rsidRPr="00C07B2E">
        <w:rPr>
          <w:rFonts w:eastAsia="SimSun"/>
          <w:lang w:val="en-US"/>
        </w:rPr>
        <w:t>sAg</w:t>
      </w:r>
      <w:r w:rsidRPr="00470D3D">
        <w:rPr>
          <w:rFonts w:eastAsia="SimSun"/>
        </w:rPr>
        <w:t xml:space="preserve"> качественно и количественно, анти-НВсо</w:t>
      </w:r>
      <w:r w:rsidRPr="00C07B2E">
        <w:rPr>
          <w:rFonts w:eastAsia="SimSun"/>
        </w:rPr>
        <w:t>r</w:t>
      </w:r>
      <w:r w:rsidRPr="00470D3D">
        <w:rPr>
          <w:rFonts w:eastAsia="SimSun"/>
        </w:rPr>
        <w:t xml:space="preserve"> качественно, </w:t>
      </w:r>
      <w:r w:rsidRPr="00C07B2E">
        <w:rPr>
          <w:rFonts w:eastAsia="SimSun"/>
          <w:lang w:val="en-US"/>
        </w:rPr>
        <w:t>HBeAg</w:t>
      </w:r>
      <w:r w:rsidRPr="00470D3D">
        <w:rPr>
          <w:rFonts w:eastAsia="SimSun"/>
        </w:rPr>
        <w:t xml:space="preserve"> качественно, анти-</w:t>
      </w:r>
      <w:r w:rsidRPr="00C07B2E">
        <w:rPr>
          <w:rFonts w:eastAsia="SimSun"/>
          <w:lang w:val="en-US"/>
        </w:rPr>
        <w:t>HBeAg</w:t>
      </w:r>
      <w:r w:rsidRPr="00470D3D">
        <w:rPr>
          <w:rFonts w:eastAsia="SimSun"/>
        </w:rPr>
        <w:t>, на сифилис)</w:t>
      </w:r>
      <w:r w:rsidRPr="00AC75E2">
        <w:rPr>
          <w:rStyle w:val="af4"/>
          <w:rFonts w:eastAsia="SimSun"/>
        </w:rPr>
        <w:footnoteReference w:id="14"/>
      </w:r>
      <w:r w:rsidRPr="00470D3D">
        <w:rPr>
          <w:rFonts w:eastAsia="SimSun"/>
        </w:rPr>
        <w:t>.</w:t>
      </w:r>
    </w:p>
    <w:p w14:paraId="63D89498" w14:textId="77777777" w:rsidR="00124A26" w:rsidRPr="00470D3D" w:rsidRDefault="00124A26" w:rsidP="00A577FB">
      <w:pPr>
        <w:numPr>
          <w:ilvl w:val="0"/>
          <w:numId w:val="253"/>
        </w:numPr>
        <w:overflowPunct w:val="0"/>
        <w:autoSpaceDE w:val="0"/>
        <w:autoSpaceDN w:val="0"/>
        <w:adjustRightInd w:val="0"/>
        <w:textAlignment w:val="baseline"/>
        <w:rPr>
          <w:rFonts w:eastAsia="SimSun"/>
        </w:rPr>
      </w:pPr>
      <w:r w:rsidRPr="00470D3D">
        <w:rPr>
          <w:rFonts w:eastAsia="SimSun"/>
        </w:rPr>
        <w:t>Серологические исследования герпесвирусов (</w:t>
      </w:r>
      <w:r w:rsidRPr="00C07B2E">
        <w:rPr>
          <w:rFonts w:eastAsia="SimSun"/>
          <w:lang w:val="en-US"/>
        </w:rPr>
        <w:t>IgG</w:t>
      </w:r>
      <w:r w:rsidRPr="00470D3D">
        <w:rPr>
          <w:rFonts w:eastAsia="SimSun"/>
        </w:rPr>
        <w:t xml:space="preserve"> и </w:t>
      </w:r>
      <w:r w:rsidRPr="00C07B2E">
        <w:rPr>
          <w:rFonts w:eastAsia="SimSun"/>
          <w:lang w:val="en-US"/>
        </w:rPr>
        <w:t>IgM</w:t>
      </w:r>
      <w:r w:rsidRPr="00470D3D">
        <w:rPr>
          <w:rFonts w:eastAsia="SimSun"/>
        </w:rPr>
        <w:t xml:space="preserve"> к </w:t>
      </w:r>
      <w:r w:rsidRPr="00C07B2E">
        <w:rPr>
          <w:rFonts w:eastAsia="SimSun"/>
          <w:lang w:val="en-US"/>
        </w:rPr>
        <w:t>CMV</w:t>
      </w:r>
      <w:r w:rsidRPr="00470D3D">
        <w:rPr>
          <w:rFonts w:eastAsia="SimSun"/>
        </w:rPr>
        <w:t>, вирусу Эпштейна—Барр, герпесу простого герпеса и герпеса 6 типа) и токсоплазме (при возможности)</w:t>
      </w:r>
      <w:r w:rsidRPr="00AC75E2">
        <w:rPr>
          <w:rStyle w:val="af4"/>
          <w:rFonts w:eastAsia="SimSun"/>
        </w:rPr>
        <w:footnoteReference w:id="15"/>
      </w:r>
      <w:r w:rsidRPr="00470D3D">
        <w:rPr>
          <w:rFonts w:eastAsia="SimSun"/>
        </w:rPr>
        <w:t xml:space="preserve">. </w:t>
      </w:r>
    </w:p>
    <w:p w14:paraId="06C970FA" w14:textId="77777777" w:rsidR="00124A26" w:rsidRPr="00C07B2E" w:rsidRDefault="00124A26" w:rsidP="00A577FB">
      <w:pPr>
        <w:numPr>
          <w:ilvl w:val="0"/>
          <w:numId w:val="253"/>
        </w:numPr>
        <w:overflowPunct w:val="0"/>
        <w:autoSpaceDE w:val="0"/>
        <w:autoSpaceDN w:val="0"/>
        <w:adjustRightInd w:val="0"/>
        <w:textAlignment w:val="baseline"/>
        <w:rPr>
          <w:rFonts w:eastAsia="SimSun"/>
        </w:rPr>
      </w:pPr>
      <w:r w:rsidRPr="00470D3D">
        <w:rPr>
          <w:rFonts w:eastAsia="SimSun"/>
        </w:rPr>
        <w:t xml:space="preserve">Определение ДНК вируса гепатита В и РНК вируса гепатита С с помощью </w:t>
      </w:r>
      <w:r w:rsidRPr="00C07B2E">
        <w:rPr>
          <w:rFonts w:eastAsia="SimSun"/>
        </w:rPr>
        <w:t>ПЦР (качественно, в случае выявления — количественно)</w:t>
      </w:r>
      <w:r w:rsidRPr="00AC75E2">
        <w:rPr>
          <w:rStyle w:val="af4"/>
          <w:rFonts w:eastAsia="SimSun"/>
        </w:rPr>
        <w:footnoteReference w:id="16"/>
      </w:r>
      <w:r w:rsidRPr="00C07B2E">
        <w:rPr>
          <w:rFonts w:eastAsia="SimSun"/>
        </w:rPr>
        <w:t>.</w:t>
      </w:r>
    </w:p>
    <w:p w14:paraId="78FFCD8E" w14:textId="77777777" w:rsidR="00124A26" w:rsidRPr="00470D3D" w:rsidRDefault="00124A26" w:rsidP="00A577FB">
      <w:pPr>
        <w:numPr>
          <w:ilvl w:val="0"/>
          <w:numId w:val="253"/>
        </w:numPr>
        <w:overflowPunct w:val="0"/>
        <w:autoSpaceDE w:val="0"/>
        <w:autoSpaceDN w:val="0"/>
        <w:adjustRightInd w:val="0"/>
        <w:textAlignment w:val="baseline"/>
        <w:rPr>
          <w:rFonts w:eastAsia="SimSun"/>
        </w:rPr>
      </w:pPr>
      <w:r w:rsidRPr="00470D3D">
        <w:rPr>
          <w:rFonts w:eastAsia="SimSun"/>
        </w:rPr>
        <w:t>Исследования по определению статуса основного заболевания</w:t>
      </w:r>
      <w:r w:rsidRPr="00AC75E2">
        <w:rPr>
          <w:rStyle w:val="af4"/>
          <w:rFonts w:eastAsia="SimSun"/>
        </w:rPr>
        <w:footnoteReference w:id="17"/>
      </w:r>
      <w:r w:rsidRPr="00470D3D">
        <w:rPr>
          <w:rFonts w:eastAsia="SimSun"/>
        </w:rPr>
        <w:t>. Для пациентов с острыми лейкозами обязательна люмбальная пункция с интратекальным введением химиопрепаратов.</w:t>
      </w:r>
    </w:p>
    <w:p w14:paraId="087DBD45" w14:textId="77777777" w:rsidR="00124A26" w:rsidRPr="00470D3D" w:rsidRDefault="00124A26" w:rsidP="00A577FB">
      <w:pPr>
        <w:numPr>
          <w:ilvl w:val="0"/>
          <w:numId w:val="253"/>
        </w:numPr>
        <w:overflowPunct w:val="0"/>
        <w:autoSpaceDE w:val="0"/>
        <w:autoSpaceDN w:val="0"/>
        <w:adjustRightInd w:val="0"/>
        <w:textAlignment w:val="baseline"/>
        <w:rPr>
          <w:rFonts w:eastAsia="SimSun"/>
        </w:rPr>
      </w:pPr>
      <w:r w:rsidRPr="00470D3D">
        <w:rPr>
          <w:rFonts w:eastAsia="SimSun"/>
        </w:rPr>
        <w:t>КТ органов грудной клетки (с записью на электронный носитель)</w:t>
      </w:r>
      <w:r w:rsidRPr="00AC75E2">
        <w:rPr>
          <w:rStyle w:val="af4"/>
          <w:rFonts w:eastAsia="SimSun"/>
        </w:rPr>
        <w:footnoteReference w:id="18"/>
      </w:r>
      <w:r w:rsidRPr="00470D3D">
        <w:rPr>
          <w:rFonts w:eastAsia="SimSun"/>
        </w:rPr>
        <w:t xml:space="preserve">.КТ других областей при необходимости </w:t>
      </w:r>
    </w:p>
    <w:p w14:paraId="5AD2BD22" w14:textId="77777777" w:rsidR="00124A26" w:rsidRPr="00470D3D" w:rsidRDefault="00124A26" w:rsidP="00A577FB">
      <w:pPr>
        <w:numPr>
          <w:ilvl w:val="0"/>
          <w:numId w:val="253"/>
        </w:numPr>
        <w:overflowPunct w:val="0"/>
        <w:autoSpaceDE w:val="0"/>
        <w:autoSpaceDN w:val="0"/>
        <w:adjustRightInd w:val="0"/>
        <w:textAlignment w:val="baseline"/>
        <w:rPr>
          <w:rFonts w:eastAsia="SimSun"/>
        </w:rPr>
      </w:pPr>
      <w:r w:rsidRPr="00470D3D">
        <w:rPr>
          <w:rFonts w:eastAsia="SimSun"/>
        </w:rPr>
        <w:t>ПЭТ-КТ (при необходимости – в соответствии с клиническими рекомендациями (протоколами лечения) )</w:t>
      </w:r>
      <w:r w:rsidRPr="00AC75E2">
        <w:rPr>
          <w:rStyle w:val="af4"/>
          <w:rFonts w:eastAsia="SimSun"/>
        </w:rPr>
        <w:footnoteReference w:id="19"/>
      </w:r>
      <w:r w:rsidRPr="00470D3D">
        <w:rPr>
          <w:rFonts w:eastAsia="SimSun"/>
        </w:rPr>
        <w:t>.</w:t>
      </w:r>
    </w:p>
    <w:p w14:paraId="61AE9C9D" w14:textId="77777777" w:rsidR="00124A26" w:rsidRPr="00470D3D" w:rsidRDefault="00124A26" w:rsidP="00A577FB">
      <w:pPr>
        <w:numPr>
          <w:ilvl w:val="0"/>
          <w:numId w:val="253"/>
        </w:numPr>
        <w:overflowPunct w:val="0"/>
        <w:autoSpaceDE w:val="0"/>
        <w:autoSpaceDN w:val="0"/>
        <w:adjustRightInd w:val="0"/>
        <w:textAlignment w:val="baseline"/>
        <w:rPr>
          <w:rFonts w:eastAsia="SimSun"/>
        </w:rPr>
      </w:pPr>
      <w:r w:rsidRPr="00470D3D">
        <w:rPr>
          <w:rFonts w:eastAsia="SimSun"/>
        </w:rPr>
        <w:t>МРТ головного мозга при наличии показаний (с записью на электронный носитель)</w:t>
      </w:r>
      <w:r w:rsidRPr="00AC75E2">
        <w:rPr>
          <w:rStyle w:val="af4"/>
          <w:rFonts w:eastAsia="SimSun"/>
        </w:rPr>
        <w:footnoteReference w:id="20"/>
      </w:r>
      <w:r w:rsidRPr="00470D3D">
        <w:rPr>
          <w:rFonts w:eastAsia="SimSun"/>
        </w:rPr>
        <w:t xml:space="preserve">. </w:t>
      </w:r>
    </w:p>
    <w:p w14:paraId="02BB1605" w14:textId="77777777" w:rsidR="00124A26" w:rsidRPr="00470D3D" w:rsidRDefault="00124A26" w:rsidP="00A577FB">
      <w:pPr>
        <w:numPr>
          <w:ilvl w:val="0"/>
          <w:numId w:val="253"/>
        </w:numPr>
        <w:overflowPunct w:val="0"/>
        <w:autoSpaceDE w:val="0"/>
        <w:autoSpaceDN w:val="0"/>
        <w:adjustRightInd w:val="0"/>
        <w:textAlignment w:val="baseline"/>
        <w:rPr>
          <w:rFonts w:eastAsia="SimSun"/>
        </w:rPr>
      </w:pPr>
      <w:r w:rsidRPr="00470D3D">
        <w:rPr>
          <w:rFonts w:eastAsia="SimSun"/>
        </w:rPr>
        <w:t>Рентген или КТ пазух носа.</w:t>
      </w:r>
    </w:p>
    <w:p w14:paraId="5E486F44" w14:textId="77777777" w:rsidR="00124A26" w:rsidRPr="00C07B2E" w:rsidRDefault="00124A26" w:rsidP="00A577FB">
      <w:pPr>
        <w:numPr>
          <w:ilvl w:val="0"/>
          <w:numId w:val="253"/>
        </w:numPr>
        <w:overflowPunct w:val="0"/>
        <w:autoSpaceDE w:val="0"/>
        <w:autoSpaceDN w:val="0"/>
        <w:adjustRightInd w:val="0"/>
        <w:textAlignment w:val="baseline"/>
        <w:rPr>
          <w:rFonts w:eastAsia="SimSun"/>
        </w:rPr>
      </w:pPr>
      <w:r w:rsidRPr="00C07B2E">
        <w:rPr>
          <w:rFonts w:eastAsia="SimSun"/>
        </w:rPr>
        <w:t>УЗИ печени, селезенки, почек</w:t>
      </w:r>
      <w:r w:rsidRPr="00AC75E2">
        <w:rPr>
          <w:rStyle w:val="af4"/>
          <w:rFonts w:eastAsia="SimSun"/>
        </w:rPr>
        <w:footnoteReference w:id="21"/>
      </w:r>
      <w:r w:rsidRPr="00C07B2E">
        <w:rPr>
          <w:rFonts w:eastAsia="SimSun"/>
        </w:rPr>
        <w:t xml:space="preserve">. </w:t>
      </w:r>
    </w:p>
    <w:p w14:paraId="1BE17F6A" w14:textId="77777777" w:rsidR="00124A26" w:rsidRPr="00C07B2E" w:rsidRDefault="00124A26" w:rsidP="00A577FB">
      <w:pPr>
        <w:numPr>
          <w:ilvl w:val="0"/>
          <w:numId w:val="253"/>
        </w:numPr>
        <w:overflowPunct w:val="0"/>
        <w:autoSpaceDE w:val="0"/>
        <w:autoSpaceDN w:val="0"/>
        <w:adjustRightInd w:val="0"/>
        <w:textAlignment w:val="baseline"/>
        <w:rPr>
          <w:rFonts w:eastAsia="SimSun"/>
        </w:rPr>
      </w:pPr>
      <w:r w:rsidRPr="00C07B2E">
        <w:rPr>
          <w:rFonts w:eastAsia="SimSun"/>
        </w:rPr>
        <w:t>ЭКГ</w:t>
      </w:r>
      <w:r w:rsidRPr="00AC75E2">
        <w:rPr>
          <w:rStyle w:val="af4"/>
          <w:rFonts w:eastAsia="SimSun"/>
        </w:rPr>
        <w:footnoteReference w:id="22"/>
      </w:r>
      <w:r w:rsidRPr="00C07B2E">
        <w:rPr>
          <w:rFonts w:eastAsia="SimSun"/>
        </w:rPr>
        <w:t>.</w:t>
      </w:r>
    </w:p>
    <w:p w14:paraId="34E1CBB7" w14:textId="77777777" w:rsidR="00124A26" w:rsidRPr="00C07B2E" w:rsidRDefault="00124A26" w:rsidP="00A577FB">
      <w:pPr>
        <w:numPr>
          <w:ilvl w:val="0"/>
          <w:numId w:val="253"/>
        </w:numPr>
        <w:overflowPunct w:val="0"/>
        <w:autoSpaceDE w:val="0"/>
        <w:autoSpaceDN w:val="0"/>
        <w:adjustRightInd w:val="0"/>
        <w:textAlignment w:val="baseline"/>
        <w:rPr>
          <w:rFonts w:eastAsia="SimSun"/>
        </w:rPr>
      </w:pPr>
      <w:r>
        <w:rPr>
          <w:rFonts w:eastAsia="SimSun"/>
        </w:rPr>
        <w:t>Т</w:t>
      </w:r>
      <w:r w:rsidRPr="00C07B2E">
        <w:rPr>
          <w:rFonts w:eastAsia="SimSun"/>
        </w:rPr>
        <w:t>рансторакальная ЭхоКГ</w:t>
      </w:r>
      <w:r w:rsidRPr="00AC75E2">
        <w:rPr>
          <w:rStyle w:val="af4"/>
          <w:rFonts w:eastAsia="SimSun"/>
        </w:rPr>
        <w:footnoteReference w:id="23"/>
      </w:r>
      <w:r w:rsidRPr="00C07B2E">
        <w:rPr>
          <w:rFonts w:eastAsia="SimSun"/>
        </w:rPr>
        <w:t>.</w:t>
      </w:r>
    </w:p>
    <w:p w14:paraId="55510CE3" w14:textId="77777777" w:rsidR="00124A26" w:rsidRPr="00470D3D" w:rsidRDefault="00124A26" w:rsidP="00A577FB">
      <w:pPr>
        <w:numPr>
          <w:ilvl w:val="0"/>
          <w:numId w:val="253"/>
        </w:numPr>
        <w:overflowPunct w:val="0"/>
        <w:autoSpaceDE w:val="0"/>
        <w:autoSpaceDN w:val="0"/>
        <w:adjustRightInd w:val="0"/>
        <w:textAlignment w:val="baseline"/>
        <w:rPr>
          <w:rFonts w:eastAsia="SimSun"/>
        </w:rPr>
      </w:pPr>
      <w:r w:rsidRPr="00470D3D">
        <w:rPr>
          <w:rFonts w:eastAsia="SimSun"/>
        </w:rPr>
        <w:t>Исследование функции внешнего дыхания с оценкой ОФВ1 и/или скорректированной диффузионной способности легких (</w:t>
      </w:r>
      <w:r w:rsidRPr="00C07B2E">
        <w:rPr>
          <w:rFonts w:eastAsia="SimSun"/>
        </w:rPr>
        <w:t>DLCO</w:t>
      </w:r>
      <w:r w:rsidRPr="00470D3D">
        <w:rPr>
          <w:rFonts w:eastAsia="SimSun"/>
        </w:rPr>
        <w:t>) (при возможности)</w:t>
      </w:r>
    </w:p>
    <w:p w14:paraId="21683F67" w14:textId="77777777" w:rsidR="00124A26" w:rsidRPr="00470D3D" w:rsidRDefault="00124A26" w:rsidP="00A577FB">
      <w:pPr>
        <w:numPr>
          <w:ilvl w:val="0"/>
          <w:numId w:val="253"/>
        </w:numPr>
        <w:overflowPunct w:val="0"/>
        <w:autoSpaceDE w:val="0"/>
        <w:autoSpaceDN w:val="0"/>
        <w:adjustRightInd w:val="0"/>
        <w:textAlignment w:val="baseline"/>
        <w:rPr>
          <w:rFonts w:eastAsia="SimSun"/>
        </w:rPr>
      </w:pPr>
      <w:r w:rsidRPr="00470D3D">
        <w:rPr>
          <w:rFonts w:eastAsia="SimSun"/>
        </w:rPr>
        <w:t>ФГДС при наличии в анамнезе язвенных поражений желудка или ДПК</w:t>
      </w:r>
    </w:p>
    <w:p w14:paraId="37550B37" w14:textId="77777777" w:rsidR="00124A26" w:rsidRPr="00C07B2E" w:rsidRDefault="00124A26" w:rsidP="00A577FB">
      <w:pPr>
        <w:numPr>
          <w:ilvl w:val="0"/>
          <w:numId w:val="253"/>
        </w:numPr>
        <w:overflowPunct w:val="0"/>
        <w:autoSpaceDE w:val="0"/>
        <w:autoSpaceDN w:val="0"/>
        <w:adjustRightInd w:val="0"/>
        <w:textAlignment w:val="baseline"/>
        <w:rPr>
          <w:rFonts w:eastAsia="SimSun"/>
        </w:rPr>
      </w:pPr>
      <w:r w:rsidRPr="00C07B2E">
        <w:rPr>
          <w:rFonts w:eastAsia="SimSun"/>
        </w:rPr>
        <w:t>ЭЭГ при необходимости</w:t>
      </w:r>
    </w:p>
    <w:p w14:paraId="549C0AAE" w14:textId="77777777" w:rsidR="00124A26" w:rsidRPr="00470D3D" w:rsidRDefault="00124A26" w:rsidP="00A577FB">
      <w:pPr>
        <w:numPr>
          <w:ilvl w:val="0"/>
          <w:numId w:val="253"/>
        </w:numPr>
        <w:overflowPunct w:val="0"/>
        <w:autoSpaceDE w:val="0"/>
        <w:autoSpaceDN w:val="0"/>
        <w:adjustRightInd w:val="0"/>
        <w:textAlignment w:val="baseline"/>
        <w:rPr>
          <w:rFonts w:eastAsia="SimSun"/>
        </w:rPr>
      </w:pPr>
      <w:r w:rsidRPr="00470D3D">
        <w:rPr>
          <w:rFonts w:eastAsia="SimSun"/>
        </w:rPr>
        <w:t>Осмотр специалистов: стоматолог (обязательно), гинеколог (обязательно для женщин), оториноларинголог (по показаниям)</w:t>
      </w:r>
      <w:r w:rsidRPr="00AC75E2">
        <w:rPr>
          <w:rStyle w:val="af4"/>
          <w:rFonts w:eastAsia="SimSun"/>
        </w:rPr>
        <w:footnoteReference w:id="24"/>
      </w:r>
      <w:r w:rsidRPr="00470D3D">
        <w:rPr>
          <w:rFonts w:eastAsia="SimSun"/>
        </w:rPr>
        <w:t xml:space="preserve">. </w:t>
      </w:r>
    </w:p>
    <w:p w14:paraId="01529CEA" w14:textId="77777777" w:rsidR="00124A26" w:rsidRPr="00470D3D" w:rsidRDefault="00124A26" w:rsidP="00A577FB">
      <w:pPr>
        <w:numPr>
          <w:ilvl w:val="0"/>
          <w:numId w:val="253"/>
        </w:numPr>
        <w:overflowPunct w:val="0"/>
        <w:autoSpaceDE w:val="0"/>
        <w:autoSpaceDN w:val="0"/>
        <w:adjustRightInd w:val="0"/>
        <w:textAlignment w:val="baseline"/>
        <w:rPr>
          <w:rFonts w:eastAsia="SimSun"/>
        </w:rPr>
      </w:pPr>
      <w:r w:rsidRPr="00470D3D">
        <w:t>Определение н</w:t>
      </w:r>
      <w:r w:rsidRPr="00470D3D">
        <w:rPr>
          <w:rFonts w:eastAsia="SimSun"/>
        </w:rPr>
        <w:t>аличия донорспецифичных анти-</w:t>
      </w:r>
      <w:r w:rsidRPr="00C07B2E">
        <w:rPr>
          <w:rFonts w:eastAsia="SimSun"/>
        </w:rPr>
        <w:t>HLA</w:t>
      </w:r>
      <w:r w:rsidRPr="00470D3D">
        <w:rPr>
          <w:rFonts w:eastAsia="SimSun"/>
        </w:rPr>
        <w:t>-антител при неродственной частично совместимой или гаплоидентичной ТГСК (при возможности)</w:t>
      </w:r>
    </w:p>
    <w:p w14:paraId="595A7F78" w14:textId="77777777" w:rsidR="00124A26" w:rsidRDefault="00124A26" w:rsidP="00124A26">
      <w:pPr>
        <w:rPr>
          <w:rFonts w:eastAsia="SimSun"/>
          <w:i/>
          <w:u w:val="single"/>
        </w:rPr>
      </w:pPr>
    </w:p>
    <w:p w14:paraId="7FD8FCDA" w14:textId="199FBD21" w:rsidR="00124A26" w:rsidRPr="00EE51B1" w:rsidRDefault="00124A26" w:rsidP="00124A26">
      <w:pPr>
        <w:rPr>
          <w:rFonts w:eastAsia="SimSun"/>
          <w:i/>
          <w:u w:val="single"/>
        </w:rPr>
      </w:pPr>
      <w:r w:rsidRPr="00EE51B1">
        <w:rPr>
          <w:rFonts w:eastAsia="SimSun"/>
          <w:i/>
          <w:u w:val="single"/>
        </w:rPr>
        <w:t>Алгоритм принятия решения о выполнении алло-ТГСК</w:t>
      </w:r>
      <w:bookmarkEnd w:id="162"/>
      <w:r w:rsidRPr="00EE51B1">
        <w:rPr>
          <w:rFonts w:eastAsia="SimSun"/>
          <w:i/>
          <w:u w:val="single"/>
        </w:rPr>
        <w:t xml:space="preserve"> </w:t>
      </w:r>
      <w:r w:rsidRPr="00EE51B1">
        <w:rPr>
          <w:rFonts w:eastAsia="SimSun"/>
          <w:i/>
          <w:u w:val="single"/>
        </w:rPr>
        <w:fldChar w:fldCharType="begin" w:fldLock="1"/>
      </w:r>
      <w:r w:rsidR="00F040F8">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[210]","plainTextFormattedCitation":"[210]","previouslyFormattedCitation":"[210]"},"properties":{"noteIndex":0},"schema":"https://github.com/citation-style-language/schema/raw/master/csl-citation.json"}</w:instrText>
      </w:r>
      <w:r w:rsidRPr="00EE51B1">
        <w:rPr>
          <w:rFonts w:eastAsia="SimSun"/>
          <w:i/>
          <w:u w:val="single"/>
        </w:rPr>
        <w:fldChar w:fldCharType="separate"/>
      </w:r>
      <w:r w:rsidR="005C0C1F" w:rsidRPr="005C0C1F">
        <w:rPr>
          <w:rFonts w:eastAsia="SimSun"/>
          <w:noProof/>
        </w:rPr>
        <w:t>[210]</w:t>
      </w:r>
      <w:r w:rsidRPr="00EE51B1">
        <w:rPr>
          <w:rFonts w:eastAsia="SimSun"/>
          <w:i/>
          <w:u w:val="single"/>
        </w:rPr>
        <w:fldChar w:fldCharType="end"/>
      </w:r>
      <w:r w:rsidRPr="00EE51B1">
        <w:rPr>
          <w:rFonts w:eastAsia="SimSun"/>
          <w:i/>
          <w:u w:val="single"/>
        </w:rPr>
        <w:t xml:space="preserve">: </w:t>
      </w:r>
    </w:p>
    <w:p w14:paraId="42692FD4" w14:textId="77777777" w:rsidR="00124A26" w:rsidRPr="00C07B2E" w:rsidRDefault="00124A26" w:rsidP="00124A26">
      <w:pPr>
        <w:rPr>
          <w:rFonts w:eastAsia="SimSun"/>
        </w:rPr>
      </w:pPr>
      <w:r w:rsidRPr="00C07B2E">
        <w:rPr>
          <w:rFonts w:eastAsia="SimSun"/>
        </w:rPr>
        <w:t>Медицинская организация, в которой проводятся наблюдение и лечение пациента, выявившая у пациента медицинские показания к проведению трансплантации костного мозга или гемопоэтических стволовых клеток, для рассмотрения вопроса о необходимости трансплантации костного мозга и гемопоэтических стволовых клеток осуществляет направление пациента в медицинскую организацию, осуществляющую трансплантацию, либо организует проведение дистанционного консилиума с применением телемедицинских технологий в соответствии с порядком организации оказания медицинской помощи с применением телемедицинских технологий.</w:t>
      </w:r>
    </w:p>
    <w:p w14:paraId="585CC2F0" w14:textId="77777777" w:rsidR="00124A26" w:rsidRPr="00C07B2E" w:rsidRDefault="00124A26" w:rsidP="00124A26">
      <w:pPr>
        <w:rPr>
          <w:rFonts w:eastAsia="SimSun"/>
        </w:rPr>
      </w:pPr>
      <w:r w:rsidRPr="00C07B2E">
        <w:rPr>
          <w:rFonts w:eastAsia="SimSun"/>
        </w:rPr>
        <w:t>Медицинское заключение о необходимости трансплантации костного мозга или гемопоэтических стволовых клеток (далее - заключение) потенциальному кандидату на проведение алло-ТГСК (реципиенту) выдается на бумажном носителе или в форме электронного документа консилиумом врачей (включая дистанционный консилиум, в случае невозможности проведения очной консультации) организацией, осуществляющей трансплантацию, в соответствии с Инструкцией о выдаче медицинского заключения о необходимости трансплантации органов и (или) тканей человека на основании консультации потенциального реципиента, результатов медицинского обследования, о чем вносится запись в медицинскую документацию пациента.</w:t>
      </w:r>
    </w:p>
    <w:p w14:paraId="79AF52BE" w14:textId="77777777" w:rsidR="00124A26" w:rsidRDefault="00124A26" w:rsidP="00124A26">
      <w:pPr>
        <w:rPr>
          <w:rFonts w:eastAsia="SimSun"/>
        </w:rPr>
      </w:pPr>
      <w:bookmarkStart w:id="164" w:name="_Toc44401111"/>
    </w:p>
    <w:p w14:paraId="56062FE5" w14:textId="612E5B80" w:rsidR="00124A26" w:rsidRPr="00EE51B1" w:rsidRDefault="00124A26" w:rsidP="00124A26">
      <w:pPr>
        <w:rPr>
          <w:rFonts w:eastAsia="SimSun"/>
          <w:i/>
          <w:u w:val="single"/>
        </w:rPr>
      </w:pPr>
      <w:r w:rsidRPr="00EE51B1">
        <w:rPr>
          <w:rFonts w:eastAsia="SimSun"/>
          <w:i/>
          <w:u w:val="single"/>
        </w:rPr>
        <w:t>Этапы принятия решений о проведении алло-ТГСК</w:t>
      </w:r>
      <w:bookmarkEnd w:id="164"/>
      <w:r w:rsidRPr="00EE51B1">
        <w:rPr>
          <w:rFonts w:eastAsia="SimSun"/>
          <w:i/>
          <w:u w:val="single"/>
        </w:rPr>
        <w:t xml:space="preserve"> </w:t>
      </w:r>
      <w:r w:rsidRPr="00EE51B1">
        <w:rPr>
          <w:rFonts w:eastAsia="SimSun"/>
          <w:i/>
          <w:u w:val="single"/>
        </w:rPr>
        <w:fldChar w:fldCharType="begin" w:fldLock="1"/>
      </w:r>
      <w:r w:rsidR="00F040F8">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[210]","plainTextFormattedCitation":"[210]","previouslyFormattedCitation":"[210]"},"properties":{"noteIndex":0},"schema":"https://github.com/citation-style-language/schema/raw/master/csl-citation.json"}</w:instrText>
      </w:r>
      <w:r w:rsidRPr="00EE51B1">
        <w:rPr>
          <w:rFonts w:eastAsia="SimSun"/>
          <w:i/>
          <w:u w:val="single"/>
        </w:rPr>
        <w:fldChar w:fldCharType="separate"/>
      </w:r>
      <w:r w:rsidR="005C0C1F" w:rsidRPr="005C0C1F">
        <w:rPr>
          <w:rFonts w:eastAsia="SimSun"/>
          <w:noProof/>
        </w:rPr>
        <w:t>[210]</w:t>
      </w:r>
      <w:r w:rsidRPr="00EE51B1">
        <w:rPr>
          <w:rFonts w:eastAsia="SimSun"/>
          <w:i/>
          <w:u w:val="single"/>
        </w:rPr>
        <w:fldChar w:fldCharType="end"/>
      </w:r>
      <w:r w:rsidRPr="00EE51B1">
        <w:rPr>
          <w:rFonts w:eastAsia="SimSun"/>
          <w:i/>
          <w:u w:val="single"/>
        </w:rPr>
        <w:t xml:space="preserve">: </w:t>
      </w:r>
    </w:p>
    <w:p w14:paraId="46683B2F" w14:textId="77777777" w:rsidR="00124A26" w:rsidRPr="00C07B2E" w:rsidRDefault="00124A26" w:rsidP="00124A26">
      <w:pPr>
        <w:rPr>
          <w:rFonts w:eastAsia="SimSun"/>
        </w:rPr>
      </w:pPr>
      <w:r w:rsidRPr="00C07B2E">
        <w:rPr>
          <w:rFonts w:eastAsia="SimSun"/>
        </w:rPr>
        <w:t>Этап 1 — рассмотрение медицинской документации, формирование медицинского заключения о необходимости трансплантации костного мозга или гемопоэтических стволовых клеток и направление на инициальное типирование (для поиска родственного или неродственного донора) — решение о возможности проведения алло-ТГСК и инициация поиска донора принимается экспертами на трансплантационной комиссии</w:t>
      </w:r>
      <w:r w:rsidRPr="00C07B2E">
        <w:rPr>
          <w:rFonts w:eastAsia="SimSun"/>
          <w:vertAlign w:val="superscript"/>
        </w:rPr>
        <w:t>1</w:t>
      </w:r>
      <w:r w:rsidRPr="00C07B2E">
        <w:rPr>
          <w:rFonts w:eastAsia="SimSun"/>
        </w:rPr>
        <w:t xml:space="preserve">. После получения заключения о наличии показаний для выполнения алло-ТГСК пациент нуждается в проведении дообследования и стратификации рисков по общесоматическому статусу. </w:t>
      </w:r>
    </w:p>
    <w:p w14:paraId="27B34F7F" w14:textId="77777777" w:rsidR="00124A26" w:rsidRPr="00C07B2E" w:rsidRDefault="00124A26" w:rsidP="00124A26">
      <w:pPr>
        <w:rPr>
          <w:rFonts w:eastAsia="SimSun"/>
        </w:rPr>
      </w:pPr>
      <w:r w:rsidRPr="00C07B2E">
        <w:rPr>
          <w:rFonts w:eastAsia="SimSun"/>
        </w:rPr>
        <w:t>Этап 2</w:t>
      </w:r>
      <w:r w:rsidRPr="00C07B2E">
        <w:rPr>
          <w:rFonts w:eastAsia="SimSun"/>
          <w:i/>
        </w:rPr>
        <w:t xml:space="preserve"> — </w:t>
      </w:r>
      <w:r w:rsidRPr="00C07B2E">
        <w:rPr>
          <w:rFonts w:eastAsia="SimSun"/>
        </w:rPr>
        <w:t>получение информации о наличии потенциальных доноров (родственных и неродственных).</w:t>
      </w:r>
    </w:p>
    <w:p w14:paraId="24FD7150" w14:textId="77777777" w:rsidR="00124A26" w:rsidRPr="00C07B2E" w:rsidRDefault="00124A26" w:rsidP="00124A26">
      <w:pPr>
        <w:rPr>
          <w:rFonts w:eastAsia="SimSun"/>
        </w:rPr>
      </w:pPr>
      <w:r w:rsidRPr="00C07B2E">
        <w:rPr>
          <w:rFonts w:eastAsia="SimSun"/>
        </w:rPr>
        <w:t>Этап 3 — поиск донора (родственного или неродственного) завершен, согласована дата донации.</w:t>
      </w:r>
    </w:p>
    <w:p w14:paraId="29F0CA0E" w14:textId="77777777" w:rsidR="00124A26" w:rsidRDefault="00124A26" w:rsidP="00124A26">
      <w:pPr>
        <w:rPr>
          <w:rFonts w:eastAsia="SimSun"/>
        </w:rPr>
      </w:pPr>
      <w:r w:rsidRPr="00C07B2E">
        <w:rPr>
          <w:rFonts w:eastAsia="SimSun"/>
        </w:rPr>
        <w:t>Этап 4 — обсуждение сроков госпитализации пациента в отделение трансплантации костного мозга и обследование перед госпитализацией для выполнения алло-ТГСК — решение и дата госпитализации в отделение трансплантации костного мозга принимаются экспертами на трансплантационной комиссии за 4 нед до планируемой госпитализации.</w:t>
      </w:r>
    </w:p>
    <w:p w14:paraId="15843336" w14:textId="77777777" w:rsidR="00124A26" w:rsidRDefault="00124A26" w:rsidP="00124A26">
      <w:pPr>
        <w:rPr>
          <w:rFonts w:eastAsia="SimSun"/>
        </w:rPr>
      </w:pPr>
      <w:bookmarkStart w:id="165" w:name="_Toc44401112"/>
    </w:p>
    <w:p w14:paraId="0BAD53F8" w14:textId="77777777" w:rsidR="00124A26" w:rsidRPr="00EE51B1" w:rsidRDefault="00124A26" w:rsidP="00124A26">
      <w:pPr>
        <w:rPr>
          <w:rFonts w:eastAsia="SimSun"/>
          <w:b/>
        </w:rPr>
      </w:pPr>
      <w:r w:rsidRPr="00EE51B1">
        <w:rPr>
          <w:rFonts w:eastAsia="SimSun"/>
          <w:b/>
        </w:rPr>
        <w:t>2. Отбор доноров аллогенных ГСК</w:t>
      </w:r>
      <w:bookmarkEnd w:id="165"/>
      <w:r w:rsidRPr="00EE51B1">
        <w:rPr>
          <w:rFonts w:eastAsia="SimSun"/>
          <w:b/>
        </w:rPr>
        <w:t xml:space="preserve"> </w:t>
      </w:r>
    </w:p>
    <w:p w14:paraId="137B1129" w14:textId="28EA9F66" w:rsidR="00124A26" w:rsidRPr="00EE51B1" w:rsidRDefault="00124A26" w:rsidP="00124A26">
      <w:pPr>
        <w:rPr>
          <w:rFonts w:eastAsia="SimSun"/>
          <w:i/>
          <w:u w:val="single"/>
        </w:rPr>
      </w:pPr>
      <w:bookmarkStart w:id="166" w:name="_Toc44401114"/>
      <w:r w:rsidRPr="00EE51B1">
        <w:rPr>
          <w:rFonts w:eastAsia="SimSun"/>
          <w:i/>
          <w:u w:val="single"/>
        </w:rPr>
        <w:t>Основные критерии по отбору доноров аллогенных ГСК</w:t>
      </w:r>
      <w:bookmarkEnd w:id="166"/>
      <w:r>
        <w:rPr>
          <w:rFonts w:eastAsia="SimSun"/>
          <w:i/>
          <w:u w:val="single"/>
        </w:rPr>
        <w:t xml:space="preserve"> </w:t>
      </w:r>
      <w:r w:rsidRPr="00EE51B1">
        <w:rPr>
          <w:rFonts w:eastAsia="SimSun"/>
          <w:i/>
          <w:u w:val="single"/>
        </w:rPr>
        <w:fldChar w:fldCharType="begin" w:fldLock="1"/>
      </w:r>
      <w:r w:rsidR="00F040F8">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[210]","plainTextFormattedCitation":"[210]","previouslyFormattedCitation":"[210]"},"properties":{"noteIndex":0},"schema":"https://github.com/citation-style-language/schema/raw/master/csl-citation.json"}</w:instrText>
      </w:r>
      <w:r w:rsidRPr="00EE51B1">
        <w:rPr>
          <w:rFonts w:eastAsia="SimSun"/>
          <w:i/>
          <w:u w:val="single"/>
        </w:rPr>
        <w:fldChar w:fldCharType="separate"/>
      </w:r>
      <w:r w:rsidR="005C0C1F" w:rsidRPr="005C0C1F">
        <w:rPr>
          <w:rFonts w:eastAsia="SimSun"/>
          <w:noProof/>
        </w:rPr>
        <w:t>[210]</w:t>
      </w:r>
      <w:r w:rsidRPr="00EE51B1">
        <w:rPr>
          <w:rFonts w:eastAsia="SimSun"/>
          <w:i/>
          <w:u w:val="single"/>
        </w:rPr>
        <w:fldChar w:fldCharType="end"/>
      </w:r>
      <w:r>
        <w:rPr>
          <w:rFonts w:eastAsia="SimSun"/>
          <w:i/>
          <w:u w:val="single"/>
        </w:rPr>
        <w:t>:</w:t>
      </w:r>
      <w:r w:rsidRPr="00EE51B1">
        <w:rPr>
          <w:rFonts w:eastAsia="SimSun"/>
          <w:i/>
          <w:u w:val="single"/>
        </w:rPr>
        <w:t xml:space="preserve"> </w:t>
      </w:r>
    </w:p>
    <w:p w14:paraId="734E10FB" w14:textId="060404E2" w:rsidR="00124A26" w:rsidRPr="0072572C" w:rsidRDefault="00124A26" w:rsidP="00A577FB">
      <w:pPr>
        <w:numPr>
          <w:ilvl w:val="0"/>
          <w:numId w:val="248"/>
        </w:numPr>
        <w:overflowPunct w:val="0"/>
        <w:autoSpaceDE w:val="0"/>
        <w:autoSpaceDN w:val="0"/>
        <w:adjustRightInd w:val="0"/>
        <w:textAlignment w:val="baseline"/>
        <w:rPr>
          <w:rFonts w:eastAsia="SimSun"/>
        </w:rPr>
      </w:pPr>
      <w:r w:rsidRPr="00C07B2E">
        <w:rPr>
          <w:rFonts w:eastAsia="SimSun"/>
        </w:rPr>
        <w:t xml:space="preserve">Оценка статуса кандидата в доноры согласно определению индекса Карновского </w:t>
      </w:r>
      <w:r w:rsidRPr="0072572C">
        <w:rPr>
          <w:rFonts w:eastAsia="SimSun"/>
        </w:rPr>
        <w:t xml:space="preserve">и </w:t>
      </w:r>
      <w:r w:rsidRPr="0072572C">
        <w:rPr>
          <w:rFonts w:eastAsia="SimSun"/>
          <w:lang w:val="en-US"/>
        </w:rPr>
        <w:t>ECOG</w:t>
      </w:r>
      <w:r w:rsidRPr="0072572C">
        <w:rPr>
          <w:rFonts w:eastAsia="SimSun"/>
        </w:rPr>
        <w:t>-ВОЗ (приложение</w:t>
      </w:r>
      <w:r w:rsidR="0072572C" w:rsidRPr="0072572C">
        <w:rPr>
          <w:rFonts w:eastAsia="SimSun"/>
        </w:rPr>
        <w:t xml:space="preserve"> Г1</w:t>
      </w:r>
      <w:r w:rsidRPr="0072572C">
        <w:rPr>
          <w:rFonts w:eastAsia="SimSun"/>
        </w:rPr>
        <w:t>).</w:t>
      </w:r>
    </w:p>
    <w:p w14:paraId="14EE6B24" w14:textId="77777777" w:rsidR="00124A26" w:rsidRPr="00C07B2E" w:rsidRDefault="00124A26" w:rsidP="00A577FB">
      <w:pPr>
        <w:numPr>
          <w:ilvl w:val="0"/>
          <w:numId w:val="248"/>
        </w:numPr>
        <w:overflowPunct w:val="0"/>
        <w:autoSpaceDE w:val="0"/>
        <w:autoSpaceDN w:val="0"/>
        <w:adjustRightInd w:val="0"/>
        <w:textAlignment w:val="baseline"/>
        <w:rPr>
          <w:rFonts w:eastAsia="SimSun"/>
        </w:rPr>
      </w:pPr>
      <w:r w:rsidRPr="00EE51B1">
        <w:rPr>
          <w:rFonts w:eastAsia="SimSun"/>
        </w:rPr>
        <w:t xml:space="preserve">Стандартный возраст кандидата в доноры 18–75 лет. В отдельных случаях в качестве доноров могут выступать несовершеннолетние сиблинги. </w:t>
      </w:r>
      <w:r w:rsidRPr="00C07B2E">
        <w:rPr>
          <w:rFonts w:eastAsia="SimSun"/>
        </w:rPr>
        <w:t>Решение о допуске на донацию в данном случае принимается родителями в соответствии с действующим законадательством РФ.</w:t>
      </w:r>
    </w:p>
    <w:p w14:paraId="19910498" w14:textId="77777777" w:rsidR="00124A26" w:rsidRPr="00C07B2E" w:rsidRDefault="00124A26" w:rsidP="00A577FB">
      <w:pPr>
        <w:numPr>
          <w:ilvl w:val="0"/>
          <w:numId w:val="248"/>
        </w:numPr>
        <w:overflowPunct w:val="0"/>
        <w:autoSpaceDE w:val="0"/>
        <w:autoSpaceDN w:val="0"/>
        <w:adjustRightInd w:val="0"/>
        <w:textAlignment w:val="baseline"/>
        <w:rPr>
          <w:rFonts w:eastAsia="SimSun"/>
        </w:rPr>
      </w:pPr>
      <w:r w:rsidRPr="00C07B2E">
        <w:rPr>
          <w:rFonts w:eastAsia="SimSun"/>
        </w:rPr>
        <w:t xml:space="preserve">Адекватное психологическое состояние (юридическая дееспособность). </w:t>
      </w:r>
    </w:p>
    <w:p w14:paraId="6B69FDC1" w14:textId="77777777" w:rsidR="00124A26" w:rsidRPr="00C07B2E" w:rsidRDefault="00124A26" w:rsidP="00A577FB">
      <w:pPr>
        <w:numPr>
          <w:ilvl w:val="0"/>
          <w:numId w:val="248"/>
        </w:numPr>
        <w:overflowPunct w:val="0"/>
        <w:autoSpaceDE w:val="0"/>
        <w:autoSpaceDN w:val="0"/>
        <w:adjustRightInd w:val="0"/>
        <w:textAlignment w:val="baseline"/>
        <w:rPr>
          <w:rFonts w:eastAsia="SimSun"/>
        </w:rPr>
      </w:pPr>
      <w:r w:rsidRPr="00C07B2E">
        <w:rPr>
          <w:rFonts w:eastAsia="SimSun"/>
        </w:rPr>
        <w:t xml:space="preserve">Наличие </w:t>
      </w:r>
      <w:r w:rsidRPr="00C07B2E">
        <w:rPr>
          <w:rFonts w:eastAsia="SimSun"/>
          <w:lang w:val="en-US"/>
        </w:rPr>
        <w:t>HLA</w:t>
      </w:r>
      <w:r w:rsidRPr="00C07B2E">
        <w:rPr>
          <w:rFonts w:eastAsia="SimSun"/>
        </w:rPr>
        <w:t xml:space="preserve">-типирования: для родственных — не менее чем по средне-низкому разрешению, для неродственных — по высокому разрешению.  Окончательные требования к разрешению типирования остаются на усмотрение трансплатационного центра в котором проводится алло-ТГСК. </w:t>
      </w:r>
    </w:p>
    <w:p w14:paraId="5C38BA57" w14:textId="77777777" w:rsidR="00124A26" w:rsidRPr="00C07B2E" w:rsidRDefault="00124A26" w:rsidP="00A577FB">
      <w:pPr>
        <w:numPr>
          <w:ilvl w:val="0"/>
          <w:numId w:val="248"/>
        </w:numPr>
        <w:overflowPunct w:val="0"/>
        <w:autoSpaceDE w:val="0"/>
        <w:autoSpaceDN w:val="0"/>
        <w:adjustRightInd w:val="0"/>
        <w:textAlignment w:val="baseline"/>
        <w:rPr>
          <w:rFonts w:eastAsia="SimSun"/>
        </w:rPr>
      </w:pPr>
      <w:r w:rsidRPr="00C07B2E">
        <w:rPr>
          <w:rFonts w:eastAsia="SimSun"/>
        </w:rPr>
        <w:t>Оценка статуса по гемотрансмиссивным инфекциям (ВИЧ, вирусные гепатиты с дополнительными маркерами и ПЦР, сифилис) и герпес-вирусам (</w:t>
      </w:r>
      <w:r w:rsidRPr="00C07B2E">
        <w:rPr>
          <w:rFonts w:eastAsia="SimSun"/>
          <w:lang w:val="en-US"/>
        </w:rPr>
        <w:t>IgG</w:t>
      </w:r>
      <w:r w:rsidRPr="00C07B2E">
        <w:rPr>
          <w:rFonts w:eastAsia="SimSun"/>
        </w:rPr>
        <w:t xml:space="preserve"> и </w:t>
      </w:r>
      <w:r w:rsidRPr="00C07B2E">
        <w:rPr>
          <w:rFonts w:eastAsia="SimSun"/>
          <w:lang w:val="en-US"/>
        </w:rPr>
        <w:t>IgM</w:t>
      </w:r>
      <w:r w:rsidRPr="00C07B2E">
        <w:rPr>
          <w:rFonts w:eastAsia="SimSun"/>
        </w:rPr>
        <w:t xml:space="preserve"> к </w:t>
      </w:r>
      <w:r w:rsidRPr="00C07B2E">
        <w:rPr>
          <w:rFonts w:eastAsia="SimSun"/>
          <w:lang w:val="en-US"/>
        </w:rPr>
        <w:t>CMV</w:t>
      </w:r>
      <w:r w:rsidRPr="00C07B2E">
        <w:rPr>
          <w:rFonts w:eastAsia="SimSun"/>
        </w:rPr>
        <w:t xml:space="preserve">, вирусу Эпштейна—Барр). </w:t>
      </w:r>
    </w:p>
    <w:p w14:paraId="075184BC" w14:textId="77777777" w:rsidR="00124A26" w:rsidRPr="00C07B2E" w:rsidRDefault="00124A26" w:rsidP="00A577FB">
      <w:pPr>
        <w:numPr>
          <w:ilvl w:val="0"/>
          <w:numId w:val="248"/>
        </w:numPr>
        <w:overflowPunct w:val="0"/>
        <w:autoSpaceDE w:val="0"/>
        <w:autoSpaceDN w:val="0"/>
        <w:adjustRightInd w:val="0"/>
        <w:textAlignment w:val="baseline"/>
        <w:rPr>
          <w:rFonts w:eastAsia="SimSun"/>
        </w:rPr>
      </w:pPr>
      <w:r w:rsidRPr="00C07B2E">
        <w:rPr>
          <w:rFonts w:eastAsia="SimSun"/>
        </w:rPr>
        <w:t>Наличие результатов обследования.</w:t>
      </w:r>
    </w:p>
    <w:p w14:paraId="5D5DCDB4" w14:textId="77777777" w:rsidR="00124A26" w:rsidRDefault="00124A26" w:rsidP="00124A26">
      <w:pPr>
        <w:rPr>
          <w:rFonts w:eastAsia="SimSun"/>
        </w:rPr>
      </w:pPr>
      <w:bookmarkStart w:id="167" w:name="_Toc44401115"/>
    </w:p>
    <w:p w14:paraId="72A94F13" w14:textId="31B794DA" w:rsidR="00124A26" w:rsidRPr="00EE51B1" w:rsidRDefault="00124A26" w:rsidP="00124A26">
      <w:pPr>
        <w:rPr>
          <w:rFonts w:eastAsia="SimSun"/>
          <w:i/>
          <w:u w:val="single"/>
        </w:rPr>
      </w:pPr>
      <w:r w:rsidRPr="00EE51B1">
        <w:rPr>
          <w:rFonts w:eastAsia="SimSun"/>
          <w:i/>
          <w:u w:val="single"/>
        </w:rPr>
        <w:t>Дополнительные критерии по отбору доноров аллогенных ГСК</w:t>
      </w:r>
      <w:bookmarkEnd w:id="167"/>
      <w:r w:rsidRPr="00EE51B1">
        <w:rPr>
          <w:rFonts w:eastAsia="SimSun"/>
          <w:i/>
          <w:u w:val="single"/>
        </w:rPr>
        <w:t xml:space="preserve"> </w:t>
      </w:r>
      <w:r w:rsidRPr="00EE51B1">
        <w:rPr>
          <w:rFonts w:eastAsia="SimSun"/>
          <w:i/>
          <w:u w:val="single"/>
        </w:rPr>
        <w:fldChar w:fldCharType="begin" w:fldLock="1"/>
      </w:r>
      <w:r w:rsidR="00F040F8">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[210]","plainTextFormattedCitation":"[210]","previouslyFormattedCitation":"[210]"},"properties":{"noteIndex":0},"schema":"https://github.com/citation-style-language/schema/raw/master/csl-citation.json"}</w:instrText>
      </w:r>
      <w:r w:rsidRPr="00EE51B1">
        <w:rPr>
          <w:rFonts w:eastAsia="SimSun"/>
          <w:i/>
          <w:u w:val="single"/>
        </w:rPr>
        <w:fldChar w:fldCharType="separate"/>
      </w:r>
      <w:r w:rsidR="005C0C1F" w:rsidRPr="005C0C1F">
        <w:rPr>
          <w:rFonts w:eastAsia="SimSun"/>
          <w:noProof/>
        </w:rPr>
        <w:t>[210]</w:t>
      </w:r>
      <w:r w:rsidRPr="00EE51B1">
        <w:rPr>
          <w:rFonts w:eastAsia="SimSun"/>
          <w:i/>
          <w:u w:val="single"/>
        </w:rPr>
        <w:fldChar w:fldCharType="end"/>
      </w:r>
      <w:r>
        <w:rPr>
          <w:rFonts w:eastAsia="SimSun"/>
          <w:i/>
          <w:u w:val="single"/>
        </w:rPr>
        <w:t>:</w:t>
      </w:r>
    </w:p>
    <w:p w14:paraId="644B8030" w14:textId="77777777" w:rsidR="00124A26" w:rsidRPr="00C07B2E" w:rsidRDefault="00124A26" w:rsidP="00A577FB">
      <w:pPr>
        <w:numPr>
          <w:ilvl w:val="0"/>
          <w:numId w:val="249"/>
        </w:numPr>
        <w:overflowPunct w:val="0"/>
        <w:autoSpaceDE w:val="0"/>
        <w:autoSpaceDN w:val="0"/>
        <w:adjustRightInd w:val="0"/>
        <w:textAlignment w:val="baseline"/>
        <w:rPr>
          <w:rFonts w:eastAsia="SimSun"/>
        </w:rPr>
      </w:pPr>
      <w:r w:rsidRPr="00C07B2E">
        <w:rPr>
          <w:rFonts w:eastAsia="SimSun"/>
        </w:rPr>
        <w:t>Информация об инфекционном статусе. Перенесенных заболеваниях в том числе (</w:t>
      </w:r>
      <w:r w:rsidRPr="00C07B2E">
        <w:rPr>
          <w:rFonts w:eastAsia="SimSun"/>
          <w:lang w:val="en-US"/>
        </w:rPr>
        <w:t>COVID</w:t>
      </w:r>
      <w:r w:rsidRPr="00C07B2E">
        <w:rPr>
          <w:rFonts w:eastAsia="SimSun"/>
        </w:rPr>
        <w:t>-19, туберкулезе, вирусных гепатитах)</w:t>
      </w:r>
    </w:p>
    <w:p w14:paraId="3F81AE0B" w14:textId="77777777" w:rsidR="00124A26" w:rsidRPr="00C07B2E" w:rsidRDefault="00124A26" w:rsidP="00A577FB">
      <w:pPr>
        <w:numPr>
          <w:ilvl w:val="0"/>
          <w:numId w:val="249"/>
        </w:numPr>
        <w:overflowPunct w:val="0"/>
        <w:autoSpaceDE w:val="0"/>
        <w:autoSpaceDN w:val="0"/>
        <w:adjustRightInd w:val="0"/>
        <w:textAlignment w:val="baseline"/>
        <w:rPr>
          <w:rFonts w:eastAsia="SimSun"/>
        </w:rPr>
      </w:pPr>
      <w:r w:rsidRPr="00C07B2E">
        <w:rPr>
          <w:rFonts w:eastAsia="SimSun"/>
        </w:rPr>
        <w:t>Информация о структурных и врожденных аномалиях, наличии протезированного биоматериала.</w:t>
      </w:r>
    </w:p>
    <w:p w14:paraId="6CFEB875" w14:textId="77777777" w:rsidR="00124A26" w:rsidRPr="00C07B2E" w:rsidRDefault="00124A26" w:rsidP="00A577FB">
      <w:pPr>
        <w:numPr>
          <w:ilvl w:val="0"/>
          <w:numId w:val="249"/>
        </w:numPr>
        <w:overflowPunct w:val="0"/>
        <w:autoSpaceDE w:val="0"/>
        <w:autoSpaceDN w:val="0"/>
        <w:adjustRightInd w:val="0"/>
        <w:textAlignment w:val="baseline"/>
        <w:rPr>
          <w:rFonts w:eastAsia="SimSun"/>
        </w:rPr>
      </w:pPr>
      <w:r w:rsidRPr="00C07B2E">
        <w:rPr>
          <w:rFonts w:eastAsia="SimSun"/>
        </w:rPr>
        <w:t>Поездки в страны Юго-Восточной Азии, Африки, Центральной и Южной Америки.</w:t>
      </w:r>
    </w:p>
    <w:p w14:paraId="02F73FE4" w14:textId="77777777" w:rsidR="00124A26" w:rsidRPr="00C07B2E" w:rsidRDefault="00124A26" w:rsidP="00A577FB">
      <w:pPr>
        <w:numPr>
          <w:ilvl w:val="0"/>
          <w:numId w:val="249"/>
        </w:numPr>
        <w:overflowPunct w:val="0"/>
        <w:autoSpaceDE w:val="0"/>
        <w:autoSpaceDN w:val="0"/>
        <w:adjustRightInd w:val="0"/>
        <w:textAlignment w:val="baseline"/>
        <w:rPr>
          <w:rFonts w:eastAsia="SimSun"/>
        </w:rPr>
      </w:pPr>
      <w:r w:rsidRPr="00C07B2E">
        <w:rPr>
          <w:rFonts w:eastAsia="SimSun"/>
        </w:rPr>
        <w:t>Информация о наличии хронических заболеваний и их стадии.</w:t>
      </w:r>
    </w:p>
    <w:p w14:paraId="625ACA25" w14:textId="77777777" w:rsidR="00124A26" w:rsidRPr="00C07B2E" w:rsidRDefault="00124A26" w:rsidP="00A577FB">
      <w:pPr>
        <w:numPr>
          <w:ilvl w:val="0"/>
          <w:numId w:val="249"/>
        </w:numPr>
        <w:overflowPunct w:val="0"/>
        <w:autoSpaceDE w:val="0"/>
        <w:autoSpaceDN w:val="0"/>
        <w:adjustRightInd w:val="0"/>
        <w:textAlignment w:val="baseline"/>
        <w:rPr>
          <w:rFonts w:eastAsia="SimSun"/>
        </w:rPr>
      </w:pPr>
      <w:r w:rsidRPr="00C07B2E">
        <w:rPr>
          <w:rFonts w:eastAsia="SimSun"/>
        </w:rPr>
        <w:t>Информация о лечении зубов, переливании компонентов крови, татуировках в течение как минимум 6 мес до донации.</w:t>
      </w:r>
    </w:p>
    <w:p w14:paraId="5009CFC0" w14:textId="77777777" w:rsidR="00124A26" w:rsidRPr="00C07B2E" w:rsidRDefault="00124A26" w:rsidP="00A577FB">
      <w:pPr>
        <w:numPr>
          <w:ilvl w:val="0"/>
          <w:numId w:val="249"/>
        </w:numPr>
        <w:overflowPunct w:val="0"/>
        <w:autoSpaceDE w:val="0"/>
        <w:autoSpaceDN w:val="0"/>
        <w:adjustRightInd w:val="0"/>
        <w:textAlignment w:val="baseline"/>
        <w:rPr>
          <w:rFonts w:eastAsia="SimSun"/>
        </w:rPr>
      </w:pPr>
      <w:r w:rsidRPr="00C07B2E">
        <w:rPr>
          <w:rFonts w:eastAsia="SimSun"/>
        </w:rPr>
        <w:t>Количество беременностей и родов в анамнезе.</w:t>
      </w:r>
    </w:p>
    <w:p w14:paraId="2373CF38" w14:textId="77777777" w:rsidR="00124A26" w:rsidRPr="00C07B2E" w:rsidRDefault="00124A26" w:rsidP="00A577FB">
      <w:pPr>
        <w:numPr>
          <w:ilvl w:val="0"/>
          <w:numId w:val="249"/>
        </w:numPr>
        <w:overflowPunct w:val="0"/>
        <w:autoSpaceDE w:val="0"/>
        <w:autoSpaceDN w:val="0"/>
        <w:adjustRightInd w:val="0"/>
        <w:textAlignment w:val="baseline"/>
        <w:rPr>
          <w:rFonts w:eastAsia="SimSun"/>
        </w:rPr>
      </w:pPr>
      <w:r w:rsidRPr="00C07B2E">
        <w:rPr>
          <w:rFonts w:eastAsia="SimSun"/>
        </w:rPr>
        <w:t>Вес донора и реципиента — если вес донора составляет менее 50% от веса пациента, то рекомендуется рассмотреть в качестве источника трансплантата СКК.</w:t>
      </w:r>
    </w:p>
    <w:p w14:paraId="2CE16259" w14:textId="77777777" w:rsidR="00124A26" w:rsidRPr="00C07B2E" w:rsidRDefault="00124A26" w:rsidP="00A577FB">
      <w:pPr>
        <w:numPr>
          <w:ilvl w:val="0"/>
          <w:numId w:val="249"/>
        </w:numPr>
        <w:overflowPunct w:val="0"/>
        <w:autoSpaceDE w:val="0"/>
        <w:autoSpaceDN w:val="0"/>
        <w:adjustRightInd w:val="0"/>
        <w:textAlignment w:val="baseline"/>
        <w:rPr>
          <w:rFonts w:eastAsia="SimSun"/>
        </w:rPr>
      </w:pPr>
      <w:r w:rsidRPr="00C07B2E">
        <w:rPr>
          <w:rFonts w:eastAsia="SimSun"/>
        </w:rPr>
        <w:t xml:space="preserve">Нутритивный статус: избыточный вес или дефицит массы тела (на основаниий ИМТ и/или концентрации альбумина в сыворотке крови). </w:t>
      </w:r>
    </w:p>
    <w:p w14:paraId="5D86C35A" w14:textId="77777777" w:rsidR="00124A26" w:rsidRPr="00C07B2E" w:rsidRDefault="00124A26" w:rsidP="00A577FB">
      <w:pPr>
        <w:numPr>
          <w:ilvl w:val="0"/>
          <w:numId w:val="249"/>
        </w:numPr>
        <w:overflowPunct w:val="0"/>
        <w:autoSpaceDE w:val="0"/>
        <w:autoSpaceDN w:val="0"/>
        <w:adjustRightInd w:val="0"/>
        <w:textAlignment w:val="baseline"/>
        <w:rPr>
          <w:rFonts w:eastAsia="SimSun"/>
        </w:rPr>
      </w:pPr>
      <w:r w:rsidRPr="00C07B2E">
        <w:rPr>
          <w:rFonts w:eastAsia="SimSun"/>
        </w:rPr>
        <w:t>Оперативные вмешательства в анамнезе</w:t>
      </w:r>
    </w:p>
    <w:p w14:paraId="1601376E" w14:textId="77777777" w:rsidR="00124A26" w:rsidRPr="00C07B2E" w:rsidRDefault="00124A26" w:rsidP="00A577FB">
      <w:pPr>
        <w:numPr>
          <w:ilvl w:val="0"/>
          <w:numId w:val="249"/>
        </w:numPr>
        <w:overflowPunct w:val="0"/>
        <w:autoSpaceDE w:val="0"/>
        <w:autoSpaceDN w:val="0"/>
        <w:adjustRightInd w:val="0"/>
        <w:textAlignment w:val="baseline"/>
        <w:rPr>
          <w:rFonts w:eastAsia="SimSun"/>
        </w:rPr>
      </w:pPr>
      <w:r w:rsidRPr="00C07B2E">
        <w:rPr>
          <w:rFonts w:eastAsia="SimSun"/>
        </w:rPr>
        <w:t>Предполагаемая трудная интубация трахеи (для доноров костного мозга)</w:t>
      </w:r>
    </w:p>
    <w:p w14:paraId="47B8215F" w14:textId="77777777" w:rsidR="00124A26" w:rsidRDefault="00124A26" w:rsidP="00124A26">
      <w:pPr>
        <w:rPr>
          <w:rFonts w:eastAsia="SimSun"/>
        </w:rPr>
      </w:pPr>
      <w:bookmarkStart w:id="168" w:name="_Toc44401116"/>
    </w:p>
    <w:p w14:paraId="7DE50C01" w14:textId="450CF5E6" w:rsidR="00124A26" w:rsidRPr="00470D3D" w:rsidRDefault="00124A26" w:rsidP="00124A26">
      <w:pPr>
        <w:rPr>
          <w:rFonts w:eastAsia="SimSun"/>
          <w:i/>
          <w:u w:val="single"/>
        </w:rPr>
      </w:pPr>
      <w:r w:rsidRPr="00470D3D">
        <w:rPr>
          <w:rFonts w:eastAsia="SimSun"/>
          <w:i/>
          <w:u w:val="single"/>
        </w:rPr>
        <w:t>Противопоказания для донорства</w:t>
      </w:r>
      <w:bookmarkEnd w:id="168"/>
      <w:r>
        <w:rPr>
          <w:rFonts w:eastAsia="SimSun"/>
          <w:i/>
          <w:u w:val="single"/>
        </w:rPr>
        <w:t xml:space="preserve"> </w:t>
      </w:r>
      <w:r w:rsidRPr="00EE51B1">
        <w:rPr>
          <w:rFonts w:eastAsia="SimSun"/>
          <w:i/>
          <w:u w:val="single"/>
        </w:rPr>
        <w:fldChar w:fldCharType="begin" w:fldLock="1"/>
      </w:r>
      <w:r w:rsidR="00F040F8">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[210]","plainTextFormattedCitation":"[210]","previouslyFormattedCitation":"[210]"},"properties":{"noteIndex":0},"schema":"https://github.com/citation-style-language/schema/raw/master/csl-citation.json"}</w:instrText>
      </w:r>
      <w:r w:rsidRPr="00EE51B1">
        <w:rPr>
          <w:rFonts w:eastAsia="SimSun"/>
          <w:i/>
          <w:u w:val="single"/>
        </w:rPr>
        <w:fldChar w:fldCharType="separate"/>
      </w:r>
      <w:r w:rsidR="005C0C1F" w:rsidRPr="005C0C1F">
        <w:rPr>
          <w:rFonts w:eastAsia="SimSun"/>
          <w:noProof/>
        </w:rPr>
        <w:t>[210]</w:t>
      </w:r>
      <w:r w:rsidRPr="00EE51B1">
        <w:rPr>
          <w:rFonts w:eastAsia="SimSun"/>
          <w:i/>
          <w:u w:val="single"/>
        </w:rPr>
        <w:fldChar w:fldCharType="end"/>
      </w:r>
    </w:p>
    <w:p w14:paraId="570A820A" w14:textId="347CC2BE" w:rsidR="00124A26" w:rsidRPr="00C07B2E" w:rsidRDefault="00124A26" w:rsidP="00124A26">
      <w:pPr>
        <w:rPr>
          <w:rFonts w:eastAsia="SimSun"/>
        </w:rPr>
      </w:pPr>
      <w:r w:rsidRPr="00C07B2E">
        <w:rPr>
          <w:rFonts w:eastAsia="SimSun"/>
        </w:rPr>
        <w:t xml:space="preserve">Медицинские противопоказания для изъятия аллогенного костного мозга и/или забора аллогенных гемопоэтических стволовых клеток в целях их трансплантации являются следующие заболевания (состояния) у донора которые определены Приказом Минздрава России от 12.12.2018 N 875н "Об утверждении Порядка оказания медицинской помощи при заболеваниях (состояниях), для лечения которых применяется трансплантация (пересадка) костного мозга и гемопоэтических стволовых клеток, и внесении изменения в Порядок оказания медицинской помощи по профилю "хирургия (трансплантация органов и (или) тканей человека)", утвержденный приказом Министерства здравоохранения Российской Федерации от 31 октября 2012 г. N 567н (Зарегистрировано в Минюсте России 09.01.2019 N 53256). </w:t>
      </w:r>
    </w:p>
    <w:p w14:paraId="492BA741" w14:textId="77777777" w:rsidR="00124A26" w:rsidRPr="00C07B2E" w:rsidRDefault="00124A26" w:rsidP="00124A26">
      <w:pPr>
        <w:rPr>
          <w:rFonts w:eastAsia="SimSun"/>
        </w:rPr>
      </w:pPr>
    </w:p>
    <w:p w14:paraId="2ABC387D" w14:textId="71B56820" w:rsidR="00124A26" w:rsidRPr="00470D3D" w:rsidRDefault="00124A26" w:rsidP="00124A26">
      <w:pPr>
        <w:rPr>
          <w:bCs/>
          <w:i/>
          <w:u w:val="single"/>
        </w:rPr>
      </w:pPr>
      <w:bookmarkStart w:id="169" w:name="_Toc44401117"/>
      <w:r w:rsidRPr="00470D3D">
        <w:rPr>
          <w:bCs/>
          <w:i/>
          <w:u w:val="single"/>
        </w:rPr>
        <w:t>Абсолютные медицинские  противопоказания</w:t>
      </w:r>
      <w:r>
        <w:rPr>
          <w:bCs/>
          <w:i/>
          <w:u w:val="single"/>
        </w:rPr>
        <w:t xml:space="preserve"> </w:t>
      </w:r>
      <w:r w:rsidRPr="00EE51B1">
        <w:rPr>
          <w:rFonts w:eastAsia="SimSun"/>
          <w:i/>
          <w:u w:val="single"/>
        </w:rPr>
        <w:fldChar w:fldCharType="begin" w:fldLock="1"/>
      </w:r>
      <w:r w:rsidR="00F040F8">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[210]","plainTextFormattedCitation":"[210]","previouslyFormattedCitation":"[210]"},"properties":{"noteIndex":0},"schema":"https://github.com/citation-style-language/schema/raw/master/csl-citation.json"}</w:instrText>
      </w:r>
      <w:r w:rsidRPr="00EE51B1">
        <w:rPr>
          <w:rFonts w:eastAsia="SimSun"/>
          <w:i/>
          <w:u w:val="single"/>
        </w:rPr>
        <w:fldChar w:fldCharType="separate"/>
      </w:r>
      <w:r w:rsidR="005C0C1F" w:rsidRPr="005C0C1F">
        <w:rPr>
          <w:rFonts w:eastAsia="SimSun"/>
          <w:noProof/>
        </w:rPr>
        <w:t>[210]</w:t>
      </w:r>
      <w:r w:rsidRPr="00EE51B1">
        <w:rPr>
          <w:rFonts w:eastAsia="SimSun"/>
          <w:i/>
          <w:u w:val="single"/>
        </w:rPr>
        <w:fldChar w:fldCharType="end"/>
      </w:r>
      <w:r w:rsidRPr="00470D3D">
        <w:rPr>
          <w:bCs/>
          <w:i/>
          <w:u w:val="single"/>
        </w:rPr>
        <w:t>:</w:t>
      </w:r>
      <w:bookmarkEnd w:id="169"/>
      <w:r w:rsidRPr="00470D3D">
        <w:rPr>
          <w:bCs/>
          <w:i/>
          <w:u w:val="single"/>
        </w:rPr>
        <w:t xml:space="preserve"> </w:t>
      </w:r>
    </w:p>
    <w:p w14:paraId="11CFDF04" w14:textId="77777777" w:rsidR="00124A26" w:rsidRPr="00C07B2E" w:rsidRDefault="00124A26" w:rsidP="00A577FB">
      <w:pPr>
        <w:numPr>
          <w:ilvl w:val="0"/>
          <w:numId w:val="250"/>
        </w:numPr>
        <w:overflowPunct w:val="0"/>
        <w:autoSpaceDE w:val="0"/>
        <w:autoSpaceDN w:val="0"/>
        <w:adjustRightInd w:val="0"/>
        <w:textAlignment w:val="baseline"/>
        <w:rPr>
          <w:bCs/>
        </w:rPr>
      </w:pPr>
      <w:r w:rsidRPr="00C07B2E">
        <w:rPr>
          <w:bCs/>
        </w:rPr>
        <w:t>инфекционные заболевания в стадии обострения;</w:t>
      </w:r>
    </w:p>
    <w:p w14:paraId="6EAB5A7E" w14:textId="77777777" w:rsidR="00124A26" w:rsidRPr="00C07B2E" w:rsidRDefault="00124A26" w:rsidP="00A577FB">
      <w:pPr>
        <w:numPr>
          <w:ilvl w:val="0"/>
          <w:numId w:val="250"/>
        </w:numPr>
        <w:overflowPunct w:val="0"/>
        <w:autoSpaceDE w:val="0"/>
        <w:autoSpaceDN w:val="0"/>
        <w:adjustRightInd w:val="0"/>
        <w:textAlignment w:val="baseline"/>
        <w:rPr>
          <w:bCs/>
        </w:rPr>
      </w:pPr>
      <w:r w:rsidRPr="00C07B2E">
        <w:rPr>
          <w:bCs/>
        </w:rPr>
        <w:t>наличие в крови маркеров вируса иммунодефицита человека;</w:t>
      </w:r>
    </w:p>
    <w:p w14:paraId="3EBB7CE6" w14:textId="77777777" w:rsidR="00124A26" w:rsidRPr="00C07B2E" w:rsidRDefault="00124A26" w:rsidP="00A577FB">
      <w:pPr>
        <w:numPr>
          <w:ilvl w:val="0"/>
          <w:numId w:val="250"/>
        </w:numPr>
        <w:overflowPunct w:val="0"/>
        <w:autoSpaceDE w:val="0"/>
        <w:autoSpaceDN w:val="0"/>
        <w:adjustRightInd w:val="0"/>
        <w:textAlignment w:val="baseline"/>
        <w:rPr>
          <w:bCs/>
        </w:rPr>
      </w:pPr>
      <w:r w:rsidRPr="00C07B2E">
        <w:rPr>
          <w:bCs/>
        </w:rPr>
        <w:t>болезнь Крейтцфельдта-Якоба в анамнезе;</w:t>
      </w:r>
    </w:p>
    <w:p w14:paraId="39B35766" w14:textId="77777777" w:rsidR="00124A26" w:rsidRPr="00C07B2E" w:rsidRDefault="00124A26" w:rsidP="00A577FB">
      <w:pPr>
        <w:numPr>
          <w:ilvl w:val="0"/>
          <w:numId w:val="250"/>
        </w:numPr>
        <w:overflowPunct w:val="0"/>
        <w:autoSpaceDE w:val="0"/>
        <w:autoSpaceDN w:val="0"/>
        <w:adjustRightInd w:val="0"/>
        <w:textAlignment w:val="baseline"/>
        <w:rPr>
          <w:bCs/>
        </w:rPr>
      </w:pPr>
      <w:r w:rsidRPr="00C07B2E">
        <w:rPr>
          <w:bCs/>
        </w:rPr>
        <w:t>злокачественные новообразования;</w:t>
      </w:r>
    </w:p>
    <w:p w14:paraId="302CC7B6" w14:textId="77777777" w:rsidR="00124A26" w:rsidRPr="00C07B2E" w:rsidRDefault="00124A26" w:rsidP="00A577FB">
      <w:pPr>
        <w:numPr>
          <w:ilvl w:val="0"/>
          <w:numId w:val="250"/>
        </w:numPr>
        <w:overflowPunct w:val="0"/>
        <w:autoSpaceDE w:val="0"/>
        <w:autoSpaceDN w:val="0"/>
        <w:adjustRightInd w:val="0"/>
        <w:textAlignment w:val="baseline"/>
        <w:rPr>
          <w:bCs/>
        </w:rPr>
      </w:pPr>
      <w:r w:rsidRPr="00C07B2E">
        <w:rPr>
          <w:bCs/>
        </w:rPr>
        <w:t>кахексия;</w:t>
      </w:r>
    </w:p>
    <w:p w14:paraId="40F65AEC" w14:textId="77777777" w:rsidR="00124A26" w:rsidRPr="00C07B2E" w:rsidRDefault="00124A26" w:rsidP="00A577FB">
      <w:pPr>
        <w:numPr>
          <w:ilvl w:val="0"/>
          <w:numId w:val="250"/>
        </w:numPr>
        <w:overflowPunct w:val="0"/>
        <w:autoSpaceDE w:val="0"/>
        <w:autoSpaceDN w:val="0"/>
        <w:adjustRightInd w:val="0"/>
        <w:textAlignment w:val="baseline"/>
        <w:rPr>
          <w:bCs/>
        </w:rPr>
      </w:pPr>
      <w:r w:rsidRPr="00C07B2E">
        <w:rPr>
          <w:bCs/>
        </w:rPr>
        <w:t>терапия иммуносупрессивными лекарственными препаратами или иными лекарственными препаратами, которые могут повлиять на способность к самоподдержанию собственной популяции и полипотентность костного мозга и гемопоэтических стволовых клеток (на дату изъятия костного мозга и забора гемопоэтических стволовых клеток и до прекращения приема указанных лекарственных препаратов и восстановления кровяных ростков);</w:t>
      </w:r>
    </w:p>
    <w:p w14:paraId="460AE65A" w14:textId="77777777" w:rsidR="00124A26" w:rsidRPr="00C07B2E" w:rsidRDefault="00124A26" w:rsidP="00A577FB">
      <w:pPr>
        <w:numPr>
          <w:ilvl w:val="0"/>
          <w:numId w:val="250"/>
        </w:numPr>
        <w:overflowPunct w:val="0"/>
        <w:autoSpaceDE w:val="0"/>
        <w:autoSpaceDN w:val="0"/>
        <w:adjustRightInd w:val="0"/>
        <w:textAlignment w:val="baseline"/>
        <w:rPr>
          <w:bCs/>
        </w:rPr>
      </w:pPr>
      <w:r w:rsidRPr="00C07B2E">
        <w:rPr>
          <w:bCs/>
        </w:rPr>
        <w:t>психические расстройства и расстройства поведения в состоянии обострения и (или) представляющие опасность для больного и окружающих;</w:t>
      </w:r>
    </w:p>
    <w:p w14:paraId="2B33E3A3" w14:textId="77777777" w:rsidR="00124A26" w:rsidRPr="00C07B2E" w:rsidRDefault="00124A26" w:rsidP="00A577FB">
      <w:pPr>
        <w:numPr>
          <w:ilvl w:val="0"/>
          <w:numId w:val="250"/>
        </w:numPr>
        <w:overflowPunct w:val="0"/>
        <w:autoSpaceDE w:val="0"/>
        <w:autoSpaceDN w:val="0"/>
        <w:adjustRightInd w:val="0"/>
        <w:textAlignment w:val="baseline"/>
        <w:rPr>
          <w:bCs/>
        </w:rPr>
      </w:pPr>
      <w:r w:rsidRPr="00C07B2E">
        <w:rPr>
          <w:bCs/>
        </w:rPr>
        <w:t>психические расстройства и расстройства поведения, вызванные употреблением психоактивных веществ;</w:t>
      </w:r>
    </w:p>
    <w:p w14:paraId="00B0AEFF" w14:textId="77777777" w:rsidR="00124A26" w:rsidRPr="00C07B2E" w:rsidRDefault="00124A26" w:rsidP="00A577FB">
      <w:pPr>
        <w:numPr>
          <w:ilvl w:val="0"/>
          <w:numId w:val="250"/>
        </w:numPr>
        <w:overflowPunct w:val="0"/>
        <w:autoSpaceDE w:val="0"/>
        <w:autoSpaceDN w:val="0"/>
        <w:adjustRightInd w:val="0"/>
        <w:textAlignment w:val="baseline"/>
        <w:rPr>
          <w:bCs/>
        </w:rPr>
      </w:pPr>
      <w:r w:rsidRPr="00C07B2E">
        <w:rPr>
          <w:bCs/>
        </w:rPr>
        <w:t>беременность;</w:t>
      </w:r>
    </w:p>
    <w:p w14:paraId="15362AC1" w14:textId="77777777" w:rsidR="00124A26" w:rsidRPr="00C07B2E" w:rsidRDefault="00124A26" w:rsidP="00A577FB">
      <w:pPr>
        <w:numPr>
          <w:ilvl w:val="0"/>
          <w:numId w:val="250"/>
        </w:numPr>
        <w:overflowPunct w:val="0"/>
        <w:autoSpaceDE w:val="0"/>
        <w:autoSpaceDN w:val="0"/>
        <w:adjustRightInd w:val="0"/>
        <w:textAlignment w:val="baseline"/>
        <w:rPr>
          <w:bCs/>
        </w:rPr>
      </w:pPr>
      <w:r w:rsidRPr="00C07B2E">
        <w:rPr>
          <w:bCs/>
        </w:rPr>
        <w:t>грудное вскармливание</w:t>
      </w:r>
      <w:r w:rsidRPr="00C07B2E">
        <w:rPr>
          <w:bCs/>
          <w:lang w:val="en-US"/>
        </w:rPr>
        <w:t>;</w:t>
      </w:r>
    </w:p>
    <w:p w14:paraId="5A12F7D8" w14:textId="77777777" w:rsidR="00124A26" w:rsidRPr="00C07B2E" w:rsidRDefault="00124A26" w:rsidP="00A577FB">
      <w:pPr>
        <w:numPr>
          <w:ilvl w:val="0"/>
          <w:numId w:val="250"/>
        </w:numPr>
        <w:overflowPunct w:val="0"/>
        <w:autoSpaceDE w:val="0"/>
        <w:autoSpaceDN w:val="0"/>
        <w:adjustRightInd w:val="0"/>
        <w:textAlignment w:val="baseline"/>
        <w:rPr>
          <w:bCs/>
        </w:rPr>
      </w:pPr>
      <w:r w:rsidRPr="00C07B2E">
        <w:rPr>
          <w:bCs/>
        </w:rPr>
        <w:t>отсутствие подписанного донором информированного согласия на забор ГСК или костного мозга</w:t>
      </w:r>
    </w:p>
    <w:p w14:paraId="24BAF49F" w14:textId="77777777" w:rsidR="00124A26" w:rsidRPr="00C07B2E" w:rsidRDefault="00124A26" w:rsidP="00124A26">
      <w:pPr>
        <w:rPr>
          <w:rFonts w:eastAsia="SimSun"/>
        </w:rPr>
      </w:pPr>
    </w:p>
    <w:p w14:paraId="33473D25" w14:textId="29D39D34" w:rsidR="00124A26" w:rsidRPr="00470D3D" w:rsidRDefault="00124A26" w:rsidP="00124A26">
      <w:pPr>
        <w:rPr>
          <w:rFonts w:eastAsia="SimSun"/>
          <w:i/>
          <w:u w:val="single"/>
        </w:rPr>
      </w:pPr>
      <w:bookmarkStart w:id="170" w:name="_Toc44401118"/>
      <w:r w:rsidRPr="00470D3D">
        <w:rPr>
          <w:rFonts w:eastAsia="SimSun"/>
          <w:i/>
          <w:u w:val="single"/>
        </w:rPr>
        <w:t>Относительные медицинские противопоказания</w:t>
      </w:r>
      <w:r>
        <w:rPr>
          <w:rFonts w:eastAsia="SimSun"/>
          <w:i/>
          <w:u w:val="single"/>
        </w:rPr>
        <w:t xml:space="preserve"> </w:t>
      </w:r>
      <w:r w:rsidRPr="00EE51B1">
        <w:rPr>
          <w:rFonts w:eastAsia="SimSun"/>
          <w:i/>
          <w:u w:val="single"/>
        </w:rPr>
        <w:fldChar w:fldCharType="begin" w:fldLock="1"/>
      </w:r>
      <w:r w:rsidR="00F040F8">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[210]","plainTextFormattedCitation":"[210]","previouslyFormattedCitation":"[210]"},"properties":{"noteIndex":0},"schema":"https://github.com/citation-style-language/schema/raw/master/csl-citation.json"}</w:instrText>
      </w:r>
      <w:r w:rsidRPr="00EE51B1">
        <w:rPr>
          <w:rFonts w:eastAsia="SimSun"/>
          <w:i/>
          <w:u w:val="single"/>
        </w:rPr>
        <w:fldChar w:fldCharType="separate"/>
      </w:r>
      <w:r w:rsidR="005C0C1F" w:rsidRPr="005C0C1F">
        <w:rPr>
          <w:rFonts w:eastAsia="SimSun"/>
          <w:noProof/>
        </w:rPr>
        <w:t>[210]</w:t>
      </w:r>
      <w:r w:rsidRPr="00EE51B1">
        <w:rPr>
          <w:rFonts w:eastAsia="SimSun"/>
          <w:i/>
          <w:u w:val="single"/>
        </w:rPr>
        <w:fldChar w:fldCharType="end"/>
      </w:r>
      <w:r w:rsidRPr="00470D3D">
        <w:rPr>
          <w:rFonts w:eastAsia="SimSun"/>
          <w:i/>
          <w:u w:val="single"/>
        </w:rPr>
        <w:t>:</w:t>
      </w:r>
      <w:bookmarkEnd w:id="170"/>
    </w:p>
    <w:p w14:paraId="4F0195EC" w14:textId="77777777" w:rsidR="00124A26" w:rsidRPr="00C07B2E" w:rsidRDefault="00124A26" w:rsidP="00A577FB">
      <w:pPr>
        <w:numPr>
          <w:ilvl w:val="0"/>
          <w:numId w:val="251"/>
        </w:numPr>
        <w:overflowPunct w:val="0"/>
        <w:autoSpaceDE w:val="0"/>
        <w:autoSpaceDN w:val="0"/>
        <w:adjustRightInd w:val="0"/>
        <w:textAlignment w:val="baseline"/>
        <w:rPr>
          <w:rFonts w:eastAsia="SimSun"/>
        </w:rPr>
      </w:pPr>
      <w:r w:rsidRPr="00C07B2E">
        <w:rPr>
          <w:rFonts w:eastAsia="SimSun"/>
        </w:rPr>
        <w:t>наличие инфекционных заболеваний вне обострения или инфекционные заболевания в анамнезе, в том числе выявление маркеров вирусов гепатитов (за исключением перенесенного гепатита A в анамнезе), сифилиса;</w:t>
      </w:r>
    </w:p>
    <w:p w14:paraId="0AE164A4" w14:textId="77777777" w:rsidR="00124A26" w:rsidRPr="00C07B2E" w:rsidRDefault="00124A26" w:rsidP="00A577FB">
      <w:pPr>
        <w:numPr>
          <w:ilvl w:val="0"/>
          <w:numId w:val="251"/>
        </w:numPr>
        <w:overflowPunct w:val="0"/>
        <w:autoSpaceDE w:val="0"/>
        <w:autoSpaceDN w:val="0"/>
        <w:adjustRightInd w:val="0"/>
        <w:textAlignment w:val="baseline"/>
        <w:rPr>
          <w:rFonts w:eastAsia="SimSun"/>
        </w:rPr>
      </w:pPr>
      <w:r w:rsidRPr="00C07B2E">
        <w:rPr>
          <w:rFonts w:eastAsia="SimSun"/>
        </w:rPr>
        <w:t>доброкачественные новообразования;</w:t>
      </w:r>
    </w:p>
    <w:p w14:paraId="03DE9C42" w14:textId="77777777" w:rsidR="00124A26" w:rsidRPr="00C07B2E" w:rsidRDefault="00124A26" w:rsidP="00A577FB">
      <w:pPr>
        <w:numPr>
          <w:ilvl w:val="0"/>
          <w:numId w:val="251"/>
        </w:numPr>
        <w:overflowPunct w:val="0"/>
        <w:autoSpaceDE w:val="0"/>
        <w:autoSpaceDN w:val="0"/>
        <w:adjustRightInd w:val="0"/>
        <w:textAlignment w:val="baseline"/>
        <w:rPr>
          <w:rFonts w:eastAsia="SimSun"/>
        </w:rPr>
      </w:pPr>
      <w:r w:rsidRPr="00C07B2E">
        <w:rPr>
          <w:rFonts w:eastAsia="SimSun"/>
        </w:rPr>
        <w:t>нарушения здоровья, связанные с нарушением двигательных функций, болезнями системы кровообращения, болезнями органов пищеварения и органов дыхания, болезнями мочеполовой системы, болезнями эндокринной системы, болезнями крови, кроветворных органов и отдельными нарушениями, вовлекающими иммунный механизм, психическими расстройствами и сопровождающиеся стойким расстройством функций организма;</w:t>
      </w:r>
    </w:p>
    <w:p w14:paraId="0E1D37B1" w14:textId="77777777" w:rsidR="00124A26" w:rsidRPr="00C07B2E" w:rsidRDefault="00124A26" w:rsidP="00A577FB">
      <w:pPr>
        <w:numPr>
          <w:ilvl w:val="0"/>
          <w:numId w:val="251"/>
        </w:numPr>
        <w:overflowPunct w:val="0"/>
        <w:autoSpaceDE w:val="0"/>
        <w:autoSpaceDN w:val="0"/>
        <w:adjustRightInd w:val="0"/>
        <w:textAlignment w:val="baseline"/>
        <w:rPr>
          <w:rFonts w:eastAsia="SimSun"/>
        </w:rPr>
      </w:pPr>
      <w:r w:rsidRPr="00C07B2E">
        <w:rPr>
          <w:rFonts w:eastAsia="SimSun"/>
        </w:rPr>
        <w:t>При наличии у донора относительных медицинских противопоказаний для изъятия костного мозга и забора гемопоэтических стволовых клеток решение об изъятии костного мозга или заборе гемопоэтических стволовых клеток принимается консилиумом врачей медицинской организации, осуществляющей трансплантацию.</w:t>
      </w:r>
    </w:p>
    <w:p w14:paraId="11EE3F1F" w14:textId="77777777" w:rsidR="00124A26" w:rsidRPr="00C07B2E" w:rsidRDefault="00124A26" w:rsidP="00124A26">
      <w:pPr>
        <w:rPr>
          <w:rFonts w:eastAsia="SimSun"/>
        </w:rPr>
      </w:pPr>
    </w:p>
    <w:p w14:paraId="7BF8361D" w14:textId="77777777" w:rsidR="00124A26" w:rsidRPr="00470D3D" w:rsidRDefault="00124A26" w:rsidP="00124A26">
      <w:pPr>
        <w:rPr>
          <w:rFonts w:eastAsia="SimSun"/>
          <w:i/>
          <w:u w:val="single"/>
        </w:rPr>
      </w:pPr>
      <w:bookmarkStart w:id="171" w:name="_Toc44401119"/>
      <w:r w:rsidRPr="00470D3D">
        <w:rPr>
          <w:rFonts w:eastAsia="SimSun"/>
          <w:i/>
          <w:u w:val="single"/>
        </w:rPr>
        <w:t>Особые случаи:</w:t>
      </w:r>
      <w:bookmarkEnd w:id="171"/>
    </w:p>
    <w:p w14:paraId="7C40FD07" w14:textId="77777777" w:rsidR="00124A26" w:rsidRPr="00C07B2E" w:rsidRDefault="00124A26" w:rsidP="00124A26">
      <w:pPr>
        <w:rPr>
          <w:rFonts w:eastAsia="SimSun"/>
        </w:rPr>
      </w:pPr>
      <w:r w:rsidRPr="00C07B2E">
        <w:rPr>
          <w:rFonts w:eastAsia="SimSun"/>
        </w:rPr>
        <w:t>Допускается изъятие костного мозга и забор гемопоэтических стволовых у родственного донора, у которого выявлены маркеры вирусов гепатитов (за исключением перенесенного гепатита A в анамнезе), сифилиса, в случае невозможности подбора другого совместимого донора при соблюдении одновременно следующих условий:</w:t>
      </w:r>
    </w:p>
    <w:p w14:paraId="6437F78B" w14:textId="77777777" w:rsidR="00124A26" w:rsidRPr="00C07B2E" w:rsidRDefault="00124A26" w:rsidP="00A577FB">
      <w:pPr>
        <w:numPr>
          <w:ilvl w:val="0"/>
          <w:numId w:val="252"/>
        </w:numPr>
        <w:overflowPunct w:val="0"/>
        <w:autoSpaceDE w:val="0"/>
        <w:autoSpaceDN w:val="0"/>
        <w:adjustRightInd w:val="0"/>
        <w:textAlignment w:val="baseline"/>
        <w:rPr>
          <w:rFonts w:eastAsia="SimSun"/>
        </w:rPr>
      </w:pPr>
      <w:r w:rsidRPr="00C07B2E">
        <w:rPr>
          <w:rFonts w:eastAsia="SimSun"/>
        </w:rPr>
        <w:t>предварительное проведение этиотропного и симптоматического лечения вирусных гепатитов (за исключением перенесенного гепатита A в анамнезе), сифилиса;</w:t>
      </w:r>
    </w:p>
    <w:p w14:paraId="52206F07" w14:textId="77777777" w:rsidR="00124A26" w:rsidRPr="00C07B2E" w:rsidRDefault="00124A26" w:rsidP="00A577FB">
      <w:pPr>
        <w:numPr>
          <w:ilvl w:val="0"/>
          <w:numId w:val="252"/>
        </w:numPr>
        <w:overflowPunct w:val="0"/>
        <w:autoSpaceDE w:val="0"/>
        <w:autoSpaceDN w:val="0"/>
        <w:adjustRightInd w:val="0"/>
        <w:textAlignment w:val="baseline"/>
        <w:rPr>
          <w:rFonts w:eastAsia="SimSun"/>
        </w:rPr>
      </w:pPr>
      <w:r w:rsidRPr="00C07B2E">
        <w:rPr>
          <w:rFonts w:eastAsia="SimSun"/>
        </w:rPr>
        <w:t>наличие информированного добровольного согласия пациента (реципиента) на медицинское вмешательство с указанием сведений о том, что забор костного мозга и гемопоэтических стволовых клеток будет осуществляться у донора, у которого выявлены маркеры вирусов гепатитов (за исключением перенесенного гепатита A в анамнезе), сифилиса.</w:t>
      </w:r>
    </w:p>
    <w:p w14:paraId="41505016" w14:textId="77777777" w:rsidR="00124A26" w:rsidRPr="00470D3D" w:rsidRDefault="00124A26" w:rsidP="00124A26">
      <w:pPr>
        <w:rPr>
          <w:rFonts w:eastAsia="SimSun"/>
        </w:rPr>
      </w:pPr>
    </w:p>
    <w:p w14:paraId="411D2F17" w14:textId="1170328F" w:rsidR="00124A26" w:rsidRPr="00470D3D" w:rsidRDefault="00124A26" w:rsidP="00124A26">
      <w:pPr>
        <w:rPr>
          <w:rFonts w:eastAsia="SimSun"/>
          <w:i/>
          <w:u w:val="single"/>
        </w:rPr>
      </w:pPr>
      <w:bookmarkStart w:id="172" w:name="_Toc44401125"/>
      <w:r w:rsidRPr="00470D3D">
        <w:rPr>
          <w:rFonts w:eastAsia="SimSun"/>
          <w:i/>
          <w:u w:val="single"/>
        </w:rPr>
        <w:t>Список лабораторных и инструментальных исследований для обследования кандидатов в доноры</w:t>
      </w:r>
      <w:bookmarkEnd w:id="172"/>
      <w:r w:rsidRPr="00470D3D">
        <w:rPr>
          <w:rFonts w:eastAsia="SimSun"/>
          <w:i/>
          <w:u w:val="single"/>
        </w:rPr>
        <w:t xml:space="preserve"> </w:t>
      </w:r>
      <w:r w:rsidRPr="00470D3D">
        <w:rPr>
          <w:rFonts w:eastAsia="SimSun"/>
          <w:i/>
          <w:u w:val="single"/>
        </w:rPr>
        <w:fldChar w:fldCharType="begin" w:fldLock="1"/>
      </w:r>
      <w:r w:rsidR="00F040F8">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[210]","plainTextFormattedCitation":"[210]","previouslyFormattedCitation":"[210]"},"properties":{"noteIndex":0},"schema":"https://github.com/citation-style-language/schema/raw/master/csl-citation.json"}</w:instrText>
      </w:r>
      <w:r w:rsidRPr="00470D3D">
        <w:rPr>
          <w:rFonts w:eastAsia="SimSun"/>
          <w:i/>
          <w:u w:val="single"/>
        </w:rPr>
        <w:fldChar w:fldCharType="separate"/>
      </w:r>
      <w:r w:rsidR="005C0C1F" w:rsidRPr="005C0C1F">
        <w:rPr>
          <w:rFonts w:eastAsia="SimSun"/>
          <w:noProof/>
        </w:rPr>
        <w:t>[210]</w:t>
      </w:r>
      <w:r w:rsidRPr="00470D3D">
        <w:rPr>
          <w:rFonts w:eastAsia="SimSun"/>
          <w:i/>
          <w:u w:val="single"/>
        </w:rPr>
        <w:fldChar w:fldCharType="end"/>
      </w:r>
      <w:r>
        <w:rPr>
          <w:rFonts w:eastAsia="SimSun"/>
          <w:i/>
          <w:u w:val="single"/>
        </w:rPr>
        <w:t>:</w:t>
      </w:r>
    </w:p>
    <w:p w14:paraId="17A449B1" w14:textId="77777777" w:rsidR="00124A26" w:rsidRPr="00C07B2E" w:rsidRDefault="00124A26" w:rsidP="00124A26">
      <w:pPr>
        <w:rPr>
          <w:rFonts w:eastAsia="SimSun"/>
        </w:rPr>
      </w:pPr>
      <w:r w:rsidRPr="00C07B2E">
        <w:rPr>
          <w:rFonts w:eastAsia="SimSun"/>
        </w:rPr>
        <w:t>Общеклинический анализ крови (включая подсчет тромбоцитов)</w:t>
      </w:r>
    </w:p>
    <w:p w14:paraId="14ABD7F5" w14:textId="77777777" w:rsidR="00124A26" w:rsidRPr="00C07B2E" w:rsidRDefault="00124A26" w:rsidP="00124A26">
      <w:pPr>
        <w:rPr>
          <w:rFonts w:eastAsia="SimSun"/>
        </w:rPr>
      </w:pPr>
      <w:r w:rsidRPr="00C07B2E">
        <w:rPr>
          <w:rFonts w:eastAsia="SimSun"/>
        </w:rPr>
        <w:t>Биохимический анализ крови (общий белок, альбумин, глобулин, общий холестерин, мочевая кислота, креатинин (расчет клиренса креатитнина — см. приложение 3), мочевина, билирубин и его фракции, АЛТ, АСТ, ЩФ, ГГТП, ЛДГ, сывороточное железо).</w:t>
      </w:r>
    </w:p>
    <w:p w14:paraId="1F887E83" w14:textId="77777777" w:rsidR="00124A26" w:rsidRPr="00C07B2E" w:rsidRDefault="00124A26" w:rsidP="00124A26">
      <w:pPr>
        <w:rPr>
          <w:rFonts w:eastAsia="SimSun"/>
        </w:rPr>
      </w:pPr>
      <w:r w:rsidRPr="00C07B2E">
        <w:rPr>
          <w:rFonts w:eastAsia="SimSun"/>
        </w:rPr>
        <w:t>Коагулограмма (АЧТВ, фибриноген, ПТИ по Квику, МНО).</w:t>
      </w:r>
    </w:p>
    <w:p w14:paraId="526A3D62" w14:textId="77777777" w:rsidR="00124A26" w:rsidRPr="00C07B2E" w:rsidRDefault="00124A26" w:rsidP="00124A26">
      <w:pPr>
        <w:rPr>
          <w:rFonts w:eastAsia="SimSun"/>
        </w:rPr>
      </w:pPr>
      <w:r w:rsidRPr="00C07B2E">
        <w:rPr>
          <w:rFonts w:eastAsia="SimSun"/>
        </w:rPr>
        <w:t>Глюкоза венозной крови натощак.</w:t>
      </w:r>
    </w:p>
    <w:p w14:paraId="50C1B19E" w14:textId="77777777" w:rsidR="00124A26" w:rsidRPr="00C07B2E" w:rsidRDefault="00124A26" w:rsidP="00124A26">
      <w:pPr>
        <w:rPr>
          <w:rFonts w:eastAsia="SimSun"/>
        </w:rPr>
      </w:pPr>
      <w:r w:rsidRPr="00C07B2E">
        <w:rPr>
          <w:rFonts w:eastAsia="SimSun"/>
        </w:rPr>
        <w:t>Общий анализ мочи.</w:t>
      </w:r>
    </w:p>
    <w:p w14:paraId="31C7CC25" w14:textId="77777777" w:rsidR="00124A26" w:rsidRPr="00C07B2E" w:rsidRDefault="00124A26" w:rsidP="00124A26">
      <w:pPr>
        <w:rPr>
          <w:rFonts w:eastAsia="SimSun"/>
        </w:rPr>
      </w:pPr>
      <w:r w:rsidRPr="00C07B2E">
        <w:rPr>
          <w:rFonts w:eastAsia="SimSun"/>
        </w:rPr>
        <w:t>Серологические исследования гемотрансмиссивных инфекций (антитела к ВИЧ, HB</w:t>
      </w:r>
      <w:r w:rsidRPr="00C07B2E">
        <w:rPr>
          <w:rFonts w:eastAsia="SimSun"/>
          <w:lang w:val="en-US"/>
        </w:rPr>
        <w:t>sAg</w:t>
      </w:r>
      <w:r w:rsidRPr="00C07B2E">
        <w:rPr>
          <w:rFonts w:eastAsia="SimSun"/>
        </w:rPr>
        <w:t xml:space="preserve"> качественно, антитела к HB</w:t>
      </w:r>
      <w:r w:rsidRPr="00C07B2E">
        <w:rPr>
          <w:rFonts w:eastAsia="SimSun"/>
          <w:lang w:val="en-US"/>
        </w:rPr>
        <w:t>sAg</w:t>
      </w:r>
      <w:r w:rsidRPr="00C07B2E">
        <w:rPr>
          <w:rFonts w:eastAsia="SimSun"/>
        </w:rPr>
        <w:t xml:space="preserve"> качественно и количественно, анти-НВсоr качественно, </w:t>
      </w:r>
      <w:r w:rsidRPr="00C07B2E">
        <w:rPr>
          <w:rFonts w:eastAsia="SimSun"/>
          <w:lang w:val="en-US"/>
        </w:rPr>
        <w:t>HBeAg</w:t>
      </w:r>
      <w:r w:rsidRPr="00C07B2E">
        <w:rPr>
          <w:rFonts w:eastAsia="SimSun"/>
        </w:rPr>
        <w:t xml:space="preserve"> качественно, анти-</w:t>
      </w:r>
      <w:r w:rsidRPr="00C07B2E">
        <w:rPr>
          <w:rFonts w:eastAsia="SimSun"/>
          <w:lang w:val="en-US"/>
        </w:rPr>
        <w:t>HBeAg</w:t>
      </w:r>
      <w:r w:rsidRPr="00C07B2E">
        <w:rPr>
          <w:rFonts w:eastAsia="SimSun"/>
        </w:rPr>
        <w:t>, на сифилис).</w:t>
      </w:r>
    </w:p>
    <w:p w14:paraId="58EF87CC" w14:textId="77777777" w:rsidR="00124A26" w:rsidRPr="00C07B2E" w:rsidRDefault="00124A26" w:rsidP="00124A26">
      <w:pPr>
        <w:rPr>
          <w:rFonts w:eastAsia="SimSun"/>
        </w:rPr>
      </w:pPr>
      <w:r w:rsidRPr="00C07B2E">
        <w:rPr>
          <w:rFonts w:eastAsia="SimSun"/>
        </w:rPr>
        <w:t>Серологические исследования герпесвирусных инфекций (</w:t>
      </w:r>
      <w:r w:rsidRPr="00C07B2E">
        <w:rPr>
          <w:rFonts w:eastAsia="SimSun"/>
          <w:lang w:val="en-US"/>
        </w:rPr>
        <w:t>CMV</w:t>
      </w:r>
      <w:r w:rsidRPr="00C07B2E">
        <w:rPr>
          <w:rFonts w:eastAsia="SimSun"/>
        </w:rPr>
        <w:t>, Эпштейна—Барр, вирус герпеса человека 1 и 6-го типа).</w:t>
      </w:r>
    </w:p>
    <w:p w14:paraId="78398D93" w14:textId="77777777" w:rsidR="00124A26" w:rsidRPr="00C07B2E" w:rsidRDefault="00124A26" w:rsidP="00124A26">
      <w:pPr>
        <w:rPr>
          <w:rFonts w:eastAsia="SimSun"/>
        </w:rPr>
      </w:pPr>
      <w:r w:rsidRPr="00C07B2E">
        <w:rPr>
          <w:rFonts w:eastAsia="SimSun"/>
        </w:rPr>
        <w:t>Определение ДНК вируса гепатита В и РНК вируса гепатита С с помощью ПЦР.</w:t>
      </w:r>
    </w:p>
    <w:p w14:paraId="52F932E4" w14:textId="77777777" w:rsidR="00124A26" w:rsidRPr="00C07B2E" w:rsidRDefault="00124A26" w:rsidP="00124A26">
      <w:pPr>
        <w:rPr>
          <w:rFonts w:eastAsia="SimSun"/>
        </w:rPr>
      </w:pPr>
      <w:r w:rsidRPr="00C07B2E">
        <w:rPr>
          <w:rFonts w:eastAsia="SimSun"/>
        </w:rPr>
        <w:t>ЭКГ, по показаниям — трансторакальная ЭхоКГ, холтеровский мониторинг ЭКГ и др.Рентгенография органов грудной клетки, по показаниям — КТ органов грудной клетки и др.</w:t>
      </w:r>
    </w:p>
    <w:p w14:paraId="3D2243A6" w14:textId="77777777" w:rsidR="00124A26" w:rsidRPr="00C07B2E" w:rsidRDefault="00124A26" w:rsidP="00124A26">
      <w:pPr>
        <w:rPr>
          <w:rFonts w:eastAsia="SimSun"/>
        </w:rPr>
      </w:pPr>
      <w:r w:rsidRPr="00C07B2E">
        <w:rPr>
          <w:rFonts w:eastAsia="SimSun"/>
        </w:rPr>
        <w:t xml:space="preserve">УЗИ органов брюшной полости (по показаниям). </w:t>
      </w:r>
    </w:p>
    <w:p w14:paraId="668A0394" w14:textId="77777777" w:rsidR="00124A26" w:rsidRDefault="00124A26" w:rsidP="00124A26">
      <w:pPr>
        <w:rPr>
          <w:rFonts w:eastAsia="SimSun"/>
        </w:rPr>
      </w:pPr>
      <w:bookmarkStart w:id="173" w:name="_Toc44401126"/>
    </w:p>
    <w:p w14:paraId="57B84185" w14:textId="77777777" w:rsidR="00124A26" w:rsidRPr="00470D3D" w:rsidRDefault="00124A26" w:rsidP="00124A26">
      <w:pPr>
        <w:rPr>
          <w:rFonts w:eastAsia="SimSun"/>
          <w:b/>
        </w:rPr>
      </w:pPr>
      <w:r>
        <w:rPr>
          <w:rFonts w:eastAsia="SimSun"/>
          <w:b/>
        </w:rPr>
        <w:t>3</w:t>
      </w:r>
      <w:r w:rsidRPr="00470D3D">
        <w:rPr>
          <w:rFonts w:eastAsia="SimSun"/>
          <w:b/>
        </w:rPr>
        <w:t>. Протокол подготовки к инфузии и  инфузии аллогенных гемопоэтических стволовых клеток</w:t>
      </w:r>
      <w:bookmarkEnd w:id="173"/>
    </w:p>
    <w:p w14:paraId="52B675B7" w14:textId="77777777" w:rsidR="00124A26" w:rsidRPr="00E87507" w:rsidRDefault="00124A26" w:rsidP="00124A26">
      <w:pPr>
        <w:rPr>
          <w:rFonts w:eastAsia="SimSun"/>
          <w:i/>
          <w:u w:val="single"/>
        </w:rPr>
      </w:pPr>
      <w:bookmarkStart w:id="174" w:name="_Toc44401128"/>
      <w:r w:rsidRPr="00E87507">
        <w:rPr>
          <w:rFonts w:eastAsia="SimSun"/>
          <w:i/>
          <w:u w:val="single"/>
        </w:rPr>
        <w:t>Установка ЦВК</w:t>
      </w:r>
      <w:bookmarkEnd w:id="174"/>
    </w:p>
    <w:p w14:paraId="3CCEC49F" w14:textId="77777777" w:rsidR="00124A26" w:rsidRPr="00C07B2E" w:rsidRDefault="00124A26" w:rsidP="00124A26">
      <w:pPr>
        <w:rPr>
          <w:rFonts w:eastAsia="SimSun"/>
        </w:rPr>
      </w:pPr>
      <w:r w:rsidRPr="00C07B2E">
        <w:rPr>
          <w:rFonts w:eastAsia="SimSun"/>
        </w:rPr>
        <w:t xml:space="preserve">Перед началом кондиционирования больному устанавливают двух- или трехходовой ЦВК в подключичную вену (или во внутреннюю яремную, в наружную яремную вену). </w:t>
      </w:r>
    </w:p>
    <w:p w14:paraId="6359EB1D" w14:textId="77777777" w:rsidR="00124A26" w:rsidRDefault="00124A26" w:rsidP="00124A26">
      <w:pPr>
        <w:rPr>
          <w:rFonts w:eastAsia="SimSun"/>
        </w:rPr>
      </w:pPr>
      <w:bookmarkStart w:id="175" w:name="_Toc44401129"/>
    </w:p>
    <w:p w14:paraId="0B9DB232" w14:textId="77777777" w:rsidR="00124A26" w:rsidRPr="00E87507" w:rsidRDefault="00124A26" w:rsidP="00124A26">
      <w:pPr>
        <w:rPr>
          <w:rFonts w:eastAsia="SimSun"/>
          <w:i/>
          <w:u w:val="single"/>
        </w:rPr>
      </w:pPr>
      <w:r w:rsidRPr="00E87507">
        <w:rPr>
          <w:rFonts w:eastAsia="SimSun"/>
          <w:i/>
          <w:u w:val="single"/>
        </w:rPr>
        <w:t>Порядок отсчета дней до и после алло-ТГСК</w:t>
      </w:r>
      <w:bookmarkEnd w:id="175"/>
    </w:p>
    <w:p w14:paraId="3BC9E8E7" w14:textId="77777777" w:rsidR="00124A26" w:rsidRPr="00C07B2E" w:rsidRDefault="00124A26" w:rsidP="00124A26">
      <w:pPr>
        <w:rPr>
          <w:rFonts w:eastAsia="SimSun"/>
        </w:rPr>
      </w:pPr>
      <w:r w:rsidRPr="00C07B2E">
        <w:rPr>
          <w:rFonts w:eastAsia="SimSun"/>
        </w:rPr>
        <w:t>Днем отсчета считается дата трансплантации. Она обозначается как «день 0», «Д0», «0 день ТГСК» или просто «0». От дня начала кондиционирования до дня инфузии ГСК (первого из дней инфузии ГСК) ведут обратный счет дней. Например: дата алло-ТГСК — 5 января, день «–1» — это 4 января и т. д. В случае если дата следует после алло-ТГСК, то перед ней ставится знак «+». Например: дата алло-ТГСК — 7 декабря, день «+1» — это 8 декабря. Счет ведется до конца жизни пациента, или до следующей ТКМ.</w:t>
      </w:r>
    </w:p>
    <w:p w14:paraId="4BF8BD5C" w14:textId="77777777" w:rsidR="00124A26" w:rsidRDefault="00124A26" w:rsidP="00124A26">
      <w:pPr>
        <w:rPr>
          <w:rFonts w:eastAsia="SimSun"/>
        </w:rPr>
      </w:pPr>
      <w:bookmarkStart w:id="176" w:name="_Toc44401130"/>
    </w:p>
    <w:p w14:paraId="20854B4A" w14:textId="77777777" w:rsidR="00124A26" w:rsidRPr="00E87507" w:rsidRDefault="00124A26" w:rsidP="00124A26">
      <w:pPr>
        <w:rPr>
          <w:rFonts w:eastAsia="SimSun"/>
          <w:i/>
          <w:u w:val="single"/>
        </w:rPr>
      </w:pPr>
      <w:r w:rsidRPr="00E87507">
        <w:rPr>
          <w:rFonts w:eastAsia="SimSun"/>
          <w:i/>
          <w:u w:val="single"/>
        </w:rPr>
        <w:t>Подготовка к инфузии ГСК</w:t>
      </w:r>
      <w:bookmarkEnd w:id="176"/>
    </w:p>
    <w:p w14:paraId="34A619B2" w14:textId="77777777" w:rsidR="00124A26" w:rsidRPr="00C07B2E" w:rsidRDefault="00124A26" w:rsidP="00124A26">
      <w:pPr>
        <w:rPr>
          <w:rFonts w:eastAsia="SimSun"/>
        </w:rPr>
      </w:pPr>
      <w:r w:rsidRPr="00C07B2E">
        <w:rPr>
          <w:rFonts w:eastAsia="SimSun"/>
        </w:rPr>
        <w:t>Убедитесь, что выполнены следующие условия:</w:t>
      </w:r>
    </w:p>
    <w:p w14:paraId="633483E6" w14:textId="77777777" w:rsidR="00124A26" w:rsidRPr="00C07B2E" w:rsidRDefault="00124A26" w:rsidP="00A577FB">
      <w:pPr>
        <w:numPr>
          <w:ilvl w:val="0"/>
          <w:numId w:val="254"/>
        </w:numPr>
        <w:overflowPunct w:val="0"/>
        <w:autoSpaceDE w:val="0"/>
        <w:autoSpaceDN w:val="0"/>
        <w:adjustRightInd w:val="0"/>
        <w:textAlignment w:val="baseline"/>
        <w:rPr>
          <w:rFonts w:eastAsia="SimSun"/>
        </w:rPr>
      </w:pPr>
      <w:r w:rsidRPr="00C07B2E">
        <w:rPr>
          <w:rFonts w:eastAsia="SimSun"/>
        </w:rPr>
        <w:t xml:space="preserve">Пациент подписал добровольное информированное согласие на трансплантацию. </w:t>
      </w:r>
    </w:p>
    <w:p w14:paraId="70B4FE45" w14:textId="77777777" w:rsidR="00124A26" w:rsidRPr="00C07B2E" w:rsidRDefault="00124A26" w:rsidP="00A577FB">
      <w:pPr>
        <w:numPr>
          <w:ilvl w:val="0"/>
          <w:numId w:val="254"/>
        </w:numPr>
        <w:overflowPunct w:val="0"/>
        <w:autoSpaceDE w:val="0"/>
        <w:autoSpaceDN w:val="0"/>
        <w:adjustRightInd w:val="0"/>
        <w:textAlignment w:val="baseline"/>
        <w:rPr>
          <w:rFonts w:eastAsia="SimSun"/>
        </w:rPr>
      </w:pPr>
      <w:r w:rsidRPr="00C07B2E">
        <w:rPr>
          <w:rFonts w:eastAsia="SimSun"/>
        </w:rPr>
        <w:t xml:space="preserve">Пациенту на момент введения ГСК установлен ЦВК. При отсутствии адекватно функционирующего ЦВК на момент инфузии допускается инфузия клеточной взвеси через периферическую вену, в которой содержание </w:t>
      </w:r>
      <w:r w:rsidRPr="00C07B2E">
        <w:rPr>
          <w:rFonts w:eastAsia="SimSun"/>
          <w:shd w:val="clear" w:color="auto" w:fill="FFFFFF"/>
        </w:rPr>
        <w:t>диметилсульфоксида</w:t>
      </w:r>
      <w:r w:rsidRPr="00C07B2E">
        <w:rPr>
          <w:rFonts w:eastAsia="SimSun"/>
        </w:rPr>
        <w:t xml:space="preserve"> не превышает 10%. </w:t>
      </w:r>
    </w:p>
    <w:p w14:paraId="6A8B9699" w14:textId="77777777" w:rsidR="00124A26" w:rsidRPr="00C07B2E" w:rsidRDefault="00124A26" w:rsidP="00A577FB">
      <w:pPr>
        <w:numPr>
          <w:ilvl w:val="0"/>
          <w:numId w:val="254"/>
        </w:numPr>
        <w:overflowPunct w:val="0"/>
        <w:autoSpaceDE w:val="0"/>
        <w:autoSpaceDN w:val="0"/>
        <w:adjustRightInd w:val="0"/>
        <w:textAlignment w:val="baseline"/>
        <w:rPr>
          <w:rFonts w:eastAsia="SimSun"/>
        </w:rPr>
      </w:pPr>
      <w:r w:rsidRPr="00C07B2E">
        <w:rPr>
          <w:rFonts w:eastAsia="SimSun"/>
        </w:rPr>
        <w:t xml:space="preserve">Прошло не менее 36 ч после завершения введения цитостатических препаратов, входящих в режим кондиционирования. </w:t>
      </w:r>
    </w:p>
    <w:p w14:paraId="081D5D67" w14:textId="77777777" w:rsidR="00124A26" w:rsidRPr="00C07B2E" w:rsidRDefault="00124A26" w:rsidP="00A577FB">
      <w:pPr>
        <w:numPr>
          <w:ilvl w:val="0"/>
          <w:numId w:val="254"/>
        </w:numPr>
        <w:overflowPunct w:val="0"/>
        <w:autoSpaceDE w:val="0"/>
        <w:autoSpaceDN w:val="0"/>
        <w:adjustRightInd w:val="0"/>
        <w:textAlignment w:val="baseline"/>
        <w:rPr>
          <w:rFonts w:eastAsia="SimSun"/>
        </w:rPr>
      </w:pPr>
      <w:r w:rsidRPr="00C07B2E">
        <w:rPr>
          <w:rFonts w:eastAsia="SimSun"/>
        </w:rPr>
        <w:t>При использовании с –1 дня циклоспорина</w:t>
      </w:r>
      <w:r w:rsidRPr="00C07B2E" w:rsidDel="00DA45A3">
        <w:rPr>
          <w:rFonts w:eastAsia="SimSun"/>
        </w:rPr>
        <w:t xml:space="preserve"> </w:t>
      </w:r>
      <w:r w:rsidRPr="00C07B2E">
        <w:rPr>
          <w:rFonts w:eastAsia="SimSun"/>
        </w:rPr>
        <w:t xml:space="preserve">(в режиме профилактики острой РТПХ) пациенту было введено не менее 3 доз препарата до инфузии ГСК. </w:t>
      </w:r>
    </w:p>
    <w:p w14:paraId="6994E885" w14:textId="77777777" w:rsidR="00124A26" w:rsidRPr="00C07B2E" w:rsidRDefault="00124A26" w:rsidP="00A577FB">
      <w:pPr>
        <w:numPr>
          <w:ilvl w:val="0"/>
          <w:numId w:val="254"/>
        </w:numPr>
        <w:overflowPunct w:val="0"/>
        <w:autoSpaceDE w:val="0"/>
        <w:autoSpaceDN w:val="0"/>
        <w:adjustRightInd w:val="0"/>
        <w:textAlignment w:val="baseline"/>
        <w:rPr>
          <w:rFonts w:eastAsia="SimSun"/>
        </w:rPr>
      </w:pPr>
      <w:r w:rsidRPr="00C07B2E">
        <w:rPr>
          <w:rFonts w:eastAsia="SimSun"/>
        </w:rPr>
        <w:t>В момент инфузии ГСК введение других препаратов не проводится.</w:t>
      </w:r>
    </w:p>
    <w:p w14:paraId="10A927B0" w14:textId="77777777" w:rsidR="00124A26" w:rsidRPr="00C07B2E" w:rsidRDefault="00124A26" w:rsidP="00A577FB">
      <w:pPr>
        <w:numPr>
          <w:ilvl w:val="0"/>
          <w:numId w:val="254"/>
        </w:numPr>
        <w:overflowPunct w:val="0"/>
        <w:autoSpaceDE w:val="0"/>
        <w:autoSpaceDN w:val="0"/>
        <w:adjustRightInd w:val="0"/>
        <w:textAlignment w:val="baseline"/>
        <w:rPr>
          <w:rFonts w:eastAsia="SimSun"/>
        </w:rPr>
      </w:pPr>
      <w:r w:rsidRPr="00C07B2E">
        <w:rPr>
          <w:rFonts w:eastAsia="SimSun"/>
        </w:rPr>
        <w:t>В момент введения ГСК запрещено проведение плазмафереза и/или гемодиализа.</w:t>
      </w:r>
    </w:p>
    <w:p w14:paraId="44643798" w14:textId="77777777" w:rsidR="00124A26" w:rsidRPr="00C07B2E" w:rsidRDefault="00124A26" w:rsidP="00124A26">
      <w:pPr>
        <w:rPr>
          <w:rFonts w:eastAsia="SimSun"/>
        </w:rPr>
      </w:pPr>
      <w:r w:rsidRPr="00C07B2E">
        <w:rPr>
          <w:rFonts w:eastAsia="SimSun"/>
        </w:rPr>
        <w:t>При необходимости проведения плазмафереза и/или гемодиализа инфузия ГСК выполняется до и/или через сутки после завершения этих процедур.</w:t>
      </w:r>
    </w:p>
    <w:p w14:paraId="53B5A5F3" w14:textId="77777777" w:rsidR="00124A26" w:rsidRPr="00C07B2E" w:rsidRDefault="00124A26" w:rsidP="00124A26">
      <w:pPr>
        <w:rPr>
          <w:rFonts w:eastAsia="SimSun"/>
        </w:rPr>
      </w:pPr>
      <w:r w:rsidRPr="00C07B2E">
        <w:rPr>
          <w:rFonts w:eastAsia="SimSun"/>
        </w:rPr>
        <w:t xml:space="preserve">За 2–3 ч до алло-ТГСК рекомендуется проводить инфузионную терапию (коллоидными и кристаллоидными растворами в объеме 500-1500 мл) в случае использования криоконсервированных ГСК. </w:t>
      </w:r>
    </w:p>
    <w:p w14:paraId="7AAC2C0C" w14:textId="77777777" w:rsidR="00124A26" w:rsidRPr="00C07B2E" w:rsidRDefault="00124A26" w:rsidP="00124A26">
      <w:pPr>
        <w:rPr>
          <w:rFonts w:eastAsia="SimSun"/>
        </w:rPr>
      </w:pPr>
      <w:r w:rsidRPr="00C07B2E">
        <w:rPr>
          <w:rFonts w:eastAsia="SimSun"/>
        </w:rPr>
        <w:t xml:space="preserve">За 30 мин до введения ГСК, при наличии реакций на трансфузию компонентов крови в анамнезе, должна быть использована премедикация антигистаминными препаратами и/или нестероиднымии противовоспалительными препаратами препаратами и/или метилпреднизолоном (если в предыдущие сутки использовали метилпреднизолон). </w:t>
      </w:r>
    </w:p>
    <w:p w14:paraId="3A22C138" w14:textId="3FA7DBD6" w:rsidR="00124A26" w:rsidRPr="00C07B2E" w:rsidRDefault="00124A26" w:rsidP="00124A26">
      <w:pPr>
        <w:rPr>
          <w:rFonts w:eastAsia="SimSun"/>
        </w:rPr>
      </w:pPr>
      <w:r w:rsidRPr="00C07B2E">
        <w:rPr>
          <w:rFonts w:eastAsia="SimSun"/>
        </w:rPr>
        <w:t xml:space="preserve">При любой несовместимости между донором и реципиентом по системе АВ0 возможно введение метилпреднизолона в дозе 60 мг перед введением ГСК. </w:t>
      </w:r>
    </w:p>
    <w:p w14:paraId="625B5ABB" w14:textId="77777777" w:rsidR="00124A26" w:rsidRPr="00C07B2E" w:rsidRDefault="00124A26" w:rsidP="00124A26">
      <w:pPr>
        <w:rPr>
          <w:rFonts w:eastAsia="SimSun"/>
        </w:rPr>
      </w:pPr>
      <w:r w:rsidRPr="00C07B2E">
        <w:rPr>
          <w:rFonts w:eastAsia="SimSun"/>
        </w:rPr>
        <w:t>После получения из лаборатории мешка с ГСК производится его осмотр: указание Ф. И. О. пациента или донора (в зависимости от применяемых в центре требований к маркировке), даты рождения и группы крови, наличие внешних повреждений и/или посторонних примесей в мешке (сгустки, фрагменты костной ткани). В случае выявления «дефектов» мешок возвращается в лабораторию для их устранения.</w:t>
      </w:r>
    </w:p>
    <w:p w14:paraId="65B4AC85" w14:textId="77777777" w:rsidR="00124A26" w:rsidRPr="00C07B2E" w:rsidRDefault="00124A26" w:rsidP="00124A26">
      <w:pPr>
        <w:rPr>
          <w:rFonts w:eastAsia="SimSun"/>
        </w:rPr>
      </w:pPr>
    </w:p>
    <w:p w14:paraId="5F4B5C6E" w14:textId="77777777" w:rsidR="00124A26" w:rsidRPr="00985050" w:rsidRDefault="00124A26" w:rsidP="00124A26">
      <w:pPr>
        <w:rPr>
          <w:rFonts w:eastAsia="SimSun"/>
          <w:i/>
          <w:u w:val="single"/>
        </w:rPr>
      </w:pPr>
      <w:bookmarkStart w:id="177" w:name="_Toc44401131"/>
      <w:r w:rsidRPr="00985050">
        <w:rPr>
          <w:rFonts w:eastAsia="SimSun"/>
          <w:i/>
          <w:u w:val="single"/>
        </w:rPr>
        <w:t>Инфузия ГСК</w:t>
      </w:r>
      <w:bookmarkEnd w:id="177"/>
    </w:p>
    <w:p w14:paraId="6925DA4D" w14:textId="77777777" w:rsidR="00124A26" w:rsidRPr="00C07B2E" w:rsidRDefault="00124A26" w:rsidP="00124A26">
      <w:pPr>
        <w:rPr>
          <w:rFonts w:eastAsia="SimSun"/>
        </w:rPr>
      </w:pPr>
      <w:r w:rsidRPr="00C07B2E">
        <w:rPr>
          <w:rFonts w:eastAsia="SimSun"/>
        </w:rPr>
        <w:t xml:space="preserve">Для первого введения выбирают мешок с максимальной клеточностью. При манипуляциях с мешком запрещается использовать металлические инструменты (зажимы, пинцеты и др.). В случае использования криоконсервированных ГСК их предварительно размораживают на водяной бане или программном размораживателе при температуре 37˚С. После разморозки врач проверяет, что в мешке отсутствуют остаточные фрагменты льда, после чего прокалывает мешок с использованием системы для инфузии. Система для инфузии должна иметь фильтр размером от 150–260 микрон (обычная система для инфузии крови имеет фильтр в 175 микрон). </w:t>
      </w:r>
    </w:p>
    <w:p w14:paraId="6C349CDA" w14:textId="77777777" w:rsidR="00124A26" w:rsidRPr="00C07B2E" w:rsidRDefault="00124A26" w:rsidP="00124A26">
      <w:pPr>
        <w:rPr>
          <w:rFonts w:eastAsia="SimSun"/>
        </w:rPr>
      </w:pPr>
      <w:r w:rsidRPr="00C07B2E">
        <w:rPr>
          <w:rFonts w:eastAsia="SimSun"/>
        </w:rPr>
        <w:t>В случае развития гемолиза инфузия ГСК из следующего мешка не проводится. Инфузии ГСК из следующих мешков возобновляют после хотя бы частичного купирования лизиса эритроцитов. После завершения инфузии ход ЦВК, который был использован для трансплантации, промывают физиологическим раствором. Далее пациент находится под пристальным наблюдением медицинского персонала. По показаниям возможно наблюдение анестезиолога-реаниматолога и/или постоянный мониторинг витальных показателей с помощью прикроватного монитора состояния пациента. Через 2 ч после завершения инфузии выполняют биохимическое исследование крови (оценка сывороточной концентрации К</w:t>
      </w:r>
      <w:r w:rsidRPr="00C07B2E">
        <w:rPr>
          <w:rFonts w:eastAsia="SimSun"/>
          <w:vertAlign w:val="superscript"/>
        </w:rPr>
        <w:t>+</w:t>
      </w:r>
      <w:r w:rsidRPr="00C07B2E">
        <w:rPr>
          <w:rFonts w:eastAsia="SimSun"/>
        </w:rPr>
        <w:t xml:space="preserve">). </w:t>
      </w:r>
    </w:p>
    <w:p w14:paraId="39725214" w14:textId="77777777" w:rsidR="00124A26" w:rsidRDefault="00124A26" w:rsidP="00124A26">
      <w:pPr>
        <w:rPr>
          <w:rFonts w:eastAsia="SimSun"/>
        </w:rPr>
      </w:pPr>
      <w:bookmarkStart w:id="178" w:name="_Toc44401132"/>
    </w:p>
    <w:p w14:paraId="71C39EE8" w14:textId="77777777" w:rsidR="00124A26" w:rsidRPr="00470D3D" w:rsidRDefault="00124A26" w:rsidP="00124A26">
      <w:pPr>
        <w:rPr>
          <w:rFonts w:eastAsia="SimSun"/>
          <w:b/>
        </w:rPr>
      </w:pPr>
      <w:r>
        <w:rPr>
          <w:rFonts w:eastAsia="SimSun"/>
          <w:b/>
        </w:rPr>
        <w:t>5.</w:t>
      </w:r>
      <w:r w:rsidRPr="00470D3D">
        <w:rPr>
          <w:rFonts w:eastAsia="SimSun"/>
          <w:b/>
        </w:rPr>
        <w:t xml:space="preserve"> Протокол внутривенного введения антитимоцитарного глобулина</w:t>
      </w:r>
      <w:bookmarkEnd w:id="178"/>
    </w:p>
    <w:p w14:paraId="78B41BB8" w14:textId="77777777" w:rsidR="00124A26" w:rsidRPr="00985050" w:rsidRDefault="00124A26" w:rsidP="00124A26">
      <w:pPr>
        <w:rPr>
          <w:rFonts w:eastAsia="SimSun"/>
          <w:i/>
          <w:u w:val="single"/>
        </w:rPr>
      </w:pPr>
      <w:bookmarkStart w:id="179" w:name="_Toc44401134"/>
      <w:r w:rsidRPr="00985050">
        <w:rPr>
          <w:rFonts w:eastAsia="SimSun"/>
          <w:i/>
          <w:u w:val="single"/>
        </w:rPr>
        <w:t>Подготовка к введению</w:t>
      </w:r>
      <w:bookmarkEnd w:id="179"/>
      <w:r w:rsidRPr="00985050">
        <w:rPr>
          <w:rFonts w:eastAsia="SimSun"/>
          <w:i/>
          <w:u w:val="single"/>
        </w:rPr>
        <w:t xml:space="preserve"> </w:t>
      </w:r>
    </w:p>
    <w:p w14:paraId="30986259" w14:textId="77777777" w:rsidR="00124A26" w:rsidRPr="00C07B2E" w:rsidRDefault="00124A26" w:rsidP="00124A26">
      <w:pPr>
        <w:rPr>
          <w:rFonts w:eastAsia="SimSun"/>
        </w:rPr>
      </w:pPr>
      <w:r w:rsidRPr="00C07B2E">
        <w:rPr>
          <w:rFonts w:eastAsia="SimSun"/>
        </w:rPr>
        <w:t xml:space="preserve">Убедитесь, что вы информированы обо всех аллергических реакциях пациента. Перед началом введения препарата АТГ настоятельно рекомендуется проведение пробы с этим препаратом. Несмотря на то, что чувствительность и специфичность этого теста клинически не доказаны и его положительный результат не повлияет на введение препарата, проведение тестов рекомендовано для оценки вероятности развития анафилактической реакции на его введение. </w:t>
      </w:r>
    </w:p>
    <w:p w14:paraId="6101B796" w14:textId="77777777" w:rsidR="00124A26" w:rsidRDefault="00124A26" w:rsidP="00124A26">
      <w:pPr>
        <w:rPr>
          <w:rFonts w:eastAsia="SimSun"/>
        </w:rPr>
      </w:pPr>
      <w:bookmarkStart w:id="180" w:name="_Toc44401135"/>
    </w:p>
    <w:p w14:paraId="19ECEBBB" w14:textId="77777777" w:rsidR="00124A26" w:rsidRPr="00985050" w:rsidRDefault="00124A26" w:rsidP="00124A26">
      <w:pPr>
        <w:rPr>
          <w:rFonts w:eastAsia="SimSun"/>
          <w:i/>
          <w:u w:val="single"/>
        </w:rPr>
      </w:pPr>
      <w:r w:rsidRPr="00985050">
        <w:rPr>
          <w:rFonts w:eastAsia="SimSun"/>
          <w:i/>
          <w:u w:val="single"/>
        </w:rPr>
        <w:t>Методика проведения пробы</w:t>
      </w:r>
      <w:bookmarkEnd w:id="180"/>
      <w:r w:rsidRPr="00985050">
        <w:rPr>
          <w:rFonts w:eastAsia="SimSun"/>
          <w:i/>
          <w:u w:val="single"/>
        </w:rPr>
        <w:t xml:space="preserve"> </w:t>
      </w:r>
    </w:p>
    <w:p w14:paraId="311C308A" w14:textId="77777777" w:rsidR="00124A26" w:rsidRPr="00C07B2E" w:rsidRDefault="00124A26" w:rsidP="00124A26">
      <w:pPr>
        <w:rPr>
          <w:rFonts w:eastAsia="SimSun"/>
        </w:rPr>
      </w:pPr>
      <w:r w:rsidRPr="00C07B2E">
        <w:rPr>
          <w:rFonts w:eastAsia="SimSun"/>
        </w:rPr>
        <w:t>На внутренней стороне предплечья, отступив на 5 см от лучезапястного сустава, проводится укол в кожу на глубину 1–1,5 мм через каплю неразведенного препарата. Для этого используют инъекционные иглы для в/к вливаний, имеющие ограничитель глубины. Если через 20 мин после накалывания кожи не происходит образования папулы или волдыря, следует продолжить тестирование путем в/к инъекции: кожу сгибательной поверхности предплечья или на спине обрабатывают 70% спиртом после чего туберкулиновым или инсулиновым шприцем вводят 0,02 мл препарата, разведенного 0,9% раствором натрия хлорида для инъекций в концентрации 1:1000 (по объему) с одновременной контрольной инъекцией 0,9% раствора натрия хлорида для инъекций в том же объеме на расстоянии 5 см. Оценка результатов производится через 20 мин. Образование волдыря в месте введения препарата диаметром, превышающим на 3 мм и более диаметр волдыря в месте контрольной инъекции с 0,9% раствора натрия хлорида, а также положительный накожный тест свидетельствуют о повышенной чувствительности к препарату и вероятности развития системной аллергической реакции при его в/в введении.</w:t>
      </w:r>
    </w:p>
    <w:p w14:paraId="217EDC2D" w14:textId="77777777" w:rsidR="00124A26" w:rsidRDefault="00124A26" w:rsidP="00124A26">
      <w:pPr>
        <w:rPr>
          <w:rFonts w:eastAsia="SimSun"/>
        </w:rPr>
      </w:pPr>
      <w:bookmarkStart w:id="181" w:name="_Toc44401136"/>
    </w:p>
    <w:p w14:paraId="1AD16D1D" w14:textId="77777777" w:rsidR="00124A26" w:rsidRPr="00985050" w:rsidRDefault="00124A26" w:rsidP="00124A26">
      <w:pPr>
        <w:rPr>
          <w:rFonts w:eastAsia="SimSun"/>
          <w:i/>
          <w:u w:val="single"/>
        </w:rPr>
      </w:pPr>
      <w:r w:rsidRPr="00985050">
        <w:rPr>
          <w:rFonts w:eastAsia="SimSun"/>
          <w:i/>
          <w:u w:val="single"/>
        </w:rPr>
        <w:t>Инфузия лошадиного АТГ</w:t>
      </w:r>
      <w:bookmarkEnd w:id="181"/>
      <w:r w:rsidRPr="00985050">
        <w:rPr>
          <w:rFonts w:eastAsia="SimSun"/>
          <w:i/>
          <w:u w:val="single"/>
        </w:rPr>
        <w:t xml:space="preserve"> </w:t>
      </w:r>
    </w:p>
    <w:p w14:paraId="6F539EF0" w14:textId="77777777" w:rsidR="00124A26" w:rsidRPr="00C07B2E" w:rsidRDefault="00124A26" w:rsidP="00124A26">
      <w:pPr>
        <w:rPr>
          <w:rFonts w:eastAsia="SimSun"/>
        </w:rPr>
      </w:pPr>
      <w:r w:rsidRPr="00C07B2E">
        <w:rPr>
          <w:rFonts w:eastAsia="SimSun"/>
        </w:rPr>
        <w:t>С целью снижения вероятности выпадения осадка суточная доза препарата АТГ делится на 2 приблизительно равные дозы. Рекомендуется подбирать дозы, кратные 250 мг (1 ампуле). Например, вес пациента 75 кг. Суточная доза 750 мг: утренняя — 500 мг, вечерняя — 250 мг.</w:t>
      </w:r>
    </w:p>
    <w:p w14:paraId="7605603C" w14:textId="77777777" w:rsidR="00124A26" w:rsidRPr="00C07B2E" w:rsidRDefault="00124A26" w:rsidP="00124A26">
      <w:pPr>
        <w:rPr>
          <w:rFonts w:eastAsia="SimSun"/>
        </w:rPr>
      </w:pPr>
      <w:r w:rsidRPr="00C07B2E">
        <w:rPr>
          <w:rFonts w:eastAsia="SimSun"/>
        </w:rPr>
        <w:t>Каждая доза препарата разводится на 0,9% растворе хлорида натрия в объеме 500 мл. Время введения каждой из доз препарата АТГ составляет 6 ч:</w:t>
      </w:r>
    </w:p>
    <w:p w14:paraId="4749D229" w14:textId="77777777" w:rsidR="00124A26" w:rsidRPr="00C07B2E" w:rsidRDefault="00124A26" w:rsidP="00124A26">
      <w:pPr>
        <w:rPr>
          <w:rFonts w:eastAsia="SimSun"/>
        </w:rPr>
      </w:pPr>
      <w:r w:rsidRPr="00C07B2E">
        <w:rPr>
          <w:rFonts w:eastAsia="SimSun"/>
        </w:rPr>
        <w:t>Утренняя доза — 10:00–16:00.</w:t>
      </w:r>
    </w:p>
    <w:p w14:paraId="76104C2D" w14:textId="77777777" w:rsidR="00124A26" w:rsidRPr="00C07B2E" w:rsidRDefault="00124A26" w:rsidP="00124A26">
      <w:pPr>
        <w:rPr>
          <w:rFonts w:eastAsia="SimSun"/>
        </w:rPr>
      </w:pPr>
      <w:r w:rsidRPr="00C07B2E">
        <w:rPr>
          <w:rFonts w:eastAsia="SimSun"/>
        </w:rPr>
        <w:t>Вечерняя доза — 17:00–23:00.</w:t>
      </w:r>
    </w:p>
    <w:p w14:paraId="6A476004" w14:textId="77777777" w:rsidR="00124A26" w:rsidRPr="00C07B2E" w:rsidRDefault="00124A26" w:rsidP="00124A26">
      <w:pPr>
        <w:rPr>
          <w:rFonts w:eastAsia="SimSun"/>
        </w:rPr>
      </w:pPr>
      <w:r w:rsidRPr="00C07B2E">
        <w:rPr>
          <w:rFonts w:eastAsia="SimSun"/>
        </w:rPr>
        <w:t>Введение препарата идет параллельно с введением метилпреднизолона в суммарной дозе 3 мг/кг (но не более 250 мг/сут). Началу инфузии препарата АТГ предшествует в/в болюсное введение 30 мг метилпреднизолона с последующей 13-часовой инфузией (с 10:00 по 23:00) оставшейся суточной дозы метилпреднизолона.</w:t>
      </w:r>
    </w:p>
    <w:p w14:paraId="4F3B7B74" w14:textId="77777777" w:rsidR="00124A26" w:rsidRPr="00C07B2E" w:rsidRDefault="00124A26" w:rsidP="00124A26">
      <w:pPr>
        <w:rPr>
          <w:rFonts w:eastAsia="SimSun"/>
        </w:rPr>
      </w:pPr>
    </w:p>
    <w:p w14:paraId="37FBF09A" w14:textId="77777777" w:rsidR="00124A26" w:rsidRPr="00985050" w:rsidRDefault="00124A26" w:rsidP="00124A26">
      <w:pPr>
        <w:rPr>
          <w:rFonts w:eastAsia="SimSun"/>
          <w:i/>
          <w:u w:val="single"/>
        </w:rPr>
      </w:pPr>
      <w:bookmarkStart w:id="182" w:name="_Toc44401137"/>
      <w:r w:rsidRPr="00985050">
        <w:rPr>
          <w:rFonts w:eastAsia="SimSun"/>
          <w:i/>
          <w:u w:val="single"/>
        </w:rPr>
        <w:t>Альтернативный способ введения лошадиного АТГ</w:t>
      </w:r>
      <w:bookmarkEnd w:id="182"/>
      <w:r w:rsidRPr="00985050">
        <w:rPr>
          <w:i/>
          <w:u w:val="single"/>
        </w:rPr>
        <w:t xml:space="preserve"> </w:t>
      </w:r>
    </w:p>
    <w:p w14:paraId="4E0160BF" w14:textId="77777777" w:rsidR="00124A26" w:rsidRPr="00C07B2E" w:rsidRDefault="00124A26" w:rsidP="00124A26">
      <w:r w:rsidRPr="00C07B2E">
        <w:t xml:space="preserve">Лошадиный АТГ разводится на 500 мл физиологического раствора.  В случае отрицательной кожной пробы проводится 12- часовая инфузия с премедикацией 1 мг/кг метилпреднизолона в\в капельно перед началом введения и через 6 часов после начала введения. В случае положительной кожной пробы доза солумедрола увеличивается до 2 мг/кг. В случае развития аллергической реакции на фоне введения введение препарата останавливается и вводится 2 мг/кг метилпреднизолона. Инфузия возобновляется с удлинением времени введения до 18 часов после разрешения симптомов аллергии. </w:t>
      </w:r>
    </w:p>
    <w:p w14:paraId="25E969B6" w14:textId="77777777" w:rsidR="00124A26" w:rsidRPr="00C07B2E" w:rsidRDefault="00124A26" w:rsidP="00124A26">
      <w:pPr>
        <w:rPr>
          <w:rFonts w:eastAsia="SimSun"/>
        </w:rPr>
      </w:pPr>
    </w:p>
    <w:p w14:paraId="06893B4B" w14:textId="77777777" w:rsidR="00124A26" w:rsidRPr="00985050" w:rsidRDefault="00124A26" w:rsidP="00124A26">
      <w:pPr>
        <w:rPr>
          <w:rFonts w:eastAsia="SimSun"/>
          <w:i/>
          <w:u w:val="single"/>
        </w:rPr>
      </w:pPr>
      <w:bookmarkStart w:id="183" w:name="_Toc44401138"/>
      <w:r w:rsidRPr="00985050">
        <w:rPr>
          <w:rFonts w:eastAsia="SimSun"/>
          <w:i/>
          <w:u w:val="single"/>
        </w:rPr>
        <w:t>Инфузия кроличьего АТГ</w:t>
      </w:r>
      <w:bookmarkEnd w:id="183"/>
    </w:p>
    <w:p w14:paraId="59B46D5C" w14:textId="77777777" w:rsidR="00124A26" w:rsidRPr="00C07B2E" w:rsidRDefault="00124A26" w:rsidP="00124A26">
      <w:r w:rsidRPr="00C07B2E">
        <w:t>Тимоглобулин (кроличий антитимоцитарный глобулин) вводится в течение 2-3 дней до трансплантации в дозе 2.5 мг/кг на введение (суммарная доза 5-7.5 мг/кг). Крайне желательно, чтобы дни введения не совпадали с днями приема бусульфана, например в -2 и -1 дни. Тимоглобулин разводится на 500 мл физиологического раствора.  Кожная проба при использовании Тимоглобулина не проводится. Премедикация перед введением – метилпреднизолон 2 мг/кг в</w:t>
      </w:r>
      <w:r>
        <w:t>/</w:t>
      </w:r>
      <w:r w:rsidRPr="00C07B2E">
        <w:t xml:space="preserve">в капельно. Первая доза вводится за 6 часов. Вторая за 4 часа. В случае развития аллергической реакции на фоне введения введение препарата останавливается и вводится 2 мг/кг метилпреднизолона. Оставшееся время введения удлиняется в два раза. </w:t>
      </w:r>
    </w:p>
    <w:p w14:paraId="5D35923A" w14:textId="77777777" w:rsidR="00124A26" w:rsidRPr="00C07B2E" w:rsidRDefault="00124A26" w:rsidP="00124A26">
      <w:r w:rsidRPr="00C07B2E">
        <w:t xml:space="preserve">Графалон (кроличий антитимоцитарный глобулин) вводится в течение 3 дней до трансплантации в дозе 20 мг/кг на введение (суммарная доза 60 мг/кг). Крайне желательно, чтобы дни введения не совпадали с днями приема бусульфана, например в -3, -2 и -1 дни. Графалон разводится на 500 мл физиологического раствора. Кожная проба не проводится. Премедикация перед введением – метилпреднизолон 2 мг/кг в\в капельно. Первая доза вводится за 6 часов. Вторая за 4 часа. В случае развития аллергической реакции на фоне введения введение препарата останавливается и вводится 2 мг/кг метилпреднизолона. Оставшееся время введения удлиняется в два раза.  </w:t>
      </w:r>
    </w:p>
    <w:p w14:paraId="6B37A731" w14:textId="77777777" w:rsidR="00124A26" w:rsidRDefault="00124A26" w:rsidP="00124A26">
      <w:pPr>
        <w:rPr>
          <w:rFonts w:eastAsia="SimSun"/>
        </w:rPr>
      </w:pPr>
      <w:bookmarkStart w:id="184" w:name="_Toc44401139"/>
    </w:p>
    <w:p w14:paraId="5115E0C3" w14:textId="77777777" w:rsidR="00124A26" w:rsidRPr="00470D3D" w:rsidRDefault="00124A26" w:rsidP="00124A26">
      <w:pPr>
        <w:rPr>
          <w:rFonts w:eastAsia="SimSun"/>
          <w:b/>
        </w:rPr>
      </w:pPr>
      <w:r>
        <w:rPr>
          <w:rFonts w:eastAsia="SimSun"/>
          <w:b/>
        </w:rPr>
        <w:t>5</w:t>
      </w:r>
      <w:r w:rsidRPr="00470D3D">
        <w:rPr>
          <w:rFonts w:eastAsia="SimSun"/>
          <w:b/>
        </w:rPr>
        <w:t>. Протоколы кондиционирования и профилактики РТПХ в зависимости от типа донора</w:t>
      </w:r>
      <w:bookmarkEnd w:id="184"/>
    </w:p>
    <w:p w14:paraId="4F5C6A49" w14:textId="77777777" w:rsidR="00124A26" w:rsidRPr="00985050" w:rsidRDefault="00124A26" w:rsidP="00124A26">
      <w:pPr>
        <w:rPr>
          <w:rFonts w:eastAsia="SimSun"/>
          <w:i/>
          <w:u w:val="single"/>
        </w:rPr>
      </w:pPr>
      <w:bookmarkStart w:id="185" w:name="_Toc44401140"/>
      <w:r>
        <w:rPr>
          <w:rFonts w:eastAsia="SimSun"/>
          <w:i/>
          <w:u w:val="single"/>
        </w:rPr>
        <w:t>5.</w:t>
      </w:r>
      <w:r w:rsidRPr="00985050">
        <w:rPr>
          <w:rFonts w:eastAsia="SimSun"/>
          <w:i/>
          <w:u w:val="single"/>
        </w:rPr>
        <w:t xml:space="preserve">1. Родственный </w:t>
      </w:r>
      <w:r w:rsidRPr="00985050">
        <w:rPr>
          <w:rFonts w:eastAsia="SimSun"/>
          <w:i/>
          <w:u w:val="single"/>
          <w:lang w:val="en-US"/>
        </w:rPr>
        <w:t>HLA</w:t>
      </w:r>
      <w:r w:rsidRPr="00985050">
        <w:rPr>
          <w:rFonts w:eastAsia="SimSun"/>
          <w:i/>
          <w:u w:val="single"/>
        </w:rPr>
        <w:t>-идентичный донор</w:t>
      </w:r>
      <w:bookmarkEnd w:id="185"/>
      <w:r w:rsidRPr="00985050">
        <w:rPr>
          <w:rFonts w:eastAsia="SimSun"/>
          <w:i/>
          <w:u w:val="single"/>
        </w:rPr>
        <w:t xml:space="preserve"> </w:t>
      </w:r>
    </w:p>
    <w:p w14:paraId="27665D5E" w14:textId="77777777" w:rsidR="00124A26" w:rsidRPr="00C07B2E" w:rsidRDefault="00124A26" w:rsidP="00124A26">
      <w:pPr>
        <w:rPr>
          <w:rFonts w:eastAsia="SimSun"/>
        </w:rPr>
      </w:pPr>
      <w:r w:rsidRPr="00C07B2E">
        <w:rPr>
          <w:rFonts w:eastAsia="SimSun"/>
        </w:rPr>
        <w:t xml:space="preserve">Схемы и режимы применения препаратов для кондиционирования и профилактики РТПХ указаны в Таблице </w:t>
      </w:r>
      <w:r>
        <w:rPr>
          <w:rFonts w:eastAsia="SimSun"/>
        </w:rPr>
        <w:t>5</w:t>
      </w:r>
      <w:r w:rsidRPr="00C07B2E">
        <w:rPr>
          <w:rFonts w:eastAsia="SimSun"/>
        </w:rPr>
        <w:t>.1.1</w:t>
      </w:r>
    </w:p>
    <w:p w14:paraId="1D18B9BD" w14:textId="77777777" w:rsidR="00124A26" w:rsidRPr="00C07B2E" w:rsidRDefault="00124A26" w:rsidP="00124A26">
      <w:pPr>
        <w:rPr>
          <w:rFonts w:eastAsia="SimSun"/>
        </w:rPr>
        <w:sectPr w:rsidR="00124A26" w:rsidRPr="00C07B2E" w:rsidSect="00124A26">
          <w:pgSz w:w="11907" w:h="16839" w:code="9"/>
          <w:pgMar w:top="1134" w:right="850" w:bottom="1134" w:left="1701" w:header="709" w:footer="567" w:gutter="0"/>
          <w:cols w:space="708"/>
          <w:docGrid w:linePitch="360"/>
        </w:sectPr>
      </w:pPr>
    </w:p>
    <w:p w14:paraId="589A524A" w14:textId="77777777" w:rsidR="00124A26" w:rsidRPr="00C07B2E" w:rsidRDefault="00124A26" w:rsidP="00124A26">
      <w:pPr>
        <w:rPr>
          <w:rFonts w:eastAsia="SimSun"/>
        </w:rPr>
      </w:pPr>
      <w:r w:rsidRPr="00C07B2E">
        <w:rPr>
          <w:rFonts w:eastAsia="SimSun"/>
        </w:rPr>
        <w:t xml:space="preserve">Таблица </w:t>
      </w:r>
      <w:r>
        <w:rPr>
          <w:rFonts w:eastAsia="SimSun"/>
        </w:rPr>
        <w:t>5</w:t>
      </w:r>
      <w:r w:rsidRPr="00C07B2E">
        <w:rPr>
          <w:rFonts w:eastAsia="SimSun"/>
        </w:rPr>
        <w:t xml:space="preserve">.1.1 Схемы и режимы применения препаратов для кондиционирования и профилактики РТПХ со ссылками на </w:t>
      </w:r>
      <w:r>
        <w:rPr>
          <w:rFonts w:eastAsia="SimSun"/>
        </w:rPr>
        <w:t>таблицы с описанием</w:t>
      </w:r>
    </w:p>
    <w:p w14:paraId="3353B76D" w14:textId="77777777" w:rsidR="00124A26" w:rsidRPr="00C07B2E" w:rsidRDefault="00124A26" w:rsidP="00124A26">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1"/>
        <w:gridCol w:w="809"/>
        <w:gridCol w:w="1222"/>
        <w:gridCol w:w="1659"/>
        <w:gridCol w:w="1539"/>
        <w:gridCol w:w="1713"/>
        <w:gridCol w:w="1713"/>
        <w:gridCol w:w="1713"/>
        <w:gridCol w:w="1919"/>
      </w:tblGrid>
      <w:tr w:rsidR="00124A26" w:rsidRPr="00C07B2E" w14:paraId="420DA04B" w14:textId="77777777" w:rsidTr="002D3EBF">
        <w:trPr>
          <w:cantSplit/>
          <w:trHeight w:val="664"/>
        </w:trPr>
        <w:tc>
          <w:tcPr>
            <w:tcW w:w="1408" w:type="pct"/>
            <w:gridSpan w:val="3"/>
            <w:vMerge w:val="restart"/>
            <w:shd w:val="clear" w:color="auto" w:fill="auto"/>
            <w:vAlign w:val="center"/>
          </w:tcPr>
          <w:p w14:paraId="2DB0A292" w14:textId="77777777" w:rsidR="00124A26" w:rsidRPr="00C07B2E" w:rsidRDefault="00124A26" w:rsidP="002D3EBF">
            <w:pPr>
              <w:ind w:firstLine="0"/>
              <w:rPr>
                <w:rFonts w:eastAsia="SimSun"/>
              </w:rPr>
            </w:pPr>
            <w:r w:rsidRPr="00C07B2E">
              <w:rPr>
                <w:rFonts w:eastAsia="SimSun"/>
              </w:rPr>
              <w:t>Профилактика РТПХ</w:t>
            </w:r>
          </w:p>
        </w:tc>
        <w:tc>
          <w:tcPr>
            <w:tcW w:w="3592" w:type="pct"/>
            <w:gridSpan w:val="6"/>
            <w:shd w:val="clear" w:color="auto" w:fill="auto"/>
            <w:vAlign w:val="center"/>
          </w:tcPr>
          <w:p w14:paraId="6C5989F0" w14:textId="77777777" w:rsidR="00124A26" w:rsidRPr="00C07B2E" w:rsidRDefault="00124A26" w:rsidP="002D3EBF">
            <w:pPr>
              <w:ind w:firstLine="0"/>
              <w:rPr>
                <w:rFonts w:eastAsia="SimSun"/>
              </w:rPr>
            </w:pPr>
            <w:r w:rsidRPr="00C07B2E">
              <w:rPr>
                <w:rFonts w:eastAsia="SimSun"/>
              </w:rPr>
              <w:t>Режим кондиционирования</w:t>
            </w:r>
          </w:p>
        </w:tc>
      </w:tr>
      <w:tr w:rsidR="00124A26" w:rsidRPr="00C07B2E" w14:paraId="7C98CBAA" w14:textId="77777777" w:rsidTr="002D3EBF">
        <w:trPr>
          <w:cantSplit/>
          <w:trHeight w:val="676"/>
        </w:trPr>
        <w:tc>
          <w:tcPr>
            <w:tcW w:w="1408" w:type="pct"/>
            <w:gridSpan w:val="3"/>
            <w:vMerge/>
            <w:shd w:val="clear" w:color="auto" w:fill="auto"/>
            <w:vAlign w:val="center"/>
          </w:tcPr>
          <w:p w14:paraId="1FCB2A80" w14:textId="77777777" w:rsidR="00124A26" w:rsidRPr="00C07B2E" w:rsidRDefault="00124A26" w:rsidP="002D3EBF">
            <w:pPr>
              <w:ind w:firstLine="0"/>
              <w:rPr>
                <w:rFonts w:eastAsia="SimSun"/>
              </w:rPr>
            </w:pPr>
          </w:p>
        </w:tc>
        <w:tc>
          <w:tcPr>
            <w:tcW w:w="1120" w:type="pct"/>
            <w:gridSpan w:val="2"/>
            <w:shd w:val="clear" w:color="auto" w:fill="BFBFBF"/>
            <w:vAlign w:val="center"/>
          </w:tcPr>
          <w:p w14:paraId="502A2E64" w14:textId="77777777" w:rsidR="00124A26" w:rsidRPr="00C07B2E" w:rsidRDefault="00124A26" w:rsidP="002D3EBF">
            <w:pPr>
              <w:ind w:firstLine="0"/>
              <w:rPr>
                <w:rFonts w:eastAsia="SimSun"/>
              </w:rPr>
            </w:pPr>
            <w:r w:rsidRPr="00C07B2E">
              <w:rPr>
                <w:rFonts w:eastAsia="SimSun"/>
                <w:lang w:val="en-US"/>
              </w:rPr>
              <w:t>Cy</w:t>
            </w:r>
            <w:r w:rsidRPr="00C07B2E">
              <w:rPr>
                <w:rFonts w:eastAsia="SimSun"/>
              </w:rPr>
              <w:t>120</w:t>
            </w:r>
          </w:p>
        </w:tc>
        <w:tc>
          <w:tcPr>
            <w:tcW w:w="600" w:type="pct"/>
            <w:shd w:val="clear" w:color="auto" w:fill="BFBFBF"/>
            <w:vAlign w:val="center"/>
          </w:tcPr>
          <w:p w14:paraId="7D428D83" w14:textId="77777777" w:rsidR="00124A26" w:rsidRPr="00C07B2E" w:rsidRDefault="00124A26" w:rsidP="002D3EBF">
            <w:pPr>
              <w:ind w:firstLine="0"/>
              <w:rPr>
                <w:rFonts w:eastAsia="SimSun"/>
              </w:rPr>
            </w:pPr>
            <w:r w:rsidRPr="00C07B2E">
              <w:rPr>
                <w:rFonts w:eastAsia="SimSun"/>
                <w:lang w:val="en-US"/>
              </w:rPr>
              <w:t>Flu</w:t>
            </w:r>
            <w:r w:rsidRPr="00C07B2E">
              <w:rPr>
                <w:rFonts w:eastAsia="SimSun"/>
              </w:rPr>
              <w:t>150</w:t>
            </w:r>
          </w:p>
        </w:tc>
        <w:tc>
          <w:tcPr>
            <w:tcW w:w="1872" w:type="pct"/>
            <w:gridSpan w:val="3"/>
            <w:shd w:val="clear" w:color="auto" w:fill="BFBFBF"/>
            <w:vAlign w:val="center"/>
          </w:tcPr>
          <w:p w14:paraId="7D3BDCF6" w14:textId="77777777" w:rsidR="00124A26" w:rsidRPr="00C07B2E" w:rsidRDefault="00124A26" w:rsidP="002D3EBF">
            <w:pPr>
              <w:ind w:firstLine="0"/>
              <w:rPr>
                <w:rFonts w:eastAsia="SimSun"/>
              </w:rPr>
            </w:pPr>
            <w:r w:rsidRPr="00C07B2E">
              <w:rPr>
                <w:rFonts w:eastAsia="SimSun"/>
                <w:lang w:val="en-US"/>
              </w:rPr>
              <w:t>Flu</w:t>
            </w:r>
            <w:r w:rsidRPr="00C07B2E">
              <w:rPr>
                <w:rFonts w:eastAsia="SimSun"/>
              </w:rPr>
              <w:t>180</w:t>
            </w:r>
          </w:p>
        </w:tc>
      </w:tr>
      <w:tr w:rsidR="00124A26" w:rsidRPr="00C07B2E" w14:paraId="66472888" w14:textId="77777777" w:rsidTr="002D3EBF">
        <w:trPr>
          <w:cantSplit/>
          <w:trHeight w:val="791"/>
        </w:trPr>
        <w:tc>
          <w:tcPr>
            <w:tcW w:w="1408" w:type="pct"/>
            <w:gridSpan w:val="3"/>
            <w:vMerge/>
            <w:shd w:val="clear" w:color="auto" w:fill="auto"/>
            <w:vAlign w:val="center"/>
          </w:tcPr>
          <w:p w14:paraId="0CCA342B" w14:textId="77777777" w:rsidR="00124A26" w:rsidRPr="00C07B2E" w:rsidRDefault="00124A26" w:rsidP="002D3EBF">
            <w:pPr>
              <w:ind w:firstLine="0"/>
              <w:rPr>
                <w:rFonts w:eastAsia="SimSun"/>
              </w:rPr>
            </w:pPr>
          </w:p>
        </w:tc>
        <w:tc>
          <w:tcPr>
            <w:tcW w:w="581" w:type="pct"/>
            <w:shd w:val="clear" w:color="auto" w:fill="BFBFBF"/>
            <w:vAlign w:val="center"/>
          </w:tcPr>
          <w:p w14:paraId="44400F64" w14:textId="77777777" w:rsidR="00124A26" w:rsidRPr="00C07B2E" w:rsidRDefault="00124A26" w:rsidP="002D3EBF">
            <w:pPr>
              <w:ind w:firstLine="0"/>
              <w:rPr>
                <w:rFonts w:eastAsia="SimSun"/>
              </w:rPr>
            </w:pPr>
            <w:r w:rsidRPr="00C07B2E">
              <w:rPr>
                <w:rFonts w:eastAsia="SimSun"/>
                <w:lang w:val="en-US"/>
              </w:rPr>
              <w:t>Bu</w:t>
            </w:r>
            <w:r w:rsidRPr="00C07B2E">
              <w:rPr>
                <w:rFonts w:eastAsia="SimSun"/>
              </w:rPr>
              <w:t>12</w:t>
            </w:r>
          </w:p>
        </w:tc>
        <w:tc>
          <w:tcPr>
            <w:tcW w:w="539" w:type="pct"/>
            <w:shd w:val="clear" w:color="auto" w:fill="BFBFBF"/>
            <w:vAlign w:val="center"/>
          </w:tcPr>
          <w:p w14:paraId="689B4AE3" w14:textId="77777777" w:rsidR="00124A26" w:rsidRPr="00C07B2E" w:rsidRDefault="00124A26" w:rsidP="002D3EBF">
            <w:pPr>
              <w:ind w:firstLine="0"/>
              <w:rPr>
                <w:rFonts w:eastAsia="SimSun"/>
              </w:rPr>
            </w:pPr>
            <w:r w:rsidRPr="00C07B2E">
              <w:rPr>
                <w:rFonts w:eastAsia="SimSun"/>
                <w:lang w:val="en-US"/>
              </w:rPr>
              <w:t>TBI</w:t>
            </w:r>
          </w:p>
        </w:tc>
        <w:tc>
          <w:tcPr>
            <w:tcW w:w="600" w:type="pct"/>
            <w:shd w:val="clear" w:color="auto" w:fill="BFBFBF"/>
            <w:vAlign w:val="center"/>
          </w:tcPr>
          <w:p w14:paraId="2894E552" w14:textId="77777777" w:rsidR="00124A26" w:rsidRPr="00C07B2E" w:rsidRDefault="00124A26" w:rsidP="002D3EBF">
            <w:pPr>
              <w:ind w:firstLine="0"/>
              <w:rPr>
                <w:rFonts w:eastAsia="SimSun"/>
              </w:rPr>
            </w:pPr>
            <w:r w:rsidRPr="00C07B2E">
              <w:rPr>
                <w:rFonts w:eastAsia="SimSun"/>
                <w:lang w:val="en-US"/>
              </w:rPr>
              <w:t>Bu</w:t>
            </w:r>
            <w:r w:rsidRPr="00C07B2E">
              <w:rPr>
                <w:rFonts w:eastAsia="SimSun"/>
              </w:rPr>
              <w:t>12</w:t>
            </w:r>
          </w:p>
        </w:tc>
        <w:tc>
          <w:tcPr>
            <w:tcW w:w="600" w:type="pct"/>
            <w:shd w:val="clear" w:color="auto" w:fill="BFBFBF"/>
            <w:vAlign w:val="center"/>
          </w:tcPr>
          <w:p w14:paraId="732E421E" w14:textId="77777777" w:rsidR="00124A26" w:rsidRPr="00C07B2E" w:rsidRDefault="00124A26" w:rsidP="002D3EBF">
            <w:pPr>
              <w:ind w:firstLine="0"/>
              <w:rPr>
                <w:rFonts w:eastAsia="SimSun"/>
              </w:rPr>
            </w:pPr>
            <w:r w:rsidRPr="00C07B2E">
              <w:rPr>
                <w:rFonts w:eastAsia="SimSun"/>
                <w:lang w:val="en-US"/>
              </w:rPr>
              <w:t>Bu</w:t>
            </w:r>
            <w:r w:rsidRPr="00C07B2E">
              <w:rPr>
                <w:rFonts w:eastAsia="SimSun"/>
              </w:rPr>
              <w:t>12</w:t>
            </w:r>
          </w:p>
        </w:tc>
        <w:tc>
          <w:tcPr>
            <w:tcW w:w="600" w:type="pct"/>
            <w:shd w:val="clear" w:color="auto" w:fill="BFBFBF"/>
            <w:vAlign w:val="center"/>
          </w:tcPr>
          <w:p w14:paraId="50AB761A" w14:textId="77777777" w:rsidR="00124A26" w:rsidRPr="00C07B2E" w:rsidRDefault="00124A26" w:rsidP="002D3EBF">
            <w:pPr>
              <w:ind w:firstLine="0"/>
              <w:rPr>
                <w:rFonts w:eastAsia="SimSun"/>
              </w:rPr>
            </w:pPr>
            <w:r w:rsidRPr="00C07B2E">
              <w:rPr>
                <w:rFonts w:eastAsia="SimSun"/>
                <w:lang w:val="en-US"/>
              </w:rPr>
              <w:t>Bu</w:t>
            </w:r>
            <w:r w:rsidRPr="00C07B2E">
              <w:rPr>
                <w:rFonts w:eastAsia="SimSun"/>
              </w:rPr>
              <w:t>14</w:t>
            </w:r>
          </w:p>
        </w:tc>
        <w:tc>
          <w:tcPr>
            <w:tcW w:w="672" w:type="pct"/>
            <w:shd w:val="clear" w:color="auto" w:fill="BFBFBF"/>
            <w:vAlign w:val="center"/>
          </w:tcPr>
          <w:p w14:paraId="5CDEB15D" w14:textId="77777777" w:rsidR="00124A26" w:rsidRPr="00C07B2E" w:rsidRDefault="00124A26" w:rsidP="002D3EBF">
            <w:pPr>
              <w:ind w:firstLine="0"/>
              <w:rPr>
                <w:rFonts w:eastAsia="SimSun"/>
              </w:rPr>
            </w:pPr>
            <w:r w:rsidRPr="00C07B2E">
              <w:rPr>
                <w:rFonts w:eastAsia="SimSun"/>
                <w:lang w:val="en-US"/>
              </w:rPr>
              <w:t>Treo</w:t>
            </w:r>
            <w:r w:rsidRPr="00C07B2E">
              <w:rPr>
                <w:rFonts w:eastAsia="SimSun"/>
              </w:rPr>
              <w:t>42</w:t>
            </w:r>
          </w:p>
        </w:tc>
      </w:tr>
      <w:tr w:rsidR="00124A26" w:rsidRPr="00C07B2E" w14:paraId="32358AEE" w14:textId="77777777" w:rsidTr="002D3EBF">
        <w:trPr>
          <w:cantSplit/>
          <w:trHeight w:val="1020"/>
        </w:trPr>
        <w:tc>
          <w:tcPr>
            <w:tcW w:w="697" w:type="pct"/>
            <w:shd w:val="clear" w:color="auto" w:fill="BFBFBF"/>
            <w:vAlign w:val="center"/>
          </w:tcPr>
          <w:p w14:paraId="52EACAE3" w14:textId="77777777" w:rsidR="00124A26" w:rsidRPr="00C07B2E" w:rsidRDefault="00124A26" w:rsidP="002D3EBF">
            <w:pPr>
              <w:ind w:firstLine="0"/>
              <w:rPr>
                <w:rFonts w:eastAsia="SimSun"/>
              </w:rPr>
            </w:pPr>
            <w:r w:rsidRPr="00C07B2E">
              <w:rPr>
                <w:rFonts w:eastAsia="SimSun"/>
              </w:rPr>
              <w:t>-</w:t>
            </w:r>
          </w:p>
        </w:tc>
        <w:tc>
          <w:tcPr>
            <w:tcW w:w="283" w:type="pct"/>
            <w:shd w:val="clear" w:color="auto" w:fill="BFBFBF"/>
            <w:vAlign w:val="center"/>
          </w:tcPr>
          <w:p w14:paraId="14764C5F" w14:textId="77777777" w:rsidR="00124A26" w:rsidRPr="00C07B2E" w:rsidRDefault="00124A26" w:rsidP="002D3EBF">
            <w:pPr>
              <w:ind w:firstLine="0"/>
              <w:rPr>
                <w:rFonts w:eastAsia="SimSun"/>
              </w:rPr>
            </w:pPr>
            <w:r w:rsidRPr="00C07B2E">
              <w:rPr>
                <w:rFonts w:eastAsia="SimSun"/>
                <w:lang w:val="en-US"/>
              </w:rPr>
              <w:t>CSA</w:t>
            </w:r>
          </w:p>
        </w:tc>
        <w:tc>
          <w:tcPr>
            <w:tcW w:w="428" w:type="pct"/>
            <w:shd w:val="clear" w:color="auto" w:fill="BFBFBF"/>
            <w:vAlign w:val="center"/>
          </w:tcPr>
          <w:p w14:paraId="195C8D30" w14:textId="77777777" w:rsidR="00124A26" w:rsidRPr="00C07B2E" w:rsidRDefault="00124A26" w:rsidP="002D3EBF">
            <w:pPr>
              <w:ind w:firstLine="0"/>
              <w:rPr>
                <w:rFonts w:eastAsia="SimSun"/>
              </w:rPr>
            </w:pPr>
            <w:r w:rsidRPr="00C07B2E">
              <w:rPr>
                <w:rFonts w:eastAsia="SimSun"/>
                <w:lang w:val="en-US"/>
              </w:rPr>
              <w:t>MTX</w:t>
            </w:r>
          </w:p>
        </w:tc>
        <w:tc>
          <w:tcPr>
            <w:tcW w:w="581" w:type="pct"/>
            <w:shd w:val="clear" w:color="auto" w:fill="auto"/>
            <w:vAlign w:val="center"/>
          </w:tcPr>
          <w:p w14:paraId="0EA13884" w14:textId="77777777" w:rsidR="00124A26" w:rsidRPr="00C07B2E" w:rsidRDefault="00124A26" w:rsidP="002D3EBF">
            <w:pPr>
              <w:ind w:firstLine="0"/>
              <w:rPr>
                <w:rFonts w:eastAsia="SimSun"/>
              </w:rPr>
            </w:pPr>
            <w:r>
              <w:rPr>
                <w:rFonts w:eastAsia="SimSun"/>
              </w:rPr>
              <w:t>5.</w:t>
            </w:r>
            <w:r w:rsidRPr="00C07B2E">
              <w:rPr>
                <w:rFonts w:eastAsia="SimSun"/>
              </w:rPr>
              <w:t>1.1.1</w:t>
            </w:r>
          </w:p>
        </w:tc>
        <w:tc>
          <w:tcPr>
            <w:tcW w:w="539" w:type="pct"/>
            <w:shd w:val="clear" w:color="auto" w:fill="auto"/>
            <w:vAlign w:val="center"/>
          </w:tcPr>
          <w:p w14:paraId="5A01DDC5" w14:textId="77777777" w:rsidR="00124A26" w:rsidRPr="00C07B2E" w:rsidRDefault="00124A26" w:rsidP="002D3EBF">
            <w:pPr>
              <w:ind w:firstLine="0"/>
              <w:rPr>
                <w:rFonts w:eastAsia="SimSun"/>
              </w:rPr>
            </w:pPr>
            <w:r>
              <w:rPr>
                <w:rFonts w:eastAsia="SimSun"/>
              </w:rPr>
              <w:t>5.</w:t>
            </w:r>
            <w:r w:rsidRPr="00C07B2E">
              <w:rPr>
                <w:rFonts w:eastAsia="SimSun"/>
              </w:rPr>
              <w:t>1.1.2</w:t>
            </w:r>
          </w:p>
        </w:tc>
        <w:tc>
          <w:tcPr>
            <w:tcW w:w="600" w:type="pct"/>
            <w:shd w:val="clear" w:color="auto" w:fill="auto"/>
            <w:vAlign w:val="center"/>
          </w:tcPr>
          <w:p w14:paraId="14A5A2CA" w14:textId="77777777" w:rsidR="00124A26" w:rsidRPr="00C07B2E" w:rsidRDefault="00124A26" w:rsidP="002D3EBF">
            <w:pPr>
              <w:ind w:firstLine="0"/>
            </w:pPr>
            <w:r w:rsidRPr="00C07B2E">
              <w:rPr>
                <w:rFonts w:eastAsia="SimSun"/>
              </w:rPr>
              <w:t>-</w:t>
            </w:r>
          </w:p>
        </w:tc>
        <w:tc>
          <w:tcPr>
            <w:tcW w:w="600" w:type="pct"/>
            <w:shd w:val="clear" w:color="auto" w:fill="auto"/>
            <w:vAlign w:val="center"/>
          </w:tcPr>
          <w:p w14:paraId="3162D927" w14:textId="77777777" w:rsidR="00124A26" w:rsidRPr="00C07B2E" w:rsidRDefault="00124A26" w:rsidP="002D3EBF">
            <w:pPr>
              <w:ind w:firstLine="0"/>
            </w:pPr>
            <w:r w:rsidRPr="00C07B2E">
              <w:rPr>
                <w:rFonts w:eastAsia="SimSun"/>
              </w:rPr>
              <w:t>-</w:t>
            </w:r>
          </w:p>
        </w:tc>
        <w:tc>
          <w:tcPr>
            <w:tcW w:w="600" w:type="pct"/>
            <w:shd w:val="clear" w:color="auto" w:fill="auto"/>
            <w:vAlign w:val="center"/>
          </w:tcPr>
          <w:p w14:paraId="383188BB" w14:textId="77777777" w:rsidR="00124A26" w:rsidRPr="00C07B2E" w:rsidRDefault="00124A26" w:rsidP="002D3EBF">
            <w:pPr>
              <w:ind w:firstLine="0"/>
            </w:pPr>
            <w:r w:rsidRPr="00C07B2E">
              <w:rPr>
                <w:rFonts w:eastAsia="SimSun"/>
              </w:rPr>
              <w:t>-</w:t>
            </w:r>
          </w:p>
        </w:tc>
        <w:tc>
          <w:tcPr>
            <w:tcW w:w="672" w:type="pct"/>
            <w:shd w:val="clear" w:color="auto" w:fill="auto"/>
            <w:vAlign w:val="center"/>
          </w:tcPr>
          <w:p w14:paraId="5F57466C" w14:textId="77777777" w:rsidR="00124A26" w:rsidRPr="00C07B2E" w:rsidRDefault="00124A26" w:rsidP="002D3EBF">
            <w:pPr>
              <w:ind w:firstLine="0"/>
            </w:pPr>
            <w:r w:rsidRPr="00C07B2E">
              <w:rPr>
                <w:rFonts w:eastAsia="SimSun"/>
              </w:rPr>
              <w:t>-</w:t>
            </w:r>
          </w:p>
        </w:tc>
      </w:tr>
      <w:tr w:rsidR="00124A26" w:rsidRPr="00C07B2E" w14:paraId="7F4DB725" w14:textId="77777777" w:rsidTr="002D3EBF">
        <w:trPr>
          <w:cantSplit/>
          <w:trHeight w:val="1020"/>
        </w:trPr>
        <w:tc>
          <w:tcPr>
            <w:tcW w:w="697" w:type="pct"/>
            <w:shd w:val="clear" w:color="auto" w:fill="BFBFBF"/>
            <w:vAlign w:val="center"/>
          </w:tcPr>
          <w:p w14:paraId="4B1FA34D" w14:textId="77777777" w:rsidR="00124A26" w:rsidRPr="00C07B2E" w:rsidRDefault="00124A26" w:rsidP="002D3EBF">
            <w:pPr>
              <w:ind w:firstLine="0"/>
              <w:rPr>
                <w:rFonts w:eastAsia="SimSun"/>
                <w:lang w:val="en-US"/>
              </w:rPr>
            </w:pPr>
            <w:r w:rsidRPr="00C07B2E">
              <w:rPr>
                <w:rFonts w:eastAsia="SimSun"/>
                <w:lang w:val="en-US"/>
              </w:rPr>
              <w:t>-</w:t>
            </w:r>
          </w:p>
        </w:tc>
        <w:tc>
          <w:tcPr>
            <w:tcW w:w="283" w:type="pct"/>
            <w:shd w:val="clear" w:color="auto" w:fill="BFBFBF"/>
            <w:vAlign w:val="center"/>
          </w:tcPr>
          <w:p w14:paraId="17C8AED2" w14:textId="77777777" w:rsidR="00124A26" w:rsidRPr="00C07B2E" w:rsidRDefault="00124A26" w:rsidP="002D3EBF">
            <w:pPr>
              <w:ind w:firstLine="0"/>
              <w:rPr>
                <w:rFonts w:eastAsia="SimSun"/>
                <w:lang w:val="en-US"/>
              </w:rPr>
            </w:pPr>
            <w:r w:rsidRPr="00C07B2E">
              <w:rPr>
                <w:rFonts w:eastAsia="SimSun"/>
                <w:lang w:val="en-US"/>
              </w:rPr>
              <w:t>Tx</w:t>
            </w:r>
          </w:p>
        </w:tc>
        <w:tc>
          <w:tcPr>
            <w:tcW w:w="428" w:type="pct"/>
            <w:shd w:val="clear" w:color="auto" w:fill="BFBFBF"/>
            <w:vAlign w:val="center"/>
          </w:tcPr>
          <w:p w14:paraId="08E76CB5" w14:textId="77777777" w:rsidR="00124A26" w:rsidRPr="00C07B2E" w:rsidRDefault="00124A26" w:rsidP="002D3EBF">
            <w:pPr>
              <w:ind w:firstLine="0"/>
              <w:rPr>
                <w:rFonts w:eastAsia="SimSun"/>
                <w:lang w:val="en-US"/>
              </w:rPr>
            </w:pPr>
            <w:r w:rsidRPr="00C07B2E">
              <w:rPr>
                <w:rFonts w:eastAsia="SimSun"/>
                <w:lang w:val="en-US"/>
              </w:rPr>
              <w:t>MMF30</w:t>
            </w:r>
          </w:p>
        </w:tc>
        <w:tc>
          <w:tcPr>
            <w:tcW w:w="581" w:type="pct"/>
            <w:shd w:val="clear" w:color="auto" w:fill="auto"/>
            <w:vAlign w:val="center"/>
          </w:tcPr>
          <w:p w14:paraId="31421AFF" w14:textId="77777777" w:rsidR="00124A26" w:rsidRPr="00C07B2E" w:rsidRDefault="00124A26" w:rsidP="002D3EBF">
            <w:pPr>
              <w:ind w:firstLine="0"/>
            </w:pPr>
            <w:r w:rsidRPr="00C07B2E">
              <w:rPr>
                <w:rFonts w:eastAsia="SimSun"/>
              </w:rPr>
              <w:t>-</w:t>
            </w:r>
          </w:p>
        </w:tc>
        <w:tc>
          <w:tcPr>
            <w:tcW w:w="539" w:type="pct"/>
            <w:shd w:val="clear" w:color="auto" w:fill="auto"/>
            <w:vAlign w:val="center"/>
          </w:tcPr>
          <w:p w14:paraId="501267CD" w14:textId="77777777" w:rsidR="00124A26" w:rsidRPr="00C07B2E" w:rsidRDefault="00124A26" w:rsidP="002D3EBF">
            <w:pPr>
              <w:ind w:firstLine="0"/>
            </w:pPr>
            <w:r w:rsidRPr="00C07B2E">
              <w:rPr>
                <w:rFonts w:eastAsia="SimSun"/>
              </w:rPr>
              <w:t>-</w:t>
            </w:r>
          </w:p>
        </w:tc>
        <w:tc>
          <w:tcPr>
            <w:tcW w:w="600" w:type="pct"/>
            <w:shd w:val="clear" w:color="auto" w:fill="auto"/>
            <w:vAlign w:val="center"/>
          </w:tcPr>
          <w:p w14:paraId="6D250208" w14:textId="77777777" w:rsidR="00124A26" w:rsidRPr="00C07B2E" w:rsidRDefault="00124A26" w:rsidP="002D3EBF">
            <w:pPr>
              <w:ind w:firstLine="0"/>
            </w:pPr>
            <w:r w:rsidRPr="00C07B2E">
              <w:rPr>
                <w:rFonts w:eastAsia="SimSun"/>
              </w:rPr>
              <w:t>-</w:t>
            </w:r>
          </w:p>
        </w:tc>
        <w:tc>
          <w:tcPr>
            <w:tcW w:w="600" w:type="pct"/>
            <w:shd w:val="clear" w:color="auto" w:fill="auto"/>
            <w:vAlign w:val="center"/>
          </w:tcPr>
          <w:p w14:paraId="3FCBCF96" w14:textId="77777777" w:rsidR="00124A26" w:rsidRPr="00C07B2E" w:rsidRDefault="00124A26" w:rsidP="002D3EBF">
            <w:pPr>
              <w:ind w:firstLine="0"/>
              <w:rPr>
                <w:rFonts w:eastAsia="SimSun"/>
                <w:lang w:val="en-US"/>
              </w:rPr>
            </w:pPr>
            <w:r>
              <w:rPr>
                <w:rFonts w:eastAsia="SimSun"/>
                <w:lang w:val="en-US"/>
              </w:rPr>
              <w:t>5.</w:t>
            </w:r>
            <w:r w:rsidRPr="00C07B2E">
              <w:rPr>
                <w:rFonts w:eastAsia="SimSun"/>
                <w:lang w:val="en-US"/>
              </w:rPr>
              <w:t>1.1.4</w:t>
            </w:r>
          </w:p>
        </w:tc>
        <w:tc>
          <w:tcPr>
            <w:tcW w:w="600" w:type="pct"/>
            <w:shd w:val="clear" w:color="auto" w:fill="auto"/>
            <w:vAlign w:val="center"/>
          </w:tcPr>
          <w:p w14:paraId="08E78FE0" w14:textId="77777777" w:rsidR="00124A26" w:rsidRPr="00C07B2E" w:rsidRDefault="00124A26" w:rsidP="002D3EBF">
            <w:pPr>
              <w:ind w:firstLine="0"/>
              <w:rPr>
                <w:rFonts w:eastAsia="SimSun"/>
                <w:lang w:val="en-US"/>
              </w:rPr>
            </w:pPr>
            <w:r>
              <w:rPr>
                <w:rFonts w:eastAsia="SimSun"/>
                <w:lang w:val="en-US"/>
              </w:rPr>
              <w:t>5.</w:t>
            </w:r>
            <w:r w:rsidRPr="00C07B2E">
              <w:rPr>
                <w:rFonts w:eastAsia="SimSun"/>
                <w:lang w:val="en-US"/>
              </w:rPr>
              <w:t>1.1.11</w:t>
            </w:r>
          </w:p>
        </w:tc>
        <w:tc>
          <w:tcPr>
            <w:tcW w:w="672" w:type="pct"/>
            <w:shd w:val="clear" w:color="auto" w:fill="auto"/>
            <w:vAlign w:val="center"/>
          </w:tcPr>
          <w:p w14:paraId="36874ACF" w14:textId="77777777" w:rsidR="00124A26" w:rsidRPr="00C07B2E" w:rsidRDefault="00124A26" w:rsidP="002D3EBF">
            <w:pPr>
              <w:ind w:firstLine="0"/>
              <w:rPr>
                <w:rFonts w:eastAsia="SimSun"/>
                <w:lang w:val="en-US"/>
              </w:rPr>
            </w:pPr>
            <w:r>
              <w:rPr>
                <w:rFonts w:eastAsia="SimSun"/>
                <w:lang w:val="en-US"/>
              </w:rPr>
              <w:t>5.</w:t>
            </w:r>
            <w:r w:rsidRPr="00C07B2E">
              <w:rPr>
                <w:rFonts w:eastAsia="SimSun"/>
                <w:lang w:val="en-US"/>
              </w:rPr>
              <w:t>1.1.12</w:t>
            </w:r>
          </w:p>
        </w:tc>
      </w:tr>
      <w:tr w:rsidR="00124A26" w:rsidRPr="00C07B2E" w14:paraId="647C4305" w14:textId="77777777" w:rsidTr="002D3EBF">
        <w:trPr>
          <w:cantSplit/>
          <w:trHeight w:val="1020"/>
        </w:trPr>
        <w:tc>
          <w:tcPr>
            <w:tcW w:w="697" w:type="pct"/>
            <w:vMerge w:val="restart"/>
            <w:shd w:val="clear" w:color="auto" w:fill="BFBFBF"/>
            <w:vAlign w:val="center"/>
          </w:tcPr>
          <w:p w14:paraId="6377FF60" w14:textId="77777777" w:rsidR="00124A26" w:rsidRPr="00C07B2E" w:rsidRDefault="00124A26" w:rsidP="002D3EBF">
            <w:pPr>
              <w:ind w:firstLine="0"/>
              <w:rPr>
                <w:rFonts w:eastAsia="SimSun"/>
                <w:lang w:val="en-US"/>
              </w:rPr>
            </w:pPr>
            <w:r w:rsidRPr="00C07B2E">
              <w:rPr>
                <w:rFonts w:eastAsia="SimSun"/>
                <w:lang w:val="en-US"/>
              </w:rPr>
              <w:t>PT-Cy</w:t>
            </w:r>
          </w:p>
          <w:p w14:paraId="0D8CE650" w14:textId="77777777" w:rsidR="00124A26" w:rsidRPr="00C07B2E" w:rsidRDefault="00124A26" w:rsidP="002D3EBF">
            <w:pPr>
              <w:ind w:firstLine="0"/>
              <w:rPr>
                <w:rFonts w:eastAsia="SimSun"/>
                <w:lang w:val="en-US"/>
              </w:rPr>
            </w:pPr>
          </w:p>
        </w:tc>
        <w:tc>
          <w:tcPr>
            <w:tcW w:w="283" w:type="pct"/>
            <w:shd w:val="clear" w:color="auto" w:fill="BFBFBF"/>
            <w:vAlign w:val="center"/>
          </w:tcPr>
          <w:p w14:paraId="716C35C5" w14:textId="77777777" w:rsidR="00124A26" w:rsidRPr="00C07B2E" w:rsidRDefault="00124A26" w:rsidP="002D3EBF">
            <w:pPr>
              <w:ind w:firstLine="0"/>
              <w:rPr>
                <w:rFonts w:eastAsia="SimSun"/>
                <w:lang w:val="en-US"/>
              </w:rPr>
            </w:pPr>
            <w:r w:rsidRPr="00C07B2E">
              <w:rPr>
                <w:rFonts w:eastAsia="SimSun"/>
                <w:lang w:val="en-US"/>
              </w:rPr>
              <w:t>-</w:t>
            </w:r>
          </w:p>
        </w:tc>
        <w:tc>
          <w:tcPr>
            <w:tcW w:w="428" w:type="pct"/>
            <w:shd w:val="clear" w:color="auto" w:fill="BFBFBF"/>
            <w:vAlign w:val="center"/>
          </w:tcPr>
          <w:p w14:paraId="5F57B4EF" w14:textId="77777777" w:rsidR="00124A26" w:rsidRPr="00C07B2E" w:rsidRDefault="00124A26" w:rsidP="002D3EBF">
            <w:pPr>
              <w:ind w:firstLine="0"/>
              <w:rPr>
                <w:rFonts w:eastAsia="SimSun"/>
                <w:lang w:val="en-US"/>
              </w:rPr>
            </w:pPr>
            <w:r w:rsidRPr="00C07B2E">
              <w:rPr>
                <w:rFonts w:eastAsia="SimSun"/>
                <w:lang w:val="en-US"/>
              </w:rPr>
              <w:t>-</w:t>
            </w:r>
          </w:p>
        </w:tc>
        <w:tc>
          <w:tcPr>
            <w:tcW w:w="581" w:type="pct"/>
            <w:shd w:val="clear" w:color="auto" w:fill="auto"/>
            <w:vAlign w:val="center"/>
          </w:tcPr>
          <w:p w14:paraId="42C52418" w14:textId="77777777" w:rsidR="00124A26" w:rsidRPr="00C07B2E" w:rsidRDefault="00124A26" w:rsidP="002D3EBF">
            <w:pPr>
              <w:ind w:firstLine="0"/>
            </w:pPr>
            <w:r w:rsidRPr="00C07B2E">
              <w:rPr>
                <w:rFonts w:eastAsia="SimSun"/>
              </w:rPr>
              <w:t>-</w:t>
            </w:r>
          </w:p>
        </w:tc>
        <w:tc>
          <w:tcPr>
            <w:tcW w:w="539" w:type="pct"/>
            <w:shd w:val="clear" w:color="auto" w:fill="auto"/>
            <w:vAlign w:val="center"/>
          </w:tcPr>
          <w:p w14:paraId="20067C72" w14:textId="77777777" w:rsidR="00124A26" w:rsidRPr="00C07B2E" w:rsidRDefault="00124A26" w:rsidP="002D3EBF">
            <w:pPr>
              <w:ind w:firstLine="0"/>
            </w:pPr>
            <w:r w:rsidRPr="00C07B2E">
              <w:rPr>
                <w:rFonts w:eastAsia="SimSun"/>
              </w:rPr>
              <w:t>-</w:t>
            </w:r>
          </w:p>
        </w:tc>
        <w:tc>
          <w:tcPr>
            <w:tcW w:w="600" w:type="pct"/>
            <w:shd w:val="clear" w:color="auto" w:fill="auto"/>
            <w:vAlign w:val="center"/>
          </w:tcPr>
          <w:p w14:paraId="33E0DF15" w14:textId="77777777" w:rsidR="00124A26" w:rsidRPr="00C07B2E" w:rsidRDefault="00124A26" w:rsidP="002D3EBF">
            <w:pPr>
              <w:ind w:firstLine="0"/>
            </w:pPr>
            <w:r w:rsidRPr="00C07B2E">
              <w:rPr>
                <w:rFonts w:eastAsia="SimSun"/>
              </w:rPr>
              <w:t>-</w:t>
            </w:r>
          </w:p>
        </w:tc>
        <w:tc>
          <w:tcPr>
            <w:tcW w:w="600" w:type="pct"/>
            <w:shd w:val="clear" w:color="auto" w:fill="auto"/>
            <w:vAlign w:val="center"/>
          </w:tcPr>
          <w:p w14:paraId="54DAEEE9" w14:textId="77777777" w:rsidR="00124A26" w:rsidRPr="00C07B2E" w:rsidRDefault="00124A26" w:rsidP="002D3EBF">
            <w:pPr>
              <w:ind w:firstLine="0"/>
              <w:rPr>
                <w:rFonts w:eastAsia="SimSun"/>
                <w:lang w:val="en-US"/>
              </w:rPr>
            </w:pPr>
            <w:r>
              <w:rPr>
                <w:rFonts w:eastAsia="SimSun"/>
                <w:lang w:val="en-US"/>
              </w:rPr>
              <w:t>5.</w:t>
            </w:r>
            <w:r w:rsidRPr="00C07B2E">
              <w:rPr>
                <w:rFonts w:eastAsia="SimSun"/>
                <w:lang w:val="en-US"/>
              </w:rPr>
              <w:t>1.1.5</w:t>
            </w:r>
          </w:p>
        </w:tc>
        <w:tc>
          <w:tcPr>
            <w:tcW w:w="600" w:type="pct"/>
            <w:shd w:val="clear" w:color="auto" w:fill="auto"/>
            <w:vAlign w:val="center"/>
          </w:tcPr>
          <w:p w14:paraId="6E0C4904" w14:textId="77777777" w:rsidR="00124A26" w:rsidRPr="00C07B2E" w:rsidRDefault="00124A26" w:rsidP="002D3EBF">
            <w:pPr>
              <w:ind w:firstLine="0"/>
              <w:rPr>
                <w:rFonts w:eastAsia="SimSun"/>
                <w:lang w:val="en-US"/>
              </w:rPr>
            </w:pPr>
            <w:r>
              <w:rPr>
                <w:rFonts w:eastAsia="SimSun"/>
                <w:lang w:val="en-US"/>
              </w:rPr>
              <w:t>5.</w:t>
            </w:r>
            <w:r w:rsidRPr="00C07B2E">
              <w:rPr>
                <w:rFonts w:eastAsia="SimSun"/>
                <w:lang w:val="en-US"/>
              </w:rPr>
              <w:t>1.1.8</w:t>
            </w:r>
          </w:p>
        </w:tc>
        <w:tc>
          <w:tcPr>
            <w:tcW w:w="672" w:type="pct"/>
            <w:shd w:val="clear" w:color="auto" w:fill="auto"/>
            <w:vAlign w:val="center"/>
          </w:tcPr>
          <w:p w14:paraId="685A1FA1" w14:textId="77777777" w:rsidR="00124A26" w:rsidRPr="00C07B2E" w:rsidRDefault="00124A26" w:rsidP="002D3EBF">
            <w:pPr>
              <w:ind w:firstLine="0"/>
            </w:pPr>
            <w:r w:rsidRPr="00C07B2E">
              <w:rPr>
                <w:rFonts w:eastAsia="SimSun"/>
              </w:rPr>
              <w:t>-</w:t>
            </w:r>
          </w:p>
        </w:tc>
      </w:tr>
      <w:tr w:rsidR="00124A26" w:rsidRPr="00C07B2E" w14:paraId="2856D0AE" w14:textId="77777777" w:rsidTr="002D3EBF">
        <w:trPr>
          <w:cantSplit/>
          <w:trHeight w:val="1020"/>
        </w:trPr>
        <w:tc>
          <w:tcPr>
            <w:tcW w:w="697" w:type="pct"/>
            <w:vMerge/>
            <w:shd w:val="clear" w:color="auto" w:fill="BFBFBF"/>
            <w:vAlign w:val="center"/>
          </w:tcPr>
          <w:p w14:paraId="0E24075D" w14:textId="77777777" w:rsidR="00124A26" w:rsidRPr="00C07B2E" w:rsidRDefault="00124A26" w:rsidP="002D3EBF">
            <w:pPr>
              <w:ind w:firstLine="0"/>
              <w:rPr>
                <w:rFonts w:eastAsia="SimSun"/>
                <w:lang w:val="en-US"/>
              </w:rPr>
            </w:pPr>
          </w:p>
        </w:tc>
        <w:tc>
          <w:tcPr>
            <w:tcW w:w="283" w:type="pct"/>
            <w:vMerge w:val="restart"/>
            <w:shd w:val="clear" w:color="auto" w:fill="BFBFBF"/>
            <w:vAlign w:val="center"/>
          </w:tcPr>
          <w:p w14:paraId="173B2785" w14:textId="77777777" w:rsidR="00124A26" w:rsidRPr="00C07B2E" w:rsidRDefault="00124A26" w:rsidP="002D3EBF">
            <w:pPr>
              <w:ind w:firstLine="0"/>
              <w:rPr>
                <w:rFonts w:eastAsia="SimSun"/>
              </w:rPr>
            </w:pPr>
            <w:r w:rsidRPr="00C07B2E">
              <w:rPr>
                <w:rFonts w:eastAsia="SimSun"/>
                <w:lang w:val="en-US"/>
              </w:rPr>
              <w:t>CSA</w:t>
            </w:r>
          </w:p>
          <w:p w14:paraId="5367DDA6" w14:textId="77777777" w:rsidR="00124A26" w:rsidRPr="00C07B2E" w:rsidRDefault="00124A26" w:rsidP="002D3EBF">
            <w:pPr>
              <w:ind w:firstLine="0"/>
              <w:rPr>
                <w:rFonts w:eastAsia="SimSun"/>
              </w:rPr>
            </w:pPr>
          </w:p>
        </w:tc>
        <w:tc>
          <w:tcPr>
            <w:tcW w:w="428" w:type="pct"/>
            <w:shd w:val="clear" w:color="auto" w:fill="BFBFBF"/>
            <w:vAlign w:val="center"/>
          </w:tcPr>
          <w:p w14:paraId="52AF1C52" w14:textId="77777777" w:rsidR="00124A26" w:rsidRPr="00C07B2E" w:rsidRDefault="00124A26" w:rsidP="002D3EBF">
            <w:pPr>
              <w:ind w:firstLine="0"/>
              <w:rPr>
                <w:rFonts w:eastAsia="SimSun"/>
              </w:rPr>
            </w:pPr>
            <w:r w:rsidRPr="00C07B2E">
              <w:rPr>
                <w:rFonts w:eastAsia="SimSun"/>
                <w:lang w:val="en-US"/>
              </w:rPr>
              <w:t>MMF30</w:t>
            </w:r>
          </w:p>
        </w:tc>
        <w:tc>
          <w:tcPr>
            <w:tcW w:w="581" w:type="pct"/>
            <w:shd w:val="clear" w:color="auto" w:fill="auto"/>
            <w:vAlign w:val="center"/>
          </w:tcPr>
          <w:p w14:paraId="22DE48A9" w14:textId="77777777" w:rsidR="00124A26" w:rsidRPr="00C07B2E" w:rsidRDefault="00124A26" w:rsidP="002D3EBF">
            <w:pPr>
              <w:ind w:firstLine="0"/>
            </w:pPr>
            <w:r w:rsidRPr="00C07B2E">
              <w:rPr>
                <w:rFonts w:eastAsia="SimSun"/>
              </w:rPr>
              <w:t>-</w:t>
            </w:r>
          </w:p>
        </w:tc>
        <w:tc>
          <w:tcPr>
            <w:tcW w:w="539" w:type="pct"/>
            <w:shd w:val="clear" w:color="auto" w:fill="auto"/>
            <w:vAlign w:val="center"/>
          </w:tcPr>
          <w:p w14:paraId="44965130" w14:textId="77777777" w:rsidR="00124A26" w:rsidRPr="00C07B2E" w:rsidRDefault="00124A26" w:rsidP="002D3EBF">
            <w:pPr>
              <w:ind w:firstLine="0"/>
            </w:pPr>
            <w:r w:rsidRPr="00C07B2E">
              <w:rPr>
                <w:rFonts w:eastAsia="SimSun"/>
              </w:rPr>
              <w:t>-</w:t>
            </w:r>
          </w:p>
        </w:tc>
        <w:tc>
          <w:tcPr>
            <w:tcW w:w="600" w:type="pct"/>
            <w:shd w:val="clear" w:color="auto" w:fill="auto"/>
            <w:vAlign w:val="center"/>
          </w:tcPr>
          <w:p w14:paraId="55B57774" w14:textId="77777777" w:rsidR="00124A26" w:rsidRPr="00C07B2E" w:rsidRDefault="00124A26" w:rsidP="002D3EBF">
            <w:pPr>
              <w:ind w:firstLine="0"/>
            </w:pPr>
            <w:r w:rsidRPr="00C07B2E">
              <w:rPr>
                <w:rFonts w:eastAsia="SimSun"/>
              </w:rPr>
              <w:t>-</w:t>
            </w:r>
          </w:p>
        </w:tc>
        <w:tc>
          <w:tcPr>
            <w:tcW w:w="600" w:type="pct"/>
            <w:shd w:val="clear" w:color="auto" w:fill="auto"/>
            <w:vAlign w:val="center"/>
          </w:tcPr>
          <w:p w14:paraId="2DB46EE4" w14:textId="77777777" w:rsidR="00124A26" w:rsidRPr="00C07B2E" w:rsidRDefault="00124A26" w:rsidP="002D3EBF">
            <w:pPr>
              <w:ind w:firstLine="0"/>
              <w:rPr>
                <w:rFonts w:eastAsia="SimSun"/>
                <w:lang w:val="en-US"/>
              </w:rPr>
            </w:pPr>
            <w:r>
              <w:rPr>
                <w:rFonts w:eastAsia="SimSun"/>
                <w:lang w:val="en-US"/>
              </w:rPr>
              <w:t>5.</w:t>
            </w:r>
            <w:r w:rsidRPr="00C07B2E">
              <w:rPr>
                <w:rFonts w:eastAsia="SimSun"/>
                <w:lang w:val="en-US"/>
              </w:rPr>
              <w:t>1.1.7</w:t>
            </w:r>
          </w:p>
        </w:tc>
        <w:tc>
          <w:tcPr>
            <w:tcW w:w="600" w:type="pct"/>
            <w:shd w:val="clear" w:color="auto" w:fill="auto"/>
            <w:vAlign w:val="center"/>
          </w:tcPr>
          <w:p w14:paraId="7E0EDAD2" w14:textId="77777777" w:rsidR="00124A26" w:rsidRPr="00C07B2E" w:rsidRDefault="00124A26" w:rsidP="002D3EBF">
            <w:pPr>
              <w:ind w:firstLine="0"/>
              <w:rPr>
                <w:rFonts w:eastAsia="SimSun"/>
                <w:lang w:val="en-US"/>
              </w:rPr>
            </w:pPr>
            <w:r>
              <w:rPr>
                <w:rFonts w:eastAsia="SimSun"/>
                <w:lang w:val="en-US"/>
              </w:rPr>
              <w:t>5.</w:t>
            </w:r>
            <w:r w:rsidRPr="00C07B2E">
              <w:rPr>
                <w:rFonts w:eastAsia="SimSun"/>
                <w:lang w:val="en-US"/>
              </w:rPr>
              <w:t>1.1.10</w:t>
            </w:r>
          </w:p>
        </w:tc>
        <w:tc>
          <w:tcPr>
            <w:tcW w:w="672" w:type="pct"/>
            <w:shd w:val="clear" w:color="auto" w:fill="auto"/>
            <w:vAlign w:val="center"/>
          </w:tcPr>
          <w:p w14:paraId="1AED9AC2" w14:textId="77777777" w:rsidR="00124A26" w:rsidRPr="00C07B2E" w:rsidRDefault="00124A26" w:rsidP="002D3EBF">
            <w:pPr>
              <w:ind w:firstLine="0"/>
            </w:pPr>
            <w:r w:rsidRPr="00C07B2E">
              <w:rPr>
                <w:rFonts w:eastAsia="SimSun"/>
              </w:rPr>
              <w:t>-</w:t>
            </w:r>
          </w:p>
        </w:tc>
      </w:tr>
      <w:tr w:rsidR="00124A26" w:rsidRPr="00C07B2E" w14:paraId="65E215F0" w14:textId="77777777" w:rsidTr="002D3EBF">
        <w:trPr>
          <w:cantSplit/>
          <w:trHeight w:val="1020"/>
        </w:trPr>
        <w:tc>
          <w:tcPr>
            <w:tcW w:w="697" w:type="pct"/>
            <w:vMerge/>
            <w:shd w:val="clear" w:color="auto" w:fill="BFBFBF"/>
            <w:vAlign w:val="center"/>
          </w:tcPr>
          <w:p w14:paraId="259072A3" w14:textId="77777777" w:rsidR="00124A26" w:rsidRPr="00C07B2E" w:rsidRDefault="00124A26" w:rsidP="002D3EBF">
            <w:pPr>
              <w:ind w:firstLine="0"/>
              <w:rPr>
                <w:rFonts w:eastAsia="SimSun"/>
                <w:lang w:val="en-US"/>
              </w:rPr>
            </w:pPr>
          </w:p>
        </w:tc>
        <w:tc>
          <w:tcPr>
            <w:tcW w:w="283" w:type="pct"/>
            <w:vMerge/>
            <w:shd w:val="clear" w:color="auto" w:fill="BFBFBF"/>
            <w:vAlign w:val="center"/>
          </w:tcPr>
          <w:p w14:paraId="318A9F5F" w14:textId="77777777" w:rsidR="00124A26" w:rsidRPr="00C07B2E" w:rsidRDefault="00124A26" w:rsidP="002D3EBF">
            <w:pPr>
              <w:ind w:firstLine="0"/>
              <w:rPr>
                <w:rFonts w:eastAsia="SimSun"/>
                <w:lang w:val="en-US"/>
              </w:rPr>
            </w:pPr>
          </w:p>
        </w:tc>
        <w:tc>
          <w:tcPr>
            <w:tcW w:w="428" w:type="pct"/>
            <w:shd w:val="clear" w:color="auto" w:fill="BFBFBF"/>
            <w:vAlign w:val="center"/>
          </w:tcPr>
          <w:p w14:paraId="2E10D648" w14:textId="77777777" w:rsidR="00124A26" w:rsidRPr="00C07B2E" w:rsidRDefault="00124A26" w:rsidP="002D3EBF">
            <w:pPr>
              <w:ind w:firstLine="0"/>
              <w:rPr>
                <w:rFonts w:eastAsia="SimSun"/>
                <w:lang w:val="en-US"/>
              </w:rPr>
            </w:pPr>
            <w:r w:rsidRPr="00C07B2E">
              <w:rPr>
                <w:rFonts w:eastAsia="SimSun"/>
                <w:lang w:val="en-US"/>
              </w:rPr>
              <w:t>MMF45</w:t>
            </w:r>
          </w:p>
        </w:tc>
        <w:tc>
          <w:tcPr>
            <w:tcW w:w="581" w:type="pct"/>
            <w:shd w:val="clear" w:color="auto" w:fill="auto"/>
            <w:vAlign w:val="center"/>
          </w:tcPr>
          <w:p w14:paraId="56F948AB" w14:textId="77777777" w:rsidR="00124A26" w:rsidRPr="00C07B2E" w:rsidRDefault="00124A26" w:rsidP="002D3EBF">
            <w:pPr>
              <w:ind w:firstLine="0"/>
            </w:pPr>
            <w:r w:rsidRPr="00C07B2E">
              <w:rPr>
                <w:rFonts w:eastAsia="SimSun"/>
              </w:rPr>
              <w:t>-</w:t>
            </w:r>
          </w:p>
        </w:tc>
        <w:tc>
          <w:tcPr>
            <w:tcW w:w="539" w:type="pct"/>
            <w:shd w:val="clear" w:color="auto" w:fill="auto"/>
            <w:vAlign w:val="center"/>
          </w:tcPr>
          <w:p w14:paraId="3465B106" w14:textId="77777777" w:rsidR="00124A26" w:rsidRPr="00C07B2E" w:rsidRDefault="00124A26" w:rsidP="002D3EBF">
            <w:pPr>
              <w:ind w:firstLine="0"/>
            </w:pPr>
            <w:r w:rsidRPr="00C07B2E">
              <w:rPr>
                <w:rFonts w:eastAsia="SimSun"/>
              </w:rPr>
              <w:t>-</w:t>
            </w:r>
          </w:p>
        </w:tc>
        <w:tc>
          <w:tcPr>
            <w:tcW w:w="600" w:type="pct"/>
            <w:shd w:val="clear" w:color="auto" w:fill="auto"/>
            <w:vAlign w:val="center"/>
          </w:tcPr>
          <w:p w14:paraId="3C44F20C" w14:textId="77777777" w:rsidR="00124A26" w:rsidRPr="00C07B2E" w:rsidRDefault="00124A26" w:rsidP="002D3EBF">
            <w:pPr>
              <w:ind w:firstLine="0"/>
              <w:rPr>
                <w:rFonts w:eastAsia="SimSun"/>
                <w:lang w:val="en-US"/>
              </w:rPr>
            </w:pPr>
            <w:r>
              <w:rPr>
                <w:rFonts w:eastAsia="SimSun"/>
              </w:rPr>
              <w:t>5.</w:t>
            </w:r>
            <w:r w:rsidRPr="00C07B2E">
              <w:rPr>
                <w:rFonts w:eastAsia="SimSun"/>
              </w:rPr>
              <w:t>1.1.</w:t>
            </w:r>
            <w:r w:rsidRPr="00C07B2E">
              <w:rPr>
                <w:rFonts w:eastAsia="SimSun"/>
                <w:lang w:val="en-US"/>
              </w:rPr>
              <w:t>3</w:t>
            </w:r>
          </w:p>
        </w:tc>
        <w:tc>
          <w:tcPr>
            <w:tcW w:w="600" w:type="pct"/>
            <w:shd w:val="clear" w:color="auto" w:fill="auto"/>
            <w:vAlign w:val="center"/>
          </w:tcPr>
          <w:p w14:paraId="3C06790C" w14:textId="77777777" w:rsidR="00124A26" w:rsidRPr="00C07B2E" w:rsidRDefault="00124A26" w:rsidP="002D3EBF">
            <w:pPr>
              <w:ind w:firstLine="0"/>
            </w:pPr>
            <w:r w:rsidRPr="00C07B2E">
              <w:rPr>
                <w:rFonts w:eastAsia="SimSun"/>
              </w:rPr>
              <w:t>-</w:t>
            </w:r>
          </w:p>
        </w:tc>
        <w:tc>
          <w:tcPr>
            <w:tcW w:w="600" w:type="pct"/>
            <w:shd w:val="clear" w:color="auto" w:fill="auto"/>
            <w:vAlign w:val="center"/>
          </w:tcPr>
          <w:p w14:paraId="5F5E8E29" w14:textId="77777777" w:rsidR="00124A26" w:rsidRPr="00C07B2E" w:rsidRDefault="00124A26" w:rsidP="002D3EBF">
            <w:pPr>
              <w:ind w:firstLine="0"/>
            </w:pPr>
            <w:r w:rsidRPr="00C07B2E">
              <w:rPr>
                <w:rFonts w:eastAsia="SimSun"/>
              </w:rPr>
              <w:t>-</w:t>
            </w:r>
          </w:p>
        </w:tc>
        <w:tc>
          <w:tcPr>
            <w:tcW w:w="672" w:type="pct"/>
            <w:shd w:val="clear" w:color="auto" w:fill="auto"/>
            <w:vAlign w:val="center"/>
          </w:tcPr>
          <w:p w14:paraId="49809BB4" w14:textId="77777777" w:rsidR="00124A26" w:rsidRPr="00C07B2E" w:rsidRDefault="00124A26" w:rsidP="002D3EBF">
            <w:pPr>
              <w:ind w:firstLine="0"/>
            </w:pPr>
            <w:r w:rsidRPr="00C07B2E">
              <w:rPr>
                <w:rFonts w:eastAsia="SimSun"/>
              </w:rPr>
              <w:t>-</w:t>
            </w:r>
          </w:p>
        </w:tc>
      </w:tr>
      <w:tr w:rsidR="00124A26" w:rsidRPr="00C07B2E" w14:paraId="3D48DFA3" w14:textId="77777777" w:rsidTr="002D3EBF">
        <w:trPr>
          <w:cantSplit/>
          <w:trHeight w:val="1020"/>
        </w:trPr>
        <w:tc>
          <w:tcPr>
            <w:tcW w:w="697" w:type="pct"/>
            <w:vMerge/>
            <w:shd w:val="clear" w:color="auto" w:fill="BFBFBF"/>
            <w:vAlign w:val="center"/>
          </w:tcPr>
          <w:p w14:paraId="2D709851" w14:textId="77777777" w:rsidR="00124A26" w:rsidRPr="00C07B2E" w:rsidRDefault="00124A26" w:rsidP="002D3EBF">
            <w:pPr>
              <w:ind w:firstLine="0"/>
              <w:rPr>
                <w:rFonts w:eastAsia="SimSun"/>
                <w:lang w:val="en-US"/>
              </w:rPr>
            </w:pPr>
          </w:p>
        </w:tc>
        <w:tc>
          <w:tcPr>
            <w:tcW w:w="283" w:type="pct"/>
            <w:shd w:val="clear" w:color="auto" w:fill="BFBFBF"/>
            <w:vAlign w:val="center"/>
          </w:tcPr>
          <w:p w14:paraId="53902621" w14:textId="77777777" w:rsidR="00124A26" w:rsidRPr="00C07B2E" w:rsidRDefault="00124A26" w:rsidP="002D3EBF">
            <w:pPr>
              <w:ind w:firstLine="0"/>
              <w:rPr>
                <w:rFonts w:eastAsia="SimSun"/>
                <w:lang w:val="en-US"/>
              </w:rPr>
            </w:pPr>
            <w:r w:rsidRPr="00C07B2E">
              <w:rPr>
                <w:rFonts w:eastAsia="SimSun"/>
                <w:lang w:val="en-US"/>
              </w:rPr>
              <w:t>Tx</w:t>
            </w:r>
          </w:p>
        </w:tc>
        <w:tc>
          <w:tcPr>
            <w:tcW w:w="428" w:type="pct"/>
            <w:shd w:val="clear" w:color="auto" w:fill="BFBFBF"/>
            <w:vAlign w:val="center"/>
          </w:tcPr>
          <w:p w14:paraId="5C139D7F" w14:textId="77777777" w:rsidR="00124A26" w:rsidRPr="00C07B2E" w:rsidRDefault="00124A26" w:rsidP="002D3EBF">
            <w:pPr>
              <w:ind w:firstLine="0"/>
              <w:rPr>
                <w:rFonts w:eastAsia="SimSun"/>
                <w:lang w:val="en-US"/>
              </w:rPr>
            </w:pPr>
            <w:r w:rsidRPr="00C07B2E">
              <w:rPr>
                <w:rFonts w:eastAsia="SimSun"/>
                <w:lang w:val="en-US"/>
              </w:rPr>
              <w:t>MMF30</w:t>
            </w:r>
          </w:p>
        </w:tc>
        <w:tc>
          <w:tcPr>
            <w:tcW w:w="581" w:type="pct"/>
            <w:shd w:val="clear" w:color="auto" w:fill="auto"/>
            <w:vAlign w:val="center"/>
          </w:tcPr>
          <w:p w14:paraId="778E0559" w14:textId="77777777" w:rsidR="00124A26" w:rsidRPr="00C07B2E" w:rsidRDefault="00124A26" w:rsidP="002D3EBF">
            <w:pPr>
              <w:ind w:firstLine="0"/>
            </w:pPr>
            <w:r w:rsidRPr="00C07B2E">
              <w:rPr>
                <w:rFonts w:eastAsia="SimSun"/>
              </w:rPr>
              <w:t>-</w:t>
            </w:r>
          </w:p>
        </w:tc>
        <w:tc>
          <w:tcPr>
            <w:tcW w:w="539" w:type="pct"/>
            <w:shd w:val="clear" w:color="auto" w:fill="auto"/>
            <w:vAlign w:val="center"/>
          </w:tcPr>
          <w:p w14:paraId="1E701CF9" w14:textId="77777777" w:rsidR="00124A26" w:rsidRPr="00C07B2E" w:rsidRDefault="00124A26" w:rsidP="002D3EBF">
            <w:pPr>
              <w:ind w:firstLine="0"/>
            </w:pPr>
            <w:r w:rsidRPr="00C07B2E">
              <w:rPr>
                <w:rFonts w:eastAsia="SimSun"/>
              </w:rPr>
              <w:t>-</w:t>
            </w:r>
          </w:p>
        </w:tc>
        <w:tc>
          <w:tcPr>
            <w:tcW w:w="600" w:type="pct"/>
            <w:shd w:val="clear" w:color="auto" w:fill="auto"/>
            <w:vAlign w:val="center"/>
          </w:tcPr>
          <w:p w14:paraId="4E1436D3" w14:textId="77777777" w:rsidR="00124A26" w:rsidRPr="00C07B2E" w:rsidRDefault="00124A26" w:rsidP="002D3EBF">
            <w:pPr>
              <w:ind w:firstLine="0"/>
            </w:pPr>
            <w:r w:rsidRPr="00C07B2E">
              <w:rPr>
                <w:rFonts w:eastAsia="SimSun"/>
              </w:rPr>
              <w:t>-</w:t>
            </w:r>
          </w:p>
        </w:tc>
        <w:tc>
          <w:tcPr>
            <w:tcW w:w="600" w:type="pct"/>
            <w:shd w:val="clear" w:color="auto" w:fill="auto"/>
            <w:vAlign w:val="center"/>
          </w:tcPr>
          <w:p w14:paraId="78882998" w14:textId="77777777" w:rsidR="00124A26" w:rsidRPr="00C07B2E" w:rsidRDefault="00124A26" w:rsidP="002D3EBF">
            <w:pPr>
              <w:ind w:firstLine="0"/>
              <w:rPr>
                <w:rFonts w:eastAsia="SimSun"/>
              </w:rPr>
            </w:pPr>
            <w:r>
              <w:rPr>
                <w:rFonts w:eastAsia="SimSun"/>
                <w:lang w:val="en-US"/>
              </w:rPr>
              <w:t>5.</w:t>
            </w:r>
            <w:r w:rsidRPr="00C07B2E">
              <w:rPr>
                <w:rFonts w:eastAsia="SimSun"/>
                <w:lang w:val="en-US"/>
              </w:rPr>
              <w:t>1.1.6</w:t>
            </w:r>
          </w:p>
        </w:tc>
        <w:tc>
          <w:tcPr>
            <w:tcW w:w="600" w:type="pct"/>
            <w:shd w:val="clear" w:color="auto" w:fill="auto"/>
            <w:vAlign w:val="center"/>
          </w:tcPr>
          <w:p w14:paraId="1AB0B078" w14:textId="77777777" w:rsidR="00124A26" w:rsidRPr="00C07B2E" w:rsidRDefault="00124A26" w:rsidP="002D3EBF">
            <w:pPr>
              <w:ind w:firstLine="0"/>
              <w:rPr>
                <w:rFonts w:eastAsia="SimSun"/>
                <w:lang w:val="en-US"/>
              </w:rPr>
            </w:pPr>
            <w:r>
              <w:rPr>
                <w:rFonts w:eastAsia="SimSun"/>
                <w:lang w:val="en-US"/>
              </w:rPr>
              <w:t>5.</w:t>
            </w:r>
            <w:r w:rsidRPr="00C07B2E">
              <w:rPr>
                <w:rFonts w:eastAsia="SimSun"/>
                <w:lang w:val="en-US"/>
              </w:rPr>
              <w:t>1.1.9</w:t>
            </w:r>
          </w:p>
        </w:tc>
        <w:tc>
          <w:tcPr>
            <w:tcW w:w="672" w:type="pct"/>
            <w:shd w:val="clear" w:color="auto" w:fill="auto"/>
            <w:vAlign w:val="center"/>
          </w:tcPr>
          <w:p w14:paraId="076EB600" w14:textId="77777777" w:rsidR="00124A26" w:rsidRPr="00C07B2E" w:rsidRDefault="00124A26" w:rsidP="002D3EBF">
            <w:pPr>
              <w:ind w:firstLine="0"/>
            </w:pPr>
            <w:r w:rsidRPr="00C07B2E">
              <w:rPr>
                <w:rFonts w:eastAsia="SimSun"/>
              </w:rPr>
              <w:t>-</w:t>
            </w:r>
          </w:p>
        </w:tc>
      </w:tr>
    </w:tbl>
    <w:p w14:paraId="2FB84E8D" w14:textId="77777777" w:rsidR="00124A26" w:rsidRPr="00C07B2E" w:rsidRDefault="00124A26" w:rsidP="00124A26">
      <w:pPr>
        <w:rPr>
          <w:rFonts w:eastAsia="SimSun"/>
        </w:rPr>
        <w:sectPr w:rsidR="00124A26" w:rsidRPr="00C07B2E" w:rsidSect="00980822">
          <w:type w:val="continuous"/>
          <w:pgSz w:w="16839" w:h="11907" w:orient="landscape" w:code="9"/>
          <w:pgMar w:top="1134" w:right="850" w:bottom="1134" w:left="1701" w:header="709" w:footer="567" w:gutter="0"/>
          <w:cols w:space="708"/>
          <w:docGrid w:linePitch="360"/>
        </w:sectPr>
      </w:pPr>
    </w:p>
    <w:p w14:paraId="4CAA44FF" w14:textId="77777777" w:rsidR="00124A26" w:rsidRPr="00C07B2E" w:rsidRDefault="00124A26" w:rsidP="00124A26">
      <w:pPr>
        <w:rPr>
          <w:rFonts w:eastAsia="SimSun"/>
        </w:rPr>
      </w:pPr>
      <w:bookmarkStart w:id="186" w:name="_Toc44401144"/>
      <w:r>
        <w:rPr>
          <w:rFonts w:eastAsia="SimSun"/>
        </w:rPr>
        <w:t>Таблица</w:t>
      </w:r>
      <w:r w:rsidRPr="00C07B2E">
        <w:rPr>
          <w:rFonts w:eastAsia="SimSun"/>
        </w:rPr>
        <w:t xml:space="preserve"> </w:t>
      </w:r>
      <w:r>
        <w:rPr>
          <w:rFonts w:eastAsia="SimSun"/>
        </w:rPr>
        <w:t>5</w:t>
      </w:r>
      <w:r w:rsidRPr="00C07B2E">
        <w:rPr>
          <w:rFonts w:eastAsia="SimSun"/>
        </w:rPr>
        <w:t>.1.1.1 – Bu12+Cy120 / CSA+MTX</w:t>
      </w:r>
      <w:bookmarkEnd w:id="186"/>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843"/>
        <w:gridCol w:w="1417"/>
        <w:gridCol w:w="1418"/>
        <w:gridCol w:w="1701"/>
        <w:gridCol w:w="2268"/>
      </w:tblGrid>
      <w:tr w:rsidR="00124A26" w:rsidRPr="00C07B2E" w14:paraId="1611031A" w14:textId="77777777" w:rsidTr="002D3EBF">
        <w:trPr>
          <w:cantSplit/>
          <w:trHeight w:val="20"/>
          <w:tblHeader/>
        </w:trPr>
        <w:tc>
          <w:tcPr>
            <w:tcW w:w="709" w:type="dxa"/>
            <w:vAlign w:val="center"/>
          </w:tcPr>
          <w:p w14:paraId="3B25D94E" w14:textId="77777777" w:rsidR="00124A26" w:rsidRPr="00C07B2E" w:rsidRDefault="00124A26" w:rsidP="002D3EBF">
            <w:pPr>
              <w:ind w:left="57" w:right="57" w:firstLine="0"/>
              <w:rPr>
                <w:rFonts w:eastAsia="SimSun"/>
              </w:rPr>
            </w:pPr>
            <w:bookmarkStart w:id="187" w:name="_Hlk513908710"/>
          </w:p>
        </w:tc>
        <w:tc>
          <w:tcPr>
            <w:tcW w:w="1843" w:type="dxa"/>
            <w:vAlign w:val="center"/>
          </w:tcPr>
          <w:p w14:paraId="360E6A0A" w14:textId="77777777" w:rsidR="00124A26" w:rsidRPr="00C07B2E" w:rsidRDefault="00124A26" w:rsidP="002D3EBF">
            <w:pPr>
              <w:ind w:left="57" w:right="57" w:firstLine="0"/>
              <w:rPr>
                <w:rFonts w:eastAsia="SimSun"/>
              </w:rPr>
            </w:pPr>
            <w:r w:rsidRPr="00C07B2E">
              <w:rPr>
                <w:rFonts w:eastAsia="SimSun"/>
              </w:rPr>
              <w:t>Препарат</w:t>
            </w:r>
          </w:p>
        </w:tc>
        <w:tc>
          <w:tcPr>
            <w:tcW w:w="1417" w:type="dxa"/>
            <w:vAlign w:val="center"/>
          </w:tcPr>
          <w:p w14:paraId="6206E044" w14:textId="77777777" w:rsidR="00124A26" w:rsidRPr="00C07B2E" w:rsidRDefault="00124A26" w:rsidP="002D3EBF">
            <w:pPr>
              <w:ind w:left="57" w:right="57" w:firstLine="0"/>
              <w:rPr>
                <w:rFonts w:eastAsia="SimSun"/>
              </w:rPr>
            </w:pPr>
            <w:r w:rsidRPr="00C07B2E">
              <w:rPr>
                <w:rFonts w:eastAsia="SimSun"/>
              </w:rPr>
              <w:t>Суточная доза</w:t>
            </w:r>
          </w:p>
        </w:tc>
        <w:tc>
          <w:tcPr>
            <w:tcW w:w="1418" w:type="dxa"/>
            <w:vAlign w:val="center"/>
          </w:tcPr>
          <w:p w14:paraId="3CD67A5A" w14:textId="77777777" w:rsidR="00124A26" w:rsidRPr="00C07B2E" w:rsidRDefault="00124A26" w:rsidP="002D3EBF">
            <w:pPr>
              <w:ind w:left="57" w:right="57" w:firstLine="0"/>
              <w:rPr>
                <w:rFonts w:eastAsia="SimSun"/>
              </w:rPr>
            </w:pPr>
            <w:r w:rsidRPr="00C07B2E">
              <w:rPr>
                <w:rFonts w:eastAsia="SimSun"/>
              </w:rPr>
              <w:t>Курсовая доза</w:t>
            </w:r>
          </w:p>
        </w:tc>
        <w:tc>
          <w:tcPr>
            <w:tcW w:w="1701" w:type="dxa"/>
            <w:vAlign w:val="center"/>
          </w:tcPr>
          <w:p w14:paraId="0B20ACE2" w14:textId="77777777" w:rsidR="00124A26" w:rsidRPr="00C07B2E" w:rsidRDefault="00124A26" w:rsidP="002D3EBF">
            <w:pPr>
              <w:ind w:left="57" w:right="57" w:firstLine="0"/>
              <w:rPr>
                <w:rFonts w:eastAsia="SimSun"/>
              </w:rPr>
            </w:pPr>
            <w:r w:rsidRPr="00C07B2E">
              <w:rPr>
                <w:rFonts w:eastAsia="SimSun"/>
              </w:rPr>
              <w:t>Дни введения</w:t>
            </w:r>
          </w:p>
        </w:tc>
        <w:tc>
          <w:tcPr>
            <w:tcW w:w="2268" w:type="dxa"/>
            <w:vAlign w:val="center"/>
          </w:tcPr>
          <w:p w14:paraId="7F9519F0" w14:textId="77777777" w:rsidR="00124A26" w:rsidRPr="00C07B2E" w:rsidRDefault="00124A26" w:rsidP="002D3EBF">
            <w:pPr>
              <w:ind w:left="57" w:right="57" w:firstLine="0"/>
              <w:rPr>
                <w:rFonts w:eastAsia="SimSun"/>
              </w:rPr>
            </w:pPr>
            <w:r w:rsidRPr="00C07B2E">
              <w:rPr>
                <w:rFonts w:eastAsia="SimSun"/>
              </w:rPr>
              <w:t>Порядок введения</w:t>
            </w:r>
          </w:p>
        </w:tc>
      </w:tr>
      <w:tr w:rsidR="00124A26" w:rsidRPr="00C07B2E" w14:paraId="41A8EB2B" w14:textId="77777777" w:rsidTr="002D3EBF">
        <w:trPr>
          <w:cantSplit/>
          <w:trHeight w:val="20"/>
        </w:trPr>
        <w:tc>
          <w:tcPr>
            <w:tcW w:w="709" w:type="dxa"/>
            <w:vMerge w:val="restart"/>
            <w:textDirection w:val="btLr"/>
            <w:vAlign w:val="center"/>
          </w:tcPr>
          <w:p w14:paraId="25B0BA1D" w14:textId="77777777" w:rsidR="00124A26" w:rsidRPr="00C07B2E" w:rsidRDefault="00124A26" w:rsidP="002D3EBF">
            <w:pPr>
              <w:ind w:left="57" w:right="57" w:firstLine="0"/>
              <w:rPr>
                <w:rFonts w:eastAsia="SimSun"/>
              </w:rPr>
            </w:pPr>
            <w:r w:rsidRPr="00C07B2E">
              <w:rPr>
                <w:rFonts w:eastAsia="SimSun"/>
              </w:rPr>
              <w:t>Кондиционирование</w:t>
            </w:r>
          </w:p>
        </w:tc>
        <w:tc>
          <w:tcPr>
            <w:tcW w:w="1843" w:type="dxa"/>
            <w:vAlign w:val="center"/>
          </w:tcPr>
          <w:p w14:paraId="07E0B0D2" w14:textId="77777777" w:rsidR="00124A26" w:rsidRPr="00C07B2E" w:rsidRDefault="00124A26" w:rsidP="002D3EBF">
            <w:pPr>
              <w:ind w:left="57" w:right="57" w:firstLine="0"/>
              <w:rPr>
                <w:rFonts w:eastAsia="SimSun"/>
              </w:rPr>
            </w:pPr>
            <w:r w:rsidRPr="00C07B2E">
              <w:rPr>
                <w:rFonts w:eastAsia="SimSun"/>
              </w:rPr>
              <w:t>Бусульфан</w:t>
            </w:r>
          </w:p>
        </w:tc>
        <w:tc>
          <w:tcPr>
            <w:tcW w:w="1417" w:type="dxa"/>
            <w:vAlign w:val="center"/>
          </w:tcPr>
          <w:p w14:paraId="51EC2A4D" w14:textId="77777777" w:rsidR="00124A26" w:rsidRPr="00C07B2E" w:rsidRDefault="00124A26" w:rsidP="002D3EBF">
            <w:pPr>
              <w:ind w:left="57" w:right="57" w:firstLine="0"/>
              <w:rPr>
                <w:rFonts w:eastAsia="SimSun"/>
              </w:rPr>
            </w:pPr>
            <w:r w:rsidRPr="00C07B2E">
              <w:rPr>
                <w:rFonts w:eastAsia="SimSun"/>
              </w:rPr>
              <w:t>4 мг/кг</w:t>
            </w:r>
          </w:p>
        </w:tc>
        <w:tc>
          <w:tcPr>
            <w:tcW w:w="1418" w:type="dxa"/>
            <w:vAlign w:val="center"/>
          </w:tcPr>
          <w:p w14:paraId="6C1FA6C9" w14:textId="77777777" w:rsidR="00124A26" w:rsidRPr="00C07B2E" w:rsidRDefault="00124A26" w:rsidP="002D3EBF">
            <w:pPr>
              <w:ind w:left="57" w:right="57" w:firstLine="0"/>
              <w:rPr>
                <w:rFonts w:eastAsia="SimSun"/>
              </w:rPr>
            </w:pPr>
            <w:r w:rsidRPr="00C07B2E">
              <w:rPr>
                <w:rFonts w:eastAsia="SimSun"/>
                <w:lang w:val="en-US"/>
              </w:rPr>
              <w:t>12</w:t>
            </w:r>
            <w:r w:rsidRPr="00C07B2E">
              <w:rPr>
                <w:rFonts w:eastAsia="SimSun"/>
              </w:rPr>
              <w:t xml:space="preserve"> мг/кг</w:t>
            </w:r>
          </w:p>
        </w:tc>
        <w:tc>
          <w:tcPr>
            <w:tcW w:w="1701" w:type="dxa"/>
            <w:vAlign w:val="center"/>
          </w:tcPr>
          <w:p w14:paraId="154E4C8E" w14:textId="77777777" w:rsidR="00124A26" w:rsidRPr="00C07B2E" w:rsidRDefault="00124A26" w:rsidP="002D3EBF">
            <w:pPr>
              <w:ind w:left="57" w:right="57" w:firstLine="0"/>
              <w:rPr>
                <w:rFonts w:eastAsia="SimSun"/>
              </w:rPr>
            </w:pPr>
            <w:r w:rsidRPr="00C07B2E">
              <w:rPr>
                <w:rFonts w:eastAsia="SimSun"/>
                <w:lang w:val="en-US"/>
              </w:rPr>
              <w:t>C</w:t>
            </w:r>
            <w:r w:rsidRPr="00C07B2E">
              <w:rPr>
                <w:rFonts w:eastAsia="SimSun"/>
              </w:rPr>
              <w:t xml:space="preserve"> –6 по –4 день </w:t>
            </w:r>
          </w:p>
        </w:tc>
        <w:tc>
          <w:tcPr>
            <w:tcW w:w="2268" w:type="dxa"/>
            <w:vAlign w:val="center"/>
          </w:tcPr>
          <w:p w14:paraId="77DBADD6" w14:textId="77777777" w:rsidR="00124A26" w:rsidRPr="00985050" w:rsidRDefault="00124A26" w:rsidP="002D3EBF">
            <w:pPr>
              <w:ind w:left="57" w:right="57" w:firstLine="0"/>
              <w:rPr>
                <w:rFonts w:eastAsia="SimSun"/>
              </w:rPr>
            </w:pPr>
            <w:r w:rsidRPr="00985050">
              <w:rPr>
                <w:rFonts w:eastAsia="SimSun"/>
              </w:rPr>
              <w:t>Внутрь, суммарная суточная доза разделяется на 4 приема с интервалом 6 часов.</w:t>
            </w:r>
          </w:p>
        </w:tc>
      </w:tr>
      <w:tr w:rsidR="00124A26" w:rsidRPr="00C07B2E" w14:paraId="6FA4A855" w14:textId="77777777" w:rsidTr="002D3EBF">
        <w:trPr>
          <w:cantSplit/>
          <w:trHeight w:val="1207"/>
        </w:trPr>
        <w:tc>
          <w:tcPr>
            <w:tcW w:w="709" w:type="dxa"/>
            <w:vMerge/>
            <w:vAlign w:val="center"/>
          </w:tcPr>
          <w:p w14:paraId="0852B75A" w14:textId="77777777" w:rsidR="00124A26" w:rsidRPr="00985050" w:rsidRDefault="00124A26" w:rsidP="002D3EBF">
            <w:pPr>
              <w:ind w:left="57" w:right="57" w:firstLine="0"/>
              <w:rPr>
                <w:rFonts w:eastAsia="SimSun"/>
              </w:rPr>
            </w:pPr>
          </w:p>
        </w:tc>
        <w:tc>
          <w:tcPr>
            <w:tcW w:w="1843" w:type="dxa"/>
            <w:vAlign w:val="center"/>
          </w:tcPr>
          <w:p w14:paraId="6850AC4B" w14:textId="77777777" w:rsidR="00124A26" w:rsidRPr="00C07B2E" w:rsidRDefault="00124A26" w:rsidP="002D3EBF">
            <w:pPr>
              <w:ind w:left="57" w:right="57" w:firstLine="0"/>
              <w:rPr>
                <w:rFonts w:eastAsia="SimSun"/>
              </w:rPr>
            </w:pPr>
            <w:r w:rsidRPr="00C07B2E">
              <w:rPr>
                <w:rFonts w:eastAsia="SimSun"/>
              </w:rPr>
              <w:t>Циклофосфамид</w:t>
            </w:r>
          </w:p>
        </w:tc>
        <w:tc>
          <w:tcPr>
            <w:tcW w:w="1417" w:type="dxa"/>
            <w:vAlign w:val="center"/>
          </w:tcPr>
          <w:p w14:paraId="79EEA6B7" w14:textId="77777777" w:rsidR="00124A26" w:rsidRPr="00C07B2E" w:rsidRDefault="00124A26" w:rsidP="002D3EBF">
            <w:pPr>
              <w:ind w:left="57" w:right="57" w:firstLine="0"/>
              <w:rPr>
                <w:rFonts w:eastAsia="SimSun"/>
              </w:rPr>
            </w:pPr>
            <w:r w:rsidRPr="00C07B2E">
              <w:rPr>
                <w:rFonts w:eastAsia="SimSun"/>
              </w:rPr>
              <w:t>60 мг/кг</w:t>
            </w:r>
          </w:p>
        </w:tc>
        <w:tc>
          <w:tcPr>
            <w:tcW w:w="1418" w:type="dxa"/>
            <w:vAlign w:val="center"/>
          </w:tcPr>
          <w:p w14:paraId="537EA2C8" w14:textId="77777777" w:rsidR="00124A26" w:rsidRPr="00C07B2E" w:rsidRDefault="00124A26" w:rsidP="002D3EBF">
            <w:pPr>
              <w:ind w:left="57" w:right="57" w:firstLine="0"/>
              <w:rPr>
                <w:rFonts w:eastAsia="SimSun"/>
              </w:rPr>
            </w:pPr>
            <w:r w:rsidRPr="00C07B2E">
              <w:rPr>
                <w:rFonts w:eastAsia="SimSun"/>
              </w:rPr>
              <w:t>120 мг/кг</w:t>
            </w:r>
          </w:p>
        </w:tc>
        <w:tc>
          <w:tcPr>
            <w:tcW w:w="1701" w:type="dxa"/>
            <w:vAlign w:val="center"/>
          </w:tcPr>
          <w:p w14:paraId="3C37A680" w14:textId="77777777" w:rsidR="00124A26" w:rsidRPr="00C07B2E" w:rsidRDefault="00124A26" w:rsidP="002D3EBF">
            <w:pPr>
              <w:ind w:left="57" w:right="57" w:firstLine="0"/>
              <w:rPr>
                <w:rFonts w:eastAsia="SimSun"/>
              </w:rPr>
            </w:pPr>
            <w:r w:rsidRPr="00C07B2E">
              <w:rPr>
                <w:rFonts w:eastAsia="SimSun"/>
                <w:lang w:val="en-US"/>
              </w:rPr>
              <w:t>–3, –2 дни</w:t>
            </w:r>
            <w:r w:rsidRPr="00C07B2E">
              <w:rPr>
                <w:rFonts w:eastAsia="SimSun"/>
              </w:rPr>
              <w:t xml:space="preserve"> </w:t>
            </w:r>
          </w:p>
        </w:tc>
        <w:tc>
          <w:tcPr>
            <w:tcW w:w="2268" w:type="dxa"/>
            <w:vAlign w:val="center"/>
          </w:tcPr>
          <w:p w14:paraId="3DFB6028" w14:textId="77777777" w:rsidR="00124A26" w:rsidRPr="00985050" w:rsidRDefault="00124A26" w:rsidP="002D3EBF">
            <w:pPr>
              <w:ind w:left="57" w:right="57" w:firstLine="0"/>
              <w:rPr>
                <w:rFonts w:eastAsia="SimSun"/>
              </w:rPr>
            </w:pPr>
            <w:r w:rsidRPr="00985050">
              <w:rPr>
                <w:rFonts w:eastAsia="SimSun"/>
              </w:rPr>
              <w:t xml:space="preserve">В/в, в течение 2 ч  </w:t>
            </w:r>
          </w:p>
        </w:tc>
      </w:tr>
      <w:tr w:rsidR="00124A26" w:rsidRPr="00C07B2E" w14:paraId="7EBE10A7" w14:textId="77777777" w:rsidTr="002D3EBF">
        <w:trPr>
          <w:cantSplit/>
          <w:trHeight w:val="20"/>
        </w:trPr>
        <w:tc>
          <w:tcPr>
            <w:tcW w:w="709" w:type="dxa"/>
            <w:vMerge w:val="restart"/>
            <w:textDirection w:val="btLr"/>
            <w:vAlign w:val="center"/>
          </w:tcPr>
          <w:p w14:paraId="1ADAC1DD" w14:textId="77777777" w:rsidR="00124A26" w:rsidRPr="00C07B2E" w:rsidRDefault="00124A26" w:rsidP="002D3EBF">
            <w:pPr>
              <w:ind w:left="57" w:right="57" w:firstLine="0"/>
              <w:rPr>
                <w:rFonts w:eastAsia="SimSun"/>
              </w:rPr>
            </w:pPr>
            <w:r w:rsidRPr="00C07B2E">
              <w:rPr>
                <w:rFonts w:eastAsia="SimSun"/>
              </w:rPr>
              <w:t>Профилактика РТПХ</w:t>
            </w:r>
          </w:p>
        </w:tc>
        <w:tc>
          <w:tcPr>
            <w:tcW w:w="1843" w:type="dxa"/>
            <w:vAlign w:val="center"/>
          </w:tcPr>
          <w:p w14:paraId="554BEDDC" w14:textId="77777777" w:rsidR="00124A26" w:rsidRPr="00C07B2E" w:rsidRDefault="00124A26" w:rsidP="002D3EBF">
            <w:pPr>
              <w:ind w:left="57" w:right="57" w:firstLine="0"/>
              <w:rPr>
                <w:rFonts w:eastAsia="SimSun"/>
              </w:rPr>
            </w:pPr>
            <w:r w:rsidRPr="00C07B2E">
              <w:rPr>
                <w:rFonts w:eastAsia="SimSun"/>
              </w:rPr>
              <w:t xml:space="preserve">Циклоспорин </w:t>
            </w:r>
          </w:p>
        </w:tc>
        <w:tc>
          <w:tcPr>
            <w:tcW w:w="1417" w:type="dxa"/>
            <w:vAlign w:val="center"/>
          </w:tcPr>
          <w:p w14:paraId="5CF10210" w14:textId="77777777" w:rsidR="00124A26" w:rsidRPr="00C07B2E" w:rsidRDefault="00124A26" w:rsidP="002D3EBF">
            <w:pPr>
              <w:ind w:left="57" w:right="57" w:firstLine="0"/>
              <w:rPr>
                <w:rFonts w:eastAsia="SimSun"/>
              </w:rPr>
            </w:pPr>
            <w:r w:rsidRPr="00C07B2E">
              <w:rPr>
                <w:rFonts w:eastAsia="SimSun"/>
              </w:rPr>
              <w:t>3 мг/кг</w:t>
            </w:r>
          </w:p>
        </w:tc>
        <w:tc>
          <w:tcPr>
            <w:tcW w:w="1418" w:type="dxa"/>
            <w:vAlign w:val="center"/>
          </w:tcPr>
          <w:p w14:paraId="24E9044B" w14:textId="77777777" w:rsidR="00124A26" w:rsidRPr="00C07B2E" w:rsidRDefault="00124A26" w:rsidP="002D3EBF">
            <w:pPr>
              <w:ind w:left="57" w:right="57" w:firstLine="0"/>
              <w:rPr>
                <w:rFonts w:eastAsia="SimSun"/>
                <w:lang w:val="en-US"/>
              </w:rPr>
            </w:pPr>
            <w:r w:rsidRPr="00C07B2E">
              <w:rPr>
                <w:rFonts w:eastAsia="SimSun"/>
                <w:lang w:val="en-US"/>
              </w:rPr>
              <w:t>–</w:t>
            </w:r>
          </w:p>
        </w:tc>
        <w:tc>
          <w:tcPr>
            <w:tcW w:w="1701" w:type="dxa"/>
            <w:vAlign w:val="center"/>
          </w:tcPr>
          <w:p w14:paraId="1A567AFA" w14:textId="77777777" w:rsidR="00124A26" w:rsidRPr="00C07B2E" w:rsidRDefault="00124A26" w:rsidP="002D3EBF">
            <w:pPr>
              <w:ind w:left="57" w:right="57" w:firstLine="0"/>
              <w:rPr>
                <w:rFonts w:eastAsia="SimSun"/>
              </w:rPr>
            </w:pPr>
            <w:r w:rsidRPr="00C07B2E">
              <w:rPr>
                <w:rFonts w:eastAsia="SimSun"/>
              </w:rPr>
              <w:t>С –1 дня по +90 день, затем постепенное снижение к +180 дню</w:t>
            </w:r>
          </w:p>
        </w:tc>
        <w:tc>
          <w:tcPr>
            <w:tcW w:w="2268" w:type="dxa"/>
            <w:vAlign w:val="center"/>
          </w:tcPr>
          <w:p w14:paraId="02B89879" w14:textId="77777777" w:rsidR="00124A26" w:rsidRPr="00985050" w:rsidRDefault="00124A26" w:rsidP="002D3EBF">
            <w:pPr>
              <w:ind w:left="57" w:right="57" w:firstLine="0"/>
              <w:rPr>
                <w:rFonts w:eastAsia="SimSun"/>
              </w:rPr>
            </w:pPr>
            <w:r w:rsidRPr="00C07B2E">
              <w:rPr>
                <w:rFonts w:eastAsia="SimSun"/>
              </w:rPr>
              <w:t xml:space="preserve">В/в, 5-часовая инфузия 2 раза/сут. </w:t>
            </w:r>
            <w:r w:rsidRPr="00985050">
              <w:rPr>
                <w:rFonts w:eastAsia="SimSun"/>
              </w:rPr>
              <w:t>Перевод на прием внутрь при условии восстановления лейкоцитов &gt;</w:t>
            </w:r>
            <w:r w:rsidRPr="00C07B2E">
              <w:rPr>
                <w:rFonts w:eastAsia="SimSun"/>
                <w:lang w:val="en-US"/>
              </w:rPr>
              <w:t> </w:t>
            </w:r>
            <w:r w:rsidRPr="00985050">
              <w:rPr>
                <w:rFonts w:eastAsia="SimSun"/>
              </w:rPr>
              <w:t>1</w:t>
            </w:r>
            <w:r w:rsidRPr="00C07B2E">
              <w:rPr>
                <w:rFonts w:eastAsia="SimSun"/>
                <w:lang w:val="en-US"/>
              </w:rPr>
              <w:t> </w:t>
            </w:r>
            <w:r>
              <w:rPr>
                <w:rFonts w:eastAsia="SimSun"/>
              </w:rPr>
              <w:t>х</w:t>
            </w:r>
            <w:r w:rsidRPr="00C07B2E">
              <w:rPr>
                <w:rFonts w:eastAsia="SimSun"/>
                <w:lang w:val="en-US"/>
              </w:rPr>
              <w:t> </w:t>
            </w:r>
            <w:r w:rsidRPr="00985050">
              <w:rPr>
                <w:rFonts w:eastAsia="SimSun"/>
              </w:rPr>
              <w:t>10</w:t>
            </w:r>
            <w:r w:rsidRPr="00985050">
              <w:rPr>
                <w:rFonts w:eastAsia="SimSun"/>
                <w:vertAlign w:val="superscript"/>
              </w:rPr>
              <w:t>9</w:t>
            </w:r>
            <w:r w:rsidRPr="00985050">
              <w:rPr>
                <w:rFonts w:eastAsia="SimSun"/>
              </w:rPr>
              <w:t xml:space="preserve">/л, при отсутствии тошноты, рвоты, диареи и возможности приема внутрь.; Концентрация 150-350 нг/мл  </w:t>
            </w:r>
          </w:p>
        </w:tc>
      </w:tr>
      <w:tr w:rsidR="00124A26" w:rsidRPr="00C07B2E" w14:paraId="5270D07B" w14:textId="77777777" w:rsidTr="002D3EBF">
        <w:trPr>
          <w:cantSplit/>
          <w:trHeight w:val="20"/>
        </w:trPr>
        <w:tc>
          <w:tcPr>
            <w:tcW w:w="709" w:type="dxa"/>
            <w:vMerge/>
          </w:tcPr>
          <w:p w14:paraId="5C91C770" w14:textId="77777777" w:rsidR="00124A26" w:rsidRPr="00985050" w:rsidRDefault="00124A26" w:rsidP="002D3EBF">
            <w:pPr>
              <w:ind w:left="57" w:right="57" w:firstLine="0"/>
              <w:rPr>
                <w:rFonts w:eastAsia="SimSun"/>
              </w:rPr>
            </w:pPr>
          </w:p>
        </w:tc>
        <w:tc>
          <w:tcPr>
            <w:tcW w:w="1843" w:type="dxa"/>
            <w:vMerge w:val="restart"/>
            <w:vAlign w:val="center"/>
          </w:tcPr>
          <w:p w14:paraId="5F9CEC53" w14:textId="77777777" w:rsidR="00124A26" w:rsidRPr="00C07B2E" w:rsidRDefault="00124A26" w:rsidP="002D3EBF">
            <w:pPr>
              <w:ind w:left="57" w:right="57" w:firstLine="0"/>
              <w:rPr>
                <w:rFonts w:eastAsia="SimSun"/>
              </w:rPr>
            </w:pPr>
            <w:r w:rsidRPr="00C07B2E">
              <w:rPr>
                <w:rFonts w:eastAsia="SimSun"/>
              </w:rPr>
              <w:t>Метотрексат</w:t>
            </w:r>
          </w:p>
        </w:tc>
        <w:tc>
          <w:tcPr>
            <w:tcW w:w="1417" w:type="dxa"/>
            <w:vAlign w:val="center"/>
          </w:tcPr>
          <w:p w14:paraId="222327C9" w14:textId="77777777" w:rsidR="00124A26" w:rsidRPr="00C07B2E" w:rsidRDefault="00124A26" w:rsidP="002D3EBF">
            <w:pPr>
              <w:ind w:left="57" w:right="57" w:firstLine="0"/>
              <w:rPr>
                <w:rFonts w:eastAsia="SimSun"/>
              </w:rPr>
            </w:pPr>
            <w:r w:rsidRPr="00C07B2E">
              <w:rPr>
                <w:rFonts w:eastAsia="SimSun"/>
              </w:rPr>
              <w:t>15 мг/м</w:t>
            </w:r>
            <w:r w:rsidRPr="00C07B2E">
              <w:rPr>
                <w:rFonts w:eastAsia="SimSun"/>
                <w:vertAlign w:val="superscript"/>
              </w:rPr>
              <w:t>2</w:t>
            </w:r>
          </w:p>
        </w:tc>
        <w:tc>
          <w:tcPr>
            <w:tcW w:w="1418" w:type="dxa"/>
            <w:vAlign w:val="center"/>
          </w:tcPr>
          <w:p w14:paraId="39BA189F" w14:textId="77777777" w:rsidR="00124A26" w:rsidRPr="00C07B2E" w:rsidRDefault="00124A26" w:rsidP="002D3EBF">
            <w:pPr>
              <w:ind w:left="57" w:right="57" w:firstLine="0"/>
              <w:rPr>
                <w:rFonts w:eastAsia="SimSun"/>
              </w:rPr>
            </w:pPr>
            <w:r w:rsidRPr="00C07B2E">
              <w:rPr>
                <w:rFonts w:eastAsia="SimSun"/>
                <w:lang w:val="en-US"/>
              </w:rPr>
              <w:t>–</w:t>
            </w:r>
          </w:p>
        </w:tc>
        <w:tc>
          <w:tcPr>
            <w:tcW w:w="1701" w:type="dxa"/>
            <w:vAlign w:val="center"/>
          </w:tcPr>
          <w:p w14:paraId="334F53FE" w14:textId="77777777" w:rsidR="00124A26" w:rsidRPr="00C07B2E" w:rsidRDefault="00124A26" w:rsidP="002D3EBF">
            <w:pPr>
              <w:ind w:left="57" w:right="57" w:firstLine="0"/>
              <w:rPr>
                <w:rFonts w:eastAsia="SimSun"/>
              </w:rPr>
            </w:pPr>
            <w:r w:rsidRPr="00C07B2E">
              <w:rPr>
                <w:rFonts w:eastAsia="SimSun"/>
              </w:rPr>
              <w:t>+1 день</w:t>
            </w:r>
          </w:p>
        </w:tc>
        <w:tc>
          <w:tcPr>
            <w:tcW w:w="2268" w:type="dxa"/>
            <w:vAlign w:val="center"/>
          </w:tcPr>
          <w:p w14:paraId="05561503" w14:textId="77777777" w:rsidR="00124A26" w:rsidRPr="00C07B2E" w:rsidRDefault="00124A26" w:rsidP="002D3EBF">
            <w:pPr>
              <w:ind w:left="57" w:right="57" w:firstLine="0"/>
              <w:rPr>
                <w:rFonts w:eastAsia="SimSun"/>
              </w:rPr>
            </w:pPr>
            <w:r w:rsidRPr="00C07B2E">
              <w:rPr>
                <w:rFonts w:eastAsia="SimSun"/>
              </w:rPr>
              <w:t>В/в, в 20 мл физ. р-ра</w:t>
            </w:r>
            <w:bookmarkStart w:id="188" w:name="OLE_LINK12"/>
            <w:bookmarkStart w:id="189" w:name="OLE_LINK13"/>
            <w:r w:rsidRPr="00C07B2E">
              <w:rPr>
                <w:rFonts w:eastAsia="SimSun"/>
              </w:rPr>
              <w:t xml:space="preserve"> </w:t>
            </w:r>
            <w:bookmarkEnd w:id="188"/>
            <w:bookmarkEnd w:id="189"/>
            <w:r w:rsidRPr="00C07B2E">
              <w:rPr>
                <w:rFonts w:eastAsia="SimSun"/>
              </w:rPr>
              <w:t xml:space="preserve"> </w:t>
            </w:r>
          </w:p>
        </w:tc>
      </w:tr>
      <w:tr w:rsidR="00124A26" w:rsidRPr="00C07B2E" w14:paraId="508FAD26" w14:textId="77777777" w:rsidTr="002D3EBF">
        <w:trPr>
          <w:cantSplit/>
          <w:trHeight w:val="464"/>
        </w:trPr>
        <w:tc>
          <w:tcPr>
            <w:tcW w:w="709" w:type="dxa"/>
            <w:vMerge/>
          </w:tcPr>
          <w:p w14:paraId="4CFAE7F5" w14:textId="77777777" w:rsidR="00124A26" w:rsidRPr="00C07B2E" w:rsidRDefault="00124A26" w:rsidP="002D3EBF">
            <w:pPr>
              <w:ind w:left="57" w:right="57" w:firstLine="0"/>
              <w:rPr>
                <w:rFonts w:eastAsia="SimSun"/>
              </w:rPr>
            </w:pPr>
          </w:p>
        </w:tc>
        <w:tc>
          <w:tcPr>
            <w:tcW w:w="1843" w:type="dxa"/>
            <w:vMerge/>
            <w:vAlign w:val="center"/>
          </w:tcPr>
          <w:p w14:paraId="50A183B6" w14:textId="77777777" w:rsidR="00124A26" w:rsidRPr="00C07B2E" w:rsidRDefault="00124A26" w:rsidP="002D3EBF">
            <w:pPr>
              <w:ind w:left="57" w:right="57" w:firstLine="0"/>
              <w:rPr>
                <w:rFonts w:eastAsia="SimSun"/>
              </w:rPr>
            </w:pPr>
          </w:p>
        </w:tc>
        <w:tc>
          <w:tcPr>
            <w:tcW w:w="1417" w:type="dxa"/>
            <w:vAlign w:val="center"/>
          </w:tcPr>
          <w:p w14:paraId="5F46B18F" w14:textId="77777777" w:rsidR="00124A26" w:rsidRPr="00C07B2E" w:rsidRDefault="00124A26" w:rsidP="002D3EBF">
            <w:pPr>
              <w:ind w:left="57" w:right="57" w:firstLine="0"/>
              <w:rPr>
                <w:rFonts w:eastAsia="SimSun"/>
              </w:rPr>
            </w:pPr>
            <w:r w:rsidRPr="00C07B2E">
              <w:rPr>
                <w:rFonts w:eastAsia="SimSun"/>
              </w:rPr>
              <w:t>10 мг/м</w:t>
            </w:r>
            <w:r w:rsidRPr="00C07B2E">
              <w:rPr>
                <w:rFonts w:eastAsia="SimSun"/>
                <w:vertAlign w:val="superscript"/>
              </w:rPr>
              <w:t>2</w:t>
            </w:r>
          </w:p>
        </w:tc>
        <w:tc>
          <w:tcPr>
            <w:tcW w:w="1418" w:type="dxa"/>
            <w:vAlign w:val="center"/>
          </w:tcPr>
          <w:p w14:paraId="3616AFFD" w14:textId="77777777" w:rsidR="00124A26" w:rsidRPr="00C07B2E" w:rsidRDefault="00124A26" w:rsidP="002D3EBF">
            <w:pPr>
              <w:ind w:left="57" w:right="57" w:firstLine="0"/>
              <w:rPr>
                <w:rFonts w:eastAsia="SimSun"/>
              </w:rPr>
            </w:pPr>
            <w:r w:rsidRPr="00C07B2E">
              <w:rPr>
                <w:rFonts w:eastAsia="SimSun"/>
                <w:lang w:val="en-US"/>
              </w:rPr>
              <w:t>–</w:t>
            </w:r>
          </w:p>
        </w:tc>
        <w:tc>
          <w:tcPr>
            <w:tcW w:w="1701" w:type="dxa"/>
            <w:vAlign w:val="center"/>
          </w:tcPr>
          <w:p w14:paraId="1F6A4C1D" w14:textId="77777777" w:rsidR="00124A26" w:rsidRPr="00C07B2E" w:rsidRDefault="00124A26" w:rsidP="002D3EBF">
            <w:pPr>
              <w:ind w:left="57" w:right="57" w:firstLine="0"/>
              <w:rPr>
                <w:rFonts w:eastAsia="SimSun"/>
              </w:rPr>
            </w:pPr>
            <w:r w:rsidRPr="00C07B2E">
              <w:rPr>
                <w:rFonts w:eastAsia="SimSun"/>
              </w:rPr>
              <w:t>+3, +6, +11 дни</w:t>
            </w:r>
          </w:p>
        </w:tc>
        <w:tc>
          <w:tcPr>
            <w:tcW w:w="2268" w:type="dxa"/>
            <w:vAlign w:val="center"/>
          </w:tcPr>
          <w:p w14:paraId="4BF6A7C9" w14:textId="77777777" w:rsidR="00124A26" w:rsidRPr="00C07B2E" w:rsidRDefault="00124A26" w:rsidP="002D3EBF">
            <w:pPr>
              <w:ind w:left="57" w:right="57" w:firstLine="0"/>
              <w:rPr>
                <w:rFonts w:eastAsia="SimSun"/>
              </w:rPr>
            </w:pPr>
            <w:r w:rsidRPr="00C07B2E">
              <w:rPr>
                <w:rFonts w:eastAsia="SimSun"/>
              </w:rPr>
              <w:t xml:space="preserve">В/в, в 20 мл физ. р-ра  </w:t>
            </w:r>
          </w:p>
        </w:tc>
      </w:tr>
      <w:bookmarkEnd w:id="187"/>
    </w:tbl>
    <w:p w14:paraId="32F2708F" w14:textId="77777777" w:rsidR="00124A26" w:rsidRPr="00C07B2E" w:rsidRDefault="00124A26" w:rsidP="00124A26">
      <w:pPr>
        <w:rPr>
          <w:rFonts w:eastAsia="SimSun"/>
        </w:rPr>
      </w:pPr>
    </w:p>
    <w:p w14:paraId="19D4EB0E" w14:textId="77777777" w:rsidR="00124A26" w:rsidRPr="00C07B2E" w:rsidRDefault="00124A26" w:rsidP="00124A26">
      <w:pPr>
        <w:rPr>
          <w:rFonts w:eastAsia="SimSun"/>
        </w:rPr>
      </w:pPr>
      <w:bookmarkStart w:id="190" w:name="_Toc44401145"/>
      <w:r w:rsidRPr="00042499">
        <w:rPr>
          <w:rFonts w:eastAsia="SimSun"/>
        </w:rPr>
        <w:t>Таблица</w:t>
      </w:r>
      <w:r w:rsidRPr="00C07B2E">
        <w:rPr>
          <w:rFonts w:eastAsia="SimSun"/>
        </w:rPr>
        <w:t xml:space="preserve"> </w:t>
      </w:r>
      <w:r>
        <w:rPr>
          <w:rFonts w:eastAsia="SimSun"/>
        </w:rPr>
        <w:t>5</w:t>
      </w:r>
      <w:r w:rsidRPr="00C07B2E">
        <w:rPr>
          <w:rFonts w:eastAsia="SimSun"/>
        </w:rPr>
        <w:t>.1.1.2  – TBI+Cy120 / CSA+MTX</w:t>
      </w:r>
      <w:bookmarkEnd w:id="190"/>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8"/>
        <w:gridCol w:w="1921"/>
        <w:gridCol w:w="1303"/>
        <w:gridCol w:w="1375"/>
        <w:gridCol w:w="1688"/>
        <w:gridCol w:w="2172"/>
      </w:tblGrid>
      <w:tr w:rsidR="00124A26" w:rsidRPr="00C07B2E" w14:paraId="1E0FA275" w14:textId="77777777" w:rsidTr="002D3EBF">
        <w:trPr>
          <w:cantSplit/>
          <w:trHeight w:val="20"/>
          <w:tblHeader/>
        </w:trPr>
        <w:tc>
          <w:tcPr>
            <w:tcW w:w="376" w:type="pct"/>
            <w:vAlign w:val="center"/>
          </w:tcPr>
          <w:p w14:paraId="184A280B" w14:textId="77777777" w:rsidR="00124A26" w:rsidRPr="00C07B2E" w:rsidRDefault="00124A26" w:rsidP="002D3EBF">
            <w:pPr>
              <w:ind w:firstLine="0"/>
              <w:rPr>
                <w:rFonts w:eastAsia="SimSun"/>
              </w:rPr>
            </w:pPr>
          </w:p>
        </w:tc>
        <w:tc>
          <w:tcPr>
            <w:tcW w:w="1027" w:type="pct"/>
            <w:vAlign w:val="center"/>
          </w:tcPr>
          <w:p w14:paraId="6FEEEB0F" w14:textId="77777777" w:rsidR="00124A26" w:rsidRPr="00C07B2E" w:rsidRDefault="00124A26" w:rsidP="002D3EBF">
            <w:pPr>
              <w:ind w:firstLine="0"/>
              <w:rPr>
                <w:rFonts w:eastAsia="SimSun"/>
              </w:rPr>
            </w:pPr>
            <w:r w:rsidRPr="00C07B2E">
              <w:rPr>
                <w:rFonts w:eastAsia="SimSun"/>
              </w:rPr>
              <w:t>Препарат</w:t>
            </w:r>
          </w:p>
        </w:tc>
        <w:tc>
          <w:tcPr>
            <w:tcW w:w="718" w:type="pct"/>
            <w:vAlign w:val="center"/>
          </w:tcPr>
          <w:p w14:paraId="3BBCA013" w14:textId="77777777" w:rsidR="00124A26" w:rsidRPr="00C07B2E" w:rsidRDefault="00124A26" w:rsidP="002D3EBF">
            <w:pPr>
              <w:ind w:firstLine="0"/>
              <w:rPr>
                <w:rFonts w:eastAsia="SimSun"/>
              </w:rPr>
            </w:pPr>
            <w:r w:rsidRPr="00C07B2E">
              <w:rPr>
                <w:rFonts w:eastAsia="SimSun"/>
              </w:rPr>
              <w:t>Суточная доза</w:t>
            </w:r>
          </w:p>
        </w:tc>
        <w:tc>
          <w:tcPr>
            <w:tcW w:w="757" w:type="pct"/>
            <w:vAlign w:val="center"/>
          </w:tcPr>
          <w:p w14:paraId="4E55DC08" w14:textId="77777777" w:rsidR="00124A26" w:rsidRPr="00C07B2E" w:rsidRDefault="00124A26" w:rsidP="002D3EBF">
            <w:pPr>
              <w:ind w:firstLine="0"/>
              <w:rPr>
                <w:rFonts w:eastAsia="SimSun"/>
              </w:rPr>
            </w:pPr>
            <w:r w:rsidRPr="00C07B2E">
              <w:rPr>
                <w:rFonts w:eastAsia="SimSun"/>
              </w:rPr>
              <w:t>Курсовая доза</w:t>
            </w:r>
          </w:p>
        </w:tc>
        <w:tc>
          <w:tcPr>
            <w:tcW w:w="928" w:type="pct"/>
            <w:vAlign w:val="center"/>
          </w:tcPr>
          <w:p w14:paraId="4EE704A9" w14:textId="77777777" w:rsidR="00124A26" w:rsidRPr="00C07B2E" w:rsidRDefault="00124A26" w:rsidP="002D3EBF">
            <w:pPr>
              <w:ind w:firstLine="0"/>
              <w:rPr>
                <w:rFonts w:eastAsia="SimSun"/>
              </w:rPr>
            </w:pPr>
            <w:r w:rsidRPr="00C07B2E">
              <w:rPr>
                <w:rFonts w:eastAsia="SimSun"/>
              </w:rPr>
              <w:t>Дни введения</w:t>
            </w:r>
          </w:p>
        </w:tc>
        <w:tc>
          <w:tcPr>
            <w:tcW w:w="1193" w:type="pct"/>
            <w:vAlign w:val="center"/>
          </w:tcPr>
          <w:p w14:paraId="0FAA9480" w14:textId="77777777" w:rsidR="00124A26" w:rsidRPr="00C07B2E" w:rsidRDefault="00124A26" w:rsidP="002D3EBF">
            <w:pPr>
              <w:ind w:firstLine="0"/>
              <w:rPr>
                <w:rFonts w:eastAsia="SimSun"/>
              </w:rPr>
            </w:pPr>
            <w:r w:rsidRPr="00C07B2E">
              <w:rPr>
                <w:rFonts w:eastAsia="SimSun"/>
              </w:rPr>
              <w:t>Порядок введения</w:t>
            </w:r>
          </w:p>
        </w:tc>
      </w:tr>
      <w:tr w:rsidR="00124A26" w:rsidRPr="00C07B2E" w14:paraId="1169BD86" w14:textId="77777777" w:rsidTr="002D3EBF">
        <w:trPr>
          <w:cantSplit/>
          <w:trHeight w:val="20"/>
        </w:trPr>
        <w:tc>
          <w:tcPr>
            <w:tcW w:w="376" w:type="pct"/>
            <w:vMerge w:val="restart"/>
            <w:textDirection w:val="btLr"/>
            <w:vAlign w:val="center"/>
          </w:tcPr>
          <w:p w14:paraId="58D81F92" w14:textId="77777777" w:rsidR="00124A26" w:rsidRPr="00C07B2E" w:rsidRDefault="00124A26" w:rsidP="002D3EBF">
            <w:pPr>
              <w:ind w:firstLine="0"/>
              <w:rPr>
                <w:rFonts w:eastAsia="SimSun"/>
              </w:rPr>
            </w:pPr>
            <w:r w:rsidRPr="00C07B2E">
              <w:rPr>
                <w:rFonts w:eastAsia="SimSun"/>
              </w:rPr>
              <w:t>Кондиционирование</w:t>
            </w:r>
          </w:p>
        </w:tc>
        <w:tc>
          <w:tcPr>
            <w:tcW w:w="1027" w:type="pct"/>
            <w:vAlign w:val="center"/>
          </w:tcPr>
          <w:p w14:paraId="763FFF4C" w14:textId="77777777" w:rsidR="00124A26" w:rsidRPr="00C07B2E" w:rsidRDefault="00124A26" w:rsidP="002D3EBF">
            <w:pPr>
              <w:ind w:firstLine="0"/>
              <w:rPr>
                <w:rFonts w:eastAsia="SimSun"/>
              </w:rPr>
            </w:pPr>
            <w:r w:rsidRPr="00C07B2E">
              <w:rPr>
                <w:rFonts w:eastAsia="SimSun"/>
              </w:rPr>
              <w:t>ТТО</w:t>
            </w:r>
          </w:p>
        </w:tc>
        <w:tc>
          <w:tcPr>
            <w:tcW w:w="718" w:type="pct"/>
            <w:vAlign w:val="center"/>
          </w:tcPr>
          <w:p w14:paraId="10320FF5" w14:textId="77777777" w:rsidR="00124A26" w:rsidRPr="00C07B2E" w:rsidRDefault="00124A26" w:rsidP="002D3EBF">
            <w:pPr>
              <w:ind w:firstLine="0"/>
              <w:rPr>
                <w:rFonts w:eastAsia="SimSun"/>
              </w:rPr>
            </w:pPr>
            <w:r w:rsidRPr="00C07B2E">
              <w:rPr>
                <w:rFonts w:eastAsia="SimSun"/>
              </w:rPr>
              <w:t>4 Гр</w:t>
            </w:r>
          </w:p>
        </w:tc>
        <w:tc>
          <w:tcPr>
            <w:tcW w:w="757" w:type="pct"/>
            <w:vAlign w:val="center"/>
          </w:tcPr>
          <w:p w14:paraId="6B9ADB87" w14:textId="77777777" w:rsidR="00124A26" w:rsidRPr="00C07B2E" w:rsidRDefault="00124A26" w:rsidP="002D3EBF">
            <w:pPr>
              <w:ind w:firstLine="0"/>
              <w:rPr>
                <w:rFonts w:eastAsia="SimSun"/>
              </w:rPr>
            </w:pPr>
            <w:r w:rsidRPr="00C07B2E">
              <w:rPr>
                <w:rFonts w:eastAsia="SimSun"/>
                <w:lang w:val="en-US"/>
              </w:rPr>
              <w:t>12</w:t>
            </w:r>
            <w:r w:rsidRPr="00C07B2E">
              <w:rPr>
                <w:rFonts w:eastAsia="SimSun"/>
              </w:rPr>
              <w:t xml:space="preserve"> Гр</w:t>
            </w:r>
          </w:p>
        </w:tc>
        <w:tc>
          <w:tcPr>
            <w:tcW w:w="928" w:type="pct"/>
            <w:vAlign w:val="center"/>
          </w:tcPr>
          <w:p w14:paraId="2EE4CCB8" w14:textId="77777777" w:rsidR="00124A26" w:rsidRPr="00C07B2E" w:rsidRDefault="00124A26" w:rsidP="002D3EBF">
            <w:pPr>
              <w:ind w:firstLine="0"/>
              <w:rPr>
                <w:rFonts w:eastAsia="SimSun"/>
              </w:rPr>
            </w:pPr>
            <w:r w:rsidRPr="00C07B2E">
              <w:rPr>
                <w:rFonts w:eastAsia="SimSun"/>
                <w:lang w:val="en-US"/>
              </w:rPr>
              <w:t>C</w:t>
            </w:r>
            <w:r w:rsidRPr="00C07B2E">
              <w:rPr>
                <w:rFonts w:eastAsia="SimSun"/>
              </w:rPr>
              <w:t xml:space="preserve"> –3 по –1 день </w:t>
            </w:r>
          </w:p>
        </w:tc>
        <w:tc>
          <w:tcPr>
            <w:tcW w:w="1193" w:type="pct"/>
            <w:vAlign w:val="center"/>
          </w:tcPr>
          <w:p w14:paraId="1A8E804B" w14:textId="77777777" w:rsidR="00124A26" w:rsidRPr="00C07B2E" w:rsidRDefault="00124A26" w:rsidP="002D3EBF">
            <w:pPr>
              <w:ind w:firstLine="0"/>
              <w:rPr>
                <w:rFonts w:eastAsia="SimSun"/>
              </w:rPr>
            </w:pPr>
            <w:r w:rsidRPr="00C07B2E">
              <w:rPr>
                <w:rFonts w:eastAsia="SimSun"/>
              </w:rPr>
              <w:t>6 фракций по 2 Гр 2 раза в день в течение 3-х дней  с экранированием легких.</w:t>
            </w:r>
          </w:p>
          <w:p w14:paraId="67DC81BA" w14:textId="77777777" w:rsidR="00124A26" w:rsidRPr="00C07B2E" w:rsidRDefault="00124A26" w:rsidP="002D3EBF">
            <w:pPr>
              <w:ind w:firstLine="0"/>
              <w:rPr>
                <w:rFonts w:eastAsia="SimSun"/>
              </w:rPr>
            </w:pPr>
          </w:p>
        </w:tc>
      </w:tr>
      <w:tr w:rsidR="00124A26" w:rsidRPr="00C07B2E" w14:paraId="707A84E0" w14:textId="77777777" w:rsidTr="002D3EBF">
        <w:trPr>
          <w:cantSplit/>
          <w:trHeight w:val="1207"/>
        </w:trPr>
        <w:tc>
          <w:tcPr>
            <w:tcW w:w="376" w:type="pct"/>
            <w:vMerge/>
            <w:vAlign w:val="center"/>
          </w:tcPr>
          <w:p w14:paraId="2098884F" w14:textId="77777777" w:rsidR="00124A26" w:rsidRPr="00C07B2E" w:rsidRDefault="00124A26" w:rsidP="002D3EBF">
            <w:pPr>
              <w:ind w:firstLine="0"/>
              <w:rPr>
                <w:rFonts w:eastAsia="SimSun"/>
              </w:rPr>
            </w:pPr>
          </w:p>
        </w:tc>
        <w:tc>
          <w:tcPr>
            <w:tcW w:w="1027" w:type="pct"/>
            <w:vAlign w:val="center"/>
          </w:tcPr>
          <w:p w14:paraId="16B2153F" w14:textId="77777777" w:rsidR="00124A26" w:rsidRPr="00C07B2E" w:rsidRDefault="00124A26" w:rsidP="002D3EBF">
            <w:pPr>
              <w:ind w:firstLine="0"/>
              <w:rPr>
                <w:rFonts w:eastAsia="SimSun"/>
              </w:rPr>
            </w:pPr>
            <w:r w:rsidRPr="00C07B2E">
              <w:rPr>
                <w:rFonts w:eastAsia="SimSun"/>
              </w:rPr>
              <w:t>Циклофосфамид</w:t>
            </w:r>
          </w:p>
        </w:tc>
        <w:tc>
          <w:tcPr>
            <w:tcW w:w="718" w:type="pct"/>
            <w:vAlign w:val="center"/>
          </w:tcPr>
          <w:p w14:paraId="48E5BD7F" w14:textId="77777777" w:rsidR="00124A26" w:rsidRPr="00C07B2E" w:rsidRDefault="00124A26" w:rsidP="002D3EBF">
            <w:pPr>
              <w:ind w:firstLine="0"/>
              <w:rPr>
                <w:rFonts w:eastAsia="SimSun"/>
              </w:rPr>
            </w:pPr>
            <w:r w:rsidRPr="00C07B2E">
              <w:rPr>
                <w:rFonts w:eastAsia="SimSun"/>
              </w:rPr>
              <w:t>60 мг/кг</w:t>
            </w:r>
          </w:p>
        </w:tc>
        <w:tc>
          <w:tcPr>
            <w:tcW w:w="757" w:type="pct"/>
            <w:vAlign w:val="center"/>
          </w:tcPr>
          <w:p w14:paraId="30A3800A" w14:textId="77777777" w:rsidR="00124A26" w:rsidRPr="00C07B2E" w:rsidRDefault="00124A26" w:rsidP="002D3EBF">
            <w:pPr>
              <w:ind w:firstLine="0"/>
              <w:rPr>
                <w:rFonts w:eastAsia="SimSun"/>
              </w:rPr>
            </w:pPr>
            <w:r w:rsidRPr="00C07B2E">
              <w:rPr>
                <w:rFonts w:eastAsia="SimSun"/>
              </w:rPr>
              <w:t>120 мг/кг</w:t>
            </w:r>
          </w:p>
        </w:tc>
        <w:tc>
          <w:tcPr>
            <w:tcW w:w="928" w:type="pct"/>
            <w:vAlign w:val="center"/>
          </w:tcPr>
          <w:p w14:paraId="0B73BD61" w14:textId="77777777" w:rsidR="00124A26" w:rsidRPr="00C07B2E" w:rsidRDefault="00124A26" w:rsidP="002D3EBF">
            <w:pPr>
              <w:ind w:firstLine="0"/>
              <w:rPr>
                <w:rFonts w:eastAsia="SimSun"/>
              </w:rPr>
            </w:pPr>
            <w:r w:rsidRPr="00C07B2E">
              <w:rPr>
                <w:rFonts w:eastAsia="SimSun"/>
                <w:lang w:val="en-US"/>
              </w:rPr>
              <w:t>–</w:t>
            </w:r>
            <w:r w:rsidRPr="00C07B2E">
              <w:rPr>
                <w:rFonts w:eastAsia="SimSun"/>
              </w:rPr>
              <w:t>6</w:t>
            </w:r>
            <w:r w:rsidRPr="00C07B2E">
              <w:rPr>
                <w:rFonts w:eastAsia="SimSun"/>
                <w:lang w:val="en-US"/>
              </w:rPr>
              <w:t>, –</w:t>
            </w:r>
            <w:r w:rsidRPr="00C07B2E">
              <w:rPr>
                <w:rFonts w:eastAsia="SimSun"/>
              </w:rPr>
              <w:t>5</w:t>
            </w:r>
            <w:r w:rsidRPr="00C07B2E">
              <w:rPr>
                <w:rFonts w:eastAsia="SimSun"/>
                <w:lang w:val="en-US"/>
              </w:rPr>
              <w:t xml:space="preserve"> дни</w:t>
            </w:r>
            <w:r w:rsidRPr="00C07B2E">
              <w:rPr>
                <w:rFonts w:eastAsia="SimSun"/>
              </w:rPr>
              <w:t xml:space="preserve"> </w:t>
            </w:r>
          </w:p>
        </w:tc>
        <w:tc>
          <w:tcPr>
            <w:tcW w:w="1193" w:type="pct"/>
            <w:vAlign w:val="center"/>
          </w:tcPr>
          <w:p w14:paraId="7234D920" w14:textId="77777777" w:rsidR="00124A26" w:rsidRPr="00C07B2E" w:rsidRDefault="00124A26" w:rsidP="002D3EBF">
            <w:pPr>
              <w:ind w:firstLine="0"/>
              <w:rPr>
                <w:rFonts w:eastAsia="SimSun"/>
              </w:rPr>
            </w:pPr>
            <w:r w:rsidRPr="00C07B2E">
              <w:rPr>
                <w:rFonts w:eastAsia="SimSun"/>
              </w:rPr>
              <w:t xml:space="preserve">В/в, в течение 2 ч </w:t>
            </w:r>
          </w:p>
        </w:tc>
      </w:tr>
      <w:tr w:rsidR="00124A26" w:rsidRPr="00C07B2E" w14:paraId="2A5999B2" w14:textId="77777777" w:rsidTr="002D3EBF">
        <w:trPr>
          <w:cantSplit/>
          <w:trHeight w:val="20"/>
        </w:trPr>
        <w:tc>
          <w:tcPr>
            <w:tcW w:w="376" w:type="pct"/>
            <w:vMerge w:val="restart"/>
            <w:textDirection w:val="btLr"/>
            <w:vAlign w:val="center"/>
          </w:tcPr>
          <w:p w14:paraId="27488714" w14:textId="77777777" w:rsidR="00124A26" w:rsidRPr="00C07B2E" w:rsidRDefault="00124A26" w:rsidP="002D3EBF">
            <w:pPr>
              <w:ind w:firstLine="0"/>
              <w:rPr>
                <w:rFonts w:eastAsia="SimSun"/>
              </w:rPr>
            </w:pPr>
            <w:r w:rsidRPr="00C07B2E">
              <w:rPr>
                <w:rFonts w:eastAsia="SimSun"/>
              </w:rPr>
              <w:t>Профилактика РТПХ</w:t>
            </w:r>
          </w:p>
        </w:tc>
        <w:tc>
          <w:tcPr>
            <w:tcW w:w="1027" w:type="pct"/>
            <w:vAlign w:val="center"/>
          </w:tcPr>
          <w:p w14:paraId="2472CDEE" w14:textId="77777777" w:rsidR="00124A26" w:rsidRPr="00C07B2E" w:rsidRDefault="00124A26" w:rsidP="002D3EBF">
            <w:pPr>
              <w:ind w:firstLine="0"/>
              <w:rPr>
                <w:rFonts w:eastAsia="SimSun"/>
              </w:rPr>
            </w:pPr>
            <w:r w:rsidRPr="00C07B2E">
              <w:rPr>
                <w:rFonts w:eastAsia="SimSun"/>
              </w:rPr>
              <w:t xml:space="preserve">Циклоспорин </w:t>
            </w:r>
          </w:p>
        </w:tc>
        <w:tc>
          <w:tcPr>
            <w:tcW w:w="718" w:type="pct"/>
            <w:vAlign w:val="center"/>
          </w:tcPr>
          <w:p w14:paraId="6352D7C2" w14:textId="77777777" w:rsidR="00124A26" w:rsidRPr="00C07B2E" w:rsidRDefault="00124A26" w:rsidP="002D3EBF">
            <w:pPr>
              <w:ind w:firstLine="0"/>
              <w:rPr>
                <w:rFonts w:eastAsia="SimSun"/>
              </w:rPr>
            </w:pPr>
            <w:r w:rsidRPr="00C07B2E">
              <w:rPr>
                <w:rFonts w:eastAsia="SimSun"/>
              </w:rPr>
              <w:t>3 мг/кг</w:t>
            </w:r>
          </w:p>
        </w:tc>
        <w:tc>
          <w:tcPr>
            <w:tcW w:w="757" w:type="pct"/>
            <w:vAlign w:val="center"/>
          </w:tcPr>
          <w:p w14:paraId="7C2C256F" w14:textId="77777777" w:rsidR="00124A26" w:rsidRPr="00C07B2E" w:rsidRDefault="00124A26" w:rsidP="002D3EBF">
            <w:pPr>
              <w:ind w:firstLine="0"/>
              <w:rPr>
                <w:rFonts w:eastAsia="SimSun"/>
                <w:lang w:val="en-US"/>
              </w:rPr>
            </w:pPr>
            <w:r w:rsidRPr="00C07B2E">
              <w:rPr>
                <w:rFonts w:eastAsia="SimSun"/>
                <w:lang w:val="en-US"/>
              </w:rPr>
              <w:t>–</w:t>
            </w:r>
          </w:p>
        </w:tc>
        <w:tc>
          <w:tcPr>
            <w:tcW w:w="928" w:type="pct"/>
            <w:vAlign w:val="center"/>
          </w:tcPr>
          <w:p w14:paraId="44A50C1C" w14:textId="77777777" w:rsidR="00124A26" w:rsidRPr="00C07B2E" w:rsidRDefault="00124A26" w:rsidP="002D3EBF">
            <w:pPr>
              <w:ind w:firstLine="0"/>
              <w:rPr>
                <w:rFonts w:eastAsia="SimSun"/>
              </w:rPr>
            </w:pPr>
            <w:r w:rsidRPr="00C07B2E">
              <w:rPr>
                <w:rFonts w:eastAsia="SimSun"/>
              </w:rPr>
              <w:t>С –1 дня по +90 день, затем постепенное снижение к +180 дню</w:t>
            </w:r>
          </w:p>
        </w:tc>
        <w:tc>
          <w:tcPr>
            <w:tcW w:w="1193" w:type="pct"/>
            <w:vAlign w:val="center"/>
          </w:tcPr>
          <w:p w14:paraId="0ACE6086" w14:textId="77777777" w:rsidR="00124A26" w:rsidRPr="00985050" w:rsidRDefault="00124A26" w:rsidP="002D3EBF">
            <w:pPr>
              <w:ind w:firstLine="0"/>
              <w:rPr>
                <w:rFonts w:eastAsia="SimSun"/>
              </w:rPr>
            </w:pPr>
            <w:r w:rsidRPr="00C07B2E">
              <w:rPr>
                <w:rFonts w:eastAsia="SimSun"/>
              </w:rPr>
              <w:t xml:space="preserve">В/в, 5-часовая инфузия 2 раза/сут. </w:t>
            </w:r>
            <w:r w:rsidRPr="00985050">
              <w:rPr>
                <w:rFonts w:eastAsia="SimSun"/>
              </w:rPr>
              <w:t>Перевод на прием внутрь при условии восстановления лейкоцитов &gt;</w:t>
            </w:r>
            <w:r w:rsidRPr="00C07B2E">
              <w:rPr>
                <w:rFonts w:eastAsia="SimSun"/>
                <w:lang w:val="en-US"/>
              </w:rPr>
              <w:t> </w:t>
            </w:r>
            <w:r w:rsidRPr="00985050">
              <w:rPr>
                <w:rFonts w:eastAsia="SimSun"/>
              </w:rPr>
              <w:t>1</w:t>
            </w:r>
            <w:r w:rsidRPr="00C07B2E">
              <w:rPr>
                <w:rFonts w:eastAsia="SimSun"/>
                <w:lang w:val="en-US"/>
              </w:rPr>
              <w:t> </w:t>
            </w:r>
            <w:r>
              <w:rPr>
                <w:rFonts w:eastAsia="SimSun"/>
              </w:rPr>
              <w:t>х</w:t>
            </w:r>
            <w:r w:rsidRPr="00C07B2E">
              <w:rPr>
                <w:rFonts w:eastAsia="SimSun"/>
                <w:lang w:val="en-US"/>
              </w:rPr>
              <w:t> </w:t>
            </w:r>
            <w:r w:rsidRPr="00985050">
              <w:rPr>
                <w:rFonts w:eastAsia="SimSun"/>
              </w:rPr>
              <w:t>10</w:t>
            </w:r>
            <w:r w:rsidRPr="00985050">
              <w:rPr>
                <w:rFonts w:eastAsia="SimSun"/>
                <w:vertAlign w:val="superscript"/>
              </w:rPr>
              <w:t>9</w:t>
            </w:r>
            <w:r w:rsidRPr="00985050">
              <w:rPr>
                <w:rFonts w:eastAsia="SimSun"/>
              </w:rPr>
              <w:t xml:space="preserve">/л, при отсутствии тошноты, рвоты, диареи и возможности приема внутрь.; Концентрация 150-350 нг/мл  </w:t>
            </w:r>
          </w:p>
        </w:tc>
      </w:tr>
      <w:tr w:rsidR="00124A26" w:rsidRPr="00C07B2E" w14:paraId="635DF287" w14:textId="77777777" w:rsidTr="002D3EBF">
        <w:trPr>
          <w:cantSplit/>
          <w:trHeight w:val="20"/>
        </w:trPr>
        <w:tc>
          <w:tcPr>
            <w:tcW w:w="376" w:type="pct"/>
            <w:vMerge/>
          </w:tcPr>
          <w:p w14:paraId="4A6A112A" w14:textId="77777777" w:rsidR="00124A26" w:rsidRPr="00985050" w:rsidRDefault="00124A26" w:rsidP="002D3EBF">
            <w:pPr>
              <w:ind w:firstLine="0"/>
              <w:rPr>
                <w:rFonts w:eastAsia="SimSun"/>
              </w:rPr>
            </w:pPr>
          </w:p>
        </w:tc>
        <w:tc>
          <w:tcPr>
            <w:tcW w:w="1027" w:type="pct"/>
            <w:vMerge w:val="restart"/>
            <w:vAlign w:val="center"/>
          </w:tcPr>
          <w:p w14:paraId="62214761" w14:textId="77777777" w:rsidR="00124A26" w:rsidRPr="00C07B2E" w:rsidRDefault="00124A26" w:rsidP="002D3EBF">
            <w:pPr>
              <w:ind w:firstLine="0"/>
              <w:rPr>
                <w:rFonts w:eastAsia="SimSun"/>
              </w:rPr>
            </w:pPr>
            <w:r w:rsidRPr="00C07B2E">
              <w:rPr>
                <w:rFonts w:eastAsia="SimSun"/>
              </w:rPr>
              <w:t>Метотрексат</w:t>
            </w:r>
          </w:p>
        </w:tc>
        <w:tc>
          <w:tcPr>
            <w:tcW w:w="718" w:type="pct"/>
            <w:vAlign w:val="center"/>
          </w:tcPr>
          <w:p w14:paraId="31BC4D40" w14:textId="77777777" w:rsidR="00124A26" w:rsidRPr="00C07B2E" w:rsidRDefault="00124A26" w:rsidP="002D3EBF">
            <w:pPr>
              <w:ind w:firstLine="0"/>
              <w:rPr>
                <w:rFonts w:eastAsia="SimSun"/>
              </w:rPr>
            </w:pPr>
            <w:r w:rsidRPr="00C07B2E">
              <w:rPr>
                <w:rFonts w:eastAsia="SimSun"/>
              </w:rPr>
              <w:t>15 мг/м</w:t>
            </w:r>
            <w:r w:rsidRPr="00C07B2E">
              <w:rPr>
                <w:rFonts w:eastAsia="SimSun"/>
                <w:vertAlign w:val="superscript"/>
              </w:rPr>
              <w:t>2</w:t>
            </w:r>
          </w:p>
        </w:tc>
        <w:tc>
          <w:tcPr>
            <w:tcW w:w="757" w:type="pct"/>
            <w:vAlign w:val="center"/>
          </w:tcPr>
          <w:p w14:paraId="1FEC5124" w14:textId="77777777" w:rsidR="00124A26" w:rsidRPr="00C07B2E" w:rsidRDefault="00124A26" w:rsidP="002D3EBF">
            <w:pPr>
              <w:ind w:firstLine="0"/>
              <w:rPr>
                <w:rFonts w:eastAsia="SimSun"/>
              </w:rPr>
            </w:pPr>
            <w:r w:rsidRPr="00C07B2E">
              <w:rPr>
                <w:rFonts w:eastAsia="SimSun"/>
                <w:lang w:val="en-US"/>
              </w:rPr>
              <w:t>–</w:t>
            </w:r>
          </w:p>
        </w:tc>
        <w:tc>
          <w:tcPr>
            <w:tcW w:w="928" w:type="pct"/>
            <w:vAlign w:val="center"/>
          </w:tcPr>
          <w:p w14:paraId="47F19118" w14:textId="77777777" w:rsidR="00124A26" w:rsidRPr="00C07B2E" w:rsidRDefault="00124A26" w:rsidP="002D3EBF">
            <w:pPr>
              <w:ind w:firstLine="0"/>
              <w:rPr>
                <w:rFonts w:eastAsia="SimSun"/>
              </w:rPr>
            </w:pPr>
            <w:r w:rsidRPr="00C07B2E">
              <w:rPr>
                <w:rFonts w:eastAsia="SimSun"/>
              </w:rPr>
              <w:t>+1 день</w:t>
            </w:r>
          </w:p>
        </w:tc>
        <w:tc>
          <w:tcPr>
            <w:tcW w:w="1193" w:type="pct"/>
            <w:vAlign w:val="center"/>
          </w:tcPr>
          <w:p w14:paraId="19581658" w14:textId="77777777" w:rsidR="00124A26" w:rsidRPr="00C07B2E" w:rsidRDefault="00124A26" w:rsidP="002D3EBF">
            <w:pPr>
              <w:ind w:firstLine="0"/>
              <w:rPr>
                <w:rFonts w:eastAsia="SimSun"/>
              </w:rPr>
            </w:pPr>
            <w:r w:rsidRPr="00C07B2E">
              <w:rPr>
                <w:rFonts w:eastAsia="SimSun"/>
              </w:rPr>
              <w:t>В/в, в 20 мл физ. р-ра</w:t>
            </w:r>
          </w:p>
        </w:tc>
      </w:tr>
      <w:tr w:rsidR="00124A26" w:rsidRPr="00C07B2E" w14:paraId="4E2BDC4D" w14:textId="77777777" w:rsidTr="002D3EBF">
        <w:trPr>
          <w:cantSplit/>
          <w:trHeight w:val="464"/>
        </w:trPr>
        <w:tc>
          <w:tcPr>
            <w:tcW w:w="376" w:type="pct"/>
            <w:vMerge/>
          </w:tcPr>
          <w:p w14:paraId="262E069A" w14:textId="77777777" w:rsidR="00124A26" w:rsidRPr="00C07B2E" w:rsidRDefault="00124A26" w:rsidP="002D3EBF">
            <w:pPr>
              <w:ind w:firstLine="0"/>
              <w:rPr>
                <w:rFonts w:eastAsia="SimSun"/>
              </w:rPr>
            </w:pPr>
          </w:p>
        </w:tc>
        <w:tc>
          <w:tcPr>
            <w:tcW w:w="1027" w:type="pct"/>
            <w:vMerge/>
            <w:vAlign w:val="center"/>
          </w:tcPr>
          <w:p w14:paraId="4EC00874" w14:textId="77777777" w:rsidR="00124A26" w:rsidRPr="00C07B2E" w:rsidRDefault="00124A26" w:rsidP="002D3EBF">
            <w:pPr>
              <w:ind w:firstLine="0"/>
              <w:rPr>
                <w:rFonts w:eastAsia="SimSun"/>
              </w:rPr>
            </w:pPr>
          </w:p>
        </w:tc>
        <w:tc>
          <w:tcPr>
            <w:tcW w:w="718" w:type="pct"/>
            <w:vAlign w:val="center"/>
          </w:tcPr>
          <w:p w14:paraId="3811210F" w14:textId="77777777" w:rsidR="00124A26" w:rsidRPr="00C07B2E" w:rsidRDefault="00124A26" w:rsidP="002D3EBF">
            <w:pPr>
              <w:ind w:firstLine="0"/>
              <w:rPr>
                <w:rFonts w:eastAsia="SimSun"/>
              </w:rPr>
            </w:pPr>
            <w:r w:rsidRPr="00C07B2E">
              <w:rPr>
                <w:rFonts w:eastAsia="SimSun"/>
              </w:rPr>
              <w:t>10 мг/м</w:t>
            </w:r>
            <w:r w:rsidRPr="00C07B2E">
              <w:rPr>
                <w:rFonts w:eastAsia="SimSun"/>
                <w:vertAlign w:val="superscript"/>
              </w:rPr>
              <w:t>2</w:t>
            </w:r>
          </w:p>
        </w:tc>
        <w:tc>
          <w:tcPr>
            <w:tcW w:w="757" w:type="pct"/>
            <w:vAlign w:val="center"/>
          </w:tcPr>
          <w:p w14:paraId="042E0AE7" w14:textId="77777777" w:rsidR="00124A26" w:rsidRPr="00C07B2E" w:rsidRDefault="00124A26" w:rsidP="002D3EBF">
            <w:pPr>
              <w:ind w:firstLine="0"/>
              <w:rPr>
                <w:rFonts w:eastAsia="SimSun"/>
              </w:rPr>
            </w:pPr>
            <w:r w:rsidRPr="00C07B2E">
              <w:rPr>
                <w:rFonts w:eastAsia="SimSun"/>
                <w:lang w:val="en-US"/>
              </w:rPr>
              <w:t>–</w:t>
            </w:r>
          </w:p>
        </w:tc>
        <w:tc>
          <w:tcPr>
            <w:tcW w:w="928" w:type="pct"/>
            <w:vAlign w:val="center"/>
          </w:tcPr>
          <w:p w14:paraId="7564FA36" w14:textId="77777777" w:rsidR="00124A26" w:rsidRPr="00C07B2E" w:rsidRDefault="00124A26" w:rsidP="002D3EBF">
            <w:pPr>
              <w:ind w:firstLine="0"/>
              <w:rPr>
                <w:rFonts w:eastAsia="SimSun"/>
              </w:rPr>
            </w:pPr>
            <w:r w:rsidRPr="00C07B2E">
              <w:rPr>
                <w:rFonts w:eastAsia="SimSun"/>
              </w:rPr>
              <w:t>+3, +6, +11 дни</w:t>
            </w:r>
          </w:p>
        </w:tc>
        <w:tc>
          <w:tcPr>
            <w:tcW w:w="1193" w:type="pct"/>
            <w:vAlign w:val="center"/>
          </w:tcPr>
          <w:p w14:paraId="3DDFCF98" w14:textId="77777777" w:rsidR="00124A26" w:rsidRPr="00C07B2E" w:rsidRDefault="00124A26" w:rsidP="002D3EBF">
            <w:pPr>
              <w:ind w:firstLine="0"/>
              <w:rPr>
                <w:rFonts w:eastAsia="SimSun"/>
              </w:rPr>
            </w:pPr>
            <w:r w:rsidRPr="00C07B2E">
              <w:rPr>
                <w:rFonts w:eastAsia="SimSun"/>
              </w:rPr>
              <w:t xml:space="preserve">В/в, в 20 мл физ. р-ра </w:t>
            </w:r>
          </w:p>
        </w:tc>
      </w:tr>
    </w:tbl>
    <w:p w14:paraId="03AF46E6" w14:textId="77777777" w:rsidR="00124A26" w:rsidRPr="00C07B2E" w:rsidRDefault="00124A26" w:rsidP="00124A26">
      <w:pPr>
        <w:rPr>
          <w:rFonts w:eastAsia="SimSun"/>
        </w:rPr>
      </w:pPr>
    </w:p>
    <w:p w14:paraId="763F9F9F" w14:textId="77777777" w:rsidR="00124A26" w:rsidRPr="00C07B2E" w:rsidRDefault="00124A26" w:rsidP="00124A26">
      <w:pPr>
        <w:rPr>
          <w:rFonts w:eastAsia="SimSun"/>
        </w:rPr>
      </w:pPr>
      <w:bookmarkStart w:id="191" w:name="_Toc44401146"/>
      <w:r w:rsidRPr="00042499">
        <w:rPr>
          <w:rFonts w:eastAsia="SimSun"/>
        </w:rPr>
        <w:t>Таблица</w:t>
      </w:r>
      <w:r w:rsidRPr="00C07B2E">
        <w:rPr>
          <w:rFonts w:eastAsia="SimSun"/>
        </w:rPr>
        <w:t xml:space="preserve"> </w:t>
      </w:r>
      <w:r>
        <w:rPr>
          <w:rFonts w:eastAsia="SimSun"/>
        </w:rPr>
        <w:t>5</w:t>
      </w:r>
      <w:r w:rsidRPr="00C07B2E">
        <w:rPr>
          <w:rFonts w:eastAsia="SimSun"/>
        </w:rPr>
        <w:t>.1.1.3  – Flu150+Bu12 / PT-Cy+CSA+MMF45</w:t>
      </w:r>
      <w:bookmarkEnd w:id="191"/>
    </w:p>
    <w:tbl>
      <w:tblPr>
        <w:tblW w:w="9356" w:type="dxa"/>
        <w:tblInd w:w="108" w:type="dxa"/>
        <w:tblLayout w:type="fixed"/>
        <w:tblCellMar>
          <w:left w:w="10" w:type="dxa"/>
          <w:right w:w="10" w:type="dxa"/>
        </w:tblCellMar>
        <w:tblLook w:val="0000" w:firstRow="0" w:lastRow="0" w:firstColumn="0" w:lastColumn="0" w:noHBand="0" w:noVBand="0"/>
      </w:tblPr>
      <w:tblGrid>
        <w:gridCol w:w="709"/>
        <w:gridCol w:w="1843"/>
        <w:gridCol w:w="1417"/>
        <w:gridCol w:w="1418"/>
        <w:gridCol w:w="1701"/>
        <w:gridCol w:w="2268"/>
      </w:tblGrid>
      <w:tr w:rsidR="00124A26" w:rsidRPr="00C07B2E" w14:paraId="4C15585C" w14:textId="77777777" w:rsidTr="002D3EBF">
        <w:trPr>
          <w:cantSplit/>
          <w:trHeight w:val="20"/>
          <w:tblHeader/>
        </w:trPr>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1DB8E34" w14:textId="77777777" w:rsidR="00124A26" w:rsidRPr="00470D3D" w:rsidRDefault="00124A26" w:rsidP="002D3EBF">
            <w:pPr>
              <w:ind w:firstLine="0"/>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EEB02AF" w14:textId="77777777" w:rsidR="00124A26" w:rsidRPr="00C07B2E" w:rsidRDefault="00124A26" w:rsidP="002D3EBF">
            <w:pPr>
              <w:ind w:firstLine="0"/>
            </w:pPr>
            <w:r w:rsidRPr="00C07B2E">
              <w:rPr>
                <w:rFonts w:eastAsia="SimSun"/>
              </w:rPr>
              <w:t>Препарат</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8D2CA57" w14:textId="77777777" w:rsidR="00124A26" w:rsidRPr="00C07B2E" w:rsidRDefault="00124A26" w:rsidP="002D3EBF">
            <w:pPr>
              <w:ind w:firstLine="0"/>
            </w:pPr>
            <w:r w:rsidRPr="00C07B2E">
              <w:rPr>
                <w:rFonts w:eastAsia="SimSun"/>
              </w:rPr>
              <w:t>Суточная доза</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9A9697C" w14:textId="77777777" w:rsidR="00124A26" w:rsidRPr="00C07B2E" w:rsidRDefault="00124A26" w:rsidP="002D3EBF">
            <w:pPr>
              <w:ind w:firstLine="0"/>
            </w:pPr>
            <w:r w:rsidRPr="00C07B2E">
              <w:rPr>
                <w:rFonts w:eastAsia="SimSun"/>
              </w:rPr>
              <w:t>Курсовая доза</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34099E2" w14:textId="77777777" w:rsidR="00124A26" w:rsidRPr="00C07B2E" w:rsidRDefault="00124A26" w:rsidP="002D3EBF">
            <w:pPr>
              <w:ind w:firstLine="0"/>
            </w:pPr>
            <w:r w:rsidRPr="00C07B2E">
              <w:rPr>
                <w:rFonts w:eastAsia="SimSun"/>
              </w:rPr>
              <w:t>Дни введения</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05C32CA" w14:textId="77777777" w:rsidR="00124A26" w:rsidRPr="00C07B2E" w:rsidRDefault="00124A26" w:rsidP="002D3EBF">
            <w:pPr>
              <w:ind w:firstLine="0"/>
            </w:pPr>
            <w:r w:rsidRPr="00C07B2E">
              <w:rPr>
                <w:rFonts w:eastAsia="SimSun"/>
              </w:rPr>
              <w:t>Порядок введения</w:t>
            </w:r>
          </w:p>
        </w:tc>
      </w:tr>
      <w:tr w:rsidR="00124A26" w:rsidRPr="00C07B2E" w14:paraId="3B08A7F8" w14:textId="77777777" w:rsidTr="002D3EBF">
        <w:trPr>
          <w:cantSplit/>
          <w:trHeight w:val="20"/>
        </w:trPr>
        <w:tc>
          <w:tcPr>
            <w:tcW w:w="709"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69EB9E41" w14:textId="77777777" w:rsidR="00124A26" w:rsidRPr="00C07B2E" w:rsidRDefault="00124A26" w:rsidP="002D3EBF">
            <w:pPr>
              <w:ind w:firstLine="0"/>
            </w:pPr>
            <w:r w:rsidRPr="00C07B2E">
              <w:rPr>
                <w:rFonts w:eastAsia="SimSun"/>
              </w:rPr>
              <w:t>Кондиционирование</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F2325D8" w14:textId="77777777" w:rsidR="00124A26" w:rsidRPr="00C07B2E" w:rsidRDefault="00124A26" w:rsidP="002D3EBF">
            <w:pPr>
              <w:ind w:firstLine="0"/>
            </w:pPr>
            <w:r w:rsidRPr="00C07B2E">
              <w:rPr>
                <w:rFonts w:eastAsia="SimSun"/>
              </w:rPr>
              <w:t>Флударабин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26F771B" w14:textId="77777777" w:rsidR="00124A26" w:rsidRPr="00C07B2E" w:rsidRDefault="00124A26" w:rsidP="002D3EBF">
            <w:pPr>
              <w:ind w:firstLine="0"/>
            </w:pPr>
            <w:r w:rsidRPr="00C07B2E">
              <w:t>30 мг/м</w:t>
            </w:r>
            <w:r w:rsidRPr="00C07B2E">
              <w:rPr>
                <w:vertAlign w:val="superscript"/>
              </w:rPr>
              <w:t>2</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9392406" w14:textId="77777777" w:rsidR="00124A26" w:rsidRPr="00C07B2E" w:rsidRDefault="00124A26" w:rsidP="002D3EBF">
            <w:pPr>
              <w:ind w:firstLine="0"/>
            </w:pPr>
            <w:r w:rsidRPr="00C07B2E">
              <w:t>150 мг/м</w:t>
            </w:r>
            <w:r w:rsidRPr="00C07B2E">
              <w:rPr>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027AC28" w14:textId="77777777" w:rsidR="00124A26" w:rsidRPr="00C07B2E" w:rsidRDefault="00124A26" w:rsidP="002D3EBF">
            <w:pPr>
              <w:ind w:firstLine="0"/>
            </w:pPr>
            <w:r w:rsidRPr="00C07B2E">
              <w:rPr>
                <w:rFonts w:eastAsia="SimSun"/>
              </w:rPr>
              <w:t xml:space="preserve">С </w:t>
            </w:r>
            <w:r w:rsidRPr="00C07B2E">
              <w:rPr>
                <w:rFonts w:eastAsia="SimSun"/>
                <w:lang w:val="en-US"/>
              </w:rPr>
              <w:t>–</w:t>
            </w:r>
            <w:r w:rsidRPr="00C07B2E">
              <w:rPr>
                <w:rFonts w:eastAsia="SimSun"/>
              </w:rPr>
              <w:t xml:space="preserve">6 по </w:t>
            </w:r>
            <w:r w:rsidRPr="00C07B2E">
              <w:rPr>
                <w:rFonts w:eastAsia="SimSun"/>
                <w:lang w:val="en-US"/>
              </w:rPr>
              <w:t>–</w:t>
            </w:r>
            <w:r w:rsidRPr="00C07B2E">
              <w:rPr>
                <w:rFonts w:eastAsia="SimSun"/>
              </w:rPr>
              <w:t>2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D045A4A" w14:textId="77777777" w:rsidR="00124A26" w:rsidRPr="00C07B2E" w:rsidRDefault="00124A26" w:rsidP="002D3EBF">
            <w:pPr>
              <w:ind w:firstLine="0"/>
            </w:pPr>
            <w:r w:rsidRPr="00C07B2E">
              <w:rPr>
                <w:rFonts w:eastAsia="SimSun"/>
              </w:rPr>
              <w:t>В/в, в течение 30 - 60 мин</w:t>
            </w:r>
          </w:p>
        </w:tc>
      </w:tr>
      <w:tr w:rsidR="00124A26" w:rsidRPr="00C07B2E" w14:paraId="4DEC5017" w14:textId="77777777" w:rsidTr="002D3EBF">
        <w:trPr>
          <w:cantSplit/>
          <w:trHeight w:val="2123"/>
        </w:trPr>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6209BD3" w14:textId="77777777" w:rsidR="00124A26" w:rsidRPr="00C07B2E" w:rsidRDefault="00124A26" w:rsidP="002D3EBF">
            <w:pPr>
              <w:ind w:firstLine="0"/>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C06D97A" w14:textId="77777777" w:rsidR="00124A26" w:rsidRPr="00C07B2E" w:rsidRDefault="00124A26" w:rsidP="002D3EBF">
            <w:pPr>
              <w:ind w:firstLine="0"/>
            </w:pPr>
            <w:r w:rsidRPr="00C07B2E">
              <w:rPr>
                <w:rFonts w:eastAsia="SimSun"/>
              </w:rPr>
              <w:t>Бусульфан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DD1DF68" w14:textId="77777777" w:rsidR="00124A26" w:rsidRPr="00C07B2E" w:rsidRDefault="00124A26" w:rsidP="002D3EBF">
            <w:pPr>
              <w:ind w:firstLine="0"/>
            </w:pPr>
            <w:r w:rsidRPr="00C07B2E">
              <w:rPr>
                <w:rFonts w:eastAsia="SimSun"/>
              </w:rPr>
              <w:t>4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7747A91" w14:textId="77777777" w:rsidR="00124A26" w:rsidRPr="00C07B2E" w:rsidRDefault="00124A26" w:rsidP="002D3EBF">
            <w:pPr>
              <w:ind w:firstLine="0"/>
            </w:pPr>
            <w:r w:rsidRPr="00C07B2E">
              <w:rPr>
                <w:rFonts w:eastAsia="SimSun"/>
              </w:rPr>
              <w:t>12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A8EC1CD" w14:textId="77777777" w:rsidR="00124A26" w:rsidRPr="00C07B2E" w:rsidRDefault="00124A26" w:rsidP="002D3EBF">
            <w:pPr>
              <w:ind w:firstLine="0"/>
            </w:pPr>
            <w:r w:rsidRPr="00C07B2E">
              <w:rPr>
                <w:rFonts w:eastAsia="SimSun"/>
                <w:lang w:val="en-US"/>
              </w:rPr>
              <w:t>-5, –4</w:t>
            </w:r>
            <w:r w:rsidRPr="00C07B2E">
              <w:rPr>
                <w:rFonts w:eastAsia="SimSun"/>
              </w:rPr>
              <w:t xml:space="preserve">, </w:t>
            </w:r>
            <w:r w:rsidRPr="00C07B2E">
              <w:rPr>
                <w:rFonts w:eastAsia="SimSun"/>
                <w:lang w:val="en-US"/>
              </w:rPr>
              <w:t>–3</w:t>
            </w:r>
            <w:r w:rsidRPr="00C07B2E">
              <w:rPr>
                <w:rFonts w:eastAsia="SimSun"/>
              </w:rPr>
              <w:t xml:space="preserve">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1ADA6FF" w14:textId="77777777" w:rsidR="00124A26" w:rsidRPr="00C07B2E" w:rsidRDefault="00124A26" w:rsidP="002D3EBF">
            <w:pPr>
              <w:ind w:firstLine="0"/>
            </w:pPr>
            <w:r w:rsidRPr="00C07B2E">
              <w:rPr>
                <w:rFonts w:eastAsia="SimSun"/>
              </w:rPr>
              <w:t>Внутрь, суммарная суточная доза разделяется на 4 приема с интервалом 6 часов.</w:t>
            </w:r>
          </w:p>
        </w:tc>
      </w:tr>
      <w:tr w:rsidR="00124A26" w:rsidRPr="00C07B2E" w14:paraId="315AB98C" w14:textId="77777777" w:rsidTr="002D3EBF">
        <w:trPr>
          <w:cantSplit/>
          <w:trHeight w:val="20"/>
        </w:trPr>
        <w:tc>
          <w:tcPr>
            <w:tcW w:w="709"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7DC958D2" w14:textId="77777777" w:rsidR="00124A26" w:rsidRPr="00C07B2E" w:rsidRDefault="00124A26" w:rsidP="002D3EBF">
            <w:pPr>
              <w:ind w:firstLine="0"/>
            </w:pPr>
            <w:r w:rsidRPr="00C07B2E">
              <w:rPr>
                <w:rFonts w:eastAsia="SimSun"/>
              </w:rPr>
              <w:t>Профилактика РТПХ</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06161A8" w14:textId="77777777" w:rsidR="00124A26" w:rsidRPr="00C07B2E" w:rsidRDefault="00124A26" w:rsidP="002D3EBF">
            <w:pPr>
              <w:ind w:firstLine="0"/>
            </w:pPr>
            <w:r w:rsidRPr="00C07B2E">
              <w:rPr>
                <w:rFonts w:eastAsia="SimSun"/>
              </w:rPr>
              <w:t>Циклоспорин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2EC3D21" w14:textId="77777777" w:rsidR="00124A26" w:rsidRPr="00C07B2E" w:rsidRDefault="00124A26" w:rsidP="002D3EBF">
            <w:pPr>
              <w:ind w:firstLine="0"/>
            </w:pPr>
            <w:r w:rsidRPr="00C07B2E">
              <w:rPr>
                <w:rFonts w:eastAsia="SimSun"/>
              </w:rPr>
              <w:t>3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BF1DF52" w14:textId="77777777" w:rsidR="00124A26" w:rsidRPr="00C07B2E" w:rsidRDefault="00124A26" w:rsidP="002D3EBF">
            <w:pPr>
              <w:ind w:firstLine="0"/>
            </w:pPr>
            <w:r w:rsidRPr="00C07B2E">
              <w:rPr>
                <w:rFonts w:eastAsia="SimSun"/>
                <w:lang w:val="en-US"/>
              </w:rPr>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9113FCD" w14:textId="77777777" w:rsidR="00124A26" w:rsidRPr="00C07B2E" w:rsidRDefault="00124A26" w:rsidP="002D3EBF">
            <w:pPr>
              <w:ind w:firstLine="0"/>
            </w:pPr>
            <w:r w:rsidRPr="00C07B2E">
              <w:t>С +5 по +90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5C994B5" w14:textId="77777777" w:rsidR="00124A26" w:rsidRPr="000F445E" w:rsidRDefault="00124A26" w:rsidP="002D3EBF">
            <w:pPr>
              <w:ind w:firstLine="0"/>
            </w:pPr>
            <w:r w:rsidRPr="00C07B2E">
              <w:rPr>
                <w:rFonts w:eastAsia="SimSun"/>
              </w:rPr>
              <w:t xml:space="preserve">В/в, 5-часовая инфузия 2 раза/сут. </w:t>
            </w:r>
            <w:r w:rsidRPr="000F445E">
              <w:rPr>
                <w:rFonts w:eastAsia="SimSun"/>
              </w:rPr>
              <w:t>Перевод на прием внутрь при условии восстановления лейкоцитов &gt; 1</w:t>
            </w:r>
            <w:r w:rsidRPr="00C07B2E">
              <w:rPr>
                <w:rFonts w:eastAsia="SimSun"/>
              </w:rPr>
              <w:t> </w:t>
            </w:r>
            <w:r>
              <w:rPr>
                <w:rFonts w:eastAsia="SimSun"/>
              </w:rPr>
              <w:t>х</w:t>
            </w:r>
            <w:r w:rsidRPr="000F445E">
              <w:rPr>
                <w:rFonts w:eastAsia="SimSun"/>
              </w:rPr>
              <w:t xml:space="preserve"> 10</w:t>
            </w:r>
            <w:r w:rsidRPr="000F445E">
              <w:rPr>
                <w:rFonts w:eastAsia="SimSun"/>
                <w:vertAlign w:val="superscript"/>
              </w:rPr>
              <w:t>9</w:t>
            </w:r>
            <w:r w:rsidRPr="000F445E">
              <w:rPr>
                <w:rFonts w:eastAsia="SimSun"/>
              </w:rPr>
              <w:t>/л, при отсутствии тошноты, рвоты, диареи и возможности приема внутрь. Концентрация 150-350</w:t>
            </w:r>
            <w:r>
              <w:rPr>
                <w:rFonts w:eastAsia="SimSun"/>
              </w:rPr>
              <w:t xml:space="preserve"> </w:t>
            </w:r>
            <w:r w:rsidRPr="000F445E">
              <w:rPr>
                <w:rFonts w:eastAsia="SimSun"/>
              </w:rPr>
              <w:t>пг/мл.</w:t>
            </w:r>
          </w:p>
        </w:tc>
      </w:tr>
      <w:tr w:rsidR="00124A26" w:rsidRPr="00C07B2E" w14:paraId="2E31180D" w14:textId="77777777" w:rsidTr="002D3EBF">
        <w:trPr>
          <w:cantSplit/>
          <w:trHeight w:val="20"/>
        </w:trPr>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08D08E1" w14:textId="77777777" w:rsidR="00124A26" w:rsidRPr="00C07B2E" w:rsidRDefault="00124A26" w:rsidP="002D3EBF">
            <w:pPr>
              <w:ind w:firstLine="0"/>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D9A4B1F" w14:textId="77777777" w:rsidR="00124A26" w:rsidRPr="00C07B2E" w:rsidRDefault="00124A26" w:rsidP="002D3EBF">
            <w:pPr>
              <w:ind w:firstLine="0"/>
            </w:pPr>
            <w:r w:rsidRPr="00C07B2E">
              <w:rPr>
                <w:rFonts w:eastAsia="SimSun"/>
              </w:rPr>
              <w:t>Микофенолата мофетил</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340C49E" w14:textId="77777777" w:rsidR="00124A26" w:rsidRPr="00C07B2E" w:rsidRDefault="00124A26" w:rsidP="002D3EBF">
            <w:pPr>
              <w:ind w:firstLine="0"/>
            </w:pPr>
            <w:r w:rsidRPr="00C07B2E">
              <w:t>45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6C3DD54" w14:textId="77777777" w:rsidR="00124A26" w:rsidRPr="00C07B2E" w:rsidRDefault="00124A26" w:rsidP="002D3EBF">
            <w:pPr>
              <w:ind w:firstLine="0"/>
            </w:pPr>
            <w:r w:rsidRPr="00C07B2E">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30EC9FD" w14:textId="77777777" w:rsidR="00124A26" w:rsidRPr="00C07B2E" w:rsidRDefault="00124A26" w:rsidP="002D3EBF">
            <w:pPr>
              <w:ind w:firstLine="0"/>
            </w:pPr>
            <w:r w:rsidRPr="00C07B2E">
              <w:t>С +5 по +30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967CD05" w14:textId="77777777" w:rsidR="00124A26" w:rsidRPr="000F445E" w:rsidRDefault="00124A26" w:rsidP="002D3EBF">
            <w:pPr>
              <w:ind w:firstLine="0"/>
            </w:pPr>
            <w:r w:rsidRPr="000F445E">
              <w:rPr>
                <w:rFonts w:eastAsia="SimSun"/>
              </w:rPr>
              <w:t>Внутрь, суммарная суточная доза разделяется на 2- 4 приема (не более 3</w:t>
            </w:r>
            <w:r>
              <w:rPr>
                <w:rFonts w:eastAsia="SimSun"/>
              </w:rPr>
              <w:t xml:space="preserve"> </w:t>
            </w:r>
            <w:r w:rsidRPr="000F445E">
              <w:rPr>
                <w:rFonts w:eastAsia="SimSun"/>
              </w:rPr>
              <w:t>г/сут)</w:t>
            </w:r>
          </w:p>
        </w:tc>
      </w:tr>
      <w:tr w:rsidR="00124A26" w:rsidRPr="00C07B2E" w14:paraId="21212FA7" w14:textId="77777777" w:rsidTr="002D3EBF">
        <w:trPr>
          <w:cantSplit/>
          <w:trHeight w:val="464"/>
        </w:trPr>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C747F65" w14:textId="77777777" w:rsidR="00124A26" w:rsidRPr="00C07B2E" w:rsidRDefault="00124A26" w:rsidP="002D3EBF">
            <w:pPr>
              <w:ind w:firstLine="0"/>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C4802E9" w14:textId="77777777" w:rsidR="00124A26" w:rsidRPr="00C07B2E" w:rsidRDefault="00124A26" w:rsidP="002D3EBF">
            <w:pPr>
              <w:ind w:firstLine="0"/>
            </w:pPr>
            <w:r w:rsidRPr="00C07B2E">
              <w:rPr>
                <w:rFonts w:eastAsia="SimSun"/>
              </w:rPr>
              <w:t>Циклофосфамид</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1A4677B" w14:textId="77777777" w:rsidR="00124A26" w:rsidRPr="00C07B2E" w:rsidRDefault="00124A26" w:rsidP="002D3EBF">
            <w:pPr>
              <w:ind w:firstLine="0"/>
            </w:pPr>
            <w:r w:rsidRPr="00C07B2E">
              <w:rPr>
                <w:rFonts w:eastAsia="SimSun"/>
              </w:rPr>
              <w:t>50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B22B46C" w14:textId="77777777" w:rsidR="00124A26" w:rsidRPr="00C07B2E" w:rsidRDefault="00124A26" w:rsidP="002D3EBF">
            <w:pPr>
              <w:ind w:firstLine="0"/>
            </w:pPr>
            <w:r w:rsidRPr="00C07B2E">
              <w:rPr>
                <w:rFonts w:eastAsia="SimSun"/>
              </w:rPr>
              <w:t>100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D706BCC" w14:textId="77777777" w:rsidR="00124A26" w:rsidRPr="00C07B2E" w:rsidRDefault="00124A26" w:rsidP="002D3EBF">
            <w:pPr>
              <w:ind w:firstLine="0"/>
            </w:pPr>
            <w:r w:rsidRPr="00C07B2E">
              <w:rPr>
                <w:rFonts w:eastAsia="SimSun"/>
              </w:rPr>
              <w:t>+3, +4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CE465C6" w14:textId="77777777" w:rsidR="00124A26" w:rsidRPr="00C07B2E" w:rsidRDefault="00124A26" w:rsidP="002D3EBF">
            <w:pPr>
              <w:ind w:firstLine="0"/>
            </w:pPr>
            <w:r w:rsidRPr="00C07B2E">
              <w:rPr>
                <w:rFonts w:eastAsia="SimSun"/>
              </w:rPr>
              <w:t xml:space="preserve">В/в, в течение 2 ч  </w:t>
            </w:r>
          </w:p>
        </w:tc>
      </w:tr>
    </w:tbl>
    <w:p w14:paraId="112DE187" w14:textId="77777777" w:rsidR="00124A26" w:rsidRPr="00C07B2E" w:rsidRDefault="00124A26" w:rsidP="00124A26">
      <w:pPr>
        <w:rPr>
          <w:rFonts w:eastAsia="SimSun"/>
        </w:rPr>
      </w:pPr>
    </w:p>
    <w:p w14:paraId="2831B2F0" w14:textId="77777777" w:rsidR="00124A26" w:rsidRPr="00C07B2E" w:rsidRDefault="00124A26" w:rsidP="00124A26">
      <w:pPr>
        <w:rPr>
          <w:rFonts w:eastAsia="SimSun"/>
        </w:rPr>
      </w:pPr>
      <w:bookmarkStart w:id="192" w:name="_Toc44401147"/>
      <w:r w:rsidRPr="00042499">
        <w:rPr>
          <w:rFonts w:eastAsia="SimSun"/>
        </w:rPr>
        <w:t>Таблица</w:t>
      </w:r>
      <w:r w:rsidRPr="00C07B2E">
        <w:rPr>
          <w:rFonts w:eastAsia="SimSun"/>
        </w:rPr>
        <w:t xml:space="preserve"> </w:t>
      </w:r>
      <w:r>
        <w:rPr>
          <w:rFonts w:eastAsia="SimSun"/>
        </w:rPr>
        <w:t>5</w:t>
      </w:r>
      <w:r w:rsidRPr="00C07B2E">
        <w:rPr>
          <w:rFonts w:eastAsia="SimSun"/>
        </w:rPr>
        <w:t>.1.1.4  – Flu180+Bu12 / Tx+MMF30</w:t>
      </w:r>
      <w:bookmarkEnd w:id="192"/>
    </w:p>
    <w:tbl>
      <w:tblPr>
        <w:tblW w:w="935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843"/>
        <w:gridCol w:w="1417"/>
        <w:gridCol w:w="1418"/>
        <w:gridCol w:w="1701"/>
        <w:gridCol w:w="2268"/>
      </w:tblGrid>
      <w:tr w:rsidR="00124A26" w:rsidRPr="00C07B2E" w14:paraId="108129B5" w14:textId="77777777" w:rsidTr="002D3EBF">
        <w:trPr>
          <w:cantSplit/>
          <w:trHeight w:val="20"/>
          <w:tblHeader/>
          <w:jc w:val="right"/>
        </w:trPr>
        <w:tc>
          <w:tcPr>
            <w:tcW w:w="709" w:type="dxa"/>
            <w:vAlign w:val="center"/>
          </w:tcPr>
          <w:p w14:paraId="15AA7230" w14:textId="77777777" w:rsidR="00124A26" w:rsidRPr="00C07B2E" w:rsidRDefault="00124A26" w:rsidP="002D3EBF">
            <w:pPr>
              <w:ind w:firstLine="0"/>
              <w:rPr>
                <w:rFonts w:eastAsia="SimSun"/>
              </w:rPr>
            </w:pPr>
          </w:p>
        </w:tc>
        <w:tc>
          <w:tcPr>
            <w:tcW w:w="1843" w:type="dxa"/>
            <w:vAlign w:val="center"/>
          </w:tcPr>
          <w:p w14:paraId="46EB5C7A" w14:textId="77777777" w:rsidR="00124A26" w:rsidRPr="00C07B2E" w:rsidRDefault="00124A26" w:rsidP="002D3EBF">
            <w:pPr>
              <w:ind w:firstLine="0"/>
              <w:rPr>
                <w:rFonts w:eastAsia="SimSun"/>
              </w:rPr>
            </w:pPr>
            <w:r w:rsidRPr="00C07B2E">
              <w:rPr>
                <w:rFonts w:eastAsia="SimSun"/>
              </w:rPr>
              <w:t>Препарат</w:t>
            </w:r>
          </w:p>
        </w:tc>
        <w:tc>
          <w:tcPr>
            <w:tcW w:w="1417" w:type="dxa"/>
            <w:vAlign w:val="center"/>
          </w:tcPr>
          <w:p w14:paraId="4E478145" w14:textId="77777777" w:rsidR="00124A26" w:rsidRPr="00C07B2E" w:rsidRDefault="00124A26" w:rsidP="002D3EBF">
            <w:pPr>
              <w:ind w:firstLine="0"/>
              <w:rPr>
                <w:rFonts w:eastAsia="SimSun"/>
              </w:rPr>
            </w:pPr>
            <w:r w:rsidRPr="00C07B2E">
              <w:rPr>
                <w:rFonts w:eastAsia="SimSun"/>
              </w:rPr>
              <w:t>Суточная доза</w:t>
            </w:r>
          </w:p>
        </w:tc>
        <w:tc>
          <w:tcPr>
            <w:tcW w:w="1418" w:type="dxa"/>
            <w:vAlign w:val="center"/>
          </w:tcPr>
          <w:p w14:paraId="283722D0" w14:textId="77777777" w:rsidR="00124A26" w:rsidRPr="00C07B2E" w:rsidRDefault="00124A26" w:rsidP="002D3EBF">
            <w:pPr>
              <w:ind w:firstLine="0"/>
              <w:rPr>
                <w:rFonts w:eastAsia="SimSun"/>
              </w:rPr>
            </w:pPr>
            <w:r w:rsidRPr="00C07B2E">
              <w:rPr>
                <w:rFonts w:eastAsia="SimSun"/>
              </w:rPr>
              <w:t>Курсовая доза</w:t>
            </w:r>
          </w:p>
        </w:tc>
        <w:tc>
          <w:tcPr>
            <w:tcW w:w="1701" w:type="dxa"/>
            <w:vAlign w:val="center"/>
          </w:tcPr>
          <w:p w14:paraId="663F4ADF" w14:textId="77777777" w:rsidR="00124A26" w:rsidRPr="00C07B2E" w:rsidRDefault="00124A26" w:rsidP="002D3EBF">
            <w:pPr>
              <w:ind w:firstLine="0"/>
              <w:rPr>
                <w:rFonts w:eastAsia="SimSun"/>
              </w:rPr>
            </w:pPr>
            <w:r w:rsidRPr="00C07B2E">
              <w:rPr>
                <w:rFonts w:eastAsia="SimSun"/>
              </w:rPr>
              <w:t>Дни введения</w:t>
            </w:r>
          </w:p>
        </w:tc>
        <w:tc>
          <w:tcPr>
            <w:tcW w:w="2268" w:type="dxa"/>
            <w:vAlign w:val="center"/>
          </w:tcPr>
          <w:p w14:paraId="25282787" w14:textId="77777777" w:rsidR="00124A26" w:rsidRPr="00C07B2E" w:rsidRDefault="00124A26" w:rsidP="002D3EBF">
            <w:pPr>
              <w:ind w:firstLine="0"/>
              <w:rPr>
                <w:rFonts w:eastAsia="SimSun"/>
              </w:rPr>
            </w:pPr>
            <w:r w:rsidRPr="00C07B2E">
              <w:rPr>
                <w:rFonts w:eastAsia="SimSun"/>
              </w:rPr>
              <w:t>Порядок введения</w:t>
            </w:r>
          </w:p>
        </w:tc>
      </w:tr>
      <w:tr w:rsidR="00124A26" w:rsidRPr="00C07B2E" w14:paraId="702137B4" w14:textId="77777777" w:rsidTr="002D3EBF">
        <w:trPr>
          <w:cantSplit/>
          <w:trHeight w:val="20"/>
          <w:jc w:val="right"/>
        </w:trPr>
        <w:tc>
          <w:tcPr>
            <w:tcW w:w="709" w:type="dxa"/>
            <w:vMerge w:val="restart"/>
            <w:textDirection w:val="btLr"/>
            <w:vAlign w:val="center"/>
          </w:tcPr>
          <w:p w14:paraId="4629B90E" w14:textId="77777777" w:rsidR="00124A26" w:rsidRPr="00C07B2E" w:rsidRDefault="00124A26" w:rsidP="002D3EBF">
            <w:pPr>
              <w:ind w:firstLine="0"/>
              <w:rPr>
                <w:rFonts w:eastAsia="SimSun"/>
              </w:rPr>
            </w:pPr>
            <w:r w:rsidRPr="00C07B2E">
              <w:rPr>
                <w:rFonts w:eastAsia="SimSun"/>
              </w:rPr>
              <w:t>Кондиционирование</w:t>
            </w:r>
          </w:p>
        </w:tc>
        <w:tc>
          <w:tcPr>
            <w:tcW w:w="1843" w:type="dxa"/>
            <w:vAlign w:val="center"/>
          </w:tcPr>
          <w:p w14:paraId="49AD1FAF" w14:textId="77777777" w:rsidR="00124A26" w:rsidRPr="00C07B2E" w:rsidRDefault="00124A26" w:rsidP="002D3EBF">
            <w:pPr>
              <w:ind w:firstLine="0"/>
              <w:rPr>
                <w:rFonts w:eastAsia="SimSun"/>
              </w:rPr>
            </w:pPr>
            <w:r w:rsidRPr="00C07B2E">
              <w:rPr>
                <w:rFonts w:eastAsia="SimSun"/>
              </w:rPr>
              <w:t xml:space="preserve">Флударабин </w:t>
            </w:r>
          </w:p>
        </w:tc>
        <w:tc>
          <w:tcPr>
            <w:tcW w:w="1417" w:type="dxa"/>
            <w:vAlign w:val="center"/>
          </w:tcPr>
          <w:p w14:paraId="11A54F00" w14:textId="77777777" w:rsidR="00124A26" w:rsidRPr="00C07B2E" w:rsidRDefault="00124A26" w:rsidP="002D3EBF">
            <w:pPr>
              <w:ind w:firstLine="0"/>
              <w:rPr>
                <w:rFonts w:eastAsia="SimSun"/>
              </w:rPr>
            </w:pPr>
            <w:r w:rsidRPr="00C07B2E">
              <w:rPr>
                <w:rFonts w:eastAsia="SimSun"/>
              </w:rPr>
              <w:t>30 мг/</w:t>
            </w:r>
            <w:r w:rsidRPr="000F445E">
              <w:rPr>
                <w:rFonts w:eastAsia="SimSun"/>
              </w:rPr>
              <w:t>м</w:t>
            </w:r>
            <w:r w:rsidRPr="000F445E">
              <w:rPr>
                <w:rFonts w:eastAsia="SimSun"/>
                <w:vertAlign w:val="superscript"/>
              </w:rPr>
              <w:t>2</w:t>
            </w:r>
          </w:p>
        </w:tc>
        <w:tc>
          <w:tcPr>
            <w:tcW w:w="1418" w:type="dxa"/>
            <w:vAlign w:val="center"/>
          </w:tcPr>
          <w:p w14:paraId="0DD45EFC" w14:textId="77777777" w:rsidR="00124A26" w:rsidRPr="00C07B2E" w:rsidRDefault="00124A26" w:rsidP="002D3EBF">
            <w:pPr>
              <w:ind w:firstLine="0"/>
              <w:rPr>
                <w:rFonts w:eastAsia="SimSun"/>
              </w:rPr>
            </w:pPr>
            <w:r w:rsidRPr="00C07B2E">
              <w:rPr>
                <w:rFonts w:eastAsia="SimSun"/>
              </w:rPr>
              <w:t>180 мг/м</w:t>
            </w:r>
            <w:r w:rsidRPr="000F445E">
              <w:rPr>
                <w:rFonts w:eastAsia="SimSun"/>
                <w:vertAlign w:val="superscript"/>
              </w:rPr>
              <w:t>2</w:t>
            </w:r>
          </w:p>
        </w:tc>
        <w:tc>
          <w:tcPr>
            <w:tcW w:w="1701" w:type="dxa"/>
            <w:vAlign w:val="center"/>
          </w:tcPr>
          <w:p w14:paraId="274CB4ED" w14:textId="77777777" w:rsidR="00124A26" w:rsidRPr="00C07B2E" w:rsidRDefault="00124A26" w:rsidP="002D3EBF">
            <w:pPr>
              <w:ind w:firstLine="0"/>
              <w:rPr>
                <w:rFonts w:eastAsia="SimSun"/>
              </w:rPr>
            </w:pPr>
            <w:r w:rsidRPr="00C07B2E">
              <w:rPr>
                <w:rFonts w:eastAsia="SimSun"/>
              </w:rPr>
              <w:t>С -7 дня по -2 день</w:t>
            </w:r>
          </w:p>
        </w:tc>
        <w:tc>
          <w:tcPr>
            <w:tcW w:w="2268" w:type="dxa"/>
            <w:vAlign w:val="center"/>
          </w:tcPr>
          <w:p w14:paraId="44C5B799" w14:textId="77777777" w:rsidR="00124A26" w:rsidRPr="00C07B2E" w:rsidRDefault="00124A26" w:rsidP="002D3EBF">
            <w:pPr>
              <w:ind w:firstLine="0"/>
              <w:rPr>
                <w:rFonts w:eastAsia="SimSun"/>
              </w:rPr>
            </w:pPr>
            <w:r w:rsidRPr="00C07B2E">
              <w:rPr>
                <w:rFonts w:eastAsia="SimSun"/>
              </w:rPr>
              <w:t>В/в, в течение 30 - 60 мин</w:t>
            </w:r>
          </w:p>
        </w:tc>
      </w:tr>
      <w:tr w:rsidR="00124A26" w:rsidRPr="00C07B2E" w14:paraId="21B08956" w14:textId="77777777" w:rsidTr="002D3EBF">
        <w:trPr>
          <w:cantSplit/>
          <w:trHeight w:val="1207"/>
          <w:jc w:val="right"/>
        </w:trPr>
        <w:tc>
          <w:tcPr>
            <w:tcW w:w="709" w:type="dxa"/>
            <w:vMerge/>
            <w:vAlign w:val="center"/>
          </w:tcPr>
          <w:p w14:paraId="4562ED66" w14:textId="77777777" w:rsidR="00124A26" w:rsidRPr="00C07B2E" w:rsidRDefault="00124A26" w:rsidP="002D3EBF">
            <w:pPr>
              <w:ind w:firstLine="0"/>
              <w:rPr>
                <w:rFonts w:eastAsia="SimSun"/>
              </w:rPr>
            </w:pPr>
          </w:p>
        </w:tc>
        <w:tc>
          <w:tcPr>
            <w:tcW w:w="1843" w:type="dxa"/>
            <w:vAlign w:val="center"/>
          </w:tcPr>
          <w:p w14:paraId="7F3A4961" w14:textId="77777777" w:rsidR="00124A26" w:rsidRPr="00C07B2E" w:rsidRDefault="00124A26" w:rsidP="002D3EBF">
            <w:pPr>
              <w:ind w:firstLine="0"/>
              <w:rPr>
                <w:rFonts w:eastAsia="SimSun"/>
              </w:rPr>
            </w:pPr>
            <w:r w:rsidRPr="00C07B2E">
              <w:rPr>
                <w:rFonts w:eastAsia="SimSun"/>
              </w:rPr>
              <w:t>Бусульфан</w:t>
            </w:r>
          </w:p>
        </w:tc>
        <w:tc>
          <w:tcPr>
            <w:tcW w:w="1417" w:type="dxa"/>
            <w:vAlign w:val="center"/>
          </w:tcPr>
          <w:p w14:paraId="7A1DFA95" w14:textId="77777777" w:rsidR="00124A26" w:rsidRPr="00C07B2E" w:rsidRDefault="00124A26" w:rsidP="002D3EBF">
            <w:pPr>
              <w:ind w:firstLine="0"/>
              <w:rPr>
                <w:rFonts w:eastAsia="SimSun"/>
              </w:rPr>
            </w:pPr>
            <w:r w:rsidRPr="00C07B2E">
              <w:rPr>
                <w:rFonts w:eastAsia="SimSun"/>
              </w:rPr>
              <w:t xml:space="preserve">4 мг/кг </w:t>
            </w:r>
          </w:p>
        </w:tc>
        <w:tc>
          <w:tcPr>
            <w:tcW w:w="1418" w:type="dxa"/>
            <w:vAlign w:val="center"/>
          </w:tcPr>
          <w:p w14:paraId="6B231924" w14:textId="77777777" w:rsidR="00124A26" w:rsidRPr="00C07B2E" w:rsidRDefault="00124A26" w:rsidP="002D3EBF">
            <w:pPr>
              <w:ind w:firstLine="0"/>
              <w:rPr>
                <w:rFonts w:eastAsia="SimSun"/>
              </w:rPr>
            </w:pPr>
            <w:r w:rsidRPr="00C07B2E">
              <w:rPr>
                <w:rFonts w:eastAsia="SimSun"/>
                <w:lang w:val="en-US"/>
              </w:rPr>
              <w:t>12</w:t>
            </w:r>
            <w:r w:rsidRPr="00C07B2E">
              <w:rPr>
                <w:rFonts w:eastAsia="SimSun"/>
              </w:rPr>
              <w:t xml:space="preserve"> мг/кг </w:t>
            </w:r>
          </w:p>
        </w:tc>
        <w:tc>
          <w:tcPr>
            <w:tcW w:w="1701" w:type="dxa"/>
            <w:vAlign w:val="center"/>
          </w:tcPr>
          <w:p w14:paraId="3C887363" w14:textId="77777777" w:rsidR="00124A26" w:rsidRPr="00C07B2E" w:rsidRDefault="00124A26" w:rsidP="002D3EBF">
            <w:pPr>
              <w:ind w:firstLine="0"/>
              <w:rPr>
                <w:rFonts w:eastAsia="SimSun"/>
              </w:rPr>
            </w:pPr>
            <w:r w:rsidRPr="00C07B2E">
              <w:rPr>
                <w:rFonts w:eastAsia="SimSun"/>
              </w:rPr>
              <w:t>С -</w:t>
            </w:r>
            <w:r w:rsidRPr="00C07B2E">
              <w:rPr>
                <w:rFonts w:eastAsia="SimSun"/>
                <w:lang w:val="en-US"/>
              </w:rPr>
              <w:t>5</w:t>
            </w:r>
            <w:r w:rsidRPr="00C07B2E">
              <w:rPr>
                <w:rFonts w:eastAsia="SimSun"/>
              </w:rPr>
              <w:t xml:space="preserve"> дня по -3 день</w:t>
            </w:r>
          </w:p>
        </w:tc>
        <w:tc>
          <w:tcPr>
            <w:tcW w:w="2268" w:type="dxa"/>
            <w:vAlign w:val="center"/>
          </w:tcPr>
          <w:p w14:paraId="59BF79CD" w14:textId="77777777" w:rsidR="00124A26" w:rsidRPr="00C07B2E" w:rsidRDefault="00124A26" w:rsidP="002D3EBF">
            <w:pPr>
              <w:ind w:firstLine="0"/>
              <w:rPr>
                <w:rFonts w:eastAsia="SimSun"/>
              </w:rPr>
            </w:pPr>
            <w:r w:rsidRPr="00C07B2E">
              <w:rPr>
                <w:rFonts w:eastAsia="SimSun"/>
              </w:rPr>
              <w:t xml:space="preserve">Внутрь, суммарная суточная доза разделяется на 4 приема с интервалом 6 часов. </w:t>
            </w:r>
          </w:p>
        </w:tc>
      </w:tr>
      <w:tr w:rsidR="00124A26" w:rsidRPr="00C07B2E" w14:paraId="79D713C2" w14:textId="77777777" w:rsidTr="002D3EBF">
        <w:trPr>
          <w:cantSplit/>
          <w:trHeight w:val="1498"/>
          <w:jc w:val="right"/>
        </w:trPr>
        <w:tc>
          <w:tcPr>
            <w:tcW w:w="709" w:type="dxa"/>
            <w:vMerge w:val="restart"/>
            <w:textDirection w:val="btLr"/>
            <w:vAlign w:val="center"/>
          </w:tcPr>
          <w:p w14:paraId="0C91763F" w14:textId="77777777" w:rsidR="00124A26" w:rsidRPr="00C07B2E" w:rsidRDefault="00124A26" w:rsidP="002D3EBF">
            <w:pPr>
              <w:ind w:firstLine="0"/>
              <w:rPr>
                <w:rFonts w:eastAsia="SimSun"/>
              </w:rPr>
            </w:pPr>
            <w:r w:rsidRPr="00C07B2E">
              <w:rPr>
                <w:rFonts w:eastAsia="SimSun"/>
              </w:rPr>
              <w:t>Профилактика РТПХ</w:t>
            </w:r>
          </w:p>
        </w:tc>
        <w:tc>
          <w:tcPr>
            <w:tcW w:w="1843" w:type="dxa"/>
            <w:vAlign w:val="center"/>
          </w:tcPr>
          <w:p w14:paraId="437205BC" w14:textId="77777777" w:rsidR="00124A26" w:rsidRPr="00C07B2E" w:rsidRDefault="00124A26" w:rsidP="002D3EBF">
            <w:pPr>
              <w:ind w:firstLine="0"/>
              <w:rPr>
                <w:rFonts w:eastAsia="SimSun"/>
              </w:rPr>
            </w:pPr>
            <w:r w:rsidRPr="00C07B2E">
              <w:rPr>
                <w:rFonts w:eastAsia="SimSun"/>
              </w:rPr>
              <w:t xml:space="preserve">Такролимус </w:t>
            </w:r>
          </w:p>
        </w:tc>
        <w:tc>
          <w:tcPr>
            <w:tcW w:w="1417" w:type="dxa"/>
            <w:vAlign w:val="center"/>
          </w:tcPr>
          <w:p w14:paraId="0852D5A4" w14:textId="77777777" w:rsidR="00124A26" w:rsidRPr="00C07B2E" w:rsidRDefault="00124A26" w:rsidP="002D3EBF">
            <w:pPr>
              <w:ind w:firstLine="0"/>
              <w:rPr>
                <w:rFonts w:eastAsia="SimSun"/>
              </w:rPr>
            </w:pPr>
            <w:r w:rsidRPr="00C07B2E">
              <w:rPr>
                <w:rFonts w:eastAsia="SimSun"/>
              </w:rPr>
              <w:t>0,03 мг/кг</w:t>
            </w:r>
          </w:p>
        </w:tc>
        <w:tc>
          <w:tcPr>
            <w:tcW w:w="1418" w:type="dxa"/>
            <w:vAlign w:val="center"/>
          </w:tcPr>
          <w:p w14:paraId="6CDAADF9" w14:textId="77777777" w:rsidR="00124A26" w:rsidRPr="00C07B2E" w:rsidRDefault="00124A26" w:rsidP="002D3EBF">
            <w:pPr>
              <w:ind w:firstLine="0"/>
              <w:rPr>
                <w:rFonts w:eastAsia="SimSun"/>
              </w:rPr>
            </w:pPr>
            <w:r w:rsidRPr="00C07B2E">
              <w:rPr>
                <w:rFonts w:eastAsia="SimSun"/>
                <w:lang w:val="en-US"/>
              </w:rPr>
              <w:t>–</w:t>
            </w:r>
          </w:p>
        </w:tc>
        <w:tc>
          <w:tcPr>
            <w:tcW w:w="1701" w:type="dxa"/>
            <w:vAlign w:val="center"/>
          </w:tcPr>
          <w:p w14:paraId="1C51088B" w14:textId="77777777" w:rsidR="00124A26" w:rsidRPr="00C07B2E" w:rsidRDefault="00124A26" w:rsidP="002D3EBF">
            <w:pPr>
              <w:ind w:firstLine="0"/>
              <w:rPr>
                <w:rFonts w:eastAsia="SimSun"/>
              </w:rPr>
            </w:pPr>
            <w:r w:rsidRPr="00C07B2E">
              <w:rPr>
                <w:rFonts w:eastAsia="SimSun"/>
              </w:rPr>
              <w:t xml:space="preserve">С </w:t>
            </w:r>
            <w:r w:rsidRPr="00C07B2E">
              <w:rPr>
                <w:rFonts w:eastAsia="SimSun"/>
                <w:lang w:val="en-US"/>
              </w:rPr>
              <w:t>-1</w:t>
            </w:r>
            <w:r w:rsidRPr="00C07B2E">
              <w:rPr>
                <w:rFonts w:eastAsia="SimSun"/>
              </w:rPr>
              <w:t xml:space="preserve"> дня длительно </w:t>
            </w:r>
          </w:p>
        </w:tc>
        <w:tc>
          <w:tcPr>
            <w:tcW w:w="2268" w:type="dxa"/>
            <w:vAlign w:val="center"/>
          </w:tcPr>
          <w:p w14:paraId="6BC1834D" w14:textId="77777777" w:rsidR="00124A26" w:rsidRPr="000F445E" w:rsidRDefault="00124A26" w:rsidP="002D3EBF">
            <w:pPr>
              <w:ind w:firstLine="0"/>
              <w:rPr>
                <w:rFonts w:eastAsia="SimSun"/>
              </w:rPr>
            </w:pPr>
            <w:r w:rsidRPr="00C07B2E">
              <w:rPr>
                <w:rFonts w:eastAsia="SimSun"/>
              </w:rPr>
              <w:t xml:space="preserve">В/в инфузия в течение 24 ч с последующей коррекцией суточной дозы по концентрации. </w:t>
            </w:r>
            <w:r w:rsidRPr="000F445E">
              <w:rPr>
                <w:rFonts w:eastAsia="SimSun"/>
              </w:rPr>
              <w:t>Перевод на прием внутрь при условии восстановления лейкоцитов &gt; 1</w:t>
            </w:r>
            <w:r w:rsidRPr="00C07B2E">
              <w:rPr>
                <w:rFonts w:eastAsia="SimSun"/>
              </w:rPr>
              <w:t> </w:t>
            </w:r>
            <w:r>
              <w:rPr>
                <w:rFonts w:eastAsia="SimSun"/>
              </w:rPr>
              <w:t xml:space="preserve">х </w:t>
            </w:r>
            <w:r w:rsidRPr="000F445E">
              <w:rPr>
                <w:rFonts w:eastAsia="SimSun"/>
              </w:rPr>
              <w:t>10</w:t>
            </w:r>
            <w:r w:rsidRPr="000F445E">
              <w:rPr>
                <w:rFonts w:eastAsia="SimSun"/>
                <w:vertAlign w:val="superscript"/>
              </w:rPr>
              <w:t>9</w:t>
            </w:r>
            <w:r w:rsidRPr="000F445E">
              <w:rPr>
                <w:rFonts w:eastAsia="SimSun"/>
              </w:rPr>
              <w:t xml:space="preserve">/л, при отсутствии тошноты, рвоты, диареи и возможности приема внутрь. Концентрация </w:t>
            </w:r>
            <w:r w:rsidRPr="00C07B2E">
              <w:rPr>
                <w:rFonts w:eastAsia="SimSun"/>
                <w:lang w:val="en-US"/>
              </w:rPr>
              <w:t>Tx</w:t>
            </w:r>
            <w:r w:rsidRPr="000F445E">
              <w:rPr>
                <w:rFonts w:eastAsia="SimSun"/>
              </w:rPr>
              <w:t xml:space="preserve"> 5-15 нг/мл.    </w:t>
            </w:r>
          </w:p>
        </w:tc>
      </w:tr>
      <w:tr w:rsidR="00124A26" w:rsidRPr="00C07B2E" w14:paraId="42098CA9" w14:textId="77777777" w:rsidTr="002D3EBF">
        <w:trPr>
          <w:cantSplit/>
          <w:trHeight w:val="2381"/>
          <w:jc w:val="right"/>
        </w:trPr>
        <w:tc>
          <w:tcPr>
            <w:tcW w:w="709" w:type="dxa"/>
            <w:vMerge/>
            <w:textDirection w:val="btLr"/>
            <w:vAlign w:val="center"/>
          </w:tcPr>
          <w:p w14:paraId="4B1E042B" w14:textId="77777777" w:rsidR="00124A26" w:rsidRPr="000F445E" w:rsidRDefault="00124A26" w:rsidP="002D3EBF">
            <w:pPr>
              <w:ind w:firstLine="0"/>
              <w:rPr>
                <w:rFonts w:eastAsia="SimSun"/>
              </w:rPr>
            </w:pPr>
          </w:p>
        </w:tc>
        <w:tc>
          <w:tcPr>
            <w:tcW w:w="1843" w:type="dxa"/>
            <w:vAlign w:val="center"/>
          </w:tcPr>
          <w:p w14:paraId="5992C7DA" w14:textId="77777777" w:rsidR="00124A26" w:rsidRPr="00C07B2E" w:rsidRDefault="00124A26" w:rsidP="002D3EBF">
            <w:pPr>
              <w:ind w:firstLine="0"/>
              <w:rPr>
                <w:rFonts w:eastAsia="SimSun"/>
              </w:rPr>
            </w:pPr>
            <w:r w:rsidRPr="00C07B2E">
              <w:rPr>
                <w:rFonts w:eastAsia="SimSun"/>
              </w:rPr>
              <w:t>Микофенолата мофетил</w:t>
            </w:r>
          </w:p>
        </w:tc>
        <w:tc>
          <w:tcPr>
            <w:tcW w:w="1417" w:type="dxa"/>
            <w:vAlign w:val="center"/>
          </w:tcPr>
          <w:p w14:paraId="6F09D50D" w14:textId="77777777" w:rsidR="00124A26" w:rsidRPr="00C07B2E" w:rsidRDefault="00124A26" w:rsidP="002D3EBF">
            <w:pPr>
              <w:ind w:firstLine="0"/>
              <w:rPr>
                <w:rFonts w:eastAsia="SimSun"/>
              </w:rPr>
            </w:pPr>
            <w:r w:rsidRPr="00C07B2E">
              <w:rPr>
                <w:rFonts w:eastAsia="SimSun"/>
              </w:rPr>
              <w:t xml:space="preserve">30 мг/кг </w:t>
            </w:r>
          </w:p>
        </w:tc>
        <w:tc>
          <w:tcPr>
            <w:tcW w:w="1418" w:type="dxa"/>
            <w:vAlign w:val="center"/>
          </w:tcPr>
          <w:p w14:paraId="673F5246" w14:textId="77777777" w:rsidR="00124A26" w:rsidRPr="00C07B2E" w:rsidRDefault="00124A26" w:rsidP="002D3EBF">
            <w:pPr>
              <w:ind w:firstLine="0"/>
              <w:rPr>
                <w:rFonts w:eastAsia="SimSun"/>
              </w:rPr>
            </w:pPr>
            <w:r w:rsidRPr="00C07B2E">
              <w:rPr>
                <w:rFonts w:eastAsia="SimSun"/>
              </w:rPr>
              <w:t>–</w:t>
            </w:r>
          </w:p>
        </w:tc>
        <w:tc>
          <w:tcPr>
            <w:tcW w:w="1701" w:type="dxa"/>
            <w:vAlign w:val="center"/>
          </w:tcPr>
          <w:p w14:paraId="03443FB2" w14:textId="77777777" w:rsidR="00124A26" w:rsidRPr="00C07B2E" w:rsidRDefault="00124A26" w:rsidP="002D3EBF">
            <w:pPr>
              <w:ind w:firstLine="0"/>
              <w:rPr>
                <w:rFonts w:eastAsia="SimSun"/>
              </w:rPr>
            </w:pPr>
            <w:r w:rsidRPr="00C07B2E">
              <w:rPr>
                <w:rFonts w:eastAsia="SimSun"/>
              </w:rPr>
              <w:t xml:space="preserve">С </w:t>
            </w:r>
            <w:r w:rsidRPr="00C07B2E">
              <w:rPr>
                <w:rFonts w:eastAsia="SimSun"/>
                <w:lang w:val="en-US"/>
              </w:rPr>
              <w:t>-1</w:t>
            </w:r>
            <w:r w:rsidRPr="00C07B2E">
              <w:rPr>
                <w:rFonts w:eastAsia="SimSun"/>
              </w:rPr>
              <w:t xml:space="preserve"> дня по +3</w:t>
            </w:r>
            <w:r w:rsidRPr="00C07B2E">
              <w:rPr>
                <w:rFonts w:eastAsia="SimSun"/>
                <w:lang w:val="en-US"/>
              </w:rPr>
              <w:t>0</w:t>
            </w:r>
            <w:r w:rsidRPr="00C07B2E">
              <w:rPr>
                <w:rFonts w:eastAsia="SimSun"/>
              </w:rPr>
              <w:t xml:space="preserve"> день </w:t>
            </w:r>
          </w:p>
        </w:tc>
        <w:tc>
          <w:tcPr>
            <w:tcW w:w="2268" w:type="dxa"/>
            <w:vAlign w:val="center"/>
          </w:tcPr>
          <w:p w14:paraId="6C4C313B" w14:textId="77777777" w:rsidR="00124A26" w:rsidRPr="00C07B2E" w:rsidRDefault="00124A26" w:rsidP="002D3EBF">
            <w:pPr>
              <w:ind w:right="-138" w:firstLine="0"/>
              <w:rPr>
                <w:rFonts w:eastAsia="SimSun"/>
              </w:rPr>
            </w:pPr>
            <w:r w:rsidRPr="00C07B2E">
              <w:rPr>
                <w:rFonts w:eastAsia="SimSun"/>
              </w:rPr>
              <w:t>Внутрь, суммарная суточная доза разделяется на 2- 4 приема (не более 3г/сут)</w:t>
            </w:r>
          </w:p>
        </w:tc>
      </w:tr>
    </w:tbl>
    <w:p w14:paraId="03661347" w14:textId="77777777" w:rsidR="00124A26" w:rsidRPr="00C07B2E" w:rsidRDefault="00124A26" w:rsidP="00124A26">
      <w:pPr>
        <w:rPr>
          <w:rFonts w:eastAsia="SimSun"/>
        </w:rPr>
        <w:sectPr w:rsidR="00124A26" w:rsidRPr="00C07B2E" w:rsidSect="00980822">
          <w:type w:val="continuous"/>
          <w:pgSz w:w="11907" w:h="16839" w:code="9"/>
          <w:pgMar w:top="1134" w:right="850" w:bottom="1134" w:left="1701" w:header="709" w:footer="567" w:gutter="0"/>
          <w:cols w:space="708"/>
          <w:docGrid w:linePitch="360"/>
        </w:sectPr>
      </w:pPr>
    </w:p>
    <w:p w14:paraId="7DFE4323" w14:textId="77777777" w:rsidR="00124A26" w:rsidRDefault="00124A26" w:rsidP="00124A26">
      <w:pPr>
        <w:rPr>
          <w:rFonts w:eastAsia="SimSun"/>
        </w:rPr>
      </w:pPr>
      <w:bookmarkStart w:id="193" w:name="_Toc44401148"/>
    </w:p>
    <w:p w14:paraId="1E628656" w14:textId="77777777" w:rsidR="00124A26" w:rsidRPr="00C07B2E" w:rsidRDefault="00124A26" w:rsidP="00124A26">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.1.1.5  – Flu180+Bu12 / PT-Cy</w:t>
      </w:r>
      <w:bookmarkEnd w:id="193"/>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843"/>
        <w:gridCol w:w="1417"/>
        <w:gridCol w:w="1337"/>
        <w:gridCol w:w="1701"/>
        <w:gridCol w:w="2268"/>
      </w:tblGrid>
      <w:tr w:rsidR="00124A26" w:rsidRPr="00C07B2E" w14:paraId="5B251EB4" w14:textId="77777777" w:rsidTr="002D3EBF">
        <w:trPr>
          <w:cantSplit/>
          <w:trHeight w:val="20"/>
          <w:tblHeader/>
        </w:trPr>
        <w:tc>
          <w:tcPr>
            <w:tcW w:w="959" w:type="dxa"/>
            <w:vAlign w:val="center"/>
          </w:tcPr>
          <w:p w14:paraId="44C84505" w14:textId="77777777" w:rsidR="00124A26" w:rsidRPr="00980822" w:rsidRDefault="00124A26" w:rsidP="002D3EBF">
            <w:pPr>
              <w:ind w:firstLine="98"/>
              <w:rPr>
                <w:rFonts w:eastAsia="SimSun"/>
              </w:rPr>
            </w:pPr>
          </w:p>
        </w:tc>
        <w:tc>
          <w:tcPr>
            <w:tcW w:w="1843" w:type="dxa"/>
            <w:vAlign w:val="center"/>
          </w:tcPr>
          <w:p w14:paraId="520C97FF" w14:textId="77777777" w:rsidR="00124A26" w:rsidRPr="00C07B2E" w:rsidRDefault="00124A26" w:rsidP="002D3EBF">
            <w:pPr>
              <w:ind w:firstLine="98"/>
              <w:rPr>
                <w:rFonts w:eastAsia="SimSun"/>
              </w:rPr>
            </w:pPr>
            <w:r w:rsidRPr="00C07B2E">
              <w:rPr>
                <w:rFonts w:eastAsia="SimSun"/>
              </w:rPr>
              <w:t>Препарат</w:t>
            </w:r>
          </w:p>
        </w:tc>
        <w:tc>
          <w:tcPr>
            <w:tcW w:w="1417" w:type="dxa"/>
            <w:vAlign w:val="center"/>
          </w:tcPr>
          <w:p w14:paraId="483000E8" w14:textId="77777777" w:rsidR="00124A26" w:rsidRPr="00C07B2E" w:rsidRDefault="00124A26" w:rsidP="002D3EBF">
            <w:pPr>
              <w:ind w:firstLine="98"/>
              <w:rPr>
                <w:rFonts w:eastAsia="SimSun"/>
              </w:rPr>
            </w:pPr>
            <w:r w:rsidRPr="00C07B2E">
              <w:rPr>
                <w:rFonts w:eastAsia="SimSun"/>
              </w:rPr>
              <w:t>Суточная доза</w:t>
            </w:r>
          </w:p>
        </w:tc>
        <w:tc>
          <w:tcPr>
            <w:tcW w:w="1337" w:type="dxa"/>
            <w:vAlign w:val="center"/>
          </w:tcPr>
          <w:p w14:paraId="749F9401" w14:textId="77777777" w:rsidR="00124A26" w:rsidRPr="00C07B2E" w:rsidRDefault="00124A26" w:rsidP="002D3EBF">
            <w:pPr>
              <w:ind w:firstLine="98"/>
              <w:rPr>
                <w:rFonts w:eastAsia="SimSun"/>
              </w:rPr>
            </w:pPr>
            <w:r w:rsidRPr="00C07B2E">
              <w:rPr>
                <w:rFonts w:eastAsia="SimSun"/>
              </w:rPr>
              <w:t>Курсовая доза</w:t>
            </w:r>
          </w:p>
        </w:tc>
        <w:tc>
          <w:tcPr>
            <w:tcW w:w="1701" w:type="dxa"/>
            <w:vAlign w:val="center"/>
          </w:tcPr>
          <w:p w14:paraId="28FDCE65" w14:textId="77777777" w:rsidR="00124A26" w:rsidRPr="00C07B2E" w:rsidRDefault="00124A26" w:rsidP="002D3EBF">
            <w:pPr>
              <w:ind w:firstLine="98"/>
              <w:rPr>
                <w:rFonts w:eastAsia="SimSun"/>
              </w:rPr>
            </w:pPr>
            <w:r w:rsidRPr="00C07B2E">
              <w:rPr>
                <w:rFonts w:eastAsia="SimSun"/>
              </w:rPr>
              <w:t>Дни введения</w:t>
            </w:r>
          </w:p>
        </w:tc>
        <w:tc>
          <w:tcPr>
            <w:tcW w:w="2268" w:type="dxa"/>
            <w:vAlign w:val="center"/>
          </w:tcPr>
          <w:p w14:paraId="2BE3BF0D" w14:textId="77777777" w:rsidR="00124A26" w:rsidRPr="00C07B2E" w:rsidRDefault="00124A26" w:rsidP="002D3EBF">
            <w:pPr>
              <w:ind w:firstLine="98"/>
              <w:rPr>
                <w:rFonts w:eastAsia="SimSun"/>
              </w:rPr>
            </w:pPr>
            <w:r w:rsidRPr="00C07B2E">
              <w:rPr>
                <w:rFonts w:eastAsia="SimSun"/>
              </w:rPr>
              <w:t>Порядок введения</w:t>
            </w:r>
          </w:p>
        </w:tc>
      </w:tr>
      <w:tr w:rsidR="00124A26" w:rsidRPr="00C07B2E" w14:paraId="2CE38886" w14:textId="77777777" w:rsidTr="002D3EBF">
        <w:trPr>
          <w:cantSplit/>
          <w:trHeight w:val="20"/>
        </w:trPr>
        <w:tc>
          <w:tcPr>
            <w:tcW w:w="959" w:type="dxa"/>
            <w:vMerge w:val="restart"/>
            <w:textDirection w:val="btLr"/>
            <w:vAlign w:val="center"/>
          </w:tcPr>
          <w:p w14:paraId="3A17B615" w14:textId="77777777" w:rsidR="00124A26" w:rsidRPr="00C07B2E" w:rsidRDefault="00124A26" w:rsidP="002D3EBF">
            <w:pPr>
              <w:ind w:firstLine="98"/>
              <w:rPr>
                <w:rFonts w:eastAsia="SimSun"/>
              </w:rPr>
            </w:pPr>
            <w:r w:rsidRPr="00C07B2E">
              <w:rPr>
                <w:rFonts w:eastAsia="SimSun"/>
              </w:rPr>
              <w:t>Кондиционирование</w:t>
            </w:r>
          </w:p>
        </w:tc>
        <w:tc>
          <w:tcPr>
            <w:tcW w:w="1843" w:type="dxa"/>
            <w:vAlign w:val="center"/>
          </w:tcPr>
          <w:p w14:paraId="3AB1238A" w14:textId="77777777" w:rsidR="00124A26" w:rsidRPr="00C07B2E" w:rsidRDefault="00124A26" w:rsidP="002D3EBF">
            <w:pPr>
              <w:ind w:firstLine="98"/>
              <w:rPr>
                <w:rFonts w:eastAsia="SimSun"/>
              </w:rPr>
            </w:pPr>
            <w:r w:rsidRPr="00C07B2E">
              <w:rPr>
                <w:rFonts w:eastAsia="SimSun"/>
              </w:rPr>
              <w:t xml:space="preserve">Флударабин </w:t>
            </w:r>
          </w:p>
        </w:tc>
        <w:tc>
          <w:tcPr>
            <w:tcW w:w="1417" w:type="dxa"/>
            <w:vAlign w:val="center"/>
          </w:tcPr>
          <w:p w14:paraId="38AD2BCA" w14:textId="77777777" w:rsidR="00124A26" w:rsidRPr="00C07B2E" w:rsidRDefault="00124A26" w:rsidP="002D3EBF">
            <w:pPr>
              <w:ind w:firstLine="98"/>
              <w:rPr>
                <w:rFonts w:eastAsia="SimSun"/>
              </w:rPr>
            </w:pPr>
            <w:r w:rsidRPr="00C07B2E">
              <w:rPr>
                <w:rFonts w:eastAsia="SimSun"/>
              </w:rPr>
              <w:t>30 мг/м</w:t>
            </w:r>
            <w:r w:rsidRPr="000F445E">
              <w:rPr>
                <w:rFonts w:eastAsia="SimSun"/>
                <w:vertAlign w:val="superscript"/>
              </w:rPr>
              <w:t>2</w:t>
            </w:r>
          </w:p>
        </w:tc>
        <w:tc>
          <w:tcPr>
            <w:tcW w:w="1337" w:type="dxa"/>
            <w:vAlign w:val="center"/>
          </w:tcPr>
          <w:p w14:paraId="6675C93C" w14:textId="77777777" w:rsidR="00124A26" w:rsidRPr="00C07B2E" w:rsidRDefault="00124A26" w:rsidP="002D3EBF">
            <w:pPr>
              <w:ind w:firstLine="98"/>
              <w:rPr>
                <w:rFonts w:eastAsia="SimSun"/>
              </w:rPr>
            </w:pPr>
            <w:r w:rsidRPr="00C07B2E">
              <w:rPr>
                <w:rFonts w:eastAsia="SimSun"/>
              </w:rPr>
              <w:t>180 мг/м</w:t>
            </w:r>
            <w:r w:rsidRPr="000F445E">
              <w:rPr>
                <w:rFonts w:eastAsia="SimSun"/>
                <w:vertAlign w:val="superscript"/>
              </w:rPr>
              <w:t>2</w:t>
            </w:r>
          </w:p>
        </w:tc>
        <w:tc>
          <w:tcPr>
            <w:tcW w:w="1701" w:type="dxa"/>
            <w:vAlign w:val="center"/>
          </w:tcPr>
          <w:p w14:paraId="4FB5EF5E" w14:textId="77777777" w:rsidR="00124A26" w:rsidRPr="00C07B2E" w:rsidRDefault="00124A26" w:rsidP="002D3EBF">
            <w:pPr>
              <w:ind w:firstLine="98"/>
              <w:rPr>
                <w:rFonts w:eastAsia="SimSun"/>
              </w:rPr>
            </w:pPr>
            <w:r w:rsidRPr="00C07B2E">
              <w:rPr>
                <w:rFonts w:eastAsia="SimSun"/>
              </w:rPr>
              <w:t>С -7 дня по -2 день</w:t>
            </w:r>
          </w:p>
        </w:tc>
        <w:tc>
          <w:tcPr>
            <w:tcW w:w="2268" w:type="dxa"/>
            <w:vAlign w:val="center"/>
          </w:tcPr>
          <w:p w14:paraId="11ACCA8F" w14:textId="77777777" w:rsidR="00124A26" w:rsidRPr="00C07B2E" w:rsidRDefault="00124A26" w:rsidP="002D3EBF">
            <w:pPr>
              <w:ind w:firstLine="98"/>
              <w:rPr>
                <w:rFonts w:eastAsia="SimSun"/>
              </w:rPr>
            </w:pPr>
            <w:r w:rsidRPr="00C07B2E">
              <w:rPr>
                <w:rFonts w:eastAsia="SimSun"/>
              </w:rPr>
              <w:t>В/в, в течение 30 - 60 мин</w:t>
            </w:r>
          </w:p>
        </w:tc>
      </w:tr>
      <w:tr w:rsidR="00124A26" w:rsidRPr="00C07B2E" w14:paraId="59D846DC" w14:textId="77777777" w:rsidTr="002D3EBF">
        <w:trPr>
          <w:cantSplit/>
          <w:trHeight w:val="1207"/>
        </w:trPr>
        <w:tc>
          <w:tcPr>
            <w:tcW w:w="959" w:type="dxa"/>
            <w:vMerge/>
            <w:vAlign w:val="center"/>
          </w:tcPr>
          <w:p w14:paraId="2FF9357A" w14:textId="77777777" w:rsidR="00124A26" w:rsidRPr="00C07B2E" w:rsidRDefault="00124A26" w:rsidP="002D3EBF">
            <w:pPr>
              <w:ind w:firstLine="98"/>
              <w:rPr>
                <w:rFonts w:eastAsia="SimSun"/>
              </w:rPr>
            </w:pPr>
          </w:p>
        </w:tc>
        <w:tc>
          <w:tcPr>
            <w:tcW w:w="1843" w:type="dxa"/>
            <w:vAlign w:val="center"/>
          </w:tcPr>
          <w:p w14:paraId="06855706" w14:textId="77777777" w:rsidR="00124A26" w:rsidRPr="00C07B2E" w:rsidRDefault="00124A26" w:rsidP="002D3EBF">
            <w:pPr>
              <w:ind w:firstLine="98"/>
              <w:rPr>
                <w:rFonts w:eastAsia="SimSun"/>
              </w:rPr>
            </w:pPr>
            <w:r w:rsidRPr="00C07B2E">
              <w:rPr>
                <w:rFonts w:eastAsia="SimSun"/>
              </w:rPr>
              <w:t>Бусульфан</w:t>
            </w:r>
          </w:p>
        </w:tc>
        <w:tc>
          <w:tcPr>
            <w:tcW w:w="1417" w:type="dxa"/>
            <w:vAlign w:val="center"/>
          </w:tcPr>
          <w:p w14:paraId="44684284" w14:textId="77777777" w:rsidR="00124A26" w:rsidRPr="00C07B2E" w:rsidRDefault="00124A26" w:rsidP="002D3EBF">
            <w:pPr>
              <w:ind w:firstLine="98"/>
              <w:rPr>
                <w:rFonts w:eastAsia="SimSun"/>
              </w:rPr>
            </w:pPr>
            <w:r w:rsidRPr="00C07B2E">
              <w:rPr>
                <w:rFonts w:eastAsia="SimSun"/>
              </w:rPr>
              <w:t xml:space="preserve">4 мг/кг </w:t>
            </w:r>
          </w:p>
        </w:tc>
        <w:tc>
          <w:tcPr>
            <w:tcW w:w="1337" w:type="dxa"/>
            <w:vAlign w:val="center"/>
          </w:tcPr>
          <w:p w14:paraId="6ECCAAC6" w14:textId="77777777" w:rsidR="00124A26" w:rsidRPr="00C07B2E" w:rsidRDefault="00124A26" w:rsidP="002D3EBF">
            <w:pPr>
              <w:ind w:firstLine="98"/>
              <w:rPr>
                <w:rFonts w:eastAsia="SimSun"/>
              </w:rPr>
            </w:pPr>
            <w:r w:rsidRPr="00C07B2E">
              <w:rPr>
                <w:rFonts w:eastAsia="SimSun"/>
                <w:lang w:val="en-US"/>
              </w:rPr>
              <w:t>12</w:t>
            </w:r>
            <w:r w:rsidRPr="00C07B2E">
              <w:rPr>
                <w:rFonts w:eastAsia="SimSun"/>
              </w:rPr>
              <w:t xml:space="preserve"> мг/кг </w:t>
            </w:r>
          </w:p>
        </w:tc>
        <w:tc>
          <w:tcPr>
            <w:tcW w:w="1701" w:type="dxa"/>
            <w:vAlign w:val="center"/>
          </w:tcPr>
          <w:p w14:paraId="3CC0728E" w14:textId="77777777" w:rsidR="00124A26" w:rsidRPr="00C07B2E" w:rsidRDefault="00124A26" w:rsidP="002D3EBF">
            <w:pPr>
              <w:ind w:firstLine="98"/>
              <w:rPr>
                <w:rFonts w:eastAsia="SimSun"/>
              </w:rPr>
            </w:pPr>
            <w:r w:rsidRPr="00C07B2E">
              <w:rPr>
                <w:rFonts w:eastAsia="SimSun"/>
              </w:rPr>
              <w:t>С -5 дня по -3 день</w:t>
            </w:r>
          </w:p>
        </w:tc>
        <w:tc>
          <w:tcPr>
            <w:tcW w:w="2268" w:type="dxa"/>
            <w:vAlign w:val="center"/>
          </w:tcPr>
          <w:p w14:paraId="3DF7788B" w14:textId="77777777" w:rsidR="00124A26" w:rsidRPr="00C07B2E" w:rsidRDefault="00124A26" w:rsidP="002D3EBF">
            <w:pPr>
              <w:ind w:firstLine="98"/>
              <w:rPr>
                <w:rFonts w:eastAsia="SimSun"/>
              </w:rPr>
            </w:pPr>
            <w:r w:rsidRPr="00C07B2E">
              <w:rPr>
                <w:rFonts w:eastAsia="SimSun"/>
              </w:rPr>
              <w:t>Внутрь, суммарная суточная доза разделяется на 4 приема с интервалом 6 часов.</w:t>
            </w:r>
          </w:p>
        </w:tc>
      </w:tr>
      <w:tr w:rsidR="00124A26" w:rsidRPr="00C07B2E" w14:paraId="74D036EB" w14:textId="77777777" w:rsidTr="002D3EBF">
        <w:trPr>
          <w:cantSplit/>
          <w:trHeight w:val="1498"/>
        </w:trPr>
        <w:tc>
          <w:tcPr>
            <w:tcW w:w="959" w:type="dxa"/>
            <w:textDirection w:val="btLr"/>
            <w:vAlign w:val="center"/>
          </w:tcPr>
          <w:p w14:paraId="59234202" w14:textId="77777777" w:rsidR="00124A26" w:rsidRPr="00C07B2E" w:rsidRDefault="00124A26" w:rsidP="002D3EBF">
            <w:pPr>
              <w:ind w:firstLine="98"/>
              <w:rPr>
                <w:rFonts w:eastAsia="SimSun"/>
              </w:rPr>
            </w:pPr>
            <w:r w:rsidRPr="00C07B2E">
              <w:rPr>
                <w:rFonts w:eastAsia="SimSun"/>
              </w:rPr>
              <w:t>Профилактика РТПХ</w:t>
            </w:r>
          </w:p>
        </w:tc>
        <w:tc>
          <w:tcPr>
            <w:tcW w:w="1843" w:type="dxa"/>
            <w:vAlign w:val="center"/>
          </w:tcPr>
          <w:p w14:paraId="38A829A2" w14:textId="77777777" w:rsidR="00124A26" w:rsidRPr="00C07B2E" w:rsidRDefault="00124A26" w:rsidP="002D3EBF">
            <w:pPr>
              <w:ind w:firstLine="98"/>
              <w:rPr>
                <w:rFonts w:eastAsia="SimSun"/>
              </w:rPr>
            </w:pPr>
            <w:r w:rsidRPr="00C07B2E">
              <w:rPr>
                <w:rFonts w:eastAsia="SimSun"/>
              </w:rPr>
              <w:t>Циклофосфамид</w:t>
            </w:r>
          </w:p>
        </w:tc>
        <w:tc>
          <w:tcPr>
            <w:tcW w:w="1417" w:type="dxa"/>
            <w:vAlign w:val="center"/>
          </w:tcPr>
          <w:p w14:paraId="2651FCB3" w14:textId="77777777" w:rsidR="00124A26" w:rsidRPr="00C07B2E" w:rsidRDefault="00124A26" w:rsidP="002D3EBF">
            <w:pPr>
              <w:ind w:firstLine="98"/>
              <w:rPr>
                <w:rFonts w:eastAsia="SimSun"/>
              </w:rPr>
            </w:pPr>
            <w:r w:rsidRPr="00C07B2E">
              <w:rPr>
                <w:rFonts w:eastAsia="SimSun"/>
              </w:rPr>
              <w:t>50 мг/кг</w:t>
            </w:r>
          </w:p>
        </w:tc>
        <w:tc>
          <w:tcPr>
            <w:tcW w:w="1337" w:type="dxa"/>
            <w:vAlign w:val="center"/>
          </w:tcPr>
          <w:p w14:paraId="3258387E" w14:textId="77777777" w:rsidR="00124A26" w:rsidRPr="00C07B2E" w:rsidRDefault="00124A26" w:rsidP="002D3EBF">
            <w:pPr>
              <w:ind w:firstLine="98"/>
              <w:rPr>
                <w:rFonts w:eastAsia="SimSun"/>
              </w:rPr>
            </w:pPr>
            <w:r w:rsidRPr="00C07B2E">
              <w:rPr>
                <w:rFonts w:eastAsia="SimSun"/>
              </w:rPr>
              <w:t>100 мг/кг</w:t>
            </w:r>
          </w:p>
        </w:tc>
        <w:tc>
          <w:tcPr>
            <w:tcW w:w="1701" w:type="dxa"/>
            <w:vAlign w:val="center"/>
          </w:tcPr>
          <w:p w14:paraId="7D7C0EF7" w14:textId="77777777" w:rsidR="00124A26" w:rsidRPr="00C07B2E" w:rsidRDefault="00124A26" w:rsidP="002D3EBF">
            <w:pPr>
              <w:ind w:firstLine="98"/>
              <w:rPr>
                <w:rFonts w:eastAsia="SimSun"/>
              </w:rPr>
            </w:pPr>
            <w:r w:rsidRPr="00C07B2E">
              <w:rPr>
                <w:rFonts w:eastAsia="SimSun"/>
              </w:rPr>
              <w:t>С +3 дня по +4 день</w:t>
            </w:r>
          </w:p>
        </w:tc>
        <w:tc>
          <w:tcPr>
            <w:tcW w:w="2268" w:type="dxa"/>
            <w:vAlign w:val="center"/>
          </w:tcPr>
          <w:p w14:paraId="1B5707BA" w14:textId="77777777" w:rsidR="00124A26" w:rsidRPr="00C07B2E" w:rsidRDefault="00124A26" w:rsidP="002D3EBF">
            <w:pPr>
              <w:ind w:firstLine="98"/>
              <w:rPr>
                <w:rFonts w:eastAsia="SimSun"/>
              </w:rPr>
            </w:pPr>
            <w:r w:rsidRPr="00C07B2E">
              <w:rPr>
                <w:rFonts w:eastAsia="SimSun"/>
              </w:rPr>
              <w:t xml:space="preserve">В/в, в течение 2 ч  </w:t>
            </w:r>
          </w:p>
        </w:tc>
      </w:tr>
    </w:tbl>
    <w:p w14:paraId="72D7D918" w14:textId="77777777" w:rsidR="00124A26" w:rsidRPr="00C07B2E" w:rsidRDefault="00124A26" w:rsidP="00124A26">
      <w:pPr>
        <w:rPr>
          <w:rFonts w:eastAsia="SimSun"/>
        </w:rPr>
      </w:pPr>
    </w:p>
    <w:p w14:paraId="5DB05425" w14:textId="77777777" w:rsidR="00124A26" w:rsidRPr="00C07B2E" w:rsidRDefault="00124A26" w:rsidP="00124A26">
      <w:pPr>
        <w:rPr>
          <w:rFonts w:eastAsia="SimSun"/>
        </w:rPr>
      </w:pPr>
      <w:r w:rsidRPr="00C07B2E">
        <w:rPr>
          <w:rFonts w:eastAsia="SimSun"/>
        </w:rPr>
        <w:tab/>
      </w:r>
    </w:p>
    <w:p w14:paraId="5098F4F8" w14:textId="77777777" w:rsidR="00124A26" w:rsidRPr="00C07B2E" w:rsidRDefault="00124A26" w:rsidP="00124A26">
      <w:pPr>
        <w:rPr>
          <w:rFonts w:eastAsia="SimSun"/>
        </w:rPr>
      </w:pPr>
      <w:bookmarkStart w:id="194" w:name="_Toc44401149"/>
      <w:r w:rsidRPr="00042499">
        <w:rPr>
          <w:rFonts w:eastAsia="SimSun"/>
        </w:rPr>
        <w:t>Таблица</w:t>
      </w:r>
      <w:r w:rsidRPr="00C07B2E">
        <w:rPr>
          <w:rFonts w:eastAsia="SimSun"/>
        </w:rPr>
        <w:t xml:space="preserve"> </w:t>
      </w:r>
      <w:r>
        <w:rPr>
          <w:rFonts w:eastAsia="SimSun"/>
        </w:rPr>
        <w:t>5</w:t>
      </w:r>
      <w:r w:rsidRPr="00C07B2E">
        <w:rPr>
          <w:rFonts w:eastAsia="SimSun"/>
        </w:rPr>
        <w:t>.1.1.6  – Flu180+Bu12 / PT-Cy+Tx+MMF30</w:t>
      </w:r>
      <w:bookmarkEnd w:id="194"/>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124A26" w:rsidRPr="00C07B2E" w14:paraId="1005E852" w14:textId="77777777" w:rsidTr="002D3EBF">
        <w:trPr>
          <w:cantSplit/>
          <w:trHeight w:val="20"/>
          <w:tblHeader/>
        </w:trPr>
        <w:tc>
          <w:tcPr>
            <w:tcW w:w="993" w:type="dxa"/>
            <w:vAlign w:val="center"/>
          </w:tcPr>
          <w:p w14:paraId="16FAACA8" w14:textId="77777777" w:rsidR="00124A26" w:rsidRPr="00470D3D" w:rsidRDefault="00124A26" w:rsidP="002D3EBF">
            <w:pPr>
              <w:ind w:firstLine="0"/>
              <w:rPr>
                <w:rFonts w:eastAsia="SimSun"/>
              </w:rPr>
            </w:pPr>
          </w:p>
        </w:tc>
        <w:tc>
          <w:tcPr>
            <w:tcW w:w="1843" w:type="dxa"/>
            <w:vAlign w:val="center"/>
          </w:tcPr>
          <w:p w14:paraId="29BE655A" w14:textId="77777777" w:rsidR="00124A26" w:rsidRPr="00C07B2E" w:rsidRDefault="00124A26" w:rsidP="002D3EBF">
            <w:pPr>
              <w:ind w:firstLine="0"/>
              <w:rPr>
                <w:rFonts w:eastAsia="SimSun"/>
              </w:rPr>
            </w:pPr>
            <w:r w:rsidRPr="00C07B2E">
              <w:rPr>
                <w:rFonts w:eastAsia="SimSun"/>
              </w:rPr>
              <w:t>Препарат</w:t>
            </w:r>
          </w:p>
        </w:tc>
        <w:tc>
          <w:tcPr>
            <w:tcW w:w="1417" w:type="dxa"/>
            <w:vAlign w:val="center"/>
          </w:tcPr>
          <w:p w14:paraId="0842E9A4" w14:textId="77777777" w:rsidR="00124A26" w:rsidRPr="00C07B2E" w:rsidRDefault="00124A26" w:rsidP="002D3EBF">
            <w:pPr>
              <w:ind w:firstLine="0"/>
              <w:rPr>
                <w:rFonts w:eastAsia="SimSun"/>
              </w:rPr>
            </w:pPr>
            <w:r w:rsidRPr="00C07B2E">
              <w:rPr>
                <w:rFonts w:eastAsia="SimSun"/>
              </w:rPr>
              <w:t>Суточная доза</w:t>
            </w:r>
          </w:p>
        </w:tc>
        <w:tc>
          <w:tcPr>
            <w:tcW w:w="1418" w:type="dxa"/>
            <w:vAlign w:val="center"/>
          </w:tcPr>
          <w:p w14:paraId="0A09F80C" w14:textId="77777777" w:rsidR="00124A26" w:rsidRPr="00C07B2E" w:rsidRDefault="00124A26" w:rsidP="002D3EBF">
            <w:pPr>
              <w:ind w:firstLine="0"/>
              <w:rPr>
                <w:rFonts w:eastAsia="SimSun"/>
              </w:rPr>
            </w:pPr>
            <w:r w:rsidRPr="00C07B2E">
              <w:rPr>
                <w:rFonts w:eastAsia="SimSun"/>
              </w:rPr>
              <w:t>Курсовая доза</w:t>
            </w:r>
          </w:p>
        </w:tc>
        <w:tc>
          <w:tcPr>
            <w:tcW w:w="1701" w:type="dxa"/>
            <w:vAlign w:val="center"/>
          </w:tcPr>
          <w:p w14:paraId="3B7D9211" w14:textId="77777777" w:rsidR="00124A26" w:rsidRPr="00C07B2E" w:rsidRDefault="00124A26" w:rsidP="002D3EBF">
            <w:pPr>
              <w:ind w:firstLine="0"/>
              <w:rPr>
                <w:rFonts w:eastAsia="SimSun"/>
              </w:rPr>
            </w:pPr>
            <w:r w:rsidRPr="00C07B2E">
              <w:rPr>
                <w:rFonts w:eastAsia="SimSun"/>
              </w:rPr>
              <w:t>Дни введения</w:t>
            </w:r>
          </w:p>
        </w:tc>
        <w:tc>
          <w:tcPr>
            <w:tcW w:w="2268" w:type="dxa"/>
            <w:vAlign w:val="center"/>
          </w:tcPr>
          <w:p w14:paraId="5B59685F" w14:textId="77777777" w:rsidR="00124A26" w:rsidRPr="00C07B2E" w:rsidRDefault="00124A26" w:rsidP="002D3EBF">
            <w:pPr>
              <w:ind w:firstLine="0"/>
              <w:rPr>
                <w:rFonts w:eastAsia="SimSun"/>
              </w:rPr>
            </w:pPr>
            <w:r w:rsidRPr="00C07B2E">
              <w:rPr>
                <w:rFonts w:eastAsia="SimSun"/>
              </w:rPr>
              <w:t>Порядок введения</w:t>
            </w:r>
          </w:p>
        </w:tc>
      </w:tr>
      <w:tr w:rsidR="00124A26" w:rsidRPr="00C07B2E" w14:paraId="1030E76F" w14:textId="77777777" w:rsidTr="002D3EBF">
        <w:trPr>
          <w:cantSplit/>
          <w:trHeight w:val="20"/>
        </w:trPr>
        <w:tc>
          <w:tcPr>
            <w:tcW w:w="993" w:type="dxa"/>
            <w:vMerge w:val="restart"/>
            <w:textDirection w:val="btLr"/>
            <w:vAlign w:val="center"/>
          </w:tcPr>
          <w:p w14:paraId="4DAE432B" w14:textId="77777777" w:rsidR="00124A26" w:rsidRPr="00C07B2E" w:rsidRDefault="00124A26" w:rsidP="002D3EBF">
            <w:pPr>
              <w:ind w:firstLine="0"/>
              <w:rPr>
                <w:rFonts w:eastAsia="SimSun"/>
              </w:rPr>
            </w:pPr>
            <w:r w:rsidRPr="00C07B2E">
              <w:rPr>
                <w:rFonts w:eastAsia="SimSun"/>
              </w:rPr>
              <w:t>Кондиционирование</w:t>
            </w:r>
          </w:p>
        </w:tc>
        <w:tc>
          <w:tcPr>
            <w:tcW w:w="1843" w:type="dxa"/>
            <w:vAlign w:val="center"/>
          </w:tcPr>
          <w:p w14:paraId="315396FF" w14:textId="77777777" w:rsidR="00124A26" w:rsidRPr="00C07B2E" w:rsidRDefault="00124A26" w:rsidP="002D3EBF">
            <w:pPr>
              <w:ind w:firstLine="0"/>
              <w:rPr>
                <w:rFonts w:eastAsia="SimSun"/>
              </w:rPr>
            </w:pPr>
            <w:r w:rsidRPr="00C07B2E">
              <w:rPr>
                <w:rFonts w:eastAsia="SimSun"/>
              </w:rPr>
              <w:t xml:space="preserve">Флударабин </w:t>
            </w:r>
          </w:p>
        </w:tc>
        <w:tc>
          <w:tcPr>
            <w:tcW w:w="1417" w:type="dxa"/>
            <w:vAlign w:val="center"/>
          </w:tcPr>
          <w:p w14:paraId="6ED48E53" w14:textId="77777777" w:rsidR="00124A26" w:rsidRPr="00C07B2E" w:rsidRDefault="00124A26" w:rsidP="002D3EBF">
            <w:pPr>
              <w:ind w:firstLine="0"/>
              <w:rPr>
                <w:rFonts w:eastAsia="SimSun"/>
              </w:rPr>
            </w:pPr>
            <w:r w:rsidRPr="00C07B2E">
              <w:rPr>
                <w:rFonts w:eastAsia="SimSun"/>
              </w:rPr>
              <w:t>30 мг/м</w:t>
            </w:r>
            <w:r w:rsidRPr="000F445E">
              <w:rPr>
                <w:rFonts w:eastAsia="SimSun"/>
                <w:vertAlign w:val="superscript"/>
              </w:rPr>
              <w:t>2</w:t>
            </w:r>
          </w:p>
        </w:tc>
        <w:tc>
          <w:tcPr>
            <w:tcW w:w="1418" w:type="dxa"/>
            <w:vAlign w:val="center"/>
          </w:tcPr>
          <w:p w14:paraId="6B64F040" w14:textId="77777777" w:rsidR="00124A26" w:rsidRPr="00C07B2E" w:rsidRDefault="00124A26" w:rsidP="002D3EBF">
            <w:pPr>
              <w:ind w:firstLine="0"/>
              <w:rPr>
                <w:rFonts w:eastAsia="SimSun"/>
              </w:rPr>
            </w:pPr>
            <w:r w:rsidRPr="00C07B2E">
              <w:rPr>
                <w:rFonts w:eastAsia="SimSun"/>
              </w:rPr>
              <w:t>180 мг/м</w:t>
            </w:r>
            <w:r w:rsidRPr="000F445E">
              <w:rPr>
                <w:rFonts w:eastAsia="SimSun"/>
                <w:vertAlign w:val="superscript"/>
              </w:rPr>
              <w:t>2</w:t>
            </w:r>
          </w:p>
        </w:tc>
        <w:tc>
          <w:tcPr>
            <w:tcW w:w="1701" w:type="dxa"/>
            <w:vAlign w:val="center"/>
          </w:tcPr>
          <w:p w14:paraId="1A61A8E2" w14:textId="77777777" w:rsidR="00124A26" w:rsidRPr="00C07B2E" w:rsidRDefault="00124A26" w:rsidP="002D3EBF">
            <w:pPr>
              <w:ind w:firstLine="0"/>
              <w:rPr>
                <w:rFonts w:eastAsia="SimSun"/>
              </w:rPr>
            </w:pPr>
            <w:r w:rsidRPr="00C07B2E">
              <w:rPr>
                <w:rFonts w:eastAsia="SimSun"/>
              </w:rPr>
              <w:t>С -7 дня по -2 день</w:t>
            </w:r>
          </w:p>
        </w:tc>
        <w:tc>
          <w:tcPr>
            <w:tcW w:w="2268" w:type="dxa"/>
            <w:vAlign w:val="center"/>
          </w:tcPr>
          <w:p w14:paraId="2F98B3A7" w14:textId="77777777" w:rsidR="00124A26" w:rsidRPr="00C07B2E" w:rsidRDefault="00124A26" w:rsidP="002D3EBF">
            <w:pPr>
              <w:ind w:firstLine="0"/>
              <w:rPr>
                <w:rFonts w:eastAsia="SimSun"/>
              </w:rPr>
            </w:pPr>
            <w:r w:rsidRPr="00C07B2E">
              <w:rPr>
                <w:rFonts w:eastAsia="SimSun"/>
              </w:rPr>
              <w:t>В/в, в течение 30 - 60 мин</w:t>
            </w:r>
          </w:p>
        </w:tc>
      </w:tr>
      <w:tr w:rsidR="00124A26" w:rsidRPr="00C07B2E" w14:paraId="10A0EC5A" w14:textId="77777777" w:rsidTr="002D3EBF">
        <w:trPr>
          <w:cantSplit/>
          <w:trHeight w:val="1207"/>
        </w:trPr>
        <w:tc>
          <w:tcPr>
            <w:tcW w:w="993" w:type="dxa"/>
            <w:vMerge/>
            <w:vAlign w:val="center"/>
          </w:tcPr>
          <w:p w14:paraId="3F2B5807" w14:textId="77777777" w:rsidR="00124A26" w:rsidRPr="00C07B2E" w:rsidRDefault="00124A26" w:rsidP="002D3EBF">
            <w:pPr>
              <w:ind w:firstLine="0"/>
              <w:rPr>
                <w:rFonts w:eastAsia="SimSun"/>
              </w:rPr>
            </w:pPr>
          </w:p>
        </w:tc>
        <w:tc>
          <w:tcPr>
            <w:tcW w:w="1843" w:type="dxa"/>
            <w:vAlign w:val="center"/>
          </w:tcPr>
          <w:p w14:paraId="7CDCE20D" w14:textId="77777777" w:rsidR="00124A26" w:rsidRPr="00C07B2E" w:rsidRDefault="00124A26" w:rsidP="002D3EBF">
            <w:pPr>
              <w:ind w:firstLine="0"/>
              <w:rPr>
                <w:rFonts w:eastAsia="SimSun"/>
              </w:rPr>
            </w:pPr>
            <w:r w:rsidRPr="00C07B2E">
              <w:rPr>
                <w:rFonts w:eastAsia="SimSun"/>
              </w:rPr>
              <w:t>Бусульфан</w:t>
            </w:r>
          </w:p>
        </w:tc>
        <w:tc>
          <w:tcPr>
            <w:tcW w:w="1417" w:type="dxa"/>
            <w:vAlign w:val="center"/>
          </w:tcPr>
          <w:p w14:paraId="40D900F0" w14:textId="77777777" w:rsidR="00124A26" w:rsidRPr="00C07B2E" w:rsidRDefault="00124A26" w:rsidP="002D3EBF">
            <w:pPr>
              <w:ind w:firstLine="0"/>
              <w:rPr>
                <w:rFonts w:eastAsia="SimSun"/>
              </w:rPr>
            </w:pPr>
            <w:r w:rsidRPr="00C07B2E">
              <w:rPr>
                <w:rFonts w:eastAsia="SimSun"/>
              </w:rPr>
              <w:t xml:space="preserve">4 мг/кг </w:t>
            </w:r>
          </w:p>
        </w:tc>
        <w:tc>
          <w:tcPr>
            <w:tcW w:w="1418" w:type="dxa"/>
            <w:vAlign w:val="center"/>
          </w:tcPr>
          <w:p w14:paraId="6005C689" w14:textId="77777777" w:rsidR="00124A26" w:rsidRPr="00C07B2E" w:rsidRDefault="00124A26" w:rsidP="002D3EBF">
            <w:pPr>
              <w:ind w:firstLine="0"/>
              <w:rPr>
                <w:rFonts w:eastAsia="SimSun"/>
              </w:rPr>
            </w:pPr>
            <w:r w:rsidRPr="00C07B2E">
              <w:rPr>
                <w:rFonts w:eastAsia="SimSun"/>
                <w:lang w:val="en-US"/>
              </w:rPr>
              <w:t>1</w:t>
            </w:r>
            <w:r w:rsidRPr="00C07B2E">
              <w:rPr>
                <w:rFonts w:eastAsia="SimSun"/>
              </w:rPr>
              <w:t xml:space="preserve">2мг/кг </w:t>
            </w:r>
          </w:p>
        </w:tc>
        <w:tc>
          <w:tcPr>
            <w:tcW w:w="1701" w:type="dxa"/>
            <w:vAlign w:val="center"/>
          </w:tcPr>
          <w:p w14:paraId="589E5D52" w14:textId="77777777" w:rsidR="00124A26" w:rsidRPr="00C07B2E" w:rsidRDefault="00124A26" w:rsidP="002D3EBF">
            <w:pPr>
              <w:ind w:firstLine="0"/>
              <w:rPr>
                <w:rFonts w:eastAsia="SimSun"/>
              </w:rPr>
            </w:pPr>
            <w:r w:rsidRPr="00C07B2E">
              <w:rPr>
                <w:rFonts w:eastAsia="SimSun"/>
              </w:rPr>
              <w:t>С -</w:t>
            </w:r>
            <w:r w:rsidRPr="00C07B2E">
              <w:rPr>
                <w:rFonts w:eastAsia="SimSun"/>
                <w:lang w:val="en-US"/>
              </w:rPr>
              <w:t>5</w:t>
            </w:r>
            <w:r w:rsidRPr="00C07B2E">
              <w:rPr>
                <w:rFonts w:eastAsia="SimSun"/>
              </w:rPr>
              <w:t xml:space="preserve"> дня по -3 день</w:t>
            </w:r>
          </w:p>
        </w:tc>
        <w:tc>
          <w:tcPr>
            <w:tcW w:w="2268" w:type="dxa"/>
            <w:vAlign w:val="center"/>
          </w:tcPr>
          <w:p w14:paraId="4E6EEDAD" w14:textId="77777777" w:rsidR="00124A26" w:rsidRPr="00C07B2E" w:rsidRDefault="00124A26" w:rsidP="002D3EBF">
            <w:pPr>
              <w:ind w:firstLine="0"/>
              <w:rPr>
                <w:rFonts w:eastAsia="SimSun"/>
              </w:rPr>
            </w:pPr>
            <w:r w:rsidRPr="00C07B2E">
              <w:rPr>
                <w:rFonts w:eastAsia="SimSun"/>
              </w:rPr>
              <w:t>Внутрь, суммарная суточная доза разделяется на 4 приема с интервалом 6 часов.</w:t>
            </w:r>
          </w:p>
        </w:tc>
      </w:tr>
      <w:tr w:rsidR="00124A26" w:rsidRPr="00C07B2E" w14:paraId="7182FEFF" w14:textId="77777777" w:rsidTr="002D3EBF">
        <w:trPr>
          <w:cantSplit/>
          <w:trHeight w:val="1498"/>
        </w:trPr>
        <w:tc>
          <w:tcPr>
            <w:tcW w:w="993" w:type="dxa"/>
            <w:vMerge w:val="restart"/>
            <w:textDirection w:val="btLr"/>
            <w:vAlign w:val="center"/>
          </w:tcPr>
          <w:p w14:paraId="0897FEC2" w14:textId="77777777" w:rsidR="00124A26" w:rsidRPr="00C07B2E" w:rsidRDefault="00124A26" w:rsidP="002D3EBF">
            <w:pPr>
              <w:ind w:firstLine="0"/>
              <w:rPr>
                <w:rFonts w:eastAsia="SimSun"/>
              </w:rPr>
            </w:pPr>
            <w:r w:rsidRPr="00C07B2E">
              <w:rPr>
                <w:rFonts w:eastAsia="SimSun"/>
              </w:rPr>
              <w:t>Профилактика РТПХ</w:t>
            </w:r>
          </w:p>
        </w:tc>
        <w:tc>
          <w:tcPr>
            <w:tcW w:w="1843" w:type="dxa"/>
            <w:vAlign w:val="center"/>
          </w:tcPr>
          <w:p w14:paraId="4A150595" w14:textId="77777777" w:rsidR="00124A26" w:rsidRPr="00C07B2E" w:rsidRDefault="00124A26" w:rsidP="002D3EBF">
            <w:pPr>
              <w:ind w:firstLine="0"/>
              <w:rPr>
                <w:rFonts w:eastAsia="SimSun"/>
              </w:rPr>
            </w:pPr>
            <w:r w:rsidRPr="00C07B2E">
              <w:rPr>
                <w:rFonts w:eastAsia="SimSun"/>
              </w:rPr>
              <w:t>Циклофосфамид</w:t>
            </w:r>
          </w:p>
        </w:tc>
        <w:tc>
          <w:tcPr>
            <w:tcW w:w="1417" w:type="dxa"/>
            <w:vAlign w:val="center"/>
          </w:tcPr>
          <w:p w14:paraId="23840C4F" w14:textId="77777777" w:rsidR="00124A26" w:rsidRPr="00C07B2E" w:rsidRDefault="00124A26" w:rsidP="002D3EBF">
            <w:pPr>
              <w:ind w:firstLine="0"/>
              <w:rPr>
                <w:rFonts w:eastAsia="SimSun"/>
              </w:rPr>
            </w:pPr>
            <w:r w:rsidRPr="00C07B2E">
              <w:rPr>
                <w:rFonts w:eastAsia="SimSun"/>
              </w:rPr>
              <w:t>50 мг/кг</w:t>
            </w:r>
          </w:p>
        </w:tc>
        <w:tc>
          <w:tcPr>
            <w:tcW w:w="1418" w:type="dxa"/>
            <w:vAlign w:val="center"/>
          </w:tcPr>
          <w:p w14:paraId="1BD8EAC0" w14:textId="77777777" w:rsidR="00124A26" w:rsidRPr="00C07B2E" w:rsidRDefault="00124A26" w:rsidP="002D3EBF">
            <w:pPr>
              <w:ind w:firstLine="0"/>
              <w:rPr>
                <w:rFonts w:eastAsia="SimSun"/>
              </w:rPr>
            </w:pPr>
            <w:r w:rsidRPr="00C07B2E">
              <w:rPr>
                <w:rFonts w:eastAsia="SimSun"/>
              </w:rPr>
              <w:t>100 мг/кг</w:t>
            </w:r>
          </w:p>
        </w:tc>
        <w:tc>
          <w:tcPr>
            <w:tcW w:w="1701" w:type="dxa"/>
            <w:vAlign w:val="center"/>
          </w:tcPr>
          <w:p w14:paraId="6BB27621" w14:textId="77777777" w:rsidR="00124A26" w:rsidRPr="00C07B2E" w:rsidRDefault="00124A26" w:rsidP="002D3EBF">
            <w:pPr>
              <w:ind w:firstLine="0"/>
              <w:rPr>
                <w:rFonts w:eastAsia="SimSun"/>
              </w:rPr>
            </w:pPr>
            <w:r w:rsidRPr="00C07B2E">
              <w:rPr>
                <w:rFonts w:eastAsia="SimSun"/>
              </w:rPr>
              <w:t>С +3 дня по +4 день</w:t>
            </w:r>
          </w:p>
        </w:tc>
        <w:tc>
          <w:tcPr>
            <w:tcW w:w="2268" w:type="dxa"/>
            <w:vAlign w:val="center"/>
          </w:tcPr>
          <w:p w14:paraId="386ABA8A" w14:textId="77777777" w:rsidR="00124A26" w:rsidRPr="00C07B2E" w:rsidRDefault="00124A26" w:rsidP="002D3EBF">
            <w:pPr>
              <w:ind w:firstLine="0"/>
              <w:rPr>
                <w:rFonts w:eastAsia="SimSun"/>
              </w:rPr>
            </w:pPr>
            <w:r w:rsidRPr="00C07B2E">
              <w:rPr>
                <w:rFonts w:eastAsia="SimSun"/>
              </w:rPr>
              <w:t xml:space="preserve">В/в, в течение 2 ч  </w:t>
            </w:r>
          </w:p>
        </w:tc>
      </w:tr>
      <w:tr w:rsidR="00124A26" w:rsidRPr="00C07B2E" w14:paraId="6D3CE937" w14:textId="77777777" w:rsidTr="002D3EBF">
        <w:trPr>
          <w:cantSplit/>
          <w:trHeight w:val="958"/>
        </w:trPr>
        <w:tc>
          <w:tcPr>
            <w:tcW w:w="993" w:type="dxa"/>
            <w:vMerge/>
            <w:textDirection w:val="btLr"/>
            <w:vAlign w:val="center"/>
          </w:tcPr>
          <w:p w14:paraId="497D65B0" w14:textId="77777777" w:rsidR="00124A26" w:rsidRPr="00C07B2E" w:rsidRDefault="00124A26" w:rsidP="002D3EBF">
            <w:pPr>
              <w:ind w:firstLine="0"/>
              <w:rPr>
                <w:rFonts w:eastAsia="SimSun"/>
              </w:rPr>
            </w:pPr>
          </w:p>
        </w:tc>
        <w:tc>
          <w:tcPr>
            <w:tcW w:w="1843" w:type="dxa"/>
            <w:vAlign w:val="center"/>
          </w:tcPr>
          <w:p w14:paraId="6AB2DDE3" w14:textId="77777777" w:rsidR="00124A26" w:rsidRPr="00C07B2E" w:rsidRDefault="00124A26" w:rsidP="002D3EBF">
            <w:pPr>
              <w:ind w:firstLine="0"/>
              <w:rPr>
                <w:rFonts w:eastAsia="SimSun"/>
              </w:rPr>
            </w:pPr>
            <w:r w:rsidRPr="00C07B2E">
              <w:rPr>
                <w:rFonts w:eastAsia="SimSun"/>
              </w:rPr>
              <w:t xml:space="preserve">Такролимус </w:t>
            </w:r>
          </w:p>
        </w:tc>
        <w:tc>
          <w:tcPr>
            <w:tcW w:w="1417" w:type="dxa"/>
            <w:vAlign w:val="center"/>
          </w:tcPr>
          <w:p w14:paraId="6AF73C35" w14:textId="77777777" w:rsidR="00124A26" w:rsidRPr="00C07B2E" w:rsidRDefault="00124A26" w:rsidP="002D3EBF">
            <w:pPr>
              <w:ind w:firstLine="0"/>
              <w:rPr>
                <w:rFonts w:eastAsia="SimSun"/>
              </w:rPr>
            </w:pPr>
            <w:r w:rsidRPr="00C07B2E">
              <w:rPr>
                <w:rFonts w:eastAsia="SimSun"/>
              </w:rPr>
              <w:t>0,03 мг/кг</w:t>
            </w:r>
          </w:p>
        </w:tc>
        <w:tc>
          <w:tcPr>
            <w:tcW w:w="1418" w:type="dxa"/>
            <w:vAlign w:val="center"/>
          </w:tcPr>
          <w:p w14:paraId="29CDA8ED" w14:textId="77777777" w:rsidR="00124A26" w:rsidRPr="00C07B2E" w:rsidRDefault="00124A26" w:rsidP="002D3EBF">
            <w:pPr>
              <w:ind w:firstLine="0"/>
              <w:rPr>
                <w:rFonts w:eastAsia="SimSun"/>
              </w:rPr>
            </w:pPr>
            <w:r w:rsidRPr="00C07B2E">
              <w:rPr>
                <w:rFonts w:eastAsia="SimSun"/>
                <w:lang w:val="en-US"/>
              </w:rPr>
              <w:t>–</w:t>
            </w:r>
          </w:p>
        </w:tc>
        <w:tc>
          <w:tcPr>
            <w:tcW w:w="1701" w:type="dxa"/>
            <w:vAlign w:val="center"/>
          </w:tcPr>
          <w:p w14:paraId="51D666AF" w14:textId="77777777" w:rsidR="00124A26" w:rsidRPr="00C07B2E" w:rsidRDefault="00124A26" w:rsidP="002D3EBF">
            <w:pPr>
              <w:ind w:firstLine="0"/>
              <w:rPr>
                <w:rFonts w:eastAsia="SimSun"/>
              </w:rPr>
            </w:pPr>
            <w:r w:rsidRPr="00C07B2E">
              <w:rPr>
                <w:rFonts w:eastAsia="SimSun"/>
              </w:rPr>
              <w:t xml:space="preserve">С +5 дня длительно </w:t>
            </w:r>
          </w:p>
        </w:tc>
        <w:tc>
          <w:tcPr>
            <w:tcW w:w="2268" w:type="dxa"/>
            <w:vAlign w:val="center"/>
          </w:tcPr>
          <w:p w14:paraId="292E3891" w14:textId="77777777" w:rsidR="00124A26" w:rsidRPr="000F445E" w:rsidRDefault="00124A26" w:rsidP="002D3EBF">
            <w:pPr>
              <w:ind w:firstLine="0"/>
              <w:rPr>
                <w:rFonts w:eastAsia="SimSun"/>
              </w:rPr>
            </w:pPr>
            <w:r w:rsidRPr="00C07B2E">
              <w:rPr>
                <w:rFonts w:eastAsia="SimSun"/>
              </w:rPr>
              <w:t xml:space="preserve">В/в инфузия в течение 24 ч с последующей коррекцией суточной дозы по концентрации. </w:t>
            </w:r>
            <w:r w:rsidRPr="000F445E">
              <w:rPr>
                <w:rFonts w:eastAsia="SimSun"/>
              </w:rPr>
              <w:t>Перевод на прием внутрь при условии восстановления лейкоцитов &gt; 1</w:t>
            </w:r>
            <w:r>
              <w:rPr>
                <w:rFonts w:eastAsia="SimSun"/>
              </w:rPr>
              <w:t xml:space="preserve">х </w:t>
            </w:r>
            <w:r w:rsidRPr="000F445E">
              <w:rPr>
                <w:rFonts w:eastAsia="SimSun"/>
              </w:rPr>
              <w:t>10</w:t>
            </w:r>
            <w:r w:rsidRPr="000F445E">
              <w:rPr>
                <w:rFonts w:eastAsia="SimSun"/>
                <w:vertAlign w:val="superscript"/>
              </w:rPr>
              <w:t>9</w:t>
            </w:r>
            <w:r w:rsidRPr="000F445E">
              <w:rPr>
                <w:rFonts w:eastAsia="SimSun"/>
              </w:rPr>
              <w:t xml:space="preserve">/л, при отсутствии тошноты, рвоты, диареи и возможности приема внутрь. Концентрация </w:t>
            </w:r>
            <w:r w:rsidRPr="00C07B2E">
              <w:rPr>
                <w:rFonts w:eastAsia="SimSun"/>
              </w:rPr>
              <w:t>Tx</w:t>
            </w:r>
            <w:r w:rsidRPr="000F445E">
              <w:rPr>
                <w:rFonts w:eastAsia="SimSun"/>
              </w:rPr>
              <w:t xml:space="preserve"> 5-15 нг/мл.   </w:t>
            </w:r>
          </w:p>
        </w:tc>
      </w:tr>
      <w:tr w:rsidR="00124A26" w:rsidRPr="00C07B2E" w14:paraId="2D071D6F" w14:textId="77777777" w:rsidTr="002D3EBF">
        <w:trPr>
          <w:cantSplit/>
          <w:trHeight w:val="1861"/>
        </w:trPr>
        <w:tc>
          <w:tcPr>
            <w:tcW w:w="993" w:type="dxa"/>
            <w:vMerge/>
            <w:textDirection w:val="btLr"/>
            <w:vAlign w:val="center"/>
          </w:tcPr>
          <w:p w14:paraId="54CBDB50" w14:textId="77777777" w:rsidR="00124A26" w:rsidRPr="000F445E" w:rsidRDefault="00124A26" w:rsidP="002D3EBF">
            <w:pPr>
              <w:ind w:firstLine="0"/>
              <w:rPr>
                <w:rFonts w:eastAsia="SimSun"/>
              </w:rPr>
            </w:pPr>
          </w:p>
        </w:tc>
        <w:tc>
          <w:tcPr>
            <w:tcW w:w="1843" w:type="dxa"/>
            <w:vAlign w:val="center"/>
          </w:tcPr>
          <w:p w14:paraId="2BA9817A" w14:textId="77777777" w:rsidR="00124A26" w:rsidRPr="00C07B2E" w:rsidRDefault="00124A26" w:rsidP="002D3EBF">
            <w:pPr>
              <w:ind w:firstLine="0"/>
              <w:rPr>
                <w:rFonts w:eastAsia="SimSun"/>
              </w:rPr>
            </w:pPr>
            <w:r w:rsidRPr="00C07B2E">
              <w:rPr>
                <w:rFonts w:eastAsia="SimSun"/>
              </w:rPr>
              <w:t>Микофенолата мофетил</w:t>
            </w:r>
          </w:p>
        </w:tc>
        <w:tc>
          <w:tcPr>
            <w:tcW w:w="1417" w:type="dxa"/>
            <w:vAlign w:val="center"/>
          </w:tcPr>
          <w:p w14:paraId="20D8F100" w14:textId="77777777" w:rsidR="00124A26" w:rsidRPr="00C07B2E" w:rsidRDefault="00124A26" w:rsidP="002D3EBF">
            <w:pPr>
              <w:ind w:firstLine="0"/>
              <w:rPr>
                <w:rFonts w:eastAsia="SimSun"/>
              </w:rPr>
            </w:pPr>
            <w:r w:rsidRPr="00C07B2E">
              <w:rPr>
                <w:rFonts w:eastAsia="SimSun"/>
              </w:rPr>
              <w:t xml:space="preserve">30 мг/кг </w:t>
            </w:r>
          </w:p>
        </w:tc>
        <w:tc>
          <w:tcPr>
            <w:tcW w:w="1418" w:type="dxa"/>
            <w:vAlign w:val="center"/>
          </w:tcPr>
          <w:p w14:paraId="3DA25202" w14:textId="77777777" w:rsidR="00124A26" w:rsidRPr="00C07B2E" w:rsidRDefault="00124A26" w:rsidP="002D3EBF">
            <w:pPr>
              <w:ind w:firstLine="0"/>
              <w:rPr>
                <w:rFonts w:eastAsia="SimSun"/>
              </w:rPr>
            </w:pPr>
            <w:r w:rsidRPr="00C07B2E">
              <w:rPr>
                <w:rFonts w:eastAsia="SimSun"/>
              </w:rPr>
              <w:t>–</w:t>
            </w:r>
          </w:p>
        </w:tc>
        <w:tc>
          <w:tcPr>
            <w:tcW w:w="1701" w:type="dxa"/>
            <w:vAlign w:val="center"/>
          </w:tcPr>
          <w:p w14:paraId="1730FBBC" w14:textId="77777777" w:rsidR="00124A26" w:rsidRPr="00C07B2E" w:rsidRDefault="00124A26" w:rsidP="002D3EBF">
            <w:pPr>
              <w:ind w:firstLine="0"/>
              <w:rPr>
                <w:rFonts w:eastAsia="SimSun"/>
              </w:rPr>
            </w:pPr>
            <w:r w:rsidRPr="00C07B2E">
              <w:rPr>
                <w:rFonts w:eastAsia="SimSun"/>
              </w:rPr>
              <w:t xml:space="preserve">С +5 дня по +35 день </w:t>
            </w:r>
          </w:p>
        </w:tc>
        <w:tc>
          <w:tcPr>
            <w:tcW w:w="2268" w:type="dxa"/>
            <w:vAlign w:val="center"/>
          </w:tcPr>
          <w:p w14:paraId="4D360914" w14:textId="77777777" w:rsidR="00124A26" w:rsidRPr="00C07B2E" w:rsidRDefault="00124A26" w:rsidP="002D3EBF">
            <w:pPr>
              <w:ind w:firstLine="0"/>
              <w:rPr>
                <w:rFonts w:eastAsia="SimSun"/>
              </w:rPr>
            </w:pPr>
            <w:r w:rsidRPr="00C07B2E">
              <w:rPr>
                <w:rFonts w:eastAsia="SimSun"/>
              </w:rPr>
              <w:t>Внутрь, суммарная суточная доза разделяется на 2- 4 приема (не более 3г/сут).</w:t>
            </w:r>
          </w:p>
        </w:tc>
      </w:tr>
    </w:tbl>
    <w:p w14:paraId="0500E4A6" w14:textId="77777777" w:rsidR="00124A26" w:rsidRPr="00C07B2E" w:rsidRDefault="00124A26" w:rsidP="00124A26">
      <w:pPr>
        <w:rPr>
          <w:rFonts w:eastAsia="SimSun"/>
        </w:rPr>
      </w:pPr>
    </w:p>
    <w:p w14:paraId="0E50660F" w14:textId="77777777" w:rsidR="00124A26" w:rsidRPr="00C07B2E" w:rsidRDefault="00124A26" w:rsidP="00124A26">
      <w:pPr>
        <w:rPr>
          <w:rFonts w:eastAsia="SimSun"/>
        </w:rPr>
      </w:pPr>
      <w:bookmarkStart w:id="195" w:name="_Toc44401150"/>
      <w:r w:rsidRPr="00042499">
        <w:rPr>
          <w:rFonts w:eastAsia="SimSun"/>
        </w:rPr>
        <w:t>Таблица</w:t>
      </w:r>
      <w:r w:rsidRPr="00C07B2E">
        <w:rPr>
          <w:rFonts w:eastAsia="SimSun"/>
        </w:rPr>
        <w:t xml:space="preserve"> </w:t>
      </w:r>
      <w:r>
        <w:rPr>
          <w:rFonts w:eastAsia="SimSun"/>
        </w:rPr>
        <w:t>5</w:t>
      </w:r>
      <w:r w:rsidRPr="00C07B2E">
        <w:rPr>
          <w:rFonts w:eastAsia="SimSun"/>
        </w:rPr>
        <w:t>.1.1.7  – Flu180+Bu12 / PT-Cy+CSA+MMF30</w:t>
      </w:r>
      <w:bookmarkEnd w:id="19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5"/>
        <w:gridCol w:w="1921"/>
        <w:gridCol w:w="1305"/>
        <w:gridCol w:w="1400"/>
        <w:gridCol w:w="1653"/>
        <w:gridCol w:w="2172"/>
      </w:tblGrid>
      <w:tr w:rsidR="00124A26" w:rsidRPr="00C07B2E" w14:paraId="0426DFBC" w14:textId="77777777" w:rsidTr="002D3EBF">
        <w:trPr>
          <w:cantSplit/>
          <w:trHeight w:val="20"/>
          <w:tblHeader/>
        </w:trPr>
        <w:tc>
          <w:tcPr>
            <w:tcW w:w="484" w:type="pct"/>
            <w:vAlign w:val="center"/>
          </w:tcPr>
          <w:p w14:paraId="3D68184E" w14:textId="77777777" w:rsidR="00124A26" w:rsidRPr="00470D3D" w:rsidRDefault="00124A26" w:rsidP="002D3EBF">
            <w:pPr>
              <w:ind w:firstLine="0"/>
              <w:rPr>
                <w:rFonts w:eastAsia="SimSun"/>
              </w:rPr>
            </w:pPr>
          </w:p>
        </w:tc>
        <w:tc>
          <w:tcPr>
            <w:tcW w:w="1003" w:type="pct"/>
            <w:vAlign w:val="center"/>
          </w:tcPr>
          <w:p w14:paraId="5D792D6B" w14:textId="77777777" w:rsidR="00124A26" w:rsidRPr="00C07B2E" w:rsidRDefault="00124A26" w:rsidP="002D3EBF">
            <w:pPr>
              <w:ind w:firstLine="0"/>
              <w:rPr>
                <w:rFonts w:eastAsia="SimSun"/>
              </w:rPr>
            </w:pPr>
            <w:r w:rsidRPr="00C07B2E">
              <w:rPr>
                <w:rFonts w:eastAsia="SimSun"/>
              </w:rPr>
              <w:t>Препарат</w:t>
            </w:r>
          </w:p>
        </w:tc>
        <w:tc>
          <w:tcPr>
            <w:tcW w:w="703" w:type="pct"/>
            <w:vAlign w:val="center"/>
          </w:tcPr>
          <w:p w14:paraId="0CD04DD9" w14:textId="77777777" w:rsidR="00124A26" w:rsidRPr="00C07B2E" w:rsidRDefault="00124A26" w:rsidP="002D3EBF">
            <w:pPr>
              <w:ind w:firstLine="0"/>
              <w:rPr>
                <w:rFonts w:eastAsia="SimSun"/>
              </w:rPr>
            </w:pPr>
            <w:r w:rsidRPr="00C07B2E">
              <w:rPr>
                <w:rFonts w:eastAsia="SimSun"/>
              </w:rPr>
              <w:t>Суточная доза</w:t>
            </w:r>
          </w:p>
        </w:tc>
        <w:tc>
          <w:tcPr>
            <w:tcW w:w="754" w:type="pct"/>
            <w:vAlign w:val="center"/>
          </w:tcPr>
          <w:p w14:paraId="2E47277E" w14:textId="77777777" w:rsidR="00124A26" w:rsidRPr="00C07B2E" w:rsidRDefault="00124A26" w:rsidP="002D3EBF">
            <w:pPr>
              <w:ind w:firstLine="0"/>
              <w:rPr>
                <w:rFonts w:eastAsia="SimSun"/>
              </w:rPr>
            </w:pPr>
            <w:r w:rsidRPr="00C07B2E">
              <w:rPr>
                <w:rFonts w:eastAsia="SimSun"/>
              </w:rPr>
              <w:t>Курсовая доза</w:t>
            </w:r>
          </w:p>
        </w:tc>
        <w:tc>
          <w:tcPr>
            <w:tcW w:w="889" w:type="pct"/>
            <w:vAlign w:val="center"/>
          </w:tcPr>
          <w:p w14:paraId="7AC2E64F" w14:textId="77777777" w:rsidR="00124A26" w:rsidRPr="00C07B2E" w:rsidRDefault="00124A26" w:rsidP="002D3EBF">
            <w:pPr>
              <w:ind w:firstLine="0"/>
              <w:rPr>
                <w:rFonts w:eastAsia="SimSun"/>
              </w:rPr>
            </w:pPr>
            <w:r w:rsidRPr="00C07B2E">
              <w:rPr>
                <w:rFonts w:eastAsia="SimSun"/>
              </w:rPr>
              <w:t>Дни введения</w:t>
            </w:r>
          </w:p>
        </w:tc>
        <w:tc>
          <w:tcPr>
            <w:tcW w:w="1167" w:type="pct"/>
            <w:vAlign w:val="center"/>
          </w:tcPr>
          <w:p w14:paraId="220A673A" w14:textId="77777777" w:rsidR="00124A26" w:rsidRPr="00C07B2E" w:rsidRDefault="00124A26" w:rsidP="002D3EBF">
            <w:pPr>
              <w:ind w:firstLine="0"/>
              <w:rPr>
                <w:rFonts w:eastAsia="SimSun"/>
              </w:rPr>
            </w:pPr>
            <w:r w:rsidRPr="00C07B2E">
              <w:rPr>
                <w:rFonts w:eastAsia="SimSun"/>
              </w:rPr>
              <w:t>Порядок введения</w:t>
            </w:r>
          </w:p>
        </w:tc>
      </w:tr>
      <w:tr w:rsidR="00124A26" w:rsidRPr="00C07B2E" w14:paraId="32654F48" w14:textId="77777777" w:rsidTr="002D3EBF">
        <w:trPr>
          <w:cantSplit/>
          <w:trHeight w:val="20"/>
        </w:trPr>
        <w:tc>
          <w:tcPr>
            <w:tcW w:w="484" w:type="pct"/>
            <w:vMerge w:val="restart"/>
            <w:textDirection w:val="btLr"/>
            <w:vAlign w:val="center"/>
          </w:tcPr>
          <w:p w14:paraId="6261E398" w14:textId="77777777" w:rsidR="00124A26" w:rsidRPr="00C07B2E" w:rsidRDefault="00124A26" w:rsidP="002D3EBF">
            <w:pPr>
              <w:ind w:firstLine="0"/>
              <w:rPr>
                <w:rFonts w:eastAsia="SimSun"/>
              </w:rPr>
            </w:pPr>
            <w:r w:rsidRPr="00C07B2E">
              <w:rPr>
                <w:rFonts w:eastAsia="SimSun"/>
              </w:rPr>
              <w:t>Кондиционирование</w:t>
            </w:r>
          </w:p>
        </w:tc>
        <w:tc>
          <w:tcPr>
            <w:tcW w:w="1003" w:type="pct"/>
            <w:vAlign w:val="center"/>
          </w:tcPr>
          <w:p w14:paraId="6065362D" w14:textId="77777777" w:rsidR="00124A26" w:rsidRPr="00C07B2E" w:rsidRDefault="00124A26" w:rsidP="002D3EBF">
            <w:pPr>
              <w:ind w:firstLine="0"/>
              <w:rPr>
                <w:rFonts w:eastAsia="SimSun"/>
              </w:rPr>
            </w:pPr>
            <w:r w:rsidRPr="00C07B2E">
              <w:rPr>
                <w:rFonts w:eastAsia="SimSun"/>
              </w:rPr>
              <w:t xml:space="preserve">Флударабин </w:t>
            </w:r>
          </w:p>
        </w:tc>
        <w:tc>
          <w:tcPr>
            <w:tcW w:w="703" w:type="pct"/>
            <w:vAlign w:val="center"/>
          </w:tcPr>
          <w:p w14:paraId="25DC5522" w14:textId="77777777" w:rsidR="00124A26" w:rsidRPr="00C07B2E" w:rsidRDefault="00124A26" w:rsidP="002D3EBF">
            <w:pPr>
              <w:ind w:firstLine="0"/>
              <w:rPr>
                <w:rFonts w:eastAsia="SimSun"/>
              </w:rPr>
            </w:pPr>
            <w:r w:rsidRPr="00C07B2E">
              <w:rPr>
                <w:rFonts w:eastAsia="SimSun"/>
              </w:rPr>
              <w:t>30 мг/м</w:t>
            </w:r>
            <w:r w:rsidRPr="000F445E">
              <w:rPr>
                <w:rFonts w:eastAsia="SimSun"/>
                <w:vertAlign w:val="superscript"/>
              </w:rPr>
              <w:t>2</w:t>
            </w:r>
          </w:p>
        </w:tc>
        <w:tc>
          <w:tcPr>
            <w:tcW w:w="754" w:type="pct"/>
            <w:vAlign w:val="center"/>
          </w:tcPr>
          <w:p w14:paraId="10BACBB3" w14:textId="77777777" w:rsidR="00124A26" w:rsidRPr="00C07B2E" w:rsidRDefault="00124A26" w:rsidP="002D3EBF">
            <w:pPr>
              <w:ind w:firstLine="0"/>
              <w:rPr>
                <w:rFonts w:eastAsia="SimSun"/>
              </w:rPr>
            </w:pPr>
            <w:r w:rsidRPr="00C07B2E">
              <w:rPr>
                <w:rFonts w:eastAsia="SimSun"/>
              </w:rPr>
              <w:t>180 мг/м</w:t>
            </w:r>
            <w:r w:rsidRPr="000F445E">
              <w:rPr>
                <w:rFonts w:eastAsia="SimSun"/>
                <w:vertAlign w:val="superscript"/>
              </w:rPr>
              <w:t>2</w:t>
            </w:r>
          </w:p>
        </w:tc>
        <w:tc>
          <w:tcPr>
            <w:tcW w:w="889" w:type="pct"/>
            <w:vAlign w:val="center"/>
          </w:tcPr>
          <w:p w14:paraId="69255D67" w14:textId="77777777" w:rsidR="00124A26" w:rsidRPr="00C07B2E" w:rsidRDefault="00124A26" w:rsidP="002D3EBF">
            <w:pPr>
              <w:ind w:firstLine="0"/>
              <w:rPr>
                <w:rFonts w:eastAsia="SimSun"/>
              </w:rPr>
            </w:pPr>
            <w:r w:rsidRPr="00C07B2E">
              <w:rPr>
                <w:rFonts w:eastAsia="SimSun"/>
              </w:rPr>
              <w:t>С -7 дня по -2 день</w:t>
            </w:r>
          </w:p>
        </w:tc>
        <w:tc>
          <w:tcPr>
            <w:tcW w:w="1167" w:type="pct"/>
            <w:vAlign w:val="center"/>
          </w:tcPr>
          <w:p w14:paraId="597D2E47" w14:textId="77777777" w:rsidR="00124A26" w:rsidRPr="00C07B2E" w:rsidRDefault="00124A26" w:rsidP="002D3EBF">
            <w:pPr>
              <w:ind w:firstLine="0"/>
              <w:rPr>
                <w:rFonts w:eastAsia="SimSun"/>
              </w:rPr>
            </w:pPr>
            <w:r w:rsidRPr="00C07B2E">
              <w:rPr>
                <w:rFonts w:eastAsia="SimSun"/>
              </w:rPr>
              <w:t>В/в, в течение 30 - 60 мин</w:t>
            </w:r>
          </w:p>
        </w:tc>
      </w:tr>
      <w:tr w:rsidR="00124A26" w:rsidRPr="00C07B2E" w14:paraId="390936EE" w14:textId="77777777" w:rsidTr="002D3EBF">
        <w:trPr>
          <w:cantSplit/>
          <w:trHeight w:val="1207"/>
        </w:trPr>
        <w:tc>
          <w:tcPr>
            <w:tcW w:w="484" w:type="pct"/>
            <w:vMerge/>
            <w:vAlign w:val="center"/>
          </w:tcPr>
          <w:p w14:paraId="739F4FCD" w14:textId="77777777" w:rsidR="00124A26" w:rsidRPr="00C07B2E" w:rsidRDefault="00124A26" w:rsidP="002D3EBF">
            <w:pPr>
              <w:ind w:firstLine="0"/>
              <w:rPr>
                <w:rFonts w:eastAsia="SimSun"/>
              </w:rPr>
            </w:pPr>
          </w:p>
        </w:tc>
        <w:tc>
          <w:tcPr>
            <w:tcW w:w="1003" w:type="pct"/>
            <w:vAlign w:val="center"/>
          </w:tcPr>
          <w:p w14:paraId="41C552B9" w14:textId="77777777" w:rsidR="00124A26" w:rsidRPr="00C07B2E" w:rsidRDefault="00124A26" w:rsidP="002D3EBF">
            <w:pPr>
              <w:ind w:firstLine="0"/>
              <w:rPr>
                <w:rFonts w:eastAsia="SimSun"/>
              </w:rPr>
            </w:pPr>
            <w:r w:rsidRPr="00C07B2E">
              <w:rPr>
                <w:rFonts w:eastAsia="SimSun"/>
              </w:rPr>
              <w:t>Бусульфан</w:t>
            </w:r>
          </w:p>
        </w:tc>
        <w:tc>
          <w:tcPr>
            <w:tcW w:w="703" w:type="pct"/>
            <w:vAlign w:val="center"/>
          </w:tcPr>
          <w:p w14:paraId="4A0368BC" w14:textId="77777777" w:rsidR="00124A26" w:rsidRPr="00C07B2E" w:rsidRDefault="00124A26" w:rsidP="002D3EBF">
            <w:pPr>
              <w:ind w:firstLine="0"/>
              <w:rPr>
                <w:rFonts w:eastAsia="SimSun"/>
              </w:rPr>
            </w:pPr>
            <w:r w:rsidRPr="00C07B2E">
              <w:rPr>
                <w:rFonts w:eastAsia="SimSun"/>
              </w:rPr>
              <w:t xml:space="preserve">4 мг/кг </w:t>
            </w:r>
          </w:p>
        </w:tc>
        <w:tc>
          <w:tcPr>
            <w:tcW w:w="754" w:type="pct"/>
            <w:vAlign w:val="center"/>
          </w:tcPr>
          <w:p w14:paraId="7FD5D2DA" w14:textId="77777777" w:rsidR="00124A26" w:rsidRPr="00C07B2E" w:rsidRDefault="00124A26" w:rsidP="002D3EBF">
            <w:pPr>
              <w:ind w:firstLine="0"/>
              <w:rPr>
                <w:rFonts w:eastAsia="SimSun"/>
              </w:rPr>
            </w:pPr>
            <w:r w:rsidRPr="00C07B2E">
              <w:rPr>
                <w:rFonts w:eastAsia="SimSun"/>
                <w:lang w:val="en-US"/>
              </w:rPr>
              <w:t>12</w:t>
            </w:r>
            <w:r w:rsidRPr="00C07B2E">
              <w:rPr>
                <w:rFonts w:eastAsia="SimSun"/>
              </w:rPr>
              <w:t xml:space="preserve"> мг/кг </w:t>
            </w:r>
          </w:p>
        </w:tc>
        <w:tc>
          <w:tcPr>
            <w:tcW w:w="889" w:type="pct"/>
            <w:vAlign w:val="center"/>
          </w:tcPr>
          <w:p w14:paraId="4906FE3D" w14:textId="77777777" w:rsidR="00124A26" w:rsidRPr="00C07B2E" w:rsidRDefault="00124A26" w:rsidP="002D3EBF">
            <w:pPr>
              <w:ind w:firstLine="0"/>
              <w:rPr>
                <w:rFonts w:eastAsia="SimSun"/>
              </w:rPr>
            </w:pPr>
            <w:r w:rsidRPr="00C07B2E">
              <w:rPr>
                <w:rFonts w:eastAsia="SimSun"/>
              </w:rPr>
              <w:t>С -</w:t>
            </w:r>
            <w:r w:rsidRPr="00C07B2E">
              <w:rPr>
                <w:rFonts w:eastAsia="SimSun"/>
                <w:lang w:val="en-US"/>
              </w:rPr>
              <w:t>5</w:t>
            </w:r>
            <w:r w:rsidRPr="00C07B2E">
              <w:rPr>
                <w:rFonts w:eastAsia="SimSun"/>
              </w:rPr>
              <w:t xml:space="preserve"> дня по -3 день</w:t>
            </w:r>
          </w:p>
        </w:tc>
        <w:tc>
          <w:tcPr>
            <w:tcW w:w="1167" w:type="pct"/>
            <w:vAlign w:val="center"/>
          </w:tcPr>
          <w:p w14:paraId="2C544C8B" w14:textId="77777777" w:rsidR="00124A26" w:rsidRPr="00C07B2E" w:rsidRDefault="00124A26" w:rsidP="002D3EBF">
            <w:pPr>
              <w:ind w:firstLine="0"/>
              <w:rPr>
                <w:rFonts w:eastAsia="SimSun"/>
              </w:rPr>
            </w:pPr>
            <w:r w:rsidRPr="00C07B2E">
              <w:rPr>
                <w:rFonts w:eastAsia="SimSun"/>
              </w:rPr>
              <w:t>Внутрь, суммарная суточная доза разделяется на 4 приема с интервалом 6 часов.</w:t>
            </w:r>
          </w:p>
        </w:tc>
      </w:tr>
      <w:tr w:rsidR="00124A26" w:rsidRPr="00C07B2E" w14:paraId="65C7DD60" w14:textId="77777777" w:rsidTr="002D3EBF">
        <w:trPr>
          <w:cantSplit/>
          <w:trHeight w:val="1498"/>
        </w:trPr>
        <w:tc>
          <w:tcPr>
            <w:tcW w:w="484" w:type="pct"/>
            <w:vMerge w:val="restart"/>
            <w:textDirection w:val="btLr"/>
            <w:vAlign w:val="center"/>
          </w:tcPr>
          <w:p w14:paraId="318D1869" w14:textId="77777777" w:rsidR="00124A26" w:rsidRPr="00C07B2E" w:rsidRDefault="00124A26" w:rsidP="002D3EBF">
            <w:pPr>
              <w:ind w:firstLine="0"/>
              <w:rPr>
                <w:rFonts w:eastAsia="SimSun"/>
              </w:rPr>
            </w:pPr>
            <w:r w:rsidRPr="00C07B2E">
              <w:rPr>
                <w:rFonts w:eastAsia="SimSun"/>
              </w:rPr>
              <w:t>Профилактика РТПХ</w:t>
            </w:r>
          </w:p>
        </w:tc>
        <w:tc>
          <w:tcPr>
            <w:tcW w:w="1003" w:type="pct"/>
            <w:vAlign w:val="center"/>
          </w:tcPr>
          <w:p w14:paraId="0CEE46B8" w14:textId="77777777" w:rsidR="00124A26" w:rsidRPr="00C07B2E" w:rsidRDefault="00124A26" w:rsidP="002D3EBF">
            <w:pPr>
              <w:ind w:firstLine="0"/>
              <w:rPr>
                <w:rFonts w:eastAsia="SimSun"/>
              </w:rPr>
            </w:pPr>
            <w:r w:rsidRPr="00C07B2E">
              <w:rPr>
                <w:rFonts w:eastAsia="SimSun"/>
              </w:rPr>
              <w:t>Циклофосфамид</w:t>
            </w:r>
          </w:p>
        </w:tc>
        <w:tc>
          <w:tcPr>
            <w:tcW w:w="703" w:type="pct"/>
            <w:vAlign w:val="center"/>
          </w:tcPr>
          <w:p w14:paraId="2C1BBAC4" w14:textId="77777777" w:rsidR="00124A26" w:rsidRPr="00C07B2E" w:rsidRDefault="00124A26" w:rsidP="002D3EBF">
            <w:pPr>
              <w:ind w:firstLine="0"/>
              <w:rPr>
                <w:rFonts w:eastAsia="SimSun"/>
              </w:rPr>
            </w:pPr>
            <w:r w:rsidRPr="00C07B2E">
              <w:rPr>
                <w:rFonts w:eastAsia="SimSun"/>
              </w:rPr>
              <w:t>50 мг/кг</w:t>
            </w:r>
          </w:p>
        </w:tc>
        <w:tc>
          <w:tcPr>
            <w:tcW w:w="754" w:type="pct"/>
            <w:vAlign w:val="center"/>
          </w:tcPr>
          <w:p w14:paraId="3ED8B457" w14:textId="77777777" w:rsidR="00124A26" w:rsidRPr="00C07B2E" w:rsidRDefault="00124A26" w:rsidP="002D3EBF">
            <w:pPr>
              <w:ind w:firstLine="0"/>
              <w:rPr>
                <w:rFonts w:eastAsia="SimSun"/>
              </w:rPr>
            </w:pPr>
            <w:r w:rsidRPr="00C07B2E">
              <w:rPr>
                <w:rFonts w:eastAsia="SimSun"/>
              </w:rPr>
              <w:t>100 мг/кг</w:t>
            </w:r>
          </w:p>
        </w:tc>
        <w:tc>
          <w:tcPr>
            <w:tcW w:w="889" w:type="pct"/>
            <w:vAlign w:val="center"/>
          </w:tcPr>
          <w:p w14:paraId="1A8B3DDB" w14:textId="77777777" w:rsidR="00124A26" w:rsidRPr="00C07B2E" w:rsidRDefault="00124A26" w:rsidP="002D3EBF">
            <w:pPr>
              <w:ind w:firstLine="0"/>
              <w:rPr>
                <w:rFonts w:eastAsia="SimSun"/>
              </w:rPr>
            </w:pPr>
            <w:r w:rsidRPr="00C07B2E">
              <w:rPr>
                <w:rFonts w:eastAsia="SimSun"/>
              </w:rPr>
              <w:t>В +3 день  и +5 день</w:t>
            </w:r>
          </w:p>
        </w:tc>
        <w:tc>
          <w:tcPr>
            <w:tcW w:w="1167" w:type="pct"/>
            <w:vAlign w:val="center"/>
          </w:tcPr>
          <w:p w14:paraId="6AD0C2A3" w14:textId="77777777" w:rsidR="00124A26" w:rsidRPr="00C07B2E" w:rsidRDefault="00124A26" w:rsidP="002D3EBF">
            <w:pPr>
              <w:ind w:firstLine="0"/>
              <w:rPr>
                <w:rFonts w:eastAsia="SimSun"/>
              </w:rPr>
            </w:pPr>
            <w:r w:rsidRPr="00C07B2E">
              <w:rPr>
                <w:rFonts w:eastAsia="SimSun"/>
              </w:rPr>
              <w:t xml:space="preserve">В/в, в течение 2 ч  </w:t>
            </w:r>
          </w:p>
        </w:tc>
      </w:tr>
      <w:tr w:rsidR="00124A26" w:rsidRPr="00C07B2E" w14:paraId="49AD3E93" w14:textId="77777777" w:rsidTr="002D3EBF">
        <w:trPr>
          <w:cantSplit/>
          <w:trHeight w:val="958"/>
        </w:trPr>
        <w:tc>
          <w:tcPr>
            <w:tcW w:w="484" w:type="pct"/>
            <w:vMerge/>
            <w:textDirection w:val="btLr"/>
            <w:vAlign w:val="center"/>
          </w:tcPr>
          <w:p w14:paraId="3F8496F3" w14:textId="77777777" w:rsidR="00124A26" w:rsidRPr="00C07B2E" w:rsidRDefault="00124A26" w:rsidP="002D3EBF">
            <w:pPr>
              <w:ind w:firstLine="0"/>
              <w:rPr>
                <w:rFonts w:eastAsia="SimSun"/>
              </w:rPr>
            </w:pPr>
          </w:p>
        </w:tc>
        <w:tc>
          <w:tcPr>
            <w:tcW w:w="1003" w:type="pct"/>
            <w:vAlign w:val="center"/>
          </w:tcPr>
          <w:p w14:paraId="5C9FB168" w14:textId="77777777" w:rsidR="00124A26" w:rsidRPr="00C07B2E" w:rsidRDefault="00124A26" w:rsidP="002D3EBF">
            <w:pPr>
              <w:ind w:firstLine="0"/>
              <w:rPr>
                <w:rFonts w:eastAsia="SimSun"/>
              </w:rPr>
            </w:pPr>
            <w:r w:rsidRPr="00C07B2E">
              <w:rPr>
                <w:rFonts w:eastAsia="SimSun"/>
              </w:rPr>
              <w:t>Микофенолата мофетил</w:t>
            </w:r>
          </w:p>
        </w:tc>
        <w:tc>
          <w:tcPr>
            <w:tcW w:w="703" w:type="pct"/>
            <w:vAlign w:val="center"/>
          </w:tcPr>
          <w:p w14:paraId="7565C768" w14:textId="77777777" w:rsidR="00124A26" w:rsidRPr="00C07B2E" w:rsidRDefault="00124A26" w:rsidP="002D3EBF">
            <w:pPr>
              <w:ind w:firstLine="0"/>
              <w:rPr>
                <w:rFonts w:eastAsia="SimSun"/>
              </w:rPr>
            </w:pPr>
            <w:r w:rsidRPr="00C07B2E">
              <w:rPr>
                <w:rFonts w:eastAsia="SimSun"/>
              </w:rPr>
              <w:t xml:space="preserve">30 мг/кг </w:t>
            </w:r>
          </w:p>
        </w:tc>
        <w:tc>
          <w:tcPr>
            <w:tcW w:w="754" w:type="pct"/>
            <w:vAlign w:val="center"/>
          </w:tcPr>
          <w:p w14:paraId="5C9FDECF" w14:textId="77777777" w:rsidR="00124A26" w:rsidRPr="00C07B2E" w:rsidRDefault="00124A26" w:rsidP="002D3EBF">
            <w:pPr>
              <w:ind w:firstLine="0"/>
              <w:rPr>
                <w:rFonts w:eastAsia="SimSun"/>
              </w:rPr>
            </w:pPr>
            <w:r w:rsidRPr="00C07B2E">
              <w:rPr>
                <w:rFonts w:eastAsia="SimSun"/>
              </w:rPr>
              <w:t>–</w:t>
            </w:r>
          </w:p>
        </w:tc>
        <w:tc>
          <w:tcPr>
            <w:tcW w:w="889" w:type="pct"/>
            <w:vAlign w:val="center"/>
          </w:tcPr>
          <w:p w14:paraId="7C33991E" w14:textId="77777777" w:rsidR="00124A26" w:rsidRPr="00C07B2E" w:rsidRDefault="00124A26" w:rsidP="002D3EBF">
            <w:pPr>
              <w:ind w:firstLine="0"/>
              <w:rPr>
                <w:rFonts w:eastAsia="SimSun"/>
              </w:rPr>
            </w:pPr>
            <w:r w:rsidRPr="00C07B2E">
              <w:rPr>
                <w:rFonts w:eastAsia="SimSun"/>
              </w:rPr>
              <w:t xml:space="preserve">С +1 дня по +28 день </w:t>
            </w:r>
          </w:p>
        </w:tc>
        <w:tc>
          <w:tcPr>
            <w:tcW w:w="1167" w:type="pct"/>
            <w:vAlign w:val="center"/>
          </w:tcPr>
          <w:p w14:paraId="6285FFA5" w14:textId="77777777" w:rsidR="00124A26" w:rsidRPr="000F445E" w:rsidRDefault="00124A26" w:rsidP="002D3EBF">
            <w:pPr>
              <w:ind w:firstLine="0"/>
              <w:rPr>
                <w:rFonts w:eastAsia="SimSun"/>
              </w:rPr>
            </w:pPr>
            <w:r w:rsidRPr="000F445E">
              <w:rPr>
                <w:rFonts w:eastAsia="SimSun"/>
              </w:rPr>
              <w:t>Внутрь, суммарная суточная доза разделяется на 2- 4 приема (не более 3</w:t>
            </w:r>
            <w:r>
              <w:rPr>
                <w:rFonts w:eastAsia="SimSun"/>
              </w:rPr>
              <w:t xml:space="preserve"> </w:t>
            </w:r>
            <w:r w:rsidRPr="000F445E">
              <w:rPr>
                <w:rFonts w:eastAsia="SimSun"/>
              </w:rPr>
              <w:t>г/сут).</w:t>
            </w:r>
          </w:p>
        </w:tc>
      </w:tr>
      <w:tr w:rsidR="00124A26" w:rsidRPr="000F445E" w14:paraId="31B20DB5" w14:textId="77777777" w:rsidTr="002D3EBF">
        <w:trPr>
          <w:cantSplit/>
          <w:trHeight w:val="958"/>
        </w:trPr>
        <w:tc>
          <w:tcPr>
            <w:tcW w:w="484" w:type="pct"/>
            <w:vMerge/>
            <w:textDirection w:val="btLr"/>
            <w:vAlign w:val="center"/>
          </w:tcPr>
          <w:p w14:paraId="16465AE2" w14:textId="77777777" w:rsidR="00124A26" w:rsidRPr="000F445E" w:rsidRDefault="00124A26" w:rsidP="002D3EBF">
            <w:pPr>
              <w:ind w:firstLine="0"/>
              <w:rPr>
                <w:rFonts w:eastAsia="SimSun"/>
              </w:rPr>
            </w:pPr>
          </w:p>
        </w:tc>
        <w:tc>
          <w:tcPr>
            <w:tcW w:w="1003" w:type="pct"/>
            <w:vAlign w:val="center"/>
          </w:tcPr>
          <w:p w14:paraId="24193C89" w14:textId="77777777" w:rsidR="00124A26" w:rsidRPr="00C07B2E" w:rsidRDefault="00124A26" w:rsidP="002D3EBF">
            <w:pPr>
              <w:ind w:firstLine="0"/>
              <w:rPr>
                <w:rFonts w:eastAsia="SimSun"/>
              </w:rPr>
            </w:pPr>
            <w:r w:rsidRPr="00C07B2E">
              <w:rPr>
                <w:rFonts w:eastAsia="SimSun"/>
              </w:rPr>
              <w:t>Циклоспорин А</w:t>
            </w:r>
          </w:p>
        </w:tc>
        <w:tc>
          <w:tcPr>
            <w:tcW w:w="703" w:type="pct"/>
            <w:vAlign w:val="center"/>
          </w:tcPr>
          <w:p w14:paraId="77342297" w14:textId="77777777" w:rsidR="00124A26" w:rsidRPr="00C07B2E" w:rsidRDefault="00124A26" w:rsidP="002D3EBF">
            <w:pPr>
              <w:ind w:firstLine="0"/>
              <w:rPr>
                <w:rFonts w:eastAsia="SimSun"/>
              </w:rPr>
            </w:pPr>
            <w:r w:rsidRPr="00C07B2E">
              <w:rPr>
                <w:rFonts w:eastAsia="SimSun"/>
              </w:rPr>
              <w:t>3  мг/кг</w:t>
            </w:r>
          </w:p>
        </w:tc>
        <w:tc>
          <w:tcPr>
            <w:tcW w:w="754" w:type="pct"/>
            <w:vAlign w:val="center"/>
          </w:tcPr>
          <w:p w14:paraId="261FFE5B" w14:textId="77777777" w:rsidR="00124A26" w:rsidRPr="00C07B2E" w:rsidRDefault="00124A26" w:rsidP="002D3EBF">
            <w:pPr>
              <w:ind w:firstLine="0"/>
              <w:rPr>
                <w:rFonts w:eastAsia="SimSun"/>
              </w:rPr>
            </w:pPr>
            <w:r w:rsidRPr="00C07B2E">
              <w:rPr>
                <w:rFonts w:eastAsia="SimSun"/>
              </w:rPr>
              <w:t>-</w:t>
            </w:r>
          </w:p>
        </w:tc>
        <w:tc>
          <w:tcPr>
            <w:tcW w:w="889" w:type="pct"/>
            <w:vAlign w:val="center"/>
          </w:tcPr>
          <w:p w14:paraId="346DBA82" w14:textId="77777777" w:rsidR="00124A26" w:rsidRPr="00C07B2E" w:rsidRDefault="00124A26" w:rsidP="002D3EBF">
            <w:pPr>
              <w:ind w:firstLine="0"/>
              <w:rPr>
                <w:rFonts w:eastAsia="SimSun"/>
              </w:rPr>
            </w:pPr>
            <w:r w:rsidRPr="00C07B2E">
              <w:rPr>
                <w:rFonts w:eastAsia="SimSun"/>
              </w:rPr>
              <w:t xml:space="preserve">С -1 дня по +100 день </w:t>
            </w:r>
          </w:p>
        </w:tc>
        <w:tc>
          <w:tcPr>
            <w:tcW w:w="1167" w:type="pct"/>
            <w:vAlign w:val="center"/>
          </w:tcPr>
          <w:p w14:paraId="7098D1B5" w14:textId="77777777" w:rsidR="00124A26" w:rsidRPr="000F445E" w:rsidRDefault="00124A26" w:rsidP="002D3EBF">
            <w:pPr>
              <w:ind w:firstLine="0"/>
              <w:rPr>
                <w:rFonts w:eastAsia="SimSun"/>
              </w:rPr>
            </w:pPr>
            <w:r w:rsidRPr="00C07B2E">
              <w:rPr>
                <w:rFonts w:eastAsia="SimSun"/>
              </w:rPr>
              <w:t xml:space="preserve">В/в, 5-часовая инфузия 2 раза/сут. </w:t>
            </w:r>
            <w:r w:rsidRPr="000F445E">
              <w:rPr>
                <w:rFonts w:eastAsia="SimSun"/>
              </w:rPr>
              <w:t>Перевод на прием внутрь при условии восстановления лейкоцитов &gt; 1</w:t>
            </w:r>
            <w:r>
              <w:rPr>
                <w:rFonts w:eastAsia="SimSun"/>
              </w:rPr>
              <w:t xml:space="preserve"> х </w:t>
            </w:r>
            <w:r w:rsidRPr="000F445E">
              <w:rPr>
                <w:rFonts w:eastAsia="SimSun"/>
              </w:rPr>
              <w:t>10</w:t>
            </w:r>
            <w:r w:rsidRPr="000F445E">
              <w:rPr>
                <w:rFonts w:eastAsia="SimSun"/>
                <w:vertAlign w:val="superscript"/>
              </w:rPr>
              <w:t>9</w:t>
            </w:r>
            <w:r w:rsidRPr="000F445E">
              <w:rPr>
                <w:rFonts w:eastAsia="SimSun"/>
              </w:rPr>
              <w:t>/л, при отсутствии тошноты, рвоты, диареи и возможности приема внутрь. Концентрация 150-350</w:t>
            </w:r>
            <w:r>
              <w:rPr>
                <w:rFonts w:eastAsia="SimSun"/>
              </w:rPr>
              <w:t xml:space="preserve"> </w:t>
            </w:r>
            <w:r w:rsidRPr="000F445E">
              <w:rPr>
                <w:rFonts w:eastAsia="SimSun"/>
              </w:rPr>
              <w:t>пг/мл.</w:t>
            </w:r>
          </w:p>
        </w:tc>
      </w:tr>
    </w:tbl>
    <w:p w14:paraId="16C4A376" w14:textId="77777777" w:rsidR="00124A26" w:rsidRPr="00C07B2E" w:rsidRDefault="00124A26" w:rsidP="00124A26">
      <w:pPr>
        <w:rPr>
          <w:rFonts w:eastAsia="SimSun"/>
        </w:rPr>
      </w:pPr>
    </w:p>
    <w:p w14:paraId="10BF9D05" w14:textId="77777777" w:rsidR="00124A26" w:rsidRPr="00C07B2E" w:rsidRDefault="00124A26" w:rsidP="00124A26">
      <w:pPr>
        <w:rPr>
          <w:rFonts w:eastAsia="SimSun"/>
        </w:rPr>
      </w:pPr>
      <w:bookmarkStart w:id="196" w:name="_Toc44401151"/>
      <w:r w:rsidRPr="00042499">
        <w:rPr>
          <w:rFonts w:eastAsia="SimSun"/>
        </w:rPr>
        <w:t>Таблица</w:t>
      </w:r>
      <w:r w:rsidRPr="00C07B2E">
        <w:rPr>
          <w:rFonts w:eastAsia="SimSun"/>
        </w:rPr>
        <w:t xml:space="preserve"> </w:t>
      </w:r>
      <w:r>
        <w:rPr>
          <w:rFonts w:eastAsia="SimSun"/>
        </w:rPr>
        <w:t>5</w:t>
      </w:r>
      <w:r w:rsidRPr="00C07B2E">
        <w:rPr>
          <w:rFonts w:eastAsia="SimSun"/>
        </w:rPr>
        <w:t>.1.1.8  – Flu180+Bu14 / PT-Cy</w:t>
      </w:r>
      <w:bookmarkEnd w:id="196"/>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09"/>
        <w:gridCol w:w="1417"/>
        <w:gridCol w:w="1418"/>
        <w:gridCol w:w="1701"/>
        <w:gridCol w:w="2268"/>
      </w:tblGrid>
      <w:tr w:rsidR="00124A26" w:rsidRPr="00C07B2E" w14:paraId="7BFA02DB" w14:textId="77777777" w:rsidTr="002D3EBF">
        <w:trPr>
          <w:cantSplit/>
          <w:trHeight w:val="20"/>
          <w:tblHeader/>
        </w:trPr>
        <w:tc>
          <w:tcPr>
            <w:tcW w:w="993" w:type="dxa"/>
            <w:vAlign w:val="center"/>
          </w:tcPr>
          <w:p w14:paraId="21F7704E" w14:textId="77777777" w:rsidR="00124A26" w:rsidRPr="00C07B2E" w:rsidRDefault="00124A26" w:rsidP="002D3EBF">
            <w:pPr>
              <w:ind w:firstLine="0"/>
              <w:rPr>
                <w:rFonts w:eastAsia="SimSun"/>
              </w:rPr>
            </w:pPr>
          </w:p>
        </w:tc>
        <w:tc>
          <w:tcPr>
            <w:tcW w:w="1809" w:type="dxa"/>
            <w:vAlign w:val="center"/>
          </w:tcPr>
          <w:p w14:paraId="2C9C2F9D" w14:textId="77777777" w:rsidR="00124A26" w:rsidRPr="00C07B2E" w:rsidRDefault="00124A26" w:rsidP="002D3EBF">
            <w:pPr>
              <w:ind w:firstLine="0"/>
              <w:rPr>
                <w:rFonts w:eastAsia="SimSun"/>
              </w:rPr>
            </w:pPr>
            <w:r w:rsidRPr="00C07B2E">
              <w:rPr>
                <w:rFonts w:eastAsia="SimSun"/>
              </w:rPr>
              <w:t>Препарат</w:t>
            </w:r>
          </w:p>
        </w:tc>
        <w:tc>
          <w:tcPr>
            <w:tcW w:w="1417" w:type="dxa"/>
            <w:vAlign w:val="center"/>
          </w:tcPr>
          <w:p w14:paraId="7EDB5440" w14:textId="77777777" w:rsidR="00124A26" w:rsidRPr="00C07B2E" w:rsidRDefault="00124A26" w:rsidP="002D3EBF">
            <w:pPr>
              <w:ind w:firstLine="0"/>
              <w:rPr>
                <w:rFonts w:eastAsia="SimSun"/>
              </w:rPr>
            </w:pPr>
            <w:r w:rsidRPr="00C07B2E">
              <w:rPr>
                <w:rFonts w:eastAsia="SimSun"/>
              </w:rPr>
              <w:t>Суточная доза</w:t>
            </w:r>
          </w:p>
        </w:tc>
        <w:tc>
          <w:tcPr>
            <w:tcW w:w="1418" w:type="dxa"/>
            <w:vAlign w:val="center"/>
          </w:tcPr>
          <w:p w14:paraId="3F3C209F" w14:textId="77777777" w:rsidR="00124A26" w:rsidRPr="00C07B2E" w:rsidRDefault="00124A26" w:rsidP="002D3EBF">
            <w:pPr>
              <w:ind w:firstLine="0"/>
              <w:rPr>
                <w:rFonts w:eastAsia="SimSun"/>
              </w:rPr>
            </w:pPr>
            <w:r w:rsidRPr="00C07B2E">
              <w:rPr>
                <w:rFonts w:eastAsia="SimSun"/>
              </w:rPr>
              <w:t>Курсовая доза</w:t>
            </w:r>
          </w:p>
        </w:tc>
        <w:tc>
          <w:tcPr>
            <w:tcW w:w="1701" w:type="dxa"/>
            <w:vAlign w:val="center"/>
          </w:tcPr>
          <w:p w14:paraId="00BC59E5" w14:textId="77777777" w:rsidR="00124A26" w:rsidRPr="00C07B2E" w:rsidRDefault="00124A26" w:rsidP="002D3EBF">
            <w:pPr>
              <w:ind w:firstLine="0"/>
              <w:rPr>
                <w:rFonts w:eastAsia="SimSun"/>
              </w:rPr>
            </w:pPr>
            <w:r w:rsidRPr="00C07B2E">
              <w:rPr>
                <w:rFonts w:eastAsia="SimSun"/>
              </w:rPr>
              <w:t>Дни введения</w:t>
            </w:r>
          </w:p>
        </w:tc>
        <w:tc>
          <w:tcPr>
            <w:tcW w:w="2268" w:type="dxa"/>
            <w:vAlign w:val="center"/>
          </w:tcPr>
          <w:p w14:paraId="54D14968" w14:textId="77777777" w:rsidR="00124A26" w:rsidRPr="00C07B2E" w:rsidRDefault="00124A26" w:rsidP="002D3EBF">
            <w:pPr>
              <w:ind w:firstLine="0"/>
              <w:rPr>
                <w:rFonts w:eastAsia="SimSun"/>
              </w:rPr>
            </w:pPr>
            <w:r w:rsidRPr="00C07B2E">
              <w:rPr>
                <w:rFonts w:eastAsia="SimSun"/>
              </w:rPr>
              <w:t>Порядок введения</w:t>
            </w:r>
          </w:p>
        </w:tc>
      </w:tr>
      <w:tr w:rsidR="00124A26" w:rsidRPr="00C07B2E" w14:paraId="6A242B44" w14:textId="77777777" w:rsidTr="002D3EBF">
        <w:trPr>
          <w:cantSplit/>
          <w:trHeight w:val="20"/>
        </w:trPr>
        <w:tc>
          <w:tcPr>
            <w:tcW w:w="993" w:type="dxa"/>
            <w:vMerge w:val="restart"/>
            <w:textDirection w:val="btLr"/>
            <w:vAlign w:val="center"/>
          </w:tcPr>
          <w:p w14:paraId="414C7C53" w14:textId="77777777" w:rsidR="00124A26" w:rsidRPr="00C07B2E" w:rsidRDefault="00124A26" w:rsidP="002D3EBF">
            <w:pPr>
              <w:ind w:firstLine="0"/>
              <w:rPr>
                <w:rFonts w:eastAsia="SimSun"/>
              </w:rPr>
            </w:pPr>
            <w:r w:rsidRPr="00C07B2E">
              <w:rPr>
                <w:rFonts w:eastAsia="SimSun"/>
              </w:rPr>
              <w:t>Кондиционирование</w:t>
            </w:r>
          </w:p>
        </w:tc>
        <w:tc>
          <w:tcPr>
            <w:tcW w:w="1809" w:type="dxa"/>
            <w:vAlign w:val="center"/>
          </w:tcPr>
          <w:p w14:paraId="2E4A643B" w14:textId="77777777" w:rsidR="00124A26" w:rsidRPr="00C07B2E" w:rsidRDefault="00124A26" w:rsidP="002D3EBF">
            <w:pPr>
              <w:ind w:firstLine="0"/>
              <w:rPr>
                <w:rFonts w:eastAsia="SimSun"/>
              </w:rPr>
            </w:pPr>
            <w:r w:rsidRPr="00C07B2E">
              <w:rPr>
                <w:rFonts w:eastAsia="SimSun"/>
              </w:rPr>
              <w:t xml:space="preserve">Флударабин </w:t>
            </w:r>
          </w:p>
        </w:tc>
        <w:tc>
          <w:tcPr>
            <w:tcW w:w="1417" w:type="dxa"/>
            <w:vAlign w:val="center"/>
          </w:tcPr>
          <w:p w14:paraId="76F3EA5F" w14:textId="77777777" w:rsidR="00124A26" w:rsidRPr="00C07B2E" w:rsidRDefault="00124A26" w:rsidP="002D3EBF">
            <w:pPr>
              <w:ind w:firstLine="0"/>
              <w:rPr>
                <w:rFonts w:eastAsia="SimSun"/>
              </w:rPr>
            </w:pPr>
            <w:r w:rsidRPr="00C07B2E">
              <w:rPr>
                <w:rFonts w:eastAsia="SimSun"/>
              </w:rPr>
              <w:t>30 мг/м</w:t>
            </w:r>
            <w:r w:rsidRPr="000F445E">
              <w:rPr>
                <w:rFonts w:eastAsia="SimSun"/>
                <w:vertAlign w:val="superscript"/>
              </w:rPr>
              <w:t>2</w:t>
            </w:r>
          </w:p>
        </w:tc>
        <w:tc>
          <w:tcPr>
            <w:tcW w:w="1418" w:type="dxa"/>
            <w:vAlign w:val="center"/>
          </w:tcPr>
          <w:p w14:paraId="06732E89" w14:textId="77777777" w:rsidR="00124A26" w:rsidRPr="00C07B2E" w:rsidRDefault="00124A26" w:rsidP="002D3EBF">
            <w:pPr>
              <w:ind w:firstLine="0"/>
              <w:rPr>
                <w:rFonts w:eastAsia="SimSun"/>
              </w:rPr>
            </w:pPr>
            <w:r w:rsidRPr="00C07B2E">
              <w:rPr>
                <w:rFonts w:eastAsia="SimSun"/>
              </w:rPr>
              <w:t>180 мг/м</w:t>
            </w:r>
            <w:r w:rsidRPr="000F445E">
              <w:rPr>
                <w:rFonts w:eastAsia="SimSun"/>
                <w:vertAlign w:val="superscript"/>
              </w:rPr>
              <w:t>2</w:t>
            </w:r>
          </w:p>
        </w:tc>
        <w:tc>
          <w:tcPr>
            <w:tcW w:w="1701" w:type="dxa"/>
            <w:vAlign w:val="center"/>
          </w:tcPr>
          <w:p w14:paraId="0BCCE02A" w14:textId="77777777" w:rsidR="00124A26" w:rsidRPr="00C07B2E" w:rsidRDefault="00124A26" w:rsidP="002D3EBF">
            <w:pPr>
              <w:ind w:firstLine="0"/>
              <w:rPr>
                <w:rFonts w:eastAsia="SimSun"/>
              </w:rPr>
            </w:pPr>
            <w:r w:rsidRPr="00C07B2E">
              <w:rPr>
                <w:rFonts w:eastAsia="SimSun"/>
              </w:rPr>
              <w:t>С -7 дня по -2 день</w:t>
            </w:r>
          </w:p>
        </w:tc>
        <w:tc>
          <w:tcPr>
            <w:tcW w:w="2268" w:type="dxa"/>
            <w:vAlign w:val="center"/>
          </w:tcPr>
          <w:p w14:paraId="4DC06D0B" w14:textId="77777777" w:rsidR="00124A26" w:rsidRPr="00C07B2E" w:rsidRDefault="00124A26" w:rsidP="002D3EBF">
            <w:pPr>
              <w:ind w:firstLine="0"/>
              <w:rPr>
                <w:rFonts w:eastAsia="SimSun"/>
              </w:rPr>
            </w:pPr>
            <w:r w:rsidRPr="00C07B2E">
              <w:rPr>
                <w:rFonts w:eastAsia="SimSun"/>
              </w:rPr>
              <w:t>В/в, в течение 30 - 60 мин</w:t>
            </w:r>
          </w:p>
        </w:tc>
      </w:tr>
      <w:tr w:rsidR="00124A26" w:rsidRPr="00C07B2E" w14:paraId="0B390C87" w14:textId="77777777" w:rsidTr="002D3EBF">
        <w:trPr>
          <w:cantSplit/>
          <w:trHeight w:val="1207"/>
        </w:trPr>
        <w:tc>
          <w:tcPr>
            <w:tcW w:w="993" w:type="dxa"/>
            <w:vMerge/>
            <w:vAlign w:val="center"/>
          </w:tcPr>
          <w:p w14:paraId="089CBB9B" w14:textId="77777777" w:rsidR="00124A26" w:rsidRPr="00C07B2E" w:rsidRDefault="00124A26" w:rsidP="002D3EBF">
            <w:pPr>
              <w:ind w:firstLine="0"/>
              <w:rPr>
                <w:rFonts w:eastAsia="SimSun"/>
              </w:rPr>
            </w:pPr>
          </w:p>
        </w:tc>
        <w:tc>
          <w:tcPr>
            <w:tcW w:w="1809" w:type="dxa"/>
            <w:vAlign w:val="center"/>
          </w:tcPr>
          <w:p w14:paraId="7FD5CBFF" w14:textId="77777777" w:rsidR="00124A26" w:rsidRPr="00C07B2E" w:rsidRDefault="00124A26" w:rsidP="002D3EBF">
            <w:pPr>
              <w:ind w:firstLine="0"/>
              <w:rPr>
                <w:rFonts w:eastAsia="SimSun"/>
              </w:rPr>
            </w:pPr>
            <w:r w:rsidRPr="00C07B2E">
              <w:rPr>
                <w:rFonts w:eastAsia="SimSun"/>
              </w:rPr>
              <w:t>Бусульфан</w:t>
            </w:r>
          </w:p>
        </w:tc>
        <w:tc>
          <w:tcPr>
            <w:tcW w:w="1417" w:type="dxa"/>
            <w:vAlign w:val="center"/>
          </w:tcPr>
          <w:p w14:paraId="47FFF9A9" w14:textId="77777777" w:rsidR="00124A26" w:rsidRPr="00C07B2E" w:rsidRDefault="00124A26" w:rsidP="002D3EBF">
            <w:pPr>
              <w:ind w:firstLine="0"/>
              <w:rPr>
                <w:rFonts w:eastAsia="SimSun"/>
              </w:rPr>
            </w:pPr>
            <w:r w:rsidRPr="00C07B2E">
              <w:rPr>
                <w:rFonts w:eastAsia="SimSun"/>
              </w:rPr>
              <w:t xml:space="preserve">4 мг/кг </w:t>
            </w:r>
          </w:p>
        </w:tc>
        <w:tc>
          <w:tcPr>
            <w:tcW w:w="1418" w:type="dxa"/>
            <w:vAlign w:val="center"/>
          </w:tcPr>
          <w:p w14:paraId="4219A455" w14:textId="77777777" w:rsidR="00124A26" w:rsidRPr="00C07B2E" w:rsidRDefault="00124A26" w:rsidP="002D3EBF">
            <w:pPr>
              <w:ind w:firstLine="0"/>
              <w:rPr>
                <w:rFonts w:eastAsia="SimSun"/>
              </w:rPr>
            </w:pPr>
            <w:r w:rsidRPr="00C07B2E">
              <w:rPr>
                <w:rFonts w:eastAsia="SimSun"/>
                <w:lang w:val="en-US"/>
              </w:rPr>
              <w:t>14</w:t>
            </w:r>
            <w:r w:rsidRPr="00C07B2E">
              <w:rPr>
                <w:rFonts w:eastAsia="SimSun"/>
              </w:rPr>
              <w:t xml:space="preserve"> мг/кг </w:t>
            </w:r>
          </w:p>
        </w:tc>
        <w:tc>
          <w:tcPr>
            <w:tcW w:w="1701" w:type="dxa"/>
            <w:vAlign w:val="center"/>
          </w:tcPr>
          <w:p w14:paraId="6CC225D8" w14:textId="77777777" w:rsidR="00124A26" w:rsidRPr="00C07B2E" w:rsidRDefault="00124A26" w:rsidP="002D3EBF">
            <w:pPr>
              <w:ind w:firstLine="0"/>
              <w:rPr>
                <w:rFonts w:eastAsia="SimSun"/>
              </w:rPr>
            </w:pPr>
            <w:r w:rsidRPr="00C07B2E">
              <w:rPr>
                <w:rFonts w:eastAsia="SimSun"/>
              </w:rPr>
              <w:t>С -</w:t>
            </w:r>
            <w:r w:rsidRPr="00C07B2E">
              <w:rPr>
                <w:rFonts w:eastAsia="SimSun"/>
                <w:lang w:val="en-US"/>
              </w:rPr>
              <w:t>6</w:t>
            </w:r>
            <w:r w:rsidRPr="00C07B2E">
              <w:rPr>
                <w:rFonts w:eastAsia="SimSun"/>
              </w:rPr>
              <w:t xml:space="preserve"> дня по -3 день</w:t>
            </w:r>
          </w:p>
        </w:tc>
        <w:tc>
          <w:tcPr>
            <w:tcW w:w="2268" w:type="dxa"/>
            <w:vAlign w:val="center"/>
          </w:tcPr>
          <w:p w14:paraId="6F32CEEB" w14:textId="77777777" w:rsidR="00124A26" w:rsidRPr="00C07B2E" w:rsidRDefault="00124A26" w:rsidP="002D3EBF">
            <w:pPr>
              <w:ind w:firstLine="0"/>
              <w:rPr>
                <w:rFonts w:eastAsia="SimSun"/>
              </w:rPr>
            </w:pPr>
            <w:r w:rsidRPr="00C07B2E">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124A26" w:rsidRPr="00C07B2E" w14:paraId="7214C679" w14:textId="77777777" w:rsidTr="002D3EBF">
        <w:trPr>
          <w:cantSplit/>
          <w:trHeight w:val="1498"/>
        </w:trPr>
        <w:tc>
          <w:tcPr>
            <w:tcW w:w="993" w:type="dxa"/>
            <w:textDirection w:val="btLr"/>
            <w:vAlign w:val="center"/>
          </w:tcPr>
          <w:p w14:paraId="26A253F6" w14:textId="77777777" w:rsidR="00124A26" w:rsidRPr="00C07B2E" w:rsidRDefault="00124A26" w:rsidP="002D3EBF">
            <w:pPr>
              <w:ind w:firstLine="0"/>
              <w:rPr>
                <w:rFonts w:eastAsia="SimSun"/>
              </w:rPr>
            </w:pPr>
            <w:r w:rsidRPr="00C07B2E">
              <w:rPr>
                <w:rFonts w:eastAsia="SimSun"/>
              </w:rPr>
              <w:t>Профилактика РТПХ</w:t>
            </w:r>
          </w:p>
        </w:tc>
        <w:tc>
          <w:tcPr>
            <w:tcW w:w="1809" w:type="dxa"/>
            <w:vAlign w:val="center"/>
          </w:tcPr>
          <w:p w14:paraId="3C7BD1B2" w14:textId="77777777" w:rsidR="00124A26" w:rsidRPr="00C07B2E" w:rsidRDefault="00124A26" w:rsidP="002D3EBF">
            <w:pPr>
              <w:ind w:firstLine="0"/>
              <w:rPr>
                <w:rFonts w:eastAsia="SimSun"/>
              </w:rPr>
            </w:pPr>
            <w:r w:rsidRPr="00C07B2E">
              <w:rPr>
                <w:rFonts w:eastAsia="SimSun"/>
              </w:rPr>
              <w:t>Циклофосфамид</w:t>
            </w:r>
          </w:p>
        </w:tc>
        <w:tc>
          <w:tcPr>
            <w:tcW w:w="1417" w:type="dxa"/>
            <w:vAlign w:val="center"/>
          </w:tcPr>
          <w:p w14:paraId="75285E85" w14:textId="77777777" w:rsidR="00124A26" w:rsidRPr="00C07B2E" w:rsidRDefault="00124A26" w:rsidP="002D3EBF">
            <w:pPr>
              <w:ind w:firstLine="0"/>
              <w:rPr>
                <w:rFonts w:eastAsia="SimSun"/>
              </w:rPr>
            </w:pPr>
            <w:r w:rsidRPr="00C07B2E">
              <w:rPr>
                <w:rFonts w:eastAsia="SimSun"/>
              </w:rPr>
              <w:t>50 мг/кг</w:t>
            </w:r>
          </w:p>
        </w:tc>
        <w:tc>
          <w:tcPr>
            <w:tcW w:w="1418" w:type="dxa"/>
            <w:vAlign w:val="center"/>
          </w:tcPr>
          <w:p w14:paraId="28BF11C0" w14:textId="77777777" w:rsidR="00124A26" w:rsidRPr="00C07B2E" w:rsidRDefault="00124A26" w:rsidP="002D3EBF">
            <w:pPr>
              <w:ind w:firstLine="0"/>
              <w:rPr>
                <w:rFonts w:eastAsia="SimSun"/>
              </w:rPr>
            </w:pPr>
            <w:r w:rsidRPr="00C07B2E">
              <w:rPr>
                <w:rFonts w:eastAsia="SimSun"/>
              </w:rPr>
              <w:t>100 мг/кг</w:t>
            </w:r>
          </w:p>
        </w:tc>
        <w:tc>
          <w:tcPr>
            <w:tcW w:w="1701" w:type="dxa"/>
            <w:vAlign w:val="center"/>
          </w:tcPr>
          <w:p w14:paraId="4518A8EC" w14:textId="77777777" w:rsidR="00124A26" w:rsidRPr="00C07B2E" w:rsidRDefault="00124A26" w:rsidP="002D3EBF">
            <w:pPr>
              <w:ind w:firstLine="0"/>
              <w:rPr>
                <w:rFonts w:eastAsia="SimSun"/>
              </w:rPr>
            </w:pPr>
            <w:r w:rsidRPr="00C07B2E">
              <w:rPr>
                <w:rFonts w:eastAsia="SimSun"/>
              </w:rPr>
              <w:t>С +3 дня по +4 день</w:t>
            </w:r>
          </w:p>
        </w:tc>
        <w:tc>
          <w:tcPr>
            <w:tcW w:w="2268" w:type="dxa"/>
            <w:vAlign w:val="center"/>
          </w:tcPr>
          <w:p w14:paraId="5E154C16" w14:textId="77777777" w:rsidR="00124A26" w:rsidRPr="00C07B2E" w:rsidRDefault="00124A26" w:rsidP="002D3EBF">
            <w:pPr>
              <w:ind w:firstLine="0"/>
              <w:rPr>
                <w:rFonts w:eastAsia="SimSun"/>
              </w:rPr>
            </w:pPr>
            <w:r w:rsidRPr="00C07B2E">
              <w:rPr>
                <w:rFonts w:eastAsia="SimSun"/>
              </w:rPr>
              <w:t xml:space="preserve">В/в, в течение 2 ч  </w:t>
            </w:r>
          </w:p>
        </w:tc>
      </w:tr>
    </w:tbl>
    <w:p w14:paraId="220F1209" w14:textId="77777777" w:rsidR="00124A26" w:rsidRPr="00C07B2E" w:rsidRDefault="00124A26" w:rsidP="00124A26">
      <w:pPr>
        <w:rPr>
          <w:rFonts w:eastAsia="SimSun"/>
        </w:rPr>
      </w:pPr>
    </w:p>
    <w:p w14:paraId="3733A356" w14:textId="77777777" w:rsidR="00124A26" w:rsidRPr="00C07B2E" w:rsidRDefault="00124A26" w:rsidP="00124A26">
      <w:pPr>
        <w:rPr>
          <w:rFonts w:eastAsia="SimSun"/>
        </w:rPr>
      </w:pPr>
      <w:bookmarkStart w:id="197" w:name="_Toc44401152"/>
      <w:r w:rsidRPr="00042499">
        <w:rPr>
          <w:rFonts w:eastAsia="SimSun"/>
        </w:rPr>
        <w:t>Таблица</w:t>
      </w:r>
      <w:r w:rsidRPr="00C07B2E">
        <w:rPr>
          <w:rFonts w:eastAsia="SimSun"/>
        </w:rPr>
        <w:t xml:space="preserve"> </w:t>
      </w:r>
      <w:r>
        <w:rPr>
          <w:rFonts w:eastAsia="SimSun"/>
        </w:rPr>
        <w:t>5</w:t>
      </w:r>
      <w:r w:rsidRPr="00C07B2E">
        <w:rPr>
          <w:rFonts w:eastAsia="SimSun"/>
        </w:rPr>
        <w:t>.1.1.9 – Flu180+Bu14 / PT-Cy+Tx+MMF30</w:t>
      </w:r>
      <w:bookmarkEnd w:id="197"/>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09"/>
        <w:gridCol w:w="1417"/>
        <w:gridCol w:w="1418"/>
        <w:gridCol w:w="1701"/>
        <w:gridCol w:w="2268"/>
      </w:tblGrid>
      <w:tr w:rsidR="00124A26" w:rsidRPr="00C07B2E" w14:paraId="057FB6E7" w14:textId="77777777" w:rsidTr="002D3EBF">
        <w:trPr>
          <w:cantSplit/>
          <w:trHeight w:val="20"/>
          <w:tblHeader/>
        </w:trPr>
        <w:tc>
          <w:tcPr>
            <w:tcW w:w="993" w:type="dxa"/>
            <w:vAlign w:val="center"/>
          </w:tcPr>
          <w:p w14:paraId="530DD955" w14:textId="77777777" w:rsidR="00124A26" w:rsidRPr="00470D3D" w:rsidRDefault="00124A26" w:rsidP="002D3EBF">
            <w:pPr>
              <w:ind w:firstLine="0"/>
              <w:rPr>
                <w:rFonts w:eastAsia="SimSun"/>
              </w:rPr>
            </w:pPr>
          </w:p>
        </w:tc>
        <w:tc>
          <w:tcPr>
            <w:tcW w:w="1809" w:type="dxa"/>
            <w:vAlign w:val="center"/>
          </w:tcPr>
          <w:p w14:paraId="55576978" w14:textId="77777777" w:rsidR="00124A26" w:rsidRPr="00C07B2E" w:rsidRDefault="00124A26" w:rsidP="002D3EBF">
            <w:pPr>
              <w:ind w:firstLine="0"/>
              <w:rPr>
                <w:rFonts w:eastAsia="SimSun"/>
              </w:rPr>
            </w:pPr>
            <w:r w:rsidRPr="00C07B2E">
              <w:rPr>
                <w:rFonts w:eastAsia="SimSun"/>
              </w:rPr>
              <w:t>Препарат</w:t>
            </w:r>
          </w:p>
        </w:tc>
        <w:tc>
          <w:tcPr>
            <w:tcW w:w="1417" w:type="dxa"/>
            <w:vAlign w:val="center"/>
          </w:tcPr>
          <w:p w14:paraId="15760766" w14:textId="77777777" w:rsidR="00124A26" w:rsidRPr="00C07B2E" w:rsidRDefault="00124A26" w:rsidP="002D3EBF">
            <w:pPr>
              <w:ind w:firstLine="0"/>
              <w:rPr>
                <w:rFonts w:eastAsia="SimSun"/>
              </w:rPr>
            </w:pPr>
            <w:r w:rsidRPr="00C07B2E">
              <w:rPr>
                <w:rFonts w:eastAsia="SimSun"/>
              </w:rPr>
              <w:t>Суточная доза</w:t>
            </w:r>
          </w:p>
        </w:tc>
        <w:tc>
          <w:tcPr>
            <w:tcW w:w="1418" w:type="dxa"/>
            <w:vAlign w:val="center"/>
          </w:tcPr>
          <w:p w14:paraId="6C068F9F" w14:textId="77777777" w:rsidR="00124A26" w:rsidRPr="00C07B2E" w:rsidRDefault="00124A26" w:rsidP="002D3EBF">
            <w:pPr>
              <w:ind w:firstLine="0"/>
              <w:rPr>
                <w:rFonts w:eastAsia="SimSun"/>
              </w:rPr>
            </w:pPr>
            <w:r w:rsidRPr="00C07B2E">
              <w:rPr>
                <w:rFonts w:eastAsia="SimSun"/>
              </w:rPr>
              <w:t>Курсовая доза</w:t>
            </w:r>
          </w:p>
        </w:tc>
        <w:tc>
          <w:tcPr>
            <w:tcW w:w="1701" w:type="dxa"/>
            <w:vAlign w:val="center"/>
          </w:tcPr>
          <w:p w14:paraId="52C0B01C" w14:textId="77777777" w:rsidR="00124A26" w:rsidRPr="00C07B2E" w:rsidRDefault="00124A26" w:rsidP="002D3EBF">
            <w:pPr>
              <w:ind w:firstLine="0"/>
              <w:rPr>
                <w:rFonts w:eastAsia="SimSun"/>
              </w:rPr>
            </w:pPr>
            <w:r w:rsidRPr="00C07B2E">
              <w:rPr>
                <w:rFonts w:eastAsia="SimSun"/>
              </w:rPr>
              <w:t>Дни введения</w:t>
            </w:r>
          </w:p>
        </w:tc>
        <w:tc>
          <w:tcPr>
            <w:tcW w:w="2268" w:type="dxa"/>
            <w:vAlign w:val="center"/>
          </w:tcPr>
          <w:p w14:paraId="45310AFF" w14:textId="77777777" w:rsidR="00124A26" w:rsidRPr="00C07B2E" w:rsidRDefault="00124A26" w:rsidP="002D3EBF">
            <w:pPr>
              <w:ind w:firstLine="0"/>
              <w:rPr>
                <w:rFonts w:eastAsia="SimSun"/>
              </w:rPr>
            </w:pPr>
            <w:r w:rsidRPr="00C07B2E">
              <w:rPr>
                <w:rFonts w:eastAsia="SimSun"/>
              </w:rPr>
              <w:t>Порядок введения</w:t>
            </w:r>
          </w:p>
        </w:tc>
      </w:tr>
      <w:tr w:rsidR="00124A26" w:rsidRPr="00C07B2E" w14:paraId="491A68E1" w14:textId="77777777" w:rsidTr="002D3EBF">
        <w:trPr>
          <w:cantSplit/>
          <w:trHeight w:val="20"/>
        </w:trPr>
        <w:tc>
          <w:tcPr>
            <w:tcW w:w="993" w:type="dxa"/>
            <w:vMerge w:val="restart"/>
            <w:textDirection w:val="btLr"/>
            <w:vAlign w:val="center"/>
          </w:tcPr>
          <w:p w14:paraId="0F985C5D" w14:textId="77777777" w:rsidR="00124A26" w:rsidRPr="00C07B2E" w:rsidRDefault="00124A26" w:rsidP="002D3EBF">
            <w:pPr>
              <w:ind w:firstLine="0"/>
              <w:rPr>
                <w:rFonts w:eastAsia="SimSun"/>
              </w:rPr>
            </w:pPr>
            <w:r w:rsidRPr="00C07B2E">
              <w:rPr>
                <w:rFonts w:eastAsia="SimSun"/>
              </w:rPr>
              <w:t>Кондиционирование</w:t>
            </w:r>
          </w:p>
        </w:tc>
        <w:tc>
          <w:tcPr>
            <w:tcW w:w="1809" w:type="dxa"/>
            <w:vAlign w:val="center"/>
          </w:tcPr>
          <w:p w14:paraId="631C2836" w14:textId="77777777" w:rsidR="00124A26" w:rsidRPr="00C07B2E" w:rsidRDefault="00124A26" w:rsidP="002D3EBF">
            <w:pPr>
              <w:ind w:firstLine="0"/>
              <w:rPr>
                <w:rFonts w:eastAsia="SimSun"/>
              </w:rPr>
            </w:pPr>
            <w:r w:rsidRPr="00C07B2E">
              <w:rPr>
                <w:rFonts w:eastAsia="SimSun"/>
              </w:rPr>
              <w:t xml:space="preserve">Флударабин </w:t>
            </w:r>
          </w:p>
        </w:tc>
        <w:tc>
          <w:tcPr>
            <w:tcW w:w="1417" w:type="dxa"/>
            <w:vAlign w:val="center"/>
          </w:tcPr>
          <w:p w14:paraId="4A3F83F2" w14:textId="77777777" w:rsidR="00124A26" w:rsidRPr="00C07B2E" w:rsidRDefault="00124A26" w:rsidP="002D3EBF">
            <w:pPr>
              <w:ind w:firstLine="0"/>
              <w:rPr>
                <w:rFonts w:eastAsia="SimSun"/>
              </w:rPr>
            </w:pPr>
            <w:r w:rsidRPr="00C07B2E">
              <w:rPr>
                <w:rFonts w:eastAsia="SimSun"/>
              </w:rPr>
              <w:t>30 мг/м</w:t>
            </w:r>
            <w:r w:rsidRPr="000F445E">
              <w:rPr>
                <w:rFonts w:eastAsia="SimSun"/>
                <w:vertAlign w:val="superscript"/>
              </w:rPr>
              <w:t>2</w:t>
            </w:r>
          </w:p>
        </w:tc>
        <w:tc>
          <w:tcPr>
            <w:tcW w:w="1418" w:type="dxa"/>
            <w:vAlign w:val="center"/>
          </w:tcPr>
          <w:p w14:paraId="01B5BD13" w14:textId="77777777" w:rsidR="00124A26" w:rsidRPr="00C07B2E" w:rsidRDefault="00124A26" w:rsidP="002D3EBF">
            <w:pPr>
              <w:ind w:firstLine="0"/>
              <w:rPr>
                <w:rFonts w:eastAsia="SimSun"/>
              </w:rPr>
            </w:pPr>
            <w:r w:rsidRPr="00C07B2E">
              <w:rPr>
                <w:rFonts w:eastAsia="SimSun"/>
              </w:rPr>
              <w:t>180 мг/м</w:t>
            </w:r>
            <w:r w:rsidRPr="000F445E">
              <w:rPr>
                <w:rFonts w:eastAsia="SimSun"/>
                <w:vertAlign w:val="superscript"/>
              </w:rPr>
              <w:t>2</w:t>
            </w:r>
          </w:p>
        </w:tc>
        <w:tc>
          <w:tcPr>
            <w:tcW w:w="1701" w:type="dxa"/>
            <w:vAlign w:val="center"/>
          </w:tcPr>
          <w:p w14:paraId="3423336E" w14:textId="77777777" w:rsidR="00124A26" w:rsidRPr="00C07B2E" w:rsidRDefault="00124A26" w:rsidP="002D3EBF">
            <w:pPr>
              <w:ind w:firstLine="0"/>
              <w:rPr>
                <w:rFonts w:eastAsia="SimSun"/>
              </w:rPr>
            </w:pPr>
            <w:r w:rsidRPr="00C07B2E">
              <w:rPr>
                <w:rFonts w:eastAsia="SimSun"/>
              </w:rPr>
              <w:t>С -7 дня по -2 день</w:t>
            </w:r>
          </w:p>
        </w:tc>
        <w:tc>
          <w:tcPr>
            <w:tcW w:w="2268" w:type="dxa"/>
            <w:vAlign w:val="center"/>
          </w:tcPr>
          <w:p w14:paraId="4578DF46" w14:textId="77777777" w:rsidR="00124A26" w:rsidRPr="00C07B2E" w:rsidRDefault="00124A26" w:rsidP="002D3EBF">
            <w:pPr>
              <w:ind w:firstLine="0"/>
              <w:rPr>
                <w:rFonts w:eastAsia="SimSun"/>
              </w:rPr>
            </w:pPr>
            <w:r w:rsidRPr="00C07B2E">
              <w:rPr>
                <w:rFonts w:eastAsia="SimSun"/>
              </w:rPr>
              <w:t>В/в, в течение 30 - 60 мин</w:t>
            </w:r>
          </w:p>
        </w:tc>
      </w:tr>
      <w:tr w:rsidR="00124A26" w:rsidRPr="00C07B2E" w14:paraId="598D7F3D" w14:textId="77777777" w:rsidTr="002D3EBF">
        <w:trPr>
          <w:cantSplit/>
          <w:trHeight w:val="1207"/>
        </w:trPr>
        <w:tc>
          <w:tcPr>
            <w:tcW w:w="993" w:type="dxa"/>
            <w:vMerge/>
            <w:vAlign w:val="center"/>
          </w:tcPr>
          <w:p w14:paraId="15366186" w14:textId="77777777" w:rsidR="00124A26" w:rsidRPr="00C07B2E" w:rsidRDefault="00124A26" w:rsidP="002D3EBF">
            <w:pPr>
              <w:ind w:firstLine="0"/>
              <w:rPr>
                <w:rFonts w:eastAsia="SimSun"/>
              </w:rPr>
            </w:pPr>
          </w:p>
        </w:tc>
        <w:tc>
          <w:tcPr>
            <w:tcW w:w="1809" w:type="dxa"/>
            <w:vAlign w:val="center"/>
          </w:tcPr>
          <w:p w14:paraId="624806BA" w14:textId="77777777" w:rsidR="00124A26" w:rsidRPr="00C07B2E" w:rsidRDefault="00124A26" w:rsidP="002D3EBF">
            <w:pPr>
              <w:ind w:firstLine="0"/>
              <w:rPr>
                <w:rFonts w:eastAsia="SimSun"/>
              </w:rPr>
            </w:pPr>
            <w:r w:rsidRPr="00C07B2E">
              <w:rPr>
                <w:rFonts w:eastAsia="SimSun"/>
              </w:rPr>
              <w:t>Бусульфан</w:t>
            </w:r>
          </w:p>
        </w:tc>
        <w:tc>
          <w:tcPr>
            <w:tcW w:w="1417" w:type="dxa"/>
            <w:vAlign w:val="center"/>
          </w:tcPr>
          <w:p w14:paraId="0036FE7E" w14:textId="77777777" w:rsidR="00124A26" w:rsidRPr="00C07B2E" w:rsidRDefault="00124A26" w:rsidP="002D3EBF">
            <w:pPr>
              <w:ind w:firstLine="0"/>
              <w:rPr>
                <w:rFonts w:eastAsia="SimSun"/>
              </w:rPr>
            </w:pPr>
            <w:r w:rsidRPr="00C07B2E">
              <w:rPr>
                <w:rFonts w:eastAsia="SimSun"/>
              </w:rPr>
              <w:t xml:space="preserve">4 мг/кг </w:t>
            </w:r>
          </w:p>
        </w:tc>
        <w:tc>
          <w:tcPr>
            <w:tcW w:w="1418" w:type="dxa"/>
            <w:vAlign w:val="center"/>
          </w:tcPr>
          <w:p w14:paraId="58CDD0FC" w14:textId="77777777" w:rsidR="00124A26" w:rsidRPr="00C07B2E" w:rsidRDefault="00124A26" w:rsidP="002D3EBF">
            <w:pPr>
              <w:ind w:firstLine="0"/>
              <w:rPr>
                <w:rFonts w:eastAsia="SimSun"/>
              </w:rPr>
            </w:pPr>
            <w:r w:rsidRPr="00C07B2E">
              <w:rPr>
                <w:rFonts w:eastAsia="SimSun"/>
                <w:lang w:val="en-US"/>
              </w:rPr>
              <w:t>1</w:t>
            </w:r>
            <w:r w:rsidRPr="00C07B2E">
              <w:rPr>
                <w:rFonts w:eastAsia="SimSun"/>
              </w:rPr>
              <w:t xml:space="preserve">4мг/кг </w:t>
            </w:r>
          </w:p>
        </w:tc>
        <w:tc>
          <w:tcPr>
            <w:tcW w:w="1701" w:type="dxa"/>
            <w:vAlign w:val="center"/>
          </w:tcPr>
          <w:p w14:paraId="6AD729A3" w14:textId="77777777" w:rsidR="00124A26" w:rsidRPr="00C07B2E" w:rsidRDefault="00124A26" w:rsidP="002D3EBF">
            <w:pPr>
              <w:ind w:firstLine="0"/>
              <w:rPr>
                <w:rFonts w:eastAsia="SimSun"/>
              </w:rPr>
            </w:pPr>
            <w:r w:rsidRPr="00C07B2E">
              <w:rPr>
                <w:rFonts w:eastAsia="SimSun"/>
              </w:rPr>
              <w:t>С -6 дня по -3 день</w:t>
            </w:r>
          </w:p>
        </w:tc>
        <w:tc>
          <w:tcPr>
            <w:tcW w:w="2268" w:type="dxa"/>
            <w:vAlign w:val="center"/>
          </w:tcPr>
          <w:p w14:paraId="5B65557D" w14:textId="77777777" w:rsidR="00124A26" w:rsidRPr="00C07B2E" w:rsidRDefault="00124A26" w:rsidP="002D3EBF">
            <w:pPr>
              <w:ind w:firstLine="0"/>
              <w:rPr>
                <w:rFonts w:eastAsia="SimSun"/>
              </w:rPr>
            </w:pPr>
            <w:r w:rsidRPr="00C07B2E">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124A26" w:rsidRPr="00C07B2E" w14:paraId="6961AF6D" w14:textId="77777777" w:rsidTr="002D3EBF">
        <w:trPr>
          <w:cantSplit/>
          <w:trHeight w:val="622"/>
        </w:trPr>
        <w:tc>
          <w:tcPr>
            <w:tcW w:w="993" w:type="dxa"/>
            <w:vMerge w:val="restart"/>
            <w:textDirection w:val="btLr"/>
            <w:vAlign w:val="center"/>
          </w:tcPr>
          <w:p w14:paraId="24573768" w14:textId="77777777" w:rsidR="00124A26" w:rsidRPr="00C07B2E" w:rsidRDefault="00124A26" w:rsidP="002D3EBF">
            <w:pPr>
              <w:ind w:firstLine="0"/>
              <w:rPr>
                <w:rFonts w:eastAsia="SimSun"/>
              </w:rPr>
            </w:pPr>
            <w:r w:rsidRPr="00C07B2E">
              <w:rPr>
                <w:rFonts w:eastAsia="SimSun"/>
              </w:rPr>
              <w:t>Профилактика РТПХ</w:t>
            </w:r>
          </w:p>
        </w:tc>
        <w:tc>
          <w:tcPr>
            <w:tcW w:w="1809" w:type="dxa"/>
            <w:vAlign w:val="center"/>
          </w:tcPr>
          <w:p w14:paraId="40F54801" w14:textId="77777777" w:rsidR="00124A26" w:rsidRPr="00C07B2E" w:rsidRDefault="00124A26" w:rsidP="002D3EBF">
            <w:pPr>
              <w:ind w:firstLine="0"/>
              <w:rPr>
                <w:rFonts w:eastAsia="SimSun"/>
              </w:rPr>
            </w:pPr>
            <w:r w:rsidRPr="00C07B2E">
              <w:rPr>
                <w:rFonts w:eastAsia="SimSun"/>
              </w:rPr>
              <w:t>Циклофосфамид</w:t>
            </w:r>
          </w:p>
        </w:tc>
        <w:tc>
          <w:tcPr>
            <w:tcW w:w="1417" w:type="dxa"/>
            <w:vAlign w:val="center"/>
          </w:tcPr>
          <w:p w14:paraId="1CD8232F" w14:textId="77777777" w:rsidR="00124A26" w:rsidRPr="00C07B2E" w:rsidRDefault="00124A26" w:rsidP="002D3EBF">
            <w:pPr>
              <w:ind w:firstLine="0"/>
              <w:rPr>
                <w:rFonts w:eastAsia="SimSun"/>
              </w:rPr>
            </w:pPr>
            <w:r w:rsidRPr="00C07B2E">
              <w:rPr>
                <w:rFonts w:eastAsia="SimSun"/>
              </w:rPr>
              <w:t>50 мг/кг</w:t>
            </w:r>
          </w:p>
        </w:tc>
        <w:tc>
          <w:tcPr>
            <w:tcW w:w="1418" w:type="dxa"/>
            <w:vAlign w:val="center"/>
          </w:tcPr>
          <w:p w14:paraId="2ACA8D3B" w14:textId="77777777" w:rsidR="00124A26" w:rsidRPr="00C07B2E" w:rsidRDefault="00124A26" w:rsidP="002D3EBF">
            <w:pPr>
              <w:ind w:firstLine="0"/>
              <w:rPr>
                <w:rFonts w:eastAsia="SimSun"/>
              </w:rPr>
            </w:pPr>
            <w:r w:rsidRPr="00C07B2E">
              <w:rPr>
                <w:rFonts w:eastAsia="SimSun"/>
              </w:rPr>
              <w:t>100 мг/кг</w:t>
            </w:r>
          </w:p>
        </w:tc>
        <w:tc>
          <w:tcPr>
            <w:tcW w:w="1701" w:type="dxa"/>
            <w:vAlign w:val="center"/>
          </w:tcPr>
          <w:p w14:paraId="3798CB07" w14:textId="77777777" w:rsidR="00124A26" w:rsidRPr="00C07B2E" w:rsidRDefault="00124A26" w:rsidP="002D3EBF">
            <w:pPr>
              <w:ind w:firstLine="0"/>
              <w:rPr>
                <w:rFonts w:eastAsia="SimSun"/>
              </w:rPr>
            </w:pPr>
            <w:r w:rsidRPr="00C07B2E">
              <w:rPr>
                <w:rFonts w:eastAsia="SimSun"/>
              </w:rPr>
              <w:t>С +3 дня по +4 день</w:t>
            </w:r>
          </w:p>
        </w:tc>
        <w:tc>
          <w:tcPr>
            <w:tcW w:w="2268" w:type="dxa"/>
            <w:vAlign w:val="center"/>
          </w:tcPr>
          <w:p w14:paraId="7BB1A707" w14:textId="77777777" w:rsidR="00124A26" w:rsidRPr="00C07B2E" w:rsidRDefault="00124A26" w:rsidP="002D3EBF">
            <w:pPr>
              <w:ind w:firstLine="0"/>
              <w:rPr>
                <w:rFonts w:eastAsia="SimSun"/>
              </w:rPr>
            </w:pPr>
            <w:r w:rsidRPr="00C07B2E">
              <w:rPr>
                <w:rFonts w:eastAsia="SimSun"/>
              </w:rPr>
              <w:t xml:space="preserve">В/в, в течение 2 ч  </w:t>
            </w:r>
          </w:p>
        </w:tc>
      </w:tr>
      <w:tr w:rsidR="00124A26" w:rsidRPr="00C07B2E" w14:paraId="115C369D" w14:textId="77777777" w:rsidTr="002D3EBF">
        <w:trPr>
          <w:cantSplit/>
          <w:trHeight w:val="958"/>
        </w:trPr>
        <w:tc>
          <w:tcPr>
            <w:tcW w:w="993" w:type="dxa"/>
            <w:vMerge/>
            <w:textDirection w:val="btLr"/>
            <w:vAlign w:val="center"/>
          </w:tcPr>
          <w:p w14:paraId="6393DA69" w14:textId="77777777" w:rsidR="00124A26" w:rsidRPr="00C07B2E" w:rsidRDefault="00124A26" w:rsidP="002D3EBF">
            <w:pPr>
              <w:ind w:firstLine="0"/>
              <w:rPr>
                <w:rFonts w:eastAsia="SimSun"/>
              </w:rPr>
            </w:pPr>
          </w:p>
        </w:tc>
        <w:tc>
          <w:tcPr>
            <w:tcW w:w="1809" w:type="dxa"/>
            <w:vAlign w:val="center"/>
          </w:tcPr>
          <w:p w14:paraId="3A2EEAFA" w14:textId="77777777" w:rsidR="00124A26" w:rsidRPr="00C07B2E" w:rsidRDefault="00124A26" w:rsidP="002D3EBF">
            <w:pPr>
              <w:ind w:firstLine="0"/>
              <w:rPr>
                <w:rFonts w:eastAsia="SimSun"/>
              </w:rPr>
            </w:pPr>
            <w:r w:rsidRPr="00C07B2E">
              <w:rPr>
                <w:rFonts w:eastAsia="SimSun"/>
              </w:rPr>
              <w:t xml:space="preserve">Такролимус </w:t>
            </w:r>
          </w:p>
        </w:tc>
        <w:tc>
          <w:tcPr>
            <w:tcW w:w="1417" w:type="dxa"/>
            <w:vAlign w:val="center"/>
          </w:tcPr>
          <w:p w14:paraId="34F943D3" w14:textId="77777777" w:rsidR="00124A26" w:rsidRPr="00C07B2E" w:rsidRDefault="00124A26" w:rsidP="002D3EBF">
            <w:pPr>
              <w:ind w:firstLine="0"/>
              <w:rPr>
                <w:rFonts w:eastAsia="SimSun"/>
              </w:rPr>
            </w:pPr>
            <w:r w:rsidRPr="00C07B2E">
              <w:rPr>
                <w:rFonts w:eastAsia="SimSun"/>
              </w:rPr>
              <w:t>0,03 мг/кг</w:t>
            </w:r>
          </w:p>
        </w:tc>
        <w:tc>
          <w:tcPr>
            <w:tcW w:w="1418" w:type="dxa"/>
            <w:vAlign w:val="center"/>
          </w:tcPr>
          <w:p w14:paraId="59ABC8AC" w14:textId="77777777" w:rsidR="00124A26" w:rsidRPr="00C07B2E" w:rsidRDefault="00124A26" w:rsidP="002D3EBF">
            <w:pPr>
              <w:ind w:firstLine="0"/>
              <w:rPr>
                <w:rFonts w:eastAsia="SimSun"/>
              </w:rPr>
            </w:pPr>
            <w:r w:rsidRPr="00C07B2E">
              <w:rPr>
                <w:rFonts w:eastAsia="SimSun"/>
                <w:lang w:val="en-US"/>
              </w:rPr>
              <w:t>–</w:t>
            </w:r>
          </w:p>
        </w:tc>
        <w:tc>
          <w:tcPr>
            <w:tcW w:w="1701" w:type="dxa"/>
            <w:vAlign w:val="center"/>
          </w:tcPr>
          <w:p w14:paraId="2E3E5237" w14:textId="77777777" w:rsidR="00124A26" w:rsidRPr="00C07B2E" w:rsidRDefault="00124A26" w:rsidP="002D3EBF">
            <w:pPr>
              <w:ind w:firstLine="0"/>
              <w:rPr>
                <w:rFonts w:eastAsia="SimSun"/>
              </w:rPr>
            </w:pPr>
            <w:r w:rsidRPr="00C07B2E">
              <w:rPr>
                <w:rFonts w:eastAsia="SimSun"/>
              </w:rPr>
              <w:t xml:space="preserve">С +5 дня длительно </w:t>
            </w:r>
          </w:p>
        </w:tc>
        <w:tc>
          <w:tcPr>
            <w:tcW w:w="2268" w:type="dxa"/>
            <w:vAlign w:val="center"/>
          </w:tcPr>
          <w:p w14:paraId="27E4D8C1" w14:textId="77777777" w:rsidR="00124A26" w:rsidRPr="000F445E" w:rsidRDefault="00124A26" w:rsidP="002D3EBF">
            <w:pPr>
              <w:ind w:firstLine="0"/>
              <w:rPr>
                <w:rFonts w:eastAsia="SimSun"/>
              </w:rPr>
            </w:pPr>
            <w:r w:rsidRPr="00C07B2E">
              <w:rPr>
                <w:rFonts w:eastAsia="SimSun"/>
              </w:rPr>
              <w:t xml:space="preserve">В/в инфузия в течение 24 ч с последующей коррекцией суточной дозы по концентрации. </w:t>
            </w:r>
            <w:r w:rsidRPr="000F445E">
              <w:rPr>
                <w:rFonts w:eastAsia="SimSun"/>
              </w:rPr>
              <w:t>Перевод на прием внутрь при условии восстановления лейкоцитов &gt; 1</w:t>
            </w:r>
            <w:r>
              <w:rPr>
                <w:rFonts w:eastAsia="SimSun"/>
              </w:rPr>
              <w:t xml:space="preserve"> х </w:t>
            </w:r>
            <w:r w:rsidRPr="000F445E">
              <w:rPr>
                <w:rFonts w:eastAsia="SimSun"/>
              </w:rPr>
              <w:t>10</w:t>
            </w:r>
            <w:r w:rsidRPr="000F445E">
              <w:rPr>
                <w:rFonts w:eastAsia="SimSun"/>
                <w:vertAlign w:val="superscript"/>
              </w:rPr>
              <w:t>9</w:t>
            </w:r>
            <w:r w:rsidRPr="000F445E">
              <w:rPr>
                <w:rFonts w:eastAsia="SimSun"/>
              </w:rPr>
              <w:t xml:space="preserve">/л, при отсутствии тошноты, рвоты, диареи и возможности приема внутрь. Концентрация </w:t>
            </w:r>
            <w:r w:rsidRPr="00C07B2E">
              <w:rPr>
                <w:rFonts w:eastAsia="SimSun"/>
              </w:rPr>
              <w:t>Tx</w:t>
            </w:r>
            <w:r w:rsidRPr="000F445E">
              <w:rPr>
                <w:rFonts w:eastAsia="SimSun"/>
              </w:rPr>
              <w:t xml:space="preserve"> 5-15 нг/мл.    </w:t>
            </w:r>
          </w:p>
        </w:tc>
      </w:tr>
      <w:tr w:rsidR="00124A26" w:rsidRPr="00C07B2E" w14:paraId="7DE8A5B7" w14:textId="77777777" w:rsidTr="002D3EBF">
        <w:trPr>
          <w:cantSplit/>
          <w:trHeight w:val="986"/>
        </w:trPr>
        <w:tc>
          <w:tcPr>
            <w:tcW w:w="993" w:type="dxa"/>
            <w:vMerge/>
            <w:textDirection w:val="btLr"/>
            <w:vAlign w:val="center"/>
          </w:tcPr>
          <w:p w14:paraId="19A7D7FD" w14:textId="77777777" w:rsidR="00124A26" w:rsidRPr="000F445E" w:rsidRDefault="00124A26" w:rsidP="002D3EBF">
            <w:pPr>
              <w:ind w:firstLine="0"/>
              <w:rPr>
                <w:rFonts w:eastAsia="SimSun"/>
              </w:rPr>
            </w:pPr>
          </w:p>
        </w:tc>
        <w:tc>
          <w:tcPr>
            <w:tcW w:w="1809" w:type="dxa"/>
            <w:vAlign w:val="center"/>
          </w:tcPr>
          <w:p w14:paraId="5715CC2A" w14:textId="77777777" w:rsidR="00124A26" w:rsidRPr="00C07B2E" w:rsidRDefault="00124A26" w:rsidP="002D3EBF">
            <w:pPr>
              <w:ind w:firstLine="0"/>
              <w:rPr>
                <w:rFonts w:eastAsia="SimSun"/>
              </w:rPr>
            </w:pPr>
            <w:r w:rsidRPr="00C07B2E">
              <w:rPr>
                <w:rFonts w:eastAsia="SimSun"/>
              </w:rPr>
              <w:t>Микофенолата мофетил</w:t>
            </w:r>
          </w:p>
        </w:tc>
        <w:tc>
          <w:tcPr>
            <w:tcW w:w="1417" w:type="dxa"/>
            <w:vAlign w:val="center"/>
          </w:tcPr>
          <w:p w14:paraId="7A465D7E" w14:textId="77777777" w:rsidR="00124A26" w:rsidRPr="00C07B2E" w:rsidRDefault="00124A26" w:rsidP="002D3EBF">
            <w:pPr>
              <w:ind w:firstLine="0"/>
              <w:rPr>
                <w:rFonts w:eastAsia="SimSun"/>
              </w:rPr>
            </w:pPr>
            <w:r w:rsidRPr="00C07B2E">
              <w:rPr>
                <w:rFonts w:eastAsia="SimSun"/>
              </w:rPr>
              <w:t xml:space="preserve">30 мг/кг </w:t>
            </w:r>
          </w:p>
        </w:tc>
        <w:tc>
          <w:tcPr>
            <w:tcW w:w="1418" w:type="dxa"/>
            <w:vAlign w:val="center"/>
          </w:tcPr>
          <w:p w14:paraId="787D9CBC" w14:textId="77777777" w:rsidR="00124A26" w:rsidRPr="00C07B2E" w:rsidRDefault="00124A26" w:rsidP="002D3EBF">
            <w:pPr>
              <w:ind w:firstLine="0"/>
              <w:rPr>
                <w:rFonts w:eastAsia="SimSun"/>
              </w:rPr>
            </w:pPr>
            <w:r w:rsidRPr="00C07B2E">
              <w:rPr>
                <w:rFonts w:eastAsia="SimSun"/>
              </w:rPr>
              <w:t>–</w:t>
            </w:r>
          </w:p>
        </w:tc>
        <w:tc>
          <w:tcPr>
            <w:tcW w:w="1701" w:type="dxa"/>
            <w:vAlign w:val="center"/>
          </w:tcPr>
          <w:p w14:paraId="05F2E325" w14:textId="77777777" w:rsidR="00124A26" w:rsidRPr="00C07B2E" w:rsidRDefault="00124A26" w:rsidP="002D3EBF">
            <w:pPr>
              <w:ind w:firstLine="0"/>
              <w:rPr>
                <w:rFonts w:eastAsia="SimSun"/>
              </w:rPr>
            </w:pPr>
            <w:r w:rsidRPr="00C07B2E">
              <w:rPr>
                <w:rFonts w:eastAsia="SimSun"/>
              </w:rPr>
              <w:t xml:space="preserve">С +5 дня по +35 день </w:t>
            </w:r>
          </w:p>
        </w:tc>
        <w:tc>
          <w:tcPr>
            <w:tcW w:w="2268" w:type="dxa"/>
            <w:vAlign w:val="center"/>
          </w:tcPr>
          <w:p w14:paraId="5200A5E2" w14:textId="77777777" w:rsidR="00124A26" w:rsidRPr="00C07B2E" w:rsidRDefault="00124A26" w:rsidP="002D3EBF">
            <w:pPr>
              <w:ind w:firstLine="0"/>
              <w:rPr>
                <w:rFonts w:eastAsia="SimSun"/>
              </w:rPr>
            </w:pPr>
            <w:r w:rsidRPr="00C07B2E">
              <w:rPr>
                <w:rFonts w:eastAsia="SimSun"/>
              </w:rPr>
              <w:t>Внутрь, суммарная суточная доза разделяется на 2- 4 приема (не более 3г/сут).</w:t>
            </w:r>
          </w:p>
        </w:tc>
      </w:tr>
    </w:tbl>
    <w:p w14:paraId="612A5CC8" w14:textId="77777777" w:rsidR="00124A26" w:rsidRPr="00C07B2E" w:rsidRDefault="00124A26" w:rsidP="00124A26">
      <w:pPr>
        <w:rPr>
          <w:rFonts w:eastAsia="SimSun"/>
        </w:rPr>
      </w:pPr>
    </w:p>
    <w:p w14:paraId="313655E0" w14:textId="77777777" w:rsidR="00124A26" w:rsidRPr="00C07B2E" w:rsidRDefault="00124A26" w:rsidP="00124A26">
      <w:pPr>
        <w:rPr>
          <w:rFonts w:eastAsia="SimSun"/>
        </w:rPr>
      </w:pPr>
      <w:bookmarkStart w:id="198" w:name="_Toc44401153"/>
      <w:r w:rsidRPr="00042499">
        <w:rPr>
          <w:rFonts w:eastAsia="SimSun"/>
        </w:rPr>
        <w:t>Таблица</w:t>
      </w:r>
      <w:r w:rsidRPr="00C07B2E">
        <w:rPr>
          <w:rFonts w:eastAsia="SimSun"/>
        </w:rPr>
        <w:t xml:space="preserve"> </w:t>
      </w:r>
      <w:r>
        <w:rPr>
          <w:rFonts w:eastAsia="SimSun"/>
        </w:rPr>
        <w:t>5</w:t>
      </w:r>
      <w:r w:rsidRPr="00C07B2E">
        <w:rPr>
          <w:rFonts w:eastAsia="SimSun"/>
        </w:rPr>
        <w:t>.1.1.10  – Flu180+Bu14 / PT-Cy+CSA+MMF30</w:t>
      </w:r>
      <w:bookmarkEnd w:id="198"/>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2"/>
        <w:gridCol w:w="1810"/>
        <w:gridCol w:w="1417"/>
        <w:gridCol w:w="1418"/>
        <w:gridCol w:w="1701"/>
        <w:gridCol w:w="2268"/>
      </w:tblGrid>
      <w:tr w:rsidR="00124A26" w:rsidRPr="00C07B2E" w14:paraId="32473ED5" w14:textId="77777777" w:rsidTr="002D3EBF">
        <w:trPr>
          <w:cantSplit/>
          <w:trHeight w:val="20"/>
          <w:tblHeader/>
        </w:trPr>
        <w:tc>
          <w:tcPr>
            <w:tcW w:w="992" w:type="dxa"/>
            <w:vAlign w:val="center"/>
          </w:tcPr>
          <w:p w14:paraId="0C893776" w14:textId="77777777" w:rsidR="00124A26" w:rsidRPr="00470D3D" w:rsidRDefault="00124A26" w:rsidP="002D3EBF">
            <w:pPr>
              <w:ind w:firstLine="0"/>
              <w:rPr>
                <w:rFonts w:eastAsia="SimSun"/>
              </w:rPr>
            </w:pPr>
          </w:p>
        </w:tc>
        <w:tc>
          <w:tcPr>
            <w:tcW w:w="1810" w:type="dxa"/>
            <w:vAlign w:val="center"/>
          </w:tcPr>
          <w:p w14:paraId="07216F7B" w14:textId="77777777" w:rsidR="00124A26" w:rsidRPr="00C07B2E" w:rsidRDefault="00124A26" w:rsidP="002D3EBF">
            <w:pPr>
              <w:ind w:firstLine="0"/>
              <w:rPr>
                <w:rFonts w:eastAsia="SimSun"/>
              </w:rPr>
            </w:pPr>
            <w:r w:rsidRPr="00C07B2E">
              <w:rPr>
                <w:rFonts w:eastAsia="SimSun"/>
              </w:rPr>
              <w:t>Препарат</w:t>
            </w:r>
          </w:p>
        </w:tc>
        <w:tc>
          <w:tcPr>
            <w:tcW w:w="1417" w:type="dxa"/>
            <w:vAlign w:val="center"/>
          </w:tcPr>
          <w:p w14:paraId="28BE6B58" w14:textId="77777777" w:rsidR="00124A26" w:rsidRPr="00C07B2E" w:rsidRDefault="00124A26" w:rsidP="002D3EBF">
            <w:pPr>
              <w:ind w:firstLine="0"/>
              <w:rPr>
                <w:rFonts w:eastAsia="SimSun"/>
              </w:rPr>
            </w:pPr>
            <w:r w:rsidRPr="00C07B2E">
              <w:rPr>
                <w:rFonts w:eastAsia="SimSun"/>
              </w:rPr>
              <w:t>Суточная доза</w:t>
            </w:r>
          </w:p>
        </w:tc>
        <w:tc>
          <w:tcPr>
            <w:tcW w:w="1418" w:type="dxa"/>
            <w:vAlign w:val="center"/>
          </w:tcPr>
          <w:p w14:paraId="2C28E882" w14:textId="77777777" w:rsidR="00124A26" w:rsidRPr="00C07B2E" w:rsidRDefault="00124A26" w:rsidP="002D3EBF">
            <w:pPr>
              <w:ind w:firstLine="0"/>
              <w:rPr>
                <w:rFonts w:eastAsia="SimSun"/>
              </w:rPr>
            </w:pPr>
            <w:r w:rsidRPr="00C07B2E">
              <w:rPr>
                <w:rFonts w:eastAsia="SimSun"/>
              </w:rPr>
              <w:t>Курсовая доза</w:t>
            </w:r>
          </w:p>
        </w:tc>
        <w:tc>
          <w:tcPr>
            <w:tcW w:w="1701" w:type="dxa"/>
            <w:vAlign w:val="center"/>
          </w:tcPr>
          <w:p w14:paraId="386C9F64" w14:textId="77777777" w:rsidR="00124A26" w:rsidRPr="00C07B2E" w:rsidRDefault="00124A26" w:rsidP="002D3EBF">
            <w:pPr>
              <w:ind w:firstLine="0"/>
              <w:rPr>
                <w:rFonts w:eastAsia="SimSun"/>
              </w:rPr>
            </w:pPr>
            <w:r w:rsidRPr="00C07B2E">
              <w:rPr>
                <w:rFonts w:eastAsia="SimSun"/>
              </w:rPr>
              <w:t>Дни введения</w:t>
            </w:r>
          </w:p>
        </w:tc>
        <w:tc>
          <w:tcPr>
            <w:tcW w:w="2268" w:type="dxa"/>
            <w:vAlign w:val="center"/>
          </w:tcPr>
          <w:p w14:paraId="3A2B82D7" w14:textId="77777777" w:rsidR="00124A26" w:rsidRPr="00C07B2E" w:rsidRDefault="00124A26" w:rsidP="002D3EBF">
            <w:pPr>
              <w:ind w:firstLine="0"/>
              <w:rPr>
                <w:rFonts w:eastAsia="SimSun"/>
              </w:rPr>
            </w:pPr>
            <w:r w:rsidRPr="00C07B2E">
              <w:rPr>
                <w:rFonts w:eastAsia="SimSun"/>
              </w:rPr>
              <w:t>Порядок введения</w:t>
            </w:r>
          </w:p>
        </w:tc>
      </w:tr>
      <w:tr w:rsidR="00124A26" w:rsidRPr="00C07B2E" w14:paraId="76159F65" w14:textId="77777777" w:rsidTr="002D3EBF">
        <w:trPr>
          <w:cantSplit/>
          <w:trHeight w:val="20"/>
        </w:trPr>
        <w:tc>
          <w:tcPr>
            <w:tcW w:w="992" w:type="dxa"/>
            <w:vMerge w:val="restart"/>
            <w:textDirection w:val="btLr"/>
            <w:vAlign w:val="center"/>
          </w:tcPr>
          <w:p w14:paraId="72424B37" w14:textId="77777777" w:rsidR="00124A26" w:rsidRPr="00C07B2E" w:rsidRDefault="00124A26" w:rsidP="002D3EBF">
            <w:pPr>
              <w:ind w:firstLine="0"/>
              <w:rPr>
                <w:rFonts w:eastAsia="SimSun"/>
              </w:rPr>
            </w:pPr>
            <w:r w:rsidRPr="00C07B2E">
              <w:rPr>
                <w:rFonts w:eastAsia="SimSun"/>
              </w:rPr>
              <w:t>Кондиционирование</w:t>
            </w:r>
          </w:p>
        </w:tc>
        <w:tc>
          <w:tcPr>
            <w:tcW w:w="1810" w:type="dxa"/>
            <w:vAlign w:val="center"/>
          </w:tcPr>
          <w:p w14:paraId="744C7503" w14:textId="77777777" w:rsidR="00124A26" w:rsidRPr="00C07B2E" w:rsidRDefault="00124A26" w:rsidP="002D3EBF">
            <w:pPr>
              <w:ind w:firstLine="0"/>
              <w:rPr>
                <w:rFonts w:eastAsia="SimSun"/>
              </w:rPr>
            </w:pPr>
            <w:r w:rsidRPr="00C07B2E">
              <w:rPr>
                <w:rFonts w:eastAsia="SimSun"/>
              </w:rPr>
              <w:t xml:space="preserve">Флударабин </w:t>
            </w:r>
          </w:p>
        </w:tc>
        <w:tc>
          <w:tcPr>
            <w:tcW w:w="1417" w:type="dxa"/>
            <w:vAlign w:val="center"/>
          </w:tcPr>
          <w:p w14:paraId="3431F3FE" w14:textId="77777777" w:rsidR="00124A26" w:rsidRPr="00C07B2E" w:rsidRDefault="00124A26" w:rsidP="002D3EBF">
            <w:pPr>
              <w:ind w:firstLine="0"/>
              <w:rPr>
                <w:rFonts w:eastAsia="SimSun"/>
              </w:rPr>
            </w:pPr>
            <w:r w:rsidRPr="00C07B2E">
              <w:rPr>
                <w:rFonts w:eastAsia="SimSun"/>
              </w:rPr>
              <w:t>30 мг/м</w:t>
            </w:r>
            <w:r w:rsidRPr="000F445E">
              <w:rPr>
                <w:rFonts w:eastAsia="SimSun"/>
                <w:vertAlign w:val="superscript"/>
              </w:rPr>
              <w:t>2</w:t>
            </w:r>
          </w:p>
        </w:tc>
        <w:tc>
          <w:tcPr>
            <w:tcW w:w="1418" w:type="dxa"/>
            <w:vAlign w:val="center"/>
          </w:tcPr>
          <w:p w14:paraId="7B6A3382" w14:textId="77777777" w:rsidR="00124A26" w:rsidRPr="00C07B2E" w:rsidRDefault="00124A26" w:rsidP="002D3EBF">
            <w:pPr>
              <w:ind w:firstLine="0"/>
              <w:rPr>
                <w:rFonts w:eastAsia="SimSun"/>
              </w:rPr>
            </w:pPr>
            <w:r w:rsidRPr="00C07B2E">
              <w:rPr>
                <w:rFonts w:eastAsia="SimSun"/>
              </w:rPr>
              <w:t>180 мг/м</w:t>
            </w:r>
            <w:r w:rsidRPr="000F445E">
              <w:rPr>
                <w:rFonts w:eastAsia="SimSun"/>
                <w:vertAlign w:val="superscript"/>
              </w:rPr>
              <w:t>2</w:t>
            </w:r>
          </w:p>
        </w:tc>
        <w:tc>
          <w:tcPr>
            <w:tcW w:w="1701" w:type="dxa"/>
            <w:vAlign w:val="center"/>
          </w:tcPr>
          <w:p w14:paraId="3446F312" w14:textId="77777777" w:rsidR="00124A26" w:rsidRPr="00C07B2E" w:rsidRDefault="00124A26" w:rsidP="002D3EBF">
            <w:pPr>
              <w:ind w:firstLine="0"/>
              <w:rPr>
                <w:rFonts w:eastAsia="SimSun"/>
              </w:rPr>
            </w:pPr>
            <w:r w:rsidRPr="00C07B2E">
              <w:rPr>
                <w:rFonts w:eastAsia="SimSun"/>
              </w:rPr>
              <w:t>С -7 дня по -2 день</w:t>
            </w:r>
          </w:p>
        </w:tc>
        <w:tc>
          <w:tcPr>
            <w:tcW w:w="2268" w:type="dxa"/>
            <w:vAlign w:val="center"/>
          </w:tcPr>
          <w:p w14:paraId="20E7C24C" w14:textId="77777777" w:rsidR="00124A26" w:rsidRPr="00C07B2E" w:rsidRDefault="00124A26" w:rsidP="002D3EBF">
            <w:pPr>
              <w:ind w:firstLine="0"/>
              <w:rPr>
                <w:rFonts w:eastAsia="SimSun"/>
              </w:rPr>
            </w:pPr>
            <w:r w:rsidRPr="00C07B2E">
              <w:rPr>
                <w:rFonts w:eastAsia="SimSun"/>
              </w:rPr>
              <w:t>В/в, в течение 30 - 60 мин</w:t>
            </w:r>
          </w:p>
        </w:tc>
      </w:tr>
      <w:tr w:rsidR="00124A26" w:rsidRPr="00C07B2E" w14:paraId="0B93256F" w14:textId="77777777" w:rsidTr="002D3EBF">
        <w:trPr>
          <w:cantSplit/>
          <w:trHeight w:val="1207"/>
        </w:trPr>
        <w:tc>
          <w:tcPr>
            <w:tcW w:w="992" w:type="dxa"/>
            <w:vMerge/>
            <w:vAlign w:val="center"/>
          </w:tcPr>
          <w:p w14:paraId="3690D1F7" w14:textId="77777777" w:rsidR="00124A26" w:rsidRPr="00C07B2E" w:rsidRDefault="00124A26" w:rsidP="002D3EBF">
            <w:pPr>
              <w:ind w:firstLine="0"/>
              <w:rPr>
                <w:rFonts w:eastAsia="SimSun"/>
              </w:rPr>
            </w:pPr>
          </w:p>
        </w:tc>
        <w:tc>
          <w:tcPr>
            <w:tcW w:w="1810" w:type="dxa"/>
            <w:vAlign w:val="center"/>
          </w:tcPr>
          <w:p w14:paraId="6CD3B656" w14:textId="77777777" w:rsidR="00124A26" w:rsidRPr="00C07B2E" w:rsidRDefault="00124A26" w:rsidP="002D3EBF">
            <w:pPr>
              <w:ind w:firstLine="0"/>
              <w:rPr>
                <w:rFonts w:eastAsia="SimSun"/>
              </w:rPr>
            </w:pPr>
            <w:r w:rsidRPr="00C07B2E">
              <w:rPr>
                <w:rFonts w:eastAsia="SimSun"/>
              </w:rPr>
              <w:t>Бусульфан</w:t>
            </w:r>
          </w:p>
        </w:tc>
        <w:tc>
          <w:tcPr>
            <w:tcW w:w="1417" w:type="dxa"/>
            <w:vAlign w:val="center"/>
          </w:tcPr>
          <w:p w14:paraId="1106F7A2" w14:textId="77777777" w:rsidR="00124A26" w:rsidRPr="00C07B2E" w:rsidRDefault="00124A26" w:rsidP="002D3EBF">
            <w:pPr>
              <w:ind w:firstLine="0"/>
              <w:rPr>
                <w:rFonts w:eastAsia="SimSun"/>
              </w:rPr>
            </w:pPr>
            <w:r w:rsidRPr="00C07B2E">
              <w:rPr>
                <w:rFonts w:eastAsia="SimSun"/>
              </w:rPr>
              <w:t xml:space="preserve">4 мг/кг </w:t>
            </w:r>
          </w:p>
        </w:tc>
        <w:tc>
          <w:tcPr>
            <w:tcW w:w="1418" w:type="dxa"/>
            <w:vAlign w:val="center"/>
          </w:tcPr>
          <w:p w14:paraId="5356B507" w14:textId="77777777" w:rsidR="00124A26" w:rsidRPr="00C07B2E" w:rsidRDefault="00124A26" w:rsidP="002D3EBF">
            <w:pPr>
              <w:ind w:firstLine="0"/>
              <w:rPr>
                <w:rFonts w:eastAsia="SimSun"/>
              </w:rPr>
            </w:pPr>
            <w:r w:rsidRPr="00C07B2E">
              <w:rPr>
                <w:rFonts w:eastAsia="SimSun"/>
                <w:lang w:val="en-US"/>
              </w:rPr>
              <w:t>14</w:t>
            </w:r>
            <w:r w:rsidRPr="00C07B2E">
              <w:rPr>
                <w:rFonts w:eastAsia="SimSun"/>
              </w:rPr>
              <w:t xml:space="preserve"> мг/кг </w:t>
            </w:r>
          </w:p>
        </w:tc>
        <w:tc>
          <w:tcPr>
            <w:tcW w:w="1701" w:type="dxa"/>
            <w:vAlign w:val="center"/>
          </w:tcPr>
          <w:p w14:paraId="406BA9B4" w14:textId="77777777" w:rsidR="00124A26" w:rsidRPr="00C07B2E" w:rsidRDefault="00124A26" w:rsidP="002D3EBF">
            <w:pPr>
              <w:ind w:firstLine="0"/>
              <w:rPr>
                <w:rFonts w:eastAsia="SimSun"/>
              </w:rPr>
            </w:pPr>
            <w:r w:rsidRPr="00C07B2E">
              <w:rPr>
                <w:rFonts w:eastAsia="SimSun"/>
              </w:rPr>
              <w:t>С -</w:t>
            </w:r>
            <w:r w:rsidRPr="00C07B2E">
              <w:rPr>
                <w:rFonts w:eastAsia="SimSun"/>
                <w:lang w:val="en-US"/>
              </w:rPr>
              <w:t>6</w:t>
            </w:r>
            <w:r w:rsidRPr="00C07B2E">
              <w:rPr>
                <w:rFonts w:eastAsia="SimSun"/>
              </w:rPr>
              <w:t xml:space="preserve"> дня по -3 день</w:t>
            </w:r>
          </w:p>
        </w:tc>
        <w:tc>
          <w:tcPr>
            <w:tcW w:w="2268" w:type="dxa"/>
            <w:vAlign w:val="center"/>
          </w:tcPr>
          <w:p w14:paraId="7D5A4843" w14:textId="77777777" w:rsidR="00124A26" w:rsidRPr="00C07B2E" w:rsidRDefault="00124A26" w:rsidP="002D3EBF">
            <w:pPr>
              <w:ind w:firstLine="0"/>
              <w:rPr>
                <w:rFonts w:eastAsia="SimSun"/>
              </w:rPr>
            </w:pPr>
            <w:r w:rsidRPr="00C07B2E">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124A26" w:rsidRPr="00C07B2E" w14:paraId="72650243" w14:textId="77777777" w:rsidTr="002D3EBF">
        <w:trPr>
          <w:cantSplit/>
          <w:trHeight w:val="424"/>
        </w:trPr>
        <w:tc>
          <w:tcPr>
            <w:tcW w:w="992" w:type="dxa"/>
            <w:vMerge w:val="restart"/>
            <w:textDirection w:val="btLr"/>
            <w:vAlign w:val="center"/>
          </w:tcPr>
          <w:p w14:paraId="270FC6CD" w14:textId="77777777" w:rsidR="00124A26" w:rsidRPr="00C07B2E" w:rsidRDefault="00124A26" w:rsidP="002D3EBF">
            <w:pPr>
              <w:ind w:firstLine="0"/>
              <w:rPr>
                <w:rFonts w:eastAsia="SimSun"/>
              </w:rPr>
            </w:pPr>
            <w:r w:rsidRPr="00C07B2E">
              <w:rPr>
                <w:rFonts w:eastAsia="SimSun"/>
              </w:rPr>
              <w:t>Профилактика РТПХ</w:t>
            </w:r>
          </w:p>
        </w:tc>
        <w:tc>
          <w:tcPr>
            <w:tcW w:w="1810" w:type="dxa"/>
            <w:vAlign w:val="center"/>
          </w:tcPr>
          <w:p w14:paraId="234A7826" w14:textId="77777777" w:rsidR="00124A26" w:rsidRPr="00C07B2E" w:rsidRDefault="00124A26" w:rsidP="002D3EBF">
            <w:pPr>
              <w:ind w:firstLine="0"/>
              <w:rPr>
                <w:rFonts w:eastAsia="SimSun"/>
              </w:rPr>
            </w:pPr>
            <w:r w:rsidRPr="00C07B2E">
              <w:rPr>
                <w:rFonts w:eastAsia="SimSun"/>
              </w:rPr>
              <w:t>Циклофосфамид</w:t>
            </w:r>
          </w:p>
        </w:tc>
        <w:tc>
          <w:tcPr>
            <w:tcW w:w="1417" w:type="dxa"/>
            <w:vAlign w:val="center"/>
          </w:tcPr>
          <w:p w14:paraId="7AEFFCD4" w14:textId="77777777" w:rsidR="00124A26" w:rsidRPr="00C07B2E" w:rsidRDefault="00124A26" w:rsidP="002D3EBF">
            <w:pPr>
              <w:ind w:firstLine="0"/>
              <w:rPr>
                <w:rFonts w:eastAsia="SimSun"/>
              </w:rPr>
            </w:pPr>
            <w:r w:rsidRPr="00C07B2E">
              <w:rPr>
                <w:rFonts w:eastAsia="SimSun"/>
              </w:rPr>
              <w:t>50 мг/кг</w:t>
            </w:r>
          </w:p>
        </w:tc>
        <w:tc>
          <w:tcPr>
            <w:tcW w:w="1418" w:type="dxa"/>
            <w:vAlign w:val="center"/>
          </w:tcPr>
          <w:p w14:paraId="63C3459A" w14:textId="77777777" w:rsidR="00124A26" w:rsidRPr="00C07B2E" w:rsidRDefault="00124A26" w:rsidP="002D3EBF">
            <w:pPr>
              <w:ind w:firstLine="0"/>
              <w:rPr>
                <w:rFonts w:eastAsia="SimSun"/>
              </w:rPr>
            </w:pPr>
            <w:r w:rsidRPr="00C07B2E">
              <w:rPr>
                <w:rFonts w:eastAsia="SimSun"/>
              </w:rPr>
              <w:t>100 мг/кг</w:t>
            </w:r>
          </w:p>
        </w:tc>
        <w:tc>
          <w:tcPr>
            <w:tcW w:w="1701" w:type="dxa"/>
            <w:vAlign w:val="center"/>
          </w:tcPr>
          <w:p w14:paraId="5552170F" w14:textId="77777777" w:rsidR="00124A26" w:rsidRPr="00C07B2E" w:rsidRDefault="00124A26" w:rsidP="002D3EBF">
            <w:pPr>
              <w:ind w:firstLine="0"/>
              <w:rPr>
                <w:rFonts w:eastAsia="SimSun"/>
              </w:rPr>
            </w:pPr>
            <w:r w:rsidRPr="00C07B2E">
              <w:rPr>
                <w:rFonts w:eastAsia="SimSun"/>
              </w:rPr>
              <w:t>В +3 день  и +5 день</w:t>
            </w:r>
          </w:p>
        </w:tc>
        <w:tc>
          <w:tcPr>
            <w:tcW w:w="2268" w:type="dxa"/>
            <w:vAlign w:val="center"/>
          </w:tcPr>
          <w:p w14:paraId="494B8CCA" w14:textId="77777777" w:rsidR="00124A26" w:rsidRPr="00C07B2E" w:rsidRDefault="00124A26" w:rsidP="002D3EBF">
            <w:pPr>
              <w:ind w:firstLine="0"/>
              <w:rPr>
                <w:rFonts w:eastAsia="SimSun"/>
              </w:rPr>
            </w:pPr>
            <w:r w:rsidRPr="00C07B2E">
              <w:rPr>
                <w:rFonts w:eastAsia="SimSun"/>
              </w:rPr>
              <w:t xml:space="preserve">В/в, в течение 2 ч  </w:t>
            </w:r>
          </w:p>
        </w:tc>
      </w:tr>
      <w:tr w:rsidR="00124A26" w:rsidRPr="00C07B2E" w14:paraId="3300DEDB" w14:textId="77777777" w:rsidTr="002D3EBF">
        <w:trPr>
          <w:cantSplit/>
          <w:trHeight w:val="958"/>
        </w:trPr>
        <w:tc>
          <w:tcPr>
            <w:tcW w:w="992" w:type="dxa"/>
            <w:vMerge/>
            <w:textDirection w:val="btLr"/>
            <w:vAlign w:val="center"/>
          </w:tcPr>
          <w:p w14:paraId="2814BF39" w14:textId="77777777" w:rsidR="00124A26" w:rsidRPr="00C07B2E" w:rsidRDefault="00124A26" w:rsidP="002D3EBF">
            <w:pPr>
              <w:ind w:firstLine="0"/>
              <w:rPr>
                <w:rFonts w:eastAsia="SimSun"/>
              </w:rPr>
            </w:pPr>
          </w:p>
        </w:tc>
        <w:tc>
          <w:tcPr>
            <w:tcW w:w="1810" w:type="dxa"/>
            <w:vAlign w:val="center"/>
          </w:tcPr>
          <w:p w14:paraId="3EF8C35A" w14:textId="77777777" w:rsidR="00124A26" w:rsidRPr="00C07B2E" w:rsidRDefault="00124A26" w:rsidP="002D3EBF">
            <w:pPr>
              <w:ind w:firstLine="0"/>
              <w:rPr>
                <w:rFonts w:eastAsia="SimSun"/>
              </w:rPr>
            </w:pPr>
            <w:r w:rsidRPr="00C07B2E">
              <w:rPr>
                <w:rFonts w:eastAsia="SimSun"/>
              </w:rPr>
              <w:t>Микофенолата мофетил</w:t>
            </w:r>
          </w:p>
        </w:tc>
        <w:tc>
          <w:tcPr>
            <w:tcW w:w="1417" w:type="dxa"/>
            <w:vAlign w:val="center"/>
          </w:tcPr>
          <w:p w14:paraId="686B1EC5" w14:textId="77777777" w:rsidR="00124A26" w:rsidRPr="00C07B2E" w:rsidRDefault="00124A26" w:rsidP="002D3EBF">
            <w:pPr>
              <w:ind w:firstLine="0"/>
              <w:rPr>
                <w:rFonts w:eastAsia="SimSun"/>
              </w:rPr>
            </w:pPr>
            <w:r w:rsidRPr="00C07B2E">
              <w:rPr>
                <w:rFonts w:eastAsia="SimSun"/>
              </w:rPr>
              <w:t xml:space="preserve">30 мг/кг </w:t>
            </w:r>
          </w:p>
        </w:tc>
        <w:tc>
          <w:tcPr>
            <w:tcW w:w="1418" w:type="dxa"/>
            <w:vAlign w:val="center"/>
          </w:tcPr>
          <w:p w14:paraId="70886BEA" w14:textId="77777777" w:rsidR="00124A26" w:rsidRPr="00C07B2E" w:rsidRDefault="00124A26" w:rsidP="002D3EBF">
            <w:pPr>
              <w:ind w:firstLine="0"/>
              <w:rPr>
                <w:rFonts w:eastAsia="SimSun"/>
              </w:rPr>
            </w:pPr>
            <w:r w:rsidRPr="00C07B2E">
              <w:rPr>
                <w:rFonts w:eastAsia="SimSun"/>
              </w:rPr>
              <w:t>–</w:t>
            </w:r>
          </w:p>
        </w:tc>
        <w:tc>
          <w:tcPr>
            <w:tcW w:w="1701" w:type="dxa"/>
            <w:vAlign w:val="center"/>
          </w:tcPr>
          <w:p w14:paraId="3CA0F5FB" w14:textId="77777777" w:rsidR="00124A26" w:rsidRPr="00C07B2E" w:rsidRDefault="00124A26" w:rsidP="002D3EBF">
            <w:pPr>
              <w:ind w:firstLine="0"/>
              <w:rPr>
                <w:rFonts w:eastAsia="SimSun"/>
              </w:rPr>
            </w:pPr>
            <w:r w:rsidRPr="00C07B2E">
              <w:rPr>
                <w:rFonts w:eastAsia="SimSun"/>
              </w:rPr>
              <w:t xml:space="preserve">С +1 дня по +28 день </w:t>
            </w:r>
          </w:p>
        </w:tc>
        <w:tc>
          <w:tcPr>
            <w:tcW w:w="2268" w:type="dxa"/>
            <w:vAlign w:val="center"/>
          </w:tcPr>
          <w:p w14:paraId="06096F56" w14:textId="77777777" w:rsidR="00124A26" w:rsidRPr="00C07B2E" w:rsidRDefault="00124A26" w:rsidP="002D3EBF">
            <w:pPr>
              <w:ind w:firstLine="0"/>
              <w:rPr>
                <w:rFonts w:eastAsia="SimSun"/>
              </w:rPr>
            </w:pPr>
            <w:r w:rsidRPr="00C07B2E">
              <w:rPr>
                <w:rFonts w:eastAsia="SimSun"/>
              </w:rPr>
              <w:t>Внутрь, суммарная суточная доза разделяется на 2- 4 приема (не более 3г/сут).</w:t>
            </w:r>
          </w:p>
        </w:tc>
      </w:tr>
      <w:tr w:rsidR="00124A26" w:rsidRPr="000F445E" w14:paraId="7DCF036D" w14:textId="77777777" w:rsidTr="002D3EBF">
        <w:trPr>
          <w:cantSplit/>
          <w:trHeight w:val="958"/>
        </w:trPr>
        <w:tc>
          <w:tcPr>
            <w:tcW w:w="992" w:type="dxa"/>
            <w:vMerge/>
            <w:textDirection w:val="btLr"/>
            <w:vAlign w:val="center"/>
          </w:tcPr>
          <w:p w14:paraId="43723C45" w14:textId="77777777" w:rsidR="00124A26" w:rsidRPr="00C07B2E" w:rsidRDefault="00124A26" w:rsidP="002D3EBF">
            <w:pPr>
              <w:ind w:firstLine="0"/>
              <w:rPr>
                <w:rFonts w:eastAsia="SimSun"/>
              </w:rPr>
            </w:pPr>
          </w:p>
        </w:tc>
        <w:tc>
          <w:tcPr>
            <w:tcW w:w="1810" w:type="dxa"/>
            <w:vAlign w:val="center"/>
          </w:tcPr>
          <w:p w14:paraId="107EEC33" w14:textId="77777777" w:rsidR="00124A26" w:rsidRPr="00C07B2E" w:rsidRDefault="00124A26" w:rsidP="002D3EBF">
            <w:pPr>
              <w:ind w:firstLine="0"/>
              <w:rPr>
                <w:rFonts w:eastAsia="SimSun"/>
              </w:rPr>
            </w:pPr>
            <w:r w:rsidRPr="00C07B2E">
              <w:rPr>
                <w:rFonts w:eastAsia="SimSun"/>
              </w:rPr>
              <w:t>Циклоспорин А</w:t>
            </w:r>
          </w:p>
        </w:tc>
        <w:tc>
          <w:tcPr>
            <w:tcW w:w="1417" w:type="dxa"/>
            <w:vAlign w:val="center"/>
          </w:tcPr>
          <w:p w14:paraId="70381ECA" w14:textId="77777777" w:rsidR="00124A26" w:rsidRPr="00C07B2E" w:rsidRDefault="00124A26" w:rsidP="002D3EBF">
            <w:pPr>
              <w:ind w:firstLine="0"/>
              <w:rPr>
                <w:rFonts w:eastAsia="SimSun"/>
              </w:rPr>
            </w:pPr>
            <w:r w:rsidRPr="00C07B2E">
              <w:rPr>
                <w:rFonts w:eastAsia="SimSun"/>
              </w:rPr>
              <w:t>3 мг/кг</w:t>
            </w:r>
          </w:p>
        </w:tc>
        <w:tc>
          <w:tcPr>
            <w:tcW w:w="1418" w:type="dxa"/>
            <w:vAlign w:val="center"/>
          </w:tcPr>
          <w:p w14:paraId="3402296A" w14:textId="77777777" w:rsidR="00124A26" w:rsidRPr="00C07B2E" w:rsidRDefault="00124A26" w:rsidP="002D3EBF">
            <w:pPr>
              <w:ind w:firstLine="0"/>
              <w:rPr>
                <w:rFonts w:eastAsia="SimSun"/>
              </w:rPr>
            </w:pPr>
            <w:r w:rsidRPr="00C07B2E">
              <w:rPr>
                <w:rFonts w:eastAsia="SimSun"/>
              </w:rPr>
              <w:t>-</w:t>
            </w:r>
          </w:p>
        </w:tc>
        <w:tc>
          <w:tcPr>
            <w:tcW w:w="1701" w:type="dxa"/>
            <w:vAlign w:val="center"/>
          </w:tcPr>
          <w:p w14:paraId="51FB8F10" w14:textId="77777777" w:rsidR="00124A26" w:rsidRPr="00C07B2E" w:rsidRDefault="00124A26" w:rsidP="002D3EBF">
            <w:pPr>
              <w:ind w:firstLine="0"/>
              <w:rPr>
                <w:rFonts w:eastAsia="SimSun"/>
              </w:rPr>
            </w:pPr>
            <w:r w:rsidRPr="00C07B2E">
              <w:rPr>
                <w:rFonts w:eastAsia="SimSun"/>
              </w:rPr>
              <w:t xml:space="preserve">С -1 дня по +100 день </w:t>
            </w:r>
          </w:p>
        </w:tc>
        <w:tc>
          <w:tcPr>
            <w:tcW w:w="2268" w:type="dxa"/>
            <w:vAlign w:val="center"/>
          </w:tcPr>
          <w:p w14:paraId="3AAC448F" w14:textId="77777777" w:rsidR="00124A26" w:rsidRPr="000F445E" w:rsidRDefault="00124A26" w:rsidP="002D3EBF">
            <w:pPr>
              <w:ind w:firstLine="0"/>
              <w:rPr>
                <w:rFonts w:eastAsia="SimSun"/>
              </w:rPr>
            </w:pPr>
            <w:r w:rsidRPr="00C07B2E">
              <w:rPr>
                <w:rFonts w:eastAsia="SimSun"/>
              </w:rPr>
              <w:t xml:space="preserve">В/в, 5-часовая инфузия 2 раза/сут. </w:t>
            </w:r>
            <w:r w:rsidRPr="000F445E">
              <w:rPr>
                <w:rFonts w:eastAsia="SimSun"/>
              </w:rPr>
              <w:t>Перевод на прием внутрь при условии восстановления лейкоцитов &gt; 1</w:t>
            </w:r>
            <w:r>
              <w:rPr>
                <w:rFonts w:eastAsia="SimSun"/>
              </w:rPr>
              <w:t>х 1</w:t>
            </w:r>
            <w:r w:rsidRPr="000F445E">
              <w:rPr>
                <w:rFonts w:eastAsia="SimSun"/>
              </w:rPr>
              <w:t>0</w:t>
            </w:r>
            <w:r w:rsidRPr="000F445E">
              <w:rPr>
                <w:rFonts w:eastAsia="SimSun"/>
                <w:vertAlign w:val="superscript"/>
              </w:rPr>
              <w:t>9</w:t>
            </w:r>
            <w:r w:rsidRPr="000F445E">
              <w:rPr>
                <w:rFonts w:eastAsia="SimSun"/>
              </w:rPr>
              <w:t>/л, при отсутствии тошноты, рвоты, диареи и возможности приема внутрь. Концентрация 150-350пг/мл.</w:t>
            </w:r>
          </w:p>
        </w:tc>
      </w:tr>
    </w:tbl>
    <w:p w14:paraId="09C378DE" w14:textId="77777777" w:rsidR="00124A26" w:rsidRPr="00C07B2E" w:rsidRDefault="00124A26" w:rsidP="00124A26">
      <w:pPr>
        <w:rPr>
          <w:rFonts w:eastAsia="SimSun"/>
        </w:rPr>
      </w:pPr>
    </w:p>
    <w:p w14:paraId="2B009153" w14:textId="77777777" w:rsidR="00124A26" w:rsidRPr="00C07B2E" w:rsidRDefault="00124A26" w:rsidP="00124A26">
      <w:pPr>
        <w:rPr>
          <w:rFonts w:eastAsia="SimSun"/>
        </w:rPr>
      </w:pPr>
      <w:bookmarkStart w:id="199" w:name="_Toc44401154"/>
      <w:r w:rsidRPr="00042499">
        <w:rPr>
          <w:rFonts w:eastAsia="SimSun"/>
        </w:rPr>
        <w:t>Таблица</w:t>
      </w:r>
      <w:r w:rsidRPr="00C07B2E">
        <w:rPr>
          <w:rFonts w:eastAsia="SimSun"/>
        </w:rPr>
        <w:t xml:space="preserve"> </w:t>
      </w:r>
      <w:r>
        <w:rPr>
          <w:rFonts w:eastAsia="SimSun"/>
        </w:rPr>
        <w:t>5</w:t>
      </w:r>
      <w:r w:rsidRPr="00C07B2E">
        <w:rPr>
          <w:rFonts w:eastAsia="SimSun"/>
        </w:rPr>
        <w:t>.1.1.11  – Flu180+Bu14 / Tx+MMF30</w:t>
      </w:r>
      <w:bookmarkEnd w:id="199"/>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09"/>
        <w:gridCol w:w="1417"/>
        <w:gridCol w:w="1418"/>
        <w:gridCol w:w="1701"/>
        <w:gridCol w:w="2268"/>
      </w:tblGrid>
      <w:tr w:rsidR="00124A26" w:rsidRPr="00C07B2E" w14:paraId="6E766E8A" w14:textId="77777777" w:rsidTr="002D3EBF">
        <w:trPr>
          <w:cantSplit/>
          <w:trHeight w:val="20"/>
          <w:tblHeader/>
        </w:trPr>
        <w:tc>
          <w:tcPr>
            <w:tcW w:w="993" w:type="dxa"/>
            <w:vAlign w:val="center"/>
          </w:tcPr>
          <w:p w14:paraId="4FD3EB3A" w14:textId="77777777" w:rsidR="00124A26" w:rsidRPr="00C07B2E" w:rsidRDefault="00124A26" w:rsidP="002D3EBF">
            <w:pPr>
              <w:ind w:firstLine="0"/>
              <w:rPr>
                <w:rFonts w:eastAsia="SimSun"/>
              </w:rPr>
            </w:pPr>
          </w:p>
        </w:tc>
        <w:tc>
          <w:tcPr>
            <w:tcW w:w="1809" w:type="dxa"/>
            <w:vAlign w:val="center"/>
          </w:tcPr>
          <w:p w14:paraId="0FF3F441" w14:textId="77777777" w:rsidR="00124A26" w:rsidRPr="00C07B2E" w:rsidRDefault="00124A26" w:rsidP="002D3EBF">
            <w:pPr>
              <w:ind w:firstLine="0"/>
              <w:rPr>
                <w:rFonts w:eastAsia="SimSun"/>
              </w:rPr>
            </w:pPr>
            <w:r w:rsidRPr="00C07B2E">
              <w:rPr>
                <w:rFonts w:eastAsia="SimSun"/>
              </w:rPr>
              <w:t>Препарат</w:t>
            </w:r>
          </w:p>
        </w:tc>
        <w:tc>
          <w:tcPr>
            <w:tcW w:w="1417" w:type="dxa"/>
            <w:vAlign w:val="center"/>
          </w:tcPr>
          <w:p w14:paraId="1CEE0F79" w14:textId="77777777" w:rsidR="00124A26" w:rsidRPr="00C07B2E" w:rsidRDefault="00124A26" w:rsidP="002D3EBF">
            <w:pPr>
              <w:ind w:firstLine="0"/>
              <w:rPr>
                <w:rFonts w:eastAsia="SimSun"/>
              </w:rPr>
            </w:pPr>
            <w:r w:rsidRPr="00C07B2E">
              <w:rPr>
                <w:rFonts w:eastAsia="SimSun"/>
              </w:rPr>
              <w:t>Суточная доза</w:t>
            </w:r>
          </w:p>
        </w:tc>
        <w:tc>
          <w:tcPr>
            <w:tcW w:w="1418" w:type="dxa"/>
            <w:vAlign w:val="center"/>
          </w:tcPr>
          <w:p w14:paraId="73D44EB9" w14:textId="77777777" w:rsidR="00124A26" w:rsidRPr="00C07B2E" w:rsidRDefault="00124A26" w:rsidP="002D3EBF">
            <w:pPr>
              <w:ind w:firstLine="0"/>
              <w:rPr>
                <w:rFonts w:eastAsia="SimSun"/>
              </w:rPr>
            </w:pPr>
            <w:r w:rsidRPr="00C07B2E">
              <w:rPr>
                <w:rFonts w:eastAsia="SimSun"/>
              </w:rPr>
              <w:t>Курсовая доза</w:t>
            </w:r>
          </w:p>
        </w:tc>
        <w:tc>
          <w:tcPr>
            <w:tcW w:w="1701" w:type="dxa"/>
            <w:vAlign w:val="center"/>
          </w:tcPr>
          <w:p w14:paraId="32DD1122" w14:textId="77777777" w:rsidR="00124A26" w:rsidRPr="00C07B2E" w:rsidRDefault="00124A26" w:rsidP="002D3EBF">
            <w:pPr>
              <w:ind w:firstLine="0"/>
              <w:rPr>
                <w:rFonts w:eastAsia="SimSun"/>
              </w:rPr>
            </w:pPr>
            <w:r w:rsidRPr="00C07B2E">
              <w:rPr>
                <w:rFonts w:eastAsia="SimSun"/>
              </w:rPr>
              <w:t>Дни введения</w:t>
            </w:r>
          </w:p>
        </w:tc>
        <w:tc>
          <w:tcPr>
            <w:tcW w:w="2268" w:type="dxa"/>
            <w:vAlign w:val="center"/>
          </w:tcPr>
          <w:p w14:paraId="65E71DFD" w14:textId="77777777" w:rsidR="00124A26" w:rsidRPr="00C07B2E" w:rsidRDefault="00124A26" w:rsidP="002D3EBF">
            <w:pPr>
              <w:ind w:firstLine="0"/>
              <w:rPr>
                <w:rFonts w:eastAsia="SimSun"/>
              </w:rPr>
            </w:pPr>
            <w:r w:rsidRPr="00C07B2E">
              <w:rPr>
                <w:rFonts w:eastAsia="SimSun"/>
              </w:rPr>
              <w:t>Порядок введения</w:t>
            </w:r>
          </w:p>
        </w:tc>
      </w:tr>
      <w:tr w:rsidR="00124A26" w:rsidRPr="00C07B2E" w14:paraId="7EA0EA37" w14:textId="77777777" w:rsidTr="002D3EBF">
        <w:trPr>
          <w:cantSplit/>
          <w:trHeight w:val="20"/>
        </w:trPr>
        <w:tc>
          <w:tcPr>
            <w:tcW w:w="993" w:type="dxa"/>
            <w:vMerge w:val="restart"/>
            <w:textDirection w:val="btLr"/>
            <w:vAlign w:val="center"/>
          </w:tcPr>
          <w:p w14:paraId="507B9918" w14:textId="77777777" w:rsidR="00124A26" w:rsidRPr="00C07B2E" w:rsidRDefault="00124A26" w:rsidP="002D3EBF">
            <w:pPr>
              <w:ind w:firstLine="0"/>
              <w:rPr>
                <w:rFonts w:eastAsia="SimSun"/>
              </w:rPr>
            </w:pPr>
            <w:r w:rsidRPr="00C07B2E">
              <w:rPr>
                <w:rFonts w:eastAsia="SimSun"/>
              </w:rPr>
              <w:t>Кондиционирование</w:t>
            </w:r>
          </w:p>
        </w:tc>
        <w:tc>
          <w:tcPr>
            <w:tcW w:w="1809" w:type="dxa"/>
            <w:vAlign w:val="center"/>
          </w:tcPr>
          <w:p w14:paraId="30AD1C64" w14:textId="77777777" w:rsidR="00124A26" w:rsidRPr="00C07B2E" w:rsidRDefault="00124A26" w:rsidP="002D3EBF">
            <w:pPr>
              <w:ind w:firstLine="0"/>
              <w:rPr>
                <w:rFonts w:eastAsia="SimSun"/>
              </w:rPr>
            </w:pPr>
            <w:r w:rsidRPr="00C07B2E">
              <w:rPr>
                <w:rFonts w:eastAsia="SimSun"/>
              </w:rPr>
              <w:t xml:space="preserve">Флударабин </w:t>
            </w:r>
          </w:p>
        </w:tc>
        <w:tc>
          <w:tcPr>
            <w:tcW w:w="1417" w:type="dxa"/>
            <w:vAlign w:val="center"/>
          </w:tcPr>
          <w:p w14:paraId="7C26E6AA" w14:textId="77777777" w:rsidR="00124A26" w:rsidRPr="00C07B2E" w:rsidRDefault="00124A26" w:rsidP="002D3EBF">
            <w:pPr>
              <w:ind w:firstLine="0"/>
              <w:rPr>
                <w:rFonts w:eastAsia="SimSun"/>
              </w:rPr>
            </w:pPr>
            <w:r w:rsidRPr="00C07B2E">
              <w:rPr>
                <w:rFonts w:eastAsia="SimSun"/>
              </w:rPr>
              <w:t>30 мг/м</w:t>
            </w:r>
            <w:r w:rsidRPr="000F445E">
              <w:rPr>
                <w:rFonts w:eastAsia="SimSun"/>
                <w:vertAlign w:val="superscript"/>
              </w:rPr>
              <w:t>2</w:t>
            </w:r>
          </w:p>
        </w:tc>
        <w:tc>
          <w:tcPr>
            <w:tcW w:w="1418" w:type="dxa"/>
            <w:vAlign w:val="center"/>
          </w:tcPr>
          <w:p w14:paraId="7B6C0CC1" w14:textId="77777777" w:rsidR="00124A26" w:rsidRPr="00C07B2E" w:rsidRDefault="00124A26" w:rsidP="002D3EBF">
            <w:pPr>
              <w:ind w:firstLine="0"/>
              <w:rPr>
                <w:rFonts w:eastAsia="SimSun"/>
              </w:rPr>
            </w:pPr>
            <w:r w:rsidRPr="00C07B2E">
              <w:rPr>
                <w:rFonts w:eastAsia="SimSun"/>
              </w:rPr>
              <w:t>180 мг/м</w:t>
            </w:r>
            <w:r w:rsidRPr="000F445E">
              <w:rPr>
                <w:rFonts w:eastAsia="SimSun"/>
                <w:vertAlign w:val="superscript"/>
              </w:rPr>
              <w:t>2</w:t>
            </w:r>
          </w:p>
        </w:tc>
        <w:tc>
          <w:tcPr>
            <w:tcW w:w="1701" w:type="dxa"/>
            <w:vAlign w:val="center"/>
          </w:tcPr>
          <w:p w14:paraId="7B3231D5" w14:textId="77777777" w:rsidR="00124A26" w:rsidRPr="00C07B2E" w:rsidRDefault="00124A26" w:rsidP="002D3EBF">
            <w:pPr>
              <w:ind w:firstLine="0"/>
              <w:rPr>
                <w:rFonts w:eastAsia="SimSun"/>
              </w:rPr>
            </w:pPr>
            <w:r w:rsidRPr="00C07B2E">
              <w:rPr>
                <w:rFonts w:eastAsia="SimSun"/>
              </w:rPr>
              <w:t>С -7 дня по -2 день</w:t>
            </w:r>
          </w:p>
        </w:tc>
        <w:tc>
          <w:tcPr>
            <w:tcW w:w="2268" w:type="dxa"/>
            <w:vAlign w:val="center"/>
          </w:tcPr>
          <w:p w14:paraId="4FAEC3F8" w14:textId="77777777" w:rsidR="00124A26" w:rsidRPr="00C07B2E" w:rsidRDefault="00124A26" w:rsidP="002D3EBF">
            <w:pPr>
              <w:ind w:firstLine="0"/>
              <w:rPr>
                <w:rFonts w:eastAsia="SimSun"/>
              </w:rPr>
            </w:pPr>
            <w:r w:rsidRPr="00C07B2E">
              <w:rPr>
                <w:rFonts w:eastAsia="SimSun"/>
              </w:rPr>
              <w:t>В/в, в течение 30 - 60 мин</w:t>
            </w:r>
          </w:p>
        </w:tc>
      </w:tr>
      <w:tr w:rsidR="00124A26" w:rsidRPr="00C07B2E" w14:paraId="071D0D83" w14:textId="77777777" w:rsidTr="002D3EBF">
        <w:trPr>
          <w:cantSplit/>
          <w:trHeight w:val="1207"/>
        </w:trPr>
        <w:tc>
          <w:tcPr>
            <w:tcW w:w="993" w:type="dxa"/>
            <w:vMerge/>
            <w:vAlign w:val="center"/>
          </w:tcPr>
          <w:p w14:paraId="7E463A1C" w14:textId="77777777" w:rsidR="00124A26" w:rsidRPr="00C07B2E" w:rsidRDefault="00124A26" w:rsidP="002D3EBF">
            <w:pPr>
              <w:ind w:firstLine="0"/>
              <w:rPr>
                <w:rFonts w:eastAsia="SimSun"/>
              </w:rPr>
            </w:pPr>
          </w:p>
        </w:tc>
        <w:tc>
          <w:tcPr>
            <w:tcW w:w="1809" w:type="dxa"/>
            <w:vAlign w:val="center"/>
          </w:tcPr>
          <w:p w14:paraId="6730475F" w14:textId="77777777" w:rsidR="00124A26" w:rsidRPr="00C07B2E" w:rsidRDefault="00124A26" w:rsidP="002D3EBF">
            <w:pPr>
              <w:ind w:firstLine="0"/>
              <w:rPr>
                <w:rFonts w:eastAsia="SimSun"/>
              </w:rPr>
            </w:pPr>
            <w:r w:rsidRPr="00C07B2E">
              <w:rPr>
                <w:rFonts w:eastAsia="SimSun"/>
              </w:rPr>
              <w:t>Бусульфан</w:t>
            </w:r>
          </w:p>
        </w:tc>
        <w:tc>
          <w:tcPr>
            <w:tcW w:w="1417" w:type="dxa"/>
            <w:vAlign w:val="center"/>
          </w:tcPr>
          <w:p w14:paraId="422EE373" w14:textId="77777777" w:rsidR="00124A26" w:rsidRPr="00C07B2E" w:rsidRDefault="00124A26" w:rsidP="002D3EBF">
            <w:pPr>
              <w:ind w:firstLine="0"/>
              <w:rPr>
                <w:rFonts w:eastAsia="SimSun"/>
              </w:rPr>
            </w:pPr>
            <w:r w:rsidRPr="00C07B2E">
              <w:rPr>
                <w:rFonts w:eastAsia="SimSun"/>
              </w:rPr>
              <w:t xml:space="preserve">4 мг/кг </w:t>
            </w:r>
          </w:p>
        </w:tc>
        <w:tc>
          <w:tcPr>
            <w:tcW w:w="1418" w:type="dxa"/>
            <w:vAlign w:val="center"/>
          </w:tcPr>
          <w:p w14:paraId="1BD887C0" w14:textId="77777777" w:rsidR="00124A26" w:rsidRPr="00C07B2E" w:rsidRDefault="00124A26" w:rsidP="002D3EBF">
            <w:pPr>
              <w:ind w:firstLine="0"/>
              <w:rPr>
                <w:rFonts w:eastAsia="SimSun"/>
              </w:rPr>
            </w:pPr>
            <w:r w:rsidRPr="00C07B2E">
              <w:rPr>
                <w:rFonts w:eastAsia="SimSun"/>
                <w:lang w:val="en-US"/>
              </w:rPr>
              <w:t>14</w:t>
            </w:r>
            <w:r w:rsidRPr="00C07B2E">
              <w:rPr>
                <w:rFonts w:eastAsia="SimSun"/>
              </w:rPr>
              <w:t xml:space="preserve"> мг/кг </w:t>
            </w:r>
          </w:p>
        </w:tc>
        <w:tc>
          <w:tcPr>
            <w:tcW w:w="1701" w:type="dxa"/>
            <w:vAlign w:val="center"/>
          </w:tcPr>
          <w:p w14:paraId="5CDC837A" w14:textId="77777777" w:rsidR="00124A26" w:rsidRPr="00C07B2E" w:rsidRDefault="00124A26" w:rsidP="002D3EBF">
            <w:pPr>
              <w:ind w:firstLine="0"/>
              <w:rPr>
                <w:rFonts w:eastAsia="SimSun"/>
              </w:rPr>
            </w:pPr>
            <w:r w:rsidRPr="00C07B2E">
              <w:rPr>
                <w:rFonts w:eastAsia="SimSun"/>
              </w:rPr>
              <w:t>С -</w:t>
            </w:r>
            <w:r w:rsidRPr="00C07B2E">
              <w:rPr>
                <w:rFonts w:eastAsia="SimSun"/>
                <w:lang w:val="en-US"/>
              </w:rPr>
              <w:t>6</w:t>
            </w:r>
            <w:r w:rsidRPr="00C07B2E">
              <w:rPr>
                <w:rFonts w:eastAsia="SimSun"/>
              </w:rPr>
              <w:t xml:space="preserve"> дня по -3 день</w:t>
            </w:r>
          </w:p>
        </w:tc>
        <w:tc>
          <w:tcPr>
            <w:tcW w:w="2268" w:type="dxa"/>
            <w:vAlign w:val="center"/>
          </w:tcPr>
          <w:p w14:paraId="12ACB80A" w14:textId="77777777" w:rsidR="00124A26" w:rsidRPr="00C07B2E" w:rsidRDefault="00124A26" w:rsidP="002D3EBF">
            <w:pPr>
              <w:ind w:firstLine="0"/>
              <w:rPr>
                <w:rFonts w:eastAsia="SimSun"/>
              </w:rPr>
            </w:pPr>
            <w:r w:rsidRPr="00C07B2E">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124A26" w:rsidRPr="000F445E" w14:paraId="4D9D978B" w14:textId="77777777" w:rsidTr="002D3EBF">
        <w:trPr>
          <w:cantSplit/>
          <w:trHeight w:val="1498"/>
        </w:trPr>
        <w:tc>
          <w:tcPr>
            <w:tcW w:w="993" w:type="dxa"/>
            <w:vMerge w:val="restart"/>
            <w:textDirection w:val="btLr"/>
            <w:vAlign w:val="center"/>
          </w:tcPr>
          <w:p w14:paraId="009BFEB6" w14:textId="77777777" w:rsidR="00124A26" w:rsidRPr="00C07B2E" w:rsidRDefault="00124A26" w:rsidP="002D3EBF">
            <w:pPr>
              <w:ind w:firstLine="0"/>
              <w:rPr>
                <w:rFonts w:eastAsia="SimSun"/>
              </w:rPr>
            </w:pPr>
            <w:r w:rsidRPr="00C07B2E">
              <w:rPr>
                <w:rFonts w:eastAsia="SimSun"/>
              </w:rPr>
              <w:t>Профилактика РТПХ</w:t>
            </w:r>
          </w:p>
        </w:tc>
        <w:tc>
          <w:tcPr>
            <w:tcW w:w="1809" w:type="dxa"/>
            <w:vAlign w:val="center"/>
          </w:tcPr>
          <w:p w14:paraId="7B872E5B" w14:textId="77777777" w:rsidR="00124A26" w:rsidRPr="00C07B2E" w:rsidRDefault="00124A26" w:rsidP="002D3EBF">
            <w:pPr>
              <w:ind w:firstLine="0"/>
              <w:rPr>
                <w:rFonts w:eastAsia="SimSun"/>
              </w:rPr>
            </w:pPr>
            <w:r w:rsidRPr="00C07B2E">
              <w:rPr>
                <w:rFonts w:eastAsia="SimSun"/>
              </w:rPr>
              <w:t xml:space="preserve">Такролимус </w:t>
            </w:r>
          </w:p>
        </w:tc>
        <w:tc>
          <w:tcPr>
            <w:tcW w:w="1417" w:type="dxa"/>
            <w:vAlign w:val="center"/>
          </w:tcPr>
          <w:p w14:paraId="0C0A59A4" w14:textId="77777777" w:rsidR="00124A26" w:rsidRPr="00C07B2E" w:rsidRDefault="00124A26" w:rsidP="002D3EBF">
            <w:pPr>
              <w:ind w:firstLine="0"/>
              <w:rPr>
                <w:rFonts w:eastAsia="SimSun"/>
              </w:rPr>
            </w:pPr>
            <w:r w:rsidRPr="00C07B2E">
              <w:rPr>
                <w:rFonts w:eastAsia="SimSun"/>
              </w:rPr>
              <w:t>0,03 мг/кг</w:t>
            </w:r>
          </w:p>
        </w:tc>
        <w:tc>
          <w:tcPr>
            <w:tcW w:w="1418" w:type="dxa"/>
            <w:vAlign w:val="center"/>
          </w:tcPr>
          <w:p w14:paraId="041D9BE8" w14:textId="77777777" w:rsidR="00124A26" w:rsidRPr="00C07B2E" w:rsidRDefault="00124A26" w:rsidP="002D3EBF">
            <w:pPr>
              <w:ind w:firstLine="0"/>
              <w:rPr>
                <w:rFonts w:eastAsia="SimSun"/>
              </w:rPr>
            </w:pPr>
            <w:r w:rsidRPr="00C07B2E">
              <w:rPr>
                <w:rFonts w:eastAsia="SimSun"/>
              </w:rPr>
              <w:t>–</w:t>
            </w:r>
          </w:p>
        </w:tc>
        <w:tc>
          <w:tcPr>
            <w:tcW w:w="1701" w:type="dxa"/>
            <w:vAlign w:val="center"/>
          </w:tcPr>
          <w:p w14:paraId="7EF2D703" w14:textId="77777777" w:rsidR="00124A26" w:rsidRPr="00C07B2E" w:rsidRDefault="00124A26" w:rsidP="002D3EBF">
            <w:pPr>
              <w:ind w:firstLine="0"/>
              <w:rPr>
                <w:rFonts w:eastAsia="SimSun"/>
              </w:rPr>
            </w:pPr>
            <w:r w:rsidRPr="00C07B2E">
              <w:rPr>
                <w:rFonts w:eastAsia="SimSun"/>
              </w:rPr>
              <w:t xml:space="preserve">С +5 дня длительно </w:t>
            </w:r>
          </w:p>
        </w:tc>
        <w:tc>
          <w:tcPr>
            <w:tcW w:w="2268" w:type="dxa"/>
            <w:vAlign w:val="center"/>
          </w:tcPr>
          <w:p w14:paraId="452F9616" w14:textId="77777777" w:rsidR="00124A26" w:rsidRPr="000F445E" w:rsidRDefault="00124A26" w:rsidP="002D3EBF">
            <w:pPr>
              <w:ind w:firstLine="0"/>
              <w:rPr>
                <w:rFonts w:eastAsia="SimSun"/>
              </w:rPr>
            </w:pPr>
            <w:r w:rsidRPr="00C07B2E">
              <w:rPr>
                <w:rFonts w:eastAsia="SimSun"/>
              </w:rPr>
              <w:t xml:space="preserve">В/в инфузия в течение 24 ч с последующей коррекцией суточной дозы по концентрации. </w:t>
            </w:r>
            <w:r w:rsidRPr="000F445E">
              <w:rPr>
                <w:rFonts w:eastAsia="SimSun"/>
              </w:rPr>
              <w:t xml:space="preserve">Перевод на прием внутрь при условии восстановления лейкоцитов &gt; 1 </w:t>
            </w:r>
            <w:r>
              <w:rPr>
                <w:rFonts w:eastAsia="SimSun"/>
              </w:rPr>
              <w:t xml:space="preserve">х </w:t>
            </w:r>
            <w:r w:rsidRPr="000F445E">
              <w:rPr>
                <w:rFonts w:eastAsia="SimSun"/>
              </w:rPr>
              <w:t>10</w:t>
            </w:r>
            <w:r w:rsidRPr="000F445E">
              <w:rPr>
                <w:rFonts w:eastAsia="SimSun"/>
                <w:vertAlign w:val="superscript"/>
              </w:rPr>
              <w:t>9</w:t>
            </w:r>
            <w:r w:rsidRPr="000F445E">
              <w:rPr>
                <w:rFonts w:eastAsia="SimSun"/>
              </w:rPr>
              <w:t xml:space="preserve">/л, при отсутствии тошноты, рвоты, диареи и возможности приема внутрь. Концентрация </w:t>
            </w:r>
            <w:r w:rsidRPr="00C07B2E">
              <w:rPr>
                <w:rFonts w:eastAsia="SimSun"/>
              </w:rPr>
              <w:t>Tx</w:t>
            </w:r>
            <w:r w:rsidRPr="000F445E">
              <w:rPr>
                <w:rFonts w:eastAsia="SimSun"/>
              </w:rPr>
              <w:t xml:space="preserve"> 5-15 нг/мл.    </w:t>
            </w:r>
          </w:p>
        </w:tc>
      </w:tr>
      <w:tr w:rsidR="00124A26" w:rsidRPr="00C07B2E" w14:paraId="4EE2917D" w14:textId="77777777" w:rsidTr="002D3EBF">
        <w:trPr>
          <w:cantSplit/>
          <w:trHeight w:val="805"/>
        </w:trPr>
        <w:tc>
          <w:tcPr>
            <w:tcW w:w="993" w:type="dxa"/>
            <w:vMerge/>
            <w:textDirection w:val="btLr"/>
            <w:vAlign w:val="center"/>
          </w:tcPr>
          <w:p w14:paraId="31CB8943" w14:textId="77777777" w:rsidR="00124A26" w:rsidRPr="000F445E" w:rsidRDefault="00124A26" w:rsidP="002D3EBF">
            <w:pPr>
              <w:ind w:firstLine="0"/>
              <w:rPr>
                <w:rFonts w:eastAsia="SimSun"/>
              </w:rPr>
            </w:pPr>
          </w:p>
        </w:tc>
        <w:tc>
          <w:tcPr>
            <w:tcW w:w="1809" w:type="dxa"/>
            <w:vAlign w:val="center"/>
          </w:tcPr>
          <w:p w14:paraId="685D9A0B" w14:textId="77777777" w:rsidR="00124A26" w:rsidRPr="00C07B2E" w:rsidRDefault="00124A26" w:rsidP="002D3EBF">
            <w:pPr>
              <w:ind w:firstLine="0"/>
              <w:rPr>
                <w:rFonts w:eastAsia="SimSun"/>
              </w:rPr>
            </w:pPr>
            <w:r w:rsidRPr="00C07B2E">
              <w:rPr>
                <w:rFonts w:eastAsia="SimSun"/>
              </w:rPr>
              <w:t>Микофенолата мофетил</w:t>
            </w:r>
          </w:p>
        </w:tc>
        <w:tc>
          <w:tcPr>
            <w:tcW w:w="1417" w:type="dxa"/>
            <w:vAlign w:val="center"/>
          </w:tcPr>
          <w:p w14:paraId="69EB7581" w14:textId="77777777" w:rsidR="00124A26" w:rsidRPr="00C07B2E" w:rsidRDefault="00124A26" w:rsidP="002D3EBF">
            <w:pPr>
              <w:ind w:firstLine="0"/>
              <w:rPr>
                <w:rFonts w:eastAsia="SimSun"/>
              </w:rPr>
            </w:pPr>
            <w:r w:rsidRPr="00C07B2E">
              <w:rPr>
                <w:rFonts w:eastAsia="SimSun"/>
              </w:rPr>
              <w:t xml:space="preserve">30 мг/кг </w:t>
            </w:r>
          </w:p>
        </w:tc>
        <w:tc>
          <w:tcPr>
            <w:tcW w:w="1418" w:type="dxa"/>
            <w:vAlign w:val="center"/>
          </w:tcPr>
          <w:p w14:paraId="0907CA15" w14:textId="77777777" w:rsidR="00124A26" w:rsidRPr="00C07B2E" w:rsidRDefault="00124A26" w:rsidP="002D3EBF">
            <w:pPr>
              <w:ind w:firstLine="0"/>
              <w:rPr>
                <w:rFonts w:eastAsia="SimSun"/>
              </w:rPr>
            </w:pPr>
            <w:r w:rsidRPr="00C07B2E">
              <w:rPr>
                <w:rFonts w:eastAsia="SimSun"/>
              </w:rPr>
              <w:t>–</w:t>
            </w:r>
          </w:p>
        </w:tc>
        <w:tc>
          <w:tcPr>
            <w:tcW w:w="1701" w:type="dxa"/>
            <w:vAlign w:val="center"/>
          </w:tcPr>
          <w:p w14:paraId="0AE0308B" w14:textId="77777777" w:rsidR="00124A26" w:rsidRPr="00C07B2E" w:rsidRDefault="00124A26" w:rsidP="002D3EBF">
            <w:pPr>
              <w:ind w:firstLine="0"/>
              <w:rPr>
                <w:rFonts w:eastAsia="SimSun"/>
              </w:rPr>
            </w:pPr>
            <w:r w:rsidRPr="00C07B2E">
              <w:rPr>
                <w:rFonts w:eastAsia="SimSun"/>
              </w:rPr>
              <w:t xml:space="preserve">С +5 дня по +35 день </w:t>
            </w:r>
          </w:p>
        </w:tc>
        <w:tc>
          <w:tcPr>
            <w:tcW w:w="2268" w:type="dxa"/>
            <w:vAlign w:val="center"/>
          </w:tcPr>
          <w:p w14:paraId="55B2FEB7" w14:textId="77777777" w:rsidR="00124A26" w:rsidRPr="000F445E" w:rsidRDefault="00124A26" w:rsidP="002D3EBF">
            <w:pPr>
              <w:ind w:firstLine="0"/>
              <w:rPr>
                <w:rFonts w:eastAsia="SimSun"/>
              </w:rPr>
            </w:pPr>
            <w:r w:rsidRPr="000F445E">
              <w:rPr>
                <w:rFonts w:eastAsia="SimSun"/>
              </w:rPr>
              <w:t>Внутрь, суммарная суточная доза разделяется на 2- 4 приема (не более 3</w:t>
            </w:r>
            <w:r>
              <w:rPr>
                <w:rFonts w:eastAsia="SimSun"/>
              </w:rPr>
              <w:t xml:space="preserve"> </w:t>
            </w:r>
            <w:r w:rsidRPr="000F445E">
              <w:rPr>
                <w:rFonts w:eastAsia="SimSun"/>
              </w:rPr>
              <w:t>г/сут).</w:t>
            </w:r>
          </w:p>
        </w:tc>
      </w:tr>
    </w:tbl>
    <w:p w14:paraId="64F44E89" w14:textId="77777777" w:rsidR="00124A26" w:rsidRPr="00C07B2E" w:rsidRDefault="00124A26" w:rsidP="00124A26">
      <w:pPr>
        <w:rPr>
          <w:rFonts w:eastAsia="SimSun"/>
        </w:rPr>
      </w:pPr>
    </w:p>
    <w:p w14:paraId="0B75CDB7" w14:textId="77777777" w:rsidR="00124A26" w:rsidRPr="00C07B2E" w:rsidRDefault="00124A26" w:rsidP="00124A26">
      <w:pPr>
        <w:rPr>
          <w:rFonts w:eastAsia="SimSun"/>
        </w:rPr>
      </w:pPr>
      <w:bookmarkStart w:id="200" w:name="_Toc44401155"/>
      <w:r w:rsidRPr="00042499">
        <w:rPr>
          <w:rFonts w:eastAsia="SimSun"/>
        </w:rPr>
        <w:t>Таблица</w:t>
      </w:r>
      <w:r w:rsidRPr="00C07B2E">
        <w:rPr>
          <w:rFonts w:eastAsia="SimSun"/>
        </w:rPr>
        <w:t xml:space="preserve"> </w:t>
      </w:r>
      <w:r>
        <w:rPr>
          <w:rFonts w:eastAsia="SimSun"/>
        </w:rPr>
        <w:t>5</w:t>
      </w:r>
      <w:r w:rsidRPr="00C07B2E">
        <w:rPr>
          <w:rFonts w:eastAsia="SimSun"/>
        </w:rPr>
        <w:t>.1.1.12  – Flu180+Treo42 / PT-Cy+Tx+MMF30</w:t>
      </w:r>
      <w:bookmarkEnd w:id="200"/>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1"/>
        <w:gridCol w:w="1701"/>
        <w:gridCol w:w="1417"/>
        <w:gridCol w:w="1418"/>
        <w:gridCol w:w="1701"/>
        <w:gridCol w:w="2268"/>
      </w:tblGrid>
      <w:tr w:rsidR="00124A26" w:rsidRPr="00C07B2E" w14:paraId="43DE794D" w14:textId="77777777" w:rsidTr="002D3EBF">
        <w:trPr>
          <w:cantSplit/>
          <w:trHeight w:val="20"/>
          <w:tblHeader/>
        </w:trPr>
        <w:tc>
          <w:tcPr>
            <w:tcW w:w="1101" w:type="dxa"/>
            <w:vAlign w:val="center"/>
          </w:tcPr>
          <w:p w14:paraId="4161A731" w14:textId="77777777" w:rsidR="00124A26" w:rsidRPr="00470D3D" w:rsidRDefault="00124A26" w:rsidP="002D3EBF">
            <w:pPr>
              <w:ind w:firstLine="0"/>
              <w:rPr>
                <w:rFonts w:eastAsia="SimSun"/>
              </w:rPr>
            </w:pPr>
          </w:p>
        </w:tc>
        <w:tc>
          <w:tcPr>
            <w:tcW w:w="1701" w:type="dxa"/>
            <w:vAlign w:val="center"/>
          </w:tcPr>
          <w:p w14:paraId="5A57E81A" w14:textId="77777777" w:rsidR="00124A26" w:rsidRPr="00C07B2E" w:rsidRDefault="00124A26" w:rsidP="002D3EBF">
            <w:pPr>
              <w:ind w:firstLine="0"/>
              <w:rPr>
                <w:rFonts w:eastAsia="SimSun"/>
              </w:rPr>
            </w:pPr>
            <w:r w:rsidRPr="00C07B2E">
              <w:rPr>
                <w:rFonts w:eastAsia="SimSun"/>
              </w:rPr>
              <w:t>Препарат</w:t>
            </w:r>
          </w:p>
        </w:tc>
        <w:tc>
          <w:tcPr>
            <w:tcW w:w="1417" w:type="dxa"/>
            <w:vAlign w:val="center"/>
          </w:tcPr>
          <w:p w14:paraId="79701D76" w14:textId="77777777" w:rsidR="00124A26" w:rsidRPr="00C07B2E" w:rsidRDefault="00124A26" w:rsidP="002D3EBF">
            <w:pPr>
              <w:ind w:firstLine="0"/>
              <w:rPr>
                <w:rFonts w:eastAsia="SimSun"/>
              </w:rPr>
            </w:pPr>
            <w:r w:rsidRPr="00C07B2E">
              <w:rPr>
                <w:rFonts w:eastAsia="SimSun"/>
              </w:rPr>
              <w:t>Суточная доза</w:t>
            </w:r>
          </w:p>
        </w:tc>
        <w:tc>
          <w:tcPr>
            <w:tcW w:w="1418" w:type="dxa"/>
            <w:vAlign w:val="center"/>
          </w:tcPr>
          <w:p w14:paraId="5D2726E9" w14:textId="77777777" w:rsidR="00124A26" w:rsidRPr="00C07B2E" w:rsidRDefault="00124A26" w:rsidP="002D3EBF">
            <w:pPr>
              <w:ind w:firstLine="0"/>
              <w:rPr>
                <w:rFonts w:eastAsia="SimSun"/>
              </w:rPr>
            </w:pPr>
            <w:r w:rsidRPr="00C07B2E">
              <w:rPr>
                <w:rFonts w:eastAsia="SimSun"/>
              </w:rPr>
              <w:t>Курсовая доза</w:t>
            </w:r>
          </w:p>
        </w:tc>
        <w:tc>
          <w:tcPr>
            <w:tcW w:w="1701" w:type="dxa"/>
            <w:vAlign w:val="center"/>
          </w:tcPr>
          <w:p w14:paraId="420C99FA" w14:textId="77777777" w:rsidR="00124A26" w:rsidRPr="00C07B2E" w:rsidRDefault="00124A26" w:rsidP="002D3EBF">
            <w:pPr>
              <w:ind w:firstLine="0"/>
              <w:rPr>
                <w:rFonts w:eastAsia="SimSun"/>
              </w:rPr>
            </w:pPr>
            <w:r w:rsidRPr="00C07B2E">
              <w:rPr>
                <w:rFonts w:eastAsia="SimSun"/>
              </w:rPr>
              <w:t>Дни введения</w:t>
            </w:r>
          </w:p>
        </w:tc>
        <w:tc>
          <w:tcPr>
            <w:tcW w:w="2268" w:type="dxa"/>
            <w:vAlign w:val="center"/>
          </w:tcPr>
          <w:p w14:paraId="787BE3C8" w14:textId="77777777" w:rsidR="00124A26" w:rsidRPr="00C07B2E" w:rsidRDefault="00124A26" w:rsidP="002D3EBF">
            <w:pPr>
              <w:ind w:firstLine="0"/>
              <w:rPr>
                <w:rFonts w:eastAsia="SimSun"/>
              </w:rPr>
            </w:pPr>
            <w:r w:rsidRPr="00C07B2E">
              <w:rPr>
                <w:rFonts w:eastAsia="SimSun"/>
              </w:rPr>
              <w:t>Порядок введения</w:t>
            </w:r>
          </w:p>
        </w:tc>
      </w:tr>
      <w:tr w:rsidR="00124A26" w:rsidRPr="00C07B2E" w14:paraId="2837E722" w14:textId="77777777" w:rsidTr="002D3EBF">
        <w:trPr>
          <w:cantSplit/>
          <w:trHeight w:val="20"/>
        </w:trPr>
        <w:tc>
          <w:tcPr>
            <w:tcW w:w="1101" w:type="dxa"/>
            <w:vMerge w:val="restart"/>
            <w:textDirection w:val="btLr"/>
            <w:vAlign w:val="center"/>
          </w:tcPr>
          <w:p w14:paraId="48E04C60" w14:textId="77777777" w:rsidR="00124A26" w:rsidRPr="00C07B2E" w:rsidRDefault="00124A26" w:rsidP="002D3EBF">
            <w:pPr>
              <w:ind w:firstLine="0"/>
              <w:rPr>
                <w:rFonts w:eastAsia="SimSun"/>
              </w:rPr>
            </w:pPr>
            <w:r w:rsidRPr="00C07B2E">
              <w:rPr>
                <w:rFonts w:eastAsia="SimSun"/>
              </w:rPr>
              <w:t>Кондиционирование</w:t>
            </w:r>
          </w:p>
        </w:tc>
        <w:tc>
          <w:tcPr>
            <w:tcW w:w="1701" w:type="dxa"/>
            <w:vAlign w:val="center"/>
          </w:tcPr>
          <w:p w14:paraId="5FDECAB3" w14:textId="77777777" w:rsidR="00124A26" w:rsidRPr="00C07B2E" w:rsidRDefault="00124A26" w:rsidP="002D3EBF">
            <w:pPr>
              <w:ind w:firstLine="0"/>
              <w:rPr>
                <w:rFonts w:eastAsia="SimSun"/>
              </w:rPr>
            </w:pPr>
            <w:r w:rsidRPr="00C07B2E">
              <w:rPr>
                <w:rFonts w:eastAsia="SimSun"/>
              </w:rPr>
              <w:t xml:space="preserve">Флударабин </w:t>
            </w:r>
          </w:p>
        </w:tc>
        <w:tc>
          <w:tcPr>
            <w:tcW w:w="1417" w:type="dxa"/>
            <w:vAlign w:val="center"/>
          </w:tcPr>
          <w:p w14:paraId="01132E57" w14:textId="77777777" w:rsidR="00124A26" w:rsidRPr="000F445E" w:rsidRDefault="00124A26" w:rsidP="002D3EBF">
            <w:pPr>
              <w:ind w:firstLine="0"/>
              <w:rPr>
                <w:rFonts w:eastAsia="SimSun"/>
              </w:rPr>
            </w:pPr>
            <w:r w:rsidRPr="00C07B2E">
              <w:rPr>
                <w:rFonts w:eastAsia="SimSun"/>
              </w:rPr>
              <w:t>30 мг/м</w:t>
            </w:r>
            <w:r w:rsidRPr="000F445E">
              <w:rPr>
                <w:rFonts w:eastAsia="SimSun"/>
                <w:vertAlign w:val="superscript"/>
              </w:rPr>
              <w:t>2</w:t>
            </w:r>
          </w:p>
        </w:tc>
        <w:tc>
          <w:tcPr>
            <w:tcW w:w="1418" w:type="dxa"/>
            <w:vAlign w:val="center"/>
          </w:tcPr>
          <w:p w14:paraId="57E57601" w14:textId="77777777" w:rsidR="00124A26" w:rsidRPr="00C07B2E" w:rsidRDefault="00124A26" w:rsidP="002D3EBF">
            <w:pPr>
              <w:ind w:firstLine="0"/>
              <w:rPr>
                <w:rFonts w:eastAsia="SimSun"/>
              </w:rPr>
            </w:pPr>
            <w:r w:rsidRPr="00C07B2E">
              <w:rPr>
                <w:rFonts w:eastAsia="SimSun"/>
              </w:rPr>
              <w:t>180 мг/м</w:t>
            </w:r>
            <w:r w:rsidRPr="005659AA">
              <w:rPr>
                <w:rFonts w:eastAsia="SimSun"/>
                <w:vertAlign w:val="superscript"/>
              </w:rPr>
              <w:t>2</w:t>
            </w:r>
          </w:p>
        </w:tc>
        <w:tc>
          <w:tcPr>
            <w:tcW w:w="1701" w:type="dxa"/>
            <w:vAlign w:val="center"/>
          </w:tcPr>
          <w:p w14:paraId="18ECD943" w14:textId="77777777" w:rsidR="00124A26" w:rsidRPr="00C07B2E" w:rsidRDefault="00124A26" w:rsidP="002D3EBF">
            <w:pPr>
              <w:ind w:firstLine="0"/>
              <w:rPr>
                <w:rFonts w:eastAsia="SimSun"/>
              </w:rPr>
            </w:pPr>
            <w:r w:rsidRPr="00C07B2E">
              <w:rPr>
                <w:rFonts w:eastAsia="SimSun"/>
              </w:rPr>
              <w:t>С -7 дня по -2 день</w:t>
            </w:r>
          </w:p>
        </w:tc>
        <w:tc>
          <w:tcPr>
            <w:tcW w:w="2268" w:type="dxa"/>
            <w:vAlign w:val="center"/>
          </w:tcPr>
          <w:p w14:paraId="51579690" w14:textId="77777777" w:rsidR="00124A26" w:rsidRPr="006A31EC" w:rsidRDefault="00124A26" w:rsidP="002D3EBF">
            <w:pPr>
              <w:ind w:firstLine="0"/>
              <w:rPr>
                <w:rFonts w:eastAsia="SimSun"/>
              </w:rPr>
            </w:pPr>
            <w:r w:rsidRPr="006A31EC">
              <w:rPr>
                <w:rFonts w:eastAsia="SimSun"/>
              </w:rPr>
              <w:t>В/в, в течение 30 - 60 мин</w:t>
            </w:r>
          </w:p>
        </w:tc>
      </w:tr>
      <w:tr w:rsidR="00124A26" w:rsidRPr="00C07B2E" w14:paraId="15CF33A1" w14:textId="77777777" w:rsidTr="002D3EBF">
        <w:trPr>
          <w:cantSplit/>
          <w:trHeight w:val="778"/>
        </w:trPr>
        <w:tc>
          <w:tcPr>
            <w:tcW w:w="1101" w:type="dxa"/>
            <w:vMerge/>
            <w:vAlign w:val="center"/>
          </w:tcPr>
          <w:p w14:paraId="03AACE82" w14:textId="77777777" w:rsidR="00124A26" w:rsidRPr="006A31EC" w:rsidRDefault="00124A26" w:rsidP="002D3EBF">
            <w:pPr>
              <w:ind w:firstLine="0"/>
              <w:rPr>
                <w:rFonts w:eastAsia="SimSun"/>
              </w:rPr>
            </w:pPr>
          </w:p>
        </w:tc>
        <w:tc>
          <w:tcPr>
            <w:tcW w:w="1701" w:type="dxa"/>
            <w:vAlign w:val="center"/>
          </w:tcPr>
          <w:p w14:paraId="4AC10BD2" w14:textId="77777777" w:rsidR="00124A26" w:rsidRPr="00C07B2E" w:rsidRDefault="00124A26" w:rsidP="002D3EBF">
            <w:pPr>
              <w:ind w:firstLine="0"/>
              <w:rPr>
                <w:rFonts w:eastAsia="SimSun"/>
              </w:rPr>
            </w:pPr>
            <w:r w:rsidRPr="00C07B2E">
              <w:rPr>
                <w:rFonts w:eastAsia="SimSun"/>
              </w:rPr>
              <w:t xml:space="preserve">Треосульфан </w:t>
            </w:r>
          </w:p>
        </w:tc>
        <w:tc>
          <w:tcPr>
            <w:tcW w:w="1417" w:type="dxa"/>
            <w:vAlign w:val="center"/>
          </w:tcPr>
          <w:p w14:paraId="6AEF52C6" w14:textId="77777777" w:rsidR="00124A26" w:rsidRPr="00C07B2E" w:rsidRDefault="00124A26" w:rsidP="002D3EBF">
            <w:pPr>
              <w:ind w:firstLine="0"/>
              <w:rPr>
                <w:rFonts w:eastAsia="SimSun"/>
              </w:rPr>
            </w:pPr>
            <w:r w:rsidRPr="00C07B2E">
              <w:rPr>
                <w:rFonts w:eastAsia="SimSun"/>
              </w:rPr>
              <w:t>14 г/кг</w:t>
            </w:r>
          </w:p>
        </w:tc>
        <w:tc>
          <w:tcPr>
            <w:tcW w:w="1418" w:type="dxa"/>
            <w:vAlign w:val="center"/>
          </w:tcPr>
          <w:p w14:paraId="7A476DD0" w14:textId="77777777" w:rsidR="00124A26" w:rsidRPr="00C07B2E" w:rsidRDefault="00124A26" w:rsidP="002D3EBF">
            <w:pPr>
              <w:ind w:firstLine="0"/>
              <w:rPr>
                <w:rFonts w:eastAsia="SimSun"/>
              </w:rPr>
            </w:pPr>
            <w:r w:rsidRPr="00C07B2E">
              <w:rPr>
                <w:rFonts w:eastAsia="SimSun"/>
              </w:rPr>
              <w:t>42 г/кг</w:t>
            </w:r>
          </w:p>
        </w:tc>
        <w:tc>
          <w:tcPr>
            <w:tcW w:w="1701" w:type="dxa"/>
            <w:vAlign w:val="center"/>
          </w:tcPr>
          <w:p w14:paraId="214CB661" w14:textId="77777777" w:rsidR="00124A26" w:rsidRPr="00C07B2E" w:rsidRDefault="00124A26" w:rsidP="002D3EBF">
            <w:pPr>
              <w:ind w:firstLine="0"/>
              <w:rPr>
                <w:rFonts w:eastAsia="SimSun"/>
              </w:rPr>
            </w:pPr>
            <w:r w:rsidRPr="00C07B2E">
              <w:rPr>
                <w:rFonts w:eastAsia="SimSun"/>
              </w:rPr>
              <w:t xml:space="preserve">С -5 дня по -3 день </w:t>
            </w:r>
          </w:p>
        </w:tc>
        <w:tc>
          <w:tcPr>
            <w:tcW w:w="2268" w:type="dxa"/>
            <w:vAlign w:val="center"/>
          </w:tcPr>
          <w:p w14:paraId="16FD7DC9" w14:textId="77777777" w:rsidR="00124A26" w:rsidRPr="006A31EC" w:rsidRDefault="00124A26" w:rsidP="002D3EBF">
            <w:pPr>
              <w:ind w:firstLine="0"/>
              <w:rPr>
                <w:rFonts w:eastAsia="SimSun"/>
              </w:rPr>
            </w:pPr>
            <w:r w:rsidRPr="006A31EC">
              <w:rPr>
                <w:rFonts w:eastAsia="SimSun"/>
              </w:rPr>
              <w:t xml:space="preserve">В/в инфуия, в течение 2 часов </w:t>
            </w:r>
          </w:p>
        </w:tc>
      </w:tr>
      <w:tr w:rsidR="00124A26" w:rsidRPr="005659AA" w14:paraId="645E52E5" w14:textId="77777777" w:rsidTr="002D3EBF">
        <w:trPr>
          <w:cantSplit/>
          <w:trHeight w:val="1498"/>
        </w:trPr>
        <w:tc>
          <w:tcPr>
            <w:tcW w:w="1101" w:type="dxa"/>
            <w:vMerge w:val="restart"/>
            <w:textDirection w:val="btLr"/>
            <w:vAlign w:val="center"/>
          </w:tcPr>
          <w:p w14:paraId="48FC7663" w14:textId="77777777" w:rsidR="00124A26" w:rsidRPr="00C07B2E" w:rsidRDefault="00124A26" w:rsidP="002D3EBF">
            <w:pPr>
              <w:ind w:firstLine="0"/>
              <w:rPr>
                <w:rFonts w:eastAsia="SimSun"/>
              </w:rPr>
            </w:pPr>
            <w:r w:rsidRPr="00C07B2E">
              <w:rPr>
                <w:rFonts w:eastAsia="SimSun"/>
              </w:rPr>
              <w:t>Профилактика РТПХ</w:t>
            </w:r>
          </w:p>
        </w:tc>
        <w:tc>
          <w:tcPr>
            <w:tcW w:w="1701" w:type="dxa"/>
            <w:vAlign w:val="center"/>
          </w:tcPr>
          <w:p w14:paraId="18569812" w14:textId="77777777" w:rsidR="00124A26" w:rsidRPr="00C07B2E" w:rsidRDefault="00124A26" w:rsidP="002D3EBF">
            <w:pPr>
              <w:ind w:firstLine="0"/>
              <w:rPr>
                <w:rFonts w:eastAsia="SimSun"/>
              </w:rPr>
            </w:pPr>
            <w:r w:rsidRPr="00C07B2E">
              <w:rPr>
                <w:rFonts w:eastAsia="SimSun"/>
              </w:rPr>
              <w:t xml:space="preserve">Такролимус </w:t>
            </w:r>
          </w:p>
        </w:tc>
        <w:tc>
          <w:tcPr>
            <w:tcW w:w="1417" w:type="dxa"/>
            <w:vAlign w:val="center"/>
          </w:tcPr>
          <w:p w14:paraId="4D14B7CA" w14:textId="77777777" w:rsidR="00124A26" w:rsidRPr="00C07B2E" w:rsidRDefault="00124A26" w:rsidP="002D3EBF">
            <w:pPr>
              <w:ind w:firstLine="0"/>
              <w:rPr>
                <w:rFonts w:eastAsia="SimSun"/>
              </w:rPr>
            </w:pPr>
            <w:r w:rsidRPr="00C07B2E">
              <w:rPr>
                <w:rFonts w:eastAsia="SimSun"/>
              </w:rPr>
              <w:t>0,03 мг/кг</w:t>
            </w:r>
          </w:p>
        </w:tc>
        <w:tc>
          <w:tcPr>
            <w:tcW w:w="1418" w:type="dxa"/>
            <w:vAlign w:val="center"/>
          </w:tcPr>
          <w:p w14:paraId="2EDBA4A3" w14:textId="77777777" w:rsidR="00124A26" w:rsidRPr="00C07B2E" w:rsidRDefault="00124A26" w:rsidP="002D3EBF">
            <w:pPr>
              <w:ind w:firstLine="0"/>
              <w:rPr>
                <w:rFonts w:eastAsia="SimSun"/>
              </w:rPr>
            </w:pPr>
            <w:r w:rsidRPr="00C07B2E">
              <w:rPr>
                <w:rFonts w:eastAsia="SimSun"/>
                <w:lang w:val="en-US"/>
              </w:rPr>
              <w:t>–</w:t>
            </w:r>
          </w:p>
        </w:tc>
        <w:tc>
          <w:tcPr>
            <w:tcW w:w="1701" w:type="dxa"/>
            <w:vAlign w:val="center"/>
          </w:tcPr>
          <w:p w14:paraId="3B47DC67" w14:textId="77777777" w:rsidR="00124A26" w:rsidRPr="00C07B2E" w:rsidRDefault="00124A26" w:rsidP="002D3EBF">
            <w:pPr>
              <w:ind w:firstLine="0"/>
              <w:rPr>
                <w:rFonts w:eastAsia="SimSun"/>
              </w:rPr>
            </w:pPr>
            <w:r w:rsidRPr="00C07B2E">
              <w:rPr>
                <w:rFonts w:eastAsia="SimSun"/>
              </w:rPr>
              <w:t xml:space="preserve">С +5 дня длительно </w:t>
            </w:r>
          </w:p>
        </w:tc>
        <w:tc>
          <w:tcPr>
            <w:tcW w:w="2268" w:type="dxa"/>
            <w:vAlign w:val="center"/>
          </w:tcPr>
          <w:p w14:paraId="4EDF376E" w14:textId="77777777" w:rsidR="00124A26" w:rsidRPr="005659AA" w:rsidRDefault="00124A26" w:rsidP="002D3EBF">
            <w:pPr>
              <w:ind w:firstLine="0"/>
              <w:rPr>
                <w:rFonts w:eastAsia="SimSun"/>
              </w:rPr>
            </w:pPr>
            <w:r w:rsidRPr="006A31EC">
              <w:rPr>
                <w:rFonts w:eastAsia="SimSun"/>
              </w:rPr>
              <w:t xml:space="preserve">В/в инфузия в течение 24 ч с последующей коррекцией суточной дозы по концентрации. Перевод на прием внутрь при условии восстановления лейкоцитов &gt; 1 </w:t>
            </w:r>
            <w:r>
              <w:rPr>
                <w:rFonts w:eastAsia="SimSun"/>
              </w:rPr>
              <w:t xml:space="preserve">х </w:t>
            </w:r>
            <w:r w:rsidRPr="006A31EC">
              <w:rPr>
                <w:rFonts w:eastAsia="SimSun"/>
              </w:rPr>
              <w:t>10</w:t>
            </w:r>
            <w:r w:rsidRPr="006A31EC">
              <w:rPr>
                <w:rFonts w:eastAsia="SimSun"/>
                <w:vertAlign w:val="superscript"/>
              </w:rPr>
              <w:t>9</w:t>
            </w:r>
            <w:r w:rsidRPr="006A31EC">
              <w:rPr>
                <w:rFonts w:eastAsia="SimSun"/>
              </w:rPr>
              <w:t xml:space="preserve">/л, при отсутствии тошноты, рвоты, диареи и возможности приема внутрь. </w:t>
            </w:r>
            <w:r w:rsidRPr="005659AA">
              <w:rPr>
                <w:rFonts w:eastAsia="SimSun"/>
              </w:rPr>
              <w:t xml:space="preserve">Концентрация </w:t>
            </w:r>
            <w:r w:rsidRPr="00C07B2E">
              <w:rPr>
                <w:rFonts w:eastAsia="SimSun"/>
              </w:rPr>
              <w:t>Tx</w:t>
            </w:r>
            <w:r w:rsidRPr="005659AA">
              <w:rPr>
                <w:rFonts w:eastAsia="SimSun"/>
              </w:rPr>
              <w:t xml:space="preserve"> 5-15 нг/мл.    </w:t>
            </w:r>
          </w:p>
        </w:tc>
      </w:tr>
      <w:tr w:rsidR="00124A26" w:rsidRPr="00C07B2E" w14:paraId="21D8BAE3" w14:textId="77777777" w:rsidTr="002D3EBF">
        <w:trPr>
          <w:cantSplit/>
          <w:trHeight w:val="858"/>
        </w:trPr>
        <w:tc>
          <w:tcPr>
            <w:tcW w:w="1101" w:type="dxa"/>
            <w:vMerge/>
            <w:textDirection w:val="btLr"/>
            <w:vAlign w:val="center"/>
          </w:tcPr>
          <w:p w14:paraId="119F1687" w14:textId="77777777" w:rsidR="00124A26" w:rsidRPr="005659AA" w:rsidRDefault="00124A26" w:rsidP="002D3EBF">
            <w:pPr>
              <w:ind w:firstLine="0"/>
              <w:rPr>
                <w:rFonts w:eastAsia="SimSun"/>
              </w:rPr>
            </w:pPr>
          </w:p>
        </w:tc>
        <w:tc>
          <w:tcPr>
            <w:tcW w:w="1701" w:type="dxa"/>
            <w:vAlign w:val="center"/>
          </w:tcPr>
          <w:p w14:paraId="1F2FEBC6" w14:textId="77777777" w:rsidR="00124A26" w:rsidRPr="00C07B2E" w:rsidRDefault="00124A26" w:rsidP="002D3EBF">
            <w:pPr>
              <w:ind w:firstLine="0"/>
              <w:rPr>
                <w:rFonts w:eastAsia="SimSun"/>
              </w:rPr>
            </w:pPr>
            <w:r w:rsidRPr="00C07B2E">
              <w:rPr>
                <w:rFonts w:eastAsia="SimSun"/>
              </w:rPr>
              <w:t>Микофенолата мофетил</w:t>
            </w:r>
          </w:p>
        </w:tc>
        <w:tc>
          <w:tcPr>
            <w:tcW w:w="1417" w:type="dxa"/>
            <w:vAlign w:val="center"/>
          </w:tcPr>
          <w:p w14:paraId="0C74BD49" w14:textId="77777777" w:rsidR="00124A26" w:rsidRPr="00C07B2E" w:rsidRDefault="00124A26" w:rsidP="002D3EBF">
            <w:pPr>
              <w:ind w:firstLine="0"/>
              <w:rPr>
                <w:rFonts w:eastAsia="SimSun"/>
              </w:rPr>
            </w:pPr>
            <w:r w:rsidRPr="00C07B2E">
              <w:rPr>
                <w:rFonts w:eastAsia="SimSun"/>
                <w:lang w:val="en-US"/>
              </w:rPr>
              <w:t>30</w:t>
            </w:r>
            <w:r w:rsidRPr="00C07B2E">
              <w:rPr>
                <w:rFonts w:eastAsia="SimSun"/>
              </w:rPr>
              <w:t xml:space="preserve"> мг/кг </w:t>
            </w:r>
          </w:p>
        </w:tc>
        <w:tc>
          <w:tcPr>
            <w:tcW w:w="1418" w:type="dxa"/>
            <w:vAlign w:val="center"/>
          </w:tcPr>
          <w:p w14:paraId="758E4F64" w14:textId="77777777" w:rsidR="00124A26" w:rsidRPr="00C07B2E" w:rsidRDefault="00124A26" w:rsidP="002D3EBF">
            <w:pPr>
              <w:ind w:firstLine="0"/>
              <w:rPr>
                <w:rFonts w:eastAsia="SimSun"/>
              </w:rPr>
            </w:pPr>
            <w:r w:rsidRPr="00C07B2E">
              <w:rPr>
                <w:rFonts w:eastAsia="SimSun"/>
              </w:rPr>
              <w:t>–</w:t>
            </w:r>
          </w:p>
        </w:tc>
        <w:tc>
          <w:tcPr>
            <w:tcW w:w="1701" w:type="dxa"/>
            <w:vAlign w:val="center"/>
          </w:tcPr>
          <w:p w14:paraId="6F88A02B" w14:textId="77777777" w:rsidR="00124A26" w:rsidRPr="00C07B2E" w:rsidRDefault="00124A26" w:rsidP="002D3EBF">
            <w:pPr>
              <w:ind w:firstLine="0"/>
              <w:rPr>
                <w:rFonts w:eastAsia="SimSun"/>
              </w:rPr>
            </w:pPr>
            <w:r w:rsidRPr="00C07B2E">
              <w:rPr>
                <w:rFonts w:eastAsia="SimSun"/>
              </w:rPr>
              <w:t xml:space="preserve">С +5 дня по +35 день </w:t>
            </w:r>
          </w:p>
        </w:tc>
        <w:tc>
          <w:tcPr>
            <w:tcW w:w="2268" w:type="dxa"/>
            <w:vAlign w:val="center"/>
          </w:tcPr>
          <w:p w14:paraId="677580BD" w14:textId="77777777" w:rsidR="00124A26" w:rsidRPr="005659AA" w:rsidRDefault="00124A26" w:rsidP="002D3EBF">
            <w:pPr>
              <w:ind w:firstLine="0"/>
              <w:rPr>
                <w:rFonts w:eastAsia="SimSun"/>
              </w:rPr>
            </w:pPr>
            <w:r w:rsidRPr="005659AA">
              <w:rPr>
                <w:rFonts w:eastAsia="SimSun"/>
              </w:rPr>
              <w:t>Внутрь, суммарная суточная доза разделяется на 2- 4 приема (не более 3</w:t>
            </w:r>
            <w:r>
              <w:rPr>
                <w:rFonts w:eastAsia="SimSun"/>
              </w:rPr>
              <w:t xml:space="preserve"> </w:t>
            </w:r>
            <w:r w:rsidRPr="005659AA">
              <w:rPr>
                <w:rFonts w:eastAsia="SimSun"/>
              </w:rPr>
              <w:t>г/сут).</w:t>
            </w:r>
          </w:p>
        </w:tc>
      </w:tr>
      <w:tr w:rsidR="00124A26" w:rsidRPr="00C07B2E" w14:paraId="77F9EF07" w14:textId="77777777" w:rsidTr="002D3EBF">
        <w:trPr>
          <w:cantSplit/>
          <w:trHeight w:val="472"/>
        </w:trPr>
        <w:tc>
          <w:tcPr>
            <w:tcW w:w="1101" w:type="dxa"/>
            <w:vMerge/>
            <w:textDirection w:val="btLr"/>
            <w:vAlign w:val="center"/>
          </w:tcPr>
          <w:p w14:paraId="12866358" w14:textId="77777777" w:rsidR="00124A26" w:rsidRPr="005659AA" w:rsidRDefault="00124A26" w:rsidP="002D3EBF">
            <w:pPr>
              <w:ind w:firstLine="0"/>
              <w:rPr>
                <w:rFonts w:eastAsia="SimSun"/>
              </w:rPr>
            </w:pPr>
          </w:p>
        </w:tc>
        <w:tc>
          <w:tcPr>
            <w:tcW w:w="1701" w:type="dxa"/>
            <w:vAlign w:val="center"/>
          </w:tcPr>
          <w:p w14:paraId="489DE862" w14:textId="77777777" w:rsidR="00124A26" w:rsidRPr="00C07B2E" w:rsidRDefault="00124A26" w:rsidP="002D3EBF">
            <w:pPr>
              <w:ind w:firstLine="0"/>
              <w:rPr>
                <w:rFonts w:eastAsia="SimSun"/>
              </w:rPr>
            </w:pPr>
            <w:r w:rsidRPr="00C07B2E">
              <w:rPr>
                <w:rFonts w:eastAsia="SimSun"/>
              </w:rPr>
              <w:t xml:space="preserve">Циклофосфамид </w:t>
            </w:r>
          </w:p>
        </w:tc>
        <w:tc>
          <w:tcPr>
            <w:tcW w:w="1417" w:type="dxa"/>
            <w:vAlign w:val="center"/>
          </w:tcPr>
          <w:p w14:paraId="6CE8C107" w14:textId="77777777" w:rsidR="00124A26" w:rsidRPr="00C07B2E" w:rsidRDefault="00124A26" w:rsidP="002D3EBF">
            <w:pPr>
              <w:ind w:firstLine="0"/>
              <w:rPr>
                <w:rFonts w:eastAsia="SimSun"/>
              </w:rPr>
            </w:pPr>
            <w:r w:rsidRPr="00C07B2E">
              <w:rPr>
                <w:rFonts w:eastAsia="SimSun"/>
              </w:rPr>
              <w:t xml:space="preserve">50 мг/кг </w:t>
            </w:r>
          </w:p>
        </w:tc>
        <w:tc>
          <w:tcPr>
            <w:tcW w:w="1418" w:type="dxa"/>
            <w:vAlign w:val="center"/>
          </w:tcPr>
          <w:p w14:paraId="38422A0C" w14:textId="77777777" w:rsidR="00124A26" w:rsidRPr="00C07B2E" w:rsidRDefault="00124A26" w:rsidP="002D3EBF">
            <w:pPr>
              <w:ind w:firstLine="0"/>
              <w:rPr>
                <w:rFonts w:eastAsia="SimSun"/>
              </w:rPr>
            </w:pPr>
            <w:r w:rsidRPr="00C07B2E">
              <w:rPr>
                <w:rFonts w:eastAsia="SimSun"/>
              </w:rPr>
              <w:t>100 мг/кг</w:t>
            </w:r>
          </w:p>
        </w:tc>
        <w:tc>
          <w:tcPr>
            <w:tcW w:w="1701" w:type="dxa"/>
            <w:vAlign w:val="center"/>
          </w:tcPr>
          <w:p w14:paraId="5D53D59D" w14:textId="77777777" w:rsidR="00124A26" w:rsidRPr="00C07B2E" w:rsidRDefault="00124A26" w:rsidP="002D3EBF">
            <w:pPr>
              <w:ind w:firstLine="0"/>
              <w:rPr>
                <w:rFonts w:eastAsia="SimSun"/>
              </w:rPr>
            </w:pPr>
            <w:r w:rsidRPr="00C07B2E">
              <w:rPr>
                <w:rFonts w:eastAsia="SimSun"/>
              </w:rPr>
              <w:t>С +3 дня по +4 день</w:t>
            </w:r>
          </w:p>
        </w:tc>
        <w:tc>
          <w:tcPr>
            <w:tcW w:w="2268" w:type="dxa"/>
            <w:vAlign w:val="center"/>
          </w:tcPr>
          <w:p w14:paraId="7436DE45" w14:textId="77777777" w:rsidR="00124A26" w:rsidRPr="00C07B2E" w:rsidRDefault="00124A26" w:rsidP="002D3EBF">
            <w:pPr>
              <w:ind w:firstLine="0"/>
              <w:rPr>
                <w:rFonts w:eastAsia="SimSun"/>
              </w:rPr>
            </w:pPr>
            <w:r w:rsidRPr="00C07B2E">
              <w:rPr>
                <w:rFonts w:eastAsia="SimSun"/>
              </w:rPr>
              <w:t xml:space="preserve">В/в, в течение 2 ч  </w:t>
            </w:r>
          </w:p>
        </w:tc>
      </w:tr>
    </w:tbl>
    <w:p w14:paraId="4A53EA63" w14:textId="77777777" w:rsidR="00124A26" w:rsidRPr="00C07B2E" w:rsidRDefault="00124A26" w:rsidP="00124A26">
      <w:pPr>
        <w:rPr>
          <w:rFonts w:eastAsia="SimSun"/>
        </w:rPr>
        <w:sectPr w:rsidR="00124A26" w:rsidRPr="00C07B2E" w:rsidSect="00980822">
          <w:type w:val="continuous"/>
          <w:pgSz w:w="11907" w:h="16839" w:code="9"/>
          <w:pgMar w:top="1134" w:right="850" w:bottom="1134" w:left="1701" w:header="709" w:footer="567" w:gutter="0"/>
          <w:cols w:space="708"/>
          <w:docGrid w:linePitch="360"/>
        </w:sectPr>
      </w:pPr>
    </w:p>
    <w:p w14:paraId="1053A1C6" w14:textId="77777777" w:rsidR="00124A26" w:rsidRDefault="00124A26" w:rsidP="00124A26">
      <w:pPr>
        <w:rPr>
          <w:rFonts w:eastAsia="SimSun"/>
        </w:rPr>
      </w:pPr>
      <w:bookmarkStart w:id="201" w:name="_Toc44401156"/>
    </w:p>
    <w:bookmarkEnd w:id="201"/>
    <w:p w14:paraId="7371D92E" w14:textId="77777777" w:rsidR="00124A26" w:rsidRPr="00C07B2E" w:rsidRDefault="00124A26" w:rsidP="00124A26">
      <w:pPr>
        <w:rPr>
          <w:rFonts w:eastAsia="SimSun"/>
        </w:rPr>
      </w:pPr>
      <w:r w:rsidRPr="00C07B2E">
        <w:rPr>
          <w:rFonts w:eastAsia="SimSun"/>
        </w:rPr>
        <w:t>Схемы и режимы применения препаратов для кондиционирования и профилактики РТПХ</w:t>
      </w:r>
      <w:r>
        <w:rPr>
          <w:rFonts w:eastAsia="SimSun"/>
        </w:rPr>
        <w:t xml:space="preserve"> при проведении </w:t>
      </w:r>
      <w:r w:rsidRPr="006A31EC">
        <w:rPr>
          <w:rFonts w:eastAsia="SimSun"/>
          <w:b/>
          <w:u w:val="single"/>
        </w:rPr>
        <w:t>аллоТГСК в режиме пониженной интенсивности</w:t>
      </w:r>
      <w:r w:rsidRPr="00C07B2E">
        <w:rPr>
          <w:rFonts w:eastAsia="SimSun"/>
        </w:rPr>
        <w:t xml:space="preserve"> указаны в Таблице </w:t>
      </w:r>
      <w:r>
        <w:rPr>
          <w:rFonts w:eastAsia="SimSun"/>
        </w:rPr>
        <w:t>5.</w:t>
      </w:r>
      <w:r w:rsidRPr="00C07B2E">
        <w:rPr>
          <w:rFonts w:eastAsia="SimSun"/>
        </w:rPr>
        <w:t>1.2</w:t>
      </w:r>
    </w:p>
    <w:p w14:paraId="71A5B903" w14:textId="77777777" w:rsidR="00124A26" w:rsidRPr="00C07B2E" w:rsidRDefault="00124A26" w:rsidP="00124A26">
      <w:pPr>
        <w:rPr>
          <w:rFonts w:eastAsia="SimSun"/>
        </w:rPr>
        <w:sectPr w:rsidR="00124A26" w:rsidRPr="00C07B2E" w:rsidSect="00980822">
          <w:footerReference w:type="default" r:id="rId25"/>
          <w:type w:val="continuous"/>
          <w:pgSz w:w="11907" w:h="16839" w:code="9"/>
          <w:pgMar w:top="1134" w:right="850" w:bottom="1134" w:left="1701" w:header="709" w:footer="567" w:gutter="0"/>
          <w:cols w:space="708"/>
          <w:docGrid w:linePitch="360"/>
        </w:sectPr>
      </w:pPr>
    </w:p>
    <w:p w14:paraId="7DB7994E" w14:textId="77777777" w:rsidR="00124A26" w:rsidRPr="00C07B2E" w:rsidRDefault="00124A26" w:rsidP="00124A26">
      <w:pPr>
        <w:rPr>
          <w:rFonts w:eastAsia="SimSun"/>
        </w:rPr>
      </w:pPr>
      <w:r w:rsidRPr="00C07B2E">
        <w:rPr>
          <w:rFonts w:eastAsia="SimSun"/>
        </w:rPr>
        <w:t xml:space="preserve">Таблица </w:t>
      </w:r>
      <w:r>
        <w:rPr>
          <w:rFonts w:eastAsia="SimSun"/>
        </w:rPr>
        <w:t>5.</w:t>
      </w:r>
      <w:r w:rsidRPr="00C07B2E">
        <w:rPr>
          <w:rFonts w:eastAsia="SimSun"/>
        </w:rPr>
        <w:t xml:space="preserve">1.2 Схемы и режимы применения препаратов для кондиционирования и профилактики РТПХ со ссылками на </w:t>
      </w:r>
      <w:r>
        <w:rPr>
          <w:rFonts w:eastAsia="SimSun"/>
        </w:rPr>
        <w:t>таблицы с описанием</w:t>
      </w:r>
    </w:p>
    <w:p w14:paraId="078130DD" w14:textId="77777777" w:rsidR="00124A26" w:rsidRPr="00C07B2E" w:rsidRDefault="00124A26" w:rsidP="00124A26">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
        <w:gridCol w:w="808"/>
        <w:gridCol w:w="742"/>
        <w:gridCol w:w="1136"/>
        <w:gridCol w:w="959"/>
        <w:gridCol w:w="931"/>
        <w:gridCol w:w="959"/>
        <w:gridCol w:w="839"/>
        <w:gridCol w:w="839"/>
        <w:gridCol w:w="959"/>
        <w:gridCol w:w="960"/>
        <w:gridCol w:w="1143"/>
        <w:gridCol w:w="1260"/>
        <w:gridCol w:w="960"/>
        <w:gridCol w:w="949"/>
      </w:tblGrid>
      <w:tr w:rsidR="00124A26" w:rsidRPr="006A31EC" w14:paraId="22C5593A" w14:textId="77777777" w:rsidTr="002D3EBF">
        <w:trPr>
          <w:cantSplit/>
          <w:trHeight w:val="381"/>
        </w:trPr>
        <w:tc>
          <w:tcPr>
            <w:tcW w:w="1237" w:type="pct"/>
            <w:gridSpan w:val="4"/>
            <w:vMerge w:val="restart"/>
            <w:shd w:val="clear" w:color="auto" w:fill="auto"/>
            <w:vAlign w:val="center"/>
          </w:tcPr>
          <w:p w14:paraId="023C3494" w14:textId="77777777" w:rsidR="00124A26" w:rsidRPr="006A31EC" w:rsidRDefault="00124A26" w:rsidP="002D3EBF">
            <w:pPr>
              <w:ind w:firstLine="0"/>
              <w:rPr>
                <w:rFonts w:eastAsia="SimSun"/>
                <w:sz w:val="22"/>
              </w:rPr>
            </w:pPr>
            <w:r w:rsidRPr="006A31EC">
              <w:rPr>
                <w:rFonts w:eastAsia="SimSun"/>
                <w:sz w:val="22"/>
              </w:rPr>
              <w:t>Профилактика РТПХ</w:t>
            </w:r>
          </w:p>
        </w:tc>
        <w:tc>
          <w:tcPr>
            <w:tcW w:w="3763" w:type="pct"/>
            <w:gridSpan w:val="11"/>
          </w:tcPr>
          <w:p w14:paraId="5AB9BE46" w14:textId="77777777" w:rsidR="00124A26" w:rsidRPr="006A31EC" w:rsidRDefault="00124A26" w:rsidP="002D3EBF">
            <w:pPr>
              <w:ind w:firstLine="0"/>
              <w:rPr>
                <w:rFonts w:eastAsia="SimSun"/>
                <w:sz w:val="22"/>
              </w:rPr>
            </w:pPr>
            <w:r w:rsidRPr="006A31EC">
              <w:rPr>
                <w:rFonts w:eastAsia="SimSun"/>
                <w:sz w:val="22"/>
              </w:rPr>
              <w:t>Режим кондиционирования</w:t>
            </w:r>
          </w:p>
        </w:tc>
      </w:tr>
      <w:tr w:rsidR="00124A26" w:rsidRPr="006A31EC" w14:paraId="0FFD14A4" w14:textId="77777777" w:rsidTr="002D3EBF">
        <w:trPr>
          <w:cantSplit/>
          <w:trHeight w:val="400"/>
        </w:trPr>
        <w:tc>
          <w:tcPr>
            <w:tcW w:w="1237" w:type="pct"/>
            <w:gridSpan w:val="4"/>
            <w:vMerge/>
            <w:shd w:val="clear" w:color="auto" w:fill="auto"/>
            <w:vAlign w:val="center"/>
          </w:tcPr>
          <w:p w14:paraId="07FCCFBB" w14:textId="77777777" w:rsidR="00124A26" w:rsidRPr="006A31EC" w:rsidRDefault="00124A26" w:rsidP="002D3EBF">
            <w:pPr>
              <w:ind w:firstLine="0"/>
              <w:rPr>
                <w:rFonts w:eastAsia="SimSun"/>
                <w:sz w:val="22"/>
                <w:lang w:val="en-US"/>
              </w:rPr>
            </w:pPr>
          </w:p>
        </w:tc>
        <w:tc>
          <w:tcPr>
            <w:tcW w:w="337" w:type="pct"/>
            <w:shd w:val="clear" w:color="auto" w:fill="D9D9D9"/>
            <w:vAlign w:val="center"/>
          </w:tcPr>
          <w:p w14:paraId="08B9DB41" w14:textId="77777777" w:rsidR="00124A26" w:rsidRPr="006A31EC" w:rsidRDefault="00124A26" w:rsidP="002D3EBF">
            <w:pPr>
              <w:ind w:firstLine="0"/>
              <w:rPr>
                <w:rFonts w:eastAsia="SimSun"/>
                <w:sz w:val="22"/>
              </w:rPr>
            </w:pPr>
            <w:r w:rsidRPr="006A31EC">
              <w:rPr>
                <w:rFonts w:eastAsia="SimSun"/>
                <w:sz w:val="22"/>
                <w:lang w:val="en-US"/>
              </w:rPr>
              <w:t>Flu</w:t>
            </w:r>
            <w:r w:rsidRPr="006A31EC">
              <w:rPr>
                <w:rFonts w:eastAsia="SimSun"/>
                <w:sz w:val="22"/>
              </w:rPr>
              <w:t>90</w:t>
            </w:r>
          </w:p>
        </w:tc>
        <w:tc>
          <w:tcPr>
            <w:tcW w:w="312" w:type="pct"/>
            <w:shd w:val="clear" w:color="auto" w:fill="D9D9D9"/>
            <w:vAlign w:val="center"/>
          </w:tcPr>
          <w:p w14:paraId="5D1D076E" w14:textId="77777777" w:rsidR="00124A26" w:rsidRPr="006A31EC" w:rsidRDefault="00124A26" w:rsidP="002D3EBF">
            <w:pPr>
              <w:ind w:firstLine="0"/>
              <w:rPr>
                <w:rFonts w:eastAsia="SimSun"/>
                <w:sz w:val="22"/>
                <w:lang w:val="en-US"/>
              </w:rPr>
            </w:pPr>
            <w:r w:rsidRPr="006A31EC">
              <w:rPr>
                <w:rFonts w:eastAsia="SimSun"/>
                <w:sz w:val="22"/>
                <w:lang w:val="en-US"/>
              </w:rPr>
              <w:t>Flu10</w:t>
            </w:r>
            <w:r w:rsidRPr="006A31EC">
              <w:rPr>
                <w:rFonts w:eastAsia="SimSun"/>
                <w:sz w:val="22"/>
              </w:rPr>
              <w:t>0</w:t>
            </w:r>
          </w:p>
        </w:tc>
        <w:tc>
          <w:tcPr>
            <w:tcW w:w="337" w:type="pct"/>
            <w:shd w:val="clear" w:color="auto" w:fill="D9D9D9"/>
            <w:vAlign w:val="center"/>
          </w:tcPr>
          <w:p w14:paraId="3DB2F75B" w14:textId="77777777" w:rsidR="00124A26" w:rsidRPr="006A31EC" w:rsidRDefault="00124A26" w:rsidP="002D3EBF">
            <w:pPr>
              <w:ind w:firstLine="0"/>
              <w:rPr>
                <w:rFonts w:eastAsia="SimSun"/>
                <w:sz w:val="22"/>
              </w:rPr>
            </w:pPr>
            <w:r w:rsidRPr="006A31EC">
              <w:rPr>
                <w:rFonts w:eastAsia="SimSun"/>
                <w:sz w:val="22"/>
                <w:lang w:val="en-US"/>
              </w:rPr>
              <w:t>Flu1</w:t>
            </w:r>
            <w:r w:rsidRPr="006A31EC">
              <w:rPr>
                <w:rFonts w:eastAsia="SimSun"/>
                <w:sz w:val="22"/>
              </w:rPr>
              <w:t>20</w:t>
            </w:r>
          </w:p>
        </w:tc>
        <w:tc>
          <w:tcPr>
            <w:tcW w:w="1264" w:type="pct"/>
            <w:gridSpan w:val="4"/>
            <w:shd w:val="clear" w:color="auto" w:fill="D9D9D9"/>
            <w:vAlign w:val="center"/>
          </w:tcPr>
          <w:p w14:paraId="15C82338" w14:textId="77777777" w:rsidR="00124A26" w:rsidRPr="006A31EC" w:rsidRDefault="00124A26" w:rsidP="002D3EBF">
            <w:pPr>
              <w:ind w:firstLine="0"/>
              <w:rPr>
                <w:rFonts w:eastAsia="SimSun"/>
                <w:sz w:val="22"/>
              </w:rPr>
            </w:pPr>
            <w:r w:rsidRPr="006A31EC">
              <w:rPr>
                <w:rFonts w:eastAsia="SimSun"/>
                <w:sz w:val="22"/>
                <w:lang w:val="en-US"/>
              </w:rPr>
              <w:t>Flu150</w:t>
            </w:r>
          </w:p>
        </w:tc>
        <w:tc>
          <w:tcPr>
            <w:tcW w:w="1515" w:type="pct"/>
            <w:gridSpan w:val="4"/>
            <w:shd w:val="clear" w:color="auto" w:fill="D9D9D9"/>
            <w:vAlign w:val="center"/>
          </w:tcPr>
          <w:p w14:paraId="39FBE7EC" w14:textId="77777777" w:rsidR="00124A26" w:rsidRPr="006A31EC" w:rsidRDefault="00124A26" w:rsidP="002D3EBF">
            <w:pPr>
              <w:ind w:firstLine="0"/>
              <w:rPr>
                <w:rFonts w:eastAsia="SimSun"/>
                <w:sz w:val="22"/>
                <w:lang w:val="en-US"/>
              </w:rPr>
            </w:pPr>
            <w:r w:rsidRPr="006A31EC">
              <w:rPr>
                <w:rFonts w:eastAsia="SimSun"/>
                <w:sz w:val="22"/>
                <w:lang w:val="en-US"/>
              </w:rPr>
              <w:t>Flu180</w:t>
            </w:r>
          </w:p>
        </w:tc>
      </w:tr>
      <w:tr w:rsidR="00124A26" w:rsidRPr="006A31EC" w14:paraId="23CCDE0F" w14:textId="77777777" w:rsidTr="002D3EBF">
        <w:trPr>
          <w:cantSplit/>
          <w:trHeight w:val="351"/>
        </w:trPr>
        <w:tc>
          <w:tcPr>
            <w:tcW w:w="1237" w:type="pct"/>
            <w:gridSpan w:val="4"/>
            <w:vMerge/>
            <w:shd w:val="clear" w:color="auto" w:fill="auto"/>
            <w:vAlign w:val="center"/>
          </w:tcPr>
          <w:p w14:paraId="7B0D8B20" w14:textId="77777777" w:rsidR="00124A26" w:rsidRPr="006A31EC" w:rsidRDefault="00124A26" w:rsidP="002D3EBF">
            <w:pPr>
              <w:ind w:firstLine="0"/>
              <w:rPr>
                <w:rFonts w:eastAsia="SimSun"/>
                <w:sz w:val="22"/>
                <w:lang w:val="en-US"/>
              </w:rPr>
            </w:pPr>
          </w:p>
        </w:tc>
        <w:tc>
          <w:tcPr>
            <w:tcW w:w="337" w:type="pct"/>
            <w:shd w:val="clear" w:color="auto" w:fill="D9D9D9"/>
            <w:vAlign w:val="center"/>
          </w:tcPr>
          <w:p w14:paraId="519F49A1" w14:textId="77777777" w:rsidR="00124A26" w:rsidRPr="006A31EC" w:rsidRDefault="00124A26" w:rsidP="002D3EBF">
            <w:pPr>
              <w:ind w:firstLine="0"/>
              <w:rPr>
                <w:rFonts w:eastAsia="SimSun"/>
                <w:sz w:val="22"/>
                <w:lang w:val="en-US"/>
              </w:rPr>
            </w:pPr>
            <w:r w:rsidRPr="006A31EC">
              <w:rPr>
                <w:rFonts w:eastAsia="SimSun"/>
                <w:sz w:val="22"/>
                <w:lang w:val="en-US"/>
              </w:rPr>
              <w:t>Benda</w:t>
            </w:r>
          </w:p>
        </w:tc>
        <w:tc>
          <w:tcPr>
            <w:tcW w:w="312" w:type="pct"/>
            <w:shd w:val="clear" w:color="auto" w:fill="D9D9D9"/>
            <w:vAlign w:val="center"/>
          </w:tcPr>
          <w:p w14:paraId="66D87AD4" w14:textId="77777777" w:rsidR="00124A26" w:rsidRPr="006A31EC" w:rsidRDefault="00124A26" w:rsidP="002D3EBF">
            <w:pPr>
              <w:ind w:firstLine="0"/>
              <w:rPr>
                <w:rFonts w:eastAsia="SimSun"/>
                <w:sz w:val="22"/>
                <w:lang w:val="en-US"/>
              </w:rPr>
            </w:pPr>
            <w:r w:rsidRPr="006A31EC">
              <w:rPr>
                <w:rFonts w:eastAsia="SimSun"/>
                <w:sz w:val="22"/>
                <w:lang w:val="en-US"/>
              </w:rPr>
              <w:t>Cy100</w:t>
            </w:r>
          </w:p>
        </w:tc>
        <w:tc>
          <w:tcPr>
            <w:tcW w:w="337" w:type="pct"/>
            <w:shd w:val="clear" w:color="auto" w:fill="D9D9D9"/>
            <w:vAlign w:val="center"/>
          </w:tcPr>
          <w:p w14:paraId="19ED12F3" w14:textId="77777777" w:rsidR="00124A26" w:rsidRPr="006A31EC" w:rsidRDefault="00124A26" w:rsidP="002D3EBF">
            <w:pPr>
              <w:ind w:firstLine="0"/>
              <w:rPr>
                <w:rFonts w:eastAsia="SimSun"/>
                <w:sz w:val="22"/>
                <w:lang w:val="en-US"/>
              </w:rPr>
            </w:pPr>
            <w:r w:rsidRPr="006A31EC">
              <w:rPr>
                <w:rFonts w:eastAsia="SimSun"/>
                <w:sz w:val="22"/>
                <w:lang w:val="en-US"/>
              </w:rPr>
              <w:t>Cy2000</w:t>
            </w:r>
          </w:p>
        </w:tc>
        <w:tc>
          <w:tcPr>
            <w:tcW w:w="590" w:type="pct"/>
            <w:gridSpan w:val="2"/>
            <w:shd w:val="clear" w:color="auto" w:fill="D9D9D9"/>
            <w:vAlign w:val="center"/>
          </w:tcPr>
          <w:p w14:paraId="36FCB863" w14:textId="77777777" w:rsidR="00124A26" w:rsidRPr="006A31EC" w:rsidRDefault="00124A26" w:rsidP="002D3EBF">
            <w:pPr>
              <w:ind w:firstLine="0"/>
              <w:rPr>
                <w:rFonts w:eastAsia="SimSun"/>
                <w:sz w:val="22"/>
                <w:lang w:val="en-US"/>
              </w:rPr>
            </w:pPr>
            <w:r w:rsidRPr="006A31EC">
              <w:rPr>
                <w:rFonts w:eastAsia="SimSun"/>
                <w:sz w:val="22"/>
                <w:lang w:val="en-US"/>
              </w:rPr>
              <w:t>Bu8</w:t>
            </w:r>
          </w:p>
        </w:tc>
        <w:tc>
          <w:tcPr>
            <w:tcW w:w="337" w:type="pct"/>
            <w:shd w:val="clear" w:color="auto" w:fill="D9D9D9"/>
            <w:vAlign w:val="center"/>
          </w:tcPr>
          <w:p w14:paraId="183A8C14" w14:textId="77777777" w:rsidR="00124A26" w:rsidRPr="006A31EC" w:rsidRDefault="00124A26" w:rsidP="002D3EBF">
            <w:pPr>
              <w:ind w:firstLine="0"/>
              <w:rPr>
                <w:rFonts w:eastAsia="SimSun"/>
                <w:sz w:val="22"/>
                <w:lang w:val="en-US"/>
              </w:rPr>
            </w:pPr>
            <w:r w:rsidRPr="006A31EC">
              <w:rPr>
                <w:rFonts w:eastAsia="SimSun"/>
                <w:sz w:val="22"/>
                <w:lang w:val="en-US"/>
              </w:rPr>
              <w:t>-</w:t>
            </w:r>
          </w:p>
        </w:tc>
        <w:tc>
          <w:tcPr>
            <w:tcW w:w="337" w:type="pct"/>
            <w:shd w:val="clear" w:color="auto" w:fill="D9D9D9"/>
            <w:vAlign w:val="center"/>
          </w:tcPr>
          <w:p w14:paraId="191C9424" w14:textId="77777777" w:rsidR="00124A26" w:rsidRPr="006A31EC" w:rsidRDefault="00124A26" w:rsidP="002D3EBF">
            <w:pPr>
              <w:ind w:firstLine="0"/>
              <w:rPr>
                <w:rFonts w:eastAsia="SimSun"/>
                <w:sz w:val="22"/>
                <w:lang w:val="en-US"/>
              </w:rPr>
            </w:pPr>
            <w:r w:rsidRPr="006A31EC">
              <w:rPr>
                <w:rFonts w:eastAsia="SimSun"/>
                <w:sz w:val="22"/>
                <w:lang w:val="en-US"/>
              </w:rPr>
              <w:t>-</w:t>
            </w:r>
          </w:p>
        </w:tc>
        <w:tc>
          <w:tcPr>
            <w:tcW w:w="401" w:type="pct"/>
            <w:shd w:val="clear" w:color="auto" w:fill="D9D9D9"/>
            <w:vAlign w:val="center"/>
          </w:tcPr>
          <w:p w14:paraId="786BD761" w14:textId="77777777" w:rsidR="00124A26" w:rsidRPr="006A31EC" w:rsidRDefault="00124A26" w:rsidP="002D3EBF">
            <w:pPr>
              <w:ind w:firstLine="0"/>
              <w:rPr>
                <w:rFonts w:eastAsia="SimSun"/>
                <w:sz w:val="22"/>
                <w:lang w:val="en-US"/>
              </w:rPr>
            </w:pPr>
            <w:r w:rsidRPr="006A31EC">
              <w:rPr>
                <w:rFonts w:eastAsia="SimSun"/>
                <w:sz w:val="22"/>
                <w:lang w:val="en-US"/>
              </w:rPr>
              <w:t>Bu8</w:t>
            </w:r>
          </w:p>
        </w:tc>
        <w:tc>
          <w:tcPr>
            <w:tcW w:w="442" w:type="pct"/>
            <w:shd w:val="clear" w:color="auto" w:fill="D9D9D9"/>
            <w:vAlign w:val="center"/>
          </w:tcPr>
          <w:p w14:paraId="5C32AE2E" w14:textId="77777777" w:rsidR="00124A26" w:rsidRPr="006A31EC" w:rsidRDefault="00124A26" w:rsidP="002D3EBF">
            <w:pPr>
              <w:ind w:firstLine="0"/>
              <w:rPr>
                <w:rFonts w:eastAsia="SimSun"/>
                <w:sz w:val="22"/>
                <w:lang w:val="en-US"/>
              </w:rPr>
            </w:pPr>
            <w:r w:rsidRPr="006A31EC">
              <w:rPr>
                <w:rFonts w:eastAsia="SimSun"/>
                <w:sz w:val="22"/>
                <w:lang w:val="en-US"/>
              </w:rPr>
              <w:t>Bu10</w:t>
            </w:r>
          </w:p>
        </w:tc>
        <w:tc>
          <w:tcPr>
            <w:tcW w:w="337" w:type="pct"/>
            <w:shd w:val="clear" w:color="auto" w:fill="D9D9D9"/>
            <w:vAlign w:val="center"/>
          </w:tcPr>
          <w:p w14:paraId="1F5103FD" w14:textId="77777777" w:rsidR="00124A26" w:rsidRPr="006A31EC" w:rsidRDefault="00124A26" w:rsidP="002D3EBF">
            <w:pPr>
              <w:ind w:firstLine="0"/>
              <w:rPr>
                <w:rFonts w:eastAsia="SimSun"/>
                <w:sz w:val="22"/>
                <w:lang w:val="en-US"/>
              </w:rPr>
            </w:pPr>
            <w:r w:rsidRPr="006A31EC">
              <w:rPr>
                <w:rFonts w:eastAsia="SimSun"/>
                <w:sz w:val="22"/>
                <w:lang w:val="en-US"/>
              </w:rPr>
              <w:t>Cy</w:t>
            </w:r>
            <w:r w:rsidRPr="006A31EC">
              <w:rPr>
                <w:rFonts w:eastAsia="SimSun"/>
                <w:sz w:val="22"/>
              </w:rPr>
              <w:t>12</w:t>
            </w:r>
            <w:r w:rsidRPr="006A31EC">
              <w:rPr>
                <w:rFonts w:eastAsia="SimSun"/>
                <w:sz w:val="22"/>
                <w:lang w:val="en-US"/>
              </w:rPr>
              <w:t>00</w:t>
            </w:r>
          </w:p>
        </w:tc>
        <w:tc>
          <w:tcPr>
            <w:tcW w:w="337" w:type="pct"/>
            <w:shd w:val="clear" w:color="auto" w:fill="D9D9D9"/>
            <w:vAlign w:val="center"/>
          </w:tcPr>
          <w:p w14:paraId="0212BC42" w14:textId="77777777" w:rsidR="00124A26" w:rsidRPr="006A31EC" w:rsidRDefault="00124A26" w:rsidP="002D3EBF">
            <w:pPr>
              <w:ind w:firstLine="0"/>
              <w:rPr>
                <w:rFonts w:eastAsia="SimSun"/>
                <w:sz w:val="22"/>
                <w:lang w:val="en-US"/>
              </w:rPr>
            </w:pPr>
            <w:r w:rsidRPr="006A31EC">
              <w:rPr>
                <w:rFonts w:eastAsia="SimSun"/>
                <w:sz w:val="22"/>
                <w:lang w:val="en-US"/>
              </w:rPr>
              <w:t>Mel100</w:t>
            </w:r>
          </w:p>
        </w:tc>
      </w:tr>
      <w:tr w:rsidR="00124A26" w:rsidRPr="006A31EC" w14:paraId="6DBB3FE6" w14:textId="77777777" w:rsidTr="002D3EBF">
        <w:trPr>
          <w:cantSplit/>
          <w:trHeight w:val="354"/>
        </w:trPr>
        <w:tc>
          <w:tcPr>
            <w:tcW w:w="1237" w:type="pct"/>
            <w:gridSpan w:val="4"/>
            <w:vMerge/>
            <w:shd w:val="clear" w:color="auto" w:fill="auto"/>
            <w:vAlign w:val="center"/>
          </w:tcPr>
          <w:p w14:paraId="056FB421" w14:textId="77777777" w:rsidR="00124A26" w:rsidRPr="006A31EC" w:rsidRDefault="00124A26" w:rsidP="002D3EBF">
            <w:pPr>
              <w:ind w:firstLine="0"/>
              <w:rPr>
                <w:rFonts w:eastAsia="SimSun"/>
                <w:sz w:val="22"/>
                <w:lang w:val="en-US"/>
              </w:rPr>
            </w:pPr>
          </w:p>
        </w:tc>
        <w:tc>
          <w:tcPr>
            <w:tcW w:w="337" w:type="pct"/>
            <w:shd w:val="clear" w:color="auto" w:fill="D9D9D9"/>
            <w:vAlign w:val="center"/>
          </w:tcPr>
          <w:p w14:paraId="295E15D4" w14:textId="77777777" w:rsidR="00124A26" w:rsidRPr="006A31EC" w:rsidRDefault="00124A26" w:rsidP="002D3EBF">
            <w:pPr>
              <w:ind w:firstLine="0"/>
              <w:rPr>
                <w:rFonts w:eastAsia="SimSun"/>
                <w:sz w:val="22"/>
                <w:lang w:val="en-US"/>
              </w:rPr>
            </w:pPr>
            <w:r w:rsidRPr="006A31EC">
              <w:rPr>
                <w:rFonts w:eastAsia="SimSun"/>
                <w:sz w:val="22"/>
                <w:lang w:val="en-US"/>
              </w:rPr>
              <w:t>-</w:t>
            </w:r>
          </w:p>
        </w:tc>
        <w:tc>
          <w:tcPr>
            <w:tcW w:w="312" w:type="pct"/>
            <w:shd w:val="clear" w:color="auto" w:fill="D9D9D9"/>
          </w:tcPr>
          <w:p w14:paraId="19783691" w14:textId="77777777" w:rsidR="00124A26" w:rsidRPr="006A31EC" w:rsidRDefault="00124A26" w:rsidP="002D3EBF">
            <w:pPr>
              <w:ind w:firstLine="0"/>
              <w:rPr>
                <w:rFonts w:eastAsia="SimSun"/>
                <w:sz w:val="22"/>
                <w:lang w:val="en-US"/>
              </w:rPr>
            </w:pPr>
          </w:p>
        </w:tc>
        <w:tc>
          <w:tcPr>
            <w:tcW w:w="337" w:type="pct"/>
            <w:shd w:val="clear" w:color="auto" w:fill="D9D9D9"/>
            <w:vAlign w:val="center"/>
          </w:tcPr>
          <w:p w14:paraId="33D21645" w14:textId="77777777" w:rsidR="00124A26" w:rsidRPr="006A31EC" w:rsidRDefault="00124A26" w:rsidP="002D3EBF">
            <w:pPr>
              <w:ind w:firstLine="0"/>
              <w:rPr>
                <w:rFonts w:eastAsia="SimSun"/>
                <w:sz w:val="22"/>
                <w:lang w:val="en-US"/>
              </w:rPr>
            </w:pPr>
            <w:r w:rsidRPr="006A31EC">
              <w:rPr>
                <w:rFonts w:eastAsia="SimSun"/>
                <w:sz w:val="22"/>
                <w:lang w:val="en-US"/>
              </w:rPr>
              <w:t>Mel 140</w:t>
            </w:r>
          </w:p>
        </w:tc>
        <w:tc>
          <w:tcPr>
            <w:tcW w:w="295" w:type="pct"/>
            <w:shd w:val="clear" w:color="auto" w:fill="D9D9D9"/>
          </w:tcPr>
          <w:p w14:paraId="1DAD1462" w14:textId="77777777" w:rsidR="00124A26" w:rsidRPr="006A31EC" w:rsidRDefault="00124A26" w:rsidP="002D3EBF">
            <w:pPr>
              <w:ind w:firstLine="0"/>
              <w:rPr>
                <w:rFonts w:eastAsia="SimSun"/>
                <w:sz w:val="22"/>
                <w:lang w:val="en-US"/>
              </w:rPr>
            </w:pPr>
            <w:r w:rsidRPr="006A31EC">
              <w:rPr>
                <w:rFonts w:eastAsia="SimSun"/>
                <w:sz w:val="22"/>
                <w:lang w:val="en-US"/>
              </w:rPr>
              <w:t>-</w:t>
            </w:r>
          </w:p>
        </w:tc>
        <w:tc>
          <w:tcPr>
            <w:tcW w:w="295" w:type="pct"/>
            <w:shd w:val="clear" w:color="auto" w:fill="D9D9D9"/>
            <w:vAlign w:val="center"/>
          </w:tcPr>
          <w:p w14:paraId="13F3B9BD" w14:textId="77777777" w:rsidR="00124A26" w:rsidRPr="006A31EC" w:rsidRDefault="00124A26" w:rsidP="002D3EBF">
            <w:pPr>
              <w:ind w:firstLine="0"/>
              <w:rPr>
                <w:rFonts w:eastAsia="SimSun"/>
                <w:sz w:val="22"/>
                <w:lang w:val="en-US"/>
              </w:rPr>
            </w:pPr>
            <w:r w:rsidRPr="006A31EC">
              <w:rPr>
                <w:rFonts w:eastAsia="SimSun"/>
                <w:sz w:val="22"/>
                <w:lang w:val="en-US"/>
              </w:rPr>
              <w:t>Thio</w:t>
            </w:r>
          </w:p>
        </w:tc>
        <w:tc>
          <w:tcPr>
            <w:tcW w:w="337" w:type="pct"/>
            <w:shd w:val="clear" w:color="auto" w:fill="D9D9D9"/>
            <w:vAlign w:val="center"/>
          </w:tcPr>
          <w:p w14:paraId="08293BBD" w14:textId="77777777" w:rsidR="00124A26" w:rsidRPr="006A31EC" w:rsidRDefault="00124A26" w:rsidP="002D3EBF">
            <w:pPr>
              <w:ind w:firstLine="0"/>
              <w:rPr>
                <w:rFonts w:eastAsia="SimSun"/>
                <w:sz w:val="22"/>
                <w:lang w:val="en-US"/>
              </w:rPr>
            </w:pPr>
            <w:r w:rsidRPr="006A31EC">
              <w:rPr>
                <w:rFonts w:eastAsia="SimSun"/>
                <w:sz w:val="22"/>
                <w:lang w:val="en-US"/>
              </w:rPr>
              <w:t>Treo36</w:t>
            </w:r>
          </w:p>
        </w:tc>
        <w:tc>
          <w:tcPr>
            <w:tcW w:w="337" w:type="pct"/>
            <w:shd w:val="clear" w:color="auto" w:fill="D9D9D9"/>
            <w:vAlign w:val="center"/>
          </w:tcPr>
          <w:p w14:paraId="30E57E5A" w14:textId="77777777" w:rsidR="00124A26" w:rsidRPr="006A31EC" w:rsidRDefault="00124A26" w:rsidP="002D3EBF">
            <w:pPr>
              <w:ind w:firstLine="0"/>
              <w:rPr>
                <w:rFonts w:eastAsia="SimSun"/>
                <w:sz w:val="22"/>
                <w:lang w:val="en-US"/>
              </w:rPr>
            </w:pPr>
            <w:r w:rsidRPr="006A31EC">
              <w:rPr>
                <w:rFonts w:eastAsia="SimSun"/>
                <w:sz w:val="22"/>
                <w:lang w:val="en-US"/>
              </w:rPr>
              <w:t>Thio</w:t>
            </w:r>
          </w:p>
        </w:tc>
        <w:tc>
          <w:tcPr>
            <w:tcW w:w="401" w:type="pct"/>
            <w:shd w:val="clear" w:color="auto" w:fill="D9D9D9"/>
            <w:vAlign w:val="center"/>
          </w:tcPr>
          <w:p w14:paraId="6F2D217A" w14:textId="77777777" w:rsidR="00124A26" w:rsidRPr="006A31EC" w:rsidRDefault="00124A26" w:rsidP="002D3EBF">
            <w:pPr>
              <w:ind w:firstLine="0"/>
              <w:rPr>
                <w:rFonts w:eastAsia="SimSun"/>
                <w:sz w:val="22"/>
                <w:lang w:val="en-US"/>
              </w:rPr>
            </w:pPr>
            <w:r w:rsidRPr="006A31EC">
              <w:rPr>
                <w:rFonts w:eastAsia="SimSun"/>
                <w:sz w:val="22"/>
                <w:lang w:val="en-US"/>
              </w:rPr>
              <w:t>-</w:t>
            </w:r>
          </w:p>
        </w:tc>
        <w:tc>
          <w:tcPr>
            <w:tcW w:w="442" w:type="pct"/>
            <w:shd w:val="clear" w:color="auto" w:fill="D9D9D9"/>
            <w:vAlign w:val="center"/>
          </w:tcPr>
          <w:p w14:paraId="316A3CE8" w14:textId="77777777" w:rsidR="00124A26" w:rsidRPr="006A31EC" w:rsidRDefault="00124A26" w:rsidP="002D3EBF">
            <w:pPr>
              <w:ind w:firstLine="0"/>
              <w:rPr>
                <w:rFonts w:eastAsia="SimSun"/>
                <w:sz w:val="22"/>
                <w:lang w:val="en-US"/>
              </w:rPr>
            </w:pPr>
            <w:r w:rsidRPr="006A31EC">
              <w:rPr>
                <w:rFonts w:eastAsia="SimSun"/>
                <w:sz w:val="22"/>
                <w:lang w:val="en-US"/>
              </w:rPr>
              <w:t>-</w:t>
            </w:r>
          </w:p>
        </w:tc>
        <w:tc>
          <w:tcPr>
            <w:tcW w:w="337" w:type="pct"/>
            <w:shd w:val="clear" w:color="auto" w:fill="D9D9D9"/>
            <w:vAlign w:val="center"/>
          </w:tcPr>
          <w:p w14:paraId="53AF6639" w14:textId="77777777" w:rsidR="00124A26" w:rsidRPr="006A31EC" w:rsidRDefault="00124A26" w:rsidP="002D3EBF">
            <w:pPr>
              <w:ind w:firstLine="0"/>
              <w:rPr>
                <w:rFonts w:eastAsia="SimSun"/>
                <w:sz w:val="22"/>
                <w:lang w:val="en-US"/>
              </w:rPr>
            </w:pPr>
            <w:r w:rsidRPr="006A31EC">
              <w:rPr>
                <w:rFonts w:eastAsia="SimSun"/>
                <w:sz w:val="22"/>
                <w:lang w:val="en-US"/>
              </w:rPr>
              <w:t>-</w:t>
            </w:r>
          </w:p>
        </w:tc>
        <w:tc>
          <w:tcPr>
            <w:tcW w:w="337" w:type="pct"/>
            <w:shd w:val="clear" w:color="auto" w:fill="D9D9D9"/>
          </w:tcPr>
          <w:p w14:paraId="0AF17FA9" w14:textId="77777777" w:rsidR="00124A26" w:rsidRPr="006A31EC" w:rsidRDefault="00124A26" w:rsidP="002D3EBF">
            <w:pPr>
              <w:ind w:firstLine="0"/>
              <w:rPr>
                <w:rFonts w:eastAsia="SimSun"/>
                <w:sz w:val="22"/>
                <w:lang w:val="en-US"/>
              </w:rPr>
            </w:pPr>
          </w:p>
        </w:tc>
      </w:tr>
      <w:tr w:rsidR="00124A26" w:rsidRPr="006A31EC" w14:paraId="444E1316" w14:textId="77777777" w:rsidTr="002D3EBF">
        <w:trPr>
          <w:cantSplit/>
          <w:trHeight w:val="624"/>
        </w:trPr>
        <w:tc>
          <w:tcPr>
            <w:tcW w:w="293" w:type="pct"/>
            <w:vMerge w:val="restart"/>
            <w:shd w:val="clear" w:color="auto" w:fill="D9D9D9"/>
            <w:vAlign w:val="center"/>
          </w:tcPr>
          <w:p w14:paraId="438F3BA9" w14:textId="77777777" w:rsidR="00124A26" w:rsidRPr="006A31EC" w:rsidRDefault="00124A26" w:rsidP="002D3EBF">
            <w:pPr>
              <w:ind w:firstLine="0"/>
              <w:rPr>
                <w:rFonts w:eastAsia="SimSun"/>
                <w:sz w:val="22"/>
                <w:lang w:val="en-US"/>
              </w:rPr>
            </w:pPr>
            <w:r w:rsidRPr="006A31EC">
              <w:rPr>
                <w:rFonts w:eastAsia="SimSun"/>
                <w:sz w:val="22"/>
                <w:lang w:val="en-US"/>
              </w:rPr>
              <w:t>hATG</w:t>
            </w:r>
          </w:p>
        </w:tc>
        <w:tc>
          <w:tcPr>
            <w:tcW w:w="284" w:type="pct"/>
            <w:vMerge w:val="restart"/>
            <w:shd w:val="clear" w:color="auto" w:fill="D9D9D9"/>
            <w:vAlign w:val="center"/>
          </w:tcPr>
          <w:p w14:paraId="68F0ABD1" w14:textId="77777777" w:rsidR="00124A26" w:rsidRPr="006A31EC" w:rsidRDefault="00124A26" w:rsidP="002D3EBF">
            <w:pPr>
              <w:ind w:firstLine="0"/>
              <w:rPr>
                <w:rFonts w:eastAsia="SimSun"/>
                <w:sz w:val="22"/>
                <w:lang w:val="en-US"/>
              </w:rPr>
            </w:pPr>
            <w:r w:rsidRPr="006A31EC">
              <w:rPr>
                <w:rFonts w:eastAsia="SimSun"/>
                <w:sz w:val="22"/>
                <w:lang w:val="en-US"/>
              </w:rPr>
              <w:t>CSA</w:t>
            </w:r>
          </w:p>
        </w:tc>
        <w:tc>
          <w:tcPr>
            <w:tcW w:w="261" w:type="pct"/>
            <w:vMerge w:val="restart"/>
            <w:shd w:val="clear" w:color="auto" w:fill="D9D9D9"/>
            <w:vAlign w:val="center"/>
          </w:tcPr>
          <w:p w14:paraId="73FC6091" w14:textId="77777777" w:rsidR="00124A26" w:rsidRPr="006A31EC" w:rsidRDefault="00124A26" w:rsidP="002D3EBF">
            <w:pPr>
              <w:ind w:firstLine="0"/>
              <w:rPr>
                <w:rFonts w:eastAsia="SimSun"/>
                <w:sz w:val="22"/>
                <w:lang w:val="en-US"/>
              </w:rPr>
            </w:pPr>
            <w:r w:rsidRPr="006A31EC">
              <w:rPr>
                <w:rFonts w:eastAsia="SimSun"/>
                <w:sz w:val="22"/>
                <w:lang w:val="en-US"/>
              </w:rPr>
              <w:t>MTX</w:t>
            </w:r>
          </w:p>
        </w:tc>
        <w:tc>
          <w:tcPr>
            <w:tcW w:w="398" w:type="pct"/>
            <w:shd w:val="clear" w:color="auto" w:fill="D9D9D9"/>
            <w:vAlign w:val="center"/>
          </w:tcPr>
          <w:p w14:paraId="34118D3E" w14:textId="77777777" w:rsidR="00124A26" w:rsidRPr="006A31EC" w:rsidRDefault="00124A26" w:rsidP="002D3EBF">
            <w:pPr>
              <w:ind w:firstLine="0"/>
              <w:rPr>
                <w:rFonts w:eastAsia="SimSun"/>
                <w:sz w:val="22"/>
                <w:lang w:val="en-US"/>
              </w:rPr>
            </w:pPr>
            <w:r w:rsidRPr="006A31EC">
              <w:rPr>
                <w:rFonts w:eastAsia="SimSun"/>
                <w:sz w:val="22"/>
                <w:lang w:val="en-US"/>
              </w:rPr>
              <w:t>-</w:t>
            </w:r>
          </w:p>
        </w:tc>
        <w:tc>
          <w:tcPr>
            <w:tcW w:w="337" w:type="pct"/>
            <w:shd w:val="clear" w:color="auto" w:fill="auto"/>
            <w:vAlign w:val="center"/>
          </w:tcPr>
          <w:p w14:paraId="20645306" w14:textId="77777777" w:rsidR="00124A26" w:rsidRPr="006A31EC" w:rsidRDefault="00124A26" w:rsidP="002D3EBF">
            <w:pPr>
              <w:ind w:firstLine="0"/>
              <w:rPr>
                <w:rFonts w:eastAsia="SimSun"/>
                <w:sz w:val="22"/>
                <w:lang w:val="en-US"/>
              </w:rPr>
            </w:pPr>
          </w:p>
        </w:tc>
        <w:tc>
          <w:tcPr>
            <w:tcW w:w="312" w:type="pct"/>
            <w:vAlign w:val="center"/>
          </w:tcPr>
          <w:p w14:paraId="43D1DC4E" w14:textId="77777777" w:rsidR="00124A26" w:rsidRPr="006A31EC" w:rsidRDefault="00124A26" w:rsidP="002D3EBF">
            <w:pPr>
              <w:ind w:firstLine="0"/>
              <w:rPr>
                <w:rFonts w:eastAsia="SimSun"/>
                <w:sz w:val="22"/>
              </w:rPr>
            </w:pPr>
            <w:r w:rsidRPr="006A31EC">
              <w:rPr>
                <w:rFonts w:eastAsia="SimSun"/>
                <w:sz w:val="22"/>
                <w:lang w:val="en-US"/>
              </w:rPr>
              <w:t>5.1.2.</w:t>
            </w:r>
            <w:r w:rsidRPr="006A31EC">
              <w:rPr>
                <w:rFonts w:eastAsia="SimSun"/>
                <w:sz w:val="22"/>
              </w:rPr>
              <w:t>18</w:t>
            </w:r>
          </w:p>
        </w:tc>
        <w:tc>
          <w:tcPr>
            <w:tcW w:w="337" w:type="pct"/>
            <w:shd w:val="clear" w:color="auto" w:fill="auto"/>
            <w:vAlign w:val="center"/>
          </w:tcPr>
          <w:p w14:paraId="64FD6EFB" w14:textId="77777777" w:rsidR="00124A26" w:rsidRPr="006A31EC" w:rsidRDefault="00124A26" w:rsidP="002D3EBF">
            <w:pPr>
              <w:ind w:firstLine="0"/>
              <w:rPr>
                <w:rFonts w:eastAsia="SimSun"/>
                <w:sz w:val="22"/>
                <w:lang w:val="en-US"/>
              </w:rPr>
            </w:pPr>
          </w:p>
        </w:tc>
        <w:tc>
          <w:tcPr>
            <w:tcW w:w="295" w:type="pct"/>
            <w:shd w:val="clear" w:color="auto" w:fill="auto"/>
            <w:vAlign w:val="center"/>
          </w:tcPr>
          <w:p w14:paraId="69977A6F" w14:textId="77777777" w:rsidR="00124A26" w:rsidRPr="006A31EC" w:rsidRDefault="00124A26" w:rsidP="002D3EBF">
            <w:pPr>
              <w:ind w:firstLine="0"/>
              <w:rPr>
                <w:rFonts w:eastAsia="SimSun"/>
                <w:sz w:val="22"/>
                <w:lang w:val="en-US"/>
              </w:rPr>
            </w:pPr>
          </w:p>
        </w:tc>
        <w:tc>
          <w:tcPr>
            <w:tcW w:w="295" w:type="pct"/>
            <w:shd w:val="clear" w:color="auto" w:fill="auto"/>
            <w:vAlign w:val="center"/>
          </w:tcPr>
          <w:p w14:paraId="7340D9B3" w14:textId="77777777" w:rsidR="00124A26" w:rsidRPr="006A31EC" w:rsidRDefault="00124A26" w:rsidP="002D3EBF">
            <w:pPr>
              <w:ind w:firstLine="0"/>
              <w:rPr>
                <w:rFonts w:eastAsia="SimSun"/>
                <w:sz w:val="22"/>
                <w:lang w:val="en-US"/>
              </w:rPr>
            </w:pPr>
          </w:p>
        </w:tc>
        <w:tc>
          <w:tcPr>
            <w:tcW w:w="337" w:type="pct"/>
            <w:shd w:val="clear" w:color="auto" w:fill="auto"/>
            <w:vAlign w:val="center"/>
          </w:tcPr>
          <w:p w14:paraId="19EC9F04" w14:textId="77777777" w:rsidR="00124A26" w:rsidRPr="006A31EC" w:rsidRDefault="00124A26" w:rsidP="002D3EBF">
            <w:pPr>
              <w:ind w:firstLine="0"/>
              <w:rPr>
                <w:rFonts w:eastAsia="SimSun"/>
                <w:sz w:val="22"/>
                <w:lang w:val="en-US"/>
              </w:rPr>
            </w:pPr>
          </w:p>
        </w:tc>
        <w:tc>
          <w:tcPr>
            <w:tcW w:w="337" w:type="pct"/>
            <w:shd w:val="clear" w:color="auto" w:fill="auto"/>
            <w:vAlign w:val="center"/>
          </w:tcPr>
          <w:p w14:paraId="259D2104" w14:textId="77777777" w:rsidR="00124A26" w:rsidRPr="006A31EC" w:rsidRDefault="00124A26" w:rsidP="002D3EBF">
            <w:pPr>
              <w:ind w:firstLine="0"/>
              <w:rPr>
                <w:sz w:val="22"/>
              </w:rPr>
            </w:pPr>
          </w:p>
        </w:tc>
        <w:tc>
          <w:tcPr>
            <w:tcW w:w="401" w:type="pct"/>
            <w:shd w:val="clear" w:color="auto" w:fill="auto"/>
            <w:vAlign w:val="center"/>
          </w:tcPr>
          <w:p w14:paraId="180851A6" w14:textId="77777777" w:rsidR="00124A26" w:rsidRPr="006A31EC" w:rsidRDefault="00124A26" w:rsidP="002D3EBF">
            <w:pPr>
              <w:ind w:firstLine="0"/>
              <w:rPr>
                <w:sz w:val="22"/>
              </w:rPr>
            </w:pPr>
          </w:p>
        </w:tc>
        <w:tc>
          <w:tcPr>
            <w:tcW w:w="442" w:type="pct"/>
            <w:shd w:val="clear" w:color="auto" w:fill="auto"/>
            <w:vAlign w:val="center"/>
          </w:tcPr>
          <w:p w14:paraId="123113D1" w14:textId="77777777" w:rsidR="00124A26" w:rsidRPr="006A31EC" w:rsidRDefault="00124A26" w:rsidP="002D3EBF">
            <w:pPr>
              <w:ind w:firstLine="0"/>
              <w:rPr>
                <w:rFonts w:eastAsia="SimSun"/>
                <w:sz w:val="22"/>
                <w:lang w:val="en-US"/>
              </w:rPr>
            </w:pPr>
          </w:p>
        </w:tc>
        <w:tc>
          <w:tcPr>
            <w:tcW w:w="337" w:type="pct"/>
            <w:shd w:val="clear" w:color="auto" w:fill="auto"/>
            <w:vAlign w:val="center"/>
          </w:tcPr>
          <w:p w14:paraId="7FD1E97A" w14:textId="77777777" w:rsidR="00124A26" w:rsidRPr="006A31EC" w:rsidRDefault="00124A26" w:rsidP="002D3EBF">
            <w:pPr>
              <w:ind w:firstLine="0"/>
              <w:rPr>
                <w:rFonts w:eastAsia="SimSun"/>
                <w:sz w:val="22"/>
                <w:lang w:val="en-US"/>
              </w:rPr>
            </w:pPr>
          </w:p>
        </w:tc>
        <w:tc>
          <w:tcPr>
            <w:tcW w:w="337" w:type="pct"/>
          </w:tcPr>
          <w:p w14:paraId="32F6E222" w14:textId="77777777" w:rsidR="00124A26" w:rsidRPr="006A31EC" w:rsidRDefault="00124A26" w:rsidP="002D3EBF">
            <w:pPr>
              <w:ind w:firstLine="0"/>
              <w:rPr>
                <w:rFonts w:eastAsia="SimSun"/>
                <w:sz w:val="22"/>
                <w:lang w:val="en-US"/>
              </w:rPr>
            </w:pPr>
          </w:p>
        </w:tc>
      </w:tr>
      <w:tr w:rsidR="00124A26" w:rsidRPr="006A31EC" w14:paraId="4D797A3C" w14:textId="77777777" w:rsidTr="002D3EBF">
        <w:trPr>
          <w:cantSplit/>
          <w:trHeight w:val="624"/>
        </w:trPr>
        <w:tc>
          <w:tcPr>
            <w:tcW w:w="293" w:type="pct"/>
            <w:vMerge/>
            <w:shd w:val="clear" w:color="auto" w:fill="D9D9D9"/>
            <w:vAlign w:val="center"/>
          </w:tcPr>
          <w:p w14:paraId="023EF994" w14:textId="77777777" w:rsidR="00124A26" w:rsidRPr="006A31EC" w:rsidRDefault="00124A26" w:rsidP="002D3EBF">
            <w:pPr>
              <w:ind w:firstLine="0"/>
              <w:rPr>
                <w:rFonts w:eastAsia="SimSun"/>
                <w:sz w:val="22"/>
                <w:lang w:val="en-US"/>
              </w:rPr>
            </w:pPr>
          </w:p>
        </w:tc>
        <w:tc>
          <w:tcPr>
            <w:tcW w:w="284" w:type="pct"/>
            <w:vMerge/>
            <w:shd w:val="clear" w:color="auto" w:fill="D9D9D9"/>
            <w:vAlign w:val="center"/>
          </w:tcPr>
          <w:p w14:paraId="44F95A4A" w14:textId="77777777" w:rsidR="00124A26" w:rsidRPr="006A31EC" w:rsidRDefault="00124A26" w:rsidP="002D3EBF">
            <w:pPr>
              <w:ind w:firstLine="0"/>
              <w:rPr>
                <w:rFonts w:eastAsia="SimSun"/>
                <w:sz w:val="22"/>
                <w:lang w:val="en-US"/>
              </w:rPr>
            </w:pPr>
          </w:p>
        </w:tc>
        <w:tc>
          <w:tcPr>
            <w:tcW w:w="261" w:type="pct"/>
            <w:vMerge/>
            <w:shd w:val="clear" w:color="auto" w:fill="D9D9D9"/>
            <w:vAlign w:val="center"/>
          </w:tcPr>
          <w:p w14:paraId="2D099337" w14:textId="77777777" w:rsidR="00124A26" w:rsidRPr="006A31EC" w:rsidRDefault="00124A26" w:rsidP="002D3EBF">
            <w:pPr>
              <w:ind w:firstLine="0"/>
              <w:rPr>
                <w:rFonts w:eastAsia="SimSun"/>
                <w:sz w:val="22"/>
                <w:lang w:val="en-US"/>
              </w:rPr>
            </w:pPr>
          </w:p>
        </w:tc>
        <w:tc>
          <w:tcPr>
            <w:tcW w:w="398" w:type="pct"/>
            <w:shd w:val="clear" w:color="auto" w:fill="D9D9D9"/>
            <w:vAlign w:val="center"/>
          </w:tcPr>
          <w:p w14:paraId="636176A7" w14:textId="77777777" w:rsidR="00124A26" w:rsidRPr="006A31EC" w:rsidRDefault="00124A26" w:rsidP="002D3EBF">
            <w:pPr>
              <w:ind w:firstLine="0"/>
              <w:rPr>
                <w:rFonts w:eastAsia="SimSun"/>
                <w:sz w:val="22"/>
                <w:lang w:val="en-US"/>
              </w:rPr>
            </w:pPr>
            <w:r w:rsidRPr="006A31EC">
              <w:rPr>
                <w:rFonts w:eastAsia="SimSun"/>
                <w:sz w:val="22"/>
                <w:lang w:val="en-US"/>
              </w:rPr>
              <w:t>MMF30</w:t>
            </w:r>
          </w:p>
        </w:tc>
        <w:tc>
          <w:tcPr>
            <w:tcW w:w="337" w:type="pct"/>
            <w:shd w:val="clear" w:color="auto" w:fill="auto"/>
            <w:vAlign w:val="center"/>
          </w:tcPr>
          <w:p w14:paraId="2D11BE0F" w14:textId="77777777" w:rsidR="00124A26" w:rsidRPr="006A31EC" w:rsidRDefault="00124A26" w:rsidP="002D3EBF">
            <w:pPr>
              <w:ind w:firstLine="0"/>
              <w:rPr>
                <w:sz w:val="22"/>
              </w:rPr>
            </w:pPr>
            <w:r w:rsidRPr="006A31EC">
              <w:rPr>
                <w:rFonts w:eastAsia="SimSun"/>
                <w:sz w:val="22"/>
                <w:lang w:val="en-US"/>
              </w:rPr>
              <w:t>-</w:t>
            </w:r>
          </w:p>
        </w:tc>
        <w:tc>
          <w:tcPr>
            <w:tcW w:w="312" w:type="pct"/>
          </w:tcPr>
          <w:p w14:paraId="1CB513AD" w14:textId="77777777" w:rsidR="00124A26" w:rsidRPr="006A31EC" w:rsidRDefault="00124A26" w:rsidP="002D3EBF">
            <w:pPr>
              <w:ind w:firstLine="0"/>
              <w:rPr>
                <w:rFonts w:eastAsia="SimSun"/>
                <w:sz w:val="22"/>
                <w:lang w:val="en-US"/>
              </w:rPr>
            </w:pPr>
          </w:p>
        </w:tc>
        <w:tc>
          <w:tcPr>
            <w:tcW w:w="337" w:type="pct"/>
            <w:shd w:val="clear" w:color="auto" w:fill="auto"/>
            <w:vAlign w:val="center"/>
          </w:tcPr>
          <w:p w14:paraId="69C09F99" w14:textId="77777777" w:rsidR="00124A26" w:rsidRPr="006A31EC" w:rsidRDefault="00124A26" w:rsidP="002D3EBF">
            <w:pPr>
              <w:ind w:firstLine="0"/>
              <w:rPr>
                <w:sz w:val="22"/>
              </w:rPr>
            </w:pPr>
            <w:r w:rsidRPr="006A31EC">
              <w:rPr>
                <w:rFonts w:eastAsia="SimSun"/>
                <w:sz w:val="22"/>
                <w:lang w:val="en-US"/>
              </w:rPr>
              <w:t>-</w:t>
            </w:r>
          </w:p>
        </w:tc>
        <w:tc>
          <w:tcPr>
            <w:tcW w:w="295" w:type="pct"/>
            <w:shd w:val="clear" w:color="auto" w:fill="auto"/>
            <w:vAlign w:val="center"/>
          </w:tcPr>
          <w:p w14:paraId="1DB7A2ED" w14:textId="77777777" w:rsidR="00124A26" w:rsidRPr="006A31EC" w:rsidRDefault="00124A26" w:rsidP="002D3EBF">
            <w:pPr>
              <w:ind w:firstLine="0"/>
              <w:rPr>
                <w:sz w:val="22"/>
              </w:rPr>
            </w:pPr>
            <w:r w:rsidRPr="006A31EC">
              <w:rPr>
                <w:rFonts w:eastAsia="SimSun"/>
                <w:sz w:val="22"/>
                <w:lang w:val="en-US"/>
              </w:rPr>
              <w:t>-</w:t>
            </w:r>
          </w:p>
        </w:tc>
        <w:tc>
          <w:tcPr>
            <w:tcW w:w="295" w:type="pct"/>
            <w:shd w:val="clear" w:color="auto" w:fill="auto"/>
            <w:vAlign w:val="center"/>
          </w:tcPr>
          <w:p w14:paraId="28F2189E" w14:textId="77777777" w:rsidR="00124A26" w:rsidRPr="006A31EC" w:rsidRDefault="00124A26" w:rsidP="002D3EBF">
            <w:pPr>
              <w:ind w:firstLine="0"/>
              <w:rPr>
                <w:rFonts w:eastAsia="SimSun"/>
                <w:sz w:val="22"/>
                <w:lang w:val="en-US"/>
              </w:rPr>
            </w:pPr>
            <w:r w:rsidRPr="006A31EC">
              <w:rPr>
                <w:rFonts w:eastAsia="SimSun"/>
                <w:sz w:val="22"/>
                <w:lang w:val="en-US"/>
              </w:rPr>
              <w:t>5.1.2.1</w:t>
            </w:r>
          </w:p>
        </w:tc>
        <w:tc>
          <w:tcPr>
            <w:tcW w:w="337" w:type="pct"/>
            <w:shd w:val="clear" w:color="auto" w:fill="auto"/>
            <w:vAlign w:val="center"/>
          </w:tcPr>
          <w:p w14:paraId="6AA739EA" w14:textId="77777777" w:rsidR="00124A26" w:rsidRPr="006A31EC" w:rsidRDefault="00124A26" w:rsidP="002D3EBF">
            <w:pPr>
              <w:ind w:firstLine="0"/>
              <w:rPr>
                <w:sz w:val="22"/>
              </w:rPr>
            </w:pPr>
            <w:r w:rsidRPr="006A31EC">
              <w:rPr>
                <w:rFonts w:eastAsia="SimSun"/>
                <w:sz w:val="22"/>
                <w:lang w:val="en-US"/>
              </w:rPr>
              <w:t>-</w:t>
            </w:r>
          </w:p>
        </w:tc>
        <w:tc>
          <w:tcPr>
            <w:tcW w:w="337" w:type="pct"/>
            <w:shd w:val="clear" w:color="auto" w:fill="auto"/>
            <w:vAlign w:val="center"/>
          </w:tcPr>
          <w:p w14:paraId="2C65C204" w14:textId="77777777" w:rsidR="00124A26" w:rsidRPr="006A31EC" w:rsidRDefault="00124A26" w:rsidP="002D3EBF">
            <w:pPr>
              <w:ind w:firstLine="0"/>
              <w:rPr>
                <w:sz w:val="22"/>
              </w:rPr>
            </w:pPr>
          </w:p>
        </w:tc>
        <w:tc>
          <w:tcPr>
            <w:tcW w:w="401" w:type="pct"/>
            <w:shd w:val="clear" w:color="auto" w:fill="auto"/>
            <w:vAlign w:val="center"/>
          </w:tcPr>
          <w:p w14:paraId="56D0DE88" w14:textId="77777777" w:rsidR="00124A26" w:rsidRPr="006A31EC" w:rsidRDefault="00124A26" w:rsidP="002D3EBF">
            <w:pPr>
              <w:ind w:firstLine="0"/>
              <w:rPr>
                <w:sz w:val="22"/>
              </w:rPr>
            </w:pPr>
            <w:r w:rsidRPr="006A31EC">
              <w:rPr>
                <w:sz w:val="22"/>
              </w:rPr>
              <w:t>5.1.2.5</w:t>
            </w:r>
          </w:p>
        </w:tc>
        <w:tc>
          <w:tcPr>
            <w:tcW w:w="442" w:type="pct"/>
            <w:shd w:val="clear" w:color="auto" w:fill="auto"/>
            <w:vAlign w:val="center"/>
          </w:tcPr>
          <w:p w14:paraId="25F5E166" w14:textId="77777777" w:rsidR="00124A26" w:rsidRPr="006A31EC" w:rsidRDefault="00124A26" w:rsidP="002D3EBF">
            <w:pPr>
              <w:ind w:firstLine="0"/>
              <w:rPr>
                <w:sz w:val="22"/>
              </w:rPr>
            </w:pPr>
            <w:r w:rsidRPr="006A31EC">
              <w:rPr>
                <w:rFonts w:eastAsia="SimSun"/>
                <w:sz w:val="22"/>
                <w:lang w:val="en-US"/>
              </w:rPr>
              <w:t>-</w:t>
            </w:r>
          </w:p>
        </w:tc>
        <w:tc>
          <w:tcPr>
            <w:tcW w:w="337" w:type="pct"/>
            <w:shd w:val="clear" w:color="auto" w:fill="auto"/>
            <w:vAlign w:val="center"/>
          </w:tcPr>
          <w:p w14:paraId="64D4BF4C" w14:textId="77777777" w:rsidR="00124A26" w:rsidRPr="006A31EC" w:rsidRDefault="00124A26" w:rsidP="002D3EBF">
            <w:pPr>
              <w:ind w:firstLine="0"/>
              <w:rPr>
                <w:sz w:val="22"/>
              </w:rPr>
            </w:pPr>
            <w:r w:rsidRPr="006A31EC">
              <w:rPr>
                <w:rFonts w:eastAsia="SimSun"/>
                <w:sz w:val="22"/>
                <w:lang w:val="en-US"/>
              </w:rPr>
              <w:t>-</w:t>
            </w:r>
          </w:p>
        </w:tc>
        <w:tc>
          <w:tcPr>
            <w:tcW w:w="337" w:type="pct"/>
          </w:tcPr>
          <w:p w14:paraId="50BBBE1F" w14:textId="77777777" w:rsidR="00124A26" w:rsidRPr="006A31EC" w:rsidRDefault="00124A26" w:rsidP="002D3EBF">
            <w:pPr>
              <w:ind w:firstLine="0"/>
              <w:rPr>
                <w:rFonts w:eastAsia="SimSun"/>
                <w:sz w:val="22"/>
                <w:lang w:val="en-US"/>
              </w:rPr>
            </w:pPr>
          </w:p>
        </w:tc>
      </w:tr>
      <w:tr w:rsidR="00124A26" w:rsidRPr="006A31EC" w14:paraId="71F0AA74" w14:textId="77777777" w:rsidTr="002D3EBF">
        <w:trPr>
          <w:cantSplit/>
          <w:trHeight w:val="624"/>
        </w:trPr>
        <w:tc>
          <w:tcPr>
            <w:tcW w:w="293" w:type="pct"/>
            <w:vMerge/>
            <w:shd w:val="clear" w:color="auto" w:fill="D9D9D9"/>
            <w:vAlign w:val="center"/>
          </w:tcPr>
          <w:p w14:paraId="48533ADF" w14:textId="77777777" w:rsidR="00124A26" w:rsidRPr="006A31EC" w:rsidRDefault="00124A26" w:rsidP="002D3EBF">
            <w:pPr>
              <w:ind w:firstLine="0"/>
              <w:rPr>
                <w:rFonts w:eastAsia="SimSun"/>
                <w:sz w:val="22"/>
                <w:lang w:val="en-US"/>
              </w:rPr>
            </w:pPr>
          </w:p>
        </w:tc>
        <w:tc>
          <w:tcPr>
            <w:tcW w:w="284" w:type="pct"/>
            <w:shd w:val="clear" w:color="auto" w:fill="D9D9D9"/>
            <w:vAlign w:val="center"/>
          </w:tcPr>
          <w:p w14:paraId="3C064624" w14:textId="77777777" w:rsidR="00124A26" w:rsidRPr="006A31EC" w:rsidRDefault="00124A26" w:rsidP="002D3EBF">
            <w:pPr>
              <w:ind w:firstLine="0"/>
              <w:rPr>
                <w:rFonts w:eastAsia="SimSun"/>
                <w:sz w:val="22"/>
                <w:lang w:val="en-US"/>
              </w:rPr>
            </w:pPr>
            <w:r w:rsidRPr="006A31EC">
              <w:rPr>
                <w:rFonts w:eastAsia="SimSun"/>
                <w:sz w:val="22"/>
                <w:lang w:val="en-US"/>
              </w:rPr>
              <w:t>Tx</w:t>
            </w:r>
          </w:p>
        </w:tc>
        <w:tc>
          <w:tcPr>
            <w:tcW w:w="261" w:type="pct"/>
            <w:shd w:val="clear" w:color="auto" w:fill="D9D9D9"/>
            <w:vAlign w:val="center"/>
          </w:tcPr>
          <w:p w14:paraId="57BDB7B5" w14:textId="77777777" w:rsidR="00124A26" w:rsidRPr="006A31EC" w:rsidRDefault="00124A26" w:rsidP="002D3EBF">
            <w:pPr>
              <w:ind w:firstLine="0"/>
              <w:rPr>
                <w:rFonts w:eastAsia="SimSun"/>
                <w:sz w:val="22"/>
                <w:lang w:val="en-US"/>
              </w:rPr>
            </w:pPr>
            <w:r w:rsidRPr="006A31EC">
              <w:rPr>
                <w:rFonts w:eastAsia="SimSun"/>
                <w:sz w:val="22"/>
                <w:lang w:val="en-US"/>
              </w:rPr>
              <w:t>-</w:t>
            </w:r>
          </w:p>
        </w:tc>
        <w:tc>
          <w:tcPr>
            <w:tcW w:w="398" w:type="pct"/>
            <w:shd w:val="clear" w:color="auto" w:fill="D9D9D9"/>
            <w:vAlign w:val="center"/>
          </w:tcPr>
          <w:p w14:paraId="243D726C" w14:textId="77777777" w:rsidR="00124A26" w:rsidRPr="006A31EC" w:rsidRDefault="00124A26" w:rsidP="002D3EBF">
            <w:pPr>
              <w:ind w:firstLine="0"/>
              <w:rPr>
                <w:rFonts w:eastAsia="SimSun"/>
                <w:sz w:val="22"/>
                <w:lang w:val="en-US"/>
              </w:rPr>
            </w:pPr>
            <w:r w:rsidRPr="006A31EC">
              <w:rPr>
                <w:rFonts w:eastAsia="SimSun"/>
                <w:sz w:val="22"/>
                <w:lang w:val="en-US"/>
              </w:rPr>
              <w:t>MMF30</w:t>
            </w:r>
          </w:p>
        </w:tc>
        <w:tc>
          <w:tcPr>
            <w:tcW w:w="337" w:type="pct"/>
            <w:shd w:val="clear" w:color="auto" w:fill="auto"/>
            <w:vAlign w:val="center"/>
          </w:tcPr>
          <w:p w14:paraId="645B60A4" w14:textId="77777777" w:rsidR="00124A26" w:rsidRPr="006A31EC" w:rsidRDefault="00124A26" w:rsidP="002D3EBF">
            <w:pPr>
              <w:ind w:firstLine="0"/>
              <w:rPr>
                <w:sz w:val="22"/>
              </w:rPr>
            </w:pPr>
            <w:r w:rsidRPr="006A31EC">
              <w:rPr>
                <w:rFonts w:eastAsia="SimSun"/>
                <w:sz w:val="22"/>
                <w:lang w:val="en-US"/>
              </w:rPr>
              <w:t>-</w:t>
            </w:r>
          </w:p>
        </w:tc>
        <w:tc>
          <w:tcPr>
            <w:tcW w:w="312" w:type="pct"/>
          </w:tcPr>
          <w:p w14:paraId="20975164" w14:textId="77777777" w:rsidR="00124A26" w:rsidRPr="006A31EC" w:rsidRDefault="00124A26" w:rsidP="002D3EBF">
            <w:pPr>
              <w:ind w:firstLine="0"/>
              <w:rPr>
                <w:rFonts w:eastAsia="SimSun"/>
                <w:sz w:val="22"/>
                <w:lang w:val="en-US"/>
              </w:rPr>
            </w:pPr>
          </w:p>
        </w:tc>
        <w:tc>
          <w:tcPr>
            <w:tcW w:w="337" w:type="pct"/>
            <w:shd w:val="clear" w:color="auto" w:fill="auto"/>
            <w:vAlign w:val="center"/>
          </w:tcPr>
          <w:p w14:paraId="681A2CB0" w14:textId="77777777" w:rsidR="00124A26" w:rsidRPr="006A31EC" w:rsidRDefault="00124A26" w:rsidP="002D3EBF">
            <w:pPr>
              <w:ind w:firstLine="0"/>
              <w:rPr>
                <w:sz w:val="22"/>
              </w:rPr>
            </w:pPr>
            <w:r w:rsidRPr="006A31EC">
              <w:rPr>
                <w:rFonts w:eastAsia="SimSun"/>
                <w:sz w:val="22"/>
                <w:lang w:val="en-US"/>
              </w:rPr>
              <w:t>-</w:t>
            </w:r>
          </w:p>
        </w:tc>
        <w:tc>
          <w:tcPr>
            <w:tcW w:w="295" w:type="pct"/>
            <w:shd w:val="clear" w:color="auto" w:fill="auto"/>
            <w:vAlign w:val="center"/>
          </w:tcPr>
          <w:p w14:paraId="4F314117" w14:textId="77777777" w:rsidR="00124A26" w:rsidRPr="006A31EC" w:rsidRDefault="00124A26" w:rsidP="002D3EBF">
            <w:pPr>
              <w:ind w:firstLine="0"/>
              <w:rPr>
                <w:sz w:val="22"/>
              </w:rPr>
            </w:pPr>
            <w:r w:rsidRPr="006A31EC">
              <w:rPr>
                <w:rFonts w:eastAsia="SimSun"/>
                <w:sz w:val="22"/>
                <w:lang w:val="en-US"/>
              </w:rPr>
              <w:t>-</w:t>
            </w:r>
          </w:p>
        </w:tc>
        <w:tc>
          <w:tcPr>
            <w:tcW w:w="295" w:type="pct"/>
            <w:shd w:val="clear" w:color="auto" w:fill="auto"/>
            <w:vAlign w:val="center"/>
          </w:tcPr>
          <w:p w14:paraId="2F9AF170" w14:textId="77777777" w:rsidR="00124A26" w:rsidRPr="006A31EC" w:rsidRDefault="00124A26" w:rsidP="002D3EBF">
            <w:pPr>
              <w:ind w:firstLine="0"/>
              <w:rPr>
                <w:sz w:val="22"/>
              </w:rPr>
            </w:pPr>
            <w:r w:rsidRPr="006A31EC">
              <w:rPr>
                <w:rFonts w:eastAsia="SimSun"/>
                <w:sz w:val="22"/>
                <w:lang w:val="en-US"/>
              </w:rPr>
              <w:t>-</w:t>
            </w:r>
          </w:p>
        </w:tc>
        <w:tc>
          <w:tcPr>
            <w:tcW w:w="337" w:type="pct"/>
            <w:shd w:val="clear" w:color="auto" w:fill="auto"/>
            <w:vAlign w:val="center"/>
          </w:tcPr>
          <w:p w14:paraId="662D269C" w14:textId="77777777" w:rsidR="00124A26" w:rsidRPr="006A31EC" w:rsidRDefault="00124A26" w:rsidP="002D3EBF">
            <w:pPr>
              <w:ind w:firstLine="0"/>
              <w:rPr>
                <w:sz w:val="22"/>
              </w:rPr>
            </w:pPr>
            <w:r w:rsidRPr="006A31EC">
              <w:rPr>
                <w:rFonts w:eastAsia="SimSun"/>
                <w:sz w:val="22"/>
                <w:lang w:val="en-US"/>
              </w:rPr>
              <w:t>-</w:t>
            </w:r>
          </w:p>
        </w:tc>
        <w:tc>
          <w:tcPr>
            <w:tcW w:w="337" w:type="pct"/>
            <w:shd w:val="clear" w:color="auto" w:fill="auto"/>
            <w:vAlign w:val="center"/>
          </w:tcPr>
          <w:p w14:paraId="6D2F0F1A" w14:textId="77777777" w:rsidR="00124A26" w:rsidRPr="006A31EC" w:rsidRDefault="00124A26" w:rsidP="002D3EBF">
            <w:pPr>
              <w:ind w:firstLine="0"/>
              <w:rPr>
                <w:sz w:val="22"/>
              </w:rPr>
            </w:pPr>
            <w:r w:rsidRPr="006A31EC">
              <w:rPr>
                <w:sz w:val="22"/>
              </w:rPr>
              <w:t>5.1.2.21</w:t>
            </w:r>
          </w:p>
        </w:tc>
        <w:tc>
          <w:tcPr>
            <w:tcW w:w="401" w:type="pct"/>
            <w:shd w:val="clear" w:color="auto" w:fill="auto"/>
            <w:vAlign w:val="center"/>
          </w:tcPr>
          <w:p w14:paraId="41634FE2" w14:textId="77777777" w:rsidR="00124A26" w:rsidRPr="006A31EC" w:rsidRDefault="00124A26" w:rsidP="002D3EBF">
            <w:pPr>
              <w:ind w:firstLine="0"/>
              <w:rPr>
                <w:sz w:val="22"/>
              </w:rPr>
            </w:pPr>
            <w:r w:rsidRPr="006A31EC">
              <w:rPr>
                <w:rFonts w:eastAsia="SimSun"/>
                <w:sz w:val="22"/>
                <w:lang w:val="en-US"/>
              </w:rPr>
              <w:t>-</w:t>
            </w:r>
          </w:p>
        </w:tc>
        <w:tc>
          <w:tcPr>
            <w:tcW w:w="442" w:type="pct"/>
            <w:shd w:val="clear" w:color="auto" w:fill="auto"/>
            <w:vAlign w:val="center"/>
          </w:tcPr>
          <w:p w14:paraId="19FC5943" w14:textId="77777777" w:rsidR="00124A26" w:rsidRPr="006A31EC" w:rsidRDefault="00124A26" w:rsidP="002D3EBF">
            <w:pPr>
              <w:ind w:firstLine="0"/>
              <w:rPr>
                <w:sz w:val="22"/>
              </w:rPr>
            </w:pPr>
            <w:r w:rsidRPr="006A31EC">
              <w:rPr>
                <w:rFonts w:eastAsia="SimSun"/>
                <w:sz w:val="22"/>
                <w:lang w:val="en-US"/>
              </w:rPr>
              <w:t>-</w:t>
            </w:r>
          </w:p>
        </w:tc>
        <w:tc>
          <w:tcPr>
            <w:tcW w:w="337" w:type="pct"/>
            <w:shd w:val="clear" w:color="auto" w:fill="auto"/>
            <w:vAlign w:val="center"/>
          </w:tcPr>
          <w:p w14:paraId="00F90FBF" w14:textId="77777777" w:rsidR="00124A26" w:rsidRPr="006A31EC" w:rsidRDefault="00124A26" w:rsidP="002D3EBF">
            <w:pPr>
              <w:ind w:firstLine="0"/>
              <w:rPr>
                <w:rFonts w:eastAsia="SimSun"/>
                <w:sz w:val="22"/>
              </w:rPr>
            </w:pPr>
            <w:r w:rsidRPr="006A31EC">
              <w:rPr>
                <w:rFonts w:eastAsia="SimSun"/>
                <w:sz w:val="22"/>
                <w:lang w:val="en-US"/>
              </w:rPr>
              <w:t>5.1.2.2</w:t>
            </w:r>
            <w:r w:rsidRPr="006A31EC">
              <w:rPr>
                <w:rFonts w:eastAsia="SimSun"/>
                <w:sz w:val="22"/>
              </w:rPr>
              <w:t>2</w:t>
            </w:r>
          </w:p>
        </w:tc>
        <w:tc>
          <w:tcPr>
            <w:tcW w:w="337" w:type="pct"/>
          </w:tcPr>
          <w:p w14:paraId="6DDDD2E6" w14:textId="77777777" w:rsidR="00124A26" w:rsidRPr="006A31EC" w:rsidRDefault="00124A26" w:rsidP="002D3EBF">
            <w:pPr>
              <w:ind w:firstLine="0"/>
              <w:rPr>
                <w:rFonts w:eastAsia="SimSun"/>
                <w:sz w:val="22"/>
                <w:lang w:val="en-US"/>
              </w:rPr>
            </w:pPr>
          </w:p>
        </w:tc>
      </w:tr>
      <w:tr w:rsidR="00124A26" w:rsidRPr="006A31EC" w14:paraId="5AC68E4C" w14:textId="77777777" w:rsidTr="002D3EBF">
        <w:trPr>
          <w:cantSplit/>
          <w:trHeight w:val="624"/>
        </w:trPr>
        <w:tc>
          <w:tcPr>
            <w:tcW w:w="293" w:type="pct"/>
            <w:vMerge w:val="restart"/>
            <w:shd w:val="clear" w:color="auto" w:fill="D9D9D9"/>
            <w:vAlign w:val="center"/>
          </w:tcPr>
          <w:p w14:paraId="38C814E9" w14:textId="77777777" w:rsidR="00124A26" w:rsidRPr="006A31EC" w:rsidRDefault="00124A26" w:rsidP="002D3EBF">
            <w:pPr>
              <w:ind w:firstLine="0"/>
              <w:rPr>
                <w:rFonts w:eastAsia="SimSun"/>
                <w:sz w:val="22"/>
                <w:lang w:val="en-US"/>
              </w:rPr>
            </w:pPr>
            <w:r w:rsidRPr="006A31EC">
              <w:rPr>
                <w:rFonts w:eastAsia="SimSun"/>
                <w:sz w:val="22"/>
                <w:lang w:val="en-US"/>
              </w:rPr>
              <w:t>rATG</w:t>
            </w:r>
          </w:p>
        </w:tc>
        <w:tc>
          <w:tcPr>
            <w:tcW w:w="284" w:type="pct"/>
            <w:shd w:val="clear" w:color="auto" w:fill="D9D9D9"/>
            <w:vAlign w:val="center"/>
          </w:tcPr>
          <w:p w14:paraId="6ED6F05B" w14:textId="77777777" w:rsidR="00124A26" w:rsidRPr="006A31EC" w:rsidRDefault="00124A26" w:rsidP="002D3EBF">
            <w:pPr>
              <w:ind w:firstLine="0"/>
              <w:rPr>
                <w:rFonts w:eastAsia="SimSun"/>
                <w:sz w:val="22"/>
                <w:lang w:val="en-US"/>
              </w:rPr>
            </w:pPr>
            <w:r w:rsidRPr="006A31EC">
              <w:rPr>
                <w:rFonts w:eastAsia="SimSun"/>
                <w:sz w:val="22"/>
                <w:lang w:val="en-US"/>
              </w:rPr>
              <w:t>CSA</w:t>
            </w:r>
          </w:p>
        </w:tc>
        <w:tc>
          <w:tcPr>
            <w:tcW w:w="261" w:type="pct"/>
            <w:shd w:val="clear" w:color="auto" w:fill="D9D9D9"/>
            <w:vAlign w:val="center"/>
          </w:tcPr>
          <w:p w14:paraId="46CFB85D" w14:textId="77777777" w:rsidR="00124A26" w:rsidRPr="006A31EC" w:rsidRDefault="00124A26" w:rsidP="002D3EBF">
            <w:pPr>
              <w:ind w:firstLine="0"/>
              <w:rPr>
                <w:rFonts w:eastAsia="SimSun"/>
                <w:sz w:val="22"/>
                <w:lang w:val="en-US"/>
              </w:rPr>
            </w:pPr>
            <w:r w:rsidRPr="006A31EC">
              <w:rPr>
                <w:rFonts w:eastAsia="SimSun"/>
                <w:sz w:val="22"/>
                <w:lang w:val="en-US"/>
              </w:rPr>
              <w:t>MTX</w:t>
            </w:r>
          </w:p>
        </w:tc>
        <w:tc>
          <w:tcPr>
            <w:tcW w:w="398" w:type="pct"/>
            <w:shd w:val="clear" w:color="auto" w:fill="D9D9D9"/>
            <w:vAlign w:val="center"/>
          </w:tcPr>
          <w:p w14:paraId="29E09171" w14:textId="77777777" w:rsidR="00124A26" w:rsidRPr="006A31EC" w:rsidRDefault="00124A26" w:rsidP="002D3EBF">
            <w:pPr>
              <w:ind w:firstLine="0"/>
              <w:rPr>
                <w:rFonts w:eastAsia="SimSun"/>
                <w:sz w:val="22"/>
                <w:lang w:val="en-US"/>
              </w:rPr>
            </w:pPr>
            <w:r w:rsidRPr="006A31EC">
              <w:rPr>
                <w:rFonts w:eastAsia="SimSun"/>
                <w:sz w:val="22"/>
                <w:lang w:val="en-US"/>
              </w:rPr>
              <w:t>MMF30</w:t>
            </w:r>
          </w:p>
        </w:tc>
        <w:tc>
          <w:tcPr>
            <w:tcW w:w="337" w:type="pct"/>
            <w:shd w:val="clear" w:color="auto" w:fill="auto"/>
            <w:vAlign w:val="center"/>
          </w:tcPr>
          <w:p w14:paraId="273864BC" w14:textId="77777777" w:rsidR="00124A26" w:rsidRPr="006A31EC" w:rsidRDefault="00124A26" w:rsidP="002D3EBF">
            <w:pPr>
              <w:ind w:firstLine="0"/>
              <w:rPr>
                <w:sz w:val="22"/>
              </w:rPr>
            </w:pPr>
            <w:r w:rsidRPr="006A31EC">
              <w:rPr>
                <w:rFonts w:eastAsia="SimSun"/>
                <w:sz w:val="22"/>
                <w:lang w:val="en-US"/>
              </w:rPr>
              <w:t>-</w:t>
            </w:r>
          </w:p>
        </w:tc>
        <w:tc>
          <w:tcPr>
            <w:tcW w:w="312" w:type="pct"/>
          </w:tcPr>
          <w:p w14:paraId="397D3B1E" w14:textId="77777777" w:rsidR="00124A26" w:rsidRPr="006A31EC" w:rsidRDefault="00124A26" w:rsidP="002D3EBF">
            <w:pPr>
              <w:ind w:firstLine="0"/>
              <w:rPr>
                <w:rFonts w:eastAsia="SimSun"/>
                <w:sz w:val="22"/>
                <w:lang w:val="en-US"/>
              </w:rPr>
            </w:pPr>
          </w:p>
        </w:tc>
        <w:tc>
          <w:tcPr>
            <w:tcW w:w="337" w:type="pct"/>
            <w:shd w:val="clear" w:color="auto" w:fill="auto"/>
            <w:vAlign w:val="center"/>
          </w:tcPr>
          <w:p w14:paraId="1451B7EE" w14:textId="77777777" w:rsidR="00124A26" w:rsidRPr="006A31EC" w:rsidRDefault="00124A26" w:rsidP="002D3EBF">
            <w:pPr>
              <w:ind w:firstLine="0"/>
              <w:rPr>
                <w:sz w:val="22"/>
              </w:rPr>
            </w:pPr>
            <w:r w:rsidRPr="006A31EC">
              <w:rPr>
                <w:rFonts w:eastAsia="SimSun"/>
                <w:sz w:val="22"/>
                <w:lang w:val="en-US"/>
              </w:rPr>
              <w:t>-</w:t>
            </w:r>
          </w:p>
        </w:tc>
        <w:tc>
          <w:tcPr>
            <w:tcW w:w="295" w:type="pct"/>
            <w:shd w:val="clear" w:color="auto" w:fill="auto"/>
            <w:vAlign w:val="center"/>
          </w:tcPr>
          <w:p w14:paraId="1E09EA9F" w14:textId="77777777" w:rsidR="00124A26" w:rsidRPr="006A31EC" w:rsidRDefault="00124A26" w:rsidP="002D3EBF">
            <w:pPr>
              <w:ind w:firstLine="0"/>
              <w:rPr>
                <w:sz w:val="22"/>
              </w:rPr>
            </w:pPr>
            <w:r w:rsidRPr="006A31EC">
              <w:rPr>
                <w:rFonts w:eastAsia="SimSun"/>
                <w:sz w:val="22"/>
                <w:lang w:val="en-US"/>
              </w:rPr>
              <w:t>-</w:t>
            </w:r>
          </w:p>
        </w:tc>
        <w:tc>
          <w:tcPr>
            <w:tcW w:w="295" w:type="pct"/>
            <w:shd w:val="clear" w:color="auto" w:fill="auto"/>
            <w:vAlign w:val="center"/>
          </w:tcPr>
          <w:p w14:paraId="7D7AA256" w14:textId="77777777" w:rsidR="00124A26" w:rsidRPr="006A31EC" w:rsidRDefault="00124A26" w:rsidP="002D3EBF">
            <w:pPr>
              <w:ind w:firstLine="0"/>
              <w:rPr>
                <w:rFonts w:eastAsia="SimSun"/>
                <w:sz w:val="22"/>
                <w:lang w:val="en-US"/>
              </w:rPr>
            </w:pPr>
            <w:r w:rsidRPr="006A31EC">
              <w:rPr>
                <w:rFonts w:eastAsia="SimSun"/>
                <w:sz w:val="22"/>
                <w:lang w:val="en-US"/>
              </w:rPr>
              <w:t>5.1.2.2</w:t>
            </w:r>
          </w:p>
        </w:tc>
        <w:tc>
          <w:tcPr>
            <w:tcW w:w="337" w:type="pct"/>
            <w:shd w:val="clear" w:color="auto" w:fill="auto"/>
            <w:vAlign w:val="center"/>
          </w:tcPr>
          <w:p w14:paraId="64B2AF82" w14:textId="77777777" w:rsidR="00124A26" w:rsidRPr="006A31EC" w:rsidRDefault="00124A26" w:rsidP="002D3EBF">
            <w:pPr>
              <w:ind w:firstLine="0"/>
              <w:rPr>
                <w:sz w:val="22"/>
              </w:rPr>
            </w:pPr>
            <w:r w:rsidRPr="006A31EC">
              <w:rPr>
                <w:rFonts w:eastAsia="SimSun"/>
                <w:sz w:val="22"/>
                <w:lang w:val="en-US"/>
              </w:rPr>
              <w:t>-</w:t>
            </w:r>
          </w:p>
        </w:tc>
        <w:tc>
          <w:tcPr>
            <w:tcW w:w="337" w:type="pct"/>
            <w:shd w:val="clear" w:color="auto" w:fill="auto"/>
            <w:vAlign w:val="center"/>
          </w:tcPr>
          <w:p w14:paraId="3603E837" w14:textId="77777777" w:rsidR="00124A26" w:rsidRPr="006A31EC" w:rsidRDefault="00124A26" w:rsidP="002D3EBF">
            <w:pPr>
              <w:ind w:firstLine="0"/>
              <w:rPr>
                <w:rFonts w:eastAsia="SimSun"/>
                <w:sz w:val="22"/>
              </w:rPr>
            </w:pPr>
            <w:r w:rsidRPr="006A31EC">
              <w:rPr>
                <w:rFonts w:eastAsia="SimSun"/>
                <w:sz w:val="22"/>
                <w:lang w:val="en-US"/>
              </w:rPr>
              <w:t>-</w:t>
            </w:r>
          </w:p>
        </w:tc>
        <w:tc>
          <w:tcPr>
            <w:tcW w:w="401" w:type="pct"/>
            <w:shd w:val="clear" w:color="auto" w:fill="auto"/>
            <w:vAlign w:val="center"/>
          </w:tcPr>
          <w:p w14:paraId="4EF06597" w14:textId="77777777" w:rsidR="00124A26" w:rsidRPr="006A31EC" w:rsidRDefault="00124A26" w:rsidP="002D3EBF">
            <w:pPr>
              <w:ind w:firstLine="0"/>
              <w:rPr>
                <w:rFonts w:eastAsia="SimSun"/>
                <w:sz w:val="22"/>
                <w:lang w:val="en-US"/>
              </w:rPr>
            </w:pPr>
            <w:r w:rsidRPr="006A31EC">
              <w:rPr>
                <w:rFonts w:eastAsia="SimSun"/>
                <w:sz w:val="22"/>
                <w:lang w:val="en-US"/>
              </w:rPr>
              <w:t>5.1.2.6</w:t>
            </w:r>
          </w:p>
        </w:tc>
        <w:tc>
          <w:tcPr>
            <w:tcW w:w="442" w:type="pct"/>
            <w:shd w:val="clear" w:color="auto" w:fill="auto"/>
            <w:vAlign w:val="center"/>
          </w:tcPr>
          <w:p w14:paraId="77762300" w14:textId="77777777" w:rsidR="00124A26" w:rsidRPr="006A31EC" w:rsidRDefault="00124A26" w:rsidP="002D3EBF">
            <w:pPr>
              <w:ind w:firstLine="0"/>
              <w:rPr>
                <w:sz w:val="22"/>
              </w:rPr>
            </w:pPr>
            <w:r w:rsidRPr="006A31EC">
              <w:rPr>
                <w:rFonts w:eastAsia="SimSun"/>
                <w:sz w:val="22"/>
                <w:lang w:val="en-US"/>
              </w:rPr>
              <w:t>-</w:t>
            </w:r>
          </w:p>
        </w:tc>
        <w:tc>
          <w:tcPr>
            <w:tcW w:w="337" w:type="pct"/>
            <w:shd w:val="clear" w:color="auto" w:fill="auto"/>
            <w:vAlign w:val="center"/>
          </w:tcPr>
          <w:p w14:paraId="0A29AC57" w14:textId="77777777" w:rsidR="00124A26" w:rsidRPr="006A31EC" w:rsidRDefault="00124A26" w:rsidP="002D3EBF">
            <w:pPr>
              <w:ind w:firstLine="0"/>
              <w:rPr>
                <w:sz w:val="22"/>
              </w:rPr>
            </w:pPr>
            <w:r w:rsidRPr="006A31EC">
              <w:rPr>
                <w:rFonts w:eastAsia="SimSun"/>
                <w:sz w:val="22"/>
                <w:lang w:val="en-US"/>
              </w:rPr>
              <w:t>-</w:t>
            </w:r>
          </w:p>
        </w:tc>
        <w:tc>
          <w:tcPr>
            <w:tcW w:w="337" w:type="pct"/>
          </w:tcPr>
          <w:p w14:paraId="7BC54A76" w14:textId="77777777" w:rsidR="00124A26" w:rsidRPr="006A31EC" w:rsidRDefault="00124A26" w:rsidP="002D3EBF">
            <w:pPr>
              <w:ind w:firstLine="0"/>
              <w:rPr>
                <w:rFonts w:eastAsia="SimSun"/>
                <w:sz w:val="22"/>
                <w:lang w:val="en-US"/>
              </w:rPr>
            </w:pPr>
          </w:p>
        </w:tc>
      </w:tr>
      <w:tr w:rsidR="00124A26" w:rsidRPr="006A31EC" w14:paraId="6BF80B4D" w14:textId="77777777" w:rsidTr="002D3EBF">
        <w:trPr>
          <w:cantSplit/>
          <w:trHeight w:val="624"/>
        </w:trPr>
        <w:tc>
          <w:tcPr>
            <w:tcW w:w="293" w:type="pct"/>
            <w:vMerge/>
            <w:shd w:val="clear" w:color="auto" w:fill="D9D9D9"/>
            <w:vAlign w:val="center"/>
          </w:tcPr>
          <w:p w14:paraId="0E4DD626" w14:textId="77777777" w:rsidR="00124A26" w:rsidRPr="006A31EC" w:rsidRDefault="00124A26" w:rsidP="002D3EBF">
            <w:pPr>
              <w:ind w:firstLine="0"/>
              <w:rPr>
                <w:rFonts w:eastAsia="SimSun"/>
                <w:sz w:val="22"/>
                <w:lang w:val="en-US"/>
              </w:rPr>
            </w:pPr>
          </w:p>
        </w:tc>
        <w:tc>
          <w:tcPr>
            <w:tcW w:w="284" w:type="pct"/>
            <w:shd w:val="clear" w:color="auto" w:fill="D9D9D9"/>
            <w:vAlign w:val="center"/>
          </w:tcPr>
          <w:p w14:paraId="5B1D2FCB" w14:textId="77777777" w:rsidR="00124A26" w:rsidRPr="006A31EC" w:rsidRDefault="00124A26" w:rsidP="002D3EBF">
            <w:pPr>
              <w:ind w:firstLine="0"/>
              <w:rPr>
                <w:rFonts w:eastAsia="SimSun"/>
                <w:sz w:val="22"/>
                <w:lang w:val="en-US"/>
              </w:rPr>
            </w:pPr>
            <w:r w:rsidRPr="006A31EC">
              <w:rPr>
                <w:rFonts w:eastAsia="SimSun"/>
                <w:sz w:val="22"/>
                <w:lang w:val="en-US"/>
              </w:rPr>
              <w:t>Tx</w:t>
            </w:r>
          </w:p>
        </w:tc>
        <w:tc>
          <w:tcPr>
            <w:tcW w:w="261" w:type="pct"/>
            <w:shd w:val="clear" w:color="auto" w:fill="D9D9D9"/>
            <w:vAlign w:val="center"/>
          </w:tcPr>
          <w:p w14:paraId="09BF5D3C" w14:textId="77777777" w:rsidR="00124A26" w:rsidRPr="006A31EC" w:rsidRDefault="00124A26" w:rsidP="002D3EBF">
            <w:pPr>
              <w:ind w:firstLine="0"/>
              <w:rPr>
                <w:rFonts w:eastAsia="SimSun"/>
                <w:sz w:val="22"/>
                <w:lang w:val="en-US"/>
              </w:rPr>
            </w:pPr>
            <w:r w:rsidRPr="006A31EC">
              <w:rPr>
                <w:rFonts w:eastAsia="SimSun"/>
                <w:sz w:val="22"/>
                <w:lang w:val="en-US"/>
              </w:rPr>
              <w:t>-</w:t>
            </w:r>
          </w:p>
        </w:tc>
        <w:tc>
          <w:tcPr>
            <w:tcW w:w="398" w:type="pct"/>
            <w:shd w:val="clear" w:color="auto" w:fill="D9D9D9"/>
            <w:vAlign w:val="center"/>
          </w:tcPr>
          <w:p w14:paraId="0D687C26" w14:textId="77777777" w:rsidR="00124A26" w:rsidRPr="006A31EC" w:rsidRDefault="00124A26" w:rsidP="002D3EBF">
            <w:pPr>
              <w:ind w:firstLine="0"/>
              <w:rPr>
                <w:rFonts w:eastAsia="SimSun"/>
                <w:sz w:val="22"/>
              </w:rPr>
            </w:pPr>
            <w:r w:rsidRPr="006A31EC">
              <w:rPr>
                <w:rFonts w:eastAsia="SimSun"/>
                <w:sz w:val="22"/>
                <w:lang w:val="en-US"/>
              </w:rPr>
              <w:t>MMF30</w:t>
            </w:r>
          </w:p>
        </w:tc>
        <w:tc>
          <w:tcPr>
            <w:tcW w:w="337" w:type="pct"/>
            <w:shd w:val="clear" w:color="auto" w:fill="auto"/>
            <w:vAlign w:val="center"/>
          </w:tcPr>
          <w:p w14:paraId="7C6F7DDD" w14:textId="77777777" w:rsidR="00124A26" w:rsidRPr="006A31EC" w:rsidRDefault="00124A26" w:rsidP="002D3EBF">
            <w:pPr>
              <w:ind w:firstLine="0"/>
              <w:rPr>
                <w:sz w:val="22"/>
              </w:rPr>
            </w:pPr>
            <w:r w:rsidRPr="006A31EC">
              <w:rPr>
                <w:rFonts w:eastAsia="SimSun"/>
                <w:sz w:val="22"/>
                <w:lang w:val="en-US"/>
              </w:rPr>
              <w:t>-</w:t>
            </w:r>
          </w:p>
        </w:tc>
        <w:tc>
          <w:tcPr>
            <w:tcW w:w="312" w:type="pct"/>
          </w:tcPr>
          <w:p w14:paraId="5C3C931A" w14:textId="77777777" w:rsidR="00124A26" w:rsidRPr="006A31EC" w:rsidRDefault="00124A26" w:rsidP="002D3EBF">
            <w:pPr>
              <w:ind w:firstLine="0"/>
              <w:rPr>
                <w:rFonts w:eastAsia="SimSun"/>
                <w:sz w:val="22"/>
                <w:lang w:val="en-US"/>
              </w:rPr>
            </w:pPr>
          </w:p>
        </w:tc>
        <w:tc>
          <w:tcPr>
            <w:tcW w:w="337" w:type="pct"/>
            <w:shd w:val="clear" w:color="auto" w:fill="auto"/>
            <w:vAlign w:val="center"/>
          </w:tcPr>
          <w:p w14:paraId="1AE42430" w14:textId="77777777" w:rsidR="00124A26" w:rsidRPr="006A31EC" w:rsidRDefault="00124A26" w:rsidP="002D3EBF">
            <w:pPr>
              <w:ind w:firstLine="0"/>
              <w:rPr>
                <w:sz w:val="22"/>
              </w:rPr>
            </w:pPr>
            <w:r w:rsidRPr="006A31EC">
              <w:rPr>
                <w:rFonts w:eastAsia="SimSun"/>
                <w:sz w:val="22"/>
                <w:lang w:val="en-US"/>
              </w:rPr>
              <w:t>-</w:t>
            </w:r>
          </w:p>
        </w:tc>
        <w:tc>
          <w:tcPr>
            <w:tcW w:w="295" w:type="pct"/>
            <w:shd w:val="clear" w:color="auto" w:fill="auto"/>
            <w:vAlign w:val="center"/>
          </w:tcPr>
          <w:p w14:paraId="3D4D13D0" w14:textId="77777777" w:rsidR="00124A26" w:rsidRPr="006A31EC" w:rsidRDefault="00124A26" w:rsidP="002D3EBF">
            <w:pPr>
              <w:ind w:firstLine="0"/>
              <w:rPr>
                <w:sz w:val="22"/>
              </w:rPr>
            </w:pPr>
            <w:r w:rsidRPr="006A31EC">
              <w:rPr>
                <w:rFonts w:eastAsia="SimSun"/>
                <w:sz w:val="22"/>
                <w:lang w:val="en-US"/>
              </w:rPr>
              <w:t>-</w:t>
            </w:r>
          </w:p>
        </w:tc>
        <w:tc>
          <w:tcPr>
            <w:tcW w:w="295" w:type="pct"/>
            <w:shd w:val="clear" w:color="auto" w:fill="auto"/>
            <w:vAlign w:val="center"/>
          </w:tcPr>
          <w:p w14:paraId="50FDEC40" w14:textId="77777777" w:rsidR="00124A26" w:rsidRPr="006A31EC" w:rsidRDefault="00124A26" w:rsidP="002D3EBF">
            <w:pPr>
              <w:ind w:firstLine="0"/>
              <w:rPr>
                <w:sz w:val="22"/>
              </w:rPr>
            </w:pPr>
            <w:r w:rsidRPr="006A31EC">
              <w:rPr>
                <w:rFonts w:eastAsia="SimSun"/>
                <w:sz w:val="22"/>
                <w:lang w:val="en-US"/>
              </w:rPr>
              <w:t>-</w:t>
            </w:r>
          </w:p>
        </w:tc>
        <w:tc>
          <w:tcPr>
            <w:tcW w:w="337" w:type="pct"/>
            <w:shd w:val="clear" w:color="auto" w:fill="auto"/>
            <w:vAlign w:val="center"/>
          </w:tcPr>
          <w:p w14:paraId="385D3D59" w14:textId="77777777" w:rsidR="00124A26" w:rsidRPr="006A31EC" w:rsidRDefault="00124A26" w:rsidP="002D3EBF">
            <w:pPr>
              <w:ind w:firstLine="0"/>
              <w:rPr>
                <w:sz w:val="22"/>
              </w:rPr>
            </w:pPr>
            <w:r w:rsidRPr="006A31EC">
              <w:rPr>
                <w:rFonts w:eastAsia="SimSun"/>
                <w:sz w:val="22"/>
                <w:lang w:val="en-US"/>
              </w:rPr>
              <w:t>-</w:t>
            </w:r>
          </w:p>
        </w:tc>
        <w:tc>
          <w:tcPr>
            <w:tcW w:w="337" w:type="pct"/>
            <w:shd w:val="clear" w:color="auto" w:fill="auto"/>
            <w:vAlign w:val="center"/>
          </w:tcPr>
          <w:p w14:paraId="6C0760F6" w14:textId="77777777" w:rsidR="00124A26" w:rsidRPr="006A31EC" w:rsidRDefault="00124A26" w:rsidP="002D3EBF">
            <w:pPr>
              <w:ind w:firstLine="0"/>
              <w:rPr>
                <w:sz w:val="22"/>
              </w:rPr>
            </w:pPr>
            <w:r w:rsidRPr="006A31EC">
              <w:rPr>
                <w:rFonts w:eastAsia="SimSun"/>
                <w:sz w:val="22"/>
                <w:lang w:val="en-US"/>
              </w:rPr>
              <w:t>-</w:t>
            </w:r>
          </w:p>
        </w:tc>
        <w:tc>
          <w:tcPr>
            <w:tcW w:w="401" w:type="pct"/>
            <w:shd w:val="clear" w:color="auto" w:fill="auto"/>
            <w:vAlign w:val="center"/>
          </w:tcPr>
          <w:p w14:paraId="721FB134" w14:textId="77777777" w:rsidR="00124A26" w:rsidRPr="006A31EC" w:rsidRDefault="00124A26" w:rsidP="002D3EBF">
            <w:pPr>
              <w:ind w:firstLine="0"/>
              <w:rPr>
                <w:sz w:val="22"/>
              </w:rPr>
            </w:pPr>
            <w:r w:rsidRPr="006A31EC">
              <w:rPr>
                <w:rFonts w:eastAsia="SimSun"/>
                <w:sz w:val="22"/>
                <w:lang w:val="en-US"/>
              </w:rPr>
              <w:t>-</w:t>
            </w:r>
          </w:p>
        </w:tc>
        <w:tc>
          <w:tcPr>
            <w:tcW w:w="442" w:type="pct"/>
            <w:shd w:val="clear" w:color="auto" w:fill="auto"/>
            <w:vAlign w:val="center"/>
          </w:tcPr>
          <w:p w14:paraId="44DE1133" w14:textId="77777777" w:rsidR="00124A26" w:rsidRPr="006A31EC" w:rsidRDefault="00124A26" w:rsidP="002D3EBF">
            <w:pPr>
              <w:ind w:firstLine="0"/>
              <w:rPr>
                <w:sz w:val="22"/>
              </w:rPr>
            </w:pPr>
            <w:r w:rsidRPr="006A31EC">
              <w:rPr>
                <w:rFonts w:eastAsia="SimSun"/>
                <w:sz w:val="22"/>
                <w:lang w:val="en-US"/>
              </w:rPr>
              <w:t>-</w:t>
            </w:r>
          </w:p>
        </w:tc>
        <w:tc>
          <w:tcPr>
            <w:tcW w:w="337" w:type="pct"/>
            <w:shd w:val="clear" w:color="auto" w:fill="auto"/>
            <w:vAlign w:val="center"/>
          </w:tcPr>
          <w:p w14:paraId="1646AE5E" w14:textId="77777777" w:rsidR="00124A26" w:rsidRPr="006A31EC" w:rsidRDefault="00124A26" w:rsidP="002D3EBF">
            <w:pPr>
              <w:ind w:firstLine="0"/>
              <w:rPr>
                <w:rFonts w:eastAsia="SimSun"/>
                <w:sz w:val="22"/>
              </w:rPr>
            </w:pPr>
            <w:r w:rsidRPr="006A31EC">
              <w:rPr>
                <w:rFonts w:eastAsia="SimSun"/>
                <w:sz w:val="22"/>
                <w:lang w:val="en-US"/>
              </w:rPr>
              <w:t>5.1.2.2</w:t>
            </w:r>
            <w:r w:rsidRPr="006A31EC">
              <w:rPr>
                <w:rFonts w:eastAsia="SimSun"/>
                <w:sz w:val="22"/>
              </w:rPr>
              <w:t>3</w:t>
            </w:r>
          </w:p>
        </w:tc>
        <w:tc>
          <w:tcPr>
            <w:tcW w:w="337" w:type="pct"/>
          </w:tcPr>
          <w:p w14:paraId="309C01A6" w14:textId="77777777" w:rsidR="00124A26" w:rsidRPr="006A31EC" w:rsidRDefault="00124A26" w:rsidP="002D3EBF">
            <w:pPr>
              <w:ind w:firstLine="0"/>
              <w:rPr>
                <w:rFonts w:eastAsia="SimSun"/>
                <w:sz w:val="22"/>
                <w:lang w:val="en-US"/>
              </w:rPr>
            </w:pPr>
          </w:p>
        </w:tc>
      </w:tr>
      <w:tr w:rsidR="00124A26" w:rsidRPr="006A31EC" w14:paraId="78B270C9" w14:textId="77777777" w:rsidTr="002D3EBF">
        <w:trPr>
          <w:cantSplit/>
          <w:trHeight w:val="624"/>
        </w:trPr>
        <w:tc>
          <w:tcPr>
            <w:tcW w:w="293" w:type="pct"/>
            <w:vMerge w:val="restart"/>
            <w:shd w:val="clear" w:color="auto" w:fill="D9D9D9"/>
            <w:vAlign w:val="center"/>
          </w:tcPr>
          <w:p w14:paraId="25D68C8C" w14:textId="77777777" w:rsidR="00124A26" w:rsidRPr="006A31EC" w:rsidRDefault="00124A26" w:rsidP="002D3EBF">
            <w:pPr>
              <w:ind w:firstLine="0"/>
              <w:rPr>
                <w:rFonts w:eastAsia="SimSun"/>
                <w:sz w:val="22"/>
                <w:lang w:val="en-US"/>
              </w:rPr>
            </w:pPr>
            <w:r w:rsidRPr="006A31EC">
              <w:rPr>
                <w:rFonts w:eastAsia="SimSun"/>
                <w:sz w:val="22"/>
                <w:lang w:val="en-US"/>
              </w:rPr>
              <w:t>PT-Cy</w:t>
            </w:r>
          </w:p>
          <w:p w14:paraId="32DAAF33" w14:textId="77777777" w:rsidR="00124A26" w:rsidRPr="006A31EC" w:rsidRDefault="00124A26" w:rsidP="002D3EBF">
            <w:pPr>
              <w:ind w:firstLine="0"/>
              <w:rPr>
                <w:rFonts w:eastAsia="SimSun"/>
                <w:sz w:val="22"/>
                <w:lang w:val="en-US"/>
              </w:rPr>
            </w:pPr>
          </w:p>
        </w:tc>
        <w:tc>
          <w:tcPr>
            <w:tcW w:w="284" w:type="pct"/>
            <w:shd w:val="clear" w:color="auto" w:fill="D9D9D9"/>
            <w:vAlign w:val="center"/>
          </w:tcPr>
          <w:p w14:paraId="0A80174A" w14:textId="77777777" w:rsidR="00124A26" w:rsidRPr="006A31EC" w:rsidRDefault="00124A26" w:rsidP="002D3EBF">
            <w:pPr>
              <w:ind w:firstLine="0"/>
              <w:rPr>
                <w:rFonts w:eastAsia="SimSun"/>
                <w:sz w:val="22"/>
                <w:lang w:val="en-US"/>
              </w:rPr>
            </w:pPr>
            <w:r w:rsidRPr="006A31EC">
              <w:rPr>
                <w:rFonts w:eastAsia="SimSun"/>
                <w:sz w:val="22"/>
                <w:lang w:val="en-US"/>
              </w:rPr>
              <w:t>-</w:t>
            </w:r>
          </w:p>
        </w:tc>
        <w:tc>
          <w:tcPr>
            <w:tcW w:w="261" w:type="pct"/>
            <w:shd w:val="clear" w:color="auto" w:fill="D9D9D9"/>
            <w:vAlign w:val="center"/>
          </w:tcPr>
          <w:p w14:paraId="6F0A2A9A" w14:textId="77777777" w:rsidR="00124A26" w:rsidRPr="006A31EC" w:rsidRDefault="00124A26" w:rsidP="002D3EBF">
            <w:pPr>
              <w:ind w:firstLine="0"/>
              <w:rPr>
                <w:rFonts w:eastAsia="SimSun"/>
                <w:sz w:val="22"/>
                <w:lang w:val="en-US"/>
              </w:rPr>
            </w:pPr>
            <w:r w:rsidRPr="006A31EC">
              <w:rPr>
                <w:rFonts w:eastAsia="SimSun"/>
                <w:sz w:val="22"/>
                <w:lang w:val="en-US"/>
              </w:rPr>
              <w:t>-</w:t>
            </w:r>
          </w:p>
        </w:tc>
        <w:tc>
          <w:tcPr>
            <w:tcW w:w="398" w:type="pct"/>
            <w:shd w:val="clear" w:color="auto" w:fill="D9D9D9"/>
            <w:vAlign w:val="center"/>
          </w:tcPr>
          <w:p w14:paraId="7411430A" w14:textId="77777777" w:rsidR="00124A26" w:rsidRPr="006A31EC" w:rsidRDefault="00124A26" w:rsidP="002D3EBF">
            <w:pPr>
              <w:ind w:firstLine="0"/>
              <w:rPr>
                <w:rFonts w:eastAsia="SimSun"/>
                <w:sz w:val="22"/>
                <w:lang w:val="en-US"/>
              </w:rPr>
            </w:pPr>
            <w:r w:rsidRPr="006A31EC">
              <w:rPr>
                <w:rFonts w:eastAsia="SimSun"/>
                <w:sz w:val="22"/>
                <w:lang w:val="en-US"/>
              </w:rPr>
              <w:t>-</w:t>
            </w:r>
          </w:p>
        </w:tc>
        <w:tc>
          <w:tcPr>
            <w:tcW w:w="337" w:type="pct"/>
            <w:shd w:val="clear" w:color="auto" w:fill="auto"/>
            <w:vAlign w:val="center"/>
          </w:tcPr>
          <w:p w14:paraId="5545C274" w14:textId="77777777" w:rsidR="00124A26" w:rsidRPr="006A31EC" w:rsidRDefault="00124A26" w:rsidP="002D3EBF">
            <w:pPr>
              <w:ind w:firstLine="0"/>
              <w:rPr>
                <w:rFonts w:eastAsia="SimSun"/>
                <w:sz w:val="22"/>
                <w:lang w:val="en-US"/>
              </w:rPr>
            </w:pPr>
            <w:r w:rsidRPr="006A31EC">
              <w:rPr>
                <w:rFonts w:eastAsia="SimSun"/>
                <w:sz w:val="22"/>
                <w:lang w:val="en-US"/>
              </w:rPr>
              <w:t>5.1.2.17</w:t>
            </w:r>
          </w:p>
        </w:tc>
        <w:tc>
          <w:tcPr>
            <w:tcW w:w="312" w:type="pct"/>
          </w:tcPr>
          <w:p w14:paraId="7041C4AA" w14:textId="77777777" w:rsidR="00124A26" w:rsidRPr="006A31EC" w:rsidRDefault="00124A26" w:rsidP="002D3EBF">
            <w:pPr>
              <w:ind w:firstLine="0"/>
              <w:rPr>
                <w:rFonts w:eastAsia="SimSun"/>
                <w:sz w:val="22"/>
                <w:lang w:val="en-US"/>
              </w:rPr>
            </w:pPr>
          </w:p>
        </w:tc>
        <w:tc>
          <w:tcPr>
            <w:tcW w:w="337" w:type="pct"/>
            <w:shd w:val="clear" w:color="auto" w:fill="auto"/>
            <w:vAlign w:val="center"/>
          </w:tcPr>
          <w:p w14:paraId="26229682" w14:textId="77777777" w:rsidR="00124A26" w:rsidRPr="006A31EC" w:rsidRDefault="00124A26" w:rsidP="002D3EBF">
            <w:pPr>
              <w:ind w:firstLine="0"/>
              <w:rPr>
                <w:sz w:val="22"/>
              </w:rPr>
            </w:pPr>
            <w:r w:rsidRPr="006A31EC">
              <w:rPr>
                <w:rFonts w:eastAsia="SimSun"/>
                <w:sz w:val="22"/>
                <w:lang w:val="en-US"/>
              </w:rPr>
              <w:t>-</w:t>
            </w:r>
          </w:p>
        </w:tc>
        <w:tc>
          <w:tcPr>
            <w:tcW w:w="295" w:type="pct"/>
            <w:shd w:val="clear" w:color="auto" w:fill="auto"/>
            <w:vAlign w:val="center"/>
          </w:tcPr>
          <w:p w14:paraId="17F4D0AC" w14:textId="77777777" w:rsidR="00124A26" w:rsidRPr="006A31EC" w:rsidRDefault="00124A26" w:rsidP="002D3EBF">
            <w:pPr>
              <w:ind w:firstLine="0"/>
              <w:rPr>
                <w:sz w:val="22"/>
              </w:rPr>
            </w:pPr>
            <w:r w:rsidRPr="006A31EC">
              <w:rPr>
                <w:rFonts w:eastAsia="SimSun"/>
                <w:sz w:val="22"/>
                <w:lang w:val="en-US"/>
              </w:rPr>
              <w:t>-</w:t>
            </w:r>
          </w:p>
        </w:tc>
        <w:tc>
          <w:tcPr>
            <w:tcW w:w="295" w:type="pct"/>
            <w:shd w:val="clear" w:color="auto" w:fill="auto"/>
            <w:vAlign w:val="center"/>
          </w:tcPr>
          <w:p w14:paraId="25F608FD" w14:textId="77777777" w:rsidR="00124A26" w:rsidRPr="006A31EC" w:rsidRDefault="00124A26" w:rsidP="002D3EBF">
            <w:pPr>
              <w:ind w:firstLine="0"/>
              <w:rPr>
                <w:sz w:val="22"/>
              </w:rPr>
            </w:pPr>
            <w:r w:rsidRPr="006A31EC">
              <w:rPr>
                <w:rFonts w:eastAsia="SimSun"/>
                <w:sz w:val="22"/>
                <w:lang w:val="en-US"/>
              </w:rPr>
              <w:t>-</w:t>
            </w:r>
          </w:p>
        </w:tc>
        <w:tc>
          <w:tcPr>
            <w:tcW w:w="337" w:type="pct"/>
            <w:shd w:val="clear" w:color="auto" w:fill="auto"/>
            <w:vAlign w:val="center"/>
          </w:tcPr>
          <w:p w14:paraId="6AC395B8" w14:textId="77777777" w:rsidR="00124A26" w:rsidRPr="006A31EC" w:rsidRDefault="00124A26" w:rsidP="002D3EBF">
            <w:pPr>
              <w:ind w:firstLine="0"/>
              <w:rPr>
                <w:sz w:val="22"/>
              </w:rPr>
            </w:pPr>
            <w:r w:rsidRPr="006A31EC">
              <w:rPr>
                <w:rFonts w:eastAsia="SimSun"/>
                <w:sz w:val="22"/>
                <w:lang w:val="en-US"/>
              </w:rPr>
              <w:t>-</w:t>
            </w:r>
          </w:p>
        </w:tc>
        <w:tc>
          <w:tcPr>
            <w:tcW w:w="337" w:type="pct"/>
            <w:shd w:val="clear" w:color="auto" w:fill="auto"/>
            <w:vAlign w:val="center"/>
          </w:tcPr>
          <w:p w14:paraId="6C539C71" w14:textId="77777777" w:rsidR="00124A26" w:rsidRPr="006A31EC" w:rsidRDefault="00124A26" w:rsidP="002D3EBF">
            <w:pPr>
              <w:ind w:firstLine="0"/>
              <w:rPr>
                <w:sz w:val="22"/>
              </w:rPr>
            </w:pPr>
            <w:r w:rsidRPr="006A31EC">
              <w:rPr>
                <w:rFonts w:eastAsia="SimSun"/>
                <w:sz w:val="22"/>
                <w:lang w:val="en-US"/>
              </w:rPr>
              <w:t>-</w:t>
            </w:r>
          </w:p>
        </w:tc>
        <w:tc>
          <w:tcPr>
            <w:tcW w:w="401" w:type="pct"/>
            <w:shd w:val="clear" w:color="auto" w:fill="auto"/>
            <w:vAlign w:val="center"/>
          </w:tcPr>
          <w:p w14:paraId="5EA58AC4" w14:textId="77777777" w:rsidR="00124A26" w:rsidRPr="006A31EC" w:rsidRDefault="00124A26" w:rsidP="002D3EBF">
            <w:pPr>
              <w:ind w:firstLine="0"/>
              <w:rPr>
                <w:rFonts w:eastAsia="SimSun"/>
                <w:sz w:val="22"/>
                <w:lang w:val="en-US"/>
              </w:rPr>
            </w:pPr>
            <w:r w:rsidRPr="006A31EC">
              <w:rPr>
                <w:rFonts w:eastAsia="SimSun"/>
                <w:sz w:val="22"/>
                <w:lang w:val="en-US"/>
              </w:rPr>
              <w:t>5.1.2.8</w:t>
            </w:r>
          </w:p>
        </w:tc>
        <w:tc>
          <w:tcPr>
            <w:tcW w:w="442" w:type="pct"/>
            <w:shd w:val="clear" w:color="auto" w:fill="auto"/>
            <w:vAlign w:val="center"/>
          </w:tcPr>
          <w:p w14:paraId="0FC97AD1" w14:textId="77777777" w:rsidR="00124A26" w:rsidRPr="006A31EC" w:rsidRDefault="00124A26" w:rsidP="002D3EBF">
            <w:pPr>
              <w:ind w:firstLine="0"/>
              <w:rPr>
                <w:rFonts w:eastAsia="SimSun"/>
                <w:sz w:val="22"/>
                <w:lang w:val="en-US"/>
              </w:rPr>
            </w:pPr>
            <w:r w:rsidRPr="006A31EC">
              <w:rPr>
                <w:rFonts w:eastAsia="SimSun"/>
                <w:sz w:val="22"/>
                <w:lang w:val="en-US"/>
              </w:rPr>
              <w:t>5.1.2.13</w:t>
            </w:r>
          </w:p>
        </w:tc>
        <w:tc>
          <w:tcPr>
            <w:tcW w:w="337" w:type="pct"/>
            <w:shd w:val="clear" w:color="auto" w:fill="auto"/>
            <w:vAlign w:val="center"/>
          </w:tcPr>
          <w:p w14:paraId="3F794FD6" w14:textId="77777777" w:rsidR="00124A26" w:rsidRPr="006A31EC" w:rsidRDefault="00124A26" w:rsidP="002D3EBF">
            <w:pPr>
              <w:ind w:firstLine="0"/>
              <w:rPr>
                <w:sz w:val="22"/>
              </w:rPr>
            </w:pPr>
            <w:r w:rsidRPr="006A31EC">
              <w:rPr>
                <w:rFonts w:eastAsia="SimSun"/>
                <w:sz w:val="22"/>
                <w:lang w:val="en-US"/>
              </w:rPr>
              <w:t>-</w:t>
            </w:r>
          </w:p>
        </w:tc>
        <w:tc>
          <w:tcPr>
            <w:tcW w:w="337" w:type="pct"/>
          </w:tcPr>
          <w:p w14:paraId="2BF88927" w14:textId="77777777" w:rsidR="00124A26" w:rsidRPr="006A31EC" w:rsidRDefault="00124A26" w:rsidP="002D3EBF">
            <w:pPr>
              <w:ind w:firstLine="0"/>
              <w:rPr>
                <w:rFonts w:eastAsia="SimSun"/>
                <w:sz w:val="22"/>
                <w:lang w:val="en-US"/>
              </w:rPr>
            </w:pPr>
          </w:p>
        </w:tc>
      </w:tr>
      <w:tr w:rsidR="00124A26" w:rsidRPr="006A31EC" w14:paraId="7E52DE9B" w14:textId="77777777" w:rsidTr="002D3EBF">
        <w:trPr>
          <w:cantSplit/>
          <w:trHeight w:val="624"/>
        </w:trPr>
        <w:tc>
          <w:tcPr>
            <w:tcW w:w="293" w:type="pct"/>
            <w:vMerge/>
            <w:shd w:val="clear" w:color="auto" w:fill="D9D9D9"/>
            <w:vAlign w:val="center"/>
          </w:tcPr>
          <w:p w14:paraId="709DC421" w14:textId="77777777" w:rsidR="00124A26" w:rsidRPr="006A31EC" w:rsidRDefault="00124A26" w:rsidP="002D3EBF">
            <w:pPr>
              <w:ind w:firstLine="0"/>
              <w:rPr>
                <w:rFonts w:eastAsia="SimSun"/>
                <w:sz w:val="22"/>
                <w:lang w:val="en-US"/>
              </w:rPr>
            </w:pPr>
          </w:p>
        </w:tc>
        <w:tc>
          <w:tcPr>
            <w:tcW w:w="284" w:type="pct"/>
            <w:vMerge w:val="restart"/>
            <w:shd w:val="clear" w:color="auto" w:fill="D9D9D9"/>
            <w:vAlign w:val="center"/>
          </w:tcPr>
          <w:p w14:paraId="6F7A2297" w14:textId="77777777" w:rsidR="00124A26" w:rsidRPr="006A31EC" w:rsidRDefault="00124A26" w:rsidP="002D3EBF">
            <w:pPr>
              <w:ind w:firstLine="0"/>
              <w:rPr>
                <w:rFonts w:eastAsia="SimSun"/>
                <w:sz w:val="22"/>
              </w:rPr>
            </w:pPr>
            <w:r w:rsidRPr="006A31EC">
              <w:rPr>
                <w:rFonts w:eastAsia="SimSun"/>
                <w:sz w:val="22"/>
                <w:lang w:val="en-US"/>
              </w:rPr>
              <w:t>CSA</w:t>
            </w:r>
          </w:p>
          <w:p w14:paraId="3B8DFDC1" w14:textId="77777777" w:rsidR="00124A26" w:rsidRPr="006A31EC" w:rsidRDefault="00124A26" w:rsidP="002D3EBF">
            <w:pPr>
              <w:ind w:firstLine="0"/>
              <w:rPr>
                <w:rFonts w:eastAsia="SimSun"/>
                <w:sz w:val="22"/>
              </w:rPr>
            </w:pPr>
          </w:p>
        </w:tc>
        <w:tc>
          <w:tcPr>
            <w:tcW w:w="261" w:type="pct"/>
            <w:shd w:val="clear" w:color="auto" w:fill="D9D9D9"/>
            <w:vAlign w:val="center"/>
          </w:tcPr>
          <w:p w14:paraId="514CBB8A" w14:textId="77777777" w:rsidR="00124A26" w:rsidRPr="006A31EC" w:rsidRDefault="00124A26" w:rsidP="002D3EBF">
            <w:pPr>
              <w:ind w:firstLine="0"/>
              <w:rPr>
                <w:rFonts w:eastAsia="SimSun"/>
                <w:sz w:val="22"/>
                <w:lang w:val="en-US"/>
              </w:rPr>
            </w:pPr>
            <w:r w:rsidRPr="006A31EC">
              <w:rPr>
                <w:rFonts w:eastAsia="SimSun"/>
                <w:sz w:val="22"/>
                <w:lang w:val="en-US"/>
              </w:rPr>
              <w:t>-</w:t>
            </w:r>
          </w:p>
        </w:tc>
        <w:tc>
          <w:tcPr>
            <w:tcW w:w="398" w:type="pct"/>
            <w:shd w:val="clear" w:color="auto" w:fill="D9D9D9"/>
            <w:vAlign w:val="center"/>
          </w:tcPr>
          <w:p w14:paraId="07C38297" w14:textId="77777777" w:rsidR="00124A26" w:rsidRPr="006A31EC" w:rsidRDefault="00124A26" w:rsidP="002D3EBF">
            <w:pPr>
              <w:ind w:firstLine="0"/>
              <w:rPr>
                <w:rFonts w:eastAsia="SimSun"/>
                <w:sz w:val="22"/>
              </w:rPr>
            </w:pPr>
            <w:r w:rsidRPr="006A31EC">
              <w:rPr>
                <w:rFonts w:eastAsia="SimSun"/>
                <w:sz w:val="22"/>
                <w:lang w:val="en-US"/>
              </w:rPr>
              <w:t>MMF30</w:t>
            </w:r>
          </w:p>
        </w:tc>
        <w:tc>
          <w:tcPr>
            <w:tcW w:w="337" w:type="pct"/>
            <w:shd w:val="clear" w:color="auto" w:fill="auto"/>
            <w:vAlign w:val="center"/>
          </w:tcPr>
          <w:p w14:paraId="72758C15" w14:textId="77777777" w:rsidR="00124A26" w:rsidRPr="006A31EC" w:rsidRDefault="00124A26" w:rsidP="002D3EBF">
            <w:pPr>
              <w:ind w:firstLine="0"/>
              <w:rPr>
                <w:sz w:val="22"/>
              </w:rPr>
            </w:pPr>
            <w:r w:rsidRPr="006A31EC">
              <w:rPr>
                <w:rFonts w:eastAsia="SimSun"/>
                <w:sz w:val="22"/>
                <w:lang w:val="en-US"/>
              </w:rPr>
              <w:t>-</w:t>
            </w:r>
          </w:p>
        </w:tc>
        <w:tc>
          <w:tcPr>
            <w:tcW w:w="312" w:type="pct"/>
          </w:tcPr>
          <w:p w14:paraId="228BE86F" w14:textId="77777777" w:rsidR="00124A26" w:rsidRPr="006A31EC" w:rsidRDefault="00124A26" w:rsidP="002D3EBF">
            <w:pPr>
              <w:ind w:firstLine="0"/>
              <w:rPr>
                <w:rFonts w:eastAsia="SimSun"/>
                <w:sz w:val="22"/>
                <w:lang w:val="en-US"/>
              </w:rPr>
            </w:pPr>
          </w:p>
        </w:tc>
        <w:tc>
          <w:tcPr>
            <w:tcW w:w="337" w:type="pct"/>
            <w:shd w:val="clear" w:color="auto" w:fill="auto"/>
            <w:vAlign w:val="center"/>
          </w:tcPr>
          <w:p w14:paraId="6C60A5E4" w14:textId="77777777" w:rsidR="00124A26" w:rsidRPr="006A31EC" w:rsidRDefault="00124A26" w:rsidP="002D3EBF">
            <w:pPr>
              <w:ind w:firstLine="0"/>
              <w:rPr>
                <w:sz w:val="22"/>
              </w:rPr>
            </w:pPr>
            <w:r w:rsidRPr="006A31EC">
              <w:rPr>
                <w:rFonts w:eastAsia="SimSun"/>
                <w:sz w:val="22"/>
                <w:lang w:val="en-US"/>
              </w:rPr>
              <w:t>-</w:t>
            </w:r>
          </w:p>
        </w:tc>
        <w:tc>
          <w:tcPr>
            <w:tcW w:w="295" w:type="pct"/>
            <w:shd w:val="clear" w:color="auto" w:fill="auto"/>
            <w:vAlign w:val="center"/>
          </w:tcPr>
          <w:p w14:paraId="52C9052D" w14:textId="77777777" w:rsidR="00124A26" w:rsidRPr="006A31EC" w:rsidRDefault="00124A26" w:rsidP="002D3EBF">
            <w:pPr>
              <w:ind w:firstLine="0"/>
              <w:rPr>
                <w:sz w:val="22"/>
              </w:rPr>
            </w:pPr>
            <w:r w:rsidRPr="006A31EC">
              <w:rPr>
                <w:rFonts w:eastAsia="SimSun"/>
                <w:sz w:val="22"/>
                <w:lang w:val="en-US"/>
              </w:rPr>
              <w:t>-</w:t>
            </w:r>
          </w:p>
        </w:tc>
        <w:tc>
          <w:tcPr>
            <w:tcW w:w="295" w:type="pct"/>
            <w:shd w:val="clear" w:color="auto" w:fill="auto"/>
            <w:vAlign w:val="center"/>
          </w:tcPr>
          <w:p w14:paraId="04D8782D" w14:textId="77777777" w:rsidR="00124A26" w:rsidRPr="006A31EC" w:rsidRDefault="00124A26" w:rsidP="002D3EBF">
            <w:pPr>
              <w:ind w:firstLine="0"/>
              <w:rPr>
                <w:sz w:val="22"/>
              </w:rPr>
            </w:pPr>
            <w:r w:rsidRPr="006A31EC">
              <w:rPr>
                <w:rFonts w:eastAsia="SimSun"/>
                <w:sz w:val="22"/>
                <w:lang w:val="en-US"/>
              </w:rPr>
              <w:t>5.1.2.4</w:t>
            </w:r>
          </w:p>
        </w:tc>
        <w:tc>
          <w:tcPr>
            <w:tcW w:w="337" w:type="pct"/>
            <w:shd w:val="clear" w:color="auto" w:fill="auto"/>
            <w:vAlign w:val="center"/>
          </w:tcPr>
          <w:p w14:paraId="7F870E3E" w14:textId="77777777" w:rsidR="00124A26" w:rsidRPr="006A31EC" w:rsidRDefault="00124A26" w:rsidP="002D3EBF">
            <w:pPr>
              <w:ind w:firstLine="0"/>
              <w:rPr>
                <w:sz w:val="22"/>
              </w:rPr>
            </w:pPr>
            <w:r w:rsidRPr="006A31EC">
              <w:rPr>
                <w:sz w:val="22"/>
              </w:rPr>
              <w:t>5.1.2.20</w:t>
            </w:r>
          </w:p>
        </w:tc>
        <w:tc>
          <w:tcPr>
            <w:tcW w:w="337" w:type="pct"/>
            <w:shd w:val="clear" w:color="auto" w:fill="auto"/>
            <w:vAlign w:val="center"/>
          </w:tcPr>
          <w:p w14:paraId="7B3A4DB1" w14:textId="77777777" w:rsidR="00124A26" w:rsidRPr="006A31EC" w:rsidRDefault="00124A26" w:rsidP="002D3EBF">
            <w:pPr>
              <w:ind w:firstLine="0"/>
              <w:rPr>
                <w:sz w:val="22"/>
              </w:rPr>
            </w:pPr>
            <w:r w:rsidRPr="006A31EC">
              <w:rPr>
                <w:rFonts w:eastAsia="SimSun"/>
                <w:sz w:val="22"/>
                <w:lang w:val="en-US"/>
              </w:rPr>
              <w:t>-</w:t>
            </w:r>
          </w:p>
        </w:tc>
        <w:tc>
          <w:tcPr>
            <w:tcW w:w="401" w:type="pct"/>
            <w:shd w:val="clear" w:color="auto" w:fill="auto"/>
            <w:vAlign w:val="center"/>
          </w:tcPr>
          <w:p w14:paraId="06C3722B" w14:textId="77777777" w:rsidR="00124A26" w:rsidRPr="006A31EC" w:rsidRDefault="00124A26" w:rsidP="002D3EBF">
            <w:pPr>
              <w:ind w:firstLine="0"/>
              <w:rPr>
                <w:rFonts w:eastAsia="SimSun"/>
                <w:sz w:val="22"/>
                <w:lang w:val="en-US"/>
              </w:rPr>
            </w:pPr>
            <w:r w:rsidRPr="006A31EC">
              <w:rPr>
                <w:rFonts w:eastAsia="SimSun"/>
                <w:sz w:val="22"/>
                <w:lang w:val="en-US"/>
              </w:rPr>
              <w:t>5.1.2.7/11</w:t>
            </w:r>
          </w:p>
        </w:tc>
        <w:tc>
          <w:tcPr>
            <w:tcW w:w="442" w:type="pct"/>
            <w:shd w:val="clear" w:color="auto" w:fill="auto"/>
            <w:vAlign w:val="center"/>
          </w:tcPr>
          <w:p w14:paraId="12FFA0A2" w14:textId="77777777" w:rsidR="00124A26" w:rsidRPr="006A31EC" w:rsidRDefault="00124A26" w:rsidP="002D3EBF">
            <w:pPr>
              <w:ind w:firstLine="0"/>
              <w:rPr>
                <w:sz w:val="22"/>
              </w:rPr>
            </w:pPr>
            <w:r w:rsidRPr="006A31EC">
              <w:rPr>
                <w:rFonts w:eastAsia="SimSun"/>
                <w:sz w:val="22"/>
                <w:lang w:val="en-US"/>
              </w:rPr>
              <w:t>-</w:t>
            </w:r>
          </w:p>
        </w:tc>
        <w:tc>
          <w:tcPr>
            <w:tcW w:w="337" w:type="pct"/>
            <w:shd w:val="clear" w:color="auto" w:fill="auto"/>
            <w:vAlign w:val="center"/>
          </w:tcPr>
          <w:p w14:paraId="73C2257D" w14:textId="77777777" w:rsidR="00124A26" w:rsidRPr="006A31EC" w:rsidRDefault="00124A26" w:rsidP="002D3EBF">
            <w:pPr>
              <w:ind w:firstLine="0"/>
              <w:rPr>
                <w:sz w:val="22"/>
              </w:rPr>
            </w:pPr>
            <w:r w:rsidRPr="006A31EC">
              <w:rPr>
                <w:rFonts w:eastAsia="SimSun"/>
                <w:sz w:val="22"/>
                <w:lang w:val="en-US"/>
              </w:rPr>
              <w:t>-</w:t>
            </w:r>
          </w:p>
        </w:tc>
        <w:tc>
          <w:tcPr>
            <w:tcW w:w="337" w:type="pct"/>
          </w:tcPr>
          <w:p w14:paraId="7A2526EA" w14:textId="77777777" w:rsidR="00124A26" w:rsidRPr="006A31EC" w:rsidRDefault="00124A26" w:rsidP="002D3EBF">
            <w:pPr>
              <w:ind w:firstLine="0"/>
              <w:rPr>
                <w:rFonts w:eastAsia="SimSun"/>
                <w:sz w:val="22"/>
                <w:lang w:val="en-US"/>
              </w:rPr>
            </w:pPr>
          </w:p>
        </w:tc>
      </w:tr>
      <w:tr w:rsidR="00124A26" w:rsidRPr="006A31EC" w14:paraId="6EB81330" w14:textId="77777777" w:rsidTr="002D3EBF">
        <w:trPr>
          <w:cantSplit/>
          <w:trHeight w:val="624"/>
        </w:trPr>
        <w:tc>
          <w:tcPr>
            <w:tcW w:w="293" w:type="pct"/>
            <w:vMerge/>
            <w:shd w:val="clear" w:color="auto" w:fill="D9D9D9"/>
            <w:vAlign w:val="center"/>
          </w:tcPr>
          <w:p w14:paraId="4C32ED66" w14:textId="77777777" w:rsidR="00124A26" w:rsidRPr="006A31EC" w:rsidRDefault="00124A26" w:rsidP="002D3EBF">
            <w:pPr>
              <w:ind w:firstLine="0"/>
              <w:rPr>
                <w:rFonts w:eastAsia="SimSun"/>
                <w:sz w:val="22"/>
                <w:lang w:val="en-US"/>
              </w:rPr>
            </w:pPr>
          </w:p>
        </w:tc>
        <w:tc>
          <w:tcPr>
            <w:tcW w:w="284" w:type="pct"/>
            <w:vMerge/>
            <w:shd w:val="clear" w:color="auto" w:fill="D9D9D9"/>
            <w:vAlign w:val="center"/>
          </w:tcPr>
          <w:p w14:paraId="58CA3D17" w14:textId="77777777" w:rsidR="00124A26" w:rsidRPr="006A31EC" w:rsidRDefault="00124A26" w:rsidP="002D3EBF">
            <w:pPr>
              <w:ind w:firstLine="0"/>
              <w:rPr>
                <w:rFonts w:eastAsia="SimSun"/>
                <w:sz w:val="22"/>
                <w:lang w:val="en-US"/>
              </w:rPr>
            </w:pPr>
          </w:p>
        </w:tc>
        <w:tc>
          <w:tcPr>
            <w:tcW w:w="261" w:type="pct"/>
            <w:shd w:val="clear" w:color="auto" w:fill="D9D9D9"/>
            <w:vAlign w:val="center"/>
          </w:tcPr>
          <w:p w14:paraId="61968FCB" w14:textId="77777777" w:rsidR="00124A26" w:rsidRPr="006A31EC" w:rsidRDefault="00124A26" w:rsidP="002D3EBF">
            <w:pPr>
              <w:ind w:firstLine="0"/>
              <w:rPr>
                <w:rFonts w:eastAsia="SimSun"/>
                <w:sz w:val="22"/>
                <w:lang w:val="en-US"/>
              </w:rPr>
            </w:pPr>
            <w:r w:rsidRPr="006A31EC">
              <w:rPr>
                <w:rFonts w:eastAsia="SimSun"/>
                <w:sz w:val="22"/>
                <w:lang w:val="en-US"/>
              </w:rPr>
              <w:t>-</w:t>
            </w:r>
          </w:p>
        </w:tc>
        <w:tc>
          <w:tcPr>
            <w:tcW w:w="398" w:type="pct"/>
            <w:shd w:val="clear" w:color="auto" w:fill="D9D9D9"/>
            <w:vAlign w:val="center"/>
          </w:tcPr>
          <w:p w14:paraId="681742EC" w14:textId="77777777" w:rsidR="00124A26" w:rsidRPr="006A31EC" w:rsidRDefault="00124A26" w:rsidP="002D3EBF">
            <w:pPr>
              <w:ind w:firstLine="0"/>
              <w:rPr>
                <w:rFonts w:eastAsia="SimSun"/>
                <w:sz w:val="22"/>
                <w:lang w:val="en-US"/>
              </w:rPr>
            </w:pPr>
            <w:r w:rsidRPr="006A31EC">
              <w:rPr>
                <w:rFonts w:eastAsia="SimSun"/>
                <w:sz w:val="22"/>
                <w:lang w:val="en-US"/>
              </w:rPr>
              <w:t>MMF45</w:t>
            </w:r>
          </w:p>
        </w:tc>
        <w:tc>
          <w:tcPr>
            <w:tcW w:w="337" w:type="pct"/>
            <w:shd w:val="clear" w:color="auto" w:fill="auto"/>
            <w:vAlign w:val="center"/>
          </w:tcPr>
          <w:p w14:paraId="5F6F5251" w14:textId="77777777" w:rsidR="00124A26" w:rsidRPr="006A31EC" w:rsidRDefault="00124A26" w:rsidP="002D3EBF">
            <w:pPr>
              <w:ind w:firstLine="0"/>
              <w:rPr>
                <w:rFonts w:eastAsia="SimSun"/>
                <w:sz w:val="22"/>
              </w:rPr>
            </w:pPr>
            <w:r w:rsidRPr="006A31EC">
              <w:rPr>
                <w:rFonts w:eastAsia="SimSun"/>
                <w:sz w:val="22"/>
                <w:lang w:val="en-US"/>
              </w:rPr>
              <w:t>-</w:t>
            </w:r>
          </w:p>
        </w:tc>
        <w:tc>
          <w:tcPr>
            <w:tcW w:w="312" w:type="pct"/>
          </w:tcPr>
          <w:p w14:paraId="4CB5CD8F" w14:textId="77777777" w:rsidR="00124A26" w:rsidRPr="006A31EC" w:rsidRDefault="00124A26" w:rsidP="002D3EBF">
            <w:pPr>
              <w:ind w:firstLine="0"/>
              <w:rPr>
                <w:rFonts w:eastAsia="SimSun"/>
                <w:sz w:val="22"/>
                <w:lang w:val="en-US"/>
              </w:rPr>
            </w:pPr>
          </w:p>
        </w:tc>
        <w:tc>
          <w:tcPr>
            <w:tcW w:w="337" w:type="pct"/>
            <w:shd w:val="clear" w:color="auto" w:fill="auto"/>
            <w:vAlign w:val="center"/>
          </w:tcPr>
          <w:p w14:paraId="759BC282" w14:textId="77777777" w:rsidR="00124A26" w:rsidRPr="006A31EC" w:rsidRDefault="00124A26" w:rsidP="002D3EBF">
            <w:pPr>
              <w:ind w:firstLine="0"/>
              <w:rPr>
                <w:rFonts w:eastAsia="SimSun"/>
                <w:sz w:val="22"/>
              </w:rPr>
            </w:pPr>
            <w:r w:rsidRPr="006A31EC">
              <w:rPr>
                <w:rFonts w:eastAsia="SimSun"/>
                <w:sz w:val="22"/>
                <w:lang w:val="en-US"/>
              </w:rPr>
              <w:t>5.1.2.1</w:t>
            </w:r>
            <w:r w:rsidRPr="006A31EC">
              <w:rPr>
                <w:rFonts w:eastAsia="SimSun"/>
                <w:sz w:val="22"/>
              </w:rPr>
              <w:t>9</w:t>
            </w:r>
          </w:p>
        </w:tc>
        <w:tc>
          <w:tcPr>
            <w:tcW w:w="295" w:type="pct"/>
            <w:shd w:val="clear" w:color="auto" w:fill="auto"/>
            <w:vAlign w:val="center"/>
          </w:tcPr>
          <w:p w14:paraId="7381F414" w14:textId="77777777" w:rsidR="00124A26" w:rsidRPr="006A31EC" w:rsidRDefault="00124A26" w:rsidP="002D3EBF">
            <w:pPr>
              <w:ind w:firstLine="0"/>
              <w:rPr>
                <w:sz w:val="22"/>
              </w:rPr>
            </w:pPr>
            <w:r w:rsidRPr="006A31EC">
              <w:rPr>
                <w:rFonts w:eastAsia="SimSun"/>
                <w:sz w:val="22"/>
                <w:lang w:val="en-US"/>
              </w:rPr>
              <w:t>5.1.2.3</w:t>
            </w:r>
          </w:p>
        </w:tc>
        <w:tc>
          <w:tcPr>
            <w:tcW w:w="295" w:type="pct"/>
            <w:shd w:val="clear" w:color="auto" w:fill="auto"/>
            <w:vAlign w:val="center"/>
          </w:tcPr>
          <w:p w14:paraId="5B7D9109" w14:textId="77777777" w:rsidR="00124A26" w:rsidRPr="006A31EC" w:rsidRDefault="00124A26" w:rsidP="002D3EBF">
            <w:pPr>
              <w:ind w:firstLine="0"/>
              <w:rPr>
                <w:sz w:val="22"/>
              </w:rPr>
            </w:pPr>
            <w:r w:rsidRPr="006A31EC">
              <w:rPr>
                <w:rFonts w:eastAsia="SimSun"/>
                <w:sz w:val="22"/>
                <w:lang w:val="en-US"/>
              </w:rPr>
              <w:t>-</w:t>
            </w:r>
          </w:p>
        </w:tc>
        <w:tc>
          <w:tcPr>
            <w:tcW w:w="337" w:type="pct"/>
            <w:shd w:val="clear" w:color="auto" w:fill="auto"/>
            <w:vAlign w:val="center"/>
          </w:tcPr>
          <w:p w14:paraId="7B31E427" w14:textId="77777777" w:rsidR="00124A26" w:rsidRPr="006A31EC" w:rsidRDefault="00124A26" w:rsidP="002D3EBF">
            <w:pPr>
              <w:ind w:firstLine="0"/>
              <w:rPr>
                <w:sz w:val="22"/>
              </w:rPr>
            </w:pPr>
            <w:r w:rsidRPr="006A31EC">
              <w:rPr>
                <w:rFonts w:eastAsia="SimSun"/>
                <w:sz w:val="22"/>
                <w:lang w:val="en-US"/>
              </w:rPr>
              <w:t>-</w:t>
            </w:r>
          </w:p>
        </w:tc>
        <w:tc>
          <w:tcPr>
            <w:tcW w:w="337" w:type="pct"/>
            <w:shd w:val="clear" w:color="auto" w:fill="auto"/>
            <w:vAlign w:val="center"/>
          </w:tcPr>
          <w:p w14:paraId="440A9CDC" w14:textId="77777777" w:rsidR="00124A26" w:rsidRPr="006A31EC" w:rsidRDefault="00124A26" w:rsidP="002D3EBF">
            <w:pPr>
              <w:ind w:firstLine="0"/>
              <w:rPr>
                <w:sz w:val="22"/>
              </w:rPr>
            </w:pPr>
            <w:r w:rsidRPr="006A31EC">
              <w:rPr>
                <w:rFonts w:eastAsia="SimSun"/>
                <w:sz w:val="22"/>
                <w:lang w:val="en-US"/>
              </w:rPr>
              <w:t>-</w:t>
            </w:r>
          </w:p>
        </w:tc>
        <w:tc>
          <w:tcPr>
            <w:tcW w:w="401" w:type="pct"/>
            <w:shd w:val="clear" w:color="auto" w:fill="auto"/>
            <w:vAlign w:val="center"/>
          </w:tcPr>
          <w:p w14:paraId="663084F4" w14:textId="77777777" w:rsidR="00124A26" w:rsidRPr="006A31EC" w:rsidRDefault="00124A26" w:rsidP="002D3EBF">
            <w:pPr>
              <w:ind w:firstLine="0"/>
              <w:rPr>
                <w:sz w:val="22"/>
              </w:rPr>
            </w:pPr>
            <w:r w:rsidRPr="006A31EC">
              <w:rPr>
                <w:rFonts w:eastAsia="SimSun"/>
                <w:sz w:val="22"/>
                <w:lang w:val="en-US"/>
              </w:rPr>
              <w:t>-</w:t>
            </w:r>
          </w:p>
        </w:tc>
        <w:tc>
          <w:tcPr>
            <w:tcW w:w="442" w:type="pct"/>
            <w:shd w:val="clear" w:color="auto" w:fill="auto"/>
            <w:vAlign w:val="center"/>
          </w:tcPr>
          <w:p w14:paraId="6E696718" w14:textId="77777777" w:rsidR="00124A26" w:rsidRPr="006A31EC" w:rsidRDefault="00124A26" w:rsidP="002D3EBF">
            <w:pPr>
              <w:ind w:firstLine="0"/>
              <w:rPr>
                <w:sz w:val="22"/>
              </w:rPr>
            </w:pPr>
            <w:r w:rsidRPr="006A31EC">
              <w:rPr>
                <w:rFonts w:eastAsia="SimSun"/>
                <w:sz w:val="22"/>
                <w:lang w:val="en-US"/>
              </w:rPr>
              <w:t>-</w:t>
            </w:r>
          </w:p>
        </w:tc>
        <w:tc>
          <w:tcPr>
            <w:tcW w:w="337" w:type="pct"/>
            <w:shd w:val="clear" w:color="auto" w:fill="auto"/>
            <w:vAlign w:val="center"/>
          </w:tcPr>
          <w:p w14:paraId="5CA4F77B" w14:textId="77777777" w:rsidR="00124A26" w:rsidRPr="006A31EC" w:rsidRDefault="00124A26" w:rsidP="002D3EBF">
            <w:pPr>
              <w:ind w:firstLine="0"/>
              <w:rPr>
                <w:sz w:val="22"/>
              </w:rPr>
            </w:pPr>
            <w:r w:rsidRPr="006A31EC">
              <w:rPr>
                <w:rFonts w:eastAsia="SimSun"/>
                <w:sz w:val="22"/>
                <w:lang w:val="en-US"/>
              </w:rPr>
              <w:t>-</w:t>
            </w:r>
          </w:p>
        </w:tc>
        <w:tc>
          <w:tcPr>
            <w:tcW w:w="337" w:type="pct"/>
          </w:tcPr>
          <w:p w14:paraId="3FB71BF3" w14:textId="77777777" w:rsidR="00124A26" w:rsidRPr="006A31EC" w:rsidRDefault="00124A26" w:rsidP="002D3EBF">
            <w:pPr>
              <w:ind w:firstLine="0"/>
              <w:rPr>
                <w:rFonts w:eastAsia="SimSun"/>
                <w:sz w:val="22"/>
                <w:lang w:val="en-US"/>
              </w:rPr>
            </w:pPr>
          </w:p>
        </w:tc>
      </w:tr>
      <w:tr w:rsidR="00124A26" w:rsidRPr="006A31EC" w14:paraId="0263F154" w14:textId="77777777" w:rsidTr="002D3EBF">
        <w:trPr>
          <w:cantSplit/>
          <w:trHeight w:val="624"/>
        </w:trPr>
        <w:tc>
          <w:tcPr>
            <w:tcW w:w="293" w:type="pct"/>
            <w:vMerge/>
            <w:shd w:val="clear" w:color="auto" w:fill="D9D9D9"/>
            <w:vAlign w:val="center"/>
          </w:tcPr>
          <w:p w14:paraId="26C51771" w14:textId="77777777" w:rsidR="00124A26" w:rsidRPr="006A31EC" w:rsidRDefault="00124A26" w:rsidP="002D3EBF">
            <w:pPr>
              <w:ind w:firstLine="0"/>
              <w:rPr>
                <w:rFonts w:eastAsia="SimSun"/>
                <w:sz w:val="22"/>
                <w:lang w:val="en-US"/>
              </w:rPr>
            </w:pPr>
          </w:p>
        </w:tc>
        <w:tc>
          <w:tcPr>
            <w:tcW w:w="284" w:type="pct"/>
            <w:shd w:val="clear" w:color="auto" w:fill="D9D9D9"/>
            <w:vAlign w:val="center"/>
          </w:tcPr>
          <w:p w14:paraId="72211F64" w14:textId="77777777" w:rsidR="00124A26" w:rsidRPr="006A31EC" w:rsidRDefault="00124A26" w:rsidP="002D3EBF">
            <w:pPr>
              <w:ind w:firstLine="0"/>
              <w:rPr>
                <w:rFonts w:eastAsia="SimSun"/>
                <w:sz w:val="22"/>
                <w:lang w:val="en-US"/>
              </w:rPr>
            </w:pPr>
            <w:r w:rsidRPr="006A31EC">
              <w:rPr>
                <w:rFonts w:eastAsia="SimSun"/>
                <w:sz w:val="22"/>
                <w:lang w:val="en-US"/>
              </w:rPr>
              <w:t>Tx</w:t>
            </w:r>
          </w:p>
        </w:tc>
        <w:tc>
          <w:tcPr>
            <w:tcW w:w="261" w:type="pct"/>
            <w:shd w:val="clear" w:color="auto" w:fill="D9D9D9"/>
            <w:vAlign w:val="center"/>
          </w:tcPr>
          <w:p w14:paraId="7BBE3B42" w14:textId="77777777" w:rsidR="00124A26" w:rsidRPr="006A31EC" w:rsidRDefault="00124A26" w:rsidP="002D3EBF">
            <w:pPr>
              <w:ind w:firstLine="0"/>
              <w:rPr>
                <w:rFonts w:eastAsia="SimSun"/>
                <w:sz w:val="22"/>
                <w:lang w:val="en-US"/>
              </w:rPr>
            </w:pPr>
            <w:r w:rsidRPr="006A31EC">
              <w:rPr>
                <w:rFonts w:eastAsia="SimSun"/>
                <w:sz w:val="22"/>
                <w:lang w:val="en-US"/>
              </w:rPr>
              <w:t>-</w:t>
            </w:r>
          </w:p>
        </w:tc>
        <w:tc>
          <w:tcPr>
            <w:tcW w:w="398" w:type="pct"/>
            <w:shd w:val="clear" w:color="auto" w:fill="D9D9D9"/>
            <w:vAlign w:val="center"/>
          </w:tcPr>
          <w:p w14:paraId="4BF43D99" w14:textId="77777777" w:rsidR="00124A26" w:rsidRPr="006A31EC" w:rsidRDefault="00124A26" w:rsidP="002D3EBF">
            <w:pPr>
              <w:ind w:firstLine="0"/>
              <w:rPr>
                <w:rFonts w:eastAsia="SimSun"/>
                <w:sz w:val="22"/>
                <w:lang w:val="en-US"/>
              </w:rPr>
            </w:pPr>
            <w:r w:rsidRPr="006A31EC">
              <w:rPr>
                <w:rFonts w:eastAsia="SimSun"/>
                <w:sz w:val="22"/>
                <w:lang w:val="en-US"/>
              </w:rPr>
              <w:t>MMF30</w:t>
            </w:r>
          </w:p>
        </w:tc>
        <w:tc>
          <w:tcPr>
            <w:tcW w:w="337" w:type="pct"/>
            <w:shd w:val="clear" w:color="auto" w:fill="auto"/>
            <w:vAlign w:val="center"/>
          </w:tcPr>
          <w:p w14:paraId="73EC02B3" w14:textId="77777777" w:rsidR="00124A26" w:rsidRPr="006A31EC" w:rsidRDefault="00124A26" w:rsidP="002D3EBF">
            <w:pPr>
              <w:ind w:firstLine="0"/>
              <w:rPr>
                <w:rFonts w:eastAsia="SimSun"/>
                <w:sz w:val="22"/>
                <w:lang w:val="en-US"/>
              </w:rPr>
            </w:pPr>
            <w:r w:rsidRPr="006A31EC">
              <w:rPr>
                <w:rFonts w:eastAsia="SimSun"/>
                <w:sz w:val="22"/>
                <w:lang w:val="en-US"/>
              </w:rPr>
              <w:t>5.1.2.16</w:t>
            </w:r>
          </w:p>
        </w:tc>
        <w:tc>
          <w:tcPr>
            <w:tcW w:w="312" w:type="pct"/>
          </w:tcPr>
          <w:p w14:paraId="4030915A" w14:textId="77777777" w:rsidR="00124A26" w:rsidRPr="006A31EC" w:rsidRDefault="00124A26" w:rsidP="002D3EBF">
            <w:pPr>
              <w:ind w:firstLine="0"/>
              <w:rPr>
                <w:rFonts w:eastAsia="SimSun"/>
                <w:sz w:val="22"/>
                <w:lang w:val="en-US"/>
              </w:rPr>
            </w:pPr>
          </w:p>
        </w:tc>
        <w:tc>
          <w:tcPr>
            <w:tcW w:w="337" w:type="pct"/>
            <w:shd w:val="clear" w:color="auto" w:fill="auto"/>
            <w:vAlign w:val="center"/>
          </w:tcPr>
          <w:p w14:paraId="2244FB25" w14:textId="77777777" w:rsidR="00124A26" w:rsidRPr="006A31EC" w:rsidRDefault="00124A26" w:rsidP="002D3EBF">
            <w:pPr>
              <w:ind w:firstLine="0"/>
              <w:rPr>
                <w:sz w:val="22"/>
              </w:rPr>
            </w:pPr>
            <w:r w:rsidRPr="006A31EC">
              <w:rPr>
                <w:rFonts w:eastAsia="SimSun"/>
                <w:sz w:val="22"/>
                <w:lang w:val="en-US"/>
              </w:rPr>
              <w:t>-</w:t>
            </w:r>
          </w:p>
        </w:tc>
        <w:tc>
          <w:tcPr>
            <w:tcW w:w="295" w:type="pct"/>
            <w:shd w:val="clear" w:color="auto" w:fill="auto"/>
            <w:vAlign w:val="center"/>
          </w:tcPr>
          <w:p w14:paraId="4B637EED" w14:textId="77777777" w:rsidR="00124A26" w:rsidRPr="006A31EC" w:rsidRDefault="00124A26" w:rsidP="002D3EBF">
            <w:pPr>
              <w:ind w:firstLine="0"/>
              <w:rPr>
                <w:sz w:val="22"/>
              </w:rPr>
            </w:pPr>
            <w:r w:rsidRPr="006A31EC">
              <w:rPr>
                <w:rFonts w:eastAsia="SimSun"/>
                <w:sz w:val="22"/>
                <w:lang w:val="en-US"/>
              </w:rPr>
              <w:t>-</w:t>
            </w:r>
          </w:p>
        </w:tc>
        <w:tc>
          <w:tcPr>
            <w:tcW w:w="295" w:type="pct"/>
            <w:shd w:val="clear" w:color="auto" w:fill="auto"/>
            <w:vAlign w:val="center"/>
          </w:tcPr>
          <w:p w14:paraId="430924B0" w14:textId="77777777" w:rsidR="00124A26" w:rsidRPr="006A31EC" w:rsidRDefault="00124A26" w:rsidP="002D3EBF">
            <w:pPr>
              <w:ind w:firstLine="0"/>
              <w:rPr>
                <w:sz w:val="22"/>
              </w:rPr>
            </w:pPr>
            <w:r w:rsidRPr="006A31EC">
              <w:rPr>
                <w:rFonts w:eastAsia="SimSun"/>
                <w:sz w:val="22"/>
                <w:lang w:val="en-US"/>
              </w:rPr>
              <w:t>-</w:t>
            </w:r>
          </w:p>
        </w:tc>
        <w:tc>
          <w:tcPr>
            <w:tcW w:w="337" w:type="pct"/>
            <w:shd w:val="clear" w:color="auto" w:fill="auto"/>
            <w:vAlign w:val="center"/>
          </w:tcPr>
          <w:p w14:paraId="50D13E91" w14:textId="77777777" w:rsidR="00124A26" w:rsidRPr="006A31EC" w:rsidRDefault="00124A26" w:rsidP="002D3EBF">
            <w:pPr>
              <w:ind w:firstLine="0"/>
              <w:rPr>
                <w:sz w:val="22"/>
              </w:rPr>
            </w:pPr>
            <w:r w:rsidRPr="006A31EC">
              <w:rPr>
                <w:rFonts w:eastAsia="SimSun"/>
                <w:sz w:val="22"/>
                <w:lang w:val="en-US"/>
              </w:rPr>
              <w:t>-</w:t>
            </w:r>
          </w:p>
        </w:tc>
        <w:tc>
          <w:tcPr>
            <w:tcW w:w="337" w:type="pct"/>
            <w:shd w:val="clear" w:color="auto" w:fill="auto"/>
            <w:vAlign w:val="center"/>
          </w:tcPr>
          <w:p w14:paraId="065A1739" w14:textId="77777777" w:rsidR="00124A26" w:rsidRPr="006A31EC" w:rsidRDefault="00124A26" w:rsidP="002D3EBF">
            <w:pPr>
              <w:ind w:firstLine="0"/>
              <w:rPr>
                <w:sz w:val="22"/>
              </w:rPr>
            </w:pPr>
            <w:r w:rsidRPr="006A31EC">
              <w:rPr>
                <w:rFonts w:eastAsia="SimSun"/>
                <w:sz w:val="22"/>
                <w:lang w:val="en-US"/>
              </w:rPr>
              <w:t>-</w:t>
            </w:r>
          </w:p>
        </w:tc>
        <w:tc>
          <w:tcPr>
            <w:tcW w:w="401" w:type="pct"/>
            <w:shd w:val="clear" w:color="auto" w:fill="auto"/>
            <w:vAlign w:val="center"/>
          </w:tcPr>
          <w:p w14:paraId="49399151" w14:textId="77777777" w:rsidR="00124A26" w:rsidRPr="006A31EC" w:rsidRDefault="00124A26" w:rsidP="002D3EBF">
            <w:pPr>
              <w:ind w:firstLine="0"/>
              <w:rPr>
                <w:rFonts w:eastAsia="SimSun"/>
                <w:sz w:val="22"/>
                <w:lang w:val="en-US"/>
              </w:rPr>
            </w:pPr>
            <w:r w:rsidRPr="006A31EC">
              <w:rPr>
                <w:rFonts w:eastAsia="SimSun"/>
                <w:sz w:val="22"/>
                <w:lang w:val="en-US"/>
              </w:rPr>
              <w:t>5.1.2.9</w:t>
            </w:r>
          </w:p>
        </w:tc>
        <w:tc>
          <w:tcPr>
            <w:tcW w:w="442" w:type="pct"/>
            <w:shd w:val="clear" w:color="auto" w:fill="auto"/>
            <w:vAlign w:val="center"/>
          </w:tcPr>
          <w:p w14:paraId="40889F53" w14:textId="77777777" w:rsidR="00124A26" w:rsidRPr="006A31EC" w:rsidRDefault="00124A26" w:rsidP="002D3EBF">
            <w:pPr>
              <w:ind w:firstLine="0"/>
              <w:rPr>
                <w:rFonts w:eastAsia="SimSun"/>
                <w:sz w:val="22"/>
                <w:lang w:val="en-US"/>
              </w:rPr>
            </w:pPr>
            <w:r w:rsidRPr="006A31EC">
              <w:rPr>
                <w:rFonts w:eastAsia="SimSun"/>
                <w:sz w:val="22"/>
                <w:lang w:val="en-US"/>
              </w:rPr>
              <w:t>5.1.2.14</w:t>
            </w:r>
          </w:p>
        </w:tc>
        <w:tc>
          <w:tcPr>
            <w:tcW w:w="337" w:type="pct"/>
            <w:shd w:val="clear" w:color="auto" w:fill="auto"/>
            <w:vAlign w:val="center"/>
          </w:tcPr>
          <w:p w14:paraId="54551741" w14:textId="77777777" w:rsidR="00124A26" w:rsidRPr="006A31EC" w:rsidRDefault="00124A26" w:rsidP="002D3EBF">
            <w:pPr>
              <w:ind w:firstLine="0"/>
              <w:rPr>
                <w:sz w:val="22"/>
              </w:rPr>
            </w:pPr>
            <w:r w:rsidRPr="006A31EC">
              <w:rPr>
                <w:rFonts w:eastAsia="SimSun"/>
                <w:sz w:val="22"/>
              </w:rPr>
              <w:t xml:space="preserve">      </w:t>
            </w:r>
            <w:r w:rsidRPr="006A31EC">
              <w:rPr>
                <w:rFonts w:eastAsia="SimSun"/>
                <w:sz w:val="22"/>
                <w:lang w:val="en-US"/>
              </w:rPr>
              <w:t>-</w:t>
            </w:r>
          </w:p>
        </w:tc>
        <w:tc>
          <w:tcPr>
            <w:tcW w:w="337" w:type="pct"/>
          </w:tcPr>
          <w:p w14:paraId="5F6A0C3A" w14:textId="77777777" w:rsidR="00124A26" w:rsidRPr="006A31EC" w:rsidRDefault="00124A26" w:rsidP="002D3EBF">
            <w:pPr>
              <w:ind w:firstLine="0"/>
              <w:rPr>
                <w:rFonts w:eastAsia="SimSun"/>
                <w:sz w:val="22"/>
              </w:rPr>
            </w:pPr>
            <w:r w:rsidRPr="006A31EC">
              <w:rPr>
                <w:rFonts w:eastAsia="SimSun"/>
                <w:sz w:val="22"/>
                <w:lang w:val="en-US"/>
              </w:rPr>
              <w:t>5.1.2.2</w:t>
            </w:r>
            <w:r w:rsidRPr="006A31EC">
              <w:rPr>
                <w:rFonts w:eastAsia="SimSun"/>
                <w:sz w:val="22"/>
              </w:rPr>
              <w:t>4</w:t>
            </w:r>
          </w:p>
        </w:tc>
      </w:tr>
      <w:tr w:rsidR="00124A26" w:rsidRPr="006A31EC" w14:paraId="62C4B43D" w14:textId="77777777" w:rsidTr="002D3EBF">
        <w:trPr>
          <w:cantSplit/>
          <w:trHeight w:val="624"/>
        </w:trPr>
        <w:tc>
          <w:tcPr>
            <w:tcW w:w="293" w:type="pct"/>
            <w:vMerge/>
            <w:shd w:val="clear" w:color="auto" w:fill="D9D9D9"/>
            <w:vAlign w:val="center"/>
          </w:tcPr>
          <w:p w14:paraId="4F2DD857" w14:textId="77777777" w:rsidR="00124A26" w:rsidRPr="006A31EC" w:rsidRDefault="00124A26" w:rsidP="002D3EBF">
            <w:pPr>
              <w:ind w:firstLine="0"/>
              <w:rPr>
                <w:rFonts w:eastAsia="SimSun"/>
                <w:sz w:val="22"/>
                <w:lang w:val="en-US"/>
              </w:rPr>
            </w:pPr>
          </w:p>
        </w:tc>
        <w:tc>
          <w:tcPr>
            <w:tcW w:w="284" w:type="pct"/>
            <w:shd w:val="clear" w:color="auto" w:fill="D9D9D9"/>
            <w:vAlign w:val="center"/>
          </w:tcPr>
          <w:p w14:paraId="2CD15D9F" w14:textId="77777777" w:rsidR="00124A26" w:rsidRPr="006A31EC" w:rsidRDefault="00124A26" w:rsidP="002D3EBF">
            <w:pPr>
              <w:ind w:firstLine="0"/>
              <w:rPr>
                <w:rFonts w:eastAsia="SimSun"/>
                <w:sz w:val="22"/>
                <w:lang w:val="en-US"/>
              </w:rPr>
            </w:pPr>
            <w:r w:rsidRPr="006A31EC">
              <w:rPr>
                <w:rFonts w:eastAsia="SimSun"/>
                <w:sz w:val="22"/>
                <w:lang w:val="en-US"/>
              </w:rPr>
              <w:t>Ruxo</w:t>
            </w:r>
          </w:p>
        </w:tc>
        <w:tc>
          <w:tcPr>
            <w:tcW w:w="261" w:type="pct"/>
            <w:shd w:val="clear" w:color="auto" w:fill="D9D9D9"/>
            <w:vAlign w:val="center"/>
          </w:tcPr>
          <w:p w14:paraId="77016956" w14:textId="77777777" w:rsidR="00124A26" w:rsidRPr="006A31EC" w:rsidRDefault="00124A26" w:rsidP="002D3EBF">
            <w:pPr>
              <w:ind w:firstLine="0"/>
              <w:rPr>
                <w:rFonts w:eastAsia="SimSun"/>
                <w:sz w:val="22"/>
                <w:lang w:val="en-US"/>
              </w:rPr>
            </w:pPr>
            <w:r w:rsidRPr="006A31EC">
              <w:rPr>
                <w:rFonts w:eastAsia="SimSun"/>
                <w:sz w:val="22"/>
                <w:lang w:val="en-US"/>
              </w:rPr>
              <w:t>-</w:t>
            </w:r>
          </w:p>
        </w:tc>
        <w:tc>
          <w:tcPr>
            <w:tcW w:w="398" w:type="pct"/>
            <w:shd w:val="clear" w:color="auto" w:fill="D9D9D9"/>
            <w:vAlign w:val="center"/>
          </w:tcPr>
          <w:p w14:paraId="0C32FA83" w14:textId="77777777" w:rsidR="00124A26" w:rsidRPr="006A31EC" w:rsidRDefault="00124A26" w:rsidP="002D3EBF">
            <w:pPr>
              <w:ind w:firstLine="0"/>
              <w:rPr>
                <w:rFonts w:eastAsia="SimSun"/>
                <w:sz w:val="22"/>
                <w:lang w:val="en-US"/>
              </w:rPr>
            </w:pPr>
            <w:r w:rsidRPr="006A31EC">
              <w:rPr>
                <w:rFonts w:eastAsia="SimSun"/>
                <w:sz w:val="22"/>
                <w:lang w:val="en-US"/>
              </w:rPr>
              <w:t>-</w:t>
            </w:r>
          </w:p>
        </w:tc>
        <w:tc>
          <w:tcPr>
            <w:tcW w:w="337" w:type="pct"/>
            <w:shd w:val="clear" w:color="auto" w:fill="auto"/>
            <w:vAlign w:val="center"/>
          </w:tcPr>
          <w:p w14:paraId="1AC12738" w14:textId="77777777" w:rsidR="00124A26" w:rsidRPr="006A31EC" w:rsidRDefault="00124A26" w:rsidP="002D3EBF">
            <w:pPr>
              <w:ind w:firstLine="0"/>
              <w:rPr>
                <w:sz w:val="22"/>
              </w:rPr>
            </w:pPr>
            <w:r w:rsidRPr="006A31EC">
              <w:rPr>
                <w:rFonts w:eastAsia="SimSun"/>
                <w:sz w:val="22"/>
                <w:lang w:val="en-US"/>
              </w:rPr>
              <w:t>-</w:t>
            </w:r>
          </w:p>
        </w:tc>
        <w:tc>
          <w:tcPr>
            <w:tcW w:w="312" w:type="pct"/>
          </w:tcPr>
          <w:p w14:paraId="7F0A4896" w14:textId="77777777" w:rsidR="00124A26" w:rsidRPr="006A31EC" w:rsidRDefault="00124A26" w:rsidP="002D3EBF">
            <w:pPr>
              <w:ind w:firstLine="0"/>
              <w:rPr>
                <w:rFonts w:eastAsia="SimSun"/>
                <w:sz w:val="22"/>
                <w:lang w:val="en-US"/>
              </w:rPr>
            </w:pPr>
          </w:p>
        </w:tc>
        <w:tc>
          <w:tcPr>
            <w:tcW w:w="337" w:type="pct"/>
            <w:shd w:val="clear" w:color="auto" w:fill="auto"/>
            <w:vAlign w:val="center"/>
          </w:tcPr>
          <w:p w14:paraId="488F9A01" w14:textId="77777777" w:rsidR="00124A26" w:rsidRPr="006A31EC" w:rsidRDefault="00124A26" w:rsidP="002D3EBF">
            <w:pPr>
              <w:ind w:firstLine="0"/>
              <w:rPr>
                <w:sz w:val="22"/>
              </w:rPr>
            </w:pPr>
            <w:r w:rsidRPr="006A31EC">
              <w:rPr>
                <w:rFonts w:eastAsia="SimSun"/>
                <w:sz w:val="22"/>
                <w:lang w:val="en-US"/>
              </w:rPr>
              <w:t>-</w:t>
            </w:r>
          </w:p>
        </w:tc>
        <w:tc>
          <w:tcPr>
            <w:tcW w:w="295" w:type="pct"/>
            <w:shd w:val="clear" w:color="auto" w:fill="auto"/>
            <w:vAlign w:val="center"/>
          </w:tcPr>
          <w:p w14:paraId="4813E76A" w14:textId="77777777" w:rsidR="00124A26" w:rsidRPr="006A31EC" w:rsidRDefault="00124A26" w:rsidP="002D3EBF">
            <w:pPr>
              <w:ind w:firstLine="0"/>
              <w:rPr>
                <w:sz w:val="22"/>
              </w:rPr>
            </w:pPr>
            <w:r w:rsidRPr="006A31EC">
              <w:rPr>
                <w:rFonts w:eastAsia="SimSun"/>
                <w:sz w:val="22"/>
                <w:lang w:val="en-US"/>
              </w:rPr>
              <w:t>-</w:t>
            </w:r>
          </w:p>
        </w:tc>
        <w:tc>
          <w:tcPr>
            <w:tcW w:w="295" w:type="pct"/>
            <w:shd w:val="clear" w:color="auto" w:fill="auto"/>
            <w:vAlign w:val="center"/>
          </w:tcPr>
          <w:p w14:paraId="3EA19930" w14:textId="77777777" w:rsidR="00124A26" w:rsidRPr="006A31EC" w:rsidRDefault="00124A26" w:rsidP="002D3EBF">
            <w:pPr>
              <w:ind w:firstLine="0"/>
              <w:rPr>
                <w:sz w:val="22"/>
              </w:rPr>
            </w:pPr>
            <w:r w:rsidRPr="006A31EC">
              <w:rPr>
                <w:rFonts w:eastAsia="SimSun"/>
                <w:sz w:val="22"/>
                <w:lang w:val="en-US"/>
              </w:rPr>
              <w:t>-</w:t>
            </w:r>
          </w:p>
        </w:tc>
        <w:tc>
          <w:tcPr>
            <w:tcW w:w="337" w:type="pct"/>
            <w:shd w:val="clear" w:color="auto" w:fill="auto"/>
            <w:vAlign w:val="center"/>
          </w:tcPr>
          <w:p w14:paraId="587E8B72" w14:textId="77777777" w:rsidR="00124A26" w:rsidRPr="006A31EC" w:rsidRDefault="00124A26" w:rsidP="002D3EBF">
            <w:pPr>
              <w:ind w:firstLine="0"/>
              <w:rPr>
                <w:sz w:val="22"/>
              </w:rPr>
            </w:pPr>
            <w:r w:rsidRPr="006A31EC">
              <w:rPr>
                <w:rFonts w:eastAsia="SimSun"/>
                <w:sz w:val="22"/>
                <w:lang w:val="en-US"/>
              </w:rPr>
              <w:t>-</w:t>
            </w:r>
          </w:p>
        </w:tc>
        <w:tc>
          <w:tcPr>
            <w:tcW w:w="337" w:type="pct"/>
            <w:shd w:val="clear" w:color="auto" w:fill="auto"/>
            <w:vAlign w:val="center"/>
          </w:tcPr>
          <w:p w14:paraId="09B8796C" w14:textId="77777777" w:rsidR="00124A26" w:rsidRPr="006A31EC" w:rsidRDefault="00124A26" w:rsidP="002D3EBF">
            <w:pPr>
              <w:ind w:firstLine="0"/>
              <w:rPr>
                <w:sz w:val="22"/>
              </w:rPr>
            </w:pPr>
            <w:r w:rsidRPr="006A31EC">
              <w:rPr>
                <w:rFonts w:eastAsia="SimSun"/>
                <w:sz w:val="22"/>
                <w:lang w:val="en-US"/>
              </w:rPr>
              <w:t>-</w:t>
            </w:r>
          </w:p>
        </w:tc>
        <w:tc>
          <w:tcPr>
            <w:tcW w:w="401" w:type="pct"/>
            <w:shd w:val="clear" w:color="auto" w:fill="auto"/>
            <w:vAlign w:val="center"/>
          </w:tcPr>
          <w:p w14:paraId="0516D205" w14:textId="77777777" w:rsidR="00124A26" w:rsidRPr="006A31EC" w:rsidRDefault="00124A26" w:rsidP="002D3EBF">
            <w:pPr>
              <w:ind w:firstLine="0"/>
              <w:rPr>
                <w:rFonts w:eastAsia="SimSun"/>
                <w:sz w:val="22"/>
              </w:rPr>
            </w:pPr>
          </w:p>
        </w:tc>
        <w:tc>
          <w:tcPr>
            <w:tcW w:w="442" w:type="pct"/>
            <w:shd w:val="clear" w:color="auto" w:fill="auto"/>
            <w:vAlign w:val="center"/>
          </w:tcPr>
          <w:p w14:paraId="5783BC9E" w14:textId="77777777" w:rsidR="00124A26" w:rsidRPr="006A31EC" w:rsidRDefault="00124A26" w:rsidP="002D3EBF">
            <w:pPr>
              <w:ind w:firstLine="0"/>
              <w:rPr>
                <w:rFonts w:eastAsia="SimSun"/>
                <w:sz w:val="22"/>
                <w:lang w:val="en-US"/>
              </w:rPr>
            </w:pPr>
            <w:r w:rsidRPr="006A31EC">
              <w:rPr>
                <w:rFonts w:eastAsia="SimSun"/>
                <w:sz w:val="22"/>
                <w:lang w:val="en-US"/>
              </w:rPr>
              <w:t>5.1.2.12/15</w:t>
            </w:r>
          </w:p>
        </w:tc>
        <w:tc>
          <w:tcPr>
            <w:tcW w:w="337" w:type="pct"/>
            <w:shd w:val="clear" w:color="auto" w:fill="auto"/>
            <w:vAlign w:val="center"/>
          </w:tcPr>
          <w:p w14:paraId="73E7D914" w14:textId="77777777" w:rsidR="00124A26" w:rsidRPr="006A31EC" w:rsidRDefault="00124A26" w:rsidP="002D3EBF">
            <w:pPr>
              <w:ind w:firstLine="0"/>
              <w:rPr>
                <w:sz w:val="22"/>
              </w:rPr>
            </w:pPr>
            <w:r w:rsidRPr="006A31EC">
              <w:rPr>
                <w:rFonts w:eastAsia="SimSun"/>
                <w:sz w:val="22"/>
                <w:lang w:val="en-US"/>
              </w:rPr>
              <w:t>-</w:t>
            </w:r>
          </w:p>
        </w:tc>
        <w:tc>
          <w:tcPr>
            <w:tcW w:w="337" w:type="pct"/>
          </w:tcPr>
          <w:p w14:paraId="207FD2BF" w14:textId="77777777" w:rsidR="00124A26" w:rsidRPr="006A31EC" w:rsidRDefault="00124A26" w:rsidP="002D3EBF">
            <w:pPr>
              <w:ind w:firstLine="0"/>
              <w:rPr>
                <w:rFonts w:eastAsia="SimSun"/>
                <w:sz w:val="22"/>
                <w:lang w:val="en-US"/>
              </w:rPr>
            </w:pPr>
          </w:p>
        </w:tc>
      </w:tr>
      <w:tr w:rsidR="00124A26" w:rsidRPr="006A31EC" w14:paraId="719C1862" w14:textId="77777777" w:rsidTr="002D3EBF">
        <w:trPr>
          <w:cantSplit/>
          <w:trHeight w:val="624"/>
        </w:trPr>
        <w:tc>
          <w:tcPr>
            <w:tcW w:w="293" w:type="pct"/>
            <w:shd w:val="clear" w:color="auto" w:fill="D9D9D9"/>
            <w:vAlign w:val="center"/>
          </w:tcPr>
          <w:p w14:paraId="2F43739C" w14:textId="77777777" w:rsidR="00124A26" w:rsidRPr="006A31EC" w:rsidRDefault="00124A26" w:rsidP="002D3EBF">
            <w:pPr>
              <w:ind w:firstLine="0"/>
              <w:rPr>
                <w:rFonts w:eastAsia="SimSun"/>
                <w:sz w:val="22"/>
                <w:lang w:val="en-US"/>
              </w:rPr>
            </w:pPr>
            <w:r w:rsidRPr="006A31EC">
              <w:rPr>
                <w:rFonts w:eastAsia="SimSun"/>
                <w:sz w:val="22"/>
                <w:lang w:val="en-US"/>
              </w:rPr>
              <w:t>-</w:t>
            </w:r>
          </w:p>
        </w:tc>
        <w:tc>
          <w:tcPr>
            <w:tcW w:w="284" w:type="pct"/>
            <w:shd w:val="clear" w:color="auto" w:fill="D9D9D9"/>
            <w:vAlign w:val="center"/>
          </w:tcPr>
          <w:p w14:paraId="49B6ED48" w14:textId="77777777" w:rsidR="00124A26" w:rsidRPr="006A31EC" w:rsidRDefault="00124A26" w:rsidP="002D3EBF">
            <w:pPr>
              <w:ind w:firstLine="0"/>
              <w:rPr>
                <w:rFonts w:eastAsia="SimSun"/>
                <w:sz w:val="22"/>
                <w:lang w:val="en-US"/>
              </w:rPr>
            </w:pPr>
            <w:r w:rsidRPr="006A31EC">
              <w:rPr>
                <w:rFonts w:eastAsia="SimSun"/>
                <w:sz w:val="22"/>
                <w:lang w:val="en-US"/>
              </w:rPr>
              <w:t>Tx</w:t>
            </w:r>
          </w:p>
        </w:tc>
        <w:tc>
          <w:tcPr>
            <w:tcW w:w="261" w:type="pct"/>
            <w:shd w:val="clear" w:color="auto" w:fill="D9D9D9"/>
            <w:vAlign w:val="center"/>
          </w:tcPr>
          <w:p w14:paraId="09B9B32F" w14:textId="77777777" w:rsidR="00124A26" w:rsidRPr="006A31EC" w:rsidRDefault="00124A26" w:rsidP="002D3EBF">
            <w:pPr>
              <w:ind w:firstLine="0"/>
              <w:rPr>
                <w:rFonts w:eastAsia="SimSun"/>
                <w:sz w:val="22"/>
                <w:lang w:val="en-US"/>
              </w:rPr>
            </w:pPr>
            <w:r w:rsidRPr="006A31EC">
              <w:rPr>
                <w:rFonts w:eastAsia="SimSun"/>
                <w:sz w:val="22"/>
                <w:lang w:val="en-US"/>
              </w:rPr>
              <w:t>-</w:t>
            </w:r>
          </w:p>
        </w:tc>
        <w:tc>
          <w:tcPr>
            <w:tcW w:w="398" w:type="pct"/>
            <w:shd w:val="clear" w:color="auto" w:fill="D9D9D9"/>
            <w:vAlign w:val="center"/>
          </w:tcPr>
          <w:p w14:paraId="341BC540" w14:textId="77777777" w:rsidR="00124A26" w:rsidRPr="006A31EC" w:rsidRDefault="00124A26" w:rsidP="002D3EBF">
            <w:pPr>
              <w:ind w:firstLine="0"/>
              <w:rPr>
                <w:rFonts w:eastAsia="SimSun"/>
                <w:sz w:val="22"/>
                <w:lang w:val="en-US"/>
              </w:rPr>
            </w:pPr>
            <w:r w:rsidRPr="006A31EC">
              <w:rPr>
                <w:rFonts w:eastAsia="SimSun"/>
                <w:sz w:val="22"/>
                <w:lang w:val="en-US"/>
              </w:rPr>
              <w:t>MMF30</w:t>
            </w:r>
          </w:p>
        </w:tc>
        <w:tc>
          <w:tcPr>
            <w:tcW w:w="337" w:type="pct"/>
            <w:shd w:val="clear" w:color="auto" w:fill="auto"/>
            <w:vAlign w:val="center"/>
          </w:tcPr>
          <w:p w14:paraId="286B046A" w14:textId="77777777" w:rsidR="00124A26" w:rsidRPr="006A31EC" w:rsidRDefault="00124A26" w:rsidP="002D3EBF">
            <w:pPr>
              <w:ind w:firstLine="0"/>
              <w:rPr>
                <w:sz w:val="22"/>
              </w:rPr>
            </w:pPr>
            <w:r w:rsidRPr="006A31EC">
              <w:rPr>
                <w:rFonts w:eastAsia="SimSun"/>
                <w:sz w:val="22"/>
                <w:lang w:val="en-US"/>
              </w:rPr>
              <w:t>-</w:t>
            </w:r>
          </w:p>
        </w:tc>
        <w:tc>
          <w:tcPr>
            <w:tcW w:w="312" w:type="pct"/>
          </w:tcPr>
          <w:p w14:paraId="2C951A05" w14:textId="77777777" w:rsidR="00124A26" w:rsidRPr="006A31EC" w:rsidRDefault="00124A26" w:rsidP="002D3EBF">
            <w:pPr>
              <w:ind w:firstLine="0"/>
              <w:rPr>
                <w:rFonts w:eastAsia="SimSun"/>
                <w:sz w:val="22"/>
                <w:lang w:val="en-US"/>
              </w:rPr>
            </w:pPr>
          </w:p>
        </w:tc>
        <w:tc>
          <w:tcPr>
            <w:tcW w:w="337" w:type="pct"/>
            <w:shd w:val="clear" w:color="auto" w:fill="auto"/>
            <w:vAlign w:val="center"/>
          </w:tcPr>
          <w:p w14:paraId="6F13FE8A" w14:textId="77777777" w:rsidR="00124A26" w:rsidRPr="006A31EC" w:rsidRDefault="00124A26" w:rsidP="002D3EBF">
            <w:pPr>
              <w:ind w:firstLine="0"/>
              <w:rPr>
                <w:sz w:val="22"/>
              </w:rPr>
            </w:pPr>
            <w:r w:rsidRPr="006A31EC">
              <w:rPr>
                <w:rFonts w:eastAsia="SimSun"/>
                <w:sz w:val="22"/>
                <w:lang w:val="en-US"/>
              </w:rPr>
              <w:t>-</w:t>
            </w:r>
          </w:p>
        </w:tc>
        <w:tc>
          <w:tcPr>
            <w:tcW w:w="295" w:type="pct"/>
            <w:shd w:val="clear" w:color="auto" w:fill="auto"/>
            <w:vAlign w:val="center"/>
          </w:tcPr>
          <w:p w14:paraId="6D18F455" w14:textId="77777777" w:rsidR="00124A26" w:rsidRPr="006A31EC" w:rsidRDefault="00124A26" w:rsidP="002D3EBF">
            <w:pPr>
              <w:ind w:firstLine="0"/>
              <w:rPr>
                <w:sz w:val="22"/>
              </w:rPr>
            </w:pPr>
            <w:r w:rsidRPr="006A31EC">
              <w:rPr>
                <w:rFonts w:eastAsia="SimSun"/>
                <w:sz w:val="22"/>
                <w:lang w:val="en-US"/>
              </w:rPr>
              <w:t>-</w:t>
            </w:r>
          </w:p>
        </w:tc>
        <w:tc>
          <w:tcPr>
            <w:tcW w:w="295" w:type="pct"/>
            <w:shd w:val="clear" w:color="auto" w:fill="auto"/>
            <w:vAlign w:val="center"/>
          </w:tcPr>
          <w:p w14:paraId="716258FC" w14:textId="77777777" w:rsidR="00124A26" w:rsidRPr="006A31EC" w:rsidRDefault="00124A26" w:rsidP="002D3EBF">
            <w:pPr>
              <w:ind w:firstLine="0"/>
              <w:rPr>
                <w:sz w:val="22"/>
              </w:rPr>
            </w:pPr>
            <w:r w:rsidRPr="006A31EC">
              <w:rPr>
                <w:rFonts w:eastAsia="SimSun"/>
                <w:sz w:val="22"/>
                <w:lang w:val="en-US"/>
              </w:rPr>
              <w:t>-</w:t>
            </w:r>
          </w:p>
        </w:tc>
        <w:tc>
          <w:tcPr>
            <w:tcW w:w="337" w:type="pct"/>
            <w:shd w:val="clear" w:color="auto" w:fill="auto"/>
            <w:vAlign w:val="center"/>
          </w:tcPr>
          <w:p w14:paraId="64FCC257" w14:textId="77777777" w:rsidR="00124A26" w:rsidRPr="006A31EC" w:rsidRDefault="00124A26" w:rsidP="002D3EBF">
            <w:pPr>
              <w:ind w:firstLine="0"/>
              <w:rPr>
                <w:sz w:val="22"/>
              </w:rPr>
            </w:pPr>
            <w:r w:rsidRPr="006A31EC">
              <w:rPr>
                <w:rFonts w:eastAsia="SimSun"/>
                <w:sz w:val="22"/>
                <w:lang w:val="en-US"/>
              </w:rPr>
              <w:t>-</w:t>
            </w:r>
          </w:p>
        </w:tc>
        <w:tc>
          <w:tcPr>
            <w:tcW w:w="337" w:type="pct"/>
            <w:shd w:val="clear" w:color="auto" w:fill="auto"/>
            <w:vAlign w:val="center"/>
          </w:tcPr>
          <w:p w14:paraId="4FB87B1E" w14:textId="77777777" w:rsidR="00124A26" w:rsidRPr="006A31EC" w:rsidRDefault="00124A26" w:rsidP="002D3EBF">
            <w:pPr>
              <w:ind w:firstLine="0"/>
              <w:rPr>
                <w:sz w:val="22"/>
              </w:rPr>
            </w:pPr>
            <w:r w:rsidRPr="006A31EC">
              <w:rPr>
                <w:rFonts w:eastAsia="SimSun"/>
                <w:sz w:val="22"/>
                <w:lang w:val="en-US"/>
              </w:rPr>
              <w:t>-</w:t>
            </w:r>
          </w:p>
        </w:tc>
        <w:tc>
          <w:tcPr>
            <w:tcW w:w="401" w:type="pct"/>
            <w:shd w:val="clear" w:color="auto" w:fill="auto"/>
            <w:vAlign w:val="center"/>
          </w:tcPr>
          <w:p w14:paraId="7357FCDF" w14:textId="77777777" w:rsidR="00124A26" w:rsidRPr="006A31EC" w:rsidRDefault="00124A26" w:rsidP="002D3EBF">
            <w:pPr>
              <w:ind w:firstLine="0"/>
              <w:rPr>
                <w:rFonts w:eastAsia="SimSun"/>
                <w:sz w:val="22"/>
                <w:lang w:val="en-US"/>
              </w:rPr>
            </w:pPr>
            <w:r w:rsidRPr="006A31EC">
              <w:rPr>
                <w:rFonts w:eastAsia="SimSun"/>
                <w:sz w:val="22"/>
                <w:lang w:val="en-US"/>
              </w:rPr>
              <w:t>5.1.2.10</w:t>
            </w:r>
          </w:p>
        </w:tc>
        <w:tc>
          <w:tcPr>
            <w:tcW w:w="442" w:type="pct"/>
            <w:shd w:val="clear" w:color="auto" w:fill="auto"/>
            <w:vAlign w:val="center"/>
          </w:tcPr>
          <w:p w14:paraId="118CE216" w14:textId="77777777" w:rsidR="00124A26" w:rsidRPr="006A31EC" w:rsidRDefault="00124A26" w:rsidP="002D3EBF">
            <w:pPr>
              <w:ind w:firstLine="0"/>
              <w:rPr>
                <w:rFonts w:eastAsia="SimSun"/>
                <w:sz w:val="22"/>
                <w:lang w:val="en-US"/>
              </w:rPr>
            </w:pPr>
          </w:p>
        </w:tc>
        <w:tc>
          <w:tcPr>
            <w:tcW w:w="337" w:type="pct"/>
            <w:shd w:val="clear" w:color="auto" w:fill="auto"/>
            <w:vAlign w:val="center"/>
          </w:tcPr>
          <w:p w14:paraId="64CA2F32" w14:textId="77777777" w:rsidR="00124A26" w:rsidRPr="006A31EC" w:rsidRDefault="00124A26" w:rsidP="002D3EBF">
            <w:pPr>
              <w:ind w:firstLine="0"/>
              <w:rPr>
                <w:sz w:val="22"/>
              </w:rPr>
            </w:pPr>
            <w:r w:rsidRPr="006A31EC">
              <w:rPr>
                <w:rFonts w:eastAsia="SimSun"/>
                <w:sz w:val="22"/>
                <w:lang w:val="en-US"/>
              </w:rPr>
              <w:t>-</w:t>
            </w:r>
          </w:p>
        </w:tc>
        <w:tc>
          <w:tcPr>
            <w:tcW w:w="337" w:type="pct"/>
          </w:tcPr>
          <w:p w14:paraId="3B817CC3" w14:textId="77777777" w:rsidR="00124A26" w:rsidRPr="006A31EC" w:rsidRDefault="00124A26" w:rsidP="002D3EBF">
            <w:pPr>
              <w:ind w:firstLine="0"/>
              <w:rPr>
                <w:rFonts w:eastAsia="SimSun"/>
                <w:sz w:val="22"/>
                <w:lang w:val="en-US"/>
              </w:rPr>
            </w:pPr>
          </w:p>
        </w:tc>
      </w:tr>
    </w:tbl>
    <w:p w14:paraId="0C6055C0" w14:textId="77777777" w:rsidR="00124A26" w:rsidRPr="00C07B2E" w:rsidRDefault="00124A26" w:rsidP="00124A26">
      <w:pPr>
        <w:rPr>
          <w:rFonts w:eastAsia="SimSun"/>
        </w:rPr>
        <w:sectPr w:rsidR="00124A26" w:rsidRPr="00C07B2E" w:rsidSect="00980822">
          <w:type w:val="continuous"/>
          <w:pgSz w:w="16839" w:h="11907" w:orient="landscape" w:code="9"/>
          <w:pgMar w:top="1134" w:right="850" w:bottom="1134" w:left="1701" w:header="709" w:footer="567" w:gutter="0"/>
          <w:cols w:space="708"/>
          <w:docGrid w:linePitch="360"/>
        </w:sectPr>
      </w:pPr>
    </w:p>
    <w:p w14:paraId="66C65AD3" w14:textId="77777777" w:rsidR="00124A26" w:rsidRPr="00C07B2E" w:rsidRDefault="00124A26" w:rsidP="00124A26">
      <w:pPr>
        <w:rPr>
          <w:rFonts w:eastAsia="SimSun"/>
        </w:rPr>
      </w:pPr>
    </w:p>
    <w:p w14:paraId="629733B5" w14:textId="77777777" w:rsidR="00124A26" w:rsidRPr="00C07B2E" w:rsidRDefault="00124A26" w:rsidP="00124A26">
      <w:pPr>
        <w:rPr>
          <w:rFonts w:eastAsia="SimSun"/>
        </w:rPr>
      </w:pPr>
      <w:bookmarkStart w:id="202" w:name="_Toc44401159"/>
      <w:r w:rsidRPr="00042499">
        <w:rPr>
          <w:rFonts w:eastAsia="SimSun"/>
        </w:rPr>
        <w:t>Таблица</w:t>
      </w:r>
      <w:r w:rsidRPr="00C07B2E">
        <w:rPr>
          <w:rFonts w:eastAsia="SimSun"/>
        </w:rPr>
        <w:t xml:space="preserve"> </w:t>
      </w:r>
      <w:r>
        <w:rPr>
          <w:rFonts w:eastAsia="SimSun"/>
        </w:rPr>
        <w:t>5.</w:t>
      </w:r>
      <w:r w:rsidRPr="00C07B2E">
        <w:rPr>
          <w:rFonts w:eastAsia="SimSun"/>
        </w:rPr>
        <w:t>1.2.1  – Flu150+Bu8+Thio / hATG+CSA+MTX+MMF30</w:t>
      </w:r>
      <w:bookmarkEnd w:id="202"/>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124A26" w:rsidRPr="00AC3044" w14:paraId="174DB13B" w14:textId="77777777" w:rsidTr="002D3EBF">
        <w:trPr>
          <w:cantSplit/>
          <w:trHeight w:val="20"/>
          <w:tblHeader/>
        </w:trPr>
        <w:tc>
          <w:tcPr>
            <w:tcW w:w="993" w:type="dxa"/>
          </w:tcPr>
          <w:p w14:paraId="5DA78589" w14:textId="77777777" w:rsidR="00124A26" w:rsidRPr="00470D3D" w:rsidRDefault="00124A26" w:rsidP="002D3EBF">
            <w:pPr>
              <w:ind w:firstLine="0"/>
              <w:rPr>
                <w:rFonts w:eastAsia="SimSun"/>
              </w:rPr>
            </w:pPr>
          </w:p>
        </w:tc>
        <w:tc>
          <w:tcPr>
            <w:tcW w:w="1843" w:type="dxa"/>
            <w:vAlign w:val="center"/>
          </w:tcPr>
          <w:p w14:paraId="7EBAD05A" w14:textId="77777777" w:rsidR="00124A26" w:rsidRPr="00AC3044" w:rsidRDefault="00124A26" w:rsidP="002D3EBF">
            <w:pPr>
              <w:ind w:firstLine="0"/>
              <w:rPr>
                <w:rFonts w:eastAsia="SimSun"/>
              </w:rPr>
            </w:pPr>
            <w:r w:rsidRPr="00AC3044">
              <w:rPr>
                <w:rFonts w:eastAsia="SimSun"/>
              </w:rPr>
              <w:t>Препарат</w:t>
            </w:r>
          </w:p>
        </w:tc>
        <w:tc>
          <w:tcPr>
            <w:tcW w:w="1417" w:type="dxa"/>
            <w:vAlign w:val="center"/>
          </w:tcPr>
          <w:p w14:paraId="5FD80900" w14:textId="77777777" w:rsidR="00124A26" w:rsidRPr="00AC3044" w:rsidRDefault="00124A26" w:rsidP="002D3EBF">
            <w:pPr>
              <w:ind w:firstLine="0"/>
              <w:rPr>
                <w:rFonts w:eastAsia="SimSun"/>
              </w:rPr>
            </w:pPr>
            <w:r w:rsidRPr="00AC3044">
              <w:rPr>
                <w:rFonts w:eastAsia="SimSun"/>
              </w:rPr>
              <w:t>Суточная доза</w:t>
            </w:r>
          </w:p>
        </w:tc>
        <w:tc>
          <w:tcPr>
            <w:tcW w:w="1418" w:type="dxa"/>
            <w:vAlign w:val="center"/>
          </w:tcPr>
          <w:p w14:paraId="7DDE2C06" w14:textId="77777777" w:rsidR="00124A26" w:rsidRPr="00AC3044" w:rsidRDefault="00124A26" w:rsidP="002D3EBF">
            <w:pPr>
              <w:ind w:firstLine="0"/>
              <w:rPr>
                <w:rFonts w:eastAsia="SimSun"/>
              </w:rPr>
            </w:pPr>
            <w:r w:rsidRPr="00AC3044">
              <w:rPr>
                <w:rFonts w:eastAsia="SimSun"/>
              </w:rPr>
              <w:t>Курсовая доза</w:t>
            </w:r>
          </w:p>
        </w:tc>
        <w:tc>
          <w:tcPr>
            <w:tcW w:w="1701" w:type="dxa"/>
            <w:vAlign w:val="center"/>
          </w:tcPr>
          <w:p w14:paraId="4F4BD904" w14:textId="77777777" w:rsidR="00124A26" w:rsidRPr="00AC3044" w:rsidRDefault="00124A26" w:rsidP="002D3EBF">
            <w:pPr>
              <w:ind w:firstLine="0"/>
              <w:rPr>
                <w:rFonts w:eastAsia="SimSun"/>
              </w:rPr>
            </w:pPr>
            <w:r w:rsidRPr="00AC3044">
              <w:rPr>
                <w:rFonts w:eastAsia="SimSun"/>
              </w:rPr>
              <w:t>Дни введения</w:t>
            </w:r>
          </w:p>
        </w:tc>
        <w:tc>
          <w:tcPr>
            <w:tcW w:w="2268" w:type="dxa"/>
            <w:vAlign w:val="center"/>
          </w:tcPr>
          <w:p w14:paraId="2BD14B97"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553FD6A0" w14:textId="77777777" w:rsidTr="002D3EBF">
        <w:trPr>
          <w:cantSplit/>
          <w:trHeight w:val="20"/>
        </w:trPr>
        <w:tc>
          <w:tcPr>
            <w:tcW w:w="993" w:type="dxa"/>
            <w:vMerge w:val="restart"/>
            <w:textDirection w:val="btLr"/>
            <w:vAlign w:val="center"/>
          </w:tcPr>
          <w:p w14:paraId="1A94E1F4" w14:textId="77777777" w:rsidR="00124A26" w:rsidRPr="00AC3044" w:rsidRDefault="00124A26" w:rsidP="002D3EBF">
            <w:pPr>
              <w:ind w:firstLine="0"/>
              <w:rPr>
                <w:rFonts w:eastAsia="SimSun"/>
              </w:rPr>
            </w:pPr>
            <w:r w:rsidRPr="00AC3044">
              <w:rPr>
                <w:rFonts w:eastAsia="SimSun"/>
              </w:rPr>
              <w:t>Кондиционирование</w:t>
            </w:r>
          </w:p>
        </w:tc>
        <w:tc>
          <w:tcPr>
            <w:tcW w:w="1843" w:type="dxa"/>
            <w:vAlign w:val="center"/>
          </w:tcPr>
          <w:p w14:paraId="5CAD05FC" w14:textId="77777777" w:rsidR="00124A26" w:rsidRPr="00AC3044" w:rsidRDefault="00124A26" w:rsidP="002D3EBF">
            <w:pPr>
              <w:ind w:firstLine="0"/>
              <w:rPr>
                <w:rFonts w:eastAsia="SimSun"/>
              </w:rPr>
            </w:pPr>
            <w:r w:rsidRPr="00AC3044">
              <w:rPr>
                <w:rFonts w:eastAsia="SimSun"/>
              </w:rPr>
              <w:t xml:space="preserve">Флударабин </w:t>
            </w:r>
          </w:p>
        </w:tc>
        <w:tc>
          <w:tcPr>
            <w:tcW w:w="1417" w:type="dxa"/>
            <w:vAlign w:val="center"/>
          </w:tcPr>
          <w:p w14:paraId="74CB8529" w14:textId="77777777" w:rsidR="00124A26" w:rsidRPr="00AC3044" w:rsidRDefault="00124A26" w:rsidP="002D3EBF">
            <w:pPr>
              <w:ind w:firstLine="0"/>
              <w:rPr>
                <w:rFonts w:eastAsia="SimSun"/>
              </w:rPr>
            </w:pPr>
            <w:r w:rsidRPr="00AC3044">
              <w:rPr>
                <w:rFonts w:eastAsia="SimSun"/>
              </w:rPr>
              <w:t>50 мг/м</w:t>
            </w:r>
            <w:r w:rsidRPr="005659AA">
              <w:rPr>
                <w:rFonts w:eastAsia="SimSun"/>
                <w:vertAlign w:val="superscript"/>
              </w:rPr>
              <w:t>2</w:t>
            </w:r>
          </w:p>
        </w:tc>
        <w:tc>
          <w:tcPr>
            <w:tcW w:w="1418" w:type="dxa"/>
            <w:vAlign w:val="center"/>
          </w:tcPr>
          <w:p w14:paraId="3EC07652" w14:textId="77777777" w:rsidR="00124A26" w:rsidRPr="00AC3044" w:rsidRDefault="00124A26" w:rsidP="002D3EBF">
            <w:pPr>
              <w:ind w:firstLine="0"/>
              <w:rPr>
                <w:rFonts w:eastAsia="SimSun"/>
              </w:rPr>
            </w:pPr>
            <w:r w:rsidRPr="00AC3044">
              <w:rPr>
                <w:rFonts w:eastAsia="SimSun"/>
              </w:rPr>
              <w:t>150 мг/м</w:t>
            </w:r>
            <w:r w:rsidRPr="005659AA">
              <w:rPr>
                <w:rFonts w:eastAsia="SimSun"/>
                <w:vertAlign w:val="superscript"/>
              </w:rPr>
              <w:t>2</w:t>
            </w:r>
          </w:p>
        </w:tc>
        <w:tc>
          <w:tcPr>
            <w:tcW w:w="1701" w:type="dxa"/>
            <w:vAlign w:val="center"/>
          </w:tcPr>
          <w:p w14:paraId="78880E83" w14:textId="77777777" w:rsidR="00124A26" w:rsidRPr="00AC3044" w:rsidRDefault="00124A26" w:rsidP="002D3EBF">
            <w:pPr>
              <w:ind w:firstLine="0"/>
              <w:rPr>
                <w:rFonts w:eastAsia="SimSun"/>
              </w:rPr>
            </w:pPr>
            <w:r w:rsidRPr="00AC3044">
              <w:rPr>
                <w:rFonts w:eastAsia="SimSun"/>
              </w:rPr>
              <w:t>С –4 по –2 день</w:t>
            </w:r>
          </w:p>
        </w:tc>
        <w:tc>
          <w:tcPr>
            <w:tcW w:w="2268" w:type="dxa"/>
            <w:vAlign w:val="center"/>
          </w:tcPr>
          <w:p w14:paraId="16A1B8EB"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093CDDCD" w14:textId="77777777" w:rsidTr="002D3EBF">
        <w:trPr>
          <w:cantSplit/>
          <w:trHeight w:val="731"/>
        </w:trPr>
        <w:tc>
          <w:tcPr>
            <w:tcW w:w="993" w:type="dxa"/>
            <w:vMerge/>
            <w:textDirection w:val="btLr"/>
            <w:vAlign w:val="center"/>
          </w:tcPr>
          <w:p w14:paraId="0D19AE5E" w14:textId="77777777" w:rsidR="00124A26" w:rsidRPr="00AC3044" w:rsidRDefault="00124A26" w:rsidP="002D3EBF">
            <w:pPr>
              <w:ind w:firstLine="0"/>
              <w:rPr>
                <w:rFonts w:eastAsia="SimSun"/>
              </w:rPr>
            </w:pPr>
          </w:p>
        </w:tc>
        <w:tc>
          <w:tcPr>
            <w:tcW w:w="1843" w:type="dxa"/>
            <w:vAlign w:val="center"/>
          </w:tcPr>
          <w:p w14:paraId="2D42F164" w14:textId="77777777" w:rsidR="00124A26" w:rsidRPr="00AC3044" w:rsidRDefault="00124A26" w:rsidP="002D3EBF">
            <w:pPr>
              <w:ind w:firstLine="0"/>
              <w:rPr>
                <w:rFonts w:eastAsia="SimSun"/>
              </w:rPr>
            </w:pPr>
            <w:r w:rsidRPr="00AC3044">
              <w:rPr>
                <w:rFonts w:eastAsia="SimSun"/>
              </w:rPr>
              <w:t>Бусульфан</w:t>
            </w:r>
          </w:p>
        </w:tc>
        <w:tc>
          <w:tcPr>
            <w:tcW w:w="1417" w:type="dxa"/>
            <w:vAlign w:val="center"/>
          </w:tcPr>
          <w:p w14:paraId="7C33475E" w14:textId="77777777" w:rsidR="00124A26" w:rsidRPr="00AC3044" w:rsidRDefault="00124A26" w:rsidP="002D3EBF">
            <w:pPr>
              <w:ind w:firstLine="0"/>
              <w:rPr>
                <w:rFonts w:eastAsia="SimSun"/>
              </w:rPr>
            </w:pPr>
            <w:r w:rsidRPr="00AC3044">
              <w:rPr>
                <w:rFonts w:eastAsia="SimSun"/>
              </w:rPr>
              <w:t>4 мг/кг</w:t>
            </w:r>
          </w:p>
        </w:tc>
        <w:tc>
          <w:tcPr>
            <w:tcW w:w="1418" w:type="dxa"/>
            <w:vAlign w:val="center"/>
          </w:tcPr>
          <w:p w14:paraId="5645CA46" w14:textId="77777777" w:rsidR="00124A26" w:rsidRPr="00AC3044" w:rsidRDefault="00124A26" w:rsidP="002D3EBF">
            <w:pPr>
              <w:ind w:firstLine="0"/>
              <w:rPr>
                <w:rFonts w:eastAsia="SimSun"/>
              </w:rPr>
            </w:pPr>
            <w:r w:rsidRPr="00AC3044">
              <w:rPr>
                <w:rFonts w:eastAsia="SimSun"/>
              </w:rPr>
              <w:t>8 мг/кг</w:t>
            </w:r>
          </w:p>
        </w:tc>
        <w:tc>
          <w:tcPr>
            <w:tcW w:w="1701" w:type="dxa"/>
            <w:vAlign w:val="center"/>
          </w:tcPr>
          <w:p w14:paraId="4E6DB346" w14:textId="77777777" w:rsidR="00124A26" w:rsidRPr="00AC3044" w:rsidRDefault="00124A26" w:rsidP="002D3EBF">
            <w:pPr>
              <w:ind w:firstLine="0"/>
              <w:rPr>
                <w:rFonts w:eastAsia="SimSun"/>
              </w:rPr>
            </w:pPr>
            <w:r w:rsidRPr="00AC3044">
              <w:rPr>
                <w:rFonts w:eastAsia="SimSun"/>
              </w:rPr>
              <w:t>–3, –2 дни</w:t>
            </w:r>
          </w:p>
        </w:tc>
        <w:tc>
          <w:tcPr>
            <w:tcW w:w="2268" w:type="dxa"/>
            <w:vAlign w:val="center"/>
          </w:tcPr>
          <w:p w14:paraId="61836815"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124A26" w:rsidRPr="00AC3044" w14:paraId="3BA704E8" w14:textId="77777777" w:rsidTr="002D3EBF">
        <w:trPr>
          <w:cantSplit/>
          <w:trHeight w:val="700"/>
        </w:trPr>
        <w:tc>
          <w:tcPr>
            <w:tcW w:w="993" w:type="dxa"/>
            <w:vMerge/>
            <w:textDirection w:val="btLr"/>
            <w:vAlign w:val="center"/>
          </w:tcPr>
          <w:p w14:paraId="7F15B1B9" w14:textId="77777777" w:rsidR="00124A26" w:rsidRPr="00AC3044" w:rsidRDefault="00124A26" w:rsidP="002D3EBF">
            <w:pPr>
              <w:ind w:firstLine="0"/>
              <w:rPr>
                <w:rFonts w:eastAsia="SimSun"/>
              </w:rPr>
            </w:pPr>
          </w:p>
        </w:tc>
        <w:tc>
          <w:tcPr>
            <w:tcW w:w="1843" w:type="dxa"/>
            <w:vAlign w:val="center"/>
          </w:tcPr>
          <w:p w14:paraId="7E500582" w14:textId="77777777" w:rsidR="00124A26" w:rsidRPr="00AC3044" w:rsidRDefault="00124A26" w:rsidP="002D3EBF">
            <w:pPr>
              <w:ind w:firstLine="0"/>
              <w:rPr>
                <w:rFonts w:eastAsia="SimSun"/>
              </w:rPr>
            </w:pPr>
            <w:r w:rsidRPr="00AC3044">
              <w:rPr>
                <w:rFonts w:eastAsia="SimSun"/>
              </w:rPr>
              <w:t>Тиотепа</w:t>
            </w:r>
          </w:p>
        </w:tc>
        <w:tc>
          <w:tcPr>
            <w:tcW w:w="1417" w:type="dxa"/>
            <w:vAlign w:val="center"/>
          </w:tcPr>
          <w:p w14:paraId="5EF03D71" w14:textId="77777777" w:rsidR="00124A26" w:rsidRPr="00AC3044" w:rsidRDefault="00124A26" w:rsidP="002D3EBF">
            <w:pPr>
              <w:ind w:firstLine="0"/>
              <w:rPr>
                <w:rFonts w:eastAsia="SimSun"/>
              </w:rPr>
            </w:pPr>
            <w:r w:rsidRPr="00AC3044">
              <w:rPr>
                <w:rFonts w:eastAsia="SimSun"/>
              </w:rPr>
              <w:t>5 мг/кг</w:t>
            </w:r>
          </w:p>
        </w:tc>
        <w:tc>
          <w:tcPr>
            <w:tcW w:w="1418" w:type="dxa"/>
            <w:vAlign w:val="center"/>
          </w:tcPr>
          <w:p w14:paraId="41720393" w14:textId="77777777" w:rsidR="00124A26" w:rsidRPr="00AC3044" w:rsidRDefault="00124A26" w:rsidP="002D3EBF">
            <w:pPr>
              <w:ind w:firstLine="0"/>
              <w:rPr>
                <w:rFonts w:eastAsia="SimSun"/>
              </w:rPr>
            </w:pPr>
            <w:r w:rsidRPr="00AC3044">
              <w:rPr>
                <w:rFonts w:eastAsia="SimSun"/>
              </w:rPr>
              <w:t>10 мг/кг</w:t>
            </w:r>
          </w:p>
        </w:tc>
        <w:tc>
          <w:tcPr>
            <w:tcW w:w="1701" w:type="dxa"/>
            <w:vAlign w:val="center"/>
          </w:tcPr>
          <w:p w14:paraId="4DFFEAFB" w14:textId="77777777" w:rsidR="00124A26" w:rsidRPr="00AC3044" w:rsidRDefault="00124A26" w:rsidP="002D3EBF">
            <w:pPr>
              <w:ind w:firstLine="0"/>
              <w:rPr>
                <w:rFonts w:eastAsia="SimSun"/>
              </w:rPr>
            </w:pPr>
            <w:r w:rsidRPr="00AC3044">
              <w:rPr>
                <w:rFonts w:eastAsia="SimSun"/>
              </w:rPr>
              <w:t>-6,-5 дни</w:t>
            </w:r>
          </w:p>
        </w:tc>
        <w:tc>
          <w:tcPr>
            <w:tcW w:w="2268" w:type="dxa"/>
            <w:vAlign w:val="center"/>
          </w:tcPr>
          <w:p w14:paraId="6DE66B15" w14:textId="77777777" w:rsidR="00124A26" w:rsidRPr="00AC3044" w:rsidRDefault="00124A26" w:rsidP="002D3EBF">
            <w:pPr>
              <w:ind w:firstLine="0"/>
              <w:rPr>
                <w:rFonts w:eastAsia="SimSun"/>
              </w:rPr>
            </w:pPr>
            <w:r w:rsidRPr="00AC3044">
              <w:rPr>
                <w:rFonts w:eastAsia="SimSun"/>
              </w:rPr>
              <w:t>В/в, в течение 2 ч</w:t>
            </w:r>
          </w:p>
        </w:tc>
      </w:tr>
      <w:tr w:rsidR="00124A26" w:rsidRPr="00AC3044" w14:paraId="1BB0FACE" w14:textId="77777777" w:rsidTr="002D3EBF">
        <w:trPr>
          <w:cantSplit/>
          <w:trHeight w:val="20"/>
        </w:trPr>
        <w:tc>
          <w:tcPr>
            <w:tcW w:w="993" w:type="dxa"/>
            <w:vMerge w:val="restart"/>
            <w:textDirection w:val="btLr"/>
          </w:tcPr>
          <w:p w14:paraId="117410ED" w14:textId="77777777" w:rsidR="00124A26" w:rsidRPr="00AC3044" w:rsidRDefault="00124A26" w:rsidP="002D3EBF">
            <w:pPr>
              <w:ind w:firstLine="0"/>
              <w:rPr>
                <w:rFonts w:eastAsia="SimSun"/>
              </w:rPr>
            </w:pPr>
            <w:r w:rsidRPr="00AC3044">
              <w:rPr>
                <w:rFonts w:eastAsia="SimSun"/>
              </w:rPr>
              <w:t>Профилактика РТПХ</w:t>
            </w:r>
          </w:p>
        </w:tc>
        <w:tc>
          <w:tcPr>
            <w:tcW w:w="1843" w:type="dxa"/>
            <w:vAlign w:val="center"/>
          </w:tcPr>
          <w:p w14:paraId="2CBA0301" w14:textId="77777777" w:rsidR="00124A26" w:rsidRPr="00AC3044" w:rsidRDefault="00124A26" w:rsidP="002D3EBF">
            <w:pPr>
              <w:ind w:firstLine="0"/>
              <w:rPr>
                <w:rFonts w:eastAsia="SimSun"/>
              </w:rPr>
            </w:pPr>
            <w:r w:rsidRPr="00AC3044">
              <w:rPr>
                <w:rFonts w:eastAsia="SimSun"/>
              </w:rPr>
              <w:t>АТГ (лошадиный)</w:t>
            </w:r>
          </w:p>
        </w:tc>
        <w:tc>
          <w:tcPr>
            <w:tcW w:w="1417" w:type="dxa"/>
            <w:vAlign w:val="center"/>
          </w:tcPr>
          <w:p w14:paraId="77120BF6" w14:textId="77777777" w:rsidR="00124A26" w:rsidRPr="00AC3044" w:rsidRDefault="00124A26" w:rsidP="002D3EBF">
            <w:pPr>
              <w:ind w:firstLine="0"/>
              <w:rPr>
                <w:rFonts w:eastAsia="SimSun"/>
              </w:rPr>
            </w:pPr>
            <w:r w:rsidRPr="00AC3044">
              <w:rPr>
                <w:rFonts w:eastAsia="SimSun"/>
              </w:rPr>
              <w:t>10-15 мг/кг</w:t>
            </w:r>
          </w:p>
        </w:tc>
        <w:tc>
          <w:tcPr>
            <w:tcW w:w="1418" w:type="dxa"/>
            <w:vAlign w:val="center"/>
          </w:tcPr>
          <w:p w14:paraId="0A61CAF7" w14:textId="77777777" w:rsidR="00124A26" w:rsidRPr="00AC3044" w:rsidRDefault="00124A26" w:rsidP="002D3EBF">
            <w:pPr>
              <w:ind w:firstLine="0"/>
              <w:rPr>
                <w:rFonts w:eastAsia="SimSun"/>
              </w:rPr>
            </w:pPr>
            <w:r w:rsidRPr="00AC3044">
              <w:rPr>
                <w:rFonts w:eastAsia="SimSun"/>
              </w:rPr>
              <w:t>40-60 мг/кг</w:t>
            </w:r>
          </w:p>
        </w:tc>
        <w:tc>
          <w:tcPr>
            <w:tcW w:w="1701" w:type="dxa"/>
            <w:vAlign w:val="center"/>
          </w:tcPr>
          <w:p w14:paraId="64B41D1A" w14:textId="77777777" w:rsidR="00124A26" w:rsidRPr="00AC3044" w:rsidRDefault="00124A26" w:rsidP="002D3EBF">
            <w:pPr>
              <w:ind w:firstLine="0"/>
              <w:rPr>
                <w:rFonts w:eastAsia="SimSun"/>
              </w:rPr>
            </w:pPr>
            <w:r w:rsidRPr="00AC3044">
              <w:rPr>
                <w:rFonts w:eastAsia="SimSun"/>
              </w:rPr>
              <w:t>С –4 по –1 день</w:t>
            </w:r>
          </w:p>
        </w:tc>
        <w:tc>
          <w:tcPr>
            <w:tcW w:w="2268" w:type="dxa"/>
            <w:vAlign w:val="center"/>
          </w:tcPr>
          <w:p w14:paraId="6CCD5133" w14:textId="77777777" w:rsidR="00124A26" w:rsidRPr="00AC3044" w:rsidRDefault="00124A26" w:rsidP="002D3EBF">
            <w:pPr>
              <w:ind w:firstLine="0"/>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 xml:space="preserve"> «Инфузия АТГ») </w:t>
            </w:r>
          </w:p>
        </w:tc>
      </w:tr>
      <w:tr w:rsidR="00124A26" w:rsidRPr="00AC3044" w14:paraId="56C7646E" w14:textId="77777777" w:rsidTr="002D3EBF">
        <w:trPr>
          <w:cantSplit/>
          <w:trHeight w:val="20"/>
        </w:trPr>
        <w:tc>
          <w:tcPr>
            <w:tcW w:w="993" w:type="dxa"/>
            <w:vMerge/>
            <w:textDirection w:val="btLr"/>
          </w:tcPr>
          <w:p w14:paraId="6F926C40" w14:textId="77777777" w:rsidR="00124A26" w:rsidRPr="00AC3044" w:rsidRDefault="00124A26" w:rsidP="002D3EBF">
            <w:pPr>
              <w:ind w:firstLine="0"/>
              <w:rPr>
                <w:rFonts w:eastAsia="SimSun"/>
              </w:rPr>
            </w:pPr>
          </w:p>
        </w:tc>
        <w:tc>
          <w:tcPr>
            <w:tcW w:w="1843" w:type="dxa"/>
            <w:vAlign w:val="center"/>
          </w:tcPr>
          <w:p w14:paraId="5F4FD506" w14:textId="77777777" w:rsidR="00124A26" w:rsidRPr="00AC3044" w:rsidRDefault="00124A26" w:rsidP="002D3EBF">
            <w:pPr>
              <w:ind w:firstLine="0"/>
              <w:rPr>
                <w:rFonts w:eastAsia="SimSun"/>
              </w:rPr>
            </w:pPr>
            <w:r w:rsidRPr="00AC3044">
              <w:rPr>
                <w:rFonts w:eastAsia="SimSun"/>
              </w:rPr>
              <w:t>Циклоспорин</w:t>
            </w:r>
          </w:p>
        </w:tc>
        <w:tc>
          <w:tcPr>
            <w:tcW w:w="1417" w:type="dxa"/>
            <w:vAlign w:val="center"/>
          </w:tcPr>
          <w:p w14:paraId="14AC3819" w14:textId="77777777" w:rsidR="00124A26" w:rsidRPr="00AC3044" w:rsidRDefault="00124A26" w:rsidP="002D3EBF">
            <w:pPr>
              <w:ind w:firstLine="0"/>
              <w:rPr>
                <w:rFonts w:eastAsia="SimSun"/>
              </w:rPr>
            </w:pPr>
            <w:r w:rsidRPr="00AC3044">
              <w:rPr>
                <w:rFonts w:eastAsia="SimSun"/>
              </w:rPr>
              <w:t>3 мг/кг</w:t>
            </w:r>
          </w:p>
        </w:tc>
        <w:tc>
          <w:tcPr>
            <w:tcW w:w="1418" w:type="dxa"/>
            <w:vAlign w:val="center"/>
          </w:tcPr>
          <w:p w14:paraId="2DF0E6A8"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0DCD9121" w14:textId="77777777" w:rsidR="00124A26" w:rsidRPr="00AC3044" w:rsidRDefault="00124A26" w:rsidP="002D3EBF">
            <w:pPr>
              <w:ind w:firstLine="0"/>
              <w:rPr>
                <w:rFonts w:eastAsia="SimSun"/>
              </w:rPr>
            </w:pPr>
            <w:r w:rsidRPr="00AC3044">
              <w:rPr>
                <w:rFonts w:eastAsia="SimSun"/>
              </w:rPr>
              <w:t>С –1 дня по +90 день, затем постепенное снижение к +180 дню</w:t>
            </w:r>
          </w:p>
        </w:tc>
        <w:tc>
          <w:tcPr>
            <w:tcW w:w="2268" w:type="dxa"/>
            <w:vAlign w:val="center"/>
          </w:tcPr>
          <w:p w14:paraId="22454727" w14:textId="77777777" w:rsidR="00124A26" w:rsidRPr="00AC3044" w:rsidRDefault="00124A26"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 xml:space="preserve">х </w:t>
            </w:r>
            <w:r w:rsidRPr="00AC3044">
              <w:rPr>
                <w:rFonts w:eastAsia="SimSun"/>
              </w:rPr>
              <w:t>10</w:t>
            </w:r>
            <w:r w:rsidRPr="000C00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150-350 нг/мл  </w:t>
            </w:r>
          </w:p>
        </w:tc>
      </w:tr>
      <w:tr w:rsidR="00124A26" w:rsidRPr="00AC3044" w14:paraId="2ECB7DCB" w14:textId="77777777" w:rsidTr="002D3EBF">
        <w:trPr>
          <w:cantSplit/>
          <w:trHeight w:val="20"/>
        </w:trPr>
        <w:tc>
          <w:tcPr>
            <w:tcW w:w="993" w:type="dxa"/>
            <w:vMerge/>
          </w:tcPr>
          <w:p w14:paraId="3A64B1D1" w14:textId="77777777" w:rsidR="00124A26" w:rsidRPr="00AC3044" w:rsidRDefault="00124A26" w:rsidP="002D3EBF">
            <w:pPr>
              <w:ind w:firstLine="0"/>
              <w:rPr>
                <w:rFonts w:eastAsia="SimSun"/>
              </w:rPr>
            </w:pPr>
          </w:p>
        </w:tc>
        <w:tc>
          <w:tcPr>
            <w:tcW w:w="1843" w:type="dxa"/>
            <w:vMerge w:val="restart"/>
            <w:vAlign w:val="center"/>
          </w:tcPr>
          <w:p w14:paraId="4406814F" w14:textId="77777777" w:rsidR="00124A26" w:rsidRPr="00AC3044" w:rsidRDefault="00124A26" w:rsidP="002D3EBF">
            <w:pPr>
              <w:ind w:firstLine="0"/>
              <w:rPr>
                <w:rFonts w:eastAsia="SimSun"/>
              </w:rPr>
            </w:pPr>
            <w:r w:rsidRPr="00AC3044">
              <w:rPr>
                <w:rFonts w:eastAsia="SimSun"/>
              </w:rPr>
              <w:t>Метотрексат</w:t>
            </w:r>
          </w:p>
        </w:tc>
        <w:tc>
          <w:tcPr>
            <w:tcW w:w="1417" w:type="dxa"/>
            <w:vAlign w:val="center"/>
          </w:tcPr>
          <w:p w14:paraId="489B7A22" w14:textId="77777777" w:rsidR="00124A26" w:rsidRPr="00AC3044" w:rsidRDefault="00124A26" w:rsidP="002D3EBF">
            <w:pPr>
              <w:ind w:firstLine="0"/>
              <w:rPr>
                <w:rFonts w:eastAsia="SimSun"/>
              </w:rPr>
            </w:pPr>
            <w:r w:rsidRPr="00AC3044">
              <w:rPr>
                <w:rFonts w:eastAsia="SimSun"/>
              </w:rPr>
              <w:t>15 мг/м</w:t>
            </w:r>
            <w:r w:rsidRPr="000C005F">
              <w:rPr>
                <w:rFonts w:eastAsia="SimSun"/>
                <w:vertAlign w:val="superscript"/>
              </w:rPr>
              <w:t>2</w:t>
            </w:r>
          </w:p>
        </w:tc>
        <w:tc>
          <w:tcPr>
            <w:tcW w:w="1418" w:type="dxa"/>
            <w:vAlign w:val="center"/>
          </w:tcPr>
          <w:p w14:paraId="0FA93A4E"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6A2E6E8B" w14:textId="77777777" w:rsidR="00124A26" w:rsidRPr="00AC3044" w:rsidRDefault="00124A26" w:rsidP="002D3EBF">
            <w:pPr>
              <w:ind w:firstLine="0"/>
              <w:rPr>
                <w:rFonts w:eastAsia="SimSun"/>
              </w:rPr>
            </w:pPr>
            <w:r w:rsidRPr="00AC3044">
              <w:rPr>
                <w:rFonts w:eastAsia="SimSun"/>
              </w:rPr>
              <w:t>+1 день</w:t>
            </w:r>
          </w:p>
        </w:tc>
        <w:tc>
          <w:tcPr>
            <w:tcW w:w="2268" w:type="dxa"/>
            <w:vAlign w:val="center"/>
          </w:tcPr>
          <w:p w14:paraId="1253AAC8" w14:textId="77777777" w:rsidR="00124A26" w:rsidRPr="00AC3044" w:rsidRDefault="00124A26" w:rsidP="002D3EBF">
            <w:pPr>
              <w:ind w:firstLine="0"/>
              <w:rPr>
                <w:rFonts w:eastAsia="SimSun"/>
              </w:rPr>
            </w:pPr>
            <w:r w:rsidRPr="00AC3044">
              <w:rPr>
                <w:rFonts w:eastAsia="SimSun"/>
              </w:rPr>
              <w:t xml:space="preserve">В/в, в 20 мл физ. р-ра </w:t>
            </w:r>
          </w:p>
        </w:tc>
      </w:tr>
      <w:tr w:rsidR="00124A26" w:rsidRPr="00AC3044" w14:paraId="4268E120" w14:textId="77777777" w:rsidTr="002D3EBF">
        <w:trPr>
          <w:cantSplit/>
          <w:trHeight w:val="464"/>
        </w:trPr>
        <w:tc>
          <w:tcPr>
            <w:tcW w:w="993" w:type="dxa"/>
            <w:vMerge/>
          </w:tcPr>
          <w:p w14:paraId="4FA5A4FE" w14:textId="77777777" w:rsidR="00124A26" w:rsidRPr="00AC3044" w:rsidRDefault="00124A26" w:rsidP="002D3EBF">
            <w:pPr>
              <w:ind w:firstLine="0"/>
              <w:rPr>
                <w:rFonts w:eastAsia="SimSun"/>
              </w:rPr>
            </w:pPr>
          </w:p>
        </w:tc>
        <w:tc>
          <w:tcPr>
            <w:tcW w:w="1843" w:type="dxa"/>
            <w:vMerge/>
            <w:vAlign w:val="center"/>
          </w:tcPr>
          <w:p w14:paraId="20B792B8" w14:textId="77777777" w:rsidR="00124A26" w:rsidRPr="00AC3044" w:rsidRDefault="00124A26" w:rsidP="002D3EBF">
            <w:pPr>
              <w:ind w:firstLine="0"/>
              <w:rPr>
                <w:rFonts w:eastAsia="SimSun"/>
              </w:rPr>
            </w:pPr>
          </w:p>
        </w:tc>
        <w:tc>
          <w:tcPr>
            <w:tcW w:w="1417" w:type="dxa"/>
            <w:vAlign w:val="center"/>
          </w:tcPr>
          <w:p w14:paraId="3D846CA5" w14:textId="77777777" w:rsidR="00124A26" w:rsidRPr="00AC3044" w:rsidRDefault="00124A26" w:rsidP="002D3EBF">
            <w:pPr>
              <w:ind w:firstLine="0"/>
              <w:rPr>
                <w:rFonts w:eastAsia="SimSun"/>
              </w:rPr>
            </w:pPr>
            <w:r w:rsidRPr="00AC3044">
              <w:rPr>
                <w:rFonts w:eastAsia="SimSun"/>
              </w:rPr>
              <w:t>10 мг/м</w:t>
            </w:r>
            <w:r w:rsidRPr="000C005F">
              <w:rPr>
                <w:rFonts w:eastAsia="SimSun"/>
                <w:vertAlign w:val="superscript"/>
              </w:rPr>
              <w:t>2</w:t>
            </w:r>
          </w:p>
        </w:tc>
        <w:tc>
          <w:tcPr>
            <w:tcW w:w="1418" w:type="dxa"/>
            <w:vAlign w:val="center"/>
          </w:tcPr>
          <w:p w14:paraId="1C48BA94"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2D2A81EE" w14:textId="77777777" w:rsidR="00124A26" w:rsidRPr="00AC3044" w:rsidRDefault="00124A26" w:rsidP="002D3EBF">
            <w:pPr>
              <w:ind w:firstLine="0"/>
              <w:rPr>
                <w:rFonts w:eastAsia="SimSun"/>
              </w:rPr>
            </w:pPr>
            <w:r w:rsidRPr="00AC3044">
              <w:rPr>
                <w:rFonts w:eastAsia="SimSun"/>
              </w:rPr>
              <w:t>+3, +6, +11 день</w:t>
            </w:r>
          </w:p>
        </w:tc>
        <w:tc>
          <w:tcPr>
            <w:tcW w:w="2268" w:type="dxa"/>
            <w:vAlign w:val="center"/>
          </w:tcPr>
          <w:p w14:paraId="52C749D9" w14:textId="77777777" w:rsidR="00124A26" w:rsidRPr="00AC3044" w:rsidRDefault="00124A26" w:rsidP="002D3EBF">
            <w:pPr>
              <w:ind w:firstLine="0"/>
              <w:rPr>
                <w:rFonts w:eastAsia="SimSun"/>
              </w:rPr>
            </w:pPr>
            <w:r w:rsidRPr="00AC3044">
              <w:rPr>
                <w:rFonts w:eastAsia="SimSun"/>
              </w:rPr>
              <w:t>В/в, в 20 мл физ. р-ра</w:t>
            </w:r>
          </w:p>
        </w:tc>
      </w:tr>
      <w:tr w:rsidR="00124A26" w:rsidRPr="00AC3044" w14:paraId="1B50978A" w14:textId="77777777" w:rsidTr="002D3EBF">
        <w:trPr>
          <w:cantSplit/>
          <w:trHeight w:val="464"/>
        </w:trPr>
        <w:tc>
          <w:tcPr>
            <w:tcW w:w="993" w:type="dxa"/>
            <w:vMerge/>
          </w:tcPr>
          <w:p w14:paraId="4C91538E" w14:textId="77777777" w:rsidR="00124A26" w:rsidRPr="00AC3044" w:rsidRDefault="00124A26" w:rsidP="002D3EBF">
            <w:pPr>
              <w:ind w:firstLine="0"/>
              <w:rPr>
                <w:rFonts w:eastAsia="SimSun"/>
              </w:rPr>
            </w:pPr>
          </w:p>
        </w:tc>
        <w:tc>
          <w:tcPr>
            <w:tcW w:w="1843" w:type="dxa"/>
            <w:vMerge w:val="restart"/>
            <w:vAlign w:val="center"/>
          </w:tcPr>
          <w:p w14:paraId="7E3F3AA2" w14:textId="77777777" w:rsidR="00124A26" w:rsidRPr="00AC3044" w:rsidRDefault="00124A26" w:rsidP="002D3EBF">
            <w:pPr>
              <w:ind w:firstLine="0"/>
              <w:rPr>
                <w:rFonts w:eastAsia="SimSun"/>
              </w:rPr>
            </w:pPr>
            <w:r w:rsidRPr="00AC3044">
              <w:rPr>
                <w:rFonts w:eastAsia="SimSun"/>
              </w:rPr>
              <w:t>Микофенолата мофетил (только при использовании СКК)</w:t>
            </w:r>
          </w:p>
        </w:tc>
        <w:tc>
          <w:tcPr>
            <w:tcW w:w="1417" w:type="dxa"/>
            <w:vAlign w:val="center"/>
          </w:tcPr>
          <w:p w14:paraId="5AB96710" w14:textId="77777777" w:rsidR="00124A26" w:rsidRPr="00AC3044" w:rsidRDefault="00124A26" w:rsidP="002D3EBF">
            <w:pPr>
              <w:ind w:firstLine="0"/>
              <w:rPr>
                <w:rFonts w:eastAsia="SimSun"/>
              </w:rPr>
            </w:pPr>
            <w:r w:rsidRPr="00AC3044">
              <w:rPr>
                <w:rFonts w:eastAsia="SimSun"/>
              </w:rPr>
              <w:t>2000 мг</w:t>
            </w:r>
          </w:p>
        </w:tc>
        <w:tc>
          <w:tcPr>
            <w:tcW w:w="1418" w:type="dxa"/>
            <w:vAlign w:val="center"/>
          </w:tcPr>
          <w:p w14:paraId="15B3C7BA"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2D01E82A" w14:textId="77777777" w:rsidR="00124A26" w:rsidRPr="00AC3044" w:rsidRDefault="00124A26" w:rsidP="002D3EBF">
            <w:pPr>
              <w:ind w:firstLine="0"/>
              <w:rPr>
                <w:rFonts w:eastAsia="SimSun"/>
              </w:rPr>
            </w:pPr>
            <w:r w:rsidRPr="00AC3044">
              <w:rPr>
                <w:rFonts w:eastAsia="SimSun"/>
              </w:rPr>
              <w:t>С +1 по +14 день</w:t>
            </w:r>
          </w:p>
        </w:tc>
        <w:tc>
          <w:tcPr>
            <w:tcW w:w="2268" w:type="dxa"/>
            <w:vAlign w:val="center"/>
          </w:tcPr>
          <w:p w14:paraId="3D345293"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2- 4 приема (не более 3г/сут).</w:t>
            </w:r>
          </w:p>
        </w:tc>
      </w:tr>
      <w:tr w:rsidR="00124A26" w:rsidRPr="00AC3044" w14:paraId="798D6374" w14:textId="77777777" w:rsidTr="002D3EBF">
        <w:trPr>
          <w:cantSplit/>
          <w:trHeight w:val="464"/>
        </w:trPr>
        <w:tc>
          <w:tcPr>
            <w:tcW w:w="993" w:type="dxa"/>
            <w:vMerge/>
          </w:tcPr>
          <w:p w14:paraId="7DD23D34" w14:textId="77777777" w:rsidR="00124A26" w:rsidRPr="00AC3044" w:rsidRDefault="00124A26" w:rsidP="002D3EBF">
            <w:pPr>
              <w:ind w:firstLine="0"/>
              <w:rPr>
                <w:rFonts w:eastAsia="SimSun"/>
              </w:rPr>
            </w:pPr>
          </w:p>
        </w:tc>
        <w:tc>
          <w:tcPr>
            <w:tcW w:w="1843" w:type="dxa"/>
            <w:vMerge/>
            <w:vAlign w:val="center"/>
          </w:tcPr>
          <w:p w14:paraId="0582FD50" w14:textId="77777777" w:rsidR="00124A26" w:rsidRPr="00AC3044" w:rsidRDefault="00124A26" w:rsidP="002D3EBF">
            <w:pPr>
              <w:ind w:firstLine="0"/>
              <w:rPr>
                <w:rFonts w:eastAsia="SimSun"/>
              </w:rPr>
            </w:pPr>
          </w:p>
        </w:tc>
        <w:tc>
          <w:tcPr>
            <w:tcW w:w="1417" w:type="dxa"/>
            <w:vAlign w:val="center"/>
          </w:tcPr>
          <w:p w14:paraId="0D3C9EA3" w14:textId="77777777" w:rsidR="00124A26" w:rsidRPr="00AC3044" w:rsidRDefault="00124A26" w:rsidP="002D3EBF">
            <w:pPr>
              <w:ind w:firstLine="0"/>
              <w:rPr>
                <w:rFonts w:eastAsia="SimSun"/>
              </w:rPr>
            </w:pPr>
            <w:r w:rsidRPr="00AC3044">
              <w:rPr>
                <w:rFonts w:eastAsia="SimSun"/>
              </w:rPr>
              <w:t>1000 мг</w:t>
            </w:r>
          </w:p>
        </w:tc>
        <w:tc>
          <w:tcPr>
            <w:tcW w:w="1418" w:type="dxa"/>
            <w:vAlign w:val="center"/>
          </w:tcPr>
          <w:p w14:paraId="699E8C02"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026E1CCB" w14:textId="77777777" w:rsidR="00124A26" w:rsidRPr="00AC3044" w:rsidRDefault="00124A26" w:rsidP="002D3EBF">
            <w:pPr>
              <w:ind w:firstLine="0"/>
              <w:rPr>
                <w:rFonts w:eastAsia="SimSun"/>
              </w:rPr>
            </w:pPr>
            <w:r w:rsidRPr="00AC3044">
              <w:rPr>
                <w:rFonts w:eastAsia="SimSun"/>
              </w:rPr>
              <w:t>С +15 по +90 день</w:t>
            </w:r>
          </w:p>
        </w:tc>
        <w:tc>
          <w:tcPr>
            <w:tcW w:w="2268" w:type="dxa"/>
            <w:vAlign w:val="center"/>
          </w:tcPr>
          <w:p w14:paraId="55535915"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г/сут).</w:t>
            </w:r>
          </w:p>
        </w:tc>
      </w:tr>
    </w:tbl>
    <w:p w14:paraId="402D4E67" w14:textId="77777777" w:rsidR="00124A26" w:rsidRDefault="00124A26" w:rsidP="00124A26">
      <w:pPr>
        <w:rPr>
          <w:rFonts w:eastAsia="SimSun"/>
        </w:rPr>
      </w:pPr>
      <w:bookmarkStart w:id="203" w:name="_Toc44401160"/>
    </w:p>
    <w:p w14:paraId="2525A999" w14:textId="77777777" w:rsidR="00124A26" w:rsidRPr="00C07B2E" w:rsidRDefault="00124A26" w:rsidP="00124A26">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1.2.2  – Flu150+Bu8+Thio / rATG+CSA+MTX+MMF30</w:t>
      </w:r>
      <w:bookmarkEnd w:id="203"/>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124A26" w:rsidRPr="00AC3044" w14:paraId="2B9ED336" w14:textId="77777777" w:rsidTr="002D3EBF">
        <w:trPr>
          <w:cantSplit/>
          <w:trHeight w:val="20"/>
          <w:tblHeader/>
        </w:trPr>
        <w:tc>
          <w:tcPr>
            <w:tcW w:w="993" w:type="dxa"/>
          </w:tcPr>
          <w:p w14:paraId="30E826CD" w14:textId="77777777" w:rsidR="00124A26" w:rsidRPr="00470D3D" w:rsidRDefault="00124A26" w:rsidP="002D3EBF">
            <w:pPr>
              <w:ind w:firstLine="0"/>
              <w:rPr>
                <w:rFonts w:eastAsia="SimSun"/>
              </w:rPr>
            </w:pPr>
          </w:p>
        </w:tc>
        <w:tc>
          <w:tcPr>
            <w:tcW w:w="1843" w:type="dxa"/>
            <w:vAlign w:val="center"/>
          </w:tcPr>
          <w:p w14:paraId="5525669B" w14:textId="77777777" w:rsidR="00124A26" w:rsidRPr="00AC3044" w:rsidRDefault="00124A26" w:rsidP="002D3EBF">
            <w:pPr>
              <w:ind w:firstLine="0"/>
              <w:rPr>
                <w:rFonts w:eastAsia="SimSun"/>
              </w:rPr>
            </w:pPr>
            <w:r w:rsidRPr="00AC3044">
              <w:rPr>
                <w:rFonts w:eastAsia="SimSun"/>
              </w:rPr>
              <w:t>Препарат</w:t>
            </w:r>
          </w:p>
        </w:tc>
        <w:tc>
          <w:tcPr>
            <w:tcW w:w="1417" w:type="dxa"/>
            <w:vAlign w:val="center"/>
          </w:tcPr>
          <w:p w14:paraId="16DE23E0" w14:textId="77777777" w:rsidR="00124A26" w:rsidRPr="00AC3044" w:rsidRDefault="00124A26" w:rsidP="002D3EBF">
            <w:pPr>
              <w:ind w:firstLine="0"/>
              <w:rPr>
                <w:rFonts w:eastAsia="SimSun"/>
              </w:rPr>
            </w:pPr>
            <w:r w:rsidRPr="00AC3044">
              <w:rPr>
                <w:rFonts w:eastAsia="SimSun"/>
              </w:rPr>
              <w:t>Суточная доза</w:t>
            </w:r>
          </w:p>
        </w:tc>
        <w:tc>
          <w:tcPr>
            <w:tcW w:w="1418" w:type="dxa"/>
            <w:vAlign w:val="center"/>
          </w:tcPr>
          <w:p w14:paraId="6312FA80" w14:textId="77777777" w:rsidR="00124A26" w:rsidRPr="00AC3044" w:rsidRDefault="00124A26" w:rsidP="002D3EBF">
            <w:pPr>
              <w:ind w:firstLine="0"/>
              <w:rPr>
                <w:rFonts w:eastAsia="SimSun"/>
              </w:rPr>
            </w:pPr>
            <w:r w:rsidRPr="00AC3044">
              <w:rPr>
                <w:rFonts w:eastAsia="SimSun"/>
              </w:rPr>
              <w:t>Курсовая доза</w:t>
            </w:r>
          </w:p>
        </w:tc>
        <w:tc>
          <w:tcPr>
            <w:tcW w:w="1701" w:type="dxa"/>
            <w:vAlign w:val="center"/>
          </w:tcPr>
          <w:p w14:paraId="6A20EE31" w14:textId="77777777" w:rsidR="00124A26" w:rsidRPr="00AC3044" w:rsidRDefault="00124A26" w:rsidP="002D3EBF">
            <w:pPr>
              <w:ind w:firstLine="0"/>
              <w:rPr>
                <w:rFonts w:eastAsia="SimSun"/>
              </w:rPr>
            </w:pPr>
            <w:r w:rsidRPr="00AC3044">
              <w:rPr>
                <w:rFonts w:eastAsia="SimSun"/>
              </w:rPr>
              <w:t>Дни введения</w:t>
            </w:r>
          </w:p>
        </w:tc>
        <w:tc>
          <w:tcPr>
            <w:tcW w:w="2268" w:type="dxa"/>
            <w:vAlign w:val="center"/>
          </w:tcPr>
          <w:p w14:paraId="0C5ECB02"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259C936B" w14:textId="77777777" w:rsidTr="002D3EBF">
        <w:trPr>
          <w:cantSplit/>
          <w:trHeight w:val="20"/>
        </w:trPr>
        <w:tc>
          <w:tcPr>
            <w:tcW w:w="993" w:type="dxa"/>
            <w:vMerge w:val="restart"/>
            <w:textDirection w:val="btLr"/>
            <w:vAlign w:val="center"/>
          </w:tcPr>
          <w:p w14:paraId="07197D09" w14:textId="77777777" w:rsidR="00124A26" w:rsidRPr="00AC3044" w:rsidRDefault="00124A26" w:rsidP="002D3EBF">
            <w:pPr>
              <w:ind w:firstLine="0"/>
              <w:rPr>
                <w:rFonts w:eastAsia="SimSun"/>
              </w:rPr>
            </w:pPr>
            <w:r w:rsidRPr="00AC3044">
              <w:rPr>
                <w:rFonts w:eastAsia="SimSun"/>
              </w:rPr>
              <w:t>Кондиционирование</w:t>
            </w:r>
          </w:p>
        </w:tc>
        <w:tc>
          <w:tcPr>
            <w:tcW w:w="1843" w:type="dxa"/>
            <w:vAlign w:val="center"/>
          </w:tcPr>
          <w:p w14:paraId="77DE8182" w14:textId="77777777" w:rsidR="00124A26" w:rsidRPr="00AC3044" w:rsidRDefault="00124A26" w:rsidP="002D3EBF">
            <w:pPr>
              <w:ind w:firstLine="0"/>
              <w:rPr>
                <w:rFonts w:eastAsia="SimSun"/>
              </w:rPr>
            </w:pPr>
            <w:r w:rsidRPr="00AC3044">
              <w:rPr>
                <w:rFonts w:eastAsia="SimSun"/>
              </w:rPr>
              <w:t xml:space="preserve">Флударабин </w:t>
            </w:r>
          </w:p>
        </w:tc>
        <w:tc>
          <w:tcPr>
            <w:tcW w:w="1417" w:type="dxa"/>
            <w:vAlign w:val="center"/>
          </w:tcPr>
          <w:p w14:paraId="2E1B3DC1" w14:textId="77777777" w:rsidR="00124A26" w:rsidRPr="00AC3044" w:rsidRDefault="00124A26" w:rsidP="002D3EBF">
            <w:pPr>
              <w:ind w:firstLine="0"/>
              <w:rPr>
                <w:rFonts w:eastAsia="SimSun"/>
              </w:rPr>
            </w:pPr>
            <w:r w:rsidRPr="00AC3044">
              <w:rPr>
                <w:rFonts w:eastAsia="SimSun"/>
              </w:rPr>
              <w:t>50 мг/м</w:t>
            </w:r>
            <w:r w:rsidRPr="000C005F">
              <w:rPr>
                <w:rFonts w:eastAsia="SimSun"/>
                <w:vertAlign w:val="superscript"/>
              </w:rPr>
              <w:t>2</w:t>
            </w:r>
          </w:p>
        </w:tc>
        <w:tc>
          <w:tcPr>
            <w:tcW w:w="1418" w:type="dxa"/>
            <w:vAlign w:val="center"/>
          </w:tcPr>
          <w:p w14:paraId="661CF3BF" w14:textId="77777777" w:rsidR="00124A26" w:rsidRPr="00AC3044" w:rsidRDefault="00124A26" w:rsidP="002D3EBF">
            <w:pPr>
              <w:ind w:firstLine="0"/>
              <w:rPr>
                <w:rFonts w:eastAsia="SimSun"/>
              </w:rPr>
            </w:pPr>
            <w:r w:rsidRPr="00AC3044">
              <w:rPr>
                <w:rFonts w:eastAsia="SimSun"/>
              </w:rPr>
              <w:t>150 мг/м</w:t>
            </w:r>
            <w:r w:rsidRPr="000C005F">
              <w:rPr>
                <w:rFonts w:eastAsia="SimSun"/>
                <w:vertAlign w:val="superscript"/>
              </w:rPr>
              <w:t>2</w:t>
            </w:r>
          </w:p>
        </w:tc>
        <w:tc>
          <w:tcPr>
            <w:tcW w:w="1701" w:type="dxa"/>
            <w:vAlign w:val="center"/>
          </w:tcPr>
          <w:p w14:paraId="7FBFD008" w14:textId="77777777" w:rsidR="00124A26" w:rsidRPr="00AC3044" w:rsidRDefault="00124A26" w:rsidP="002D3EBF">
            <w:pPr>
              <w:ind w:firstLine="0"/>
              <w:rPr>
                <w:rFonts w:eastAsia="SimSun"/>
              </w:rPr>
            </w:pPr>
            <w:r w:rsidRPr="00AC3044">
              <w:rPr>
                <w:rFonts w:eastAsia="SimSun"/>
              </w:rPr>
              <w:t>С –4 по –2 день</w:t>
            </w:r>
          </w:p>
        </w:tc>
        <w:tc>
          <w:tcPr>
            <w:tcW w:w="2268" w:type="dxa"/>
            <w:vAlign w:val="center"/>
          </w:tcPr>
          <w:p w14:paraId="7C9CC773"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7E343CCA" w14:textId="77777777" w:rsidTr="002D3EBF">
        <w:trPr>
          <w:cantSplit/>
          <w:trHeight w:val="687"/>
        </w:trPr>
        <w:tc>
          <w:tcPr>
            <w:tcW w:w="993" w:type="dxa"/>
            <w:vMerge/>
            <w:textDirection w:val="btLr"/>
            <w:vAlign w:val="center"/>
          </w:tcPr>
          <w:p w14:paraId="02D04777" w14:textId="77777777" w:rsidR="00124A26" w:rsidRPr="00AC3044" w:rsidRDefault="00124A26" w:rsidP="002D3EBF">
            <w:pPr>
              <w:ind w:firstLine="0"/>
              <w:rPr>
                <w:rFonts w:eastAsia="SimSun"/>
              </w:rPr>
            </w:pPr>
          </w:p>
        </w:tc>
        <w:tc>
          <w:tcPr>
            <w:tcW w:w="1843" w:type="dxa"/>
            <w:vAlign w:val="center"/>
          </w:tcPr>
          <w:p w14:paraId="0B5260AC" w14:textId="77777777" w:rsidR="00124A26" w:rsidRPr="00AC3044" w:rsidRDefault="00124A26" w:rsidP="002D3EBF">
            <w:pPr>
              <w:ind w:firstLine="0"/>
              <w:rPr>
                <w:rFonts w:eastAsia="SimSun"/>
              </w:rPr>
            </w:pPr>
            <w:r w:rsidRPr="00AC3044">
              <w:rPr>
                <w:rFonts w:eastAsia="SimSun"/>
              </w:rPr>
              <w:t>Бусульфан</w:t>
            </w:r>
          </w:p>
        </w:tc>
        <w:tc>
          <w:tcPr>
            <w:tcW w:w="1417" w:type="dxa"/>
            <w:vAlign w:val="center"/>
          </w:tcPr>
          <w:p w14:paraId="7253620D" w14:textId="77777777" w:rsidR="00124A26" w:rsidRPr="00AC3044" w:rsidRDefault="00124A26" w:rsidP="002D3EBF">
            <w:pPr>
              <w:ind w:firstLine="0"/>
              <w:rPr>
                <w:rFonts w:eastAsia="SimSun"/>
              </w:rPr>
            </w:pPr>
            <w:r w:rsidRPr="00AC3044">
              <w:rPr>
                <w:rFonts w:eastAsia="SimSun"/>
              </w:rPr>
              <w:t>4 мг/кг</w:t>
            </w:r>
          </w:p>
        </w:tc>
        <w:tc>
          <w:tcPr>
            <w:tcW w:w="1418" w:type="dxa"/>
            <w:vAlign w:val="center"/>
          </w:tcPr>
          <w:p w14:paraId="03E58D12" w14:textId="77777777" w:rsidR="00124A26" w:rsidRPr="00AC3044" w:rsidRDefault="00124A26" w:rsidP="002D3EBF">
            <w:pPr>
              <w:ind w:firstLine="0"/>
              <w:rPr>
                <w:rFonts w:eastAsia="SimSun"/>
              </w:rPr>
            </w:pPr>
            <w:r w:rsidRPr="00AC3044">
              <w:rPr>
                <w:rFonts w:eastAsia="SimSun"/>
              </w:rPr>
              <w:t>8 мг/кг</w:t>
            </w:r>
          </w:p>
        </w:tc>
        <w:tc>
          <w:tcPr>
            <w:tcW w:w="1701" w:type="dxa"/>
            <w:vAlign w:val="center"/>
          </w:tcPr>
          <w:p w14:paraId="18619594" w14:textId="77777777" w:rsidR="00124A26" w:rsidRPr="00AC3044" w:rsidRDefault="00124A26" w:rsidP="002D3EBF">
            <w:pPr>
              <w:ind w:firstLine="0"/>
              <w:rPr>
                <w:rFonts w:eastAsia="SimSun"/>
              </w:rPr>
            </w:pPr>
            <w:r w:rsidRPr="00AC3044">
              <w:rPr>
                <w:rFonts w:eastAsia="SimSun"/>
              </w:rPr>
              <w:t>–3, –2 дни</w:t>
            </w:r>
          </w:p>
        </w:tc>
        <w:tc>
          <w:tcPr>
            <w:tcW w:w="2268" w:type="dxa"/>
            <w:vAlign w:val="center"/>
          </w:tcPr>
          <w:p w14:paraId="72B3FE6B"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4 приема</w:t>
            </w:r>
          </w:p>
        </w:tc>
      </w:tr>
      <w:tr w:rsidR="00124A26" w:rsidRPr="00AC3044" w14:paraId="25ABB8CA" w14:textId="77777777" w:rsidTr="002D3EBF">
        <w:trPr>
          <w:cantSplit/>
          <w:trHeight w:val="697"/>
        </w:trPr>
        <w:tc>
          <w:tcPr>
            <w:tcW w:w="993" w:type="dxa"/>
            <w:vMerge/>
            <w:textDirection w:val="btLr"/>
            <w:vAlign w:val="center"/>
          </w:tcPr>
          <w:p w14:paraId="350CFD35" w14:textId="77777777" w:rsidR="00124A26" w:rsidRPr="00AC3044" w:rsidRDefault="00124A26" w:rsidP="002D3EBF">
            <w:pPr>
              <w:ind w:firstLine="0"/>
              <w:rPr>
                <w:rFonts w:eastAsia="SimSun"/>
              </w:rPr>
            </w:pPr>
          </w:p>
        </w:tc>
        <w:tc>
          <w:tcPr>
            <w:tcW w:w="1843" w:type="dxa"/>
            <w:vAlign w:val="center"/>
          </w:tcPr>
          <w:p w14:paraId="4E5A9C6A" w14:textId="77777777" w:rsidR="00124A26" w:rsidRPr="00AC3044" w:rsidRDefault="00124A26" w:rsidP="002D3EBF">
            <w:pPr>
              <w:ind w:firstLine="0"/>
              <w:rPr>
                <w:rFonts w:eastAsia="SimSun"/>
              </w:rPr>
            </w:pPr>
            <w:r w:rsidRPr="00AC3044">
              <w:rPr>
                <w:rFonts w:eastAsia="SimSun"/>
              </w:rPr>
              <w:t>Тиотепа</w:t>
            </w:r>
          </w:p>
        </w:tc>
        <w:tc>
          <w:tcPr>
            <w:tcW w:w="1417" w:type="dxa"/>
            <w:vAlign w:val="center"/>
          </w:tcPr>
          <w:p w14:paraId="052F7743" w14:textId="77777777" w:rsidR="00124A26" w:rsidRPr="00AC3044" w:rsidRDefault="00124A26" w:rsidP="002D3EBF">
            <w:pPr>
              <w:ind w:firstLine="0"/>
              <w:rPr>
                <w:rFonts w:eastAsia="SimSun"/>
              </w:rPr>
            </w:pPr>
            <w:r w:rsidRPr="00AC3044">
              <w:rPr>
                <w:rFonts w:eastAsia="SimSun"/>
              </w:rPr>
              <w:t>5 мг/кг</w:t>
            </w:r>
          </w:p>
        </w:tc>
        <w:tc>
          <w:tcPr>
            <w:tcW w:w="1418" w:type="dxa"/>
            <w:vAlign w:val="center"/>
          </w:tcPr>
          <w:p w14:paraId="08FEF646" w14:textId="77777777" w:rsidR="00124A26" w:rsidRPr="00AC3044" w:rsidRDefault="00124A26" w:rsidP="002D3EBF">
            <w:pPr>
              <w:ind w:firstLine="0"/>
              <w:rPr>
                <w:rFonts w:eastAsia="SimSun"/>
              </w:rPr>
            </w:pPr>
            <w:r w:rsidRPr="00AC3044">
              <w:rPr>
                <w:rFonts w:eastAsia="SimSun"/>
              </w:rPr>
              <w:t>10 мг/кг</w:t>
            </w:r>
          </w:p>
        </w:tc>
        <w:tc>
          <w:tcPr>
            <w:tcW w:w="1701" w:type="dxa"/>
            <w:vAlign w:val="center"/>
          </w:tcPr>
          <w:p w14:paraId="383A7FFF" w14:textId="77777777" w:rsidR="00124A26" w:rsidRPr="00AC3044" w:rsidRDefault="00124A26" w:rsidP="002D3EBF">
            <w:pPr>
              <w:ind w:firstLine="0"/>
              <w:rPr>
                <w:rFonts w:eastAsia="SimSun"/>
              </w:rPr>
            </w:pPr>
            <w:r w:rsidRPr="00AC3044">
              <w:rPr>
                <w:rFonts w:eastAsia="SimSun"/>
              </w:rPr>
              <w:t>-6,-5 дни</w:t>
            </w:r>
          </w:p>
        </w:tc>
        <w:tc>
          <w:tcPr>
            <w:tcW w:w="2268" w:type="dxa"/>
            <w:vAlign w:val="center"/>
          </w:tcPr>
          <w:p w14:paraId="374D25B1" w14:textId="77777777" w:rsidR="00124A26" w:rsidRPr="00AC3044" w:rsidRDefault="00124A26" w:rsidP="002D3EBF">
            <w:pPr>
              <w:ind w:firstLine="0"/>
              <w:rPr>
                <w:rFonts w:eastAsia="SimSun"/>
              </w:rPr>
            </w:pPr>
            <w:r w:rsidRPr="00AC3044">
              <w:rPr>
                <w:rFonts w:eastAsia="SimSun"/>
              </w:rPr>
              <w:t>В/в, в течение 2 ч</w:t>
            </w:r>
          </w:p>
        </w:tc>
      </w:tr>
      <w:tr w:rsidR="00124A26" w:rsidRPr="00AC3044" w14:paraId="20E46788" w14:textId="77777777" w:rsidTr="002D3EBF">
        <w:trPr>
          <w:cantSplit/>
          <w:trHeight w:val="20"/>
        </w:trPr>
        <w:tc>
          <w:tcPr>
            <w:tcW w:w="993" w:type="dxa"/>
            <w:vMerge w:val="restart"/>
            <w:textDirection w:val="btLr"/>
            <w:vAlign w:val="center"/>
          </w:tcPr>
          <w:p w14:paraId="47DCEDC8" w14:textId="77777777" w:rsidR="00124A26" w:rsidRPr="00AC3044" w:rsidRDefault="00124A26" w:rsidP="002D3EBF">
            <w:pPr>
              <w:ind w:firstLine="0"/>
              <w:rPr>
                <w:rFonts w:eastAsia="SimSun"/>
              </w:rPr>
            </w:pPr>
            <w:r w:rsidRPr="00AC3044">
              <w:rPr>
                <w:rFonts w:eastAsia="SimSun"/>
              </w:rPr>
              <w:t>Профилактика РТПХ</w:t>
            </w:r>
          </w:p>
        </w:tc>
        <w:tc>
          <w:tcPr>
            <w:tcW w:w="1843" w:type="dxa"/>
            <w:vAlign w:val="center"/>
          </w:tcPr>
          <w:p w14:paraId="019AE7AE" w14:textId="77777777" w:rsidR="00124A26" w:rsidRPr="00AC3044" w:rsidRDefault="00124A26" w:rsidP="002D3EBF">
            <w:pPr>
              <w:ind w:firstLine="0"/>
              <w:rPr>
                <w:rFonts w:eastAsia="SimSun"/>
              </w:rPr>
            </w:pPr>
            <w:r w:rsidRPr="00AC3044">
              <w:rPr>
                <w:rFonts w:eastAsia="SimSun"/>
              </w:rPr>
              <w:t>АТГ (кроличий)</w:t>
            </w:r>
          </w:p>
        </w:tc>
        <w:tc>
          <w:tcPr>
            <w:tcW w:w="1417" w:type="dxa"/>
            <w:vAlign w:val="center"/>
          </w:tcPr>
          <w:p w14:paraId="2EB69F68" w14:textId="77777777" w:rsidR="00124A26" w:rsidRPr="00AC3044" w:rsidRDefault="00124A26" w:rsidP="002D3EBF">
            <w:pPr>
              <w:ind w:firstLine="0"/>
              <w:rPr>
                <w:rFonts w:eastAsia="SimSun"/>
              </w:rPr>
            </w:pPr>
            <w:r w:rsidRPr="00AC3044">
              <w:rPr>
                <w:rFonts w:eastAsia="SimSun"/>
              </w:rPr>
              <w:t>2,5 мг/кг</w:t>
            </w:r>
          </w:p>
        </w:tc>
        <w:tc>
          <w:tcPr>
            <w:tcW w:w="1418" w:type="dxa"/>
            <w:vAlign w:val="center"/>
          </w:tcPr>
          <w:p w14:paraId="2F0E1E2B" w14:textId="77777777" w:rsidR="00124A26" w:rsidRPr="00AC3044" w:rsidRDefault="00124A26" w:rsidP="002D3EBF">
            <w:pPr>
              <w:ind w:firstLine="0"/>
              <w:rPr>
                <w:rFonts w:eastAsia="SimSun"/>
              </w:rPr>
            </w:pPr>
            <w:r w:rsidRPr="00AC3044">
              <w:rPr>
                <w:rFonts w:eastAsia="SimSun"/>
              </w:rPr>
              <w:t>5- 7,5 мг/кг2</w:t>
            </w:r>
          </w:p>
        </w:tc>
        <w:tc>
          <w:tcPr>
            <w:tcW w:w="1701" w:type="dxa"/>
            <w:vAlign w:val="center"/>
          </w:tcPr>
          <w:p w14:paraId="4BA81E3E" w14:textId="77777777" w:rsidR="00124A26" w:rsidRPr="00AC3044" w:rsidRDefault="00124A26" w:rsidP="002D3EBF">
            <w:pPr>
              <w:ind w:firstLine="0"/>
              <w:rPr>
                <w:rFonts w:eastAsia="SimSun"/>
              </w:rPr>
            </w:pPr>
            <w:r w:rsidRPr="00AC3044">
              <w:rPr>
                <w:rFonts w:eastAsia="SimSun"/>
              </w:rPr>
              <w:t>С –3 по – 2 (-1) день</w:t>
            </w:r>
          </w:p>
        </w:tc>
        <w:tc>
          <w:tcPr>
            <w:tcW w:w="2268" w:type="dxa"/>
            <w:vAlign w:val="center"/>
          </w:tcPr>
          <w:p w14:paraId="0B9CFEB7" w14:textId="77777777" w:rsidR="00124A26" w:rsidRPr="00AC3044" w:rsidRDefault="00124A26" w:rsidP="002D3EBF">
            <w:pPr>
              <w:ind w:firstLine="0"/>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 xml:space="preserve">на 2 введения (см. «Инфузия АТГ») </w:t>
            </w:r>
          </w:p>
        </w:tc>
      </w:tr>
      <w:tr w:rsidR="00124A26" w:rsidRPr="00AC3044" w14:paraId="752E03A0" w14:textId="77777777" w:rsidTr="002D3EBF">
        <w:trPr>
          <w:cantSplit/>
          <w:trHeight w:val="20"/>
        </w:trPr>
        <w:tc>
          <w:tcPr>
            <w:tcW w:w="993" w:type="dxa"/>
            <w:vMerge/>
            <w:textDirection w:val="btLr"/>
            <w:vAlign w:val="center"/>
          </w:tcPr>
          <w:p w14:paraId="756496F5" w14:textId="77777777" w:rsidR="00124A26" w:rsidRPr="00AC3044" w:rsidRDefault="00124A26" w:rsidP="002D3EBF">
            <w:pPr>
              <w:ind w:firstLine="0"/>
              <w:rPr>
                <w:rFonts w:eastAsia="SimSun"/>
              </w:rPr>
            </w:pPr>
          </w:p>
        </w:tc>
        <w:tc>
          <w:tcPr>
            <w:tcW w:w="1843" w:type="dxa"/>
            <w:vAlign w:val="center"/>
          </w:tcPr>
          <w:p w14:paraId="2F002AF1" w14:textId="77777777" w:rsidR="00124A26" w:rsidRPr="00AC3044" w:rsidRDefault="00124A26" w:rsidP="002D3EBF">
            <w:pPr>
              <w:ind w:firstLine="0"/>
              <w:rPr>
                <w:rFonts w:eastAsia="SimSun"/>
              </w:rPr>
            </w:pPr>
            <w:r w:rsidRPr="00AC3044">
              <w:rPr>
                <w:rFonts w:eastAsia="SimSun"/>
              </w:rPr>
              <w:t>Циклоспорин</w:t>
            </w:r>
          </w:p>
        </w:tc>
        <w:tc>
          <w:tcPr>
            <w:tcW w:w="1417" w:type="dxa"/>
            <w:vAlign w:val="center"/>
          </w:tcPr>
          <w:p w14:paraId="347C35CB" w14:textId="77777777" w:rsidR="00124A26" w:rsidRPr="00AC3044" w:rsidRDefault="00124A26" w:rsidP="002D3EBF">
            <w:pPr>
              <w:ind w:firstLine="0"/>
              <w:rPr>
                <w:rFonts w:eastAsia="SimSun"/>
              </w:rPr>
            </w:pPr>
            <w:r w:rsidRPr="00AC3044">
              <w:rPr>
                <w:rFonts w:eastAsia="SimSun"/>
              </w:rPr>
              <w:t>3 мг/кг</w:t>
            </w:r>
          </w:p>
        </w:tc>
        <w:tc>
          <w:tcPr>
            <w:tcW w:w="1418" w:type="dxa"/>
            <w:vAlign w:val="center"/>
          </w:tcPr>
          <w:p w14:paraId="1C288936"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5A2495A3" w14:textId="77777777" w:rsidR="00124A26" w:rsidRPr="00AC3044" w:rsidRDefault="00124A26" w:rsidP="002D3EBF">
            <w:pPr>
              <w:ind w:firstLine="0"/>
              <w:rPr>
                <w:rFonts w:eastAsia="SimSun"/>
              </w:rPr>
            </w:pPr>
            <w:r w:rsidRPr="00AC3044">
              <w:rPr>
                <w:rFonts w:eastAsia="SimSun"/>
              </w:rPr>
              <w:t>С –1 дня по +90 день, затем постепенное снижение к +180 дню</w:t>
            </w:r>
          </w:p>
        </w:tc>
        <w:tc>
          <w:tcPr>
            <w:tcW w:w="2268" w:type="dxa"/>
            <w:vAlign w:val="center"/>
          </w:tcPr>
          <w:p w14:paraId="488D70D2" w14:textId="77777777" w:rsidR="00124A26" w:rsidRPr="00AC3044" w:rsidRDefault="00124A26"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0C00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150-350 нг/мл  </w:t>
            </w:r>
          </w:p>
        </w:tc>
      </w:tr>
      <w:tr w:rsidR="00124A26" w:rsidRPr="00AC3044" w14:paraId="2B26A884" w14:textId="77777777" w:rsidTr="002D3EBF">
        <w:trPr>
          <w:cantSplit/>
          <w:trHeight w:val="20"/>
        </w:trPr>
        <w:tc>
          <w:tcPr>
            <w:tcW w:w="993" w:type="dxa"/>
            <w:vMerge/>
            <w:vAlign w:val="center"/>
          </w:tcPr>
          <w:p w14:paraId="014DFB14" w14:textId="77777777" w:rsidR="00124A26" w:rsidRPr="00AC3044" w:rsidRDefault="00124A26" w:rsidP="002D3EBF">
            <w:pPr>
              <w:ind w:firstLine="0"/>
              <w:rPr>
                <w:rFonts w:eastAsia="SimSun"/>
              </w:rPr>
            </w:pPr>
          </w:p>
        </w:tc>
        <w:tc>
          <w:tcPr>
            <w:tcW w:w="1843" w:type="dxa"/>
            <w:vMerge w:val="restart"/>
            <w:vAlign w:val="center"/>
          </w:tcPr>
          <w:p w14:paraId="27A5DBC0" w14:textId="77777777" w:rsidR="00124A26" w:rsidRPr="00AC3044" w:rsidRDefault="00124A26" w:rsidP="002D3EBF">
            <w:pPr>
              <w:ind w:firstLine="0"/>
              <w:rPr>
                <w:rFonts w:eastAsia="SimSun"/>
              </w:rPr>
            </w:pPr>
            <w:r w:rsidRPr="00AC3044">
              <w:rPr>
                <w:rFonts w:eastAsia="SimSun"/>
              </w:rPr>
              <w:t>Метотрексат</w:t>
            </w:r>
          </w:p>
        </w:tc>
        <w:tc>
          <w:tcPr>
            <w:tcW w:w="1417" w:type="dxa"/>
            <w:vAlign w:val="center"/>
          </w:tcPr>
          <w:p w14:paraId="20EC120B" w14:textId="77777777" w:rsidR="00124A26" w:rsidRPr="00AC3044" w:rsidRDefault="00124A26" w:rsidP="002D3EBF">
            <w:pPr>
              <w:ind w:firstLine="0"/>
              <w:rPr>
                <w:rFonts w:eastAsia="SimSun"/>
              </w:rPr>
            </w:pPr>
            <w:r w:rsidRPr="00AC3044">
              <w:rPr>
                <w:rFonts w:eastAsia="SimSun"/>
              </w:rPr>
              <w:t>15 мг/м</w:t>
            </w:r>
            <w:r w:rsidRPr="000C005F">
              <w:rPr>
                <w:rFonts w:eastAsia="SimSun"/>
                <w:vertAlign w:val="superscript"/>
              </w:rPr>
              <w:t>2</w:t>
            </w:r>
          </w:p>
        </w:tc>
        <w:tc>
          <w:tcPr>
            <w:tcW w:w="1418" w:type="dxa"/>
            <w:vAlign w:val="center"/>
          </w:tcPr>
          <w:p w14:paraId="1B7D054E"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2641403D" w14:textId="77777777" w:rsidR="00124A26" w:rsidRPr="00AC3044" w:rsidRDefault="00124A26" w:rsidP="002D3EBF">
            <w:pPr>
              <w:ind w:firstLine="0"/>
              <w:rPr>
                <w:rFonts w:eastAsia="SimSun"/>
              </w:rPr>
            </w:pPr>
            <w:r w:rsidRPr="00AC3044">
              <w:rPr>
                <w:rFonts w:eastAsia="SimSun"/>
              </w:rPr>
              <w:t>+1 день</w:t>
            </w:r>
          </w:p>
        </w:tc>
        <w:tc>
          <w:tcPr>
            <w:tcW w:w="2268" w:type="dxa"/>
            <w:vAlign w:val="center"/>
          </w:tcPr>
          <w:p w14:paraId="304A3D83" w14:textId="77777777" w:rsidR="00124A26" w:rsidRPr="00AC3044" w:rsidRDefault="00124A26" w:rsidP="002D3EBF">
            <w:pPr>
              <w:ind w:firstLine="0"/>
              <w:rPr>
                <w:rFonts w:eastAsia="SimSun"/>
              </w:rPr>
            </w:pPr>
            <w:r w:rsidRPr="00AC3044">
              <w:rPr>
                <w:rFonts w:eastAsia="SimSun"/>
              </w:rPr>
              <w:t xml:space="preserve">В/в, в 20 мл физ. р-ра </w:t>
            </w:r>
          </w:p>
        </w:tc>
      </w:tr>
      <w:tr w:rsidR="00124A26" w:rsidRPr="00AC3044" w14:paraId="626928E3" w14:textId="77777777" w:rsidTr="002D3EBF">
        <w:trPr>
          <w:cantSplit/>
          <w:trHeight w:val="464"/>
        </w:trPr>
        <w:tc>
          <w:tcPr>
            <w:tcW w:w="993" w:type="dxa"/>
            <w:vMerge/>
            <w:vAlign w:val="center"/>
          </w:tcPr>
          <w:p w14:paraId="051B8A97" w14:textId="77777777" w:rsidR="00124A26" w:rsidRPr="00AC3044" w:rsidRDefault="00124A26" w:rsidP="002D3EBF">
            <w:pPr>
              <w:ind w:firstLine="0"/>
              <w:rPr>
                <w:rFonts w:eastAsia="SimSun"/>
              </w:rPr>
            </w:pPr>
          </w:p>
        </w:tc>
        <w:tc>
          <w:tcPr>
            <w:tcW w:w="1843" w:type="dxa"/>
            <w:vMerge/>
            <w:vAlign w:val="center"/>
          </w:tcPr>
          <w:p w14:paraId="0CA06849" w14:textId="77777777" w:rsidR="00124A26" w:rsidRPr="00AC3044" w:rsidRDefault="00124A26" w:rsidP="002D3EBF">
            <w:pPr>
              <w:ind w:firstLine="0"/>
              <w:rPr>
                <w:rFonts w:eastAsia="SimSun"/>
              </w:rPr>
            </w:pPr>
          </w:p>
        </w:tc>
        <w:tc>
          <w:tcPr>
            <w:tcW w:w="1417" w:type="dxa"/>
            <w:vAlign w:val="center"/>
          </w:tcPr>
          <w:p w14:paraId="00CD74CE" w14:textId="77777777" w:rsidR="00124A26" w:rsidRPr="00AC3044" w:rsidRDefault="00124A26" w:rsidP="002D3EBF">
            <w:pPr>
              <w:ind w:firstLine="0"/>
              <w:rPr>
                <w:rFonts w:eastAsia="SimSun"/>
              </w:rPr>
            </w:pPr>
            <w:r w:rsidRPr="00AC3044">
              <w:rPr>
                <w:rFonts w:eastAsia="SimSun"/>
              </w:rPr>
              <w:t>10 мг/м</w:t>
            </w:r>
            <w:r w:rsidRPr="000C005F">
              <w:rPr>
                <w:rFonts w:eastAsia="SimSun"/>
                <w:vertAlign w:val="superscript"/>
              </w:rPr>
              <w:t>2</w:t>
            </w:r>
          </w:p>
        </w:tc>
        <w:tc>
          <w:tcPr>
            <w:tcW w:w="1418" w:type="dxa"/>
            <w:vAlign w:val="center"/>
          </w:tcPr>
          <w:p w14:paraId="6506A81C"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4B6C353E" w14:textId="77777777" w:rsidR="00124A26" w:rsidRPr="00AC3044" w:rsidRDefault="00124A26" w:rsidP="002D3EBF">
            <w:pPr>
              <w:ind w:firstLine="0"/>
              <w:rPr>
                <w:rFonts w:eastAsia="SimSun"/>
              </w:rPr>
            </w:pPr>
            <w:r w:rsidRPr="00AC3044">
              <w:rPr>
                <w:rFonts w:eastAsia="SimSun"/>
              </w:rPr>
              <w:t>+3, +6, +11 день</w:t>
            </w:r>
          </w:p>
        </w:tc>
        <w:tc>
          <w:tcPr>
            <w:tcW w:w="2268" w:type="dxa"/>
            <w:vAlign w:val="center"/>
          </w:tcPr>
          <w:p w14:paraId="11436AE9" w14:textId="77777777" w:rsidR="00124A26" w:rsidRPr="00AC3044" w:rsidRDefault="00124A26" w:rsidP="002D3EBF">
            <w:pPr>
              <w:ind w:firstLine="0"/>
              <w:rPr>
                <w:rFonts w:eastAsia="SimSun"/>
              </w:rPr>
            </w:pPr>
            <w:r w:rsidRPr="00AC3044">
              <w:rPr>
                <w:rFonts w:eastAsia="SimSun"/>
              </w:rPr>
              <w:t xml:space="preserve">В/в, в 20 мл физ. р-ра </w:t>
            </w:r>
          </w:p>
        </w:tc>
      </w:tr>
      <w:tr w:rsidR="00124A26" w:rsidRPr="00AC3044" w14:paraId="3F6517B1" w14:textId="77777777" w:rsidTr="002D3EBF">
        <w:trPr>
          <w:cantSplit/>
          <w:trHeight w:val="464"/>
        </w:trPr>
        <w:tc>
          <w:tcPr>
            <w:tcW w:w="993" w:type="dxa"/>
            <w:vMerge/>
            <w:vAlign w:val="center"/>
          </w:tcPr>
          <w:p w14:paraId="775267CD" w14:textId="77777777" w:rsidR="00124A26" w:rsidRPr="00AC3044" w:rsidRDefault="00124A26" w:rsidP="002D3EBF">
            <w:pPr>
              <w:ind w:firstLine="0"/>
              <w:rPr>
                <w:rFonts w:eastAsia="SimSun"/>
              </w:rPr>
            </w:pPr>
          </w:p>
        </w:tc>
        <w:tc>
          <w:tcPr>
            <w:tcW w:w="1843" w:type="dxa"/>
            <w:vMerge w:val="restart"/>
            <w:vAlign w:val="center"/>
          </w:tcPr>
          <w:p w14:paraId="2F650D6C" w14:textId="77777777" w:rsidR="00124A26" w:rsidRPr="00AC3044" w:rsidRDefault="00124A26" w:rsidP="002D3EBF">
            <w:pPr>
              <w:ind w:firstLine="0"/>
              <w:rPr>
                <w:rFonts w:eastAsia="SimSun"/>
              </w:rPr>
            </w:pPr>
            <w:r w:rsidRPr="00AC3044">
              <w:rPr>
                <w:rFonts w:eastAsia="SimSun"/>
              </w:rPr>
              <w:t>Микофенолата мофетил (только при использовании СКК)</w:t>
            </w:r>
          </w:p>
        </w:tc>
        <w:tc>
          <w:tcPr>
            <w:tcW w:w="1417" w:type="dxa"/>
            <w:vAlign w:val="center"/>
          </w:tcPr>
          <w:p w14:paraId="52C0BC14" w14:textId="77777777" w:rsidR="00124A26" w:rsidRPr="00AC3044" w:rsidRDefault="00124A26" w:rsidP="002D3EBF">
            <w:pPr>
              <w:ind w:firstLine="0"/>
              <w:rPr>
                <w:rFonts w:eastAsia="SimSun"/>
              </w:rPr>
            </w:pPr>
            <w:r w:rsidRPr="00AC3044">
              <w:rPr>
                <w:rFonts w:eastAsia="SimSun"/>
              </w:rPr>
              <w:t>2000 мг</w:t>
            </w:r>
          </w:p>
        </w:tc>
        <w:tc>
          <w:tcPr>
            <w:tcW w:w="1418" w:type="dxa"/>
            <w:vAlign w:val="center"/>
          </w:tcPr>
          <w:p w14:paraId="46FC2EEC"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53A0DD8A" w14:textId="77777777" w:rsidR="00124A26" w:rsidRPr="00AC3044" w:rsidRDefault="00124A26" w:rsidP="002D3EBF">
            <w:pPr>
              <w:ind w:firstLine="0"/>
              <w:rPr>
                <w:rFonts w:eastAsia="SimSun"/>
              </w:rPr>
            </w:pPr>
            <w:r w:rsidRPr="00AC3044">
              <w:rPr>
                <w:rFonts w:eastAsia="SimSun"/>
              </w:rPr>
              <w:t>С +1 по +14 день</w:t>
            </w:r>
          </w:p>
        </w:tc>
        <w:tc>
          <w:tcPr>
            <w:tcW w:w="2268" w:type="dxa"/>
            <w:vAlign w:val="center"/>
          </w:tcPr>
          <w:p w14:paraId="5D5FCDC0"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2- 4 приема.</w:t>
            </w:r>
          </w:p>
        </w:tc>
      </w:tr>
      <w:tr w:rsidR="00124A26" w:rsidRPr="00AC3044" w14:paraId="3595AFCB" w14:textId="77777777" w:rsidTr="002D3EBF">
        <w:trPr>
          <w:cantSplit/>
          <w:trHeight w:val="464"/>
        </w:trPr>
        <w:tc>
          <w:tcPr>
            <w:tcW w:w="993" w:type="dxa"/>
            <w:vMerge/>
            <w:vAlign w:val="center"/>
          </w:tcPr>
          <w:p w14:paraId="244AAC15" w14:textId="77777777" w:rsidR="00124A26" w:rsidRPr="00AC3044" w:rsidRDefault="00124A26" w:rsidP="002D3EBF">
            <w:pPr>
              <w:ind w:firstLine="0"/>
              <w:rPr>
                <w:rFonts w:eastAsia="SimSun"/>
              </w:rPr>
            </w:pPr>
          </w:p>
        </w:tc>
        <w:tc>
          <w:tcPr>
            <w:tcW w:w="1843" w:type="dxa"/>
            <w:vMerge/>
            <w:vAlign w:val="center"/>
          </w:tcPr>
          <w:p w14:paraId="5FB85FBE" w14:textId="77777777" w:rsidR="00124A26" w:rsidRPr="00AC3044" w:rsidRDefault="00124A26" w:rsidP="002D3EBF">
            <w:pPr>
              <w:ind w:firstLine="0"/>
              <w:rPr>
                <w:rFonts w:eastAsia="SimSun"/>
              </w:rPr>
            </w:pPr>
          </w:p>
        </w:tc>
        <w:tc>
          <w:tcPr>
            <w:tcW w:w="1417" w:type="dxa"/>
            <w:vAlign w:val="center"/>
          </w:tcPr>
          <w:p w14:paraId="3F3DEC1E" w14:textId="77777777" w:rsidR="00124A26" w:rsidRPr="00AC3044" w:rsidRDefault="00124A26" w:rsidP="002D3EBF">
            <w:pPr>
              <w:ind w:firstLine="0"/>
              <w:rPr>
                <w:rFonts w:eastAsia="SimSun"/>
              </w:rPr>
            </w:pPr>
            <w:r w:rsidRPr="00AC3044">
              <w:rPr>
                <w:rFonts w:eastAsia="SimSun"/>
              </w:rPr>
              <w:t>1000 мг</w:t>
            </w:r>
          </w:p>
        </w:tc>
        <w:tc>
          <w:tcPr>
            <w:tcW w:w="1418" w:type="dxa"/>
            <w:vAlign w:val="center"/>
          </w:tcPr>
          <w:p w14:paraId="45980A8C"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74D979EB" w14:textId="77777777" w:rsidR="00124A26" w:rsidRPr="00AC3044" w:rsidRDefault="00124A26" w:rsidP="002D3EBF">
            <w:pPr>
              <w:ind w:firstLine="0"/>
              <w:rPr>
                <w:rFonts w:eastAsia="SimSun"/>
              </w:rPr>
            </w:pPr>
            <w:r w:rsidRPr="00AC3044">
              <w:rPr>
                <w:rFonts w:eastAsia="SimSun"/>
              </w:rPr>
              <w:t>С +15 по +90 день</w:t>
            </w:r>
          </w:p>
        </w:tc>
        <w:tc>
          <w:tcPr>
            <w:tcW w:w="2268" w:type="dxa"/>
            <w:vAlign w:val="center"/>
          </w:tcPr>
          <w:p w14:paraId="56271D23"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2- 4 приема.</w:t>
            </w:r>
          </w:p>
        </w:tc>
      </w:tr>
    </w:tbl>
    <w:p w14:paraId="4A85BDAF" w14:textId="77777777" w:rsidR="00124A26" w:rsidRDefault="00124A26" w:rsidP="00124A26">
      <w:pPr>
        <w:rPr>
          <w:rFonts w:eastAsia="SimSun"/>
        </w:rPr>
      </w:pPr>
      <w:bookmarkStart w:id="204" w:name="_Toc44401161"/>
    </w:p>
    <w:p w14:paraId="07CAD299" w14:textId="77777777" w:rsidR="00124A26" w:rsidRPr="00C07B2E" w:rsidRDefault="00124A26" w:rsidP="00124A26">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1.2.3 – Flu150+Bu8 / PT-Cy+CSA+MMF45</w:t>
      </w:r>
      <w:bookmarkEnd w:id="204"/>
    </w:p>
    <w:tbl>
      <w:tblPr>
        <w:tblW w:w="9640" w:type="dxa"/>
        <w:tblInd w:w="-34" w:type="dxa"/>
        <w:tblLayout w:type="fixed"/>
        <w:tblCellMar>
          <w:left w:w="10" w:type="dxa"/>
          <w:right w:w="10" w:type="dxa"/>
        </w:tblCellMar>
        <w:tblLook w:val="0000" w:firstRow="0" w:lastRow="0" w:firstColumn="0" w:lastColumn="0" w:noHBand="0" w:noVBand="0"/>
      </w:tblPr>
      <w:tblGrid>
        <w:gridCol w:w="993"/>
        <w:gridCol w:w="1843"/>
        <w:gridCol w:w="1417"/>
        <w:gridCol w:w="1418"/>
        <w:gridCol w:w="1701"/>
        <w:gridCol w:w="2268"/>
      </w:tblGrid>
      <w:tr w:rsidR="00124A26" w:rsidRPr="00AC3044" w14:paraId="751F9319" w14:textId="77777777" w:rsidTr="002D3EBF">
        <w:trPr>
          <w:cantSplit/>
          <w:trHeight w:val="20"/>
          <w:tblHeader/>
        </w:trPr>
        <w:tc>
          <w:tcPr>
            <w:tcW w:w="9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FDD9E7" w14:textId="77777777" w:rsidR="00124A26" w:rsidRPr="00470D3D" w:rsidRDefault="00124A26" w:rsidP="002D3EBF">
            <w:pPr>
              <w:ind w:firstLine="0"/>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79D2DBD" w14:textId="77777777" w:rsidR="00124A26" w:rsidRPr="00AC3044" w:rsidRDefault="00124A26" w:rsidP="002D3EBF">
            <w:pPr>
              <w:ind w:firstLine="0"/>
              <w:rPr>
                <w:rFonts w:eastAsia="SimSun"/>
              </w:rPr>
            </w:pPr>
            <w:r w:rsidRPr="00AC3044">
              <w:rPr>
                <w:rFonts w:eastAsia="SimSun"/>
              </w:rPr>
              <w:t>Препарат</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3F075B0" w14:textId="77777777" w:rsidR="00124A26" w:rsidRPr="00AC3044" w:rsidRDefault="00124A26" w:rsidP="002D3EBF">
            <w:pPr>
              <w:ind w:firstLine="0"/>
              <w:rPr>
                <w:rFonts w:eastAsia="SimSun"/>
              </w:rPr>
            </w:pPr>
            <w:r w:rsidRPr="00AC3044">
              <w:rPr>
                <w:rFonts w:eastAsia="SimSun"/>
              </w:rPr>
              <w:t>Суточная доза</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ADFCC75" w14:textId="77777777" w:rsidR="00124A26" w:rsidRPr="00AC3044" w:rsidRDefault="00124A26" w:rsidP="002D3EBF">
            <w:pPr>
              <w:ind w:firstLine="0"/>
              <w:rPr>
                <w:rFonts w:eastAsia="SimSun"/>
              </w:rPr>
            </w:pPr>
            <w:r w:rsidRPr="00AC3044">
              <w:rPr>
                <w:rFonts w:eastAsia="SimSun"/>
              </w:rPr>
              <w:t>Курсовая доза</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6B39785" w14:textId="77777777" w:rsidR="00124A26" w:rsidRPr="00AC3044" w:rsidRDefault="00124A26" w:rsidP="002D3EBF">
            <w:pPr>
              <w:ind w:firstLine="0"/>
              <w:rPr>
                <w:rFonts w:eastAsia="SimSun"/>
              </w:rPr>
            </w:pPr>
            <w:r w:rsidRPr="00AC3044">
              <w:rPr>
                <w:rFonts w:eastAsia="SimSun"/>
              </w:rPr>
              <w:t>Дни введения</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2C89C43"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5FCECE16" w14:textId="77777777" w:rsidTr="002D3EBF">
        <w:trPr>
          <w:cantSplit/>
          <w:trHeight w:val="20"/>
        </w:trPr>
        <w:tc>
          <w:tcPr>
            <w:tcW w:w="99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575B2157" w14:textId="77777777" w:rsidR="00124A26" w:rsidRPr="00AC3044" w:rsidRDefault="00124A26" w:rsidP="002D3EBF">
            <w:pPr>
              <w:ind w:firstLine="0"/>
              <w:rPr>
                <w:rFonts w:eastAsia="SimSun"/>
              </w:rPr>
            </w:pPr>
            <w:r w:rsidRPr="00AC3044">
              <w:rPr>
                <w:rFonts w:eastAsia="SimSun"/>
              </w:rPr>
              <w:t>Кондиционирование</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E1AD8CD" w14:textId="77777777" w:rsidR="00124A26" w:rsidRPr="00AC3044" w:rsidRDefault="00124A26" w:rsidP="002D3EBF">
            <w:pPr>
              <w:ind w:firstLine="0"/>
              <w:rPr>
                <w:rFonts w:eastAsia="SimSun"/>
              </w:rPr>
            </w:pPr>
            <w:r w:rsidRPr="00AC3044">
              <w:rPr>
                <w:rFonts w:eastAsia="SimSun"/>
              </w:rPr>
              <w:t>Флударабин</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46FC1447" w14:textId="77777777" w:rsidR="00124A26" w:rsidRPr="00AC3044" w:rsidRDefault="00124A26" w:rsidP="002D3EBF">
            <w:pPr>
              <w:ind w:firstLine="0"/>
              <w:rPr>
                <w:rFonts w:eastAsia="SimSun"/>
              </w:rPr>
            </w:pPr>
            <w:r w:rsidRPr="00AC3044">
              <w:rPr>
                <w:rFonts w:eastAsia="SimSun"/>
              </w:rPr>
              <w:t>30 мг/м</w:t>
            </w:r>
            <w:r w:rsidRPr="000C005F">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4FA2BF89" w14:textId="77777777" w:rsidR="00124A26" w:rsidRPr="00AC3044" w:rsidRDefault="00124A26" w:rsidP="002D3EBF">
            <w:pPr>
              <w:ind w:firstLine="0"/>
              <w:rPr>
                <w:rFonts w:eastAsia="SimSun"/>
              </w:rPr>
            </w:pPr>
            <w:r w:rsidRPr="00AC3044">
              <w:rPr>
                <w:rFonts w:eastAsia="SimSun"/>
              </w:rPr>
              <w:t>150 мг/м</w:t>
            </w:r>
            <w:r w:rsidRPr="000C005F">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19AB925" w14:textId="77777777" w:rsidR="00124A26" w:rsidRPr="00AC3044" w:rsidRDefault="00124A26" w:rsidP="002D3EBF">
            <w:pPr>
              <w:ind w:firstLine="0"/>
              <w:rPr>
                <w:rFonts w:eastAsia="SimSun"/>
              </w:rPr>
            </w:pPr>
            <w:r w:rsidRPr="00AC3044">
              <w:rPr>
                <w:rFonts w:eastAsia="SimSun"/>
              </w:rPr>
              <w:t>С –6 по –2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7BD9A22"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72567A33" w14:textId="77777777" w:rsidTr="002D3EBF">
        <w:trPr>
          <w:cantSplit/>
          <w:trHeight w:val="918"/>
        </w:trPr>
        <w:tc>
          <w:tcPr>
            <w:tcW w:w="99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1BC503A0" w14:textId="77777777" w:rsidR="00124A26" w:rsidRPr="00AC3044" w:rsidRDefault="00124A26" w:rsidP="002D3EBF">
            <w:pPr>
              <w:ind w:firstLine="0"/>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028DE99" w14:textId="77777777" w:rsidR="00124A26" w:rsidRPr="00AC3044" w:rsidRDefault="00124A26" w:rsidP="002D3EBF">
            <w:pPr>
              <w:ind w:firstLine="0"/>
              <w:rPr>
                <w:rFonts w:eastAsia="SimSun"/>
              </w:rPr>
            </w:pPr>
            <w:r w:rsidRPr="00AC3044">
              <w:rPr>
                <w:rFonts w:eastAsia="SimSun"/>
              </w:rPr>
              <w:t>Бусульфан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AF08CBD" w14:textId="77777777" w:rsidR="00124A26" w:rsidRPr="00AC3044" w:rsidRDefault="00124A26" w:rsidP="002D3EBF">
            <w:pPr>
              <w:ind w:firstLine="0"/>
              <w:rPr>
                <w:rFonts w:eastAsia="SimSun"/>
              </w:rPr>
            </w:pPr>
            <w:r w:rsidRPr="00AC3044">
              <w:rPr>
                <w:rFonts w:eastAsia="SimSun"/>
              </w:rPr>
              <w:t>4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95423ED" w14:textId="77777777" w:rsidR="00124A26" w:rsidRPr="00AC3044" w:rsidRDefault="00124A26" w:rsidP="002D3EBF">
            <w:pPr>
              <w:ind w:firstLine="0"/>
              <w:rPr>
                <w:rFonts w:eastAsia="SimSun"/>
              </w:rPr>
            </w:pPr>
            <w:r w:rsidRPr="00AC3044">
              <w:rPr>
                <w:rFonts w:eastAsia="SimSun"/>
              </w:rPr>
              <w:t>8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BF2F8EB" w14:textId="77777777" w:rsidR="00124A26" w:rsidRPr="00AC3044" w:rsidRDefault="00124A26" w:rsidP="002D3EBF">
            <w:pPr>
              <w:ind w:firstLine="0"/>
              <w:rPr>
                <w:rFonts w:eastAsia="SimSun"/>
              </w:rPr>
            </w:pPr>
            <w:r w:rsidRPr="00AC3044">
              <w:rPr>
                <w:rFonts w:eastAsia="SimSun"/>
              </w:rPr>
              <w:t xml:space="preserve"> –4, –3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343FD3A"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124A26" w:rsidRPr="00AC3044" w14:paraId="66DEB13D" w14:textId="77777777" w:rsidTr="002D3EBF">
        <w:trPr>
          <w:cantSplit/>
          <w:trHeight w:val="20"/>
        </w:trPr>
        <w:tc>
          <w:tcPr>
            <w:tcW w:w="99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7A9AF873" w14:textId="77777777" w:rsidR="00124A26" w:rsidRPr="00AC3044" w:rsidRDefault="00124A26" w:rsidP="002D3EBF">
            <w:pPr>
              <w:ind w:firstLine="0"/>
              <w:rPr>
                <w:rFonts w:eastAsia="SimSun"/>
              </w:rPr>
            </w:pPr>
            <w:r w:rsidRPr="00AC3044">
              <w:rPr>
                <w:rFonts w:eastAsia="SimSun"/>
              </w:rPr>
              <w:t>Профилактика РТПХ</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63A52C8" w14:textId="77777777" w:rsidR="00124A26" w:rsidRPr="00AC3044" w:rsidRDefault="00124A26" w:rsidP="002D3EBF">
            <w:pPr>
              <w:ind w:firstLine="0"/>
              <w:rPr>
                <w:rFonts w:eastAsia="SimSun"/>
              </w:rPr>
            </w:pPr>
            <w:r w:rsidRPr="00AC3044">
              <w:rPr>
                <w:rFonts w:eastAsia="SimSun"/>
              </w:rPr>
              <w:t>Циклоспорин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6869800" w14:textId="77777777" w:rsidR="00124A26" w:rsidRPr="00AC3044" w:rsidRDefault="00124A26" w:rsidP="002D3EBF">
            <w:pPr>
              <w:ind w:firstLine="0"/>
              <w:rPr>
                <w:rFonts w:eastAsia="SimSun"/>
              </w:rPr>
            </w:pPr>
            <w:r w:rsidRPr="00AC3044">
              <w:rPr>
                <w:rFonts w:eastAsia="SimSun"/>
              </w:rPr>
              <w:t>3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4820D92" w14:textId="77777777" w:rsidR="00124A26" w:rsidRPr="00AC3044" w:rsidRDefault="00124A26" w:rsidP="002D3EBF">
            <w:pPr>
              <w:ind w:firstLine="0"/>
              <w:rPr>
                <w:rFonts w:eastAsia="SimSun"/>
              </w:rPr>
            </w:pPr>
            <w:r w:rsidRPr="00AC3044">
              <w:rPr>
                <w:rFonts w:eastAsia="SimSun"/>
              </w:rPr>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C4F5E26" w14:textId="77777777" w:rsidR="00124A26" w:rsidRPr="00AC3044" w:rsidRDefault="00124A26" w:rsidP="002D3EBF">
            <w:pPr>
              <w:ind w:firstLine="0"/>
              <w:rPr>
                <w:rFonts w:eastAsia="SimSun"/>
              </w:rPr>
            </w:pPr>
            <w:r w:rsidRPr="00AC3044">
              <w:rPr>
                <w:rFonts w:eastAsia="SimSun"/>
              </w:rPr>
              <w:t>С +5 по +90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BDBB5EA" w14:textId="77777777" w:rsidR="00124A26" w:rsidRPr="00AC3044" w:rsidRDefault="00124A26"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0C00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124A26" w:rsidRPr="00AC3044" w14:paraId="37CC59EB" w14:textId="77777777" w:rsidTr="002D3EBF">
        <w:trPr>
          <w:cantSplit/>
          <w:trHeight w:val="20"/>
        </w:trPr>
        <w:tc>
          <w:tcPr>
            <w:tcW w:w="99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8426C45" w14:textId="77777777" w:rsidR="00124A26" w:rsidRPr="00AC3044" w:rsidRDefault="00124A26" w:rsidP="002D3EBF">
            <w:pPr>
              <w:ind w:firstLine="0"/>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7405740" w14:textId="77777777" w:rsidR="00124A26" w:rsidRPr="00AC3044" w:rsidRDefault="00124A26" w:rsidP="002D3EBF">
            <w:pPr>
              <w:ind w:firstLine="0"/>
              <w:rPr>
                <w:rFonts w:eastAsia="SimSun"/>
              </w:rPr>
            </w:pPr>
            <w:r w:rsidRPr="00AC3044">
              <w:rPr>
                <w:rFonts w:eastAsia="SimSun"/>
              </w:rPr>
              <w:t>Микофенолата мофетил</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A601753" w14:textId="77777777" w:rsidR="00124A26" w:rsidRPr="00AC3044" w:rsidRDefault="00124A26" w:rsidP="002D3EBF">
            <w:pPr>
              <w:ind w:firstLine="0"/>
              <w:rPr>
                <w:rFonts w:eastAsia="SimSun"/>
              </w:rPr>
            </w:pPr>
            <w:r w:rsidRPr="00AC3044">
              <w:rPr>
                <w:rFonts w:eastAsia="SimSun"/>
              </w:rPr>
              <w:t>45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36BCCB4" w14:textId="77777777" w:rsidR="00124A26" w:rsidRPr="00AC3044" w:rsidRDefault="00124A26" w:rsidP="002D3EBF">
            <w:pPr>
              <w:ind w:firstLine="0"/>
              <w:rPr>
                <w:rFonts w:eastAsia="SimSun"/>
              </w:rPr>
            </w:pPr>
            <w:r w:rsidRPr="00AC3044">
              <w:rPr>
                <w:rFonts w:eastAsia="SimSun"/>
              </w:rPr>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998F17A" w14:textId="77777777" w:rsidR="00124A26" w:rsidRPr="00AC3044" w:rsidRDefault="00124A26" w:rsidP="002D3EBF">
            <w:pPr>
              <w:ind w:firstLine="0"/>
              <w:rPr>
                <w:rFonts w:eastAsia="SimSun"/>
              </w:rPr>
            </w:pPr>
            <w:r w:rsidRPr="00AC3044">
              <w:rPr>
                <w:rFonts w:eastAsia="SimSun"/>
              </w:rPr>
              <w:t>С +5 по +30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B74B83A"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4 приема (не более 3</w:t>
            </w:r>
            <w:r>
              <w:rPr>
                <w:rFonts w:eastAsia="SimSun"/>
              </w:rPr>
              <w:t xml:space="preserve"> </w:t>
            </w:r>
            <w:r w:rsidRPr="00AC3044">
              <w:rPr>
                <w:rFonts w:eastAsia="SimSun"/>
              </w:rPr>
              <w:t>г/сут)</w:t>
            </w:r>
          </w:p>
        </w:tc>
      </w:tr>
      <w:tr w:rsidR="00124A26" w:rsidRPr="00AC3044" w14:paraId="181BCED5" w14:textId="77777777" w:rsidTr="002D3EBF">
        <w:trPr>
          <w:cantSplit/>
          <w:trHeight w:val="464"/>
        </w:trPr>
        <w:tc>
          <w:tcPr>
            <w:tcW w:w="99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5A265D6" w14:textId="77777777" w:rsidR="00124A26" w:rsidRPr="00AC3044" w:rsidRDefault="00124A26" w:rsidP="002D3EBF">
            <w:pPr>
              <w:ind w:firstLine="0"/>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22997F0" w14:textId="77777777" w:rsidR="00124A26" w:rsidRPr="00AC3044" w:rsidRDefault="00124A26" w:rsidP="002D3EBF">
            <w:pPr>
              <w:ind w:firstLine="0"/>
              <w:rPr>
                <w:rFonts w:eastAsia="SimSun"/>
              </w:rPr>
            </w:pPr>
            <w:r w:rsidRPr="00AC3044">
              <w:rPr>
                <w:rFonts w:eastAsia="SimSun"/>
              </w:rPr>
              <w:t>Циклофосфамид</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0B699D3" w14:textId="77777777" w:rsidR="00124A26" w:rsidRPr="00AC3044" w:rsidRDefault="00124A26" w:rsidP="002D3EBF">
            <w:pPr>
              <w:ind w:firstLine="0"/>
              <w:rPr>
                <w:rFonts w:eastAsia="SimSun"/>
              </w:rPr>
            </w:pPr>
            <w:r w:rsidRPr="00AC3044">
              <w:rPr>
                <w:rFonts w:eastAsia="SimSun"/>
              </w:rPr>
              <w:t>50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837D9A3" w14:textId="77777777" w:rsidR="00124A26" w:rsidRPr="00AC3044" w:rsidRDefault="00124A26" w:rsidP="002D3EBF">
            <w:pPr>
              <w:ind w:firstLine="0"/>
              <w:rPr>
                <w:rFonts w:eastAsia="SimSun"/>
              </w:rPr>
            </w:pPr>
            <w:r w:rsidRPr="00AC3044">
              <w:rPr>
                <w:rFonts w:eastAsia="SimSun"/>
              </w:rPr>
              <w:t>100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1A545F1" w14:textId="77777777" w:rsidR="00124A26" w:rsidRPr="00AC3044" w:rsidRDefault="00124A26" w:rsidP="002D3EBF">
            <w:pPr>
              <w:ind w:firstLine="0"/>
              <w:rPr>
                <w:rFonts w:eastAsia="SimSun"/>
              </w:rPr>
            </w:pPr>
            <w:r w:rsidRPr="00AC3044">
              <w:rPr>
                <w:rFonts w:eastAsia="SimSun"/>
              </w:rPr>
              <w:t>+3, +4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C78FA02" w14:textId="77777777" w:rsidR="00124A26" w:rsidRPr="00AC3044" w:rsidRDefault="00124A26" w:rsidP="002D3EBF">
            <w:pPr>
              <w:ind w:firstLine="0"/>
              <w:rPr>
                <w:rFonts w:eastAsia="SimSun"/>
              </w:rPr>
            </w:pPr>
            <w:r w:rsidRPr="00AC3044">
              <w:rPr>
                <w:rFonts w:eastAsia="SimSun"/>
              </w:rPr>
              <w:t>В/в, инфузия в течение 2 ч</w:t>
            </w:r>
          </w:p>
        </w:tc>
      </w:tr>
    </w:tbl>
    <w:p w14:paraId="7DDA8C61" w14:textId="77777777" w:rsidR="00124A26" w:rsidRDefault="00124A26" w:rsidP="00124A26">
      <w:pPr>
        <w:rPr>
          <w:rFonts w:eastAsia="SimSun"/>
        </w:rPr>
      </w:pPr>
      <w:bookmarkStart w:id="205" w:name="_Toc44401162"/>
    </w:p>
    <w:p w14:paraId="44485E9F" w14:textId="77777777" w:rsidR="00124A26" w:rsidRPr="00C07B2E" w:rsidRDefault="00124A26" w:rsidP="00124A26">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1.2.4  – Flu150+Bu8+Thio / PT-Cy+CSA+ MMF30</w:t>
      </w:r>
      <w:bookmarkEnd w:id="205"/>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124A26" w:rsidRPr="00AC3044" w14:paraId="6E1BE6AC" w14:textId="77777777" w:rsidTr="002D3EBF">
        <w:trPr>
          <w:cantSplit/>
          <w:trHeight w:val="20"/>
          <w:tblHeader/>
        </w:trPr>
        <w:tc>
          <w:tcPr>
            <w:tcW w:w="993" w:type="dxa"/>
          </w:tcPr>
          <w:p w14:paraId="2762DD7E" w14:textId="77777777" w:rsidR="00124A26" w:rsidRPr="00470D3D" w:rsidRDefault="00124A26" w:rsidP="002D3EBF">
            <w:pPr>
              <w:ind w:firstLine="0"/>
              <w:rPr>
                <w:rFonts w:eastAsia="SimSun"/>
              </w:rPr>
            </w:pPr>
          </w:p>
        </w:tc>
        <w:tc>
          <w:tcPr>
            <w:tcW w:w="1843" w:type="dxa"/>
            <w:vAlign w:val="center"/>
          </w:tcPr>
          <w:p w14:paraId="16D7FB8D" w14:textId="77777777" w:rsidR="00124A26" w:rsidRPr="00AC3044" w:rsidRDefault="00124A26" w:rsidP="002D3EBF">
            <w:pPr>
              <w:ind w:firstLine="0"/>
              <w:rPr>
                <w:rFonts w:eastAsia="SimSun"/>
              </w:rPr>
            </w:pPr>
            <w:r w:rsidRPr="00AC3044">
              <w:rPr>
                <w:rFonts w:eastAsia="SimSun"/>
              </w:rPr>
              <w:t>Препарат</w:t>
            </w:r>
          </w:p>
        </w:tc>
        <w:tc>
          <w:tcPr>
            <w:tcW w:w="1417" w:type="dxa"/>
            <w:vAlign w:val="center"/>
          </w:tcPr>
          <w:p w14:paraId="76D9FC5A" w14:textId="77777777" w:rsidR="00124A26" w:rsidRPr="00AC3044" w:rsidRDefault="00124A26" w:rsidP="002D3EBF">
            <w:pPr>
              <w:ind w:firstLine="0"/>
              <w:rPr>
                <w:rFonts w:eastAsia="SimSun"/>
              </w:rPr>
            </w:pPr>
            <w:r w:rsidRPr="00AC3044">
              <w:rPr>
                <w:rFonts w:eastAsia="SimSun"/>
              </w:rPr>
              <w:t>Суточная доза</w:t>
            </w:r>
          </w:p>
        </w:tc>
        <w:tc>
          <w:tcPr>
            <w:tcW w:w="1418" w:type="dxa"/>
            <w:vAlign w:val="center"/>
          </w:tcPr>
          <w:p w14:paraId="23B30860" w14:textId="77777777" w:rsidR="00124A26" w:rsidRPr="00AC3044" w:rsidRDefault="00124A26" w:rsidP="002D3EBF">
            <w:pPr>
              <w:ind w:firstLine="0"/>
              <w:rPr>
                <w:rFonts w:eastAsia="SimSun"/>
              </w:rPr>
            </w:pPr>
            <w:r w:rsidRPr="00AC3044">
              <w:rPr>
                <w:rFonts w:eastAsia="SimSun"/>
              </w:rPr>
              <w:t>Курсовая доза</w:t>
            </w:r>
          </w:p>
        </w:tc>
        <w:tc>
          <w:tcPr>
            <w:tcW w:w="1701" w:type="dxa"/>
            <w:vAlign w:val="center"/>
          </w:tcPr>
          <w:p w14:paraId="26551222" w14:textId="77777777" w:rsidR="00124A26" w:rsidRPr="00AC3044" w:rsidRDefault="00124A26" w:rsidP="002D3EBF">
            <w:pPr>
              <w:ind w:firstLine="0"/>
              <w:rPr>
                <w:rFonts w:eastAsia="SimSun"/>
              </w:rPr>
            </w:pPr>
            <w:r w:rsidRPr="00AC3044">
              <w:rPr>
                <w:rFonts w:eastAsia="SimSun"/>
              </w:rPr>
              <w:t>Дни введения</w:t>
            </w:r>
          </w:p>
        </w:tc>
        <w:tc>
          <w:tcPr>
            <w:tcW w:w="2268" w:type="dxa"/>
            <w:vAlign w:val="center"/>
          </w:tcPr>
          <w:p w14:paraId="28A5723A"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12ACD422" w14:textId="77777777" w:rsidTr="002D3EBF">
        <w:trPr>
          <w:cantSplit/>
          <w:trHeight w:val="20"/>
        </w:trPr>
        <w:tc>
          <w:tcPr>
            <w:tcW w:w="993" w:type="dxa"/>
            <w:vMerge w:val="restart"/>
            <w:textDirection w:val="btLr"/>
            <w:vAlign w:val="center"/>
          </w:tcPr>
          <w:p w14:paraId="3F6D38E3" w14:textId="77777777" w:rsidR="00124A26" w:rsidRPr="00AC3044" w:rsidRDefault="00124A26" w:rsidP="002D3EBF">
            <w:pPr>
              <w:ind w:firstLine="0"/>
              <w:rPr>
                <w:rFonts w:eastAsia="SimSun"/>
              </w:rPr>
            </w:pPr>
            <w:r w:rsidRPr="00AC3044">
              <w:rPr>
                <w:rFonts w:eastAsia="SimSun"/>
              </w:rPr>
              <w:t>Кондиционирование</w:t>
            </w:r>
          </w:p>
        </w:tc>
        <w:tc>
          <w:tcPr>
            <w:tcW w:w="1843" w:type="dxa"/>
            <w:vAlign w:val="center"/>
          </w:tcPr>
          <w:p w14:paraId="5C2C4596" w14:textId="77777777" w:rsidR="00124A26" w:rsidRPr="00AC3044" w:rsidRDefault="00124A26" w:rsidP="002D3EBF">
            <w:pPr>
              <w:ind w:firstLine="0"/>
              <w:rPr>
                <w:rFonts w:eastAsia="SimSun"/>
              </w:rPr>
            </w:pPr>
            <w:r w:rsidRPr="00AC3044">
              <w:rPr>
                <w:rFonts w:eastAsia="SimSun"/>
              </w:rPr>
              <w:t xml:space="preserve">Флударабин </w:t>
            </w:r>
          </w:p>
        </w:tc>
        <w:tc>
          <w:tcPr>
            <w:tcW w:w="1417" w:type="dxa"/>
            <w:vAlign w:val="center"/>
          </w:tcPr>
          <w:p w14:paraId="297685A1" w14:textId="77777777" w:rsidR="00124A26" w:rsidRPr="00AC3044" w:rsidRDefault="00124A26" w:rsidP="002D3EBF">
            <w:pPr>
              <w:ind w:firstLine="0"/>
              <w:rPr>
                <w:rFonts w:eastAsia="SimSun"/>
              </w:rPr>
            </w:pPr>
            <w:r w:rsidRPr="00AC3044">
              <w:rPr>
                <w:rFonts w:eastAsia="SimSun"/>
              </w:rPr>
              <w:t>50 мг/м</w:t>
            </w:r>
            <w:r w:rsidRPr="000C005F">
              <w:rPr>
                <w:rFonts w:eastAsia="SimSun"/>
                <w:vertAlign w:val="superscript"/>
              </w:rPr>
              <w:t>2</w:t>
            </w:r>
          </w:p>
        </w:tc>
        <w:tc>
          <w:tcPr>
            <w:tcW w:w="1418" w:type="dxa"/>
            <w:vAlign w:val="center"/>
          </w:tcPr>
          <w:p w14:paraId="42F127D0" w14:textId="77777777" w:rsidR="00124A26" w:rsidRPr="00AC3044" w:rsidRDefault="00124A26" w:rsidP="002D3EBF">
            <w:pPr>
              <w:ind w:firstLine="0"/>
              <w:rPr>
                <w:rFonts w:eastAsia="SimSun"/>
              </w:rPr>
            </w:pPr>
            <w:r w:rsidRPr="00AC3044">
              <w:rPr>
                <w:rFonts w:eastAsia="SimSun"/>
              </w:rPr>
              <w:t>150 мг/м</w:t>
            </w:r>
            <w:r w:rsidRPr="000C005F">
              <w:rPr>
                <w:rFonts w:eastAsia="SimSun"/>
                <w:vertAlign w:val="superscript"/>
              </w:rPr>
              <w:t>2</w:t>
            </w:r>
          </w:p>
        </w:tc>
        <w:tc>
          <w:tcPr>
            <w:tcW w:w="1701" w:type="dxa"/>
            <w:vAlign w:val="center"/>
          </w:tcPr>
          <w:p w14:paraId="3891247D" w14:textId="77777777" w:rsidR="00124A26" w:rsidRPr="00AC3044" w:rsidRDefault="00124A26" w:rsidP="002D3EBF">
            <w:pPr>
              <w:ind w:firstLine="0"/>
              <w:rPr>
                <w:rFonts w:eastAsia="SimSun"/>
              </w:rPr>
            </w:pPr>
            <w:r w:rsidRPr="00AC3044">
              <w:rPr>
                <w:rFonts w:eastAsia="SimSun"/>
              </w:rPr>
              <w:t>С –4 по –2 день</w:t>
            </w:r>
          </w:p>
        </w:tc>
        <w:tc>
          <w:tcPr>
            <w:tcW w:w="2268" w:type="dxa"/>
            <w:vAlign w:val="center"/>
          </w:tcPr>
          <w:p w14:paraId="3331A5A7"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6978D307" w14:textId="77777777" w:rsidTr="002D3EBF">
        <w:trPr>
          <w:cantSplit/>
          <w:trHeight w:val="703"/>
        </w:trPr>
        <w:tc>
          <w:tcPr>
            <w:tcW w:w="993" w:type="dxa"/>
            <w:vMerge/>
            <w:textDirection w:val="btLr"/>
            <w:vAlign w:val="center"/>
          </w:tcPr>
          <w:p w14:paraId="0B52D560" w14:textId="77777777" w:rsidR="00124A26" w:rsidRPr="00AC3044" w:rsidRDefault="00124A26" w:rsidP="002D3EBF">
            <w:pPr>
              <w:ind w:firstLine="0"/>
              <w:rPr>
                <w:rFonts w:eastAsia="SimSun"/>
              </w:rPr>
            </w:pPr>
          </w:p>
        </w:tc>
        <w:tc>
          <w:tcPr>
            <w:tcW w:w="1843" w:type="dxa"/>
            <w:vAlign w:val="center"/>
          </w:tcPr>
          <w:p w14:paraId="03D0801F" w14:textId="77777777" w:rsidR="00124A26" w:rsidRPr="00AC3044" w:rsidRDefault="00124A26" w:rsidP="002D3EBF">
            <w:pPr>
              <w:ind w:firstLine="0"/>
              <w:rPr>
                <w:rFonts w:eastAsia="SimSun"/>
              </w:rPr>
            </w:pPr>
            <w:r w:rsidRPr="00AC3044">
              <w:rPr>
                <w:rFonts w:eastAsia="SimSun"/>
              </w:rPr>
              <w:t>Бусульфан</w:t>
            </w:r>
          </w:p>
        </w:tc>
        <w:tc>
          <w:tcPr>
            <w:tcW w:w="1417" w:type="dxa"/>
            <w:vAlign w:val="center"/>
          </w:tcPr>
          <w:p w14:paraId="70CFDA3C" w14:textId="77777777" w:rsidR="00124A26" w:rsidRPr="00AC3044" w:rsidRDefault="00124A26" w:rsidP="002D3EBF">
            <w:pPr>
              <w:ind w:firstLine="0"/>
              <w:rPr>
                <w:rFonts w:eastAsia="SimSun"/>
              </w:rPr>
            </w:pPr>
            <w:r w:rsidRPr="00AC3044">
              <w:rPr>
                <w:rFonts w:eastAsia="SimSun"/>
              </w:rPr>
              <w:t>4 мг/кг</w:t>
            </w:r>
          </w:p>
        </w:tc>
        <w:tc>
          <w:tcPr>
            <w:tcW w:w="1418" w:type="dxa"/>
            <w:vAlign w:val="center"/>
          </w:tcPr>
          <w:p w14:paraId="70F419BE" w14:textId="77777777" w:rsidR="00124A26" w:rsidRPr="00AC3044" w:rsidRDefault="00124A26" w:rsidP="002D3EBF">
            <w:pPr>
              <w:ind w:firstLine="0"/>
              <w:rPr>
                <w:rFonts w:eastAsia="SimSun"/>
              </w:rPr>
            </w:pPr>
            <w:r w:rsidRPr="00AC3044">
              <w:rPr>
                <w:rFonts w:eastAsia="SimSun"/>
              </w:rPr>
              <w:t>8 мг/кг</w:t>
            </w:r>
          </w:p>
        </w:tc>
        <w:tc>
          <w:tcPr>
            <w:tcW w:w="1701" w:type="dxa"/>
            <w:vAlign w:val="center"/>
          </w:tcPr>
          <w:p w14:paraId="5F8C883B" w14:textId="77777777" w:rsidR="00124A26" w:rsidRPr="00AC3044" w:rsidRDefault="00124A26" w:rsidP="002D3EBF">
            <w:pPr>
              <w:ind w:firstLine="0"/>
              <w:rPr>
                <w:rFonts w:eastAsia="SimSun"/>
              </w:rPr>
            </w:pPr>
            <w:r w:rsidRPr="00AC3044">
              <w:rPr>
                <w:rFonts w:eastAsia="SimSun"/>
              </w:rPr>
              <w:t>–3, –2 дни</w:t>
            </w:r>
          </w:p>
        </w:tc>
        <w:tc>
          <w:tcPr>
            <w:tcW w:w="2268" w:type="dxa"/>
            <w:vAlign w:val="center"/>
          </w:tcPr>
          <w:p w14:paraId="2D53232A"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124A26" w:rsidRPr="00AC3044" w14:paraId="63298709" w14:textId="77777777" w:rsidTr="002D3EBF">
        <w:trPr>
          <w:cantSplit/>
          <w:trHeight w:val="704"/>
        </w:trPr>
        <w:tc>
          <w:tcPr>
            <w:tcW w:w="993" w:type="dxa"/>
            <w:vMerge/>
            <w:textDirection w:val="btLr"/>
            <w:vAlign w:val="center"/>
          </w:tcPr>
          <w:p w14:paraId="5B44AC67" w14:textId="77777777" w:rsidR="00124A26" w:rsidRPr="00AC3044" w:rsidRDefault="00124A26" w:rsidP="002D3EBF">
            <w:pPr>
              <w:ind w:firstLine="0"/>
              <w:rPr>
                <w:rFonts w:eastAsia="SimSun"/>
              </w:rPr>
            </w:pPr>
          </w:p>
        </w:tc>
        <w:tc>
          <w:tcPr>
            <w:tcW w:w="1843" w:type="dxa"/>
            <w:vAlign w:val="center"/>
          </w:tcPr>
          <w:p w14:paraId="7496C4BB" w14:textId="77777777" w:rsidR="00124A26" w:rsidRPr="00AC3044" w:rsidRDefault="00124A26" w:rsidP="002D3EBF">
            <w:pPr>
              <w:ind w:firstLine="0"/>
              <w:rPr>
                <w:rFonts w:eastAsia="SimSun"/>
              </w:rPr>
            </w:pPr>
            <w:r w:rsidRPr="00AC3044">
              <w:rPr>
                <w:rFonts w:eastAsia="SimSun"/>
              </w:rPr>
              <w:t>Тиотепа</w:t>
            </w:r>
          </w:p>
        </w:tc>
        <w:tc>
          <w:tcPr>
            <w:tcW w:w="1417" w:type="dxa"/>
            <w:vAlign w:val="center"/>
          </w:tcPr>
          <w:p w14:paraId="5706278D" w14:textId="77777777" w:rsidR="00124A26" w:rsidRPr="00AC3044" w:rsidRDefault="00124A26" w:rsidP="002D3EBF">
            <w:pPr>
              <w:ind w:firstLine="0"/>
              <w:rPr>
                <w:rFonts w:eastAsia="SimSun"/>
              </w:rPr>
            </w:pPr>
            <w:r w:rsidRPr="00AC3044">
              <w:rPr>
                <w:rFonts w:eastAsia="SimSun"/>
              </w:rPr>
              <w:t>5 мг/кг</w:t>
            </w:r>
          </w:p>
        </w:tc>
        <w:tc>
          <w:tcPr>
            <w:tcW w:w="1418" w:type="dxa"/>
            <w:vAlign w:val="center"/>
          </w:tcPr>
          <w:p w14:paraId="22284289" w14:textId="77777777" w:rsidR="00124A26" w:rsidRPr="00AC3044" w:rsidRDefault="00124A26" w:rsidP="002D3EBF">
            <w:pPr>
              <w:ind w:firstLine="0"/>
              <w:rPr>
                <w:rFonts w:eastAsia="SimSun"/>
              </w:rPr>
            </w:pPr>
            <w:r w:rsidRPr="00AC3044">
              <w:rPr>
                <w:rFonts w:eastAsia="SimSun"/>
              </w:rPr>
              <w:t>10 мг/кг</w:t>
            </w:r>
          </w:p>
        </w:tc>
        <w:tc>
          <w:tcPr>
            <w:tcW w:w="1701" w:type="dxa"/>
            <w:vAlign w:val="center"/>
          </w:tcPr>
          <w:p w14:paraId="7D8D5456" w14:textId="77777777" w:rsidR="00124A26" w:rsidRPr="00AC3044" w:rsidRDefault="00124A26" w:rsidP="002D3EBF">
            <w:pPr>
              <w:ind w:firstLine="0"/>
              <w:rPr>
                <w:rFonts w:eastAsia="SimSun"/>
              </w:rPr>
            </w:pPr>
            <w:r w:rsidRPr="00AC3044">
              <w:rPr>
                <w:rFonts w:eastAsia="SimSun"/>
              </w:rPr>
              <w:t>-6,-5 дни</w:t>
            </w:r>
          </w:p>
        </w:tc>
        <w:tc>
          <w:tcPr>
            <w:tcW w:w="2268" w:type="dxa"/>
            <w:vAlign w:val="center"/>
          </w:tcPr>
          <w:p w14:paraId="31E96DE4" w14:textId="77777777" w:rsidR="00124A26" w:rsidRPr="00AC3044" w:rsidRDefault="00124A26" w:rsidP="002D3EBF">
            <w:pPr>
              <w:ind w:firstLine="0"/>
              <w:rPr>
                <w:rFonts w:eastAsia="SimSun"/>
              </w:rPr>
            </w:pPr>
            <w:r w:rsidRPr="00AC3044">
              <w:rPr>
                <w:rFonts w:eastAsia="SimSun"/>
              </w:rPr>
              <w:t>В/в, в течение 2 ч.</w:t>
            </w:r>
          </w:p>
        </w:tc>
      </w:tr>
      <w:tr w:rsidR="00124A26" w:rsidRPr="00AC3044" w14:paraId="0003E2A9" w14:textId="77777777" w:rsidTr="002D3EBF">
        <w:trPr>
          <w:cantSplit/>
          <w:trHeight w:val="20"/>
        </w:trPr>
        <w:tc>
          <w:tcPr>
            <w:tcW w:w="993" w:type="dxa"/>
            <w:vMerge w:val="restart"/>
            <w:textDirection w:val="btLr"/>
            <w:vAlign w:val="center"/>
          </w:tcPr>
          <w:p w14:paraId="4B2E61D9" w14:textId="77777777" w:rsidR="00124A26" w:rsidRPr="00AC3044" w:rsidRDefault="00124A26" w:rsidP="002D3EBF">
            <w:pPr>
              <w:ind w:firstLine="0"/>
              <w:rPr>
                <w:rFonts w:eastAsia="SimSun"/>
              </w:rPr>
            </w:pPr>
            <w:r w:rsidRPr="00AC3044">
              <w:rPr>
                <w:rFonts w:eastAsia="SimSun"/>
              </w:rPr>
              <w:t>Профилактика РТПХ</w:t>
            </w:r>
          </w:p>
        </w:tc>
        <w:tc>
          <w:tcPr>
            <w:tcW w:w="1843" w:type="dxa"/>
            <w:vAlign w:val="center"/>
          </w:tcPr>
          <w:p w14:paraId="4D6CAC28" w14:textId="77777777" w:rsidR="00124A26" w:rsidRPr="00AC3044" w:rsidRDefault="00124A26" w:rsidP="002D3EBF">
            <w:pPr>
              <w:ind w:firstLine="0"/>
              <w:rPr>
                <w:rFonts w:eastAsia="SimSun"/>
              </w:rPr>
            </w:pPr>
            <w:r w:rsidRPr="00AC3044">
              <w:rPr>
                <w:rFonts w:eastAsia="SimSun"/>
              </w:rPr>
              <w:t>Циклофосфамид</w:t>
            </w:r>
          </w:p>
        </w:tc>
        <w:tc>
          <w:tcPr>
            <w:tcW w:w="1417" w:type="dxa"/>
            <w:vAlign w:val="center"/>
          </w:tcPr>
          <w:p w14:paraId="5D154AB4" w14:textId="77777777" w:rsidR="00124A26" w:rsidRPr="00AC3044" w:rsidRDefault="00124A26" w:rsidP="002D3EBF">
            <w:pPr>
              <w:ind w:firstLine="0"/>
              <w:rPr>
                <w:rFonts w:eastAsia="SimSun"/>
              </w:rPr>
            </w:pPr>
            <w:r w:rsidRPr="00AC3044">
              <w:rPr>
                <w:rFonts w:eastAsia="SimSun"/>
              </w:rPr>
              <w:t>50 мг/кг</w:t>
            </w:r>
          </w:p>
        </w:tc>
        <w:tc>
          <w:tcPr>
            <w:tcW w:w="1418" w:type="dxa"/>
            <w:vAlign w:val="center"/>
          </w:tcPr>
          <w:p w14:paraId="14DFC2DF" w14:textId="77777777" w:rsidR="00124A26" w:rsidRPr="00AC3044" w:rsidRDefault="00124A26" w:rsidP="002D3EBF">
            <w:pPr>
              <w:ind w:firstLine="0"/>
              <w:rPr>
                <w:rFonts w:eastAsia="SimSun"/>
              </w:rPr>
            </w:pPr>
            <w:r w:rsidRPr="00AC3044">
              <w:rPr>
                <w:rFonts w:eastAsia="SimSun"/>
              </w:rPr>
              <w:t>100 мг/кг</w:t>
            </w:r>
          </w:p>
        </w:tc>
        <w:tc>
          <w:tcPr>
            <w:tcW w:w="1701" w:type="dxa"/>
            <w:vAlign w:val="center"/>
          </w:tcPr>
          <w:p w14:paraId="67439291" w14:textId="77777777" w:rsidR="00124A26" w:rsidRPr="00AC3044" w:rsidRDefault="00124A26" w:rsidP="002D3EBF">
            <w:pPr>
              <w:ind w:firstLine="0"/>
              <w:rPr>
                <w:rFonts w:eastAsia="SimSun"/>
              </w:rPr>
            </w:pPr>
            <w:r w:rsidRPr="00AC3044">
              <w:rPr>
                <w:rFonts w:eastAsia="SimSun"/>
              </w:rPr>
              <w:t xml:space="preserve">+3,+4 дни </w:t>
            </w:r>
          </w:p>
        </w:tc>
        <w:tc>
          <w:tcPr>
            <w:tcW w:w="2268" w:type="dxa"/>
            <w:vAlign w:val="center"/>
          </w:tcPr>
          <w:p w14:paraId="265AAF4D" w14:textId="77777777" w:rsidR="00124A26" w:rsidRPr="00AC3044" w:rsidRDefault="00124A26" w:rsidP="002D3EBF">
            <w:pPr>
              <w:ind w:firstLine="0"/>
              <w:rPr>
                <w:rFonts w:eastAsia="SimSun"/>
              </w:rPr>
            </w:pPr>
            <w:r w:rsidRPr="00AC3044">
              <w:rPr>
                <w:rFonts w:eastAsia="SimSun"/>
              </w:rPr>
              <w:t xml:space="preserve">В/в, в течение 2 ч </w:t>
            </w:r>
          </w:p>
        </w:tc>
      </w:tr>
      <w:tr w:rsidR="00124A26" w:rsidRPr="00AC3044" w14:paraId="32E01FC6" w14:textId="77777777" w:rsidTr="002D3EBF">
        <w:trPr>
          <w:cantSplit/>
          <w:trHeight w:val="20"/>
        </w:trPr>
        <w:tc>
          <w:tcPr>
            <w:tcW w:w="993" w:type="dxa"/>
            <w:vMerge/>
            <w:textDirection w:val="btLr"/>
          </w:tcPr>
          <w:p w14:paraId="301B1E06" w14:textId="77777777" w:rsidR="00124A26" w:rsidRPr="00AC3044" w:rsidRDefault="00124A26" w:rsidP="002D3EBF">
            <w:pPr>
              <w:ind w:firstLine="0"/>
              <w:rPr>
                <w:rFonts w:eastAsia="SimSun"/>
              </w:rPr>
            </w:pPr>
          </w:p>
        </w:tc>
        <w:tc>
          <w:tcPr>
            <w:tcW w:w="1843" w:type="dxa"/>
            <w:vAlign w:val="center"/>
          </w:tcPr>
          <w:p w14:paraId="1B5BA19A" w14:textId="77777777" w:rsidR="00124A26" w:rsidRPr="00AC3044" w:rsidRDefault="00124A26" w:rsidP="002D3EBF">
            <w:pPr>
              <w:ind w:firstLine="0"/>
              <w:rPr>
                <w:rFonts w:eastAsia="SimSun"/>
              </w:rPr>
            </w:pPr>
            <w:r w:rsidRPr="00AC3044">
              <w:rPr>
                <w:rFonts w:eastAsia="SimSun"/>
              </w:rPr>
              <w:t>Циклоспорин</w:t>
            </w:r>
          </w:p>
        </w:tc>
        <w:tc>
          <w:tcPr>
            <w:tcW w:w="1417" w:type="dxa"/>
            <w:vAlign w:val="center"/>
          </w:tcPr>
          <w:p w14:paraId="255354F2" w14:textId="77777777" w:rsidR="00124A26" w:rsidRPr="00AC3044" w:rsidRDefault="00124A26" w:rsidP="002D3EBF">
            <w:pPr>
              <w:ind w:firstLine="0"/>
              <w:rPr>
                <w:rFonts w:eastAsia="SimSun"/>
              </w:rPr>
            </w:pPr>
            <w:r w:rsidRPr="00AC3044">
              <w:rPr>
                <w:rFonts w:eastAsia="SimSun"/>
              </w:rPr>
              <w:t>3 мг/кг</w:t>
            </w:r>
          </w:p>
        </w:tc>
        <w:tc>
          <w:tcPr>
            <w:tcW w:w="1418" w:type="dxa"/>
            <w:vAlign w:val="center"/>
          </w:tcPr>
          <w:p w14:paraId="08EE8865"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41F33690" w14:textId="77777777" w:rsidR="00124A26" w:rsidRPr="00AC3044" w:rsidRDefault="00124A26" w:rsidP="002D3EBF">
            <w:pPr>
              <w:ind w:firstLine="0"/>
              <w:rPr>
                <w:rFonts w:eastAsia="SimSun"/>
              </w:rPr>
            </w:pPr>
            <w:r w:rsidRPr="00AC3044">
              <w:rPr>
                <w:rFonts w:eastAsia="SimSun"/>
              </w:rPr>
              <w:t>С +5 по +60 день, затем постепенное снижение к +100 дню</w:t>
            </w:r>
          </w:p>
        </w:tc>
        <w:tc>
          <w:tcPr>
            <w:tcW w:w="2268" w:type="dxa"/>
            <w:vAlign w:val="center"/>
          </w:tcPr>
          <w:p w14:paraId="2A81066C" w14:textId="77777777" w:rsidR="00124A26" w:rsidRPr="00AC3044" w:rsidRDefault="00124A26"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0C00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150-350 нг/мл  </w:t>
            </w:r>
          </w:p>
        </w:tc>
      </w:tr>
      <w:tr w:rsidR="00124A26" w:rsidRPr="00AC3044" w14:paraId="1BC87C08" w14:textId="77777777" w:rsidTr="002D3EBF">
        <w:trPr>
          <w:cantSplit/>
          <w:trHeight w:val="464"/>
        </w:trPr>
        <w:tc>
          <w:tcPr>
            <w:tcW w:w="993" w:type="dxa"/>
            <w:vMerge/>
          </w:tcPr>
          <w:p w14:paraId="5B2FADCB" w14:textId="77777777" w:rsidR="00124A26" w:rsidRPr="00AC3044" w:rsidRDefault="00124A26" w:rsidP="002D3EBF">
            <w:pPr>
              <w:ind w:firstLine="0"/>
              <w:rPr>
                <w:rFonts w:eastAsia="SimSun"/>
              </w:rPr>
            </w:pPr>
          </w:p>
        </w:tc>
        <w:tc>
          <w:tcPr>
            <w:tcW w:w="1843" w:type="dxa"/>
            <w:vAlign w:val="center"/>
          </w:tcPr>
          <w:p w14:paraId="4F2B2DCC" w14:textId="77777777" w:rsidR="00124A26" w:rsidRPr="00AC3044" w:rsidRDefault="00124A26" w:rsidP="002D3EBF">
            <w:pPr>
              <w:ind w:firstLine="0"/>
              <w:rPr>
                <w:rFonts w:eastAsia="SimSun"/>
              </w:rPr>
            </w:pPr>
            <w:r w:rsidRPr="00AC3044">
              <w:rPr>
                <w:rFonts w:eastAsia="SimSun"/>
              </w:rPr>
              <w:t>Микофенолата мофетил</w:t>
            </w:r>
          </w:p>
        </w:tc>
        <w:tc>
          <w:tcPr>
            <w:tcW w:w="1417" w:type="dxa"/>
            <w:vAlign w:val="center"/>
          </w:tcPr>
          <w:p w14:paraId="4688B7E9" w14:textId="77777777" w:rsidR="00124A26" w:rsidRPr="00AC3044" w:rsidRDefault="00124A26" w:rsidP="002D3EBF">
            <w:pPr>
              <w:ind w:firstLine="0"/>
              <w:rPr>
                <w:rFonts w:eastAsia="SimSun"/>
              </w:rPr>
            </w:pPr>
            <w:r w:rsidRPr="00AC3044">
              <w:rPr>
                <w:rFonts w:eastAsia="SimSun"/>
              </w:rPr>
              <w:t>30 мг/кг</w:t>
            </w:r>
          </w:p>
        </w:tc>
        <w:tc>
          <w:tcPr>
            <w:tcW w:w="1418" w:type="dxa"/>
            <w:vAlign w:val="center"/>
          </w:tcPr>
          <w:p w14:paraId="06044675"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6D0F9DB0" w14:textId="77777777" w:rsidR="00124A26" w:rsidRPr="00AC3044" w:rsidRDefault="00124A26" w:rsidP="002D3EBF">
            <w:pPr>
              <w:ind w:firstLine="0"/>
              <w:rPr>
                <w:rFonts w:eastAsia="SimSun"/>
              </w:rPr>
            </w:pPr>
            <w:r w:rsidRPr="00AC3044">
              <w:rPr>
                <w:rFonts w:eastAsia="SimSun"/>
              </w:rPr>
              <w:t>С +5 по +30 день</w:t>
            </w:r>
          </w:p>
        </w:tc>
        <w:tc>
          <w:tcPr>
            <w:tcW w:w="2268" w:type="dxa"/>
            <w:vAlign w:val="center"/>
          </w:tcPr>
          <w:p w14:paraId="0B216912"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г/сут).</w:t>
            </w:r>
          </w:p>
        </w:tc>
      </w:tr>
    </w:tbl>
    <w:p w14:paraId="754B03FD" w14:textId="77777777" w:rsidR="00124A26" w:rsidRPr="00C07B2E" w:rsidRDefault="00124A26" w:rsidP="00124A26">
      <w:pPr>
        <w:rPr>
          <w:rFonts w:eastAsia="SimSun"/>
        </w:rPr>
      </w:pPr>
    </w:p>
    <w:p w14:paraId="59E4ECE1" w14:textId="77777777" w:rsidR="00124A26" w:rsidRPr="00C07B2E" w:rsidRDefault="00124A26" w:rsidP="00124A26">
      <w:pPr>
        <w:rPr>
          <w:rFonts w:eastAsia="SimSun"/>
        </w:rPr>
      </w:pPr>
      <w:bookmarkStart w:id="206" w:name="_Toc44401163"/>
      <w:r w:rsidRPr="00042499">
        <w:rPr>
          <w:rFonts w:eastAsia="SimSun"/>
        </w:rPr>
        <w:t>Таблица</w:t>
      </w:r>
      <w:r w:rsidRPr="00C07B2E">
        <w:rPr>
          <w:rFonts w:eastAsia="SimSun"/>
        </w:rPr>
        <w:t xml:space="preserve"> </w:t>
      </w:r>
      <w:r>
        <w:rPr>
          <w:rFonts w:eastAsia="SimSun"/>
        </w:rPr>
        <w:t>5.</w:t>
      </w:r>
      <w:r w:rsidRPr="00C07B2E">
        <w:rPr>
          <w:rFonts w:eastAsia="SimSun"/>
        </w:rPr>
        <w:t>1.2.5  – Flu180+Bu8 / hATG+CSA+MTX+MMF30</w:t>
      </w:r>
      <w:bookmarkEnd w:id="206"/>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124A26" w:rsidRPr="00AC3044" w14:paraId="691D96B3" w14:textId="77777777" w:rsidTr="002D3EBF">
        <w:trPr>
          <w:cantSplit/>
          <w:trHeight w:val="20"/>
          <w:tblHeader/>
        </w:trPr>
        <w:tc>
          <w:tcPr>
            <w:tcW w:w="993" w:type="dxa"/>
          </w:tcPr>
          <w:p w14:paraId="3E606A33" w14:textId="77777777" w:rsidR="00124A26" w:rsidRPr="00470D3D" w:rsidRDefault="00124A26" w:rsidP="002D3EBF">
            <w:pPr>
              <w:ind w:firstLine="0"/>
              <w:rPr>
                <w:rFonts w:eastAsia="SimSun"/>
              </w:rPr>
            </w:pPr>
          </w:p>
        </w:tc>
        <w:tc>
          <w:tcPr>
            <w:tcW w:w="1843" w:type="dxa"/>
            <w:vAlign w:val="center"/>
          </w:tcPr>
          <w:p w14:paraId="13D7070A" w14:textId="77777777" w:rsidR="00124A26" w:rsidRPr="00AC3044" w:rsidRDefault="00124A26" w:rsidP="002D3EBF">
            <w:pPr>
              <w:ind w:firstLine="0"/>
              <w:rPr>
                <w:rFonts w:eastAsia="SimSun"/>
              </w:rPr>
            </w:pPr>
            <w:r w:rsidRPr="00AC3044">
              <w:rPr>
                <w:rFonts w:eastAsia="SimSun"/>
              </w:rPr>
              <w:t>Препарат</w:t>
            </w:r>
          </w:p>
        </w:tc>
        <w:tc>
          <w:tcPr>
            <w:tcW w:w="1417" w:type="dxa"/>
            <w:vAlign w:val="center"/>
          </w:tcPr>
          <w:p w14:paraId="3B35BC50" w14:textId="77777777" w:rsidR="00124A26" w:rsidRPr="00AC3044" w:rsidRDefault="00124A26" w:rsidP="002D3EBF">
            <w:pPr>
              <w:ind w:firstLine="0"/>
              <w:rPr>
                <w:rFonts w:eastAsia="SimSun"/>
              </w:rPr>
            </w:pPr>
            <w:r w:rsidRPr="00AC3044">
              <w:rPr>
                <w:rFonts w:eastAsia="SimSun"/>
              </w:rPr>
              <w:t>Суточная доза</w:t>
            </w:r>
          </w:p>
        </w:tc>
        <w:tc>
          <w:tcPr>
            <w:tcW w:w="1418" w:type="dxa"/>
            <w:vAlign w:val="center"/>
          </w:tcPr>
          <w:p w14:paraId="17860CF3" w14:textId="77777777" w:rsidR="00124A26" w:rsidRPr="00AC3044" w:rsidRDefault="00124A26" w:rsidP="002D3EBF">
            <w:pPr>
              <w:ind w:firstLine="0"/>
              <w:rPr>
                <w:rFonts w:eastAsia="SimSun"/>
              </w:rPr>
            </w:pPr>
            <w:r w:rsidRPr="00AC3044">
              <w:rPr>
                <w:rFonts w:eastAsia="SimSun"/>
              </w:rPr>
              <w:t>Курсовая доза</w:t>
            </w:r>
          </w:p>
        </w:tc>
        <w:tc>
          <w:tcPr>
            <w:tcW w:w="1701" w:type="dxa"/>
            <w:vAlign w:val="center"/>
          </w:tcPr>
          <w:p w14:paraId="0CAB8F7C" w14:textId="77777777" w:rsidR="00124A26" w:rsidRPr="00AC3044" w:rsidRDefault="00124A26" w:rsidP="002D3EBF">
            <w:pPr>
              <w:ind w:firstLine="0"/>
              <w:rPr>
                <w:rFonts w:eastAsia="SimSun"/>
              </w:rPr>
            </w:pPr>
            <w:r w:rsidRPr="00AC3044">
              <w:rPr>
                <w:rFonts w:eastAsia="SimSun"/>
              </w:rPr>
              <w:t>Дни введения</w:t>
            </w:r>
          </w:p>
        </w:tc>
        <w:tc>
          <w:tcPr>
            <w:tcW w:w="2268" w:type="dxa"/>
            <w:vAlign w:val="center"/>
          </w:tcPr>
          <w:p w14:paraId="2CAC4D48"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522C01C8" w14:textId="77777777" w:rsidTr="002D3EBF">
        <w:trPr>
          <w:cantSplit/>
          <w:trHeight w:val="20"/>
        </w:trPr>
        <w:tc>
          <w:tcPr>
            <w:tcW w:w="993" w:type="dxa"/>
            <w:vMerge w:val="restart"/>
            <w:textDirection w:val="btLr"/>
            <w:vAlign w:val="center"/>
          </w:tcPr>
          <w:p w14:paraId="2F2B3F2C" w14:textId="77777777" w:rsidR="00124A26" w:rsidRPr="00AC3044" w:rsidRDefault="00124A26" w:rsidP="002D3EBF">
            <w:pPr>
              <w:ind w:firstLine="0"/>
              <w:rPr>
                <w:rFonts w:eastAsia="SimSun"/>
              </w:rPr>
            </w:pPr>
            <w:r w:rsidRPr="00AC3044">
              <w:rPr>
                <w:rFonts w:eastAsia="SimSun"/>
              </w:rPr>
              <w:t>Кондиционирование</w:t>
            </w:r>
          </w:p>
        </w:tc>
        <w:tc>
          <w:tcPr>
            <w:tcW w:w="1843" w:type="dxa"/>
            <w:vAlign w:val="center"/>
          </w:tcPr>
          <w:p w14:paraId="29235546" w14:textId="77777777" w:rsidR="00124A26" w:rsidRPr="00AC3044" w:rsidRDefault="00124A26" w:rsidP="002D3EBF">
            <w:pPr>
              <w:ind w:firstLine="0"/>
              <w:rPr>
                <w:rFonts w:eastAsia="SimSun"/>
              </w:rPr>
            </w:pPr>
            <w:r w:rsidRPr="00AC3044">
              <w:rPr>
                <w:rFonts w:eastAsia="SimSun"/>
              </w:rPr>
              <w:t xml:space="preserve">Флударабин </w:t>
            </w:r>
          </w:p>
        </w:tc>
        <w:tc>
          <w:tcPr>
            <w:tcW w:w="1417" w:type="dxa"/>
            <w:vAlign w:val="center"/>
          </w:tcPr>
          <w:p w14:paraId="4B8B338C" w14:textId="77777777" w:rsidR="00124A26" w:rsidRPr="00AC3044" w:rsidRDefault="00124A26" w:rsidP="002D3EBF">
            <w:pPr>
              <w:ind w:firstLine="0"/>
              <w:rPr>
                <w:rFonts w:eastAsia="SimSun"/>
              </w:rPr>
            </w:pPr>
            <w:r w:rsidRPr="00AC3044">
              <w:rPr>
                <w:rFonts w:eastAsia="SimSun"/>
              </w:rPr>
              <w:t>30 мг/м</w:t>
            </w:r>
            <w:r w:rsidRPr="000C005F">
              <w:rPr>
                <w:rFonts w:eastAsia="SimSun"/>
                <w:vertAlign w:val="superscript"/>
              </w:rPr>
              <w:t>2</w:t>
            </w:r>
          </w:p>
        </w:tc>
        <w:tc>
          <w:tcPr>
            <w:tcW w:w="1418" w:type="dxa"/>
            <w:vAlign w:val="center"/>
          </w:tcPr>
          <w:p w14:paraId="364568E3" w14:textId="77777777" w:rsidR="00124A26" w:rsidRPr="00AC3044" w:rsidRDefault="00124A26" w:rsidP="002D3EBF">
            <w:pPr>
              <w:ind w:firstLine="0"/>
              <w:rPr>
                <w:rFonts w:eastAsia="SimSun"/>
              </w:rPr>
            </w:pPr>
            <w:r w:rsidRPr="00AC3044">
              <w:rPr>
                <w:rFonts w:eastAsia="SimSun"/>
              </w:rPr>
              <w:t>180 мг/м</w:t>
            </w:r>
            <w:r w:rsidRPr="000C005F">
              <w:rPr>
                <w:rFonts w:eastAsia="SimSun"/>
                <w:vertAlign w:val="superscript"/>
              </w:rPr>
              <w:t>2</w:t>
            </w:r>
          </w:p>
        </w:tc>
        <w:tc>
          <w:tcPr>
            <w:tcW w:w="1701" w:type="dxa"/>
            <w:vAlign w:val="center"/>
          </w:tcPr>
          <w:p w14:paraId="1FD59CF1" w14:textId="77777777" w:rsidR="00124A26" w:rsidRPr="00AC3044" w:rsidRDefault="00124A26" w:rsidP="002D3EBF">
            <w:pPr>
              <w:ind w:firstLine="0"/>
              <w:rPr>
                <w:rFonts w:eastAsia="SimSun"/>
              </w:rPr>
            </w:pPr>
            <w:r w:rsidRPr="00AC3044">
              <w:rPr>
                <w:rFonts w:eastAsia="SimSun"/>
              </w:rPr>
              <w:t>С –10 по –5 день</w:t>
            </w:r>
          </w:p>
        </w:tc>
        <w:tc>
          <w:tcPr>
            <w:tcW w:w="2268" w:type="dxa"/>
            <w:vAlign w:val="center"/>
          </w:tcPr>
          <w:p w14:paraId="60F2802C"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5CF7B012" w14:textId="77777777" w:rsidTr="002D3EBF">
        <w:trPr>
          <w:cantSplit/>
          <w:trHeight w:val="1043"/>
        </w:trPr>
        <w:tc>
          <w:tcPr>
            <w:tcW w:w="993" w:type="dxa"/>
            <w:vMerge/>
            <w:textDirection w:val="btLr"/>
            <w:vAlign w:val="center"/>
          </w:tcPr>
          <w:p w14:paraId="7D4D41C6" w14:textId="77777777" w:rsidR="00124A26" w:rsidRPr="00AC3044" w:rsidRDefault="00124A26" w:rsidP="002D3EBF">
            <w:pPr>
              <w:ind w:firstLine="0"/>
              <w:rPr>
                <w:rFonts w:eastAsia="SimSun"/>
              </w:rPr>
            </w:pPr>
          </w:p>
        </w:tc>
        <w:tc>
          <w:tcPr>
            <w:tcW w:w="1843" w:type="dxa"/>
            <w:vAlign w:val="center"/>
          </w:tcPr>
          <w:p w14:paraId="17E14D41" w14:textId="77777777" w:rsidR="00124A26" w:rsidRPr="00AC3044" w:rsidRDefault="00124A26" w:rsidP="002D3EBF">
            <w:pPr>
              <w:ind w:firstLine="0"/>
              <w:rPr>
                <w:rFonts w:eastAsia="SimSun"/>
              </w:rPr>
            </w:pPr>
            <w:r w:rsidRPr="00AC3044">
              <w:rPr>
                <w:rFonts w:eastAsia="SimSun"/>
              </w:rPr>
              <w:t>Бусульфан</w:t>
            </w:r>
          </w:p>
        </w:tc>
        <w:tc>
          <w:tcPr>
            <w:tcW w:w="1417" w:type="dxa"/>
            <w:vAlign w:val="center"/>
          </w:tcPr>
          <w:p w14:paraId="395D8810" w14:textId="77777777" w:rsidR="00124A26" w:rsidRPr="00AC3044" w:rsidRDefault="00124A26" w:rsidP="002D3EBF">
            <w:pPr>
              <w:ind w:firstLine="0"/>
              <w:rPr>
                <w:rFonts w:eastAsia="SimSun"/>
              </w:rPr>
            </w:pPr>
            <w:r w:rsidRPr="00AC3044">
              <w:rPr>
                <w:rFonts w:eastAsia="SimSun"/>
              </w:rPr>
              <w:t>4 мг/кг</w:t>
            </w:r>
          </w:p>
        </w:tc>
        <w:tc>
          <w:tcPr>
            <w:tcW w:w="1418" w:type="dxa"/>
            <w:vAlign w:val="center"/>
          </w:tcPr>
          <w:p w14:paraId="5439924C" w14:textId="77777777" w:rsidR="00124A26" w:rsidRPr="00AC3044" w:rsidRDefault="00124A26" w:rsidP="002D3EBF">
            <w:pPr>
              <w:ind w:firstLine="0"/>
              <w:rPr>
                <w:rFonts w:eastAsia="SimSun"/>
              </w:rPr>
            </w:pPr>
            <w:r w:rsidRPr="00AC3044">
              <w:rPr>
                <w:rFonts w:eastAsia="SimSun"/>
              </w:rPr>
              <w:t>8 мг/кг</w:t>
            </w:r>
          </w:p>
        </w:tc>
        <w:tc>
          <w:tcPr>
            <w:tcW w:w="1701" w:type="dxa"/>
            <w:vAlign w:val="center"/>
          </w:tcPr>
          <w:p w14:paraId="3FAE4833" w14:textId="77777777" w:rsidR="00124A26" w:rsidRPr="00AC3044" w:rsidRDefault="00124A26" w:rsidP="002D3EBF">
            <w:pPr>
              <w:ind w:firstLine="0"/>
              <w:rPr>
                <w:rFonts w:eastAsia="SimSun"/>
              </w:rPr>
            </w:pPr>
            <w:r w:rsidRPr="00AC3044">
              <w:rPr>
                <w:rFonts w:eastAsia="SimSun"/>
              </w:rPr>
              <w:t>–6, –5 дни</w:t>
            </w:r>
          </w:p>
        </w:tc>
        <w:tc>
          <w:tcPr>
            <w:tcW w:w="2268" w:type="dxa"/>
            <w:vAlign w:val="center"/>
          </w:tcPr>
          <w:p w14:paraId="1C149729"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124A26" w:rsidRPr="00AC3044" w14:paraId="6A6A7CA8" w14:textId="77777777" w:rsidTr="002D3EBF">
        <w:trPr>
          <w:cantSplit/>
          <w:trHeight w:val="20"/>
        </w:trPr>
        <w:tc>
          <w:tcPr>
            <w:tcW w:w="993" w:type="dxa"/>
            <w:vMerge w:val="restart"/>
            <w:textDirection w:val="btLr"/>
          </w:tcPr>
          <w:p w14:paraId="252A9AE0" w14:textId="77777777" w:rsidR="00124A26" w:rsidRPr="00AC3044" w:rsidRDefault="00124A26" w:rsidP="002D3EBF">
            <w:pPr>
              <w:ind w:firstLine="0"/>
              <w:rPr>
                <w:rFonts w:eastAsia="SimSun"/>
              </w:rPr>
            </w:pPr>
            <w:r w:rsidRPr="00AC3044">
              <w:rPr>
                <w:rFonts w:eastAsia="SimSun"/>
              </w:rPr>
              <w:t>Профилактика РТПХ</w:t>
            </w:r>
          </w:p>
        </w:tc>
        <w:tc>
          <w:tcPr>
            <w:tcW w:w="1843" w:type="dxa"/>
            <w:vAlign w:val="center"/>
          </w:tcPr>
          <w:p w14:paraId="6E845246" w14:textId="77777777" w:rsidR="00124A26" w:rsidRPr="00AC3044" w:rsidRDefault="00124A26" w:rsidP="002D3EBF">
            <w:pPr>
              <w:ind w:firstLine="0"/>
              <w:rPr>
                <w:rFonts w:eastAsia="SimSun"/>
              </w:rPr>
            </w:pPr>
            <w:r w:rsidRPr="00AC3044">
              <w:rPr>
                <w:rFonts w:eastAsia="SimSun"/>
              </w:rPr>
              <w:t>АТГ (лошадиный)</w:t>
            </w:r>
          </w:p>
        </w:tc>
        <w:tc>
          <w:tcPr>
            <w:tcW w:w="1417" w:type="dxa"/>
            <w:vAlign w:val="center"/>
          </w:tcPr>
          <w:p w14:paraId="65552B88" w14:textId="77777777" w:rsidR="00124A26" w:rsidRPr="00AC3044" w:rsidRDefault="00124A26" w:rsidP="002D3EBF">
            <w:pPr>
              <w:ind w:firstLine="0"/>
              <w:rPr>
                <w:rFonts w:eastAsia="SimSun"/>
              </w:rPr>
            </w:pPr>
            <w:r w:rsidRPr="00AC3044">
              <w:rPr>
                <w:rFonts w:eastAsia="SimSun"/>
              </w:rPr>
              <w:t>10 -15 мг/кг</w:t>
            </w:r>
          </w:p>
        </w:tc>
        <w:tc>
          <w:tcPr>
            <w:tcW w:w="1418" w:type="dxa"/>
            <w:vAlign w:val="center"/>
          </w:tcPr>
          <w:p w14:paraId="0F73F406" w14:textId="77777777" w:rsidR="00124A26" w:rsidRPr="00AC3044" w:rsidRDefault="00124A26" w:rsidP="002D3EBF">
            <w:pPr>
              <w:ind w:firstLine="0"/>
              <w:rPr>
                <w:rFonts w:eastAsia="SimSun"/>
              </w:rPr>
            </w:pPr>
            <w:r w:rsidRPr="00AC3044">
              <w:rPr>
                <w:rFonts w:eastAsia="SimSun"/>
              </w:rPr>
              <w:t>40 -60 мг/кг</w:t>
            </w:r>
          </w:p>
        </w:tc>
        <w:tc>
          <w:tcPr>
            <w:tcW w:w="1701" w:type="dxa"/>
            <w:vAlign w:val="center"/>
          </w:tcPr>
          <w:p w14:paraId="6E654811" w14:textId="77777777" w:rsidR="00124A26" w:rsidRPr="00AC3044" w:rsidRDefault="00124A26" w:rsidP="002D3EBF">
            <w:pPr>
              <w:ind w:firstLine="0"/>
              <w:rPr>
                <w:rFonts w:eastAsia="SimSun"/>
              </w:rPr>
            </w:pPr>
            <w:r w:rsidRPr="00AC3044">
              <w:rPr>
                <w:rFonts w:eastAsia="SimSun"/>
              </w:rPr>
              <w:t>С –4 по –1 день</w:t>
            </w:r>
          </w:p>
        </w:tc>
        <w:tc>
          <w:tcPr>
            <w:tcW w:w="2268" w:type="dxa"/>
            <w:vAlign w:val="center"/>
          </w:tcPr>
          <w:p w14:paraId="3E8AB5BA" w14:textId="77777777" w:rsidR="00124A26" w:rsidRPr="00AC3044" w:rsidRDefault="00124A26" w:rsidP="002D3EBF">
            <w:pPr>
              <w:ind w:firstLine="0"/>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 xml:space="preserve">на 2 введения (см. «Инфузия АТГ») </w:t>
            </w:r>
          </w:p>
        </w:tc>
      </w:tr>
      <w:tr w:rsidR="00124A26" w:rsidRPr="00AC3044" w14:paraId="41C8E2CA" w14:textId="77777777" w:rsidTr="002D3EBF">
        <w:trPr>
          <w:cantSplit/>
          <w:trHeight w:val="20"/>
        </w:trPr>
        <w:tc>
          <w:tcPr>
            <w:tcW w:w="993" w:type="dxa"/>
            <w:vMerge/>
            <w:textDirection w:val="btLr"/>
          </w:tcPr>
          <w:p w14:paraId="123D1BF1" w14:textId="77777777" w:rsidR="00124A26" w:rsidRPr="00AC3044" w:rsidRDefault="00124A26" w:rsidP="002D3EBF">
            <w:pPr>
              <w:ind w:firstLine="0"/>
              <w:rPr>
                <w:rFonts w:eastAsia="SimSun"/>
              </w:rPr>
            </w:pPr>
          </w:p>
        </w:tc>
        <w:tc>
          <w:tcPr>
            <w:tcW w:w="1843" w:type="dxa"/>
            <w:vAlign w:val="center"/>
          </w:tcPr>
          <w:p w14:paraId="4D659709" w14:textId="77777777" w:rsidR="00124A26" w:rsidRPr="00AC3044" w:rsidRDefault="00124A26" w:rsidP="002D3EBF">
            <w:pPr>
              <w:ind w:firstLine="0"/>
              <w:rPr>
                <w:rFonts w:eastAsia="SimSun"/>
              </w:rPr>
            </w:pPr>
            <w:r w:rsidRPr="00AC3044">
              <w:rPr>
                <w:rFonts w:eastAsia="SimSun"/>
              </w:rPr>
              <w:t>Циклоспорин</w:t>
            </w:r>
          </w:p>
        </w:tc>
        <w:tc>
          <w:tcPr>
            <w:tcW w:w="1417" w:type="dxa"/>
            <w:vAlign w:val="center"/>
          </w:tcPr>
          <w:p w14:paraId="4D600DBC" w14:textId="77777777" w:rsidR="00124A26" w:rsidRPr="00AC3044" w:rsidRDefault="00124A26" w:rsidP="002D3EBF">
            <w:pPr>
              <w:ind w:firstLine="0"/>
              <w:rPr>
                <w:rFonts w:eastAsia="SimSun"/>
              </w:rPr>
            </w:pPr>
            <w:r w:rsidRPr="00AC3044">
              <w:rPr>
                <w:rFonts w:eastAsia="SimSun"/>
              </w:rPr>
              <w:t>3 мг/кг</w:t>
            </w:r>
          </w:p>
        </w:tc>
        <w:tc>
          <w:tcPr>
            <w:tcW w:w="1418" w:type="dxa"/>
            <w:vAlign w:val="center"/>
          </w:tcPr>
          <w:p w14:paraId="78FBBA7D"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6C2E3B67" w14:textId="77777777" w:rsidR="00124A26" w:rsidRPr="00AC3044" w:rsidRDefault="00124A26" w:rsidP="002D3EBF">
            <w:pPr>
              <w:ind w:firstLine="0"/>
              <w:rPr>
                <w:rFonts w:eastAsia="SimSun"/>
              </w:rPr>
            </w:pPr>
            <w:r w:rsidRPr="00AC3044">
              <w:rPr>
                <w:rFonts w:eastAsia="SimSun"/>
              </w:rPr>
              <w:t>С –1 дня по +90 день, затем постепенное снижение к +180 дню</w:t>
            </w:r>
          </w:p>
        </w:tc>
        <w:tc>
          <w:tcPr>
            <w:tcW w:w="2268" w:type="dxa"/>
            <w:vAlign w:val="center"/>
          </w:tcPr>
          <w:p w14:paraId="44A9D122" w14:textId="77777777" w:rsidR="00124A26" w:rsidRPr="00AC3044" w:rsidRDefault="00124A26"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0C00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124A26" w:rsidRPr="00AC3044" w14:paraId="2F045192" w14:textId="77777777" w:rsidTr="002D3EBF">
        <w:trPr>
          <w:cantSplit/>
          <w:trHeight w:val="20"/>
        </w:trPr>
        <w:tc>
          <w:tcPr>
            <w:tcW w:w="993" w:type="dxa"/>
            <w:vMerge/>
          </w:tcPr>
          <w:p w14:paraId="52B12644" w14:textId="77777777" w:rsidR="00124A26" w:rsidRPr="00AC3044" w:rsidRDefault="00124A26" w:rsidP="002D3EBF">
            <w:pPr>
              <w:ind w:firstLine="0"/>
              <w:rPr>
                <w:rFonts w:eastAsia="SimSun"/>
              </w:rPr>
            </w:pPr>
          </w:p>
        </w:tc>
        <w:tc>
          <w:tcPr>
            <w:tcW w:w="1843" w:type="dxa"/>
            <w:vMerge w:val="restart"/>
            <w:vAlign w:val="center"/>
          </w:tcPr>
          <w:p w14:paraId="7115D218" w14:textId="77777777" w:rsidR="00124A26" w:rsidRPr="00AC3044" w:rsidRDefault="00124A26" w:rsidP="002D3EBF">
            <w:pPr>
              <w:ind w:firstLine="0"/>
              <w:rPr>
                <w:rFonts w:eastAsia="SimSun"/>
              </w:rPr>
            </w:pPr>
            <w:r w:rsidRPr="00AC3044">
              <w:rPr>
                <w:rFonts w:eastAsia="SimSun"/>
              </w:rPr>
              <w:t>Метотрексат</w:t>
            </w:r>
          </w:p>
        </w:tc>
        <w:tc>
          <w:tcPr>
            <w:tcW w:w="1417" w:type="dxa"/>
            <w:vAlign w:val="center"/>
          </w:tcPr>
          <w:p w14:paraId="6D29E94A" w14:textId="77777777" w:rsidR="00124A26" w:rsidRPr="00AC3044" w:rsidRDefault="00124A26" w:rsidP="002D3EBF">
            <w:pPr>
              <w:ind w:firstLine="0"/>
              <w:rPr>
                <w:rFonts w:eastAsia="SimSun"/>
              </w:rPr>
            </w:pPr>
            <w:r w:rsidRPr="00AC3044">
              <w:rPr>
                <w:rFonts w:eastAsia="SimSun"/>
              </w:rPr>
              <w:t>15 мг/м</w:t>
            </w:r>
            <w:r w:rsidRPr="000C005F">
              <w:rPr>
                <w:rFonts w:eastAsia="SimSun"/>
                <w:vertAlign w:val="superscript"/>
              </w:rPr>
              <w:t>2</w:t>
            </w:r>
          </w:p>
        </w:tc>
        <w:tc>
          <w:tcPr>
            <w:tcW w:w="1418" w:type="dxa"/>
            <w:vAlign w:val="center"/>
          </w:tcPr>
          <w:p w14:paraId="7BE79E69"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7FB51CF3" w14:textId="77777777" w:rsidR="00124A26" w:rsidRPr="00AC3044" w:rsidRDefault="00124A26" w:rsidP="002D3EBF">
            <w:pPr>
              <w:ind w:firstLine="0"/>
              <w:rPr>
                <w:rFonts w:eastAsia="SimSun"/>
              </w:rPr>
            </w:pPr>
            <w:r w:rsidRPr="00AC3044">
              <w:rPr>
                <w:rFonts w:eastAsia="SimSun"/>
              </w:rPr>
              <w:t>+1 день</w:t>
            </w:r>
          </w:p>
        </w:tc>
        <w:tc>
          <w:tcPr>
            <w:tcW w:w="2268" w:type="dxa"/>
            <w:vAlign w:val="center"/>
          </w:tcPr>
          <w:p w14:paraId="62248B63" w14:textId="77777777" w:rsidR="00124A26" w:rsidRPr="00AC3044" w:rsidRDefault="00124A26" w:rsidP="002D3EBF">
            <w:pPr>
              <w:ind w:firstLine="0"/>
              <w:rPr>
                <w:rFonts w:eastAsia="SimSun"/>
              </w:rPr>
            </w:pPr>
            <w:r w:rsidRPr="00AC3044">
              <w:rPr>
                <w:rFonts w:eastAsia="SimSun"/>
              </w:rPr>
              <w:t xml:space="preserve">В/в, в 20 мл физ. р-ра </w:t>
            </w:r>
          </w:p>
        </w:tc>
      </w:tr>
      <w:tr w:rsidR="00124A26" w:rsidRPr="00AC3044" w14:paraId="7123029F" w14:textId="77777777" w:rsidTr="002D3EBF">
        <w:trPr>
          <w:cantSplit/>
          <w:trHeight w:val="464"/>
        </w:trPr>
        <w:tc>
          <w:tcPr>
            <w:tcW w:w="993" w:type="dxa"/>
            <w:vMerge/>
          </w:tcPr>
          <w:p w14:paraId="53BA2A80" w14:textId="77777777" w:rsidR="00124A26" w:rsidRPr="00AC3044" w:rsidRDefault="00124A26" w:rsidP="002D3EBF">
            <w:pPr>
              <w:ind w:firstLine="0"/>
              <w:rPr>
                <w:rFonts w:eastAsia="SimSun"/>
              </w:rPr>
            </w:pPr>
          </w:p>
        </w:tc>
        <w:tc>
          <w:tcPr>
            <w:tcW w:w="1843" w:type="dxa"/>
            <w:vMerge/>
            <w:vAlign w:val="center"/>
          </w:tcPr>
          <w:p w14:paraId="27FD4FE3" w14:textId="77777777" w:rsidR="00124A26" w:rsidRPr="00AC3044" w:rsidRDefault="00124A26" w:rsidP="002D3EBF">
            <w:pPr>
              <w:ind w:firstLine="0"/>
              <w:rPr>
                <w:rFonts w:eastAsia="SimSun"/>
              </w:rPr>
            </w:pPr>
          </w:p>
        </w:tc>
        <w:tc>
          <w:tcPr>
            <w:tcW w:w="1417" w:type="dxa"/>
            <w:vAlign w:val="center"/>
          </w:tcPr>
          <w:p w14:paraId="3BEE73B5" w14:textId="77777777" w:rsidR="00124A26" w:rsidRPr="00AC3044" w:rsidRDefault="00124A26" w:rsidP="002D3EBF">
            <w:pPr>
              <w:ind w:firstLine="0"/>
              <w:rPr>
                <w:rFonts w:eastAsia="SimSun"/>
              </w:rPr>
            </w:pPr>
            <w:r w:rsidRPr="00AC3044">
              <w:rPr>
                <w:rFonts w:eastAsia="SimSun"/>
              </w:rPr>
              <w:t>10 мг/м</w:t>
            </w:r>
            <w:r w:rsidRPr="000C005F">
              <w:rPr>
                <w:rFonts w:eastAsia="SimSun"/>
                <w:vertAlign w:val="superscript"/>
              </w:rPr>
              <w:t>2</w:t>
            </w:r>
          </w:p>
        </w:tc>
        <w:tc>
          <w:tcPr>
            <w:tcW w:w="1418" w:type="dxa"/>
            <w:vAlign w:val="center"/>
          </w:tcPr>
          <w:p w14:paraId="45D9C217"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4DF7D64E" w14:textId="77777777" w:rsidR="00124A26" w:rsidRPr="00AC3044" w:rsidRDefault="00124A26" w:rsidP="002D3EBF">
            <w:pPr>
              <w:ind w:firstLine="0"/>
              <w:rPr>
                <w:rFonts w:eastAsia="SimSun"/>
              </w:rPr>
            </w:pPr>
            <w:r w:rsidRPr="00AC3044">
              <w:rPr>
                <w:rFonts w:eastAsia="SimSun"/>
              </w:rPr>
              <w:t>+3, +6, +11 день</w:t>
            </w:r>
          </w:p>
        </w:tc>
        <w:tc>
          <w:tcPr>
            <w:tcW w:w="2268" w:type="dxa"/>
            <w:vAlign w:val="center"/>
          </w:tcPr>
          <w:p w14:paraId="37E54208" w14:textId="77777777" w:rsidR="00124A26" w:rsidRPr="00AC3044" w:rsidRDefault="00124A26" w:rsidP="002D3EBF">
            <w:pPr>
              <w:ind w:firstLine="0"/>
              <w:rPr>
                <w:rFonts w:eastAsia="SimSun"/>
              </w:rPr>
            </w:pPr>
            <w:r w:rsidRPr="00AC3044">
              <w:rPr>
                <w:rFonts w:eastAsia="SimSun"/>
              </w:rPr>
              <w:t xml:space="preserve">В/в, в 20 мл физ. р-ра </w:t>
            </w:r>
          </w:p>
        </w:tc>
      </w:tr>
      <w:tr w:rsidR="00124A26" w:rsidRPr="00AC3044" w14:paraId="0F6CC836" w14:textId="77777777" w:rsidTr="002D3EBF">
        <w:trPr>
          <w:cantSplit/>
          <w:trHeight w:val="464"/>
        </w:trPr>
        <w:tc>
          <w:tcPr>
            <w:tcW w:w="993" w:type="dxa"/>
            <w:vMerge/>
          </w:tcPr>
          <w:p w14:paraId="6728862B" w14:textId="77777777" w:rsidR="00124A26" w:rsidRPr="00AC3044" w:rsidRDefault="00124A26" w:rsidP="002D3EBF">
            <w:pPr>
              <w:ind w:firstLine="0"/>
              <w:rPr>
                <w:rFonts w:eastAsia="SimSun"/>
              </w:rPr>
            </w:pPr>
          </w:p>
        </w:tc>
        <w:tc>
          <w:tcPr>
            <w:tcW w:w="1843" w:type="dxa"/>
            <w:vMerge w:val="restart"/>
            <w:vAlign w:val="center"/>
          </w:tcPr>
          <w:p w14:paraId="18B01BEE" w14:textId="77777777" w:rsidR="00124A26" w:rsidRPr="00AC3044" w:rsidRDefault="00124A26" w:rsidP="002D3EBF">
            <w:pPr>
              <w:ind w:firstLine="0"/>
              <w:rPr>
                <w:rFonts w:eastAsia="SimSun"/>
              </w:rPr>
            </w:pPr>
            <w:r w:rsidRPr="00AC3044">
              <w:rPr>
                <w:rFonts w:eastAsia="SimSun"/>
              </w:rPr>
              <w:t>Микофенолата мофетил (только при использовании СКК)</w:t>
            </w:r>
          </w:p>
        </w:tc>
        <w:tc>
          <w:tcPr>
            <w:tcW w:w="1417" w:type="dxa"/>
            <w:vAlign w:val="center"/>
          </w:tcPr>
          <w:p w14:paraId="372C3A0D" w14:textId="77777777" w:rsidR="00124A26" w:rsidRPr="00AC3044" w:rsidRDefault="00124A26" w:rsidP="002D3EBF">
            <w:pPr>
              <w:ind w:firstLine="0"/>
              <w:rPr>
                <w:rFonts w:eastAsia="SimSun"/>
              </w:rPr>
            </w:pPr>
            <w:r w:rsidRPr="00AC3044">
              <w:rPr>
                <w:rFonts w:eastAsia="SimSun"/>
              </w:rPr>
              <w:t>2000 мг</w:t>
            </w:r>
          </w:p>
        </w:tc>
        <w:tc>
          <w:tcPr>
            <w:tcW w:w="1418" w:type="dxa"/>
            <w:vAlign w:val="center"/>
          </w:tcPr>
          <w:p w14:paraId="36BBCE3A"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5DE3682D" w14:textId="77777777" w:rsidR="00124A26" w:rsidRPr="00AC3044" w:rsidRDefault="00124A26" w:rsidP="002D3EBF">
            <w:pPr>
              <w:ind w:firstLine="0"/>
              <w:rPr>
                <w:rFonts w:eastAsia="SimSun"/>
              </w:rPr>
            </w:pPr>
            <w:r w:rsidRPr="00AC3044">
              <w:rPr>
                <w:rFonts w:eastAsia="SimSun"/>
              </w:rPr>
              <w:t>С +1 по +14 день</w:t>
            </w:r>
          </w:p>
        </w:tc>
        <w:tc>
          <w:tcPr>
            <w:tcW w:w="2268" w:type="dxa"/>
            <w:vAlign w:val="center"/>
          </w:tcPr>
          <w:p w14:paraId="78206FC5"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2-4 приема.</w:t>
            </w:r>
          </w:p>
        </w:tc>
      </w:tr>
      <w:tr w:rsidR="00124A26" w:rsidRPr="00AC3044" w14:paraId="4DE3F905" w14:textId="77777777" w:rsidTr="002D3EBF">
        <w:trPr>
          <w:cantSplit/>
          <w:trHeight w:val="464"/>
        </w:trPr>
        <w:tc>
          <w:tcPr>
            <w:tcW w:w="993" w:type="dxa"/>
            <w:vMerge/>
          </w:tcPr>
          <w:p w14:paraId="5B498BF8" w14:textId="77777777" w:rsidR="00124A26" w:rsidRPr="00AC3044" w:rsidRDefault="00124A26" w:rsidP="002D3EBF">
            <w:pPr>
              <w:ind w:firstLine="0"/>
              <w:rPr>
                <w:rFonts w:eastAsia="SimSun"/>
              </w:rPr>
            </w:pPr>
          </w:p>
        </w:tc>
        <w:tc>
          <w:tcPr>
            <w:tcW w:w="1843" w:type="dxa"/>
            <w:vMerge/>
            <w:vAlign w:val="center"/>
          </w:tcPr>
          <w:p w14:paraId="2F8B8675" w14:textId="77777777" w:rsidR="00124A26" w:rsidRPr="00AC3044" w:rsidRDefault="00124A26" w:rsidP="002D3EBF">
            <w:pPr>
              <w:ind w:firstLine="0"/>
              <w:rPr>
                <w:rFonts w:eastAsia="SimSun"/>
              </w:rPr>
            </w:pPr>
          </w:p>
        </w:tc>
        <w:tc>
          <w:tcPr>
            <w:tcW w:w="1417" w:type="dxa"/>
            <w:vAlign w:val="center"/>
          </w:tcPr>
          <w:p w14:paraId="16B1F66C" w14:textId="77777777" w:rsidR="00124A26" w:rsidRPr="00AC3044" w:rsidRDefault="00124A26" w:rsidP="002D3EBF">
            <w:pPr>
              <w:ind w:firstLine="0"/>
              <w:rPr>
                <w:rFonts w:eastAsia="SimSun"/>
              </w:rPr>
            </w:pPr>
            <w:r w:rsidRPr="00AC3044">
              <w:rPr>
                <w:rFonts w:eastAsia="SimSun"/>
              </w:rPr>
              <w:t>1000 мг</w:t>
            </w:r>
          </w:p>
        </w:tc>
        <w:tc>
          <w:tcPr>
            <w:tcW w:w="1418" w:type="dxa"/>
            <w:vAlign w:val="center"/>
          </w:tcPr>
          <w:p w14:paraId="44473E63"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7C313BCB" w14:textId="77777777" w:rsidR="00124A26" w:rsidRPr="00AC3044" w:rsidRDefault="00124A26" w:rsidP="002D3EBF">
            <w:pPr>
              <w:ind w:firstLine="0"/>
              <w:rPr>
                <w:rFonts w:eastAsia="SimSun"/>
              </w:rPr>
            </w:pPr>
            <w:r w:rsidRPr="00AC3044">
              <w:rPr>
                <w:rFonts w:eastAsia="SimSun"/>
              </w:rPr>
              <w:t>С +15 по +90 день</w:t>
            </w:r>
          </w:p>
        </w:tc>
        <w:tc>
          <w:tcPr>
            <w:tcW w:w="2268" w:type="dxa"/>
            <w:vAlign w:val="center"/>
          </w:tcPr>
          <w:p w14:paraId="07CFE72A"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2-4 приема.</w:t>
            </w:r>
          </w:p>
        </w:tc>
      </w:tr>
    </w:tbl>
    <w:p w14:paraId="3DD50896" w14:textId="77777777" w:rsidR="00124A26" w:rsidRDefault="00124A26" w:rsidP="00124A26">
      <w:pPr>
        <w:rPr>
          <w:rFonts w:eastAsia="SimSun"/>
        </w:rPr>
      </w:pPr>
      <w:bookmarkStart w:id="207" w:name="_Toc44401164"/>
    </w:p>
    <w:p w14:paraId="30B73F2E" w14:textId="77777777" w:rsidR="00124A26" w:rsidRPr="00C07B2E" w:rsidRDefault="00124A26" w:rsidP="00124A26">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1.2.6  – Flu180+Bu8 / rATG+CSA+MTX+MMF30</w:t>
      </w:r>
      <w:bookmarkEnd w:id="207"/>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124A26" w:rsidRPr="00AC3044" w14:paraId="4905F57B" w14:textId="77777777" w:rsidTr="002D3EBF">
        <w:trPr>
          <w:cantSplit/>
          <w:trHeight w:val="20"/>
          <w:tblHeader/>
        </w:trPr>
        <w:tc>
          <w:tcPr>
            <w:tcW w:w="993" w:type="dxa"/>
          </w:tcPr>
          <w:p w14:paraId="00FF95A4" w14:textId="77777777" w:rsidR="00124A26" w:rsidRPr="00470D3D" w:rsidRDefault="00124A26" w:rsidP="002D3EBF">
            <w:pPr>
              <w:ind w:firstLine="0"/>
              <w:rPr>
                <w:rFonts w:eastAsia="SimSun"/>
              </w:rPr>
            </w:pPr>
          </w:p>
        </w:tc>
        <w:tc>
          <w:tcPr>
            <w:tcW w:w="1843" w:type="dxa"/>
            <w:vAlign w:val="center"/>
          </w:tcPr>
          <w:p w14:paraId="681C6475" w14:textId="77777777" w:rsidR="00124A26" w:rsidRPr="00AC3044" w:rsidRDefault="00124A26" w:rsidP="002D3EBF">
            <w:pPr>
              <w:ind w:firstLine="0"/>
              <w:rPr>
                <w:rFonts w:eastAsia="SimSun"/>
              </w:rPr>
            </w:pPr>
            <w:r w:rsidRPr="00AC3044">
              <w:rPr>
                <w:rFonts w:eastAsia="SimSun"/>
              </w:rPr>
              <w:t>Препарат</w:t>
            </w:r>
          </w:p>
        </w:tc>
        <w:tc>
          <w:tcPr>
            <w:tcW w:w="1417" w:type="dxa"/>
            <w:vAlign w:val="center"/>
          </w:tcPr>
          <w:p w14:paraId="2446B8F8" w14:textId="77777777" w:rsidR="00124A26" w:rsidRPr="00AC3044" w:rsidRDefault="00124A26" w:rsidP="002D3EBF">
            <w:pPr>
              <w:ind w:firstLine="0"/>
              <w:rPr>
                <w:rFonts w:eastAsia="SimSun"/>
              </w:rPr>
            </w:pPr>
            <w:r w:rsidRPr="00AC3044">
              <w:rPr>
                <w:rFonts w:eastAsia="SimSun"/>
              </w:rPr>
              <w:t>Суточная доза</w:t>
            </w:r>
          </w:p>
        </w:tc>
        <w:tc>
          <w:tcPr>
            <w:tcW w:w="1559" w:type="dxa"/>
            <w:vAlign w:val="center"/>
          </w:tcPr>
          <w:p w14:paraId="4832C694" w14:textId="77777777" w:rsidR="00124A26" w:rsidRPr="00AC3044" w:rsidRDefault="00124A26" w:rsidP="002D3EBF">
            <w:pPr>
              <w:ind w:firstLine="0"/>
              <w:rPr>
                <w:rFonts w:eastAsia="SimSun"/>
              </w:rPr>
            </w:pPr>
            <w:r w:rsidRPr="00AC3044">
              <w:rPr>
                <w:rFonts w:eastAsia="SimSun"/>
              </w:rPr>
              <w:t>Курсовая доза</w:t>
            </w:r>
          </w:p>
        </w:tc>
        <w:tc>
          <w:tcPr>
            <w:tcW w:w="1560" w:type="dxa"/>
            <w:vAlign w:val="center"/>
          </w:tcPr>
          <w:p w14:paraId="5EF8F65A" w14:textId="77777777" w:rsidR="00124A26" w:rsidRPr="00AC3044" w:rsidRDefault="00124A26" w:rsidP="002D3EBF">
            <w:pPr>
              <w:ind w:firstLine="0"/>
              <w:rPr>
                <w:rFonts w:eastAsia="SimSun"/>
              </w:rPr>
            </w:pPr>
            <w:r w:rsidRPr="00AC3044">
              <w:rPr>
                <w:rFonts w:eastAsia="SimSun"/>
              </w:rPr>
              <w:t>Дни введения</w:t>
            </w:r>
          </w:p>
        </w:tc>
        <w:tc>
          <w:tcPr>
            <w:tcW w:w="2268" w:type="dxa"/>
            <w:vAlign w:val="center"/>
          </w:tcPr>
          <w:p w14:paraId="100FCBB1"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0B01461E" w14:textId="77777777" w:rsidTr="002D3EBF">
        <w:trPr>
          <w:cantSplit/>
          <w:trHeight w:val="20"/>
        </w:trPr>
        <w:tc>
          <w:tcPr>
            <w:tcW w:w="993" w:type="dxa"/>
            <w:vMerge w:val="restart"/>
            <w:textDirection w:val="btLr"/>
            <w:vAlign w:val="center"/>
          </w:tcPr>
          <w:p w14:paraId="04A741A9" w14:textId="77777777" w:rsidR="00124A26" w:rsidRPr="00AC3044" w:rsidRDefault="00124A26" w:rsidP="002D3EBF">
            <w:pPr>
              <w:ind w:firstLine="0"/>
              <w:rPr>
                <w:rFonts w:eastAsia="SimSun"/>
              </w:rPr>
            </w:pPr>
            <w:r w:rsidRPr="00AC3044">
              <w:rPr>
                <w:rFonts w:eastAsia="SimSun"/>
              </w:rPr>
              <w:t>Кондиционирование</w:t>
            </w:r>
          </w:p>
        </w:tc>
        <w:tc>
          <w:tcPr>
            <w:tcW w:w="1843" w:type="dxa"/>
            <w:vAlign w:val="center"/>
          </w:tcPr>
          <w:p w14:paraId="1F8E98EF" w14:textId="77777777" w:rsidR="00124A26" w:rsidRPr="00AC3044" w:rsidRDefault="00124A26" w:rsidP="002D3EBF">
            <w:pPr>
              <w:ind w:firstLine="0"/>
              <w:rPr>
                <w:rFonts w:eastAsia="SimSun"/>
              </w:rPr>
            </w:pPr>
            <w:r w:rsidRPr="00AC3044">
              <w:rPr>
                <w:rFonts w:eastAsia="SimSun"/>
              </w:rPr>
              <w:t xml:space="preserve">Флударабин </w:t>
            </w:r>
          </w:p>
        </w:tc>
        <w:tc>
          <w:tcPr>
            <w:tcW w:w="1417" w:type="dxa"/>
            <w:vAlign w:val="center"/>
          </w:tcPr>
          <w:p w14:paraId="3C8DC691" w14:textId="77777777" w:rsidR="00124A26" w:rsidRPr="00AC3044" w:rsidRDefault="00124A26" w:rsidP="002D3EBF">
            <w:pPr>
              <w:ind w:firstLine="0"/>
              <w:rPr>
                <w:rFonts w:eastAsia="SimSun"/>
              </w:rPr>
            </w:pPr>
            <w:r w:rsidRPr="00AC3044">
              <w:rPr>
                <w:rFonts w:eastAsia="SimSun"/>
              </w:rPr>
              <w:t>30 мг/м</w:t>
            </w:r>
            <w:r w:rsidRPr="001E6DBE">
              <w:rPr>
                <w:rFonts w:eastAsia="SimSun"/>
                <w:vertAlign w:val="superscript"/>
              </w:rPr>
              <w:t>2</w:t>
            </w:r>
          </w:p>
        </w:tc>
        <w:tc>
          <w:tcPr>
            <w:tcW w:w="1559" w:type="dxa"/>
            <w:vAlign w:val="center"/>
          </w:tcPr>
          <w:p w14:paraId="260775EE" w14:textId="77777777" w:rsidR="00124A26" w:rsidRPr="00AC3044" w:rsidRDefault="00124A26" w:rsidP="002D3EBF">
            <w:pPr>
              <w:ind w:firstLine="0"/>
              <w:rPr>
                <w:rFonts w:eastAsia="SimSun"/>
              </w:rPr>
            </w:pPr>
            <w:r w:rsidRPr="00AC3044">
              <w:rPr>
                <w:rFonts w:eastAsia="SimSun"/>
              </w:rPr>
              <w:t>180 мг/м</w:t>
            </w:r>
            <w:r w:rsidRPr="001E6DBE">
              <w:rPr>
                <w:rFonts w:eastAsia="SimSun"/>
                <w:vertAlign w:val="superscript"/>
              </w:rPr>
              <w:t>2</w:t>
            </w:r>
          </w:p>
        </w:tc>
        <w:tc>
          <w:tcPr>
            <w:tcW w:w="1560" w:type="dxa"/>
            <w:vAlign w:val="center"/>
          </w:tcPr>
          <w:p w14:paraId="0743E95B" w14:textId="77777777" w:rsidR="00124A26" w:rsidRPr="00AC3044" w:rsidRDefault="00124A26" w:rsidP="002D3EBF">
            <w:pPr>
              <w:ind w:firstLine="0"/>
              <w:rPr>
                <w:rFonts w:eastAsia="SimSun"/>
              </w:rPr>
            </w:pPr>
            <w:r w:rsidRPr="00AC3044">
              <w:rPr>
                <w:rFonts w:eastAsia="SimSun"/>
              </w:rPr>
              <w:t>С –9 по –4 день</w:t>
            </w:r>
          </w:p>
        </w:tc>
        <w:tc>
          <w:tcPr>
            <w:tcW w:w="2268" w:type="dxa"/>
            <w:vAlign w:val="center"/>
          </w:tcPr>
          <w:p w14:paraId="535BFCE2"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374B95D1" w14:textId="77777777" w:rsidTr="002D3EBF">
        <w:trPr>
          <w:cantSplit/>
          <w:trHeight w:val="1472"/>
        </w:trPr>
        <w:tc>
          <w:tcPr>
            <w:tcW w:w="993" w:type="dxa"/>
            <w:vMerge/>
            <w:textDirection w:val="btLr"/>
            <w:vAlign w:val="center"/>
          </w:tcPr>
          <w:p w14:paraId="4AEBA279" w14:textId="77777777" w:rsidR="00124A26" w:rsidRPr="00AC3044" w:rsidRDefault="00124A26" w:rsidP="002D3EBF">
            <w:pPr>
              <w:ind w:firstLine="0"/>
              <w:rPr>
                <w:rFonts w:eastAsia="SimSun"/>
              </w:rPr>
            </w:pPr>
          </w:p>
        </w:tc>
        <w:tc>
          <w:tcPr>
            <w:tcW w:w="1843" w:type="dxa"/>
            <w:vAlign w:val="center"/>
          </w:tcPr>
          <w:p w14:paraId="4CC4D0ED" w14:textId="77777777" w:rsidR="00124A26" w:rsidRPr="00AC3044" w:rsidRDefault="00124A26" w:rsidP="002D3EBF">
            <w:pPr>
              <w:ind w:firstLine="0"/>
              <w:rPr>
                <w:rFonts w:eastAsia="SimSun"/>
              </w:rPr>
            </w:pPr>
            <w:r w:rsidRPr="00AC3044">
              <w:rPr>
                <w:rFonts w:eastAsia="SimSun"/>
              </w:rPr>
              <w:t>Бусульфан</w:t>
            </w:r>
          </w:p>
        </w:tc>
        <w:tc>
          <w:tcPr>
            <w:tcW w:w="1417" w:type="dxa"/>
            <w:vAlign w:val="center"/>
          </w:tcPr>
          <w:p w14:paraId="358FED30" w14:textId="77777777" w:rsidR="00124A26" w:rsidRPr="00AC3044" w:rsidRDefault="00124A26" w:rsidP="002D3EBF">
            <w:pPr>
              <w:ind w:firstLine="0"/>
              <w:rPr>
                <w:rFonts w:eastAsia="SimSun"/>
              </w:rPr>
            </w:pPr>
            <w:r w:rsidRPr="00AC3044">
              <w:rPr>
                <w:rFonts w:eastAsia="SimSun"/>
              </w:rPr>
              <w:t>4 мг/кг</w:t>
            </w:r>
          </w:p>
        </w:tc>
        <w:tc>
          <w:tcPr>
            <w:tcW w:w="1559" w:type="dxa"/>
            <w:vAlign w:val="center"/>
          </w:tcPr>
          <w:p w14:paraId="6D8B2326" w14:textId="77777777" w:rsidR="00124A26" w:rsidRPr="00AC3044" w:rsidRDefault="00124A26" w:rsidP="002D3EBF">
            <w:pPr>
              <w:ind w:firstLine="0"/>
              <w:rPr>
                <w:rFonts w:eastAsia="SimSun"/>
              </w:rPr>
            </w:pPr>
            <w:r w:rsidRPr="00AC3044">
              <w:rPr>
                <w:rFonts w:eastAsia="SimSun"/>
              </w:rPr>
              <w:t>8 мг/кг</w:t>
            </w:r>
          </w:p>
        </w:tc>
        <w:tc>
          <w:tcPr>
            <w:tcW w:w="1560" w:type="dxa"/>
            <w:vAlign w:val="center"/>
          </w:tcPr>
          <w:p w14:paraId="0DD06B68" w14:textId="77777777" w:rsidR="00124A26" w:rsidRPr="00AC3044" w:rsidRDefault="00124A26" w:rsidP="002D3EBF">
            <w:pPr>
              <w:ind w:firstLine="0"/>
              <w:rPr>
                <w:rFonts w:eastAsia="SimSun"/>
              </w:rPr>
            </w:pPr>
            <w:r w:rsidRPr="00AC3044">
              <w:rPr>
                <w:rFonts w:eastAsia="SimSun"/>
              </w:rPr>
              <w:t>–5, –4 дни</w:t>
            </w:r>
          </w:p>
        </w:tc>
        <w:tc>
          <w:tcPr>
            <w:tcW w:w="2268" w:type="dxa"/>
            <w:vAlign w:val="center"/>
          </w:tcPr>
          <w:p w14:paraId="0FB53F57"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124A26" w:rsidRPr="00AC3044" w14:paraId="75A73FA9" w14:textId="77777777" w:rsidTr="002D3EBF">
        <w:trPr>
          <w:cantSplit/>
          <w:trHeight w:val="20"/>
        </w:trPr>
        <w:tc>
          <w:tcPr>
            <w:tcW w:w="993" w:type="dxa"/>
            <w:vMerge w:val="restart"/>
            <w:textDirection w:val="btLr"/>
            <w:vAlign w:val="center"/>
          </w:tcPr>
          <w:p w14:paraId="69BF4904" w14:textId="77777777" w:rsidR="00124A26" w:rsidRPr="00AC3044" w:rsidRDefault="00124A26" w:rsidP="002D3EBF">
            <w:pPr>
              <w:ind w:firstLine="0"/>
              <w:rPr>
                <w:rFonts w:eastAsia="SimSun"/>
              </w:rPr>
            </w:pPr>
            <w:r w:rsidRPr="00AC3044">
              <w:rPr>
                <w:rFonts w:eastAsia="SimSun"/>
              </w:rPr>
              <w:t>Профилактика РТПХ</w:t>
            </w:r>
          </w:p>
        </w:tc>
        <w:tc>
          <w:tcPr>
            <w:tcW w:w="1843" w:type="dxa"/>
            <w:vAlign w:val="center"/>
          </w:tcPr>
          <w:p w14:paraId="6A611357" w14:textId="77777777" w:rsidR="00124A26" w:rsidRPr="00AC3044" w:rsidRDefault="00124A26" w:rsidP="002D3EBF">
            <w:pPr>
              <w:ind w:firstLine="0"/>
              <w:rPr>
                <w:rFonts w:eastAsia="SimSun"/>
              </w:rPr>
            </w:pPr>
            <w:r w:rsidRPr="00AC3044">
              <w:rPr>
                <w:rFonts w:eastAsia="SimSun"/>
              </w:rPr>
              <w:t>АТГ (кроличий)</w:t>
            </w:r>
          </w:p>
        </w:tc>
        <w:tc>
          <w:tcPr>
            <w:tcW w:w="1417" w:type="dxa"/>
            <w:vAlign w:val="center"/>
          </w:tcPr>
          <w:p w14:paraId="292FD83C" w14:textId="77777777" w:rsidR="00124A26" w:rsidRPr="00AC3044" w:rsidRDefault="00124A26" w:rsidP="002D3EBF">
            <w:pPr>
              <w:ind w:firstLine="0"/>
              <w:rPr>
                <w:rFonts w:eastAsia="SimSun"/>
              </w:rPr>
            </w:pPr>
            <w:r w:rsidRPr="00AC3044">
              <w:rPr>
                <w:rFonts w:eastAsia="SimSun"/>
              </w:rPr>
              <w:t>2,5 мг/кг</w:t>
            </w:r>
          </w:p>
        </w:tc>
        <w:tc>
          <w:tcPr>
            <w:tcW w:w="1559" w:type="dxa"/>
            <w:vAlign w:val="center"/>
          </w:tcPr>
          <w:p w14:paraId="2B87314B" w14:textId="77777777" w:rsidR="00124A26" w:rsidRPr="00AC3044" w:rsidRDefault="00124A26" w:rsidP="002D3EBF">
            <w:pPr>
              <w:ind w:firstLine="0"/>
              <w:rPr>
                <w:rFonts w:eastAsia="SimSun"/>
              </w:rPr>
            </w:pPr>
            <w:r w:rsidRPr="00AC3044">
              <w:rPr>
                <w:rFonts w:eastAsia="SimSun"/>
              </w:rPr>
              <w:t>5 - 7,5 мг/кг</w:t>
            </w:r>
            <w:r w:rsidRPr="001E6DBE">
              <w:rPr>
                <w:rFonts w:eastAsia="SimSun"/>
                <w:vertAlign w:val="superscript"/>
              </w:rPr>
              <w:t>2</w:t>
            </w:r>
          </w:p>
        </w:tc>
        <w:tc>
          <w:tcPr>
            <w:tcW w:w="1560" w:type="dxa"/>
            <w:vAlign w:val="center"/>
          </w:tcPr>
          <w:p w14:paraId="7C7AC643" w14:textId="77777777" w:rsidR="00124A26" w:rsidRPr="00AC3044" w:rsidRDefault="00124A26" w:rsidP="002D3EBF">
            <w:pPr>
              <w:ind w:firstLine="0"/>
              <w:rPr>
                <w:rFonts w:eastAsia="SimSun"/>
              </w:rPr>
            </w:pPr>
            <w:r w:rsidRPr="00AC3044">
              <w:rPr>
                <w:rFonts w:eastAsia="SimSun"/>
              </w:rPr>
              <w:t>С –3 по –2 (-1) день</w:t>
            </w:r>
          </w:p>
        </w:tc>
        <w:tc>
          <w:tcPr>
            <w:tcW w:w="2268" w:type="dxa"/>
            <w:vAlign w:val="center"/>
          </w:tcPr>
          <w:p w14:paraId="0D14E524" w14:textId="77777777" w:rsidR="00124A26" w:rsidRPr="00AC3044" w:rsidRDefault="00124A26" w:rsidP="002D3EBF">
            <w:pPr>
              <w:ind w:firstLine="0"/>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 xml:space="preserve">на 2 введения (см. «Инфузия АТГ») </w:t>
            </w:r>
          </w:p>
        </w:tc>
      </w:tr>
      <w:tr w:rsidR="00124A26" w:rsidRPr="00AC3044" w14:paraId="40846074" w14:textId="77777777" w:rsidTr="002D3EBF">
        <w:trPr>
          <w:cantSplit/>
          <w:trHeight w:val="20"/>
        </w:trPr>
        <w:tc>
          <w:tcPr>
            <w:tcW w:w="993" w:type="dxa"/>
            <w:vMerge/>
            <w:textDirection w:val="btLr"/>
            <w:vAlign w:val="center"/>
          </w:tcPr>
          <w:p w14:paraId="2C422F55" w14:textId="77777777" w:rsidR="00124A26" w:rsidRPr="00AC3044" w:rsidRDefault="00124A26" w:rsidP="002D3EBF">
            <w:pPr>
              <w:ind w:firstLine="0"/>
              <w:rPr>
                <w:rFonts w:eastAsia="SimSun"/>
              </w:rPr>
            </w:pPr>
          </w:p>
        </w:tc>
        <w:tc>
          <w:tcPr>
            <w:tcW w:w="1843" w:type="dxa"/>
            <w:vAlign w:val="center"/>
          </w:tcPr>
          <w:p w14:paraId="021E89F4" w14:textId="77777777" w:rsidR="00124A26" w:rsidRPr="00AC3044" w:rsidRDefault="00124A26" w:rsidP="002D3EBF">
            <w:pPr>
              <w:ind w:firstLine="0"/>
              <w:rPr>
                <w:rFonts w:eastAsia="SimSun"/>
              </w:rPr>
            </w:pPr>
            <w:r w:rsidRPr="00AC3044">
              <w:rPr>
                <w:rFonts w:eastAsia="SimSun"/>
              </w:rPr>
              <w:t>Циклоспорин</w:t>
            </w:r>
          </w:p>
        </w:tc>
        <w:tc>
          <w:tcPr>
            <w:tcW w:w="1417" w:type="dxa"/>
            <w:vAlign w:val="center"/>
          </w:tcPr>
          <w:p w14:paraId="689F0059" w14:textId="77777777" w:rsidR="00124A26" w:rsidRPr="00AC3044" w:rsidRDefault="00124A26" w:rsidP="002D3EBF">
            <w:pPr>
              <w:ind w:firstLine="0"/>
              <w:rPr>
                <w:rFonts w:eastAsia="SimSun"/>
              </w:rPr>
            </w:pPr>
            <w:r w:rsidRPr="00AC3044">
              <w:rPr>
                <w:rFonts w:eastAsia="SimSun"/>
              </w:rPr>
              <w:t>3 мг/кг</w:t>
            </w:r>
          </w:p>
        </w:tc>
        <w:tc>
          <w:tcPr>
            <w:tcW w:w="1559" w:type="dxa"/>
            <w:vAlign w:val="center"/>
          </w:tcPr>
          <w:p w14:paraId="36DD44B4" w14:textId="77777777" w:rsidR="00124A26" w:rsidRPr="00AC3044" w:rsidRDefault="00124A26" w:rsidP="002D3EBF">
            <w:pPr>
              <w:ind w:firstLine="0"/>
              <w:rPr>
                <w:rFonts w:eastAsia="SimSun"/>
              </w:rPr>
            </w:pPr>
            <w:r w:rsidRPr="00AC3044">
              <w:rPr>
                <w:rFonts w:eastAsia="SimSun"/>
              </w:rPr>
              <w:t>–</w:t>
            </w:r>
          </w:p>
        </w:tc>
        <w:tc>
          <w:tcPr>
            <w:tcW w:w="1560" w:type="dxa"/>
            <w:vAlign w:val="center"/>
          </w:tcPr>
          <w:p w14:paraId="61A18D39" w14:textId="77777777" w:rsidR="00124A26" w:rsidRPr="00AC3044" w:rsidRDefault="00124A26" w:rsidP="002D3EBF">
            <w:pPr>
              <w:ind w:firstLine="0"/>
              <w:rPr>
                <w:rFonts w:eastAsia="SimSun"/>
              </w:rPr>
            </w:pPr>
            <w:r w:rsidRPr="00AC3044">
              <w:rPr>
                <w:rFonts w:eastAsia="SimSun"/>
              </w:rPr>
              <w:t>С –1 дня по +90 день, затем постепенное снижение к +180 дню</w:t>
            </w:r>
          </w:p>
        </w:tc>
        <w:tc>
          <w:tcPr>
            <w:tcW w:w="2268" w:type="dxa"/>
            <w:vAlign w:val="center"/>
          </w:tcPr>
          <w:p w14:paraId="0DB3A9C3" w14:textId="77777777" w:rsidR="00124A26" w:rsidRPr="00AC3044" w:rsidRDefault="00124A26"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124A26" w:rsidRPr="00AC3044" w14:paraId="5C59EAEC" w14:textId="77777777" w:rsidTr="002D3EBF">
        <w:trPr>
          <w:cantSplit/>
          <w:trHeight w:val="20"/>
        </w:trPr>
        <w:tc>
          <w:tcPr>
            <w:tcW w:w="993" w:type="dxa"/>
            <w:vMerge/>
            <w:vAlign w:val="center"/>
          </w:tcPr>
          <w:p w14:paraId="317507FA" w14:textId="77777777" w:rsidR="00124A26" w:rsidRPr="00AC3044" w:rsidRDefault="00124A26" w:rsidP="002D3EBF">
            <w:pPr>
              <w:ind w:firstLine="0"/>
              <w:rPr>
                <w:rFonts w:eastAsia="SimSun"/>
              </w:rPr>
            </w:pPr>
          </w:p>
        </w:tc>
        <w:tc>
          <w:tcPr>
            <w:tcW w:w="1843" w:type="dxa"/>
            <w:vMerge w:val="restart"/>
            <w:vAlign w:val="center"/>
          </w:tcPr>
          <w:p w14:paraId="71BFC062" w14:textId="77777777" w:rsidR="00124A26" w:rsidRPr="00AC3044" w:rsidRDefault="00124A26" w:rsidP="002D3EBF">
            <w:pPr>
              <w:ind w:firstLine="0"/>
              <w:rPr>
                <w:rFonts w:eastAsia="SimSun"/>
              </w:rPr>
            </w:pPr>
            <w:r w:rsidRPr="00AC3044">
              <w:rPr>
                <w:rFonts w:eastAsia="SimSun"/>
              </w:rPr>
              <w:t>Метотрексат</w:t>
            </w:r>
          </w:p>
        </w:tc>
        <w:tc>
          <w:tcPr>
            <w:tcW w:w="1417" w:type="dxa"/>
            <w:vAlign w:val="center"/>
          </w:tcPr>
          <w:p w14:paraId="64446324" w14:textId="77777777" w:rsidR="00124A26" w:rsidRPr="00AC3044" w:rsidRDefault="00124A26" w:rsidP="002D3EBF">
            <w:pPr>
              <w:ind w:firstLine="0"/>
              <w:rPr>
                <w:rFonts w:eastAsia="SimSun"/>
              </w:rPr>
            </w:pPr>
            <w:r w:rsidRPr="00AC3044">
              <w:rPr>
                <w:rFonts w:eastAsia="SimSun"/>
              </w:rPr>
              <w:t>15 мг/м</w:t>
            </w:r>
            <w:r w:rsidRPr="001E6DBE">
              <w:rPr>
                <w:rFonts w:eastAsia="SimSun"/>
                <w:vertAlign w:val="superscript"/>
              </w:rPr>
              <w:t>2</w:t>
            </w:r>
          </w:p>
        </w:tc>
        <w:tc>
          <w:tcPr>
            <w:tcW w:w="1559" w:type="dxa"/>
            <w:vAlign w:val="center"/>
          </w:tcPr>
          <w:p w14:paraId="2E9C3984" w14:textId="77777777" w:rsidR="00124A26" w:rsidRPr="00AC3044" w:rsidRDefault="00124A26" w:rsidP="002D3EBF">
            <w:pPr>
              <w:ind w:firstLine="0"/>
              <w:rPr>
                <w:rFonts w:eastAsia="SimSun"/>
              </w:rPr>
            </w:pPr>
            <w:r w:rsidRPr="00AC3044">
              <w:rPr>
                <w:rFonts w:eastAsia="SimSun"/>
              </w:rPr>
              <w:t>–</w:t>
            </w:r>
          </w:p>
        </w:tc>
        <w:tc>
          <w:tcPr>
            <w:tcW w:w="1560" w:type="dxa"/>
            <w:vAlign w:val="center"/>
          </w:tcPr>
          <w:p w14:paraId="3A5743D6" w14:textId="77777777" w:rsidR="00124A26" w:rsidRPr="00AC3044" w:rsidRDefault="00124A26" w:rsidP="002D3EBF">
            <w:pPr>
              <w:ind w:firstLine="0"/>
              <w:rPr>
                <w:rFonts w:eastAsia="SimSun"/>
              </w:rPr>
            </w:pPr>
            <w:r w:rsidRPr="00AC3044">
              <w:rPr>
                <w:rFonts w:eastAsia="SimSun"/>
              </w:rPr>
              <w:t>+1 день</w:t>
            </w:r>
          </w:p>
        </w:tc>
        <w:tc>
          <w:tcPr>
            <w:tcW w:w="2268" w:type="dxa"/>
            <w:vAlign w:val="center"/>
          </w:tcPr>
          <w:p w14:paraId="40D23C23" w14:textId="77777777" w:rsidR="00124A26" w:rsidRPr="00AC3044" w:rsidRDefault="00124A26" w:rsidP="002D3EBF">
            <w:pPr>
              <w:ind w:firstLine="0"/>
              <w:rPr>
                <w:rFonts w:eastAsia="SimSun"/>
              </w:rPr>
            </w:pPr>
            <w:r w:rsidRPr="00AC3044">
              <w:rPr>
                <w:rFonts w:eastAsia="SimSun"/>
              </w:rPr>
              <w:t>В/в, в 20 мл физ. р-ра</w:t>
            </w:r>
          </w:p>
        </w:tc>
      </w:tr>
      <w:tr w:rsidR="00124A26" w:rsidRPr="00AC3044" w14:paraId="0D717597" w14:textId="77777777" w:rsidTr="002D3EBF">
        <w:trPr>
          <w:cantSplit/>
          <w:trHeight w:val="464"/>
        </w:trPr>
        <w:tc>
          <w:tcPr>
            <w:tcW w:w="993" w:type="dxa"/>
            <w:vMerge/>
            <w:vAlign w:val="center"/>
          </w:tcPr>
          <w:p w14:paraId="00964245" w14:textId="77777777" w:rsidR="00124A26" w:rsidRPr="00AC3044" w:rsidRDefault="00124A26" w:rsidP="002D3EBF">
            <w:pPr>
              <w:ind w:firstLine="0"/>
              <w:rPr>
                <w:rFonts w:eastAsia="SimSun"/>
              </w:rPr>
            </w:pPr>
          </w:p>
        </w:tc>
        <w:tc>
          <w:tcPr>
            <w:tcW w:w="1843" w:type="dxa"/>
            <w:vMerge/>
            <w:vAlign w:val="center"/>
          </w:tcPr>
          <w:p w14:paraId="1F78FF13" w14:textId="77777777" w:rsidR="00124A26" w:rsidRPr="00AC3044" w:rsidRDefault="00124A26" w:rsidP="002D3EBF">
            <w:pPr>
              <w:ind w:firstLine="0"/>
              <w:rPr>
                <w:rFonts w:eastAsia="SimSun"/>
              </w:rPr>
            </w:pPr>
          </w:p>
        </w:tc>
        <w:tc>
          <w:tcPr>
            <w:tcW w:w="1417" w:type="dxa"/>
            <w:vAlign w:val="center"/>
          </w:tcPr>
          <w:p w14:paraId="7FDE439B" w14:textId="77777777" w:rsidR="00124A26" w:rsidRPr="00AC3044" w:rsidRDefault="00124A26" w:rsidP="002D3EBF">
            <w:pPr>
              <w:ind w:firstLine="0"/>
              <w:rPr>
                <w:rFonts w:eastAsia="SimSun"/>
              </w:rPr>
            </w:pPr>
            <w:r w:rsidRPr="00AC3044">
              <w:rPr>
                <w:rFonts w:eastAsia="SimSun"/>
              </w:rPr>
              <w:t>10 мг/м</w:t>
            </w:r>
            <w:r w:rsidRPr="001E6DBE">
              <w:rPr>
                <w:rFonts w:eastAsia="SimSun"/>
                <w:vertAlign w:val="superscript"/>
              </w:rPr>
              <w:t>2</w:t>
            </w:r>
          </w:p>
        </w:tc>
        <w:tc>
          <w:tcPr>
            <w:tcW w:w="1559" w:type="dxa"/>
            <w:vAlign w:val="center"/>
          </w:tcPr>
          <w:p w14:paraId="0CD4967F" w14:textId="77777777" w:rsidR="00124A26" w:rsidRPr="00AC3044" w:rsidRDefault="00124A26" w:rsidP="002D3EBF">
            <w:pPr>
              <w:ind w:firstLine="0"/>
              <w:rPr>
                <w:rFonts w:eastAsia="SimSun"/>
              </w:rPr>
            </w:pPr>
            <w:r w:rsidRPr="00AC3044">
              <w:rPr>
                <w:rFonts w:eastAsia="SimSun"/>
              </w:rPr>
              <w:t>–</w:t>
            </w:r>
          </w:p>
        </w:tc>
        <w:tc>
          <w:tcPr>
            <w:tcW w:w="1560" w:type="dxa"/>
            <w:vAlign w:val="center"/>
          </w:tcPr>
          <w:p w14:paraId="529E47B3" w14:textId="77777777" w:rsidR="00124A26" w:rsidRPr="00AC3044" w:rsidRDefault="00124A26" w:rsidP="002D3EBF">
            <w:pPr>
              <w:ind w:firstLine="0"/>
              <w:rPr>
                <w:rFonts w:eastAsia="SimSun"/>
              </w:rPr>
            </w:pPr>
            <w:r w:rsidRPr="00AC3044">
              <w:rPr>
                <w:rFonts w:eastAsia="SimSun"/>
              </w:rPr>
              <w:t>+3, +6, +11 день</w:t>
            </w:r>
          </w:p>
        </w:tc>
        <w:tc>
          <w:tcPr>
            <w:tcW w:w="2268" w:type="dxa"/>
            <w:vAlign w:val="center"/>
          </w:tcPr>
          <w:p w14:paraId="1D317565" w14:textId="77777777" w:rsidR="00124A26" w:rsidRPr="00AC3044" w:rsidRDefault="00124A26" w:rsidP="002D3EBF">
            <w:pPr>
              <w:ind w:firstLine="0"/>
              <w:rPr>
                <w:rFonts w:eastAsia="SimSun"/>
              </w:rPr>
            </w:pPr>
            <w:r w:rsidRPr="00AC3044">
              <w:rPr>
                <w:rFonts w:eastAsia="SimSun"/>
              </w:rPr>
              <w:t xml:space="preserve">В/в, в 20 мл физ. р-ра </w:t>
            </w:r>
          </w:p>
        </w:tc>
      </w:tr>
      <w:tr w:rsidR="00124A26" w:rsidRPr="00AC3044" w14:paraId="717ED7B6" w14:textId="77777777" w:rsidTr="002D3EBF">
        <w:trPr>
          <w:cantSplit/>
          <w:trHeight w:val="464"/>
        </w:trPr>
        <w:tc>
          <w:tcPr>
            <w:tcW w:w="993" w:type="dxa"/>
            <w:vMerge/>
            <w:vAlign w:val="center"/>
          </w:tcPr>
          <w:p w14:paraId="54B8E9C9" w14:textId="77777777" w:rsidR="00124A26" w:rsidRPr="00AC3044" w:rsidRDefault="00124A26" w:rsidP="002D3EBF">
            <w:pPr>
              <w:ind w:firstLine="0"/>
              <w:rPr>
                <w:rFonts w:eastAsia="SimSun"/>
              </w:rPr>
            </w:pPr>
          </w:p>
        </w:tc>
        <w:tc>
          <w:tcPr>
            <w:tcW w:w="1843" w:type="dxa"/>
            <w:vMerge w:val="restart"/>
            <w:vAlign w:val="center"/>
          </w:tcPr>
          <w:p w14:paraId="54EDAC3E" w14:textId="77777777" w:rsidR="00124A26" w:rsidRPr="00AC3044" w:rsidRDefault="00124A26" w:rsidP="002D3EBF">
            <w:pPr>
              <w:ind w:firstLine="0"/>
              <w:rPr>
                <w:rFonts w:eastAsia="SimSun"/>
              </w:rPr>
            </w:pPr>
            <w:r w:rsidRPr="00AC3044">
              <w:rPr>
                <w:rFonts w:eastAsia="SimSun"/>
              </w:rPr>
              <w:t>Микофенолата мофетил (только при использовании СКК)</w:t>
            </w:r>
          </w:p>
        </w:tc>
        <w:tc>
          <w:tcPr>
            <w:tcW w:w="1417" w:type="dxa"/>
            <w:vAlign w:val="center"/>
          </w:tcPr>
          <w:p w14:paraId="3CF5B9C3" w14:textId="77777777" w:rsidR="00124A26" w:rsidRPr="00AC3044" w:rsidRDefault="00124A26" w:rsidP="002D3EBF">
            <w:pPr>
              <w:ind w:firstLine="0"/>
              <w:rPr>
                <w:rFonts w:eastAsia="SimSun"/>
              </w:rPr>
            </w:pPr>
            <w:r w:rsidRPr="00AC3044">
              <w:rPr>
                <w:rFonts w:eastAsia="SimSun"/>
              </w:rPr>
              <w:t>2000 мг</w:t>
            </w:r>
          </w:p>
        </w:tc>
        <w:tc>
          <w:tcPr>
            <w:tcW w:w="1559" w:type="dxa"/>
            <w:vAlign w:val="center"/>
          </w:tcPr>
          <w:p w14:paraId="39E4559E" w14:textId="77777777" w:rsidR="00124A26" w:rsidRPr="00AC3044" w:rsidRDefault="00124A26" w:rsidP="002D3EBF">
            <w:pPr>
              <w:ind w:firstLine="0"/>
              <w:rPr>
                <w:rFonts w:eastAsia="SimSun"/>
              </w:rPr>
            </w:pPr>
            <w:r w:rsidRPr="00AC3044">
              <w:rPr>
                <w:rFonts w:eastAsia="SimSun"/>
              </w:rPr>
              <w:t>–</w:t>
            </w:r>
          </w:p>
        </w:tc>
        <w:tc>
          <w:tcPr>
            <w:tcW w:w="1560" w:type="dxa"/>
            <w:vAlign w:val="center"/>
          </w:tcPr>
          <w:p w14:paraId="07B557D5" w14:textId="77777777" w:rsidR="00124A26" w:rsidRPr="00AC3044" w:rsidRDefault="00124A26" w:rsidP="002D3EBF">
            <w:pPr>
              <w:ind w:firstLine="0"/>
              <w:rPr>
                <w:rFonts w:eastAsia="SimSun"/>
              </w:rPr>
            </w:pPr>
            <w:r w:rsidRPr="00AC3044">
              <w:rPr>
                <w:rFonts w:eastAsia="SimSun"/>
              </w:rPr>
              <w:t>С +1 по +14 день</w:t>
            </w:r>
          </w:p>
        </w:tc>
        <w:tc>
          <w:tcPr>
            <w:tcW w:w="2268" w:type="dxa"/>
            <w:vAlign w:val="center"/>
          </w:tcPr>
          <w:p w14:paraId="52F73A27"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2-4 приема.</w:t>
            </w:r>
          </w:p>
        </w:tc>
      </w:tr>
      <w:tr w:rsidR="00124A26" w:rsidRPr="00AC3044" w14:paraId="0053C942" w14:textId="77777777" w:rsidTr="002D3EBF">
        <w:trPr>
          <w:cantSplit/>
          <w:trHeight w:val="464"/>
        </w:trPr>
        <w:tc>
          <w:tcPr>
            <w:tcW w:w="993" w:type="dxa"/>
            <w:vMerge/>
            <w:vAlign w:val="center"/>
          </w:tcPr>
          <w:p w14:paraId="2A265063" w14:textId="77777777" w:rsidR="00124A26" w:rsidRPr="00AC3044" w:rsidRDefault="00124A26" w:rsidP="002D3EBF">
            <w:pPr>
              <w:ind w:firstLine="0"/>
              <w:rPr>
                <w:rFonts w:eastAsia="SimSun"/>
              </w:rPr>
            </w:pPr>
          </w:p>
        </w:tc>
        <w:tc>
          <w:tcPr>
            <w:tcW w:w="1843" w:type="dxa"/>
            <w:vMerge/>
            <w:vAlign w:val="center"/>
          </w:tcPr>
          <w:p w14:paraId="1AE6B5C4" w14:textId="77777777" w:rsidR="00124A26" w:rsidRPr="00AC3044" w:rsidRDefault="00124A26" w:rsidP="002D3EBF">
            <w:pPr>
              <w:ind w:firstLine="0"/>
              <w:rPr>
                <w:rFonts w:eastAsia="SimSun"/>
              </w:rPr>
            </w:pPr>
          </w:p>
        </w:tc>
        <w:tc>
          <w:tcPr>
            <w:tcW w:w="1417" w:type="dxa"/>
            <w:vAlign w:val="center"/>
          </w:tcPr>
          <w:p w14:paraId="1FD7E4D7" w14:textId="77777777" w:rsidR="00124A26" w:rsidRPr="00AC3044" w:rsidRDefault="00124A26" w:rsidP="002D3EBF">
            <w:pPr>
              <w:ind w:firstLine="0"/>
              <w:rPr>
                <w:rFonts w:eastAsia="SimSun"/>
              </w:rPr>
            </w:pPr>
            <w:r w:rsidRPr="00AC3044">
              <w:rPr>
                <w:rFonts w:eastAsia="SimSun"/>
              </w:rPr>
              <w:t>1000 мг</w:t>
            </w:r>
          </w:p>
        </w:tc>
        <w:tc>
          <w:tcPr>
            <w:tcW w:w="1559" w:type="dxa"/>
            <w:vAlign w:val="center"/>
          </w:tcPr>
          <w:p w14:paraId="3872CE45" w14:textId="77777777" w:rsidR="00124A26" w:rsidRPr="00AC3044" w:rsidRDefault="00124A26" w:rsidP="002D3EBF">
            <w:pPr>
              <w:ind w:firstLine="0"/>
              <w:rPr>
                <w:rFonts w:eastAsia="SimSun"/>
              </w:rPr>
            </w:pPr>
            <w:r w:rsidRPr="00AC3044">
              <w:rPr>
                <w:rFonts w:eastAsia="SimSun"/>
              </w:rPr>
              <w:t>–</w:t>
            </w:r>
          </w:p>
        </w:tc>
        <w:tc>
          <w:tcPr>
            <w:tcW w:w="1560" w:type="dxa"/>
            <w:vAlign w:val="center"/>
          </w:tcPr>
          <w:p w14:paraId="275FEF74" w14:textId="77777777" w:rsidR="00124A26" w:rsidRPr="00AC3044" w:rsidRDefault="00124A26" w:rsidP="002D3EBF">
            <w:pPr>
              <w:ind w:firstLine="0"/>
              <w:rPr>
                <w:rFonts w:eastAsia="SimSun"/>
              </w:rPr>
            </w:pPr>
            <w:r w:rsidRPr="00AC3044">
              <w:rPr>
                <w:rFonts w:eastAsia="SimSun"/>
              </w:rPr>
              <w:t>С +15 по +90 день</w:t>
            </w:r>
          </w:p>
        </w:tc>
        <w:tc>
          <w:tcPr>
            <w:tcW w:w="2268" w:type="dxa"/>
            <w:vAlign w:val="center"/>
          </w:tcPr>
          <w:p w14:paraId="26720C6F"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2-4 приема.</w:t>
            </w:r>
          </w:p>
        </w:tc>
      </w:tr>
    </w:tbl>
    <w:p w14:paraId="295C8EAB" w14:textId="77777777" w:rsidR="00124A26" w:rsidRDefault="00124A26" w:rsidP="00124A26">
      <w:pPr>
        <w:rPr>
          <w:rFonts w:eastAsia="SimSun"/>
        </w:rPr>
      </w:pPr>
      <w:bookmarkStart w:id="208" w:name="_Toc44401165"/>
    </w:p>
    <w:p w14:paraId="5ED9F79C" w14:textId="77777777" w:rsidR="00124A26" w:rsidRPr="00C07B2E" w:rsidRDefault="00124A26" w:rsidP="00124A26">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1.2.7  – Flu180+Bu8 / PT-Cy+CSA+MMF30</w:t>
      </w:r>
      <w:bookmarkEnd w:id="208"/>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124A26" w:rsidRPr="00AC3044" w14:paraId="46FE5327" w14:textId="77777777" w:rsidTr="002D3EBF">
        <w:trPr>
          <w:cantSplit/>
          <w:trHeight w:val="20"/>
          <w:tblHeader/>
        </w:trPr>
        <w:tc>
          <w:tcPr>
            <w:tcW w:w="993" w:type="dxa"/>
          </w:tcPr>
          <w:p w14:paraId="6AFCFA74" w14:textId="77777777" w:rsidR="00124A26" w:rsidRPr="00470D3D" w:rsidRDefault="00124A26" w:rsidP="002D3EBF">
            <w:pPr>
              <w:ind w:firstLine="0"/>
              <w:rPr>
                <w:rFonts w:eastAsia="SimSun"/>
              </w:rPr>
            </w:pPr>
          </w:p>
          <w:p w14:paraId="06212BBB" w14:textId="77777777" w:rsidR="00124A26" w:rsidRPr="00470D3D" w:rsidRDefault="00124A26" w:rsidP="002D3EBF">
            <w:pPr>
              <w:ind w:firstLine="0"/>
              <w:rPr>
                <w:rFonts w:eastAsia="SimSun"/>
              </w:rPr>
            </w:pPr>
          </w:p>
        </w:tc>
        <w:tc>
          <w:tcPr>
            <w:tcW w:w="1843" w:type="dxa"/>
            <w:vAlign w:val="center"/>
          </w:tcPr>
          <w:p w14:paraId="41975483" w14:textId="77777777" w:rsidR="00124A26" w:rsidRPr="00AC3044" w:rsidRDefault="00124A26" w:rsidP="002D3EBF">
            <w:pPr>
              <w:ind w:firstLine="0"/>
              <w:rPr>
                <w:rFonts w:eastAsia="SimSun"/>
              </w:rPr>
            </w:pPr>
            <w:r w:rsidRPr="00AC3044">
              <w:rPr>
                <w:rFonts w:eastAsia="SimSun"/>
              </w:rPr>
              <w:t>Препарат</w:t>
            </w:r>
          </w:p>
        </w:tc>
        <w:tc>
          <w:tcPr>
            <w:tcW w:w="1417" w:type="dxa"/>
            <w:vAlign w:val="center"/>
          </w:tcPr>
          <w:p w14:paraId="65920C8A" w14:textId="77777777" w:rsidR="00124A26" w:rsidRPr="00AC3044" w:rsidRDefault="00124A26" w:rsidP="002D3EBF">
            <w:pPr>
              <w:ind w:firstLine="0"/>
              <w:rPr>
                <w:rFonts w:eastAsia="SimSun"/>
              </w:rPr>
            </w:pPr>
            <w:r w:rsidRPr="00AC3044">
              <w:rPr>
                <w:rFonts w:eastAsia="SimSun"/>
              </w:rPr>
              <w:t>Суточная доза</w:t>
            </w:r>
          </w:p>
        </w:tc>
        <w:tc>
          <w:tcPr>
            <w:tcW w:w="1559" w:type="dxa"/>
            <w:vAlign w:val="center"/>
          </w:tcPr>
          <w:p w14:paraId="2EF7FA01" w14:textId="77777777" w:rsidR="00124A26" w:rsidRPr="00AC3044" w:rsidRDefault="00124A26" w:rsidP="002D3EBF">
            <w:pPr>
              <w:ind w:firstLine="0"/>
              <w:rPr>
                <w:rFonts w:eastAsia="SimSun"/>
              </w:rPr>
            </w:pPr>
            <w:r w:rsidRPr="00AC3044">
              <w:rPr>
                <w:rFonts w:eastAsia="SimSun"/>
              </w:rPr>
              <w:t>Курсовая доза</w:t>
            </w:r>
          </w:p>
        </w:tc>
        <w:tc>
          <w:tcPr>
            <w:tcW w:w="1560" w:type="dxa"/>
            <w:vAlign w:val="center"/>
          </w:tcPr>
          <w:p w14:paraId="7A3EB31B" w14:textId="77777777" w:rsidR="00124A26" w:rsidRPr="00AC3044" w:rsidRDefault="00124A26" w:rsidP="002D3EBF">
            <w:pPr>
              <w:ind w:firstLine="0"/>
              <w:rPr>
                <w:rFonts w:eastAsia="SimSun"/>
              </w:rPr>
            </w:pPr>
            <w:r w:rsidRPr="00AC3044">
              <w:rPr>
                <w:rFonts w:eastAsia="SimSun"/>
              </w:rPr>
              <w:t>Дни введения</w:t>
            </w:r>
          </w:p>
        </w:tc>
        <w:tc>
          <w:tcPr>
            <w:tcW w:w="2268" w:type="dxa"/>
            <w:vAlign w:val="center"/>
          </w:tcPr>
          <w:p w14:paraId="5269FC3B"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18950BB2" w14:textId="77777777" w:rsidTr="002D3EBF">
        <w:trPr>
          <w:cantSplit/>
          <w:trHeight w:val="20"/>
        </w:trPr>
        <w:tc>
          <w:tcPr>
            <w:tcW w:w="993" w:type="dxa"/>
            <w:vMerge w:val="restart"/>
            <w:textDirection w:val="btLr"/>
            <w:vAlign w:val="center"/>
          </w:tcPr>
          <w:p w14:paraId="25C8D257" w14:textId="77777777" w:rsidR="00124A26" w:rsidRPr="00AC3044" w:rsidRDefault="00124A26" w:rsidP="002D3EBF">
            <w:pPr>
              <w:ind w:firstLine="0"/>
              <w:rPr>
                <w:rFonts w:eastAsia="SimSun"/>
              </w:rPr>
            </w:pPr>
            <w:r w:rsidRPr="00AC3044">
              <w:rPr>
                <w:rFonts w:eastAsia="SimSun"/>
              </w:rPr>
              <w:t>Кондиционирование</w:t>
            </w:r>
          </w:p>
        </w:tc>
        <w:tc>
          <w:tcPr>
            <w:tcW w:w="1843" w:type="dxa"/>
            <w:vAlign w:val="center"/>
          </w:tcPr>
          <w:p w14:paraId="243A1EE9" w14:textId="77777777" w:rsidR="00124A26" w:rsidRPr="00AC3044" w:rsidRDefault="00124A26" w:rsidP="002D3EBF">
            <w:pPr>
              <w:ind w:firstLine="0"/>
              <w:rPr>
                <w:rFonts w:eastAsia="SimSun"/>
              </w:rPr>
            </w:pPr>
            <w:r w:rsidRPr="00AC3044">
              <w:rPr>
                <w:rFonts w:eastAsia="SimSun"/>
              </w:rPr>
              <w:t xml:space="preserve">Флударабин </w:t>
            </w:r>
          </w:p>
        </w:tc>
        <w:tc>
          <w:tcPr>
            <w:tcW w:w="1417" w:type="dxa"/>
            <w:vAlign w:val="center"/>
          </w:tcPr>
          <w:p w14:paraId="64C0992C" w14:textId="77777777" w:rsidR="00124A26" w:rsidRPr="00AC3044" w:rsidRDefault="00124A26" w:rsidP="002D3EBF">
            <w:pPr>
              <w:ind w:firstLine="0"/>
              <w:rPr>
                <w:rFonts w:eastAsia="SimSun"/>
              </w:rPr>
            </w:pPr>
            <w:r w:rsidRPr="00AC3044">
              <w:rPr>
                <w:rFonts w:eastAsia="SimSun"/>
              </w:rPr>
              <w:t>30 мг/м</w:t>
            </w:r>
            <w:r w:rsidRPr="001E6DBE">
              <w:rPr>
                <w:rFonts w:eastAsia="SimSun"/>
                <w:vertAlign w:val="superscript"/>
              </w:rPr>
              <w:t>2</w:t>
            </w:r>
          </w:p>
        </w:tc>
        <w:tc>
          <w:tcPr>
            <w:tcW w:w="1559" w:type="dxa"/>
            <w:vAlign w:val="center"/>
          </w:tcPr>
          <w:p w14:paraId="4BC12698" w14:textId="77777777" w:rsidR="00124A26" w:rsidRPr="00AC3044" w:rsidRDefault="00124A26" w:rsidP="002D3EBF">
            <w:pPr>
              <w:ind w:firstLine="0"/>
              <w:rPr>
                <w:rFonts w:eastAsia="SimSun"/>
              </w:rPr>
            </w:pPr>
            <w:r w:rsidRPr="00AC3044">
              <w:rPr>
                <w:rFonts w:eastAsia="SimSun"/>
              </w:rPr>
              <w:t>150 мг/м</w:t>
            </w:r>
            <w:r w:rsidRPr="001E6DBE">
              <w:rPr>
                <w:rFonts w:eastAsia="SimSun"/>
                <w:vertAlign w:val="superscript"/>
              </w:rPr>
              <w:t>2</w:t>
            </w:r>
          </w:p>
        </w:tc>
        <w:tc>
          <w:tcPr>
            <w:tcW w:w="1560" w:type="dxa"/>
            <w:vAlign w:val="center"/>
          </w:tcPr>
          <w:p w14:paraId="4BF2677D" w14:textId="77777777" w:rsidR="00124A26" w:rsidRPr="00AC3044" w:rsidRDefault="00124A26" w:rsidP="002D3EBF">
            <w:pPr>
              <w:ind w:firstLine="0"/>
              <w:rPr>
                <w:rFonts w:eastAsia="SimSun"/>
              </w:rPr>
            </w:pPr>
            <w:r w:rsidRPr="00AC3044">
              <w:rPr>
                <w:rFonts w:eastAsia="SimSun"/>
              </w:rPr>
              <w:t>С –6 по –2 день</w:t>
            </w:r>
          </w:p>
        </w:tc>
        <w:tc>
          <w:tcPr>
            <w:tcW w:w="2268" w:type="dxa"/>
            <w:vAlign w:val="center"/>
          </w:tcPr>
          <w:p w14:paraId="2D79112F"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779CCAFB" w14:textId="77777777" w:rsidTr="002D3EBF">
        <w:trPr>
          <w:cantSplit/>
          <w:trHeight w:val="1337"/>
        </w:trPr>
        <w:tc>
          <w:tcPr>
            <w:tcW w:w="993" w:type="dxa"/>
            <w:vMerge/>
            <w:textDirection w:val="btLr"/>
            <w:vAlign w:val="center"/>
          </w:tcPr>
          <w:p w14:paraId="28EE7A6A" w14:textId="77777777" w:rsidR="00124A26" w:rsidRPr="00AC3044" w:rsidRDefault="00124A26" w:rsidP="002D3EBF">
            <w:pPr>
              <w:ind w:firstLine="0"/>
              <w:rPr>
                <w:rFonts w:eastAsia="SimSun"/>
              </w:rPr>
            </w:pPr>
          </w:p>
        </w:tc>
        <w:tc>
          <w:tcPr>
            <w:tcW w:w="1843" w:type="dxa"/>
            <w:vAlign w:val="center"/>
          </w:tcPr>
          <w:p w14:paraId="5FDB0AAC" w14:textId="77777777" w:rsidR="00124A26" w:rsidRPr="00AC3044" w:rsidRDefault="00124A26" w:rsidP="002D3EBF">
            <w:pPr>
              <w:ind w:firstLine="0"/>
              <w:rPr>
                <w:rFonts w:eastAsia="SimSun"/>
              </w:rPr>
            </w:pPr>
            <w:r w:rsidRPr="00AC3044">
              <w:rPr>
                <w:rFonts w:eastAsia="SimSun"/>
              </w:rPr>
              <w:t>Бусульфан</w:t>
            </w:r>
          </w:p>
        </w:tc>
        <w:tc>
          <w:tcPr>
            <w:tcW w:w="1417" w:type="dxa"/>
            <w:vAlign w:val="center"/>
          </w:tcPr>
          <w:p w14:paraId="71356457" w14:textId="77777777" w:rsidR="00124A26" w:rsidRPr="00AC3044" w:rsidRDefault="00124A26" w:rsidP="002D3EBF">
            <w:pPr>
              <w:ind w:firstLine="0"/>
              <w:rPr>
                <w:rFonts w:eastAsia="SimSun"/>
              </w:rPr>
            </w:pPr>
            <w:r w:rsidRPr="00AC3044">
              <w:rPr>
                <w:rFonts w:eastAsia="SimSun"/>
              </w:rPr>
              <w:t>4 мг/кг</w:t>
            </w:r>
          </w:p>
        </w:tc>
        <w:tc>
          <w:tcPr>
            <w:tcW w:w="1559" w:type="dxa"/>
            <w:vAlign w:val="center"/>
          </w:tcPr>
          <w:p w14:paraId="2857411D" w14:textId="77777777" w:rsidR="00124A26" w:rsidRPr="00AC3044" w:rsidRDefault="00124A26" w:rsidP="002D3EBF">
            <w:pPr>
              <w:ind w:firstLine="0"/>
              <w:rPr>
                <w:rFonts w:eastAsia="SimSun"/>
              </w:rPr>
            </w:pPr>
            <w:r w:rsidRPr="00AC3044">
              <w:rPr>
                <w:rFonts w:eastAsia="SimSun"/>
              </w:rPr>
              <w:t>8 мг/кг</w:t>
            </w:r>
          </w:p>
        </w:tc>
        <w:tc>
          <w:tcPr>
            <w:tcW w:w="1560" w:type="dxa"/>
            <w:vAlign w:val="center"/>
          </w:tcPr>
          <w:p w14:paraId="3669B167" w14:textId="77777777" w:rsidR="00124A26" w:rsidRPr="00AC3044" w:rsidRDefault="00124A26" w:rsidP="002D3EBF">
            <w:pPr>
              <w:ind w:firstLine="0"/>
              <w:rPr>
                <w:rFonts w:eastAsia="SimSun"/>
              </w:rPr>
            </w:pPr>
            <w:r w:rsidRPr="00AC3044">
              <w:rPr>
                <w:rFonts w:eastAsia="SimSun"/>
              </w:rPr>
              <w:t>–5, –4 дни</w:t>
            </w:r>
          </w:p>
        </w:tc>
        <w:tc>
          <w:tcPr>
            <w:tcW w:w="2268" w:type="dxa"/>
            <w:vAlign w:val="center"/>
          </w:tcPr>
          <w:p w14:paraId="0FC79B48"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124A26" w:rsidRPr="00AC3044" w14:paraId="5C9A1863" w14:textId="77777777" w:rsidTr="002D3EBF">
        <w:trPr>
          <w:cantSplit/>
          <w:trHeight w:val="20"/>
        </w:trPr>
        <w:tc>
          <w:tcPr>
            <w:tcW w:w="993" w:type="dxa"/>
            <w:vMerge w:val="restart"/>
            <w:textDirection w:val="btLr"/>
            <w:vAlign w:val="center"/>
          </w:tcPr>
          <w:p w14:paraId="5523F75E" w14:textId="77777777" w:rsidR="00124A26" w:rsidRPr="00AC3044" w:rsidRDefault="00124A26" w:rsidP="002D3EBF">
            <w:pPr>
              <w:ind w:firstLine="0"/>
              <w:rPr>
                <w:rFonts w:eastAsia="SimSun"/>
              </w:rPr>
            </w:pPr>
            <w:r w:rsidRPr="00AC3044">
              <w:rPr>
                <w:rFonts w:eastAsia="SimSun"/>
              </w:rPr>
              <w:t>Профилактика РТПХ</w:t>
            </w:r>
          </w:p>
        </w:tc>
        <w:tc>
          <w:tcPr>
            <w:tcW w:w="1843" w:type="dxa"/>
            <w:vAlign w:val="center"/>
          </w:tcPr>
          <w:p w14:paraId="5FD5B879" w14:textId="77777777" w:rsidR="00124A26" w:rsidRPr="00AC3044" w:rsidRDefault="00124A26" w:rsidP="002D3EBF">
            <w:pPr>
              <w:ind w:firstLine="0"/>
              <w:rPr>
                <w:rFonts w:eastAsia="SimSun"/>
              </w:rPr>
            </w:pPr>
            <w:r w:rsidRPr="00AC3044">
              <w:rPr>
                <w:rFonts w:eastAsia="SimSun"/>
              </w:rPr>
              <w:t>Циклофосфамид</w:t>
            </w:r>
          </w:p>
        </w:tc>
        <w:tc>
          <w:tcPr>
            <w:tcW w:w="1417" w:type="dxa"/>
            <w:vAlign w:val="center"/>
          </w:tcPr>
          <w:p w14:paraId="2512E64E" w14:textId="77777777" w:rsidR="00124A26" w:rsidRPr="00AC3044" w:rsidRDefault="00124A26" w:rsidP="002D3EBF">
            <w:pPr>
              <w:ind w:firstLine="0"/>
              <w:rPr>
                <w:rFonts w:eastAsia="SimSun"/>
              </w:rPr>
            </w:pPr>
            <w:r w:rsidRPr="00AC3044">
              <w:rPr>
                <w:rFonts w:eastAsia="SimSun"/>
              </w:rPr>
              <w:t>50 мг/кг</w:t>
            </w:r>
          </w:p>
        </w:tc>
        <w:tc>
          <w:tcPr>
            <w:tcW w:w="1559" w:type="dxa"/>
            <w:vAlign w:val="center"/>
          </w:tcPr>
          <w:p w14:paraId="611A0AD6" w14:textId="77777777" w:rsidR="00124A26" w:rsidRPr="00AC3044" w:rsidRDefault="00124A26" w:rsidP="002D3EBF">
            <w:pPr>
              <w:ind w:firstLine="0"/>
              <w:rPr>
                <w:rFonts w:eastAsia="SimSun"/>
              </w:rPr>
            </w:pPr>
            <w:r w:rsidRPr="00AC3044">
              <w:rPr>
                <w:rFonts w:eastAsia="SimSun"/>
              </w:rPr>
              <w:t>100 мг/кг</w:t>
            </w:r>
          </w:p>
        </w:tc>
        <w:tc>
          <w:tcPr>
            <w:tcW w:w="1560" w:type="dxa"/>
            <w:vAlign w:val="center"/>
          </w:tcPr>
          <w:p w14:paraId="3F1E9F0A" w14:textId="77777777" w:rsidR="00124A26" w:rsidRPr="00AC3044" w:rsidRDefault="00124A26" w:rsidP="002D3EBF">
            <w:pPr>
              <w:ind w:firstLine="0"/>
              <w:rPr>
                <w:rFonts w:eastAsia="SimSun"/>
              </w:rPr>
            </w:pPr>
            <w:r w:rsidRPr="00AC3044">
              <w:rPr>
                <w:rFonts w:eastAsia="SimSun"/>
              </w:rPr>
              <w:t xml:space="preserve">+3,+4 дни </w:t>
            </w:r>
          </w:p>
        </w:tc>
        <w:tc>
          <w:tcPr>
            <w:tcW w:w="2268" w:type="dxa"/>
            <w:vAlign w:val="center"/>
          </w:tcPr>
          <w:p w14:paraId="14C820AC" w14:textId="77777777" w:rsidR="00124A26" w:rsidRPr="00AC3044" w:rsidRDefault="00124A26" w:rsidP="002D3EBF">
            <w:pPr>
              <w:ind w:firstLine="0"/>
              <w:rPr>
                <w:rFonts w:eastAsia="SimSun"/>
              </w:rPr>
            </w:pPr>
            <w:r w:rsidRPr="00AC3044">
              <w:rPr>
                <w:rFonts w:eastAsia="SimSun"/>
              </w:rPr>
              <w:t xml:space="preserve">В/в, в течение 2 ч  </w:t>
            </w:r>
          </w:p>
        </w:tc>
      </w:tr>
      <w:tr w:rsidR="00124A26" w:rsidRPr="00AC3044" w14:paraId="3CA01938" w14:textId="77777777" w:rsidTr="002D3EBF">
        <w:trPr>
          <w:cantSplit/>
          <w:trHeight w:val="20"/>
        </w:trPr>
        <w:tc>
          <w:tcPr>
            <w:tcW w:w="993" w:type="dxa"/>
            <w:vMerge/>
            <w:textDirection w:val="btLr"/>
          </w:tcPr>
          <w:p w14:paraId="1EA666C2" w14:textId="77777777" w:rsidR="00124A26" w:rsidRPr="00AC3044" w:rsidRDefault="00124A26" w:rsidP="002D3EBF">
            <w:pPr>
              <w:ind w:firstLine="0"/>
              <w:rPr>
                <w:rFonts w:eastAsia="SimSun"/>
              </w:rPr>
            </w:pPr>
          </w:p>
        </w:tc>
        <w:tc>
          <w:tcPr>
            <w:tcW w:w="1843" w:type="dxa"/>
            <w:vAlign w:val="center"/>
          </w:tcPr>
          <w:p w14:paraId="70C0DD51" w14:textId="77777777" w:rsidR="00124A26" w:rsidRPr="00AC3044" w:rsidRDefault="00124A26" w:rsidP="002D3EBF">
            <w:pPr>
              <w:ind w:firstLine="0"/>
              <w:rPr>
                <w:rFonts w:eastAsia="SimSun"/>
              </w:rPr>
            </w:pPr>
            <w:r w:rsidRPr="00AC3044">
              <w:rPr>
                <w:rFonts w:eastAsia="SimSun"/>
              </w:rPr>
              <w:t>Циклоспорин</w:t>
            </w:r>
          </w:p>
        </w:tc>
        <w:tc>
          <w:tcPr>
            <w:tcW w:w="1417" w:type="dxa"/>
            <w:vAlign w:val="center"/>
          </w:tcPr>
          <w:p w14:paraId="31F75926" w14:textId="77777777" w:rsidR="00124A26" w:rsidRPr="00AC3044" w:rsidRDefault="00124A26" w:rsidP="002D3EBF">
            <w:pPr>
              <w:ind w:firstLine="0"/>
              <w:rPr>
                <w:rFonts w:eastAsia="SimSun"/>
              </w:rPr>
            </w:pPr>
            <w:r w:rsidRPr="00AC3044">
              <w:rPr>
                <w:rFonts w:eastAsia="SimSun"/>
              </w:rPr>
              <w:t>3 мг/кг</w:t>
            </w:r>
          </w:p>
        </w:tc>
        <w:tc>
          <w:tcPr>
            <w:tcW w:w="1559" w:type="dxa"/>
            <w:vAlign w:val="center"/>
          </w:tcPr>
          <w:p w14:paraId="7923CFDB" w14:textId="77777777" w:rsidR="00124A26" w:rsidRPr="00AC3044" w:rsidRDefault="00124A26" w:rsidP="002D3EBF">
            <w:pPr>
              <w:ind w:firstLine="0"/>
              <w:rPr>
                <w:rFonts w:eastAsia="SimSun"/>
              </w:rPr>
            </w:pPr>
            <w:r w:rsidRPr="00AC3044">
              <w:rPr>
                <w:rFonts w:eastAsia="SimSun"/>
              </w:rPr>
              <w:t>–</w:t>
            </w:r>
          </w:p>
        </w:tc>
        <w:tc>
          <w:tcPr>
            <w:tcW w:w="1560" w:type="dxa"/>
            <w:vAlign w:val="center"/>
          </w:tcPr>
          <w:p w14:paraId="6DEA0894" w14:textId="77777777" w:rsidR="00124A26" w:rsidRPr="00AC3044" w:rsidRDefault="00124A26" w:rsidP="002D3EBF">
            <w:pPr>
              <w:ind w:firstLine="0"/>
              <w:rPr>
                <w:rFonts w:eastAsia="SimSun"/>
              </w:rPr>
            </w:pPr>
            <w:r w:rsidRPr="00AC3044">
              <w:rPr>
                <w:rFonts w:eastAsia="SimSun"/>
              </w:rPr>
              <w:t>С +5 по +60 день, затем постепенное снижение к +100 дню</w:t>
            </w:r>
          </w:p>
        </w:tc>
        <w:tc>
          <w:tcPr>
            <w:tcW w:w="2268" w:type="dxa"/>
            <w:vAlign w:val="center"/>
          </w:tcPr>
          <w:p w14:paraId="46581811" w14:textId="77777777" w:rsidR="00124A26" w:rsidRPr="00AC3044" w:rsidRDefault="00124A26"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124A26" w:rsidRPr="00AC3044" w14:paraId="1E6AA4A8" w14:textId="77777777" w:rsidTr="002D3EBF">
        <w:trPr>
          <w:cantSplit/>
          <w:trHeight w:val="464"/>
        </w:trPr>
        <w:tc>
          <w:tcPr>
            <w:tcW w:w="993" w:type="dxa"/>
            <w:vMerge/>
          </w:tcPr>
          <w:p w14:paraId="64F45966" w14:textId="77777777" w:rsidR="00124A26" w:rsidRPr="00AC3044" w:rsidRDefault="00124A26" w:rsidP="002D3EBF">
            <w:pPr>
              <w:ind w:firstLine="0"/>
              <w:rPr>
                <w:rFonts w:eastAsia="SimSun"/>
              </w:rPr>
            </w:pPr>
          </w:p>
        </w:tc>
        <w:tc>
          <w:tcPr>
            <w:tcW w:w="1843" w:type="dxa"/>
            <w:vAlign w:val="center"/>
          </w:tcPr>
          <w:p w14:paraId="0D169904" w14:textId="77777777" w:rsidR="00124A26" w:rsidRPr="00AC3044" w:rsidRDefault="00124A26" w:rsidP="002D3EBF">
            <w:pPr>
              <w:ind w:firstLine="0"/>
              <w:rPr>
                <w:rFonts w:eastAsia="SimSun"/>
              </w:rPr>
            </w:pPr>
            <w:r w:rsidRPr="00AC3044">
              <w:rPr>
                <w:rFonts w:eastAsia="SimSun"/>
              </w:rPr>
              <w:t>Микофенолата мофетил</w:t>
            </w:r>
          </w:p>
        </w:tc>
        <w:tc>
          <w:tcPr>
            <w:tcW w:w="1417" w:type="dxa"/>
            <w:vAlign w:val="center"/>
          </w:tcPr>
          <w:p w14:paraId="36F8E4B4" w14:textId="77777777" w:rsidR="00124A26" w:rsidRPr="00AC3044" w:rsidRDefault="00124A26" w:rsidP="002D3EBF">
            <w:pPr>
              <w:ind w:firstLine="0"/>
              <w:rPr>
                <w:rFonts w:eastAsia="SimSun"/>
              </w:rPr>
            </w:pPr>
            <w:r w:rsidRPr="00AC3044">
              <w:rPr>
                <w:rFonts w:eastAsia="SimSun"/>
              </w:rPr>
              <w:t>30 мг/кг</w:t>
            </w:r>
          </w:p>
        </w:tc>
        <w:tc>
          <w:tcPr>
            <w:tcW w:w="1559" w:type="dxa"/>
            <w:vAlign w:val="center"/>
          </w:tcPr>
          <w:p w14:paraId="056A945A" w14:textId="77777777" w:rsidR="00124A26" w:rsidRPr="00AC3044" w:rsidRDefault="00124A26" w:rsidP="002D3EBF">
            <w:pPr>
              <w:ind w:firstLine="0"/>
              <w:rPr>
                <w:rFonts w:eastAsia="SimSun"/>
              </w:rPr>
            </w:pPr>
            <w:r w:rsidRPr="00AC3044">
              <w:rPr>
                <w:rFonts w:eastAsia="SimSun"/>
              </w:rPr>
              <w:t>–</w:t>
            </w:r>
          </w:p>
        </w:tc>
        <w:tc>
          <w:tcPr>
            <w:tcW w:w="1560" w:type="dxa"/>
            <w:vAlign w:val="center"/>
          </w:tcPr>
          <w:p w14:paraId="64C9F4B2" w14:textId="77777777" w:rsidR="00124A26" w:rsidRPr="00AC3044" w:rsidRDefault="00124A26" w:rsidP="002D3EBF">
            <w:pPr>
              <w:ind w:firstLine="0"/>
              <w:rPr>
                <w:rFonts w:eastAsia="SimSun"/>
              </w:rPr>
            </w:pPr>
            <w:r w:rsidRPr="00AC3044">
              <w:rPr>
                <w:rFonts w:eastAsia="SimSun"/>
              </w:rPr>
              <w:t>С +5 по +30 день</w:t>
            </w:r>
          </w:p>
        </w:tc>
        <w:tc>
          <w:tcPr>
            <w:tcW w:w="2268" w:type="dxa"/>
            <w:vAlign w:val="center"/>
          </w:tcPr>
          <w:p w14:paraId="32BD2CC1"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2- 4 приема.</w:t>
            </w:r>
          </w:p>
        </w:tc>
      </w:tr>
    </w:tbl>
    <w:p w14:paraId="7C3B91E0" w14:textId="77777777" w:rsidR="00124A26" w:rsidRDefault="00124A26" w:rsidP="00124A26">
      <w:pPr>
        <w:rPr>
          <w:rFonts w:eastAsia="SimSun"/>
        </w:rPr>
      </w:pPr>
      <w:bookmarkStart w:id="209" w:name="_Toc44401166"/>
    </w:p>
    <w:p w14:paraId="14583E35" w14:textId="77777777" w:rsidR="00124A26" w:rsidRPr="00C07B2E" w:rsidRDefault="00124A26" w:rsidP="00124A26">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1.2.8  – Flu180+Bu8 / PT-Cy</w:t>
      </w:r>
      <w:bookmarkEnd w:id="209"/>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59"/>
        <w:gridCol w:w="2269"/>
      </w:tblGrid>
      <w:tr w:rsidR="00124A26" w:rsidRPr="00AC3044" w14:paraId="3D581B3E" w14:textId="77777777" w:rsidTr="002D3EBF">
        <w:trPr>
          <w:cantSplit/>
          <w:trHeight w:val="20"/>
          <w:tblHeader/>
        </w:trPr>
        <w:tc>
          <w:tcPr>
            <w:tcW w:w="993" w:type="dxa"/>
            <w:vAlign w:val="center"/>
          </w:tcPr>
          <w:p w14:paraId="1857263D" w14:textId="77777777" w:rsidR="00124A26" w:rsidRPr="00AC3044" w:rsidRDefault="00124A26" w:rsidP="002D3EBF">
            <w:pPr>
              <w:ind w:firstLine="0"/>
              <w:rPr>
                <w:rFonts w:eastAsia="SimSun"/>
              </w:rPr>
            </w:pPr>
          </w:p>
        </w:tc>
        <w:tc>
          <w:tcPr>
            <w:tcW w:w="1843" w:type="dxa"/>
            <w:vAlign w:val="center"/>
          </w:tcPr>
          <w:p w14:paraId="6262A15D" w14:textId="77777777" w:rsidR="00124A26" w:rsidRPr="00AC3044" w:rsidRDefault="00124A26" w:rsidP="002D3EBF">
            <w:pPr>
              <w:ind w:firstLine="0"/>
              <w:rPr>
                <w:rFonts w:eastAsia="SimSun"/>
              </w:rPr>
            </w:pPr>
            <w:r w:rsidRPr="00AC3044">
              <w:rPr>
                <w:rFonts w:eastAsia="SimSun"/>
              </w:rPr>
              <w:t>Препарат</w:t>
            </w:r>
          </w:p>
        </w:tc>
        <w:tc>
          <w:tcPr>
            <w:tcW w:w="1417" w:type="dxa"/>
            <w:vAlign w:val="center"/>
          </w:tcPr>
          <w:p w14:paraId="7CD55741" w14:textId="77777777" w:rsidR="00124A26" w:rsidRPr="00AC3044" w:rsidRDefault="00124A26" w:rsidP="002D3EBF">
            <w:pPr>
              <w:ind w:firstLine="0"/>
              <w:rPr>
                <w:rFonts w:eastAsia="SimSun"/>
              </w:rPr>
            </w:pPr>
            <w:r w:rsidRPr="00AC3044">
              <w:rPr>
                <w:rFonts w:eastAsia="SimSun"/>
              </w:rPr>
              <w:t>Суточная доза</w:t>
            </w:r>
          </w:p>
        </w:tc>
        <w:tc>
          <w:tcPr>
            <w:tcW w:w="1559" w:type="dxa"/>
            <w:vAlign w:val="center"/>
          </w:tcPr>
          <w:p w14:paraId="1F815D17" w14:textId="77777777" w:rsidR="00124A26" w:rsidRPr="00AC3044" w:rsidRDefault="00124A26" w:rsidP="002D3EBF">
            <w:pPr>
              <w:ind w:firstLine="0"/>
              <w:rPr>
                <w:rFonts w:eastAsia="SimSun"/>
              </w:rPr>
            </w:pPr>
            <w:r w:rsidRPr="00AC3044">
              <w:rPr>
                <w:rFonts w:eastAsia="SimSun"/>
              </w:rPr>
              <w:t>Курсовая доза</w:t>
            </w:r>
          </w:p>
        </w:tc>
        <w:tc>
          <w:tcPr>
            <w:tcW w:w="1559" w:type="dxa"/>
            <w:vAlign w:val="center"/>
          </w:tcPr>
          <w:p w14:paraId="40DCF43A" w14:textId="77777777" w:rsidR="00124A26" w:rsidRPr="00AC3044" w:rsidRDefault="00124A26" w:rsidP="002D3EBF">
            <w:pPr>
              <w:ind w:firstLine="0"/>
              <w:rPr>
                <w:rFonts w:eastAsia="SimSun"/>
              </w:rPr>
            </w:pPr>
            <w:r w:rsidRPr="00AC3044">
              <w:rPr>
                <w:rFonts w:eastAsia="SimSun"/>
              </w:rPr>
              <w:t>Дни введения</w:t>
            </w:r>
          </w:p>
        </w:tc>
        <w:tc>
          <w:tcPr>
            <w:tcW w:w="2269" w:type="dxa"/>
            <w:vAlign w:val="center"/>
          </w:tcPr>
          <w:p w14:paraId="779229BC"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689D8CEF" w14:textId="77777777" w:rsidTr="002D3EBF">
        <w:trPr>
          <w:cantSplit/>
          <w:trHeight w:val="20"/>
        </w:trPr>
        <w:tc>
          <w:tcPr>
            <w:tcW w:w="993" w:type="dxa"/>
            <w:vMerge w:val="restart"/>
            <w:textDirection w:val="btLr"/>
            <w:vAlign w:val="center"/>
          </w:tcPr>
          <w:p w14:paraId="7819DC6E" w14:textId="77777777" w:rsidR="00124A26" w:rsidRPr="00AC3044" w:rsidRDefault="00124A26" w:rsidP="002D3EBF">
            <w:pPr>
              <w:ind w:firstLine="0"/>
              <w:rPr>
                <w:rFonts w:eastAsia="SimSun"/>
              </w:rPr>
            </w:pPr>
            <w:r w:rsidRPr="00AC3044">
              <w:rPr>
                <w:rFonts w:eastAsia="SimSun"/>
              </w:rPr>
              <w:t>Кондиционирование</w:t>
            </w:r>
          </w:p>
        </w:tc>
        <w:tc>
          <w:tcPr>
            <w:tcW w:w="1843" w:type="dxa"/>
            <w:vAlign w:val="center"/>
          </w:tcPr>
          <w:p w14:paraId="132A7009" w14:textId="77777777" w:rsidR="00124A26" w:rsidRPr="00AC3044" w:rsidRDefault="00124A26" w:rsidP="002D3EBF">
            <w:pPr>
              <w:ind w:firstLine="0"/>
              <w:rPr>
                <w:rFonts w:eastAsia="SimSun"/>
              </w:rPr>
            </w:pPr>
            <w:r w:rsidRPr="00AC3044">
              <w:rPr>
                <w:rFonts w:eastAsia="SimSun"/>
              </w:rPr>
              <w:t xml:space="preserve">Флударабин </w:t>
            </w:r>
          </w:p>
        </w:tc>
        <w:tc>
          <w:tcPr>
            <w:tcW w:w="1417" w:type="dxa"/>
            <w:vAlign w:val="center"/>
          </w:tcPr>
          <w:p w14:paraId="5E18B759" w14:textId="77777777" w:rsidR="00124A26" w:rsidRPr="00AC3044" w:rsidRDefault="00124A26" w:rsidP="002D3EBF">
            <w:pPr>
              <w:ind w:firstLine="0"/>
              <w:rPr>
                <w:rFonts w:eastAsia="SimSun"/>
              </w:rPr>
            </w:pPr>
            <w:r w:rsidRPr="00AC3044">
              <w:rPr>
                <w:rFonts w:eastAsia="SimSun"/>
              </w:rPr>
              <w:t>30 мг/м</w:t>
            </w:r>
            <w:r w:rsidRPr="001E6DBE">
              <w:rPr>
                <w:rFonts w:eastAsia="SimSun"/>
                <w:vertAlign w:val="superscript"/>
              </w:rPr>
              <w:t>2</w:t>
            </w:r>
          </w:p>
        </w:tc>
        <w:tc>
          <w:tcPr>
            <w:tcW w:w="1559" w:type="dxa"/>
            <w:vAlign w:val="center"/>
          </w:tcPr>
          <w:p w14:paraId="753EC65E" w14:textId="77777777" w:rsidR="00124A26" w:rsidRPr="00AC3044" w:rsidRDefault="00124A26" w:rsidP="002D3EBF">
            <w:pPr>
              <w:ind w:firstLine="0"/>
              <w:rPr>
                <w:rFonts w:eastAsia="SimSun"/>
              </w:rPr>
            </w:pPr>
            <w:r w:rsidRPr="00AC3044">
              <w:rPr>
                <w:rFonts w:eastAsia="SimSun"/>
              </w:rPr>
              <w:t>180 мг/м</w:t>
            </w:r>
            <w:r w:rsidRPr="001E6DBE">
              <w:rPr>
                <w:rFonts w:eastAsia="SimSun"/>
                <w:vertAlign w:val="superscript"/>
              </w:rPr>
              <w:t>2</w:t>
            </w:r>
          </w:p>
        </w:tc>
        <w:tc>
          <w:tcPr>
            <w:tcW w:w="1559" w:type="dxa"/>
            <w:vAlign w:val="center"/>
          </w:tcPr>
          <w:p w14:paraId="044CF9B7" w14:textId="77777777" w:rsidR="00124A26" w:rsidRPr="00AC3044" w:rsidRDefault="00124A26" w:rsidP="002D3EBF">
            <w:pPr>
              <w:ind w:firstLine="0"/>
              <w:rPr>
                <w:rFonts w:eastAsia="SimSun"/>
              </w:rPr>
            </w:pPr>
            <w:r w:rsidRPr="00AC3044">
              <w:rPr>
                <w:rFonts w:eastAsia="SimSun"/>
              </w:rPr>
              <w:t>С -7 дня по -2 день</w:t>
            </w:r>
          </w:p>
        </w:tc>
        <w:tc>
          <w:tcPr>
            <w:tcW w:w="2269" w:type="dxa"/>
            <w:vAlign w:val="center"/>
          </w:tcPr>
          <w:p w14:paraId="181494CF"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41600DA6" w14:textId="77777777" w:rsidTr="002D3EBF">
        <w:trPr>
          <w:cantSplit/>
          <w:trHeight w:val="294"/>
        </w:trPr>
        <w:tc>
          <w:tcPr>
            <w:tcW w:w="993" w:type="dxa"/>
            <w:vMerge/>
            <w:vAlign w:val="center"/>
          </w:tcPr>
          <w:p w14:paraId="7F348E74" w14:textId="77777777" w:rsidR="00124A26" w:rsidRPr="00AC3044" w:rsidRDefault="00124A26" w:rsidP="002D3EBF">
            <w:pPr>
              <w:ind w:firstLine="0"/>
              <w:rPr>
                <w:rFonts w:eastAsia="SimSun"/>
              </w:rPr>
            </w:pPr>
          </w:p>
        </w:tc>
        <w:tc>
          <w:tcPr>
            <w:tcW w:w="1843" w:type="dxa"/>
            <w:vAlign w:val="center"/>
          </w:tcPr>
          <w:p w14:paraId="1E49EBFB" w14:textId="77777777" w:rsidR="00124A26" w:rsidRPr="00AC3044" w:rsidRDefault="00124A26" w:rsidP="002D3EBF">
            <w:pPr>
              <w:ind w:firstLine="0"/>
              <w:rPr>
                <w:rFonts w:eastAsia="SimSun"/>
              </w:rPr>
            </w:pPr>
            <w:r w:rsidRPr="00AC3044">
              <w:rPr>
                <w:rFonts w:eastAsia="SimSun"/>
              </w:rPr>
              <w:t>Бусульфан</w:t>
            </w:r>
          </w:p>
        </w:tc>
        <w:tc>
          <w:tcPr>
            <w:tcW w:w="1417" w:type="dxa"/>
            <w:vAlign w:val="center"/>
          </w:tcPr>
          <w:p w14:paraId="14EECF22" w14:textId="77777777" w:rsidR="00124A26" w:rsidRPr="00AC3044" w:rsidRDefault="00124A26" w:rsidP="002D3EBF">
            <w:pPr>
              <w:ind w:firstLine="0"/>
              <w:rPr>
                <w:rFonts w:eastAsia="SimSun"/>
              </w:rPr>
            </w:pPr>
            <w:r w:rsidRPr="00AC3044">
              <w:rPr>
                <w:rFonts w:eastAsia="SimSun"/>
              </w:rPr>
              <w:t xml:space="preserve">4 мг/кг </w:t>
            </w:r>
          </w:p>
        </w:tc>
        <w:tc>
          <w:tcPr>
            <w:tcW w:w="1559" w:type="dxa"/>
            <w:vAlign w:val="center"/>
          </w:tcPr>
          <w:p w14:paraId="288D01C0" w14:textId="77777777" w:rsidR="00124A26" w:rsidRPr="00AC3044" w:rsidRDefault="00124A26" w:rsidP="002D3EBF">
            <w:pPr>
              <w:ind w:firstLine="0"/>
              <w:rPr>
                <w:rFonts w:eastAsia="SimSun"/>
              </w:rPr>
            </w:pPr>
            <w:r w:rsidRPr="00AC3044">
              <w:rPr>
                <w:rFonts w:eastAsia="SimSun"/>
              </w:rPr>
              <w:t xml:space="preserve">8 мг/кг </w:t>
            </w:r>
          </w:p>
        </w:tc>
        <w:tc>
          <w:tcPr>
            <w:tcW w:w="1559" w:type="dxa"/>
            <w:vAlign w:val="center"/>
          </w:tcPr>
          <w:p w14:paraId="4488F7A5" w14:textId="77777777" w:rsidR="00124A26" w:rsidRPr="00AC3044" w:rsidRDefault="00124A26" w:rsidP="002D3EBF">
            <w:pPr>
              <w:ind w:firstLine="0"/>
              <w:rPr>
                <w:rFonts w:eastAsia="SimSun"/>
              </w:rPr>
            </w:pPr>
            <w:r w:rsidRPr="00AC3044">
              <w:rPr>
                <w:rFonts w:eastAsia="SimSun"/>
              </w:rPr>
              <w:t>С -4 дня по -3 день</w:t>
            </w:r>
          </w:p>
        </w:tc>
        <w:tc>
          <w:tcPr>
            <w:tcW w:w="2269" w:type="dxa"/>
            <w:vAlign w:val="center"/>
          </w:tcPr>
          <w:p w14:paraId="55914710"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124A26" w:rsidRPr="00AC3044" w14:paraId="65817755" w14:textId="77777777" w:rsidTr="002D3EBF">
        <w:trPr>
          <w:cantSplit/>
          <w:trHeight w:val="1054"/>
        </w:trPr>
        <w:tc>
          <w:tcPr>
            <w:tcW w:w="993" w:type="dxa"/>
            <w:textDirection w:val="btLr"/>
            <w:vAlign w:val="center"/>
          </w:tcPr>
          <w:p w14:paraId="1CF8752B" w14:textId="77777777" w:rsidR="00124A26" w:rsidRPr="00AC3044" w:rsidRDefault="00124A26" w:rsidP="002D3EBF">
            <w:pPr>
              <w:ind w:firstLine="0"/>
              <w:rPr>
                <w:rFonts w:eastAsia="SimSun"/>
              </w:rPr>
            </w:pPr>
            <w:r w:rsidRPr="00AC3044">
              <w:rPr>
                <w:rFonts w:eastAsia="SimSun"/>
              </w:rPr>
              <w:t>Профилактика РТПХ</w:t>
            </w:r>
          </w:p>
        </w:tc>
        <w:tc>
          <w:tcPr>
            <w:tcW w:w="1843" w:type="dxa"/>
            <w:vAlign w:val="center"/>
          </w:tcPr>
          <w:p w14:paraId="02B3C0A0" w14:textId="77777777" w:rsidR="00124A26" w:rsidRPr="00AC3044" w:rsidRDefault="00124A26" w:rsidP="002D3EBF">
            <w:pPr>
              <w:ind w:firstLine="0"/>
              <w:rPr>
                <w:rFonts w:eastAsia="SimSun"/>
              </w:rPr>
            </w:pPr>
            <w:r w:rsidRPr="00AC3044">
              <w:rPr>
                <w:rFonts w:eastAsia="SimSun"/>
              </w:rPr>
              <w:t>Циклофосфамид</w:t>
            </w:r>
          </w:p>
        </w:tc>
        <w:tc>
          <w:tcPr>
            <w:tcW w:w="1417" w:type="dxa"/>
            <w:vAlign w:val="center"/>
          </w:tcPr>
          <w:p w14:paraId="44F170F9" w14:textId="77777777" w:rsidR="00124A26" w:rsidRPr="00AC3044" w:rsidRDefault="00124A26" w:rsidP="002D3EBF">
            <w:pPr>
              <w:ind w:firstLine="0"/>
              <w:rPr>
                <w:rFonts w:eastAsia="SimSun"/>
              </w:rPr>
            </w:pPr>
            <w:r w:rsidRPr="00AC3044">
              <w:rPr>
                <w:rFonts w:eastAsia="SimSun"/>
              </w:rPr>
              <w:t>50 мг/кг</w:t>
            </w:r>
          </w:p>
        </w:tc>
        <w:tc>
          <w:tcPr>
            <w:tcW w:w="1559" w:type="dxa"/>
            <w:vAlign w:val="center"/>
          </w:tcPr>
          <w:p w14:paraId="7D87D8CC" w14:textId="77777777" w:rsidR="00124A26" w:rsidRPr="00AC3044" w:rsidRDefault="00124A26" w:rsidP="002D3EBF">
            <w:pPr>
              <w:ind w:firstLine="0"/>
              <w:rPr>
                <w:rFonts w:eastAsia="SimSun"/>
              </w:rPr>
            </w:pPr>
            <w:r w:rsidRPr="00AC3044">
              <w:rPr>
                <w:rFonts w:eastAsia="SimSun"/>
              </w:rPr>
              <w:t>100 мг/кг</w:t>
            </w:r>
          </w:p>
        </w:tc>
        <w:tc>
          <w:tcPr>
            <w:tcW w:w="1559" w:type="dxa"/>
            <w:vAlign w:val="center"/>
          </w:tcPr>
          <w:p w14:paraId="5F9500DE" w14:textId="77777777" w:rsidR="00124A26" w:rsidRPr="00AC3044" w:rsidRDefault="00124A26" w:rsidP="002D3EBF">
            <w:pPr>
              <w:ind w:firstLine="0"/>
              <w:rPr>
                <w:rFonts w:eastAsia="SimSun"/>
              </w:rPr>
            </w:pPr>
            <w:r w:rsidRPr="00AC3044">
              <w:rPr>
                <w:rFonts w:eastAsia="SimSun"/>
              </w:rPr>
              <w:t>С +3 дня по +4 день</w:t>
            </w:r>
          </w:p>
        </w:tc>
        <w:tc>
          <w:tcPr>
            <w:tcW w:w="2269" w:type="dxa"/>
            <w:vAlign w:val="center"/>
          </w:tcPr>
          <w:p w14:paraId="724F411A" w14:textId="77777777" w:rsidR="00124A26" w:rsidRPr="00AC3044" w:rsidRDefault="00124A26" w:rsidP="002D3EBF">
            <w:pPr>
              <w:ind w:firstLine="0"/>
              <w:rPr>
                <w:rFonts w:eastAsia="SimSun"/>
              </w:rPr>
            </w:pPr>
            <w:r w:rsidRPr="00AC3044">
              <w:rPr>
                <w:rFonts w:eastAsia="SimSun"/>
              </w:rPr>
              <w:t xml:space="preserve">В/в, в течение 2 ч  </w:t>
            </w:r>
          </w:p>
        </w:tc>
      </w:tr>
    </w:tbl>
    <w:p w14:paraId="32CBDF82" w14:textId="77777777" w:rsidR="00124A26" w:rsidRDefault="00124A26" w:rsidP="00124A26">
      <w:pPr>
        <w:rPr>
          <w:rFonts w:eastAsia="SimSun"/>
        </w:rPr>
      </w:pPr>
      <w:bookmarkStart w:id="210" w:name="_Toc44401167"/>
    </w:p>
    <w:p w14:paraId="524A39B8" w14:textId="77777777" w:rsidR="00124A26" w:rsidRPr="00C07B2E" w:rsidRDefault="00124A26" w:rsidP="00124A26">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1.2.9  – Flu180+Bu8 / PT-Cy+Tx+MMF30</w:t>
      </w:r>
      <w:bookmarkEnd w:id="210"/>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124A26" w:rsidRPr="00AC3044" w14:paraId="0CEA13F2" w14:textId="77777777" w:rsidTr="002D3EBF">
        <w:trPr>
          <w:cantSplit/>
          <w:trHeight w:val="20"/>
          <w:tblHeader/>
        </w:trPr>
        <w:tc>
          <w:tcPr>
            <w:tcW w:w="993" w:type="dxa"/>
            <w:vAlign w:val="center"/>
          </w:tcPr>
          <w:p w14:paraId="04952A3B" w14:textId="77777777" w:rsidR="00124A26" w:rsidRPr="00470D3D" w:rsidRDefault="00124A26" w:rsidP="002D3EBF">
            <w:pPr>
              <w:ind w:firstLine="0"/>
              <w:rPr>
                <w:rFonts w:eastAsia="SimSun"/>
              </w:rPr>
            </w:pPr>
          </w:p>
        </w:tc>
        <w:tc>
          <w:tcPr>
            <w:tcW w:w="1843" w:type="dxa"/>
            <w:vAlign w:val="center"/>
          </w:tcPr>
          <w:p w14:paraId="6981B980" w14:textId="77777777" w:rsidR="00124A26" w:rsidRPr="00AC3044" w:rsidRDefault="00124A26" w:rsidP="002D3EBF">
            <w:pPr>
              <w:ind w:firstLine="0"/>
              <w:rPr>
                <w:rFonts w:eastAsia="SimSun"/>
              </w:rPr>
            </w:pPr>
            <w:r w:rsidRPr="00AC3044">
              <w:rPr>
                <w:rFonts w:eastAsia="SimSun"/>
              </w:rPr>
              <w:t>Препарат</w:t>
            </w:r>
          </w:p>
        </w:tc>
        <w:tc>
          <w:tcPr>
            <w:tcW w:w="1417" w:type="dxa"/>
            <w:vAlign w:val="center"/>
          </w:tcPr>
          <w:p w14:paraId="30B659D0" w14:textId="77777777" w:rsidR="00124A26" w:rsidRPr="00AC3044" w:rsidRDefault="00124A26" w:rsidP="002D3EBF">
            <w:pPr>
              <w:ind w:firstLine="0"/>
              <w:rPr>
                <w:rFonts w:eastAsia="SimSun"/>
              </w:rPr>
            </w:pPr>
            <w:r w:rsidRPr="00AC3044">
              <w:rPr>
                <w:rFonts w:eastAsia="SimSun"/>
              </w:rPr>
              <w:t>Суточная доза</w:t>
            </w:r>
          </w:p>
        </w:tc>
        <w:tc>
          <w:tcPr>
            <w:tcW w:w="1559" w:type="dxa"/>
            <w:vAlign w:val="center"/>
          </w:tcPr>
          <w:p w14:paraId="5EA05322" w14:textId="77777777" w:rsidR="00124A26" w:rsidRPr="00AC3044" w:rsidRDefault="00124A26" w:rsidP="002D3EBF">
            <w:pPr>
              <w:ind w:firstLine="0"/>
              <w:rPr>
                <w:rFonts w:eastAsia="SimSun"/>
              </w:rPr>
            </w:pPr>
            <w:r w:rsidRPr="00AC3044">
              <w:rPr>
                <w:rFonts w:eastAsia="SimSun"/>
              </w:rPr>
              <w:t>Курсовая доза</w:t>
            </w:r>
          </w:p>
        </w:tc>
        <w:tc>
          <w:tcPr>
            <w:tcW w:w="1560" w:type="dxa"/>
            <w:vAlign w:val="center"/>
          </w:tcPr>
          <w:p w14:paraId="47A21FA2" w14:textId="77777777" w:rsidR="00124A26" w:rsidRPr="00AC3044" w:rsidRDefault="00124A26" w:rsidP="002D3EBF">
            <w:pPr>
              <w:ind w:firstLine="0"/>
              <w:rPr>
                <w:rFonts w:eastAsia="SimSun"/>
              </w:rPr>
            </w:pPr>
            <w:r w:rsidRPr="00AC3044">
              <w:rPr>
                <w:rFonts w:eastAsia="SimSun"/>
              </w:rPr>
              <w:t>Дни введения</w:t>
            </w:r>
          </w:p>
        </w:tc>
        <w:tc>
          <w:tcPr>
            <w:tcW w:w="2268" w:type="dxa"/>
            <w:vAlign w:val="center"/>
          </w:tcPr>
          <w:p w14:paraId="31A4735A"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55EB6A7C" w14:textId="77777777" w:rsidTr="002D3EBF">
        <w:trPr>
          <w:cantSplit/>
          <w:trHeight w:val="20"/>
        </w:trPr>
        <w:tc>
          <w:tcPr>
            <w:tcW w:w="993" w:type="dxa"/>
            <w:vMerge w:val="restart"/>
            <w:textDirection w:val="btLr"/>
            <w:vAlign w:val="center"/>
          </w:tcPr>
          <w:p w14:paraId="0B0BF300" w14:textId="77777777" w:rsidR="00124A26" w:rsidRPr="00AC3044" w:rsidRDefault="00124A26" w:rsidP="002D3EBF">
            <w:pPr>
              <w:ind w:firstLine="0"/>
              <w:rPr>
                <w:rFonts w:eastAsia="SimSun"/>
              </w:rPr>
            </w:pPr>
            <w:r w:rsidRPr="00AC3044">
              <w:rPr>
                <w:rFonts w:eastAsia="SimSun"/>
              </w:rPr>
              <w:t>Кондиционирование</w:t>
            </w:r>
          </w:p>
        </w:tc>
        <w:tc>
          <w:tcPr>
            <w:tcW w:w="1843" w:type="dxa"/>
            <w:vAlign w:val="center"/>
          </w:tcPr>
          <w:p w14:paraId="6475F06F" w14:textId="77777777" w:rsidR="00124A26" w:rsidRPr="00AC3044" w:rsidRDefault="00124A26" w:rsidP="002D3EBF">
            <w:pPr>
              <w:ind w:firstLine="0"/>
              <w:rPr>
                <w:rFonts w:eastAsia="SimSun"/>
              </w:rPr>
            </w:pPr>
            <w:r w:rsidRPr="00AC3044">
              <w:rPr>
                <w:rFonts w:eastAsia="SimSun"/>
              </w:rPr>
              <w:t xml:space="preserve">Флударабин </w:t>
            </w:r>
          </w:p>
        </w:tc>
        <w:tc>
          <w:tcPr>
            <w:tcW w:w="1417" w:type="dxa"/>
            <w:vAlign w:val="center"/>
          </w:tcPr>
          <w:p w14:paraId="1B95BD53" w14:textId="77777777" w:rsidR="00124A26" w:rsidRPr="00AC3044" w:rsidRDefault="00124A26" w:rsidP="002D3EBF">
            <w:pPr>
              <w:ind w:firstLine="0"/>
              <w:rPr>
                <w:rFonts w:eastAsia="SimSun"/>
              </w:rPr>
            </w:pPr>
            <w:r w:rsidRPr="00AC3044">
              <w:rPr>
                <w:rFonts w:eastAsia="SimSun"/>
              </w:rPr>
              <w:t>30 мг/м</w:t>
            </w:r>
            <w:r w:rsidRPr="001E6DBE">
              <w:rPr>
                <w:rFonts w:eastAsia="SimSun"/>
                <w:vertAlign w:val="superscript"/>
              </w:rPr>
              <w:t>2</w:t>
            </w:r>
          </w:p>
        </w:tc>
        <w:tc>
          <w:tcPr>
            <w:tcW w:w="1559" w:type="dxa"/>
            <w:vAlign w:val="center"/>
          </w:tcPr>
          <w:p w14:paraId="5A8CDB50" w14:textId="77777777" w:rsidR="00124A26" w:rsidRPr="00AC3044" w:rsidRDefault="00124A26" w:rsidP="002D3EBF">
            <w:pPr>
              <w:ind w:firstLine="0"/>
              <w:rPr>
                <w:rFonts w:eastAsia="SimSun"/>
              </w:rPr>
            </w:pPr>
            <w:r w:rsidRPr="00AC3044">
              <w:rPr>
                <w:rFonts w:eastAsia="SimSun"/>
              </w:rPr>
              <w:t>180 мг/м</w:t>
            </w:r>
            <w:r w:rsidRPr="001E6DBE">
              <w:rPr>
                <w:rFonts w:eastAsia="SimSun"/>
                <w:vertAlign w:val="superscript"/>
              </w:rPr>
              <w:t>2</w:t>
            </w:r>
          </w:p>
        </w:tc>
        <w:tc>
          <w:tcPr>
            <w:tcW w:w="1560" w:type="dxa"/>
            <w:vAlign w:val="center"/>
          </w:tcPr>
          <w:p w14:paraId="68C674CF" w14:textId="77777777" w:rsidR="00124A26" w:rsidRPr="00AC3044" w:rsidRDefault="00124A26" w:rsidP="002D3EBF">
            <w:pPr>
              <w:ind w:firstLine="0"/>
              <w:rPr>
                <w:rFonts w:eastAsia="SimSun"/>
              </w:rPr>
            </w:pPr>
            <w:r w:rsidRPr="00AC3044">
              <w:rPr>
                <w:rFonts w:eastAsia="SimSun"/>
              </w:rPr>
              <w:t>С -7 дня по -2 день</w:t>
            </w:r>
          </w:p>
        </w:tc>
        <w:tc>
          <w:tcPr>
            <w:tcW w:w="2268" w:type="dxa"/>
            <w:vAlign w:val="center"/>
          </w:tcPr>
          <w:p w14:paraId="207C26DB"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43D4815A" w14:textId="77777777" w:rsidTr="002D3EBF">
        <w:trPr>
          <w:cantSplit/>
          <w:trHeight w:val="961"/>
        </w:trPr>
        <w:tc>
          <w:tcPr>
            <w:tcW w:w="993" w:type="dxa"/>
            <w:vMerge/>
            <w:vAlign w:val="center"/>
          </w:tcPr>
          <w:p w14:paraId="43610976" w14:textId="77777777" w:rsidR="00124A26" w:rsidRPr="00AC3044" w:rsidRDefault="00124A26" w:rsidP="002D3EBF">
            <w:pPr>
              <w:ind w:firstLine="0"/>
              <w:rPr>
                <w:rFonts w:eastAsia="SimSun"/>
              </w:rPr>
            </w:pPr>
          </w:p>
        </w:tc>
        <w:tc>
          <w:tcPr>
            <w:tcW w:w="1843" w:type="dxa"/>
            <w:vAlign w:val="center"/>
          </w:tcPr>
          <w:p w14:paraId="7CB4DBB7" w14:textId="77777777" w:rsidR="00124A26" w:rsidRPr="00AC3044" w:rsidRDefault="00124A26" w:rsidP="002D3EBF">
            <w:pPr>
              <w:ind w:firstLine="0"/>
              <w:rPr>
                <w:rFonts w:eastAsia="SimSun"/>
              </w:rPr>
            </w:pPr>
            <w:r w:rsidRPr="00AC3044">
              <w:rPr>
                <w:rFonts w:eastAsia="SimSun"/>
              </w:rPr>
              <w:t>Бусульфан</w:t>
            </w:r>
          </w:p>
        </w:tc>
        <w:tc>
          <w:tcPr>
            <w:tcW w:w="1417" w:type="dxa"/>
            <w:vAlign w:val="center"/>
          </w:tcPr>
          <w:p w14:paraId="415DF23E" w14:textId="77777777" w:rsidR="00124A26" w:rsidRPr="00AC3044" w:rsidRDefault="00124A26" w:rsidP="002D3EBF">
            <w:pPr>
              <w:ind w:firstLine="0"/>
              <w:rPr>
                <w:rFonts w:eastAsia="SimSun"/>
              </w:rPr>
            </w:pPr>
            <w:r w:rsidRPr="00AC3044">
              <w:rPr>
                <w:rFonts w:eastAsia="SimSun"/>
              </w:rPr>
              <w:t xml:space="preserve">4 мг/кг </w:t>
            </w:r>
          </w:p>
        </w:tc>
        <w:tc>
          <w:tcPr>
            <w:tcW w:w="1559" w:type="dxa"/>
            <w:vAlign w:val="center"/>
          </w:tcPr>
          <w:p w14:paraId="4C230A9E" w14:textId="77777777" w:rsidR="00124A26" w:rsidRPr="00AC3044" w:rsidRDefault="00124A26" w:rsidP="002D3EBF">
            <w:pPr>
              <w:ind w:firstLine="0"/>
              <w:rPr>
                <w:rFonts w:eastAsia="SimSun"/>
              </w:rPr>
            </w:pPr>
            <w:r w:rsidRPr="00AC3044">
              <w:rPr>
                <w:rFonts w:eastAsia="SimSun"/>
              </w:rPr>
              <w:t xml:space="preserve">8 мг/кг </w:t>
            </w:r>
          </w:p>
        </w:tc>
        <w:tc>
          <w:tcPr>
            <w:tcW w:w="1560" w:type="dxa"/>
            <w:vAlign w:val="center"/>
          </w:tcPr>
          <w:p w14:paraId="775B1DEC" w14:textId="77777777" w:rsidR="00124A26" w:rsidRPr="00AC3044" w:rsidRDefault="00124A26" w:rsidP="002D3EBF">
            <w:pPr>
              <w:ind w:firstLine="0"/>
              <w:rPr>
                <w:rFonts w:eastAsia="SimSun"/>
              </w:rPr>
            </w:pPr>
            <w:r w:rsidRPr="00AC3044">
              <w:rPr>
                <w:rFonts w:eastAsia="SimSun"/>
              </w:rPr>
              <w:t>С -4 дня по -3 день</w:t>
            </w:r>
          </w:p>
        </w:tc>
        <w:tc>
          <w:tcPr>
            <w:tcW w:w="2268" w:type="dxa"/>
            <w:vAlign w:val="center"/>
          </w:tcPr>
          <w:p w14:paraId="7D97CE5B"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124A26" w:rsidRPr="00AC3044" w14:paraId="7DFB80C0" w14:textId="77777777" w:rsidTr="002D3EBF">
        <w:trPr>
          <w:cantSplit/>
          <w:trHeight w:val="1498"/>
        </w:trPr>
        <w:tc>
          <w:tcPr>
            <w:tcW w:w="993" w:type="dxa"/>
            <w:vMerge w:val="restart"/>
            <w:textDirection w:val="btLr"/>
            <w:vAlign w:val="center"/>
          </w:tcPr>
          <w:p w14:paraId="4A73431E" w14:textId="77777777" w:rsidR="00124A26" w:rsidRPr="00AC3044" w:rsidRDefault="00124A26" w:rsidP="002D3EBF">
            <w:pPr>
              <w:ind w:firstLine="0"/>
              <w:rPr>
                <w:rFonts w:eastAsia="SimSun"/>
              </w:rPr>
            </w:pPr>
            <w:r w:rsidRPr="00AC3044">
              <w:rPr>
                <w:rFonts w:eastAsia="SimSun"/>
              </w:rPr>
              <w:t>Профилактика РТПХ</w:t>
            </w:r>
          </w:p>
        </w:tc>
        <w:tc>
          <w:tcPr>
            <w:tcW w:w="1843" w:type="dxa"/>
            <w:vAlign w:val="center"/>
          </w:tcPr>
          <w:p w14:paraId="42E2C58B" w14:textId="77777777" w:rsidR="00124A26" w:rsidRPr="00AC3044" w:rsidRDefault="00124A26" w:rsidP="002D3EBF">
            <w:pPr>
              <w:ind w:firstLine="0"/>
              <w:rPr>
                <w:rFonts w:eastAsia="SimSun"/>
              </w:rPr>
            </w:pPr>
            <w:r w:rsidRPr="00AC3044">
              <w:rPr>
                <w:rFonts w:eastAsia="SimSun"/>
              </w:rPr>
              <w:t>Циклофосфамид</w:t>
            </w:r>
          </w:p>
        </w:tc>
        <w:tc>
          <w:tcPr>
            <w:tcW w:w="1417" w:type="dxa"/>
            <w:vAlign w:val="center"/>
          </w:tcPr>
          <w:p w14:paraId="10C131B4" w14:textId="77777777" w:rsidR="00124A26" w:rsidRPr="00AC3044" w:rsidRDefault="00124A26" w:rsidP="002D3EBF">
            <w:pPr>
              <w:ind w:firstLine="0"/>
              <w:rPr>
                <w:rFonts w:eastAsia="SimSun"/>
              </w:rPr>
            </w:pPr>
            <w:r w:rsidRPr="00AC3044">
              <w:rPr>
                <w:rFonts w:eastAsia="SimSun"/>
              </w:rPr>
              <w:t>50 мг/кг</w:t>
            </w:r>
          </w:p>
        </w:tc>
        <w:tc>
          <w:tcPr>
            <w:tcW w:w="1559" w:type="dxa"/>
            <w:vAlign w:val="center"/>
          </w:tcPr>
          <w:p w14:paraId="5E9C6F73" w14:textId="77777777" w:rsidR="00124A26" w:rsidRPr="00AC3044" w:rsidRDefault="00124A26" w:rsidP="002D3EBF">
            <w:pPr>
              <w:ind w:firstLine="0"/>
              <w:rPr>
                <w:rFonts w:eastAsia="SimSun"/>
              </w:rPr>
            </w:pPr>
            <w:r w:rsidRPr="00AC3044">
              <w:rPr>
                <w:rFonts w:eastAsia="SimSun"/>
              </w:rPr>
              <w:t>100 мг/кг</w:t>
            </w:r>
          </w:p>
        </w:tc>
        <w:tc>
          <w:tcPr>
            <w:tcW w:w="1560" w:type="dxa"/>
            <w:vAlign w:val="center"/>
          </w:tcPr>
          <w:p w14:paraId="326C7D4C" w14:textId="77777777" w:rsidR="00124A26" w:rsidRPr="00AC3044" w:rsidRDefault="00124A26" w:rsidP="002D3EBF">
            <w:pPr>
              <w:ind w:firstLine="0"/>
              <w:rPr>
                <w:rFonts w:eastAsia="SimSun"/>
              </w:rPr>
            </w:pPr>
            <w:r w:rsidRPr="00AC3044">
              <w:rPr>
                <w:rFonts w:eastAsia="SimSun"/>
              </w:rPr>
              <w:t>С +3 дня по +4 день</w:t>
            </w:r>
          </w:p>
        </w:tc>
        <w:tc>
          <w:tcPr>
            <w:tcW w:w="2268" w:type="dxa"/>
            <w:vAlign w:val="center"/>
          </w:tcPr>
          <w:p w14:paraId="070FA361" w14:textId="77777777" w:rsidR="00124A26" w:rsidRPr="00AC3044" w:rsidRDefault="00124A26" w:rsidP="002D3EBF">
            <w:pPr>
              <w:ind w:firstLine="0"/>
              <w:rPr>
                <w:rFonts w:eastAsia="SimSun"/>
              </w:rPr>
            </w:pPr>
            <w:r w:rsidRPr="00AC3044">
              <w:rPr>
                <w:rFonts w:eastAsia="SimSun"/>
              </w:rPr>
              <w:t xml:space="preserve">В/в, в течение 2 ч  </w:t>
            </w:r>
          </w:p>
        </w:tc>
      </w:tr>
      <w:tr w:rsidR="00124A26" w:rsidRPr="00AC3044" w14:paraId="65B416ED" w14:textId="77777777" w:rsidTr="002D3EBF">
        <w:trPr>
          <w:cantSplit/>
          <w:trHeight w:val="958"/>
        </w:trPr>
        <w:tc>
          <w:tcPr>
            <w:tcW w:w="993" w:type="dxa"/>
            <w:vMerge/>
            <w:textDirection w:val="btLr"/>
            <w:vAlign w:val="center"/>
          </w:tcPr>
          <w:p w14:paraId="34872EA7" w14:textId="77777777" w:rsidR="00124A26" w:rsidRPr="00AC3044" w:rsidRDefault="00124A26" w:rsidP="002D3EBF">
            <w:pPr>
              <w:ind w:firstLine="0"/>
              <w:rPr>
                <w:rFonts w:eastAsia="SimSun"/>
              </w:rPr>
            </w:pPr>
          </w:p>
        </w:tc>
        <w:tc>
          <w:tcPr>
            <w:tcW w:w="1843" w:type="dxa"/>
            <w:vAlign w:val="center"/>
          </w:tcPr>
          <w:p w14:paraId="41157B88" w14:textId="77777777" w:rsidR="00124A26" w:rsidRPr="00AC3044" w:rsidRDefault="00124A26" w:rsidP="002D3EBF">
            <w:pPr>
              <w:ind w:firstLine="0"/>
              <w:rPr>
                <w:rFonts w:eastAsia="SimSun"/>
              </w:rPr>
            </w:pPr>
            <w:r w:rsidRPr="00AC3044">
              <w:rPr>
                <w:rFonts w:eastAsia="SimSun"/>
              </w:rPr>
              <w:t xml:space="preserve">Такролимус </w:t>
            </w:r>
          </w:p>
        </w:tc>
        <w:tc>
          <w:tcPr>
            <w:tcW w:w="1417" w:type="dxa"/>
            <w:vAlign w:val="center"/>
          </w:tcPr>
          <w:p w14:paraId="7030F974" w14:textId="77777777" w:rsidR="00124A26" w:rsidRPr="00AC3044" w:rsidRDefault="00124A26" w:rsidP="002D3EBF">
            <w:pPr>
              <w:ind w:firstLine="0"/>
              <w:rPr>
                <w:rFonts w:eastAsia="SimSun"/>
              </w:rPr>
            </w:pPr>
            <w:r w:rsidRPr="00AC3044">
              <w:rPr>
                <w:rFonts w:eastAsia="SimSun"/>
              </w:rPr>
              <w:t>0,03 мг/кг</w:t>
            </w:r>
          </w:p>
        </w:tc>
        <w:tc>
          <w:tcPr>
            <w:tcW w:w="1559" w:type="dxa"/>
            <w:vAlign w:val="center"/>
          </w:tcPr>
          <w:p w14:paraId="21DECA4F" w14:textId="77777777" w:rsidR="00124A26" w:rsidRPr="00AC3044" w:rsidRDefault="00124A26" w:rsidP="002D3EBF">
            <w:pPr>
              <w:ind w:firstLine="0"/>
              <w:rPr>
                <w:rFonts w:eastAsia="SimSun"/>
              </w:rPr>
            </w:pPr>
            <w:r w:rsidRPr="00AC3044">
              <w:rPr>
                <w:rFonts w:eastAsia="SimSun"/>
              </w:rPr>
              <w:t>–</w:t>
            </w:r>
          </w:p>
        </w:tc>
        <w:tc>
          <w:tcPr>
            <w:tcW w:w="1560" w:type="dxa"/>
            <w:vAlign w:val="center"/>
          </w:tcPr>
          <w:p w14:paraId="7B03F337" w14:textId="77777777" w:rsidR="00124A26" w:rsidRPr="00AC3044" w:rsidRDefault="00124A26" w:rsidP="002D3EBF">
            <w:pPr>
              <w:ind w:firstLine="0"/>
              <w:rPr>
                <w:rFonts w:eastAsia="SimSun"/>
              </w:rPr>
            </w:pPr>
            <w:r w:rsidRPr="00AC3044">
              <w:rPr>
                <w:rFonts w:eastAsia="SimSun"/>
              </w:rPr>
              <w:t xml:space="preserve">С +5 дня длительно </w:t>
            </w:r>
          </w:p>
        </w:tc>
        <w:tc>
          <w:tcPr>
            <w:tcW w:w="2268" w:type="dxa"/>
            <w:vAlign w:val="center"/>
          </w:tcPr>
          <w:p w14:paraId="61967FDC" w14:textId="77777777" w:rsidR="00124A26" w:rsidRPr="00AC3044" w:rsidRDefault="00124A26"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124A26" w:rsidRPr="00AC3044" w14:paraId="0AA77358" w14:textId="77777777" w:rsidTr="002D3EBF">
        <w:trPr>
          <w:cantSplit/>
          <w:trHeight w:val="544"/>
        </w:trPr>
        <w:tc>
          <w:tcPr>
            <w:tcW w:w="993" w:type="dxa"/>
            <w:vMerge/>
            <w:textDirection w:val="btLr"/>
            <w:vAlign w:val="center"/>
          </w:tcPr>
          <w:p w14:paraId="48E0738A" w14:textId="77777777" w:rsidR="00124A26" w:rsidRPr="00AC3044" w:rsidRDefault="00124A26" w:rsidP="002D3EBF">
            <w:pPr>
              <w:ind w:firstLine="0"/>
              <w:rPr>
                <w:rFonts w:eastAsia="SimSun"/>
              </w:rPr>
            </w:pPr>
          </w:p>
        </w:tc>
        <w:tc>
          <w:tcPr>
            <w:tcW w:w="1843" w:type="dxa"/>
            <w:vAlign w:val="center"/>
          </w:tcPr>
          <w:p w14:paraId="65BD4F1F" w14:textId="77777777" w:rsidR="00124A26" w:rsidRPr="00AC3044" w:rsidRDefault="00124A26" w:rsidP="002D3EBF">
            <w:pPr>
              <w:ind w:firstLine="0"/>
              <w:rPr>
                <w:rFonts w:eastAsia="SimSun"/>
              </w:rPr>
            </w:pPr>
            <w:r w:rsidRPr="00AC3044">
              <w:rPr>
                <w:rFonts w:eastAsia="SimSun"/>
              </w:rPr>
              <w:t>Микофенолата мофетил</w:t>
            </w:r>
          </w:p>
        </w:tc>
        <w:tc>
          <w:tcPr>
            <w:tcW w:w="1417" w:type="dxa"/>
            <w:vAlign w:val="center"/>
          </w:tcPr>
          <w:p w14:paraId="2A9137DF" w14:textId="77777777" w:rsidR="00124A26" w:rsidRPr="00AC3044" w:rsidRDefault="00124A26" w:rsidP="002D3EBF">
            <w:pPr>
              <w:ind w:firstLine="0"/>
              <w:rPr>
                <w:rFonts w:eastAsia="SimSun"/>
              </w:rPr>
            </w:pPr>
            <w:r w:rsidRPr="00AC3044">
              <w:rPr>
                <w:rFonts w:eastAsia="SimSun"/>
              </w:rPr>
              <w:t xml:space="preserve">30 мг/кг </w:t>
            </w:r>
          </w:p>
        </w:tc>
        <w:tc>
          <w:tcPr>
            <w:tcW w:w="1559" w:type="dxa"/>
            <w:vAlign w:val="center"/>
          </w:tcPr>
          <w:p w14:paraId="20193729" w14:textId="77777777" w:rsidR="00124A26" w:rsidRPr="00AC3044" w:rsidRDefault="00124A26" w:rsidP="002D3EBF">
            <w:pPr>
              <w:ind w:firstLine="0"/>
              <w:rPr>
                <w:rFonts w:eastAsia="SimSun"/>
              </w:rPr>
            </w:pPr>
            <w:r w:rsidRPr="00AC3044">
              <w:rPr>
                <w:rFonts w:eastAsia="SimSun"/>
              </w:rPr>
              <w:t>–</w:t>
            </w:r>
          </w:p>
        </w:tc>
        <w:tc>
          <w:tcPr>
            <w:tcW w:w="1560" w:type="dxa"/>
            <w:vAlign w:val="center"/>
          </w:tcPr>
          <w:p w14:paraId="0265EEDF" w14:textId="77777777" w:rsidR="00124A26" w:rsidRPr="00AC3044" w:rsidRDefault="00124A26" w:rsidP="002D3EBF">
            <w:pPr>
              <w:ind w:firstLine="0"/>
              <w:rPr>
                <w:rFonts w:eastAsia="SimSun"/>
              </w:rPr>
            </w:pPr>
            <w:r w:rsidRPr="00AC3044">
              <w:rPr>
                <w:rFonts w:eastAsia="SimSun"/>
              </w:rPr>
              <w:t xml:space="preserve">С +5 дня по +35 день </w:t>
            </w:r>
          </w:p>
        </w:tc>
        <w:tc>
          <w:tcPr>
            <w:tcW w:w="2268" w:type="dxa"/>
            <w:vAlign w:val="center"/>
          </w:tcPr>
          <w:p w14:paraId="1B89A5B9"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2- 4 приема.</w:t>
            </w:r>
          </w:p>
        </w:tc>
      </w:tr>
    </w:tbl>
    <w:p w14:paraId="5500A5DF" w14:textId="77777777" w:rsidR="00124A26" w:rsidRPr="00C07B2E" w:rsidRDefault="00124A26" w:rsidP="00124A26">
      <w:pPr>
        <w:rPr>
          <w:rFonts w:eastAsia="SimSun"/>
        </w:rPr>
      </w:pPr>
    </w:p>
    <w:p w14:paraId="14E850FA" w14:textId="77777777" w:rsidR="00124A26" w:rsidRPr="00C07B2E" w:rsidRDefault="00124A26" w:rsidP="00124A26">
      <w:pPr>
        <w:rPr>
          <w:rFonts w:eastAsia="SimSun"/>
        </w:rPr>
      </w:pPr>
      <w:bookmarkStart w:id="211" w:name="_Toc44401168"/>
      <w:r w:rsidRPr="00042499">
        <w:rPr>
          <w:rFonts w:eastAsia="SimSun"/>
        </w:rPr>
        <w:t>Таблица</w:t>
      </w:r>
      <w:r w:rsidRPr="00C07B2E">
        <w:rPr>
          <w:rFonts w:eastAsia="SimSun"/>
        </w:rPr>
        <w:t xml:space="preserve"> </w:t>
      </w:r>
      <w:r>
        <w:rPr>
          <w:rFonts w:eastAsia="SimSun"/>
        </w:rPr>
        <w:t>5.</w:t>
      </w:r>
      <w:r w:rsidRPr="00C07B2E">
        <w:rPr>
          <w:rFonts w:eastAsia="SimSun"/>
        </w:rPr>
        <w:t>1.2.10  – Flu180+Bu8 / Tx+MMF30</w:t>
      </w:r>
      <w:bookmarkEnd w:id="211"/>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124A26" w:rsidRPr="00AC3044" w14:paraId="230BCE58" w14:textId="77777777" w:rsidTr="002D3EBF">
        <w:trPr>
          <w:cantSplit/>
          <w:trHeight w:val="20"/>
          <w:tblHeader/>
        </w:trPr>
        <w:tc>
          <w:tcPr>
            <w:tcW w:w="993" w:type="dxa"/>
            <w:vAlign w:val="center"/>
          </w:tcPr>
          <w:p w14:paraId="2F774F0D" w14:textId="77777777" w:rsidR="00124A26" w:rsidRPr="00AC3044" w:rsidRDefault="00124A26" w:rsidP="002D3EBF">
            <w:pPr>
              <w:ind w:firstLine="0"/>
              <w:rPr>
                <w:rFonts w:eastAsia="SimSun"/>
              </w:rPr>
            </w:pPr>
          </w:p>
        </w:tc>
        <w:tc>
          <w:tcPr>
            <w:tcW w:w="1843" w:type="dxa"/>
            <w:vAlign w:val="center"/>
          </w:tcPr>
          <w:p w14:paraId="0F208376" w14:textId="77777777" w:rsidR="00124A26" w:rsidRPr="00AC3044" w:rsidRDefault="00124A26" w:rsidP="002D3EBF">
            <w:pPr>
              <w:ind w:firstLine="0"/>
              <w:rPr>
                <w:rFonts w:eastAsia="SimSun"/>
              </w:rPr>
            </w:pPr>
            <w:r w:rsidRPr="00AC3044">
              <w:rPr>
                <w:rFonts w:eastAsia="SimSun"/>
              </w:rPr>
              <w:t>Препарат</w:t>
            </w:r>
          </w:p>
        </w:tc>
        <w:tc>
          <w:tcPr>
            <w:tcW w:w="1417" w:type="dxa"/>
            <w:vAlign w:val="center"/>
          </w:tcPr>
          <w:p w14:paraId="6D600242" w14:textId="77777777" w:rsidR="00124A26" w:rsidRPr="00AC3044" w:rsidRDefault="00124A26" w:rsidP="002D3EBF">
            <w:pPr>
              <w:ind w:firstLine="0"/>
              <w:rPr>
                <w:rFonts w:eastAsia="SimSun"/>
              </w:rPr>
            </w:pPr>
            <w:r w:rsidRPr="00AC3044">
              <w:rPr>
                <w:rFonts w:eastAsia="SimSun"/>
              </w:rPr>
              <w:t>Суточная доза</w:t>
            </w:r>
          </w:p>
        </w:tc>
        <w:tc>
          <w:tcPr>
            <w:tcW w:w="1559" w:type="dxa"/>
            <w:vAlign w:val="center"/>
          </w:tcPr>
          <w:p w14:paraId="17438741" w14:textId="77777777" w:rsidR="00124A26" w:rsidRPr="00AC3044" w:rsidRDefault="00124A26" w:rsidP="002D3EBF">
            <w:pPr>
              <w:ind w:firstLine="0"/>
              <w:rPr>
                <w:rFonts w:eastAsia="SimSun"/>
              </w:rPr>
            </w:pPr>
            <w:r w:rsidRPr="00AC3044">
              <w:rPr>
                <w:rFonts w:eastAsia="SimSun"/>
              </w:rPr>
              <w:t>Курсовая доза</w:t>
            </w:r>
          </w:p>
        </w:tc>
        <w:tc>
          <w:tcPr>
            <w:tcW w:w="1560" w:type="dxa"/>
            <w:vAlign w:val="center"/>
          </w:tcPr>
          <w:p w14:paraId="14A88409" w14:textId="77777777" w:rsidR="00124A26" w:rsidRPr="00AC3044" w:rsidRDefault="00124A26" w:rsidP="002D3EBF">
            <w:pPr>
              <w:ind w:firstLine="0"/>
              <w:rPr>
                <w:rFonts w:eastAsia="SimSun"/>
              </w:rPr>
            </w:pPr>
            <w:r w:rsidRPr="00AC3044">
              <w:rPr>
                <w:rFonts w:eastAsia="SimSun"/>
              </w:rPr>
              <w:t>Дни введения</w:t>
            </w:r>
          </w:p>
        </w:tc>
        <w:tc>
          <w:tcPr>
            <w:tcW w:w="2268" w:type="dxa"/>
            <w:vAlign w:val="center"/>
          </w:tcPr>
          <w:p w14:paraId="1FDE0252"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2C503E4D" w14:textId="77777777" w:rsidTr="002D3EBF">
        <w:trPr>
          <w:cantSplit/>
          <w:trHeight w:val="20"/>
        </w:trPr>
        <w:tc>
          <w:tcPr>
            <w:tcW w:w="993" w:type="dxa"/>
            <w:vMerge w:val="restart"/>
            <w:textDirection w:val="btLr"/>
            <w:vAlign w:val="center"/>
          </w:tcPr>
          <w:p w14:paraId="16F7D58C" w14:textId="77777777" w:rsidR="00124A26" w:rsidRPr="00AC3044" w:rsidRDefault="00124A26" w:rsidP="002D3EBF">
            <w:pPr>
              <w:ind w:firstLine="0"/>
              <w:rPr>
                <w:rFonts w:eastAsia="SimSun"/>
              </w:rPr>
            </w:pPr>
            <w:r w:rsidRPr="00AC3044">
              <w:rPr>
                <w:rFonts w:eastAsia="SimSun"/>
              </w:rPr>
              <w:t>Кондиционирование</w:t>
            </w:r>
          </w:p>
        </w:tc>
        <w:tc>
          <w:tcPr>
            <w:tcW w:w="1843" w:type="dxa"/>
            <w:vAlign w:val="center"/>
          </w:tcPr>
          <w:p w14:paraId="3CC80B97" w14:textId="77777777" w:rsidR="00124A26" w:rsidRPr="00AC3044" w:rsidRDefault="00124A26" w:rsidP="002D3EBF">
            <w:pPr>
              <w:ind w:firstLine="0"/>
              <w:rPr>
                <w:rFonts w:eastAsia="SimSun"/>
              </w:rPr>
            </w:pPr>
            <w:r w:rsidRPr="00AC3044">
              <w:rPr>
                <w:rFonts w:eastAsia="SimSun"/>
              </w:rPr>
              <w:t xml:space="preserve">Флударабин </w:t>
            </w:r>
          </w:p>
        </w:tc>
        <w:tc>
          <w:tcPr>
            <w:tcW w:w="1417" w:type="dxa"/>
            <w:vAlign w:val="center"/>
          </w:tcPr>
          <w:p w14:paraId="61716E61" w14:textId="77777777" w:rsidR="00124A26" w:rsidRPr="00AC3044" w:rsidRDefault="00124A26" w:rsidP="002D3EBF">
            <w:pPr>
              <w:ind w:firstLine="0"/>
              <w:rPr>
                <w:rFonts w:eastAsia="SimSun"/>
              </w:rPr>
            </w:pPr>
            <w:r w:rsidRPr="00AC3044">
              <w:rPr>
                <w:rFonts w:eastAsia="SimSun"/>
              </w:rPr>
              <w:t>30 мг/м</w:t>
            </w:r>
            <w:r w:rsidRPr="001E6DBE">
              <w:rPr>
                <w:rFonts w:eastAsia="SimSun"/>
                <w:vertAlign w:val="superscript"/>
              </w:rPr>
              <w:t>2</w:t>
            </w:r>
          </w:p>
        </w:tc>
        <w:tc>
          <w:tcPr>
            <w:tcW w:w="1559" w:type="dxa"/>
            <w:vAlign w:val="center"/>
          </w:tcPr>
          <w:p w14:paraId="57A466DD" w14:textId="77777777" w:rsidR="00124A26" w:rsidRPr="00AC3044" w:rsidRDefault="00124A26" w:rsidP="002D3EBF">
            <w:pPr>
              <w:ind w:firstLine="0"/>
              <w:rPr>
                <w:rFonts w:eastAsia="SimSun"/>
              </w:rPr>
            </w:pPr>
            <w:r w:rsidRPr="00AC3044">
              <w:rPr>
                <w:rFonts w:eastAsia="SimSun"/>
              </w:rPr>
              <w:t>180 мг/м</w:t>
            </w:r>
            <w:r w:rsidRPr="001E6DBE">
              <w:rPr>
                <w:rFonts w:eastAsia="SimSun"/>
                <w:vertAlign w:val="superscript"/>
              </w:rPr>
              <w:t>2</w:t>
            </w:r>
          </w:p>
        </w:tc>
        <w:tc>
          <w:tcPr>
            <w:tcW w:w="1560" w:type="dxa"/>
            <w:vAlign w:val="center"/>
          </w:tcPr>
          <w:p w14:paraId="590B0E24" w14:textId="77777777" w:rsidR="00124A26" w:rsidRPr="00AC3044" w:rsidRDefault="00124A26" w:rsidP="002D3EBF">
            <w:pPr>
              <w:ind w:firstLine="0"/>
              <w:rPr>
                <w:rFonts w:eastAsia="SimSun"/>
              </w:rPr>
            </w:pPr>
            <w:r w:rsidRPr="00AC3044">
              <w:rPr>
                <w:rFonts w:eastAsia="SimSun"/>
              </w:rPr>
              <w:t>С -7 дня по -2 день</w:t>
            </w:r>
          </w:p>
        </w:tc>
        <w:tc>
          <w:tcPr>
            <w:tcW w:w="2268" w:type="dxa"/>
            <w:vAlign w:val="center"/>
          </w:tcPr>
          <w:p w14:paraId="182A5D76"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2C64A90B" w14:textId="77777777" w:rsidTr="002D3EBF">
        <w:trPr>
          <w:cantSplit/>
          <w:trHeight w:val="784"/>
        </w:trPr>
        <w:tc>
          <w:tcPr>
            <w:tcW w:w="993" w:type="dxa"/>
            <w:vMerge/>
            <w:vAlign w:val="center"/>
          </w:tcPr>
          <w:p w14:paraId="1D72DFEC" w14:textId="77777777" w:rsidR="00124A26" w:rsidRPr="00AC3044" w:rsidRDefault="00124A26" w:rsidP="002D3EBF">
            <w:pPr>
              <w:ind w:firstLine="0"/>
              <w:rPr>
                <w:rFonts w:eastAsia="SimSun"/>
              </w:rPr>
            </w:pPr>
          </w:p>
        </w:tc>
        <w:tc>
          <w:tcPr>
            <w:tcW w:w="1843" w:type="dxa"/>
            <w:vAlign w:val="center"/>
          </w:tcPr>
          <w:p w14:paraId="5B05334E" w14:textId="77777777" w:rsidR="00124A26" w:rsidRPr="00AC3044" w:rsidRDefault="00124A26" w:rsidP="002D3EBF">
            <w:pPr>
              <w:ind w:firstLine="0"/>
              <w:rPr>
                <w:rFonts w:eastAsia="SimSun"/>
              </w:rPr>
            </w:pPr>
            <w:r w:rsidRPr="00AC3044">
              <w:rPr>
                <w:rFonts w:eastAsia="SimSun"/>
              </w:rPr>
              <w:t>Бусульфан</w:t>
            </w:r>
          </w:p>
        </w:tc>
        <w:tc>
          <w:tcPr>
            <w:tcW w:w="1417" w:type="dxa"/>
            <w:vAlign w:val="center"/>
          </w:tcPr>
          <w:p w14:paraId="718E179E" w14:textId="77777777" w:rsidR="00124A26" w:rsidRPr="00AC3044" w:rsidRDefault="00124A26" w:rsidP="002D3EBF">
            <w:pPr>
              <w:ind w:firstLine="0"/>
              <w:rPr>
                <w:rFonts w:eastAsia="SimSun"/>
              </w:rPr>
            </w:pPr>
            <w:r w:rsidRPr="00AC3044">
              <w:rPr>
                <w:rFonts w:eastAsia="SimSun"/>
              </w:rPr>
              <w:t xml:space="preserve">4 мг/кг </w:t>
            </w:r>
          </w:p>
        </w:tc>
        <w:tc>
          <w:tcPr>
            <w:tcW w:w="1559" w:type="dxa"/>
            <w:vAlign w:val="center"/>
          </w:tcPr>
          <w:p w14:paraId="732CF1E5" w14:textId="77777777" w:rsidR="00124A26" w:rsidRPr="00AC3044" w:rsidRDefault="00124A26" w:rsidP="002D3EBF">
            <w:pPr>
              <w:ind w:firstLine="0"/>
              <w:rPr>
                <w:rFonts w:eastAsia="SimSun"/>
              </w:rPr>
            </w:pPr>
            <w:r w:rsidRPr="00AC3044">
              <w:rPr>
                <w:rFonts w:eastAsia="SimSun"/>
              </w:rPr>
              <w:t xml:space="preserve">8 мг/кг </w:t>
            </w:r>
          </w:p>
        </w:tc>
        <w:tc>
          <w:tcPr>
            <w:tcW w:w="1560" w:type="dxa"/>
            <w:vAlign w:val="center"/>
          </w:tcPr>
          <w:p w14:paraId="1E48D4CE" w14:textId="77777777" w:rsidR="00124A26" w:rsidRPr="00AC3044" w:rsidRDefault="00124A26" w:rsidP="002D3EBF">
            <w:pPr>
              <w:ind w:firstLine="0"/>
              <w:rPr>
                <w:rFonts w:eastAsia="SimSun"/>
              </w:rPr>
            </w:pPr>
            <w:r w:rsidRPr="00AC3044">
              <w:rPr>
                <w:rFonts w:eastAsia="SimSun"/>
              </w:rPr>
              <w:t>С -4 дня по -3 день</w:t>
            </w:r>
          </w:p>
        </w:tc>
        <w:tc>
          <w:tcPr>
            <w:tcW w:w="2268" w:type="dxa"/>
            <w:vAlign w:val="center"/>
          </w:tcPr>
          <w:p w14:paraId="6B18AAFD"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124A26" w:rsidRPr="00AC3044" w14:paraId="33760D3F" w14:textId="77777777" w:rsidTr="002D3EBF">
        <w:trPr>
          <w:cantSplit/>
          <w:trHeight w:val="1498"/>
        </w:trPr>
        <w:tc>
          <w:tcPr>
            <w:tcW w:w="993" w:type="dxa"/>
            <w:vMerge w:val="restart"/>
            <w:textDirection w:val="btLr"/>
            <w:vAlign w:val="center"/>
          </w:tcPr>
          <w:p w14:paraId="2CB5CBA9" w14:textId="77777777" w:rsidR="00124A26" w:rsidRPr="00AC3044" w:rsidRDefault="00124A26" w:rsidP="002D3EBF">
            <w:pPr>
              <w:ind w:firstLine="0"/>
              <w:rPr>
                <w:rFonts w:eastAsia="SimSun"/>
              </w:rPr>
            </w:pPr>
            <w:r w:rsidRPr="00AC3044">
              <w:rPr>
                <w:rFonts w:eastAsia="SimSun"/>
              </w:rPr>
              <w:t>Профилактика РТПХ</w:t>
            </w:r>
          </w:p>
        </w:tc>
        <w:tc>
          <w:tcPr>
            <w:tcW w:w="1843" w:type="dxa"/>
            <w:vAlign w:val="center"/>
          </w:tcPr>
          <w:p w14:paraId="5552E2DE" w14:textId="77777777" w:rsidR="00124A26" w:rsidRPr="00AC3044" w:rsidRDefault="00124A26" w:rsidP="002D3EBF">
            <w:pPr>
              <w:ind w:firstLine="0"/>
              <w:rPr>
                <w:rFonts w:eastAsia="SimSun"/>
              </w:rPr>
            </w:pPr>
            <w:r w:rsidRPr="00AC3044">
              <w:rPr>
                <w:rFonts w:eastAsia="SimSun"/>
              </w:rPr>
              <w:t xml:space="preserve">Такролимус </w:t>
            </w:r>
          </w:p>
        </w:tc>
        <w:tc>
          <w:tcPr>
            <w:tcW w:w="1417" w:type="dxa"/>
            <w:vAlign w:val="center"/>
          </w:tcPr>
          <w:p w14:paraId="67D63BA2" w14:textId="77777777" w:rsidR="00124A26" w:rsidRPr="00AC3044" w:rsidRDefault="00124A26" w:rsidP="002D3EBF">
            <w:pPr>
              <w:ind w:firstLine="0"/>
              <w:rPr>
                <w:rFonts w:eastAsia="SimSun"/>
              </w:rPr>
            </w:pPr>
            <w:r w:rsidRPr="00AC3044">
              <w:rPr>
                <w:rFonts w:eastAsia="SimSun"/>
              </w:rPr>
              <w:t>0,03 мг/кг</w:t>
            </w:r>
          </w:p>
        </w:tc>
        <w:tc>
          <w:tcPr>
            <w:tcW w:w="1559" w:type="dxa"/>
            <w:vAlign w:val="center"/>
          </w:tcPr>
          <w:p w14:paraId="20BA9FA7" w14:textId="77777777" w:rsidR="00124A26" w:rsidRPr="00AC3044" w:rsidRDefault="00124A26" w:rsidP="002D3EBF">
            <w:pPr>
              <w:ind w:firstLine="0"/>
              <w:rPr>
                <w:rFonts w:eastAsia="SimSun"/>
              </w:rPr>
            </w:pPr>
            <w:r w:rsidRPr="00AC3044">
              <w:rPr>
                <w:rFonts w:eastAsia="SimSun"/>
              </w:rPr>
              <w:t>–</w:t>
            </w:r>
          </w:p>
        </w:tc>
        <w:tc>
          <w:tcPr>
            <w:tcW w:w="1560" w:type="dxa"/>
            <w:vAlign w:val="center"/>
          </w:tcPr>
          <w:p w14:paraId="328B8F6D" w14:textId="77777777" w:rsidR="00124A26" w:rsidRPr="00AC3044" w:rsidRDefault="00124A26" w:rsidP="002D3EBF">
            <w:pPr>
              <w:ind w:firstLine="0"/>
              <w:rPr>
                <w:rFonts w:eastAsia="SimSun"/>
              </w:rPr>
            </w:pPr>
            <w:r w:rsidRPr="00AC3044">
              <w:rPr>
                <w:rFonts w:eastAsia="SimSun"/>
              </w:rPr>
              <w:t xml:space="preserve">С -1 дня длительно </w:t>
            </w:r>
          </w:p>
        </w:tc>
        <w:tc>
          <w:tcPr>
            <w:tcW w:w="2268" w:type="dxa"/>
            <w:vAlign w:val="center"/>
          </w:tcPr>
          <w:p w14:paraId="2F0A268F" w14:textId="77777777" w:rsidR="00124A26" w:rsidRPr="00AC3044" w:rsidRDefault="00124A26"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124A26" w:rsidRPr="00AC3044" w14:paraId="555E4BBE" w14:textId="77777777" w:rsidTr="002D3EBF">
        <w:trPr>
          <w:cantSplit/>
          <w:trHeight w:val="538"/>
        </w:trPr>
        <w:tc>
          <w:tcPr>
            <w:tcW w:w="993" w:type="dxa"/>
            <w:vMerge/>
            <w:textDirection w:val="btLr"/>
            <w:vAlign w:val="center"/>
          </w:tcPr>
          <w:p w14:paraId="52E706CC" w14:textId="77777777" w:rsidR="00124A26" w:rsidRPr="00AC3044" w:rsidRDefault="00124A26" w:rsidP="002D3EBF">
            <w:pPr>
              <w:ind w:firstLine="0"/>
              <w:rPr>
                <w:rFonts w:eastAsia="SimSun"/>
              </w:rPr>
            </w:pPr>
          </w:p>
        </w:tc>
        <w:tc>
          <w:tcPr>
            <w:tcW w:w="1843" w:type="dxa"/>
            <w:vAlign w:val="center"/>
          </w:tcPr>
          <w:p w14:paraId="03FCA2F2" w14:textId="77777777" w:rsidR="00124A26" w:rsidRPr="00AC3044" w:rsidRDefault="00124A26" w:rsidP="002D3EBF">
            <w:pPr>
              <w:ind w:firstLine="0"/>
              <w:rPr>
                <w:rFonts w:eastAsia="SimSun"/>
              </w:rPr>
            </w:pPr>
            <w:r w:rsidRPr="00AC3044">
              <w:rPr>
                <w:rFonts w:eastAsia="SimSun"/>
              </w:rPr>
              <w:t>Микофенолата мофетил</w:t>
            </w:r>
          </w:p>
        </w:tc>
        <w:tc>
          <w:tcPr>
            <w:tcW w:w="1417" w:type="dxa"/>
            <w:vAlign w:val="center"/>
          </w:tcPr>
          <w:p w14:paraId="0E03C16F" w14:textId="77777777" w:rsidR="00124A26" w:rsidRPr="00AC3044" w:rsidRDefault="00124A26" w:rsidP="002D3EBF">
            <w:pPr>
              <w:ind w:firstLine="0"/>
              <w:rPr>
                <w:rFonts w:eastAsia="SimSun"/>
              </w:rPr>
            </w:pPr>
            <w:r w:rsidRPr="00AC3044">
              <w:rPr>
                <w:rFonts w:eastAsia="SimSun"/>
              </w:rPr>
              <w:t xml:space="preserve">30 мг/кг </w:t>
            </w:r>
          </w:p>
        </w:tc>
        <w:tc>
          <w:tcPr>
            <w:tcW w:w="1559" w:type="dxa"/>
            <w:vAlign w:val="center"/>
          </w:tcPr>
          <w:p w14:paraId="4120768C" w14:textId="77777777" w:rsidR="00124A26" w:rsidRPr="00AC3044" w:rsidRDefault="00124A26" w:rsidP="002D3EBF">
            <w:pPr>
              <w:ind w:firstLine="0"/>
              <w:rPr>
                <w:rFonts w:eastAsia="SimSun"/>
              </w:rPr>
            </w:pPr>
            <w:r w:rsidRPr="00AC3044">
              <w:rPr>
                <w:rFonts w:eastAsia="SimSun"/>
              </w:rPr>
              <w:t>–</w:t>
            </w:r>
          </w:p>
        </w:tc>
        <w:tc>
          <w:tcPr>
            <w:tcW w:w="1560" w:type="dxa"/>
            <w:vAlign w:val="center"/>
          </w:tcPr>
          <w:p w14:paraId="1570ADAE" w14:textId="77777777" w:rsidR="00124A26" w:rsidRPr="00AC3044" w:rsidRDefault="00124A26" w:rsidP="002D3EBF">
            <w:pPr>
              <w:ind w:firstLine="0"/>
              <w:rPr>
                <w:rFonts w:eastAsia="SimSun"/>
              </w:rPr>
            </w:pPr>
            <w:r w:rsidRPr="00AC3044">
              <w:rPr>
                <w:rFonts w:eastAsia="SimSun"/>
              </w:rPr>
              <w:t xml:space="preserve">С -1 дня по +30 день </w:t>
            </w:r>
          </w:p>
        </w:tc>
        <w:tc>
          <w:tcPr>
            <w:tcW w:w="2268" w:type="dxa"/>
            <w:vAlign w:val="center"/>
          </w:tcPr>
          <w:p w14:paraId="1EC3B75E"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2- 4 приема.</w:t>
            </w:r>
          </w:p>
        </w:tc>
      </w:tr>
    </w:tbl>
    <w:p w14:paraId="1D8C9383" w14:textId="77777777" w:rsidR="00124A26" w:rsidRDefault="00124A26" w:rsidP="00124A26">
      <w:pPr>
        <w:rPr>
          <w:rFonts w:eastAsia="SimSun"/>
        </w:rPr>
      </w:pPr>
      <w:bookmarkStart w:id="212" w:name="_Toc44401169"/>
    </w:p>
    <w:p w14:paraId="3503DA1D" w14:textId="77777777" w:rsidR="00124A26" w:rsidRDefault="00124A26" w:rsidP="00124A26">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1.2.11  – Flu180+Bu8/ PT-Cy+CSA+MMF30</w:t>
      </w:r>
      <w:bookmarkEnd w:id="212"/>
    </w:p>
    <w:tbl>
      <w:tblPr>
        <w:tblW w:w="9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843"/>
        <w:gridCol w:w="1417"/>
        <w:gridCol w:w="1701"/>
        <w:gridCol w:w="1418"/>
        <w:gridCol w:w="2246"/>
      </w:tblGrid>
      <w:tr w:rsidR="00124A26" w:rsidRPr="00AC3044" w14:paraId="3C9A4693" w14:textId="77777777" w:rsidTr="002D3EBF">
        <w:trPr>
          <w:cantSplit/>
          <w:trHeight w:val="20"/>
          <w:tblHeader/>
        </w:trPr>
        <w:tc>
          <w:tcPr>
            <w:tcW w:w="959" w:type="dxa"/>
            <w:vAlign w:val="center"/>
          </w:tcPr>
          <w:p w14:paraId="6FD355FC" w14:textId="77777777" w:rsidR="00124A26" w:rsidRPr="00470D3D" w:rsidRDefault="00124A26" w:rsidP="002D3EBF">
            <w:pPr>
              <w:ind w:firstLine="0"/>
              <w:rPr>
                <w:rFonts w:eastAsia="SimSun"/>
              </w:rPr>
            </w:pPr>
          </w:p>
        </w:tc>
        <w:tc>
          <w:tcPr>
            <w:tcW w:w="1843" w:type="dxa"/>
            <w:vAlign w:val="center"/>
          </w:tcPr>
          <w:p w14:paraId="1996A161" w14:textId="77777777" w:rsidR="00124A26" w:rsidRPr="00AC3044" w:rsidRDefault="00124A26" w:rsidP="002D3EBF">
            <w:pPr>
              <w:ind w:firstLine="0"/>
              <w:rPr>
                <w:rFonts w:eastAsia="SimSun"/>
              </w:rPr>
            </w:pPr>
            <w:r w:rsidRPr="00AC3044">
              <w:rPr>
                <w:rFonts w:eastAsia="SimSun"/>
              </w:rPr>
              <w:t>Препарат</w:t>
            </w:r>
          </w:p>
        </w:tc>
        <w:tc>
          <w:tcPr>
            <w:tcW w:w="1417" w:type="dxa"/>
            <w:vAlign w:val="center"/>
          </w:tcPr>
          <w:p w14:paraId="42B9D164" w14:textId="77777777" w:rsidR="00124A26" w:rsidRPr="00AC3044" w:rsidRDefault="00124A26" w:rsidP="002D3EBF">
            <w:pPr>
              <w:ind w:firstLine="0"/>
              <w:rPr>
                <w:rFonts w:eastAsia="SimSun"/>
              </w:rPr>
            </w:pPr>
            <w:r w:rsidRPr="00AC3044">
              <w:rPr>
                <w:rFonts w:eastAsia="SimSun"/>
              </w:rPr>
              <w:t>Суточная доза</w:t>
            </w:r>
          </w:p>
        </w:tc>
        <w:tc>
          <w:tcPr>
            <w:tcW w:w="1701" w:type="dxa"/>
            <w:vAlign w:val="center"/>
          </w:tcPr>
          <w:p w14:paraId="6DA2CA48" w14:textId="77777777" w:rsidR="00124A26" w:rsidRPr="00AC3044" w:rsidRDefault="00124A26" w:rsidP="002D3EBF">
            <w:pPr>
              <w:ind w:firstLine="0"/>
              <w:rPr>
                <w:rFonts w:eastAsia="SimSun"/>
              </w:rPr>
            </w:pPr>
            <w:r w:rsidRPr="00AC3044">
              <w:rPr>
                <w:rFonts w:eastAsia="SimSun"/>
              </w:rPr>
              <w:t>Курсовая доза</w:t>
            </w:r>
          </w:p>
        </w:tc>
        <w:tc>
          <w:tcPr>
            <w:tcW w:w="1418" w:type="dxa"/>
            <w:vAlign w:val="center"/>
          </w:tcPr>
          <w:p w14:paraId="19372E02" w14:textId="77777777" w:rsidR="00124A26" w:rsidRPr="00AC3044" w:rsidRDefault="00124A26" w:rsidP="002D3EBF">
            <w:pPr>
              <w:ind w:firstLine="0"/>
              <w:rPr>
                <w:rFonts w:eastAsia="SimSun"/>
              </w:rPr>
            </w:pPr>
            <w:r w:rsidRPr="00AC3044">
              <w:rPr>
                <w:rFonts w:eastAsia="SimSun"/>
              </w:rPr>
              <w:t>Дни введения</w:t>
            </w:r>
          </w:p>
        </w:tc>
        <w:tc>
          <w:tcPr>
            <w:tcW w:w="2246" w:type="dxa"/>
            <w:vAlign w:val="center"/>
          </w:tcPr>
          <w:p w14:paraId="74ECD452"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169A15DB" w14:textId="77777777" w:rsidTr="002D3EBF">
        <w:trPr>
          <w:cantSplit/>
          <w:trHeight w:val="20"/>
        </w:trPr>
        <w:tc>
          <w:tcPr>
            <w:tcW w:w="959" w:type="dxa"/>
            <w:vMerge w:val="restart"/>
            <w:textDirection w:val="btLr"/>
            <w:vAlign w:val="center"/>
          </w:tcPr>
          <w:p w14:paraId="059247C1" w14:textId="77777777" w:rsidR="00124A26" w:rsidRPr="00AC3044" w:rsidRDefault="00124A26" w:rsidP="002D3EBF">
            <w:pPr>
              <w:ind w:firstLine="0"/>
              <w:rPr>
                <w:rFonts w:eastAsia="SimSun"/>
              </w:rPr>
            </w:pPr>
            <w:r w:rsidRPr="00AC3044">
              <w:rPr>
                <w:rFonts w:eastAsia="SimSun"/>
              </w:rPr>
              <w:t>Кондиционирование</w:t>
            </w:r>
          </w:p>
        </w:tc>
        <w:tc>
          <w:tcPr>
            <w:tcW w:w="1843" w:type="dxa"/>
            <w:vAlign w:val="center"/>
          </w:tcPr>
          <w:p w14:paraId="57D75C20" w14:textId="77777777" w:rsidR="00124A26" w:rsidRPr="00AC3044" w:rsidRDefault="00124A26" w:rsidP="002D3EBF">
            <w:pPr>
              <w:ind w:firstLine="0"/>
              <w:rPr>
                <w:rFonts w:eastAsia="SimSun"/>
              </w:rPr>
            </w:pPr>
            <w:r w:rsidRPr="00AC3044">
              <w:rPr>
                <w:rFonts w:eastAsia="SimSun"/>
              </w:rPr>
              <w:t xml:space="preserve">Флударабин </w:t>
            </w:r>
          </w:p>
        </w:tc>
        <w:tc>
          <w:tcPr>
            <w:tcW w:w="1417" w:type="dxa"/>
            <w:vAlign w:val="center"/>
          </w:tcPr>
          <w:p w14:paraId="7BF62D7C" w14:textId="77777777" w:rsidR="00124A26" w:rsidRPr="00AC3044" w:rsidRDefault="00124A26" w:rsidP="002D3EBF">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2E3BE389" w14:textId="77777777" w:rsidR="00124A26" w:rsidRPr="00AC3044" w:rsidRDefault="00124A26" w:rsidP="002D3EBF">
            <w:pPr>
              <w:ind w:firstLine="0"/>
              <w:rPr>
                <w:rFonts w:eastAsia="SimSun"/>
              </w:rPr>
            </w:pPr>
            <w:r w:rsidRPr="00AC3044">
              <w:rPr>
                <w:rFonts w:eastAsia="SimSun"/>
              </w:rPr>
              <w:t>180 мг/м</w:t>
            </w:r>
            <w:r w:rsidRPr="001E6DBE">
              <w:rPr>
                <w:rFonts w:eastAsia="SimSun"/>
                <w:vertAlign w:val="superscript"/>
              </w:rPr>
              <w:t>2</w:t>
            </w:r>
          </w:p>
        </w:tc>
        <w:tc>
          <w:tcPr>
            <w:tcW w:w="1418" w:type="dxa"/>
            <w:vAlign w:val="center"/>
          </w:tcPr>
          <w:p w14:paraId="4A94D16A" w14:textId="77777777" w:rsidR="00124A26" w:rsidRPr="00AC3044" w:rsidRDefault="00124A26" w:rsidP="002D3EBF">
            <w:pPr>
              <w:ind w:firstLine="0"/>
              <w:rPr>
                <w:rFonts w:eastAsia="SimSun"/>
              </w:rPr>
            </w:pPr>
            <w:r w:rsidRPr="00AC3044">
              <w:rPr>
                <w:rFonts w:eastAsia="SimSun"/>
              </w:rPr>
              <w:t>С -7 дня по -2 день</w:t>
            </w:r>
          </w:p>
        </w:tc>
        <w:tc>
          <w:tcPr>
            <w:tcW w:w="2246" w:type="dxa"/>
            <w:vAlign w:val="center"/>
          </w:tcPr>
          <w:p w14:paraId="4A32B6C2"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0D48AB9E" w14:textId="77777777" w:rsidTr="002D3EBF">
        <w:trPr>
          <w:cantSplit/>
          <w:trHeight w:val="550"/>
        </w:trPr>
        <w:tc>
          <w:tcPr>
            <w:tcW w:w="959" w:type="dxa"/>
            <w:vMerge/>
            <w:vAlign w:val="center"/>
          </w:tcPr>
          <w:p w14:paraId="3045432F" w14:textId="77777777" w:rsidR="00124A26" w:rsidRPr="00AC3044" w:rsidRDefault="00124A26" w:rsidP="002D3EBF">
            <w:pPr>
              <w:ind w:firstLine="0"/>
              <w:rPr>
                <w:rFonts w:eastAsia="SimSun"/>
              </w:rPr>
            </w:pPr>
          </w:p>
        </w:tc>
        <w:tc>
          <w:tcPr>
            <w:tcW w:w="1843" w:type="dxa"/>
            <w:vAlign w:val="center"/>
          </w:tcPr>
          <w:p w14:paraId="6C2F26A2" w14:textId="77777777" w:rsidR="00124A26" w:rsidRPr="00AC3044" w:rsidRDefault="00124A26" w:rsidP="002D3EBF">
            <w:pPr>
              <w:ind w:firstLine="0"/>
              <w:rPr>
                <w:rFonts w:eastAsia="SimSun"/>
              </w:rPr>
            </w:pPr>
            <w:r w:rsidRPr="00AC3044">
              <w:rPr>
                <w:rFonts w:eastAsia="SimSun"/>
              </w:rPr>
              <w:t>Бусульфан</w:t>
            </w:r>
          </w:p>
        </w:tc>
        <w:tc>
          <w:tcPr>
            <w:tcW w:w="1417" w:type="dxa"/>
            <w:vAlign w:val="center"/>
          </w:tcPr>
          <w:p w14:paraId="67E9F668" w14:textId="77777777" w:rsidR="00124A26" w:rsidRPr="00AC3044" w:rsidRDefault="00124A26" w:rsidP="002D3EBF">
            <w:pPr>
              <w:ind w:firstLine="0"/>
              <w:rPr>
                <w:rFonts w:eastAsia="SimSun"/>
              </w:rPr>
            </w:pPr>
            <w:r w:rsidRPr="00AC3044">
              <w:rPr>
                <w:rFonts w:eastAsia="SimSun"/>
              </w:rPr>
              <w:t xml:space="preserve">4 мг/кг </w:t>
            </w:r>
          </w:p>
        </w:tc>
        <w:tc>
          <w:tcPr>
            <w:tcW w:w="1701" w:type="dxa"/>
            <w:vAlign w:val="center"/>
          </w:tcPr>
          <w:p w14:paraId="159EE0CE" w14:textId="77777777" w:rsidR="00124A26" w:rsidRPr="00AC3044" w:rsidRDefault="00124A26" w:rsidP="002D3EBF">
            <w:pPr>
              <w:ind w:firstLine="0"/>
              <w:rPr>
                <w:rFonts w:eastAsia="SimSun"/>
              </w:rPr>
            </w:pPr>
            <w:r w:rsidRPr="00AC3044">
              <w:rPr>
                <w:rFonts w:eastAsia="SimSun"/>
              </w:rPr>
              <w:t xml:space="preserve">8 мг/кг </w:t>
            </w:r>
          </w:p>
        </w:tc>
        <w:tc>
          <w:tcPr>
            <w:tcW w:w="1418" w:type="dxa"/>
            <w:vAlign w:val="center"/>
          </w:tcPr>
          <w:p w14:paraId="0B22FD54" w14:textId="77777777" w:rsidR="00124A26" w:rsidRPr="00AC3044" w:rsidRDefault="00124A26" w:rsidP="002D3EBF">
            <w:pPr>
              <w:ind w:firstLine="0"/>
              <w:rPr>
                <w:rFonts w:eastAsia="SimSun"/>
              </w:rPr>
            </w:pPr>
            <w:r w:rsidRPr="00AC3044">
              <w:rPr>
                <w:rFonts w:eastAsia="SimSun"/>
              </w:rPr>
              <w:t>С -4 дня по -3 день</w:t>
            </w:r>
          </w:p>
        </w:tc>
        <w:tc>
          <w:tcPr>
            <w:tcW w:w="2246" w:type="dxa"/>
            <w:vAlign w:val="center"/>
          </w:tcPr>
          <w:p w14:paraId="585D45B9"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124A26" w:rsidRPr="00AC3044" w14:paraId="6AB76F7E" w14:textId="77777777" w:rsidTr="002D3EBF">
        <w:trPr>
          <w:cantSplit/>
          <w:trHeight w:val="1498"/>
        </w:trPr>
        <w:tc>
          <w:tcPr>
            <w:tcW w:w="959" w:type="dxa"/>
            <w:vMerge w:val="restart"/>
            <w:textDirection w:val="btLr"/>
            <w:vAlign w:val="center"/>
          </w:tcPr>
          <w:p w14:paraId="37EC84F8" w14:textId="77777777" w:rsidR="00124A26" w:rsidRPr="00AC3044" w:rsidRDefault="00124A26" w:rsidP="002D3EBF">
            <w:pPr>
              <w:ind w:firstLine="0"/>
              <w:rPr>
                <w:rFonts w:eastAsia="SimSun"/>
              </w:rPr>
            </w:pPr>
            <w:r w:rsidRPr="00AC3044">
              <w:rPr>
                <w:rFonts w:eastAsia="SimSun"/>
              </w:rPr>
              <w:t>Профилактика РТПХ</w:t>
            </w:r>
          </w:p>
        </w:tc>
        <w:tc>
          <w:tcPr>
            <w:tcW w:w="1843" w:type="dxa"/>
            <w:vAlign w:val="center"/>
          </w:tcPr>
          <w:p w14:paraId="07B5FD42" w14:textId="77777777" w:rsidR="00124A26" w:rsidRPr="00AC3044" w:rsidRDefault="00124A26" w:rsidP="002D3EBF">
            <w:pPr>
              <w:ind w:firstLine="0"/>
              <w:rPr>
                <w:rFonts w:eastAsia="SimSun"/>
              </w:rPr>
            </w:pPr>
            <w:r w:rsidRPr="00AC3044">
              <w:rPr>
                <w:rFonts w:eastAsia="SimSun"/>
              </w:rPr>
              <w:t>Циклофосфамид</w:t>
            </w:r>
          </w:p>
        </w:tc>
        <w:tc>
          <w:tcPr>
            <w:tcW w:w="1417" w:type="dxa"/>
            <w:vAlign w:val="center"/>
          </w:tcPr>
          <w:p w14:paraId="6BC17450" w14:textId="77777777" w:rsidR="00124A26" w:rsidRPr="00AC3044" w:rsidRDefault="00124A26" w:rsidP="002D3EBF">
            <w:pPr>
              <w:ind w:firstLine="0"/>
              <w:rPr>
                <w:rFonts w:eastAsia="SimSun"/>
              </w:rPr>
            </w:pPr>
            <w:r w:rsidRPr="00AC3044">
              <w:rPr>
                <w:rFonts w:eastAsia="SimSun"/>
              </w:rPr>
              <w:t>50 мг/кг</w:t>
            </w:r>
          </w:p>
        </w:tc>
        <w:tc>
          <w:tcPr>
            <w:tcW w:w="1701" w:type="dxa"/>
            <w:vAlign w:val="center"/>
          </w:tcPr>
          <w:p w14:paraId="779808C3" w14:textId="77777777" w:rsidR="00124A26" w:rsidRPr="00AC3044" w:rsidRDefault="00124A26" w:rsidP="002D3EBF">
            <w:pPr>
              <w:ind w:firstLine="0"/>
              <w:rPr>
                <w:rFonts w:eastAsia="SimSun"/>
              </w:rPr>
            </w:pPr>
            <w:r w:rsidRPr="00AC3044">
              <w:rPr>
                <w:rFonts w:eastAsia="SimSun"/>
              </w:rPr>
              <w:t>100 мг/кг</w:t>
            </w:r>
          </w:p>
        </w:tc>
        <w:tc>
          <w:tcPr>
            <w:tcW w:w="1418" w:type="dxa"/>
            <w:vAlign w:val="center"/>
          </w:tcPr>
          <w:p w14:paraId="1E9509AB" w14:textId="77777777" w:rsidR="00124A26" w:rsidRPr="00AC3044" w:rsidRDefault="00124A26" w:rsidP="002D3EBF">
            <w:pPr>
              <w:ind w:firstLine="0"/>
              <w:rPr>
                <w:rFonts w:eastAsia="SimSun"/>
              </w:rPr>
            </w:pPr>
            <w:r w:rsidRPr="00AC3044">
              <w:rPr>
                <w:rFonts w:eastAsia="SimSun"/>
              </w:rPr>
              <w:t>В +3 день  и +5 день</w:t>
            </w:r>
          </w:p>
        </w:tc>
        <w:tc>
          <w:tcPr>
            <w:tcW w:w="2246" w:type="dxa"/>
            <w:vAlign w:val="center"/>
          </w:tcPr>
          <w:p w14:paraId="56A09D17" w14:textId="77777777" w:rsidR="00124A26" w:rsidRPr="00AC3044" w:rsidRDefault="00124A26" w:rsidP="002D3EBF">
            <w:pPr>
              <w:ind w:firstLine="0"/>
              <w:rPr>
                <w:rFonts w:eastAsia="SimSun"/>
              </w:rPr>
            </w:pPr>
            <w:r w:rsidRPr="00AC3044">
              <w:rPr>
                <w:rFonts w:eastAsia="SimSun"/>
              </w:rPr>
              <w:t>В/в, в течение 2 часов</w:t>
            </w:r>
          </w:p>
        </w:tc>
      </w:tr>
      <w:tr w:rsidR="00124A26" w:rsidRPr="00AC3044" w14:paraId="33C2B085" w14:textId="77777777" w:rsidTr="002D3EBF">
        <w:trPr>
          <w:cantSplit/>
          <w:trHeight w:val="958"/>
        </w:trPr>
        <w:tc>
          <w:tcPr>
            <w:tcW w:w="959" w:type="dxa"/>
            <w:vMerge/>
            <w:textDirection w:val="btLr"/>
            <w:vAlign w:val="center"/>
          </w:tcPr>
          <w:p w14:paraId="1A3D2372" w14:textId="77777777" w:rsidR="00124A26" w:rsidRPr="00AC3044" w:rsidRDefault="00124A26" w:rsidP="002D3EBF">
            <w:pPr>
              <w:ind w:firstLine="0"/>
              <w:rPr>
                <w:rFonts w:eastAsia="SimSun"/>
              </w:rPr>
            </w:pPr>
          </w:p>
        </w:tc>
        <w:tc>
          <w:tcPr>
            <w:tcW w:w="1843" w:type="dxa"/>
            <w:vAlign w:val="center"/>
          </w:tcPr>
          <w:p w14:paraId="36858AC1" w14:textId="77777777" w:rsidR="00124A26" w:rsidRPr="00AC3044" w:rsidRDefault="00124A26" w:rsidP="002D3EBF">
            <w:pPr>
              <w:ind w:firstLine="0"/>
              <w:rPr>
                <w:rFonts w:eastAsia="SimSun"/>
              </w:rPr>
            </w:pPr>
            <w:r w:rsidRPr="00AC3044">
              <w:rPr>
                <w:rFonts w:eastAsia="SimSun"/>
              </w:rPr>
              <w:t>Микофенолата мофетил</w:t>
            </w:r>
          </w:p>
        </w:tc>
        <w:tc>
          <w:tcPr>
            <w:tcW w:w="1417" w:type="dxa"/>
            <w:vAlign w:val="center"/>
          </w:tcPr>
          <w:p w14:paraId="3C28ECC0" w14:textId="77777777" w:rsidR="00124A26" w:rsidRPr="00AC3044" w:rsidRDefault="00124A26" w:rsidP="002D3EBF">
            <w:pPr>
              <w:ind w:firstLine="0"/>
              <w:rPr>
                <w:rFonts w:eastAsia="SimSun"/>
              </w:rPr>
            </w:pPr>
            <w:r w:rsidRPr="00AC3044">
              <w:rPr>
                <w:rFonts w:eastAsia="SimSun"/>
              </w:rPr>
              <w:t xml:space="preserve">30 мг/кг </w:t>
            </w:r>
          </w:p>
        </w:tc>
        <w:tc>
          <w:tcPr>
            <w:tcW w:w="1701" w:type="dxa"/>
            <w:vAlign w:val="center"/>
          </w:tcPr>
          <w:p w14:paraId="090F450A" w14:textId="77777777" w:rsidR="00124A26" w:rsidRPr="00AC3044" w:rsidRDefault="00124A26" w:rsidP="002D3EBF">
            <w:pPr>
              <w:ind w:firstLine="0"/>
              <w:rPr>
                <w:rFonts w:eastAsia="SimSun"/>
              </w:rPr>
            </w:pPr>
            <w:r w:rsidRPr="00AC3044">
              <w:rPr>
                <w:rFonts w:eastAsia="SimSun"/>
              </w:rPr>
              <w:t>–</w:t>
            </w:r>
          </w:p>
        </w:tc>
        <w:tc>
          <w:tcPr>
            <w:tcW w:w="1418" w:type="dxa"/>
            <w:vAlign w:val="center"/>
          </w:tcPr>
          <w:p w14:paraId="29D84875" w14:textId="77777777" w:rsidR="00124A26" w:rsidRPr="00AC3044" w:rsidRDefault="00124A26" w:rsidP="002D3EBF">
            <w:pPr>
              <w:ind w:firstLine="0"/>
              <w:rPr>
                <w:rFonts w:eastAsia="SimSun"/>
              </w:rPr>
            </w:pPr>
            <w:r w:rsidRPr="00AC3044">
              <w:rPr>
                <w:rFonts w:eastAsia="SimSun"/>
              </w:rPr>
              <w:t xml:space="preserve">С +1 дня по +28 день </w:t>
            </w:r>
          </w:p>
        </w:tc>
        <w:tc>
          <w:tcPr>
            <w:tcW w:w="2246" w:type="dxa"/>
            <w:vAlign w:val="center"/>
          </w:tcPr>
          <w:p w14:paraId="69607057"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2- 4 приема.</w:t>
            </w:r>
          </w:p>
        </w:tc>
      </w:tr>
      <w:tr w:rsidR="00124A26" w:rsidRPr="00AC3044" w14:paraId="632889EB" w14:textId="77777777" w:rsidTr="002D3EBF">
        <w:trPr>
          <w:cantSplit/>
          <w:trHeight w:val="958"/>
        </w:trPr>
        <w:tc>
          <w:tcPr>
            <w:tcW w:w="959" w:type="dxa"/>
            <w:vMerge/>
            <w:textDirection w:val="btLr"/>
            <w:vAlign w:val="center"/>
          </w:tcPr>
          <w:p w14:paraId="4EFA9BE8" w14:textId="77777777" w:rsidR="00124A26" w:rsidRPr="00AC3044" w:rsidRDefault="00124A26" w:rsidP="002D3EBF">
            <w:pPr>
              <w:ind w:firstLine="0"/>
              <w:rPr>
                <w:rFonts w:eastAsia="SimSun"/>
              </w:rPr>
            </w:pPr>
          </w:p>
        </w:tc>
        <w:tc>
          <w:tcPr>
            <w:tcW w:w="1843" w:type="dxa"/>
            <w:vAlign w:val="center"/>
          </w:tcPr>
          <w:p w14:paraId="7F3BF8F5" w14:textId="77777777" w:rsidR="00124A26" w:rsidRPr="00AC3044" w:rsidRDefault="00124A26" w:rsidP="002D3EBF">
            <w:pPr>
              <w:ind w:firstLine="0"/>
              <w:rPr>
                <w:rFonts w:eastAsia="SimSun"/>
              </w:rPr>
            </w:pPr>
            <w:r w:rsidRPr="00AC3044">
              <w:rPr>
                <w:rFonts w:eastAsia="SimSun"/>
              </w:rPr>
              <w:t>Циклоспорин А</w:t>
            </w:r>
          </w:p>
        </w:tc>
        <w:tc>
          <w:tcPr>
            <w:tcW w:w="1417" w:type="dxa"/>
            <w:vAlign w:val="center"/>
          </w:tcPr>
          <w:p w14:paraId="3ACABB80" w14:textId="77777777" w:rsidR="00124A26" w:rsidRPr="00AC3044" w:rsidRDefault="00124A26" w:rsidP="002D3EBF">
            <w:pPr>
              <w:ind w:firstLine="0"/>
              <w:rPr>
                <w:rFonts w:eastAsia="SimSun"/>
              </w:rPr>
            </w:pPr>
            <w:r w:rsidRPr="00AC3044">
              <w:rPr>
                <w:rFonts w:eastAsia="SimSun"/>
              </w:rPr>
              <w:t>3  мг/кг</w:t>
            </w:r>
          </w:p>
        </w:tc>
        <w:tc>
          <w:tcPr>
            <w:tcW w:w="1701" w:type="dxa"/>
            <w:vAlign w:val="center"/>
          </w:tcPr>
          <w:p w14:paraId="0E87F7F1" w14:textId="77777777" w:rsidR="00124A26" w:rsidRPr="00AC3044" w:rsidRDefault="00124A26" w:rsidP="002D3EBF">
            <w:pPr>
              <w:ind w:firstLine="0"/>
              <w:rPr>
                <w:rFonts w:eastAsia="SimSun"/>
              </w:rPr>
            </w:pPr>
            <w:r w:rsidRPr="00AC3044">
              <w:rPr>
                <w:rFonts w:eastAsia="SimSun"/>
              </w:rPr>
              <w:t>-</w:t>
            </w:r>
          </w:p>
        </w:tc>
        <w:tc>
          <w:tcPr>
            <w:tcW w:w="1418" w:type="dxa"/>
            <w:vAlign w:val="center"/>
          </w:tcPr>
          <w:p w14:paraId="113F953F" w14:textId="77777777" w:rsidR="00124A26" w:rsidRPr="00AC3044" w:rsidRDefault="00124A26" w:rsidP="002D3EBF">
            <w:pPr>
              <w:ind w:firstLine="0"/>
              <w:rPr>
                <w:rFonts w:eastAsia="SimSun"/>
              </w:rPr>
            </w:pPr>
            <w:r w:rsidRPr="00AC3044">
              <w:rPr>
                <w:rFonts w:eastAsia="SimSun"/>
              </w:rPr>
              <w:t xml:space="preserve">С -1 дня по +100 день </w:t>
            </w:r>
          </w:p>
        </w:tc>
        <w:tc>
          <w:tcPr>
            <w:tcW w:w="2246" w:type="dxa"/>
            <w:vAlign w:val="center"/>
          </w:tcPr>
          <w:p w14:paraId="4F4D4A4F" w14:textId="77777777" w:rsidR="00124A26" w:rsidRPr="00AC3044" w:rsidRDefault="00124A26"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bl>
    <w:p w14:paraId="253FF8AE" w14:textId="77777777" w:rsidR="00124A26" w:rsidRDefault="00124A26" w:rsidP="00124A26">
      <w:pPr>
        <w:rPr>
          <w:rFonts w:eastAsia="SimSun"/>
        </w:rPr>
      </w:pPr>
    </w:p>
    <w:p w14:paraId="2233EBCD" w14:textId="77777777" w:rsidR="00124A26" w:rsidRPr="00C07B2E" w:rsidRDefault="00124A26" w:rsidP="00124A26">
      <w:pPr>
        <w:rPr>
          <w:rFonts w:eastAsia="SimSun"/>
        </w:rPr>
      </w:pPr>
      <w:bookmarkStart w:id="213" w:name="_Toc44401170"/>
      <w:r w:rsidRPr="00042499">
        <w:rPr>
          <w:rFonts w:eastAsia="SimSun"/>
        </w:rPr>
        <w:t>Таблица</w:t>
      </w:r>
      <w:r w:rsidRPr="00C07B2E">
        <w:rPr>
          <w:rFonts w:eastAsia="SimSun"/>
        </w:rPr>
        <w:t xml:space="preserve"> </w:t>
      </w:r>
      <w:r>
        <w:rPr>
          <w:rFonts w:eastAsia="SimSun"/>
        </w:rPr>
        <w:t>5.</w:t>
      </w:r>
      <w:r w:rsidRPr="00C07B2E">
        <w:rPr>
          <w:rFonts w:eastAsia="SimSun"/>
        </w:rPr>
        <w:t>1.2.12  – Flu180+Bu10 / PT-Cy+Ruxo</w:t>
      </w:r>
      <w:bookmarkEnd w:id="213"/>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843"/>
        <w:gridCol w:w="1417"/>
        <w:gridCol w:w="1701"/>
        <w:gridCol w:w="1418"/>
        <w:gridCol w:w="2268"/>
      </w:tblGrid>
      <w:tr w:rsidR="00124A26" w:rsidRPr="00AC3044" w14:paraId="04ED4798" w14:textId="77777777" w:rsidTr="002D3EBF">
        <w:trPr>
          <w:cantSplit/>
          <w:trHeight w:val="20"/>
          <w:tblHeader/>
        </w:trPr>
        <w:tc>
          <w:tcPr>
            <w:tcW w:w="959" w:type="dxa"/>
            <w:vAlign w:val="center"/>
          </w:tcPr>
          <w:p w14:paraId="3CE9E0FA" w14:textId="77777777" w:rsidR="00124A26" w:rsidRPr="00470D3D" w:rsidRDefault="00124A26" w:rsidP="002D3EBF">
            <w:pPr>
              <w:ind w:firstLine="0"/>
              <w:rPr>
                <w:rFonts w:eastAsia="SimSun"/>
              </w:rPr>
            </w:pPr>
          </w:p>
        </w:tc>
        <w:tc>
          <w:tcPr>
            <w:tcW w:w="1843" w:type="dxa"/>
            <w:vAlign w:val="center"/>
          </w:tcPr>
          <w:p w14:paraId="7368B7ED" w14:textId="77777777" w:rsidR="00124A26" w:rsidRPr="00AC3044" w:rsidRDefault="00124A26" w:rsidP="002D3EBF">
            <w:pPr>
              <w:ind w:firstLine="0"/>
              <w:rPr>
                <w:rFonts w:eastAsia="SimSun"/>
              </w:rPr>
            </w:pPr>
            <w:r w:rsidRPr="00AC3044">
              <w:rPr>
                <w:rFonts w:eastAsia="SimSun"/>
              </w:rPr>
              <w:t>Препарат</w:t>
            </w:r>
          </w:p>
        </w:tc>
        <w:tc>
          <w:tcPr>
            <w:tcW w:w="1417" w:type="dxa"/>
            <w:vAlign w:val="center"/>
          </w:tcPr>
          <w:p w14:paraId="1364E886" w14:textId="77777777" w:rsidR="00124A26" w:rsidRPr="00AC3044" w:rsidRDefault="00124A26" w:rsidP="002D3EBF">
            <w:pPr>
              <w:ind w:firstLine="0"/>
              <w:rPr>
                <w:rFonts w:eastAsia="SimSun"/>
              </w:rPr>
            </w:pPr>
            <w:r w:rsidRPr="00AC3044">
              <w:rPr>
                <w:rFonts w:eastAsia="SimSun"/>
              </w:rPr>
              <w:t>Суточная доза</w:t>
            </w:r>
          </w:p>
        </w:tc>
        <w:tc>
          <w:tcPr>
            <w:tcW w:w="1701" w:type="dxa"/>
            <w:vAlign w:val="center"/>
          </w:tcPr>
          <w:p w14:paraId="21392609" w14:textId="77777777" w:rsidR="00124A26" w:rsidRPr="00AC3044" w:rsidRDefault="00124A26" w:rsidP="002D3EBF">
            <w:pPr>
              <w:ind w:firstLine="0"/>
              <w:rPr>
                <w:rFonts w:eastAsia="SimSun"/>
              </w:rPr>
            </w:pPr>
            <w:r w:rsidRPr="00AC3044">
              <w:rPr>
                <w:rFonts w:eastAsia="SimSun"/>
              </w:rPr>
              <w:t>Курсовая доза</w:t>
            </w:r>
          </w:p>
        </w:tc>
        <w:tc>
          <w:tcPr>
            <w:tcW w:w="1418" w:type="dxa"/>
            <w:vAlign w:val="center"/>
          </w:tcPr>
          <w:p w14:paraId="2874FA71" w14:textId="77777777" w:rsidR="00124A26" w:rsidRPr="00AC3044" w:rsidRDefault="00124A26" w:rsidP="002D3EBF">
            <w:pPr>
              <w:ind w:firstLine="0"/>
              <w:rPr>
                <w:rFonts w:eastAsia="SimSun"/>
              </w:rPr>
            </w:pPr>
            <w:r w:rsidRPr="00AC3044">
              <w:rPr>
                <w:rFonts w:eastAsia="SimSun"/>
              </w:rPr>
              <w:t>Дни введения</w:t>
            </w:r>
          </w:p>
        </w:tc>
        <w:tc>
          <w:tcPr>
            <w:tcW w:w="2268" w:type="dxa"/>
            <w:vAlign w:val="center"/>
          </w:tcPr>
          <w:p w14:paraId="2AB88C5B"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0DB2690A" w14:textId="77777777" w:rsidTr="002D3EBF">
        <w:trPr>
          <w:cantSplit/>
          <w:trHeight w:val="20"/>
        </w:trPr>
        <w:tc>
          <w:tcPr>
            <w:tcW w:w="959" w:type="dxa"/>
            <w:vMerge w:val="restart"/>
            <w:textDirection w:val="btLr"/>
            <w:vAlign w:val="center"/>
          </w:tcPr>
          <w:p w14:paraId="1DE03F1A" w14:textId="77777777" w:rsidR="00124A26" w:rsidRPr="00AC3044" w:rsidRDefault="00124A26" w:rsidP="002D3EBF">
            <w:pPr>
              <w:ind w:firstLine="0"/>
              <w:rPr>
                <w:rFonts w:eastAsia="SimSun"/>
              </w:rPr>
            </w:pPr>
            <w:r w:rsidRPr="00AC3044">
              <w:rPr>
                <w:rFonts w:eastAsia="SimSun"/>
              </w:rPr>
              <w:t>Кондиционирование</w:t>
            </w:r>
          </w:p>
        </w:tc>
        <w:tc>
          <w:tcPr>
            <w:tcW w:w="1843" w:type="dxa"/>
            <w:vAlign w:val="center"/>
          </w:tcPr>
          <w:p w14:paraId="3EE19AB8" w14:textId="77777777" w:rsidR="00124A26" w:rsidRPr="00AC3044" w:rsidRDefault="00124A26" w:rsidP="002D3EBF">
            <w:pPr>
              <w:ind w:firstLine="0"/>
              <w:rPr>
                <w:rFonts w:eastAsia="SimSun"/>
              </w:rPr>
            </w:pPr>
            <w:r w:rsidRPr="00AC3044">
              <w:rPr>
                <w:rFonts w:eastAsia="SimSun"/>
              </w:rPr>
              <w:t xml:space="preserve">Флударабин </w:t>
            </w:r>
          </w:p>
        </w:tc>
        <w:tc>
          <w:tcPr>
            <w:tcW w:w="1417" w:type="dxa"/>
            <w:vAlign w:val="center"/>
          </w:tcPr>
          <w:p w14:paraId="6FF94940" w14:textId="77777777" w:rsidR="00124A26" w:rsidRPr="00AC3044" w:rsidRDefault="00124A26" w:rsidP="002D3EBF">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497C163C" w14:textId="77777777" w:rsidR="00124A26" w:rsidRPr="00AC3044" w:rsidRDefault="00124A26" w:rsidP="002D3EBF">
            <w:pPr>
              <w:ind w:firstLine="0"/>
              <w:rPr>
                <w:rFonts w:eastAsia="SimSun"/>
              </w:rPr>
            </w:pPr>
            <w:r w:rsidRPr="00AC3044">
              <w:rPr>
                <w:rFonts w:eastAsia="SimSun"/>
              </w:rPr>
              <w:t>180 мг/м</w:t>
            </w:r>
            <w:r w:rsidRPr="001E6DBE">
              <w:rPr>
                <w:rFonts w:eastAsia="SimSun"/>
                <w:vertAlign w:val="superscript"/>
              </w:rPr>
              <w:t>2</w:t>
            </w:r>
          </w:p>
        </w:tc>
        <w:tc>
          <w:tcPr>
            <w:tcW w:w="1418" w:type="dxa"/>
            <w:vAlign w:val="center"/>
          </w:tcPr>
          <w:p w14:paraId="386DCA8C" w14:textId="77777777" w:rsidR="00124A26" w:rsidRPr="00AC3044" w:rsidRDefault="00124A26" w:rsidP="002D3EBF">
            <w:pPr>
              <w:ind w:firstLine="0"/>
              <w:rPr>
                <w:rFonts w:eastAsia="SimSun"/>
              </w:rPr>
            </w:pPr>
            <w:r w:rsidRPr="00AC3044">
              <w:rPr>
                <w:rFonts w:eastAsia="SimSun"/>
              </w:rPr>
              <w:t>С -7 дня по -2 день</w:t>
            </w:r>
          </w:p>
        </w:tc>
        <w:tc>
          <w:tcPr>
            <w:tcW w:w="2268" w:type="dxa"/>
            <w:vAlign w:val="center"/>
          </w:tcPr>
          <w:p w14:paraId="67003306"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6C807317" w14:textId="77777777" w:rsidTr="002D3EBF">
        <w:trPr>
          <w:cantSplit/>
          <w:trHeight w:val="998"/>
        </w:trPr>
        <w:tc>
          <w:tcPr>
            <w:tcW w:w="959" w:type="dxa"/>
            <w:vMerge/>
            <w:vAlign w:val="center"/>
          </w:tcPr>
          <w:p w14:paraId="107461C7" w14:textId="77777777" w:rsidR="00124A26" w:rsidRPr="00AC3044" w:rsidRDefault="00124A26" w:rsidP="002D3EBF">
            <w:pPr>
              <w:ind w:firstLine="0"/>
              <w:rPr>
                <w:rFonts w:eastAsia="SimSun"/>
              </w:rPr>
            </w:pPr>
          </w:p>
        </w:tc>
        <w:tc>
          <w:tcPr>
            <w:tcW w:w="1843" w:type="dxa"/>
            <w:vAlign w:val="center"/>
          </w:tcPr>
          <w:p w14:paraId="5BD7CB29" w14:textId="77777777" w:rsidR="00124A26" w:rsidRPr="00AC3044" w:rsidRDefault="00124A26" w:rsidP="002D3EBF">
            <w:pPr>
              <w:ind w:firstLine="0"/>
              <w:rPr>
                <w:rFonts w:eastAsia="SimSun"/>
              </w:rPr>
            </w:pPr>
            <w:r w:rsidRPr="00AC3044">
              <w:rPr>
                <w:rFonts w:eastAsia="SimSun"/>
              </w:rPr>
              <w:t>Бусульфан</w:t>
            </w:r>
          </w:p>
        </w:tc>
        <w:tc>
          <w:tcPr>
            <w:tcW w:w="1417" w:type="dxa"/>
            <w:vAlign w:val="center"/>
          </w:tcPr>
          <w:p w14:paraId="0099C2C2" w14:textId="77777777" w:rsidR="00124A26" w:rsidRPr="00AC3044" w:rsidRDefault="00124A26" w:rsidP="002D3EBF">
            <w:pPr>
              <w:ind w:firstLine="0"/>
              <w:rPr>
                <w:rFonts w:eastAsia="SimSun"/>
              </w:rPr>
            </w:pPr>
            <w:r w:rsidRPr="00AC3044">
              <w:rPr>
                <w:rFonts w:eastAsia="SimSun"/>
              </w:rPr>
              <w:t xml:space="preserve">4 мг/кг </w:t>
            </w:r>
          </w:p>
        </w:tc>
        <w:tc>
          <w:tcPr>
            <w:tcW w:w="1701" w:type="dxa"/>
            <w:vAlign w:val="center"/>
          </w:tcPr>
          <w:p w14:paraId="25D13E4E" w14:textId="77777777" w:rsidR="00124A26" w:rsidRPr="00AC3044" w:rsidRDefault="00124A26" w:rsidP="002D3EBF">
            <w:pPr>
              <w:ind w:firstLine="0"/>
              <w:rPr>
                <w:rFonts w:eastAsia="SimSun"/>
              </w:rPr>
            </w:pPr>
            <w:r w:rsidRPr="00AC3044">
              <w:rPr>
                <w:rFonts w:eastAsia="SimSun"/>
              </w:rPr>
              <w:t xml:space="preserve">10 мг/кг </w:t>
            </w:r>
          </w:p>
        </w:tc>
        <w:tc>
          <w:tcPr>
            <w:tcW w:w="1418" w:type="dxa"/>
            <w:vAlign w:val="center"/>
          </w:tcPr>
          <w:p w14:paraId="67500828" w14:textId="77777777" w:rsidR="00124A26" w:rsidRPr="00AC3044" w:rsidRDefault="00124A26" w:rsidP="002D3EBF">
            <w:pPr>
              <w:ind w:firstLine="0"/>
              <w:rPr>
                <w:rFonts w:eastAsia="SimSun"/>
              </w:rPr>
            </w:pPr>
            <w:r w:rsidRPr="00AC3044">
              <w:rPr>
                <w:rFonts w:eastAsia="SimSun"/>
              </w:rPr>
              <w:t>С -5 дня по -3 день</w:t>
            </w:r>
          </w:p>
        </w:tc>
        <w:tc>
          <w:tcPr>
            <w:tcW w:w="2268" w:type="dxa"/>
            <w:vAlign w:val="center"/>
          </w:tcPr>
          <w:p w14:paraId="0455D95D" w14:textId="77777777" w:rsidR="00124A26" w:rsidRPr="00470D3D" w:rsidRDefault="00124A26" w:rsidP="002D3EBF">
            <w:pPr>
              <w:ind w:firstLine="0"/>
              <w:rPr>
                <w:rFonts w:eastAsia="SimSun"/>
              </w:rPr>
            </w:pPr>
            <w:r w:rsidRPr="00AC3044">
              <w:rPr>
                <w:rFonts w:eastAsia="SimSun"/>
              </w:rPr>
              <w:t xml:space="preserve">Внутрь, суммарная суточная доза разделяется на 4 приема с интервалом 6 часов. </w:t>
            </w:r>
            <w:r w:rsidRPr="00470D3D">
              <w:rPr>
                <w:rFonts w:eastAsia="SimSun"/>
              </w:rPr>
              <w:t>День -6: бусульфан разделяется на 2 приема с интервалом 6 часов, в вечернее время (18.00, 24.00)</w:t>
            </w:r>
          </w:p>
        </w:tc>
      </w:tr>
      <w:tr w:rsidR="00124A26" w:rsidRPr="00AC3044" w14:paraId="4F491EDB" w14:textId="77777777" w:rsidTr="002D3EBF">
        <w:trPr>
          <w:cantSplit/>
          <w:trHeight w:val="636"/>
        </w:trPr>
        <w:tc>
          <w:tcPr>
            <w:tcW w:w="959" w:type="dxa"/>
            <w:vMerge w:val="restart"/>
            <w:textDirection w:val="btLr"/>
            <w:vAlign w:val="center"/>
          </w:tcPr>
          <w:p w14:paraId="16CC1CF0" w14:textId="77777777" w:rsidR="00124A26" w:rsidRPr="00AC3044" w:rsidRDefault="00124A26" w:rsidP="002D3EBF">
            <w:pPr>
              <w:ind w:firstLine="0"/>
              <w:rPr>
                <w:rFonts w:eastAsia="SimSun"/>
              </w:rPr>
            </w:pPr>
            <w:r w:rsidRPr="00AC3044">
              <w:rPr>
                <w:rFonts w:eastAsia="SimSun"/>
              </w:rPr>
              <w:t>Профилактика РТПХ</w:t>
            </w:r>
          </w:p>
        </w:tc>
        <w:tc>
          <w:tcPr>
            <w:tcW w:w="1843" w:type="dxa"/>
            <w:vAlign w:val="center"/>
          </w:tcPr>
          <w:p w14:paraId="2F7EE61A" w14:textId="77777777" w:rsidR="00124A26" w:rsidRPr="00AC3044" w:rsidRDefault="00124A26" w:rsidP="002D3EBF">
            <w:pPr>
              <w:ind w:firstLine="0"/>
              <w:rPr>
                <w:rFonts w:eastAsia="SimSun"/>
              </w:rPr>
            </w:pPr>
            <w:r w:rsidRPr="00AC3044">
              <w:rPr>
                <w:rFonts w:eastAsia="SimSun"/>
              </w:rPr>
              <w:t>Циклофосфамид</w:t>
            </w:r>
          </w:p>
        </w:tc>
        <w:tc>
          <w:tcPr>
            <w:tcW w:w="1417" w:type="dxa"/>
            <w:vAlign w:val="center"/>
          </w:tcPr>
          <w:p w14:paraId="324E2ECA" w14:textId="77777777" w:rsidR="00124A26" w:rsidRPr="00AC3044" w:rsidRDefault="00124A26" w:rsidP="002D3EBF">
            <w:pPr>
              <w:ind w:firstLine="0"/>
              <w:rPr>
                <w:rFonts w:eastAsia="SimSun"/>
              </w:rPr>
            </w:pPr>
            <w:r w:rsidRPr="00AC3044">
              <w:rPr>
                <w:rFonts w:eastAsia="SimSun"/>
              </w:rPr>
              <w:t>50 мг/кг</w:t>
            </w:r>
          </w:p>
        </w:tc>
        <w:tc>
          <w:tcPr>
            <w:tcW w:w="1701" w:type="dxa"/>
            <w:vAlign w:val="center"/>
          </w:tcPr>
          <w:p w14:paraId="7C65CFD3" w14:textId="77777777" w:rsidR="00124A26" w:rsidRPr="00AC3044" w:rsidRDefault="00124A26" w:rsidP="002D3EBF">
            <w:pPr>
              <w:ind w:firstLine="0"/>
              <w:rPr>
                <w:rFonts w:eastAsia="SimSun"/>
              </w:rPr>
            </w:pPr>
            <w:r w:rsidRPr="00AC3044">
              <w:rPr>
                <w:rFonts w:eastAsia="SimSun"/>
              </w:rPr>
              <w:t>100 мг/кг</w:t>
            </w:r>
          </w:p>
        </w:tc>
        <w:tc>
          <w:tcPr>
            <w:tcW w:w="1418" w:type="dxa"/>
            <w:vAlign w:val="center"/>
          </w:tcPr>
          <w:p w14:paraId="68E2C6B0" w14:textId="77777777" w:rsidR="00124A26" w:rsidRPr="00AC3044" w:rsidRDefault="00124A26" w:rsidP="002D3EBF">
            <w:pPr>
              <w:ind w:firstLine="0"/>
              <w:rPr>
                <w:rFonts w:eastAsia="SimSun"/>
              </w:rPr>
            </w:pPr>
            <w:r w:rsidRPr="00AC3044">
              <w:rPr>
                <w:rFonts w:eastAsia="SimSun"/>
              </w:rPr>
              <w:t>С +3 дня по +4 день</w:t>
            </w:r>
          </w:p>
        </w:tc>
        <w:tc>
          <w:tcPr>
            <w:tcW w:w="2268" w:type="dxa"/>
            <w:vAlign w:val="center"/>
          </w:tcPr>
          <w:p w14:paraId="5EED43A6" w14:textId="77777777" w:rsidR="00124A26" w:rsidRPr="00AC3044" w:rsidRDefault="00124A26" w:rsidP="002D3EBF">
            <w:pPr>
              <w:ind w:firstLine="0"/>
              <w:rPr>
                <w:rFonts w:eastAsia="SimSun"/>
              </w:rPr>
            </w:pPr>
            <w:r w:rsidRPr="00AC3044">
              <w:rPr>
                <w:rFonts w:eastAsia="SimSun"/>
              </w:rPr>
              <w:t>В/в, в течение 2 часов</w:t>
            </w:r>
          </w:p>
        </w:tc>
      </w:tr>
      <w:tr w:rsidR="00124A26" w:rsidRPr="00AC3044" w14:paraId="4CBB09B2" w14:textId="77777777" w:rsidTr="002D3EBF">
        <w:trPr>
          <w:cantSplit/>
          <w:trHeight w:val="688"/>
        </w:trPr>
        <w:tc>
          <w:tcPr>
            <w:tcW w:w="959" w:type="dxa"/>
            <w:vMerge/>
            <w:textDirection w:val="btLr"/>
            <w:vAlign w:val="center"/>
          </w:tcPr>
          <w:p w14:paraId="43319272" w14:textId="77777777" w:rsidR="00124A26" w:rsidRPr="00AC3044" w:rsidRDefault="00124A26" w:rsidP="002D3EBF">
            <w:pPr>
              <w:ind w:firstLine="0"/>
              <w:rPr>
                <w:rFonts w:eastAsia="SimSun"/>
              </w:rPr>
            </w:pPr>
          </w:p>
        </w:tc>
        <w:tc>
          <w:tcPr>
            <w:tcW w:w="1843" w:type="dxa"/>
            <w:vAlign w:val="center"/>
          </w:tcPr>
          <w:p w14:paraId="5FCC05EA" w14:textId="77777777" w:rsidR="00124A26" w:rsidRPr="00AC3044" w:rsidRDefault="00124A26" w:rsidP="002D3EBF">
            <w:pPr>
              <w:ind w:firstLine="0"/>
              <w:rPr>
                <w:rFonts w:eastAsia="SimSun"/>
              </w:rPr>
            </w:pPr>
            <w:r w:rsidRPr="00AC3044">
              <w:rPr>
                <w:rFonts w:eastAsia="SimSun"/>
              </w:rPr>
              <w:t>Руксолитиниб</w:t>
            </w:r>
          </w:p>
        </w:tc>
        <w:tc>
          <w:tcPr>
            <w:tcW w:w="1417" w:type="dxa"/>
            <w:vAlign w:val="center"/>
          </w:tcPr>
          <w:p w14:paraId="310BCE6E" w14:textId="77777777" w:rsidR="00124A26" w:rsidRPr="00AC3044" w:rsidRDefault="00124A26" w:rsidP="002D3EBF">
            <w:pPr>
              <w:ind w:firstLine="0"/>
              <w:rPr>
                <w:rFonts w:eastAsia="SimSun"/>
              </w:rPr>
            </w:pPr>
            <w:r w:rsidRPr="00AC3044">
              <w:rPr>
                <w:rFonts w:eastAsia="SimSun"/>
              </w:rPr>
              <w:t>45 мг</w:t>
            </w:r>
          </w:p>
        </w:tc>
        <w:tc>
          <w:tcPr>
            <w:tcW w:w="1701" w:type="dxa"/>
            <w:vAlign w:val="center"/>
          </w:tcPr>
          <w:p w14:paraId="2CFB256F" w14:textId="77777777" w:rsidR="00124A26" w:rsidRPr="00AC3044" w:rsidRDefault="00124A26" w:rsidP="002D3EBF">
            <w:pPr>
              <w:ind w:firstLine="0"/>
              <w:rPr>
                <w:rFonts w:eastAsia="SimSun"/>
              </w:rPr>
            </w:pPr>
            <w:r w:rsidRPr="00AC3044">
              <w:rPr>
                <w:rFonts w:eastAsia="SimSun"/>
              </w:rPr>
              <w:t>270 мг</w:t>
            </w:r>
          </w:p>
        </w:tc>
        <w:tc>
          <w:tcPr>
            <w:tcW w:w="1418" w:type="dxa"/>
            <w:vAlign w:val="center"/>
          </w:tcPr>
          <w:p w14:paraId="39D7D423" w14:textId="77777777" w:rsidR="00124A26" w:rsidRPr="00AC3044" w:rsidRDefault="00124A26" w:rsidP="002D3EBF">
            <w:pPr>
              <w:ind w:firstLine="0"/>
              <w:rPr>
                <w:rFonts w:eastAsia="SimSun"/>
              </w:rPr>
            </w:pPr>
            <w:r w:rsidRPr="00AC3044">
              <w:rPr>
                <w:rFonts w:eastAsia="SimSun"/>
              </w:rPr>
              <w:t xml:space="preserve">С -7 дня по -2 день </w:t>
            </w:r>
          </w:p>
        </w:tc>
        <w:tc>
          <w:tcPr>
            <w:tcW w:w="2268" w:type="dxa"/>
            <w:vAlign w:val="center"/>
          </w:tcPr>
          <w:p w14:paraId="27F22120" w14:textId="77777777" w:rsidR="00124A26" w:rsidRPr="00AC3044" w:rsidRDefault="00124A26" w:rsidP="002D3EBF">
            <w:pPr>
              <w:ind w:firstLine="0"/>
              <w:rPr>
                <w:rFonts w:eastAsia="SimSun"/>
              </w:rPr>
            </w:pPr>
            <w:r w:rsidRPr="00AC3044">
              <w:rPr>
                <w:rFonts w:eastAsia="SimSun"/>
              </w:rPr>
              <w:t xml:space="preserve">Внутрь суточную дозу </w:t>
            </w:r>
          </w:p>
          <w:p w14:paraId="0EED9D5F" w14:textId="77777777" w:rsidR="00124A26" w:rsidRPr="00AC3044" w:rsidRDefault="00124A26" w:rsidP="002D3EBF">
            <w:pPr>
              <w:ind w:firstLine="0"/>
              <w:rPr>
                <w:rFonts w:eastAsia="SimSun"/>
              </w:rPr>
            </w:pPr>
            <w:r w:rsidRPr="00AC3044">
              <w:rPr>
                <w:rFonts w:eastAsia="SimSun"/>
              </w:rPr>
              <w:t>за 3 приема</w:t>
            </w:r>
          </w:p>
        </w:tc>
      </w:tr>
      <w:tr w:rsidR="00124A26" w:rsidRPr="00AC3044" w14:paraId="5D980074" w14:textId="77777777" w:rsidTr="002D3EBF">
        <w:trPr>
          <w:cantSplit/>
          <w:trHeight w:val="839"/>
        </w:trPr>
        <w:tc>
          <w:tcPr>
            <w:tcW w:w="959" w:type="dxa"/>
            <w:vMerge/>
            <w:textDirection w:val="btLr"/>
            <w:vAlign w:val="center"/>
          </w:tcPr>
          <w:p w14:paraId="3E6FD6BE" w14:textId="77777777" w:rsidR="00124A26" w:rsidRPr="00AC3044" w:rsidRDefault="00124A26" w:rsidP="002D3EBF">
            <w:pPr>
              <w:ind w:firstLine="0"/>
              <w:rPr>
                <w:rFonts w:eastAsia="SimSun"/>
              </w:rPr>
            </w:pPr>
          </w:p>
        </w:tc>
        <w:tc>
          <w:tcPr>
            <w:tcW w:w="1843" w:type="dxa"/>
            <w:vAlign w:val="center"/>
          </w:tcPr>
          <w:p w14:paraId="638E1222" w14:textId="77777777" w:rsidR="00124A26" w:rsidRPr="00AC3044" w:rsidRDefault="00124A26" w:rsidP="002D3EBF">
            <w:pPr>
              <w:ind w:firstLine="0"/>
              <w:rPr>
                <w:rFonts w:eastAsia="SimSun"/>
              </w:rPr>
            </w:pPr>
            <w:r w:rsidRPr="00AC3044">
              <w:rPr>
                <w:rFonts w:eastAsia="SimSun"/>
              </w:rPr>
              <w:t xml:space="preserve">Руксолитиниб </w:t>
            </w:r>
          </w:p>
        </w:tc>
        <w:tc>
          <w:tcPr>
            <w:tcW w:w="1417" w:type="dxa"/>
            <w:vAlign w:val="center"/>
          </w:tcPr>
          <w:p w14:paraId="5C5A9DC2" w14:textId="77777777" w:rsidR="00124A26" w:rsidRPr="00AC3044" w:rsidRDefault="00124A26" w:rsidP="002D3EBF">
            <w:pPr>
              <w:ind w:firstLine="0"/>
              <w:rPr>
                <w:rFonts w:eastAsia="SimSun"/>
              </w:rPr>
            </w:pPr>
            <w:r w:rsidRPr="00AC3044">
              <w:rPr>
                <w:rFonts w:eastAsia="SimSun"/>
              </w:rPr>
              <w:t>15 мг</w:t>
            </w:r>
          </w:p>
        </w:tc>
        <w:tc>
          <w:tcPr>
            <w:tcW w:w="1701" w:type="dxa"/>
            <w:vAlign w:val="center"/>
          </w:tcPr>
          <w:p w14:paraId="1B62FB8A" w14:textId="77777777" w:rsidR="00124A26" w:rsidRPr="00AC3044" w:rsidRDefault="00124A26" w:rsidP="002D3EBF">
            <w:pPr>
              <w:ind w:firstLine="0"/>
              <w:rPr>
                <w:rFonts w:eastAsia="SimSun"/>
              </w:rPr>
            </w:pPr>
            <w:r w:rsidRPr="00AC3044">
              <w:rPr>
                <w:rFonts w:eastAsia="SimSun"/>
              </w:rPr>
              <w:t>-</w:t>
            </w:r>
          </w:p>
        </w:tc>
        <w:tc>
          <w:tcPr>
            <w:tcW w:w="1418" w:type="dxa"/>
            <w:vAlign w:val="center"/>
          </w:tcPr>
          <w:p w14:paraId="3F588B5D" w14:textId="77777777" w:rsidR="00124A26" w:rsidRPr="00AC3044" w:rsidRDefault="00124A26" w:rsidP="002D3EBF">
            <w:pPr>
              <w:ind w:firstLine="0"/>
              <w:rPr>
                <w:rFonts w:eastAsia="SimSun"/>
              </w:rPr>
            </w:pPr>
            <w:r w:rsidRPr="00AC3044">
              <w:rPr>
                <w:rFonts w:eastAsia="SimSun"/>
              </w:rPr>
              <w:t>С +5 дня по +100 день</w:t>
            </w:r>
          </w:p>
        </w:tc>
        <w:tc>
          <w:tcPr>
            <w:tcW w:w="2268" w:type="dxa"/>
            <w:vAlign w:val="center"/>
          </w:tcPr>
          <w:p w14:paraId="42E74B66" w14:textId="77777777" w:rsidR="00124A26" w:rsidRPr="00AC3044" w:rsidRDefault="00124A26" w:rsidP="002D3EBF">
            <w:pPr>
              <w:ind w:firstLine="0"/>
              <w:rPr>
                <w:rFonts w:eastAsia="SimSun"/>
              </w:rPr>
            </w:pPr>
            <w:r w:rsidRPr="00AC3044">
              <w:rPr>
                <w:rFonts w:eastAsia="SimSun"/>
              </w:rPr>
              <w:t xml:space="preserve">Внутрь суточную дозу </w:t>
            </w:r>
          </w:p>
          <w:p w14:paraId="3E444F03" w14:textId="77777777" w:rsidR="00124A26" w:rsidRPr="00AC3044" w:rsidRDefault="00124A26" w:rsidP="002D3EBF">
            <w:pPr>
              <w:ind w:firstLine="0"/>
              <w:rPr>
                <w:rFonts w:eastAsia="SimSun"/>
              </w:rPr>
            </w:pPr>
            <w:r w:rsidRPr="00AC3044">
              <w:rPr>
                <w:rFonts w:eastAsia="SimSun"/>
              </w:rPr>
              <w:t>за 2 приема</w:t>
            </w:r>
          </w:p>
        </w:tc>
      </w:tr>
    </w:tbl>
    <w:p w14:paraId="2B563E3B" w14:textId="77777777" w:rsidR="00124A26" w:rsidRDefault="00124A26" w:rsidP="00124A26">
      <w:pPr>
        <w:rPr>
          <w:rFonts w:eastAsia="SimSun"/>
        </w:rPr>
      </w:pPr>
      <w:bookmarkStart w:id="214" w:name="_Toc44401171"/>
    </w:p>
    <w:p w14:paraId="269E19FA" w14:textId="77777777" w:rsidR="00124A26" w:rsidRPr="00C07B2E" w:rsidRDefault="00124A26" w:rsidP="00124A26">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1.2.13  – Flu180+Bu10 / PT-Cy</w:t>
      </w:r>
      <w:bookmarkEnd w:id="214"/>
    </w:p>
    <w:tbl>
      <w:tblPr>
        <w:tblW w:w="9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66"/>
        <w:gridCol w:w="1802"/>
        <w:gridCol w:w="1495"/>
        <w:gridCol w:w="1695"/>
        <w:gridCol w:w="1408"/>
        <w:gridCol w:w="2278"/>
      </w:tblGrid>
      <w:tr w:rsidR="00124A26" w:rsidRPr="00AC3044" w14:paraId="0C083338" w14:textId="77777777" w:rsidTr="002D3EBF">
        <w:trPr>
          <w:cantSplit/>
          <w:trHeight w:val="20"/>
          <w:tblHeader/>
        </w:trPr>
        <w:tc>
          <w:tcPr>
            <w:tcW w:w="866" w:type="dxa"/>
            <w:vAlign w:val="center"/>
          </w:tcPr>
          <w:p w14:paraId="1A575CAC" w14:textId="77777777" w:rsidR="00124A26" w:rsidRPr="00470D3D" w:rsidRDefault="00124A26" w:rsidP="002D3EBF">
            <w:pPr>
              <w:ind w:firstLine="0"/>
              <w:rPr>
                <w:rFonts w:eastAsia="SimSun"/>
              </w:rPr>
            </w:pPr>
          </w:p>
        </w:tc>
        <w:tc>
          <w:tcPr>
            <w:tcW w:w="1802" w:type="dxa"/>
            <w:vAlign w:val="center"/>
          </w:tcPr>
          <w:p w14:paraId="248AE596" w14:textId="77777777" w:rsidR="00124A26" w:rsidRPr="00AC3044" w:rsidRDefault="00124A26" w:rsidP="002D3EBF">
            <w:pPr>
              <w:ind w:firstLine="0"/>
              <w:rPr>
                <w:rFonts w:eastAsia="SimSun"/>
              </w:rPr>
            </w:pPr>
            <w:r w:rsidRPr="00AC3044">
              <w:rPr>
                <w:rFonts w:eastAsia="SimSun"/>
              </w:rPr>
              <w:t>Препарат</w:t>
            </w:r>
          </w:p>
        </w:tc>
        <w:tc>
          <w:tcPr>
            <w:tcW w:w="1495" w:type="dxa"/>
            <w:vAlign w:val="center"/>
          </w:tcPr>
          <w:p w14:paraId="7F9680AF" w14:textId="77777777" w:rsidR="00124A26" w:rsidRPr="00AC3044" w:rsidRDefault="00124A26" w:rsidP="002D3EBF">
            <w:pPr>
              <w:ind w:firstLine="0"/>
              <w:rPr>
                <w:rFonts w:eastAsia="SimSun"/>
              </w:rPr>
            </w:pPr>
            <w:r w:rsidRPr="00AC3044">
              <w:rPr>
                <w:rFonts w:eastAsia="SimSun"/>
              </w:rPr>
              <w:t>Суточная доза</w:t>
            </w:r>
          </w:p>
        </w:tc>
        <w:tc>
          <w:tcPr>
            <w:tcW w:w="1695" w:type="dxa"/>
            <w:vAlign w:val="center"/>
          </w:tcPr>
          <w:p w14:paraId="4BD3A792" w14:textId="77777777" w:rsidR="00124A26" w:rsidRPr="00AC3044" w:rsidRDefault="00124A26" w:rsidP="002D3EBF">
            <w:pPr>
              <w:ind w:firstLine="0"/>
              <w:rPr>
                <w:rFonts w:eastAsia="SimSun"/>
              </w:rPr>
            </w:pPr>
            <w:r w:rsidRPr="00AC3044">
              <w:rPr>
                <w:rFonts w:eastAsia="SimSun"/>
              </w:rPr>
              <w:t>Курсовая доза</w:t>
            </w:r>
          </w:p>
        </w:tc>
        <w:tc>
          <w:tcPr>
            <w:tcW w:w="1408" w:type="dxa"/>
            <w:vAlign w:val="center"/>
          </w:tcPr>
          <w:p w14:paraId="11D05865" w14:textId="77777777" w:rsidR="00124A26" w:rsidRPr="00AC3044" w:rsidRDefault="00124A26" w:rsidP="002D3EBF">
            <w:pPr>
              <w:ind w:firstLine="0"/>
              <w:rPr>
                <w:rFonts w:eastAsia="SimSun"/>
              </w:rPr>
            </w:pPr>
            <w:r w:rsidRPr="00AC3044">
              <w:rPr>
                <w:rFonts w:eastAsia="SimSun"/>
              </w:rPr>
              <w:t>Дни введения</w:t>
            </w:r>
          </w:p>
        </w:tc>
        <w:tc>
          <w:tcPr>
            <w:tcW w:w="2278" w:type="dxa"/>
            <w:vAlign w:val="center"/>
          </w:tcPr>
          <w:p w14:paraId="00DBD1B1"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69B1390C" w14:textId="77777777" w:rsidTr="002D3EBF">
        <w:trPr>
          <w:cantSplit/>
          <w:trHeight w:val="20"/>
        </w:trPr>
        <w:tc>
          <w:tcPr>
            <w:tcW w:w="866" w:type="dxa"/>
            <w:vMerge w:val="restart"/>
            <w:textDirection w:val="btLr"/>
            <w:vAlign w:val="center"/>
          </w:tcPr>
          <w:p w14:paraId="31A19C80" w14:textId="77777777" w:rsidR="00124A26" w:rsidRPr="00AC3044" w:rsidRDefault="00124A26" w:rsidP="002D3EBF">
            <w:pPr>
              <w:ind w:firstLine="0"/>
              <w:rPr>
                <w:rFonts w:eastAsia="SimSun"/>
              </w:rPr>
            </w:pPr>
            <w:r w:rsidRPr="00AC3044">
              <w:rPr>
                <w:rFonts w:eastAsia="SimSun"/>
              </w:rPr>
              <w:t>Кондиционирование</w:t>
            </w:r>
          </w:p>
        </w:tc>
        <w:tc>
          <w:tcPr>
            <w:tcW w:w="1802" w:type="dxa"/>
            <w:vAlign w:val="center"/>
          </w:tcPr>
          <w:p w14:paraId="1FFD9F79" w14:textId="77777777" w:rsidR="00124A26" w:rsidRPr="00AC3044" w:rsidRDefault="00124A26" w:rsidP="002D3EBF">
            <w:pPr>
              <w:ind w:firstLine="0"/>
              <w:rPr>
                <w:rFonts w:eastAsia="SimSun"/>
              </w:rPr>
            </w:pPr>
            <w:r w:rsidRPr="00AC3044">
              <w:rPr>
                <w:rFonts w:eastAsia="SimSun"/>
              </w:rPr>
              <w:t xml:space="preserve">Флударабин </w:t>
            </w:r>
          </w:p>
        </w:tc>
        <w:tc>
          <w:tcPr>
            <w:tcW w:w="1495" w:type="dxa"/>
            <w:vAlign w:val="center"/>
          </w:tcPr>
          <w:p w14:paraId="5FDBB34B" w14:textId="77777777" w:rsidR="00124A26" w:rsidRPr="00AC3044" w:rsidRDefault="00124A26" w:rsidP="002D3EBF">
            <w:pPr>
              <w:ind w:firstLine="0"/>
              <w:rPr>
                <w:rFonts w:eastAsia="SimSun"/>
              </w:rPr>
            </w:pPr>
            <w:r w:rsidRPr="00AC3044">
              <w:rPr>
                <w:rFonts w:eastAsia="SimSun"/>
              </w:rPr>
              <w:t>30 мг/м</w:t>
            </w:r>
            <w:r w:rsidRPr="001E6DBE">
              <w:rPr>
                <w:rFonts w:eastAsia="SimSun"/>
                <w:vertAlign w:val="superscript"/>
              </w:rPr>
              <w:t>2</w:t>
            </w:r>
          </w:p>
        </w:tc>
        <w:tc>
          <w:tcPr>
            <w:tcW w:w="1695" w:type="dxa"/>
            <w:vAlign w:val="center"/>
          </w:tcPr>
          <w:p w14:paraId="0A7A2DA3" w14:textId="77777777" w:rsidR="00124A26" w:rsidRPr="00AC3044" w:rsidRDefault="00124A26" w:rsidP="002D3EBF">
            <w:pPr>
              <w:ind w:firstLine="0"/>
              <w:rPr>
                <w:rFonts w:eastAsia="SimSun"/>
              </w:rPr>
            </w:pPr>
            <w:r w:rsidRPr="00AC3044">
              <w:rPr>
                <w:rFonts w:eastAsia="SimSun"/>
              </w:rPr>
              <w:t>180 мг/м</w:t>
            </w:r>
            <w:r w:rsidRPr="001E6DBE">
              <w:rPr>
                <w:rFonts w:eastAsia="SimSun"/>
                <w:vertAlign w:val="superscript"/>
              </w:rPr>
              <w:t>2</w:t>
            </w:r>
          </w:p>
        </w:tc>
        <w:tc>
          <w:tcPr>
            <w:tcW w:w="1408" w:type="dxa"/>
            <w:vAlign w:val="center"/>
          </w:tcPr>
          <w:p w14:paraId="0C3578DF" w14:textId="77777777" w:rsidR="00124A26" w:rsidRPr="00AC3044" w:rsidRDefault="00124A26" w:rsidP="002D3EBF">
            <w:pPr>
              <w:ind w:firstLine="0"/>
              <w:rPr>
                <w:rFonts w:eastAsia="SimSun"/>
              </w:rPr>
            </w:pPr>
            <w:r w:rsidRPr="00AC3044">
              <w:rPr>
                <w:rFonts w:eastAsia="SimSun"/>
              </w:rPr>
              <w:t>С -7 дня по -2 день</w:t>
            </w:r>
          </w:p>
        </w:tc>
        <w:tc>
          <w:tcPr>
            <w:tcW w:w="2278" w:type="dxa"/>
            <w:vAlign w:val="center"/>
          </w:tcPr>
          <w:p w14:paraId="7A6AAE64"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3BDADF62" w14:textId="77777777" w:rsidTr="002D3EBF">
        <w:trPr>
          <w:cantSplit/>
          <w:trHeight w:val="1114"/>
        </w:trPr>
        <w:tc>
          <w:tcPr>
            <w:tcW w:w="866" w:type="dxa"/>
            <w:vMerge/>
            <w:vAlign w:val="center"/>
          </w:tcPr>
          <w:p w14:paraId="4EE671FA" w14:textId="77777777" w:rsidR="00124A26" w:rsidRPr="00AC3044" w:rsidRDefault="00124A26" w:rsidP="002D3EBF">
            <w:pPr>
              <w:ind w:firstLine="0"/>
              <w:rPr>
                <w:rFonts w:eastAsia="SimSun"/>
              </w:rPr>
            </w:pPr>
          </w:p>
        </w:tc>
        <w:tc>
          <w:tcPr>
            <w:tcW w:w="1802" w:type="dxa"/>
            <w:vAlign w:val="center"/>
          </w:tcPr>
          <w:p w14:paraId="79AF5DE2" w14:textId="77777777" w:rsidR="00124A26" w:rsidRPr="00AC3044" w:rsidRDefault="00124A26" w:rsidP="002D3EBF">
            <w:pPr>
              <w:ind w:firstLine="0"/>
              <w:rPr>
                <w:rFonts w:eastAsia="SimSun"/>
              </w:rPr>
            </w:pPr>
            <w:r w:rsidRPr="00AC3044">
              <w:rPr>
                <w:rFonts w:eastAsia="SimSun"/>
              </w:rPr>
              <w:t>Бусульфан</w:t>
            </w:r>
          </w:p>
        </w:tc>
        <w:tc>
          <w:tcPr>
            <w:tcW w:w="1495" w:type="dxa"/>
            <w:vAlign w:val="center"/>
          </w:tcPr>
          <w:p w14:paraId="57B18DAD" w14:textId="77777777" w:rsidR="00124A26" w:rsidRPr="00AC3044" w:rsidRDefault="00124A26" w:rsidP="002D3EBF">
            <w:pPr>
              <w:ind w:firstLine="0"/>
              <w:rPr>
                <w:rFonts w:eastAsia="SimSun"/>
              </w:rPr>
            </w:pPr>
            <w:r w:rsidRPr="00AC3044">
              <w:rPr>
                <w:rFonts w:eastAsia="SimSun"/>
              </w:rPr>
              <w:t xml:space="preserve">4 мг/кг </w:t>
            </w:r>
          </w:p>
        </w:tc>
        <w:tc>
          <w:tcPr>
            <w:tcW w:w="1695" w:type="dxa"/>
            <w:vAlign w:val="center"/>
          </w:tcPr>
          <w:p w14:paraId="51951950" w14:textId="77777777" w:rsidR="00124A26" w:rsidRPr="00AC3044" w:rsidRDefault="00124A26" w:rsidP="002D3EBF">
            <w:pPr>
              <w:ind w:firstLine="0"/>
              <w:rPr>
                <w:rFonts w:eastAsia="SimSun"/>
              </w:rPr>
            </w:pPr>
            <w:r w:rsidRPr="00AC3044">
              <w:rPr>
                <w:rFonts w:eastAsia="SimSun"/>
              </w:rPr>
              <w:t xml:space="preserve">10 мг/кг </w:t>
            </w:r>
          </w:p>
        </w:tc>
        <w:tc>
          <w:tcPr>
            <w:tcW w:w="1408" w:type="dxa"/>
            <w:vAlign w:val="center"/>
          </w:tcPr>
          <w:p w14:paraId="5FF8E861" w14:textId="77777777" w:rsidR="00124A26" w:rsidRPr="00AC3044" w:rsidRDefault="00124A26" w:rsidP="002D3EBF">
            <w:pPr>
              <w:ind w:firstLine="0"/>
              <w:rPr>
                <w:rFonts w:eastAsia="SimSun"/>
              </w:rPr>
            </w:pPr>
            <w:r w:rsidRPr="00AC3044">
              <w:rPr>
                <w:rFonts w:eastAsia="SimSun"/>
              </w:rPr>
              <w:t>С -5 дня по -3 день</w:t>
            </w:r>
          </w:p>
        </w:tc>
        <w:tc>
          <w:tcPr>
            <w:tcW w:w="2278" w:type="dxa"/>
            <w:vAlign w:val="center"/>
          </w:tcPr>
          <w:p w14:paraId="6AF7B4AA"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124A26" w:rsidRPr="00AC3044" w14:paraId="75279EDD" w14:textId="77777777" w:rsidTr="002D3EBF">
        <w:trPr>
          <w:cantSplit/>
          <w:trHeight w:val="1176"/>
        </w:trPr>
        <w:tc>
          <w:tcPr>
            <w:tcW w:w="866" w:type="dxa"/>
            <w:textDirection w:val="btLr"/>
            <w:vAlign w:val="center"/>
          </w:tcPr>
          <w:p w14:paraId="56B895BB" w14:textId="77777777" w:rsidR="00124A26" w:rsidRPr="00AC3044" w:rsidRDefault="00124A26" w:rsidP="002D3EBF">
            <w:pPr>
              <w:ind w:firstLine="0"/>
              <w:rPr>
                <w:rFonts w:eastAsia="SimSun"/>
              </w:rPr>
            </w:pPr>
            <w:r w:rsidRPr="00AC3044">
              <w:rPr>
                <w:rFonts w:eastAsia="SimSun"/>
              </w:rPr>
              <w:t>Профилактика РТПХ</w:t>
            </w:r>
          </w:p>
        </w:tc>
        <w:tc>
          <w:tcPr>
            <w:tcW w:w="1802" w:type="dxa"/>
            <w:vAlign w:val="center"/>
          </w:tcPr>
          <w:p w14:paraId="02550CB1" w14:textId="77777777" w:rsidR="00124A26" w:rsidRPr="00AC3044" w:rsidRDefault="00124A26" w:rsidP="002D3EBF">
            <w:pPr>
              <w:ind w:firstLine="0"/>
              <w:rPr>
                <w:rFonts w:eastAsia="SimSun"/>
              </w:rPr>
            </w:pPr>
            <w:r w:rsidRPr="00AC3044">
              <w:rPr>
                <w:rFonts w:eastAsia="SimSun"/>
              </w:rPr>
              <w:t>Циклофосфамид</w:t>
            </w:r>
          </w:p>
        </w:tc>
        <w:tc>
          <w:tcPr>
            <w:tcW w:w="1495" w:type="dxa"/>
            <w:vAlign w:val="center"/>
          </w:tcPr>
          <w:p w14:paraId="13D4890B" w14:textId="77777777" w:rsidR="00124A26" w:rsidRPr="00AC3044" w:rsidRDefault="00124A26" w:rsidP="002D3EBF">
            <w:pPr>
              <w:ind w:firstLine="0"/>
              <w:rPr>
                <w:rFonts w:eastAsia="SimSun"/>
              </w:rPr>
            </w:pPr>
            <w:r w:rsidRPr="00AC3044">
              <w:rPr>
                <w:rFonts w:eastAsia="SimSun"/>
              </w:rPr>
              <w:t>50 мг/кг</w:t>
            </w:r>
          </w:p>
        </w:tc>
        <w:tc>
          <w:tcPr>
            <w:tcW w:w="1695" w:type="dxa"/>
            <w:vAlign w:val="center"/>
          </w:tcPr>
          <w:p w14:paraId="5B9A1AF4" w14:textId="77777777" w:rsidR="00124A26" w:rsidRPr="00AC3044" w:rsidRDefault="00124A26" w:rsidP="002D3EBF">
            <w:pPr>
              <w:ind w:firstLine="0"/>
              <w:rPr>
                <w:rFonts w:eastAsia="SimSun"/>
              </w:rPr>
            </w:pPr>
            <w:r w:rsidRPr="00AC3044">
              <w:rPr>
                <w:rFonts w:eastAsia="SimSun"/>
              </w:rPr>
              <w:t>100 мг/кг</w:t>
            </w:r>
          </w:p>
        </w:tc>
        <w:tc>
          <w:tcPr>
            <w:tcW w:w="1408" w:type="dxa"/>
            <w:vAlign w:val="center"/>
          </w:tcPr>
          <w:p w14:paraId="4208D6B6" w14:textId="77777777" w:rsidR="00124A26" w:rsidRPr="00AC3044" w:rsidRDefault="00124A26" w:rsidP="002D3EBF">
            <w:pPr>
              <w:ind w:firstLine="0"/>
              <w:rPr>
                <w:rFonts w:eastAsia="SimSun"/>
              </w:rPr>
            </w:pPr>
            <w:r w:rsidRPr="00AC3044">
              <w:rPr>
                <w:rFonts w:eastAsia="SimSun"/>
              </w:rPr>
              <w:t>С +3 дня по +4 день</w:t>
            </w:r>
          </w:p>
        </w:tc>
        <w:tc>
          <w:tcPr>
            <w:tcW w:w="2278" w:type="dxa"/>
            <w:vAlign w:val="center"/>
          </w:tcPr>
          <w:p w14:paraId="6821D650" w14:textId="77777777" w:rsidR="00124A26" w:rsidRPr="00AC3044" w:rsidRDefault="00124A26" w:rsidP="002D3EBF">
            <w:pPr>
              <w:ind w:firstLine="0"/>
              <w:rPr>
                <w:rFonts w:eastAsia="SimSun"/>
              </w:rPr>
            </w:pPr>
            <w:r w:rsidRPr="00AC3044">
              <w:rPr>
                <w:rFonts w:eastAsia="SimSun"/>
              </w:rPr>
              <w:t>В/в, в течение 2 часов</w:t>
            </w:r>
          </w:p>
        </w:tc>
      </w:tr>
    </w:tbl>
    <w:p w14:paraId="0C068265" w14:textId="77777777" w:rsidR="00124A26" w:rsidRPr="00C07B2E" w:rsidRDefault="00124A26" w:rsidP="00124A26">
      <w:pPr>
        <w:rPr>
          <w:rFonts w:eastAsia="SimSun"/>
        </w:rPr>
      </w:pPr>
    </w:p>
    <w:p w14:paraId="70C504C7" w14:textId="77777777" w:rsidR="00124A26" w:rsidRPr="00C07B2E" w:rsidRDefault="00124A26" w:rsidP="00124A26">
      <w:pPr>
        <w:rPr>
          <w:rFonts w:eastAsia="SimSun"/>
        </w:rPr>
      </w:pPr>
      <w:bookmarkStart w:id="215" w:name="_Toc44401172"/>
      <w:r w:rsidRPr="00042499">
        <w:rPr>
          <w:rFonts w:eastAsia="SimSun"/>
        </w:rPr>
        <w:t>Таблица</w:t>
      </w:r>
      <w:r w:rsidRPr="00C07B2E">
        <w:rPr>
          <w:rFonts w:eastAsia="SimSun"/>
        </w:rPr>
        <w:t xml:space="preserve"> </w:t>
      </w:r>
      <w:r>
        <w:rPr>
          <w:rFonts w:eastAsia="SimSun"/>
        </w:rPr>
        <w:t>5.</w:t>
      </w:r>
      <w:r w:rsidRPr="00C07B2E">
        <w:rPr>
          <w:rFonts w:eastAsia="SimSun"/>
        </w:rPr>
        <w:t>1.2.14  – Flu180+Bu10 / PT-Cy+Tx+MMF30</w:t>
      </w:r>
      <w:bookmarkEnd w:id="215"/>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124A26" w:rsidRPr="00AC3044" w14:paraId="62159F82" w14:textId="77777777" w:rsidTr="002D3EBF">
        <w:trPr>
          <w:cantSplit/>
          <w:trHeight w:val="20"/>
          <w:tblHeader/>
        </w:trPr>
        <w:tc>
          <w:tcPr>
            <w:tcW w:w="959" w:type="dxa"/>
            <w:vAlign w:val="center"/>
          </w:tcPr>
          <w:p w14:paraId="515526F3" w14:textId="77777777" w:rsidR="00124A26" w:rsidRPr="00470D3D" w:rsidRDefault="00124A26" w:rsidP="002D3EBF">
            <w:pPr>
              <w:ind w:firstLine="0"/>
              <w:rPr>
                <w:rFonts w:eastAsia="SimSun"/>
              </w:rPr>
            </w:pPr>
          </w:p>
        </w:tc>
        <w:tc>
          <w:tcPr>
            <w:tcW w:w="1701" w:type="dxa"/>
            <w:vAlign w:val="center"/>
          </w:tcPr>
          <w:p w14:paraId="4AC41E67" w14:textId="77777777" w:rsidR="00124A26" w:rsidRPr="00AC3044" w:rsidRDefault="00124A26" w:rsidP="002D3EBF">
            <w:pPr>
              <w:ind w:firstLine="0"/>
              <w:rPr>
                <w:rFonts w:eastAsia="SimSun"/>
              </w:rPr>
            </w:pPr>
            <w:r w:rsidRPr="00AC3044">
              <w:rPr>
                <w:rFonts w:eastAsia="SimSun"/>
              </w:rPr>
              <w:t>Препарат</w:t>
            </w:r>
          </w:p>
        </w:tc>
        <w:tc>
          <w:tcPr>
            <w:tcW w:w="1559" w:type="dxa"/>
            <w:vAlign w:val="center"/>
          </w:tcPr>
          <w:p w14:paraId="60CF455C" w14:textId="77777777" w:rsidR="00124A26" w:rsidRPr="00AC3044" w:rsidRDefault="00124A26" w:rsidP="002D3EBF">
            <w:pPr>
              <w:ind w:firstLine="0"/>
              <w:rPr>
                <w:rFonts w:eastAsia="SimSun"/>
              </w:rPr>
            </w:pPr>
            <w:r w:rsidRPr="00AC3044">
              <w:rPr>
                <w:rFonts w:eastAsia="SimSun"/>
              </w:rPr>
              <w:t>Суточная доза</w:t>
            </w:r>
          </w:p>
        </w:tc>
        <w:tc>
          <w:tcPr>
            <w:tcW w:w="1701" w:type="dxa"/>
            <w:vAlign w:val="center"/>
          </w:tcPr>
          <w:p w14:paraId="0AA4C280" w14:textId="77777777" w:rsidR="00124A26" w:rsidRPr="00AC3044" w:rsidRDefault="00124A26" w:rsidP="002D3EBF">
            <w:pPr>
              <w:ind w:firstLine="0"/>
              <w:rPr>
                <w:rFonts w:eastAsia="SimSun"/>
              </w:rPr>
            </w:pPr>
            <w:r w:rsidRPr="00AC3044">
              <w:rPr>
                <w:rFonts w:eastAsia="SimSun"/>
              </w:rPr>
              <w:t>Курсовая доза</w:t>
            </w:r>
          </w:p>
        </w:tc>
        <w:tc>
          <w:tcPr>
            <w:tcW w:w="1418" w:type="dxa"/>
            <w:vAlign w:val="center"/>
          </w:tcPr>
          <w:p w14:paraId="6DC66770" w14:textId="77777777" w:rsidR="00124A26" w:rsidRPr="00AC3044" w:rsidRDefault="00124A26" w:rsidP="002D3EBF">
            <w:pPr>
              <w:ind w:firstLine="0"/>
              <w:rPr>
                <w:rFonts w:eastAsia="SimSun"/>
              </w:rPr>
            </w:pPr>
            <w:r w:rsidRPr="00AC3044">
              <w:rPr>
                <w:rFonts w:eastAsia="SimSun"/>
              </w:rPr>
              <w:t>Дни введения</w:t>
            </w:r>
          </w:p>
        </w:tc>
        <w:tc>
          <w:tcPr>
            <w:tcW w:w="2268" w:type="dxa"/>
            <w:vAlign w:val="center"/>
          </w:tcPr>
          <w:p w14:paraId="6F7B23B4"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6996FE4C" w14:textId="77777777" w:rsidTr="002D3EBF">
        <w:trPr>
          <w:cantSplit/>
          <w:trHeight w:val="20"/>
        </w:trPr>
        <w:tc>
          <w:tcPr>
            <w:tcW w:w="959" w:type="dxa"/>
            <w:vMerge w:val="restart"/>
            <w:textDirection w:val="btLr"/>
            <w:vAlign w:val="center"/>
          </w:tcPr>
          <w:p w14:paraId="72952673" w14:textId="77777777" w:rsidR="00124A26" w:rsidRPr="00AC3044" w:rsidRDefault="00124A26" w:rsidP="002D3EBF">
            <w:pPr>
              <w:ind w:firstLine="0"/>
              <w:rPr>
                <w:rFonts w:eastAsia="SimSun"/>
              </w:rPr>
            </w:pPr>
            <w:r w:rsidRPr="00AC3044">
              <w:rPr>
                <w:rFonts w:eastAsia="SimSun"/>
              </w:rPr>
              <w:t>Кондиционирование</w:t>
            </w:r>
          </w:p>
        </w:tc>
        <w:tc>
          <w:tcPr>
            <w:tcW w:w="1701" w:type="dxa"/>
            <w:vAlign w:val="center"/>
          </w:tcPr>
          <w:p w14:paraId="5EF0FD04" w14:textId="77777777" w:rsidR="00124A26" w:rsidRPr="00AC3044" w:rsidRDefault="00124A26" w:rsidP="002D3EBF">
            <w:pPr>
              <w:ind w:firstLine="0"/>
              <w:rPr>
                <w:rFonts w:eastAsia="SimSun"/>
              </w:rPr>
            </w:pPr>
            <w:r w:rsidRPr="00AC3044">
              <w:rPr>
                <w:rFonts w:eastAsia="SimSun"/>
              </w:rPr>
              <w:t xml:space="preserve">Флударабин </w:t>
            </w:r>
          </w:p>
        </w:tc>
        <w:tc>
          <w:tcPr>
            <w:tcW w:w="1559" w:type="dxa"/>
            <w:vAlign w:val="center"/>
          </w:tcPr>
          <w:p w14:paraId="5E276A61" w14:textId="77777777" w:rsidR="00124A26" w:rsidRPr="00AC3044" w:rsidRDefault="00124A26" w:rsidP="002D3EBF">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2928E29B" w14:textId="77777777" w:rsidR="00124A26" w:rsidRPr="00AC3044" w:rsidRDefault="00124A26" w:rsidP="002D3EBF">
            <w:pPr>
              <w:ind w:firstLine="0"/>
              <w:rPr>
                <w:rFonts w:eastAsia="SimSun"/>
              </w:rPr>
            </w:pPr>
            <w:r w:rsidRPr="00AC3044">
              <w:rPr>
                <w:rFonts w:eastAsia="SimSun"/>
              </w:rPr>
              <w:t>180 мг/м</w:t>
            </w:r>
            <w:r w:rsidRPr="001E6DBE">
              <w:rPr>
                <w:rFonts w:eastAsia="SimSun"/>
                <w:vertAlign w:val="superscript"/>
              </w:rPr>
              <w:t>2</w:t>
            </w:r>
          </w:p>
        </w:tc>
        <w:tc>
          <w:tcPr>
            <w:tcW w:w="1418" w:type="dxa"/>
            <w:vAlign w:val="center"/>
          </w:tcPr>
          <w:p w14:paraId="208A2635" w14:textId="77777777" w:rsidR="00124A26" w:rsidRPr="00AC3044" w:rsidRDefault="00124A26" w:rsidP="002D3EBF">
            <w:pPr>
              <w:ind w:firstLine="0"/>
              <w:rPr>
                <w:rFonts w:eastAsia="SimSun"/>
              </w:rPr>
            </w:pPr>
            <w:r w:rsidRPr="00AC3044">
              <w:rPr>
                <w:rFonts w:eastAsia="SimSun"/>
              </w:rPr>
              <w:t>С -7 дня по -2 день</w:t>
            </w:r>
          </w:p>
        </w:tc>
        <w:tc>
          <w:tcPr>
            <w:tcW w:w="2268" w:type="dxa"/>
            <w:vAlign w:val="center"/>
          </w:tcPr>
          <w:p w14:paraId="6EE8872F"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3EC71CF5" w14:textId="77777777" w:rsidTr="002D3EBF">
        <w:trPr>
          <w:cantSplit/>
          <w:trHeight w:val="1207"/>
        </w:trPr>
        <w:tc>
          <w:tcPr>
            <w:tcW w:w="959" w:type="dxa"/>
            <w:vMerge/>
            <w:vAlign w:val="center"/>
          </w:tcPr>
          <w:p w14:paraId="60A69CEC" w14:textId="77777777" w:rsidR="00124A26" w:rsidRPr="00AC3044" w:rsidRDefault="00124A26" w:rsidP="002D3EBF">
            <w:pPr>
              <w:ind w:firstLine="0"/>
              <w:rPr>
                <w:rFonts w:eastAsia="SimSun"/>
              </w:rPr>
            </w:pPr>
          </w:p>
        </w:tc>
        <w:tc>
          <w:tcPr>
            <w:tcW w:w="1701" w:type="dxa"/>
            <w:vAlign w:val="center"/>
          </w:tcPr>
          <w:p w14:paraId="72DEF87A" w14:textId="77777777" w:rsidR="00124A26" w:rsidRPr="00AC3044" w:rsidRDefault="00124A26" w:rsidP="002D3EBF">
            <w:pPr>
              <w:ind w:firstLine="0"/>
              <w:rPr>
                <w:rFonts w:eastAsia="SimSun"/>
              </w:rPr>
            </w:pPr>
            <w:r w:rsidRPr="00AC3044">
              <w:rPr>
                <w:rFonts w:eastAsia="SimSun"/>
              </w:rPr>
              <w:t>Бусульфан</w:t>
            </w:r>
          </w:p>
        </w:tc>
        <w:tc>
          <w:tcPr>
            <w:tcW w:w="1559" w:type="dxa"/>
            <w:vAlign w:val="center"/>
          </w:tcPr>
          <w:p w14:paraId="6EEF4BFD" w14:textId="77777777" w:rsidR="00124A26" w:rsidRPr="00AC3044" w:rsidRDefault="00124A26" w:rsidP="002D3EBF">
            <w:pPr>
              <w:ind w:firstLine="0"/>
              <w:rPr>
                <w:rFonts w:eastAsia="SimSun"/>
              </w:rPr>
            </w:pPr>
            <w:r w:rsidRPr="00AC3044">
              <w:rPr>
                <w:rFonts w:eastAsia="SimSun"/>
              </w:rPr>
              <w:t xml:space="preserve">4 мг/кг </w:t>
            </w:r>
          </w:p>
        </w:tc>
        <w:tc>
          <w:tcPr>
            <w:tcW w:w="1701" w:type="dxa"/>
            <w:vAlign w:val="center"/>
          </w:tcPr>
          <w:p w14:paraId="6D4329DC" w14:textId="77777777" w:rsidR="00124A26" w:rsidRPr="00AC3044" w:rsidRDefault="00124A26" w:rsidP="002D3EBF">
            <w:pPr>
              <w:ind w:firstLine="0"/>
              <w:rPr>
                <w:rFonts w:eastAsia="SimSun"/>
              </w:rPr>
            </w:pPr>
            <w:r w:rsidRPr="00AC3044">
              <w:rPr>
                <w:rFonts w:eastAsia="SimSun"/>
              </w:rPr>
              <w:t xml:space="preserve">10 мг/кг </w:t>
            </w:r>
          </w:p>
        </w:tc>
        <w:tc>
          <w:tcPr>
            <w:tcW w:w="1418" w:type="dxa"/>
            <w:vAlign w:val="center"/>
          </w:tcPr>
          <w:p w14:paraId="44A9CDFD" w14:textId="77777777" w:rsidR="00124A26" w:rsidRPr="00AC3044" w:rsidRDefault="00124A26" w:rsidP="002D3EBF">
            <w:pPr>
              <w:ind w:firstLine="0"/>
              <w:rPr>
                <w:rFonts w:eastAsia="SimSun"/>
              </w:rPr>
            </w:pPr>
            <w:r w:rsidRPr="00AC3044">
              <w:rPr>
                <w:rFonts w:eastAsia="SimSun"/>
              </w:rPr>
              <w:t>С -5 дня по -3 день</w:t>
            </w:r>
          </w:p>
        </w:tc>
        <w:tc>
          <w:tcPr>
            <w:tcW w:w="2268" w:type="dxa"/>
            <w:vAlign w:val="center"/>
          </w:tcPr>
          <w:p w14:paraId="4150407F"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124A26" w:rsidRPr="00AC3044" w14:paraId="3F793D75" w14:textId="77777777" w:rsidTr="002D3EBF">
        <w:trPr>
          <w:cantSplit/>
          <w:trHeight w:val="1498"/>
        </w:trPr>
        <w:tc>
          <w:tcPr>
            <w:tcW w:w="959" w:type="dxa"/>
            <w:vMerge w:val="restart"/>
            <w:textDirection w:val="btLr"/>
            <w:vAlign w:val="center"/>
          </w:tcPr>
          <w:p w14:paraId="77AEAE27" w14:textId="77777777" w:rsidR="00124A26" w:rsidRPr="00AC3044" w:rsidRDefault="00124A26" w:rsidP="002D3EBF">
            <w:pPr>
              <w:ind w:firstLine="0"/>
              <w:rPr>
                <w:rFonts w:eastAsia="SimSun"/>
              </w:rPr>
            </w:pPr>
            <w:r w:rsidRPr="00AC3044">
              <w:rPr>
                <w:rFonts w:eastAsia="SimSun"/>
              </w:rPr>
              <w:t>Профилактика РТПХ</w:t>
            </w:r>
          </w:p>
        </w:tc>
        <w:tc>
          <w:tcPr>
            <w:tcW w:w="1701" w:type="dxa"/>
            <w:vAlign w:val="center"/>
          </w:tcPr>
          <w:p w14:paraId="035C157E" w14:textId="77777777" w:rsidR="00124A26" w:rsidRPr="00AC3044" w:rsidRDefault="00124A26" w:rsidP="002D3EBF">
            <w:pPr>
              <w:ind w:firstLine="0"/>
              <w:rPr>
                <w:rFonts w:eastAsia="SimSun"/>
              </w:rPr>
            </w:pPr>
            <w:r w:rsidRPr="00AC3044">
              <w:rPr>
                <w:rFonts w:eastAsia="SimSun"/>
              </w:rPr>
              <w:t>Циклофосфамид</w:t>
            </w:r>
          </w:p>
        </w:tc>
        <w:tc>
          <w:tcPr>
            <w:tcW w:w="1559" w:type="dxa"/>
            <w:vAlign w:val="center"/>
          </w:tcPr>
          <w:p w14:paraId="7EB1380B" w14:textId="77777777" w:rsidR="00124A26" w:rsidRPr="00AC3044" w:rsidRDefault="00124A26" w:rsidP="002D3EBF">
            <w:pPr>
              <w:ind w:firstLine="0"/>
              <w:rPr>
                <w:rFonts w:eastAsia="SimSun"/>
              </w:rPr>
            </w:pPr>
            <w:r w:rsidRPr="00AC3044">
              <w:rPr>
                <w:rFonts w:eastAsia="SimSun"/>
              </w:rPr>
              <w:t>50 мг/кг</w:t>
            </w:r>
          </w:p>
        </w:tc>
        <w:tc>
          <w:tcPr>
            <w:tcW w:w="1701" w:type="dxa"/>
            <w:vAlign w:val="center"/>
          </w:tcPr>
          <w:p w14:paraId="6FC003D1" w14:textId="77777777" w:rsidR="00124A26" w:rsidRPr="00AC3044" w:rsidRDefault="00124A26" w:rsidP="002D3EBF">
            <w:pPr>
              <w:ind w:firstLine="0"/>
              <w:rPr>
                <w:rFonts w:eastAsia="SimSun"/>
              </w:rPr>
            </w:pPr>
            <w:r w:rsidRPr="00AC3044">
              <w:rPr>
                <w:rFonts w:eastAsia="SimSun"/>
              </w:rPr>
              <w:t>100 мг/кг</w:t>
            </w:r>
          </w:p>
        </w:tc>
        <w:tc>
          <w:tcPr>
            <w:tcW w:w="1418" w:type="dxa"/>
            <w:vAlign w:val="center"/>
          </w:tcPr>
          <w:p w14:paraId="345F52A7" w14:textId="77777777" w:rsidR="00124A26" w:rsidRPr="00AC3044" w:rsidRDefault="00124A26" w:rsidP="002D3EBF">
            <w:pPr>
              <w:ind w:firstLine="0"/>
              <w:rPr>
                <w:rFonts w:eastAsia="SimSun"/>
              </w:rPr>
            </w:pPr>
            <w:r w:rsidRPr="00AC3044">
              <w:rPr>
                <w:rFonts w:eastAsia="SimSun"/>
              </w:rPr>
              <w:t>С +3 дня по +4 день</w:t>
            </w:r>
          </w:p>
        </w:tc>
        <w:tc>
          <w:tcPr>
            <w:tcW w:w="2268" w:type="dxa"/>
            <w:vAlign w:val="center"/>
          </w:tcPr>
          <w:p w14:paraId="47F28F88" w14:textId="77777777" w:rsidR="00124A26" w:rsidRPr="00AC3044" w:rsidRDefault="00124A26" w:rsidP="002D3EBF">
            <w:pPr>
              <w:ind w:firstLine="0"/>
              <w:rPr>
                <w:rFonts w:eastAsia="SimSun"/>
              </w:rPr>
            </w:pPr>
            <w:r w:rsidRPr="00AC3044">
              <w:rPr>
                <w:rFonts w:eastAsia="SimSun"/>
              </w:rPr>
              <w:t>В/в, в течение 2 часов</w:t>
            </w:r>
          </w:p>
        </w:tc>
      </w:tr>
      <w:tr w:rsidR="00124A26" w:rsidRPr="00AC3044" w14:paraId="0CA15CE6" w14:textId="77777777" w:rsidTr="002D3EBF">
        <w:trPr>
          <w:cantSplit/>
          <w:trHeight w:val="958"/>
        </w:trPr>
        <w:tc>
          <w:tcPr>
            <w:tcW w:w="959" w:type="dxa"/>
            <w:vMerge/>
            <w:textDirection w:val="btLr"/>
            <w:vAlign w:val="center"/>
          </w:tcPr>
          <w:p w14:paraId="29377E4F" w14:textId="77777777" w:rsidR="00124A26" w:rsidRPr="00AC3044" w:rsidRDefault="00124A26" w:rsidP="002D3EBF">
            <w:pPr>
              <w:ind w:firstLine="0"/>
              <w:rPr>
                <w:rFonts w:eastAsia="SimSun"/>
              </w:rPr>
            </w:pPr>
          </w:p>
        </w:tc>
        <w:tc>
          <w:tcPr>
            <w:tcW w:w="1701" w:type="dxa"/>
            <w:vAlign w:val="center"/>
          </w:tcPr>
          <w:p w14:paraId="50F55725" w14:textId="77777777" w:rsidR="00124A26" w:rsidRPr="00AC3044" w:rsidRDefault="00124A26" w:rsidP="002D3EBF">
            <w:pPr>
              <w:ind w:firstLine="0"/>
              <w:rPr>
                <w:rFonts w:eastAsia="SimSun"/>
              </w:rPr>
            </w:pPr>
            <w:r w:rsidRPr="00AC3044">
              <w:rPr>
                <w:rFonts w:eastAsia="SimSun"/>
              </w:rPr>
              <w:t xml:space="preserve">Такролимус </w:t>
            </w:r>
          </w:p>
        </w:tc>
        <w:tc>
          <w:tcPr>
            <w:tcW w:w="1559" w:type="dxa"/>
            <w:vAlign w:val="center"/>
          </w:tcPr>
          <w:p w14:paraId="6F1CF3FD" w14:textId="77777777" w:rsidR="00124A26" w:rsidRPr="00AC3044" w:rsidRDefault="00124A26" w:rsidP="002D3EBF">
            <w:pPr>
              <w:ind w:firstLine="0"/>
              <w:rPr>
                <w:rFonts w:eastAsia="SimSun"/>
              </w:rPr>
            </w:pPr>
            <w:r w:rsidRPr="00AC3044">
              <w:rPr>
                <w:rFonts w:eastAsia="SimSun"/>
              </w:rPr>
              <w:t>0,03 мг/кг</w:t>
            </w:r>
          </w:p>
        </w:tc>
        <w:tc>
          <w:tcPr>
            <w:tcW w:w="1701" w:type="dxa"/>
            <w:vAlign w:val="center"/>
          </w:tcPr>
          <w:p w14:paraId="44C9310A" w14:textId="77777777" w:rsidR="00124A26" w:rsidRPr="00AC3044" w:rsidRDefault="00124A26" w:rsidP="002D3EBF">
            <w:pPr>
              <w:ind w:firstLine="0"/>
              <w:rPr>
                <w:rFonts w:eastAsia="SimSun"/>
              </w:rPr>
            </w:pPr>
            <w:r w:rsidRPr="00AC3044">
              <w:rPr>
                <w:rFonts w:eastAsia="SimSun"/>
              </w:rPr>
              <w:t>–</w:t>
            </w:r>
          </w:p>
        </w:tc>
        <w:tc>
          <w:tcPr>
            <w:tcW w:w="1418" w:type="dxa"/>
            <w:vAlign w:val="center"/>
          </w:tcPr>
          <w:p w14:paraId="756B177C" w14:textId="77777777" w:rsidR="00124A26" w:rsidRPr="00AC3044" w:rsidRDefault="00124A26" w:rsidP="002D3EBF">
            <w:pPr>
              <w:ind w:firstLine="0"/>
              <w:rPr>
                <w:rFonts w:eastAsia="SimSun"/>
              </w:rPr>
            </w:pPr>
            <w:r w:rsidRPr="00AC3044">
              <w:rPr>
                <w:rFonts w:eastAsia="SimSun"/>
              </w:rPr>
              <w:t xml:space="preserve">С +5 дня длительно </w:t>
            </w:r>
          </w:p>
        </w:tc>
        <w:tc>
          <w:tcPr>
            <w:tcW w:w="2268" w:type="dxa"/>
            <w:vAlign w:val="center"/>
          </w:tcPr>
          <w:p w14:paraId="2870DB7F" w14:textId="77777777" w:rsidR="00124A26" w:rsidRPr="00AC3044" w:rsidRDefault="00124A26"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124A26" w:rsidRPr="00AC3044" w14:paraId="27A29C06" w14:textId="77777777" w:rsidTr="002D3EBF">
        <w:trPr>
          <w:cantSplit/>
          <w:trHeight w:val="986"/>
        </w:trPr>
        <w:tc>
          <w:tcPr>
            <w:tcW w:w="959" w:type="dxa"/>
            <w:vMerge/>
            <w:textDirection w:val="btLr"/>
            <w:vAlign w:val="center"/>
          </w:tcPr>
          <w:p w14:paraId="25759B27" w14:textId="77777777" w:rsidR="00124A26" w:rsidRPr="00AC3044" w:rsidRDefault="00124A26" w:rsidP="002D3EBF">
            <w:pPr>
              <w:ind w:firstLine="0"/>
              <w:rPr>
                <w:rFonts w:eastAsia="SimSun"/>
              </w:rPr>
            </w:pPr>
          </w:p>
        </w:tc>
        <w:tc>
          <w:tcPr>
            <w:tcW w:w="1701" w:type="dxa"/>
            <w:vAlign w:val="center"/>
          </w:tcPr>
          <w:p w14:paraId="2BCDF877" w14:textId="77777777" w:rsidR="00124A26" w:rsidRPr="00AC3044" w:rsidRDefault="00124A26" w:rsidP="002D3EBF">
            <w:pPr>
              <w:ind w:firstLine="0"/>
              <w:rPr>
                <w:rFonts w:eastAsia="SimSun"/>
              </w:rPr>
            </w:pPr>
            <w:r w:rsidRPr="00AC3044">
              <w:rPr>
                <w:rFonts w:eastAsia="SimSun"/>
              </w:rPr>
              <w:t>Микофенолата мофетил</w:t>
            </w:r>
          </w:p>
        </w:tc>
        <w:tc>
          <w:tcPr>
            <w:tcW w:w="1559" w:type="dxa"/>
            <w:vAlign w:val="center"/>
          </w:tcPr>
          <w:p w14:paraId="17C1CA25" w14:textId="77777777" w:rsidR="00124A26" w:rsidRPr="00AC3044" w:rsidRDefault="00124A26" w:rsidP="002D3EBF">
            <w:pPr>
              <w:ind w:firstLine="0"/>
              <w:rPr>
                <w:rFonts w:eastAsia="SimSun"/>
              </w:rPr>
            </w:pPr>
            <w:r w:rsidRPr="00AC3044">
              <w:rPr>
                <w:rFonts w:eastAsia="SimSun"/>
              </w:rPr>
              <w:t xml:space="preserve">30 мг/кг </w:t>
            </w:r>
          </w:p>
        </w:tc>
        <w:tc>
          <w:tcPr>
            <w:tcW w:w="1701" w:type="dxa"/>
            <w:vAlign w:val="center"/>
          </w:tcPr>
          <w:p w14:paraId="0074A9EA" w14:textId="77777777" w:rsidR="00124A26" w:rsidRPr="00AC3044" w:rsidRDefault="00124A26" w:rsidP="002D3EBF">
            <w:pPr>
              <w:ind w:firstLine="0"/>
              <w:rPr>
                <w:rFonts w:eastAsia="SimSun"/>
              </w:rPr>
            </w:pPr>
            <w:r w:rsidRPr="00AC3044">
              <w:rPr>
                <w:rFonts w:eastAsia="SimSun"/>
              </w:rPr>
              <w:t>–</w:t>
            </w:r>
          </w:p>
        </w:tc>
        <w:tc>
          <w:tcPr>
            <w:tcW w:w="1418" w:type="dxa"/>
            <w:vAlign w:val="center"/>
          </w:tcPr>
          <w:p w14:paraId="16A71987" w14:textId="77777777" w:rsidR="00124A26" w:rsidRPr="00AC3044" w:rsidRDefault="00124A26" w:rsidP="002D3EBF">
            <w:pPr>
              <w:ind w:firstLine="0"/>
              <w:rPr>
                <w:rFonts w:eastAsia="SimSun"/>
              </w:rPr>
            </w:pPr>
            <w:r w:rsidRPr="00AC3044">
              <w:rPr>
                <w:rFonts w:eastAsia="SimSun"/>
              </w:rPr>
              <w:t xml:space="preserve">С +5 дня по +35 день </w:t>
            </w:r>
          </w:p>
        </w:tc>
        <w:tc>
          <w:tcPr>
            <w:tcW w:w="2268" w:type="dxa"/>
            <w:vAlign w:val="center"/>
          </w:tcPr>
          <w:p w14:paraId="238B0745"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2- 4 приема.</w:t>
            </w:r>
          </w:p>
        </w:tc>
      </w:tr>
    </w:tbl>
    <w:p w14:paraId="24486BFC" w14:textId="77777777" w:rsidR="00124A26" w:rsidRPr="00C07B2E" w:rsidRDefault="00124A26" w:rsidP="00124A26">
      <w:pPr>
        <w:rPr>
          <w:rFonts w:eastAsia="SimSun"/>
        </w:rPr>
      </w:pPr>
    </w:p>
    <w:p w14:paraId="09635D8E" w14:textId="77777777" w:rsidR="00124A26" w:rsidRPr="00C07B2E" w:rsidRDefault="00124A26" w:rsidP="00124A26">
      <w:pPr>
        <w:rPr>
          <w:rFonts w:eastAsia="SimSun"/>
        </w:rPr>
      </w:pPr>
      <w:bookmarkStart w:id="216" w:name="_Toc44401173"/>
      <w:r w:rsidRPr="00042499">
        <w:rPr>
          <w:rFonts w:eastAsia="SimSun"/>
        </w:rPr>
        <w:t>Таблица</w:t>
      </w:r>
      <w:r w:rsidRPr="00C07B2E">
        <w:rPr>
          <w:rFonts w:eastAsia="SimSun"/>
        </w:rPr>
        <w:t xml:space="preserve"> </w:t>
      </w:r>
      <w:r>
        <w:rPr>
          <w:rFonts w:eastAsia="SimSun"/>
        </w:rPr>
        <w:t>5.</w:t>
      </w:r>
      <w:r w:rsidRPr="00C07B2E">
        <w:rPr>
          <w:rFonts w:eastAsia="SimSun"/>
        </w:rPr>
        <w:t>1.2.15  – Flu180+Bu10 / PT-Cy+Ruxo</w:t>
      </w:r>
      <w:bookmarkEnd w:id="216"/>
      <w:r w:rsidRPr="00C07B2E">
        <w:rPr>
          <w:rFonts w:eastAsia="SimSun"/>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667"/>
        <w:gridCol w:w="1559"/>
        <w:gridCol w:w="1701"/>
        <w:gridCol w:w="1418"/>
        <w:gridCol w:w="2268"/>
      </w:tblGrid>
      <w:tr w:rsidR="00124A26" w:rsidRPr="00AC3044" w14:paraId="73F90CFC" w14:textId="77777777" w:rsidTr="002D3EBF">
        <w:trPr>
          <w:cantSplit/>
          <w:trHeight w:val="20"/>
          <w:tblHeader/>
        </w:trPr>
        <w:tc>
          <w:tcPr>
            <w:tcW w:w="993" w:type="dxa"/>
            <w:vAlign w:val="center"/>
          </w:tcPr>
          <w:p w14:paraId="4408D8DB" w14:textId="77777777" w:rsidR="00124A26" w:rsidRPr="00470D3D" w:rsidRDefault="00124A26" w:rsidP="002D3EBF">
            <w:pPr>
              <w:ind w:firstLine="0"/>
              <w:rPr>
                <w:rFonts w:eastAsia="SimSun"/>
              </w:rPr>
            </w:pPr>
          </w:p>
        </w:tc>
        <w:tc>
          <w:tcPr>
            <w:tcW w:w="1667" w:type="dxa"/>
            <w:vAlign w:val="center"/>
          </w:tcPr>
          <w:p w14:paraId="22741799" w14:textId="77777777" w:rsidR="00124A26" w:rsidRPr="00AC3044" w:rsidRDefault="00124A26" w:rsidP="002D3EBF">
            <w:pPr>
              <w:ind w:firstLine="0"/>
              <w:rPr>
                <w:rFonts w:eastAsia="SimSun"/>
              </w:rPr>
            </w:pPr>
            <w:r w:rsidRPr="00AC3044">
              <w:rPr>
                <w:rFonts w:eastAsia="SimSun"/>
              </w:rPr>
              <w:t>Препарат</w:t>
            </w:r>
          </w:p>
        </w:tc>
        <w:tc>
          <w:tcPr>
            <w:tcW w:w="1559" w:type="dxa"/>
            <w:vAlign w:val="center"/>
          </w:tcPr>
          <w:p w14:paraId="5ABA160E" w14:textId="77777777" w:rsidR="00124A26" w:rsidRPr="00AC3044" w:rsidRDefault="00124A26" w:rsidP="002D3EBF">
            <w:pPr>
              <w:ind w:firstLine="0"/>
              <w:rPr>
                <w:rFonts w:eastAsia="SimSun"/>
              </w:rPr>
            </w:pPr>
            <w:r w:rsidRPr="00AC3044">
              <w:rPr>
                <w:rFonts w:eastAsia="SimSun"/>
              </w:rPr>
              <w:t>Суточная доза</w:t>
            </w:r>
          </w:p>
        </w:tc>
        <w:tc>
          <w:tcPr>
            <w:tcW w:w="1701" w:type="dxa"/>
            <w:vAlign w:val="center"/>
          </w:tcPr>
          <w:p w14:paraId="2FED103F" w14:textId="77777777" w:rsidR="00124A26" w:rsidRPr="00AC3044" w:rsidRDefault="00124A26" w:rsidP="002D3EBF">
            <w:pPr>
              <w:ind w:firstLine="0"/>
              <w:rPr>
                <w:rFonts w:eastAsia="SimSun"/>
              </w:rPr>
            </w:pPr>
            <w:r w:rsidRPr="00AC3044">
              <w:rPr>
                <w:rFonts w:eastAsia="SimSun"/>
              </w:rPr>
              <w:t>Курсовая доза</w:t>
            </w:r>
          </w:p>
        </w:tc>
        <w:tc>
          <w:tcPr>
            <w:tcW w:w="1418" w:type="dxa"/>
            <w:vAlign w:val="center"/>
          </w:tcPr>
          <w:p w14:paraId="34950FB6" w14:textId="77777777" w:rsidR="00124A26" w:rsidRPr="00AC3044" w:rsidRDefault="00124A26" w:rsidP="002D3EBF">
            <w:pPr>
              <w:ind w:firstLine="0"/>
              <w:rPr>
                <w:rFonts w:eastAsia="SimSun"/>
              </w:rPr>
            </w:pPr>
            <w:r w:rsidRPr="00AC3044">
              <w:rPr>
                <w:rFonts w:eastAsia="SimSun"/>
              </w:rPr>
              <w:t>Дни введения</w:t>
            </w:r>
          </w:p>
        </w:tc>
        <w:tc>
          <w:tcPr>
            <w:tcW w:w="2268" w:type="dxa"/>
            <w:vAlign w:val="center"/>
          </w:tcPr>
          <w:p w14:paraId="55889641"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2F78AA85" w14:textId="77777777" w:rsidTr="002D3EBF">
        <w:trPr>
          <w:cantSplit/>
          <w:trHeight w:val="20"/>
        </w:trPr>
        <w:tc>
          <w:tcPr>
            <w:tcW w:w="993" w:type="dxa"/>
            <w:vMerge w:val="restart"/>
            <w:textDirection w:val="btLr"/>
            <w:vAlign w:val="center"/>
          </w:tcPr>
          <w:p w14:paraId="3474036D" w14:textId="77777777" w:rsidR="00124A26" w:rsidRPr="00AC3044" w:rsidRDefault="00124A26" w:rsidP="002D3EBF">
            <w:pPr>
              <w:ind w:firstLine="0"/>
              <w:rPr>
                <w:rFonts w:eastAsia="SimSun"/>
              </w:rPr>
            </w:pPr>
            <w:r w:rsidRPr="00AC3044">
              <w:rPr>
                <w:rFonts w:eastAsia="SimSun"/>
              </w:rPr>
              <w:t>Кондиционирование</w:t>
            </w:r>
          </w:p>
        </w:tc>
        <w:tc>
          <w:tcPr>
            <w:tcW w:w="1667" w:type="dxa"/>
            <w:vAlign w:val="center"/>
          </w:tcPr>
          <w:p w14:paraId="61B44B61" w14:textId="77777777" w:rsidR="00124A26" w:rsidRPr="00AC3044" w:rsidRDefault="00124A26" w:rsidP="002D3EBF">
            <w:pPr>
              <w:ind w:firstLine="0"/>
              <w:rPr>
                <w:rFonts w:eastAsia="SimSun"/>
              </w:rPr>
            </w:pPr>
            <w:r w:rsidRPr="00AC3044">
              <w:rPr>
                <w:rFonts w:eastAsia="SimSun"/>
              </w:rPr>
              <w:t xml:space="preserve">Флударабин </w:t>
            </w:r>
          </w:p>
        </w:tc>
        <w:tc>
          <w:tcPr>
            <w:tcW w:w="1559" w:type="dxa"/>
            <w:vAlign w:val="center"/>
          </w:tcPr>
          <w:p w14:paraId="5CBCBFD3" w14:textId="77777777" w:rsidR="00124A26" w:rsidRPr="00AC3044" w:rsidRDefault="00124A26" w:rsidP="002D3EBF">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5017D798" w14:textId="77777777" w:rsidR="00124A26" w:rsidRPr="00AC3044" w:rsidRDefault="00124A26" w:rsidP="002D3EBF">
            <w:pPr>
              <w:ind w:firstLine="0"/>
              <w:rPr>
                <w:rFonts w:eastAsia="SimSun"/>
              </w:rPr>
            </w:pPr>
            <w:r w:rsidRPr="00AC3044">
              <w:rPr>
                <w:rFonts w:eastAsia="SimSun"/>
              </w:rPr>
              <w:t>180 мг/м</w:t>
            </w:r>
            <w:r w:rsidRPr="001E6DBE">
              <w:rPr>
                <w:rFonts w:eastAsia="SimSun"/>
                <w:vertAlign w:val="superscript"/>
              </w:rPr>
              <w:t>2</w:t>
            </w:r>
          </w:p>
        </w:tc>
        <w:tc>
          <w:tcPr>
            <w:tcW w:w="1418" w:type="dxa"/>
            <w:vAlign w:val="center"/>
          </w:tcPr>
          <w:p w14:paraId="3DB6C92C" w14:textId="77777777" w:rsidR="00124A26" w:rsidRPr="00AC3044" w:rsidRDefault="00124A26" w:rsidP="002D3EBF">
            <w:pPr>
              <w:ind w:firstLine="0"/>
              <w:rPr>
                <w:rFonts w:eastAsia="SimSun"/>
              </w:rPr>
            </w:pPr>
            <w:r w:rsidRPr="00AC3044">
              <w:rPr>
                <w:rFonts w:eastAsia="SimSun"/>
              </w:rPr>
              <w:t>С -7 дня по -2 день</w:t>
            </w:r>
          </w:p>
        </w:tc>
        <w:tc>
          <w:tcPr>
            <w:tcW w:w="2268" w:type="dxa"/>
            <w:vAlign w:val="center"/>
          </w:tcPr>
          <w:p w14:paraId="2850667E"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323C2078" w14:textId="77777777" w:rsidTr="002D3EBF">
        <w:trPr>
          <w:cantSplit/>
          <w:trHeight w:val="1207"/>
        </w:trPr>
        <w:tc>
          <w:tcPr>
            <w:tcW w:w="993" w:type="dxa"/>
            <w:vMerge/>
            <w:vAlign w:val="center"/>
          </w:tcPr>
          <w:p w14:paraId="43327361" w14:textId="77777777" w:rsidR="00124A26" w:rsidRPr="00AC3044" w:rsidRDefault="00124A26" w:rsidP="002D3EBF">
            <w:pPr>
              <w:ind w:firstLine="0"/>
              <w:rPr>
                <w:rFonts w:eastAsia="SimSun"/>
              </w:rPr>
            </w:pPr>
          </w:p>
        </w:tc>
        <w:tc>
          <w:tcPr>
            <w:tcW w:w="1667" w:type="dxa"/>
            <w:vAlign w:val="center"/>
          </w:tcPr>
          <w:p w14:paraId="01811986" w14:textId="77777777" w:rsidR="00124A26" w:rsidRPr="00AC3044" w:rsidRDefault="00124A26" w:rsidP="002D3EBF">
            <w:pPr>
              <w:ind w:firstLine="0"/>
              <w:rPr>
                <w:rFonts w:eastAsia="SimSun"/>
              </w:rPr>
            </w:pPr>
            <w:r w:rsidRPr="00AC3044">
              <w:rPr>
                <w:rFonts w:eastAsia="SimSun"/>
              </w:rPr>
              <w:t>Бусульфан</w:t>
            </w:r>
          </w:p>
        </w:tc>
        <w:tc>
          <w:tcPr>
            <w:tcW w:w="1559" w:type="dxa"/>
            <w:vAlign w:val="center"/>
          </w:tcPr>
          <w:p w14:paraId="50BCCF85" w14:textId="77777777" w:rsidR="00124A26" w:rsidRPr="00AC3044" w:rsidRDefault="00124A26" w:rsidP="002D3EBF">
            <w:pPr>
              <w:ind w:firstLine="0"/>
              <w:rPr>
                <w:rFonts w:eastAsia="SimSun"/>
              </w:rPr>
            </w:pPr>
            <w:r w:rsidRPr="00AC3044">
              <w:rPr>
                <w:rFonts w:eastAsia="SimSun"/>
              </w:rPr>
              <w:t xml:space="preserve">4 мг/кг </w:t>
            </w:r>
          </w:p>
        </w:tc>
        <w:tc>
          <w:tcPr>
            <w:tcW w:w="1701" w:type="dxa"/>
            <w:vAlign w:val="center"/>
          </w:tcPr>
          <w:p w14:paraId="7671F0BD" w14:textId="77777777" w:rsidR="00124A26" w:rsidRPr="00AC3044" w:rsidRDefault="00124A26" w:rsidP="002D3EBF">
            <w:pPr>
              <w:ind w:firstLine="0"/>
              <w:rPr>
                <w:rFonts w:eastAsia="SimSun"/>
              </w:rPr>
            </w:pPr>
            <w:r w:rsidRPr="00AC3044">
              <w:rPr>
                <w:rFonts w:eastAsia="SimSun"/>
              </w:rPr>
              <w:t xml:space="preserve">10 мг/кг </w:t>
            </w:r>
          </w:p>
        </w:tc>
        <w:tc>
          <w:tcPr>
            <w:tcW w:w="1418" w:type="dxa"/>
            <w:vAlign w:val="center"/>
          </w:tcPr>
          <w:p w14:paraId="0C2D7CA6" w14:textId="77777777" w:rsidR="00124A26" w:rsidRPr="00AC3044" w:rsidRDefault="00124A26" w:rsidP="002D3EBF">
            <w:pPr>
              <w:ind w:firstLine="0"/>
              <w:rPr>
                <w:rFonts w:eastAsia="SimSun"/>
              </w:rPr>
            </w:pPr>
            <w:r w:rsidRPr="00AC3044">
              <w:rPr>
                <w:rFonts w:eastAsia="SimSun"/>
              </w:rPr>
              <w:t>С -5 дня по -3 день</w:t>
            </w:r>
          </w:p>
        </w:tc>
        <w:tc>
          <w:tcPr>
            <w:tcW w:w="2268" w:type="dxa"/>
            <w:vAlign w:val="center"/>
          </w:tcPr>
          <w:p w14:paraId="481394B1"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124A26" w:rsidRPr="00AC3044" w14:paraId="00062722" w14:textId="77777777" w:rsidTr="002D3EBF">
        <w:trPr>
          <w:cantSplit/>
          <w:trHeight w:val="582"/>
        </w:trPr>
        <w:tc>
          <w:tcPr>
            <w:tcW w:w="993" w:type="dxa"/>
            <w:vMerge w:val="restart"/>
            <w:textDirection w:val="btLr"/>
            <w:vAlign w:val="center"/>
          </w:tcPr>
          <w:p w14:paraId="47B67116" w14:textId="77777777" w:rsidR="00124A26" w:rsidRPr="00AC3044" w:rsidRDefault="00124A26" w:rsidP="002D3EBF">
            <w:pPr>
              <w:ind w:firstLine="0"/>
              <w:rPr>
                <w:rFonts w:eastAsia="SimSun"/>
              </w:rPr>
            </w:pPr>
            <w:r w:rsidRPr="00AC3044">
              <w:rPr>
                <w:rFonts w:eastAsia="SimSun"/>
              </w:rPr>
              <w:t>Профилактика РТПХ</w:t>
            </w:r>
          </w:p>
        </w:tc>
        <w:tc>
          <w:tcPr>
            <w:tcW w:w="1667" w:type="dxa"/>
            <w:vAlign w:val="center"/>
          </w:tcPr>
          <w:p w14:paraId="3D1D3C7F" w14:textId="77777777" w:rsidR="00124A26" w:rsidRPr="00AC3044" w:rsidRDefault="00124A26" w:rsidP="002D3EBF">
            <w:pPr>
              <w:ind w:firstLine="0"/>
              <w:rPr>
                <w:rFonts w:eastAsia="SimSun"/>
              </w:rPr>
            </w:pPr>
            <w:r w:rsidRPr="00AC3044">
              <w:rPr>
                <w:rFonts w:eastAsia="SimSun"/>
              </w:rPr>
              <w:t>Циклофосфамид</w:t>
            </w:r>
          </w:p>
        </w:tc>
        <w:tc>
          <w:tcPr>
            <w:tcW w:w="1559" w:type="dxa"/>
            <w:vAlign w:val="center"/>
          </w:tcPr>
          <w:p w14:paraId="25A6B65F" w14:textId="77777777" w:rsidR="00124A26" w:rsidRPr="00AC3044" w:rsidRDefault="00124A26" w:rsidP="002D3EBF">
            <w:pPr>
              <w:ind w:firstLine="0"/>
              <w:rPr>
                <w:rFonts w:eastAsia="SimSun"/>
              </w:rPr>
            </w:pPr>
            <w:r w:rsidRPr="00AC3044">
              <w:rPr>
                <w:rFonts w:eastAsia="SimSun"/>
              </w:rPr>
              <w:t>50 мг/кг</w:t>
            </w:r>
          </w:p>
        </w:tc>
        <w:tc>
          <w:tcPr>
            <w:tcW w:w="1701" w:type="dxa"/>
            <w:vAlign w:val="center"/>
          </w:tcPr>
          <w:p w14:paraId="07AF1303" w14:textId="77777777" w:rsidR="00124A26" w:rsidRPr="00AC3044" w:rsidRDefault="00124A26" w:rsidP="002D3EBF">
            <w:pPr>
              <w:ind w:firstLine="0"/>
              <w:rPr>
                <w:rFonts w:eastAsia="SimSun"/>
              </w:rPr>
            </w:pPr>
            <w:r w:rsidRPr="00AC3044">
              <w:rPr>
                <w:rFonts w:eastAsia="SimSun"/>
              </w:rPr>
              <w:t>100 мг/кг</w:t>
            </w:r>
          </w:p>
        </w:tc>
        <w:tc>
          <w:tcPr>
            <w:tcW w:w="1418" w:type="dxa"/>
            <w:vAlign w:val="center"/>
          </w:tcPr>
          <w:p w14:paraId="62790BEA" w14:textId="77777777" w:rsidR="00124A26" w:rsidRPr="00AC3044" w:rsidRDefault="00124A26" w:rsidP="002D3EBF">
            <w:pPr>
              <w:ind w:firstLine="0"/>
              <w:rPr>
                <w:rFonts w:eastAsia="SimSun"/>
              </w:rPr>
            </w:pPr>
            <w:r w:rsidRPr="00AC3044">
              <w:rPr>
                <w:rFonts w:eastAsia="SimSun"/>
              </w:rPr>
              <w:t>С +3 дня по +4 день</w:t>
            </w:r>
          </w:p>
        </w:tc>
        <w:tc>
          <w:tcPr>
            <w:tcW w:w="2268" w:type="dxa"/>
            <w:vAlign w:val="center"/>
          </w:tcPr>
          <w:p w14:paraId="58CB0831" w14:textId="77777777" w:rsidR="00124A26" w:rsidRPr="00AC3044" w:rsidRDefault="00124A26" w:rsidP="002D3EBF">
            <w:pPr>
              <w:ind w:firstLine="0"/>
              <w:rPr>
                <w:rFonts w:eastAsia="SimSun"/>
              </w:rPr>
            </w:pPr>
            <w:r w:rsidRPr="00AC3044">
              <w:rPr>
                <w:rFonts w:eastAsia="SimSun"/>
              </w:rPr>
              <w:t>В/в, в течение 2 часов</w:t>
            </w:r>
          </w:p>
        </w:tc>
      </w:tr>
      <w:tr w:rsidR="00124A26" w:rsidRPr="00AC3044" w14:paraId="07FDC409" w14:textId="77777777" w:rsidTr="002D3EBF">
        <w:trPr>
          <w:cantSplit/>
          <w:trHeight w:val="562"/>
        </w:trPr>
        <w:tc>
          <w:tcPr>
            <w:tcW w:w="993" w:type="dxa"/>
            <w:vMerge/>
            <w:textDirection w:val="btLr"/>
            <w:vAlign w:val="center"/>
          </w:tcPr>
          <w:p w14:paraId="0717E2FA" w14:textId="77777777" w:rsidR="00124A26" w:rsidRPr="00AC3044" w:rsidRDefault="00124A26" w:rsidP="002D3EBF">
            <w:pPr>
              <w:ind w:firstLine="0"/>
              <w:rPr>
                <w:rFonts w:eastAsia="SimSun"/>
              </w:rPr>
            </w:pPr>
          </w:p>
        </w:tc>
        <w:tc>
          <w:tcPr>
            <w:tcW w:w="1667" w:type="dxa"/>
            <w:vAlign w:val="center"/>
          </w:tcPr>
          <w:p w14:paraId="3A6B36F6" w14:textId="77777777" w:rsidR="00124A26" w:rsidRPr="00AC3044" w:rsidRDefault="00124A26" w:rsidP="002D3EBF">
            <w:pPr>
              <w:ind w:firstLine="0"/>
              <w:rPr>
                <w:rFonts w:eastAsia="SimSun"/>
              </w:rPr>
            </w:pPr>
            <w:r w:rsidRPr="00AC3044">
              <w:rPr>
                <w:rFonts w:eastAsia="SimSun"/>
              </w:rPr>
              <w:t>Руксолитиниб</w:t>
            </w:r>
          </w:p>
        </w:tc>
        <w:tc>
          <w:tcPr>
            <w:tcW w:w="1559" w:type="dxa"/>
            <w:vAlign w:val="center"/>
          </w:tcPr>
          <w:p w14:paraId="3E284DF5" w14:textId="77777777" w:rsidR="00124A26" w:rsidRPr="00AC3044" w:rsidRDefault="00124A26" w:rsidP="002D3EBF">
            <w:pPr>
              <w:ind w:firstLine="0"/>
              <w:rPr>
                <w:rFonts w:eastAsia="SimSun"/>
              </w:rPr>
            </w:pPr>
            <w:r w:rsidRPr="00AC3044">
              <w:rPr>
                <w:rFonts w:eastAsia="SimSun"/>
              </w:rPr>
              <w:t>45 мг</w:t>
            </w:r>
          </w:p>
        </w:tc>
        <w:tc>
          <w:tcPr>
            <w:tcW w:w="1701" w:type="dxa"/>
            <w:vAlign w:val="center"/>
          </w:tcPr>
          <w:p w14:paraId="2B43886C" w14:textId="77777777" w:rsidR="00124A26" w:rsidRPr="00AC3044" w:rsidRDefault="00124A26" w:rsidP="002D3EBF">
            <w:pPr>
              <w:ind w:firstLine="0"/>
              <w:rPr>
                <w:rFonts w:eastAsia="SimSun"/>
              </w:rPr>
            </w:pPr>
            <w:r w:rsidRPr="00AC3044">
              <w:rPr>
                <w:rFonts w:eastAsia="SimSun"/>
              </w:rPr>
              <w:t>270 мг</w:t>
            </w:r>
          </w:p>
        </w:tc>
        <w:tc>
          <w:tcPr>
            <w:tcW w:w="1418" w:type="dxa"/>
            <w:vAlign w:val="center"/>
          </w:tcPr>
          <w:p w14:paraId="58D55799" w14:textId="77777777" w:rsidR="00124A26" w:rsidRPr="00AC3044" w:rsidRDefault="00124A26" w:rsidP="002D3EBF">
            <w:pPr>
              <w:ind w:firstLine="0"/>
              <w:rPr>
                <w:rFonts w:eastAsia="SimSun"/>
              </w:rPr>
            </w:pPr>
            <w:r w:rsidRPr="00AC3044">
              <w:rPr>
                <w:rFonts w:eastAsia="SimSun"/>
              </w:rPr>
              <w:t xml:space="preserve">С -7 дня по -2 день </w:t>
            </w:r>
          </w:p>
        </w:tc>
        <w:tc>
          <w:tcPr>
            <w:tcW w:w="2268" w:type="dxa"/>
            <w:vAlign w:val="center"/>
          </w:tcPr>
          <w:p w14:paraId="0B8E638C" w14:textId="77777777" w:rsidR="00124A26" w:rsidRPr="00AC3044" w:rsidRDefault="00124A26" w:rsidP="002D3EBF">
            <w:pPr>
              <w:ind w:firstLine="0"/>
              <w:rPr>
                <w:rFonts w:eastAsia="SimSun"/>
              </w:rPr>
            </w:pPr>
            <w:r w:rsidRPr="00AC3044">
              <w:rPr>
                <w:rFonts w:eastAsia="SimSun"/>
              </w:rPr>
              <w:t xml:space="preserve">Внутрь суточную дозу </w:t>
            </w:r>
          </w:p>
          <w:p w14:paraId="708DB8F7" w14:textId="77777777" w:rsidR="00124A26" w:rsidRPr="00AC3044" w:rsidRDefault="00124A26" w:rsidP="002D3EBF">
            <w:pPr>
              <w:ind w:firstLine="0"/>
              <w:rPr>
                <w:rFonts w:eastAsia="SimSun"/>
              </w:rPr>
            </w:pPr>
            <w:r w:rsidRPr="00AC3044">
              <w:rPr>
                <w:rFonts w:eastAsia="SimSun"/>
              </w:rPr>
              <w:t>за 3 приема</w:t>
            </w:r>
          </w:p>
        </w:tc>
      </w:tr>
      <w:tr w:rsidR="00124A26" w:rsidRPr="00AC3044" w14:paraId="3198643A" w14:textId="77777777" w:rsidTr="002D3EBF">
        <w:trPr>
          <w:cantSplit/>
          <w:trHeight w:val="769"/>
        </w:trPr>
        <w:tc>
          <w:tcPr>
            <w:tcW w:w="993" w:type="dxa"/>
            <w:vMerge/>
            <w:textDirection w:val="btLr"/>
            <w:vAlign w:val="center"/>
          </w:tcPr>
          <w:p w14:paraId="2D563AC1" w14:textId="77777777" w:rsidR="00124A26" w:rsidRPr="00AC3044" w:rsidRDefault="00124A26" w:rsidP="002D3EBF">
            <w:pPr>
              <w:ind w:firstLine="0"/>
              <w:rPr>
                <w:rFonts w:eastAsia="SimSun"/>
              </w:rPr>
            </w:pPr>
          </w:p>
        </w:tc>
        <w:tc>
          <w:tcPr>
            <w:tcW w:w="1667" w:type="dxa"/>
            <w:vAlign w:val="center"/>
          </w:tcPr>
          <w:p w14:paraId="6018BB67" w14:textId="77777777" w:rsidR="00124A26" w:rsidRPr="00AC3044" w:rsidRDefault="00124A26" w:rsidP="002D3EBF">
            <w:pPr>
              <w:ind w:firstLine="0"/>
              <w:rPr>
                <w:rFonts w:eastAsia="SimSun"/>
              </w:rPr>
            </w:pPr>
            <w:r w:rsidRPr="00AC3044">
              <w:rPr>
                <w:rFonts w:eastAsia="SimSun"/>
              </w:rPr>
              <w:t xml:space="preserve">Руксолитиниб </w:t>
            </w:r>
          </w:p>
        </w:tc>
        <w:tc>
          <w:tcPr>
            <w:tcW w:w="1559" w:type="dxa"/>
            <w:vAlign w:val="center"/>
          </w:tcPr>
          <w:p w14:paraId="2FDA4E96" w14:textId="77777777" w:rsidR="00124A26" w:rsidRPr="00AC3044" w:rsidRDefault="00124A26" w:rsidP="002D3EBF">
            <w:pPr>
              <w:ind w:firstLine="0"/>
              <w:rPr>
                <w:rFonts w:eastAsia="SimSun"/>
              </w:rPr>
            </w:pPr>
            <w:r w:rsidRPr="00AC3044">
              <w:rPr>
                <w:rFonts w:eastAsia="SimSun"/>
              </w:rPr>
              <w:t>15 мг</w:t>
            </w:r>
          </w:p>
        </w:tc>
        <w:tc>
          <w:tcPr>
            <w:tcW w:w="1701" w:type="dxa"/>
            <w:vAlign w:val="center"/>
          </w:tcPr>
          <w:p w14:paraId="6505A71B" w14:textId="77777777" w:rsidR="00124A26" w:rsidRPr="00AC3044" w:rsidRDefault="00124A26" w:rsidP="002D3EBF">
            <w:pPr>
              <w:ind w:firstLine="0"/>
              <w:rPr>
                <w:rFonts w:eastAsia="SimSun"/>
              </w:rPr>
            </w:pPr>
            <w:r w:rsidRPr="00AC3044">
              <w:rPr>
                <w:rFonts w:eastAsia="SimSun"/>
              </w:rPr>
              <w:t>-</w:t>
            </w:r>
          </w:p>
        </w:tc>
        <w:tc>
          <w:tcPr>
            <w:tcW w:w="1418" w:type="dxa"/>
            <w:vAlign w:val="center"/>
          </w:tcPr>
          <w:p w14:paraId="24E8B61D" w14:textId="77777777" w:rsidR="00124A26" w:rsidRPr="00AC3044" w:rsidRDefault="00124A26" w:rsidP="002D3EBF">
            <w:pPr>
              <w:ind w:firstLine="0"/>
              <w:rPr>
                <w:rFonts w:eastAsia="SimSun"/>
              </w:rPr>
            </w:pPr>
            <w:r w:rsidRPr="00AC3044">
              <w:rPr>
                <w:rFonts w:eastAsia="SimSun"/>
              </w:rPr>
              <w:t>С +5 дня по +100 день</w:t>
            </w:r>
          </w:p>
        </w:tc>
        <w:tc>
          <w:tcPr>
            <w:tcW w:w="2268" w:type="dxa"/>
            <w:vAlign w:val="center"/>
          </w:tcPr>
          <w:p w14:paraId="0E9F4151" w14:textId="77777777" w:rsidR="00124A26" w:rsidRPr="00AC3044" w:rsidRDefault="00124A26" w:rsidP="002D3EBF">
            <w:pPr>
              <w:ind w:firstLine="0"/>
              <w:rPr>
                <w:rFonts w:eastAsia="SimSun"/>
              </w:rPr>
            </w:pPr>
            <w:r w:rsidRPr="00AC3044">
              <w:rPr>
                <w:rFonts w:eastAsia="SimSun"/>
              </w:rPr>
              <w:t xml:space="preserve">Внутрь суточную дозу </w:t>
            </w:r>
          </w:p>
          <w:p w14:paraId="0E997E8B" w14:textId="77777777" w:rsidR="00124A26" w:rsidRPr="00AC3044" w:rsidRDefault="00124A26" w:rsidP="002D3EBF">
            <w:pPr>
              <w:ind w:firstLine="0"/>
              <w:rPr>
                <w:rFonts w:eastAsia="SimSun"/>
              </w:rPr>
            </w:pPr>
            <w:r w:rsidRPr="00AC3044">
              <w:rPr>
                <w:rFonts w:eastAsia="SimSun"/>
              </w:rPr>
              <w:t>за 2 приема</w:t>
            </w:r>
          </w:p>
        </w:tc>
      </w:tr>
    </w:tbl>
    <w:p w14:paraId="3E49D4B8" w14:textId="77777777" w:rsidR="00124A26" w:rsidRDefault="00124A26" w:rsidP="00124A26">
      <w:pPr>
        <w:rPr>
          <w:rFonts w:eastAsia="SimSun"/>
        </w:rPr>
      </w:pPr>
      <w:bookmarkStart w:id="217" w:name="_Toc44401174"/>
    </w:p>
    <w:p w14:paraId="317273E8" w14:textId="77777777" w:rsidR="00124A26" w:rsidRPr="00C07B2E" w:rsidRDefault="00124A26" w:rsidP="00124A26">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1.2.16  – Flu90+Benda /PT-Cy+Tx+MMF30</w:t>
      </w:r>
      <w:bookmarkEnd w:id="217"/>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124A26" w:rsidRPr="00AC3044" w14:paraId="333E5854" w14:textId="77777777" w:rsidTr="002D3EBF">
        <w:trPr>
          <w:cantSplit/>
          <w:trHeight w:val="20"/>
          <w:tblHeader/>
        </w:trPr>
        <w:tc>
          <w:tcPr>
            <w:tcW w:w="959" w:type="dxa"/>
            <w:vAlign w:val="center"/>
          </w:tcPr>
          <w:p w14:paraId="0ED555B0" w14:textId="77777777" w:rsidR="00124A26" w:rsidRPr="00AC3044" w:rsidRDefault="00124A26" w:rsidP="002D3EBF">
            <w:pPr>
              <w:ind w:firstLine="0"/>
              <w:rPr>
                <w:rFonts w:eastAsia="SimSun"/>
              </w:rPr>
            </w:pPr>
          </w:p>
        </w:tc>
        <w:tc>
          <w:tcPr>
            <w:tcW w:w="1701" w:type="dxa"/>
            <w:vAlign w:val="center"/>
          </w:tcPr>
          <w:p w14:paraId="29450294" w14:textId="77777777" w:rsidR="00124A26" w:rsidRPr="00AC3044" w:rsidRDefault="00124A26" w:rsidP="002D3EBF">
            <w:pPr>
              <w:ind w:firstLine="0"/>
              <w:rPr>
                <w:rFonts w:eastAsia="SimSun"/>
              </w:rPr>
            </w:pPr>
            <w:r w:rsidRPr="00AC3044">
              <w:rPr>
                <w:rFonts w:eastAsia="SimSun"/>
              </w:rPr>
              <w:t>Препарат</w:t>
            </w:r>
          </w:p>
        </w:tc>
        <w:tc>
          <w:tcPr>
            <w:tcW w:w="1559" w:type="dxa"/>
            <w:vAlign w:val="center"/>
          </w:tcPr>
          <w:p w14:paraId="57809FBC" w14:textId="77777777" w:rsidR="00124A26" w:rsidRPr="00AC3044" w:rsidRDefault="00124A26" w:rsidP="002D3EBF">
            <w:pPr>
              <w:ind w:firstLine="0"/>
              <w:rPr>
                <w:rFonts w:eastAsia="SimSun"/>
              </w:rPr>
            </w:pPr>
            <w:r w:rsidRPr="00AC3044">
              <w:rPr>
                <w:rFonts w:eastAsia="SimSun"/>
              </w:rPr>
              <w:t>Суточная доза</w:t>
            </w:r>
          </w:p>
        </w:tc>
        <w:tc>
          <w:tcPr>
            <w:tcW w:w="1701" w:type="dxa"/>
            <w:vAlign w:val="center"/>
          </w:tcPr>
          <w:p w14:paraId="7C7CE36F" w14:textId="77777777" w:rsidR="00124A26" w:rsidRPr="00AC3044" w:rsidRDefault="00124A26" w:rsidP="002D3EBF">
            <w:pPr>
              <w:ind w:firstLine="0"/>
              <w:rPr>
                <w:rFonts w:eastAsia="SimSun"/>
              </w:rPr>
            </w:pPr>
            <w:r w:rsidRPr="00AC3044">
              <w:rPr>
                <w:rFonts w:eastAsia="SimSun"/>
              </w:rPr>
              <w:t>Курсовая доза</w:t>
            </w:r>
          </w:p>
        </w:tc>
        <w:tc>
          <w:tcPr>
            <w:tcW w:w="1418" w:type="dxa"/>
            <w:vAlign w:val="center"/>
          </w:tcPr>
          <w:p w14:paraId="5E2E07FE" w14:textId="77777777" w:rsidR="00124A26" w:rsidRPr="00AC3044" w:rsidRDefault="00124A26" w:rsidP="002D3EBF">
            <w:pPr>
              <w:ind w:firstLine="0"/>
              <w:rPr>
                <w:rFonts w:eastAsia="SimSun"/>
              </w:rPr>
            </w:pPr>
            <w:r w:rsidRPr="00AC3044">
              <w:rPr>
                <w:rFonts w:eastAsia="SimSun"/>
              </w:rPr>
              <w:t>Дни введения</w:t>
            </w:r>
          </w:p>
        </w:tc>
        <w:tc>
          <w:tcPr>
            <w:tcW w:w="2268" w:type="dxa"/>
            <w:vAlign w:val="center"/>
          </w:tcPr>
          <w:p w14:paraId="26F5800E"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358E80D5" w14:textId="77777777" w:rsidTr="002D3EBF">
        <w:trPr>
          <w:cantSplit/>
          <w:trHeight w:val="20"/>
        </w:trPr>
        <w:tc>
          <w:tcPr>
            <w:tcW w:w="959" w:type="dxa"/>
            <w:vMerge w:val="restart"/>
            <w:textDirection w:val="btLr"/>
            <w:vAlign w:val="center"/>
          </w:tcPr>
          <w:p w14:paraId="79CF4DAD" w14:textId="77777777" w:rsidR="00124A26" w:rsidRPr="00AC3044" w:rsidRDefault="00124A26" w:rsidP="002D3EBF">
            <w:pPr>
              <w:ind w:firstLine="0"/>
              <w:rPr>
                <w:rFonts w:eastAsia="SimSun"/>
              </w:rPr>
            </w:pPr>
            <w:r w:rsidRPr="00AC3044">
              <w:rPr>
                <w:rFonts w:eastAsia="SimSun"/>
              </w:rPr>
              <w:t>Кондиционирование</w:t>
            </w:r>
          </w:p>
        </w:tc>
        <w:tc>
          <w:tcPr>
            <w:tcW w:w="1701" w:type="dxa"/>
            <w:vAlign w:val="center"/>
          </w:tcPr>
          <w:p w14:paraId="20E3EAC6" w14:textId="77777777" w:rsidR="00124A26" w:rsidRPr="00AC3044" w:rsidRDefault="00124A26" w:rsidP="002D3EBF">
            <w:pPr>
              <w:ind w:firstLine="0"/>
              <w:rPr>
                <w:rFonts w:eastAsia="SimSun"/>
              </w:rPr>
            </w:pPr>
            <w:r w:rsidRPr="00AC3044">
              <w:rPr>
                <w:rFonts w:eastAsia="SimSun"/>
              </w:rPr>
              <w:t xml:space="preserve">Флударабин </w:t>
            </w:r>
          </w:p>
        </w:tc>
        <w:tc>
          <w:tcPr>
            <w:tcW w:w="1559" w:type="dxa"/>
            <w:vAlign w:val="center"/>
          </w:tcPr>
          <w:p w14:paraId="62B26A65" w14:textId="77777777" w:rsidR="00124A26" w:rsidRPr="00AC3044" w:rsidRDefault="00124A26" w:rsidP="002D3EBF">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71A894EE" w14:textId="77777777" w:rsidR="00124A26" w:rsidRPr="00AC3044" w:rsidRDefault="00124A26" w:rsidP="002D3EBF">
            <w:pPr>
              <w:ind w:firstLine="0"/>
              <w:rPr>
                <w:rFonts w:eastAsia="SimSun"/>
              </w:rPr>
            </w:pPr>
            <w:r w:rsidRPr="00AC3044">
              <w:rPr>
                <w:rFonts w:eastAsia="SimSun"/>
              </w:rPr>
              <w:t>90 мг/м</w:t>
            </w:r>
            <w:r w:rsidRPr="001E6DBE">
              <w:rPr>
                <w:rFonts w:eastAsia="SimSun"/>
                <w:vertAlign w:val="superscript"/>
              </w:rPr>
              <w:t>2</w:t>
            </w:r>
          </w:p>
        </w:tc>
        <w:tc>
          <w:tcPr>
            <w:tcW w:w="1418" w:type="dxa"/>
            <w:vAlign w:val="center"/>
          </w:tcPr>
          <w:p w14:paraId="6B667268" w14:textId="77777777" w:rsidR="00124A26" w:rsidRPr="00AC3044" w:rsidRDefault="00124A26" w:rsidP="002D3EBF">
            <w:pPr>
              <w:ind w:firstLine="0"/>
              <w:rPr>
                <w:rFonts w:eastAsia="SimSun"/>
              </w:rPr>
            </w:pPr>
            <w:r w:rsidRPr="00AC3044">
              <w:rPr>
                <w:rFonts w:eastAsia="SimSun"/>
              </w:rPr>
              <w:t>С -4 дня по -2 день</w:t>
            </w:r>
          </w:p>
        </w:tc>
        <w:tc>
          <w:tcPr>
            <w:tcW w:w="2268" w:type="dxa"/>
            <w:vAlign w:val="center"/>
          </w:tcPr>
          <w:p w14:paraId="543FFB0A"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6FFFD02C" w14:textId="77777777" w:rsidTr="002D3EBF">
        <w:trPr>
          <w:cantSplit/>
          <w:trHeight w:val="678"/>
        </w:trPr>
        <w:tc>
          <w:tcPr>
            <w:tcW w:w="959" w:type="dxa"/>
            <w:vMerge/>
            <w:vAlign w:val="center"/>
          </w:tcPr>
          <w:p w14:paraId="36F128D2" w14:textId="77777777" w:rsidR="00124A26" w:rsidRPr="00AC3044" w:rsidRDefault="00124A26" w:rsidP="002D3EBF">
            <w:pPr>
              <w:ind w:firstLine="0"/>
              <w:rPr>
                <w:rFonts w:eastAsia="SimSun"/>
              </w:rPr>
            </w:pPr>
          </w:p>
        </w:tc>
        <w:tc>
          <w:tcPr>
            <w:tcW w:w="1701" w:type="dxa"/>
            <w:vAlign w:val="center"/>
          </w:tcPr>
          <w:p w14:paraId="5CB7D807" w14:textId="77777777" w:rsidR="00124A26" w:rsidRPr="00AC3044" w:rsidRDefault="00124A26" w:rsidP="002D3EBF">
            <w:pPr>
              <w:ind w:firstLine="0"/>
              <w:rPr>
                <w:rFonts w:eastAsia="SimSun"/>
              </w:rPr>
            </w:pPr>
            <w:r w:rsidRPr="00AC3044">
              <w:rPr>
                <w:rFonts w:eastAsia="SimSun"/>
              </w:rPr>
              <w:t>Бендамустин</w:t>
            </w:r>
          </w:p>
        </w:tc>
        <w:tc>
          <w:tcPr>
            <w:tcW w:w="1559" w:type="dxa"/>
            <w:vAlign w:val="center"/>
          </w:tcPr>
          <w:p w14:paraId="13E77949" w14:textId="77777777" w:rsidR="00124A26" w:rsidRPr="00AC3044" w:rsidRDefault="00124A26" w:rsidP="002D3EBF">
            <w:pPr>
              <w:ind w:firstLine="0"/>
              <w:rPr>
                <w:rFonts w:eastAsia="SimSun"/>
              </w:rPr>
            </w:pPr>
            <w:r w:rsidRPr="00AC3044">
              <w:rPr>
                <w:rFonts w:eastAsia="SimSun"/>
              </w:rPr>
              <w:t>130 мг/м</w:t>
            </w:r>
            <w:r w:rsidRPr="001E6DBE">
              <w:rPr>
                <w:rFonts w:eastAsia="SimSun"/>
                <w:vertAlign w:val="superscript"/>
              </w:rPr>
              <w:t>2</w:t>
            </w:r>
            <w:r w:rsidRPr="00AC3044">
              <w:rPr>
                <w:rFonts w:eastAsia="SimSun"/>
              </w:rPr>
              <w:t xml:space="preserve"> </w:t>
            </w:r>
          </w:p>
        </w:tc>
        <w:tc>
          <w:tcPr>
            <w:tcW w:w="1701" w:type="dxa"/>
            <w:vAlign w:val="center"/>
          </w:tcPr>
          <w:p w14:paraId="322498D9" w14:textId="77777777" w:rsidR="00124A26" w:rsidRPr="00AC3044" w:rsidRDefault="00124A26" w:rsidP="002D3EBF">
            <w:pPr>
              <w:ind w:firstLine="0"/>
              <w:rPr>
                <w:rFonts w:eastAsia="SimSun"/>
              </w:rPr>
            </w:pPr>
            <w:r w:rsidRPr="00AC3044">
              <w:rPr>
                <w:rFonts w:eastAsia="SimSun"/>
              </w:rPr>
              <w:t>390 мг/м</w:t>
            </w:r>
            <w:r w:rsidRPr="001E6DBE">
              <w:rPr>
                <w:rFonts w:eastAsia="SimSun"/>
                <w:vertAlign w:val="superscript"/>
              </w:rPr>
              <w:t>2</w:t>
            </w:r>
          </w:p>
        </w:tc>
        <w:tc>
          <w:tcPr>
            <w:tcW w:w="1418" w:type="dxa"/>
            <w:vAlign w:val="center"/>
          </w:tcPr>
          <w:p w14:paraId="41088091" w14:textId="77777777" w:rsidR="00124A26" w:rsidRPr="00AC3044" w:rsidRDefault="00124A26" w:rsidP="002D3EBF">
            <w:pPr>
              <w:ind w:firstLine="0"/>
              <w:rPr>
                <w:rFonts w:eastAsia="SimSun"/>
              </w:rPr>
            </w:pPr>
            <w:r w:rsidRPr="00AC3044">
              <w:rPr>
                <w:rFonts w:eastAsia="SimSun"/>
              </w:rPr>
              <w:t xml:space="preserve">  С -4 дня по -2 день</w:t>
            </w:r>
          </w:p>
        </w:tc>
        <w:tc>
          <w:tcPr>
            <w:tcW w:w="2268" w:type="dxa"/>
            <w:vAlign w:val="center"/>
          </w:tcPr>
          <w:p w14:paraId="7E391C4E" w14:textId="77777777" w:rsidR="00124A26" w:rsidRPr="00AC3044" w:rsidRDefault="00124A26" w:rsidP="002D3EBF">
            <w:pPr>
              <w:ind w:firstLine="0"/>
              <w:rPr>
                <w:rFonts w:eastAsia="SimSun"/>
              </w:rPr>
            </w:pPr>
            <w:r w:rsidRPr="00AC3044">
              <w:rPr>
                <w:rFonts w:eastAsia="SimSun"/>
              </w:rPr>
              <w:t>В/в, в течение 1 часа</w:t>
            </w:r>
          </w:p>
        </w:tc>
      </w:tr>
      <w:tr w:rsidR="00124A26" w:rsidRPr="00AC3044" w14:paraId="3B7129A1" w14:textId="77777777" w:rsidTr="002D3EBF">
        <w:trPr>
          <w:cantSplit/>
          <w:trHeight w:val="958"/>
        </w:trPr>
        <w:tc>
          <w:tcPr>
            <w:tcW w:w="959" w:type="dxa"/>
            <w:vMerge w:val="restart"/>
            <w:textDirection w:val="btLr"/>
            <w:vAlign w:val="center"/>
          </w:tcPr>
          <w:p w14:paraId="43E2214B" w14:textId="77777777" w:rsidR="00124A26" w:rsidRPr="00AC3044" w:rsidRDefault="00124A26" w:rsidP="002D3EBF">
            <w:pPr>
              <w:ind w:firstLine="0"/>
              <w:rPr>
                <w:rFonts w:eastAsia="SimSun"/>
              </w:rPr>
            </w:pPr>
            <w:r w:rsidRPr="00AC3044">
              <w:rPr>
                <w:rFonts w:eastAsia="SimSun"/>
              </w:rPr>
              <w:t>Профилактика РТПХ</w:t>
            </w:r>
          </w:p>
        </w:tc>
        <w:tc>
          <w:tcPr>
            <w:tcW w:w="1701" w:type="dxa"/>
            <w:vAlign w:val="center"/>
          </w:tcPr>
          <w:p w14:paraId="55241715" w14:textId="77777777" w:rsidR="00124A26" w:rsidRPr="00AC3044" w:rsidRDefault="00124A26" w:rsidP="002D3EBF">
            <w:pPr>
              <w:ind w:firstLine="0"/>
              <w:rPr>
                <w:rFonts w:eastAsia="SimSun"/>
              </w:rPr>
            </w:pPr>
            <w:r w:rsidRPr="00AC3044">
              <w:rPr>
                <w:rFonts w:eastAsia="SimSun"/>
              </w:rPr>
              <w:t xml:space="preserve">Такролимус </w:t>
            </w:r>
          </w:p>
        </w:tc>
        <w:tc>
          <w:tcPr>
            <w:tcW w:w="1559" w:type="dxa"/>
            <w:vAlign w:val="center"/>
          </w:tcPr>
          <w:p w14:paraId="64965C7D" w14:textId="77777777" w:rsidR="00124A26" w:rsidRPr="00AC3044" w:rsidRDefault="00124A26" w:rsidP="002D3EBF">
            <w:pPr>
              <w:ind w:firstLine="0"/>
              <w:rPr>
                <w:rFonts w:eastAsia="SimSun"/>
              </w:rPr>
            </w:pPr>
            <w:r w:rsidRPr="00AC3044">
              <w:rPr>
                <w:rFonts w:eastAsia="SimSun"/>
              </w:rPr>
              <w:t>0,03 мг/кг</w:t>
            </w:r>
          </w:p>
        </w:tc>
        <w:tc>
          <w:tcPr>
            <w:tcW w:w="1701" w:type="dxa"/>
            <w:vAlign w:val="center"/>
          </w:tcPr>
          <w:p w14:paraId="77671BC5" w14:textId="77777777" w:rsidR="00124A26" w:rsidRPr="00AC3044" w:rsidRDefault="00124A26" w:rsidP="002D3EBF">
            <w:pPr>
              <w:ind w:firstLine="0"/>
              <w:rPr>
                <w:rFonts w:eastAsia="SimSun"/>
              </w:rPr>
            </w:pPr>
            <w:r w:rsidRPr="00AC3044">
              <w:rPr>
                <w:rFonts w:eastAsia="SimSun"/>
              </w:rPr>
              <w:t>–</w:t>
            </w:r>
          </w:p>
        </w:tc>
        <w:tc>
          <w:tcPr>
            <w:tcW w:w="1418" w:type="dxa"/>
            <w:vAlign w:val="center"/>
          </w:tcPr>
          <w:p w14:paraId="49A15824" w14:textId="77777777" w:rsidR="00124A26" w:rsidRPr="00AC3044" w:rsidRDefault="00124A26" w:rsidP="002D3EBF">
            <w:pPr>
              <w:ind w:firstLine="0"/>
              <w:rPr>
                <w:rFonts w:eastAsia="SimSun"/>
              </w:rPr>
            </w:pPr>
            <w:r w:rsidRPr="00AC3044">
              <w:rPr>
                <w:rFonts w:eastAsia="SimSun"/>
              </w:rPr>
              <w:t xml:space="preserve">С +5 дня длительно </w:t>
            </w:r>
          </w:p>
        </w:tc>
        <w:tc>
          <w:tcPr>
            <w:tcW w:w="2268" w:type="dxa"/>
            <w:vAlign w:val="center"/>
          </w:tcPr>
          <w:p w14:paraId="4DBF356B" w14:textId="77777777" w:rsidR="00124A26" w:rsidRPr="00AC3044" w:rsidRDefault="00124A26"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124A26" w:rsidRPr="00AC3044" w14:paraId="4F13A243" w14:textId="77777777" w:rsidTr="002D3EBF">
        <w:trPr>
          <w:cantSplit/>
          <w:trHeight w:val="579"/>
        </w:trPr>
        <w:tc>
          <w:tcPr>
            <w:tcW w:w="959" w:type="dxa"/>
            <w:vMerge/>
            <w:textDirection w:val="btLr"/>
            <w:vAlign w:val="center"/>
          </w:tcPr>
          <w:p w14:paraId="7F56E492" w14:textId="77777777" w:rsidR="00124A26" w:rsidRPr="00AC3044" w:rsidRDefault="00124A26" w:rsidP="002D3EBF">
            <w:pPr>
              <w:ind w:firstLine="0"/>
              <w:rPr>
                <w:rFonts w:eastAsia="SimSun"/>
              </w:rPr>
            </w:pPr>
          </w:p>
        </w:tc>
        <w:tc>
          <w:tcPr>
            <w:tcW w:w="1701" w:type="dxa"/>
            <w:vAlign w:val="center"/>
          </w:tcPr>
          <w:p w14:paraId="438BA222" w14:textId="77777777" w:rsidR="00124A26" w:rsidRPr="00AC3044" w:rsidRDefault="00124A26" w:rsidP="002D3EBF">
            <w:pPr>
              <w:ind w:firstLine="0"/>
              <w:rPr>
                <w:rFonts w:eastAsia="SimSun"/>
              </w:rPr>
            </w:pPr>
            <w:r w:rsidRPr="00AC3044">
              <w:rPr>
                <w:rFonts w:eastAsia="SimSun"/>
              </w:rPr>
              <w:t>Циклофосфамид</w:t>
            </w:r>
          </w:p>
        </w:tc>
        <w:tc>
          <w:tcPr>
            <w:tcW w:w="1559" w:type="dxa"/>
            <w:vAlign w:val="center"/>
          </w:tcPr>
          <w:p w14:paraId="5ED7DE2C" w14:textId="77777777" w:rsidR="00124A26" w:rsidRPr="00AC3044" w:rsidRDefault="00124A26" w:rsidP="002D3EBF">
            <w:pPr>
              <w:ind w:firstLine="0"/>
              <w:rPr>
                <w:rFonts w:eastAsia="SimSun"/>
              </w:rPr>
            </w:pPr>
            <w:r w:rsidRPr="00AC3044">
              <w:rPr>
                <w:rFonts w:eastAsia="SimSun"/>
              </w:rPr>
              <w:t>50 мг/кг</w:t>
            </w:r>
          </w:p>
        </w:tc>
        <w:tc>
          <w:tcPr>
            <w:tcW w:w="1701" w:type="dxa"/>
            <w:vAlign w:val="center"/>
          </w:tcPr>
          <w:p w14:paraId="1A732670" w14:textId="77777777" w:rsidR="00124A26" w:rsidRPr="00AC3044" w:rsidRDefault="00124A26" w:rsidP="002D3EBF">
            <w:pPr>
              <w:ind w:firstLine="0"/>
              <w:rPr>
                <w:rFonts w:eastAsia="SimSun"/>
              </w:rPr>
            </w:pPr>
            <w:r w:rsidRPr="00AC3044">
              <w:rPr>
                <w:rFonts w:eastAsia="SimSun"/>
              </w:rPr>
              <w:t>100 мг/кг</w:t>
            </w:r>
          </w:p>
        </w:tc>
        <w:tc>
          <w:tcPr>
            <w:tcW w:w="1418" w:type="dxa"/>
            <w:vAlign w:val="center"/>
          </w:tcPr>
          <w:p w14:paraId="4E96521B" w14:textId="77777777" w:rsidR="00124A26" w:rsidRPr="00AC3044" w:rsidRDefault="00124A26" w:rsidP="002D3EBF">
            <w:pPr>
              <w:ind w:firstLine="0"/>
              <w:rPr>
                <w:rFonts w:eastAsia="SimSun"/>
              </w:rPr>
            </w:pPr>
            <w:r w:rsidRPr="00AC3044">
              <w:rPr>
                <w:rFonts w:eastAsia="SimSun"/>
              </w:rPr>
              <w:t xml:space="preserve">В дни +3, +4 </w:t>
            </w:r>
          </w:p>
        </w:tc>
        <w:tc>
          <w:tcPr>
            <w:tcW w:w="2268" w:type="dxa"/>
            <w:vAlign w:val="center"/>
          </w:tcPr>
          <w:p w14:paraId="77D8B138" w14:textId="77777777" w:rsidR="00124A26" w:rsidRPr="00AC3044" w:rsidRDefault="00124A26" w:rsidP="002D3EBF">
            <w:pPr>
              <w:ind w:firstLine="0"/>
              <w:rPr>
                <w:rFonts w:eastAsia="SimSun"/>
              </w:rPr>
            </w:pPr>
            <w:r w:rsidRPr="00AC3044">
              <w:rPr>
                <w:rFonts w:eastAsia="SimSun"/>
              </w:rPr>
              <w:t>В/в, в течение 2 часов</w:t>
            </w:r>
          </w:p>
        </w:tc>
      </w:tr>
      <w:tr w:rsidR="00124A26" w:rsidRPr="00AC3044" w14:paraId="46F1C59A" w14:textId="77777777" w:rsidTr="002D3EBF">
        <w:trPr>
          <w:cantSplit/>
          <w:trHeight w:val="418"/>
        </w:trPr>
        <w:tc>
          <w:tcPr>
            <w:tcW w:w="959" w:type="dxa"/>
            <w:vMerge/>
            <w:textDirection w:val="btLr"/>
            <w:vAlign w:val="center"/>
          </w:tcPr>
          <w:p w14:paraId="3F44B3FD" w14:textId="77777777" w:rsidR="00124A26" w:rsidRPr="00AC3044" w:rsidRDefault="00124A26" w:rsidP="002D3EBF">
            <w:pPr>
              <w:ind w:firstLine="0"/>
              <w:rPr>
                <w:rFonts w:eastAsia="SimSun"/>
              </w:rPr>
            </w:pPr>
          </w:p>
        </w:tc>
        <w:tc>
          <w:tcPr>
            <w:tcW w:w="1701" w:type="dxa"/>
            <w:vAlign w:val="center"/>
          </w:tcPr>
          <w:p w14:paraId="49B9CDF9" w14:textId="77777777" w:rsidR="00124A26" w:rsidRPr="00AC3044" w:rsidRDefault="00124A26" w:rsidP="002D3EBF">
            <w:pPr>
              <w:ind w:firstLine="0"/>
              <w:rPr>
                <w:rFonts w:eastAsia="SimSun"/>
              </w:rPr>
            </w:pPr>
            <w:r w:rsidRPr="00AC3044">
              <w:rPr>
                <w:rFonts w:eastAsia="SimSun"/>
              </w:rPr>
              <w:t>Микофенолата мофетил</w:t>
            </w:r>
          </w:p>
        </w:tc>
        <w:tc>
          <w:tcPr>
            <w:tcW w:w="1559" w:type="dxa"/>
            <w:vAlign w:val="center"/>
          </w:tcPr>
          <w:p w14:paraId="781F93DC" w14:textId="77777777" w:rsidR="00124A26" w:rsidRPr="00AC3044" w:rsidRDefault="00124A26" w:rsidP="002D3EBF">
            <w:pPr>
              <w:ind w:firstLine="0"/>
              <w:rPr>
                <w:rFonts w:eastAsia="SimSun"/>
              </w:rPr>
            </w:pPr>
            <w:r w:rsidRPr="00AC3044">
              <w:rPr>
                <w:rFonts w:eastAsia="SimSun"/>
              </w:rPr>
              <w:t xml:space="preserve">30 мг/кг </w:t>
            </w:r>
          </w:p>
        </w:tc>
        <w:tc>
          <w:tcPr>
            <w:tcW w:w="1701" w:type="dxa"/>
            <w:vAlign w:val="center"/>
          </w:tcPr>
          <w:p w14:paraId="6E7846EB" w14:textId="77777777" w:rsidR="00124A26" w:rsidRPr="00AC3044" w:rsidRDefault="00124A26" w:rsidP="002D3EBF">
            <w:pPr>
              <w:ind w:firstLine="0"/>
              <w:rPr>
                <w:rFonts w:eastAsia="SimSun"/>
              </w:rPr>
            </w:pPr>
            <w:r w:rsidRPr="00AC3044">
              <w:rPr>
                <w:rFonts w:eastAsia="SimSun"/>
              </w:rPr>
              <w:t>–</w:t>
            </w:r>
          </w:p>
        </w:tc>
        <w:tc>
          <w:tcPr>
            <w:tcW w:w="1418" w:type="dxa"/>
            <w:vAlign w:val="center"/>
          </w:tcPr>
          <w:p w14:paraId="1745AA12" w14:textId="77777777" w:rsidR="00124A26" w:rsidRPr="00AC3044" w:rsidRDefault="00124A26" w:rsidP="002D3EBF">
            <w:pPr>
              <w:ind w:firstLine="0"/>
              <w:rPr>
                <w:rFonts w:eastAsia="SimSun"/>
              </w:rPr>
            </w:pPr>
            <w:r w:rsidRPr="00AC3044">
              <w:rPr>
                <w:rFonts w:eastAsia="SimSun"/>
              </w:rPr>
              <w:t xml:space="preserve">С +5 дня по +35 день </w:t>
            </w:r>
          </w:p>
        </w:tc>
        <w:tc>
          <w:tcPr>
            <w:tcW w:w="2268" w:type="dxa"/>
            <w:vAlign w:val="center"/>
          </w:tcPr>
          <w:p w14:paraId="669A4263"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2- 4 приема.</w:t>
            </w:r>
          </w:p>
        </w:tc>
      </w:tr>
    </w:tbl>
    <w:p w14:paraId="44368587" w14:textId="77777777" w:rsidR="00124A26" w:rsidRDefault="00124A26" w:rsidP="00124A26">
      <w:pPr>
        <w:rPr>
          <w:rFonts w:eastAsia="SimSun"/>
        </w:rPr>
      </w:pPr>
      <w:bookmarkStart w:id="218" w:name="_Toc44401175"/>
    </w:p>
    <w:p w14:paraId="7AAD6B0C" w14:textId="77777777" w:rsidR="00124A26" w:rsidRPr="00042499" w:rsidRDefault="00124A26" w:rsidP="00124A26">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1.2.17  – </w:t>
      </w:r>
      <w:r w:rsidRPr="00C07B2E">
        <w:rPr>
          <w:rFonts w:eastAsia="SimSun"/>
        </w:rPr>
        <w:t>Flu</w:t>
      </w:r>
      <w:r w:rsidRPr="00042499">
        <w:rPr>
          <w:rFonts w:eastAsia="SimSun"/>
          <w:lang w:val="en-US"/>
        </w:rPr>
        <w:t>90+</w:t>
      </w:r>
      <w:r w:rsidRPr="00C07B2E">
        <w:rPr>
          <w:rFonts w:eastAsia="SimSun"/>
        </w:rPr>
        <w:t>Benda</w:t>
      </w:r>
      <w:r w:rsidRPr="00042499">
        <w:rPr>
          <w:rFonts w:eastAsia="SimSun"/>
          <w:lang w:val="en-US"/>
        </w:rPr>
        <w:t xml:space="preserve"> /</w:t>
      </w:r>
      <w:r w:rsidRPr="00C07B2E">
        <w:rPr>
          <w:rFonts w:eastAsia="SimSun"/>
        </w:rPr>
        <w:t>PT</w:t>
      </w:r>
      <w:r w:rsidRPr="00042499">
        <w:rPr>
          <w:rFonts w:eastAsia="SimSun"/>
          <w:lang w:val="en-US"/>
        </w:rPr>
        <w:t>-</w:t>
      </w:r>
      <w:r w:rsidRPr="00C07B2E">
        <w:rPr>
          <w:rFonts w:eastAsia="SimSun"/>
        </w:rPr>
        <w:t>Cy</w:t>
      </w:r>
      <w:bookmarkEnd w:id="218"/>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124A26" w:rsidRPr="00AC3044" w14:paraId="133A25A0" w14:textId="77777777" w:rsidTr="002D3EBF">
        <w:trPr>
          <w:cantSplit/>
          <w:trHeight w:val="20"/>
          <w:tblHeader/>
        </w:trPr>
        <w:tc>
          <w:tcPr>
            <w:tcW w:w="959" w:type="dxa"/>
            <w:vAlign w:val="center"/>
          </w:tcPr>
          <w:p w14:paraId="69F0B7D9" w14:textId="77777777" w:rsidR="00124A26" w:rsidRPr="009B5A5D" w:rsidRDefault="00124A26" w:rsidP="002D3EBF">
            <w:pPr>
              <w:ind w:firstLine="0"/>
              <w:rPr>
                <w:rFonts w:eastAsia="SimSun"/>
                <w:lang w:val="en-US"/>
              </w:rPr>
            </w:pPr>
          </w:p>
        </w:tc>
        <w:tc>
          <w:tcPr>
            <w:tcW w:w="1701" w:type="dxa"/>
            <w:vAlign w:val="center"/>
          </w:tcPr>
          <w:p w14:paraId="52C9EFD9" w14:textId="77777777" w:rsidR="00124A26" w:rsidRPr="00AC3044" w:rsidRDefault="00124A26" w:rsidP="002D3EBF">
            <w:pPr>
              <w:ind w:firstLine="0"/>
              <w:rPr>
                <w:rFonts w:eastAsia="SimSun"/>
              </w:rPr>
            </w:pPr>
            <w:r w:rsidRPr="00AC3044">
              <w:rPr>
                <w:rFonts w:eastAsia="SimSun"/>
              </w:rPr>
              <w:t>Препарат</w:t>
            </w:r>
          </w:p>
        </w:tc>
        <w:tc>
          <w:tcPr>
            <w:tcW w:w="1559" w:type="dxa"/>
            <w:vAlign w:val="center"/>
          </w:tcPr>
          <w:p w14:paraId="280346E1" w14:textId="77777777" w:rsidR="00124A26" w:rsidRPr="00AC3044" w:rsidRDefault="00124A26" w:rsidP="002D3EBF">
            <w:pPr>
              <w:ind w:firstLine="0"/>
              <w:rPr>
                <w:rFonts w:eastAsia="SimSun"/>
              </w:rPr>
            </w:pPr>
            <w:r w:rsidRPr="00AC3044">
              <w:rPr>
                <w:rFonts w:eastAsia="SimSun"/>
              </w:rPr>
              <w:t>Суточная доза</w:t>
            </w:r>
          </w:p>
        </w:tc>
        <w:tc>
          <w:tcPr>
            <w:tcW w:w="1701" w:type="dxa"/>
            <w:vAlign w:val="center"/>
          </w:tcPr>
          <w:p w14:paraId="20C2E08F" w14:textId="77777777" w:rsidR="00124A26" w:rsidRPr="00AC3044" w:rsidRDefault="00124A26" w:rsidP="002D3EBF">
            <w:pPr>
              <w:ind w:firstLine="0"/>
              <w:rPr>
                <w:rFonts w:eastAsia="SimSun"/>
              </w:rPr>
            </w:pPr>
            <w:r w:rsidRPr="00AC3044">
              <w:rPr>
                <w:rFonts w:eastAsia="SimSun"/>
              </w:rPr>
              <w:t>Курсовая доза</w:t>
            </w:r>
          </w:p>
        </w:tc>
        <w:tc>
          <w:tcPr>
            <w:tcW w:w="1418" w:type="dxa"/>
            <w:vAlign w:val="center"/>
          </w:tcPr>
          <w:p w14:paraId="6F2D97FA" w14:textId="77777777" w:rsidR="00124A26" w:rsidRPr="00AC3044" w:rsidRDefault="00124A26" w:rsidP="002D3EBF">
            <w:pPr>
              <w:ind w:firstLine="0"/>
              <w:rPr>
                <w:rFonts w:eastAsia="SimSun"/>
              </w:rPr>
            </w:pPr>
            <w:r w:rsidRPr="00AC3044">
              <w:rPr>
                <w:rFonts w:eastAsia="SimSun"/>
              </w:rPr>
              <w:t>Дни введения</w:t>
            </w:r>
          </w:p>
        </w:tc>
        <w:tc>
          <w:tcPr>
            <w:tcW w:w="2268" w:type="dxa"/>
            <w:vAlign w:val="center"/>
          </w:tcPr>
          <w:p w14:paraId="432C3D58"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4563C0D0" w14:textId="77777777" w:rsidTr="002D3EBF">
        <w:trPr>
          <w:cantSplit/>
          <w:trHeight w:val="20"/>
        </w:trPr>
        <w:tc>
          <w:tcPr>
            <w:tcW w:w="959" w:type="dxa"/>
            <w:vMerge w:val="restart"/>
            <w:textDirection w:val="btLr"/>
            <w:vAlign w:val="center"/>
          </w:tcPr>
          <w:p w14:paraId="38C217A2" w14:textId="77777777" w:rsidR="00124A26" w:rsidRPr="00AC3044" w:rsidRDefault="00124A26" w:rsidP="002D3EBF">
            <w:pPr>
              <w:ind w:firstLine="0"/>
              <w:rPr>
                <w:rFonts w:eastAsia="SimSun"/>
              </w:rPr>
            </w:pPr>
            <w:r w:rsidRPr="00AC3044">
              <w:rPr>
                <w:rFonts w:eastAsia="SimSun"/>
              </w:rPr>
              <w:t>Кондиционирование</w:t>
            </w:r>
          </w:p>
        </w:tc>
        <w:tc>
          <w:tcPr>
            <w:tcW w:w="1701" w:type="dxa"/>
            <w:vAlign w:val="center"/>
          </w:tcPr>
          <w:p w14:paraId="091177A6" w14:textId="77777777" w:rsidR="00124A26" w:rsidRPr="00AC3044" w:rsidRDefault="00124A26" w:rsidP="002D3EBF">
            <w:pPr>
              <w:ind w:firstLine="0"/>
              <w:rPr>
                <w:rFonts w:eastAsia="SimSun"/>
              </w:rPr>
            </w:pPr>
            <w:r w:rsidRPr="00AC3044">
              <w:rPr>
                <w:rFonts w:eastAsia="SimSun"/>
              </w:rPr>
              <w:t xml:space="preserve">Флударабин </w:t>
            </w:r>
          </w:p>
        </w:tc>
        <w:tc>
          <w:tcPr>
            <w:tcW w:w="1559" w:type="dxa"/>
            <w:vAlign w:val="center"/>
          </w:tcPr>
          <w:p w14:paraId="7E27CDF4" w14:textId="77777777" w:rsidR="00124A26" w:rsidRPr="00AC3044" w:rsidRDefault="00124A26" w:rsidP="002D3EBF">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581501C0" w14:textId="77777777" w:rsidR="00124A26" w:rsidRPr="00AC3044" w:rsidRDefault="00124A26" w:rsidP="002D3EBF">
            <w:pPr>
              <w:ind w:firstLine="0"/>
              <w:rPr>
                <w:rFonts w:eastAsia="SimSun"/>
              </w:rPr>
            </w:pPr>
            <w:r w:rsidRPr="00AC3044">
              <w:rPr>
                <w:rFonts w:eastAsia="SimSun"/>
              </w:rPr>
              <w:t>90 мг/м</w:t>
            </w:r>
            <w:r w:rsidRPr="001E6DBE">
              <w:rPr>
                <w:rFonts w:eastAsia="SimSun"/>
                <w:vertAlign w:val="superscript"/>
              </w:rPr>
              <w:t>2</w:t>
            </w:r>
          </w:p>
        </w:tc>
        <w:tc>
          <w:tcPr>
            <w:tcW w:w="1418" w:type="dxa"/>
            <w:vAlign w:val="center"/>
          </w:tcPr>
          <w:p w14:paraId="38F1032F" w14:textId="77777777" w:rsidR="00124A26" w:rsidRPr="00AC3044" w:rsidRDefault="00124A26" w:rsidP="002D3EBF">
            <w:pPr>
              <w:ind w:firstLine="0"/>
              <w:rPr>
                <w:rFonts w:eastAsia="SimSun"/>
              </w:rPr>
            </w:pPr>
            <w:r w:rsidRPr="00AC3044">
              <w:rPr>
                <w:rFonts w:eastAsia="SimSun"/>
              </w:rPr>
              <w:t>С -4 дня по -2 день</w:t>
            </w:r>
          </w:p>
        </w:tc>
        <w:tc>
          <w:tcPr>
            <w:tcW w:w="2268" w:type="dxa"/>
            <w:vAlign w:val="center"/>
          </w:tcPr>
          <w:p w14:paraId="1113F326"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3E550622" w14:textId="77777777" w:rsidTr="002D3EBF">
        <w:trPr>
          <w:cantSplit/>
          <w:trHeight w:val="394"/>
        </w:trPr>
        <w:tc>
          <w:tcPr>
            <w:tcW w:w="959" w:type="dxa"/>
            <w:vMerge/>
            <w:vAlign w:val="center"/>
          </w:tcPr>
          <w:p w14:paraId="1EE8B465" w14:textId="77777777" w:rsidR="00124A26" w:rsidRPr="00AC3044" w:rsidRDefault="00124A26" w:rsidP="002D3EBF">
            <w:pPr>
              <w:ind w:firstLine="0"/>
              <w:rPr>
                <w:rFonts w:eastAsia="SimSun"/>
              </w:rPr>
            </w:pPr>
          </w:p>
        </w:tc>
        <w:tc>
          <w:tcPr>
            <w:tcW w:w="1701" w:type="dxa"/>
            <w:vAlign w:val="center"/>
          </w:tcPr>
          <w:p w14:paraId="605D4F72" w14:textId="77777777" w:rsidR="00124A26" w:rsidRPr="00AC3044" w:rsidRDefault="00124A26" w:rsidP="002D3EBF">
            <w:pPr>
              <w:ind w:firstLine="0"/>
              <w:rPr>
                <w:rFonts w:eastAsia="SimSun"/>
              </w:rPr>
            </w:pPr>
            <w:r w:rsidRPr="00AC3044">
              <w:rPr>
                <w:rFonts w:eastAsia="SimSun"/>
              </w:rPr>
              <w:t>Бендамустин</w:t>
            </w:r>
          </w:p>
        </w:tc>
        <w:tc>
          <w:tcPr>
            <w:tcW w:w="1559" w:type="dxa"/>
            <w:vAlign w:val="center"/>
          </w:tcPr>
          <w:p w14:paraId="76BDB090" w14:textId="77777777" w:rsidR="00124A26" w:rsidRPr="00AC3044" w:rsidRDefault="00124A26" w:rsidP="002D3EBF">
            <w:pPr>
              <w:ind w:firstLine="0"/>
              <w:rPr>
                <w:rFonts w:eastAsia="SimSun"/>
              </w:rPr>
            </w:pPr>
            <w:r w:rsidRPr="00AC3044">
              <w:rPr>
                <w:rFonts w:eastAsia="SimSun"/>
              </w:rPr>
              <w:t>130 мг/м</w:t>
            </w:r>
            <w:r w:rsidRPr="001E6DBE">
              <w:rPr>
                <w:rFonts w:eastAsia="SimSun"/>
                <w:vertAlign w:val="superscript"/>
              </w:rPr>
              <w:t>2</w:t>
            </w:r>
            <w:r w:rsidRPr="00AC3044">
              <w:rPr>
                <w:rFonts w:eastAsia="SimSun"/>
              </w:rPr>
              <w:t xml:space="preserve"> </w:t>
            </w:r>
          </w:p>
        </w:tc>
        <w:tc>
          <w:tcPr>
            <w:tcW w:w="1701" w:type="dxa"/>
            <w:vAlign w:val="center"/>
          </w:tcPr>
          <w:p w14:paraId="662B7095" w14:textId="77777777" w:rsidR="00124A26" w:rsidRPr="00AC3044" w:rsidRDefault="00124A26" w:rsidP="002D3EBF">
            <w:pPr>
              <w:ind w:firstLine="0"/>
              <w:rPr>
                <w:rFonts w:eastAsia="SimSun"/>
              </w:rPr>
            </w:pPr>
            <w:r w:rsidRPr="00AC3044">
              <w:rPr>
                <w:rFonts w:eastAsia="SimSun"/>
              </w:rPr>
              <w:t>390 мг/м</w:t>
            </w:r>
            <w:r w:rsidRPr="001E6DBE">
              <w:rPr>
                <w:rFonts w:eastAsia="SimSun"/>
                <w:vertAlign w:val="superscript"/>
              </w:rPr>
              <w:t>2</w:t>
            </w:r>
          </w:p>
        </w:tc>
        <w:tc>
          <w:tcPr>
            <w:tcW w:w="1418" w:type="dxa"/>
            <w:vAlign w:val="center"/>
          </w:tcPr>
          <w:p w14:paraId="2B8AF01A" w14:textId="77777777" w:rsidR="00124A26" w:rsidRPr="00AC3044" w:rsidRDefault="00124A26" w:rsidP="002D3EBF">
            <w:pPr>
              <w:ind w:firstLine="0"/>
              <w:rPr>
                <w:rFonts w:eastAsia="SimSun"/>
              </w:rPr>
            </w:pPr>
            <w:r w:rsidRPr="00AC3044">
              <w:rPr>
                <w:rFonts w:eastAsia="SimSun"/>
              </w:rPr>
              <w:t xml:space="preserve">  С -4 дня по -2 день</w:t>
            </w:r>
          </w:p>
        </w:tc>
        <w:tc>
          <w:tcPr>
            <w:tcW w:w="2268" w:type="dxa"/>
            <w:vAlign w:val="center"/>
          </w:tcPr>
          <w:p w14:paraId="0C29E579" w14:textId="77777777" w:rsidR="00124A26" w:rsidRPr="00AC3044" w:rsidRDefault="00124A26" w:rsidP="002D3EBF">
            <w:pPr>
              <w:ind w:firstLine="0"/>
              <w:rPr>
                <w:rFonts w:eastAsia="SimSun"/>
              </w:rPr>
            </w:pPr>
            <w:r w:rsidRPr="00AC3044">
              <w:rPr>
                <w:rFonts w:eastAsia="SimSun"/>
              </w:rPr>
              <w:t>В/в, в течение 1 часа</w:t>
            </w:r>
          </w:p>
        </w:tc>
      </w:tr>
      <w:tr w:rsidR="00124A26" w:rsidRPr="00AC3044" w14:paraId="746DABDB" w14:textId="77777777" w:rsidTr="002D3EBF">
        <w:trPr>
          <w:cantSplit/>
          <w:trHeight w:val="958"/>
        </w:trPr>
        <w:tc>
          <w:tcPr>
            <w:tcW w:w="959" w:type="dxa"/>
            <w:textDirection w:val="btLr"/>
            <w:vAlign w:val="center"/>
          </w:tcPr>
          <w:p w14:paraId="5ED92283" w14:textId="77777777" w:rsidR="00124A26" w:rsidRPr="00AC3044" w:rsidRDefault="00124A26" w:rsidP="002D3EBF">
            <w:pPr>
              <w:ind w:firstLine="0"/>
              <w:rPr>
                <w:rFonts w:eastAsia="SimSun"/>
              </w:rPr>
            </w:pPr>
            <w:r w:rsidRPr="00AC3044">
              <w:rPr>
                <w:rFonts w:eastAsia="SimSun"/>
              </w:rPr>
              <w:t>Профилактика РТПХ</w:t>
            </w:r>
          </w:p>
        </w:tc>
        <w:tc>
          <w:tcPr>
            <w:tcW w:w="1701" w:type="dxa"/>
            <w:vAlign w:val="center"/>
          </w:tcPr>
          <w:p w14:paraId="4B0DE577" w14:textId="77777777" w:rsidR="00124A26" w:rsidRPr="00AC3044" w:rsidRDefault="00124A26" w:rsidP="002D3EBF">
            <w:pPr>
              <w:ind w:firstLine="0"/>
              <w:rPr>
                <w:rFonts w:eastAsia="SimSun"/>
              </w:rPr>
            </w:pPr>
            <w:r w:rsidRPr="00AC3044">
              <w:rPr>
                <w:rFonts w:eastAsia="SimSun"/>
              </w:rPr>
              <w:t>Циклофосфамид</w:t>
            </w:r>
          </w:p>
        </w:tc>
        <w:tc>
          <w:tcPr>
            <w:tcW w:w="1559" w:type="dxa"/>
            <w:vAlign w:val="center"/>
          </w:tcPr>
          <w:p w14:paraId="6F28D2F4" w14:textId="77777777" w:rsidR="00124A26" w:rsidRPr="00AC3044" w:rsidRDefault="00124A26" w:rsidP="002D3EBF">
            <w:pPr>
              <w:ind w:firstLine="0"/>
              <w:rPr>
                <w:rFonts w:eastAsia="SimSun"/>
              </w:rPr>
            </w:pPr>
            <w:r w:rsidRPr="00AC3044">
              <w:rPr>
                <w:rFonts w:eastAsia="SimSun"/>
              </w:rPr>
              <w:t>50 мг/кг</w:t>
            </w:r>
          </w:p>
        </w:tc>
        <w:tc>
          <w:tcPr>
            <w:tcW w:w="1701" w:type="dxa"/>
            <w:vAlign w:val="center"/>
          </w:tcPr>
          <w:p w14:paraId="0C31DAD9" w14:textId="77777777" w:rsidR="00124A26" w:rsidRPr="00AC3044" w:rsidRDefault="00124A26" w:rsidP="002D3EBF">
            <w:pPr>
              <w:ind w:firstLine="0"/>
              <w:rPr>
                <w:rFonts w:eastAsia="SimSun"/>
              </w:rPr>
            </w:pPr>
            <w:r w:rsidRPr="00AC3044">
              <w:rPr>
                <w:rFonts w:eastAsia="SimSun"/>
              </w:rPr>
              <w:t>100 мг/кг</w:t>
            </w:r>
          </w:p>
        </w:tc>
        <w:tc>
          <w:tcPr>
            <w:tcW w:w="1418" w:type="dxa"/>
            <w:vAlign w:val="center"/>
          </w:tcPr>
          <w:p w14:paraId="6FA56237" w14:textId="77777777" w:rsidR="00124A26" w:rsidRPr="00AC3044" w:rsidRDefault="00124A26" w:rsidP="002D3EBF">
            <w:pPr>
              <w:ind w:firstLine="0"/>
              <w:rPr>
                <w:rFonts w:eastAsia="SimSun"/>
              </w:rPr>
            </w:pPr>
            <w:r w:rsidRPr="00AC3044">
              <w:rPr>
                <w:rFonts w:eastAsia="SimSun"/>
              </w:rPr>
              <w:t xml:space="preserve">В дни +3, +4 </w:t>
            </w:r>
          </w:p>
        </w:tc>
        <w:tc>
          <w:tcPr>
            <w:tcW w:w="2268" w:type="dxa"/>
            <w:vAlign w:val="center"/>
          </w:tcPr>
          <w:p w14:paraId="36B5B857" w14:textId="77777777" w:rsidR="00124A26" w:rsidRPr="00AC3044" w:rsidRDefault="00124A26" w:rsidP="002D3EBF">
            <w:pPr>
              <w:ind w:firstLine="0"/>
              <w:rPr>
                <w:rFonts w:eastAsia="SimSun"/>
              </w:rPr>
            </w:pPr>
            <w:r w:rsidRPr="00AC3044">
              <w:rPr>
                <w:rFonts w:eastAsia="SimSun"/>
              </w:rPr>
              <w:t>В/в, в течение 2 часов</w:t>
            </w:r>
          </w:p>
        </w:tc>
      </w:tr>
    </w:tbl>
    <w:p w14:paraId="2E66F0FD" w14:textId="77777777" w:rsidR="00124A26" w:rsidRDefault="00124A26" w:rsidP="00124A26">
      <w:pPr>
        <w:rPr>
          <w:rFonts w:eastAsia="SimSun"/>
        </w:rPr>
      </w:pPr>
      <w:bookmarkStart w:id="219" w:name="_Toc44401176"/>
    </w:p>
    <w:p w14:paraId="3E37DA46" w14:textId="77777777" w:rsidR="00124A26" w:rsidRPr="00C07B2E" w:rsidRDefault="00124A26" w:rsidP="00124A26">
      <w:pPr>
        <w:rPr>
          <w:rFonts w:eastAsia="SimSun"/>
        </w:rPr>
      </w:pPr>
      <w:r>
        <w:rPr>
          <w:rFonts w:eastAsia="SimSun"/>
        </w:rPr>
        <w:t>Таблица</w:t>
      </w:r>
      <w:r w:rsidRPr="00C07B2E">
        <w:rPr>
          <w:rFonts w:eastAsia="SimSun"/>
        </w:rPr>
        <w:t xml:space="preserve"> </w:t>
      </w:r>
      <w:r>
        <w:rPr>
          <w:rFonts w:eastAsia="SimSun"/>
        </w:rPr>
        <w:t>5.</w:t>
      </w:r>
      <w:r w:rsidRPr="00C07B2E">
        <w:rPr>
          <w:rFonts w:eastAsia="SimSun"/>
        </w:rPr>
        <w:t>2.2.18 – Flu100+Cy100 / hATG+CSA+MTX</w:t>
      </w:r>
      <w:bookmarkEnd w:id="219"/>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701"/>
        <w:gridCol w:w="1418"/>
        <w:gridCol w:w="2268"/>
      </w:tblGrid>
      <w:tr w:rsidR="00124A26" w:rsidRPr="00AC3044" w14:paraId="2E91798B" w14:textId="77777777" w:rsidTr="002D3EBF">
        <w:trPr>
          <w:cantSplit/>
          <w:trHeight w:val="20"/>
          <w:tblHeader/>
        </w:trPr>
        <w:tc>
          <w:tcPr>
            <w:tcW w:w="993" w:type="dxa"/>
          </w:tcPr>
          <w:p w14:paraId="7FBD8A64" w14:textId="77777777" w:rsidR="00124A26" w:rsidRPr="00470D3D" w:rsidRDefault="00124A26" w:rsidP="002D3EBF">
            <w:pPr>
              <w:ind w:firstLine="0"/>
              <w:rPr>
                <w:rFonts w:eastAsia="SimSun"/>
              </w:rPr>
            </w:pPr>
          </w:p>
        </w:tc>
        <w:tc>
          <w:tcPr>
            <w:tcW w:w="1701" w:type="dxa"/>
            <w:vAlign w:val="center"/>
          </w:tcPr>
          <w:p w14:paraId="25730BCD" w14:textId="77777777" w:rsidR="00124A26" w:rsidRPr="00AC3044" w:rsidRDefault="00124A26" w:rsidP="002D3EBF">
            <w:pPr>
              <w:ind w:firstLine="0"/>
              <w:rPr>
                <w:rFonts w:eastAsia="SimSun"/>
              </w:rPr>
            </w:pPr>
            <w:r w:rsidRPr="00AC3044">
              <w:rPr>
                <w:rFonts w:eastAsia="SimSun"/>
              </w:rPr>
              <w:t>Препарат</w:t>
            </w:r>
          </w:p>
        </w:tc>
        <w:tc>
          <w:tcPr>
            <w:tcW w:w="1559" w:type="dxa"/>
            <w:vAlign w:val="center"/>
          </w:tcPr>
          <w:p w14:paraId="4998797C" w14:textId="77777777" w:rsidR="00124A26" w:rsidRPr="00AC3044" w:rsidRDefault="00124A26" w:rsidP="002D3EBF">
            <w:pPr>
              <w:ind w:firstLine="0"/>
              <w:rPr>
                <w:rFonts w:eastAsia="SimSun"/>
              </w:rPr>
            </w:pPr>
            <w:r w:rsidRPr="00AC3044">
              <w:rPr>
                <w:rFonts w:eastAsia="SimSun"/>
              </w:rPr>
              <w:t>Суточная доза</w:t>
            </w:r>
          </w:p>
        </w:tc>
        <w:tc>
          <w:tcPr>
            <w:tcW w:w="1701" w:type="dxa"/>
            <w:vAlign w:val="center"/>
          </w:tcPr>
          <w:p w14:paraId="797964DB" w14:textId="77777777" w:rsidR="00124A26" w:rsidRPr="00AC3044" w:rsidRDefault="00124A26" w:rsidP="002D3EBF">
            <w:pPr>
              <w:ind w:firstLine="0"/>
              <w:rPr>
                <w:rFonts w:eastAsia="SimSun"/>
              </w:rPr>
            </w:pPr>
            <w:r w:rsidRPr="00AC3044">
              <w:rPr>
                <w:rFonts w:eastAsia="SimSun"/>
              </w:rPr>
              <w:t>Курсовая доза</w:t>
            </w:r>
          </w:p>
        </w:tc>
        <w:tc>
          <w:tcPr>
            <w:tcW w:w="1418" w:type="dxa"/>
            <w:vAlign w:val="center"/>
          </w:tcPr>
          <w:p w14:paraId="411F2B75" w14:textId="77777777" w:rsidR="00124A26" w:rsidRPr="00AC3044" w:rsidRDefault="00124A26" w:rsidP="002D3EBF">
            <w:pPr>
              <w:ind w:firstLine="0"/>
              <w:rPr>
                <w:rFonts w:eastAsia="SimSun"/>
              </w:rPr>
            </w:pPr>
            <w:r w:rsidRPr="00AC3044">
              <w:rPr>
                <w:rFonts w:eastAsia="SimSun"/>
              </w:rPr>
              <w:t>Дни введения</w:t>
            </w:r>
          </w:p>
        </w:tc>
        <w:tc>
          <w:tcPr>
            <w:tcW w:w="2268" w:type="dxa"/>
            <w:vAlign w:val="center"/>
          </w:tcPr>
          <w:p w14:paraId="63D2F1C2"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C07B2E" w14:paraId="12FE26D3" w14:textId="77777777" w:rsidTr="002D3EBF">
        <w:trPr>
          <w:cantSplit/>
          <w:trHeight w:val="20"/>
        </w:trPr>
        <w:tc>
          <w:tcPr>
            <w:tcW w:w="993" w:type="dxa"/>
            <w:vMerge w:val="restart"/>
            <w:textDirection w:val="btLr"/>
            <w:vAlign w:val="center"/>
          </w:tcPr>
          <w:p w14:paraId="1DF089B6" w14:textId="77777777" w:rsidR="00124A26" w:rsidRPr="00AC3044" w:rsidRDefault="00124A26" w:rsidP="002D3EBF">
            <w:pPr>
              <w:ind w:firstLine="0"/>
              <w:rPr>
                <w:rFonts w:eastAsia="SimSun"/>
              </w:rPr>
            </w:pPr>
            <w:r w:rsidRPr="00AC3044">
              <w:rPr>
                <w:rFonts w:eastAsia="SimSun"/>
              </w:rPr>
              <w:t>Кондиционирование</w:t>
            </w:r>
          </w:p>
        </w:tc>
        <w:tc>
          <w:tcPr>
            <w:tcW w:w="1701" w:type="dxa"/>
            <w:vAlign w:val="center"/>
          </w:tcPr>
          <w:p w14:paraId="2FDFD825" w14:textId="77777777" w:rsidR="00124A26" w:rsidRPr="00AC3044" w:rsidRDefault="00124A26" w:rsidP="002D3EBF">
            <w:pPr>
              <w:ind w:firstLine="0"/>
              <w:rPr>
                <w:rFonts w:eastAsia="SimSun"/>
              </w:rPr>
            </w:pPr>
            <w:r w:rsidRPr="00AC3044">
              <w:rPr>
                <w:rFonts w:eastAsia="SimSun"/>
              </w:rPr>
              <w:t xml:space="preserve">Флударабин </w:t>
            </w:r>
          </w:p>
        </w:tc>
        <w:tc>
          <w:tcPr>
            <w:tcW w:w="1559" w:type="dxa"/>
            <w:vAlign w:val="center"/>
          </w:tcPr>
          <w:p w14:paraId="3973D2CB" w14:textId="77777777" w:rsidR="00124A26" w:rsidRPr="00AC3044" w:rsidRDefault="00124A26" w:rsidP="002D3EBF">
            <w:pPr>
              <w:ind w:firstLine="0"/>
              <w:rPr>
                <w:rFonts w:eastAsia="SimSun"/>
              </w:rPr>
            </w:pPr>
            <w:r w:rsidRPr="00AC3044">
              <w:rPr>
                <w:rFonts w:eastAsia="SimSun"/>
              </w:rPr>
              <w:t>25 мг/м</w:t>
            </w:r>
            <w:r w:rsidRPr="001E6DBE">
              <w:rPr>
                <w:rFonts w:eastAsia="SimSun"/>
                <w:vertAlign w:val="superscript"/>
              </w:rPr>
              <w:t>2</w:t>
            </w:r>
          </w:p>
        </w:tc>
        <w:tc>
          <w:tcPr>
            <w:tcW w:w="1701" w:type="dxa"/>
            <w:vAlign w:val="center"/>
          </w:tcPr>
          <w:p w14:paraId="2B6A76EF" w14:textId="77777777" w:rsidR="00124A26" w:rsidRPr="00AC3044" w:rsidRDefault="00124A26" w:rsidP="002D3EBF">
            <w:pPr>
              <w:ind w:firstLine="0"/>
              <w:rPr>
                <w:rFonts w:eastAsia="SimSun"/>
              </w:rPr>
            </w:pPr>
            <w:r w:rsidRPr="00AC3044">
              <w:rPr>
                <w:rFonts w:eastAsia="SimSun"/>
              </w:rPr>
              <w:t>100 мг/м</w:t>
            </w:r>
            <w:r w:rsidRPr="001E6DBE">
              <w:rPr>
                <w:rFonts w:eastAsia="SimSun"/>
                <w:vertAlign w:val="superscript"/>
              </w:rPr>
              <w:t>2</w:t>
            </w:r>
          </w:p>
        </w:tc>
        <w:tc>
          <w:tcPr>
            <w:tcW w:w="1418" w:type="dxa"/>
            <w:vAlign w:val="center"/>
          </w:tcPr>
          <w:p w14:paraId="2E6189B7" w14:textId="77777777" w:rsidR="00124A26" w:rsidRPr="00AC3044" w:rsidRDefault="00124A26" w:rsidP="002D3EBF">
            <w:pPr>
              <w:ind w:firstLine="0"/>
              <w:rPr>
                <w:rFonts w:eastAsia="SimSun"/>
              </w:rPr>
            </w:pPr>
            <w:r w:rsidRPr="00AC3044">
              <w:rPr>
                <w:rFonts w:eastAsia="SimSun"/>
              </w:rPr>
              <w:t xml:space="preserve">С –5 по –2 день </w:t>
            </w:r>
          </w:p>
        </w:tc>
        <w:tc>
          <w:tcPr>
            <w:tcW w:w="2268" w:type="dxa"/>
            <w:vAlign w:val="center"/>
          </w:tcPr>
          <w:p w14:paraId="6EECF19E"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C07B2E" w14:paraId="6A173EC5" w14:textId="77777777" w:rsidTr="002D3EBF">
        <w:trPr>
          <w:cantSplit/>
          <w:trHeight w:val="704"/>
        </w:trPr>
        <w:tc>
          <w:tcPr>
            <w:tcW w:w="993" w:type="dxa"/>
            <w:vMerge/>
            <w:textDirection w:val="btLr"/>
            <w:vAlign w:val="center"/>
          </w:tcPr>
          <w:p w14:paraId="3B2419D6" w14:textId="77777777" w:rsidR="00124A26" w:rsidRPr="00AC3044" w:rsidRDefault="00124A26" w:rsidP="002D3EBF">
            <w:pPr>
              <w:ind w:firstLine="0"/>
              <w:rPr>
                <w:rFonts w:eastAsia="SimSun"/>
              </w:rPr>
            </w:pPr>
          </w:p>
        </w:tc>
        <w:tc>
          <w:tcPr>
            <w:tcW w:w="1701" w:type="dxa"/>
            <w:vAlign w:val="center"/>
          </w:tcPr>
          <w:p w14:paraId="72FFEE85" w14:textId="77777777" w:rsidR="00124A26" w:rsidRPr="00AC3044" w:rsidRDefault="00124A26" w:rsidP="002D3EBF">
            <w:pPr>
              <w:ind w:firstLine="0"/>
              <w:rPr>
                <w:rFonts w:eastAsia="SimSun"/>
              </w:rPr>
            </w:pPr>
            <w:r w:rsidRPr="00AC3044">
              <w:rPr>
                <w:rFonts w:eastAsia="SimSun"/>
              </w:rPr>
              <w:t>Циклофосфамид</w:t>
            </w:r>
          </w:p>
        </w:tc>
        <w:tc>
          <w:tcPr>
            <w:tcW w:w="1559" w:type="dxa"/>
            <w:vAlign w:val="center"/>
          </w:tcPr>
          <w:p w14:paraId="5F6E64F7" w14:textId="77777777" w:rsidR="00124A26" w:rsidRPr="00AC3044" w:rsidRDefault="00124A26" w:rsidP="002D3EBF">
            <w:pPr>
              <w:ind w:firstLine="0"/>
              <w:rPr>
                <w:rFonts w:eastAsia="SimSun"/>
              </w:rPr>
            </w:pPr>
            <w:r w:rsidRPr="00AC3044">
              <w:rPr>
                <w:rFonts w:eastAsia="SimSun"/>
              </w:rPr>
              <w:t>25 мг/кг</w:t>
            </w:r>
          </w:p>
        </w:tc>
        <w:tc>
          <w:tcPr>
            <w:tcW w:w="1701" w:type="dxa"/>
            <w:vAlign w:val="center"/>
          </w:tcPr>
          <w:p w14:paraId="2924534A" w14:textId="77777777" w:rsidR="00124A26" w:rsidRPr="00AC3044" w:rsidRDefault="00124A26" w:rsidP="002D3EBF">
            <w:pPr>
              <w:ind w:firstLine="0"/>
              <w:rPr>
                <w:rFonts w:eastAsia="SimSun"/>
              </w:rPr>
            </w:pPr>
            <w:r w:rsidRPr="00AC3044">
              <w:rPr>
                <w:rFonts w:eastAsia="SimSun"/>
              </w:rPr>
              <w:t>100 мг/кг</w:t>
            </w:r>
          </w:p>
        </w:tc>
        <w:tc>
          <w:tcPr>
            <w:tcW w:w="1418" w:type="dxa"/>
            <w:vAlign w:val="center"/>
          </w:tcPr>
          <w:p w14:paraId="719C0583" w14:textId="77777777" w:rsidR="00124A26" w:rsidRPr="00AC3044" w:rsidRDefault="00124A26" w:rsidP="002D3EBF">
            <w:pPr>
              <w:ind w:firstLine="0"/>
              <w:rPr>
                <w:rFonts w:eastAsia="SimSun"/>
              </w:rPr>
            </w:pPr>
            <w:r w:rsidRPr="00AC3044">
              <w:rPr>
                <w:rFonts w:eastAsia="SimSun"/>
              </w:rPr>
              <w:t>С –5 по –2 день</w:t>
            </w:r>
          </w:p>
        </w:tc>
        <w:tc>
          <w:tcPr>
            <w:tcW w:w="2268" w:type="dxa"/>
            <w:vAlign w:val="center"/>
          </w:tcPr>
          <w:p w14:paraId="098C654F" w14:textId="77777777" w:rsidR="00124A26" w:rsidRPr="00AC3044" w:rsidRDefault="00124A26" w:rsidP="002D3EBF">
            <w:pPr>
              <w:ind w:firstLine="0"/>
              <w:rPr>
                <w:rFonts w:eastAsia="SimSun"/>
              </w:rPr>
            </w:pPr>
            <w:r w:rsidRPr="00AC3044">
              <w:rPr>
                <w:rFonts w:eastAsia="SimSun"/>
              </w:rPr>
              <w:t>В/в, в течение 2 часов</w:t>
            </w:r>
          </w:p>
        </w:tc>
      </w:tr>
      <w:tr w:rsidR="00124A26" w:rsidRPr="00C07B2E" w14:paraId="178B5769" w14:textId="77777777" w:rsidTr="002D3EBF">
        <w:trPr>
          <w:cantSplit/>
          <w:trHeight w:val="20"/>
        </w:trPr>
        <w:tc>
          <w:tcPr>
            <w:tcW w:w="993" w:type="dxa"/>
            <w:vMerge w:val="restart"/>
            <w:textDirection w:val="btLr"/>
            <w:vAlign w:val="center"/>
          </w:tcPr>
          <w:p w14:paraId="18CFF8D1" w14:textId="77777777" w:rsidR="00124A26" w:rsidRPr="00AC3044" w:rsidRDefault="00124A26" w:rsidP="002D3EBF">
            <w:pPr>
              <w:ind w:firstLine="0"/>
              <w:rPr>
                <w:rFonts w:eastAsia="SimSun"/>
              </w:rPr>
            </w:pPr>
            <w:r w:rsidRPr="00AC3044">
              <w:rPr>
                <w:rFonts w:eastAsia="SimSun"/>
              </w:rPr>
              <w:t>Профилактика РТПХ</w:t>
            </w:r>
          </w:p>
        </w:tc>
        <w:tc>
          <w:tcPr>
            <w:tcW w:w="1701" w:type="dxa"/>
            <w:vAlign w:val="center"/>
          </w:tcPr>
          <w:p w14:paraId="7D8916F4" w14:textId="77777777" w:rsidR="00124A26" w:rsidRPr="00AC3044" w:rsidRDefault="00124A26" w:rsidP="002D3EBF">
            <w:pPr>
              <w:ind w:firstLine="0"/>
              <w:rPr>
                <w:rFonts w:eastAsia="SimSun"/>
              </w:rPr>
            </w:pPr>
            <w:r w:rsidRPr="00AC3044">
              <w:rPr>
                <w:rFonts w:eastAsia="SimSun"/>
              </w:rPr>
              <w:t>АТГ (лошадиный)</w:t>
            </w:r>
          </w:p>
        </w:tc>
        <w:tc>
          <w:tcPr>
            <w:tcW w:w="1559" w:type="dxa"/>
            <w:vAlign w:val="center"/>
          </w:tcPr>
          <w:p w14:paraId="0F429537" w14:textId="77777777" w:rsidR="00124A26" w:rsidRPr="00AC3044" w:rsidRDefault="00124A26" w:rsidP="002D3EBF">
            <w:pPr>
              <w:ind w:firstLine="0"/>
              <w:rPr>
                <w:rFonts w:eastAsia="SimSun"/>
              </w:rPr>
            </w:pPr>
            <w:r w:rsidRPr="00AC3044">
              <w:rPr>
                <w:rFonts w:eastAsia="SimSun"/>
              </w:rPr>
              <w:t>25 мг/кг</w:t>
            </w:r>
          </w:p>
        </w:tc>
        <w:tc>
          <w:tcPr>
            <w:tcW w:w="1701" w:type="dxa"/>
            <w:vAlign w:val="center"/>
          </w:tcPr>
          <w:p w14:paraId="08631B27" w14:textId="77777777" w:rsidR="00124A26" w:rsidRPr="00AC3044" w:rsidRDefault="00124A26" w:rsidP="002D3EBF">
            <w:pPr>
              <w:ind w:firstLine="0"/>
              <w:rPr>
                <w:rFonts w:eastAsia="SimSun"/>
              </w:rPr>
            </w:pPr>
            <w:r w:rsidRPr="00AC3044">
              <w:rPr>
                <w:rFonts w:eastAsia="SimSun"/>
              </w:rPr>
              <w:t>100 мг/кг</w:t>
            </w:r>
          </w:p>
        </w:tc>
        <w:tc>
          <w:tcPr>
            <w:tcW w:w="1418" w:type="dxa"/>
            <w:vAlign w:val="center"/>
          </w:tcPr>
          <w:p w14:paraId="5D15552C" w14:textId="77777777" w:rsidR="00124A26" w:rsidRPr="00AC3044" w:rsidRDefault="00124A26" w:rsidP="002D3EBF">
            <w:pPr>
              <w:ind w:firstLine="0"/>
              <w:rPr>
                <w:rFonts w:eastAsia="SimSun"/>
              </w:rPr>
            </w:pPr>
            <w:r w:rsidRPr="00AC3044">
              <w:rPr>
                <w:rFonts w:eastAsia="SimSun"/>
              </w:rPr>
              <w:t>С –4 по –1 день</w:t>
            </w:r>
          </w:p>
        </w:tc>
        <w:tc>
          <w:tcPr>
            <w:tcW w:w="2268" w:type="dxa"/>
            <w:vAlign w:val="center"/>
          </w:tcPr>
          <w:p w14:paraId="1671670F" w14:textId="77777777" w:rsidR="00124A26" w:rsidRPr="00AC3044" w:rsidRDefault="00124A26" w:rsidP="002D3EBF">
            <w:pPr>
              <w:ind w:firstLine="0"/>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на 2 введения (см. гл. 3, «Инфузия АТГ»)</w:t>
            </w:r>
          </w:p>
        </w:tc>
      </w:tr>
      <w:tr w:rsidR="00124A26" w:rsidRPr="00C07B2E" w14:paraId="36D390D1" w14:textId="77777777" w:rsidTr="002D3EBF">
        <w:trPr>
          <w:cantSplit/>
          <w:trHeight w:val="1141"/>
        </w:trPr>
        <w:tc>
          <w:tcPr>
            <w:tcW w:w="993" w:type="dxa"/>
            <w:vMerge/>
            <w:textDirection w:val="btLr"/>
          </w:tcPr>
          <w:p w14:paraId="57A50A05" w14:textId="77777777" w:rsidR="00124A26" w:rsidRPr="00AC3044" w:rsidRDefault="00124A26" w:rsidP="002D3EBF">
            <w:pPr>
              <w:ind w:firstLine="0"/>
              <w:rPr>
                <w:rFonts w:eastAsia="SimSun"/>
              </w:rPr>
            </w:pPr>
          </w:p>
        </w:tc>
        <w:tc>
          <w:tcPr>
            <w:tcW w:w="1701" w:type="dxa"/>
            <w:vAlign w:val="center"/>
          </w:tcPr>
          <w:p w14:paraId="717E4877" w14:textId="77777777" w:rsidR="00124A26" w:rsidRPr="00AC3044" w:rsidRDefault="00124A26" w:rsidP="002D3EBF">
            <w:pPr>
              <w:ind w:firstLine="0"/>
              <w:rPr>
                <w:rFonts w:eastAsia="SimSun"/>
              </w:rPr>
            </w:pPr>
            <w:r w:rsidRPr="00AC3044">
              <w:rPr>
                <w:rFonts w:eastAsia="SimSun"/>
              </w:rPr>
              <w:t>Циклоспорин</w:t>
            </w:r>
          </w:p>
        </w:tc>
        <w:tc>
          <w:tcPr>
            <w:tcW w:w="1559" w:type="dxa"/>
            <w:vAlign w:val="center"/>
          </w:tcPr>
          <w:p w14:paraId="14AEF797" w14:textId="77777777" w:rsidR="00124A26" w:rsidRPr="00AC3044" w:rsidRDefault="00124A26" w:rsidP="002D3EBF">
            <w:pPr>
              <w:ind w:firstLine="0"/>
              <w:rPr>
                <w:rFonts w:eastAsia="SimSun"/>
              </w:rPr>
            </w:pPr>
            <w:r w:rsidRPr="00AC3044">
              <w:rPr>
                <w:rFonts w:eastAsia="SimSun"/>
              </w:rPr>
              <w:t>3 мг/кг</w:t>
            </w:r>
          </w:p>
        </w:tc>
        <w:tc>
          <w:tcPr>
            <w:tcW w:w="1701" w:type="dxa"/>
            <w:vAlign w:val="center"/>
          </w:tcPr>
          <w:p w14:paraId="175D2729" w14:textId="77777777" w:rsidR="00124A26" w:rsidRPr="00AC3044" w:rsidRDefault="00124A26" w:rsidP="002D3EBF">
            <w:pPr>
              <w:ind w:firstLine="0"/>
              <w:rPr>
                <w:rFonts w:eastAsia="SimSun"/>
              </w:rPr>
            </w:pPr>
            <w:r w:rsidRPr="00AC3044">
              <w:rPr>
                <w:rFonts w:eastAsia="SimSun"/>
              </w:rPr>
              <w:t>–</w:t>
            </w:r>
          </w:p>
        </w:tc>
        <w:tc>
          <w:tcPr>
            <w:tcW w:w="1418" w:type="dxa"/>
            <w:vAlign w:val="center"/>
          </w:tcPr>
          <w:p w14:paraId="6BB4186C" w14:textId="77777777" w:rsidR="00124A26" w:rsidRPr="00AC3044" w:rsidRDefault="00124A26" w:rsidP="002D3EBF">
            <w:pPr>
              <w:ind w:firstLine="0"/>
              <w:rPr>
                <w:rFonts w:eastAsia="SimSun"/>
              </w:rPr>
            </w:pPr>
            <w:r w:rsidRPr="00AC3044">
              <w:rPr>
                <w:rFonts w:eastAsia="SimSun"/>
              </w:rPr>
              <w:t>С –1 дня по +230 день затем постепенное снижение к +270 дню</w:t>
            </w:r>
          </w:p>
        </w:tc>
        <w:tc>
          <w:tcPr>
            <w:tcW w:w="2268" w:type="dxa"/>
            <w:vAlign w:val="center"/>
          </w:tcPr>
          <w:p w14:paraId="7719E0D7" w14:textId="77777777" w:rsidR="00124A26" w:rsidRPr="00AC3044" w:rsidRDefault="00124A26"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124A26" w:rsidRPr="00C07B2E" w14:paraId="2A02EF78" w14:textId="77777777" w:rsidTr="002D3EBF">
        <w:trPr>
          <w:cantSplit/>
          <w:trHeight w:val="20"/>
        </w:trPr>
        <w:tc>
          <w:tcPr>
            <w:tcW w:w="993" w:type="dxa"/>
            <w:vMerge/>
          </w:tcPr>
          <w:p w14:paraId="6D676D60" w14:textId="77777777" w:rsidR="00124A26" w:rsidRPr="00AC3044" w:rsidRDefault="00124A26" w:rsidP="002D3EBF">
            <w:pPr>
              <w:ind w:firstLine="0"/>
              <w:rPr>
                <w:rFonts w:eastAsia="SimSun"/>
              </w:rPr>
            </w:pPr>
          </w:p>
        </w:tc>
        <w:tc>
          <w:tcPr>
            <w:tcW w:w="1701" w:type="dxa"/>
            <w:vAlign w:val="center"/>
          </w:tcPr>
          <w:p w14:paraId="33DBF8B5" w14:textId="77777777" w:rsidR="00124A26" w:rsidRPr="00AC3044" w:rsidRDefault="00124A26" w:rsidP="002D3EBF">
            <w:pPr>
              <w:ind w:firstLine="0"/>
              <w:rPr>
                <w:rFonts w:eastAsia="SimSun"/>
              </w:rPr>
            </w:pPr>
            <w:r w:rsidRPr="00AC3044">
              <w:rPr>
                <w:rFonts w:eastAsia="SimSun"/>
              </w:rPr>
              <w:t>Метотрексат</w:t>
            </w:r>
          </w:p>
        </w:tc>
        <w:tc>
          <w:tcPr>
            <w:tcW w:w="1559" w:type="dxa"/>
            <w:vAlign w:val="center"/>
          </w:tcPr>
          <w:p w14:paraId="18E102E9" w14:textId="77777777" w:rsidR="00124A26" w:rsidRPr="00AC3044" w:rsidRDefault="00124A26" w:rsidP="002D3EBF">
            <w:pPr>
              <w:ind w:firstLine="0"/>
              <w:rPr>
                <w:rFonts w:eastAsia="SimSun"/>
              </w:rPr>
            </w:pPr>
            <w:r w:rsidRPr="00AC3044">
              <w:rPr>
                <w:rFonts w:eastAsia="SimSun"/>
              </w:rPr>
              <w:t>15 мг/м</w:t>
            </w:r>
            <w:r w:rsidRPr="001E6DBE">
              <w:rPr>
                <w:rFonts w:eastAsia="SimSun"/>
                <w:vertAlign w:val="superscript"/>
              </w:rPr>
              <w:t>2</w:t>
            </w:r>
          </w:p>
        </w:tc>
        <w:tc>
          <w:tcPr>
            <w:tcW w:w="1701" w:type="dxa"/>
            <w:vAlign w:val="center"/>
          </w:tcPr>
          <w:p w14:paraId="0B395F3E" w14:textId="77777777" w:rsidR="00124A26" w:rsidRPr="00AC3044" w:rsidRDefault="00124A26" w:rsidP="002D3EBF">
            <w:pPr>
              <w:ind w:firstLine="0"/>
              <w:rPr>
                <w:rFonts w:eastAsia="SimSun"/>
              </w:rPr>
            </w:pPr>
            <w:r w:rsidRPr="00AC3044">
              <w:rPr>
                <w:rFonts w:eastAsia="SimSun"/>
              </w:rPr>
              <w:t>–</w:t>
            </w:r>
          </w:p>
        </w:tc>
        <w:tc>
          <w:tcPr>
            <w:tcW w:w="1418" w:type="dxa"/>
            <w:vAlign w:val="center"/>
          </w:tcPr>
          <w:p w14:paraId="330782A6" w14:textId="77777777" w:rsidR="00124A26" w:rsidRPr="00AC3044" w:rsidRDefault="00124A26" w:rsidP="002D3EBF">
            <w:pPr>
              <w:ind w:firstLine="0"/>
              <w:rPr>
                <w:rFonts w:eastAsia="SimSun"/>
              </w:rPr>
            </w:pPr>
            <w:r w:rsidRPr="00AC3044">
              <w:rPr>
                <w:rFonts w:eastAsia="SimSun"/>
              </w:rPr>
              <w:t>+1 день</w:t>
            </w:r>
          </w:p>
        </w:tc>
        <w:tc>
          <w:tcPr>
            <w:tcW w:w="2268" w:type="dxa"/>
            <w:vAlign w:val="center"/>
          </w:tcPr>
          <w:p w14:paraId="422BEBD4" w14:textId="77777777" w:rsidR="00124A26" w:rsidRPr="00AC3044" w:rsidRDefault="00124A26" w:rsidP="002D3EBF">
            <w:pPr>
              <w:ind w:firstLine="0"/>
              <w:rPr>
                <w:rFonts w:eastAsia="SimSun"/>
              </w:rPr>
            </w:pPr>
            <w:r w:rsidRPr="00AC3044">
              <w:rPr>
                <w:rFonts w:eastAsia="SimSun"/>
              </w:rPr>
              <w:t xml:space="preserve">В/в, в 20 мл физ. р-ра </w:t>
            </w:r>
          </w:p>
        </w:tc>
      </w:tr>
      <w:tr w:rsidR="00124A26" w:rsidRPr="00C07B2E" w14:paraId="0D675D3C" w14:textId="77777777" w:rsidTr="002D3EBF">
        <w:trPr>
          <w:cantSplit/>
          <w:trHeight w:val="464"/>
        </w:trPr>
        <w:tc>
          <w:tcPr>
            <w:tcW w:w="993" w:type="dxa"/>
            <w:vMerge/>
          </w:tcPr>
          <w:p w14:paraId="4DA9A50F" w14:textId="77777777" w:rsidR="00124A26" w:rsidRPr="00AC3044" w:rsidRDefault="00124A26" w:rsidP="002D3EBF">
            <w:pPr>
              <w:ind w:firstLine="0"/>
              <w:rPr>
                <w:rFonts w:eastAsia="SimSun"/>
              </w:rPr>
            </w:pPr>
          </w:p>
        </w:tc>
        <w:tc>
          <w:tcPr>
            <w:tcW w:w="1701" w:type="dxa"/>
            <w:vAlign w:val="center"/>
          </w:tcPr>
          <w:p w14:paraId="002E21D2" w14:textId="77777777" w:rsidR="00124A26" w:rsidRPr="00AC3044" w:rsidRDefault="00124A26" w:rsidP="002D3EBF">
            <w:pPr>
              <w:ind w:firstLine="0"/>
              <w:rPr>
                <w:rFonts w:eastAsia="SimSun"/>
              </w:rPr>
            </w:pPr>
            <w:r w:rsidRPr="00AC3044">
              <w:rPr>
                <w:rFonts w:eastAsia="SimSun"/>
              </w:rPr>
              <w:t>Метотрексат</w:t>
            </w:r>
          </w:p>
        </w:tc>
        <w:tc>
          <w:tcPr>
            <w:tcW w:w="1559" w:type="dxa"/>
            <w:vAlign w:val="center"/>
          </w:tcPr>
          <w:p w14:paraId="04D421F3" w14:textId="77777777" w:rsidR="00124A26" w:rsidRPr="00AC3044" w:rsidRDefault="00124A26" w:rsidP="002D3EBF">
            <w:pPr>
              <w:ind w:firstLine="0"/>
              <w:rPr>
                <w:rFonts w:eastAsia="SimSun"/>
              </w:rPr>
            </w:pPr>
            <w:r w:rsidRPr="00AC3044">
              <w:rPr>
                <w:rFonts w:eastAsia="SimSun"/>
              </w:rPr>
              <w:t>10 мг/м</w:t>
            </w:r>
            <w:r w:rsidRPr="001E6DBE">
              <w:rPr>
                <w:rFonts w:eastAsia="SimSun"/>
                <w:vertAlign w:val="superscript"/>
              </w:rPr>
              <w:t>2</w:t>
            </w:r>
          </w:p>
        </w:tc>
        <w:tc>
          <w:tcPr>
            <w:tcW w:w="1701" w:type="dxa"/>
            <w:vAlign w:val="center"/>
          </w:tcPr>
          <w:p w14:paraId="592724A5" w14:textId="77777777" w:rsidR="00124A26" w:rsidRPr="00AC3044" w:rsidRDefault="00124A26" w:rsidP="002D3EBF">
            <w:pPr>
              <w:ind w:firstLine="0"/>
              <w:rPr>
                <w:rFonts w:eastAsia="SimSun"/>
              </w:rPr>
            </w:pPr>
            <w:r w:rsidRPr="00AC3044">
              <w:rPr>
                <w:rFonts w:eastAsia="SimSun"/>
              </w:rPr>
              <w:t>–</w:t>
            </w:r>
          </w:p>
        </w:tc>
        <w:tc>
          <w:tcPr>
            <w:tcW w:w="1418" w:type="dxa"/>
            <w:vAlign w:val="center"/>
          </w:tcPr>
          <w:p w14:paraId="4DB5AD16" w14:textId="77777777" w:rsidR="00124A26" w:rsidRPr="00AC3044" w:rsidRDefault="00124A26" w:rsidP="002D3EBF">
            <w:pPr>
              <w:ind w:firstLine="0"/>
              <w:rPr>
                <w:rFonts w:eastAsia="SimSun"/>
              </w:rPr>
            </w:pPr>
            <w:r w:rsidRPr="00AC3044">
              <w:rPr>
                <w:rFonts w:eastAsia="SimSun"/>
              </w:rPr>
              <w:t>+3, +6, +11 дни</w:t>
            </w:r>
          </w:p>
        </w:tc>
        <w:tc>
          <w:tcPr>
            <w:tcW w:w="2268" w:type="dxa"/>
            <w:vAlign w:val="center"/>
          </w:tcPr>
          <w:p w14:paraId="4DBE0234" w14:textId="77777777" w:rsidR="00124A26" w:rsidRPr="00AC3044" w:rsidRDefault="00124A26" w:rsidP="002D3EBF">
            <w:pPr>
              <w:ind w:firstLine="0"/>
              <w:rPr>
                <w:rFonts w:eastAsia="SimSun"/>
              </w:rPr>
            </w:pPr>
            <w:r w:rsidRPr="00AC3044">
              <w:rPr>
                <w:rFonts w:eastAsia="SimSun"/>
              </w:rPr>
              <w:t xml:space="preserve">В/в, в 20 мл физ. р-ра </w:t>
            </w:r>
          </w:p>
        </w:tc>
      </w:tr>
    </w:tbl>
    <w:p w14:paraId="51708031" w14:textId="77777777" w:rsidR="00124A26" w:rsidRDefault="00124A26" w:rsidP="00124A26">
      <w:pPr>
        <w:rPr>
          <w:rFonts w:eastAsia="SimSun"/>
        </w:rPr>
      </w:pPr>
      <w:bookmarkStart w:id="220" w:name="_Toc44401177"/>
    </w:p>
    <w:p w14:paraId="63F2B6E2" w14:textId="77777777" w:rsidR="00124A26" w:rsidRPr="00042499" w:rsidRDefault="00124A26" w:rsidP="00124A26">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1.2.19  – </w:t>
      </w:r>
      <w:r w:rsidRPr="007A1AC4">
        <w:rPr>
          <w:rFonts w:eastAsia="SimSun"/>
          <w:lang w:val="en-US"/>
        </w:rPr>
        <w:t>Flu</w:t>
      </w:r>
      <w:r w:rsidRPr="00042499">
        <w:rPr>
          <w:rFonts w:eastAsia="SimSun"/>
          <w:lang w:val="en-US"/>
        </w:rPr>
        <w:t>120+</w:t>
      </w:r>
      <w:r w:rsidRPr="007A1AC4">
        <w:rPr>
          <w:rFonts w:eastAsia="SimSun"/>
          <w:lang w:val="en-US"/>
        </w:rPr>
        <w:t>Cy</w:t>
      </w:r>
      <w:r w:rsidRPr="00042499">
        <w:rPr>
          <w:rFonts w:eastAsia="SimSun"/>
          <w:lang w:val="en-US"/>
        </w:rPr>
        <w:t>2000+</w:t>
      </w:r>
      <w:r w:rsidRPr="007A1AC4">
        <w:rPr>
          <w:rFonts w:eastAsia="SimSun"/>
          <w:lang w:val="en-US"/>
        </w:rPr>
        <w:t>Mel</w:t>
      </w:r>
      <w:r w:rsidRPr="00042499">
        <w:rPr>
          <w:rFonts w:eastAsia="SimSun"/>
          <w:lang w:val="en-US"/>
        </w:rPr>
        <w:t xml:space="preserve">140 / </w:t>
      </w:r>
      <w:r w:rsidRPr="007A1AC4">
        <w:rPr>
          <w:rFonts w:eastAsia="SimSun"/>
          <w:lang w:val="en-US"/>
        </w:rPr>
        <w:t>PT</w:t>
      </w:r>
      <w:r w:rsidRPr="00042499">
        <w:rPr>
          <w:rFonts w:eastAsia="SimSun"/>
          <w:lang w:val="en-US"/>
        </w:rPr>
        <w:t>-</w:t>
      </w:r>
      <w:r w:rsidRPr="007A1AC4">
        <w:rPr>
          <w:rFonts w:eastAsia="SimSun"/>
          <w:lang w:val="en-US"/>
        </w:rPr>
        <w:t>Cy</w:t>
      </w:r>
      <w:r w:rsidRPr="00042499">
        <w:rPr>
          <w:rFonts w:eastAsia="SimSun"/>
          <w:lang w:val="en-US"/>
        </w:rPr>
        <w:t>+</w:t>
      </w:r>
      <w:r w:rsidRPr="007A1AC4">
        <w:rPr>
          <w:rFonts w:eastAsia="SimSun"/>
          <w:lang w:val="en-US"/>
        </w:rPr>
        <w:t>CSA</w:t>
      </w:r>
      <w:r w:rsidRPr="00042499">
        <w:rPr>
          <w:rFonts w:eastAsia="SimSun"/>
          <w:lang w:val="en-US"/>
        </w:rPr>
        <w:t>+</w:t>
      </w:r>
      <w:r w:rsidRPr="007A1AC4">
        <w:rPr>
          <w:rFonts w:eastAsia="SimSun"/>
          <w:lang w:val="en-US"/>
        </w:rPr>
        <w:t>MMF</w:t>
      </w:r>
      <w:r w:rsidRPr="00042499">
        <w:rPr>
          <w:rFonts w:eastAsia="SimSun"/>
          <w:lang w:val="en-US"/>
        </w:rPr>
        <w:t>45</w:t>
      </w:r>
      <w:bookmarkEnd w:id="220"/>
    </w:p>
    <w:tbl>
      <w:tblPr>
        <w:tblW w:w="9605" w:type="dxa"/>
        <w:tblInd w:w="1" w:type="dxa"/>
        <w:tblLayout w:type="fixed"/>
        <w:tblCellMar>
          <w:left w:w="10" w:type="dxa"/>
          <w:right w:w="10" w:type="dxa"/>
        </w:tblCellMar>
        <w:tblLook w:val="0000" w:firstRow="0" w:lastRow="0" w:firstColumn="0" w:lastColumn="0" w:noHBand="0" w:noVBand="0"/>
      </w:tblPr>
      <w:tblGrid>
        <w:gridCol w:w="958"/>
        <w:gridCol w:w="1701"/>
        <w:gridCol w:w="1559"/>
        <w:gridCol w:w="1701"/>
        <w:gridCol w:w="1418"/>
        <w:gridCol w:w="2268"/>
      </w:tblGrid>
      <w:tr w:rsidR="00124A26" w:rsidRPr="00AC3044" w14:paraId="14947BD9" w14:textId="77777777" w:rsidTr="002D3EBF">
        <w:trPr>
          <w:trHeight w:val="20"/>
          <w:tblHeader/>
        </w:trPr>
        <w:tc>
          <w:tcPr>
            <w:tcW w:w="9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5EE932" w14:textId="77777777" w:rsidR="00124A26" w:rsidRPr="009B5A5D" w:rsidRDefault="00124A26" w:rsidP="002D3EBF">
            <w:pPr>
              <w:ind w:firstLine="0"/>
              <w:rPr>
                <w:rFonts w:eastAsia="SimSun"/>
                <w:lang w:val="en-US"/>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1250EFC" w14:textId="77777777" w:rsidR="00124A26" w:rsidRPr="00AC3044" w:rsidRDefault="00124A26" w:rsidP="002D3EBF">
            <w:pPr>
              <w:ind w:firstLine="0"/>
              <w:rPr>
                <w:rFonts w:eastAsia="SimSun"/>
              </w:rPr>
            </w:pPr>
            <w:r w:rsidRPr="00AC3044">
              <w:rPr>
                <w:rFonts w:eastAsia="SimSun"/>
              </w:rPr>
              <w:t>Препарат</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5BCC212" w14:textId="77777777" w:rsidR="00124A26" w:rsidRPr="00AC3044" w:rsidRDefault="00124A26" w:rsidP="002D3EBF">
            <w:pPr>
              <w:ind w:firstLine="0"/>
              <w:rPr>
                <w:rFonts w:eastAsia="SimSun"/>
              </w:rPr>
            </w:pPr>
            <w:r w:rsidRPr="00AC3044">
              <w:rPr>
                <w:rFonts w:eastAsia="SimSun"/>
              </w:rPr>
              <w:t>Суточная доза</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56E154B" w14:textId="77777777" w:rsidR="00124A26" w:rsidRPr="00AC3044" w:rsidRDefault="00124A26" w:rsidP="002D3EBF">
            <w:pPr>
              <w:ind w:firstLine="0"/>
              <w:rPr>
                <w:rFonts w:eastAsia="SimSun"/>
              </w:rPr>
            </w:pPr>
            <w:r w:rsidRPr="00AC3044">
              <w:rPr>
                <w:rFonts w:eastAsia="SimSun"/>
              </w:rPr>
              <w:t>Курсовая доза</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B338F2D" w14:textId="77777777" w:rsidR="00124A26" w:rsidRPr="00AC3044" w:rsidRDefault="00124A26" w:rsidP="002D3EBF">
            <w:pPr>
              <w:ind w:firstLine="0"/>
              <w:rPr>
                <w:rFonts w:eastAsia="SimSun"/>
              </w:rPr>
            </w:pPr>
            <w:r w:rsidRPr="00AC3044">
              <w:rPr>
                <w:rFonts w:eastAsia="SimSun"/>
              </w:rPr>
              <w:t>Дни введения</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4087C47"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1E9A95BD" w14:textId="77777777" w:rsidTr="002D3EBF">
        <w:trPr>
          <w:trHeight w:val="20"/>
        </w:trPr>
        <w:tc>
          <w:tcPr>
            <w:tcW w:w="958" w:type="dxa"/>
            <w:vMerge w:val="restart"/>
            <w:tcBorders>
              <w:top w:val="single" w:sz="4" w:space="0" w:color="00000A"/>
              <w:left w:val="single" w:sz="4" w:space="0" w:color="00000A"/>
              <w:right w:val="single" w:sz="4" w:space="0" w:color="00000A"/>
            </w:tcBorders>
            <w:tcMar>
              <w:top w:w="0" w:type="dxa"/>
              <w:left w:w="108" w:type="dxa"/>
              <w:bottom w:w="0" w:type="dxa"/>
              <w:right w:w="108" w:type="dxa"/>
            </w:tcMar>
            <w:textDirection w:val="btLr"/>
            <w:vAlign w:val="center"/>
          </w:tcPr>
          <w:p w14:paraId="1F5FF552" w14:textId="77777777" w:rsidR="00124A26" w:rsidRPr="00AC3044" w:rsidRDefault="00124A26" w:rsidP="002D3EBF">
            <w:pPr>
              <w:ind w:firstLine="0"/>
              <w:rPr>
                <w:rFonts w:eastAsia="SimSun"/>
              </w:rPr>
            </w:pPr>
            <w:r w:rsidRPr="00AC3044">
              <w:rPr>
                <w:rFonts w:eastAsia="SimSun"/>
              </w:rPr>
              <w:t>Кондиционирование</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F531B30" w14:textId="77777777" w:rsidR="00124A26" w:rsidRPr="00AC3044" w:rsidRDefault="00124A26" w:rsidP="002D3EBF">
            <w:pPr>
              <w:ind w:firstLine="0"/>
              <w:rPr>
                <w:rFonts w:eastAsia="SimSun"/>
              </w:rPr>
            </w:pPr>
            <w:r w:rsidRPr="00AC3044">
              <w:rPr>
                <w:rFonts w:eastAsia="SimSun"/>
              </w:rPr>
              <w:t>Флударабин</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246D674" w14:textId="77777777" w:rsidR="00124A26" w:rsidRPr="00AC3044" w:rsidRDefault="00124A26" w:rsidP="002D3EBF">
            <w:pPr>
              <w:ind w:firstLine="0"/>
              <w:rPr>
                <w:rFonts w:eastAsia="SimSun"/>
              </w:rPr>
            </w:pPr>
            <w:r w:rsidRPr="00AC3044">
              <w:rPr>
                <w:rFonts w:eastAsia="SimSun"/>
              </w:rPr>
              <w:t>40 мг/м</w:t>
            </w:r>
            <w:r w:rsidRPr="001E6DBE">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229E0E10" w14:textId="77777777" w:rsidR="00124A26" w:rsidRPr="00AC3044" w:rsidRDefault="00124A26" w:rsidP="002D3EBF">
            <w:pPr>
              <w:ind w:firstLine="0"/>
              <w:rPr>
                <w:rFonts w:eastAsia="SimSun"/>
              </w:rPr>
            </w:pPr>
            <w:r w:rsidRPr="00AC3044">
              <w:rPr>
                <w:rFonts w:eastAsia="SimSun"/>
              </w:rPr>
              <w:t>120 мг/м</w:t>
            </w:r>
            <w:r w:rsidRPr="001E6DBE">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248E4146" w14:textId="77777777" w:rsidR="00124A26" w:rsidRPr="00AC3044" w:rsidRDefault="00124A26" w:rsidP="002D3EBF">
            <w:pPr>
              <w:ind w:firstLine="0"/>
              <w:rPr>
                <w:rFonts w:eastAsia="SimSun"/>
              </w:rPr>
            </w:pPr>
            <w:r w:rsidRPr="00AC3044">
              <w:rPr>
                <w:rFonts w:eastAsia="SimSun"/>
              </w:rPr>
              <w:t>С –5 по –3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06ADC85"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0F94D7BB" w14:textId="77777777" w:rsidTr="002D3EBF">
        <w:trPr>
          <w:trHeight w:val="1011"/>
        </w:trPr>
        <w:tc>
          <w:tcPr>
            <w:tcW w:w="958" w:type="dxa"/>
            <w:vMerge/>
            <w:tcBorders>
              <w:left w:val="single" w:sz="4" w:space="0" w:color="00000A"/>
              <w:right w:val="single" w:sz="4" w:space="0" w:color="00000A"/>
            </w:tcBorders>
            <w:tcMar>
              <w:top w:w="0" w:type="dxa"/>
              <w:left w:w="108" w:type="dxa"/>
              <w:bottom w:w="0" w:type="dxa"/>
              <w:right w:w="108" w:type="dxa"/>
            </w:tcMar>
            <w:textDirection w:val="btLr"/>
            <w:vAlign w:val="center"/>
          </w:tcPr>
          <w:p w14:paraId="2B6F28B6" w14:textId="77777777" w:rsidR="00124A26" w:rsidRPr="00AC3044" w:rsidRDefault="00124A26" w:rsidP="002D3EBF">
            <w:pPr>
              <w:ind w:firstLine="0"/>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279A42C" w14:textId="77777777" w:rsidR="00124A26" w:rsidRPr="00AC3044" w:rsidRDefault="00124A26" w:rsidP="002D3EBF">
            <w:pPr>
              <w:ind w:firstLine="0"/>
              <w:rPr>
                <w:rFonts w:eastAsia="SimSun"/>
              </w:rPr>
            </w:pPr>
            <w:r w:rsidRPr="00AC3044">
              <w:rPr>
                <w:rFonts w:eastAsia="SimSun"/>
              </w:rPr>
              <w:t>Циклофосфамид</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9C0A34" w14:textId="77777777" w:rsidR="00124A26" w:rsidRPr="00AC3044" w:rsidRDefault="00124A26" w:rsidP="002D3EBF">
            <w:pPr>
              <w:ind w:firstLine="0"/>
              <w:rPr>
                <w:rFonts w:eastAsia="SimSun"/>
              </w:rPr>
            </w:pPr>
            <w:r w:rsidRPr="00AC3044">
              <w:rPr>
                <w:rFonts w:eastAsia="SimSun"/>
              </w:rPr>
              <w:t>1000 мг/м</w:t>
            </w:r>
            <w:r w:rsidRPr="001E6DBE">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04069B8" w14:textId="77777777" w:rsidR="00124A26" w:rsidRPr="00AC3044" w:rsidRDefault="00124A26" w:rsidP="002D3EBF">
            <w:pPr>
              <w:ind w:firstLine="0"/>
              <w:rPr>
                <w:rFonts w:eastAsia="SimSun"/>
              </w:rPr>
            </w:pPr>
            <w:r w:rsidRPr="00AC3044">
              <w:rPr>
                <w:rFonts w:eastAsia="SimSun"/>
              </w:rPr>
              <w:t>2000 мг/м</w:t>
            </w:r>
            <w:r w:rsidRPr="001E6DBE">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224A95C" w14:textId="77777777" w:rsidR="00124A26" w:rsidRPr="00AC3044" w:rsidRDefault="00124A26" w:rsidP="002D3EBF">
            <w:pPr>
              <w:ind w:firstLine="0"/>
              <w:rPr>
                <w:rFonts w:eastAsia="SimSun"/>
              </w:rPr>
            </w:pPr>
            <w:r w:rsidRPr="00AC3044">
              <w:rPr>
                <w:rFonts w:eastAsia="SimSun"/>
              </w:rPr>
              <w:t>-7, -6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3820F61" w14:textId="77777777" w:rsidR="00124A26" w:rsidRPr="00AC3044" w:rsidRDefault="00124A26" w:rsidP="002D3EBF">
            <w:pPr>
              <w:ind w:firstLine="0"/>
              <w:rPr>
                <w:rFonts w:eastAsia="SimSun"/>
              </w:rPr>
            </w:pPr>
            <w:r w:rsidRPr="00AC3044">
              <w:rPr>
                <w:rFonts w:eastAsia="SimSun"/>
              </w:rPr>
              <w:t>В/в, в течение 2 часов</w:t>
            </w:r>
          </w:p>
        </w:tc>
      </w:tr>
      <w:tr w:rsidR="00124A26" w:rsidRPr="00AC3044" w14:paraId="408EC55B" w14:textId="77777777" w:rsidTr="002D3EBF">
        <w:trPr>
          <w:trHeight w:val="402"/>
        </w:trPr>
        <w:tc>
          <w:tcPr>
            <w:tcW w:w="958" w:type="dxa"/>
            <w:vMerge/>
            <w:tcBorders>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5C24CC17" w14:textId="77777777" w:rsidR="00124A26" w:rsidRPr="00AC3044" w:rsidRDefault="00124A26" w:rsidP="002D3EBF">
            <w:pPr>
              <w:ind w:firstLine="0"/>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AB6802D" w14:textId="77777777" w:rsidR="00124A26" w:rsidRPr="00AC3044" w:rsidRDefault="00124A26" w:rsidP="002D3EBF">
            <w:pPr>
              <w:ind w:firstLine="0"/>
              <w:rPr>
                <w:rFonts w:eastAsia="SimSun"/>
              </w:rPr>
            </w:pPr>
            <w:r w:rsidRPr="00AC3044">
              <w:rPr>
                <w:rFonts w:eastAsia="SimSun"/>
              </w:rPr>
              <w:t>Мелфалан</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65FEE74" w14:textId="77777777" w:rsidR="00124A26" w:rsidRPr="00AC3044" w:rsidRDefault="00124A26" w:rsidP="002D3EBF">
            <w:pPr>
              <w:ind w:firstLine="0"/>
              <w:rPr>
                <w:rFonts w:eastAsia="SimSun"/>
              </w:rPr>
            </w:pPr>
            <w:r w:rsidRPr="00AC3044">
              <w:rPr>
                <w:rFonts w:eastAsia="SimSun"/>
              </w:rPr>
              <w:t>140 мг/м</w:t>
            </w:r>
            <w:r w:rsidRPr="001E6DBE">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94BA324" w14:textId="77777777" w:rsidR="00124A26" w:rsidRPr="00AC3044" w:rsidRDefault="00124A26" w:rsidP="002D3EBF">
            <w:pPr>
              <w:ind w:firstLine="0"/>
              <w:rPr>
                <w:rFonts w:eastAsia="SimSun"/>
              </w:rPr>
            </w:pPr>
            <w:r w:rsidRPr="00AC3044">
              <w:rPr>
                <w:rFonts w:eastAsia="SimSun"/>
              </w:rPr>
              <w:t>140 мг/м</w:t>
            </w:r>
            <w:r w:rsidRPr="001E6DBE">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5BE9576" w14:textId="77777777" w:rsidR="00124A26" w:rsidRPr="00AC3044" w:rsidRDefault="00124A26" w:rsidP="002D3EBF">
            <w:pPr>
              <w:ind w:firstLine="0"/>
              <w:rPr>
                <w:rFonts w:eastAsia="SimSun"/>
              </w:rPr>
            </w:pPr>
            <w:r w:rsidRPr="00AC3044">
              <w:rPr>
                <w:rFonts w:eastAsia="SimSun"/>
              </w:rPr>
              <w:t>-2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B78B398" w14:textId="77777777" w:rsidR="00124A26" w:rsidRPr="00AC3044" w:rsidRDefault="00124A26" w:rsidP="002D3EBF">
            <w:pPr>
              <w:ind w:firstLine="0"/>
              <w:rPr>
                <w:rFonts w:eastAsia="SimSun"/>
              </w:rPr>
            </w:pPr>
            <w:r w:rsidRPr="00AC3044">
              <w:rPr>
                <w:rFonts w:eastAsia="SimSun"/>
              </w:rPr>
              <w:t>В/в, в течение 1 часа</w:t>
            </w:r>
          </w:p>
        </w:tc>
      </w:tr>
      <w:tr w:rsidR="00124A26" w:rsidRPr="00AC3044" w14:paraId="423E04C6" w14:textId="77777777" w:rsidTr="002D3EBF">
        <w:trPr>
          <w:trHeight w:val="20"/>
        </w:trPr>
        <w:tc>
          <w:tcPr>
            <w:tcW w:w="95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4036068E" w14:textId="77777777" w:rsidR="00124A26" w:rsidRPr="00AC3044" w:rsidRDefault="00124A26" w:rsidP="002D3EBF">
            <w:pPr>
              <w:ind w:firstLine="0"/>
              <w:rPr>
                <w:rFonts w:eastAsia="SimSun"/>
              </w:rPr>
            </w:pPr>
            <w:r w:rsidRPr="00AC3044">
              <w:rPr>
                <w:rFonts w:eastAsia="SimSun"/>
              </w:rPr>
              <w:t>Профилактика РТПХ</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3A64EE6" w14:textId="77777777" w:rsidR="00124A26" w:rsidRPr="00AC3044" w:rsidRDefault="00124A26" w:rsidP="002D3EBF">
            <w:pPr>
              <w:ind w:firstLine="0"/>
              <w:rPr>
                <w:rFonts w:eastAsia="SimSun"/>
              </w:rPr>
            </w:pPr>
            <w:r w:rsidRPr="00AC3044">
              <w:rPr>
                <w:rFonts w:eastAsia="SimSun"/>
              </w:rPr>
              <w:t>Циклоспорин</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E2DBB2D" w14:textId="77777777" w:rsidR="00124A26" w:rsidRPr="00AC3044" w:rsidRDefault="00124A26" w:rsidP="002D3EBF">
            <w:pPr>
              <w:ind w:firstLine="0"/>
              <w:rPr>
                <w:rFonts w:eastAsia="SimSun"/>
              </w:rPr>
            </w:pPr>
            <w:r w:rsidRPr="00AC3044">
              <w:rPr>
                <w:rFonts w:eastAsia="SimSun"/>
              </w:rPr>
              <w:t>3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B727D4C" w14:textId="77777777" w:rsidR="00124A26" w:rsidRPr="00AC3044" w:rsidRDefault="00124A26" w:rsidP="002D3EBF">
            <w:pPr>
              <w:ind w:firstLine="0"/>
              <w:rPr>
                <w:rFonts w:eastAsia="SimSun"/>
              </w:rPr>
            </w:pPr>
            <w:r w:rsidRPr="00AC3044">
              <w:rPr>
                <w:rFonts w:eastAsia="SimSun"/>
              </w:rPr>
              <w:t>–</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23D9F2F" w14:textId="77777777" w:rsidR="00124A26" w:rsidRPr="00AC3044" w:rsidRDefault="00124A26" w:rsidP="002D3EBF">
            <w:pPr>
              <w:ind w:firstLine="0"/>
              <w:rPr>
                <w:rFonts w:eastAsia="SimSun"/>
              </w:rPr>
            </w:pPr>
            <w:r w:rsidRPr="00AC3044">
              <w:rPr>
                <w:rFonts w:eastAsia="SimSun"/>
              </w:rPr>
              <w:t>С +5 по +90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11087FF" w14:textId="77777777" w:rsidR="00124A26" w:rsidRPr="00AC3044" w:rsidRDefault="00124A26"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w:t>
            </w:r>
            <w:r>
              <w:rPr>
                <w:rFonts w:eastAsia="SimSun"/>
              </w:rPr>
              <w:t xml:space="preserve"> </w:t>
            </w:r>
            <w:r w:rsidRPr="00AC3044">
              <w:rPr>
                <w:rFonts w:eastAsia="SimSun"/>
              </w:rPr>
              <w:t>пг/мл</w:t>
            </w:r>
          </w:p>
        </w:tc>
      </w:tr>
      <w:tr w:rsidR="00124A26" w:rsidRPr="00AC3044" w14:paraId="7CD7D821" w14:textId="77777777" w:rsidTr="002D3EBF">
        <w:trPr>
          <w:trHeight w:val="20"/>
        </w:trPr>
        <w:tc>
          <w:tcPr>
            <w:tcW w:w="958"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04A072E" w14:textId="77777777" w:rsidR="00124A26" w:rsidRPr="00AC3044" w:rsidRDefault="00124A26" w:rsidP="002D3EBF">
            <w:pPr>
              <w:ind w:firstLine="0"/>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3025518" w14:textId="77777777" w:rsidR="00124A26" w:rsidRPr="00AC3044" w:rsidRDefault="00124A26" w:rsidP="002D3EBF">
            <w:pPr>
              <w:ind w:firstLine="0"/>
              <w:rPr>
                <w:rFonts w:eastAsia="SimSun"/>
              </w:rPr>
            </w:pPr>
            <w:r w:rsidRPr="00AC3044">
              <w:rPr>
                <w:rFonts w:eastAsia="SimSun"/>
              </w:rPr>
              <w:t>Микофенолата мофетил</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B8723FA" w14:textId="77777777" w:rsidR="00124A26" w:rsidRPr="00AC3044" w:rsidRDefault="00124A26" w:rsidP="002D3EBF">
            <w:pPr>
              <w:ind w:firstLine="0"/>
              <w:rPr>
                <w:rFonts w:eastAsia="SimSun"/>
              </w:rPr>
            </w:pPr>
            <w:r w:rsidRPr="00AC3044">
              <w:rPr>
                <w:rFonts w:eastAsia="SimSun"/>
              </w:rPr>
              <w:t>45 мг/кг</w:t>
            </w:r>
            <w:r w:rsidRPr="00AC3044">
              <w:rPr>
                <w:rFonts w:eastAsia="SimSun"/>
              </w:rPr>
              <w:tab/>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A7C18BE" w14:textId="77777777" w:rsidR="00124A26" w:rsidRPr="00AC3044" w:rsidRDefault="00124A26" w:rsidP="002D3EBF">
            <w:pPr>
              <w:ind w:firstLine="0"/>
              <w:rPr>
                <w:rFonts w:eastAsia="SimSun"/>
              </w:rPr>
            </w:pPr>
            <w:r w:rsidRPr="00AC3044">
              <w:rPr>
                <w:rFonts w:eastAsia="SimSun"/>
              </w:rPr>
              <w:t>–</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5CE1295" w14:textId="77777777" w:rsidR="00124A26" w:rsidRPr="00AC3044" w:rsidRDefault="00124A26" w:rsidP="002D3EBF">
            <w:pPr>
              <w:ind w:firstLine="0"/>
              <w:rPr>
                <w:rFonts w:eastAsia="SimSun"/>
              </w:rPr>
            </w:pPr>
            <w:r w:rsidRPr="00AC3044">
              <w:rPr>
                <w:rFonts w:eastAsia="SimSun"/>
              </w:rPr>
              <w:t>С +5 по +30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DABA4A3"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г/сут).</w:t>
            </w:r>
          </w:p>
        </w:tc>
      </w:tr>
      <w:tr w:rsidR="00124A26" w:rsidRPr="00AC3044" w14:paraId="58E239D4" w14:textId="77777777" w:rsidTr="002D3EBF">
        <w:trPr>
          <w:trHeight w:val="464"/>
        </w:trPr>
        <w:tc>
          <w:tcPr>
            <w:tcW w:w="958"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F8B5ECC" w14:textId="77777777" w:rsidR="00124A26" w:rsidRPr="00AC3044" w:rsidRDefault="00124A26" w:rsidP="002D3EBF">
            <w:pPr>
              <w:ind w:firstLine="0"/>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0C0BF35" w14:textId="77777777" w:rsidR="00124A26" w:rsidRPr="00AC3044" w:rsidRDefault="00124A26" w:rsidP="002D3EBF">
            <w:pPr>
              <w:ind w:firstLine="0"/>
              <w:rPr>
                <w:rFonts w:eastAsia="SimSun"/>
              </w:rPr>
            </w:pPr>
            <w:r w:rsidRPr="00AC3044">
              <w:rPr>
                <w:rFonts w:eastAsia="SimSun"/>
              </w:rPr>
              <w:t>Циклофосфамид</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D741AEA" w14:textId="77777777" w:rsidR="00124A26" w:rsidRPr="00AC3044" w:rsidRDefault="00124A26" w:rsidP="002D3EBF">
            <w:pPr>
              <w:ind w:firstLine="0"/>
              <w:rPr>
                <w:rFonts w:eastAsia="SimSun"/>
              </w:rPr>
            </w:pPr>
            <w:r w:rsidRPr="00AC3044">
              <w:rPr>
                <w:rFonts w:eastAsia="SimSun"/>
              </w:rPr>
              <w:t>50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A394180" w14:textId="77777777" w:rsidR="00124A26" w:rsidRPr="00AC3044" w:rsidRDefault="00124A26" w:rsidP="002D3EBF">
            <w:pPr>
              <w:ind w:firstLine="0"/>
              <w:rPr>
                <w:rFonts w:eastAsia="SimSun"/>
              </w:rPr>
            </w:pPr>
            <w:r w:rsidRPr="00AC3044">
              <w:rPr>
                <w:rFonts w:eastAsia="SimSun"/>
              </w:rPr>
              <w:t>100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19291B5" w14:textId="77777777" w:rsidR="00124A26" w:rsidRPr="00AC3044" w:rsidRDefault="00124A26" w:rsidP="002D3EBF">
            <w:pPr>
              <w:ind w:firstLine="0"/>
              <w:rPr>
                <w:rFonts w:eastAsia="SimSun"/>
              </w:rPr>
            </w:pPr>
            <w:r w:rsidRPr="00AC3044">
              <w:rPr>
                <w:rFonts w:eastAsia="SimSun"/>
              </w:rPr>
              <w:t>+3, +4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EECAE28" w14:textId="77777777" w:rsidR="00124A26" w:rsidRPr="00AC3044" w:rsidRDefault="00124A26" w:rsidP="002D3EBF">
            <w:pPr>
              <w:ind w:firstLine="0"/>
              <w:rPr>
                <w:rFonts w:eastAsia="SimSun"/>
              </w:rPr>
            </w:pPr>
            <w:r w:rsidRPr="00AC3044">
              <w:rPr>
                <w:rFonts w:eastAsia="SimSun"/>
              </w:rPr>
              <w:t>В/в, в течение 2 часов</w:t>
            </w:r>
          </w:p>
        </w:tc>
      </w:tr>
    </w:tbl>
    <w:p w14:paraId="79D1593F" w14:textId="77777777" w:rsidR="00124A26" w:rsidRDefault="00124A26" w:rsidP="00124A26">
      <w:pPr>
        <w:rPr>
          <w:rFonts w:eastAsia="SimSun"/>
        </w:rPr>
      </w:pPr>
      <w:bookmarkStart w:id="221" w:name="_Toc44401178"/>
    </w:p>
    <w:p w14:paraId="6F59C0EB" w14:textId="77777777" w:rsidR="00124A26" w:rsidRPr="00C07B2E" w:rsidRDefault="00124A26" w:rsidP="00124A26">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1.2.20  – Flu150+Treo36 / PT-Cy+CSA+MMF30</w:t>
      </w:r>
      <w:bookmarkEnd w:id="221"/>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701"/>
        <w:gridCol w:w="1418"/>
        <w:gridCol w:w="2268"/>
      </w:tblGrid>
      <w:tr w:rsidR="00124A26" w:rsidRPr="00AC3044" w14:paraId="5F193B0A" w14:textId="77777777" w:rsidTr="002D3EBF">
        <w:trPr>
          <w:cantSplit/>
          <w:trHeight w:val="20"/>
          <w:tblHeader/>
        </w:trPr>
        <w:tc>
          <w:tcPr>
            <w:tcW w:w="993" w:type="dxa"/>
          </w:tcPr>
          <w:p w14:paraId="614ADB19" w14:textId="77777777" w:rsidR="00124A26" w:rsidRPr="00470D3D" w:rsidRDefault="00124A26" w:rsidP="002D3EBF">
            <w:pPr>
              <w:ind w:firstLine="0"/>
              <w:rPr>
                <w:rFonts w:eastAsia="SimSun"/>
              </w:rPr>
            </w:pPr>
          </w:p>
          <w:p w14:paraId="0FC4454C" w14:textId="77777777" w:rsidR="00124A26" w:rsidRPr="00470D3D" w:rsidRDefault="00124A26" w:rsidP="002D3EBF">
            <w:pPr>
              <w:ind w:firstLine="0"/>
              <w:rPr>
                <w:rFonts w:eastAsia="SimSun"/>
              </w:rPr>
            </w:pPr>
          </w:p>
        </w:tc>
        <w:tc>
          <w:tcPr>
            <w:tcW w:w="1701" w:type="dxa"/>
            <w:vAlign w:val="center"/>
          </w:tcPr>
          <w:p w14:paraId="77A327B5" w14:textId="77777777" w:rsidR="00124A26" w:rsidRPr="00AC3044" w:rsidRDefault="00124A26" w:rsidP="002D3EBF">
            <w:pPr>
              <w:ind w:firstLine="0"/>
              <w:rPr>
                <w:rFonts w:eastAsia="SimSun"/>
              </w:rPr>
            </w:pPr>
            <w:r w:rsidRPr="00AC3044">
              <w:rPr>
                <w:rFonts w:eastAsia="SimSun"/>
              </w:rPr>
              <w:t>Препарат</w:t>
            </w:r>
          </w:p>
        </w:tc>
        <w:tc>
          <w:tcPr>
            <w:tcW w:w="1559" w:type="dxa"/>
            <w:vAlign w:val="center"/>
          </w:tcPr>
          <w:p w14:paraId="4937464F" w14:textId="77777777" w:rsidR="00124A26" w:rsidRPr="00AC3044" w:rsidRDefault="00124A26" w:rsidP="002D3EBF">
            <w:pPr>
              <w:ind w:firstLine="0"/>
              <w:rPr>
                <w:rFonts w:eastAsia="SimSun"/>
              </w:rPr>
            </w:pPr>
            <w:r w:rsidRPr="00AC3044">
              <w:rPr>
                <w:rFonts w:eastAsia="SimSun"/>
              </w:rPr>
              <w:t>Суточная доза</w:t>
            </w:r>
          </w:p>
        </w:tc>
        <w:tc>
          <w:tcPr>
            <w:tcW w:w="1701" w:type="dxa"/>
            <w:vAlign w:val="center"/>
          </w:tcPr>
          <w:p w14:paraId="689132C4" w14:textId="77777777" w:rsidR="00124A26" w:rsidRPr="00AC3044" w:rsidRDefault="00124A26" w:rsidP="002D3EBF">
            <w:pPr>
              <w:ind w:firstLine="0"/>
              <w:rPr>
                <w:rFonts w:eastAsia="SimSun"/>
              </w:rPr>
            </w:pPr>
            <w:r w:rsidRPr="00AC3044">
              <w:rPr>
                <w:rFonts w:eastAsia="SimSun"/>
              </w:rPr>
              <w:t>Курсовая доза</w:t>
            </w:r>
          </w:p>
        </w:tc>
        <w:tc>
          <w:tcPr>
            <w:tcW w:w="1418" w:type="dxa"/>
            <w:vAlign w:val="center"/>
          </w:tcPr>
          <w:p w14:paraId="255582E3" w14:textId="77777777" w:rsidR="00124A26" w:rsidRPr="00AC3044" w:rsidRDefault="00124A26" w:rsidP="002D3EBF">
            <w:pPr>
              <w:ind w:firstLine="0"/>
              <w:rPr>
                <w:rFonts w:eastAsia="SimSun"/>
              </w:rPr>
            </w:pPr>
            <w:r w:rsidRPr="00AC3044">
              <w:rPr>
                <w:rFonts w:eastAsia="SimSun"/>
              </w:rPr>
              <w:t>Дни введения</w:t>
            </w:r>
          </w:p>
        </w:tc>
        <w:tc>
          <w:tcPr>
            <w:tcW w:w="2268" w:type="dxa"/>
            <w:vAlign w:val="center"/>
          </w:tcPr>
          <w:p w14:paraId="5C8B17B4"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7CCA82E0" w14:textId="77777777" w:rsidTr="002D3EBF">
        <w:trPr>
          <w:cantSplit/>
          <w:trHeight w:val="20"/>
        </w:trPr>
        <w:tc>
          <w:tcPr>
            <w:tcW w:w="993" w:type="dxa"/>
            <w:vMerge w:val="restart"/>
            <w:textDirection w:val="btLr"/>
            <w:vAlign w:val="center"/>
          </w:tcPr>
          <w:p w14:paraId="65FAE8FD" w14:textId="77777777" w:rsidR="00124A26" w:rsidRPr="00AC3044" w:rsidRDefault="00124A26" w:rsidP="002D3EBF">
            <w:pPr>
              <w:ind w:firstLine="0"/>
              <w:rPr>
                <w:rFonts w:eastAsia="SimSun"/>
              </w:rPr>
            </w:pPr>
            <w:r w:rsidRPr="00AC3044">
              <w:rPr>
                <w:rFonts w:eastAsia="SimSun"/>
              </w:rPr>
              <w:t>Кондиционирование</w:t>
            </w:r>
          </w:p>
        </w:tc>
        <w:tc>
          <w:tcPr>
            <w:tcW w:w="1701" w:type="dxa"/>
            <w:vAlign w:val="center"/>
          </w:tcPr>
          <w:p w14:paraId="65C92380" w14:textId="77777777" w:rsidR="00124A26" w:rsidRPr="00AC3044" w:rsidRDefault="00124A26" w:rsidP="002D3EBF">
            <w:pPr>
              <w:ind w:firstLine="0"/>
              <w:rPr>
                <w:rFonts w:eastAsia="SimSun"/>
              </w:rPr>
            </w:pPr>
            <w:r w:rsidRPr="00AC3044">
              <w:rPr>
                <w:rFonts w:eastAsia="SimSun"/>
              </w:rPr>
              <w:t xml:space="preserve">Флударабин </w:t>
            </w:r>
          </w:p>
        </w:tc>
        <w:tc>
          <w:tcPr>
            <w:tcW w:w="1559" w:type="dxa"/>
            <w:vAlign w:val="center"/>
          </w:tcPr>
          <w:p w14:paraId="7063CD6C" w14:textId="77777777" w:rsidR="00124A26" w:rsidRPr="00AC3044" w:rsidRDefault="00124A26" w:rsidP="002D3EBF">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3FCCA5F7" w14:textId="77777777" w:rsidR="00124A26" w:rsidRPr="00AC3044" w:rsidRDefault="00124A26" w:rsidP="002D3EBF">
            <w:pPr>
              <w:ind w:firstLine="0"/>
              <w:rPr>
                <w:rFonts w:eastAsia="SimSun"/>
              </w:rPr>
            </w:pPr>
            <w:r w:rsidRPr="00AC3044">
              <w:rPr>
                <w:rFonts w:eastAsia="SimSun"/>
              </w:rPr>
              <w:t>150 мг/м</w:t>
            </w:r>
            <w:r w:rsidRPr="001E6DBE">
              <w:rPr>
                <w:rFonts w:eastAsia="SimSun"/>
                <w:vertAlign w:val="superscript"/>
              </w:rPr>
              <w:t>2</w:t>
            </w:r>
          </w:p>
        </w:tc>
        <w:tc>
          <w:tcPr>
            <w:tcW w:w="1418" w:type="dxa"/>
            <w:vAlign w:val="center"/>
          </w:tcPr>
          <w:p w14:paraId="2907C6C7" w14:textId="77777777" w:rsidR="00124A26" w:rsidRPr="00AC3044" w:rsidRDefault="00124A26" w:rsidP="002D3EBF">
            <w:pPr>
              <w:ind w:firstLine="0"/>
              <w:rPr>
                <w:rFonts w:eastAsia="SimSun"/>
              </w:rPr>
            </w:pPr>
            <w:r w:rsidRPr="00AC3044">
              <w:rPr>
                <w:rFonts w:eastAsia="SimSun"/>
              </w:rPr>
              <w:t>С –6 по –2 день</w:t>
            </w:r>
          </w:p>
        </w:tc>
        <w:tc>
          <w:tcPr>
            <w:tcW w:w="2268" w:type="dxa"/>
            <w:vAlign w:val="center"/>
          </w:tcPr>
          <w:p w14:paraId="2A61962A"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7050D56C" w14:textId="77777777" w:rsidTr="002D3EBF">
        <w:trPr>
          <w:cantSplit/>
          <w:trHeight w:val="801"/>
        </w:trPr>
        <w:tc>
          <w:tcPr>
            <w:tcW w:w="993" w:type="dxa"/>
            <w:vMerge/>
            <w:textDirection w:val="btLr"/>
            <w:vAlign w:val="center"/>
          </w:tcPr>
          <w:p w14:paraId="000BBF5E" w14:textId="77777777" w:rsidR="00124A26" w:rsidRPr="00AC3044" w:rsidRDefault="00124A26" w:rsidP="002D3EBF">
            <w:pPr>
              <w:ind w:firstLine="0"/>
              <w:rPr>
                <w:rFonts w:eastAsia="SimSun"/>
              </w:rPr>
            </w:pPr>
          </w:p>
        </w:tc>
        <w:tc>
          <w:tcPr>
            <w:tcW w:w="1701" w:type="dxa"/>
            <w:vAlign w:val="center"/>
          </w:tcPr>
          <w:p w14:paraId="5DB93384" w14:textId="77777777" w:rsidR="00124A26" w:rsidRPr="00AC3044" w:rsidRDefault="00124A26" w:rsidP="002D3EBF">
            <w:pPr>
              <w:ind w:firstLine="0"/>
              <w:rPr>
                <w:rFonts w:eastAsia="SimSun"/>
              </w:rPr>
            </w:pPr>
            <w:r w:rsidRPr="00AC3044">
              <w:rPr>
                <w:rFonts w:eastAsia="SimSun"/>
              </w:rPr>
              <w:t>Треосульфан</w:t>
            </w:r>
          </w:p>
        </w:tc>
        <w:tc>
          <w:tcPr>
            <w:tcW w:w="1559" w:type="dxa"/>
            <w:vAlign w:val="center"/>
          </w:tcPr>
          <w:p w14:paraId="24FA3BE7" w14:textId="77777777" w:rsidR="00124A26" w:rsidRPr="00AC3044" w:rsidRDefault="00124A26" w:rsidP="002D3EBF">
            <w:pPr>
              <w:ind w:firstLine="0"/>
              <w:rPr>
                <w:rFonts w:eastAsia="SimSun"/>
              </w:rPr>
            </w:pPr>
            <w:r w:rsidRPr="00AC3044">
              <w:rPr>
                <w:rFonts w:eastAsia="SimSun"/>
              </w:rPr>
              <w:t>12 г/м</w:t>
            </w:r>
            <w:r w:rsidRPr="001E6DBE">
              <w:rPr>
                <w:rFonts w:eastAsia="SimSun"/>
                <w:vertAlign w:val="superscript"/>
              </w:rPr>
              <w:t>2</w:t>
            </w:r>
          </w:p>
        </w:tc>
        <w:tc>
          <w:tcPr>
            <w:tcW w:w="1701" w:type="dxa"/>
            <w:vAlign w:val="center"/>
          </w:tcPr>
          <w:p w14:paraId="2ED8D214" w14:textId="77777777" w:rsidR="00124A26" w:rsidRPr="00AC3044" w:rsidRDefault="00124A26" w:rsidP="002D3EBF">
            <w:pPr>
              <w:ind w:firstLine="0"/>
              <w:rPr>
                <w:rFonts w:eastAsia="SimSun"/>
              </w:rPr>
            </w:pPr>
            <w:r w:rsidRPr="00AC3044">
              <w:rPr>
                <w:rFonts w:eastAsia="SimSun"/>
              </w:rPr>
              <w:t>36 г/м</w:t>
            </w:r>
            <w:r w:rsidRPr="001E6DBE">
              <w:rPr>
                <w:rFonts w:eastAsia="SimSun"/>
                <w:vertAlign w:val="superscript"/>
              </w:rPr>
              <w:t>2</w:t>
            </w:r>
          </w:p>
        </w:tc>
        <w:tc>
          <w:tcPr>
            <w:tcW w:w="1418" w:type="dxa"/>
            <w:vAlign w:val="center"/>
          </w:tcPr>
          <w:p w14:paraId="4F0015D7" w14:textId="77777777" w:rsidR="00124A26" w:rsidRPr="00AC3044" w:rsidRDefault="00124A26" w:rsidP="002D3EBF">
            <w:pPr>
              <w:ind w:firstLine="0"/>
              <w:rPr>
                <w:rFonts w:eastAsia="SimSun"/>
              </w:rPr>
            </w:pPr>
            <w:r w:rsidRPr="00AC3044">
              <w:rPr>
                <w:rFonts w:eastAsia="SimSun"/>
              </w:rPr>
              <w:t>С –6 по –4 день</w:t>
            </w:r>
          </w:p>
        </w:tc>
        <w:tc>
          <w:tcPr>
            <w:tcW w:w="2268" w:type="dxa"/>
            <w:vAlign w:val="center"/>
          </w:tcPr>
          <w:p w14:paraId="5152CB5F" w14:textId="77777777" w:rsidR="00124A26" w:rsidRPr="00AC3044" w:rsidRDefault="00124A26" w:rsidP="002D3EBF">
            <w:pPr>
              <w:ind w:firstLine="0"/>
              <w:rPr>
                <w:rFonts w:eastAsia="SimSun"/>
              </w:rPr>
            </w:pPr>
            <w:r w:rsidRPr="00AC3044">
              <w:rPr>
                <w:rFonts w:eastAsia="SimSun"/>
              </w:rPr>
              <w:t>В/в, в течение 2 ч</w:t>
            </w:r>
          </w:p>
        </w:tc>
      </w:tr>
      <w:tr w:rsidR="00124A26" w:rsidRPr="00AC3044" w14:paraId="2CDE639F" w14:textId="77777777" w:rsidTr="002D3EBF">
        <w:trPr>
          <w:cantSplit/>
          <w:trHeight w:val="20"/>
        </w:trPr>
        <w:tc>
          <w:tcPr>
            <w:tcW w:w="993" w:type="dxa"/>
            <w:vMerge w:val="restart"/>
            <w:textDirection w:val="btLr"/>
            <w:vAlign w:val="center"/>
          </w:tcPr>
          <w:p w14:paraId="68188F3C" w14:textId="77777777" w:rsidR="00124A26" w:rsidRPr="00AC3044" w:rsidRDefault="00124A26" w:rsidP="002D3EBF">
            <w:pPr>
              <w:ind w:firstLine="0"/>
              <w:rPr>
                <w:rFonts w:eastAsia="SimSun"/>
              </w:rPr>
            </w:pPr>
            <w:r w:rsidRPr="00AC3044">
              <w:rPr>
                <w:rFonts w:eastAsia="SimSun"/>
              </w:rPr>
              <w:t>Профилактика РТПХ</w:t>
            </w:r>
          </w:p>
        </w:tc>
        <w:tc>
          <w:tcPr>
            <w:tcW w:w="1701" w:type="dxa"/>
            <w:vAlign w:val="center"/>
          </w:tcPr>
          <w:p w14:paraId="113BEC82" w14:textId="77777777" w:rsidR="00124A26" w:rsidRPr="00AC3044" w:rsidRDefault="00124A26" w:rsidP="002D3EBF">
            <w:pPr>
              <w:ind w:firstLine="0"/>
              <w:rPr>
                <w:rFonts w:eastAsia="SimSun"/>
              </w:rPr>
            </w:pPr>
            <w:r w:rsidRPr="00AC3044">
              <w:rPr>
                <w:rFonts w:eastAsia="SimSun"/>
              </w:rPr>
              <w:t>Циклофосфамид</w:t>
            </w:r>
          </w:p>
        </w:tc>
        <w:tc>
          <w:tcPr>
            <w:tcW w:w="1559" w:type="dxa"/>
            <w:vAlign w:val="center"/>
          </w:tcPr>
          <w:p w14:paraId="42ECE66E" w14:textId="77777777" w:rsidR="00124A26" w:rsidRPr="00AC3044" w:rsidRDefault="00124A26" w:rsidP="002D3EBF">
            <w:pPr>
              <w:ind w:firstLine="0"/>
              <w:rPr>
                <w:rFonts w:eastAsia="SimSun"/>
              </w:rPr>
            </w:pPr>
            <w:r w:rsidRPr="00AC3044">
              <w:rPr>
                <w:rFonts w:eastAsia="SimSun"/>
              </w:rPr>
              <w:t>50 мг/кг</w:t>
            </w:r>
          </w:p>
        </w:tc>
        <w:tc>
          <w:tcPr>
            <w:tcW w:w="1701" w:type="dxa"/>
            <w:vAlign w:val="center"/>
          </w:tcPr>
          <w:p w14:paraId="1550F470" w14:textId="77777777" w:rsidR="00124A26" w:rsidRPr="00AC3044" w:rsidRDefault="00124A26" w:rsidP="002D3EBF">
            <w:pPr>
              <w:ind w:firstLine="0"/>
              <w:rPr>
                <w:rFonts w:eastAsia="SimSun"/>
              </w:rPr>
            </w:pPr>
            <w:r w:rsidRPr="00AC3044">
              <w:rPr>
                <w:rFonts w:eastAsia="SimSun"/>
              </w:rPr>
              <w:t>100 мг/кг</w:t>
            </w:r>
          </w:p>
        </w:tc>
        <w:tc>
          <w:tcPr>
            <w:tcW w:w="1418" w:type="dxa"/>
            <w:vAlign w:val="center"/>
          </w:tcPr>
          <w:p w14:paraId="5DBE246F" w14:textId="77777777" w:rsidR="00124A26" w:rsidRPr="00AC3044" w:rsidRDefault="00124A26" w:rsidP="002D3EBF">
            <w:pPr>
              <w:ind w:firstLine="0"/>
              <w:rPr>
                <w:rFonts w:eastAsia="SimSun"/>
              </w:rPr>
            </w:pPr>
            <w:r w:rsidRPr="00AC3044">
              <w:rPr>
                <w:rFonts w:eastAsia="SimSun"/>
              </w:rPr>
              <w:t xml:space="preserve">+3,+4 дни </w:t>
            </w:r>
          </w:p>
        </w:tc>
        <w:tc>
          <w:tcPr>
            <w:tcW w:w="2268" w:type="dxa"/>
            <w:vAlign w:val="center"/>
          </w:tcPr>
          <w:p w14:paraId="6288958E" w14:textId="77777777" w:rsidR="00124A26" w:rsidRPr="00AC3044" w:rsidRDefault="00124A26" w:rsidP="002D3EBF">
            <w:pPr>
              <w:ind w:firstLine="0"/>
              <w:rPr>
                <w:rFonts w:eastAsia="SimSun"/>
              </w:rPr>
            </w:pPr>
            <w:r w:rsidRPr="00AC3044">
              <w:rPr>
                <w:rFonts w:eastAsia="SimSun"/>
              </w:rPr>
              <w:t>В/в, в течение 2 часов</w:t>
            </w:r>
          </w:p>
        </w:tc>
      </w:tr>
      <w:tr w:rsidR="00124A26" w:rsidRPr="00AC3044" w14:paraId="0AD85411" w14:textId="77777777" w:rsidTr="002D3EBF">
        <w:trPr>
          <w:cantSplit/>
          <w:trHeight w:val="20"/>
        </w:trPr>
        <w:tc>
          <w:tcPr>
            <w:tcW w:w="993" w:type="dxa"/>
            <w:vMerge/>
            <w:textDirection w:val="btLr"/>
          </w:tcPr>
          <w:p w14:paraId="6AA087FA" w14:textId="77777777" w:rsidR="00124A26" w:rsidRPr="00AC3044" w:rsidRDefault="00124A26" w:rsidP="002D3EBF">
            <w:pPr>
              <w:ind w:firstLine="0"/>
              <w:rPr>
                <w:rFonts w:eastAsia="SimSun"/>
              </w:rPr>
            </w:pPr>
          </w:p>
        </w:tc>
        <w:tc>
          <w:tcPr>
            <w:tcW w:w="1701" w:type="dxa"/>
            <w:vAlign w:val="center"/>
          </w:tcPr>
          <w:p w14:paraId="2B8D6B05" w14:textId="77777777" w:rsidR="00124A26" w:rsidRPr="00AC3044" w:rsidRDefault="00124A26" w:rsidP="002D3EBF">
            <w:pPr>
              <w:ind w:firstLine="0"/>
              <w:rPr>
                <w:rFonts w:eastAsia="SimSun"/>
              </w:rPr>
            </w:pPr>
            <w:r w:rsidRPr="00AC3044">
              <w:rPr>
                <w:rFonts w:eastAsia="SimSun"/>
              </w:rPr>
              <w:t>Циклоспорин</w:t>
            </w:r>
          </w:p>
        </w:tc>
        <w:tc>
          <w:tcPr>
            <w:tcW w:w="1559" w:type="dxa"/>
            <w:vAlign w:val="center"/>
          </w:tcPr>
          <w:p w14:paraId="6B4F798D" w14:textId="77777777" w:rsidR="00124A26" w:rsidRPr="00AC3044" w:rsidRDefault="00124A26" w:rsidP="002D3EBF">
            <w:pPr>
              <w:ind w:firstLine="0"/>
              <w:rPr>
                <w:rFonts w:eastAsia="SimSun"/>
              </w:rPr>
            </w:pPr>
            <w:r w:rsidRPr="00AC3044">
              <w:rPr>
                <w:rFonts w:eastAsia="SimSun"/>
              </w:rPr>
              <w:t>3 мг/кг</w:t>
            </w:r>
          </w:p>
        </w:tc>
        <w:tc>
          <w:tcPr>
            <w:tcW w:w="1701" w:type="dxa"/>
            <w:vAlign w:val="center"/>
          </w:tcPr>
          <w:p w14:paraId="62F71526" w14:textId="77777777" w:rsidR="00124A26" w:rsidRPr="00AC3044" w:rsidRDefault="00124A26" w:rsidP="002D3EBF">
            <w:pPr>
              <w:ind w:firstLine="0"/>
              <w:rPr>
                <w:rFonts w:eastAsia="SimSun"/>
              </w:rPr>
            </w:pPr>
            <w:r w:rsidRPr="00AC3044">
              <w:rPr>
                <w:rFonts w:eastAsia="SimSun"/>
              </w:rPr>
              <w:t>–</w:t>
            </w:r>
          </w:p>
        </w:tc>
        <w:tc>
          <w:tcPr>
            <w:tcW w:w="1418" w:type="dxa"/>
            <w:vAlign w:val="center"/>
          </w:tcPr>
          <w:p w14:paraId="3BF3479E" w14:textId="77777777" w:rsidR="00124A26" w:rsidRPr="00AC3044" w:rsidRDefault="00124A26" w:rsidP="002D3EBF">
            <w:pPr>
              <w:ind w:firstLine="0"/>
              <w:rPr>
                <w:rFonts w:eastAsia="SimSun"/>
              </w:rPr>
            </w:pPr>
            <w:r w:rsidRPr="00AC3044">
              <w:rPr>
                <w:rFonts w:eastAsia="SimSun"/>
              </w:rPr>
              <w:t>С +5 по +60 день, затем постепенное снижение к +100 дню</w:t>
            </w:r>
          </w:p>
        </w:tc>
        <w:tc>
          <w:tcPr>
            <w:tcW w:w="2268" w:type="dxa"/>
            <w:vAlign w:val="center"/>
          </w:tcPr>
          <w:p w14:paraId="7F0F590D" w14:textId="77777777" w:rsidR="00124A26" w:rsidRPr="00AC3044" w:rsidRDefault="00124A26"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124A26" w:rsidRPr="00AC3044" w14:paraId="3EED3853" w14:textId="77777777" w:rsidTr="002D3EBF">
        <w:trPr>
          <w:cantSplit/>
          <w:trHeight w:val="464"/>
        </w:trPr>
        <w:tc>
          <w:tcPr>
            <w:tcW w:w="993" w:type="dxa"/>
            <w:vMerge/>
          </w:tcPr>
          <w:p w14:paraId="281DCBE5" w14:textId="77777777" w:rsidR="00124A26" w:rsidRPr="00AC3044" w:rsidRDefault="00124A26" w:rsidP="002D3EBF">
            <w:pPr>
              <w:ind w:firstLine="0"/>
              <w:rPr>
                <w:rFonts w:eastAsia="SimSun"/>
              </w:rPr>
            </w:pPr>
          </w:p>
        </w:tc>
        <w:tc>
          <w:tcPr>
            <w:tcW w:w="1701" w:type="dxa"/>
            <w:vAlign w:val="center"/>
          </w:tcPr>
          <w:p w14:paraId="1A23E11E" w14:textId="77777777" w:rsidR="00124A26" w:rsidRPr="00AC3044" w:rsidRDefault="00124A26" w:rsidP="002D3EBF">
            <w:pPr>
              <w:ind w:firstLine="0"/>
              <w:rPr>
                <w:rFonts w:eastAsia="SimSun"/>
              </w:rPr>
            </w:pPr>
            <w:r w:rsidRPr="00AC3044">
              <w:rPr>
                <w:rFonts w:eastAsia="SimSun"/>
              </w:rPr>
              <w:t>Микофенолата мофетил</w:t>
            </w:r>
          </w:p>
        </w:tc>
        <w:tc>
          <w:tcPr>
            <w:tcW w:w="1559" w:type="dxa"/>
            <w:vAlign w:val="center"/>
          </w:tcPr>
          <w:p w14:paraId="6D7FF5F7" w14:textId="77777777" w:rsidR="00124A26" w:rsidRPr="00AC3044" w:rsidRDefault="00124A26" w:rsidP="002D3EBF">
            <w:pPr>
              <w:ind w:firstLine="0"/>
              <w:rPr>
                <w:rFonts w:eastAsia="SimSun"/>
              </w:rPr>
            </w:pPr>
            <w:r w:rsidRPr="00AC3044">
              <w:rPr>
                <w:rFonts w:eastAsia="SimSun"/>
              </w:rPr>
              <w:t>30 мг/кг</w:t>
            </w:r>
          </w:p>
        </w:tc>
        <w:tc>
          <w:tcPr>
            <w:tcW w:w="1701" w:type="dxa"/>
            <w:vAlign w:val="center"/>
          </w:tcPr>
          <w:p w14:paraId="610BFC2A" w14:textId="77777777" w:rsidR="00124A26" w:rsidRPr="00AC3044" w:rsidRDefault="00124A26" w:rsidP="002D3EBF">
            <w:pPr>
              <w:ind w:firstLine="0"/>
              <w:rPr>
                <w:rFonts w:eastAsia="SimSun"/>
              </w:rPr>
            </w:pPr>
            <w:r w:rsidRPr="00AC3044">
              <w:rPr>
                <w:rFonts w:eastAsia="SimSun"/>
              </w:rPr>
              <w:t>–</w:t>
            </w:r>
          </w:p>
        </w:tc>
        <w:tc>
          <w:tcPr>
            <w:tcW w:w="1418" w:type="dxa"/>
            <w:vAlign w:val="center"/>
          </w:tcPr>
          <w:p w14:paraId="23D5C5C7" w14:textId="77777777" w:rsidR="00124A26" w:rsidRPr="00AC3044" w:rsidRDefault="00124A26" w:rsidP="002D3EBF">
            <w:pPr>
              <w:ind w:firstLine="0"/>
              <w:rPr>
                <w:rFonts w:eastAsia="SimSun"/>
              </w:rPr>
            </w:pPr>
            <w:r w:rsidRPr="00AC3044">
              <w:rPr>
                <w:rFonts w:eastAsia="SimSun"/>
              </w:rPr>
              <w:t>С +5 по +30 день</w:t>
            </w:r>
          </w:p>
        </w:tc>
        <w:tc>
          <w:tcPr>
            <w:tcW w:w="2268" w:type="dxa"/>
            <w:vAlign w:val="center"/>
          </w:tcPr>
          <w:p w14:paraId="5B113A0F"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2- 4 приема (не более 3г/сут).</w:t>
            </w:r>
          </w:p>
        </w:tc>
      </w:tr>
    </w:tbl>
    <w:p w14:paraId="2D96B10E" w14:textId="77777777" w:rsidR="00124A26" w:rsidRPr="00C07B2E" w:rsidRDefault="00124A26" w:rsidP="00124A26">
      <w:pPr>
        <w:rPr>
          <w:rFonts w:eastAsia="SimSun"/>
        </w:rPr>
      </w:pPr>
    </w:p>
    <w:p w14:paraId="091324F4" w14:textId="77777777" w:rsidR="00124A26" w:rsidRPr="00042499" w:rsidRDefault="00124A26" w:rsidP="00124A26">
      <w:pPr>
        <w:rPr>
          <w:rFonts w:eastAsia="SimSun"/>
          <w:lang w:val="en-US"/>
        </w:rPr>
      </w:pPr>
      <w:bookmarkStart w:id="222" w:name="_Toc44401179"/>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1.2.21  – </w:t>
      </w:r>
      <w:r w:rsidRPr="007A1AC4">
        <w:rPr>
          <w:rFonts w:eastAsia="SimSun"/>
          <w:lang w:val="en-US"/>
        </w:rPr>
        <w:t>Flu</w:t>
      </w:r>
      <w:r w:rsidRPr="00042499">
        <w:rPr>
          <w:rFonts w:eastAsia="SimSun"/>
          <w:lang w:val="en-US"/>
        </w:rPr>
        <w:t>150+</w:t>
      </w:r>
      <w:r w:rsidRPr="007A1AC4">
        <w:rPr>
          <w:rFonts w:eastAsia="SimSun"/>
          <w:lang w:val="en-US"/>
        </w:rPr>
        <w:t>Thio</w:t>
      </w:r>
      <w:r w:rsidRPr="00042499">
        <w:rPr>
          <w:rFonts w:eastAsia="SimSun"/>
          <w:lang w:val="en-US"/>
        </w:rPr>
        <w:t xml:space="preserve"> / </w:t>
      </w:r>
      <w:r w:rsidRPr="007A1AC4">
        <w:rPr>
          <w:rFonts w:eastAsia="SimSun"/>
          <w:lang w:val="en-US"/>
        </w:rPr>
        <w:t>hATG</w:t>
      </w:r>
      <w:r w:rsidRPr="00042499">
        <w:rPr>
          <w:rFonts w:eastAsia="SimSun"/>
          <w:lang w:val="en-US"/>
        </w:rPr>
        <w:t>+</w:t>
      </w:r>
      <w:r w:rsidRPr="007A1AC4">
        <w:rPr>
          <w:rFonts w:eastAsia="SimSun"/>
          <w:lang w:val="en-US"/>
        </w:rPr>
        <w:t>Tx</w:t>
      </w:r>
      <w:r w:rsidRPr="00042499">
        <w:rPr>
          <w:rFonts w:eastAsia="SimSun"/>
          <w:lang w:val="en-US"/>
        </w:rPr>
        <w:t>+</w:t>
      </w:r>
      <w:r w:rsidRPr="007A1AC4">
        <w:rPr>
          <w:rFonts w:eastAsia="SimSun"/>
          <w:lang w:val="en-US"/>
        </w:rPr>
        <w:t>MMF</w:t>
      </w:r>
      <w:r w:rsidRPr="00042499">
        <w:rPr>
          <w:rFonts w:eastAsia="SimSun"/>
          <w:lang w:val="en-US"/>
        </w:rPr>
        <w:t>30</w:t>
      </w:r>
      <w:bookmarkEnd w:id="222"/>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124A26" w:rsidRPr="00AC3044" w14:paraId="66B36287" w14:textId="77777777" w:rsidTr="002D3EBF">
        <w:trPr>
          <w:cantSplit/>
          <w:trHeight w:val="20"/>
          <w:tblHeader/>
        </w:trPr>
        <w:tc>
          <w:tcPr>
            <w:tcW w:w="959" w:type="dxa"/>
            <w:vAlign w:val="center"/>
          </w:tcPr>
          <w:p w14:paraId="3E7D6754" w14:textId="77777777" w:rsidR="00124A26" w:rsidRPr="007A1AC4" w:rsidRDefault="00124A26" w:rsidP="002D3EBF">
            <w:pPr>
              <w:ind w:firstLine="0"/>
              <w:rPr>
                <w:rFonts w:eastAsia="SimSun"/>
                <w:lang w:val="en-US"/>
              </w:rPr>
            </w:pPr>
          </w:p>
        </w:tc>
        <w:tc>
          <w:tcPr>
            <w:tcW w:w="1701" w:type="dxa"/>
            <w:vAlign w:val="center"/>
          </w:tcPr>
          <w:p w14:paraId="6BF1CE51" w14:textId="77777777" w:rsidR="00124A26" w:rsidRPr="00AC3044" w:rsidRDefault="00124A26" w:rsidP="002D3EBF">
            <w:pPr>
              <w:ind w:firstLine="0"/>
              <w:rPr>
                <w:rFonts w:eastAsia="SimSun"/>
              </w:rPr>
            </w:pPr>
            <w:r w:rsidRPr="00AC3044">
              <w:rPr>
                <w:rFonts w:eastAsia="SimSun"/>
              </w:rPr>
              <w:t>Препарат</w:t>
            </w:r>
          </w:p>
        </w:tc>
        <w:tc>
          <w:tcPr>
            <w:tcW w:w="1559" w:type="dxa"/>
            <w:vAlign w:val="center"/>
          </w:tcPr>
          <w:p w14:paraId="3684DA3C" w14:textId="77777777" w:rsidR="00124A26" w:rsidRPr="00AC3044" w:rsidRDefault="00124A26" w:rsidP="002D3EBF">
            <w:pPr>
              <w:ind w:firstLine="0"/>
              <w:rPr>
                <w:rFonts w:eastAsia="SimSun"/>
              </w:rPr>
            </w:pPr>
            <w:r w:rsidRPr="00AC3044">
              <w:rPr>
                <w:rFonts w:eastAsia="SimSun"/>
              </w:rPr>
              <w:t>Суточная доза</w:t>
            </w:r>
          </w:p>
        </w:tc>
        <w:tc>
          <w:tcPr>
            <w:tcW w:w="1701" w:type="dxa"/>
            <w:vAlign w:val="center"/>
          </w:tcPr>
          <w:p w14:paraId="21B4FD5A" w14:textId="77777777" w:rsidR="00124A26" w:rsidRPr="00AC3044" w:rsidRDefault="00124A26" w:rsidP="002D3EBF">
            <w:pPr>
              <w:ind w:firstLine="0"/>
              <w:rPr>
                <w:rFonts w:eastAsia="SimSun"/>
              </w:rPr>
            </w:pPr>
            <w:r w:rsidRPr="00AC3044">
              <w:rPr>
                <w:rFonts w:eastAsia="SimSun"/>
              </w:rPr>
              <w:t>Курсовая доза</w:t>
            </w:r>
          </w:p>
        </w:tc>
        <w:tc>
          <w:tcPr>
            <w:tcW w:w="1418" w:type="dxa"/>
            <w:vAlign w:val="center"/>
          </w:tcPr>
          <w:p w14:paraId="37681919" w14:textId="77777777" w:rsidR="00124A26" w:rsidRPr="00AC3044" w:rsidRDefault="00124A26" w:rsidP="002D3EBF">
            <w:pPr>
              <w:ind w:firstLine="0"/>
              <w:rPr>
                <w:rFonts w:eastAsia="SimSun"/>
              </w:rPr>
            </w:pPr>
            <w:r w:rsidRPr="00AC3044">
              <w:rPr>
                <w:rFonts w:eastAsia="SimSun"/>
              </w:rPr>
              <w:t>Дни введения</w:t>
            </w:r>
          </w:p>
        </w:tc>
        <w:tc>
          <w:tcPr>
            <w:tcW w:w="2268" w:type="dxa"/>
            <w:vAlign w:val="center"/>
          </w:tcPr>
          <w:p w14:paraId="2F979EC9"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28ECF2B0" w14:textId="77777777" w:rsidTr="002D3EBF">
        <w:trPr>
          <w:cantSplit/>
          <w:trHeight w:val="20"/>
        </w:trPr>
        <w:tc>
          <w:tcPr>
            <w:tcW w:w="959" w:type="dxa"/>
            <w:vMerge w:val="restart"/>
            <w:textDirection w:val="btLr"/>
            <w:vAlign w:val="center"/>
          </w:tcPr>
          <w:p w14:paraId="0AD7C943" w14:textId="77777777" w:rsidR="00124A26" w:rsidRPr="00AC3044" w:rsidRDefault="00124A26" w:rsidP="002D3EBF">
            <w:pPr>
              <w:ind w:firstLine="0"/>
              <w:rPr>
                <w:rFonts w:eastAsia="SimSun"/>
              </w:rPr>
            </w:pPr>
            <w:r w:rsidRPr="00AC3044">
              <w:rPr>
                <w:rFonts w:eastAsia="SimSun"/>
              </w:rPr>
              <w:t>Кондиционирование</w:t>
            </w:r>
          </w:p>
        </w:tc>
        <w:tc>
          <w:tcPr>
            <w:tcW w:w="1701" w:type="dxa"/>
            <w:vAlign w:val="center"/>
          </w:tcPr>
          <w:p w14:paraId="1350B841" w14:textId="77777777" w:rsidR="00124A26" w:rsidRPr="00AC3044" w:rsidRDefault="00124A26" w:rsidP="002D3EBF">
            <w:pPr>
              <w:ind w:firstLine="0"/>
              <w:rPr>
                <w:rFonts w:eastAsia="SimSun"/>
              </w:rPr>
            </w:pPr>
            <w:r w:rsidRPr="00AC3044">
              <w:rPr>
                <w:rFonts w:eastAsia="SimSun"/>
              </w:rPr>
              <w:t xml:space="preserve">Флударабин </w:t>
            </w:r>
          </w:p>
        </w:tc>
        <w:tc>
          <w:tcPr>
            <w:tcW w:w="1559" w:type="dxa"/>
            <w:vAlign w:val="center"/>
          </w:tcPr>
          <w:p w14:paraId="1AB94FD6" w14:textId="77777777" w:rsidR="00124A26" w:rsidRPr="00AC3044" w:rsidRDefault="00124A26" w:rsidP="002D3EBF">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52387D63" w14:textId="77777777" w:rsidR="00124A26" w:rsidRPr="00AC3044" w:rsidRDefault="00124A26" w:rsidP="002D3EBF">
            <w:pPr>
              <w:ind w:firstLine="0"/>
              <w:rPr>
                <w:rFonts w:eastAsia="SimSun"/>
              </w:rPr>
            </w:pPr>
            <w:r w:rsidRPr="00AC3044">
              <w:rPr>
                <w:rFonts w:eastAsia="SimSun"/>
              </w:rPr>
              <w:t>150 мг/м</w:t>
            </w:r>
            <w:r w:rsidRPr="001E6DBE">
              <w:rPr>
                <w:rFonts w:eastAsia="SimSun"/>
                <w:vertAlign w:val="superscript"/>
              </w:rPr>
              <w:t>2</w:t>
            </w:r>
          </w:p>
        </w:tc>
        <w:tc>
          <w:tcPr>
            <w:tcW w:w="1418" w:type="dxa"/>
            <w:vAlign w:val="center"/>
          </w:tcPr>
          <w:p w14:paraId="5C2F2517" w14:textId="77777777" w:rsidR="00124A26" w:rsidRPr="00AC3044" w:rsidRDefault="00124A26" w:rsidP="002D3EBF">
            <w:pPr>
              <w:ind w:firstLine="0"/>
              <w:rPr>
                <w:rFonts w:eastAsia="SimSun"/>
              </w:rPr>
            </w:pPr>
            <w:r w:rsidRPr="00AC3044">
              <w:rPr>
                <w:rFonts w:eastAsia="SimSun"/>
              </w:rPr>
              <w:t>С -6 дня по -2 день</w:t>
            </w:r>
          </w:p>
        </w:tc>
        <w:tc>
          <w:tcPr>
            <w:tcW w:w="2268" w:type="dxa"/>
            <w:vAlign w:val="center"/>
          </w:tcPr>
          <w:p w14:paraId="17AED34D"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2A00BF4E" w14:textId="77777777" w:rsidTr="002D3EBF">
        <w:trPr>
          <w:cantSplit/>
          <w:trHeight w:val="574"/>
        </w:trPr>
        <w:tc>
          <w:tcPr>
            <w:tcW w:w="959" w:type="dxa"/>
            <w:vMerge/>
            <w:vAlign w:val="center"/>
          </w:tcPr>
          <w:p w14:paraId="252708E1" w14:textId="77777777" w:rsidR="00124A26" w:rsidRPr="00AC3044" w:rsidRDefault="00124A26" w:rsidP="002D3EBF">
            <w:pPr>
              <w:ind w:firstLine="0"/>
              <w:rPr>
                <w:rFonts w:eastAsia="SimSun"/>
              </w:rPr>
            </w:pPr>
          </w:p>
        </w:tc>
        <w:tc>
          <w:tcPr>
            <w:tcW w:w="1701" w:type="dxa"/>
            <w:vAlign w:val="center"/>
          </w:tcPr>
          <w:p w14:paraId="658C6964" w14:textId="77777777" w:rsidR="00124A26" w:rsidRPr="00AC3044" w:rsidRDefault="00124A26" w:rsidP="002D3EBF">
            <w:pPr>
              <w:ind w:firstLine="0"/>
              <w:rPr>
                <w:rFonts w:eastAsia="SimSun"/>
              </w:rPr>
            </w:pPr>
            <w:r w:rsidRPr="00AC3044">
              <w:rPr>
                <w:rFonts w:eastAsia="SimSun"/>
              </w:rPr>
              <w:t>Тиотепа</w:t>
            </w:r>
          </w:p>
        </w:tc>
        <w:tc>
          <w:tcPr>
            <w:tcW w:w="1559" w:type="dxa"/>
            <w:vAlign w:val="center"/>
          </w:tcPr>
          <w:p w14:paraId="56B4105F" w14:textId="77777777" w:rsidR="00124A26" w:rsidRPr="00AC3044" w:rsidRDefault="00124A26" w:rsidP="002D3EBF">
            <w:pPr>
              <w:ind w:firstLine="0"/>
              <w:rPr>
                <w:rFonts w:eastAsia="SimSun"/>
              </w:rPr>
            </w:pPr>
            <w:r w:rsidRPr="00AC3044">
              <w:rPr>
                <w:rFonts w:eastAsia="SimSun"/>
              </w:rPr>
              <w:t>5 мг/м</w:t>
            </w:r>
            <w:r w:rsidRPr="001E6DBE">
              <w:rPr>
                <w:rFonts w:eastAsia="SimSun"/>
                <w:vertAlign w:val="superscript"/>
              </w:rPr>
              <w:t>2</w:t>
            </w:r>
            <w:r w:rsidRPr="00AC3044">
              <w:rPr>
                <w:rFonts w:eastAsia="SimSun"/>
              </w:rPr>
              <w:t xml:space="preserve"> </w:t>
            </w:r>
          </w:p>
        </w:tc>
        <w:tc>
          <w:tcPr>
            <w:tcW w:w="1701" w:type="dxa"/>
            <w:vAlign w:val="center"/>
          </w:tcPr>
          <w:p w14:paraId="54E4EDB1" w14:textId="77777777" w:rsidR="00124A26" w:rsidRPr="00AC3044" w:rsidRDefault="00124A26" w:rsidP="002D3EBF">
            <w:pPr>
              <w:ind w:firstLine="0"/>
              <w:rPr>
                <w:rFonts w:eastAsia="SimSun"/>
              </w:rPr>
            </w:pPr>
            <w:r w:rsidRPr="00AC3044">
              <w:rPr>
                <w:rFonts w:eastAsia="SimSun"/>
              </w:rPr>
              <w:t>10 мг/м</w:t>
            </w:r>
            <w:r w:rsidRPr="001E6DBE">
              <w:rPr>
                <w:rFonts w:eastAsia="SimSun"/>
                <w:vertAlign w:val="superscript"/>
              </w:rPr>
              <w:t>2</w:t>
            </w:r>
          </w:p>
        </w:tc>
        <w:tc>
          <w:tcPr>
            <w:tcW w:w="1418" w:type="dxa"/>
            <w:vAlign w:val="center"/>
          </w:tcPr>
          <w:p w14:paraId="6D7F8FB1" w14:textId="77777777" w:rsidR="00124A26" w:rsidRPr="00AC3044" w:rsidRDefault="00124A26" w:rsidP="002D3EBF">
            <w:pPr>
              <w:ind w:firstLine="0"/>
              <w:rPr>
                <w:rFonts w:eastAsia="SimSun"/>
              </w:rPr>
            </w:pPr>
            <w:r w:rsidRPr="00AC3044">
              <w:rPr>
                <w:rFonts w:eastAsia="SimSun"/>
              </w:rPr>
              <w:t xml:space="preserve"> Дни -5; -4  </w:t>
            </w:r>
          </w:p>
        </w:tc>
        <w:tc>
          <w:tcPr>
            <w:tcW w:w="2268" w:type="dxa"/>
            <w:vAlign w:val="center"/>
          </w:tcPr>
          <w:p w14:paraId="51B864D2" w14:textId="77777777" w:rsidR="00124A26" w:rsidRPr="00AC3044" w:rsidRDefault="00124A26" w:rsidP="002D3EBF">
            <w:pPr>
              <w:ind w:firstLine="0"/>
              <w:rPr>
                <w:rFonts w:eastAsia="SimSun"/>
              </w:rPr>
            </w:pPr>
            <w:r w:rsidRPr="00AC3044">
              <w:rPr>
                <w:rFonts w:eastAsia="SimSun"/>
              </w:rPr>
              <w:t>В/в, в течение 2 ч</w:t>
            </w:r>
          </w:p>
        </w:tc>
      </w:tr>
      <w:tr w:rsidR="00124A26" w:rsidRPr="00AC3044" w14:paraId="63F5CACB" w14:textId="77777777" w:rsidTr="002D3EBF">
        <w:trPr>
          <w:cantSplit/>
          <w:trHeight w:val="695"/>
        </w:trPr>
        <w:tc>
          <w:tcPr>
            <w:tcW w:w="959" w:type="dxa"/>
            <w:vMerge w:val="restart"/>
            <w:textDirection w:val="btLr"/>
            <w:vAlign w:val="center"/>
          </w:tcPr>
          <w:p w14:paraId="79B7E634" w14:textId="77777777" w:rsidR="00124A26" w:rsidRPr="00AC3044" w:rsidRDefault="00124A26" w:rsidP="002D3EBF">
            <w:pPr>
              <w:ind w:firstLine="0"/>
              <w:rPr>
                <w:rFonts w:eastAsia="SimSun"/>
              </w:rPr>
            </w:pPr>
            <w:r w:rsidRPr="00AC3044">
              <w:rPr>
                <w:rFonts w:eastAsia="SimSun"/>
              </w:rPr>
              <w:t>Профилактика РТПХ</w:t>
            </w:r>
          </w:p>
        </w:tc>
        <w:tc>
          <w:tcPr>
            <w:tcW w:w="1701" w:type="dxa"/>
            <w:vAlign w:val="center"/>
          </w:tcPr>
          <w:p w14:paraId="1F07550D" w14:textId="77777777" w:rsidR="00124A26" w:rsidRPr="00AC3044" w:rsidRDefault="00124A26" w:rsidP="002D3EBF">
            <w:pPr>
              <w:ind w:firstLine="0"/>
              <w:rPr>
                <w:rFonts w:eastAsia="SimSun"/>
              </w:rPr>
            </w:pPr>
            <w:r w:rsidRPr="00AC3044">
              <w:rPr>
                <w:rFonts w:eastAsia="SimSun"/>
              </w:rPr>
              <w:t>АТГ (лошадиный)</w:t>
            </w:r>
          </w:p>
        </w:tc>
        <w:tc>
          <w:tcPr>
            <w:tcW w:w="1559" w:type="dxa"/>
            <w:vAlign w:val="center"/>
          </w:tcPr>
          <w:p w14:paraId="77568672" w14:textId="77777777" w:rsidR="00124A26" w:rsidRPr="00AC3044" w:rsidRDefault="00124A26" w:rsidP="002D3EBF">
            <w:pPr>
              <w:ind w:firstLine="0"/>
              <w:rPr>
                <w:rFonts w:eastAsia="SimSun"/>
              </w:rPr>
            </w:pPr>
            <w:r w:rsidRPr="00AC3044">
              <w:rPr>
                <w:rFonts w:eastAsia="SimSun"/>
              </w:rPr>
              <w:t>20 мг/кг</w:t>
            </w:r>
          </w:p>
        </w:tc>
        <w:tc>
          <w:tcPr>
            <w:tcW w:w="1701" w:type="dxa"/>
            <w:vAlign w:val="center"/>
          </w:tcPr>
          <w:p w14:paraId="4D70C27E" w14:textId="77777777" w:rsidR="00124A26" w:rsidRPr="00AC3044" w:rsidRDefault="00124A26" w:rsidP="002D3EBF">
            <w:pPr>
              <w:ind w:firstLine="0"/>
              <w:rPr>
                <w:rFonts w:eastAsia="SimSun"/>
              </w:rPr>
            </w:pPr>
            <w:r w:rsidRPr="00AC3044">
              <w:rPr>
                <w:rFonts w:eastAsia="SimSun"/>
              </w:rPr>
              <w:t>60 мг/кг</w:t>
            </w:r>
          </w:p>
        </w:tc>
        <w:tc>
          <w:tcPr>
            <w:tcW w:w="1418" w:type="dxa"/>
            <w:vAlign w:val="center"/>
          </w:tcPr>
          <w:p w14:paraId="79E23802" w14:textId="77777777" w:rsidR="00124A26" w:rsidRPr="00AC3044" w:rsidRDefault="00124A26" w:rsidP="002D3EBF">
            <w:pPr>
              <w:ind w:firstLine="0"/>
              <w:rPr>
                <w:rFonts w:eastAsia="SimSun"/>
              </w:rPr>
            </w:pPr>
            <w:r w:rsidRPr="00AC3044">
              <w:rPr>
                <w:rFonts w:eastAsia="SimSun"/>
              </w:rPr>
              <w:t>В дни -3, -2, -1</w:t>
            </w:r>
          </w:p>
        </w:tc>
        <w:tc>
          <w:tcPr>
            <w:tcW w:w="2268" w:type="dxa"/>
            <w:vAlign w:val="center"/>
          </w:tcPr>
          <w:p w14:paraId="768B9591" w14:textId="77777777" w:rsidR="00124A26" w:rsidRPr="00AC3044" w:rsidRDefault="00124A26" w:rsidP="002D3EBF">
            <w:pPr>
              <w:ind w:firstLine="0"/>
              <w:rPr>
                <w:rFonts w:eastAsia="SimSun"/>
              </w:rPr>
            </w:pPr>
            <w:r w:rsidRPr="00AC3044">
              <w:rPr>
                <w:rFonts w:eastAsia="SimSun"/>
              </w:rPr>
              <w:t>В/в. Суточная доза разделяется на 2 введения (см.</w:t>
            </w:r>
            <w:r>
              <w:rPr>
                <w:rFonts w:eastAsia="SimSun"/>
              </w:rPr>
              <w:t xml:space="preserve"> </w:t>
            </w:r>
            <w:r w:rsidRPr="00AC3044">
              <w:rPr>
                <w:rFonts w:eastAsia="SimSun"/>
              </w:rPr>
              <w:t>«Инфузия АТГ»)</w:t>
            </w:r>
          </w:p>
        </w:tc>
      </w:tr>
      <w:tr w:rsidR="00124A26" w:rsidRPr="00AC3044" w14:paraId="0694638E" w14:textId="77777777" w:rsidTr="002D3EBF">
        <w:trPr>
          <w:cantSplit/>
          <w:trHeight w:val="958"/>
        </w:trPr>
        <w:tc>
          <w:tcPr>
            <w:tcW w:w="959" w:type="dxa"/>
            <w:vMerge/>
            <w:textDirection w:val="btLr"/>
            <w:vAlign w:val="center"/>
          </w:tcPr>
          <w:p w14:paraId="6771B5F8" w14:textId="77777777" w:rsidR="00124A26" w:rsidRPr="00AC3044" w:rsidRDefault="00124A26" w:rsidP="002D3EBF">
            <w:pPr>
              <w:ind w:firstLine="0"/>
              <w:rPr>
                <w:rFonts w:eastAsia="SimSun"/>
              </w:rPr>
            </w:pPr>
          </w:p>
        </w:tc>
        <w:tc>
          <w:tcPr>
            <w:tcW w:w="1701" w:type="dxa"/>
            <w:vAlign w:val="center"/>
          </w:tcPr>
          <w:p w14:paraId="105EDE56" w14:textId="77777777" w:rsidR="00124A26" w:rsidRPr="00AC3044" w:rsidRDefault="00124A26" w:rsidP="002D3EBF">
            <w:pPr>
              <w:ind w:firstLine="0"/>
              <w:rPr>
                <w:rFonts w:eastAsia="SimSun"/>
              </w:rPr>
            </w:pPr>
            <w:r w:rsidRPr="00AC3044">
              <w:rPr>
                <w:rFonts w:eastAsia="SimSun"/>
              </w:rPr>
              <w:t xml:space="preserve">Такролимус </w:t>
            </w:r>
          </w:p>
        </w:tc>
        <w:tc>
          <w:tcPr>
            <w:tcW w:w="1559" w:type="dxa"/>
            <w:vAlign w:val="center"/>
          </w:tcPr>
          <w:p w14:paraId="22844AA8" w14:textId="77777777" w:rsidR="00124A26" w:rsidRPr="00AC3044" w:rsidRDefault="00124A26" w:rsidP="002D3EBF">
            <w:pPr>
              <w:ind w:firstLine="0"/>
              <w:rPr>
                <w:rFonts w:eastAsia="SimSun"/>
              </w:rPr>
            </w:pPr>
            <w:r w:rsidRPr="00AC3044">
              <w:rPr>
                <w:rFonts w:eastAsia="SimSun"/>
              </w:rPr>
              <w:t>0,03 мг/кг</w:t>
            </w:r>
          </w:p>
        </w:tc>
        <w:tc>
          <w:tcPr>
            <w:tcW w:w="1701" w:type="dxa"/>
            <w:vAlign w:val="center"/>
          </w:tcPr>
          <w:p w14:paraId="4830D876" w14:textId="77777777" w:rsidR="00124A26" w:rsidRPr="00AC3044" w:rsidRDefault="00124A26" w:rsidP="002D3EBF">
            <w:pPr>
              <w:ind w:firstLine="0"/>
              <w:rPr>
                <w:rFonts w:eastAsia="SimSun"/>
              </w:rPr>
            </w:pPr>
            <w:r w:rsidRPr="00AC3044">
              <w:rPr>
                <w:rFonts w:eastAsia="SimSun"/>
              </w:rPr>
              <w:t>–</w:t>
            </w:r>
          </w:p>
        </w:tc>
        <w:tc>
          <w:tcPr>
            <w:tcW w:w="1418" w:type="dxa"/>
            <w:vAlign w:val="center"/>
          </w:tcPr>
          <w:p w14:paraId="14ED0102" w14:textId="77777777" w:rsidR="00124A26" w:rsidRPr="00AC3044" w:rsidRDefault="00124A26" w:rsidP="002D3EBF">
            <w:pPr>
              <w:ind w:firstLine="0"/>
              <w:rPr>
                <w:rFonts w:eastAsia="SimSun"/>
              </w:rPr>
            </w:pPr>
            <w:r w:rsidRPr="00AC3044">
              <w:rPr>
                <w:rFonts w:eastAsia="SimSun"/>
              </w:rPr>
              <w:t xml:space="preserve">С -1 дня длительно </w:t>
            </w:r>
          </w:p>
        </w:tc>
        <w:tc>
          <w:tcPr>
            <w:tcW w:w="2268" w:type="dxa"/>
            <w:vAlign w:val="center"/>
          </w:tcPr>
          <w:p w14:paraId="634C70E8" w14:textId="77777777" w:rsidR="00124A26" w:rsidRPr="00AC3044" w:rsidRDefault="00124A26"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124A26" w:rsidRPr="00AC3044" w14:paraId="0A3956F6" w14:textId="77777777" w:rsidTr="002D3EBF">
        <w:trPr>
          <w:cantSplit/>
          <w:trHeight w:val="986"/>
        </w:trPr>
        <w:tc>
          <w:tcPr>
            <w:tcW w:w="959" w:type="dxa"/>
            <w:vMerge/>
            <w:textDirection w:val="btLr"/>
            <w:vAlign w:val="center"/>
          </w:tcPr>
          <w:p w14:paraId="05BBE7F3" w14:textId="77777777" w:rsidR="00124A26" w:rsidRPr="00AC3044" w:rsidRDefault="00124A26" w:rsidP="002D3EBF">
            <w:pPr>
              <w:ind w:firstLine="0"/>
              <w:rPr>
                <w:rFonts w:eastAsia="SimSun"/>
              </w:rPr>
            </w:pPr>
          </w:p>
        </w:tc>
        <w:tc>
          <w:tcPr>
            <w:tcW w:w="1701" w:type="dxa"/>
            <w:vAlign w:val="center"/>
          </w:tcPr>
          <w:p w14:paraId="14BE12F2" w14:textId="77777777" w:rsidR="00124A26" w:rsidRPr="00AC3044" w:rsidRDefault="00124A26" w:rsidP="002D3EBF">
            <w:pPr>
              <w:ind w:firstLine="0"/>
              <w:rPr>
                <w:rFonts w:eastAsia="SimSun"/>
              </w:rPr>
            </w:pPr>
            <w:r w:rsidRPr="00AC3044">
              <w:rPr>
                <w:rFonts w:eastAsia="SimSun"/>
              </w:rPr>
              <w:t>Микофенолата мофетил</w:t>
            </w:r>
          </w:p>
        </w:tc>
        <w:tc>
          <w:tcPr>
            <w:tcW w:w="1559" w:type="dxa"/>
            <w:vAlign w:val="center"/>
          </w:tcPr>
          <w:p w14:paraId="5AE99432" w14:textId="77777777" w:rsidR="00124A26" w:rsidRPr="00AC3044" w:rsidRDefault="00124A26" w:rsidP="002D3EBF">
            <w:pPr>
              <w:ind w:firstLine="0"/>
              <w:rPr>
                <w:rFonts w:eastAsia="SimSun"/>
              </w:rPr>
            </w:pPr>
            <w:r w:rsidRPr="00AC3044">
              <w:rPr>
                <w:rFonts w:eastAsia="SimSun"/>
              </w:rPr>
              <w:t xml:space="preserve">30 мг/кг </w:t>
            </w:r>
          </w:p>
        </w:tc>
        <w:tc>
          <w:tcPr>
            <w:tcW w:w="1701" w:type="dxa"/>
            <w:vAlign w:val="center"/>
          </w:tcPr>
          <w:p w14:paraId="4DE72A8A" w14:textId="77777777" w:rsidR="00124A26" w:rsidRPr="00AC3044" w:rsidRDefault="00124A26" w:rsidP="002D3EBF">
            <w:pPr>
              <w:ind w:firstLine="0"/>
              <w:rPr>
                <w:rFonts w:eastAsia="SimSun"/>
              </w:rPr>
            </w:pPr>
            <w:r w:rsidRPr="00AC3044">
              <w:rPr>
                <w:rFonts w:eastAsia="SimSun"/>
              </w:rPr>
              <w:t>–</w:t>
            </w:r>
          </w:p>
        </w:tc>
        <w:tc>
          <w:tcPr>
            <w:tcW w:w="1418" w:type="dxa"/>
            <w:vAlign w:val="center"/>
          </w:tcPr>
          <w:p w14:paraId="3857CAF2" w14:textId="77777777" w:rsidR="00124A26" w:rsidRPr="00AC3044" w:rsidRDefault="00124A26" w:rsidP="002D3EBF">
            <w:pPr>
              <w:ind w:firstLine="0"/>
              <w:rPr>
                <w:rFonts w:eastAsia="SimSun"/>
              </w:rPr>
            </w:pPr>
            <w:r w:rsidRPr="00AC3044">
              <w:rPr>
                <w:rFonts w:eastAsia="SimSun"/>
              </w:rPr>
              <w:t xml:space="preserve">С -1 дня по +30 день </w:t>
            </w:r>
          </w:p>
        </w:tc>
        <w:tc>
          <w:tcPr>
            <w:tcW w:w="2268" w:type="dxa"/>
            <w:vAlign w:val="center"/>
          </w:tcPr>
          <w:p w14:paraId="1B118573" w14:textId="77777777" w:rsidR="00124A26" w:rsidRPr="00AC3044" w:rsidRDefault="00124A26"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54C9C819" w14:textId="77777777" w:rsidR="00124A26" w:rsidRDefault="00124A26" w:rsidP="00124A26">
      <w:pPr>
        <w:rPr>
          <w:rFonts w:eastAsia="SimSun"/>
        </w:rPr>
      </w:pPr>
      <w:bookmarkStart w:id="223" w:name="_Toc44401180"/>
    </w:p>
    <w:p w14:paraId="5C0E51C7" w14:textId="77777777" w:rsidR="00124A26" w:rsidRPr="00C07B2E" w:rsidRDefault="00124A26" w:rsidP="00124A26">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1.2.22  – Flu180+Cy1200/ hATG+Tx+MMF30</w:t>
      </w:r>
      <w:bookmarkEnd w:id="223"/>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124A26" w:rsidRPr="00AC3044" w14:paraId="07EB5078" w14:textId="77777777" w:rsidTr="002D3EBF">
        <w:trPr>
          <w:cantSplit/>
          <w:trHeight w:val="20"/>
          <w:tblHeader/>
        </w:trPr>
        <w:tc>
          <w:tcPr>
            <w:tcW w:w="959" w:type="dxa"/>
            <w:vAlign w:val="center"/>
          </w:tcPr>
          <w:p w14:paraId="2C64324F" w14:textId="77777777" w:rsidR="00124A26" w:rsidRPr="00AC3044" w:rsidRDefault="00124A26" w:rsidP="002D3EBF">
            <w:pPr>
              <w:ind w:firstLine="0"/>
              <w:rPr>
                <w:rFonts w:eastAsia="SimSun"/>
              </w:rPr>
            </w:pPr>
          </w:p>
        </w:tc>
        <w:tc>
          <w:tcPr>
            <w:tcW w:w="1701" w:type="dxa"/>
            <w:vAlign w:val="center"/>
          </w:tcPr>
          <w:p w14:paraId="1AEAD393" w14:textId="77777777" w:rsidR="00124A26" w:rsidRPr="00AC3044" w:rsidRDefault="00124A26" w:rsidP="002D3EBF">
            <w:pPr>
              <w:ind w:firstLine="0"/>
              <w:rPr>
                <w:rFonts w:eastAsia="SimSun"/>
              </w:rPr>
            </w:pPr>
            <w:r w:rsidRPr="00AC3044">
              <w:rPr>
                <w:rFonts w:eastAsia="SimSun"/>
              </w:rPr>
              <w:t>Препарат</w:t>
            </w:r>
          </w:p>
        </w:tc>
        <w:tc>
          <w:tcPr>
            <w:tcW w:w="1559" w:type="dxa"/>
            <w:vAlign w:val="center"/>
          </w:tcPr>
          <w:p w14:paraId="3DC35DD5" w14:textId="77777777" w:rsidR="00124A26" w:rsidRPr="00AC3044" w:rsidRDefault="00124A26" w:rsidP="002D3EBF">
            <w:pPr>
              <w:ind w:firstLine="0"/>
              <w:rPr>
                <w:rFonts w:eastAsia="SimSun"/>
              </w:rPr>
            </w:pPr>
            <w:r w:rsidRPr="00AC3044">
              <w:rPr>
                <w:rFonts w:eastAsia="SimSun"/>
              </w:rPr>
              <w:t>Суточная доза</w:t>
            </w:r>
          </w:p>
        </w:tc>
        <w:tc>
          <w:tcPr>
            <w:tcW w:w="1701" w:type="dxa"/>
            <w:vAlign w:val="center"/>
          </w:tcPr>
          <w:p w14:paraId="0AF38D66" w14:textId="77777777" w:rsidR="00124A26" w:rsidRPr="00AC3044" w:rsidRDefault="00124A26" w:rsidP="002D3EBF">
            <w:pPr>
              <w:ind w:firstLine="0"/>
              <w:rPr>
                <w:rFonts w:eastAsia="SimSun"/>
              </w:rPr>
            </w:pPr>
            <w:r w:rsidRPr="00AC3044">
              <w:rPr>
                <w:rFonts w:eastAsia="SimSun"/>
              </w:rPr>
              <w:t>Курсовая доза</w:t>
            </w:r>
          </w:p>
        </w:tc>
        <w:tc>
          <w:tcPr>
            <w:tcW w:w="1418" w:type="dxa"/>
            <w:vAlign w:val="center"/>
          </w:tcPr>
          <w:p w14:paraId="3C842D70" w14:textId="77777777" w:rsidR="00124A26" w:rsidRPr="00AC3044" w:rsidRDefault="00124A26" w:rsidP="002D3EBF">
            <w:pPr>
              <w:ind w:firstLine="0"/>
              <w:rPr>
                <w:rFonts w:eastAsia="SimSun"/>
              </w:rPr>
            </w:pPr>
            <w:r w:rsidRPr="00AC3044">
              <w:rPr>
                <w:rFonts w:eastAsia="SimSun"/>
              </w:rPr>
              <w:t>Дни введения</w:t>
            </w:r>
          </w:p>
        </w:tc>
        <w:tc>
          <w:tcPr>
            <w:tcW w:w="2268" w:type="dxa"/>
            <w:vAlign w:val="center"/>
          </w:tcPr>
          <w:p w14:paraId="35D0020C"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5492F4D0" w14:textId="77777777" w:rsidTr="002D3EBF">
        <w:trPr>
          <w:cantSplit/>
          <w:trHeight w:val="20"/>
        </w:trPr>
        <w:tc>
          <w:tcPr>
            <w:tcW w:w="959" w:type="dxa"/>
            <w:vMerge w:val="restart"/>
            <w:textDirection w:val="btLr"/>
            <w:vAlign w:val="center"/>
          </w:tcPr>
          <w:p w14:paraId="697AB15B" w14:textId="77777777" w:rsidR="00124A26" w:rsidRPr="00AC3044" w:rsidRDefault="00124A26" w:rsidP="002D3EBF">
            <w:pPr>
              <w:ind w:firstLine="0"/>
              <w:rPr>
                <w:rFonts w:eastAsia="SimSun"/>
              </w:rPr>
            </w:pPr>
            <w:r w:rsidRPr="00AC3044">
              <w:rPr>
                <w:rFonts w:eastAsia="SimSun"/>
              </w:rPr>
              <w:t>Кондиционирование</w:t>
            </w:r>
          </w:p>
        </w:tc>
        <w:tc>
          <w:tcPr>
            <w:tcW w:w="1701" w:type="dxa"/>
            <w:vAlign w:val="center"/>
          </w:tcPr>
          <w:p w14:paraId="22F2DEE1" w14:textId="77777777" w:rsidR="00124A26" w:rsidRPr="00AC3044" w:rsidRDefault="00124A26" w:rsidP="002D3EBF">
            <w:pPr>
              <w:ind w:firstLine="0"/>
              <w:rPr>
                <w:rFonts w:eastAsia="SimSun"/>
              </w:rPr>
            </w:pPr>
            <w:r w:rsidRPr="00AC3044">
              <w:rPr>
                <w:rFonts w:eastAsia="SimSun"/>
              </w:rPr>
              <w:t xml:space="preserve">Флударабин </w:t>
            </w:r>
          </w:p>
        </w:tc>
        <w:tc>
          <w:tcPr>
            <w:tcW w:w="1559" w:type="dxa"/>
            <w:vAlign w:val="center"/>
          </w:tcPr>
          <w:p w14:paraId="5A5D2A04" w14:textId="77777777" w:rsidR="00124A26" w:rsidRPr="00AC3044" w:rsidRDefault="00124A26" w:rsidP="002D3EBF">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4321B1D8" w14:textId="77777777" w:rsidR="00124A26" w:rsidRPr="00AC3044" w:rsidRDefault="00124A26" w:rsidP="002D3EBF">
            <w:pPr>
              <w:ind w:firstLine="0"/>
              <w:rPr>
                <w:rFonts w:eastAsia="SimSun"/>
              </w:rPr>
            </w:pPr>
            <w:r w:rsidRPr="00AC3044">
              <w:rPr>
                <w:rFonts w:eastAsia="SimSun"/>
              </w:rPr>
              <w:t>180 мг/м</w:t>
            </w:r>
            <w:r w:rsidRPr="001E6DBE">
              <w:rPr>
                <w:rFonts w:eastAsia="SimSun"/>
                <w:vertAlign w:val="superscript"/>
              </w:rPr>
              <w:t>2</w:t>
            </w:r>
          </w:p>
        </w:tc>
        <w:tc>
          <w:tcPr>
            <w:tcW w:w="1418" w:type="dxa"/>
            <w:vAlign w:val="center"/>
          </w:tcPr>
          <w:p w14:paraId="7EB095DD" w14:textId="77777777" w:rsidR="00124A26" w:rsidRPr="00AC3044" w:rsidRDefault="00124A26" w:rsidP="002D3EBF">
            <w:pPr>
              <w:ind w:firstLine="0"/>
              <w:rPr>
                <w:rFonts w:eastAsia="SimSun"/>
              </w:rPr>
            </w:pPr>
            <w:r w:rsidRPr="00AC3044">
              <w:rPr>
                <w:rFonts w:eastAsia="SimSun"/>
              </w:rPr>
              <w:t>С -7 дня по -2 день</w:t>
            </w:r>
          </w:p>
        </w:tc>
        <w:tc>
          <w:tcPr>
            <w:tcW w:w="2268" w:type="dxa"/>
            <w:vAlign w:val="center"/>
          </w:tcPr>
          <w:p w14:paraId="57723CCA"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5433D000" w14:textId="77777777" w:rsidTr="002D3EBF">
        <w:trPr>
          <w:cantSplit/>
          <w:trHeight w:val="864"/>
        </w:trPr>
        <w:tc>
          <w:tcPr>
            <w:tcW w:w="959" w:type="dxa"/>
            <w:vMerge/>
            <w:vAlign w:val="center"/>
          </w:tcPr>
          <w:p w14:paraId="24C6AAD4" w14:textId="77777777" w:rsidR="00124A26" w:rsidRPr="00AC3044" w:rsidRDefault="00124A26" w:rsidP="002D3EBF">
            <w:pPr>
              <w:ind w:firstLine="0"/>
              <w:rPr>
                <w:rFonts w:eastAsia="SimSun"/>
              </w:rPr>
            </w:pPr>
          </w:p>
        </w:tc>
        <w:tc>
          <w:tcPr>
            <w:tcW w:w="1701" w:type="dxa"/>
            <w:vAlign w:val="center"/>
          </w:tcPr>
          <w:p w14:paraId="749443A1" w14:textId="77777777" w:rsidR="00124A26" w:rsidRPr="00AC3044" w:rsidRDefault="00124A26" w:rsidP="002D3EBF">
            <w:pPr>
              <w:ind w:firstLine="0"/>
              <w:rPr>
                <w:rFonts w:eastAsia="SimSun"/>
              </w:rPr>
            </w:pPr>
            <w:r w:rsidRPr="00AC3044">
              <w:rPr>
                <w:rFonts w:eastAsia="SimSun"/>
              </w:rPr>
              <w:t>Циклофосфамид</w:t>
            </w:r>
          </w:p>
        </w:tc>
        <w:tc>
          <w:tcPr>
            <w:tcW w:w="1559" w:type="dxa"/>
            <w:vAlign w:val="center"/>
          </w:tcPr>
          <w:p w14:paraId="76F375AA" w14:textId="77777777" w:rsidR="00124A26" w:rsidRPr="00AC3044" w:rsidRDefault="00124A26" w:rsidP="002D3EBF">
            <w:pPr>
              <w:ind w:firstLine="0"/>
              <w:rPr>
                <w:rFonts w:eastAsia="SimSun"/>
              </w:rPr>
            </w:pPr>
            <w:r w:rsidRPr="00AC3044">
              <w:rPr>
                <w:rFonts w:eastAsia="SimSun"/>
              </w:rPr>
              <w:t>300 мг/м</w:t>
            </w:r>
            <w:r w:rsidRPr="001E6DBE">
              <w:rPr>
                <w:rFonts w:eastAsia="SimSun"/>
                <w:vertAlign w:val="superscript"/>
              </w:rPr>
              <w:t>2</w:t>
            </w:r>
            <w:r w:rsidRPr="00AC3044">
              <w:rPr>
                <w:rFonts w:eastAsia="SimSun"/>
              </w:rPr>
              <w:t xml:space="preserve"> </w:t>
            </w:r>
          </w:p>
        </w:tc>
        <w:tc>
          <w:tcPr>
            <w:tcW w:w="1701" w:type="dxa"/>
            <w:vAlign w:val="center"/>
          </w:tcPr>
          <w:p w14:paraId="74F5F676" w14:textId="77777777" w:rsidR="00124A26" w:rsidRPr="00AC3044" w:rsidRDefault="00124A26" w:rsidP="002D3EBF">
            <w:pPr>
              <w:ind w:firstLine="0"/>
              <w:rPr>
                <w:rFonts w:eastAsia="SimSun"/>
              </w:rPr>
            </w:pPr>
            <w:r w:rsidRPr="00AC3044">
              <w:rPr>
                <w:rFonts w:eastAsia="SimSun"/>
              </w:rPr>
              <w:t>1200 мг/м</w:t>
            </w:r>
            <w:r w:rsidRPr="001E6DBE">
              <w:rPr>
                <w:rFonts w:eastAsia="SimSun"/>
                <w:vertAlign w:val="superscript"/>
              </w:rPr>
              <w:t>2</w:t>
            </w:r>
          </w:p>
        </w:tc>
        <w:tc>
          <w:tcPr>
            <w:tcW w:w="1418" w:type="dxa"/>
            <w:vAlign w:val="center"/>
          </w:tcPr>
          <w:p w14:paraId="1AFD08E0" w14:textId="77777777" w:rsidR="00124A26" w:rsidRPr="00AC3044" w:rsidRDefault="00124A26" w:rsidP="002D3EBF">
            <w:pPr>
              <w:ind w:firstLine="0"/>
              <w:rPr>
                <w:rFonts w:eastAsia="SimSun"/>
              </w:rPr>
            </w:pPr>
            <w:r w:rsidRPr="00AC3044">
              <w:rPr>
                <w:rFonts w:eastAsia="SimSun"/>
              </w:rPr>
              <w:t xml:space="preserve"> С -5 дня по -2 день </w:t>
            </w:r>
          </w:p>
        </w:tc>
        <w:tc>
          <w:tcPr>
            <w:tcW w:w="2268" w:type="dxa"/>
            <w:vAlign w:val="center"/>
          </w:tcPr>
          <w:p w14:paraId="784A4486" w14:textId="77777777" w:rsidR="00124A26" w:rsidRPr="00AC3044" w:rsidRDefault="00124A26" w:rsidP="002D3EBF">
            <w:pPr>
              <w:ind w:firstLine="0"/>
              <w:rPr>
                <w:rFonts w:eastAsia="SimSun"/>
              </w:rPr>
            </w:pPr>
            <w:r w:rsidRPr="00AC3044">
              <w:rPr>
                <w:rFonts w:eastAsia="SimSun"/>
              </w:rPr>
              <w:t>В/в, в течение 2 ч</w:t>
            </w:r>
          </w:p>
        </w:tc>
      </w:tr>
      <w:tr w:rsidR="00124A26" w:rsidRPr="00AC3044" w14:paraId="312AF1D2" w14:textId="77777777" w:rsidTr="002D3EBF">
        <w:trPr>
          <w:cantSplit/>
          <w:trHeight w:val="640"/>
        </w:trPr>
        <w:tc>
          <w:tcPr>
            <w:tcW w:w="959" w:type="dxa"/>
            <w:vMerge w:val="restart"/>
            <w:textDirection w:val="btLr"/>
            <w:vAlign w:val="center"/>
          </w:tcPr>
          <w:p w14:paraId="62BF6BA3" w14:textId="77777777" w:rsidR="00124A26" w:rsidRPr="00AC3044" w:rsidRDefault="00124A26" w:rsidP="002D3EBF">
            <w:pPr>
              <w:ind w:firstLine="0"/>
              <w:rPr>
                <w:rFonts w:eastAsia="SimSun"/>
              </w:rPr>
            </w:pPr>
            <w:r w:rsidRPr="00AC3044">
              <w:rPr>
                <w:rFonts w:eastAsia="SimSun"/>
              </w:rPr>
              <w:t>Профилактика РТПХ</w:t>
            </w:r>
          </w:p>
        </w:tc>
        <w:tc>
          <w:tcPr>
            <w:tcW w:w="1701" w:type="dxa"/>
            <w:vAlign w:val="center"/>
          </w:tcPr>
          <w:p w14:paraId="64912BAC" w14:textId="77777777" w:rsidR="00124A26" w:rsidRPr="00AC3044" w:rsidRDefault="00124A26" w:rsidP="002D3EBF">
            <w:pPr>
              <w:ind w:firstLine="0"/>
              <w:rPr>
                <w:rFonts w:eastAsia="SimSun"/>
              </w:rPr>
            </w:pPr>
            <w:r w:rsidRPr="00AC3044">
              <w:rPr>
                <w:rFonts w:eastAsia="SimSun"/>
              </w:rPr>
              <w:t xml:space="preserve"> АТГ (лошадиный)</w:t>
            </w:r>
          </w:p>
        </w:tc>
        <w:tc>
          <w:tcPr>
            <w:tcW w:w="1559" w:type="dxa"/>
            <w:vAlign w:val="center"/>
          </w:tcPr>
          <w:p w14:paraId="30454F0F" w14:textId="77777777" w:rsidR="00124A26" w:rsidRPr="00AC3044" w:rsidRDefault="00124A26" w:rsidP="002D3EBF">
            <w:pPr>
              <w:ind w:firstLine="0"/>
              <w:rPr>
                <w:rFonts w:eastAsia="SimSun"/>
              </w:rPr>
            </w:pPr>
            <w:r w:rsidRPr="00AC3044">
              <w:rPr>
                <w:rFonts w:eastAsia="SimSun"/>
              </w:rPr>
              <w:t>20 мг/кг</w:t>
            </w:r>
          </w:p>
        </w:tc>
        <w:tc>
          <w:tcPr>
            <w:tcW w:w="1701" w:type="dxa"/>
            <w:vAlign w:val="center"/>
          </w:tcPr>
          <w:p w14:paraId="6DF6C9AA" w14:textId="77777777" w:rsidR="00124A26" w:rsidRPr="00AC3044" w:rsidRDefault="00124A26" w:rsidP="002D3EBF">
            <w:pPr>
              <w:ind w:firstLine="0"/>
              <w:rPr>
                <w:rFonts w:eastAsia="SimSun"/>
              </w:rPr>
            </w:pPr>
            <w:r w:rsidRPr="00AC3044">
              <w:rPr>
                <w:rFonts w:eastAsia="SimSun"/>
              </w:rPr>
              <w:t>60 мг/кг</w:t>
            </w:r>
          </w:p>
        </w:tc>
        <w:tc>
          <w:tcPr>
            <w:tcW w:w="1418" w:type="dxa"/>
            <w:vAlign w:val="center"/>
          </w:tcPr>
          <w:p w14:paraId="2FA36915" w14:textId="77777777" w:rsidR="00124A26" w:rsidRPr="00AC3044" w:rsidRDefault="00124A26" w:rsidP="002D3EBF">
            <w:pPr>
              <w:ind w:firstLine="0"/>
              <w:rPr>
                <w:rFonts w:eastAsia="SimSun"/>
              </w:rPr>
            </w:pPr>
            <w:r w:rsidRPr="00AC3044">
              <w:rPr>
                <w:rFonts w:eastAsia="SimSun"/>
              </w:rPr>
              <w:t>В дни -3, -2, -1</w:t>
            </w:r>
          </w:p>
        </w:tc>
        <w:tc>
          <w:tcPr>
            <w:tcW w:w="2268" w:type="dxa"/>
            <w:vAlign w:val="center"/>
          </w:tcPr>
          <w:p w14:paraId="2B031AE1" w14:textId="77777777" w:rsidR="00124A26" w:rsidRPr="00AC3044" w:rsidRDefault="00124A26" w:rsidP="002D3EBF">
            <w:pPr>
              <w:ind w:firstLine="0"/>
              <w:rPr>
                <w:rFonts w:eastAsia="SimSun"/>
              </w:rPr>
            </w:pPr>
            <w:r w:rsidRPr="00AC3044">
              <w:rPr>
                <w:rFonts w:eastAsia="SimSun"/>
              </w:rPr>
              <w:t>В/в. Суточная доза разделяется на 2 введения (см.</w:t>
            </w:r>
            <w:r>
              <w:rPr>
                <w:rFonts w:eastAsia="SimSun"/>
              </w:rPr>
              <w:t xml:space="preserve"> </w:t>
            </w:r>
            <w:r w:rsidRPr="00AC3044">
              <w:rPr>
                <w:rFonts w:eastAsia="SimSun"/>
              </w:rPr>
              <w:t>«Инфузия АТГ»)</w:t>
            </w:r>
          </w:p>
        </w:tc>
      </w:tr>
      <w:tr w:rsidR="00124A26" w:rsidRPr="00AC3044" w14:paraId="290F0DC6" w14:textId="77777777" w:rsidTr="002D3EBF">
        <w:trPr>
          <w:cantSplit/>
          <w:trHeight w:val="958"/>
        </w:trPr>
        <w:tc>
          <w:tcPr>
            <w:tcW w:w="959" w:type="dxa"/>
            <w:vMerge/>
            <w:textDirection w:val="btLr"/>
            <w:vAlign w:val="center"/>
          </w:tcPr>
          <w:p w14:paraId="578BD516" w14:textId="77777777" w:rsidR="00124A26" w:rsidRPr="00AC3044" w:rsidRDefault="00124A26" w:rsidP="002D3EBF">
            <w:pPr>
              <w:ind w:firstLine="0"/>
              <w:rPr>
                <w:rFonts w:eastAsia="SimSun"/>
              </w:rPr>
            </w:pPr>
          </w:p>
        </w:tc>
        <w:tc>
          <w:tcPr>
            <w:tcW w:w="1701" w:type="dxa"/>
            <w:vAlign w:val="center"/>
          </w:tcPr>
          <w:p w14:paraId="2A7A97FE" w14:textId="77777777" w:rsidR="00124A26" w:rsidRPr="00AC3044" w:rsidRDefault="00124A26" w:rsidP="002D3EBF">
            <w:pPr>
              <w:ind w:firstLine="0"/>
              <w:rPr>
                <w:rFonts w:eastAsia="SimSun"/>
              </w:rPr>
            </w:pPr>
            <w:r w:rsidRPr="00AC3044">
              <w:rPr>
                <w:rFonts w:eastAsia="SimSun"/>
              </w:rPr>
              <w:t xml:space="preserve">Такролимус </w:t>
            </w:r>
          </w:p>
        </w:tc>
        <w:tc>
          <w:tcPr>
            <w:tcW w:w="1559" w:type="dxa"/>
            <w:vAlign w:val="center"/>
          </w:tcPr>
          <w:p w14:paraId="3C25AD70" w14:textId="77777777" w:rsidR="00124A26" w:rsidRPr="00AC3044" w:rsidRDefault="00124A26" w:rsidP="002D3EBF">
            <w:pPr>
              <w:ind w:firstLine="0"/>
              <w:rPr>
                <w:rFonts w:eastAsia="SimSun"/>
              </w:rPr>
            </w:pPr>
            <w:r w:rsidRPr="00AC3044">
              <w:rPr>
                <w:rFonts w:eastAsia="SimSun"/>
              </w:rPr>
              <w:t>0,03 мг/кг</w:t>
            </w:r>
          </w:p>
        </w:tc>
        <w:tc>
          <w:tcPr>
            <w:tcW w:w="1701" w:type="dxa"/>
            <w:vAlign w:val="center"/>
          </w:tcPr>
          <w:p w14:paraId="0C7B6414" w14:textId="77777777" w:rsidR="00124A26" w:rsidRPr="00AC3044" w:rsidRDefault="00124A26" w:rsidP="002D3EBF">
            <w:pPr>
              <w:ind w:firstLine="0"/>
              <w:rPr>
                <w:rFonts w:eastAsia="SimSun"/>
              </w:rPr>
            </w:pPr>
            <w:r w:rsidRPr="00AC3044">
              <w:rPr>
                <w:rFonts w:eastAsia="SimSun"/>
              </w:rPr>
              <w:t>–</w:t>
            </w:r>
          </w:p>
        </w:tc>
        <w:tc>
          <w:tcPr>
            <w:tcW w:w="1418" w:type="dxa"/>
            <w:vAlign w:val="center"/>
          </w:tcPr>
          <w:p w14:paraId="74BB0431" w14:textId="77777777" w:rsidR="00124A26" w:rsidRPr="00AC3044" w:rsidRDefault="00124A26" w:rsidP="002D3EBF">
            <w:pPr>
              <w:ind w:firstLine="0"/>
              <w:rPr>
                <w:rFonts w:eastAsia="SimSun"/>
              </w:rPr>
            </w:pPr>
            <w:r w:rsidRPr="00AC3044">
              <w:rPr>
                <w:rFonts w:eastAsia="SimSun"/>
              </w:rPr>
              <w:t xml:space="preserve">С -1 дня длительно </w:t>
            </w:r>
          </w:p>
        </w:tc>
        <w:tc>
          <w:tcPr>
            <w:tcW w:w="2268" w:type="dxa"/>
            <w:vAlign w:val="center"/>
          </w:tcPr>
          <w:p w14:paraId="459CBD18" w14:textId="77777777" w:rsidR="00124A26" w:rsidRPr="00AC3044" w:rsidRDefault="00124A26" w:rsidP="002D3EBF">
            <w:pPr>
              <w:ind w:firstLine="0"/>
              <w:rPr>
                <w:rFonts w:eastAsia="SimSun"/>
              </w:rPr>
            </w:pPr>
            <w:r w:rsidRPr="00AC3044">
              <w:rPr>
                <w:rFonts w:eastAsia="SimSun"/>
              </w:rPr>
              <w:t xml:space="preserve">В/в инфузия в течение 24 ч с последующей коррекцией суточной дозы по концентрации. Перевод на прием внутрь при условии восстановления лейкоцитов &gt; 1* 109/л, при отсутствии тошноты, рвоты, диареи и возможности приема внутрь. Концентрация Tx 5-15 нг/мл.    </w:t>
            </w:r>
          </w:p>
        </w:tc>
      </w:tr>
      <w:tr w:rsidR="00124A26" w:rsidRPr="00AC3044" w14:paraId="0B30B154" w14:textId="77777777" w:rsidTr="002D3EBF">
        <w:trPr>
          <w:cantSplit/>
          <w:trHeight w:val="709"/>
        </w:trPr>
        <w:tc>
          <w:tcPr>
            <w:tcW w:w="959" w:type="dxa"/>
            <w:vMerge/>
            <w:textDirection w:val="btLr"/>
            <w:vAlign w:val="center"/>
          </w:tcPr>
          <w:p w14:paraId="4190266B" w14:textId="77777777" w:rsidR="00124A26" w:rsidRPr="00AC3044" w:rsidRDefault="00124A26" w:rsidP="002D3EBF">
            <w:pPr>
              <w:ind w:firstLine="0"/>
              <w:rPr>
                <w:rFonts w:eastAsia="SimSun"/>
              </w:rPr>
            </w:pPr>
          </w:p>
        </w:tc>
        <w:tc>
          <w:tcPr>
            <w:tcW w:w="1701" w:type="dxa"/>
            <w:vAlign w:val="center"/>
          </w:tcPr>
          <w:p w14:paraId="521EA745" w14:textId="77777777" w:rsidR="00124A26" w:rsidRPr="00AC3044" w:rsidRDefault="00124A26" w:rsidP="002D3EBF">
            <w:pPr>
              <w:ind w:firstLine="0"/>
              <w:rPr>
                <w:rFonts w:eastAsia="SimSun"/>
              </w:rPr>
            </w:pPr>
            <w:r w:rsidRPr="00AC3044">
              <w:rPr>
                <w:rFonts w:eastAsia="SimSun"/>
              </w:rPr>
              <w:t>Микофенолата мофетил</w:t>
            </w:r>
          </w:p>
        </w:tc>
        <w:tc>
          <w:tcPr>
            <w:tcW w:w="1559" w:type="dxa"/>
            <w:vAlign w:val="center"/>
          </w:tcPr>
          <w:p w14:paraId="7D03D815" w14:textId="77777777" w:rsidR="00124A26" w:rsidRPr="00AC3044" w:rsidRDefault="00124A26" w:rsidP="002D3EBF">
            <w:pPr>
              <w:ind w:firstLine="0"/>
              <w:rPr>
                <w:rFonts w:eastAsia="SimSun"/>
              </w:rPr>
            </w:pPr>
            <w:r w:rsidRPr="00AC3044">
              <w:rPr>
                <w:rFonts w:eastAsia="SimSun"/>
              </w:rPr>
              <w:t xml:space="preserve">30 мг/кг </w:t>
            </w:r>
          </w:p>
        </w:tc>
        <w:tc>
          <w:tcPr>
            <w:tcW w:w="1701" w:type="dxa"/>
            <w:vAlign w:val="center"/>
          </w:tcPr>
          <w:p w14:paraId="17858B8D" w14:textId="77777777" w:rsidR="00124A26" w:rsidRPr="00AC3044" w:rsidRDefault="00124A26" w:rsidP="002D3EBF">
            <w:pPr>
              <w:ind w:firstLine="0"/>
              <w:rPr>
                <w:rFonts w:eastAsia="SimSun"/>
              </w:rPr>
            </w:pPr>
            <w:r w:rsidRPr="00AC3044">
              <w:rPr>
                <w:rFonts w:eastAsia="SimSun"/>
              </w:rPr>
              <w:t>–</w:t>
            </w:r>
          </w:p>
        </w:tc>
        <w:tc>
          <w:tcPr>
            <w:tcW w:w="1418" w:type="dxa"/>
            <w:vAlign w:val="center"/>
          </w:tcPr>
          <w:p w14:paraId="794765AE" w14:textId="77777777" w:rsidR="00124A26" w:rsidRPr="00AC3044" w:rsidRDefault="00124A26" w:rsidP="002D3EBF">
            <w:pPr>
              <w:ind w:firstLine="0"/>
              <w:rPr>
                <w:rFonts w:eastAsia="SimSun"/>
              </w:rPr>
            </w:pPr>
            <w:r w:rsidRPr="00AC3044">
              <w:rPr>
                <w:rFonts w:eastAsia="SimSun"/>
              </w:rPr>
              <w:t xml:space="preserve">С -1 дня по +30 день </w:t>
            </w:r>
          </w:p>
        </w:tc>
        <w:tc>
          <w:tcPr>
            <w:tcW w:w="2268" w:type="dxa"/>
            <w:vAlign w:val="center"/>
          </w:tcPr>
          <w:p w14:paraId="4314ACA9" w14:textId="77777777" w:rsidR="00124A26" w:rsidRPr="00AC3044" w:rsidRDefault="00124A26"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660FA680" w14:textId="77777777" w:rsidR="00124A26" w:rsidRPr="00C07B2E" w:rsidRDefault="00124A26" w:rsidP="00124A26">
      <w:pPr>
        <w:rPr>
          <w:rFonts w:eastAsia="SimSun"/>
        </w:rPr>
      </w:pPr>
    </w:p>
    <w:p w14:paraId="0173652E" w14:textId="77777777" w:rsidR="00124A26" w:rsidRPr="00042499" w:rsidRDefault="00124A26" w:rsidP="00124A26">
      <w:pPr>
        <w:rPr>
          <w:rFonts w:eastAsia="SimSun"/>
          <w:lang w:val="en-US"/>
        </w:rPr>
      </w:pPr>
      <w:bookmarkStart w:id="224" w:name="_Toc44401181"/>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1.2.23  – </w:t>
      </w:r>
      <w:r w:rsidRPr="007A1AC4">
        <w:rPr>
          <w:rFonts w:eastAsia="SimSun"/>
          <w:lang w:val="en-US"/>
        </w:rPr>
        <w:t>Flu</w:t>
      </w:r>
      <w:r w:rsidRPr="00042499">
        <w:rPr>
          <w:rFonts w:eastAsia="SimSun"/>
          <w:lang w:val="en-US"/>
        </w:rPr>
        <w:t>180+</w:t>
      </w:r>
      <w:r w:rsidRPr="007A1AC4">
        <w:rPr>
          <w:rFonts w:eastAsia="SimSun"/>
          <w:lang w:val="en-US"/>
        </w:rPr>
        <w:t>Cy</w:t>
      </w:r>
      <w:r w:rsidRPr="00042499">
        <w:rPr>
          <w:rFonts w:eastAsia="SimSun"/>
          <w:lang w:val="en-US"/>
        </w:rPr>
        <w:t xml:space="preserve">1200 / </w:t>
      </w:r>
      <w:r w:rsidRPr="007A1AC4">
        <w:rPr>
          <w:rFonts w:eastAsia="SimSun"/>
          <w:lang w:val="en-US"/>
        </w:rPr>
        <w:t>rATG</w:t>
      </w:r>
      <w:r w:rsidRPr="00042499">
        <w:rPr>
          <w:rFonts w:eastAsia="SimSun"/>
          <w:lang w:val="en-US"/>
        </w:rPr>
        <w:t>+</w:t>
      </w:r>
      <w:r w:rsidRPr="007A1AC4">
        <w:rPr>
          <w:rFonts w:eastAsia="SimSun"/>
          <w:lang w:val="en-US"/>
        </w:rPr>
        <w:t>Tx</w:t>
      </w:r>
      <w:r w:rsidRPr="00042499">
        <w:rPr>
          <w:rFonts w:eastAsia="SimSun"/>
          <w:lang w:val="en-US"/>
        </w:rPr>
        <w:t>+</w:t>
      </w:r>
      <w:r w:rsidRPr="007A1AC4">
        <w:rPr>
          <w:rFonts w:eastAsia="SimSun"/>
          <w:lang w:val="en-US"/>
        </w:rPr>
        <w:t>MMF</w:t>
      </w:r>
      <w:r w:rsidRPr="00042499">
        <w:rPr>
          <w:rFonts w:eastAsia="SimSun"/>
          <w:lang w:val="en-US"/>
        </w:rPr>
        <w:t>30</w:t>
      </w:r>
      <w:bookmarkEnd w:id="224"/>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124A26" w:rsidRPr="00AC3044" w14:paraId="2ECE71A5" w14:textId="77777777" w:rsidTr="002D3EBF">
        <w:trPr>
          <w:cantSplit/>
          <w:trHeight w:val="20"/>
          <w:tblHeader/>
        </w:trPr>
        <w:tc>
          <w:tcPr>
            <w:tcW w:w="959" w:type="dxa"/>
            <w:vAlign w:val="center"/>
          </w:tcPr>
          <w:p w14:paraId="42FD3FAC" w14:textId="77777777" w:rsidR="00124A26" w:rsidRPr="007A1AC4" w:rsidRDefault="00124A26" w:rsidP="002D3EBF">
            <w:pPr>
              <w:ind w:firstLine="0"/>
              <w:rPr>
                <w:rFonts w:eastAsia="SimSun"/>
                <w:lang w:val="en-US"/>
              </w:rPr>
            </w:pPr>
          </w:p>
        </w:tc>
        <w:tc>
          <w:tcPr>
            <w:tcW w:w="1701" w:type="dxa"/>
            <w:vAlign w:val="center"/>
          </w:tcPr>
          <w:p w14:paraId="0880788A" w14:textId="77777777" w:rsidR="00124A26" w:rsidRPr="00AC3044" w:rsidRDefault="00124A26" w:rsidP="002D3EBF">
            <w:pPr>
              <w:ind w:firstLine="0"/>
              <w:rPr>
                <w:rFonts w:eastAsia="SimSun"/>
              </w:rPr>
            </w:pPr>
            <w:r w:rsidRPr="00AC3044">
              <w:rPr>
                <w:rFonts w:eastAsia="SimSun"/>
              </w:rPr>
              <w:t>Препарат</w:t>
            </w:r>
          </w:p>
        </w:tc>
        <w:tc>
          <w:tcPr>
            <w:tcW w:w="1559" w:type="dxa"/>
            <w:vAlign w:val="center"/>
          </w:tcPr>
          <w:p w14:paraId="439CF6E9" w14:textId="77777777" w:rsidR="00124A26" w:rsidRPr="00AC3044" w:rsidRDefault="00124A26" w:rsidP="002D3EBF">
            <w:pPr>
              <w:ind w:firstLine="0"/>
              <w:rPr>
                <w:rFonts w:eastAsia="SimSun"/>
              </w:rPr>
            </w:pPr>
            <w:r w:rsidRPr="00AC3044">
              <w:rPr>
                <w:rFonts w:eastAsia="SimSun"/>
              </w:rPr>
              <w:t>Суточная доза</w:t>
            </w:r>
          </w:p>
        </w:tc>
        <w:tc>
          <w:tcPr>
            <w:tcW w:w="1701" w:type="dxa"/>
            <w:vAlign w:val="center"/>
          </w:tcPr>
          <w:p w14:paraId="77B92BFF" w14:textId="77777777" w:rsidR="00124A26" w:rsidRPr="00AC3044" w:rsidRDefault="00124A26" w:rsidP="002D3EBF">
            <w:pPr>
              <w:ind w:firstLine="0"/>
              <w:rPr>
                <w:rFonts w:eastAsia="SimSun"/>
              </w:rPr>
            </w:pPr>
            <w:r w:rsidRPr="00AC3044">
              <w:rPr>
                <w:rFonts w:eastAsia="SimSun"/>
              </w:rPr>
              <w:t>Курсовая доза</w:t>
            </w:r>
          </w:p>
        </w:tc>
        <w:tc>
          <w:tcPr>
            <w:tcW w:w="1418" w:type="dxa"/>
            <w:vAlign w:val="center"/>
          </w:tcPr>
          <w:p w14:paraId="15D9D04C" w14:textId="77777777" w:rsidR="00124A26" w:rsidRPr="00AC3044" w:rsidRDefault="00124A26" w:rsidP="002D3EBF">
            <w:pPr>
              <w:ind w:firstLine="0"/>
              <w:rPr>
                <w:rFonts w:eastAsia="SimSun"/>
              </w:rPr>
            </w:pPr>
            <w:r w:rsidRPr="00AC3044">
              <w:rPr>
                <w:rFonts w:eastAsia="SimSun"/>
              </w:rPr>
              <w:t>Дни введения</w:t>
            </w:r>
          </w:p>
        </w:tc>
        <w:tc>
          <w:tcPr>
            <w:tcW w:w="2268" w:type="dxa"/>
            <w:vAlign w:val="center"/>
          </w:tcPr>
          <w:p w14:paraId="6018B46C"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5BC71125" w14:textId="77777777" w:rsidTr="002D3EBF">
        <w:trPr>
          <w:cantSplit/>
          <w:trHeight w:val="20"/>
        </w:trPr>
        <w:tc>
          <w:tcPr>
            <w:tcW w:w="959" w:type="dxa"/>
            <w:vMerge w:val="restart"/>
            <w:textDirection w:val="btLr"/>
            <w:vAlign w:val="center"/>
          </w:tcPr>
          <w:p w14:paraId="40EA9BB0" w14:textId="77777777" w:rsidR="00124A26" w:rsidRPr="00AC3044" w:rsidRDefault="00124A26" w:rsidP="002D3EBF">
            <w:pPr>
              <w:ind w:firstLine="0"/>
              <w:rPr>
                <w:rFonts w:eastAsia="SimSun"/>
              </w:rPr>
            </w:pPr>
            <w:r w:rsidRPr="00AC3044">
              <w:rPr>
                <w:rFonts w:eastAsia="SimSun"/>
              </w:rPr>
              <w:t>Кондиционирование</w:t>
            </w:r>
          </w:p>
        </w:tc>
        <w:tc>
          <w:tcPr>
            <w:tcW w:w="1701" w:type="dxa"/>
            <w:vAlign w:val="center"/>
          </w:tcPr>
          <w:p w14:paraId="03637320" w14:textId="77777777" w:rsidR="00124A26" w:rsidRPr="00AC3044" w:rsidRDefault="00124A26" w:rsidP="002D3EBF">
            <w:pPr>
              <w:ind w:firstLine="0"/>
              <w:rPr>
                <w:rFonts w:eastAsia="SimSun"/>
              </w:rPr>
            </w:pPr>
            <w:r w:rsidRPr="00AC3044">
              <w:rPr>
                <w:rFonts w:eastAsia="SimSun"/>
              </w:rPr>
              <w:t xml:space="preserve">Флударабин </w:t>
            </w:r>
          </w:p>
        </w:tc>
        <w:tc>
          <w:tcPr>
            <w:tcW w:w="1559" w:type="dxa"/>
            <w:vAlign w:val="center"/>
          </w:tcPr>
          <w:p w14:paraId="19445158" w14:textId="77777777" w:rsidR="00124A26" w:rsidRPr="00AC3044" w:rsidRDefault="00124A26" w:rsidP="002D3EBF">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6CF151B7" w14:textId="77777777" w:rsidR="00124A26" w:rsidRPr="00AC3044" w:rsidRDefault="00124A26" w:rsidP="002D3EBF">
            <w:pPr>
              <w:ind w:firstLine="0"/>
              <w:rPr>
                <w:rFonts w:eastAsia="SimSun"/>
              </w:rPr>
            </w:pPr>
            <w:r w:rsidRPr="00AC3044">
              <w:rPr>
                <w:rFonts w:eastAsia="SimSun"/>
              </w:rPr>
              <w:t>180 мг/м</w:t>
            </w:r>
            <w:r w:rsidRPr="001E6DBE">
              <w:rPr>
                <w:rFonts w:eastAsia="SimSun"/>
                <w:vertAlign w:val="superscript"/>
              </w:rPr>
              <w:t>2</w:t>
            </w:r>
          </w:p>
        </w:tc>
        <w:tc>
          <w:tcPr>
            <w:tcW w:w="1418" w:type="dxa"/>
            <w:vAlign w:val="center"/>
          </w:tcPr>
          <w:p w14:paraId="00D8D4E4" w14:textId="77777777" w:rsidR="00124A26" w:rsidRPr="00AC3044" w:rsidRDefault="00124A26" w:rsidP="002D3EBF">
            <w:pPr>
              <w:ind w:firstLine="0"/>
              <w:rPr>
                <w:rFonts w:eastAsia="SimSun"/>
              </w:rPr>
            </w:pPr>
            <w:r w:rsidRPr="00AC3044">
              <w:rPr>
                <w:rFonts w:eastAsia="SimSun"/>
              </w:rPr>
              <w:t>С -7 дня по -2 день</w:t>
            </w:r>
          </w:p>
        </w:tc>
        <w:tc>
          <w:tcPr>
            <w:tcW w:w="2268" w:type="dxa"/>
            <w:vAlign w:val="center"/>
          </w:tcPr>
          <w:p w14:paraId="196BE89A"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00968789" w14:textId="77777777" w:rsidTr="002D3EBF">
        <w:trPr>
          <w:cantSplit/>
          <w:trHeight w:val="1207"/>
        </w:trPr>
        <w:tc>
          <w:tcPr>
            <w:tcW w:w="959" w:type="dxa"/>
            <w:vMerge/>
            <w:vAlign w:val="center"/>
          </w:tcPr>
          <w:p w14:paraId="7EE99C6E" w14:textId="77777777" w:rsidR="00124A26" w:rsidRPr="00AC3044" w:rsidRDefault="00124A26" w:rsidP="002D3EBF">
            <w:pPr>
              <w:ind w:firstLine="0"/>
              <w:rPr>
                <w:rFonts w:eastAsia="SimSun"/>
              </w:rPr>
            </w:pPr>
          </w:p>
        </w:tc>
        <w:tc>
          <w:tcPr>
            <w:tcW w:w="1701" w:type="dxa"/>
            <w:vAlign w:val="center"/>
          </w:tcPr>
          <w:p w14:paraId="63232457" w14:textId="77777777" w:rsidR="00124A26" w:rsidRPr="00AC3044" w:rsidRDefault="00124A26" w:rsidP="002D3EBF">
            <w:pPr>
              <w:ind w:firstLine="0"/>
              <w:rPr>
                <w:rFonts w:eastAsia="SimSun"/>
              </w:rPr>
            </w:pPr>
            <w:r w:rsidRPr="00AC3044">
              <w:rPr>
                <w:rFonts w:eastAsia="SimSun"/>
              </w:rPr>
              <w:t>Циклофосфамид</w:t>
            </w:r>
          </w:p>
        </w:tc>
        <w:tc>
          <w:tcPr>
            <w:tcW w:w="1559" w:type="dxa"/>
            <w:vAlign w:val="center"/>
          </w:tcPr>
          <w:p w14:paraId="56360B86" w14:textId="77777777" w:rsidR="00124A26" w:rsidRPr="00AC3044" w:rsidRDefault="00124A26" w:rsidP="002D3EBF">
            <w:pPr>
              <w:ind w:firstLine="0"/>
              <w:rPr>
                <w:rFonts w:eastAsia="SimSun"/>
              </w:rPr>
            </w:pPr>
            <w:r w:rsidRPr="00AC3044">
              <w:rPr>
                <w:rFonts w:eastAsia="SimSun"/>
              </w:rPr>
              <w:t>300 мг/м</w:t>
            </w:r>
            <w:r w:rsidRPr="001E6DBE">
              <w:rPr>
                <w:rFonts w:eastAsia="SimSun"/>
                <w:vertAlign w:val="superscript"/>
              </w:rPr>
              <w:t>2</w:t>
            </w:r>
            <w:r w:rsidRPr="00AC3044">
              <w:rPr>
                <w:rFonts w:eastAsia="SimSun"/>
              </w:rPr>
              <w:t xml:space="preserve"> </w:t>
            </w:r>
          </w:p>
        </w:tc>
        <w:tc>
          <w:tcPr>
            <w:tcW w:w="1701" w:type="dxa"/>
            <w:vAlign w:val="center"/>
          </w:tcPr>
          <w:p w14:paraId="7264FF6C" w14:textId="77777777" w:rsidR="00124A26" w:rsidRPr="00AC3044" w:rsidRDefault="00124A26" w:rsidP="002D3EBF">
            <w:pPr>
              <w:ind w:firstLine="0"/>
              <w:rPr>
                <w:rFonts w:eastAsia="SimSun"/>
              </w:rPr>
            </w:pPr>
            <w:r w:rsidRPr="00AC3044">
              <w:rPr>
                <w:rFonts w:eastAsia="SimSun"/>
              </w:rPr>
              <w:t>1200 мг/м</w:t>
            </w:r>
            <w:r w:rsidRPr="001E6DBE">
              <w:rPr>
                <w:rFonts w:eastAsia="SimSun"/>
                <w:vertAlign w:val="superscript"/>
              </w:rPr>
              <w:t>2</w:t>
            </w:r>
          </w:p>
        </w:tc>
        <w:tc>
          <w:tcPr>
            <w:tcW w:w="1418" w:type="dxa"/>
            <w:vAlign w:val="center"/>
          </w:tcPr>
          <w:p w14:paraId="27A7DA15" w14:textId="77777777" w:rsidR="00124A26" w:rsidRPr="00AC3044" w:rsidRDefault="00124A26" w:rsidP="002D3EBF">
            <w:pPr>
              <w:ind w:firstLine="0"/>
              <w:rPr>
                <w:rFonts w:eastAsia="SimSun"/>
              </w:rPr>
            </w:pPr>
            <w:r w:rsidRPr="00AC3044">
              <w:rPr>
                <w:rFonts w:eastAsia="SimSun"/>
              </w:rPr>
              <w:t xml:space="preserve"> С -5 дня по -2 день </w:t>
            </w:r>
          </w:p>
        </w:tc>
        <w:tc>
          <w:tcPr>
            <w:tcW w:w="2268" w:type="dxa"/>
            <w:vAlign w:val="center"/>
          </w:tcPr>
          <w:p w14:paraId="6D66173E" w14:textId="77777777" w:rsidR="00124A26" w:rsidRPr="00AC3044" w:rsidRDefault="00124A26" w:rsidP="002D3EBF">
            <w:pPr>
              <w:ind w:firstLine="0"/>
              <w:rPr>
                <w:rFonts w:eastAsia="SimSun"/>
              </w:rPr>
            </w:pPr>
            <w:r w:rsidRPr="00AC3044">
              <w:rPr>
                <w:rFonts w:eastAsia="SimSun"/>
              </w:rPr>
              <w:t>В/в, в течение 2 ч</w:t>
            </w:r>
          </w:p>
        </w:tc>
      </w:tr>
      <w:tr w:rsidR="00124A26" w:rsidRPr="00AC3044" w14:paraId="5A3586BA" w14:textId="77777777" w:rsidTr="002D3EBF">
        <w:trPr>
          <w:cantSplit/>
          <w:trHeight w:val="858"/>
        </w:trPr>
        <w:tc>
          <w:tcPr>
            <w:tcW w:w="959" w:type="dxa"/>
            <w:vMerge w:val="restart"/>
            <w:textDirection w:val="btLr"/>
            <w:vAlign w:val="center"/>
          </w:tcPr>
          <w:p w14:paraId="29DA365D" w14:textId="77777777" w:rsidR="00124A26" w:rsidRPr="00AC3044" w:rsidRDefault="00124A26" w:rsidP="002D3EBF">
            <w:pPr>
              <w:ind w:firstLine="0"/>
              <w:rPr>
                <w:rFonts w:eastAsia="SimSun"/>
              </w:rPr>
            </w:pPr>
            <w:r w:rsidRPr="00AC3044">
              <w:rPr>
                <w:rFonts w:eastAsia="SimSun"/>
              </w:rPr>
              <w:t>Профилактика РТПХ</w:t>
            </w:r>
          </w:p>
        </w:tc>
        <w:tc>
          <w:tcPr>
            <w:tcW w:w="1701" w:type="dxa"/>
            <w:vAlign w:val="center"/>
          </w:tcPr>
          <w:p w14:paraId="33644BFA" w14:textId="77777777" w:rsidR="00124A26" w:rsidRPr="00AC3044" w:rsidRDefault="00124A26" w:rsidP="002D3EBF">
            <w:pPr>
              <w:ind w:firstLine="0"/>
              <w:rPr>
                <w:rFonts w:eastAsia="SimSun"/>
              </w:rPr>
            </w:pPr>
            <w:r w:rsidRPr="00AC3044">
              <w:rPr>
                <w:rFonts w:eastAsia="SimSun"/>
              </w:rPr>
              <w:t>АТГ (кроличий)</w:t>
            </w:r>
          </w:p>
        </w:tc>
        <w:tc>
          <w:tcPr>
            <w:tcW w:w="1559" w:type="dxa"/>
            <w:vAlign w:val="center"/>
          </w:tcPr>
          <w:p w14:paraId="29C39205" w14:textId="77777777" w:rsidR="00124A26" w:rsidRPr="00AC3044" w:rsidRDefault="00124A26" w:rsidP="002D3EBF">
            <w:pPr>
              <w:ind w:firstLine="0"/>
              <w:rPr>
                <w:rFonts w:eastAsia="SimSun"/>
              </w:rPr>
            </w:pPr>
            <w:r w:rsidRPr="00AC3044">
              <w:rPr>
                <w:rFonts w:eastAsia="SimSun"/>
              </w:rPr>
              <w:t>5 мг/кг</w:t>
            </w:r>
          </w:p>
        </w:tc>
        <w:tc>
          <w:tcPr>
            <w:tcW w:w="1701" w:type="dxa"/>
            <w:vAlign w:val="center"/>
          </w:tcPr>
          <w:p w14:paraId="4EC5A3FE" w14:textId="77777777" w:rsidR="00124A26" w:rsidRPr="00AC3044" w:rsidRDefault="00124A26" w:rsidP="002D3EBF">
            <w:pPr>
              <w:ind w:firstLine="0"/>
              <w:rPr>
                <w:rFonts w:eastAsia="SimSun"/>
              </w:rPr>
            </w:pPr>
            <w:r w:rsidRPr="00AC3044">
              <w:rPr>
                <w:rFonts w:eastAsia="SimSun"/>
              </w:rPr>
              <w:t>10 мг/кг</w:t>
            </w:r>
          </w:p>
        </w:tc>
        <w:tc>
          <w:tcPr>
            <w:tcW w:w="1418" w:type="dxa"/>
            <w:vAlign w:val="center"/>
          </w:tcPr>
          <w:p w14:paraId="0F312520" w14:textId="77777777" w:rsidR="00124A26" w:rsidRPr="00AC3044" w:rsidRDefault="00124A26" w:rsidP="002D3EBF">
            <w:pPr>
              <w:ind w:firstLine="0"/>
              <w:rPr>
                <w:rFonts w:eastAsia="SimSun"/>
              </w:rPr>
            </w:pPr>
            <w:r w:rsidRPr="00AC3044">
              <w:rPr>
                <w:rFonts w:eastAsia="SimSun"/>
              </w:rPr>
              <w:t>В дни -2, -1</w:t>
            </w:r>
          </w:p>
        </w:tc>
        <w:tc>
          <w:tcPr>
            <w:tcW w:w="2268" w:type="dxa"/>
            <w:vAlign w:val="center"/>
          </w:tcPr>
          <w:p w14:paraId="6B69F053" w14:textId="77777777" w:rsidR="00124A26" w:rsidRPr="00AC3044" w:rsidRDefault="00124A26" w:rsidP="002D3EBF">
            <w:pPr>
              <w:ind w:firstLine="0"/>
              <w:rPr>
                <w:rFonts w:eastAsia="SimSun"/>
              </w:rPr>
            </w:pPr>
            <w:r w:rsidRPr="00AC3044">
              <w:rPr>
                <w:rFonts w:eastAsia="SimSun"/>
              </w:rPr>
              <w:t>В/в. Суточная доза разделяется на 2 введения (см. гл.</w:t>
            </w:r>
            <w:r>
              <w:rPr>
                <w:rFonts w:eastAsia="SimSun"/>
              </w:rPr>
              <w:t xml:space="preserve"> </w:t>
            </w:r>
            <w:r w:rsidRPr="00AC3044">
              <w:rPr>
                <w:rFonts w:eastAsia="SimSun"/>
              </w:rPr>
              <w:t>«Инфузия АТГ»)</w:t>
            </w:r>
          </w:p>
        </w:tc>
      </w:tr>
      <w:tr w:rsidR="00124A26" w:rsidRPr="00AC3044" w14:paraId="1E02FA1C" w14:textId="77777777" w:rsidTr="002D3EBF">
        <w:trPr>
          <w:cantSplit/>
          <w:trHeight w:val="958"/>
        </w:trPr>
        <w:tc>
          <w:tcPr>
            <w:tcW w:w="959" w:type="dxa"/>
            <w:vMerge/>
            <w:textDirection w:val="btLr"/>
            <w:vAlign w:val="center"/>
          </w:tcPr>
          <w:p w14:paraId="527E8109" w14:textId="77777777" w:rsidR="00124A26" w:rsidRPr="00AC3044" w:rsidRDefault="00124A26" w:rsidP="002D3EBF">
            <w:pPr>
              <w:ind w:firstLine="0"/>
              <w:rPr>
                <w:rFonts w:eastAsia="SimSun"/>
              </w:rPr>
            </w:pPr>
          </w:p>
        </w:tc>
        <w:tc>
          <w:tcPr>
            <w:tcW w:w="1701" w:type="dxa"/>
            <w:vAlign w:val="center"/>
          </w:tcPr>
          <w:p w14:paraId="5A290C96" w14:textId="77777777" w:rsidR="00124A26" w:rsidRPr="00AC3044" w:rsidRDefault="00124A26" w:rsidP="002D3EBF">
            <w:pPr>
              <w:ind w:firstLine="0"/>
              <w:rPr>
                <w:rFonts w:eastAsia="SimSun"/>
              </w:rPr>
            </w:pPr>
            <w:r w:rsidRPr="00AC3044">
              <w:rPr>
                <w:rFonts w:eastAsia="SimSun"/>
              </w:rPr>
              <w:t xml:space="preserve">Такролимус </w:t>
            </w:r>
          </w:p>
        </w:tc>
        <w:tc>
          <w:tcPr>
            <w:tcW w:w="1559" w:type="dxa"/>
            <w:vAlign w:val="center"/>
          </w:tcPr>
          <w:p w14:paraId="73D4B9EB" w14:textId="77777777" w:rsidR="00124A26" w:rsidRPr="00AC3044" w:rsidRDefault="00124A26" w:rsidP="002D3EBF">
            <w:pPr>
              <w:ind w:firstLine="0"/>
              <w:rPr>
                <w:rFonts w:eastAsia="SimSun"/>
              </w:rPr>
            </w:pPr>
            <w:r w:rsidRPr="00AC3044">
              <w:rPr>
                <w:rFonts w:eastAsia="SimSun"/>
              </w:rPr>
              <w:t>0,03 мг/кг</w:t>
            </w:r>
          </w:p>
        </w:tc>
        <w:tc>
          <w:tcPr>
            <w:tcW w:w="1701" w:type="dxa"/>
            <w:vAlign w:val="center"/>
          </w:tcPr>
          <w:p w14:paraId="42ED6DFF" w14:textId="77777777" w:rsidR="00124A26" w:rsidRPr="00AC3044" w:rsidRDefault="00124A26" w:rsidP="002D3EBF">
            <w:pPr>
              <w:ind w:firstLine="0"/>
              <w:rPr>
                <w:rFonts w:eastAsia="SimSun"/>
              </w:rPr>
            </w:pPr>
            <w:r w:rsidRPr="00AC3044">
              <w:rPr>
                <w:rFonts w:eastAsia="SimSun"/>
              </w:rPr>
              <w:t>–</w:t>
            </w:r>
          </w:p>
        </w:tc>
        <w:tc>
          <w:tcPr>
            <w:tcW w:w="1418" w:type="dxa"/>
            <w:vAlign w:val="center"/>
          </w:tcPr>
          <w:p w14:paraId="29A1B2C5" w14:textId="77777777" w:rsidR="00124A26" w:rsidRPr="00AC3044" w:rsidRDefault="00124A26" w:rsidP="002D3EBF">
            <w:pPr>
              <w:ind w:firstLine="0"/>
              <w:rPr>
                <w:rFonts w:eastAsia="SimSun"/>
              </w:rPr>
            </w:pPr>
            <w:r w:rsidRPr="00AC3044">
              <w:rPr>
                <w:rFonts w:eastAsia="SimSun"/>
              </w:rPr>
              <w:t xml:space="preserve">С -1 дня длительно </w:t>
            </w:r>
          </w:p>
        </w:tc>
        <w:tc>
          <w:tcPr>
            <w:tcW w:w="2268" w:type="dxa"/>
            <w:vAlign w:val="center"/>
          </w:tcPr>
          <w:p w14:paraId="3B53EEF5" w14:textId="77777777" w:rsidR="00124A26" w:rsidRPr="00AC3044" w:rsidRDefault="00124A26"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124A26" w:rsidRPr="00AC3044" w14:paraId="7187476F" w14:textId="77777777" w:rsidTr="002D3EBF">
        <w:trPr>
          <w:cantSplit/>
          <w:trHeight w:val="370"/>
        </w:trPr>
        <w:tc>
          <w:tcPr>
            <w:tcW w:w="959" w:type="dxa"/>
            <w:vMerge/>
            <w:textDirection w:val="btLr"/>
            <w:vAlign w:val="center"/>
          </w:tcPr>
          <w:p w14:paraId="7341B420" w14:textId="77777777" w:rsidR="00124A26" w:rsidRPr="00AC3044" w:rsidRDefault="00124A26" w:rsidP="002D3EBF">
            <w:pPr>
              <w:ind w:firstLine="0"/>
              <w:rPr>
                <w:rFonts w:eastAsia="SimSun"/>
              </w:rPr>
            </w:pPr>
          </w:p>
        </w:tc>
        <w:tc>
          <w:tcPr>
            <w:tcW w:w="1701" w:type="dxa"/>
            <w:vAlign w:val="center"/>
          </w:tcPr>
          <w:p w14:paraId="3AA8130E" w14:textId="77777777" w:rsidR="00124A26" w:rsidRPr="00AC3044" w:rsidRDefault="00124A26" w:rsidP="002D3EBF">
            <w:pPr>
              <w:ind w:firstLine="0"/>
              <w:rPr>
                <w:rFonts w:eastAsia="SimSun"/>
              </w:rPr>
            </w:pPr>
            <w:r w:rsidRPr="00AC3044">
              <w:rPr>
                <w:rFonts w:eastAsia="SimSun"/>
              </w:rPr>
              <w:t>Микофенолата мофетил</w:t>
            </w:r>
          </w:p>
        </w:tc>
        <w:tc>
          <w:tcPr>
            <w:tcW w:w="1559" w:type="dxa"/>
            <w:vAlign w:val="center"/>
          </w:tcPr>
          <w:p w14:paraId="5CEFDB6C" w14:textId="77777777" w:rsidR="00124A26" w:rsidRPr="00AC3044" w:rsidRDefault="00124A26" w:rsidP="002D3EBF">
            <w:pPr>
              <w:ind w:firstLine="0"/>
              <w:rPr>
                <w:rFonts w:eastAsia="SimSun"/>
              </w:rPr>
            </w:pPr>
            <w:r w:rsidRPr="00AC3044">
              <w:rPr>
                <w:rFonts w:eastAsia="SimSun"/>
              </w:rPr>
              <w:t xml:space="preserve">30 мг/кг </w:t>
            </w:r>
          </w:p>
        </w:tc>
        <w:tc>
          <w:tcPr>
            <w:tcW w:w="1701" w:type="dxa"/>
            <w:vAlign w:val="center"/>
          </w:tcPr>
          <w:p w14:paraId="78C1A82E" w14:textId="77777777" w:rsidR="00124A26" w:rsidRPr="00AC3044" w:rsidRDefault="00124A26" w:rsidP="002D3EBF">
            <w:pPr>
              <w:ind w:firstLine="0"/>
              <w:rPr>
                <w:rFonts w:eastAsia="SimSun"/>
              </w:rPr>
            </w:pPr>
            <w:r w:rsidRPr="00AC3044">
              <w:rPr>
                <w:rFonts w:eastAsia="SimSun"/>
              </w:rPr>
              <w:t>–</w:t>
            </w:r>
          </w:p>
        </w:tc>
        <w:tc>
          <w:tcPr>
            <w:tcW w:w="1418" w:type="dxa"/>
            <w:vAlign w:val="center"/>
          </w:tcPr>
          <w:p w14:paraId="385DE6C5" w14:textId="77777777" w:rsidR="00124A26" w:rsidRPr="00AC3044" w:rsidRDefault="00124A26" w:rsidP="002D3EBF">
            <w:pPr>
              <w:ind w:firstLine="0"/>
              <w:rPr>
                <w:rFonts w:eastAsia="SimSun"/>
              </w:rPr>
            </w:pPr>
            <w:r w:rsidRPr="00AC3044">
              <w:rPr>
                <w:rFonts w:eastAsia="SimSun"/>
              </w:rPr>
              <w:t xml:space="preserve">С -1 дня по +30 день </w:t>
            </w:r>
          </w:p>
        </w:tc>
        <w:tc>
          <w:tcPr>
            <w:tcW w:w="2268" w:type="dxa"/>
            <w:vAlign w:val="center"/>
          </w:tcPr>
          <w:p w14:paraId="056AE95D" w14:textId="77777777" w:rsidR="00124A26" w:rsidRPr="00AC3044" w:rsidRDefault="00124A26"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6DCC656F" w14:textId="77777777" w:rsidR="00124A26" w:rsidRDefault="00124A26" w:rsidP="00124A26">
      <w:pPr>
        <w:rPr>
          <w:rFonts w:eastAsia="SimSun"/>
        </w:rPr>
      </w:pPr>
      <w:bookmarkStart w:id="225" w:name="_Toc44401182"/>
    </w:p>
    <w:p w14:paraId="555C33C2" w14:textId="77777777" w:rsidR="00124A26" w:rsidRPr="00C07B2E" w:rsidRDefault="00124A26" w:rsidP="00124A26">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2.2.24 – Flu180+Mel100/ PT-Cy+Tx+MMF30</w:t>
      </w:r>
      <w:bookmarkEnd w:id="225"/>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124A26" w:rsidRPr="00AC3044" w14:paraId="63E8093D" w14:textId="77777777" w:rsidTr="002D3EBF">
        <w:trPr>
          <w:cantSplit/>
          <w:trHeight w:val="20"/>
          <w:tblHeader/>
        </w:trPr>
        <w:tc>
          <w:tcPr>
            <w:tcW w:w="959" w:type="dxa"/>
            <w:vAlign w:val="center"/>
          </w:tcPr>
          <w:p w14:paraId="4D3A6AA0" w14:textId="77777777" w:rsidR="00124A26" w:rsidRPr="00AC3044" w:rsidRDefault="00124A26" w:rsidP="002D3EBF">
            <w:pPr>
              <w:ind w:firstLine="0"/>
              <w:rPr>
                <w:rFonts w:eastAsia="SimSun"/>
              </w:rPr>
            </w:pPr>
          </w:p>
        </w:tc>
        <w:tc>
          <w:tcPr>
            <w:tcW w:w="1701" w:type="dxa"/>
            <w:vAlign w:val="center"/>
          </w:tcPr>
          <w:p w14:paraId="55194B19" w14:textId="77777777" w:rsidR="00124A26" w:rsidRPr="00AC3044" w:rsidRDefault="00124A26" w:rsidP="002D3EBF">
            <w:pPr>
              <w:ind w:firstLine="0"/>
              <w:rPr>
                <w:rFonts w:eastAsia="SimSun"/>
              </w:rPr>
            </w:pPr>
            <w:r w:rsidRPr="00AC3044">
              <w:rPr>
                <w:rFonts w:eastAsia="SimSun"/>
              </w:rPr>
              <w:t>Препарат</w:t>
            </w:r>
          </w:p>
        </w:tc>
        <w:tc>
          <w:tcPr>
            <w:tcW w:w="1559" w:type="dxa"/>
            <w:vAlign w:val="center"/>
          </w:tcPr>
          <w:p w14:paraId="4662E928" w14:textId="77777777" w:rsidR="00124A26" w:rsidRPr="00AC3044" w:rsidRDefault="00124A26" w:rsidP="002D3EBF">
            <w:pPr>
              <w:ind w:firstLine="0"/>
              <w:rPr>
                <w:rFonts w:eastAsia="SimSun"/>
              </w:rPr>
            </w:pPr>
            <w:r w:rsidRPr="00AC3044">
              <w:rPr>
                <w:rFonts w:eastAsia="SimSun"/>
              </w:rPr>
              <w:t>Суточная доза</w:t>
            </w:r>
          </w:p>
        </w:tc>
        <w:tc>
          <w:tcPr>
            <w:tcW w:w="1701" w:type="dxa"/>
            <w:vAlign w:val="center"/>
          </w:tcPr>
          <w:p w14:paraId="5B976CA9" w14:textId="77777777" w:rsidR="00124A26" w:rsidRPr="00AC3044" w:rsidRDefault="00124A26" w:rsidP="002D3EBF">
            <w:pPr>
              <w:ind w:firstLine="0"/>
              <w:rPr>
                <w:rFonts w:eastAsia="SimSun"/>
              </w:rPr>
            </w:pPr>
            <w:r w:rsidRPr="00AC3044">
              <w:rPr>
                <w:rFonts w:eastAsia="SimSun"/>
              </w:rPr>
              <w:t>Курсовая доза</w:t>
            </w:r>
          </w:p>
        </w:tc>
        <w:tc>
          <w:tcPr>
            <w:tcW w:w="1418" w:type="dxa"/>
            <w:vAlign w:val="center"/>
          </w:tcPr>
          <w:p w14:paraId="5B307406" w14:textId="77777777" w:rsidR="00124A26" w:rsidRPr="00AC3044" w:rsidRDefault="00124A26" w:rsidP="002D3EBF">
            <w:pPr>
              <w:ind w:firstLine="0"/>
              <w:rPr>
                <w:rFonts w:eastAsia="SimSun"/>
              </w:rPr>
            </w:pPr>
            <w:r w:rsidRPr="00AC3044">
              <w:rPr>
                <w:rFonts w:eastAsia="SimSun"/>
              </w:rPr>
              <w:t>Дни введения</w:t>
            </w:r>
          </w:p>
        </w:tc>
        <w:tc>
          <w:tcPr>
            <w:tcW w:w="2268" w:type="dxa"/>
            <w:vAlign w:val="center"/>
          </w:tcPr>
          <w:p w14:paraId="6CDFE1D8"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68891B96" w14:textId="77777777" w:rsidTr="002D3EBF">
        <w:trPr>
          <w:cantSplit/>
          <w:trHeight w:val="20"/>
        </w:trPr>
        <w:tc>
          <w:tcPr>
            <w:tcW w:w="959" w:type="dxa"/>
            <w:vMerge w:val="restart"/>
            <w:textDirection w:val="btLr"/>
            <w:vAlign w:val="center"/>
          </w:tcPr>
          <w:p w14:paraId="57B7470B" w14:textId="77777777" w:rsidR="00124A26" w:rsidRPr="00AC3044" w:rsidRDefault="00124A26" w:rsidP="002D3EBF">
            <w:pPr>
              <w:ind w:firstLine="0"/>
              <w:rPr>
                <w:rFonts w:eastAsia="SimSun"/>
              </w:rPr>
            </w:pPr>
            <w:r w:rsidRPr="00AC3044">
              <w:rPr>
                <w:rFonts w:eastAsia="SimSun"/>
              </w:rPr>
              <w:t>Кондиционирование</w:t>
            </w:r>
          </w:p>
        </w:tc>
        <w:tc>
          <w:tcPr>
            <w:tcW w:w="1701" w:type="dxa"/>
            <w:vAlign w:val="center"/>
          </w:tcPr>
          <w:p w14:paraId="2D2D61B1" w14:textId="77777777" w:rsidR="00124A26" w:rsidRPr="00AC3044" w:rsidRDefault="00124A26" w:rsidP="002D3EBF">
            <w:pPr>
              <w:ind w:firstLine="0"/>
              <w:rPr>
                <w:rFonts w:eastAsia="SimSun"/>
              </w:rPr>
            </w:pPr>
            <w:r w:rsidRPr="00AC3044">
              <w:rPr>
                <w:rFonts w:eastAsia="SimSun"/>
              </w:rPr>
              <w:t xml:space="preserve">Флударабин </w:t>
            </w:r>
          </w:p>
        </w:tc>
        <w:tc>
          <w:tcPr>
            <w:tcW w:w="1559" w:type="dxa"/>
            <w:vAlign w:val="center"/>
          </w:tcPr>
          <w:p w14:paraId="41097DF8" w14:textId="77777777" w:rsidR="00124A26" w:rsidRPr="00AC3044" w:rsidRDefault="00124A26" w:rsidP="002D3EBF">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2432758D" w14:textId="77777777" w:rsidR="00124A26" w:rsidRPr="00AC3044" w:rsidRDefault="00124A26" w:rsidP="002D3EBF">
            <w:pPr>
              <w:ind w:firstLine="0"/>
              <w:rPr>
                <w:rFonts w:eastAsia="SimSun"/>
              </w:rPr>
            </w:pPr>
            <w:r w:rsidRPr="00AC3044">
              <w:rPr>
                <w:rFonts w:eastAsia="SimSun"/>
              </w:rPr>
              <w:t>180 мг/м</w:t>
            </w:r>
            <w:r w:rsidRPr="001E6DBE">
              <w:rPr>
                <w:rFonts w:eastAsia="SimSun"/>
                <w:vertAlign w:val="superscript"/>
              </w:rPr>
              <w:t>2</w:t>
            </w:r>
          </w:p>
        </w:tc>
        <w:tc>
          <w:tcPr>
            <w:tcW w:w="1418" w:type="dxa"/>
            <w:vAlign w:val="center"/>
          </w:tcPr>
          <w:p w14:paraId="3ED46FA0" w14:textId="77777777" w:rsidR="00124A26" w:rsidRPr="00AC3044" w:rsidRDefault="00124A26" w:rsidP="002D3EBF">
            <w:pPr>
              <w:ind w:firstLine="0"/>
              <w:rPr>
                <w:rFonts w:eastAsia="SimSun"/>
              </w:rPr>
            </w:pPr>
            <w:r w:rsidRPr="00AC3044">
              <w:rPr>
                <w:rFonts w:eastAsia="SimSun"/>
              </w:rPr>
              <w:t>С -7 дня по -2 день</w:t>
            </w:r>
          </w:p>
        </w:tc>
        <w:tc>
          <w:tcPr>
            <w:tcW w:w="2268" w:type="dxa"/>
            <w:vAlign w:val="center"/>
          </w:tcPr>
          <w:p w14:paraId="76CB18F3"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1A95143F" w14:textId="77777777" w:rsidTr="002D3EBF">
        <w:trPr>
          <w:cantSplit/>
          <w:trHeight w:val="440"/>
        </w:trPr>
        <w:tc>
          <w:tcPr>
            <w:tcW w:w="959" w:type="dxa"/>
            <w:vMerge/>
            <w:vAlign w:val="center"/>
          </w:tcPr>
          <w:p w14:paraId="6EF42653" w14:textId="77777777" w:rsidR="00124A26" w:rsidRPr="00AC3044" w:rsidRDefault="00124A26" w:rsidP="002D3EBF">
            <w:pPr>
              <w:ind w:firstLine="0"/>
              <w:rPr>
                <w:rFonts w:eastAsia="SimSun"/>
              </w:rPr>
            </w:pPr>
          </w:p>
        </w:tc>
        <w:tc>
          <w:tcPr>
            <w:tcW w:w="1701" w:type="dxa"/>
            <w:vAlign w:val="center"/>
          </w:tcPr>
          <w:p w14:paraId="276F4061" w14:textId="77777777" w:rsidR="00124A26" w:rsidRPr="00AC3044" w:rsidRDefault="00124A26" w:rsidP="002D3EBF">
            <w:pPr>
              <w:ind w:firstLine="0"/>
              <w:rPr>
                <w:rFonts w:eastAsia="SimSun"/>
              </w:rPr>
            </w:pPr>
            <w:r w:rsidRPr="00AC3044">
              <w:rPr>
                <w:rFonts w:eastAsia="SimSun"/>
              </w:rPr>
              <w:t>Мелфалан</w:t>
            </w:r>
          </w:p>
        </w:tc>
        <w:tc>
          <w:tcPr>
            <w:tcW w:w="1559" w:type="dxa"/>
            <w:vAlign w:val="center"/>
          </w:tcPr>
          <w:p w14:paraId="72059763" w14:textId="77777777" w:rsidR="00124A26" w:rsidRPr="00AC3044" w:rsidRDefault="00124A26" w:rsidP="002D3EBF">
            <w:pPr>
              <w:ind w:firstLine="0"/>
              <w:rPr>
                <w:rFonts w:eastAsia="SimSun"/>
              </w:rPr>
            </w:pPr>
            <w:r w:rsidRPr="00AC3044">
              <w:rPr>
                <w:rFonts w:eastAsia="SimSun"/>
              </w:rPr>
              <w:t>100 мг/м</w:t>
            </w:r>
            <w:r w:rsidRPr="001E6DBE">
              <w:rPr>
                <w:rFonts w:eastAsia="SimSun"/>
                <w:vertAlign w:val="superscript"/>
              </w:rPr>
              <w:t>2</w:t>
            </w:r>
            <w:r w:rsidRPr="00AC3044">
              <w:rPr>
                <w:rFonts w:eastAsia="SimSun"/>
              </w:rPr>
              <w:t xml:space="preserve"> </w:t>
            </w:r>
          </w:p>
        </w:tc>
        <w:tc>
          <w:tcPr>
            <w:tcW w:w="1701" w:type="dxa"/>
            <w:vAlign w:val="center"/>
          </w:tcPr>
          <w:p w14:paraId="5B8D9C1C" w14:textId="77777777" w:rsidR="00124A26" w:rsidRPr="00AC3044" w:rsidRDefault="00124A26" w:rsidP="002D3EBF">
            <w:pPr>
              <w:ind w:firstLine="0"/>
              <w:rPr>
                <w:rFonts w:eastAsia="SimSun"/>
              </w:rPr>
            </w:pPr>
            <w:r w:rsidRPr="00AC3044">
              <w:rPr>
                <w:rFonts w:eastAsia="SimSun"/>
              </w:rPr>
              <w:t>100 мг/м</w:t>
            </w:r>
            <w:r w:rsidRPr="001E6DBE">
              <w:rPr>
                <w:rFonts w:eastAsia="SimSun"/>
                <w:vertAlign w:val="superscript"/>
              </w:rPr>
              <w:t>2</w:t>
            </w:r>
          </w:p>
        </w:tc>
        <w:tc>
          <w:tcPr>
            <w:tcW w:w="1418" w:type="dxa"/>
            <w:vAlign w:val="center"/>
          </w:tcPr>
          <w:p w14:paraId="62AAD4C8" w14:textId="77777777" w:rsidR="00124A26" w:rsidRPr="00AC3044" w:rsidRDefault="00124A26" w:rsidP="002D3EBF">
            <w:pPr>
              <w:ind w:firstLine="0"/>
              <w:rPr>
                <w:rFonts w:eastAsia="SimSun"/>
              </w:rPr>
            </w:pPr>
            <w:r w:rsidRPr="00AC3044">
              <w:rPr>
                <w:rFonts w:eastAsia="SimSun"/>
              </w:rPr>
              <w:t xml:space="preserve">В -2 день </w:t>
            </w:r>
          </w:p>
        </w:tc>
        <w:tc>
          <w:tcPr>
            <w:tcW w:w="2268" w:type="dxa"/>
            <w:vAlign w:val="center"/>
          </w:tcPr>
          <w:p w14:paraId="4EB1EB1A" w14:textId="77777777" w:rsidR="00124A26" w:rsidRPr="00AC3044" w:rsidRDefault="00124A26" w:rsidP="002D3EBF">
            <w:pPr>
              <w:ind w:firstLine="0"/>
              <w:rPr>
                <w:rFonts w:eastAsia="SimSun"/>
              </w:rPr>
            </w:pPr>
            <w:r w:rsidRPr="00AC3044">
              <w:rPr>
                <w:rFonts w:eastAsia="SimSun"/>
              </w:rPr>
              <w:t>В/в, в течение 1 часа</w:t>
            </w:r>
          </w:p>
        </w:tc>
      </w:tr>
      <w:tr w:rsidR="00124A26" w:rsidRPr="00AC3044" w14:paraId="1B4224FF" w14:textId="77777777" w:rsidTr="002D3EBF">
        <w:trPr>
          <w:cantSplit/>
          <w:trHeight w:val="516"/>
        </w:trPr>
        <w:tc>
          <w:tcPr>
            <w:tcW w:w="959" w:type="dxa"/>
            <w:vMerge w:val="restart"/>
            <w:textDirection w:val="btLr"/>
            <w:vAlign w:val="center"/>
          </w:tcPr>
          <w:p w14:paraId="64367985" w14:textId="77777777" w:rsidR="00124A26" w:rsidRPr="00AC3044" w:rsidRDefault="00124A26" w:rsidP="002D3EBF">
            <w:pPr>
              <w:ind w:firstLine="0"/>
              <w:rPr>
                <w:rFonts w:eastAsia="SimSun"/>
              </w:rPr>
            </w:pPr>
            <w:r w:rsidRPr="00AC3044">
              <w:rPr>
                <w:rFonts w:eastAsia="SimSun"/>
              </w:rPr>
              <w:t>Профилактика РТПХ</w:t>
            </w:r>
          </w:p>
        </w:tc>
        <w:tc>
          <w:tcPr>
            <w:tcW w:w="1701" w:type="dxa"/>
            <w:vAlign w:val="center"/>
          </w:tcPr>
          <w:p w14:paraId="18E0CBD8" w14:textId="77777777" w:rsidR="00124A26" w:rsidRPr="00AC3044" w:rsidRDefault="00124A26" w:rsidP="002D3EBF">
            <w:pPr>
              <w:ind w:firstLine="0"/>
              <w:rPr>
                <w:rFonts w:eastAsia="SimSun"/>
              </w:rPr>
            </w:pPr>
            <w:r w:rsidRPr="00AC3044">
              <w:rPr>
                <w:rFonts w:eastAsia="SimSun"/>
              </w:rPr>
              <w:t>Циклофосфамид</w:t>
            </w:r>
          </w:p>
        </w:tc>
        <w:tc>
          <w:tcPr>
            <w:tcW w:w="1559" w:type="dxa"/>
            <w:vAlign w:val="center"/>
          </w:tcPr>
          <w:p w14:paraId="02F8DFDC" w14:textId="77777777" w:rsidR="00124A26" w:rsidRPr="00AC3044" w:rsidRDefault="00124A26" w:rsidP="002D3EBF">
            <w:pPr>
              <w:ind w:firstLine="0"/>
              <w:rPr>
                <w:rFonts w:eastAsia="SimSun"/>
              </w:rPr>
            </w:pPr>
            <w:r w:rsidRPr="00AC3044">
              <w:rPr>
                <w:rFonts w:eastAsia="SimSun"/>
              </w:rPr>
              <w:t>50 мг/кг</w:t>
            </w:r>
          </w:p>
        </w:tc>
        <w:tc>
          <w:tcPr>
            <w:tcW w:w="1701" w:type="dxa"/>
            <w:vAlign w:val="center"/>
          </w:tcPr>
          <w:p w14:paraId="20B0ABDA" w14:textId="77777777" w:rsidR="00124A26" w:rsidRPr="00AC3044" w:rsidRDefault="00124A26" w:rsidP="002D3EBF">
            <w:pPr>
              <w:ind w:firstLine="0"/>
              <w:rPr>
                <w:rFonts w:eastAsia="SimSun"/>
              </w:rPr>
            </w:pPr>
            <w:r w:rsidRPr="00AC3044">
              <w:rPr>
                <w:rFonts w:eastAsia="SimSun"/>
              </w:rPr>
              <w:t>100 мг/кг</w:t>
            </w:r>
          </w:p>
        </w:tc>
        <w:tc>
          <w:tcPr>
            <w:tcW w:w="1418" w:type="dxa"/>
            <w:vAlign w:val="center"/>
          </w:tcPr>
          <w:p w14:paraId="34BD9521" w14:textId="77777777" w:rsidR="00124A26" w:rsidRPr="00AC3044" w:rsidRDefault="00124A26" w:rsidP="002D3EBF">
            <w:pPr>
              <w:ind w:firstLine="0"/>
              <w:rPr>
                <w:rFonts w:eastAsia="SimSun"/>
              </w:rPr>
            </w:pPr>
            <w:r w:rsidRPr="00AC3044">
              <w:rPr>
                <w:rFonts w:eastAsia="SimSun"/>
              </w:rPr>
              <w:t xml:space="preserve">+3,+4 дни </w:t>
            </w:r>
          </w:p>
        </w:tc>
        <w:tc>
          <w:tcPr>
            <w:tcW w:w="2268" w:type="dxa"/>
            <w:vAlign w:val="center"/>
          </w:tcPr>
          <w:p w14:paraId="680ECFAE" w14:textId="77777777" w:rsidR="00124A26" w:rsidRPr="00AC3044" w:rsidRDefault="00124A26" w:rsidP="002D3EBF">
            <w:pPr>
              <w:ind w:firstLine="0"/>
              <w:rPr>
                <w:rFonts w:eastAsia="SimSun"/>
              </w:rPr>
            </w:pPr>
            <w:r w:rsidRPr="00AC3044">
              <w:rPr>
                <w:rFonts w:eastAsia="SimSun"/>
              </w:rPr>
              <w:t xml:space="preserve">В/в, в течение 2 ч </w:t>
            </w:r>
          </w:p>
        </w:tc>
      </w:tr>
      <w:tr w:rsidR="00124A26" w:rsidRPr="00AC3044" w14:paraId="73CB6665" w14:textId="77777777" w:rsidTr="002D3EBF">
        <w:trPr>
          <w:cantSplit/>
          <w:trHeight w:val="958"/>
        </w:trPr>
        <w:tc>
          <w:tcPr>
            <w:tcW w:w="959" w:type="dxa"/>
            <w:vMerge/>
            <w:textDirection w:val="btLr"/>
            <w:vAlign w:val="center"/>
          </w:tcPr>
          <w:p w14:paraId="53921BDC" w14:textId="77777777" w:rsidR="00124A26" w:rsidRPr="00AC3044" w:rsidRDefault="00124A26" w:rsidP="002D3EBF">
            <w:pPr>
              <w:ind w:firstLine="0"/>
              <w:rPr>
                <w:rFonts w:eastAsia="SimSun"/>
              </w:rPr>
            </w:pPr>
          </w:p>
        </w:tc>
        <w:tc>
          <w:tcPr>
            <w:tcW w:w="1701" w:type="dxa"/>
            <w:vAlign w:val="center"/>
          </w:tcPr>
          <w:p w14:paraId="27439CDE" w14:textId="77777777" w:rsidR="00124A26" w:rsidRPr="00AC3044" w:rsidRDefault="00124A26" w:rsidP="002D3EBF">
            <w:pPr>
              <w:ind w:firstLine="0"/>
              <w:rPr>
                <w:rFonts w:eastAsia="SimSun"/>
              </w:rPr>
            </w:pPr>
            <w:r w:rsidRPr="00AC3044">
              <w:rPr>
                <w:rFonts w:eastAsia="SimSun"/>
              </w:rPr>
              <w:t xml:space="preserve">Такролимус </w:t>
            </w:r>
          </w:p>
        </w:tc>
        <w:tc>
          <w:tcPr>
            <w:tcW w:w="1559" w:type="dxa"/>
            <w:vAlign w:val="center"/>
          </w:tcPr>
          <w:p w14:paraId="67E5B13C" w14:textId="77777777" w:rsidR="00124A26" w:rsidRPr="00AC3044" w:rsidRDefault="00124A26" w:rsidP="002D3EBF">
            <w:pPr>
              <w:ind w:firstLine="0"/>
              <w:rPr>
                <w:rFonts w:eastAsia="SimSun"/>
              </w:rPr>
            </w:pPr>
            <w:r w:rsidRPr="00AC3044">
              <w:rPr>
                <w:rFonts w:eastAsia="SimSun"/>
              </w:rPr>
              <w:t>0,03 мг/кг</w:t>
            </w:r>
          </w:p>
        </w:tc>
        <w:tc>
          <w:tcPr>
            <w:tcW w:w="1701" w:type="dxa"/>
            <w:vAlign w:val="center"/>
          </w:tcPr>
          <w:p w14:paraId="71CD3AA9" w14:textId="77777777" w:rsidR="00124A26" w:rsidRPr="00AC3044" w:rsidRDefault="00124A26" w:rsidP="002D3EBF">
            <w:pPr>
              <w:ind w:firstLine="0"/>
              <w:rPr>
                <w:rFonts w:eastAsia="SimSun"/>
              </w:rPr>
            </w:pPr>
            <w:r w:rsidRPr="00AC3044">
              <w:rPr>
                <w:rFonts w:eastAsia="SimSun"/>
              </w:rPr>
              <w:t>–</w:t>
            </w:r>
          </w:p>
        </w:tc>
        <w:tc>
          <w:tcPr>
            <w:tcW w:w="1418" w:type="dxa"/>
            <w:vAlign w:val="center"/>
          </w:tcPr>
          <w:p w14:paraId="69506CDD" w14:textId="77777777" w:rsidR="00124A26" w:rsidRPr="00AC3044" w:rsidRDefault="00124A26" w:rsidP="002D3EBF">
            <w:pPr>
              <w:ind w:firstLine="0"/>
              <w:rPr>
                <w:rFonts w:eastAsia="SimSun"/>
              </w:rPr>
            </w:pPr>
            <w:r w:rsidRPr="00AC3044">
              <w:rPr>
                <w:rFonts w:eastAsia="SimSun"/>
              </w:rPr>
              <w:t xml:space="preserve">С -1 дня длительно </w:t>
            </w:r>
          </w:p>
        </w:tc>
        <w:tc>
          <w:tcPr>
            <w:tcW w:w="2268" w:type="dxa"/>
            <w:vAlign w:val="center"/>
          </w:tcPr>
          <w:p w14:paraId="4D6D43B5" w14:textId="77777777" w:rsidR="00124A26" w:rsidRPr="00AC3044" w:rsidRDefault="00124A26"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124A26" w:rsidRPr="00AC3044" w14:paraId="56B48567" w14:textId="77777777" w:rsidTr="002D3EBF">
        <w:trPr>
          <w:cantSplit/>
          <w:trHeight w:val="986"/>
        </w:trPr>
        <w:tc>
          <w:tcPr>
            <w:tcW w:w="959" w:type="dxa"/>
            <w:vMerge/>
            <w:textDirection w:val="btLr"/>
            <w:vAlign w:val="center"/>
          </w:tcPr>
          <w:p w14:paraId="5D242341" w14:textId="77777777" w:rsidR="00124A26" w:rsidRPr="00AC3044" w:rsidRDefault="00124A26" w:rsidP="002D3EBF">
            <w:pPr>
              <w:ind w:firstLine="0"/>
              <w:rPr>
                <w:rFonts w:eastAsia="SimSun"/>
              </w:rPr>
            </w:pPr>
          </w:p>
        </w:tc>
        <w:tc>
          <w:tcPr>
            <w:tcW w:w="1701" w:type="dxa"/>
            <w:vAlign w:val="center"/>
          </w:tcPr>
          <w:p w14:paraId="4E696A7A" w14:textId="77777777" w:rsidR="00124A26" w:rsidRPr="00AC3044" w:rsidRDefault="00124A26" w:rsidP="002D3EBF">
            <w:pPr>
              <w:ind w:firstLine="0"/>
              <w:rPr>
                <w:rFonts w:eastAsia="SimSun"/>
              </w:rPr>
            </w:pPr>
            <w:r w:rsidRPr="00AC3044">
              <w:rPr>
                <w:rFonts w:eastAsia="SimSun"/>
              </w:rPr>
              <w:t>Микофенолата мофетил</w:t>
            </w:r>
          </w:p>
        </w:tc>
        <w:tc>
          <w:tcPr>
            <w:tcW w:w="1559" w:type="dxa"/>
            <w:vAlign w:val="center"/>
          </w:tcPr>
          <w:p w14:paraId="3D269972" w14:textId="77777777" w:rsidR="00124A26" w:rsidRPr="00AC3044" w:rsidRDefault="00124A26" w:rsidP="002D3EBF">
            <w:pPr>
              <w:ind w:firstLine="0"/>
              <w:rPr>
                <w:rFonts w:eastAsia="SimSun"/>
              </w:rPr>
            </w:pPr>
            <w:r w:rsidRPr="00AC3044">
              <w:rPr>
                <w:rFonts w:eastAsia="SimSun"/>
              </w:rPr>
              <w:t xml:space="preserve">30 мг/кг </w:t>
            </w:r>
          </w:p>
        </w:tc>
        <w:tc>
          <w:tcPr>
            <w:tcW w:w="1701" w:type="dxa"/>
            <w:vAlign w:val="center"/>
          </w:tcPr>
          <w:p w14:paraId="0CD97D10" w14:textId="77777777" w:rsidR="00124A26" w:rsidRPr="00AC3044" w:rsidRDefault="00124A26" w:rsidP="002D3EBF">
            <w:pPr>
              <w:ind w:firstLine="0"/>
              <w:rPr>
                <w:rFonts w:eastAsia="SimSun"/>
              </w:rPr>
            </w:pPr>
            <w:r w:rsidRPr="00AC3044">
              <w:rPr>
                <w:rFonts w:eastAsia="SimSun"/>
              </w:rPr>
              <w:t>–</w:t>
            </w:r>
          </w:p>
        </w:tc>
        <w:tc>
          <w:tcPr>
            <w:tcW w:w="1418" w:type="dxa"/>
            <w:vAlign w:val="center"/>
          </w:tcPr>
          <w:p w14:paraId="0E9F8FB4" w14:textId="77777777" w:rsidR="00124A26" w:rsidRPr="00AC3044" w:rsidRDefault="00124A26" w:rsidP="002D3EBF">
            <w:pPr>
              <w:ind w:firstLine="0"/>
              <w:rPr>
                <w:rFonts w:eastAsia="SimSun"/>
              </w:rPr>
            </w:pPr>
            <w:r w:rsidRPr="00AC3044">
              <w:rPr>
                <w:rFonts w:eastAsia="SimSun"/>
              </w:rPr>
              <w:t xml:space="preserve">С -1 дня по +30 день </w:t>
            </w:r>
          </w:p>
        </w:tc>
        <w:tc>
          <w:tcPr>
            <w:tcW w:w="2268" w:type="dxa"/>
            <w:vAlign w:val="center"/>
          </w:tcPr>
          <w:p w14:paraId="1A58AB68" w14:textId="77777777" w:rsidR="00124A26" w:rsidRPr="00AC3044" w:rsidRDefault="00124A26"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666EAB57" w14:textId="77777777" w:rsidR="00124A26" w:rsidRPr="00C07B2E" w:rsidRDefault="00124A26" w:rsidP="00124A26">
      <w:pPr>
        <w:rPr>
          <w:rFonts w:eastAsia="SimSun"/>
        </w:rPr>
        <w:sectPr w:rsidR="00124A26" w:rsidRPr="00C07B2E" w:rsidSect="00980822">
          <w:footerReference w:type="default" r:id="rId26"/>
          <w:type w:val="continuous"/>
          <w:pgSz w:w="11907" w:h="16839" w:code="9"/>
          <w:pgMar w:top="1134" w:right="850" w:bottom="1134" w:left="1701" w:header="709" w:footer="567" w:gutter="0"/>
          <w:cols w:space="708"/>
          <w:docGrid w:linePitch="360"/>
        </w:sectPr>
      </w:pPr>
    </w:p>
    <w:p w14:paraId="3EB00A2A" w14:textId="77777777" w:rsidR="00124A26" w:rsidRDefault="00124A26" w:rsidP="00124A26">
      <w:pPr>
        <w:rPr>
          <w:rFonts w:eastAsia="SimSun"/>
        </w:rPr>
      </w:pPr>
      <w:bookmarkStart w:id="226" w:name="_Toc44401183"/>
    </w:p>
    <w:p w14:paraId="0282B3C5" w14:textId="77777777" w:rsidR="00124A26" w:rsidRPr="00470E23" w:rsidRDefault="00124A26" w:rsidP="00124A26">
      <w:pPr>
        <w:rPr>
          <w:rFonts w:eastAsia="SimSun"/>
          <w:i/>
          <w:u w:val="single"/>
        </w:rPr>
      </w:pPr>
      <w:r w:rsidRPr="00470E23">
        <w:rPr>
          <w:rFonts w:eastAsia="SimSun"/>
          <w:i/>
          <w:u w:val="single"/>
        </w:rPr>
        <w:t>2. Неродственный HLA-идентичный донор</w:t>
      </w:r>
      <w:bookmarkEnd w:id="226"/>
      <w:r w:rsidRPr="00470E23">
        <w:rPr>
          <w:rFonts w:eastAsia="SimSun"/>
          <w:i/>
          <w:u w:val="single"/>
        </w:rPr>
        <w:t xml:space="preserve"> </w:t>
      </w:r>
    </w:p>
    <w:p w14:paraId="6B373D1E" w14:textId="77777777" w:rsidR="00124A26" w:rsidRDefault="00124A26" w:rsidP="00124A26">
      <w:pPr>
        <w:rPr>
          <w:rFonts w:eastAsia="SimSun"/>
        </w:rPr>
      </w:pPr>
      <w:bookmarkStart w:id="227" w:name="_Toc44401184"/>
    </w:p>
    <w:bookmarkEnd w:id="227"/>
    <w:p w14:paraId="41309CB7" w14:textId="77777777" w:rsidR="00124A26" w:rsidRPr="00C07B2E" w:rsidRDefault="00124A26" w:rsidP="00124A26">
      <w:pPr>
        <w:rPr>
          <w:rFonts w:eastAsia="SimSun"/>
        </w:rPr>
      </w:pPr>
      <w:r w:rsidRPr="00C07B2E">
        <w:rPr>
          <w:rFonts w:eastAsia="SimSun"/>
        </w:rPr>
        <w:t xml:space="preserve">Схемы и режимы применения препаратов для </w:t>
      </w:r>
      <w:r w:rsidRPr="00470E23">
        <w:rPr>
          <w:rFonts w:eastAsia="SimSun"/>
          <w:b/>
          <w:u w:val="single"/>
        </w:rPr>
        <w:t>кондиционирования в миелоаблативном режиме</w:t>
      </w:r>
      <w:r w:rsidRPr="00C07B2E">
        <w:rPr>
          <w:rFonts w:eastAsia="SimSun"/>
        </w:rPr>
        <w:t xml:space="preserve"> и профилактики РТПХ указаны в Таблице </w:t>
      </w:r>
      <w:r>
        <w:rPr>
          <w:rFonts w:eastAsia="SimSun"/>
        </w:rPr>
        <w:t>5.</w:t>
      </w:r>
      <w:r w:rsidRPr="00C07B2E">
        <w:rPr>
          <w:rFonts w:eastAsia="SimSun"/>
        </w:rPr>
        <w:t>2.1</w:t>
      </w:r>
    </w:p>
    <w:p w14:paraId="00F8E9C8" w14:textId="77777777" w:rsidR="00124A26" w:rsidRPr="00C07B2E" w:rsidRDefault="00124A26" w:rsidP="00124A26">
      <w:pPr>
        <w:rPr>
          <w:rFonts w:eastAsia="SimSun"/>
        </w:rPr>
        <w:sectPr w:rsidR="00124A26" w:rsidRPr="00C07B2E" w:rsidSect="00980822">
          <w:headerReference w:type="even" r:id="rId27"/>
          <w:type w:val="continuous"/>
          <w:pgSz w:w="11907" w:h="16839" w:code="9"/>
          <w:pgMar w:top="1134" w:right="850" w:bottom="1134" w:left="1701" w:header="709" w:footer="567" w:gutter="0"/>
          <w:cols w:space="708"/>
          <w:docGrid w:linePitch="360"/>
        </w:sectPr>
      </w:pPr>
    </w:p>
    <w:p w14:paraId="682D5434" w14:textId="77777777" w:rsidR="00124A26" w:rsidRPr="00C07B2E" w:rsidRDefault="00124A26" w:rsidP="00124A26">
      <w:pPr>
        <w:rPr>
          <w:rFonts w:eastAsia="SimSun"/>
        </w:rPr>
      </w:pPr>
      <w:r w:rsidRPr="00C07B2E">
        <w:rPr>
          <w:rFonts w:eastAsia="SimSun"/>
        </w:rPr>
        <w:t xml:space="preserve">Таблица </w:t>
      </w:r>
      <w:r>
        <w:rPr>
          <w:rFonts w:eastAsia="SimSun"/>
        </w:rPr>
        <w:t>5.</w:t>
      </w:r>
      <w:r w:rsidRPr="00C07B2E">
        <w:rPr>
          <w:rFonts w:eastAsia="SimSun"/>
        </w:rPr>
        <w:t xml:space="preserve">2.1 Схемы и режимы применения препаратов для кондиционирования и профилактики РТПХ со ссылками на </w:t>
      </w:r>
      <w:r>
        <w:rPr>
          <w:rFonts w:eastAsia="SimSun"/>
        </w:rPr>
        <w:t>таблицы с описанием</w:t>
      </w:r>
    </w:p>
    <w:p w14:paraId="2E0431B9" w14:textId="77777777" w:rsidR="00124A26" w:rsidRPr="00C07B2E" w:rsidRDefault="00124A26" w:rsidP="00124A26">
      <w:pPr>
        <w:rPr>
          <w:rFonts w:eastAsia="SimSun"/>
        </w:rPr>
      </w:pPr>
    </w:p>
    <w:tbl>
      <w:tblPr>
        <w:tblW w:w="49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9"/>
        <w:gridCol w:w="1346"/>
        <w:gridCol w:w="1450"/>
        <w:gridCol w:w="2017"/>
        <w:gridCol w:w="2116"/>
        <w:gridCol w:w="1913"/>
        <w:gridCol w:w="2113"/>
        <w:gridCol w:w="1603"/>
      </w:tblGrid>
      <w:tr w:rsidR="00124A26" w:rsidRPr="00470E23" w14:paraId="46100101" w14:textId="77777777" w:rsidTr="002D3EBF">
        <w:trPr>
          <w:cantSplit/>
          <w:trHeight w:val="640"/>
        </w:trPr>
        <w:tc>
          <w:tcPr>
            <w:tcW w:w="2255" w:type="pct"/>
            <w:gridSpan w:val="4"/>
            <w:vMerge w:val="restart"/>
            <w:shd w:val="clear" w:color="auto" w:fill="auto"/>
            <w:vAlign w:val="center"/>
          </w:tcPr>
          <w:p w14:paraId="71F45B8C" w14:textId="77777777" w:rsidR="00124A26" w:rsidRPr="00470E23" w:rsidRDefault="00124A26" w:rsidP="002D3EBF">
            <w:pPr>
              <w:ind w:firstLine="0"/>
              <w:rPr>
                <w:rFonts w:eastAsia="SimSun"/>
              </w:rPr>
            </w:pPr>
            <w:r w:rsidRPr="00470E23">
              <w:rPr>
                <w:rFonts w:eastAsia="SimSun"/>
              </w:rPr>
              <w:t>Профилактика РТПХ</w:t>
            </w:r>
          </w:p>
        </w:tc>
        <w:tc>
          <w:tcPr>
            <w:tcW w:w="2745" w:type="pct"/>
            <w:gridSpan w:val="4"/>
            <w:tcBorders>
              <w:left w:val="single" w:sz="4" w:space="0" w:color="00000A"/>
              <w:right w:val="single" w:sz="4" w:space="0" w:color="00000A"/>
            </w:tcBorders>
            <w:shd w:val="clear" w:color="auto" w:fill="auto"/>
          </w:tcPr>
          <w:p w14:paraId="466905CA" w14:textId="77777777" w:rsidR="00124A26" w:rsidRPr="00470E23" w:rsidRDefault="00124A26" w:rsidP="002D3EBF">
            <w:pPr>
              <w:ind w:firstLine="0"/>
              <w:rPr>
                <w:rFonts w:eastAsia="SimSun"/>
              </w:rPr>
            </w:pPr>
            <w:r w:rsidRPr="00470E23">
              <w:rPr>
                <w:rFonts w:eastAsia="SimSun"/>
              </w:rPr>
              <w:t>Режим кондиционирования</w:t>
            </w:r>
          </w:p>
        </w:tc>
      </w:tr>
      <w:tr w:rsidR="00124A26" w:rsidRPr="00470E23" w14:paraId="055DAED6" w14:textId="77777777" w:rsidTr="002D3EBF">
        <w:trPr>
          <w:cantSplit/>
          <w:trHeight w:val="549"/>
        </w:trPr>
        <w:tc>
          <w:tcPr>
            <w:tcW w:w="2255" w:type="pct"/>
            <w:gridSpan w:val="4"/>
            <w:vMerge/>
            <w:shd w:val="clear" w:color="auto" w:fill="auto"/>
            <w:vAlign w:val="center"/>
          </w:tcPr>
          <w:p w14:paraId="6F036F68" w14:textId="77777777" w:rsidR="00124A26" w:rsidRPr="00470E23" w:rsidRDefault="00124A26" w:rsidP="002D3EBF">
            <w:pPr>
              <w:ind w:firstLine="0"/>
              <w:rPr>
                <w:rFonts w:eastAsia="SimSun"/>
              </w:rPr>
            </w:pPr>
          </w:p>
        </w:tc>
        <w:tc>
          <w:tcPr>
            <w:tcW w:w="750" w:type="pct"/>
            <w:shd w:val="clear" w:color="auto" w:fill="D9D9D9"/>
            <w:vAlign w:val="center"/>
          </w:tcPr>
          <w:p w14:paraId="71D5E622" w14:textId="77777777" w:rsidR="00124A26" w:rsidRPr="00470E23" w:rsidRDefault="00124A26" w:rsidP="002D3EBF">
            <w:pPr>
              <w:ind w:firstLine="0"/>
              <w:rPr>
                <w:rFonts w:eastAsia="SimSun"/>
              </w:rPr>
            </w:pPr>
            <w:r w:rsidRPr="00470E23">
              <w:rPr>
                <w:rFonts w:eastAsia="SimSun"/>
              </w:rPr>
              <w:t>Cy120</w:t>
            </w:r>
          </w:p>
        </w:tc>
        <w:tc>
          <w:tcPr>
            <w:tcW w:w="1995" w:type="pct"/>
            <w:gridSpan w:val="3"/>
            <w:shd w:val="clear" w:color="auto" w:fill="D9D9D9"/>
            <w:vAlign w:val="center"/>
          </w:tcPr>
          <w:p w14:paraId="35EAA235" w14:textId="77777777" w:rsidR="00124A26" w:rsidRPr="00470E23" w:rsidRDefault="00124A26" w:rsidP="002D3EBF">
            <w:pPr>
              <w:ind w:firstLine="0"/>
              <w:rPr>
                <w:rFonts w:eastAsia="SimSun"/>
              </w:rPr>
            </w:pPr>
            <w:r w:rsidRPr="00470E23">
              <w:rPr>
                <w:rFonts w:eastAsia="SimSun"/>
              </w:rPr>
              <w:t>Flu180</w:t>
            </w:r>
          </w:p>
        </w:tc>
      </w:tr>
      <w:tr w:rsidR="00124A26" w:rsidRPr="00470E23" w14:paraId="316F4BB0" w14:textId="77777777" w:rsidTr="002D3EBF">
        <w:trPr>
          <w:cantSplit/>
          <w:trHeight w:val="571"/>
        </w:trPr>
        <w:tc>
          <w:tcPr>
            <w:tcW w:w="2255" w:type="pct"/>
            <w:gridSpan w:val="4"/>
            <w:vMerge/>
            <w:shd w:val="clear" w:color="auto" w:fill="auto"/>
            <w:vAlign w:val="center"/>
          </w:tcPr>
          <w:p w14:paraId="76090A93" w14:textId="77777777" w:rsidR="00124A26" w:rsidRPr="00470E23" w:rsidRDefault="00124A26" w:rsidP="002D3EBF">
            <w:pPr>
              <w:ind w:firstLine="0"/>
              <w:rPr>
                <w:rFonts w:eastAsia="SimSun"/>
              </w:rPr>
            </w:pPr>
          </w:p>
        </w:tc>
        <w:tc>
          <w:tcPr>
            <w:tcW w:w="750" w:type="pct"/>
            <w:shd w:val="clear" w:color="auto" w:fill="D9D9D9"/>
            <w:vAlign w:val="center"/>
          </w:tcPr>
          <w:p w14:paraId="53E7AA81" w14:textId="77777777" w:rsidR="00124A26" w:rsidRPr="00470E23" w:rsidRDefault="00124A26" w:rsidP="002D3EBF">
            <w:pPr>
              <w:ind w:firstLine="0"/>
              <w:rPr>
                <w:rFonts w:eastAsia="SimSun"/>
              </w:rPr>
            </w:pPr>
            <w:r w:rsidRPr="00470E23">
              <w:rPr>
                <w:rFonts w:eastAsia="SimSun"/>
              </w:rPr>
              <w:t>Bu12</w:t>
            </w:r>
          </w:p>
        </w:tc>
        <w:tc>
          <w:tcPr>
            <w:tcW w:w="678" w:type="pct"/>
            <w:shd w:val="clear" w:color="auto" w:fill="D9D9D9"/>
            <w:vAlign w:val="center"/>
          </w:tcPr>
          <w:p w14:paraId="7984EF80" w14:textId="77777777" w:rsidR="00124A26" w:rsidRPr="00470E23" w:rsidRDefault="00124A26" w:rsidP="002D3EBF">
            <w:pPr>
              <w:ind w:firstLine="0"/>
              <w:rPr>
                <w:rFonts w:eastAsia="SimSun"/>
              </w:rPr>
            </w:pPr>
            <w:r w:rsidRPr="00470E23">
              <w:rPr>
                <w:rFonts w:eastAsia="SimSun"/>
              </w:rPr>
              <w:t>Bu12</w:t>
            </w:r>
          </w:p>
        </w:tc>
        <w:tc>
          <w:tcPr>
            <w:tcW w:w="749" w:type="pct"/>
            <w:shd w:val="clear" w:color="auto" w:fill="D9D9D9"/>
            <w:vAlign w:val="center"/>
          </w:tcPr>
          <w:p w14:paraId="7BE4FD21" w14:textId="77777777" w:rsidR="00124A26" w:rsidRPr="00470E23" w:rsidRDefault="00124A26" w:rsidP="002D3EBF">
            <w:pPr>
              <w:ind w:firstLine="0"/>
              <w:rPr>
                <w:rFonts w:eastAsia="SimSun"/>
              </w:rPr>
            </w:pPr>
            <w:r w:rsidRPr="00470E23">
              <w:rPr>
                <w:rFonts w:eastAsia="SimSun"/>
              </w:rPr>
              <w:t>Bu14</w:t>
            </w:r>
          </w:p>
        </w:tc>
        <w:tc>
          <w:tcPr>
            <w:tcW w:w="568" w:type="pct"/>
            <w:shd w:val="clear" w:color="auto" w:fill="D9D9D9"/>
            <w:vAlign w:val="center"/>
          </w:tcPr>
          <w:p w14:paraId="1ACFD01B" w14:textId="77777777" w:rsidR="00124A26" w:rsidRPr="00470E23" w:rsidRDefault="00124A26" w:rsidP="002D3EBF">
            <w:pPr>
              <w:ind w:firstLine="0"/>
              <w:rPr>
                <w:rFonts w:eastAsia="SimSun"/>
              </w:rPr>
            </w:pPr>
            <w:r w:rsidRPr="00470E23">
              <w:rPr>
                <w:rFonts w:eastAsia="SimSun"/>
              </w:rPr>
              <w:t>Treo42</w:t>
            </w:r>
          </w:p>
        </w:tc>
      </w:tr>
      <w:tr w:rsidR="00124A26" w:rsidRPr="00470E23" w14:paraId="39260F1C" w14:textId="77777777" w:rsidTr="002D3EBF">
        <w:trPr>
          <w:cantSplit/>
          <w:trHeight w:val="551"/>
        </w:trPr>
        <w:tc>
          <w:tcPr>
            <w:tcW w:w="2255" w:type="pct"/>
            <w:gridSpan w:val="4"/>
            <w:vMerge/>
            <w:shd w:val="clear" w:color="auto" w:fill="auto"/>
            <w:vAlign w:val="center"/>
          </w:tcPr>
          <w:p w14:paraId="15B77B67" w14:textId="77777777" w:rsidR="00124A26" w:rsidRPr="00470E23" w:rsidRDefault="00124A26" w:rsidP="002D3EBF">
            <w:pPr>
              <w:ind w:firstLine="0"/>
              <w:rPr>
                <w:rFonts w:eastAsia="SimSun"/>
              </w:rPr>
            </w:pPr>
          </w:p>
        </w:tc>
        <w:tc>
          <w:tcPr>
            <w:tcW w:w="750" w:type="pct"/>
            <w:shd w:val="clear" w:color="auto" w:fill="D9D9D9"/>
            <w:vAlign w:val="center"/>
          </w:tcPr>
          <w:p w14:paraId="3B05D770" w14:textId="77777777" w:rsidR="00124A26" w:rsidRPr="00470E23" w:rsidRDefault="00124A26" w:rsidP="002D3EBF">
            <w:pPr>
              <w:ind w:firstLine="0"/>
              <w:rPr>
                <w:rFonts w:eastAsia="SimSun"/>
              </w:rPr>
            </w:pPr>
            <w:r w:rsidRPr="00470E23">
              <w:rPr>
                <w:rFonts w:eastAsia="SimSun"/>
              </w:rPr>
              <w:t>-</w:t>
            </w:r>
          </w:p>
        </w:tc>
        <w:tc>
          <w:tcPr>
            <w:tcW w:w="678" w:type="pct"/>
            <w:shd w:val="clear" w:color="auto" w:fill="D9D9D9"/>
            <w:vAlign w:val="center"/>
          </w:tcPr>
          <w:p w14:paraId="6A26C64A" w14:textId="77777777" w:rsidR="00124A26" w:rsidRPr="00470E23" w:rsidRDefault="00124A26" w:rsidP="002D3EBF">
            <w:pPr>
              <w:ind w:firstLine="0"/>
              <w:rPr>
                <w:rFonts w:eastAsia="SimSun"/>
              </w:rPr>
            </w:pPr>
            <w:r w:rsidRPr="00470E23">
              <w:rPr>
                <w:rFonts w:eastAsia="SimSun"/>
              </w:rPr>
              <w:t>-</w:t>
            </w:r>
          </w:p>
        </w:tc>
        <w:tc>
          <w:tcPr>
            <w:tcW w:w="749" w:type="pct"/>
            <w:shd w:val="clear" w:color="auto" w:fill="D9D9D9"/>
            <w:vAlign w:val="center"/>
          </w:tcPr>
          <w:p w14:paraId="6C920695" w14:textId="77777777" w:rsidR="00124A26" w:rsidRPr="00470E23" w:rsidRDefault="00124A26" w:rsidP="002D3EBF">
            <w:pPr>
              <w:ind w:firstLine="0"/>
              <w:rPr>
                <w:rFonts w:eastAsia="SimSun"/>
              </w:rPr>
            </w:pPr>
            <w:r w:rsidRPr="00470E23">
              <w:rPr>
                <w:rFonts w:eastAsia="SimSun"/>
              </w:rPr>
              <w:t>-</w:t>
            </w:r>
          </w:p>
        </w:tc>
        <w:tc>
          <w:tcPr>
            <w:tcW w:w="568" w:type="pct"/>
            <w:shd w:val="clear" w:color="auto" w:fill="D9D9D9"/>
            <w:vAlign w:val="center"/>
          </w:tcPr>
          <w:p w14:paraId="39136C14" w14:textId="77777777" w:rsidR="00124A26" w:rsidRPr="00470E23" w:rsidRDefault="00124A26" w:rsidP="002D3EBF">
            <w:pPr>
              <w:ind w:firstLine="0"/>
              <w:rPr>
                <w:rFonts w:eastAsia="SimSun"/>
              </w:rPr>
            </w:pPr>
            <w:r w:rsidRPr="00470E23">
              <w:rPr>
                <w:rFonts w:eastAsia="SimSun"/>
              </w:rPr>
              <w:t>-</w:t>
            </w:r>
          </w:p>
        </w:tc>
      </w:tr>
      <w:tr w:rsidR="00124A26" w:rsidRPr="00470E23" w14:paraId="3CF7C4D4" w14:textId="77777777" w:rsidTr="002D3EBF">
        <w:trPr>
          <w:cantSplit/>
          <w:trHeight w:val="850"/>
        </w:trPr>
        <w:tc>
          <w:tcPr>
            <w:tcW w:w="549" w:type="pct"/>
            <w:tcBorders>
              <w:bottom w:val="single" w:sz="4" w:space="0" w:color="00000A"/>
            </w:tcBorders>
            <w:shd w:val="clear" w:color="auto" w:fill="D9D9D9"/>
            <w:vAlign w:val="center"/>
          </w:tcPr>
          <w:p w14:paraId="041E88D5" w14:textId="77777777" w:rsidR="00124A26" w:rsidRPr="00470E23" w:rsidRDefault="00124A26" w:rsidP="002D3EBF">
            <w:pPr>
              <w:ind w:firstLine="0"/>
              <w:rPr>
                <w:rFonts w:eastAsia="SimSun"/>
              </w:rPr>
            </w:pPr>
            <w:r w:rsidRPr="00470E23">
              <w:rPr>
                <w:rFonts w:eastAsia="SimSun"/>
              </w:rPr>
              <w:t>hATG</w:t>
            </w:r>
          </w:p>
        </w:tc>
        <w:tc>
          <w:tcPr>
            <w:tcW w:w="477" w:type="pct"/>
            <w:shd w:val="clear" w:color="auto" w:fill="D9D9D9"/>
            <w:vAlign w:val="center"/>
          </w:tcPr>
          <w:p w14:paraId="2273F6D2" w14:textId="77777777" w:rsidR="00124A26" w:rsidRPr="00470E23" w:rsidRDefault="00124A26" w:rsidP="002D3EBF">
            <w:pPr>
              <w:ind w:firstLine="0"/>
              <w:rPr>
                <w:rFonts w:eastAsia="SimSun"/>
              </w:rPr>
            </w:pPr>
            <w:r w:rsidRPr="00470E23">
              <w:rPr>
                <w:rFonts w:eastAsia="SimSun"/>
              </w:rPr>
              <w:t>CSA</w:t>
            </w:r>
          </w:p>
        </w:tc>
        <w:tc>
          <w:tcPr>
            <w:tcW w:w="514" w:type="pct"/>
            <w:shd w:val="clear" w:color="auto" w:fill="D9D9D9"/>
            <w:vAlign w:val="center"/>
          </w:tcPr>
          <w:p w14:paraId="55D0ACE8" w14:textId="77777777" w:rsidR="00124A26" w:rsidRPr="00470E23" w:rsidRDefault="00124A26" w:rsidP="002D3EBF">
            <w:pPr>
              <w:ind w:firstLine="0"/>
              <w:rPr>
                <w:rFonts w:eastAsia="SimSun"/>
              </w:rPr>
            </w:pPr>
            <w:r w:rsidRPr="00470E23">
              <w:rPr>
                <w:rFonts w:eastAsia="SimSun"/>
              </w:rPr>
              <w:t>MTX</w:t>
            </w:r>
          </w:p>
        </w:tc>
        <w:tc>
          <w:tcPr>
            <w:tcW w:w="715" w:type="pct"/>
            <w:shd w:val="clear" w:color="auto" w:fill="D9D9D9"/>
            <w:vAlign w:val="center"/>
          </w:tcPr>
          <w:p w14:paraId="41861939" w14:textId="77777777" w:rsidR="00124A26" w:rsidRPr="00470E23" w:rsidRDefault="00124A26" w:rsidP="002D3EBF">
            <w:pPr>
              <w:ind w:firstLine="0"/>
              <w:rPr>
                <w:rFonts w:eastAsia="SimSun"/>
              </w:rPr>
            </w:pPr>
            <w:r w:rsidRPr="00470E23">
              <w:rPr>
                <w:rFonts w:eastAsia="SimSun"/>
              </w:rPr>
              <w:t>MMF45</w:t>
            </w:r>
          </w:p>
        </w:tc>
        <w:tc>
          <w:tcPr>
            <w:tcW w:w="750" w:type="pct"/>
            <w:shd w:val="clear" w:color="auto" w:fill="auto"/>
            <w:vAlign w:val="center"/>
          </w:tcPr>
          <w:p w14:paraId="50826A7C" w14:textId="77777777" w:rsidR="00124A26" w:rsidRPr="00470E23" w:rsidRDefault="00124A26" w:rsidP="002D3EBF">
            <w:pPr>
              <w:ind w:firstLine="0"/>
              <w:rPr>
                <w:rFonts w:eastAsia="SimSun"/>
              </w:rPr>
            </w:pPr>
            <w:r w:rsidRPr="00470E23">
              <w:rPr>
                <w:rFonts w:eastAsia="SimSun"/>
              </w:rPr>
              <w:t>5.2.1.1</w:t>
            </w:r>
          </w:p>
        </w:tc>
        <w:tc>
          <w:tcPr>
            <w:tcW w:w="678" w:type="pct"/>
            <w:shd w:val="clear" w:color="auto" w:fill="auto"/>
            <w:vAlign w:val="center"/>
          </w:tcPr>
          <w:p w14:paraId="363BFB87" w14:textId="77777777" w:rsidR="00124A26" w:rsidRPr="00470E23" w:rsidRDefault="00124A26" w:rsidP="002D3EBF">
            <w:pPr>
              <w:ind w:firstLine="0"/>
              <w:rPr>
                <w:rFonts w:eastAsia="SimSun"/>
              </w:rPr>
            </w:pPr>
            <w:r w:rsidRPr="00470E23">
              <w:rPr>
                <w:rFonts w:eastAsia="SimSun"/>
              </w:rPr>
              <w:t>-</w:t>
            </w:r>
          </w:p>
        </w:tc>
        <w:tc>
          <w:tcPr>
            <w:tcW w:w="749" w:type="pct"/>
            <w:shd w:val="clear" w:color="auto" w:fill="auto"/>
            <w:vAlign w:val="center"/>
          </w:tcPr>
          <w:p w14:paraId="362D33C6" w14:textId="77777777" w:rsidR="00124A26" w:rsidRPr="00470E23" w:rsidRDefault="00124A26" w:rsidP="002D3EBF">
            <w:pPr>
              <w:ind w:firstLine="0"/>
              <w:rPr>
                <w:rFonts w:eastAsia="SimSun"/>
              </w:rPr>
            </w:pPr>
            <w:r w:rsidRPr="00470E23">
              <w:rPr>
                <w:rFonts w:eastAsia="SimSun"/>
              </w:rPr>
              <w:t>-</w:t>
            </w:r>
          </w:p>
        </w:tc>
        <w:tc>
          <w:tcPr>
            <w:tcW w:w="568" w:type="pct"/>
            <w:shd w:val="clear" w:color="auto" w:fill="auto"/>
            <w:vAlign w:val="center"/>
          </w:tcPr>
          <w:p w14:paraId="7F280293" w14:textId="77777777" w:rsidR="00124A26" w:rsidRPr="00470E23" w:rsidRDefault="00124A26" w:rsidP="002D3EBF">
            <w:pPr>
              <w:ind w:firstLine="0"/>
              <w:rPr>
                <w:rFonts w:eastAsia="SimSun"/>
              </w:rPr>
            </w:pPr>
            <w:r w:rsidRPr="00470E23">
              <w:rPr>
                <w:rFonts w:eastAsia="SimSun"/>
              </w:rPr>
              <w:t>-</w:t>
            </w:r>
          </w:p>
        </w:tc>
      </w:tr>
      <w:tr w:rsidR="00124A26" w:rsidRPr="00470E23" w14:paraId="4D9A0966" w14:textId="77777777" w:rsidTr="002D3EBF">
        <w:trPr>
          <w:cantSplit/>
          <w:trHeight w:val="850"/>
        </w:trPr>
        <w:tc>
          <w:tcPr>
            <w:tcW w:w="549" w:type="pct"/>
            <w:tcBorders>
              <w:top w:val="single" w:sz="4" w:space="0" w:color="00000A"/>
              <w:bottom w:val="single" w:sz="4" w:space="0" w:color="00000A"/>
            </w:tcBorders>
            <w:shd w:val="clear" w:color="auto" w:fill="D9D9D9"/>
            <w:vAlign w:val="center"/>
          </w:tcPr>
          <w:p w14:paraId="0846C393" w14:textId="77777777" w:rsidR="00124A26" w:rsidRPr="00470E23" w:rsidRDefault="00124A26" w:rsidP="002D3EBF">
            <w:pPr>
              <w:ind w:firstLine="0"/>
              <w:rPr>
                <w:rFonts w:eastAsia="SimSun"/>
              </w:rPr>
            </w:pPr>
            <w:r w:rsidRPr="00470E23">
              <w:rPr>
                <w:rFonts w:eastAsia="SimSun"/>
              </w:rPr>
              <w:t>rATG</w:t>
            </w:r>
          </w:p>
        </w:tc>
        <w:tc>
          <w:tcPr>
            <w:tcW w:w="477" w:type="pct"/>
            <w:shd w:val="clear" w:color="auto" w:fill="D9D9D9"/>
            <w:vAlign w:val="center"/>
          </w:tcPr>
          <w:p w14:paraId="1DC9879E" w14:textId="77777777" w:rsidR="00124A26" w:rsidRPr="00470E23" w:rsidRDefault="00124A26" w:rsidP="002D3EBF">
            <w:pPr>
              <w:ind w:firstLine="0"/>
              <w:rPr>
                <w:rFonts w:eastAsia="SimSun"/>
              </w:rPr>
            </w:pPr>
            <w:r w:rsidRPr="00470E23">
              <w:rPr>
                <w:rFonts w:eastAsia="SimSun"/>
              </w:rPr>
              <w:t>CSA</w:t>
            </w:r>
          </w:p>
        </w:tc>
        <w:tc>
          <w:tcPr>
            <w:tcW w:w="514" w:type="pct"/>
            <w:shd w:val="clear" w:color="auto" w:fill="D9D9D9"/>
            <w:vAlign w:val="center"/>
          </w:tcPr>
          <w:p w14:paraId="57646820" w14:textId="77777777" w:rsidR="00124A26" w:rsidRPr="00470E23" w:rsidRDefault="00124A26" w:rsidP="002D3EBF">
            <w:pPr>
              <w:ind w:firstLine="0"/>
              <w:rPr>
                <w:rFonts w:eastAsia="SimSun"/>
              </w:rPr>
            </w:pPr>
            <w:r w:rsidRPr="00470E23">
              <w:rPr>
                <w:rFonts w:eastAsia="SimSun"/>
              </w:rPr>
              <w:t>MTX</w:t>
            </w:r>
          </w:p>
        </w:tc>
        <w:tc>
          <w:tcPr>
            <w:tcW w:w="715" w:type="pct"/>
            <w:shd w:val="clear" w:color="auto" w:fill="D9D9D9"/>
            <w:vAlign w:val="center"/>
          </w:tcPr>
          <w:p w14:paraId="41FB8883" w14:textId="77777777" w:rsidR="00124A26" w:rsidRPr="00470E23" w:rsidRDefault="00124A26" w:rsidP="002D3EBF">
            <w:pPr>
              <w:ind w:firstLine="0"/>
              <w:rPr>
                <w:rFonts w:eastAsia="SimSun"/>
              </w:rPr>
            </w:pPr>
            <w:r w:rsidRPr="00470E23">
              <w:rPr>
                <w:rFonts w:eastAsia="SimSun"/>
              </w:rPr>
              <w:t>MMF45</w:t>
            </w:r>
          </w:p>
        </w:tc>
        <w:tc>
          <w:tcPr>
            <w:tcW w:w="750" w:type="pct"/>
            <w:shd w:val="clear" w:color="auto" w:fill="auto"/>
            <w:vAlign w:val="center"/>
          </w:tcPr>
          <w:p w14:paraId="69B0F137" w14:textId="77777777" w:rsidR="00124A26" w:rsidRPr="00470E23" w:rsidRDefault="00124A26" w:rsidP="002D3EBF">
            <w:pPr>
              <w:ind w:firstLine="0"/>
              <w:rPr>
                <w:rFonts w:eastAsia="SimSun"/>
              </w:rPr>
            </w:pPr>
            <w:r w:rsidRPr="00470E23">
              <w:rPr>
                <w:rFonts w:eastAsia="SimSun"/>
              </w:rPr>
              <w:t>5.2.1.2</w:t>
            </w:r>
          </w:p>
        </w:tc>
        <w:tc>
          <w:tcPr>
            <w:tcW w:w="678" w:type="pct"/>
            <w:shd w:val="clear" w:color="auto" w:fill="auto"/>
            <w:vAlign w:val="center"/>
          </w:tcPr>
          <w:p w14:paraId="4422ACD6" w14:textId="77777777" w:rsidR="00124A26" w:rsidRPr="00470E23" w:rsidRDefault="00124A26" w:rsidP="002D3EBF">
            <w:pPr>
              <w:ind w:firstLine="0"/>
              <w:rPr>
                <w:rFonts w:eastAsia="SimSun"/>
              </w:rPr>
            </w:pPr>
            <w:r w:rsidRPr="00470E23">
              <w:rPr>
                <w:rFonts w:eastAsia="SimSun"/>
              </w:rPr>
              <w:t>-</w:t>
            </w:r>
          </w:p>
        </w:tc>
        <w:tc>
          <w:tcPr>
            <w:tcW w:w="749" w:type="pct"/>
            <w:shd w:val="clear" w:color="auto" w:fill="auto"/>
            <w:vAlign w:val="center"/>
          </w:tcPr>
          <w:p w14:paraId="014D7021" w14:textId="77777777" w:rsidR="00124A26" w:rsidRPr="00470E23" w:rsidRDefault="00124A26" w:rsidP="002D3EBF">
            <w:pPr>
              <w:ind w:firstLine="0"/>
              <w:rPr>
                <w:rFonts w:eastAsia="SimSun"/>
              </w:rPr>
            </w:pPr>
            <w:r w:rsidRPr="00470E23">
              <w:rPr>
                <w:rFonts w:eastAsia="SimSun"/>
              </w:rPr>
              <w:t>-</w:t>
            </w:r>
          </w:p>
        </w:tc>
        <w:tc>
          <w:tcPr>
            <w:tcW w:w="568" w:type="pct"/>
            <w:shd w:val="clear" w:color="auto" w:fill="auto"/>
            <w:vAlign w:val="center"/>
          </w:tcPr>
          <w:p w14:paraId="12D34210" w14:textId="77777777" w:rsidR="00124A26" w:rsidRPr="00470E23" w:rsidRDefault="00124A26" w:rsidP="002D3EBF">
            <w:pPr>
              <w:ind w:firstLine="0"/>
              <w:rPr>
                <w:rFonts w:eastAsia="SimSun"/>
              </w:rPr>
            </w:pPr>
            <w:r w:rsidRPr="00470E23">
              <w:rPr>
                <w:rFonts w:eastAsia="SimSun"/>
              </w:rPr>
              <w:t>-</w:t>
            </w:r>
          </w:p>
        </w:tc>
      </w:tr>
      <w:tr w:rsidR="00124A26" w:rsidRPr="00470E23" w14:paraId="36AE3BE4" w14:textId="77777777" w:rsidTr="002D3EBF">
        <w:trPr>
          <w:cantSplit/>
          <w:trHeight w:val="850"/>
        </w:trPr>
        <w:tc>
          <w:tcPr>
            <w:tcW w:w="549" w:type="pct"/>
            <w:vMerge w:val="restart"/>
            <w:shd w:val="clear" w:color="auto" w:fill="D9D9D9"/>
            <w:vAlign w:val="center"/>
          </w:tcPr>
          <w:p w14:paraId="29676C21" w14:textId="77777777" w:rsidR="00124A26" w:rsidRPr="00470E23" w:rsidRDefault="00124A26" w:rsidP="002D3EBF">
            <w:pPr>
              <w:ind w:firstLine="0"/>
              <w:rPr>
                <w:rFonts w:eastAsia="SimSun"/>
              </w:rPr>
            </w:pPr>
            <w:r w:rsidRPr="00470E23">
              <w:rPr>
                <w:rFonts w:eastAsia="SimSun"/>
              </w:rPr>
              <w:t>PT-Cy</w:t>
            </w:r>
          </w:p>
          <w:p w14:paraId="7FABF684" w14:textId="77777777" w:rsidR="00124A26" w:rsidRPr="00470E23" w:rsidRDefault="00124A26" w:rsidP="002D3EBF">
            <w:pPr>
              <w:ind w:firstLine="0"/>
              <w:rPr>
                <w:rFonts w:eastAsia="SimSun"/>
              </w:rPr>
            </w:pPr>
          </w:p>
        </w:tc>
        <w:tc>
          <w:tcPr>
            <w:tcW w:w="477" w:type="pct"/>
            <w:shd w:val="clear" w:color="auto" w:fill="D9D9D9"/>
            <w:vAlign w:val="center"/>
          </w:tcPr>
          <w:p w14:paraId="031D1F91" w14:textId="77777777" w:rsidR="00124A26" w:rsidRPr="00470E23" w:rsidRDefault="00124A26" w:rsidP="002D3EBF">
            <w:pPr>
              <w:ind w:firstLine="0"/>
              <w:rPr>
                <w:rFonts w:eastAsia="SimSun"/>
              </w:rPr>
            </w:pPr>
            <w:r w:rsidRPr="00470E23">
              <w:rPr>
                <w:rFonts w:eastAsia="SimSun"/>
              </w:rPr>
              <w:t>-</w:t>
            </w:r>
          </w:p>
        </w:tc>
        <w:tc>
          <w:tcPr>
            <w:tcW w:w="514" w:type="pct"/>
            <w:shd w:val="clear" w:color="auto" w:fill="D9D9D9"/>
            <w:vAlign w:val="center"/>
          </w:tcPr>
          <w:p w14:paraId="0F50A9A9" w14:textId="77777777" w:rsidR="00124A26" w:rsidRPr="00470E23" w:rsidRDefault="00124A26" w:rsidP="002D3EBF">
            <w:pPr>
              <w:ind w:firstLine="0"/>
              <w:rPr>
                <w:rFonts w:eastAsia="SimSun"/>
              </w:rPr>
            </w:pPr>
            <w:r w:rsidRPr="00470E23">
              <w:rPr>
                <w:rFonts w:eastAsia="SimSun"/>
              </w:rPr>
              <w:t>-</w:t>
            </w:r>
          </w:p>
        </w:tc>
        <w:tc>
          <w:tcPr>
            <w:tcW w:w="715" w:type="pct"/>
            <w:shd w:val="clear" w:color="auto" w:fill="D9D9D9"/>
            <w:vAlign w:val="center"/>
          </w:tcPr>
          <w:p w14:paraId="248983C7" w14:textId="77777777" w:rsidR="00124A26" w:rsidRPr="00470E23" w:rsidRDefault="00124A26" w:rsidP="002D3EBF">
            <w:pPr>
              <w:ind w:firstLine="0"/>
              <w:rPr>
                <w:rFonts w:eastAsia="SimSun"/>
              </w:rPr>
            </w:pPr>
            <w:r w:rsidRPr="00470E23">
              <w:rPr>
                <w:rFonts w:eastAsia="SimSun"/>
              </w:rPr>
              <w:t>-</w:t>
            </w:r>
          </w:p>
        </w:tc>
        <w:tc>
          <w:tcPr>
            <w:tcW w:w="750" w:type="pct"/>
            <w:shd w:val="clear" w:color="auto" w:fill="auto"/>
            <w:vAlign w:val="center"/>
          </w:tcPr>
          <w:p w14:paraId="4A91296E" w14:textId="77777777" w:rsidR="00124A26" w:rsidRPr="00470E23" w:rsidRDefault="00124A26" w:rsidP="002D3EBF">
            <w:pPr>
              <w:ind w:firstLine="0"/>
              <w:rPr>
                <w:rFonts w:eastAsia="SimSun"/>
              </w:rPr>
            </w:pPr>
            <w:r w:rsidRPr="00470E23">
              <w:rPr>
                <w:rFonts w:eastAsia="SimSun"/>
              </w:rPr>
              <w:t>-</w:t>
            </w:r>
          </w:p>
        </w:tc>
        <w:tc>
          <w:tcPr>
            <w:tcW w:w="678" w:type="pct"/>
            <w:shd w:val="clear" w:color="auto" w:fill="auto"/>
            <w:vAlign w:val="center"/>
          </w:tcPr>
          <w:p w14:paraId="3DEF4D62" w14:textId="77777777" w:rsidR="00124A26" w:rsidRPr="00470E23" w:rsidRDefault="00124A26" w:rsidP="002D3EBF">
            <w:pPr>
              <w:ind w:firstLine="0"/>
              <w:rPr>
                <w:rFonts w:eastAsia="SimSun"/>
              </w:rPr>
            </w:pPr>
            <w:r w:rsidRPr="00470E23">
              <w:rPr>
                <w:rFonts w:eastAsia="SimSun"/>
              </w:rPr>
              <w:t>5.2.1.3</w:t>
            </w:r>
          </w:p>
        </w:tc>
        <w:tc>
          <w:tcPr>
            <w:tcW w:w="749" w:type="pct"/>
            <w:shd w:val="clear" w:color="auto" w:fill="auto"/>
            <w:vAlign w:val="center"/>
          </w:tcPr>
          <w:p w14:paraId="20787C13" w14:textId="77777777" w:rsidR="00124A26" w:rsidRPr="00470E23" w:rsidRDefault="00124A26" w:rsidP="002D3EBF">
            <w:pPr>
              <w:ind w:firstLine="0"/>
              <w:rPr>
                <w:rFonts w:eastAsia="SimSun"/>
              </w:rPr>
            </w:pPr>
            <w:r w:rsidRPr="00470E23">
              <w:rPr>
                <w:rFonts w:eastAsia="SimSun"/>
              </w:rPr>
              <w:t>5.2.1.7</w:t>
            </w:r>
          </w:p>
        </w:tc>
        <w:tc>
          <w:tcPr>
            <w:tcW w:w="568" w:type="pct"/>
            <w:shd w:val="clear" w:color="auto" w:fill="auto"/>
            <w:vAlign w:val="center"/>
          </w:tcPr>
          <w:p w14:paraId="493CA5B7" w14:textId="77777777" w:rsidR="00124A26" w:rsidRPr="00470E23" w:rsidRDefault="00124A26" w:rsidP="002D3EBF">
            <w:pPr>
              <w:ind w:firstLine="0"/>
              <w:rPr>
                <w:rFonts w:eastAsia="SimSun"/>
              </w:rPr>
            </w:pPr>
            <w:r w:rsidRPr="00470E23">
              <w:rPr>
                <w:rFonts w:eastAsia="SimSun"/>
              </w:rPr>
              <w:t>-</w:t>
            </w:r>
          </w:p>
        </w:tc>
      </w:tr>
      <w:tr w:rsidR="00124A26" w:rsidRPr="00470E23" w14:paraId="64CD70BC" w14:textId="77777777" w:rsidTr="002D3EBF">
        <w:trPr>
          <w:cantSplit/>
          <w:trHeight w:val="850"/>
        </w:trPr>
        <w:tc>
          <w:tcPr>
            <w:tcW w:w="549" w:type="pct"/>
            <w:vMerge/>
            <w:shd w:val="clear" w:color="auto" w:fill="D9D9D9"/>
            <w:vAlign w:val="center"/>
          </w:tcPr>
          <w:p w14:paraId="553C6E92" w14:textId="77777777" w:rsidR="00124A26" w:rsidRPr="00470E23" w:rsidRDefault="00124A26" w:rsidP="002D3EBF">
            <w:pPr>
              <w:ind w:firstLine="0"/>
              <w:rPr>
                <w:rFonts w:eastAsia="SimSun"/>
              </w:rPr>
            </w:pPr>
          </w:p>
        </w:tc>
        <w:tc>
          <w:tcPr>
            <w:tcW w:w="477" w:type="pct"/>
            <w:tcBorders>
              <w:bottom w:val="single" w:sz="4" w:space="0" w:color="00000A"/>
            </w:tcBorders>
            <w:shd w:val="clear" w:color="auto" w:fill="D9D9D9"/>
            <w:vAlign w:val="center"/>
          </w:tcPr>
          <w:p w14:paraId="0A6AC197" w14:textId="77777777" w:rsidR="00124A26" w:rsidRPr="00470E23" w:rsidRDefault="00124A26" w:rsidP="002D3EBF">
            <w:pPr>
              <w:ind w:firstLine="0"/>
              <w:rPr>
                <w:rFonts w:eastAsia="SimSun"/>
              </w:rPr>
            </w:pPr>
            <w:r w:rsidRPr="00470E23">
              <w:rPr>
                <w:rFonts w:eastAsia="SimSun"/>
              </w:rPr>
              <w:t>CSA</w:t>
            </w:r>
          </w:p>
          <w:p w14:paraId="3C917C92" w14:textId="77777777" w:rsidR="00124A26" w:rsidRPr="00470E23" w:rsidRDefault="00124A26" w:rsidP="002D3EBF">
            <w:pPr>
              <w:ind w:firstLine="0"/>
              <w:rPr>
                <w:rFonts w:eastAsia="SimSun"/>
              </w:rPr>
            </w:pPr>
          </w:p>
        </w:tc>
        <w:tc>
          <w:tcPr>
            <w:tcW w:w="514" w:type="pct"/>
            <w:shd w:val="clear" w:color="auto" w:fill="D9D9D9"/>
            <w:vAlign w:val="center"/>
          </w:tcPr>
          <w:p w14:paraId="3464C827" w14:textId="77777777" w:rsidR="00124A26" w:rsidRPr="00470E23" w:rsidRDefault="00124A26" w:rsidP="002D3EBF">
            <w:pPr>
              <w:ind w:firstLine="0"/>
              <w:rPr>
                <w:rFonts w:eastAsia="SimSun"/>
              </w:rPr>
            </w:pPr>
            <w:r w:rsidRPr="00470E23">
              <w:rPr>
                <w:rFonts w:eastAsia="SimSun"/>
              </w:rPr>
              <w:t>-</w:t>
            </w:r>
          </w:p>
        </w:tc>
        <w:tc>
          <w:tcPr>
            <w:tcW w:w="715" w:type="pct"/>
            <w:shd w:val="clear" w:color="auto" w:fill="D9D9D9"/>
            <w:vAlign w:val="center"/>
          </w:tcPr>
          <w:p w14:paraId="195F5537" w14:textId="77777777" w:rsidR="00124A26" w:rsidRPr="00470E23" w:rsidRDefault="00124A26" w:rsidP="002D3EBF">
            <w:pPr>
              <w:ind w:firstLine="0"/>
              <w:rPr>
                <w:rFonts w:eastAsia="SimSun"/>
              </w:rPr>
            </w:pPr>
            <w:r w:rsidRPr="00470E23">
              <w:rPr>
                <w:rFonts w:eastAsia="SimSun"/>
              </w:rPr>
              <w:t>MMF30</w:t>
            </w:r>
          </w:p>
        </w:tc>
        <w:tc>
          <w:tcPr>
            <w:tcW w:w="750" w:type="pct"/>
            <w:shd w:val="clear" w:color="auto" w:fill="auto"/>
            <w:vAlign w:val="center"/>
          </w:tcPr>
          <w:p w14:paraId="7954D8AC" w14:textId="77777777" w:rsidR="00124A26" w:rsidRPr="00470E23" w:rsidRDefault="00124A26" w:rsidP="002D3EBF">
            <w:pPr>
              <w:ind w:firstLine="0"/>
              <w:rPr>
                <w:rFonts w:eastAsia="SimSun"/>
              </w:rPr>
            </w:pPr>
            <w:r w:rsidRPr="00470E23">
              <w:rPr>
                <w:rFonts w:eastAsia="SimSun"/>
              </w:rPr>
              <w:t>-</w:t>
            </w:r>
          </w:p>
        </w:tc>
        <w:tc>
          <w:tcPr>
            <w:tcW w:w="678" w:type="pct"/>
            <w:shd w:val="clear" w:color="auto" w:fill="auto"/>
            <w:vAlign w:val="center"/>
          </w:tcPr>
          <w:p w14:paraId="47093971" w14:textId="77777777" w:rsidR="00124A26" w:rsidRPr="00470E23" w:rsidRDefault="00124A26" w:rsidP="002D3EBF">
            <w:pPr>
              <w:ind w:firstLine="0"/>
              <w:rPr>
                <w:rFonts w:eastAsia="SimSun"/>
              </w:rPr>
            </w:pPr>
            <w:r w:rsidRPr="00470E23">
              <w:rPr>
                <w:rFonts w:eastAsia="SimSun"/>
              </w:rPr>
              <w:t>5.2.1.5</w:t>
            </w:r>
          </w:p>
        </w:tc>
        <w:tc>
          <w:tcPr>
            <w:tcW w:w="749" w:type="pct"/>
            <w:shd w:val="clear" w:color="auto" w:fill="auto"/>
            <w:vAlign w:val="center"/>
          </w:tcPr>
          <w:p w14:paraId="47ED80BD" w14:textId="77777777" w:rsidR="00124A26" w:rsidRPr="00470E23" w:rsidRDefault="00124A26" w:rsidP="002D3EBF">
            <w:pPr>
              <w:ind w:firstLine="0"/>
              <w:rPr>
                <w:rFonts w:eastAsia="SimSun"/>
              </w:rPr>
            </w:pPr>
            <w:r w:rsidRPr="00470E23">
              <w:rPr>
                <w:rFonts w:eastAsia="SimSun"/>
              </w:rPr>
              <w:t>5.2.1.9</w:t>
            </w:r>
          </w:p>
        </w:tc>
        <w:tc>
          <w:tcPr>
            <w:tcW w:w="568" w:type="pct"/>
            <w:shd w:val="clear" w:color="auto" w:fill="auto"/>
            <w:vAlign w:val="center"/>
          </w:tcPr>
          <w:p w14:paraId="7D70A095" w14:textId="77777777" w:rsidR="00124A26" w:rsidRPr="00470E23" w:rsidRDefault="00124A26" w:rsidP="002D3EBF">
            <w:pPr>
              <w:ind w:firstLine="0"/>
              <w:rPr>
                <w:rFonts w:eastAsia="SimSun"/>
              </w:rPr>
            </w:pPr>
            <w:r w:rsidRPr="00470E23">
              <w:rPr>
                <w:rFonts w:eastAsia="SimSun"/>
              </w:rPr>
              <w:t>-</w:t>
            </w:r>
          </w:p>
        </w:tc>
      </w:tr>
      <w:tr w:rsidR="00124A26" w:rsidRPr="00470E23" w14:paraId="3E17436F" w14:textId="77777777" w:rsidTr="002D3EBF">
        <w:trPr>
          <w:cantSplit/>
          <w:trHeight w:val="850"/>
        </w:trPr>
        <w:tc>
          <w:tcPr>
            <w:tcW w:w="549" w:type="pct"/>
            <w:vMerge/>
            <w:tcBorders>
              <w:bottom w:val="single" w:sz="4" w:space="0" w:color="00000A"/>
            </w:tcBorders>
            <w:shd w:val="clear" w:color="auto" w:fill="D9D9D9"/>
            <w:vAlign w:val="center"/>
          </w:tcPr>
          <w:p w14:paraId="386AB8D6" w14:textId="77777777" w:rsidR="00124A26" w:rsidRPr="00470E23" w:rsidRDefault="00124A26" w:rsidP="002D3EBF">
            <w:pPr>
              <w:ind w:firstLine="0"/>
              <w:rPr>
                <w:rFonts w:eastAsia="SimSun"/>
              </w:rPr>
            </w:pPr>
          </w:p>
        </w:tc>
        <w:tc>
          <w:tcPr>
            <w:tcW w:w="477" w:type="pct"/>
            <w:tcBorders>
              <w:bottom w:val="single" w:sz="4" w:space="0" w:color="00000A"/>
            </w:tcBorders>
            <w:shd w:val="clear" w:color="auto" w:fill="D9D9D9"/>
            <w:vAlign w:val="center"/>
          </w:tcPr>
          <w:p w14:paraId="7141A9BA" w14:textId="77777777" w:rsidR="00124A26" w:rsidRPr="00470E23" w:rsidRDefault="00124A26" w:rsidP="002D3EBF">
            <w:pPr>
              <w:ind w:firstLine="0"/>
              <w:rPr>
                <w:rFonts w:eastAsia="SimSun"/>
              </w:rPr>
            </w:pPr>
            <w:r w:rsidRPr="00470E23">
              <w:rPr>
                <w:rFonts w:eastAsia="SimSun"/>
              </w:rPr>
              <w:t>Tx</w:t>
            </w:r>
          </w:p>
        </w:tc>
        <w:tc>
          <w:tcPr>
            <w:tcW w:w="514" w:type="pct"/>
            <w:shd w:val="clear" w:color="auto" w:fill="D9D9D9"/>
            <w:vAlign w:val="center"/>
          </w:tcPr>
          <w:p w14:paraId="7F19496A" w14:textId="77777777" w:rsidR="00124A26" w:rsidRPr="00470E23" w:rsidRDefault="00124A26" w:rsidP="002D3EBF">
            <w:pPr>
              <w:ind w:firstLine="0"/>
              <w:rPr>
                <w:rFonts w:eastAsia="SimSun"/>
              </w:rPr>
            </w:pPr>
            <w:r w:rsidRPr="00470E23">
              <w:rPr>
                <w:rFonts w:eastAsia="SimSun"/>
              </w:rPr>
              <w:t>-</w:t>
            </w:r>
          </w:p>
        </w:tc>
        <w:tc>
          <w:tcPr>
            <w:tcW w:w="715" w:type="pct"/>
            <w:shd w:val="clear" w:color="auto" w:fill="D9D9D9"/>
            <w:vAlign w:val="center"/>
          </w:tcPr>
          <w:p w14:paraId="082269A9" w14:textId="77777777" w:rsidR="00124A26" w:rsidRPr="00470E23" w:rsidRDefault="00124A26" w:rsidP="002D3EBF">
            <w:pPr>
              <w:ind w:firstLine="0"/>
              <w:rPr>
                <w:rFonts w:eastAsia="SimSun"/>
              </w:rPr>
            </w:pPr>
            <w:r w:rsidRPr="00470E23">
              <w:rPr>
                <w:rFonts w:eastAsia="SimSun"/>
              </w:rPr>
              <w:t>MMF30</w:t>
            </w:r>
          </w:p>
        </w:tc>
        <w:tc>
          <w:tcPr>
            <w:tcW w:w="750" w:type="pct"/>
            <w:shd w:val="clear" w:color="auto" w:fill="auto"/>
            <w:vAlign w:val="center"/>
          </w:tcPr>
          <w:p w14:paraId="2B3C3F81" w14:textId="77777777" w:rsidR="00124A26" w:rsidRPr="00470E23" w:rsidRDefault="00124A26" w:rsidP="002D3EBF">
            <w:pPr>
              <w:ind w:firstLine="0"/>
              <w:rPr>
                <w:rFonts w:eastAsia="SimSun"/>
              </w:rPr>
            </w:pPr>
            <w:r w:rsidRPr="00470E23">
              <w:rPr>
                <w:rFonts w:eastAsia="SimSun"/>
              </w:rPr>
              <w:t>-</w:t>
            </w:r>
          </w:p>
        </w:tc>
        <w:tc>
          <w:tcPr>
            <w:tcW w:w="678" w:type="pct"/>
            <w:shd w:val="clear" w:color="auto" w:fill="auto"/>
            <w:vAlign w:val="center"/>
          </w:tcPr>
          <w:p w14:paraId="415CF9CD" w14:textId="77777777" w:rsidR="00124A26" w:rsidRPr="00470E23" w:rsidRDefault="00124A26" w:rsidP="002D3EBF">
            <w:pPr>
              <w:ind w:firstLine="0"/>
              <w:rPr>
                <w:rFonts w:eastAsia="SimSun"/>
              </w:rPr>
            </w:pPr>
            <w:r w:rsidRPr="00470E23">
              <w:rPr>
                <w:rFonts w:eastAsia="SimSun"/>
              </w:rPr>
              <w:t>5.2.1.4</w:t>
            </w:r>
          </w:p>
        </w:tc>
        <w:tc>
          <w:tcPr>
            <w:tcW w:w="749" w:type="pct"/>
            <w:shd w:val="clear" w:color="auto" w:fill="auto"/>
            <w:vAlign w:val="center"/>
          </w:tcPr>
          <w:p w14:paraId="26E80152" w14:textId="77777777" w:rsidR="00124A26" w:rsidRPr="00470E23" w:rsidRDefault="00124A26" w:rsidP="002D3EBF">
            <w:pPr>
              <w:ind w:firstLine="0"/>
              <w:rPr>
                <w:rFonts w:eastAsia="SimSun"/>
              </w:rPr>
            </w:pPr>
            <w:r w:rsidRPr="00470E23">
              <w:rPr>
                <w:rFonts w:eastAsia="SimSun"/>
              </w:rPr>
              <w:t>5.2.1.8</w:t>
            </w:r>
          </w:p>
        </w:tc>
        <w:tc>
          <w:tcPr>
            <w:tcW w:w="568" w:type="pct"/>
            <w:shd w:val="clear" w:color="auto" w:fill="auto"/>
            <w:vAlign w:val="center"/>
          </w:tcPr>
          <w:p w14:paraId="2D876415" w14:textId="77777777" w:rsidR="00124A26" w:rsidRPr="00470E23" w:rsidRDefault="00124A26" w:rsidP="002D3EBF">
            <w:pPr>
              <w:ind w:firstLine="0"/>
              <w:rPr>
                <w:rFonts w:eastAsia="SimSun"/>
              </w:rPr>
            </w:pPr>
            <w:r w:rsidRPr="00470E23">
              <w:rPr>
                <w:rFonts w:eastAsia="SimSun"/>
              </w:rPr>
              <w:t>5.2.1.11</w:t>
            </w:r>
          </w:p>
        </w:tc>
      </w:tr>
      <w:tr w:rsidR="00124A26" w:rsidRPr="00470E23" w14:paraId="4E1D3FE6" w14:textId="77777777" w:rsidTr="002D3EBF">
        <w:trPr>
          <w:cantSplit/>
          <w:trHeight w:val="850"/>
        </w:trPr>
        <w:tc>
          <w:tcPr>
            <w:tcW w:w="549" w:type="pct"/>
            <w:shd w:val="clear" w:color="auto" w:fill="D9D9D9"/>
            <w:vAlign w:val="center"/>
          </w:tcPr>
          <w:p w14:paraId="1D82CFF2" w14:textId="77777777" w:rsidR="00124A26" w:rsidRPr="00470E23" w:rsidRDefault="00124A26" w:rsidP="002D3EBF">
            <w:pPr>
              <w:ind w:firstLine="0"/>
              <w:rPr>
                <w:rFonts w:eastAsia="SimSun"/>
              </w:rPr>
            </w:pPr>
            <w:r w:rsidRPr="00470E23">
              <w:rPr>
                <w:rFonts w:eastAsia="SimSun"/>
              </w:rPr>
              <w:t>-</w:t>
            </w:r>
          </w:p>
        </w:tc>
        <w:tc>
          <w:tcPr>
            <w:tcW w:w="477" w:type="pct"/>
            <w:shd w:val="clear" w:color="auto" w:fill="D9D9D9"/>
            <w:vAlign w:val="center"/>
          </w:tcPr>
          <w:p w14:paraId="3E70297E" w14:textId="77777777" w:rsidR="00124A26" w:rsidRPr="00470E23" w:rsidRDefault="00124A26" w:rsidP="002D3EBF">
            <w:pPr>
              <w:ind w:firstLine="0"/>
              <w:rPr>
                <w:rFonts w:eastAsia="SimSun"/>
              </w:rPr>
            </w:pPr>
            <w:r w:rsidRPr="00470E23">
              <w:rPr>
                <w:rFonts w:eastAsia="SimSun"/>
              </w:rPr>
              <w:t>Tx</w:t>
            </w:r>
          </w:p>
        </w:tc>
        <w:tc>
          <w:tcPr>
            <w:tcW w:w="514" w:type="pct"/>
            <w:shd w:val="clear" w:color="auto" w:fill="D9D9D9"/>
            <w:vAlign w:val="center"/>
          </w:tcPr>
          <w:p w14:paraId="6FF4918D" w14:textId="77777777" w:rsidR="00124A26" w:rsidRPr="00470E23" w:rsidRDefault="00124A26" w:rsidP="002D3EBF">
            <w:pPr>
              <w:ind w:firstLine="0"/>
              <w:rPr>
                <w:rFonts w:eastAsia="SimSun"/>
              </w:rPr>
            </w:pPr>
            <w:r w:rsidRPr="00470E23">
              <w:rPr>
                <w:rFonts w:eastAsia="SimSun"/>
              </w:rPr>
              <w:t>-</w:t>
            </w:r>
          </w:p>
        </w:tc>
        <w:tc>
          <w:tcPr>
            <w:tcW w:w="715" w:type="pct"/>
            <w:shd w:val="clear" w:color="auto" w:fill="D9D9D9"/>
            <w:vAlign w:val="center"/>
          </w:tcPr>
          <w:p w14:paraId="1480B2B4" w14:textId="77777777" w:rsidR="00124A26" w:rsidRPr="00470E23" w:rsidRDefault="00124A26" w:rsidP="002D3EBF">
            <w:pPr>
              <w:ind w:firstLine="0"/>
              <w:rPr>
                <w:rFonts w:eastAsia="SimSun"/>
              </w:rPr>
            </w:pPr>
            <w:r w:rsidRPr="00470E23">
              <w:rPr>
                <w:rFonts w:eastAsia="SimSun"/>
              </w:rPr>
              <w:t>MMF30</w:t>
            </w:r>
          </w:p>
        </w:tc>
        <w:tc>
          <w:tcPr>
            <w:tcW w:w="750" w:type="pct"/>
            <w:shd w:val="clear" w:color="auto" w:fill="auto"/>
            <w:vAlign w:val="center"/>
          </w:tcPr>
          <w:p w14:paraId="28546D32" w14:textId="77777777" w:rsidR="00124A26" w:rsidRPr="00470E23" w:rsidRDefault="00124A26" w:rsidP="002D3EBF">
            <w:pPr>
              <w:ind w:firstLine="0"/>
              <w:rPr>
                <w:rFonts w:eastAsia="SimSun"/>
              </w:rPr>
            </w:pPr>
            <w:r w:rsidRPr="00470E23">
              <w:rPr>
                <w:rFonts w:eastAsia="SimSun"/>
              </w:rPr>
              <w:t>-</w:t>
            </w:r>
          </w:p>
        </w:tc>
        <w:tc>
          <w:tcPr>
            <w:tcW w:w="678" w:type="pct"/>
            <w:shd w:val="clear" w:color="auto" w:fill="auto"/>
            <w:vAlign w:val="center"/>
          </w:tcPr>
          <w:p w14:paraId="49EDEDC8" w14:textId="77777777" w:rsidR="00124A26" w:rsidRPr="00470E23" w:rsidRDefault="00124A26" w:rsidP="002D3EBF">
            <w:pPr>
              <w:ind w:firstLine="0"/>
              <w:rPr>
                <w:rFonts w:eastAsia="SimSun"/>
              </w:rPr>
            </w:pPr>
            <w:r w:rsidRPr="00470E23">
              <w:rPr>
                <w:rFonts w:eastAsia="SimSun"/>
              </w:rPr>
              <w:t>5.2.1.6</w:t>
            </w:r>
          </w:p>
        </w:tc>
        <w:tc>
          <w:tcPr>
            <w:tcW w:w="749" w:type="pct"/>
            <w:shd w:val="clear" w:color="auto" w:fill="auto"/>
            <w:vAlign w:val="center"/>
          </w:tcPr>
          <w:p w14:paraId="47C7EA99" w14:textId="77777777" w:rsidR="00124A26" w:rsidRPr="00470E23" w:rsidRDefault="00124A26" w:rsidP="002D3EBF">
            <w:pPr>
              <w:ind w:firstLine="0"/>
              <w:rPr>
                <w:rFonts w:eastAsia="SimSun"/>
              </w:rPr>
            </w:pPr>
            <w:r w:rsidRPr="00470E23">
              <w:rPr>
                <w:rFonts w:eastAsia="SimSun"/>
              </w:rPr>
              <w:t>5.2.1.10</w:t>
            </w:r>
          </w:p>
        </w:tc>
        <w:tc>
          <w:tcPr>
            <w:tcW w:w="568" w:type="pct"/>
            <w:shd w:val="clear" w:color="auto" w:fill="auto"/>
            <w:vAlign w:val="center"/>
          </w:tcPr>
          <w:p w14:paraId="5B7FBA5C" w14:textId="77777777" w:rsidR="00124A26" w:rsidRPr="00470E23" w:rsidRDefault="00124A26" w:rsidP="002D3EBF">
            <w:pPr>
              <w:ind w:firstLine="0"/>
              <w:rPr>
                <w:rFonts w:eastAsia="SimSun"/>
              </w:rPr>
            </w:pPr>
            <w:r w:rsidRPr="00470E23">
              <w:rPr>
                <w:rFonts w:eastAsia="SimSun"/>
              </w:rPr>
              <w:t>-</w:t>
            </w:r>
          </w:p>
        </w:tc>
      </w:tr>
    </w:tbl>
    <w:p w14:paraId="53294AA6" w14:textId="77777777" w:rsidR="00124A26" w:rsidRPr="00C07B2E" w:rsidRDefault="00124A26" w:rsidP="00124A26">
      <w:pPr>
        <w:rPr>
          <w:rFonts w:eastAsia="SimSun"/>
        </w:rPr>
      </w:pPr>
    </w:p>
    <w:p w14:paraId="722191F3" w14:textId="77777777" w:rsidR="00124A26" w:rsidRPr="00C07B2E" w:rsidRDefault="00124A26" w:rsidP="00124A26">
      <w:pPr>
        <w:rPr>
          <w:rFonts w:eastAsia="SimSun"/>
        </w:rPr>
        <w:sectPr w:rsidR="00124A26" w:rsidRPr="00C07B2E" w:rsidSect="00980822">
          <w:type w:val="continuous"/>
          <w:pgSz w:w="16839" w:h="11907" w:orient="landscape" w:code="9"/>
          <w:pgMar w:top="1134" w:right="850" w:bottom="1134" w:left="1701" w:header="709" w:footer="567" w:gutter="0"/>
          <w:cols w:space="708"/>
          <w:docGrid w:linePitch="360"/>
        </w:sectPr>
      </w:pPr>
    </w:p>
    <w:p w14:paraId="0CE91AB4" w14:textId="77777777" w:rsidR="00124A26" w:rsidRPr="00C07B2E" w:rsidRDefault="00124A26" w:rsidP="00124A26">
      <w:pPr>
        <w:rPr>
          <w:rFonts w:eastAsia="SimSun"/>
        </w:rPr>
      </w:pPr>
    </w:p>
    <w:p w14:paraId="65B235F1" w14:textId="77777777" w:rsidR="00124A26" w:rsidRPr="00C07B2E" w:rsidRDefault="00124A26" w:rsidP="00124A26">
      <w:pPr>
        <w:rPr>
          <w:rFonts w:eastAsia="SimSun"/>
        </w:rPr>
      </w:pPr>
      <w:bookmarkStart w:id="228" w:name="_Toc44401187"/>
      <w:r w:rsidRPr="00042499">
        <w:rPr>
          <w:rFonts w:eastAsia="SimSun"/>
        </w:rPr>
        <w:t>Таблица</w:t>
      </w:r>
      <w:r w:rsidRPr="00C07B2E">
        <w:rPr>
          <w:rFonts w:eastAsia="SimSun"/>
        </w:rPr>
        <w:t xml:space="preserve"> </w:t>
      </w:r>
      <w:r>
        <w:rPr>
          <w:rFonts w:eastAsia="SimSun"/>
        </w:rPr>
        <w:t>5.</w:t>
      </w:r>
      <w:r w:rsidRPr="00C07B2E">
        <w:rPr>
          <w:rFonts w:eastAsia="SimSun"/>
        </w:rPr>
        <w:t>2.1.1  – Bu12+Cy120 / hATG+CSA+MTX+MMF45</w:t>
      </w:r>
      <w:bookmarkEnd w:id="228"/>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124A26" w:rsidRPr="00AC3044" w14:paraId="6D8B32F4" w14:textId="77777777" w:rsidTr="002D3EBF">
        <w:trPr>
          <w:cantSplit/>
          <w:trHeight w:val="20"/>
          <w:tblHeader/>
        </w:trPr>
        <w:tc>
          <w:tcPr>
            <w:tcW w:w="1135" w:type="dxa"/>
          </w:tcPr>
          <w:p w14:paraId="00CC547E" w14:textId="77777777" w:rsidR="00124A26" w:rsidRPr="00470D3D" w:rsidRDefault="00124A26" w:rsidP="002D3EBF">
            <w:pPr>
              <w:ind w:firstLine="0"/>
              <w:rPr>
                <w:rFonts w:eastAsia="SimSun"/>
              </w:rPr>
            </w:pPr>
          </w:p>
        </w:tc>
        <w:tc>
          <w:tcPr>
            <w:tcW w:w="1701" w:type="dxa"/>
          </w:tcPr>
          <w:p w14:paraId="39D21581" w14:textId="77777777" w:rsidR="00124A26" w:rsidRPr="00AC3044" w:rsidRDefault="00124A26" w:rsidP="002D3EBF">
            <w:pPr>
              <w:ind w:firstLine="0"/>
              <w:rPr>
                <w:rFonts w:eastAsia="SimSun"/>
              </w:rPr>
            </w:pPr>
            <w:r w:rsidRPr="00AC3044">
              <w:rPr>
                <w:rFonts w:eastAsia="SimSun"/>
              </w:rPr>
              <w:t>Препарат</w:t>
            </w:r>
          </w:p>
        </w:tc>
        <w:tc>
          <w:tcPr>
            <w:tcW w:w="1417" w:type="dxa"/>
          </w:tcPr>
          <w:p w14:paraId="4B8FC464" w14:textId="77777777" w:rsidR="00124A26" w:rsidRPr="00AC3044" w:rsidRDefault="00124A26" w:rsidP="002D3EBF">
            <w:pPr>
              <w:ind w:firstLine="0"/>
              <w:rPr>
                <w:rFonts w:eastAsia="SimSun"/>
              </w:rPr>
            </w:pPr>
            <w:r w:rsidRPr="00AC3044">
              <w:rPr>
                <w:rFonts w:eastAsia="SimSun"/>
              </w:rPr>
              <w:t>Суточная доза</w:t>
            </w:r>
          </w:p>
        </w:tc>
        <w:tc>
          <w:tcPr>
            <w:tcW w:w="1418" w:type="dxa"/>
          </w:tcPr>
          <w:p w14:paraId="656DFD0E" w14:textId="77777777" w:rsidR="00124A26" w:rsidRPr="00AC3044" w:rsidRDefault="00124A26" w:rsidP="002D3EBF">
            <w:pPr>
              <w:ind w:firstLine="0"/>
              <w:rPr>
                <w:rFonts w:eastAsia="SimSun"/>
              </w:rPr>
            </w:pPr>
            <w:r w:rsidRPr="00AC3044">
              <w:rPr>
                <w:rFonts w:eastAsia="SimSun"/>
              </w:rPr>
              <w:t>Курсовая доза</w:t>
            </w:r>
          </w:p>
        </w:tc>
        <w:tc>
          <w:tcPr>
            <w:tcW w:w="1701" w:type="dxa"/>
          </w:tcPr>
          <w:p w14:paraId="4791DBED" w14:textId="77777777" w:rsidR="00124A26" w:rsidRPr="00AC3044" w:rsidRDefault="00124A26" w:rsidP="002D3EBF">
            <w:pPr>
              <w:ind w:firstLine="0"/>
              <w:rPr>
                <w:rFonts w:eastAsia="SimSun"/>
              </w:rPr>
            </w:pPr>
            <w:r w:rsidRPr="00AC3044">
              <w:rPr>
                <w:rFonts w:eastAsia="SimSun"/>
              </w:rPr>
              <w:t>Дни введения</w:t>
            </w:r>
          </w:p>
        </w:tc>
        <w:tc>
          <w:tcPr>
            <w:tcW w:w="2268" w:type="dxa"/>
          </w:tcPr>
          <w:p w14:paraId="41AEE4C5"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64DA6F66" w14:textId="77777777" w:rsidTr="002D3EBF">
        <w:trPr>
          <w:cantSplit/>
          <w:trHeight w:val="650"/>
        </w:trPr>
        <w:tc>
          <w:tcPr>
            <w:tcW w:w="1135" w:type="dxa"/>
            <w:vMerge w:val="restart"/>
            <w:textDirection w:val="btLr"/>
          </w:tcPr>
          <w:p w14:paraId="102EAF3B" w14:textId="77777777" w:rsidR="00124A26" w:rsidRPr="00AC3044" w:rsidRDefault="00124A26" w:rsidP="002D3EBF">
            <w:pPr>
              <w:ind w:firstLine="0"/>
              <w:rPr>
                <w:rFonts w:eastAsia="SimSun"/>
              </w:rPr>
            </w:pPr>
            <w:r w:rsidRPr="00AC3044">
              <w:rPr>
                <w:rFonts w:eastAsia="SimSun"/>
              </w:rPr>
              <w:t>Кондиционирование</w:t>
            </w:r>
          </w:p>
        </w:tc>
        <w:tc>
          <w:tcPr>
            <w:tcW w:w="1701" w:type="dxa"/>
          </w:tcPr>
          <w:p w14:paraId="6A05362F" w14:textId="77777777" w:rsidR="00124A26" w:rsidRPr="00AC3044" w:rsidRDefault="00124A26" w:rsidP="002D3EBF">
            <w:pPr>
              <w:ind w:firstLine="0"/>
              <w:rPr>
                <w:rFonts w:eastAsia="SimSun"/>
              </w:rPr>
            </w:pPr>
            <w:r w:rsidRPr="00AC3044">
              <w:rPr>
                <w:rFonts w:eastAsia="SimSun"/>
              </w:rPr>
              <w:t>Бусульфан</w:t>
            </w:r>
          </w:p>
        </w:tc>
        <w:tc>
          <w:tcPr>
            <w:tcW w:w="1417" w:type="dxa"/>
          </w:tcPr>
          <w:p w14:paraId="64FC9B6A" w14:textId="77777777" w:rsidR="00124A26" w:rsidRPr="00AC3044" w:rsidRDefault="00124A26" w:rsidP="002D3EBF">
            <w:pPr>
              <w:ind w:firstLine="0"/>
              <w:rPr>
                <w:rFonts w:eastAsia="SimSun"/>
              </w:rPr>
            </w:pPr>
            <w:r w:rsidRPr="00AC3044">
              <w:rPr>
                <w:rFonts w:eastAsia="SimSun"/>
              </w:rPr>
              <w:t>4 мг/кг</w:t>
            </w:r>
          </w:p>
        </w:tc>
        <w:tc>
          <w:tcPr>
            <w:tcW w:w="1418" w:type="dxa"/>
          </w:tcPr>
          <w:p w14:paraId="49E31264" w14:textId="77777777" w:rsidR="00124A26" w:rsidRPr="00AC3044" w:rsidRDefault="00124A26" w:rsidP="002D3EBF">
            <w:pPr>
              <w:ind w:firstLine="0"/>
              <w:rPr>
                <w:rFonts w:eastAsia="SimSun"/>
              </w:rPr>
            </w:pPr>
            <w:r w:rsidRPr="00AC3044">
              <w:rPr>
                <w:rFonts w:eastAsia="SimSun"/>
              </w:rPr>
              <w:t>12 мг/кг</w:t>
            </w:r>
          </w:p>
        </w:tc>
        <w:tc>
          <w:tcPr>
            <w:tcW w:w="1701" w:type="dxa"/>
          </w:tcPr>
          <w:p w14:paraId="27455AD9" w14:textId="77777777" w:rsidR="00124A26" w:rsidRPr="00AC3044" w:rsidRDefault="00124A26" w:rsidP="002D3EBF">
            <w:pPr>
              <w:ind w:firstLine="0"/>
              <w:rPr>
                <w:rFonts w:eastAsia="SimSun"/>
              </w:rPr>
            </w:pPr>
            <w:r w:rsidRPr="00AC3044">
              <w:rPr>
                <w:rFonts w:eastAsia="SimSun"/>
              </w:rPr>
              <w:t>С –6 по –4 день</w:t>
            </w:r>
          </w:p>
        </w:tc>
        <w:tc>
          <w:tcPr>
            <w:tcW w:w="2268" w:type="dxa"/>
          </w:tcPr>
          <w:p w14:paraId="2ABB0C7A"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124A26" w:rsidRPr="00AC3044" w14:paraId="6F3DFBC9" w14:textId="77777777" w:rsidTr="002D3EBF">
        <w:trPr>
          <w:cantSplit/>
          <w:trHeight w:val="418"/>
        </w:trPr>
        <w:tc>
          <w:tcPr>
            <w:tcW w:w="1135" w:type="dxa"/>
            <w:vMerge/>
          </w:tcPr>
          <w:p w14:paraId="2AF0760C" w14:textId="77777777" w:rsidR="00124A26" w:rsidRPr="00AC3044" w:rsidRDefault="00124A26" w:rsidP="002D3EBF">
            <w:pPr>
              <w:ind w:firstLine="0"/>
              <w:rPr>
                <w:rFonts w:eastAsia="SimSun"/>
              </w:rPr>
            </w:pPr>
          </w:p>
        </w:tc>
        <w:tc>
          <w:tcPr>
            <w:tcW w:w="1701" w:type="dxa"/>
          </w:tcPr>
          <w:p w14:paraId="65ED639A" w14:textId="77777777" w:rsidR="00124A26" w:rsidRPr="00AC3044" w:rsidRDefault="00124A26" w:rsidP="002D3EBF">
            <w:pPr>
              <w:ind w:firstLine="0"/>
              <w:rPr>
                <w:rFonts w:eastAsia="SimSun"/>
              </w:rPr>
            </w:pPr>
            <w:r w:rsidRPr="00AC3044">
              <w:rPr>
                <w:rFonts w:eastAsia="SimSun"/>
              </w:rPr>
              <w:t>Циклофосфамид</w:t>
            </w:r>
          </w:p>
        </w:tc>
        <w:tc>
          <w:tcPr>
            <w:tcW w:w="1417" w:type="dxa"/>
          </w:tcPr>
          <w:p w14:paraId="5F130274" w14:textId="77777777" w:rsidR="00124A26" w:rsidRPr="00AC3044" w:rsidRDefault="00124A26" w:rsidP="002D3EBF">
            <w:pPr>
              <w:ind w:firstLine="0"/>
              <w:rPr>
                <w:rFonts w:eastAsia="SimSun"/>
              </w:rPr>
            </w:pPr>
            <w:r w:rsidRPr="00AC3044">
              <w:rPr>
                <w:rFonts w:eastAsia="SimSun"/>
              </w:rPr>
              <w:t>60 мг/кг</w:t>
            </w:r>
          </w:p>
        </w:tc>
        <w:tc>
          <w:tcPr>
            <w:tcW w:w="1418" w:type="dxa"/>
          </w:tcPr>
          <w:p w14:paraId="7752117A" w14:textId="77777777" w:rsidR="00124A26" w:rsidRPr="00AC3044" w:rsidRDefault="00124A26" w:rsidP="002D3EBF">
            <w:pPr>
              <w:ind w:firstLine="0"/>
              <w:rPr>
                <w:rFonts w:eastAsia="SimSun"/>
              </w:rPr>
            </w:pPr>
            <w:r w:rsidRPr="00AC3044">
              <w:rPr>
                <w:rFonts w:eastAsia="SimSun"/>
              </w:rPr>
              <w:t>120 мг/кг</w:t>
            </w:r>
          </w:p>
        </w:tc>
        <w:tc>
          <w:tcPr>
            <w:tcW w:w="1701" w:type="dxa"/>
          </w:tcPr>
          <w:p w14:paraId="22756065" w14:textId="77777777" w:rsidR="00124A26" w:rsidRPr="00AC3044" w:rsidRDefault="00124A26" w:rsidP="002D3EBF">
            <w:pPr>
              <w:ind w:firstLine="0"/>
              <w:rPr>
                <w:rFonts w:eastAsia="SimSun"/>
              </w:rPr>
            </w:pPr>
            <w:r w:rsidRPr="00AC3044">
              <w:rPr>
                <w:rFonts w:eastAsia="SimSun"/>
              </w:rPr>
              <w:t xml:space="preserve">–3, –2 дни </w:t>
            </w:r>
          </w:p>
        </w:tc>
        <w:tc>
          <w:tcPr>
            <w:tcW w:w="2268" w:type="dxa"/>
          </w:tcPr>
          <w:p w14:paraId="0BFFCBE6" w14:textId="77777777" w:rsidR="00124A26" w:rsidRPr="00AC3044" w:rsidRDefault="00124A26" w:rsidP="002D3EBF">
            <w:pPr>
              <w:ind w:firstLine="0"/>
              <w:rPr>
                <w:rFonts w:eastAsia="SimSun"/>
              </w:rPr>
            </w:pPr>
            <w:r w:rsidRPr="00AC3044">
              <w:rPr>
                <w:rFonts w:eastAsia="SimSun"/>
              </w:rPr>
              <w:t xml:space="preserve">В/в, в течение 2 ч </w:t>
            </w:r>
          </w:p>
        </w:tc>
      </w:tr>
      <w:tr w:rsidR="00124A26" w:rsidRPr="00AC3044" w14:paraId="272631D2" w14:textId="77777777" w:rsidTr="002D3EBF">
        <w:trPr>
          <w:cantSplit/>
          <w:trHeight w:val="20"/>
        </w:trPr>
        <w:tc>
          <w:tcPr>
            <w:tcW w:w="1135" w:type="dxa"/>
            <w:vMerge w:val="restart"/>
            <w:textDirection w:val="btLr"/>
          </w:tcPr>
          <w:p w14:paraId="37F147EE" w14:textId="77777777" w:rsidR="00124A26" w:rsidRPr="00AC3044" w:rsidRDefault="00124A26" w:rsidP="002D3EBF">
            <w:pPr>
              <w:ind w:firstLine="0"/>
              <w:rPr>
                <w:rFonts w:eastAsia="SimSun"/>
              </w:rPr>
            </w:pPr>
            <w:r w:rsidRPr="00AC3044">
              <w:rPr>
                <w:rFonts w:eastAsia="SimSun"/>
              </w:rPr>
              <w:t>Профилактика РТПХ</w:t>
            </w:r>
          </w:p>
        </w:tc>
        <w:tc>
          <w:tcPr>
            <w:tcW w:w="1701" w:type="dxa"/>
          </w:tcPr>
          <w:p w14:paraId="3E613D51" w14:textId="77777777" w:rsidR="00124A26" w:rsidRPr="00AC3044" w:rsidRDefault="00124A26" w:rsidP="002D3EBF">
            <w:pPr>
              <w:ind w:firstLine="0"/>
              <w:rPr>
                <w:rFonts w:eastAsia="SimSun"/>
              </w:rPr>
            </w:pPr>
            <w:r w:rsidRPr="00AC3044">
              <w:rPr>
                <w:rFonts w:eastAsia="SimSun"/>
              </w:rPr>
              <w:t>АТГ (лошадиный)</w:t>
            </w:r>
          </w:p>
        </w:tc>
        <w:tc>
          <w:tcPr>
            <w:tcW w:w="1417" w:type="dxa"/>
          </w:tcPr>
          <w:p w14:paraId="337A2DAF" w14:textId="77777777" w:rsidR="00124A26" w:rsidRPr="00AC3044" w:rsidRDefault="00124A26" w:rsidP="002D3EBF">
            <w:pPr>
              <w:ind w:firstLine="0"/>
              <w:rPr>
                <w:rFonts w:eastAsia="SimSun"/>
              </w:rPr>
            </w:pPr>
            <w:r w:rsidRPr="00AC3044">
              <w:rPr>
                <w:rFonts w:eastAsia="SimSun"/>
              </w:rPr>
              <w:t>10-15 мг/кг</w:t>
            </w:r>
          </w:p>
        </w:tc>
        <w:tc>
          <w:tcPr>
            <w:tcW w:w="1418" w:type="dxa"/>
          </w:tcPr>
          <w:p w14:paraId="71376392" w14:textId="77777777" w:rsidR="00124A26" w:rsidRPr="00AC3044" w:rsidRDefault="00124A26" w:rsidP="002D3EBF">
            <w:pPr>
              <w:ind w:firstLine="0"/>
              <w:rPr>
                <w:rFonts w:eastAsia="SimSun"/>
              </w:rPr>
            </w:pPr>
            <w:r w:rsidRPr="00AC3044">
              <w:rPr>
                <w:rFonts w:eastAsia="SimSun"/>
              </w:rPr>
              <w:t>40-60 мг/кг</w:t>
            </w:r>
          </w:p>
        </w:tc>
        <w:tc>
          <w:tcPr>
            <w:tcW w:w="1701" w:type="dxa"/>
          </w:tcPr>
          <w:p w14:paraId="74F3BF70" w14:textId="77777777" w:rsidR="00124A26" w:rsidRPr="00AC3044" w:rsidRDefault="00124A26" w:rsidP="002D3EBF">
            <w:pPr>
              <w:ind w:firstLine="0"/>
              <w:rPr>
                <w:rFonts w:eastAsia="SimSun"/>
              </w:rPr>
            </w:pPr>
            <w:r w:rsidRPr="00AC3044">
              <w:rPr>
                <w:rFonts w:eastAsia="SimSun"/>
              </w:rPr>
              <w:t>С –4 по –1 день</w:t>
            </w:r>
          </w:p>
        </w:tc>
        <w:tc>
          <w:tcPr>
            <w:tcW w:w="2268" w:type="dxa"/>
          </w:tcPr>
          <w:p w14:paraId="46041F01" w14:textId="77777777" w:rsidR="00124A26" w:rsidRPr="00AC3044" w:rsidRDefault="00124A26" w:rsidP="002D3EBF">
            <w:pPr>
              <w:ind w:firstLine="0"/>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 xml:space="preserve">«Инфузия АТГ») </w:t>
            </w:r>
          </w:p>
        </w:tc>
      </w:tr>
      <w:tr w:rsidR="00124A26" w:rsidRPr="00AC3044" w14:paraId="4D3CDDE1" w14:textId="77777777" w:rsidTr="002D3EBF">
        <w:trPr>
          <w:cantSplit/>
          <w:trHeight w:val="20"/>
        </w:trPr>
        <w:tc>
          <w:tcPr>
            <w:tcW w:w="1135" w:type="dxa"/>
            <w:vMerge/>
            <w:textDirection w:val="btLr"/>
          </w:tcPr>
          <w:p w14:paraId="7F521190" w14:textId="77777777" w:rsidR="00124A26" w:rsidRPr="00AC3044" w:rsidRDefault="00124A26" w:rsidP="002D3EBF">
            <w:pPr>
              <w:ind w:firstLine="0"/>
              <w:rPr>
                <w:rFonts w:eastAsia="SimSun"/>
              </w:rPr>
            </w:pPr>
          </w:p>
        </w:tc>
        <w:tc>
          <w:tcPr>
            <w:tcW w:w="1701" w:type="dxa"/>
          </w:tcPr>
          <w:p w14:paraId="0A78BE12" w14:textId="77777777" w:rsidR="00124A26" w:rsidRPr="00AC3044" w:rsidRDefault="00124A26" w:rsidP="002D3EBF">
            <w:pPr>
              <w:ind w:firstLine="0"/>
              <w:rPr>
                <w:rFonts w:eastAsia="SimSun"/>
              </w:rPr>
            </w:pPr>
            <w:r w:rsidRPr="00AC3044">
              <w:rPr>
                <w:rFonts w:eastAsia="SimSun"/>
              </w:rPr>
              <w:t>Циклоспорин</w:t>
            </w:r>
          </w:p>
        </w:tc>
        <w:tc>
          <w:tcPr>
            <w:tcW w:w="1417" w:type="dxa"/>
          </w:tcPr>
          <w:p w14:paraId="55207CA6" w14:textId="77777777" w:rsidR="00124A26" w:rsidRPr="00AC3044" w:rsidRDefault="00124A26" w:rsidP="002D3EBF">
            <w:pPr>
              <w:ind w:firstLine="0"/>
              <w:rPr>
                <w:rFonts w:eastAsia="SimSun"/>
              </w:rPr>
            </w:pPr>
            <w:r w:rsidRPr="00AC3044">
              <w:rPr>
                <w:rFonts w:eastAsia="SimSun"/>
              </w:rPr>
              <w:t>3 мг/кг</w:t>
            </w:r>
          </w:p>
        </w:tc>
        <w:tc>
          <w:tcPr>
            <w:tcW w:w="1418" w:type="dxa"/>
          </w:tcPr>
          <w:p w14:paraId="5A5ACA6A" w14:textId="77777777" w:rsidR="00124A26" w:rsidRPr="00AC3044" w:rsidRDefault="00124A26" w:rsidP="002D3EBF">
            <w:pPr>
              <w:ind w:firstLine="0"/>
              <w:rPr>
                <w:rFonts w:eastAsia="SimSun"/>
              </w:rPr>
            </w:pPr>
            <w:r w:rsidRPr="00AC3044">
              <w:rPr>
                <w:rFonts w:eastAsia="SimSun"/>
              </w:rPr>
              <w:t>–</w:t>
            </w:r>
          </w:p>
        </w:tc>
        <w:tc>
          <w:tcPr>
            <w:tcW w:w="1701" w:type="dxa"/>
          </w:tcPr>
          <w:p w14:paraId="681423BD" w14:textId="77777777" w:rsidR="00124A26" w:rsidRPr="00AC3044" w:rsidRDefault="00124A26" w:rsidP="002D3EBF">
            <w:pPr>
              <w:ind w:firstLine="0"/>
              <w:rPr>
                <w:rFonts w:eastAsia="SimSun"/>
              </w:rPr>
            </w:pPr>
            <w:r w:rsidRPr="00AC3044">
              <w:rPr>
                <w:rFonts w:eastAsia="SimSun"/>
              </w:rPr>
              <w:t>С –1 по +90 день, затем постепенное снижение к +180 дню</w:t>
            </w:r>
          </w:p>
        </w:tc>
        <w:tc>
          <w:tcPr>
            <w:tcW w:w="2268" w:type="dxa"/>
          </w:tcPr>
          <w:p w14:paraId="67AC04B1" w14:textId="77777777" w:rsidR="00124A26" w:rsidRPr="00AC3044" w:rsidRDefault="00124A26"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 xml:space="preserve">х </w:t>
            </w:r>
            <w:r w:rsidRPr="00AC3044">
              <w:rPr>
                <w:rFonts w:eastAsia="SimSun"/>
              </w:rPr>
              <w:t>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124A26" w:rsidRPr="00AC3044" w14:paraId="695A805C" w14:textId="77777777" w:rsidTr="002D3EBF">
        <w:trPr>
          <w:cantSplit/>
          <w:trHeight w:val="20"/>
        </w:trPr>
        <w:tc>
          <w:tcPr>
            <w:tcW w:w="1135" w:type="dxa"/>
            <w:vMerge/>
          </w:tcPr>
          <w:p w14:paraId="3318E9F0" w14:textId="77777777" w:rsidR="00124A26" w:rsidRPr="00AC3044" w:rsidRDefault="00124A26" w:rsidP="002D3EBF">
            <w:pPr>
              <w:ind w:firstLine="0"/>
              <w:rPr>
                <w:rFonts w:eastAsia="SimSun"/>
              </w:rPr>
            </w:pPr>
          </w:p>
        </w:tc>
        <w:tc>
          <w:tcPr>
            <w:tcW w:w="1701" w:type="dxa"/>
            <w:vMerge w:val="restart"/>
          </w:tcPr>
          <w:p w14:paraId="5DD376ED" w14:textId="77777777" w:rsidR="00124A26" w:rsidRPr="00AC3044" w:rsidRDefault="00124A26" w:rsidP="002D3EBF">
            <w:pPr>
              <w:ind w:firstLine="0"/>
              <w:rPr>
                <w:rFonts w:eastAsia="SimSun"/>
              </w:rPr>
            </w:pPr>
            <w:r w:rsidRPr="00AC3044">
              <w:rPr>
                <w:rFonts w:eastAsia="SimSun"/>
              </w:rPr>
              <w:t>Метотрексат</w:t>
            </w:r>
          </w:p>
        </w:tc>
        <w:tc>
          <w:tcPr>
            <w:tcW w:w="1417" w:type="dxa"/>
          </w:tcPr>
          <w:p w14:paraId="14863AAA" w14:textId="77777777" w:rsidR="00124A26" w:rsidRPr="00AC3044" w:rsidRDefault="00124A26" w:rsidP="002D3EBF">
            <w:pPr>
              <w:ind w:firstLine="0"/>
              <w:rPr>
                <w:rFonts w:eastAsia="SimSun"/>
              </w:rPr>
            </w:pPr>
            <w:r w:rsidRPr="00AC3044">
              <w:rPr>
                <w:rFonts w:eastAsia="SimSun"/>
              </w:rPr>
              <w:t>15 мг/м</w:t>
            </w:r>
            <w:r w:rsidRPr="001E6DBE">
              <w:rPr>
                <w:rFonts w:eastAsia="SimSun"/>
                <w:vertAlign w:val="superscript"/>
              </w:rPr>
              <w:t>2</w:t>
            </w:r>
          </w:p>
        </w:tc>
        <w:tc>
          <w:tcPr>
            <w:tcW w:w="1418" w:type="dxa"/>
          </w:tcPr>
          <w:p w14:paraId="7C855A0E" w14:textId="77777777" w:rsidR="00124A26" w:rsidRPr="00AC3044" w:rsidRDefault="00124A26" w:rsidP="002D3EBF">
            <w:pPr>
              <w:ind w:firstLine="0"/>
              <w:rPr>
                <w:rFonts w:eastAsia="SimSun"/>
              </w:rPr>
            </w:pPr>
            <w:r w:rsidRPr="00AC3044">
              <w:rPr>
                <w:rFonts w:eastAsia="SimSun"/>
              </w:rPr>
              <w:t>–</w:t>
            </w:r>
          </w:p>
        </w:tc>
        <w:tc>
          <w:tcPr>
            <w:tcW w:w="1701" w:type="dxa"/>
          </w:tcPr>
          <w:p w14:paraId="22DCC42C" w14:textId="77777777" w:rsidR="00124A26" w:rsidRPr="00AC3044" w:rsidRDefault="00124A26" w:rsidP="002D3EBF">
            <w:pPr>
              <w:ind w:firstLine="0"/>
              <w:rPr>
                <w:rFonts w:eastAsia="SimSun"/>
              </w:rPr>
            </w:pPr>
            <w:r w:rsidRPr="00AC3044">
              <w:rPr>
                <w:rFonts w:eastAsia="SimSun"/>
              </w:rPr>
              <w:t>+1 день</w:t>
            </w:r>
          </w:p>
        </w:tc>
        <w:tc>
          <w:tcPr>
            <w:tcW w:w="2268" w:type="dxa"/>
          </w:tcPr>
          <w:p w14:paraId="0A5E93D8" w14:textId="77777777" w:rsidR="00124A26" w:rsidRPr="00AC3044" w:rsidRDefault="00124A26" w:rsidP="002D3EBF">
            <w:pPr>
              <w:ind w:firstLine="0"/>
              <w:rPr>
                <w:rFonts w:eastAsia="SimSun"/>
              </w:rPr>
            </w:pPr>
            <w:r w:rsidRPr="00AC3044">
              <w:rPr>
                <w:rFonts w:eastAsia="SimSun"/>
              </w:rPr>
              <w:t xml:space="preserve">В/в, в 20 мл физ. р-ра  </w:t>
            </w:r>
          </w:p>
        </w:tc>
      </w:tr>
      <w:tr w:rsidR="00124A26" w:rsidRPr="00AC3044" w14:paraId="2F0AF6EC" w14:textId="77777777" w:rsidTr="002D3EBF">
        <w:trPr>
          <w:cantSplit/>
          <w:trHeight w:val="464"/>
        </w:trPr>
        <w:tc>
          <w:tcPr>
            <w:tcW w:w="1135" w:type="dxa"/>
            <w:vMerge/>
          </w:tcPr>
          <w:p w14:paraId="4FFB40C8" w14:textId="77777777" w:rsidR="00124A26" w:rsidRPr="00AC3044" w:rsidRDefault="00124A26" w:rsidP="002D3EBF">
            <w:pPr>
              <w:ind w:firstLine="0"/>
              <w:rPr>
                <w:rFonts w:eastAsia="SimSun"/>
              </w:rPr>
            </w:pPr>
          </w:p>
        </w:tc>
        <w:tc>
          <w:tcPr>
            <w:tcW w:w="1701" w:type="dxa"/>
            <w:vMerge/>
          </w:tcPr>
          <w:p w14:paraId="74F1200E" w14:textId="77777777" w:rsidR="00124A26" w:rsidRPr="00AC3044" w:rsidRDefault="00124A26" w:rsidP="002D3EBF">
            <w:pPr>
              <w:ind w:firstLine="0"/>
              <w:rPr>
                <w:rFonts w:eastAsia="SimSun"/>
              </w:rPr>
            </w:pPr>
          </w:p>
        </w:tc>
        <w:tc>
          <w:tcPr>
            <w:tcW w:w="1417" w:type="dxa"/>
          </w:tcPr>
          <w:p w14:paraId="6167AC66" w14:textId="77777777" w:rsidR="00124A26" w:rsidRPr="00AC3044" w:rsidRDefault="00124A26" w:rsidP="002D3EBF">
            <w:pPr>
              <w:ind w:firstLine="0"/>
              <w:rPr>
                <w:rFonts w:eastAsia="SimSun"/>
              </w:rPr>
            </w:pPr>
            <w:r w:rsidRPr="00AC3044">
              <w:rPr>
                <w:rFonts w:eastAsia="SimSun"/>
              </w:rPr>
              <w:t>10 мг/м</w:t>
            </w:r>
            <w:r w:rsidRPr="001E6DBE">
              <w:rPr>
                <w:rFonts w:eastAsia="SimSun"/>
                <w:vertAlign w:val="superscript"/>
              </w:rPr>
              <w:t>2</w:t>
            </w:r>
          </w:p>
        </w:tc>
        <w:tc>
          <w:tcPr>
            <w:tcW w:w="1418" w:type="dxa"/>
          </w:tcPr>
          <w:p w14:paraId="614DB3DF" w14:textId="77777777" w:rsidR="00124A26" w:rsidRPr="00AC3044" w:rsidRDefault="00124A26" w:rsidP="002D3EBF">
            <w:pPr>
              <w:ind w:firstLine="0"/>
              <w:rPr>
                <w:rFonts w:eastAsia="SimSun"/>
              </w:rPr>
            </w:pPr>
            <w:r w:rsidRPr="00AC3044">
              <w:rPr>
                <w:rFonts w:eastAsia="SimSun"/>
              </w:rPr>
              <w:t>–</w:t>
            </w:r>
          </w:p>
        </w:tc>
        <w:tc>
          <w:tcPr>
            <w:tcW w:w="1701" w:type="dxa"/>
          </w:tcPr>
          <w:p w14:paraId="7CFA64A6" w14:textId="77777777" w:rsidR="00124A26" w:rsidRPr="00AC3044" w:rsidRDefault="00124A26" w:rsidP="002D3EBF">
            <w:pPr>
              <w:ind w:firstLine="0"/>
              <w:rPr>
                <w:rFonts w:eastAsia="SimSun"/>
              </w:rPr>
            </w:pPr>
            <w:r w:rsidRPr="00AC3044">
              <w:rPr>
                <w:rFonts w:eastAsia="SimSun"/>
              </w:rPr>
              <w:t>+3, +6, +11 дни</w:t>
            </w:r>
          </w:p>
        </w:tc>
        <w:tc>
          <w:tcPr>
            <w:tcW w:w="2268" w:type="dxa"/>
          </w:tcPr>
          <w:p w14:paraId="2CF43110" w14:textId="77777777" w:rsidR="00124A26" w:rsidRPr="00AC3044" w:rsidRDefault="00124A26" w:rsidP="002D3EBF">
            <w:pPr>
              <w:ind w:firstLine="0"/>
              <w:rPr>
                <w:rFonts w:eastAsia="SimSun"/>
              </w:rPr>
            </w:pPr>
            <w:r w:rsidRPr="00AC3044">
              <w:rPr>
                <w:rFonts w:eastAsia="SimSun"/>
              </w:rPr>
              <w:t xml:space="preserve">В/в, в 20 мл физ. р-ра  </w:t>
            </w:r>
          </w:p>
        </w:tc>
      </w:tr>
      <w:tr w:rsidR="00124A26" w:rsidRPr="00AC3044" w14:paraId="297DDC68" w14:textId="77777777" w:rsidTr="002D3EBF">
        <w:trPr>
          <w:cantSplit/>
          <w:trHeight w:val="464"/>
        </w:trPr>
        <w:tc>
          <w:tcPr>
            <w:tcW w:w="1135" w:type="dxa"/>
            <w:vMerge/>
          </w:tcPr>
          <w:p w14:paraId="52AF99D8" w14:textId="77777777" w:rsidR="00124A26" w:rsidRPr="00AC3044" w:rsidRDefault="00124A26" w:rsidP="002D3EBF">
            <w:pPr>
              <w:ind w:firstLine="0"/>
              <w:rPr>
                <w:rFonts w:eastAsia="SimSun"/>
              </w:rPr>
            </w:pPr>
          </w:p>
        </w:tc>
        <w:tc>
          <w:tcPr>
            <w:tcW w:w="1701" w:type="dxa"/>
          </w:tcPr>
          <w:p w14:paraId="35ADD2B4" w14:textId="77777777" w:rsidR="00124A26" w:rsidRPr="00AC3044" w:rsidRDefault="00124A26" w:rsidP="002D3EBF">
            <w:pPr>
              <w:ind w:firstLine="0"/>
              <w:rPr>
                <w:rFonts w:eastAsia="SimSun"/>
              </w:rPr>
            </w:pPr>
            <w:r w:rsidRPr="00AC3044">
              <w:rPr>
                <w:rFonts w:eastAsia="SimSun"/>
              </w:rPr>
              <w:t>Микофенолата мофетил</w:t>
            </w:r>
          </w:p>
        </w:tc>
        <w:tc>
          <w:tcPr>
            <w:tcW w:w="1417" w:type="dxa"/>
          </w:tcPr>
          <w:p w14:paraId="6879180F" w14:textId="77777777" w:rsidR="00124A26" w:rsidRPr="00AC3044" w:rsidRDefault="00124A26" w:rsidP="002D3EBF">
            <w:pPr>
              <w:ind w:firstLine="0"/>
              <w:rPr>
                <w:rFonts w:eastAsia="SimSun"/>
              </w:rPr>
            </w:pPr>
            <w:r w:rsidRPr="00AC3044">
              <w:rPr>
                <w:rFonts w:eastAsia="SimSun"/>
              </w:rPr>
              <w:t>45 мг/кг</w:t>
            </w:r>
          </w:p>
        </w:tc>
        <w:tc>
          <w:tcPr>
            <w:tcW w:w="1418" w:type="dxa"/>
          </w:tcPr>
          <w:p w14:paraId="089CDB08" w14:textId="77777777" w:rsidR="00124A26" w:rsidRPr="00AC3044" w:rsidRDefault="00124A26" w:rsidP="002D3EBF">
            <w:pPr>
              <w:ind w:firstLine="0"/>
              <w:rPr>
                <w:rFonts w:eastAsia="SimSun"/>
              </w:rPr>
            </w:pPr>
            <w:r w:rsidRPr="00AC3044">
              <w:rPr>
                <w:rFonts w:eastAsia="SimSun"/>
              </w:rPr>
              <w:t>–</w:t>
            </w:r>
          </w:p>
        </w:tc>
        <w:tc>
          <w:tcPr>
            <w:tcW w:w="1701" w:type="dxa"/>
          </w:tcPr>
          <w:p w14:paraId="048B84BF" w14:textId="77777777" w:rsidR="00124A26" w:rsidRPr="00AC3044" w:rsidRDefault="00124A26" w:rsidP="002D3EBF">
            <w:pPr>
              <w:ind w:firstLine="0"/>
              <w:rPr>
                <w:rFonts w:eastAsia="SimSun"/>
              </w:rPr>
            </w:pPr>
            <w:r w:rsidRPr="00AC3044">
              <w:rPr>
                <w:rFonts w:eastAsia="SimSun"/>
              </w:rPr>
              <w:t>С +1 по +90 день</w:t>
            </w:r>
          </w:p>
        </w:tc>
        <w:tc>
          <w:tcPr>
            <w:tcW w:w="2268" w:type="dxa"/>
          </w:tcPr>
          <w:p w14:paraId="777047C2" w14:textId="77777777" w:rsidR="00124A26" w:rsidRPr="00AC3044" w:rsidRDefault="00124A26"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5C7D503B" w14:textId="77777777" w:rsidR="00124A26" w:rsidRDefault="00124A26" w:rsidP="00124A26">
      <w:pPr>
        <w:rPr>
          <w:rFonts w:eastAsia="SimSun"/>
        </w:rPr>
      </w:pPr>
      <w:bookmarkStart w:id="229" w:name="_Toc44401188"/>
    </w:p>
    <w:p w14:paraId="4E7BC817" w14:textId="77777777" w:rsidR="00124A26" w:rsidRPr="00391D6D" w:rsidRDefault="00124A26" w:rsidP="00124A26">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2.1.2 – Bu12+Cy120 / rATG+CSA+MTX+MMF45</w:t>
      </w:r>
      <w:bookmarkEnd w:id="229"/>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124A26" w:rsidRPr="00AC3044" w14:paraId="7E903531" w14:textId="77777777" w:rsidTr="002D3EBF">
        <w:trPr>
          <w:cantSplit/>
          <w:trHeight w:val="20"/>
          <w:tblHeader/>
        </w:trPr>
        <w:tc>
          <w:tcPr>
            <w:tcW w:w="1135" w:type="dxa"/>
          </w:tcPr>
          <w:p w14:paraId="7DB80054" w14:textId="77777777" w:rsidR="00124A26" w:rsidRPr="00470D3D" w:rsidRDefault="00124A26" w:rsidP="002D3EBF">
            <w:pPr>
              <w:ind w:firstLine="0"/>
              <w:rPr>
                <w:rFonts w:eastAsia="SimSun"/>
              </w:rPr>
            </w:pPr>
          </w:p>
        </w:tc>
        <w:tc>
          <w:tcPr>
            <w:tcW w:w="1701" w:type="dxa"/>
            <w:vAlign w:val="center"/>
          </w:tcPr>
          <w:p w14:paraId="16F19EE3" w14:textId="77777777" w:rsidR="00124A26" w:rsidRPr="00AC3044" w:rsidRDefault="00124A26" w:rsidP="002D3EBF">
            <w:pPr>
              <w:ind w:firstLine="0"/>
              <w:rPr>
                <w:rFonts w:eastAsia="SimSun"/>
              </w:rPr>
            </w:pPr>
            <w:r w:rsidRPr="00AC3044">
              <w:rPr>
                <w:rFonts w:eastAsia="SimSun"/>
              </w:rPr>
              <w:t>Препарат</w:t>
            </w:r>
          </w:p>
        </w:tc>
        <w:tc>
          <w:tcPr>
            <w:tcW w:w="1417" w:type="dxa"/>
            <w:vAlign w:val="center"/>
          </w:tcPr>
          <w:p w14:paraId="4E69346B" w14:textId="77777777" w:rsidR="00124A26" w:rsidRPr="00AC3044" w:rsidRDefault="00124A26" w:rsidP="002D3EBF">
            <w:pPr>
              <w:ind w:firstLine="0"/>
              <w:rPr>
                <w:rFonts w:eastAsia="SimSun"/>
              </w:rPr>
            </w:pPr>
            <w:r w:rsidRPr="00AC3044">
              <w:rPr>
                <w:rFonts w:eastAsia="SimSun"/>
              </w:rPr>
              <w:t>Суточная доза</w:t>
            </w:r>
          </w:p>
        </w:tc>
        <w:tc>
          <w:tcPr>
            <w:tcW w:w="1418" w:type="dxa"/>
            <w:vAlign w:val="center"/>
          </w:tcPr>
          <w:p w14:paraId="350CD16D" w14:textId="77777777" w:rsidR="00124A26" w:rsidRPr="00AC3044" w:rsidRDefault="00124A26" w:rsidP="002D3EBF">
            <w:pPr>
              <w:ind w:firstLine="0"/>
              <w:rPr>
                <w:rFonts w:eastAsia="SimSun"/>
              </w:rPr>
            </w:pPr>
            <w:r w:rsidRPr="00AC3044">
              <w:rPr>
                <w:rFonts w:eastAsia="SimSun"/>
              </w:rPr>
              <w:t>Курсовая доза</w:t>
            </w:r>
          </w:p>
        </w:tc>
        <w:tc>
          <w:tcPr>
            <w:tcW w:w="1701" w:type="dxa"/>
            <w:vAlign w:val="center"/>
          </w:tcPr>
          <w:p w14:paraId="47CB134C" w14:textId="77777777" w:rsidR="00124A26" w:rsidRPr="00AC3044" w:rsidRDefault="00124A26" w:rsidP="002D3EBF">
            <w:pPr>
              <w:ind w:firstLine="0"/>
              <w:rPr>
                <w:rFonts w:eastAsia="SimSun"/>
              </w:rPr>
            </w:pPr>
            <w:r w:rsidRPr="00AC3044">
              <w:rPr>
                <w:rFonts w:eastAsia="SimSun"/>
              </w:rPr>
              <w:t>Дни введения</w:t>
            </w:r>
          </w:p>
        </w:tc>
        <w:tc>
          <w:tcPr>
            <w:tcW w:w="2268" w:type="dxa"/>
            <w:vAlign w:val="center"/>
          </w:tcPr>
          <w:p w14:paraId="54B01623" w14:textId="77777777" w:rsidR="00124A26" w:rsidRDefault="00124A26" w:rsidP="002D3EBF">
            <w:pPr>
              <w:ind w:firstLine="0"/>
              <w:rPr>
                <w:rFonts w:eastAsia="SimSun"/>
              </w:rPr>
            </w:pPr>
            <w:r w:rsidRPr="00AC3044">
              <w:rPr>
                <w:rFonts w:eastAsia="SimSun"/>
              </w:rPr>
              <w:t>Порядок введения</w:t>
            </w:r>
          </w:p>
          <w:p w14:paraId="024E1A28" w14:textId="77777777" w:rsidR="00124A26" w:rsidRPr="001E6DBE" w:rsidRDefault="00124A26" w:rsidP="002D3EBF">
            <w:pPr>
              <w:rPr>
                <w:rFonts w:eastAsia="SimSun"/>
              </w:rPr>
            </w:pPr>
          </w:p>
          <w:p w14:paraId="094E110E" w14:textId="77777777" w:rsidR="00124A26" w:rsidRPr="001E6DBE" w:rsidRDefault="00124A26" w:rsidP="002D3EBF">
            <w:pPr>
              <w:rPr>
                <w:rFonts w:eastAsia="SimSun"/>
              </w:rPr>
            </w:pPr>
          </w:p>
          <w:p w14:paraId="12F0F320" w14:textId="77777777" w:rsidR="00124A26" w:rsidRPr="001E6DBE" w:rsidRDefault="00124A26" w:rsidP="002D3EBF">
            <w:pPr>
              <w:rPr>
                <w:rFonts w:eastAsia="SimSun"/>
              </w:rPr>
            </w:pPr>
          </w:p>
          <w:p w14:paraId="40ABBD1A" w14:textId="77777777" w:rsidR="00124A26" w:rsidRDefault="00124A26" w:rsidP="002D3EBF">
            <w:pPr>
              <w:rPr>
                <w:rFonts w:eastAsia="SimSun"/>
              </w:rPr>
            </w:pPr>
          </w:p>
          <w:p w14:paraId="178258AA" w14:textId="77777777" w:rsidR="00124A26" w:rsidRPr="001E6DBE" w:rsidRDefault="00124A26" w:rsidP="002D3EBF">
            <w:pPr>
              <w:rPr>
                <w:rFonts w:eastAsia="SimSun"/>
              </w:rPr>
            </w:pPr>
          </w:p>
        </w:tc>
      </w:tr>
      <w:tr w:rsidR="00124A26" w:rsidRPr="00AC3044" w14:paraId="3452BA3A" w14:textId="77777777" w:rsidTr="002D3EBF">
        <w:trPr>
          <w:cantSplit/>
          <w:trHeight w:val="20"/>
        </w:trPr>
        <w:tc>
          <w:tcPr>
            <w:tcW w:w="1135" w:type="dxa"/>
            <w:vMerge w:val="restart"/>
            <w:textDirection w:val="btLr"/>
            <w:vAlign w:val="center"/>
          </w:tcPr>
          <w:p w14:paraId="7D5584EB" w14:textId="77777777" w:rsidR="00124A26" w:rsidRPr="00AC3044" w:rsidRDefault="00124A26" w:rsidP="002D3EBF">
            <w:pPr>
              <w:ind w:firstLine="0"/>
              <w:rPr>
                <w:rFonts w:eastAsia="SimSun"/>
              </w:rPr>
            </w:pPr>
            <w:r w:rsidRPr="00AC3044">
              <w:rPr>
                <w:rFonts w:eastAsia="SimSun"/>
              </w:rPr>
              <w:t>Кондиционирование</w:t>
            </w:r>
          </w:p>
        </w:tc>
        <w:tc>
          <w:tcPr>
            <w:tcW w:w="1701" w:type="dxa"/>
            <w:vAlign w:val="center"/>
          </w:tcPr>
          <w:p w14:paraId="54D92FC5" w14:textId="77777777" w:rsidR="00124A26" w:rsidRPr="00AC3044" w:rsidRDefault="00124A26" w:rsidP="002D3EBF">
            <w:pPr>
              <w:ind w:firstLine="0"/>
              <w:rPr>
                <w:rFonts w:eastAsia="SimSun"/>
              </w:rPr>
            </w:pPr>
            <w:r w:rsidRPr="00AC3044">
              <w:rPr>
                <w:rFonts w:eastAsia="SimSun"/>
              </w:rPr>
              <w:t>Бусульфан</w:t>
            </w:r>
          </w:p>
        </w:tc>
        <w:tc>
          <w:tcPr>
            <w:tcW w:w="1417" w:type="dxa"/>
            <w:vAlign w:val="center"/>
          </w:tcPr>
          <w:p w14:paraId="2B0A70E9" w14:textId="77777777" w:rsidR="00124A26" w:rsidRPr="00AC3044" w:rsidRDefault="00124A26" w:rsidP="002D3EBF">
            <w:pPr>
              <w:ind w:firstLine="0"/>
              <w:rPr>
                <w:rFonts w:eastAsia="SimSun"/>
              </w:rPr>
            </w:pPr>
            <w:r w:rsidRPr="00AC3044">
              <w:rPr>
                <w:rFonts w:eastAsia="SimSun"/>
              </w:rPr>
              <w:t>4 мг/кг</w:t>
            </w:r>
          </w:p>
        </w:tc>
        <w:tc>
          <w:tcPr>
            <w:tcW w:w="1418" w:type="dxa"/>
            <w:vAlign w:val="center"/>
          </w:tcPr>
          <w:p w14:paraId="4A9A540A" w14:textId="77777777" w:rsidR="00124A26" w:rsidRPr="00AC3044" w:rsidRDefault="00124A26" w:rsidP="002D3EBF">
            <w:pPr>
              <w:ind w:firstLine="0"/>
              <w:rPr>
                <w:rFonts w:eastAsia="SimSun"/>
              </w:rPr>
            </w:pPr>
            <w:r w:rsidRPr="00AC3044">
              <w:rPr>
                <w:rFonts w:eastAsia="SimSun"/>
              </w:rPr>
              <w:t>12 мг/кг</w:t>
            </w:r>
          </w:p>
        </w:tc>
        <w:tc>
          <w:tcPr>
            <w:tcW w:w="1701" w:type="dxa"/>
            <w:vAlign w:val="center"/>
          </w:tcPr>
          <w:p w14:paraId="1D96E2B8" w14:textId="77777777" w:rsidR="00124A26" w:rsidRPr="00AC3044" w:rsidRDefault="00124A26" w:rsidP="002D3EBF">
            <w:pPr>
              <w:ind w:firstLine="0"/>
              <w:rPr>
                <w:rFonts w:eastAsia="SimSun"/>
              </w:rPr>
            </w:pPr>
            <w:r w:rsidRPr="00AC3044">
              <w:rPr>
                <w:rFonts w:eastAsia="SimSun"/>
              </w:rPr>
              <w:t>С –6 по –4 день</w:t>
            </w:r>
          </w:p>
        </w:tc>
        <w:tc>
          <w:tcPr>
            <w:tcW w:w="2268" w:type="dxa"/>
            <w:vAlign w:val="center"/>
          </w:tcPr>
          <w:p w14:paraId="40847394"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124A26" w:rsidRPr="00AC3044" w14:paraId="12553A1D" w14:textId="77777777" w:rsidTr="002D3EBF">
        <w:trPr>
          <w:cantSplit/>
          <w:trHeight w:val="1038"/>
        </w:trPr>
        <w:tc>
          <w:tcPr>
            <w:tcW w:w="1135" w:type="dxa"/>
            <w:vMerge/>
            <w:vAlign w:val="center"/>
          </w:tcPr>
          <w:p w14:paraId="64BF0528" w14:textId="77777777" w:rsidR="00124A26" w:rsidRPr="00AC3044" w:rsidRDefault="00124A26" w:rsidP="002D3EBF">
            <w:pPr>
              <w:ind w:firstLine="0"/>
              <w:rPr>
                <w:rFonts w:eastAsia="SimSun"/>
              </w:rPr>
            </w:pPr>
          </w:p>
        </w:tc>
        <w:tc>
          <w:tcPr>
            <w:tcW w:w="1701" w:type="dxa"/>
            <w:vAlign w:val="center"/>
          </w:tcPr>
          <w:p w14:paraId="0F35B151" w14:textId="77777777" w:rsidR="00124A26" w:rsidRPr="00AC3044" w:rsidRDefault="00124A26" w:rsidP="002D3EBF">
            <w:pPr>
              <w:ind w:firstLine="0"/>
              <w:rPr>
                <w:rFonts w:eastAsia="SimSun"/>
              </w:rPr>
            </w:pPr>
            <w:r w:rsidRPr="00AC3044">
              <w:rPr>
                <w:rFonts w:eastAsia="SimSun"/>
              </w:rPr>
              <w:t>Циклофосфамид</w:t>
            </w:r>
          </w:p>
        </w:tc>
        <w:tc>
          <w:tcPr>
            <w:tcW w:w="1417" w:type="dxa"/>
            <w:vAlign w:val="center"/>
          </w:tcPr>
          <w:p w14:paraId="19E0257A" w14:textId="77777777" w:rsidR="00124A26" w:rsidRPr="00AC3044" w:rsidRDefault="00124A26" w:rsidP="002D3EBF">
            <w:pPr>
              <w:ind w:firstLine="0"/>
              <w:rPr>
                <w:rFonts w:eastAsia="SimSun"/>
              </w:rPr>
            </w:pPr>
            <w:r w:rsidRPr="00AC3044">
              <w:rPr>
                <w:rFonts w:eastAsia="SimSun"/>
              </w:rPr>
              <w:t>60 мг/кг</w:t>
            </w:r>
          </w:p>
        </w:tc>
        <w:tc>
          <w:tcPr>
            <w:tcW w:w="1418" w:type="dxa"/>
            <w:vAlign w:val="center"/>
          </w:tcPr>
          <w:p w14:paraId="470A83E0" w14:textId="77777777" w:rsidR="00124A26" w:rsidRPr="00AC3044" w:rsidRDefault="00124A26" w:rsidP="002D3EBF">
            <w:pPr>
              <w:ind w:firstLine="0"/>
              <w:rPr>
                <w:rFonts w:eastAsia="SimSun"/>
              </w:rPr>
            </w:pPr>
            <w:r w:rsidRPr="00AC3044">
              <w:rPr>
                <w:rFonts w:eastAsia="SimSun"/>
              </w:rPr>
              <w:t>120 мг/кг</w:t>
            </w:r>
          </w:p>
        </w:tc>
        <w:tc>
          <w:tcPr>
            <w:tcW w:w="1701" w:type="dxa"/>
            <w:vAlign w:val="center"/>
          </w:tcPr>
          <w:p w14:paraId="7971F7F2" w14:textId="77777777" w:rsidR="00124A26" w:rsidRPr="00AC3044" w:rsidRDefault="00124A26" w:rsidP="002D3EBF">
            <w:pPr>
              <w:ind w:firstLine="0"/>
              <w:rPr>
                <w:rFonts w:eastAsia="SimSun"/>
              </w:rPr>
            </w:pPr>
            <w:r w:rsidRPr="00AC3044">
              <w:rPr>
                <w:rFonts w:eastAsia="SimSun"/>
              </w:rPr>
              <w:t xml:space="preserve">–3, –2 дни </w:t>
            </w:r>
          </w:p>
        </w:tc>
        <w:tc>
          <w:tcPr>
            <w:tcW w:w="2268" w:type="dxa"/>
            <w:vAlign w:val="center"/>
          </w:tcPr>
          <w:p w14:paraId="2441FB5F" w14:textId="77777777" w:rsidR="00124A26" w:rsidRPr="00AC3044" w:rsidRDefault="00124A26" w:rsidP="002D3EBF">
            <w:pPr>
              <w:ind w:firstLine="0"/>
              <w:rPr>
                <w:rFonts w:eastAsia="SimSun"/>
              </w:rPr>
            </w:pPr>
            <w:r w:rsidRPr="00AC3044">
              <w:rPr>
                <w:rFonts w:eastAsia="SimSun"/>
              </w:rPr>
              <w:t xml:space="preserve">В/в, в течение 2 ч </w:t>
            </w:r>
          </w:p>
        </w:tc>
      </w:tr>
      <w:tr w:rsidR="00124A26" w:rsidRPr="00AC3044" w14:paraId="47265153" w14:textId="77777777" w:rsidTr="002D3EBF">
        <w:trPr>
          <w:cantSplit/>
          <w:trHeight w:val="20"/>
        </w:trPr>
        <w:tc>
          <w:tcPr>
            <w:tcW w:w="1135" w:type="dxa"/>
            <w:vMerge w:val="restart"/>
            <w:textDirection w:val="btLr"/>
            <w:vAlign w:val="center"/>
          </w:tcPr>
          <w:p w14:paraId="6AA332C4" w14:textId="77777777" w:rsidR="00124A26" w:rsidRPr="00AC3044" w:rsidRDefault="00124A26" w:rsidP="002D3EBF">
            <w:pPr>
              <w:ind w:firstLine="0"/>
              <w:rPr>
                <w:rFonts w:eastAsia="SimSun"/>
              </w:rPr>
            </w:pPr>
            <w:r w:rsidRPr="00AC3044">
              <w:rPr>
                <w:rFonts w:eastAsia="SimSun"/>
              </w:rPr>
              <w:t>Профилактика РТПХ</w:t>
            </w:r>
          </w:p>
        </w:tc>
        <w:tc>
          <w:tcPr>
            <w:tcW w:w="1701" w:type="dxa"/>
            <w:vAlign w:val="center"/>
          </w:tcPr>
          <w:p w14:paraId="11DF66F1" w14:textId="77777777" w:rsidR="00124A26" w:rsidRPr="00AC3044" w:rsidRDefault="00124A26" w:rsidP="002D3EBF">
            <w:pPr>
              <w:ind w:firstLine="0"/>
              <w:rPr>
                <w:rFonts w:eastAsia="SimSun"/>
              </w:rPr>
            </w:pPr>
            <w:r w:rsidRPr="00AC3044">
              <w:rPr>
                <w:rFonts w:eastAsia="SimSun"/>
              </w:rPr>
              <w:t>АТГ (кроличий)</w:t>
            </w:r>
          </w:p>
        </w:tc>
        <w:tc>
          <w:tcPr>
            <w:tcW w:w="1417" w:type="dxa"/>
            <w:vAlign w:val="center"/>
          </w:tcPr>
          <w:p w14:paraId="427CE7F1" w14:textId="77777777" w:rsidR="00124A26" w:rsidRPr="00AC3044" w:rsidRDefault="00124A26" w:rsidP="002D3EBF">
            <w:pPr>
              <w:ind w:firstLine="0"/>
              <w:rPr>
                <w:rFonts w:eastAsia="SimSun"/>
              </w:rPr>
            </w:pPr>
            <w:r w:rsidRPr="00AC3044">
              <w:rPr>
                <w:rFonts w:eastAsia="SimSun"/>
              </w:rPr>
              <w:t>2,5 мг/кг</w:t>
            </w:r>
          </w:p>
        </w:tc>
        <w:tc>
          <w:tcPr>
            <w:tcW w:w="1418" w:type="dxa"/>
            <w:vAlign w:val="center"/>
          </w:tcPr>
          <w:p w14:paraId="4CDAF1D3" w14:textId="77777777" w:rsidR="00124A26" w:rsidRPr="00AC3044" w:rsidRDefault="00124A26" w:rsidP="002D3EBF">
            <w:pPr>
              <w:ind w:firstLine="0"/>
              <w:rPr>
                <w:rFonts w:eastAsia="SimSun"/>
              </w:rPr>
            </w:pPr>
            <w:r w:rsidRPr="00AC3044">
              <w:rPr>
                <w:rFonts w:eastAsia="SimSun"/>
              </w:rPr>
              <w:t>5-7,5 мг/кг</w:t>
            </w:r>
          </w:p>
        </w:tc>
        <w:tc>
          <w:tcPr>
            <w:tcW w:w="1701" w:type="dxa"/>
            <w:vAlign w:val="center"/>
          </w:tcPr>
          <w:p w14:paraId="067C0D5D" w14:textId="77777777" w:rsidR="00124A26" w:rsidRPr="00AC3044" w:rsidRDefault="00124A26" w:rsidP="002D3EBF">
            <w:pPr>
              <w:ind w:firstLine="0"/>
              <w:rPr>
                <w:rFonts w:eastAsia="SimSun"/>
              </w:rPr>
            </w:pPr>
            <w:r w:rsidRPr="00AC3044">
              <w:rPr>
                <w:rFonts w:eastAsia="SimSun"/>
              </w:rPr>
              <w:t>С –3 по –2 (-1) день</w:t>
            </w:r>
          </w:p>
        </w:tc>
        <w:tc>
          <w:tcPr>
            <w:tcW w:w="2268" w:type="dxa"/>
            <w:vAlign w:val="center"/>
          </w:tcPr>
          <w:p w14:paraId="601956DD" w14:textId="77777777" w:rsidR="00124A26" w:rsidRPr="00AC3044" w:rsidRDefault="00124A26" w:rsidP="002D3EBF">
            <w:pPr>
              <w:ind w:firstLine="0"/>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 xml:space="preserve">«Инфузия АТГ») </w:t>
            </w:r>
          </w:p>
        </w:tc>
      </w:tr>
      <w:tr w:rsidR="00124A26" w:rsidRPr="00AC3044" w14:paraId="1A00B11F" w14:textId="77777777" w:rsidTr="002D3EBF">
        <w:trPr>
          <w:cantSplit/>
          <w:trHeight w:val="20"/>
        </w:trPr>
        <w:tc>
          <w:tcPr>
            <w:tcW w:w="1135" w:type="dxa"/>
            <w:vMerge/>
            <w:textDirection w:val="btLr"/>
          </w:tcPr>
          <w:p w14:paraId="240AAC5B" w14:textId="77777777" w:rsidR="00124A26" w:rsidRPr="00AC3044" w:rsidRDefault="00124A26" w:rsidP="002D3EBF">
            <w:pPr>
              <w:ind w:firstLine="0"/>
              <w:rPr>
                <w:rFonts w:eastAsia="SimSun"/>
              </w:rPr>
            </w:pPr>
          </w:p>
        </w:tc>
        <w:tc>
          <w:tcPr>
            <w:tcW w:w="1701" w:type="dxa"/>
            <w:vAlign w:val="center"/>
          </w:tcPr>
          <w:p w14:paraId="4882D24F" w14:textId="77777777" w:rsidR="00124A26" w:rsidRPr="00AC3044" w:rsidRDefault="00124A26" w:rsidP="002D3EBF">
            <w:pPr>
              <w:ind w:firstLine="0"/>
              <w:rPr>
                <w:rFonts w:eastAsia="SimSun"/>
              </w:rPr>
            </w:pPr>
            <w:r w:rsidRPr="00AC3044">
              <w:rPr>
                <w:rFonts w:eastAsia="SimSun"/>
              </w:rPr>
              <w:t>Циклоспорин</w:t>
            </w:r>
          </w:p>
        </w:tc>
        <w:tc>
          <w:tcPr>
            <w:tcW w:w="1417" w:type="dxa"/>
            <w:vAlign w:val="center"/>
          </w:tcPr>
          <w:p w14:paraId="5DCB03D4" w14:textId="77777777" w:rsidR="00124A26" w:rsidRPr="00AC3044" w:rsidRDefault="00124A26" w:rsidP="002D3EBF">
            <w:pPr>
              <w:ind w:firstLine="0"/>
              <w:rPr>
                <w:rFonts w:eastAsia="SimSun"/>
              </w:rPr>
            </w:pPr>
            <w:r w:rsidRPr="00AC3044">
              <w:rPr>
                <w:rFonts w:eastAsia="SimSun"/>
              </w:rPr>
              <w:t>3 мг/кг</w:t>
            </w:r>
          </w:p>
        </w:tc>
        <w:tc>
          <w:tcPr>
            <w:tcW w:w="1418" w:type="dxa"/>
            <w:vAlign w:val="center"/>
          </w:tcPr>
          <w:p w14:paraId="505EC1C4"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5E3C6FAB" w14:textId="77777777" w:rsidR="00124A26" w:rsidRPr="00AC3044" w:rsidRDefault="00124A26" w:rsidP="002D3EBF">
            <w:pPr>
              <w:ind w:firstLine="0"/>
              <w:rPr>
                <w:rFonts w:eastAsia="SimSun"/>
              </w:rPr>
            </w:pPr>
            <w:r w:rsidRPr="00AC3044">
              <w:rPr>
                <w:rFonts w:eastAsia="SimSun"/>
              </w:rPr>
              <w:t>С –1 по +90 день, затем постепенное снижение к +180 дню</w:t>
            </w:r>
          </w:p>
        </w:tc>
        <w:tc>
          <w:tcPr>
            <w:tcW w:w="2268" w:type="dxa"/>
            <w:vAlign w:val="center"/>
          </w:tcPr>
          <w:p w14:paraId="4F94C970" w14:textId="77777777" w:rsidR="00124A26" w:rsidRPr="00AC3044" w:rsidRDefault="00124A26"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124A26" w:rsidRPr="00AC3044" w14:paraId="1A070AA4" w14:textId="77777777" w:rsidTr="002D3EBF">
        <w:trPr>
          <w:cantSplit/>
          <w:trHeight w:val="20"/>
        </w:trPr>
        <w:tc>
          <w:tcPr>
            <w:tcW w:w="1135" w:type="dxa"/>
            <w:vMerge/>
          </w:tcPr>
          <w:p w14:paraId="2797A72A" w14:textId="77777777" w:rsidR="00124A26" w:rsidRPr="00AC3044" w:rsidRDefault="00124A26" w:rsidP="002D3EBF">
            <w:pPr>
              <w:ind w:firstLine="0"/>
              <w:rPr>
                <w:rFonts w:eastAsia="SimSun"/>
              </w:rPr>
            </w:pPr>
          </w:p>
        </w:tc>
        <w:tc>
          <w:tcPr>
            <w:tcW w:w="1701" w:type="dxa"/>
            <w:vMerge w:val="restart"/>
            <w:vAlign w:val="center"/>
          </w:tcPr>
          <w:p w14:paraId="7FF4B2DF" w14:textId="77777777" w:rsidR="00124A26" w:rsidRPr="00AC3044" w:rsidRDefault="00124A26" w:rsidP="002D3EBF">
            <w:pPr>
              <w:ind w:firstLine="0"/>
              <w:rPr>
                <w:rFonts w:eastAsia="SimSun"/>
              </w:rPr>
            </w:pPr>
            <w:r w:rsidRPr="00AC3044">
              <w:rPr>
                <w:rFonts w:eastAsia="SimSun"/>
              </w:rPr>
              <w:t>Метотрексат</w:t>
            </w:r>
          </w:p>
        </w:tc>
        <w:tc>
          <w:tcPr>
            <w:tcW w:w="1417" w:type="dxa"/>
            <w:vAlign w:val="center"/>
          </w:tcPr>
          <w:p w14:paraId="697F1330" w14:textId="77777777" w:rsidR="00124A26" w:rsidRPr="00AC3044" w:rsidRDefault="00124A26" w:rsidP="002D3EBF">
            <w:pPr>
              <w:ind w:firstLine="0"/>
              <w:rPr>
                <w:rFonts w:eastAsia="SimSun"/>
              </w:rPr>
            </w:pPr>
            <w:r w:rsidRPr="00AC3044">
              <w:rPr>
                <w:rFonts w:eastAsia="SimSun"/>
              </w:rPr>
              <w:t>15 мг/м</w:t>
            </w:r>
            <w:r w:rsidRPr="001E6DBE">
              <w:rPr>
                <w:rFonts w:eastAsia="SimSun"/>
                <w:vertAlign w:val="superscript"/>
              </w:rPr>
              <w:t>2</w:t>
            </w:r>
          </w:p>
        </w:tc>
        <w:tc>
          <w:tcPr>
            <w:tcW w:w="1418" w:type="dxa"/>
            <w:vAlign w:val="center"/>
          </w:tcPr>
          <w:p w14:paraId="4B101425"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42E1A502" w14:textId="77777777" w:rsidR="00124A26" w:rsidRPr="00AC3044" w:rsidRDefault="00124A26" w:rsidP="002D3EBF">
            <w:pPr>
              <w:ind w:firstLine="0"/>
              <w:rPr>
                <w:rFonts w:eastAsia="SimSun"/>
              </w:rPr>
            </w:pPr>
            <w:r w:rsidRPr="00AC3044">
              <w:rPr>
                <w:rFonts w:eastAsia="SimSun"/>
              </w:rPr>
              <w:t>+1 день</w:t>
            </w:r>
          </w:p>
        </w:tc>
        <w:tc>
          <w:tcPr>
            <w:tcW w:w="2268" w:type="dxa"/>
            <w:vAlign w:val="center"/>
          </w:tcPr>
          <w:p w14:paraId="65842833" w14:textId="77777777" w:rsidR="00124A26" w:rsidRPr="00AC3044" w:rsidRDefault="00124A26" w:rsidP="002D3EBF">
            <w:pPr>
              <w:ind w:firstLine="0"/>
              <w:rPr>
                <w:rFonts w:eastAsia="SimSun"/>
              </w:rPr>
            </w:pPr>
            <w:r w:rsidRPr="00AC3044">
              <w:rPr>
                <w:rFonts w:eastAsia="SimSun"/>
              </w:rPr>
              <w:t xml:space="preserve">В/в, в 20 мл физ. р-ра </w:t>
            </w:r>
          </w:p>
        </w:tc>
      </w:tr>
      <w:tr w:rsidR="00124A26" w:rsidRPr="00AC3044" w14:paraId="1AFB15AF" w14:textId="77777777" w:rsidTr="002D3EBF">
        <w:trPr>
          <w:cantSplit/>
          <w:trHeight w:val="464"/>
        </w:trPr>
        <w:tc>
          <w:tcPr>
            <w:tcW w:w="1135" w:type="dxa"/>
            <w:vMerge/>
          </w:tcPr>
          <w:p w14:paraId="1B2FEE74" w14:textId="77777777" w:rsidR="00124A26" w:rsidRPr="00AC3044" w:rsidRDefault="00124A26" w:rsidP="002D3EBF">
            <w:pPr>
              <w:ind w:firstLine="0"/>
              <w:rPr>
                <w:rFonts w:eastAsia="SimSun"/>
              </w:rPr>
            </w:pPr>
          </w:p>
        </w:tc>
        <w:tc>
          <w:tcPr>
            <w:tcW w:w="1701" w:type="dxa"/>
            <w:vMerge/>
            <w:vAlign w:val="center"/>
          </w:tcPr>
          <w:p w14:paraId="18DB8673" w14:textId="77777777" w:rsidR="00124A26" w:rsidRPr="00AC3044" w:rsidRDefault="00124A26" w:rsidP="002D3EBF">
            <w:pPr>
              <w:ind w:firstLine="0"/>
              <w:rPr>
                <w:rFonts w:eastAsia="SimSun"/>
              </w:rPr>
            </w:pPr>
          </w:p>
        </w:tc>
        <w:tc>
          <w:tcPr>
            <w:tcW w:w="1417" w:type="dxa"/>
            <w:vAlign w:val="center"/>
          </w:tcPr>
          <w:p w14:paraId="38C1A6FF" w14:textId="77777777" w:rsidR="00124A26" w:rsidRPr="00AC3044" w:rsidRDefault="00124A26" w:rsidP="002D3EBF">
            <w:pPr>
              <w:ind w:firstLine="0"/>
              <w:rPr>
                <w:rFonts w:eastAsia="SimSun"/>
              </w:rPr>
            </w:pPr>
            <w:r w:rsidRPr="00AC3044">
              <w:rPr>
                <w:rFonts w:eastAsia="SimSun"/>
              </w:rPr>
              <w:t>10 мг/м</w:t>
            </w:r>
            <w:r w:rsidRPr="001E6DBE">
              <w:rPr>
                <w:rFonts w:eastAsia="SimSun"/>
                <w:vertAlign w:val="superscript"/>
              </w:rPr>
              <w:t>2</w:t>
            </w:r>
          </w:p>
        </w:tc>
        <w:tc>
          <w:tcPr>
            <w:tcW w:w="1418" w:type="dxa"/>
            <w:vAlign w:val="center"/>
          </w:tcPr>
          <w:p w14:paraId="78304778"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6F32C7B1" w14:textId="77777777" w:rsidR="00124A26" w:rsidRPr="00AC3044" w:rsidRDefault="00124A26" w:rsidP="002D3EBF">
            <w:pPr>
              <w:ind w:firstLine="0"/>
              <w:rPr>
                <w:rFonts w:eastAsia="SimSun"/>
              </w:rPr>
            </w:pPr>
            <w:r w:rsidRPr="00AC3044">
              <w:rPr>
                <w:rFonts w:eastAsia="SimSun"/>
              </w:rPr>
              <w:t>+3, +6, +11 дни</w:t>
            </w:r>
          </w:p>
        </w:tc>
        <w:tc>
          <w:tcPr>
            <w:tcW w:w="2268" w:type="dxa"/>
            <w:vAlign w:val="center"/>
          </w:tcPr>
          <w:p w14:paraId="0A23D04F" w14:textId="77777777" w:rsidR="00124A26" w:rsidRPr="00AC3044" w:rsidRDefault="00124A26" w:rsidP="002D3EBF">
            <w:pPr>
              <w:ind w:firstLine="0"/>
              <w:rPr>
                <w:rFonts w:eastAsia="SimSun"/>
              </w:rPr>
            </w:pPr>
            <w:r w:rsidRPr="00AC3044">
              <w:rPr>
                <w:rFonts w:eastAsia="SimSun"/>
              </w:rPr>
              <w:t xml:space="preserve">В/в, в 20 мл физ. р-ра </w:t>
            </w:r>
          </w:p>
        </w:tc>
      </w:tr>
      <w:tr w:rsidR="00124A26" w:rsidRPr="00AC3044" w14:paraId="2FB718C1" w14:textId="77777777" w:rsidTr="002D3EBF">
        <w:trPr>
          <w:cantSplit/>
          <w:trHeight w:val="464"/>
        </w:trPr>
        <w:tc>
          <w:tcPr>
            <w:tcW w:w="1135" w:type="dxa"/>
            <w:vMerge/>
          </w:tcPr>
          <w:p w14:paraId="2D7B89C8" w14:textId="77777777" w:rsidR="00124A26" w:rsidRPr="00AC3044" w:rsidRDefault="00124A26" w:rsidP="002D3EBF">
            <w:pPr>
              <w:ind w:firstLine="0"/>
              <w:rPr>
                <w:rFonts w:eastAsia="SimSun"/>
              </w:rPr>
            </w:pPr>
          </w:p>
        </w:tc>
        <w:tc>
          <w:tcPr>
            <w:tcW w:w="1701" w:type="dxa"/>
            <w:vAlign w:val="center"/>
          </w:tcPr>
          <w:p w14:paraId="776181C3" w14:textId="77777777" w:rsidR="00124A26" w:rsidRPr="00AC3044" w:rsidRDefault="00124A26" w:rsidP="002D3EBF">
            <w:pPr>
              <w:ind w:firstLine="0"/>
              <w:rPr>
                <w:rFonts w:eastAsia="SimSun"/>
              </w:rPr>
            </w:pPr>
            <w:r w:rsidRPr="00AC3044">
              <w:rPr>
                <w:rFonts w:eastAsia="SimSun"/>
              </w:rPr>
              <w:t>Микофенолата мофетил</w:t>
            </w:r>
          </w:p>
        </w:tc>
        <w:tc>
          <w:tcPr>
            <w:tcW w:w="1417" w:type="dxa"/>
            <w:vAlign w:val="center"/>
          </w:tcPr>
          <w:p w14:paraId="72BC1A4F" w14:textId="77777777" w:rsidR="00124A26" w:rsidRPr="00AC3044" w:rsidRDefault="00124A26" w:rsidP="002D3EBF">
            <w:pPr>
              <w:ind w:firstLine="0"/>
              <w:rPr>
                <w:rFonts w:eastAsia="SimSun"/>
              </w:rPr>
            </w:pPr>
            <w:r w:rsidRPr="00AC3044">
              <w:rPr>
                <w:rFonts w:eastAsia="SimSun"/>
              </w:rPr>
              <w:t>45 мг/кг</w:t>
            </w:r>
          </w:p>
        </w:tc>
        <w:tc>
          <w:tcPr>
            <w:tcW w:w="1418" w:type="dxa"/>
            <w:vAlign w:val="center"/>
          </w:tcPr>
          <w:p w14:paraId="354A4E4C"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7EAA8E5A" w14:textId="77777777" w:rsidR="00124A26" w:rsidRPr="00AC3044" w:rsidRDefault="00124A26" w:rsidP="002D3EBF">
            <w:pPr>
              <w:ind w:firstLine="0"/>
              <w:rPr>
                <w:rFonts w:eastAsia="SimSun"/>
              </w:rPr>
            </w:pPr>
            <w:r w:rsidRPr="00AC3044">
              <w:rPr>
                <w:rFonts w:eastAsia="SimSun"/>
              </w:rPr>
              <w:t>С +1 по +90 день</w:t>
            </w:r>
          </w:p>
        </w:tc>
        <w:tc>
          <w:tcPr>
            <w:tcW w:w="2268" w:type="dxa"/>
            <w:vAlign w:val="center"/>
          </w:tcPr>
          <w:p w14:paraId="7023FD3E" w14:textId="77777777" w:rsidR="00124A26" w:rsidRPr="00AC3044" w:rsidRDefault="00124A26"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1E3D66E0" w14:textId="77777777" w:rsidR="00124A26" w:rsidRDefault="00124A26" w:rsidP="00124A26">
      <w:pPr>
        <w:rPr>
          <w:rFonts w:eastAsia="SimSun"/>
        </w:rPr>
      </w:pPr>
      <w:bookmarkStart w:id="230" w:name="_Toc44401189"/>
    </w:p>
    <w:p w14:paraId="34A07325" w14:textId="77777777" w:rsidR="00124A26" w:rsidRPr="00C07B2E" w:rsidRDefault="00124A26" w:rsidP="00124A26">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2.1.3  – Flu180+Bu12 / PT-Cy</w:t>
      </w:r>
      <w:bookmarkEnd w:id="230"/>
    </w:p>
    <w:tbl>
      <w:tblPr>
        <w:tblW w:w="9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22"/>
        <w:gridCol w:w="1710"/>
        <w:gridCol w:w="1424"/>
        <w:gridCol w:w="1427"/>
        <w:gridCol w:w="1694"/>
        <w:gridCol w:w="2274"/>
      </w:tblGrid>
      <w:tr w:rsidR="00124A26" w:rsidRPr="00AC3044" w14:paraId="5B0F4104" w14:textId="77777777" w:rsidTr="002D3EBF">
        <w:trPr>
          <w:cantSplit/>
          <w:trHeight w:val="20"/>
          <w:tblHeader/>
        </w:trPr>
        <w:tc>
          <w:tcPr>
            <w:tcW w:w="1122" w:type="dxa"/>
            <w:vAlign w:val="center"/>
          </w:tcPr>
          <w:p w14:paraId="0A6E2F22" w14:textId="77777777" w:rsidR="00124A26" w:rsidRPr="00AC3044" w:rsidRDefault="00124A26" w:rsidP="002D3EBF">
            <w:pPr>
              <w:ind w:firstLine="0"/>
              <w:rPr>
                <w:rFonts w:eastAsia="SimSun"/>
              </w:rPr>
            </w:pPr>
          </w:p>
        </w:tc>
        <w:tc>
          <w:tcPr>
            <w:tcW w:w="1710" w:type="dxa"/>
            <w:vAlign w:val="center"/>
          </w:tcPr>
          <w:p w14:paraId="4012D2EA" w14:textId="77777777" w:rsidR="00124A26" w:rsidRPr="00AC3044" w:rsidRDefault="00124A26" w:rsidP="002D3EBF">
            <w:pPr>
              <w:ind w:firstLine="0"/>
              <w:rPr>
                <w:rFonts w:eastAsia="SimSun"/>
              </w:rPr>
            </w:pPr>
            <w:r w:rsidRPr="00AC3044">
              <w:rPr>
                <w:rFonts w:eastAsia="SimSun"/>
              </w:rPr>
              <w:t>Препарат</w:t>
            </w:r>
          </w:p>
        </w:tc>
        <w:tc>
          <w:tcPr>
            <w:tcW w:w="1424" w:type="dxa"/>
            <w:vAlign w:val="center"/>
          </w:tcPr>
          <w:p w14:paraId="2D323140" w14:textId="77777777" w:rsidR="00124A26" w:rsidRPr="00AC3044" w:rsidRDefault="00124A26" w:rsidP="002D3EBF">
            <w:pPr>
              <w:ind w:firstLine="0"/>
              <w:rPr>
                <w:rFonts w:eastAsia="SimSun"/>
              </w:rPr>
            </w:pPr>
            <w:r w:rsidRPr="00AC3044">
              <w:rPr>
                <w:rFonts w:eastAsia="SimSun"/>
              </w:rPr>
              <w:t>Суточная доза</w:t>
            </w:r>
          </w:p>
        </w:tc>
        <w:tc>
          <w:tcPr>
            <w:tcW w:w="1427" w:type="dxa"/>
            <w:vAlign w:val="center"/>
          </w:tcPr>
          <w:p w14:paraId="799840B5" w14:textId="77777777" w:rsidR="00124A26" w:rsidRPr="00AC3044" w:rsidRDefault="00124A26" w:rsidP="002D3EBF">
            <w:pPr>
              <w:ind w:firstLine="0"/>
              <w:rPr>
                <w:rFonts w:eastAsia="SimSun"/>
              </w:rPr>
            </w:pPr>
            <w:r w:rsidRPr="00AC3044">
              <w:rPr>
                <w:rFonts w:eastAsia="SimSun"/>
              </w:rPr>
              <w:t>Курсовая доза</w:t>
            </w:r>
          </w:p>
        </w:tc>
        <w:tc>
          <w:tcPr>
            <w:tcW w:w="1694" w:type="dxa"/>
            <w:vAlign w:val="center"/>
          </w:tcPr>
          <w:p w14:paraId="60F76580" w14:textId="77777777" w:rsidR="00124A26" w:rsidRPr="00AC3044" w:rsidRDefault="00124A26" w:rsidP="002D3EBF">
            <w:pPr>
              <w:ind w:firstLine="0"/>
              <w:rPr>
                <w:rFonts w:eastAsia="SimSun"/>
              </w:rPr>
            </w:pPr>
            <w:r w:rsidRPr="00AC3044">
              <w:rPr>
                <w:rFonts w:eastAsia="SimSun"/>
              </w:rPr>
              <w:t>Дни введения</w:t>
            </w:r>
          </w:p>
        </w:tc>
        <w:tc>
          <w:tcPr>
            <w:tcW w:w="2274" w:type="dxa"/>
            <w:vAlign w:val="center"/>
          </w:tcPr>
          <w:p w14:paraId="0DFDC22F"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0F505706" w14:textId="77777777" w:rsidTr="002D3EBF">
        <w:trPr>
          <w:cantSplit/>
          <w:trHeight w:val="20"/>
        </w:trPr>
        <w:tc>
          <w:tcPr>
            <w:tcW w:w="1122" w:type="dxa"/>
            <w:vMerge w:val="restart"/>
            <w:textDirection w:val="btLr"/>
            <w:vAlign w:val="center"/>
          </w:tcPr>
          <w:p w14:paraId="733E1C47" w14:textId="77777777" w:rsidR="00124A26" w:rsidRPr="00AC3044" w:rsidRDefault="00124A26" w:rsidP="002D3EBF">
            <w:pPr>
              <w:ind w:firstLine="0"/>
              <w:rPr>
                <w:rFonts w:eastAsia="SimSun"/>
              </w:rPr>
            </w:pPr>
            <w:r w:rsidRPr="00AC3044">
              <w:rPr>
                <w:rFonts w:eastAsia="SimSun"/>
              </w:rPr>
              <w:t>Кондиционирование</w:t>
            </w:r>
          </w:p>
        </w:tc>
        <w:tc>
          <w:tcPr>
            <w:tcW w:w="1710" w:type="dxa"/>
            <w:vAlign w:val="center"/>
          </w:tcPr>
          <w:p w14:paraId="30CFCA3A" w14:textId="77777777" w:rsidR="00124A26" w:rsidRPr="00AC3044" w:rsidRDefault="00124A26" w:rsidP="002D3EBF">
            <w:pPr>
              <w:ind w:firstLine="0"/>
              <w:rPr>
                <w:rFonts w:eastAsia="SimSun"/>
              </w:rPr>
            </w:pPr>
            <w:r w:rsidRPr="00AC3044">
              <w:rPr>
                <w:rFonts w:eastAsia="SimSun"/>
              </w:rPr>
              <w:t xml:space="preserve">Флударабин </w:t>
            </w:r>
          </w:p>
        </w:tc>
        <w:tc>
          <w:tcPr>
            <w:tcW w:w="1424" w:type="dxa"/>
            <w:vAlign w:val="center"/>
          </w:tcPr>
          <w:p w14:paraId="2E8DE56B" w14:textId="77777777" w:rsidR="00124A26" w:rsidRPr="00AC3044" w:rsidRDefault="00124A26" w:rsidP="002D3EBF">
            <w:pPr>
              <w:ind w:firstLine="0"/>
              <w:rPr>
                <w:rFonts w:eastAsia="SimSun"/>
              </w:rPr>
            </w:pPr>
            <w:r w:rsidRPr="00AC3044">
              <w:rPr>
                <w:rFonts w:eastAsia="SimSun"/>
              </w:rPr>
              <w:t>30 мг/м</w:t>
            </w:r>
            <w:r w:rsidRPr="001E6DBE">
              <w:rPr>
                <w:rFonts w:eastAsia="SimSun"/>
                <w:vertAlign w:val="superscript"/>
              </w:rPr>
              <w:t>2</w:t>
            </w:r>
          </w:p>
        </w:tc>
        <w:tc>
          <w:tcPr>
            <w:tcW w:w="1427" w:type="dxa"/>
            <w:vAlign w:val="center"/>
          </w:tcPr>
          <w:p w14:paraId="14A70540" w14:textId="77777777" w:rsidR="00124A26" w:rsidRPr="00AC3044" w:rsidRDefault="00124A26" w:rsidP="002D3EBF">
            <w:pPr>
              <w:ind w:firstLine="0"/>
              <w:rPr>
                <w:rFonts w:eastAsia="SimSun"/>
              </w:rPr>
            </w:pPr>
            <w:r w:rsidRPr="00AC3044">
              <w:rPr>
                <w:rFonts w:eastAsia="SimSun"/>
              </w:rPr>
              <w:t>180 мг/м</w:t>
            </w:r>
            <w:r w:rsidRPr="001E6DBE">
              <w:rPr>
                <w:rFonts w:eastAsia="SimSun"/>
                <w:vertAlign w:val="superscript"/>
              </w:rPr>
              <w:t>2</w:t>
            </w:r>
          </w:p>
        </w:tc>
        <w:tc>
          <w:tcPr>
            <w:tcW w:w="1694" w:type="dxa"/>
            <w:vAlign w:val="center"/>
          </w:tcPr>
          <w:p w14:paraId="668137BF" w14:textId="77777777" w:rsidR="00124A26" w:rsidRPr="00AC3044" w:rsidRDefault="00124A26" w:rsidP="002D3EBF">
            <w:pPr>
              <w:ind w:firstLine="0"/>
              <w:rPr>
                <w:rFonts w:eastAsia="SimSun"/>
              </w:rPr>
            </w:pPr>
            <w:r w:rsidRPr="00AC3044">
              <w:rPr>
                <w:rFonts w:eastAsia="SimSun"/>
              </w:rPr>
              <w:t>С -7 дня по -2 день</w:t>
            </w:r>
          </w:p>
        </w:tc>
        <w:tc>
          <w:tcPr>
            <w:tcW w:w="2274" w:type="dxa"/>
            <w:vAlign w:val="center"/>
          </w:tcPr>
          <w:p w14:paraId="06448FE1"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1B807231" w14:textId="77777777" w:rsidTr="002D3EBF">
        <w:trPr>
          <w:cantSplit/>
          <w:trHeight w:val="688"/>
        </w:trPr>
        <w:tc>
          <w:tcPr>
            <w:tcW w:w="1122" w:type="dxa"/>
            <w:vMerge/>
            <w:vAlign w:val="center"/>
          </w:tcPr>
          <w:p w14:paraId="18274212" w14:textId="77777777" w:rsidR="00124A26" w:rsidRPr="00AC3044" w:rsidRDefault="00124A26" w:rsidP="002D3EBF">
            <w:pPr>
              <w:ind w:firstLine="0"/>
              <w:rPr>
                <w:rFonts w:eastAsia="SimSun"/>
              </w:rPr>
            </w:pPr>
          </w:p>
        </w:tc>
        <w:tc>
          <w:tcPr>
            <w:tcW w:w="1710" w:type="dxa"/>
            <w:vAlign w:val="center"/>
          </w:tcPr>
          <w:p w14:paraId="351E6B8E" w14:textId="77777777" w:rsidR="00124A26" w:rsidRPr="00AC3044" w:rsidRDefault="00124A26" w:rsidP="002D3EBF">
            <w:pPr>
              <w:ind w:firstLine="0"/>
              <w:rPr>
                <w:rFonts w:eastAsia="SimSun"/>
              </w:rPr>
            </w:pPr>
            <w:r w:rsidRPr="00AC3044">
              <w:rPr>
                <w:rFonts w:eastAsia="SimSun"/>
              </w:rPr>
              <w:t>Бусульфан</w:t>
            </w:r>
          </w:p>
        </w:tc>
        <w:tc>
          <w:tcPr>
            <w:tcW w:w="1424" w:type="dxa"/>
            <w:vAlign w:val="center"/>
          </w:tcPr>
          <w:p w14:paraId="6B10F735" w14:textId="77777777" w:rsidR="00124A26" w:rsidRPr="00AC3044" w:rsidRDefault="00124A26" w:rsidP="002D3EBF">
            <w:pPr>
              <w:ind w:firstLine="0"/>
              <w:rPr>
                <w:rFonts w:eastAsia="SimSun"/>
              </w:rPr>
            </w:pPr>
            <w:r w:rsidRPr="00AC3044">
              <w:rPr>
                <w:rFonts w:eastAsia="SimSun"/>
              </w:rPr>
              <w:t xml:space="preserve">4 мг/кг </w:t>
            </w:r>
          </w:p>
        </w:tc>
        <w:tc>
          <w:tcPr>
            <w:tcW w:w="1427" w:type="dxa"/>
            <w:vAlign w:val="center"/>
          </w:tcPr>
          <w:p w14:paraId="04E8972E" w14:textId="77777777" w:rsidR="00124A26" w:rsidRPr="00AC3044" w:rsidRDefault="00124A26" w:rsidP="002D3EBF">
            <w:pPr>
              <w:ind w:firstLine="0"/>
              <w:rPr>
                <w:rFonts w:eastAsia="SimSun"/>
              </w:rPr>
            </w:pPr>
            <w:r w:rsidRPr="00AC3044">
              <w:rPr>
                <w:rFonts w:eastAsia="SimSun"/>
              </w:rPr>
              <w:t xml:space="preserve">12 мг/кг </w:t>
            </w:r>
          </w:p>
        </w:tc>
        <w:tc>
          <w:tcPr>
            <w:tcW w:w="1694" w:type="dxa"/>
            <w:vAlign w:val="center"/>
          </w:tcPr>
          <w:p w14:paraId="69FC7AFA" w14:textId="77777777" w:rsidR="00124A26" w:rsidRPr="00AC3044" w:rsidRDefault="00124A26" w:rsidP="002D3EBF">
            <w:pPr>
              <w:ind w:firstLine="0"/>
              <w:rPr>
                <w:rFonts w:eastAsia="SimSun"/>
              </w:rPr>
            </w:pPr>
            <w:r w:rsidRPr="00AC3044">
              <w:rPr>
                <w:rFonts w:eastAsia="SimSun"/>
              </w:rPr>
              <w:t>С -5 дня по -3 день</w:t>
            </w:r>
          </w:p>
        </w:tc>
        <w:tc>
          <w:tcPr>
            <w:tcW w:w="2274" w:type="dxa"/>
            <w:vAlign w:val="center"/>
          </w:tcPr>
          <w:p w14:paraId="1606BCAA"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124A26" w:rsidRPr="00AC3044" w14:paraId="6B22248E" w14:textId="77777777" w:rsidTr="002D3EBF">
        <w:trPr>
          <w:cantSplit/>
          <w:trHeight w:val="980"/>
        </w:trPr>
        <w:tc>
          <w:tcPr>
            <w:tcW w:w="1122" w:type="dxa"/>
            <w:textDirection w:val="btLr"/>
            <w:vAlign w:val="center"/>
          </w:tcPr>
          <w:p w14:paraId="29A990A1" w14:textId="77777777" w:rsidR="00124A26" w:rsidRPr="00AC3044" w:rsidRDefault="00124A26" w:rsidP="002D3EBF">
            <w:pPr>
              <w:ind w:firstLine="0"/>
              <w:rPr>
                <w:rFonts w:eastAsia="SimSun"/>
              </w:rPr>
            </w:pPr>
            <w:r w:rsidRPr="00AC3044">
              <w:rPr>
                <w:rFonts w:eastAsia="SimSun"/>
              </w:rPr>
              <w:t>Профилактика РТПХ</w:t>
            </w:r>
          </w:p>
        </w:tc>
        <w:tc>
          <w:tcPr>
            <w:tcW w:w="1710" w:type="dxa"/>
            <w:vAlign w:val="center"/>
          </w:tcPr>
          <w:p w14:paraId="691E2742" w14:textId="77777777" w:rsidR="00124A26" w:rsidRPr="00AC3044" w:rsidRDefault="00124A26" w:rsidP="002D3EBF">
            <w:pPr>
              <w:ind w:firstLine="0"/>
              <w:rPr>
                <w:rFonts w:eastAsia="SimSun"/>
              </w:rPr>
            </w:pPr>
            <w:r w:rsidRPr="00AC3044">
              <w:rPr>
                <w:rFonts w:eastAsia="SimSun"/>
              </w:rPr>
              <w:t>Циклофосфамид</w:t>
            </w:r>
          </w:p>
        </w:tc>
        <w:tc>
          <w:tcPr>
            <w:tcW w:w="1424" w:type="dxa"/>
            <w:vAlign w:val="center"/>
          </w:tcPr>
          <w:p w14:paraId="44D506B6" w14:textId="77777777" w:rsidR="00124A26" w:rsidRPr="00AC3044" w:rsidRDefault="00124A26" w:rsidP="002D3EBF">
            <w:pPr>
              <w:ind w:firstLine="0"/>
              <w:rPr>
                <w:rFonts w:eastAsia="SimSun"/>
              </w:rPr>
            </w:pPr>
            <w:r w:rsidRPr="00AC3044">
              <w:rPr>
                <w:rFonts w:eastAsia="SimSun"/>
              </w:rPr>
              <w:t>50 мг/кг</w:t>
            </w:r>
          </w:p>
        </w:tc>
        <w:tc>
          <w:tcPr>
            <w:tcW w:w="1427" w:type="dxa"/>
            <w:vAlign w:val="center"/>
          </w:tcPr>
          <w:p w14:paraId="3B6F57FF" w14:textId="77777777" w:rsidR="00124A26" w:rsidRPr="00AC3044" w:rsidRDefault="00124A26" w:rsidP="002D3EBF">
            <w:pPr>
              <w:ind w:firstLine="0"/>
              <w:rPr>
                <w:rFonts w:eastAsia="SimSun"/>
              </w:rPr>
            </w:pPr>
            <w:r w:rsidRPr="00AC3044">
              <w:rPr>
                <w:rFonts w:eastAsia="SimSun"/>
              </w:rPr>
              <w:t>100 мг/кг</w:t>
            </w:r>
          </w:p>
        </w:tc>
        <w:tc>
          <w:tcPr>
            <w:tcW w:w="1694" w:type="dxa"/>
            <w:vAlign w:val="center"/>
          </w:tcPr>
          <w:p w14:paraId="398FB059" w14:textId="77777777" w:rsidR="00124A26" w:rsidRPr="00AC3044" w:rsidRDefault="00124A26" w:rsidP="002D3EBF">
            <w:pPr>
              <w:ind w:firstLine="0"/>
              <w:rPr>
                <w:rFonts w:eastAsia="SimSun"/>
              </w:rPr>
            </w:pPr>
            <w:r w:rsidRPr="00AC3044">
              <w:rPr>
                <w:rFonts w:eastAsia="SimSun"/>
              </w:rPr>
              <w:t>С +3 дня по +4 день</w:t>
            </w:r>
          </w:p>
        </w:tc>
        <w:tc>
          <w:tcPr>
            <w:tcW w:w="2274" w:type="dxa"/>
            <w:vAlign w:val="center"/>
          </w:tcPr>
          <w:p w14:paraId="586D1096" w14:textId="77777777" w:rsidR="00124A26" w:rsidRPr="00AC3044" w:rsidRDefault="00124A26" w:rsidP="002D3EBF">
            <w:pPr>
              <w:ind w:firstLine="0"/>
              <w:rPr>
                <w:rFonts w:eastAsia="SimSun"/>
              </w:rPr>
            </w:pPr>
            <w:r w:rsidRPr="00AC3044">
              <w:rPr>
                <w:rFonts w:eastAsia="SimSun"/>
              </w:rPr>
              <w:t>В/в, в течение 2 ч</w:t>
            </w:r>
          </w:p>
        </w:tc>
      </w:tr>
    </w:tbl>
    <w:p w14:paraId="17E1422A" w14:textId="77777777" w:rsidR="00124A26" w:rsidRPr="00C07B2E" w:rsidRDefault="00124A26" w:rsidP="00124A26">
      <w:pPr>
        <w:rPr>
          <w:rFonts w:eastAsia="SimSun"/>
        </w:rPr>
      </w:pPr>
      <w:r w:rsidRPr="00C07B2E">
        <w:rPr>
          <w:rFonts w:eastAsia="SimSun"/>
        </w:rPr>
        <w:tab/>
      </w:r>
    </w:p>
    <w:p w14:paraId="37B4125C" w14:textId="77777777" w:rsidR="00124A26" w:rsidRPr="00C07B2E" w:rsidRDefault="00124A26" w:rsidP="00124A26">
      <w:pPr>
        <w:rPr>
          <w:rFonts w:eastAsia="SimSun"/>
        </w:rPr>
      </w:pPr>
      <w:bookmarkStart w:id="231" w:name="_Toc44401190"/>
      <w:r w:rsidRPr="00042499">
        <w:rPr>
          <w:rFonts w:eastAsia="SimSun"/>
        </w:rPr>
        <w:t>Таблица</w:t>
      </w:r>
      <w:r w:rsidRPr="00C07B2E">
        <w:rPr>
          <w:rFonts w:eastAsia="SimSun"/>
        </w:rPr>
        <w:t xml:space="preserve"> </w:t>
      </w:r>
      <w:r>
        <w:rPr>
          <w:rFonts w:eastAsia="SimSun"/>
        </w:rPr>
        <w:t>5.</w:t>
      </w:r>
      <w:r w:rsidRPr="00C07B2E">
        <w:rPr>
          <w:rFonts w:eastAsia="SimSun"/>
        </w:rPr>
        <w:t>2.1.4  – Flu180+Bu12 / PT-Cy+Tx+MMF30</w:t>
      </w:r>
      <w:bookmarkEnd w:id="231"/>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124A26" w:rsidRPr="00AC3044" w14:paraId="74DA78D5" w14:textId="77777777" w:rsidTr="002D3EBF">
        <w:trPr>
          <w:cantSplit/>
          <w:trHeight w:val="20"/>
          <w:tblHeader/>
        </w:trPr>
        <w:tc>
          <w:tcPr>
            <w:tcW w:w="1135" w:type="dxa"/>
            <w:vAlign w:val="center"/>
          </w:tcPr>
          <w:p w14:paraId="123129BE" w14:textId="77777777" w:rsidR="00124A26" w:rsidRPr="00470D3D" w:rsidRDefault="00124A26" w:rsidP="002D3EBF">
            <w:pPr>
              <w:ind w:firstLine="0"/>
              <w:rPr>
                <w:rFonts w:eastAsia="SimSun"/>
              </w:rPr>
            </w:pPr>
          </w:p>
        </w:tc>
        <w:tc>
          <w:tcPr>
            <w:tcW w:w="1701" w:type="dxa"/>
            <w:vAlign w:val="center"/>
          </w:tcPr>
          <w:p w14:paraId="031B1B18" w14:textId="77777777" w:rsidR="00124A26" w:rsidRPr="00AC3044" w:rsidRDefault="00124A26" w:rsidP="002D3EBF">
            <w:pPr>
              <w:ind w:firstLine="0"/>
              <w:rPr>
                <w:rFonts w:eastAsia="SimSun"/>
              </w:rPr>
            </w:pPr>
            <w:r w:rsidRPr="00AC3044">
              <w:rPr>
                <w:rFonts w:eastAsia="SimSun"/>
              </w:rPr>
              <w:t>Препарат</w:t>
            </w:r>
          </w:p>
        </w:tc>
        <w:tc>
          <w:tcPr>
            <w:tcW w:w="1417" w:type="dxa"/>
            <w:vAlign w:val="center"/>
          </w:tcPr>
          <w:p w14:paraId="41EB1C9E" w14:textId="77777777" w:rsidR="00124A26" w:rsidRPr="00AC3044" w:rsidRDefault="00124A26" w:rsidP="002D3EBF">
            <w:pPr>
              <w:ind w:firstLine="0"/>
              <w:rPr>
                <w:rFonts w:eastAsia="SimSun"/>
              </w:rPr>
            </w:pPr>
            <w:r w:rsidRPr="00AC3044">
              <w:rPr>
                <w:rFonts w:eastAsia="SimSun"/>
              </w:rPr>
              <w:t>Суточная доза</w:t>
            </w:r>
          </w:p>
        </w:tc>
        <w:tc>
          <w:tcPr>
            <w:tcW w:w="1418" w:type="dxa"/>
            <w:vAlign w:val="center"/>
          </w:tcPr>
          <w:p w14:paraId="73B5BC61" w14:textId="77777777" w:rsidR="00124A26" w:rsidRPr="00AC3044" w:rsidRDefault="00124A26" w:rsidP="002D3EBF">
            <w:pPr>
              <w:ind w:firstLine="0"/>
              <w:rPr>
                <w:rFonts w:eastAsia="SimSun"/>
              </w:rPr>
            </w:pPr>
            <w:r w:rsidRPr="00AC3044">
              <w:rPr>
                <w:rFonts w:eastAsia="SimSun"/>
              </w:rPr>
              <w:t>Курсовая доза</w:t>
            </w:r>
          </w:p>
        </w:tc>
        <w:tc>
          <w:tcPr>
            <w:tcW w:w="1701" w:type="dxa"/>
            <w:vAlign w:val="center"/>
          </w:tcPr>
          <w:p w14:paraId="1E08C40F" w14:textId="77777777" w:rsidR="00124A26" w:rsidRPr="00AC3044" w:rsidRDefault="00124A26" w:rsidP="002D3EBF">
            <w:pPr>
              <w:ind w:firstLine="0"/>
              <w:rPr>
                <w:rFonts w:eastAsia="SimSun"/>
              </w:rPr>
            </w:pPr>
            <w:r w:rsidRPr="00AC3044">
              <w:rPr>
                <w:rFonts w:eastAsia="SimSun"/>
              </w:rPr>
              <w:t>Дни введения</w:t>
            </w:r>
          </w:p>
        </w:tc>
        <w:tc>
          <w:tcPr>
            <w:tcW w:w="2268" w:type="dxa"/>
            <w:vAlign w:val="center"/>
          </w:tcPr>
          <w:p w14:paraId="51563FCD"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68F756A1" w14:textId="77777777" w:rsidTr="002D3EBF">
        <w:trPr>
          <w:cantSplit/>
          <w:trHeight w:val="20"/>
        </w:trPr>
        <w:tc>
          <w:tcPr>
            <w:tcW w:w="1135" w:type="dxa"/>
            <w:vMerge w:val="restart"/>
            <w:textDirection w:val="btLr"/>
            <w:vAlign w:val="center"/>
          </w:tcPr>
          <w:p w14:paraId="7C5A69A7" w14:textId="77777777" w:rsidR="00124A26" w:rsidRPr="00AC3044" w:rsidRDefault="00124A26" w:rsidP="002D3EBF">
            <w:pPr>
              <w:ind w:firstLine="0"/>
              <w:rPr>
                <w:rFonts w:eastAsia="SimSun"/>
              </w:rPr>
            </w:pPr>
            <w:r w:rsidRPr="00AC3044">
              <w:rPr>
                <w:rFonts w:eastAsia="SimSun"/>
              </w:rPr>
              <w:t>Кондиционирование</w:t>
            </w:r>
          </w:p>
        </w:tc>
        <w:tc>
          <w:tcPr>
            <w:tcW w:w="1701" w:type="dxa"/>
            <w:vAlign w:val="center"/>
          </w:tcPr>
          <w:p w14:paraId="339429A0" w14:textId="77777777" w:rsidR="00124A26" w:rsidRPr="00AC3044" w:rsidRDefault="00124A26" w:rsidP="002D3EBF">
            <w:pPr>
              <w:ind w:firstLine="0"/>
              <w:rPr>
                <w:rFonts w:eastAsia="SimSun"/>
              </w:rPr>
            </w:pPr>
            <w:r w:rsidRPr="00AC3044">
              <w:rPr>
                <w:rFonts w:eastAsia="SimSun"/>
              </w:rPr>
              <w:t xml:space="preserve">Флударабин </w:t>
            </w:r>
          </w:p>
        </w:tc>
        <w:tc>
          <w:tcPr>
            <w:tcW w:w="1417" w:type="dxa"/>
            <w:vAlign w:val="center"/>
          </w:tcPr>
          <w:p w14:paraId="560D9FA3" w14:textId="77777777" w:rsidR="00124A26" w:rsidRPr="00AC3044" w:rsidRDefault="00124A26" w:rsidP="002D3EBF">
            <w:pPr>
              <w:ind w:firstLine="0"/>
              <w:rPr>
                <w:rFonts w:eastAsia="SimSun"/>
              </w:rPr>
            </w:pPr>
            <w:r w:rsidRPr="00AC3044">
              <w:rPr>
                <w:rFonts w:eastAsia="SimSun"/>
              </w:rPr>
              <w:t>30 мг/м</w:t>
            </w:r>
            <w:r w:rsidRPr="001E6DBE">
              <w:rPr>
                <w:rFonts w:eastAsia="SimSun"/>
                <w:vertAlign w:val="superscript"/>
              </w:rPr>
              <w:t>2</w:t>
            </w:r>
          </w:p>
        </w:tc>
        <w:tc>
          <w:tcPr>
            <w:tcW w:w="1418" w:type="dxa"/>
            <w:vAlign w:val="center"/>
          </w:tcPr>
          <w:p w14:paraId="63B2191D" w14:textId="77777777" w:rsidR="00124A26" w:rsidRPr="00AC3044" w:rsidRDefault="00124A26" w:rsidP="002D3EBF">
            <w:pPr>
              <w:ind w:firstLine="0"/>
              <w:rPr>
                <w:rFonts w:eastAsia="SimSun"/>
              </w:rPr>
            </w:pPr>
            <w:r w:rsidRPr="00AC3044">
              <w:rPr>
                <w:rFonts w:eastAsia="SimSun"/>
              </w:rPr>
              <w:t>180 мг/м</w:t>
            </w:r>
            <w:r w:rsidRPr="001E6DBE">
              <w:rPr>
                <w:rFonts w:eastAsia="SimSun"/>
                <w:vertAlign w:val="superscript"/>
              </w:rPr>
              <w:t>2</w:t>
            </w:r>
          </w:p>
        </w:tc>
        <w:tc>
          <w:tcPr>
            <w:tcW w:w="1701" w:type="dxa"/>
            <w:vAlign w:val="center"/>
          </w:tcPr>
          <w:p w14:paraId="427A52C3" w14:textId="77777777" w:rsidR="00124A26" w:rsidRPr="00AC3044" w:rsidRDefault="00124A26" w:rsidP="002D3EBF">
            <w:pPr>
              <w:ind w:firstLine="0"/>
              <w:rPr>
                <w:rFonts w:eastAsia="SimSun"/>
              </w:rPr>
            </w:pPr>
            <w:r w:rsidRPr="00AC3044">
              <w:rPr>
                <w:rFonts w:eastAsia="SimSun"/>
              </w:rPr>
              <w:t>С -7 дня по -2 день</w:t>
            </w:r>
          </w:p>
        </w:tc>
        <w:tc>
          <w:tcPr>
            <w:tcW w:w="2268" w:type="dxa"/>
            <w:vAlign w:val="center"/>
          </w:tcPr>
          <w:p w14:paraId="69C5EBE3"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08766E30" w14:textId="77777777" w:rsidTr="002D3EBF">
        <w:trPr>
          <w:cantSplit/>
          <w:trHeight w:val="1207"/>
        </w:trPr>
        <w:tc>
          <w:tcPr>
            <w:tcW w:w="1135" w:type="dxa"/>
            <w:vMerge/>
            <w:vAlign w:val="center"/>
          </w:tcPr>
          <w:p w14:paraId="73C33F4B" w14:textId="77777777" w:rsidR="00124A26" w:rsidRPr="00AC3044" w:rsidRDefault="00124A26" w:rsidP="002D3EBF">
            <w:pPr>
              <w:ind w:firstLine="0"/>
              <w:rPr>
                <w:rFonts w:eastAsia="SimSun"/>
              </w:rPr>
            </w:pPr>
          </w:p>
        </w:tc>
        <w:tc>
          <w:tcPr>
            <w:tcW w:w="1701" w:type="dxa"/>
            <w:vAlign w:val="center"/>
          </w:tcPr>
          <w:p w14:paraId="2460142A" w14:textId="77777777" w:rsidR="00124A26" w:rsidRPr="00AC3044" w:rsidRDefault="00124A26" w:rsidP="002D3EBF">
            <w:pPr>
              <w:ind w:firstLine="0"/>
              <w:rPr>
                <w:rFonts w:eastAsia="SimSun"/>
              </w:rPr>
            </w:pPr>
            <w:r w:rsidRPr="00AC3044">
              <w:rPr>
                <w:rFonts w:eastAsia="SimSun"/>
              </w:rPr>
              <w:t>Бусульфан</w:t>
            </w:r>
          </w:p>
        </w:tc>
        <w:tc>
          <w:tcPr>
            <w:tcW w:w="1417" w:type="dxa"/>
            <w:vAlign w:val="center"/>
          </w:tcPr>
          <w:p w14:paraId="14F242BD" w14:textId="77777777" w:rsidR="00124A26" w:rsidRPr="00AC3044" w:rsidRDefault="00124A26" w:rsidP="002D3EBF">
            <w:pPr>
              <w:ind w:firstLine="0"/>
              <w:rPr>
                <w:rFonts w:eastAsia="SimSun"/>
              </w:rPr>
            </w:pPr>
            <w:r w:rsidRPr="00AC3044">
              <w:rPr>
                <w:rFonts w:eastAsia="SimSun"/>
              </w:rPr>
              <w:t xml:space="preserve">4 мг/кг </w:t>
            </w:r>
          </w:p>
        </w:tc>
        <w:tc>
          <w:tcPr>
            <w:tcW w:w="1418" w:type="dxa"/>
            <w:vAlign w:val="center"/>
          </w:tcPr>
          <w:p w14:paraId="2CF6F7F8" w14:textId="77777777" w:rsidR="00124A26" w:rsidRPr="00AC3044" w:rsidRDefault="00124A26" w:rsidP="002D3EBF">
            <w:pPr>
              <w:ind w:firstLine="0"/>
              <w:rPr>
                <w:rFonts w:eastAsia="SimSun"/>
              </w:rPr>
            </w:pPr>
            <w:r w:rsidRPr="00AC3044">
              <w:rPr>
                <w:rFonts w:eastAsia="SimSun"/>
              </w:rPr>
              <w:t xml:space="preserve">12мг/кг </w:t>
            </w:r>
          </w:p>
        </w:tc>
        <w:tc>
          <w:tcPr>
            <w:tcW w:w="1701" w:type="dxa"/>
            <w:vAlign w:val="center"/>
          </w:tcPr>
          <w:p w14:paraId="1993BE7C" w14:textId="77777777" w:rsidR="00124A26" w:rsidRPr="00AC3044" w:rsidRDefault="00124A26" w:rsidP="002D3EBF">
            <w:pPr>
              <w:ind w:firstLine="0"/>
              <w:rPr>
                <w:rFonts w:eastAsia="SimSun"/>
              </w:rPr>
            </w:pPr>
            <w:r w:rsidRPr="00AC3044">
              <w:rPr>
                <w:rFonts w:eastAsia="SimSun"/>
              </w:rPr>
              <w:t>С -5 дня по -3 день</w:t>
            </w:r>
          </w:p>
        </w:tc>
        <w:tc>
          <w:tcPr>
            <w:tcW w:w="2268" w:type="dxa"/>
            <w:vAlign w:val="center"/>
          </w:tcPr>
          <w:p w14:paraId="53FF6945"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124A26" w:rsidRPr="00AC3044" w14:paraId="2C046C44" w14:textId="77777777" w:rsidTr="002D3EBF">
        <w:trPr>
          <w:cantSplit/>
          <w:trHeight w:val="669"/>
        </w:trPr>
        <w:tc>
          <w:tcPr>
            <w:tcW w:w="1135" w:type="dxa"/>
            <w:vMerge w:val="restart"/>
            <w:textDirection w:val="btLr"/>
            <w:vAlign w:val="center"/>
          </w:tcPr>
          <w:p w14:paraId="426DCD0D" w14:textId="77777777" w:rsidR="00124A26" w:rsidRPr="00AC3044" w:rsidRDefault="00124A26" w:rsidP="002D3EBF">
            <w:pPr>
              <w:ind w:firstLine="0"/>
              <w:rPr>
                <w:rFonts w:eastAsia="SimSun"/>
              </w:rPr>
            </w:pPr>
            <w:r w:rsidRPr="00AC3044">
              <w:rPr>
                <w:rFonts w:eastAsia="SimSun"/>
              </w:rPr>
              <w:t>Профилактика РТПХ</w:t>
            </w:r>
          </w:p>
        </w:tc>
        <w:tc>
          <w:tcPr>
            <w:tcW w:w="1701" w:type="dxa"/>
            <w:vAlign w:val="center"/>
          </w:tcPr>
          <w:p w14:paraId="09604C9C" w14:textId="77777777" w:rsidR="00124A26" w:rsidRPr="00AC3044" w:rsidRDefault="00124A26" w:rsidP="002D3EBF">
            <w:pPr>
              <w:ind w:firstLine="0"/>
              <w:rPr>
                <w:rFonts w:eastAsia="SimSun"/>
              </w:rPr>
            </w:pPr>
            <w:r w:rsidRPr="00AC3044">
              <w:rPr>
                <w:rFonts w:eastAsia="SimSun"/>
              </w:rPr>
              <w:t>Циклофосфамид</w:t>
            </w:r>
          </w:p>
        </w:tc>
        <w:tc>
          <w:tcPr>
            <w:tcW w:w="1417" w:type="dxa"/>
            <w:vAlign w:val="center"/>
          </w:tcPr>
          <w:p w14:paraId="4E67AAD4" w14:textId="77777777" w:rsidR="00124A26" w:rsidRPr="00AC3044" w:rsidRDefault="00124A26" w:rsidP="002D3EBF">
            <w:pPr>
              <w:ind w:firstLine="0"/>
              <w:rPr>
                <w:rFonts w:eastAsia="SimSun"/>
              </w:rPr>
            </w:pPr>
            <w:r w:rsidRPr="00AC3044">
              <w:rPr>
                <w:rFonts w:eastAsia="SimSun"/>
              </w:rPr>
              <w:t>50 мг/кг</w:t>
            </w:r>
          </w:p>
        </w:tc>
        <w:tc>
          <w:tcPr>
            <w:tcW w:w="1418" w:type="dxa"/>
            <w:vAlign w:val="center"/>
          </w:tcPr>
          <w:p w14:paraId="7A115CA8" w14:textId="77777777" w:rsidR="00124A26" w:rsidRPr="00AC3044" w:rsidRDefault="00124A26" w:rsidP="002D3EBF">
            <w:pPr>
              <w:ind w:firstLine="0"/>
              <w:rPr>
                <w:rFonts w:eastAsia="SimSun"/>
              </w:rPr>
            </w:pPr>
            <w:r w:rsidRPr="00AC3044">
              <w:rPr>
                <w:rFonts w:eastAsia="SimSun"/>
              </w:rPr>
              <w:t>100 мг/кг</w:t>
            </w:r>
          </w:p>
        </w:tc>
        <w:tc>
          <w:tcPr>
            <w:tcW w:w="1701" w:type="dxa"/>
            <w:vAlign w:val="center"/>
          </w:tcPr>
          <w:p w14:paraId="071C8A7A" w14:textId="77777777" w:rsidR="00124A26" w:rsidRPr="00AC3044" w:rsidRDefault="00124A26" w:rsidP="002D3EBF">
            <w:pPr>
              <w:ind w:firstLine="0"/>
              <w:rPr>
                <w:rFonts w:eastAsia="SimSun"/>
              </w:rPr>
            </w:pPr>
            <w:r w:rsidRPr="00AC3044">
              <w:rPr>
                <w:rFonts w:eastAsia="SimSun"/>
              </w:rPr>
              <w:t>С +3 дня по +4 день</w:t>
            </w:r>
          </w:p>
        </w:tc>
        <w:tc>
          <w:tcPr>
            <w:tcW w:w="2268" w:type="dxa"/>
            <w:vAlign w:val="center"/>
          </w:tcPr>
          <w:p w14:paraId="6CF91E18" w14:textId="77777777" w:rsidR="00124A26" w:rsidRPr="00AC3044" w:rsidRDefault="00124A26" w:rsidP="002D3EBF">
            <w:pPr>
              <w:ind w:firstLine="0"/>
              <w:rPr>
                <w:rFonts w:eastAsia="SimSun"/>
              </w:rPr>
            </w:pPr>
            <w:r w:rsidRPr="00AC3044">
              <w:rPr>
                <w:rFonts w:eastAsia="SimSun"/>
              </w:rPr>
              <w:t>В/в, в течение 2 ч</w:t>
            </w:r>
          </w:p>
        </w:tc>
      </w:tr>
      <w:tr w:rsidR="00124A26" w:rsidRPr="00AC3044" w14:paraId="0F63B93A" w14:textId="77777777" w:rsidTr="002D3EBF">
        <w:trPr>
          <w:cantSplit/>
          <w:trHeight w:val="958"/>
        </w:trPr>
        <w:tc>
          <w:tcPr>
            <w:tcW w:w="1135" w:type="dxa"/>
            <w:vMerge/>
            <w:textDirection w:val="btLr"/>
            <w:vAlign w:val="center"/>
          </w:tcPr>
          <w:p w14:paraId="40BA35C2" w14:textId="77777777" w:rsidR="00124A26" w:rsidRPr="00AC3044" w:rsidRDefault="00124A26" w:rsidP="002D3EBF">
            <w:pPr>
              <w:ind w:firstLine="0"/>
              <w:rPr>
                <w:rFonts w:eastAsia="SimSun"/>
              </w:rPr>
            </w:pPr>
          </w:p>
        </w:tc>
        <w:tc>
          <w:tcPr>
            <w:tcW w:w="1701" w:type="dxa"/>
            <w:vAlign w:val="center"/>
          </w:tcPr>
          <w:p w14:paraId="42AD3123" w14:textId="77777777" w:rsidR="00124A26" w:rsidRPr="00AC3044" w:rsidRDefault="00124A26" w:rsidP="002D3EBF">
            <w:pPr>
              <w:ind w:firstLine="0"/>
              <w:rPr>
                <w:rFonts w:eastAsia="SimSun"/>
              </w:rPr>
            </w:pPr>
            <w:r w:rsidRPr="00AC3044">
              <w:rPr>
                <w:rFonts w:eastAsia="SimSun"/>
              </w:rPr>
              <w:t xml:space="preserve">Такролимус </w:t>
            </w:r>
          </w:p>
        </w:tc>
        <w:tc>
          <w:tcPr>
            <w:tcW w:w="1417" w:type="dxa"/>
            <w:vAlign w:val="center"/>
          </w:tcPr>
          <w:p w14:paraId="0942E781" w14:textId="77777777" w:rsidR="00124A26" w:rsidRPr="00AC3044" w:rsidRDefault="00124A26" w:rsidP="002D3EBF">
            <w:pPr>
              <w:ind w:firstLine="0"/>
              <w:rPr>
                <w:rFonts w:eastAsia="SimSun"/>
              </w:rPr>
            </w:pPr>
            <w:r w:rsidRPr="00AC3044">
              <w:rPr>
                <w:rFonts w:eastAsia="SimSun"/>
              </w:rPr>
              <w:t>0,03 мг/кг</w:t>
            </w:r>
          </w:p>
        </w:tc>
        <w:tc>
          <w:tcPr>
            <w:tcW w:w="1418" w:type="dxa"/>
            <w:vAlign w:val="center"/>
          </w:tcPr>
          <w:p w14:paraId="66B806E5"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3CED6086" w14:textId="77777777" w:rsidR="00124A26" w:rsidRPr="00AC3044" w:rsidRDefault="00124A26" w:rsidP="002D3EBF">
            <w:pPr>
              <w:ind w:firstLine="0"/>
              <w:rPr>
                <w:rFonts w:eastAsia="SimSun"/>
              </w:rPr>
            </w:pPr>
            <w:r w:rsidRPr="00AC3044">
              <w:rPr>
                <w:rFonts w:eastAsia="SimSun"/>
              </w:rPr>
              <w:t xml:space="preserve">С +5 дня длительно </w:t>
            </w:r>
          </w:p>
        </w:tc>
        <w:tc>
          <w:tcPr>
            <w:tcW w:w="2268" w:type="dxa"/>
            <w:vAlign w:val="center"/>
          </w:tcPr>
          <w:p w14:paraId="799CCCA4" w14:textId="77777777" w:rsidR="00124A26" w:rsidRPr="00AC3044" w:rsidRDefault="00124A26"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 xml:space="preserve"> 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124A26" w:rsidRPr="00AC3044" w14:paraId="39282D47" w14:textId="77777777" w:rsidTr="002D3EBF">
        <w:trPr>
          <w:cantSplit/>
          <w:trHeight w:val="486"/>
        </w:trPr>
        <w:tc>
          <w:tcPr>
            <w:tcW w:w="1135" w:type="dxa"/>
            <w:vMerge/>
            <w:textDirection w:val="btLr"/>
            <w:vAlign w:val="center"/>
          </w:tcPr>
          <w:p w14:paraId="7FC58D1B" w14:textId="77777777" w:rsidR="00124A26" w:rsidRPr="00AC3044" w:rsidRDefault="00124A26" w:rsidP="002D3EBF">
            <w:pPr>
              <w:ind w:firstLine="0"/>
              <w:rPr>
                <w:rFonts w:eastAsia="SimSun"/>
              </w:rPr>
            </w:pPr>
          </w:p>
        </w:tc>
        <w:tc>
          <w:tcPr>
            <w:tcW w:w="1701" w:type="dxa"/>
            <w:vAlign w:val="center"/>
          </w:tcPr>
          <w:p w14:paraId="58C33700" w14:textId="77777777" w:rsidR="00124A26" w:rsidRPr="00AC3044" w:rsidRDefault="00124A26" w:rsidP="002D3EBF">
            <w:pPr>
              <w:ind w:firstLine="0"/>
              <w:rPr>
                <w:rFonts w:eastAsia="SimSun"/>
              </w:rPr>
            </w:pPr>
            <w:r w:rsidRPr="00AC3044">
              <w:rPr>
                <w:rFonts w:eastAsia="SimSun"/>
              </w:rPr>
              <w:t>Микофенолата мофетил</w:t>
            </w:r>
          </w:p>
        </w:tc>
        <w:tc>
          <w:tcPr>
            <w:tcW w:w="1417" w:type="dxa"/>
            <w:vAlign w:val="center"/>
          </w:tcPr>
          <w:p w14:paraId="5421CDF2" w14:textId="77777777" w:rsidR="00124A26" w:rsidRPr="00AC3044" w:rsidRDefault="00124A26" w:rsidP="002D3EBF">
            <w:pPr>
              <w:ind w:firstLine="0"/>
              <w:rPr>
                <w:rFonts w:eastAsia="SimSun"/>
              </w:rPr>
            </w:pPr>
            <w:r w:rsidRPr="00AC3044">
              <w:rPr>
                <w:rFonts w:eastAsia="SimSun"/>
              </w:rPr>
              <w:t xml:space="preserve">30 мг/кг </w:t>
            </w:r>
          </w:p>
        </w:tc>
        <w:tc>
          <w:tcPr>
            <w:tcW w:w="1418" w:type="dxa"/>
            <w:vAlign w:val="center"/>
          </w:tcPr>
          <w:p w14:paraId="2FE699AD"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3CA256BE" w14:textId="77777777" w:rsidR="00124A26" w:rsidRPr="00AC3044" w:rsidRDefault="00124A26" w:rsidP="002D3EBF">
            <w:pPr>
              <w:ind w:firstLine="0"/>
              <w:rPr>
                <w:rFonts w:eastAsia="SimSun"/>
              </w:rPr>
            </w:pPr>
            <w:r w:rsidRPr="00AC3044">
              <w:rPr>
                <w:rFonts w:eastAsia="SimSun"/>
              </w:rPr>
              <w:t xml:space="preserve">С +5 дня по +35 день </w:t>
            </w:r>
          </w:p>
        </w:tc>
        <w:tc>
          <w:tcPr>
            <w:tcW w:w="2268" w:type="dxa"/>
            <w:vAlign w:val="center"/>
          </w:tcPr>
          <w:p w14:paraId="3AE68925"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555DD8A7" w14:textId="77777777" w:rsidR="00124A26" w:rsidRDefault="00124A26" w:rsidP="00124A26">
      <w:pPr>
        <w:rPr>
          <w:rFonts w:eastAsia="SimSun"/>
        </w:rPr>
      </w:pPr>
      <w:bookmarkStart w:id="232" w:name="_Toc44401191"/>
    </w:p>
    <w:p w14:paraId="0C4D7309" w14:textId="77777777" w:rsidR="00124A26" w:rsidRPr="00C07B2E" w:rsidRDefault="00124A26" w:rsidP="00124A26">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2.1.5  – Flu180+Bu12 / PT-Cy+CSA+MMF30</w:t>
      </w:r>
      <w:bookmarkEnd w:id="232"/>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124A26" w:rsidRPr="00AC3044" w14:paraId="1945ACDA" w14:textId="77777777" w:rsidTr="002D3EBF">
        <w:trPr>
          <w:cantSplit/>
          <w:trHeight w:val="20"/>
          <w:tblHeader/>
        </w:trPr>
        <w:tc>
          <w:tcPr>
            <w:tcW w:w="1135" w:type="dxa"/>
            <w:vAlign w:val="center"/>
          </w:tcPr>
          <w:p w14:paraId="1242D71F" w14:textId="77777777" w:rsidR="00124A26" w:rsidRPr="00470D3D" w:rsidRDefault="00124A26" w:rsidP="002D3EBF">
            <w:pPr>
              <w:ind w:firstLine="0"/>
              <w:rPr>
                <w:rFonts w:eastAsia="SimSun"/>
              </w:rPr>
            </w:pPr>
          </w:p>
        </w:tc>
        <w:tc>
          <w:tcPr>
            <w:tcW w:w="1701" w:type="dxa"/>
            <w:vAlign w:val="center"/>
          </w:tcPr>
          <w:p w14:paraId="2943723E" w14:textId="77777777" w:rsidR="00124A26" w:rsidRPr="00AC3044" w:rsidRDefault="00124A26" w:rsidP="002D3EBF">
            <w:pPr>
              <w:ind w:firstLine="0"/>
              <w:rPr>
                <w:rFonts w:eastAsia="SimSun"/>
              </w:rPr>
            </w:pPr>
            <w:r w:rsidRPr="00AC3044">
              <w:rPr>
                <w:rFonts w:eastAsia="SimSun"/>
              </w:rPr>
              <w:t>Препарат</w:t>
            </w:r>
          </w:p>
        </w:tc>
        <w:tc>
          <w:tcPr>
            <w:tcW w:w="1417" w:type="dxa"/>
            <w:vAlign w:val="center"/>
          </w:tcPr>
          <w:p w14:paraId="1B826DEC" w14:textId="77777777" w:rsidR="00124A26" w:rsidRPr="00AC3044" w:rsidRDefault="00124A26" w:rsidP="002D3EBF">
            <w:pPr>
              <w:ind w:firstLine="0"/>
              <w:rPr>
                <w:rFonts w:eastAsia="SimSun"/>
              </w:rPr>
            </w:pPr>
            <w:r w:rsidRPr="00AC3044">
              <w:rPr>
                <w:rFonts w:eastAsia="SimSun"/>
              </w:rPr>
              <w:t>Суточная доза</w:t>
            </w:r>
          </w:p>
        </w:tc>
        <w:tc>
          <w:tcPr>
            <w:tcW w:w="1418" w:type="dxa"/>
            <w:vAlign w:val="center"/>
          </w:tcPr>
          <w:p w14:paraId="75BFAF74" w14:textId="77777777" w:rsidR="00124A26" w:rsidRPr="00AC3044" w:rsidRDefault="00124A26" w:rsidP="002D3EBF">
            <w:pPr>
              <w:ind w:firstLine="0"/>
              <w:rPr>
                <w:rFonts w:eastAsia="SimSun"/>
              </w:rPr>
            </w:pPr>
            <w:r w:rsidRPr="00AC3044">
              <w:rPr>
                <w:rFonts w:eastAsia="SimSun"/>
              </w:rPr>
              <w:t>Курсовая доза</w:t>
            </w:r>
          </w:p>
        </w:tc>
        <w:tc>
          <w:tcPr>
            <w:tcW w:w="1701" w:type="dxa"/>
            <w:vAlign w:val="center"/>
          </w:tcPr>
          <w:p w14:paraId="55BAE23C" w14:textId="77777777" w:rsidR="00124A26" w:rsidRPr="00AC3044" w:rsidRDefault="00124A26" w:rsidP="002D3EBF">
            <w:pPr>
              <w:ind w:firstLine="0"/>
              <w:rPr>
                <w:rFonts w:eastAsia="SimSun"/>
              </w:rPr>
            </w:pPr>
            <w:r w:rsidRPr="00AC3044">
              <w:rPr>
                <w:rFonts w:eastAsia="SimSun"/>
              </w:rPr>
              <w:t>Дни введения</w:t>
            </w:r>
          </w:p>
        </w:tc>
        <w:tc>
          <w:tcPr>
            <w:tcW w:w="2268" w:type="dxa"/>
            <w:vAlign w:val="center"/>
          </w:tcPr>
          <w:p w14:paraId="7D86039E"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6F181398" w14:textId="77777777" w:rsidTr="002D3EBF">
        <w:trPr>
          <w:cantSplit/>
          <w:trHeight w:val="20"/>
        </w:trPr>
        <w:tc>
          <w:tcPr>
            <w:tcW w:w="1135" w:type="dxa"/>
            <w:vMerge w:val="restart"/>
            <w:textDirection w:val="btLr"/>
            <w:vAlign w:val="center"/>
          </w:tcPr>
          <w:p w14:paraId="2104E2C4" w14:textId="77777777" w:rsidR="00124A26" w:rsidRPr="00AC3044" w:rsidRDefault="00124A26" w:rsidP="002D3EBF">
            <w:pPr>
              <w:ind w:firstLine="0"/>
              <w:rPr>
                <w:rFonts w:eastAsia="SimSun"/>
              </w:rPr>
            </w:pPr>
            <w:r w:rsidRPr="00AC3044">
              <w:rPr>
                <w:rFonts w:eastAsia="SimSun"/>
              </w:rPr>
              <w:t>Кондиционирование</w:t>
            </w:r>
          </w:p>
        </w:tc>
        <w:tc>
          <w:tcPr>
            <w:tcW w:w="1701" w:type="dxa"/>
            <w:vAlign w:val="center"/>
          </w:tcPr>
          <w:p w14:paraId="537C3C30" w14:textId="77777777" w:rsidR="00124A26" w:rsidRPr="00AC3044" w:rsidRDefault="00124A26" w:rsidP="002D3EBF">
            <w:pPr>
              <w:ind w:firstLine="0"/>
              <w:rPr>
                <w:rFonts w:eastAsia="SimSun"/>
              </w:rPr>
            </w:pPr>
            <w:r w:rsidRPr="00AC3044">
              <w:rPr>
                <w:rFonts w:eastAsia="SimSun"/>
              </w:rPr>
              <w:t xml:space="preserve">Флударабин </w:t>
            </w:r>
          </w:p>
        </w:tc>
        <w:tc>
          <w:tcPr>
            <w:tcW w:w="1417" w:type="dxa"/>
            <w:vAlign w:val="center"/>
          </w:tcPr>
          <w:p w14:paraId="601DE61C" w14:textId="77777777" w:rsidR="00124A26" w:rsidRPr="00AC3044" w:rsidRDefault="00124A26" w:rsidP="002D3EBF">
            <w:pPr>
              <w:ind w:firstLine="0"/>
              <w:rPr>
                <w:rFonts w:eastAsia="SimSun"/>
              </w:rPr>
            </w:pPr>
            <w:r w:rsidRPr="00AC3044">
              <w:rPr>
                <w:rFonts w:eastAsia="SimSun"/>
              </w:rPr>
              <w:t>30 мг/м</w:t>
            </w:r>
            <w:r w:rsidRPr="001E6DBE">
              <w:rPr>
                <w:rFonts w:eastAsia="SimSun"/>
                <w:vertAlign w:val="superscript"/>
              </w:rPr>
              <w:t>2</w:t>
            </w:r>
          </w:p>
        </w:tc>
        <w:tc>
          <w:tcPr>
            <w:tcW w:w="1418" w:type="dxa"/>
            <w:vAlign w:val="center"/>
          </w:tcPr>
          <w:p w14:paraId="7611B6DB" w14:textId="77777777" w:rsidR="00124A26" w:rsidRPr="00AC3044" w:rsidRDefault="00124A26" w:rsidP="002D3EBF">
            <w:pPr>
              <w:ind w:firstLine="0"/>
              <w:rPr>
                <w:rFonts w:eastAsia="SimSun"/>
              </w:rPr>
            </w:pPr>
            <w:r w:rsidRPr="00AC3044">
              <w:rPr>
                <w:rFonts w:eastAsia="SimSun"/>
              </w:rPr>
              <w:t>180 мг/м</w:t>
            </w:r>
            <w:r w:rsidRPr="001E6DBE">
              <w:rPr>
                <w:rFonts w:eastAsia="SimSun"/>
                <w:vertAlign w:val="superscript"/>
              </w:rPr>
              <w:t>2</w:t>
            </w:r>
          </w:p>
        </w:tc>
        <w:tc>
          <w:tcPr>
            <w:tcW w:w="1701" w:type="dxa"/>
            <w:vAlign w:val="center"/>
          </w:tcPr>
          <w:p w14:paraId="20A0E4F9" w14:textId="77777777" w:rsidR="00124A26" w:rsidRPr="00AC3044" w:rsidRDefault="00124A26" w:rsidP="002D3EBF">
            <w:pPr>
              <w:ind w:firstLine="0"/>
              <w:rPr>
                <w:rFonts w:eastAsia="SimSun"/>
              </w:rPr>
            </w:pPr>
            <w:r w:rsidRPr="00AC3044">
              <w:rPr>
                <w:rFonts w:eastAsia="SimSun"/>
              </w:rPr>
              <w:t>С -7 дня по -2 день</w:t>
            </w:r>
          </w:p>
        </w:tc>
        <w:tc>
          <w:tcPr>
            <w:tcW w:w="2268" w:type="dxa"/>
            <w:vAlign w:val="center"/>
          </w:tcPr>
          <w:p w14:paraId="577CF035"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6AD05322" w14:textId="77777777" w:rsidTr="002D3EBF">
        <w:trPr>
          <w:cantSplit/>
          <w:trHeight w:val="1207"/>
        </w:trPr>
        <w:tc>
          <w:tcPr>
            <w:tcW w:w="1135" w:type="dxa"/>
            <w:vMerge/>
            <w:vAlign w:val="center"/>
          </w:tcPr>
          <w:p w14:paraId="09B48F1B" w14:textId="77777777" w:rsidR="00124A26" w:rsidRPr="00AC3044" w:rsidRDefault="00124A26" w:rsidP="002D3EBF">
            <w:pPr>
              <w:ind w:firstLine="0"/>
              <w:rPr>
                <w:rFonts w:eastAsia="SimSun"/>
              </w:rPr>
            </w:pPr>
          </w:p>
        </w:tc>
        <w:tc>
          <w:tcPr>
            <w:tcW w:w="1701" w:type="dxa"/>
            <w:vAlign w:val="center"/>
          </w:tcPr>
          <w:p w14:paraId="6EE2AD09" w14:textId="77777777" w:rsidR="00124A26" w:rsidRPr="00AC3044" w:rsidRDefault="00124A26" w:rsidP="002D3EBF">
            <w:pPr>
              <w:ind w:firstLine="0"/>
              <w:rPr>
                <w:rFonts w:eastAsia="SimSun"/>
              </w:rPr>
            </w:pPr>
            <w:r w:rsidRPr="00AC3044">
              <w:rPr>
                <w:rFonts w:eastAsia="SimSun"/>
              </w:rPr>
              <w:t>Бусульфан</w:t>
            </w:r>
          </w:p>
        </w:tc>
        <w:tc>
          <w:tcPr>
            <w:tcW w:w="1417" w:type="dxa"/>
            <w:vAlign w:val="center"/>
          </w:tcPr>
          <w:p w14:paraId="0915353F" w14:textId="77777777" w:rsidR="00124A26" w:rsidRPr="00AC3044" w:rsidRDefault="00124A26" w:rsidP="002D3EBF">
            <w:pPr>
              <w:ind w:firstLine="0"/>
              <w:rPr>
                <w:rFonts w:eastAsia="SimSun"/>
              </w:rPr>
            </w:pPr>
            <w:r w:rsidRPr="00AC3044">
              <w:rPr>
                <w:rFonts w:eastAsia="SimSun"/>
              </w:rPr>
              <w:t xml:space="preserve">4 мг/кг </w:t>
            </w:r>
          </w:p>
        </w:tc>
        <w:tc>
          <w:tcPr>
            <w:tcW w:w="1418" w:type="dxa"/>
            <w:vAlign w:val="center"/>
          </w:tcPr>
          <w:p w14:paraId="0DA878D9" w14:textId="77777777" w:rsidR="00124A26" w:rsidRPr="00AC3044" w:rsidRDefault="00124A26" w:rsidP="002D3EBF">
            <w:pPr>
              <w:ind w:firstLine="0"/>
              <w:rPr>
                <w:rFonts w:eastAsia="SimSun"/>
              </w:rPr>
            </w:pPr>
            <w:r w:rsidRPr="00AC3044">
              <w:rPr>
                <w:rFonts w:eastAsia="SimSun"/>
              </w:rPr>
              <w:t xml:space="preserve">12 мг/кг </w:t>
            </w:r>
          </w:p>
        </w:tc>
        <w:tc>
          <w:tcPr>
            <w:tcW w:w="1701" w:type="dxa"/>
            <w:vAlign w:val="center"/>
          </w:tcPr>
          <w:p w14:paraId="1330D0D6" w14:textId="77777777" w:rsidR="00124A26" w:rsidRPr="00AC3044" w:rsidRDefault="00124A26" w:rsidP="002D3EBF">
            <w:pPr>
              <w:ind w:firstLine="0"/>
              <w:rPr>
                <w:rFonts w:eastAsia="SimSun"/>
              </w:rPr>
            </w:pPr>
            <w:r w:rsidRPr="00AC3044">
              <w:rPr>
                <w:rFonts w:eastAsia="SimSun"/>
              </w:rPr>
              <w:t>С -5 дня по -3 день</w:t>
            </w:r>
          </w:p>
        </w:tc>
        <w:tc>
          <w:tcPr>
            <w:tcW w:w="2268" w:type="dxa"/>
            <w:vAlign w:val="center"/>
          </w:tcPr>
          <w:p w14:paraId="52C85777"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124A26" w:rsidRPr="00AC3044" w14:paraId="11B0CD7D" w14:textId="77777777" w:rsidTr="002D3EBF">
        <w:trPr>
          <w:cantSplit/>
          <w:trHeight w:val="606"/>
        </w:trPr>
        <w:tc>
          <w:tcPr>
            <w:tcW w:w="1135" w:type="dxa"/>
            <w:vMerge w:val="restart"/>
            <w:textDirection w:val="btLr"/>
            <w:vAlign w:val="center"/>
          </w:tcPr>
          <w:p w14:paraId="55123690" w14:textId="77777777" w:rsidR="00124A26" w:rsidRPr="00AC3044" w:rsidRDefault="00124A26" w:rsidP="002D3EBF">
            <w:pPr>
              <w:ind w:firstLine="0"/>
              <w:rPr>
                <w:rFonts w:eastAsia="SimSun"/>
              </w:rPr>
            </w:pPr>
            <w:r w:rsidRPr="00AC3044">
              <w:rPr>
                <w:rFonts w:eastAsia="SimSun"/>
              </w:rPr>
              <w:t>Профилактика РТПХ</w:t>
            </w:r>
          </w:p>
        </w:tc>
        <w:tc>
          <w:tcPr>
            <w:tcW w:w="1701" w:type="dxa"/>
            <w:vAlign w:val="center"/>
          </w:tcPr>
          <w:p w14:paraId="36C40BDA" w14:textId="77777777" w:rsidR="00124A26" w:rsidRPr="00AC3044" w:rsidRDefault="00124A26" w:rsidP="002D3EBF">
            <w:pPr>
              <w:ind w:firstLine="0"/>
              <w:rPr>
                <w:rFonts w:eastAsia="SimSun"/>
              </w:rPr>
            </w:pPr>
            <w:r w:rsidRPr="00AC3044">
              <w:rPr>
                <w:rFonts w:eastAsia="SimSun"/>
              </w:rPr>
              <w:t>Циклофосфамид</w:t>
            </w:r>
          </w:p>
        </w:tc>
        <w:tc>
          <w:tcPr>
            <w:tcW w:w="1417" w:type="dxa"/>
            <w:vAlign w:val="center"/>
          </w:tcPr>
          <w:p w14:paraId="1A07865C" w14:textId="77777777" w:rsidR="00124A26" w:rsidRPr="00AC3044" w:rsidRDefault="00124A26" w:rsidP="002D3EBF">
            <w:pPr>
              <w:ind w:firstLine="0"/>
              <w:rPr>
                <w:rFonts w:eastAsia="SimSun"/>
              </w:rPr>
            </w:pPr>
            <w:r w:rsidRPr="00AC3044">
              <w:rPr>
                <w:rFonts w:eastAsia="SimSun"/>
              </w:rPr>
              <w:t>50 мг/кг</w:t>
            </w:r>
          </w:p>
        </w:tc>
        <w:tc>
          <w:tcPr>
            <w:tcW w:w="1418" w:type="dxa"/>
            <w:vAlign w:val="center"/>
          </w:tcPr>
          <w:p w14:paraId="2DBA3AEF" w14:textId="77777777" w:rsidR="00124A26" w:rsidRPr="00AC3044" w:rsidRDefault="00124A26" w:rsidP="002D3EBF">
            <w:pPr>
              <w:ind w:firstLine="0"/>
              <w:rPr>
                <w:rFonts w:eastAsia="SimSun"/>
              </w:rPr>
            </w:pPr>
            <w:r w:rsidRPr="00AC3044">
              <w:rPr>
                <w:rFonts w:eastAsia="SimSun"/>
              </w:rPr>
              <w:t>100 мг/кг</w:t>
            </w:r>
          </w:p>
        </w:tc>
        <w:tc>
          <w:tcPr>
            <w:tcW w:w="1701" w:type="dxa"/>
            <w:vAlign w:val="center"/>
          </w:tcPr>
          <w:p w14:paraId="5C73AF8D" w14:textId="77777777" w:rsidR="00124A26" w:rsidRPr="00AC3044" w:rsidRDefault="00124A26" w:rsidP="002D3EBF">
            <w:pPr>
              <w:ind w:firstLine="0"/>
              <w:rPr>
                <w:rFonts w:eastAsia="SimSun"/>
              </w:rPr>
            </w:pPr>
            <w:r w:rsidRPr="00AC3044">
              <w:rPr>
                <w:rFonts w:eastAsia="SimSun"/>
              </w:rPr>
              <w:t>В +3 день  и +5 день</w:t>
            </w:r>
          </w:p>
        </w:tc>
        <w:tc>
          <w:tcPr>
            <w:tcW w:w="2268" w:type="dxa"/>
            <w:vAlign w:val="center"/>
          </w:tcPr>
          <w:p w14:paraId="5D228E0F" w14:textId="77777777" w:rsidR="00124A26" w:rsidRPr="00AC3044" w:rsidRDefault="00124A26" w:rsidP="002D3EBF">
            <w:pPr>
              <w:ind w:firstLine="0"/>
              <w:rPr>
                <w:rFonts w:eastAsia="SimSun"/>
              </w:rPr>
            </w:pPr>
            <w:r w:rsidRPr="00AC3044">
              <w:rPr>
                <w:rFonts w:eastAsia="SimSun"/>
              </w:rPr>
              <w:t>В/в, в течение 2 ч</w:t>
            </w:r>
          </w:p>
        </w:tc>
      </w:tr>
      <w:tr w:rsidR="00124A26" w:rsidRPr="00AC3044" w14:paraId="7F7FECB0" w14:textId="77777777" w:rsidTr="002D3EBF">
        <w:trPr>
          <w:cantSplit/>
          <w:trHeight w:val="829"/>
        </w:trPr>
        <w:tc>
          <w:tcPr>
            <w:tcW w:w="1135" w:type="dxa"/>
            <w:vMerge/>
            <w:textDirection w:val="btLr"/>
            <w:vAlign w:val="center"/>
          </w:tcPr>
          <w:p w14:paraId="46C7E770" w14:textId="77777777" w:rsidR="00124A26" w:rsidRPr="00AC3044" w:rsidRDefault="00124A26" w:rsidP="002D3EBF">
            <w:pPr>
              <w:ind w:firstLine="0"/>
              <w:rPr>
                <w:rFonts w:eastAsia="SimSun"/>
              </w:rPr>
            </w:pPr>
          </w:p>
        </w:tc>
        <w:tc>
          <w:tcPr>
            <w:tcW w:w="1701" w:type="dxa"/>
            <w:vAlign w:val="center"/>
          </w:tcPr>
          <w:p w14:paraId="7E0681E9" w14:textId="77777777" w:rsidR="00124A26" w:rsidRPr="00AC3044" w:rsidRDefault="00124A26" w:rsidP="002D3EBF">
            <w:pPr>
              <w:ind w:firstLine="0"/>
              <w:rPr>
                <w:rFonts w:eastAsia="SimSun"/>
              </w:rPr>
            </w:pPr>
            <w:r w:rsidRPr="00AC3044">
              <w:rPr>
                <w:rFonts w:eastAsia="SimSun"/>
              </w:rPr>
              <w:t>Микофенолата мофетил</w:t>
            </w:r>
          </w:p>
        </w:tc>
        <w:tc>
          <w:tcPr>
            <w:tcW w:w="1417" w:type="dxa"/>
            <w:vAlign w:val="center"/>
          </w:tcPr>
          <w:p w14:paraId="5AB2B9C2" w14:textId="77777777" w:rsidR="00124A26" w:rsidRPr="00AC3044" w:rsidRDefault="00124A26" w:rsidP="002D3EBF">
            <w:pPr>
              <w:ind w:firstLine="0"/>
              <w:rPr>
                <w:rFonts w:eastAsia="SimSun"/>
              </w:rPr>
            </w:pPr>
            <w:r w:rsidRPr="00AC3044">
              <w:rPr>
                <w:rFonts w:eastAsia="SimSun"/>
              </w:rPr>
              <w:t xml:space="preserve">30 мг/кг </w:t>
            </w:r>
          </w:p>
        </w:tc>
        <w:tc>
          <w:tcPr>
            <w:tcW w:w="1418" w:type="dxa"/>
            <w:vAlign w:val="center"/>
          </w:tcPr>
          <w:p w14:paraId="158D39E5"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65F2C7AD" w14:textId="77777777" w:rsidR="00124A26" w:rsidRPr="00AC3044" w:rsidRDefault="00124A26" w:rsidP="002D3EBF">
            <w:pPr>
              <w:ind w:firstLine="0"/>
              <w:rPr>
                <w:rFonts w:eastAsia="SimSun"/>
              </w:rPr>
            </w:pPr>
            <w:r w:rsidRPr="00AC3044">
              <w:rPr>
                <w:rFonts w:eastAsia="SimSun"/>
              </w:rPr>
              <w:t xml:space="preserve">С +1 дня по +28 день </w:t>
            </w:r>
          </w:p>
        </w:tc>
        <w:tc>
          <w:tcPr>
            <w:tcW w:w="2268" w:type="dxa"/>
            <w:vAlign w:val="center"/>
          </w:tcPr>
          <w:p w14:paraId="2DE32E9C" w14:textId="77777777" w:rsidR="00124A26" w:rsidRPr="00AC3044" w:rsidRDefault="00124A26"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r w:rsidR="00124A26" w:rsidRPr="00AC3044" w14:paraId="504D2F47" w14:textId="77777777" w:rsidTr="002D3EBF">
        <w:trPr>
          <w:cantSplit/>
          <w:trHeight w:val="958"/>
        </w:trPr>
        <w:tc>
          <w:tcPr>
            <w:tcW w:w="1135" w:type="dxa"/>
            <w:vMerge/>
            <w:textDirection w:val="btLr"/>
            <w:vAlign w:val="center"/>
          </w:tcPr>
          <w:p w14:paraId="69A809DB" w14:textId="77777777" w:rsidR="00124A26" w:rsidRPr="00AC3044" w:rsidRDefault="00124A26" w:rsidP="002D3EBF">
            <w:pPr>
              <w:ind w:firstLine="0"/>
              <w:rPr>
                <w:rFonts w:eastAsia="SimSun"/>
              </w:rPr>
            </w:pPr>
          </w:p>
        </w:tc>
        <w:tc>
          <w:tcPr>
            <w:tcW w:w="1701" w:type="dxa"/>
            <w:vAlign w:val="center"/>
          </w:tcPr>
          <w:p w14:paraId="6E8F0261" w14:textId="77777777" w:rsidR="00124A26" w:rsidRPr="00AC3044" w:rsidRDefault="00124A26" w:rsidP="002D3EBF">
            <w:pPr>
              <w:ind w:firstLine="0"/>
              <w:rPr>
                <w:rFonts w:eastAsia="SimSun"/>
              </w:rPr>
            </w:pPr>
            <w:r w:rsidRPr="00AC3044">
              <w:rPr>
                <w:rFonts w:eastAsia="SimSun"/>
              </w:rPr>
              <w:t>Циклоспорин А</w:t>
            </w:r>
          </w:p>
        </w:tc>
        <w:tc>
          <w:tcPr>
            <w:tcW w:w="1417" w:type="dxa"/>
            <w:vAlign w:val="center"/>
          </w:tcPr>
          <w:p w14:paraId="7F5B2BAF" w14:textId="77777777" w:rsidR="00124A26" w:rsidRPr="00AC3044" w:rsidRDefault="00124A26" w:rsidP="002D3EBF">
            <w:pPr>
              <w:ind w:firstLine="0"/>
              <w:rPr>
                <w:rFonts w:eastAsia="SimSun"/>
              </w:rPr>
            </w:pPr>
            <w:r w:rsidRPr="00AC3044">
              <w:rPr>
                <w:rFonts w:eastAsia="SimSun"/>
              </w:rPr>
              <w:t>3  мг/кг</w:t>
            </w:r>
          </w:p>
        </w:tc>
        <w:tc>
          <w:tcPr>
            <w:tcW w:w="1418" w:type="dxa"/>
            <w:vAlign w:val="center"/>
          </w:tcPr>
          <w:p w14:paraId="67A7E0DE"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2E6A8E13" w14:textId="77777777" w:rsidR="00124A26" w:rsidRPr="00AC3044" w:rsidRDefault="00124A26" w:rsidP="002D3EBF">
            <w:pPr>
              <w:ind w:firstLine="0"/>
              <w:rPr>
                <w:rFonts w:eastAsia="SimSun"/>
              </w:rPr>
            </w:pPr>
            <w:r w:rsidRPr="00AC3044">
              <w:rPr>
                <w:rFonts w:eastAsia="SimSun"/>
              </w:rPr>
              <w:t xml:space="preserve">С -1 дня по +100 день </w:t>
            </w:r>
          </w:p>
        </w:tc>
        <w:tc>
          <w:tcPr>
            <w:tcW w:w="2268" w:type="dxa"/>
            <w:vAlign w:val="center"/>
          </w:tcPr>
          <w:p w14:paraId="48D9382F" w14:textId="77777777" w:rsidR="00124A26" w:rsidRPr="00AC3044" w:rsidRDefault="00124A26"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bl>
    <w:p w14:paraId="3C1B8638" w14:textId="77777777" w:rsidR="00124A26" w:rsidRPr="001E6DBE" w:rsidRDefault="00124A26" w:rsidP="00124A26">
      <w:pPr>
        <w:rPr>
          <w:rFonts w:eastAsia="SimSun"/>
        </w:rPr>
      </w:pPr>
    </w:p>
    <w:p w14:paraId="06F8DA81" w14:textId="77777777" w:rsidR="00124A26" w:rsidRPr="00042499" w:rsidRDefault="00124A26" w:rsidP="00124A26">
      <w:pPr>
        <w:rPr>
          <w:rFonts w:eastAsia="SimSun"/>
          <w:lang w:val="en-US"/>
        </w:rPr>
      </w:pPr>
      <w:bookmarkStart w:id="233" w:name="_Toc44401192"/>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2.1.6  – </w:t>
      </w:r>
      <w:r w:rsidRPr="00C07B2E">
        <w:rPr>
          <w:rFonts w:eastAsia="SimSun"/>
        </w:rPr>
        <w:t>Flu</w:t>
      </w:r>
      <w:r w:rsidRPr="00042499">
        <w:rPr>
          <w:rFonts w:eastAsia="SimSun"/>
          <w:lang w:val="en-US"/>
        </w:rPr>
        <w:t>180+</w:t>
      </w:r>
      <w:r w:rsidRPr="00C07B2E">
        <w:rPr>
          <w:rFonts w:eastAsia="SimSun"/>
        </w:rPr>
        <w:t>Bu</w:t>
      </w:r>
      <w:r w:rsidRPr="00042499">
        <w:rPr>
          <w:rFonts w:eastAsia="SimSun"/>
          <w:lang w:val="en-US"/>
        </w:rPr>
        <w:t xml:space="preserve">12 / </w:t>
      </w:r>
      <w:r w:rsidRPr="00C07B2E">
        <w:rPr>
          <w:rFonts w:eastAsia="SimSun"/>
        </w:rPr>
        <w:t>Tx</w:t>
      </w:r>
      <w:r w:rsidRPr="00042499">
        <w:rPr>
          <w:rFonts w:eastAsia="SimSun"/>
          <w:lang w:val="en-US"/>
        </w:rPr>
        <w:t>+</w:t>
      </w:r>
      <w:r w:rsidRPr="00C07B2E">
        <w:rPr>
          <w:rFonts w:eastAsia="SimSun"/>
        </w:rPr>
        <w:t>MMF</w:t>
      </w:r>
      <w:r w:rsidRPr="00042499">
        <w:rPr>
          <w:rFonts w:eastAsia="SimSun"/>
          <w:lang w:val="en-US"/>
        </w:rPr>
        <w:t>30</w:t>
      </w:r>
      <w:bookmarkEnd w:id="233"/>
    </w:p>
    <w:tbl>
      <w:tblPr>
        <w:tblpPr w:leftFromText="180" w:rightFromText="180" w:vertAnchor="text" w:horzAnchor="margin" w:tblpX="6" w:tblpY="38"/>
        <w:tblW w:w="9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42"/>
        <w:gridCol w:w="1709"/>
        <w:gridCol w:w="1395"/>
        <w:gridCol w:w="1367"/>
        <w:gridCol w:w="1783"/>
        <w:gridCol w:w="2267"/>
      </w:tblGrid>
      <w:tr w:rsidR="00124A26" w:rsidRPr="00AC3044" w14:paraId="294AA469" w14:textId="77777777" w:rsidTr="002D3EBF">
        <w:trPr>
          <w:cantSplit/>
          <w:trHeight w:val="20"/>
          <w:tblHeader/>
        </w:trPr>
        <w:tc>
          <w:tcPr>
            <w:tcW w:w="1142" w:type="dxa"/>
            <w:vAlign w:val="center"/>
          </w:tcPr>
          <w:p w14:paraId="13E33745" w14:textId="77777777" w:rsidR="00124A26" w:rsidRPr="00AC3044" w:rsidRDefault="00124A26" w:rsidP="002D3EBF">
            <w:pPr>
              <w:ind w:firstLine="0"/>
              <w:rPr>
                <w:rFonts w:eastAsia="SimSun"/>
              </w:rPr>
            </w:pPr>
          </w:p>
        </w:tc>
        <w:tc>
          <w:tcPr>
            <w:tcW w:w="1709" w:type="dxa"/>
            <w:vAlign w:val="center"/>
          </w:tcPr>
          <w:p w14:paraId="0ECC1295" w14:textId="77777777" w:rsidR="00124A26" w:rsidRPr="00AC3044" w:rsidRDefault="00124A26" w:rsidP="002D3EBF">
            <w:pPr>
              <w:ind w:firstLine="0"/>
              <w:rPr>
                <w:rFonts w:eastAsia="SimSun"/>
              </w:rPr>
            </w:pPr>
            <w:r w:rsidRPr="00AC3044">
              <w:rPr>
                <w:rFonts w:eastAsia="SimSun"/>
              </w:rPr>
              <w:t>Препарат</w:t>
            </w:r>
          </w:p>
        </w:tc>
        <w:tc>
          <w:tcPr>
            <w:tcW w:w="1395" w:type="dxa"/>
            <w:vAlign w:val="center"/>
          </w:tcPr>
          <w:p w14:paraId="45F1A0AA" w14:textId="77777777" w:rsidR="00124A26" w:rsidRPr="00AC3044" w:rsidRDefault="00124A26" w:rsidP="002D3EBF">
            <w:pPr>
              <w:ind w:firstLine="0"/>
              <w:rPr>
                <w:rFonts w:eastAsia="SimSun"/>
              </w:rPr>
            </w:pPr>
            <w:r w:rsidRPr="00AC3044">
              <w:rPr>
                <w:rFonts w:eastAsia="SimSun"/>
              </w:rPr>
              <w:t>Суточная доза</w:t>
            </w:r>
          </w:p>
        </w:tc>
        <w:tc>
          <w:tcPr>
            <w:tcW w:w="1367" w:type="dxa"/>
            <w:vAlign w:val="center"/>
          </w:tcPr>
          <w:p w14:paraId="61AD7EFC" w14:textId="77777777" w:rsidR="00124A26" w:rsidRPr="00AC3044" w:rsidRDefault="00124A26" w:rsidP="002D3EBF">
            <w:pPr>
              <w:ind w:firstLine="0"/>
              <w:rPr>
                <w:rFonts w:eastAsia="SimSun"/>
              </w:rPr>
            </w:pPr>
            <w:r w:rsidRPr="00AC3044">
              <w:rPr>
                <w:rFonts w:eastAsia="SimSun"/>
              </w:rPr>
              <w:t>Курсовая доза</w:t>
            </w:r>
          </w:p>
        </w:tc>
        <w:tc>
          <w:tcPr>
            <w:tcW w:w="1783" w:type="dxa"/>
            <w:vAlign w:val="center"/>
          </w:tcPr>
          <w:p w14:paraId="57ED7298" w14:textId="77777777" w:rsidR="00124A26" w:rsidRPr="00AC3044" w:rsidRDefault="00124A26" w:rsidP="002D3EBF">
            <w:pPr>
              <w:ind w:firstLine="0"/>
              <w:rPr>
                <w:rFonts w:eastAsia="SimSun"/>
              </w:rPr>
            </w:pPr>
            <w:r w:rsidRPr="00AC3044">
              <w:rPr>
                <w:rFonts w:eastAsia="SimSun"/>
              </w:rPr>
              <w:t>Дни введения</w:t>
            </w:r>
          </w:p>
        </w:tc>
        <w:tc>
          <w:tcPr>
            <w:tcW w:w="2267" w:type="dxa"/>
            <w:vAlign w:val="center"/>
          </w:tcPr>
          <w:p w14:paraId="4B522462"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59D6C886" w14:textId="77777777" w:rsidTr="002D3EBF">
        <w:trPr>
          <w:cantSplit/>
          <w:trHeight w:val="20"/>
        </w:trPr>
        <w:tc>
          <w:tcPr>
            <w:tcW w:w="1142" w:type="dxa"/>
            <w:vMerge w:val="restart"/>
            <w:textDirection w:val="btLr"/>
            <w:vAlign w:val="center"/>
          </w:tcPr>
          <w:p w14:paraId="2F921DB2" w14:textId="77777777" w:rsidR="00124A26" w:rsidRPr="00AC3044" w:rsidRDefault="00124A26" w:rsidP="002D3EBF">
            <w:pPr>
              <w:ind w:firstLine="0"/>
              <w:rPr>
                <w:rFonts w:eastAsia="SimSun"/>
              </w:rPr>
            </w:pPr>
            <w:r w:rsidRPr="00AC3044">
              <w:rPr>
                <w:rFonts w:eastAsia="SimSun"/>
              </w:rPr>
              <w:t>Кондиционирование</w:t>
            </w:r>
          </w:p>
        </w:tc>
        <w:tc>
          <w:tcPr>
            <w:tcW w:w="1709" w:type="dxa"/>
            <w:vAlign w:val="center"/>
          </w:tcPr>
          <w:p w14:paraId="138A0F6E" w14:textId="77777777" w:rsidR="00124A26" w:rsidRPr="00AC3044" w:rsidRDefault="00124A26" w:rsidP="002D3EBF">
            <w:pPr>
              <w:ind w:firstLine="0"/>
              <w:rPr>
                <w:rFonts w:eastAsia="SimSun"/>
              </w:rPr>
            </w:pPr>
            <w:r w:rsidRPr="00AC3044">
              <w:rPr>
                <w:rFonts w:eastAsia="SimSun"/>
              </w:rPr>
              <w:t xml:space="preserve">Флударабин </w:t>
            </w:r>
          </w:p>
        </w:tc>
        <w:tc>
          <w:tcPr>
            <w:tcW w:w="1395" w:type="dxa"/>
            <w:vAlign w:val="center"/>
          </w:tcPr>
          <w:p w14:paraId="327EB9AA" w14:textId="77777777" w:rsidR="00124A26" w:rsidRPr="00AC3044" w:rsidRDefault="00124A26" w:rsidP="002D3EBF">
            <w:pPr>
              <w:ind w:firstLine="0"/>
              <w:rPr>
                <w:rFonts w:eastAsia="SimSun"/>
              </w:rPr>
            </w:pPr>
            <w:r w:rsidRPr="00AC3044">
              <w:rPr>
                <w:rFonts w:eastAsia="SimSun"/>
              </w:rPr>
              <w:t>30 мг/м</w:t>
            </w:r>
            <w:r w:rsidRPr="001E6DBE">
              <w:rPr>
                <w:rFonts w:eastAsia="SimSun"/>
                <w:vertAlign w:val="superscript"/>
              </w:rPr>
              <w:t>2</w:t>
            </w:r>
          </w:p>
        </w:tc>
        <w:tc>
          <w:tcPr>
            <w:tcW w:w="1367" w:type="dxa"/>
            <w:vAlign w:val="center"/>
          </w:tcPr>
          <w:p w14:paraId="42A58C45" w14:textId="77777777" w:rsidR="00124A26" w:rsidRPr="00AC3044" w:rsidRDefault="00124A26" w:rsidP="002D3EBF">
            <w:pPr>
              <w:ind w:firstLine="0"/>
              <w:rPr>
                <w:rFonts w:eastAsia="SimSun"/>
              </w:rPr>
            </w:pPr>
            <w:r w:rsidRPr="00AC3044">
              <w:rPr>
                <w:rFonts w:eastAsia="SimSun"/>
              </w:rPr>
              <w:t>180 мг/м</w:t>
            </w:r>
            <w:r w:rsidRPr="001E6DBE">
              <w:rPr>
                <w:rFonts w:eastAsia="SimSun"/>
                <w:vertAlign w:val="superscript"/>
              </w:rPr>
              <w:t>2</w:t>
            </w:r>
          </w:p>
        </w:tc>
        <w:tc>
          <w:tcPr>
            <w:tcW w:w="1783" w:type="dxa"/>
            <w:vAlign w:val="center"/>
          </w:tcPr>
          <w:p w14:paraId="640300EA" w14:textId="77777777" w:rsidR="00124A26" w:rsidRPr="00AC3044" w:rsidRDefault="00124A26" w:rsidP="002D3EBF">
            <w:pPr>
              <w:ind w:firstLine="0"/>
              <w:rPr>
                <w:rFonts w:eastAsia="SimSun"/>
              </w:rPr>
            </w:pPr>
            <w:r w:rsidRPr="00AC3044">
              <w:rPr>
                <w:rFonts w:eastAsia="SimSun"/>
              </w:rPr>
              <w:t>С -7 дня по -2 день</w:t>
            </w:r>
          </w:p>
        </w:tc>
        <w:tc>
          <w:tcPr>
            <w:tcW w:w="2267" w:type="dxa"/>
            <w:vAlign w:val="center"/>
          </w:tcPr>
          <w:p w14:paraId="624706A5"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4DDD95E4" w14:textId="77777777" w:rsidTr="002D3EBF">
        <w:trPr>
          <w:cantSplit/>
          <w:trHeight w:val="547"/>
        </w:trPr>
        <w:tc>
          <w:tcPr>
            <w:tcW w:w="1142" w:type="dxa"/>
            <w:vMerge/>
            <w:vAlign w:val="center"/>
          </w:tcPr>
          <w:p w14:paraId="1FD79BB1" w14:textId="77777777" w:rsidR="00124A26" w:rsidRPr="00AC3044" w:rsidRDefault="00124A26" w:rsidP="002D3EBF">
            <w:pPr>
              <w:ind w:firstLine="0"/>
              <w:rPr>
                <w:rFonts w:eastAsia="SimSun"/>
              </w:rPr>
            </w:pPr>
          </w:p>
        </w:tc>
        <w:tc>
          <w:tcPr>
            <w:tcW w:w="1709" w:type="dxa"/>
            <w:vAlign w:val="center"/>
          </w:tcPr>
          <w:p w14:paraId="2D7C9511" w14:textId="77777777" w:rsidR="00124A26" w:rsidRPr="00AC3044" w:rsidRDefault="00124A26" w:rsidP="002D3EBF">
            <w:pPr>
              <w:ind w:firstLine="0"/>
              <w:rPr>
                <w:rFonts w:eastAsia="SimSun"/>
              </w:rPr>
            </w:pPr>
            <w:r w:rsidRPr="00AC3044">
              <w:rPr>
                <w:rFonts w:eastAsia="SimSun"/>
              </w:rPr>
              <w:t>Бусульфан</w:t>
            </w:r>
          </w:p>
        </w:tc>
        <w:tc>
          <w:tcPr>
            <w:tcW w:w="1395" w:type="dxa"/>
            <w:vAlign w:val="center"/>
          </w:tcPr>
          <w:p w14:paraId="1F6F76C2" w14:textId="77777777" w:rsidR="00124A26" w:rsidRPr="00AC3044" w:rsidRDefault="00124A26" w:rsidP="002D3EBF">
            <w:pPr>
              <w:ind w:firstLine="0"/>
              <w:rPr>
                <w:rFonts w:eastAsia="SimSun"/>
              </w:rPr>
            </w:pPr>
            <w:r w:rsidRPr="00AC3044">
              <w:rPr>
                <w:rFonts w:eastAsia="SimSun"/>
              </w:rPr>
              <w:t xml:space="preserve">4 мг/кг </w:t>
            </w:r>
          </w:p>
        </w:tc>
        <w:tc>
          <w:tcPr>
            <w:tcW w:w="1367" w:type="dxa"/>
            <w:vAlign w:val="center"/>
          </w:tcPr>
          <w:p w14:paraId="122BB231" w14:textId="77777777" w:rsidR="00124A26" w:rsidRPr="00AC3044" w:rsidRDefault="00124A26" w:rsidP="002D3EBF">
            <w:pPr>
              <w:ind w:firstLine="0"/>
              <w:rPr>
                <w:rFonts w:eastAsia="SimSun"/>
              </w:rPr>
            </w:pPr>
            <w:r w:rsidRPr="00AC3044">
              <w:rPr>
                <w:rFonts w:eastAsia="SimSun"/>
              </w:rPr>
              <w:t xml:space="preserve">12 мг/кг </w:t>
            </w:r>
          </w:p>
        </w:tc>
        <w:tc>
          <w:tcPr>
            <w:tcW w:w="1783" w:type="dxa"/>
            <w:vAlign w:val="center"/>
          </w:tcPr>
          <w:p w14:paraId="315FC0BE" w14:textId="77777777" w:rsidR="00124A26" w:rsidRPr="00AC3044" w:rsidRDefault="00124A26" w:rsidP="002D3EBF">
            <w:pPr>
              <w:ind w:firstLine="0"/>
              <w:rPr>
                <w:rFonts w:eastAsia="SimSun"/>
              </w:rPr>
            </w:pPr>
            <w:r w:rsidRPr="00AC3044">
              <w:rPr>
                <w:rFonts w:eastAsia="SimSun"/>
              </w:rPr>
              <w:t>С -5 дня по -3 день</w:t>
            </w:r>
          </w:p>
        </w:tc>
        <w:tc>
          <w:tcPr>
            <w:tcW w:w="2267" w:type="dxa"/>
            <w:vAlign w:val="center"/>
          </w:tcPr>
          <w:p w14:paraId="417202AE"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124A26" w:rsidRPr="00AC3044" w14:paraId="1A263516" w14:textId="77777777" w:rsidTr="002D3EBF">
        <w:trPr>
          <w:cantSplit/>
          <w:trHeight w:val="1498"/>
        </w:trPr>
        <w:tc>
          <w:tcPr>
            <w:tcW w:w="1142" w:type="dxa"/>
            <w:vMerge w:val="restart"/>
            <w:textDirection w:val="btLr"/>
            <w:vAlign w:val="center"/>
          </w:tcPr>
          <w:p w14:paraId="48CC2D03" w14:textId="77777777" w:rsidR="00124A26" w:rsidRPr="00AC3044" w:rsidRDefault="00124A26" w:rsidP="002D3EBF">
            <w:pPr>
              <w:ind w:firstLine="0"/>
              <w:rPr>
                <w:rFonts w:eastAsia="SimSun"/>
              </w:rPr>
            </w:pPr>
            <w:r w:rsidRPr="00AC3044">
              <w:rPr>
                <w:rFonts w:eastAsia="SimSun"/>
              </w:rPr>
              <w:t>Профилактика РТПХ</w:t>
            </w:r>
          </w:p>
        </w:tc>
        <w:tc>
          <w:tcPr>
            <w:tcW w:w="1709" w:type="dxa"/>
            <w:vAlign w:val="center"/>
          </w:tcPr>
          <w:p w14:paraId="5BE7961E" w14:textId="77777777" w:rsidR="00124A26" w:rsidRPr="00AC3044" w:rsidRDefault="00124A26" w:rsidP="002D3EBF">
            <w:pPr>
              <w:ind w:firstLine="0"/>
              <w:rPr>
                <w:rFonts w:eastAsia="SimSun"/>
              </w:rPr>
            </w:pPr>
            <w:r w:rsidRPr="00AC3044">
              <w:rPr>
                <w:rFonts w:eastAsia="SimSun"/>
              </w:rPr>
              <w:t xml:space="preserve">Такролимус </w:t>
            </w:r>
          </w:p>
        </w:tc>
        <w:tc>
          <w:tcPr>
            <w:tcW w:w="1395" w:type="dxa"/>
            <w:vAlign w:val="center"/>
          </w:tcPr>
          <w:p w14:paraId="5E76E86B" w14:textId="77777777" w:rsidR="00124A26" w:rsidRPr="00AC3044" w:rsidRDefault="00124A26" w:rsidP="002D3EBF">
            <w:pPr>
              <w:ind w:firstLine="0"/>
              <w:rPr>
                <w:rFonts w:eastAsia="SimSun"/>
              </w:rPr>
            </w:pPr>
            <w:r w:rsidRPr="00AC3044">
              <w:rPr>
                <w:rFonts w:eastAsia="SimSun"/>
              </w:rPr>
              <w:t>0,03 мг/кг</w:t>
            </w:r>
          </w:p>
        </w:tc>
        <w:tc>
          <w:tcPr>
            <w:tcW w:w="1367" w:type="dxa"/>
            <w:vAlign w:val="center"/>
          </w:tcPr>
          <w:p w14:paraId="12BF43D0" w14:textId="77777777" w:rsidR="00124A26" w:rsidRPr="00AC3044" w:rsidRDefault="00124A26" w:rsidP="002D3EBF">
            <w:pPr>
              <w:ind w:firstLine="0"/>
              <w:rPr>
                <w:rFonts w:eastAsia="SimSun"/>
              </w:rPr>
            </w:pPr>
            <w:r w:rsidRPr="00AC3044">
              <w:rPr>
                <w:rFonts w:eastAsia="SimSun"/>
              </w:rPr>
              <w:t>–</w:t>
            </w:r>
          </w:p>
        </w:tc>
        <w:tc>
          <w:tcPr>
            <w:tcW w:w="1783" w:type="dxa"/>
            <w:vAlign w:val="center"/>
          </w:tcPr>
          <w:p w14:paraId="4E994E77" w14:textId="77777777" w:rsidR="00124A26" w:rsidRPr="00AC3044" w:rsidRDefault="00124A26" w:rsidP="002D3EBF">
            <w:pPr>
              <w:ind w:firstLine="0"/>
              <w:rPr>
                <w:rFonts w:eastAsia="SimSun"/>
              </w:rPr>
            </w:pPr>
            <w:r w:rsidRPr="00AC3044">
              <w:rPr>
                <w:rFonts w:eastAsia="SimSun"/>
              </w:rPr>
              <w:t xml:space="preserve">С +5 дня длительно </w:t>
            </w:r>
          </w:p>
        </w:tc>
        <w:tc>
          <w:tcPr>
            <w:tcW w:w="2267" w:type="dxa"/>
            <w:vAlign w:val="center"/>
          </w:tcPr>
          <w:p w14:paraId="6A640524" w14:textId="77777777" w:rsidR="00124A26" w:rsidRPr="00AC3044" w:rsidRDefault="00124A26"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DB259E">
              <w:rPr>
                <w:rFonts w:eastAsia="SimSun"/>
                <w:vertAlign w:val="superscript"/>
              </w:rPr>
              <w:t>9</w:t>
            </w:r>
            <w:r w:rsidRPr="00AC3044">
              <w:rPr>
                <w:rFonts w:eastAsia="SimSun"/>
              </w:rPr>
              <w:t>/л, при</w:t>
            </w:r>
            <w:r>
              <w:rPr>
                <w:rFonts w:eastAsia="SimSun"/>
              </w:rPr>
              <w:t xml:space="preserve"> </w:t>
            </w:r>
            <w:r w:rsidRPr="00AC3044">
              <w:rPr>
                <w:rFonts w:eastAsia="SimSun"/>
              </w:rPr>
              <w:t xml:space="preserve">отсутствии тошноты, рвоты, диареи и возможности приема внутрь. Концентрация Tx 5-15 нг/мл.    </w:t>
            </w:r>
          </w:p>
        </w:tc>
      </w:tr>
      <w:tr w:rsidR="00124A26" w:rsidRPr="00AC3044" w14:paraId="44D80A8B" w14:textId="77777777" w:rsidTr="002D3EBF">
        <w:trPr>
          <w:cantSplit/>
          <w:trHeight w:val="625"/>
        </w:trPr>
        <w:tc>
          <w:tcPr>
            <w:tcW w:w="1142" w:type="dxa"/>
            <w:vMerge/>
            <w:textDirection w:val="btLr"/>
            <w:vAlign w:val="center"/>
          </w:tcPr>
          <w:p w14:paraId="46CF3BE6" w14:textId="77777777" w:rsidR="00124A26" w:rsidRPr="00AC3044" w:rsidRDefault="00124A26" w:rsidP="002D3EBF">
            <w:pPr>
              <w:ind w:firstLine="0"/>
              <w:rPr>
                <w:rFonts w:eastAsia="SimSun"/>
              </w:rPr>
            </w:pPr>
          </w:p>
        </w:tc>
        <w:tc>
          <w:tcPr>
            <w:tcW w:w="1709" w:type="dxa"/>
            <w:vAlign w:val="center"/>
          </w:tcPr>
          <w:p w14:paraId="1739B528" w14:textId="77777777" w:rsidR="00124A26" w:rsidRPr="00AC3044" w:rsidRDefault="00124A26" w:rsidP="002D3EBF">
            <w:pPr>
              <w:ind w:firstLine="0"/>
              <w:rPr>
                <w:rFonts w:eastAsia="SimSun"/>
              </w:rPr>
            </w:pPr>
            <w:r w:rsidRPr="00AC3044">
              <w:rPr>
                <w:rFonts w:eastAsia="SimSun"/>
              </w:rPr>
              <w:t>Микофенолата мофетил</w:t>
            </w:r>
          </w:p>
        </w:tc>
        <w:tc>
          <w:tcPr>
            <w:tcW w:w="1395" w:type="dxa"/>
            <w:vAlign w:val="center"/>
          </w:tcPr>
          <w:p w14:paraId="1BE787C4" w14:textId="77777777" w:rsidR="00124A26" w:rsidRPr="00AC3044" w:rsidRDefault="00124A26" w:rsidP="002D3EBF">
            <w:pPr>
              <w:ind w:firstLine="0"/>
              <w:rPr>
                <w:rFonts w:eastAsia="SimSun"/>
              </w:rPr>
            </w:pPr>
            <w:r w:rsidRPr="00AC3044">
              <w:rPr>
                <w:rFonts w:eastAsia="SimSun"/>
              </w:rPr>
              <w:t xml:space="preserve">30 мг/кг </w:t>
            </w:r>
          </w:p>
        </w:tc>
        <w:tc>
          <w:tcPr>
            <w:tcW w:w="1367" w:type="dxa"/>
            <w:vAlign w:val="center"/>
          </w:tcPr>
          <w:p w14:paraId="1C502194" w14:textId="77777777" w:rsidR="00124A26" w:rsidRPr="00AC3044" w:rsidRDefault="00124A26" w:rsidP="002D3EBF">
            <w:pPr>
              <w:ind w:firstLine="0"/>
              <w:rPr>
                <w:rFonts w:eastAsia="SimSun"/>
              </w:rPr>
            </w:pPr>
            <w:r w:rsidRPr="00AC3044">
              <w:rPr>
                <w:rFonts w:eastAsia="SimSun"/>
              </w:rPr>
              <w:t>–</w:t>
            </w:r>
          </w:p>
        </w:tc>
        <w:tc>
          <w:tcPr>
            <w:tcW w:w="1783" w:type="dxa"/>
            <w:vAlign w:val="center"/>
          </w:tcPr>
          <w:p w14:paraId="4924E728" w14:textId="77777777" w:rsidR="00124A26" w:rsidRPr="00AC3044" w:rsidRDefault="00124A26" w:rsidP="002D3EBF">
            <w:pPr>
              <w:ind w:firstLine="0"/>
              <w:rPr>
                <w:rFonts w:eastAsia="SimSun"/>
              </w:rPr>
            </w:pPr>
            <w:r w:rsidRPr="00AC3044">
              <w:rPr>
                <w:rFonts w:eastAsia="SimSun"/>
              </w:rPr>
              <w:t xml:space="preserve">С +5 дня по +35 день </w:t>
            </w:r>
          </w:p>
        </w:tc>
        <w:tc>
          <w:tcPr>
            <w:tcW w:w="2267" w:type="dxa"/>
            <w:vAlign w:val="center"/>
          </w:tcPr>
          <w:p w14:paraId="27C4D2CF" w14:textId="77777777" w:rsidR="00124A26" w:rsidRPr="00AC3044" w:rsidRDefault="00124A26"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2F194AF1" w14:textId="77777777" w:rsidR="00124A26" w:rsidRDefault="00124A26" w:rsidP="00124A26">
      <w:pPr>
        <w:rPr>
          <w:rFonts w:eastAsia="SimSun"/>
        </w:rPr>
      </w:pPr>
      <w:bookmarkStart w:id="234" w:name="_Toc44401193"/>
    </w:p>
    <w:p w14:paraId="785CCE39" w14:textId="77777777" w:rsidR="00124A26" w:rsidRDefault="00124A26" w:rsidP="00124A26">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2.1.7  – Flu180+Bu14 / PT-Cy</w:t>
      </w:r>
      <w:bookmarkStart w:id="235" w:name="_Toc44401194"/>
      <w:bookmarkEnd w:id="234"/>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6"/>
        <w:gridCol w:w="1731"/>
        <w:gridCol w:w="1399"/>
        <w:gridCol w:w="1272"/>
        <w:gridCol w:w="1760"/>
        <w:gridCol w:w="2234"/>
      </w:tblGrid>
      <w:tr w:rsidR="00124A26" w:rsidRPr="00AC3044" w14:paraId="2EEA7BFA" w14:textId="77777777" w:rsidTr="002D3EBF">
        <w:trPr>
          <w:cantSplit/>
          <w:trHeight w:val="20"/>
          <w:tblHeader/>
        </w:trPr>
        <w:tc>
          <w:tcPr>
            <w:tcW w:w="1176" w:type="dxa"/>
            <w:vAlign w:val="center"/>
          </w:tcPr>
          <w:p w14:paraId="1B605646" w14:textId="77777777" w:rsidR="00124A26" w:rsidRPr="00AC3044" w:rsidRDefault="00124A26" w:rsidP="002D3EBF">
            <w:pPr>
              <w:ind w:firstLine="0"/>
              <w:rPr>
                <w:rFonts w:eastAsia="SimSun"/>
              </w:rPr>
            </w:pPr>
            <w:r w:rsidRPr="00AC3044">
              <w:rPr>
                <w:rFonts w:eastAsia="SimSun"/>
              </w:rPr>
              <w:tab/>
            </w:r>
          </w:p>
        </w:tc>
        <w:tc>
          <w:tcPr>
            <w:tcW w:w="1731" w:type="dxa"/>
            <w:vAlign w:val="center"/>
          </w:tcPr>
          <w:p w14:paraId="59DA6EC1" w14:textId="77777777" w:rsidR="00124A26" w:rsidRPr="00AC3044" w:rsidRDefault="00124A26" w:rsidP="002D3EBF">
            <w:pPr>
              <w:ind w:firstLine="0"/>
              <w:rPr>
                <w:rFonts w:eastAsia="SimSun"/>
              </w:rPr>
            </w:pPr>
            <w:r w:rsidRPr="00AC3044">
              <w:rPr>
                <w:rFonts w:eastAsia="SimSun"/>
              </w:rPr>
              <w:t>Препарат</w:t>
            </w:r>
          </w:p>
        </w:tc>
        <w:tc>
          <w:tcPr>
            <w:tcW w:w="1399" w:type="dxa"/>
            <w:vAlign w:val="center"/>
          </w:tcPr>
          <w:p w14:paraId="2BD7CC37" w14:textId="77777777" w:rsidR="00124A26" w:rsidRPr="00AC3044" w:rsidRDefault="00124A26" w:rsidP="002D3EBF">
            <w:pPr>
              <w:ind w:firstLine="0"/>
              <w:rPr>
                <w:rFonts w:eastAsia="SimSun"/>
              </w:rPr>
            </w:pPr>
            <w:r w:rsidRPr="00AC3044">
              <w:rPr>
                <w:rFonts w:eastAsia="SimSun"/>
              </w:rPr>
              <w:t>Суточная доза</w:t>
            </w:r>
          </w:p>
        </w:tc>
        <w:tc>
          <w:tcPr>
            <w:tcW w:w="1272" w:type="dxa"/>
            <w:vAlign w:val="center"/>
          </w:tcPr>
          <w:p w14:paraId="10C21541" w14:textId="77777777" w:rsidR="00124A26" w:rsidRPr="00AC3044" w:rsidRDefault="00124A26" w:rsidP="002D3EBF">
            <w:pPr>
              <w:ind w:firstLine="0"/>
              <w:rPr>
                <w:rFonts w:eastAsia="SimSun"/>
              </w:rPr>
            </w:pPr>
            <w:r w:rsidRPr="00AC3044">
              <w:rPr>
                <w:rFonts w:eastAsia="SimSun"/>
              </w:rPr>
              <w:t>Курсовая доза</w:t>
            </w:r>
          </w:p>
        </w:tc>
        <w:tc>
          <w:tcPr>
            <w:tcW w:w="1760" w:type="dxa"/>
            <w:vAlign w:val="center"/>
          </w:tcPr>
          <w:p w14:paraId="00B605BB" w14:textId="77777777" w:rsidR="00124A26" w:rsidRPr="00AC3044" w:rsidRDefault="00124A26" w:rsidP="002D3EBF">
            <w:pPr>
              <w:ind w:firstLine="0"/>
              <w:rPr>
                <w:rFonts w:eastAsia="SimSun"/>
              </w:rPr>
            </w:pPr>
            <w:r w:rsidRPr="00AC3044">
              <w:rPr>
                <w:rFonts w:eastAsia="SimSun"/>
              </w:rPr>
              <w:t>Дни введения</w:t>
            </w:r>
          </w:p>
        </w:tc>
        <w:tc>
          <w:tcPr>
            <w:tcW w:w="2234" w:type="dxa"/>
            <w:vAlign w:val="center"/>
          </w:tcPr>
          <w:p w14:paraId="6206835D"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125CB678" w14:textId="77777777" w:rsidTr="002D3EBF">
        <w:trPr>
          <w:cantSplit/>
          <w:trHeight w:val="20"/>
        </w:trPr>
        <w:tc>
          <w:tcPr>
            <w:tcW w:w="1176" w:type="dxa"/>
            <w:vMerge w:val="restart"/>
            <w:textDirection w:val="btLr"/>
            <w:vAlign w:val="center"/>
          </w:tcPr>
          <w:p w14:paraId="74A2E80E" w14:textId="77777777" w:rsidR="00124A26" w:rsidRPr="00AC3044" w:rsidRDefault="00124A26" w:rsidP="002D3EBF">
            <w:pPr>
              <w:ind w:firstLine="0"/>
              <w:rPr>
                <w:rFonts w:eastAsia="SimSun"/>
              </w:rPr>
            </w:pPr>
            <w:r w:rsidRPr="00AC3044">
              <w:rPr>
                <w:rFonts w:eastAsia="SimSun"/>
              </w:rPr>
              <w:t>Кондиционирование</w:t>
            </w:r>
          </w:p>
        </w:tc>
        <w:tc>
          <w:tcPr>
            <w:tcW w:w="1731" w:type="dxa"/>
            <w:vAlign w:val="center"/>
          </w:tcPr>
          <w:p w14:paraId="28AD50CE" w14:textId="77777777" w:rsidR="00124A26" w:rsidRPr="00AC3044" w:rsidRDefault="00124A26" w:rsidP="002D3EBF">
            <w:pPr>
              <w:ind w:firstLine="0"/>
              <w:rPr>
                <w:rFonts w:eastAsia="SimSun"/>
              </w:rPr>
            </w:pPr>
            <w:r w:rsidRPr="00AC3044">
              <w:rPr>
                <w:rFonts w:eastAsia="SimSun"/>
              </w:rPr>
              <w:t xml:space="preserve">Флударабин </w:t>
            </w:r>
          </w:p>
        </w:tc>
        <w:tc>
          <w:tcPr>
            <w:tcW w:w="1399" w:type="dxa"/>
            <w:vAlign w:val="center"/>
          </w:tcPr>
          <w:p w14:paraId="1C01C215" w14:textId="77777777" w:rsidR="00124A26" w:rsidRPr="00AC3044" w:rsidRDefault="00124A26" w:rsidP="002D3EBF">
            <w:pPr>
              <w:ind w:firstLine="0"/>
              <w:rPr>
                <w:rFonts w:eastAsia="SimSun"/>
              </w:rPr>
            </w:pPr>
            <w:r w:rsidRPr="00AC3044">
              <w:rPr>
                <w:rFonts w:eastAsia="SimSun"/>
              </w:rPr>
              <w:t>30 мг/м</w:t>
            </w:r>
            <w:r w:rsidRPr="00DB259E">
              <w:rPr>
                <w:rFonts w:eastAsia="SimSun"/>
                <w:vertAlign w:val="superscript"/>
              </w:rPr>
              <w:t>2</w:t>
            </w:r>
          </w:p>
        </w:tc>
        <w:tc>
          <w:tcPr>
            <w:tcW w:w="1272" w:type="dxa"/>
            <w:vAlign w:val="center"/>
          </w:tcPr>
          <w:p w14:paraId="0A7F71E7" w14:textId="77777777" w:rsidR="00124A26" w:rsidRPr="00AC3044" w:rsidRDefault="00124A26" w:rsidP="002D3EBF">
            <w:pPr>
              <w:ind w:firstLine="0"/>
              <w:rPr>
                <w:rFonts w:eastAsia="SimSun"/>
              </w:rPr>
            </w:pPr>
            <w:r w:rsidRPr="00AC3044">
              <w:rPr>
                <w:rFonts w:eastAsia="SimSun"/>
              </w:rPr>
              <w:t>180 мг/м</w:t>
            </w:r>
            <w:r w:rsidRPr="00DB259E">
              <w:rPr>
                <w:rFonts w:eastAsia="SimSun"/>
                <w:vertAlign w:val="superscript"/>
              </w:rPr>
              <w:t>2</w:t>
            </w:r>
          </w:p>
        </w:tc>
        <w:tc>
          <w:tcPr>
            <w:tcW w:w="1760" w:type="dxa"/>
            <w:vAlign w:val="center"/>
          </w:tcPr>
          <w:p w14:paraId="56416F54" w14:textId="77777777" w:rsidR="00124A26" w:rsidRPr="00AC3044" w:rsidRDefault="00124A26" w:rsidP="002D3EBF">
            <w:pPr>
              <w:ind w:firstLine="0"/>
              <w:rPr>
                <w:rFonts w:eastAsia="SimSun"/>
              </w:rPr>
            </w:pPr>
            <w:r w:rsidRPr="00AC3044">
              <w:rPr>
                <w:rFonts w:eastAsia="SimSun"/>
              </w:rPr>
              <w:t>С -7 дня по -2 день</w:t>
            </w:r>
          </w:p>
        </w:tc>
        <w:tc>
          <w:tcPr>
            <w:tcW w:w="2234" w:type="dxa"/>
            <w:vAlign w:val="center"/>
          </w:tcPr>
          <w:p w14:paraId="2758BD23"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097D5154" w14:textId="77777777" w:rsidTr="002D3EBF">
        <w:trPr>
          <w:cantSplit/>
          <w:trHeight w:val="1207"/>
        </w:trPr>
        <w:tc>
          <w:tcPr>
            <w:tcW w:w="1176" w:type="dxa"/>
            <w:vMerge/>
            <w:vAlign w:val="center"/>
          </w:tcPr>
          <w:p w14:paraId="09D0C967" w14:textId="77777777" w:rsidR="00124A26" w:rsidRPr="00AC3044" w:rsidRDefault="00124A26" w:rsidP="002D3EBF">
            <w:pPr>
              <w:ind w:firstLine="0"/>
              <w:rPr>
                <w:rFonts w:eastAsia="SimSun"/>
              </w:rPr>
            </w:pPr>
          </w:p>
        </w:tc>
        <w:tc>
          <w:tcPr>
            <w:tcW w:w="1731" w:type="dxa"/>
            <w:vAlign w:val="center"/>
          </w:tcPr>
          <w:p w14:paraId="29CB238D" w14:textId="77777777" w:rsidR="00124A26" w:rsidRPr="00AC3044" w:rsidRDefault="00124A26" w:rsidP="002D3EBF">
            <w:pPr>
              <w:ind w:firstLine="0"/>
              <w:rPr>
                <w:rFonts w:eastAsia="SimSun"/>
              </w:rPr>
            </w:pPr>
            <w:r w:rsidRPr="00AC3044">
              <w:rPr>
                <w:rFonts w:eastAsia="SimSun"/>
              </w:rPr>
              <w:t>Бусульфан</w:t>
            </w:r>
          </w:p>
        </w:tc>
        <w:tc>
          <w:tcPr>
            <w:tcW w:w="1399" w:type="dxa"/>
            <w:vAlign w:val="center"/>
          </w:tcPr>
          <w:p w14:paraId="711F955D" w14:textId="77777777" w:rsidR="00124A26" w:rsidRPr="00AC3044" w:rsidRDefault="00124A26" w:rsidP="002D3EBF">
            <w:pPr>
              <w:ind w:firstLine="0"/>
              <w:rPr>
                <w:rFonts w:eastAsia="SimSun"/>
              </w:rPr>
            </w:pPr>
            <w:r w:rsidRPr="00AC3044">
              <w:rPr>
                <w:rFonts w:eastAsia="SimSun"/>
              </w:rPr>
              <w:t xml:space="preserve">4 мг/кг </w:t>
            </w:r>
          </w:p>
        </w:tc>
        <w:tc>
          <w:tcPr>
            <w:tcW w:w="1272" w:type="dxa"/>
            <w:vAlign w:val="center"/>
          </w:tcPr>
          <w:p w14:paraId="63B1F304" w14:textId="77777777" w:rsidR="00124A26" w:rsidRPr="00AC3044" w:rsidRDefault="00124A26" w:rsidP="002D3EBF">
            <w:pPr>
              <w:ind w:firstLine="0"/>
              <w:rPr>
                <w:rFonts w:eastAsia="SimSun"/>
              </w:rPr>
            </w:pPr>
            <w:r w:rsidRPr="00AC3044">
              <w:rPr>
                <w:rFonts w:eastAsia="SimSun"/>
              </w:rPr>
              <w:t xml:space="preserve">14 мг/кг </w:t>
            </w:r>
          </w:p>
        </w:tc>
        <w:tc>
          <w:tcPr>
            <w:tcW w:w="1760" w:type="dxa"/>
            <w:vAlign w:val="center"/>
          </w:tcPr>
          <w:p w14:paraId="3CC4BF63" w14:textId="77777777" w:rsidR="00124A26" w:rsidRPr="00AC3044" w:rsidRDefault="00124A26" w:rsidP="002D3EBF">
            <w:pPr>
              <w:ind w:firstLine="0"/>
              <w:rPr>
                <w:rFonts w:eastAsia="SimSun"/>
              </w:rPr>
            </w:pPr>
            <w:r w:rsidRPr="00AC3044">
              <w:rPr>
                <w:rFonts w:eastAsia="SimSun"/>
              </w:rPr>
              <w:t>С -6 дня по -3 день</w:t>
            </w:r>
          </w:p>
        </w:tc>
        <w:tc>
          <w:tcPr>
            <w:tcW w:w="2234" w:type="dxa"/>
            <w:vAlign w:val="center"/>
          </w:tcPr>
          <w:p w14:paraId="62EF181F"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124A26" w:rsidRPr="00AC3044" w14:paraId="09EB8D85" w14:textId="77777777" w:rsidTr="002D3EBF">
        <w:trPr>
          <w:cantSplit/>
          <w:trHeight w:val="1274"/>
        </w:trPr>
        <w:tc>
          <w:tcPr>
            <w:tcW w:w="1176" w:type="dxa"/>
            <w:textDirection w:val="btLr"/>
            <w:vAlign w:val="center"/>
          </w:tcPr>
          <w:p w14:paraId="27A5C4DB" w14:textId="77777777" w:rsidR="00124A26" w:rsidRPr="00AC3044" w:rsidRDefault="00124A26" w:rsidP="002D3EBF">
            <w:pPr>
              <w:ind w:firstLine="0"/>
              <w:rPr>
                <w:rFonts w:eastAsia="SimSun"/>
              </w:rPr>
            </w:pPr>
            <w:r w:rsidRPr="00AC3044">
              <w:rPr>
                <w:rFonts w:eastAsia="SimSun"/>
              </w:rPr>
              <w:t>Профилактика РТПХ</w:t>
            </w:r>
          </w:p>
        </w:tc>
        <w:tc>
          <w:tcPr>
            <w:tcW w:w="1731" w:type="dxa"/>
            <w:vAlign w:val="center"/>
          </w:tcPr>
          <w:p w14:paraId="1D7DC806" w14:textId="77777777" w:rsidR="00124A26" w:rsidRPr="00AC3044" w:rsidRDefault="00124A26" w:rsidP="002D3EBF">
            <w:pPr>
              <w:ind w:firstLine="0"/>
              <w:rPr>
                <w:rFonts w:eastAsia="SimSun"/>
              </w:rPr>
            </w:pPr>
            <w:r w:rsidRPr="00AC3044">
              <w:rPr>
                <w:rFonts w:eastAsia="SimSun"/>
              </w:rPr>
              <w:t>Циклофосфамид</w:t>
            </w:r>
          </w:p>
        </w:tc>
        <w:tc>
          <w:tcPr>
            <w:tcW w:w="1399" w:type="dxa"/>
            <w:vAlign w:val="center"/>
          </w:tcPr>
          <w:p w14:paraId="7D6F4613" w14:textId="77777777" w:rsidR="00124A26" w:rsidRPr="00AC3044" w:rsidRDefault="00124A26" w:rsidP="002D3EBF">
            <w:pPr>
              <w:ind w:firstLine="0"/>
              <w:rPr>
                <w:rFonts w:eastAsia="SimSun"/>
              </w:rPr>
            </w:pPr>
            <w:r w:rsidRPr="00AC3044">
              <w:rPr>
                <w:rFonts w:eastAsia="SimSun"/>
              </w:rPr>
              <w:t>50 мг/кг</w:t>
            </w:r>
          </w:p>
        </w:tc>
        <w:tc>
          <w:tcPr>
            <w:tcW w:w="1272" w:type="dxa"/>
            <w:vAlign w:val="center"/>
          </w:tcPr>
          <w:p w14:paraId="30E03413" w14:textId="77777777" w:rsidR="00124A26" w:rsidRPr="00AC3044" w:rsidRDefault="00124A26" w:rsidP="002D3EBF">
            <w:pPr>
              <w:ind w:firstLine="0"/>
              <w:rPr>
                <w:rFonts w:eastAsia="SimSun"/>
              </w:rPr>
            </w:pPr>
            <w:r w:rsidRPr="00AC3044">
              <w:rPr>
                <w:rFonts w:eastAsia="SimSun"/>
              </w:rPr>
              <w:t>100 мг/кг</w:t>
            </w:r>
          </w:p>
        </w:tc>
        <w:tc>
          <w:tcPr>
            <w:tcW w:w="1760" w:type="dxa"/>
            <w:vAlign w:val="center"/>
          </w:tcPr>
          <w:p w14:paraId="243A8968" w14:textId="77777777" w:rsidR="00124A26" w:rsidRPr="00AC3044" w:rsidRDefault="00124A26" w:rsidP="002D3EBF">
            <w:pPr>
              <w:ind w:firstLine="0"/>
              <w:rPr>
                <w:rFonts w:eastAsia="SimSun"/>
              </w:rPr>
            </w:pPr>
            <w:r w:rsidRPr="00AC3044">
              <w:rPr>
                <w:rFonts w:eastAsia="SimSun"/>
              </w:rPr>
              <w:t>С +3 дня по +4 день</w:t>
            </w:r>
          </w:p>
        </w:tc>
        <w:tc>
          <w:tcPr>
            <w:tcW w:w="2234" w:type="dxa"/>
            <w:vAlign w:val="center"/>
          </w:tcPr>
          <w:p w14:paraId="74B61FB6" w14:textId="77777777" w:rsidR="00124A26" w:rsidRPr="00AC3044" w:rsidRDefault="00124A26" w:rsidP="002D3EBF">
            <w:pPr>
              <w:ind w:firstLine="0"/>
              <w:rPr>
                <w:rFonts w:eastAsia="SimSun"/>
              </w:rPr>
            </w:pPr>
            <w:r w:rsidRPr="00AC3044">
              <w:rPr>
                <w:rFonts w:eastAsia="SimSun"/>
              </w:rPr>
              <w:t>В/в, в течение 2 ч</w:t>
            </w:r>
          </w:p>
        </w:tc>
      </w:tr>
    </w:tbl>
    <w:p w14:paraId="2CA0D94C" w14:textId="77777777" w:rsidR="00124A26" w:rsidRDefault="00124A26" w:rsidP="00124A26">
      <w:pPr>
        <w:rPr>
          <w:rFonts w:eastAsia="SimSun"/>
        </w:rPr>
      </w:pPr>
    </w:p>
    <w:p w14:paraId="31BCF201" w14:textId="77777777" w:rsidR="00124A26" w:rsidRPr="00C07B2E" w:rsidRDefault="00124A26" w:rsidP="00124A26">
      <w:pPr>
        <w:rPr>
          <w:rFonts w:eastAsia="SimSun"/>
        </w:rPr>
      </w:pPr>
      <w:r w:rsidRPr="00042499">
        <w:rPr>
          <w:rFonts w:eastAsia="SimSun"/>
        </w:rPr>
        <w:t>Таблица</w:t>
      </w:r>
      <w:r w:rsidRPr="00C07B2E">
        <w:rPr>
          <w:rFonts w:eastAsia="SimSun"/>
        </w:rPr>
        <w:t xml:space="preserve"> 4.2.1.8  – Flu180+Bu14 / PT-Cy+Tx+MMF30</w:t>
      </w:r>
      <w:bookmarkEnd w:id="235"/>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01"/>
        <w:gridCol w:w="1418"/>
        <w:gridCol w:w="1275"/>
        <w:gridCol w:w="1702"/>
        <w:gridCol w:w="2268"/>
      </w:tblGrid>
      <w:tr w:rsidR="00124A26" w:rsidRPr="00AC3044" w14:paraId="796D0256" w14:textId="77777777" w:rsidTr="002D3EBF">
        <w:trPr>
          <w:cantSplit/>
          <w:trHeight w:val="20"/>
          <w:tblHeader/>
        </w:trPr>
        <w:tc>
          <w:tcPr>
            <w:tcW w:w="1242" w:type="dxa"/>
            <w:vAlign w:val="center"/>
          </w:tcPr>
          <w:p w14:paraId="389CEF73" w14:textId="77777777" w:rsidR="00124A26" w:rsidRPr="00AC3044" w:rsidRDefault="00124A26" w:rsidP="002D3EBF">
            <w:pPr>
              <w:ind w:firstLine="0"/>
              <w:rPr>
                <w:rFonts w:eastAsia="SimSun"/>
              </w:rPr>
            </w:pPr>
          </w:p>
        </w:tc>
        <w:tc>
          <w:tcPr>
            <w:tcW w:w="1701" w:type="dxa"/>
            <w:vAlign w:val="center"/>
          </w:tcPr>
          <w:p w14:paraId="779AD582" w14:textId="77777777" w:rsidR="00124A26" w:rsidRPr="00AC3044" w:rsidRDefault="00124A26" w:rsidP="002D3EBF">
            <w:pPr>
              <w:ind w:firstLine="0"/>
              <w:rPr>
                <w:rFonts w:eastAsia="SimSun"/>
              </w:rPr>
            </w:pPr>
            <w:r w:rsidRPr="00AC3044">
              <w:rPr>
                <w:rFonts w:eastAsia="SimSun"/>
              </w:rPr>
              <w:t>Препарат</w:t>
            </w:r>
          </w:p>
        </w:tc>
        <w:tc>
          <w:tcPr>
            <w:tcW w:w="1418" w:type="dxa"/>
            <w:vAlign w:val="center"/>
          </w:tcPr>
          <w:p w14:paraId="09FDC80D" w14:textId="77777777" w:rsidR="00124A26" w:rsidRPr="00AC3044" w:rsidRDefault="00124A26" w:rsidP="002D3EBF">
            <w:pPr>
              <w:ind w:firstLine="0"/>
              <w:rPr>
                <w:rFonts w:eastAsia="SimSun"/>
              </w:rPr>
            </w:pPr>
            <w:r w:rsidRPr="00AC3044">
              <w:rPr>
                <w:rFonts w:eastAsia="SimSun"/>
              </w:rPr>
              <w:t>Суточная доза</w:t>
            </w:r>
          </w:p>
        </w:tc>
        <w:tc>
          <w:tcPr>
            <w:tcW w:w="1275" w:type="dxa"/>
            <w:vAlign w:val="center"/>
          </w:tcPr>
          <w:p w14:paraId="67F05CE2" w14:textId="77777777" w:rsidR="00124A26" w:rsidRPr="00AC3044" w:rsidRDefault="00124A26" w:rsidP="002D3EBF">
            <w:pPr>
              <w:ind w:firstLine="0"/>
              <w:rPr>
                <w:rFonts w:eastAsia="SimSun"/>
              </w:rPr>
            </w:pPr>
            <w:r w:rsidRPr="00AC3044">
              <w:rPr>
                <w:rFonts w:eastAsia="SimSun"/>
              </w:rPr>
              <w:t>Курсовая доза</w:t>
            </w:r>
          </w:p>
        </w:tc>
        <w:tc>
          <w:tcPr>
            <w:tcW w:w="1702" w:type="dxa"/>
            <w:vAlign w:val="center"/>
          </w:tcPr>
          <w:p w14:paraId="0B2832DB" w14:textId="77777777" w:rsidR="00124A26" w:rsidRPr="00AC3044" w:rsidRDefault="00124A26" w:rsidP="002D3EBF">
            <w:pPr>
              <w:ind w:firstLine="0"/>
              <w:rPr>
                <w:rFonts w:eastAsia="SimSun"/>
              </w:rPr>
            </w:pPr>
            <w:r w:rsidRPr="00AC3044">
              <w:rPr>
                <w:rFonts w:eastAsia="SimSun"/>
              </w:rPr>
              <w:t>Дни введения</w:t>
            </w:r>
          </w:p>
        </w:tc>
        <w:tc>
          <w:tcPr>
            <w:tcW w:w="2268" w:type="dxa"/>
            <w:vAlign w:val="center"/>
          </w:tcPr>
          <w:p w14:paraId="2033AC7D"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476C2EDD" w14:textId="77777777" w:rsidTr="002D3EBF">
        <w:trPr>
          <w:cantSplit/>
          <w:trHeight w:val="20"/>
        </w:trPr>
        <w:tc>
          <w:tcPr>
            <w:tcW w:w="1242" w:type="dxa"/>
            <w:vMerge w:val="restart"/>
            <w:textDirection w:val="btLr"/>
            <w:vAlign w:val="center"/>
          </w:tcPr>
          <w:p w14:paraId="65FF8FA8" w14:textId="77777777" w:rsidR="00124A26" w:rsidRPr="00AC3044" w:rsidRDefault="00124A26" w:rsidP="002D3EBF">
            <w:pPr>
              <w:ind w:firstLine="0"/>
              <w:rPr>
                <w:rFonts w:eastAsia="SimSun"/>
              </w:rPr>
            </w:pPr>
            <w:r w:rsidRPr="00AC3044">
              <w:rPr>
                <w:rFonts w:eastAsia="SimSun"/>
              </w:rPr>
              <w:t>Кондиционирование</w:t>
            </w:r>
          </w:p>
        </w:tc>
        <w:tc>
          <w:tcPr>
            <w:tcW w:w="1701" w:type="dxa"/>
            <w:vAlign w:val="center"/>
          </w:tcPr>
          <w:p w14:paraId="183707F6" w14:textId="77777777" w:rsidR="00124A26" w:rsidRPr="00AC3044" w:rsidRDefault="00124A26" w:rsidP="002D3EBF">
            <w:pPr>
              <w:ind w:firstLine="0"/>
              <w:rPr>
                <w:rFonts w:eastAsia="SimSun"/>
              </w:rPr>
            </w:pPr>
            <w:r w:rsidRPr="00AC3044">
              <w:rPr>
                <w:rFonts w:eastAsia="SimSun"/>
              </w:rPr>
              <w:t xml:space="preserve">Флударабин </w:t>
            </w:r>
          </w:p>
        </w:tc>
        <w:tc>
          <w:tcPr>
            <w:tcW w:w="1418" w:type="dxa"/>
            <w:vAlign w:val="center"/>
          </w:tcPr>
          <w:p w14:paraId="12391960" w14:textId="77777777" w:rsidR="00124A26" w:rsidRPr="00AC3044" w:rsidRDefault="00124A26" w:rsidP="002D3EBF">
            <w:pPr>
              <w:ind w:firstLine="0"/>
              <w:rPr>
                <w:rFonts w:eastAsia="SimSun"/>
              </w:rPr>
            </w:pPr>
            <w:r w:rsidRPr="00AC3044">
              <w:rPr>
                <w:rFonts w:eastAsia="SimSun"/>
              </w:rPr>
              <w:t>30 мг/м</w:t>
            </w:r>
            <w:r w:rsidRPr="00DB259E">
              <w:rPr>
                <w:rFonts w:eastAsia="SimSun"/>
                <w:vertAlign w:val="superscript"/>
              </w:rPr>
              <w:t>2</w:t>
            </w:r>
          </w:p>
        </w:tc>
        <w:tc>
          <w:tcPr>
            <w:tcW w:w="1275" w:type="dxa"/>
            <w:vAlign w:val="center"/>
          </w:tcPr>
          <w:p w14:paraId="338F2369" w14:textId="77777777" w:rsidR="00124A26" w:rsidRPr="00AC3044" w:rsidRDefault="00124A26" w:rsidP="002D3EBF">
            <w:pPr>
              <w:ind w:firstLine="0"/>
              <w:rPr>
                <w:rFonts w:eastAsia="SimSun"/>
              </w:rPr>
            </w:pPr>
            <w:r w:rsidRPr="00AC3044">
              <w:rPr>
                <w:rFonts w:eastAsia="SimSun"/>
              </w:rPr>
              <w:t>180 мг/м</w:t>
            </w:r>
            <w:r w:rsidRPr="00DB259E">
              <w:rPr>
                <w:rFonts w:eastAsia="SimSun"/>
                <w:vertAlign w:val="superscript"/>
              </w:rPr>
              <w:t>2</w:t>
            </w:r>
          </w:p>
        </w:tc>
        <w:tc>
          <w:tcPr>
            <w:tcW w:w="1702" w:type="dxa"/>
            <w:vAlign w:val="center"/>
          </w:tcPr>
          <w:p w14:paraId="154E3B14" w14:textId="77777777" w:rsidR="00124A26" w:rsidRPr="00AC3044" w:rsidRDefault="00124A26" w:rsidP="002D3EBF">
            <w:pPr>
              <w:ind w:firstLine="0"/>
              <w:rPr>
                <w:rFonts w:eastAsia="SimSun"/>
              </w:rPr>
            </w:pPr>
            <w:r w:rsidRPr="00AC3044">
              <w:rPr>
                <w:rFonts w:eastAsia="SimSun"/>
              </w:rPr>
              <w:t>С -7 дня по -2 день</w:t>
            </w:r>
          </w:p>
        </w:tc>
        <w:tc>
          <w:tcPr>
            <w:tcW w:w="2268" w:type="dxa"/>
            <w:vAlign w:val="center"/>
          </w:tcPr>
          <w:p w14:paraId="753D3020"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36D92669" w14:textId="77777777" w:rsidTr="002D3EBF">
        <w:trPr>
          <w:cantSplit/>
          <w:trHeight w:val="985"/>
        </w:trPr>
        <w:tc>
          <w:tcPr>
            <w:tcW w:w="1242" w:type="dxa"/>
            <w:vMerge/>
            <w:vAlign w:val="center"/>
          </w:tcPr>
          <w:p w14:paraId="1C4EBC37" w14:textId="77777777" w:rsidR="00124A26" w:rsidRPr="00AC3044" w:rsidRDefault="00124A26" w:rsidP="002D3EBF">
            <w:pPr>
              <w:ind w:firstLine="0"/>
              <w:rPr>
                <w:rFonts w:eastAsia="SimSun"/>
              </w:rPr>
            </w:pPr>
          </w:p>
        </w:tc>
        <w:tc>
          <w:tcPr>
            <w:tcW w:w="1701" w:type="dxa"/>
            <w:vAlign w:val="center"/>
          </w:tcPr>
          <w:p w14:paraId="13973AFD" w14:textId="77777777" w:rsidR="00124A26" w:rsidRPr="00AC3044" w:rsidRDefault="00124A26" w:rsidP="002D3EBF">
            <w:pPr>
              <w:ind w:firstLine="0"/>
              <w:rPr>
                <w:rFonts w:eastAsia="SimSun"/>
              </w:rPr>
            </w:pPr>
            <w:r w:rsidRPr="00AC3044">
              <w:rPr>
                <w:rFonts w:eastAsia="SimSun"/>
              </w:rPr>
              <w:t>Бусульфан</w:t>
            </w:r>
          </w:p>
        </w:tc>
        <w:tc>
          <w:tcPr>
            <w:tcW w:w="1418" w:type="dxa"/>
            <w:vAlign w:val="center"/>
          </w:tcPr>
          <w:p w14:paraId="2BBEA772" w14:textId="77777777" w:rsidR="00124A26" w:rsidRPr="00AC3044" w:rsidRDefault="00124A26" w:rsidP="002D3EBF">
            <w:pPr>
              <w:ind w:firstLine="0"/>
              <w:rPr>
                <w:rFonts w:eastAsia="SimSun"/>
              </w:rPr>
            </w:pPr>
            <w:r w:rsidRPr="00AC3044">
              <w:rPr>
                <w:rFonts w:eastAsia="SimSun"/>
              </w:rPr>
              <w:t xml:space="preserve">4 мг/кг </w:t>
            </w:r>
          </w:p>
        </w:tc>
        <w:tc>
          <w:tcPr>
            <w:tcW w:w="1275" w:type="dxa"/>
            <w:vAlign w:val="center"/>
          </w:tcPr>
          <w:p w14:paraId="4C2A8858" w14:textId="77777777" w:rsidR="00124A26" w:rsidRPr="00AC3044" w:rsidRDefault="00124A26" w:rsidP="002D3EBF">
            <w:pPr>
              <w:ind w:firstLine="0"/>
              <w:rPr>
                <w:rFonts w:eastAsia="SimSun"/>
              </w:rPr>
            </w:pPr>
            <w:r w:rsidRPr="00AC3044">
              <w:rPr>
                <w:rFonts w:eastAsia="SimSun"/>
              </w:rPr>
              <w:t xml:space="preserve">14мг/кг </w:t>
            </w:r>
          </w:p>
        </w:tc>
        <w:tc>
          <w:tcPr>
            <w:tcW w:w="1702" w:type="dxa"/>
            <w:vAlign w:val="center"/>
          </w:tcPr>
          <w:p w14:paraId="16BD8032" w14:textId="77777777" w:rsidR="00124A26" w:rsidRPr="00AC3044" w:rsidRDefault="00124A26" w:rsidP="002D3EBF">
            <w:pPr>
              <w:ind w:firstLine="0"/>
              <w:rPr>
                <w:rFonts w:eastAsia="SimSun"/>
              </w:rPr>
            </w:pPr>
            <w:r w:rsidRPr="00AC3044">
              <w:rPr>
                <w:rFonts w:eastAsia="SimSun"/>
              </w:rPr>
              <w:t>С -6 дня по -3 день</w:t>
            </w:r>
          </w:p>
        </w:tc>
        <w:tc>
          <w:tcPr>
            <w:tcW w:w="2268" w:type="dxa"/>
            <w:vAlign w:val="center"/>
          </w:tcPr>
          <w:p w14:paraId="7EEBCB09"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124A26" w:rsidRPr="00AC3044" w14:paraId="7D913A62" w14:textId="77777777" w:rsidTr="002D3EBF">
        <w:trPr>
          <w:cantSplit/>
          <w:trHeight w:val="590"/>
        </w:trPr>
        <w:tc>
          <w:tcPr>
            <w:tcW w:w="1242" w:type="dxa"/>
            <w:vMerge w:val="restart"/>
            <w:textDirection w:val="btLr"/>
            <w:vAlign w:val="center"/>
          </w:tcPr>
          <w:p w14:paraId="43A353A6" w14:textId="77777777" w:rsidR="00124A26" w:rsidRPr="00AC3044" w:rsidRDefault="00124A26" w:rsidP="002D3EBF">
            <w:pPr>
              <w:ind w:firstLine="0"/>
              <w:rPr>
                <w:rFonts w:eastAsia="SimSun"/>
              </w:rPr>
            </w:pPr>
            <w:r w:rsidRPr="00AC3044">
              <w:rPr>
                <w:rFonts w:eastAsia="SimSun"/>
              </w:rPr>
              <w:t>Профилактика РТПХ</w:t>
            </w:r>
          </w:p>
        </w:tc>
        <w:tc>
          <w:tcPr>
            <w:tcW w:w="1701" w:type="dxa"/>
            <w:vAlign w:val="center"/>
          </w:tcPr>
          <w:p w14:paraId="6BCCE869" w14:textId="77777777" w:rsidR="00124A26" w:rsidRPr="00AC3044" w:rsidRDefault="00124A26" w:rsidP="002D3EBF">
            <w:pPr>
              <w:ind w:firstLine="0"/>
              <w:rPr>
                <w:rFonts w:eastAsia="SimSun"/>
              </w:rPr>
            </w:pPr>
            <w:r w:rsidRPr="00AC3044">
              <w:rPr>
                <w:rFonts w:eastAsia="SimSun"/>
              </w:rPr>
              <w:t>Циклофосфамид</w:t>
            </w:r>
          </w:p>
        </w:tc>
        <w:tc>
          <w:tcPr>
            <w:tcW w:w="1418" w:type="dxa"/>
            <w:vAlign w:val="center"/>
          </w:tcPr>
          <w:p w14:paraId="2EFCED92" w14:textId="77777777" w:rsidR="00124A26" w:rsidRPr="00AC3044" w:rsidRDefault="00124A26" w:rsidP="002D3EBF">
            <w:pPr>
              <w:ind w:firstLine="0"/>
              <w:rPr>
                <w:rFonts w:eastAsia="SimSun"/>
              </w:rPr>
            </w:pPr>
            <w:r w:rsidRPr="00AC3044">
              <w:rPr>
                <w:rFonts w:eastAsia="SimSun"/>
              </w:rPr>
              <w:t>50 мг/кг</w:t>
            </w:r>
          </w:p>
        </w:tc>
        <w:tc>
          <w:tcPr>
            <w:tcW w:w="1275" w:type="dxa"/>
            <w:vAlign w:val="center"/>
          </w:tcPr>
          <w:p w14:paraId="3832C365" w14:textId="77777777" w:rsidR="00124A26" w:rsidRPr="00AC3044" w:rsidRDefault="00124A26" w:rsidP="002D3EBF">
            <w:pPr>
              <w:ind w:firstLine="0"/>
              <w:rPr>
                <w:rFonts w:eastAsia="SimSun"/>
              </w:rPr>
            </w:pPr>
            <w:r w:rsidRPr="00AC3044">
              <w:rPr>
                <w:rFonts w:eastAsia="SimSun"/>
              </w:rPr>
              <w:t>100 мг/кг</w:t>
            </w:r>
          </w:p>
        </w:tc>
        <w:tc>
          <w:tcPr>
            <w:tcW w:w="1702" w:type="dxa"/>
            <w:vAlign w:val="center"/>
          </w:tcPr>
          <w:p w14:paraId="0E7ECCDD" w14:textId="77777777" w:rsidR="00124A26" w:rsidRPr="00AC3044" w:rsidRDefault="00124A26" w:rsidP="002D3EBF">
            <w:pPr>
              <w:ind w:firstLine="0"/>
              <w:rPr>
                <w:rFonts w:eastAsia="SimSun"/>
              </w:rPr>
            </w:pPr>
            <w:r w:rsidRPr="00AC3044">
              <w:rPr>
                <w:rFonts w:eastAsia="SimSun"/>
              </w:rPr>
              <w:t>С +3 дня по +4 день</w:t>
            </w:r>
          </w:p>
        </w:tc>
        <w:tc>
          <w:tcPr>
            <w:tcW w:w="2268" w:type="dxa"/>
            <w:vAlign w:val="center"/>
          </w:tcPr>
          <w:p w14:paraId="31860597" w14:textId="77777777" w:rsidR="00124A26" w:rsidRPr="00AC3044" w:rsidRDefault="00124A26" w:rsidP="002D3EBF">
            <w:pPr>
              <w:ind w:firstLine="0"/>
              <w:rPr>
                <w:rFonts w:eastAsia="SimSun"/>
              </w:rPr>
            </w:pPr>
            <w:r w:rsidRPr="00AC3044">
              <w:rPr>
                <w:rFonts w:eastAsia="SimSun"/>
              </w:rPr>
              <w:t>В/в, в течение 2 ч</w:t>
            </w:r>
          </w:p>
        </w:tc>
      </w:tr>
      <w:tr w:rsidR="00124A26" w:rsidRPr="00AC3044" w14:paraId="65788AAD" w14:textId="77777777" w:rsidTr="002D3EBF">
        <w:trPr>
          <w:cantSplit/>
          <w:trHeight w:val="958"/>
        </w:trPr>
        <w:tc>
          <w:tcPr>
            <w:tcW w:w="1242" w:type="dxa"/>
            <w:vMerge/>
            <w:textDirection w:val="btLr"/>
            <w:vAlign w:val="center"/>
          </w:tcPr>
          <w:p w14:paraId="4779BB36" w14:textId="77777777" w:rsidR="00124A26" w:rsidRPr="00AC3044" w:rsidRDefault="00124A26" w:rsidP="002D3EBF">
            <w:pPr>
              <w:ind w:firstLine="0"/>
              <w:rPr>
                <w:rFonts w:eastAsia="SimSun"/>
              </w:rPr>
            </w:pPr>
          </w:p>
        </w:tc>
        <w:tc>
          <w:tcPr>
            <w:tcW w:w="1701" w:type="dxa"/>
            <w:vAlign w:val="center"/>
          </w:tcPr>
          <w:p w14:paraId="240FD8F7" w14:textId="77777777" w:rsidR="00124A26" w:rsidRPr="00AC3044" w:rsidRDefault="00124A26" w:rsidP="002D3EBF">
            <w:pPr>
              <w:ind w:firstLine="0"/>
              <w:rPr>
                <w:rFonts w:eastAsia="SimSun"/>
              </w:rPr>
            </w:pPr>
            <w:r w:rsidRPr="00AC3044">
              <w:rPr>
                <w:rFonts w:eastAsia="SimSun"/>
              </w:rPr>
              <w:t xml:space="preserve">Такролимус </w:t>
            </w:r>
          </w:p>
        </w:tc>
        <w:tc>
          <w:tcPr>
            <w:tcW w:w="1418" w:type="dxa"/>
            <w:vAlign w:val="center"/>
          </w:tcPr>
          <w:p w14:paraId="0F03471D" w14:textId="77777777" w:rsidR="00124A26" w:rsidRPr="00AC3044" w:rsidRDefault="00124A26" w:rsidP="002D3EBF">
            <w:pPr>
              <w:ind w:firstLine="0"/>
              <w:rPr>
                <w:rFonts w:eastAsia="SimSun"/>
              </w:rPr>
            </w:pPr>
            <w:r w:rsidRPr="00AC3044">
              <w:rPr>
                <w:rFonts w:eastAsia="SimSun"/>
              </w:rPr>
              <w:t>0,03 мг/кг</w:t>
            </w:r>
          </w:p>
        </w:tc>
        <w:tc>
          <w:tcPr>
            <w:tcW w:w="1275" w:type="dxa"/>
            <w:vAlign w:val="center"/>
          </w:tcPr>
          <w:p w14:paraId="0BCBCCAD" w14:textId="77777777" w:rsidR="00124A26" w:rsidRPr="00AC3044" w:rsidRDefault="00124A26" w:rsidP="002D3EBF">
            <w:pPr>
              <w:ind w:firstLine="0"/>
              <w:rPr>
                <w:rFonts w:eastAsia="SimSun"/>
              </w:rPr>
            </w:pPr>
            <w:r w:rsidRPr="00AC3044">
              <w:rPr>
                <w:rFonts w:eastAsia="SimSun"/>
              </w:rPr>
              <w:t>–</w:t>
            </w:r>
          </w:p>
        </w:tc>
        <w:tc>
          <w:tcPr>
            <w:tcW w:w="1702" w:type="dxa"/>
            <w:vAlign w:val="center"/>
          </w:tcPr>
          <w:p w14:paraId="2477B19C" w14:textId="77777777" w:rsidR="00124A26" w:rsidRPr="00AC3044" w:rsidRDefault="00124A26" w:rsidP="002D3EBF">
            <w:pPr>
              <w:ind w:firstLine="0"/>
              <w:rPr>
                <w:rFonts w:eastAsia="SimSun"/>
              </w:rPr>
            </w:pPr>
            <w:r w:rsidRPr="00AC3044">
              <w:rPr>
                <w:rFonts w:eastAsia="SimSun"/>
              </w:rPr>
              <w:t xml:space="preserve">С +5 дня длительно </w:t>
            </w:r>
          </w:p>
        </w:tc>
        <w:tc>
          <w:tcPr>
            <w:tcW w:w="2268" w:type="dxa"/>
            <w:vAlign w:val="center"/>
          </w:tcPr>
          <w:p w14:paraId="1EE58052" w14:textId="77777777" w:rsidR="00124A26" w:rsidRPr="00AC3044" w:rsidRDefault="00124A26"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DB259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124A26" w:rsidRPr="00AC3044" w14:paraId="5D705938" w14:textId="77777777" w:rsidTr="002D3EBF">
        <w:trPr>
          <w:cantSplit/>
          <w:trHeight w:val="508"/>
        </w:trPr>
        <w:tc>
          <w:tcPr>
            <w:tcW w:w="1242" w:type="dxa"/>
            <w:vMerge/>
            <w:textDirection w:val="btLr"/>
            <w:vAlign w:val="center"/>
          </w:tcPr>
          <w:p w14:paraId="5C6CF439" w14:textId="77777777" w:rsidR="00124A26" w:rsidRPr="00AC3044" w:rsidRDefault="00124A26" w:rsidP="002D3EBF">
            <w:pPr>
              <w:ind w:firstLine="0"/>
              <w:rPr>
                <w:rFonts w:eastAsia="SimSun"/>
              </w:rPr>
            </w:pPr>
          </w:p>
        </w:tc>
        <w:tc>
          <w:tcPr>
            <w:tcW w:w="1701" w:type="dxa"/>
            <w:vAlign w:val="center"/>
          </w:tcPr>
          <w:p w14:paraId="5AE225B1" w14:textId="77777777" w:rsidR="00124A26" w:rsidRPr="00AC3044" w:rsidRDefault="00124A26" w:rsidP="002D3EBF">
            <w:pPr>
              <w:ind w:firstLine="0"/>
              <w:rPr>
                <w:rFonts w:eastAsia="SimSun"/>
              </w:rPr>
            </w:pPr>
            <w:r w:rsidRPr="00AC3044">
              <w:rPr>
                <w:rFonts w:eastAsia="SimSun"/>
              </w:rPr>
              <w:t>Микофенолата мофетил</w:t>
            </w:r>
          </w:p>
        </w:tc>
        <w:tc>
          <w:tcPr>
            <w:tcW w:w="1418" w:type="dxa"/>
            <w:vAlign w:val="center"/>
          </w:tcPr>
          <w:p w14:paraId="30CCE23A" w14:textId="77777777" w:rsidR="00124A26" w:rsidRPr="00AC3044" w:rsidRDefault="00124A26" w:rsidP="002D3EBF">
            <w:pPr>
              <w:ind w:firstLine="0"/>
              <w:rPr>
                <w:rFonts w:eastAsia="SimSun"/>
              </w:rPr>
            </w:pPr>
            <w:r w:rsidRPr="00AC3044">
              <w:rPr>
                <w:rFonts w:eastAsia="SimSun"/>
              </w:rPr>
              <w:t xml:space="preserve">30 мг/кг </w:t>
            </w:r>
          </w:p>
        </w:tc>
        <w:tc>
          <w:tcPr>
            <w:tcW w:w="1275" w:type="dxa"/>
            <w:vAlign w:val="center"/>
          </w:tcPr>
          <w:p w14:paraId="3F0F8644" w14:textId="77777777" w:rsidR="00124A26" w:rsidRPr="00AC3044" w:rsidRDefault="00124A26" w:rsidP="002D3EBF">
            <w:pPr>
              <w:ind w:firstLine="0"/>
              <w:rPr>
                <w:rFonts w:eastAsia="SimSun"/>
              </w:rPr>
            </w:pPr>
            <w:r w:rsidRPr="00AC3044">
              <w:rPr>
                <w:rFonts w:eastAsia="SimSun"/>
              </w:rPr>
              <w:t>–</w:t>
            </w:r>
          </w:p>
        </w:tc>
        <w:tc>
          <w:tcPr>
            <w:tcW w:w="1702" w:type="dxa"/>
            <w:vAlign w:val="center"/>
          </w:tcPr>
          <w:p w14:paraId="519EA536" w14:textId="77777777" w:rsidR="00124A26" w:rsidRPr="00AC3044" w:rsidRDefault="00124A26" w:rsidP="002D3EBF">
            <w:pPr>
              <w:ind w:firstLine="0"/>
              <w:rPr>
                <w:rFonts w:eastAsia="SimSun"/>
              </w:rPr>
            </w:pPr>
            <w:r w:rsidRPr="00AC3044">
              <w:rPr>
                <w:rFonts w:eastAsia="SimSun"/>
              </w:rPr>
              <w:t xml:space="preserve">С +5 дня по +35 день </w:t>
            </w:r>
          </w:p>
        </w:tc>
        <w:tc>
          <w:tcPr>
            <w:tcW w:w="2268" w:type="dxa"/>
            <w:vAlign w:val="center"/>
          </w:tcPr>
          <w:p w14:paraId="4E34DF89" w14:textId="77777777" w:rsidR="00124A26" w:rsidRPr="00AC3044" w:rsidRDefault="00124A26"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3A1B9A00" w14:textId="77777777" w:rsidR="00124A26" w:rsidRPr="00C07B2E" w:rsidRDefault="00124A26" w:rsidP="00124A26">
      <w:pPr>
        <w:rPr>
          <w:rFonts w:eastAsia="SimSun"/>
        </w:rPr>
      </w:pPr>
    </w:p>
    <w:p w14:paraId="4FEFD7FA" w14:textId="77777777" w:rsidR="00124A26" w:rsidRPr="00C07B2E" w:rsidRDefault="00124A26" w:rsidP="00124A26">
      <w:pPr>
        <w:rPr>
          <w:rFonts w:eastAsia="SimSun"/>
        </w:rPr>
      </w:pPr>
      <w:bookmarkStart w:id="236" w:name="_Toc44401195"/>
      <w:r w:rsidRPr="00042499">
        <w:rPr>
          <w:rFonts w:eastAsia="SimSun"/>
        </w:rPr>
        <w:t>Таблица</w:t>
      </w:r>
      <w:r w:rsidRPr="00C07B2E">
        <w:rPr>
          <w:rFonts w:eastAsia="SimSun"/>
        </w:rPr>
        <w:t xml:space="preserve"> </w:t>
      </w:r>
      <w:r>
        <w:rPr>
          <w:rFonts w:eastAsia="SimSun"/>
        </w:rPr>
        <w:t>5.</w:t>
      </w:r>
      <w:r w:rsidRPr="00C07B2E">
        <w:rPr>
          <w:rFonts w:eastAsia="SimSun"/>
        </w:rPr>
        <w:t>2.1.9  – Flu180+Bu14 / PT-Cy+CSA+MMF30</w:t>
      </w:r>
      <w:bookmarkEnd w:id="236"/>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35"/>
        <w:gridCol w:w="1418"/>
        <w:gridCol w:w="1276"/>
        <w:gridCol w:w="1701"/>
        <w:gridCol w:w="2268"/>
      </w:tblGrid>
      <w:tr w:rsidR="00124A26" w:rsidRPr="00AC3044" w14:paraId="42EEACA9" w14:textId="77777777" w:rsidTr="002D3EBF">
        <w:trPr>
          <w:cantSplit/>
          <w:trHeight w:val="20"/>
          <w:tblHeader/>
        </w:trPr>
        <w:tc>
          <w:tcPr>
            <w:tcW w:w="1242" w:type="dxa"/>
            <w:vAlign w:val="center"/>
          </w:tcPr>
          <w:p w14:paraId="3F3D73D4" w14:textId="77777777" w:rsidR="00124A26" w:rsidRPr="00470D3D" w:rsidRDefault="00124A26" w:rsidP="002D3EBF">
            <w:pPr>
              <w:ind w:firstLine="0"/>
              <w:rPr>
                <w:rFonts w:eastAsia="SimSun"/>
              </w:rPr>
            </w:pPr>
          </w:p>
        </w:tc>
        <w:tc>
          <w:tcPr>
            <w:tcW w:w="1735" w:type="dxa"/>
            <w:vAlign w:val="center"/>
          </w:tcPr>
          <w:p w14:paraId="339155F9" w14:textId="77777777" w:rsidR="00124A26" w:rsidRPr="00AC3044" w:rsidRDefault="00124A26" w:rsidP="002D3EBF">
            <w:pPr>
              <w:ind w:firstLine="0"/>
              <w:rPr>
                <w:rFonts w:eastAsia="SimSun"/>
              </w:rPr>
            </w:pPr>
            <w:r w:rsidRPr="00AC3044">
              <w:rPr>
                <w:rFonts w:eastAsia="SimSun"/>
              </w:rPr>
              <w:t>Препарат</w:t>
            </w:r>
          </w:p>
        </w:tc>
        <w:tc>
          <w:tcPr>
            <w:tcW w:w="1418" w:type="dxa"/>
            <w:vAlign w:val="center"/>
          </w:tcPr>
          <w:p w14:paraId="699BEFA5" w14:textId="77777777" w:rsidR="00124A26" w:rsidRPr="00AC3044" w:rsidRDefault="00124A26" w:rsidP="002D3EBF">
            <w:pPr>
              <w:ind w:firstLine="0"/>
              <w:rPr>
                <w:rFonts w:eastAsia="SimSun"/>
              </w:rPr>
            </w:pPr>
            <w:r w:rsidRPr="00AC3044">
              <w:rPr>
                <w:rFonts w:eastAsia="SimSun"/>
              </w:rPr>
              <w:t>Суточная доза</w:t>
            </w:r>
          </w:p>
        </w:tc>
        <w:tc>
          <w:tcPr>
            <w:tcW w:w="1276" w:type="dxa"/>
            <w:vAlign w:val="center"/>
          </w:tcPr>
          <w:p w14:paraId="1E458401" w14:textId="77777777" w:rsidR="00124A26" w:rsidRPr="00AC3044" w:rsidRDefault="00124A26" w:rsidP="002D3EBF">
            <w:pPr>
              <w:ind w:firstLine="0"/>
              <w:rPr>
                <w:rFonts w:eastAsia="SimSun"/>
              </w:rPr>
            </w:pPr>
            <w:r w:rsidRPr="00AC3044">
              <w:rPr>
                <w:rFonts w:eastAsia="SimSun"/>
              </w:rPr>
              <w:t>Курсовая доза</w:t>
            </w:r>
          </w:p>
        </w:tc>
        <w:tc>
          <w:tcPr>
            <w:tcW w:w="1701" w:type="dxa"/>
            <w:vAlign w:val="center"/>
          </w:tcPr>
          <w:p w14:paraId="6BE5E5E3" w14:textId="77777777" w:rsidR="00124A26" w:rsidRPr="00AC3044" w:rsidRDefault="00124A26" w:rsidP="002D3EBF">
            <w:pPr>
              <w:ind w:firstLine="0"/>
              <w:rPr>
                <w:rFonts w:eastAsia="SimSun"/>
              </w:rPr>
            </w:pPr>
            <w:r w:rsidRPr="00AC3044">
              <w:rPr>
                <w:rFonts w:eastAsia="SimSun"/>
              </w:rPr>
              <w:t>Дни введения</w:t>
            </w:r>
          </w:p>
        </w:tc>
        <w:tc>
          <w:tcPr>
            <w:tcW w:w="2268" w:type="dxa"/>
            <w:vAlign w:val="center"/>
          </w:tcPr>
          <w:p w14:paraId="6DB13943"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24C85058" w14:textId="77777777" w:rsidTr="002D3EBF">
        <w:trPr>
          <w:cantSplit/>
          <w:trHeight w:val="20"/>
        </w:trPr>
        <w:tc>
          <w:tcPr>
            <w:tcW w:w="1242" w:type="dxa"/>
            <w:vMerge w:val="restart"/>
            <w:textDirection w:val="btLr"/>
            <w:vAlign w:val="center"/>
          </w:tcPr>
          <w:p w14:paraId="5962A9D5" w14:textId="77777777" w:rsidR="00124A26" w:rsidRPr="00AC3044" w:rsidRDefault="00124A26" w:rsidP="002D3EBF">
            <w:pPr>
              <w:ind w:firstLine="0"/>
              <w:rPr>
                <w:rFonts w:eastAsia="SimSun"/>
              </w:rPr>
            </w:pPr>
            <w:r w:rsidRPr="00AC3044">
              <w:rPr>
                <w:rFonts w:eastAsia="SimSun"/>
              </w:rPr>
              <w:t>Кондиционирование</w:t>
            </w:r>
          </w:p>
        </w:tc>
        <w:tc>
          <w:tcPr>
            <w:tcW w:w="1735" w:type="dxa"/>
            <w:vAlign w:val="center"/>
          </w:tcPr>
          <w:p w14:paraId="391A336F" w14:textId="77777777" w:rsidR="00124A26" w:rsidRPr="00AC3044" w:rsidRDefault="00124A26" w:rsidP="002D3EBF">
            <w:pPr>
              <w:ind w:firstLine="0"/>
              <w:rPr>
                <w:rFonts w:eastAsia="SimSun"/>
              </w:rPr>
            </w:pPr>
            <w:r w:rsidRPr="00AC3044">
              <w:rPr>
                <w:rFonts w:eastAsia="SimSun"/>
              </w:rPr>
              <w:t xml:space="preserve">Флударабин </w:t>
            </w:r>
          </w:p>
        </w:tc>
        <w:tc>
          <w:tcPr>
            <w:tcW w:w="1418" w:type="dxa"/>
            <w:vAlign w:val="center"/>
          </w:tcPr>
          <w:p w14:paraId="3D34081C" w14:textId="77777777" w:rsidR="00124A26" w:rsidRPr="00AC3044" w:rsidRDefault="00124A26" w:rsidP="002D3EBF">
            <w:pPr>
              <w:ind w:firstLine="0"/>
              <w:rPr>
                <w:rFonts w:eastAsia="SimSun"/>
              </w:rPr>
            </w:pPr>
            <w:r w:rsidRPr="00AC3044">
              <w:rPr>
                <w:rFonts w:eastAsia="SimSun"/>
              </w:rPr>
              <w:t>30 мг/м</w:t>
            </w:r>
            <w:r w:rsidRPr="00DB259E">
              <w:rPr>
                <w:rFonts w:eastAsia="SimSun"/>
                <w:vertAlign w:val="superscript"/>
              </w:rPr>
              <w:t>2</w:t>
            </w:r>
          </w:p>
        </w:tc>
        <w:tc>
          <w:tcPr>
            <w:tcW w:w="1276" w:type="dxa"/>
            <w:vAlign w:val="center"/>
          </w:tcPr>
          <w:p w14:paraId="1027EB66" w14:textId="77777777" w:rsidR="00124A26" w:rsidRPr="00AC3044" w:rsidRDefault="00124A26" w:rsidP="002D3EBF">
            <w:pPr>
              <w:ind w:firstLine="0"/>
              <w:rPr>
                <w:rFonts w:eastAsia="SimSun"/>
              </w:rPr>
            </w:pPr>
            <w:r w:rsidRPr="00AC3044">
              <w:rPr>
                <w:rFonts w:eastAsia="SimSun"/>
              </w:rPr>
              <w:t>180 мг/м</w:t>
            </w:r>
            <w:r w:rsidRPr="00DB259E">
              <w:rPr>
                <w:rFonts w:eastAsia="SimSun"/>
                <w:vertAlign w:val="superscript"/>
              </w:rPr>
              <w:t>2</w:t>
            </w:r>
          </w:p>
        </w:tc>
        <w:tc>
          <w:tcPr>
            <w:tcW w:w="1701" w:type="dxa"/>
            <w:vAlign w:val="center"/>
          </w:tcPr>
          <w:p w14:paraId="667E57A2" w14:textId="77777777" w:rsidR="00124A26" w:rsidRPr="00AC3044" w:rsidRDefault="00124A26" w:rsidP="002D3EBF">
            <w:pPr>
              <w:ind w:firstLine="0"/>
              <w:rPr>
                <w:rFonts w:eastAsia="SimSun"/>
              </w:rPr>
            </w:pPr>
            <w:r w:rsidRPr="00AC3044">
              <w:rPr>
                <w:rFonts w:eastAsia="SimSun"/>
              </w:rPr>
              <w:t>С -7 дня по -2 день</w:t>
            </w:r>
          </w:p>
        </w:tc>
        <w:tc>
          <w:tcPr>
            <w:tcW w:w="2268" w:type="dxa"/>
            <w:vAlign w:val="center"/>
          </w:tcPr>
          <w:p w14:paraId="17F4C8CE"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545C3D5C" w14:textId="77777777" w:rsidTr="002D3EBF">
        <w:trPr>
          <w:cantSplit/>
          <w:trHeight w:val="766"/>
        </w:trPr>
        <w:tc>
          <w:tcPr>
            <w:tcW w:w="1242" w:type="dxa"/>
            <w:vMerge/>
            <w:vAlign w:val="center"/>
          </w:tcPr>
          <w:p w14:paraId="33BEFAB7" w14:textId="77777777" w:rsidR="00124A26" w:rsidRPr="00AC3044" w:rsidRDefault="00124A26" w:rsidP="002D3EBF">
            <w:pPr>
              <w:ind w:firstLine="0"/>
              <w:rPr>
                <w:rFonts w:eastAsia="SimSun"/>
              </w:rPr>
            </w:pPr>
          </w:p>
        </w:tc>
        <w:tc>
          <w:tcPr>
            <w:tcW w:w="1735" w:type="dxa"/>
            <w:vAlign w:val="center"/>
          </w:tcPr>
          <w:p w14:paraId="40A5018B" w14:textId="77777777" w:rsidR="00124A26" w:rsidRPr="00AC3044" w:rsidRDefault="00124A26" w:rsidP="002D3EBF">
            <w:pPr>
              <w:ind w:firstLine="0"/>
              <w:rPr>
                <w:rFonts w:eastAsia="SimSun"/>
              </w:rPr>
            </w:pPr>
            <w:r w:rsidRPr="00AC3044">
              <w:rPr>
                <w:rFonts w:eastAsia="SimSun"/>
              </w:rPr>
              <w:t>Бусульфан</w:t>
            </w:r>
          </w:p>
        </w:tc>
        <w:tc>
          <w:tcPr>
            <w:tcW w:w="1418" w:type="dxa"/>
            <w:vAlign w:val="center"/>
          </w:tcPr>
          <w:p w14:paraId="1538FAC7" w14:textId="77777777" w:rsidR="00124A26" w:rsidRPr="00AC3044" w:rsidRDefault="00124A26" w:rsidP="002D3EBF">
            <w:pPr>
              <w:ind w:firstLine="0"/>
              <w:rPr>
                <w:rFonts w:eastAsia="SimSun"/>
              </w:rPr>
            </w:pPr>
            <w:r w:rsidRPr="00AC3044">
              <w:rPr>
                <w:rFonts w:eastAsia="SimSun"/>
              </w:rPr>
              <w:t xml:space="preserve">4 мг/кг </w:t>
            </w:r>
          </w:p>
        </w:tc>
        <w:tc>
          <w:tcPr>
            <w:tcW w:w="1276" w:type="dxa"/>
            <w:vAlign w:val="center"/>
          </w:tcPr>
          <w:p w14:paraId="45F9707F" w14:textId="77777777" w:rsidR="00124A26" w:rsidRPr="00AC3044" w:rsidRDefault="00124A26" w:rsidP="002D3EBF">
            <w:pPr>
              <w:ind w:firstLine="0"/>
              <w:rPr>
                <w:rFonts w:eastAsia="SimSun"/>
              </w:rPr>
            </w:pPr>
            <w:r w:rsidRPr="00AC3044">
              <w:rPr>
                <w:rFonts w:eastAsia="SimSun"/>
              </w:rPr>
              <w:t xml:space="preserve">14 мг/кг </w:t>
            </w:r>
          </w:p>
        </w:tc>
        <w:tc>
          <w:tcPr>
            <w:tcW w:w="1701" w:type="dxa"/>
            <w:vAlign w:val="center"/>
          </w:tcPr>
          <w:p w14:paraId="0D5D8790" w14:textId="77777777" w:rsidR="00124A26" w:rsidRPr="00AC3044" w:rsidRDefault="00124A26" w:rsidP="002D3EBF">
            <w:pPr>
              <w:ind w:firstLine="0"/>
              <w:rPr>
                <w:rFonts w:eastAsia="SimSun"/>
              </w:rPr>
            </w:pPr>
            <w:r w:rsidRPr="00AC3044">
              <w:rPr>
                <w:rFonts w:eastAsia="SimSun"/>
              </w:rPr>
              <w:t>С -6 дня по -3 день</w:t>
            </w:r>
          </w:p>
        </w:tc>
        <w:tc>
          <w:tcPr>
            <w:tcW w:w="2268" w:type="dxa"/>
            <w:vAlign w:val="center"/>
          </w:tcPr>
          <w:p w14:paraId="58266778"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124A26" w:rsidRPr="00AC3044" w14:paraId="366105AA" w14:textId="77777777" w:rsidTr="002D3EBF">
        <w:trPr>
          <w:cantSplit/>
          <w:trHeight w:val="796"/>
        </w:trPr>
        <w:tc>
          <w:tcPr>
            <w:tcW w:w="1242" w:type="dxa"/>
            <w:vMerge w:val="restart"/>
            <w:textDirection w:val="btLr"/>
            <w:vAlign w:val="center"/>
          </w:tcPr>
          <w:p w14:paraId="71AAD94C" w14:textId="77777777" w:rsidR="00124A26" w:rsidRPr="00AC3044" w:rsidRDefault="00124A26" w:rsidP="002D3EBF">
            <w:pPr>
              <w:ind w:firstLine="0"/>
              <w:rPr>
                <w:rFonts w:eastAsia="SimSun"/>
              </w:rPr>
            </w:pPr>
            <w:r w:rsidRPr="00AC3044">
              <w:rPr>
                <w:rFonts w:eastAsia="SimSun"/>
              </w:rPr>
              <w:t>Профилактика РТПХ</w:t>
            </w:r>
          </w:p>
        </w:tc>
        <w:tc>
          <w:tcPr>
            <w:tcW w:w="1735" w:type="dxa"/>
            <w:vAlign w:val="center"/>
          </w:tcPr>
          <w:p w14:paraId="425F2182" w14:textId="77777777" w:rsidR="00124A26" w:rsidRPr="00AC3044" w:rsidRDefault="00124A26" w:rsidP="002D3EBF">
            <w:pPr>
              <w:ind w:firstLine="0"/>
              <w:rPr>
                <w:rFonts w:eastAsia="SimSun"/>
              </w:rPr>
            </w:pPr>
            <w:r w:rsidRPr="00AC3044">
              <w:rPr>
                <w:rFonts w:eastAsia="SimSun"/>
              </w:rPr>
              <w:t>Циклофосфамид</w:t>
            </w:r>
          </w:p>
        </w:tc>
        <w:tc>
          <w:tcPr>
            <w:tcW w:w="1418" w:type="dxa"/>
            <w:vAlign w:val="center"/>
          </w:tcPr>
          <w:p w14:paraId="56955D74" w14:textId="77777777" w:rsidR="00124A26" w:rsidRPr="00AC3044" w:rsidRDefault="00124A26" w:rsidP="002D3EBF">
            <w:pPr>
              <w:ind w:firstLine="0"/>
              <w:rPr>
                <w:rFonts w:eastAsia="SimSun"/>
              </w:rPr>
            </w:pPr>
            <w:r w:rsidRPr="00AC3044">
              <w:rPr>
                <w:rFonts w:eastAsia="SimSun"/>
              </w:rPr>
              <w:t>50 мг/кг</w:t>
            </w:r>
          </w:p>
        </w:tc>
        <w:tc>
          <w:tcPr>
            <w:tcW w:w="1276" w:type="dxa"/>
            <w:vAlign w:val="center"/>
          </w:tcPr>
          <w:p w14:paraId="3B2F1431" w14:textId="77777777" w:rsidR="00124A26" w:rsidRPr="00AC3044" w:rsidRDefault="00124A26" w:rsidP="002D3EBF">
            <w:pPr>
              <w:ind w:firstLine="0"/>
              <w:rPr>
                <w:rFonts w:eastAsia="SimSun"/>
              </w:rPr>
            </w:pPr>
            <w:r w:rsidRPr="00AC3044">
              <w:rPr>
                <w:rFonts w:eastAsia="SimSun"/>
              </w:rPr>
              <w:t>100 мг/кг</w:t>
            </w:r>
          </w:p>
        </w:tc>
        <w:tc>
          <w:tcPr>
            <w:tcW w:w="1701" w:type="dxa"/>
            <w:vAlign w:val="center"/>
          </w:tcPr>
          <w:p w14:paraId="1826689B" w14:textId="77777777" w:rsidR="00124A26" w:rsidRPr="00AC3044" w:rsidRDefault="00124A26" w:rsidP="002D3EBF">
            <w:pPr>
              <w:ind w:firstLine="0"/>
              <w:rPr>
                <w:rFonts w:eastAsia="SimSun"/>
              </w:rPr>
            </w:pPr>
            <w:r w:rsidRPr="00AC3044">
              <w:rPr>
                <w:rFonts w:eastAsia="SimSun"/>
              </w:rPr>
              <w:t>В +3 день  и +5 день</w:t>
            </w:r>
          </w:p>
        </w:tc>
        <w:tc>
          <w:tcPr>
            <w:tcW w:w="2268" w:type="dxa"/>
            <w:vAlign w:val="center"/>
          </w:tcPr>
          <w:p w14:paraId="1487BCC1" w14:textId="77777777" w:rsidR="00124A26" w:rsidRPr="00AC3044" w:rsidRDefault="00124A26" w:rsidP="002D3EBF">
            <w:pPr>
              <w:ind w:firstLine="0"/>
              <w:rPr>
                <w:rFonts w:eastAsia="SimSun"/>
              </w:rPr>
            </w:pPr>
            <w:r w:rsidRPr="00AC3044">
              <w:rPr>
                <w:rFonts w:eastAsia="SimSun"/>
              </w:rPr>
              <w:t>В/в, в течение 2 ч</w:t>
            </w:r>
          </w:p>
        </w:tc>
      </w:tr>
      <w:tr w:rsidR="00124A26" w:rsidRPr="00AC3044" w14:paraId="3C6BEAC6" w14:textId="77777777" w:rsidTr="002D3EBF">
        <w:trPr>
          <w:cantSplit/>
          <w:trHeight w:val="410"/>
        </w:trPr>
        <w:tc>
          <w:tcPr>
            <w:tcW w:w="1242" w:type="dxa"/>
            <w:vMerge/>
            <w:textDirection w:val="btLr"/>
            <w:vAlign w:val="center"/>
          </w:tcPr>
          <w:p w14:paraId="43232486" w14:textId="77777777" w:rsidR="00124A26" w:rsidRPr="00AC3044" w:rsidRDefault="00124A26" w:rsidP="002D3EBF">
            <w:pPr>
              <w:ind w:firstLine="0"/>
              <w:rPr>
                <w:rFonts w:eastAsia="SimSun"/>
              </w:rPr>
            </w:pPr>
          </w:p>
        </w:tc>
        <w:tc>
          <w:tcPr>
            <w:tcW w:w="1735" w:type="dxa"/>
            <w:vAlign w:val="center"/>
          </w:tcPr>
          <w:p w14:paraId="363CF362" w14:textId="77777777" w:rsidR="00124A26" w:rsidRPr="00AC3044" w:rsidRDefault="00124A26" w:rsidP="002D3EBF">
            <w:pPr>
              <w:ind w:firstLine="0"/>
              <w:rPr>
                <w:rFonts w:eastAsia="SimSun"/>
              </w:rPr>
            </w:pPr>
            <w:r w:rsidRPr="00AC3044">
              <w:rPr>
                <w:rFonts w:eastAsia="SimSun"/>
              </w:rPr>
              <w:t>Микофенолата мофетил</w:t>
            </w:r>
          </w:p>
        </w:tc>
        <w:tc>
          <w:tcPr>
            <w:tcW w:w="1418" w:type="dxa"/>
            <w:vAlign w:val="center"/>
          </w:tcPr>
          <w:p w14:paraId="5B51D41C" w14:textId="77777777" w:rsidR="00124A26" w:rsidRPr="00AC3044" w:rsidRDefault="00124A26" w:rsidP="002D3EBF">
            <w:pPr>
              <w:ind w:firstLine="0"/>
              <w:rPr>
                <w:rFonts w:eastAsia="SimSun"/>
              </w:rPr>
            </w:pPr>
            <w:r w:rsidRPr="00AC3044">
              <w:rPr>
                <w:rFonts w:eastAsia="SimSun"/>
              </w:rPr>
              <w:t xml:space="preserve">30 мг/кг </w:t>
            </w:r>
          </w:p>
        </w:tc>
        <w:tc>
          <w:tcPr>
            <w:tcW w:w="1276" w:type="dxa"/>
            <w:vAlign w:val="center"/>
          </w:tcPr>
          <w:p w14:paraId="6D432A62"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44BDE73D" w14:textId="77777777" w:rsidR="00124A26" w:rsidRPr="00AC3044" w:rsidRDefault="00124A26" w:rsidP="002D3EBF">
            <w:pPr>
              <w:ind w:firstLine="0"/>
              <w:rPr>
                <w:rFonts w:eastAsia="SimSun"/>
              </w:rPr>
            </w:pPr>
            <w:r w:rsidRPr="00AC3044">
              <w:rPr>
                <w:rFonts w:eastAsia="SimSun"/>
              </w:rPr>
              <w:t xml:space="preserve">С +1 дня по +28 день </w:t>
            </w:r>
          </w:p>
        </w:tc>
        <w:tc>
          <w:tcPr>
            <w:tcW w:w="2268" w:type="dxa"/>
            <w:vAlign w:val="center"/>
          </w:tcPr>
          <w:p w14:paraId="445CEFE5"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124A26" w:rsidRPr="00AC3044" w14:paraId="16C03308" w14:textId="77777777" w:rsidTr="002D3EBF">
        <w:trPr>
          <w:cantSplit/>
          <w:trHeight w:val="815"/>
        </w:trPr>
        <w:tc>
          <w:tcPr>
            <w:tcW w:w="1242" w:type="dxa"/>
            <w:vMerge/>
            <w:textDirection w:val="btLr"/>
            <w:vAlign w:val="center"/>
          </w:tcPr>
          <w:p w14:paraId="131A8BD1" w14:textId="77777777" w:rsidR="00124A26" w:rsidRPr="00AC3044" w:rsidRDefault="00124A26" w:rsidP="002D3EBF">
            <w:pPr>
              <w:ind w:firstLine="0"/>
              <w:rPr>
                <w:rFonts w:eastAsia="SimSun"/>
              </w:rPr>
            </w:pPr>
          </w:p>
        </w:tc>
        <w:tc>
          <w:tcPr>
            <w:tcW w:w="1735" w:type="dxa"/>
            <w:vAlign w:val="center"/>
          </w:tcPr>
          <w:p w14:paraId="7C729B40" w14:textId="77777777" w:rsidR="00124A26" w:rsidRPr="00AC3044" w:rsidRDefault="00124A26" w:rsidP="002D3EBF">
            <w:pPr>
              <w:ind w:firstLine="0"/>
              <w:rPr>
                <w:rFonts w:eastAsia="SimSun"/>
              </w:rPr>
            </w:pPr>
            <w:r w:rsidRPr="00AC3044">
              <w:rPr>
                <w:rFonts w:eastAsia="SimSun"/>
              </w:rPr>
              <w:t>Циклоспорин А</w:t>
            </w:r>
          </w:p>
        </w:tc>
        <w:tc>
          <w:tcPr>
            <w:tcW w:w="1418" w:type="dxa"/>
            <w:vAlign w:val="center"/>
          </w:tcPr>
          <w:p w14:paraId="53BAEDA5" w14:textId="77777777" w:rsidR="00124A26" w:rsidRPr="00AC3044" w:rsidRDefault="00124A26" w:rsidP="002D3EBF">
            <w:pPr>
              <w:ind w:firstLine="0"/>
              <w:rPr>
                <w:rFonts w:eastAsia="SimSun"/>
              </w:rPr>
            </w:pPr>
            <w:r w:rsidRPr="00AC3044">
              <w:rPr>
                <w:rFonts w:eastAsia="SimSun"/>
              </w:rPr>
              <w:t>3  мг/кг</w:t>
            </w:r>
          </w:p>
        </w:tc>
        <w:tc>
          <w:tcPr>
            <w:tcW w:w="1276" w:type="dxa"/>
            <w:vAlign w:val="center"/>
          </w:tcPr>
          <w:p w14:paraId="453BB579"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1EADB754" w14:textId="77777777" w:rsidR="00124A26" w:rsidRPr="00AC3044" w:rsidRDefault="00124A26" w:rsidP="002D3EBF">
            <w:pPr>
              <w:ind w:firstLine="0"/>
              <w:rPr>
                <w:rFonts w:eastAsia="SimSun"/>
              </w:rPr>
            </w:pPr>
            <w:r w:rsidRPr="00AC3044">
              <w:rPr>
                <w:rFonts w:eastAsia="SimSun"/>
              </w:rPr>
              <w:t xml:space="preserve">С -1 дня по +100 день </w:t>
            </w:r>
          </w:p>
        </w:tc>
        <w:tc>
          <w:tcPr>
            <w:tcW w:w="2268" w:type="dxa"/>
            <w:vAlign w:val="center"/>
          </w:tcPr>
          <w:p w14:paraId="095ED93A" w14:textId="77777777" w:rsidR="00124A26" w:rsidRPr="00AC3044" w:rsidRDefault="00124A26"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bl>
    <w:p w14:paraId="66726CC8" w14:textId="77777777" w:rsidR="00124A26" w:rsidRPr="00C07B2E" w:rsidRDefault="00124A26" w:rsidP="00124A26">
      <w:pPr>
        <w:rPr>
          <w:rFonts w:eastAsia="SimSun"/>
        </w:rPr>
      </w:pPr>
    </w:p>
    <w:p w14:paraId="4EC41B4F" w14:textId="77777777" w:rsidR="00124A26" w:rsidRPr="00C07B2E" w:rsidRDefault="00124A26" w:rsidP="00124A26">
      <w:pPr>
        <w:rPr>
          <w:rFonts w:eastAsia="SimSun"/>
        </w:rPr>
      </w:pPr>
      <w:bookmarkStart w:id="237" w:name="_Toc44401196"/>
      <w:r w:rsidRPr="00042499">
        <w:rPr>
          <w:rFonts w:eastAsia="SimSun"/>
        </w:rPr>
        <w:t>Таблица</w:t>
      </w:r>
      <w:r w:rsidRPr="00C07B2E">
        <w:rPr>
          <w:rFonts w:eastAsia="SimSun"/>
        </w:rPr>
        <w:t xml:space="preserve"> </w:t>
      </w:r>
      <w:r>
        <w:rPr>
          <w:rFonts w:eastAsia="SimSun"/>
        </w:rPr>
        <w:t>5.</w:t>
      </w:r>
      <w:r w:rsidRPr="00C07B2E">
        <w:rPr>
          <w:rFonts w:eastAsia="SimSun"/>
        </w:rPr>
        <w:t>2.1.10  – Flu180+Bu14 / Tx+MMF30</w:t>
      </w:r>
      <w:bookmarkEnd w:id="237"/>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01"/>
        <w:gridCol w:w="1418"/>
        <w:gridCol w:w="1276"/>
        <w:gridCol w:w="1701"/>
        <w:gridCol w:w="2268"/>
      </w:tblGrid>
      <w:tr w:rsidR="00124A26" w:rsidRPr="00AC3044" w14:paraId="0A7710AE" w14:textId="77777777" w:rsidTr="002D3EBF">
        <w:trPr>
          <w:cantSplit/>
          <w:trHeight w:val="20"/>
          <w:tblHeader/>
        </w:trPr>
        <w:tc>
          <w:tcPr>
            <w:tcW w:w="1242" w:type="dxa"/>
            <w:vAlign w:val="center"/>
          </w:tcPr>
          <w:p w14:paraId="545879B1" w14:textId="77777777" w:rsidR="00124A26" w:rsidRPr="00AC3044" w:rsidRDefault="00124A26" w:rsidP="002D3EBF">
            <w:pPr>
              <w:ind w:firstLine="0"/>
              <w:rPr>
                <w:rFonts w:eastAsia="SimSun"/>
              </w:rPr>
            </w:pPr>
          </w:p>
        </w:tc>
        <w:tc>
          <w:tcPr>
            <w:tcW w:w="1701" w:type="dxa"/>
            <w:vAlign w:val="center"/>
          </w:tcPr>
          <w:p w14:paraId="61416CE4" w14:textId="77777777" w:rsidR="00124A26" w:rsidRPr="00AC3044" w:rsidRDefault="00124A26" w:rsidP="002D3EBF">
            <w:pPr>
              <w:ind w:firstLine="0"/>
              <w:rPr>
                <w:rFonts w:eastAsia="SimSun"/>
              </w:rPr>
            </w:pPr>
            <w:r w:rsidRPr="00AC3044">
              <w:rPr>
                <w:rFonts w:eastAsia="SimSun"/>
              </w:rPr>
              <w:t>Препарат</w:t>
            </w:r>
          </w:p>
        </w:tc>
        <w:tc>
          <w:tcPr>
            <w:tcW w:w="1418" w:type="dxa"/>
            <w:vAlign w:val="center"/>
          </w:tcPr>
          <w:p w14:paraId="25FB4EC1" w14:textId="77777777" w:rsidR="00124A26" w:rsidRPr="00AC3044" w:rsidRDefault="00124A26" w:rsidP="002D3EBF">
            <w:pPr>
              <w:ind w:firstLine="0"/>
              <w:rPr>
                <w:rFonts w:eastAsia="SimSun"/>
              </w:rPr>
            </w:pPr>
            <w:r w:rsidRPr="00AC3044">
              <w:rPr>
                <w:rFonts w:eastAsia="SimSun"/>
              </w:rPr>
              <w:t>Суточная доза</w:t>
            </w:r>
          </w:p>
        </w:tc>
        <w:tc>
          <w:tcPr>
            <w:tcW w:w="1276" w:type="dxa"/>
            <w:vAlign w:val="center"/>
          </w:tcPr>
          <w:p w14:paraId="3509197B" w14:textId="77777777" w:rsidR="00124A26" w:rsidRPr="00AC3044" w:rsidRDefault="00124A26" w:rsidP="002D3EBF">
            <w:pPr>
              <w:ind w:firstLine="0"/>
              <w:rPr>
                <w:rFonts w:eastAsia="SimSun"/>
              </w:rPr>
            </w:pPr>
            <w:r w:rsidRPr="00AC3044">
              <w:rPr>
                <w:rFonts w:eastAsia="SimSun"/>
              </w:rPr>
              <w:t>Курсовая доза</w:t>
            </w:r>
          </w:p>
        </w:tc>
        <w:tc>
          <w:tcPr>
            <w:tcW w:w="1701" w:type="dxa"/>
            <w:vAlign w:val="center"/>
          </w:tcPr>
          <w:p w14:paraId="39235595" w14:textId="77777777" w:rsidR="00124A26" w:rsidRPr="00AC3044" w:rsidRDefault="00124A26" w:rsidP="002D3EBF">
            <w:pPr>
              <w:ind w:firstLine="0"/>
              <w:rPr>
                <w:rFonts w:eastAsia="SimSun"/>
              </w:rPr>
            </w:pPr>
            <w:r w:rsidRPr="00AC3044">
              <w:rPr>
                <w:rFonts w:eastAsia="SimSun"/>
              </w:rPr>
              <w:t>Дни введения</w:t>
            </w:r>
          </w:p>
        </w:tc>
        <w:tc>
          <w:tcPr>
            <w:tcW w:w="2268" w:type="dxa"/>
            <w:vAlign w:val="center"/>
          </w:tcPr>
          <w:p w14:paraId="1B96FD10"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3A29E4B6" w14:textId="77777777" w:rsidTr="002D3EBF">
        <w:trPr>
          <w:cantSplit/>
          <w:trHeight w:val="20"/>
        </w:trPr>
        <w:tc>
          <w:tcPr>
            <w:tcW w:w="1242" w:type="dxa"/>
            <w:vMerge w:val="restart"/>
            <w:textDirection w:val="btLr"/>
            <w:vAlign w:val="center"/>
          </w:tcPr>
          <w:p w14:paraId="14C789BA" w14:textId="77777777" w:rsidR="00124A26" w:rsidRPr="00AC3044" w:rsidRDefault="00124A26" w:rsidP="002D3EBF">
            <w:pPr>
              <w:ind w:firstLine="0"/>
              <w:rPr>
                <w:rFonts w:eastAsia="SimSun"/>
              </w:rPr>
            </w:pPr>
            <w:r w:rsidRPr="00AC3044">
              <w:rPr>
                <w:rFonts w:eastAsia="SimSun"/>
              </w:rPr>
              <w:t>Кондиционирование</w:t>
            </w:r>
          </w:p>
        </w:tc>
        <w:tc>
          <w:tcPr>
            <w:tcW w:w="1701" w:type="dxa"/>
            <w:vAlign w:val="center"/>
          </w:tcPr>
          <w:p w14:paraId="45FB65FC" w14:textId="77777777" w:rsidR="00124A26" w:rsidRPr="00AC3044" w:rsidRDefault="00124A26" w:rsidP="002D3EBF">
            <w:pPr>
              <w:ind w:firstLine="0"/>
              <w:rPr>
                <w:rFonts w:eastAsia="SimSun"/>
              </w:rPr>
            </w:pPr>
            <w:r w:rsidRPr="00AC3044">
              <w:rPr>
                <w:rFonts w:eastAsia="SimSun"/>
              </w:rPr>
              <w:t xml:space="preserve">Флударабин </w:t>
            </w:r>
          </w:p>
        </w:tc>
        <w:tc>
          <w:tcPr>
            <w:tcW w:w="1418" w:type="dxa"/>
            <w:vAlign w:val="center"/>
          </w:tcPr>
          <w:p w14:paraId="58843DFA" w14:textId="77777777" w:rsidR="00124A26" w:rsidRPr="00AC3044" w:rsidRDefault="00124A26" w:rsidP="002D3EBF">
            <w:pPr>
              <w:ind w:firstLine="0"/>
              <w:rPr>
                <w:rFonts w:eastAsia="SimSun"/>
              </w:rPr>
            </w:pPr>
            <w:r w:rsidRPr="00AC3044">
              <w:rPr>
                <w:rFonts w:eastAsia="SimSun"/>
              </w:rPr>
              <w:t>30 мг/м</w:t>
            </w:r>
            <w:r w:rsidRPr="00DB259E">
              <w:rPr>
                <w:rFonts w:eastAsia="SimSun"/>
                <w:vertAlign w:val="superscript"/>
              </w:rPr>
              <w:t>2</w:t>
            </w:r>
          </w:p>
        </w:tc>
        <w:tc>
          <w:tcPr>
            <w:tcW w:w="1276" w:type="dxa"/>
            <w:vAlign w:val="center"/>
          </w:tcPr>
          <w:p w14:paraId="644A79F5" w14:textId="77777777" w:rsidR="00124A26" w:rsidRPr="00AC3044" w:rsidRDefault="00124A26" w:rsidP="002D3EBF">
            <w:pPr>
              <w:ind w:firstLine="0"/>
              <w:rPr>
                <w:rFonts w:eastAsia="SimSun"/>
              </w:rPr>
            </w:pPr>
            <w:r w:rsidRPr="00AC3044">
              <w:rPr>
                <w:rFonts w:eastAsia="SimSun"/>
              </w:rPr>
              <w:t>180 мг/м</w:t>
            </w:r>
            <w:r w:rsidRPr="00DB259E">
              <w:rPr>
                <w:rFonts w:eastAsia="SimSun"/>
                <w:vertAlign w:val="superscript"/>
              </w:rPr>
              <w:t>2</w:t>
            </w:r>
          </w:p>
        </w:tc>
        <w:tc>
          <w:tcPr>
            <w:tcW w:w="1701" w:type="dxa"/>
            <w:vAlign w:val="center"/>
          </w:tcPr>
          <w:p w14:paraId="1835998D" w14:textId="77777777" w:rsidR="00124A26" w:rsidRPr="00AC3044" w:rsidRDefault="00124A26" w:rsidP="002D3EBF">
            <w:pPr>
              <w:ind w:firstLine="0"/>
              <w:rPr>
                <w:rFonts w:eastAsia="SimSun"/>
              </w:rPr>
            </w:pPr>
            <w:r w:rsidRPr="00AC3044">
              <w:rPr>
                <w:rFonts w:eastAsia="SimSun"/>
              </w:rPr>
              <w:t>С -7 дня по -2 день</w:t>
            </w:r>
          </w:p>
        </w:tc>
        <w:tc>
          <w:tcPr>
            <w:tcW w:w="2268" w:type="dxa"/>
            <w:vAlign w:val="center"/>
          </w:tcPr>
          <w:p w14:paraId="5B507F20"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6611AEEA" w14:textId="77777777" w:rsidTr="002D3EBF">
        <w:trPr>
          <w:cantSplit/>
          <w:trHeight w:val="1207"/>
        </w:trPr>
        <w:tc>
          <w:tcPr>
            <w:tcW w:w="1242" w:type="dxa"/>
            <w:vMerge/>
            <w:vAlign w:val="center"/>
          </w:tcPr>
          <w:p w14:paraId="7437FE25" w14:textId="77777777" w:rsidR="00124A26" w:rsidRPr="00AC3044" w:rsidRDefault="00124A26" w:rsidP="002D3EBF">
            <w:pPr>
              <w:ind w:firstLine="0"/>
              <w:rPr>
                <w:rFonts w:eastAsia="SimSun"/>
              </w:rPr>
            </w:pPr>
          </w:p>
        </w:tc>
        <w:tc>
          <w:tcPr>
            <w:tcW w:w="1701" w:type="dxa"/>
            <w:vAlign w:val="center"/>
          </w:tcPr>
          <w:p w14:paraId="231DBE17" w14:textId="77777777" w:rsidR="00124A26" w:rsidRPr="00AC3044" w:rsidRDefault="00124A26" w:rsidP="002D3EBF">
            <w:pPr>
              <w:ind w:firstLine="0"/>
              <w:rPr>
                <w:rFonts w:eastAsia="SimSun"/>
              </w:rPr>
            </w:pPr>
            <w:r w:rsidRPr="00AC3044">
              <w:rPr>
                <w:rFonts w:eastAsia="SimSun"/>
              </w:rPr>
              <w:t>Бусульфан</w:t>
            </w:r>
          </w:p>
        </w:tc>
        <w:tc>
          <w:tcPr>
            <w:tcW w:w="1418" w:type="dxa"/>
            <w:vAlign w:val="center"/>
          </w:tcPr>
          <w:p w14:paraId="47123A84" w14:textId="77777777" w:rsidR="00124A26" w:rsidRPr="00AC3044" w:rsidRDefault="00124A26" w:rsidP="002D3EBF">
            <w:pPr>
              <w:ind w:firstLine="0"/>
              <w:rPr>
                <w:rFonts w:eastAsia="SimSun"/>
              </w:rPr>
            </w:pPr>
            <w:r w:rsidRPr="00AC3044">
              <w:rPr>
                <w:rFonts w:eastAsia="SimSun"/>
              </w:rPr>
              <w:t xml:space="preserve">4 мг/кг </w:t>
            </w:r>
          </w:p>
        </w:tc>
        <w:tc>
          <w:tcPr>
            <w:tcW w:w="1276" w:type="dxa"/>
            <w:vAlign w:val="center"/>
          </w:tcPr>
          <w:p w14:paraId="215BC2B4" w14:textId="77777777" w:rsidR="00124A26" w:rsidRPr="00AC3044" w:rsidRDefault="00124A26" w:rsidP="002D3EBF">
            <w:pPr>
              <w:ind w:firstLine="0"/>
              <w:rPr>
                <w:rFonts w:eastAsia="SimSun"/>
              </w:rPr>
            </w:pPr>
            <w:r w:rsidRPr="00AC3044">
              <w:rPr>
                <w:rFonts w:eastAsia="SimSun"/>
              </w:rPr>
              <w:t xml:space="preserve">14 мг/кг </w:t>
            </w:r>
          </w:p>
        </w:tc>
        <w:tc>
          <w:tcPr>
            <w:tcW w:w="1701" w:type="dxa"/>
            <w:vAlign w:val="center"/>
          </w:tcPr>
          <w:p w14:paraId="58494AAE" w14:textId="77777777" w:rsidR="00124A26" w:rsidRPr="00AC3044" w:rsidRDefault="00124A26" w:rsidP="002D3EBF">
            <w:pPr>
              <w:ind w:firstLine="0"/>
              <w:rPr>
                <w:rFonts w:eastAsia="SimSun"/>
              </w:rPr>
            </w:pPr>
            <w:r w:rsidRPr="00AC3044">
              <w:rPr>
                <w:rFonts w:eastAsia="SimSun"/>
              </w:rPr>
              <w:t>С -6 дня по -3 день</w:t>
            </w:r>
          </w:p>
        </w:tc>
        <w:tc>
          <w:tcPr>
            <w:tcW w:w="2268" w:type="dxa"/>
            <w:vAlign w:val="center"/>
          </w:tcPr>
          <w:p w14:paraId="0EC2E681"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124A26" w:rsidRPr="00AC3044" w14:paraId="6D5BEA51" w14:textId="77777777" w:rsidTr="002D3EBF">
        <w:trPr>
          <w:cantSplit/>
          <w:trHeight w:val="1498"/>
        </w:trPr>
        <w:tc>
          <w:tcPr>
            <w:tcW w:w="1242" w:type="dxa"/>
            <w:vMerge w:val="restart"/>
            <w:textDirection w:val="btLr"/>
            <w:vAlign w:val="center"/>
          </w:tcPr>
          <w:p w14:paraId="4F702EDC" w14:textId="77777777" w:rsidR="00124A26" w:rsidRPr="00AC3044" w:rsidRDefault="00124A26" w:rsidP="002D3EBF">
            <w:pPr>
              <w:ind w:firstLine="0"/>
              <w:rPr>
                <w:rFonts w:eastAsia="SimSun"/>
              </w:rPr>
            </w:pPr>
            <w:r w:rsidRPr="00AC3044">
              <w:rPr>
                <w:rFonts w:eastAsia="SimSun"/>
              </w:rPr>
              <w:t>Профилактика РТПХ</w:t>
            </w:r>
          </w:p>
        </w:tc>
        <w:tc>
          <w:tcPr>
            <w:tcW w:w="1701" w:type="dxa"/>
            <w:vAlign w:val="center"/>
          </w:tcPr>
          <w:p w14:paraId="1DC27E53" w14:textId="77777777" w:rsidR="00124A26" w:rsidRPr="00AC3044" w:rsidRDefault="00124A26" w:rsidP="002D3EBF">
            <w:pPr>
              <w:ind w:firstLine="0"/>
              <w:rPr>
                <w:rFonts w:eastAsia="SimSun"/>
              </w:rPr>
            </w:pPr>
            <w:r w:rsidRPr="00AC3044">
              <w:rPr>
                <w:rFonts w:eastAsia="SimSun"/>
              </w:rPr>
              <w:t xml:space="preserve">Такролимус </w:t>
            </w:r>
          </w:p>
        </w:tc>
        <w:tc>
          <w:tcPr>
            <w:tcW w:w="1418" w:type="dxa"/>
            <w:vAlign w:val="center"/>
          </w:tcPr>
          <w:p w14:paraId="4974E5CE" w14:textId="77777777" w:rsidR="00124A26" w:rsidRPr="00AC3044" w:rsidRDefault="00124A26" w:rsidP="002D3EBF">
            <w:pPr>
              <w:ind w:firstLine="0"/>
              <w:rPr>
                <w:rFonts w:eastAsia="SimSun"/>
              </w:rPr>
            </w:pPr>
            <w:r w:rsidRPr="00AC3044">
              <w:rPr>
                <w:rFonts w:eastAsia="SimSun"/>
              </w:rPr>
              <w:t>0,03 мг/кг</w:t>
            </w:r>
          </w:p>
        </w:tc>
        <w:tc>
          <w:tcPr>
            <w:tcW w:w="1276" w:type="dxa"/>
            <w:vAlign w:val="center"/>
          </w:tcPr>
          <w:p w14:paraId="24A0FDC2"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4F33C0DC" w14:textId="77777777" w:rsidR="00124A26" w:rsidRPr="00AC3044" w:rsidRDefault="00124A26" w:rsidP="002D3EBF">
            <w:pPr>
              <w:ind w:firstLine="0"/>
              <w:rPr>
                <w:rFonts w:eastAsia="SimSun"/>
              </w:rPr>
            </w:pPr>
            <w:r w:rsidRPr="00AC3044">
              <w:rPr>
                <w:rFonts w:eastAsia="SimSun"/>
              </w:rPr>
              <w:t xml:space="preserve">С +5 дня длительно </w:t>
            </w:r>
          </w:p>
        </w:tc>
        <w:tc>
          <w:tcPr>
            <w:tcW w:w="2268" w:type="dxa"/>
            <w:vAlign w:val="center"/>
          </w:tcPr>
          <w:p w14:paraId="0F7A9968" w14:textId="77777777" w:rsidR="00124A26" w:rsidRPr="00AC3044" w:rsidRDefault="00124A26"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DB259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124A26" w:rsidRPr="00AC3044" w14:paraId="663EF1EA" w14:textId="77777777" w:rsidTr="002D3EBF">
        <w:trPr>
          <w:cantSplit/>
          <w:trHeight w:val="604"/>
        </w:trPr>
        <w:tc>
          <w:tcPr>
            <w:tcW w:w="1242" w:type="dxa"/>
            <w:vMerge/>
            <w:textDirection w:val="btLr"/>
            <w:vAlign w:val="center"/>
          </w:tcPr>
          <w:p w14:paraId="7A3926D3" w14:textId="77777777" w:rsidR="00124A26" w:rsidRPr="00AC3044" w:rsidRDefault="00124A26" w:rsidP="002D3EBF">
            <w:pPr>
              <w:ind w:firstLine="0"/>
              <w:rPr>
                <w:rFonts w:eastAsia="SimSun"/>
              </w:rPr>
            </w:pPr>
          </w:p>
        </w:tc>
        <w:tc>
          <w:tcPr>
            <w:tcW w:w="1701" w:type="dxa"/>
            <w:vAlign w:val="center"/>
          </w:tcPr>
          <w:p w14:paraId="7D93612A" w14:textId="77777777" w:rsidR="00124A26" w:rsidRPr="00AC3044" w:rsidRDefault="00124A26" w:rsidP="002D3EBF">
            <w:pPr>
              <w:ind w:firstLine="0"/>
              <w:rPr>
                <w:rFonts w:eastAsia="SimSun"/>
              </w:rPr>
            </w:pPr>
            <w:r w:rsidRPr="00AC3044">
              <w:rPr>
                <w:rFonts w:eastAsia="SimSun"/>
              </w:rPr>
              <w:t>Микофенолата мофетил</w:t>
            </w:r>
          </w:p>
        </w:tc>
        <w:tc>
          <w:tcPr>
            <w:tcW w:w="1418" w:type="dxa"/>
            <w:vAlign w:val="center"/>
          </w:tcPr>
          <w:p w14:paraId="1A03737C" w14:textId="77777777" w:rsidR="00124A26" w:rsidRPr="00AC3044" w:rsidRDefault="00124A26" w:rsidP="002D3EBF">
            <w:pPr>
              <w:ind w:firstLine="0"/>
              <w:rPr>
                <w:rFonts w:eastAsia="SimSun"/>
              </w:rPr>
            </w:pPr>
            <w:r w:rsidRPr="00AC3044">
              <w:rPr>
                <w:rFonts w:eastAsia="SimSun"/>
              </w:rPr>
              <w:t xml:space="preserve">30 мг/кг </w:t>
            </w:r>
          </w:p>
        </w:tc>
        <w:tc>
          <w:tcPr>
            <w:tcW w:w="1276" w:type="dxa"/>
            <w:vAlign w:val="center"/>
          </w:tcPr>
          <w:p w14:paraId="11720CD4"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5F62DE01" w14:textId="77777777" w:rsidR="00124A26" w:rsidRPr="00AC3044" w:rsidRDefault="00124A26" w:rsidP="002D3EBF">
            <w:pPr>
              <w:ind w:firstLine="0"/>
              <w:rPr>
                <w:rFonts w:eastAsia="SimSun"/>
              </w:rPr>
            </w:pPr>
            <w:r w:rsidRPr="00AC3044">
              <w:rPr>
                <w:rFonts w:eastAsia="SimSun"/>
              </w:rPr>
              <w:t xml:space="preserve">С +5 дня по +35 день </w:t>
            </w:r>
          </w:p>
        </w:tc>
        <w:tc>
          <w:tcPr>
            <w:tcW w:w="2268" w:type="dxa"/>
            <w:vAlign w:val="center"/>
          </w:tcPr>
          <w:p w14:paraId="6EEBC705" w14:textId="77777777" w:rsidR="00124A26" w:rsidRPr="00AC3044" w:rsidRDefault="00124A26"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17D39BD1" w14:textId="77777777" w:rsidR="00124A26" w:rsidRDefault="00124A26" w:rsidP="00124A26">
      <w:pPr>
        <w:rPr>
          <w:rFonts w:eastAsia="SimSun"/>
        </w:rPr>
      </w:pPr>
      <w:bookmarkStart w:id="238" w:name="_Toc44401197"/>
    </w:p>
    <w:p w14:paraId="2C0D536E" w14:textId="77777777" w:rsidR="00124A26" w:rsidRPr="00C07B2E" w:rsidRDefault="00124A26" w:rsidP="00124A26">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2.1.11  – Flu180+Treo42 / PT-Cy+Tx+MMF30</w:t>
      </w:r>
      <w:bookmarkEnd w:id="238"/>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01"/>
        <w:gridCol w:w="1418"/>
        <w:gridCol w:w="1276"/>
        <w:gridCol w:w="1701"/>
        <w:gridCol w:w="2268"/>
      </w:tblGrid>
      <w:tr w:rsidR="00124A26" w:rsidRPr="00C07B2E" w14:paraId="76C81ADA" w14:textId="77777777" w:rsidTr="002D3EBF">
        <w:trPr>
          <w:cantSplit/>
          <w:trHeight w:val="20"/>
          <w:tblHeader/>
        </w:trPr>
        <w:tc>
          <w:tcPr>
            <w:tcW w:w="1242" w:type="dxa"/>
            <w:vAlign w:val="center"/>
          </w:tcPr>
          <w:p w14:paraId="164666C6" w14:textId="77777777" w:rsidR="00124A26" w:rsidRPr="00470D3D" w:rsidRDefault="00124A26" w:rsidP="002D3EBF">
            <w:pPr>
              <w:ind w:firstLine="0"/>
              <w:rPr>
                <w:rFonts w:eastAsia="SimSun"/>
              </w:rPr>
            </w:pPr>
          </w:p>
        </w:tc>
        <w:tc>
          <w:tcPr>
            <w:tcW w:w="1701" w:type="dxa"/>
            <w:vAlign w:val="center"/>
          </w:tcPr>
          <w:p w14:paraId="25E17C2B" w14:textId="77777777" w:rsidR="00124A26" w:rsidRPr="00C07B2E" w:rsidRDefault="00124A26" w:rsidP="002D3EBF">
            <w:pPr>
              <w:ind w:firstLine="0"/>
              <w:rPr>
                <w:rFonts w:eastAsia="SimSun"/>
              </w:rPr>
            </w:pPr>
            <w:r w:rsidRPr="00C07B2E">
              <w:rPr>
                <w:rFonts w:eastAsia="SimSun"/>
              </w:rPr>
              <w:t>Препарат</w:t>
            </w:r>
          </w:p>
        </w:tc>
        <w:tc>
          <w:tcPr>
            <w:tcW w:w="1418" w:type="dxa"/>
            <w:vAlign w:val="center"/>
          </w:tcPr>
          <w:p w14:paraId="566546FA" w14:textId="77777777" w:rsidR="00124A26" w:rsidRPr="00C07B2E" w:rsidRDefault="00124A26" w:rsidP="002D3EBF">
            <w:pPr>
              <w:ind w:firstLine="0"/>
              <w:rPr>
                <w:rFonts w:eastAsia="SimSun"/>
              </w:rPr>
            </w:pPr>
            <w:r w:rsidRPr="00C07B2E">
              <w:rPr>
                <w:rFonts w:eastAsia="SimSun"/>
              </w:rPr>
              <w:t>Суточная доза</w:t>
            </w:r>
          </w:p>
        </w:tc>
        <w:tc>
          <w:tcPr>
            <w:tcW w:w="1276" w:type="dxa"/>
            <w:vAlign w:val="center"/>
          </w:tcPr>
          <w:p w14:paraId="0660B7FF" w14:textId="77777777" w:rsidR="00124A26" w:rsidRPr="00C07B2E" w:rsidRDefault="00124A26" w:rsidP="002D3EBF">
            <w:pPr>
              <w:ind w:firstLine="0"/>
              <w:rPr>
                <w:rFonts w:eastAsia="SimSun"/>
              </w:rPr>
            </w:pPr>
            <w:r w:rsidRPr="00C07B2E">
              <w:rPr>
                <w:rFonts w:eastAsia="SimSun"/>
              </w:rPr>
              <w:t>Курсовая доза</w:t>
            </w:r>
          </w:p>
        </w:tc>
        <w:tc>
          <w:tcPr>
            <w:tcW w:w="1701" w:type="dxa"/>
            <w:vAlign w:val="center"/>
          </w:tcPr>
          <w:p w14:paraId="477F5694" w14:textId="77777777" w:rsidR="00124A26" w:rsidRPr="00C07B2E" w:rsidRDefault="00124A26" w:rsidP="002D3EBF">
            <w:pPr>
              <w:ind w:firstLine="0"/>
              <w:rPr>
                <w:rFonts w:eastAsia="SimSun"/>
              </w:rPr>
            </w:pPr>
            <w:r w:rsidRPr="00C07B2E">
              <w:rPr>
                <w:rFonts w:eastAsia="SimSun"/>
              </w:rPr>
              <w:t>Дни введения</w:t>
            </w:r>
          </w:p>
        </w:tc>
        <w:tc>
          <w:tcPr>
            <w:tcW w:w="2268" w:type="dxa"/>
            <w:vAlign w:val="center"/>
          </w:tcPr>
          <w:p w14:paraId="7B29344B" w14:textId="77777777" w:rsidR="00124A26" w:rsidRPr="00C07B2E" w:rsidRDefault="00124A26" w:rsidP="002D3EBF">
            <w:pPr>
              <w:ind w:firstLine="0"/>
              <w:rPr>
                <w:rFonts w:eastAsia="SimSun"/>
              </w:rPr>
            </w:pPr>
            <w:r w:rsidRPr="00C07B2E">
              <w:rPr>
                <w:rFonts w:eastAsia="SimSun"/>
              </w:rPr>
              <w:t>Порядок введения</w:t>
            </w:r>
          </w:p>
        </w:tc>
      </w:tr>
      <w:tr w:rsidR="00124A26" w:rsidRPr="00C07B2E" w14:paraId="7BE8B1E7" w14:textId="77777777" w:rsidTr="002D3EBF">
        <w:trPr>
          <w:cantSplit/>
          <w:trHeight w:val="20"/>
        </w:trPr>
        <w:tc>
          <w:tcPr>
            <w:tcW w:w="1242" w:type="dxa"/>
            <w:vMerge w:val="restart"/>
            <w:textDirection w:val="btLr"/>
            <w:vAlign w:val="center"/>
          </w:tcPr>
          <w:p w14:paraId="75BB15E7" w14:textId="77777777" w:rsidR="00124A26" w:rsidRPr="00C07B2E" w:rsidRDefault="00124A26" w:rsidP="002D3EBF">
            <w:pPr>
              <w:ind w:firstLine="0"/>
              <w:rPr>
                <w:rFonts w:eastAsia="SimSun"/>
              </w:rPr>
            </w:pPr>
            <w:r w:rsidRPr="00C07B2E">
              <w:rPr>
                <w:rFonts w:eastAsia="SimSun"/>
              </w:rPr>
              <w:t>Кондиционирование</w:t>
            </w:r>
          </w:p>
        </w:tc>
        <w:tc>
          <w:tcPr>
            <w:tcW w:w="1701" w:type="dxa"/>
            <w:vAlign w:val="center"/>
          </w:tcPr>
          <w:p w14:paraId="254430BC" w14:textId="77777777" w:rsidR="00124A26" w:rsidRPr="00C07B2E" w:rsidRDefault="00124A26" w:rsidP="002D3EBF">
            <w:pPr>
              <w:ind w:firstLine="0"/>
              <w:rPr>
                <w:rFonts w:eastAsia="SimSun"/>
              </w:rPr>
            </w:pPr>
            <w:r w:rsidRPr="00C07B2E">
              <w:rPr>
                <w:rFonts w:eastAsia="SimSun"/>
              </w:rPr>
              <w:t xml:space="preserve">Флударабин </w:t>
            </w:r>
          </w:p>
        </w:tc>
        <w:tc>
          <w:tcPr>
            <w:tcW w:w="1418" w:type="dxa"/>
            <w:vAlign w:val="center"/>
          </w:tcPr>
          <w:p w14:paraId="440E72D7" w14:textId="77777777" w:rsidR="00124A26" w:rsidRPr="00C07B2E" w:rsidRDefault="00124A26" w:rsidP="002D3EBF">
            <w:pPr>
              <w:ind w:firstLine="0"/>
              <w:rPr>
                <w:rFonts w:eastAsia="SimSun"/>
              </w:rPr>
            </w:pPr>
            <w:r w:rsidRPr="00C07B2E">
              <w:rPr>
                <w:rFonts w:eastAsia="SimSun"/>
              </w:rPr>
              <w:t>30 мг/м</w:t>
            </w:r>
            <w:r w:rsidRPr="00DB259E">
              <w:rPr>
                <w:rFonts w:eastAsia="SimSun"/>
                <w:vertAlign w:val="superscript"/>
              </w:rPr>
              <w:t>2</w:t>
            </w:r>
          </w:p>
        </w:tc>
        <w:tc>
          <w:tcPr>
            <w:tcW w:w="1276" w:type="dxa"/>
            <w:vAlign w:val="center"/>
          </w:tcPr>
          <w:p w14:paraId="79587413" w14:textId="77777777" w:rsidR="00124A26" w:rsidRPr="00C07B2E" w:rsidRDefault="00124A26" w:rsidP="002D3EBF">
            <w:pPr>
              <w:ind w:firstLine="0"/>
              <w:rPr>
                <w:rFonts w:eastAsia="SimSun"/>
              </w:rPr>
            </w:pPr>
            <w:r w:rsidRPr="00C07B2E">
              <w:rPr>
                <w:rFonts w:eastAsia="SimSun"/>
              </w:rPr>
              <w:t>180 мг/м</w:t>
            </w:r>
            <w:r w:rsidRPr="00DB259E">
              <w:rPr>
                <w:rFonts w:eastAsia="SimSun"/>
                <w:vertAlign w:val="superscript"/>
              </w:rPr>
              <w:t>2</w:t>
            </w:r>
          </w:p>
        </w:tc>
        <w:tc>
          <w:tcPr>
            <w:tcW w:w="1701" w:type="dxa"/>
            <w:vAlign w:val="center"/>
          </w:tcPr>
          <w:p w14:paraId="5169F22A" w14:textId="77777777" w:rsidR="00124A26" w:rsidRPr="00C07B2E" w:rsidRDefault="00124A26" w:rsidP="002D3EBF">
            <w:pPr>
              <w:ind w:firstLine="0"/>
              <w:rPr>
                <w:rFonts w:eastAsia="SimSun"/>
              </w:rPr>
            </w:pPr>
            <w:r w:rsidRPr="00C07B2E">
              <w:rPr>
                <w:rFonts w:eastAsia="SimSun"/>
              </w:rPr>
              <w:t>С -7 дня по -2 день</w:t>
            </w:r>
          </w:p>
        </w:tc>
        <w:tc>
          <w:tcPr>
            <w:tcW w:w="2268" w:type="dxa"/>
            <w:vAlign w:val="center"/>
          </w:tcPr>
          <w:p w14:paraId="687C196F" w14:textId="77777777" w:rsidR="00124A26" w:rsidRPr="00C07B2E" w:rsidRDefault="00124A26" w:rsidP="002D3EBF">
            <w:pPr>
              <w:ind w:firstLine="0"/>
              <w:rPr>
                <w:rFonts w:eastAsia="SimSun"/>
              </w:rPr>
            </w:pPr>
            <w:r w:rsidRPr="00C07B2E">
              <w:rPr>
                <w:rFonts w:eastAsia="SimSun"/>
              </w:rPr>
              <w:t>В/в, в течение 30 -60 мин</w:t>
            </w:r>
          </w:p>
        </w:tc>
      </w:tr>
      <w:tr w:rsidR="00124A26" w:rsidRPr="00C07B2E" w14:paraId="01F87E28" w14:textId="77777777" w:rsidTr="002D3EBF">
        <w:trPr>
          <w:cantSplit/>
          <w:trHeight w:val="872"/>
        </w:trPr>
        <w:tc>
          <w:tcPr>
            <w:tcW w:w="1242" w:type="dxa"/>
            <w:vMerge/>
            <w:vAlign w:val="center"/>
          </w:tcPr>
          <w:p w14:paraId="28FDF16A" w14:textId="77777777" w:rsidR="00124A26" w:rsidRPr="00C07B2E" w:rsidRDefault="00124A26" w:rsidP="002D3EBF">
            <w:pPr>
              <w:ind w:firstLine="0"/>
              <w:rPr>
                <w:rFonts w:eastAsia="SimSun"/>
              </w:rPr>
            </w:pPr>
          </w:p>
        </w:tc>
        <w:tc>
          <w:tcPr>
            <w:tcW w:w="1701" w:type="dxa"/>
            <w:vAlign w:val="center"/>
          </w:tcPr>
          <w:p w14:paraId="31234B25" w14:textId="77777777" w:rsidR="00124A26" w:rsidRPr="00C07B2E" w:rsidRDefault="00124A26" w:rsidP="002D3EBF">
            <w:pPr>
              <w:ind w:firstLine="0"/>
              <w:rPr>
                <w:rFonts w:eastAsia="SimSun"/>
              </w:rPr>
            </w:pPr>
            <w:r w:rsidRPr="00C07B2E">
              <w:rPr>
                <w:rFonts w:eastAsia="SimSun"/>
              </w:rPr>
              <w:t xml:space="preserve">Треосульфан </w:t>
            </w:r>
          </w:p>
        </w:tc>
        <w:tc>
          <w:tcPr>
            <w:tcW w:w="1418" w:type="dxa"/>
            <w:vAlign w:val="center"/>
          </w:tcPr>
          <w:p w14:paraId="3206A9E7" w14:textId="77777777" w:rsidR="00124A26" w:rsidRPr="00C07B2E" w:rsidRDefault="00124A26" w:rsidP="002D3EBF">
            <w:pPr>
              <w:ind w:firstLine="0"/>
              <w:rPr>
                <w:rFonts w:eastAsia="SimSun"/>
              </w:rPr>
            </w:pPr>
            <w:r w:rsidRPr="00C07B2E">
              <w:rPr>
                <w:rFonts w:eastAsia="SimSun"/>
              </w:rPr>
              <w:t>14 г/кг</w:t>
            </w:r>
          </w:p>
        </w:tc>
        <w:tc>
          <w:tcPr>
            <w:tcW w:w="1276" w:type="dxa"/>
            <w:vAlign w:val="center"/>
          </w:tcPr>
          <w:p w14:paraId="44B0C621" w14:textId="77777777" w:rsidR="00124A26" w:rsidRPr="00C07B2E" w:rsidRDefault="00124A26" w:rsidP="002D3EBF">
            <w:pPr>
              <w:ind w:firstLine="0"/>
              <w:rPr>
                <w:rFonts w:eastAsia="SimSun"/>
              </w:rPr>
            </w:pPr>
            <w:r w:rsidRPr="00C07B2E">
              <w:rPr>
                <w:rFonts w:eastAsia="SimSun"/>
                <w:lang w:val="en-US"/>
              </w:rPr>
              <w:t>4</w:t>
            </w:r>
            <w:r w:rsidRPr="00C07B2E">
              <w:rPr>
                <w:rFonts w:eastAsia="SimSun"/>
              </w:rPr>
              <w:t>2 г/кг</w:t>
            </w:r>
          </w:p>
        </w:tc>
        <w:tc>
          <w:tcPr>
            <w:tcW w:w="1701" w:type="dxa"/>
            <w:vAlign w:val="center"/>
          </w:tcPr>
          <w:p w14:paraId="4CADB734" w14:textId="77777777" w:rsidR="00124A26" w:rsidRPr="00C07B2E" w:rsidRDefault="00124A26" w:rsidP="002D3EBF">
            <w:pPr>
              <w:ind w:firstLine="0"/>
              <w:rPr>
                <w:rFonts w:eastAsia="SimSun"/>
              </w:rPr>
            </w:pPr>
            <w:r w:rsidRPr="00C07B2E">
              <w:rPr>
                <w:rFonts w:eastAsia="SimSun"/>
              </w:rPr>
              <w:t xml:space="preserve">С -5 дня по -3 день </w:t>
            </w:r>
          </w:p>
        </w:tc>
        <w:tc>
          <w:tcPr>
            <w:tcW w:w="2268" w:type="dxa"/>
            <w:vAlign w:val="center"/>
          </w:tcPr>
          <w:p w14:paraId="3F5A3037" w14:textId="77777777" w:rsidR="00124A26" w:rsidRPr="00C07B2E" w:rsidRDefault="00124A26" w:rsidP="002D3EBF">
            <w:pPr>
              <w:ind w:firstLine="0"/>
              <w:rPr>
                <w:rFonts w:eastAsia="SimSun"/>
              </w:rPr>
            </w:pPr>
            <w:r w:rsidRPr="00C07B2E">
              <w:rPr>
                <w:rFonts w:eastAsia="SimSun"/>
              </w:rPr>
              <w:t>В/в, в течение 2 часов</w:t>
            </w:r>
          </w:p>
        </w:tc>
      </w:tr>
      <w:tr w:rsidR="00124A26" w:rsidRPr="00C07B2E" w14:paraId="603942D5" w14:textId="77777777" w:rsidTr="002D3EBF">
        <w:trPr>
          <w:cantSplit/>
          <w:trHeight w:val="1498"/>
        </w:trPr>
        <w:tc>
          <w:tcPr>
            <w:tcW w:w="1242" w:type="dxa"/>
            <w:vMerge w:val="restart"/>
            <w:textDirection w:val="btLr"/>
            <w:vAlign w:val="center"/>
          </w:tcPr>
          <w:p w14:paraId="350C85A5" w14:textId="77777777" w:rsidR="00124A26" w:rsidRPr="00C07B2E" w:rsidRDefault="00124A26" w:rsidP="002D3EBF">
            <w:pPr>
              <w:ind w:firstLine="0"/>
              <w:rPr>
                <w:rFonts w:eastAsia="SimSun"/>
              </w:rPr>
            </w:pPr>
            <w:r w:rsidRPr="00C07B2E">
              <w:rPr>
                <w:rFonts w:eastAsia="SimSun"/>
              </w:rPr>
              <w:t>Профилактика РТПХ</w:t>
            </w:r>
          </w:p>
        </w:tc>
        <w:tc>
          <w:tcPr>
            <w:tcW w:w="1701" w:type="dxa"/>
            <w:vAlign w:val="center"/>
          </w:tcPr>
          <w:p w14:paraId="3C6FDEDD" w14:textId="77777777" w:rsidR="00124A26" w:rsidRPr="00C07B2E" w:rsidRDefault="00124A26" w:rsidP="002D3EBF">
            <w:pPr>
              <w:ind w:firstLine="0"/>
              <w:rPr>
                <w:rFonts w:eastAsia="SimSun"/>
              </w:rPr>
            </w:pPr>
            <w:r w:rsidRPr="00C07B2E">
              <w:rPr>
                <w:rFonts w:eastAsia="SimSun"/>
              </w:rPr>
              <w:t xml:space="preserve">Такролимус </w:t>
            </w:r>
          </w:p>
        </w:tc>
        <w:tc>
          <w:tcPr>
            <w:tcW w:w="1418" w:type="dxa"/>
            <w:vAlign w:val="center"/>
          </w:tcPr>
          <w:p w14:paraId="2AC59F8D" w14:textId="77777777" w:rsidR="00124A26" w:rsidRPr="00C07B2E" w:rsidRDefault="00124A26" w:rsidP="002D3EBF">
            <w:pPr>
              <w:ind w:firstLine="0"/>
              <w:rPr>
                <w:rFonts w:eastAsia="SimSun"/>
              </w:rPr>
            </w:pPr>
            <w:r w:rsidRPr="00C07B2E">
              <w:rPr>
                <w:rFonts w:eastAsia="SimSun"/>
              </w:rPr>
              <w:t>0,03 мг/кг</w:t>
            </w:r>
          </w:p>
        </w:tc>
        <w:tc>
          <w:tcPr>
            <w:tcW w:w="1276" w:type="dxa"/>
            <w:vAlign w:val="center"/>
          </w:tcPr>
          <w:p w14:paraId="7A86A0D6" w14:textId="77777777" w:rsidR="00124A26" w:rsidRPr="00C07B2E" w:rsidRDefault="00124A26" w:rsidP="002D3EBF">
            <w:pPr>
              <w:ind w:firstLine="0"/>
              <w:rPr>
                <w:rFonts w:eastAsia="SimSun"/>
              </w:rPr>
            </w:pPr>
            <w:r w:rsidRPr="00C07B2E">
              <w:rPr>
                <w:rFonts w:eastAsia="SimSun"/>
                <w:lang w:val="en-US"/>
              </w:rPr>
              <w:t>–</w:t>
            </w:r>
          </w:p>
        </w:tc>
        <w:tc>
          <w:tcPr>
            <w:tcW w:w="1701" w:type="dxa"/>
            <w:vAlign w:val="center"/>
          </w:tcPr>
          <w:p w14:paraId="19D52FED" w14:textId="77777777" w:rsidR="00124A26" w:rsidRPr="00C07B2E" w:rsidRDefault="00124A26" w:rsidP="002D3EBF">
            <w:pPr>
              <w:ind w:firstLine="0"/>
              <w:rPr>
                <w:rFonts w:eastAsia="SimSun"/>
              </w:rPr>
            </w:pPr>
            <w:r w:rsidRPr="00C07B2E">
              <w:rPr>
                <w:rFonts w:eastAsia="SimSun"/>
              </w:rPr>
              <w:t xml:space="preserve">С +5 дня длительно </w:t>
            </w:r>
          </w:p>
        </w:tc>
        <w:tc>
          <w:tcPr>
            <w:tcW w:w="2268" w:type="dxa"/>
            <w:vAlign w:val="center"/>
          </w:tcPr>
          <w:p w14:paraId="229C4614" w14:textId="77777777" w:rsidR="00124A26" w:rsidRPr="00DB259E" w:rsidRDefault="00124A26" w:rsidP="002D3EBF">
            <w:pPr>
              <w:ind w:firstLine="0"/>
              <w:rPr>
                <w:rFonts w:eastAsia="SimSun"/>
              </w:rPr>
            </w:pPr>
            <w:r w:rsidRPr="00C07B2E">
              <w:rPr>
                <w:rFonts w:eastAsia="SimSun"/>
              </w:rPr>
              <w:t xml:space="preserve">В/в инфузия в течение 24 ч с последующей коррекцией суточной дозы по концентрации. </w:t>
            </w:r>
            <w:r w:rsidRPr="00DB259E">
              <w:rPr>
                <w:rFonts w:eastAsia="SimSun"/>
              </w:rPr>
              <w:t>Перевод на прием внутрь при условии восстановления лейкоцитов &gt; 1</w:t>
            </w:r>
            <w:r>
              <w:rPr>
                <w:rFonts w:eastAsia="SimSun"/>
              </w:rPr>
              <w:t xml:space="preserve"> х</w:t>
            </w:r>
            <w:r w:rsidRPr="00DB259E">
              <w:rPr>
                <w:rFonts w:eastAsia="SimSun"/>
              </w:rPr>
              <w:t xml:space="preserve"> 10</w:t>
            </w:r>
            <w:r w:rsidRPr="00DB259E">
              <w:rPr>
                <w:rFonts w:eastAsia="SimSun"/>
                <w:vertAlign w:val="superscript"/>
              </w:rPr>
              <w:t>9</w:t>
            </w:r>
            <w:r w:rsidRPr="00DB259E">
              <w:rPr>
                <w:rFonts w:eastAsia="SimSun"/>
              </w:rPr>
              <w:t xml:space="preserve">/л, при отсутствии тошноты, рвоты, диареи и возможности приема внутрь. Концентрация </w:t>
            </w:r>
            <w:r w:rsidRPr="00C07B2E">
              <w:rPr>
                <w:rFonts w:eastAsia="SimSun"/>
              </w:rPr>
              <w:t>Tx</w:t>
            </w:r>
            <w:r w:rsidRPr="00DB259E">
              <w:rPr>
                <w:rFonts w:eastAsia="SimSun"/>
              </w:rPr>
              <w:t xml:space="preserve"> 5-15 нг/мл.    </w:t>
            </w:r>
          </w:p>
        </w:tc>
      </w:tr>
      <w:tr w:rsidR="00124A26" w:rsidRPr="00C07B2E" w14:paraId="1596D702" w14:textId="77777777" w:rsidTr="002D3EBF">
        <w:trPr>
          <w:cantSplit/>
          <w:trHeight w:val="542"/>
        </w:trPr>
        <w:tc>
          <w:tcPr>
            <w:tcW w:w="1242" w:type="dxa"/>
            <w:vMerge/>
            <w:textDirection w:val="btLr"/>
            <w:vAlign w:val="center"/>
          </w:tcPr>
          <w:p w14:paraId="0FC5CFDB" w14:textId="77777777" w:rsidR="00124A26" w:rsidRPr="00DB259E" w:rsidRDefault="00124A26" w:rsidP="002D3EBF">
            <w:pPr>
              <w:ind w:firstLine="0"/>
              <w:rPr>
                <w:rFonts w:eastAsia="SimSun"/>
              </w:rPr>
            </w:pPr>
          </w:p>
        </w:tc>
        <w:tc>
          <w:tcPr>
            <w:tcW w:w="1701" w:type="dxa"/>
            <w:vAlign w:val="center"/>
          </w:tcPr>
          <w:p w14:paraId="32C3BC4E" w14:textId="77777777" w:rsidR="00124A26" w:rsidRPr="00C07B2E" w:rsidRDefault="00124A26" w:rsidP="002D3EBF">
            <w:pPr>
              <w:ind w:firstLine="0"/>
              <w:rPr>
                <w:rFonts w:eastAsia="SimSun"/>
              </w:rPr>
            </w:pPr>
            <w:r w:rsidRPr="00C07B2E">
              <w:rPr>
                <w:rFonts w:eastAsia="SimSun"/>
              </w:rPr>
              <w:t>Микофенолата мофетил</w:t>
            </w:r>
          </w:p>
        </w:tc>
        <w:tc>
          <w:tcPr>
            <w:tcW w:w="1418" w:type="dxa"/>
            <w:vAlign w:val="center"/>
          </w:tcPr>
          <w:p w14:paraId="1A1BDB93" w14:textId="77777777" w:rsidR="00124A26" w:rsidRPr="00C07B2E" w:rsidRDefault="00124A26" w:rsidP="002D3EBF">
            <w:pPr>
              <w:ind w:firstLine="0"/>
              <w:rPr>
                <w:rFonts w:eastAsia="SimSun"/>
              </w:rPr>
            </w:pPr>
            <w:r w:rsidRPr="00C07B2E">
              <w:rPr>
                <w:rFonts w:eastAsia="SimSun"/>
                <w:lang w:val="en-US"/>
              </w:rPr>
              <w:t>30</w:t>
            </w:r>
            <w:r w:rsidRPr="00C07B2E">
              <w:rPr>
                <w:rFonts w:eastAsia="SimSun"/>
              </w:rPr>
              <w:t xml:space="preserve"> мг/кг </w:t>
            </w:r>
          </w:p>
        </w:tc>
        <w:tc>
          <w:tcPr>
            <w:tcW w:w="1276" w:type="dxa"/>
            <w:vAlign w:val="center"/>
          </w:tcPr>
          <w:p w14:paraId="39C344B5" w14:textId="77777777" w:rsidR="00124A26" w:rsidRPr="00C07B2E" w:rsidRDefault="00124A26" w:rsidP="002D3EBF">
            <w:pPr>
              <w:ind w:firstLine="0"/>
              <w:rPr>
                <w:rFonts w:eastAsia="SimSun"/>
              </w:rPr>
            </w:pPr>
            <w:r w:rsidRPr="00C07B2E">
              <w:rPr>
                <w:rFonts w:eastAsia="SimSun"/>
              </w:rPr>
              <w:t>–</w:t>
            </w:r>
          </w:p>
        </w:tc>
        <w:tc>
          <w:tcPr>
            <w:tcW w:w="1701" w:type="dxa"/>
            <w:vAlign w:val="center"/>
          </w:tcPr>
          <w:p w14:paraId="132FB756" w14:textId="77777777" w:rsidR="00124A26" w:rsidRPr="00C07B2E" w:rsidRDefault="00124A26" w:rsidP="002D3EBF">
            <w:pPr>
              <w:ind w:firstLine="0"/>
              <w:rPr>
                <w:rFonts w:eastAsia="SimSun"/>
              </w:rPr>
            </w:pPr>
            <w:r w:rsidRPr="00C07B2E">
              <w:rPr>
                <w:rFonts w:eastAsia="SimSun"/>
              </w:rPr>
              <w:t xml:space="preserve">С +5 дня по +35 день </w:t>
            </w:r>
          </w:p>
        </w:tc>
        <w:tc>
          <w:tcPr>
            <w:tcW w:w="2268" w:type="dxa"/>
            <w:vAlign w:val="center"/>
          </w:tcPr>
          <w:p w14:paraId="28992114" w14:textId="77777777" w:rsidR="00124A26" w:rsidRPr="00C07B2E" w:rsidRDefault="00124A26" w:rsidP="002D3EBF">
            <w:pPr>
              <w:ind w:firstLine="0"/>
              <w:rPr>
                <w:rFonts w:eastAsia="SimSun"/>
              </w:rPr>
            </w:pPr>
            <w:r w:rsidRPr="00C07B2E">
              <w:rPr>
                <w:rFonts w:eastAsia="SimSun"/>
              </w:rPr>
              <w:t xml:space="preserve">Внутрь, суммарная суточная доза разделяется на 2- 4 приема (не более 3г/сут).  </w:t>
            </w:r>
          </w:p>
        </w:tc>
      </w:tr>
      <w:tr w:rsidR="00124A26" w:rsidRPr="00C07B2E" w14:paraId="7EE49796" w14:textId="77777777" w:rsidTr="002D3EBF">
        <w:trPr>
          <w:cantSplit/>
          <w:trHeight w:val="508"/>
        </w:trPr>
        <w:tc>
          <w:tcPr>
            <w:tcW w:w="1242" w:type="dxa"/>
            <w:vMerge/>
            <w:textDirection w:val="btLr"/>
            <w:vAlign w:val="center"/>
          </w:tcPr>
          <w:p w14:paraId="56C319ED" w14:textId="77777777" w:rsidR="00124A26" w:rsidRPr="00C07B2E" w:rsidRDefault="00124A26" w:rsidP="002D3EBF">
            <w:pPr>
              <w:ind w:firstLine="0"/>
              <w:rPr>
                <w:rFonts w:eastAsia="SimSun"/>
              </w:rPr>
            </w:pPr>
          </w:p>
        </w:tc>
        <w:tc>
          <w:tcPr>
            <w:tcW w:w="1701" w:type="dxa"/>
            <w:vAlign w:val="center"/>
          </w:tcPr>
          <w:p w14:paraId="15C68DC4" w14:textId="77777777" w:rsidR="00124A26" w:rsidRPr="00C07B2E" w:rsidRDefault="00124A26" w:rsidP="002D3EBF">
            <w:pPr>
              <w:ind w:firstLine="0"/>
              <w:rPr>
                <w:rFonts w:eastAsia="SimSun"/>
              </w:rPr>
            </w:pPr>
            <w:r w:rsidRPr="00C07B2E">
              <w:rPr>
                <w:rFonts w:eastAsia="SimSun"/>
              </w:rPr>
              <w:t xml:space="preserve">Циклофосфамид </w:t>
            </w:r>
          </w:p>
        </w:tc>
        <w:tc>
          <w:tcPr>
            <w:tcW w:w="1418" w:type="dxa"/>
            <w:vAlign w:val="center"/>
          </w:tcPr>
          <w:p w14:paraId="7D39448F" w14:textId="77777777" w:rsidR="00124A26" w:rsidRPr="00C07B2E" w:rsidRDefault="00124A26" w:rsidP="002D3EBF">
            <w:pPr>
              <w:ind w:firstLine="0"/>
              <w:rPr>
                <w:rFonts w:eastAsia="SimSun"/>
              </w:rPr>
            </w:pPr>
            <w:r w:rsidRPr="00C07B2E">
              <w:rPr>
                <w:rFonts w:eastAsia="SimSun"/>
              </w:rPr>
              <w:t xml:space="preserve">50 мг/кг </w:t>
            </w:r>
          </w:p>
        </w:tc>
        <w:tc>
          <w:tcPr>
            <w:tcW w:w="1276" w:type="dxa"/>
            <w:vAlign w:val="center"/>
          </w:tcPr>
          <w:p w14:paraId="1908102C" w14:textId="77777777" w:rsidR="00124A26" w:rsidRPr="00C07B2E" w:rsidRDefault="00124A26" w:rsidP="002D3EBF">
            <w:pPr>
              <w:ind w:firstLine="0"/>
              <w:rPr>
                <w:rFonts w:eastAsia="SimSun"/>
              </w:rPr>
            </w:pPr>
            <w:r w:rsidRPr="00C07B2E">
              <w:rPr>
                <w:rFonts w:eastAsia="SimSun"/>
              </w:rPr>
              <w:t>100 мг/кг</w:t>
            </w:r>
          </w:p>
        </w:tc>
        <w:tc>
          <w:tcPr>
            <w:tcW w:w="1701" w:type="dxa"/>
            <w:vAlign w:val="center"/>
          </w:tcPr>
          <w:p w14:paraId="656122F3" w14:textId="77777777" w:rsidR="00124A26" w:rsidRPr="00C07B2E" w:rsidRDefault="00124A26" w:rsidP="002D3EBF">
            <w:pPr>
              <w:ind w:firstLine="0"/>
              <w:rPr>
                <w:rFonts w:eastAsia="SimSun"/>
              </w:rPr>
            </w:pPr>
            <w:r w:rsidRPr="00C07B2E">
              <w:rPr>
                <w:rFonts w:eastAsia="SimSun"/>
              </w:rPr>
              <w:t>С +3 дня по +4 день</w:t>
            </w:r>
          </w:p>
        </w:tc>
        <w:tc>
          <w:tcPr>
            <w:tcW w:w="2268" w:type="dxa"/>
            <w:vAlign w:val="center"/>
          </w:tcPr>
          <w:p w14:paraId="5A86C29B" w14:textId="77777777" w:rsidR="00124A26" w:rsidRPr="00C07B2E" w:rsidRDefault="00124A26" w:rsidP="002D3EBF">
            <w:pPr>
              <w:ind w:firstLine="0"/>
              <w:rPr>
                <w:rFonts w:eastAsia="SimSun"/>
              </w:rPr>
            </w:pPr>
            <w:r w:rsidRPr="00C07B2E">
              <w:rPr>
                <w:rFonts w:eastAsia="SimSun"/>
              </w:rPr>
              <w:t>В/в, в течение 2 ч</w:t>
            </w:r>
          </w:p>
        </w:tc>
      </w:tr>
    </w:tbl>
    <w:p w14:paraId="2298492F" w14:textId="77777777" w:rsidR="00124A26" w:rsidRPr="00C07B2E" w:rsidRDefault="00124A26" w:rsidP="00124A26">
      <w:pPr>
        <w:rPr>
          <w:rFonts w:eastAsia="SimSun"/>
        </w:rPr>
      </w:pPr>
    </w:p>
    <w:p w14:paraId="473C54EF" w14:textId="77777777" w:rsidR="00124A26" w:rsidRPr="00C07B2E" w:rsidRDefault="00124A26" w:rsidP="00124A26">
      <w:pPr>
        <w:rPr>
          <w:rFonts w:eastAsia="SimSun"/>
        </w:rPr>
        <w:sectPr w:rsidR="00124A26" w:rsidRPr="00C07B2E" w:rsidSect="00980822">
          <w:footerReference w:type="default" r:id="rId28"/>
          <w:type w:val="continuous"/>
          <w:pgSz w:w="11907" w:h="16839" w:code="9"/>
          <w:pgMar w:top="1134" w:right="850" w:bottom="1134" w:left="1701" w:header="709" w:footer="567" w:gutter="0"/>
          <w:cols w:space="708"/>
          <w:docGrid w:linePitch="360"/>
        </w:sectPr>
      </w:pPr>
      <w:r w:rsidRPr="00C07B2E">
        <w:rPr>
          <w:rFonts w:eastAsia="SimSun"/>
        </w:rPr>
        <w:t xml:space="preserve">Схемы и режимы применения препаратов для </w:t>
      </w:r>
      <w:r w:rsidRPr="00723FEA">
        <w:rPr>
          <w:rFonts w:eastAsia="SimSun"/>
          <w:b/>
        </w:rPr>
        <w:t>кондиционирования в режиме пониженной</w:t>
      </w:r>
      <w:r>
        <w:rPr>
          <w:rFonts w:eastAsia="SimSun"/>
        </w:rPr>
        <w:t xml:space="preserve"> интенсивности</w:t>
      </w:r>
      <w:r w:rsidRPr="00C07B2E">
        <w:rPr>
          <w:rFonts w:eastAsia="SimSun"/>
        </w:rPr>
        <w:t xml:space="preserve"> и профилактики РТПХ указаны в Таблице </w:t>
      </w:r>
      <w:r>
        <w:rPr>
          <w:rFonts w:eastAsia="SimSun"/>
        </w:rPr>
        <w:t>5.</w:t>
      </w:r>
      <w:r w:rsidRPr="00C07B2E">
        <w:rPr>
          <w:rFonts w:eastAsia="SimSun"/>
        </w:rPr>
        <w:t>2.2</w:t>
      </w:r>
    </w:p>
    <w:p w14:paraId="70932BE3" w14:textId="77777777" w:rsidR="00124A26" w:rsidRPr="00C07B2E" w:rsidRDefault="00124A26" w:rsidP="00124A26">
      <w:pPr>
        <w:rPr>
          <w:rFonts w:eastAsia="SimSun"/>
        </w:rPr>
      </w:pPr>
      <w:r w:rsidRPr="00C07B2E">
        <w:rPr>
          <w:rFonts w:eastAsia="SimSun"/>
        </w:rPr>
        <w:t xml:space="preserve">Таблица </w:t>
      </w:r>
      <w:r>
        <w:rPr>
          <w:rFonts w:eastAsia="SimSun"/>
        </w:rPr>
        <w:t>5.</w:t>
      </w:r>
      <w:r w:rsidRPr="00C07B2E">
        <w:rPr>
          <w:rFonts w:eastAsia="SimSun"/>
        </w:rPr>
        <w:t xml:space="preserve">2.2 Схемы и режимы применения препаратов для кондиционирования и профилактики РТПХ со ссылками на </w:t>
      </w:r>
      <w:r>
        <w:rPr>
          <w:rFonts w:eastAsia="SimSun"/>
        </w:rPr>
        <w:t>таблицы с описанием</w:t>
      </w:r>
    </w:p>
    <w:p w14:paraId="5907A637" w14:textId="77777777" w:rsidR="00124A26" w:rsidRPr="00C07B2E" w:rsidRDefault="00124A26" w:rsidP="00124A26">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4"/>
        <w:gridCol w:w="865"/>
        <w:gridCol w:w="880"/>
        <w:gridCol w:w="1222"/>
        <w:gridCol w:w="1177"/>
        <w:gridCol w:w="1031"/>
        <w:gridCol w:w="1265"/>
        <w:gridCol w:w="1228"/>
        <w:gridCol w:w="902"/>
        <w:gridCol w:w="1356"/>
        <w:gridCol w:w="1091"/>
        <w:gridCol w:w="1142"/>
        <w:gridCol w:w="1125"/>
      </w:tblGrid>
      <w:tr w:rsidR="00124A26" w:rsidRPr="00470E23" w14:paraId="538B16B9" w14:textId="77777777" w:rsidTr="002D3EBF">
        <w:trPr>
          <w:cantSplit/>
          <w:trHeight w:val="498"/>
        </w:trPr>
        <w:tc>
          <w:tcPr>
            <w:tcW w:w="1387" w:type="pct"/>
            <w:gridSpan w:val="4"/>
            <w:vMerge w:val="restart"/>
            <w:shd w:val="clear" w:color="auto" w:fill="auto"/>
            <w:vAlign w:val="center"/>
          </w:tcPr>
          <w:p w14:paraId="15806479" w14:textId="77777777" w:rsidR="00124A26" w:rsidRPr="00470E23" w:rsidRDefault="00124A26" w:rsidP="002D3EBF">
            <w:pPr>
              <w:ind w:firstLine="0"/>
              <w:rPr>
                <w:rFonts w:eastAsia="SimSun"/>
                <w:sz w:val="22"/>
              </w:rPr>
            </w:pPr>
            <w:r w:rsidRPr="00470E23">
              <w:rPr>
                <w:rFonts w:eastAsia="SimSun"/>
                <w:sz w:val="22"/>
              </w:rPr>
              <w:t>Профилактика РТПХ</w:t>
            </w:r>
          </w:p>
        </w:tc>
        <w:tc>
          <w:tcPr>
            <w:tcW w:w="3613" w:type="pct"/>
            <w:gridSpan w:val="9"/>
            <w:shd w:val="clear" w:color="auto" w:fill="auto"/>
            <w:vAlign w:val="center"/>
          </w:tcPr>
          <w:p w14:paraId="799B3D49" w14:textId="77777777" w:rsidR="00124A26" w:rsidRPr="00470E23" w:rsidRDefault="00124A26" w:rsidP="002D3EBF">
            <w:pPr>
              <w:ind w:firstLine="0"/>
              <w:rPr>
                <w:rFonts w:eastAsia="SimSun"/>
                <w:sz w:val="22"/>
              </w:rPr>
            </w:pPr>
            <w:r w:rsidRPr="00470E23">
              <w:rPr>
                <w:rFonts w:eastAsia="SimSun"/>
                <w:sz w:val="22"/>
              </w:rPr>
              <w:t>Режим кондиционирования</w:t>
            </w:r>
          </w:p>
        </w:tc>
      </w:tr>
      <w:tr w:rsidR="00124A26" w:rsidRPr="00470E23" w14:paraId="076B0464" w14:textId="77777777" w:rsidTr="002D3EBF">
        <w:trPr>
          <w:cantSplit/>
          <w:trHeight w:val="433"/>
        </w:trPr>
        <w:tc>
          <w:tcPr>
            <w:tcW w:w="1387" w:type="pct"/>
            <w:gridSpan w:val="4"/>
            <w:vMerge/>
            <w:shd w:val="clear" w:color="auto" w:fill="auto"/>
            <w:vAlign w:val="center"/>
          </w:tcPr>
          <w:p w14:paraId="19F3A521" w14:textId="77777777" w:rsidR="00124A26" w:rsidRPr="00470E23" w:rsidRDefault="00124A26" w:rsidP="002D3EBF">
            <w:pPr>
              <w:ind w:firstLine="0"/>
              <w:rPr>
                <w:rFonts w:eastAsia="SimSun"/>
                <w:sz w:val="22"/>
              </w:rPr>
            </w:pPr>
          </w:p>
        </w:tc>
        <w:tc>
          <w:tcPr>
            <w:tcW w:w="412" w:type="pct"/>
            <w:shd w:val="clear" w:color="auto" w:fill="D9D9D9"/>
            <w:vAlign w:val="center"/>
          </w:tcPr>
          <w:p w14:paraId="3312A85F" w14:textId="77777777" w:rsidR="00124A26" w:rsidRPr="00470E23" w:rsidRDefault="00124A26" w:rsidP="002D3EBF">
            <w:pPr>
              <w:ind w:firstLine="0"/>
              <w:rPr>
                <w:rFonts w:eastAsia="SimSun"/>
                <w:sz w:val="22"/>
              </w:rPr>
            </w:pPr>
            <w:r w:rsidRPr="00470E23">
              <w:rPr>
                <w:rFonts w:eastAsia="SimSun"/>
                <w:sz w:val="22"/>
              </w:rPr>
              <w:t>Flu90</w:t>
            </w:r>
          </w:p>
        </w:tc>
        <w:tc>
          <w:tcPr>
            <w:tcW w:w="803" w:type="pct"/>
            <w:gridSpan w:val="2"/>
            <w:tcBorders>
              <w:right w:val="single" w:sz="4" w:space="0" w:color="00000A"/>
            </w:tcBorders>
            <w:shd w:val="clear" w:color="auto" w:fill="D9D9D9"/>
            <w:vAlign w:val="center"/>
          </w:tcPr>
          <w:p w14:paraId="6DD225FE" w14:textId="77777777" w:rsidR="00124A26" w:rsidRPr="00470E23" w:rsidRDefault="00124A26" w:rsidP="002D3EBF">
            <w:pPr>
              <w:ind w:firstLine="0"/>
              <w:rPr>
                <w:rFonts w:eastAsia="SimSun"/>
                <w:sz w:val="22"/>
              </w:rPr>
            </w:pPr>
            <w:r w:rsidRPr="00470E23">
              <w:rPr>
                <w:rFonts w:eastAsia="SimSun"/>
                <w:sz w:val="22"/>
              </w:rPr>
              <w:t>Flu150</w:t>
            </w:r>
          </w:p>
        </w:tc>
        <w:tc>
          <w:tcPr>
            <w:tcW w:w="2398" w:type="pct"/>
            <w:gridSpan w:val="6"/>
            <w:tcBorders>
              <w:left w:val="single" w:sz="4" w:space="0" w:color="00000A"/>
            </w:tcBorders>
            <w:shd w:val="clear" w:color="auto" w:fill="D9D9D9"/>
            <w:vAlign w:val="center"/>
          </w:tcPr>
          <w:p w14:paraId="3208672D" w14:textId="77777777" w:rsidR="00124A26" w:rsidRPr="00470E23" w:rsidRDefault="00124A26" w:rsidP="002D3EBF">
            <w:pPr>
              <w:ind w:firstLine="0"/>
              <w:rPr>
                <w:rFonts w:eastAsia="SimSun"/>
                <w:sz w:val="22"/>
              </w:rPr>
            </w:pPr>
            <w:r w:rsidRPr="00470E23">
              <w:rPr>
                <w:rFonts w:eastAsia="SimSun"/>
                <w:sz w:val="22"/>
              </w:rPr>
              <w:t>Flu180</w:t>
            </w:r>
          </w:p>
        </w:tc>
      </w:tr>
      <w:tr w:rsidR="00124A26" w:rsidRPr="00470E23" w14:paraId="2346997F" w14:textId="77777777" w:rsidTr="002D3EBF">
        <w:trPr>
          <w:cantSplit/>
          <w:trHeight w:val="397"/>
        </w:trPr>
        <w:tc>
          <w:tcPr>
            <w:tcW w:w="1387" w:type="pct"/>
            <w:gridSpan w:val="4"/>
            <w:vMerge/>
            <w:shd w:val="clear" w:color="auto" w:fill="auto"/>
            <w:vAlign w:val="center"/>
          </w:tcPr>
          <w:p w14:paraId="2F94180B" w14:textId="77777777" w:rsidR="00124A26" w:rsidRPr="00470E23" w:rsidRDefault="00124A26" w:rsidP="002D3EBF">
            <w:pPr>
              <w:ind w:firstLine="0"/>
              <w:rPr>
                <w:rFonts w:eastAsia="SimSun"/>
                <w:sz w:val="22"/>
              </w:rPr>
            </w:pPr>
          </w:p>
        </w:tc>
        <w:tc>
          <w:tcPr>
            <w:tcW w:w="412" w:type="pct"/>
            <w:shd w:val="clear" w:color="auto" w:fill="D9D9D9"/>
            <w:vAlign w:val="center"/>
          </w:tcPr>
          <w:p w14:paraId="5F6B1BCF" w14:textId="77777777" w:rsidR="00124A26" w:rsidRPr="00470E23" w:rsidRDefault="00124A26" w:rsidP="002D3EBF">
            <w:pPr>
              <w:ind w:firstLine="0"/>
              <w:rPr>
                <w:rFonts w:eastAsia="SimSun"/>
                <w:sz w:val="22"/>
              </w:rPr>
            </w:pPr>
            <w:r w:rsidRPr="00470E23">
              <w:rPr>
                <w:rFonts w:eastAsia="SimSun"/>
                <w:sz w:val="22"/>
              </w:rPr>
              <w:t>Benda</w:t>
            </w:r>
          </w:p>
        </w:tc>
        <w:tc>
          <w:tcPr>
            <w:tcW w:w="361" w:type="pct"/>
            <w:tcBorders>
              <w:right w:val="single" w:sz="4" w:space="0" w:color="00000A"/>
            </w:tcBorders>
            <w:shd w:val="clear" w:color="auto" w:fill="D9D9D9"/>
            <w:vAlign w:val="center"/>
          </w:tcPr>
          <w:p w14:paraId="2B16CEC9" w14:textId="77777777" w:rsidR="00124A26" w:rsidRPr="00470E23" w:rsidRDefault="00124A26" w:rsidP="002D3EBF">
            <w:pPr>
              <w:ind w:firstLine="0"/>
              <w:rPr>
                <w:rFonts w:eastAsia="SimSun"/>
                <w:sz w:val="22"/>
              </w:rPr>
            </w:pPr>
            <w:r w:rsidRPr="00470E23">
              <w:rPr>
                <w:rFonts w:eastAsia="SimSun"/>
                <w:sz w:val="22"/>
              </w:rPr>
              <w:t>-</w:t>
            </w:r>
          </w:p>
        </w:tc>
        <w:tc>
          <w:tcPr>
            <w:tcW w:w="443" w:type="pct"/>
            <w:tcBorders>
              <w:left w:val="single" w:sz="4" w:space="0" w:color="00000A"/>
              <w:right w:val="single" w:sz="4" w:space="0" w:color="00000A"/>
            </w:tcBorders>
            <w:shd w:val="clear" w:color="auto" w:fill="D9D9D9"/>
            <w:vAlign w:val="center"/>
          </w:tcPr>
          <w:p w14:paraId="2507AECB" w14:textId="77777777" w:rsidR="00124A26" w:rsidRPr="00470E23" w:rsidRDefault="00124A26" w:rsidP="002D3EBF">
            <w:pPr>
              <w:ind w:firstLine="0"/>
              <w:rPr>
                <w:rFonts w:eastAsia="SimSun"/>
                <w:sz w:val="22"/>
              </w:rPr>
            </w:pPr>
            <w:r w:rsidRPr="00470E23">
              <w:rPr>
                <w:rFonts w:eastAsia="SimSun"/>
                <w:sz w:val="22"/>
              </w:rPr>
              <w:t>Bu8</w:t>
            </w:r>
          </w:p>
        </w:tc>
        <w:tc>
          <w:tcPr>
            <w:tcW w:w="746" w:type="pct"/>
            <w:gridSpan w:val="2"/>
            <w:shd w:val="clear" w:color="auto" w:fill="D9D9D9"/>
            <w:vAlign w:val="center"/>
          </w:tcPr>
          <w:p w14:paraId="32C956F2" w14:textId="77777777" w:rsidR="00124A26" w:rsidRPr="00470E23" w:rsidRDefault="00124A26" w:rsidP="002D3EBF">
            <w:pPr>
              <w:ind w:firstLine="0"/>
              <w:rPr>
                <w:rFonts w:eastAsia="SimSun"/>
                <w:sz w:val="22"/>
              </w:rPr>
            </w:pPr>
            <w:r w:rsidRPr="00470E23">
              <w:rPr>
                <w:rFonts w:eastAsia="SimSun"/>
                <w:sz w:val="22"/>
              </w:rPr>
              <w:t>Bu8</w:t>
            </w:r>
          </w:p>
        </w:tc>
        <w:tc>
          <w:tcPr>
            <w:tcW w:w="475" w:type="pct"/>
            <w:shd w:val="clear" w:color="auto" w:fill="D9D9D9"/>
            <w:vAlign w:val="center"/>
          </w:tcPr>
          <w:p w14:paraId="71195A67" w14:textId="77777777" w:rsidR="00124A26" w:rsidRPr="00470E23" w:rsidRDefault="00124A26" w:rsidP="002D3EBF">
            <w:pPr>
              <w:ind w:firstLine="0"/>
              <w:rPr>
                <w:rFonts w:eastAsia="SimSun"/>
                <w:sz w:val="22"/>
              </w:rPr>
            </w:pPr>
            <w:r w:rsidRPr="00470E23">
              <w:rPr>
                <w:rFonts w:eastAsia="SimSun"/>
                <w:sz w:val="22"/>
              </w:rPr>
              <w:t>Bu10</w:t>
            </w:r>
          </w:p>
        </w:tc>
        <w:tc>
          <w:tcPr>
            <w:tcW w:w="382" w:type="pct"/>
            <w:shd w:val="clear" w:color="auto" w:fill="D9D9D9"/>
            <w:vAlign w:val="center"/>
          </w:tcPr>
          <w:p w14:paraId="74AE0F1C" w14:textId="77777777" w:rsidR="00124A26" w:rsidRPr="00470E23" w:rsidRDefault="00124A26" w:rsidP="002D3EBF">
            <w:pPr>
              <w:ind w:firstLine="0"/>
              <w:rPr>
                <w:rFonts w:eastAsia="SimSun"/>
                <w:sz w:val="22"/>
              </w:rPr>
            </w:pPr>
            <w:r w:rsidRPr="00470E23">
              <w:rPr>
                <w:rFonts w:eastAsia="SimSun"/>
                <w:sz w:val="22"/>
              </w:rPr>
              <w:t>Treo36</w:t>
            </w:r>
          </w:p>
        </w:tc>
        <w:tc>
          <w:tcPr>
            <w:tcW w:w="400" w:type="pct"/>
            <w:shd w:val="clear" w:color="auto" w:fill="D9D9D9"/>
            <w:vAlign w:val="center"/>
          </w:tcPr>
          <w:p w14:paraId="5486A260" w14:textId="77777777" w:rsidR="00124A26" w:rsidRPr="00470E23" w:rsidRDefault="00124A26" w:rsidP="002D3EBF">
            <w:pPr>
              <w:ind w:firstLine="0"/>
              <w:rPr>
                <w:rFonts w:eastAsia="SimSun"/>
                <w:sz w:val="22"/>
              </w:rPr>
            </w:pPr>
            <w:r w:rsidRPr="00470E23">
              <w:rPr>
                <w:rFonts w:eastAsia="SimSun"/>
                <w:sz w:val="22"/>
              </w:rPr>
              <w:t>Cy1200</w:t>
            </w:r>
          </w:p>
        </w:tc>
        <w:tc>
          <w:tcPr>
            <w:tcW w:w="394" w:type="pct"/>
            <w:shd w:val="clear" w:color="auto" w:fill="D9D9D9"/>
            <w:vAlign w:val="center"/>
          </w:tcPr>
          <w:p w14:paraId="4C102ACB" w14:textId="77777777" w:rsidR="00124A26" w:rsidRPr="00470E23" w:rsidRDefault="00124A26" w:rsidP="002D3EBF">
            <w:pPr>
              <w:ind w:firstLine="0"/>
              <w:rPr>
                <w:rFonts w:eastAsia="SimSun"/>
                <w:sz w:val="22"/>
              </w:rPr>
            </w:pPr>
            <w:r w:rsidRPr="00470E23">
              <w:rPr>
                <w:rFonts w:eastAsia="SimSun"/>
                <w:sz w:val="22"/>
              </w:rPr>
              <w:t>Mel100</w:t>
            </w:r>
          </w:p>
        </w:tc>
      </w:tr>
      <w:tr w:rsidR="00124A26" w:rsidRPr="00470E23" w14:paraId="1F93592B" w14:textId="77777777" w:rsidTr="002D3EBF">
        <w:trPr>
          <w:cantSplit/>
          <w:trHeight w:val="417"/>
        </w:trPr>
        <w:tc>
          <w:tcPr>
            <w:tcW w:w="1387" w:type="pct"/>
            <w:gridSpan w:val="4"/>
            <w:vMerge/>
            <w:shd w:val="clear" w:color="auto" w:fill="auto"/>
            <w:vAlign w:val="center"/>
          </w:tcPr>
          <w:p w14:paraId="667B5841" w14:textId="77777777" w:rsidR="00124A26" w:rsidRPr="00470E23" w:rsidRDefault="00124A26" w:rsidP="002D3EBF">
            <w:pPr>
              <w:ind w:firstLine="0"/>
              <w:rPr>
                <w:rFonts w:eastAsia="SimSun"/>
                <w:sz w:val="22"/>
              </w:rPr>
            </w:pPr>
          </w:p>
        </w:tc>
        <w:tc>
          <w:tcPr>
            <w:tcW w:w="412" w:type="pct"/>
            <w:shd w:val="clear" w:color="auto" w:fill="D9D9D9"/>
            <w:vAlign w:val="center"/>
          </w:tcPr>
          <w:p w14:paraId="24F59B85" w14:textId="77777777" w:rsidR="00124A26" w:rsidRPr="00470E23" w:rsidRDefault="00124A26" w:rsidP="002D3EBF">
            <w:pPr>
              <w:ind w:firstLine="0"/>
              <w:rPr>
                <w:rFonts w:eastAsia="SimSun"/>
                <w:sz w:val="22"/>
              </w:rPr>
            </w:pPr>
            <w:r w:rsidRPr="00470E23">
              <w:rPr>
                <w:rFonts w:eastAsia="SimSun"/>
                <w:sz w:val="22"/>
              </w:rPr>
              <w:t>-</w:t>
            </w:r>
          </w:p>
        </w:tc>
        <w:tc>
          <w:tcPr>
            <w:tcW w:w="361" w:type="pct"/>
            <w:tcBorders>
              <w:right w:val="single" w:sz="4" w:space="0" w:color="00000A"/>
            </w:tcBorders>
            <w:shd w:val="clear" w:color="auto" w:fill="D9D9D9"/>
            <w:vAlign w:val="center"/>
          </w:tcPr>
          <w:p w14:paraId="7D5BF1FD" w14:textId="77777777" w:rsidR="00124A26" w:rsidRPr="00470E23" w:rsidRDefault="00124A26" w:rsidP="002D3EBF">
            <w:pPr>
              <w:ind w:firstLine="0"/>
              <w:rPr>
                <w:rFonts w:eastAsia="SimSun"/>
                <w:sz w:val="22"/>
              </w:rPr>
            </w:pPr>
            <w:r w:rsidRPr="00470E23">
              <w:rPr>
                <w:rFonts w:eastAsia="SimSun"/>
                <w:sz w:val="22"/>
              </w:rPr>
              <w:t>Thio</w:t>
            </w:r>
          </w:p>
        </w:tc>
        <w:tc>
          <w:tcPr>
            <w:tcW w:w="443" w:type="pct"/>
            <w:tcBorders>
              <w:left w:val="single" w:sz="4" w:space="0" w:color="00000A"/>
            </w:tcBorders>
            <w:shd w:val="clear" w:color="auto" w:fill="D9D9D9"/>
            <w:vAlign w:val="center"/>
          </w:tcPr>
          <w:p w14:paraId="4B5F6B59" w14:textId="77777777" w:rsidR="00124A26" w:rsidRPr="00470E23" w:rsidRDefault="00124A26" w:rsidP="002D3EBF">
            <w:pPr>
              <w:ind w:firstLine="0"/>
              <w:rPr>
                <w:rFonts w:eastAsia="SimSun"/>
                <w:sz w:val="22"/>
              </w:rPr>
            </w:pPr>
            <w:r w:rsidRPr="00470E23">
              <w:rPr>
                <w:rFonts w:eastAsia="SimSun"/>
                <w:sz w:val="22"/>
              </w:rPr>
              <w:t>Thio</w:t>
            </w:r>
          </w:p>
        </w:tc>
        <w:tc>
          <w:tcPr>
            <w:tcW w:w="430" w:type="pct"/>
            <w:tcBorders>
              <w:right w:val="single" w:sz="4" w:space="0" w:color="00000A"/>
            </w:tcBorders>
            <w:shd w:val="clear" w:color="auto" w:fill="D9D9D9"/>
            <w:vAlign w:val="center"/>
          </w:tcPr>
          <w:p w14:paraId="26A619AA" w14:textId="77777777" w:rsidR="00124A26" w:rsidRPr="00470E23" w:rsidRDefault="00124A26" w:rsidP="002D3EBF">
            <w:pPr>
              <w:ind w:firstLine="0"/>
              <w:rPr>
                <w:rFonts w:eastAsia="SimSun"/>
                <w:sz w:val="22"/>
              </w:rPr>
            </w:pPr>
            <w:r w:rsidRPr="00470E23">
              <w:rPr>
                <w:rFonts w:eastAsia="SimSun"/>
                <w:sz w:val="22"/>
              </w:rPr>
              <w:t>-</w:t>
            </w:r>
          </w:p>
        </w:tc>
        <w:tc>
          <w:tcPr>
            <w:tcW w:w="316" w:type="pct"/>
            <w:tcBorders>
              <w:left w:val="single" w:sz="4" w:space="0" w:color="00000A"/>
            </w:tcBorders>
            <w:shd w:val="clear" w:color="auto" w:fill="D9D9D9"/>
            <w:vAlign w:val="center"/>
          </w:tcPr>
          <w:p w14:paraId="4D334A8D" w14:textId="77777777" w:rsidR="00124A26" w:rsidRPr="00470E23" w:rsidRDefault="00124A26" w:rsidP="002D3EBF">
            <w:pPr>
              <w:ind w:firstLine="0"/>
              <w:rPr>
                <w:rFonts w:eastAsia="SimSun"/>
                <w:sz w:val="22"/>
              </w:rPr>
            </w:pPr>
            <w:r w:rsidRPr="00470E23">
              <w:rPr>
                <w:rFonts w:eastAsia="SimSun"/>
                <w:sz w:val="22"/>
              </w:rPr>
              <w:t>Thio</w:t>
            </w:r>
          </w:p>
        </w:tc>
        <w:tc>
          <w:tcPr>
            <w:tcW w:w="475" w:type="pct"/>
            <w:shd w:val="clear" w:color="auto" w:fill="D9D9D9"/>
            <w:vAlign w:val="center"/>
          </w:tcPr>
          <w:p w14:paraId="43BFDB1D" w14:textId="77777777" w:rsidR="00124A26" w:rsidRPr="00470E23" w:rsidRDefault="00124A26" w:rsidP="002D3EBF">
            <w:pPr>
              <w:ind w:firstLine="0"/>
              <w:rPr>
                <w:rFonts w:eastAsia="SimSun"/>
                <w:sz w:val="22"/>
              </w:rPr>
            </w:pPr>
            <w:r w:rsidRPr="00470E23">
              <w:rPr>
                <w:rFonts w:eastAsia="SimSun"/>
                <w:sz w:val="22"/>
              </w:rPr>
              <w:t>-</w:t>
            </w:r>
          </w:p>
        </w:tc>
        <w:tc>
          <w:tcPr>
            <w:tcW w:w="382" w:type="pct"/>
            <w:shd w:val="clear" w:color="auto" w:fill="D9D9D9"/>
            <w:vAlign w:val="center"/>
          </w:tcPr>
          <w:p w14:paraId="3245C3D9" w14:textId="77777777" w:rsidR="00124A26" w:rsidRPr="00470E23" w:rsidRDefault="00124A26" w:rsidP="002D3EBF">
            <w:pPr>
              <w:ind w:firstLine="0"/>
              <w:rPr>
                <w:rFonts w:eastAsia="SimSun"/>
                <w:sz w:val="22"/>
              </w:rPr>
            </w:pPr>
            <w:r w:rsidRPr="00470E23">
              <w:rPr>
                <w:rFonts w:eastAsia="SimSun"/>
                <w:sz w:val="22"/>
              </w:rPr>
              <w:t>-</w:t>
            </w:r>
          </w:p>
        </w:tc>
        <w:tc>
          <w:tcPr>
            <w:tcW w:w="400" w:type="pct"/>
            <w:shd w:val="clear" w:color="auto" w:fill="D9D9D9"/>
            <w:vAlign w:val="center"/>
          </w:tcPr>
          <w:p w14:paraId="39772D48" w14:textId="77777777" w:rsidR="00124A26" w:rsidRPr="00470E23" w:rsidRDefault="00124A26" w:rsidP="002D3EBF">
            <w:pPr>
              <w:ind w:firstLine="0"/>
              <w:rPr>
                <w:rFonts w:eastAsia="SimSun"/>
                <w:sz w:val="22"/>
              </w:rPr>
            </w:pPr>
          </w:p>
        </w:tc>
        <w:tc>
          <w:tcPr>
            <w:tcW w:w="394" w:type="pct"/>
            <w:shd w:val="clear" w:color="auto" w:fill="D9D9D9"/>
            <w:vAlign w:val="center"/>
          </w:tcPr>
          <w:p w14:paraId="2C10E7A4" w14:textId="77777777" w:rsidR="00124A26" w:rsidRPr="00470E23" w:rsidRDefault="00124A26" w:rsidP="002D3EBF">
            <w:pPr>
              <w:ind w:firstLine="0"/>
              <w:rPr>
                <w:rFonts w:eastAsia="SimSun"/>
                <w:sz w:val="22"/>
              </w:rPr>
            </w:pPr>
          </w:p>
        </w:tc>
      </w:tr>
      <w:tr w:rsidR="00124A26" w:rsidRPr="00470E23" w14:paraId="4D3AD530" w14:textId="77777777" w:rsidTr="002D3EBF">
        <w:trPr>
          <w:cantSplit/>
          <w:trHeight w:val="606"/>
        </w:trPr>
        <w:tc>
          <w:tcPr>
            <w:tcW w:w="348" w:type="pct"/>
            <w:vMerge w:val="restart"/>
            <w:shd w:val="clear" w:color="auto" w:fill="D9D9D9"/>
            <w:vAlign w:val="center"/>
          </w:tcPr>
          <w:p w14:paraId="72D0913F" w14:textId="77777777" w:rsidR="00124A26" w:rsidRPr="00470E23" w:rsidRDefault="00124A26" w:rsidP="002D3EBF">
            <w:pPr>
              <w:ind w:firstLine="0"/>
              <w:rPr>
                <w:rFonts w:eastAsia="SimSun"/>
                <w:sz w:val="22"/>
              </w:rPr>
            </w:pPr>
            <w:r w:rsidRPr="00470E23">
              <w:rPr>
                <w:rFonts w:eastAsia="SimSun"/>
                <w:sz w:val="22"/>
              </w:rPr>
              <w:t>hATG</w:t>
            </w:r>
          </w:p>
        </w:tc>
        <w:tc>
          <w:tcPr>
            <w:tcW w:w="303" w:type="pct"/>
            <w:shd w:val="clear" w:color="auto" w:fill="D9D9D9"/>
            <w:vAlign w:val="center"/>
          </w:tcPr>
          <w:p w14:paraId="46611ACB" w14:textId="77777777" w:rsidR="00124A26" w:rsidRPr="00470E23" w:rsidRDefault="00124A26" w:rsidP="002D3EBF">
            <w:pPr>
              <w:ind w:firstLine="0"/>
              <w:rPr>
                <w:rFonts w:eastAsia="SimSun"/>
                <w:sz w:val="22"/>
              </w:rPr>
            </w:pPr>
            <w:r w:rsidRPr="00470E23">
              <w:rPr>
                <w:rFonts w:eastAsia="SimSun"/>
                <w:sz w:val="22"/>
              </w:rPr>
              <w:t>CSA</w:t>
            </w:r>
          </w:p>
        </w:tc>
        <w:tc>
          <w:tcPr>
            <w:tcW w:w="308" w:type="pct"/>
            <w:shd w:val="clear" w:color="auto" w:fill="D9D9D9"/>
            <w:vAlign w:val="center"/>
          </w:tcPr>
          <w:p w14:paraId="164DAFCC" w14:textId="77777777" w:rsidR="00124A26" w:rsidRPr="00470E23" w:rsidRDefault="00124A26" w:rsidP="002D3EBF">
            <w:pPr>
              <w:ind w:firstLine="0"/>
              <w:rPr>
                <w:rFonts w:eastAsia="SimSun"/>
                <w:sz w:val="22"/>
              </w:rPr>
            </w:pPr>
            <w:r w:rsidRPr="00470E23">
              <w:rPr>
                <w:rFonts w:eastAsia="SimSun"/>
                <w:sz w:val="22"/>
              </w:rPr>
              <w:t>MTX</w:t>
            </w:r>
          </w:p>
        </w:tc>
        <w:tc>
          <w:tcPr>
            <w:tcW w:w="428" w:type="pct"/>
            <w:shd w:val="clear" w:color="auto" w:fill="D9D9D9"/>
            <w:vAlign w:val="center"/>
          </w:tcPr>
          <w:p w14:paraId="3D5DD49D" w14:textId="77777777" w:rsidR="00124A26" w:rsidRPr="00470E23" w:rsidRDefault="00124A26" w:rsidP="002D3EBF">
            <w:pPr>
              <w:ind w:firstLine="0"/>
              <w:rPr>
                <w:rFonts w:eastAsia="SimSun"/>
                <w:sz w:val="22"/>
              </w:rPr>
            </w:pPr>
            <w:r w:rsidRPr="00470E23">
              <w:rPr>
                <w:rFonts w:eastAsia="SimSun"/>
                <w:sz w:val="22"/>
              </w:rPr>
              <w:t>MMF45</w:t>
            </w:r>
          </w:p>
        </w:tc>
        <w:tc>
          <w:tcPr>
            <w:tcW w:w="412" w:type="pct"/>
            <w:shd w:val="clear" w:color="auto" w:fill="auto"/>
            <w:vAlign w:val="center"/>
          </w:tcPr>
          <w:p w14:paraId="53B26B04" w14:textId="77777777" w:rsidR="00124A26" w:rsidRPr="00470E23" w:rsidRDefault="00124A26" w:rsidP="002D3EBF">
            <w:pPr>
              <w:ind w:firstLine="0"/>
              <w:rPr>
                <w:rFonts w:eastAsia="SimSun"/>
                <w:sz w:val="22"/>
              </w:rPr>
            </w:pPr>
            <w:r w:rsidRPr="00470E23">
              <w:rPr>
                <w:rFonts w:eastAsia="SimSun"/>
                <w:sz w:val="22"/>
              </w:rPr>
              <w:t>-</w:t>
            </w:r>
          </w:p>
        </w:tc>
        <w:tc>
          <w:tcPr>
            <w:tcW w:w="361" w:type="pct"/>
            <w:tcBorders>
              <w:right w:val="single" w:sz="4" w:space="0" w:color="00000A"/>
            </w:tcBorders>
            <w:shd w:val="clear" w:color="auto" w:fill="auto"/>
            <w:vAlign w:val="center"/>
          </w:tcPr>
          <w:p w14:paraId="7EC06C70" w14:textId="77777777" w:rsidR="00124A26" w:rsidRPr="00470E23" w:rsidRDefault="00124A26" w:rsidP="002D3EBF">
            <w:pPr>
              <w:ind w:firstLine="0"/>
              <w:rPr>
                <w:rFonts w:eastAsia="SimSun"/>
                <w:sz w:val="22"/>
              </w:rPr>
            </w:pPr>
          </w:p>
        </w:tc>
        <w:tc>
          <w:tcPr>
            <w:tcW w:w="443" w:type="pct"/>
            <w:tcBorders>
              <w:left w:val="single" w:sz="4" w:space="0" w:color="00000A"/>
            </w:tcBorders>
            <w:shd w:val="clear" w:color="auto" w:fill="auto"/>
            <w:vAlign w:val="center"/>
          </w:tcPr>
          <w:p w14:paraId="370D0BC9" w14:textId="77777777" w:rsidR="00124A26" w:rsidRPr="00470E23" w:rsidRDefault="00124A26" w:rsidP="002D3EBF">
            <w:pPr>
              <w:ind w:firstLine="0"/>
              <w:rPr>
                <w:rFonts w:eastAsia="SimSun"/>
                <w:sz w:val="22"/>
              </w:rPr>
            </w:pPr>
            <w:r w:rsidRPr="00470E23">
              <w:rPr>
                <w:rFonts w:eastAsia="SimSun"/>
                <w:sz w:val="22"/>
              </w:rPr>
              <w:t>5.2.2.1</w:t>
            </w:r>
          </w:p>
        </w:tc>
        <w:tc>
          <w:tcPr>
            <w:tcW w:w="430" w:type="pct"/>
            <w:tcBorders>
              <w:right w:val="single" w:sz="4" w:space="0" w:color="00000A"/>
            </w:tcBorders>
            <w:shd w:val="clear" w:color="auto" w:fill="auto"/>
            <w:vAlign w:val="center"/>
          </w:tcPr>
          <w:p w14:paraId="0A89E4AE" w14:textId="77777777" w:rsidR="00124A26" w:rsidRPr="00470E23" w:rsidRDefault="00124A26" w:rsidP="002D3EBF">
            <w:pPr>
              <w:ind w:firstLine="0"/>
              <w:rPr>
                <w:rFonts w:eastAsia="SimSun"/>
                <w:sz w:val="22"/>
              </w:rPr>
            </w:pPr>
            <w:r w:rsidRPr="00470E23">
              <w:rPr>
                <w:rFonts w:eastAsia="SimSun"/>
                <w:sz w:val="22"/>
              </w:rPr>
              <w:t>5.2.2.5</w:t>
            </w:r>
          </w:p>
        </w:tc>
        <w:tc>
          <w:tcPr>
            <w:tcW w:w="316" w:type="pct"/>
            <w:tcBorders>
              <w:left w:val="single" w:sz="4" w:space="0" w:color="00000A"/>
            </w:tcBorders>
            <w:shd w:val="clear" w:color="auto" w:fill="auto"/>
            <w:vAlign w:val="center"/>
          </w:tcPr>
          <w:p w14:paraId="6716A5B3" w14:textId="77777777" w:rsidR="00124A26" w:rsidRPr="00470E23" w:rsidRDefault="00124A26" w:rsidP="002D3EBF">
            <w:pPr>
              <w:ind w:firstLine="0"/>
              <w:rPr>
                <w:rFonts w:eastAsia="SimSun"/>
                <w:sz w:val="22"/>
              </w:rPr>
            </w:pPr>
          </w:p>
        </w:tc>
        <w:tc>
          <w:tcPr>
            <w:tcW w:w="475" w:type="pct"/>
            <w:shd w:val="clear" w:color="auto" w:fill="auto"/>
            <w:vAlign w:val="center"/>
          </w:tcPr>
          <w:p w14:paraId="6ADFB099" w14:textId="77777777" w:rsidR="00124A26" w:rsidRPr="00470E23" w:rsidRDefault="00124A26" w:rsidP="002D3EBF">
            <w:pPr>
              <w:ind w:firstLine="0"/>
              <w:rPr>
                <w:rFonts w:eastAsia="SimSun"/>
                <w:sz w:val="22"/>
              </w:rPr>
            </w:pPr>
          </w:p>
        </w:tc>
        <w:tc>
          <w:tcPr>
            <w:tcW w:w="382" w:type="pct"/>
            <w:shd w:val="clear" w:color="auto" w:fill="auto"/>
            <w:vAlign w:val="center"/>
          </w:tcPr>
          <w:p w14:paraId="2286BEFE" w14:textId="77777777" w:rsidR="00124A26" w:rsidRPr="00470E23" w:rsidRDefault="00124A26" w:rsidP="002D3EBF">
            <w:pPr>
              <w:ind w:firstLine="0"/>
              <w:rPr>
                <w:rFonts w:eastAsia="SimSun"/>
                <w:sz w:val="22"/>
              </w:rPr>
            </w:pPr>
          </w:p>
        </w:tc>
        <w:tc>
          <w:tcPr>
            <w:tcW w:w="400" w:type="pct"/>
            <w:shd w:val="clear" w:color="auto" w:fill="auto"/>
            <w:vAlign w:val="center"/>
          </w:tcPr>
          <w:p w14:paraId="2659CED9" w14:textId="77777777" w:rsidR="00124A26" w:rsidRPr="00470E23" w:rsidRDefault="00124A26" w:rsidP="002D3EBF">
            <w:pPr>
              <w:ind w:firstLine="0"/>
              <w:rPr>
                <w:rFonts w:eastAsia="SimSun"/>
                <w:sz w:val="22"/>
              </w:rPr>
            </w:pPr>
          </w:p>
        </w:tc>
        <w:tc>
          <w:tcPr>
            <w:tcW w:w="394" w:type="pct"/>
            <w:vAlign w:val="center"/>
          </w:tcPr>
          <w:p w14:paraId="5E6113A0" w14:textId="77777777" w:rsidR="00124A26" w:rsidRPr="00470E23" w:rsidRDefault="00124A26" w:rsidP="002D3EBF">
            <w:pPr>
              <w:ind w:firstLine="0"/>
              <w:rPr>
                <w:rFonts w:eastAsia="SimSun"/>
                <w:sz w:val="22"/>
              </w:rPr>
            </w:pPr>
          </w:p>
        </w:tc>
      </w:tr>
      <w:tr w:rsidR="00124A26" w:rsidRPr="00470E23" w14:paraId="0128F8DD" w14:textId="77777777" w:rsidTr="002D3EBF">
        <w:trPr>
          <w:cantSplit/>
          <w:trHeight w:val="606"/>
        </w:trPr>
        <w:tc>
          <w:tcPr>
            <w:tcW w:w="348" w:type="pct"/>
            <w:vMerge/>
            <w:shd w:val="clear" w:color="auto" w:fill="D9D9D9"/>
            <w:vAlign w:val="center"/>
          </w:tcPr>
          <w:p w14:paraId="65117A23" w14:textId="77777777" w:rsidR="00124A26" w:rsidRPr="00470E23" w:rsidRDefault="00124A26" w:rsidP="002D3EBF">
            <w:pPr>
              <w:ind w:firstLine="0"/>
              <w:rPr>
                <w:rFonts w:eastAsia="SimSun"/>
                <w:sz w:val="22"/>
              </w:rPr>
            </w:pPr>
          </w:p>
        </w:tc>
        <w:tc>
          <w:tcPr>
            <w:tcW w:w="303" w:type="pct"/>
            <w:shd w:val="clear" w:color="auto" w:fill="D9D9D9"/>
            <w:vAlign w:val="center"/>
          </w:tcPr>
          <w:p w14:paraId="6A87798A" w14:textId="77777777" w:rsidR="00124A26" w:rsidRPr="00470E23" w:rsidRDefault="00124A26" w:rsidP="002D3EBF">
            <w:pPr>
              <w:ind w:firstLine="0"/>
              <w:rPr>
                <w:rFonts w:eastAsia="SimSun"/>
                <w:sz w:val="22"/>
              </w:rPr>
            </w:pPr>
            <w:r w:rsidRPr="00470E23">
              <w:rPr>
                <w:rFonts w:eastAsia="SimSun"/>
                <w:sz w:val="22"/>
              </w:rPr>
              <w:t>Tx</w:t>
            </w:r>
          </w:p>
        </w:tc>
        <w:tc>
          <w:tcPr>
            <w:tcW w:w="308" w:type="pct"/>
            <w:shd w:val="clear" w:color="auto" w:fill="D9D9D9"/>
            <w:vAlign w:val="center"/>
          </w:tcPr>
          <w:p w14:paraId="6A4E8164" w14:textId="77777777" w:rsidR="00124A26" w:rsidRPr="00470E23" w:rsidRDefault="00124A26" w:rsidP="002D3EBF">
            <w:pPr>
              <w:ind w:firstLine="0"/>
              <w:rPr>
                <w:rFonts w:eastAsia="SimSun"/>
                <w:sz w:val="22"/>
              </w:rPr>
            </w:pPr>
            <w:r w:rsidRPr="00470E23">
              <w:rPr>
                <w:rFonts w:eastAsia="SimSun"/>
                <w:sz w:val="22"/>
              </w:rPr>
              <w:t>-</w:t>
            </w:r>
          </w:p>
        </w:tc>
        <w:tc>
          <w:tcPr>
            <w:tcW w:w="428" w:type="pct"/>
            <w:shd w:val="clear" w:color="auto" w:fill="D9D9D9"/>
            <w:vAlign w:val="center"/>
          </w:tcPr>
          <w:p w14:paraId="60C6C67F" w14:textId="77777777" w:rsidR="00124A26" w:rsidRPr="00470E23" w:rsidRDefault="00124A26" w:rsidP="002D3EBF">
            <w:pPr>
              <w:ind w:firstLine="0"/>
              <w:rPr>
                <w:rFonts w:eastAsia="SimSun"/>
                <w:sz w:val="22"/>
              </w:rPr>
            </w:pPr>
            <w:r w:rsidRPr="00470E23">
              <w:rPr>
                <w:rFonts w:eastAsia="SimSun"/>
                <w:sz w:val="22"/>
              </w:rPr>
              <w:t>MMF30</w:t>
            </w:r>
          </w:p>
        </w:tc>
        <w:tc>
          <w:tcPr>
            <w:tcW w:w="412" w:type="pct"/>
            <w:shd w:val="clear" w:color="auto" w:fill="auto"/>
            <w:vAlign w:val="center"/>
          </w:tcPr>
          <w:p w14:paraId="44B9E8ED" w14:textId="77777777" w:rsidR="00124A26" w:rsidRPr="00470E23" w:rsidRDefault="00124A26" w:rsidP="002D3EBF">
            <w:pPr>
              <w:ind w:firstLine="0"/>
              <w:rPr>
                <w:rFonts w:eastAsia="SimSun"/>
                <w:sz w:val="22"/>
              </w:rPr>
            </w:pPr>
          </w:p>
        </w:tc>
        <w:tc>
          <w:tcPr>
            <w:tcW w:w="361" w:type="pct"/>
            <w:tcBorders>
              <w:right w:val="single" w:sz="4" w:space="0" w:color="00000A"/>
            </w:tcBorders>
            <w:shd w:val="clear" w:color="auto" w:fill="auto"/>
            <w:vAlign w:val="center"/>
          </w:tcPr>
          <w:p w14:paraId="2B29B06E" w14:textId="77777777" w:rsidR="00124A26" w:rsidRPr="00470E23" w:rsidRDefault="00124A26" w:rsidP="002D3EBF">
            <w:pPr>
              <w:ind w:firstLine="0"/>
              <w:rPr>
                <w:rFonts w:eastAsia="SimSun"/>
                <w:sz w:val="22"/>
              </w:rPr>
            </w:pPr>
            <w:r w:rsidRPr="00470E23">
              <w:rPr>
                <w:rFonts w:eastAsia="SimSun"/>
                <w:sz w:val="22"/>
              </w:rPr>
              <w:t>5.2.2.17</w:t>
            </w:r>
          </w:p>
        </w:tc>
        <w:tc>
          <w:tcPr>
            <w:tcW w:w="443" w:type="pct"/>
            <w:tcBorders>
              <w:left w:val="single" w:sz="4" w:space="0" w:color="00000A"/>
            </w:tcBorders>
            <w:shd w:val="clear" w:color="auto" w:fill="auto"/>
            <w:vAlign w:val="center"/>
          </w:tcPr>
          <w:p w14:paraId="796227C0" w14:textId="77777777" w:rsidR="00124A26" w:rsidRPr="00470E23" w:rsidRDefault="00124A26" w:rsidP="002D3EBF">
            <w:pPr>
              <w:ind w:firstLine="0"/>
              <w:rPr>
                <w:rFonts w:eastAsia="SimSun"/>
                <w:sz w:val="22"/>
              </w:rPr>
            </w:pPr>
          </w:p>
        </w:tc>
        <w:tc>
          <w:tcPr>
            <w:tcW w:w="430" w:type="pct"/>
            <w:tcBorders>
              <w:right w:val="single" w:sz="4" w:space="0" w:color="00000A"/>
            </w:tcBorders>
            <w:shd w:val="clear" w:color="auto" w:fill="auto"/>
            <w:vAlign w:val="center"/>
          </w:tcPr>
          <w:p w14:paraId="459BEF01" w14:textId="77777777" w:rsidR="00124A26" w:rsidRPr="00470E23" w:rsidRDefault="00124A26" w:rsidP="002D3EBF">
            <w:pPr>
              <w:ind w:firstLine="0"/>
              <w:rPr>
                <w:rFonts w:eastAsia="SimSun"/>
                <w:sz w:val="22"/>
              </w:rPr>
            </w:pPr>
          </w:p>
        </w:tc>
        <w:tc>
          <w:tcPr>
            <w:tcW w:w="316" w:type="pct"/>
            <w:tcBorders>
              <w:left w:val="single" w:sz="4" w:space="0" w:color="00000A"/>
            </w:tcBorders>
            <w:shd w:val="clear" w:color="auto" w:fill="auto"/>
            <w:vAlign w:val="center"/>
          </w:tcPr>
          <w:p w14:paraId="0A2CD5C1" w14:textId="77777777" w:rsidR="00124A26" w:rsidRPr="00470E23" w:rsidRDefault="00124A26" w:rsidP="002D3EBF">
            <w:pPr>
              <w:ind w:firstLine="0"/>
              <w:rPr>
                <w:rFonts w:eastAsia="SimSun"/>
                <w:sz w:val="22"/>
              </w:rPr>
            </w:pPr>
          </w:p>
        </w:tc>
        <w:tc>
          <w:tcPr>
            <w:tcW w:w="475" w:type="pct"/>
            <w:shd w:val="clear" w:color="auto" w:fill="auto"/>
            <w:vAlign w:val="center"/>
          </w:tcPr>
          <w:p w14:paraId="7510FF2A" w14:textId="77777777" w:rsidR="00124A26" w:rsidRPr="00470E23" w:rsidRDefault="00124A26" w:rsidP="002D3EBF">
            <w:pPr>
              <w:ind w:firstLine="0"/>
              <w:rPr>
                <w:rFonts w:eastAsia="SimSun"/>
                <w:sz w:val="22"/>
              </w:rPr>
            </w:pPr>
          </w:p>
        </w:tc>
        <w:tc>
          <w:tcPr>
            <w:tcW w:w="382" w:type="pct"/>
            <w:shd w:val="clear" w:color="auto" w:fill="auto"/>
            <w:vAlign w:val="center"/>
          </w:tcPr>
          <w:p w14:paraId="2819D4FC" w14:textId="77777777" w:rsidR="00124A26" w:rsidRPr="00470E23" w:rsidRDefault="00124A26" w:rsidP="002D3EBF">
            <w:pPr>
              <w:ind w:firstLine="0"/>
              <w:rPr>
                <w:rFonts w:eastAsia="SimSun"/>
                <w:sz w:val="22"/>
              </w:rPr>
            </w:pPr>
          </w:p>
        </w:tc>
        <w:tc>
          <w:tcPr>
            <w:tcW w:w="400" w:type="pct"/>
            <w:shd w:val="clear" w:color="auto" w:fill="auto"/>
            <w:vAlign w:val="center"/>
          </w:tcPr>
          <w:p w14:paraId="020CA297" w14:textId="77777777" w:rsidR="00124A26" w:rsidRPr="00470E23" w:rsidRDefault="00124A26" w:rsidP="002D3EBF">
            <w:pPr>
              <w:ind w:firstLine="0"/>
              <w:rPr>
                <w:rFonts w:eastAsia="SimSun"/>
                <w:sz w:val="22"/>
              </w:rPr>
            </w:pPr>
            <w:r w:rsidRPr="00470E23">
              <w:rPr>
                <w:rFonts w:eastAsia="SimSun"/>
                <w:sz w:val="22"/>
              </w:rPr>
              <w:t>5.2.2.19</w:t>
            </w:r>
          </w:p>
        </w:tc>
        <w:tc>
          <w:tcPr>
            <w:tcW w:w="394" w:type="pct"/>
            <w:vAlign w:val="center"/>
          </w:tcPr>
          <w:p w14:paraId="39C62291" w14:textId="77777777" w:rsidR="00124A26" w:rsidRPr="00470E23" w:rsidRDefault="00124A26" w:rsidP="002D3EBF">
            <w:pPr>
              <w:ind w:firstLine="0"/>
              <w:rPr>
                <w:rFonts w:eastAsia="SimSun"/>
                <w:sz w:val="22"/>
              </w:rPr>
            </w:pPr>
          </w:p>
        </w:tc>
      </w:tr>
      <w:tr w:rsidR="00124A26" w:rsidRPr="00470E23" w14:paraId="3A362F74" w14:textId="77777777" w:rsidTr="002D3EBF">
        <w:trPr>
          <w:cantSplit/>
          <w:trHeight w:val="606"/>
        </w:trPr>
        <w:tc>
          <w:tcPr>
            <w:tcW w:w="348" w:type="pct"/>
            <w:vMerge w:val="restart"/>
            <w:shd w:val="clear" w:color="auto" w:fill="D9D9D9"/>
            <w:vAlign w:val="center"/>
          </w:tcPr>
          <w:p w14:paraId="1BDFD4C9" w14:textId="77777777" w:rsidR="00124A26" w:rsidRPr="00470E23" w:rsidRDefault="00124A26" w:rsidP="002D3EBF">
            <w:pPr>
              <w:ind w:firstLine="0"/>
              <w:rPr>
                <w:rFonts w:eastAsia="SimSun"/>
                <w:sz w:val="22"/>
              </w:rPr>
            </w:pPr>
            <w:r w:rsidRPr="00470E23">
              <w:rPr>
                <w:rFonts w:eastAsia="SimSun"/>
                <w:sz w:val="22"/>
              </w:rPr>
              <w:t>rATG</w:t>
            </w:r>
          </w:p>
        </w:tc>
        <w:tc>
          <w:tcPr>
            <w:tcW w:w="303" w:type="pct"/>
            <w:shd w:val="clear" w:color="auto" w:fill="D9D9D9"/>
            <w:vAlign w:val="center"/>
          </w:tcPr>
          <w:p w14:paraId="74F2D3B9" w14:textId="77777777" w:rsidR="00124A26" w:rsidRPr="00470E23" w:rsidRDefault="00124A26" w:rsidP="002D3EBF">
            <w:pPr>
              <w:ind w:firstLine="0"/>
              <w:rPr>
                <w:rFonts w:eastAsia="SimSun"/>
                <w:sz w:val="22"/>
              </w:rPr>
            </w:pPr>
            <w:r w:rsidRPr="00470E23">
              <w:rPr>
                <w:rFonts w:eastAsia="SimSun"/>
                <w:sz w:val="22"/>
              </w:rPr>
              <w:t>CSA</w:t>
            </w:r>
          </w:p>
        </w:tc>
        <w:tc>
          <w:tcPr>
            <w:tcW w:w="308" w:type="pct"/>
            <w:shd w:val="clear" w:color="auto" w:fill="D9D9D9"/>
            <w:vAlign w:val="center"/>
          </w:tcPr>
          <w:p w14:paraId="22B14819" w14:textId="77777777" w:rsidR="00124A26" w:rsidRPr="00470E23" w:rsidRDefault="00124A26" w:rsidP="002D3EBF">
            <w:pPr>
              <w:ind w:firstLine="0"/>
              <w:rPr>
                <w:rFonts w:eastAsia="SimSun"/>
                <w:sz w:val="22"/>
              </w:rPr>
            </w:pPr>
            <w:r w:rsidRPr="00470E23">
              <w:rPr>
                <w:rFonts w:eastAsia="SimSun"/>
                <w:sz w:val="22"/>
              </w:rPr>
              <w:t>MTX</w:t>
            </w:r>
          </w:p>
        </w:tc>
        <w:tc>
          <w:tcPr>
            <w:tcW w:w="428" w:type="pct"/>
            <w:shd w:val="clear" w:color="auto" w:fill="D9D9D9"/>
            <w:vAlign w:val="center"/>
          </w:tcPr>
          <w:p w14:paraId="0627A7E6" w14:textId="77777777" w:rsidR="00124A26" w:rsidRPr="00470E23" w:rsidRDefault="00124A26" w:rsidP="002D3EBF">
            <w:pPr>
              <w:ind w:firstLine="0"/>
              <w:rPr>
                <w:rFonts w:eastAsia="SimSun"/>
                <w:sz w:val="22"/>
              </w:rPr>
            </w:pPr>
            <w:r w:rsidRPr="00470E23">
              <w:rPr>
                <w:rFonts w:eastAsia="SimSun"/>
                <w:sz w:val="22"/>
              </w:rPr>
              <w:t>MMF45</w:t>
            </w:r>
          </w:p>
        </w:tc>
        <w:tc>
          <w:tcPr>
            <w:tcW w:w="412" w:type="pct"/>
            <w:shd w:val="clear" w:color="auto" w:fill="auto"/>
            <w:vAlign w:val="center"/>
          </w:tcPr>
          <w:p w14:paraId="3A60DA9A" w14:textId="77777777" w:rsidR="00124A26" w:rsidRPr="00470E23" w:rsidRDefault="00124A26" w:rsidP="002D3EBF">
            <w:pPr>
              <w:ind w:firstLine="0"/>
              <w:rPr>
                <w:rFonts w:eastAsia="SimSun"/>
                <w:sz w:val="22"/>
              </w:rPr>
            </w:pPr>
          </w:p>
        </w:tc>
        <w:tc>
          <w:tcPr>
            <w:tcW w:w="361" w:type="pct"/>
            <w:tcBorders>
              <w:right w:val="single" w:sz="4" w:space="0" w:color="00000A"/>
            </w:tcBorders>
            <w:shd w:val="clear" w:color="auto" w:fill="auto"/>
            <w:vAlign w:val="center"/>
          </w:tcPr>
          <w:p w14:paraId="30AF1AB1" w14:textId="77777777" w:rsidR="00124A26" w:rsidRPr="00470E23" w:rsidRDefault="00124A26" w:rsidP="002D3EBF">
            <w:pPr>
              <w:ind w:firstLine="0"/>
              <w:rPr>
                <w:rFonts w:eastAsia="SimSun"/>
                <w:sz w:val="22"/>
              </w:rPr>
            </w:pPr>
          </w:p>
        </w:tc>
        <w:tc>
          <w:tcPr>
            <w:tcW w:w="443" w:type="pct"/>
            <w:tcBorders>
              <w:left w:val="single" w:sz="4" w:space="0" w:color="00000A"/>
            </w:tcBorders>
            <w:shd w:val="clear" w:color="auto" w:fill="auto"/>
            <w:vAlign w:val="center"/>
          </w:tcPr>
          <w:p w14:paraId="489FBC7C" w14:textId="77777777" w:rsidR="00124A26" w:rsidRPr="00470E23" w:rsidRDefault="00124A26" w:rsidP="002D3EBF">
            <w:pPr>
              <w:ind w:firstLine="0"/>
              <w:rPr>
                <w:rFonts w:eastAsia="SimSun"/>
                <w:sz w:val="22"/>
              </w:rPr>
            </w:pPr>
            <w:r w:rsidRPr="00470E23">
              <w:rPr>
                <w:rFonts w:eastAsia="SimSun"/>
                <w:sz w:val="22"/>
              </w:rPr>
              <w:t>5.2.2.2</w:t>
            </w:r>
          </w:p>
        </w:tc>
        <w:tc>
          <w:tcPr>
            <w:tcW w:w="430" w:type="pct"/>
            <w:tcBorders>
              <w:right w:val="single" w:sz="4" w:space="0" w:color="00000A"/>
            </w:tcBorders>
            <w:shd w:val="clear" w:color="auto" w:fill="auto"/>
            <w:vAlign w:val="center"/>
          </w:tcPr>
          <w:p w14:paraId="330EC620" w14:textId="77777777" w:rsidR="00124A26" w:rsidRPr="00470E23" w:rsidRDefault="00124A26" w:rsidP="002D3EBF">
            <w:pPr>
              <w:ind w:firstLine="0"/>
              <w:rPr>
                <w:rFonts w:eastAsia="SimSun"/>
                <w:sz w:val="22"/>
              </w:rPr>
            </w:pPr>
            <w:r w:rsidRPr="00470E23">
              <w:rPr>
                <w:rFonts w:eastAsia="SimSun"/>
                <w:sz w:val="22"/>
              </w:rPr>
              <w:t>5.2.2.6</w:t>
            </w:r>
          </w:p>
        </w:tc>
        <w:tc>
          <w:tcPr>
            <w:tcW w:w="316" w:type="pct"/>
            <w:tcBorders>
              <w:left w:val="single" w:sz="4" w:space="0" w:color="00000A"/>
            </w:tcBorders>
            <w:shd w:val="clear" w:color="auto" w:fill="auto"/>
            <w:vAlign w:val="center"/>
          </w:tcPr>
          <w:p w14:paraId="58D394BD" w14:textId="77777777" w:rsidR="00124A26" w:rsidRPr="00470E23" w:rsidRDefault="00124A26" w:rsidP="002D3EBF">
            <w:pPr>
              <w:ind w:firstLine="0"/>
              <w:rPr>
                <w:rFonts w:eastAsia="SimSun"/>
                <w:sz w:val="22"/>
              </w:rPr>
            </w:pPr>
          </w:p>
        </w:tc>
        <w:tc>
          <w:tcPr>
            <w:tcW w:w="475" w:type="pct"/>
            <w:shd w:val="clear" w:color="auto" w:fill="auto"/>
            <w:vAlign w:val="center"/>
          </w:tcPr>
          <w:p w14:paraId="47FDEBB4" w14:textId="77777777" w:rsidR="00124A26" w:rsidRPr="00470E23" w:rsidRDefault="00124A26" w:rsidP="002D3EBF">
            <w:pPr>
              <w:ind w:firstLine="0"/>
              <w:rPr>
                <w:rFonts w:eastAsia="SimSun"/>
                <w:sz w:val="22"/>
              </w:rPr>
            </w:pPr>
          </w:p>
        </w:tc>
        <w:tc>
          <w:tcPr>
            <w:tcW w:w="382" w:type="pct"/>
            <w:shd w:val="clear" w:color="auto" w:fill="auto"/>
            <w:vAlign w:val="center"/>
          </w:tcPr>
          <w:p w14:paraId="73483872" w14:textId="77777777" w:rsidR="00124A26" w:rsidRPr="00470E23" w:rsidRDefault="00124A26" w:rsidP="002D3EBF">
            <w:pPr>
              <w:ind w:firstLine="0"/>
              <w:rPr>
                <w:rFonts w:eastAsia="SimSun"/>
                <w:sz w:val="22"/>
              </w:rPr>
            </w:pPr>
          </w:p>
        </w:tc>
        <w:tc>
          <w:tcPr>
            <w:tcW w:w="400" w:type="pct"/>
            <w:shd w:val="clear" w:color="auto" w:fill="auto"/>
            <w:vAlign w:val="center"/>
          </w:tcPr>
          <w:p w14:paraId="34AA685F" w14:textId="77777777" w:rsidR="00124A26" w:rsidRPr="00470E23" w:rsidRDefault="00124A26" w:rsidP="002D3EBF">
            <w:pPr>
              <w:ind w:firstLine="0"/>
              <w:rPr>
                <w:rFonts w:eastAsia="SimSun"/>
                <w:sz w:val="22"/>
              </w:rPr>
            </w:pPr>
          </w:p>
        </w:tc>
        <w:tc>
          <w:tcPr>
            <w:tcW w:w="394" w:type="pct"/>
            <w:vAlign w:val="center"/>
          </w:tcPr>
          <w:p w14:paraId="0872E134" w14:textId="77777777" w:rsidR="00124A26" w:rsidRPr="00470E23" w:rsidRDefault="00124A26" w:rsidP="002D3EBF">
            <w:pPr>
              <w:ind w:firstLine="0"/>
              <w:rPr>
                <w:rFonts w:eastAsia="SimSun"/>
                <w:sz w:val="22"/>
              </w:rPr>
            </w:pPr>
          </w:p>
        </w:tc>
      </w:tr>
      <w:tr w:rsidR="00124A26" w:rsidRPr="00470E23" w14:paraId="665A97F7" w14:textId="77777777" w:rsidTr="002D3EBF">
        <w:trPr>
          <w:cantSplit/>
          <w:trHeight w:val="606"/>
        </w:trPr>
        <w:tc>
          <w:tcPr>
            <w:tcW w:w="348" w:type="pct"/>
            <w:vMerge/>
            <w:shd w:val="clear" w:color="auto" w:fill="D9D9D9"/>
            <w:vAlign w:val="center"/>
          </w:tcPr>
          <w:p w14:paraId="4BC74B62" w14:textId="77777777" w:rsidR="00124A26" w:rsidRPr="00470E23" w:rsidRDefault="00124A26" w:rsidP="002D3EBF">
            <w:pPr>
              <w:ind w:firstLine="0"/>
              <w:rPr>
                <w:rFonts w:eastAsia="SimSun"/>
                <w:sz w:val="22"/>
              </w:rPr>
            </w:pPr>
          </w:p>
        </w:tc>
        <w:tc>
          <w:tcPr>
            <w:tcW w:w="303" w:type="pct"/>
            <w:shd w:val="clear" w:color="auto" w:fill="D9D9D9"/>
            <w:vAlign w:val="center"/>
          </w:tcPr>
          <w:p w14:paraId="37A3CB10" w14:textId="77777777" w:rsidR="00124A26" w:rsidRPr="00470E23" w:rsidRDefault="00124A26" w:rsidP="002D3EBF">
            <w:pPr>
              <w:ind w:firstLine="0"/>
              <w:rPr>
                <w:rFonts w:eastAsia="SimSun"/>
                <w:sz w:val="22"/>
              </w:rPr>
            </w:pPr>
            <w:r w:rsidRPr="00470E23">
              <w:rPr>
                <w:rFonts w:eastAsia="SimSun"/>
                <w:sz w:val="22"/>
              </w:rPr>
              <w:t>Tx</w:t>
            </w:r>
          </w:p>
        </w:tc>
        <w:tc>
          <w:tcPr>
            <w:tcW w:w="308" w:type="pct"/>
            <w:shd w:val="clear" w:color="auto" w:fill="D9D9D9"/>
            <w:vAlign w:val="center"/>
          </w:tcPr>
          <w:p w14:paraId="21B20433" w14:textId="77777777" w:rsidR="00124A26" w:rsidRPr="00470E23" w:rsidRDefault="00124A26" w:rsidP="002D3EBF">
            <w:pPr>
              <w:ind w:firstLine="0"/>
              <w:rPr>
                <w:rFonts w:eastAsia="SimSun"/>
                <w:sz w:val="22"/>
              </w:rPr>
            </w:pPr>
            <w:r w:rsidRPr="00470E23">
              <w:rPr>
                <w:rFonts w:eastAsia="SimSun"/>
                <w:sz w:val="22"/>
              </w:rPr>
              <w:t>-</w:t>
            </w:r>
          </w:p>
        </w:tc>
        <w:tc>
          <w:tcPr>
            <w:tcW w:w="428" w:type="pct"/>
            <w:shd w:val="clear" w:color="auto" w:fill="D9D9D9"/>
            <w:vAlign w:val="center"/>
          </w:tcPr>
          <w:p w14:paraId="4557D4C5" w14:textId="77777777" w:rsidR="00124A26" w:rsidRPr="00470E23" w:rsidRDefault="00124A26" w:rsidP="002D3EBF">
            <w:pPr>
              <w:ind w:firstLine="0"/>
              <w:rPr>
                <w:rFonts w:eastAsia="SimSun"/>
                <w:sz w:val="22"/>
              </w:rPr>
            </w:pPr>
            <w:r w:rsidRPr="00470E23">
              <w:rPr>
                <w:rFonts w:eastAsia="SimSun"/>
                <w:sz w:val="22"/>
              </w:rPr>
              <w:t>MMF30</w:t>
            </w:r>
          </w:p>
        </w:tc>
        <w:tc>
          <w:tcPr>
            <w:tcW w:w="412" w:type="pct"/>
            <w:shd w:val="clear" w:color="auto" w:fill="auto"/>
            <w:vAlign w:val="center"/>
          </w:tcPr>
          <w:p w14:paraId="558A64E7" w14:textId="77777777" w:rsidR="00124A26" w:rsidRPr="00470E23" w:rsidRDefault="00124A26" w:rsidP="002D3EBF">
            <w:pPr>
              <w:ind w:firstLine="0"/>
              <w:rPr>
                <w:rFonts w:eastAsia="SimSun"/>
                <w:sz w:val="22"/>
              </w:rPr>
            </w:pPr>
          </w:p>
        </w:tc>
        <w:tc>
          <w:tcPr>
            <w:tcW w:w="361" w:type="pct"/>
            <w:tcBorders>
              <w:right w:val="single" w:sz="4" w:space="0" w:color="00000A"/>
            </w:tcBorders>
            <w:shd w:val="clear" w:color="auto" w:fill="auto"/>
            <w:vAlign w:val="center"/>
          </w:tcPr>
          <w:p w14:paraId="394DDBDE" w14:textId="77777777" w:rsidR="00124A26" w:rsidRPr="00470E23" w:rsidRDefault="00124A26" w:rsidP="002D3EBF">
            <w:pPr>
              <w:ind w:firstLine="0"/>
              <w:rPr>
                <w:rFonts w:eastAsia="SimSun"/>
                <w:sz w:val="22"/>
              </w:rPr>
            </w:pPr>
          </w:p>
        </w:tc>
        <w:tc>
          <w:tcPr>
            <w:tcW w:w="443" w:type="pct"/>
            <w:tcBorders>
              <w:left w:val="single" w:sz="4" w:space="0" w:color="00000A"/>
            </w:tcBorders>
            <w:shd w:val="clear" w:color="auto" w:fill="auto"/>
            <w:vAlign w:val="center"/>
          </w:tcPr>
          <w:p w14:paraId="7AF8A757" w14:textId="77777777" w:rsidR="00124A26" w:rsidRPr="00470E23" w:rsidRDefault="00124A26" w:rsidP="002D3EBF">
            <w:pPr>
              <w:ind w:firstLine="0"/>
              <w:rPr>
                <w:rFonts w:eastAsia="SimSun"/>
                <w:sz w:val="22"/>
              </w:rPr>
            </w:pPr>
          </w:p>
        </w:tc>
        <w:tc>
          <w:tcPr>
            <w:tcW w:w="430" w:type="pct"/>
            <w:tcBorders>
              <w:right w:val="single" w:sz="4" w:space="0" w:color="00000A"/>
            </w:tcBorders>
            <w:shd w:val="clear" w:color="auto" w:fill="auto"/>
            <w:vAlign w:val="center"/>
          </w:tcPr>
          <w:p w14:paraId="3038B0B0" w14:textId="77777777" w:rsidR="00124A26" w:rsidRPr="00470E23" w:rsidRDefault="00124A26" w:rsidP="002D3EBF">
            <w:pPr>
              <w:ind w:firstLine="0"/>
              <w:rPr>
                <w:rFonts w:eastAsia="SimSun"/>
                <w:sz w:val="22"/>
              </w:rPr>
            </w:pPr>
          </w:p>
        </w:tc>
        <w:tc>
          <w:tcPr>
            <w:tcW w:w="316" w:type="pct"/>
            <w:tcBorders>
              <w:left w:val="single" w:sz="4" w:space="0" w:color="00000A"/>
            </w:tcBorders>
            <w:shd w:val="clear" w:color="auto" w:fill="auto"/>
            <w:vAlign w:val="center"/>
          </w:tcPr>
          <w:p w14:paraId="09DF21FD" w14:textId="77777777" w:rsidR="00124A26" w:rsidRPr="00470E23" w:rsidRDefault="00124A26" w:rsidP="002D3EBF">
            <w:pPr>
              <w:ind w:firstLine="0"/>
              <w:rPr>
                <w:rFonts w:eastAsia="SimSun"/>
                <w:sz w:val="22"/>
              </w:rPr>
            </w:pPr>
          </w:p>
        </w:tc>
        <w:tc>
          <w:tcPr>
            <w:tcW w:w="475" w:type="pct"/>
            <w:shd w:val="clear" w:color="auto" w:fill="auto"/>
            <w:vAlign w:val="center"/>
          </w:tcPr>
          <w:p w14:paraId="5027966A" w14:textId="77777777" w:rsidR="00124A26" w:rsidRPr="00470E23" w:rsidRDefault="00124A26" w:rsidP="002D3EBF">
            <w:pPr>
              <w:ind w:firstLine="0"/>
              <w:rPr>
                <w:rFonts w:eastAsia="SimSun"/>
                <w:sz w:val="22"/>
              </w:rPr>
            </w:pPr>
          </w:p>
        </w:tc>
        <w:tc>
          <w:tcPr>
            <w:tcW w:w="382" w:type="pct"/>
            <w:shd w:val="clear" w:color="auto" w:fill="auto"/>
            <w:vAlign w:val="center"/>
          </w:tcPr>
          <w:p w14:paraId="19C2407E" w14:textId="77777777" w:rsidR="00124A26" w:rsidRPr="00470E23" w:rsidRDefault="00124A26" w:rsidP="002D3EBF">
            <w:pPr>
              <w:ind w:firstLine="0"/>
              <w:rPr>
                <w:rFonts w:eastAsia="SimSun"/>
                <w:sz w:val="22"/>
              </w:rPr>
            </w:pPr>
          </w:p>
        </w:tc>
        <w:tc>
          <w:tcPr>
            <w:tcW w:w="400" w:type="pct"/>
            <w:shd w:val="clear" w:color="auto" w:fill="auto"/>
            <w:vAlign w:val="center"/>
          </w:tcPr>
          <w:p w14:paraId="4C30EF66" w14:textId="77777777" w:rsidR="00124A26" w:rsidRPr="00470E23" w:rsidRDefault="00124A26" w:rsidP="002D3EBF">
            <w:pPr>
              <w:ind w:firstLine="0"/>
              <w:rPr>
                <w:rFonts w:eastAsia="SimSun"/>
                <w:sz w:val="22"/>
              </w:rPr>
            </w:pPr>
            <w:r w:rsidRPr="00470E23">
              <w:rPr>
                <w:rFonts w:eastAsia="SimSun"/>
                <w:sz w:val="22"/>
              </w:rPr>
              <w:t>5.2.2.20</w:t>
            </w:r>
          </w:p>
        </w:tc>
        <w:tc>
          <w:tcPr>
            <w:tcW w:w="394" w:type="pct"/>
            <w:vAlign w:val="center"/>
          </w:tcPr>
          <w:p w14:paraId="0C5CFCCA" w14:textId="77777777" w:rsidR="00124A26" w:rsidRPr="00470E23" w:rsidRDefault="00124A26" w:rsidP="002D3EBF">
            <w:pPr>
              <w:ind w:firstLine="0"/>
              <w:rPr>
                <w:rFonts w:eastAsia="SimSun"/>
                <w:sz w:val="22"/>
              </w:rPr>
            </w:pPr>
          </w:p>
        </w:tc>
      </w:tr>
      <w:tr w:rsidR="00124A26" w:rsidRPr="00470E23" w14:paraId="6721CB17" w14:textId="77777777" w:rsidTr="002D3EBF">
        <w:trPr>
          <w:cantSplit/>
          <w:trHeight w:val="606"/>
        </w:trPr>
        <w:tc>
          <w:tcPr>
            <w:tcW w:w="348" w:type="pct"/>
            <w:vMerge w:val="restart"/>
            <w:shd w:val="clear" w:color="auto" w:fill="D9D9D9"/>
            <w:vAlign w:val="center"/>
          </w:tcPr>
          <w:p w14:paraId="3C84BC9E" w14:textId="77777777" w:rsidR="00124A26" w:rsidRPr="00470E23" w:rsidRDefault="00124A26" w:rsidP="002D3EBF">
            <w:pPr>
              <w:ind w:firstLine="0"/>
              <w:rPr>
                <w:rFonts w:eastAsia="SimSun"/>
                <w:sz w:val="22"/>
              </w:rPr>
            </w:pPr>
            <w:r w:rsidRPr="00470E23">
              <w:rPr>
                <w:rFonts w:eastAsia="SimSun"/>
                <w:sz w:val="22"/>
              </w:rPr>
              <w:t>PT-Cy</w:t>
            </w:r>
          </w:p>
          <w:p w14:paraId="4B44C3BA" w14:textId="77777777" w:rsidR="00124A26" w:rsidRPr="00470E23" w:rsidRDefault="00124A26" w:rsidP="002D3EBF">
            <w:pPr>
              <w:ind w:firstLine="0"/>
              <w:rPr>
                <w:rFonts w:eastAsia="SimSun"/>
                <w:sz w:val="22"/>
              </w:rPr>
            </w:pPr>
          </w:p>
        </w:tc>
        <w:tc>
          <w:tcPr>
            <w:tcW w:w="303" w:type="pct"/>
            <w:shd w:val="clear" w:color="auto" w:fill="D9D9D9"/>
            <w:vAlign w:val="center"/>
          </w:tcPr>
          <w:p w14:paraId="2815979B" w14:textId="77777777" w:rsidR="00124A26" w:rsidRPr="00470E23" w:rsidRDefault="00124A26" w:rsidP="002D3EBF">
            <w:pPr>
              <w:ind w:firstLine="0"/>
              <w:rPr>
                <w:rFonts w:eastAsia="SimSun"/>
                <w:sz w:val="22"/>
              </w:rPr>
            </w:pPr>
            <w:r w:rsidRPr="00470E23">
              <w:rPr>
                <w:rFonts w:eastAsia="SimSun"/>
                <w:sz w:val="22"/>
              </w:rPr>
              <w:t>-</w:t>
            </w:r>
          </w:p>
        </w:tc>
        <w:tc>
          <w:tcPr>
            <w:tcW w:w="308" w:type="pct"/>
            <w:shd w:val="clear" w:color="auto" w:fill="D9D9D9"/>
            <w:vAlign w:val="center"/>
          </w:tcPr>
          <w:p w14:paraId="5F65D166" w14:textId="77777777" w:rsidR="00124A26" w:rsidRPr="00470E23" w:rsidRDefault="00124A26" w:rsidP="002D3EBF">
            <w:pPr>
              <w:ind w:firstLine="0"/>
              <w:rPr>
                <w:rFonts w:eastAsia="SimSun"/>
                <w:sz w:val="22"/>
              </w:rPr>
            </w:pPr>
            <w:r w:rsidRPr="00470E23">
              <w:rPr>
                <w:rFonts w:eastAsia="SimSun"/>
                <w:sz w:val="22"/>
              </w:rPr>
              <w:t>-</w:t>
            </w:r>
          </w:p>
        </w:tc>
        <w:tc>
          <w:tcPr>
            <w:tcW w:w="428" w:type="pct"/>
            <w:shd w:val="clear" w:color="auto" w:fill="D9D9D9"/>
            <w:vAlign w:val="center"/>
          </w:tcPr>
          <w:p w14:paraId="601F29D1" w14:textId="77777777" w:rsidR="00124A26" w:rsidRPr="00470E23" w:rsidRDefault="00124A26" w:rsidP="002D3EBF">
            <w:pPr>
              <w:ind w:firstLine="0"/>
              <w:rPr>
                <w:rFonts w:eastAsia="SimSun"/>
                <w:sz w:val="22"/>
              </w:rPr>
            </w:pPr>
            <w:r w:rsidRPr="00470E23">
              <w:rPr>
                <w:rFonts w:eastAsia="SimSun"/>
                <w:sz w:val="22"/>
              </w:rPr>
              <w:t>-</w:t>
            </w:r>
          </w:p>
        </w:tc>
        <w:tc>
          <w:tcPr>
            <w:tcW w:w="412" w:type="pct"/>
            <w:shd w:val="clear" w:color="auto" w:fill="auto"/>
            <w:vAlign w:val="center"/>
          </w:tcPr>
          <w:p w14:paraId="2694291E" w14:textId="77777777" w:rsidR="00124A26" w:rsidRPr="00470E23" w:rsidRDefault="00124A26" w:rsidP="002D3EBF">
            <w:pPr>
              <w:ind w:firstLine="0"/>
              <w:rPr>
                <w:rFonts w:eastAsia="SimSun"/>
                <w:sz w:val="22"/>
              </w:rPr>
            </w:pPr>
            <w:r w:rsidRPr="00470E23">
              <w:rPr>
                <w:rFonts w:eastAsia="SimSun"/>
                <w:sz w:val="22"/>
              </w:rPr>
              <w:t>5.2.2.16</w:t>
            </w:r>
          </w:p>
        </w:tc>
        <w:tc>
          <w:tcPr>
            <w:tcW w:w="361" w:type="pct"/>
            <w:tcBorders>
              <w:right w:val="single" w:sz="4" w:space="0" w:color="00000A"/>
            </w:tcBorders>
            <w:shd w:val="clear" w:color="auto" w:fill="auto"/>
            <w:vAlign w:val="center"/>
          </w:tcPr>
          <w:p w14:paraId="1CFA36D9" w14:textId="77777777" w:rsidR="00124A26" w:rsidRPr="00470E23" w:rsidRDefault="00124A26" w:rsidP="002D3EBF">
            <w:pPr>
              <w:ind w:firstLine="0"/>
              <w:rPr>
                <w:rFonts w:eastAsia="SimSun"/>
                <w:sz w:val="22"/>
              </w:rPr>
            </w:pPr>
          </w:p>
        </w:tc>
        <w:tc>
          <w:tcPr>
            <w:tcW w:w="443" w:type="pct"/>
            <w:tcBorders>
              <w:left w:val="single" w:sz="4" w:space="0" w:color="00000A"/>
            </w:tcBorders>
            <w:shd w:val="clear" w:color="auto" w:fill="auto"/>
            <w:vAlign w:val="center"/>
          </w:tcPr>
          <w:p w14:paraId="4616D93B" w14:textId="77777777" w:rsidR="00124A26" w:rsidRPr="00470E23" w:rsidRDefault="00124A26" w:rsidP="002D3EBF">
            <w:pPr>
              <w:ind w:firstLine="0"/>
              <w:rPr>
                <w:rFonts w:eastAsia="SimSun"/>
                <w:sz w:val="22"/>
              </w:rPr>
            </w:pPr>
          </w:p>
        </w:tc>
        <w:tc>
          <w:tcPr>
            <w:tcW w:w="430" w:type="pct"/>
            <w:tcBorders>
              <w:right w:val="single" w:sz="4" w:space="0" w:color="00000A"/>
            </w:tcBorders>
            <w:shd w:val="clear" w:color="auto" w:fill="auto"/>
            <w:vAlign w:val="center"/>
          </w:tcPr>
          <w:p w14:paraId="75988153" w14:textId="77777777" w:rsidR="00124A26" w:rsidRPr="00470E23" w:rsidRDefault="00124A26" w:rsidP="002D3EBF">
            <w:pPr>
              <w:ind w:firstLine="0"/>
              <w:rPr>
                <w:rFonts w:eastAsia="SimSun"/>
                <w:sz w:val="22"/>
              </w:rPr>
            </w:pPr>
          </w:p>
        </w:tc>
        <w:tc>
          <w:tcPr>
            <w:tcW w:w="316" w:type="pct"/>
            <w:tcBorders>
              <w:left w:val="single" w:sz="4" w:space="0" w:color="00000A"/>
            </w:tcBorders>
            <w:shd w:val="clear" w:color="auto" w:fill="auto"/>
            <w:vAlign w:val="center"/>
          </w:tcPr>
          <w:p w14:paraId="76A645A2" w14:textId="77777777" w:rsidR="00124A26" w:rsidRPr="00470E23" w:rsidRDefault="00124A26" w:rsidP="002D3EBF">
            <w:pPr>
              <w:ind w:firstLine="0"/>
              <w:rPr>
                <w:rFonts w:eastAsia="SimSun"/>
                <w:sz w:val="22"/>
              </w:rPr>
            </w:pPr>
            <w:r w:rsidRPr="00470E23">
              <w:rPr>
                <w:rFonts w:eastAsia="SimSun"/>
                <w:sz w:val="22"/>
              </w:rPr>
              <w:t>5.2.2.8</w:t>
            </w:r>
          </w:p>
        </w:tc>
        <w:tc>
          <w:tcPr>
            <w:tcW w:w="475" w:type="pct"/>
            <w:shd w:val="clear" w:color="auto" w:fill="auto"/>
            <w:vAlign w:val="center"/>
          </w:tcPr>
          <w:p w14:paraId="63CA5B0D" w14:textId="77777777" w:rsidR="00124A26" w:rsidRPr="00470E23" w:rsidRDefault="00124A26" w:rsidP="002D3EBF">
            <w:pPr>
              <w:ind w:firstLine="0"/>
              <w:rPr>
                <w:rFonts w:eastAsia="SimSun"/>
                <w:sz w:val="22"/>
              </w:rPr>
            </w:pPr>
            <w:r w:rsidRPr="00470E23">
              <w:rPr>
                <w:rFonts w:eastAsia="SimSun"/>
                <w:sz w:val="22"/>
              </w:rPr>
              <w:t>5.2.2.12</w:t>
            </w:r>
          </w:p>
        </w:tc>
        <w:tc>
          <w:tcPr>
            <w:tcW w:w="382" w:type="pct"/>
            <w:shd w:val="clear" w:color="auto" w:fill="auto"/>
            <w:vAlign w:val="center"/>
          </w:tcPr>
          <w:p w14:paraId="6513DDA8" w14:textId="77777777" w:rsidR="00124A26" w:rsidRPr="00470E23" w:rsidRDefault="00124A26" w:rsidP="002D3EBF">
            <w:pPr>
              <w:ind w:firstLine="0"/>
              <w:rPr>
                <w:rFonts w:eastAsia="SimSun"/>
                <w:sz w:val="22"/>
              </w:rPr>
            </w:pPr>
          </w:p>
        </w:tc>
        <w:tc>
          <w:tcPr>
            <w:tcW w:w="400" w:type="pct"/>
            <w:shd w:val="clear" w:color="auto" w:fill="auto"/>
            <w:vAlign w:val="center"/>
          </w:tcPr>
          <w:p w14:paraId="462B715D" w14:textId="77777777" w:rsidR="00124A26" w:rsidRPr="00470E23" w:rsidRDefault="00124A26" w:rsidP="002D3EBF">
            <w:pPr>
              <w:ind w:firstLine="0"/>
              <w:rPr>
                <w:rFonts w:eastAsia="SimSun"/>
                <w:sz w:val="22"/>
              </w:rPr>
            </w:pPr>
          </w:p>
        </w:tc>
        <w:tc>
          <w:tcPr>
            <w:tcW w:w="394" w:type="pct"/>
            <w:vAlign w:val="center"/>
          </w:tcPr>
          <w:p w14:paraId="0BA8D5E1" w14:textId="77777777" w:rsidR="00124A26" w:rsidRPr="00470E23" w:rsidRDefault="00124A26" w:rsidP="002D3EBF">
            <w:pPr>
              <w:ind w:firstLine="0"/>
              <w:rPr>
                <w:rFonts w:eastAsia="SimSun"/>
                <w:sz w:val="22"/>
              </w:rPr>
            </w:pPr>
          </w:p>
        </w:tc>
      </w:tr>
      <w:tr w:rsidR="00124A26" w:rsidRPr="00470E23" w14:paraId="2FE18364" w14:textId="77777777" w:rsidTr="002D3EBF">
        <w:trPr>
          <w:cantSplit/>
          <w:trHeight w:val="606"/>
        </w:trPr>
        <w:tc>
          <w:tcPr>
            <w:tcW w:w="348" w:type="pct"/>
            <w:vMerge/>
            <w:shd w:val="clear" w:color="auto" w:fill="D9D9D9"/>
            <w:vAlign w:val="center"/>
          </w:tcPr>
          <w:p w14:paraId="16790D98" w14:textId="77777777" w:rsidR="00124A26" w:rsidRPr="00470E23" w:rsidRDefault="00124A26" w:rsidP="002D3EBF">
            <w:pPr>
              <w:ind w:firstLine="0"/>
              <w:rPr>
                <w:rFonts w:eastAsia="SimSun"/>
                <w:sz w:val="22"/>
              </w:rPr>
            </w:pPr>
          </w:p>
        </w:tc>
        <w:tc>
          <w:tcPr>
            <w:tcW w:w="303" w:type="pct"/>
            <w:vMerge w:val="restart"/>
            <w:shd w:val="clear" w:color="auto" w:fill="D9D9D9"/>
            <w:vAlign w:val="center"/>
          </w:tcPr>
          <w:p w14:paraId="3D0B4AB3" w14:textId="77777777" w:rsidR="00124A26" w:rsidRPr="00470E23" w:rsidRDefault="00124A26" w:rsidP="002D3EBF">
            <w:pPr>
              <w:ind w:firstLine="0"/>
              <w:rPr>
                <w:rFonts w:eastAsia="SimSun"/>
                <w:sz w:val="22"/>
              </w:rPr>
            </w:pPr>
            <w:r w:rsidRPr="00470E23">
              <w:rPr>
                <w:rFonts w:eastAsia="SimSun"/>
                <w:sz w:val="22"/>
              </w:rPr>
              <w:t>CSA</w:t>
            </w:r>
          </w:p>
          <w:p w14:paraId="753D7DA1" w14:textId="77777777" w:rsidR="00124A26" w:rsidRPr="00470E23" w:rsidRDefault="00124A26" w:rsidP="002D3EBF">
            <w:pPr>
              <w:ind w:firstLine="0"/>
              <w:rPr>
                <w:rFonts w:eastAsia="SimSun"/>
                <w:sz w:val="22"/>
              </w:rPr>
            </w:pPr>
          </w:p>
        </w:tc>
        <w:tc>
          <w:tcPr>
            <w:tcW w:w="308" w:type="pct"/>
            <w:shd w:val="clear" w:color="auto" w:fill="D9D9D9"/>
            <w:vAlign w:val="center"/>
          </w:tcPr>
          <w:p w14:paraId="53098A10" w14:textId="77777777" w:rsidR="00124A26" w:rsidRPr="00470E23" w:rsidRDefault="00124A26" w:rsidP="002D3EBF">
            <w:pPr>
              <w:ind w:firstLine="0"/>
              <w:rPr>
                <w:rFonts w:eastAsia="SimSun"/>
                <w:sz w:val="22"/>
              </w:rPr>
            </w:pPr>
            <w:r w:rsidRPr="00470E23">
              <w:rPr>
                <w:rFonts w:eastAsia="SimSun"/>
                <w:sz w:val="22"/>
              </w:rPr>
              <w:t>-</w:t>
            </w:r>
          </w:p>
        </w:tc>
        <w:tc>
          <w:tcPr>
            <w:tcW w:w="428" w:type="pct"/>
            <w:shd w:val="clear" w:color="auto" w:fill="D9D9D9"/>
            <w:vAlign w:val="center"/>
          </w:tcPr>
          <w:p w14:paraId="30027C54" w14:textId="77777777" w:rsidR="00124A26" w:rsidRPr="00470E23" w:rsidRDefault="00124A26" w:rsidP="002D3EBF">
            <w:pPr>
              <w:ind w:firstLine="0"/>
              <w:rPr>
                <w:rFonts w:eastAsia="SimSun"/>
                <w:sz w:val="22"/>
              </w:rPr>
            </w:pPr>
            <w:r w:rsidRPr="00470E23">
              <w:rPr>
                <w:rFonts w:eastAsia="SimSun"/>
                <w:sz w:val="22"/>
              </w:rPr>
              <w:t>MMF30</w:t>
            </w:r>
          </w:p>
        </w:tc>
        <w:tc>
          <w:tcPr>
            <w:tcW w:w="412" w:type="pct"/>
            <w:shd w:val="clear" w:color="auto" w:fill="auto"/>
            <w:vAlign w:val="center"/>
          </w:tcPr>
          <w:p w14:paraId="6A68674C" w14:textId="77777777" w:rsidR="00124A26" w:rsidRPr="00470E23" w:rsidRDefault="00124A26" w:rsidP="002D3EBF">
            <w:pPr>
              <w:ind w:firstLine="0"/>
              <w:rPr>
                <w:rFonts w:eastAsia="SimSun"/>
                <w:sz w:val="22"/>
              </w:rPr>
            </w:pPr>
          </w:p>
        </w:tc>
        <w:tc>
          <w:tcPr>
            <w:tcW w:w="361" w:type="pct"/>
            <w:tcBorders>
              <w:right w:val="single" w:sz="4" w:space="0" w:color="00000A"/>
            </w:tcBorders>
            <w:shd w:val="clear" w:color="auto" w:fill="auto"/>
            <w:vAlign w:val="center"/>
          </w:tcPr>
          <w:p w14:paraId="424FC512" w14:textId="77777777" w:rsidR="00124A26" w:rsidRPr="00470E23" w:rsidRDefault="00124A26" w:rsidP="002D3EBF">
            <w:pPr>
              <w:ind w:firstLine="0"/>
              <w:rPr>
                <w:rFonts w:eastAsia="SimSun"/>
                <w:sz w:val="22"/>
              </w:rPr>
            </w:pPr>
          </w:p>
        </w:tc>
        <w:tc>
          <w:tcPr>
            <w:tcW w:w="443" w:type="pct"/>
            <w:tcBorders>
              <w:left w:val="single" w:sz="4" w:space="0" w:color="00000A"/>
            </w:tcBorders>
            <w:shd w:val="clear" w:color="auto" w:fill="auto"/>
            <w:vAlign w:val="center"/>
          </w:tcPr>
          <w:p w14:paraId="0948240D" w14:textId="77777777" w:rsidR="00124A26" w:rsidRPr="00470E23" w:rsidRDefault="00124A26" w:rsidP="002D3EBF">
            <w:pPr>
              <w:ind w:firstLine="0"/>
              <w:rPr>
                <w:rFonts w:eastAsia="SimSun"/>
                <w:sz w:val="22"/>
              </w:rPr>
            </w:pPr>
            <w:r w:rsidRPr="00470E23">
              <w:rPr>
                <w:rFonts w:eastAsia="SimSun"/>
                <w:sz w:val="22"/>
              </w:rPr>
              <w:t>5.2.2.3</w:t>
            </w:r>
          </w:p>
        </w:tc>
        <w:tc>
          <w:tcPr>
            <w:tcW w:w="430" w:type="pct"/>
            <w:tcBorders>
              <w:right w:val="single" w:sz="4" w:space="0" w:color="00000A"/>
            </w:tcBorders>
            <w:shd w:val="clear" w:color="auto" w:fill="auto"/>
            <w:vAlign w:val="center"/>
          </w:tcPr>
          <w:p w14:paraId="2F9BB867" w14:textId="77777777" w:rsidR="00124A26" w:rsidRPr="00470E23" w:rsidRDefault="00124A26" w:rsidP="002D3EBF">
            <w:pPr>
              <w:ind w:firstLine="0"/>
              <w:rPr>
                <w:rFonts w:eastAsia="SimSun"/>
                <w:sz w:val="22"/>
              </w:rPr>
            </w:pPr>
            <w:r w:rsidRPr="00470E23">
              <w:rPr>
                <w:rFonts w:eastAsia="SimSun"/>
                <w:sz w:val="22"/>
              </w:rPr>
              <w:t>5.2.2.7/11</w:t>
            </w:r>
          </w:p>
        </w:tc>
        <w:tc>
          <w:tcPr>
            <w:tcW w:w="316" w:type="pct"/>
            <w:tcBorders>
              <w:left w:val="single" w:sz="4" w:space="0" w:color="00000A"/>
            </w:tcBorders>
            <w:shd w:val="clear" w:color="auto" w:fill="auto"/>
            <w:vAlign w:val="center"/>
          </w:tcPr>
          <w:p w14:paraId="03FE0B4F" w14:textId="77777777" w:rsidR="00124A26" w:rsidRPr="00470E23" w:rsidRDefault="00124A26" w:rsidP="002D3EBF">
            <w:pPr>
              <w:ind w:firstLine="0"/>
              <w:rPr>
                <w:rFonts w:eastAsia="SimSun"/>
                <w:sz w:val="22"/>
              </w:rPr>
            </w:pPr>
          </w:p>
        </w:tc>
        <w:tc>
          <w:tcPr>
            <w:tcW w:w="475" w:type="pct"/>
            <w:shd w:val="clear" w:color="auto" w:fill="auto"/>
            <w:vAlign w:val="center"/>
          </w:tcPr>
          <w:p w14:paraId="4404788A" w14:textId="77777777" w:rsidR="00124A26" w:rsidRPr="00470E23" w:rsidRDefault="00124A26" w:rsidP="002D3EBF">
            <w:pPr>
              <w:ind w:firstLine="0"/>
              <w:rPr>
                <w:rFonts w:eastAsia="SimSun"/>
                <w:sz w:val="22"/>
              </w:rPr>
            </w:pPr>
          </w:p>
        </w:tc>
        <w:tc>
          <w:tcPr>
            <w:tcW w:w="382" w:type="pct"/>
            <w:shd w:val="clear" w:color="auto" w:fill="auto"/>
            <w:vAlign w:val="center"/>
          </w:tcPr>
          <w:p w14:paraId="7A9131BA" w14:textId="77777777" w:rsidR="00124A26" w:rsidRPr="00470E23" w:rsidRDefault="00124A26" w:rsidP="002D3EBF">
            <w:pPr>
              <w:ind w:firstLine="0"/>
              <w:rPr>
                <w:rFonts w:eastAsia="SimSun"/>
                <w:sz w:val="22"/>
              </w:rPr>
            </w:pPr>
            <w:r w:rsidRPr="00470E23">
              <w:rPr>
                <w:rFonts w:eastAsia="SimSun"/>
                <w:sz w:val="22"/>
              </w:rPr>
              <w:t>5.2.2.18</w:t>
            </w:r>
          </w:p>
        </w:tc>
        <w:tc>
          <w:tcPr>
            <w:tcW w:w="400" w:type="pct"/>
            <w:shd w:val="clear" w:color="auto" w:fill="auto"/>
            <w:vAlign w:val="center"/>
          </w:tcPr>
          <w:p w14:paraId="2F2DA67B" w14:textId="77777777" w:rsidR="00124A26" w:rsidRPr="00470E23" w:rsidRDefault="00124A26" w:rsidP="002D3EBF">
            <w:pPr>
              <w:ind w:firstLine="0"/>
              <w:rPr>
                <w:rFonts w:eastAsia="SimSun"/>
                <w:sz w:val="22"/>
              </w:rPr>
            </w:pPr>
          </w:p>
        </w:tc>
        <w:tc>
          <w:tcPr>
            <w:tcW w:w="394" w:type="pct"/>
            <w:vAlign w:val="center"/>
          </w:tcPr>
          <w:p w14:paraId="0558848B" w14:textId="77777777" w:rsidR="00124A26" w:rsidRPr="00470E23" w:rsidRDefault="00124A26" w:rsidP="002D3EBF">
            <w:pPr>
              <w:ind w:firstLine="0"/>
              <w:rPr>
                <w:rFonts w:eastAsia="SimSun"/>
                <w:sz w:val="22"/>
              </w:rPr>
            </w:pPr>
          </w:p>
        </w:tc>
      </w:tr>
      <w:tr w:rsidR="00124A26" w:rsidRPr="00470E23" w14:paraId="1609366E" w14:textId="77777777" w:rsidTr="002D3EBF">
        <w:trPr>
          <w:cantSplit/>
          <w:trHeight w:val="606"/>
        </w:trPr>
        <w:tc>
          <w:tcPr>
            <w:tcW w:w="348" w:type="pct"/>
            <w:vMerge/>
            <w:shd w:val="clear" w:color="auto" w:fill="D9D9D9"/>
            <w:vAlign w:val="center"/>
          </w:tcPr>
          <w:p w14:paraId="797A6453" w14:textId="77777777" w:rsidR="00124A26" w:rsidRPr="00470E23" w:rsidRDefault="00124A26" w:rsidP="002D3EBF">
            <w:pPr>
              <w:ind w:firstLine="0"/>
              <w:rPr>
                <w:rFonts w:eastAsia="SimSun"/>
                <w:sz w:val="22"/>
              </w:rPr>
            </w:pPr>
          </w:p>
        </w:tc>
        <w:tc>
          <w:tcPr>
            <w:tcW w:w="303" w:type="pct"/>
            <w:vMerge/>
            <w:shd w:val="clear" w:color="auto" w:fill="D9D9D9"/>
            <w:vAlign w:val="center"/>
          </w:tcPr>
          <w:p w14:paraId="6767AB8D" w14:textId="77777777" w:rsidR="00124A26" w:rsidRPr="00470E23" w:rsidRDefault="00124A26" w:rsidP="002D3EBF">
            <w:pPr>
              <w:ind w:firstLine="0"/>
              <w:rPr>
                <w:rFonts w:eastAsia="SimSun"/>
                <w:sz w:val="22"/>
              </w:rPr>
            </w:pPr>
          </w:p>
        </w:tc>
        <w:tc>
          <w:tcPr>
            <w:tcW w:w="308" w:type="pct"/>
            <w:shd w:val="clear" w:color="auto" w:fill="D9D9D9"/>
            <w:vAlign w:val="center"/>
          </w:tcPr>
          <w:p w14:paraId="0F2D338A" w14:textId="77777777" w:rsidR="00124A26" w:rsidRPr="00470E23" w:rsidRDefault="00124A26" w:rsidP="002D3EBF">
            <w:pPr>
              <w:ind w:firstLine="0"/>
              <w:rPr>
                <w:rFonts w:eastAsia="SimSun"/>
                <w:sz w:val="22"/>
              </w:rPr>
            </w:pPr>
            <w:r w:rsidRPr="00470E23">
              <w:rPr>
                <w:rFonts w:eastAsia="SimSun"/>
                <w:sz w:val="22"/>
              </w:rPr>
              <w:t>-</w:t>
            </w:r>
          </w:p>
        </w:tc>
        <w:tc>
          <w:tcPr>
            <w:tcW w:w="428" w:type="pct"/>
            <w:shd w:val="clear" w:color="auto" w:fill="D9D9D9"/>
            <w:vAlign w:val="center"/>
          </w:tcPr>
          <w:p w14:paraId="541EFD83" w14:textId="77777777" w:rsidR="00124A26" w:rsidRPr="00470E23" w:rsidRDefault="00124A26" w:rsidP="002D3EBF">
            <w:pPr>
              <w:ind w:firstLine="0"/>
              <w:rPr>
                <w:rFonts w:eastAsia="SimSun"/>
                <w:sz w:val="22"/>
              </w:rPr>
            </w:pPr>
            <w:r w:rsidRPr="00470E23">
              <w:rPr>
                <w:rFonts w:eastAsia="SimSun"/>
                <w:sz w:val="22"/>
              </w:rPr>
              <w:t>MMF45</w:t>
            </w:r>
          </w:p>
        </w:tc>
        <w:tc>
          <w:tcPr>
            <w:tcW w:w="412" w:type="pct"/>
            <w:shd w:val="clear" w:color="auto" w:fill="auto"/>
            <w:vAlign w:val="center"/>
          </w:tcPr>
          <w:p w14:paraId="43F07643" w14:textId="77777777" w:rsidR="00124A26" w:rsidRPr="00470E23" w:rsidRDefault="00124A26" w:rsidP="002D3EBF">
            <w:pPr>
              <w:ind w:firstLine="0"/>
              <w:rPr>
                <w:rFonts w:eastAsia="SimSun"/>
                <w:sz w:val="22"/>
              </w:rPr>
            </w:pPr>
          </w:p>
        </w:tc>
        <w:tc>
          <w:tcPr>
            <w:tcW w:w="361" w:type="pct"/>
            <w:tcBorders>
              <w:right w:val="single" w:sz="4" w:space="0" w:color="00000A"/>
            </w:tcBorders>
            <w:shd w:val="clear" w:color="auto" w:fill="auto"/>
            <w:vAlign w:val="center"/>
          </w:tcPr>
          <w:p w14:paraId="7AF5C2DA" w14:textId="77777777" w:rsidR="00124A26" w:rsidRPr="00470E23" w:rsidRDefault="00124A26" w:rsidP="002D3EBF">
            <w:pPr>
              <w:ind w:firstLine="0"/>
              <w:rPr>
                <w:rFonts w:eastAsia="SimSun"/>
                <w:sz w:val="22"/>
              </w:rPr>
            </w:pPr>
          </w:p>
        </w:tc>
        <w:tc>
          <w:tcPr>
            <w:tcW w:w="443" w:type="pct"/>
            <w:tcBorders>
              <w:left w:val="single" w:sz="4" w:space="0" w:color="00000A"/>
            </w:tcBorders>
            <w:shd w:val="clear" w:color="auto" w:fill="auto"/>
            <w:vAlign w:val="center"/>
          </w:tcPr>
          <w:p w14:paraId="41410F38" w14:textId="77777777" w:rsidR="00124A26" w:rsidRPr="00470E23" w:rsidRDefault="00124A26" w:rsidP="002D3EBF">
            <w:pPr>
              <w:ind w:firstLine="0"/>
              <w:rPr>
                <w:rFonts w:eastAsia="SimSun"/>
                <w:sz w:val="22"/>
              </w:rPr>
            </w:pPr>
            <w:r w:rsidRPr="00470E23">
              <w:rPr>
                <w:rFonts w:eastAsia="SimSun"/>
                <w:sz w:val="22"/>
              </w:rPr>
              <w:t>5.2.2.4</w:t>
            </w:r>
          </w:p>
        </w:tc>
        <w:tc>
          <w:tcPr>
            <w:tcW w:w="430" w:type="pct"/>
            <w:tcBorders>
              <w:right w:val="single" w:sz="4" w:space="0" w:color="00000A"/>
            </w:tcBorders>
            <w:shd w:val="clear" w:color="auto" w:fill="auto"/>
            <w:vAlign w:val="center"/>
          </w:tcPr>
          <w:p w14:paraId="77F1B214" w14:textId="77777777" w:rsidR="00124A26" w:rsidRPr="00470E23" w:rsidRDefault="00124A26" w:rsidP="002D3EBF">
            <w:pPr>
              <w:ind w:firstLine="0"/>
              <w:rPr>
                <w:rFonts w:eastAsia="SimSun"/>
                <w:sz w:val="22"/>
              </w:rPr>
            </w:pPr>
          </w:p>
        </w:tc>
        <w:tc>
          <w:tcPr>
            <w:tcW w:w="316" w:type="pct"/>
            <w:tcBorders>
              <w:left w:val="single" w:sz="4" w:space="0" w:color="00000A"/>
            </w:tcBorders>
            <w:shd w:val="clear" w:color="auto" w:fill="auto"/>
            <w:vAlign w:val="center"/>
          </w:tcPr>
          <w:p w14:paraId="0E49A833" w14:textId="77777777" w:rsidR="00124A26" w:rsidRPr="00470E23" w:rsidRDefault="00124A26" w:rsidP="002D3EBF">
            <w:pPr>
              <w:ind w:firstLine="0"/>
              <w:rPr>
                <w:rFonts w:eastAsia="SimSun"/>
                <w:sz w:val="22"/>
              </w:rPr>
            </w:pPr>
          </w:p>
        </w:tc>
        <w:tc>
          <w:tcPr>
            <w:tcW w:w="475" w:type="pct"/>
            <w:shd w:val="clear" w:color="auto" w:fill="auto"/>
            <w:vAlign w:val="center"/>
          </w:tcPr>
          <w:p w14:paraId="3AC6549D" w14:textId="77777777" w:rsidR="00124A26" w:rsidRPr="00470E23" w:rsidRDefault="00124A26" w:rsidP="002D3EBF">
            <w:pPr>
              <w:ind w:firstLine="0"/>
              <w:rPr>
                <w:rFonts w:eastAsia="SimSun"/>
                <w:sz w:val="22"/>
              </w:rPr>
            </w:pPr>
          </w:p>
        </w:tc>
        <w:tc>
          <w:tcPr>
            <w:tcW w:w="382" w:type="pct"/>
            <w:shd w:val="clear" w:color="auto" w:fill="auto"/>
            <w:vAlign w:val="center"/>
          </w:tcPr>
          <w:p w14:paraId="65A8EBB1" w14:textId="77777777" w:rsidR="00124A26" w:rsidRPr="00470E23" w:rsidRDefault="00124A26" w:rsidP="002D3EBF">
            <w:pPr>
              <w:ind w:firstLine="0"/>
              <w:rPr>
                <w:rFonts w:eastAsia="SimSun"/>
                <w:sz w:val="22"/>
              </w:rPr>
            </w:pPr>
          </w:p>
        </w:tc>
        <w:tc>
          <w:tcPr>
            <w:tcW w:w="400" w:type="pct"/>
            <w:shd w:val="clear" w:color="auto" w:fill="auto"/>
            <w:vAlign w:val="center"/>
          </w:tcPr>
          <w:p w14:paraId="1C66CB48" w14:textId="77777777" w:rsidR="00124A26" w:rsidRPr="00470E23" w:rsidRDefault="00124A26" w:rsidP="002D3EBF">
            <w:pPr>
              <w:ind w:firstLine="0"/>
              <w:rPr>
                <w:rFonts w:eastAsia="SimSun"/>
                <w:sz w:val="22"/>
              </w:rPr>
            </w:pPr>
          </w:p>
        </w:tc>
        <w:tc>
          <w:tcPr>
            <w:tcW w:w="394" w:type="pct"/>
            <w:vAlign w:val="center"/>
          </w:tcPr>
          <w:p w14:paraId="2E9144CD" w14:textId="77777777" w:rsidR="00124A26" w:rsidRPr="00470E23" w:rsidRDefault="00124A26" w:rsidP="002D3EBF">
            <w:pPr>
              <w:ind w:firstLine="0"/>
              <w:rPr>
                <w:rFonts w:eastAsia="SimSun"/>
                <w:sz w:val="22"/>
              </w:rPr>
            </w:pPr>
          </w:p>
        </w:tc>
      </w:tr>
      <w:tr w:rsidR="00124A26" w:rsidRPr="00470E23" w14:paraId="46936207" w14:textId="77777777" w:rsidTr="002D3EBF">
        <w:trPr>
          <w:cantSplit/>
          <w:trHeight w:val="606"/>
        </w:trPr>
        <w:tc>
          <w:tcPr>
            <w:tcW w:w="348" w:type="pct"/>
            <w:vMerge/>
            <w:shd w:val="clear" w:color="auto" w:fill="D9D9D9"/>
            <w:vAlign w:val="center"/>
          </w:tcPr>
          <w:p w14:paraId="7A79D826" w14:textId="77777777" w:rsidR="00124A26" w:rsidRPr="00470E23" w:rsidRDefault="00124A26" w:rsidP="002D3EBF">
            <w:pPr>
              <w:ind w:firstLine="0"/>
              <w:rPr>
                <w:rFonts w:eastAsia="SimSun"/>
                <w:sz w:val="22"/>
              </w:rPr>
            </w:pPr>
          </w:p>
        </w:tc>
        <w:tc>
          <w:tcPr>
            <w:tcW w:w="303" w:type="pct"/>
            <w:shd w:val="clear" w:color="auto" w:fill="D9D9D9"/>
            <w:vAlign w:val="center"/>
          </w:tcPr>
          <w:p w14:paraId="2F6620DE" w14:textId="77777777" w:rsidR="00124A26" w:rsidRPr="00470E23" w:rsidRDefault="00124A26" w:rsidP="002D3EBF">
            <w:pPr>
              <w:ind w:firstLine="0"/>
              <w:rPr>
                <w:rFonts w:eastAsia="SimSun"/>
                <w:sz w:val="22"/>
              </w:rPr>
            </w:pPr>
            <w:r w:rsidRPr="00470E23">
              <w:rPr>
                <w:rFonts w:eastAsia="SimSun"/>
                <w:sz w:val="22"/>
              </w:rPr>
              <w:t>Tx</w:t>
            </w:r>
          </w:p>
        </w:tc>
        <w:tc>
          <w:tcPr>
            <w:tcW w:w="308" w:type="pct"/>
            <w:shd w:val="clear" w:color="auto" w:fill="D9D9D9"/>
            <w:vAlign w:val="center"/>
          </w:tcPr>
          <w:p w14:paraId="7C07B03F" w14:textId="77777777" w:rsidR="00124A26" w:rsidRPr="00470E23" w:rsidRDefault="00124A26" w:rsidP="002D3EBF">
            <w:pPr>
              <w:ind w:firstLine="0"/>
              <w:rPr>
                <w:rFonts w:eastAsia="SimSun"/>
                <w:sz w:val="22"/>
              </w:rPr>
            </w:pPr>
            <w:r w:rsidRPr="00470E23">
              <w:rPr>
                <w:rFonts w:eastAsia="SimSun"/>
                <w:sz w:val="22"/>
              </w:rPr>
              <w:t>-</w:t>
            </w:r>
          </w:p>
        </w:tc>
        <w:tc>
          <w:tcPr>
            <w:tcW w:w="428" w:type="pct"/>
            <w:shd w:val="clear" w:color="auto" w:fill="D9D9D9"/>
            <w:vAlign w:val="center"/>
          </w:tcPr>
          <w:p w14:paraId="4E016BA7" w14:textId="77777777" w:rsidR="00124A26" w:rsidRPr="00470E23" w:rsidRDefault="00124A26" w:rsidP="002D3EBF">
            <w:pPr>
              <w:ind w:firstLine="0"/>
              <w:rPr>
                <w:rFonts w:eastAsia="SimSun"/>
                <w:sz w:val="22"/>
              </w:rPr>
            </w:pPr>
            <w:r w:rsidRPr="00470E23">
              <w:rPr>
                <w:rFonts w:eastAsia="SimSun"/>
                <w:sz w:val="22"/>
              </w:rPr>
              <w:t>MMF30</w:t>
            </w:r>
          </w:p>
        </w:tc>
        <w:tc>
          <w:tcPr>
            <w:tcW w:w="412" w:type="pct"/>
            <w:shd w:val="clear" w:color="auto" w:fill="auto"/>
            <w:vAlign w:val="center"/>
          </w:tcPr>
          <w:p w14:paraId="278BCECB" w14:textId="77777777" w:rsidR="00124A26" w:rsidRPr="00470E23" w:rsidRDefault="00124A26" w:rsidP="002D3EBF">
            <w:pPr>
              <w:ind w:firstLine="0"/>
              <w:rPr>
                <w:rFonts w:eastAsia="SimSun"/>
                <w:sz w:val="22"/>
              </w:rPr>
            </w:pPr>
            <w:r w:rsidRPr="00470E23">
              <w:rPr>
                <w:rFonts w:eastAsia="SimSun"/>
                <w:sz w:val="22"/>
              </w:rPr>
              <w:t>5.2.2.15</w:t>
            </w:r>
          </w:p>
        </w:tc>
        <w:tc>
          <w:tcPr>
            <w:tcW w:w="361" w:type="pct"/>
            <w:tcBorders>
              <w:right w:val="single" w:sz="4" w:space="0" w:color="00000A"/>
            </w:tcBorders>
            <w:shd w:val="clear" w:color="auto" w:fill="auto"/>
            <w:vAlign w:val="center"/>
          </w:tcPr>
          <w:p w14:paraId="39891584" w14:textId="77777777" w:rsidR="00124A26" w:rsidRPr="00470E23" w:rsidRDefault="00124A26" w:rsidP="002D3EBF">
            <w:pPr>
              <w:ind w:firstLine="0"/>
              <w:rPr>
                <w:rFonts w:eastAsia="SimSun"/>
                <w:sz w:val="22"/>
              </w:rPr>
            </w:pPr>
          </w:p>
        </w:tc>
        <w:tc>
          <w:tcPr>
            <w:tcW w:w="443" w:type="pct"/>
            <w:tcBorders>
              <w:left w:val="single" w:sz="4" w:space="0" w:color="00000A"/>
            </w:tcBorders>
            <w:shd w:val="clear" w:color="auto" w:fill="auto"/>
            <w:vAlign w:val="center"/>
          </w:tcPr>
          <w:p w14:paraId="5B0B45A3" w14:textId="77777777" w:rsidR="00124A26" w:rsidRPr="00470E23" w:rsidRDefault="00124A26" w:rsidP="002D3EBF">
            <w:pPr>
              <w:ind w:firstLine="0"/>
              <w:rPr>
                <w:rFonts w:eastAsia="SimSun"/>
                <w:sz w:val="22"/>
              </w:rPr>
            </w:pPr>
          </w:p>
        </w:tc>
        <w:tc>
          <w:tcPr>
            <w:tcW w:w="430" w:type="pct"/>
            <w:tcBorders>
              <w:right w:val="single" w:sz="4" w:space="0" w:color="00000A"/>
            </w:tcBorders>
            <w:shd w:val="clear" w:color="auto" w:fill="auto"/>
            <w:vAlign w:val="center"/>
          </w:tcPr>
          <w:p w14:paraId="5A7B7281" w14:textId="77777777" w:rsidR="00124A26" w:rsidRPr="00470E23" w:rsidRDefault="00124A26" w:rsidP="002D3EBF">
            <w:pPr>
              <w:ind w:firstLine="0"/>
              <w:rPr>
                <w:rFonts w:eastAsia="SimSun"/>
                <w:sz w:val="22"/>
              </w:rPr>
            </w:pPr>
            <w:r w:rsidRPr="00470E23">
              <w:rPr>
                <w:rFonts w:eastAsia="SimSun"/>
                <w:sz w:val="22"/>
              </w:rPr>
              <w:t>5.2.2.9</w:t>
            </w:r>
          </w:p>
        </w:tc>
        <w:tc>
          <w:tcPr>
            <w:tcW w:w="316" w:type="pct"/>
            <w:tcBorders>
              <w:left w:val="single" w:sz="4" w:space="0" w:color="00000A"/>
            </w:tcBorders>
            <w:shd w:val="clear" w:color="auto" w:fill="auto"/>
            <w:vAlign w:val="center"/>
          </w:tcPr>
          <w:p w14:paraId="4CE4951B" w14:textId="77777777" w:rsidR="00124A26" w:rsidRPr="00470E23" w:rsidRDefault="00124A26" w:rsidP="002D3EBF">
            <w:pPr>
              <w:ind w:firstLine="0"/>
              <w:rPr>
                <w:rFonts w:eastAsia="SimSun"/>
                <w:sz w:val="22"/>
              </w:rPr>
            </w:pPr>
          </w:p>
        </w:tc>
        <w:tc>
          <w:tcPr>
            <w:tcW w:w="475" w:type="pct"/>
            <w:shd w:val="clear" w:color="auto" w:fill="auto"/>
            <w:vAlign w:val="center"/>
          </w:tcPr>
          <w:p w14:paraId="78390944" w14:textId="77777777" w:rsidR="00124A26" w:rsidRPr="00470E23" w:rsidRDefault="00124A26" w:rsidP="002D3EBF">
            <w:pPr>
              <w:ind w:firstLine="0"/>
              <w:rPr>
                <w:rFonts w:eastAsia="SimSun"/>
                <w:sz w:val="22"/>
              </w:rPr>
            </w:pPr>
            <w:r w:rsidRPr="00470E23">
              <w:rPr>
                <w:rFonts w:eastAsia="SimSun"/>
                <w:sz w:val="22"/>
              </w:rPr>
              <w:t>5.2.2.13</w:t>
            </w:r>
          </w:p>
        </w:tc>
        <w:tc>
          <w:tcPr>
            <w:tcW w:w="382" w:type="pct"/>
            <w:shd w:val="clear" w:color="auto" w:fill="auto"/>
            <w:vAlign w:val="center"/>
          </w:tcPr>
          <w:p w14:paraId="3F257B73" w14:textId="77777777" w:rsidR="00124A26" w:rsidRPr="00470E23" w:rsidRDefault="00124A26" w:rsidP="002D3EBF">
            <w:pPr>
              <w:ind w:firstLine="0"/>
              <w:rPr>
                <w:rFonts w:eastAsia="SimSun"/>
                <w:sz w:val="22"/>
              </w:rPr>
            </w:pPr>
          </w:p>
        </w:tc>
        <w:tc>
          <w:tcPr>
            <w:tcW w:w="400" w:type="pct"/>
            <w:shd w:val="clear" w:color="auto" w:fill="auto"/>
            <w:vAlign w:val="center"/>
          </w:tcPr>
          <w:p w14:paraId="1BFDCD76" w14:textId="77777777" w:rsidR="00124A26" w:rsidRPr="00470E23" w:rsidRDefault="00124A26" w:rsidP="002D3EBF">
            <w:pPr>
              <w:ind w:firstLine="0"/>
              <w:rPr>
                <w:rFonts w:eastAsia="SimSun"/>
                <w:sz w:val="22"/>
              </w:rPr>
            </w:pPr>
          </w:p>
        </w:tc>
        <w:tc>
          <w:tcPr>
            <w:tcW w:w="394" w:type="pct"/>
            <w:vAlign w:val="center"/>
          </w:tcPr>
          <w:p w14:paraId="72BFE3CF" w14:textId="77777777" w:rsidR="00124A26" w:rsidRPr="00470E23" w:rsidRDefault="00124A26" w:rsidP="002D3EBF">
            <w:pPr>
              <w:ind w:firstLine="0"/>
              <w:rPr>
                <w:rFonts w:eastAsia="SimSun"/>
                <w:sz w:val="22"/>
              </w:rPr>
            </w:pPr>
            <w:r w:rsidRPr="00470E23">
              <w:rPr>
                <w:rFonts w:eastAsia="SimSun"/>
                <w:sz w:val="22"/>
              </w:rPr>
              <w:t>5.2.2.21</w:t>
            </w:r>
          </w:p>
        </w:tc>
      </w:tr>
      <w:tr w:rsidR="00124A26" w:rsidRPr="00470E23" w14:paraId="706EF5A5" w14:textId="77777777" w:rsidTr="002D3EBF">
        <w:trPr>
          <w:cantSplit/>
          <w:trHeight w:val="606"/>
        </w:trPr>
        <w:tc>
          <w:tcPr>
            <w:tcW w:w="348" w:type="pct"/>
            <w:vMerge/>
            <w:shd w:val="clear" w:color="auto" w:fill="D9D9D9"/>
            <w:vAlign w:val="center"/>
          </w:tcPr>
          <w:p w14:paraId="1F247AB1" w14:textId="77777777" w:rsidR="00124A26" w:rsidRPr="00470E23" w:rsidRDefault="00124A26" w:rsidP="002D3EBF">
            <w:pPr>
              <w:ind w:firstLine="0"/>
              <w:rPr>
                <w:rFonts w:eastAsia="SimSun"/>
                <w:sz w:val="22"/>
              </w:rPr>
            </w:pPr>
          </w:p>
        </w:tc>
        <w:tc>
          <w:tcPr>
            <w:tcW w:w="303" w:type="pct"/>
            <w:shd w:val="clear" w:color="auto" w:fill="D9D9D9"/>
            <w:vAlign w:val="center"/>
          </w:tcPr>
          <w:p w14:paraId="55838B1A" w14:textId="77777777" w:rsidR="00124A26" w:rsidRPr="00470E23" w:rsidRDefault="00124A26" w:rsidP="002D3EBF">
            <w:pPr>
              <w:ind w:firstLine="0"/>
              <w:rPr>
                <w:rFonts w:eastAsia="SimSun"/>
                <w:sz w:val="22"/>
              </w:rPr>
            </w:pPr>
            <w:r w:rsidRPr="00470E23">
              <w:rPr>
                <w:rFonts w:eastAsia="SimSun"/>
                <w:sz w:val="22"/>
              </w:rPr>
              <w:t>Ruxo</w:t>
            </w:r>
          </w:p>
        </w:tc>
        <w:tc>
          <w:tcPr>
            <w:tcW w:w="308" w:type="pct"/>
            <w:shd w:val="clear" w:color="auto" w:fill="D9D9D9"/>
            <w:vAlign w:val="center"/>
          </w:tcPr>
          <w:p w14:paraId="327C4421" w14:textId="77777777" w:rsidR="00124A26" w:rsidRPr="00470E23" w:rsidRDefault="00124A26" w:rsidP="002D3EBF">
            <w:pPr>
              <w:ind w:firstLine="0"/>
              <w:rPr>
                <w:rFonts w:eastAsia="SimSun"/>
                <w:sz w:val="22"/>
              </w:rPr>
            </w:pPr>
            <w:r w:rsidRPr="00470E23">
              <w:rPr>
                <w:rFonts w:eastAsia="SimSun"/>
                <w:sz w:val="22"/>
              </w:rPr>
              <w:t>-</w:t>
            </w:r>
          </w:p>
        </w:tc>
        <w:tc>
          <w:tcPr>
            <w:tcW w:w="428" w:type="pct"/>
            <w:shd w:val="clear" w:color="auto" w:fill="D9D9D9"/>
            <w:vAlign w:val="center"/>
          </w:tcPr>
          <w:p w14:paraId="644E7E1A" w14:textId="77777777" w:rsidR="00124A26" w:rsidRPr="00470E23" w:rsidRDefault="00124A26" w:rsidP="002D3EBF">
            <w:pPr>
              <w:ind w:firstLine="0"/>
              <w:rPr>
                <w:rFonts w:eastAsia="SimSun"/>
                <w:sz w:val="22"/>
              </w:rPr>
            </w:pPr>
            <w:r w:rsidRPr="00470E23">
              <w:rPr>
                <w:rFonts w:eastAsia="SimSun"/>
                <w:sz w:val="22"/>
              </w:rPr>
              <w:t>-</w:t>
            </w:r>
          </w:p>
        </w:tc>
        <w:tc>
          <w:tcPr>
            <w:tcW w:w="412" w:type="pct"/>
            <w:shd w:val="clear" w:color="auto" w:fill="auto"/>
            <w:vAlign w:val="center"/>
          </w:tcPr>
          <w:p w14:paraId="32489CAA" w14:textId="77777777" w:rsidR="00124A26" w:rsidRPr="00470E23" w:rsidRDefault="00124A26" w:rsidP="002D3EBF">
            <w:pPr>
              <w:ind w:firstLine="0"/>
              <w:rPr>
                <w:rFonts w:eastAsia="SimSun"/>
                <w:sz w:val="22"/>
              </w:rPr>
            </w:pPr>
          </w:p>
        </w:tc>
        <w:tc>
          <w:tcPr>
            <w:tcW w:w="361" w:type="pct"/>
            <w:tcBorders>
              <w:right w:val="single" w:sz="4" w:space="0" w:color="00000A"/>
            </w:tcBorders>
            <w:shd w:val="clear" w:color="auto" w:fill="auto"/>
            <w:vAlign w:val="center"/>
          </w:tcPr>
          <w:p w14:paraId="26AEEAD8" w14:textId="77777777" w:rsidR="00124A26" w:rsidRPr="00470E23" w:rsidRDefault="00124A26" w:rsidP="002D3EBF">
            <w:pPr>
              <w:ind w:firstLine="0"/>
              <w:rPr>
                <w:rFonts w:eastAsia="SimSun"/>
                <w:sz w:val="22"/>
              </w:rPr>
            </w:pPr>
          </w:p>
        </w:tc>
        <w:tc>
          <w:tcPr>
            <w:tcW w:w="443" w:type="pct"/>
            <w:tcBorders>
              <w:left w:val="single" w:sz="4" w:space="0" w:color="00000A"/>
            </w:tcBorders>
            <w:shd w:val="clear" w:color="auto" w:fill="auto"/>
            <w:vAlign w:val="center"/>
          </w:tcPr>
          <w:p w14:paraId="1F742614" w14:textId="77777777" w:rsidR="00124A26" w:rsidRPr="00470E23" w:rsidRDefault="00124A26" w:rsidP="002D3EBF">
            <w:pPr>
              <w:ind w:firstLine="0"/>
              <w:rPr>
                <w:rFonts w:eastAsia="SimSun"/>
                <w:sz w:val="22"/>
              </w:rPr>
            </w:pPr>
          </w:p>
        </w:tc>
        <w:tc>
          <w:tcPr>
            <w:tcW w:w="430" w:type="pct"/>
            <w:tcBorders>
              <w:right w:val="single" w:sz="4" w:space="0" w:color="00000A"/>
            </w:tcBorders>
            <w:shd w:val="clear" w:color="auto" w:fill="auto"/>
            <w:vAlign w:val="center"/>
          </w:tcPr>
          <w:p w14:paraId="45E59D4A" w14:textId="77777777" w:rsidR="00124A26" w:rsidRPr="00470E23" w:rsidRDefault="00124A26" w:rsidP="002D3EBF">
            <w:pPr>
              <w:ind w:firstLine="0"/>
              <w:rPr>
                <w:rFonts w:eastAsia="SimSun"/>
                <w:sz w:val="22"/>
              </w:rPr>
            </w:pPr>
          </w:p>
        </w:tc>
        <w:tc>
          <w:tcPr>
            <w:tcW w:w="316" w:type="pct"/>
            <w:tcBorders>
              <w:left w:val="single" w:sz="4" w:space="0" w:color="00000A"/>
            </w:tcBorders>
            <w:shd w:val="clear" w:color="auto" w:fill="auto"/>
            <w:vAlign w:val="center"/>
          </w:tcPr>
          <w:p w14:paraId="14CFF96D" w14:textId="77777777" w:rsidR="00124A26" w:rsidRPr="00470E23" w:rsidRDefault="00124A26" w:rsidP="002D3EBF">
            <w:pPr>
              <w:ind w:firstLine="0"/>
              <w:rPr>
                <w:rFonts w:eastAsia="SimSun"/>
                <w:sz w:val="22"/>
              </w:rPr>
            </w:pPr>
          </w:p>
        </w:tc>
        <w:tc>
          <w:tcPr>
            <w:tcW w:w="475" w:type="pct"/>
            <w:shd w:val="clear" w:color="auto" w:fill="auto"/>
            <w:vAlign w:val="center"/>
          </w:tcPr>
          <w:p w14:paraId="09A08066" w14:textId="77777777" w:rsidR="00124A26" w:rsidRPr="00470E23" w:rsidRDefault="00124A26" w:rsidP="002D3EBF">
            <w:pPr>
              <w:ind w:firstLine="0"/>
              <w:rPr>
                <w:rFonts w:eastAsia="SimSun"/>
                <w:sz w:val="22"/>
              </w:rPr>
            </w:pPr>
            <w:r w:rsidRPr="00470E23">
              <w:rPr>
                <w:rFonts w:eastAsia="SimSun"/>
                <w:sz w:val="22"/>
              </w:rPr>
              <w:t>5.2.2.14</w:t>
            </w:r>
          </w:p>
        </w:tc>
        <w:tc>
          <w:tcPr>
            <w:tcW w:w="382" w:type="pct"/>
            <w:shd w:val="clear" w:color="auto" w:fill="auto"/>
            <w:vAlign w:val="center"/>
          </w:tcPr>
          <w:p w14:paraId="6D6A8C90" w14:textId="77777777" w:rsidR="00124A26" w:rsidRPr="00470E23" w:rsidRDefault="00124A26" w:rsidP="002D3EBF">
            <w:pPr>
              <w:ind w:firstLine="0"/>
              <w:rPr>
                <w:rFonts w:eastAsia="SimSun"/>
                <w:sz w:val="22"/>
              </w:rPr>
            </w:pPr>
          </w:p>
        </w:tc>
        <w:tc>
          <w:tcPr>
            <w:tcW w:w="400" w:type="pct"/>
            <w:shd w:val="clear" w:color="auto" w:fill="auto"/>
            <w:vAlign w:val="center"/>
          </w:tcPr>
          <w:p w14:paraId="2B9F6367" w14:textId="77777777" w:rsidR="00124A26" w:rsidRPr="00470E23" w:rsidRDefault="00124A26" w:rsidP="002D3EBF">
            <w:pPr>
              <w:ind w:firstLine="0"/>
              <w:rPr>
                <w:rFonts w:eastAsia="SimSun"/>
                <w:sz w:val="22"/>
              </w:rPr>
            </w:pPr>
          </w:p>
        </w:tc>
        <w:tc>
          <w:tcPr>
            <w:tcW w:w="394" w:type="pct"/>
            <w:vAlign w:val="center"/>
          </w:tcPr>
          <w:p w14:paraId="1CB54042" w14:textId="77777777" w:rsidR="00124A26" w:rsidRPr="00470E23" w:rsidRDefault="00124A26" w:rsidP="002D3EBF">
            <w:pPr>
              <w:ind w:firstLine="0"/>
              <w:rPr>
                <w:rFonts w:eastAsia="SimSun"/>
                <w:sz w:val="22"/>
              </w:rPr>
            </w:pPr>
          </w:p>
        </w:tc>
      </w:tr>
      <w:tr w:rsidR="00124A26" w:rsidRPr="00470E23" w14:paraId="58CF7FA1" w14:textId="77777777" w:rsidTr="002D3EBF">
        <w:trPr>
          <w:cantSplit/>
          <w:trHeight w:val="606"/>
        </w:trPr>
        <w:tc>
          <w:tcPr>
            <w:tcW w:w="348" w:type="pct"/>
            <w:shd w:val="clear" w:color="auto" w:fill="D9D9D9"/>
            <w:vAlign w:val="center"/>
          </w:tcPr>
          <w:p w14:paraId="6BD2BAB1" w14:textId="77777777" w:rsidR="00124A26" w:rsidRPr="00470E23" w:rsidRDefault="00124A26" w:rsidP="002D3EBF">
            <w:pPr>
              <w:ind w:firstLine="0"/>
              <w:rPr>
                <w:rFonts w:eastAsia="SimSun"/>
                <w:sz w:val="22"/>
              </w:rPr>
            </w:pPr>
            <w:r w:rsidRPr="00470E23">
              <w:rPr>
                <w:rFonts w:eastAsia="SimSun"/>
                <w:sz w:val="22"/>
              </w:rPr>
              <w:t>-</w:t>
            </w:r>
          </w:p>
        </w:tc>
        <w:tc>
          <w:tcPr>
            <w:tcW w:w="303" w:type="pct"/>
            <w:shd w:val="clear" w:color="auto" w:fill="D9D9D9"/>
            <w:vAlign w:val="center"/>
          </w:tcPr>
          <w:p w14:paraId="0E510CF8" w14:textId="77777777" w:rsidR="00124A26" w:rsidRPr="00470E23" w:rsidRDefault="00124A26" w:rsidP="002D3EBF">
            <w:pPr>
              <w:ind w:firstLine="0"/>
              <w:rPr>
                <w:rFonts w:eastAsia="SimSun"/>
                <w:sz w:val="22"/>
              </w:rPr>
            </w:pPr>
            <w:r w:rsidRPr="00470E23">
              <w:rPr>
                <w:rFonts w:eastAsia="SimSun"/>
                <w:sz w:val="22"/>
              </w:rPr>
              <w:t>Tx</w:t>
            </w:r>
          </w:p>
        </w:tc>
        <w:tc>
          <w:tcPr>
            <w:tcW w:w="308" w:type="pct"/>
            <w:shd w:val="clear" w:color="auto" w:fill="D9D9D9"/>
            <w:vAlign w:val="center"/>
          </w:tcPr>
          <w:p w14:paraId="566B3286" w14:textId="77777777" w:rsidR="00124A26" w:rsidRPr="00470E23" w:rsidRDefault="00124A26" w:rsidP="002D3EBF">
            <w:pPr>
              <w:ind w:firstLine="0"/>
              <w:rPr>
                <w:rFonts w:eastAsia="SimSun"/>
                <w:sz w:val="22"/>
              </w:rPr>
            </w:pPr>
            <w:r w:rsidRPr="00470E23">
              <w:rPr>
                <w:rFonts w:eastAsia="SimSun"/>
                <w:sz w:val="22"/>
              </w:rPr>
              <w:t>-</w:t>
            </w:r>
          </w:p>
        </w:tc>
        <w:tc>
          <w:tcPr>
            <w:tcW w:w="428" w:type="pct"/>
            <w:shd w:val="clear" w:color="auto" w:fill="D9D9D9"/>
            <w:vAlign w:val="center"/>
          </w:tcPr>
          <w:p w14:paraId="697E33DE" w14:textId="77777777" w:rsidR="00124A26" w:rsidRPr="00470E23" w:rsidRDefault="00124A26" w:rsidP="002D3EBF">
            <w:pPr>
              <w:ind w:firstLine="0"/>
              <w:rPr>
                <w:rFonts w:eastAsia="SimSun"/>
                <w:sz w:val="22"/>
              </w:rPr>
            </w:pPr>
            <w:r w:rsidRPr="00470E23">
              <w:rPr>
                <w:rFonts w:eastAsia="SimSun"/>
                <w:sz w:val="22"/>
              </w:rPr>
              <w:t>MMF30</w:t>
            </w:r>
          </w:p>
        </w:tc>
        <w:tc>
          <w:tcPr>
            <w:tcW w:w="412" w:type="pct"/>
            <w:shd w:val="clear" w:color="auto" w:fill="auto"/>
            <w:vAlign w:val="center"/>
          </w:tcPr>
          <w:p w14:paraId="2998A8C9" w14:textId="77777777" w:rsidR="00124A26" w:rsidRPr="00470E23" w:rsidRDefault="00124A26" w:rsidP="002D3EBF">
            <w:pPr>
              <w:ind w:firstLine="0"/>
              <w:rPr>
                <w:rFonts w:eastAsia="SimSun"/>
                <w:sz w:val="22"/>
              </w:rPr>
            </w:pPr>
          </w:p>
        </w:tc>
        <w:tc>
          <w:tcPr>
            <w:tcW w:w="361" w:type="pct"/>
            <w:tcBorders>
              <w:right w:val="single" w:sz="4" w:space="0" w:color="00000A"/>
            </w:tcBorders>
            <w:shd w:val="clear" w:color="auto" w:fill="auto"/>
            <w:vAlign w:val="center"/>
          </w:tcPr>
          <w:p w14:paraId="608FF864" w14:textId="77777777" w:rsidR="00124A26" w:rsidRPr="00470E23" w:rsidRDefault="00124A26" w:rsidP="002D3EBF">
            <w:pPr>
              <w:ind w:firstLine="0"/>
              <w:rPr>
                <w:rFonts w:eastAsia="SimSun"/>
                <w:sz w:val="22"/>
              </w:rPr>
            </w:pPr>
          </w:p>
        </w:tc>
        <w:tc>
          <w:tcPr>
            <w:tcW w:w="443" w:type="pct"/>
            <w:tcBorders>
              <w:left w:val="single" w:sz="4" w:space="0" w:color="00000A"/>
            </w:tcBorders>
            <w:shd w:val="clear" w:color="auto" w:fill="auto"/>
            <w:vAlign w:val="center"/>
          </w:tcPr>
          <w:p w14:paraId="0E38F836" w14:textId="77777777" w:rsidR="00124A26" w:rsidRPr="00470E23" w:rsidRDefault="00124A26" w:rsidP="002D3EBF">
            <w:pPr>
              <w:ind w:firstLine="0"/>
              <w:rPr>
                <w:rFonts w:eastAsia="SimSun"/>
                <w:sz w:val="22"/>
              </w:rPr>
            </w:pPr>
          </w:p>
        </w:tc>
        <w:tc>
          <w:tcPr>
            <w:tcW w:w="430" w:type="pct"/>
            <w:tcBorders>
              <w:right w:val="single" w:sz="4" w:space="0" w:color="00000A"/>
            </w:tcBorders>
            <w:shd w:val="clear" w:color="auto" w:fill="auto"/>
            <w:vAlign w:val="center"/>
          </w:tcPr>
          <w:p w14:paraId="3A96E7F7" w14:textId="77777777" w:rsidR="00124A26" w:rsidRPr="00470E23" w:rsidRDefault="00124A26" w:rsidP="002D3EBF">
            <w:pPr>
              <w:ind w:firstLine="0"/>
              <w:rPr>
                <w:rFonts w:eastAsia="SimSun"/>
                <w:sz w:val="22"/>
              </w:rPr>
            </w:pPr>
            <w:r w:rsidRPr="00470E23">
              <w:rPr>
                <w:rFonts w:eastAsia="SimSun"/>
                <w:sz w:val="22"/>
              </w:rPr>
              <w:t>5.2.2.10</w:t>
            </w:r>
          </w:p>
        </w:tc>
        <w:tc>
          <w:tcPr>
            <w:tcW w:w="316" w:type="pct"/>
            <w:tcBorders>
              <w:left w:val="single" w:sz="4" w:space="0" w:color="00000A"/>
            </w:tcBorders>
            <w:shd w:val="clear" w:color="auto" w:fill="auto"/>
            <w:vAlign w:val="center"/>
          </w:tcPr>
          <w:p w14:paraId="4A4DB8FC" w14:textId="77777777" w:rsidR="00124A26" w:rsidRPr="00470E23" w:rsidRDefault="00124A26" w:rsidP="002D3EBF">
            <w:pPr>
              <w:ind w:firstLine="0"/>
              <w:rPr>
                <w:rFonts w:eastAsia="SimSun"/>
                <w:sz w:val="22"/>
              </w:rPr>
            </w:pPr>
          </w:p>
        </w:tc>
        <w:tc>
          <w:tcPr>
            <w:tcW w:w="475" w:type="pct"/>
            <w:shd w:val="clear" w:color="auto" w:fill="auto"/>
            <w:vAlign w:val="center"/>
          </w:tcPr>
          <w:p w14:paraId="22BE759D" w14:textId="77777777" w:rsidR="00124A26" w:rsidRPr="00470E23" w:rsidRDefault="00124A26" w:rsidP="002D3EBF">
            <w:pPr>
              <w:ind w:firstLine="0"/>
              <w:rPr>
                <w:rFonts w:eastAsia="SimSun"/>
                <w:sz w:val="22"/>
              </w:rPr>
            </w:pPr>
            <w:r w:rsidRPr="00470E23">
              <w:rPr>
                <w:rFonts w:eastAsia="SimSun"/>
                <w:sz w:val="22"/>
              </w:rPr>
              <w:t>5.2.2</w:t>
            </w:r>
          </w:p>
        </w:tc>
        <w:tc>
          <w:tcPr>
            <w:tcW w:w="382" w:type="pct"/>
            <w:shd w:val="clear" w:color="auto" w:fill="auto"/>
            <w:vAlign w:val="center"/>
          </w:tcPr>
          <w:p w14:paraId="7FB2C83F" w14:textId="77777777" w:rsidR="00124A26" w:rsidRPr="00470E23" w:rsidRDefault="00124A26" w:rsidP="002D3EBF">
            <w:pPr>
              <w:ind w:firstLine="0"/>
              <w:rPr>
                <w:rFonts w:eastAsia="SimSun"/>
                <w:sz w:val="22"/>
              </w:rPr>
            </w:pPr>
          </w:p>
        </w:tc>
        <w:tc>
          <w:tcPr>
            <w:tcW w:w="400" w:type="pct"/>
            <w:shd w:val="clear" w:color="auto" w:fill="auto"/>
            <w:vAlign w:val="center"/>
          </w:tcPr>
          <w:p w14:paraId="08B90C48" w14:textId="77777777" w:rsidR="00124A26" w:rsidRPr="00470E23" w:rsidRDefault="00124A26" w:rsidP="002D3EBF">
            <w:pPr>
              <w:ind w:firstLine="0"/>
              <w:rPr>
                <w:rFonts w:eastAsia="SimSun"/>
                <w:sz w:val="22"/>
              </w:rPr>
            </w:pPr>
          </w:p>
        </w:tc>
        <w:tc>
          <w:tcPr>
            <w:tcW w:w="394" w:type="pct"/>
            <w:vAlign w:val="center"/>
          </w:tcPr>
          <w:p w14:paraId="3E18CF24" w14:textId="77777777" w:rsidR="00124A26" w:rsidRPr="00470E23" w:rsidRDefault="00124A26" w:rsidP="002D3EBF">
            <w:pPr>
              <w:ind w:firstLine="0"/>
              <w:rPr>
                <w:rFonts w:eastAsia="SimSun"/>
                <w:sz w:val="22"/>
              </w:rPr>
            </w:pPr>
          </w:p>
        </w:tc>
      </w:tr>
    </w:tbl>
    <w:p w14:paraId="2B601E61" w14:textId="77777777" w:rsidR="00124A26" w:rsidRPr="00C07B2E" w:rsidRDefault="00124A26" w:rsidP="00124A26">
      <w:pPr>
        <w:rPr>
          <w:rFonts w:eastAsia="SimSun"/>
        </w:rPr>
      </w:pPr>
    </w:p>
    <w:p w14:paraId="217A2F61" w14:textId="77777777" w:rsidR="00124A26" w:rsidRPr="00C07B2E" w:rsidRDefault="00124A26" w:rsidP="00124A26">
      <w:pPr>
        <w:rPr>
          <w:rFonts w:eastAsia="SimSun"/>
        </w:rPr>
        <w:sectPr w:rsidR="00124A26" w:rsidRPr="00C07B2E" w:rsidSect="00980822">
          <w:type w:val="continuous"/>
          <w:pgSz w:w="16839" w:h="11907" w:orient="landscape" w:code="9"/>
          <w:pgMar w:top="1134" w:right="850" w:bottom="1134" w:left="1701" w:header="709" w:footer="567" w:gutter="0"/>
          <w:cols w:space="708"/>
          <w:docGrid w:linePitch="360"/>
        </w:sectPr>
      </w:pPr>
    </w:p>
    <w:p w14:paraId="6778624B" w14:textId="77777777" w:rsidR="00124A26" w:rsidRPr="00C07B2E" w:rsidRDefault="00124A26" w:rsidP="00124A26">
      <w:pPr>
        <w:rPr>
          <w:rFonts w:eastAsia="SimSun"/>
        </w:rPr>
      </w:pPr>
      <w:bookmarkStart w:id="239" w:name="_Toc44401201"/>
      <w:r w:rsidRPr="00042499">
        <w:rPr>
          <w:rFonts w:eastAsia="SimSun"/>
        </w:rPr>
        <w:t>Таблица</w:t>
      </w:r>
      <w:r w:rsidRPr="00C07B2E">
        <w:rPr>
          <w:rFonts w:eastAsia="SimSun"/>
        </w:rPr>
        <w:t xml:space="preserve"> </w:t>
      </w:r>
      <w:r>
        <w:rPr>
          <w:rFonts w:eastAsia="SimSun"/>
        </w:rPr>
        <w:t>5.</w:t>
      </w:r>
      <w:r w:rsidRPr="00C07B2E">
        <w:rPr>
          <w:rFonts w:eastAsia="SimSun"/>
        </w:rPr>
        <w:t>2.2.1  – Flu150+Bu8+Thio / hATG+ CSA+MTX+MMF45</w:t>
      </w:r>
      <w:bookmarkEnd w:id="239"/>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418"/>
        <w:gridCol w:w="1701"/>
        <w:gridCol w:w="2268"/>
      </w:tblGrid>
      <w:tr w:rsidR="00124A26" w:rsidRPr="00AC3044" w14:paraId="5917B559" w14:textId="77777777" w:rsidTr="002D3EBF">
        <w:trPr>
          <w:cantSplit/>
          <w:trHeight w:val="20"/>
          <w:tblHeader/>
        </w:trPr>
        <w:tc>
          <w:tcPr>
            <w:tcW w:w="993" w:type="dxa"/>
            <w:vAlign w:val="center"/>
          </w:tcPr>
          <w:p w14:paraId="105FD115" w14:textId="77777777" w:rsidR="00124A26" w:rsidRPr="00470D3D" w:rsidRDefault="00124A26" w:rsidP="002D3EBF">
            <w:pPr>
              <w:ind w:firstLine="0"/>
              <w:rPr>
                <w:rFonts w:eastAsia="SimSun"/>
              </w:rPr>
            </w:pPr>
          </w:p>
        </w:tc>
        <w:tc>
          <w:tcPr>
            <w:tcW w:w="1701" w:type="dxa"/>
            <w:vAlign w:val="center"/>
          </w:tcPr>
          <w:p w14:paraId="46E4D371" w14:textId="77777777" w:rsidR="00124A26" w:rsidRPr="00AC3044" w:rsidRDefault="00124A26" w:rsidP="002D3EBF">
            <w:pPr>
              <w:ind w:firstLine="0"/>
              <w:rPr>
                <w:rFonts w:eastAsia="SimSun"/>
              </w:rPr>
            </w:pPr>
            <w:r w:rsidRPr="00AC3044">
              <w:rPr>
                <w:rFonts w:eastAsia="SimSun"/>
              </w:rPr>
              <w:t>Препарат</w:t>
            </w:r>
          </w:p>
        </w:tc>
        <w:tc>
          <w:tcPr>
            <w:tcW w:w="1559" w:type="dxa"/>
            <w:vAlign w:val="center"/>
          </w:tcPr>
          <w:p w14:paraId="53907476" w14:textId="77777777" w:rsidR="00124A26" w:rsidRPr="00AC3044" w:rsidRDefault="00124A26" w:rsidP="002D3EBF">
            <w:pPr>
              <w:ind w:firstLine="0"/>
              <w:rPr>
                <w:rFonts w:eastAsia="SimSun"/>
              </w:rPr>
            </w:pPr>
            <w:r w:rsidRPr="00AC3044">
              <w:rPr>
                <w:rFonts w:eastAsia="SimSun"/>
              </w:rPr>
              <w:t>Суточная доза</w:t>
            </w:r>
          </w:p>
        </w:tc>
        <w:tc>
          <w:tcPr>
            <w:tcW w:w="1418" w:type="dxa"/>
            <w:vAlign w:val="center"/>
          </w:tcPr>
          <w:p w14:paraId="67D0A79C" w14:textId="77777777" w:rsidR="00124A26" w:rsidRPr="00AC3044" w:rsidRDefault="00124A26" w:rsidP="002D3EBF">
            <w:pPr>
              <w:ind w:firstLine="0"/>
              <w:rPr>
                <w:rFonts w:eastAsia="SimSun"/>
              </w:rPr>
            </w:pPr>
            <w:r w:rsidRPr="00AC3044">
              <w:rPr>
                <w:rFonts w:eastAsia="SimSun"/>
              </w:rPr>
              <w:t>Курсовая доза</w:t>
            </w:r>
          </w:p>
        </w:tc>
        <w:tc>
          <w:tcPr>
            <w:tcW w:w="1701" w:type="dxa"/>
            <w:vAlign w:val="center"/>
          </w:tcPr>
          <w:p w14:paraId="4ABAF638" w14:textId="77777777" w:rsidR="00124A26" w:rsidRPr="00AC3044" w:rsidRDefault="00124A26" w:rsidP="002D3EBF">
            <w:pPr>
              <w:ind w:firstLine="0"/>
              <w:rPr>
                <w:rFonts w:eastAsia="SimSun"/>
              </w:rPr>
            </w:pPr>
            <w:r w:rsidRPr="00AC3044">
              <w:rPr>
                <w:rFonts w:eastAsia="SimSun"/>
              </w:rPr>
              <w:t>Дни введения</w:t>
            </w:r>
          </w:p>
        </w:tc>
        <w:tc>
          <w:tcPr>
            <w:tcW w:w="2268" w:type="dxa"/>
            <w:vAlign w:val="center"/>
          </w:tcPr>
          <w:p w14:paraId="0184A76D"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55BD1FB6" w14:textId="77777777" w:rsidTr="002D3EBF">
        <w:trPr>
          <w:cantSplit/>
          <w:trHeight w:val="20"/>
        </w:trPr>
        <w:tc>
          <w:tcPr>
            <w:tcW w:w="993" w:type="dxa"/>
            <w:vMerge w:val="restart"/>
            <w:textDirection w:val="btLr"/>
            <w:vAlign w:val="center"/>
          </w:tcPr>
          <w:p w14:paraId="7D94EC60" w14:textId="77777777" w:rsidR="00124A26" w:rsidRPr="00AC3044" w:rsidRDefault="00124A26" w:rsidP="002D3EBF">
            <w:pPr>
              <w:ind w:firstLine="0"/>
              <w:rPr>
                <w:rFonts w:eastAsia="SimSun"/>
              </w:rPr>
            </w:pPr>
            <w:r w:rsidRPr="00AC3044">
              <w:rPr>
                <w:rFonts w:eastAsia="SimSun"/>
              </w:rPr>
              <w:t>Кондиционирование</w:t>
            </w:r>
          </w:p>
        </w:tc>
        <w:tc>
          <w:tcPr>
            <w:tcW w:w="1701" w:type="dxa"/>
            <w:vAlign w:val="center"/>
          </w:tcPr>
          <w:p w14:paraId="553D0A65" w14:textId="77777777" w:rsidR="00124A26" w:rsidRPr="00AC3044" w:rsidRDefault="00124A26" w:rsidP="002D3EBF">
            <w:pPr>
              <w:ind w:firstLine="0"/>
              <w:rPr>
                <w:rFonts w:eastAsia="SimSun"/>
              </w:rPr>
            </w:pPr>
            <w:r w:rsidRPr="00AC3044">
              <w:rPr>
                <w:rFonts w:eastAsia="SimSun"/>
              </w:rPr>
              <w:t xml:space="preserve">Флударабин </w:t>
            </w:r>
          </w:p>
        </w:tc>
        <w:tc>
          <w:tcPr>
            <w:tcW w:w="1559" w:type="dxa"/>
            <w:vAlign w:val="center"/>
          </w:tcPr>
          <w:p w14:paraId="21C4B7B5" w14:textId="77777777" w:rsidR="00124A26" w:rsidRPr="00AC3044" w:rsidRDefault="00124A26" w:rsidP="002D3EBF">
            <w:pPr>
              <w:ind w:firstLine="0"/>
              <w:rPr>
                <w:rFonts w:eastAsia="SimSun"/>
              </w:rPr>
            </w:pPr>
            <w:r w:rsidRPr="00AC3044">
              <w:rPr>
                <w:rFonts w:eastAsia="SimSun"/>
              </w:rPr>
              <w:t>50 мг/м</w:t>
            </w:r>
            <w:r w:rsidRPr="00DB259E">
              <w:rPr>
                <w:rFonts w:eastAsia="SimSun"/>
                <w:vertAlign w:val="superscript"/>
              </w:rPr>
              <w:t>2</w:t>
            </w:r>
          </w:p>
        </w:tc>
        <w:tc>
          <w:tcPr>
            <w:tcW w:w="1418" w:type="dxa"/>
            <w:vAlign w:val="center"/>
          </w:tcPr>
          <w:p w14:paraId="12C86DA1" w14:textId="77777777" w:rsidR="00124A26" w:rsidRPr="00AC3044" w:rsidRDefault="00124A26" w:rsidP="002D3EBF">
            <w:pPr>
              <w:ind w:firstLine="0"/>
              <w:rPr>
                <w:rFonts w:eastAsia="SimSun"/>
              </w:rPr>
            </w:pPr>
            <w:r w:rsidRPr="00AC3044">
              <w:rPr>
                <w:rFonts w:eastAsia="SimSun"/>
              </w:rPr>
              <w:t>150 мг/м</w:t>
            </w:r>
            <w:r w:rsidRPr="00DB259E">
              <w:rPr>
                <w:rFonts w:eastAsia="SimSun"/>
                <w:vertAlign w:val="superscript"/>
              </w:rPr>
              <w:t>2</w:t>
            </w:r>
          </w:p>
        </w:tc>
        <w:tc>
          <w:tcPr>
            <w:tcW w:w="1701" w:type="dxa"/>
            <w:vAlign w:val="center"/>
          </w:tcPr>
          <w:p w14:paraId="2E2268EB" w14:textId="77777777" w:rsidR="00124A26" w:rsidRPr="00AC3044" w:rsidRDefault="00124A26" w:rsidP="002D3EBF">
            <w:pPr>
              <w:ind w:firstLine="0"/>
              <w:rPr>
                <w:rFonts w:eastAsia="SimSun"/>
              </w:rPr>
            </w:pPr>
            <w:r w:rsidRPr="00AC3044">
              <w:rPr>
                <w:rFonts w:eastAsia="SimSun"/>
              </w:rPr>
              <w:t>С –4 по –2 день</w:t>
            </w:r>
          </w:p>
        </w:tc>
        <w:tc>
          <w:tcPr>
            <w:tcW w:w="2268" w:type="dxa"/>
            <w:vAlign w:val="center"/>
          </w:tcPr>
          <w:p w14:paraId="791FD862"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5F4A191C" w14:textId="77777777" w:rsidTr="002D3EBF">
        <w:trPr>
          <w:cantSplit/>
          <w:trHeight w:val="20"/>
        </w:trPr>
        <w:tc>
          <w:tcPr>
            <w:tcW w:w="993" w:type="dxa"/>
            <w:vMerge/>
            <w:textDirection w:val="btLr"/>
            <w:vAlign w:val="center"/>
          </w:tcPr>
          <w:p w14:paraId="5376698D" w14:textId="77777777" w:rsidR="00124A26" w:rsidRPr="00AC3044" w:rsidRDefault="00124A26" w:rsidP="002D3EBF">
            <w:pPr>
              <w:ind w:firstLine="0"/>
              <w:rPr>
                <w:rFonts w:eastAsia="SimSun"/>
              </w:rPr>
            </w:pPr>
          </w:p>
        </w:tc>
        <w:tc>
          <w:tcPr>
            <w:tcW w:w="1701" w:type="dxa"/>
            <w:vAlign w:val="center"/>
          </w:tcPr>
          <w:p w14:paraId="00BC174D" w14:textId="77777777" w:rsidR="00124A26" w:rsidRPr="00AC3044" w:rsidRDefault="00124A26" w:rsidP="002D3EBF">
            <w:pPr>
              <w:ind w:firstLine="0"/>
              <w:rPr>
                <w:rFonts w:eastAsia="SimSun"/>
              </w:rPr>
            </w:pPr>
            <w:r w:rsidRPr="00AC3044">
              <w:rPr>
                <w:rFonts w:eastAsia="SimSun"/>
              </w:rPr>
              <w:t>Бусульфан</w:t>
            </w:r>
          </w:p>
        </w:tc>
        <w:tc>
          <w:tcPr>
            <w:tcW w:w="1559" w:type="dxa"/>
            <w:vAlign w:val="center"/>
          </w:tcPr>
          <w:p w14:paraId="4AD6869D" w14:textId="77777777" w:rsidR="00124A26" w:rsidRPr="00AC3044" w:rsidRDefault="00124A26" w:rsidP="002D3EBF">
            <w:pPr>
              <w:ind w:firstLine="0"/>
              <w:rPr>
                <w:rFonts w:eastAsia="SimSun"/>
              </w:rPr>
            </w:pPr>
            <w:r w:rsidRPr="00AC3044">
              <w:rPr>
                <w:rFonts w:eastAsia="SimSun"/>
              </w:rPr>
              <w:t>4 мг/кг</w:t>
            </w:r>
          </w:p>
        </w:tc>
        <w:tc>
          <w:tcPr>
            <w:tcW w:w="1418" w:type="dxa"/>
            <w:vAlign w:val="center"/>
          </w:tcPr>
          <w:p w14:paraId="22F7243B" w14:textId="77777777" w:rsidR="00124A26" w:rsidRPr="00AC3044" w:rsidRDefault="00124A26" w:rsidP="002D3EBF">
            <w:pPr>
              <w:ind w:firstLine="0"/>
              <w:rPr>
                <w:rFonts w:eastAsia="SimSun"/>
              </w:rPr>
            </w:pPr>
            <w:r w:rsidRPr="00AC3044">
              <w:rPr>
                <w:rFonts w:eastAsia="SimSun"/>
              </w:rPr>
              <w:t>8 мг/кг</w:t>
            </w:r>
          </w:p>
        </w:tc>
        <w:tc>
          <w:tcPr>
            <w:tcW w:w="1701" w:type="dxa"/>
            <w:vAlign w:val="center"/>
          </w:tcPr>
          <w:p w14:paraId="7E35BFA6" w14:textId="77777777" w:rsidR="00124A26" w:rsidRPr="00AC3044" w:rsidRDefault="00124A26" w:rsidP="002D3EBF">
            <w:pPr>
              <w:ind w:firstLine="0"/>
              <w:rPr>
                <w:rFonts w:eastAsia="SimSun"/>
              </w:rPr>
            </w:pPr>
            <w:r w:rsidRPr="00AC3044">
              <w:rPr>
                <w:rFonts w:eastAsia="SimSun"/>
              </w:rPr>
              <w:t>–3, –2 дни</w:t>
            </w:r>
          </w:p>
        </w:tc>
        <w:tc>
          <w:tcPr>
            <w:tcW w:w="2268" w:type="dxa"/>
            <w:vAlign w:val="center"/>
          </w:tcPr>
          <w:p w14:paraId="6F0649CC"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124A26" w:rsidRPr="00AC3044" w14:paraId="04C59D3A" w14:textId="77777777" w:rsidTr="002D3EBF">
        <w:trPr>
          <w:cantSplit/>
          <w:trHeight w:val="20"/>
        </w:trPr>
        <w:tc>
          <w:tcPr>
            <w:tcW w:w="993" w:type="dxa"/>
            <w:vMerge/>
            <w:textDirection w:val="btLr"/>
            <w:vAlign w:val="center"/>
          </w:tcPr>
          <w:p w14:paraId="38B226B5" w14:textId="77777777" w:rsidR="00124A26" w:rsidRPr="00AC3044" w:rsidRDefault="00124A26" w:rsidP="002D3EBF">
            <w:pPr>
              <w:ind w:firstLine="0"/>
              <w:rPr>
                <w:rFonts w:eastAsia="SimSun"/>
              </w:rPr>
            </w:pPr>
          </w:p>
        </w:tc>
        <w:tc>
          <w:tcPr>
            <w:tcW w:w="1701" w:type="dxa"/>
            <w:vAlign w:val="center"/>
          </w:tcPr>
          <w:p w14:paraId="2583B7EF" w14:textId="77777777" w:rsidR="00124A26" w:rsidRPr="00AC3044" w:rsidRDefault="00124A26" w:rsidP="002D3EBF">
            <w:pPr>
              <w:ind w:firstLine="0"/>
              <w:rPr>
                <w:rFonts w:eastAsia="SimSun"/>
              </w:rPr>
            </w:pPr>
            <w:r w:rsidRPr="00AC3044">
              <w:rPr>
                <w:rFonts w:eastAsia="SimSun"/>
              </w:rPr>
              <w:t>Тиотепа</w:t>
            </w:r>
          </w:p>
        </w:tc>
        <w:tc>
          <w:tcPr>
            <w:tcW w:w="1559" w:type="dxa"/>
            <w:vAlign w:val="center"/>
          </w:tcPr>
          <w:p w14:paraId="49341EEB" w14:textId="77777777" w:rsidR="00124A26" w:rsidRPr="00AC3044" w:rsidRDefault="00124A26" w:rsidP="002D3EBF">
            <w:pPr>
              <w:ind w:firstLine="0"/>
              <w:rPr>
                <w:rFonts w:eastAsia="SimSun"/>
              </w:rPr>
            </w:pPr>
            <w:r w:rsidRPr="00AC3044">
              <w:rPr>
                <w:rFonts w:eastAsia="SimSun"/>
              </w:rPr>
              <w:t>5 мг/кг</w:t>
            </w:r>
          </w:p>
        </w:tc>
        <w:tc>
          <w:tcPr>
            <w:tcW w:w="1418" w:type="dxa"/>
            <w:vAlign w:val="center"/>
          </w:tcPr>
          <w:p w14:paraId="6F930811" w14:textId="77777777" w:rsidR="00124A26" w:rsidRPr="00AC3044" w:rsidRDefault="00124A26" w:rsidP="002D3EBF">
            <w:pPr>
              <w:ind w:firstLine="0"/>
              <w:rPr>
                <w:rFonts w:eastAsia="SimSun"/>
              </w:rPr>
            </w:pPr>
            <w:r w:rsidRPr="00AC3044">
              <w:rPr>
                <w:rFonts w:eastAsia="SimSun"/>
              </w:rPr>
              <w:t>10 мг/кг</w:t>
            </w:r>
          </w:p>
        </w:tc>
        <w:tc>
          <w:tcPr>
            <w:tcW w:w="1701" w:type="dxa"/>
            <w:vAlign w:val="center"/>
          </w:tcPr>
          <w:p w14:paraId="76A96730" w14:textId="77777777" w:rsidR="00124A26" w:rsidRPr="00AC3044" w:rsidRDefault="00124A26" w:rsidP="002D3EBF">
            <w:pPr>
              <w:ind w:firstLine="0"/>
              <w:rPr>
                <w:rFonts w:eastAsia="SimSun"/>
              </w:rPr>
            </w:pPr>
            <w:r w:rsidRPr="00AC3044">
              <w:rPr>
                <w:rFonts w:eastAsia="SimSun"/>
              </w:rPr>
              <w:t>–6, –5 дни</w:t>
            </w:r>
          </w:p>
        </w:tc>
        <w:tc>
          <w:tcPr>
            <w:tcW w:w="2268" w:type="dxa"/>
            <w:vAlign w:val="center"/>
          </w:tcPr>
          <w:p w14:paraId="5BE895BF" w14:textId="77777777" w:rsidR="00124A26" w:rsidRPr="00AC3044" w:rsidRDefault="00124A26" w:rsidP="002D3EBF">
            <w:pPr>
              <w:ind w:firstLine="0"/>
              <w:rPr>
                <w:rFonts w:eastAsia="SimSun"/>
              </w:rPr>
            </w:pPr>
            <w:r w:rsidRPr="00AC3044">
              <w:rPr>
                <w:rFonts w:eastAsia="SimSun"/>
              </w:rPr>
              <w:t>В/в, в течение 2 часов</w:t>
            </w:r>
          </w:p>
        </w:tc>
      </w:tr>
      <w:tr w:rsidR="00124A26" w:rsidRPr="00AC3044" w14:paraId="5A30BF16" w14:textId="77777777" w:rsidTr="002D3EBF">
        <w:trPr>
          <w:cantSplit/>
          <w:trHeight w:val="20"/>
        </w:trPr>
        <w:tc>
          <w:tcPr>
            <w:tcW w:w="993" w:type="dxa"/>
            <w:vMerge w:val="restart"/>
            <w:textDirection w:val="btLr"/>
            <w:vAlign w:val="center"/>
          </w:tcPr>
          <w:p w14:paraId="2C2D6F92" w14:textId="77777777" w:rsidR="00124A26" w:rsidRPr="00AC3044" w:rsidRDefault="00124A26" w:rsidP="002D3EBF">
            <w:pPr>
              <w:ind w:firstLine="0"/>
              <w:rPr>
                <w:rFonts w:eastAsia="SimSun"/>
              </w:rPr>
            </w:pPr>
            <w:r w:rsidRPr="00AC3044">
              <w:rPr>
                <w:rFonts w:eastAsia="SimSun"/>
              </w:rPr>
              <w:t>Профилактика РТПХ</w:t>
            </w:r>
          </w:p>
        </w:tc>
        <w:tc>
          <w:tcPr>
            <w:tcW w:w="1701" w:type="dxa"/>
            <w:vAlign w:val="center"/>
          </w:tcPr>
          <w:p w14:paraId="661E020A" w14:textId="77777777" w:rsidR="00124A26" w:rsidRPr="00AC3044" w:rsidRDefault="00124A26" w:rsidP="002D3EBF">
            <w:pPr>
              <w:ind w:firstLine="0"/>
              <w:rPr>
                <w:rFonts w:eastAsia="SimSun"/>
              </w:rPr>
            </w:pPr>
            <w:r w:rsidRPr="00AC3044">
              <w:rPr>
                <w:rFonts w:eastAsia="SimSun"/>
              </w:rPr>
              <w:t>АТГ (лошадиный)</w:t>
            </w:r>
          </w:p>
        </w:tc>
        <w:tc>
          <w:tcPr>
            <w:tcW w:w="1559" w:type="dxa"/>
            <w:vAlign w:val="center"/>
          </w:tcPr>
          <w:p w14:paraId="284116D8" w14:textId="77777777" w:rsidR="00124A26" w:rsidRPr="00AC3044" w:rsidRDefault="00124A26" w:rsidP="002D3EBF">
            <w:pPr>
              <w:ind w:firstLine="0"/>
              <w:rPr>
                <w:rFonts w:eastAsia="SimSun"/>
              </w:rPr>
            </w:pPr>
            <w:r w:rsidRPr="00AC3044">
              <w:rPr>
                <w:rFonts w:eastAsia="SimSun"/>
              </w:rPr>
              <w:t>10-15 мг/кг</w:t>
            </w:r>
          </w:p>
        </w:tc>
        <w:tc>
          <w:tcPr>
            <w:tcW w:w="1418" w:type="dxa"/>
            <w:vAlign w:val="center"/>
          </w:tcPr>
          <w:p w14:paraId="641634CF" w14:textId="77777777" w:rsidR="00124A26" w:rsidRPr="00AC3044" w:rsidRDefault="00124A26" w:rsidP="002D3EBF">
            <w:pPr>
              <w:ind w:firstLine="0"/>
              <w:rPr>
                <w:rFonts w:eastAsia="SimSun"/>
              </w:rPr>
            </w:pPr>
            <w:r w:rsidRPr="00AC3044">
              <w:rPr>
                <w:rFonts w:eastAsia="SimSun"/>
              </w:rPr>
              <w:t>40-60 мг/кг</w:t>
            </w:r>
          </w:p>
        </w:tc>
        <w:tc>
          <w:tcPr>
            <w:tcW w:w="1701" w:type="dxa"/>
            <w:vAlign w:val="center"/>
          </w:tcPr>
          <w:p w14:paraId="42F4C8F5" w14:textId="77777777" w:rsidR="00124A26" w:rsidRPr="00AC3044" w:rsidRDefault="00124A26" w:rsidP="002D3EBF">
            <w:pPr>
              <w:ind w:firstLine="0"/>
              <w:rPr>
                <w:rFonts w:eastAsia="SimSun"/>
              </w:rPr>
            </w:pPr>
            <w:r w:rsidRPr="00AC3044">
              <w:rPr>
                <w:rFonts w:eastAsia="SimSun"/>
              </w:rPr>
              <w:t>С –4 по –1 день</w:t>
            </w:r>
          </w:p>
        </w:tc>
        <w:tc>
          <w:tcPr>
            <w:tcW w:w="2268" w:type="dxa"/>
            <w:vAlign w:val="center"/>
          </w:tcPr>
          <w:p w14:paraId="43CE3E17" w14:textId="77777777" w:rsidR="00124A26" w:rsidRPr="00AC3044" w:rsidRDefault="00124A26" w:rsidP="002D3EBF">
            <w:pPr>
              <w:ind w:firstLine="0"/>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124A26" w:rsidRPr="00AC3044" w14:paraId="27319A1E" w14:textId="77777777" w:rsidTr="002D3EBF">
        <w:trPr>
          <w:cantSplit/>
          <w:trHeight w:val="20"/>
        </w:trPr>
        <w:tc>
          <w:tcPr>
            <w:tcW w:w="993" w:type="dxa"/>
            <w:vMerge/>
            <w:textDirection w:val="btLr"/>
          </w:tcPr>
          <w:p w14:paraId="1B1F9AD1" w14:textId="77777777" w:rsidR="00124A26" w:rsidRPr="00AC3044" w:rsidRDefault="00124A26" w:rsidP="002D3EBF">
            <w:pPr>
              <w:ind w:firstLine="0"/>
              <w:rPr>
                <w:rFonts w:eastAsia="SimSun"/>
              </w:rPr>
            </w:pPr>
          </w:p>
        </w:tc>
        <w:tc>
          <w:tcPr>
            <w:tcW w:w="1701" w:type="dxa"/>
            <w:vAlign w:val="center"/>
          </w:tcPr>
          <w:p w14:paraId="26830604" w14:textId="77777777" w:rsidR="00124A26" w:rsidRPr="00AC3044" w:rsidRDefault="00124A26" w:rsidP="002D3EBF">
            <w:pPr>
              <w:ind w:firstLine="0"/>
              <w:rPr>
                <w:rFonts w:eastAsia="SimSun"/>
              </w:rPr>
            </w:pPr>
            <w:r w:rsidRPr="00AC3044">
              <w:rPr>
                <w:rFonts w:eastAsia="SimSun"/>
              </w:rPr>
              <w:t>Циклоспорин</w:t>
            </w:r>
          </w:p>
        </w:tc>
        <w:tc>
          <w:tcPr>
            <w:tcW w:w="1559" w:type="dxa"/>
            <w:vAlign w:val="center"/>
          </w:tcPr>
          <w:p w14:paraId="0B8A82E0" w14:textId="77777777" w:rsidR="00124A26" w:rsidRPr="00AC3044" w:rsidRDefault="00124A26" w:rsidP="002D3EBF">
            <w:pPr>
              <w:ind w:firstLine="0"/>
              <w:rPr>
                <w:rFonts w:eastAsia="SimSun"/>
              </w:rPr>
            </w:pPr>
            <w:r w:rsidRPr="00AC3044">
              <w:rPr>
                <w:rFonts w:eastAsia="SimSun"/>
              </w:rPr>
              <w:t>3 мг/кг</w:t>
            </w:r>
          </w:p>
        </w:tc>
        <w:tc>
          <w:tcPr>
            <w:tcW w:w="1418" w:type="dxa"/>
            <w:vAlign w:val="center"/>
          </w:tcPr>
          <w:p w14:paraId="5BCB806C"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290AA027" w14:textId="77777777" w:rsidR="00124A26" w:rsidRPr="00AC3044" w:rsidRDefault="00124A26" w:rsidP="002D3EBF">
            <w:pPr>
              <w:ind w:firstLine="0"/>
              <w:rPr>
                <w:rFonts w:eastAsia="SimSun"/>
              </w:rPr>
            </w:pPr>
            <w:r w:rsidRPr="00AC3044">
              <w:rPr>
                <w:rFonts w:eastAsia="SimSun"/>
              </w:rPr>
              <w:t>С –1 по +90 день, затем постепенное снижение к +180 дню</w:t>
            </w:r>
          </w:p>
        </w:tc>
        <w:tc>
          <w:tcPr>
            <w:tcW w:w="2268" w:type="dxa"/>
            <w:vAlign w:val="center"/>
          </w:tcPr>
          <w:p w14:paraId="17AEC7BF" w14:textId="77777777" w:rsidR="00124A26" w:rsidRPr="00AC3044" w:rsidRDefault="00124A26"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 xml:space="preserve">х </w:t>
            </w:r>
            <w:r w:rsidRPr="00AC3044">
              <w:rPr>
                <w:rFonts w:eastAsia="SimSun"/>
              </w:rPr>
              <w:t>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124A26" w:rsidRPr="00AC3044" w14:paraId="0B298D62" w14:textId="77777777" w:rsidTr="002D3EBF">
        <w:trPr>
          <w:cantSplit/>
          <w:trHeight w:val="20"/>
        </w:trPr>
        <w:tc>
          <w:tcPr>
            <w:tcW w:w="993" w:type="dxa"/>
            <w:vMerge/>
          </w:tcPr>
          <w:p w14:paraId="34F23F6D" w14:textId="77777777" w:rsidR="00124A26" w:rsidRPr="00AC3044" w:rsidRDefault="00124A26" w:rsidP="002D3EBF">
            <w:pPr>
              <w:ind w:firstLine="0"/>
              <w:rPr>
                <w:rFonts w:eastAsia="SimSun"/>
              </w:rPr>
            </w:pPr>
          </w:p>
        </w:tc>
        <w:tc>
          <w:tcPr>
            <w:tcW w:w="1701" w:type="dxa"/>
            <w:vMerge w:val="restart"/>
            <w:vAlign w:val="center"/>
          </w:tcPr>
          <w:p w14:paraId="4C77F9DC" w14:textId="77777777" w:rsidR="00124A26" w:rsidRPr="00AC3044" w:rsidRDefault="00124A26" w:rsidP="002D3EBF">
            <w:pPr>
              <w:ind w:firstLine="0"/>
              <w:rPr>
                <w:rFonts w:eastAsia="SimSun"/>
              </w:rPr>
            </w:pPr>
            <w:r w:rsidRPr="00AC3044">
              <w:rPr>
                <w:rFonts w:eastAsia="SimSun"/>
              </w:rPr>
              <w:t>Метотрексат</w:t>
            </w:r>
          </w:p>
        </w:tc>
        <w:tc>
          <w:tcPr>
            <w:tcW w:w="1559" w:type="dxa"/>
            <w:vAlign w:val="center"/>
          </w:tcPr>
          <w:p w14:paraId="31B94EC8" w14:textId="77777777" w:rsidR="00124A26" w:rsidRPr="00AC3044" w:rsidRDefault="00124A26" w:rsidP="002D3EBF">
            <w:pPr>
              <w:ind w:firstLine="0"/>
              <w:rPr>
                <w:rFonts w:eastAsia="SimSun"/>
              </w:rPr>
            </w:pPr>
            <w:r w:rsidRPr="00AC3044">
              <w:rPr>
                <w:rFonts w:eastAsia="SimSun"/>
              </w:rPr>
              <w:t>15 мг/м</w:t>
            </w:r>
            <w:r w:rsidRPr="00DB259E">
              <w:rPr>
                <w:rFonts w:eastAsia="SimSun"/>
                <w:vertAlign w:val="superscript"/>
              </w:rPr>
              <w:t>2</w:t>
            </w:r>
          </w:p>
        </w:tc>
        <w:tc>
          <w:tcPr>
            <w:tcW w:w="1418" w:type="dxa"/>
            <w:vAlign w:val="center"/>
          </w:tcPr>
          <w:p w14:paraId="2D100AAD"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5B765547" w14:textId="77777777" w:rsidR="00124A26" w:rsidRPr="00AC3044" w:rsidRDefault="00124A26" w:rsidP="002D3EBF">
            <w:pPr>
              <w:ind w:firstLine="0"/>
              <w:rPr>
                <w:rFonts w:eastAsia="SimSun"/>
              </w:rPr>
            </w:pPr>
            <w:r w:rsidRPr="00AC3044">
              <w:rPr>
                <w:rFonts w:eastAsia="SimSun"/>
              </w:rPr>
              <w:t>+1 день</w:t>
            </w:r>
          </w:p>
        </w:tc>
        <w:tc>
          <w:tcPr>
            <w:tcW w:w="2268" w:type="dxa"/>
            <w:vAlign w:val="center"/>
          </w:tcPr>
          <w:p w14:paraId="65B27B1A" w14:textId="77777777" w:rsidR="00124A26" w:rsidRPr="00AC3044" w:rsidRDefault="00124A26" w:rsidP="002D3EBF">
            <w:pPr>
              <w:ind w:firstLine="0"/>
              <w:rPr>
                <w:rFonts w:eastAsia="SimSun"/>
              </w:rPr>
            </w:pPr>
            <w:r w:rsidRPr="00AC3044">
              <w:rPr>
                <w:rFonts w:eastAsia="SimSun"/>
              </w:rPr>
              <w:t>В/в, в 20 мл физ. р-ра</w:t>
            </w:r>
          </w:p>
        </w:tc>
      </w:tr>
      <w:tr w:rsidR="00124A26" w:rsidRPr="00AC3044" w14:paraId="114AF36E" w14:textId="77777777" w:rsidTr="002D3EBF">
        <w:trPr>
          <w:cantSplit/>
          <w:trHeight w:val="464"/>
        </w:trPr>
        <w:tc>
          <w:tcPr>
            <w:tcW w:w="993" w:type="dxa"/>
            <w:vMerge/>
          </w:tcPr>
          <w:p w14:paraId="5421A285" w14:textId="77777777" w:rsidR="00124A26" w:rsidRPr="00AC3044" w:rsidRDefault="00124A26" w:rsidP="002D3EBF">
            <w:pPr>
              <w:ind w:firstLine="0"/>
              <w:rPr>
                <w:rFonts w:eastAsia="SimSun"/>
              </w:rPr>
            </w:pPr>
          </w:p>
        </w:tc>
        <w:tc>
          <w:tcPr>
            <w:tcW w:w="1701" w:type="dxa"/>
            <w:vMerge/>
            <w:vAlign w:val="center"/>
          </w:tcPr>
          <w:p w14:paraId="2964B1D1" w14:textId="77777777" w:rsidR="00124A26" w:rsidRPr="00AC3044" w:rsidRDefault="00124A26" w:rsidP="002D3EBF">
            <w:pPr>
              <w:ind w:firstLine="0"/>
              <w:rPr>
                <w:rFonts w:eastAsia="SimSun"/>
              </w:rPr>
            </w:pPr>
          </w:p>
        </w:tc>
        <w:tc>
          <w:tcPr>
            <w:tcW w:w="1559" w:type="dxa"/>
            <w:vAlign w:val="center"/>
          </w:tcPr>
          <w:p w14:paraId="17066F2D" w14:textId="77777777" w:rsidR="00124A26" w:rsidRPr="00AC3044" w:rsidRDefault="00124A26" w:rsidP="002D3EBF">
            <w:pPr>
              <w:ind w:firstLine="0"/>
              <w:rPr>
                <w:rFonts w:eastAsia="SimSun"/>
              </w:rPr>
            </w:pPr>
            <w:r w:rsidRPr="00AC3044">
              <w:rPr>
                <w:rFonts w:eastAsia="SimSun"/>
              </w:rPr>
              <w:t>10 мг/м</w:t>
            </w:r>
            <w:r w:rsidRPr="00DB259E">
              <w:rPr>
                <w:rFonts w:eastAsia="SimSun"/>
                <w:vertAlign w:val="superscript"/>
              </w:rPr>
              <w:t>2</w:t>
            </w:r>
          </w:p>
        </w:tc>
        <w:tc>
          <w:tcPr>
            <w:tcW w:w="1418" w:type="dxa"/>
            <w:vAlign w:val="center"/>
          </w:tcPr>
          <w:p w14:paraId="6CE3D96D"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7C1920C2" w14:textId="77777777" w:rsidR="00124A26" w:rsidRPr="00AC3044" w:rsidRDefault="00124A26" w:rsidP="002D3EBF">
            <w:pPr>
              <w:ind w:firstLine="0"/>
              <w:rPr>
                <w:rFonts w:eastAsia="SimSun"/>
              </w:rPr>
            </w:pPr>
            <w:r w:rsidRPr="00AC3044">
              <w:rPr>
                <w:rFonts w:eastAsia="SimSun"/>
              </w:rPr>
              <w:t>+3, +6, +11 дни</w:t>
            </w:r>
          </w:p>
        </w:tc>
        <w:tc>
          <w:tcPr>
            <w:tcW w:w="2268" w:type="dxa"/>
            <w:vAlign w:val="center"/>
          </w:tcPr>
          <w:p w14:paraId="6B0A9D8C" w14:textId="77777777" w:rsidR="00124A26" w:rsidRPr="00AC3044" w:rsidRDefault="00124A26" w:rsidP="002D3EBF">
            <w:pPr>
              <w:ind w:firstLine="0"/>
              <w:rPr>
                <w:rFonts w:eastAsia="SimSun"/>
              </w:rPr>
            </w:pPr>
            <w:r w:rsidRPr="00AC3044">
              <w:rPr>
                <w:rFonts w:eastAsia="SimSun"/>
              </w:rPr>
              <w:t>В/в, в 20 мл физ. р-ра</w:t>
            </w:r>
          </w:p>
        </w:tc>
      </w:tr>
      <w:tr w:rsidR="00124A26" w:rsidRPr="00AC3044" w14:paraId="138CA445" w14:textId="77777777" w:rsidTr="002D3EBF">
        <w:trPr>
          <w:cantSplit/>
          <w:trHeight w:val="464"/>
        </w:trPr>
        <w:tc>
          <w:tcPr>
            <w:tcW w:w="993" w:type="dxa"/>
            <w:vMerge/>
          </w:tcPr>
          <w:p w14:paraId="03698846" w14:textId="77777777" w:rsidR="00124A26" w:rsidRPr="00AC3044" w:rsidRDefault="00124A26" w:rsidP="002D3EBF">
            <w:pPr>
              <w:ind w:firstLine="0"/>
              <w:rPr>
                <w:rFonts w:eastAsia="SimSun"/>
              </w:rPr>
            </w:pPr>
          </w:p>
        </w:tc>
        <w:tc>
          <w:tcPr>
            <w:tcW w:w="1701" w:type="dxa"/>
            <w:vAlign w:val="center"/>
          </w:tcPr>
          <w:p w14:paraId="029D9995" w14:textId="77777777" w:rsidR="00124A26" w:rsidRPr="00AC3044" w:rsidRDefault="00124A26" w:rsidP="002D3EBF">
            <w:pPr>
              <w:ind w:firstLine="0"/>
              <w:rPr>
                <w:rFonts w:eastAsia="SimSun"/>
              </w:rPr>
            </w:pPr>
            <w:r w:rsidRPr="00AC3044">
              <w:rPr>
                <w:rFonts w:eastAsia="SimSun"/>
              </w:rPr>
              <w:t>Микофенолата мофетил</w:t>
            </w:r>
          </w:p>
        </w:tc>
        <w:tc>
          <w:tcPr>
            <w:tcW w:w="1559" w:type="dxa"/>
            <w:vAlign w:val="center"/>
          </w:tcPr>
          <w:p w14:paraId="7319ACC9" w14:textId="77777777" w:rsidR="00124A26" w:rsidRPr="00AC3044" w:rsidRDefault="00124A26" w:rsidP="002D3EBF">
            <w:pPr>
              <w:ind w:firstLine="0"/>
              <w:rPr>
                <w:rFonts w:eastAsia="SimSun"/>
              </w:rPr>
            </w:pPr>
            <w:r w:rsidRPr="00AC3044">
              <w:rPr>
                <w:rFonts w:eastAsia="SimSun"/>
              </w:rPr>
              <w:t>45 мг/кг</w:t>
            </w:r>
          </w:p>
        </w:tc>
        <w:tc>
          <w:tcPr>
            <w:tcW w:w="1418" w:type="dxa"/>
            <w:vAlign w:val="center"/>
          </w:tcPr>
          <w:p w14:paraId="3B069C0D"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079D610A" w14:textId="77777777" w:rsidR="00124A26" w:rsidRPr="00AC3044" w:rsidRDefault="00124A26" w:rsidP="002D3EBF">
            <w:pPr>
              <w:ind w:firstLine="0"/>
              <w:rPr>
                <w:rFonts w:eastAsia="SimSun"/>
              </w:rPr>
            </w:pPr>
            <w:r w:rsidRPr="00AC3044">
              <w:rPr>
                <w:rFonts w:eastAsia="SimSun"/>
              </w:rPr>
              <w:t>С +1 по +90 день</w:t>
            </w:r>
          </w:p>
        </w:tc>
        <w:tc>
          <w:tcPr>
            <w:tcW w:w="2268" w:type="dxa"/>
            <w:vAlign w:val="center"/>
          </w:tcPr>
          <w:p w14:paraId="3BA06698"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1586B6BF" w14:textId="77777777" w:rsidR="00124A26" w:rsidRDefault="00124A26" w:rsidP="00124A26">
      <w:pPr>
        <w:rPr>
          <w:rFonts w:eastAsia="SimSun"/>
        </w:rPr>
      </w:pPr>
      <w:bookmarkStart w:id="240" w:name="_Toc44401202"/>
    </w:p>
    <w:p w14:paraId="6C1D8265" w14:textId="77777777" w:rsidR="00124A26" w:rsidRPr="00C07B2E" w:rsidRDefault="00124A26" w:rsidP="00124A26">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2.2.2  – Flu150+Bu8+Thio / rATG+ CSA+MTX+MMF45</w:t>
      </w:r>
      <w:bookmarkEnd w:id="240"/>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418"/>
        <w:gridCol w:w="1701"/>
        <w:gridCol w:w="2268"/>
      </w:tblGrid>
      <w:tr w:rsidR="00124A26" w:rsidRPr="00AC3044" w14:paraId="3E02B28B" w14:textId="77777777" w:rsidTr="002D3EBF">
        <w:trPr>
          <w:cantSplit/>
          <w:trHeight w:val="20"/>
          <w:tblHeader/>
        </w:trPr>
        <w:tc>
          <w:tcPr>
            <w:tcW w:w="993" w:type="dxa"/>
          </w:tcPr>
          <w:p w14:paraId="432041B2" w14:textId="77777777" w:rsidR="00124A26" w:rsidRPr="00470D3D" w:rsidRDefault="00124A26" w:rsidP="002D3EBF">
            <w:pPr>
              <w:ind w:firstLine="0"/>
              <w:rPr>
                <w:rFonts w:eastAsia="SimSun"/>
              </w:rPr>
            </w:pPr>
          </w:p>
        </w:tc>
        <w:tc>
          <w:tcPr>
            <w:tcW w:w="1701" w:type="dxa"/>
            <w:vAlign w:val="center"/>
          </w:tcPr>
          <w:p w14:paraId="47851DCF" w14:textId="77777777" w:rsidR="00124A26" w:rsidRPr="00AC3044" w:rsidRDefault="00124A26" w:rsidP="002D3EBF">
            <w:pPr>
              <w:ind w:firstLine="0"/>
              <w:rPr>
                <w:rFonts w:eastAsia="SimSun"/>
              </w:rPr>
            </w:pPr>
            <w:r w:rsidRPr="00AC3044">
              <w:rPr>
                <w:rFonts w:eastAsia="SimSun"/>
              </w:rPr>
              <w:t>Препарат</w:t>
            </w:r>
          </w:p>
        </w:tc>
        <w:tc>
          <w:tcPr>
            <w:tcW w:w="1559" w:type="dxa"/>
            <w:vAlign w:val="center"/>
          </w:tcPr>
          <w:p w14:paraId="58D5675D" w14:textId="77777777" w:rsidR="00124A26" w:rsidRPr="00AC3044" w:rsidRDefault="00124A26" w:rsidP="002D3EBF">
            <w:pPr>
              <w:ind w:firstLine="0"/>
              <w:rPr>
                <w:rFonts w:eastAsia="SimSun"/>
              </w:rPr>
            </w:pPr>
            <w:r w:rsidRPr="00AC3044">
              <w:rPr>
                <w:rFonts w:eastAsia="SimSun"/>
              </w:rPr>
              <w:t>Суточная доза</w:t>
            </w:r>
          </w:p>
        </w:tc>
        <w:tc>
          <w:tcPr>
            <w:tcW w:w="1418" w:type="dxa"/>
            <w:vAlign w:val="center"/>
          </w:tcPr>
          <w:p w14:paraId="0DEB3A79" w14:textId="77777777" w:rsidR="00124A26" w:rsidRPr="00AC3044" w:rsidRDefault="00124A26" w:rsidP="002D3EBF">
            <w:pPr>
              <w:ind w:firstLine="0"/>
              <w:rPr>
                <w:rFonts w:eastAsia="SimSun"/>
              </w:rPr>
            </w:pPr>
            <w:r w:rsidRPr="00AC3044">
              <w:rPr>
                <w:rFonts w:eastAsia="SimSun"/>
              </w:rPr>
              <w:t>Курсовая доза</w:t>
            </w:r>
          </w:p>
        </w:tc>
        <w:tc>
          <w:tcPr>
            <w:tcW w:w="1701" w:type="dxa"/>
            <w:vAlign w:val="center"/>
          </w:tcPr>
          <w:p w14:paraId="142EE5B6" w14:textId="77777777" w:rsidR="00124A26" w:rsidRPr="00AC3044" w:rsidRDefault="00124A26" w:rsidP="002D3EBF">
            <w:pPr>
              <w:ind w:firstLine="0"/>
              <w:rPr>
                <w:rFonts w:eastAsia="SimSun"/>
              </w:rPr>
            </w:pPr>
            <w:r w:rsidRPr="00AC3044">
              <w:rPr>
                <w:rFonts w:eastAsia="SimSun"/>
              </w:rPr>
              <w:t>Дни введения</w:t>
            </w:r>
          </w:p>
        </w:tc>
        <w:tc>
          <w:tcPr>
            <w:tcW w:w="2268" w:type="dxa"/>
            <w:vAlign w:val="center"/>
          </w:tcPr>
          <w:p w14:paraId="662F41F8"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57479908" w14:textId="77777777" w:rsidTr="002D3EBF">
        <w:trPr>
          <w:cantSplit/>
          <w:trHeight w:val="20"/>
        </w:trPr>
        <w:tc>
          <w:tcPr>
            <w:tcW w:w="993" w:type="dxa"/>
            <w:vMerge w:val="restart"/>
            <w:textDirection w:val="btLr"/>
            <w:vAlign w:val="center"/>
          </w:tcPr>
          <w:p w14:paraId="0888441C" w14:textId="77777777" w:rsidR="00124A26" w:rsidRPr="00AC3044" w:rsidRDefault="00124A26" w:rsidP="002D3EBF">
            <w:pPr>
              <w:ind w:firstLine="0"/>
              <w:rPr>
                <w:rFonts w:eastAsia="SimSun"/>
              </w:rPr>
            </w:pPr>
            <w:r w:rsidRPr="00AC3044">
              <w:rPr>
                <w:rFonts w:eastAsia="SimSun"/>
              </w:rPr>
              <w:t>Кондиционирование</w:t>
            </w:r>
          </w:p>
        </w:tc>
        <w:tc>
          <w:tcPr>
            <w:tcW w:w="1701" w:type="dxa"/>
            <w:vAlign w:val="center"/>
          </w:tcPr>
          <w:p w14:paraId="6EA98FD4" w14:textId="77777777" w:rsidR="00124A26" w:rsidRPr="00AC3044" w:rsidRDefault="00124A26" w:rsidP="002D3EBF">
            <w:pPr>
              <w:ind w:firstLine="0"/>
              <w:rPr>
                <w:rFonts w:eastAsia="SimSun"/>
              </w:rPr>
            </w:pPr>
            <w:r w:rsidRPr="00AC3044">
              <w:rPr>
                <w:rFonts w:eastAsia="SimSun"/>
              </w:rPr>
              <w:t xml:space="preserve">Флударабин </w:t>
            </w:r>
          </w:p>
        </w:tc>
        <w:tc>
          <w:tcPr>
            <w:tcW w:w="1559" w:type="dxa"/>
            <w:vAlign w:val="center"/>
          </w:tcPr>
          <w:p w14:paraId="79FFB7EA" w14:textId="77777777" w:rsidR="00124A26" w:rsidRPr="00AC3044" w:rsidRDefault="00124A26" w:rsidP="002D3EBF">
            <w:pPr>
              <w:ind w:firstLine="0"/>
              <w:rPr>
                <w:rFonts w:eastAsia="SimSun"/>
              </w:rPr>
            </w:pPr>
            <w:r w:rsidRPr="00AC3044">
              <w:rPr>
                <w:rFonts w:eastAsia="SimSun"/>
              </w:rPr>
              <w:t>50 мг/м</w:t>
            </w:r>
            <w:r w:rsidRPr="00DB259E">
              <w:rPr>
                <w:rFonts w:eastAsia="SimSun"/>
                <w:vertAlign w:val="superscript"/>
              </w:rPr>
              <w:t>2</w:t>
            </w:r>
          </w:p>
        </w:tc>
        <w:tc>
          <w:tcPr>
            <w:tcW w:w="1418" w:type="dxa"/>
            <w:vAlign w:val="center"/>
          </w:tcPr>
          <w:p w14:paraId="623F8E9B" w14:textId="77777777" w:rsidR="00124A26" w:rsidRPr="00AC3044" w:rsidRDefault="00124A26" w:rsidP="002D3EBF">
            <w:pPr>
              <w:ind w:firstLine="0"/>
              <w:rPr>
                <w:rFonts w:eastAsia="SimSun"/>
              </w:rPr>
            </w:pPr>
            <w:r w:rsidRPr="00AC3044">
              <w:rPr>
                <w:rFonts w:eastAsia="SimSun"/>
              </w:rPr>
              <w:t>150 мг/м</w:t>
            </w:r>
            <w:r w:rsidRPr="00DB259E">
              <w:rPr>
                <w:rFonts w:eastAsia="SimSun"/>
                <w:vertAlign w:val="superscript"/>
              </w:rPr>
              <w:t>2</w:t>
            </w:r>
          </w:p>
        </w:tc>
        <w:tc>
          <w:tcPr>
            <w:tcW w:w="1701" w:type="dxa"/>
            <w:vAlign w:val="center"/>
          </w:tcPr>
          <w:p w14:paraId="3B4EC13A" w14:textId="77777777" w:rsidR="00124A26" w:rsidRPr="00AC3044" w:rsidRDefault="00124A26" w:rsidP="002D3EBF">
            <w:pPr>
              <w:ind w:firstLine="0"/>
              <w:rPr>
                <w:rFonts w:eastAsia="SimSun"/>
              </w:rPr>
            </w:pPr>
            <w:r w:rsidRPr="00AC3044">
              <w:rPr>
                <w:rFonts w:eastAsia="SimSun"/>
              </w:rPr>
              <w:t>С –4 по –2 день</w:t>
            </w:r>
          </w:p>
        </w:tc>
        <w:tc>
          <w:tcPr>
            <w:tcW w:w="2268" w:type="dxa"/>
            <w:vAlign w:val="center"/>
          </w:tcPr>
          <w:p w14:paraId="57579DA5"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424FA6CF" w14:textId="77777777" w:rsidTr="002D3EBF">
        <w:trPr>
          <w:cantSplit/>
          <w:trHeight w:val="20"/>
        </w:trPr>
        <w:tc>
          <w:tcPr>
            <w:tcW w:w="993" w:type="dxa"/>
            <w:vMerge/>
            <w:textDirection w:val="btLr"/>
            <w:vAlign w:val="center"/>
          </w:tcPr>
          <w:p w14:paraId="70C6BCCB" w14:textId="77777777" w:rsidR="00124A26" w:rsidRPr="00AC3044" w:rsidRDefault="00124A26" w:rsidP="002D3EBF">
            <w:pPr>
              <w:ind w:firstLine="0"/>
              <w:rPr>
                <w:rFonts w:eastAsia="SimSun"/>
              </w:rPr>
            </w:pPr>
          </w:p>
        </w:tc>
        <w:tc>
          <w:tcPr>
            <w:tcW w:w="1701" w:type="dxa"/>
            <w:vAlign w:val="center"/>
          </w:tcPr>
          <w:p w14:paraId="13459F60" w14:textId="77777777" w:rsidR="00124A26" w:rsidRPr="00AC3044" w:rsidRDefault="00124A26" w:rsidP="002D3EBF">
            <w:pPr>
              <w:ind w:firstLine="0"/>
              <w:rPr>
                <w:rFonts w:eastAsia="SimSun"/>
              </w:rPr>
            </w:pPr>
            <w:r w:rsidRPr="00AC3044">
              <w:rPr>
                <w:rFonts w:eastAsia="SimSun"/>
              </w:rPr>
              <w:t>Бусульфан</w:t>
            </w:r>
          </w:p>
        </w:tc>
        <w:tc>
          <w:tcPr>
            <w:tcW w:w="1559" w:type="dxa"/>
            <w:vAlign w:val="center"/>
          </w:tcPr>
          <w:p w14:paraId="70FFE171" w14:textId="77777777" w:rsidR="00124A26" w:rsidRPr="00AC3044" w:rsidRDefault="00124A26" w:rsidP="002D3EBF">
            <w:pPr>
              <w:ind w:firstLine="0"/>
              <w:rPr>
                <w:rFonts w:eastAsia="SimSun"/>
              </w:rPr>
            </w:pPr>
            <w:r w:rsidRPr="00AC3044">
              <w:rPr>
                <w:rFonts w:eastAsia="SimSun"/>
              </w:rPr>
              <w:t>4 мг/кг</w:t>
            </w:r>
          </w:p>
        </w:tc>
        <w:tc>
          <w:tcPr>
            <w:tcW w:w="1418" w:type="dxa"/>
            <w:vAlign w:val="center"/>
          </w:tcPr>
          <w:p w14:paraId="23789567" w14:textId="77777777" w:rsidR="00124A26" w:rsidRPr="00AC3044" w:rsidRDefault="00124A26" w:rsidP="002D3EBF">
            <w:pPr>
              <w:ind w:firstLine="0"/>
              <w:rPr>
                <w:rFonts w:eastAsia="SimSun"/>
              </w:rPr>
            </w:pPr>
            <w:r w:rsidRPr="00AC3044">
              <w:rPr>
                <w:rFonts w:eastAsia="SimSun"/>
              </w:rPr>
              <w:t>8 мг/кг</w:t>
            </w:r>
          </w:p>
        </w:tc>
        <w:tc>
          <w:tcPr>
            <w:tcW w:w="1701" w:type="dxa"/>
            <w:vAlign w:val="center"/>
          </w:tcPr>
          <w:p w14:paraId="640852E1" w14:textId="77777777" w:rsidR="00124A26" w:rsidRPr="00AC3044" w:rsidRDefault="00124A26" w:rsidP="002D3EBF">
            <w:pPr>
              <w:ind w:firstLine="0"/>
              <w:rPr>
                <w:rFonts w:eastAsia="SimSun"/>
              </w:rPr>
            </w:pPr>
            <w:r w:rsidRPr="00AC3044">
              <w:rPr>
                <w:rFonts w:eastAsia="SimSun"/>
              </w:rPr>
              <w:t>–3, –2 дни</w:t>
            </w:r>
          </w:p>
        </w:tc>
        <w:tc>
          <w:tcPr>
            <w:tcW w:w="2268" w:type="dxa"/>
            <w:vAlign w:val="center"/>
          </w:tcPr>
          <w:p w14:paraId="2E606000"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124A26" w:rsidRPr="00AC3044" w14:paraId="45C63293" w14:textId="77777777" w:rsidTr="002D3EBF">
        <w:trPr>
          <w:cantSplit/>
          <w:trHeight w:val="20"/>
        </w:trPr>
        <w:tc>
          <w:tcPr>
            <w:tcW w:w="993" w:type="dxa"/>
            <w:vMerge/>
            <w:textDirection w:val="btLr"/>
            <w:vAlign w:val="center"/>
          </w:tcPr>
          <w:p w14:paraId="04BF1FA1" w14:textId="77777777" w:rsidR="00124A26" w:rsidRPr="00AC3044" w:rsidRDefault="00124A26" w:rsidP="002D3EBF">
            <w:pPr>
              <w:ind w:firstLine="0"/>
              <w:rPr>
                <w:rFonts w:eastAsia="SimSun"/>
              </w:rPr>
            </w:pPr>
          </w:p>
        </w:tc>
        <w:tc>
          <w:tcPr>
            <w:tcW w:w="1701" w:type="dxa"/>
            <w:vAlign w:val="center"/>
          </w:tcPr>
          <w:p w14:paraId="332D2175" w14:textId="77777777" w:rsidR="00124A26" w:rsidRPr="00AC3044" w:rsidRDefault="00124A26" w:rsidP="002D3EBF">
            <w:pPr>
              <w:ind w:firstLine="0"/>
              <w:rPr>
                <w:rFonts w:eastAsia="SimSun"/>
              </w:rPr>
            </w:pPr>
            <w:r w:rsidRPr="00AC3044">
              <w:rPr>
                <w:rFonts w:eastAsia="SimSun"/>
              </w:rPr>
              <w:t>Тиотепа</w:t>
            </w:r>
          </w:p>
        </w:tc>
        <w:tc>
          <w:tcPr>
            <w:tcW w:w="1559" w:type="dxa"/>
            <w:vAlign w:val="center"/>
          </w:tcPr>
          <w:p w14:paraId="6569414B" w14:textId="77777777" w:rsidR="00124A26" w:rsidRPr="00AC3044" w:rsidRDefault="00124A26" w:rsidP="002D3EBF">
            <w:pPr>
              <w:ind w:firstLine="0"/>
              <w:rPr>
                <w:rFonts w:eastAsia="SimSun"/>
              </w:rPr>
            </w:pPr>
            <w:r w:rsidRPr="00AC3044">
              <w:rPr>
                <w:rFonts w:eastAsia="SimSun"/>
              </w:rPr>
              <w:t>5 мг/кг</w:t>
            </w:r>
          </w:p>
        </w:tc>
        <w:tc>
          <w:tcPr>
            <w:tcW w:w="1418" w:type="dxa"/>
            <w:vAlign w:val="center"/>
          </w:tcPr>
          <w:p w14:paraId="11FAD881" w14:textId="77777777" w:rsidR="00124A26" w:rsidRPr="00AC3044" w:rsidRDefault="00124A26" w:rsidP="002D3EBF">
            <w:pPr>
              <w:ind w:firstLine="0"/>
              <w:rPr>
                <w:rFonts w:eastAsia="SimSun"/>
              </w:rPr>
            </w:pPr>
            <w:r w:rsidRPr="00AC3044">
              <w:rPr>
                <w:rFonts w:eastAsia="SimSun"/>
              </w:rPr>
              <w:t>10 мг/кг</w:t>
            </w:r>
          </w:p>
        </w:tc>
        <w:tc>
          <w:tcPr>
            <w:tcW w:w="1701" w:type="dxa"/>
            <w:vAlign w:val="center"/>
          </w:tcPr>
          <w:p w14:paraId="5F5082CF" w14:textId="77777777" w:rsidR="00124A26" w:rsidRPr="00AC3044" w:rsidRDefault="00124A26" w:rsidP="002D3EBF">
            <w:pPr>
              <w:ind w:firstLine="0"/>
              <w:rPr>
                <w:rFonts w:eastAsia="SimSun"/>
              </w:rPr>
            </w:pPr>
            <w:r w:rsidRPr="00AC3044">
              <w:rPr>
                <w:rFonts w:eastAsia="SimSun"/>
              </w:rPr>
              <w:t>–6,–5 дни</w:t>
            </w:r>
          </w:p>
        </w:tc>
        <w:tc>
          <w:tcPr>
            <w:tcW w:w="2268" w:type="dxa"/>
            <w:vAlign w:val="center"/>
          </w:tcPr>
          <w:p w14:paraId="2EB73703" w14:textId="77777777" w:rsidR="00124A26" w:rsidRPr="00AC3044" w:rsidRDefault="00124A26" w:rsidP="002D3EBF">
            <w:pPr>
              <w:ind w:firstLine="0"/>
              <w:rPr>
                <w:rFonts w:eastAsia="SimSun"/>
              </w:rPr>
            </w:pPr>
            <w:r w:rsidRPr="00AC3044">
              <w:rPr>
                <w:rFonts w:eastAsia="SimSun"/>
              </w:rPr>
              <w:t>В/в, в течение 2 часов</w:t>
            </w:r>
          </w:p>
        </w:tc>
      </w:tr>
      <w:tr w:rsidR="00124A26" w:rsidRPr="00AC3044" w14:paraId="47F302D8" w14:textId="77777777" w:rsidTr="002D3EBF">
        <w:trPr>
          <w:cantSplit/>
          <w:trHeight w:val="20"/>
        </w:trPr>
        <w:tc>
          <w:tcPr>
            <w:tcW w:w="993" w:type="dxa"/>
            <w:vMerge w:val="restart"/>
            <w:textDirection w:val="btLr"/>
            <w:vAlign w:val="center"/>
          </w:tcPr>
          <w:p w14:paraId="5F8F0BFD" w14:textId="77777777" w:rsidR="00124A26" w:rsidRPr="00AC3044" w:rsidRDefault="00124A26" w:rsidP="002D3EBF">
            <w:pPr>
              <w:ind w:firstLine="0"/>
              <w:rPr>
                <w:rFonts w:eastAsia="SimSun"/>
              </w:rPr>
            </w:pPr>
            <w:r w:rsidRPr="00AC3044">
              <w:rPr>
                <w:rFonts w:eastAsia="SimSun"/>
              </w:rPr>
              <w:t>Профилактика РТПХ</w:t>
            </w:r>
          </w:p>
        </w:tc>
        <w:tc>
          <w:tcPr>
            <w:tcW w:w="1701" w:type="dxa"/>
            <w:vAlign w:val="center"/>
          </w:tcPr>
          <w:p w14:paraId="0DCBD9E8" w14:textId="77777777" w:rsidR="00124A26" w:rsidRPr="00AC3044" w:rsidRDefault="00124A26" w:rsidP="002D3EBF">
            <w:pPr>
              <w:ind w:firstLine="0"/>
              <w:rPr>
                <w:rFonts w:eastAsia="SimSun"/>
              </w:rPr>
            </w:pPr>
            <w:r w:rsidRPr="00AC3044">
              <w:rPr>
                <w:rFonts w:eastAsia="SimSun"/>
              </w:rPr>
              <w:t>АТГ (кроличий)</w:t>
            </w:r>
          </w:p>
        </w:tc>
        <w:tc>
          <w:tcPr>
            <w:tcW w:w="1559" w:type="dxa"/>
            <w:vAlign w:val="center"/>
          </w:tcPr>
          <w:p w14:paraId="60734975" w14:textId="77777777" w:rsidR="00124A26" w:rsidRPr="00AC3044" w:rsidRDefault="00124A26" w:rsidP="002D3EBF">
            <w:pPr>
              <w:ind w:firstLine="0"/>
              <w:rPr>
                <w:rFonts w:eastAsia="SimSun"/>
              </w:rPr>
            </w:pPr>
            <w:r w:rsidRPr="00AC3044">
              <w:rPr>
                <w:rFonts w:eastAsia="SimSun"/>
              </w:rPr>
              <w:t>2,5 мг/кг</w:t>
            </w:r>
          </w:p>
        </w:tc>
        <w:tc>
          <w:tcPr>
            <w:tcW w:w="1418" w:type="dxa"/>
            <w:vAlign w:val="center"/>
          </w:tcPr>
          <w:p w14:paraId="41D605D7" w14:textId="77777777" w:rsidR="00124A26" w:rsidRPr="00AC3044" w:rsidRDefault="00124A26" w:rsidP="002D3EBF">
            <w:pPr>
              <w:ind w:firstLine="0"/>
              <w:rPr>
                <w:rFonts w:eastAsia="SimSun"/>
              </w:rPr>
            </w:pPr>
            <w:r w:rsidRPr="00AC3044">
              <w:rPr>
                <w:rFonts w:eastAsia="SimSun"/>
              </w:rPr>
              <w:t>5-7,5 мг/кг</w:t>
            </w:r>
          </w:p>
        </w:tc>
        <w:tc>
          <w:tcPr>
            <w:tcW w:w="1701" w:type="dxa"/>
            <w:vAlign w:val="center"/>
          </w:tcPr>
          <w:p w14:paraId="4AAAD801" w14:textId="77777777" w:rsidR="00124A26" w:rsidRPr="00AC3044" w:rsidRDefault="00124A26" w:rsidP="002D3EBF">
            <w:pPr>
              <w:ind w:firstLine="0"/>
              <w:rPr>
                <w:rFonts w:eastAsia="SimSun"/>
              </w:rPr>
            </w:pPr>
            <w:r w:rsidRPr="00AC3044">
              <w:rPr>
                <w:rFonts w:eastAsia="SimSun"/>
              </w:rPr>
              <w:t>С –3 по –2 (-1) день</w:t>
            </w:r>
          </w:p>
        </w:tc>
        <w:tc>
          <w:tcPr>
            <w:tcW w:w="2268" w:type="dxa"/>
            <w:vAlign w:val="center"/>
          </w:tcPr>
          <w:p w14:paraId="172D8278" w14:textId="77777777" w:rsidR="00124A26" w:rsidRPr="00AC3044" w:rsidRDefault="00124A26" w:rsidP="002D3EBF">
            <w:pPr>
              <w:ind w:firstLine="0"/>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124A26" w:rsidRPr="00AC3044" w14:paraId="7EDA376D" w14:textId="77777777" w:rsidTr="002D3EBF">
        <w:trPr>
          <w:cantSplit/>
          <w:trHeight w:val="20"/>
        </w:trPr>
        <w:tc>
          <w:tcPr>
            <w:tcW w:w="993" w:type="dxa"/>
            <w:vMerge/>
            <w:textDirection w:val="btLr"/>
          </w:tcPr>
          <w:p w14:paraId="50C0FCB9" w14:textId="77777777" w:rsidR="00124A26" w:rsidRPr="00AC3044" w:rsidRDefault="00124A26" w:rsidP="002D3EBF">
            <w:pPr>
              <w:ind w:firstLine="0"/>
              <w:rPr>
                <w:rFonts w:eastAsia="SimSun"/>
              </w:rPr>
            </w:pPr>
          </w:p>
        </w:tc>
        <w:tc>
          <w:tcPr>
            <w:tcW w:w="1701" w:type="dxa"/>
            <w:vAlign w:val="center"/>
          </w:tcPr>
          <w:p w14:paraId="16AC2066" w14:textId="77777777" w:rsidR="00124A26" w:rsidRPr="00AC3044" w:rsidRDefault="00124A26" w:rsidP="002D3EBF">
            <w:pPr>
              <w:ind w:firstLine="0"/>
              <w:rPr>
                <w:rFonts w:eastAsia="SimSun"/>
              </w:rPr>
            </w:pPr>
            <w:r w:rsidRPr="00AC3044">
              <w:rPr>
                <w:rFonts w:eastAsia="SimSun"/>
              </w:rPr>
              <w:t>Циклоспорин</w:t>
            </w:r>
          </w:p>
        </w:tc>
        <w:tc>
          <w:tcPr>
            <w:tcW w:w="1559" w:type="dxa"/>
            <w:vAlign w:val="center"/>
          </w:tcPr>
          <w:p w14:paraId="64639EB4" w14:textId="77777777" w:rsidR="00124A26" w:rsidRPr="00AC3044" w:rsidRDefault="00124A26" w:rsidP="002D3EBF">
            <w:pPr>
              <w:ind w:firstLine="0"/>
              <w:rPr>
                <w:rFonts w:eastAsia="SimSun"/>
              </w:rPr>
            </w:pPr>
            <w:r w:rsidRPr="00AC3044">
              <w:rPr>
                <w:rFonts w:eastAsia="SimSun"/>
              </w:rPr>
              <w:t>3 мг/кг</w:t>
            </w:r>
          </w:p>
        </w:tc>
        <w:tc>
          <w:tcPr>
            <w:tcW w:w="1418" w:type="dxa"/>
            <w:vAlign w:val="center"/>
          </w:tcPr>
          <w:p w14:paraId="5CCC3B54"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220CDA7D" w14:textId="77777777" w:rsidR="00124A26" w:rsidRPr="00AC3044" w:rsidRDefault="00124A26" w:rsidP="002D3EBF">
            <w:pPr>
              <w:ind w:firstLine="0"/>
              <w:rPr>
                <w:rFonts w:eastAsia="SimSun"/>
              </w:rPr>
            </w:pPr>
            <w:r w:rsidRPr="00AC3044">
              <w:rPr>
                <w:rFonts w:eastAsia="SimSun"/>
              </w:rPr>
              <w:t>С–1 по +90 день, затем постепенное снижение к +180 дню</w:t>
            </w:r>
          </w:p>
        </w:tc>
        <w:tc>
          <w:tcPr>
            <w:tcW w:w="2268" w:type="dxa"/>
            <w:vAlign w:val="center"/>
          </w:tcPr>
          <w:p w14:paraId="6226A023" w14:textId="77777777" w:rsidR="00124A26" w:rsidRPr="00AC3044" w:rsidRDefault="00124A26"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124A26" w:rsidRPr="00AC3044" w14:paraId="00C5C41E" w14:textId="77777777" w:rsidTr="002D3EBF">
        <w:trPr>
          <w:cantSplit/>
          <w:trHeight w:val="20"/>
        </w:trPr>
        <w:tc>
          <w:tcPr>
            <w:tcW w:w="993" w:type="dxa"/>
            <w:vMerge/>
          </w:tcPr>
          <w:p w14:paraId="148D5333" w14:textId="77777777" w:rsidR="00124A26" w:rsidRPr="00AC3044" w:rsidRDefault="00124A26" w:rsidP="002D3EBF">
            <w:pPr>
              <w:ind w:firstLine="0"/>
              <w:rPr>
                <w:rFonts w:eastAsia="SimSun"/>
              </w:rPr>
            </w:pPr>
          </w:p>
        </w:tc>
        <w:tc>
          <w:tcPr>
            <w:tcW w:w="1701" w:type="dxa"/>
            <w:vMerge w:val="restart"/>
            <w:vAlign w:val="center"/>
          </w:tcPr>
          <w:p w14:paraId="0CBD9616" w14:textId="77777777" w:rsidR="00124A26" w:rsidRPr="00AC3044" w:rsidRDefault="00124A26" w:rsidP="002D3EBF">
            <w:pPr>
              <w:ind w:firstLine="0"/>
              <w:rPr>
                <w:rFonts w:eastAsia="SimSun"/>
              </w:rPr>
            </w:pPr>
            <w:r w:rsidRPr="00AC3044">
              <w:rPr>
                <w:rFonts w:eastAsia="SimSun"/>
              </w:rPr>
              <w:t>Метотрексат</w:t>
            </w:r>
          </w:p>
        </w:tc>
        <w:tc>
          <w:tcPr>
            <w:tcW w:w="1559" w:type="dxa"/>
            <w:vAlign w:val="center"/>
          </w:tcPr>
          <w:p w14:paraId="60337333" w14:textId="77777777" w:rsidR="00124A26" w:rsidRPr="00AC3044" w:rsidRDefault="00124A26" w:rsidP="002D3EBF">
            <w:pPr>
              <w:ind w:firstLine="0"/>
              <w:rPr>
                <w:rFonts w:eastAsia="SimSun"/>
              </w:rPr>
            </w:pPr>
            <w:r w:rsidRPr="00AC3044">
              <w:rPr>
                <w:rFonts w:eastAsia="SimSun"/>
              </w:rPr>
              <w:t>15 мг/м</w:t>
            </w:r>
            <w:r w:rsidRPr="00DB259E">
              <w:rPr>
                <w:rFonts w:eastAsia="SimSun"/>
                <w:vertAlign w:val="superscript"/>
              </w:rPr>
              <w:t>2</w:t>
            </w:r>
          </w:p>
        </w:tc>
        <w:tc>
          <w:tcPr>
            <w:tcW w:w="1418" w:type="dxa"/>
            <w:vAlign w:val="center"/>
          </w:tcPr>
          <w:p w14:paraId="30D767FC"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52BCFD12" w14:textId="77777777" w:rsidR="00124A26" w:rsidRPr="00AC3044" w:rsidRDefault="00124A26" w:rsidP="002D3EBF">
            <w:pPr>
              <w:ind w:firstLine="0"/>
              <w:rPr>
                <w:rFonts w:eastAsia="SimSun"/>
              </w:rPr>
            </w:pPr>
            <w:r w:rsidRPr="00AC3044">
              <w:rPr>
                <w:rFonts w:eastAsia="SimSun"/>
              </w:rPr>
              <w:t>+1 день</w:t>
            </w:r>
          </w:p>
        </w:tc>
        <w:tc>
          <w:tcPr>
            <w:tcW w:w="2268" w:type="dxa"/>
            <w:vAlign w:val="center"/>
          </w:tcPr>
          <w:p w14:paraId="3745832A" w14:textId="77777777" w:rsidR="00124A26" w:rsidRPr="00AC3044" w:rsidRDefault="00124A26" w:rsidP="002D3EBF">
            <w:pPr>
              <w:ind w:firstLine="0"/>
              <w:rPr>
                <w:rFonts w:eastAsia="SimSun"/>
              </w:rPr>
            </w:pPr>
            <w:r w:rsidRPr="00AC3044">
              <w:rPr>
                <w:rFonts w:eastAsia="SimSun"/>
              </w:rPr>
              <w:t xml:space="preserve">В/в, в 20 мл физ. р-ра </w:t>
            </w:r>
          </w:p>
        </w:tc>
      </w:tr>
      <w:tr w:rsidR="00124A26" w:rsidRPr="00AC3044" w14:paraId="5268106D" w14:textId="77777777" w:rsidTr="002D3EBF">
        <w:trPr>
          <w:cantSplit/>
          <w:trHeight w:val="464"/>
        </w:trPr>
        <w:tc>
          <w:tcPr>
            <w:tcW w:w="993" w:type="dxa"/>
            <w:vMerge/>
          </w:tcPr>
          <w:p w14:paraId="3E016EEB" w14:textId="77777777" w:rsidR="00124A26" w:rsidRPr="00AC3044" w:rsidRDefault="00124A26" w:rsidP="002D3EBF">
            <w:pPr>
              <w:ind w:firstLine="0"/>
              <w:rPr>
                <w:rFonts w:eastAsia="SimSun"/>
              </w:rPr>
            </w:pPr>
          </w:p>
        </w:tc>
        <w:tc>
          <w:tcPr>
            <w:tcW w:w="1701" w:type="dxa"/>
            <w:vMerge/>
            <w:vAlign w:val="center"/>
          </w:tcPr>
          <w:p w14:paraId="5808F3CE" w14:textId="77777777" w:rsidR="00124A26" w:rsidRPr="00AC3044" w:rsidRDefault="00124A26" w:rsidP="002D3EBF">
            <w:pPr>
              <w:ind w:firstLine="0"/>
              <w:rPr>
                <w:rFonts w:eastAsia="SimSun"/>
              </w:rPr>
            </w:pPr>
          </w:p>
        </w:tc>
        <w:tc>
          <w:tcPr>
            <w:tcW w:w="1559" w:type="dxa"/>
            <w:vAlign w:val="center"/>
          </w:tcPr>
          <w:p w14:paraId="6A7E013F" w14:textId="77777777" w:rsidR="00124A26" w:rsidRPr="00AC3044" w:rsidRDefault="00124A26" w:rsidP="002D3EBF">
            <w:pPr>
              <w:ind w:firstLine="0"/>
              <w:rPr>
                <w:rFonts w:eastAsia="SimSun"/>
              </w:rPr>
            </w:pPr>
            <w:r w:rsidRPr="00AC3044">
              <w:rPr>
                <w:rFonts w:eastAsia="SimSun"/>
              </w:rPr>
              <w:t>10 мг/м</w:t>
            </w:r>
            <w:r w:rsidRPr="00DB259E">
              <w:rPr>
                <w:rFonts w:eastAsia="SimSun"/>
                <w:vertAlign w:val="superscript"/>
              </w:rPr>
              <w:t>2</w:t>
            </w:r>
          </w:p>
        </w:tc>
        <w:tc>
          <w:tcPr>
            <w:tcW w:w="1418" w:type="dxa"/>
            <w:vAlign w:val="center"/>
          </w:tcPr>
          <w:p w14:paraId="7F02BECD"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275EB469" w14:textId="77777777" w:rsidR="00124A26" w:rsidRPr="00AC3044" w:rsidRDefault="00124A26" w:rsidP="002D3EBF">
            <w:pPr>
              <w:ind w:firstLine="0"/>
              <w:rPr>
                <w:rFonts w:eastAsia="SimSun"/>
              </w:rPr>
            </w:pPr>
            <w:r w:rsidRPr="00AC3044">
              <w:rPr>
                <w:rFonts w:eastAsia="SimSun"/>
              </w:rPr>
              <w:t>+3, +6, +11 дни</w:t>
            </w:r>
          </w:p>
        </w:tc>
        <w:tc>
          <w:tcPr>
            <w:tcW w:w="2268" w:type="dxa"/>
            <w:vAlign w:val="center"/>
          </w:tcPr>
          <w:p w14:paraId="773BF662" w14:textId="77777777" w:rsidR="00124A26" w:rsidRPr="00AC3044" w:rsidRDefault="00124A26" w:rsidP="002D3EBF">
            <w:pPr>
              <w:ind w:firstLine="0"/>
              <w:rPr>
                <w:rFonts w:eastAsia="SimSun"/>
              </w:rPr>
            </w:pPr>
            <w:r w:rsidRPr="00AC3044">
              <w:rPr>
                <w:rFonts w:eastAsia="SimSun"/>
              </w:rPr>
              <w:t xml:space="preserve">В/в, в 20 мл физ. р-ра </w:t>
            </w:r>
          </w:p>
        </w:tc>
      </w:tr>
      <w:tr w:rsidR="00124A26" w:rsidRPr="00AC3044" w14:paraId="644BB4A8" w14:textId="77777777" w:rsidTr="002D3EBF">
        <w:trPr>
          <w:cantSplit/>
          <w:trHeight w:val="464"/>
        </w:trPr>
        <w:tc>
          <w:tcPr>
            <w:tcW w:w="993" w:type="dxa"/>
            <w:vMerge/>
          </w:tcPr>
          <w:p w14:paraId="7D4B0521" w14:textId="77777777" w:rsidR="00124A26" w:rsidRPr="00AC3044" w:rsidRDefault="00124A26" w:rsidP="002D3EBF">
            <w:pPr>
              <w:ind w:firstLine="0"/>
              <w:rPr>
                <w:rFonts w:eastAsia="SimSun"/>
              </w:rPr>
            </w:pPr>
          </w:p>
        </w:tc>
        <w:tc>
          <w:tcPr>
            <w:tcW w:w="1701" w:type="dxa"/>
            <w:vAlign w:val="center"/>
          </w:tcPr>
          <w:p w14:paraId="4210B388" w14:textId="77777777" w:rsidR="00124A26" w:rsidRPr="00AC3044" w:rsidRDefault="00124A26" w:rsidP="002D3EBF">
            <w:pPr>
              <w:ind w:firstLine="0"/>
              <w:rPr>
                <w:rFonts w:eastAsia="SimSun"/>
              </w:rPr>
            </w:pPr>
            <w:r w:rsidRPr="00AC3044">
              <w:rPr>
                <w:rFonts w:eastAsia="SimSun"/>
              </w:rPr>
              <w:t>Микофенолата мофетил</w:t>
            </w:r>
          </w:p>
        </w:tc>
        <w:tc>
          <w:tcPr>
            <w:tcW w:w="1559" w:type="dxa"/>
            <w:vAlign w:val="center"/>
          </w:tcPr>
          <w:p w14:paraId="15C43BA8" w14:textId="77777777" w:rsidR="00124A26" w:rsidRPr="00AC3044" w:rsidRDefault="00124A26" w:rsidP="002D3EBF">
            <w:pPr>
              <w:ind w:firstLine="0"/>
              <w:rPr>
                <w:rFonts w:eastAsia="SimSun"/>
              </w:rPr>
            </w:pPr>
            <w:r w:rsidRPr="00AC3044">
              <w:rPr>
                <w:rFonts w:eastAsia="SimSun"/>
              </w:rPr>
              <w:t>45 мг/кг</w:t>
            </w:r>
          </w:p>
        </w:tc>
        <w:tc>
          <w:tcPr>
            <w:tcW w:w="1418" w:type="dxa"/>
            <w:vAlign w:val="center"/>
          </w:tcPr>
          <w:p w14:paraId="243147F1"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11A1ACF7" w14:textId="77777777" w:rsidR="00124A26" w:rsidRPr="00AC3044" w:rsidRDefault="00124A26" w:rsidP="002D3EBF">
            <w:pPr>
              <w:ind w:firstLine="0"/>
              <w:rPr>
                <w:rFonts w:eastAsia="SimSun"/>
              </w:rPr>
            </w:pPr>
            <w:r w:rsidRPr="00AC3044">
              <w:rPr>
                <w:rFonts w:eastAsia="SimSun"/>
              </w:rPr>
              <w:t>С +1 по +90 день</w:t>
            </w:r>
          </w:p>
        </w:tc>
        <w:tc>
          <w:tcPr>
            <w:tcW w:w="2268" w:type="dxa"/>
            <w:vAlign w:val="center"/>
          </w:tcPr>
          <w:p w14:paraId="02752CFE"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475E8D90" w14:textId="77777777" w:rsidR="00124A26" w:rsidRDefault="00124A26" w:rsidP="00124A26">
      <w:pPr>
        <w:rPr>
          <w:rFonts w:eastAsia="SimSun"/>
        </w:rPr>
      </w:pPr>
      <w:bookmarkStart w:id="241" w:name="_Toc44401203"/>
    </w:p>
    <w:p w14:paraId="1169B9D0" w14:textId="77777777" w:rsidR="00124A26" w:rsidRPr="00C07B2E" w:rsidRDefault="00124A26" w:rsidP="00124A26">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2.2.3  – Flu150+Bu8+Thio / PT-Cy+ CSA+MMF30</w:t>
      </w:r>
      <w:bookmarkEnd w:id="241"/>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418"/>
        <w:gridCol w:w="1701"/>
        <w:gridCol w:w="2268"/>
      </w:tblGrid>
      <w:tr w:rsidR="00124A26" w:rsidRPr="00AC3044" w14:paraId="36F1FE55" w14:textId="77777777" w:rsidTr="002D3EBF">
        <w:trPr>
          <w:cantSplit/>
          <w:trHeight w:val="20"/>
          <w:tblHeader/>
        </w:trPr>
        <w:tc>
          <w:tcPr>
            <w:tcW w:w="993" w:type="dxa"/>
          </w:tcPr>
          <w:p w14:paraId="200A14A4" w14:textId="77777777" w:rsidR="00124A26" w:rsidRPr="00470D3D" w:rsidRDefault="00124A26" w:rsidP="002D3EBF">
            <w:pPr>
              <w:ind w:firstLine="0"/>
              <w:rPr>
                <w:rFonts w:eastAsia="SimSun"/>
              </w:rPr>
            </w:pPr>
          </w:p>
        </w:tc>
        <w:tc>
          <w:tcPr>
            <w:tcW w:w="1701" w:type="dxa"/>
            <w:vAlign w:val="center"/>
          </w:tcPr>
          <w:p w14:paraId="3DC69445" w14:textId="77777777" w:rsidR="00124A26" w:rsidRPr="00AC3044" w:rsidRDefault="00124A26" w:rsidP="002D3EBF">
            <w:pPr>
              <w:ind w:firstLine="0"/>
              <w:rPr>
                <w:rFonts w:eastAsia="SimSun"/>
              </w:rPr>
            </w:pPr>
            <w:r w:rsidRPr="00AC3044">
              <w:rPr>
                <w:rFonts w:eastAsia="SimSun"/>
              </w:rPr>
              <w:t>Препарат</w:t>
            </w:r>
          </w:p>
        </w:tc>
        <w:tc>
          <w:tcPr>
            <w:tcW w:w="1559" w:type="dxa"/>
            <w:vAlign w:val="center"/>
          </w:tcPr>
          <w:p w14:paraId="0632F9DB" w14:textId="77777777" w:rsidR="00124A26" w:rsidRPr="00AC3044" w:rsidRDefault="00124A26" w:rsidP="002D3EBF">
            <w:pPr>
              <w:ind w:firstLine="0"/>
              <w:rPr>
                <w:rFonts w:eastAsia="SimSun"/>
              </w:rPr>
            </w:pPr>
            <w:r w:rsidRPr="00AC3044">
              <w:rPr>
                <w:rFonts w:eastAsia="SimSun"/>
              </w:rPr>
              <w:t>Суточная доза</w:t>
            </w:r>
          </w:p>
        </w:tc>
        <w:tc>
          <w:tcPr>
            <w:tcW w:w="1418" w:type="dxa"/>
            <w:vAlign w:val="center"/>
          </w:tcPr>
          <w:p w14:paraId="6CA7F16A" w14:textId="77777777" w:rsidR="00124A26" w:rsidRPr="00AC3044" w:rsidRDefault="00124A26" w:rsidP="002D3EBF">
            <w:pPr>
              <w:ind w:firstLine="0"/>
              <w:rPr>
                <w:rFonts w:eastAsia="SimSun"/>
              </w:rPr>
            </w:pPr>
            <w:r w:rsidRPr="00AC3044">
              <w:rPr>
                <w:rFonts w:eastAsia="SimSun"/>
              </w:rPr>
              <w:t>Курсовая доза</w:t>
            </w:r>
          </w:p>
        </w:tc>
        <w:tc>
          <w:tcPr>
            <w:tcW w:w="1701" w:type="dxa"/>
            <w:vAlign w:val="center"/>
          </w:tcPr>
          <w:p w14:paraId="01E56BD1" w14:textId="77777777" w:rsidR="00124A26" w:rsidRPr="00AC3044" w:rsidRDefault="00124A26" w:rsidP="002D3EBF">
            <w:pPr>
              <w:ind w:firstLine="0"/>
              <w:rPr>
                <w:rFonts w:eastAsia="SimSun"/>
              </w:rPr>
            </w:pPr>
            <w:r w:rsidRPr="00AC3044">
              <w:rPr>
                <w:rFonts w:eastAsia="SimSun"/>
              </w:rPr>
              <w:t>Дни введения</w:t>
            </w:r>
          </w:p>
        </w:tc>
        <w:tc>
          <w:tcPr>
            <w:tcW w:w="2268" w:type="dxa"/>
            <w:vAlign w:val="center"/>
          </w:tcPr>
          <w:p w14:paraId="5965F196"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61069468" w14:textId="77777777" w:rsidTr="002D3EBF">
        <w:trPr>
          <w:cantSplit/>
          <w:trHeight w:val="20"/>
        </w:trPr>
        <w:tc>
          <w:tcPr>
            <w:tcW w:w="993" w:type="dxa"/>
            <w:vMerge w:val="restart"/>
            <w:textDirection w:val="btLr"/>
            <w:vAlign w:val="center"/>
          </w:tcPr>
          <w:p w14:paraId="7CB6D080" w14:textId="77777777" w:rsidR="00124A26" w:rsidRPr="00AC3044" w:rsidRDefault="00124A26" w:rsidP="002D3EBF">
            <w:pPr>
              <w:ind w:firstLine="0"/>
              <w:rPr>
                <w:rFonts w:eastAsia="SimSun"/>
              </w:rPr>
            </w:pPr>
            <w:r w:rsidRPr="00AC3044">
              <w:rPr>
                <w:rFonts w:eastAsia="SimSun"/>
              </w:rPr>
              <w:t>Кондиционирование</w:t>
            </w:r>
          </w:p>
        </w:tc>
        <w:tc>
          <w:tcPr>
            <w:tcW w:w="1701" w:type="dxa"/>
            <w:vAlign w:val="center"/>
          </w:tcPr>
          <w:p w14:paraId="0C69C599" w14:textId="77777777" w:rsidR="00124A26" w:rsidRPr="00AC3044" w:rsidRDefault="00124A26" w:rsidP="002D3EBF">
            <w:pPr>
              <w:ind w:firstLine="0"/>
              <w:rPr>
                <w:rFonts w:eastAsia="SimSun"/>
              </w:rPr>
            </w:pPr>
            <w:r w:rsidRPr="00AC3044">
              <w:rPr>
                <w:rFonts w:eastAsia="SimSun"/>
              </w:rPr>
              <w:t xml:space="preserve">Флударабин </w:t>
            </w:r>
          </w:p>
        </w:tc>
        <w:tc>
          <w:tcPr>
            <w:tcW w:w="1559" w:type="dxa"/>
            <w:vAlign w:val="center"/>
          </w:tcPr>
          <w:p w14:paraId="50CE453D" w14:textId="77777777" w:rsidR="00124A26" w:rsidRPr="00AC3044" w:rsidRDefault="00124A26" w:rsidP="002D3EBF">
            <w:pPr>
              <w:ind w:firstLine="0"/>
              <w:rPr>
                <w:rFonts w:eastAsia="SimSun"/>
              </w:rPr>
            </w:pPr>
            <w:r w:rsidRPr="00AC3044">
              <w:rPr>
                <w:rFonts w:eastAsia="SimSun"/>
              </w:rPr>
              <w:t>50 мг/м</w:t>
            </w:r>
            <w:r w:rsidRPr="00DB259E">
              <w:rPr>
                <w:rFonts w:eastAsia="SimSun"/>
                <w:vertAlign w:val="superscript"/>
              </w:rPr>
              <w:t>2</w:t>
            </w:r>
          </w:p>
        </w:tc>
        <w:tc>
          <w:tcPr>
            <w:tcW w:w="1418" w:type="dxa"/>
            <w:vAlign w:val="center"/>
          </w:tcPr>
          <w:p w14:paraId="14431A04" w14:textId="77777777" w:rsidR="00124A26" w:rsidRPr="00AC3044" w:rsidRDefault="00124A26" w:rsidP="002D3EBF">
            <w:pPr>
              <w:ind w:firstLine="0"/>
              <w:rPr>
                <w:rFonts w:eastAsia="SimSun"/>
              </w:rPr>
            </w:pPr>
            <w:r w:rsidRPr="00AC3044">
              <w:rPr>
                <w:rFonts w:eastAsia="SimSun"/>
              </w:rPr>
              <w:t>150 мг/м</w:t>
            </w:r>
            <w:r w:rsidRPr="00DB259E">
              <w:rPr>
                <w:rFonts w:eastAsia="SimSun"/>
                <w:vertAlign w:val="superscript"/>
              </w:rPr>
              <w:t>2</w:t>
            </w:r>
          </w:p>
        </w:tc>
        <w:tc>
          <w:tcPr>
            <w:tcW w:w="1701" w:type="dxa"/>
            <w:vAlign w:val="center"/>
          </w:tcPr>
          <w:p w14:paraId="6D49D1A9" w14:textId="77777777" w:rsidR="00124A26" w:rsidRPr="00AC3044" w:rsidRDefault="00124A26" w:rsidP="002D3EBF">
            <w:pPr>
              <w:ind w:firstLine="0"/>
              <w:rPr>
                <w:rFonts w:eastAsia="SimSun"/>
              </w:rPr>
            </w:pPr>
            <w:r w:rsidRPr="00AC3044">
              <w:rPr>
                <w:rFonts w:eastAsia="SimSun"/>
              </w:rPr>
              <w:t>С –4 по –2 день</w:t>
            </w:r>
          </w:p>
        </w:tc>
        <w:tc>
          <w:tcPr>
            <w:tcW w:w="2268" w:type="dxa"/>
            <w:vAlign w:val="center"/>
          </w:tcPr>
          <w:p w14:paraId="43FD21CD"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3DDD8DD1" w14:textId="77777777" w:rsidTr="002D3EBF">
        <w:trPr>
          <w:cantSplit/>
          <w:trHeight w:val="560"/>
        </w:trPr>
        <w:tc>
          <w:tcPr>
            <w:tcW w:w="993" w:type="dxa"/>
            <w:vMerge/>
            <w:textDirection w:val="btLr"/>
            <w:vAlign w:val="center"/>
          </w:tcPr>
          <w:p w14:paraId="547838F0" w14:textId="77777777" w:rsidR="00124A26" w:rsidRPr="00AC3044" w:rsidRDefault="00124A26" w:rsidP="002D3EBF">
            <w:pPr>
              <w:ind w:firstLine="0"/>
              <w:rPr>
                <w:rFonts w:eastAsia="SimSun"/>
              </w:rPr>
            </w:pPr>
          </w:p>
        </w:tc>
        <w:tc>
          <w:tcPr>
            <w:tcW w:w="1701" w:type="dxa"/>
            <w:vAlign w:val="center"/>
          </w:tcPr>
          <w:p w14:paraId="232D4341" w14:textId="77777777" w:rsidR="00124A26" w:rsidRPr="00AC3044" w:rsidRDefault="00124A26" w:rsidP="002D3EBF">
            <w:pPr>
              <w:ind w:firstLine="0"/>
              <w:rPr>
                <w:rFonts w:eastAsia="SimSun"/>
              </w:rPr>
            </w:pPr>
            <w:r w:rsidRPr="00AC3044">
              <w:rPr>
                <w:rFonts w:eastAsia="SimSun"/>
              </w:rPr>
              <w:t>Бусульфан</w:t>
            </w:r>
          </w:p>
        </w:tc>
        <w:tc>
          <w:tcPr>
            <w:tcW w:w="1559" w:type="dxa"/>
            <w:vAlign w:val="center"/>
          </w:tcPr>
          <w:p w14:paraId="1A79D5F4" w14:textId="77777777" w:rsidR="00124A26" w:rsidRPr="00AC3044" w:rsidRDefault="00124A26" w:rsidP="002D3EBF">
            <w:pPr>
              <w:ind w:firstLine="0"/>
              <w:rPr>
                <w:rFonts w:eastAsia="SimSun"/>
              </w:rPr>
            </w:pPr>
            <w:r w:rsidRPr="00AC3044">
              <w:rPr>
                <w:rFonts w:eastAsia="SimSun"/>
              </w:rPr>
              <w:t>4 мг/кг</w:t>
            </w:r>
          </w:p>
        </w:tc>
        <w:tc>
          <w:tcPr>
            <w:tcW w:w="1418" w:type="dxa"/>
            <w:vAlign w:val="center"/>
          </w:tcPr>
          <w:p w14:paraId="4F11B41A" w14:textId="77777777" w:rsidR="00124A26" w:rsidRPr="00AC3044" w:rsidRDefault="00124A26" w:rsidP="002D3EBF">
            <w:pPr>
              <w:ind w:firstLine="0"/>
              <w:rPr>
                <w:rFonts w:eastAsia="SimSun"/>
              </w:rPr>
            </w:pPr>
            <w:r w:rsidRPr="00AC3044">
              <w:rPr>
                <w:rFonts w:eastAsia="SimSun"/>
              </w:rPr>
              <w:t>8 мг/кг</w:t>
            </w:r>
          </w:p>
        </w:tc>
        <w:tc>
          <w:tcPr>
            <w:tcW w:w="1701" w:type="dxa"/>
            <w:vAlign w:val="center"/>
          </w:tcPr>
          <w:p w14:paraId="753727B4" w14:textId="77777777" w:rsidR="00124A26" w:rsidRPr="00AC3044" w:rsidRDefault="00124A26" w:rsidP="002D3EBF">
            <w:pPr>
              <w:ind w:firstLine="0"/>
              <w:rPr>
                <w:rFonts w:eastAsia="SimSun"/>
              </w:rPr>
            </w:pPr>
            <w:r w:rsidRPr="00AC3044">
              <w:rPr>
                <w:rFonts w:eastAsia="SimSun"/>
              </w:rPr>
              <w:t>–3, –2 дни</w:t>
            </w:r>
          </w:p>
        </w:tc>
        <w:tc>
          <w:tcPr>
            <w:tcW w:w="2268" w:type="dxa"/>
            <w:vAlign w:val="center"/>
          </w:tcPr>
          <w:p w14:paraId="5FFB118F"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124A26" w:rsidRPr="00AC3044" w14:paraId="78398BA9" w14:textId="77777777" w:rsidTr="002D3EBF">
        <w:trPr>
          <w:cantSplit/>
          <w:trHeight w:val="809"/>
        </w:trPr>
        <w:tc>
          <w:tcPr>
            <w:tcW w:w="993" w:type="dxa"/>
            <w:vMerge/>
            <w:textDirection w:val="btLr"/>
            <w:vAlign w:val="center"/>
          </w:tcPr>
          <w:p w14:paraId="77964FDB" w14:textId="77777777" w:rsidR="00124A26" w:rsidRPr="00AC3044" w:rsidRDefault="00124A26" w:rsidP="002D3EBF">
            <w:pPr>
              <w:ind w:firstLine="0"/>
              <w:rPr>
                <w:rFonts w:eastAsia="SimSun"/>
              </w:rPr>
            </w:pPr>
          </w:p>
        </w:tc>
        <w:tc>
          <w:tcPr>
            <w:tcW w:w="1701" w:type="dxa"/>
            <w:vAlign w:val="center"/>
          </w:tcPr>
          <w:p w14:paraId="5C8288F5" w14:textId="77777777" w:rsidR="00124A26" w:rsidRPr="00AC3044" w:rsidRDefault="00124A26" w:rsidP="002D3EBF">
            <w:pPr>
              <w:ind w:firstLine="0"/>
              <w:rPr>
                <w:rFonts w:eastAsia="SimSun"/>
              </w:rPr>
            </w:pPr>
            <w:r w:rsidRPr="00AC3044">
              <w:rPr>
                <w:rFonts w:eastAsia="SimSun"/>
              </w:rPr>
              <w:t>Тиотепа</w:t>
            </w:r>
          </w:p>
        </w:tc>
        <w:tc>
          <w:tcPr>
            <w:tcW w:w="1559" w:type="dxa"/>
            <w:vAlign w:val="center"/>
          </w:tcPr>
          <w:p w14:paraId="16CCF759" w14:textId="77777777" w:rsidR="00124A26" w:rsidRPr="00AC3044" w:rsidRDefault="00124A26" w:rsidP="002D3EBF">
            <w:pPr>
              <w:ind w:firstLine="0"/>
              <w:rPr>
                <w:rFonts w:eastAsia="SimSun"/>
              </w:rPr>
            </w:pPr>
            <w:r w:rsidRPr="00AC3044">
              <w:rPr>
                <w:rFonts w:eastAsia="SimSun"/>
              </w:rPr>
              <w:t>5 мг/кг</w:t>
            </w:r>
          </w:p>
        </w:tc>
        <w:tc>
          <w:tcPr>
            <w:tcW w:w="1418" w:type="dxa"/>
            <w:vAlign w:val="center"/>
          </w:tcPr>
          <w:p w14:paraId="5039CABA" w14:textId="77777777" w:rsidR="00124A26" w:rsidRPr="00AC3044" w:rsidRDefault="00124A26" w:rsidP="002D3EBF">
            <w:pPr>
              <w:ind w:firstLine="0"/>
              <w:rPr>
                <w:rFonts w:eastAsia="SimSun"/>
              </w:rPr>
            </w:pPr>
            <w:r w:rsidRPr="00AC3044">
              <w:rPr>
                <w:rFonts w:eastAsia="SimSun"/>
              </w:rPr>
              <w:t>10 мг/кг</w:t>
            </w:r>
          </w:p>
        </w:tc>
        <w:tc>
          <w:tcPr>
            <w:tcW w:w="1701" w:type="dxa"/>
            <w:vAlign w:val="center"/>
          </w:tcPr>
          <w:p w14:paraId="542320A7" w14:textId="77777777" w:rsidR="00124A26" w:rsidRPr="00AC3044" w:rsidRDefault="00124A26" w:rsidP="002D3EBF">
            <w:pPr>
              <w:ind w:firstLine="0"/>
              <w:rPr>
                <w:rFonts w:eastAsia="SimSun"/>
              </w:rPr>
            </w:pPr>
            <w:r w:rsidRPr="00AC3044">
              <w:rPr>
                <w:rFonts w:eastAsia="SimSun"/>
              </w:rPr>
              <w:t>-6,-5 дни</w:t>
            </w:r>
          </w:p>
        </w:tc>
        <w:tc>
          <w:tcPr>
            <w:tcW w:w="2268" w:type="dxa"/>
            <w:vAlign w:val="center"/>
          </w:tcPr>
          <w:p w14:paraId="62A893C3" w14:textId="77777777" w:rsidR="00124A26" w:rsidRPr="00AC3044" w:rsidRDefault="00124A26" w:rsidP="002D3EBF">
            <w:pPr>
              <w:ind w:firstLine="0"/>
              <w:rPr>
                <w:rFonts w:eastAsia="SimSun"/>
              </w:rPr>
            </w:pPr>
            <w:r w:rsidRPr="00AC3044">
              <w:rPr>
                <w:rFonts w:eastAsia="SimSun"/>
              </w:rPr>
              <w:t>В/в, в течение 2 часов</w:t>
            </w:r>
          </w:p>
        </w:tc>
      </w:tr>
      <w:tr w:rsidR="00124A26" w:rsidRPr="00AC3044" w14:paraId="17B27E0A" w14:textId="77777777" w:rsidTr="002D3EBF">
        <w:trPr>
          <w:cantSplit/>
          <w:trHeight w:val="1133"/>
        </w:trPr>
        <w:tc>
          <w:tcPr>
            <w:tcW w:w="993" w:type="dxa"/>
            <w:vMerge w:val="restart"/>
            <w:textDirection w:val="btLr"/>
            <w:vAlign w:val="center"/>
          </w:tcPr>
          <w:p w14:paraId="52AFBAD8" w14:textId="77777777" w:rsidR="00124A26" w:rsidRPr="00AC3044" w:rsidRDefault="00124A26" w:rsidP="002D3EBF">
            <w:pPr>
              <w:ind w:firstLine="0"/>
              <w:rPr>
                <w:rFonts w:eastAsia="SimSun"/>
              </w:rPr>
            </w:pPr>
            <w:r w:rsidRPr="00AC3044">
              <w:rPr>
                <w:rFonts w:eastAsia="SimSun"/>
              </w:rPr>
              <w:t>Профилактика РТПХ</w:t>
            </w:r>
          </w:p>
        </w:tc>
        <w:tc>
          <w:tcPr>
            <w:tcW w:w="1701" w:type="dxa"/>
            <w:vAlign w:val="center"/>
          </w:tcPr>
          <w:p w14:paraId="3A9FD267" w14:textId="77777777" w:rsidR="00124A26" w:rsidRPr="00AC3044" w:rsidRDefault="00124A26" w:rsidP="002D3EBF">
            <w:pPr>
              <w:ind w:firstLine="0"/>
              <w:rPr>
                <w:rFonts w:eastAsia="SimSun"/>
              </w:rPr>
            </w:pPr>
            <w:r w:rsidRPr="00AC3044">
              <w:rPr>
                <w:rFonts w:eastAsia="SimSun"/>
              </w:rPr>
              <w:t>Циклоспорин</w:t>
            </w:r>
          </w:p>
        </w:tc>
        <w:tc>
          <w:tcPr>
            <w:tcW w:w="1559" w:type="dxa"/>
            <w:vAlign w:val="center"/>
          </w:tcPr>
          <w:p w14:paraId="20577C68" w14:textId="77777777" w:rsidR="00124A26" w:rsidRPr="00AC3044" w:rsidRDefault="00124A26" w:rsidP="002D3EBF">
            <w:pPr>
              <w:ind w:firstLine="0"/>
              <w:rPr>
                <w:rFonts w:eastAsia="SimSun"/>
              </w:rPr>
            </w:pPr>
            <w:r w:rsidRPr="00AC3044">
              <w:rPr>
                <w:rFonts w:eastAsia="SimSun"/>
              </w:rPr>
              <w:t>3 мг/кг</w:t>
            </w:r>
          </w:p>
        </w:tc>
        <w:tc>
          <w:tcPr>
            <w:tcW w:w="1418" w:type="dxa"/>
            <w:vAlign w:val="center"/>
          </w:tcPr>
          <w:p w14:paraId="574C6417"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28A8BD0B" w14:textId="77777777" w:rsidR="00124A26" w:rsidRPr="00AC3044" w:rsidRDefault="00124A26" w:rsidP="002D3EBF">
            <w:pPr>
              <w:ind w:firstLine="0"/>
              <w:rPr>
                <w:rFonts w:eastAsia="SimSun"/>
              </w:rPr>
            </w:pPr>
            <w:r w:rsidRPr="00AC3044">
              <w:rPr>
                <w:rFonts w:eastAsia="SimSun"/>
              </w:rPr>
              <w:t>С +5 дня по +90 день затем постепенное снижение к +180 дню</w:t>
            </w:r>
          </w:p>
        </w:tc>
        <w:tc>
          <w:tcPr>
            <w:tcW w:w="2268" w:type="dxa"/>
            <w:vAlign w:val="center"/>
          </w:tcPr>
          <w:p w14:paraId="6C691E0B" w14:textId="77777777" w:rsidR="00124A26" w:rsidRPr="00AC3044" w:rsidRDefault="00124A26"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124A26" w:rsidRPr="00AC3044" w14:paraId="383C90A3" w14:textId="77777777" w:rsidTr="002D3EBF">
        <w:trPr>
          <w:cantSplit/>
          <w:trHeight w:val="20"/>
        </w:trPr>
        <w:tc>
          <w:tcPr>
            <w:tcW w:w="993" w:type="dxa"/>
            <w:vMerge/>
            <w:textDirection w:val="btLr"/>
          </w:tcPr>
          <w:p w14:paraId="359A0ACB" w14:textId="77777777" w:rsidR="00124A26" w:rsidRPr="00AC3044" w:rsidRDefault="00124A26" w:rsidP="002D3EBF">
            <w:pPr>
              <w:ind w:firstLine="0"/>
              <w:rPr>
                <w:rFonts w:eastAsia="SimSun"/>
              </w:rPr>
            </w:pPr>
          </w:p>
        </w:tc>
        <w:tc>
          <w:tcPr>
            <w:tcW w:w="1701" w:type="dxa"/>
            <w:vAlign w:val="center"/>
          </w:tcPr>
          <w:p w14:paraId="719CDA52" w14:textId="77777777" w:rsidR="00124A26" w:rsidRPr="00AC3044" w:rsidRDefault="00124A26" w:rsidP="002D3EBF">
            <w:pPr>
              <w:ind w:firstLine="0"/>
              <w:rPr>
                <w:rFonts w:eastAsia="SimSun"/>
              </w:rPr>
            </w:pPr>
            <w:r w:rsidRPr="00AC3044">
              <w:rPr>
                <w:rFonts w:eastAsia="SimSun"/>
              </w:rPr>
              <w:t>Микофенолата мофетил</w:t>
            </w:r>
          </w:p>
        </w:tc>
        <w:tc>
          <w:tcPr>
            <w:tcW w:w="1559" w:type="dxa"/>
            <w:vAlign w:val="center"/>
          </w:tcPr>
          <w:p w14:paraId="29706E0E" w14:textId="77777777" w:rsidR="00124A26" w:rsidRPr="00AC3044" w:rsidRDefault="00124A26" w:rsidP="002D3EBF">
            <w:pPr>
              <w:ind w:firstLine="0"/>
              <w:rPr>
                <w:rFonts w:eastAsia="SimSun"/>
              </w:rPr>
            </w:pPr>
            <w:r w:rsidRPr="00AC3044">
              <w:rPr>
                <w:rFonts w:eastAsia="SimSun"/>
              </w:rPr>
              <w:t>30 мг/кг</w:t>
            </w:r>
          </w:p>
        </w:tc>
        <w:tc>
          <w:tcPr>
            <w:tcW w:w="1418" w:type="dxa"/>
            <w:vAlign w:val="center"/>
          </w:tcPr>
          <w:p w14:paraId="593AE913"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440C5D83" w14:textId="77777777" w:rsidR="00124A26" w:rsidRPr="00AC3044" w:rsidRDefault="00124A26" w:rsidP="002D3EBF">
            <w:pPr>
              <w:ind w:firstLine="0"/>
              <w:rPr>
                <w:rFonts w:eastAsia="SimSun"/>
              </w:rPr>
            </w:pPr>
            <w:r w:rsidRPr="00AC3044">
              <w:rPr>
                <w:rFonts w:eastAsia="SimSun"/>
              </w:rPr>
              <w:t>С +5 по +90 день</w:t>
            </w:r>
          </w:p>
        </w:tc>
        <w:tc>
          <w:tcPr>
            <w:tcW w:w="2268" w:type="dxa"/>
            <w:vAlign w:val="center"/>
          </w:tcPr>
          <w:p w14:paraId="296C3BBD"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124A26" w:rsidRPr="00AC3044" w14:paraId="67047D0E" w14:textId="77777777" w:rsidTr="002D3EBF">
        <w:trPr>
          <w:cantSplit/>
          <w:trHeight w:val="20"/>
        </w:trPr>
        <w:tc>
          <w:tcPr>
            <w:tcW w:w="993" w:type="dxa"/>
            <w:vMerge/>
            <w:textDirection w:val="btLr"/>
          </w:tcPr>
          <w:p w14:paraId="068581EE" w14:textId="77777777" w:rsidR="00124A26" w:rsidRPr="00AC3044" w:rsidRDefault="00124A26" w:rsidP="002D3EBF">
            <w:pPr>
              <w:ind w:firstLine="0"/>
              <w:rPr>
                <w:rFonts w:eastAsia="SimSun"/>
              </w:rPr>
            </w:pPr>
          </w:p>
        </w:tc>
        <w:tc>
          <w:tcPr>
            <w:tcW w:w="1701" w:type="dxa"/>
            <w:vAlign w:val="center"/>
          </w:tcPr>
          <w:p w14:paraId="4AD62A3A" w14:textId="77777777" w:rsidR="00124A26" w:rsidRPr="00AC3044" w:rsidRDefault="00124A26" w:rsidP="002D3EBF">
            <w:pPr>
              <w:ind w:firstLine="0"/>
              <w:rPr>
                <w:rFonts w:eastAsia="SimSun"/>
              </w:rPr>
            </w:pPr>
            <w:r w:rsidRPr="00AC3044">
              <w:rPr>
                <w:rFonts w:eastAsia="SimSun"/>
              </w:rPr>
              <w:t>Циклофосфамид</w:t>
            </w:r>
          </w:p>
        </w:tc>
        <w:tc>
          <w:tcPr>
            <w:tcW w:w="1559" w:type="dxa"/>
            <w:vAlign w:val="center"/>
          </w:tcPr>
          <w:p w14:paraId="151ED7B4" w14:textId="77777777" w:rsidR="00124A26" w:rsidRPr="00AC3044" w:rsidRDefault="00124A26" w:rsidP="002D3EBF">
            <w:pPr>
              <w:ind w:firstLine="0"/>
              <w:rPr>
                <w:rFonts w:eastAsia="SimSun"/>
              </w:rPr>
            </w:pPr>
            <w:r w:rsidRPr="00AC3044">
              <w:rPr>
                <w:rFonts w:eastAsia="SimSun"/>
              </w:rPr>
              <w:t>50 мг/кг</w:t>
            </w:r>
          </w:p>
        </w:tc>
        <w:tc>
          <w:tcPr>
            <w:tcW w:w="1418" w:type="dxa"/>
            <w:vAlign w:val="center"/>
          </w:tcPr>
          <w:p w14:paraId="5B45C5B1" w14:textId="77777777" w:rsidR="00124A26" w:rsidRPr="00AC3044" w:rsidRDefault="00124A26" w:rsidP="002D3EBF">
            <w:pPr>
              <w:ind w:firstLine="0"/>
              <w:rPr>
                <w:rFonts w:eastAsia="SimSun"/>
              </w:rPr>
            </w:pPr>
            <w:r w:rsidRPr="00AC3044">
              <w:rPr>
                <w:rFonts w:eastAsia="SimSun"/>
              </w:rPr>
              <w:t>100 мг/кг</w:t>
            </w:r>
          </w:p>
        </w:tc>
        <w:tc>
          <w:tcPr>
            <w:tcW w:w="1701" w:type="dxa"/>
            <w:vAlign w:val="center"/>
          </w:tcPr>
          <w:p w14:paraId="1EBE0513" w14:textId="77777777" w:rsidR="00124A26" w:rsidRPr="00AC3044" w:rsidRDefault="00124A26" w:rsidP="002D3EBF">
            <w:pPr>
              <w:ind w:firstLine="0"/>
              <w:rPr>
                <w:rFonts w:eastAsia="SimSun"/>
              </w:rPr>
            </w:pPr>
            <w:r w:rsidRPr="00AC3044">
              <w:rPr>
                <w:rFonts w:eastAsia="SimSun"/>
              </w:rPr>
              <w:t xml:space="preserve">+3,+4 дни </w:t>
            </w:r>
          </w:p>
        </w:tc>
        <w:tc>
          <w:tcPr>
            <w:tcW w:w="2268" w:type="dxa"/>
            <w:vAlign w:val="center"/>
          </w:tcPr>
          <w:p w14:paraId="7AD56159" w14:textId="77777777" w:rsidR="00124A26" w:rsidRPr="00AC3044" w:rsidRDefault="00124A26" w:rsidP="002D3EBF">
            <w:pPr>
              <w:ind w:firstLine="0"/>
              <w:rPr>
                <w:rFonts w:eastAsia="SimSun"/>
              </w:rPr>
            </w:pPr>
            <w:r w:rsidRPr="00AC3044">
              <w:rPr>
                <w:rFonts w:eastAsia="SimSun"/>
              </w:rPr>
              <w:t>В/в, в течение 2 часов</w:t>
            </w:r>
          </w:p>
        </w:tc>
      </w:tr>
    </w:tbl>
    <w:p w14:paraId="323E6751" w14:textId="77777777" w:rsidR="00124A26" w:rsidRPr="00C07B2E" w:rsidRDefault="00124A26" w:rsidP="00124A26">
      <w:pPr>
        <w:rPr>
          <w:rFonts w:eastAsia="SimSun"/>
        </w:rPr>
      </w:pPr>
    </w:p>
    <w:p w14:paraId="1F0E511D" w14:textId="77777777" w:rsidR="00124A26" w:rsidRPr="00C07B2E" w:rsidRDefault="00124A26" w:rsidP="00124A26">
      <w:pPr>
        <w:rPr>
          <w:rFonts w:eastAsia="SimSun"/>
        </w:rPr>
      </w:pPr>
      <w:bookmarkStart w:id="242" w:name="_Toc44401204"/>
      <w:r w:rsidRPr="00042499">
        <w:rPr>
          <w:rFonts w:eastAsia="SimSun"/>
        </w:rPr>
        <w:t>Таблица</w:t>
      </w:r>
      <w:r w:rsidRPr="00C07B2E">
        <w:rPr>
          <w:rFonts w:eastAsia="SimSun"/>
        </w:rPr>
        <w:t xml:space="preserve"> </w:t>
      </w:r>
      <w:r>
        <w:rPr>
          <w:rFonts w:eastAsia="SimSun"/>
        </w:rPr>
        <w:t>5.</w:t>
      </w:r>
      <w:r w:rsidRPr="00C07B2E">
        <w:rPr>
          <w:rFonts w:eastAsia="SimSun"/>
        </w:rPr>
        <w:t>2.2.4  – Flu150+Bu8+Thio / PT-Cy+ CSA+MMF45</w:t>
      </w:r>
      <w:bookmarkEnd w:id="242"/>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124A26" w:rsidRPr="00AC3044" w14:paraId="38E42C12" w14:textId="77777777" w:rsidTr="002D3EBF">
        <w:trPr>
          <w:cantSplit/>
          <w:trHeight w:val="20"/>
          <w:tblHeader/>
        </w:trPr>
        <w:tc>
          <w:tcPr>
            <w:tcW w:w="851" w:type="dxa"/>
          </w:tcPr>
          <w:p w14:paraId="034A9257" w14:textId="77777777" w:rsidR="00124A26" w:rsidRPr="00470D3D" w:rsidRDefault="00124A26" w:rsidP="002D3EBF">
            <w:pPr>
              <w:ind w:firstLine="0"/>
              <w:rPr>
                <w:rFonts w:eastAsia="SimSun"/>
              </w:rPr>
            </w:pPr>
          </w:p>
        </w:tc>
        <w:tc>
          <w:tcPr>
            <w:tcW w:w="1701" w:type="dxa"/>
            <w:vAlign w:val="center"/>
          </w:tcPr>
          <w:p w14:paraId="5EDCCE0C" w14:textId="77777777" w:rsidR="00124A26" w:rsidRPr="00AC3044" w:rsidRDefault="00124A26" w:rsidP="002D3EBF">
            <w:pPr>
              <w:ind w:firstLine="0"/>
              <w:rPr>
                <w:rFonts w:eastAsia="SimSun"/>
              </w:rPr>
            </w:pPr>
            <w:r w:rsidRPr="00AC3044">
              <w:rPr>
                <w:rFonts w:eastAsia="SimSun"/>
              </w:rPr>
              <w:t>Препарат</w:t>
            </w:r>
          </w:p>
        </w:tc>
        <w:tc>
          <w:tcPr>
            <w:tcW w:w="1559" w:type="dxa"/>
            <w:vAlign w:val="center"/>
          </w:tcPr>
          <w:p w14:paraId="57D99646" w14:textId="77777777" w:rsidR="00124A26" w:rsidRPr="00AC3044" w:rsidRDefault="00124A26" w:rsidP="002D3EBF">
            <w:pPr>
              <w:ind w:firstLine="0"/>
              <w:rPr>
                <w:rFonts w:eastAsia="SimSun"/>
              </w:rPr>
            </w:pPr>
            <w:r w:rsidRPr="00AC3044">
              <w:rPr>
                <w:rFonts w:eastAsia="SimSun"/>
              </w:rPr>
              <w:t>Суточная доза</w:t>
            </w:r>
          </w:p>
        </w:tc>
        <w:tc>
          <w:tcPr>
            <w:tcW w:w="1418" w:type="dxa"/>
            <w:vAlign w:val="center"/>
          </w:tcPr>
          <w:p w14:paraId="5166EC32" w14:textId="77777777" w:rsidR="00124A26" w:rsidRPr="00AC3044" w:rsidRDefault="00124A26" w:rsidP="002D3EBF">
            <w:pPr>
              <w:ind w:firstLine="0"/>
              <w:rPr>
                <w:rFonts w:eastAsia="SimSun"/>
              </w:rPr>
            </w:pPr>
            <w:r w:rsidRPr="00AC3044">
              <w:rPr>
                <w:rFonts w:eastAsia="SimSun"/>
              </w:rPr>
              <w:t>Курсовая доза</w:t>
            </w:r>
          </w:p>
        </w:tc>
        <w:tc>
          <w:tcPr>
            <w:tcW w:w="1701" w:type="dxa"/>
            <w:vAlign w:val="center"/>
          </w:tcPr>
          <w:p w14:paraId="74802229" w14:textId="77777777" w:rsidR="00124A26" w:rsidRPr="00AC3044" w:rsidRDefault="00124A26" w:rsidP="002D3EBF">
            <w:pPr>
              <w:ind w:firstLine="0"/>
              <w:rPr>
                <w:rFonts w:eastAsia="SimSun"/>
              </w:rPr>
            </w:pPr>
            <w:r w:rsidRPr="00AC3044">
              <w:rPr>
                <w:rFonts w:eastAsia="SimSun"/>
              </w:rPr>
              <w:t>Дни введения</w:t>
            </w:r>
          </w:p>
        </w:tc>
        <w:tc>
          <w:tcPr>
            <w:tcW w:w="2268" w:type="dxa"/>
            <w:vAlign w:val="center"/>
          </w:tcPr>
          <w:p w14:paraId="72AB8397"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71BE1417" w14:textId="77777777" w:rsidTr="002D3EBF">
        <w:trPr>
          <w:cantSplit/>
          <w:trHeight w:val="20"/>
        </w:trPr>
        <w:tc>
          <w:tcPr>
            <w:tcW w:w="851" w:type="dxa"/>
            <w:vMerge w:val="restart"/>
            <w:textDirection w:val="btLr"/>
            <w:vAlign w:val="center"/>
          </w:tcPr>
          <w:p w14:paraId="247B7DE4" w14:textId="77777777" w:rsidR="00124A26" w:rsidRPr="00AC3044" w:rsidRDefault="00124A26" w:rsidP="002D3EBF">
            <w:pPr>
              <w:ind w:firstLine="0"/>
              <w:rPr>
                <w:rFonts w:eastAsia="SimSun"/>
              </w:rPr>
            </w:pPr>
            <w:r w:rsidRPr="00AC3044">
              <w:rPr>
                <w:rFonts w:eastAsia="SimSun"/>
              </w:rPr>
              <w:t>Кондиционирование</w:t>
            </w:r>
          </w:p>
        </w:tc>
        <w:tc>
          <w:tcPr>
            <w:tcW w:w="1701" w:type="dxa"/>
            <w:vAlign w:val="center"/>
          </w:tcPr>
          <w:p w14:paraId="30995504" w14:textId="77777777" w:rsidR="00124A26" w:rsidRPr="00AC3044" w:rsidRDefault="00124A26" w:rsidP="002D3EBF">
            <w:pPr>
              <w:ind w:firstLine="0"/>
              <w:rPr>
                <w:rFonts w:eastAsia="SimSun"/>
              </w:rPr>
            </w:pPr>
            <w:r w:rsidRPr="00AC3044">
              <w:rPr>
                <w:rFonts w:eastAsia="SimSun"/>
              </w:rPr>
              <w:t xml:space="preserve">Флударабин </w:t>
            </w:r>
          </w:p>
        </w:tc>
        <w:tc>
          <w:tcPr>
            <w:tcW w:w="1559" w:type="dxa"/>
            <w:vAlign w:val="center"/>
          </w:tcPr>
          <w:p w14:paraId="055F5558" w14:textId="77777777" w:rsidR="00124A26" w:rsidRPr="00AC3044" w:rsidRDefault="00124A26" w:rsidP="002D3EBF">
            <w:pPr>
              <w:ind w:firstLine="0"/>
              <w:rPr>
                <w:rFonts w:eastAsia="SimSun"/>
              </w:rPr>
            </w:pPr>
            <w:r w:rsidRPr="00AC3044">
              <w:rPr>
                <w:rFonts w:eastAsia="SimSun"/>
              </w:rPr>
              <w:t>50 мг/м</w:t>
            </w:r>
            <w:r w:rsidRPr="00DB259E">
              <w:rPr>
                <w:rFonts w:eastAsia="SimSun"/>
                <w:vertAlign w:val="superscript"/>
              </w:rPr>
              <w:t>2</w:t>
            </w:r>
          </w:p>
        </w:tc>
        <w:tc>
          <w:tcPr>
            <w:tcW w:w="1418" w:type="dxa"/>
            <w:vAlign w:val="center"/>
          </w:tcPr>
          <w:p w14:paraId="3559D11C" w14:textId="77777777" w:rsidR="00124A26" w:rsidRPr="00AC3044" w:rsidRDefault="00124A26" w:rsidP="002D3EBF">
            <w:pPr>
              <w:ind w:firstLine="0"/>
              <w:rPr>
                <w:rFonts w:eastAsia="SimSun"/>
              </w:rPr>
            </w:pPr>
            <w:r w:rsidRPr="00AC3044">
              <w:rPr>
                <w:rFonts w:eastAsia="SimSun"/>
              </w:rPr>
              <w:t>150 мг/м</w:t>
            </w:r>
            <w:r w:rsidRPr="00DB259E">
              <w:rPr>
                <w:rFonts w:eastAsia="SimSun"/>
                <w:vertAlign w:val="superscript"/>
              </w:rPr>
              <w:t>2</w:t>
            </w:r>
          </w:p>
        </w:tc>
        <w:tc>
          <w:tcPr>
            <w:tcW w:w="1701" w:type="dxa"/>
            <w:vAlign w:val="center"/>
          </w:tcPr>
          <w:p w14:paraId="51B7E53B" w14:textId="77777777" w:rsidR="00124A26" w:rsidRPr="00AC3044" w:rsidRDefault="00124A26" w:rsidP="002D3EBF">
            <w:pPr>
              <w:ind w:firstLine="0"/>
              <w:rPr>
                <w:rFonts w:eastAsia="SimSun"/>
              </w:rPr>
            </w:pPr>
            <w:r w:rsidRPr="00AC3044">
              <w:rPr>
                <w:rFonts w:eastAsia="SimSun"/>
              </w:rPr>
              <w:t>С –4 по –2 день</w:t>
            </w:r>
          </w:p>
        </w:tc>
        <w:tc>
          <w:tcPr>
            <w:tcW w:w="2268" w:type="dxa"/>
            <w:vAlign w:val="center"/>
          </w:tcPr>
          <w:p w14:paraId="16E1DBE8"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6B64BFCC" w14:textId="77777777" w:rsidTr="002D3EBF">
        <w:trPr>
          <w:cantSplit/>
          <w:trHeight w:val="1015"/>
        </w:trPr>
        <w:tc>
          <w:tcPr>
            <w:tcW w:w="851" w:type="dxa"/>
            <w:vMerge/>
            <w:textDirection w:val="btLr"/>
            <w:vAlign w:val="center"/>
          </w:tcPr>
          <w:p w14:paraId="2415BB21" w14:textId="77777777" w:rsidR="00124A26" w:rsidRPr="00AC3044" w:rsidRDefault="00124A26" w:rsidP="002D3EBF">
            <w:pPr>
              <w:ind w:firstLine="0"/>
              <w:rPr>
                <w:rFonts w:eastAsia="SimSun"/>
              </w:rPr>
            </w:pPr>
          </w:p>
        </w:tc>
        <w:tc>
          <w:tcPr>
            <w:tcW w:w="1701" w:type="dxa"/>
            <w:vAlign w:val="center"/>
          </w:tcPr>
          <w:p w14:paraId="70B8B5BB" w14:textId="77777777" w:rsidR="00124A26" w:rsidRPr="00AC3044" w:rsidRDefault="00124A26" w:rsidP="002D3EBF">
            <w:pPr>
              <w:ind w:firstLine="0"/>
              <w:rPr>
                <w:rFonts w:eastAsia="SimSun"/>
              </w:rPr>
            </w:pPr>
            <w:r w:rsidRPr="00AC3044">
              <w:rPr>
                <w:rFonts w:eastAsia="SimSun"/>
              </w:rPr>
              <w:t>Бусульфан</w:t>
            </w:r>
          </w:p>
        </w:tc>
        <w:tc>
          <w:tcPr>
            <w:tcW w:w="1559" w:type="dxa"/>
            <w:vAlign w:val="center"/>
          </w:tcPr>
          <w:p w14:paraId="7920B17A" w14:textId="77777777" w:rsidR="00124A26" w:rsidRPr="00AC3044" w:rsidRDefault="00124A26" w:rsidP="002D3EBF">
            <w:pPr>
              <w:ind w:firstLine="0"/>
              <w:rPr>
                <w:rFonts w:eastAsia="SimSun"/>
              </w:rPr>
            </w:pPr>
            <w:r w:rsidRPr="00AC3044">
              <w:rPr>
                <w:rFonts w:eastAsia="SimSun"/>
              </w:rPr>
              <w:t>4 мг/кг</w:t>
            </w:r>
          </w:p>
        </w:tc>
        <w:tc>
          <w:tcPr>
            <w:tcW w:w="1418" w:type="dxa"/>
            <w:vAlign w:val="center"/>
          </w:tcPr>
          <w:p w14:paraId="7645A0E9" w14:textId="77777777" w:rsidR="00124A26" w:rsidRPr="00AC3044" w:rsidRDefault="00124A26" w:rsidP="002D3EBF">
            <w:pPr>
              <w:ind w:firstLine="0"/>
              <w:rPr>
                <w:rFonts w:eastAsia="SimSun"/>
              </w:rPr>
            </w:pPr>
            <w:r w:rsidRPr="00AC3044">
              <w:rPr>
                <w:rFonts w:eastAsia="SimSun"/>
              </w:rPr>
              <w:t>8 мг/кг</w:t>
            </w:r>
          </w:p>
        </w:tc>
        <w:tc>
          <w:tcPr>
            <w:tcW w:w="1701" w:type="dxa"/>
            <w:vAlign w:val="center"/>
          </w:tcPr>
          <w:p w14:paraId="683AF3C4" w14:textId="77777777" w:rsidR="00124A26" w:rsidRPr="00AC3044" w:rsidRDefault="00124A26" w:rsidP="002D3EBF">
            <w:pPr>
              <w:ind w:firstLine="0"/>
              <w:rPr>
                <w:rFonts w:eastAsia="SimSun"/>
              </w:rPr>
            </w:pPr>
            <w:r w:rsidRPr="00AC3044">
              <w:rPr>
                <w:rFonts w:eastAsia="SimSun"/>
              </w:rPr>
              <w:t>–3, –2 дни</w:t>
            </w:r>
          </w:p>
        </w:tc>
        <w:tc>
          <w:tcPr>
            <w:tcW w:w="2268" w:type="dxa"/>
            <w:vAlign w:val="center"/>
          </w:tcPr>
          <w:p w14:paraId="38A6A069"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124A26" w:rsidRPr="00AC3044" w14:paraId="48C7B5EA" w14:textId="77777777" w:rsidTr="002D3EBF">
        <w:trPr>
          <w:cantSplit/>
          <w:trHeight w:val="238"/>
        </w:trPr>
        <w:tc>
          <w:tcPr>
            <w:tcW w:w="851" w:type="dxa"/>
            <w:vMerge/>
            <w:textDirection w:val="btLr"/>
            <w:vAlign w:val="center"/>
          </w:tcPr>
          <w:p w14:paraId="131EE548" w14:textId="77777777" w:rsidR="00124A26" w:rsidRPr="00AC3044" w:rsidRDefault="00124A26" w:rsidP="002D3EBF">
            <w:pPr>
              <w:ind w:firstLine="0"/>
              <w:rPr>
                <w:rFonts w:eastAsia="SimSun"/>
              </w:rPr>
            </w:pPr>
          </w:p>
        </w:tc>
        <w:tc>
          <w:tcPr>
            <w:tcW w:w="1701" w:type="dxa"/>
            <w:vAlign w:val="center"/>
          </w:tcPr>
          <w:p w14:paraId="234EAB7D" w14:textId="77777777" w:rsidR="00124A26" w:rsidRPr="00AC3044" w:rsidRDefault="00124A26" w:rsidP="002D3EBF">
            <w:pPr>
              <w:ind w:firstLine="0"/>
              <w:rPr>
                <w:rFonts w:eastAsia="SimSun"/>
              </w:rPr>
            </w:pPr>
            <w:r w:rsidRPr="00AC3044">
              <w:rPr>
                <w:rFonts w:eastAsia="SimSun"/>
              </w:rPr>
              <w:t>Тиотепа</w:t>
            </w:r>
          </w:p>
        </w:tc>
        <w:tc>
          <w:tcPr>
            <w:tcW w:w="1559" w:type="dxa"/>
            <w:vAlign w:val="center"/>
          </w:tcPr>
          <w:p w14:paraId="1C1593F5" w14:textId="77777777" w:rsidR="00124A26" w:rsidRPr="00AC3044" w:rsidRDefault="00124A26" w:rsidP="002D3EBF">
            <w:pPr>
              <w:ind w:firstLine="0"/>
              <w:rPr>
                <w:rFonts w:eastAsia="SimSun"/>
              </w:rPr>
            </w:pPr>
            <w:r w:rsidRPr="00AC3044">
              <w:rPr>
                <w:rFonts w:eastAsia="SimSun"/>
              </w:rPr>
              <w:t>5 мг/кг</w:t>
            </w:r>
          </w:p>
        </w:tc>
        <w:tc>
          <w:tcPr>
            <w:tcW w:w="1418" w:type="dxa"/>
            <w:vAlign w:val="center"/>
          </w:tcPr>
          <w:p w14:paraId="02D9E4AA" w14:textId="77777777" w:rsidR="00124A26" w:rsidRPr="00AC3044" w:rsidRDefault="00124A26" w:rsidP="002D3EBF">
            <w:pPr>
              <w:ind w:firstLine="0"/>
              <w:rPr>
                <w:rFonts w:eastAsia="SimSun"/>
              </w:rPr>
            </w:pPr>
            <w:r w:rsidRPr="00AC3044">
              <w:rPr>
                <w:rFonts w:eastAsia="SimSun"/>
              </w:rPr>
              <w:t>10 мг/кг</w:t>
            </w:r>
          </w:p>
        </w:tc>
        <w:tc>
          <w:tcPr>
            <w:tcW w:w="1701" w:type="dxa"/>
            <w:vAlign w:val="center"/>
          </w:tcPr>
          <w:p w14:paraId="7C260C3F" w14:textId="77777777" w:rsidR="00124A26" w:rsidRPr="00AC3044" w:rsidRDefault="00124A26" w:rsidP="002D3EBF">
            <w:pPr>
              <w:ind w:firstLine="0"/>
              <w:rPr>
                <w:rFonts w:eastAsia="SimSun"/>
              </w:rPr>
            </w:pPr>
            <w:r w:rsidRPr="00AC3044">
              <w:rPr>
                <w:rFonts w:eastAsia="SimSun"/>
              </w:rPr>
              <w:t>-6,-5 дни</w:t>
            </w:r>
          </w:p>
        </w:tc>
        <w:tc>
          <w:tcPr>
            <w:tcW w:w="2268" w:type="dxa"/>
            <w:vAlign w:val="center"/>
          </w:tcPr>
          <w:p w14:paraId="5AB0B975" w14:textId="77777777" w:rsidR="00124A26" w:rsidRPr="00AC3044" w:rsidRDefault="00124A26" w:rsidP="002D3EBF">
            <w:pPr>
              <w:ind w:firstLine="0"/>
              <w:rPr>
                <w:rFonts w:eastAsia="SimSun"/>
              </w:rPr>
            </w:pPr>
            <w:r w:rsidRPr="00AC3044">
              <w:rPr>
                <w:rFonts w:eastAsia="SimSun"/>
              </w:rPr>
              <w:t>В/в, в течение 2 часов</w:t>
            </w:r>
          </w:p>
        </w:tc>
      </w:tr>
      <w:tr w:rsidR="00124A26" w:rsidRPr="00AC3044" w14:paraId="4EFF5840" w14:textId="77777777" w:rsidTr="002D3EBF">
        <w:trPr>
          <w:cantSplit/>
          <w:trHeight w:val="2464"/>
        </w:trPr>
        <w:tc>
          <w:tcPr>
            <w:tcW w:w="851" w:type="dxa"/>
            <w:vMerge w:val="restart"/>
            <w:textDirection w:val="btLr"/>
            <w:vAlign w:val="center"/>
          </w:tcPr>
          <w:p w14:paraId="309AA7E0" w14:textId="77777777" w:rsidR="00124A26" w:rsidRPr="00AC3044" w:rsidRDefault="00124A26" w:rsidP="002D3EBF">
            <w:pPr>
              <w:ind w:firstLine="0"/>
              <w:rPr>
                <w:rFonts w:eastAsia="SimSun"/>
              </w:rPr>
            </w:pPr>
            <w:r w:rsidRPr="00AC3044">
              <w:rPr>
                <w:rFonts w:eastAsia="SimSun"/>
              </w:rPr>
              <w:t>Профилактика РТПХ</w:t>
            </w:r>
          </w:p>
        </w:tc>
        <w:tc>
          <w:tcPr>
            <w:tcW w:w="1701" w:type="dxa"/>
            <w:vAlign w:val="center"/>
          </w:tcPr>
          <w:p w14:paraId="38271C5C" w14:textId="77777777" w:rsidR="00124A26" w:rsidRPr="00AC3044" w:rsidRDefault="00124A26" w:rsidP="002D3EBF">
            <w:pPr>
              <w:ind w:firstLine="0"/>
              <w:rPr>
                <w:rFonts w:eastAsia="SimSun"/>
              </w:rPr>
            </w:pPr>
            <w:r w:rsidRPr="00AC3044">
              <w:rPr>
                <w:rFonts w:eastAsia="SimSun"/>
              </w:rPr>
              <w:t>Циклоспорин</w:t>
            </w:r>
          </w:p>
        </w:tc>
        <w:tc>
          <w:tcPr>
            <w:tcW w:w="1559" w:type="dxa"/>
            <w:vAlign w:val="center"/>
          </w:tcPr>
          <w:p w14:paraId="4F77C30C" w14:textId="77777777" w:rsidR="00124A26" w:rsidRPr="00AC3044" w:rsidRDefault="00124A26" w:rsidP="002D3EBF">
            <w:pPr>
              <w:ind w:firstLine="0"/>
              <w:rPr>
                <w:rFonts w:eastAsia="SimSun"/>
              </w:rPr>
            </w:pPr>
            <w:r w:rsidRPr="00AC3044">
              <w:rPr>
                <w:rFonts w:eastAsia="SimSun"/>
              </w:rPr>
              <w:t>3 мг/кг</w:t>
            </w:r>
          </w:p>
        </w:tc>
        <w:tc>
          <w:tcPr>
            <w:tcW w:w="1418" w:type="dxa"/>
            <w:vAlign w:val="center"/>
          </w:tcPr>
          <w:p w14:paraId="40828418"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6A12534D" w14:textId="77777777" w:rsidR="00124A26" w:rsidRPr="00AC3044" w:rsidRDefault="00124A26" w:rsidP="002D3EBF">
            <w:pPr>
              <w:ind w:firstLine="0"/>
              <w:rPr>
                <w:rFonts w:eastAsia="SimSun"/>
              </w:rPr>
            </w:pPr>
            <w:r w:rsidRPr="00AC3044">
              <w:rPr>
                <w:rFonts w:eastAsia="SimSun"/>
              </w:rPr>
              <w:t>С +5 дня по +90 день затем постепенное снижение к +180 дню</w:t>
            </w:r>
          </w:p>
        </w:tc>
        <w:tc>
          <w:tcPr>
            <w:tcW w:w="2268" w:type="dxa"/>
            <w:vAlign w:val="center"/>
          </w:tcPr>
          <w:p w14:paraId="5C128EDB" w14:textId="77777777" w:rsidR="00124A26" w:rsidRPr="00AC3044" w:rsidRDefault="00124A26"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124A26" w:rsidRPr="00AC3044" w14:paraId="14085A86" w14:textId="77777777" w:rsidTr="002D3EBF">
        <w:trPr>
          <w:cantSplit/>
          <w:trHeight w:val="20"/>
        </w:trPr>
        <w:tc>
          <w:tcPr>
            <w:tcW w:w="851" w:type="dxa"/>
            <w:vMerge/>
            <w:textDirection w:val="btLr"/>
          </w:tcPr>
          <w:p w14:paraId="34E97048" w14:textId="77777777" w:rsidR="00124A26" w:rsidRPr="00AC3044" w:rsidRDefault="00124A26" w:rsidP="002D3EBF">
            <w:pPr>
              <w:ind w:firstLine="0"/>
              <w:rPr>
                <w:rFonts w:eastAsia="SimSun"/>
              </w:rPr>
            </w:pPr>
          </w:p>
        </w:tc>
        <w:tc>
          <w:tcPr>
            <w:tcW w:w="1701" w:type="dxa"/>
            <w:vAlign w:val="center"/>
          </w:tcPr>
          <w:p w14:paraId="7A855C9C" w14:textId="77777777" w:rsidR="00124A26" w:rsidRPr="00AC3044" w:rsidRDefault="00124A26" w:rsidP="002D3EBF">
            <w:pPr>
              <w:ind w:firstLine="0"/>
              <w:rPr>
                <w:rFonts w:eastAsia="SimSun"/>
              </w:rPr>
            </w:pPr>
            <w:r w:rsidRPr="00AC3044">
              <w:rPr>
                <w:rFonts w:eastAsia="SimSun"/>
              </w:rPr>
              <w:t>Микофенолата мофетил</w:t>
            </w:r>
          </w:p>
        </w:tc>
        <w:tc>
          <w:tcPr>
            <w:tcW w:w="1559" w:type="dxa"/>
            <w:vAlign w:val="center"/>
          </w:tcPr>
          <w:p w14:paraId="693EC06F" w14:textId="77777777" w:rsidR="00124A26" w:rsidRPr="00AC3044" w:rsidRDefault="00124A26" w:rsidP="002D3EBF">
            <w:pPr>
              <w:ind w:firstLine="0"/>
              <w:rPr>
                <w:rFonts w:eastAsia="SimSun"/>
              </w:rPr>
            </w:pPr>
            <w:r w:rsidRPr="00AC3044">
              <w:rPr>
                <w:rFonts w:eastAsia="SimSun"/>
              </w:rPr>
              <w:t>45 мг/кг</w:t>
            </w:r>
          </w:p>
        </w:tc>
        <w:tc>
          <w:tcPr>
            <w:tcW w:w="1418" w:type="dxa"/>
            <w:vAlign w:val="center"/>
          </w:tcPr>
          <w:p w14:paraId="27695497"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0EDEFEC6" w14:textId="77777777" w:rsidR="00124A26" w:rsidRPr="00AC3044" w:rsidRDefault="00124A26" w:rsidP="002D3EBF">
            <w:pPr>
              <w:ind w:firstLine="0"/>
              <w:rPr>
                <w:rFonts w:eastAsia="SimSun"/>
              </w:rPr>
            </w:pPr>
            <w:r w:rsidRPr="00AC3044">
              <w:rPr>
                <w:rFonts w:eastAsia="SimSun"/>
              </w:rPr>
              <w:t>С +5 по +90 день</w:t>
            </w:r>
          </w:p>
        </w:tc>
        <w:tc>
          <w:tcPr>
            <w:tcW w:w="2268" w:type="dxa"/>
            <w:vAlign w:val="center"/>
          </w:tcPr>
          <w:p w14:paraId="1BE0A436" w14:textId="77777777" w:rsidR="00124A26" w:rsidRPr="00AC3044" w:rsidRDefault="00124A26"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r w:rsidR="00124A26" w:rsidRPr="00AC3044" w14:paraId="71CBE1B7" w14:textId="77777777" w:rsidTr="002D3EBF">
        <w:trPr>
          <w:cantSplit/>
          <w:trHeight w:val="20"/>
        </w:trPr>
        <w:tc>
          <w:tcPr>
            <w:tcW w:w="851" w:type="dxa"/>
            <w:vMerge/>
            <w:textDirection w:val="btLr"/>
          </w:tcPr>
          <w:p w14:paraId="1F859548" w14:textId="77777777" w:rsidR="00124A26" w:rsidRPr="00AC3044" w:rsidRDefault="00124A26" w:rsidP="002D3EBF">
            <w:pPr>
              <w:ind w:firstLine="0"/>
              <w:rPr>
                <w:rFonts w:eastAsia="SimSun"/>
              </w:rPr>
            </w:pPr>
          </w:p>
        </w:tc>
        <w:tc>
          <w:tcPr>
            <w:tcW w:w="1701" w:type="dxa"/>
            <w:vAlign w:val="center"/>
          </w:tcPr>
          <w:p w14:paraId="62BCB363" w14:textId="77777777" w:rsidR="00124A26" w:rsidRPr="00AC3044" w:rsidRDefault="00124A26" w:rsidP="002D3EBF">
            <w:pPr>
              <w:ind w:firstLine="0"/>
              <w:rPr>
                <w:rFonts w:eastAsia="SimSun"/>
              </w:rPr>
            </w:pPr>
            <w:r w:rsidRPr="00AC3044">
              <w:rPr>
                <w:rFonts w:eastAsia="SimSun"/>
              </w:rPr>
              <w:t>Циклофосфамид</w:t>
            </w:r>
          </w:p>
        </w:tc>
        <w:tc>
          <w:tcPr>
            <w:tcW w:w="1559" w:type="dxa"/>
            <w:vAlign w:val="center"/>
          </w:tcPr>
          <w:p w14:paraId="7C3ABAB2" w14:textId="77777777" w:rsidR="00124A26" w:rsidRPr="00AC3044" w:rsidRDefault="00124A26" w:rsidP="002D3EBF">
            <w:pPr>
              <w:ind w:firstLine="0"/>
              <w:rPr>
                <w:rFonts w:eastAsia="SimSun"/>
              </w:rPr>
            </w:pPr>
            <w:r w:rsidRPr="00AC3044">
              <w:rPr>
                <w:rFonts w:eastAsia="SimSun"/>
              </w:rPr>
              <w:t>50 мг/кг</w:t>
            </w:r>
          </w:p>
        </w:tc>
        <w:tc>
          <w:tcPr>
            <w:tcW w:w="1418" w:type="dxa"/>
            <w:vAlign w:val="center"/>
          </w:tcPr>
          <w:p w14:paraId="741947C8" w14:textId="77777777" w:rsidR="00124A26" w:rsidRPr="00AC3044" w:rsidRDefault="00124A26" w:rsidP="002D3EBF">
            <w:pPr>
              <w:ind w:firstLine="0"/>
              <w:rPr>
                <w:rFonts w:eastAsia="SimSun"/>
              </w:rPr>
            </w:pPr>
            <w:r w:rsidRPr="00AC3044">
              <w:rPr>
                <w:rFonts w:eastAsia="SimSun"/>
              </w:rPr>
              <w:t>100 мг/кг</w:t>
            </w:r>
          </w:p>
        </w:tc>
        <w:tc>
          <w:tcPr>
            <w:tcW w:w="1701" w:type="dxa"/>
            <w:vAlign w:val="center"/>
          </w:tcPr>
          <w:p w14:paraId="08E3AD16" w14:textId="77777777" w:rsidR="00124A26" w:rsidRPr="00AC3044" w:rsidRDefault="00124A26" w:rsidP="002D3EBF">
            <w:pPr>
              <w:ind w:firstLine="0"/>
              <w:rPr>
                <w:rFonts w:eastAsia="SimSun"/>
              </w:rPr>
            </w:pPr>
            <w:r w:rsidRPr="00AC3044">
              <w:rPr>
                <w:rFonts w:eastAsia="SimSun"/>
              </w:rPr>
              <w:t xml:space="preserve">+3,+4 дни </w:t>
            </w:r>
          </w:p>
        </w:tc>
        <w:tc>
          <w:tcPr>
            <w:tcW w:w="2268" w:type="dxa"/>
            <w:vAlign w:val="center"/>
          </w:tcPr>
          <w:p w14:paraId="2173C7FC" w14:textId="77777777" w:rsidR="00124A26" w:rsidRPr="00AC3044" w:rsidRDefault="00124A26" w:rsidP="002D3EBF">
            <w:pPr>
              <w:ind w:firstLine="0"/>
              <w:rPr>
                <w:rFonts w:eastAsia="SimSun"/>
              </w:rPr>
            </w:pPr>
            <w:r w:rsidRPr="00AC3044">
              <w:rPr>
                <w:rFonts w:eastAsia="SimSun"/>
              </w:rPr>
              <w:t>В/в, в течение 2 часов</w:t>
            </w:r>
          </w:p>
        </w:tc>
      </w:tr>
    </w:tbl>
    <w:p w14:paraId="359F1B26" w14:textId="77777777" w:rsidR="00124A26" w:rsidRPr="00C07B2E" w:rsidRDefault="00124A26" w:rsidP="00124A26">
      <w:pPr>
        <w:rPr>
          <w:rFonts w:eastAsia="SimSun"/>
        </w:rPr>
      </w:pPr>
    </w:p>
    <w:p w14:paraId="33E14969" w14:textId="77777777" w:rsidR="00124A26" w:rsidRPr="00C07B2E" w:rsidRDefault="00124A26" w:rsidP="00124A26">
      <w:pPr>
        <w:rPr>
          <w:rFonts w:eastAsia="SimSun"/>
        </w:rPr>
      </w:pPr>
      <w:bookmarkStart w:id="243" w:name="_Toc44401205"/>
      <w:r w:rsidRPr="00042499">
        <w:rPr>
          <w:rFonts w:eastAsia="SimSun"/>
        </w:rPr>
        <w:t>Таблица</w:t>
      </w:r>
      <w:r w:rsidRPr="00C07B2E">
        <w:rPr>
          <w:rFonts w:eastAsia="SimSun"/>
        </w:rPr>
        <w:t xml:space="preserve"> </w:t>
      </w:r>
      <w:r>
        <w:rPr>
          <w:rFonts w:eastAsia="SimSun"/>
        </w:rPr>
        <w:t>5.</w:t>
      </w:r>
      <w:r w:rsidRPr="00C07B2E">
        <w:rPr>
          <w:rFonts w:eastAsia="SimSun"/>
        </w:rPr>
        <w:t>2.2.5  – Flu180+Bu8 / hATG+CSA+MTX+MMF45</w:t>
      </w:r>
      <w:bookmarkEnd w:id="243"/>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124A26" w:rsidRPr="00AC3044" w14:paraId="75D02BA0" w14:textId="77777777" w:rsidTr="002D3EBF">
        <w:trPr>
          <w:cantSplit/>
          <w:trHeight w:val="20"/>
          <w:tblHeader/>
        </w:trPr>
        <w:tc>
          <w:tcPr>
            <w:tcW w:w="851" w:type="dxa"/>
            <w:vAlign w:val="center"/>
          </w:tcPr>
          <w:p w14:paraId="64CA1B5B" w14:textId="77777777" w:rsidR="00124A26" w:rsidRPr="00470D3D" w:rsidRDefault="00124A26" w:rsidP="002D3EBF">
            <w:pPr>
              <w:ind w:firstLine="0"/>
              <w:rPr>
                <w:rFonts w:eastAsia="SimSun"/>
              </w:rPr>
            </w:pPr>
          </w:p>
        </w:tc>
        <w:tc>
          <w:tcPr>
            <w:tcW w:w="1701" w:type="dxa"/>
            <w:vAlign w:val="center"/>
          </w:tcPr>
          <w:p w14:paraId="38886693" w14:textId="77777777" w:rsidR="00124A26" w:rsidRPr="00AC3044" w:rsidRDefault="00124A26" w:rsidP="002D3EBF">
            <w:pPr>
              <w:ind w:firstLine="0"/>
              <w:rPr>
                <w:rFonts w:eastAsia="SimSun"/>
              </w:rPr>
            </w:pPr>
            <w:r w:rsidRPr="00AC3044">
              <w:rPr>
                <w:rFonts w:eastAsia="SimSun"/>
              </w:rPr>
              <w:t>Препарат</w:t>
            </w:r>
          </w:p>
        </w:tc>
        <w:tc>
          <w:tcPr>
            <w:tcW w:w="1559" w:type="dxa"/>
            <w:vAlign w:val="center"/>
          </w:tcPr>
          <w:p w14:paraId="63D3DA2F" w14:textId="77777777" w:rsidR="00124A26" w:rsidRPr="00AC3044" w:rsidRDefault="00124A26" w:rsidP="002D3EBF">
            <w:pPr>
              <w:ind w:firstLine="0"/>
              <w:rPr>
                <w:rFonts w:eastAsia="SimSun"/>
              </w:rPr>
            </w:pPr>
            <w:r w:rsidRPr="00AC3044">
              <w:rPr>
                <w:rFonts w:eastAsia="SimSun"/>
              </w:rPr>
              <w:t>Суточная доза</w:t>
            </w:r>
          </w:p>
        </w:tc>
        <w:tc>
          <w:tcPr>
            <w:tcW w:w="1418" w:type="dxa"/>
            <w:vAlign w:val="center"/>
          </w:tcPr>
          <w:p w14:paraId="51663389" w14:textId="77777777" w:rsidR="00124A26" w:rsidRPr="00AC3044" w:rsidRDefault="00124A26" w:rsidP="002D3EBF">
            <w:pPr>
              <w:ind w:firstLine="0"/>
              <w:rPr>
                <w:rFonts w:eastAsia="SimSun"/>
              </w:rPr>
            </w:pPr>
            <w:r w:rsidRPr="00AC3044">
              <w:rPr>
                <w:rFonts w:eastAsia="SimSun"/>
              </w:rPr>
              <w:t>Курсовая доза</w:t>
            </w:r>
          </w:p>
        </w:tc>
        <w:tc>
          <w:tcPr>
            <w:tcW w:w="1701" w:type="dxa"/>
            <w:vAlign w:val="center"/>
          </w:tcPr>
          <w:p w14:paraId="58D3EF47" w14:textId="77777777" w:rsidR="00124A26" w:rsidRPr="00AC3044" w:rsidRDefault="00124A26" w:rsidP="002D3EBF">
            <w:pPr>
              <w:ind w:firstLine="0"/>
              <w:rPr>
                <w:rFonts w:eastAsia="SimSun"/>
              </w:rPr>
            </w:pPr>
            <w:r w:rsidRPr="00AC3044">
              <w:rPr>
                <w:rFonts w:eastAsia="SimSun"/>
              </w:rPr>
              <w:t>Дни введения</w:t>
            </w:r>
          </w:p>
        </w:tc>
        <w:tc>
          <w:tcPr>
            <w:tcW w:w="2268" w:type="dxa"/>
            <w:vAlign w:val="center"/>
          </w:tcPr>
          <w:p w14:paraId="558F4ED5"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4F37E224" w14:textId="77777777" w:rsidTr="002D3EBF">
        <w:trPr>
          <w:cantSplit/>
          <w:trHeight w:val="20"/>
        </w:trPr>
        <w:tc>
          <w:tcPr>
            <w:tcW w:w="851" w:type="dxa"/>
            <w:vMerge w:val="restart"/>
            <w:textDirection w:val="btLr"/>
            <w:vAlign w:val="center"/>
          </w:tcPr>
          <w:p w14:paraId="4E2688B1" w14:textId="77777777" w:rsidR="00124A26" w:rsidRPr="00AC3044" w:rsidRDefault="00124A26" w:rsidP="002D3EBF">
            <w:pPr>
              <w:ind w:firstLine="0"/>
              <w:rPr>
                <w:rFonts w:eastAsia="SimSun"/>
              </w:rPr>
            </w:pPr>
            <w:r w:rsidRPr="00AC3044">
              <w:rPr>
                <w:rFonts w:eastAsia="SimSun"/>
              </w:rPr>
              <w:t>Кондиционирование</w:t>
            </w:r>
          </w:p>
        </w:tc>
        <w:tc>
          <w:tcPr>
            <w:tcW w:w="1701" w:type="dxa"/>
            <w:vAlign w:val="center"/>
          </w:tcPr>
          <w:p w14:paraId="3756D9F9" w14:textId="77777777" w:rsidR="00124A26" w:rsidRPr="00AC3044" w:rsidRDefault="00124A26" w:rsidP="002D3EBF">
            <w:pPr>
              <w:ind w:firstLine="0"/>
              <w:rPr>
                <w:rFonts w:eastAsia="SimSun"/>
              </w:rPr>
            </w:pPr>
            <w:r w:rsidRPr="00AC3044">
              <w:rPr>
                <w:rFonts w:eastAsia="SimSun"/>
              </w:rPr>
              <w:t xml:space="preserve">Флударабин </w:t>
            </w:r>
          </w:p>
        </w:tc>
        <w:tc>
          <w:tcPr>
            <w:tcW w:w="1559" w:type="dxa"/>
            <w:vAlign w:val="center"/>
          </w:tcPr>
          <w:p w14:paraId="19F4FFF9" w14:textId="77777777" w:rsidR="00124A26" w:rsidRPr="00AC3044" w:rsidRDefault="00124A26" w:rsidP="002D3EBF">
            <w:pPr>
              <w:ind w:firstLine="0"/>
              <w:rPr>
                <w:rFonts w:eastAsia="SimSun"/>
              </w:rPr>
            </w:pPr>
            <w:r w:rsidRPr="00AC3044">
              <w:rPr>
                <w:rFonts w:eastAsia="SimSun"/>
              </w:rPr>
              <w:t>30 мг/м</w:t>
            </w:r>
            <w:r w:rsidRPr="00DB259E">
              <w:rPr>
                <w:rFonts w:eastAsia="SimSun"/>
                <w:vertAlign w:val="superscript"/>
              </w:rPr>
              <w:t>2</w:t>
            </w:r>
          </w:p>
        </w:tc>
        <w:tc>
          <w:tcPr>
            <w:tcW w:w="1418" w:type="dxa"/>
            <w:vAlign w:val="center"/>
          </w:tcPr>
          <w:p w14:paraId="670CB71D" w14:textId="77777777" w:rsidR="00124A26" w:rsidRPr="00AC3044" w:rsidRDefault="00124A26" w:rsidP="002D3EBF">
            <w:pPr>
              <w:ind w:firstLine="0"/>
              <w:rPr>
                <w:rFonts w:eastAsia="SimSun"/>
              </w:rPr>
            </w:pPr>
            <w:r w:rsidRPr="00AC3044">
              <w:rPr>
                <w:rFonts w:eastAsia="SimSun"/>
              </w:rPr>
              <w:t>180 мг/м</w:t>
            </w:r>
            <w:r w:rsidRPr="00DB259E">
              <w:rPr>
                <w:rFonts w:eastAsia="SimSun"/>
                <w:vertAlign w:val="superscript"/>
              </w:rPr>
              <w:t>2</w:t>
            </w:r>
          </w:p>
        </w:tc>
        <w:tc>
          <w:tcPr>
            <w:tcW w:w="1701" w:type="dxa"/>
            <w:vAlign w:val="center"/>
          </w:tcPr>
          <w:p w14:paraId="6DD9D48F" w14:textId="77777777" w:rsidR="00124A26" w:rsidRPr="00AC3044" w:rsidRDefault="00124A26" w:rsidP="002D3EBF">
            <w:pPr>
              <w:ind w:firstLine="0"/>
              <w:rPr>
                <w:rFonts w:eastAsia="SimSun"/>
              </w:rPr>
            </w:pPr>
            <w:r w:rsidRPr="00AC3044">
              <w:rPr>
                <w:rFonts w:eastAsia="SimSun"/>
              </w:rPr>
              <w:t>С –10 по –5 день</w:t>
            </w:r>
          </w:p>
        </w:tc>
        <w:tc>
          <w:tcPr>
            <w:tcW w:w="2268" w:type="dxa"/>
            <w:vAlign w:val="center"/>
          </w:tcPr>
          <w:p w14:paraId="58BC69E9"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7893661C" w14:textId="77777777" w:rsidTr="002D3EBF">
        <w:trPr>
          <w:cantSplit/>
          <w:trHeight w:val="20"/>
        </w:trPr>
        <w:tc>
          <w:tcPr>
            <w:tcW w:w="851" w:type="dxa"/>
            <w:vMerge/>
            <w:textDirection w:val="btLr"/>
            <w:vAlign w:val="center"/>
          </w:tcPr>
          <w:p w14:paraId="2DEB5865" w14:textId="77777777" w:rsidR="00124A26" w:rsidRPr="00AC3044" w:rsidRDefault="00124A26" w:rsidP="002D3EBF">
            <w:pPr>
              <w:ind w:firstLine="0"/>
              <w:rPr>
                <w:rFonts w:eastAsia="SimSun"/>
              </w:rPr>
            </w:pPr>
          </w:p>
        </w:tc>
        <w:tc>
          <w:tcPr>
            <w:tcW w:w="1701" w:type="dxa"/>
            <w:vAlign w:val="center"/>
          </w:tcPr>
          <w:p w14:paraId="38AAE1F3" w14:textId="77777777" w:rsidR="00124A26" w:rsidRPr="00AC3044" w:rsidRDefault="00124A26" w:rsidP="002D3EBF">
            <w:pPr>
              <w:ind w:firstLine="0"/>
              <w:rPr>
                <w:rFonts w:eastAsia="SimSun"/>
              </w:rPr>
            </w:pPr>
            <w:r w:rsidRPr="00AC3044">
              <w:rPr>
                <w:rFonts w:eastAsia="SimSun"/>
              </w:rPr>
              <w:t>Бусульфан</w:t>
            </w:r>
          </w:p>
        </w:tc>
        <w:tc>
          <w:tcPr>
            <w:tcW w:w="1559" w:type="dxa"/>
            <w:vAlign w:val="center"/>
          </w:tcPr>
          <w:p w14:paraId="0EAAF727" w14:textId="77777777" w:rsidR="00124A26" w:rsidRPr="00AC3044" w:rsidRDefault="00124A26" w:rsidP="002D3EBF">
            <w:pPr>
              <w:ind w:firstLine="0"/>
              <w:rPr>
                <w:rFonts w:eastAsia="SimSun"/>
              </w:rPr>
            </w:pPr>
            <w:r w:rsidRPr="00AC3044">
              <w:rPr>
                <w:rFonts w:eastAsia="SimSun"/>
              </w:rPr>
              <w:t>4 мг/кг</w:t>
            </w:r>
          </w:p>
        </w:tc>
        <w:tc>
          <w:tcPr>
            <w:tcW w:w="1418" w:type="dxa"/>
            <w:vAlign w:val="center"/>
          </w:tcPr>
          <w:p w14:paraId="4FD85EC5" w14:textId="77777777" w:rsidR="00124A26" w:rsidRPr="00AC3044" w:rsidRDefault="00124A26" w:rsidP="002D3EBF">
            <w:pPr>
              <w:ind w:firstLine="0"/>
              <w:rPr>
                <w:rFonts w:eastAsia="SimSun"/>
              </w:rPr>
            </w:pPr>
            <w:r w:rsidRPr="00AC3044">
              <w:rPr>
                <w:rFonts w:eastAsia="SimSun"/>
              </w:rPr>
              <w:t>8 мг/кг</w:t>
            </w:r>
          </w:p>
        </w:tc>
        <w:tc>
          <w:tcPr>
            <w:tcW w:w="1701" w:type="dxa"/>
            <w:vAlign w:val="center"/>
          </w:tcPr>
          <w:p w14:paraId="3AB88FF9" w14:textId="77777777" w:rsidR="00124A26" w:rsidRPr="00AC3044" w:rsidRDefault="00124A26" w:rsidP="002D3EBF">
            <w:pPr>
              <w:ind w:firstLine="0"/>
              <w:rPr>
                <w:rFonts w:eastAsia="SimSun"/>
              </w:rPr>
            </w:pPr>
            <w:r w:rsidRPr="00AC3044">
              <w:rPr>
                <w:rFonts w:eastAsia="SimSun"/>
              </w:rPr>
              <w:t>С –6 по –5 день</w:t>
            </w:r>
          </w:p>
        </w:tc>
        <w:tc>
          <w:tcPr>
            <w:tcW w:w="2268" w:type="dxa"/>
            <w:vAlign w:val="center"/>
          </w:tcPr>
          <w:p w14:paraId="55780638"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124A26" w:rsidRPr="00AC3044" w14:paraId="635B1A65" w14:textId="77777777" w:rsidTr="002D3EBF">
        <w:trPr>
          <w:cantSplit/>
          <w:trHeight w:val="20"/>
        </w:trPr>
        <w:tc>
          <w:tcPr>
            <w:tcW w:w="851" w:type="dxa"/>
            <w:vMerge w:val="restart"/>
            <w:textDirection w:val="btLr"/>
            <w:vAlign w:val="center"/>
          </w:tcPr>
          <w:p w14:paraId="49C14339" w14:textId="77777777" w:rsidR="00124A26" w:rsidRPr="00AC3044" w:rsidRDefault="00124A26" w:rsidP="002D3EBF">
            <w:pPr>
              <w:ind w:firstLine="0"/>
              <w:rPr>
                <w:rFonts w:eastAsia="SimSun"/>
              </w:rPr>
            </w:pPr>
            <w:r w:rsidRPr="00AC3044">
              <w:rPr>
                <w:rFonts w:eastAsia="SimSun"/>
              </w:rPr>
              <w:t>Профилактика РТПХ</w:t>
            </w:r>
          </w:p>
        </w:tc>
        <w:tc>
          <w:tcPr>
            <w:tcW w:w="1701" w:type="dxa"/>
            <w:vAlign w:val="center"/>
          </w:tcPr>
          <w:p w14:paraId="163CAFB6" w14:textId="77777777" w:rsidR="00124A26" w:rsidRPr="00AC3044" w:rsidRDefault="00124A26" w:rsidP="002D3EBF">
            <w:pPr>
              <w:ind w:firstLine="0"/>
              <w:rPr>
                <w:rFonts w:eastAsia="SimSun"/>
              </w:rPr>
            </w:pPr>
            <w:r w:rsidRPr="00AC3044">
              <w:rPr>
                <w:rFonts w:eastAsia="SimSun"/>
              </w:rPr>
              <w:t>АТГ (лошадиный)</w:t>
            </w:r>
          </w:p>
        </w:tc>
        <w:tc>
          <w:tcPr>
            <w:tcW w:w="1559" w:type="dxa"/>
            <w:vAlign w:val="center"/>
          </w:tcPr>
          <w:p w14:paraId="312D8FF7" w14:textId="77777777" w:rsidR="00124A26" w:rsidRPr="00AC3044" w:rsidRDefault="00124A26" w:rsidP="002D3EBF">
            <w:pPr>
              <w:ind w:firstLine="0"/>
              <w:rPr>
                <w:rFonts w:eastAsia="SimSun"/>
              </w:rPr>
            </w:pPr>
            <w:r w:rsidRPr="00AC3044">
              <w:rPr>
                <w:rFonts w:eastAsia="SimSun"/>
              </w:rPr>
              <w:t>10-15 мг/кг</w:t>
            </w:r>
          </w:p>
        </w:tc>
        <w:tc>
          <w:tcPr>
            <w:tcW w:w="1418" w:type="dxa"/>
            <w:vAlign w:val="center"/>
          </w:tcPr>
          <w:p w14:paraId="3BF8CF12" w14:textId="77777777" w:rsidR="00124A26" w:rsidRPr="00AC3044" w:rsidRDefault="00124A26" w:rsidP="002D3EBF">
            <w:pPr>
              <w:ind w:firstLine="0"/>
              <w:rPr>
                <w:rFonts w:eastAsia="SimSun"/>
              </w:rPr>
            </w:pPr>
            <w:r w:rsidRPr="00AC3044">
              <w:rPr>
                <w:rFonts w:eastAsia="SimSun"/>
              </w:rPr>
              <w:t>40-60 мг/кг</w:t>
            </w:r>
          </w:p>
        </w:tc>
        <w:tc>
          <w:tcPr>
            <w:tcW w:w="1701" w:type="dxa"/>
            <w:vAlign w:val="center"/>
          </w:tcPr>
          <w:p w14:paraId="532CC54C" w14:textId="77777777" w:rsidR="00124A26" w:rsidRPr="00AC3044" w:rsidRDefault="00124A26" w:rsidP="002D3EBF">
            <w:pPr>
              <w:ind w:firstLine="0"/>
              <w:rPr>
                <w:rFonts w:eastAsia="SimSun"/>
              </w:rPr>
            </w:pPr>
            <w:r w:rsidRPr="00AC3044">
              <w:rPr>
                <w:rFonts w:eastAsia="SimSun"/>
              </w:rPr>
              <w:t>С –4 по –1 день</w:t>
            </w:r>
          </w:p>
        </w:tc>
        <w:tc>
          <w:tcPr>
            <w:tcW w:w="2268" w:type="dxa"/>
            <w:vAlign w:val="center"/>
          </w:tcPr>
          <w:p w14:paraId="7799D3B1" w14:textId="77777777" w:rsidR="00124A26" w:rsidRPr="00AC3044" w:rsidRDefault="00124A26" w:rsidP="002D3EBF">
            <w:pPr>
              <w:ind w:firstLine="0"/>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124A26" w:rsidRPr="00AC3044" w14:paraId="48587899" w14:textId="77777777" w:rsidTr="002D3EBF">
        <w:trPr>
          <w:cantSplit/>
          <w:trHeight w:val="20"/>
        </w:trPr>
        <w:tc>
          <w:tcPr>
            <w:tcW w:w="851" w:type="dxa"/>
            <w:vMerge/>
            <w:textDirection w:val="btLr"/>
          </w:tcPr>
          <w:p w14:paraId="39108084" w14:textId="77777777" w:rsidR="00124A26" w:rsidRPr="00AC3044" w:rsidRDefault="00124A26" w:rsidP="002D3EBF">
            <w:pPr>
              <w:ind w:firstLine="0"/>
              <w:rPr>
                <w:rFonts w:eastAsia="SimSun"/>
              </w:rPr>
            </w:pPr>
          </w:p>
        </w:tc>
        <w:tc>
          <w:tcPr>
            <w:tcW w:w="1701" w:type="dxa"/>
            <w:vAlign w:val="center"/>
          </w:tcPr>
          <w:p w14:paraId="491F0A0A" w14:textId="77777777" w:rsidR="00124A26" w:rsidRPr="00AC3044" w:rsidRDefault="00124A26" w:rsidP="002D3EBF">
            <w:pPr>
              <w:ind w:firstLine="0"/>
              <w:rPr>
                <w:rFonts w:eastAsia="SimSun"/>
              </w:rPr>
            </w:pPr>
            <w:r w:rsidRPr="00AC3044">
              <w:rPr>
                <w:rFonts w:eastAsia="SimSun"/>
              </w:rPr>
              <w:t>Циклоспорин</w:t>
            </w:r>
          </w:p>
        </w:tc>
        <w:tc>
          <w:tcPr>
            <w:tcW w:w="1559" w:type="dxa"/>
            <w:vAlign w:val="center"/>
          </w:tcPr>
          <w:p w14:paraId="46D1036A" w14:textId="77777777" w:rsidR="00124A26" w:rsidRPr="00AC3044" w:rsidRDefault="00124A26" w:rsidP="002D3EBF">
            <w:pPr>
              <w:ind w:firstLine="0"/>
              <w:rPr>
                <w:rFonts w:eastAsia="SimSun"/>
              </w:rPr>
            </w:pPr>
            <w:r w:rsidRPr="00AC3044">
              <w:rPr>
                <w:rFonts w:eastAsia="SimSun"/>
              </w:rPr>
              <w:t>3 мг/кг</w:t>
            </w:r>
          </w:p>
        </w:tc>
        <w:tc>
          <w:tcPr>
            <w:tcW w:w="1418" w:type="dxa"/>
            <w:vAlign w:val="center"/>
          </w:tcPr>
          <w:p w14:paraId="5B7CD4EB"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5F012C49" w14:textId="77777777" w:rsidR="00124A26" w:rsidRPr="00AC3044" w:rsidRDefault="00124A26" w:rsidP="002D3EBF">
            <w:pPr>
              <w:ind w:firstLine="0"/>
              <w:rPr>
                <w:rFonts w:eastAsia="SimSun"/>
              </w:rPr>
            </w:pPr>
            <w:r w:rsidRPr="00AC3044">
              <w:rPr>
                <w:rFonts w:eastAsia="SimSun"/>
              </w:rPr>
              <w:t>С –1 по +90 день, затем постепенное снижение к +180 дню</w:t>
            </w:r>
          </w:p>
        </w:tc>
        <w:tc>
          <w:tcPr>
            <w:tcW w:w="2268" w:type="dxa"/>
            <w:vAlign w:val="center"/>
          </w:tcPr>
          <w:p w14:paraId="4B0CE275" w14:textId="77777777" w:rsidR="00124A26" w:rsidRPr="00AC3044" w:rsidRDefault="00124A26"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sidRPr="00DB259E">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124A26" w:rsidRPr="00AC3044" w14:paraId="3920229E" w14:textId="77777777" w:rsidTr="002D3EBF">
        <w:trPr>
          <w:cantSplit/>
          <w:trHeight w:val="20"/>
        </w:trPr>
        <w:tc>
          <w:tcPr>
            <w:tcW w:w="851" w:type="dxa"/>
            <w:vMerge/>
          </w:tcPr>
          <w:p w14:paraId="0517541C" w14:textId="77777777" w:rsidR="00124A26" w:rsidRPr="00AC3044" w:rsidRDefault="00124A26" w:rsidP="002D3EBF">
            <w:pPr>
              <w:ind w:firstLine="0"/>
              <w:rPr>
                <w:rFonts w:eastAsia="SimSun"/>
              </w:rPr>
            </w:pPr>
          </w:p>
        </w:tc>
        <w:tc>
          <w:tcPr>
            <w:tcW w:w="1701" w:type="dxa"/>
            <w:vMerge w:val="restart"/>
            <w:vAlign w:val="center"/>
          </w:tcPr>
          <w:p w14:paraId="6B02776F" w14:textId="77777777" w:rsidR="00124A26" w:rsidRPr="00AC3044" w:rsidRDefault="00124A26" w:rsidP="002D3EBF">
            <w:pPr>
              <w:ind w:firstLine="0"/>
              <w:rPr>
                <w:rFonts w:eastAsia="SimSun"/>
              </w:rPr>
            </w:pPr>
            <w:r w:rsidRPr="00AC3044">
              <w:rPr>
                <w:rFonts w:eastAsia="SimSun"/>
              </w:rPr>
              <w:t>Метотрексат</w:t>
            </w:r>
          </w:p>
        </w:tc>
        <w:tc>
          <w:tcPr>
            <w:tcW w:w="1559" w:type="dxa"/>
            <w:vAlign w:val="center"/>
          </w:tcPr>
          <w:p w14:paraId="58ACBF2E" w14:textId="77777777" w:rsidR="00124A26" w:rsidRPr="00AC3044" w:rsidRDefault="00124A26" w:rsidP="002D3EBF">
            <w:pPr>
              <w:ind w:firstLine="0"/>
              <w:rPr>
                <w:rFonts w:eastAsia="SimSun"/>
              </w:rPr>
            </w:pPr>
            <w:r w:rsidRPr="00AC3044">
              <w:rPr>
                <w:rFonts w:eastAsia="SimSun"/>
              </w:rPr>
              <w:t>15 мг/м</w:t>
            </w:r>
            <w:r w:rsidRPr="00DB259E">
              <w:rPr>
                <w:rFonts w:eastAsia="SimSun"/>
                <w:vertAlign w:val="superscript"/>
              </w:rPr>
              <w:t>2</w:t>
            </w:r>
          </w:p>
        </w:tc>
        <w:tc>
          <w:tcPr>
            <w:tcW w:w="1418" w:type="dxa"/>
            <w:vAlign w:val="center"/>
          </w:tcPr>
          <w:p w14:paraId="762F2A3D"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0A7460E5" w14:textId="77777777" w:rsidR="00124A26" w:rsidRPr="00AC3044" w:rsidRDefault="00124A26" w:rsidP="002D3EBF">
            <w:pPr>
              <w:ind w:firstLine="0"/>
              <w:rPr>
                <w:rFonts w:eastAsia="SimSun"/>
              </w:rPr>
            </w:pPr>
            <w:r w:rsidRPr="00AC3044">
              <w:rPr>
                <w:rFonts w:eastAsia="SimSun"/>
              </w:rPr>
              <w:t>+1 день</w:t>
            </w:r>
          </w:p>
        </w:tc>
        <w:tc>
          <w:tcPr>
            <w:tcW w:w="2268" w:type="dxa"/>
            <w:vAlign w:val="center"/>
          </w:tcPr>
          <w:p w14:paraId="2DB5F90D" w14:textId="77777777" w:rsidR="00124A26" w:rsidRPr="00AC3044" w:rsidRDefault="00124A26" w:rsidP="002D3EBF">
            <w:pPr>
              <w:ind w:firstLine="0"/>
              <w:rPr>
                <w:rFonts w:eastAsia="SimSun"/>
              </w:rPr>
            </w:pPr>
            <w:r w:rsidRPr="00AC3044">
              <w:rPr>
                <w:rFonts w:eastAsia="SimSun"/>
              </w:rPr>
              <w:t xml:space="preserve">В/в, в 20 мл физ. р-ра </w:t>
            </w:r>
          </w:p>
        </w:tc>
      </w:tr>
      <w:tr w:rsidR="00124A26" w:rsidRPr="00AC3044" w14:paraId="3D8704FA" w14:textId="77777777" w:rsidTr="002D3EBF">
        <w:trPr>
          <w:cantSplit/>
          <w:trHeight w:val="464"/>
        </w:trPr>
        <w:tc>
          <w:tcPr>
            <w:tcW w:w="851" w:type="dxa"/>
            <w:vMerge/>
          </w:tcPr>
          <w:p w14:paraId="20DCD866" w14:textId="77777777" w:rsidR="00124A26" w:rsidRPr="00AC3044" w:rsidRDefault="00124A26" w:rsidP="002D3EBF">
            <w:pPr>
              <w:ind w:firstLine="0"/>
              <w:rPr>
                <w:rFonts w:eastAsia="SimSun"/>
              </w:rPr>
            </w:pPr>
          </w:p>
        </w:tc>
        <w:tc>
          <w:tcPr>
            <w:tcW w:w="1701" w:type="dxa"/>
            <w:vMerge/>
            <w:vAlign w:val="center"/>
          </w:tcPr>
          <w:p w14:paraId="53668217" w14:textId="77777777" w:rsidR="00124A26" w:rsidRPr="00AC3044" w:rsidRDefault="00124A26" w:rsidP="002D3EBF">
            <w:pPr>
              <w:ind w:firstLine="0"/>
              <w:rPr>
                <w:rFonts w:eastAsia="SimSun"/>
              </w:rPr>
            </w:pPr>
          </w:p>
        </w:tc>
        <w:tc>
          <w:tcPr>
            <w:tcW w:w="1559" w:type="dxa"/>
            <w:vAlign w:val="center"/>
          </w:tcPr>
          <w:p w14:paraId="1E999FAC" w14:textId="77777777" w:rsidR="00124A26" w:rsidRPr="00AC3044" w:rsidRDefault="00124A26" w:rsidP="002D3EBF">
            <w:pPr>
              <w:ind w:firstLine="0"/>
              <w:rPr>
                <w:rFonts w:eastAsia="SimSun"/>
              </w:rPr>
            </w:pPr>
            <w:r w:rsidRPr="00AC3044">
              <w:rPr>
                <w:rFonts w:eastAsia="SimSun"/>
              </w:rPr>
              <w:t>10 мг/м</w:t>
            </w:r>
            <w:r w:rsidRPr="00DB259E">
              <w:rPr>
                <w:rFonts w:eastAsia="SimSun"/>
                <w:vertAlign w:val="superscript"/>
              </w:rPr>
              <w:t>2</w:t>
            </w:r>
          </w:p>
        </w:tc>
        <w:tc>
          <w:tcPr>
            <w:tcW w:w="1418" w:type="dxa"/>
            <w:vAlign w:val="center"/>
          </w:tcPr>
          <w:p w14:paraId="068F51DE"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434476F5" w14:textId="77777777" w:rsidR="00124A26" w:rsidRPr="00AC3044" w:rsidRDefault="00124A26" w:rsidP="002D3EBF">
            <w:pPr>
              <w:ind w:firstLine="0"/>
              <w:rPr>
                <w:rFonts w:eastAsia="SimSun"/>
              </w:rPr>
            </w:pPr>
            <w:r w:rsidRPr="00AC3044">
              <w:rPr>
                <w:rFonts w:eastAsia="SimSun"/>
              </w:rPr>
              <w:t>+3, +6, +11 дни</w:t>
            </w:r>
          </w:p>
        </w:tc>
        <w:tc>
          <w:tcPr>
            <w:tcW w:w="2268" w:type="dxa"/>
            <w:vAlign w:val="center"/>
          </w:tcPr>
          <w:p w14:paraId="34946F85" w14:textId="77777777" w:rsidR="00124A26" w:rsidRPr="00AC3044" w:rsidRDefault="00124A26" w:rsidP="002D3EBF">
            <w:pPr>
              <w:ind w:firstLine="0"/>
              <w:rPr>
                <w:rFonts w:eastAsia="SimSun"/>
              </w:rPr>
            </w:pPr>
            <w:r w:rsidRPr="00AC3044">
              <w:rPr>
                <w:rFonts w:eastAsia="SimSun"/>
              </w:rPr>
              <w:t>В/в, в 20 мл физ. р-ра</w:t>
            </w:r>
          </w:p>
        </w:tc>
      </w:tr>
      <w:tr w:rsidR="00124A26" w:rsidRPr="00AC3044" w14:paraId="5333F605" w14:textId="77777777" w:rsidTr="002D3EBF">
        <w:trPr>
          <w:cantSplit/>
          <w:trHeight w:val="464"/>
        </w:trPr>
        <w:tc>
          <w:tcPr>
            <w:tcW w:w="851" w:type="dxa"/>
            <w:vMerge/>
          </w:tcPr>
          <w:p w14:paraId="7FD6C57B" w14:textId="77777777" w:rsidR="00124A26" w:rsidRPr="00AC3044" w:rsidRDefault="00124A26" w:rsidP="002D3EBF">
            <w:pPr>
              <w:ind w:firstLine="0"/>
              <w:rPr>
                <w:rFonts w:eastAsia="SimSun"/>
              </w:rPr>
            </w:pPr>
          </w:p>
        </w:tc>
        <w:tc>
          <w:tcPr>
            <w:tcW w:w="1701" w:type="dxa"/>
            <w:vAlign w:val="center"/>
          </w:tcPr>
          <w:p w14:paraId="6D62F7A4" w14:textId="77777777" w:rsidR="00124A26" w:rsidRPr="00AC3044" w:rsidRDefault="00124A26" w:rsidP="002D3EBF">
            <w:pPr>
              <w:ind w:firstLine="0"/>
              <w:rPr>
                <w:rFonts w:eastAsia="SimSun"/>
              </w:rPr>
            </w:pPr>
            <w:r w:rsidRPr="00AC3044">
              <w:rPr>
                <w:rFonts w:eastAsia="SimSun"/>
              </w:rPr>
              <w:t>Микофенолата мофетил</w:t>
            </w:r>
          </w:p>
        </w:tc>
        <w:tc>
          <w:tcPr>
            <w:tcW w:w="1559" w:type="dxa"/>
            <w:vAlign w:val="center"/>
          </w:tcPr>
          <w:p w14:paraId="08C34771" w14:textId="77777777" w:rsidR="00124A26" w:rsidRPr="00AC3044" w:rsidRDefault="00124A26" w:rsidP="002D3EBF">
            <w:pPr>
              <w:ind w:firstLine="0"/>
              <w:rPr>
                <w:rFonts w:eastAsia="SimSun"/>
              </w:rPr>
            </w:pPr>
            <w:r w:rsidRPr="00AC3044">
              <w:rPr>
                <w:rFonts w:eastAsia="SimSun"/>
              </w:rPr>
              <w:t>45 мг/кг</w:t>
            </w:r>
          </w:p>
        </w:tc>
        <w:tc>
          <w:tcPr>
            <w:tcW w:w="1418" w:type="dxa"/>
            <w:vAlign w:val="center"/>
          </w:tcPr>
          <w:p w14:paraId="46986D14"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609D667D" w14:textId="77777777" w:rsidR="00124A26" w:rsidRPr="00AC3044" w:rsidRDefault="00124A26" w:rsidP="002D3EBF">
            <w:pPr>
              <w:ind w:firstLine="0"/>
              <w:rPr>
                <w:rFonts w:eastAsia="SimSun"/>
              </w:rPr>
            </w:pPr>
            <w:r w:rsidRPr="00AC3044">
              <w:rPr>
                <w:rFonts w:eastAsia="SimSun"/>
              </w:rPr>
              <w:t>С +1 по +90 день</w:t>
            </w:r>
          </w:p>
        </w:tc>
        <w:tc>
          <w:tcPr>
            <w:tcW w:w="2268" w:type="dxa"/>
            <w:vAlign w:val="center"/>
          </w:tcPr>
          <w:p w14:paraId="1171BB87" w14:textId="77777777" w:rsidR="00124A26" w:rsidRPr="00AC3044" w:rsidRDefault="00124A26"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0B71FEB4" w14:textId="77777777" w:rsidR="00124A26" w:rsidRDefault="00124A26" w:rsidP="00124A26">
      <w:pPr>
        <w:rPr>
          <w:rFonts w:eastAsia="SimSun"/>
        </w:rPr>
      </w:pPr>
      <w:bookmarkStart w:id="244" w:name="_Toc44401206"/>
    </w:p>
    <w:p w14:paraId="2F44ED8C" w14:textId="77777777" w:rsidR="00124A26" w:rsidRPr="00C07B2E" w:rsidRDefault="00124A26" w:rsidP="00124A26">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2.2.6  – Flu180+Bu8 / rATG+CSA+MTX+MMF45</w:t>
      </w:r>
      <w:bookmarkEnd w:id="244"/>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124A26" w:rsidRPr="00AC3044" w14:paraId="21B5D454" w14:textId="77777777" w:rsidTr="002D3EBF">
        <w:trPr>
          <w:cantSplit/>
          <w:trHeight w:val="20"/>
          <w:tblHeader/>
        </w:trPr>
        <w:tc>
          <w:tcPr>
            <w:tcW w:w="851" w:type="dxa"/>
          </w:tcPr>
          <w:p w14:paraId="0259E982" w14:textId="77777777" w:rsidR="00124A26" w:rsidRPr="00470D3D" w:rsidRDefault="00124A26" w:rsidP="002D3EBF">
            <w:pPr>
              <w:ind w:firstLine="0"/>
              <w:rPr>
                <w:rFonts w:eastAsia="SimSun"/>
              </w:rPr>
            </w:pPr>
          </w:p>
        </w:tc>
        <w:tc>
          <w:tcPr>
            <w:tcW w:w="1701" w:type="dxa"/>
            <w:vAlign w:val="center"/>
          </w:tcPr>
          <w:p w14:paraId="4E5FC4F1" w14:textId="77777777" w:rsidR="00124A26" w:rsidRPr="00AC3044" w:rsidRDefault="00124A26" w:rsidP="002D3EBF">
            <w:pPr>
              <w:ind w:firstLine="0"/>
              <w:rPr>
                <w:rFonts w:eastAsia="SimSun"/>
              </w:rPr>
            </w:pPr>
            <w:r w:rsidRPr="00AC3044">
              <w:rPr>
                <w:rFonts w:eastAsia="SimSun"/>
              </w:rPr>
              <w:t>Препарат</w:t>
            </w:r>
          </w:p>
        </w:tc>
        <w:tc>
          <w:tcPr>
            <w:tcW w:w="1559" w:type="dxa"/>
            <w:vAlign w:val="center"/>
          </w:tcPr>
          <w:p w14:paraId="4B132B8B" w14:textId="77777777" w:rsidR="00124A26" w:rsidRPr="00AC3044" w:rsidRDefault="00124A26" w:rsidP="002D3EBF">
            <w:pPr>
              <w:ind w:firstLine="0"/>
              <w:rPr>
                <w:rFonts w:eastAsia="SimSun"/>
              </w:rPr>
            </w:pPr>
            <w:r w:rsidRPr="00AC3044">
              <w:rPr>
                <w:rFonts w:eastAsia="SimSun"/>
              </w:rPr>
              <w:t>Суточная доза</w:t>
            </w:r>
          </w:p>
        </w:tc>
        <w:tc>
          <w:tcPr>
            <w:tcW w:w="1418" w:type="dxa"/>
            <w:vAlign w:val="center"/>
          </w:tcPr>
          <w:p w14:paraId="397A43BF" w14:textId="77777777" w:rsidR="00124A26" w:rsidRPr="00AC3044" w:rsidRDefault="00124A26" w:rsidP="002D3EBF">
            <w:pPr>
              <w:ind w:firstLine="0"/>
              <w:rPr>
                <w:rFonts w:eastAsia="SimSun"/>
              </w:rPr>
            </w:pPr>
            <w:r w:rsidRPr="00AC3044">
              <w:rPr>
                <w:rFonts w:eastAsia="SimSun"/>
              </w:rPr>
              <w:t>Курсовая доза</w:t>
            </w:r>
          </w:p>
        </w:tc>
        <w:tc>
          <w:tcPr>
            <w:tcW w:w="1701" w:type="dxa"/>
            <w:vAlign w:val="center"/>
          </w:tcPr>
          <w:p w14:paraId="2285BE78" w14:textId="77777777" w:rsidR="00124A26" w:rsidRPr="00AC3044" w:rsidRDefault="00124A26" w:rsidP="002D3EBF">
            <w:pPr>
              <w:ind w:firstLine="0"/>
              <w:rPr>
                <w:rFonts w:eastAsia="SimSun"/>
              </w:rPr>
            </w:pPr>
            <w:r w:rsidRPr="00AC3044">
              <w:rPr>
                <w:rFonts w:eastAsia="SimSun"/>
              </w:rPr>
              <w:t>Дни введения</w:t>
            </w:r>
          </w:p>
        </w:tc>
        <w:tc>
          <w:tcPr>
            <w:tcW w:w="2268" w:type="dxa"/>
            <w:vAlign w:val="center"/>
          </w:tcPr>
          <w:p w14:paraId="7FE8D164"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52992453" w14:textId="77777777" w:rsidTr="002D3EBF">
        <w:trPr>
          <w:cantSplit/>
          <w:trHeight w:val="20"/>
        </w:trPr>
        <w:tc>
          <w:tcPr>
            <w:tcW w:w="851" w:type="dxa"/>
            <w:vMerge w:val="restart"/>
            <w:textDirection w:val="btLr"/>
            <w:vAlign w:val="center"/>
          </w:tcPr>
          <w:p w14:paraId="579F5CAD" w14:textId="77777777" w:rsidR="00124A26" w:rsidRPr="00AC3044" w:rsidRDefault="00124A26" w:rsidP="002D3EBF">
            <w:pPr>
              <w:ind w:firstLine="0"/>
              <w:rPr>
                <w:rFonts w:eastAsia="SimSun"/>
              </w:rPr>
            </w:pPr>
            <w:r w:rsidRPr="00AC3044">
              <w:rPr>
                <w:rFonts w:eastAsia="SimSun"/>
              </w:rPr>
              <w:t>Кондиционирование</w:t>
            </w:r>
          </w:p>
        </w:tc>
        <w:tc>
          <w:tcPr>
            <w:tcW w:w="1701" w:type="dxa"/>
            <w:vAlign w:val="center"/>
          </w:tcPr>
          <w:p w14:paraId="17B3419A" w14:textId="77777777" w:rsidR="00124A26" w:rsidRPr="00AC3044" w:rsidRDefault="00124A26" w:rsidP="002D3EBF">
            <w:pPr>
              <w:ind w:firstLine="0"/>
              <w:rPr>
                <w:rFonts w:eastAsia="SimSun"/>
              </w:rPr>
            </w:pPr>
            <w:r w:rsidRPr="00AC3044">
              <w:rPr>
                <w:rFonts w:eastAsia="SimSun"/>
              </w:rPr>
              <w:t xml:space="preserve">Флударабин </w:t>
            </w:r>
          </w:p>
        </w:tc>
        <w:tc>
          <w:tcPr>
            <w:tcW w:w="1559" w:type="dxa"/>
            <w:vAlign w:val="center"/>
          </w:tcPr>
          <w:p w14:paraId="52E861DF" w14:textId="77777777" w:rsidR="00124A26" w:rsidRPr="00AC3044" w:rsidRDefault="00124A26" w:rsidP="002D3EBF">
            <w:pPr>
              <w:ind w:firstLine="0"/>
              <w:rPr>
                <w:rFonts w:eastAsia="SimSun"/>
              </w:rPr>
            </w:pPr>
            <w:r w:rsidRPr="00AC3044">
              <w:rPr>
                <w:rFonts w:eastAsia="SimSun"/>
              </w:rPr>
              <w:t>30 мг/м</w:t>
            </w:r>
            <w:r w:rsidRPr="00DB259E">
              <w:rPr>
                <w:rFonts w:eastAsia="SimSun"/>
                <w:vertAlign w:val="superscript"/>
              </w:rPr>
              <w:t>2</w:t>
            </w:r>
          </w:p>
        </w:tc>
        <w:tc>
          <w:tcPr>
            <w:tcW w:w="1418" w:type="dxa"/>
            <w:vAlign w:val="center"/>
          </w:tcPr>
          <w:p w14:paraId="37FF994E" w14:textId="77777777" w:rsidR="00124A26" w:rsidRPr="00AC3044" w:rsidRDefault="00124A26" w:rsidP="002D3EBF">
            <w:pPr>
              <w:ind w:firstLine="0"/>
              <w:rPr>
                <w:rFonts w:eastAsia="SimSun"/>
              </w:rPr>
            </w:pPr>
            <w:r w:rsidRPr="00AC3044">
              <w:rPr>
                <w:rFonts w:eastAsia="SimSun"/>
              </w:rPr>
              <w:t>180 мг/м</w:t>
            </w:r>
            <w:r w:rsidRPr="00DB259E">
              <w:rPr>
                <w:rFonts w:eastAsia="SimSun"/>
                <w:vertAlign w:val="superscript"/>
              </w:rPr>
              <w:t>2</w:t>
            </w:r>
          </w:p>
        </w:tc>
        <w:tc>
          <w:tcPr>
            <w:tcW w:w="1701" w:type="dxa"/>
            <w:vAlign w:val="center"/>
          </w:tcPr>
          <w:p w14:paraId="63A91163" w14:textId="77777777" w:rsidR="00124A26" w:rsidRPr="00AC3044" w:rsidRDefault="00124A26" w:rsidP="002D3EBF">
            <w:pPr>
              <w:ind w:firstLine="0"/>
              <w:rPr>
                <w:rFonts w:eastAsia="SimSun"/>
              </w:rPr>
            </w:pPr>
            <w:r w:rsidRPr="00AC3044">
              <w:rPr>
                <w:rFonts w:eastAsia="SimSun"/>
              </w:rPr>
              <w:t>С –9 по –4 день</w:t>
            </w:r>
          </w:p>
        </w:tc>
        <w:tc>
          <w:tcPr>
            <w:tcW w:w="2268" w:type="dxa"/>
            <w:vAlign w:val="center"/>
          </w:tcPr>
          <w:p w14:paraId="680CEAD0"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4081EE94" w14:textId="77777777" w:rsidTr="002D3EBF">
        <w:trPr>
          <w:cantSplit/>
          <w:trHeight w:val="20"/>
        </w:trPr>
        <w:tc>
          <w:tcPr>
            <w:tcW w:w="851" w:type="dxa"/>
            <w:vMerge/>
            <w:textDirection w:val="btLr"/>
            <w:vAlign w:val="center"/>
          </w:tcPr>
          <w:p w14:paraId="58135A2B" w14:textId="77777777" w:rsidR="00124A26" w:rsidRPr="00AC3044" w:rsidRDefault="00124A26" w:rsidP="002D3EBF">
            <w:pPr>
              <w:ind w:firstLine="0"/>
              <w:rPr>
                <w:rFonts w:eastAsia="SimSun"/>
              </w:rPr>
            </w:pPr>
          </w:p>
        </w:tc>
        <w:tc>
          <w:tcPr>
            <w:tcW w:w="1701" w:type="dxa"/>
            <w:vAlign w:val="center"/>
          </w:tcPr>
          <w:p w14:paraId="7977118A" w14:textId="77777777" w:rsidR="00124A26" w:rsidRPr="00AC3044" w:rsidRDefault="00124A26" w:rsidP="002D3EBF">
            <w:pPr>
              <w:ind w:firstLine="0"/>
              <w:rPr>
                <w:rFonts w:eastAsia="SimSun"/>
              </w:rPr>
            </w:pPr>
            <w:r w:rsidRPr="00AC3044">
              <w:rPr>
                <w:rFonts w:eastAsia="SimSun"/>
              </w:rPr>
              <w:t>Бусульфан</w:t>
            </w:r>
          </w:p>
        </w:tc>
        <w:tc>
          <w:tcPr>
            <w:tcW w:w="1559" w:type="dxa"/>
            <w:vAlign w:val="center"/>
          </w:tcPr>
          <w:p w14:paraId="67E8C6E1" w14:textId="77777777" w:rsidR="00124A26" w:rsidRPr="00AC3044" w:rsidRDefault="00124A26" w:rsidP="002D3EBF">
            <w:pPr>
              <w:ind w:firstLine="0"/>
              <w:rPr>
                <w:rFonts w:eastAsia="SimSun"/>
              </w:rPr>
            </w:pPr>
            <w:r w:rsidRPr="00AC3044">
              <w:rPr>
                <w:rFonts w:eastAsia="SimSun"/>
              </w:rPr>
              <w:t>4 мг/кг</w:t>
            </w:r>
          </w:p>
        </w:tc>
        <w:tc>
          <w:tcPr>
            <w:tcW w:w="1418" w:type="dxa"/>
            <w:vAlign w:val="center"/>
          </w:tcPr>
          <w:p w14:paraId="6822875E" w14:textId="77777777" w:rsidR="00124A26" w:rsidRPr="00AC3044" w:rsidRDefault="00124A26" w:rsidP="002D3EBF">
            <w:pPr>
              <w:ind w:firstLine="0"/>
              <w:rPr>
                <w:rFonts w:eastAsia="SimSun"/>
              </w:rPr>
            </w:pPr>
            <w:r w:rsidRPr="00AC3044">
              <w:rPr>
                <w:rFonts w:eastAsia="SimSun"/>
              </w:rPr>
              <w:t>8 мг/кг</w:t>
            </w:r>
          </w:p>
        </w:tc>
        <w:tc>
          <w:tcPr>
            <w:tcW w:w="1701" w:type="dxa"/>
            <w:vAlign w:val="center"/>
          </w:tcPr>
          <w:p w14:paraId="0FB014FE" w14:textId="77777777" w:rsidR="00124A26" w:rsidRPr="00AC3044" w:rsidRDefault="00124A26" w:rsidP="002D3EBF">
            <w:pPr>
              <w:ind w:firstLine="0"/>
              <w:rPr>
                <w:rFonts w:eastAsia="SimSun"/>
              </w:rPr>
            </w:pPr>
            <w:r w:rsidRPr="00AC3044">
              <w:rPr>
                <w:rFonts w:eastAsia="SimSun"/>
              </w:rPr>
              <w:t>С –5 по –4 день</w:t>
            </w:r>
          </w:p>
        </w:tc>
        <w:tc>
          <w:tcPr>
            <w:tcW w:w="2268" w:type="dxa"/>
            <w:vAlign w:val="center"/>
          </w:tcPr>
          <w:p w14:paraId="712200B4"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124A26" w:rsidRPr="00AC3044" w14:paraId="4A9F432E" w14:textId="77777777" w:rsidTr="002D3EBF">
        <w:trPr>
          <w:cantSplit/>
          <w:trHeight w:val="20"/>
        </w:trPr>
        <w:tc>
          <w:tcPr>
            <w:tcW w:w="851" w:type="dxa"/>
            <w:vMerge w:val="restart"/>
            <w:textDirection w:val="btLr"/>
            <w:vAlign w:val="center"/>
          </w:tcPr>
          <w:p w14:paraId="53AA80E7" w14:textId="77777777" w:rsidR="00124A26" w:rsidRPr="00AC3044" w:rsidRDefault="00124A26" w:rsidP="002D3EBF">
            <w:pPr>
              <w:ind w:firstLine="0"/>
              <w:rPr>
                <w:rFonts w:eastAsia="SimSun"/>
              </w:rPr>
            </w:pPr>
            <w:r w:rsidRPr="00AC3044">
              <w:rPr>
                <w:rFonts w:eastAsia="SimSun"/>
              </w:rPr>
              <w:t>Профилактика РТПХ</w:t>
            </w:r>
          </w:p>
        </w:tc>
        <w:tc>
          <w:tcPr>
            <w:tcW w:w="1701" w:type="dxa"/>
            <w:vAlign w:val="center"/>
          </w:tcPr>
          <w:p w14:paraId="4F1FEF4A" w14:textId="77777777" w:rsidR="00124A26" w:rsidRPr="00AC3044" w:rsidRDefault="00124A26" w:rsidP="002D3EBF">
            <w:pPr>
              <w:ind w:firstLine="0"/>
              <w:rPr>
                <w:rFonts w:eastAsia="SimSun"/>
              </w:rPr>
            </w:pPr>
            <w:r w:rsidRPr="00AC3044">
              <w:rPr>
                <w:rFonts w:eastAsia="SimSun"/>
              </w:rPr>
              <w:t>АТГ (кроличий)</w:t>
            </w:r>
          </w:p>
        </w:tc>
        <w:tc>
          <w:tcPr>
            <w:tcW w:w="1559" w:type="dxa"/>
            <w:vAlign w:val="center"/>
          </w:tcPr>
          <w:p w14:paraId="172BCDC4" w14:textId="77777777" w:rsidR="00124A26" w:rsidRPr="00AC3044" w:rsidRDefault="00124A26" w:rsidP="002D3EBF">
            <w:pPr>
              <w:ind w:firstLine="0"/>
              <w:rPr>
                <w:rFonts w:eastAsia="SimSun"/>
              </w:rPr>
            </w:pPr>
            <w:r w:rsidRPr="00AC3044">
              <w:rPr>
                <w:rFonts w:eastAsia="SimSun"/>
              </w:rPr>
              <w:t>2,5 мг/кг</w:t>
            </w:r>
          </w:p>
        </w:tc>
        <w:tc>
          <w:tcPr>
            <w:tcW w:w="1418" w:type="dxa"/>
            <w:vAlign w:val="center"/>
          </w:tcPr>
          <w:p w14:paraId="0681908E" w14:textId="77777777" w:rsidR="00124A26" w:rsidRPr="00AC3044" w:rsidRDefault="00124A26" w:rsidP="002D3EBF">
            <w:pPr>
              <w:ind w:firstLine="0"/>
              <w:rPr>
                <w:rFonts w:eastAsia="SimSun"/>
              </w:rPr>
            </w:pPr>
            <w:r w:rsidRPr="00AC3044">
              <w:rPr>
                <w:rFonts w:eastAsia="SimSun"/>
              </w:rPr>
              <w:t>5- 7,5 мг/кг2</w:t>
            </w:r>
          </w:p>
        </w:tc>
        <w:tc>
          <w:tcPr>
            <w:tcW w:w="1701" w:type="dxa"/>
            <w:vAlign w:val="center"/>
          </w:tcPr>
          <w:p w14:paraId="33933B7A" w14:textId="77777777" w:rsidR="00124A26" w:rsidRPr="00AC3044" w:rsidRDefault="00124A26" w:rsidP="002D3EBF">
            <w:pPr>
              <w:ind w:firstLine="0"/>
              <w:rPr>
                <w:rFonts w:eastAsia="SimSun"/>
              </w:rPr>
            </w:pPr>
            <w:r w:rsidRPr="00AC3044">
              <w:rPr>
                <w:rFonts w:eastAsia="SimSun"/>
              </w:rPr>
              <w:t>С –3 по –2 (-1) день</w:t>
            </w:r>
          </w:p>
        </w:tc>
        <w:tc>
          <w:tcPr>
            <w:tcW w:w="2268" w:type="dxa"/>
            <w:vAlign w:val="center"/>
          </w:tcPr>
          <w:p w14:paraId="325D9163" w14:textId="77777777" w:rsidR="00124A26" w:rsidRPr="00AC3044" w:rsidRDefault="00124A26" w:rsidP="002D3EBF">
            <w:pPr>
              <w:ind w:firstLine="0"/>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124A26" w:rsidRPr="00AC3044" w14:paraId="44B5589A" w14:textId="77777777" w:rsidTr="002D3EBF">
        <w:trPr>
          <w:cantSplit/>
          <w:trHeight w:val="20"/>
        </w:trPr>
        <w:tc>
          <w:tcPr>
            <w:tcW w:w="851" w:type="dxa"/>
            <w:vMerge/>
            <w:textDirection w:val="btLr"/>
          </w:tcPr>
          <w:p w14:paraId="5AE108BC" w14:textId="77777777" w:rsidR="00124A26" w:rsidRPr="00AC3044" w:rsidRDefault="00124A26" w:rsidP="002D3EBF">
            <w:pPr>
              <w:ind w:firstLine="0"/>
              <w:rPr>
                <w:rFonts w:eastAsia="SimSun"/>
              </w:rPr>
            </w:pPr>
          </w:p>
        </w:tc>
        <w:tc>
          <w:tcPr>
            <w:tcW w:w="1701" w:type="dxa"/>
            <w:vAlign w:val="center"/>
          </w:tcPr>
          <w:p w14:paraId="06190A03" w14:textId="77777777" w:rsidR="00124A26" w:rsidRPr="00AC3044" w:rsidRDefault="00124A26" w:rsidP="002D3EBF">
            <w:pPr>
              <w:ind w:firstLine="0"/>
              <w:rPr>
                <w:rFonts w:eastAsia="SimSun"/>
              </w:rPr>
            </w:pPr>
            <w:r w:rsidRPr="00AC3044">
              <w:rPr>
                <w:rFonts w:eastAsia="SimSun"/>
              </w:rPr>
              <w:t>Циклоспорин</w:t>
            </w:r>
          </w:p>
        </w:tc>
        <w:tc>
          <w:tcPr>
            <w:tcW w:w="1559" w:type="dxa"/>
            <w:vAlign w:val="center"/>
          </w:tcPr>
          <w:p w14:paraId="09A1D648" w14:textId="77777777" w:rsidR="00124A26" w:rsidRPr="00AC3044" w:rsidRDefault="00124A26" w:rsidP="002D3EBF">
            <w:pPr>
              <w:ind w:firstLine="0"/>
              <w:rPr>
                <w:rFonts w:eastAsia="SimSun"/>
              </w:rPr>
            </w:pPr>
            <w:r w:rsidRPr="00AC3044">
              <w:rPr>
                <w:rFonts w:eastAsia="SimSun"/>
              </w:rPr>
              <w:t>3 мг/кг</w:t>
            </w:r>
          </w:p>
        </w:tc>
        <w:tc>
          <w:tcPr>
            <w:tcW w:w="1418" w:type="dxa"/>
            <w:vAlign w:val="center"/>
          </w:tcPr>
          <w:p w14:paraId="20A63CAF"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2472C5B7" w14:textId="77777777" w:rsidR="00124A26" w:rsidRPr="00AC3044" w:rsidRDefault="00124A26" w:rsidP="002D3EBF">
            <w:pPr>
              <w:ind w:firstLine="0"/>
              <w:rPr>
                <w:rFonts w:eastAsia="SimSun"/>
              </w:rPr>
            </w:pPr>
            <w:r w:rsidRPr="00AC3044">
              <w:rPr>
                <w:rFonts w:eastAsia="SimSun"/>
              </w:rPr>
              <w:t>С–1 по +90 день, затем постепенное снижение к +180 дню</w:t>
            </w:r>
          </w:p>
        </w:tc>
        <w:tc>
          <w:tcPr>
            <w:tcW w:w="2268" w:type="dxa"/>
            <w:vAlign w:val="center"/>
          </w:tcPr>
          <w:p w14:paraId="6217C389" w14:textId="77777777" w:rsidR="00124A26" w:rsidRPr="00AC3044" w:rsidRDefault="00124A26"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sidRPr="00AC3044">
              <w:rPr>
                <w:rFonts w:eastAsia="SimSun"/>
              </w:rPr>
              <w:t> 109/л, при отсутствии тошноты, рвоты, диареи и возможности приема внутрь. Концентрация 150-350 нг/мл</w:t>
            </w:r>
          </w:p>
        </w:tc>
      </w:tr>
      <w:tr w:rsidR="00124A26" w:rsidRPr="00AC3044" w14:paraId="666B645E" w14:textId="77777777" w:rsidTr="002D3EBF">
        <w:trPr>
          <w:cantSplit/>
          <w:trHeight w:val="20"/>
        </w:trPr>
        <w:tc>
          <w:tcPr>
            <w:tcW w:w="851" w:type="dxa"/>
            <w:vMerge/>
          </w:tcPr>
          <w:p w14:paraId="7C14F31E" w14:textId="77777777" w:rsidR="00124A26" w:rsidRPr="00AC3044" w:rsidRDefault="00124A26" w:rsidP="002D3EBF">
            <w:pPr>
              <w:ind w:firstLine="0"/>
              <w:rPr>
                <w:rFonts w:eastAsia="SimSun"/>
              </w:rPr>
            </w:pPr>
          </w:p>
        </w:tc>
        <w:tc>
          <w:tcPr>
            <w:tcW w:w="1701" w:type="dxa"/>
            <w:vMerge w:val="restart"/>
            <w:vAlign w:val="center"/>
          </w:tcPr>
          <w:p w14:paraId="4ABFCAAC" w14:textId="77777777" w:rsidR="00124A26" w:rsidRPr="00AC3044" w:rsidRDefault="00124A26" w:rsidP="002D3EBF">
            <w:pPr>
              <w:ind w:firstLine="0"/>
              <w:rPr>
                <w:rFonts w:eastAsia="SimSun"/>
              </w:rPr>
            </w:pPr>
            <w:r w:rsidRPr="00AC3044">
              <w:rPr>
                <w:rFonts w:eastAsia="SimSun"/>
              </w:rPr>
              <w:t>Метотрексат</w:t>
            </w:r>
          </w:p>
        </w:tc>
        <w:tc>
          <w:tcPr>
            <w:tcW w:w="1559" w:type="dxa"/>
            <w:vAlign w:val="center"/>
          </w:tcPr>
          <w:p w14:paraId="3ACEFD3B" w14:textId="77777777" w:rsidR="00124A26" w:rsidRPr="00AC3044" w:rsidRDefault="00124A26" w:rsidP="002D3EBF">
            <w:pPr>
              <w:ind w:firstLine="0"/>
              <w:rPr>
                <w:rFonts w:eastAsia="SimSun"/>
              </w:rPr>
            </w:pPr>
            <w:r w:rsidRPr="00AC3044">
              <w:rPr>
                <w:rFonts w:eastAsia="SimSun"/>
              </w:rPr>
              <w:t>15 мг/м</w:t>
            </w:r>
            <w:r w:rsidRPr="00DB259E">
              <w:rPr>
                <w:rFonts w:eastAsia="SimSun"/>
                <w:vertAlign w:val="superscript"/>
              </w:rPr>
              <w:t>2</w:t>
            </w:r>
          </w:p>
        </w:tc>
        <w:tc>
          <w:tcPr>
            <w:tcW w:w="1418" w:type="dxa"/>
            <w:vAlign w:val="center"/>
          </w:tcPr>
          <w:p w14:paraId="31D5849F"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674D867A" w14:textId="77777777" w:rsidR="00124A26" w:rsidRPr="00AC3044" w:rsidRDefault="00124A26" w:rsidP="002D3EBF">
            <w:pPr>
              <w:ind w:firstLine="0"/>
              <w:rPr>
                <w:rFonts w:eastAsia="SimSun"/>
              </w:rPr>
            </w:pPr>
            <w:r w:rsidRPr="00AC3044">
              <w:rPr>
                <w:rFonts w:eastAsia="SimSun"/>
              </w:rPr>
              <w:t>+1 день</w:t>
            </w:r>
          </w:p>
        </w:tc>
        <w:tc>
          <w:tcPr>
            <w:tcW w:w="2268" w:type="dxa"/>
            <w:vAlign w:val="center"/>
          </w:tcPr>
          <w:p w14:paraId="242CD16F" w14:textId="77777777" w:rsidR="00124A26" w:rsidRPr="00AC3044" w:rsidRDefault="00124A26" w:rsidP="002D3EBF">
            <w:pPr>
              <w:ind w:firstLine="0"/>
              <w:rPr>
                <w:rFonts w:eastAsia="SimSun"/>
              </w:rPr>
            </w:pPr>
            <w:r w:rsidRPr="00AC3044">
              <w:rPr>
                <w:rFonts w:eastAsia="SimSun"/>
              </w:rPr>
              <w:t xml:space="preserve">В/в, в 20 мл физ. р-ра </w:t>
            </w:r>
          </w:p>
        </w:tc>
      </w:tr>
      <w:tr w:rsidR="00124A26" w:rsidRPr="00AC3044" w14:paraId="714E4883" w14:textId="77777777" w:rsidTr="002D3EBF">
        <w:trPr>
          <w:cantSplit/>
          <w:trHeight w:val="464"/>
        </w:trPr>
        <w:tc>
          <w:tcPr>
            <w:tcW w:w="851" w:type="dxa"/>
            <w:vMerge/>
          </w:tcPr>
          <w:p w14:paraId="40F64A35" w14:textId="77777777" w:rsidR="00124A26" w:rsidRPr="00AC3044" w:rsidRDefault="00124A26" w:rsidP="002D3EBF">
            <w:pPr>
              <w:ind w:firstLine="0"/>
              <w:rPr>
                <w:rFonts w:eastAsia="SimSun"/>
              </w:rPr>
            </w:pPr>
          </w:p>
        </w:tc>
        <w:tc>
          <w:tcPr>
            <w:tcW w:w="1701" w:type="dxa"/>
            <w:vMerge/>
            <w:vAlign w:val="center"/>
          </w:tcPr>
          <w:p w14:paraId="4389A7D9" w14:textId="77777777" w:rsidR="00124A26" w:rsidRPr="00AC3044" w:rsidRDefault="00124A26" w:rsidP="002D3EBF">
            <w:pPr>
              <w:ind w:firstLine="0"/>
              <w:rPr>
                <w:rFonts w:eastAsia="SimSun"/>
              </w:rPr>
            </w:pPr>
          </w:p>
        </w:tc>
        <w:tc>
          <w:tcPr>
            <w:tcW w:w="1559" w:type="dxa"/>
            <w:vAlign w:val="center"/>
          </w:tcPr>
          <w:p w14:paraId="12F90C72" w14:textId="77777777" w:rsidR="00124A26" w:rsidRPr="00AC3044" w:rsidRDefault="00124A26" w:rsidP="002D3EBF">
            <w:pPr>
              <w:ind w:firstLine="0"/>
              <w:rPr>
                <w:rFonts w:eastAsia="SimSun"/>
              </w:rPr>
            </w:pPr>
            <w:r w:rsidRPr="00AC3044">
              <w:rPr>
                <w:rFonts w:eastAsia="SimSun"/>
              </w:rPr>
              <w:t>10 мг/м</w:t>
            </w:r>
            <w:r w:rsidRPr="00DB259E">
              <w:rPr>
                <w:rFonts w:eastAsia="SimSun"/>
                <w:vertAlign w:val="superscript"/>
              </w:rPr>
              <w:t>2</w:t>
            </w:r>
          </w:p>
        </w:tc>
        <w:tc>
          <w:tcPr>
            <w:tcW w:w="1418" w:type="dxa"/>
            <w:vAlign w:val="center"/>
          </w:tcPr>
          <w:p w14:paraId="775F385E"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1B026EE1" w14:textId="77777777" w:rsidR="00124A26" w:rsidRPr="00AC3044" w:rsidRDefault="00124A26" w:rsidP="002D3EBF">
            <w:pPr>
              <w:ind w:firstLine="0"/>
              <w:rPr>
                <w:rFonts w:eastAsia="SimSun"/>
              </w:rPr>
            </w:pPr>
            <w:r w:rsidRPr="00AC3044">
              <w:rPr>
                <w:rFonts w:eastAsia="SimSun"/>
              </w:rPr>
              <w:t>+3, +6, +11 дни</w:t>
            </w:r>
          </w:p>
        </w:tc>
        <w:tc>
          <w:tcPr>
            <w:tcW w:w="2268" w:type="dxa"/>
            <w:vAlign w:val="center"/>
          </w:tcPr>
          <w:p w14:paraId="4764639D" w14:textId="77777777" w:rsidR="00124A26" w:rsidRPr="00AC3044" w:rsidRDefault="00124A26" w:rsidP="002D3EBF">
            <w:pPr>
              <w:ind w:firstLine="0"/>
              <w:rPr>
                <w:rFonts w:eastAsia="SimSun"/>
              </w:rPr>
            </w:pPr>
            <w:r w:rsidRPr="00AC3044">
              <w:rPr>
                <w:rFonts w:eastAsia="SimSun"/>
              </w:rPr>
              <w:t xml:space="preserve">В/в, в 20 мл физ. р-ра </w:t>
            </w:r>
          </w:p>
        </w:tc>
      </w:tr>
      <w:tr w:rsidR="00124A26" w:rsidRPr="00AC3044" w14:paraId="4F544C87" w14:textId="77777777" w:rsidTr="002D3EBF">
        <w:trPr>
          <w:cantSplit/>
          <w:trHeight w:val="464"/>
        </w:trPr>
        <w:tc>
          <w:tcPr>
            <w:tcW w:w="851" w:type="dxa"/>
            <w:vMerge/>
          </w:tcPr>
          <w:p w14:paraId="6340B88F" w14:textId="77777777" w:rsidR="00124A26" w:rsidRPr="00AC3044" w:rsidRDefault="00124A26" w:rsidP="002D3EBF">
            <w:pPr>
              <w:ind w:firstLine="0"/>
              <w:rPr>
                <w:rFonts w:eastAsia="SimSun"/>
              </w:rPr>
            </w:pPr>
          </w:p>
        </w:tc>
        <w:tc>
          <w:tcPr>
            <w:tcW w:w="1701" w:type="dxa"/>
            <w:vAlign w:val="center"/>
          </w:tcPr>
          <w:p w14:paraId="44F5203D" w14:textId="77777777" w:rsidR="00124A26" w:rsidRPr="00AC3044" w:rsidRDefault="00124A26" w:rsidP="002D3EBF">
            <w:pPr>
              <w:ind w:firstLine="0"/>
              <w:rPr>
                <w:rFonts w:eastAsia="SimSun"/>
              </w:rPr>
            </w:pPr>
            <w:r w:rsidRPr="00AC3044">
              <w:rPr>
                <w:rFonts w:eastAsia="SimSun"/>
              </w:rPr>
              <w:t>Микофенолата мофетил</w:t>
            </w:r>
          </w:p>
        </w:tc>
        <w:tc>
          <w:tcPr>
            <w:tcW w:w="1559" w:type="dxa"/>
            <w:vAlign w:val="center"/>
          </w:tcPr>
          <w:p w14:paraId="0AE29948" w14:textId="77777777" w:rsidR="00124A26" w:rsidRPr="00AC3044" w:rsidRDefault="00124A26" w:rsidP="002D3EBF">
            <w:pPr>
              <w:ind w:firstLine="0"/>
              <w:rPr>
                <w:rFonts w:eastAsia="SimSun"/>
              </w:rPr>
            </w:pPr>
            <w:r w:rsidRPr="00AC3044">
              <w:rPr>
                <w:rFonts w:eastAsia="SimSun"/>
              </w:rPr>
              <w:t>45 мг/кг</w:t>
            </w:r>
          </w:p>
        </w:tc>
        <w:tc>
          <w:tcPr>
            <w:tcW w:w="1418" w:type="dxa"/>
            <w:vAlign w:val="center"/>
          </w:tcPr>
          <w:p w14:paraId="321F1FD2"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6F148BC2" w14:textId="77777777" w:rsidR="00124A26" w:rsidRPr="00AC3044" w:rsidRDefault="00124A26" w:rsidP="002D3EBF">
            <w:pPr>
              <w:ind w:firstLine="0"/>
              <w:rPr>
                <w:rFonts w:eastAsia="SimSun"/>
              </w:rPr>
            </w:pPr>
            <w:r w:rsidRPr="00AC3044">
              <w:rPr>
                <w:rFonts w:eastAsia="SimSun"/>
              </w:rPr>
              <w:t>С +1 по +90 день</w:t>
            </w:r>
          </w:p>
        </w:tc>
        <w:tc>
          <w:tcPr>
            <w:tcW w:w="2268" w:type="dxa"/>
            <w:vAlign w:val="center"/>
          </w:tcPr>
          <w:p w14:paraId="024294D4"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7008A3C5" w14:textId="77777777" w:rsidR="00124A26" w:rsidRDefault="00124A26" w:rsidP="00124A26">
      <w:pPr>
        <w:rPr>
          <w:rFonts w:eastAsia="SimSun"/>
        </w:rPr>
      </w:pPr>
      <w:bookmarkStart w:id="245" w:name="_Toc44401207"/>
    </w:p>
    <w:p w14:paraId="167FAD69" w14:textId="77777777" w:rsidR="00124A26" w:rsidRPr="00C07B2E" w:rsidRDefault="00124A26" w:rsidP="00124A26">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2.2.7  – Flu180+Bu8 / PT-Cy+CSA+MMF30</w:t>
      </w:r>
      <w:bookmarkEnd w:id="245"/>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124A26" w:rsidRPr="00AC3044" w14:paraId="67C77BA3" w14:textId="77777777" w:rsidTr="002D3EBF">
        <w:trPr>
          <w:cantSplit/>
          <w:trHeight w:val="20"/>
          <w:tblHeader/>
        </w:trPr>
        <w:tc>
          <w:tcPr>
            <w:tcW w:w="851" w:type="dxa"/>
          </w:tcPr>
          <w:p w14:paraId="3B2C5DE7" w14:textId="77777777" w:rsidR="00124A26" w:rsidRPr="00470D3D" w:rsidRDefault="00124A26" w:rsidP="002D3EBF">
            <w:pPr>
              <w:ind w:firstLine="0"/>
              <w:rPr>
                <w:rFonts w:eastAsia="SimSun"/>
              </w:rPr>
            </w:pPr>
          </w:p>
        </w:tc>
        <w:tc>
          <w:tcPr>
            <w:tcW w:w="1701" w:type="dxa"/>
            <w:vAlign w:val="center"/>
          </w:tcPr>
          <w:p w14:paraId="301B28B5" w14:textId="77777777" w:rsidR="00124A26" w:rsidRPr="00AC3044" w:rsidRDefault="00124A26" w:rsidP="002D3EBF">
            <w:pPr>
              <w:ind w:firstLine="0"/>
              <w:rPr>
                <w:rFonts w:eastAsia="SimSun"/>
              </w:rPr>
            </w:pPr>
            <w:r w:rsidRPr="00AC3044">
              <w:rPr>
                <w:rFonts w:eastAsia="SimSun"/>
              </w:rPr>
              <w:t>Препарат</w:t>
            </w:r>
          </w:p>
        </w:tc>
        <w:tc>
          <w:tcPr>
            <w:tcW w:w="1559" w:type="dxa"/>
            <w:vAlign w:val="center"/>
          </w:tcPr>
          <w:p w14:paraId="1CF56DAA" w14:textId="77777777" w:rsidR="00124A26" w:rsidRPr="00AC3044" w:rsidRDefault="00124A26" w:rsidP="002D3EBF">
            <w:pPr>
              <w:ind w:firstLine="0"/>
              <w:rPr>
                <w:rFonts w:eastAsia="SimSun"/>
              </w:rPr>
            </w:pPr>
            <w:r w:rsidRPr="00AC3044">
              <w:rPr>
                <w:rFonts w:eastAsia="SimSun"/>
              </w:rPr>
              <w:t>Суточная доза</w:t>
            </w:r>
          </w:p>
        </w:tc>
        <w:tc>
          <w:tcPr>
            <w:tcW w:w="1418" w:type="dxa"/>
            <w:vAlign w:val="center"/>
          </w:tcPr>
          <w:p w14:paraId="0E7CD84B" w14:textId="77777777" w:rsidR="00124A26" w:rsidRPr="00AC3044" w:rsidRDefault="00124A26" w:rsidP="002D3EBF">
            <w:pPr>
              <w:ind w:firstLine="0"/>
              <w:rPr>
                <w:rFonts w:eastAsia="SimSun"/>
              </w:rPr>
            </w:pPr>
            <w:r w:rsidRPr="00AC3044">
              <w:rPr>
                <w:rFonts w:eastAsia="SimSun"/>
              </w:rPr>
              <w:t>Курсовая доза</w:t>
            </w:r>
          </w:p>
        </w:tc>
        <w:tc>
          <w:tcPr>
            <w:tcW w:w="1701" w:type="dxa"/>
            <w:vAlign w:val="center"/>
          </w:tcPr>
          <w:p w14:paraId="66827E4D" w14:textId="77777777" w:rsidR="00124A26" w:rsidRPr="00AC3044" w:rsidRDefault="00124A26" w:rsidP="002D3EBF">
            <w:pPr>
              <w:ind w:firstLine="0"/>
              <w:rPr>
                <w:rFonts w:eastAsia="SimSun"/>
              </w:rPr>
            </w:pPr>
            <w:r w:rsidRPr="00AC3044">
              <w:rPr>
                <w:rFonts w:eastAsia="SimSun"/>
              </w:rPr>
              <w:t>Дни введения</w:t>
            </w:r>
          </w:p>
        </w:tc>
        <w:tc>
          <w:tcPr>
            <w:tcW w:w="2268" w:type="dxa"/>
            <w:vAlign w:val="center"/>
          </w:tcPr>
          <w:p w14:paraId="37342DA2"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43960F2A" w14:textId="77777777" w:rsidTr="002D3EBF">
        <w:trPr>
          <w:cantSplit/>
          <w:trHeight w:val="20"/>
        </w:trPr>
        <w:tc>
          <w:tcPr>
            <w:tcW w:w="851" w:type="dxa"/>
            <w:vMerge w:val="restart"/>
            <w:textDirection w:val="btLr"/>
            <w:vAlign w:val="center"/>
          </w:tcPr>
          <w:p w14:paraId="6ADF099C" w14:textId="77777777" w:rsidR="00124A26" w:rsidRPr="00AC3044" w:rsidRDefault="00124A26" w:rsidP="002D3EBF">
            <w:pPr>
              <w:ind w:firstLine="0"/>
              <w:rPr>
                <w:rFonts w:eastAsia="SimSun"/>
              </w:rPr>
            </w:pPr>
            <w:r w:rsidRPr="00AC3044">
              <w:rPr>
                <w:rFonts w:eastAsia="SimSun"/>
              </w:rPr>
              <w:t>Кондиционирование</w:t>
            </w:r>
          </w:p>
        </w:tc>
        <w:tc>
          <w:tcPr>
            <w:tcW w:w="1701" w:type="dxa"/>
            <w:vAlign w:val="center"/>
          </w:tcPr>
          <w:p w14:paraId="09808702" w14:textId="77777777" w:rsidR="00124A26" w:rsidRPr="00AC3044" w:rsidRDefault="00124A26" w:rsidP="002D3EBF">
            <w:pPr>
              <w:ind w:firstLine="0"/>
              <w:rPr>
                <w:rFonts w:eastAsia="SimSun"/>
              </w:rPr>
            </w:pPr>
            <w:r w:rsidRPr="00AC3044">
              <w:rPr>
                <w:rFonts w:eastAsia="SimSun"/>
              </w:rPr>
              <w:t xml:space="preserve">Флударабин </w:t>
            </w:r>
          </w:p>
        </w:tc>
        <w:tc>
          <w:tcPr>
            <w:tcW w:w="1559" w:type="dxa"/>
            <w:vAlign w:val="center"/>
          </w:tcPr>
          <w:p w14:paraId="22C80968" w14:textId="77777777" w:rsidR="00124A26" w:rsidRPr="00AC3044" w:rsidRDefault="00124A26" w:rsidP="002D3EBF">
            <w:pPr>
              <w:ind w:firstLine="0"/>
              <w:rPr>
                <w:rFonts w:eastAsia="SimSun"/>
              </w:rPr>
            </w:pPr>
            <w:r w:rsidRPr="00AC3044">
              <w:rPr>
                <w:rFonts w:eastAsia="SimSun"/>
              </w:rPr>
              <w:t>30 мг/м</w:t>
            </w:r>
            <w:r w:rsidRPr="00DB259E">
              <w:rPr>
                <w:rFonts w:eastAsia="SimSun"/>
                <w:vertAlign w:val="superscript"/>
              </w:rPr>
              <w:t>2</w:t>
            </w:r>
          </w:p>
        </w:tc>
        <w:tc>
          <w:tcPr>
            <w:tcW w:w="1418" w:type="dxa"/>
            <w:vAlign w:val="center"/>
          </w:tcPr>
          <w:p w14:paraId="6F1D9EAA" w14:textId="77777777" w:rsidR="00124A26" w:rsidRPr="00AC3044" w:rsidRDefault="00124A26" w:rsidP="002D3EBF">
            <w:pPr>
              <w:ind w:firstLine="0"/>
              <w:rPr>
                <w:rFonts w:eastAsia="SimSun"/>
              </w:rPr>
            </w:pPr>
            <w:r w:rsidRPr="00AC3044">
              <w:rPr>
                <w:rFonts w:eastAsia="SimSun"/>
              </w:rPr>
              <w:t>150 мг/м</w:t>
            </w:r>
            <w:r w:rsidRPr="00DB259E">
              <w:rPr>
                <w:rFonts w:eastAsia="SimSun"/>
                <w:vertAlign w:val="superscript"/>
              </w:rPr>
              <w:t>2</w:t>
            </w:r>
          </w:p>
        </w:tc>
        <w:tc>
          <w:tcPr>
            <w:tcW w:w="1701" w:type="dxa"/>
            <w:vAlign w:val="center"/>
          </w:tcPr>
          <w:p w14:paraId="5E5CCF53" w14:textId="77777777" w:rsidR="00124A26" w:rsidRPr="00AC3044" w:rsidRDefault="00124A26" w:rsidP="002D3EBF">
            <w:pPr>
              <w:ind w:firstLine="0"/>
              <w:rPr>
                <w:rFonts w:eastAsia="SimSun"/>
              </w:rPr>
            </w:pPr>
            <w:r w:rsidRPr="00AC3044">
              <w:rPr>
                <w:rFonts w:eastAsia="SimSun"/>
              </w:rPr>
              <w:t>С –6 по –2 день</w:t>
            </w:r>
          </w:p>
        </w:tc>
        <w:tc>
          <w:tcPr>
            <w:tcW w:w="2268" w:type="dxa"/>
            <w:vAlign w:val="center"/>
          </w:tcPr>
          <w:p w14:paraId="298A8ED3"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518702C9" w14:textId="77777777" w:rsidTr="002D3EBF">
        <w:trPr>
          <w:cantSplit/>
          <w:trHeight w:val="772"/>
        </w:trPr>
        <w:tc>
          <w:tcPr>
            <w:tcW w:w="851" w:type="dxa"/>
            <w:vMerge/>
            <w:textDirection w:val="btLr"/>
            <w:vAlign w:val="center"/>
          </w:tcPr>
          <w:p w14:paraId="6ED0A847" w14:textId="77777777" w:rsidR="00124A26" w:rsidRPr="00AC3044" w:rsidRDefault="00124A26" w:rsidP="002D3EBF">
            <w:pPr>
              <w:ind w:firstLine="0"/>
              <w:rPr>
                <w:rFonts w:eastAsia="SimSun"/>
              </w:rPr>
            </w:pPr>
          </w:p>
        </w:tc>
        <w:tc>
          <w:tcPr>
            <w:tcW w:w="1701" w:type="dxa"/>
            <w:vAlign w:val="center"/>
          </w:tcPr>
          <w:p w14:paraId="55D4ACD2" w14:textId="77777777" w:rsidR="00124A26" w:rsidRPr="00AC3044" w:rsidRDefault="00124A26" w:rsidP="002D3EBF">
            <w:pPr>
              <w:ind w:firstLine="0"/>
              <w:rPr>
                <w:rFonts w:eastAsia="SimSun"/>
              </w:rPr>
            </w:pPr>
            <w:r w:rsidRPr="00AC3044">
              <w:rPr>
                <w:rFonts w:eastAsia="SimSun"/>
              </w:rPr>
              <w:t>Бусульфан</w:t>
            </w:r>
          </w:p>
        </w:tc>
        <w:tc>
          <w:tcPr>
            <w:tcW w:w="1559" w:type="dxa"/>
            <w:vAlign w:val="center"/>
          </w:tcPr>
          <w:p w14:paraId="5AF6C609" w14:textId="77777777" w:rsidR="00124A26" w:rsidRPr="00AC3044" w:rsidRDefault="00124A26" w:rsidP="002D3EBF">
            <w:pPr>
              <w:ind w:firstLine="0"/>
              <w:rPr>
                <w:rFonts w:eastAsia="SimSun"/>
              </w:rPr>
            </w:pPr>
            <w:r w:rsidRPr="00AC3044">
              <w:rPr>
                <w:rFonts w:eastAsia="SimSun"/>
              </w:rPr>
              <w:t>4 мг/кг</w:t>
            </w:r>
          </w:p>
        </w:tc>
        <w:tc>
          <w:tcPr>
            <w:tcW w:w="1418" w:type="dxa"/>
            <w:vAlign w:val="center"/>
          </w:tcPr>
          <w:p w14:paraId="481827A1" w14:textId="77777777" w:rsidR="00124A26" w:rsidRPr="00AC3044" w:rsidRDefault="00124A26" w:rsidP="002D3EBF">
            <w:pPr>
              <w:ind w:firstLine="0"/>
              <w:rPr>
                <w:rFonts w:eastAsia="SimSun"/>
              </w:rPr>
            </w:pPr>
            <w:r w:rsidRPr="00AC3044">
              <w:rPr>
                <w:rFonts w:eastAsia="SimSun"/>
              </w:rPr>
              <w:t>8 мг/кг</w:t>
            </w:r>
          </w:p>
        </w:tc>
        <w:tc>
          <w:tcPr>
            <w:tcW w:w="1701" w:type="dxa"/>
            <w:vAlign w:val="center"/>
          </w:tcPr>
          <w:p w14:paraId="61B51597" w14:textId="77777777" w:rsidR="00124A26" w:rsidRPr="00AC3044" w:rsidRDefault="00124A26" w:rsidP="002D3EBF">
            <w:pPr>
              <w:ind w:firstLine="0"/>
              <w:rPr>
                <w:rFonts w:eastAsia="SimSun"/>
              </w:rPr>
            </w:pPr>
            <w:r w:rsidRPr="00AC3044">
              <w:rPr>
                <w:rFonts w:eastAsia="SimSun"/>
              </w:rPr>
              <w:t>С –5 по –4 день</w:t>
            </w:r>
          </w:p>
        </w:tc>
        <w:tc>
          <w:tcPr>
            <w:tcW w:w="2268" w:type="dxa"/>
            <w:vAlign w:val="center"/>
          </w:tcPr>
          <w:p w14:paraId="7B0A3458"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124A26" w:rsidRPr="00AC3044" w14:paraId="501E7302" w14:textId="77777777" w:rsidTr="002D3EBF">
        <w:trPr>
          <w:cantSplit/>
          <w:trHeight w:val="1337"/>
        </w:trPr>
        <w:tc>
          <w:tcPr>
            <w:tcW w:w="851" w:type="dxa"/>
            <w:vMerge w:val="restart"/>
            <w:textDirection w:val="btLr"/>
            <w:vAlign w:val="center"/>
          </w:tcPr>
          <w:p w14:paraId="4382CBBC" w14:textId="77777777" w:rsidR="00124A26" w:rsidRPr="00AC3044" w:rsidRDefault="00124A26" w:rsidP="002D3EBF">
            <w:pPr>
              <w:ind w:firstLine="0"/>
              <w:rPr>
                <w:rFonts w:eastAsia="SimSun"/>
              </w:rPr>
            </w:pPr>
            <w:r w:rsidRPr="00AC3044">
              <w:rPr>
                <w:rFonts w:eastAsia="SimSun"/>
              </w:rPr>
              <w:t>Профилактика РТПХ</w:t>
            </w:r>
          </w:p>
        </w:tc>
        <w:tc>
          <w:tcPr>
            <w:tcW w:w="1701" w:type="dxa"/>
            <w:vAlign w:val="center"/>
          </w:tcPr>
          <w:p w14:paraId="0BCEC8A9" w14:textId="77777777" w:rsidR="00124A26" w:rsidRPr="00AC3044" w:rsidRDefault="00124A26" w:rsidP="002D3EBF">
            <w:pPr>
              <w:ind w:firstLine="0"/>
              <w:rPr>
                <w:rFonts w:eastAsia="SimSun"/>
              </w:rPr>
            </w:pPr>
            <w:r w:rsidRPr="00AC3044">
              <w:rPr>
                <w:rFonts w:eastAsia="SimSun"/>
              </w:rPr>
              <w:t>Циклоспорин</w:t>
            </w:r>
          </w:p>
        </w:tc>
        <w:tc>
          <w:tcPr>
            <w:tcW w:w="1559" w:type="dxa"/>
            <w:vAlign w:val="center"/>
          </w:tcPr>
          <w:p w14:paraId="16F4BB50" w14:textId="77777777" w:rsidR="00124A26" w:rsidRPr="00AC3044" w:rsidRDefault="00124A26" w:rsidP="002D3EBF">
            <w:pPr>
              <w:ind w:firstLine="0"/>
              <w:rPr>
                <w:rFonts w:eastAsia="SimSun"/>
              </w:rPr>
            </w:pPr>
            <w:r w:rsidRPr="00AC3044">
              <w:rPr>
                <w:rFonts w:eastAsia="SimSun"/>
              </w:rPr>
              <w:t>3 мг/кг</w:t>
            </w:r>
          </w:p>
        </w:tc>
        <w:tc>
          <w:tcPr>
            <w:tcW w:w="1418" w:type="dxa"/>
            <w:vAlign w:val="center"/>
          </w:tcPr>
          <w:p w14:paraId="45C29D37"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561626D0" w14:textId="77777777" w:rsidR="00124A26" w:rsidRPr="00AC3044" w:rsidRDefault="00124A26" w:rsidP="002D3EBF">
            <w:pPr>
              <w:ind w:firstLine="0"/>
              <w:rPr>
                <w:rFonts w:eastAsia="SimSun"/>
              </w:rPr>
            </w:pPr>
            <w:r w:rsidRPr="00AC3044">
              <w:rPr>
                <w:rFonts w:eastAsia="SimSun"/>
              </w:rPr>
              <w:t>С +5 дня по +90 день затем постепенное снижение к +180 дню</w:t>
            </w:r>
          </w:p>
        </w:tc>
        <w:tc>
          <w:tcPr>
            <w:tcW w:w="2268" w:type="dxa"/>
            <w:vAlign w:val="center"/>
          </w:tcPr>
          <w:p w14:paraId="2ADBDF9E" w14:textId="77777777" w:rsidR="00124A26" w:rsidRPr="00AC3044" w:rsidRDefault="00124A26"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124A26" w:rsidRPr="00AC3044" w14:paraId="579EF13F" w14:textId="77777777" w:rsidTr="002D3EBF">
        <w:trPr>
          <w:cantSplit/>
          <w:trHeight w:val="308"/>
        </w:trPr>
        <w:tc>
          <w:tcPr>
            <w:tcW w:w="851" w:type="dxa"/>
            <w:vMerge/>
            <w:textDirection w:val="btLr"/>
          </w:tcPr>
          <w:p w14:paraId="3B2EFFEC" w14:textId="77777777" w:rsidR="00124A26" w:rsidRPr="00AC3044" w:rsidRDefault="00124A26" w:rsidP="002D3EBF">
            <w:pPr>
              <w:ind w:firstLine="0"/>
              <w:rPr>
                <w:rFonts w:eastAsia="SimSun"/>
              </w:rPr>
            </w:pPr>
          </w:p>
        </w:tc>
        <w:tc>
          <w:tcPr>
            <w:tcW w:w="1701" w:type="dxa"/>
            <w:vAlign w:val="center"/>
          </w:tcPr>
          <w:p w14:paraId="151CE5AA" w14:textId="77777777" w:rsidR="00124A26" w:rsidRPr="00AC3044" w:rsidRDefault="00124A26" w:rsidP="002D3EBF">
            <w:pPr>
              <w:ind w:firstLine="0"/>
              <w:rPr>
                <w:rFonts w:eastAsia="SimSun"/>
              </w:rPr>
            </w:pPr>
            <w:r w:rsidRPr="00AC3044">
              <w:rPr>
                <w:rFonts w:eastAsia="SimSun"/>
              </w:rPr>
              <w:t>Микофенолата мофетил</w:t>
            </w:r>
          </w:p>
        </w:tc>
        <w:tc>
          <w:tcPr>
            <w:tcW w:w="1559" w:type="dxa"/>
            <w:vAlign w:val="center"/>
          </w:tcPr>
          <w:p w14:paraId="10A377F0" w14:textId="77777777" w:rsidR="00124A26" w:rsidRPr="00AC3044" w:rsidRDefault="00124A26" w:rsidP="002D3EBF">
            <w:pPr>
              <w:ind w:firstLine="0"/>
              <w:rPr>
                <w:rFonts w:eastAsia="SimSun"/>
              </w:rPr>
            </w:pPr>
            <w:r w:rsidRPr="00AC3044">
              <w:rPr>
                <w:rFonts w:eastAsia="SimSun"/>
              </w:rPr>
              <w:t>30 мг/кг</w:t>
            </w:r>
          </w:p>
        </w:tc>
        <w:tc>
          <w:tcPr>
            <w:tcW w:w="1418" w:type="dxa"/>
            <w:vAlign w:val="center"/>
          </w:tcPr>
          <w:p w14:paraId="6A3CE91C"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3DC7B67B" w14:textId="77777777" w:rsidR="00124A26" w:rsidRPr="00AC3044" w:rsidRDefault="00124A26" w:rsidP="002D3EBF">
            <w:pPr>
              <w:ind w:firstLine="0"/>
              <w:rPr>
                <w:rFonts w:eastAsia="SimSun"/>
              </w:rPr>
            </w:pPr>
            <w:r w:rsidRPr="00AC3044">
              <w:rPr>
                <w:rFonts w:eastAsia="SimSun"/>
              </w:rPr>
              <w:t>С +5 по +90 день</w:t>
            </w:r>
          </w:p>
        </w:tc>
        <w:tc>
          <w:tcPr>
            <w:tcW w:w="2268" w:type="dxa"/>
            <w:vAlign w:val="center"/>
          </w:tcPr>
          <w:p w14:paraId="31B06852"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124A26" w:rsidRPr="00AC3044" w14:paraId="0854ADC8" w14:textId="77777777" w:rsidTr="002D3EBF">
        <w:trPr>
          <w:cantSplit/>
          <w:trHeight w:val="20"/>
        </w:trPr>
        <w:tc>
          <w:tcPr>
            <w:tcW w:w="851" w:type="dxa"/>
            <w:vMerge/>
            <w:textDirection w:val="btLr"/>
          </w:tcPr>
          <w:p w14:paraId="0799E777" w14:textId="77777777" w:rsidR="00124A26" w:rsidRPr="00AC3044" w:rsidRDefault="00124A26" w:rsidP="002D3EBF">
            <w:pPr>
              <w:ind w:firstLine="0"/>
              <w:rPr>
                <w:rFonts w:eastAsia="SimSun"/>
              </w:rPr>
            </w:pPr>
          </w:p>
        </w:tc>
        <w:tc>
          <w:tcPr>
            <w:tcW w:w="1701" w:type="dxa"/>
            <w:vAlign w:val="center"/>
          </w:tcPr>
          <w:p w14:paraId="36517116" w14:textId="77777777" w:rsidR="00124A26" w:rsidRPr="00AC3044" w:rsidRDefault="00124A26" w:rsidP="002D3EBF">
            <w:pPr>
              <w:ind w:firstLine="0"/>
              <w:rPr>
                <w:rFonts w:eastAsia="SimSun"/>
              </w:rPr>
            </w:pPr>
            <w:r w:rsidRPr="00AC3044">
              <w:rPr>
                <w:rFonts w:eastAsia="SimSun"/>
              </w:rPr>
              <w:t>Циклофосфамид</w:t>
            </w:r>
          </w:p>
        </w:tc>
        <w:tc>
          <w:tcPr>
            <w:tcW w:w="1559" w:type="dxa"/>
            <w:vAlign w:val="center"/>
          </w:tcPr>
          <w:p w14:paraId="6D6C1CF3" w14:textId="77777777" w:rsidR="00124A26" w:rsidRPr="00AC3044" w:rsidRDefault="00124A26" w:rsidP="002D3EBF">
            <w:pPr>
              <w:ind w:firstLine="0"/>
              <w:rPr>
                <w:rFonts w:eastAsia="SimSun"/>
              </w:rPr>
            </w:pPr>
            <w:r w:rsidRPr="00AC3044">
              <w:rPr>
                <w:rFonts w:eastAsia="SimSun"/>
              </w:rPr>
              <w:t>50 мг/кг</w:t>
            </w:r>
          </w:p>
        </w:tc>
        <w:tc>
          <w:tcPr>
            <w:tcW w:w="1418" w:type="dxa"/>
            <w:vAlign w:val="center"/>
          </w:tcPr>
          <w:p w14:paraId="679F8CD0" w14:textId="77777777" w:rsidR="00124A26" w:rsidRPr="00AC3044" w:rsidRDefault="00124A26" w:rsidP="002D3EBF">
            <w:pPr>
              <w:ind w:firstLine="0"/>
              <w:rPr>
                <w:rFonts w:eastAsia="SimSun"/>
              </w:rPr>
            </w:pPr>
            <w:r w:rsidRPr="00AC3044">
              <w:rPr>
                <w:rFonts w:eastAsia="SimSun"/>
              </w:rPr>
              <w:t>100 мг/кг</w:t>
            </w:r>
          </w:p>
        </w:tc>
        <w:tc>
          <w:tcPr>
            <w:tcW w:w="1701" w:type="dxa"/>
            <w:vAlign w:val="center"/>
          </w:tcPr>
          <w:p w14:paraId="6EE9EF30" w14:textId="77777777" w:rsidR="00124A26" w:rsidRPr="00AC3044" w:rsidRDefault="00124A26" w:rsidP="002D3EBF">
            <w:pPr>
              <w:ind w:firstLine="0"/>
              <w:rPr>
                <w:rFonts w:eastAsia="SimSun"/>
              </w:rPr>
            </w:pPr>
            <w:r w:rsidRPr="00AC3044">
              <w:rPr>
                <w:rFonts w:eastAsia="SimSun"/>
              </w:rPr>
              <w:t xml:space="preserve">+3,+4 дни </w:t>
            </w:r>
          </w:p>
        </w:tc>
        <w:tc>
          <w:tcPr>
            <w:tcW w:w="2268" w:type="dxa"/>
            <w:vAlign w:val="center"/>
          </w:tcPr>
          <w:p w14:paraId="1F89E64C" w14:textId="77777777" w:rsidR="00124A26" w:rsidRPr="00AC3044" w:rsidRDefault="00124A26" w:rsidP="002D3EBF">
            <w:pPr>
              <w:ind w:firstLine="0"/>
              <w:rPr>
                <w:rFonts w:eastAsia="SimSun"/>
              </w:rPr>
            </w:pPr>
            <w:r w:rsidRPr="00AC3044">
              <w:rPr>
                <w:rFonts w:eastAsia="SimSun"/>
              </w:rPr>
              <w:t>В/в, в течение 2 часов</w:t>
            </w:r>
          </w:p>
        </w:tc>
      </w:tr>
    </w:tbl>
    <w:p w14:paraId="339B7FAA" w14:textId="77777777" w:rsidR="00124A26" w:rsidRDefault="00124A26" w:rsidP="00124A26">
      <w:pPr>
        <w:rPr>
          <w:rFonts w:eastAsia="SimSun"/>
        </w:rPr>
      </w:pPr>
      <w:bookmarkStart w:id="246" w:name="_Toc44401208"/>
    </w:p>
    <w:p w14:paraId="6F7D6476" w14:textId="77777777" w:rsidR="00124A26" w:rsidRPr="00042499" w:rsidRDefault="00124A26" w:rsidP="00124A26">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2.2.8  – </w:t>
      </w:r>
      <w:r w:rsidRPr="007A1AC4">
        <w:rPr>
          <w:rFonts w:eastAsia="SimSun"/>
          <w:lang w:val="en-US"/>
        </w:rPr>
        <w:t>Flu</w:t>
      </w:r>
      <w:r w:rsidRPr="00042499">
        <w:rPr>
          <w:rFonts w:eastAsia="SimSun"/>
          <w:lang w:val="en-US"/>
        </w:rPr>
        <w:t>180+</w:t>
      </w:r>
      <w:r w:rsidRPr="007A1AC4">
        <w:rPr>
          <w:rFonts w:eastAsia="SimSun"/>
          <w:lang w:val="en-US"/>
        </w:rPr>
        <w:t>Bu</w:t>
      </w:r>
      <w:r w:rsidRPr="00042499">
        <w:rPr>
          <w:rFonts w:eastAsia="SimSun"/>
          <w:lang w:val="en-US"/>
        </w:rPr>
        <w:t>8+</w:t>
      </w:r>
      <w:r w:rsidRPr="007A1AC4">
        <w:rPr>
          <w:rFonts w:eastAsia="SimSun"/>
          <w:lang w:val="en-US"/>
        </w:rPr>
        <w:t>Thio</w:t>
      </w:r>
      <w:r w:rsidRPr="00042499">
        <w:rPr>
          <w:rFonts w:eastAsia="SimSun"/>
          <w:lang w:val="en-US"/>
        </w:rPr>
        <w:t xml:space="preserve"> / </w:t>
      </w:r>
      <w:r w:rsidRPr="007A1AC4">
        <w:rPr>
          <w:rFonts w:eastAsia="SimSun"/>
          <w:lang w:val="en-US"/>
        </w:rPr>
        <w:t>PT</w:t>
      </w:r>
      <w:r w:rsidRPr="00042499">
        <w:rPr>
          <w:rFonts w:eastAsia="SimSun"/>
          <w:lang w:val="en-US"/>
        </w:rPr>
        <w:t>-</w:t>
      </w:r>
      <w:r w:rsidRPr="007A1AC4">
        <w:rPr>
          <w:rFonts w:eastAsia="SimSun"/>
          <w:lang w:val="en-US"/>
        </w:rPr>
        <w:t>Cy</w:t>
      </w:r>
      <w:bookmarkEnd w:id="246"/>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124A26" w:rsidRPr="00AC3044" w14:paraId="0F82A792" w14:textId="77777777" w:rsidTr="002D3EBF">
        <w:trPr>
          <w:cantSplit/>
          <w:trHeight w:val="20"/>
          <w:tblHeader/>
        </w:trPr>
        <w:tc>
          <w:tcPr>
            <w:tcW w:w="851" w:type="dxa"/>
            <w:vAlign w:val="center"/>
          </w:tcPr>
          <w:p w14:paraId="3883FC8D" w14:textId="77777777" w:rsidR="00124A26" w:rsidRPr="00723FEA" w:rsidRDefault="00124A26" w:rsidP="002D3EBF">
            <w:pPr>
              <w:ind w:firstLine="0"/>
              <w:rPr>
                <w:rFonts w:eastAsia="SimSun"/>
                <w:lang w:val="en-US"/>
              </w:rPr>
            </w:pPr>
          </w:p>
        </w:tc>
        <w:tc>
          <w:tcPr>
            <w:tcW w:w="1701" w:type="dxa"/>
            <w:vAlign w:val="center"/>
          </w:tcPr>
          <w:p w14:paraId="3A7C8677" w14:textId="77777777" w:rsidR="00124A26" w:rsidRPr="00AC3044" w:rsidRDefault="00124A26" w:rsidP="002D3EBF">
            <w:pPr>
              <w:ind w:firstLine="0"/>
              <w:rPr>
                <w:rFonts w:eastAsia="SimSun"/>
              </w:rPr>
            </w:pPr>
            <w:r w:rsidRPr="00AC3044">
              <w:rPr>
                <w:rFonts w:eastAsia="SimSun"/>
              </w:rPr>
              <w:t>Препарат</w:t>
            </w:r>
          </w:p>
        </w:tc>
        <w:tc>
          <w:tcPr>
            <w:tcW w:w="1559" w:type="dxa"/>
            <w:vAlign w:val="center"/>
          </w:tcPr>
          <w:p w14:paraId="563F4385" w14:textId="77777777" w:rsidR="00124A26" w:rsidRPr="00AC3044" w:rsidRDefault="00124A26" w:rsidP="002D3EBF">
            <w:pPr>
              <w:ind w:firstLine="0"/>
              <w:rPr>
                <w:rFonts w:eastAsia="SimSun"/>
              </w:rPr>
            </w:pPr>
            <w:r w:rsidRPr="00AC3044">
              <w:rPr>
                <w:rFonts w:eastAsia="SimSun"/>
              </w:rPr>
              <w:t>Суточная доза</w:t>
            </w:r>
          </w:p>
        </w:tc>
        <w:tc>
          <w:tcPr>
            <w:tcW w:w="1418" w:type="dxa"/>
            <w:vAlign w:val="center"/>
          </w:tcPr>
          <w:p w14:paraId="540E194F" w14:textId="77777777" w:rsidR="00124A26" w:rsidRPr="00AC3044" w:rsidRDefault="00124A26" w:rsidP="002D3EBF">
            <w:pPr>
              <w:ind w:firstLine="0"/>
              <w:rPr>
                <w:rFonts w:eastAsia="SimSun"/>
              </w:rPr>
            </w:pPr>
            <w:r w:rsidRPr="00AC3044">
              <w:rPr>
                <w:rFonts w:eastAsia="SimSun"/>
              </w:rPr>
              <w:t>Курсовая доза</w:t>
            </w:r>
          </w:p>
        </w:tc>
        <w:tc>
          <w:tcPr>
            <w:tcW w:w="1701" w:type="dxa"/>
            <w:vAlign w:val="center"/>
          </w:tcPr>
          <w:p w14:paraId="3BEDDD4B" w14:textId="77777777" w:rsidR="00124A26" w:rsidRPr="00AC3044" w:rsidRDefault="00124A26" w:rsidP="002D3EBF">
            <w:pPr>
              <w:ind w:firstLine="0"/>
              <w:rPr>
                <w:rFonts w:eastAsia="SimSun"/>
              </w:rPr>
            </w:pPr>
            <w:r w:rsidRPr="00AC3044">
              <w:rPr>
                <w:rFonts w:eastAsia="SimSun"/>
              </w:rPr>
              <w:t>Дни введения</w:t>
            </w:r>
          </w:p>
        </w:tc>
        <w:tc>
          <w:tcPr>
            <w:tcW w:w="2268" w:type="dxa"/>
            <w:vAlign w:val="center"/>
          </w:tcPr>
          <w:p w14:paraId="2F4F47CF"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641BEBC3" w14:textId="77777777" w:rsidTr="002D3EBF">
        <w:trPr>
          <w:cantSplit/>
          <w:trHeight w:val="20"/>
        </w:trPr>
        <w:tc>
          <w:tcPr>
            <w:tcW w:w="851" w:type="dxa"/>
            <w:vMerge w:val="restart"/>
            <w:textDirection w:val="btLr"/>
            <w:vAlign w:val="center"/>
          </w:tcPr>
          <w:p w14:paraId="22633793" w14:textId="77777777" w:rsidR="00124A26" w:rsidRPr="00AC3044" w:rsidRDefault="00124A26" w:rsidP="002D3EBF">
            <w:pPr>
              <w:ind w:firstLine="0"/>
              <w:rPr>
                <w:rFonts w:eastAsia="SimSun"/>
              </w:rPr>
            </w:pPr>
            <w:r w:rsidRPr="00AC3044">
              <w:rPr>
                <w:rFonts w:eastAsia="SimSun"/>
              </w:rPr>
              <w:t>Кондиционирование</w:t>
            </w:r>
          </w:p>
        </w:tc>
        <w:tc>
          <w:tcPr>
            <w:tcW w:w="1701" w:type="dxa"/>
            <w:vAlign w:val="center"/>
          </w:tcPr>
          <w:p w14:paraId="5357CA55" w14:textId="77777777" w:rsidR="00124A26" w:rsidRPr="00AC3044" w:rsidRDefault="00124A26" w:rsidP="002D3EBF">
            <w:pPr>
              <w:ind w:firstLine="0"/>
              <w:rPr>
                <w:rFonts w:eastAsia="SimSun"/>
              </w:rPr>
            </w:pPr>
            <w:r w:rsidRPr="00AC3044">
              <w:rPr>
                <w:rFonts w:eastAsia="SimSun"/>
              </w:rPr>
              <w:t xml:space="preserve">Флударабин </w:t>
            </w:r>
          </w:p>
        </w:tc>
        <w:tc>
          <w:tcPr>
            <w:tcW w:w="1559" w:type="dxa"/>
            <w:vAlign w:val="center"/>
          </w:tcPr>
          <w:p w14:paraId="69FA071A" w14:textId="77777777" w:rsidR="00124A26" w:rsidRPr="00AC3044" w:rsidRDefault="00124A26" w:rsidP="002D3EB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37EF63B0" w14:textId="77777777" w:rsidR="00124A26" w:rsidRPr="00AC3044" w:rsidRDefault="00124A26" w:rsidP="002D3EBF">
            <w:pPr>
              <w:ind w:firstLine="0"/>
              <w:rPr>
                <w:rFonts w:eastAsia="SimSun"/>
              </w:rPr>
            </w:pPr>
            <w:r w:rsidRPr="00AC3044">
              <w:rPr>
                <w:rFonts w:eastAsia="SimSun"/>
              </w:rPr>
              <w:t>180 мг/м2</w:t>
            </w:r>
          </w:p>
        </w:tc>
        <w:tc>
          <w:tcPr>
            <w:tcW w:w="1701" w:type="dxa"/>
            <w:vAlign w:val="center"/>
          </w:tcPr>
          <w:p w14:paraId="75D01859" w14:textId="77777777" w:rsidR="00124A26" w:rsidRPr="00AC3044" w:rsidRDefault="00124A26" w:rsidP="002D3EBF">
            <w:pPr>
              <w:ind w:firstLine="0"/>
              <w:rPr>
                <w:rFonts w:eastAsia="SimSun"/>
              </w:rPr>
            </w:pPr>
            <w:r w:rsidRPr="00AC3044">
              <w:rPr>
                <w:rFonts w:eastAsia="SimSun"/>
              </w:rPr>
              <w:t>С -7 дня по -2 день</w:t>
            </w:r>
          </w:p>
        </w:tc>
        <w:tc>
          <w:tcPr>
            <w:tcW w:w="2268" w:type="dxa"/>
            <w:vAlign w:val="center"/>
          </w:tcPr>
          <w:p w14:paraId="4B42FE20"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24A2EAF0" w14:textId="77777777" w:rsidTr="002D3EBF">
        <w:trPr>
          <w:cantSplit/>
          <w:trHeight w:val="687"/>
        </w:trPr>
        <w:tc>
          <w:tcPr>
            <w:tcW w:w="851" w:type="dxa"/>
            <w:vMerge/>
            <w:vAlign w:val="center"/>
          </w:tcPr>
          <w:p w14:paraId="1E308563" w14:textId="77777777" w:rsidR="00124A26" w:rsidRPr="00AC3044" w:rsidRDefault="00124A26" w:rsidP="002D3EBF">
            <w:pPr>
              <w:ind w:firstLine="0"/>
              <w:rPr>
                <w:rFonts w:eastAsia="SimSun"/>
              </w:rPr>
            </w:pPr>
          </w:p>
        </w:tc>
        <w:tc>
          <w:tcPr>
            <w:tcW w:w="1701" w:type="dxa"/>
            <w:vAlign w:val="center"/>
          </w:tcPr>
          <w:p w14:paraId="4679EFDF" w14:textId="77777777" w:rsidR="00124A26" w:rsidRPr="00AC3044" w:rsidRDefault="00124A26" w:rsidP="002D3EBF">
            <w:pPr>
              <w:ind w:firstLine="0"/>
              <w:rPr>
                <w:rFonts w:eastAsia="SimSun"/>
              </w:rPr>
            </w:pPr>
            <w:r w:rsidRPr="00AC3044">
              <w:rPr>
                <w:rFonts w:eastAsia="SimSun"/>
              </w:rPr>
              <w:t>Бусульфан</w:t>
            </w:r>
          </w:p>
        </w:tc>
        <w:tc>
          <w:tcPr>
            <w:tcW w:w="1559" w:type="dxa"/>
            <w:vAlign w:val="center"/>
          </w:tcPr>
          <w:p w14:paraId="4EF40DBC" w14:textId="77777777" w:rsidR="00124A26" w:rsidRPr="00AC3044" w:rsidRDefault="00124A26" w:rsidP="002D3EBF">
            <w:pPr>
              <w:ind w:firstLine="0"/>
              <w:rPr>
                <w:rFonts w:eastAsia="SimSun"/>
              </w:rPr>
            </w:pPr>
            <w:r w:rsidRPr="00AC3044">
              <w:rPr>
                <w:rFonts w:eastAsia="SimSun"/>
              </w:rPr>
              <w:t xml:space="preserve">4 мг/кг </w:t>
            </w:r>
          </w:p>
        </w:tc>
        <w:tc>
          <w:tcPr>
            <w:tcW w:w="1418" w:type="dxa"/>
            <w:vAlign w:val="center"/>
          </w:tcPr>
          <w:p w14:paraId="03BFC955" w14:textId="77777777" w:rsidR="00124A26" w:rsidRPr="00AC3044" w:rsidRDefault="00124A26" w:rsidP="002D3EBF">
            <w:pPr>
              <w:ind w:firstLine="0"/>
              <w:rPr>
                <w:rFonts w:eastAsia="SimSun"/>
              </w:rPr>
            </w:pPr>
            <w:r w:rsidRPr="00AC3044">
              <w:rPr>
                <w:rFonts w:eastAsia="SimSun"/>
              </w:rPr>
              <w:t xml:space="preserve">8 мг/кг </w:t>
            </w:r>
          </w:p>
        </w:tc>
        <w:tc>
          <w:tcPr>
            <w:tcW w:w="1701" w:type="dxa"/>
            <w:vAlign w:val="center"/>
          </w:tcPr>
          <w:p w14:paraId="6F9B61CC" w14:textId="77777777" w:rsidR="00124A26" w:rsidRPr="00AC3044" w:rsidRDefault="00124A26" w:rsidP="002D3EBF">
            <w:pPr>
              <w:ind w:firstLine="0"/>
              <w:rPr>
                <w:rFonts w:eastAsia="SimSun"/>
              </w:rPr>
            </w:pPr>
            <w:r w:rsidRPr="00AC3044">
              <w:rPr>
                <w:rFonts w:eastAsia="SimSun"/>
              </w:rPr>
              <w:t>С -4 дня по -3 день</w:t>
            </w:r>
          </w:p>
        </w:tc>
        <w:tc>
          <w:tcPr>
            <w:tcW w:w="2268" w:type="dxa"/>
            <w:vAlign w:val="center"/>
          </w:tcPr>
          <w:p w14:paraId="3703B77C"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124A26" w:rsidRPr="00AC3044" w14:paraId="771C48D7" w14:textId="77777777" w:rsidTr="002D3EBF">
        <w:trPr>
          <w:cantSplit/>
          <w:trHeight w:val="555"/>
        </w:trPr>
        <w:tc>
          <w:tcPr>
            <w:tcW w:w="851" w:type="dxa"/>
            <w:vMerge/>
            <w:vAlign w:val="center"/>
          </w:tcPr>
          <w:p w14:paraId="191BB954" w14:textId="77777777" w:rsidR="00124A26" w:rsidRPr="00AC3044" w:rsidRDefault="00124A26" w:rsidP="002D3EBF">
            <w:pPr>
              <w:ind w:firstLine="0"/>
              <w:rPr>
                <w:rFonts w:eastAsia="SimSun"/>
              </w:rPr>
            </w:pPr>
          </w:p>
        </w:tc>
        <w:tc>
          <w:tcPr>
            <w:tcW w:w="1701" w:type="dxa"/>
            <w:vAlign w:val="center"/>
          </w:tcPr>
          <w:p w14:paraId="57A19193" w14:textId="77777777" w:rsidR="00124A26" w:rsidRPr="00AC3044" w:rsidRDefault="00124A26" w:rsidP="002D3EBF">
            <w:pPr>
              <w:ind w:firstLine="0"/>
              <w:rPr>
                <w:rFonts w:eastAsia="SimSun"/>
              </w:rPr>
            </w:pPr>
            <w:r w:rsidRPr="00AC3044">
              <w:rPr>
                <w:rFonts w:eastAsia="SimSun"/>
              </w:rPr>
              <w:t>Тиотепа</w:t>
            </w:r>
          </w:p>
        </w:tc>
        <w:tc>
          <w:tcPr>
            <w:tcW w:w="1559" w:type="dxa"/>
            <w:vAlign w:val="center"/>
          </w:tcPr>
          <w:p w14:paraId="6C5A87DF" w14:textId="77777777" w:rsidR="00124A26" w:rsidRPr="00AC3044" w:rsidRDefault="00124A26" w:rsidP="002D3EBF">
            <w:pPr>
              <w:ind w:firstLine="0"/>
              <w:rPr>
                <w:rFonts w:eastAsia="SimSun"/>
              </w:rPr>
            </w:pPr>
            <w:r w:rsidRPr="00AC3044">
              <w:rPr>
                <w:rFonts w:eastAsia="SimSun"/>
              </w:rPr>
              <w:t>5 мг/кг</w:t>
            </w:r>
          </w:p>
        </w:tc>
        <w:tc>
          <w:tcPr>
            <w:tcW w:w="1418" w:type="dxa"/>
            <w:vAlign w:val="center"/>
          </w:tcPr>
          <w:p w14:paraId="681B5D30" w14:textId="77777777" w:rsidR="00124A26" w:rsidRPr="00AC3044" w:rsidRDefault="00124A26" w:rsidP="002D3EBF">
            <w:pPr>
              <w:ind w:firstLine="0"/>
              <w:rPr>
                <w:rFonts w:eastAsia="SimSun"/>
              </w:rPr>
            </w:pPr>
            <w:r w:rsidRPr="00AC3044">
              <w:rPr>
                <w:rFonts w:eastAsia="SimSun"/>
              </w:rPr>
              <w:t>10 мг/кг</w:t>
            </w:r>
          </w:p>
        </w:tc>
        <w:tc>
          <w:tcPr>
            <w:tcW w:w="1701" w:type="dxa"/>
            <w:vAlign w:val="center"/>
          </w:tcPr>
          <w:p w14:paraId="7CD2D8EB" w14:textId="77777777" w:rsidR="00124A26" w:rsidRPr="00AC3044" w:rsidRDefault="00124A26" w:rsidP="002D3EBF">
            <w:pPr>
              <w:ind w:firstLine="0"/>
              <w:rPr>
                <w:rFonts w:eastAsia="SimSun"/>
              </w:rPr>
            </w:pPr>
            <w:r w:rsidRPr="00AC3044">
              <w:rPr>
                <w:rFonts w:eastAsia="SimSun"/>
              </w:rPr>
              <w:t>-6,-5 дни</w:t>
            </w:r>
          </w:p>
        </w:tc>
        <w:tc>
          <w:tcPr>
            <w:tcW w:w="2268" w:type="dxa"/>
            <w:vAlign w:val="center"/>
          </w:tcPr>
          <w:p w14:paraId="3FD8B172" w14:textId="77777777" w:rsidR="00124A26" w:rsidRPr="00AC3044" w:rsidRDefault="00124A26" w:rsidP="002D3EBF">
            <w:pPr>
              <w:ind w:firstLine="0"/>
              <w:rPr>
                <w:rFonts w:eastAsia="SimSun"/>
              </w:rPr>
            </w:pPr>
            <w:r w:rsidRPr="00AC3044">
              <w:rPr>
                <w:rFonts w:eastAsia="SimSun"/>
              </w:rPr>
              <w:t>В/в, в течение 2 часов</w:t>
            </w:r>
          </w:p>
        </w:tc>
      </w:tr>
      <w:tr w:rsidR="00124A26" w:rsidRPr="00AC3044" w14:paraId="326F2EA2" w14:textId="77777777" w:rsidTr="002D3EBF">
        <w:trPr>
          <w:cantSplit/>
          <w:trHeight w:val="1498"/>
        </w:trPr>
        <w:tc>
          <w:tcPr>
            <w:tcW w:w="851" w:type="dxa"/>
            <w:textDirection w:val="btLr"/>
            <w:vAlign w:val="center"/>
          </w:tcPr>
          <w:p w14:paraId="13234590" w14:textId="77777777" w:rsidR="00124A26" w:rsidRPr="00AC3044" w:rsidRDefault="00124A26" w:rsidP="002D3EBF">
            <w:pPr>
              <w:ind w:firstLine="0"/>
              <w:rPr>
                <w:rFonts w:eastAsia="SimSun"/>
              </w:rPr>
            </w:pPr>
            <w:r w:rsidRPr="00AC3044">
              <w:rPr>
                <w:rFonts w:eastAsia="SimSun"/>
              </w:rPr>
              <w:t>Профилактика РТПХ</w:t>
            </w:r>
          </w:p>
        </w:tc>
        <w:tc>
          <w:tcPr>
            <w:tcW w:w="1701" w:type="dxa"/>
            <w:vAlign w:val="center"/>
          </w:tcPr>
          <w:p w14:paraId="4B3056B1" w14:textId="77777777" w:rsidR="00124A26" w:rsidRPr="00AC3044" w:rsidRDefault="00124A26" w:rsidP="002D3EBF">
            <w:pPr>
              <w:ind w:firstLine="0"/>
              <w:rPr>
                <w:rFonts w:eastAsia="SimSun"/>
              </w:rPr>
            </w:pPr>
            <w:r w:rsidRPr="00AC3044">
              <w:rPr>
                <w:rFonts w:eastAsia="SimSun"/>
              </w:rPr>
              <w:t>Циклофосфамид</w:t>
            </w:r>
          </w:p>
        </w:tc>
        <w:tc>
          <w:tcPr>
            <w:tcW w:w="1559" w:type="dxa"/>
            <w:vAlign w:val="center"/>
          </w:tcPr>
          <w:p w14:paraId="187A92AE" w14:textId="77777777" w:rsidR="00124A26" w:rsidRPr="00AC3044" w:rsidRDefault="00124A26" w:rsidP="002D3EBF">
            <w:pPr>
              <w:ind w:firstLine="0"/>
              <w:rPr>
                <w:rFonts w:eastAsia="SimSun"/>
              </w:rPr>
            </w:pPr>
            <w:r w:rsidRPr="00AC3044">
              <w:rPr>
                <w:rFonts w:eastAsia="SimSun"/>
              </w:rPr>
              <w:t>50 мг/кг</w:t>
            </w:r>
          </w:p>
        </w:tc>
        <w:tc>
          <w:tcPr>
            <w:tcW w:w="1418" w:type="dxa"/>
            <w:vAlign w:val="center"/>
          </w:tcPr>
          <w:p w14:paraId="3159D08A" w14:textId="77777777" w:rsidR="00124A26" w:rsidRPr="00AC3044" w:rsidRDefault="00124A26" w:rsidP="002D3EBF">
            <w:pPr>
              <w:ind w:firstLine="0"/>
              <w:rPr>
                <w:rFonts w:eastAsia="SimSun"/>
              </w:rPr>
            </w:pPr>
            <w:r w:rsidRPr="00AC3044">
              <w:rPr>
                <w:rFonts w:eastAsia="SimSun"/>
              </w:rPr>
              <w:t>100 мг/кг</w:t>
            </w:r>
          </w:p>
        </w:tc>
        <w:tc>
          <w:tcPr>
            <w:tcW w:w="1701" w:type="dxa"/>
            <w:vAlign w:val="center"/>
          </w:tcPr>
          <w:p w14:paraId="5DA201DE" w14:textId="77777777" w:rsidR="00124A26" w:rsidRPr="00AC3044" w:rsidRDefault="00124A26" w:rsidP="002D3EBF">
            <w:pPr>
              <w:ind w:firstLine="0"/>
              <w:rPr>
                <w:rFonts w:eastAsia="SimSun"/>
              </w:rPr>
            </w:pPr>
            <w:r w:rsidRPr="00AC3044">
              <w:rPr>
                <w:rFonts w:eastAsia="SimSun"/>
              </w:rPr>
              <w:t>С +3 дня по +4 день</w:t>
            </w:r>
          </w:p>
        </w:tc>
        <w:tc>
          <w:tcPr>
            <w:tcW w:w="2268" w:type="dxa"/>
            <w:vAlign w:val="center"/>
          </w:tcPr>
          <w:p w14:paraId="2B2E8348" w14:textId="77777777" w:rsidR="00124A26" w:rsidRPr="00AC3044" w:rsidRDefault="00124A26" w:rsidP="002D3EBF">
            <w:pPr>
              <w:ind w:firstLine="0"/>
              <w:rPr>
                <w:rFonts w:eastAsia="SimSun"/>
              </w:rPr>
            </w:pPr>
            <w:r w:rsidRPr="00AC3044">
              <w:rPr>
                <w:rFonts w:eastAsia="SimSun"/>
              </w:rPr>
              <w:t>В/в, в течение 2 часов</w:t>
            </w:r>
          </w:p>
        </w:tc>
      </w:tr>
    </w:tbl>
    <w:p w14:paraId="6E5CCFA5" w14:textId="77777777" w:rsidR="00124A26" w:rsidRDefault="00124A26" w:rsidP="00124A26">
      <w:pPr>
        <w:rPr>
          <w:rFonts w:eastAsia="SimSun"/>
        </w:rPr>
      </w:pPr>
      <w:bookmarkStart w:id="247" w:name="_Toc44401209"/>
    </w:p>
    <w:p w14:paraId="7996E220" w14:textId="77777777" w:rsidR="00124A26" w:rsidRPr="00C07B2E" w:rsidRDefault="00124A26" w:rsidP="00124A26">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2.2.9 – Flu180+Bu8 / PT-Cy+Tx+MMF30</w:t>
      </w:r>
      <w:bookmarkEnd w:id="247"/>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124A26" w:rsidRPr="00AC3044" w14:paraId="02AF4D6B" w14:textId="77777777" w:rsidTr="002D3EBF">
        <w:trPr>
          <w:cantSplit/>
          <w:trHeight w:val="20"/>
          <w:tblHeader/>
        </w:trPr>
        <w:tc>
          <w:tcPr>
            <w:tcW w:w="817" w:type="dxa"/>
            <w:vAlign w:val="center"/>
          </w:tcPr>
          <w:p w14:paraId="2C6DE920" w14:textId="77777777" w:rsidR="00124A26" w:rsidRPr="00470D3D" w:rsidRDefault="00124A26" w:rsidP="002D3EBF">
            <w:pPr>
              <w:ind w:firstLine="0"/>
              <w:rPr>
                <w:rFonts w:eastAsia="SimSun"/>
              </w:rPr>
            </w:pPr>
          </w:p>
        </w:tc>
        <w:tc>
          <w:tcPr>
            <w:tcW w:w="1701" w:type="dxa"/>
            <w:vAlign w:val="center"/>
          </w:tcPr>
          <w:p w14:paraId="0F954213" w14:textId="77777777" w:rsidR="00124A26" w:rsidRPr="00AC3044" w:rsidRDefault="00124A26" w:rsidP="002D3EBF">
            <w:pPr>
              <w:ind w:firstLine="0"/>
              <w:rPr>
                <w:rFonts w:eastAsia="SimSun"/>
              </w:rPr>
            </w:pPr>
            <w:r w:rsidRPr="00AC3044">
              <w:rPr>
                <w:rFonts w:eastAsia="SimSun"/>
              </w:rPr>
              <w:t>Препарат</w:t>
            </w:r>
          </w:p>
        </w:tc>
        <w:tc>
          <w:tcPr>
            <w:tcW w:w="1559" w:type="dxa"/>
            <w:vAlign w:val="center"/>
          </w:tcPr>
          <w:p w14:paraId="6C149762" w14:textId="77777777" w:rsidR="00124A26" w:rsidRPr="00AC3044" w:rsidRDefault="00124A26" w:rsidP="002D3EBF">
            <w:pPr>
              <w:ind w:firstLine="0"/>
              <w:rPr>
                <w:rFonts w:eastAsia="SimSun"/>
              </w:rPr>
            </w:pPr>
            <w:r w:rsidRPr="00AC3044">
              <w:rPr>
                <w:rFonts w:eastAsia="SimSun"/>
              </w:rPr>
              <w:t>Суточная доза</w:t>
            </w:r>
          </w:p>
        </w:tc>
        <w:tc>
          <w:tcPr>
            <w:tcW w:w="1418" w:type="dxa"/>
            <w:vAlign w:val="center"/>
          </w:tcPr>
          <w:p w14:paraId="6D008B8D" w14:textId="77777777" w:rsidR="00124A26" w:rsidRPr="00AC3044" w:rsidRDefault="00124A26" w:rsidP="002D3EBF">
            <w:pPr>
              <w:ind w:firstLine="0"/>
              <w:rPr>
                <w:rFonts w:eastAsia="SimSun"/>
              </w:rPr>
            </w:pPr>
            <w:r w:rsidRPr="00AC3044">
              <w:rPr>
                <w:rFonts w:eastAsia="SimSun"/>
              </w:rPr>
              <w:t>Курсовая доза</w:t>
            </w:r>
          </w:p>
        </w:tc>
        <w:tc>
          <w:tcPr>
            <w:tcW w:w="1701" w:type="dxa"/>
            <w:vAlign w:val="center"/>
          </w:tcPr>
          <w:p w14:paraId="48F6914A" w14:textId="77777777" w:rsidR="00124A26" w:rsidRPr="00AC3044" w:rsidRDefault="00124A26" w:rsidP="002D3EBF">
            <w:pPr>
              <w:ind w:firstLine="0"/>
              <w:rPr>
                <w:rFonts w:eastAsia="SimSun"/>
              </w:rPr>
            </w:pPr>
            <w:r w:rsidRPr="00AC3044">
              <w:rPr>
                <w:rFonts w:eastAsia="SimSun"/>
              </w:rPr>
              <w:t>Дни введения</w:t>
            </w:r>
          </w:p>
        </w:tc>
        <w:tc>
          <w:tcPr>
            <w:tcW w:w="2268" w:type="dxa"/>
            <w:vAlign w:val="center"/>
          </w:tcPr>
          <w:p w14:paraId="3630A178"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790A35F1" w14:textId="77777777" w:rsidTr="002D3EBF">
        <w:trPr>
          <w:cantSplit/>
          <w:trHeight w:val="20"/>
        </w:trPr>
        <w:tc>
          <w:tcPr>
            <w:tcW w:w="817" w:type="dxa"/>
            <w:vMerge w:val="restart"/>
            <w:textDirection w:val="btLr"/>
            <w:vAlign w:val="center"/>
          </w:tcPr>
          <w:p w14:paraId="1A39A6AA" w14:textId="77777777" w:rsidR="00124A26" w:rsidRPr="00AC3044" w:rsidRDefault="00124A26" w:rsidP="002D3EBF">
            <w:pPr>
              <w:ind w:firstLine="0"/>
              <w:rPr>
                <w:rFonts w:eastAsia="SimSun"/>
              </w:rPr>
            </w:pPr>
            <w:r w:rsidRPr="00AC3044">
              <w:rPr>
                <w:rFonts w:eastAsia="SimSun"/>
              </w:rPr>
              <w:t>Кондиционирование</w:t>
            </w:r>
          </w:p>
        </w:tc>
        <w:tc>
          <w:tcPr>
            <w:tcW w:w="1701" w:type="dxa"/>
            <w:vAlign w:val="center"/>
          </w:tcPr>
          <w:p w14:paraId="30BB825B" w14:textId="77777777" w:rsidR="00124A26" w:rsidRPr="00AC3044" w:rsidRDefault="00124A26" w:rsidP="002D3EBF">
            <w:pPr>
              <w:ind w:firstLine="0"/>
              <w:rPr>
                <w:rFonts w:eastAsia="SimSun"/>
              </w:rPr>
            </w:pPr>
            <w:r w:rsidRPr="00AC3044">
              <w:rPr>
                <w:rFonts w:eastAsia="SimSun"/>
              </w:rPr>
              <w:t xml:space="preserve">Флударабин </w:t>
            </w:r>
          </w:p>
        </w:tc>
        <w:tc>
          <w:tcPr>
            <w:tcW w:w="1559" w:type="dxa"/>
            <w:vAlign w:val="center"/>
          </w:tcPr>
          <w:p w14:paraId="2484A930" w14:textId="77777777" w:rsidR="00124A26" w:rsidRPr="00AC3044" w:rsidRDefault="00124A26" w:rsidP="002D3EB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105B5EE5" w14:textId="77777777" w:rsidR="00124A26" w:rsidRPr="00AC3044" w:rsidRDefault="00124A26" w:rsidP="002D3EBF">
            <w:pPr>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14:paraId="1C544379" w14:textId="77777777" w:rsidR="00124A26" w:rsidRPr="00AC3044" w:rsidRDefault="00124A26" w:rsidP="002D3EBF">
            <w:pPr>
              <w:ind w:firstLine="0"/>
              <w:rPr>
                <w:rFonts w:eastAsia="SimSun"/>
              </w:rPr>
            </w:pPr>
            <w:r w:rsidRPr="00AC3044">
              <w:rPr>
                <w:rFonts w:eastAsia="SimSun"/>
              </w:rPr>
              <w:t>С -7 дня по -2 день</w:t>
            </w:r>
          </w:p>
        </w:tc>
        <w:tc>
          <w:tcPr>
            <w:tcW w:w="2268" w:type="dxa"/>
            <w:vAlign w:val="center"/>
          </w:tcPr>
          <w:p w14:paraId="67AD28FC"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7903C054" w14:textId="77777777" w:rsidTr="002D3EBF">
        <w:trPr>
          <w:cantSplit/>
          <w:trHeight w:val="889"/>
        </w:trPr>
        <w:tc>
          <w:tcPr>
            <w:tcW w:w="817" w:type="dxa"/>
            <w:vMerge/>
            <w:vAlign w:val="center"/>
          </w:tcPr>
          <w:p w14:paraId="17C45C0F" w14:textId="77777777" w:rsidR="00124A26" w:rsidRPr="00AC3044" w:rsidRDefault="00124A26" w:rsidP="002D3EBF">
            <w:pPr>
              <w:ind w:firstLine="0"/>
              <w:rPr>
                <w:rFonts w:eastAsia="SimSun"/>
              </w:rPr>
            </w:pPr>
          </w:p>
        </w:tc>
        <w:tc>
          <w:tcPr>
            <w:tcW w:w="1701" w:type="dxa"/>
            <w:vAlign w:val="center"/>
          </w:tcPr>
          <w:p w14:paraId="630C6884" w14:textId="77777777" w:rsidR="00124A26" w:rsidRPr="00AC3044" w:rsidRDefault="00124A26" w:rsidP="002D3EBF">
            <w:pPr>
              <w:ind w:firstLine="0"/>
              <w:rPr>
                <w:rFonts w:eastAsia="SimSun"/>
              </w:rPr>
            </w:pPr>
            <w:r w:rsidRPr="00AC3044">
              <w:rPr>
                <w:rFonts w:eastAsia="SimSun"/>
              </w:rPr>
              <w:t>Бусульфан</w:t>
            </w:r>
          </w:p>
        </w:tc>
        <w:tc>
          <w:tcPr>
            <w:tcW w:w="1559" w:type="dxa"/>
            <w:vAlign w:val="center"/>
          </w:tcPr>
          <w:p w14:paraId="6E126B37" w14:textId="77777777" w:rsidR="00124A26" w:rsidRPr="00AC3044" w:rsidRDefault="00124A26" w:rsidP="002D3EBF">
            <w:pPr>
              <w:ind w:firstLine="0"/>
              <w:rPr>
                <w:rFonts w:eastAsia="SimSun"/>
              </w:rPr>
            </w:pPr>
            <w:r w:rsidRPr="00AC3044">
              <w:rPr>
                <w:rFonts w:eastAsia="SimSun"/>
              </w:rPr>
              <w:t xml:space="preserve">4 мг/кг </w:t>
            </w:r>
          </w:p>
        </w:tc>
        <w:tc>
          <w:tcPr>
            <w:tcW w:w="1418" w:type="dxa"/>
            <w:vAlign w:val="center"/>
          </w:tcPr>
          <w:p w14:paraId="53A7FFF6" w14:textId="77777777" w:rsidR="00124A26" w:rsidRPr="00AC3044" w:rsidRDefault="00124A26" w:rsidP="002D3EBF">
            <w:pPr>
              <w:ind w:firstLine="0"/>
              <w:rPr>
                <w:rFonts w:eastAsia="SimSun"/>
              </w:rPr>
            </w:pPr>
            <w:r w:rsidRPr="00AC3044">
              <w:rPr>
                <w:rFonts w:eastAsia="SimSun"/>
              </w:rPr>
              <w:t xml:space="preserve">8 мг/кг </w:t>
            </w:r>
          </w:p>
        </w:tc>
        <w:tc>
          <w:tcPr>
            <w:tcW w:w="1701" w:type="dxa"/>
            <w:vAlign w:val="center"/>
          </w:tcPr>
          <w:p w14:paraId="6F135841" w14:textId="77777777" w:rsidR="00124A26" w:rsidRPr="00AC3044" w:rsidRDefault="00124A26" w:rsidP="002D3EBF">
            <w:pPr>
              <w:ind w:firstLine="0"/>
              <w:rPr>
                <w:rFonts w:eastAsia="SimSun"/>
              </w:rPr>
            </w:pPr>
            <w:r w:rsidRPr="00AC3044">
              <w:rPr>
                <w:rFonts w:eastAsia="SimSun"/>
              </w:rPr>
              <w:t>С -4 дня по -3 день</w:t>
            </w:r>
          </w:p>
        </w:tc>
        <w:tc>
          <w:tcPr>
            <w:tcW w:w="2268" w:type="dxa"/>
            <w:vAlign w:val="center"/>
          </w:tcPr>
          <w:p w14:paraId="542DB84A"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124A26" w:rsidRPr="00AC3044" w14:paraId="29A19A15" w14:textId="77777777" w:rsidTr="002D3EBF">
        <w:trPr>
          <w:cantSplit/>
          <w:trHeight w:val="548"/>
        </w:trPr>
        <w:tc>
          <w:tcPr>
            <w:tcW w:w="817" w:type="dxa"/>
            <w:vMerge w:val="restart"/>
            <w:textDirection w:val="btLr"/>
            <w:vAlign w:val="center"/>
          </w:tcPr>
          <w:p w14:paraId="1FF6415E" w14:textId="77777777" w:rsidR="00124A26" w:rsidRPr="00AC3044" w:rsidRDefault="00124A26" w:rsidP="002D3EBF">
            <w:pPr>
              <w:ind w:firstLine="0"/>
              <w:rPr>
                <w:rFonts w:eastAsia="SimSun"/>
              </w:rPr>
            </w:pPr>
            <w:r w:rsidRPr="00AC3044">
              <w:rPr>
                <w:rFonts w:eastAsia="SimSun"/>
              </w:rPr>
              <w:t>Профилактика РТПХ</w:t>
            </w:r>
          </w:p>
        </w:tc>
        <w:tc>
          <w:tcPr>
            <w:tcW w:w="1701" w:type="dxa"/>
            <w:vAlign w:val="center"/>
          </w:tcPr>
          <w:p w14:paraId="45366786" w14:textId="77777777" w:rsidR="00124A26" w:rsidRPr="00AC3044" w:rsidRDefault="00124A26" w:rsidP="002D3EBF">
            <w:pPr>
              <w:ind w:firstLine="0"/>
              <w:rPr>
                <w:rFonts w:eastAsia="SimSun"/>
              </w:rPr>
            </w:pPr>
            <w:r w:rsidRPr="00AC3044">
              <w:rPr>
                <w:rFonts w:eastAsia="SimSun"/>
              </w:rPr>
              <w:t>Циклофосфамид</w:t>
            </w:r>
          </w:p>
        </w:tc>
        <w:tc>
          <w:tcPr>
            <w:tcW w:w="1559" w:type="dxa"/>
            <w:vAlign w:val="center"/>
          </w:tcPr>
          <w:p w14:paraId="532E583E" w14:textId="77777777" w:rsidR="00124A26" w:rsidRPr="00AC3044" w:rsidRDefault="00124A26" w:rsidP="002D3EBF">
            <w:pPr>
              <w:ind w:firstLine="0"/>
              <w:rPr>
                <w:rFonts w:eastAsia="SimSun"/>
              </w:rPr>
            </w:pPr>
            <w:r w:rsidRPr="00AC3044">
              <w:rPr>
                <w:rFonts w:eastAsia="SimSun"/>
              </w:rPr>
              <w:t>50 мг/кг</w:t>
            </w:r>
          </w:p>
        </w:tc>
        <w:tc>
          <w:tcPr>
            <w:tcW w:w="1418" w:type="dxa"/>
            <w:vAlign w:val="center"/>
          </w:tcPr>
          <w:p w14:paraId="33FC3730" w14:textId="77777777" w:rsidR="00124A26" w:rsidRPr="00AC3044" w:rsidRDefault="00124A26" w:rsidP="002D3EBF">
            <w:pPr>
              <w:ind w:firstLine="0"/>
              <w:rPr>
                <w:rFonts w:eastAsia="SimSun"/>
              </w:rPr>
            </w:pPr>
            <w:r w:rsidRPr="00AC3044">
              <w:rPr>
                <w:rFonts w:eastAsia="SimSun"/>
              </w:rPr>
              <w:t>100 мг/кг</w:t>
            </w:r>
          </w:p>
        </w:tc>
        <w:tc>
          <w:tcPr>
            <w:tcW w:w="1701" w:type="dxa"/>
            <w:vAlign w:val="center"/>
          </w:tcPr>
          <w:p w14:paraId="6DDDFF28" w14:textId="77777777" w:rsidR="00124A26" w:rsidRPr="00AC3044" w:rsidRDefault="00124A26" w:rsidP="002D3EBF">
            <w:pPr>
              <w:ind w:firstLine="0"/>
              <w:rPr>
                <w:rFonts w:eastAsia="SimSun"/>
              </w:rPr>
            </w:pPr>
            <w:r w:rsidRPr="00AC3044">
              <w:rPr>
                <w:rFonts w:eastAsia="SimSun"/>
              </w:rPr>
              <w:t>С +3 дня по +4 день</w:t>
            </w:r>
          </w:p>
        </w:tc>
        <w:tc>
          <w:tcPr>
            <w:tcW w:w="2268" w:type="dxa"/>
            <w:vAlign w:val="center"/>
          </w:tcPr>
          <w:p w14:paraId="78928FBF" w14:textId="77777777" w:rsidR="00124A26" w:rsidRPr="00AC3044" w:rsidRDefault="00124A26" w:rsidP="002D3EBF">
            <w:pPr>
              <w:ind w:firstLine="0"/>
              <w:rPr>
                <w:rFonts w:eastAsia="SimSun"/>
              </w:rPr>
            </w:pPr>
            <w:r w:rsidRPr="00AC3044">
              <w:rPr>
                <w:rFonts w:eastAsia="SimSun"/>
              </w:rPr>
              <w:t>В/в, в течение 2 часов</w:t>
            </w:r>
          </w:p>
        </w:tc>
      </w:tr>
      <w:tr w:rsidR="00124A26" w:rsidRPr="00AC3044" w14:paraId="6824F920" w14:textId="77777777" w:rsidTr="002D3EBF">
        <w:trPr>
          <w:cantSplit/>
          <w:trHeight w:val="958"/>
        </w:trPr>
        <w:tc>
          <w:tcPr>
            <w:tcW w:w="817" w:type="dxa"/>
            <w:vMerge/>
            <w:textDirection w:val="btLr"/>
            <w:vAlign w:val="center"/>
          </w:tcPr>
          <w:p w14:paraId="37A0EFAC" w14:textId="77777777" w:rsidR="00124A26" w:rsidRPr="00AC3044" w:rsidRDefault="00124A26" w:rsidP="002D3EBF">
            <w:pPr>
              <w:ind w:firstLine="0"/>
              <w:rPr>
                <w:rFonts w:eastAsia="SimSun"/>
              </w:rPr>
            </w:pPr>
          </w:p>
        </w:tc>
        <w:tc>
          <w:tcPr>
            <w:tcW w:w="1701" w:type="dxa"/>
            <w:vAlign w:val="center"/>
          </w:tcPr>
          <w:p w14:paraId="34175D5F" w14:textId="77777777" w:rsidR="00124A26" w:rsidRPr="00AC3044" w:rsidRDefault="00124A26" w:rsidP="002D3EBF">
            <w:pPr>
              <w:ind w:firstLine="0"/>
              <w:rPr>
                <w:rFonts w:eastAsia="SimSun"/>
              </w:rPr>
            </w:pPr>
            <w:r w:rsidRPr="00AC3044">
              <w:rPr>
                <w:rFonts w:eastAsia="SimSun"/>
              </w:rPr>
              <w:t xml:space="preserve">Такролимус </w:t>
            </w:r>
          </w:p>
        </w:tc>
        <w:tc>
          <w:tcPr>
            <w:tcW w:w="1559" w:type="dxa"/>
            <w:vAlign w:val="center"/>
          </w:tcPr>
          <w:p w14:paraId="7F65CEB7" w14:textId="77777777" w:rsidR="00124A26" w:rsidRPr="00AC3044" w:rsidRDefault="00124A26" w:rsidP="002D3EBF">
            <w:pPr>
              <w:ind w:firstLine="0"/>
              <w:rPr>
                <w:rFonts w:eastAsia="SimSun"/>
              </w:rPr>
            </w:pPr>
            <w:r w:rsidRPr="00AC3044">
              <w:rPr>
                <w:rFonts w:eastAsia="SimSun"/>
              </w:rPr>
              <w:t>0,03 мг/кг</w:t>
            </w:r>
          </w:p>
        </w:tc>
        <w:tc>
          <w:tcPr>
            <w:tcW w:w="1418" w:type="dxa"/>
            <w:vAlign w:val="center"/>
          </w:tcPr>
          <w:p w14:paraId="7FB82E13"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57CC88CF" w14:textId="77777777" w:rsidR="00124A26" w:rsidRPr="00AC3044" w:rsidRDefault="00124A26" w:rsidP="002D3EBF">
            <w:pPr>
              <w:ind w:firstLine="0"/>
              <w:rPr>
                <w:rFonts w:eastAsia="SimSun"/>
              </w:rPr>
            </w:pPr>
            <w:r w:rsidRPr="00AC3044">
              <w:rPr>
                <w:rFonts w:eastAsia="SimSun"/>
              </w:rPr>
              <w:t xml:space="preserve">С +5 дня длительно </w:t>
            </w:r>
          </w:p>
        </w:tc>
        <w:tc>
          <w:tcPr>
            <w:tcW w:w="2268" w:type="dxa"/>
            <w:vAlign w:val="center"/>
          </w:tcPr>
          <w:p w14:paraId="5CA95B6B" w14:textId="77777777" w:rsidR="00124A26" w:rsidRPr="00AC3044" w:rsidRDefault="00124A26"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109/л, при отсутствии тошноты, рвоты, диареи и возможности приема внутрь. Концентрация Tx 5-15 нг/мл.    </w:t>
            </w:r>
          </w:p>
        </w:tc>
      </w:tr>
      <w:tr w:rsidR="00124A26" w:rsidRPr="00AC3044" w14:paraId="56EB5AED" w14:textId="77777777" w:rsidTr="002D3EBF">
        <w:trPr>
          <w:cantSplit/>
          <w:trHeight w:val="214"/>
        </w:trPr>
        <w:tc>
          <w:tcPr>
            <w:tcW w:w="817" w:type="dxa"/>
            <w:vMerge/>
            <w:textDirection w:val="btLr"/>
            <w:vAlign w:val="center"/>
          </w:tcPr>
          <w:p w14:paraId="6D7637FC" w14:textId="77777777" w:rsidR="00124A26" w:rsidRPr="00AC3044" w:rsidRDefault="00124A26" w:rsidP="002D3EBF">
            <w:pPr>
              <w:ind w:firstLine="0"/>
              <w:rPr>
                <w:rFonts w:eastAsia="SimSun"/>
              </w:rPr>
            </w:pPr>
          </w:p>
        </w:tc>
        <w:tc>
          <w:tcPr>
            <w:tcW w:w="1701" w:type="dxa"/>
            <w:vAlign w:val="center"/>
          </w:tcPr>
          <w:p w14:paraId="6B4EA5F2" w14:textId="77777777" w:rsidR="00124A26" w:rsidRPr="00AC3044" w:rsidRDefault="00124A26" w:rsidP="002D3EBF">
            <w:pPr>
              <w:ind w:firstLine="0"/>
              <w:rPr>
                <w:rFonts w:eastAsia="SimSun"/>
              </w:rPr>
            </w:pPr>
            <w:r w:rsidRPr="00AC3044">
              <w:rPr>
                <w:rFonts w:eastAsia="SimSun"/>
              </w:rPr>
              <w:t>Микофенолата мофетил</w:t>
            </w:r>
          </w:p>
        </w:tc>
        <w:tc>
          <w:tcPr>
            <w:tcW w:w="1559" w:type="dxa"/>
            <w:vAlign w:val="center"/>
          </w:tcPr>
          <w:p w14:paraId="4341283B" w14:textId="77777777" w:rsidR="00124A26" w:rsidRPr="00AC3044" w:rsidRDefault="00124A26" w:rsidP="002D3EBF">
            <w:pPr>
              <w:ind w:firstLine="0"/>
              <w:rPr>
                <w:rFonts w:eastAsia="SimSun"/>
              </w:rPr>
            </w:pPr>
            <w:r w:rsidRPr="00AC3044">
              <w:rPr>
                <w:rFonts w:eastAsia="SimSun"/>
              </w:rPr>
              <w:t xml:space="preserve">30 мг/кг </w:t>
            </w:r>
          </w:p>
        </w:tc>
        <w:tc>
          <w:tcPr>
            <w:tcW w:w="1418" w:type="dxa"/>
            <w:vAlign w:val="center"/>
          </w:tcPr>
          <w:p w14:paraId="35B127E4"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6854221A" w14:textId="77777777" w:rsidR="00124A26" w:rsidRPr="00AC3044" w:rsidRDefault="00124A26" w:rsidP="002D3EBF">
            <w:pPr>
              <w:ind w:firstLine="0"/>
              <w:rPr>
                <w:rFonts w:eastAsia="SimSun"/>
              </w:rPr>
            </w:pPr>
            <w:r w:rsidRPr="00AC3044">
              <w:rPr>
                <w:rFonts w:eastAsia="SimSun"/>
              </w:rPr>
              <w:t xml:space="preserve">С +5 дня по +35 день </w:t>
            </w:r>
          </w:p>
        </w:tc>
        <w:tc>
          <w:tcPr>
            <w:tcW w:w="2268" w:type="dxa"/>
            <w:vAlign w:val="center"/>
          </w:tcPr>
          <w:p w14:paraId="7EAD3C33" w14:textId="77777777" w:rsidR="00124A26" w:rsidRPr="00AC3044" w:rsidRDefault="00124A26"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1E0C0D3E" w14:textId="77777777" w:rsidR="00124A26" w:rsidRDefault="00124A26" w:rsidP="00124A26">
      <w:pPr>
        <w:rPr>
          <w:rFonts w:eastAsia="SimSun"/>
        </w:rPr>
      </w:pPr>
      <w:bookmarkStart w:id="248" w:name="_Toc44401210"/>
    </w:p>
    <w:p w14:paraId="4F64C084" w14:textId="77777777" w:rsidR="00124A26" w:rsidRPr="00C07B2E" w:rsidRDefault="00124A26" w:rsidP="00124A26">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2.2.10  – Flu180+Bu8 / Tx+MMF30</w:t>
      </w:r>
      <w:bookmarkEnd w:id="248"/>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124A26" w:rsidRPr="00AC3044" w14:paraId="2E72F9A4" w14:textId="77777777" w:rsidTr="002D3EBF">
        <w:trPr>
          <w:cantSplit/>
          <w:trHeight w:val="20"/>
          <w:tblHeader/>
        </w:trPr>
        <w:tc>
          <w:tcPr>
            <w:tcW w:w="817" w:type="dxa"/>
            <w:vAlign w:val="center"/>
          </w:tcPr>
          <w:p w14:paraId="673A5C3F" w14:textId="77777777" w:rsidR="00124A26" w:rsidRPr="00AC3044" w:rsidRDefault="00124A26" w:rsidP="002D3EBF">
            <w:pPr>
              <w:ind w:firstLine="0"/>
              <w:rPr>
                <w:rFonts w:eastAsia="SimSun"/>
              </w:rPr>
            </w:pPr>
          </w:p>
        </w:tc>
        <w:tc>
          <w:tcPr>
            <w:tcW w:w="1701" w:type="dxa"/>
            <w:vAlign w:val="center"/>
          </w:tcPr>
          <w:p w14:paraId="44F1C3FD" w14:textId="77777777" w:rsidR="00124A26" w:rsidRPr="00AC3044" w:rsidRDefault="00124A26" w:rsidP="002D3EBF">
            <w:pPr>
              <w:ind w:firstLine="0"/>
              <w:rPr>
                <w:rFonts w:eastAsia="SimSun"/>
              </w:rPr>
            </w:pPr>
            <w:r w:rsidRPr="00AC3044">
              <w:rPr>
                <w:rFonts w:eastAsia="SimSun"/>
              </w:rPr>
              <w:t>Препарат</w:t>
            </w:r>
          </w:p>
        </w:tc>
        <w:tc>
          <w:tcPr>
            <w:tcW w:w="1559" w:type="dxa"/>
            <w:vAlign w:val="center"/>
          </w:tcPr>
          <w:p w14:paraId="09F8985B" w14:textId="77777777" w:rsidR="00124A26" w:rsidRPr="00AC3044" w:rsidRDefault="00124A26" w:rsidP="002D3EBF">
            <w:pPr>
              <w:ind w:firstLine="0"/>
              <w:rPr>
                <w:rFonts w:eastAsia="SimSun"/>
              </w:rPr>
            </w:pPr>
            <w:r w:rsidRPr="00AC3044">
              <w:rPr>
                <w:rFonts w:eastAsia="SimSun"/>
              </w:rPr>
              <w:t>Суточная доза</w:t>
            </w:r>
          </w:p>
        </w:tc>
        <w:tc>
          <w:tcPr>
            <w:tcW w:w="1418" w:type="dxa"/>
            <w:vAlign w:val="center"/>
          </w:tcPr>
          <w:p w14:paraId="20F98D90" w14:textId="77777777" w:rsidR="00124A26" w:rsidRPr="00AC3044" w:rsidRDefault="00124A26" w:rsidP="002D3EBF">
            <w:pPr>
              <w:ind w:firstLine="0"/>
              <w:rPr>
                <w:rFonts w:eastAsia="SimSun"/>
              </w:rPr>
            </w:pPr>
            <w:r w:rsidRPr="00AC3044">
              <w:rPr>
                <w:rFonts w:eastAsia="SimSun"/>
              </w:rPr>
              <w:t>Курсовая доза</w:t>
            </w:r>
          </w:p>
        </w:tc>
        <w:tc>
          <w:tcPr>
            <w:tcW w:w="1701" w:type="dxa"/>
            <w:vAlign w:val="center"/>
          </w:tcPr>
          <w:p w14:paraId="20B89120" w14:textId="77777777" w:rsidR="00124A26" w:rsidRPr="00AC3044" w:rsidRDefault="00124A26" w:rsidP="002D3EBF">
            <w:pPr>
              <w:ind w:firstLine="0"/>
              <w:rPr>
                <w:rFonts w:eastAsia="SimSun"/>
              </w:rPr>
            </w:pPr>
            <w:r w:rsidRPr="00AC3044">
              <w:rPr>
                <w:rFonts w:eastAsia="SimSun"/>
              </w:rPr>
              <w:t>Дни введения</w:t>
            </w:r>
          </w:p>
        </w:tc>
        <w:tc>
          <w:tcPr>
            <w:tcW w:w="2268" w:type="dxa"/>
            <w:vAlign w:val="center"/>
          </w:tcPr>
          <w:p w14:paraId="63A43ADC"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580D06B0" w14:textId="77777777" w:rsidTr="002D3EBF">
        <w:trPr>
          <w:cantSplit/>
          <w:trHeight w:val="20"/>
        </w:trPr>
        <w:tc>
          <w:tcPr>
            <w:tcW w:w="817" w:type="dxa"/>
            <w:vMerge w:val="restart"/>
            <w:textDirection w:val="btLr"/>
            <w:vAlign w:val="center"/>
          </w:tcPr>
          <w:p w14:paraId="0BDFDBC1" w14:textId="77777777" w:rsidR="00124A26" w:rsidRPr="00AC3044" w:rsidRDefault="00124A26" w:rsidP="002D3EBF">
            <w:pPr>
              <w:ind w:firstLine="0"/>
              <w:rPr>
                <w:rFonts w:eastAsia="SimSun"/>
              </w:rPr>
            </w:pPr>
            <w:r w:rsidRPr="00AC3044">
              <w:rPr>
                <w:rFonts w:eastAsia="SimSun"/>
              </w:rPr>
              <w:t>Кондиционирование</w:t>
            </w:r>
          </w:p>
        </w:tc>
        <w:tc>
          <w:tcPr>
            <w:tcW w:w="1701" w:type="dxa"/>
            <w:vAlign w:val="center"/>
          </w:tcPr>
          <w:p w14:paraId="25FE200E" w14:textId="77777777" w:rsidR="00124A26" w:rsidRPr="00AC3044" w:rsidRDefault="00124A26" w:rsidP="002D3EBF">
            <w:pPr>
              <w:ind w:firstLine="0"/>
              <w:rPr>
                <w:rFonts w:eastAsia="SimSun"/>
              </w:rPr>
            </w:pPr>
            <w:r w:rsidRPr="00AC3044">
              <w:rPr>
                <w:rFonts w:eastAsia="SimSun"/>
              </w:rPr>
              <w:t xml:space="preserve">Флударабин </w:t>
            </w:r>
          </w:p>
        </w:tc>
        <w:tc>
          <w:tcPr>
            <w:tcW w:w="1559" w:type="dxa"/>
            <w:vAlign w:val="center"/>
          </w:tcPr>
          <w:p w14:paraId="2120819E" w14:textId="77777777" w:rsidR="00124A26" w:rsidRPr="00AC3044" w:rsidRDefault="00124A26" w:rsidP="002D3EB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77195DA4" w14:textId="77777777" w:rsidR="00124A26" w:rsidRPr="00AC3044" w:rsidRDefault="00124A26" w:rsidP="002D3EBF">
            <w:pPr>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14:paraId="232A5537" w14:textId="77777777" w:rsidR="00124A26" w:rsidRPr="00AC3044" w:rsidRDefault="00124A26" w:rsidP="002D3EBF">
            <w:pPr>
              <w:ind w:firstLine="0"/>
              <w:rPr>
                <w:rFonts w:eastAsia="SimSun"/>
              </w:rPr>
            </w:pPr>
            <w:r w:rsidRPr="00AC3044">
              <w:rPr>
                <w:rFonts w:eastAsia="SimSun"/>
              </w:rPr>
              <w:t>С -7 дня по -2 день</w:t>
            </w:r>
          </w:p>
        </w:tc>
        <w:tc>
          <w:tcPr>
            <w:tcW w:w="2268" w:type="dxa"/>
            <w:vAlign w:val="center"/>
          </w:tcPr>
          <w:p w14:paraId="2A13E38B"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267E81EA" w14:textId="77777777" w:rsidTr="002D3EBF">
        <w:trPr>
          <w:cantSplit/>
          <w:trHeight w:val="1207"/>
        </w:trPr>
        <w:tc>
          <w:tcPr>
            <w:tcW w:w="817" w:type="dxa"/>
            <w:vMerge/>
            <w:vAlign w:val="center"/>
          </w:tcPr>
          <w:p w14:paraId="06C67AD0" w14:textId="77777777" w:rsidR="00124A26" w:rsidRPr="00AC3044" w:rsidRDefault="00124A26" w:rsidP="002D3EBF">
            <w:pPr>
              <w:ind w:firstLine="0"/>
              <w:rPr>
                <w:rFonts w:eastAsia="SimSun"/>
              </w:rPr>
            </w:pPr>
          </w:p>
        </w:tc>
        <w:tc>
          <w:tcPr>
            <w:tcW w:w="1701" w:type="dxa"/>
            <w:vAlign w:val="center"/>
          </w:tcPr>
          <w:p w14:paraId="07622E1F" w14:textId="77777777" w:rsidR="00124A26" w:rsidRPr="00AC3044" w:rsidRDefault="00124A26" w:rsidP="002D3EBF">
            <w:pPr>
              <w:ind w:firstLine="0"/>
              <w:rPr>
                <w:rFonts w:eastAsia="SimSun"/>
              </w:rPr>
            </w:pPr>
            <w:r w:rsidRPr="00AC3044">
              <w:rPr>
                <w:rFonts w:eastAsia="SimSun"/>
              </w:rPr>
              <w:t>Бусульфан</w:t>
            </w:r>
          </w:p>
        </w:tc>
        <w:tc>
          <w:tcPr>
            <w:tcW w:w="1559" w:type="dxa"/>
            <w:vAlign w:val="center"/>
          </w:tcPr>
          <w:p w14:paraId="5C900359" w14:textId="77777777" w:rsidR="00124A26" w:rsidRPr="00AC3044" w:rsidRDefault="00124A26" w:rsidP="002D3EBF">
            <w:pPr>
              <w:ind w:firstLine="0"/>
              <w:rPr>
                <w:rFonts w:eastAsia="SimSun"/>
              </w:rPr>
            </w:pPr>
            <w:r w:rsidRPr="00AC3044">
              <w:rPr>
                <w:rFonts w:eastAsia="SimSun"/>
              </w:rPr>
              <w:t xml:space="preserve">4 мг/кг </w:t>
            </w:r>
          </w:p>
        </w:tc>
        <w:tc>
          <w:tcPr>
            <w:tcW w:w="1418" w:type="dxa"/>
            <w:vAlign w:val="center"/>
          </w:tcPr>
          <w:p w14:paraId="1BDD4DFE" w14:textId="77777777" w:rsidR="00124A26" w:rsidRPr="00AC3044" w:rsidRDefault="00124A26" w:rsidP="002D3EBF">
            <w:pPr>
              <w:ind w:firstLine="0"/>
              <w:rPr>
                <w:rFonts w:eastAsia="SimSun"/>
              </w:rPr>
            </w:pPr>
            <w:r w:rsidRPr="00AC3044">
              <w:rPr>
                <w:rFonts w:eastAsia="SimSun"/>
              </w:rPr>
              <w:t xml:space="preserve">8 мг/кг </w:t>
            </w:r>
          </w:p>
        </w:tc>
        <w:tc>
          <w:tcPr>
            <w:tcW w:w="1701" w:type="dxa"/>
            <w:vAlign w:val="center"/>
          </w:tcPr>
          <w:p w14:paraId="1405C8E4" w14:textId="77777777" w:rsidR="00124A26" w:rsidRPr="00AC3044" w:rsidRDefault="00124A26" w:rsidP="002D3EBF">
            <w:pPr>
              <w:ind w:firstLine="0"/>
              <w:rPr>
                <w:rFonts w:eastAsia="SimSun"/>
              </w:rPr>
            </w:pPr>
            <w:r w:rsidRPr="00AC3044">
              <w:rPr>
                <w:rFonts w:eastAsia="SimSun"/>
              </w:rPr>
              <w:t>С -4 дня по -3 день</w:t>
            </w:r>
          </w:p>
        </w:tc>
        <w:tc>
          <w:tcPr>
            <w:tcW w:w="2268" w:type="dxa"/>
            <w:vAlign w:val="center"/>
          </w:tcPr>
          <w:p w14:paraId="3CF88E79"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124A26" w:rsidRPr="00AC3044" w14:paraId="689B4D55" w14:textId="77777777" w:rsidTr="002D3EBF">
        <w:trPr>
          <w:cantSplit/>
          <w:trHeight w:val="1498"/>
        </w:trPr>
        <w:tc>
          <w:tcPr>
            <w:tcW w:w="817" w:type="dxa"/>
            <w:vMerge w:val="restart"/>
            <w:textDirection w:val="btLr"/>
            <w:vAlign w:val="center"/>
          </w:tcPr>
          <w:p w14:paraId="5E4AAC32" w14:textId="77777777" w:rsidR="00124A26" w:rsidRPr="00AC3044" w:rsidRDefault="00124A26" w:rsidP="002D3EBF">
            <w:pPr>
              <w:ind w:firstLine="0"/>
              <w:rPr>
                <w:rFonts w:eastAsia="SimSun"/>
              </w:rPr>
            </w:pPr>
            <w:r w:rsidRPr="00AC3044">
              <w:rPr>
                <w:rFonts w:eastAsia="SimSun"/>
              </w:rPr>
              <w:t>Профилактика РТПХ</w:t>
            </w:r>
          </w:p>
        </w:tc>
        <w:tc>
          <w:tcPr>
            <w:tcW w:w="1701" w:type="dxa"/>
            <w:vAlign w:val="center"/>
          </w:tcPr>
          <w:p w14:paraId="71BCF139" w14:textId="77777777" w:rsidR="00124A26" w:rsidRPr="00AC3044" w:rsidRDefault="00124A26" w:rsidP="002D3EBF">
            <w:pPr>
              <w:ind w:firstLine="0"/>
              <w:rPr>
                <w:rFonts w:eastAsia="SimSun"/>
              </w:rPr>
            </w:pPr>
            <w:r w:rsidRPr="00AC3044">
              <w:rPr>
                <w:rFonts w:eastAsia="SimSun"/>
              </w:rPr>
              <w:t xml:space="preserve">Такролимус </w:t>
            </w:r>
          </w:p>
        </w:tc>
        <w:tc>
          <w:tcPr>
            <w:tcW w:w="1559" w:type="dxa"/>
            <w:vAlign w:val="center"/>
          </w:tcPr>
          <w:p w14:paraId="787F0998" w14:textId="77777777" w:rsidR="00124A26" w:rsidRPr="00AC3044" w:rsidRDefault="00124A26" w:rsidP="002D3EBF">
            <w:pPr>
              <w:ind w:firstLine="0"/>
              <w:rPr>
                <w:rFonts w:eastAsia="SimSun"/>
              </w:rPr>
            </w:pPr>
            <w:r w:rsidRPr="00AC3044">
              <w:rPr>
                <w:rFonts w:eastAsia="SimSun"/>
              </w:rPr>
              <w:t>0,03 мг/кг</w:t>
            </w:r>
          </w:p>
        </w:tc>
        <w:tc>
          <w:tcPr>
            <w:tcW w:w="1418" w:type="dxa"/>
            <w:vAlign w:val="center"/>
          </w:tcPr>
          <w:p w14:paraId="3CA01005"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639356C6" w14:textId="77777777" w:rsidR="00124A26" w:rsidRPr="00AC3044" w:rsidRDefault="00124A26" w:rsidP="002D3EBF">
            <w:pPr>
              <w:ind w:firstLine="0"/>
              <w:rPr>
                <w:rFonts w:eastAsia="SimSun"/>
              </w:rPr>
            </w:pPr>
            <w:r w:rsidRPr="00AC3044">
              <w:rPr>
                <w:rFonts w:eastAsia="SimSun"/>
              </w:rPr>
              <w:t xml:space="preserve">С +5 дня длительно </w:t>
            </w:r>
          </w:p>
        </w:tc>
        <w:tc>
          <w:tcPr>
            <w:tcW w:w="2268" w:type="dxa"/>
            <w:vAlign w:val="center"/>
          </w:tcPr>
          <w:p w14:paraId="2674C44C" w14:textId="77777777" w:rsidR="00124A26" w:rsidRPr="00AC3044" w:rsidRDefault="00124A26"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124A26" w:rsidRPr="00AC3044" w14:paraId="41BA7C9B" w14:textId="77777777" w:rsidTr="002D3EBF">
        <w:trPr>
          <w:cantSplit/>
          <w:trHeight w:val="570"/>
        </w:trPr>
        <w:tc>
          <w:tcPr>
            <w:tcW w:w="817" w:type="dxa"/>
            <w:vMerge/>
            <w:textDirection w:val="btLr"/>
            <w:vAlign w:val="center"/>
          </w:tcPr>
          <w:p w14:paraId="28F298C9" w14:textId="77777777" w:rsidR="00124A26" w:rsidRPr="00AC3044" w:rsidRDefault="00124A26" w:rsidP="002D3EBF">
            <w:pPr>
              <w:ind w:firstLine="0"/>
              <w:rPr>
                <w:rFonts w:eastAsia="SimSun"/>
              </w:rPr>
            </w:pPr>
          </w:p>
        </w:tc>
        <w:tc>
          <w:tcPr>
            <w:tcW w:w="1701" w:type="dxa"/>
            <w:vAlign w:val="center"/>
          </w:tcPr>
          <w:p w14:paraId="7DDC27DD" w14:textId="77777777" w:rsidR="00124A26" w:rsidRPr="00AC3044" w:rsidRDefault="00124A26" w:rsidP="002D3EBF">
            <w:pPr>
              <w:ind w:firstLine="0"/>
              <w:rPr>
                <w:rFonts w:eastAsia="SimSun"/>
              </w:rPr>
            </w:pPr>
            <w:r w:rsidRPr="00AC3044">
              <w:rPr>
                <w:rFonts w:eastAsia="SimSun"/>
              </w:rPr>
              <w:t>Микофенолата мофетил</w:t>
            </w:r>
          </w:p>
        </w:tc>
        <w:tc>
          <w:tcPr>
            <w:tcW w:w="1559" w:type="dxa"/>
            <w:vAlign w:val="center"/>
          </w:tcPr>
          <w:p w14:paraId="01F2491E" w14:textId="77777777" w:rsidR="00124A26" w:rsidRPr="00AC3044" w:rsidRDefault="00124A26" w:rsidP="002D3EBF">
            <w:pPr>
              <w:ind w:firstLine="0"/>
              <w:rPr>
                <w:rFonts w:eastAsia="SimSun"/>
              </w:rPr>
            </w:pPr>
            <w:r w:rsidRPr="00AC3044">
              <w:rPr>
                <w:rFonts w:eastAsia="SimSun"/>
              </w:rPr>
              <w:t xml:space="preserve">30 мг/кг </w:t>
            </w:r>
          </w:p>
        </w:tc>
        <w:tc>
          <w:tcPr>
            <w:tcW w:w="1418" w:type="dxa"/>
            <w:vAlign w:val="center"/>
          </w:tcPr>
          <w:p w14:paraId="46EBB2E1"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5B3A374F" w14:textId="77777777" w:rsidR="00124A26" w:rsidRPr="00AC3044" w:rsidRDefault="00124A26" w:rsidP="002D3EBF">
            <w:pPr>
              <w:ind w:firstLine="0"/>
              <w:rPr>
                <w:rFonts w:eastAsia="SimSun"/>
              </w:rPr>
            </w:pPr>
            <w:r w:rsidRPr="00AC3044">
              <w:rPr>
                <w:rFonts w:eastAsia="SimSun"/>
              </w:rPr>
              <w:t xml:space="preserve">С +5 дня по +35 день </w:t>
            </w:r>
          </w:p>
        </w:tc>
        <w:tc>
          <w:tcPr>
            <w:tcW w:w="2268" w:type="dxa"/>
            <w:vAlign w:val="center"/>
          </w:tcPr>
          <w:p w14:paraId="6368ACCF" w14:textId="77777777" w:rsidR="00124A26" w:rsidRPr="00AC3044" w:rsidRDefault="00124A26"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2A4B265E" w14:textId="77777777" w:rsidR="00124A26" w:rsidRPr="00C07B2E" w:rsidRDefault="00124A26" w:rsidP="00124A26">
      <w:pPr>
        <w:rPr>
          <w:rFonts w:eastAsia="SimSun"/>
        </w:rPr>
      </w:pPr>
    </w:p>
    <w:p w14:paraId="200BB8BF" w14:textId="77777777" w:rsidR="00124A26" w:rsidRPr="00C07B2E" w:rsidRDefault="00124A26" w:rsidP="00124A26">
      <w:pPr>
        <w:rPr>
          <w:rFonts w:eastAsia="SimSun"/>
        </w:rPr>
      </w:pPr>
      <w:bookmarkStart w:id="249" w:name="_Toc44401211"/>
      <w:r w:rsidRPr="00042499">
        <w:rPr>
          <w:rFonts w:eastAsia="SimSun"/>
        </w:rPr>
        <w:t>Таблица</w:t>
      </w:r>
      <w:r w:rsidRPr="00C07B2E">
        <w:rPr>
          <w:rFonts w:eastAsia="SimSun"/>
        </w:rPr>
        <w:t xml:space="preserve"> </w:t>
      </w:r>
      <w:r>
        <w:rPr>
          <w:rFonts w:eastAsia="SimSun"/>
        </w:rPr>
        <w:t>5.</w:t>
      </w:r>
      <w:r w:rsidRPr="00C07B2E">
        <w:rPr>
          <w:rFonts w:eastAsia="SimSun"/>
        </w:rPr>
        <w:t>2.2.11 – Flu180+Bu8 / PT-Cy+CSA+MMF30</w:t>
      </w:r>
      <w:bookmarkEnd w:id="249"/>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124A26" w:rsidRPr="00AC3044" w14:paraId="1E5F64EA" w14:textId="77777777" w:rsidTr="002D3EBF">
        <w:trPr>
          <w:cantSplit/>
          <w:trHeight w:val="20"/>
          <w:tblHeader/>
        </w:trPr>
        <w:tc>
          <w:tcPr>
            <w:tcW w:w="817" w:type="dxa"/>
            <w:vAlign w:val="center"/>
          </w:tcPr>
          <w:p w14:paraId="7CBB2DA2" w14:textId="77777777" w:rsidR="00124A26" w:rsidRPr="00470D3D" w:rsidRDefault="00124A26" w:rsidP="002D3EBF">
            <w:pPr>
              <w:ind w:firstLine="0"/>
              <w:rPr>
                <w:rFonts w:eastAsia="SimSun"/>
              </w:rPr>
            </w:pPr>
          </w:p>
        </w:tc>
        <w:tc>
          <w:tcPr>
            <w:tcW w:w="1701" w:type="dxa"/>
            <w:vAlign w:val="center"/>
          </w:tcPr>
          <w:p w14:paraId="33D28D2C" w14:textId="77777777" w:rsidR="00124A26" w:rsidRPr="00AC3044" w:rsidRDefault="00124A26" w:rsidP="002D3EBF">
            <w:pPr>
              <w:ind w:firstLine="0"/>
              <w:rPr>
                <w:rFonts w:eastAsia="SimSun"/>
              </w:rPr>
            </w:pPr>
            <w:r w:rsidRPr="00AC3044">
              <w:rPr>
                <w:rFonts w:eastAsia="SimSun"/>
              </w:rPr>
              <w:t>Препарат</w:t>
            </w:r>
          </w:p>
        </w:tc>
        <w:tc>
          <w:tcPr>
            <w:tcW w:w="1559" w:type="dxa"/>
            <w:vAlign w:val="center"/>
          </w:tcPr>
          <w:p w14:paraId="2F7EAB6D" w14:textId="77777777" w:rsidR="00124A26" w:rsidRPr="00AC3044" w:rsidRDefault="00124A26" w:rsidP="002D3EBF">
            <w:pPr>
              <w:ind w:firstLine="0"/>
              <w:rPr>
                <w:rFonts w:eastAsia="SimSun"/>
              </w:rPr>
            </w:pPr>
            <w:r w:rsidRPr="00AC3044">
              <w:rPr>
                <w:rFonts w:eastAsia="SimSun"/>
              </w:rPr>
              <w:t>Суточная доза</w:t>
            </w:r>
          </w:p>
        </w:tc>
        <w:tc>
          <w:tcPr>
            <w:tcW w:w="1418" w:type="dxa"/>
            <w:vAlign w:val="center"/>
          </w:tcPr>
          <w:p w14:paraId="2983314B" w14:textId="77777777" w:rsidR="00124A26" w:rsidRPr="00AC3044" w:rsidRDefault="00124A26" w:rsidP="002D3EBF">
            <w:pPr>
              <w:ind w:firstLine="0"/>
              <w:rPr>
                <w:rFonts w:eastAsia="SimSun"/>
              </w:rPr>
            </w:pPr>
            <w:r w:rsidRPr="00AC3044">
              <w:rPr>
                <w:rFonts w:eastAsia="SimSun"/>
              </w:rPr>
              <w:t>Курсовая доза</w:t>
            </w:r>
          </w:p>
        </w:tc>
        <w:tc>
          <w:tcPr>
            <w:tcW w:w="1701" w:type="dxa"/>
            <w:vAlign w:val="center"/>
          </w:tcPr>
          <w:p w14:paraId="2906C2AB" w14:textId="77777777" w:rsidR="00124A26" w:rsidRPr="00AC3044" w:rsidRDefault="00124A26" w:rsidP="002D3EBF">
            <w:pPr>
              <w:ind w:firstLine="0"/>
              <w:rPr>
                <w:rFonts w:eastAsia="SimSun"/>
              </w:rPr>
            </w:pPr>
            <w:r w:rsidRPr="00AC3044">
              <w:rPr>
                <w:rFonts w:eastAsia="SimSun"/>
              </w:rPr>
              <w:t>Дни введения</w:t>
            </w:r>
          </w:p>
        </w:tc>
        <w:tc>
          <w:tcPr>
            <w:tcW w:w="2268" w:type="dxa"/>
            <w:vAlign w:val="center"/>
          </w:tcPr>
          <w:p w14:paraId="0366EB59"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186C8763" w14:textId="77777777" w:rsidTr="002D3EBF">
        <w:trPr>
          <w:cantSplit/>
          <w:trHeight w:val="20"/>
        </w:trPr>
        <w:tc>
          <w:tcPr>
            <w:tcW w:w="817" w:type="dxa"/>
            <w:vMerge w:val="restart"/>
            <w:textDirection w:val="btLr"/>
            <w:vAlign w:val="center"/>
          </w:tcPr>
          <w:p w14:paraId="4CAF2598" w14:textId="77777777" w:rsidR="00124A26" w:rsidRPr="00AC3044" w:rsidRDefault="00124A26" w:rsidP="002D3EBF">
            <w:pPr>
              <w:ind w:firstLine="0"/>
              <w:rPr>
                <w:rFonts w:eastAsia="SimSun"/>
              </w:rPr>
            </w:pPr>
            <w:r w:rsidRPr="00AC3044">
              <w:rPr>
                <w:rFonts w:eastAsia="SimSun"/>
              </w:rPr>
              <w:t>Кондиционирование</w:t>
            </w:r>
          </w:p>
        </w:tc>
        <w:tc>
          <w:tcPr>
            <w:tcW w:w="1701" w:type="dxa"/>
            <w:vAlign w:val="center"/>
          </w:tcPr>
          <w:p w14:paraId="76422815" w14:textId="77777777" w:rsidR="00124A26" w:rsidRPr="00AC3044" w:rsidRDefault="00124A26" w:rsidP="002D3EBF">
            <w:pPr>
              <w:ind w:firstLine="0"/>
              <w:rPr>
                <w:rFonts w:eastAsia="SimSun"/>
              </w:rPr>
            </w:pPr>
            <w:r w:rsidRPr="00AC3044">
              <w:rPr>
                <w:rFonts w:eastAsia="SimSun"/>
              </w:rPr>
              <w:t xml:space="preserve">Флударабин </w:t>
            </w:r>
          </w:p>
        </w:tc>
        <w:tc>
          <w:tcPr>
            <w:tcW w:w="1559" w:type="dxa"/>
            <w:vAlign w:val="center"/>
          </w:tcPr>
          <w:p w14:paraId="6308B519" w14:textId="77777777" w:rsidR="00124A26" w:rsidRPr="00AC3044" w:rsidRDefault="00124A26" w:rsidP="002D3EB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60186981" w14:textId="77777777" w:rsidR="00124A26" w:rsidRPr="00AC3044" w:rsidRDefault="00124A26" w:rsidP="002D3EBF">
            <w:pPr>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14:paraId="23946982" w14:textId="77777777" w:rsidR="00124A26" w:rsidRPr="00AC3044" w:rsidRDefault="00124A26" w:rsidP="002D3EBF">
            <w:pPr>
              <w:ind w:firstLine="0"/>
              <w:rPr>
                <w:rFonts w:eastAsia="SimSun"/>
              </w:rPr>
            </w:pPr>
            <w:r w:rsidRPr="00AC3044">
              <w:rPr>
                <w:rFonts w:eastAsia="SimSun"/>
              </w:rPr>
              <w:t>С -7 дня по -2 день</w:t>
            </w:r>
          </w:p>
        </w:tc>
        <w:tc>
          <w:tcPr>
            <w:tcW w:w="2268" w:type="dxa"/>
            <w:vAlign w:val="center"/>
          </w:tcPr>
          <w:p w14:paraId="0FA06C6F"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55D661C8" w14:textId="77777777" w:rsidTr="002D3EBF">
        <w:trPr>
          <w:cantSplit/>
          <w:trHeight w:val="1207"/>
        </w:trPr>
        <w:tc>
          <w:tcPr>
            <w:tcW w:w="817" w:type="dxa"/>
            <w:vMerge/>
            <w:vAlign w:val="center"/>
          </w:tcPr>
          <w:p w14:paraId="1692A920" w14:textId="77777777" w:rsidR="00124A26" w:rsidRPr="00AC3044" w:rsidRDefault="00124A26" w:rsidP="002D3EBF">
            <w:pPr>
              <w:ind w:firstLine="0"/>
              <w:rPr>
                <w:rFonts w:eastAsia="SimSun"/>
              </w:rPr>
            </w:pPr>
          </w:p>
        </w:tc>
        <w:tc>
          <w:tcPr>
            <w:tcW w:w="1701" w:type="dxa"/>
            <w:vAlign w:val="center"/>
          </w:tcPr>
          <w:p w14:paraId="136EE108" w14:textId="77777777" w:rsidR="00124A26" w:rsidRPr="00AC3044" w:rsidRDefault="00124A26" w:rsidP="002D3EBF">
            <w:pPr>
              <w:ind w:firstLine="0"/>
              <w:rPr>
                <w:rFonts w:eastAsia="SimSun"/>
              </w:rPr>
            </w:pPr>
            <w:r w:rsidRPr="00AC3044">
              <w:rPr>
                <w:rFonts w:eastAsia="SimSun"/>
              </w:rPr>
              <w:t>Бусульфан</w:t>
            </w:r>
          </w:p>
        </w:tc>
        <w:tc>
          <w:tcPr>
            <w:tcW w:w="1559" w:type="dxa"/>
            <w:vAlign w:val="center"/>
          </w:tcPr>
          <w:p w14:paraId="1FBBB06C" w14:textId="77777777" w:rsidR="00124A26" w:rsidRPr="00AC3044" w:rsidRDefault="00124A26" w:rsidP="002D3EBF">
            <w:pPr>
              <w:ind w:firstLine="0"/>
              <w:rPr>
                <w:rFonts w:eastAsia="SimSun"/>
              </w:rPr>
            </w:pPr>
            <w:r w:rsidRPr="00AC3044">
              <w:rPr>
                <w:rFonts w:eastAsia="SimSun"/>
              </w:rPr>
              <w:t xml:space="preserve">4 мг/кг </w:t>
            </w:r>
          </w:p>
        </w:tc>
        <w:tc>
          <w:tcPr>
            <w:tcW w:w="1418" w:type="dxa"/>
            <w:vAlign w:val="center"/>
          </w:tcPr>
          <w:p w14:paraId="7E6BE1C4" w14:textId="77777777" w:rsidR="00124A26" w:rsidRPr="00AC3044" w:rsidRDefault="00124A26" w:rsidP="002D3EBF">
            <w:pPr>
              <w:ind w:firstLine="0"/>
              <w:rPr>
                <w:rFonts w:eastAsia="SimSun"/>
              </w:rPr>
            </w:pPr>
            <w:r w:rsidRPr="00AC3044">
              <w:rPr>
                <w:rFonts w:eastAsia="SimSun"/>
              </w:rPr>
              <w:t xml:space="preserve">8 мг/кг </w:t>
            </w:r>
          </w:p>
        </w:tc>
        <w:tc>
          <w:tcPr>
            <w:tcW w:w="1701" w:type="dxa"/>
            <w:vAlign w:val="center"/>
          </w:tcPr>
          <w:p w14:paraId="0BC127CC" w14:textId="77777777" w:rsidR="00124A26" w:rsidRPr="00AC3044" w:rsidRDefault="00124A26" w:rsidP="002D3EBF">
            <w:pPr>
              <w:ind w:firstLine="0"/>
              <w:rPr>
                <w:rFonts w:eastAsia="SimSun"/>
              </w:rPr>
            </w:pPr>
            <w:r w:rsidRPr="00AC3044">
              <w:rPr>
                <w:rFonts w:eastAsia="SimSun"/>
              </w:rPr>
              <w:t>С -4 дня по -3 день</w:t>
            </w:r>
          </w:p>
        </w:tc>
        <w:tc>
          <w:tcPr>
            <w:tcW w:w="2268" w:type="dxa"/>
            <w:vAlign w:val="center"/>
          </w:tcPr>
          <w:p w14:paraId="0C207FE0"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124A26" w:rsidRPr="00AC3044" w14:paraId="259D4185" w14:textId="77777777" w:rsidTr="002D3EBF">
        <w:trPr>
          <w:cantSplit/>
          <w:trHeight w:val="520"/>
        </w:trPr>
        <w:tc>
          <w:tcPr>
            <w:tcW w:w="817" w:type="dxa"/>
            <w:vMerge w:val="restart"/>
            <w:textDirection w:val="btLr"/>
            <w:vAlign w:val="center"/>
          </w:tcPr>
          <w:p w14:paraId="1C721258" w14:textId="77777777" w:rsidR="00124A26" w:rsidRPr="00AC3044" w:rsidRDefault="00124A26" w:rsidP="002D3EBF">
            <w:pPr>
              <w:ind w:firstLine="0"/>
              <w:rPr>
                <w:rFonts w:eastAsia="SimSun"/>
              </w:rPr>
            </w:pPr>
            <w:r w:rsidRPr="00AC3044">
              <w:rPr>
                <w:rFonts w:eastAsia="SimSun"/>
              </w:rPr>
              <w:t>Профилактика РТПХ</w:t>
            </w:r>
          </w:p>
        </w:tc>
        <w:tc>
          <w:tcPr>
            <w:tcW w:w="1701" w:type="dxa"/>
            <w:vAlign w:val="center"/>
          </w:tcPr>
          <w:p w14:paraId="5F3687E5" w14:textId="77777777" w:rsidR="00124A26" w:rsidRPr="00AC3044" w:rsidRDefault="00124A26" w:rsidP="002D3EBF">
            <w:pPr>
              <w:ind w:firstLine="0"/>
              <w:rPr>
                <w:rFonts w:eastAsia="SimSun"/>
              </w:rPr>
            </w:pPr>
            <w:r w:rsidRPr="00AC3044">
              <w:rPr>
                <w:rFonts w:eastAsia="SimSun"/>
              </w:rPr>
              <w:t>Циклофосфамид</w:t>
            </w:r>
          </w:p>
        </w:tc>
        <w:tc>
          <w:tcPr>
            <w:tcW w:w="1559" w:type="dxa"/>
            <w:vAlign w:val="center"/>
          </w:tcPr>
          <w:p w14:paraId="4A08326F" w14:textId="77777777" w:rsidR="00124A26" w:rsidRPr="00AC3044" w:rsidRDefault="00124A26" w:rsidP="002D3EBF">
            <w:pPr>
              <w:ind w:firstLine="0"/>
              <w:rPr>
                <w:rFonts w:eastAsia="SimSun"/>
              </w:rPr>
            </w:pPr>
            <w:r w:rsidRPr="00AC3044">
              <w:rPr>
                <w:rFonts w:eastAsia="SimSun"/>
              </w:rPr>
              <w:t>50 мг/кг</w:t>
            </w:r>
          </w:p>
        </w:tc>
        <w:tc>
          <w:tcPr>
            <w:tcW w:w="1418" w:type="dxa"/>
            <w:vAlign w:val="center"/>
          </w:tcPr>
          <w:p w14:paraId="3783A8C9" w14:textId="77777777" w:rsidR="00124A26" w:rsidRPr="00AC3044" w:rsidRDefault="00124A26" w:rsidP="002D3EBF">
            <w:pPr>
              <w:ind w:firstLine="0"/>
              <w:rPr>
                <w:rFonts w:eastAsia="SimSun"/>
              </w:rPr>
            </w:pPr>
            <w:r w:rsidRPr="00AC3044">
              <w:rPr>
                <w:rFonts w:eastAsia="SimSun"/>
              </w:rPr>
              <w:t>100 мг/кг</w:t>
            </w:r>
          </w:p>
        </w:tc>
        <w:tc>
          <w:tcPr>
            <w:tcW w:w="1701" w:type="dxa"/>
            <w:vAlign w:val="center"/>
          </w:tcPr>
          <w:p w14:paraId="50EF0667" w14:textId="77777777" w:rsidR="00124A26" w:rsidRPr="00AC3044" w:rsidRDefault="00124A26" w:rsidP="002D3EBF">
            <w:pPr>
              <w:ind w:firstLine="0"/>
              <w:rPr>
                <w:rFonts w:eastAsia="SimSun"/>
              </w:rPr>
            </w:pPr>
            <w:r w:rsidRPr="00AC3044">
              <w:rPr>
                <w:rFonts w:eastAsia="SimSun"/>
              </w:rPr>
              <w:t>В +3 день  и +5 день</w:t>
            </w:r>
          </w:p>
        </w:tc>
        <w:tc>
          <w:tcPr>
            <w:tcW w:w="2268" w:type="dxa"/>
            <w:vAlign w:val="center"/>
          </w:tcPr>
          <w:p w14:paraId="7CD58005" w14:textId="77777777" w:rsidR="00124A26" w:rsidRPr="00AC3044" w:rsidRDefault="00124A26" w:rsidP="002D3EBF">
            <w:pPr>
              <w:ind w:firstLine="0"/>
              <w:rPr>
                <w:rFonts w:eastAsia="SimSun"/>
              </w:rPr>
            </w:pPr>
            <w:r w:rsidRPr="00AC3044">
              <w:rPr>
                <w:rFonts w:eastAsia="SimSun"/>
              </w:rPr>
              <w:t>В/в, в течение 2 часов</w:t>
            </w:r>
          </w:p>
        </w:tc>
      </w:tr>
      <w:tr w:rsidR="00124A26" w:rsidRPr="00AC3044" w14:paraId="21B28BA3" w14:textId="77777777" w:rsidTr="002D3EBF">
        <w:trPr>
          <w:cantSplit/>
          <w:trHeight w:val="486"/>
        </w:trPr>
        <w:tc>
          <w:tcPr>
            <w:tcW w:w="817" w:type="dxa"/>
            <w:vMerge/>
            <w:textDirection w:val="btLr"/>
            <w:vAlign w:val="center"/>
          </w:tcPr>
          <w:p w14:paraId="1CE74EFB" w14:textId="77777777" w:rsidR="00124A26" w:rsidRPr="00AC3044" w:rsidRDefault="00124A26" w:rsidP="002D3EBF">
            <w:pPr>
              <w:ind w:firstLine="0"/>
              <w:rPr>
                <w:rFonts w:eastAsia="SimSun"/>
              </w:rPr>
            </w:pPr>
          </w:p>
        </w:tc>
        <w:tc>
          <w:tcPr>
            <w:tcW w:w="1701" w:type="dxa"/>
            <w:vAlign w:val="center"/>
          </w:tcPr>
          <w:p w14:paraId="70CDA77B" w14:textId="77777777" w:rsidR="00124A26" w:rsidRPr="00AC3044" w:rsidRDefault="00124A26" w:rsidP="002D3EBF">
            <w:pPr>
              <w:ind w:firstLine="0"/>
              <w:rPr>
                <w:rFonts w:eastAsia="SimSun"/>
              </w:rPr>
            </w:pPr>
            <w:r w:rsidRPr="00AC3044">
              <w:rPr>
                <w:rFonts w:eastAsia="SimSun"/>
              </w:rPr>
              <w:t>Микофенолата мофетил</w:t>
            </w:r>
          </w:p>
        </w:tc>
        <w:tc>
          <w:tcPr>
            <w:tcW w:w="1559" w:type="dxa"/>
            <w:vAlign w:val="center"/>
          </w:tcPr>
          <w:p w14:paraId="1C9F11A5" w14:textId="77777777" w:rsidR="00124A26" w:rsidRPr="00AC3044" w:rsidRDefault="00124A26" w:rsidP="002D3EBF">
            <w:pPr>
              <w:ind w:firstLine="0"/>
              <w:rPr>
                <w:rFonts w:eastAsia="SimSun"/>
              </w:rPr>
            </w:pPr>
            <w:r w:rsidRPr="00AC3044">
              <w:rPr>
                <w:rFonts w:eastAsia="SimSun"/>
              </w:rPr>
              <w:t xml:space="preserve">30 мг/кг </w:t>
            </w:r>
          </w:p>
        </w:tc>
        <w:tc>
          <w:tcPr>
            <w:tcW w:w="1418" w:type="dxa"/>
            <w:vAlign w:val="center"/>
          </w:tcPr>
          <w:p w14:paraId="1D74B971"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21FAD701" w14:textId="77777777" w:rsidR="00124A26" w:rsidRPr="00AC3044" w:rsidRDefault="00124A26" w:rsidP="002D3EBF">
            <w:pPr>
              <w:ind w:firstLine="0"/>
              <w:rPr>
                <w:rFonts w:eastAsia="SimSun"/>
              </w:rPr>
            </w:pPr>
            <w:r w:rsidRPr="00AC3044">
              <w:rPr>
                <w:rFonts w:eastAsia="SimSun"/>
              </w:rPr>
              <w:t xml:space="preserve">С +1 дня по +28 день </w:t>
            </w:r>
          </w:p>
        </w:tc>
        <w:tc>
          <w:tcPr>
            <w:tcW w:w="2268" w:type="dxa"/>
            <w:vAlign w:val="center"/>
          </w:tcPr>
          <w:p w14:paraId="2F17089F" w14:textId="77777777" w:rsidR="00124A26" w:rsidRPr="00AC3044" w:rsidRDefault="00124A26"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r w:rsidR="00124A26" w:rsidRPr="00AC3044" w14:paraId="34EE3236" w14:textId="77777777" w:rsidTr="002D3EBF">
        <w:trPr>
          <w:cantSplit/>
          <w:trHeight w:val="958"/>
        </w:trPr>
        <w:tc>
          <w:tcPr>
            <w:tcW w:w="817" w:type="dxa"/>
            <w:vMerge/>
            <w:textDirection w:val="btLr"/>
            <w:vAlign w:val="center"/>
          </w:tcPr>
          <w:p w14:paraId="59A3B7D1" w14:textId="77777777" w:rsidR="00124A26" w:rsidRPr="00AC3044" w:rsidRDefault="00124A26" w:rsidP="002D3EBF">
            <w:pPr>
              <w:ind w:firstLine="0"/>
              <w:rPr>
                <w:rFonts w:eastAsia="SimSun"/>
              </w:rPr>
            </w:pPr>
          </w:p>
        </w:tc>
        <w:tc>
          <w:tcPr>
            <w:tcW w:w="1701" w:type="dxa"/>
            <w:vAlign w:val="center"/>
          </w:tcPr>
          <w:p w14:paraId="78CFB154" w14:textId="77777777" w:rsidR="00124A26" w:rsidRPr="00AC3044" w:rsidRDefault="00124A26" w:rsidP="002D3EBF">
            <w:pPr>
              <w:ind w:firstLine="0"/>
              <w:rPr>
                <w:rFonts w:eastAsia="SimSun"/>
              </w:rPr>
            </w:pPr>
            <w:r w:rsidRPr="00AC3044">
              <w:rPr>
                <w:rFonts w:eastAsia="SimSun"/>
              </w:rPr>
              <w:t>Циклоспорин А</w:t>
            </w:r>
          </w:p>
        </w:tc>
        <w:tc>
          <w:tcPr>
            <w:tcW w:w="1559" w:type="dxa"/>
            <w:vAlign w:val="center"/>
          </w:tcPr>
          <w:p w14:paraId="52D2CCA4" w14:textId="77777777" w:rsidR="00124A26" w:rsidRPr="00AC3044" w:rsidRDefault="00124A26" w:rsidP="002D3EBF">
            <w:pPr>
              <w:ind w:firstLine="0"/>
              <w:rPr>
                <w:rFonts w:eastAsia="SimSun"/>
              </w:rPr>
            </w:pPr>
            <w:r w:rsidRPr="00AC3044">
              <w:rPr>
                <w:rFonts w:eastAsia="SimSun"/>
              </w:rPr>
              <w:t>3  мг/кг</w:t>
            </w:r>
          </w:p>
        </w:tc>
        <w:tc>
          <w:tcPr>
            <w:tcW w:w="1418" w:type="dxa"/>
            <w:vAlign w:val="center"/>
          </w:tcPr>
          <w:p w14:paraId="7C01836B"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611BA9E3" w14:textId="77777777" w:rsidR="00124A26" w:rsidRPr="00AC3044" w:rsidRDefault="00124A26" w:rsidP="002D3EBF">
            <w:pPr>
              <w:ind w:firstLine="0"/>
              <w:rPr>
                <w:rFonts w:eastAsia="SimSun"/>
              </w:rPr>
            </w:pPr>
            <w:r w:rsidRPr="00AC3044">
              <w:rPr>
                <w:rFonts w:eastAsia="SimSun"/>
              </w:rPr>
              <w:t xml:space="preserve">С -1 дня по +100 день </w:t>
            </w:r>
          </w:p>
        </w:tc>
        <w:tc>
          <w:tcPr>
            <w:tcW w:w="2268" w:type="dxa"/>
            <w:vAlign w:val="center"/>
          </w:tcPr>
          <w:p w14:paraId="7D5159C7" w14:textId="77777777" w:rsidR="00124A26" w:rsidRPr="00AC3044" w:rsidRDefault="00124A26"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bl>
    <w:p w14:paraId="31091277" w14:textId="77777777" w:rsidR="00124A26" w:rsidRPr="00C07B2E" w:rsidRDefault="00124A26" w:rsidP="00124A26">
      <w:pPr>
        <w:rPr>
          <w:rFonts w:eastAsia="SimSun"/>
        </w:rPr>
      </w:pPr>
    </w:p>
    <w:p w14:paraId="441638B2" w14:textId="77777777" w:rsidR="00124A26" w:rsidRPr="00C07B2E" w:rsidRDefault="00124A26" w:rsidP="00124A26">
      <w:pPr>
        <w:rPr>
          <w:rFonts w:eastAsia="SimSun"/>
        </w:rPr>
      </w:pPr>
      <w:bookmarkStart w:id="250" w:name="_Toc44401212"/>
      <w:r w:rsidRPr="00042499">
        <w:rPr>
          <w:rFonts w:eastAsia="SimSun"/>
        </w:rPr>
        <w:t>Таблица</w:t>
      </w:r>
      <w:r w:rsidRPr="00C07B2E">
        <w:rPr>
          <w:rFonts w:eastAsia="SimSun"/>
        </w:rPr>
        <w:t xml:space="preserve"> </w:t>
      </w:r>
      <w:r>
        <w:rPr>
          <w:rFonts w:eastAsia="SimSun"/>
        </w:rPr>
        <w:t>5.</w:t>
      </w:r>
      <w:r w:rsidRPr="00C07B2E">
        <w:rPr>
          <w:rFonts w:eastAsia="SimSun"/>
        </w:rPr>
        <w:t>2.2.12  – Flu180+Bu10 / PT-Cy</w:t>
      </w:r>
      <w:bookmarkEnd w:id="250"/>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124A26" w:rsidRPr="00AC3044" w14:paraId="425D5978" w14:textId="77777777" w:rsidTr="002D3EBF">
        <w:trPr>
          <w:cantSplit/>
          <w:trHeight w:val="20"/>
          <w:tblHeader/>
        </w:trPr>
        <w:tc>
          <w:tcPr>
            <w:tcW w:w="817" w:type="dxa"/>
            <w:vAlign w:val="center"/>
          </w:tcPr>
          <w:p w14:paraId="2389D9DC" w14:textId="77777777" w:rsidR="00124A26" w:rsidRPr="00AC3044" w:rsidRDefault="00124A26" w:rsidP="002D3EBF">
            <w:pPr>
              <w:ind w:firstLine="0"/>
              <w:rPr>
                <w:rFonts w:eastAsia="SimSun"/>
              </w:rPr>
            </w:pPr>
          </w:p>
        </w:tc>
        <w:tc>
          <w:tcPr>
            <w:tcW w:w="1701" w:type="dxa"/>
            <w:vAlign w:val="center"/>
          </w:tcPr>
          <w:p w14:paraId="7A77948D" w14:textId="77777777" w:rsidR="00124A26" w:rsidRPr="00AC3044" w:rsidRDefault="00124A26" w:rsidP="002D3EBF">
            <w:pPr>
              <w:ind w:firstLine="0"/>
              <w:rPr>
                <w:rFonts w:eastAsia="SimSun"/>
              </w:rPr>
            </w:pPr>
            <w:r w:rsidRPr="00AC3044">
              <w:rPr>
                <w:rFonts w:eastAsia="SimSun"/>
              </w:rPr>
              <w:t>Препарат</w:t>
            </w:r>
          </w:p>
        </w:tc>
        <w:tc>
          <w:tcPr>
            <w:tcW w:w="1559" w:type="dxa"/>
            <w:vAlign w:val="center"/>
          </w:tcPr>
          <w:p w14:paraId="588AD7F0" w14:textId="77777777" w:rsidR="00124A26" w:rsidRPr="00AC3044" w:rsidRDefault="00124A26" w:rsidP="002D3EBF">
            <w:pPr>
              <w:ind w:firstLine="0"/>
              <w:rPr>
                <w:rFonts w:eastAsia="SimSun"/>
              </w:rPr>
            </w:pPr>
            <w:r w:rsidRPr="00AC3044">
              <w:rPr>
                <w:rFonts w:eastAsia="SimSun"/>
              </w:rPr>
              <w:t>Суточная доза</w:t>
            </w:r>
          </w:p>
        </w:tc>
        <w:tc>
          <w:tcPr>
            <w:tcW w:w="1418" w:type="dxa"/>
            <w:vAlign w:val="center"/>
          </w:tcPr>
          <w:p w14:paraId="618AEF9F" w14:textId="77777777" w:rsidR="00124A26" w:rsidRPr="00AC3044" w:rsidRDefault="00124A26" w:rsidP="002D3EBF">
            <w:pPr>
              <w:ind w:firstLine="0"/>
              <w:rPr>
                <w:rFonts w:eastAsia="SimSun"/>
              </w:rPr>
            </w:pPr>
            <w:r w:rsidRPr="00AC3044">
              <w:rPr>
                <w:rFonts w:eastAsia="SimSun"/>
              </w:rPr>
              <w:t>Курсовая доза</w:t>
            </w:r>
          </w:p>
        </w:tc>
        <w:tc>
          <w:tcPr>
            <w:tcW w:w="1701" w:type="dxa"/>
            <w:vAlign w:val="center"/>
          </w:tcPr>
          <w:p w14:paraId="2A179402" w14:textId="77777777" w:rsidR="00124A26" w:rsidRPr="00AC3044" w:rsidRDefault="00124A26" w:rsidP="002D3EBF">
            <w:pPr>
              <w:ind w:firstLine="0"/>
              <w:rPr>
                <w:rFonts w:eastAsia="SimSun"/>
              </w:rPr>
            </w:pPr>
            <w:r w:rsidRPr="00AC3044">
              <w:rPr>
                <w:rFonts w:eastAsia="SimSun"/>
              </w:rPr>
              <w:t>Дни введения</w:t>
            </w:r>
          </w:p>
        </w:tc>
        <w:tc>
          <w:tcPr>
            <w:tcW w:w="2268" w:type="dxa"/>
            <w:vAlign w:val="center"/>
          </w:tcPr>
          <w:p w14:paraId="6595E41F"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3EBDBF48" w14:textId="77777777" w:rsidTr="002D3EBF">
        <w:trPr>
          <w:cantSplit/>
          <w:trHeight w:val="20"/>
        </w:trPr>
        <w:tc>
          <w:tcPr>
            <w:tcW w:w="817" w:type="dxa"/>
            <w:vMerge w:val="restart"/>
            <w:textDirection w:val="btLr"/>
            <w:vAlign w:val="center"/>
          </w:tcPr>
          <w:p w14:paraId="123E3321" w14:textId="77777777" w:rsidR="00124A26" w:rsidRPr="00AC3044" w:rsidRDefault="00124A26" w:rsidP="002D3EBF">
            <w:pPr>
              <w:ind w:firstLine="0"/>
              <w:rPr>
                <w:rFonts w:eastAsia="SimSun"/>
              </w:rPr>
            </w:pPr>
            <w:r w:rsidRPr="00AC3044">
              <w:rPr>
                <w:rFonts w:eastAsia="SimSun"/>
              </w:rPr>
              <w:t>Кондиционирование</w:t>
            </w:r>
          </w:p>
        </w:tc>
        <w:tc>
          <w:tcPr>
            <w:tcW w:w="1701" w:type="dxa"/>
            <w:vAlign w:val="center"/>
          </w:tcPr>
          <w:p w14:paraId="773C26FE" w14:textId="77777777" w:rsidR="00124A26" w:rsidRPr="00AC3044" w:rsidRDefault="00124A26" w:rsidP="002D3EBF">
            <w:pPr>
              <w:ind w:firstLine="0"/>
              <w:rPr>
                <w:rFonts w:eastAsia="SimSun"/>
              </w:rPr>
            </w:pPr>
            <w:r w:rsidRPr="00AC3044">
              <w:rPr>
                <w:rFonts w:eastAsia="SimSun"/>
              </w:rPr>
              <w:t xml:space="preserve">Флударабин </w:t>
            </w:r>
          </w:p>
        </w:tc>
        <w:tc>
          <w:tcPr>
            <w:tcW w:w="1559" w:type="dxa"/>
            <w:vAlign w:val="center"/>
          </w:tcPr>
          <w:p w14:paraId="59B0CC58" w14:textId="77777777" w:rsidR="00124A26" w:rsidRPr="00AC3044" w:rsidRDefault="00124A26" w:rsidP="002D3EB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6E9C1F5D" w14:textId="77777777" w:rsidR="00124A26" w:rsidRPr="00AC3044" w:rsidRDefault="00124A26" w:rsidP="002D3EBF">
            <w:pPr>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14:paraId="766C12FD" w14:textId="77777777" w:rsidR="00124A26" w:rsidRPr="00AC3044" w:rsidRDefault="00124A26" w:rsidP="002D3EBF">
            <w:pPr>
              <w:ind w:firstLine="0"/>
              <w:rPr>
                <w:rFonts w:eastAsia="SimSun"/>
              </w:rPr>
            </w:pPr>
            <w:r w:rsidRPr="00AC3044">
              <w:rPr>
                <w:rFonts w:eastAsia="SimSun"/>
              </w:rPr>
              <w:t>С -7 дня по -2 день</w:t>
            </w:r>
          </w:p>
        </w:tc>
        <w:tc>
          <w:tcPr>
            <w:tcW w:w="2268" w:type="dxa"/>
            <w:vAlign w:val="center"/>
          </w:tcPr>
          <w:p w14:paraId="2B217CCE"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7E4FCFDF" w14:textId="77777777" w:rsidTr="002D3EBF">
        <w:trPr>
          <w:cantSplit/>
          <w:trHeight w:val="1207"/>
        </w:trPr>
        <w:tc>
          <w:tcPr>
            <w:tcW w:w="817" w:type="dxa"/>
            <w:vMerge/>
            <w:vAlign w:val="center"/>
          </w:tcPr>
          <w:p w14:paraId="105FFBD6" w14:textId="77777777" w:rsidR="00124A26" w:rsidRPr="00AC3044" w:rsidRDefault="00124A26" w:rsidP="002D3EBF">
            <w:pPr>
              <w:ind w:firstLine="0"/>
              <w:rPr>
                <w:rFonts w:eastAsia="SimSun"/>
              </w:rPr>
            </w:pPr>
          </w:p>
        </w:tc>
        <w:tc>
          <w:tcPr>
            <w:tcW w:w="1701" w:type="dxa"/>
            <w:vAlign w:val="center"/>
          </w:tcPr>
          <w:p w14:paraId="4D4CE994" w14:textId="77777777" w:rsidR="00124A26" w:rsidRPr="00AC3044" w:rsidRDefault="00124A26" w:rsidP="002D3EBF">
            <w:pPr>
              <w:ind w:firstLine="0"/>
              <w:rPr>
                <w:rFonts w:eastAsia="SimSun"/>
              </w:rPr>
            </w:pPr>
            <w:r w:rsidRPr="00AC3044">
              <w:rPr>
                <w:rFonts w:eastAsia="SimSun"/>
              </w:rPr>
              <w:t>Бусульфан</w:t>
            </w:r>
          </w:p>
        </w:tc>
        <w:tc>
          <w:tcPr>
            <w:tcW w:w="1559" w:type="dxa"/>
            <w:vAlign w:val="center"/>
          </w:tcPr>
          <w:p w14:paraId="1AA9AC62" w14:textId="77777777" w:rsidR="00124A26" w:rsidRPr="00AC3044" w:rsidRDefault="00124A26" w:rsidP="002D3EBF">
            <w:pPr>
              <w:ind w:firstLine="0"/>
              <w:rPr>
                <w:rFonts w:eastAsia="SimSun"/>
              </w:rPr>
            </w:pPr>
            <w:r w:rsidRPr="00AC3044">
              <w:rPr>
                <w:rFonts w:eastAsia="SimSun"/>
              </w:rPr>
              <w:t xml:space="preserve">4 мг/кг </w:t>
            </w:r>
          </w:p>
        </w:tc>
        <w:tc>
          <w:tcPr>
            <w:tcW w:w="1418" w:type="dxa"/>
            <w:vAlign w:val="center"/>
          </w:tcPr>
          <w:p w14:paraId="7A46E85D" w14:textId="77777777" w:rsidR="00124A26" w:rsidRPr="00AC3044" w:rsidRDefault="00124A26" w:rsidP="002D3EBF">
            <w:pPr>
              <w:ind w:firstLine="0"/>
              <w:rPr>
                <w:rFonts w:eastAsia="SimSun"/>
              </w:rPr>
            </w:pPr>
            <w:r w:rsidRPr="00AC3044">
              <w:rPr>
                <w:rFonts w:eastAsia="SimSun"/>
              </w:rPr>
              <w:t xml:space="preserve">10 мг/кг </w:t>
            </w:r>
          </w:p>
        </w:tc>
        <w:tc>
          <w:tcPr>
            <w:tcW w:w="1701" w:type="dxa"/>
            <w:vAlign w:val="center"/>
          </w:tcPr>
          <w:p w14:paraId="0D4D43E8" w14:textId="77777777" w:rsidR="00124A26" w:rsidRPr="00AC3044" w:rsidRDefault="00124A26" w:rsidP="002D3EBF">
            <w:pPr>
              <w:ind w:firstLine="0"/>
              <w:rPr>
                <w:rFonts w:eastAsia="SimSun"/>
              </w:rPr>
            </w:pPr>
            <w:r w:rsidRPr="00AC3044">
              <w:rPr>
                <w:rFonts w:eastAsia="SimSun"/>
              </w:rPr>
              <w:t>С -5 дня по -3 день</w:t>
            </w:r>
          </w:p>
        </w:tc>
        <w:tc>
          <w:tcPr>
            <w:tcW w:w="2268" w:type="dxa"/>
            <w:vAlign w:val="center"/>
          </w:tcPr>
          <w:p w14:paraId="6832C22B"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124A26" w:rsidRPr="00AC3044" w14:paraId="7F53F14D" w14:textId="77777777" w:rsidTr="002D3EBF">
        <w:trPr>
          <w:cantSplit/>
          <w:trHeight w:val="1498"/>
        </w:trPr>
        <w:tc>
          <w:tcPr>
            <w:tcW w:w="817" w:type="dxa"/>
            <w:textDirection w:val="btLr"/>
            <w:vAlign w:val="center"/>
          </w:tcPr>
          <w:p w14:paraId="56E69F90" w14:textId="77777777" w:rsidR="00124A26" w:rsidRPr="00AC3044" w:rsidRDefault="00124A26" w:rsidP="002D3EBF">
            <w:pPr>
              <w:ind w:firstLine="0"/>
              <w:rPr>
                <w:rFonts w:eastAsia="SimSun"/>
              </w:rPr>
            </w:pPr>
            <w:r w:rsidRPr="00AC3044">
              <w:rPr>
                <w:rFonts w:eastAsia="SimSun"/>
              </w:rPr>
              <w:t>Профилактика РТПХ</w:t>
            </w:r>
          </w:p>
        </w:tc>
        <w:tc>
          <w:tcPr>
            <w:tcW w:w="1701" w:type="dxa"/>
            <w:vAlign w:val="center"/>
          </w:tcPr>
          <w:p w14:paraId="68843366" w14:textId="77777777" w:rsidR="00124A26" w:rsidRPr="00AC3044" w:rsidRDefault="00124A26" w:rsidP="002D3EBF">
            <w:pPr>
              <w:ind w:firstLine="0"/>
              <w:rPr>
                <w:rFonts w:eastAsia="SimSun"/>
              </w:rPr>
            </w:pPr>
            <w:r w:rsidRPr="00AC3044">
              <w:rPr>
                <w:rFonts w:eastAsia="SimSun"/>
              </w:rPr>
              <w:t>Циклофосфамид</w:t>
            </w:r>
          </w:p>
        </w:tc>
        <w:tc>
          <w:tcPr>
            <w:tcW w:w="1559" w:type="dxa"/>
            <w:vAlign w:val="center"/>
          </w:tcPr>
          <w:p w14:paraId="32B4B2F6" w14:textId="77777777" w:rsidR="00124A26" w:rsidRPr="00AC3044" w:rsidRDefault="00124A26" w:rsidP="002D3EBF">
            <w:pPr>
              <w:ind w:firstLine="0"/>
              <w:rPr>
                <w:rFonts w:eastAsia="SimSun"/>
              </w:rPr>
            </w:pPr>
            <w:r w:rsidRPr="00AC3044">
              <w:rPr>
                <w:rFonts w:eastAsia="SimSun"/>
              </w:rPr>
              <w:t>50 мг/кг</w:t>
            </w:r>
          </w:p>
        </w:tc>
        <w:tc>
          <w:tcPr>
            <w:tcW w:w="1418" w:type="dxa"/>
            <w:vAlign w:val="center"/>
          </w:tcPr>
          <w:p w14:paraId="59425837" w14:textId="77777777" w:rsidR="00124A26" w:rsidRPr="00AC3044" w:rsidRDefault="00124A26" w:rsidP="002D3EBF">
            <w:pPr>
              <w:ind w:firstLine="0"/>
              <w:rPr>
                <w:rFonts w:eastAsia="SimSun"/>
              </w:rPr>
            </w:pPr>
            <w:r w:rsidRPr="00AC3044">
              <w:rPr>
                <w:rFonts w:eastAsia="SimSun"/>
              </w:rPr>
              <w:t>100 мг/кг</w:t>
            </w:r>
          </w:p>
        </w:tc>
        <w:tc>
          <w:tcPr>
            <w:tcW w:w="1701" w:type="dxa"/>
            <w:vAlign w:val="center"/>
          </w:tcPr>
          <w:p w14:paraId="613F0F71" w14:textId="77777777" w:rsidR="00124A26" w:rsidRPr="00AC3044" w:rsidRDefault="00124A26" w:rsidP="002D3EBF">
            <w:pPr>
              <w:ind w:firstLine="0"/>
              <w:rPr>
                <w:rFonts w:eastAsia="SimSun"/>
              </w:rPr>
            </w:pPr>
            <w:r w:rsidRPr="00AC3044">
              <w:rPr>
                <w:rFonts w:eastAsia="SimSun"/>
              </w:rPr>
              <w:t>С +3 дня по +4 день</w:t>
            </w:r>
          </w:p>
        </w:tc>
        <w:tc>
          <w:tcPr>
            <w:tcW w:w="2268" w:type="dxa"/>
            <w:vAlign w:val="center"/>
          </w:tcPr>
          <w:p w14:paraId="4B405D9B" w14:textId="77777777" w:rsidR="00124A26" w:rsidRPr="00AC3044" w:rsidRDefault="00124A26" w:rsidP="002D3EBF">
            <w:pPr>
              <w:ind w:firstLine="0"/>
              <w:rPr>
                <w:rFonts w:eastAsia="SimSun"/>
              </w:rPr>
            </w:pPr>
            <w:r w:rsidRPr="00AC3044">
              <w:rPr>
                <w:rFonts w:eastAsia="SimSun"/>
              </w:rPr>
              <w:t>В/в, в течение 2 часов</w:t>
            </w:r>
          </w:p>
        </w:tc>
      </w:tr>
    </w:tbl>
    <w:p w14:paraId="525D09B0" w14:textId="77777777" w:rsidR="00124A26" w:rsidRDefault="00124A26" w:rsidP="00124A26">
      <w:pPr>
        <w:rPr>
          <w:rFonts w:eastAsia="SimSun"/>
        </w:rPr>
      </w:pPr>
      <w:bookmarkStart w:id="251" w:name="_Toc44401213"/>
    </w:p>
    <w:p w14:paraId="5649825F" w14:textId="77777777" w:rsidR="00124A26" w:rsidRPr="00C07B2E" w:rsidRDefault="00124A26" w:rsidP="00124A26">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2.2.13  – Flu180+Bu10 / PT-Cy+Tx+MMF30</w:t>
      </w:r>
      <w:bookmarkEnd w:id="251"/>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124A26" w:rsidRPr="00AC3044" w14:paraId="7187691C" w14:textId="77777777" w:rsidTr="002D3EBF">
        <w:trPr>
          <w:cantSplit/>
          <w:trHeight w:val="20"/>
          <w:tblHeader/>
        </w:trPr>
        <w:tc>
          <w:tcPr>
            <w:tcW w:w="817" w:type="dxa"/>
            <w:vAlign w:val="center"/>
          </w:tcPr>
          <w:p w14:paraId="5D1B63C1" w14:textId="77777777" w:rsidR="00124A26" w:rsidRPr="00470D3D" w:rsidRDefault="00124A26" w:rsidP="002D3EBF">
            <w:pPr>
              <w:ind w:firstLine="0"/>
              <w:rPr>
                <w:rFonts w:eastAsia="SimSun"/>
              </w:rPr>
            </w:pPr>
          </w:p>
        </w:tc>
        <w:tc>
          <w:tcPr>
            <w:tcW w:w="1701" w:type="dxa"/>
            <w:vAlign w:val="center"/>
          </w:tcPr>
          <w:p w14:paraId="7ECEDCDE" w14:textId="77777777" w:rsidR="00124A26" w:rsidRPr="00AC3044" w:rsidRDefault="00124A26" w:rsidP="002D3EBF">
            <w:pPr>
              <w:ind w:firstLine="0"/>
              <w:rPr>
                <w:rFonts w:eastAsia="SimSun"/>
              </w:rPr>
            </w:pPr>
            <w:r w:rsidRPr="00AC3044">
              <w:rPr>
                <w:rFonts w:eastAsia="SimSun"/>
              </w:rPr>
              <w:t>Препарат</w:t>
            </w:r>
          </w:p>
        </w:tc>
        <w:tc>
          <w:tcPr>
            <w:tcW w:w="1559" w:type="dxa"/>
            <w:vAlign w:val="center"/>
          </w:tcPr>
          <w:p w14:paraId="60FC3738" w14:textId="77777777" w:rsidR="00124A26" w:rsidRPr="00AC3044" w:rsidRDefault="00124A26" w:rsidP="002D3EBF">
            <w:pPr>
              <w:ind w:firstLine="0"/>
              <w:rPr>
                <w:rFonts w:eastAsia="SimSun"/>
              </w:rPr>
            </w:pPr>
            <w:r w:rsidRPr="00AC3044">
              <w:rPr>
                <w:rFonts w:eastAsia="SimSun"/>
              </w:rPr>
              <w:t>Суточная доза</w:t>
            </w:r>
          </w:p>
        </w:tc>
        <w:tc>
          <w:tcPr>
            <w:tcW w:w="1418" w:type="dxa"/>
            <w:vAlign w:val="center"/>
          </w:tcPr>
          <w:p w14:paraId="46DF41E0" w14:textId="77777777" w:rsidR="00124A26" w:rsidRPr="00AC3044" w:rsidRDefault="00124A26" w:rsidP="002D3EBF">
            <w:pPr>
              <w:ind w:firstLine="0"/>
              <w:rPr>
                <w:rFonts w:eastAsia="SimSun"/>
              </w:rPr>
            </w:pPr>
            <w:r w:rsidRPr="00AC3044">
              <w:rPr>
                <w:rFonts w:eastAsia="SimSun"/>
              </w:rPr>
              <w:t>Курсовая доза</w:t>
            </w:r>
          </w:p>
        </w:tc>
        <w:tc>
          <w:tcPr>
            <w:tcW w:w="1701" w:type="dxa"/>
            <w:vAlign w:val="center"/>
          </w:tcPr>
          <w:p w14:paraId="7DEF02BE" w14:textId="77777777" w:rsidR="00124A26" w:rsidRPr="00AC3044" w:rsidRDefault="00124A26" w:rsidP="002D3EBF">
            <w:pPr>
              <w:ind w:firstLine="0"/>
              <w:rPr>
                <w:rFonts w:eastAsia="SimSun"/>
              </w:rPr>
            </w:pPr>
            <w:r w:rsidRPr="00AC3044">
              <w:rPr>
                <w:rFonts w:eastAsia="SimSun"/>
              </w:rPr>
              <w:t>Дни введения</w:t>
            </w:r>
          </w:p>
        </w:tc>
        <w:tc>
          <w:tcPr>
            <w:tcW w:w="2268" w:type="dxa"/>
            <w:vAlign w:val="center"/>
          </w:tcPr>
          <w:p w14:paraId="55492118"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76A28551" w14:textId="77777777" w:rsidTr="002D3EBF">
        <w:trPr>
          <w:cantSplit/>
          <w:trHeight w:val="20"/>
        </w:trPr>
        <w:tc>
          <w:tcPr>
            <w:tcW w:w="817" w:type="dxa"/>
            <w:vMerge w:val="restart"/>
            <w:textDirection w:val="btLr"/>
            <w:vAlign w:val="center"/>
          </w:tcPr>
          <w:p w14:paraId="72D85DBE" w14:textId="77777777" w:rsidR="00124A26" w:rsidRPr="00AC3044" w:rsidRDefault="00124A26" w:rsidP="002D3EBF">
            <w:pPr>
              <w:ind w:firstLine="0"/>
              <w:rPr>
                <w:rFonts w:eastAsia="SimSun"/>
              </w:rPr>
            </w:pPr>
            <w:r w:rsidRPr="00AC3044">
              <w:rPr>
                <w:rFonts w:eastAsia="SimSun"/>
              </w:rPr>
              <w:t>Кондиционирование</w:t>
            </w:r>
          </w:p>
        </w:tc>
        <w:tc>
          <w:tcPr>
            <w:tcW w:w="1701" w:type="dxa"/>
            <w:vAlign w:val="center"/>
          </w:tcPr>
          <w:p w14:paraId="7191248D" w14:textId="77777777" w:rsidR="00124A26" w:rsidRPr="00AC3044" w:rsidRDefault="00124A26" w:rsidP="002D3EBF">
            <w:pPr>
              <w:ind w:firstLine="0"/>
              <w:rPr>
                <w:rFonts w:eastAsia="SimSun"/>
              </w:rPr>
            </w:pPr>
            <w:r w:rsidRPr="00AC3044">
              <w:rPr>
                <w:rFonts w:eastAsia="SimSun"/>
              </w:rPr>
              <w:t xml:space="preserve">Флударабин </w:t>
            </w:r>
          </w:p>
        </w:tc>
        <w:tc>
          <w:tcPr>
            <w:tcW w:w="1559" w:type="dxa"/>
            <w:vAlign w:val="center"/>
          </w:tcPr>
          <w:p w14:paraId="68343007" w14:textId="77777777" w:rsidR="00124A26" w:rsidRPr="00AC3044" w:rsidRDefault="00124A26" w:rsidP="002D3EB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352371A8" w14:textId="77777777" w:rsidR="00124A26" w:rsidRPr="00AC3044" w:rsidRDefault="00124A26" w:rsidP="002D3EBF">
            <w:pPr>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14:paraId="2BCC1033" w14:textId="77777777" w:rsidR="00124A26" w:rsidRPr="00AC3044" w:rsidRDefault="00124A26" w:rsidP="002D3EBF">
            <w:pPr>
              <w:ind w:firstLine="0"/>
              <w:rPr>
                <w:rFonts w:eastAsia="SimSun"/>
              </w:rPr>
            </w:pPr>
            <w:r w:rsidRPr="00AC3044">
              <w:rPr>
                <w:rFonts w:eastAsia="SimSun"/>
              </w:rPr>
              <w:t>С -7 дня по -2 день</w:t>
            </w:r>
          </w:p>
        </w:tc>
        <w:tc>
          <w:tcPr>
            <w:tcW w:w="2268" w:type="dxa"/>
            <w:vAlign w:val="center"/>
          </w:tcPr>
          <w:p w14:paraId="4E964A05"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10B9902D" w14:textId="77777777" w:rsidTr="002D3EBF">
        <w:trPr>
          <w:cantSplit/>
          <w:trHeight w:val="1207"/>
        </w:trPr>
        <w:tc>
          <w:tcPr>
            <w:tcW w:w="817" w:type="dxa"/>
            <w:vMerge/>
            <w:vAlign w:val="center"/>
          </w:tcPr>
          <w:p w14:paraId="53E17D05" w14:textId="77777777" w:rsidR="00124A26" w:rsidRPr="00AC3044" w:rsidRDefault="00124A26" w:rsidP="002D3EBF">
            <w:pPr>
              <w:ind w:firstLine="0"/>
              <w:rPr>
                <w:rFonts w:eastAsia="SimSun"/>
              </w:rPr>
            </w:pPr>
          </w:p>
        </w:tc>
        <w:tc>
          <w:tcPr>
            <w:tcW w:w="1701" w:type="dxa"/>
            <w:vAlign w:val="center"/>
          </w:tcPr>
          <w:p w14:paraId="0C8607C1" w14:textId="77777777" w:rsidR="00124A26" w:rsidRPr="00AC3044" w:rsidRDefault="00124A26" w:rsidP="002D3EBF">
            <w:pPr>
              <w:ind w:firstLine="0"/>
              <w:rPr>
                <w:rFonts w:eastAsia="SimSun"/>
              </w:rPr>
            </w:pPr>
            <w:r w:rsidRPr="00AC3044">
              <w:rPr>
                <w:rFonts w:eastAsia="SimSun"/>
              </w:rPr>
              <w:t>Бусульфан</w:t>
            </w:r>
          </w:p>
        </w:tc>
        <w:tc>
          <w:tcPr>
            <w:tcW w:w="1559" w:type="dxa"/>
            <w:vAlign w:val="center"/>
          </w:tcPr>
          <w:p w14:paraId="0CE42FEA" w14:textId="77777777" w:rsidR="00124A26" w:rsidRPr="00AC3044" w:rsidRDefault="00124A26" w:rsidP="002D3EBF">
            <w:pPr>
              <w:ind w:firstLine="0"/>
              <w:rPr>
                <w:rFonts w:eastAsia="SimSun"/>
              </w:rPr>
            </w:pPr>
            <w:r w:rsidRPr="00AC3044">
              <w:rPr>
                <w:rFonts w:eastAsia="SimSun"/>
              </w:rPr>
              <w:t xml:space="preserve">4 мг/кг </w:t>
            </w:r>
          </w:p>
        </w:tc>
        <w:tc>
          <w:tcPr>
            <w:tcW w:w="1418" w:type="dxa"/>
            <w:vAlign w:val="center"/>
          </w:tcPr>
          <w:p w14:paraId="290ECB59" w14:textId="77777777" w:rsidR="00124A26" w:rsidRPr="00AC3044" w:rsidRDefault="00124A26" w:rsidP="002D3EBF">
            <w:pPr>
              <w:ind w:firstLine="0"/>
              <w:rPr>
                <w:rFonts w:eastAsia="SimSun"/>
              </w:rPr>
            </w:pPr>
            <w:r w:rsidRPr="00AC3044">
              <w:rPr>
                <w:rFonts w:eastAsia="SimSun"/>
              </w:rPr>
              <w:t xml:space="preserve">10 мг/кг </w:t>
            </w:r>
          </w:p>
        </w:tc>
        <w:tc>
          <w:tcPr>
            <w:tcW w:w="1701" w:type="dxa"/>
            <w:vAlign w:val="center"/>
          </w:tcPr>
          <w:p w14:paraId="379BD6AC" w14:textId="77777777" w:rsidR="00124A26" w:rsidRPr="00AC3044" w:rsidRDefault="00124A26" w:rsidP="002D3EBF">
            <w:pPr>
              <w:ind w:firstLine="0"/>
              <w:rPr>
                <w:rFonts w:eastAsia="SimSun"/>
              </w:rPr>
            </w:pPr>
            <w:r w:rsidRPr="00AC3044">
              <w:rPr>
                <w:rFonts w:eastAsia="SimSun"/>
              </w:rPr>
              <w:t>С -5 дня по -3 день</w:t>
            </w:r>
          </w:p>
        </w:tc>
        <w:tc>
          <w:tcPr>
            <w:tcW w:w="2268" w:type="dxa"/>
            <w:vAlign w:val="center"/>
          </w:tcPr>
          <w:p w14:paraId="708746F1"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124A26" w:rsidRPr="00AC3044" w14:paraId="07926DE2" w14:textId="77777777" w:rsidTr="002D3EBF">
        <w:trPr>
          <w:cantSplit/>
          <w:trHeight w:val="368"/>
        </w:trPr>
        <w:tc>
          <w:tcPr>
            <w:tcW w:w="817" w:type="dxa"/>
            <w:vMerge w:val="restart"/>
            <w:textDirection w:val="btLr"/>
            <w:vAlign w:val="center"/>
          </w:tcPr>
          <w:p w14:paraId="39DCD54E" w14:textId="77777777" w:rsidR="00124A26" w:rsidRPr="00AC3044" w:rsidRDefault="00124A26" w:rsidP="002D3EBF">
            <w:pPr>
              <w:ind w:firstLine="0"/>
              <w:rPr>
                <w:rFonts w:eastAsia="SimSun"/>
              </w:rPr>
            </w:pPr>
            <w:r w:rsidRPr="00AC3044">
              <w:rPr>
                <w:rFonts w:eastAsia="SimSun"/>
              </w:rPr>
              <w:t>Профилактика РТПХ</w:t>
            </w:r>
          </w:p>
        </w:tc>
        <w:tc>
          <w:tcPr>
            <w:tcW w:w="1701" w:type="dxa"/>
            <w:vAlign w:val="center"/>
          </w:tcPr>
          <w:p w14:paraId="67EFEBB3" w14:textId="77777777" w:rsidR="00124A26" w:rsidRPr="00AC3044" w:rsidRDefault="00124A26" w:rsidP="002D3EBF">
            <w:pPr>
              <w:ind w:firstLine="0"/>
              <w:rPr>
                <w:rFonts w:eastAsia="SimSun"/>
              </w:rPr>
            </w:pPr>
            <w:r w:rsidRPr="00AC3044">
              <w:rPr>
                <w:rFonts w:eastAsia="SimSun"/>
              </w:rPr>
              <w:t>Циклофосфамид</w:t>
            </w:r>
          </w:p>
        </w:tc>
        <w:tc>
          <w:tcPr>
            <w:tcW w:w="1559" w:type="dxa"/>
            <w:vAlign w:val="center"/>
          </w:tcPr>
          <w:p w14:paraId="7A320E1C" w14:textId="77777777" w:rsidR="00124A26" w:rsidRPr="00AC3044" w:rsidRDefault="00124A26" w:rsidP="002D3EBF">
            <w:pPr>
              <w:ind w:firstLine="0"/>
              <w:rPr>
                <w:rFonts w:eastAsia="SimSun"/>
              </w:rPr>
            </w:pPr>
            <w:r w:rsidRPr="00AC3044">
              <w:rPr>
                <w:rFonts w:eastAsia="SimSun"/>
              </w:rPr>
              <w:t>50 мг/кг</w:t>
            </w:r>
          </w:p>
        </w:tc>
        <w:tc>
          <w:tcPr>
            <w:tcW w:w="1418" w:type="dxa"/>
            <w:vAlign w:val="center"/>
          </w:tcPr>
          <w:p w14:paraId="6D545170" w14:textId="77777777" w:rsidR="00124A26" w:rsidRPr="00AC3044" w:rsidRDefault="00124A26" w:rsidP="002D3EBF">
            <w:pPr>
              <w:ind w:firstLine="0"/>
              <w:rPr>
                <w:rFonts w:eastAsia="SimSun"/>
              </w:rPr>
            </w:pPr>
            <w:r w:rsidRPr="00AC3044">
              <w:rPr>
                <w:rFonts w:eastAsia="SimSun"/>
              </w:rPr>
              <w:t>100 мг/кг</w:t>
            </w:r>
          </w:p>
        </w:tc>
        <w:tc>
          <w:tcPr>
            <w:tcW w:w="1701" w:type="dxa"/>
            <w:vAlign w:val="center"/>
          </w:tcPr>
          <w:p w14:paraId="56C52CE6" w14:textId="77777777" w:rsidR="00124A26" w:rsidRPr="00AC3044" w:rsidRDefault="00124A26" w:rsidP="002D3EBF">
            <w:pPr>
              <w:ind w:firstLine="0"/>
              <w:rPr>
                <w:rFonts w:eastAsia="SimSun"/>
              </w:rPr>
            </w:pPr>
            <w:r w:rsidRPr="00AC3044">
              <w:rPr>
                <w:rFonts w:eastAsia="SimSun"/>
              </w:rPr>
              <w:t>С +3 дня по +4 день</w:t>
            </w:r>
          </w:p>
        </w:tc>
        <w:tc>
          <w:tcPr>
            <w:tcW w:w="2268" w:type="dxa"/>
            <w:vAlign w:val="center"/>
          </w:tcPr>
          <w:p w14:paraId="65584D18" w14:textId="77777777" w:rsidR="00124A26" w:rsidRPr="00AC3044" w:rsidRDefault="00124A26" w:rsidP="002D3EBF">
            <w:pPr>
              <w:ind w:firstLine="0"/>
              <w:rPr>
                <w:rFonts w:eastAsia="SimSun"/>
              </w:rPr>
            </w:pPr>
            <w:r w:rsidRPr="00AC3044">
              <w:rPr>
                <w:rFonts w:eastAsia="SimSun"/>
              </w:rPr>
              <w:t>В/в, в течение 2 часов</w:t>
            </w:r>
          </w:p>
        </w:tc>
      </w:tr>
      <w:tr w:rsidR="00124A26" w:rsidRPr="00AC3044" w14:paraId="6D8A11C0" w14:textId="77777777" w:rsidTr="002D3EBF">
        <w:trPr>
          <w:cantSplit/>
          <w:trHeight w:val="958"/>
        </w:trPr>
        <w:tc>
          <w:tcPr>
            <w:tcW w:w="817" w:type="dxa"/>
            <w:vMerge/>
            <w:textDirection w:val="btLr"/>
            <w:vAlign w:val="center"/>
          </w:tcPr>
          <w:p w14:paraId="178E3A9D" w14:textId="77777777" w:rsidR="00124A26" w:rsidRPr="00AC3044" w:rsidRDefault="00124A26" w:rsidP="002D3EBF">
            <w:pPr>
              <w:ind w:firstLine="0"/>
              <w:rPr>
                <w:rFonts w:eastAsia="SimSun"/>
              </w:rPr>
            </w:pPr>
          </w:p>
        </w:tc>
        <w:tc>
          <w:tcPr>
            <w:tcW w:w="1701" w:type="dxa"/>
            <w:vAlign w:val="center"/>
          </w:tcPr>
          <w:p w14:paraId="466B65C3" w14:textId="77777777" w:rsidR="00124A26" w:rsidRPr="00AC3044" w:rsidRDefault="00124A26" w:rsidP="002D3EBF">
            <w:pPr>
              <w:ind w:firstLine="0"/>
              <w:rPr>
                <w:rFonts w:eastAsia="SimSun"/>
              </w:rPr>
            </w:pPr>
            <w:r w:rsidRPr="00AC3044">
              <w:rPr>
                <w:rFonts w:eastAsia="SimSun"/>
              </w:rPr>
              <w:t xml:space="preserve">Такролимус </w:t>
            </w:r>
          </w:p>
        </w:tc>
        <w:tc>
          <w:tcPr>
            <w:tcW w:w="1559" w:type="dxa"/>
            <w:vAlign w:val="center"/>
          </w:tcPr>
          <w:p w14:paraId="212BC3AE" w14:textId="77777777" w:rsidR="00124A26" w:rsidRPr="00AC3044" w:rsidRDefault="00124A26" w:rsidP="002D3EBF">
            <w:pPr>
              <w:ind w:firstLine="0"/>
              <w:rPr>
                <w:rFonts w:eastAsia="SimSun"/>
              </w:rPr>
            </w:pPr>
            <w:r w:rsidRPr="00AC3044">
              <w:rPr>
                <w:rFonts w:eastAsia="SimSun"/>
              </w:rPr>
              <w:t>0,03 мг/кг</w:t>
            </w:r>
          </w:p>
        </w:tc>
        <w:tc>
          <w:tcPr>
            <w:tcW w:w="1418" w:type="dxa"/>
            <w:vAlign w:val="center"/>
          </w:tcPr>
          <w:p w14:paraId="26FEBBE2"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157AA67E" w14:textId="77777777" w:rsidR="00124A26" w:rsidRPr="00AC3044" w:rsidRDefault="00124A26" w:rsidP="002D3EBF">
            <w:pPr>
              <w:ind w:firstLine="0"/>
              <w:rPr>
                <w:rFonts w:eastAsia="SimSun"/>
              </w:rPr>
            </w:pPr>
            <w:r w:rsidRPr="00AC3044">
              <w:rPr>
                <w:rFonts w:eastAsia="SimSun"/>
              </w:rPr>
              <w:t xml:space="preserve">С +5 дня длительно </w:t>
            </w:r>
          </w:p>
        </w:tc>
        <w:tc>
          <w:tcPr>
            <w:tcW w:w="2268" w:type="dxa"/>
            <w:vAlign w:val="center"/>
          </w:tcPr>
          <w:p w14:paraId="1D51FE00" w14:textId="77777777" w:rsidR="00124A26" w:rsidRPr="00AC3044" w:rsidRDefault="00124A26"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124A26" w:rsidRPr="00AC3044" w14:paraId="41E1AB50" w14:textId="77777777" w:rsidTr="002D3EBF">
        <w:trPr>
          <w:cantSplit/>
          <w:trHeight w:val="446"/>
        </w:trPr>
        <w:tc>
          <w:tcPr>
            <w:tcW w:w="817" w:type="dxa"/>
            <w:vMerge/>
            <w:textDirection w:val="btLr"/>
            <w:vAlign w:val="center"/>
          </w:tcPr>
          <w:p w14:paraId="64D7E517" w14:textId="77777777" w:rsidR="00124A26" w:rsidRPr="00AC3044" w:rsidRDefault="00124A26" w:rsidP="002D3EBF">
            <w:pPr>
              <w:ind w:firstLine="0"/>
              <w:rPr>
                <w:rFonts w:eastAsia="SimSun"/>
              </w:rPr>
            </w:pPr>
          </w:p>
        </w:tc>
        <w:tc>
          <w:tcPr>
            <w:tcW w:w="1701" w:type="dxa"/>
            <w:vAlign w:val="center"/>
          </w:tcPr>
          <w:p w14:paraId="497C8463" w14:textId="77777777" w:rsidR="00124A26" w:rsidRPr="00AC3044" w:rsidRDefault="00124A26" w:rsidP="002D3EBF">
            <w:pPr>
              <w:ind w:firstLine="0"/>
              <w:rPr>
                <w:rFonts w:eastAsia="SimSun"/>
              </w:rPr>
            </w:pPr>
            <w:r w:rsidRPr="00AC3044">
              <w:rPr>
                <w:rFonts w:eastAsia="SimSun"/>
              </w:rPr>
              <w:t>Микофенолата мофетил</w:t>
            </w:r>
          </w:p>
        </w:tc>
        <w:tc>
          <w:tcPr>
            <w:tcW w:w="1559" w:type="dxa"/>
            <w:vAlign w:val="center"/>
          </w:tcPr>
          <w:p w14:paraId="48EFAC6C" w14:textId="77777777" w:rsidR="00124A26" w:rsidRPr="00AC3044" w:rsidRDefault="00124A26" w:rsidP="002D3EBF">
            <w:pPr>
              <w:ind w:firstLine="0"/>
              <w:rPr>
                <w:rFonts w:eastAsia="SimSun"/>
              </w:rPr>
            </w:pPr>
            <w:r w:rsidRPr="00AC3044">
              <w:rPr>
                <w:rFonts w:eastAsia="SimSun"/>
              </w:rPr>
              <w:t xml:space="preserve">30 мг/кг </w:t>
            </w:r>
          </w:p>
        </w:tc>
        <w:tc>
          <w:tcPr>
            <w:tcW w:w="1418" w:type="dxa"/>
            <w:vAlign w:val="center"/>
          </w:tcPr>
          <w:p w14:paraId="2DB678A3"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4C3ED10B" w14:textId="77777777" w:rsidR="00124A26" w:rsidRPr="00AC3044" w:rsidRDefault="00124A26" w:rsidP="002D3EBF">
            <w:pPr>
              <w:ind w:firstLine="0"/>
              <w:rPr>
                <w:rFonts w:eastAsia="SimSun"/>
              </w:rPr>
            </w:pPr>
            <w:r w:rsidRPr="00AC3044">
              <w:rPr>
                <w:rFonts w:eastAsia="SimSun"/>
              </w:rPr>
              <w:t xml:space="preserve">С +5 дня по +35 день </w:t>
            </w:r>
          </w:p>
        </w:tc>
        <w:tc>
          <w:tcPr>
            <w:tcW w:w="2268" w:type="dxa"/>
            <w:vAlign w:val="center"/>
          </w:tcPr>
          <w:p w14:paraId="20E665F2" w14:textId="77777777" w:rsidR="00124A26" w:rsidRPr="00AC3044" w:rsidRDefault="00124A26"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0975F0F6" w14:textId="77777777" w:rsidR="00124A26" w:rsidRDefault="00124A26" w:rsidP="00124A26">
      <w:pPr>
        <w:rPr>
          <w:rFonts w:eastAsia="SimSun"/>
        </w:rPr>
      </w:pPr>
      <w:bookmarkStart w:id="252" w:name="_Toc44401214"/>
    </w:p>
    <w:p w14:paraId="0CA9B921" w14:textId="77777777" w:rsidR="00124A26" w:rsidRPr="00C07B2E" w:rsidRDefault="00124A26" w:rsidP="00124A26">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2.2.14  – Flu180+Bu10 / PT-Cy+Ruxo</w:t>
      </w:r>
      <w:bookmarkEnd w:id="252"/>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124A26" w:rsidRPr="00AC3044" w14:paraId="1711140C" w14:textId="77777777" w:rsidTr="002D3EBF">
        <w:trPr>
          <w:cantSplit/>
          <w:trHeight w:val="20"/>
          <w:tblHeader/>
        </w:trPr>
        <w:tc>
          <w:tcPr>
            <w:tcW w:w="817" w:type="dxa"/>
            <w:vAlign w:val="center"/>
          </w:tcPr>
          <w:p w14:paraId="662FDD76" w14:textId="77777777" w:rsidR="00124A26" w:rsidRPr="00470D3D" w:rsidRDefault="00124A26" w:rsidP="002D3EBF">
            <w:pPr>
              <w:ind w:firstLine="0"/>
              <w:rPr>
                <w:rFonts w:eastAsia="SimSun"/>
              </w:rPr>
            </w:pPr>
          </w:p>
        </w:tc>
        <w:tc>
          <w:tcPr>
            <w:tcW w:w="1701" w:type="dxa"/>
            <w:vAlign w:val="center"/>
          </w:tcPr>
          <w:p w14:paraId="554FD3BA" w14:textId="77777777" w:rsidR="00124A26" w:rsidRPr="00AC3044" w:rsidRDefault="00124A26" w:rsidP="002D3EBF">
            <w:pPr>
              <w:ind w:firstLine="0"/>
              <w:rPr>
                <w:rFonts w:eastAsia="SimSun"/>
              </w:rPr>
            </w:pPr>
            <w:r w:rsidRPr="00AC3044">
              <w:rPr>
                <w:rFonts w:eastAsia="SimSun"/>
              </w:rPr>
              <w:t>Препарат</w:t>
            </w:r>
          </w:p>
        </w:tc>
        <w:tc>
          <w:tcPr>
            <w:tcW w:w="1559" w:type="dxa"/>
            <w:vAlign w:val="center"/>
          </w:tcPr>
          <w:p w14:paraId="727A7AEE" w14:textId="77777777" w:rsidR="00124A26" w:rsidRPr="00AC3044" w:rsidRDefault="00124A26" w:rsidP="002D3EBF">
            <w:pPr>
              <w:ind w:firstLine="0"/>
              <w:rPr>
                <w:rFonts w:eastAsia="SimSun"/>
              </w:rPr>
            </w:pPr>
            <w:r w:rsidRPr="00AC3044">
              <w:rPr>
                <w:rFonts w:eastAsia="SimSun"/>
              </w:rPr>
              <w:t>Суточная доза</w:t>
            </w:r>
          </w:p>
        </w:tc>
        <w:tc>
          <w:tcPr>
            <w:tcW w:w="1418" w:type="dxa"/>
            <w:vAlign w:val="center"/>
          </w:tcPr>
          <w:p w14:paraId="5FCB0009" w14:textId="77777777" w:rsidR="00124A26" w:rsidRPr="00AC3044" w:rsidRDefault="00124A26" w:rsidP="002D3EBF">
            <w:pPr>
              <w:ind w:firstLine="0"/>
              <w:rPr>
                <w:rFonts w:eastAsia="SimSun"/>
              </w:rPr>
            </w:pPr>
            <w:r w:rsidRPr="00AC3044">
              <w:rPr>
                <w:rFonts w:eastAsia="SimSun"/>
              </w:rPr>
              <w:t>Курсовая доза</w:t>
            </w:r>
          </w:p>
        </w:tc>
        <w:tc>
          <w:tcPr>
            <w:tcW w:w="1701" w:type="dxa"/>
            <w:vAlign w:val="center"/>
          </w:tcPr>
          <w:p w14:paraId="09CD319D" w14:textId="77777777" w:rsidR="00124A26" w:rsidRPr="00AC3044" w:rsidRDefault="00124A26" w:rsidP="002D3EBF">
            <w:pPr>
              <w:ind w:firstLine="0"/>
              <w:rPr>
                <w:rFonts w:eastAsia="SimSun"/>
              </w:rPr>
            </w:pPr>
            <w:r w:rsidRPr="00AC3044">
              <w:rPr>
                <w:rFonts w:eastAsia="SimSun"/>
              </w:rPr>
              <w:t>Дни введения</w:t>
            </w:r>
          </w:p>
        </w:tc>
        <w:tc>
          <w:tcPr>
            <w:tcW w:w="2268" w:type="dxa"/>
            <w:vAlign w:val="center"/>
          </w:tcPr>
          <w:p w14:paraId="1FF50D6F"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43B0EFD7" w14:textId="77777777" w:rsidTr="002D3EBF">
        <w:trPr>
          <w:cantSplit/>
          <w:trHeight w:val="20"/>
        </w:trPr>
        <w:tc>
          <w:tcPr>
            <w:tcW w:w="817" w:type="dxa"/>
            <w:vMerge w:val="restart"/>
            <w:textDirection w:val="btLr"/>
            <w:vAlign w:val="center"/>
          </w:tcPr>
          <w:p w14:paraId="053AD718" w14:textId="77777777" w:rsidR="00124A26" w:rsidRPr="00AC3044" w:rsidRDefault="00124A26" w:rsidP="002D3EBF">
            <w:pPr>
              <w:ind w:firstLine="0"/>
              <w:rPr>
                <w:rFonts w:eastAsia="SimSun"/>
              </w:rPr>
            </w:pPr>
            <w:r w:rsidRPr="00AC3044">
              <w:rPr>
                <w:rFonts w:eastAsia="SimSun"/>
              </w:rPr>
              <w:t>Кондиционирование</w:t>
            </w:r>
          </w:p>
        </w:tc>
        <w:tc>
          <w:tcPr>
            <w:tcW w:w="1701" w:type="dxa"/>
            <w:vAlign w:val="center"/>
          </w:tcPr>
          <w:p w14:paraId="3D5A792E" w14:textId="77777777" w:rsidR="00124A26" w:rsidRPr="00AC3044" w:rsidRDefault="00124A26" w:rsidP="002D3EBF">
            <w:pPr>
              <w:ind w:firstLine="0"/>
              <w:rPr>
                <w:rFonts w:eastAsia="SimSun"/>
              </w:rPr>
            </w:pPr>
            <w:r w:rsidRPr="00AC3044">
              <w:rPr>
                <w:rFonts w:eastAsia="SimSun"/>
              </w:rPr>
              <w:t xml:space="preserve">Флударабин </w:t>
            </w:r>
          </w:p>
        </w:tc>
        <w:tc>
          <w:tcPr>
            <w:tcW w:w="1559" w:type="dxa"/>
            <w:vAlign w:val="center"/>
          </w:tcPr>
          <w:p w14:paraId="52E79BCC" w14:textId="77777777" w:rsidR="00124A26" w:rsidRPr="00AC3044" w:rsidRDefault="00124A26" w:rsidP="002D3EB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1A50C2E5" w14:textId="77777777" w:rsidR="00124A26" w:rsidRPr="00AC3044" w:rsidRDefault="00124A26" w:rsidP="002D3EBF">
            <w:pPr>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14:paraId="2751803E" w14:textId="77777777" w:rsidR="00124A26" w:rsidRPr="00AC3044" w:rsidRDefault="00124A26" w:rsidP="002D3EBF">
            <w:pPr>
              <w:ind w:firstLine="0"/>
              <w:rPr>
                <w:rFonts w:eastAsia="SimSun"/>
              </w:rPr>
            </w:pPr>
            <w:r w:rsidRPr="00AC3044">
              <w:rPr>
                <w:rFonts w:eastAsia="SimSun"/>
              </w:rPr>
              <w:t>С -7 дня по -2 день</w:t>
            </w:r>
          </w:p>
        </w:tc>
        <w:tc>
          <w:tcPr>
            <w:tcW w:w="2268" w:type="dxa"/>
            <w:vAlign w:val="center"/>
          </w:tcPr>
          <w:p w14:paraId="7CB19513"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19BA5EDB" w14:textId="77777777" w:rsidTr="002D3EBF">
        <w:trPr>
          <w:cantSplit/>
          <w:trHeight w:val="1207"/>
        </w:trPr>
        <w:tc>
          <w:tcPr>
            <w:tcW w:w="817" w:type="dxa"/>
            <w:vMerge/>
            <w:vAlign w:val="center"/>
          </w:tcPr>
          <w:p w14:paraId="75EDE158" w14:textId="77777777" w:rsidR="00124A26" w:rsidRPr="00AC3044" w:rsidRDefault="00124A26" w:rsidP="002D3EBF">
            <w:pPr>
              <w:ind w:firstLine="0"/>
              <w:rPr>
                <w:rFonts w:eastAsia="SimSun"/>
              </w:rPr>
            </w:pPr>
          </w:p>
        </w:tc>
        <w:tc>
          <w:tcPr>
            <w:tcW w:w="1701" w:type="dxa"/>
            <w:vAlign w:val="center"/>
          </w:tcPr>
          <w:p w14:paraId="41EAEFCB" w14:textId="77777777" w:rsidR="00124A26" w:rsidRPr="00AC3044" w:rsidRDefault="00124A26" w:rsidP="002D3EBF">
            <w:pPr>
              <w:ind w:firstLine="0"/>
              <w:rPr>
                <w:rFonts w:eastAsia="SimSun"/>
              </w:rPr>
            </w:pPr>
            <w:r w:rsidRPr="00AC3044">
              <w:rPr>
                <w:rFonts w:eastAsia="SimSun"/>
              </w:rPr>
              <w:t>Бусульфан</w:t>
            </w:r>
          </w:p>
        </w:tc>
        <w:tc>
          <w:tcPr>
            <w:tcW w:w="1559" w:type="dxa"/>
            <w:vAlign w:val="center"/>
          </w:tcPr>
          <w:p w14:paraId="6CFE1E47" w14:textId="77777777" w:rsidR="00124A26" w:rsidRPr="00AC3044" w:rsidRDefault="00124A26" w:rsidP="002D3EBF">
            <w:pPr>
              <w:ind w:firstLine="0"/>
              <w:rPr>
                <w:rFonts w:eastAsia="SimSun"/>
              </w:rPr>
            </w:pPr>
            <w:r w:rsidRPr="00AC3044">
              <w:rPr>
                <w:rFonts w:eastAsia="SimSun"/>
              </w:rPr>
              <w:t xml:space="preserve">4 мг/кг </w:t>
            </w:r>
          </w:p>
        </w:tc>
        <w:tc>
          <w:tcPr>
            <w:tcW w:w="1418" w:type="dxa"/>
            <w:vAlign w:val="center"/>
          </w:tcPr>
          <w:p w14:paraId="6BDC7A55" w14:textId="77777777" w:rsidR="00124A26" w:rsidRPr="00AC3044" w:rsidRDefault="00124A26" w:rsidP="002D3EBF">
            <w:pPr>
              <w:ind w:firstLine="0"/>
              <w:rPr>
                <w:rFonts w:eastAsia="SimSun"/>
              </w:rPr>
            </w:pPr>
            <w:r w:rsidRPr="00AC3044">
              <w:rPr>
                <w:rFonts w:eastAsia="SimSun"/>
              </w:rPr>
              <w:t xml:space="preserve">10 мг/кг </w:t>
            </w:r>
          </w:p>
        </w:tc>
        <w:tc>
          <w:tcPr>
            <w:tcW w:w="1701" w:type="dxa"/>
            <w:vAlign w:val="center"/>
          </w:tcPr>
          <w:p w14:paraId="044E087E" w14:textId="77777777" w:rsidR="00124A26" w:rsidRPr="00AC3044" w:rsidRDefault="00124A26" w:rsidP="002D3EBF">
            <w:pPr>
              <w:ind w:firstLine="0"/>
              <w:rPr>
                <w:rFonts w:eastAsia="SimSun"/>
              </w:rPr>
            </w:pPr>
            <w:r w:rsidRPr="00AC3044">
              <w:rPr>
                <w:rFonts w:eastAsia="SimSun"/>
              </w:rPr>
              <w:t>С -5 дня по -3 день</w:t>
            </w:r>
          </w:p>
        </w:tc>
        <w:tc>
          <w:tcPr>
            <w:tcW w:w="2268" w:type="dxa"/>
            <w:vAlign w:val="center"/>
          </w:tcPr>
          <w:p w14:paraId="40A875C2"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124A26" w:rsidRPr="00AC3044" w14:paraId="08A5C5E5" w14:textId="77777777" w:rsidTr="002D3EBF">
        <w:trPr>
          <w:cantSplit/>
          <w:trHeight w:val="716"/>
        </w:trPr>
        <w:tc>
          <w:tcPr>
            <w:tcW w:w="817" w:type="dxa"/>
            <w:vMerge w:val="restart"/>
            <w:textDirection w:val="btLr"/>
            <w:vAlign w:val="center"/>
          </w:tcPr>
          <w:p w14:paraId="1DD5C70F" w14:textId="77777777" w:rsidR="00124A26" w:rsidRPr="00AC3044" w:rsidRDefault="00124A26" w:rsidP="002D3EBF">
            <w:pPr>
              <w:ind w:firstLine="0"/>
              <w:rPr>
                <w:rFonts w:eastAsia="SimSun"/>
              </w:rPr>
            </w:pPr>
            <w:r w:rsidRPr="00AC3044">
              <w:rPr>
                <w:rFonts w:eastAsia="SimSun"/>
              </w:rPr>
              <w:t>Профилактика РТПХ</w:t>
            </w:r>
          </w:p>
        </w:tc>
        <w:tc>
          <w:tcPr>
            <w:tcW w:w="1701" w:type="dxa"/>
            <w:vAlign w:val="center"/>
          </w:tcPr>
          <w:p w14:paraId="2D425993" w14:textId="77777777" w:rsidR="00124A26" w:rsidRPr="00AC3044" w:rsidRDefault="00124A26" w:rsidP="002D3EBF">
            <w:pPr>
              <w:ind w:firstLine="0"/>
              <w:rPr>
                <w:rFonts w:eastAsia="SimSun"/>
              </w:rPr>
            </w:pPr>
            <w:r w:rsidRPr="00AC3044">
              <w:rPr>
                <w:rFonts w:eastAsia="SimSun"/>
              </w:rPr>
              <w:t>Циклофосфамид</w:t>
            </w:r>
          </w:p>
        </w:tc>
        <w:tc>
          <w:tcPr>
            <w:tcW w:w="1559" w:type="dxa"/>
            <w:vAlign w:val="center"/>
          </w:tcPr>
          <w:p w14:paraId="65732F0C" w14:textId="77777777" w:rsidR="00124A26" w:rsidRPr="00AC3044" w:rsidRDefault="00124A26" w:rsidP="002D3EBF">
            <w:pPr>
              <w:ind w:firstLine="0"/>
              <w:rPr>
                <w:rFonts w:eastAsia="SimSun"/>
              </w:rPr>
            </w:pPr>
            <w:r w:rsidRPr="00AC3044">
              <w:rPr>
                <w:rFonts w:eastAsia="SimSun"/>
              </w:rPr>
              <w:t>50 мг/кг</w:t>
            </w:r>
          </w:p>
        </w:tc>
        <w:tc>
          <w:tcPr>
            <w:tcW w:w="1418" w:type="dxa"/>
            <w:vAlign w:val="center"/>
          </w:tcPr>
          <w:p w14:paraId="0EE0C69D" w14:textId="77777777" w:rsidR="00124A26" w:rsidRPr="00AC3044" w:rsidRDefault="00124A26" w:rsidP="002D3EBF">
            <w:pPr>
              <w:ind w:firstLine="0"/>
              <w:rPr>
                <w:rFonts w:eastAsia="SimSun"/>
              </w:rPr>
            </w:pPr>
            <w:r w:rsidRPr="00AC3044">
              <w:rPr>
                <w:rFonts w:eastAsia="SimSun"/>
              </w:rPr>
              <w:t>100 мг/кг</w:t>
            </w:r>
          </w:p>
        </w:tc>
        <w:tc>
          <w:tcPr>
            <w:tcW w:w="1701" w:type="dxa"/>
            <w:vAlign w:val="center"/>
          </w:tcPr>
          <w:p w14:paraId="6030340C" w14:textId="77777777" w:rsidR="00124A26" w:rsidRPr="00AC3044" w:rsidRDefault="00124A26" w:rsidP="002D3EBF">
            <w:pPr>
              <w:ind w:firstLine="0"/>
              <w:rPr>
                <w:rFonts w:eastAsia="SimSun"/>
              </w:rPr>
            </w:pPr>
            <w:r w:rsidRPr="00AC3044">
              <w:rPr>
                <w:rFonts w:eastAsia="SimSun"/>
              </w:rPr>
              <w:t>С +3 дня по +4 день</w:t>
            </w:r>
          </w:p>
        </w:tc>
        <w:tc>
          <w:tcPr>
            <w:tcW w:w="2268" w:type="dxa"/>
            <w:vAlign w:val="center"/>
          </w:tcPr>
          <w:p w14:paraId="3449A759" w14:textId="77777777" w:rsidR="00124A26" w:rsidRPr="00AC3044" w:rsidRDefault="00124A26" w:rsidP="002D3EBF">
            <w:pPr>
              <w:ind w:firstLine="0"/>
              <w:rPr>
                <w:rFonts w:eastAsia="SimSun"/>
              </w:rPr>
            </w:pPr>
            <w:r w:rsidRPr="00AC3044">
              <w:rPr>
                <w:rFonts w:eastAsia="SimSun"/>
              </w:rPr>
              <w:t>В/в, в течение 2 часов</w:t>
            </w:r>
          </w:p>
        </w:tc>
      </w:tr>
      <w:tr w:rsidR="00124A26" w:rsidRPr="00AC3044" w14:paraId="4E86AC62" w14:textId="77777777" w:rsidTr="002D3EBF">
        <w:trPr>
          <w:cantSplit/>
          <w:trHeight w:val="574"/>
        </w:trPr>
        <w:tc>
          <w:tcPr>
            <w:tcW w:w="817" w:type="dxa"/>
            <w:vMerge/>
            <w:textDirection w:val="btLr"/>
            <w:vAlign w:val="center"/>
          </w:tcPr>
          <w:p w14:paraId="5AA59D62" w14:textId="77777777" w:rsidR="00124A26" w:rsidRPr="00AC3044" w:rsidRDefault="00124A26" w:rsidP="002D3EBF">
            <w:pPr>
              <w:ind w:firstLine="0"/>
              <w:rPr>
                <w:rFonts w:eastAsia="SimSun"/>
              </w:rPr>
            </w:pPr>
          </w:p>
        </w:tc>
        <w:tc>
          <w:tcPr>
            <w:tcW w:w="1701" w:type="dxa"/>
            <w:vAlign w:val="center"/>
          </w:tcPr>
          <w:p w14:paraId="1E93A57A" w14:textId="77777777" w:rsidR="00124A26" w:rsidRPr="00AC3044" w:rsidRDefault="00124A26" w:rsidP="002D3EBF">
            <w:pPr>
              <w:ind w:firstLine="0"/>
              <w:rPr>
                <w:rFonts w:eastAsia="SimSun"/>
              </w:rPr>
            </w:pPr>
            <w:r w:rsidRPr="00AC3044">
              <w:rPr>
                <w:rFonts w:eastAsia="SimSun"/>
              </w:rPr>
              <w:t>Руксолитиниб</w:t>
            </w:r>
          </w:p>
        </w:tc>
        <w:tc>
          <w:tcPr>
            <w:tcW w:w="1559" w:type="dxa"/>
            <w:vAlign w:val="center"/>
          </w:tcPr>
          <w:p w14:paraId="213FE9E0" w14:textId="77777777" w:rsidR="00124A26" w:rsidRPr="00AC3044" w:rsidRDefault="00124A26" w:rsidP="002D3EBF">
            <w:pPr>
              <w:ind w:firstLine="0"/>
              <w:rPr>
                <w:rFonts w:eastAsia="SimSun"/>
              </w:rPr>
            </w:pPr>
            <w:r w:rsidRPr="00AC3044">
              <w:rPr>
                <w:rFonts w:eastAsia="SimSun"/>
              </w:rPr>
              <w:t>45 мг</w:t>
            </w:r>
          </w:p>
        </w:tc>
        <w:tc>
          <w:tcPr>
            <w:tcW w:w="1418" w:type="dxa"/>
            <w:vAlign w:val="center"/>
          </w:tcPr>
          <w:p w14:paraId="2BFC04D4" w14:textId="77777777" w:rsidR="00124A26" w:rsidRPr="00AC3044" w:rsidRDefault="00124A26" w:rsidP="002D3EBF">
            <w:pPr>
              <w:ind w:firstLine="0"/>
              <w:rPr>
                <w:rFonts w:eastAsia="SimSun"/>
              </w:rPr>
            </w:pPr>
            <w:r w:rsidRPr="00AC3044">
              <w:rPr>
                <w:rFonts w:eastAsia="SimSun"/>
              </w:rPr>
              <w:t>270 мг</w:t>
            </w:r>
          </w:p>
        </w:tc>
        <w:tc>
          <w:tcPr>
            <w:tcW w:w="1701" w:type="dxa"/>
            <w:vAlign w:val="center"/>
          </w:tcPr>
          <w:p w14:paraId="7E51F34E" w14:textId="77777777" w:rsidR="00124A26" w:rsidRPr="00AC3044" w:rsidRDefault="00124A26" w:rsidP="002D3EBF">
            <w:pPr>
              <w:ind w:firstLine="0"/>
              <w:rPr>
                <w:rFonts w:eastAsia="SimSun"/>
              </w:rPr>
            </w:pPr>
            <w:r w:rsidRPr="00AC3044">
              <w:rPr>
                <w:rFonts w:eastAsia="SimSun"/>
              </w:rPr>
              <w:t xml:space="preserve">С -7 дня по -2 день </w:t>
            </w:r>
          </w:p>
        </w:tc>
        <w:tc>
          <w:tcPr>
            <w:tcW w:w="2268" w:type="dxa"/>
            <w:vAlign w:val="center"/>
          </w:tcPr>
          <w:p w14:paraId="28F003AE" w14:textId="77777777" w:rsidR="00124A26" w:rsidRPr="00AC3044" w:rsidRDefault="00124A26" w:rsidP="002D3EBF">
            <w:pPr>
              <w:ind w:firstLine="0"/>
              <w:rPr>
                <w:rFonts w:eastAsia="SimSun"/>
              </w:rPr>
            </w:pPr>
            <w:r w:rsidRPr="00AC3044">
              <w:rPr>
                <w:rFonts w:eastAsia="SimSun"/>
              </w:rPr>
              <w:t xml:space="preserve">Внутрь суточную дозу </w:t>
            </w:r>
          </w:p>
          <w:p w14:paraId="1AC9E5EE" w14:textId="77777777" w:rsidR="00124A26" w:rsidRPr="00AC3044" w:rsidRDefault="00124A26" w:rsidP="002D3EBF">
            <w:pPr>
              <w:ind w:firstLine="0"/>
              <w:rPr>
                <w:rFonts w:eastAsia="SimSun"/>
              </w:rPr>
            </w:pPr>
            <w:r w:rsidRPr="00AC3044">
              <w:rPr>
                <w:rFonts w:eastAsia="SimSun"/>
              </w:rPr>
              <w:t>за 3 приема</w:t>
            </w:r>
          </w:p>
        </w:tc>
      </w:tr>
      <w:tr w:rsidR="00124A26" w:rsidRPr="00AC3044" w14:paraId="07F2C748" w14:textId="77777777" w:rsidTr="002D3EBF">
        <w:trPr>
          <w:cantSplit/>
          <w:trHeight w:val="498"/>
        </w:trPr>
        <w:tc>
          <w:tcPr>
            <w:tcW w:w="817" w:type="dxa"/>
            <w:vMerge/>
            <w:textDirection w:val="btLr"/>
            <w:vAlign w:val="center"/>
          </w:tcPr>
          <w:p w14:paraId="1F900C09" w14:textId="77777777" w:rsidR="00124A26" w:rsidRPr="00AC3044" w:rsidRDefault="00124A26" w:rsidP="002D3EBF">
            <w:pPr>
              <w:ind w:firstLine="0"/>
              <w:rPr>
                <w:rFonts w:eastAsia="SimSun"/>
              </w:rPr>
            </w:pPr>
          </w:p>
        </w:tc>
        <w:tc>
          <w:tcPr>
            <w:tcW w:w="1701" w:type="dxa"/>
            <w:vAlign w:val="center"/>
          </w:tcPr>
          <w:p w14:paraId="742A8657" w14:textId="77777777" w:rsidR="00124A26" w:rsidRPr="00AC3044" w:rsidRDefault="00124A26" w:rsidP="002D3EBF">
            <w:pPr>
              <w:ind w:firstLine="0"/>
              <w:rPr>
                <w:rFonts w:eastAsia="SimSun"/>
              </w:rPr>
            </w:pPr>
            <w:r w:rsidRPr="00AC3044">
              <w:rPr>
                <w:rFonts w:eastAsia="SimSun"/>
              </w:rPr>
              <w:t xml:space="preserve">Руксолитиниб </w:t>
            </w:r>
          </w:p>
        </w:tc>
        <w:tc>
          <w:tcPr>
            <w:tcW w:w="1559" w:type="dxa"/>
            <w:vAlign w:val="center"/>
          </w:tcPr>
          <w:p w14:paraId="1E70A5FA" w14:textId="77777777" w:rsidR="00124A26" w:rsidRPr="00AC3044" w:rsidRDefault="00124A26" w:rsidP="002D3EBF">
            <w:pPr>
              <w:ind w:firstLine="0"/>
              <w:rPr>
                <w:rFonts w:eastAsia="SimSun"/>
              </w:rPr>
            </w:pPr>
            <w:r w:rsidRPr="00AC3044">
              <w:rPr>
                <w:rFonts w:eastAsia="SimSun"/>
              </w:rPr>
              <w:t>15 мг</w:t>
            </w:r>
          </w:p>
        </w:tc>
        <w:tc>
          <w:tcPr>
            <w:tcW w:w="1418" w:type="dxa"/>
            <w:vAlign w:val="center"/>
          </w:tcPr>
          <w:p w14:paraId="629C30B9"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1D061F4C" w14:textId="77777777" w:rsidR="00124A26" w:rsidRPr="00AC3044" w:rsidRDefault="00124A26" w:rsidP="002D3EBF">
            <w:pPr>
              <w:ind w:firstLine="0"/>
              <w:rPr>
                <w:rFonts w:eastAsia="SimSun"/>
              </w:rPr>
            </w:pPr>
            <w:r w:rsidRPr="00AC3044">
              <w:rPr>
                <w:rFonts w:eastAsia="SimSun"/>
              </w:rPr>
              <w:t>С +5 дня по +100 день</w:t>
            </w:r>
          </w:p>
        </w:tc>
        <w:tc>
          <w:tcPr>
            <w:tcW w:w="2268" w:type="dxa"/>
            <w:vAlign w:val="center"/>
          </w:tcPr>
          <w:p w14:paraId="0EEB6447" w14:textId="77777777" w:rsidR="00124A26" w:rsidRPr="00AC3044" w:rsidRDefault="00124A26" w:rsidP="002D3EBF">
            <w:pPr>
              <w:ind w:firstLine="0"/>
              <w:rPr>
                <w:rFonts w:eastAsia="SimSun"/>
              </w:rPr>
            </w:pPr>
            <w:r w:rsidRPr="00AC3044">
              <w:rPr>
                <w:rFonts w:eastAsia="SimSun"/>
              </w:rPr>
              <w:t xml:space="preserve">Внутрь суточную дозу </w:t>
            </w:r>
          </w:p>
          <w:p w14:paraId="7772BE13" w14:textId="77777777" w:rsidR="00124A26" w:rsidRPr="00AC3044" w:rsidRDefault="00124A26" w:rsidP="002D3EBF">
            <w:pPr>
              <w:ind w:firstLine="0"/>
              <w:rPr>
                <w:rFonts w:eastAsia="SimSun"/>
              </w:rPr>
            </w:pPr>
            <w:r w:rsidRPr="00AC3044">
              <w:rPr>
                <w:rFonts w:eastAsia="SimSun"/>
              </w:rPr>
              <w:t>за 2 приема</w:t>
            </w:r>
          </w:p>
        </w:tc>
      </w:tr>
    </w:tbl>
    <w:p w14:paraId="07D3C9AF" w14:textId="77777777" w:rsidR="00124A26" w:rsidRDefault="00124A26" w:rsidP="00124A26">
      <w:pPr>
        <w:rPr>
          <w:rFonts w:eastAsia="SimSun"/>
        </w:rPr>
      </w:pPr>
      <w:bookmarkStart w:id="253" w:name="_Toc44401215"/>
    </w:p>
    <w:p w14:paraId="62ECFEB6" w14:textId="77777777" w:rsidR="00124A26" w:rsidRPr="00C07B2E" w:rsidRDefault="00124A26" w:rsidP="00124A26">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2.2.15  – Flu90+Benda / PT-Cy+Tx+MMF30</w:t>
      </w:r>
      <w:bookmarkEnd w:id="253"/>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124A26" w:rsidRPr="00AC3044" w14:paraId="3EEB337A" w14:textId="77777777" w:rsidTr="002D3EBF">
        <w:trPr>
          <w:cantSplit/>
          <w:trHeight w:val="20"/>
          <w:tblHeader/>
        </w:trPr>
        <w:tc>
          <w:tcPr>
            <w:tcW w:w="817" w:type="dxa"/>
            <w:vAlign w:val="center"/>
          </w:tcPr>
          <w:p w14:paraId="38F4788A" w14:textId="77777777" w:rsidR="00124A26" w:rsidRPr="00AC3044" w:rsidRDefault="00124A26" w:rsidP="002D3EBF">
            <w:pPr>
              <w:ind w:firstLine="0"/>
              <w:rPr>
                <w:rFonts w:eastAsia="SimSun"/>
              </w:rPr>
            </w:pPr>
          </w:p>
        </w:tc>
        <w:tc>
          <w:tcPr>
            <w:tcW w:w="1701" w:type="dxa"/>
            <w:vAlign w:val="center"/>
          </w:tcPr>
          <w:p w14:paraId="15C1199B" w14:textId="77777777" w:rsidR="00124A26" w:rsidRPr="00AC3044" w:rsidRDefault="00124A26" w:rsidP="002D3EBF">
            <w:pPr>
              <w:ind w:firstLine="0"/>
              <w:rPr>
                <w:rFonts w:eastAsia="SimSun"/>
              </w:rPr>
            </w:pPr>
            <w:r w:rsidRPr="00AC3044">
              <w:rPr>
                <w:rFonts w:eastAsia="SimSun"/>
              </w:rPr>
              <w:t>Препарат</w:t>
            </w:r>
          </w:p>
        </w:tc>
        <w:tc>
          <w:tcPr>
            <w:tcW w:w="1559" w:type="dxa"/>
            <w:vAlign w:val="center"/>
          </w:tcPr>
          <w:p w14:paraId="2C001020" w14:textId="77777777" w:rsidR="00124A26" w:rsidRPr="00AC3044" w:rsidRDefault="00124A26" w:rsidP="002D3EBF">
            <w:pPr>
              <w:ind w:firstLine="0"/>
              <w:rPr>
                <w:rFonts w:eastAsia="SimSun"/>
              </w:rPr>
            </w:pPr>
            <w:r w:rsidRPr="00AC3044">
              <w:rPr>
                <w:rFonts w:eastAsia="SimSun"/>
              </w:rPr>
              <w:t>Суточная доза</w:t>
            </w:r>
          </w:p>
        </w:tc>
        <w:tc>
          <w:tcPr>
            <w:tcW w:w="1418" w:type="dxa"/>
            <w:vAlign w:val="center"/>
          </w:tcPr>
          <w:p w14:paraId="197753AD" w14:textId="77777777" w:rsidR="00124A26" w:rsidRPr="00AC3044" w:rsidRDefault="00124A26" w:rsidP="002D3EBF">
            <w:pPr>
              <w:ind w:firstLine="0"/>
              <w:rPr>
                <w:rFonts w:eastAsia="SimSun"/>
              </w:rPr>
            </w:pPr>
            <w:r w:rsidRPr="00AC3044">
              <w:rPr>
                <w:rFonts w:eastAsia="SimSun"/>
              </w:rPr>
              <w:t>Курсовая доза</w:t>
            </w:r>
          </w:p>
        </w:tc>
        <w:tc>
          <w:tcPr>
            <w:tcW w:w="1701" w:type="dxa"/>
            <w:vAlign w:val="center"/>
          </w:tcPr>
          <w:p w14:paraId="11D1C23B" w14:textId="77777777" w:rsidR="00124A26" w:rsidRPr="00AC3044" w:rsidRDefault="00124A26" w:rsidP="002D3EBF">
            <w:pPr>
              <w:ind w:firstLine="0"/>
              <w:rPr>
                <w:rFonts w:eastAsia="SimSun"/>
              </w:rPr>
            </w:pPr>
            <w:r w:rsidRPr="00AC3044">
              <w:rPr>
                <w:rFonts w:eastAsia="SimSun"/>
              </w:rPr>
              <w:t>Дни введения</w:t>
            </w:r>
          </w:p>
        </w:tc>
        <w:tc>
          <w:tcPr>
            <w:tcW w:w="2268" w:type="dxa"/>
            <w:vAlign w:val="center"/>
          </w:tcPr>
          <w:p w14:paraId="3715159F"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73549FDF" w14:textId="77777777" w:rsidTr="002D3EBF">
        <w:trPr>
          <w:cantSplit/>
          <w:trHeight w:val="20"/>
        </w:trPr>
        <w:tc>
          <w:tcPr>
            <w:tcW w:w="817" w:type="dxa"/>
            <w:vMerge w:val="restart"/>
            <w:textDirection w:val="btLr"/>
            <w:vAlign w:val="center"/>
          </w:tcPr>
          <w:p w14:paraId="6022AA6E" w14:textId="77777777" w:rsidR="00124A26" w:rsidRPr="00AC3044" w:rsidRDefault="00124A26" w:rsidP="002D3EBF">
            <w:pPr>
              <w:ind w:firstLine="0"/>
              <w:rPr>
                <w:rFonts w:eastAsia="SimSun"/>
              </w:rPr>
            </w:pPr>
            <w:r w:rsidRPr="00AC3044">
              <w:rPr>
                <w:rFonts w:eastAsia="SimSun"/>
              </w:rPr>
              <w:t>Кондиционирование</w:t>
            </w:r>
          </w:p>
        </w:tc>
        <w:tc>
          <w:tcPr>
            <w:tcW w:w="1701" w:type="dxa"/>
            <w:vAlign w:val="center"/>
          </w:tcPr>
          <w:p w14:paraId="2CF1395F" w14:textId="77777777" w:rsidR="00124A26" w:rsidRPr="00AC3044" w:rsidRDefault="00124A26" w:rsidP="002D3EBF">
            <w:pPr>
              <w:ind w:firstLine="0"/>
              <w:rPr>
                <w:rFonts w:eastAsia="SimSun"/>
              </w:rPr>
            </w:pPr>
            <w:r w:rsidRPr="00AC3044">
              <w:rPr>
                <w:rFonts w:eastAsia="SimSun"/>
              </w:rPr>
              <w:t xml:space="preserve">Флударабин </w:t>
            </w:r>
          </w:p>
        </w:tc>
        <w:tc>
          <w:tcPr>
            <w:tcW w:w="1559" w:type="dxa"/>
            <w:vAlign w:val="center"/>
          </w:tcPr>
          <w:p w14:paraId="3D32AB35" w14:textId="77777777" w:rsidR="00124A26" w:rsidRPr="00AC3044" w:rsidRDefault="00124A26" w:rsidP="002D3EB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5BDEE4D9" w14:textId="77777777" w:rsidR="00124A26" w:rsidRPr="00AC3044" w:rsidRDefault="00124A26" w:rsidP="002D3EBF">
            <w:pPr>
              <w:ind w:firstLine="0"/>
              <w:rPr>
                <w:rFonts w:eastAsia="SimSun"/>
              </w:rPr>
            </w:pPr>
            <w:r w:rsidRPr="00AC3044">
              <w:rPr>
                <w:rFonts w:eastAsia="SimSun"/>
              </w:rPr>
              <w:t>90 мг/м</w:t>
            </w:r>
            <w:r w:rsidRPr="0074195F">
              <w:rPr>
                <w:rFonts w:eastAsia="SimSun"/>
                <w:vertAlign w:val="superscript"/>
              </w:rPr>
              <w:t>2</w:t>
            </w:r>
          </w:p>
        </w:tc>
        <w:tc>
          <w:tcPr>
            <w:tcW w:w="1701" w:type="dxa"/>
            <w:vAlign w:val="center"/>
          </w:tcPr>
          <w:p w14:paraId="10FE3572" w14:textId="77777777" w:rsidR="00124A26" w:rsidRPr="00AC3044" w:rsidRDefault="00124A26" w:rsidP="002D3EBF">
            <w:pPr>
              <w:ind w:firstLine="0"/>
              <w:rPr>
                <w:rFonts w:eastAsia="SimSun"/>
              </w:rPr>
            </w:pPr>
            <w:r w:rsidRPr="00AC3044">
              <w:rPr>
                <w:rFonts w:eastAsia="SimSun"/>
              </w:rPr>
              <w:t>С -4 дня по -2 день</w:t>
            </w:r>
          </w:p>
        </w:tc>
        <w:tc>
          <w:tcPr>
            <w:tcW w:w="2268" w:type="dxa"/>
            <w:vAlign w:val="center"/>
          </w:tcPr>
          <w:p w14:paraId="03551D60"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641DFC87" w14:textId="77777777" w:rsidTr="002D3EBF">
        <w:trPr>
          <w:cantSplit/>
          <w:trHeight w:val="704"/>
        </w:trPr>
        <w:tc>
          <w:tcPr>
            <w:tcW w:w="817" w:type="dxa"/>
            <w:vMerge/>
            <w:vAlign w:val="center"/>
          </w:tcPr>
          <w:p w14:paraId="10863078" w14:textId="77777777" w:rsidR="00124A26" w:rsidRPr="00AC3044" w:rsidRDefault="00124A26" w:rsidP="002D3EBF">
            <w:pPr>
              <w:ind w:firstLine="0"/>
              <w:rPr>
                <w:rFonts w:eastAsia="SimSun"/>
              </w:rPr>
            </w:pPr>
          </w:p>
        </w:tc>
        <w:tc>
          <w:tcPr>
            <w:tcW w:w="1701" w:type="dxa"/>
            <w:vAlign w:val="center"/>
          </w:tcPr>
          <w:p w14:paraId="06FE18C8" w14:textId="77777777" w:rsidR="00124A26" w:rsidRPr="00AC3044" w:rsidRDefault="00124A26" w:rsidP="002D3EBF">
            <w:pPr>
              <w:ind w:firstLine="0"/>
              <w:rPr>
                <w:rFonts w:eastAsia="SimSun"/>
              </w:rPr>
            </w:pPr>
            <w:r w:rsidRPr="00AC3044">
              <w:rPr>
                <w:rFonts w:eastAsia="SimSun"/>
              </w:rPr>
              <w:t>Бендамустин</w:t>
            </w:r>
          </w:p>
        </w:tc>
        <w:tc>
          <w:tcPr>
            <w:tcW w:w="1559" w:type="dxa"/>
            <w:vAlign w:val="center"/>
          </w:tcPr>
          <w:p w14:paraId="5D095213" w14:textId="77777777" w:rsidR="00124A26" w:rsidRPr="00AC3044" w:rsidRDefault="00124A26" w:rsidP="002D3EBF">
            <w:pPr>
              <w:ind w:firstLine="0"/>
              <w:rPr>
                <w:rFonts w:eastAsia="SimSun"/>
              </w:rPr>
            </w:pPr>
            <w:r w:rsidRPr="00AC3044">
              <w:rPr>
                <w:rFonts w:eastAsia="SimSun"/>
              </w:rPr>
              <w:t>130 мг/м</w:t>
            </w:r>
            <w:r w:rsidRPr="0074195F">
              <w:rPr>
                <w:rFonts w:eastAsia="SimSun"/>
                <w:vertAlign w:val="superscript"/>
              </w:rPr>
              <w:t>2</w:t>
            </w:r>
            <w:r w:rsidRPr="00AC3044">
              <w:rPr>
                <w:rFonts w:eastAsia="SimSun"/>
              </w:rPr>
              <w:t xml:space="preserve"> </w:t>
            </w:r>
          </w:p>
        </w:tc>
        <w:tc>
          <w:tcPr>
            <w:tcW w:w="1418" w:type="dxa"/>
            <w:vAlign w:val="center"/>
          </w:tcPr>
          <w:p w14:paraId="499E7D31" w14:textId="77777777" w:rsidR="00124A26" w:rsidRPr="00AC3044" w:rsidRDefault="00124A26" w:rsidP="002D3EBF">
            <w:pPr>
              <w:ind w:firstLine="0"/>
              <w:rPr>
                <w:rFonts w:eastAsia="SimSun"/>
              </w:rPr>
            </w:pPr>
            <w:r w:rsidRPr="00AC3044">
              <w:rPr>
                <w:rFonts w:eastAsia="SimSun"/>
              </w:rPr>
              <w:t>10 мг/м</w:t>
            </w:r>
            <w:r w:rsidRPr="0074195F">
              <w:rPr>
                <w:rFonts w:eastAsia="SimSun"/>
                <w:vertAlign w:val="superscript"/>
              </w:rPr>
              <w:t>2</w:t>
            </w:r>
          </w:p>
        </w:tc>
        <w:tc>
          <w:tcPr>
            <w:tcW w:w="1701" w:type="dxa"/>
            <w:vAlign w:val="center"/>
          </w:tcPr>
          <w:p w14:paraId="603595EB" w14:textId="77777777" w:rsidR="00124A26" w:rsidRPr="00AC3044" w:rsidRDefault="00124A26" w:rsidP="002D3EBF">
            <w:pPr>
              <w:ind w:firstLine="0"/>
              <w:rPr>
                <w:rFonts w:eastAsia="SimSun"/>
              </w:rPr>
            </w:pPr>
            <w:r w:rsidRPr="00AC3044">
              <w:rPr>
                <w:rFonts w:eastAsia="SimSun"/>
              </w:rPr>
              <w:t xml:space="preserve">  С -4 дня по -2 день</w:t>
            </w:r>
          </w:p>
        </w:tc>
        <w:tc>
          <w:tcPr>
            <w:tcW w:w="2268" w:type="dxa"/>
            <w:vAlign w:val="center"/>
          </w:tcPr>
          <w:p w14:paraId="02C53F67" w14:textId="77777777" w:rsidR="00124A26" w:rsidRPr="00AC3044" w:rsidRDefault="00124A26" w:rsidP="002D3EBF">
            <w:pPr>
              <w:ind w:firstLine="0"/>
              <w:rPr>
                <w:rFonts w:eastAsia="SimSun"/>
              </w:rPr>
            </w:pPr>
            <w:r w:rsidRPr="00AC3044">
              <w:rPr>
                <w:rFonts w:eastAsia="SimSun"/>
              </w:rPr>
              <w:t>В/в, в течение 1 часа</w:t>
            </w:r>
          </w:p>
        </w:tc>
      </w:tr>
      <w:tr w:rsidR="00124A26" w:rsidRPr="00AC3044" w14:paraId="2653F874" w14:textId="77777777" w:rsidTr="002D3EBF">
        <w:trPr>
          <w:cantSplit/>
          <w:trHeight w:val="958"/>
        </w:trPr>
        <w:tc>
          <w:tcPr>
            <w:tcW w:w="817" w:type="dxa"/>
            <w:vMerge w:val="restart"/>
            <w:textDirection w:val="btLr"/>
            <w:vAlign w:val="center"/>
          </w:tcPr>
          <w:p w14:paraId="6D6DA407" w14:textId="77777777" w:rsidR="00124A26" w:rsidRPr="00AC3044" w:rsidRDefault="00124A26" w:rsidP="002D3EBF">
            <w:pPr>
              <w:ind w:firstLine="0"/>
              <w:rPr>
                <w:rFonts w:eastAsia="SimSun"/>
              </w:rPr>
            </w:pPr>
            <w:r w:rsidRPr="00AC3044">
              <w:rPr>
                <w:rFonts w:eastAsia="SimSun"/>
              </w:rPr>
              <w:t>Профилактика РТПХ</w:t>
            </w:r>
          </w:p>
        </w:tc>
        <w:tc>
          <w:tcPr>
            <w:tcW w:w="1701" w:type="dxa"/>
            <w:vAlign w:val="center"/>
          </w:tcPr>
          <w:p w14:paraId="223AA159" w14:textId="77777777" w:rsidR="00124A26" w:rsidRPr="00AC3044" w:rsidRDefault="00124A26" w:rsidP="002D3EBF">
            <w:pPr>
              <w:ind w:firstLine="0"/>
              <w:rPr>
                <w:rFonts w:eastAsia="SimSun"/>
              </w:rPr>
            </w:pPr>
            <w:r w:rsidRPr="00AC3044">
              <w:rPr>
                <w:rFonts w:eastAsia="SimSun"/>
              </w:rPr>
              <w:t xml:space="preserve">Такролимус </w:t>
            </w:r>
          </w:p>
        </w:tc>
        <w:tc>
          <w:tcPr>
            <w:tcW w:w="1559" w:type="dxa"/>
            <w:vAlign w:val="center"/>
          </w:tcPr>
          <w:p w14:paraId="3E4C9019" w14:textId="77777777" w:rsidR="00124A26" w:rsidRPr="00AC3044" w:rsidRDefault="00124A26" w:rsidP="002D3EBF">
            <w:pPr>
              <w:ind w:firstLine="0"/>
              <w:rPr>
                <w:rFonts w:eastAsia="SimSun"/>
              </w:rPr>
            </w:pPr>
            <w:r w:rsidRPr="00AC3044">
              <w:rPr>
                <w:rFonts w:eastAsia="SimSun"/>
              </w:rPr>
              <w:t>0,03 мг/кг</w:t>
            </w:r>
          </w:p>
        </w:tc>
        <w:tc>
          <w:tcPr>
            <w:tcW w:w="1418" w:type="dxa"/>
            <w:vAlign w:val="center"/>
          </w:tcPr>
          <w:p w14:paraId="1A40F4D6"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48FD82D8" w14:textId="77777777" w:rsidR="00124A26" w:rsidRPr="00AC3044" w:rsidRDefault="00124A26" w:rsidP="002D3EBF">
            <w:pPr>
              <w:ind w:firstLine="0"/>
              <w:rPr>
                <w:rFonts w:eastAsia="SimSun"/>
              </w:rPr>
            </w:pPr>
            <w:r w:rsidRPr="00AC3044">
              <w:rPr>
                <w:rFonts w:eastAsia="SimSun"/>
              </w:rPr>
              <w:t xml:space="preserve">С +5 дня длительно </w:t>
            </w:r>
          </w:p>
        </w:tc>
        <w:tc>
          <w:tcPr>
            <w:tcW w:w="2268" w:type="dxa"/>
            <w:vAlign w:val="center"/>
          </w:tcPr>
          <w:p w14:paraId="40916EC9" w14:textId="77777777" w:rsidR="00124A26" w:rsidRPr="00AC3044" w:rsidRDefault="00124A26"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124A26" w:rsidRPr="00AC3044" w14:paraId="1DFFF6FB" w14:textId="77777777" w:rsidTr="002D3EBF">
        <w:trPr>
          <w:cantSplit/>
          <w:trHeight w:val="542"/>
        </w:trPr>
        <w:tc>
          <w:tcPr>
            <w:tcW w:w="817" w:type="dxa"/>
            <w:vMerge/>
            <w:textDirection w:val="btLr"/>
            <w:vAlign w:val="center"/>
          </w:tcPr>
          <w:p w14:paraId="7E6F2F09" w14:textId="77777777" w:rsidR="00124A26" w:rsidRPr="00AC3044" w:rsidRDefault="00124A26" w:rsidP="002D3EBF">
            <w:pPr>
              <w:ind w:firstLine="0"/>
              <w:rPr>
                <w:rFonts w:eastAsia="SimSun"/>
              </w:rPr>
            </w:pPr>
          </w:p>
        </w:tc>
        <w:tc>
          <w:tcPr>
            <w:tcW w:w="1701" w:type="dxa"/>
            <w:vAlign w:val="center"/>
          </w:tcPr>
          <w:p w14:paraId="0A6C759E" w14:textId="77777777" w:rsidR="00124A26" w:rsidRPr="00AC3044" w:rsidRDefault="00124A26" w:rsidP="002D3EBF">
            <w:pPr>
              <w:ind w:firstLine="0"/>
              <w:rPr>
                <w:rFonts w:eastAsia="SimSun"/>
              </w:rPr>
            </w:pPr>
            <w:r w:rsidRPr="00AC3044">
              <w:rPr>
                <w:rFonts w:eastAsia="SimSun"/>
              </w:rPr>
              <w:t>Циклофосфамид</w:t>
            </w:r>
          </w:p>
        </w:tc>
        <w:tc>
          <w:tcPr>
            <w:tcW w:w="1559" w:type="dxa"/>
            <w:vAlign w:val="center"/>
          </w:tcPr>
          <w:p w14:paraId="7DE8DFEC" w14:textId="77777777" w:rsidR="00124A26" w:rsidRPr="00AC3044" w:rsidRDefault="00124A26" w:rsidP="002D3EBF">
            <w:pPr>
              <w:ind w:firstLine="0"/>
              <w:rPr>
                <w:rFonts w:eastAsia="SimSun"/>
              </w:rPr>
            </w:pPr>
            <w:r w:rsidRPr="00AC3044">
              <w:rPr>
                <w:rFonts w:eastAsia="SimSun"/>
              </w:rPr>
              <w:t>50 мг/кг</w:t>
            </w:r>
          </w:p>
        </w:tc>
        <w:tc>
          <w:tcPr>
            <w:tcW w:w="1418" w:type="dxa"/>
            <w:vAlign w:val="center"/>
          </w:tcPr>
          <w:p w14:paraId="69E36368" w14:textId="77777777" w:rsidR="00124A26" w:rsidRPr="00AC3044" w:rsidRDefault="00124A26" w:rsidP="002D3EBF">
            <w:pPr>
              <w:ind w:firstLine="0"/>
              <w:rPr>
                <w:rFonts w:eastAsia="SimSun"/>
              </w:rPr>
            </w:pPr>
            <w:r w:rsidRPr="00AC3044">
              <w:rPr>
                <w:rFonts w:eastAsia="SimSun"/>
              </w:rPr>
              <w:t>100 мг/кг</w:t>
            </w:r>
          </w:p>
        </w:tc>
        <w:tc>
          <w:tcPr>
            <w:tcW w:w="1701" w:type="dxa"/>
            <w:vAlign w:val="center"/>
          </w:tcPr>
          <w:p w14:paraId="53698497" w14:textId="77777777" w:rsidR="00124A26" w:rsidRPr="00AC3044" w:rsidRDefault="00124A26" w:rsidP="002D3EBF">
            <w:pPr>
              <w:ind w:firstLine="0"/>
              <w:rPr>
                <w:rFonts w:eastAsia="SimSun"/>
              </w:rPr>
            </w:pPr>
            <w:r w:rsidRPr="00AC3044">
              <w:rPr>
                <w:rFonts w:eastAsia="SimSun"/>
              </w:rPr>
              <w:t xml:space="preserve">В дни +3, +4 </w:t>
            </w:r>
          </w:p>
        </w:tc>
        <w:tc>
          <w:tcPr>
            <w:tcW w:w="2268" w:type="dxa"/>
            <w:vAlign w:val="center"/>
          </w:tcPr>
          <w:p w14:paraId="12107FB5" w14:textId="77777777" w:rsidR="00124A26" w:rsidRPr="00AC3044" w:rsidRDefault="00124A26" w:rsidP="002D3EBF">
            <w:pPr>
              <w:ind w:firstLine="0"/>
              <w:rPr>
                <w:rFonts w:eastAsia="SimSun"/>
              </w:rPr>
            </w:pPr>
            <w:r w:rsidRPr="00AC3044">
              <w:rPr>
                <w:rFonts w:eastAsia="SimSun"/>
              </w:rPr>
              <w:t>В/в, в течение 2 часов</w:t>
            </w:r>
          </w:p>
        </w:tc>
      </w:tr>
      <w:tr w:rsidR="00124A26" w:rsidRPr="00AC3044" w14:paraId="52A92DD8" w14:textId="77777777" w:rsidTr="002D3EBF">
        <w:trPr>
          <w:cantSplit/>
          <w:trHeight w:val="550"/>
        </w:trPr>
        <w:tc>
          <w:tcPr>
            <w:tcW w:w="817" w:type="dxa"/>
            <w:vMerge/>
            <w:textDirection w:val="btLr"/>
            <w:vAlign w:val="center"/>
          </w:tcPr>
          <w:p w14:paraId="7FB2C5CF" w14:textId="77777777" w:rsidR="00124A26" w:rsidRPr="00AC3044" w:rsidRDefault="00124A26" w:rsidP="002D3EBF">
            <w:pPr>
              <w:ind w:firstLine="0"/>
              <w:rPr>
                <w:rFonts w:eastAsia="SimSun"/>
              </w:rPr>
            </w:pPr>
          </w:p>
        </w:tc>
        <w:tc>
          <w:tcPr>
            <w:tcW w:w="1701" w:type="dxa"/>
            <w:vAlign w:val="center"/>
          </w:tcPr>
          <w:p w14:paraId="085B931C" w14:textId="77777777" w:rsidR="00124A26" w:rsidRPr="00AC3044" w:rsidRDefault="00124A26" w:rsidP="002D3EBF">
            <w:pPr>
              <w:ind w:firstLine="0"/>
              <w:rPr>
                <w:rFonts w:eastAsia="SimSun"/>
              </w:rPr>
            </w:pPr>
            <w:r w:rsidRPr="00AC3044">
              <w:rPr>
                <w:rFonts w:eastAsia="SimSun"/>
              </w:rPr>
              <w:t>Микофенолата мофетил</w:t>
            </w:r>
          </w:p>
        </w:tc>
        <w:tc>
          <w:tcPr>
            <w:tcW w:w="1559" w:type="dxa"/>
            <w:vAlign w:val="center"/>
          </w:tcPr>
          <w:p w14:paraId="3C2744DB" w14:textId="77777777" w:rsidR="00124A26" w:rsidRPr="00AC3044" w:rsidRDefault="00124A26" w:rsidP="002D3EBF">
            <w:pPr>
              <w:ind w:firstLine="0"/>
              <w:rPr>
                <w:rFonts w:eastAsia="SimSun"/>
              </w:rPr>
            </w:pPr>
            <w:r w:rsidRPr="00AC3044">
              <w:rPr>
                <w:rFonts w:eastAsia="SimSun"/>
              </w:rPr>
              <w:t xml:space="preserve">30 мг/кг </w:t>
            </w:r>
          </w:p>
        </w:tc>
        <w:tc>
          <w:tcPr>
            <w:tcW w:w="1418" w:type="dxa"/>
            <w:vAlign w:val="center"/>
          </w:tcPr>
          <w:p w14:paraId="49895B6D"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35854495" w14:textId="77777777" w:rsidR="00124A26" w:rsidRPr="00AC3044" w:rsidRDefault="00124A26" w:rsidP="002D3EBF">
            <w:pPr>
              <w:ind w:firstLine="0"/>
              <w:rPr>
                <w:rFonts w:eastAsia="SimSun"/>
              </w:rPr>
            </w:pPr>
            <w:r w:rsidRPr="00AC3044">
              <w:rPr>
                <w:rFonts w:eastAsia="SimSun"/>
              </w:rPr>
              <w:t xml:space="preserve">С +5 дня по +35 день </w:t>
            </w:r>
          </w:p>
        </w:tc>
        <w:tc>
          <w:tcPr>
            <w:tcW w:w="2268" w:type="dxa"/>
            <w:vAlign w:val="center"/>
          </w:tcPr>
          <w:p w14:paraId="54A4D5C1"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3F50A46A" w14:textId="77777777" w:rsidR="00124A26" w:rsidRPr="0074195F" w:rsidRDefault="00124A26" w:rsidP="00124A26">
      <w:pPr>
        <w:rPr>
          <w:rFonts w:eastAsia="SimSun"/>
        </w:rPr>
      </w:pPr>
      <w:bookmarkStart w:id="254" w:name="_Toc44401216"/>
    </w:p>
    <w:p w14:paraId="13C05465" w14:textId="77777777" w:rsidR="00124A26" w:rsidRPr="00042499" w:rsidRDefault="00124A26" w:rsidP="00124A26">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2.2.16  – </w:t>
      </w:r>
      <w:r w:rsidRPr="00C07B2E">
        <w:rPr>
          <w:rFonts w:eastAsia="SimSun"/>
        </w:rPr>
        <w:t>Flu</w:t>
      </w:r>
      <w:r w:rsidRPr="00042499">
        <w:rPr>
          <w:rFonts w:eastAsia="SimSun"/>
          <w:lang w:val="en-US"/>
        </w:rPr>
        <w:t>90+</w:t>
      </w:r>
      <w:r w:rsidRPr="00C07B2E">
        <w:rPr>
          <w:rFonts w:eastAsia="SimSun"/>
        </w:rPr>
        <w:t>Benda</w:t>
      </w:r>
      <w:r w:rsidRPr="00042499">
        <w:rPr>
          <w:rFonts w:eastAsia="SimSun"/>
          <w:lang w:val="en-US"/>
        </w:rPr>
        <w:t xml:space="preserve"> / </w:t>
      </w:r>
      <w:r w:rsidRPr="00C07B2E">
        <w:rPr>
          <w:rFonts w:eastAsia="SimSun"/>
        </w:rPr>
        <w:t>PT</w:t>
      </w:r>
      <w:r w:rsidRPr="00042499">
        <w:rPr>
          <w:rFonts w:eastAsia="SimSun"/>
          <w:lang w:val="en-US"/>
        </w:rPr>
        <w:t>-</w:t>
      </w:r>
      <w:r w:rsidRPr="00C07B2E">
        <w:rPr>
          <w:rFonts w:eastAsia="SimSun"/>
        </w:rPr>
        <w:t>Cy</w:t>
      </w:r>
      <w:bookmarkEnd w:id="254"/>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124A26" w:rsidRPr="00AC3044" w14:paraId="1450B58F" w14:textId="77777777" w:rsidTr="002D3EBF">
        <w:trPr>
          <w:cantSplit/>
          <w:trHeight w:val="20"/>
          <w:tblHeader/>
        </w:trPr>
        <w:tc>
          <w:tcPr>
            <w:tcW w:w="817" w:type="dxa"/>
            <w:vAlign w:val="center"/>
          </w:tcPr>
          <w:p w14:paraId="54727105" w14:textId="77777777" w:rsidR="00124A26" w:rsidRPr="00942A16" w:rsidRDefault="00124A26" w:rsidP="002D3EBF">
            <w:pPr>
              <w:ind w:firstLine="0"/>
              <w:rPr>
                <w:rFonts w:eastAsia="SimSun"/>
                <w:lang w:val="en-US"/>
              </w:rPr>
            </w:pPr>
          </w:p>
        </w:tc>
        <w:tc>
          <w:tcPr>
            <w:tcW w:w="1701" w:type="dxa"/>
            <w:vAlign w:val="center"/>
          </w:tcPr>
          <w:p w14:paraId="4566ADD9" w14:textId="77777777" w:rsidR="00124A26" w:rsidRPr="00AC3044" w:rsidRDefault="00124A26" w:rsidP="002D3EBF">
            <w:pPr>
              <w:ind w:firstLine="0"/>
              <w:rPr>
                <w:rFonts w:eastAsia="SimSun"/>
              </w:rPr>
            </w:pPr>
            <w:r w:rsidRPr="00AC3044">
              <w:rPr>
                <w:rFonts w:eastAsia="SimSun"/>
              </w:rPr>
              <w:t>Препарат</w:t>
            </w:r>
          </w:p>
        </w:tc>
        <w:tc>
          <w:tcPr>
            <w:tcW w:w="1559" w:type="dxa"/>
            <w:vAlign w:val="center"/>
          </w:tcPr>
          <w:p w14:paraId="0F28404B" w14:textId="77777777" w:rsidR="00124A26" w:rsidRPr="00AC3044" w:rsidRDefault="00124A26" w:rsidP="002D3EBF">
            <w:pPr>
              <w:ind w:firstLine="0"/>
              <w:rPr>
                <w:rFonts w:eastAsia="SimSun"/>
              </w:rPr>
            </w:pPr>
            <w:r w:rsidRPr="00AC3044">
              <w:rPr>
                <w:rFonts w:eastAsia="SimSun"/>
              </w:rPr>
              <w:t>Суточная доза</w:t>
            </w:r>
          </w:p>
        </w:tc>
        <w:tc>
          <w:tcPr>
            <w:tcW w:w="1418" w:type="dxa"/>
            <w:vAlign w:val="center"/>
          </w:tcPr>
          <w:p w14:paraId="16372449" w14:textId="77777777" w:rsidR="00124A26" w:rsidRPr="00AC3044" w:rsidRDefault="00124A26" w:rsidP="002D3EBF">
            <w:pPr>
              <w:ind w:firstLine="0"/>
              <w:rPr>
                <w:rFonts w:eastAsia="SimSun"/>
              </w:rPr>
            </w:pPr>
            <w:r w:rsidRPr="00AC3044">
              <w:rPr>
                <w:rFonts w:eastAsia="SimSun"/>
              </w:rPr>
              <w:t>Курсовая доза</w:t>
            </w:r>
          </w:p>
        </w:tc>
        <w:tc>
          <w:tcPr>
            <w:tcW w:w="1701" w:type="dxa"/>
            <w:vAlign w:val="center"/>
          </w:tcPr>
          <w:p w14:paraId="5C77D058" w14:textId="77777777" w:rsidR="00124A26" w:rsidRPr="00AC3044" w:rsidRDefault="00124A26" w:rsidP="002D3EBF">
            <w:pPr>
              <w:ind w:firstLine="0"/>
              <w:rPr>
                <w:rFonts w:eastAsia="SimSun"/>
              </w:rPr>
            </w:pPr>
            <w:r w:rsidRPr="00AC3044">
              <w:rPr>
                <w:rFonts w:eastAsia="SimSun"/>
              </w:rPr>
              <w:t>Дни введения</w:t>
            </w:r>
          </w:p>
        </w:tc>
        <w:tc>
          <w:tcPr>
            <w:tcW w:w="2268" w:type="dxa"/>
            <w:vAlign w:val="center"/>
          </w:tcPr>
          <w:p w14:paraId="7B80B946"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7E0A2DAC" w14:textId="77777777" w:rsidTr="002D3EBF">
        <w:trPr>
          <w:cantSplit/>
          <w:trHeight w:val="20"/>
        </w:trPr>
        <w:tc>
          <w:tcPr>
            <w:tcW w:w="817" w:type="dxa"/>
            <w:vMerge w:val="restart"/>
            <w:textDirection w:val="btLr"/>
            <w:vAlign w:val="center"/>
          </w:tcPr>
          <w:p w14:paraId="7751DDA0" w14:textId="77777777" w:rsidR="00124A26" w:rsidRPr="00AC3044" w:rsidRDefault="00124A26" w:rsidP="002D3EBF">
            <w:pPr>
              <w:ind w:firstLine="0"/>
              <w:rPr>
                <w:rFonts w:eastAsia="SimSun"/>
              </w:rPr>
            </w:pPr>
            <w:r w:rsidRPr="00AC3044">
              <w:rPr>
                <w:rFonts w:eastAsia="SimSun"/>
              </w:rPr>
              <w:t>Кондиционирование</w:t>
            </w:r>
          </w:p>
        </w:tc>
        <w:tc>
          <w:tcPr>
            <w:tcW w:w="1701" w:type="dxa"/>
            <w:vAlign w:val="center"/>
          </w:tcPr>
          <w:p w14:paraId="1AB0498D" w14:textId="77777777" w:rsidR="00124A26" w:rsidRPr="00AC3044" w:rsidRDefault="00124A26" w:rsidP="002D3EBF">
            <w:pPr>
              <w:ind w:firstLine="0"/>
              <w:rPr>
                <w:rFonts w:eastAsia="SimSun"/>
              </w:rPr>
            </w:pPr>
            <w:r w:rsidRPr="00AC3044">
              <w:rPr>
                <w:rFonts w:eastAsia="SimSun"/>
              </w:rPr>
              <w:t xml:space="preserve">Флударабин </w:t>
            </w:r>
          </w:p>
        </w:tc>
        <w:tc>
          <w:tcPr>
            <w:tcW w:w="1559" w:type="dxa"/>
            <w:vAlign w:val="center"/>
          </w:tcPr>
          <w:p w14:paraId="7802549A" w14:textId="77777777" w:rsidR="00124A26" w:rsidRPr="00AC3044" w:rsidRDefault="00124A26" w:rsidP="002D3EB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0C74827F" w14:textId="77777777" w:rsidR="00124A26" w:rsidRPr="00AC3044" w:rsidRDefault="00124A26" w:rsidP="002D3EBF">
            <w:pPr>
              <w:ind w:firstLine="0"/>
              <w:rPr>
                <w:rFonts w:eastAsia="SimSun"/>
              </w:rPr>
            </w:pPr>
            <w:r w:rsidRPr="00AC3044">
              <w:rPr>
                <w:rFonts w:eastAsia="SimSun"/>
              </w:rPr>
              <w:t>90 мг/м</w:t>
            </w:r>
            <w:r w:rsidRPr="0074195F">
              <w:rPr>
                <w:rFonts w:eastAsia="SimSun"/>
                <w:vertAlign w:val="superscript"/>
              </w:rPr>
              <w:t>2</w:t>
            </w:r>
          </w:p>
        </w:tc>
        <w:tc>
          <w:tcPr>
            <w:tcW w:w="1701" w:type="dxa"/>
            <w:vAlign w:val="center"/>
          </w:tcPr>
          <w:p w14:paraId="6CBF0100" w14:textId="77777777" w:rsidR="00124A26" w:rsidRPr="00AC3044" w:rsidRDefault="00124A26" w:rsidP="002D3EBF">
            <w:pPr>
              <w:ind w:firstLine="0"/>
              <w:rPr>
                <w:rFonts w:eastAsia="SimSun"/>
              </w:rPr>
            </w:pPr>
            <w:r w:rsidRPr="00AC3044">
              <w:rPr>
                <w:rFonts w:eastAsia="SimSun"/>
              </w:rPr>
              <w:t>С -4 дня по -2 день</w:t>
            </w:r>
          </w:p>
        </w:tc>
        <w:tc>
          <w:tcPr>
            <w:tcW w:w="2268" w:type="dxa"/>
            <w:vAlign w:val="center"/>
          </w:tcPr>
          <w:p w14:paraId="7696460C"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05CC3F82" w14:textId="77777777" w:rsidTr="002D3EBF">
        <w:trPr>
          <w:cantSplit/>
          <w:trHeight w:val="1207"/>
        </w:trPr>
        <w:tc>
          <w:tcPr>
            <w:tcW w:w="817" w:type="dxa"/>
            <w:vMerge/>
            <w:vAlign w:val="center"/>
          </w:tcPr>
          <w:p w14:paraId="67870E4D" w14:textId="77777777" w:rsidR="00124A26" w:rsidRPr="00AC3044" w:rsidRDefault="00124A26" w:rsidP="002D3EBF">
            <w:pPr>
              <w:ind w:firstLine="0"/>
              <w:rPr>
                <w:rFonts w:eastAsia="SimSun"/>
              </w:rPr>
            </w:pPr>
          </w:p>
        </w:tc>
        <w:tc>
          <w:tcPr>
            <w:tcW w:w="1701" w:type="dxa"/>
            <w:vAlign w:val="center"/>
          </w:tcPr>
          <w:p w14:paraId="433C92B0" w14:textId="77777777" w:rsidR="00124A26" w:rsidRPr="00AC3044" w:rsidRDefault="00124A26" w:rsidP="002D3EBF">
            <w:pPr>
              <w:ind w:firstLine="0"/>
              <w:rPr>
                <w:rFonts w:eastAsia="SimSun"/>
              </w:rPr>
            </w:pPr>
            <w:r w:rsidRPr="00AC3044">
              <w:rPr>
                <w:rFonts w:eastAsia="SimSun"/>
              </w:rPr>
              <w:t>Бендамустин</w:t>
            </w:r>
          </w:p>
        </w:tc>
        <w:tc>
          <w:tcPr>
            <w:tcW w:w="1559" w:type="dxa"/>
            <w:vAlign w:val="center"/>
          </w:tcPr>
          <w:p w14:paraId="05D4474D" w14:textId="77777777" w:rsidR="00124A26" w:rsidRPr="00AC3044" w:rsidRDefault="00124A26" w:rsidP="002D3EBF">
            <w:pPr>
              <w:ind w:firstLine="0"/>
              <w:rPr>
                <w:rFonts w:eastAsia="SimSun"/>
              </w:rPr>
            </w:pPr>
            <w:r w:rsidRPr="00AC3044">
              <w:rPr>
                <w:rFonts w:eastAsia="SimSun"/>
              </w:rPr>
              <w:t>130 мг/м</w:t>
            </w:r>
            <w:r w:rsidRPr="0074195F">
              <w:rPr>
                <w:rFonts w:eastAsia="SimSun"/>
                <w:vertAlign w:val="superscript"/>
              </w:rPr>
              <w:t>2</w:t>
            </w:r>
            <w:r w:rsidRPr="00AC3044">
              <w:rPr>
                <w:rFonts w:eastAsia="SimSun"/>
              </w:rPr>
              <w:t xml:space="preserve"> </w:t>
            </w:r>
          </w:p>
        </w:tc>
        <w:tc>
          <w:tcPr>
            <w:tcW w:w="1418" w:type="dxa"/>
            <w:vAlign w:val="center"/>
          </w:tcPr>
          <w:p w14:paraId="3BC014E3" w14:textId="77777777" w:rsidR="00124A26" w:rsidRPr="00AC3044" w:rsidRDefault="00124A26" w:rsidP="002D3EBF">
            <w:pPr>
              <w:ind w:firstLine="0"/>
              <w:rPr>
                <w:rFonts w:eastAsia="SimSun"/>
              </w:rPr>
            </w:pPr>
            <w:r w:rsidRPr="00AC3044">
              <w:rPr>
                <w:rFonts w:eastAsia="SimSun"/>
              </w:rPr>
              <w:t>10 мг/м</w:t>
            </w:r>
            <w:r w:rsidRPr="0074195F">
              <w:rPr>
                <w:rFonts w:eastAsia="SimSun"/>
                <w:vertAlign w:val="superscript"/>
              </w:rPr>
              <w:t>2</w:t>
            </w:r>
          </w:p>
        </w:tc>
        <w:tc>
          <w:tcPr>
            <w:tcW w:w="1701" w:type="dxa"/>
            <w:vAlign w:val="center"/>
          </w:tcPr>
          <w:p w14:paraId="52EE1FFB" w14:textId="77777777" w:rsidR="00124A26" w:rsidRPr="00AC3044" w:rsidRDefault="00124A26" w:rsidP="002D3EBF">
            <w:pPr>
              <w:ind w:firstLine="0"/>
              <w:rPr>
                <w:rFonts w:eastAsia="SimSun"/>
              </w:rPr>
            </w:pPr>
            <w:r w:rsidRPr="00AC3044">
              <w:rPr>
                <w:rFonts w:eastAsia="SimSun"/>
              </w:rPr>
              <w:t xml:space="preserve">  С -4 дня по -2 день</w:t>
            </w:r>
          </w:p>
        </w:tc>
        <w:tc>
          <w:tcPr>
            <w:tcW w:w="2268" w:type="dxa"/>
            <w:vAlign w:val="center"/>
          </w:tcPr>
          <w:p w14:paraId="144DC005" w14:textId="77777777" w:rsidR="00124A26" w:rsidRPr="00AC3044" w:rsidRDefault="00124A26" w:rsidP="002D3EBF">
            <w:pPr>
              <w:ind w:firstLine="0"/>
              <w:rPr>
                <w:rFonts w:eastAsia="SimSun"/>
              </w:rPr>
            </w:pPr>
            <w:r w:rsidRPr="00AC3044">
              <w:rPr>
                <w:rFonts w:eastAsia="SimSun"/>
              </w:rPr>
              <w:t>В/в, в течение 1 часа</w:t>
            </w:r>
          </w:p>
        </w:tc>
      </w:tr>
      <w:tr w:rsidR="00124A26" w:rsidRPr="00AC3044" w14:paraId="4AFFA206" w14:textId="77777777" w:rsidTr="002D3EBF">
        <w:trPr>
          <w:cantSplit/>
          <w:trHeight w:val="958"/>
        </w:trPr>
        <w:tc>
          <w:tcPr>
            <w:tcW w:w="817" w:type="dxa"/>
            <w:textDirection w:val="btLr"/>
            <w:vAlign w:val="center"/>
          </w:tcPr>
          <w:p w14:paraId="07AD20D7" w14:textId="77777777" w:rsidR="00124A26" w:rsidRPr="00AC3044" w:rsidRDefault="00124A26" w:rsidP="002D3EBF">
            <w:pPr>
              <w:ind w:firstLine="0"/>
              <w:rPr>
                <w:rFonts w:eastAsia="SimSun"/>
              </w:rPr>
            </w:pPr>
            <w:r w:rsidRPr="00AC3044">
              <w:rPr>
                <w:rFonts w:eastAsia="SimSun"/>
              </w:rPr>
              <w:t>Профилактика РТПХ</w:t>
            </w:r>
          </w:p>
        </w:tc>
        <w:tc>
          <w:tcPr>
            <w:tcW w:w="1701" w:type="dxa"/>
            <w:vAlign w:val="center"/>
          </w:tcPr>
          <w:p w14:paraId="17D19DF1" w14:textId="77777777" w:rsidR="00124A26" w:rsidRPr="00AC3044" w:rsidRDefault="00124A26" w:rsidP="002D3EBF">
            <w:pPr>
              <w:ind w:firstLine="0"/>
              <w:rPr>
                <w:rFonts w:eastAsia="SimSun"/>
              </w:rPr>
            </w:pPr>
            <w:r w:rsidRPr="00AC3044">
              <w:rPr>
                <w:rFonts w:eastAsia="SimSun"/>
              </w:rPr>
              <w:t>Циклофосфамид</w:t>
            </w:r>
          </w:p>
        </w:tc>
        <w:tc>
          <w:tcPr>
            <w:tcW w:w="1559" w:type="dxa"/>
            <w:vAlign w:val="center"/>
          </w:tcPr>
          <w:p w14:paraId="5FA4E51D" w14:textId="77777777" w:rsidR="00124A26" w:rsidRPr="00AC3044" w:rsidRDefault="00124A26" w:rsidP="002D3EBF">
            <w:pPr>
              <w:ind w:firstLine="0"/>
              <w:rPr>
                <w:rFonts w:eastAsia="SimSun"/>
              </w:rPr>
            </w:pPr>
            <w:r w:rsidRPr="00AC3044">
              <w:rPr>
                <w:rFonts w:eastAsia="SimSun"/>
              </w:rPr>
              <w:t>50 мг/кг</w:t>
            </w:r>
          </w:p>
        </w:tc>
        <w:tc>
          <w:tcPr>
            <w:tcW w:w="1418" w:type="dxa"/>
            <w:vAlign w:val="center"/>
          </w:tcPr>
          <w:p w14:paraId="53F67D13" w14:textId="77777777" w:rsidR="00124A26" w:rsidRPr="00AC3044" w:rsidRDefault="00124A26" w:rsidP="002D3EBF">
            <w:pPr>
              <w:ind w:firstLine="0"/>
              <w:rPr>
                <w:rFonts w:eastAsia="SimSun"/>
              </w:rPr>
            </w:pPr>
            <w:r w:rsidRPr="00AC3044">
              <w:rPr>
                <w:rFonts w:eastAsia="SimSun"/>
              </w:rPr>
              <w:t>100 мг/кг</w:t>
            </w:r>
          </w:p>
        </w:tc>
        <w:tc>
          <w:tcPr>
            <w:tcW w:w="1701" w:type="dxa"/>
            <w:vAlign w:val="center"/>
          </w:tcPr>
          <w:p w14:paraId="32291F30" w14:textId="77777777" w:rsidR="00124A26" w:rsidRPr="00AC3044" w:rsidRDefault="00124A26" w:rsidP="002D3EBF">
            <w:pPr>
              <w:ind w:firstLine="0"/>
              <w:rPr>
                <w:rFonts w:eastAsia="SimSun"/>
              </w:rPr>
            </w:pPr>
            <w:r w:rsidRPr="00AC3044">
              <w:rPr>
                <w:rFonts w:eastAsia="SimSun"/>
              </w:rPr>
              <w:t xml:space="preserve">В дни +3, +4 </w:t>
            </w:r>
          </w:p>
        </w:tc>
        <w:tc>
          <w:tcPr>
            <w:tcW w:w="2268" w:type="dxa"/>
            <w:vAlign w:val="center"/>
          </w:tcPr>
          <w:p w14:paraId="6E9E53BE" w14:textId="77777777" w:rsidR="00124A26" w:rsidRPr="00AC3044" w:rsidRDefault="00124A26" w:rsidP="002D3EBF">
            <w:pPr>
              <w:ind w:firstLine="0"/>
              <w:rPr>
                <w:rFonts w:eastAsia="SimSun"/>
              </w:rPr>
            </w:pPr>
            <w:r w:rsidRPr="00AC3044">
              <w:rPr>
                <w:rFonts w:eastAsia="SimSun"/>
              </w:rPr>
              <w:t>В/в, в течение 2 часов</w:t>
            </w:r>
          </w:p>
        </w:tc>
      </w:tr>
    </w:tbl>
    <w:p w14:paraId="4BF79FB6" w14:textId="77777777" w:rsidR="00124A26" w:rsidRDefault="00124A26" w:rsidP="00124A26">
      <w:pPr>
        <w:rPr>
          <w:rFonts w:eastAsia="SimSun"/>
        </w:rPr>
      </w:pPr>
      <w:bookmarkStart w:id="255" w:name="_Toc44401217"/>
    </w:p>
    <w:p w14:paraId="75B6F9A8" w14:textId="77777777" w:rsidR="00124A26" w:rsidRPr="00042499" w:rsidRDefault="00124A26" w:rsidP="00124A26">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2.2.17  – </w:t>
      </w:r>
      <w:r w:rsidRPr="007A1AC4">
        <w:rPr>
          <w:rFonts w:eastAsia="SimSun"/>
          <w:lang w:val="en-US"/>
        </w:rPr>
        <w:t>Flu</w:t>
      </w:r>
      <w:r w:rsidRPr="00042499">
        <w:rPr>
          <w:rFonts w:eastAsia="SimSun"/>
          <w:lang w:val="en-US"/>
        </w:rPr>
        <w:t>150+</w:t>
      </w:r>
      <w:r w:rsidRPr="007A1AC4">
        <w:rPr>
          <w:rFonts w:eastAsia="SimSun"/>
          <w:lang w:val="en-US"/>
        </w:rPr>
        <w:t>Thio</w:t>
      </w:r>
      <w:r w:rsidRPr="00042499">
        <w:rPr>
          <w:rFonts w:eastAsia="SimSun"/>
          <w:lang w:val="en-US"/>
        </w:rPr>
        <w:t xml:space="preserve"> / </w:t>
      </w:r>
      <w:r w:rsidRPr="007A1AC4">
        <w:rPr>
          <w:rFonts w:eastAsia="SimSun"/>
          <w:lang w:val="en-US"/>
        </w:rPr>
        <w:t>hATG</w:t>
      </w:r>
      <w:r w:rsidRPr="00042499">
        <w:rPr>
          <w:rFonts w:eastAsia="SimSun"/>
          <w:lang w:val="en-US"/>
        </w:rPr>
        <w:t>+</w:t>
      </w:r>
      <w:r w:rsidRPr="007A1AC4">
        <w:rPr>
          <w:rFonts w:eastAsia="SimSun"/>
          <w:lang w:val="en-US"/>
        </w:rPr>
        <w:t>Tx</w:t>
      </w:r>
      <w:r w:rsidRPr="00042499">
        <w:rPr>
          <w:rFonts w:eastAsia="SimSun"/>
          <w:lang w:val="en-US"/>
        </w:rPr>
        <w:t>+</w:t>
      </w:r>
      <w:r w:rsidRPr="007A1AC4">
        <w:rPr>
          <w:rFonts w:eastAsia="SimSun"/>
          <w:lang w:val="en-US"/>
        </w:rPr>
        <w:t>MMF</w:t>
      </w:r>
      <w:r w:rsidRPr="00042499">
        <w:rPr>
          <w:rFonts w:eastAsia="SimSun"/>
          <w:lang w:val="en-US"/>
        </w:rPr>
        <w:t>30</w:t>
      </w:r>
      <w:bookmarkEnd w:id="255"/>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124A26" w:rsidRPr="00AC3044" w14:paraId="37B4BF00" w14:textId="77777777" w:rsidTr="002D3EBF">
        <w:trPr>
          <w:cantSplit/>
          <w:trHeight w:val="20"/>
          <w:tblHeader/>
        </w:trPr>
        <w:tc>
          <w:tcPr>
            <w:tcW w:w="817" w:type="dxa"/>
            <w:vAlign w:val="center"/>
          </w:tcPr>
          <w:p w14:paraId="07949B7E" w14:textId="77777777" w:rsidR="00124A26" w:rsidRPr="00942A16" w:rsidRDefault="00124A26" w:rsidP="002D3EBF">
            <w:pPr>
              <w:ind w:firstLine="0"/>
              <w:rPr>
                <w:rFonts w:eastAsia="SimSun"/>
                <w:lang w:val="en-US"/>
              </w:rPr>
            </w:pPr>
          </w:p>
        </w:tc>
        <w:tc>
          <w:tcPr>
            <w:tcW w:w="1701" w:type="dxa"/>
            <w:vAlign w:val="center"/>
          </w:tcPr>
          <w:p w14:paraId="6B1DF52E" w14:textId="77777777" w:rsidR="00124A26" w:rsidRPr="00AC3044" w:rsidRDefault="00124A26" w:rsidP="002D3EBF">
            <w:pPr>
              <w:ind w:firstLine="0"/>
              <w:rPr>
                <w:rFonts w:eastAsia="SimSun"/>
              </w:rPr>
            </w:pPr>
            <w:r w:rsidRPr="00AC3044">
              <w:rPr>
                <w:rFonts w:eastAsia="SimSun"/>
              </w:rPr>
              <w:t>Препарат</w:t>
            </w:r>
          </w:p>
        </w:tc>
        <w:tc>
          <w:tcPr>
            <w:tcW w:w="1559" w:type="dxa"/>
            <w:vAlign w:val="center"/>
          </w:tcPr>
          <w:p w14:paraId="7753DFB1" w14:textId="77777777" w:rsidR="00124A26" w:rsidRPr="00AC3044" w:rsidRDefault="00124A26" w:rsidP="002D3EBF">
            <w:pPr>
              <w:ind w:firstLine="0"/>
              <w:rPr>
                <w:rFonts w:eastAsia="SimSun"/>
              </w:rPr>
            </w:pPr>
            <w:r w:rsidRPr="00AC3044">
              <w:rPr>
                <w:rFonts w:eastAsia="SimSun"/>
              </w:rPr>
              <w:t>Суточная доза</w:t>
            </w:r>
          </w:p>
        </w:tc>
        <w:tc>
          <w:tcPr>
            <w:tcW w:w="1418" w:type="dxa"/>
            <w:vAlign w:val="center"/>
          </w:tcPr>
          <w:p w14:paraId="67B97E69" w14:textId="77777777" w:rsidR="00124A26" w:rsidRPr="00AC3044" w:rsidRDefault="00124A26" w:rsidP="002D3EBF">
            <w:pPr>
              <w:ind w:firstLine="0"/>
              <w:rPr>
                <w:rFonts w:eastAsia="SimSun"/>
              </w:rPr>
            </w:pPr>
            <w:r w:rsidRPr="00AC3044">
              <w:rPr>
                <w:rFonts w:eastAsia="SimSun"/>
              </w:rPr>
              <w:t>Курсовая доза</w:t>
            </w:r>
          </w:p>
        </w:tc>
        <w:tc>
          <w:tcPr>
            <w:tcW w:w="1701" w:type="dxa"/>
            <w:vAlign w:val="center"/>
          </w:tcPr>
          <w:p w14:paraId="52337EC0" w14:textId="77777777" w:rsidR="00124A26" w:rsidRPr="00AC3044" w:rsidRDefault="00124A26" w:rsidP="002D3EBF">
            <w:pPr>
              <w:ind w:firstLine="0"/>
              <w:rPr>
                <w:rFonts w:eastAsia="SimSun"/>
              </w:rPr>
            </w:pPr>
            <w:r w:rsidRPr="00AC3044">
              <w:rPr>
                <w:rFonts w:eastAsia="SimSun"/>
              </w:rPr>
              <w:t>Дни введения</w:t>
            </w:r>
          </w:p>
        </w:tc>
        <w:tc>
          <w:tcPr>
            <w:tcW w:w="2268" w:type="dxa"/>
            <w:vAlign w:val="center"/>
          </w:tcPr>
          <w:p w14:paraId="1C926837"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5B067B50" w14:textId="77777777" w:rsidTr="002D3EBF">
        <w:trPr>
          <w:cantSplit/>
          <w:trHeight w:val="20"/>
        </w:trPr>
        <w:tc>
          <w:tcPr>
            <w:tcW w:w="817" w:type="dxa"/>
            <w:vMerge w:val="restart"/>
            <w:textDirection w:val="btLr"/>
            <w:vAlign w:val="center"/>
          </w:tcPr>
          <w:p w14:paraId="2C10459B" w14:textId="77777777" w:rsidR="00124A26" w:rsidRPr="00AC3044" w:rsidRDefault="00124A26" w:rsidP="002D3EBF">
            <w:pPr>
              <w:ind w:firstLine="0"/>
              <w:rPr>
                <w:rFonts w:eastAsia="SimSun"/>
              </w:rPr>
            </w:pPr>
            <w:r w:rsidRPr="00AC3044">
              <w:rPr>
                <w:rFonts w:eastAsia="SimSun"/>
              </w:rPr>
              <w:t>Кондиционирование</w:t>
            </w:r>
          </w:p>
        </w:tc>
        <w:tc>
          <w:tcPr>
            <w:tcW w:w="1701" w:type="dxa"/>
            <w:vAlign w:val="center"/>
          </w:tcPr>
          <w:p w14:paraId="074B26A6" w14:textId="77777777" w:rsidR="00124A26" w:rsidRPr="00AC3044" w:rsidRDefault="00124A26" w:rsidP="002D3EBF">
            <w:pPr>
              <w:ind w:firstLine="0"/>
              <w:rPr>
                <w:rFonts w:eastAsia="SimSun"/>
              </w:rPr>
            </w:pPr>
            <w:r w:rsidRPr="00AC3044">
              <w:rPr>
                <w:rFonts w:eastAsia="SimSun"/>
              </w:rPr>
              <w:t xml:space="preserve">Флударабин </w:t>
            </w:r>
          </w:p>
        </w:tc>
        <w:tc>
          <w:tcPr>
            <w:tcW w:w="1559" w:type="dxa"/>
            <w:vAlign w:val="center"/>
          </w:tcPr>
          <w:p w14:paraId="691671E3" w14:textId="77777777" w:rsidR="00124A26" w:rsidRPr="00AC3044" w:rsidRDefault="00124A26" w:rsidP="002D3EB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1D1C0B87" w14:textId="77777777" w:rsidR="00124A26" w:rsidRPr="00AC3044" w:rsidRDefault="00124A26" w:rsidP="002D3EBF">
            <w:pPr>
              <w:ind w:firstLine="0"/>
              <w:rPr>
                <w:rFonts w:eastAsia="SimSun"/>
              </w:rPr>
            </w:pPr>
            <w:r w:rsidRPr="00AC3044">
              <w:rPr>
                <w:rFonts w:eastAsia="SimSun"/>
              </w:rPr>
              <w:t>150 мг/м</w:t>
            </w:r>
            <w:r w:rsidRPr="0074195F">
              <w:rPr>
                <w:rFonts w:eastAsia="SimSun"/>
                <w:vertAlign w:val="superscript"/>
              </w:rPr>
              <w:t>2</w:t>
            </w:r>
          </w:p>
        </w:tc>
        <w:tc>
          <w:tcPr>
            <w:tcW w:w="1701" w:type="dxa"/>
            <w:vAlign w:val="center"/>
          </w:tcPr>
          <w:p w14:paraId="57F2E966" w14:textId="77777777" w:rsidR="00124A26" w:rsidRPr="00AC3044" w:rsidRDefault="00124A26" w:rsidP="002D3EBF">
            <w:pPr>
              <w:ind w:firstLine="0"/>
              <w:rPr>
                <w:rFonts w:eastAsia="SimSun"/>
              </w:rPr>
            </w:pPr>
            <w:r w:rsidRPr="00AC3044">
              <w:rPr>
                <w:rFonts w:eastAsia="SimSun"/>
              </w:rPr>
              <w:t>С -6 дня по -2 день</w:t>
            </w:r>
          </w:p>
        </w:tc>
        <w:tc>
          <w:tcPr>
            <w:tcW w:w="2268" w:type="dxa"/>
            <w:vAlign w:val="center"/>
          </w:tcPr>
          <w:p w14:paraId="1CF0C01B"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1E015879" w14:textId="77777777" w:rsidTr="002D3EBF">
        <w:trPr>
          <w:cantSplit/>
          <w:trHeight w:val="510"/>
        </w:trPr>
        <w:tc>
          <w:tcPr>
            <w:tcW w:w="817" w:type="dxa"/>
            <w:vMerge/>
            <w:vAlign w:val="center"/>
          </w:tcPr>
          <w:p w14:paraId="22B58C0C" w14:textId="77777777" w:rsidR="00124A26" w:rsidRPr="00AC3044" w:rsidRDefault="00124A26" w:rsidP="002D3EBF">
            <w:pPr>
              <w:ind w:firstLine="0"/>
              <w:rPr>
                <w:rFonts w:eastAsia="SimSun"/>
              </w:rPr>
            </w:pPr>
          </w:p>
        </w:tc>
        <w:tc>
          <w:tcPr>
            <w:tcW w:w="1701" w:type="dxa"/>
            <w:vAlign w:val="center"/>
          </w:tcPr>
          <w:p w14:paraId="29CA75FD" w14:textId="77777777" w:rsidR="00124A26" w:rsidRPr="00AC3044" w:rsidRDefault="00124A26" w:rsidP="002D3EBF">
            <w:pPr>
              <w:ind w:firstLine="0"/>
              <w:rPr>
                <w:rFonts w:eastAsia="SimSun"/>
              </w:rPr>
            </w:pPr>
            <w:r w:rsidRPr="00AC3044">
              <w:rPr>
                <w:rFonts w:eastAsia="SimSun"/>
              </w:rPr>
              <w:t>Тиотепа</w:t>
            </w:r>
          </w:p>
        </w:tc>
        <w:tc>
          <w:tcPr>
            <w:tcW w:w="1559" w:type="dxa"/>
            <w:vAlign w:val="center"/>
          </w:tcPr>
          <w:p w14:paraId="571D2547" w14:textId="77777777" w:rsidR="00124A26" w:rsidRPr="00AC3044" w:rsidRDefault="00124A26" w:rsidP="002D3EBF">
            <w:pPr>
              <w:ind w:firstLine="0"/>
              <w:rPr>
                <w:rFonts w:eastAsia="SimSun"/>
              </w:rPr>
            </w:pPr>
            <w:r w:rsidRPr="00AC3044">
              <w:rPr>
                <w:rFonts w:eastAsia="SimSun"/>
              </w:rPr>
              <w:t>5 мг/м</w:t>
            </w:r>
            <w:r w:rsidRPr="0074195F">
              <w:rPr>
                <w:rFonts w:eastAsia="SimSun"/>
                <w:vertAlign w:val="superscript"/>
              </w:rPr>
              <w:t>2</w:t>
            </w:r>
            <w:r w:rsidRPr="00AC3044">
              <w:rPr>
                <w:rFonts w:eastAsia="SimSun"/>
              </w:rPr>
              <w:t xml:space="preserve"> </w:t>
            </w:r>
          </w:p>
        </w:tc>
        <w:tc>
          <w:tcPr>
            <w:tcW w:w="1418" w:type="dxa"/>
            <w:vAlign w:val="center"/>
          </w:tcPr>
          <w:p w14:paraId="142C01BE" w14:textId="77777777" w:rsidR="00124A26" w:rsidRPr="00AC3044" w:rsidRDefault="00124A26" w:rsidP="002D3EBF">
            <w:pPr>
              <w:ind w:firstLine="0"/>
              <w:rPr>
                <w:rFonts w:eastAsia="SimSun"/>
              </w:rPr>
            </w:pPr>
            <w:r w:rsidRPr="00AC3044">
              <w:rPr>
                <w:rFonts w:eastAsia="SimSun"/>
              </w:rPr>
              <w:t>10 мг/м</w:t>
            </w:r>
            <w:r w:rsidRPr="0074195F">
              <w:rPr>
                <w:rFonts w:eastAsia="SimSun"/>
                <w:vertAlign w:val="superscript"/>
              </w:rPr>
              <w:t>2</w:t>
            </w:r>
          </w:p>
        </w:tc>
        <w:tc>
          <w:tcPr>
            <w:tcW w:w="1701" w:type="dxa"/>
            <w:vAlign w:val="center"/>
          </w:tcPr>
          <w:p w14:paraId="774B8D8B" w14:textId="77777777" w:rsidR="00124A26" w:rsidRPr="00AC3044" w:rsidRDefault="00124A26" w:rsidP="002D3EBF">
            <w:pPr>
              <w:ind w:firstLine="0"/>
              <w:rPr>
                <w:rFonts w:eastAsia="SimSun"/>
              </w:rPr>
            </w:pPr>
            <w:r w:rsidRPr="00AC3044">
              <w:rPr>
                <w:rFonts w:eastAsia="SimSun"/>
              </w:rPr>
              <w:t xml:space="preserve"> Дни -5; -4  </w:t>
            </w:r>
          </w:p>
        </w:tc>
        <w:tc>
          <w:tcPr>
            <w:tcW w:w="2268" w:type="dxa"/>
            <w:vAlign w:val="center"/>
          </w:tcPr>
          <w:p w14:paraId="2881FE31" w14:textId="77777777" w:rsidR="00124A26" w:rsidRPr="00AC3044" w:rsidRDefault="00124A26" w:rsidP="002D3EBF">
            <w:pPr>
              <w:ind w:firstLine="0"/>
              <w:rPr>
                <w:rFonts w:eastAsia="SimSun"/>
              </w:rPr>
            </w:pPr>
            <w:r w:rsidRPr="00AC3044">
              <w:rPr>
                <w:rFonts w:eastAsia="SimSun"/>
              </w:rPr>
              <w:t>В/в, в течение 2 часов</w:t>
            </w:r>
          </w:p>
        </w:tc>
      </w:tr>
      <w:tr w:rsidR="00124A26" w:rsidRPr="00AC3044" w14:paraId="63F41225" w14:textId="77777777" w:rsidTr="002D3EBF">
        <w:trPr>
          <w:cantSplit/>
          <w:trHeight w:val="712"/>
        </w:trPr>
        <w:tc>
          <w:tcPr>
            <w:tcW w:w="817" w:type="dxa"/>
            <w:vMerge w:val="restart"/>
            <w:textDirection w:val="btLr"/>
            <w:vAlign w:val="center"/>
          </w:tcPr>
          <w:p w14:paraId="34ABD60D" w14:textId="77777777" w:rsidR="00124A26" w:rsidRPr="00AC3044" w:rsidRDefault="00124A26" w:rsidP="002D3EBF">
            <w:pPr>
              <w:ind w:firstLine="0"/>
              <w:rPr>
                <w:rFonts w:eastAsia="SimSun"/>
              </w:rPr>
            </w:pPr>
            <w:r w:rsidRPr="00AC3044">
              <w:rPr>
                <w:rFonts w:eastAsia="SimSun"/>
              </w:rPr>
              <w:t>Профилактика РТПХ</w:t>
            </w:r>
          </w:p>
        </w:tc>
        <w:tc>
          <w:tcPr>
            <w:tcW w:w="1701" w:type="dxa"/>
            <w:vAlign w:val="center"/>
          </w:tcPr>
          <w:p w14:paraId="3F3F7E20" w14:textId="77777777" w:rsidR="00124A26" w:rsidRPr="00AC3044" w:rsidRDefault="00124A26" w:rsidP="002D3EBF">
            <w:pPr>
              <w:ind w:firstLine="0"/>
              <w:rPr>
                <w:rFonts w:eastAsia="SimSun"/>
              </w:rPr>
            </w:pPr>
            <w:r w:rsidRPr="00AC3044">
              <w:rPr>
                <w:rFonts w:eastAsia="SimSun"/>
              </w:rPr>
              <w:t>АТГ (лошадиный)</w:t>
            </w:r>
          </w:p>
        </w:tc>
        <w:tc>
          <w:tcPr>
            <w:tcW w:w="1559" w:type="dxa"/>
            <w:vAlign w:val="center"/>
          </w:tcPr>
          <w:p w14:paraId="01D65D75" w14:textId="77777777" w:rsidR="00124A26" w:rsidRPr="00AC3044" w:rsidRDefault="00124A26" w:rsidP="002D3EBF">
            <w:pPr>
              <w:ind w:firstLine="0"/>
              <w:rPr>
                <w:rFonts w:eastAsia="SimSun"/>
              </w:rPr>
            </w:pPr>
            <w:r w:rsidRPr="00AC3044">
              <w:rPr>
                <w:rFonts w:eastAsia="SimSun"/>
              </w:rPr>
              <w:t>20 мг/кг</w:t>
            </w:r>
          </w:p>
        </w:tc>
        <w:tc>
          <w:tcPr>
            <w:tcW w:w="1418" w:type="dxa"/>
            <w:vAlign w:val="center"/>
          </w:tcPr>
          <w:p w14:paraId="17CBFE17" w14:textId="77777777" w:rsidR="00124A26" w:rsidRPr="00AC3044" w:rsidRDefault="00124A26" w:rsidP="002D3EBF">
            <w:pPr>
              <w:ind w:firstLine="0"/>
              <w:rPr>
                <w:rFonts w:eastAsia="SimSun"/>
              </w:rPr>
            </w:pPr>
            <w:r w:rsidRPr="00AC3044">
              <w:rPr>
                <w:rFonts w:eastAsia="SimSun"/>
              </w:rPr>
              <w:t>60 мг/кг</w:t>
            </w:r>
          </w:p>
        </w:tc>
        <w:tc>
          <w:tcPr>
            <w:tcW w:w="1701" w:type="dxa"/>
            <w:vAlign w:val="center"/>
          </w:tcPr>
          <w:p w14:paraId="07DF6EC2" w14:textId="77777777" w:rsidR="00124A26" w:rsidRPr="00AC3044" w:rsidRDefault="00124A26" w:rsidP="002D3EBF">
            <w:pPr>
              <w:ind w:firstLine="0"/>
              <w:rPr>
                <w:rFonts w:eastAsia="SimSun"/>
              </w:rPr>
            </w:pPr>
            <w:r w:rsidRPr="00AC3044">
              <w:rPr>
                <w:rFonts w:eastAsia="SimSun"/>
              </w:rPr>
              <w:t>В дни -3, -2, -1</w:t>
            </w:r>
          </w:p>
        </w:tc>
        <w:tc>
          <w:tcPr>
            <w:tcW w:w="2268" w:type="dxa"/>
            <w:vAlign w:val="center"/>
          </w:tcPr>
          <w:p w14:paraId="21A8CE03" w14:textId="77777777" w:rsidR="00124A26" w:rsidRPr="00AC3044" w:rsidRDefault="00124A26" w:rsidP="002D3EBF">
            <w:pPr>
              <w:ind w:firstLine="0"/>
              <w:rPr>
                <w:rFonts w:eastAsia="SimSun"/>
              </w:rPr>
            </w:pPr>
            <w:r w:rsidRPr="00AC3044">
              <w:rPr>
                <w:rFonts w:eastAsia="SimSun"/>
              </w:rPr>
              <w:t xml:space="preserve"> В/в. Суточная доза разделяется на 2 введения (см. «Инфузия АТГ»)</w:t>
            </w:r>
          </w:p>
        </w:tc>
      </w:tr>
      <w:tr w:rsidR="00124A26" w:rsidRPr="00AC3044" w14:paraId="4B072E28" w14:textId="77777777" w:rsidTr="002D3EBF">
        <w:trPr>
          <w:cantSplit/>
          <w:trHeight w:val="958"/>
        </w:trPr>
        <w:tc>
          <w:tcPr>
            <w:tcW w:w="817" w:type="dxa"/>
            <w:vMerge/>
            <w:textDirection w:val="btLr"/>
            <w:vAlign w:val="center"/>
          </w:tcPr>
          <w:p w14:paraId="2568F31B" w14:textId="77777777" w:rsidR="00124A26" w:rsidRPr="00AC3044" w:rsidRDefault="00124A26" w:rsidP="002D3EBF">
            <w:pPr>
              <w:ind w:firstLine="0"/>
              <w:rPr>
                <w:rFonts w:eastAsia="SimSun"/>
              </w:rPr>
            </w:pPr>
          </w:p>
        </w:tc>
        <w:tc>
          <w:tcPr>
            <w:tcW w:w="1701" w:type="dxa"/>
            <w:vAlign w:val="center"/>
          </w:tcPr>
          <w:p w14:paraId="4643083B" w14:textId="77777777" w:rsidR="00124A26" w:rsidRPr="00AC3044" w:rsidRDefault="00124A26" w:rsidP="002D3EBF">
            <w:pPr>
              <w:ind w:firstLine="0"/>
              <w:rPr>
                <w:rFonts w:eastAsia="SimSun"/>
              </w:rPr>
            </w:pPr>
            <w:r w:rsidRPr="00AC3044">
              <w:rPr>
                <w:rFonts w:eastAsia="SimSun"/>
              </w:rPr>
              <w:t xml:space="preserve">Такролимус </w:t>
            </w:r>
          </w:p>
        </w:tc>
        <w:tc>
          <w:tcPr>
            <w:tcW w:w="1559" w:type="dxa"/>
            <w:vAlign w:val="center"/>
          </w:tcPr>
          <w:p w14:paraId="149FACD5" w14:textId="77777777" w:rsidR="00124A26" w:rsidRPr="00AC3044" w:rsidRDefault="00124A26" w:rsidP="002D3EBF">
            <w:pPr>
              <w:ind w:firstLine="0"/>
              <w:rPr>
                <w:rFonts w:eastAsia="SimSun"/>
              </w:rPr>
            </w:pPr>
            <w:r w:rsidRPr="00AC3044">
              <w:rPr>
                <w:rFonts w:eastAsia="SimSun"/>
              </w:rPr>
              <w:t>0,03 мг/кг</w:t>
            </w:r>
          </w:p>
        </w:tc>
        <w:tc>
          <w:tcPr>
            <w:tcW w:w="1418" w:type="dxa"/>
            <w:vAlign w:val="center"/>
          </w:tcPr>
          <w:p w14:paraId="4CB62259"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0250884D" w14:textId="77777777" w:rsidR="00124A26" w:rsidRPr="00AC3044" w:rsidRDefault="00124A26" w:rsidP="002D3EBF">
            <w:pPr>
              <w:ind w:firstLine="0"/>
              <w:rPr>
                <w:rFonts w:eastAsia="SimSun"/>
              </w:rPr>
            </w:pPr>
            <w:r w:rsidRPr="00AC3044">
              <w:rPr>
                <w:rFonts w:eastAsia="SimSun"/>
              </w:rPr>
              <w:t xml:space="preserve">С -1 дня длительно </w:t>
            </w:r>
          </w:p>
        </w:tc>
        <w:tc>
          <w:tcPr>
            <w:tcW w:w="2268" w:type="dxa"/>
            <w:vAlign w:val="center"/>
          </w:tcPr>
          <w:p w14:paraId="6689AEE3" w14:textId="77777777" w:rsidR="00124A26" w:rsidRPr="00AC3044" w:rsidRDefault="00124A26"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124A26" w:rsidRPr="00AC3044" w14:paraId="1E6C3B11" w14:textId="77777777" w:rsidTr="002D3EBF">
        <w:trPr>
          <w:cantSplit/>
          <w:trHeight w:val="362"/>
        </w:trPr>
        <w:tc>
          <w:tcPr>
            <w:tcW w:w="817" w:type="dxa"/>
            <w:vMerge/>
            <w:textDirection w:val="btLr"/>
            <w:vAlign w:val="center"/>
          </w:tcPr>
          <w:p w14:paraId="6D829064" w14:textId="77777777" w:rsidR="00124A26" w:rsidRPr="00AC3044" w:rsidRDefault="00124A26" w:rsidP="002D3EBF">
            <w:pPr>
              <w:ind w:firstLine="0"/>
              <w:rPr>
                <w:rFonts w:eastAsia="SimSun"/>
              </w:rPr>
            </w:pPr>
          </w:p>
        </w:tc>
        <w:tc>
          <w:tcPr>
            <w:tcW w:w="1701" w:type="dxa"/>
            <w:vAlign w:val="center"/>
          </w:tcPr>
          <w:p w14:paraId="44EA40B1" w14:textId="77777777" w:rsidR="00124A26" w:rsidRPr="00AC3044" w:rsidRDefault="00124A26" w:rsidP="002D3EBF">
            <w:pPr>
              <w:ind w:firstLine="0"/>
              <w:rPr>
                <w:rFonts w:eastAsia="SimSun"/>
              </w:rPr>
            </w:pPr>
            <w:r w:rsidRPr="00AC3044">
              <w:rPr>
                <w:rFonts w:eastAsia="SimSun"/>
              </w:rPr>
              <w:t>Микофенолата мофетил</w:t>
            </w:r>
          </w:p>
        </w:tc>
        <w:tc>
          <w:tcPr>
            <w:tcW w:w="1559" w:type="dxa"/>
            <w:vAlign w:val="center"/>
          </w:tcPr>
          <w:p w14:paraId="69C0A396" w14:textId="77777777" w:rsidR="00124A26" w:rsidRPr="00AC3044" w:rsidRDefault="00124A26" w:rsidP="002D3EBF">
            <w:pPr>
              <w:ind w:firstLine="0"/>
              <w:rPr>
                <w:rFonts w:eastAsia="SimSun"/>
              </w:rPr>
            </w:pPr>
            <w:r w:rsidRPr="00AC3044">
              <w:rPr>
                <w:rFonts w:eastAsia="SimSun"/>
              </w:rPr>
              <w:t xml:space="preserve">30 мг/кг </w:t>
            </w:r>
          </w:p>
        </w:tc>
        <w:tc>
          <w:tcPr>
            <w:tcW w:w="1418" w:type="dxa"/>
            <w:vAlign w:val="center"/>
          </w:tcPr>
          <w:p w14:paraId="1E5090CE"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13CFE41D" w14:textId="77777777" w:rsidR="00124A26" w:rsidRPr="00AC3044" w:rsidRDefault="00124A26" w:rsidP="002D3EBF">
            <w:pPr>
              <w:ind w:firstLine="0"/>
              <w:rPr>
                <w:rFonts w:eastAsia="SimSun"/>
              </w:rPr>
            </w:pPr>
            <w:r w:rsidRPr="00AC3044">
              <w:rPr>
                <w:rFonts w:eastAsia="SimSun"/>
              </w:rPr>
              <w:t xml:space="preserve">С -1 дня по +30 день </w:t>
            </w:r>
          </w:p>
        </w:tc>
        <w:tc>
          <w:tcPr>
            <w:tcW w:w="2268" w:type="dxa"/>
            <w:vAlign w:val="center"/>
          </w:tcPr>
          <w:p w14:paraId="296EE5A2" w14:textId="77777777" w:rsidR="00124A26" w:rsidRPr="00AC3044" w:rsidRDefault="00124A26"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3922AC08" w14:textId="77777777" w:rsidR="00124A26" w:rsidRDefault="00124A26" w:rsidP="00124A26">
      <w:pPr>
        <w:rPr>
          <w:rFonts w:eastAsia="SimSun"/>
        </w:rPr>
      </w:pPr>
      <w:bookmarkStart w:id="256" w:name="_Toc44401218"/>
    </w:p>
    <w:p w14:paraId="022E72DF" w14:textId="77777777" w:rsidR="00124A26" w:rsidRPr="00C07B2E" w:rsidRDefault="00124A26" w:rsidP="00124A26">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2.2.18  – Flu180+Treo36 / PT-Cy+CSA+MMF30</w:t>
      </w:r>
      <w:bookmarkEnd w:id="256"/>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701"/>
        <w:gridCol w:w="1559"/>
        <w:gridCol w:w="1418"/>
        <w:gridCol w:w="1701"/>
        <w:gridCol w:w="2268"/>
      </w:tblGrid>
      <w:tr w:rsidR="00124A26" w:rsidRPr="00AC3044" w14:paraId="2F783EAE" w14:textId="77777777" w:rsidTr="002D3EBF">
        <w:trPr>
          <w:cantSplit/>
          <w:trHeight w:val="20"/>
          <w:tblHeader/>
        </w:trPr>
        <w:tc>
          <w:tcPr>
            <w:tcW w:w="709" w:type="dxa"/>
          </w:tcPr>
          <w:p w14:paraId="4AF97ED2" w14:textId="77777777" w:rsidR="00124A26" w:rsidRPr="00470D3D" w:rsidRDefault="00124A26" w:rsidP="002D3EBF">
            <w:pPr>
              <w:ind w:firstLine="0"/>
              <w:rPr>
                <w:rFonts w:eastAsia="SimSun"/>
              </w:rPr>
            </w:pPr>
          </w:p>
        </w:tc>
        <w:tc>
          <w:tcPr>
            <w:tcW w:w="1701" w:type="dxa"/>
            <w:vAlign w:val="center"/>
          </w:tcPr>
          <w:p w14:paraId="608325C4" w14:textId="77777777" w:rsidR="00124A26" w:rsidRPr="00AC3044" w:rsidRDefault="00124A26" w:rsidP="002D3EBF">
            <w:pPr>
              <w:ind w:firstLine="0"/>
              <w:rPr>
                <w:rFonts w:eastAsia="SimSun"/>
              </w:rPr>
            </w:pPr>
            <w:r w:rsidRPr="00AC3044">
              <w:rPr>
                <w:rFonts w:eastAsia="SimSun"/>
              </w:rPr>
              <w:t>Препарат</w:t>
            </w:r>
          </w:p>
        </w:tc>
        <w:tc>
          <w:tcPr>
            <w:tcW w:w="1559" w:type="dxa"/>
            <w:vAlign w:val="center"/>
          </w:tcPr>
          <w:p w14:paraId="224CBB21" w14:textId="77777777" w:rsidR="00124A26" w:rsidRPr="00AC3044" w:rsidRDefault="00124A26" w:rsidP="002D3EBF">
            <w:pPr>
              <w:ind w:firstLine="0"/>
              <w:rPr>
                <w:rFonts w:eastAsia="SimSun"/>
              </w:rPr>
            </w:pPr>
            <w:r w:rsidRPr="00AC3044">
              <w:rPr>
                <w:rFonts w:eastAsia="SimSun"/>
              </w:rPr>
              <w:t>Суточная доза</w:t>
            </w:r>
          </w:p>
        </w:tc>
        <w:tc>
          <w:tcPr>
            <w:tcW w:w="1418" w:type="dxa"/>
            <w:vAlign w:val="center"/>
          </w:tcPr>
          <w:p w14:paraId="74B39C2E" w14:textId="77777777" w:rsidR="00124A26" w:rsidRPr="00AC3044" w:rsidRDefault="00124A26" w:rsidP="002D3EBF">
            <w:pPr>
              <w:ind w:firstLine="0"/>
              <w:rPr>
                <w:rFonts w:eastAsia="SimSun"/>
              </w:rPr>
            </w:pPr>
            <w:r w:rsidRPr="00AC3044">
              <w:rPr>
                <w:rFonts w:eastAsia="SimSun"/>
              </w:rPr>
              <w:t>Курсовая доза</w:t>
            </w:r>
          </w:p>
        </w:tc>
        <w:tc>
          <w:tcPr>
            <w:tcW w:w="1701" w:type="dxa"/>
            <w:vAlign w:val="center"/>
          </w:tcPr>
          <w:p w14:paraId="297B7D95" w14:textId="77777777" w:rsidR="00124A26" w:rsidRPr="00AC3044" w:rsidRDefault="00124A26" w:rsidP="002D3EBF">
            <w:pPr>
              <w:ind w:firstLine="0"/>
              <w:rPr>
                <w:rFonts w:eastAsia="SimSun"/>
              </w:rPr>
            </w:pPr>
            <w:r w:rsidRPr="00AC3044">
              <w:rPr>
                <w:rFonts w:eastAsia="SimSun"/>
              </w:rPr>
              <w:t>Дни введения</w:t>
            </w:r>
          </w:p>
        </w:tc>
        <w:tc>
          <w:tcPr>
            <w:tcW w:w="2268" w:type="dxa"/>
            <w:vAlign w:val="center"/>
          </w:tcPr>
          <w:p w14:paraId="018D9420"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665A2D28" w14:textId="77777777" w:rsidTr="002D3EBF">
        <w:trPr>
          <w:cantSplit/>
          <w:trHeight w:val="20"/>
        </w:trPr>
        <w:tc>
          <w:tcPr>
            <w:tcW w:w="709" w:type="dxa"/>
            <w:vMerge w:val="restart"/>
            <w:textDirection w:val="btLr"/>
            <w:vAlign w:val="center"/>
          </w:tcPr>
          <w:p w14:paraId="330975C0" w14:textId="77777777" w:rsidR="00124A26" w:rsidRPr="00AC3044" w:rsidRDefault="00124A26" w:rsidP="002D3EBF">
            <w:pPr>
              <w:ind w:firstLine="0"/>
              <w:rPr>
                <w:rFonts w:eastAsia="SimSun"/>
              </w:rPr>
            </w:pPr>
            <w:r w:rsidRPr="00AC3044">
              <w:rPr>
                <w:rFonts w:eastAsia="SimSun"/>
              </w:rPr>
              <w:t>Кондиционирование</w:t>
            </w:r>
          </w:p>
        </w:tc>
        <w:tc>
          <w:tcPr>
            <w:tcW w:w="1701" w:type="dxa"/>
            <w:vAlign w:val="center"/>
          </w:tcPr>
          <w:p w14:paraId="0CF7123E" w14:textId="77777777" w:rsidR="00124A26" w:rsidRPr="00AC3044" w:rsidRDefault="00124A26" w:rsidP="002D3EBF">
            <w:pPr>
              <w:ind w:firstLine="0"/>
              <w:rPr>
                <w:rFonts w:eastAsia="SimSun"/>
              </w:rPr>
            </w:pPr>
            <w:r w:rsidRPr="00AC3044">
              <w:rPr>
                <w:rFonts w:eastAsia="SimSun"/>
              </w:rPr>
              <w:t xml:space="preserve">Флударабин </w:t>
            </w:r>
          </w:p>
        </w:tc>
        <w:tc>
          <w:tcPr>
            <w:tcW w:w="1559" w:type="dxa"/>
            <w:vAlign w:val="center"/>
          </w:tcPr>
          <w:p w14:paraId="7D839B4A" w14:textId="77777777" w:rsidR="00124A26" w:rsidRPr="00AC3044" w:rsidRDefault="00124A26" w:rsidP="002D3EB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3CE9685F" w14:textId="77777777" w:rsidR="00124A26" w:rsidRPr="00AC3044" w:rsidRDefault="00124A26" w:rsidP="002D3EBF">
            <w:pPr>
              <w:ind w:firstLine="0"/>
              <w:rPr>
                <w:rFonts w:eastAsia="SimSun"/>
              </w:rPr>
            </w:pPr>
            <w:r w:rsidRPr="00AC3044">
              <w:rPr>
                <w:rFonts w:eastAsia="SimSun"/>
              </w:rPr>
              <w:t>150 мг/м</w:t>
            </w:r>
            <w:r w:rsidRPr="0074195F">
              <w:rPr>
                <w:rFonts w:eastAsia="SimSun"/>
                <w:vertAlign w:val="superscript"/>
              </w:rPr>
              <w:t>2</w:t>
            </w:r>
          </w:p>
        </w:tc>
        <w:tc>
          <w:tcPr>
            <w:tcW w:w="1701" w:type="dxa"/>
            <w:vAlign w:val="center"/>
          </w:tcPr>
          <w:p w14:paraId="6155D7C1" w14:textId="77777777" w:rsidR="00124A26" w:rsidRPr="00AC3044" w:rsidRDefault="00124A26" w:rsidP="002D3EBF">
            <w:pPr>
              <w:ind w:firstLine="0"/>
              <w:rPr>
                <w:rFonts w:eastAsia="SimSun"/>
              </w:rPr>
            </w:pPr>
            <w:r w:rsidRPr="00AC3044">
              <w:rPr>
                <w:rFonts w:eastAsia="SimSun"/>
              </w:rPr>
              <w:t>С –6 по –2 день</w:t>
            </w:r>
          </w:p>
        </w:tc>
        <w:tc>
          <w:tcPr>
            <w:tcW w:w="2268" w:type="dxa"/>
            <w:vAlign w:val="center"/>
          </w:tcPr>
          <w:p w14:paraId="3542FFC0"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38E10CC9" w14:textId="77777777" w:rsidTr="002D3EBF">
        <w:trPr>
          <w:cantSplit/>
          <w:trHeight w:val="899"/>
        </w:trPr>
        <w:tc>
          <w:tcPr>
            <w:tcW w:w="709" w:type="dxa"/>
            <w:vMerge/>
            <w:textDirection w:val="btLr"/>
            <w:vAlign w:val="center"/>
          </w:tcPr>
          <w:p w14:paraId="2C835184" w14:textId="77777777" w:rsidR="00124A26" w:rsidRPr="00AC3044" w:rsidRDefault="00124A26" w:rsidP="002D3EBF">
            <w:pPr>
              <w:ind w:firstLine="0"/>
              <w:rPr>
                <w:rFonts w:eastAsia="SimSun"/>
              </w:rPr>
            </w:pPr>
          </w:p>
        </w:tc>
        <w:tc>
          <w:tcPr>
            <w:tcW w:w="1701" w:type="dxa"/>
            <w:vAlign w:val="center"/>
          </w:tcPr>
          <w:p w14:paraId="44DB03B4" w14:textId="77777777" w:rsidR="00124A26" w:rsidRPr="00AC3044" w:rsidRDefault="00124A26" w:rsidP="002D3EBF">
            <w:pPr>
              <w:ind w:firstLine="0"/>
              <w:rPr>
                <w:rFonts w:eastAsia="SimSun"/>
              </w:rPr>
            </w:pPr>
            <w:r w:rsidRPr="00AC3044">
              <w:rPr>
                <w:rFonts w:eastAsia="SimSun"/>
              </w:rPr>
              <w:t>Треосульфан</w:t>
            </w:r>
          </w:p>
        </w:tc>
        <w:tc>
          <w:tcPr>
            <w:tcW w:w="1559" w:type="dxa"/>
            <w:vAlign w:val="center"/>
          </w:tcPr>
          <w:p w14:paraId="2129E68F" w14:textId="77777777" w:rsidR="00124A26" w:rsidRPr="00AC3044" w:rsidRDefault="00124A26" w:rsidP="002D3EBF">
            <w:pPr>
              <w:ind w:firstLine="0"/>
              <w:rPr>
                <w:rFonts w:eastAsia="SimSun"/>
              </w:rPr>
            </w:pPr>
            <w:r w:rsidRPr="00AC3044">
              <w:rPr>
                <w:rFonts w:eastAsia="SimSun"/>
              </w:rPr>
              <w:t>12 г/м</w:t>
            </w:r>
            <w:r w:rsidRPr="0074195F">
              <w:rPr>
                <w:rFonts w:eastAsia="SimSun"/>
                <w:vertAlign w:val="superscript"/>
              </w:rPr>
              <w:t>2</w:t>
            </w:r>
          </w:p>
        </w:tc>
        <w:tc>
          <w:tcPr>
            <w:tcW w:w="1418" w:type="dxa"/>
            <w:vAlign w:val="center"/>
          </w:tcPr>
          <w:p w14:paraId="5F7ED171" w14:textId="77777777" w:rsidR="00124A26" w:rsidRPr="00AC3044" w:rsidRDefault="00124A26" w:rsidP="002D3EBF">
            <w:pPr>
              <w:ind w:firstLine="0"/>
              <w:rPr>
                <w:rFonts w:eastAsia="SimSun"/>
              </w:rPr>
            </w:pPr>
            <w:r w:rsidRPr="00AC3044">
              <w:rPr>
                <w:rFonts w:eastAsia="SimSun"/>
              </w:rPr>
              <w:t>36 г/м</w:t>
            </w:r>
            <w:r w:rsidRPr="0074195F">
              <w:rPr>
                <w:rFonts w:eastAsia="SimSun"/>
                <w:vertAlign w:val="superscript"/>
              </w:rPr>
              <w:t>2</w:t>
            </w:r>
          </w:p>
        </w:tc>
        <w:tc>
          <w:tcPr>
            <w:tcW w:w="1701" w:type="dxa"/>
            <w:vAlign w:val="center"/>
          </w:tcPr>
          <w:p w14:paraId="1F35BF8F" w14:textId="77777777" w:rsidR="00124A26" w:rsidRPr="00AC3044" w:rsidRDefault="00124A26" w:rsidP="002D3EBF">
            <w:pPr>
              <w:ind w:firstLine="0"/>
              <w:rPr>
                <w:rFonts w:eastAsia="SimSun"/>
              </w:rPr>
            </w:pPr>
            <w:r w:rsidRPr="00AC3044">
              <w:rPr>
                <w:rFonts w:eastAsia="SimSun"/>
              </w:rPr>
              <w:t>С –6 по –4 день</w:t>
            </w:r>
          </w:p>
        </w:tc>
        <w:tc>
          <w:tcPr>
            <w:tcW w:w="2268" w:type="dxa"/>
            <w:vAlign w:val="center"/>
          </w:tcPr>
          <w:p w14:paraId="6C028CD1" w14:textId="77777777" w:rsidR="00124A26" w:rsidRPr="00AC3044" w:rsidRDefault="00124A26" w:rsidP="002D3EBF">
            <w:pPr>
              <w:ind w:firstLine="0"/>
              <w:rPr>
                <w:rFonts w:eastAsia="SimSun"/>
              </w:rPr>
            </w:pPr>
            <w:r w:rsidRPr="00AC3044">
              <w:rPr>
                <w:rFonts w:eastAsia="SimSun"/>
              </w:rPr>
              <w:t>В/в, в течение 2 часов</w:t>
            </w:r>
          </w:p>
        </w:tc>
      </w:tr>
      <w:tr w:rsidR="00124A26" w:rsidRPr="00AC3044" w14:paraId="570F0EA4" w14:textId="77777777" w:rsidTr="002D3EBF">
        <w:trPr>
          <w:cantSplit/>
          <w:trHeight w:val="1394"/>
        </w:trPr>
        <w:tc>
          <w:tcPr>
            <w:tcW w:w="709" w:type="dxa"/>
            <w:vMerge w:val="restart"/>
            <w:textDirection w:val="btLr"/>
            <w:vAlign w:val="center"/>
          </w:tcPr>
          <w:p w14:paraId="2CB4535D" w14:textId="77777777" w:rsidR="00124A26" w:rsidRPr="00AC3044" w:rsidRDefault="00124A26" w:rsidP="002D3EBF">
            <w:pPr>
              <w:ind w:firstLine="0"/>
              <w:rPr>
                <w:rFonts w:eastAsia="SimSun"/>
              </w:rPr>
            </w:pPr>
            <w:r w:rsidRPr="00AC3044">
              <w:rPr>
                <w:rFonts w:eastAsia="SimSun"/>
              </w:rPr>
              <w:t>Профилактика РТПХ</w:t>
            </w:r>
          </w:p>
        </w:tc>
        <w:tc>
          <w:tcPr>
            <w:tcW w:w="1701" w:type="dxa"/>
            <w:vAlign w:val="center"/>
          </w:tcPr>
          <w:p w14:paraId="1CEED02F" w14:textId="77777777" w:rsidR="00124A26" w:rsidRPr="00AC3044" w:rsidRDefault="00124A26" w:rsidP="002D3EBF">
            <w:pPr>
              <w:ind w:firstLine="0"/>
              <w:rPr>
                <w:rFonts w:eastAsia="SimSun"/>
              </w:rPr>
            </w:pPr>
            <w:r w:rsidRPr="00AC3044">
              <w:rPr>
                <w:rFonts w:eastAsia="SimSun"/>
              </w:rPr>
              <w:t>Циклоспорин</w:t>
            </w:r>
          </w:p>
        </w:tc>
        <w:tc>
          <w:tcPr>
            <w:tcW w:w="1559" w:type="dxa"/>
            <w:vAlign w:val="center"/>
          </w:tcPr>
          <w:p w14:paraId="10B553CC" w14:textId="77777777" w:rsidR="00124A26" w:rsidRPr="00AC3044" w:rsidRDefault="00124A26" w:rsidP="002D3EBF">
            <w:pPr>
              <w:ind w:firstLine="0"/>
              <w:rPr>
                <w:rFonts w:eastAsia="SimSun"/>
              </w:rPr>
            </w:pPr>
            <w:r w:rsidRPr="00AC3044">
              <w:rPr>
                <w:rFonts w:eastAsia="SimSun"/>
              </w:rPr>
              <w:t>3 мг/кг</w:t>
            </w:r>
          </w:p>
        </w:tc>
        <w:tc>
          <w:tcPr>
            <w:tcW w:w="1418" w:type="dxa"/>
            <w:vAlign w:val="center"/>
          </w:tcPr>
          <w:p w14:paraId="175C7FD8"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52A146ED" w14:textId="77777777" w:rsidR="00124A26" w:rsidRPr="00AC3044" w:rsidRDefault="00124A26" w:rsidP="002D3EBF">
            <w:pPr>
              <w:ind w:firstLine="0"/>
              <w:rPr>
                <w:rFonts w:eastAsia="SimSun"/>
              </w:rPr>
            </w:pPr>
            <w:r w:rsidRPr="00AC3044">
              <w:rPr>
                <w:rFonts w:eastAsia="SimSun"/>
              </w:rPr>
              <w:t>С +5 дня по +90 день затем постепенное снижение к +180 дню</w:t>
            </w:r>
          </w:p>
        </w:tc>
        <w:tc>
          <w:tcPr>
            <w:tcW w:w="2268" w:type="dxa"/>
            <w:vAlign w:val="center"/>
          </w:tcPr>
          <w:p w14:paraId="102ADA8D" w14:textId="77777777" w:rsidR="00124A26" w:rsidRPr="00AC3044" w:rsidRDefault="00124A26"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74195F">
              <w:rPr>
                <w:rFonts w:eastAsia="SimSun"/>
              </w:rPr>
              <w:t>/</w:t>
            </w:r>
            <w:r w:rsidRPr="00AC3044">
              <w:rPr>
                <w:rFonts w:eastAsia="SimSun"/>
              </w:rPr>
              <w:t>л, при отсутствии тошноты, рвоты, диареи и возможности приема внутрь. Концентрация 150-350 нг/мл</w:t>
            </w:r>
          </w:p>
        </w:tc>
      </w:tr>
      <w:tr w:rsidR="00124A26" w:rsidRPr="00AC3044" w14:paraId="442D7840" w14:textId="77777777" w:rsidTr="002D3EBF">
        <w:trPr>
          <w:cantSplit/>
          <w:trHeight w:val="20"/>
        </w:trPr>
        <w:tc>
          <w:tcPr>
            <w:tcW w:w="709" w:type="dxa"/>
            <w:vMerge/>
            <w:textDirection w:val="btLr"/>
          </w:tcPr>
          <w:p w14:paraId="77B184FD" w14:textId="77777777" w:rsidR="00124A26" w:rsidRPr="00AC3044" w:rsidRDefault="00124A26" w:rsidP="002D3EBF">
            <w:pPr>
              <w:ind w:firstLine="0"/>
              <w:rPr>
                <w:rFonts w:eastAsia="SimSun"/>
              </w:rPr>
            </w:pPr>
          </w:p>
        </w:tc>
        <w:tc>
          <w:tcPr>
            <w:tcW w:w="1701" w:type="dxa"/>
            <w:vAlign w:val="center"/>
          </w:tcPr>
          <w:p w14:paraId="7047CED3" w14:textId="77777777" w:rsidR="00124A26" w:rsidRPr="00AC3044" w:rsidRDefault="00124A26" w:rsidP="002D3EBF">
            <w:pPr>
              <w:ind w:firstLine="0"/>
              <w:rPr>
                <w:rFonts w:eastAsia="SimSun"/>
              </w:rPr>
            </w:pPr>
            <w:r w:rsidRPr="00AC3044">
              <w:rPr>
                <w:rFonts w:eastAsia="SimSun"/>
              </w:rPr>
              <w:t>Микофенолата мофетил</w:t>
            </w:r>
          </w:p>
        </w:tc>
        <w:tc>
          <w:tcPr>
            <w:tcW w:w="1559" w:type="dxa"/>
            <w:vAlign w:val="center"/>
          </w:tcPr>
          <w:p w14:paraId="0DD66AAB" w14:textId="77777777" w:rsidR="00124A26" w:rsidRPr="00AC3044" w:rsidRDefault="00124A26" w:rsidP="002D3EBF">
            <w:pPr>
              <w:ind w:firstLine="0"/>
              <w:rPr>
                <w:rFonts w:eastAsia="SimSun"/>
              </w:rPr>
            </w:pPr>
            <w:r w:rsidRPr="00AC3044">
              <w:rPr>
                <w:rFonts w:eastAsia="SimSun"/>
              </w:rPr>
              <w:t>30 мг/кг</w:t>
            </w:r>
          </w:p>
        </w:tc>
        <w:tc>
          <w:tcPr>
            <w:tcW w:w="1418" w:type="dxa"/>
            <w:vAlign w:val="center"/>
          </w:tcPr>
          <w:p w14:paraId="75C6D8E4"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687B9A90" w14:textId="77777777" w:rsidR="00124A26" w:rsidRPr="00AC3044" w:rsidRDefault="00124A26" w:rsidP="002D3EBF">
            <w:pPr>
              <w:ind w:firstLine="0"/>
              <w:rPr>
                <w:rFonts w:eastAsia="SimSun"/>
              </w:rPr>
            </w:pPr>
            <w:r w:rsidRPr="00AC3044">
              <w:rPr>
                <w:rFonts w:eastAsia="SimSun"/>
              </w:rPr>
              <w:t>С +5 по +90 день</w:t>
            </w:r>
          </w:p>
        </w:tc>
        <w:tc>
          <w:tcPr>
            <w:tcW w:w="2268" w:type="dxa"/>
            <w:vAlign w:val="center"/>
          </w:tcPr>
          <w:p w14:paraId="68E56A57"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124A26" w:rsidRPr="00AC3044" w14:paraId="07563976" w14:textId="77777777" w:rsidTr="002D3EBF">
        <w:trPr>
          <w:cantSplit/>
          <w:trHeight w:val="20"/>
        </w:trPr>
        <w:tc>
          <w:tcPr>
            <w:tcW w:w="709" w:type="dxa"/>
            <w:vMerge/>
            <w:textDirection w:val="btLr"/>
          </w:tcPr>
          <w:p w14:paraId="1F6B17A1" w14:textId="77777777" w:rsidR="00124A26" w:rsidRPr="00AC3044" w:rsidRDefault="00124A26" w:rsidP="002D3EBF">
            <w:pPr>
              <w:ind w:firstLine="0"/>
              <w:rPr>
                <w:rFonts w:eastAsia="SimSun"/>
              </w:rPr>
            </w:pPr>
          </w:p>
        </w:tc>
        <w:tc>
          <w:tcPr>
            <w:tcW w:w="1701" w:type="dxa"/>
            <w:vAlign w:val="center"/>
          </w:tcPr>
          <w:p w14:paraId="6A762FF0" w14:textId="77777777" w:rsidR="00124A26" w:rsidRPr="00AC3044" w:rsidRDefault="00124A26" w:rsidP="002D3EBF">
            <w:pPr>
              <w:ind w:firstLine="0"/>
              <w:rPr>
                <w:rFonts w:eastAsia="SimSun"/>
              </w:rPr>
            </w:pPr>
            <w:r w:rsidRPr="00AC3044">
              <w:rPr>
                <w:rFonts w:eastAsia="SimSun"/>
              </w:rPr>
              <w:t>Циклофосфамид</w:t>
            </w:r>
          </w:p>
        </w:tc>
        <w:tc>
          <w:tcPr>
            <w:tcW w:w="1559" w:type="dxa"/>
            <w:vAlign w:val="center"/>
          </w:tcPr>
          <w:p w14:paraId="5319E9B8" w14:textId="77777777" w:rsidR="00124A26" w:rsidRPr="00AC3044" w:rsidRDefault="00124A26" w:rsidP="002D3EBF">
            <w:pPr>
              <w:ind w:firstLine="0"/>
              <w:rPr>
                <w:rFonts w:eastAsia="SimSun"/>
              </w:rPr>
            </w:pPr>
            <w:r w:rsidRPr="00AC3044">
              <w:rPr>
                <w:rFonts w:eastAsia="SimSun"/>
              </w:rPr>
              <w:t>50 мг/кг</w:t>
            </w:r>
          </w:p>
        </w:tc>
        <w:tc>
          <w:tcPr>
            <w:tcW w:w="1418" w:type="dxa"/>
            <w:vAlign w:val="center"/>
          </w:tcPr>
          <w:p w14:paraId="24282863" w14:textId="77777777" w:rsidR="00124A26" w:rsidRPr="00AC3044" w:rsidRDefault="00124A26" w:rsidP="002D3EBF">
            <w:pPr>
              <w:ind w:firstLine="0"/>
              <w:rPr>
                <w:rFonts w:eastAsia="SimSun"/>
              </w:rPr>
            </w:pPr>
            <w:r w:rsidRPr="00AC3044">
              <w:rPr>
                <w:rFonts w:eastAsia="SimSun"/>
              </w:rPr>
              <w:t>100 мг/кг</w:t>
            </w:r>
          </w:p>
        </w:tc>
        <w:tc>
          <w:tcPr>
            <w:tcW w:w="1701" w:type="dxa"/>
            <w:vAlign w:val="center"/>
          </w:tcPr>
          <w:p w14:paraId="33A23110" w14:textId="77777777" w:rsidR="00124A26" w:rsidRPr="00AC3044" w:rsidRDefault="00124A26" w:rsidP="002D3EBF">
            <w:pPr>
              <w:ind w:firstLine="0"/>
              <w:rPr>
                <w:rFonts w:eastAsia="SimSun"/>
              </w:rPr>
            </w:pPr>
            <w:r w:rsidRPr="00AC3044">
              <w:rPr>
                <w:rFonts w:eastAsia="SimSun"/>
              </w:rPr>
              <w:t xml:space="preserve">+3,+4 дни </w:t>
            </w:r>
          </w:p>
        </w:tc>
        <w:tc>
          <w:tcPr>
            <w:tcW w:w="2268" w:type="dxa"/>
            <w:vAlign w:val="center"/>
          </w:tcPr>
          <w:p w14:paraId="7040F725" w14:textId="77777777" w:rsidR="00124A26" w:rsidRPr="00AC3044" w:rsidRDefault="00124A26" w:rsidP="002D3EBF">
            <w:pPr>
              <w:ind w:firstLine="0"/>
              <w:rPr>
                <w:rFonts w:eastAsia="SimSun"/>
              </w:rPr>
            </w:pPr>
            <w:r w:rsidRPr="00AC3044">
              <w:rPr>
                <w:rFonts w:eastAsia="SimSun"/>
              </w:rPr>
              <w:t>В/в, в течение 2 часов</w:t>
            </w:r>
          </w:p>
        </w:tc>
      </w:tr>
    </w:tbl>
    <w:p w14:paraId="11E71074" w14:textId="77777777" w:rsidR="00124A26" w:rsidRDefault="00124A26" w:rsidP="00124A26">
      <w:pPr>
        <w:rPr>
          <w:rFonts w:eastAsia="SimSun"/>
        </w:rPr>
      </w:pPr>
      <w:bookmarkStart w:id="257" w:name="_Toc44401219"/>
    </w:p>
    <w:p w14:paraId="686EE889" w14:textId="77777777" w:rsidR="00124A26" w:rsidRPr="00C07B2E" w:rsidRDefault="00124A26" w:rsidP="00124A26">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2.2.19  – Flu180+Cy1200 / hATG+Tx+MMF30</w:t>
      </w:r>
      <w:bookmarkEnd w:id="257"/>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124A26" w:rsidRPr="00AC3044" w14:paraId="24CC4B9E" w14:textId="77777777" w:rsidTr="002D3EBF">
        <w:trPr>
          <w:cantSplit/>
          <w:trHeight w:val="20"/>
          <w:tblHeader/>
        </w:trPr>
        <w:tc>
          <w:tcPr>
            <w:tcW w:w="817" w:type="dxa"/>
            <w:vAlign w:val="center"/>
          </w:tcPr>
          <w:p w14:paraId="01DBCB08" w14:textId="77777777" w:rsidR="00124A26" w:rsidRPr="00AC3044" w:rsidRDefault="00124A26" w:rsidP="002D3EBF">
            <w:pPr>
              <w:ind w:firstLine="0"/>
              <w:rPr>
                <w:rFonts w:eastAsia="SimSun"/>
              </w:rPr>
            </w:pPr>
          </w:p>
        </w:tc>
        <w:tc>
          <w:tcPr>
            <w:tcW w:w="1701" w:type="dxa"/>
            <w:vAlign w:val="center"/>
          </w:tcPr>
          <w:p w14:paraId="68089DAA" w14:textId="77777777" w:rsidR="00124A26" w:rsidRPr="00AC3044" w:rsidRDefault="00124A26" w:rsidP="002D3EBF">
            <w:pPr>
              <w:ind w:firstLine="0"/>
              <w:rPr>
                <w:rFonts w:eastAsia="SimSun"/>
              </w:rPr>
            </w:pPr>
            <w:r w:rsidRPr="00AC3044">
              <w:rPr>
                <w:rFonts w:eastAsia="SimSun"/>
              </w:rPr>
              <w:t>Препарат</w:t>
            </w:r>
          </w:p>
        </w:tc>
        <w:tc>
          <w:tcPr>
            <w:tcW w:w="1559" w:type="dxa"/>
            <w:vAlign w:val="center"/>
          </w:tcPr>
          <w:p w14:paraId="2D955F99" w14:textId="77777777" w:rsidR="00124A26" w:rsidRPr="00AC3044" w:rsidRDefault="00124A26" w:rsidP="002D3EBF">
            <w:pPr>
              <w:ind w:firstLine="0"/>
              <w:rPr>
                <w:rFonts w:eastAsia="SimSun"/>
              </w:rPr>
            </w:pPr>
            <w:r w:rsidRPr="00AC3044">
              <w:rPr>
                <w:rFonts w:eastAsia="SimSun"/>
              </w:rPr>
              <w:t>Суточная доза</w:t>
            </w:r>
          </w:p>
        </w:tc>
        <w:tc>
          <w:tcPr>
            <w:tcW w:w="1418" w:type="dxa"/>
            <w:vAlign w:val="center"/>
          </w:tcPr>
          <w:p w14:paraId="56813D15" w14:textId="77777777" w:rsidR="00124A26" w:rsidRPr="00AC3044" w:rsidRDefault="00124A26" w:rsidP="002D3EBF">
            <w:pPr>
              <w:ind w:firstLine="0"/>
              <w:rPr>
                <w:rFonts w:eastAsia="SimSun"/>
              </w:rPr>
            </w:pPr>
            <w:r w:rsidRPr="00AC3044">
              <w:rPr>
                <w:rFonts w:eastAsia="SimSun"/>
              </w:rPr>
              <w:t>Курсовая доза</w:t>
            </w:r>
          </w:p>
        </w:tc>
        <w:tc>
          <w:tcPr>
            <w:tcW w:w="1701" w:type="dxa"/>
            <w:vAlign w:val="center"/>
          </w:tcPr>
          <w:p w14:paraId="371139ED" w14:textId="77777777" w:rsidR="00124A26" w:rsidRPr="00AC3044" w:rsidRDefault="00124A26" w:rsidP="002D3EBF">
            <w:pPr>
              <w:ind w:firstLine="0"/>
              <w:rPr>
                <w:rFonts w:eastAsia="SimSun"/>
              </w:rPr>
            </w:pPr>
            <w:r w:rsidRPr="00AC3044">
              <w:rPr>
                <w:rFonts w:eastAsia="SimSun"/>
              </w:rPr>
              <w:t>Дни введения</w:t>
            </w:r>
          </w:p>
        </w:tc>
        <w:tc>
          <w:tcPr>
            <w:tcW w:w="2268" w:type="dxa"/>
            <w:vAlign w:val="center"/>
          </w:tcPr>
          <w:p w14:paraId="2AE81722"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33BB720B" w14:textId="77777777" w:rsidTr="002D3EBF">
        <w:trPr>
          <w:cantSplit/>
          <w:trHeight w:val="20"/>
        </w:trPr>
        <w:tc>
          <w:tcPr>
            <w:tcW w:w="817" w:type="dxa"/>
            <w:vMerge w:val="restart"/>
            <w:textDirection w:val="btLr"/>
            <w:vAlign w:val="center"/>
          </w:tcPr>
          <w:p w14:paraId="4C7DC530" w14:textId="77777777" w:rsidR="00124A26" w:rsidRPr="00AC3044" w:rsidRDefault="00124A26" w:rsidP="002D3EBF">
            <w:pPr>
              <w:ind w:firstLine="0"/>
              <w:rPr>
                <w:rFonts w:eastAsia="SimSun"/>
              </w:rPr>
            </w:pPr>
            <w:r w:rsidRPr="00AC3044">
              <w:rPr>
                <w:rFonts w:eastAsia="SimSun"/>
              </w:rPr>
              <w:t>Кондиционирование</w:t>
            </w:r>
          </w:p>
        </w:tc>
        <w:tc>
          <w:tcPr>
            <w:tcW w:w="1701" w:type="dxa"/>
            <w:vAlign w:val="center"/>
          </w:tcPr>
          <w:p w14:paraId="1002A5A5" w14:textId="77777777" w:rsidR="00124A26" w:rsidRPr="00AC3044" w:rsidRDefault="00124A26" w:rsidP="002D3EBF">
            <w:pPr>
              <w:ind w:firstLine="0"/>
              <w:rPr>
                <w:rFonts w:eastAsia="SimSun"/>
              </w:rPr>
            </w:pPr>
            <w:r w:rsidRPr="00AC3044">
              <w:rPr>
                <w:rFonts w:eastAsia="SimSun"/>
              </w:rPr>
              <w:t xml:space="preserve">Флударабин </w:t>
            </w:r>
          </w:p>
        </w:tc>
        <w:tc>
          <w:tcPr>
            <w:tcW w:w="1559" w:type="dxa"/>
            <w:vAlign w:val="center"/>
          </w:tcPr>
          <w:p w14:paraId="5099714C" w14:textId="77777777" w:rsidR="00124A26" w:rsidRPr="00AC3044" w:rsidRDefault="00124A26" w:rsidP="002D3EB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299C5FF4" w14:textId="77777777" w:rsidR="00124A26" w:rsidRPr="00AC3044" w:rsidRDefault="00124A26" w:rsidP="002D3EBF">
            <w:pPr>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14:paraId="6F19EA55" w14:textId="77777777" w:rsidR="00124A26" w:rsidRPr="00AC3044" w:rsidRDefault="00124A26" w:rsidP="002D3EBF">
            <w:pPr>
              <w:ind w:firstLine="0"/>
              <w:rPr>
                <w:rFonts w:eastAsia="SimSun"/>
              </w:rPr>
            </w:pPr>
            <w:r w:rsidRPr="00AC3044">
              <w:rPr>
                <w:rFonts w:eastAsia="SimSun"/>
              </w:rPr>
              <w:t>С -7 дня по -2 день</w:t>
            </w:r>
          </w:p>
        </w:tc>
        <w:tc>
          <w:tcPr>
            <w:tcW w:w="2268" w:type="dxa"/>
            <w:vAlign w:val="center"/>
          </w:tcPr>
          <w:p w14:paraId="503F9EC9"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2441C5C5" w14:textId="77777777" w:rsidTr="002D3EBF">
        <w:trPr>
          <w:cantSplit/>
          <w:trHeight w:val="736"/>
        </w:trPr>
        <w:tc>
          <w:tcPr>
            <w:tcW w:w="817" w:type="dxa"/>
            <w:vMerge/>
            <w:vAlign w:val="center"/>
          </w:tcPr>
          <w:p w14:paraId="3912CE7D" w14:textId="77777777" w:rsidR="00124A26" w:rsidRPr="00AC3044" w:rsidRDefault="00124A26" w:rsidP="002D3EBF">
            <w:pPr>
              <w:ind w:firstLine="0"/>
              <w:rPr>
                <w:rFonts w:eastAsia="SimSun"/>
              </w:rPr>
            </w:pPr>
          </w:p>
        </w:tc>
        <w:tc>
          <w:tcPr>
            <w:tcW w:w="1701" w:type="dxa"/>
            <w:vAlign w:val="center"/>
          </w:tcPr>
          <w:p w14:paraId="2188579F" w14:textId="77777777" w:rsidR="00124A26" w:rsidRPr="00AC3044" w:rsidRDefault="00124A26" w:rsidP="002D3EBF">
            <w:pPr>
              <w:ind w:firstLine="0"/>
              <w:rPr>
                <w:rFonts w:eastAsia="SimSun"/>
              </w:rPr>
            </w:pPr>
            <w:r w:rsidRPr="00AC3044">
              <w:rPr>
                <w:rFonts w:eastAsia="SimSun"/>
              </w:rPr>
              <w:t>Циклофосфамид</w:t>
            </w:r>
          </w:p>
        </w:tc>
        <w:tc>
          <w:tcPr>
            <w:tcW w:w="1559" w:type="dxa"/>
            <w:vAlign w:val="center"/>
          </w:tcPr>
          <w:p w14:paraId="069629CF" w14:textId="77777777" w:rsidR="00124A26" w:rsidRPr="00AC3044" w:rsidRDefault="00124A26" w:rsidP="002D3EBF">
            <w:pPr>
              <w:ind w:firstLine="0"/>
              <w:rPr>
                <w:rFonts w:eastAsia="SimSun"/>
              </w:rPr>
            </w:pPr>
            <w:r w:rsidRPr="00AC3044">
              <w:rPr>
                <w:rFonts w:eastAsia="SimSun"/>
              </w:rPr>
              <w:t>300 мг/м</w:t>
            </w:r>
            <w:r w:rsidRPr="0074195F">
              <w:rPr>
                <w:rFonts w:eastAsia="SimSun"/>
                <w:vertAlign w:val="superscript"/>
              </w:rPr>
              <w:t>2</w:t>
            </w:r>
            <w:r w:rsidRPr="00AC3044">
              <w:rPr>
                <w:rFonts w:eastAsia="SimSun"/>
              </w:rPr>
              <w:t xml:space="preserve"> </w:t>
            </w:r>
          </w:p>
        </w:tc>
        <w:tc>
          <w:tcPr>
            <w:tcW w:w="1418" w:type="dxa"/>
            <w:vAlign w:val="center"/>
          </w:tcPr>
          <w:p w14:paraId="49CEA2C5" w14:textId="77777777" w:rsidR="00124A26" w:rsidRPr="00AC3044" w:rsidRDefault="00124A26" w:rsidP="002D3EBF">
            <w:pPr>
              <w:ind w:firstLine="0"/>
              <w:rPr>
                <w:rFonts w:eastAsia="SimSun"/>
              </w:rPr>
            </w:pPr>
            <w:r w:rsidRPr="00AC3044">
              <w:rPr>
                <w:rFonts w:eastAsia="SimSun"/>
              </w:rPr>
              <w:t>1200 мг/м</w:t>
            </w:r>
            <w:r w:rsidRPr="0074195F">
              <w:rPr>
                <w:rFonts w:eastAsia="SimSun"/>
                <w:vertAlign w:val="superscript"/>
              </w:rPr>
              <w:t>2</w:t>
            </w:r>
          </w:p>
        </w:tc>
        <w:tc>
          <w:tcPr>
            <w:tcW w:w="1701" w:type="dxa"/>
            <w:vAlign w:val="center"/>
          </w:tcPr>
          <w:p w14:paraId="17473EBA" w14:textId="77777777" w:rsidR="00124A26" w:rsidRPr="00AC3044" w:rsidRDefault="00124A26" w:rsidP="002D3EBF">
            <w:pPr>
              <w:ind w:firstLine="0"/>
              <w:rPr>
                <w:rFonts w:eastAsia="SimSun"/>
              </w:rPr>
            </w:pPr>
            <w:r w:rsidRPr="00AC3044">
              <w:rPr>
                <w:rFonts w:eastAsia="SimSun"/>
              </w:rPr>
              <w:t xml:space="preserve"> С -5 дня по -2 день </w:t>
            </w:r>
          </w:p>
        </w:tc>
        <w:tc>
          <w:tcPr>
            <w:tcW w:w="2268" w:type="dxa"/>
            <w:vAlign w:val="center"/>
          </w:tcPr>
          <w:p w14:paraId="233E3346" w14:textId="77777777" w:rsidR="00124A26" w:rsidRPr="00AC3044" w:rsidRDefault="00124A26" w:rsidP="002D3EBF">
            <w:pPr>
              <w:ind w:firstLine="0"/>
              <w:rPr>
                <w:rFonts w:eastAsia="SimSun"/>
              </w:rPr>
            </w:pPr>
            <w:r w:rsidRPr="00AC3044">
              <w:rPr>
                <w:rFonts w:eastAsia="SimSun"/>
              </w:rPr>
              <w:t>В/в, в течение 2 часов</w:t>
            </w:r>
          </w:p>
        </w:tc>
      </w:tr>
      <w:tr w:rsidR="00124A26" w:rsidRPr="00AC3044" w14:paraId="7568D25C" w14:textId="77777777" w:rsidTr="002D3EBF">
        <w:trPr>
          <w:cantSplit/>
          <w:trHeight w:val="654"/>
        </w:trPr>
        <w:tc>
          <w:tcPr>
            <w:tcW w:w="817" w:type="dxa"/>
            <w:vMerge w:val="restart"/>
            <w:textDirection w:val="btLr"/>
            <w:vAlign w:val="center"/>
          </w:tcPr>
          <w:p w14:paraId="0A4CD908" w14:textId="77777777" w:rsidR="00124A26" w:rsidRPr="00AC3044" w:rsidRDefault="00124A26" w:rsidP="002D3EBF">
            <w:pPr>
              <w:ind w:firstLine="0"/>
              <w:rPr>
                <w:rFonts w:eastAsia="SimSun"/>
              </w:rPr>
            </w:pPr>
            <w:r w:rsidRPr="00AC3044">
              <w:rPr>
                <w:rFonts w:eastAsia="SimSun"/>
              </w:rPr>
              <w:t>Профилактика РТПХ</w:t>
            </w:r>
          </w:p>
        </w:tc>
        <w:tc>
          <w:tcPr>
            <w:tcW w:w="1701" w:type="dxa"/>
            <w:vAlign w:val="center"/>
          </w:tcPr>
          <w:p w14:paraId="412EBFCE" w14:textId="77777777" w:rsidR="00124A26" w:rsidRPr="00AC3044" w:rsidRDefault="00124A26" w:rsidP="002D3EBF">
            <w:pPr>
              <w:ind w:firstLine="0"/>
              <w:rPr>
                <w:rFonts w:eastAsia="SimSun"/>
              </w:rPr>
            </w:pPr>
            <w:r w:rsidRPr="00AC3044">
              <w:rPr>
                <w:rFonts w:eastAsia="SimSun"/>
              </w:rPr>
              <w:t xml:space="preserve">АТГ (лошадиный) </w:t>
            </w:r>
          </w:p>
        </w:tc>
        <w:tc>
          <w:tcPr>
            <w:tcW w:w="1559" w:type="dxa"/>
            <w:vAlign w:val="center"/>
          </w:tcPr>
          <w:p w14:paraId="398108A5" w14:textId="77777777" w:rsidR="00124A26" w:rsidRPr="00AC3044" w:rsidRDefault="00124A26" w:rsidP="002D3EBF">
            <w:pPr>
              <w:ind w:firstLine="0"/>
              <w:rPr>
                <w:rFonts w:eastAsia="SimSun"/>
              </w:rPr>
            </w:pPr>
            <w:r w:rsidRPr="00AC3044">
              <w:rPr>
                <w:rFonts w:eastAsia="SimSun"/>
              </w:rPr>
              <w:t>20 мг/кг</w:t>
            </w:r>
          </w:p>
        </w:tc>
        <w:tc>
          <w:tcPr>
            <w:tcW w:w="1418" w:type="dxa"/>
            <w:vAlign w:val="center"/>
          </w:tcPr>
          <w:p w14:paraId="26356E5F" w14:textId="77777777" w:rsidR="00124A26" w:rsidRPr="00AC3044" w:rsidRDefault="00124A26" w:rsidP="002D3EBF">
            <w:pPr>
              <w:ind w:firstLine="0"/>
              <w:rPr>
                <w:rFonts w:eastAsia="SimSun"/>
              </w:rPr>
            </w:pPr>
            <w:r w:rsidRPr="00AC3044">
              <w:rPr>
                <w:rFonts w:eastAsia="SimSun"/>
              </w:rPr>
              <w:t>60 мг/кг</w:t>
            </w:r>
          </w:p>
        </w:tc>
        <w:tc>
          <w:tcPr>
            <w:tcW w:w="1701" w:type="dxa"/>
            <w:vAlign w:val="center"/>
          </w:tcPr>
          <w:p w14:paraId="6AD7F07A" w14:textId="77777777" w:rsidR="00124A26" w:rsidRPr="00AC3044" w:rsidRDefault="00124A26" w:rsidP="002D3EBF">
            <w:pPr>
              <w:ind w:firstLine="0"/>
              <w:rPr>
                <w:rFonts w:eastAsia="SimSun"/>
              </w:rPr>
            </w:pPr>
            <w:r w:rsidRPr="00AC3044">
              <w:rPr>
                <w:rFonts w:eastAsia="SimSun"/>
              </w:rPr>
              <w:t>В дни -3, -2, -1</w:t>
            </w:r>
          </w:p>
        </w:tc>
        <w:tc>
          <w:tcPr>
            <w:tcW w:w="2268" w:type="dxa"/>
            <w:vAlign w:val="center"/>
          </w:tcPr>
          <w:p w14:paraId="79315A79" w14:textId="77777777" w:rsidR="00124A26" w:rsidRPr="00AC3044" w:rsidRDefault="00124A26" w:rsidP="002D3EBF">
            <w:pPr>
              <w:ind w:firstLine="0"/>
              <w:rPr>
                <w:rFonts w:eastAsia="SimSun"/>
              </w:rPr>
            </w:pPr>
            <w:r w:rsidRPr="00AC3044">
              <w:rPr>
                <w:rFonts w:eastAsia="SimSun"/>
              </w:rPr>
              <w:t>В/в. Суточная доза разделяется на 2 введения (см. «Инфузия АТГ»)</w:t>
            </w:r>
          </w:p>
        </w:tc>
      </w:tr>
      <w:tr w:rsidR="00124A26" w:rsidRPr="00AC3044" w14:paraId="22CE5270" w14:textId="77777777" w:rsidTr="002D3EBF">
        <w:trPr>
          <w:cantSplit/>
          <w:trHeight w:val="958"/>
        </w:trPr>
        <w:tc>
          <w:tcPr>
            <w:tcW w:w="817" w:type="dxa"/>
            <w:vMerge/>
            <w:textDirection w:val="btLr"/>
            <w:vAlign w:val="center"/>
          </w:tcPr>
          <w:p w14:paraId="515AFDBF" w14:textId="77777777" w:rsidR="00124A26" w:rsidRPr="00AC3044" w:rsidRDefault="00124A26" w:rsidP="002D3EBF">
            <w:pPr>
              <w:ind w:firstLine="0"/>
              <w:rPr>
                <w:rFonts w:eastAsia="SimSun"/>
              </w:rPr>
            </w:pPr>
          </w:p>
        </w:tc>
        <w:tc>
          <w:tcPr>
            <w:tcW w:w="1701" w:type="dxa"/>
            <w:vAlign w:val="center"/>
          </w:tcPr>
          <w:p w14:paraId="2AC558A3" w14:textId="77777777" w:rsidR="00124A26" w:rsidRPr="00AC3044" w:rsidRDefault="00124A26" w:rsidP="002D3EBF">
            <w:pPr>
              <w:ind w:firstLine="0"/>
              <w:rPr>
                <w:rFonts w:eastAsia="SimSun"/>
              </w:rPr>
            </w:pPr>
            <w:r w:rsidRPr="00AC3044">
              <w:rPr>
                <w:rFonts w:eastAsia="SimSun"/>
              </w:rPr>
              <w:t xml:space="preserve">Такролимус </w:t>
            </w:r>
          </w:p>
        </w:tc>
        <w:tc>
          <w:tcPr>
            <w:tcW w:w="1559" w:type="dxa"/>
            <w:vAlign w:val="center"/>
          </w:tcPr>
          <w:p w14:paraId="6FE62D4B" w14:textId="77777777" w:rsidR="00124A26" w:rsidRPr="00AC3044" w:rsidRDefault="00124A26" w:rsidP="002D3EBF">
            <w:pPr>
              <w:ind w:firstLine="0"/>
              <w:rPr>
                <w:rFonts w:eastAsia="SimSun"/>
              </w:rPr>
            </w:pPr>
            <w:r w:rsidRPr="00AC3044">
              <w:rPr>
                <w:rFonts w:eastAsia="SimSun"/>
              </w:rPr>
              <w:t>0,03 мг/кг</w:t>
            </w:r>
          </w:p>
        </w:tc>
        <w:tc>
          <w:tcPr>
            <w:tcW w:w="1418" w:type="dxa"/>
            <w:vAlign w:val="center"/>
          </w:tcPr>
          <w:p w14:paraId="6C648C68"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686B5CDA" w14:textId="77777777" w:rsidR="00124A26" w:rsidRPr="00AC3044" w:rsidRDefault="00124A26" w:rsidP="002D3EBF">
            <w:pPr>
              <w:ind w:firstLine="0"/>
              <w:rPr>
                <w:rFonts w:eastAsia="SimSun"/>
              </w:rPr>
            </w:pPr>
            <w:r w:rsidRPr="00AC3044">
              <w:rPr>
                <w:rFonts w:eastAsia="SimSun"/>
              </w:rPr>
              <w:t xml:space="preserve">С -1 дня длительно </w:t>
            </w:r>
          </w:p>
        </w:tc>
        <w:tc>
          <w:tcPr>
            <w:tcW w:w="2268" w:type="dxa"/>
            <w:vAlign w:val="center"/>
          </w:tcPr>
          <w:p w14:paraId="79D606C3" w14:textId="77777777" w:rsidR="00124A26" w:rsidRPr="00AC3044" w:rsidRDefault="00124A26"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124A26" w:rsidRPr="00AC3044" w14:paraId="0D544475" w14:textId="77777777" w:rsidTr="002D3EBF">
        <w:trPr>
          <w:cantSplit/>
          <w:trHeight w:val="392"/>
        </w:trPr>
        <w:tc>
          <w:tcPr>
            <w:tcW w:w="817" w:type="dxa"/>
            <w:vMerge/>
            <w:textDirection w:val="btLr"/>
            <w:vAlign w:val="center"/>
          </w:tcPr>
          <w:p w14:paraId="603D663B" w14:textId="77777777" w:rsidR="00124A26" w:rsidRPr="00AC3044" w:rsidRDefault="00124A26" w:rsidP="002D3EBF">
            <w:pPr>
              <w:ind w:firstLine="0"/>
              <w:rPr>
                <w:rFonts w:eastAsia="SimSun"/>
              </w:rPr>
            </w:pPr>
          </w:p>
        </w:tc>
        <w:tc>
          <w:tcPr>
            <w:tcW w:w="1701" w:type="dxa"/>
            <w:vAlign w:val="center"/>
          </w:tcPr>
          <w:p w14:paraId="2E87D394" w14:textId="77777777" w:rsidR="00124A26" w:rsidRPr="00AC3044" w:rsidRDefault="00124A26" w:rsidP="002D3EBF">
            <w:pPr>
              <w:ind w:firstLine="0"/>
              <w:rPr>
                <w:rFonts w:eastAsia="SimSun"/>
              </w:rPr>
            </w:pPr>
            <w:r w:rsidRPr="00AC3044">
              <w:rPr>
                <w:rFonts w:eastAsia="SimSun"/>
              </w:rPr>
              <w:t>Микофенолата мофетил</w:t>
            </w:r>
          </w:p>
        </w:tc>
        <w:tc>
          <w:tcPr>
            <w:tcW w:w="1559" w:type="dxa"/>
            <w:vAlign w:val="center"/>
          </w:tcPr>
          <w:p w14:paraId="2BCCAF0E" w14:textId="77777777" w:rsidR="00124A26" w:rsidRPr="00AC3044" w:rsidRDefault="00124A26" w:rsidP="002D3EBF">
            <w:pPr>
              <w:ind w:firstLine="0"/>
              <w:rPr>
                <w:rFonts w:eastAsia="SimSun"/>
              </w:rPr>
            </w:pPr>
            <w:r w:rsidRPr="00AC3044">
              <w:rPr>
                <w:rFonts w:eastAsia="SimSun"/>
              </w:rPr>
              <w:t xml:space="preserve">30 мг/кг </w:t>
            </w:r>
          </w:p>
        </w:tc>
        <w:tc>
          <w:tcPr>
            <w:tcW w:w="1418" w:type="dxa"/>
            <w:vAlign w:val="center"/>
          </w:tcPr>
          <w:p w14:paraId="66648134"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38BD8EEB" w14:textId="77777777" w:rsidR="00124A26" w:rsidRPr="00AC3044" w:rsidRDefault="00124A26" w:rsidP="002D3EBF">
            <w:pPr>
              <w:ind w:firstLine="0"/>
              <w:rPr>
                <w:rFonts w:eastAsia="SimSun"/>
              </w:rPr>
            </w:pPr>
            <w:r w:rsidRPr="00AC3044">
              <w:rPr>
                <w:rFonts w:eastAsia="SimSun"/>
              </w:rPr>
              <w:t xml:space="preserve">С -1 дня по +30 день </w:t>
            </w:r>
          </w:p>
        </w:tc>
        <w:tc>
          <w:tcPr>
            <w:tcW w:w="2268" w:type="dxa"/>
            <w:vAlign w:val="center"/>
          </w:tcPr>
          <w:p w14:paraId="5B209DD8"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74D2FFF0" w14:textId="77777777" w:rsidR="00124A26" w:rsidRPr="0074195F" w:rsidRDefault="00124A26" w:rsidP="00124A26">
      <w:pPr>
        <w:rPr>
          <w:rFonts w:eastAsia="SimSun"/>
        </w:rPr>
      </w:pPr>
      <w:bookmarkStart w:id="258" w:name="_Toc44401220"/>
    </w:p>
    <w:p w14:paraId="5DB1864F" w14:textId="77777777" w:rsidR="00124A26" w:rsidRPr="00EE51B1" w:rsidRDefault="00124A26" w:rsidP="00124A26">
      <w:pPr>
        <w:rPr>
          <w:rFonts w:eastAsia="SimSun"/>
          <w:lang w:val="en-US"/>
        </w:rPr>
      </w:pPr>
      <w:r>
        <w:rPr>
          <w:rFonts w:eastAsia="SimSun"/>
        </w:rPr>
        <w:t>Таблица</w:t>
      </w:r>
      <w:r w:rsidRPr="00EE51B1">
        <w:rPr>
          <w:rFonts w:eastAsia="SimSun"/>
          <w:lang w:val="en-US"/>
        </w:rPr>
        <w:t xml:space="preserve"> </w:t>
      </w:r>
      <w:r>
        <w:rPr>
          <w:rFonts w:eastAsia="SimSun"/>
          <w:lang w:val="en-US"/>
        </w:rPr>
        <w:t>5.</w:t>
      </w:r>
      <w:r w:rsidRPr="00EE51B1">
        <w:rPr>
          <w:rFonts w:eastAsia="SimSun"/>
          <w:lang w:val="en-US"/>
        </w:rPr>
        <w:t xml:space="preserve">2.2.20  – </w:t>
      </w:r>
      <w:r w:rsidRPr="007A1AC4">
        <w:rPr>
          <w:rFonts w:eastAsia="SimSun"/>
          <w:lang w:val="en-US"/>
        </w:rPr>
        <w:t>Flu</w:t>
      </w:r>
      <w:r w:rsidRPr="00EE51B1">
        <w:rPr>
          <w:rFonts w:eastAsia="SimSun"/>
          <w:lang w:val="en-US"/>
        </w:rPr>
        <w:t>180+</w:t>
      </w:r>
      <w:r w:rsidRPr="007A1AC4">
        <w:rPr>
          <w:rFonts w:eastAsia="SimSun"/>
          <w:lang w:val="en-US"/>
        </w:rPr>
        <w:t>Cy</w:t>
      </w:r>
      <w:r w:rsidRPr="00EE51B1">
        <w:rPr>
          <w:rFonts w:eastAsia="SimSun"/>
          <w:lang w:val="en-US"/>
        </w:rPr>
        <w:t xml:space="preserve">1200 / </w:t>
      </w:r>
      <w:r w:rsidRPr="007A1AC4">
        <w:rPr>
          <w:rFonts w:eastAsia="SimSun"/>
          <w:lang w:val="en-US"/>
        </w:rPr>
        <w:t>rATG</w:t>
      </w:r>
      <w:r w:rsidRPr="00EE51B1">
        <w:rPr>
          <w:rFonts w:eastAsia="SimSun"/>
          <w:lang w:val="en-US"/>
        </w:rPr>
        <w:t>+</w:t>
      </w:r>
      <w:r w:rsidRPr="007A1AC4">
        <w:rPr>
          <w:rFonts w:eastAsia="SimSun"/>
          <w:lang w:val="en-US"/>
        </w:rPr>
        <w:t>Tx</w:t>
      </w:r>
      <w:r w:rsidRPr="00EE51B1">
        <w:rPr>
          <w:rFonts w:eastAsia="SimSun"/>
          <w:lang w:val="en-US"/>
        </w:rPr>
        <w:t>+</w:t>
      </w:r>
      <w:r w:rsidRPr="007A1AC4">
        <w:rPr>
          <w:rFonts w:eastAsia="SimSun"/>
          <w:lang w:val="en-US"/>
        </w:rPr>
        <w:t>MMF</w:t>
      </w:r>
      <w:r w:rsidRPr="00EE51B1">
        <w:rPr>
          <w:rFonts w:eastAsia="SimSun"/>
          <w:lang w:val="en-US"/>
        </w:rPr>
        <w:t>30</w:t>
      </w:r>
      <w:bookmarkEnd w:id="258"/>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124A26" w:rsidRPr="00AC3044" w14:paraId="02141B1D" w14:textId="77777777" w:rsidTr="002D3EBF">
        <w:trPr>
          <w:cantSplit/>
          <w:trHeight w:val="20"/>
          <w:tblHeader/>
        </w:trPr>
        <w:tc>
          <w:tcPr>
            <w:tcW w:w="817" w:type="dxa"/>
            <w:vAlign w:val="center"/>
          </w:tcPr>
          <w:p w14:paraId="7E7A62BB" w14:textId="77777777" w:rsidR="00124A26" w:rsidRPr="00AC3044" w:rsidRDefault="00124A26" w:rsidP="002D3EBF">
            <w:pPr>
              <w:ind w:firstLine="0"/>
              <w:rPr>
                <w:rFonts w:eastAsia="SimSun"/>
                <w:lang w:val="en-US"/>
              </w:rPr>
            </w:pPr>
          </w:p>
        </w:tc>
        <w:tc>
          <w:tcPr>
            <w:tcW w:w="1701" w:type="dxa"/>
            <w:vAlign w:val="center"/>
          </w:tcPr>
          <w:p w14:paraId="382A9E90" w14:textId="77777777" w:rsidR="00124A26" w:rsidRPr="00AC3044" w:rsidRDefault="00124A26" w:rsidP="002D3EBF">
            <w:pPr>
              <w:ind w:firstLine="0"/>
              <w:rPr>
                <w:rFonts w:eastAsia="SimSun"/>
              </w:rPr>
            </w:pPr>
            <w:r w:rsidRPr="00AC3044">
              <w:rPr>
                <w:rFonts w:eastAsia="SimSun"/>
              </w:rPr>
              <w:t>Препарат</w:t>
            </w:r>
          </w:p>
        </w:tc>
        <w:tc>
          <w:tcPr>
            <w:tcW w:w="1559" w:type="dxa"/>
            <w:vAlign w:val="center"/>
          </w:tcPr>
          <w:p w14:paraId="5611D340" w14:textId="77777777" w:rsidR="00124A26" w:rsidRPr="00AC3044" w:rsidRDefault="00124A26" w:rsidP="002D3EBF">
            <w:pPr>
              <w:ind w:firstLine="0"/>
              <w:rPr>
                <w:rFonts w:eastAsia="SimSun"/>
              </w:rPr>
            </w:pPr>
            <w:r w:rsidRPr="00AC3044">
              <w:rPr>
                <w:rFonts w:eastAsia="SimSun"/>
              </w:rPr>
              <w:t>Суточная доза</w:t>
            </w:r>
          </w:p>
        </w:tc>
        <w:tc>
          <w:tcPr>
            <w:tcW w:w="1418" w:type="dxa"/>
            <w:vAlign w:val="center"/>
          </w:tcPr>
          <w:p w14:paraId="04E22F65" w14:textId="77777777" w:rsidR="00124A26" w:rsidRPr="00AC3044" w:rsidRDefault="00124A26" w:rsidP="002D3EBF">
            <w:pPr>
              <w:ind w:firstLine="0"/>
              <w:rPr>
                <w:rFonts w:eastAsia="SimSun"/>
              </w:rPr>
            </w:pPr>
            <w:r w:rsidRPr="00AC3044">
              <w:rPr>
                <w:rFonts w:eastAsia="SimSun"/>
              </w:rPr>
              <w:t>Курсовая доза</w:t>
            </w:r>
          </w:p>
        </w:tc>
        <w:tc>
          <w:tcPr>
            <w:tcW w:w="1701" w:type="dxa"/>
            <w:vAlign w:val="center"/>
          </w:tcPr>
          <w:p w14:paraId="7440F3CE" w14:textId="77777777" w:rsidR="00124A26" w:rsidRPr="00AC3044" w:rsidRDefault="00124A26" w:rsidP="002D3EBF">
            <w:pPr>
              <w:ind w:firstLine="0"/>
              <w:rPr>
                <w:rFonts w:eastAsia="SimSun"/>
              </w:rPr>
            </w:pPr>
            <w:r w:rsidRPr="00AC3044">
              <w:rPr>
                <w:rFonts w:eastAsia="SimSun"/>
              </w:rPr>
              <w:t>Дни введения</w:t>
            </w:r>
          </w:p>
        </w:tc>
        <w:tc>
          <w:tcPr>
            <w:tcW w:w="2268" w:type="dxa"/>
            <w:vAlign w:val="center"/>
          </w:tcPr>
          <w:p w14:paraId="7AD615ED"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4642E85C" w14:textId="77777777" w:rsidTr="002D3EBF">
        <w:trPr>
          <w:cantSplit/>
          <w:trHeight w:val="20"/>
        </w:trPr>
        <w:tc>
          <w:tcPr>
            <w:tcW w:w="817" w:type="dxa"/>
            <w:vMerge w:val="restart"/>
            <w:textDirection w:val="btLr"/>
            <w:vAlign w:val="center"/>
          </w:tcPr>
          <w:p w14:paraId="5860DE4E" w14:textId="77777777" w:rsidR="00124A26" w:rsidRPr="00AC3044" w:rsidRDefault="00124A26" w:rsidP="002D3EBF">
            <w:pPr>
              <w:ind w:firstLine="0"/>
              <w:rPr>
                <w:rFonts w:eastAsia="SimSun"/>
              </w:rPr>
            </w:pPr>
            <w:r w:rsidRPr="00AC3044">
              <w:rPr>
                <w:rFonts w:eastAsia="SimSun"/>
              </w:rPr>
              <w:t>Кондиционирование</w:t>
            </w:r>
          </w:p>
        </w:tc>
        <w:tc>
          <w:tcPr>
            <w:tcW w:w="1701" w:type="dxa"/>
            <w:vAlign w:val="center"/>
          </w:tcPr>
          <w:p w14:paraId="173D4E14" w14:textId="77777777" w:rsidR="00124A26" w:rsidRPr="00AC3044" w:rsidRDefault="00124A26" w:rsidP="002D3EBF">
            <w:pPr>
              <w:ind w:firstLine="0"/>
              <w:rPr>
                <w:rFonts w:eastAsia="SimSun"/>
              </w:rPr>
            </w:pPr>
            <w:r w:rsidRPr="00AC3044">
              <w:rPr>
                <w:rFonts w:eastAsia="SimSun"/>
              </w:rPr>
              <w:t xml:space="preserve">Флударабин </w:t>
            </w:r>
          </w:p>
        </w:tc>
        <w:tc>
          <w:tcPr>
            <w:tcW w:w="1559" w:type="dxa"/>
            <w:vAlign w:val="center"/>
          </w:tcPr>
          <w:p w14:paraId="25E9036C" w14:textId="77777777" w:rsidR="00124A26" w:rsidRPr="0074195F" w:rsidRDefault="00124A26" w:rsidP="002D3EBF">
            <w:pPr>
              <w:ind w:firstLine="0"/>
              <w:rPr>
                <w:rFonts w:eastAsia="SimSun"/>
                <w:vertAlign w:val="superscript"/>
              </w:rPr>
            </w:pPr>
            <w:r w:rsidRPr="00AC3044">
              <w:rPr>
                <w:rFonts w:eastAsia="SimSun"/>
              </w:rPr>
              <w:t>30 мг/м</w:t>
            </w:r>
            <w:r w:rsidRPr="0074195F">
              <w:rPr>
                <w:rFonts w:eastAsia="SimSun"/>
                <w:vertAlign w:val="superscript"/>
              </w:rPr>
              <w:t>2</w:t>
            </w:r>
          </w:p>
        </w:tc>
        <w:tc>
          <w:tcPr>
            <w:tcW w:w="1418" w:type="dxa"/>
            <w:vAlign w:val="center"/>
          </w:tcPr>
          <w:p w14:paraId="77351BE0" w14:textId="77777777" w:rsidR="00124A26" w:rsidRPr="00AC3044" w:rsidRDefault="00124A26" w:rsidP="002D3EBF">
            <w:pPr>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14:paraId="4B7B51D1" w14:textId="77777777" w:rsidR="00124A26" w:rsidRPr="00AC3044" w:rsidRDefault="00124A26" w:rsidP="002D3EBF">
            <w:pPr>
              <w:ind w:firstLine="0"/>
              <w:rPr>
                <w:rFonts w:eastAsia="SimSun"/>
              </w:rPr>
            </w:pPr>
            <w:r w:rsidRPr="00AC3044">
              <w:rPr>
                <w:rFonts w:eastAsia="SimSun"/>
              </w:rPr>
              <w:t>С -7 дня по -2 день</w:t>
            </w:r>
          </w:p>
        </w:tc>
        <w:tc>
          <w:tcPr>
            <w:tcW w:w="2268" w:type="dxa"/>
            <w:vAlign w:val="center"/>
          </w:tcPr>
          <w:p w14:paraId="54FE9910"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6CA5CEE1" w14:textId="77777777" w:rsidTr="002D3EBF">
        <w:trPr>
          <w:cantSplit/>
          <w:trHeight w:val="721"/>
        </w:trPr>
        <w:tc>
          <w:tcPr>
            <w:tcW w:w="817" w:type="dxa"/>
            <w:vMerge/>
            <w:vAlign w:val="center"/>
          </w:tcPr>
          <w:p w14:paraId="0FD8DA55" w14:textId="77777777" w:rsidR="00124A26" w:rsidRPr="00AC3044" w:rsidRDefault="00124A26" w:rsidP="002D3EBF">
            <w:pPr>
              <w:ind w:firstLine="0"/>
              <w:rPr>
                <w:rFonts w:eastAsia="SimSun"/>
              </w:rPr>
            </w:pPr>
          </w:p>
        </w:tc>
        <w:tc>
          <w:tcPr>
            <w:tcW w:w="1701" w:type="dxa"/>
            <w:vAlign w:val="center"/>
          </w:tcPr>
          <w:p w14:paraId="0D3C983E" w14:textId="77777777" w:rsidR="00124A26" w:rsidRPr="00AC3044" w:rsidRDefault="00124A26" w:rsidP="002D3EBF">
            <w:pPr>
              <w:ind w:firstLine="0"/>
              <w:rPr>
                <w:rFonts w:eastAsia="SimSun"/>
              </w:rPr>
            </w:pPr>
            <w:r w:rsidRPr="00AC3044">
              <w:rPr>
                <w:rFonts w:eastAsia="SimSun"/>
              </w:rPr>
              <w:t>Циклофосфамид</w:t>
            </w:r>
          </w:p>
        </w:tc>
        <w:tc>
          <w:tcPr>
            <w:tcW w:w="1559" w:type="dxa"/>
            <w:vAlign w:val="center"/>
          </w:tcPr>
          <w:p w14:paraId="68A94030" w14:textId="77777777" w:rsidR="00124A26" w:rsidRPr="00AC3044" w:rsidRDefault="00124A26" w:rsidP="002D3EBF">
            <w:pPr>
              <w:ind w:firstLine="0"/>
              <w:rPr>
                <w:rFonts w:eastAsia="SimSun"/>
              </w:rPr>
            </w:pPr>
            <w:r w:rsidRPr="00AC3044">
              <w:rPr>
                <w:rFonts w:eastAsia="SimSun"/>
              </w:rPr>
              <w:t>300 мг/м</w:t>
            </w:r>
            <w:r w:rsidRPr="0074195F">
              <w:rPr>
                <w:rFonts w:eastAsia="SimSun"/>
                <w:vertAlign w:val="superscript"/>
              </w:rPr>
              <w:t>2</w:t>
            </w:r>
            <w:r w:rsidRPr="00AC3044">
              <w:rPr>
                <w:rFonts w:eastAsia="SimSun"/>
              </w:rPr>
              <w:t xml:space="preserve"> </w:t>
            </w:r>
          </w:p>
        </w:tc>
        <w:tc>
          <w:tcPr>
            <w:tcW w:w="1418" w:type="dxa"/>
            <w:vAlign w:val="center"/>
          </w:tcPr>
          <w:p w14:paraId="40105E15" w14:textId="77777777" w:rsidR="00124A26" w:rsidRPr="00AC3044" w:rsidRDefault="00124A26" w:rsidP="002D3EBF">
            <w:pPr>
              <w:ind w:firstLine="0"/>
              <w:rPr>
                <w:rFonts w:eastAsia="SimSun"/>
              </w:rPr>
            </w:pPr>
            <w:r w:rsidRPr="00AC3044">
              <w:rPr>
                <w:rFonts w:eastAsia="SimSun"/>
              </w:rPr>
              <w:t>1200 мг/м</w:t>
            </w:r>
            <w:r w:rsidRPr="0074195F">
              <w:rPr>
                <w:rFonts w:eastAsia="SimSun"/>
                <w:vertAlign w:val="superscript"/>
              </w:rPr>
              <w:t>2</w:t>
            </w:r>
          </w:p>
        </w:tc>
        <w:tc>
          <w:tcPr>
            <w:tcW w:w="1701" w:type="dxa"/>
            <w:vAlign w:val="center"/>
          </w:tcPr>
          <w:p w14:paraId="4EF63401" w14:textId="77777777" w:rsidR="00124A26" w:rsidRPr="00AC3044" w:rsidRDefault="00124A26" w:rsidP="002D3EBF">
            <w:pPr>
              <w:ind w:firstLine="0"/>
              <w:rPr>
                <w:rFonts w:eastAsia="SimSun"/>
              </w:rPr>
            </w:pPr>
            <w:r w:rsidRPr="00AC3044">
              <w:rPr>
                <w:rFonts w:eastAsia="SimSun"/>
              </w:rPr>
              <w:t xml:space="preserve"> С -5 дня по -2 день </w:t>
            </w:r>
          </w:p>
        </w:tc>
        <w:tc>
          <w:tcPr>
            <w:tcW w:w="2268" w:type="dxa"/>
            <w:vAlign w:val="center"/>
          </w:tcPr>
          <w:p w14:paraId="5635E52D" w14:textId="77777777" w:rsidR="00124A26" w:rsidRPr="00AC3044" w:rsidRDefault="00124A26" w:rsidP="002D3EBF">
            <w:pPr>
              <w:ind w:firstLine="0"/>
              <w:rPr>
                <w:rFonts w:eastAsia="SimSun"/>
              </w:rPr>
            </w:pPr>
            <w:r w:rsidRPr="00AC3044">
              <w:rPr>
                <w:rFonts w:eastAsia="SimSun"/>
              </w:rPr>
              <w:t>В/в, в течение 2 часов</w:t>
            </w:r>
          </w:p>
        </w:tc>
      </w:tr>
      <w:tr w:rsidR="00124A26" w:rsidRPr="00AC3044" w14:paraId="0E135A51" w14:textId="77777777" w:rsidTr="002D3EBF">
        <w:trPr>
          <w:cantSplit/>
          <w:trHeight w:val="547"/>
        </w:trPr>
        <w:tc>
          <w:tcPr>
            <w:tcW w:w="817" w:type="dxa"/>
            <w:vMerge w:val="restart"/>
            <w:textDirection w:val="btLr"/>
            <w:vAlign w:val="center"/>
          </w:tcPr>
          <w:p w14:paraId="2FFE7E48" w14:textId="77777777" w:rsidR="00124A26" w:rsidRPr="00AC3044" w:rsidRDefault="00124A26" w:rsidP="002D3EBF">
            <w:pPr>
              <w:ind w:firstLine="0"/>
              <w:rPr>
                <w:rFonts w:eastAsia="SimSun"/>
              </w:rPr>
            </w:pPr>
            <w:r w:rsidRPr="00AC3044">
              <w:rPr>
                <w:rFonts w:eastAsia="SimSun"/>
              </w:rPr>
              <w:t>Профилактика РТПХ</w:t>
            </w:r>
          </w:p>
        </w:tc>
        <w:tc>
          <w:tcPr>
            <w:tcW w:w="1701" w:type="dxa"/>
            <w:vAlign w:val="center"/>
          </w:tcPr>
          <w:p w14:paraId="513F6367" w14:textId="77777777" w:rsidR="00124A26" w:rsidRPr="00AC3044" w:rsidRDefault="00124A26" w:rsidP="002D3EBF">
            <w:pPr>
              <w:ind w:firstLine="0"/>
              <w:rPr>
                <w:rFonts w:eastAsia="SimSun"/>
              </w:rPr>
            </w:pPr>
            <w:r w:rsidRPr="00AC3044">
              <w:rPr>
                <w:rFonts w:eastAsia="SimSun"/>
              </w:rPr>
              <w:t>АТГ (кроличий)</w:t>
            </w:r>
          </w:p>
        </w:tc>
        <w:tc>
          <w:tcPr>
            <w:tcW w:w="1559" w:type="dxa"/>
            <w:vAlign w:val="center"/>
          </w:tcPr>
          <w:p w14:paraId="07D538B1" w14:textId="77777777" w:rsidR="00124A26" w:rsidRPr="00AC3044" w:rsidRDefault="00124A26" w:rsidP="002D3EBF">
            <w:pPr>
              <w:ind w:firstLine="0"/>
              <w:rPr>
                <w:rFonts w:eastAsia="SimSun"/>
              </w:rPr>
            </w:pPr>
            <w:r w:rsidRPr="00AC3044">
              <w:rPr>
                <w:rFonts w:eastAsia="SimSun"/>
              </w:rPr>
              <w:t>5 мг/кг</w:t>
            </w:r>
          </w:p>
        </w:tc>
        <w:tc>
          <w:tcPr>
            <w:tcW w:w="1418" w:type="dxa"/>
            <w:vAlign w:val="center"/>
          </w:tcPr>
          <w:p w14:paraId="19ECA2B7" w14:textId="77777777" w:rsidR="00124A26" w:rsidRPr="00AC3044" w:rsidRDefault="00124A26" w:rsidP="002D3EBF">
            <w:pPr>
              <w:ind w:firstLine="0"/>
              <w:rPr>
                <w:rFonts w:eastAsia="SimSun"/>
              </w:rPr>
            </w:pPr>
            <w:r w:rsidRPr="00AC3044">
              <w:rPr>
                <w:rFonts w:eastAsia="SimSun"/>
              </w:rPr>
              <w:t>10 мг/кг</w:t>
            </w:r>
          </w:p>
        </w:tc>
        <w:tc>
          <w:tcPr>
            <w:tcW w:w="1701" w:type="dxa"/>
            <w:vAlign w:val="center"/>
          </w:tcPr>
          <w:p w14:paraId="262AF3BD" w14:textId="77777777" w:rsidR="00124A26" w:rsidRPr="00AC3044" w:rsidRDefault="00124A26" w:rsidP="002D3EBF">
            <w:pPr>
              <w:ind w:firstLine="0"/>
              <w:rPr>
                <w:rFonts w:eastAsia="SimSun"/>
              </w:rPr>
            </w:pPr>
            <w:r w:rsidRPr="00AC3044">
              <w:rPr>
                <w:rFonts w:eastAsia="SimSun"/>
              </w:rPr>
              <w:t>В дни -2, -1</w:t>
            </w:r>
          </w:p>
        </w:tc>
        <w:tc>
          <w:tcPr>
            <w:tcW w:w="2268" w:type="dxa"/>
            <w:vAlign w:val="center"/>
          </w:tcPr>
          <w:p w14:paraId="58D56869" w14:textId="77777777" w:rsidR="00124A26" w:rsidRPr="00AC3044" w:rsidRDefault="00124A26" w:rsidP="002D3EBF">
            <w:pPr>
              <w:ind w:firstLine="0"/>
              <w:rPr>
                <w:rFonts w:eastAsia="SimSun"/>
              </w:rPr>
            </w:pPr>
            <w:r w:rsidRPr="00AC3044">
              <w:rPr>
                <w:rFonts w:eastAsia="SimSun"/>
              </w:rPr>
              <w:t>В/в. Суточная доза разделяется на 2 введения (см.</w:t>
            </w:r>
            <w:r>
              <w:rPr>
                <w:rFonts w:eastAsia="SimSun"/>
              </w:rPr>
              <w:t xml:space="preserve"> </w:t>
            </w:r>
            <w:r w:rsidRPr="00AC3044">
              <w:rPr>
                <w:rFonts w:eastAsia="SimSun"/>
              </w:rPr>
              <w:t>«Инфузия АТГ»)</w:t>
            </w:r>
          </w:p>
        </w:tc>
      </w:tr>
      <w:tr w:rsidR="00124A26" w:rsidRPr="00AC3044" w14:paraId="7787A4D8" w14:textId="77777777" w:rsidTr="002D3EBF">
        <w:trPr>
          <w:cantSplit/>
          <w:trHeight w:val="958"/>
        </w:trPr>
        <w:tc>
          <w:tcPr>
            <w:tcW w:w="817" w:type="dxa"/>
            <w:vMerge/>
            <w:textDirection w:val="btLr"/>
            <w:vAlign w:val="center"/>
          </w:tcPr>
          <w:p w14:paraId="177C848F" w14:textId="77777777" w:rsidR="00124A26" w:rsidRPr="00AC3044" w:rsidRDefault="00124A26" w:rsidP="002D3EBF">
            <w:pPr>
              <w:ind w:firstLine="0"/>
              <w:rPr>
                <w:rFonts w:eastAsia="SimSun"/>
              </w:rPr>
            </w:pPr>
          </w:p>
        </w:tc>
        <w:tc>
          <w:tcPr>
            <w:tcW w:w="1701" w:type="dxa"/>
            <w:vAlign w:val="center"/>
          </w:tcPr>
          <w:p w14:paraId="1EF61F18" w14:textId="77777777" w:rsidR="00124A26" w:rsidRPr="00AC3044" w:rsidRDefault="00124A26" w:rsidP="002D3EBF">
            <w:pPr>
              <w:ind w:firstLine="0"/>
              <w:rPr>
                <w:rFonts w:eastAsia="SimSun"/>
              </w:rPr>
            </w:pPr>
            <w:r w:rsidRPr="00AC3044">
              <w:rPr>
                <w:rFonts w:eastAsia="SimSun"/>
              </w:rPr>
              <w:t xml:space="preserve">Такролимус </w:t>
            </w:r>
          </w:p>
        </w:tc>
        <w:tc>
          <w:tcPr>
            <w:tcW w:w="1559" w:type="dxa"/>
            <w:vAlign w:val="center"/>
          </w:tcPr>
          <w:p w14:paraId="63139796" w14:textId="77777777" w:rsidR="00124A26" w:rsidRPr="00AC3044" w:rsidRDefault="00124A26" w:rsidP="002D3EBF">
            <w:pPr>
              <w:ind w:firstLine="0"/>
              <w:rPr>
                <w:rFonts w:eastAsia="SimSun"/>
              </w:rPr>
            </w:pPr>
            <w:r w:rsidRPr="00AC3044">
              <w:rPr>
                <w:rFonts w:eastAsia="SimSun"/>
              </w:rPr>
              <w:t>0,03 мг/кг</w:t>
            </w:r>
          </w:p>
        </w:tc>
        <w:tc>
          <w:tcPr>
            <w:tcW w:w="1418" w:type="dxa"/>
            <w:vAlign w:val="center"/>
          </w:tcPr>
          <w:p w14:paraId="01AB345B"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200438E3" w14:textId="77777777" w:rsidR="00124A26" w:rsidRPr="00AC3044" w:rsidRDefault="00124A26" w:rsidP="002D3EBF">
            <w:pPr>
              <w:ind w:firstLine="0"/>
              <w:rPr>
                <w:rFonts w:eastAsia="SimSun"/>
              </w:rPr>
            </w:pPr>
            <w:r w:rsidRPr="00AC3044">
              <w:rPr>
                <w:rFonts w:eastAsia="SimSun"/>
              </w:rPr>
              <w:t xml:space="preserve">С -1 дня длительно </w:t>
            </w:r>
          </w:p>
        </w:tc>
        <w:tc>
          <w:tcPr>
            <w:tcW w:w="2268" w:type="dxa"/>
            <w:vAlign w:val="center"/>
          </w:tcPr>
          <w:p w14:paraId="5D072E4A" w14:textId="77777777" w:rsidR="00124A26" w:rsidRPr="00AC3044" w:rsidRDefault="00124A26"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124A26" w:rsidRPr="00AC3044" w14:paraId="75E25168" w14:textId="77777777" w:rsidTr="002D3EBF">
        <w:trPr>
          <w:cantSplit/>
          <w:trHeight w:val="654"/>
        </w:trPr>
        <w:tc>
          <w:tcPr>
            <w:tcW w:w="817" w:type="dxa"/>
            <w:vMerge/>
            <w:textDirection w:val="btLr"/>
            <w:vAlign w:val="center"/>
          </w:tcPr>
          <w:p w14:paraId="29CBFC1D" w14:textId="77777777" w:rsidR="00124A26" w:rsidRPr="00AC3044" w:rsidRDefault="00124A26" w:rsidP="002D3EBF">
            <w:pPr>
              <w:ind w:firstLine="0"/>
              <w:rPr>
                <w:rFonts w:eastAsia="SimSun"/>
              </w:rPr>
            </w:pPr>
          </w:p>
        </w:tc>
        <w:tc>
          <w:tcPr>
            <w:tcW w:w="1701" w:type="dxa"/>
            <w:vAlign w:val="center"/>
          </w:tcPr>
          <w:p w14:paraId="1193B1F0" w14:textId="77777777" w:rsidR="00124A26" w:rsidRPr="00AC3044" w:rsidRDefault="00124A26" w:rsidP="002D3EBF">
            <w:pPr>
              <w:ind w:firstLine="0"/>
              <w:rPr>
                <w:rFonts w:eastAsia="SimSun"/>
              </w:rPr>
            </w:pPr>
            <w:r w:rsidRPr="00AC3044">
              <w:rPr>
                <w:rFonts w:eastAsia="SimSun"/>
              </w:rPr>
              <w:t>Микофенолата мофетил</w:t>
            </w:r>
          </w:p>
        </w:tc>
        <w:tc>
          <w:tcPr>
            <w:tcW w:w="1559" w:type="dxa"/>
            <w:vAlign w:val="center"/>
          </w:tcPr>
          <w:p w14:paraId="6A1E1003" w14:textId="77777777" w:rsidR="00124A26" w:rsidRPr="00AC3044" w:rsidRDefault="00124A26" w:rsidP="002D3EBF">
            <w:pPr>
              <w:ind w:firstLine="0"/>
              <w:rPr>
                <w:rFonts w:eastAsia="SimSun"/>
              </w:rPr>
            </w:pPr>
            <w:r w:rsidRPr="00AC3044">
              <w:rPr>
                <w:rFonts w:eastAsia="SimSun"/>
              </w:rPr>
              <w:t xml:space="preserve">30 мг/кг </w:t>
            </w:r>
          </w:p>
        </w:tc>
        <w:tc>
          <w:tcPr>
            <w:tcW w:w="1418" w:type="dxa"/>
            <w:vAlign w:val="center"/>
          </w:tcPr>
          <w:p w14:paraId="1E593C67"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606EF1D0" w14:textId="77777777" w:rsidR="00124A26" w:rsidRPr="00AC3044" w:rsidRDefault="00124A26" w:rsidP="002D3EBF">
            <w:pPr>
              <w:ind w:firstLine="0"/>
              <w:rPr>
                <w:rFonts w:eastAsia="SimSun"/>
              </w:rPr>
            </w:pPr>
            <w:r w:rsidRPr="00AC3044">
              <w:rPr>
                <w:rFonts w:eastAsia="SimSun"/>
              </w:rPr>
              <w:t xml:space="preserve">С -1 дня по +30 день </w:t>
            </w:r>
          </w:p>
        </w:tc>
        <w:tc>
          <w:tcPr>
            <w:tcW w:w="2268" w:type="dxa"/>
            <w:vAlign w:val="center"/>
          </w:tcPr>
          <w:p w14:paraId="1B3FB3D2" w14:textId="77777777" w:rsidR="00124A26" w:rsidRPr="00AC3044" w:rsidRDefault="00124A26"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065A05FC" w14:textId="77777777" w:rsidR="00124A26" w:rsidRPr="00C07B2E" w:rsidRDefault="00124A26" w:rsidP="00124A26">
      <w:pPr>
        <w:rPr>
          <w:rFonts w:eastAsia="SimSun"/>
        </w:rPr>
      </w:pPr>
    </w:p>
    <w:p w14:paraId="46A44A1F" w14:textId="77777777" w:rsidR="00124A26" w:rsidRPr="00C07B2E" w:rsidRDefault="00124A26" w:rsidP="00124A26">
      <w:pPr>
        <w:rPr>
          <w:rFonts w:eastAsia="SimSun"/>
        </w:rPr>
      </w:pPr>
      <w:bookmarkStart w:id="259" w:name="_Toc44401221"/>
      <w:r w:rsidRPr="00EE51B1">
        <w:rPr>
          <w:rFonts w:eastAsia="SimSun"/>
        </w:rPr>
        <w:t>Таблица</w:t>
      </w:r>
      <w:r w:rsidRPr="00C07B2E">
        <w:rPr>
          <w:rFonts w:eastAsia="SimSun"/>
        </w:rPr>
        <w:t xml:space="preserve"> </w:t>
      </w:r>
      <w:r>
        <w:rPr>
          <w:rFonts w:eastAsia="SimSun"/>
        </w:rPr>
        <w:t>5.</w:t>
      </w:r>
      <w:r w:rsidRPr="00C07B2E">
        <w:rPr>
          <w:rFonts w:eastAsia="SimSun"/>
        </w:rPr>
        <w:t>2.2.21 – Flu180+Mel100/ PT-Cy+Tx+MMF30</w:t>
      </w:r>
      <w:bookmarkEnd w:id="259"/>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124A26" w:rsidRPr="00AC3044" w14:paraId="1F996240" w14:textId="77777777" w:rsidTr="002D3EBF">
        <w:trPr>
          <w:cantSplit/>
          <w:trHeight w:val="20"/>
          <w:tblHeader/>
        </w:trPr>
        <w:tc>
          <w:tcPr>
            <w:tcW w:w="817" w:type="dxa"/>
            <w:vAlign w:val="center"/>
          </w:tcPr>
          <w:p w14:paraId="27BC5C3B" w14:textId="77777777" w:rsidR="00124A26" w:rsidRPr="00AC3044" w:rsidRDefault="00124A26" w:rsidP="002D3EBF">
            <w:pPr>
              <w:ind w:firstLine="0"/>
              <w:rPr>
                <w:rFonts w:eastAsia="SimSun"/>
              </w:rPr>
            </w:pPr>
          </w:p>
        </w:tc>
        <w:tc>
          <w:tcPr>
            <w:tcW w:w="1701" w:type="dxa"/>
            <w:vAlign w:val="center"/>
          </w:tcPr>
          <w:p w14:paraId="002B1C87" w14:textId="77777777" w:rsidR="00124A26" w:rsidRPr="00AC3044" w:rsidRDefault="00124A26" w:rsidP="002D3EBF">
            <w:pPr>
              <w:ind w:firstLine="0"/>
              <w:rPr>
                <w:rFonts w:eastAsia="SimSun"/>
              </w:rPr>
            </w:pPr>
            <w:r w:rsidRPr="00AC3044">
              <w:rPr>
                <w:rFonts w:eastAsia="SimSun"/>
              </w:rPr>
              <w:t>Препарат</w:t>
            </w:r>
          </w:p>
        </w:tc>
        <w:tc>
          <w:tcPr>
            <w:tcW w:w="1559" w:type="dxa"/>
            <w:vAlign w:val="center"/>
          </w:tcPr>
          <w:p w14:paraId="10F21966" w14:textId="77777777" w:rsidR="00124A26" w:rsidRPr="00AC3044" w:rsidRDefault="00124A26" w:rsidP="002D3EBF">
            <w:pPr>
              <w:ind w:firstLine="0"/>
              <w:rPr>
                <w:rFonts w:eastAsia="SimSun"/>
              </w:rPr>
            </w:pPr>
            <w:r w:rsidRPr="00AC3044">
              <w:rPr>
                <w:rFonts w:eastAsia="SimSun"/>
              </w:rPr>
              <w:t>Суточная доза</w:t>
            </w:r>
          </w:p>
        </w:tc>
        <w:tc>
          <w:tcPr>
            <w:tcW w:w="1418" w:type="dxa"/>
            <w:vAlign w:val="center"/>
          </w:tcPr>
          <w:p w14:paraId="32C513EE" w14:textId="77777777" w:rsidR="00124A26" w:rsidRPr="00AC3044" w:rsidRDefault="00124A26" w:rsidP="002D3EBF">
            <w:pPr>
              <w:ind w:firstLine="0"/>
              <w:rPr>
                <w:rFonts w:eastAsia="SimSun"/>
              </w:rPr>
            </w:pPr>
            <w:r w:rsidRPr="00AC3044">
              <w:rPr>
                <w:rFonts w:eastAsia="SimSun"/>
              </w:rPr>
              <w:t>Курсовая доза</w:t>
            </w:r>
          </w:p>
        </w:tc>
        <w:tc>
          <w:tcPr>
            <w:tcW w:w="1701" w:type="dxa"/>
            <w:vAlign w:val="center"/>
          </w:tcPr>
          <w:p w14:paraId="4D9A6A4F" w14:textId="77777777" w:rsidR="00124A26" w:rsidRPr="00AC3044" w:rsidRDefault="00124A26" w:rsidP="002D3EBF">
            <w:pPr>
              <w:ind w:firstLine="0"/>
              <w:rPr>
                <w:rFonts w:eastAsia="SimSun"/>
              </w:rPr>
            </w:pPr>
            <w:r w:rsidRPr="00AC3044">
              <w:rPr>
                <w:rFonts w:eastAsia="SimSun"/>
              </w:rPr>
              <w:t>Дни введения</w:t>
            </w:r>
          </w:p>
        </w:tc>
        <w:tc>
          <w:tcPr>
            <w:tcW w:w="2268" w:type="dxa"/>
            <w:vAlign w:val="center"/>
          </w:tcPr>
          <w:p w14:paraId="37ED2461"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0ED8F5D5" w14:textId="77777777" w:rsidTr="002D3EBF">
        <w:trPr>
          <w:cantSplit/>
          <w:trHeight w:val="20"/>
        </w:trPr>
        <w:tc>
          <w:tcPr>
            <w:tcW w:w="817" w:type="dxa"/>
            <w:vMerge w:val="restart"/>
            <w:textDirection w:val="btLr"/>
            <w:vAlign w:val="center"/>
          </w:tcPr>
          <w:p w14:paraId="5A5AEFE4" w14:textId="77777777" w:rsidR="00124A26" w:rsidRPr="00AC3044" w:rsidRDefault="00124A26" w:rsidP="002D3EBF">
            <w:pPr>
              <w:ind w:firstLine="0"/>
              <w:rPr>
                <w:rFonts w:eastAsia="SimSun"/>
              </w:rPr>
            </w:pPr>
            <w:r w:rsidRPr="00AC3044">
              <w:rPr>
                <w:rFonts w:eastAsia="SimSun"/>
              </w:rPr>
              <w:t>Кондиционирование</w:t>
            </w:r>
          </w:p>
        </w:tc>
        <w:tc>
          <w:tcPr>
            <w:tcW w:w="1701" w:type="dxa"/>
            <w:vAlign w:val="center"/>
          </w:tcPr>
          <w:p w14:paraId="6DB1D1F8" w14:textId="77777777" w:rsidR="00124A26" w:rsidRPr="00AC3044" w:rsidRDefault="00124A26" w:rsidP="002D3EBF">
            <w:pPr>
              <w:ind w:firstLine="0"/>
              <w:rPr>
                <w:rFonts w:eastAsia="SimSun"/>
              </w:rPr>
            </w:pPr>
            <w:r w:rsidRPr="00AC3044">
              <w:rPr>
                <w:rFonts w:eastAsia="SimSun"/>
              </w:rPr>
              <w:t xml:space="preserve">Флударабин </w:t>
            </w:r>
          </w:p>
        </w:tc>
        <w:tc>
          <w:tcPr>
            <w:tcW w:w="1559" w:type="dxa"/>
            <w:vAlign w:val="center"/>
          </w:tcPr>
          <w:p w14:paraId="59D1169F" w14:textId="77777777" w:rsidR="00124A26" w:rsidRPr="00AC3044" w:rsidRDefault="00124A26" w:rsidP="002D3EB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455DB198" w14:textId="77777777" w:rsidR="00124A26" w:rsidRPr="00AC3044" w:rsidRDefault="00124A26" w:rsidP="002D3EBF">
            <w:pPr>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14:paraId="3672FA46" w14:textId="77777777" w:rsidR="00124A26" w:rsidRPr="00AC3044" w:rsidRDefault="00124A26" w:rsidP="002D3EBF">
            <w:pPr>
              <w:ind w:firstLine="0"/>
              <w:rPr>
                <w:rFonts w:eastAsia="SimSun"/>
              </w:rPr>
            </w:pPr>
            <w:r w:rsidRPr="00AC3044">
              <w:rPr>
                <w:rFonts w:eastAsia="SimSun"/>
              </w:rPr>
              <w:t>С -7 дня по -2 день</w:t>
            </w:r>
          </w:p>
        </w:tc>
        <w:tc>
          <w:tcPr>
            <w:tcW w:w="2268" w:type="dxa"/>
            <w:vAlign w:val="center"/>
          </w:tcPr>
          <w:p w14:paraId="73F8120A"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736DAB7E" w14:textId="77777777" w:rsidTr="002D3EBF">
        <w:trPr>
          <w:cantSplit/>
          <w:trHeight w:val="450"/>
        </w:trPr>
        <w:tc>
          <w:tcPr>
            <w:tcW w:w="817" w:type="dxa"/>
            <w:vMerge/>
            <w:vAlign w:val="center"/>
          </w:tcPr>
          <w:p w14:paraId="345BAAF2" w14:textId="77777777" w:rsidR="00124A26" w:rsidRPr="00AC3044" w:rsidRDefault="00124A26" w:rsidP="002D3EBF">
            <w:pPr>
              <w:ind w:firstLine="0"/>
              <w:rPr>
                <w:rFonts w:eastAsia="SimSun"/>
              </w:rPr>
            </w:pPr>
          </w:p>
        </w:tc>
        <w:tc>
          <w:tcPr>
            <w:tcW w:w="1701" w:type="dxa"/>
            <w:vAlign w:val="center"/>
          </w:tcPr>
          <w:p w14:paraId="3BB9D317" w14:textId="77777777" w:rsidR="00124A26" w:rsidRPr="00AC3044" w:rsidRDefault="00124A26" w:rsidP="002D3EBF">
            <w:pPr>
              <w:ind w:firstLine="0"/>
              <w:rPr>
                <w:rFonts w:eastAsia="SimSun"/>
              </w:rPr>
            </w:pPr>
            <w:r w:rsidRPr="00AC3044">
              <w:rPr>
                <w:rFonts w:eastAsia="SimSun"/>
              </w:rPr>
              <w:t>Мелфалан</w:t>
            </w:r>
          </w:p>
        </w:tc>
        <w:tc>
          <w:tcPr>
            <w:tcW w:w="1559" w:type="dxa"/>
            <w:vAlign w:val="center"/>
          </w:tcPr>
          <w:p w14:paraId="62E3F6A4" w14:textId="77777777" w:rsidR="00124A26" w:rsidRPr="00AC3044" w:rsidRDefault="00124A26" w:rsidP="002D3EBF">
            <w:pPr>
              <w:ind w:firstLine="0"/>
              <w:rPr>
                <w:rFonts w:eastAsia="SimSun"/>
              </w:rPr>
            </w:pPr>
            <w:r w:rsidRPr="00AC3044">
              <w:rPr>
                <w:rFonts w:eastAsia="SimSun"/>
              </w:rPr>
              <w:t>100 мг/м</w:t>
            </w:r>
            <w:r w:rsidRPr="0074195F">
              <w:rPr>
                <w:rFonts w:eastAsia="SimSun"/>
                <w:vertAlign w:val="superscript"/>
              </w:rPr>
              <w:t>2</w:t>
            </w:r>
            <w:r w:rsidRPr="00AC3044">
              <w:rPr>
                <w:rFonts w:eastAsia="SimSun"/>
              </w:rPr>
              <w:t xml:space="preserve"> </w:t>
            </w:r>
          </w:p>
        </w:tc>
        <w:tc>
          <w:tcPr>
            <w:tcW w:w="1418" w:type="dxa"/>
            <w:vAlign w:val="center"/>
          </w:tcPr>
          <w:p w14:paraId="5E79D0E3" w14:textId="77777777" w:rsidR="00124A26" w:rsidRPr="00AC3044" w:rsidRDefault="00124A26" w:rsidP="002D3EBF">
            <w:pPr>
              <w:ind w:firstLine="0"/>
              <w:rPr>
                <w:rFonts w:eastAsia="SimSun"/>
              </w:rPr>
            </w:pPr>
            <w:r w:rsidRPr="00AC3044">
              <w:rPr>
                <w:rFonts w:eastAsia="SimSun"/>
              </w:rPr>
              <w:t>100 мг/м</w:t>
            </w:r>
            <w:r w:rsidRPr="0074195F">
              <w:rPr>
                <w:rFonts w:eastAsia="SimSun"/>
                <w:vertAlign w:val="superscript"/>
              </w:rPr>
              <w:t>2</w:t>
            </w:r>
          </w:p>
        </w:tc>
        <w:tc>
          <w:tcPr>
            <w:tcW w:w="1701" w:type="dxa"/>
            <w:vAlign w:val="center"/>
          </w:tcPr>
          <w:p w14:paraId="024F701B" w14:textId="77777777" w:rsidR="00124A26" w:rsidRPr="00AC3044" w:rsidRDefault="00124A26" w:rsidP="002D3EBF">
            <w:pPr>
              <w:ind w:firstLine="0"/>
              <w:rPr>
                <w:rFonts w:eastAsia="SimSun"/>
              </w:rPr>
            </w:pPr>
            <w:r w:rsidRPr="00AC3044">
              <w:rPr>
                <w:rFonts w:eastAsia="SimSun"/>
              </w:rPr>
              <w:t xml:space="preserve">В -2 день </w:t>
            </w:r>
          </w:p>
        </w:tc>
        <w:tc>
          <w:tcPr>
            <w:tcW w:w="2268" w:type="dxa"/>
            <w:vAlign w:val="center"/>
          </w:tcPr>
          <w:p w14:paraId="3C8C74E8" w14:textId="77777777" w:rsidR="00124A26" w:rsidRPr="00AC3044" w:rsidRDefault="00124A26" w:rsidP="002D3EBF">
            <w:pPr>
              <w:ind w:firstLine="0"/>
              <w:rPr>
                <w:rFonts w:eastAsia="SimSun"/>
              </w:rPr>
            </w:pPr>
            <w:r w:rsidRPr="00AC3044">
              <w:rPr>
                <w:rFonts w:eastAsia="SimSun"/>
              </w:rPr>
              <w:t>В/в, в течение 1 часа</w:t>
            </w:r>
          </w:p>
        </w:tc>
      </w:tr>
      <w:tr w:rsidR="00124A26" w:rsidRPr="00AC3044" w14:paraId="0D235E80" w14:textId="77777777" w:rsidTr="002D3EBF">
        <w:trPr>
          <w:cantSplit/>
          <w:trHeight w:val="450"/>
        </w:trPr>
        <w:tc>
          <w:tcPr>
            <w:tcW w:w="817" w:type="dxa"/>
            <w:vMerge w:val="restart"/>
            <w:textDirection w:val="btLr"/>
            <w:vAlign w:val="center"/>
          </w:tcPr>
          <w:p w14:paraId="5158EEFE" w14:textId="77777777" w:rsidR="00124A26" w:rsidRPr="00AC3044" w:rsidRDefault="00124A26" w:rsidP="002D3EBF">
            <w:pPr>
              <w:ind w:firstLine="0"/>
              <w:rPr>
                <w:rFonts w:eastAsia="SimSun"/>
              </w:rPr>
            </w:pPr>
            <w:r w:rsidRPr="00AC3044">
              <w:rPr>
                <w:rFonts w:eastAsia="SimSun"/>
              </w:rPr>
              <w:t>Профилактика РТПХ</w:t>
            </w:r>
          </w:p>
        </w:tc>
        <w:tc>
          <w:tcPr>
            <w:tcW w:w="1701" w:type="dxa"/>
            <w:vAlign w:val="center"/>
          </w:tcPr>
          <w:p w14:paraId="5BD5679B" w14:textId="77777777" w:rsidR="00124A26" w:rsidRPr="00AC3044" w:rsidRDefault="00124A26" w:rsidP="002D3EBF">
            <w:pPr>
              <w:ind w:firstLine="0"/>
              <w:rPr>
                <w:rFonts w:eastAsia="SimSun"/>
              </w:rPr>
            </w:pPr>
            <w:r w:rsidRPr="00AC3044">
              <w:rPr>
                <w:rFonts w:eastAsia="SimSun"/>
              </w:rPr>
              <w:t>Циклофосфамид</w:t>
            </w:r>
          </w:p>
        </w:tc>
        <w:tc>
          <w:tcPr>
            <w:tcW w:w="1559" w:type="dxa"/>
            <w:vAlign w:val="center"/>
          </w:tcPr>
          <w:p w14:paraId="24F47D47" w14:textId="77777777" w:rsidR="00124A26" w:rsidRPr="00AC3044" w:rsidRDefault="00124A26" w:rsidP="002D3EBF">
            <w:pPr>
              <w:ind w:firstLine="0"/>
              <w:rPr>
                <w:rFonts w:eastAsia="SimSun"/>
              </w:rPr>
            </w:pPr>
            <w:r w:rsidRPr="00AC3044">
              <w:rPr>
                <w:rFonts w:eastAsia="SimSun"/>
              </w:rPr>
              <w:t>50 мг/кг</w:t>
            </w:r>
          </w:p>
        </w:tc>
        <w:tc>
          <w:tcPr>
            <w:tcW w:w="1418" w:type="dxa"/>
            <w:vAlign w:val="center"/>
          </w:tcPr>
          <w:p w14:paraId="5276C9B5" w14:textId="77777777" w:rsidR="00124A26" w:rsidRPr="00AC3044" w:rsidRDefault="00124A26" w:rsidP="002D3EBF">
            <w:pPr>
              <w:ind w:firstLine="0"/>
              <w:rPr>
                <w:rFonts w:eastAsia="SimSun"/>
              </w:rPr>
            </w:pPr>
            <w:r w:rsidRPr="00AC3044">
              <w:rPr>
                <w:rFonts w:eastAsia="SimSun"/>
              </w:rPr>
              <w:t>100 мг/кг</w:t>
            </w:r>
          </w:p>
        </w:tc>
        <w:tc>
          <w:tcPr>
            <w:tcW w:w="1701" w:type="dxa"/>
            <w:vAlign w:val="center"/>
          </w:tcPr>
          <w:p w14:paraId="32251872" w14:textId="77777777" w:rsidR="00124A26" w:rsidRPr="00AC3044" w:rsidRDefault="00124A26" w:rsidP="002D3EBF">
            <w:pPr>
              <w:ind w:firstLine="0"/>
              <w:rPr>
                <w:rFonts w:eastAsia="SimSun"/>
              </w:rPr>
            </w:pPr>
            <w:r w:rsidRPr="00AC3044">
              <w:rPr>
                <w:rFonts w:eastAsia="SimSun"/>
              </w:rPr>
              <w:t xml:space="preserve">+3,+4 дни </w:t>
            </w:r>
          </w:p>
        </w:tc>
        <w:tc>
          <w:tcPr>
            <w:tcW w:w="2268" w:type="dxa"/>
            <w:vAlign w:val="center"/>
          </w:tcPr>
          <w:p w14:paraId="54279246" w14:textId="77777777" w:rsidR="00124A26" w:rsidRPr="00AC3044" w:rsidRDefault="00124A26" w:rsidP="002D3EBF">
            <w:pPr>
              <w:ind w:firstLine="0"/>
              <w:rPr>
                <w:rFonts w:eastAsia="SimSun"/>
              </w:rPr>
            </w:pPr>
            <w:r w:rsidRPr="00AC3044">
              <w:rPr>
                <w:rFonts w:eastAsia="SimSun"/>
              </w:rPr>
              <w:t>В/в, в течение 2 часов</w:t>
            </w:r>
          </w:p>
        </w:tc>
      </w:tr>
      <w:tr w:rsidR="00124A26" w:rsidRPr="00AC3044" w14:paraId="2F1774EA" w14:textId="77777777" w:rsidTr="002D3EBF">
        <w:trPr>
          <w:cantSplit/>
          <w:trHeight w:val="958"/>
        </w:trPr>
        <w:tc>
          <w:tcPr>
            <w:tcW w:w="817" w:type="dxa"/>
            <w:vMerge/>
            <w:textDirection w:val="btLr"/>
            <w:vAlign w:val="center"/>
          </w:tcPr>
          <w:p w14:paraId="20ED0A87" w14:textId="77777777" w:rsidR="00124A26" w:rsidRPr="00AC3044" w:rsidRDefault="00124A26" w:rsidP="002D3EBF">
            <w:pPr>
              <w:ind w:firstLine="0"/>
              <w:rPr>
                <w:rFonts w:eastAsia="SimSun"/>
              </w:rPr>
            </w:pPr>
          </w:p>
        </w:tc>
        <w:tc>
          <w:tcPr>
            <w:tcW w:w="1701" w:type="dxa"/>
            <w:vAlign w:val="center"/>
          </w:tcPr>
          <w:p w14:paraId="40B98F18" w14:textId="77777777" w:rsidR="00124A26" w:rsidRPr="00AC3044" w:rsidRDefault="00124A26" w:rsidP="002D3EBF">
            <w:pPr>
              <w:ind w:firstLine="0"/>
              <w:rPr>
                <w:rFonts w:eastAsia="SimSun"/>
              </w:rPr>
            </w:pPr>
            <w:r w:rsidRPr="00AC3044">
              <w:rPr>
                <w:rFonts w:eastAsia="SimSun"/>
              </w:rPr>
              <w:t xml:space="preserve">Такролимус </w:t>
            </w:r>
          </w:p>
        </w:tc>
        <w:tc>
          <w:tcPr>
            <w:tcW w:w="1559" w:type="dxa"/>
            <w:vAlign w:val="center"/>
          </w:tcPr>
          <w:p w14:paraId="29B37272" w14:textId="77777777" w:rsidR="00124A26" w:rsidRPr="00AC3044" w:rsidRDefault="00124A26" w:rsidP="002D3EBF">
            <w:pPr>
              <w:ind w:firstLine="0"/>
              <w:rPr>
                <w:rFonts w:eastAsia="SimSun"/>
              </w:rPr>
            </w:pPr>
            <w:r w:rsidRPr="00AC3044">
              <w:rPr>
                <w:rFonts w:eastAsia="SimSun"/>
              </w:rPr>
              <w:t>0,03 мг/кг</w:t>
            </w:r>
          </w:p>
        </w:tc>
        <w:tc>
          <w:tcPr>
            <w:tcW w:w="1418" w:type="dxa"/>
            <w:vAlign w:val="center"/>
          </w:tcPr>
          <w:p w14:paraId="643A5A60"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2DAA0259" w14:textId="77777777" w:rsidR="00124A26" w:rsidRPr="00AC3044" w:rsidRDefault="00124A26" w:rsidP="002D3EBF">
            <w:pPr>
              <w:ind w:firstLine="0"/>
              <w:rPr>
                <w:rFonts w:eastAsia="SimSun"/>
              </w:rPr>
            </w:pPr>
            <w:r w:rsidRPr="00AC3044">
              <w:rPr>
                <w:rFonts w:eastAsia="SimSun"/>
              </w:rPr>
              <w:t xml:space="preserve">С -1 дня длительно </w:t>
            </w:r>
          </w:p>
        </w:tc>
        <w:tc>
          <w:tcPr>
            <w:tcW w:w="2268" w:type="dxa"/>
            <w:vAlign w:val="center"/>
          </w:tcPr>
          <w:p w14:paraId="6E28D244" w14:textId="77777777" w:rsidR="00124A26" w:rsidRPr="00AC3044" w:rsidRDefault="00124A26"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124A26" w:rsidRPr="00AC3044" w14:paraId="17F990BF" w14:textId="77777777" w:rsidTr="002D3EBF">
        <w:trPr>
          <w:cantSplit/>
          <w:trHeight w:val="528"/>
        </w:trPr>
        <w:tc>
          <w:tcPr>
            <w:tcW w:w="817" w:type="dxa"/>
            <w:vMerge/>
            <w:textDirection w:val="btLr"/>
            <w:vAlign w:val="center"/>
          </w:tcPr>
          <w:p w14:paraId="31ECF260" w14:textId="77777777" w:rsidR="00124A26" w:rsidRPr="00AC3044" w:rsidRDefault="00124A26" w:rsidP="002D3EBF">
            <w:pPr>
              <w:ind w:firstLine="0"/>
              <w:rPr>
                <w:rFonts w:eastAsia="SimSun"/>
              </w:rPr>
            </w:pPr>
          </w:p>
        </w:tc>
        <w:tc>
          <w:tcPr>
            <w:tcW w:w="1701" w:type="dxa"/>
            <w:vAlign w:val="center"/>
          </w:tcPr>
          <w:p w14:paraId="6A1B1DA5" w14:textId="77777777" w:rsidR="00124A26" w:rsidRPr="00AC3044" w:rsidRDefault="00124A26" w:rsidP="002D3EBF">
            <w:pPr>
              <w:ind w:firstLine="0"/>
              <w:rPr>
                <w:rFonts w:eastAsia="SimSun"/>
              </w:rPr>
            </w:pPr>
            <w:r w:rsidRPr="00AC3044">
              <w:rPr>
                <w:rFonts w:eastAsia="SimSun"/>
              </w:rPr>
              <w:t>Микофенолата мофетил</w:t>
            </w:r>
          </w:p>
        </w:tc>
        <w:tc>
          <w:tcPr>
            <w:tcW w:w="1559" w:type="dxa"/>
            <w:vAlign w:val="center"/>
          </w:tcPr>
          <w:p w14:paraId="2D4D3BCD" w14:textId="77777777" w:rsidR="00124A26" w:rsidRPr="00AC3044" w:rsidRDefault="00124A26" w:rsidP="002D3EBF">
            <w:pPr>
              <w:ind w:firstLine="0"/>
              <w:rPr>
                <w:rFonts w:eastAsia="SimSun"/>
              </w:rPr>
            </w:pPr>
            <w:r w:rsidRPr="00AC3044">
              <w:rPr>
                <w:rFonts w:eastAsia="SimSun"/>
              </w:rPr>
              <w:t xml:space="preserve">30 мг/кг </w:t>
            </w:r>
          </w:p>
        </w:tc>
        <w:tc>
          <w:tcPr>
            <w:tcW w:w="1418" w:type="dxa"/>
            <w:vAlign w:val="center"/>
          </w:tcPr>
          <w:p w14:paraId="06FC00CA" w14:textId="77777777" w:rsidR="00124A26" w:rsidRPr="00AC3044" w:rsidRDefault="00124A26" w:rsidP="002D3EBF">
            <w:pPr>
              <w:ind w:firstLine="0"/>
              <w:rPr>
                <w:rFonts w:eastAsia="SimSun"/>
              </w:rPr>
            </w:pPr>
            <w:r w:rsidRPr="00AC3044">
              <w:rPr>
                <w:rFonts w:eastAsia="SimSun"/>
              </w:rPr>
              <w:t>–</w:t>
            </w:r>
          </w:p>
        </w:tc>
        <w:tc>
          <w:tcPr>
            <w:tcW w:w="1701" w:type="dxa"/>
            <w:vAlign w:val="center"/>
          </w:tcPr>
          <w:p w14:paraId="0CB70CA5" w14:textId="77777777" w:rsidR="00124A26" w:rsidRPr="00AC3044" w:rsidRDefault="00124A26" w:rsidP="002D3EBF">
            <w:pPr>
              <w:ind w:firstLine="0"/>
              <w:rPr>
                <w:rFonts w:eastAsia="SimSun"/>
              </w:rPr>
            </w:pPr>
            <w:r w:rsidRPr="00AC3044">
              <w:rPr>
                <w:rFonts w:eastAsia="SimSun"/>
              </w:rPr>
              <w:t xml:space="preserve">С -1 дня по +30 день </w:t>
            </w:r>
          </w:p>
        </w:tc>
        <w:tc>
          <w:tcPr>
            <w:tcW w:w="2268" w:type="dxa"/>
            <w:vAlign w:val="center"/>
          </w:tcPr>
          <w:p w14:paraId="656CBF73"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5C32AD6D" w14:textId="77777777" w:rsidR="00124A26" w:rsidRPr="00C07B2E" w:rsidRDefault="00124A26" w:rsidP="00124A26">
      <w:pPr>
        <w:rPr>
          <w:rFonts w:eastAsia="SimSun"/>
        </w:rPr>
        <w:sectPr w:rsidR="00124A26" w:rsidRPr="00C07B2E" w:rsidSect="00980822">
          <w:footerReference w:type="default" r:id="rId29"/>
          <w:type w:val="continuous"/>
          <w:pgSz w:w="11907" w:h="16839" w:code="9"/>
          <w:pgMar w:top="1134" w:right="850" w:bottom="1134" w:left="1701" w:header="709" w:footer="567" w:gutter="0"/>
          <w:cols w:space="708"/>
          <w:docGrid w:linePitch="360"/>
        </w:sectPr>
      </w:pPr>
    </w:p>
    <w:p w14:paraId="1F3417B9" w14:textId="77777777" w:rsidR="00124A26" w:rsidRPr="0074195F" w:rsidRDefault="00124A26" w:rsidP="00124A26">
      <w:pPr>
        <w:rPr>
          <w:rFonts w:eastAsia="SimSun"/>
        </w:rPr>
      </w:pPr>
      <w:bookmarkStart w:id="260" w:name="_Toc44401222"/>
    </w:p>
    <w:p w14:paraId="2C7EE7FA" w14:textId="77777777" w:rsidR="00124A26" w:rsidRPr="00030511" w:rsidRDefault="00124A26" w:rsidP="00124A26">
      <w:pPr>
        <w:rPr>
          <w:rFonts w:eastAsia="SimSun"/>
          <w:i/>
          <w:u w:val="single"/>
        </w:rPr>
      </w:pPr>
      <w:r w:rsidRPr="00030511">
        <w:rPr>
          <w:rFonts w:eastAsia="SimSun"/>
          <w:i/>
          <w:u w:val="single"/>
        </w:rPr>
        <w:t>3. Неродственный частично совместимый или родственный гаплоидентичный донор</w:t>
      </w:r>
      <w:bookmarkEnd w:id="260"/>
    </w:p>
    <w:p w14:paraId="1B963E82" w14:textId="77777777" w:rsidR="00124A26" w:rsidRDefault="00124A26" w:rsidP="00124A26">
      <w:pPr>
        <w:rPr>
          <w:rFonts w:eastAsia="SimSun"/>
        </w:rPr>
      </w:pPr>
      <w:bookmarkStart w:id="261" w:name="_Toc44401223"/>
    </w:p>
    <w:bookmarkEnd w:id="261"/>
    <w:p w14:paraId="6DE8CF26" w14:textId="77777777" w:rsidR="00124A26" w:rsidRDefault="00124A26" w:rsidP="00124A26">
      <w:pPr>
        <w:rPr>
          <w:rFonts w:eastAsia="SimSun"/>
        </w:rPr>
      </w:pPr>
      <w:r w:rsidRPr="00C07B2E">
        <w:rPr>
          <w:rFonts w:eastAsia="SimSun"/>
        </w:rPr>
        <w:t>Схемы и режимы применения препаратов для кондиционирования</w:t>
      </w:r>
      <w:r>
        <w:rPr>
          <w:rFonts w:eastAsia="SimSun"/>
        </w:rPr>
        <w:t xml:space="preserve"> </w:t>
      </w:r>
      <w:r w:rsidRPr="00030511">
        <w:rPr>
          <w:rFonts w:eastAsia="SimSun"/>
        </w:rPr>
        <w:t>в миелоаблативном режиме и режиме пониженной интенсивности</w:t>
      </w:r>
      <w:r w:rsidRPr="00C07B2E">
        <w:rPr>
          <w:rFonts w:eastAsia="SimSun"/>
        </w:rPr>
        <w:t xml:space="preserve"> и профилактики РТПХ со ссылками на приложения указаны в Таблице </w:t>
      </w:r>
      <w:r>
        <w:rPr>
          <w:rFonts w:eastAsia="SimSun"/>
        </w:rPr>
        <w:t>5.</w:t>
      </w:r>
      <w:r w:rsidRPr="00C07B2E">
        <w:rPr>
          <w:rFonts w:eastAsia="SimSun"/>
        </w:rPr>
        <w:t>3.1</w:t>
      </w:r>
    </w:p>
    <w:p w14:paraId="175FE16A" w14:textId="77777777" w:rsidR="00124A26" w:rsidRPr="00C07B2E" w:rsidRDefault="00124A26" w:rsidP="00124A26">
      <w:pPr>
        <w:rPr>
          <w:rFonts w:eastAsia="SimSun"/>
        </w:rPr>
        <w:sectPr w:rsidR="00124A26" w:rsidRPr="00C07B2E" w:rsidSect="00980822">
          <w:footerReference w:type="default" r:id="rId30"/>
          <w:type w:val="continuous"/>
          <w:pgSz w:w="11907" w:h="16839" w:code="9"/>
          <w:pgMar w:top="1134" w:right="850" w:bottom="1134" w:left="1701" w:header="709" w:footer="567" w:gutter="0"/>
          <w:cols w:space="708"/>
          <w:docGrid w:linePitch="360"/>
        </w:sectPr>
      </w:pPr>
    </w:p>
    <w:p w14:paraId="545755AE" w14:textId="77777777" w:rsidR="00124A26" w:rsidRPr="00C07B2E" w:rsidRDefault="00124A26" w:rsidP="00124A26">
      <w:pPr>
        <w:rPr>
          <w:rFonts w:eastAsia="SimSun"/>
        </w:rPr>
      </w:pPr>
      <w:r w:rsidRPr="00C07B2E">
        <w:rPr>
          <w:rFonts w:eastAsia="SimSun"/>
        </w:rPr>
        <w:t xml:space="preserve">Таблица </w:t>
      </w:r>
      <w:r>
        <w:rPr>
          <w:rFonts w:eastAsia="SimSun"/>
        </w:rPr>
        <w:t>5.</w:t>
      </w:r>
      <w:r w:rsidRPr="00C07B2E">
        <w:rPr>
          <w:rFonts w:eastAsia="SimSun"/>
        </w:rPr>
        <w:t>3.1 Схемы и режимы применения препаратов для кондиционирования и профилактики РТПХ со ссылками на приложения</w:t>
      </w:r>
    </w:p>
    <w:p w14:paraId="357EDA90" w14:textId="77777777" w:rsidR="00124A26" w:rsidRPr="00C07B2E" w:rsidRDefault="00124A26" w:rsidP="00124A26">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1053"/>
        <w:gridCol w:w="917"/>
        <w:gridCol w:w="1302"/>
        <w:gridCol w:w="1268"/>
        <w:gridCol w:w="1154"/>
        <w:gridCol w:w="1331"/>
        <w:gridCol w:w="1268"/>
        <w:gridCol w:w="954"/>
        <w:gridCol w:w="954"/>
        <w:gridCol w:w="954"/>
        <w:gridCol w:w="1214"/>
        <w:gridCol w:w="1202"/>
      </w:tblGrid>
      <w:tr w:rsidR="00124A26" w:rsidRPr="00470E23" w14:paraId="0A20BBB8" w14:textId="77777777" w:rsidTr="002D3EBF">
        <w:trPr>
          <w:cantSplit/>
          <w:trHeight w:val="1020"/>
        </w:trPr>
        <w:tc>
          <w:tcPr>
            <w:tcW w:w="1394" w:type="pct"/>
            <w:gridSpan w:val="4"/>
            <w:vMerge w:val="restart"/>
            <w:tcBorders>
              <w:right w:val="single" w:sz="4" w:space="0" w:color="00000A"/>
            </w:tcBorders>
            <w:shd w:val="clear" w:color="auto" w:fill="auto"/>
            <w:vAlign w:val="center"/>
          </w:tcPr>
          <w:p w14:paraId="5E93A4CC" w14:textId="77777777" w:rsidR="00124A26" w:rsidRPr="00470E23" w:rsidRDefault="00124A26" w:rsidP="002D3EBF">
            <w:pPr>
              <w:ind w:firstLine="0"/>
              <w:rPr>
                <w:rFonts w:eastAsia="SimSun"/>
                <w:sz w:val="22"/>
              </w:rPr>
            </w:pPr>
            <w:r w:rsidRPr="00470E23">
              <w:rPr>
                <w:rFonts w:eastAsia="SimSun"/>
                <w:sz w:val="22"/>
              </w:rPr>
              <w:t>Профилактика РТПХ</w:t>
            </w:r>
          </w:p>
        </w:tc>
        <w:tc>
          <w:tcPr>
            <w:tcW w:w="3606" w:type="pct"/>
            <w:gridSpan w:val="9"/>
            <w:tcBorders>
              <w:left w:val="single" w:sz="4" w:space="0" w:color="00000A"/>
              <w:right w:val="single" w:sz="4" w:space="0" w:color="00000A"/>
            </w:tcBorders>
            <w:shd w:val="clear" w:color="auto" w:fill="auto"/>
            <w:vAlign w:val="center"/>
          </w:tcPr>
          <w:p w14:paraId="612601D2" w14:textId="77777777" w:rsidR="00124A26" w:rsidRPr="00470E23" w:rsidRDefault="00124A26" w:rsidP="002D3EBF">
            <w:pPr>
              <w:ind w:firstLine="0"/>
              <w:rPr>
                <w:rFonts w:eastAsia="SimSun"/>
                <w:sz w:val="22"/>
              </w:rPr>
            </w:pPr>
            <w:r w:rsidRPr="00470E23">
              <w:rPr>
                <w:rFonts w:eastAsia="SimSun"/>
                <w:sz w:val="22"/>
              </w:rPr>
              <w:t>Режим кондиционирования</w:t>
            </w:r>
          </w:p>
        </w:tc>
      </w:tr>
      <w:tr w:rsidR="00124A26" w:rsidRPr="00470E23" w14:paraId="71A6E5A1" w14:textId="77777777" w:rsidTr="002D3EBF">
        <w:trPr>
          <w:cantSplit/>
          <w:trHeight w:val="1020"/>
        </w:trPr>
        <w:tc>
          <w:tcPr>
            <w:tcW w:w="1394" w:type="pct"/>
            <w:gridSpan w:val="4"/>
            <w:vMerge/>
            <w:tcBorders>
              <w:right w:val="single" w:sz="4" w:space="0" w:color="00000A"/>
            </w:tcBorders>
            <w:shd w:val="clear" w:color="auto" w:fill="auto"/>
            <w:vAlign w:val="center"/>
          </w:tcPr>
          <w:p w14:paraId="24CE40EF" w14:textId="77777777" w:rsidR="00124A26" w:rsidRPr="00470E23" w:rsidRDefault="00124A26" w:rsidP="002D3EBF">
            <w:pPr>
              <w:ind w:firstLine="0"/>
              <w:rPr>
                <w:rFonts w:eastAsia="SimSun"/>
                <w:sz w:val="22"/>
              </w:rPr>
            </w:pPr>
          </w:p>
        </w:tc>
        <w:tc>
          <w:tcPr>
            <w:tcW w:w="1314" w:type="pct"/>
            <w:gridSpan w:val="3"/>
            <w:tcBorders>
              <w:left w:val="single" w:sz="4" w:space="0" w:color="00000A"/>
              <w:right w:val="single" w:sz="4" w:space="0" w:color="00000A"/>
            </w:tcBorders>
            <w:shd w:val="clear" w:color="auto" w:fill="D9D9D9"/>
            <w:vAlign w:val="center"/>
          </w:tcPr>
          <w:p w14:paraId="179DE86B" w14:textId="77777777" w:rsidR="00124A26" w:rsidRPr="00470E23" w:rsidRDefault="00124A26" w:rsidP="002D3EBF">
            <w:pPr>
              <w:ind w:firstLine="0"/>
              <w:rPr>
                <w:rFonts w:eastAsia="SimSun"/>
                <w:sz w:val="22"/>
              </w:rPr>
            </w:pPr>
            <w:r w:rsidRPr="00470E23">
              <w:rPr>
                <w:rFonts w:eastAsia="SimSun"/>
                <w:sz w:val="22"/>
              </w:rPr>
              <w:t>Flu150</w:t>
            </w:r>
          </w:p>
        </w:tc>
        <w:tc>
          <w:tcPr>
            <w:tcW w:w="2293" w:type="pct"/>
            <w:gridSpan w:val="6"/>
            <w:tcBorders>
              <w:left w:val="single" w:sz="4" w:space="0" w:color="00000A"/>
              <w:right w:val="single" w:sz="4" w:space="0" w:color="00000A"/>
            </w:tcBorders>
            <w:shd w:val="clear" w:color="auto" w:fill="D9D9D9"/>
            <w:vAlign w:val="center"/>
          </w:tcPr>
          <w:p w14:paraId="1FEA1150" w14:textId="77777777" w:rsidR="00124A26" w:rsidRPr="00470E23" w:rsidRDefault="00124A26" w:rsidP="002D3EBF">
            <w:pPr>
              <w:ind w:firstLine="0"/>
              <w:rPr>
                <w:rFonts w:eastAsia="SimSun"/>
                <w:sz w:val="22"/>
              </w:rPr>
            </w:pPr>
            <w:r w:rsidRPr="00470E23">
              <w:rPr>
                <w:rFonts w:eastAsia="SimSun"/>
                <w:sz w:val="22"/>
              </w:rPr>
              <w:t>Flu180</w:t>
            </w:r>
          </w:p>
        </w:tc>
      </w:tr>
      <w:tr w:rsidR="00124A26" w:rsidRPr="00470E23" w14:paraId="5C565D83" w14:textId="77777777" w:rsidTr="002D3EBF">
        <w:trPr>
          <w:cantSplit/>
          <w:trHeight w:val="1020"/>
        </w:trPr>
        <w:tc>
          <w:tcPr>
            <w:tcW w:w="1394" w:type="pct"/>
            <w:gridSpan w:val="4"/>
            <w:vMerge/>
            <w:tcBorders>
              <w:right w:val="single" w:sz="4" w:space="0" w:color="00000A"/>
            </w:tcBorders>
            <w:shd w:val="clear" w:color="auto" w:fill="auto"/>
            <w:vAlign w:val="center"/>
          </w:tcPr>
          <w:p w14:paraId="2AC43AD7" w14:textId="77777777" w:rsidR="00124A26" w:rsidRPr="00470E23" w:rsidRDefault="00124A26" w:rsidP="002D3EBF">
            <w:pPr>
              <w:ind w:firstLine="0"/>
              <w:rPr>
                <w:rFonts w:eastAsia="SimSun"/>
                <w:sz w:val="22"/>
              </w:rPr>
            </w:pPr>
          </w:p>
        </w:tc>
        <w:tc>
          <w:tcPr>
            <w:tcW w:w="444" w:type="pct"/>
            <w:tcBorders>
              <w:left w:val="single" w:sz="4" w:space="0" w:color="00000A"/>
              <w:right w:val="single" w:sz="4" w:space="0" w:color="00000A"/>
            </w:tcBorders>
            <w:shd w:val="clear" w:color="auto" w:fill="D9D9D9"/>
            <w:vAlign w:val="center"/>
          </w:tcPr>
          <w:p w14:paraId="45120C91" w14:textId="77777777" w:rsidR="00124A26" w:rsidRPr="00470E23" w:rsidRDefault="00124A26" w:rsidP="002D3EBF">
            <w:pPr>
              <w:ind w:firstLine="0"/>
              <w:rPr>
                <w:rFonts w:eastAsia="SimSun"/>
                <w:sz w:val="22"/>
              </w:rPr>
            </w:pPr>
            <w:r w:rsidRPr="00470E23">
              <w:rPr>
                <w:rFonts w:eastAsia="SimSun"/>
                <w:sz w:val="22"/>
              </w:rPr>
              <w:t>Bu8</w:t>
            </w:r>
          </w:p>
        </w:tc>
        <w:tc>
          <w:tcPr>
            <w:tcW w:w="404" w:type="pct"/>
            <w:shd w:val="clear" w:color="auto" w:fill="D9D9D9"/>
            <w:vAlign w:val="center"/>
          </w:tcPr>
          <w:p w14:paraId="6078F4EF" w14:textId="77777777" w:rsidR="00124A26" w:rsidRPr="00470E23" w:rsidRDefault="00124A26" w:rsidP="002D3EBF">
            <w:pPr>
              <w:ind w:firstLine="0"/>
              <w:rPr>
                <w:rFonts w:eastAsia="SimSun"/>
                <w:sz w:val="22"/>
              </w:rPr>
            </w:pPr>
            <w:r w:rsidRPr="00470E23">
              <w:rPr>
                <w:rFonts w:eastAsia="SimSun"/>
                <w:sz w:val="22"/>
              </w:rPr>
              <w:t>Treo36</w:t>
            </w:r>
          </w:p>
        </w:tc>
        <w:tc>
          <w:tcPr>
            <w:tcW w:w="466" w:type="pct"/>
            <w:shd w:val="clear" w:color="auto" w:fill="D9D9D9"/>
            <w:vAlign w:val="center"/>
          </w:tcPr>
          <w:p w14:paraId="1B5961FF" w14:textId="77777777" w:rsidR="00124A26" w:rsidRPr="00470E23" w:rsidRDefault="00124A26" w:rsidP="002D3EBF">
            <w:pPr>
              <w:ind w:firstLine="0"/>
              <w:rPr>
                <w:rFonts w:eastAsia="SimSun"/>
                <w:sz w:val="22"/>
              </w:rPr>
            </w:pPr>
            <w:r w:rsidRPr="00470E23">
              <w:rPr>
                <w:rFonts w:eastAsia="SimSun"/>
                <w:sz w:val="22"/>
              </w:rPr>
              <w:t>Cy14</w:t>
            </w:r>
          </w:p>
        </w:tc>
        <w:tc>
          <w:tcPr>
            <w:tcW w:w="444" w:type="pct"/>
            <w:shd w:val="clear" w:color="auto" w:fill="D9D9D9"/>
            <w:vAlign w:val="center"/>
          </w:tcPr>
          <w:p w14:paraId="4F114010" w14:textId="77777777" w:rsidR="00124A26" w:rsidRPr="00470E23" w:rsidRDefault="00124A26" w:rsidP="002D3EBF">
            <w:pPr>
              <w:ind w:firstLine="0"/>
              <w:rPr>
                <w:rFonts w:eastAsia="SimSun"/>
                <w:sz w:val="22"/>
              </w:rPr>
            </w:pPr>
            <w:r w:rsidRPr="00470E23">
              <w:rPr>
                <w:rFonts w:eastAsia="SimSun"/>
                <w:sz w:val="22"/>
              </w:rPr>
              <w:t>Bu8</w:t>
            </w:r>
          </w:p>
        </w:tc>
        <w:tc>
          <w:tcPr>
            <w:tcW w:w="334" w:type="pct"/>
            <w:shd w:val="clear" w:color="auto" w:fill="D9D9D9"/>
            <w:vAlign w:val="center"/>
          </w:tcPr>
          <w:p w14:paraId="63D38A24" w14:textId="77777777" w:rsidR="00124A26" w:rsidRPr="00470E23" w:rsidRDefault="00124A26" w:rsidP="002D3EBF">
            <w:pPr>
              <w:ind w:firstLine="0"/>
              <w:rPr>
                <w:rFonts w:eastAsia="SimSun"/>
                <w:sz w:val="22"/>
              </w:rPr>
            </w:pPr>
            <w:r w:rsidRPr="00470E23">
              <w:rPr>
                <w:rFonts w:eastAsia="SimSun"/>
                <w:sz w:val="22"/>
              </w:rPr>
              <w:t>Bu10</w:t>
            </w:r>
          </w:p>
        </w:tc>
        <w:tc>
          <w:tcPr>
            <w:tcW w:w="334" w:type="pct"/>
            <w:shd w:val="clear" w:color="auto" w:fill="D9D9D9"/>
            <w:vAlign w:val="center"/>
          </w:tcPr>
          <w:p w14:paraId="4567693C" w14:textId="77777777" w:rsidR="00124A26" w:rsidRPr="00470E23" w:rsidRDefault="00124A26" w:rsidP="002D3EBF">
            <w:pPr>
              <w:ind w:firstLine="0"/>
              <w:rPr>
                <w:rFonts w:eastAsia="SimSun"/>
                <w:sz w:val="22"/>
              </w:rPr>
            </w:pPr>
            <w:r w:rsidRPr="00470E23">
              <w:rPr>
                <w:rFonts w:eastAsia="SimSun"/>
                <w:sz w:val="22"/>
              </w:rPr>
              <w:t>Bu12</w:t>
            </w:r>
          </w:p>
        </w:tc>
        <w:tc>
          <w:tcPr>
            <w:tcW w:w="334" w:type="pct"/>
            <w:shd w:val="clear" w:color="auto" w:fill="D9D9D9"/>
            <w:vAlign w:val="center"/>
          </w:tcPr>
          <w:p w14:paraId="2B3CFAB0" w14:textId="77777777" w:rsidR="00124A26" w:rsidRPr="00470E23" w:rsidRDefault="00124A26" w:rsidP="002D3EBF">
            <w:pPr>
              <w:ind w:firstLine="0"/>
              <w:rPr>
                <w:rFonts w:eastAsia="SimSun"/>
                <w:sz w:val="22"/>
              </w:rPr>
            </w:pPr>
            <w:r w:rsidRPr="00470E23">
              <w:rPr>
                <w:rFonts w:eastAsia="SimSun"/>
                <w:sz w:val="22"/>
              </w:rPr>
              <w:t>Bu14</w:t>
            </w:r>
          </w:p>
        </w:tc>
        <w:tc>
          <w:tcPr>
            <w:tcW w:w="425" w:type="pct"/>
            <w:shd w:val="clear" w:color="auto" w:fill="D9D9D9"/>
            <w:vAlign w:val="center"/>
          </w:tcPr>
          <w:p w14:paraId="5D6A0E3F" w14:textId="77777777" w:rsidR="00124A26" w:rsidRPr="00470E23" w:rsidRDefault="00124A26" w:rsidP="002D3EBF">
            <w:pPr>
              <w:ind w:firstLine="0"/>
              <w:rPr>
                <w:rFonts w:eastAsia="SimSun"/>
                <w:sz w:val="22"/>
              </w:rPr>
            </w:pPr>
            <w:r w:rsidRPr="00470E23">
              <w:rPr>
                <w:rFonts w:eastAsia="SimSun"/>
                <w:sz w:val="22"/>
              </w:rPr>
              <w:t>Cy1200</w:t>
            </w:r>
          </w:p>
        </w:tc>
        <w:tc>
          <w:tcPr>
            <w:tcW w:w="422" w:type="pct"/>
            <w:shd w:val="clear" w:color="auto" w:fill="D9D9D9"/>
            <w:vAlign w:val="center"/>
          </w:tcPr>
          <w:p w14:paraId="48B17EB2" w14:textId="77777777" w:rsidR="00124A26" w:rsidRPr="00470E23" w:rsidRDefault="00124A26" w:rsidP="002D3EBF">
            <w:pPr>
              <w:ind w:firstLine="0"/>
              <w:rPr>
                <w:rFonts w:eastAsia="SimSun"/>
                <w:sz w:val="22"/>
              </w:rPr>
            </w:pPr>
            <w:r w:rsidRPr="00470E23">
              <w:rPr>
                <w:rFonts w:eastAsia="SimSun"/>
                <w:sz w:val="22"/>
              </w:rPr>
              <w:t>Mel100</w:t>
            </w:r>
          </w:p>
        </w:tc>
      </w:tr>
      <w:tr w:rsidR="00124A26" w:rsidRPr="00470E23" w14:paraId="6F1B7416" w14:textId="77777777" w:rsidTr="002D3EBF">
        <w:trPr>
          <w:cantSplit/>
          <w:trHeight w:val="1020"/>
        </w:trPr>
        <w:tc>
          <w:tcPr>
            <w:tcW w:w="1394" w:type="pct"/>
            <w:gridSpan w:val="4"/>
            <w:vMerge/>
            <w:tcBorders>
              <w:right w:val="single" w:sz="4" w:space="0" w:color="00000A"/>
            </w:tcBorders>
            <w:shd w:val="clear" w:color="auto" w:fill="auto"/>
            <w:vAlign w:val="center"/>
          </w:tcPr>
          <w:p w14:paraId="784E452D" w14:textId="77777777" w:rsidR="00124A26" w:rsidRPr="00470E23" w:rsidRDefault="00124A26" w:rsidP="002D3EBF">
            <w:pPr>
              <w:ind w:firstLine="0"/>
              <w:rPr>
                <w:rFonts w:eastAsia="SimSun"/>
                <w:sz w:val="22"/>
              </w:rPr>
            </w:pPr>
          </w:p>
        </w:tc>
        <w:tc>
          <w:tcPr>
            <w:tcW w:w="444" w:type="pct"/>
            <w:tcBorders>
              <w:left w:val="single" w:sz="4" w:space="0" w:color="00000A"/>
            </w:tcBorders>
            <w:shd w:val="clear" w:color="auto" w:fill="D9D9D9"/>
            <w:vAlign w:val="center"/>
          </w:tcPr>
          <w:p w14:paraId="6DC0C056" w14:textId="77777777" w:rsidR="00124A26" w:rsidRPr="00470E23" w:rsidRDefault="00124A26" w:rsidP="002D3EBF">
            <w:pPr>
              <w:ind w:firstLine="0"/>
              <w:rPr>
                <w:rFonts w:eastAsia="SimSun"/>
                <w:sz w:val="22"/>
              </w:rPr>
            </w:pPr>
          </w:p>
          <w:p w14:paraId="169FA027" w14:textId="77777777" w:rsidR="00124A26" w:rsidRPr="00470E23" w:rsidRDefault="00124A26" w:rsidP="002D3EBF">
            <w:pPr>
              <w:ind w:firstLine="0"/>
              <w:rPr>
                <w:rFonts w:eastAsia="SimSun"/>
                <w:sz w:val="22"/>
              </w:rPr>
            </w:pPr>
            <w:r w:rsidRPr="00470E23">
              <w:rPr>
                <w:rFonts w:eastAsia="SimSun"/>
                <w:sz w:val="22"/>
              </w:rPr>
              <w:t>Thio</w:t>
            </w:r>
          </w:p>
        </w:tc>
        <w:tc>
          <w:tcPr>
            <w:tcW w:w="404" w:type="pct"/>
            <w:shd w:val="clear" w:color="auto" w:fill="D9D9D9"/>
            <w:vAlign w:val="center"/>
          </w:tcPr>
          <w:p w14:paraId="04CFA3DB" w14:textId="77777777" w:rsidR="00124A26" w:rsidRPr="00470E23" w:rsidRDefault="00124A26" w:rsidP="002D3EBF">
            <w:pPr>
              <w:ind w:firstLine="0"/>
              <w:rPr>
                <w:rFonts w:eastAsia="SimSun"/>
                <w:sz w:val="22"/>
              </w:rPr>
            </w:pPr>
            <w:r w:rsidRPr="00470E23">
              <w:rPr>
                <w:rFonts w:eastAsia="SimSun"/>
                <w:sz w:val="22"/>
              </w:rPr>
              <w:t>-</w:t>
            </w:r>
          </w:p>
        </w:tc>
        <w:tc>
          <w:tcPr>
            <w:tcW w:w="466" w:type="pct"/>
            <w:shd w:val="clear" w:color="auto" w:fill="D9D9D9"/>
            <w:vAlign w:val="center"/>
          </w:tcPr>
          <w:p w14:paraId="2CCDB811" w14:textId="77777777" w:rsidR="00124A26" w:rsidRPr="00470E23" w:rsidRDefault="00124A26" w:rsidP="002D3EBF">
            <w:pPr>
              <w:ind w:firstLine="0"/>
              <w:rPr>
                <w:rFonts w:eastAsia="SimSun"/>
                <w:sz w:val="22"/>
              </w:rPr>
            </w:pPr>
            <w:r w:rsidRPr="00470E23">
              <w:rPr>
                <w:rFonts w:eastAsia="SimSun"/>
                <w:sz w:val="22"/>
              </w:rPr>
              <w:t>TBI</w:t>
            </w:r>
          </w:p>
        </w:tc>
        <w:tc>
          <w:tcPr>
            <w:tcW w:w="444" w:type="pct"/>
            <w:shd w:val="clear" w:color="auto" w:fill="D9D9D9"/>
            <w:vAlign w:val="center"/>
          </w:tcPr>
          <w:p w14:paraId="6B1B1DCB" w14:textId="77777777" w:rsidR="00124A26" w:rsidRPr="00470E23" w:rsidRDefault="00124A26" w:rsidP="002D3EBF">
            <w:pPr>
              <w:ind w:firstLine="0"/>
              <w:rPr>
                <w:rFonts w:eastAsia="SimSun"/>
                <w:sz w:val="22"/>
              </w:rPr>
            </w:pPr>
            <w:r w:rsidRPr="00470E23">
              <w:rPr>
                <w:rFonts w:eastAsia="SimSun"/>
                <w:sz w:val="22"/>
              </w:rPr>
              <w:t>-</w:t>
            </w:r>
          </w:p>
        </w:tc>
        <w:tc>
          <w:tcPr>
            <w:tcW w:w="334" w:type="pct"/>
            <w:shd w:val="clear" w:color="auto" w:fill="D9D9D9"/>
            <w:vAlign w:val="center"/>
          </w:tcPr>
          <w:p w14:paraId="0A52E8BD" w14:textId="77777777" w:rsidR="00124A26" w:rsidRPr="00470E23" w:rsidRDefault="00124A26" w:rsidP="002D3EBF">
            <w:pPr>
              <w:ind w:firstLine="0"/>
              <w:rPr>
                <w:rFonts w:eastAsia="SimSun"/>
                <w:sz w:val="22"/>
              </w:rPr>
            </w:pPr>
            <w:r w:rsidRPr="00470E23">
              <w:rPr>
                <w:rFonts w:eastAsia="SimSun"/>
                <w:sz w:val="22"/>
              </w:rPr>
              <w:t>-</w:t>
            </w:r>
          </w:p>
        </w:tc>
        <w:tc>
          <w:tcPr>
            <w:tcW w:w="334" w:type="pct"/>
            <w:shd w:val="clear" w:color="auto" w:fill="D9D9D9"/>
            <w:vAlign w:val="center"/>
          </w:tcPr>
          <w:p w14:paraId="29B75508" w14:textId="77777777" w:rsidR="00124A26" w:rsidRPr="00470E23" w:rsidRDefault="00124A26" w:rsidP="002D3EBF">
            <w:pPr>
              <w:ind w:firstLine="0"/>
              <w:rPr>
                <w:rFonts w:eastAsia="SimSun"/>
                <w:sz w:val="22"/>
              </w:rPr>
            </w:pPr>
            <w:r w:rsidRPr="00470E23">
              <w:rPr>
                <w:rFonts w:eastAsia="SimSun"/>
                <w:sz w:val="22"/>
              </w:rPr>
              <w:t>-</w:t>
            </w:r>
          </w:p>
        </w:tc>
        <w:tc>
          <w:tcPr>
            <w:tcW w:w="334" w:type="pct"/>
            <w:shd w:val="clear" w:color="auto" w:fill="D9D9D9"/>
            <w:vAlign w:val="center"/>
          </w:tcPr>
          <w:p w14:paraId="7945DA7C" w14:textId="77777777" w:rsidR="00124A26" w:rsidRPr="00470E23" w:rsidRDefault="00124A26" w:rsidP="002D3EBF">
            <w:pPr>
              <w:ind w:firstLine="0"/>
              <w:rPr>
                <w:rFonts w:eastAsia="SimSun"/>
                <w:sz w:val="22"/>
              </w:rPr>
            </w:pPr>
            <w:r w:rsidRPr="00470E23">
              <w:rPr>
                <w:rFonts w:eastAsia="SimSun"/>
                <w:sz w:val="22"/>
              </w:rPr>
              <w:t>-</w:t>
            </w:r>
          </w:p>
        </w:tc>
        <w:tc>
          <w:tcPr>
            <w:tcW w:w="425" w:type="pct"/>
            <w:shd w:val="clear" w:color="auto" w:fill="D9D9D9"/>
            <w:vAlign w:val="center"/>
          </w:tcPr>
          <w:p w14:paraId="07DBCB4D" w14:textId="77777777" w:rsidR="00124A26" w:rsidRPr="00470E23" w:rsidRDefault="00124A26" w:rsidP="002D3EBF">
            <w:pPr>
              <w:ind w:firstLine="0"/>
              <w:rPr>
                <w:rFonts w:eastAsia="SimSun"/>
                <w:sz w:val="22"/>
              </w:rPr>
            </w:pPr>
            <w:r w:rsidRPr="00470E23">
              <w:rPr>
                <w:rFonts w:eastAsia="SimSun"/>
                <w:sz w:val="22"/>
              </w:rPr>
              <w:t>-</w:t>
            </w:r>
          </w:p>
        </w:tc>
        <w:tc>
          <w:tcPr>
            <w:tcW w:w="422" w:type="pct"/>
            <w:shd w:val="clear" w:color="auto" w:fill="D9D9D9"/>
            <w:vAlign w:val="center"/>
          </w:tcPr>
          <w:p w14:paraId="1612ED04" w14:textId="77777777" w:rsidR="00124A26" w:rsidRPr="00470E23" w:rsidRDefault="00124A26" w:rsidP="002D3EBF">
            <w:pPr>
              <w:ind w:firstLine="0"/>
              <w:rPr>
                <w:rFonts w:eastAsia="SimSun"/>
                <w:sz w:val="22"/>
              </w:rPr>
            </w:pPr>
            <w:r w:rsidRPr="00470E23">
              <w:rPr>
                <w:rFonts w:eastAsia="SimSun"/>
                <w:sz w:val="22"/>
              </w:rPr>
              <w:t>-</w:t>
            </w:r>
          </w:p>
        </w:tc>
      </w:tr>
      <w:tr w:rsidR="00124A26" w:rsidRPr="00470E23" w14:paraId="3E8A81E8" w14:textId="77777777" w:rsidTr="002D3EBF">
        <w:trPr>
          <w:cantSplit/>
          <w:trHeight w:val="1020"/>
        </w:trPr>
        <w:tc>
          <w:tcPr>
            <w:tcW w:w="248" w:type="pct"/>
            <w:vMerge w:val="restart"/>
            <w:tcBorders>
              <w:top w:val="single" w:sz="4" w:space="0" w:color="00000A"/>
            </w:tcBorders>
            <w:shd w:val="clear" w:color="auto" w:fill="D9D9D9"/>
            <w:vAlign w:val="center"/>
          </w:tcPr>
          <w:p w14:paraId="0B4174B2" w14:textId="77777777" w:rsidR="00124A26" w:rsidRPr="00470E23" w:rsidRDefault="00124A26" w:rsidP="002D3EBF">
            <w:pPr>
              <w:ind w:firstLine="0"/>
              <w:rPr>
                <w:rFonts w:eastAsia="SimSun"/>
                <w:sz w:val="22"/>
              </w:rPr>
            </w:pPr>
            <w:r w:rsidRPr="00470E23">
              <w:rPr>
                <w:rFonts w:eastAsia="SimSun"/>
                <w:sz w:val="22"/>
              </w:rPr>
              <w:t>PT-Cy</w:t>
            </w:r>
          </w:p>
        </w:tc>
        <w:tc>
          <w:tcPr>
            <w:tcW w:w="369" w:type="pct"/>
            <w:shd w:val="clear" w:color="auto" w:fill="D9D9D9"/>
            <w:vAlign w:val="center"/>
          </w:tcPr>
          <w:p w14:paraId="69267826" w14:textId="77777777" w:rsidR="00124A26" w:rsidRPr="00470E23" w:rsidRDefault="00124A26" w:rsidP="002D3EBF">
            <w:pPr>
              <w:ind w:firstLine="0"/>
              <w:rPr>
                <w:rFonts w:eastAsia="SimSun"/>
                <w:sz w:val="22"/>
              </w:rPr>
            </w:pPr>
            <w:r w:rsidRPr="00470E23">
              <w:rPr>
                <w:rFonts w:eastAsia="SimSun"/>
                <w:sz w:val="22"/>
              </w:rPr>
              <w:t>-</w:t>
            </w:r>
          </w:p>
        </w:tc>
        <w:tc>
          <w:tcPr>
            <w:tcW w:w="321" w:type="pct"/>
            <w:shd w:val="clear" w:color="auto" w:fill="D9D9D9"/>
            <w:vAlign w:val="center"/>
          </w:tcPr>
          <w:p w14:paraId="03DC3F72" w14:textId="77777777" w:rsidR="00124A26" w:rsidRPr="00470E23" w:rsidRDefault="00124A26" w:rsidP="002D3EBF">
            <w:pPr>
              <w:ind w:firstLine="0"/>
              <w:rPr>
                <w:rFonts w:eastAsia="SimSun"/>
                <w:sz w:val="22"/>
              </w:rPr>
            </w:pPr>
            <w:r w:rsidRPr="00470E23">
              <w:rPr>
                <w:rFonts w:eastAsia="SimSun"/>
                <w:sz w:val="22"/>
              </w:rPr>
              <w:t>CSA</w:t>
            </w:r>
          </w:p>
        </w:tc>
        <w:tc>
          <w:tcPr>
            <w:tcW w:w="455" w:type="pct"/>
            <w:shd w:val="clear" w:color="auto" w:fill="D9D9D9"/>
            <w:vAlign w:val="center"/>
          </w:tcPr>
          <w:p w14:paraId="337AB2A2" w14:textId="77777777" w:rsidR="00124A26" w:rsidRPr="00470E23" w:rsidRDefault="00124A26" w:rsidP="002D3EBF">
            <w:pPr>
              <w:ind w:firstLine="0"/>
              <w:rPr>
                <w:rFonts w:eastAsia="SimSun"/>
                <w:sz w:val="22"/>
              </w:rPr>
            </w:pPr>
            <w:r w:rsidRPr="00470E23">
              <w:rPr>
                <w:rFonts w:eastAsia="SimSun"/>
                <w:sz w:val="22"/>
              </w:rPr>
              <w:t>MMF30</w:t>
            </w:r>
          </w:p>
        </w:tc>
        <w:tc>
          <w:tcPr>
            <w:tcW w:w="444" w:type="pct"/>
            <w:tcBorders>
              <w:left w:val="single" w:sz="4" w:space="0" w:color="00000A"/>
            </w:tcBorders>
            <w:shd w:val="clear" w:color="auto" w:fill="auto"/>
            <w:vAlign w:val="center"/>
          </w:tcPr>
          <w:p w14:paraId="0523CFDD" w14:textId="77777777" w:rsidR="00124A26" w:rsidRPr="00470E23" w:rsidRDefault="00124A26" w:rsidP="002D3EBF">
            <w:pPr>
              <w:ind w:firstLine="0"/>
              <w:rPr>
                <w:rFonts w:eastAsia="SimSun"/>
                <w:sz w:val="22"/>
              </w:rPr>
            </w:pPr>
            <w:r w:rsidRPr="00470E23">
              <w:rPr>
                <w:rFonts w:eastAsia="SimSun"/>
                <w:sz w:val="22"/>
              </w:rPr>
              <w:t>5.3.1.1</w:t>
            </w:r>
          </w:p>
        </w:tc>
        <w:tc>
          <w:tcPr>
            <w:tcW w:w="404" w:type="pct"/>
            <w:shd w:val="clear" w:color="auto" w:fill="auto"/>
            <w:vAlign w:val="center"/>
          </w:tcPr>
          <w:p w14:paraId="49EA110D" w14:textId="77777777" w:rsidR="00124A26" w:rsidRPr="00470E23" w:rsidRDefault="00124A26" w:rsidP="002D3EBF">
            <w:pPr>
              <w:ind w:firstLine="0"/>
              <w:rPr>
                <w:rFonts w:eastAsia="SimSun"/>
                <w:sz w:val="22"/>
              </w:rPr>
            </w:pPr>
            <w:r w:rsidRPr="00470E23">
              <w:rPr>
                <w:rFonts w:eastAsia="SimSun"/>
                <w:sz w:val="22"/>
              </w:rPr>
              <w:t>5.3.1.10</w:t>
            </w:r>
          </w:p>
        </w:tc>
        <w:tc>
          <w:tcPr>
            <w:tcW w:w="466" w:type="pct"/>
            <w:shd w:val="clear" w:color="auto" w:fill="auto"/>
            <w:vAlign w:val="center"/>
          </w:tcPr>
          <w:p w14:paraId="339CE94E" w14:textId="77777777" w:rsidR="00124A26" w:rsidRPr="00470E23" w:rsidRDefault="00124A26" w:rsidP="002D3EBF">
            <w:pPr>
              <w:ind w:firstLine="0"/>
              <w:rPr>
                <w:rFonts w:eastAsia="SimSun"/>
                <w:sz w:val="22"/>
              </w:rPr>
            </w:pPr>
            <w:r w:rsidRPr="00470E23">
              <w:rPr>
                <w:rFonts w:eastAsia="SimSun"/>
                <w:sz w:val="22"/>
              </w:rPr>
              <w:t>-</w:t>
            </w:r>
          </w:p>
        </w:tc>
        <w:tc>
          <w:tcPr>
            <w:tcW w:w="444" w:type="pct"/>
            <w:shd w:val="clear" w:color="auto" w:fill="auto"/>
            <w:vAlign w:val="center"/>
          </w:tcPr>
          <w:p w14:paraId="25AF170D" w14:textId="77777777" w:rsidR="00124A26" w:rsidRPr="00470E23" w:rsidRDefault="00124A26" w:rsidP="002D3EBF">
            <w:pPr>
              <w:ind w:firstLine="0"/>
              <w:rPr>
                <w:rFonts w:eastAsia="SimSun"/>
                <w:sz w:val="22"/>
              </w:rPr>
            </w:pPr>
            <w:r w:rsidRPr="00470E23">
              <w:rPr>
                <w:rFonts w:eastAsia="SimSun"/>
                <w:sz w:val="22"/>
              </w:rPr>
              <w:t>5.3.1.4</w:t>
            </w:r>
          </w:p>
        </w:tc>
        <w:tc>
          <w:tcPr>
            <w:tcW w:w="334" w:type="pct"/>
            <w:shd w:val="clear" w:color="auto" w:fill="auto"/>
            <w:vAlign w:val="center"/>
          </w:tcPr>
          <w:p w14:paraId="49140CAA" w14:textId="77777777" w:rsidR="00124A26" w:rsidRPr="00470E23" w:rsidRDefault="00124A26" w:rsidP="002D3EBF">
            <w:pPr>
              <w:ind w:firstLine="0"/>
              <w:rPr>
                <w:rFonts w:eastAsia="SimSun"/>
                <w:sz w:val="22"/>
              </w:rPr>
            </w:pPr>
            <w:r w:rsidRPr="00470E23">
              <w:rPr>
                <w:rFonts w:eastAsia="SimSun"/>
                <w:sz w:val="22"/>
              </w:rPr>
              <w:t>-</w:t>
            </w:r>
          </w:p>
        </w:tc>
        <w:tc>
          <w:tcPr>
            <w:tcW w:w="334" w:type="pct"/>
            <w:shd w:val="clear" w:color="auto" w:fill="auto"/>
            <w:vAlign w:val="center"/>
          </w:tcPr>
          <w:p w14:paraId="21369F6A" w14:textId="77777777" w:rsidR="00124A26" w:rsidRPr="00470E23" w:rsidRDefault="00124A26" w:rsidP="002D3EBF">
            <w:pPr>
              <w:ind w:firstLine="0"/>
              <w:rPr>
                <w:rFonts w:eastAsia="SimSun"/>
                <w:sz w:val="22"/>
              </w:rPr>
            </w:pPr>
            <w:r w:rsidRPr="00470E23">
              <w:rPr>
                <w:rFonts w:eastAsia="SimSun"/>
                <w:sz w:val="22"/>
              </w:rPr>
              <w:t>-</w:t>
            </w:r>
          </w:p>
        </w:tc>
        <w:tc>
          <w:tcPr>
            <w:tcW w:w="334" w:type="pct"/>
            <w:shd w:val="clear" w:color="auto" w:fill="auto"/>
            <w:vAlign w:val="center"/>
          </w:tcPr>
          <w:p w14:paraId="478E6E30" w14:textId="77777777" w:rsidR="00124A26" w:rsidRPr="00470E23" w:rsidRDefault="00124A26" w:rsidP="002D3EBF">
            <w:pPr>
              <w:ind w:firstLine="0"/>
              <w:rPr>
                <w:rFonts w:eastAsia="SimSun"/>
                <w:sz w:val="22"/>
              </w:rPr>
            </w:pPr>
            <w:r w:rsidRPr="00470E23">
              <w:rPr>
                <w:rFonts w:eastAsia="SimSun"/>
                <w:sz w:val="22"/>
              </w:rPr>
              <w:t>-</w:t>
            </w:r>
          </w:p>
        </w:tc>
        <w:tc>
          <w:tcPr>
            <w:tcW w:w="425" w:type="pct"/>
            <w:shd w:val="clear" w:color="auto" w:fill="auto"/>
            <w:vAlign w:val="center"/>
          </w:tcPr>
          <w:p w14:paraId="3E26089F" w14:textId="77777777" w:rsidR="00124A26" w:rsidRPr="00470E23" w:rsidRDefault="00124A26" w:rsidP="002D3EBF">
            <w:pPr>
              <w:ind w:firstLine="0"/>
              <w:rPr>
                <w:rFonts w:eastAsia="SimSun"/>
                <w:sz w:val="22"/>
              </w:rPr>
            </w:pPr>
            <w:r w:rsidRPr="00470E23">
              <w:rPr>
                <w:rFonts w:eastAsia="SimSun"/>
                <w:sz w:val="22"/>
              </w:rPr>
              <w:t>-</w:t>
            </w:r>
          </w:p>
        </w:tc>
        <w:tc>
          <w:tcPr>
            <w:tcW w:w="422" w:type="pct"/>
            <w:vAlign w:val="center"/>
          </w:tcPr>
          <w:p w14:paraId="542585CA" w14:textId="77777777" w:rsidR="00124A26" w:rsidRPr="00470E23" w:rsidRDefault="00124A26" w:rsidP="002D3EBF">
            <w:pPr>
              <w:ind w:firstLine="0"/>
              <w:rPr>
                <w:rFonts w:eastAsia="SimSun"/>
                <w:sz w:val="22"/>
              </w:rPr>
            </w:pPr>
          </w:p>
        </w:tc>
      </w:tr>
      <w:tr w:rsidR="00124A26" w:rsidRPr="00470E23" w14:paraId="32CA043B" w14:textId="77777777" w:rsidTr="002D3EBF">
        <w:trPr>
          <w:cantSplit/>
          <w:trHeight w:val="1020"/>
        </w:trPr>
        <w:tc>
          <w:tcPr>
            <w:tcW w:w="248" w:type="pct"/>
            <w:vMerge/>
            <w:shd w:val="clear" w:color="auto" w:fill="D9D9D9"/>
            <w:vAlign w:val="center"/>
          </w:tcPr>
          <w:p w14:paraId="62A66DDB" w14:textId="77777777" w:rsidR="00124A26" w:rsidRPr="00470E23" w:rsidRDefault="00124A26" w:rsidP="002D3EBF">
            <w:pPr>
              <w:ind w:firstLine="0"/>
              <w:rPr>
                <w:rFonts w:eastAsia="SimSun"/>
                <w:sz w:val="22"/>
              </w:rPr>
            </w:pPr>
          </w:p>
        </w:tc>
        <w:tc>
          <w:tcPr>
            <w:tcW w:w="369" w:type="pct"/>
            <w:tcBorders>
              <w:bottom w:val="single" w:sz="4" w:space="0" w:color="00000A"/>
            </w:tcBorders>
            <w:shd w:val="clear" w:color="auto" w:fill="D9D9D9"/>
            <w:vAlign w:val="center"/>
          </w:tcPr>
          <w:p w14:paraId="25D15CD3" w14:textId="77777777" w:rsidR="00124A26" w:rsidRPr="00470E23" w:rsidRDefault="00124A26" w:rsidP="002D3EBF">
            <w:pPr>
              <w:ind w:firstLine="0"/>
              <w:rPr>
                <w:rFonts w:eastAsia="SimSun"/>
                <w:sz w:val="22"/>
              </w:rPr>
            </w:pPr>
            <w:r w:rsidRPr="00470E23">
              <w:rPr>
                <w:rFonts w:eastAsia="SimSun"/>
                <w:sz w:val="22"/>
              </w:rPr>
              <w:t>hATG</w:t>
            </w:r>
          </w:p>
        </w:tc>
        <w:tc>
          <w:tcPr>
            <w:tcW w:w="321" w:type="pct"/>
            <w:tcBorders>
              <w:bottom w:val="single" w:sz="4" w:space="0" w:color="00000A"/>
            </w:tcBorders>
            <w:shd w:val="clear" w:color="auto" w:fill="D9D9D9"/>
            <w:vAlign w:val="center"/>
          </w:tcPr>
          <w:p w14:paraId="6BE2E490" w14:textId="77777777" w:rsidR="00124A26" w:rsidRPr="00470E23" w:rsidRDefault="00124A26" w:rsidP="002D3EBF">
            <w:pPr>
              <w:ind w:firstLine="0"/>
              <w:rPr>
                <w:rFonts w:eastAsia="SimSun"/>
                <w:sz w:val="22"/>
              </w:rPr>
            </w:pPr>
            <w:r w:rsidRPr="00470E23">
              <w:rPr>
                <w:rFonts w:eastAsia="SimSun"/>
                <w:sz w:val="22"/>
              </w:rPr>
              <w:t>CSA</w:t>
            </w:r>
          </w:p>
        </w:tc>
        <w:tc>
          <w:tcPr>
            <w:tcW w:w="455" w:type="pct"/>
            <w:shd w:val="clear" w:color="auto" w:fill="D9D9D9"/>
            <w:vAlign w:val="center"/>
          </w:tcPr>
          <w:p w14:paraId="7A676750" w14:textId="77777777" w:rsidR="00124A26" w:rsidRPr="00470E23" w:rsidRDefault="00124A26" w:rsidP="002D3EBF">
            <w:pPr>
              <w:ind w:firstLine="0"/>
              <w:rPr>
                <w:rFonts w:eastAsia="SimSun"/>
                <w:sz w:val="22"/>
              </w:rPr>
            </w:pPr>
            <w:r w:rsidRPr="00470E23">
              <w:rPr>
                <w:rFonts w:eastAsia="SimSun"/>
                <w:sz w:val="22"/>
              </w:rPr>
              <w:t>MMF45</w:t>
            </w:r>
          </w:p>
        </w:tc>
        <w:tc>
          <w:tcPr>
            <w:tcW w:w="444" w:type="pct"/>
            <w:tcBorders>
              <w:left w:val="single" w:sz="4" w:space="0" w:color="00000A"/>
            </w:tcBorders>
            <w:shd w:val="clear" w:color="auto" w:fill="auto"/>
            <w:vAlign w:val="center"/>
          </w:tcPr>
          <w:p w14:paraId="6BF363C4" w14:textId="77777777" w:rsidR="00124A26" w:rsidRPr="00470E23" w:rsidRDefault="00124A26" w:rsidP="002D3EBF">
            <w:pPr>
              <w:ind w:firstLine="0"/>
              <w:rPr>
                <w:rFonts w:eastAsia="SimSun"/>
                <w:sz w:val="22"/>
              </w:rPr>
            </w:pPr>
            <w:r w:rsidRPr="00470E23">
              <w:rPr>
                <w:rFonts w:eastAsia="SimSun"/>
                <w:sz w:val="22"/>
              </w:rPr>
              <w:t>-</w:t>
            </w:r>
          </w:p>
        </w:tc>
        <w:tc>
          <w:tcPr>
            <w:tcW w:w="404" w:type="pct"/>
            <w:shd w:val="clear" w:color="auto" w:fill="auto"/>
            <w:vAlign w:val="center"/>
          </w:tcPr>
          <w:p w14:paraId="73475235" w14:textId="77777777" w:rsidR="00124A26" w:rsidRPr="00470E23" w:rsidRDefault="00124A26" w:rsidP="002D3EBF">
            <w:pPr>
              <w:ind w:firstLine="0"/>
              <w:rPr>
                <w:rFonts w:eastAsia="SimSun"/>
                <w:sz w:val="22"/>
              </w:rPr>
            </w:pPr>
            <w:r w:rsidRPr="00470E23">
              <w:rPr>
                <w:rFonts w:eastAsia="SimSun"/>
                <w:sz w:val="22"/>
              </w:rPr>
              <w:t>-</w:t>
            </w:r>
          </w:p>
        </w:tc>
        <w:tc>
          <w:tcPr>
            <w:tcW w:w="466" w:type="pct"/>
            <w:shd w:val="clear" w:color="auto" w:fill="auto"/>
            <w:vAlign w:val="center"/>
          </w:tcPr>
          <w:p w14:paraId="1229ACC6" w14:textId="77777777" w:rsidR="00124A26" w:rsidRPr="00470E23" w:rsidRDefault="00124A26" w:rsidP="002D3EBF">
            <w:pPr>
              <w:ind w:firstLine="0"/>
              <w:rPr>
                <w:rFonts w:eastAsia="SimSun"/>
                <w:sz w:val="22"/>
              </w:rPr>
            </w:pPr>
            <w:r w:rsidRPr="00470E23">
              <w:rPr>
                <w:rFonts w:eastAsia="SimSun"/>
                <w:sz w:val="22"/>
              </w:rPr>
              <w:t>-</w:t>
            </w:r>
          </w:p>
        </w:tc>
        <w:tc>
          <w:tcPr>
            <w:tcW w:w="444" w:type="pct"/>
            <w:shd w:val="clear" w:color="auto" w:fill="auto"/>
            <w:vAlign w:val="center"/>
          </w:tcPr>
          <w:p w14:paraId="63D5E299" w14:textId="77777777" w:rsidR="00124A26" w:rsidRPr="00470E23" w:rsidRDefault="00124A26" w:rsidP="002D3EBF">
            <w:pPr>
              <w:ind w:firstLine="0"/>
              <w:rPr>
                <w:rFonts w:eastAsia="SimSun"/>
                <w:sz w:val="22"/>
              </w:rPr>
            </w:pPr>
            <w:r w:rsidRPr="00470E23">
              <w:rPr>
                <w:rFonts w:eastAsia="SimSun"/>
                <w:sz w:val="22"/>
              </w:rPr>
              <w:t>5.3.1.3</w:t>
            </w:r>
          </w:p>
        </w:tc>
        <w:tc>
          <w:tcPr>
            <w:tcW w:w="334" w:type="pct"/>
            <w:shd w:val="clear" w:color="auto" w:fill="auto"/>
            <w:vAlign w:val="center"/>
          </w:tcPr>
          <w:p w14:paraId="1F62EA0A" w14:textId="77777777" w:rsidR="00124A26" w:rsidRPr="00470E23" w:rsidRDefault="00124A26" w:rsidP="002D3EBF">
            <w:pPr>
              <w:ind w:firstLine="0"/>
              <w:rPr>
                <w:rFonts w:eastAsia="SimSun"/>
                <w:sz w:val="22"/>
              </w:rPr>
            </w:pPr>
            <w:r w:rsidRPr="00470E23">
              <w:rPr>
                <w:rFonts w:eastAsia="SimSun"/>
                <w:sz w:val="22"/>
              </w:rPr>
              <w:t>-</w:t>
            </w:r>
          </w:p>
        </w:tc>
        <w:tc>
          <w:tcPr>
            <w:tcW w:w="334" w:type="pct"/>
            <w:shd w:val="clear" w:color="auto" w:fill="auto"/>
            <w:vAlign w:val="center"/>
          </w:tcPr>
          <w:p w14:paraId="30B94F09" w14:textId="77777777" w:rsidR="00124A26" w:rsidRPr="00470E23" w:rsidRDefault="00124A26" w:rsidP="002D3EBF">
            <w:pPr>
              <w:ind w:firstLine="0"/>
              <w:rPr>
                <w:rFonts w:eastAsia="SimSun"/>
                <w:sz w:val="22"/>
              </w:rPr>
            </w:pPr>
            <w:r w:rsidRPr="00470E23">
              <w:rPr>
                <w:rFonts w:eastAsia="SimSun"/>
                <w:sz w:val="22"/>
              </w:rPr>
              <w:t>-</w:t>
            </w:r>
          </w:p>
        </w:tc>
        <w:tc>
          <w:tcPr>
            <w:tcW w:w="334" w:type="pct"/>
            <w:shd w:val="clear" w:color="auto" w:fill="auto"/>
            <w:vAlign w:val="center"/>
          </w:tcPr>
          <w:p w14:paraId="5019D819" w14:textId="77777777" w:rsidR="00124A26" w:rsidRPr="00470E23" w:rsidRDefault="00124A26" w:rsidP="002D3EBF">
            <w:pPr>
              <w:ind w:firstLine="0"/>
              <w:rPr>
                <w:rFonts w:eastAsia="SimSun"/>
                <w:sz w:val="22"/>
              </w:rPr>
            </w:pPr>
            <w:r w:rsidRPr="00470E23">
              <w:rPr>
                <w:rFonts w:eastAsia="SimSun"/>
                <w:sz w:val="22"/>
              </w:rPr>
              <w:t>-</w:t>
            </w:r>
          </w:p>
        </w:tc>
        <w:tc>
          <w:tcPr>
            <w:tcW w:w="425" w:type="pct"/>
            <w:shd w:val="clear" w:color="auto" w:fill="auto"/>
            <w:vAlign w:val="center"/>
          </w:tcPr>
          <w:p w14:paraId="0A840A08" w14:textId="77777777" w:rsidR="00124A26" w:rsidRPr="00470E23" w:rsidRDefault="00124A26" w:rsidP="002D3EBF">
            <w:pPr>
              <w:ind w:firstLine="0"/>
              <w:rPr>
                <w:rFonts w:eastAsia="SimSun"/>
                <w:sz w:val="22"/>
              </w:rPr>
            </w:pPr>
            <w:r w:rsidRPr="00470E23">
              <w:rPr>
                <w:rFonts w:eastAsia="SimSun"/>
                <w:sz w:val="22"/>
              </w:rPr>
              <w:t>-</w:t>
            </w:r>
          </w:p>
        </w:tc>
        <w:tc>
          <w:tcPr>
            <w:tcW w:w="422" w:type="pct"/>
            <w:vAlign w:val="center"/>
          </w:tcPr>
          <w:p w14:paraId="06818B4F" w14:textId="77777777" w:rsidR="00124A26" w:rsidRPr="00470E23" w:rsidRDefault="00124A26" w:rsidP="002D3EBF">
            <w:pPr>
              <w:ind w:firstLine="0"/>
              <w:rPr>
                <w:rFonts w:eastAsia="SimSun"/>
                <w:sz w:val="22"/>
              </w:rPr>
            </w:pPr>
          </w:p>
        </w:tc>
      </w:tr>
      <w:tr w:rsidR="00124A26" w:rsidRPr="00470E23" w14:paraId="7BB5D923" w14:textId="77777777" w:rsidTr="002D3EBF">
        <w:trPr>
          <w:cantSplit/>
          <w:trHeight w:val="1020"/>
        </w:trPr>
        <w:tc>
          <w:tcPr>
            <w:tcW w:w="248" w:type="pct"/>
            <w:vMerge/>
            <w:shd w:val="clear" w:color="auto" w:fill="D9D9D9"/>
            <w:vAlign w:val="center"/>
          </w:tcPr>
          <w:p w14:paraId="0B111D8F" w14:textId="77777777" w:rsidR="00124A26" w:rsidRPr="00470E23" w:rsidRDefault="00124A26" w:rsidP="002D3EBF">
            <w:pPr>
              <w:ind w:firstLine="0"/>
              <w:rPr>
                <w:rFonts w:eastAsia="SimSun"/>
                <w:sz w:val="22"/>
              </w:rPr>
            </w:pPr>
          </w:p>
        </w:tc>
        <w:tc>
          <w:tcPr>
            <w:tcW w:w="369" w:type="pct"/>
            <w:tcBorders>
              <w:top w:val="single" w:sz="4" w:space="0" w:color="00000A"/>
              <w:bottom w:val="single" w:sz="4" w:space="0" w:color="00000A"/>
            </w:tcBorders>
            <w:shd w:val="clear" w:color="auto" w:fill="D9D9D9"/>
            <w:vAlign w:val="center"/>
          </w:tcPr>
          <w:p w14:paraId="2AA7AD6C" w14:textId="77777777" w:rsidR="00124A26" w:rsidRPr="00470E23" w:rsidRDefault="00124A26" w:rsidP="002D3EBF">
            <w:pPr>
              <w:ind w:firstLine="0"/>
              <w:rPr>
                <w:rFonts w:eastAsia="SimSun"/>
                <w:sz w:val="22"/>
              </w:rPr>
            </w:pPr>
            <w:r w:rsidRPr="00470E23">
              <w:rPr>
                <w:rFonts w:eastAsia="SimSun"/>
                <w:sz w:val="22"/>
              </w:rPr>
              <w:t>-</w:t>
            </w:r>
          </w:p>
        </w:tc>
        <w:tc>
          <w:tcPr>
            <w:tcW w:w="321" w:type="pct"/>
            <w:tcBorders>
              <w:top w:val="single" w:sz="4" w:space="0" w:color="00000A"/>
              <w:bottom w:val="single" w:sz="4" w:space="0" w:color="00000A"/>
            </w:tcBorders>
            <w:shd w:val="clear" w:color="auto" w:fill="D9D9D9"/>
            <w:vAlign w:val="center"/>
          </w:tcPr>
          <w:p w14:paraId="7DB4E418" w14:textId="77777777" w:rsidR="00124A26" w:rsidRPr="00470E23" w:rsidRDefault="00124A26" w:rsidP="002D3EBF">
            <w:pPr>
              <w:ind w:firstLine="0"/>
              <w:rPr>
                <w:rFonts w:eastAsia="SimSun"/>
                <w:sz w:val="22"/>
              </w:rPr>
            </w:pPr>
            <w:r w:rsidRPr="00470E23">
              <w:rPr>
                <w:rFonts w:eastAsia="SimSun"/>
                <w:sz w:val="22"/>
              </w:rPr>
              <w:t>CSA</w:t>
            </w:r>
          </w:p>
        </w:tc>
        <w:tc>
          <w:tcPr>
            <w:tcW w:w="455" w:type="pct"/>
            <w:shd w:val="clear" w:color="auto" w:fill="D9D9D9"/>
            <w:vAlign w:val="center"/>
          </w:tcPr>
          <w:p w14:paraId="1F9F6116" w14:textId="77777777" w:rsidR="00124A26" w:rsidRPr="00470E23" w:rsidRDefault="00124A26" w:rsidP="002D3EBF">
            <w:pPr>
              <w:ind w:firstLine="0"/>
              <w:rPr>
                <w:rFonts w:eastAsia="SimSun"/>
                <w:sz w:val="22"/>
              </w:rPr>
            </w:pPr>
            <w:r w:rsidRPr="00470E23">
              <w:rPr>
                <w:rFonts w:eastAsia="SimSun"/>
                <w:sz w:val="22"/>
              </w:rPr>
              <w:t>MMF45</w:t>
            </w:r>
          </w:p>
        </w:tc>
        <w:tc>
          <w:tcPr>
            <w:tcW w:w="444" w:type="pct"/>
            <w:tcBorders>
              <w:left w:val="single" w:sz="4" w:space="0" w:color="00000A"/>
            </w:tcBorders>
            <w:shd w:val="clear" w:color="auto" w:fill="auto"/>
            <w:vAlign w:val="center"/>
          </w:tcPr>
          <w:p w14:paraId="405C3FEA" w14:textId="77777777" w:rsidR="00124A26" w:rsidRPr="00470E23" w:rsidRDefault="00124A26" w:rsidP="002D3EBF">
            <w:pPr>
              <w:ind w:firstLine="0"/>
              <w:rPr>
                <w:rFonts w:eastAsia="SimSun"/>
                <w:sz w:val="22"/>
              </w:rPr>
            </w:pPr>
            <w:r w:rsidRPr="00470E23">
              <w:rPr>
                <w:rFonts w:eastAsia="SimSun"/>
                <w:sz w:val="22"/>
              </w:rPr>
              <w:t>5.3.1.2</w:t>
            </w:r>
          </w:p>
        </w:tc>
        <w:tc>
          <w:tcPr>
            <w:tcW w:w="404" w:type="pct"/>
            <w:shd w:val="clear" w:color="auto" w:fill="auto"/>
            <w:vAlign w:val="center"/>
          </w:tcPr>
          <w:p w14:paraId="2E0CD351" w14:textId="77777777" w:rsidR="00124A26" w:rsidRPr="00470E23" w:rsidRDefault="00124A26" w:rsidP="002D3EBF">
            <w:pPr>
              <w:ind w:firstLine="0"/>
              <w:rPr>
                <w:rFonts w:eastAsia="SimSun"/>
                <w:sz w:val="22"/>
              </w:rPr>
            </w:pPr>
            <w:r w:rsidRPr="00470E23">
              <w:rPr>
                <w:rFonts w:eastAsia="SimSun"/>
                <w:sz w:val="22"/>
              </w:rPr>
              <w:t>5.3.1.11</w:t>
            </w:r>
          </w:p>
        </w:tc>
        <w:tc>
          <w:tcPr>
            <w:tcW w:w="466" w:type="pct"/>
            <w:shd w:val="clear" w:color="auto" w:fill="auto"/>
            <w:vAlign w:val="center"/>
          </w:tcPr>
          <w:p w14:paraId="3D13A610" w14:textId="77777777" w:rsidR="00124A26" w:rsidRPr="00470E23" w:rsidRDefault="00124A26" w:rsidP="002D3EBF">
            <w:pPr>
              <w:ind w:firstLine="0"/>
              <w:rPr>
                <w:rFonts w:eastAsia="SimSun"/>
                <w:sz w:val="22"/>
              </w:rPr>
            </w:pPr>
            <w:r w:rsidRPr="00470E23">
              <w:rPr>
                <w:rFonts w:eastAsia="SimSun"/>
                <w:sz w:val="22"/>
              </w:rPr>
              <w:t>5.3.1.12</w:t>
            </w:r>
          </w:p>
        </w:tc>
        <w:tc>
          <w:tcPr>
            <w:tcW w:w="444" w:type="pct"/>
            <w:shd w:val="clear" w:color="auto" w:fill="auto"/>
            <w:vAlign w:val="center"/>
          </w:tcPr>
          <w:p w14:paraId="35D69346" w14:textId="77777777" w:rsidR="00124A26" w:rsidRPr="00470E23" w:rsidRDefault="00124A26" w:rsidP="002D3EBF">
            <w:pPr>
              <w:ind w:firstLine="0"/>
              <w:rPr>
                <w:rFonts w:eastAsia="SimSun"/>
                <w:sz w:val="22"/>
              </w:rPr>
            </w:pPr>
            <w:r w:rsidRPr="00470E23">
              <w:rPr>
                <w:rFonts w:eastAsia="SimSun"/>
                <w:sz w:val="22"/>
              </w:rPr>
              <w:t>5.3.1.5</w:t>
            </w:r>
          </w:p>
        </w:tc>
        <w:tc>
          <w:tcPr>
            <w:tcW w:w="334" w:type="pct"/>
            <w:shd w:val="clear" w:color="auto" w:fill="auto"/>
            <w:vAlign w:val="center"/>
          </w:tcPr>
          <w:p w14:paraId="03DCA7A5" w14:textId="77777777" w:rsidR="00124A26" w:rsidRPr="00470E23" w:rsidRDefault="00124A26" w:rsidP="002D3EBF">
            <w:pPr>
              <w:ind w:firstLine="0"/>
              <w:rPr>
                <w:rFonts w:eastAsia="SimSun"/>
                <w:sz w:val="22"/>
              </w:rPr>
            </w:pPr>
          </w:p>
        </w:tc>
        <w:tc>
          <w:tcPr>
            <w:tcW w:w="334" w:type="pct"/>
            <w:shd w:val="clear" w:color="auto" w:fill="auto"/>
            <w:vAlign w:val="center"/>
          </w:tcPr>
          <w:p w14:paraId="431815CB" w14:textId="77777777" w:rsidR="00124A26" w:rsidRPr="00470E23" w:rsidRDefault="00124A26" w:rsidP="002D3EBF">
            <w:pPr>
              <w:ind w:firstLine="0"/>
              <w:rPr>
                <w:rFonts w:eastAsia="SimSun"/>
                <w:sz w:val="22"/>
              </w:rPr>
            </w:pPr>
          </w:p>
        </w:tc>
        <w:tc>
          <w:tcPr>
            <w:tcW w:w="334" w:type="pct"/>
            <w:shd w:val="clear" w:color="auto" w:fill="auto"/>
            <w:vAlign w:val="center"/>
          </w:tcPr>
          <w:p w14:paraId="0E08F713" w14:textId="77777777" w:rsidR="00124A26" w:rsidRPr="00470E23" w:rsidRDefault="00124A26" w:rsidP="002D3EBF">
            <w:pPr>
              <w:ind w:firstLine="0"/>
              <w:rPr>
                <w:rFonts w:eastAsia="SimSun"/>
                <w:sz w:val="22"/>
              </w:rPr>
            </w:pPr>
          </w:p>
        </w:tc>
        <w:tc>
          <w:tcPr>
            <w:tcW w:w="425" w:type="pct"/>
            <w:shd w:val="clear" w:color="auto" w:fill="auto"/>
            <w:vAlign w:val="center"/>
          </w:tcPr>
          <w:p w14:paraId="08FB3DB7" w14:textId="77777777" w:rsidR="00124A26" w:rsidRPr="00470E23" w:rsidRDefault="00124A26" w:rsidP="002D3EBF">
            <w:pPr>
              <w:ind w:firstLine="0"/>
              <w:rPr>
                <w:rFonts w:eastAsia="SimSun"/>
                <w:sz w:val="22"/>
              </w:rPr>
            </w:pPr>
          </w:p>
        </w:tc>
        <w:tc>
          <w:tcPr>
            <w:tcW w:w="422" w:type="pct"/>
            <w:vAlign w:val="center"/>
          </w:tcPr>
          <w:p w14:paraId="297B5698" w14:textId="77777777" w:rsidR="00124A26" w:rsidRPr="00470E23" w:rsidRDefault="00124A26" w:rsidP="002D3EBF">
            <w:pPr>
              <w:ind w:firstLine="0"/>
              <w:rPr>
                <w:rFonts w:eastAsia="SimSun"/>
                <w:sz w:val="22"/>
              </w:rPr>
            </w:pPr>
          </w:p>
        </w:tc>
      </w:tr>
      <w:tr w:rsidR="00124A26" w:rsidRPr="00470E23" w14:paraId="769BD68E" w14:textId="77777777" w:rsidTr="002D3EBF">
        <w:trPr>
          <w:cantSplit/>
          <w:trHeight w:val="1020"/>
        </w:trPr>
        <w:tc>
          <w:tcPr>
            <w:tcW w:w="248" w:type="pct"/>
            <w:vMerge/>
            <w:tcBorders>
              <w:bottom w:val="single" w:sz="4" w:space="0" w:color="00000A"/>
            </w:tcBorders>
            <w:shd w:val="clear" w:color="auto" w:fill="D9D9D9"/>
            <w:vAlign w:val="center"/>
          </w:tcPr>
          <w:p w14:paraId="0A57FE57" w14:textId="77777777" w:rsidR="00124A26" w:rsidRPr="00470E23" w:rsidRDefault="00124A26" w:rsidP="002D3EBF">
            <w:pPr>
              <w:ind w:firstLine="0"/>
              <w:rPr>
                <w:rFonts w:eastAsia="SimSun"/>
                <w:sz w:val="22"/>
              </w:rPr>
            </w:pPr>
          </w:p>
        </w:tc>
        <w:tc>
          <w:tcPr>
            <w:tcW w:w="369" w:type="pct"/>
            <w:tcBorders>
              <w:top w:val="single" w:sz="4" w:space="0" w:color="00000A"/>
            </w:tcBorders>
            <w:shd w:val="clear" w:color="auto" w:fill="D9D9D9"/>
            <w:vAlign w:val="center"/>
          </w:tcPr>
          <w:p w14:paraId="6CC5155C" w14:textId="77777777" w:rsidR="00124A26" w:rsidRPr="00470E23" w:rsidRDefault="00124A26" w:rsidP="002D3EBF">
            <w:pPr>
              <w:ind w:firstLine="0"/>
              <w:rPr>
                <w:rFonts w:eastAsia="SimSun"/>
                <w:sz w:val="22"/>
              </w:rPr>
            </w:pPr>
            <w:r w:rsidRPr="00470E23">
              <w:rPr>
                <w:rFonts w:eastAsia="SimSun"/>
                <w:sz w:val="22"/>
              </w:rPr>
              <w:t>-</w:t>
            </w:r>
          </w:p>
        </w:tc>
        <w:tc>
          <w:tcPr>
            <w:tcW w:w="321" w:type="pct"/>
            <w:tcBorders>
              <w:top w:val="single" w:sz="4" w:space="0" w:color="00000A"/>
            </w:tcBorders>
            <w:shd w:val="clear" w:color="auto" w:fill="D9D9D9"/>
            <w:vAlign w:val="center"/>
          </w:tcPr>
          <w:p w14:paraId="5FD16EBE" w14:textId="77777777" w:rsidR="00124A26" w:rsidRPr="00470E23" w:rsidRDefault="00124A26" w:rsidP="002D3EBF">
            <w:pPr>
              <w:ind w:firstLine="0"/>
              <w:rPr>
                <w:rFonts w:eastAsia="SimSun"/>
                <w:sz w:val="22"/>
              </w:rPr>
            </w:pPr>
            <w:r w:rsidRPr="00470E23">
              <w:rPr>
                <w:rFonts w:eastAsia="SimSun"/>
                <w:sz w:val="22"/>
              </w:rPr>
              <w:t>Tx</w:t>
            </w:r>
          </w:p>
        </w:tc>
        <w:tc>
          <w:tcPr>
            <w:tcW w:w="455" w:type="pct"/>
            <w:shd w:val="clear" w:color="auto" w:fill="D9D9D9"/>
            <w:vAlign w:val="center"/>
          </w:tcPr>
          <w:p w14:paraId="009266D7" w14:textId="77777777" w:rsidR="00124A26" w:rsidRPr="00470E23" w:rsidRDefault="00124A26" w:rsidP="002D3EBF">
            <w:pPr>
              <w:ind w:firstLine="0"/>
              <w:rPr>
                <w:rFonts w:eastAsia="SimSun"/>
                <w:sz w:val="22"/>
              </w:rPr>
            </w:pPr>
            <w:r w:rsidRPr="00470E23">
              <w:rPr>
                <w:rFonts w:eastAsia="SimSun"/>
                <w:sz w:val="22"/>
              </w:rPr>
              <w:t>MMF45</w:t>
            </w:r>
          </w:p>
        </w:tc>
        <w:tc>
          <w:tcPr>
            <w:tcW w:w="444" w:type="pct"/>
            <w:tcBorders>
              <w:left w:val="single" w:sz="4" w:space="0" w:color="00000A"/>
            </w:tcBorders>
            <w:shd w:val="clear" w:color="auto" w:fill="auto"/>
            <w:vAlign w:val="center"/>
          </w:tcPr>
          <w:p w14:paraId="0B7FE43B" w14:textId="77777777" w:rsidR="00124A26" w:rsidRPr="00470E23" w:rsidRDefault="00124A26" w:rsidP="002D3EBF">
            <w:pPr>
              <w:ind w:firstLine="0"/>
              <w:rPr>
                <w:rFonts w:eastAsia="SimSun"/>
                <w:sz w:val="22"/>
              </w:rPr>
            </w:pPr>
            <w:r w:rsidRPr="00470E23">
              <w:rPr>
                <w:rFonts w:eastAsia="SimSun"/>
                <w:sz w:val="22"/>
              </w:rPr>
              <w:t>-</w:t>
            </w:r>
          </w:p>
        </w:tc>
        <w:tc>
          <w:tcPr>
            <w:tcW w:w="404" w:type="pct"/>
            <w:shd w:val="clear" w:color="auto" w:fill="auto"/>
            <w:vAlign w:val="center"/>
          </w:tcPr>
          <w:p w14:paraId="44635FA9" w14:textId="77777777" w:rsidR="00124A26" w:rsidRPr="00470E23" w:rsidRDefault="00124A26" w:rsidP="002D3EBF">
            <w:pPr>
              <w:ind w:firstLine="0"/>
              <w:rPr>
                <w:rFonts w:eastAsia="SimSun"/>
                <w:sz w:val="22"/>
              </w:rPr>
            </w:pPr>
            <w:r w:rsidRPr="00470E23">
              <w:rPr>
                <w:rFonts w:eastAsia="SimSun"/>
                <w:sz w:val="22"/>
              </w:rPr>
              <w:t>-</w:t>
            </w:r>
          </w:p>
        </w:tc>
        <w:tc>
          <w:tcPr>
            <w:tcW w:w="466" w:type="pct"/>
            <w:shd w:val="clear" w:color="auto" w:fill="auto"/>
            <w:vAlign w:val="center"/>
          </w:tcPr>
          <w:p w14:paraId="3359AC87" w14:textId="77777777" w:rsidR="00124A26" w:rsidRPr="00470E23" w:rsidRDefault="00124A26" w:rsidP="002D3EBF">
            <w:pPr>
              <w:ind w:firstLine="0"/>
              <w:rPr>
                <w:rFonts w:eastAsia="SimSun"/>
                <w:sz w:val="22"/>
              </w:rPr>
            </w:pPr>
            <w:r w:rsidRPr="00470E23">
              <w:rPr>
                <w:rFonts w:eastAsia="SimSun"/>
                <w:sz w:val="22"/>
              </w:rPr>
              <w:t>-</w:t>
            </w:r>
          </w:p>
        </w:tc>
        <w:tc>
          <w:tcPr>
            <w:tcW w:w="444" w:type="pct"/>
            <w:shd w:val="clear" w:color="auto" w:fill="auto"/>
            <w:vAlign w:val="center"/>
          </w:tcPr>
          <w:p w14:paraId="123C75D6" w14:textId="77777777" w:rsidR="00124A26" w:rsidRPr="00470E23" w:rsidRDefault="00124A26" w:rsidP="002D3EBF">
            <w:pPr>
              <w:ind w:firstLine="0"/>
              <w:rPr>
                <w:rFonts w:eastAsia="SimSun"/>
                <w:sz w:val="22"/>
              </w:rPr>
            </w:pPr>
            <w:r w:rsidRPr="00470E23">
              <w:rPr>
                <w:rFonts w:eastAsia="SimSun"/>
                <w:sz w:val="22"/>
              </w:rPr>
              <w:t>5.3.1.6</w:t>
            </w:r>
          </w:p>
        </w:tc>
        <w:tc>
          <w:tcPr>
            <w:tcW w:w="334" w:type="pct"/>
            <w:shd w:val="clear" w:color="auto" w:fill="auto"/>
            <w:vAlign w:val="center"/>
          </w:tcPr>
          <w:p w14:paraId="34814E76" w14:textId="77777777" w:rsidR="00124A26" w:rsidRPr="00470E23" w:rsidRDefault="00124A26" w:rsidP="002D3EBF">
            <w:pPr>
              <w:ind w:firstLine="0"/>
              <w:rPr>
                <w:rFonts w:eastAsia="SimSun"/>
                <w:sz w:val="22"/>
              </w:rPr>
            </w:pPr>
            <w:r w:rsidRPr="00470E23">
              <w:rPr>
                <w:rFonts w:eastAsia="SimSun"/>
                <w:sz w:val="22"/>
              </w:rPr>
              <w:t>5.3.1.7</w:t>
            </w:r>
          </w:p>
        </w:tc>
        <w:tc>
          <w:tcPr>
            <w:tcW w:w="334" w:type="pct"/>
            <w:shd w:val="clear" w:color="auto" w:fill="auto"/>
            <w:vAlign w:val="center"/>
          </w:tcPr>
          <w:p w14:paraId="5FABD5CA" w14:textId="77777777" w:rsidR="00124A26" w:rsidRPr="00470E23" w:rsidRDefault="00124A26" w:rsidP="002D3EBF">
            <w:pPr>
              <w:ind w:firstLine="0"/>
              <w:rPr>
                <w:rFonts w:eastAsia="SimSun"/>
                <w:sz w:val="22"/>
              </w:rPr>
            </w:pPr>
            <w:r w:rsidRPr="00470E23">
              <w:rPr>
                <w:rFonts w:eastAsia="SimSun"/>
                <w:sz w:val="22"/>
              </w:rPr>
              <w:t>5.3.1.8</w:t>
            </w:r>
          </w:p>
        </w:tc>
        <w:tc>
          <w:tcPr>
            <w:tcW w:w="334" w:type="pct"/>
            <w:shd w:val="clear" w:color="auto" w:fill="auto"/>
            <w:vAlign w:val="center"/>
          </w:tcPr>
          <w:p w14:paraId="5E3586D0" w14:textId="77777777" w:rsidR="00124A26" w:rsidRPr="00470E23" w:rsidRDefault="00124A26" w:rsidP="002D3EBF">
            <w:pPr>
              <w:ind w:firstLine="0"/>
              <w:rPr>
                <w:rFonts w:eastAsia="SimSun"/>
                <w:sz w:val="22"/>
              </w:rPr>
            </w:pPr>
            <w:r w:rsidRPr="00470E23">
              <w:rPr>
                <w:rFonts w:eastAsia="SimSun"/>
                <w:sz w:val="22"/>
              </w:rPr>
              <w:t>5.3.1.9</w:t>
            </w:r>
          </w:p>
        </w:tc>
        <w:tc>
          <w:tcPr>
            <w:tcW w:w="425" w:type="pct"/>
            <w:shd w:val="clear" w:color="auto" w:fill="auto"/>
            <w:vAlign w:val="center"/>
          </w:tcPr>
          <w:p w14:paraId="4681D100" w14:textId="77777777" w:rsidR="00124A26" w:rsidRPr="00470E23" w:rsidRDefault="00124A26" w:rsidP="002D3EBF">
            <w:pPr>
              <w:ind w:firstLine="0"/>
              <w:rPr>
                <w:rFonts w:eastAsia="SimSun"/>
                <w:sz w:val="22"/>
              </w:rPr>
            </w:pPr>
            <w:r w:rsidRPr="00470E23">
              <w:rPr>
                <w:rFonts w:eastAsia="SimSun"/>
                <w:sz w:val="22"/>
              </w:rPr>
              <w:t>5.3.1.13</w:t>
            </w:r>
          </w:p>
        </w:tc>
        <w:tc>
          <w:tcPr>
            <w:tcW w:w="422" w:type="pct"/>
            <w:vAlign w:val="center"/>
          </w:tcPr>
          <w:p w14:paraId="7D3BB501" w14:textId="77777777" w:rsidR="00124A26" w:rsidRPr="00470E23" w:rsidRDefault="00124A26" w:rsidP="002D3EBF">
            <w:pPr>
              <w:ind w:firstLine="0"/>
              <w:rPr>
                <w:rFonts w:eastAsia="SimSun"/>
                <w:sz w:val="22"/>
              </w:rPr>
            </w:pPr>
            <w:r w:rsidRPr="00470E23">
              <w:rPr>
                <w:rFonts w:eastAsia="SimSun"/>
                <w:sz w:val="22"/>
              </w:rPr>
              <w:t>5.3.1.14</w:t>
            </w:r>
          </w:p>
        </w:tc>
      </w:tr>
    </w:tbl>
    <w:p w14:paraId="5382F4B4" w14:textId="77777777" w:rsidR="00124A26" w:rsidRPr="00C07B2E" w:rsidRDefault="00124A26" w:rsidP="00124A26">
      <w:pPr>
        <w:rPr>
          <w:rFonts w:eastAsia="SimSun"/>
        </w:rPr>
      </w:pPr>
    </w:p>
    <w:p w14:paraId="61F2859D" w14:textId="77777777" w:rsidR="00124A26" w:rsidRPr="00C07B2E" w:rsidRDefault="00124A26" w:rsidP="00124A26">
      <w:pPr>
        <w:rPr>
          <w:rFonts w:eastAsia="SimSun"/>
        </w:rPr>
        <w:sectPr w:rsidR="00124A26" w:rsidRPr="00C07B2E" w:rsidSect="00980822">
          <w:headerReference w:type="default" r:id="rId31"/>
          <w:footerReference w:type="default" r:id="rId32"/>
          <w:type w:val="continuous"/>
          <w:pgSz w:w="16839" w:h="11907" w:orient="landscape" w:code="9"/>
          <w:pgMar w:top="1134" w:right="850" w:bottom="1134" w:left="1701" w:header="709" w:footer="567" w:gutter="0"/>
          <w:cols w:space="708"/>
          <w:docGrid w:linePitch="360"/>
        </w:sectPr>
      </w:pPr>
    </w:p>
    <w:p w14:paraId="2FFCCB47" w14:textId="77777777" w:rsidR="00124A26" w:rsidRPr="00C07B2E" w:rsidRDefault="00124A26" w:rsidP="00124A26">
      <w:pPr>
        <w:rPr>
          <w:rFonts w:eastAsia="SimSun"/>
        </w:rPr>
      </w:pPr>
      <w:bookmarkStart w:id="262" w:name="_Toc44401226"/>
      <w:r w:rsidRPr="00EE51B1">
        <w:rPr>
          <w:rFonts w:eastAsia="SimSun"/>
        </w:rPr>
        <w:t>Таблица</w:t>
      </w:r>
      <w:r w:rsidRPr="00C07B2E">
        <w:rPr>
          <w:rFonts w:eastAsia="SimSun"/>
        </w:rPr>
        <w:t xml:space="preserve"> </w:t>
      </w:r>
      <w:r>
        <w:rPr>
          <w:rFonts w:eastAsia="SimSun"/>
        </w:rPr>
        <w:t>5.</w:t>
      </w:r>
      <w:r w:rsidRPr="00C07B2E">
        <w:rPr>
          <w:rFonts w:eastAsia="SimSun"/>
        </w:rPr>
        <w:t>3.1.1  – Flu150+Bu8+Thio / PT-Cy+CSA+MMF30</w:t>
      </w:r>
      <w:bookmarkEnd w:id="262"/>
    </w:p>
    <w:p w14:paraId="100F2435" w14:textId="77777777" w:rsidR="00124A26" w:rsidRPr="00C07B2E" w:rsidRDefault="00124A26" w:rsidP="00124A26">
      <w:pPr>
        <w:rPr>
          <w:rFonts w:eastAsia="SimSun"/>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124A26" w:rsidRPr="00AC3044" w14:paraId="7A3670A7" w14:textId="77777777" w:rsidTr="002D3EBF">
        <w:trPr>
          <w:cantSplit/>
          <w:trHeight w:val="20"/>
          <w:tblHeader/>
        </w:trPr>
        <w:tc>
          <w:tcPr>
            <w:tcW w:w="1135" w:type="dxa"/>
          </w:tcPr>
          <w:p w14:paraId="2FECCEAF" w14:textId="77777777" w:rsidR="00124A26" w:rsidRPr="006A5E21" w:rsidRDefault="00124A26" w:rsidP="002D3EBF">
            <w:pPr>
              <w:ind w:firstLine="0"/>
              <w:rPr>
                <w:rFonts w:eastAsia="SimSun"/>
              </w:rPr>
            </w:pPr>
          </w:p>
        </w:tc>
        <w:tc>
          <w:tcPr>
            <w:tcW w:w="1559" w:type="dxa"/>
          </w:tcPr>
          <w:p w14:paraId="2AC1E9B7" w14:textId="77777777" w:rsidR="00124A26" w:rsidRPr="00AC3044" w:rsidRDefault="00124A26" w:rsidP="002D3EBF">
            <w:pPr>
              <w:ind w:firstLine="0"/>
              <w:rPr>
                <w:rFonts w:eastAsia="SimSun"/>
              </w:rPr>
            </w:pPr>
            <w:r w:rsidRPr="00AC3044">
              <w:rPr>
                <w:rFonts w:eastAsia="SimSun"/>
              </w:rPr>
              <w:t>Препарат</w:t>
            </w:r>
          </w:p>
        </w:tc>
        <w:tc>
          <w:tcPr>
            <w:tcW w:w="1418" w:type="dxa"/>
          </w:tcPr>
          <w:p w14:paraId="6C2FD8A9" w14:textId="77777777" w:rsidR="00124A26" w:rsidRPr="00AC3044" w:rsidRDefault="00124A26" w:rsidP="002D3EBF">
            <w:pPr>
              <w:ind w:firstLine="0"/>
              <w:rPr>
                <w:rFonts w:eastAsia="SimSun"/>
              </w:rPr>
            </w:pPr>
            <w:r w:rsidRPr="00AC3044">
              <w:rPr>
                <w:rFonts w:eastAsia="SimSun"/>
              </w:rPr>
              <w:t>Суточная доза</w:t>
            </w:r>
          </w:p>
        </w:tc>
        <w:tc>
          <w:tcPr>
            <w:tcW w:w="1559" w:type="dxa"/>
          </w:tcPr>
          <w:p w14:paraId="0297BAAB" w14:textId="77777777" w:rsidR="00124A26" w:rsidRPr="00AC3044" w:rsidRDefault="00124A26" w:rsidP="002D3EBF">
            <w:pPr>
              <w:ind w:firstLine="0"/>
              <w:rPr>
                <w:rFonts w:eastAsia="SimSun"/>
              </w:rPr>
            </w:pPr>
            <w:r w:rsidRPr="00AC3044">
              <w:rPr>
                <w:rFonts w:eastAsia="SimSun"/>
              </w:rPr>
              <w:t>Курсовая доза</w:t>
            </w:r>
          </w:p>
        </w:tc>
        <w:tc>
          <w:tcPr>
            <w:tcW w:w="1559" w:type="dxa"/>
          </w:tcPr>
          <w:p w14:paraId="11E0DB8F" w14:textId="77777777" w:rsidR="00124A26" w:rsidRPr="00AC3044" w:rsidRDefault="00124A26" w:rsidP="002D3EBF">
            <w:pPr>
              <w:ind w:firstLine="0"/>
              <w:rPr>
                <w:rFonts w:eastAsia="SimSun"/>
              </w:rPr>
            </w:pPr>
            <w:r w:rsidRPr="00AC3044">
              <w:rPr>
                <w:rFonts w:eastAsia="SimSun"/>
              </w:rPr>
              <w:t>Дни введения</w:t>
            </w:r>
          </w:p>
        </w:tc>
        <w:tc>
          <w:tcPr>
            <w:tcW w:w="2410" w:type="dxa"/>
          </w:tcPr>
          <w:p w14:paraId="7A53C195"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0FE3634A" w14:textId="77777777" w:rsidTr="002D3EBF">
        <w:trPr>
          <w:cantSplit/>
          <w:trHeight w:val="20"/>
        </w:trPr>
        <w:tc>
          <w:tcPr>
            <w:tcW w:w="1135" w:type="dxa"/>
            <w:vMerge w:val="restart"/>
            <w:textDirection w:val="btLr"/>
          </w:tcPr>
          <w:p w14:paraId="158CBCDE" w14:textId="77777777" w:rsidR="00124A26" w:rsidRPr="00AC3044" w:rsidRDefault="00124A26" w:rsidP="002D3EBF">
            <w:pPr>
              <w:ind w:firstLine="0"/>
              <w:rPr>
                <w:rFonts w:eastAsia="SimSun"/>
              </w:rPr>
            </w:pPr>
            <w:r w:rsidRPr="00AC3044">
              <w:rPr>
                <w:rFonts w:eastAsia="SimSun"/>
              </w:rPr>
              <w:t>Кондиционирование</w:t>
            </w:r>
          </w:p>
        </w:tc>
        <w:tc>
          <w:tcPr>
            <w:tcW w:w="1559" w:type="dxa"/>
          </w:tcPr>
          <w:p w14:paraId="53365069" w14:textId="77777777" w:rsidR="00124A26" w:rsidRPr="00AC3044" w:rsidRDefault="00124A26" w:rsidP="002D3EBF">
            <w:pPr>
              <w:ind w:firstLine="0"/>
              <w:rPr>
                <w:rFonts w:eastAsia="SimSun"/>
              </w:rPr>
            </w:pPr>
            <w:r w:rsidRPr="00AC3044">
              <w:rPr>
                <w:rFonts w:eastAsia="SimSun"/>
              </w:rPr>
              <w:t xml:space="preserve">Флударабин </w:t>
            </w:r>
          </w:p>
        </w:tc>
        <w:tc>
          <w:tcPr>
            <w:tcW w:w="1418" w:type="dxa"/>
          </w:tcPr>
          <w:p w14:paraId="65B7BC16" w14:textId="77777777" w:rsidR="00124A26" w:rsidRPr="00AC3044" w:rsidRDefault="00124A26" w:rsidP="002D3EBF">
            <w:pPr>
              <w:ind w:firstLine="0"/>
              <w:rPr>
                <w:rFonts w:eastAsia="SimSun"/>
              </w:rPr>
            </w:pPr>
            <w:r w:rsidRPr="00AC3044">
              <w:rPr>
                <w:rFonts w:eastAsia="SimSun"/>
              </w:rPr>
              <w:t>50 мг/м</w:t>
            </w:r>
            <w:r w:rsidRPr="0074195F">
              <w:rPr>
                <w:rFonts w:eastAsia="SimSun"/>
                <w:vertAlign w:val="superscript"/>
              </w:rPr>
              <w:t>2</w:t>
            </w:r>
          </w:p>
        </w:tc>
        <w:tc>
          <w:tcPr>
            <w:tcW w:w="1559" w:type="dxa"/>
          </w:tcPr>
          <w:p w14:paraId="54B78011" w14:textId="77777777" w:rsidR="00124A26" w:rsidRPr="00AC3044" w:rsidRDefault="00124A26" w:rsidP="002D3EBF">
            <w:pPr>
              <w:ind w:firstLine="0"/>
              <w:rPr>
                <w:rFonts w:eastAsia="SimSun"/>
              </w:rPr>
            </w:pPr>
            <w:r w:rsidRPr="00AC3044">
              <w:rPr>
                <w:rFonts w:eastAsia="SimSun"/>
              </w:rPr>
              <w:t>150 мг/м</w:t>
            </w:r>
            <w:r w:rsidRPr="0074195F">
              <w:rPr>
                <w:rFonts w:eastAsia="SimSun"/>
                <w:vertAlign w:val="superscript"/>
              </w:rPr>
              <w:t>2</w:t>
            </w:r>
          </w:p>
        </w:tc>
        <w:tc>
          <w:tcPr>
            <w:tcW w:w="1559" w:type="dxa"/>
          </w:tcPr>
          <w:p w14:paraId="1EB8F17B" w14:textId="77777777" w:rsidR="00124A26" w:rsidRPr="00AC3044" w:rsidRDefault="00124A26" w:rsidP="002D3EBF">
            <w:pPr>
              <w:ind w:firstLine="0"/>
              <w:rPr>
                <w:rFonts w:eastAsia="SimSun"/>
              </w:rPr>
            </w:pPr>
            <w:r w:rsidRPr="00AC3044">
              <w:rPr>
                <w:rFonts w:eastAsia="SimSun"/>
              </w:rPr>
              <w:t>С –4 по –2 день</w:t>
            </w:r>
          </w:p>
        </w:tc>
        <w:tc>
          <w:tcPr>
            <w:tcW w:w="2410" w:type="dxa"/>
          </w:tcPr>
          <w:p w14:paraId="3814C557"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2E82395E" w14:textId="77777777" w:rsidTr="002D3EBF">
        <w:trPr>
          <w:cantSplit/>
          <w:trHeight w:val="642"/>
        </w:trPr>
        <w:tc>
          <w:tcPr>
            <w:tcW w:w="1135" w:type="dxa"/>
            <w:vMerge/>
            <w:textDirection w:val="btLr"/>
          </w:tcPr>
          <w:p w14:paraId="2164C8B4" w14:textId="77777777" w:rsidR="00124A26" w:rsidRPr="00AC3044" w:rsidRDefault="00124A26" w:rsidP="002D3EBF">
            <w:pPr>
              <w:ind w:firstLine="0"/>
              <w:rPr>
                <w:rFonts w:eastAsia="SimSun"/>
              </w:rPr>
            </w:pPr>
          </w:p>
        </w:tc>
        <w:tc>
          <w:tcPr>
            <w:tcW w:w="1559" w:type="dxa"/>
          </w:tcPr>
          <w:p w14:paraId="32746B6C" w14:textId="77777777" w:rsidR="00124A26" w:rsidRPr="00AC3044" w:rsidRDefault="00124A26" w:rsidP="002D3EBF">
            <w:pPr>
              <w:ind w:firstLine="0"/>
              <w:rPr>
                <w:rFonts w:eastAsia="SimSun"/>
              </w:rPr>
            </w:pPr>
            <w:r w:rsidRPr="00AC3044">
              <w:rPr>
                <w:rFonts w:eastAsia="SimSun"/>
              </w:rPr>
              <w:t>Бусульфан</w:t>
            </w:r>
          </w:p>
        </w:tc>
        <w:tc>
          <w:tcPr>
            <w:tcW w:w="1418" w:type="dxa"/>
          </w:tcPr>
          <w:p w14:paraId="3749D365" w14:textId="77777777" w:rsidR="00124A26" w:rsidRPr="00AC3044" w:rsidRDefault="00124A26" w:rsidP="002D3EBF">
            <w:pPr>
              <w:ind w:firstLine="0"/>
              <w:rPr>
                <w:rFonts w:eastAsia="SimSun"/>
              </w:rPr>
            </w:pPr>
            <w:r w:rsidRPr="00AC3044">
              <w:rPr>
                <w:rFonts w:eastAsia="SimSun"/>
              </w:rPr>
              <w:t>4 мг/кг</w:t>
            </w:r>
          </w:p>
        </w:tc>
        <w:tc>
          <w:tcPr>
            <w:tcW w:w="1559" w:type="dxa"/>
          </w:tcPr>
          <w:p w14:paraId="263F9645" w14:textId="77777777" w:rsidR="00124A26" w:rsidRPr="00AC3044" w:rsidRDefault="00124A26" w:rsidP="002D3EBF">
            <w:pPr>
              <w:ind w:firstLine="0"/>
              <w:rPr>
                <w:rFonts w:eastAsia="SimSun"/>
              </w:rPr>
            </w:pPr>
            <w:r w:rsidRPr="00AC3044">
              <w:rPr>
                <w:rFonts w:eastAsia="SimSun"/>
              </w:rPr>
              <w:t>8 мг/кг</w:t>
            </w:r>
          </w:p>
        </w:tc>
        <w:tc>
          <w:tcPr>
            <w:tcW w:w="1559" w:type="dxa"/>
          </w:tcPr>
          <w:p w14:paraId="7074A0F7" w14:textId="77777777" w:rsidR="00124A26" w:rsidRPr="00AC3044" w:rsidRDefault="00124A26" w:rsidP="002D3EBF">
            <w:pPr>
              <w:ind w:firstLine="0"/>
              <w:rPr>
                <w:rFonts w:eastAsia="SimSun"/>
              </w:rPr>
            </w:pPr>
            <w:r w:rsidRPr="00AC3044">
              <w:rPr>
                <w:rFonts w:eastAsia="SimSun"/>
              </w:rPr>
              <w:t>–3, –2 дни</w:t>
            </w:r>
          </w:p>
        </w:tc>
        <w:tc>
          <w:tcPr>
            <w:tcW w:w="2410" w:type="dxa"/>
          </w:tcPr>
          <w:p w14:paraId="45502402"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124A26" w:rsidRPr="00AC3044" w14:paraId="2B36EB88" w14:textId="77777777" w:rsidTr="002D3EBF">
        <w:trPr>
          <w:cantSplit/>
          <w:trHeight w:val="552"/>
        </w:trPr>
        <w:tc>
          <w:tcPr>
            <w:tcW w:w="1135" w:type="dxa"/>
            <w:vMerge/>
            <w:textDirection w:val="btLr"/>
          </w:tcPr>
          <w:p w14:paraId="54DFA06A" w14:textId="77777777" w:rsidR="00124A26" w:rsidRPr="00AC3044" w:rsidRDefault="00124A26" w:rsidP="002D3EBF">
            <w:pPr>
              <w:ind w:firstLine="0"/>
              <w:rPr>
                <w:rFonts w:eastAsia="SimSun"/>
              </w:rPr>
            </w:pPr>
          </w:p>
        </w:tc>
        <w:tc>
          <w:tcPr>
            <w:tcW w:w="1559" w:type="dxa"/>
          </w:tcPr>
          <w:p w14:paraId="2219F779" w14:textId="77777777" w:rsidR="00124A26" w:rsidRPr="00AC3044" w:rsidRDefault="00124A26" w:rsidP="002D3EBF">
            <w:pPr>
              <w:ind w:firstLine="0"/>
              <w:rPr>
                <w:rFonts w:eastAsia="SimSun"/>
              </w:rPr>
            </w:pPr>
            <w:r w:rsidRPr="00AC3044">
              <w:rPr>
                <w:rFonts w:eastAsia="SimSun"/>
              </w:rPr>
              <w:t>Тиотепа</w:t>
            </w:r>
          </w:p>
        </w:tc>
        <w:tc>
          <w:tcPr>
            <w:tcW w:w="1418" w:type="dxa"/>
          </w:tcPr>
          <w:p w14:paraId="5937A530" w14:textId="77777777" w:rsidR="00124A26" w:rsidRPr="00AC3044" w:rsidRDefault="00124A26" w:rsidP="002D3EBF">
            <w:pPr>
              <w:ind w:firstLine="0"/>
              <w:rPr>
                <w:rFonts w:eastAsia="SimSun"/>
              </w:rPr>
            </w:pPr>
            <w:r w:rsidRPr="00AC3044">
              <w:rPr>
                <w:rFonts w:eastAsia="SimSun"/>
              </w:rPr>
              <w:t>5 мг/кг</w:t>
            </w:r>
          </w:p>
        </w:tc>
        <w:tc>
          <w:tcPr>
            <w:tcW w:w="1559" w:type="dxa"/>
          </w:tcPr>
          <w:p w14:paraId="46C9002C" w14:textId="77777777" w:rsidR="00124A26" w:rsidRPr="00AC3044" w:rsidRDefault="00124A26" w:rsidP="002D3EBF">
            <w:pPr>
              <w:ind w:firstLine="0"/>
              <w:rPr>
                <w:rFonts w:eastAsia="SimSun"/>
              </w:rPr>
            </w:pPr>
            <w:r w:rsidRPr="00AC3044">
              <w:rPr>
                <w:rFonts w:eastAsia="SimSun"/>
              </w:rPr>
              <w:t>10 мг/кг</w:t>
            </w:r>
          </w:p>
        </w:tc>
        <w:tc>
          <w:tcPr>
            <w:tcW w:w="1559" w:type="dxa"/>
          </w:tcPr>
          <w:p w14:paraId="28187ABE" w14:textId="77777777" w:rsidR="00124A26" w:rsidRPr="00AC3044" w:rsidRDefault="00124A26" w:rsidP="002D3EBF">
            <w:pPr>
              <w:ind w:firstLine="0"/>
              <w:rPr>
                <w:rFonts w:eastAsia="SimSun"/>
              </w:rPr>
            </w:pPr>
            <w:r w:rsidRPr="00AC3044">
              <w:rPr>
                <w:rFonts w:eastAsia="SimSun"/>
              </w:rPr>
              <w:t>-6,-5 дни</w:t>
            </w:r>
          </w:p>
        </w:tc>
        <w:tc>
          <w:tcPr>
            <w:tcW w:w="2410" w:type="dxa"/>
          </w:tcPr>
          <w:p w14:paraId="4E298DEF" w14:textId="77777777" w:rsidR="00124A26" w:rsidRPr="00AC3044" w:rsidRDefault="00124A26" w:rsidP="002D3EBF">
            <w:pPr>
              <w:ind w:firstLine="0"/>
              <w:rPr>
                <w:rFonts w:eastAsia="SimSun"/>
              </w:rPr>
            </w:pPr>
            <w:r w:rsidRPr="00AC3044">
              <w:rPr>
                <w:rFonts w:eastAsia="SimSun"/>
              </w:rPr>
              <w:t>В/в, в течение 2 часов</w:t>
            </w:r>
          </w:p>
        </w:tc>
      </w:tr>
      <w:tr w:rsidR="00124A26" w:rsidRPr="00AC3044" w14:paraId="3B64CBE3" w14:textId="77777777" w:rsidTr="002D3EBF">
        <w:trPr>
          <w:cantSplit/>
          <w:trHeight w:val="1357"/>
        </w:trPr>
        <w:tc>
          <w:tcPr>
            <w:tcW w:w="1135" w:type="dxa"/>
            <w:vMerge w:val="restart"/>
            <w:textDirection w:val="btLr"/>
          </w:tcPr>
          <w:p w14:paraId="74F694D9" w14:textId="77777777" w:rsidR="00124A26" w:rsidRPr="00AC3044" w:rsidRDefault="00124A26" w:rsidP="002D3EBF">
            <w:pPr>
              <w:ind w:firstLine="0"/>
              <w:rPr>
                <w:rFonts w:eastAsia="SimSun"/>
              </w:rPr>
            </w:pPr>
            <w:r w:rsidRPr="00AC3044">
              <w:rPr>
                <w:rFonts w:eastAsia="SimSun"/>
              </w:rPr>
              <w:t>Профилактика РТПХ</w:t>
            </w:r>
          </w:p>
        </w:tc>
        <w:tc>
          <w:tcPr>
            <w:tcW w:w="1559" w:type="dxa"/>
          </w:tcPr>
          <w:p w14:paraId="32B93DDF" w14:textId="77777777" w:rsidR="00124A26" w:rsidRPr="00AC3044" w:rsidRDefault="00124A26" w:rsidP="002D3EBF">
            <w:pPr>
              <w:ind w:firstLine="0"/>
              <w:rPr>
                <w:rFonts w:eastAsia="SimSun"/>
              </w:rPr>
            </w:pPr>
            <w:r w:rsidRPr="00AC3044">
              <w:rPr>
                <w:rFonts w:eastAsia="SimSun"/>
              </w:rPr>
              <w:t>Циклоспорин</w:t>
            </w:r>
          </w:p>
        </w:tc>
        <w:tc>
          <w:tcPr>
            <w:tcW w:w="1418" w:type="dxa"/>
          </w:tcPr>
          <w:p w14:paraId="0787635D" w14:textId="77777777" w:rsidR="00124A26" w:rsidRPr="00AC3044" w:rsidRDefault="00124A26" w:rsidP="002D3EBF">
            <w:pPr>
              <w:ind w:firstLine="0"/>
              <w:rPr>
                <w:rFonts w:eastAsia="SimSun"/>
              </w:rPr>
            </w:pPr>
            <w:r w:rsidRPr="00AC3044">
              <w:rPr>
                <w:rFonts w:eastAsia="SimSun"/>
              </w:rPr>
              <w:t>3 мг/кг</w:t>
            </w:r>
          </w:p>
        </w:tc>
        <w:tc>
          <w:tcPr>
            <w:tcW w:w="1559" w:type="dxa"/>
          </w:tcPr>
          <w:p w14:paraId="6FFBA7F8" w14:textId="77777777" w:rsidR="00124A26" w:rsidRPr="00AC3044" w:rsidRDefault="00124A26" w:rsidP="002D3EBF">
            <w:pPr>
              <w:ind w:firstLine="0"/>
              <w:rPr>
                <w:rFonts w:eastAsia="SimSun"/>
              </w:rPr>
            </w:pPr>
            <w:r w:rsidRPr="00AC3044">
              <w:rPr>
                <w:rFonts w:eastAsia="SimSun"/>
              </w:rPr>
              <w:t>–</w:t>
            </w:r>
          </w:p>
        </w:tc>
        <w:tc>
          <w:tcPr>
            <w:tcW w:w="1559" w:type="dxa"/>
          </w:tcPr>
          <w:p w14:paraId="2467D659" w14:textId="77777777" w:rsidR="00124A26" w:rsidRPr="00AC3044" w:rsidRDefault="00124A26" w:rsidP="002D3EBF">
            <w:pPr>
              <w:ind w:firstLine="0"/>
              <w:rPr>
                <w:rFonts w:eastAsia="SimSun"/>
              </w:rPr>
            </w:pPr>
            <w:r w:rsidRPr="00AC3044">
              <w:rPr>
                <w:rFonts w:eastAsia="SimSun"/>
              </w:rPr>
              <w:t>С +5 дня по +90 день затем постепенное снижение к +180 дню</w:t>
            </w:r>
          </w:p>
        </w:tc>
        <w:tc>
          <w:tcPr>
            <w:tcW w:w="2410" w:type="dxa"/>
          </w:tcPr>
          <w:p w14:paraId="3E96D48C" w14:textId="77777777" w:rsidR="00124A26" w:rsidRPr="00AC3044" w:rsidRDefault="00124A26"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124A26" w:rsidRPr="00AC3044" w14:paraId="3C68FF71" w14:textId="77777777" w:rsidTr="002D3EBF">
        <w:trPr>
          <w:cantSplit/>
          <w:trHeight w:val="20"/>
        </w:trPr>
        <w:tc>
          <w:tcPr>
            <w:tcW w:w="1135" w:type="dxa"/>
            <w:vMerge/>
            <w:textDirection w:val="btLr"/>
          </w:tcPr>
          <w:p w14:paraId="24EE92D1" w14:textId="77777777" w:rsidR="00124A26" w:rsidRPr="00AC3044" w:rsidRDefault="00124A26" w:rsidP="002D3EBF">
            <w:pPr>
              <w:ind w:firstLine="0"/>
              <w:rPr>
                <w:rFonts w:eastAsia="SimSun"/>
              </w:rPr>
            </w:pPr>
          </w:p>
        </w:tc>
        <w:tc>
          <w:tcPr>
            <w:tcW w:w="1559" w:type="dxa"/>
          </w:tcPr>
          <w:p w14:paraId="6F831D1C" w14:textId="77777777" w:rsidR="00124A26" w:rsidRPr="00AC3044" w:rsidRDefault="00124A26" w:rsidP="002D3EBF">
            <w:pPr>
              <w:ind w:firstLine="0"/>
              <w:rPr>
                <w:rFonts w:eastAsia="SimSun"/>
              </w:rPr>
            </w:pPr>
            <w:r w:rsidRPr="00AC3044">
              <w:rPr>
                <w:rFonts w:eastAsia="SimSun"/>
              </w:rPr>
              <w:t>Микофенолата мофетил</w:t>
            </w:r>
          </w:p>
        </w:tc>
        <w:tc>
          <w:tcPr>
            <w:tcW w:w="1418" w:type="dxa"/>
          </w:tcPr>
          <w:p w14:paraId="1400BC6D" w14:textId="77777777" w:rsidR="00124A26" w:rsidRPr="00AC3044" w:rsidRDefault="00124A26" w:rsidP="002D3EBF">
            <w:pPr>
              <w:ind w:firstLine="0"/>
              <w:rPr>
                <w:rFonts w:eastAsia="SimSun"/>
              </w:rPr>
            </w:pPr>
            <w:r w:rsidRPr="00AC3044">
              <w:rPr>
                <w:rFonts w:eastAsia="SimSun"/>
              </w:rPr>
              <w:t>30 мг/кг</w:t>
            </w:r>
          </w:p>
        </w:tc>
        <w:tc>
          <w:tcPr>
            <w:tcW w:w="1559" w:type="dxa"/>
          </w:tcPr>
          <w:p w14:paraId="7B4961CF" w14:textId="77777777" w:rsidR="00124A26" w:rsidRPr="00AC3044" w:rsidRDefault="00124A26" w:rsidP="002D3EBF">
            <w:pPr>
              <w:ind w:firstLine="0"/>
              <w:rPr>
                <w:rFonts w:eastAsia="SimSun"/>
              </w:rPr>
            </w:pPr>
            <w:r w:rsidRPr="00AC3044">
              <w:rPr>
                <w:rFonts w:eastAsia="SimSun"/>
              </w:rPr>
              <w:t>–</w:t>
            </w:r>
          </w:p>
        </w:tc>
        <w:tc>
          <w:tcPr>
            <w:tcW w:w="1559" w:type="dxa"/>
          </w:tcPr>
          <w:p w14:paraId="493A3597" w14:textId="77777777" w:rsidR="00124A26" w:rsidRPr="00AC3044" w:rsidRDefault="00124A26" w:rsidP="002D3EBF">
            <w:pPr>
              <w:ind w:firstLine="0"/>
              <w:rPr>
                <w:rFonts w:eastAsia="SimSun"/>
              </w:rPr>
            </w:pPr>
            <w:r w:rsidRPr="00AC3044">
              <w:rPr>
                <w:rFonts w:eastAsia="SimSun"/>
              </w:rPr>
              <w:t>С +5 по +90 день</w:t>
            </w:r>
          </w:p>
        </w:tc>
        <w:tc>
          <w:tcPr>
            <w:tcW w:w="2410" w:type="dxa"/>
          </w:tcPr>
          <w:p w14:paraId="5926B134"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124A26" w:rsidRPr="00AC3044" w14:paraId="29D953AD" w14:textId="77777777" w:rsidTr="002D3EBF">
        <w:trPr>
          <w:cantSplit/>
          <w:trHeight w:val="20"/>
        </w:trPr>
        <w:tc>
          <w:tcPr>
            <w:tcW w:w="1135" w:type="dxa"/>
            <w:vMerge/>
            <w:textDirection w:val="btLr"/>
          </w:tcPr>
          <w:p w14:paraId="231C6CF1" w14:textId="77777777" w:rsidR="00124A26" w:rsidRPr="00AC3044" w:rsidRDefault="00124A26" w:rsidP="002D3EBF">
            <w:pPr>
              <w:ind w:firstLine="0"/>
              <w:rPr>
                <w:rFonts w:eastAsia="SimSun"/>
              </w:rPr>
            </w:pPr>
          </w:p>
        </w:tc>
        <w:tc>
          <w:tcPr>
            <w:tcW w:w="1559" w:type="dxa"/>
          </w:tcPr>
          <w:p w14:paraId="148C19B1" w14:textId="77777777" w:rsidR="00124A26" w:rsidRPr="00AC3044" w:rsidRDefault="00124A26" w:rsidP="002D3EBF">
            <w:pPr>
              <w:ind w:firstLine="0"/>
              <w:rPr>
                <w:rFonts w:eastAsia="SimSun"/>
              </w:rPr>
            </w:pPr>
            <w:r w:rsidRPr="00AC3044">
              <w:rPr>
                <w:rFonts w:eastAsia="SimSun"/>
              </w:rPr>
              <w:t>Циклофосфамид</w:t>
            </w:r>
          </w:p>
        </w:tc>
        <w:tc>
          <w:tcPr>
            <w:tcW w:w="1418" w:type="dxa"/>
          </w:tcPr>
          <w:p w14:paraId="5DC2615B" w14:textId="77777777" w:rsidR="00124A26" w:rsidRPr="00AC3044" w:rsidRDefault="00124A26" w:rsidP="002D3EBF">
            <w:pPr>
              <w:ind w:firstLine="0"/>
              <w:rPr>
                <w:rFonts w:eastAsia="SimSun"/>
              </w:rPr>
            </w:pPr>
            <w:r w:rsidRPr="00AC3044">
              <w:rPr>
                <w:rFonts w:eastAsia="SimSun"/>
              </w:rPr>
              <w:t>50 мг/кг</w:t>
            </w:r>
          </w:p>
        </w:tc>
        <w:tc>
          <w:tcPr>
            <w:tcW w:w="1559" w:type="dxa"/>
          </w:tcPr>
          <w:p w14:paraId="051DD9E5" w14:textId="77777777" w:rsidR="00124A26" w:rsidRPr="00AC3044" w:rsidRDefault="00124A26" w:rsidP="002D3EBF">
            <w:pPr>
              <w:ind w:firstLine="0"/>
              <w:rPr>
                <w:rFonts w:eastAsia="SimSun"/>
              </w:rPr>
            </w:pPr>
            <w:r w:rsidRPr="00AC3044">
              <w:rPr>
                <w:rFonts w:eastAsia="SimSun"/>
              </w:rPr>
              <w:t>100 мг/кг</w:t>
            </w:r>
          </w:p>
        </w:tc>
        <w:tc>
          <w:tcPr>
            <w:tcW w:w="1559" w:type="dxa"/>
          </w:tcPr>
          <w:p w14:paraId="653CE701" w14:textId="77777777" w:rsidR="00124A26" w:rsidRPr="00AC3044" w:rsidRDefault="00124A26" w:rsidP="002D3EBF">
            <w:pPr>
              <w:ind w:firstLine="0"/>
              <w:rPr>
                <w:rFonts w:eastAsia="SimSun"/>
              </w:rPr>
            </w:pPr>
            <w:r w:rsidRPr="00AC3044">
              <w:rPr>
                <w:rFonts w:eastAsia="SimSun"/>
              </w:rPr>
              <w:t xml:space="preserve">+3,+4 дни </w:t>
            </w:r>
          </w:p>
        </w:tc>
        <w:tc>
          <w:tcPr>
            <w:tcW w:w="2410" w:type="dxa"/>
          </w:tcPr>
          <w:p w14:paraId="6C76EFC5" w14:textId="77777777" w:rsidR="00124A26" w:rsidRPr="00AC3044" w:rsidRDefault="00124A26" w:rsidP="002D3EBF">
            <w:pPr>
              <w:ind w:firstLine="0"/>
              <w:rPr>
                <w:rFonts w:eastAsia="SimSun"/>
              </w:rPr>
            </w:pPr>
            <w:r w:rsidRPr="00AC3044">
              <w:rPr>
                <w:rFonts w:eastAsia="SimSun"/>
              </w:rPr>
              <w:t>В/в, в течение 2 часов</w:t>
            </w:r>
          </w:p>
        </w:tc>
      </w:tr>
    </w:tbl>
    <w:p w14:paraId="116BD81C" w14:textId="77777777" w:rsidR="00124A26" w:rsidRDefault="00124A26" w:rsidP="00124A26">
      <w:pPr>
        <w:rPr>
          <w:rFonts w:eastAsia="SimSun"/>
        </w:rPr>
      </w:pPr>
      <w:bookmarkStart w:id="263" w:name="_Toc44401227"/>
    </w:p>
    <w:p w14:paraId="714E6FDA" w14:textId="77777777" w:rsidR="00124A26" w:rsidRPr="00C07B2E" w:rsidRDefault="00124A26" w:rsidP="00124A26">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3.1.2  – Flu150+Bu8+Thio / PT-Cy+CSA+MMF45</w:t>
      </w:r>
      <w:bookmarkEnd w:id="263"/>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124A26" w:rsidRPr="00AC3044" w14:paraId="45913CFC" w14:textId="77777777" w:rsidTr="002D3EBF">
        <w:trPr>
          <w:cantSplit/>
          <w:trHeight w:val="20"/>
          <w:tblHeader/>
        </w:trPr>
        <w:tc>
          <w:tcPr>
            <w:tcW w:w="1135" w:type="dxa"/>
          </w:tcPr>
          <w:p w14:paraId="6925FB8C" w14:textId="77777777" w:rsidR="00124A26" w:rsidRPr="006A5E21" w:rsidRDefault="00124A26" w:rsidP="002D3EBF">
            <w:pPr>
              <w:ind w:firstLine="0"/>
              <w:rPr>
                <w:rFonts w:eastAsia="SimSun"/>
              </w:rPr>
            </w:pPr>
          </w:p>
        </w:tc>
        <w:tc>
          <w:tcPr>
            <w:tcW w:w="1559" w:type="dxa"/>
            <w:vAlign w:val="center"/>
          </w:tcPr>
          <w:p w14:paraId="713025B7" w14:textId="77777777" w:rsidR="00124A26" w:rsidRPr="00AC3044" w:rsidRDefault="00124A26" w:rsidP="002D3EBF">
            <w:pPr>
              <w:ind w:firstLine="0"/>
              <w:rPr>
                <w:rFonts w:eastAsia="SimSun"/>
              </w:rPr>
            </w:pPr>
            <w:r w:rsidRPr="00AC3044">
              <w:rPr>
                <w:rFonts w:eastAsia="SimSun"/>
              </w:rPr>
              <w:t>Препарат</w:t>
            </w:r>
          </w:p>
        </w:tc>
        <w:tc>
          <w:tcPr>
            <w:tcW w:w="1418" w:type="dxa"/>
            <w:vAlign w:val="center"/>
          </w:tcPr>
          <w:p w14:paraId="5F23C0FC" w14:textId="77777777" w:rsidR="00124A26" w:rsidRPr="00AC3044" w:rsidRDefault="00124A26" w:rsidP="002D3EBF">
            <w:pPr>
              <w:ind w:firstLine="0"/>
              <w:rPr>
                <w:rFonts w:eastAsia="SimSun"/>
              </w:rPr>
            </w:pPr>
            <w:r w:rsidRPr="00AC3044">
              <w:rPr>
                <w:rFonts w:eastAsia="SimSun"/>
              </w:rPr>
              <w:t>Суточная доза</w:t>
            </w:r>
          </w:p>
        </w:tc>
        <w:tc>
          <w:tcPr>
            <w:tcW w:w="1559" w:type="dxa"/>
            <w:vAlign w:val="center"/>
          </w:tcPr>
          <w:p w14:paraId="79AF65C6" w14:textId="77777777" w:rsidR="00124A26" w:rsidRPr="00AC3044" w:rsidRDefault="00124A26" w:rsidP="002D3EBF">
            <w:pPr>
              <w:ind w:firstLine="0"/>
              <w:rPr>
                <w:rFonts w:eastAsia="SimSun"/>
              </w:rPr>
            </w:pPr>
            <w:r w:rsidRPr="00AC3044">
              <w:rPr>
                <w:rFonts w:eastAsia="SimSun"/>
              </w:rPr>
              <w:t>Курсовая доза</w:t>
            </w:r>
          </w:p>
        </w:tc>
        <w:tc>
          <w:tcPr>
            <w:tcW w:w="1559" w:type="dxa"/>
            <w:vAlign w:val="center"/>
          </w:tcPr>
          <w:p w14:paraId="58E06227" w14:textId="77777777" w:rsidR="00124A26" w:rsidRPr="00AC3044" w:rsidRDefault="00124A26" w:rsidP="002D3EBF">
            <w:pPr>
              <w:ind w:firstLine="0"/>
              <w:rPr>
                <w:rFonts w:eastAsia="SimSun"/>
              </w:rPr>
            </w:pPr>
            <w:r w:rsidRPr="00AC3044">
              <w:rPr>
                <w:rFonts w:eastAsia="SimSun"/>
              </w:rPr>
              <w:t>Дни введения</w:t>
            </w:r>
          </w:p>
        </w:tc>
        <w:tc>
          <w:tcPr>
            <w:tcW w:w="2410" w:type="dxa"/>
            <w:vAlign w:val="center"/>
          </w:tcPr>
          <w:p w14:paraId="33224A82"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4A2E4DBA" w14:textId="77777777" w:rsidTr="002D3EBF">
        <w:trPr>
          <w:cantSplit/>
          <w:trHeight w:val="20"/>
        </w:trPr>
        <w:tc>
          <w:tcPr>
            <w:tcW w:w="1135" w:type="dxa"/>
            <w:vMerge w:val="restart"/>
            <w:textDirection w:val="btLr"/>
            <w:vAlign w:val="center"/>
          </w:tcPr>
          <w:p w14:paraId="6FDD6EA1" w14:textId="77777777" w:rsidR="00124A26" w:rsidRPr="00AC3044" w:rsidRDefault="00124A26" w:rsidP="002D3EBF">
            <w:pPr>
              <w:ind w:firstLine="0"/>
              <w:rPr>
                <w:rFonts w:eastAsia="SimSun"/>
              </w:rPr>
            </w:pPr>
            <w:r w:rsidRPr="00AC3044">
              <w:rPr>
                <w:rFonts w:eastAsia="SimSun"/>
              </w:rPr>
              <w:t>Кондиционирование</w:t>
            </w:r>
          </w:p>
        </w:tc>
        <w:tc>
          <w:tcPr>
            <w:tcW w:w="1559" w:type="dxa"/>
            <w:vAlign w:val="center"/>
          </w:tcPr>
          <w:p w14:paraId="1CEA0396" w14:textId="77777777" w:rsidR="00124A26" w:rsidRPr="00AC3044" w:rsidRDefault="00124A26" w:rsidP="002D3EBF">
            <w:pPr>
              <w:ind w:firstLine="0"/>
              <w:rPr>
                <w:rFonts w:eastAsia="SimSun"/>
              </w:rPr>
            </w:pPr>
            <w:r w:rsidRPr="00AC3044">
              <w:rPr>
                <w:rFonts w:eastAsia="SimSun"/>
              </w:rPr>
              <w:t xml:space="preserve">Флударабин </w:t>
            </w:r>
          </w:p>
        </w:tc>
        <w:tc>
          <w:tcPr>
            <w:tcW w:w="1418" w:type="dxa"/>
            <w:vAlign w:val="center"/>
          </w:tcPr>
          <w:p w14:paraId="589856F3" w14:textId="77777777" w:rsidR="00124A26" w:rsidRPr="00AC3044" w:rsidRDefault="00124A26" w:rsidP="002D3EBF">
            <w:pPr>
              <w:ind w:firstLine="0"/>
              <w:rPr>
                <w:rFonts w:eastAsia="SimSun"/>
              </w:rPr>
            </w:pPr>
            <w:r w:rsidRPr="00AC3044">
              <w:rPr>
                <w:rFonts w:eastAsia="SimSun"/>
              </w:rPr>
              <w:t>50 мг/м</w:t>
            </w:r>
            <w:r w:rsidRPr="0074195F">
              <w:rPr>
                <w:rFonts w:eastAsia="SimSun"/>
                <w:vertAlign w:val="superscript"/>
              </w:rPr>
              <w:t>2</w:t>
            </w:r>
          </w:p>
        </w:tc>
        <w:tc>
          <w:tcPr>
            <w:tcW w:w="1559" w:type="dxa"/>
            <w:vAlign w:val="center"/>
          </w:tcPr>
          <w:p w14:paraId="674C90BA" w14:textId="77777777" w:rsidR="00124A26" w:rsidRPr="00AC3044" w:rsidRDefault="00124A26" w:rsidP="002D3EBF">
            <w:pPr>
              <w:ind w:firstLine="0"/>
              <w:rPr>
                <w:rFonts w:eastAsia="SimSun"/>
              </w:rPr>
            </w:pPr>
            <w:r w:rsidRPr="00AC3044">
              <w:rPr>
                <w:rFonts w:eastAsia="SimSun"/>
              </w:rPr>
              <w:t>150 мг/м</w:t>
            </w:r>
            <w:r w:rsidRPr="0074195F">
              <w:rPr>
                <w:rFonts w:eastAsia="SimSun"/>
                <w:vertAlign w:val="superscript"/>
              </w:rPr>
              <w:t>2</w:t>
            </w:r>
          </w:p>
        </w:tc>
        <w:tc>
          <w:tcPr>
            <w:tcW w:w="1559" w:type="dxa"/>
            <w:vAlign w:val="center"/>
          </w:tcPr>
          <w:p w14:paraId="7F591159" w14:textId="77777777" w:rsidR="00124A26" w:rsidRPr="00AC3044" w:rsidRDefault="00124A26" w:rsidP="002D3EBF">
            <w:pPr>
              <w:ind w:firstLine="0"/>
              <w:rPr>
                <w:rFonts w:eastAsia="SimSun"/>
              </w:rPr>
            </w:pPr>
            <w:r w:rsidRPr="00AC3044">
              <w:rPr>
                <w:rFonts w:eastAsia="SimSun"/>
              </w:rPr>
              <w:t>С –4 по –2 день</w:t>
            </w:r>
          </w:p>
        </w:tc>
        <w:tc>
          <w:tcPr>
            <w:tcW w:w="2410" w:type="dxa"/>
            <w:vAlign w:val="center"/>
          </w:tcPr>
          <w:p w14:paraId="16FB851C"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7117A693" w14:textId="77777777" w:rsidTr="002D3EBF">
        <w:trPr>
          <w:cantSplit/>
          <w:trHeight w:val="550"/>
        </w:trPr>
        <w:tc>
          <w:tcPr>
            <w:tcW w:w="1135" w:type="dxa"/>
            <w:vMerge/>
            <w:textDirection w:val="btLr"/>
            <w:vAlign w:val="center"/>
          </w:tcPr>
          <w:p w14:paraId="6D68A824" w14:textId="77777777" w:rsidR="00124A26" w:rsidRPr="00AC3044" w:rsidRDefault="00124A26" w:rsidP="002D3EBF">
            <w:pPr>
              <w:ind w:firstLine="0"/>
              <w:rPr>
                <w:rFonts w:eastAsia="SimSun"/>
              </w:rPr>
            </w:pPr>
          </w:p>
        </w:tc>
        <w:tc>
          <w:tcPr>
            <w:tcW w:w="1559" w:type="dxa"/>
            <w:vAlign w:val="center"/>
          </w:tcPr>
          <w:p w14:paraId="63076988" w14:textId="77777777" w:rsidR="00124A26" w:rsidRPr="00AC3044" w:rsidRDefault="00124A26" w:rsidP="002D3EBF">
            <w:pPr>
              <w:ind w:firstLine="0"/>
              <w:rPr>
                <w:rFonts w:eastAsia="SimSun"/>
              </w:rPr>
            </w:pPr>
            <w:r w:rsidRPr="00AC3044">
              <w:rPr>
                <w:rFonts w:eastAsia="SimSun"/>
              </w:rPr>
              <w:t>Бусульфан</w:t>
            </w:r>
          </w:p>
        </w:tc>
        <w:tc>
          <w:tcPr>
            <w:tcW w:w="1418" w:type="dxa"/>
            <w:vAlign w:val="center"/>
          </w:tcPr>
          <w:p w14:paraId="2E687B5F" w14:textId="77777777" w:rsidR="00124A26" w:rsidRPr="00AC3044" w:rsidRDefault="00124A26" w:rsidP="002D3EBF">
            <w:pPr>
              <w:ind w:firstLine="0"/>
              <w:rPr>
                <w:rFonts w:eastAsia="SimSun"/>
              </w:rPr>
            </w:pPr>
            <w:r w:rsidRPr="00AC3044">
              <w:rPr>
                <w:rFonts w:eastAsia="SimSun"/>
              </w:rPr>
              <w:t>4 мг/кг</w:t>
            </w:r>
          </w:p>
        </w:tc>
        <w:tc>
          <w:tcPr>
            <w:tcW w:w="1559" w:type="dxa"/>
            <w:vAlign w:val="center"/>
          </w:tcPr>
          <w:p w14:paraId="7951B3BD" w14:textId="77777777" w:rsidR="00124A26" w:rsidRPr="00AC3044" w:rsidRDefault="00124A26" w:rsidP="002D3EBF">
            <w:pPr>
              <w:ind w:firstLine="0"/>
              <w:rPr>
                <w:rFonts w:eastAsia="SimSun"/>
              </w:rPr>
            </w:pPr>
            <w:r w:rsidRPr="00AC3044">
              <w:rPr>
                <w:rFonts w:eastAsia="SimSun"/>
              </w:rPr>
              <w:t>8 мг/кг</w:t>
            </w:r>
          </w:p>
        </w:tc>
        <w:tc>
          <w:tcPr>
            <w:tcW w:w="1559" w:type="dxa"/>
            <w:vAlign w:val="center"/>
          </w:tcPr>
          <w:p w14:paraId="4E695DC2" w14:textId="77777777" w:rsidR="00124A26" w:rsidRPr="00AC3044" w:rsidRDefault="00124A26" w:rsidP="002D3EBF">
            <w:pPr>
              <w:ind w:firstLine="0"/>
              <w:rPr>
                <w:rFonts w:eastAsia="SimSun"/>
              </w:rPr>
            </w:pPr>
            <w:r w:rsidRPr="00AC3044">
              <w:rPr>
                <w:rFonts w:eastAsia="SimSun"/>
              </w:rPr>
              <w:t>–3, –2 дни</w:t>
            </w:r>
          </w:p>
        </w:tc>
        <w:tc>
          <w:tcPr>
            <w:tcW w:w="2410" w:type="dxa"/>
            <w:vAlign w:val="center"/>
          </w:tcPr>
          <w:p w14:paraId="3B3EBE4F"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124A26" w:rsidRPr="00AC3044" w14:paraId="2597DEC1" w14:textId="77777777" w:rsidTr="002D3EBF">
        <w:trPr>
          <w:cantSplit/>
          <w:trHeight w:val="516"/>
        </w:trPr>
        <w:tc>
          <w:tcPr>
            <w:tcW w:w="1135" w:type="dxa"/>
            <w:vMerge/>
            <w:textDirection w:val="btLr"/>
            <w:vAlign w:val="center"/>
          </w:tcPr>
          <w:p w14:paraId="335E595A" w14:textId="77777777" w:rsidR="00124A26" w:rsidRPr="00AC3044" w:rsidRDefault="00124A26" w:rsidP="002D3EBF">
            <w:pPr>
              <w:ind w:firstLine="0"/>
              <w:rPr>
                <w:rFonts w:eastAsia="SimSun"/>
              </w:rPr>
            </w:pPr>
          </w:p>
        </w:tc>
        <w:tc>
          <w:tcPr>
            <w:tcW w:w="1559" w:type="dxa"/>
            <w:vAlign w:val="center"/>
          </w:tcPr>
          <w:p w14:paraId="4596A697" w14:textId="77777777" w:rsidR="00124A26" w:rsidRPr="00AC3044" w:rsidRDefault="00124A26" w:rsidP="002D3EBF">
            <w:pPr>
              <w:ind w:firstLine="0"/>
              <w:rPr>
                <w:rFonts w:eastAsia="SimSun"/>
              </w:rPr>
            </w:pPr>
            <w:r w:rsidRPr="00AC3044">
              <w:rPr>
                <w:rFonts w:eastAsia="SimSun"/>
              </w:rPr>
              <w:t>Тиотепа</w:t>
            </w:r>
          </w:p>
        </w:tc>
        <w:tc>
          <w:tcPr>
            <w:tcW w:w="1418" w:type="dxa"/>
            <w:vAlign w:val="center"/>
          </w:tcPr>
          <w:p w14:paraId="3F81C0FA" w14:textId="77777777" w:rsidR="00124A26" w:rsidRPr="00AC3044" w:rsidRDefault="00124A26" w:rsidP="002D3EBF">
            <w:pPr>
              <w:ind w:firstLine="0"/>
              <w:rPr>
                <w:rFonts w:eastAsia="SimSun"/>
              </w:rPr>
            </w:pPr>
            <w:r w:rsidRPr="00AC3044">
              <w:rPr>
                <w:rFonts w:eastAsia="SimSun"/>
              </w:rPr>
              <w:t>5 мг/кг</w:t>
            </w:r>
          </w:p>
        </w:tc>
        <w:tc>
          <w:tcPr>
            <w:tcW w:w="1559" w:type="dxa"/>
            <w:vAlign w:val="center"/>
          </w:tcPr>
          <w:p w14:paraId="6FD513A7" w14:textId="77777777" w:rsidR="00124A26" w:rsidRPr="00AC3044" w:rsidRDefault="00124A26" w:rsidP="002D3EBF">
            <w:pPr>
              <w:ind w:firstLine="0"/>
              <w:rPr>
                <w:rFonts w:eastAsia="SimSun"/>
              </w:rPr>
            </w:pPr>
            <w:r w:rsidRPr="00AC3044">
              <w:rPr>
                <w:rFonts w:eastAsia="SimSun"/>
              </w:rPr>
              <w:t>10 мг/кг</w:t>
            </w:r>
          </w:p>
        </w:tc>
        <w:tc>
          <w:tcPr>
            <w:tcW w:w="1559" w:type="dxa"/>
            <w:vAlign w:val="center"/>
          </w:tcPr>
          <w:p w14:paraId="5C5FEFE4" w14:textId="77777777" w:rsidR="00124A26" w:rsidRPr="00AC3044" w:rsidRDefault="00124A26" w:rsidP="002D3EBF">
            <w:pPr>
              <w:ind w:firstLine="0"/>
              <w:rPr>
                <w:rFonts w:eastAsia="SimSun"/>
              </w:rPr>
            </w:pPr>
            <w:r w:rsidRPr="00AC3044">
              <w:rPr>
                <w:rFonts w:eastAsia="SimSun"/>
              </w:rPr>
              <w:t>-6,-5 дни</w:t>
            </w:r>
          </w:p>
        </w:tc>
        <w:tc>
          <w:tcPr>
            <w:tcW w:w="2410" w:type="dxa"/>
            <w:vAlign w:val="center"/>
          </w:tcPr>
          <w:p w14:paraId="6782F257" w14:textId="77777777" w:rsidR="00124A26" w:rsidRPr="00AC3044" w:rsidRDefault="00124A26" w:rsidP="002D3EBF">
            <w:pPr>
              <w:ind w:firstLine="0"/>
              <w:rPr>
                <w:rFonts w:eastAsia="SimSun"/>
              </w:rPr>
            </w:pPr>
            <w:r w:rsidRPr="00AC3044">
              <w:rPr>
                <w:rFonts w:eastAsia="SimSun"/>
              </w:rPr>
              <w:t>В/в, в течение 2 часов</w:t>
            </w:r>
          </w:p>
        </w:tc>
      </w:tr>
      <w:tr w:rsidR="00124A26" w:rsidRPr="00AC3044" w14:paraId="01414EF1" w14:textId="77777777" w:rsidTr="002D3EBF">
        <w:trPr>
          <w:cantSplit/>
          <w:trHeight w:val="1558"/>
        </w:trPr>
        <w:tc>
          <w:tcPr>
            <w:tcW w:w="1135" w:type="dxa"/>
            <w:vMerge w:val="restart"/>
            <w:textDirection w:val="btLr"/>
            <w:vAlign w:val="center"/>
          </w:tcPr>
          <w:p w14:paraId="4E496236" w14:textId="77777777" w:rsidR="00124A26" w:rsidRPr="00AC3044" w:rsidRDefault="00124A26" w:rsidP="002D3EBF">
            <w:pPr>
              <w:ind w:firstLine="0"/>
              <w:rPr>
                <w:rFonts w:eastAsia="SimSun"/>
              </w:rPr>
            </w:pPr>
            <w:r w:rsidRPr="00AC3044">
              <w:rPr>
                <w:rFonts w:eastAsia="SimSun"/>
              </w:rPr>
              <w:t>Профилактика РТПХ</w:t>
            </w:r>
          </w:p>
        </w:tc>
        <w:tc>
          <w:tcPr>
            <w:tcW w:w="1559" w:type="dxa"/>
            <w:vAlign w:val="center"/>
          </w:tcPr>
          <w:p w14:paraId="7049921F" w14:textId="77777777" w:rsidR="00124A26" w:rsidRPr="00AC3044" w:rsidRDefault="00124A26" w:rsidP="002D3EBF">
            <w:pPr>
              <w:ind w:firstLine="0"/>
              <w:rPr>
                <w:rFonts w:eastAsia="SimSun"/>
              </w:rPr>
            </w:pPr>
            <w:r w:rsidRPr="00AC3044">
              <w:rPr>
                <w:rFonts w:eastAsia="SimSun"/>
              </w:rPr>
              <w:t>Циклоспорин</w:t>
            </w:r>
          </w:p>
        </w:tc>
        <w:tc>
          <w:tcPr>
            <w:tcW w:w="1418" w:type="dxa"/>
            <w:vAlign w:val="center"/>
          </w:tcPr>
          <w:p w14:paraId="5177ADAA" w14:textId="77777777" w:rsidR="00124A26" w:rsidRPr="00AC3044" w:rsidRDefault="00124A26" w:rsidP="002D3EBF">
            <w:pPr>
              <w:ind w:firstLine="0"/>
              <w:rPr>
                <w:rFonts w:eastAsia="SimSun"/>
              </w:rPr>
            </w:pPr>
            <w:r w:rsidRPr="00AC3044">
              <w:rPr>
                <w:rFonts w:eastAsia="SimSun"/>
              </w:rPr>
              <w:t>3 мг/кг</w:t>
            </w:r>
          </w:p>
        </w:tc>
        <w:tc>
          <w:tcPr>
            <w:tcW w:w="1559" w:type="dxa"/>
            <w:vAlign w:val="center"/>
          </w:tcPr>
          <w:p w14:paraId="774E3D14" w14:textId="77777777" w:rsidR="00124A26" w:rsidRPr="00AC3044" w:rsidRDefault="00124A26" w:rsidP="002D3EBF">
            <w:pPr>
              <w:ind w:firstLine="0"/>
              <w:rPr>
                <w:rFonts w:eastAsia="SimSun"/>
              </w:rPr>
            </w:pPr>
            <w:r w:rsidRPr="00AC3044">
              <w:rPr>
                <w:rFonts w:eastAsia="SimSun"/>
              </w:rPr>
              <w:t>–</w:t>
            </w:r>
          </w:p>
        </w:tc>
        <w:tc>
          <w:tcPr>
            <w:tcW w:w="1559" w:type="dxa"/>
            <w:vAlign w:val="center"/>
          </w:tcPr>
          <w:p w14:paraId="0F8A1ECE" w14:textId="77777777" w:rsidR="00124A26" w:rsidRPr="00AC3044" w:rsidRDefault="00124A26" w:rsidP="002D3EBF">
            <w:pPr>
              <w:ind w:firstLine="0"/>
              <w:rPr>
                <w:rFonts w:eastAsia="SimSun"/>
              </w:rPr>
            </w:pPr>
            <w:r w:rsidRPr="00AC3044">
              <w:rPr>
                <w:rFonts w:eastAsia="SimSun"/>
              </w:rPr>
              <w:t>С +5 дня по +90 день затем постепенное снижение к +180 дню</w:t>
            </w:r>
          </w:p>
        </w:tc>
        <w:tc>
          <w:tcPr>
            <w:tcW w:w="2410" w:type="dxa"/>
            <w:vAlign w:val="center"/>
          </w:tcPr>
          <w:p w14:paraId="40CC8619" w14:textId="77777777" w:rsidR="00124A26" w:rsidRPr="00AC3044" w:rsidRDefault="00124A26"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124A26" w:rsidRPr="00AC3044" w14:paraId="30DBD0FF" w14:textId="77777777" w:rsidTr="002D3EBF">
        <w:trPr>
          <w:cantSplit/>
          <w:trHeight w:val="20"/>
        </w:trPr>
        <w:tc>
          <w:tcPr>
            <w:tcW w:w="1135" w:type="dxa"/>
            <w:vMerge/>
            <w:textDirection w:val="btLr"/>
          </w:tcPr>
          <w:p w14:paraId="417E2F92" w14:textId="77777777" w:rsidR="00124A26" w:rsidRPr="00AC3044" w:rsidRDefault="00124A26" w:rsidP="002D3EBF">
            <w:pPr>
              <w:ind w:firstLine="0"/>
              <w:rPr>
                <w:rFonts w:eastAsia="SimSun"/>
              </w:rPr>
            </w:pPr>
          </w:p>
        </w:tc>
        <w:tc>
          <w:tcPr>
            <w:tcW w:w="1559" w:type="dxa"/>
            <w:vAlign w:val="center"/>
          </w:tcPr>
          <w:p w14:paraId="20F3BA7A" w14:textId="77777777" w:rsidR="00124A26" w:rsidRPr="00AC3044" w:rsidRDefault="00124A26" w:rsidP="002D3EBF">
            <w:pPr>
              <w:ind w:firstLine="0"/>
              <w:rPr>
                <w:rFonts w:eastAsia="SimSun"/>
              </w:rPr>
            </w:pPr>
            <w:r w:rsidRPr="00AC3044">
              <w:rPr>
                <w:rFonts w:eastAsia="SimSun"/>
              </w:rPr>
              <w:t>Микофенолата мофетил</w:t>
            </w:r>
          </w:p>
        </w:tc>
        <w:tc>
          <w:tcPr>
            <w:tcW w:w="1418" w:type="dxa"/>
            <w:vAlign w:val="center"/>
          </w:tcPr>
          <w:p w14:paraId="41458F5F" w14:textId="77777777" w:rsidR="00124A26" w:rsidRPr="00AC3044" w:rsidRDefault="00124A26" w:rsidP="002D3EBF">
            <w:pPr>
              <w:ind w:firstLine="0"/>
              <w:rPr>
                <w:rFonts w:eastAsia="SimSun"/>
              </w:rPr>
            </w:pPr>
            <w:r w:rsidRPr="00AC3044">
              <w:rPr>
                <w:rFonts w:eastAsia="SimSun"/>
              </w:rPr>
              <w:t>45 мг/кг</w:t>
            </w:r>
          </w:p>
        </w:tc>
        <w:tc>
          <w:tcPr>
            <w:tcW w:w="1559" w:type="dxa"/>
            <w:vAlign w:val="center"/>
          </w:tcPr>
          <w:p w14:paraId="2499FA11" w14:textId="77777777" w:rsidR="00124A26" w:rsidRPr="00AC3044" w:rsidRDefault="00124A26" w:rsidP="002D3EBF">
            <w:pPr>
              <w:ind w:firstLine="0"/>
              <w:rPr>
                <w:rFonts w:eastAsia="SimSun"/>
              </w:rPr>
            </w:pPr>
            <w:r w:rsidRPr="00AC3044">
              <w:rPr>
                <w:rFonts w:eastAsia="SimSun"/>
              </w:rPr>
              <w:t>–</w:t>
            </w:r>
          </w:p>
        </w:tc>
        <w:tc>
          <w:tcPr>
            <w:tcW w:w="1559" w:type="dxa"/>
            <w:vAlign w:val="center"/>
          </w:tcPr>
          <w:p w14:paraId="421B2DC0" w14:textId="77777777" w:rsidR="00124A26" w:rsidRPr="00AC3044" w:rsidRDefault="00124A26" w:rsidP="002D3EBF">
            <w:pPr>
              <w:ind w:firstLine="0"/>
              <w:rPr>
                <w:rFonts w:eastAsia="SimSun"/>
              </w:rPr>
            </w:pPr>
            <w:r w:rsidRPr="00AC3044">
              <w:rPr>
                <w:rFonts w:eastAsia="SimSun"/>
              </w:rPr>
              <w:t>С +5 по +90 день</w:t>
            </w:r>
          </w:p>
        </w:tc>
        <w:tc>
          <w:tcPr>
            <w:tcW w:w="2410" w:type="dxa"/>
            <w:vAlign w:val="center"/>
          </w:tcPr>
          <w:p w14:paraId="27B6F4D8" w14:textId="77777777" w:rsidR="00124A26" w:rsidRPr="00AC3044" w:rsidRDefault="00124A26"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r w:rsidR="00124A26" w:rsidRPr="00AC3044" w14:paraId="4A78503C" w14:textId="77777777" w:rsidTr="002D3EBF">
        <w:trPr>
          <w:cantSplit/>
          <w:trHeight w:val="20"/>
        </w:trPr>
        <w:tc>
          <w:tcPr>
            <w:tcW w:w="1135" w:type="dxa"/>
            <w:vMerge/>
            <w:textDirection w:val="btLr"/>
          </w:tcPr>
          <w:p w14:paraId="7BED87E5" w14:textId="77777777" w:rsidR="00124A26" w:rsidRPr="00AC3044" w:rsidRDefault="00124A26" w:rsidP="002D3EBF">
            <w:pPr>
              <w:ind w:firstLine="0"/>
              <w:rPr>
                <w:rFonts w:eastAsia="SimSun"/>
              </w:rPr>
            </w:pPr>
          </w:p>
        </w:tc>
        <w:tc>
          <w:tcPr>
            <w:tcW w:w="1559" w:type="dxa"/>
            <w:vAlign w:val="center"/>
          </w:tcPr>
          <w:p w14:paraId="62836469" w14:textId="77777777" w:rsidR="00124A26" w:rsidRPr="00AC3044" w:rsidRDefault="00124A26" w:rsidP="002D3EBF">
            <w:pPr>
              <w:ind w:firstLine="0"/>
              <w:rPr>
                <w:rFonts w:eastAsia="SimSun"/>
              </w:rPr>
            </w:pPr>
            <w:r w:rsidRPr="00AC3044">
              <w:rPr>
                <w:rFonts w:eastAsia="SimSun"/>
              </w:rPr>
              <w:t>Циклофосфамид</w:t>
            </w:r>
          </w:p>
        </w:tc>
        <w:tc>
          <w:tcPr>
            <w:tcW w:w="1418" w:type="dxa"/>
            <w:vAlign w:val="center"/>
          </w:tcPr>
          <w:p w14:paraId="65AFF2AC" w14:textId="77777777" w:rsidR="00124A26" w:rsidRPr="00AC3044" w:rsidRDefault="00124A26" w:rsidP="002D3EBF">
            <w:pPr>
              <w:ind w:firstLine="0"/>
              <w:rPr>
                <w:rFonts w:eastAsia="SimSun"/>
              </w:rPr>
            </w:pPr>
            <w:r w:rsidRPr="00AC3044">
              <w:rPr>
                <w:rFonts w:eastAsia="SimSun"/>
              </w:rPr>
              <w:t>50 мг/кг</w:t>
            </w:r>
          </w:p>
        </w:tc>
        <w:tc>
          <w:tcPr>
            <w:tcW w:w="1559" w:type="dxa"/>
            <w:vAlign w:val="center"/>
          </w:tcPr>
          <w:p w14:paraId="29FDAB38" w14:textId="77777777" w:rsidR="00124A26" w:rsidRPr="00AC3044" w:rsidRDefault="00124A26" w:rsidP="002D3EBF">
            <w:pPr>
              <w:ind w:firstLine="0"/>
              <w:rPr>
                <w:rFonts w:eastAsia="SimSun"/>
              </w:rPr>
            </w:pPr>
            <w:r w:rsidRPr="00AC3044">
              <w:rPr>
                <w:rFonts w:eastAsia="SimSun"/>
              </w:rPr>
              <w:t>100 мг/кг</w:t>
            </w:r>
          </w:p>
        </w:tc>
        <w:tc>
          <w:tcPr>
            <w:tcW w:w="1559" w:type="dxa"/>
            <w:vAlign w:val="center"/>
          </w:tcPr>
          <w:p w14:paraId="039E4B0E" w14:textId="77777777" w:rsidR="00124A26" w:rsidRPr="00AC3044" w:rsidRDefault="00124A26" w:rsidP="002D3EBF">
            <w:pPr>
              <w:ind w:firstLine="0"/>
              <w:rPr>
                <w:rFonts w:eastAsia="SimSun"/>
              </w:rPr>
            </w:pPr>
            <w:r w:rsidRPr="00AC3044">
              <w:rPr>
                <w:rFonts w:eastAsia="SimSun"/>
              </w:rPr>
              <w:t xml:space="preserve">+3,+4 дни </w:t>
            </w:r>
          </w:p>
        </w:tc>
        <w:tc>
          <w:tcPr>
            <w:tcW w:w="2410" w:type="dxa"/>
            <w:vAlign w:val="center"/>
          </w:tcPr>
          <w:p w14:paraId="6AB2050A" w14:textId="77777777" w:rsidR="00124A26" w:rsidRPr="00AC3044" w:rsidRDefault="00124A26" w:rsidP="002D3EBF">
            <w:pPr>
              <w:ind w:firstLine="0"/>
              <w:rPr>
                <w:rFonts w:eastAsia="SimSun"/>
              </w:rPr>
            </w:pPr>
            <w:r w:rsidRPr="00AC3044">
              <w:rPr>
                <w:rFonts w:eastAsia="SimSun"/>
              </w:rPr>
              <w:t>В/в, в течение 2 часов</w:t>
            </w:r>
          </w:p>
        </w:tc>
      </w:tr>
    </w:tbl>
    <w:p w14:paraId="04AAF474" w14:textId="77777777" w:rsidR="00124A26" w:rsidRPr="00C07B2E" w:rsidRDefault="00124A26" w:rsidP="00124A26">
      <w:pPr>
        <w:rPr>
          <w:rFonts w:eastAsia="SimSun"/>
        </w:rPr>
      </w:pPr>
    </w:p>
    <w:p w14:paraId="2D70B3C6" w14:textId="77777777" w:rsidR="00124A26" w:rsidRPr="00C07B2E" w:rsidRDefault="00124A26" w:rsidP="00124A26">
      <w:pPr>
        <w:rPr>
          <w:rFonts w:eastAsia="SimSun"/>
        </w:rPr>
      </w:pPr>
      <w:bookmarkStart w:id="264" w:name="_Toc44401228"/>
      <w:r w:rsidRPr="00EE51B1">
        <w:rPr>
          <w:rFonts w:eastAsia="SimSun"/>
        </w:rPr>
        <w:t>Таблица</w:t>
      </w:r>
      <w:r w:rsidRPr="00C07B2E">
        <w:rPr>
          <w:rFonts w:eastAsia="SimSun"/>
        </w:rPr>
        <w:t xml:space="preserve"> </w:t>
      </w:r>
      <w:r>
        <w:rPr>
          <w:rFonts w:eastAsia="SimSun"/>
        </w:rPr>
        <w:t>5.</w:t>
      </w:r>
      <w:r w:rsidRPr="00C07B2E">
        <w:rPr>
          <w:rFonts w:eastAsia="SimSun"/>
        </w:rPr>
        <w:t>3.1.3  – Flu180+Bu8 / PT-Cy+hATG+CSA+MMF45</w:t>
      </w:r>
      <w:bookmarkEnd w:id="264"/>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124A26" w:rsidRPr="00AC3044" w14:paraId="1BB07971" w14:textId="77777777" w:rsidTr="002D3EBF">
        <w:trPr>
          <w:cantSplit/>
          <w:trHeight w:val="20"/>
          <w:tblHeader/>
        </w:trPr>
        <w:tc>
          <w:tcPr>
            <w:tcW w:w="1135" w:type="dxa"/>
          </w:tcPr>
          <w:p w14:paraId="57AD7E28" w14:textId="77777777" w:rsidR="00124A26" w:rsidRPr="006A5E21" w:rsidRDefault="00124A26" w:rsidP="002D3EBF">
            <w:pPr>
              <w:ind w:firstLine="0"/>
              <w:rPr>
                <w:rFonts w:eastAsia="SimSun"/>
              </w:rPr>
            </w:pPr>
          </w:p>
        </w:tc>
        <w:tc>
          <w:tcPr>
            <w:tcW w:w="1559" w:type="dxa"/>
            <w:vAlign w:val="center"/>
          </w:tcPr>
          <w:p w14:paraId="35CDAC75" w14:textId="77777777" w:rsidR="00124A26" w:rsidRPr="00AC3044" w:rsidRDefault="00124A26" w:rsidP="002D3EBF">
            <w:pPr>
              <w:ind w:firstLine="0"/>
              <w:rPr>
                <w:rFonts w:eastAsia="SimSun"/>
              </w:rPr>
            </w:pPr>
            <w:r w:rsidRPr="00AC3044">
              <w:rPr>
                <w:rFonts w:eastAsia="SimSun"/>
              </w:rPr>
              <w:t>Препарат</w:t>
            </w:r>
          </w:p>
        </w:tc>
        <w:tc>
          <w:tcPr>
            <w:tcW w:w="1418" w:type="dxa"/>
            <w:vAlign w:val="center"/>
          </w:tcPr>
          <w:p w14:paraId="2E5DDBDF" w14:textId="77777777" w:rsidR="00124A26" w:rsidRPr="00AC3044" w:rsidRDefault="00124A26" w:rsidP="002D3EBF">
            <w:pPr>
              <w:ind w:firstLine="0"/>
              <w:rPr>
                <w:rFonts w:eastAsia="SimSun"/>
              </w:rPr>
            </w:pPr>
            <w:r w:rsidRPr="00AC3044">
              <w:rPr>
                <w:rFonts w:eastAsia="SimSun"/>
              </w:rPr>
              <w:t>Суточная доза</w:t>
            </w:r>
          </w:p>
        </w:tc>
        <w:tc>
          <w:tcPr>
            <w:tcW w:w="1559" w:type="dxa"/>
            <w:vAlign w:val="center"/>
          </w:tcPr>
          <w:p w14:paraId="61C8CBE8" w14:textId="77777777" w:rsidR="00124A26" w:rsidRPr="00AC3044" w:rsidRDefault="00124A26" w:rsidP="002D3EBF">
            <w:pPr>
              <w:ind w:firstLine="0"/>
              <w:rPr>
                <w:rFonts w:eastAsia="SimSun"/>
              </w:rPr>
            </w:pPr>
            <w:r w:rsidRPr="00AC3044">
              <w:rPr>
                <w:rFonts w:eastAsia="SimSun"/>
              </w:rPr>
              <w:t>Курсовая доза</w:t>
            </w:r>
          </w:p>
        </w:tc>
        <w:tc>
          <w:tcPr>
            <w:tcW w:w="1559" w:type="dxa"/>
            <w:vAlign w:val="center"/>
          </w:tcPr>
          <w:p w14:paraId="6F437193" w14:textId="77777777" w:rsidR="00124A26" w:rsidRPr="00AC3044" w:rsidRDefault="00124A26" w:rsidP="002D3EBF">
            <w:pPr>
              <w:ind w:firstLine="0"/>
              <w:rPr>
                <w:rFonts w:eastAsia="SimSun"/>
              </w:rPr>
            </w:pPr>
            <w:r w:rsidRPr="00AC3044">
              <w:rPr>
                <w:rFonts w:eastAsia="SimSun"/>
              </w:rPr>
              <w:t>Дни введения</w:t>
            </w:r>
          </w:p>
        </w:tc>
        <w:tc>
          <w:tcPr>
            <w:tcW w:w="2410" w:type="dxa"/>
            <w:vAlign w:val="center"/>
          </w:tcPr>
          <w:p w14:paraId="0968FCA2"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4856EF86" w14:textId="77777777" w:rsidTr="002D3EBF">
        <w:trPr>
          <w:cantSplit/>
          <w:trHeight w:val="20"/>
        </w:trPr>
        <w:tc>
          <w:tcPr>
            <w:tcW w:w="1135" w:type="dxa"/>
            <w:vMerge w:val="restart"/>
            <w:textDirection w:val="btLr"/>
            <w:vAlign w:val="center"/>
          </w:tcPr>
          <w:p w14:paraId="5C2FAC6E" w14:textId="77777777" w:rsidR="00124A26" w:rsidRPr="00AC3044" w:rsidRDefault="00124A26" w:rsidP="002D3EBF">
            <w:pPr>
              <w:ind w:firstLine="0"/>
              <w:rPr>
                <w:rFonts w:eastAsia="SimSun"/>
              </w:rPr>
            </w:pPr>
            <w:r w:rsidRPr="00AC3044">
              <w:rPr>
                <w:rFonts w:eastAsia="SimSun"/>
              </w:rPr>
              <w:t>Кондиционирование</w:t>
            </w:r>
          </w:p>
        </w:tc>
        <w:tc>
          <w:tcPr>
            <w:tcW w:w="1559" w:type="dxa"/>
            <w:vAlign w:val="center"/>
          </w:tcPr>
          <w:p w14:paraId="2BF6E3A2" w14:textId="77777777" w:rsidR="00124A26" w:rsidRPr="00AC3044" w:rsidRDefault="00124A26" w:rsidP="002D3EBF">
            <w:pPr>
              <w:ind w:firstLine="0"/>
              <w:rPr>
                <w:rFonts w:eastAsia="SimSun"/>
              </w:rPr>
            </w:pPr>
            <w:r w:rsidRPr="00AC3044">
              <w:rPr>
                <w:rFonts w:eastAsia="SimSun"/>
              </w:rPr>
              <w:t xml:space="preserve">Флударабин </w:t>
            </w:r>
          </w:p>
        </w:tc>
        <w:tc>
          <w:tcPr>
            <w:tcW w:w="1418" w:type="dxa"/>
            <w:vAlign w:val="center"/>
          </w:tcPr>
          <w:p w14:paraId="3987985E" w14:textId="77777777" w:rsidR="00124A26" w:rsidRPr="00AC3044" w:rsidRDefault="00124A26" w:rsidP="002D3EBF">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21ED11D0" w14:textId="77777777" w:rsidR="00124A26" w:rsidRPr="00AC3044" w:rsidRDefault="00124A26" w:rsidP="002D3EBF">
            <w:pPr>
              <w:ind w:firstLine="0"/>
              <w:rPr>
                <w:rFonts w:eastAsia="SimSun"/>
              </w:rPr>
            </w:pPr>
            <w:r w:rsidRPr="00AC3044">
              <w:rPr>
                <w:rFonts w:eastAsia="SimSun"/>
              </w:rPr>
              <w:t>180 мг/м</w:t>
            </w:r>
            <w:r w:rsidRPr="0074195F">
              <w:rPr>
                <w:rFonts w:eastAsia="SimSun"/>
                <w:vertAlign w:val="superscript"/>
              </w:rPr>
              <w:t>2</w:t>
            </w:r>
          </w:p>
        </w:tc>
        <w:tc>
          <w:tcPr>
            <w:tcW w:w="1559" w:type="dxa"/>
            <w:vAlign w:val="center"/>
          </w:tcPr>
          <w:p w14:paraId="1ED10CDD" w14:textId="77777777" w:rsidR="00124A26" w:rsidRPr="00AC3044" w:rsidRDefault="00124A26" w:rsidP="002D3EBF">
            <w:pPr>
              <w:ind w:firstLine="0"/>
              <w:rPr>
                <w:rFonts w:eastAsia="SimSun"/>
              </w:rPr>
            </w:pPr>
            <w:r w:rsidRPr="00AC3044">
              <w:rPr>
                <w:rFonts w:eastAsia="SimSun"/>
              </w:rPr>
              <w:t>С –10 по –5 день</w:t>
            </w:r>
          </w:p>
        </w:tc>
        <w:tc>
          <w:tcPr>
            <w:tcW w:w="2410" w:type="dxa"/>
            <w:vAlign w:val="center"/>
          </w:tcPr>
          <w:p w14:paraId="54E74BE2"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29B6EECA" w14:textId="77777777" w:rsidTr="002D3EBF">
        <w:trPr>
          <w:cantSplit/>
          <w:trHeight w:val="2123"/>
        </w:trPr>
        <w:tc>
          <w:tcPr>
            <w:tcW w:w="1135" w:type="dxa"/>
            <w:vMerge/>
            <w:textDirection w:val="btLr"/>
            <w:vAlign w:val="center"/>
          </w:tcPr>
          <w:p w14:paraId="4A2FBA07" w14:textId="77777777" w:rsidR="00124A26" w:rsidRPr="00AC3044" w:rsidRDefault="00124A26" w:rsidP="002D3EBF">
            <w:pPr>
              <w:ind w:firstLine="0"/>
              <w:rPr>
                <w:rFonts w:eastAsia="SimSun"/>
              </w:rPr>
            </w:pPr>
          </w:p>
        </w:tc>
        <w:tc>
          <w:tcPr>
            <w:tcW w:w="1559" w:type="dxa"/>
            <w:vAlign w:val="center"/>
          </w:tcPr>
          <w:p w14:paraId="240069EC" w14:textId="77777777" w:rsidR="00124A26" w:rsidRPr="00AC3044" w:rsidRDefault="00124A26" w:rsidP="002D3EBF">
            <w:pPr>
              <w:ind w:firstLine="0"/>
              <w:rPr>
                <w:rFonts w:eastAsia="SimSun"/>
              </w:rPr>
            </w:pPr>
            <w:r w:rsidRPr="00AC3044">
              <w:rPr>
                <w:rFonts w:eastAsia="SimSun"/>
              </w:rPr>
              <w:t>Бусульфан</w:t>
            </w:r>
          </w:p>
        </w:tc>
        <w:tc>
          <w:tcPr>
            <w:tcW w:w="1418" w:type="dxa"/>
            <w:vAlign w:val="center"/>
          </w:tcPr>
          <w:p w14:paraId="3EEC523C" w14:textId="77777777" w:rsidR="00124A26" w:rsidRPr="00AC3044" w:rsidRDefault="00124A26" w:rsidP="002D3EBF">
            <w:pPr>
              <w:ind w:firstLine="0"/>
              <w:rPr>
                <w:rFonts w:eastAsia="SimSun"/>
              </w:rPr>
            </w:pPr>
            <w:r w:rsidRPr="00AC3044">
              <w:rPr>
                <w:rFonts w:eastAsia="SimSun"/>
              </w:rPr>
              <w:t>4 мг/кг</w:t>
            </w:r>
          </w:p>
        </w:tc>
        <w:tc>
          <w:tcPr>
            <w:tcW w:w="1559" w:type="dxa"/>
            <w:vAlign w:val="center"/>
          </w:tcPr>
          <w:p w14:paraId="0B1B96ED" w14:textId="77777777" w:rsidR="00124A26" w:rsidRPr="00AC3044" w:rsidRDefault="00124A26" w:rsidP="002D3EBF">
            <w:pPr>
              <w:ind w:firstLine="0"/>
              <w:rPr>
                <w:rFonts w:eastAsia="SimSun"/>
              </w:rPr>
            </w:pPr>
            <w:r w:rsidRPr="00AC3044">
              <w:rPr>
                <w:rFonts w:eastAsia="SimSun"/>
              </w:rPr>
              <w:t>8 мг/кг</w:t>
            </w:r>
          </w:p>
        </w:tc>
        <w:tc>
          <w:tcPr>
            <w:tcW w:w="1559" w:type="dxa"/>
            <w:vAlign w:val="center"/>
          </w:tcPr>
          <w:p w14:paraId="3C79AE61" w14:textId="77777777" w:rsidR="00124A26" w:rsidRPr="00AC3044" w:rsidRDefault="00124A26" w:rsidP="002D3EBF">
            <w:pPr>
              <w:ind w:firstLine="0"/>
              <w:rPr>
                <w:rFonts w:eastAsia="SimSun"/>
              </w:rPr>
            </w:pPr>
            <w:r w:rsidRPr="00AC3044">
              <w:rPr>
                <w:rFonts w:eastAsia="SimSun"/>
              </w:rPr>
              <w:t xml:space="preserve"> –6, –5 дни</w:t>
            </w:r>
          </w:p>
        </w:tc>
        <w:tc>
          <w:tcPr>
            <w:tcW w:w="2410" w:type="dxa"/>
            <w:vAlign w:val="center"/>
          </w:tcPr>
          <w:p w14:paraId="2323A67E"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124A26" w:rsidRPr="00AC3044" w14:paraId="3D7F97D0" w14:textId="77777777" w:rsidTr="002D3EBF">
        <w:trPr>
          <w:cantSplit/>
          <w:trHeight w:val="20"/>
        </w:trPr>
        <w:tc>
          <w:tcPr>
            <w:tcW w:w="1135" w:type="dxa"/>
            <w:vMerge w:val="restart"/>
            <w:textDirection w:val="btLr"/>
            <w:vAlign w:val="center"/>
          </w:tcPr>
          <w:p w14:paraId="69F38C01" w14:textId="77777777" w:rsidR="00124A26" w:rsidRPr="00AC3044" w:rsidRDefault="00124A26" w:rsidP="002D3EBF">
            <w:pPr>
              <w:ind w:firstLine="0"/>
              <w:rPr>
                <w:rFonts w:eastAsia="SimSun"/>
              </w:rPr>
            </w:pPr>
            <w:r w:rsidRPr="00AC3044">
              <w:rPr>
                <w:rFonts w:eastAsia="SimSun"/>
              </w:rPr>
              <w:t>Профилактика РТПХ</w:t>
            </w:r>
          </w:p>
        </w:tc>
        <w:tc>
          <w:tcPr>
            <w:tcW w:w="1559" w:type="dxa"/>
            <w:vAlign w:val="center"/>
          </w:tcPr>
          <w:p w14:paraId="3F4EED49" w14:textId="77777777" w:rsidR="00124A26" w:rsidRPr="00AC3044" w:rsidRDefault="00124A26" w:rsidP="002D3EBF">
            <w:pPr>
              <w:ind w:firstLine="0"/>
              <w:rPr>
                <w:rFonts w:eastAsia="SimSun"/>
              </w:rPr>
            </w:pPr>
            <w:r w:rsidRPr="00AC3044">
              <w:rPr>
                <w:rFonts w:eastAsia="SimSun"/>
              </w:rPr>
              <w:t>АТГ (лошадиный)</w:t>
            </w:r>
          </w:p>
        </w:tc>
        <w:tc>
          <w:tcPr>
            <w:tcW w:w="1418" w:type="dxa"/>
            <w:vAlign w:val="center"/>
          </w:tcPr>
          <w:p w14:paraId="51F1EB13" w14:textId="77777777" w:rsidR="00124A26" w:rsidRPr="00AC3044" w:rsidRDefault="00124A26" w:rsidP="002D3EBF">
            <w:pPr>
              <w:ind w:firstLine="0"/>
              <w:rPr>
                <w:rFonts w:eastAsia="SimSun"/>
              </w:rPr>
            </w:pPr>
            <w:r w:rsidRPr="00AC3044">
              <w:rPr>
                <w:rFonts w:eastAsia="SimSun"/>
              </w:rPr>
              <w:t>10-15 мг/кг</w:t>
            </w:r>
          </w:p>
        </w:tc>
        <w:tc>
          <w:tcPr>
            <w:tcW w:w="1559" w:type="dxa"/>
            <w:vAlign w:val="center"/>
          </w:tcPr>
          <w:p w14:paraId="48D424C6" w14:textId="77777777" w:rsidR="00124A26" w:rsidRPr="00AC3044" w:rsidRDefault="00124A26" w:rsidP="002D3EBF">
            <w:pPr>
              <w:ind w:firstLine="0"/>
              <w:rPr>
                <w:rFonts w:eastAsia="SimSun"/>
              </w:rPr>
            </w:pPr>
            <w:r w:rsidRPr="00AC3044">
              <w:rPr>
                <w:rFonts w:eastAsia="SimSun"/>
              </w:rPr>
              <w:t>40-60 мг/кг</w:t>
            </w:r>
          </w:p>
        </w:tc>
        <w:tc>
          <w:tcPr>
            <w:tcW w:w="1559" w:type="dxa"/>
            <w:vAlign w:val="center"/>
          </w:tcPr>
          <w:p w14:paraId="0D9396DA" w14:textId="77777777" w:rsidR="00124A26" w:rsidRPr="00AC3044" w:rsidRDefault="00124A26" w:rsidP="002D3EBF">
            <w:pPr>
              <w:ind w:firstLine="0"/>
              <w:rPr>
                <w:rFonts w:eastAsia="SimSun"/>
              </w:rPr>
            </w:pPr>
            <w:r w:rsidRPr="00AC3044">
              <w:rPr>
                <w:rFonts w:eastAsia="SimSun"/>
              </w:rPr>
              <w:t>С –4 по –1 день</w:t>
            </w:r>
          </w:p>
        </w:tc>
        <w:tc>
          <w:tcPr>
            <w:tcW w:w="2410" w:type="dxa"/>
            <w:vAlign w:val="center"/>
          </w:tcPr>
          <w:p w14:paraId="720ED147" w14:textId="77777777" w:rsidR="00124A26" w:rsidRPr="00AC3044" w:rsidRDefault="00124A26" w:rsidP="002D3EBF">
            <w:pPr>
              <w:ind w:firstLine="0"/>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124A26" w:rsidRPr="00AC3044" w14:paraId="3E61BBA3" w14:textId="77777777" w:rsidTr="002D3EBF">
        <w:trPr>
          <w:cantSplit/>
          <w:trHeight w:val="20"/>
        </w:trPr>
        <w:tc>
          <w:tcPr>
            <w:tcW w:w="1135" w:type="dxa"/>
            <w:vMerge/>
            <w:textDirection w:val="btLr"/>
          </w:tcPr>
          <w:p w14:paraId="62EFECB0" w14:textId="77777777" w:rsidR="00124A26" w:rsidRPr="00AC3044" w:rsidRDefault="00124A26" w:rsidP="002D3EBF">
            <w:pPr>
              <w:ind w:firstLine="0"/>
              <w:rPr>
                <w:rFonts w:eastAsia="SimSun"/>
              </w:rPr>
            </w:pPr>
          </w:p>
        </w:tc>
        <w:tc>
          <w:tcPr>
            <w:tcW w:w="1559" w:type="dxa"/>
            <w:vAlign w:val="center"/>
          </w:tcPr>
          <w:p w14:paraId="29580BE2" w14:textId="77777777" w:rsidR="00124A26" w:rsidRPr="00AC3044" w:rsidRDefault="00124A26" w:rsidP="002D3EBF">
            <w:pPr>
              <w:ind w:firstLine="0"/>
              <w:rPr>
                <w:rFonts w:eastAsia="SimSun"/>
              </w:rPr>
            </w:pPr>
            <w:r w:rsidRPr="00AC3044">
              <w:rPr>
                <w:rFonts w:eastAsia="SimSun"/>
              </w:rPr>
              <w:t>Циклоспорин</w:t>
            </w:r>
          </w:p>
        </w:tc>
        <w:tc>
          <w:tcPr>
            <w:tcW w:w="1418" w:type="dxa"/>
            <w:vAlign w:val="center"/>
          </w:tcPr>
          <w:p w14:paraId="31CC9ED1" w14:textId="77777777" w:rsidR="00124A26" w:rsidRPr="00AC3044" w:rsidRDefault="00124A26" w:rsidP="002D3EBF">
            <w:pPr>
              <w:ind w:firstLine="0"/>
              <w:rPr>
                <w:rFonts w:eastAsia="SimSun"/>
              </w:rPr>
            </w:pPr>
            <w:r w:rsidRPr="00AC3044">
              <w:rPr>
                <w:rFonts w:eastAsia="SimSun"/>
              </w:rPr>
              <w:t>3 мг/кг</w:t>
            </w:r>
          </w:p>
        </w:tc>
        <w:tc>
          <w:tcPr>
            <w:tcW w:w="1559" w:type="dxa"/>
            <w:vAlign w:val="center"/>
          </w:tcPr>
          <w:p w14:paraId="11F576DE" w14:textId="77777777" w:rsidR="00124A26" w:rsidRPr="00AC3044" w:rsidRDefault="00124A26" w:rsidP="002D3EBF">
            <w:pPr>
              <w:ind w:firstLine="0"/>
              <w:rPr>
                <w:rFonts w:eastAsia="SimSun"/>
              </w:rPr>
            </w:pPr>
            <w:r w:rsidRPr="00AC3044">
              <w:rPr>
                <w:rFonts w:eastAsia="SimSun"/>
              </w:rPr>
              <w:t>–</w:t>
            </w:r>
          </w:p>
        </w:tc>
        <w:tc>
          <w:tcPr>
            <w:tcW w:w="1559" w:type="dxa"/>
            <w:vAlign w:val="center"/>
          </w:tcPr>
          <w:p w14:paraId="10DDEC4E" w14:textId="77777777" w:rsidR="00124A26" w:rsidRPr="00AC3044" w:rsidRDefault="00124A26" w:rsidP="002D3EBF">
            <w:pPr>
              <w:ind w:firstLine="0"/>
              <w:rPr>
                <w:rFonts w:eastAsia="SimSun"/>
              </w:rPr>
            </w:pPr>
            <w:r w:rsidRPr="00AC3044">
              <w:rPr>
                <w:rFonts w:eastAsia="SimSun"/>
              </w:rPr>
              <w:t>С +5 по +90 день, затем постепенное снижение к +180 дню</w:t>
            </w:r>
          </w:p>
        </w:tc>
        <w:tc>
          <w:tcPr>
            <w:tcW w:w="2410" w:type="dxa"/>
            <w:vAlign w:val="center"/>
          </w:tcPr>
          <w:p w14:paraId="2CBF3505" w14:textId="77777777" w:rsidR="00124A26" w:rsidRPr="00AC3044" w:rsidRDefault="00124A26"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124A26" w:rsidRPr="00AC3044" w14:paraId="03174F07" w14:textId="77777777" w:rsidTr="002D3EBF">
        <w:trPr>
          <w:cantSplit/>
          <w:trHeight w:val="20"/>
        </w:trPr>
        <w:tc>
          <w:tcPr>
            <w:tcW w:w="1135" w:type="dxa"/>
            <w:vMerge/>
          </w:tcPr>
          <w:p w14:paraId="4668263E" w14:textId="77777777" w:rsidR="00124A26" w:rsidRPr="00AC3044" w:rsidRDefault="00124A26" w:rsidP="002D3EBF">
            <w:pPr>
              <w:ind w:firstLine="0"/>
              <w:rPr>
                <w:rFonts w:eastAsia="SimSun"/>
              </w:rPr>
            </w:pPr>
          </w:p>
        </w:tc>
        <w:tc>
          <w:tcPr>
            <w:tcW w:w="1559" w:type="dxa"/>
            <w:vAlign w:val="center"/>
          </w:tcPr>
          <w:p w14:paraId="2490040C" w14:textId="77777777" w:rsidR="00124A26" w:rsidRPr="00AC3044" w:rsidRDefault="00124A26" w:rsidP="002D3EBF">
            <w:pPr>
              <w:ind w:firstLine="0"/>
              <w:rPr>
                <w:rFonts w:eastAsia="SimSun"/>
              </w:rPr>
            </w:pPr>
            <w:r w:rsidRPr="00AC3044">
              <w:rPr>
                <w:rFonts w:eastAsia="SimSun"/>
              </w:rPr>
              <w:t>Микофенолата мофетил</w:t>
            </w:r>
          </w:p>
        </w:tc>
        <w:tc>
          <w:tcPr>
            <w:tcW w:w="1418" w:type="dxa"/>
            <w:vAlign w:val="center"/>
          </w:tcPr>
          <w:p w14:paraId="43F80CF0" w14:textId="77777777" w:rsidR="00124A26" w:rsidRPr="00AC3044" w:rsidRDefault="00124A26" w:rsidP="002D3EBF">
            <w:pPr>
              <w:ind w:firstLine="0"/>
              <w:rPr>
                <w:rFonts w:eastAsia="SimSun"/>
              </w:rPr>
            </w:pPr>
            <w:r w:rsidRPr="00AC3044">
              <w:rPr>
                <w:rFonts w:eastAsia="SimSun"/>
              </w:rPr>
              <w:t>45 мг/кг</w:t>
            </w:r>
          </w:p>
        </w:tc>
        <w:tc>
          <w:tcPr>
            <w:tcW w:w="1559" w:type="dxa"/>
            <w:vAlign w:val="center"/>
          </w:tcPr>
          <w:p w14:paraId="1E151F18" w14:textId="77777777" w:rsidR="00124A26" w:rsidRPr="00AC3044" w:rsidRDefault="00124A26" w:rsidP="002D3EBF">
            <w:pPr>
              <w:ind w:firstLine="0"/>
              <w:rPr>
                <w:rFonts w:eastAsia="SimSun"/>
              </w:rPr>
            </w:pPr>
            <w:r w:rsidRPr="00AC3044">
              <w:rPr>
                <w:rFonts w:eastAsia="SimSun"/>
              </w:rPr>
              <w:t>–</w:t>
            </w:r>
          </w:p>
        </w:tc>
        <w:tc>
          <w:tcPr>
            <w:tcW w:w="1559" w:type="dxa"/>
            <w:vAlign w:val="center"/>
          </w:tcPr>
          <w:p w14:paraId="2B568F45" w14:textId="77777777" w:rsidR="00124A26" w:rsidRPr="00AC3044" w:rsidRDefault="00124A26" w:rsidP="002D3EBF">
            <w:pPr>
              <w:ind w:firstLine="0"/>
              <w:rPr>
                <w:rFonts w:eastAsia="SimSun"/>
              </w:rPr>
            </w:pPr>
            <w:r w:rsidRPr="00AC3044">
              <w:rPr>
                <w:rFonts w:eastAsia="SimSun"/>
              </w:rPr>
              <w:t>С +5 по +90 день</w:t>
            </w:r>
          </w:p>
        </w:tc>
        <w:tc>
          <w:tcPr>
            <w:tcW w:w="2410" w:type="dxa"/>
            <w:vAlign w:val="center"/>
          </w:tcPr>
          <w:p w14:paraId="32C322B5" w14:textId="77777777" w:rsidR="00124A26" w:rsidRPr="00AC3044" w:rsidRDefault="00124A26"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r w:rsidR="00124A26" w:rsidRPr="00AC3044" w14:paraId="01CC02DA" w14:textId="77777777" w:rsidTr="002D3EBF">
        <w:trPr>
          <w:cantSplit/>
          <w:trHeight w:val="464"/>
        </w:trPr>
        <w:tc>
          <w:tcPr>
            <w:tcW w:w="1135" w:type="dxa"/>
            <w:vMerge/>
          </w:tcPr>
          <w:p w14:paraId="303F67C8" w14:textId="77777777" w:rsidR="00124A26" w:rsidRPr="00AC3044" w:rsidRDefault="00124A26" w:rsidP="002D3EBF">
            <w:pPr>
              <w:ind w:firstLine="0"/>
              <w:rPr>
                <w:rFonts w:eastAsia="SimSun"/>
              </w:rPr>
            </w:pPr>
            <w:bookmarkStart w:id="265" w:name="_Hlk716839"/>
          </w:p>
        </w:tc>
        <w:tc>
          <w:tcPr>
            <w:tcW w:w="1559" w:type="dxa"/>
            <w:vAlign w:val="center"/>
          </w:tcPr>
          <w:p w14:paraId="0B7D2BE5" w14:textId="77777777" w:rsidR="00124A26" w:rsidRPr="00AC3044" w:rsidRDefault="00124A26" w:rsidP="002D3EBF">
            <w:pPr>
              <w:ind w:firstLine="0"/>
              <w:rPr>
                <w:rFonts w:eastAsia="SimSun"/>
              </w:rPr>
            </w:pPr>
            <w:r w:rsidRPr="00AC3044">
              <w:rPr>
                <w:rFonts w:eastAsia="SimSun"/>
              </w:rPr>
              <w:t>Циклофосфамид</w:t>
            </w:r>
          </w:p>
        </w:tc>
        <w:tc>
          <w:tcPr>
            <w:tcW w:w="1418" w:type="dxa"/>
            <w:vAlign w:val="center"/>
          </w:tcPr>
          <w:p w14:paraId="5C099834" w14:textId="77777777" w:rsidR="00124A26" w:rsidRPr="00AC3044" w:rsidRDefault="00124A26" w:rsidP="002D3EBF">
            <w:pPr>
              <w:ind w:firstLine="0"/>
              <w:rPr>
                <w:rFonts w:eastAsia="SimSun"/>
              </w:rPr>
            </w:pPr>
            <w:r w:rsidRPr="00AC3044">
              <w:rPr>
                <w:rFonts w:eastAsia="SimSun"/>
              </w:rPr>
              <w:t>50 мг/кг</w:t>
            </w:r>
          </w:p>
        </w:tc>
        <w:tc>
          <w:tcPr>
            <w:tcW w:w="1559" w:type="dxa"/>
            <w:vAlign w:val="center"/>
          </w:tcPr>
          <w:p w14:paraId="7720DC94" w14:textId="77777777" w:rsidR="00124A26" w:rsidRPr="00AC3044" w:rsidRDefault="00124A26" w:rsidP="002D3EBF">
            <w:pPr>
              <w:ind w:firstLine="0"/>
              <w:rPr>
                <w:rFonts w:eastAsia="SimSun"/>
              </w:rPr>
            </w:pPr>
            <w:r w:rsidRPr="00AC3044">
              <w:rPr>
                <w:rFonts w:eastAsia="SimSun"/>
              </w:rPr>
              <w:t>100 мг/кг</w:t>
            </w:r>
          </w:p>
        </w:tc>
        <w:tc>
          <w:tcPr>
            <w:tcW w:w="1559" w:type="dxa"/>
            <w:vAlign w:val="center"/>
          </w:tcPr>
          <w:p w14:paraId="42BB03DD" w14:textId="77777777" w:rsidR="00124A26" w:rsidRPr="00AC3044" w:rsidRDefault="00124A26" w:rsidP="002D3EBF">
            <w:pPr>
              <w:ind w:firstLine="0"/>
              <w:rPr>
                <w:rFonts w:eastAsia="SimSun"/>
              </w:rPr>
            </w:pPr>
            <w:r w:rsidRPr="00AC3044">
              <w:rPr>
                <w:rFonts w:eastAsia="SimSun"/>
              </w:rPr>
              <w:t xml:space="preserve">+3, +4 дни </w:t>
            </w:r>
          </w:p>
        </w:tc>
        <w:tc>
          <w:tcPr>
            <w:tcW w:w="2410" w:type="dxa"/>
            <w:vAlign w:val="center"/>
          </w:tcPr>
          <w:p w14:paraId="1B9016EB" w14:textId="77777777" w:rsidR="00124A26" w:rsidRPr="00AC3044" w:rsidRDefault="00124A26" w:rsidP="002D3EBF">
            <w:pPr>
              <w:ind w:firstLine="0"/>
              <w:rPr>
                <w:rFonts w:eastAsia="SimSun"/>
              </w:rPr>
            </w:pPr>
            <w:r w:rsidRPr="00AC3044">
              <w:rPr>
                <w:rFonts w:eastAsia="SimSun"/>
              </w:rPr>
              <w:t>В/в, в течение 2 часов</w:t>
            </w:r>
          </w:p>
        </w:tc>
      </w:tr>
    </w:tbl>
    <w:p w14:paraId="0A9611A2" w14:textId="77777777" w:rsidR="00124A26" w:rsidRDefault="00124A26" w:rsidP="00124A26">
      <w:pPr>
        <w:rPr>
          <w:rFonts w:eastAsia="SimSun"/>
        </w:rPr>
      </w:pPr>
      <w:bookmarkStart w:id="266" w:name="_Toc44401229"/>
      <w:bookmarkEnd w:id="265"/>
    </w:p>
    <w:p w14:paraId="3A2F1C51" w14:textId="77777777" w:rsidR="00124A26" w:rsidRPr="00C07B2E" w:rsidRDefault="00124A26" w:rsidP="00124A26">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3.1.4  – Flu180+Bu8 / PT-Cy+CSA+MMF30</w:t>
      </w:r>
      <w:bookmarkEnd w:id="266"/>
    </w:p>
    <w:tbl>
      <w:tblPr>
        <w:tblW w:w="9588"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3"/>
        <w:gridCol w:w="1559"/>
        <w:gridCol w:w="1418"/>
        <w:gridCol w:w="1559"/>
        <w:gridCol w:w="1559"/>
        <w:gridCol w:w="2410"/>
      </w:tblGrid>
      <w:tr w:rsidR="00124A26" w:rsidRPr="00AC3044" w14:paraId="44ECA2F6" w14:textId="77777777" w:rsidTr="002D3EBF">
        <w:trPr>
          <w:cantSplit/>
          <w:trHeight w:val="20"/>
          <w:tblHeader/>
        </w:trPr>
        <w:tc>
          <w:tcPr>
            <w:tcW w:w="1083" w:type="dxa"/>
          </w:tcPr>
          <w:p w14:paraId="3C5E1D31" w14:textId="77777777" w:rsidR="00124A26" w:rsidRPr="006A5E21" w:rsidRDefault="00124A26" w:rsidP="002D3EBF">
            <w:pPr>
              <w:ind w:firstLine="0"/>
              <w:rPr>
                <w:rFonts w:eastAsia="SimSun"/>
              </w:rPr>
            </w:pPr>
          </w:p>
        </w:tc>
        <w:tc>
          <w:tcPr>
            <w:tcW w:w="1559" w:type="dxa"/>
            <w:vAlign w:val="center"/>
          </w:tcPr>
          <w:p w14:paraId="0192C030" w14:textId="77777777" w:rsidR="00124A26" w:rsidRPr="00AC3044" w:rsidRDefault="00124A26" w:rsidP="002D3EBF">
            <w:pPr>
              <w:ind w:firstLine="0"/>
              <w:rPr>
                <w:rFonts w:eastAsia="SimSun"/>
              </w:rPr>
            </w:pPr>
            <w:r w:rsidRPr="00AC3044">
              <w:rPr>
                <w:rFonts w:eastAsia="SimSun"/>
              </w:rPr>
              <w:t>Препарат</w:t>
            </w:r>
          </w:p>
        </w:tc>
        <w:tc>
          <w:tcPr>
            <w:tcW w:w="1418" w:type="dxa"/>
            <w:vAlign w:val="center"/>
          </w:tcPr>
          <w:p w14:paraId="75E3ADAD" w14:textId="77777777" w:rsidR="00124A26" w:rsidRPr="00AC3044" w:rsidRDefault="00124A26" w:rsidP="002D3EBF">
            <w:pPr>
              <w:ind w:firstLine="0"/>
              <w:rPr>
                <w:rFonts w:eastAsia="SimSun"/>
              </w:rPr>
            </w:pPr>
            <w:r w:rsidRPr="00AC3044">
              <w:rPr>
                <w:rFonts w:eastAsia="SimSun"/>
              </w:rPr>
              <w:t>Суточная доза</w:t>
            </w:r>
          </w:p>
        </w:tc>
        <w:tc>
          <w:tcPr>
            <w:tcW w:w="1559" w:type="dxa"/>
            <w:vAlign w:val="center"/>
          </w:tcPr>
          <w:p w14:paraId="3A8AC78D" w14:textId="77777777" w:rsidR="00124A26" w:rsidRPr="00AC3044" w:rsidRDefault="00124A26" w:rsidP="002D3EBF">
            <w:pPr>
              <w:ind w:firstLine="0"/>
              <w:rPr>
                <w:rFonts w:eastAsia="SimSun"/>
              </w:rPr>
            </w:pPr>
            <w:r w:rsidRPr="00AC3044">
              <w:rPr>
                <w:rFonts w:eastAsia="SimSun"/>
              </w:rPr>
              <w:t>Курсовая доза</w:t>
            </w:r>
          </w:p>
        </w:tc>
        <w:tc>
          <w:tcPr>
            <w:tcW w:w="1559" w:type="dxa"/>
            <w:vAlign w:val="center"/>
          </w:tcPr>
          <w:p w14:paraId="79163B6B" w14:textId="77777777" w:rsidR="00124A26" w:rsidRPr="00AC3044" w:rsidRDefault="00124A26" w:rsidP="002D3EBF">
            <w:pPr>
              <w:ind w:firstLine="0"/>
              <w:rPr>
                <w:rFonts w:eastAsia="SimSun"/>
              </w:rPr>
            </w:pPr>
            <w:r w:rsidRPr="00AC3044">
              <w:rPr>
                <w:rFonts w:eastAsia="SimSun"/>
              </w:rPr>
              <w:t>Дни введения</w:t>
            </w:r>
          </w:p>
        </w:tc>
        <w:tc>
          <w:tcPr>
            <w:tcW w:w="2410" w:type="dxa"/>
            <w:vAlign w:val="center"/>
          </w:tcPr>
          <w:p w14:paraId="64F277D9"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42625EB9" w14:textId="77777777" w:rsidTr="002D3EBF">
        <w:trPr>
          <w:cantSplit/>
          <w:trHeight w:val="20"/>
        </w:trPr>
        <w:tc>
          <w:tcPr>
            <w:tcW w:w="1083" w:type="dxa"/>
            <w:vMerge w:val="restart"/>
            <w:textDirection w:val="btLr"/>
            <w:vAlign w:val="center"/>
          </w:tcPr>
          <w:p w14:paraId="45349D1F" w14:textId="77777777" w:rsidR="00124A26" w:rsidRPr="00AC3044" w:rsidRDefault="00124A26" w:rsidP="002D3EBF">
            <w:pPr>
              <w:ind w:firstLine="0"/>
              <w:rPr>
                <w:rFonts w:eastAsia="SimSun"/>
              </w:rPr>
            </w:pPr>
            <w:r w:rsidRPr="00AC3044">
              <w:rPr>
                <w:rFonts w:eastAsia="SimSun"/>
              </w:rPr>
              <w:t>Кондиционирование</w:t>
            </w:r>
          </w:p>
        </w:tc>
        <w:tc>
          <w:tcPr>
            <w:tcW w:w="1559" w:type="dxa"/>
            <w:vAlign w:val="center"/>
          </w:tcPr>
          <w:p w14:paraId="0E7C7B5E" w14:textId="77777777" w:rsidR="00124A26" w:rsidRPr="00AC3044" w:rsidRDefault="00124A26" w:rsidP="002D3EBF">
            <w:pPr>
              <w:ind w:firstLine="0"/>
              <w:rPr>
                <w:rFonts w:eastAsia="SimSun"/>
              </w:rPr>
            </w:pPr>
            <w:r w:rsidRPr="00AC3044">
              <w:rPr>
                <w:rFonts w:eastAsia="SimSun"/>
              </w:rPr>
              <w:t xml:space="preserve">Флударабин </w:t>
            </w:r>
          </w:p>
        </w:tc>
        <w:tc>
          <w:tcPr>
            <w:tcW w:w="1418" w:type="dxa"/>
            <w:vAlign w:val="center"/>
          </w:tcPr>
          <w:p w14:paraId="5895751A" w14:textId="77777777" w:rsidR="00124A26" w:rsidRPr="00AC3044" w:rsidRDefault="00124A26" w:rsidP="002D3EBF">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78BA49DF" w14:textId="77777777" w:rsidR="00124A26" w:rsidRPr="00AC3044" w:rsidRDefault="00124A26" w:rsidP="002D3EBF">
            <w:pPr>
              <w:ind w:firstLine="0"/>
              <w:rPr>
                <w:rFonts w:eastAsia="SimSun"/>
              </w:rPr>
            </w:pPr>
            <w:r w:rsidRPr="00AC3044">
              <w:rPr>
                <w:rFonts w:eastAsia="SimSun"/>
              </w:rPr>
              <w:t>180 мг/м</w:t>
            </w:r>
            <w:r w:rsidRPr="0074195F">
              <w:rPr>
                <w:rFonts w:eastAsia="SimSun"/>
                <w:vertAlign w:val="superscript"/>
              </w:rPr>
              <w:t>2</w:t>
            </w:r>
          </w:p>
        </w:tc>
        <w:tc>
          <w:tcPr>
            <w:tcW w:w="1559" w:type="dxa"/>
            <w:vAlign w:val="center"/>
          </w:tcPr>
          <w:p w14:paraId="1DB0F1A4" w14:textId="77777777" w:rsidR="00124A26" w:rsidRPr="00AC3044" w:rsidRDefault="00124A26" w:rsidP="002D3EBF">
            <w:pPr>
              <w:ind w:firstLine="0"/>
              <w:rPr>
                <w:rFonts w:eastAsia="SimSun"/>
              </w:rPr>
            </w:pPr>
            <w:r w:rsidRPr="00AC3044">
              <w:rPr>
                <w:rFonts w:eastAsia="SimSun"/>
              </w:rPr>
              <w:t>С –7 по –2 день</w:t>
            </w:r>
          </w:p>
        </w:tc>
        <w:tc>
          <w:tcPr>
            <w:tcW w:w="2410" w:type="dxa"/>
            <w:vAlign w:val="center"/>
          </w:tcPr>
          <w:p w14:paraId="2832DD59"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2D5813F1" w14:textId="77777777" w:rsidTr="002D3EBF">
        <w:trPr>
          <w:cantSplit/>
          <w:trHeight w:val="1123"/>
        </w:trPr>
        <w:tc>
          <w:tcPr>
            <w:tcW w:w="1083" w:type="dxa"/>
            <w:vMerge/>
            <w:textDirection w:val="btLr"/>
            <w:vAlign w:val="center"/>
          </w:tcPr>
          <w:p w14:paraId="52D8AC4F" w14:textId="77777777" w:rsidR="00124A26" w:rsidRPr="00AC3044" w:rsidRDefault="00124A26" w:rsidP="002D3EBF">
            <w:pPr>
              <w:ind w:firstLine="0"/>
              <w:rPr>
                <w:rFonts w:eastAsia="SimSun"/>
              </w:rPr>
            </w:pPr>
          </w:p>
        </w:tc>
        <w:tc>
          <w:tcPr>
            <w:tcW w:w="1559" w:type="dxa"/>
            <w:vAlign w:val="center"/>
          </w:tcPr>
          <w:p w14:paraId="5D572904" w14:textId="77777777" w:rsidR="00124A26" w:rsidRPr="00AC3044" w:rsidRDefault="00124A26" w:rsidP="002D3EBF">
            <w:pPr>
              <w:ind w:firstLine="0"/>
              <w:rPr>
                <w:rFonts w:eastAsia="SimSun"/>
              </w:rPr>
            </w:pPr>
            <w:r w:rsidRPr="00AC3044">
              <w:rPr>
                <w:rFonts w:eastAsia="SimSun"/>
              </w:rPr>
              <w:t>Бусульфан</w:t>
            </w:r>
          </w:p>
        </w:tc>
        <w:tc>
          <w:tcPr>
            <w:tcW w:w="1418" w:type="dxa"/>
            <w:vAlign w:val="center"/>
          </w:tcPr>
          <w:p w14:paraId="73CD61E1" w14:textId="77777777" w:rsidR="00124A26" w:rsidRPr="00AC3044" w:rsidRDefault="00124A26" w:rsidP="002D3EBF">
            <w:pPr>
              <w:ind w:firstLine="0"/>
              <w:rPr>
                <w:rFonts w:eastAsia="SimSun"/>
              </w:rPr>
            </w:pPr>
            <w:r w:rsidRPr="00AC3044">
              <w:rPr>
                <w:rFonts w:eastAsia="SimSun"/>
              </w:rPr>
              <w:t>4 мг/кг</w:t>
            </w:r>
          </w:p>
        </w:tc>
        <w:tc>
          <w:tcPr>
            <w:tcW w:w="1559" w:type="dxa"/>
            <w:vAlign w:val="center"/>
          </w:tcPr>
          <w:p w14:paraId="2930F65E" w14:textId="77777777" w:rsidR="00124A26" w:rsidRPr="00AC3044" w:rsidRDefault="00124A26" w:rsidP="002D3EBF">
            <w:pPr>
              <w:ind w:firstLine="0"/>
              <w:rPr>
                <w:rFonts w:eastAsia="SimSun"/>
              </w:rPr>
            </w:pPr>
            <w:r w:rsidRPr="00AC3044">
              <w:rPr>
                <w:rFonts w:eastAsia="SimSun"/>
              </w:rPr>
              <w:t>8 мг/кг</w:t>
            </w:r>
          </w:p>
        </w:tc>
        <w:tc>
          <w:tcPr>
            <w:tcW w:w="1559" w:type="dxa"/>
            <w:vAlign w:val="center"/>
          </w:tcPr>
          <w:p w14:paraId="566830EA" w14:textId="77777777" w:rsidR="00124A26" w:rsidRPr="00AC3044" w:rsidRDefault="00124A26" w:rsidP="002D3EBF">
            <w:pPr>
              <w:ind w:firstLine="0"/>
              <w:rPr>
                <w:rFonts w:eastAsia="SimSun"/>
              </w:rPr>
            </w:pPr>
            <w:r w:rsidRPr="00AC3044">
              <w:rPr>
                <w:rFonts w:eastAsia="SimSun"/>
              </w:rPr>
              <w:t>–3, –2 дни</w:t>
            </w:r>
          </w:p>
        </w:tc>
        <w:tc>
          <w:tcPr>
            <w:tcW w:w="2410" w:type="dxa"/>
            <w:vAlign w:val="center"/>
          </w:tcPr>
          <w:p w14:paraId="762966C2"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124A26" w:rsidRPr="00AC3044" w14:paraId="1BEF58C8" w14:textId="77777777" w:rsidTr="002D3EBF">
        <w:trPr>
          <w:cantSplit/>
          <w:trHeight w:val="20"/>
        </w:trPr>
        <w:tc>
          <w:tcPr>
            <w:tcW w:w="1083" w:type="dxa"/>
            <w:vMerge w:val="restart"/>
            <w:textDirection w:val="btLr"/>
            <w:vAlign w:val="center"/>
          </w:tcPr>
          <w:p w14:paraId="2701DAF2" w14:textId="77777777" w:rsidR="00124A26" w:rsidRPr="00AC3044" w:rsidRDefault="00124A26" w:rsidP="002D3EBF">
            <w:pPr>
              <w:ind w:firstLine="0"/>
              <w:rPr>
                <w:rFonts w:eastAsia="SimSun"/>
              </w:rPr>
            </w:pPr>
            <w:r w:rsidRPr="00AC3044">
              <w:rPr>
                <w:rFonts w:eastAsia="SimSun"/>
              </w:rPr>
              <w:t>Профилактика РТПХ</w:t>
            </w:r>
          </w:p>
        </w:tc>
        <w:tc>
          <w:tcPr>
            <w:tcW w:w="1559" w:type="dxa"/>
            <w:vAlign w:val="center"/>
          </w:tcPr>
          <w:p w14:paraId="0D3939F4" w14:textId="77777777" w:rsidR="00124A26" w:rsidRPr="00AC3044" w:rsidRDefault="00124A26" w:rsidP="002D3EBF">
            <w:pPr>
              <w:ind w:firstLine="0"/>
              <w:rPr>
                <w:rFonts w:eastAsia="SimSun"/>
              </w:rPr>
            </w:pPr>
            <w:r w:rsidRPr="00AC3044">
              <w:rPr>
                <w:rFonts w:eastAsia="SimSun"/>
              </w:rPr>
              <w:t>Циклоспорин</w:t>
            </w:r>
          </w:p>
        </w:tc>
        <w:tc>
          <w:tcPr>
            <w:tcW w:w="1418" w:type="dxa"/>
            <w:vAlign w:val="center"/>
          </w:tcPr>
          <w:p w14:paraId="6770F66B" w14:textId="77777777" w:rsidR="00124A26" w:rsidRPr="00AC3044" w:rsidRDefault="00124A26" w:rsidP="002D3EBF">
            <w:pPr>
              <w:ind w:firstLine="0"/>
              <w:rPr>
                <w:rFonts w:eastAsia="SimSun"/>
              </w:rPr>
            </w:pPr>
            <w:r w:rsidRPr="00AC3044">
              <w:rPr>
                <w:rFonts w:eastAsia="SimSun"/>
              </w:rPr>
              <w:t>3 мг/кг</w:t>
            </w:r>
          </w:p>
        </w:tc>
        <w:tc>
          <w:tcPr>
            <w:tcW w:w="1559" w:type="dxa"/>
            <w:vAlign w:val="center"/>
          </w:tcPr>
          <w:p w14:paraId="73AA4A39" w14:textId="77777777" w:rsidR="00124A26" w:rsidRPr="00AC3044" w:rsidRDefault="00124A26" w:rsidP="002D3EBF">
            <w:pPr>
              <w:ind w:firstLine="0"/>
              <w:rPr>
                <w:rFonts w:eastAsia="SimSun"/>
              </w:rPr>
            </w:pPr>
            <w:r w:rsidRPr="00AC3044">
              <w:rPr>
                <w:rFonts w:eastAsia="SimSun"/>
              </w:rPr>
              <w:t>–</w:t>
            </w:r>
          </w:p>
        </w:tc>
        <w:tc>
          <w:tcPr>
            <w:tcW w:w="1559" w:type="dxa"/>
            <w:vAlign w:val="center"/>
          </w:tcPr>
          <w:p w14:paraId="66EE675D" w14:textId="77777777" w:rsidR="00124A26" w:rsidRPr="00AC3044" w:rsidRDefault="00124A26" w:rsidP="002D3EBF">
            <w:pPr>
              <w:ind w:firstLine="0"/>
              <w:rPr>
                <w:rFonts w:eastAsia="SimSun"/>
              </w:rPr>
            </w:pPr>
            <w:r w:rsidRPr="00AC3044">
              <w:rPr>
                <w:rFonts w:eastAsia="SimSun"/>
              </w:rPr>
              <w:t>С +5 по +90 день, затем постепенное снижение к +180 дню</w:t>
            </w:r>
          </w:p>
        </w:tc>
        <w:tc>
          <w:tcPr>
            <w:tcW w:w="2410" w:type="dxa"/>
            <w:vAlign w:val="center"/>
          </w:tcPr>
          <w:p w14:paraId="630041F6" w14:textId="77777777" w:rsidR="00124A26" w:rsidRPr="00AC3044" w:rsidRDefault="00124A26"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124A26" w:rsidRPr="00AC3044" w14:paraId="79CAA536" w14:textId="77777777" w:rsidTr="002D3EBF">
        <w:trPr>
          <w:cantSplit/>
          <w:trHeight w:val="20"/>
        </w:trPr>
        <w:tc>
          <w:tcPr>
            <w:tcW w:w="1083" w:type="dxa"/>
            <w:vMerge/>
          </w:tcPr>
          <w:p w14:paraId="482D9F09" w14:textId="77777777" w:rsidR="00124A26" w:rsidRPr="00AC3044" w:rsidRDefault="00124A26" w:rsidP="002D3EBF">
            <w:pPr>
              <w:ind w:firstLine="0"/>
              <w:rPr>
                <w:rFonts w:eastAsia="SimSun"/>
              </w:rPr>
            </w:pPr>
          </w:p>
        </w:tc>
        <w:tc>
          <w:tcPr>
            <w:tcW w:w="1559" w:type="dxa"/>
            <w:vAlign w:val="center"/>
          </w:tcPr>
          <w:p w14:paraId="193B06D2" w14:textId="77777777" w:rsidR="00124A26" w:rsidRPr="00AC3044" w:rsidRDefault="00124A26" w:rsidP="002D3EBF">
            <w:pPr>
              <w:ind w:firstLine="0"/>
              <w:rPr>
                <w:rFonts w:eastAsia="SimSun"/>
              </w:rPr>
            </w:pPr>
            <w:r w:rsidRPr="00AC3044">
              <w:rPr>
                <w:rFonts w:eastAsia="SimSun"/>
              </w:rPr>
              <w:t>Микофенолата мофетил</w:t>
            </w:r>
          </w:p>
        </w:tc>
        <w:tc>
          <w:tcPr>
            <w:tcW w:w="1418" w:type="dxa"/>
            <w:vAlign w:val="center"/>
          </w:tcPr>
          <w:p w14:paraId="08816502" w14:textId="77777777" w:rsidR="00124A26" w:rsidRPr="00AC3044" w:rsidRDefault="00124A26" w:rsidP="002D3EBF">
            <w:pPr>
              <w:ind w:firstLine="0"/>
              <w:rPr>
                <w:rFonts w:eastAsia="SimSun"/>
              </w:rPr>
            </w:pPr>
            <w:r w:rsidRPr="00AC3044">
              <w:rPr>
                <w:rFonts w:eastAsia="SimSun"/>
              </w:rPr>
              <w:t>30 мг/кг</w:t>
            </w:r>
          </w:p>
        </w:tc>
        <w:tc>
          <w:tcPr>
            <w:tcW w:w="1559" w:type="dxa"/>
            <w:vAlign w:val="center"/>
          </w:tcPr>
          <w:p w14:paraId="670CB279" w14:textId="77777777" w:rsidR="00124A26" w:rsidRPr="00AC3044" w:rsidRDefault="00124A26" w:rsidP="002D3EBF">
            <w:pPr>
              <w:ind w:firstLine="0"/>
              <w:rPr>
                <w:rFonts w:eastAsia="SimSun"/>
              </w:rPr>
            </w:pPr>
            <w:r w:rsidRPr="00AC3044">
              <w:rPr>
                <w:rFonts w:eastAsia="SimSun"/>
              </w:rPr>
              <w:t>–</w:t>
            </w:r>
          </w:p>
        </w:tc>
        <w:tc>
          <w:tcPr>
            <w:tcW w:w="1559" w:type="dxa"/>
            <w:vAlign w:val="center"/>
          </w:tcPr>
          <w:p w14:paraId="6D27C75D" w14:textId="77777777" w:rsidR="00124A26" w:rsidRPr="00AC3044" w:rsidRDefault="00124A26" w:rsidP="002D3EBF">
            <w:pPr>
              <w:ind w:firstLine="0"/>
              <w:rPr>
                <w:rFonts w:eastAsia="SimSun"/>
              </w:rPr>
            </w:pPr>
            <w:r w:rsidRPr="00AC3044">
              <w:rPr>
                <w:rFonts w:eastAsia="SimSun"/>
              </w:rPr>
              <w:t>С +5 по +90 день</w:t>
            </w:r>
          </w:p>
        </w:tc>
        <w:tc>
          <w:tcPr>
            <w:tcW w:w="2410" w:type="dxa"/>
            <w:vAlign w:val="center"/>
          </w:tcPr>
          <w:p w14:paraId="2A181AD8"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124A26" w:rsidRPr="00AC3044" w14:paraId="57E1F54C" w14:textId="77777777" w:rsidTr="002D3EBF">
        <w:trPr>
          <w:cantSplit/>
          <w:trHeight w:val="464"/>
        </w:trPr>
        <w:tc>
          <w:tcPr>
            <w:tcW w:w="1083" w:type="dxa"/>
            <w:vMerge/>
          </w:tcPr>
          <w:p w14:paraId="6E30F32A" w14:textId="77777777" w:rsidR="00124A26" w:rsidRPr="00AC3044" w:rsidRDefault="00124A26" w:rsidP="002D3EBF">
            <w:pPr>
              <w:ind w:firstLine="0"/>
              <w:rPr>
                <w:rFonts w:eastAsia="SimSun"/>
              </w:rPr>
            </w:pPr>
          </w:p>
        </w:tc>
        <w:tc>
          <w:tcPr>
            <w:tcW w:w="1559" w:type="dxa"/>
            <w:vAlign w:val="center"/>
          </w:tcPr>
          <w:p w14:paraId="66ED777C" w14:textId="77777777" w:rsidR="00124A26" w:rsidRPr="00AC3044" w:rsidRDefault="00124A26" w:rsidP="002D3EBF">
            <w:pPr>
              <w:ind w:firstLine="0"/>
              <w:rPr>
                <w:rFonts w:eastAsia="SimSun"/>
              </w:rPr>
            </w:pPr>
            <w:r w:rsidRPr="00AC3044">
              <w:rPr>
                <w:rFonts w:eastAsia="SimSun"/>
              </w:rPr>
              <w:t>Циклофосфамид</w:t>
            </w:r>
          </w:p>
        </w:tc>
        <w:tc>
          <w:tcPr>
            <w:tcW w:w="1418" w:type="dxa"/>
            <w:vAlign w:val="center"/>
          </w:tcPr>
          <w:p w14:paraId="3F0DB92C" w14:textId="77777777" w:rsidR="00124A26" w:rsidRPr="00AC3044" w:rsidRDefault="00124A26" w:rsidP="002D3EBF">
            <w:pPr>
              <w:ind w:firstLine="0"/>
              <w:rPr>
                <w:rFonts w:eastAsia="SimSun"/>
              </w:rPr>
            </w:pPr>
            <w:r w:rsidRPr="00AC3044">
              <w:rPr>
                <w:rFonts w:eastAsia="SimSun"/>
              </w:rPr>
              <w:t>50 мг/кг</w:t>
            </w:r>
          </w:p>
        </w:tc>
        <w:tc>
          <w:tcPr>
            <w:tcW w:w="1559" w:type="dxa"/>
            <w:vAlign w:val="center"/>
          </w:tcPr>
          <w:p w14:paraId="0C85A0C2" w14:textId="77777777" w:rsidR="00124A26" w:rsidRPr="00AC3044" w:rsidRDefault="00124A26" w:rsidP="002D3EBF">
            <w:pPr>
              <w:ind w:firstLine="0"/>
              <w:rPr>
                <w:rFonts w:eastAsia="SimSun"/>
              </w:rPr>
            </w:pPr>
            <w:r w:rsidRPr="00AC3044">
              <w:rPr>
                <w:rFonts w:eastAsia="SimSun"/>
              </w:rPr>
              <w:t>100 мг/кг</w:t>
            </w:r>
          </w:p>
        </w:tc>
        <w:tc>
          <w:tcPr>
            <w:tcW w:w="1559" w:type="dxa"/>
            <w:vAlign w:val="center"/>
          </w:tcPr>
          <w:p w14:paraId="7D74E8CC" w14:textId="77777777" w:rsidR="00124A26" w:rsidRPr="00AC3044" w:rsidRDefault="00124A26" w:rsidP="002D3EBF">
            <w:pPr>
              <w:ind w:firstLine="0"/>
              <w:rPr>
                <w:rFonts w:eastAsia="SimSun"/>
              </w:rPr>
            </w:pPr>
            <w:r w:rsidRPr="00AC3044">
              <w:rPr>
                <w:rFonts w:eastAsia="SimSun"/>
              </w:rPr>
              <w:t xml:space="preserve">+3, +4 дни </w:t>
            </w:r>
          </w:p>
        </w:tc>
        <w:tc>
          <w:tcPr>
            <w:tcW w:w="2410" w:type="dxa"/>
            <w:vAlign w:val="center"/>
          </w:tcPr>
          <w:p w14:paraId="0913CE67" w14:textId="77777777" w:rsidR="00124A26" w:rsidRPr="00AC3044" w:rsidRDefault="00124A26" w:rsidP="002D3EBF">
            <w:pPr>
              <w:ind w:firstLine="0"/>
              <w:rPr>
                <w:rFonts w:eastAsia="SimSun"/>
              </w:rPr>
            </w:pPr>
            <w:r w:rsidRPr="00AC3044">
              <w:rPr>
                <w:rFonts w:eastAsia="SimSun"/>
              </w:rPr>
              <w:t>В/в, в течение 2 часов</w:t>
            </w:r>
          </w:p>
        </w:tc>
      </w:tr>
    </w:tbl>
    <w:p w14:paraId="128C4113" w14:textId="77777777" w:rsidR="00124A26" w:rsidRDefault="00124A26" w:rsidP="00124A26">
      <w:pPr>
        <w:rPr>
          <w:rFonts w:eastAsia="SimSun"/>
        </w:rPr>
      </w:pPr>
      <w:bookmarkStart w:id="267" w:name="_Toc44401230"/>
    </w:p>
    <w:p w14:paraId="29A92EED" w14:textId="77777777" w:rsidR="00124A26" w:rsidRPr="00C07B2E" w:rsidRDefault="00124A26" w:rsidP="00124A26">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3.1.5  – Flu180+Bu8 / PT-Cy+CSA+MMF45</w:t>
      </w:r>
      <w:bookmarkEnd w:id="267"/>
    </w:p>
    <w:tbl>
      <w:tblPr>
        <w:tblW w:w="9608"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3"/>
        <w:gridCol w:w="1559"/>
        <w:gridCol w:w="1418"/>
        <w:gridCol w:w="1559"/>
        <w:gridCol w:w="1559"/>
        <w:gridCol w:w="2410"/>
      </w:tblGrid>
      <w:tr w:rsidR="00124A26" w:rsidRPr="00AC3044" w14:paraId="649D7DAC" w14:textId="77777777" w:rsidTr="002D3EBF">
        <w:trPr>
          <w:cantSplit/>
          <w:trHeight w:val="20"/>
          <w:tblHeader/>
        </w:trPr>
        <w:tc>
          <w:tcPr>
            <w:tcW w:w="1103" w:type="dxa"/>
          </w:tcPr>
          <w:p w14:paraId="5A79F657" w14:textId="77777777" w:rsidR="00124A26" w:rsidRPr="006A5E21" w:rsidRDefault="00124A26" w:rsidP="002D3EBF">
            <w:pPr>
              <w:ind w:firstLine="0"/>
              <w:rPr>
                <w:rFonts w:eastAsia="SimSun"/>
              </w:rPr>
            </w:pPr>
          </w:p>
        </w:tc>
        <w:tc>
          <w:tcPr>
            <w:tcW w:w="1559" w:type="dxa"/>
            <w:vAlign w:val="center"/>
          </w:tcPr>
          <w:p w14:paraId="13EC42F2" w14:textId="77777777" w:rsidR="00124A26" w:rsidRPr="00AC3044" w:rsidRDefault="00124A26" w:rsidP="002D3EBF">
            <w:pPr>
              <w:ind w:firstLine="0"/>
              <w:rPr>
                <w:rFonts w:eastAsia="SimSun"/>
              </w:rPr>
            </w:pPr>
            <w:r w:rsidRPr="00AC3044">
              <w:rPr>
                <w:rFonts w:eastAsia="SimSun"/>
              </w:rPr>
              <w:t>Препарат</w:t>
            </w:r>
          </w:p>
        </w:tc>
        <w:tc>
          <w:tcPr>
            <w:tcW w:w="1418" w:type="dxa"/>
            <w:vAlign w:val="center"/>
          </w:tcPr>
          <w:p w14:paraId="69D1017F" w14:textId="77777777" w:rsidR="00124A26" w:rsidRPr="00AC3044" w:rsidRDefault="00124A26" w:rsidP="002D3EBF">
            <w:pPr>
              <w:ind w:firstLine="0"/>
              <w:rPr>
                <w:rFonts w:eastAsia="SimSun"/>
              </w:rPr>
            </w:pPr>
            <w:r w:rsidRPr="00AC3044">
              <w:rPr>
                <w:rFonts w:eastAsia="SimSun"/>
              </w:rPr>
              <w:t>Суточная доза</w:t>
            </w:r>
          </w:p>
        </w:tc>
        <w:tc>
          <w:tcPr>
            <w:tcW w:w="1559" w:type="dxa"/>
            <w:vAlign w:val="center"/>
          </w:tcPr>
          <w:p w14:paraId="12335F33" w14:textId="77777777" w:rsidR="00124A26" w:rsidRPr="00AC3044" w:rsidRDefault="00124A26" w:rsidP="002D3EBF">
            <w:pPr>
              <w:ind w:firstLine="0"/>
              <w:rPr>
                <w:rFonts w:eastAsia="SimSun"/>
              </w:rPr>
            </w:pPr>
            <w:r w:rsidRPr="00AC3044">
              <w:rPr>
                <w:rFonts w:eastAsia="SimSun"/>
              </w:rPr>
              <w:t>Курсовая доза</w:t>
            </w:r>
          </w:p>
        </w:tc>
        <w:tc>
          <w:tcPr>
            <w:tcW w:w="1559" w:type="dxa"/>
            <w:vAlign w:val="center"/>
          </w:tcPr>
          <w:p w14:paraId="57D7D6E2" w14:textId="77777777" w:rsidR="00124A26" w:rsidRPr="00AC3044" w:rsidRDefault="00124A26" w:rsidP="002D3EBF">
            <w:pPr>
              <w:ind w:firstLine="0"/>
              <w:rPr>
                <w:rFonts w:eastAsia="SimSun"/>
              </w:rPr>
            </w:pPr>
            <w:r w:rsidRPr="00AC3044">
              <w:rPr>
                <w:rFonts w:eastAsia="SimSun"/>
              </w:rPr>
              <w:t>Дни введения</w:t>
            </w:r>
          </w:p>
        </w:tc>
        <w:tc>
          <w:tcPr>
            <w:tcW w:w="2410" w:type="dxa"/>
            <w:vAlign w:val="center"/>
          </w:tcPr>
          <w:p w14:paraId="0E5B6E27"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6B1EEE04" w14:textId="77777777" w:rsidTr="002D3EBF">
        <w:trPr>
          <w:cantSplit/>
          <w:trHeight w:val="20"/>
        </w:trPr>
        <w:tc>
          <w:tcPr>
            <w:tcW w:w="1103" w:type="dxa"/>
            <w:vMerge w:val="restart"/>
            <w:textDirection w:val="btLr"/>
            <w:vAlign w:val="center"/>
          </w:tcPr>
          <w:p w14:paraId="08EB0F79" w14:textId="77777777" w:rsidR="00124A26" w:rsidRPr="00AC3044" w:rsidRDefault="00124A26" w:rsidP="002D3EBF">
            <w:pPr>
              <w:ind w:firstLine="0"/>
              <w:rPr>
                <w:rFonts w:eastAsia="SimSun"/>
              </w:rPr>
            </w:pPr>
            <w:r w:rsidRPr="00AC3044">
              <w:rPr>
                <w:rFonts w:eastAsia="SimSun"/>
              </w:rPr>
              <w:t>Кондиционирование</w:t>
            </w:r>
          </w:p>
        </w:tc>
        <w:tc>
          <w:tcPr>
            <w:tcW w:w="1559" w:type="dxa"/>
            <w:vAlign w:val="center"/>
          </w:tcPr>
          <w:p w14:paraId="3CBD3C38" w14:textId="77777777" w:rsidR="00124A26" w:rsidRPr="00AC3044" w:rsidRDefault="00124A26" w:rsidP="002D3EBF">
            <w:pPr>
              <w:ind w:firstLine="0"/>
              <w:rPr>
                <w:rFonts w:eastAsia="SimSun"/>
              </w:rPr>
            </w:pPr>
            <w:r w:rsidRPr="00AC3044">
              <w:rPr>
                <w:rFonts w:eastAsia="SimSun"/>
              </w:rPr>
              <w:t xml:space="preserve">Флударабин </w:t>
            </w:r>
          </w:p>
        </w:tc>
        <w:tc>
          <w:tcPr>
            <w:tcW w:w="1418" w:type="dxa"/>
            <w:vAlign w:val="center"/>
          </w:tcPr>
          <w:p w14:paraId="42BC1114" w14:textId="77777777" w:rsidR="00124A26" w:rsidRPr="00AC3044" w:rsidRDefault="00124A26" w:rsidP="002D3EBF">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43E7F2D9" w14:textId="77777777" w:rsidR="00124A26" w:rsidRPr="00AC3044" w:rsidRDefault="00124A26" w:rsidP="002D3EBF">
            <w:pPr>
              <w:ind w:firstLine="0"/>
              <w:rPr>
                <w:rFonts w:eastAsia="SimSun"/>
              </w:rPr>
            </w:pPr>
            <w:r w:rsidRPr="00AC3044">
              <w:rPr>
                <w:rFonts w:eastAsia="SimSun"/>
              </w:rPr>
              <w:t>180 мг/м</w:t>
            </w:r>
            <w:r w:rsidRPr="0074195F">
              <w:rPr>
                <w:rFonts w:eastAsia="SimSun"/>
                <w:vertAlign w:val="superscript"/>
              </w:rPr>
              <w:t>2</w:t>
            </w:r>
          </w:p>
        </w:tc>
        <w:tc>
          <w:tcPr>
            <w:tcW w:w="1559" w:type="dxa"/>
            <w:vAlign w:val="center"/>
          </w:tcPr>
          <w:p w14:paraId="345C4CB8" w14:textId="77777777" w:rsidR="00124A26" w:rsidRPr="00AC3044" w:rsidRDefault="00124A26" w:rsidP="002D3EBF">
            <w:pPr>
              <w:ind w:firstLine="0"/>
              <w:rPr>
                <w:rFonts w:eastAsia="SimSun"/>
              </w:rPr>
            </w:pPr>
            <w:r w:rsidRPr="00AC3044">
              <w:rPr>
                <w:rFonts w:eastAsia="SimSun"/>
              </w:rPr>
              <w:t>С –7 по –2 день</w:t>
            </w:r>
          </w:p>
        </w:tc>
        <w:tc>
          <w:tcPr>
            <w:tcW w:w="2410" w:type="dxa"/>
            <w:vAlign w:val="center"/>
          </w:tcPr>
          <w:p w14:paraId="53F7F92C"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0CC0A272" w14:textId="77777777" w:rsidTr="002D3EBF">
        <w:trPr>
          <w:cantSplit/>
          <w:trHeight w:val="606"/>
        </w:trPr>
        <w:tc>
          <w:tcPr>
            <w:tcW w:w="1103" w:type="dxa"/>
            <w:vMerge/>
            <w:textDirection w:val="btLr"/>
            <w:vAlign w:val="center"/>
          </w:tcPr>
          <w:p w14:paraId="1C9DF1E9" w14:textId="77777777" w:rsidR="00124A26" w:rsidRPr="00AC3044" w:rsidRDefault="00124A26" w:rsidP="002D3EBF">
            <w:pPr>
              <w:ind w:firstLine="0"/>
              <w:rPr>
                <w:rFonts w:eastAsia="SimSun"/>
              </w:rPr>
            </w:pPr>
          </w:p>
        </w:tc>
        <w:tc>
          <w:tcPr>
            <w:tcW w:w="1559" w:type="dxa"/>
            <w:vAlign w:val="center"/>
          </w:tcPr>
          <w:p w14:paraId="72564531" w14:textId="77777777" w:rsidR="00124A26" w:rsidRPr="00AC3044" w:rsidRDefault="00124A26" w:rsidP="002D3EBF">
            <w:pPr>
              <w:ind w:firstLine="0"/>
              <w:rPr>
                <w:rFonts w:eastAsia="SimSun"/>
              </w:rPr>
            </w:pPr>
            <w:r w:rsidRPr="00AC3044">
              <w:rPr>
                <w:rFonts w:eastAsia="SimSun"/>
              </w:rPr>
              <w:t>Бусульфан</w:t>
            </w:r>
          </w:p>
        </w:tc>
        <w:tc>
          <w:tcPr>
            <w:tcW w:w="1418" w:type="dxa"/>
            <w:vAlign w:val="center"/>
          </w:tcPr>
          <w:p w14:paraId="72A968ED" w14:textId="77777777" w:rsidR="00124A26" w:rsidRPr="00AC3044" w:rsidRDefault="00124A26" w:rsidP="002D3EBF">
            <w:pPr>
              <w:ind w:firstLine="0"/>
              <w:rPr>
                <w:rFonts w:eastAsia="SimSun"/>
              </w:rPr>
            </w:pPr>
            <w:r w:rsidRPr="00AC3044">
              <w:rPr>
                <w:rFonts w:eastAsia="SimSun"/>
              </w:rPr>
              <w:t>4 мг/кг</w:t>
            </w:r>
          </w:p>
        </w:tc>
        <w:tc>
          <w:tcPr>
            <w:tcW w:w="1559" w:type="dxa"/>
            <w:vAlign w:val="center"/>
          </w:tcPr>
          <w:p w14:paraId="682B3D50" w14:textId="77777777" w:rsidR="00124A26" w:rsidRPr="00AC3044" w:rsidRDefault="00124A26" w:rsidP="002D3EBF">
            <w:pPr>
              <w:ind w:firstLine="0"/>
              <w:rPr>
                <w:rFonts w:eastAsia="SimSun"/>
              </w:rPr>
            </w:pPr>
            <w:r w:rsidRPr="00AC3044">
              <w:rPr>
                <w:rFonts w:eastAsia="SimSun"/>
              </w:rPr>
              <w:t>8 мг/кг</w:t>
            </w:r>
          </w:p>
        </w:tc>
        <w:tc>
          <w:tcPr>
            <w:tcW w:w="1559" w:type="dxa"/>
            <w:vAlign w:val="center"/>
          </w:tcPr>
          <w:p w14:paraId="5DDC1195" w14:textId="77777777" w:rsidR="00124A26" w:rsidRPr="00AC3044" w:rsidRDefault="00124A26" w:rsidP="002D3EBF">
            <w:pPr>
              <w:ind w:firstLine="0"/>
              <w:rPr>
                <w:rFonts w:eastAsia="SimSun"/>
              </w:rPr>
            </w:pPr>
            <w:r w:rsidRPr="00AC3044">
              <w:rPr>
                <w:rFonts w:eastAsia="SimSun"/>
              </w:rPr>
              <w:t>–3, –2 дни</w:t>
            </w:r>
          </w:p>
        </w:tc>
        <w:tc>
          <w:tcPr>
            <w:tcW w:w="2410" w:type="dxa"/>
            <w:vAlign w:val="center"/>
          </w:tcPr>
          <w:p w14:paraId="5E9B7411"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124A26" w:rsidRPr="00AC3044" w14:paraId="12E19113" w14:textId="77777777" w:rsidTr="002D3EBF">
        <w:trPr>
          <w:cantSplit/>
          <w:trHeight w:val="20"/>
        </w:trPr>
        <w:tc>
          <w:tcPr>
            <w:tcW w:w="1103" w:type="dxa"/>
            <w:vMerge w:val="restart"/>
            <w:textDirection w:val="btLr"/>
            <w:vAlign w:val="center"/>
          </w:tcPr>
          <w:p w14:paraId="5524A2F7" w14:textId="77777777" w:rsidR="00124A26" w:rsidRPr="00AC3044" w:rsidRDefault="00124A26" w:rsidP="002D3EBF">
            <w:pPr>
              <w:ind w:firstLine="0"/>
              <w:rPr>
                <w:rFonts w:eastAsia="SimSun"/>
              </w:rPr>
            </w:pPr>
            <w:r w:rsidRPr="00AC3044">
              <w:rPr>
                <w:rFonts w:eastAsia="SimSun"/>
              </w:rPr>
              <w:t>Профилактика РТПХ</w:t>
            </w:r>
          </w:p>
        </w:tc>
        <w:tc>
          <w:tcPr>
            <w:tcW w:w="1559" w:type="dxa"/>
            <w:vAlign w:val="center"/>
          </w:tcPr>
          <w:p w14:paraId="798CB65E" w14:textId="77777777" w:rsidR="00124A26" w:rsidRPr="00AC3044" w:rsidRDefault="00124A26" w:rsidP="002D3EBF">
            <w:pPr>
              <w:ind w:firstLine="0"/>
              <w:rPr>
                <w:rFonts w:eastAsia="SimSun"/>
              </w:rPr>
            </w:pPr>
            <w:r w:rsidRPr="00AC3044">
              <w:rPr>
                <w:rFonts w:eastAsia="SimSun"/>
              </w:rPr>
              <w:t>Циклоспорин</w:t>
            </w:r>
          </w:p>
        </w:tc>
        <w:tc>
          <w:tcPr>
            <w:tcW w:w="1418" w:type="dxa"/>
            <w:vAlign w:val="center"/>
          </w:tcPr>
          <w:p w14:paraId="263D2FC8" w14:textId="77777777" w:rsidR="00124A26" w:rsidRPr="00AC3044" w:rsidRDefault="00124A26" w:rsidP="002D3EBF">
            <w:pPr>
              <w:ind w:firstLine="0"/>
              <w:rPr>
                <w:rFonts w:eastAsia="SimSun"/>
              </w:rPr>
            </w:pPr>
            <w:r w:rsidRPr="00AC3044">
              <w:rPr>
                <w:rFonts w:eastAsia="SimSun"/>
              </w:rPr>
              <w:t>3 мг/кг</w:t>
            </w:r>
          </w:p>
        </w:tc>
        <w:tc>
          <w:tcPr>
            <w:tcW w:w="1559" w:type="dxa"/>
            <w:vAlign w:val="center"/>
          </w:tcPr>
          <w:p w14:paraId="145EDA69" w14:textId="77777777" w:rsidR="00124A26" w:rsidRPr="00AC3044" w:rsidRDefault="00124A26" w:rsidP="002D3EBF">
            <w:pPr>
              <w:ind w:firstLine="0"/>
              <w:rPr>
                <w:rFonts w:eastAsia="SimSun"/>
              </w:rPr>
            </w:pPr>
            <w:r w:rsidRPr="00AC3044">
              <w:rPr>
                <w:rFonts w:eastAsia="SimSun"/>
              </w:rPr>
              <w:t>–</w:t>
            </w:r>
          </w:p>
        </w:tc>
        <w:tc>
          <w:tcPr>
            <w:tcW w:w="1559" w:type="dxa"/>
            <w:vAlign w:val="center"/>
          </w:tcPr>
          <w:p w14:paraId="15ED9DF4" w14:textId="77777777" w:rsidR="00124A26" w:rsidRPr="00AC3044" w:rsidRDefault="00124A26" w:rsidP="002D3EBF">
            <w:pPr>
              <w:ind w:firstLine="0"/>
              <w:rPr>
                <w:rFonts w:eastAsia="SimSun"/>
              </w:rPr>
            </w:pPr>
            <w:r w:rsidRPr="00AC3044">
              <w:rPr>
                <w:rFonts w:eastAsia="SimSun"/>
              </w:rPr>
              <w:t>С +5 по +90 день, затем постепенное снижение к +180 дню</w:t>
            </w:r>
          </w:p>
        </w:tc>
        <w:tc>
          <w:tcPr>
            <w:tcW w:w="2410" w:type="dxa"/>
            <w:vAlign w:val="center"/>
          </w:tcPr>
          <w:p w14:paraId="57D148C5" w14:textId="77777777" w:rsidR="00124A26" w:rsidRPr="00AC3044" w:rsidRDefault="00124A26"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124A26" w:rsidRPr="00AC3044" w14:paraId="3B61409E" w14:textId="77777777" w:rsidTr="002D3EBF">
        <w:trPr>
          <w:cantSplit/>
          <w:trHeight w:val="20"/>
        </w:trPr>
        <w:tc>
          <w:tcPr>
            <w:tcW w:w="1103" w:type="dxa"/>
            <w:vMerge/>
          </w:tcPr>
          <w:p w14:paraId="728741C4" w14:textId="77777777" w:rsidR="00124A26" w:rsidRPr="00AC3044" w:rsidRDefault="00124A26" w:rsidP="002D3EBF">
            <w:pPr>
              <w:ind w:firstLine="0"/>
              <w:rPr>
                <w:rFonts w:eastAsia="SimSun"/>
              </w:rPr>
            </w:pPr>
          </w:p>
        </w:tc>
        <w:tc>
          <w:tcPr>
            <w:tcW w:w="1559" w:type="dxa"/>
            <w:vAlign w:val="center"/>
          </w:tcPr>
          <w:p w14:paraId="49F3016D" w14:textId="77777777" w:rsidR="00124A26" w:rsidRPr="00AC3044" w:rsidRDefault="00124A26" w:rsidP="002D3EBF">
            <w:pPr>
              <w:ind w:firstLine="0"/>
              <w:rPr>
                <w:rFonts w:eastAsia="SimSun"/>
              </w:rPr>
            </w:pPr>
            <w:r w:rsidRPr="00AC3044">
              <w:rPr>
                <w:rFonts w:eastAsia="SimSun"/>
              </w:rPr>
              <w:t>Микофенолата мофетил</w:t>
            </w:r>
          </w:p>
        </w:tc>
        <w:tc>
          <w:tcPr>
            <w:tcW w:w="1418" w:type="dxa"/>
            <w:vAlign w:val="center"/>
          </w:tcPr>
          <w:p w14:paraId="0A8A8AF1" w14:textId="77777777" w:rsidR="00124A26" w:rsidRPr="00AC3044" w:rsidRDefault="00124A26" w:rsidP="002D3EBF">
            <w:pPr>
              <w:ind w:firstLine="0"/>
              <w:rPr>
                <w:rFonts w:eastAsia="SimSun"/>
              </w:rPr>
            </w:pPr>
            <w:r w:rsidRPr="00AC3044">
              <w:rPr>
                <w:rFonts w:eastAsia="SimSun"/>
              </w:rPr>
              <w:t>45 мг/кг</w:t>
            </w:r>
          </w:p>
        </w:tc>
        <w:tc>
          <w:tcPr>
            <w:tcW w:w="1559" w:type="dxa"/>
            <w:vAlign w:val="center"/>
          </w:tcPr>
          <w:p w14:paraId="0000F8F3" w14:textId="77777777" w:rsidR="00124A26" w:rsidRPr="00AC3044" w:rsidRDefault="00124A26" w:rsidP="002D3EBF">
            <w:pPr>
              <w:ind w:firstLine="0"/>
              <w:rPr>
                <w:rFonts w:eastAsia="SimSun"/>
              </w:rPr>
            </w:pPr>
            <w:r w:rsidRPr="00AC3044">
              <w:rPr>
                <w:rFonts w:eastAsia="SimSun"/>
              </w:rPr>
              <w:t>–</w:t>
            </w:r>
          </w:p>
        </w:tc>
        <w:tc>
          <w:tcPr>
            <w:tcW w:w="1559" w:type="dxa"/>
            <w:vAlign w:val="center"/>
          </w:tcPr>
          <w:p w14:paraId="405B3B00" w14:textId="77777777" w:rsidR="00124A26" w:rsidRPr="00AC3044" w:rsidRDefault="00124A26" w:rsidP="002D3EBF">
            <w:pPr>
              <w:ind w:firstLine="0"/>
              <w:rPr>
                <w:rFonts w:eastAsia="SimSun"/>
              </w:rPr>
            </w:pPr>
            <w:r w:rsidRPr="00AC3044">
              <w:rPr>
                <w:rFonts w:eastAsia="SimSun"/>
              </w:rPr>
              <w:t>С +5 по +90 день</w:t>
            </w:r>
          </w:p>
        </w:tc>
        <w:tc>
          <w:tcPr>
            <w:tcW w:w="2410" w:type="dxa"/>
            <w:vAlign w:val="center"/>
          </w:tcPr>
          <w:p w14:paraId="06F335BD"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124A26" w:rsidRPr="00AC3044" w14:paraId="680B0BF7" w14:textId="77777777" w:rsidTr="002D3EBF">
        <w:trPr>
          <w:cantSplit/>
          <w:trHeight w:val="464"/>
        </w:trPr>
        <w:tc>
          <w:tcPr>
            <w:tcW w:w="1103" w:type="dxa"/>
            <w:vMerge/>
          </w:tcPr>
          <w:p w14:paraId="1CF8C6A4" w14:textId="77777777" w:rsidR="00124A26" w:rsidRPr="00AC3044" w:rsidRDefault="00124A26" w:rsidP="002D3EBF">
            <w:pPr>
              <w:ind w:firstLine="0"/>
              <w:rPr>
                <w:rFonts w:eastAsia="SimSun"/>
              </w:rPr>
            </w:pPr>
          </w:p>
        </w:tc>
        <w:tc>
          <w:tcPr>
            <w:tcW w:w="1559" w:type="dxa"/>
            <w:vAlign w:val="center"/>
          </w:tcPr>
          <w:p w14:paraId="0EE941DF" w14:textId="77777777" w:rsidR="00124A26" w:rsidRPr="00AC3044" w:rsidRDefault="00124A26" w:rsidP="002D3EBF">
            <w:pPr>
              <w:ind w:firstLine="0"/>
              <w:rPr>
                <w:rFonts w:eastAsia="SimSun"/>
              </w:rPr>
            </w:pPr>
            <w:r w:rsidRPr="00AC3044">
              <w:rPr>
                <w:rFonts w:eastAsia="SimSun"/>
              </w:rPr>
              <w:t>Циклофосфамид</w:t>
            </w:r>
          </w:p>
        </w:tc>
        <w:tc>
          <w:tcPr>
            <w:tcW w:w="1418" w:type="dxa"/>
            <w:vAlign w:val="center"/>
          </w:tcPr>
          <w:p w14:paraId="2590B5A5" w14:textId="77777777" w:rsidR="00124A26" w:rsidRPr="00AC3044" w:rsidRDefault="00124A26" w:rsidP="002D3EBF">
            <w:pPr>
              <w:ind w:firstLine="0"/>
              <w:rPr>
                <w:rFonts w:eastAsia="SimSun"/>
              </w:rPr>
            </w:pPr>
            <w:r w:rsidRPr="00AC3044">
              <w:rPr>
                <w:rFonts w:eastAsia="SimSun"/>
              </w:rPr>
              <w:t>50 мг/кг</w:t>
            </w:r>
          </w:p>
        </w:tc>
        <w:tc>
          <w:tcPr>
            <w:tcW w:w="1559" w:type="dxa"/>
            <w:vAlign w:val="center"/>
          </w:tcPr>
          <w:p w14:paraId="3B95462C" w14:textId="77777777" w:rsidR="00124A26" w:rsidRPr="00AC3044" w:rsidRDefault="00124A26" w:rsidP="002D3EBF">
            <w:pPr>
              <w:ind w:firstLine="0"/>
              <w:rPr>
                <w:rFonts w:eastAsia="SimSun"/>
              </w:rPr>
            </w:pPr>
            <w:r w:rsidRPr="00AC3044">
              <w:rPr>
                <w:rFonts w:eastAsia="SimSun"/>
              </w:rPr>
              <w:t>100 мг/кг</w:t>
            </w:r>
          </w:p>
        </w:tc>
        <w:tc>
          <w:tcPr>
            <w:tcW w:w="1559" w:type="dxa"/>
            <w:vAlign w:val="center"/>
          </w:tcPr>
          <w:p w14:paraId="68B1C78B" w14:textId="77777777" w:rsidR="00124A26" w:rsidRPr="00AC3044" w:rsidRDefault="00124A26" w:rsidP="002D3EBF">
            <w:pPr>
              <w:ind w:firstLine="0"/>
              <w:rPr>
                <w:rFonts w:eastAsia="SimSun"/>
              </w:rPr>
            </w:pPr>
            <w:r w:rsidRPr="00AC3044">
              <w:rPr>
                <w:rFonts w:eastAsia="SimSun"/>
              </w:rPr>
              <w:t xml:space="preserve">+3, +4 дни </w:t>
            </w:r>
          </w:p>
        </w:tc>
        <w:tc>
          <w:tcPr>
            <w:tcW w:w="2410" w:type="dxa"/>
            <w:vAlign w:val="center"/>
          </w:tcPr>
          <w:p w14:paraId="07411D3B" w14:textId="77777777" w:rsidR="00124A26" w:rsidRPr="00AC3044" w:rsidRDefault="00124A26" w:rsidP="002D3EBF">
            <w:pPr>
              <w:ind w:firstLine="0"/>
              <w:rPr>
                <w:rFonts w:eastAsia="SimSun"/>
              </w:rPr>
            </w:pPr>
            <w:r w:rsidRPr="00AC3044">
              <w:rPr>
                <w:rFonts w:eastAsia="SimSun"/>
              </w:rPr>
              <w:t>В/в, в течение 2 часов</w:t>
            </w:r>
          </w:p>
        </w:tc>
      </w:tr>
    </w:tbl>
    <w:p w14:paraId="0AD6F107" w14:textId="77777777" w:rsidR="00124A26" w:rsidRDefault="00124A26" w:rsidP="00124A26">
      <w:pPr>
        <w:rPr>
          <w:rFonts w:eastAsia="SimSun"/>
        </w:rPr>
      </w:pPr>
      <w:bookmarkStart w:id="268" w:name="_Toc44401231"/>
    </w:p>
    <w:p w14:paraId="72E95B67" w14:textId="77777777" w:rsidR="00124A26" w:rsidRPr="00C07B2E" w:rsidRDefault="00124A26" w:rsidP="00124A26">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3.1.6  – Flu180+Bu8 / PT-Cy+Tx+MMF45</w:t>
      </w:r>
      <w:bookmarkEnd w:id="268"/>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124A26" w:rsidRPr="00AC3044" w14:paraId="7887183B" w14:textId="77777777" w:rsidTr="002D3EBF">
        <w:trPr>
          <w:cantSplit/>
          <w:trHeight w:val="20"/>
          <w:tblHeader/>
        </w:trPr>
        <w:tc>
          <w:tcPr>
            <w:tcW w:w="1135" w:type="dxa"/>
            <w:vAlign w:val="center"/>
          </w:tcPr>
          <w:p w14:paraId="7D6471A7" w14:textId="77777777" w:rsidR="00124A26" w:rsidRPr="006A5E21" w:rsidRDefault="00124A26" w:rsidP="002D3EBF">
            <w:pPr>
              <w:ind w:firstLine="0"/>
              <w:rPr>
                <w:rFonts w:eastAsia="SimSun"/>
              </w:rPr>
            </w:pPr>
          </w:p>
        </w:tc>
        <w:tc>
          <w:tcPr>
            <w:tcW w:w="1559" w:type="dxa"/>
            <w:vAlign w:val="center"/>
          </w:tcPr>
          <w:p w14:paraId="116921F6" w14:textId="77777777" w:rsidR="00124A26" w:rsidRPr="00AC3044" w:rsidRDefault="00124A26" w:rsidP="002D3EBF">
            <w:pPr>
              <w:ind w:firstLine="0"/>
              <w:rPr>
                <w:rFonts w:eastAsia="SimSun"/>
              </w:rPr>
            </w:pPr>
            <w:r w:rsidRPr="00AC3044">
              <w:rPr>
                <w:rFonts w:eastAsia="SimSun"/>
              </w:rPr>
              <w:t>Препарат</w:t>
            </w:r>
          </w:p>
        </w:tc>
        <w:tc>
          <w:tcPr>
            <w:tcW w:w="1418" w:type="dxa"/>
            <w:vAlign w:val="center"/>
          </w:tcPr>
          <w:p w14:paraId="09488B73" w14:textId="77777777" w:rsidR="00124A26" w:rsidRPr="00AC3044" w:rsidRDefault="00124A26" w:rsidP="002D3EBF">
            <w:pPr>
              <w:ind w:firstLine="0"/>
              <w:rPr>
                <w:rFonts w:eastAsia="SimSun"/>
              </w:rPr>
            </w:pPr>
            <w:r w:rsidRPr="00AC3044">
              <w:rPr>
                <w:rFonts w:eastAsia="SimSun"/>
              </w:rPr>
              <w:t>Суточная доза</w:t>
            </w:r>
          </w:p>
        </w:tc>
        <w:tc>
          <w:tcPr>
            <w:tcW w:w="1559" w:type="dxa"/>
            <w:vAlign w:val="center"/>
          </w:tcPr>
          <w:p w14:paraId="3F1A6D48" w14:textId="77777777" w:rsidR="00124A26" w:rsidRPr="00AC3044" w:rsidRDefault="00124A26" w:rsidP="002D3EBF">
            <w:pPr>
              <w:ind w:firstLine="0"/>
              <w:rPr>
                <w:rFonts w:eastAsia="SimSun"/>
              </w:rPr>
            </w:pPr>
            <w:r w:rsidRPr="00AC3044">
              <w:rPr>
                <w:rFonts w:eastAsia="SimSun"/>
              </w:rPr>
              <w:t>Курсовая доза</w:t>
            </w:r>
          </w:p>
        </w:tc>
        <w:tc>
          <w:tcPr>
            <w:tcW w:w="1559" w:type="dxa"/>
            <w:vAlign w:val="center"/>
          </w:tcPr>
          <w:p w14:paraId="73DF26F7" w14:textId="77777777" w:rsidR="00124A26" w:rsidRPr="00AC3044" w:rsidRDefault="00124A26" w:rsidP="002D3EBF">
            <w:pPr>
              <w:ind w:firstLine="0"/>
              <w:rPr>
                <w:rFonts w:eastAsia="SimSun"/>
              </w:rPr>
            </w:pPr>
            <w:r w:rsidRPr="00AC3044">
              <w:rPr>
                <w:rFonts w:eastAsia="SimSun"/>
              </w:rPr>
              <w:t>Дни введения</w:t>
            </w:r>
          </w:p>
        </w:tc>
        <w:tc>
          <w:tcPr>
            <w:tcW w:w="2410" w:type="dxa"/>
            <w:vAlign w:val="center"/>
          </w:tcPr>
          <w:p w14:paraId="52E6BA54"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5FD85ECD" w14:textId="77777777" w:rsidTr="002D3EBF">
        <w:trPr>
          <w:cantSplit/>
          <w:trHeight w:val="20"/>
        </w:trPr>
        <w:tc>
          <w:tcPr>
            <w:tcW w:w="1135" w:type="dxa"/>
            <w:vMerge w:val="restart"/>
            <w:textDirection w:val="btLr"/>
            <w:vAlign w:val="center"/>
          </w:tcPr>
          <w:p w14:paraId="71B988F7" w14:textId="77777777" w:rsidR="00124A26" w:rsidRPr="00AC3044" w:rsidRDefault="00124A26" w:rsidP="002D3EBF">
            <w:pPr>
              <w:ind w:firstLine="0"/>
              <w:rPr>
                <w:rFonts w:eastAsia="SimSun"/>
              </w:rPr>
            </w:pPr>
            <w:r w:rsidRPr="00AC3044">
              <w:rPr>
                <w:rFonts w:eastAsia="SimSun"/>
              </w:rPr>
              <w:t>Кондиционирование</w:t>
            </w:r>
          </w:p>
        </w:tc>
        <w:tc>
          <w:tcPr>
            <w:tcW w:w="1559" w:type="dxa"/>
            <w:vAlign w:val="center"/>
          </w:tcPr>
          <w:p w14:paraId="75C85D8B" w14:textId="77777777" w:rsidR="00124A26" w:rsidRPr="00AC3044" w:rsidRDefault="00124A26" w:rsidP="002D3EBF">
            <w:pPr>
              <w:ind w:firstLine="0"/>
              <w:rPr>
                <w:rFonts w:eastAsia="SimSun"/>
              </w:rPr>
            </w:pPr>
            <w:r w:rsidRPr="00AC3044">
              <w:rPr>
                <w:rFonts w:eastAsia="SimSun"/>
              </w:rPr>
              <w:t xml:space="preserve">Флударабин </w:t>
            </w:r>
          </w:p>
        </w:tc>
        <w:tc>
          <w:tcPr>
            <w:tcW w:w="1418" w:type="dxa"/>
            <w:vAlign w:val="center"/>
          </w:tcPr>
          <w:p w14:paraId="22B99A67" w14:textId="77777777" w:rsidR="00124A26" w:rsidRPr="00AC3044" w:rsidRDefault="00124A26" w:rsidP="002D3EBF">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45653377" w14:textId="77777777" w:rsidR="00124A26" w:rsidRPr="00AC3044" w:rsidRDefault="00124A26" w:rsidP="002D3EBF">
            <w:pPr>
              <w:ind w:firstLine="0"/>
              <w:rPr>
                <w:rFonts w:eastAsia="SimSun"/>
              </w:rPr>
            </w:pPr>
            <w:r w:rsidRPr="00AC3044">
              <w:rPr>
                <w:rFonts w:eastAsia="SimSun"/>
              </w:rPr>
              <w:t>180 мг/м</w:t>
            </w:r>
            <w:r w:rsidRPr="0074195F">
              <w:rPr>
                <w:rFonts w:eastAsia="SimSun"/>
                <w:vertAlign w:val="superscript"/>
              </w:rPr>
              <w:t>2</w:t>
            </w:r>
          </w:p>
        </w:tc>
        <w:tc>
          <w:tcPr>
            <w:tcW w:w="1559" w:type="dxa"/>
            <w:vAlign w:val="center"/>
          </w:tcPr>
          <w:p w14:paraId="56743219" w14:textId="77777777" w:rsidR="00124A26" w:rsidRPr="00AC3044" w:rsidRDefault="00124A26" w:rsidP="002D3EBF">
            <w:pPr>
              <w:ind w:firstLine="0"/>
              <w:rPr>
                <w:rFonts w:eastAsia="SimSun"/>
              </w:rPr>
            </w:pPr>
            <w:r w:rsidRPr="00AC3044">
              <w:rPr>
                <w:rFonts w:eastAsia="SimSun"/>
              </w:rPr>
              <w:t>С -7 дня по -2 день</w:t>
            </w:r>
          </w:p>
        </w:tc>
        <w:tc>
          <w:tcPr>
            <w:tcW w:w="2410" w:type="dxa"/>
            <w:vAlign w:val="center"/>
          </w:tcPr>
          <w:p w14:paraId="42B2C911"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5ABEF623" w14:textId="77777777" w:rsidTr="002D3EBF">
        <w:trPr>
          <w:cantSplit/>
          <w:trHeight w:val="436"/>
        </w:trPr>
        <w:tc>
          <w:tcPr>
            <w:tcW w:w="1135" w:type="dxa"/>
            <w:vMerge/>
            <w:vAlign w:val="center"/>
          </w:tcPr>
          <w:p w14:paraId="0AB9BF35" w14:textId="77777777" w:rsidR="00124A26" w:rsidRPr="00AC3044" w:rsidRDefault="00124A26" w:rsidP="002D3EBF">
            <w:pPr>
              <w:ind w:firstLine="0"/>
              <w:rPr>
                <w:rFonts w:eastAsia="SimSun"/>
              </w:rPr>
            </w:pPr>
          </w:p>
        </w:tc>
        <w:tc>
          <w:tcPr>
            <w:tcW w:w="1559" w:type="dxa"/>
            <w:vAlign w:val="center"/>
          </w:tcPr>
          <w:p w14:paraId="12E91AD7" w14:textId="77777777" w:rsidR="00124A26" w:rsidRPr="00AC3044" w:rsidRDefault="00124A26" w:rsidP="002D3EBF">
            <w:pPr>
              <w:ind w:firstLine="0"/>
              <w:rPr>
                <w:rFonts w:eastAsia="SimSun"/>
              </w:rPr>
            </w:pPr>
            <w:r w:rsidRPr="00AC3044">
              <w:rPr>
                <w:rFonts w:eastAsia="SimSun"/>
              </w:rPr>
              <w:t>Бусульфан</w:t>
            </w:r>
          </w:p>
        </w:tc>
        <w:tc>
          <w:tcPr>
            <w:tcW w:w="1418" w:type="dxa"/>
            <w:vAlign w:val="center"/>
          </w:tcPr>
          <w:p w14:paraId="13B761A1" w14:textId="77777777" w:rsidR="00124A26" w:rsidRPr="00AC3044" w:rsidRDefault="00124A26" w:rsidP="002D3EBF">
            <w:pPr>
              <w:ind w:firstLine="0"/>
              <w:rPr>
                <w:rFonts w:eastAsia="SimSun"/>
              </w:rPr>
            </w:pPr>
            <w:r w:rsidRPr="00AC3044">
              <w:rPr>
                <w:rFonts w:eastAsia="SimSun"/>
              </w:rPr>
              <w:t xml:space="preserve">4 мг/кг </w:t>
            </w:r>
          </w:p>
        </w:tc>
        <w:tc>
          <w:tcPr>
            <w:tcW w:w="1559" w:type="dxa"/>
            <w:vAlign w:val="center"/>
          </w:tcPr>
          <w:p w14:paraId="7D2927D0" w14:textId="77777777" w:rsidR="00124A26" w:rsidRPr="00AC3044" w:rsidRDefault="00124A26" w:rsidP="002D3EBF">
            <w:pPr>
              <w:ind w:firstLine="0"/>
              <w:rPr>
                <w:rFonts w:eastAsia="SimSun"/>
              </w:rPr>
            </w:pPr>
            <w:r w:rsidRPr="00AC3044">
              <w:rPr>
                <w:rFonts w:eastAsia="SimSun"/>
              </w:rPr>
              <w:t xml:space="preserve">8 мг/кг </w:t>
            </w:r>
          </w:p>
        </w:tc>
        <w:tc>
          <w:tcPr>
            <w:tcW w:w="1559" w:type="dxa"/>
            <w:vAlign w:val="center"/>
          </w:tcPr>
          <w:p w14:paraId="2EE95DF6" w14:textId="77777777" w:rsidR="00124A26" w:rsidRPr="00AC3044" w:rsidRDefault="00124A26" w:rsidP="002D3EBF">
            <w:pPr>
              <w:ind w:firstLine="0"/>
              <w:rPr>
                <w:rFonts w:eastAsia="SimSun"/>
              </w:rPr>
            </w:pPr>
            <w:r w:rsidRPr="00AC3044">
              <w:rPr>
                <w:rFonts w:eastAsia="SimSun"/>
              </w:rPr>
              <w:t>С -4 дня по -3 день</w:t>
            </w:r>
          </w:p>
        </w:tc>
        <w:tc>
          <w:tcPr>
            <w:tcW w:w="2410" w:type="dxa"/>
            <w:vAlign w:val="center"/>
          </w:tcPr>
          <w:p w14:paraId="49C66289" w14:textId="77777777" w:rsidR="00124A26" w:rsidRPr="00AC3044" w:rsidRDefault="00124A26" w:rsidP="002D3EBF">
            <w:pPr>
              <w:ind w:firstLine="0"/>
              <w:rPr>
                <w:rFonts w:eastAsia="SimSun"/>
              </w:rPr>
            </w:pPr>
            <w:r w:rsidRPr="00AC3044">
              <w:rPr>
                <w:rFonts w:eastAsia="SimSun"/>
              </w:rPr>
              <w:t xml:space="preserve">Внутрь, суммарная суточная доза разделяется на 4 приема с интервалом 6 часов. </w:t>
            </w:r>
          </w:p>
        </w:tc>
      </w:tr>
      <w:tr w:rsidR="00124A26" w:rsidRPr="00AC3044" w14:paraId="1DC7A5D2" w14:textId="77777777" w:rsidTr="002D3EBF">
        <w:trPr>
          <w:cantSplit/>
          <w:trHeight w:val="416"/>
        </w:trPr>
        <w:tc>
          <w:tcPr>
            <w:tcW w:w="1135" w:type="dxa"/>
            <w:vMerge w:val="restart"/>
            <w:textDirection w:val="btLr"/>
            <w:vAlign w:val="center"/>
          </w:tcPr>
          <w:p w14:paraId="6AF58AC8" w14:textId="77777777" w:rsidR="00124A26" w:rsidRPr="00AC3044" w:rsidRDefault="00124A26" w:rsidP="002D3EBF">
            <w:pPr>
              <w:ind w:firstLine="0"/>
              <w:rPr>
                <w:rFonts w:eastAsia="SimSun"/>
              </w:rPr>
            </w:pPr>
            <w:r w:rsidRPr="00AC3044">
              <w:rPr>
                <w:rFonts w:eastAsia="SimSun"/>
              </w:rPr>
              <w:t>Профилактика РТПХ</w:t>
            </w:r>
          </w:p>
        </w:tc>
        <w:tc>
          <w:tcPr>
            <w:tcW w:w="1559" w:type="dxa"/>
            <w:vAlign w:val="center"/>
          </w:tcPr>
          <w:p w14:paraId="68DA1456" w14:textId="77777777" w:rsidR="00124A26" w:rsidRPr="00AC3044" w:rsidRDefault="00124A26" w:rsidP="002D3EBF">
            <w:pPr>
              <w:ind w:firstLine="0"/>
              <w:rPr>
                <w:rFonts w:eastAsia="SimSun"/>
              </w:rPr>
            </w:pPr>
            <w:r w:rsidRPr="00AC3044">
              <w:rPr>
                <w:rFonts w:eastAsia="SimSun"/>
              </w:rPr>
              <w:t>Циклофосфамид</w:t>
            </w:r>
          </w:p>
        </w:tc>
        <w:tc>
          <w:tcPr>
            <w:tcW w:w="1418" w:type="dxa"/>
            <w:vAlign w:val="center"/>
          </w:tcPr>
          <w:p w14:paraId="114B26D9" w14:textId="77777777" w:rsidR="00124A26" w:rsidRPr="00AC3044" w:rsidRDefault="00124A26" w:rsidP="002D3EBF">
            <w:pPr>
              <w:ind w:firstLine="0"/>
              <w:rPr>
                <w:rFonts w:eastAsia="SimSun"/>
              </w:rPr>
            </w:pPr>
            <w:r w:rsidRPr="00AC3044">
              <w:rPr>
                <w:rFonts w:eastAsia="SimSun"/>
              </w:rPr>
              <w:t>50 мг/кг</w:t>
            </w:r>
          </w:p>
        </w:tc>
        <w:tc>
          <w:tcPr>
            <w:tcW w:w="1559" w:type="dxa"/>
            <w:vAlign w:val="center"/>
          </w:tcPr>
          <w:p w14:paraId="0B1E1320" w14:textId="77777777" w:rsidR="00124A26" w:rsidRPr="00AC3044" w:rsidRDefault="00124A26" w:rsidP="002D3EBF">
            <w:pPr>
              <w:ind w:firstLine="0"/>
              <w:rPr>
                <w:rFonts w:eastAsia="SimSun"/>
              </w:rPr>
            </w:pPr>
            <w:r w:rsidRPr="00AC3044">
              <w:rPr>
                <w:rFonts w:eastAsia="SimSun"/>
              </w:rPr>
              <w:t>100 мг/кг</w:t>
            </w:r>
          </w:p>
        </w:tc>
        <w:tc>
          <w:tcPr>
            <w:tcW w:w="1559" w:type="dxa"/>
            <w:vAlign w:val="center"/>
          </w:tcPr>
          <w:p w14:paraId="1BD06042" w14:textId="77777777" w:rsidR="00124A26" w:rsidRPr="00AC3044" w:rsidRDefault="00124A26" w:rsidP="002D3EBF">
            <w:pPr>
              <w:ind w:firstLine="0"/>
              <w:rPr>
                <w:rFonts w:eastAsia="SimSun"/>
              </w:rPr>
            </w:pPr>
            <w:r w:rsidRPr="00AC3044">
              <w:rPr>
                <w:rFonts w:eastAsia="SimSun"/>
              </w:rPr>
              <w:t>С +3 дня по +4 день</w:t>
            </w:r>
          </w:p>
        </w:tc>
        <w:tc>
          <w:tcPr>
            <w:tcW w:w="2410" w:type="dxa"/>
            <w:vAlign w:val="center"/>
          </w:tcPr>
          <w:p w14:paraId="24098F35" w14:textId="77777777" w:rsidR="00124A26" w:rsidRPr="00AC3044" w:rsidRDefault="00124A26" w:rsidP="002D3EBF">
            <w:pPr>
              <w:ind w:firstLine="0"/>
              <w:rPr>
                <w:rFonts w:eastAsia="SimSun"/>
              </w:rPr>
            </w:pPr>
            <w:r w:rsidRPr="00AC3044">
              <w:rPr>
                <w:rFonts w:eastAsia="SimSun"/>
              </w:rPr>
              <w:t>В/в, в течение 2 часов</w:t>
            </w:r>
          </w:p>
        </w:tc>
      </w:tr>
      <w:tr w:rsidR="00124A26" w:rsidRPr="00AC3044" w14:paraId="532B1208" w14:textId="77777777" w:rsidTr="002D3EBF">
        <w:trPr>
          <w:cantSplit/>
          <w:trHeight w:val="958"/>
        </w:trPr>
        <w:tc>
          <w:tcPr>
            <w:tcW w:w="1135" w:type="dxa"/>
            <w:vMerge/>
            <w:textDirection w:val="btLr"/>
            <w:vAlign w:val="center"/>
          </w:tcPr>
          <w:p w14:paraId="0F311A4C" w14:textId="77777777" w:rsidR="00124A26" w:rsidRPr="00AC3044" w:rsidRDefault="00124A26" w:rsidP="002D3EBF">
            <w:pPr>
              <w:ind w:firstLine="0"/>
              <w:rPr>
                <w:rFonts w:eastAsia="SimSun"/>
              </w:rPr>
            </w:pPr>
          </w:p>
        </w:tc>
        <w:tc>
          <w:tcPr>
            <w:tcW w:w="1559" w:type="dxa"/>
            <w:vAlign w:val="center"/>
          </w:tcPr>
          <w:p w14:paraId="69CA8124" w14:textId="77777777" w:rsidR="00124A26" w:rsidRPr="00AC3044" w:rsidRDefault="00124A26" w:rsidP="002D3EBF">
            <w:pPr>
              <w:ind w:firstLine="0"/>
              <w:rPr>
                <w:rFonts w:eastAsia="SimSun"/>
              </w:rPr>
            </w:pPr>
            <w:r w:rsidRPr="00AC3044">
              <w:rPr>
                <w:rFonts w:eastAsia="SimSun"/>
              </w:rPr>
              <w:t xml:space="preserve">Такролимус </w:t>
            </w:r>
          </w:p>
        </w:tc>
        <w:tc>
          <w:tcPr>
            <w:tcW w:w="1418" w:type="dxa"/>
            <w:vAlign w:val="center"/>
          </w:tcPr>
          <w:p w14:paraId="18C93060" w14:textId="77777777" w:rsidR="00124A26" w:rsidRPr="00AC3044" w:rsidRDefault="00124A26" w:rsidP="002D3EBF">
            <w:pPr>
              <w:ind w:firstLine="0"/>
              <w:rPr>
                <w:rFonts w:eastAsia="SimSun"/>
              </w:rPr>
            </w:pPr>
            <w:r w:rsidRPr="00AC3044">
              <w:rPr>
                <w:rFonts w:eastAsia="SimSun"/>
              </w:rPr>
              <w:t>0,03 мг/кг</w:t>
            </w:r>
          </w:p>
        </w:tc>
        <w:tc>
          <w:tcPr>
            <w:tcW w:w="1559" w:type="dxa"/>
            <w:vAlign w:val="center"/>
          </w:tcPr>
          <w:p w14:paraId="795194BC" w14:textId="77777777" w:rsidR="00124A26" w:rsidRPr="00AC3044" w:rsidRDefault="00124A26" w:rsidP="002D3EBF">
            <w:pPr>
              <w:ind w:firstLine="0"/>
              <w:rPr>
                <w:rFonts w:eastAsia="SimSun"/>
              </w:rPr>
            </w:pPr>
            <w:r w:rsidRPr="00AC3044">
              <w:rPr>
                <w:rFonts w:eastAsia="SimSun"/>
              </w:rPr>
              <w:t>–</w:t>
            </w:r>
          </w:p>
        </w:tc>
        <w:tc>
          <w:tcPr>
            <w:tcW w:w="1559" w:type="dxa"/>
            <w:vAlign w:val="center"/>
          </w:tcPr>
          <w:p w14:paraId="49C3E389" w14:textId="77777777" w:rsidR="00124A26" w:rsidRPr="00AC3044" w:rsidRDefault="00124A26" w:rsidP="002D3EBF">
            <w:pPr>
              <w:ind w:firstLine="0"/>
              <w:rPr>
                <w:rFonts w:eastAsia="SimSun"/>
              </w:rPr>
            </w:pPr>
            <w:r w:rsidRPr="00AC3044">
              <w:rPr>
                <w:rFonts w:eastAsia="SimSun"/>
              </w:rPr>
              <w:t xml:space="preserve">С +5 дня длительно </w:t>
            </w:r>
          </w:p>
        </w:tc>
        <w:tc>
          <w:tcPr>
            <w:tcW w:w="2410" w:type="dxa"/>
            <w:vAlign w:val="center"/>
          </w:tcPr>
          <w:p w14:paraId="7AFCE6B1" w14:textId="77777777" w:rsidR="00124A26" w:rsidRPr="00AC3044" w:rsidRDefault="00124A26"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124A26" w:rsidRPr="00AC3044" w14:paraId="2C7EE92B" w14:textId="77777777" w:rsidTr="002D3EBF">
        <w:trPr>
          <w:cantSplit/>
          <w:trHeight w:val="508"/>
        </w:trPr>
        <w:tc>
          <w:tcPr>
            <w:tcW w:w="1135" w:type="dxa"/>
            <w:vMerge/>
            <w:textDirection w:val="btLr"/>
            <w:vAlign w:val="center"/>
          </w:tcPr>
          <w:p w14:paraId="365F8EF4" w14:textId="77777777" w:rsidR="00124A26" w:rsidRPr="00AC3044" w:rsidRDefault="00124A26" w:rsidP="002D3EBF">
            <w:pPr>
              <w:ind w:firstLine="0"/>
              <w:rPr>
                <w:rFonts w:eastAsia="SimSun"/>
              </w:rPr>
            </w:pPr>
          </w:p>
        </w:tc>
        <w:tc>
          <w:tcPr>
            <w:tcW w:w="1559" w:type="dxa"/>
            <w:vAlign w:val="center"/>
          </w:tcPr>
          <w:p w14:paraId="0AFBFC83" w14:textId="77777777" w:rsidR="00124A26" w:rsidRPr="00AC3044" w:rsidRDefault="00124A26" w:rsidP="002D3EBF">
            <w:pPr>
              <w:ind w:firstLine="0"/>
              <w:rPr>
                <w:rFonts w:eastAsia="SimSun"/>
              </w:rPr>
            </w:pPr>
            <w:r w:rsidRPr="00AC3044">
              <w:rPr>
                <w:rFonts w:eastAsia="SimSun"/>
              </w:rPr>
              <w:t>Микофенолата мофетил</w:t>
            </w:r>
          </w:p>
        </w:tc>
        <w:tc>
          <w:tcPr>
            <w:tcW w:w="1418" w:type="dxa"/>
            <w:vAlign w:val="center"/>
          </w:tcPr>
          <w:p w14:paraId="0012E737" w14:textId="77777777" w:rsidR="00124A26" w:rsidRPr="00AC3044" w:rsidRDefault="00124A26" w:rsidP="002D3EBF">
            <w:pPr>
              <w:ind w:firstLine="0"/>
              <w:rPr>
                <w:rFonts w:eastAsia="SimSun"/>
              </w:rPr>
            </w:pPr>
            <w:r w:rsidRPr="00AC3044">
              <w:rPr>
                <w:rFonts w:eastAsia="SimSun"/>
              </w:rPr>
              <w:t xml:space="preserve">45 мг/кг </w:t>
            </w:r>
          </w:p>
        </w:tc>
        <w:tc>
          <w:tcPr>
            <w:tcW w:w="1559" w:type="dxa"/>
            <w:vAlign w:val="center"/>
          </w:tcPr>
          <w:p w14:paraId="703CD03E" w14:textId="77777777" w:rsidR="00124A26" w:rsidRPr="00AC3044" w:rsidRDefault="00124A26" w:rsidP="002D3EBF">
            <w:pPr>
              <w:ind w:firstLine="0"/>
              <w:rPr>
                <w:rFonts w:eastAsia="SimSun"/>
              </w:rPr>
            </w:pPr>
            <w:r w:rsidRPr="00AC3044">
              <w:rPr>
                <w:rFonts w:eastAsia="SimSun"/>
              </w:rPr>
              <w:t>–</w:t>
            </w:r>
          </w:p>
        </w:tc>
        <w:tc>
          <w:tcPr>
            <w:tcW w:w="1559" w:type="dxa"/>
            <w:vAlign w:val="center"/>
          </w:tcPr>
          <w:p w14:paraId="680DBB41" w14:textId="77777777" w:rsidR="00124A26" w:rsidRPr="00AC3044" w:rsidRDefault="00124A26" w:rsidP="002D3EBF">
            <w:pPr>
              <w:ind w:firstLine="0"/>
              <w:rPr>
                <w:rFonts w:eastAsia="SimSun"/>
              </w:rPr>
            </w:pPr>
            <w:r w:rsidRPr="00AC3044">
              <w:rPr>
                <w:rFonts w:eastAsia="SimSun"/>
              </w:rPr>
              <w:t xml:space="preserve">С +5 дня по +35 день </w:t>
            </w:r>
          </w:p>
        </w:tc>
        <w:tc>
          <w:tcPr>
            <w:tcW w:w="2410" w:type="dxa"/>
            <w:vAlign w:val="center"/>
          </w:tcPr>
          <w:p w14:paraId="71D5A745" w14:textId="77777777" w:rsidR="00124A26" w:rsidRPr="00AC3044" w:rsidRDefault="00124A26"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1BC3EE11" w14:textId="77777777" w:rsidR="00124A26" w:rsidRDefault="00124A26" w:rsidP="00124A26">
      <w:pPr>
        <w:rPr>
          <w:rFonts w:eastAsia="SimSun"/>
        </w:rPr>
      </w:pPr>
      <w:bookmarkStart w:id="269" w:name="_Toc44401232"/>
    </w:p>
    <w:p w14:paraId="4690B4AD" w14:textId="77777777" w:rsidR="00124A26" w:rsidRPr="00C07B2E" w:rsidRDefault="00124A26" w:rsidP="00124A26">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3.1.7  – Flu180+Bu10 / PT-Cy+Tx+MMF45</w:t>
      </w:r>
      <w:bookmarkEnd w:id="269"/>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124A26" w:rsidRPr="00AC3044" w14:paraId="0E91D51C" w14:textId="77777777" w:rsidTr="002D3EBF">
        <w:trPr>
          <w:cantSplit/>
          <w:trHeight w:val="20"/>
          <w:tblHeader/>
        </w:trPr>
        <w:tc>
          <w:tcPr>
            <w:tcW w:w="1135" w:type="dxa"/>
            <w:vAlign w:val="center"/>
          </w:tcPr>
          <w:p w14:paraId="38703B06" w14:textId="77777777" w:rsidR="00124A26" w:rsidRPr="006A5E21" w:rsidRDefault="00124A26" w:rsidP="002D3EBF">
            <w:pPr>
              <w:ind w:firstLine="0"/>
              <w:rPr>
                <w:rFonts w:eastAsia="SimSun"/>
              </w:rPr>
            </w:pPr>
          </w:p>
        </w:tc>
        <w:tc>
          <w:tcPr>
            <w:tcW w:w="1559" w:type="dxa"/>
            <w:vAlign w:val="center"/>
          </w:tcPr>
          <w:p w14:paraId="4495176B" w14:textId="77777777" w:rsidR="00124A26" w:rsidRPr="00AC3044" w:rsidRDefault="00124A26" w:rsidP="002D3EBF">
            <w:pPr>
              <w:ind w:firstLine="0"/>
              <w:rPr>
                <w:rFonts w:eastAsia="SimSun"/>
              </w:rPr>
            </w:pPr>
            <w:r w:rsidRPr="00AC3044">
              <w:rPr>
                <w:rFonts w:eastAsia="SimSun"/>
              </w:rPr>
              <w:t>Препарат</w:t>
            </w:r>
          </w:p>
        </w:tc>
        <w:tc>
          <w:tcPr>
            <w:tcW w:w="1418" w:type="dxa"/>
            <w:vAlign w:val="center"/>
          </w:tcPr>
          <w:p w14:paraId="26B02D3A" w14:textId="77777777" w:rsidR="00124A26" w:rsidRPr="00AC3044" w:rsidRDefault="00124A26" w:rsidP="002D3EBF">
            <w:pPr>
              <w:ind w:firstLine="0"/>
              <w:rPr>
                <w:rFonts w:eastAsia="SimSun"/>
              </w:rPr>
            </w:pPr>
            <w:r w:rsidRPr="00AC3044">
              <w:rPr>
                <w:rFonts w:eastAsia="SimSun"/>
              </w:rPr>
              <w:t>Суточная доза</w:t>
            </w:r>
          </w:p>
        </w:tc>
        <w:tc>
          <w:tcPr>
            <w:tcW w:w="1559" w:type="dxa"/>
            <w:vAlign w:val="center"/>
          </w:tcPr>
          <w:p w14:paraId="4FC3DD3D" w14:textId="77777777" w:rsidR="00124A26" w:rsidRPr="00AC3044" w:rsidRDefault="00124A26" w:rsidP="002D3EBF">
            <w:pPr>
              <w:ind w:firstLine="0"/>
              <w:rPr>
                <w:rFonts w:eastAsia="SimSun"/>
              </w:rPr>
            </w:pPr>
            <w:r w:rsidRPr="00AC3044">
              <w:rPr>
                <w:rFonts w:eastAsia="SimSun"/>
              </w:rPr>
              <w:t>Курсовая доза</w:t>
            </w:r>
          </w:p>
        </w:tc>
        <w:tc>
          <w:tcPr>
            <w:tcW w:w="1559" w:type="dxa"/>
            <w:vAlign w:val="center"/>
          </w:tcPr>
          <w:p w14:paraId="280B5ED4" w14:textId="77777777" w:rsidR="00124A26" w:rsidRPr="00AC3044" w:rsidRDefault="00124A26" w:rsidP="002D3EBF">
            <w:pPr>
              <w:ind w:firstLine="0"/>
              <w:rPr>
                <w:rFonts w:eastAsia="SimSun"/>
              </w:rPr>
            </w:pPr>
            <w:r w:rsidRPr="00AC3044">
              <w:rPr>
                <w:rFonts w:eastAsia="SimSun"/>
              </w:rPr>
              <w:t>Дни введения</w:t>
            </w:r>
          </w:p>
        </w:tc>
        <w:tc>
          <w:tcPr>
            <w:tcW w:w="2410" w:type="dxa"/>
            <w:vAlign w:val="center"/>
          </w:tcPr>
          <w:p w14:paraId="5741B38C"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45CFFEDB" w14:textId="77777777" w:rsidTr="002D3EBF">
        <w:trPr>
          <w:cantSplit/>
          <w:trHeight w:val="20"/>
        </w:trPr>
        <w:tc>
          <w:tcPr>
            <w:tcW w:w="1135" w:type="dxa"/>
            <w:vMerge w:val="restart"/>
            <w:textDirection w:val="btLr"/>
            <w:vAlign w:val="center"/>
          </w:tcPr>
          <w:p w14:paraId="0BA93F15" w14:textId="77777777" w:rsidR="00124A26" w:rsidRPr="00AC3044" w:rsidRDefault="00124A26" w:rsidP="002D3EBF">
            <w:pPr>
              <w:ind w:firstLine="0"/>
              <w:rPr>
                <w:rFonts w:eastAsia="SimSun"/>
              </w:rPr>
            </w:pPr>
            <w:r w:rsidRPr="00AC3044">
              <w:rPr>
                <w:rFonts w:eastAsia="SimSun"/>
              </w:rPr>
              <w:t>Кондиционирование</w:t>
            </w:r>
          </w:p>
        </w:tc>
        <w:tc>
          <w:tcPr>
            <w:tcW w:w="1559" w:type="dxa"/>
            <w:vAlign w:val="center"/>
          </w:tcPr>
          <w:p w14:paraId="76E5CD09" w14:textId="77777777" w:rsidR="00124A26" w:rsidRPr="00AC3044" w:rsidRDefault="00124A26" w:rsidP="002D3EBF">
            <w:pPr>
              <w:ind w:firstLine="0"/>
              <w:rPr>
                <w:rFonts w:eastAsia="SimSun"/>
              </w:rPr>
            </w:pPr>
            <w:r w:rsidRPr="00AC3044">
              <w:rPr>
                <w:rFonts w:eastAsia="SimSun"/>
              </w:rPr>
              <w:t xml:space="preserve">Флударабин </w:t>
            </w:r>
          </w:p>
        </w:tc>
        <w:tc>
          <w:tcPr>
            <w:tcW w:w="1418" w:type="dxa"/>
            <w:vAlign w:val="center"/>
          </w:tcPr>
          <w:p w14:paraId="68F7CC40" w14:textId="77777777" w:rsidR="00124A26" w:rsidRPr="00AC3044" w:rsidRDefault="00124A26" w:rsidP="002D3EBF">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0563A85E" w14:textId="77777777" w:rsidR="00124A26" w:rsidRPr="00AC3044" w:rsidRDefault="00124A26" w:rsidP="002D3EBF">
            <w:pPr>
              <w:ind w:firstLine="0"/>
              <w:rPr>
                <w:rFonts w:eastAsia="SimSun"/>
              </w:rPr>
            </w:pPr>
            <w:r w:rsidRPr="00AC3044">
              <w:rPr>
                <w:rFonts w:eastAsia="SimSun"/>
              </w:rPr>
              <w:t>180 мг/м</w:t>
            </w:r>
            <w:r w:rsidRPr="0074195F">
              <w:rPr>
                <w:rFonts w:eastAsia="SimSun"/>
                <w:vertAlign w:val="superscript"/>
              </w:rPr>
              <w:t>2</w:t>
            </w:r>
          </w:p>
        </w:tc>
        <w:tc>
          <w:tcPr>
            <w:tcW w:w="1559" w:type="dxa"/>
            <w:vAlign w:val="center"/>
          </w:tcPr>
          <w:p w14:paraId="5B3ECDF4" w14:textId="77777777" w:rsidR="00124A26" w:rsidRPr="00AC3044" w:rsidRDefault="00124A26" w:rsidP="002D3EBF">
            <w:pPr>
              <w:ind w:firstLine="0"/>
              <w:rPr>
                <w:rFonts w:eastAsia="SimSun"/>
              </w:rPr>
            </w:pPr>
            <w:r w:rsidRPr="00AC3044">
              <w:rPr>
                <w:rFonts w:eastAsia="SimSun"/>
              </w:rPr>
              <w:t>С -7 дня по -2 день</w:t>
            </w:r>
          </w:p>
        </w:tc>
        <w:tc>
          <w:tcPr>
            <w:tcW w:w="2410" w:type="dxa"/>
            <w:vAlign w:val="center"/>
          </w:tcPr>
          <w:p w14:paraId="136FDF23"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05126C61" w14:textId="77777777" w:rsidTr="002D3EBF">
        <w:trPr>
          <w:cantSplit/>
          <w:trHeight w:val="390"/>
        </w:trPr>
        <w:tc>
          <w:tcPr>
            <w:tcW w:w="1135" w:type="dxa"/>
            <w:vMerge/>
            <w:vAlign w:val="center"/>
          </w:tcPr>
          <w:p w14:paraId="5770F9CA" w14:textId="77777777" w:rsidR="00124A26" w:rsidRPr="00AC3044" w:rsidRDefault="00124A26" w:rsidP="002D3EBF">
            <w:pPr>
              <w:ind w:firstLine="0"/>
              <w:rPr>
                <w:rFonts w:eastAsia="SimSun"/>
              </w:rPr>
            </w:pPr>
          </w:p>
        </w:tc>
        <w:tc>
          <w:tcPr>
            <w:tcW w:w="1559" w:type="dxa"/>
            <w:vAlign w:val="center"/>
          </w:tcPr>
          <w:p w14:paraId="242B993E" w14:textId="77777777" w:rsidR="00124A26" w:rsidRPr="00AC3044" w:rsidRDefault="00124A26" w:rsidP="002D3EBF">
            <w:pPr>
              <w:ind w:firstLine="0"/>
              <w:rPr>
                <w:rFonts w:eastAsia="SimSun"/>
              </w:rPr>
            </w:pPr>
            <w:r w:rsidRPr="00AC3044">
              <w:rPr>
                <w:rFonts w:eastAsia="SimSun"/>
              </w:rPr>
              <w:t>Бусульфан</w:t>
            </w:r>
          </w:p>
        </w:tc>
        <w:tc>
          <w:tcPr>
            <w:tcW w:w="1418" w:type="dxa"/>
            <w:vAlign w:val="center"/>
          </w:tcPr>
          <w:p w14:paraId="37A2B7B7" w14:textId="77777777" w:rsidR="00124A26" w:rsidRPr="00AC3044" w:rsidRDefault="00124A26" w:rsidP="002D3EBF">
            <w:pPr>
              <w:ind w:firstLine="0"/>
              <w:rPr>
                <w:rFonts w:eastAsia="SimSun"/>
              </w:rPr>
            </w:pPr>
            <w:r w:rsidRPr="00AC3044">
              <w:rPr>
                <w:rFonts w:eastAsia="SimSun"/>
              </w:rPr>
              <w:t xml:space="preserve">4 мг/кг </w:t>
            </w:r>
          </w:p>
        </w:tc>
        <w:tc>
          <w:tcPr>
            <w:tcW w:w="1559" w:type="dxa"/>
            <w:vAlign w:val="center"/>
          </w:tcPr>
          <w:p w14:paraId="786EB94D" w14:textId="77777777" w:rsidR="00124A26" w:rsidRPr="00AC3044" w:rsidRDefault="00124A26" w:rsidP="002D3EBF">
            <w:pPr>
              <w:ind w:firstLine="0"/>
              <w:rPr>
                <w:rFonts w:eastAsia="SimSun"/>
              </w:rPr>
            </w:pPr>
            <w:r w:rsidRPr="00AC3044">
              <w:rPr>
                <w:rFonts w:eastAsia="SimSun"/>
              </w:rPr>
              <w:t xml:space="preserve">10 мг/кг </w:t>
            </w:r>
          </w:p>
        </w:tc>
        <w:tc>
          <w:tcPr>
            <w:tcW w:w="1559" w:type="dxa"/>
            <w:vAlign w:val="center"/>
          </w:tcPr>
          <w:p w14:paraId="4AC7A64C" w14:textId="77777777" w:rsidR="00124A26" w:rsidRPr="00AC3044" w:rsidRDefault="00124A26" w:rsidP="002D3EBF">
            <w:pPr>
              <w:ind w:firstLine="0"/>
              <w:rPr>
                <w:rFonts w:eastAsia="SimSun"/>
              </w:rPr>
            </w:pPr>
            <w:r w:rsidRPr="00AC3044">
              <w:rPr>
                <w:rFonts w:eastAsia="SimSun"/>
              </w:rPr>
              <w:t>С -5 дня по -3 день</w:t>
            </w:r>
          </w:p>
        </w:tc>
        <w:tc>
          <w:tcPr>
            <w:tcW w:w="2410" w:type="dxa"/>
            <w:vAlign w:val="center"/>
          </w:tcPr>
          <w:p w14:paraId="68439E07"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124A26" w:rsidRPr="00AC3044" w14:paraId="00281D9D" w14:textId="77777777" w:rsidTr="002D3EBF">
        <w:trPr>
          <w:cantSplit/>
          <w:trHeight w:val="1498"/>
        </w:trPr>
        <w:tc>
          <w:tcPr>
            <w:tcW w:w="1135" w:type="dxa"/>
            <w:vMerge w:val="restart"/>
            <w:textDirection w:val="btLr"/>
            <w:vAlign w:val="center"/>
          </w:tcPr>
          <w:p w14:paraId="2ED4860D" w14:textId="77777777" w:rsidR="00124A26" w:rsidRPr="00AC3044" w:rsidRDefault="00124A26" w:rsidP="002D3EBF">
            <w:pPr>
              <w:ind w:firstLine="0"/>
              <w:rPr>
                <w:rFonts w:eastAsia="SimSun"/>
              </w:rPr>
            </w:pPr>
            <w:r w:rsidRPr="00AC3044">
              <w:rPr>
                <w:rFonts w:eastAsia="SimSun"/>
              </w:rPr>
              <w:t>Профилактика РТПХ</w:t>
            </w:r>
          </w:p>
        </w:tc>
        <w:tc>
          <w:tcPr>
            <w:tcW w:w="1559" w:type="dxa"/>
            <w:vAlign w:val="center"/>
          </w:tcPr>
          <w:p w14:paraId="2A277F22" w14:textId="77777777" w:rsidR="00124A26" w:rsidRPr="00AC3044" w:rsidRDefault="00124A26" w:rsidP="002D3EBF">
            <w:pPr>
              <w:ind w:firstLine="0"/>
              <w:rPr>
                <w:rFonts w:eastAsia="SimSun"/>
              </w:rPr>
            </w:pPr>
            <w:r w:rsidRPr="00AC3044">
              <w:rPr>
                <w:rFonts w:eastAsia="SimSun"/>
              </w:rPr>
              <w:t>Циклофосфамид</w:t>
            </w:r>
          </w:p>
        </w:tc>
        <w:tc>
          <w:tcPr>
            <w:tcW w:w="1418" w:type="dxa"/>
            <w:vAlign w:val="center"/>
          </w:tcPr>
          <w:p w14:paraId="48451018" w14:textId="77777777" w:rsidR="00124A26" w:rsidRPr="00AC3044" w:rsidRDefault="00124A26" w:rsidP="002D3EBF">
            <w:pPr>
              <w:ind w:firstLine="0"/>
              <w:rPr>
                <w:rFonts w:eastAsia="SimSun"/>
              </w:rPr>
            </w:pPr>
            <w:r w:rsidRPr="00AC3044">
              <w:rPr>
                <w:rFonts w:eastAsia="SimSun"/>
              </w:rPr>
              <w:t>50 мг/кг</w:t>
            </w:r>
          </w:p>
        </w:tc>
        <w:tc>
          <w:tcPr>
            <w:tcW w:w="1559" w:type="dxa"/>
            <w:vAlign w:val="center"/>
          </w:tcPr>
          <w:p w14:paraId="1C875345" w14:textId="77777777" w:rsidR="00124A26" w:rsidRPr="00AC3044" w:rsidRDefault="00124A26" w:rsidP="002D3EBF">
            <w:pPr>
              <w:ind w:firstLine="0"/>
              <w:rPr>
                <w:rFonts w:eastAsia="SimSun"/>
              </w:rPr>
            </w:pPr>
            <w:r w:rsidRPr="00AC3044">
              <w:rPr>
                <w:rFonts w:eastAsia="SimSun"/>
              </w:rPr>
              <w:t>100 мг/кг</w:t>
            </w:r>
          </w:p>
        </w:tc>
        <w:tc>
          <w:tcPr>
            <w:tcW w:w="1559" w:type="dxa"/>
            <w:vAlign w:val="center"/>
          </w:tcPr>
          <w:p w14:paraId="0E923CC9" w14:textId="77777777" w:rsidR="00124A26" w:rsidRPr="00AC3044" w:rsidRDefault="00124A26" w:rsidP="002D3EBF">
            <w:pPr>
              <w:ind w:firstLine="0"/>
              <w:rPr>
                <w:rFonts w:eastAsia="SimSun"/>
              </w:rPr>
            </w:pPr>
            <w:r w:rsidRPr="00AC3044">
              <w:rPr>
                <w:rFonts w:eastAsia="SimSun"/>
              </w:rPr>
              <w:t>С +3 дня по +4 день</w:t>
            </w:r>
          </w:p>
        </w:tc>
        <w:tc>
          <w:tcPr>
            <w:tcW w:w="2410" w:type="dxa"/>
            <w:vAlign w:val="center"/>
          </w:tcPr>
          <w:p w14:paraId="1B329FC6" w14:textId="77777777" w:rsidR="00124A26" w:rsidRPr="00AC3044" w:rsidRDefault="00124A26" w:rsidP="002D3EBF">
            <w:pPr>
              <w:ind w:firstLine="0"/>
              <w:rPr>
                <w:rFonts w:eastAsia="SimSun"/>
              </w:rPr>
            </w:pPr>
            <w:r w:rsidRPr="00AC3044">
              <w:rPr>
                <w:rFonts w:eastAsia="SimSun"/>
              </w:rPr>
              <w:t>В/в, в течение 2 часов</w:t>
            </w:r>
          </w:p>
        </w:tc>
      </w:tr>
      <w:tr w:rsidR="00124A26" w:rsidRPr="00AC3044" w14:paraId="508F7AB5" w14:textId="77777777" w:rsidTr="002D3EBF">
        <w:trPr>
          <w:cantSplit/>
          <w:trHeight w:val="1598"/>
        </w:trPr>
        <w:tc>
          <w:tcPr>
            <w:tcW w:w="1135" w:type="dxa"/>
            <w:vMerge/>
            <w:textDirection w:val="btLr"/>
            <w:vAlign w:val="center"/>
          </w:tcPr>
          <w:p w14:paraId="1E04C9BB" w14:textId="77777777" w:rsidR="00124A26" w:rsidRPr="00AC3044" w:rsidRDefault="00124A26" w:rsidP="002D3EBF">
            <w:pPr>
              <w:ind w:firstLine="0"/>
              <w:rPr>
                <w:rFonts w:eastAsia="SimSun"/>
              </w:rPr>
            </w:pPr>
          </w:p>
        </w:tc>
        <w:tc>
          <w:tcPr>
            <w:tcW w:w="1559" w:type="dxa"/>
            <w:vAlign w:val="center"/>
          </w:tcPr>
          <w:p w14:paraId="38BBDF88" w14:textId="77777777" w:rsidR="00124A26" w:rsidRPr="00AC3044" w:rsidRDefault="00124A26" w:rsidP="002D3EBF">
            <w:pPr>
              <w:ind w:firstLine="0"/>
              <w:rPr>
                <w:rFonts w:eastAsia="SimSun"/>
              </w:rPr>
            </w:pPr>
            <w:r w:rsidRPr="00AC3044">
              <w:rPr>
                <w:rFonts w:eastAsia="SimSun"/>
              </w:rPr>
              <w:t xml:space="preserve">Такролимус </w:t>
            </w:r>
          </w:p>
        </w:tc>
        <w:tc>
          <w:tcPr>
            <w:tcW w:w="1418" w:type="dxa"/>
            <w:vAlign w:val="center"/>
          </w:tcPr>
          <w:p w14:paraId="1A7B290B" w14:textId="77777777" w:rsidR="00124A26" w:rsidRPr="00AC3044" w:rsidRDefault="00124A26" w:rsidP="002D3EBF">
            <w:pPr>
              <w:ind w:firstLine="0"/>
              <w:rPr>
                <w:rFonts w:eastAsia="SimSun"/>
              </w:rPr>
            </w:pPr>
            <w:r w:rsidRPr="00AC3044">
              <w:rPr>
                <w:rFonts w:eastAsia="SimSun"/>
              </w:rPr>
              <w:t>0,03 мг/кг</w:t>
            </w:r>
          </w:p>
        </w:tc>
        <w:tc>
          <w:tcPr>
            <w:tcW w:w="1559" w:type="dxa"/>
            <w:vAlign w:val="center"/>
          </w:tcPr>
          <w:p w14:paraId="01E24D29" w14:textId="77777777" w:rsidR="00124A26" w:rsidRPr="00AC3044" w:rsidRDefault="00124A26" w:rsidP="002D3EBF">
            <w:pPr>
              <w:ind w:firstLine="0"/>
              <w:rPr>
                <w:rFonts w:eastAsia="SimSun"/>
              </w:rPr>
            </w:pPr>
            <w:r w:rsidRPr="00AC3044">
              <w:rPr>
                <w:rFonts w:eastAsia="SimSun"/>
              </w:rPr>
              <w:t>–</w:t>
            </w:r>
          </w:p>
        </w:tc>
        <w:tc>
          <w:tcPr>
            <w:tcW w:w="1559" w:type="dxa"/>
            <w:vAlign w:val="center"/>
          </w:tcPr>
          <w:p w14:paraId="61B6E047" w14:textId="77777777" w:rsidR="00124A26" w:rsidRPr="00AC3044" w:rsidRDefault="00124A26" w:rsidP="002D3EBF">
            <w:pPr>
              <w:ind w:firstLine="0"/>
              <w:rPr>
                <w:rFonts w:eastAsia="SimSun"/>
              </w:rPr>
            </w:pPr>
            <w:r w:rsidRPr="00AC3044">
              <w:rPr>
                <w:rFonts w:eastAsia="SimSun"/>
              </w:rPr>
              <w:t xml:space="preserve">С +5 дня длительно </w:t>
            </w:r>
          </w:p>
        </w:tc>
        <w:tc>
          <w:tcPr>
            <w:tcW w:w="2410" w:type="dxa"/>
            <w:vAlign w:val="center"/>
          </w:tcPr>
          <w:p w14:paraId="3FC70173" w14:textId="77777777" w:rsidR="00124A26" w:rsidRPr="00AC3044" w:rsidRDefault="00124A26"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124A26" w:rsidRPr="00AC3044" w14:paraId="01B04A11" w14:textId="77777777" w:rsidTr="002D3EBF">
        <w:trPr>
          <w:cantSplit/>
          <w:trHeight w:val="434"/>
        </w:trPr>
        <w:tc>
          <w:tcPr>
            <w:tcW w:w="1135" w:type="dxa"/>
            <w:vMerge/>
            <w:textDirection w:val="btLr"/>
            <w:vAlign w:val="center"/>
          </w:tcPr>
          <w:p w14:paraId="2B635B1B" w14:textId="77777777" w:rsidR="00124A26" w:rsidRPr="00AC3044" w:rsidRDefault="00124A26" w:rsidP="002D3EBF">
            <w:pPr>
              <w:ind w:firstLine="0"/>
              <w:rPr>
                <w:rFonts w:eastAsia="SimSun"/>
              </w:rPr>
            </w:pPr>
          </w:p>
        </w:tc>
        <w:tc>
          <w:tcPr>
            <w:tcW w:w="1559" w:type="dxa"/>
            <w:vAlign w:val="center"/>
          </w:tcPr>
          <w:p w14:paraId="1DAADD1F" w14:textId="77777777" w:rsidR="00124A26" w:rsidRPr="00AC3044" w:rsidRDefault="00124A26" w:rsidP="002D3EBF">
            <w:pPr>
              <w:ind w:firstLine="0"/>
              <w:rPr>
                <w:rFonts w:eastAsia="SimSun"/>
              </w:rPr>
            </w:pPr>
            <w:r w:rsidRPr="00AC3044">
              <w:rPr>
                <w:rFonts w:eastAsia="SimSun"/>
              </w:rPr>
              <w:t>Микофенолата мофетил</w:t>
            </w:r>
          </w:p>
        </w:tc>
        <w:tc>
          <w:tcPr>
            <w:tcW w:w="1418" w:type="dxa"/>
            <w:vAlign w:val="center"/>
          </w:tcPr>
          <w:p w14:paraId="3EF1BE96" w14:textId="77777777" w:rsidR="00124A26" w:rsidRPr="00AC3044" w:rsidRDefault="00124A26" w:rsidP="002D3EBF">
            <w:pPr>
              <w:ind w:firstLine="0"/>
              <w:rPr>
                <w:rFonts w:eastAsia="SimSun"/>
              </w:rPr>
            </w:pPr>
            <w:r w:rsidRPr="00AC3044">
              <w:rPr>
                <w:rFonts w:eastAsia="SimSun"/>
              </w:rPr>
              <w:t xml:space="preserve">45 мг/кг </w:t>
            </w:r>
          </w:p>
        </w:tc>
        <w:tc>
          <w:tcPr>
            <w:tcW w:w="1559" w:type="dxa"/>
            <w:vAlign w:val="center"/>
          </w:tcPr>
          <w:p w14:paraId="5B294F8A" w14:textId="77777777" w:rsidR="00124A26" w:rsidRPr="00AC3044" w:rsidRDefault="00124A26" w:rsidP="002D3EBF">
            <w:pPr>
              <w:ind w:firstLine="0"/>
              <w:rPr>
                <w:rFonts w:eastAsia="SimSun"/>
              </w:rPr>
            </w:pPr>
            <w:r w:rsidRPr="00AC3044">
              <w:rPr>
                <w:rFonts w:eastAsia="SimSun"/>
              </w:rPr>
              <w:t>–</w:t>
            </w:r>
          </w:p>
        </w:tc>
        <w:tc>
          <w:tcPr>
            <w:tcW w:w="1559" w:type="dxa"/>
            <w:vAlign w:val="center"/>
          </w:tcPr>
          <w:p w14:paraId="5ADD532C" w14:textId="77777777" w:rsidR="00124A26" w:rsidRPr="00AC3044" w:rsidRDefault="00124A26" w:rsidP="002D3EBF">
            <w:pPr>
              <w:ind w:firstLine="0"/>
              <w:rPr>
                <w:rFonts w:eastAsia="SimSun"/>
              </w:rPr>
            </w:pPr>
            <w:r w:rsidRPr="00AC3044">
              <w:rPr>
                <w:rFonts w:eastAsia="SimSun"/>
              </w:rPr>
              <w:t xml:space="preserve">С +5 дня по +35 день </w:t>
            </w:r>
          </w:p>
        </w:tc>
        <w:tc>
          <w:tcPr>
            <w:tcW w:w="2410" w:type="dxa"/>
            <w:vAlign w:val="center"/>
          </w:tcPr>
          <w:p w14:paraId="77CCAA5B"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63161BF5" w14:textId="77777777" w:rsidR="00124A26" w:rsidRDefault="00124A26" w:rsidP="00124A26">
      <w:pPr>
        <w:rPr>
          <w:rFonts w:eastAsia="SimSun"/>
        </w:rPr>
      </w:pPr>
      <w:bookmarkStart w:id="270" w:name="_Toc44401233"/>
    </w:p>
    <w:p w14:paraId="623B5F2B" w14:textId="77777777" w:rsidR="00124A26" w:rsidRPr="00C07B2E" w:rsidRDefault="00124A26" w:rsidP="00124A26">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3.1.8  – Flu180+Bu12 / PT-Cy+Tx+MMF45</w:t>
      </w:r>
      <w:bookmarkEnd w:id="270"/>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124A26" w:rsidRPr="00AC3044" w14:paraId="35B80D3C" w14:textId="77777777" w:rsidTr="002D3EBF">
        <w:trPr>
          <w:cantSplit/>
          <w:trHeight w:val="20"/>
          <w:tblHeader/>
        </w:trPr>
        <w:tc>
          <w:tcPr>
            <w:tcW w:w="1135" w:type="dxa"/>
            <w:vAlign w:val="center"/>
          </w:tcPr>
          <w:p w14:paraId="1ABEEB4F" w14:textId="77777777" w:rsidR="00124A26" w:rsidRPr="006A5E21" w:rsidRDefault="00124A26" w:rsidP="002D3EBF">
            <w:pPr>
              <w:ind w:firstLine="0"/>
              <w:rPr>
                <w:rFonts w:eastAsia="SimSun"/>
              </w:rPr>
            </w:pPr>
          </w:p>
        </w:tc>
        <w:tc>
          <w:tcPr>
            <w:tcW w:w="1559" w:type="dxa"/>
            <w:vAlign w:val="center"/>
          </w:tcPr>
          <w:p w14:paraId="295604C0" w14:textId="77777777" w:rsidR="00124A26" w:rsidRPr="00AC3044" w:rsidRDefault="00124A26" w:rsidP="002D3EBF">
            <w:pPr>
              <w:ind w:firstLine="0"/>
              <w:rPr>
                <w:rFonts w:eastAsia="SimSun"/>
              </w:rPr>
            </w:pPr>
            <w:r w:rsidRPr="00AC3044">
              <w:rPr>
                <w:rFonts w:eastAsia="SimSun"/>
              </w:rPr>
              <w:t>Препарат</w:t>
            </w:r>
          </w:p>
        </w:tc>
        <w:tc>
          <w:tcPr>
            <w:tcW w:w="1418" w:type="dxa"/>
            <w:vAlign w:val="center"/>
          </w:tcPr>
          <w:p w14:paraId="6401056D" w14:textId="77777777" w:rsidR="00124A26" w:rsidRPr="00AC3044" w:rsidRDefault="00124A26" w:rsidP="002D3EBF">
            <w:pPr>
              <w:ind w:firstLine="0"/>
              <w:rPr>
                <w:rFonts w:eastAsia="SimSun"/>
              </w:rPr>
            </w:pPr>
            <w:r w:rsidRPr="00AC3044">
              <w:rPr>
                <w:rFonts w:eastAsia="SimSun"/>
              </w:rPr>
              <w:t>Суточная доза</w:t>
            </w:r>
          </w:p>
        </w:tc>
        <w:tc>
          <w:tcPr>
            <w:tcW w:w="1559" w:type="dxa"/>
            <w:vAlign w:val="center"/>
          </w:tcPr>
          <w:p w14:paraId="163A11F9" w14:textId="77777777" w:rsidR="00124A26" w:rsidRPr="00AC3044" w:rsidRDefault="00124A26" w:rsidP="002D3EBF">
            <w:pPr>
              <w:ind w:firstLine="0"/>
              <w:rPr>
                <w:rFonts w:eastAsia="SimSun"/>
              </w:rPr>
            </w:pPr>
            <w:r w:rsidRPr="00AC3044">
              <w:rPr>
                <w:rFonts w:eastAsia="SimSun"/>
              </w:rPr>
              <w:t>Курсовая доза</w:t>
            </w:r>
          </w:p>
        </w:tc>
        <w:tc>
          <w:tcPr>
            <w:tcW w:w="1559" w:type="dxa"/>
            <w:vAlign w:val="center"/>
          </w:tcPr>
          <w:p w14:paraId="4CD03C19" w14:textId="77777777" w:rsidR="00124A26" w:rsidRPr="00AC3044" w:rsidRDefault="00124A26" w:rsidP="002D3EBF">
            <w:pPr>
              <w:ind w:firstLine="0"/>
              <w:rPr>
                <w:rFonts w:eastAsia="SimSun"/>
              </w:rPr>
            </w:pPr>
            <w:r w:rsidRPr="00AC3044">
              <w:rPr>
                <w:rFonts w:eastAsia="SimSun"/>
              </w:rPr>
              <w:t>Дни введения</w:t>
            </w:r>
          </w:p>
        </w:tc>
        <w:tc>
          <w:tcPr>
            <w:tcW w:w="2410" w:type="dxa"/>
            <w:vAlign w:val="center"/>
          </w:tcPr>
          <w:p w14:paraId="6B9E5F39"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36FEA376" w14:textId="77777777" w:rsidTr="002D3EBF">
        <w:trPr>
          <w:cantSplit/>
          <w:trHeight w:val="20"/>
        </w:trPr>
        <w:tc>
          <w:tcPr>
            <w:tcW w:w="1135" w:type="dxa"/>
            <w:vMerge w:val="restart"/>
            <w:textDirection w:val="btLr"/>
            <w:vAlign w:val="center"/>
          </w:tcPr>
          <w:p w14:paraId="70E096A1" w14:textId="77777777" w:rsidR="00124A26" w:rsidRPr="00AC3044" w:rsidRDefault="00124A26" w:rsidP="002D3EBF">
            <w:pPr>
              <w:ind w:firstLine="0"/>
              <w:rPr>
                <w:rFonts w:eastAsia="SimSun"/>
              </w:rPr>
            </w:pPr>
            <w:r w:rsidRPr="00AC3044">
              <w:rPr>
                <w:rFonts w:eastAsia="SimSun"/>
              </w:rPr>
              <w:t>Кондиционирование</w:t>
            </w:r>
          </w:p>
        </w:tc>
        <w:tc>
          <w:tcPr>
            <w:tcW w:w="1559" w:type="dxa"/>
            <w:vAlign w:val="center"/>
          </w:tcPr>
          <w:p w14:paraId="72FF848A" w14:textId="77777777" w:rsidR="00124A26" w:rsidRPr="00AC3044" w:rsidRDefault="00124A26" w:rsidP="002D3EBF">
            <w:pPr>
              <w:ind w:firstLine="0"/>
              <w:rPr>
                <w:rFonts w:eastAsia="SimSun"/>
              </w:rPr>
            </w:pPr>
            <w:r w:rsidRPr="00AC3044">
              <w:rPr>
                <w:rFonts w:eastAsia="SimSun"/>
              </w:rPr>
              <w:t xml:space="preserve">Флударабин </w:t>
            </w:r>
          </w:p>
        </w:tc>
        <w:tc>
          <w:tcPr>
            <w:tcW w:w="1418" w:type="dxa"/>
            <w:vAlign w:val="center"/>
          </w:tcPr>
          <w:p w14:paraId="4F8C8B42" w14:textId="77777777" w:rsidR="00124A26" w:rsidRPr="00AC3044" w:rsidRDefault="00124A26" w:rsidP="002D3EBF">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5DC736D2" w14:textId="77777777" w:rsidR="00124A26" w:rsidRPr="00AC3044" w:rsidRDefault="00124A26" w:rsidP="002D3EBF">
            <w:pPr>
              <w:ind w:firstLine="0"/>
              <w:rPr>
                <w:rFonts w:eastAsia="SimSun"/>
              </w:rPr>
            </w:pPr>
            <w:r w:rsidRPr="00AC3044">
              <w:rPr>
                <w:rFonts w:eastAsia="SimSun"/>
              </w:rPr>
              <w:t>180 мг/м</w:t>
            </w:r>
            <w:r w:rsidRPr="0074195F">
              <w:rPr>
                <w:rFonts w:eastAsia="SimSun"/>
                <w:vertAlign w:val="superscript"/>
              </w:rPr>
              <w:t>2</w:t>
            </w:r>
          </w:p>
        </w:tc>
        <w:tc>
          <w:tcPr>
            <w:tcW w:w="1559" w:type="dxa"/>
            <w:vAlign w:val="center"/>
          </w:tcPr>
          <w:p w14:paraId="3E8EF9F2" w14:textId="77777777" w:rsidR="00124A26" w:rsidRPr="00AC3044" w:rsidRDefault="00124A26" w:rsidP="002D3EBF">
            <w:pPr>
              <w:ind w:firstLine="0"/>
              <w:rPr>
                <w:rFonts w:eastAsia="SimSun"/>
              </w:rPr>
            </w:pPr>
            <w:r w:rsidRPr="00AC3044">
              <w:rPr>
                <w:rFonts w:eastAsia="SimSun"/>
              </w:rPr>
              <w:t>С -7 дня по -2 день</w:t>
            </w:r>
          </w:p>
        </w:tc>
        <w:tc>
          <w:tcPr>
            <w:tcW w:w="2410" w:type="dxa"/>
            <w:vAlign w:val="center"/>
          </w:tcPr>
          <w:p w14:paraId="0E1782B9"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3524AEF1" w14:textId="77777777" w:rsidTr="002D3EBF">
        <w:trPr>
          <w:cantSplit/>
          <w:trHeight w:val="1207"/>
        </w:trPr>
        <w:tc>
          <w:tcPr>
            <w:tcW w:w="1135" w:type="dxa"/>
            <w:vMerge/>
            <w:vAlign w:val="center"/>
          </w:tcPr>
          <w:p w14:paraId="61D1BECE" w14:textId="77777777" w:rsidR="00124A26" w:rsidRPr="00AC3044" w:rsidRDefault="00124A26" w:rsidP="002D3EBF">
            <w:pPr>
              <w:ind w:firstLine="0"/>
              <w:rPr>
                <w:rFonts w:eastAsia="SimSun"/>
              </w:rPr>
            </w:pPr>
          </w:p>
        </w:tc>
        <w:tc>
          <w:tcPr>
            <w:tcW w:w="1559" w:type="dxa"/>
            <w:vAlign w:val="center"/>
          </w:tcPr>
          <w:p w14:paraId="4691D5FA" w14:textId="77777777" w:rsidR="00124A26" w:rsidRPr="00AC3044" w:rsidRDefault="00124A26" w:rsidP="002D3EBF">
            <w:pPr>
              <w:ind w:firstLine="0"/>
              <w:rPr>
                <w:rFonts w:eastAsia="SimSun"/>
              </w:rPr>
            </w:pPr>
            <w:r w:rsidRPr="00AC3044">
              <w:rPr>
                <w:rFonts w:eastAsia="SimSun"/>
              </w:rPr>
              <w:t>Бусульфан</w:t>
            </w:r>
          </w:p>
        </w:tc>
        <w:tc>
          <w:tcPr>
            <w:tcW w:w="1418" w:type="dxa"/>
            <w:vAlign w:val="center"/>
          </w:tcPr>
          <w:p w14:paraId="63CABC4C" w14:textId="77777777" w:rsidR="00124A26" w:rsidRPr="00AC3044" w:rsidRDefault="00124A26" w:rsidP="002D3EBF">
            <w:pPr>
              <w:ind w:firstLine="0"/>
              <w:rPr>
                <w:rFonts w:eastAsia="SimSun"/>
              </w:rPr>
            </w:pPr>
            <w:r w:rsidRPr="00AC3044">
              <w:rPr>
                <w:rFonts w:eastAsia="SimSun"/>
              </w:rPr>
              <w:t xml:space="preserve">4 мг/кг </w:t>
            </w:r>
          </w:p>
        </w:tc>
        <w:tc>
          <w:tcPr>
            <w:tcW w:w="1559" w:type="dxa"/>
            <w:vAlign w:val="center"/>
          </w:tcPr>
          <w:p w14:paraId="73A69FB3" w14:textId="77777777" w:rsidR="00124A26" w:rsidRPr="00AC3044" w:rsidRDefault="00124A26" w:rsidP="002D3EBF">
            <w:pPr>
              <w:ind w:firstLine="0"/>
              <w:rPr>
                <w:rFonts w:eastAsia="SimSun"/>
              </w:rPr>
            </w:pPr>
            <w:r w:rsidRPr="00AC3044">
              <w:rPr>
                <w:rFonts w:eastAsia="SimSun"/>
              </w:rPr>
              <w:t xml:space="preserve">12 мг/кг </w:t>
            </w:r>
          </w:p>
        </w:tc>
        <w:tc>
          <w:tcPr>
            <w:tcW w:w="1559" w:type="dxa"/>
            <w:vAlign w:val="center"/>
          </w:tcPr>
          <w:p w14:paraId="5A498C0A" w14:textId="77777777" w:rsidR="00124A26" w:rsidRPr="00AC3044" w:rsidRDefault="00124A26" w:rsidP="002D3EBF">
            <w:pPr>
              <w:ind w:firstLine="0"/>
              <w:rPr>
                <w:rFonts w:eastAsia="SimSun"/>
              </w:rPr>
            </w:pPr>
            <w:r w:rsidRPr="00AC3044">
              <w:rPr>
                <w:rFonts w:eastAsia="SimSun"/>
              </w:rPr>
              <w:t>С -5 дня по -3 день</w:t>
            </w:r>
          </w:p>
        </w:tc>
        <w:tc>
          <w:tcPr>
            <w:tcW w:w="2410" w:type="dxa"/>
            <w:vAlign w:val="center"/>
          </w:tcPr>
          <w:p w14:paraId="528E38C5"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124A26" w:rsidRPr="00AC3044" w14:paraId="44A0FCA0" w14:textId="77777777" w:rsidTr="002D3EBF">
        <w:trPr>
          <w:cantSplit/>
          <w:trHeight w:val="660"/>
        </w:trPr>
        <w:tc>
          <w:tcPr>
            <w:tcW w:w="1135" w:type="dxa"/>
            <w:vMerge w:val="restart"/>
            <w:textDirection w:val="btLr"/>
            <w:vAlign w:val="center"/>
          </w:tcPr>
          <w:p w14:paraId="5B581111" w14:textId="77777777" w:rsidR="00124A26" w:rsidRPr="00AC3044" w:rsidRDefault="00124A26" w:rsidP="002D3EBF">
            <w:pPr>
              <w:ind w:firstLine="0"/>
              <w:rPr>
                <w:rFonts w:eastAsia="SimSun"/>
              </w:rPr>
            </w:pPr>
            <w:r w:rsidRPr="00AC3044">
              <w:rPr>
                <w:rFonts w:eastAsia="SimSun"/>
              </w:rPr>
              <w:t>Профилактика РТПХ</w:t>
            </w:r>
          </w:p>
        </w:tc>
        <w:tc>
          <w:tcPr>
            <w:tcW w:w="1559" w:type="dxa"/>
            <w:vAlign w:val="center"/>
          </w:tcPr>
          <w:p w14:paraId="5C9397E2" w14:textId="77777777" w:rsidR="00124A26" w:rsidRPr="00AC3044" w:rsidRDefault="00124A26" w:rsidP="002D3EBF">
            <w:pPr>
              <w:ind w:firstLine="0"/>
              <w:rPr>
                <w:rFonts w:eastAsia="SimSun"/>
              </w:rPr>
            </w:pPr>
            <w:r w:rsidRPr="00AC3044">
              <w:rPr>
                <w:rFonts w:eastAsia="SimSun"/>
              </w:rPr>
              <w:t>Циклофосфамид</w:t>
            </w:r>
          </w:p>
        </w:tc>
        <w:tc>
          <w:tcPr>
            <w:tcW w:w="1418" w:type="dxa"/>
            <w:vAlign w:val="center"/>
          </w:tcPr>
          <w:p w14:paraId="2536A9B9" w14:textId="77777777" w:rsidR="00124A26" w:rsidRPr="00AC3044" w:rsidRDefault="00124A26" w:rsidP="002D3EBF">
            <w:pPr>
              <w:ind w:firstLine="0"/>
              <w:rPr>
                <w:rFonts w:eastAsia="SimSun"/>
              </w:rPr>
            </w:pPr>
            <w:r w:rsidRPr="00AC3044">
              <w:rPr>
                <w:rFonts w:eastAsia="SimSun"/>
              </w:rPr>
              <w:t>50 мг/кг</w:t>
            </w:r>
          </w:p>
        </w:tc>
        <w:tc>
          <w:tcPr>
            <w:tcW w:w="1559" w:type="dxa"/>
            <w:vAlign w:val="center"/>
          </w:tcPr>
          <w:p w14:paraId="3D19D1E8" w14:textId="77777777" w:rsidR="00124A26" w:rsidRPr="00AC3044" w:rsidRDefault="00124A26" w:rsidP="002D3EBF">
            <w:pPr>
              <w:ind w:firstLine="0"/>
              <w:rPr>
                <w:rFonts w:eastAsia="SimSun"/>
              </w:rPr>
            </w:pPr>
            <w:r w:rsidRPr="00AC3044">
              <w:rPr>
                <w:rFonts w:eastAsia="SimSun"/>
              </w:rPr>
              <w:t>100 мг/кг</w:t>
            </w:r>
          </w:p>
        </w:tc>
        <w:tc>
          <w:tcPr>
            <w:tcW w:w="1559" w:type="dxa"/>
            <w:vAlign w:val="center"/>
          </w:tcPr>
          <w:p w14:paraId="229697DC" w14:textId="77777777" w:rsidR="00124A26" w:rsidRPr="00AC3044" w:rsidRDefault="00124A26" w:rsidP="002D3EBF">
            <w:pPr>
              <w:ind w:firstLine="0"/>
              <w:rPr>
                <w:rFonts w:eastAsia="SimSun"/>
              </w:rPr>
            </w:pPr>
            <w:r w:rsidRPr="00AC3044">
              <w:rPr>
                <w:rFonts w:eastAsia="SimSun"/>
              </w:rPr>
              <w:t>С +3 дня по +4 день</w:t>
            </w:r>
          </w:p>
        </w:tc>
        <w:tc>
          <w:tcPr>
            <w:tcW w:w="2410" w:type="dxa"/>
            <w:vAlign w:val="center"/>
          </w:tcPr>
          <w:p w14:paraId="064C9FF4" w14:textId="77777777" w:rsidR="00124A26" w:rsidRPr="00AC3044" w:rsidRDefault="00124A26" w:rsidP="002D3EBF">
            <w:pPr>
              <w:ind w:firstLine="0"/>
              <w:rPr>
                <w:rFonts w:eastAsia="SimSun"/>
              </w:rPr>
            </w:pPr>
            <w:r w:rsidRPr="00AC3044">
              <w:rPr>
                <w:rFonts w:eastAsia="SimSun"/>
              </w:rPr>
              <w:t>В/в, в течение 2 часов</w:t>
            </w:r>
          </w:p>
        </w:tc>
      </w:tr>
      <w:tr w:rsidR="00124A26" w:rsidRPr="00AC3044" w14:paraId="03664B28" w14:textId="77777777" w:rsidTr="002D3EBF">
        <w:trPr>
          <w:cantSplit/>
          <w:trHeight w:val="958"/>
        </w:trPr>
        <w:tc>
          <w:tcPr>
            <w:tcW w:w="1135" w:type="dxa"/>
            <w:vMerge/>
            <w:textDirection w:val="btLr"/>
            <w:vAlign w:val="center"/>
          </w:tcPr>
          <w:p w14:paraId="6F086DAC" w14:textId="77777777" w:rsidR="00124A26" w:rsidRPr="00AC3044" w:rsidRDefault="00124A26" w:rsidP="002D3EBF">
            <w:pPr>
              <w:ind w:firstLine="0"/>
              <w:rPr>
                <w:rFonts w:eastAsia="SimSun"/>
              </w:rPr>
            </w:pPr>
          </w:p>
        </w:tc>
        <w:tc>
          <w:tcPr>
            <w:tcW w:w="1559" w:type="dxa"/>
            <w:vAlign w:val="center"/>
          </w:tcPr>
          <w:p w14:paraId="316460BD" w14:textId="77777777" w:rsidR="00124A26" w:rsidRPr="00AC3044" w:rsidRDefault="00124A26" w:rsidP="002D3EBF">
            <w:pPr>
              <w:ind w:firstLine="0"/>
              <w:rPr>
                <w:rFonts w:eastAsia="SimSun"/>
              </w:rPr>
            </w:pPr>
            <w:r w:rsidRPr="00AC3044">
              <w:rPr>
                <w:rFonts w:eastAsia="SimSun"/>
              </w:rPr>
              <w:t xml:space="preserve">Такролимус </w:t>
            </w:r>
          </w:p>
        </w:tc>
        <w:tc>
          <w:tcPr>
            <w:tcW w:w="1418" w:type="dxa"/>
            <w:vAlign w:val="center"/>
          </w:tcPr>
          <w:p w14:paraId="72DFF2DF" w14:textId="77777777" w:rsidR="00124A26" w:rsidRPr="00AC3044" w:rsidRDefault="00124A26" w:rsidP="002D3EBF">
            <w:pPr>
              <w:ind w:firstLine="0"/>
              <w:rPr>
                <w:rFonts w:eastAsia="SimSun"/>
              </w:rPr>
            </w:pPr>
            <w:r w:rsidRPr="00AC3044">
              <w:rPr>
                <w:rFonts w:eastAsia="SimSun"/>
              </w:rPr>
              <w:t>0,03 мг/кг</w:t>
            </w:r>
          </w:p>
        </w:tc>
        <w:tc>
          <w:tcPr>
            <w:tcW w:w="1559" w:type="dxa"/>
            <w:vAlign w:val="center"/>
          </w:tcPr>
          <w:p w14:paraId="14754867" w14:textId="77777777" w:rsidR="00124A26" w:rsidRPr="00AC3044" w:rsidRDefault="00124A26" w:rsidP="002D3EBF">
            <w:pPr>
              <w:ind w:firstLine="0"/>
              <w:rPr>
                <w:rFonts w:eastAsia="SimSun"/>
              </w:rPr>
            </w:pPr>
            <w:r w:rsidRPr="00AC3044">
              <w:rPr>
                <w:rFonts w:eastAsia="SimSun"/>
              </w:rPr>
              <w:t>–</w:t>
            </w:r>
          </w:p>
        </w:tc>
        <w:tc>
          <w:tcPr>
            <w:tcW w:w="1559" w:type="dxa"/>
            <w:vAlign w:val="center"/>
          </w:tcPr>
          <w:p w14:paraId="726766C4" w14:textId="77777777" w:rsidR="00124A26" w:rsidRPr="00AC3044" w:rsidRDefault="00124A26" w:rsidP="002D3EBF">
            <w:pPr>
              <w:ind w:firstLine="0"/>
              <w:rPr>
                <w:rFonts w:eastAsia="SimSun"/>
              </w:rPr>
            </w:pPr>
            <w:r w:rsidRPr="00AC3044">
              <w:rPr>
                <w:rFonts w:eastAsia="SimSun"/>
              </w:rPr>
              <w:t xml:space="preserve">С +5 дня длительно </w:t>
            </w:r>
          </w:p>
        </w:tc>
        <w:tc>
          <w:tcPr>
            <w:tcW w:w="2410" w:type="dxa"/>
            <w:vAlign w:val="center"/>
          </w:tcPr>
          <w:p w14:paraId="03DE54C2" w14:textId="77777777" w:rsidR="00124A26" w:rsidRPr="00AC3044" w:rsidRDefault="00124A26"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bl>
    <w:p w14:paraId="065DE53F" w14:textId="77777777" w:rsidR="00124A26" w:rsidRDefault="00124A26" w:rsidP="00124A26">
      <w:pPr>
        <w:rPr>
          <w:rFonts w:eastAsia="SimSun"/>
        </w:rPr>
      </w:pPr>
      <w:bookmarkStart w:id="271" w:name="_Toc44401234"/>
    </w:p>
    <w:p w14:paraId="5B305FB4" w14:textId="77777777" w:rsidR="00124A26" w:rsidRPr="00030511" w:rsidRDefault="00124A26" w:rsidP="00124A26">
      <w:pPr>
        <w:rPr>
          <w:rFonts w:eastAsia="SimSun"/>
        </w:rPr>
      </w:pPr>
      <w:r w:rsidRPr="00030511">
        <w:rPr>
          <w:rFonts w:eastAsia="SimSun"/>
        </w:rPr>
        <w:t xml:space="preserve">Таблица 5.3.1.9  – </w:t>
      </w:r>
      <w:r w:rsidRPr="00C07B2E">
        <w:rPr>
          <w:rFonts w:eastAsia="SimSun"/>
        </w:rPr>
        <w:t>Flu</w:t>
      </w:r>
      <w:r w:rsidRPr="00030511">
        <w:rPr>
          <w:rFonts w:eastAsia="SimSun"/>
        </w:rPr>
        <w:t>180+</w:t>
      </w:r>
      <w:r w:rsidRPr="00C07B2E">
        <w:rPr>
          <w:rFonts w:eastAsia="SimSun"/>
        </w:rPr>
        <w:t>Bu</w:t>
      </w:r>
      <w:r w:rsidRPr="00030511">
        <w:rPr>
          <w:rFonts w:eastAsia="SimSun"/>
        </w:rPr>
        <w:t xml:space="preserve">14 / </w:t>
      </w:r>
      <w:r w:rsidRPr="00C07B2E">
        <w:rPr>
          <w:rFonts w:eastAsia="SimSun"/>
        </w:rPr>
        <w:t>PT</w:t>
      </w:r>
      <w:r w:rsidRPr="00030511">
        <w:rPr>
          <w:rFonts w:eastAsia="SimSun"/>
        </w:rPr>
        <w:t>-</w:t>
      </w:r>
      <w:r w:rsidRPr="00C07B2E">
        <w:rPr>
          <w:rFonts w:eastAsia="SimSun"/>
        </w:rPr>
        <w:t>Cy</w:t>
      </w:r>
      <w:r w:rsidRPr="00030511">
        <w:rPr>
          <w:rFonts w:eastAsia="SimSun"/>
        </w:rPr>
        <w:t>+</w:t>
      </w:r>
      <w:r w:rsidRPr="00C07B2E">
        <w:rPr>
          <w:rFonts w:eastAsia="SimSun"/>
        </w:rPr>
        <w:t>Tx</w:t>
      </w:r>
      <w:r w:rsidRPr="00030511">
        <w:rPr>
          <w:rFonts w:eastAsia="SimSun"/>
        </w:rPr>
        <w:t>+</w:t>
      </w:r>
      <w:r w:rsidRPr="00C07B2E">
        <w:rPr>
          <w:rFonts w:eastAsia="SimSun"/>
        </w:rPr>
        <w:t>MMF</w:t>
      </w:r>
      <w:r w:rsidRPr="00030511">
        <w:rPr>
          <w:rFonts w:eastAsia="SimSun"/>
        </w:rPr>
        <w:t>45</w:t>
      </w:r>
      <w:bookmarkEnd w:id="271"/>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124A26" w:rsidRPr="00AC3044" w14:paraId="4932187F" w14:textId="77777777" w:rsidTr="002D3EBF">
        <w:trPr>
          <w:cantSplit/>
          <w:trHeight w:val="20"/>
          <w:tblHeader/>
        </w:trPr>
        <w:tc>
          <w:tcPr>
            <w:tcW w:w="1135" w:type="dxa"/>
            <w:vAlign w:val="center"/>
          </w:tcPr>
          <w:p w14:paraId="69D4509C" w14:textId="77777777" w:rsidR="00124A26" w:rsidRPr="00AC3044" w:rsidRDefault="00124A26" w:rsidP="002D3EBF">
            <w:pPr>
              <w:ind w:firstLine="0"/>
              <w:rPr>
                <w:rFonts w:eastAsia="SimSun"/>
              </w:rPr>
            </w:pPr>
          </w:p>
        </w:tc>
        <w:tc>
          <w:tcPr>
            <w:tcW w:w="1559" w:type="dxa"/>
            <w:vAlign w:val="center"/>
          </w:tcPr>
          <w:p w14:paraId="112550CF" w14:textId="77777777" w:rsidR="00124A26" w:rsidRPr="00AC3044" w:rsidRDefault="00124A26" w:rsidP="002D3EBF">
            <w:pPr>
              <w:ind w:firstLine="0"/>
              <w:rPr>
                <w:rFonts w:eastAsia="SimSun"/>
              </w:rPr>
            </w:pPr>
            <w:r w:rsidRPr="00AC3044">
              <w:rPr>
                <w:rFonts w:eastAsia="SimSun"/>
              </w:rPr>
              <w:t>Препарат</w:t>
            </w:r>
          </w:p>
        </w:tc>
        <w:tc>
          <w:tcPr>
            <w:tcW w:w="1418" w:type="dxa"/>
            <w:vAlign w:val="center"/>
          </w:tcPr>
          <w:p w14:paraId="5F99CA66" w14:textId="77777777" w:rsidR="00124A26" w:rsidRPr="00AC3044" w:rsidRDefault="00124A26" w:rsidP="002D3EBF">
            <w:pPr>
              <w:ind w:firstLine="0"/>
              <w:rPr>
                <w:rFonts w:eastAsia="SimSun"/>
              </w:rPr>
            </w:pPr>
            <w:r w:rsidRPr="00AC3044">
              <w:rPr>
                <w:rFonts w:eastAsia="SimSun"/>
              </w:rPr>
              <w:t>Суточная доза</w:t>
            </w:r>
          </w:p>
        </w:tc>
        <w:tc>
          <w:tcPr>
            <w:tcW w:w="1559" w:type="dxa"/>
            <w:vAlign w:val="center"/>
          </w:tcPr>
          <w:p w14:paraId="29F6838C" w14:textId="77777777" w:rsidR="00124A26" w:rsidRPr="00AC3044" w:rsidRDefault="00124A26" w:rsidP="002D3EBF">
            <w:pPr>
              <w:ind w:firstLine="0"/>
              <w:rPr>
                <w:rFonts w:eastAsia="SimSun"/>
              </w:rPr>
            </w:pPr>
            <w:r w:rsidRPr="00AC3044">
              <w:rPr>
                <w:rFonts w:eastAsia="SimSun"/>
              </w:rPr>
              <w:t>Курсовая доза</w:t>
            </w:r>
          </w:p>
        </w:tc>
        <w:tc>
          <w:tcPr>
            <w:tcW w:w="1559" w:type="dxa"/>
            <w:vAlign w:val="center"/>
          </w:tcPr>
          <w:p w14:paraId="71215930" w14:textId="77777777" w:rsidR="00124A26" w:rsidRPr="00AC3044" w:rsidRDefault="00124A26" w:rsidP="002D3EBF">
            <w:pPr>
              <w:ind w:firstLine="0"/>
              <w:rPr>
                <w:rFonts w:eastAsia="SimSun"/>
              </w:rPr>
            </w:pPr>
            <w:r w:rsidRPr="00AC3044">
              <w:rPr>
                <w:rFonts w:eastAsia="SimSun"/>
              </w:rPr>
              <w:t>Дни введения</w:t>
            </w:r>
          </w:p>
        </w:tc>
        <w:tc>
          <w:tcPr>
            <w:tcW w:w="2410" w:type="dxa"/>
            <w:vAlign w:val="center"/>
          </w:tcPr>
          <w:p w14:paraId="276783A5"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25970078" w14:textId="77777777" w:rsidTr="002D3EBF">
        <w:trPr>
          <w:cantSplit/>
          <w:trHeight w:val="450"/>
        </w:trPr>
        <w:tc>
          <w:tcPr>
            <w:tcW w:w="1135" w:type="dxa"/>
            <w:vMerge w:val="restart"/>
            <w:textDirection w:val="btLr"/>
            <w:vAlign w:val="center"/>
          </w:tcPr>
          <w:p w14:paraId="21E2ABE3" w14:textId="77777777" w:rsidR="00124A26" w:rsidRPr="00AC3044" w:rsidRDefault="00124A26" w:rsidP="002D3EBF">
            <w:pPr>
              <w:ind w:firstLine="0"/>
              <w:rPr>
                <w:rFonts w:eastAsia="SimSun"/>
              </w:rPr>
            </w:pPr>
            <w:r w:rsidRPr="00AC3044">
              <w:rPr>
                <w:rFonts w:eastAsia="SimSun"/>
              </w:rPr>
              <w:t>Кондиционирование</w:t>
            </w:r>
          </w:p>
        </w:tc>
        <w:tc>
          <w:tcPr>
            <w:tcW w:w="1559" w:type="dxa"/>
            <w:vAlign w:val="center"/>
          </w:tcPr>
          <w:p w14:paraId="0FE8DE96" w14:textId="77777777" w:rsidR="00124A26" w:rsidRPr="00AC3044" w:rsidRDefault="00124A26" w:rsidP="002D3EBF">
            <w:pPr>
              <w:ind w:firstLine="0"/>
              <w:rPr>
                <w:rFonts w:eastAsia="SimSun"/>
              </w:rPr>
            </w:pPr>
            <w:r w:rsidRPr="00AC3044">
              <w:rPr>
                <w:rFonts w:eastAsia="SimSun"/>
              </w:rPr>
              <w:t xml:space="preserve">Флударабин </w:t>
            </w:r>
          </w:p>
        </w:tc>
        <w:tc>
          <w:tcPr>
            <w:tcW w:w="1418" w:type="dxa"/>
            <w:vAlign w:val="center"/>
          </w:tcPr>
          <w:p w14:paraId="73AFE007" w14:textId="77777777" w:rsidR="00124A26" w:rsidRPr="00AC3044" w:rsidRDefault="00124A26" w:rsidP="002D3EBF">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3D326DF2" w14:textId="77777777" w:rsidR="00124A26" w:rsidRPr="00AC3044" w:rsidRDefault="00124A26" w:rsidP="002D3EBF">
            <w:pPr>
              <w:ind w:firstLine="0"/>
              <w:rPr>
                <w:rFonts w:eastAsia="SimSun"/>
              </w:rPr>
            </w:pPr>
            <w:r w:rsidRPr="00AC3044">
              <w:rPr>
                <w:rFonts w:eastAsia="SimSun"/>
              </w:rPr>
              <w:t>180 мг/м</w:t>
            </w:r>
            <w:r w:rsidRPr="0074195F">
              <w:rPr>
                <w:rFonts w:eastAsia="SimSun"/>
                <w:vertAlign w:val="superscript"/>
              </w:rPr>
              <w:t>2</w:t>
            </w:r>
          </w:p>
        </w:tc>
        <w:tc>
          <w:tcPr>
            <w:tcW w:w="1559" w:type="dxa"/>
            <w:vAlign w:val="center"/>
          </w:tcPr>
          <w:p w14:paraId="52B0AB10" w14:textId="77777777" w:rsidR="00124A26" w:rsidRPr="00AC3044" w:rsidRDefault="00124A26" w:rsidP="002D3EBF">
            <w:pPr>
              <w:ind w:firstLine="0"/>
              <w:rPr>
                <w:rFonts w:eastAsia="SimSun"/>
              </w:rPr>
            </w:pPr>
            <w:r w:rsidRPr="00AC3044">
              <w:rPr>
                <w:rFonts w:eastAsia="SimSun"/>
              </w:rPr>
              <w:t>С -7 дня по -2 день</w:t>
            </w:r>
          </w:p>
        </w:tc>
        <w:tc>
          <w:tcPr>
            <w:tcW w:w="2410" w:type="dxa"/>
            <w:vAlign w:val="center"/>
          </w:tcPr>
          <w:p w14:paraId="5E9F6FF5"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43758B2F" w14:textId="77777777" w:rsidTr="002D3EBF">
        <w:trPr>
          <w:cantSplit/>
          <w:trHeight w:val="1207"/>
        </w:trPr>
        <w:tc>
          <w:tcPr>
            <w:tcW w:w="1135" w:type="dxa"/>
            <w:vMerge/>
            <w:vAlign w:val="center"/>
          </w:tcPr>
          <w:p w14:paraId="2CF9B5BD" w14:textId="77777777" w:rsidR="00124A26" w:rsidRPr="00AC3044" w:rsidRDefault="00124A26" w:rsidP="002D3EBF">
            <w:pPr>
              <w:ind w:firstLine="0"/>
              <w:rPr>
                <w:rFonts w:eastAsia="SimSun"/>
              </w:rPr>
            </w:pPr>
          </w:p>
        </w:tc>
        <w:tc>
          <w:tcPr>
            <w:tcW w:w="1559" w:type="dxa"/>
            <w:vAlign w:val="center"/>
          </w:tcPr>
          <w:p w14:paraId="02BDEBB4" w14:textId="77777777" w:rsidR="00124A26" w:rsidRPr="00AC3044" w:rsidRDefault="00124A26" w:rsidP="002D3EBF">
            <w:pPr>
              <w:ind w:firstLine="0"/>
              <w:rPr>
                <w:rFonts w:eastAsia="SimSun"/>
              </w:rPr>
            </w:pPr>
            <w:r w:rsidRPr="00AC3044">
              <w:rPr>
                <w:rFonts w:eastAsia="SimSun"/>
              </w:rPr>
              <w:t>Бусульфан</w:t>
            </w:r>
          </w:p>
        </w:tc>
        <w:tc>
          <w:tcPr>
            <w:tcW w:w="1418" w:type="dxa"/>
            <w:vAlign w:val="center"/>
          </w:tcPr>
          <w:p w14:paraId="4B081C46" w14:textId="77777777" w:rsidR="00124A26" w:rsidRPr="00AC3044" w:rsidRDefault="00124A26" w:rsidP="002D3EBF">
            <w:pPr>
              <w:ind w:firstLine="0"/>
              <w:rPr>
                <w:rFonts w:eastAsia="SimSun"/>
              </w:rPr>
            </w:pPr>
            <w:r w:rsidRPr="00AC3044">
              <w:rPr>
                <w:rFonts w:eastAsia="SimSun"/>
              </w:rPr>
              <w:t xml:space="preserve">4 мг/кг </w:t>
            </w:r>
          </w:p>
        </w:tc>
        <w:tc>
          <w:tcPr>
            <w:tcW w:w="1559" w:type="dxa"/>
            <w:vAlign w:val="center"/>
          </w:tcPr>
          <w:p w14:paraId="11319901" w14:textId="77777777" w:rsidR="00124A26" w:rsidRPr="00AC3044" w:rsidRDefault="00124A26" w:rsidP="002D3EBF">
            <w:pPr>
              <w:ind w:firstLine="0"/>
              <w:rPr>
                <w:rFonts w:eastAsia="SimSun"/>
              </w:rPr>
            </w:pPr>
            <w:r w:rsidRPr="00AC3044">
              <w:rPr>
                <w:rFonts w:eastAsia="SimSun"/>
              </w:rPr>
              <w:t xml:space="preserve">14 мг/кг </w:t>
            </w:r>
          </w:p>
        </w:tc>
        <w:tc>
          <w:tcPr>
            <w:tcW w:w="1559" w:type="dxa"/>
            <w:vAlign w:val="center"/>
          </w:tcPr>
          <w:p w14:paraId="36C7713D" w14:textId="77777777" w:rsidR="00124A26" w:rsidRPr="00AC3044" w:rsidRDefault="00124A26" w:rsidP="002D3EBF">
            <w:pPr>
              <w:ind w:firstLine="0"/>
              <w:rPr>
                <w:rFonts w:eastAsia="SimSun"/>
              </w:rPr>
            </w:pPr>
            <w:r w:rsidRPr="00AC3044">
              <w:rPr>
                <w:rFonts w:eastAsia="SimSun"/>
              </w:rPr>
              <w:t>С -6 дня по -3 день</w:t>
            </w:r>
          </w:p>
        </w:tc>
        <w:tc>
          <w:tcPr>
            <w:tcW w:w="2410" w:type="dxa"/>
            <w:vAlign w:val="center"/>
          </w:tcPr>
          <w:p w14:paraId="1C4FFBA4"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124A26" w:rsidRPr="00AC3044" w14:paraId="19B8232B" w14:textId="77777777" w:rsidTr="002D3EBF">
        <w:trPr>
          <w:cantSplit/>
          <w:trHeight w:val="606"/>
        </w:trPr>
        <w:tc>
          <w:tcPr>
            <w:tcW w:w="1135" w:type="dxa"/>
            <w:vMerge w:val="restart"/>
            <w:textDirection w:val="btLr"/>
            <w:vAlign w:val="center"/>
          </w:tcPr>
          <w:p w14:paraId="0F69644B" w14:textId="77777777" w:rsidR="00124A26" w:rsidRPr="00AC3044" w:rsidRDefault="00124A26" w:rsidP="002D3EBF">
            <w:pPr>
              <w:ind w:firstLine="0"/>
              <w:rPr>
                <w:rFonts w:eastAsia="SimSun"/>
              </w:rPr>
            </w:pPr>
            <w:r w:rsidRPr="00AC3044">
              <w:rPr>
                <w:rFonts w:eastAsia="SimSun"/>
              </w:rPr>
              <w:t>Профилактика РТПХ</w:t>
            </w:r>
          </w:p>
        </w:tc>
        <w:tc>
          <w:tcPr>
            <w:tcW w:w="1559" w:type="dxa"/>
            <w:vAlign w:val="center"/>
          </w:tcPr>
          <w:p w14:paraId="59393908" w14:textId="77777777" w:rsidR="00124A26" w:rsidRPr="00AC3044" w:rsidRDefault="00124A26" w:rsidP="002D3EBF">
            <w:pPr>
              <w:ind w:firstLine="0"/>
              <w:rPr>
                <w:rFonts w:eastAsia="SimSun"/>
              </w:rPr>
            </w:pPr>
            <w:r w:rsidRPr="00AC3044">
              <w:rPr>
                <w:rFonts w:eastAsia="SimSun"/>
              </w:rPr>
              <w:t>Циклофосфамид</w:t>
            </w:r>
          </w:p>
        </w:tc>
        <w:tc>
          <w:tcPr>
            <w:tcW w:w="1418" w:type="dxa"/>
            <w:vAlign w:val="center"/>
          </w:tcPr>
          <w:p w14:paraId="034DD30F" w14:textId="77777777" w:rsidR="00124A26" w:rsidRPr="00AC3044" w:rsidRDefault="00124A26" w:rsidP="002D3EBF">
            <w:pPr>
              <w:ind w:firstLine="0"/>
              <w:rPr>
                <w:rFonts w:eastAsia="SimSun"/>
              </w:rPr>
            </w:pPr>
            <w:r w:rsidRPr="00AC3044">
              <w:rPr>
                <w:rFonts w:eastAsia="SimSun"/>
              </w:rPr>
              <w:t>50 мг/кг</w:t>
            </w:r>
          </w:p>
        </w:tc>
        <w:tc>
          <w:tcPr>
            <w:tcW w:w="1559" w:type="dxa"/>
            <w:vAlign w:val="center"/>
          </w:tcPr>
          <w:p w14:paraId="5BA6902F" w14:textId="77777777" w:rsidR="00124A26" w:rsidRPr="00AC3044" w:rsidRDefault="00124A26" w:rsidP="002D3EBF">
            <w:pPr>
              <w:ind w:firstLine="0"/>
              <w:rPr>
                <w:rFonts w:eastAsia="SimSun"/>
              </w:rPr>
            </w:pPr>
            <w:r w:rsidRPr="00AC3044">
              <w:rPr>
                <w:rFonts w:eastAsia="SimSun"/>
              </w:rPr>
              <w:t>100 мг/кг</w:t>
            </w:r>
          </w:p>
        </w:tc>
        <w:tc>
          <w:tcPr>
            <w:tcW w:w="1559" w:type="dxa"/>
            <w:vAlign w:val="center"/>
          </w:tcPr>
          <w:p w14:paraId="1FF63B96" w14:textId="77777777" w:rsidR="00124A26" w:rsidRPr="00AC3044" w:rsidRDefault="00124A26" w:rsidP="002D3EBF">
            <w:pPr>
              <w:ind w:firstLine="0"/>
              <w:rPr>
                <w:rFonts w:eastAsia="SimSun"/>
              </w:rPr>
            </w:pPr>
            <w:r w:rsidRPr="00AC3044">
              <w:rPr>
                <w:rFonts w:eastAsia="SimSun"/>
              </w:rPr>
              <w:t>С +3 дня по +4 день</w:t>
            </w:r>
          </w:p>
        </w:tc>
        <w:tc>
          <w:tcPr>
            <w:tcW w:w="2410" w:type="dxa"/>
            <w:vAlign w:val="center"/>
          </w:tcPr>
          <w:p w14:paraId="4458B22C" w14:textId="77777777" w:rsidR="00124A26" w:rsidRPr="00AC3044" w:rsidRDefault="00124A26" w:rsidP="002D3EBF">
            <w:pPr>
              <w:ind w:firstLine="0"/>
              <w:rPr>
                <w:rFonts w:eastAsia="SimSun"/>
              </w:rPr>
            </w:pPr>
            <w:r w:rsidRPr="00AC3044">
              <w:rPr>
                <w:rFonts w:eastAsia="SimSun"/>
              </w:rPr>
              <w:t>В/в, в течение 2 часов</w:t>
            </w:r>
          </w:p>
        </w:tc>
      </w:tr>
      <w:tr w:rsidR="00124A26" w:rsidRPr="00AC3044" w14:paraId="3720C52E" w14:textId="77777777" w:rsidTr="002D3EBF">
        <w:trPr>
          <w:cantSplit/>
          <w:trHeight w:val="958"/>
        </w:trPr>
        <w:tc>
          <w:tcPr>
            <w:tcW w:w="1135" w:type="dxa"/>
            <w:vMerge/>
            <w:textDirection w:val="btLr"/>
            <w:vAlign w:val="center"/>
          </w:tcPr>
          <w:p w14:paraId="4829F2A6" w14:textId="77777777" w:rsidR="00124A26" w:rsidRPr="00AC3044" w:rsidRDefault="00124A26" w:rsidP="002D3EBF">
            <w:pPr>
              <w:ind w:firstLine="0"/>
              <w:rPr>
                <w:rFonts w:eastAsia="SimSun"/>
              </w:rPr>
            </w:pPr>
          </w:p>
        </w:tc>
        <w:tc>
          <w:tcPr>
            <w:tcW w:w="1559" w:type="dxa"/>
            <w:vAlign w:val="center"/>
          </w:tcPr>
          <w:p w14:paraId="0C4EB5D5" w14:textId="77777777" w:rsidR="00124A26" w:rsidRPr="00AC3044" w:rsidRDefault="00124A26" w:rsidP="002D3EBF">
            <w:pPr>
              <w:ind w:firstLine="0"/>
              <w:rPr>
                <w:rFonts w:eastAsia="SimSun"/>
              </w:rPr>
            </w:pPr>
            <w:r w:rsidRPr="00AC3044">
              <w:rPr>
                <w:rFonts w:eastAsia="SimSun"/>
              </w:rPr>
              <w:t xml:space="preserve">Такролимус </w:t>
            </w:r>
          </w:p>
        </w:tc>
        <w:tc>
          <w:tcPr>
            <w:tcW w:w="1418" w:type="dxa"/>
            <w:vAlign w:val="center"/>
          </w:tcPr>
          <w:p w14:paraId="42A25298" w14:textId="77777777" w:rsidR="00124A26" w:rsidRPr="00AC3044" w:rsidRDefault="00124A26" w:rsidP="002D3EBF">
            <w:pPr>
              <w:ind w:firstLine="0"/>
              <w:rPr>
                <w:rFonts w:eastAsia="SimSun"/>
              </w:rPr>
            </w:pPr>
            <w:r w:rsidRPr="00AC3044">
              <w:rPr>
                <w:rFonts w:eastAsia="SimSun"/>
              </w:rPr>
              <w:t>0,03 мг/кг</w:t>
            </w:r>
          </w:p>
        </w:tc>
        <w:tc>
          <w:tcPr>
            <w:tcW w:w="1559" w:type="dxa"/>
            <w:vAlign w:val="center"/>
          </w:tcPr>
          <w:p w14:paraId="68475D1E" w14:textId="77777777" w:rsidR="00124A26" w:rsidRPr="00AC3044" w:rsidRDefault="00124A26" w:rsidP="002D3EBF">
            <w:pPr>
              <w:ind w:firstLine="0"/>
              <w:rPr>
                <w:rFonts w:eastAsia="SimSun"/>
              </w:rPr>
            </w:pPr>
            <w:r w:rsidRPr="00AC3044">
              <w:rPr>
                <w:rFonts w:eastAsia="SimSun"/>
              </w:rPr>
              <w:t>–</w:t>
            </w:r>
          </w:p>
        </w:tc>
        <w:tc>
          <w:tcPr>
            <w:tcW w:w="1559" w:type="dxa"/>
            <w:vAlign w:val="center"/>
          </w:tcPr>
          <w:p w14:paraId="14CC482E" w14:textId="77777777" w:rsidR="00124A26" w:rsidRPr="00AC3044" w:rsidRDefault="00124A26" w:rsidP="002D3EBF">
            <w:pPr>
              <w:ind w:firstLine="0"/>
              <w:rPr>
                <w:rFonts w:eastAsia="SimSun"/>
              </w:rPr>
            </w:pPr>
            <w:r w:rsidRPr="00AC3044">
              <w:rPr>
                <w:rFonts w:eastAsia="SimSun"/>
              </w:rPr>
              <w:t xml:space="preserve">С +5 дня длительно </w:t>
            </w:r>
          </w:p>
        </w:tc>
        <w:tc>
          <w:tcPr>
            <w:tcW w:w="2410" w:type="dxa"/>
            <w:vAlign w:val="center"/>
          </w:tcPr>
          <w:p w14:paraId="7BF9BEFC" w14:textId="77777777" w:rsidR="00124A26" w:rsidRPr="00AC3044" w:rsidRDefault="00124A26"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124A26" w:rsidRPr="00AC3044" w14:paraId="3E91F4E5" w14:textId="77777777" w:rsidTr="002D3EBF">
        <w:trPr>
          <w:cantSplit/>
          <w:trHeight w:val="576"/>
        </w:trPr>
        <w:tc>
          <w:tcPr>
            <w:tcW w:w="1135" w:type="dxa"/>
            <w:vMerge/>
            <w:textDirection w:val="btLr"/>
            <w:vAlign w:val="center"/>
          </w:tcPr>
          <w:p w14:paraId="7F394475" w14:textId="77777777" w:rsidR="00124A26" w:rsidRPr="00AC3044" w:rsidRDefault="00124A26" w:rsidP="002D3EBF">
            <w:pPr>
              <w:ind w:firstLine="0"/>
              <w:rPr>
                <w:rFonts w:eastAsia="SimSun"/>
              </w:rPr>
            </w:pPr>
          </w:p>
        </w:tc>
        <w:tc>
          <w:tcPr>
            <w:tcW w:w="1559" w:type="dxa"/>
            <w:vAlign w:val="center"/>
          </w:tcPr>
          <w:p w14:paraId="53043909" w14:textId="77777777" w:rsidR="00124A26" w:rsidRPr="00AC3044" w:rsidRDefault="00124A26" w:rsidP="002D3EBF">
            <w:pPr>
              <w:ind w:firstLine="0"/>
              <w:rPr>
                <w:rFonts w:eastAsia="SimSun"/>
              </w:rPr>
            </w:pPr>
            <w:r w:rsidRPr="00AC3044">
              <w:rPr>
                <w:rFonts w:eastAsia="SimSun"/>
              </w:rPr>
              <w:t>Микофенолата мофетил</w:t>
            </w:r>
          </w:p>
        </w:tc>
        <w:tc>
          <w:tcPr>
            <w:tcW w:w="1418" w:type="dxa"/>
            <w:vAlign w:val="center"/>
          </w:tcPr>
          <w:p w14:paraId="640CE3E9" w14:textId="77777777" w:rsidR="00124A26" w:rsidRPr="00AC3044" w:rsidRDefault="00124A26" w:rsidP="002D3EBF">
            <w:pPr>
              <w:ind w:firstLine="0"/>
              <w:rPr>
                <w:rFonts w:eastAsia="SimSun"/>
              </w:rPr>
            </w:pPr>
            <w:r w:rsidRPr="00AC3044">
              <w:rPr>
                <w:rFonts w:eastAsia="SimSun"/>
              </w:rPr>
              <w:t xml:space="preserve">45 мг/кг </w:t>
            </w:r>
          </w:p>
        </w:tc>
        <w:tc>
          <w:tcPr>
            <w:tcW w:w="1559" w:type="dxa"/>
            <w:vAlign w:val="center"/>
          </w:tcPr>
          <w:p w14:paraId="5D905316" w14:textId="77777777" w:rsidR="00124A26" w:rsidRPr="00AC3044" w:rsidRDefault="00124A26" w:rsidP="002D3EBF">
            <w:pPr>
              <w:ind w:firstLine="0"/>
              <w:rPr>
                <w:rFonts w:eastAsia="SimSun"/>
              </w:rPr>
            </w:pPr>
            <w:r w:rsidRPr="00AC3044">
              <w:rPr>
                <w:rFonts w:eastAsia="SimSun"/>
              </w:rPr>
              <w:t>–</w:t>
            </w:r>
          </w:p>
        </w:tc>
        <w:tc>
          <w:tcPr>
            <w:tcW w:w="1559" w:type="dxa"/>
            <w:vAlign w:val="center"/>
          </w:tcPr>
          <w:p w14:paraId="04D04CFC" w14:textId="77777777" w:rsidR="00124A26" w:rsidRPr="00AC3044" w:rsidRDefault="00124A26" w:rsidP="002D3EBF">
            <w:pPr>
              <w:ind w:firstLine="0"/>
              <w:rPr>
                <w:rFonts w:eastAsia="SimSun"/>
              </w:rPr>
            </w:pPr>
            <w:r w:rsidRPr="00AC3044">
              <w:rPr>
                <w:rFonts w:eastAsia="SimSun"/>
              </w:rPr>
              <w:t xml:space="preserve">С +5 дня по +35 день </w:t>
            </w:r>
          </w:p>
        </w:tc>
        <w:tc>
          <w:tcPr>
            <w:tcW w:w="2410" w:type="dxa"/>
            <w:vAlign w:val="center"/>
          </w:tcPr>
          <w:p w14:paraId="462618CB" w14:textId="77777777" w:rsidR="00124A26" w:rsidRPr="00AC3044" w:rsidRDefault="00124A26"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006CC42C" w14:textId="77777777" w:rsidR="00124A26" w:rsidRPr="00C07B2E" w:rsidRDefault="00124A26" w:rsidP="00124A26">
      <w:pPr>
        <w:rPr>
          <w:rFonts w:eastAsia="SimSun"/>
        </w:rPr>
      </w:pPr>
    </w:p>
    <w:p w14:paraId="67AE6A54" w14:textId="77777777" w:rsidR="00124A26" w:rsidRPr="00C07B2E" w:rsidRDefault="00124A26" w:rsidP="00124A26">
      <w:pPr>
        <w:rPr>
          <w:rFonts w:eastAsia="SimSun"/>
        </w:rPr>
      </w:pPr>
      <w:bookmarkStart w:id="272" w:name="_Toc44401235"/>
      <w:r w:rsidRPr="00EE51B1">
        <w:rPr>
          <w:rFonts w:eastAsia="SimSun"/>
        </w:rPr>
        <w:t>Таблица</w:t>
      </w:r>
      <w:r w:rsidRPr="00C07B2E">
        <w:rPr>
          <w:rFonts w:eastAsia="SimSun"/>
        </w:rPr>
        <w:t xml:space="preserve"> </w:t>
      </w:r>
      <w:r>
        <w:rPr>
          <w:rFonts w:eastAsia="SimSun"/>
        </w:rPr>
        <w:t>5.</w:t>
      </w:r>
      <w:r w:rsidRPr="00C07B2E">
        <w:rPr>
          <w:rFonts w:eastAsia="SimSun"/>
        </w:rPr>
        <w:t>3.1.10  – Flu150+Treo36 / PT-Cy+CSA+MMF30</w:t>
      </w:r>
      <w:bookmarkEnd w:id="272"/>
    </w:p>
    <w:tbl>
      <w:tblPr>
        <w:tblW w:w="9608"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3"/>
        <w:gridCol w:w="1559"/>
        <w:gridCol w:w="1418"/>
        <w:gridCol w:w="1559"/>
        <w:gridCol w:w="1559"/>
        <w:gridCol w:w="2410"/>
      </w:tblGrid>
      <w:tr w:rsidR="00124A26" w:rsidRPr="00AC3044" w14:paraId="6EBBDCA8" w14:textId="77777777" w:rsidTr="002D3EBF">
        <w:trPr>
          <w:cantSplit/>
          <w:trHeight w:val="20"/>
          <w:tblHeader/>
        </w:trPr>
        <w:tc>
          <w:tcPr>
            <w:tcW w:w="1103" w:type="dxa"/>
          </w:tcPr>
          <w:p w14:paraId="29320803" w14:textId="77777777" w:rsidR="00124A26" w:rsidRPr="006A5E21" w:rsidRDefault="00124A26" w:rsidP="002D3EBF">
            <w:pPr>
              <w:ind w:firstLine="0"/>
              <w:rPr>
                <w:rFonts w:eastAsia="SimSun"/>
              </w:rPr>
            </w:pPr>
          </w:p>
        </w:tc>
        <w:tc>
          <w:tcPr>
            <w:tcW w:w="1559" w:type="dxa"/>
            <w:vAlign w:val="center"/>
          </w:tcPr>
          <w:p w14:paraId="7F6A24D1" w14:textId="77777777" w:rsidR="00124A26" w:rsidRPr="00AC3044" w:rsidRDefault="00124A26" w:rsidP="002D3EBF">
            <w:pPr>
              <w:ind w:firstLine="0"/>
              <w:rPr>
                <w:rFonts w:eastAsia="SimSun"/>
              </w:rPr>
            </w:pPr>
            <w:r w:rsidRPr="00AC3044">
              <w:rPr>
                <w:rFonts w:eastAsia="SimSun"/>
              </w:rPr>
              <w:t>Препарат</w:t>
            </w:r>
          </w:p>
        </w:tc>
        <w:tc>
          <w:tcPr>
            <w:tcW w:w="1418" w:type="dxa"/>
            <w:vAlign w:val="center"/>
          </w:tcPr>
          <w:p w14:paraId="26135BF1" w14:textId="77777777" w:rsidR="00124A26" w:rsidRPr="00AC3044" w:rsidRDefault="00124A26" w:rsidP="002D3EBF">
            <w:pPr>
              <w:ind w:firstLine="0"/>
              <w:rPr>
                <w:rFonts w:eastAsia="SimSun"/>
              </w:rPr>
            </w:pPr>
            <w:r w:rsidRPr="00AC3044">
              <w:rPr>
                <w:rFonts w:eastAsia="SimSun"/>
              </w:rPr>
              <w:t>Суточная доза</w:t>
            </w:r>
          </w:p>
        </w:tc>
        <w:tc>
          <w:tcPr>
            <w:tcW w:w="1559" w:type="dxa"/>
            <w:vAlign w:val="center"/>
          </w:tcPr>
          <w:p w14:paraId="4FBAE353" w14:textId="77777777" w:rsidR="00124A26" w:rsidRPr="00AC3044" w:rsidRDefault="00124A26" w:rsidP="002D3EBF">
            <w:pPr>
              <w:ind w:firstLine="0"/>
              <w:rPr>
                <w:rFonts w:eastAsia="SimSun"/>
              </w:rPr>
            </w:pPr>
            <w:r w:rsidRPr="00AC3044">
              <w:rPr>
                <w:rFonts w:eastAsia="SimSun"/>
              </w:rPr>
              <w:t>Курсовая доза</w:t>
            </w:r>
          </w:p>
        </w:tc>
        <w:tc>
          <w:tcPr>
            <w:tcW w:w="1559" w:type="dxa"/>
            <w:vAlign w:val="center"/>
          </w:tcPr>
          <w:p w14:paraId="4FAFB886" w14:textId="77777777" w:rsidR="00124A26" w:rsidRPr="00AC3044" w:rsidRDefault="00124A26" w:rsidP="002D3EBF">
            <w:pPr>
              <w:ind w:firstLine="0"/>
              <w:rPr>
                <w:rFonts w:eastAsia="SimSun"/>
              </w:rPr>
            </w:pPr>
            <w:r w:rsidRPr="00AC3044">
              <w:rPr>
                <w:rFonts w:eastAsia="SimSun"/>
              </w:rPr>
              <w:t>Дни введения</w:t>
            </w:r>
          </w:p>
        </w:tc>
        <w:tc>
          <w:tcPr>
            <w:tcW w:w="2410" w:type="dxa"/>
            <w:vAlign w:val="center"/>
          </w:tcPr>
          <w:p w14:paraId="2346D090"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7D5161E2" w14:textId="77777777" w:rsidTr="002D3EBF">
        <w:trPr>
          <w:cantSplit/>
          <w:trHeight w:val="20"/>
        </w:trPr>
        <w:tc>
          <w:tcPr>
            <w:tcW w:w="1103" w:type="dxa"/>
            <w:vMerge w:val="restart"/>
            <w:textDirection w:val="btLr"/>
            <w:vAlign w:val="center"/>
          </w:tcPr>
          <w:p w14:paraId="380D09A6" w14:textId="77777777" w:rsidR="00124A26" w:rsidRPr="00AC3044" w:rsidRDefault="00124A26" w:rsidP="002D3EBF">
            <w:pPr>
              <w:ind w:firstLine="0"/>
              <w:rPr>
                <w:rFonts w:eastAsia="SimSun"/>
              </w:rPr>
            </w:pPr>
            <w:r w:rsidRPr="00AC3044">
              <w:rPr>
                <w:rFonts w:eastAsia="SimSun"/>
              </w:rPr>
              <w:t>Кондиционирование</w:t>
            </w:r>
          </w:p>
        </w:tc>
        <w:tc>
          <w:tcPr>
            <w:tcW w:w="1559" w:type="dxa"/>
            <w:vAlign w:val="center"/>
          </w:tcPr>
          <w:p w14:paraId="6737FF71" w14:textId="77777777" w:rsidR="00124A26" w:rsidRPr="00AC3044" w:rsidRDefault="00124A26" w:rsidP="002D3EBF">
            <w:pPr>
              <w:ind w:firstLine="0"/>
              <w:rPr>
                <w:rFonts w:eastAsia="SimSun"/>
              </w:rPr>
            </w:pPr>
            <w:r w:rsidRPr="00AC3044">
              <w:rPr>
                <w:rFonts w:eastAsia="SimSun"/>
              </w:rPr>
              <w:t xml:space="preserve">Флударабин </w:t>
            </w:r>
          </w:p>
        </w:tc>
        <w:tc>
          <w:tcPr>
            <w:tcW w:w="1418" w:type="dxa"/>
            <w:vAlign w:val="center"/>
          </w:tcPr>
          <w:p w14:paraId="6A4F7F98" w14:textId="77777777" w:rsidR="00124A26" w:rsidRPr="00AC3044" w:rsidRDefault="00124A26" w:rsidP="002D3EBF">
            <w:pPr>
              <w:ind w:firstLine="0"/>
              <w:rPr>
                <w:rFonts w:eastAsia="SimSun"/>
              </w:rPr>
            </w:pPr>
            <w:r w:rsidRPr="00AC3044">
              <w:rPr>
                <w:rFonts w:eastAsia="SimSun"/>
              </w:rPr>
              <w:t>30 мг/м2</w:t>
            </w:r>
          </w:p>
        </w:tc>
        <w:tc>
          <w:tcPr>
            <w:tcW w:w="1559" w:type="dxa"/>
            <w:vAlign w:val="center"/>
          </w:tcPr>
          <w:p w14:paraId="06DED97E" w14:textId="77777777" w:rsidR="00124A26" w:rsidRPr="00AC3044" w:rsidRDefault="00124A26" w:rsidP="002D3EBF">
            <w:pPr>
              <w:ind w:firstLine="0"/>
              <w:rPr>
                <w:rFonts w:eastAsia="SimSun"/>
              </w:rPr>
            </w:pPr>
            <w:r w:rsidRPr="00AC3044">
              <w:rPr>
                <w:rFonts w:eastAsia="SimSun"/>
              </w:rPr>
              <w:t>150 мг/м</w:t>
            </w:r>
            <w:r w:rsidRPr="0074195F">
              <w:rPr>
                <w:rFonts w:eastAsia="SimSun"/>
                <w:vertAlign w:val="superscript"/>
              </w:rPr>
              <w:t>2</w:t>
            </w:r>
          </w:p>
        </w:tc>
        <w:tc>
          <w:tcPr>
            <w:tcW w:w="1559" w:type="dxa"/>
            <w:vAlign w:val="center"/>
          </w:tcPr>
          <w:p w14:paraId="2E4A6023" w14:textId="77777777" w:rsidR="00124A26" w:rsidRPr="00AC3044" w:rsidRDefault="00124A26" w:rsidP="002D3EBF">
            <w:pPr>
              <w:ind w:firstLine="0"/>
              <w:rPr>
                <w:rFonts w:eastAsia="SimSun"/>
              </w:rPr>
            </w:pPr>
            <w:r w:rsidRPr="00AC3044">
              <w:rPr>
                <w:rFonts w:eastAsia="SimSun"/>
              </w:rPr>
              <w:t>С –6 по –2 день</w:t>
            </w:r>
          </w:p>
        </w:tc>
        <w:tc>
          <w:tcPr>
            <w:tcW w:w="2410" w:type="dxa"/>
            <w:vAlign w:val="center"/>
          </w:tcPr>
          <w:p w14:paraId="7656DC61"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4DF12509" w14:textId="77777777" w:rsidTr="002D3EBF">
        <w:trPr>
          <w:cantSplit/>
          <w:trHeight w:val="879"/>
        </w:trPr>
        <w:tc>
          <w:tcPr>
            <w:tcW w:w="1103" w:type="dxa"/>
            <w:vMerge/>
            <w:textDirection w:val="btLr"/>
            <w:vAlign w:val="center"/>
          </w:tcPr>
          <w:p w14:paraId="362503A1" w14:textId="77777777" w:rsidR="00124A26" w:rsidRPr="00AC3044" w:rsidRDefault="00124A26" w:rsidP="002D3EBF">
            <w:pPr>
              <w:ind w:firstLine="0"/>
              <w:rPr>
                <w:rFonts w:eastAsia="SimSun"/>
              </w:rPr>
            </w:pPr>
          </w:p>
        </w:tc>
        <w:tc>
          <w:tcPr>
            <w:tcW w:w="1559" w:type="dxa"/>
            <w:vAlign w:val="center"/>
          </w:tcPr>
          <w:p w14:paraId="4508F9F3" w14:textId="77777777" w:rsidR="00124A26" w:rsidRPr="00AC3044" w:rsidRDefault="00124A26" w:rsidP="002D3EBF">
            <w:pPr>
              <w:ind w:firstLine="0"/>
              <w:rPr>
                <w:rFonts w:eastAsia="SimSun"/>
              </w:rPr>
            </w:pPr>
            <w:r w:rsidRPr="00AC3044">
              <w:rPr>
                <w:rFonts w:eastAsia="SimSun"/>
              </w:rPr>
              <w:t>Треосульфан</w:t>
            </w:r>
          </w:p>
        </w:tc>
        <w:tc>
          <w:tcPr>
            <w:tcW w:w="1418" w:type="dxa"/>
            <w:vAlign w:val="center"/>
          </w:tcPr>
          <w:p w14:paraId="0469BD8B" w14:textId="77777777" w:rsidR="00124A26" w:rsidRPr="00AC3044" w:rsidRDefault="00124A26" w:rsidP="002D3EBF">
            <w:pPr>
              <w:ind w:firstLine="0"/>
              <w:rPr>
                <w:rFonts w:eastAsia="SimSun"/>
              </w:rPr>
            </w:pPr>
            <w:r w:rsidRPr="00AC3044">
              <w:rPr>
                <w:rFonts w:eastAsia="SimSun"/>
              </w:rPr>
              <w:t>12 г/м2</w:t>
            </w:r>
          </w:p>
        </w:tc>
        <w:tc>
          <w:tcPr>
            <w:tcW w:w="1559" w:type="dxa"/>
            <w:vAlign w:val="center"/>
          </w:tcPr>
          <w:p w14:paraId="67991DF0" w14:textId="77777777" w:rsidR="00124A26" w:rsidRPr="00AC3044" w:rsidRDefault="00124A26" w:rsidP="002D3EBF">
            <w:pPr>
              <w:ind w:firstLine="0"/>
              <w:rPr>
                <w:rFonts w:eastAsia="SimSun"/>
              </w:rPr>
            </w:pPr>
            <w:r w:rsidRPr="00AC3044">
              <w:rPr>
                <w:rFonts w:eastAsia="SimSun"/>
              </w:rPr>
              <w:t>36 г/м</w:t>
            </w:r>
            <w:r w:rsidRPr="0074195F">
              <w:rPr>
                <w:rFonts w:eastAsia="SimSun"/>
                <w:vertAlign w:val="superscript"/>
              </w:rPr>
              <w:t>2</w:t>
            </w:r>
          </w:p>
        </w:tc>
        <w:tc>
          <w:tcPr>
            <w:tcW w:w="1559" w:type="dxa"/>
            <w:vAlign w:val="center"/>
          </w:tcPr>
          <w:p w14:paraId="781E72F9" w14:textId="77777777" w:rsidR="00124A26" w:rsidRPr="00AC3044" w:rsidRDefault="00124A26" w:rsidP="002D3EBF">
            <w:pPr>
              <w:ind w:firstLine="0"/>
              <w:rPr>
                <w:rFonts w:eastAsia="SimSun"/>
              </w:rPr>
            </w:pPr>
            <w:r w:rsidRPr="00AC3044">
              <w:rPr>
                <w:rFonts w:eastAsia="SimSun"/>
              </w:rPr>
              <w:t>С –6 по –4 день</w:t>
            </w:r>
          </w:p>
        </w:tc>
        <w:tc>
          <w:tcPr>
            <w:tcW w:w="2410" w:type="dxa"/>
            <w:vAlign w:val="center"/>
          </w:tcPr>
          <w:p w14:paraId="432DC526" w14:textId="77777777" w:rsidR="00124A26" w:rsidRPr="00AC3044" w:rsidRDefault="00124A26" w:rsidP="002D3EBF">
            <w:pPr>
              <w:ind w:firstLine="0"/>
              <w:rPr>
                <w:rFonts w:eastAsia="SimSun"/>
              </w:rPr>
            </w:pPr>
            <w:r w:rsidRPr="00AC3044">
              <w:rPr>
                <w:rFonts w:eastAsia="SimSun"/>
              </w:rPr>
              <w:t>В/в, в течение 2 часов</w:t>
            </w:r>
          </w:p>
        </w:tc>
      </w:tr>
      <w:tr w:rsidR="00124A26" w:rsidRPr="00AC3044" w14:paraId="3CEA1954" w14:textId="77777777" w:rsidTr="002D3EBF">
        <w:trPr>
          <w:cantSplit/>
          <w:trHeight w:val="1534"/>
        </w:trPr>
        <w:tc>
          <w:tcPr>
            <w:tcW w:w="1103" w:type="dxa"/>
            <w:vMerge w:val="restart"/>
            <w:textDirection w:val="btLr"/>
            <w:vAlign w:val="center"/>
          </w:tcPr>
          <w:p w14:paraId="3726A921" w14:textId="77777777" w:rsidR="00124A26" w:rsidRPr="00AC3044" w:rsidRDefault="00124A26" w:rsidP="002D3EBF">
            <w:pPr>
              <w:ind w:firstLine="0"/>
              <w:rPr>
                <w:rFonts w:eastAsia="SimSun"/>
              </w:rPr>
            </w:pPr>
            <w:r w:rsidRPr="00AC3044">
              <w:rPr>
                <w:rFonts w:eastAsia="SimSun"/>
              </w:rPr>
              <w:t>Профилактика РТПХ</w:t>
            </w:r>
          </w:p>
        </w:tc>
        <w:tc>
          <w:tcPr>
            <w:tcW w:w="1559" w:type="dxa"/>
            <w:vAlign w:val="center"/>
          </w:tcPr>
          <w:p w14:paraId="61332F2D" w14:textId="77777777" w:rsidR="00124A26" w:rsidRPr="00AC3044" w:rsidRDefault="00124A26" w:rsidP="002D3EBF">
            <w:pPr>
              <w:ind w:firstLine="0"/>
              <w:rPr>
                <w:rFonts w:eastAsia="SimSun"/>
              </w:rPr>
            </w:pPr>
            <w:r w:rsidRPr="00AC3044">
              <w:rPr>
                <w:rFonts w:eastAsia="SimSun"/>
              </w:rPr>
              <w:t>Циклоспорин</w:t>
            </w:r>
          </w:p>
        </w:tc>
        <w:tc>
          <w:tcPr>
            <w:tcW w:w="1418" w:type="dxa"/>
            <w:vAlign w:val="center"/>
          </w:tcPr>
          <w:p w14:paraId="03A5C989" w14:textId="77777777" w:rsidR="00124A26" w:rsidRPr="00AC3044" w:rsidRDefault="00124A26" w:rsidP="002D3EBF">
            <w:pPr>
              <w:ind w:firstLine="0"/>
              <w:rPr>
                <w:rFonts w:eastAsia="SimSun"/>
              </w:rPr>
            </w:pPr>
            <w:r w:rsidRPr="00AC3044">
              <w:rPr>
                <w:rFonts w:eastAsia="SimSun"/>
              </w:rPr>
              <w:t>3 мг/кг</w:t>
            </w:r>
          </w:p>
        </w:tc>
        <w:tc>
          <w:tcPr>
            <w:tcW w:w="1559" w:type="dxa"/>
            <w:vAlign w:val="center"/>
          </w:tcPr>
          <w:p w14:paraId="0A314DBC" w14:textId="77777777" w:rsidR="00124A26" w:rsidRPr="00AC3044" w:rsidRDefault="00124A26" w:rsidP="002D3EBF">
            <w:pPr>
              <w:ind w:firstLine="0"/>
              <w:rPr>
                <w:rFonts w:eastAsia="SimSun"/>
              </w:rPr>
            </w:pPr>
            <w:r w:rsidRPr="00AC3044">
              <w:rPr>
                <w:rFonts w:eastAsia="SimSun"/>
              </w:rPr>
              <w:t>–</w:t>
            </w:r>
          </w:p>
        </w:tc>
        <w:tc>
          <w:tcPr>
            <w:tcW w:w="1559" w:type="dxa"/>
            <w:vAlign w:val="center"/>
          </w:tcPr>
          <w:p w14:paraId="207FEB48" w14:textId="77777777" w:rsidR="00124A26" w:rsidRPr="00AC3044" w:rsidRDefault="00124A26" w:rsidP="002D3EBF">
            <w:pPr>
              <w:ind w:firstLine="0"/>
              <w:rPr>
                <w:rFonts w:eastAsia="SimSun"/>
              </w:rPr>
            </w:pPr>
            <w:r w:rsidRPr="00AC3044">
              <w:rPr>
                <w:rFonts w:eastAsia="SimSun"/>
              </w:rPr>
              <w:t>С +5 дня по +90 день затем постепенное снижение к +180 дню</w:t>
            </w:r>
          </w:p>
        </w:tc>
        <w:tc>
          <w:tcPr>
            <w:tcW w:w="2410" w:type="dxa"/>
            <w:vAlign w:val="center"/>
          </w:tcPr>
          <w:p w14:paraId="6671F5A8" w14:textId="77777777" w:rsidR="00124A26" w:rsidRPr="00AC3044" w:rsidRDefault="00124A26"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124A26" w:rsidRPr="00AC3044" w14:paraId="1696B586" w14:textId="77777777" w:rsidTr="002D3EBF">
        <w:trPr>
          <w:cantSplit/>
          <w:trHeight w:val="20"/>
        </w:trPr>
        <w:tc>
          <w:tcPr>
            <w:tcW w:w="1103" w:type="dxa"/>
            <w:vMerge/>
            <w:textDirection w:val="btLr"/>
          </w:tcPr>
          <w:p w14:paraId="7BDA898C" w14:textId="77777777" w:rsidR="00124A26" w:rsidRPr="00AC3044" w:rsidRDefault="00124A26" w:rsidP="002D3EBF">
            <w:pPr>
              <w:ind w:firstLine="0"/>
              <w:rPr>
                <w:rFonts w:eastAsia="SimSun"/>
              </w:rPr>
            </w:pPr>
          </w:p>
        </w:tc>
        <w:tc>
          <w:tcPr>
            <w:tcW w:w="1559" w:type="dxa"/>
            <w:vAlign w:val="center"/>
          </w:tcPr>
          <w:p w14:paraId="09DBBE7E" w14:textId="77777777" w:rsidR="00124A26" w:rsidRPr="00AC3044" w:rsidRDefault="00124A26" w:rsidP="002D3EBF">
            <w:pPr>
              <w:ind w:firstLine="0"/>
              <w:rPr>
                <w:rFonts w:eastAsia="SimSun"/>
              </w:rPr>
            </w:pPr>
            <w:r w:rsidRPr="00AC3044">
              <w:rPr>
                <w:rFonts w:eastAsia="SimSun"/>
              </w:rPr>
              <w:t>Микофенолата мофетил</w:t>
            </w:r>
          </w:p>
        </w:tc>
        <w:tc>
          <w:tcPr>
            <w:tcW w:w="1418" w:type="dxa"/>
            <w:vAlign w:val="center"/>
          </w:tcPr>
          <w:p w14:paraId="4E279A59" w14:textId="77777777" w:rsidR="00124A26" w:rsidRPr="00AC3044" w:rsidRDefault="00124A26" w:rsidP="002D3EBF">
            <w:pPr>
              <w:ind w:firstLine="0"/>
              <w:rPr>
                <w:rFonts w:eastAsia="SimSun"/>
              </w:rPr>
            </w:pPr>
            <w:r w:rsidRPr="00AC3044">
              <w:rPr>
                <w:rFonts w:eastAsia="SimSun"/>
              </w:rPr>
              <w:t>30 мг/кг</w:t>
            </w:r>
          </w:p>
        </w:tc>
        <w:tc>
          <w:tcPr>
            <w:tcW w:w="1559" w:type="dxa"/>
            <w:vAlign w:val="center"/>
          </w:tcPr>
          <w:p w14:paraId="60593979" w14:textId="77777777" w:rsidR="00124A26" w:rsidRPr="00AC3044" w:rsidRDefault="00124A26" w:rsidP="002D3EBF">
            <w:pPr>
              <w:ind w:firstLine="0"/>
              <w:rPr>
                <w:rFonts w:eastAsia="SimSun"/>
              </w:rPr>
            </w:pPr>
            <w:r w:rsidRPr="00AC3044">
              <w:rPr>
                <w:rFonts w:eastAsia="SimSun"/>
              </w:rPr>
              <w:t>–</w:t>
            </w:r>
          </w:p>
        </w:tc>
        <w:tc>
          <w:tcPr>
            <w:tcW w:w="1559" w:type="dxa"/>
            <w:vAlign w:val="center"/>
          </w:tcPr>
          <w:p w14:paraId="59FEBB6F" w14:textId="77777777" w:rsidR="00124A26" w:rsidRPr="00AC3044" w:rsidRDefault="00124A26" w:rsidP="002D3EBF">
            <w:pPr>
              <w:ind w:firstLine="0"/>
              <w:rPr>
                <w:rFonts w:eastAsia="SimSun"/>
              </w:rPr>
            </w:pPr>
            <w:r w:rsidRPr="00AC3044">
              <w:rPr>
                <w:rFonts w:eastAsia="SimSun"/>
              </w:rPr>
              <w:t>С +5 по +90 день</w:t>
            </w:r>
          </w:p>
        </w:tc>
        <w:tc>
          <w:tcPr>
            <w:tcW w:w="2410" w:type="dxa"/>
            <w:vAlign w:val="center"/>
          </w:tcPr>
          <w:p w14:paraId="1C69816B"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124A26" w:rsidRPr="00AC3044" w14:paraId="5A2333CB" w14:textId="77777777" w:rsidTr="002D3EBF">
        <w:trPr>
          <w:cantSplit/>
          <w:trHeight w:val="20"/>
        </w:trPr>
        <w:tc>
          <w:tcPr>
            <w:tcW w:w="1103" w:type="dxa"/>
            <w:vMerge/>
            <w:textDirection w:val="btLr"/>
          </w:tcPr>
          <w:p w14:paraId="2EBE8C61" w14:textId="77777777" w:rsidR="00124A26" w:rsidRPr="00AC3044" w:rsidRDefault="00124A26" w:rsidP="002D3EBF">
            <w:pPr>
              <w:ind w:firstLine="0"/>
              <w:rPr>
                <w:rFonts w:eastAsia="SimSun"/>
              </w:rPr>
            </w:pPr>
          </w:p>
        </w:tc>
        <w:tc>
          <w:tcPr>
            <w:tcW w:w="1559" w:type="dxa"/>
            <w:vAlign w:val="center"/>
          </w:tcPr>
          <w:p w14:paraId="5F1C2FA4" w14:textId="77777777" w:rsidR="00124A26" w:rsidRPr="00AC3044" w:rsidRDefault="00124A26" w:rsidP="002D3EBF">
            <w:pPr>
              <w:ind w:firstLine="0"/>
              <w:rPr>
                <w:rFonts w:eastAsia="SimSun"/>
              </w:rPr>
            </w:pPr>
            <w:r w:rsidRPr="00AC3044">
              <w:rPr>
                <w:rFonts w:eastAsia="SimSun"/>
              </w:rPr>
              <w:t>Циклофосфамид</w:t>
            </w:r>
          </w:p>
        </w:tc>
        <w:tc>
          <w:tcPr>
            <w:tcW w:w="1418" w:type="dxa"/>
            <w:vAlign w:val="center"/>
          </w:tcPr>
          <w:p w14:paraId="575C8E94" w14:textId="77777777" w:rsidR="00124A26" w:rsidRPr="00AC3044" w:rsidRDefault="00124A26" w:rsidP="002D3EBF">
            <w:pPr>
              <w:ind w:firstLine="0"/>
              <w:rPr>
                <w:rFonts w:eastAsia="SimSun"/>
              </w:rPr>
            </w:pPr>
            <w:r w:rsidRPr="00AC3044">
              <w:rPr>
                <w:rFonts w:eastAsia="SimSun"/>
              </w:rPr>
              <w:t>50 мг/кг</w:t>
            </w:r>
          </w:p>
        </w:tc>
        <w:tc>
          <w:tcPr>
            <w:tcW w:w="1559" w:type="dxa"/>
            <w:vAlign w:val="center"/>
          </w:tcPr>
          <w:p w14:paraId="14D6A21A" w14:textId="77777777" w:rsidR="00124A26" w:rsidRPr="00AC3044" w:rsidRDefault="00124A26" w:rsidP="002D3EBF">
            <w:pPr>
              <w:ind w:firstLine="0"/>
              <w:rPr>
                <w:rFonts w:eastAsia="SimSun"/>
              </w:rPr>
            </w:pPr>
            <w:r w:rsidRPr="00AC3044">
              <w:rPr>
                <w:rFonts w:eastAsia="SimSun"/>
              </w:rPr>
              <w:t>100 мг/кг</w:t>
            </w:r>
          </w:p>
        </w:tc>
        <w:tc>
          <w:tcPr>
            <w:tcW w:w="1559" w:type="dxa"/>
            <w:vAlign w:val="center"/>
          </w:tcPr>
          <w:p w14:paraId="09158D39" w14:textId="77777777" w:rsidR="00124A26" w:rsidRPr="00AC3044" w:rsidRDefault="00124A26" w:rsidP="002D3EBF">
            <w:pPr>
              <w:ind w:firstLine="0"/>
              <w:rPr>
                <w:rFonts w:eastAsia="SimSun"/>
              </w:rPr>
            </w:pPr>
            <w:r w:rsidRPr="00AC3044">
              <w:rPr>
                <w:rFonts w:eastAsia="SimSun"/>
              </w:rPr>
              <w:t xml:space="preserve">+3,+4 дни </w:t>
            </w:r>
          </w:p>
        </w:tc>
        <w:tc>
          <w:tcPr>
            <w:tcW w:w="2410" w:type="dxa"/>
            <w:vAlign w:val="center"/>
          </w:tcPr>
          <w:p w14:paraId="1AD78C04" w14:textId="77777777" w:rsidR="00124A26" w:rsidRPr="00AC3044" w:rsidRDefault="00124A26" w:rsidP="002D3EBF">
            <w:pPr>
              <w:ind w:firstLine="0"/>
              <w:rPr>
                <w:rFonts w:eastAsia="SimSun"/>
              </w:rPr>
            </w:pPr>
            <w:r w:rsidRPr="00AC3044">
              <w:rPr>
                <w:rFonts w:eastAsia="SimSun"/>
              </w:rPr>
              <w:t>В/в, в течение 2 часов</w:t>
            </w:r>
          </w:p>
        </w:tc>
      </w:tr>
    </w:tbl>
    <w:p w14:paraId="1386D162" w14:textId="77777777" w:rsidR="00124A26" w:rsidRDefault="00124A26" w:rsidP="00124A26">
      <w:pPr>
        <w:rPr>
          <w:rFonts w:eastAsia="SimSun"/>
        </w:rPr>
      </w:pPr>
      <w:bookmarkStart w:id="273" w:name="_Toc44401236"/>
    </w:p>
    <w:p w14:paraId="361B5FE3" w14:textId="77777777" w:rsidR="00124A26" w:rsidRPr="00C07B2E" w:rsidRDefault="00124A26" w:rsidP="00124A26">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3.1.11  – Flu150+Treo36 / PT-Cy+CSA+MMF45</w:t>
      </w:r>
      <w:bookmarkEnd w:id="273"/>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124A26" w:rsidRPr="00AC3044" w14:paraId="12406E42" w14:textId="77777777" w:rsidTr="002D3EBF">
        <w:trPr>
          <w:cantSplit/>
          <w:trHeight w:val="20"/>
          <w:tblHeader/>
        </w:trPr>
        <w:tc>
          <w:tcPr>
            <w:tcW w:w="1135" w:type="dxa"/>
          </w:tcPr>
          <w:p w14:paraId="533A65A6" w14:textId="77777777" w:rsidR="00124A26" w:rsidRPr="006A5E21" w:rsidRDefault="00124A26" w:rsidP="002D3EBF">
            <w:pPr>
              <w:ind w:firstLine="0"/>
              <w:rPr>
                <w:rFonts w:eastAsia="SimSun"/>
              </w:rPr>
            </w:pPr>
          </w:p>
        </w:tc>
        <w:tc>
          <w:tcPr>
            <w:tcW w:w="1559" w:type="dxa"/>
            <w:vAlign w:val="center"/>
          </w:tcPr>
          <w:p w14:paraId="025A7783" w14:textId="77777777" w:rsidR="00124A26" w:rsidRPr="00AC3044" w:rsidRDefault="00124A26" w:rsidP="002D3EBF">
            <w:pPr>
              <w:ind w:firstLine="0"/>
              <w:rPr>
                <w:rFonts w:eastAsia="SimSun"/>
              </w:rPr>
            </w:pPr>
            <w:r w:rsidRPr="00AC3044">
              <w:rPr>
                <w:rFonts w:eastAsia="SimSun"/>
              </w:rPr>
              <w:t>Препарат</w:t>
            </w:r>
          </w:p>
        </w:tc>
        <w:tc>
          <w:tcPr>
            <w:tcW w:w="1418" w:type="dxa"/>
            <w:vAlign w:val="center"/>
          </w:tcPr>
          <w:p w14:paraId="63A786C6" w14:textId="77777777" w:rsidR="00124A26" w:rsidRPr="00AC3044" w:rsidRDefault="00124A26" w:rsidP="002D3EBF">
            <w:pPr>
              <w:ind w:firstLine="0"/>
              <w:rPr>
                <w:rFonts w:eastAsia="SimSun"/>
              </w:rPr>
            </w:pPr>
            <w:r w:rsidRPr="00AC3044">
              <w:rPr>
                <w:rFonts w:eastAsia="SimSun"/>
              </w:rPr>
              <w:t>Суточная доза</w:t>
            </w:r>
          </w:p>
        </w:tc>
        <w:tc>
          <w:tcPr>
            <w:tcW w:w="1559" w:type="dxa"/>
            <w:vAlign w:val="center"/>
          </w:tcPr>
          <w:p w14:paraId="2CEA3DE3" w14:textId="77777777" w:rsidR="00124A26" w:rsidRPr="00AC3044" w:rsidRDefault="00124A26" w:rsidP="002D3EBF">
            <w:pPr>
              <w:ind w:firstLine="0"/>
              <w:rPr>
                <w:rFonts w:eastAsia="SimSun"/>
              </w:rPr>
            </w:pPr>
            <w:r w:rsidRPr="00AC3044">
              <w:rPr>
                <w:rFonts w:eastAsia="SimSun"/>
              </w:rPr>
              <w:t>Курсовая доза</w:t>
            </w:r>
          </w:p>
        </w:tc>
        <w:tc>
          <w:tcPr>
            <w:tcW w:w="1559" w:type="dxa"/>
            <w:vAlign w:val="center"/>
          </w:tcPr>
          <w:p w14:paraId="315503C9" w14:textId="77777777" w:rsidR="00124A26" w:rsidRPr="00AC3044" w:rsidRDefault="00124A26" w:rsidP="002D3EBF">
            <w:pPr>
              <w:ind w:firstLine="0"/>
              <w:rPr>
                <w:rFonts w:eastAsia="SimSun"/>
              </w:rPr>
            </w:pPr>
            <w:r w:rsidRPr="00AC3044">
              <w:rPr>
                <w:rFonts w:eastAsia="SimSun"/>
              </w:rPr>
              <w:t>Дни введения</w:t>
            </w:r>
          </w:p>
        </w:tc>
        <w:tc>
          <w:tcPr>
            <w:tcW w:w="2410" w:type="dxa"/>
            <w:vAlign w:val="center"/>
          </w:tcPr>
          <w:p w14:paraId="257EF317"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31085F12" w14:textId="77777777" w:rsidTr="002D3EBF">
        <w:trPr>
          <w:cantSplit/>
          <w:trHeight w:val="20"/>
        </w:trPr>
        <w:tc>
          <w:tcPr>
            <w:tcW w:w="1135" w:type="dxa"/>
            <w:vMerge w:val="restart"/>
            <w:textDirection w:val="btLr"/>
            <w:vAlign w:val="center"/>
          </w:tcPr>
          <w:p w14:paraId="4CD29698" w14:textId="77777777" w:rsidR="00124A26" w:rsidRPr="00AC3044" w:rsidRDefault="00124A26" w:rsidP="002D3EBF">
            <w:pPr>
              <w:ind w:firstLine="0"/>
              <w:rPr>
                <w:rFonts w:eastAsia="SimSun"/>
              </w:rPr>
            </w:pPr>
            <w:r w:rsidRPr="00AC3044">
              <w:rPr>
                <w:rFonts w:eastAsia="SimSun"/>
              </w:rPr>
              <w:t>Кондиционирование</w:t>
            </w:r>
          </w:p>
        </w:tc>
        <w:tc>
          <w:tcPr>
            <w:tcW w:w="1559" w:type="dxa"/>
            <w:vAlign w:val="center"/>
          </w:tcPr>
          <w:p w14:paraId="45E81D09" w14:textId="77777777" w:rsidR="00124A26" w:rsidRPr="00AC3044" w:rsidRDefault="00124A26" w:rsidP="002D3EBF">
            <w:pPr>
              <w:ind w:firstLine="0"/>
              <w:rPr>
                <w:rFonts w:eastAsia="SimSun"/>
              </w:rPr>
            </w:pPr>
            <w:r w:rsidRPr="00AC3044">
              <w:rPr>
                <w:rFonts w:eastAsia="SimSun"/>
              </w:rPr>
              <w:t xml:space="preserve">Флударабин </w:t>
            </w:r>
          </w:p>
        </w:tc>
        <w:tc>
          <w:tcPr>
            <w:tcW w:w="1418" w:type="dxa"/>
            <w:vAlign w:val="center"/>
          </w:tcPr>
          <w:p w14:paraId="74AEB79C" w14:textId="77777777" w:rsidR="00124A26" w:rsidRPr="00AC3044" w:rsidRDefault="00124A26" w:rsidP="002D3EBF">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6DC6D79A" w14:textId="77777777" w:rsidR="00124A26" w:rsidRPr="00AC3044" w:rsidRDefault="00124A26" w:rsidP="002D3EBF">
            <w:pPr>
              <w:ind w:firstLine="0"/>
              <w:rPr>
                <w:rFonts w:eastAsia="SimSun"/>
              </w:rPr>
            </w:pPr>
            <w:r w:rsidRPr="00AC3044">
              <w:rPr>
                <w:rFonts w:eastAsia="SimSun"/>
              </w:rPr>
              <w:t>150 мг/м</w:t>
            </w:r>
            <w:r w:rsidRPr="0074195F">
              <w:rPr>
                <w:rFonts w:eastAsia="SimSun"/>
                <w:vertAlign w:val="superscript"/>
              </w:rPr>
              <w:t>2</w:t>
            </w:r>
          </w:p>
        </w:tc>
        <w:tc>
          <w:tcPr>
            <w:tcW w:w="1559" w:type="dxa"/>
            <w:vAlign w:val="center"/>
          </w:tcPr>
          <w:p w14:paraId="004A1993" w14:textId="77777777" w:rsidR="00124A26" w:rsidRPr="00AC3044" w:rsidRDefault="00124A26" w:rsidP="002D3EBF">
            <w:pPr>
              <w:ind w:firstLine="0"/>
              <w:rPr>
                <w:rFonts w:eastAsia="SimSun"/>
              </w:rPr>
            </w:pPr>
            <w:r w:rsidRPr="00AC3044">
              <w:rPr>
                <w:rFonts w:eastAsia="SimSun"/>
              </w:rPr>
              <w:t>С –6 по –2 день</w:t>
            </w:r>
          </w:p>
        </w:tc>
        <w:tc>
          <w:tcPr>
            <w:tcW w:w="2410" w:type="dxa"/>
            <w:vAlign w:val="center"/>
          </w:tcPr>
          <w:p w14:paraId="35C3BBCC" w14:textId="77777777" w:rsidR="00124A26" w:rsidRPr="00AC3044" w:rsidRDefault="00124A26" w:rsidP="002D3EBF">
            <w:pPr>
              <w:ind w:firstLine="0"/>
              <w:rPr>
                <w:rFonts w:eastAsia="SimSun"/>
              </w:rPr>
            </w:pPr>
            <w:r w:rsidRPr="00AC3044">
              <w:rPr>
                <w:rFonts w:eastAsia="SimSun"/>
              </w:rPr>
              <w:t xml:space="preserve"> В/в, в течение 30 -60 мин</w:t>
            </w:r>
          </w:p>
        </w:tc>
      </w:tr>
      <w:tr w:rsidR="00124A26" w:rsidRPr="00AC3044" w14:paraId="481EE4C4" w14:textId="77777777" w:rsidTr="002D3EBF">
        <w:trPr>
          <w:cantSplit/>
          <w:trHeight w:val="985"/>
        </w:trPr>
        <w:tc>
          <w:tcPr>
            <w:tcW w:w="1135" w:type="dxa"/>
            <w:vMerge/>
            <w:textDirection w:val="btLr"/>
            <w:vAlign w:val="center"/>
          </w:tcPr>
          <w:p w14:paraId="29341539" w14:textId="77777777" w:rsidR="00124A26" w:rsidRPr="00AC3044" w:rsidRDefault="00124A26" w:rsidP="002D3EBF">
            <w:pPr>
              <w:ind w:firstLine="0"/>
              <w:rPr>
                <w:rFonts w:eastAsia="SimSun"/>
              </w:rPr>
            </w:pPr>
          </w:p>
        </w:tc>
        <w:tc>
          <w:tcPr>
            <w:tcW w:w="1559" w:type="dxa"/>
            <w:vAlign w:val="center"/>
          </w:tcPr>
          <w:p w14:paraId="4E1F03D2" w14:textId="77777777" w:rsidR="00124A26" w:rsidRPr="00AC3044" w:rsidRDefault="00124A26" w:rsidP="002D3EBF">
            <w:pPr>
              <w:ind w:firstLine="0"/>
              <w:rPr>
                <w:rFonts w:eastAsia="SimSun"/>
              </w:rPr>
            </w:pPr>
            <w:r w:rsidRPr="00AC3044">
              <w:rPr>
                <w:rFonts w:eastAsia="SimSun"/>
              </w:rPr>
              <w:t>Треосульфан</w:t>
            </w:r>
          </w:p>
        </w:tc>
        <w:tc>
          <w:tcPr>
            <w:tcW w:w="1418" w:type="dxa"/>
            <w:vAlign w:val="center"/>
          </w:tcPr>
          <w:p w14:paraId="16E28082" w14:textId="77777777" w:rsidR="00124A26" w:rsidRPr="00AC3044" w:rsidRDefault="00124A26" w:rsidP="002D3EBF">
            <w:pPr>
              <w:ind w:firstLine="0"/>
              <w:rPr>
                <w:rFonts w:eastAsia="SimSun"/>
              </w:rPr>
            </w:pPr>
            <w:r w:rsidRPr="00AC3044">
              <w:rPr>
                <w:rFonts w:eastAsia="SimSun"/>
              </w:rPr>
              <w:t>12 г/м</w:t>
            </w:r>
            <w:r w:rsidRPr="0074195F">
              <w:rPr>
                <w:rFonts w:eastAsia="SimSun"/>
                <w:vertAlign w:val="superscript"/>
              </w:rPr>
              <w:t>2</w:t>
            </w:r>
          </w:p>
        </w:tc>
        <w:tc>
          <w:tcPr>
            <w:tcW w:w="1559" w:type="dxa"/>
            <w:vAlign w:val="center"/>
          </w:tcPr>
          <w:p w14:paraId="0A68C050" w14:textId="77777777" w:rsidR="00124A26" w:rsidRPr="00AC3044" w:rsidRDefault="00124A26" w:rsidP="002D3EBF">
            <w:pPr>
              <w:ind w:firstLine="0"/>
              <w:rPr>
                <w:rFonts w:eastAsia="SimSun"/>
              </w:rPr>
            </w:pPr>
            <w:r w:rsidRPr="00AC3044">
              <w:rPr>
                <w:rFonts w:eastAsia="SimSun"/>
              </w:rPr>
              <w:t>36 г/м</w:t>
            </w:r>
            <w:r w:rsidRPr="0074195F">
              <w:rPr>
                <w:rFonts w:eastAsia="SimSun"/>
                <w:vertAlign w:val="superscript"/>
              </w:rPr>
              <w:t>2</w:t>
            </w:r>
          </w:p>
        </w:tc>
        <w:tc>
          <w:tcPr>
            <w:tcW w:w="1559" w:type="dxa"/>
            <w:vAlign w:val="center"/>
          </w:tcPr>
          <w:p w14:paraId="6FA682AB" w14:textId="77777777" w:rsidR="00124A26" w:rsidRPr="00AC3044" w:rsidRDefault="00124A26" w:rsidP="002D3EBF">
            <w:pPr>
              <w:ind w:firstLine="0"/>
              <w:rPr>
                <w:rFonts w:eastAsia="SimSun"/>
              </w:rPr>
            </w:pPr>
            <w:r w:rsidRPr="00AC3044">
              <w:rPr>
                <w:rFonts w:eastAsia="SimSun"/>
              </w:rPr>
              <w:t>С –6 по –4 день</w:t>
            </w:r>
          </w:p>
        </w:tc>
        <w:tc>
          <w:tcPr>
            <w:tcW w:w="2410" w:type="dxa"/>
            <w:vAlign w:val="center"/>
          </w:tcPr>
          <w:p w14:paraId="61EFD082" w14:textId="77777777" w:rsidR="00124A26" w:rsidRPr="00AC3044" w:rsidRDefault="00124A26" w:rsidP="002D3EBF">
            <w:pPr>
              <w:ind w:firstLine="0"/>
              <w:rPr>
                <w:rFonts w:eastAsia="SimSun"/>
              </w:rPr>
            </w:pPr>
            <w:r w:rsidRPr="00AC3044">
              <w:rPr>
                <w:rFonts w:eastAsia="SimSun"/>
              </w:rPr>
              <w:t>В/в, в течение 2 часов</w:t>
            </w:r>
          </w:p>
        </w:tc>
      </w:tr>
      <w:tr w:rsidR="00124A26" w:rsidRPr="00AC3044" w14:paraId="50B0ECFF" w14:textId="77777777" w:rsidTr="002D3EBF">
        <w:trPr>
          <w:cantSplit/>
          <w:trHeight w:val="1680"/>
        </w:trPr>
        <w:tc>
          <w:tcPr>
            <w:tcW w:w="1135" w:type="dxa"/>
            <w:vMerge w:val="restart"/>
            <w:textDirection w:val="btLr"/>
            <w:vAlign w:val="center"/>
          </w:tcPr>
          <w:p w14:paraId="643B0F5D" w14:textId="77777777" w:rsidR="00124A26" w:rsidRPr="00AC3044" w:rsidRDefault="00124A26" w:rsidP="002D3EBF">
            <w:pPr>
              <w:ind w:firstLine="0"/>
              <w:rPr>
                <w:rFonts w:eastAsia="SimSun"/>
              </w:rPr>
            </w:pPr>
            <w:r w:rsidRPr="00AC3044">
              <w:rPr>
                <w:rFonts w:eastAsia="SimSun"/>
              </w:rPr>
              <w:t>Профилактика РТПХ</w:t>
            </w:r>
          </w:p>
        </w:tc>
        <w:tc>
          <w:tcPr>
            <w:tcW w:w="1559" w:type="dxa"/>
            <w:vAlign w:val="center"/>
          </w:tcPr>
          <w:p w14:paraId="48C94CA9" w14:textId="77777777" w:rsidR="00124A26" w:rsidRPr="00AC3044" w:rsidRDefault="00124A26" w:rsidP="002D3EBF">
            <w:pPr>
              <w:ind w:firstLine="0"/>
              <w:rPr>
                <w:rFonts w:eastAsia="SimSun"/>
              </w:rPr>
            </w:pPr>
            <w:r w:rsidRPr="00AC3044">
              <w:rPr>
                <w:rFonts w:eastAsia="SimSun"/>
              </w:rPr>
              <w:t>Циклоспорин</w:t>
            </w:r>
          </w:p>
        </w:tc>
        <w:tc>
          <w:tcPr>
            <w:tcW w:w="1418" w:type="dxa"/>
            <w:vAlign w:val="center"/>
          </w:tcPr>
          <w:p w14:paraId="6D8EBC1E" w14:textId="77777777" w:rsidR="00124A26" w:rsidRPr="00AC3044" w:rsidRDefault="00124A26" w:rsidP="002D3EBF">
            <w:pPr>
              <w:ind w:firstLine="0"/>
              <w:rPr>
                <w:rFonts w:eastAsia="SimSun"/>
              </w:rPr>
            </w:pPr>
            <w:r w:rsidRPr="00AC3044">
              <w:rPr>
                <w:rFonts w:eastAsia="SimSun"/>
              </w:rPr>
              <w:t>3 мг/кг</w:t>
            </w:r>
          </w:p>
        </w:tc>
        <w:tc>
          <w:tcPr>
            <w:tcW w:w="1559" w:type="dxa"/>
            <w:vAlign w:val="center"/>
          </w:tcPr>
          <w:p w14:paraId="17D3CB1B" w14:textId="77777777" w:rsidR="00124A26" w:rsidRPr="00AC3044" w:rsidRDefault="00124A26" w:rsidP="002D3EBF">
            <w:pPr>
              <w:ind w:firstLine="0"/>
              <w:rPr>
                <w:rFonts w:eastAsia="SimSun"/>
              </w:rPr>
            </w:pPr>
            <w:r w:rsidRPr="00AC3044">
              <w:rPr>
                <w:rFonts w:eastAsia="SimSun"/>
              </w:rPr>
              <w:t>–</w:t>
            </w:r>
          </w:p>
        </w:tc>
        <w:tc>
          <w:tcPr>
            <w:tcW w:w="1559" w:type="dxa"/>
            <w:vAlign w:val="center"/>
          </w:tcPr>
          <w:p w14:paraId="33237631" w14:textId="77777777" w:rsidR="00124A26" w:rsidRPr="00AC3044" w:rsidRDefault="00124A26" w:rsidP="002D3EBF">
            <w:pPr>
              <w:ind w:firstLine="0"/>
              <w:rPr>
                <w:rFonts w:eastAsia="SimSun"/>
              </w:rPr>
            </w:pPr>
            <w:r w:rsidRPr="00AC3044">
              <w:rPr>
                <w:rFonts w:eastAsia="SimSun"/>
              </w:rPr>
              <w:t>С +5 дня по +90 день затем постепенное снижение к +180 дню</w:t>
            </w:r>
          </w:p>
        </w:tc>
        <w:tc>
          <w:tcPr>
            <w:tcW w:w="2410" w:type="dxa"/>
            <w:vAlign w:val="center"/>
          </w:tcPr>
          <w:p w14:paraId="727A1628" w14:textId="77777777" w:rsidR="00124A26" w:rsidRPr="00AC3044" w:rsidRDefault="00124A26"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124A26" w:rsidRPr="00AC3044" w14:paraId="78ABD321" w14:textId="77777777" w:rsidTr="002D3EBF">
        <w:trPr>
          <w:cantSplit/>
          <w:trHeight w:val="20"/>
        </w:trPr>
        <w:tc>
          <w:tcPr>
            <w:tcW w:w="1135" w:type="dxa"/>
            <w:vMerge/>
            <w:textDirection w:val="btLr"/>
          </w:tcPr>
          <w:p w14:paraId="2E80E534" w14:textId="77777777" w:rsidR="00124A26" w:rsidRPr="00AC3044" w:rsidRDefault="00124A26" w:rsidP="002D3EBF">
            <w:pPr>
              <w:ind w:firstLine="0"/>
              <w:rPr>
                <w:rFonts w:eastAsia="SimSun"/>
              </w:rPr>
            </w:pPr>
          </w:p>
        </w:tc>
        <w:tc>
          <w:tcPr>
            <w:tcW w:w="1559" w:type="dxa"/>
            <w:vAlign w:val="center"/>
          </w:tcPr>
          <w:p w14:paraId="21E5CB51" w14:textId="77777777" w:rsidR="00124A26" w:rsidRPr="00AC3044" w:rsidRDefault="00124A26" w:rsidP="002D3EBF">
            <w:pPr>
              <w:ind w:firstLine="0"/>
              <w:rPr>
                <w:rFonts w:eastAsia="SimSun"/>
              </w:rPr>
            </w:pPr>
            <w:r w:rsidRPr="00AC3044">
              <w:rPr>
                <w:rFonts w:eastAsia="SimSun"/>
              </w:rPr>
              <w:t>Микофенолата мофетил</w:t>
            </w:r>
          </w:p>
        </w:tc>
        <w:tc>
          <w:tcPr>
            <w:tcW w:w="1418" w:type="dxa"/>
            <w:vAlign w:val="center"/>
          </w:tcPr>
          <w:p w14:paraId="07B5AA96" w14:textId="77777777" w:rsidR="00124A26" w:rsidRPr="00AC3044" w:rsidRDefault="00124A26" w:rsidP="002D3EBF">
            <w:pPr>
              <w:ind w:firstLine="0"/>
              <w:rPr>
                <w:rFonts w:eastAsia="SimSun"/>
              </w:rPr>
            </w:pPr>
            <w:r w:rsidRPr="00AC3044">
              <w:rPr>
                <w:rFonts w:eastAsia="SimSun"/>
              </w:rPr>
              <w:t>45 мг/кг</w:t>
            </w:r>
          </w:p>
        </w:tc>
        <w:tc>
          <w:tcPr>
            <w:tcW w:w="1559" w:type="dxa"/>
            <w:vAlign w:val="center"/>
          </w:tcPr>
          <w:p w14:paraId="5F5DECE5" w14:textId="77777777" w:rsidR="00124A26" w:rsidRPr="00AC3044" w:rsidRDefault="00124A26" w:rsidP="002D3EBF">
            <w:pPr>
              <w:ind w:firstLine="0"/>
              <w:rPr>
                <w:rFonts w:eastAsia="SimSun"/>
              </w:rPr>
            </w:pPr>
            <w:r w:rsidRPr="00AC3044">
              <w:rPr>
                <w:rFonts w:eastAsia="SimSun"/>
              </w:rPr>
              <w:t>–</w:t>
            </w:r>
          </w:p>
        </w:tc>
        <w:tc>
          <w:tcPr>
            <w:tcW w:w="1559" w:type="dxa"/>
            <w:vAlign w:val="center"/>
          </w:tcPr>
          <w:p w14:paraId="3155F412" w14:textId="77777777" w:rsidR="00124A26" w:rsidRPr="00AC3044" w:rsidRDefault="00124A26" w:rsidP="002D3EBF">
            <w:pPr>
              <w:ind w:firstLine="0"/>
              <w:rPr>
                <w:rFonts w:eastAsia="SimSun"/>
              </w:rPr>
            </w:pPr>
            <w:r w:rsidRPr="00AC3044">
              <w:rPr>
                <w:rFonts w:eastAsia="SimSun"/>
              </w:rPr>
              <w:t>С +5 по +90 день</w:t>
            </w:r>
          </w:p>
        </w:tc>
        <w:tc>
          <w:tcPr>
            <w:tcW w:w="2410" w:type="dxa"/>
            <w:vAlign w:val="center"/>
          </w:tcPr>
          <w:p w14:paraId="49811913" w14:textId="77777777" w:rsidR="00124A26" w:rsidRPr="00AC3044" w:rsidRDefault="00124A26"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r w:rsidR="00124A26" w:rsidRPr="00AC3044" w14:paraId="38673B7C" w14:textId="77777777" w:rsidTr="002D3EBF">
        <w:trPr>
          <w:cantSplit/>
          <w:trHeight w:val="20"/>
        </w:trPr>
        <w:tc>
          <w:tcPr>
            <w:tcW w:w="1135" w:type="dxa"/>
            <w:vMerge/>
            <w:textDirection w:val="btLr"/>
          </w:tcPr>
          <w:p w14:paraId="72CF8209" w14:textId="77777777" w:rsidR="00124A26" w:rsidRPr="00AC3044" w:rsidRDefault="00124A26" w:rsidP="002D3EBF">
            <w:pPr>
              <w:ind w:firstLine="0"/>
              <w:rPr>
                <w:rFonts w:eastAsia="SimSun"/>
              </w:rPr>
            </w:pPr>
          </w:p>
        </w:tc>
        <w:tc>
          <w:tcPr>
            <w:tcW w:w="1559" w:type="dxa"/>
            <w:vAlign w:val="center"/>
          </w:tcPr>
          <w:p w14:paraId="1DBC8696" w14:textId="77777777" w:rsidR="00124A26" w:rsidRPr="00AC3044" w:rsidRDefault="00124A26" w:rsidP="002D3EBF">
            <w:pPr>
              <w:ind w:firstLine="0"/>
              <w:rPr>
                <w:rFonts w:eastAsia="SimSun"/>
              </w:rPr>
            </w:pPr>
            <w:r w:rsidRPr="00AC3044">
              <w:rPr>
                <w:rFonts w:eastAsia="SimSun"/>
              </w:rPr>
              <w:t>Циклофосфамид</w:t>
            </w:r>
          </w:p>
        </w:tc>
        <w:tc>
          <w:tcPr>
            <w:tcW w:w="1418" w:type="dxa"/>
            <w:vAlign w:val="center"/>
          </w:tcPr>
          <w:p w14:paraId="6483F0F2" w14:textId="77777777" w:rsidR="00124A26" w:rsidRPr="00AC3044" w:rsidRDefault="00124A26" w:rsidP="002D3EBF">
            <w:pPr>
              <w:ind w:firstLine="0"/>
              <w:rPr>
                <w:rFonts w:eastAsia="SimSun"/>
              </w:rPr>
            </w:pPr>
            <w:r w:rsidRPr="00AC3044">
              <w:rPr>
                <w:rFonts w:eastAsia="SimSun"/>
              </w:rPr>
              <w:t>50 мг/кг</w:t>
            </w:r>
          </w:p>
        </w:tc>
        <w:tc>
          <w:tcPr>
            <w:tcW w:w="1559" w:type="dxa"/>
            <w:vAlign w:val="center"/>
          </w:tcPr>
          <w:p w14:paraId="34BF668E" w14:textId="77777777" w:rsidR="00124A26" w:rsidRPr="00AC3044" w:rsidRDefault="00124A26" w:rsidP="002D3EBF">
            <w:pPr>
              <w:ind w:firstLine="0"/>
              <w:rPr>
                <w:rFonts w:eastAsia="SimSun"/>
              </w:rPr>
            </w:pPr>
            <w:r w:rsidRPr="00AC3044">
              <w:rPr>
                <w:rFonts w:eastAsia="SimSun"/>
              </w:rPr>
              <w:t>100 мг/кг</w:t>
            </w:r>
          </w:p>
        </w:tc>
        <w:tc>
          <w:tcPr>
            <w:tcW w:w="1559" w:type="dxa"/>
            <w:vAlign w:val="center"/>
          </w:tcPr>
          <w:p w14:paraId="2DCE2BFB" w14:textId="77777777" w:rsidR="00124A26" w:rsidRPr="00AC3044" w:rsidRDefault="00124A26" w:rsidP="002D3EBF">
            <w:pPr>
              <w:ind w:firstLine="0"/>
              <w:rPr>
                <w:rFonts w:eastAsia="SimSun"/>
              </w:rPr>
            </w:pPr>
            <w:r w:rsidRPr="00AC3044">
              <w:rPr>
                <w:rFonts w:eastAsia="SimSun"/>
              </w:rPr>
              <w:t xml:space="preserve">+3,+4 дни </w:t>
            </w:r>
          </w:p>
        </w:tc>
        <w:tc>
          <w:tcPr>
            <w:tcW w:w="2410" w:type="dxa"/>
            <w:vAlign w:val="center"/>
          </w:tcPr>
          <w:p w14:paraId="597A0038" w14:textId="77777777" w:rsidR="00124A26" w:rsidRPr="00AC3044" w:rsidRDefault="00124A26" w:rsidP="002D3EBF">
            <w:pPr>
              <w:ind w:firstLine="0"/>
              <w:rPr>
                <w:rFonts w:eastAsia="SimSun"/>
              </w:rPr>
            </w:pPr>
            <w:r w:rsidRPr="00AC3044">
              <w:rPr>
                <w:rFonts w:eastAsia="SimSun"/>
              </w:rPr>
              <w:t>В/в, в течение 2 часов</w:t>
            </w:r>
          </w:p>
        </w:tc>
      </w:tr>
    </w:tbl>
    <w:p w14:paraId="6B61E766" w14:textId="77777777" w:rsidR="00124A26" w:rsidRPr="00C07B2E" w:rsidRDefault="00124A26" w:rsidP="00124A26">
      <w:pPr>
        <w:rPr>
          <w:rFonts w:eastAsia="SimSun"/>
        </w:rPr>
      </w:pPr>
    </w:p>
    <w:p w14:paraId="25F72EB7" w14:textId="77777777" w:rsidR="00124A26" w:rsidRPr="00C07B2E" w:rsidRDefault="00124A26" w:rsidP="00124A26">
      <w:pPr>
        <w:rPr>
          <w:rFonts w:eastAsia="SimSun"/>
        </w:rPr>
      </w:pPr>
    </w:p>
    <w:p w14:paraId="16C7E34C" w14:textId="77777777" w:rsidR="00124A26" w:rsidRPr="00C07B2E" w:rsidRDefault="00124A26" w:rsidP="00124A26">
      <w:pPr>
        <w:rPr>
          <w:rFonts w:eastAsia="SimSun"/>
        </w:rPr>
      </w:pPr>
      <w:bookmarkStart w:id="274" w:name="_Toc44401237"/>
      <w:r>
        <w:rPr>
          <w:rFonts w:eastAsia="SimSun"/>
        </w:rPr>
        <w:t>Таблица</w:t>
      </w:r>
      <w:r w:rsidRPr="00C07B2E">
        <w:rPr>
          <w:rFonts w:eastAsia="SimSun"/>
        </w:rPr>
        <w:t xml:space="preserve"> </w:t>
      </w:r>
      <w:r>
        <w:rPr>
          <w:rFonts w:eastAsia="SimSun"/>
        </w:rPr>
        <w:t>5.</w:t>
      </w:r>
      <w:r w:rsidRPr="00C07B2E">
        <w:rPr>
          <w:rFonts w:eastAsia="SimSun"/>
        </w:rPr>
        <w:t>3.1. 12 – Flu150+Cy29+TBI / PT-Cy+CSA+MMF45</w:t>
      </w:r>
      <w:bookmarkEnd w:id="274"/>
    </w:p>
    <w:tbl>
      <w:tblPr>
        <w:tblW w:w="5036"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23"/>
        <w:gridCol w:w="1524"/>
        <w:gridCol w:w="1387"/>
        <w:gridCol w:w="1519"/>
        <w:gridCol w:w="1382"/>
        <w:gridCol w:w="2478"/>
      </w:tblGrid>
      <w:tr w:rsidR="00124A26" w:rsidRPr="00AC3044" w14:paraId="4BC191D1" w14:textId="77777777" w:rsidTr="002D3EBF">
        <w:trPr>
          <w:cantSplit/>
          <w:trHeight w:val="20"/>
          <w:tblHeader/>
        </w:trPr>
        <w:tc>
          <w:tcPr>
            <w:tcW w:w="596" w:type="pct"/>
            <w:vAlign w:val="center"/>
          </w:tcPr>
          <w:p w14:paraId="0D6792A9" w14:textId="77777777" w:rsidR="00124A26" w:rsidRPr="00AC3044" w:rsidRDefault="00124A26" w:rsidP="002D3EBF">
            <w:pPr>
              <w:ind w:firstLine="0"/>
              <w:rPr>
                <w:rFonts w:eastAsia="SimSun"/>
              </w:rPr>
            </w:pPr>
          </w:p>
        </w:tc>
        <w:tc>
          <w:tcPr>
            <w:tcW w:w="809" w:type="pct"/>
            <w:vAlign w:val="center"/>
          </w:tcPr>
          <w:p w14:paraId="59720BC6" w14:textId="77777777" w:rsidR="00124A26" w:rsidRPr="00AC3044" w:rsidRDefault="00124A26" w:rsidP="002D3EBF">
            <w:pPr>
              <w:ind w:firstLine="0"/>
              <w:rPr>
                <w:rFonts w:eastAsia="SimSun"/>
              </w:rPr>
            </w:pPr>
            <w:r w:rsidRPr="00AC3044">
              <w:rPr>
                <w:rFonts w:eastAsia="SimSun"/>
              </w:rPr>
              <w:t>Препарат</w:t>
            </w:r>
          </w:p>
        </w:tc>
        <w:tc>
          <w:tcPr>
            <w:tcW w:w="737" w:type="pct"/>
            <w:vAlign w:val="center"/>
          </w:tcPr>
          <w:p w14:paraId="073A957B" w14:textId="77777777" w:rsidR="00124A26" w:rsidRPr="00AC3044" w:rsidRDefault="00124A26" w:rsidP="002D3EBF">
            <w:pPr>
              <w:ind w:firstLine="0"/>
              <w:rPr>
                <w:rFonts w:eastAsia="SimSun"/>
              </w:rPr>
            </w:pPr>
            <w:r w:rsidRPr="00AC3044">
              <w:rPr>
                <w:rFonts w:eastAsia="SimSun"/>
              </w:rPr>
              <w:t>Суточная доза</w:t>
            </w:r>
          </w:p>
        </w:tc>
        <w:tc>
          <w:tcPr>
            <w:tcW w:w="807" w:type="pct"/>
            <w:vAlign w:val="center"/>
          </w:tcPr>
          <w:p w14:paraId="6D854E65" w14:textId="77777777" w:rsidR="00124A26" w:rsidRPr="00AC3044" w:rsidRDefault="00124A26" w:rsidP="002D3EBF">
            <w:pPr>
              <w:ind w:firstLine="0"/>
              <w:rPr>
                <w:rFonts w:eastAsia="SimSun"/>
              </w:rPr>
            </w:pPr>
            <w:r w:rsidRPr="00AC3044">
              <w:rPr>
                <w:rFonts w:eastAsia="SimSun"/>
              </w:rPr>
              <w:t>Курсовая доза</w:t>
            </w:r>
          </w:p>
        </w:tc>
        <w:tc>
          <w:tcPr>
            <w:tcW w:w="734" w:type="pct"/>
            <w:vAlign w:val="center"/>
          </w:tcPr>
          <w:p w14:paraId="2E1D7A2B" w14:textId="77777777" w:rsidR="00124A26" w:rsidRPr="00AC3044" w:rsidRDefault="00124A26" w:rsidP="002D3EBF">
            <w:pPr>
              <w:ind w:firstLine="0"/>
              <w:rPr>
                <w:rFonts w:eastAsia="SimSun"/>
              </w:rPr>
            </w:pPr>
            <w:r w:rsidRPr="00AC3044">
              <w:rPr>
                <w:rFonts w:eastAsia="SimSun"/>
              </w:rPr>
              <w:t>Дни введения</w:t>
            </w:r>
          </w:p>
        </w:tc>
        <w:tc>
          <w:tcPr>
            <w:tcW w:w="1316" w:type="pct"/>
            <w:vAlign w:val="center"/>
          </w:tcPr>
          <w:p w14:paraId="3BE498AA"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6E79E892" w14:textId="77777777" w:rsidTr="002D3EBF">
        <w:trPr>
          <w:cantSplit/>
          <w:trHeight w:val="20"/>
        </w:trPr>
        <w:tc>
          <w:tcPr>
            <w:tcW w:w="596" w:type="pct"/>
            <w:vMerge w:val="restart"/>
            <w:textDirection w:val="btLr"/>
            <w:vAlign w:val="center"/>
          </w:tcPr>
          <w:p w14:paraId="5C03D385" w14:textId="77777777" w:rsidR="00124A26" w:rsidRPr="00AC3044" w:rsidRDefault="00124A26" w:rsidP="002D3EBF">
            <w:pPr>
              <w:ind w:firstLine="0"/>
              <w:rPr>
                <w:rFonts w:eastAsia="SimSun"/>
              </w:rPr>
            </w:pPr>
            <w:r w:rsidRPr="00AC3044">
              <w:rPr>
                <w:rFonts w:eastAsia="SimSun"/>
              </w:rPr>
              <w:t>Кондиционирование</w:t>
            </w:r>
          </w:p>
        </w:tc>
        <w:tc>
          <w:tcPr>
            <w:tcW w:w="809" w:type="pct"/>
          </w:tcPr>
          <w:p w14:paraId="19D671EE" w14:textId="77777777" w:rsidR="00124A26" w:rsidRPr="00AC3044" w:rsidRDefault="00124A26" w:rsidP="002D3EBF">
            <w:pPr>
              <w:ind w:firstLine="0"/>
              <w:rPr>
                <w:rFonts w:eastAsia="SimSun"/>
              </w:rPr>
            </w:pPr>
            <w:r w:rsidRPr="00AC3044">
              <w:rPr>
                <w:rFonts w:eastAsia="SimSun"/>
              </w:rPr>
              <w:t xml:space="preserve">Флударабин </w:t>
            </w:r>
          </w:p>
        </w:tc>
        <w:tc>
          <w:tcPr>
            <w:tcW w:w="737" w:type="pct"/>
          </w:tcPr>
          <w:p w14:paraId="52DD7E6B" w14:textId="77777777" w:rsidR="00124A26" w:rsidRPr="00AC3044" w:rsidRDefault="00124A26" w:rsidP="002D3EBF">
            <w:pPr>
              <w:ind w:firstLine="0"/>
              <w:rPr>
                <w:rFonts w:eastAsia="SimSun"/>
              </w:rPr>
            </w:pPr>
            <w:r w:rsidRPr="00AC3044">
              <w:rPr>
                <w:rFonts w:eastAsia="SimSun"/>
              </w:rPr>
              <w:t>30 мг/м</w:t>
            </w:r>
            <w:r w:rsidRPr="0074195F">
              <w:rPr>
                <w:rFonts w:eastAsia="SimSun"/>
                <w:vertAlign w:val="superscript"/>
              </w:rPr>
              <w:t>2</w:t>
            </w:r>
          </w:p>
        </w:tc>
        <w:tc>
          <w:tcPr>
            <w:tcW w:w="807" w:type="pct"/>
          </w:tcPr>
          <w:p w14:paraId="1647A93D" w14:textId="77777777" w:rsidR="00124A26" w:rsidRPr="00AC3044" w:rsidRDefault="00124A26" w:rsidP="002D3EBF">
            <w:pPr>
              <w:ind w:firstLine="0"/>
              <w:rPr>
                <w:rFonts w:eastAsia="SimSun"/>
              </w:rPr>
            </w:pPr>
            <w:r w:rsidRPr="00AC3044">
              <w:rPr>
                <w:rFonts w:eastAsia="SimSun"/>
              </w:rPr>
              <w:t>150 мг/м</w:t>
            </w:r>
            <w:r w:rsidRPr="0074195F">
              <w:rPr>
                <w:rFonts w:eastAsia="SimSun"/>
                <w:vertAlign w:val="superscript"/>
              </w:rPr>
              <w:t>2</w:t>
            </w:r>
          </w:p>
        </w:tc>
        <w:tc>
          <w:tcPr>
            <w:tcW w:w="734" w:type="pct"/>
          </w:tcPr>
          <w:p w14:paraId="56343EE2" w14:textId="77777777" w:rsidR="00124A26" w:rsidRPr="00AC3044" w:rsidRDefault="00124A26" w:rsidP="002D3EBF">
            <w:pPr>
              <w:ind w:firstLine="0"/>
              <w:rPr>
                <w:rFonts w:eastAsia="SimSun"/>
              </w:rPr>
            </w:pPr>
            <w:r w:rsidRPr="00AC3044">
              <w:rPr>
                <w:rFonts w:eastAsia="SimSun"/>
              </w:rPr>
              <w:t>С –6 по –2 день</w:t>
            </w:r>
          </w:p>
        </w:tc>
        <w:tc>
          <w:tcPr>
            <w:tcW w:w="1316" w:type="pct"/>
          </w:tcPr>
          <w:p w14:paraId="2D5D4702" w14:textId="77777777" w:rsidR="00124A26" w:rsidRPr="00AC3044" w:rsidRDefault="00124A26" w:rsidP="002D3EBF">
            <w:pPr>
              <w:ind w:firstLine="0"/>
              <w:rPr>
                <w:rFonts w:eastAsia="SimSun"/>
              </w:rPr>
            </w:pPr>
            <w:r w:rsidRPr="00C07B2E">
              <w:rPr>
                <w:rFonts w:eastAsia="SimSun"/>
              </w:rPr>
              <w:t>В/в, в течение 30 -60 мин</w:t>
            </w:r>
          </w:p>
        </w:tc>
      </w:tr>
      <w:tr w:rsidR="00124A26" w:rsidRPr="00AC3044" w14:paraId="7508D4BE" w14:textId="77777777" w:rsidTr="002D3EBF">
        <w:trPr>
          <w:cantSplit/>
          <w:trHeight w:val="586"/>
        </w:trPr>
        <w:tc>
          <w:tcPr>
            <w:tcW w:w="596" w:type="pct"/>
            <w:vMerge/>
            <w:vAlign w:val="center"/>
          </w:tcPr>
          <w:p w14:paraId="55DC28DE" w14:textId="77777777" w:rsidR="00124A26" w:rsidRPr="00AC3044" w:rsidRDefault="00124A26" w:rsidP="002D3EBF">
            <w:pPr>
              <w:ind w:firstLine="0"/>
              <w:rPr>
                <w:rFonts w:eastAsia="SimSun"/>
              </w:rPr>
            </w:pPr>
          </w:p>
        </w:tc>
        <w:tc>
          <w:tcPr>
            <w:tcW w:w="809" w:type="pct"/>
            <w:vAlign w:val="center"/>
          </w:tcPr>
          <w:p w14:paraId="7A18A1FD" w14:textId="77777777" w:rsidR="00124A26" w:rsidRPr="00AC3044" w:rsidRDefault="00124A26" w:rsidP="002D3EBF">
            <w:pPr>
              <w:ind w:firstLine="0"/>
              <w:rPr>
                <w:rFonts w:eastAsia="SimSun"/>
              </w:rPr>
            </w:pPr>
            <w:r w:rsidRPr="00AC3044">
              <w:rPr>
                <w:rFonts w:eastAsia="SimSun"/>
              </w:rPr>
              <w:t>Циклофосфамид</w:t>
            </w:r>
          </w:p>
        </w:tc>
        <w:tc>
          <w:tcPr>
            <w:tcW w:w="737" w:type="pct"/>
            <w:vAlign w:val="center"/>
          </w:tcPr>
          <w:p w14:paraId="1E0B62D8" w14:textId="77777777" w:rsidR="00124A26" w:rsidRPr="00AC3044" w:rsidRDefault="00124A26" w:rsidP="002D3EBF">
            <w:pPr>
              <w:ind w:firstLine="0"/>
              <w:rPr>
                <w:rFonts w:eastAsia="SimSun"/>
              </w:rPr>
            </w:pPr>
            <w:r w:rsidRPr="00AC3044">
              <w:rPr>
                <w:rFonts w:eastAsia="SimSun"/>
              </w:rPr>
              <w:t>14,5 мг/кг</w:t>
            </w:r>
          </w:p>
        </w:tc>
        <w:tc>
          <w:tcPr>
            <w:tcW w:w="807" w:type="pct"/>
            <w:vAlign w:val="center"/>
          </w:tcPr>
          <w:p w14:paraId="35DBBCBB" w14:textId="77777777" w:rsidR="00124A26" w:rsidRPr="00AC3044" w:rsidRDefault="00124A26" w:rsidP="002D3EBF">
            <w:pPr>
              <w:ind w:firstLine="0"/>
              <w:rPr>
                <w:rFonts w:eastAsia="SimSun"/>
              </w:rPr>
            </w:pPr>
            <w:r w:rsidRPr="00AC3044">
              <w:rPr>
                <w:rFonts w:eastAsia="SimSun"/>
              </w:rPr>
              <w:t>29 мг/кг</w:t>
            </w:r>
          </w:p>
        </w:tc>
        <w:tc>
          <w:tcPr>
            <w:tcW w:w="734" w:type="pct"/>
            <w:vAlign w:val="center"/>
          </w:tcPr>
          <w:p w14:paraId="49E4179E" w14:textId="77777777" w:rsidR="00124A26" w:rsidRPr="00AC3044" w:rsidRDefault="00124A26" w:rsidP="002D3EBF">
            <w:pPr>
              <w:ind w:firstLine="0"/>
              <w:rPr>
                <w:rFonts w:eastAsia="SimSun"/>
              </w:rPr>
            </w:pPr>
            <w:r w:rsidRPr="00AC3044">
              <w:rPr>
                <w:rFonts w:eastAsia="SimSun"/>
              </w:rPr>
              <w:t xml:space="preserve">–6, –5 дни </w:t>
            </w:r>
          </w:p>
        </w:tc>
        <w:tc>
          <w:tcPr>
            <w:tcW w:w="1316" w:type="pct"/>
            <w:vAlign w:val="center"/>
          </w:tcPr>
          <w:p w14:paraId="4E6ADF64" w14:textId="77777777" w:rsidR="00124A26" w:rsidRPr="00AC3044" w:rsidRDefault="00124A26" w:rsidP="002D3EBF">
            <w:pPr>
              <w:ind w:firstLine="0"/>
              <w:rPr>
                <w:rFonts w:eastAsia="SimSun"/>
              </w:rPr>
            </w:pPr>
            <w:r w:rsidRPr="00AC3044">
              <w:rPr>
                <w:rFonts w:eastAsia="SimSun"/>
              </w:rPr>
              <w:t>В/в, в течение 1 часа</w:t>
            </w:r>
          </w:p>
        </w:tc>
      </w:tr>
      <w:tr w:rsidR="00124A26" w:rsidRPr="00AC3044" w14:paraId="299882BF" w14:textId="77777777" w:rsidTr="002D3EBF">
        <w:trPr>
          <w:cantSplit/>
          <w:trHeight w:val="566"/>
        </w:trPr>
        <w:tc>
          <w:tcPr>
            <w:tcW w:w="596" w:type="pct"/>
            <w:vMerge/>
            <w:vAlign w:val="center"/>
          </w:tcPr>
          <w:p w14:paraId="6ED67FEC" w14:textId="77777777" w:rsidR="00124A26" w:rsidRPr="00AC3044" w:rsidRDefault="00124A26" w:rsidP="002D3EBF">
            <w:pPr>
              <w:ind w:firstLine="0"/>
              <w:rPr>
                <w:rFonts w:eastAsia="SimSun"/>
              </w:rPr>
            </w:pPr>
          </w:p>
        </w:tc>
        <w:tc>
          <w:tcPr>
            <w:tcW w:w="809" w:type="pct"/>
            <w:vAlign w:val="center"/>
          </w:tcPr>
          <w:p w14:paraId="35F6672A" w14:textId="77777777" w:rsidR="00124A26" w:rsidRPr="00AC3044" w:rsidRDefault="00124A26" w:rsidP="002D3EBF">
            <w:pPr>
              <w:ind w:firstLine="0"/>
              <w:rPr>
                <w:rFonts w:eastAsia="SimSun"/>
              </w:rPr>
            </w:pPr>
            <w:r w:rsidRPr="00AC3044">
              <w:rPr>
                <w:rFonts w:eastAsia="SimSun"/>
              </w:rPr>
              <w:t>ТТО</w:t>
            </w:r>
          </w:p>
        </w:tc>
        <w:tc>
          <w:tcPr>
            <w:tcW w:w="737" w:type="pct"/>
            <w:vAlign w:val="center"/>
          </w:tcPr>
          <w:p w14:paraId="48E0756C" w14:textId="77777777" w:rsidR="00124A26" w:rsidRPr="00AC3044" w:rsidRDefault="00124A26" w:rsidP="002D3EBF">
            <w:pPr>
              <w:ind w:firstLine="0"/>
              <w:rPr>
                <w:rFonts w:eastAsia="SimSun"/>
              </w:rPr>
            </w:pPr>
            <w:r w:rsidRPr="00AC3044">
              <w:rPr>
                <w:rFonts w:eastAsia="SimSun"/>
              </w:rPr>
              <w:t>2 Гр</w:t>
            </w:r>
          </w:p>
        </w:tc>
        <w:tc>
          <w:tcPr>
            <w:tcW w:w="807" w:type="pct"/>
            <w:vAlign w:val="center"/>
          </w:tcPr>
          <w:p w14:paraId="66058ECB" w14:textId="77777777" w:rsidR="00124A26" w:rsidRPr="00AC3044" w:rsidRDefault="00124A26" w:rsidP="002D3EBF">
            <w:pPr>
              <w:ind w:firstLine="0"/>
              <w:rPr>
                <w:rFonts w:eastAsia="SimSun"/>
              </w:rPr>
            </w:pPr>
            <w:r w:rsidRPr="00AC3044">
              <w:rPr>
                <w:rFonts w:eastAsia="SimSun"/>
              </w:rPr>
              <w:t>2 Гр</w:t>
            </w:r>
          </w:p>
        </w:tc>
        <w:tc>
          <w:tcPr>
            <w:tcW w:w="734" w:type="pct"/>
            <w:vAlign w:val="center"/>
          </w:tcPr>
          <w:p w14:paraId="7E43E46C" w14:textId="77777777" w:rsidR="00124A26" w:rsidRPr="00AC3044" w:rsidRDefault="00124A26" w:rsidP="002D3EBF">
            <w:pPr>
              <w:ind w:firstLine="0"/>
              <w:rPr>
                <w:rFonts w:eastAsia="SimSun"/>
              </w:rPr>
            </w:pPr>
            <w:r w:rsidRPr="00AC3044">
              <w:rPr>
                <w:rFonts w:eastAsia="SimSun"/>
              </w:rPr>
              <w:t xml:space="preserve">Д-1 </w:t>
            </w:r>
          </w:p>
        </w:tc>
        <w:tc>
          <w:tcPr>
            <w:tcW w:w="1316" w:type="pct"/>
            <w:vAlign w:val="center"/>
          </w:tcPr>
          <w:p w14:paraId="0D9F0BE8" w14:textId="77777777" w:rsidR="00124A26" w:rsidRPr="00AC3044" w:rsidRDefault="00124A26" w:rsidP="002D3EBF">
            <w:pPr>
              <w:ind w:firstLine="0"/>
              <w:rPr>
                <w:rFonts w:eastAsia="SimSun"/>
              </w:rPr>
            </w:pPr>
            <w:r w:rsidRPr="00AC3044">
              <w:rPr>
                <w:rFonts w:eastAsia="SimSun"/>
              </w:rPr>
              <w:t>1 фракция 2 Гр за 2 часа  без экранированиия легких</w:t>
            </w:r>
          </w:p>
        </w:tc>
      </w:tr>
      <w:tr w:rsidR="00124A26" w:rsidRPr="00AC3044" w14:paraId="2CE99CC2" w14:textId="77777777" w:rsidTr="002D3EBF">
        <w:trPr>
          <w:cantSplit/>
          <w:trHeight w:val="20"/>
        </w:trPr>
        <w:tc>
          <w:tcPr>
            <w:tcW w:w="596" w:type="pct"/>
            <w:vMerge w:val="restart"/>
            <w:textDirection w:val="btLr"/>
            <w:vAlign w:val="center"/>
          </w:tcPr>
          <w:p w14:paraId="5ADCAD74" w14:textId="77777777" w:rsidR="00124A26" w:rsidRPr="00AC3044" w:rsidRDefault="00124A26" w:rsidP="002D3EBF">
            <w:pPr>
              <w:ind w:firstLine="0"/>
              <w:rPr>
                <w:rFonts w:eastAsia="SimSun"/>
              </w:rPr>
            </w:pPr>
            <w:r w:rsidRPr="00AC3044">
              <w:rPr>
                <w:rFonts w:eastAsia="SimSun"/>
              </w:rPr>
              <w:t>Профилактика РТПХ</w:t>
            </w:r>
          </w:p>
        </w:tc>
        <w:tc>
          <w:tcPr>
            <w:tcW w:w="809" w:type="pct"/>
          </w:tcPr>
          <w:p w14:paraId="5EF733B3" w14:textId="77777777" w:rsidR="00124A26" w:rsidRPr="00AC3044" w:rsidRDefault="00124A26" w:rsidP="002D3EBF">
            <w:pPr>
              <w:ind w:firstLine="0"/>
              <w:rPr>
                <w:rFonts w:eastAsia="SimSun"/>
              </w:rPr>
            </w:pPr>
            <w:r w:rsidRPr="00AC3044">
              <w:rPr>
                <w:rFonts w:eastAsia="SimSun"/>
              </w:rPr>
              <w:t>Циклофосфамид</w:t>
            </w:r>
          </w:p>
        </w:tc>
        <w:tc>
          <w:tcPr>
            <w:tcW w:w="737" w:type="pct"/>
          </w:tcPr>
          <w:p w14:paraId="4C873DD5" w14:textId="77777777" w:rsidR="00124A26" w:rsidRPr="00AC3044" w:rsidRDefault="00124A26" w:rsidP="002D3EBF">
            <w:pPr>
              <w:ind w:firstLine="0"/>
              <w:rPr>
                <w:rFonts w:eastAsia="SimSun"/>
              </w:rPr>
            </w:pPr>
            <w:r w:rsidRPr="00AC3044">
              <w:rPr>
                <w:rFonts w:eastAsia="SimSun"/>
              </w:rPr>
              <w:t>50 мг/кг</w:t>
            </w:r>
          </w:p>
        </w:tc>
        <w:tc>
          <w:tcPr>
            <w:tcW w:w="807" w:type="pct"/>
          </w:tcPr>
          <w:p w14:paraId="7B5BEC1E" w14:textId="77777777" w:rsidR="00124A26" w:rsidRPr="00AC3044" w:rsidRDefault="00124A26" w:rsidP="002D3EBF">
            <w:pPr>
              <w:ind w:firstLine="0"/>
              <w:rPr>
                <w:rFonts w:eastAsia="SimSun"/>
              </w:rPr>
            </w:pPr>
            <w:r w:rsidRPr="00AC3044">
              <w:rPr>
                <w:rFonts w:eastAsia="SimSun"/>
              </w:rPr>
              <w:t>100 мг/кг</w:t>
            </w:r>
          </w:p>
        </w:tc>
        <w:tc>
          <w:tcPr>
            <w:tcW w:w="734" w:type="pct"/>
          </w:tcPr>
          <w:p w14:paraId="107E2FA4" w14:textId="77777777" w:rsidR="00124A26" w:rsidRPr="00AC3044" w:rsidRDefault="00124A26" w:rsidP="002D3EBF">
            <w:pPr>
              <w:ind w:firstLine="0"/>
              <w:rPr>
                <w:rFonts w:eastAsia="SimSun"/>
              </w:rPr>
            </w:pPr>
            <w:r w:rsidRPr="00AC3044">
              <w:rPr>
                <w:rFonts w:eastAsia="SimSun"/>
              </w:rPr>
              <w:t xml:space="preserve">+3,+4 дни </w:t>
            </w:r>
          </w:p>
        </w:tc>
        <w:tc>
          <w:tcPr>
            <w:tcW w:w="1316" w:type="pct"/>
          </w:tcPr>
          <w:p w14:paraId="53F65A0E" w14:textId="77777777" w:rsidR="00124A26" w:rsidRPr="00AC3044" w:rsidRDefault="00124A26" w:rsidP="002D3EBF">
            <w:pPr>
              <w:ind w:firstLine="0"/>
              <w:rPr>
                <w:rFonts w:eastAsia="SimSun"/>
              </w:rPr>
            </w:pPr>
            <w:r w:rsidRPr="00AC3044">
              <w:rPr>
                <w:rFonts w:eastAsia="SimSun"/>
              </w:rPr>
              <w:t>В/в, в течение 2 часов</w:t>
            </w:r>
          </w:p>
        </w:tc>
      </w:tr>
      <w:tr w:rsidR="00124A26" w:rsidRPr="00AC3044" w14:paraId="18D3373B" w14:textId="77777777" w:rsidTr="002D3EBF">
        <w:trPr>
          <w:cantSplit/>
          <w:trHeight w:val="20"/>
        </w:trPr>
        <w:tc>
          <w:tcPr>
            <w:tcW w:w="596" w:type="pct"/>
            <w:vMerge/>
          </w:tcPr>
          <w:p w14:paraId="192F97DE" w14:textId="77777777" w:rsidR="00124A26" w:rsidRPr="00AC3044" w:rsidRDefault="00124A26" w:rsidP="002D3EBF">
            <w:pPr>
              <w:ind w:firstLine="0"/>
              <w:rPr>
                <w:rFonts w:eastAsia="SimSun"/>
              </w:rPr>
            </w:pPr>
          </w:p>
        </w:tc>
        <w:tc>
          <w:tcPr>
            <w:tcW w:w="809" w:type="pct"/>
            <w:vAlign w:val="center"/>
          </w:tcPr>
          <w:p w14:paraId="51E1EDDF" w14:textId="77777777" w:rsidR="00124A26" w:rsidRPr="00AC3044" w:rsidRDefault="00124A26" w:rsidP="002D3EBF">
            <w:pPr>
              <w:ind w:firstLine="0"/>
              <w:rPr>
                <w:rFonts w:eastAsia="SimSun"/>
              </w:rPr>
            </w:pPr>
            <w:r w:rsidRPr="00AC3044">
              <w:rPr>
                <w:rFonts w:eastAsia="SimSun"/>
              </w:rPr>
              <w:t xml:space="preserve">Такролимус </w:t>
            </w:r>
          </w:p>
        </w:tc>
        <w:tc>
          <w:tcPr>
            <w:tcW w:w="737" w:type="pct"/>
            <w:vAlign w:val="center"/>
          </w:tcPr>
          <w:p w14:paraId="636F7620" w14:textId="77777777" w:rsidR="00124A26" w:rsidRPr="00AC3044" w:rsidRDefault="00124A26" w:rsidP="002D3EBF">
            <w:pPr>
              <w:ind w:firstLine="0"/>
              <w:rPr>
                <w:rFonts w:eastAsia="SimSun"/>
              </w:rPr>
            </w:pPr>
            <w:r w:rsidRPr="00AC3044">
              <w:rPr>
                <w:rFonts w:eastAsia="SimSun"/>
              </w:rPr>
              <w:t>0,03 мг/кг</w:t>
            </w:r>
          </w:p>
        </w:tc>
        <w:tc>
          <w:tcPr>
            <w:tcW w:w="807" w:type="pct"/>
            <w:vAlign w:val="center"/>
          </w:tcPr>
          <w:p w14:paraId="46139BF7" w14:textId="77777777" w:rsidR="00124A26" w:rsidRPr="00AC3044" w:rsidRDefault="00124A26" w:rsidP="002D3EBF">
            <w:pPr>
              <w:ind w:firstLine="0"/>
              <w:rPr>
                <w:rFonts w:eastAsia="SimSun"/>
              </w:rPr>
            </w:pPr>
            <w:r w:rsidRPr="00AC3044">
              <w:rPr>
                <w:rFonts w:eastAsia="SimSun"/>
              </w:rPr>
              <w:t>–</w:t>
            </w:r>
          </w:p>
        </w:tc>
        <w:tc>
          <w:tcPr>
            <w:tcW w:w="734" w:type="pct"/>
            <w:vAlign w:val="center"/>
          </w:tcPr>
          <w:p w14:paraId="7953339C" w14:textId="77777777" w:rsidR="00124A26" w:rsidRPr="00AC3044" w:rsidRDefault="00124A26" w:rsidP="002D3EBF">
            <w:pPr>
              <w:ind w:firstLine="0"/>
              <w:rPr>
                <w:rFonts w:eastAsia="SimSun"/>
              </w:rPr>
            </w:pPr>
            <w:r w:rsidRPr="00AC3044">
              <w:rPr>
                <w:rFonts w:eastAsia="SimSun"/>
              </w:rPr>
              <w:t>С +5 по +100 день, затем постепенное снижение к +180 дню</w:t>
            </w:r>
          </w:p>
        </w:tc>
        <w:tc>
          <w:tcPr>
            <w:tcW w:w="1316" w:type="pct"/>
            <w:vAlign w:val="center"/>
          </w:tcPr>
          <w:p w14:paraId="07EFE28F" w14:textId="77777777" w:rsidR="00124A26" w:rsidRPr="00AC3044" w:rsidRDefault="00124A26" w:rsidP="002D3EBF">
            <w:pPr>
              <w:ind w:firstLine="0"/>
              <w:rPr>
                <w:rFonts w:eastAsia="SimSun"/>
              </w:rPr>
            </w:pPr>
            <w:r w:rsidRPr="00C07B2E">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C07B2E">
              <w:rPr>
                <w:rFonts w:eastAsia="SimSun"/>
              </w:rPr>
              <w:t>10</w:t>
            </w:r>
            <w:r w:rsidRPr="0074195F">
              <w:rPr>
                <w:rFonts w:eastAsia="SimSun"/>
                <w:vertAlign w:val="superscript"/>
              </w:rPr>
              <w:t>9</w:t>
            </w:r>
            <w:r w:rsidRPr="00C07B2E">
              <w:rPr>
                <w:rFonts w:eastAsia="SimSun"/>
              </w:rPr>
              <w:t xml:space="preserve">/л, при отсутствии тошноты, рвоты, диареи и возможности приема внутрь. Концентрация Tx 5-15 нг/мл.    </w:t>
            </w:r>
          </w:p>
        </w:tc>
      </w:tr>
      <w:tr w:rsidR="00124A26" w:rsidRPr="00AC3044" w14:paraId="594DB405" w14:textId="77777777" w:rsidTr="002D3EBF">
        <w:trPr>
          <w:cantSplit/>
          <w:trHeight w:val="464"/>
        </w:trPr>
        <w:tc>
          <w:tcPr>
            <w:tcW w:w="596" w:type="pct"/>
            <w:vMerge/>
          </w:tcPr>
          <w:p w14:paraId="79FA9D82" w14:textId="77777777" w:rsidR="00124A26" w:rsidRPr="00AC3044" w:rsidRDefault="00124A26" w:rsidP="002D3EBF">
            <w:pPr>
              <w:ind w:firstLine="0"/>
              <w:rPr>
                <w:rFonts w:eastAsia="SimSun"/>
              </w:rPr>
            </w:pPr>
          </w:p>
        </w:tc>
        <w:tc>
          <w:tcPr>
            <w:tcW w:w="809" w:type="pct"/>
          </w:tcPr>
          <w:p w14:paraId="1E798495" w14:textId="77777777" w:rsidR="00124A26" w:rsidRPr="00AC3044" w:rsidRDefault="00124A26" w:rsidP="002D3EBF">
            <w:pPr>
              <w:ind w:firstLine="0"/>
              <w:rPr>
                <w:rFonts w:eastAsia="SimSun"/>
              </w:rPr>
            </w:pPr>
            <w:r w:rsidRPr="00AC3044">
              <w:rPr>
                <w:rFonts w:eastAsia="SimSun"/>
              </w:rPr>
              <w:t>Микофенолата мофетил</w:t>
            </w:r>
          </w:p>
        </w:tc>
        <w:tc>
          <w:tcPr>
            <w:tcW w:w="737" w:type="pct"/>
          </w:tcPr>
          <w:p w14:paraId="36E00173" w14:textId="77777777" w:rsidR="00124A26" w:rsidRPr="00AC3044" w:rsidRDefault="00124A26" w:rsidP="002D3EBF">
            <w:pPr>
              <w:ind w:firstLine="0"/>
              <w:rPr>
                <w:rFonts w:eastAsia="SimSun"/>
              </w:rPr>
            </w:pPr>
            <w:r w:rsidRPr="00AC3044">
              <w:rPr>
                <w:rFonts w:eastAsia="SimSun"/>
              </w:rPr>
              <w:t>45мг/кг</w:t>
            </w:r>
          </w:p>
        </w:tc>
        <w:tc>
          <w:tcPr>
            <w:tcW w:w="807" w:type="pct"/>
          </w:tcPr>
          <w:p w14:paraId="4AA470E5" w14:textId="77777777" w:rsidR="00124A26" w:rsidRPr="00AC3044" w:rsidRDefault="00124A26" w:rsidP="002D3EBF">
            <w:pPr>
              <w:ind w:firstLine="0"/>
              <w:rPr>
                <w:rFonts w:eastAsia="SimSun"/>
              </w:rPr>
            </w:pPr>
            <w:r w:rsidRPr="00AC3044">
              <w:rPr>
                <w:rFonts w:eastAsia="SimSun"/>
              </w:rPr>
              <w:t>–</w:t>
            </w:r>
          </w:p>
        </w:tc>
        <w:tc>
          <w:tcPr>
            <w:tcW w:w="734" w:type="pct"/>
          </w:tcPr>
          <w:p w14:paraId="218BCC0C" w14:textId="77777777" w:rsidR="00124A26" w:rsidRPr="00AC3044" w:rsidRDefault="00124A26" w:rsidP="002D3EBF">
            <w:pPr>
              <w:ind w:firstLine="0"/>
              <w:rPr>
                <w:rFonts w:eastAsia="SimSun"/>
              </w:rPr>
            </w:pPr>
            <w:r w:rsidRPr="00AC3044">
              <w:rPr>
                <w:rFonts w:eastAsia="SimSun"/>
              </w:rPr>
              <w:t>С +5 по +35 день</w:t>
            </w:r>
          </w:p>
        </w:tc>
        <w:tc>
          <w:tcPr>
            <w:tcW w:w="1316" w:type="pct"/>
          </w:tcPr>
          <w:p w14:paraId="0B1FAD72"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15001A35" w14:textId="77777777" w:rsidR="00124A26" w:rsidRDefault="00124A26" w:rsidP="00124A26">
      <w:pPr>
        <w:rPr>
          <w:rFonts w:eastAsia="SimSun"/>
        </w:rPr>
      </w:pPr>
      <w:bookmarkStart w:id="275" w:name="_Toc44401238"/>
    </w:p>
    <w:p w14:paraId="3FFA166E" w14:textId="77777777" w:rsidR="00124A26" w:rsidRPr="00C07B2E" w:rsidRDefault="00124A26" w:rsidP="00124A26">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3.1.13  – Flu180+Cy1200 / PT-Cy+Tx+MMF45</w:t>
      </w:r>
      <w:bookmarkEnd w:id="275"/>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417"/>
        <w:gridCol w:w="2552"/>
      </w:tblGrid>
      <w:tr w:rsidR="00124A26" w:rsidRPr="00AC3044" w14:paraId="7159E392" w14:textId="77777777" w:rsidTr="002D3EBF">
        <w:trPr>
          <w:cantSplit/>
          <w:trHeight w:val="20"/>
          <w:tblHeader/>
        </w:trPr>
        <w:tc>
          <w:tcPr>
            <w:tcW w:w="1135" w:type="dxa"/>
            <w:vAlign w:val="center"/>
          </w:tcPr>
          <w:p w14:paraId="783B561F" w14:textId="77777777" w:rsidR="00124A26" w:rsidRPr="00AC3044" w:rsidRDefault="00124A26" w:rsidP="002D3EBF">
            <w:pPr>
              <w:ind w:firstLine="0"/>
              <w:rPr>
                <w:rFonts w:eastAsia="SimSun"/>
              </w:rPr>
            </w:pPr>
          </w:p>
        </w:tc>
        <w:tc>
          <w:tcPr>
            <w:tcW w:w="1559" w:type="dxa"/>
            <w:vAlign w:val="center"/>
          </w:tcPr>
          <w:p w14:paraId="1763CD23" w14:textId="77777777" w:rsidR="00124A26" w:rsidRPr="00AC3044" w:rsidRDefault="00124A26" w:rsidP="002D3EBF">
            <w:pPr>
              <w:ind w:firstLine="0"/>
              <w:rPr>
                <w:rFonts w:eastAsia="SimSun"/>
              </w:rPr>
            </w:pPr>
            <w:r w:rsidRPr="00AC3044">
              <w:rPr>
                <w:rFonts w:eastAsia="SimSun"/>
              </w:rPr>
              <w:t>Препарат</w:t>
            </w:r>
          </w:p>
        </w:tc>
        <w:tc>
          <w:tcPr>
            <w:tcW w:w="1418" w:type="dxa"/>
            <w:vAlign w:val="center"/>
          </w:tcPr>
          <w:p w14:paraId="6AC18484" w14:textId="77777777" w:rsidR="00124A26" w:rsidRPr="00AC3044" w:rsidRDefault="00124A26" w:rsidP="002D3EBF">
            <w:pPr>
              <w:ind w:firstLine="0"/>
              <w:rPr>
                <w:rFonts w:eastAsia="SimSun"/>
              </w:rPr>
            </w:pPr>
            <w:r w:rsidRPr="00AC3044">
              <w:rPr>
                <w:rFonts w:eastAsia="SimSun"/>
              </w:rPr>
              <w:t>Суточная доза</w:t>
            </w:r>
          </w:p>
        </w:tc>
        <w:tc>
          <w:tcPr>
            <w:tcW w:w="1559" w:type="dxa"/>
            <w:vAlign w:val="center"/>
          </w:tcPr>
          <w:p w14:paraId="1D059CC3" w14:textId="77777777" w:rsidR="00124A26" w:rsidRPr="00AC3044" w:rsidRDefault="00124A26" w:rsidP="002D3EBF">
            <w:pPr>
              <w:ind w:firstLine="0"/>
              <w:rPr>
                <w:rFonts w:eastAsia="SimSun"/>
              </w:rPr>
            </w:pPr>
            <w:r w:rsidRPr="00AC3044">
              <w:rPr>
                <w:rFonts w:eastAsia="SimSun"/>
              </w:rPr>
              <w:t>Курсовая доза</w:t>
            </w:r>
          </w:p>
        </w:tc>
        <w:tc>
          <w:tcPr>
            <w:tcW w:w="1417" w:type="dxa"/>
            <w:vAlign w:val="center"/>
          </w:tcPr>
          <w:p w14:paraId="7B5BB263" w14:textId="77777777" w:rsidR="00124A26" w:rsidRPr="00AC3044" w:rsidRDefault="00124A26" w:rsidP="002D3EBF">
            <w:pPr>
              <w:ind w:firstLine="0"/>
              <w:rPr>
                <w:rFonts w:eastAsia="SimSun"/>
              </w:rPr>
            </w:pPr>
            <w:r w:rsidRPr="00AC3044">
              <w:rPr>
                <w:rFonts w:eastAsia="SimSun"/>
              </w:rPr>
              <w:t>Дни введения</w:t>
            </w:r>
          </w:p>
        </w:tc>
        <w:tc>
          <w:tcPr>
            <w:tcW w:w="2552" w:type="dxa"/>
            <w:vAlign w:val="center"/>
          </w:tcPr>
          <w:p w14:paraId="07D78019"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0338A168" w14:textId="77777777" w:rsidTr="002D3EBF">
        <w:trPr>
          <w:cantSplit/>
          <w:trHeight w:val="20"/>
        </w:trPr>
        <w:tc>
          <w:tcPr>
            <w:tcW w:w="1135" w:type="dxa"/>
            <w:vMerge w:val="restart"/>
            <w:textDirection w:val="btLr"/>
            <w:vAlign w:val="center"/>
          </w:tcPr>
          <w:p w14:paraId="207C437D" w14:textId="77777777" w:rsidR="00124A26" w:rsidRPr="00AC3044" w:rsidRDefault="00124A26" w:rsidP="002D3EBF">
            <w:pPr>
              <w:ind w:firstLine="0"/>
              <w:rPr>
                <w:rFonts w:eastAsia="SimSun"/>
              </w:rPr>
            </w:pPr>
            <w:r w:rsidRPr="00AC3044">
              <w:rPr>
                <w:rFonts w:eastAsia="SimSun"/>
              </w:rPr>
              <w:t>Кондиционирование</w:t>
            </w:r>
          </w:p>
        </w:tc>
        <w:tc>
          <w:tcPr>
            <w:tcW w:w="1559" w:type="dxa"/>
            <w:vAlign w:val="center"/>
          </w:tcPr>
          <w:p w14:paraId="5A35D82B" w14:textId="77777777" w:rsidR="00124A26" w:rsidRPr="00AC3044" w:rsidRDefault="00124A26" w:rsidP="002D3EBF">
            <w:pPr>
              <w:ind w:firstLine="0"/>
              <w:rPr>
                <w:rFonts w:eastAsia="SimSun"/>
              </w:rPr>
            </w:pPr>
            <w:r w:rsidRPr="00AC3044">
              <w:rPr>
                <w:rFonts w:eastAsia="SimSun"/>
              </w:rPr>
              <w:t xml:space="preserve">Флударабин </w:t>
            </w:r>
          </w:p>
        </w:tc>
        <w:tc>
          <w:tcPr>
            <w:tcW w:w="1418" w:type="dxa"/>
            <w:vAlign w:val="center"/>
          </w:tcPr>
          <w:p w14:paraId="5EB2C794" w14:textId="77777777" w:rsidR="00124A26" w:rsidRPr="00AC3044" w:rsidRDefault="00124A26" w:rsidP="002D3EBF">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0B9F706E" w14:textId="77777777" w:rsidR="00124A26" w:rsidRPr="00AC3044" w:rsidRDefault="00124A26" w:rsidP="002D3EBF">
            <w:pPr>
              <w:ind w:firstLine="0"/>
              <w:rPr>
                <w:rFonts w:eastAsia="SimSun"/>
              </w:rPr>
            </w:pPr>
            <w:r w:rsidRPr="00AC3044">
              <w:rPr>
                <w:rFonts w:eastAsia="SimSun"/>
              </w:rPr>
              <w:t>120 мг/м</w:t>
            </w:r>
            <w:r w:rsidRPr="0074195F">
              <w:rPr>
                <w:rFonts w:eastAsia="SimSun"/>
                <w:vertAlign w:val="superscript"/>
              </w:rPr>
              <w:t>2</w:t>
            </w:r>
          </w:p>
        </w:tc>
        <w:tc>
          <w:tcPr>
            <w:tcW w:w="1417" w:type="dxa"/>
            <w:vAlign w:val="center"/>
          </w:tcPr>
          <w:p w14:paraId="7EA8E281" w14:textId="77777777" w:rsidR="00124A26" w:rsidRPr="00AC3044" w:rsidRDefault="00124A26" w:rsidP="002D3EBF">
            <w:pPr>
              <w:ind w:firstLine="0"/>
              <w:rPr>
                <w:rFonts w:eastAsia="SimSun"/>
              </w:rPr>
            </w:pPr>
            <w:r w:rsidRPr="00AC3044">
              <w:rPr>
                <w:rFonts w:eastAsia="SimSun"/>
              </w:rPr>
              <w:t>С -5 дня по -2 день</w:t>
            </w:r>
          </w:p>
        </w:tc>
        <w:tc>
          <w:tcPr>
            <w:tcW w:w="2552" w:type="dxa"/>
            <w:vAlign w:val="center"/>
          </w:tcPr>
          <w:p w14:paraId="3006780F"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6533A10F" w14:textId="77777777" w:rsidTr="002D3EBF">
        <w:trPr>
          <w:cantSplit/>
          <w:trHeight w:val="855"/>
        </w:trPr>
        <w:tc>
          <w:tcPr>
            <w:tcW w:w="1135" w:type="dxa"/>
            <w:vMerge/>
            <w:vAlign w:val="center"/>
          </w:tcPr>
          <w:p w14:paraId="2E94D0F9" w14:textId="77777777" w:rsidR="00124A26" w:rsidRPr="00AC3044" w:rsidRDefault="00124A26" w:rsidP="002D3EBF">
            <w:pPr>
              <w:ind w:firstLine="0"/>
              <w:rPr>
                <w:rFonts w:eastAsia="SimSun"/>
              </w:rPr>
            </w:pPr>
          </w:p>
        </w:tc>
        <w:tc>
          <w:tcPr>
            <w:tcW w:w="1559" w:type="dxa"/>
            <w:vAlign w:val="center"/>
          </w:tcPr>
          <w:p w14:paraId="1E21B129" w14:textId="77777777" w:rsidR="00124A26" w:rsidRPr="00AC3044" w:rsidRDefault="00124A26" w:rsidP="002D3EBF">
            <w:pPr>
              <w:ind w:firstLine="0"/>
              <w:rPr>
                <w:rFonts w:eastAsia="SimSun"/>
              </w:rPr>
            </w:pPr>
            <w:r w:rsidRPr="00AC3044">
              <w:rPr>
                <w:rFonts w:eastAsia="SimSun"/>
              </w:rPr>
              <w:t>Циклофосфамид</w:t>
            </w:r>
          </w:p>
        </w:tc>
        <w:tc>
          <w:tcPr>
            <w:tcW w:w="1418" w:type="dxa"/>
            <w:vAlign w:val="center"/>
          </w:tcPr>
          <w:p w14:paraId="0D962E11" w14:textId="77777777" w:rsidR="00124A26" w:rsidRPr="00AC3044" w:rsidRDefault="00124A26" w:rsidP="002D3EBF">
            <w:pPr>
              <w:ind w:firstLine="0"/>
              <w:rPr>
                <w:rFonts w:eastAsia="SimSun"/>
              </w:rPr>
            </w:pPr>
            <w:r w:rsidRPr="00AC3044">
              <w:rPr>
                <w:rFonts w:eastAsia="SimSun"/>
              </w:rPr>
              <w:t>300 мг/м</w:t>
            </w:r>
            <w:r w:rsidRPr="0074195F">
              <w:rPr>
                <w:rFonts w:eastAsia="SimSun"/>
                <w:vertAlign w:val="superscript"/>
              </w:rPr>
              <w:t>2</w:t>
            </w:r>
            <w:r w:rsidRPr="00AC3044">
              <w:rPr>
                <w:rFonts w:eastAsia="SimSun"/>
              </w:rPr>
              <w:t xml:space="preserve"> </w:t>
            </w:r>
          </w:p>
        </w:tc>
        <w:tc>
          <w:tcPr>
            <w:tcW w:w="1559" w:type="dxa"/>
            <w:vAlign w:val="center"/>
          </w:tcPr>
          <w:p w14:paraId="5571F02E" w14:textId="77777777" w:rsidR="00124A26" w:rsidRPr="00AC3044" w:rsidRDefault="00124A26" w:rsidP="002D3EBF">
            <w:pPr>
              <w:ind w:firstLine="0"/>
              <w:rPr>
                <w:rFonts w:eastAsia="SimSun"/>
              </w:rPr>
            </w:pPr>
            <w:r w:rsidRPr="00AC3044">
              <w:rPr>
                <w:rFonts w:eastAsia="SimSun"/>
              </w:rPr>
              <w:t>1200 мг/м</w:t>
            </w:r>
            <w:r w:rsidRPr="0074195F">
              <w:rPr>
                <w:rFonts w:eastAsia="SimSun"/>
                <w:vertAlign w:val="superscript"/>
              </w:rPr>
              <w:t>2</w:t>
            </w:r>
          </w:p>
        </w:tc>
        <w:tc>
          <w:tcPr>
            <w:tcW w:w="1417" w:type="dxa"/>
            <w:vAlign w:val="center"/>
          </w:tcPr>
          <w:p w14:paraId="0F1802C9" w14:textId="77777777" w:rsidR="00124A26" w:rsidRPr="00AC3044" w:rsidRDefault="00124A26" w:rsidP="002D3EBF">
            <w:pPr>
              <w:ind w:firstLine="0"/>
              <w:rPr>
                <w:rFonts w:eastAsia="SimSun"/>
              </w:rPr>
            </w:pPr>
            <w:r w:rsidRPr="00AC3044">
              <w:rPr>
                <w:rFonts w:eastAsia="SimSun"/>
              </w:rPr>
              <w:t xml:space="preserve"> С -5 дня по -2 день </w:t>
            </w:r>
          </w:p>
        </w:tc>
        <w:tc>
          <w:tcPr>
            <w:tcW w:w="2552" w:type="dxa"/>
            <w:vAlign w:val="center"/>
          </w:tcPr>
          <w:p w14:paraId="272F85FA" w14:textId="77777777" w:rsidR="00124A26" w:rsidRPr="00AC3044" w:rsidRDefault="00124A26" w:rsidP="002D3EBF">
            <w:pPr>
              <w:ind w:firstLine="0"/>
              <w:rPr>
                <w:rFonts w:eastAsia="SimSun"/>
              </w:rPr>
            </w:pPr>
            <w:r w:rsidRPr="00AC3044">
              <w:rPr>
                <w:rFonts w:eastAsia="SimSun"/>
              </w:rPr>
              <w:t>В/в, в течение 2 часов</w:t>
            </w:r>
          </w:p>
        </w:tc>
      </w:tr>
      <w:tr w:rsidR="00124A26" w:rsidRPr="00AC3044" w14:paraId="23122FF6" w14:textId="77777777" w:rsidTr="002D3EBF">
        <w:trPr>
          <w:cantSplit/>
          <w:trHeight w:val="556"/>
        </w:trPr>
        <w:tc>
          <w:tcPr>
            <w:tcW w:w="1135" w:type="dxa"/>
            <w:vMerge w:val="restart"/>
            <w:textDirection w:val="btLr"/>
            <w:vAlign w:val="center"/>
          </w:tcPr>
          <w:p w14:paraId="08B6A31B" w14:textId="77777777" w:rsidR="00124A26" w:rsidRPr="00AC3044" w:rsidRDefault="00124A26" w:rsidP="002D3EBF">
            <w:pPr>
              <w:ind w:firstLine="0"/>
              <w:rPr>
                <w:rFonts w:eastAsia="SimSun"/>
              </w:rPr>
            </w:pPr>
            <w:r w:rsidRPr="00AC3044">
              <w:rPr>
                <w:rFonts w:eastAsia="SimSun"/>
              </w:rPr>
              <w:t>Профилактика РТПХ</w:t>
            </w:r>
          </w:p>
        </w:tc>
        <w:tc>
          <w:tcPr>
            <w:tcW w:w="1559" w:type="dxa"/>
            <w:vAlign w:val="center"/>
          </w:tcPr>
          <w:p w14:paraId="619BF070" w14:textId="77777777" w:rsidR="00124A26" w:rsidRPr="00AC3044" w:rsidRDefault="00124A26" w:rsidP="002D3EBF">
            <w:pPr>
              <w:ind w:firstLine="0"/>
              <w:rPr>
                <w:rFonts w:eastAsia="SimSun"/>
              </w:rPr>
            </w:pPr>
            <w:r w:rsidRPr="00AC3044">
              <w:rPr>
                <w:rFonts w:eastAsia="SimSun"/>
              </w:rPr>
              <w:t>Циклофосфамид</w:t>
            </w:r>
          </w:p>
        </w:tc>
        <w:tc>
          <w:tcPr>
            <w:tcW w:w="1418" w:type="dxa"/>
            <w:vAlign w:val="center"/>
          </w:tcPr>
          <w:p w14:paraId="3663EA48" w14:textId="77777777" w:rsidR="00124A26" w:rsidRPr="00AC3044" w:rsidRDefault="00124A26" w:rsidP="002D3EBF">
            <w:pPr>
              <w:ind w:firstLine="0"/>
              <w:rPr>
                <w:rFonts w:eastAsia="SimSun"/>
              </w:rPr>
            </w:pPr>
            <w:r w:rsidRPr="00AC3044">
              <w:rPr>
                <w:rFonts w:eastAsia="SimSun"/>
              </w:rPr>
              <w:t>50 мг/кг</w:t>
            </w:r>
          </w:p>
        </w:tc>
        <w:tc>
          <w:tcPr>
            <w:tcW w:w="1559" w:type="dxa"/>
            <w:vAlign w:val="center"/>
          </w:tcPr>
          <w:p w14:paraId="321F8DB8" w14:textId="77777777" w:rsidR="00124A26" w:rsidRPr="00AC3044" w:rsidRDefault="00124A26" w:rsidP="002D3EBF">
            <w:pPr>
              <w:ind w:firstLine="0"/>
              <w:rPr>
                <w:rFonts w:eastAsia="SimSun"/>
              </w:rPr>
            </w:pPr>
            <w:r w:rsidRPr="00AC3044">
              <w:rPr>
                <w:rFonts w:eastAsia="SimSun"/>
              </w:rPr>
              <w:t>100 мг/кг</w:t>
            </w:r>
          </w:p>
        </w:tc>
        <w:tc>
          <w:tcPr>
            <w:tcW w:w="1417" w:type="dxa"/>
            <w:vAlign w:val="center"/>
          </w:tcPr>
          <w:p w14:paraId="7F8CA335" w14:textId="77777777" w:rsidR="00124A26" w:rsidRPr="00AC3044" w:rsidRDefault="00124A26" w:rsidP="002D3EBF">
            <w:pPr>
              <w:ind w:firstLine="0"/>
              <w:rPr>
                <w:rFonts w:eastAsia="SimSun"/>
              </w:rPr>
            </w:pPr>
            <w:r w:rsidRPr="00AC3044">
              <w:rPr>
                <w:rFonts w:eastAsia="SimSun"/>
              </w:rPr>
              <w:t>С +3 дня по +4 день</w:t>
            </w:r>
          </w:p>
        </w:tc>
        <w:tc>
          <w:tcPr>
            <w:tcW w:w="2552" w:type="dxa"/>
            <w:vAlign w:val="center"/>
          </w:tcPr>
          <w:p w14:paraId="515E2083" w14:textId="77777777" w:rsidR="00124A26" w:rsidRPr="00AC3044" w:rsidRDefault="00124A26" w:rsidP="002D3EBF">
            <w:pPr>
              <w:ind w:firstLine="0"/>
              <w:rPr>
                <w:rFonts w:eastAsia="SimSun"/>
              </w:rPr>
            </w:pPr>
            <w:r w:rsidRPr="00AC3044">
              <w:rPr>
                <w:rFonts w:eastAsia="SimSun"/>
              </w:rPr>
              <w:t>В/в, в течение 2 часов</w:t>
            </w:r>
          </w:p>
        </w:tc>
      </w:tr>
      <w:tr w:rsidR="00124A26" w:rsidRPr="00AC3044" w14:paraId="6AF0DE3F" w14:textId="77777777" w:rsidTr="002D3EBF">
        <w:trPr>
          <w:cantSplit/>
          <w:trHeight w:val="958"/>
        </w:trPr>
        <w:tc>
          <w:tcPr>
            <w:tcW w:w="1135" w:type="dxa"/>
            <w:vMerge/>
            <w:textDirection w:val="btLr"/>
            <w:vAlign w:val="center"/>
          </w:tcPr>
          <w:p w14:paraId="0BC6B933" w14:textId="77777777" w:rsidR="00124A26" w:rsidRPr="00AC3044" w:rsidRDefault="00124A26" w:rsidP="002D3EBF">
            <w:pPr>
              <w:ind w:firstLine="0"/>
              <w:rPr>
                <w:rFonts w:eastAsia="SimSun"/>
              </w:rPr>
            </w:pPr>
          </w:p>
        </w:tc>
        <w:tc>
          <w:tcPr>
            <w:tcW w:w="1559" w:type="dxa"/>
            <w:vAlign w:val="center"/>
          </w:tcPr>
          <w:p w14:paraId="61BBA248" w14:textId="77777777" w:rsidR="00124A26" w:rsidRPr="00AC3044" w:rsidRDefault="00124A26" w:rsidP="002D3EBF">
            <w:pPr>
              <w:ind w:firstLine="0"/>
              <w:rPr>
                <w:rFonts w:eastAsia="SimSun"/>
              </w:rPr>
            </w:pPr>
            <w:r w:rsidRPr="00AC3044">
              <w:rPr>
                <w:rFonts w:eastAsia="SimSun"/>
              </w:rPr>
              <w:t xml:space="preserve">Такролимус </w:t>
            </w:r>
          </w:p>
        </w:tc>
        <w:tc>
          <w:tcPr>
            <w:tcW w:w="1418" w:type="dxa"/>
            <w:vAlign w:val="center"/>
          </w:tcPr>
          <w:p w14:paraId="764D8C4E" w14:textId="77777777" w:rsidR="00124A26" w:rsidRPr="00AC3044" w:rsidRDefault="00124A26" w:rsidP="002D3EBF">
            <w:pPr>
              <w:ind w:firstLine="0"/>
              <w:rPr>
                <w:rFonts w:eastAsia="SimSun"/>
              </w:rPr>
            </w:pPr>
            <w:r w:rsidRPr="00AC3044">
              <w:rPr>
                <w:rFonts w:eastAsia="SimSun"/>
              </w:rPr>
              <w:t>0,03 мг/кг</w:t>
            </w:r>
          </w:p>
        </w:tc>
        <w:tc>
          <w:tcPr>
            <w:tcW w:w="1559" w:type="dxa"/>
            <w:vAlign w:val="center"/>
          </w:tcPr>
          <w:p w14:paraId="180C789C" w14:textId="77777777" w:rsidR="00124A26" w:rsidRPr="00AC3044" w:rsidRDefault="00124A26" w:rsidP="002D3EBF">
            <w:pPr>
              <w:ind w:firstLine="0"/>
              <w:rPr>
                <w:rFonts w:eastAsia="SimSun"/>
              </w:rPr>
            </w:pPr>
            <w:r w:rsidRPr="00AC3044">
              <w:rPr>
                <w:rFonts w:eastAsia="SimSun"/>
              </w:rPr>
              <w:t>–</w:t>
            </w:r>
          </w:p>
        </w:tc>
        <w:tc>
          <w:tcPr>
            <w:tcW w:w="1417" w:type="dxa"/>
            <w:vAlign w:val="center"/>
          </w:tcPr>
          <w:p w14:paraId="317BBE48" w14:textId="77777777" w:rsidR="00124A26" w:rsidRPr="00AC3044" w:rsidRDefault="00124A26" w:rsidP="002D3EBF">
            <w:pPr>
              <w:ind w:firstLine="0"/>
              <w:rPr>
                <w:rFonts w:eastAsia="SimSun"/>
              </w:rPr>
            </w:pPr>
            <w:r w:rsidRPr="00AC3044">
              <w:rPr>
                <w:rFonts w:eastAsia="SimSun"/>
              </w:rPr>
              <w:t xml:space="preserve">С +5 дня длительно </w:t>
            </w:r>
          </w:p>
        </w:tc>
        <w:tc>
          <w:tcPr>
            <w:tcW w:w="2552" w:type="dxa"/>
            <w:vAlign w:val="center"/>
          </w:tcPr>
          <w:p w14:paraId="733FA02D" w14:textId="77777777" w:rsidR="00124A26" w:rsidRPr="00AC3044" w:rsidRDefault="00124A26"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124A26" w:rsidRPr="00AC3044" w14:paraId="671C4157" w14:textId="77777777" w:rsidTr="002D3EBF">
        <w:trPr>
          <w:cantSplit/>
          <w:trHeight w:val="491"/>
        </w:trPr>
        <w:tc>
          <w:tcPr>
            <w:tcW w:w="1135" w:type="dxa"/>
            <w:vMerge/>
            <w:textDirection w:val="btLr"/>
            <w:vAlign w:val="center"/>
          </w:tcPr>
          <w:p w14:paraId="358B197D" w14:textId="77777777" w:rsidR="00124A26" w:rsidRPr="00AC3044" w:rsidRDefault="00124A26" w:rsidP="002D3EBF">
            <w:pPr>
              <w:ind w:firstLine="0"/>
              <w:rPr>
                <w:rFonts w:eastAsia="SimSun"/>
              </w:rPr>
            </w:pPr>
          </w:p>
        </w:tc>
        <w:tc>
          <w:tcPr>
            <w:tcW w:w="1559" w:type="dxa"/>
            <w:vAlign w:val="center"/>
          </w:tcPr>
          <w:p w14:paraId="345D9AF7" w14:textId="77777777" w:rsidR="00124A26" w:rsidRPr="00AC3044" w:rsidRDefault="00124A26" w:rsidP="002D3EBF">
            <w:pPr>
              <w:ind w:firstLine="0"/>
              <w:rPr>
                <w:rFonts w:eastAsia="SimSun"/>
              </w:rPr>
            </w:pPr>
            <w:r w:rsidRPr="00AC3044">
              <w:rPr>
                <w:rFonts w:eastAsia="SimSun"/>
              </w:rPr>
              <w:t>Микофенолата мофетил</w:t>
            </w:r>
          </w:p>
        </w:tc>
        <w:tc>
          <w:tcPr>
            <w:tcW w:w="1418" w:type="dxa"/>
            <w:vAlign w:val="center"/>
          </w:tcPr>
          <w:p w14:paraId="060EC54F" w14:textId="77777777" w:rsidR="00124A26" w:rsidRPr="00AC3044" w:rsidRDefault="00124A26" w:rsidP="002D3EBF">
            <w:pPr>
              <w:ind w:firstLine="0"/>
              <w:rPr>
                <w:rFonts w:eastAsia="SimSun"/>
              </w:rPr>
            </w:pPr>
            <w:r w:rsidRPr="00AC3044">
              <w:rPr>
                <w:rFonts w:eastAsia="SimSun"/>
              </w:rPr>
              <w:t xml:space="preserve">45 мг/кг </w:t>
            </w:r>
          </w:p>
        </w:tc>
        <w:tc>
          <w:tcPr>
            <w:tcW w:w="1559" w:type="dxa"/>
            <w:vAlign w:val="center"/>
          </w:tcPr>
          <w:p w14:paraId="7FB4176D" w14:textId="77777777" w:rsidR="00124A26" w:rsidRPr="00AC3044" w:rsidRDefault="00124A26" w:rsidP="002D3EBF">
            <w:pPr>
              <w:ind w:firstLine="0"/>
              <w:rPr>
                <w:rFonts w:eastAsia="SimSun"/>
              </w:rPr>
            </w:pPr>
            <w:r w:rsidRPr="00AC3044">
              <w:rPr>
                <w:rFonts w:eastAsia="SimSun"/>
              </w:rPr>
              <w:t>–</w:t>
            </w:r>
          </w:p>
        </w:tc>
        <w:tc>
          <w:tcPr>
            <w:tcW w:w="1417" w:type="dxa"/>
            <w:vAlign w:val="center"/>
          </w:tcPr>
          <w:p w14:paraId="3AF3A57D" w14:textId="77777777" w:rsidR="00124A26" w:rsidRPr="00AC3044" w:rsidRDefault="00124A26" w:rsidP="002D3EBF">
            <w:pPr>
              <w:ind w:firstLine="0"/>
              <w:rPr>
                <w:rFonts w:eastAsia="SimSun"/>
              </w:rPr>
            </w:pPr>
            <w:r w:rsidRPr="00AC3044">
              <w:rPr>
                <w:rFonts w:eastAsia="SimSun"/>
              </w:rPr>
              <w:t xml:space="preserve">С +5 дня по +35 день </w:t>
            </w:r>
          </w:p>
        </w:tc>
        <w:tc>
          <w:tcPr>
            <w:tcW w:w="2552" w:type="dxa"/>
            <w:vAlign w:val="center"/>
          </w:tcPr>
          <w:p w14:paraId="30206DAD"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420388FD" w14:textId="77777777" w:rsidR="00124A26" w:rsidRDefault="00124A26" w:rsidP="00124A26">
      <w:pPr>
        <w:rPr>
          <w:rFonts w:eastAsia="SimSun"/>
        </w:rPr>
      </w:pPr>
      <w:bookmarkStart w:id="276" w:name="_Toc44401239"/>
    </w:p>
    <w:p w14:paraId="1CAB1858" w14:textId="77777777" w:rsidR="00124A26" w:rsidRPr="00C07B2E" w:rsidRDefault="00124A26" w:rsidP="00124A26">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3.1.14  – Flu180+Mel100 / PT-Cy+Tx+MMF45</w:t>
      </w:r>
      <w:bookmarkEnd w:id="276"/>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417"/>
        <w:gridCol w:w="2552"/>
      </w:tblGrid>
      <w:tr w:rsidR="00124A26" w:rsidRPr="00AC3044" w14:paraId="42E0BFCF" w14:textId="77777777" w:rsidTr="002D3EBF">
        <w:trPr>
          <w:cantSplit/>
          <w:trHeight w:val="20"/>
          <w:tblHeader/>
        </w:trPr>
        <w:tc>
          <w:tcPr>
            <w:tcW w:w="1135" w:type="dxa"/>
            <w:vAlign w:val="center"/>
          </w:tcPr>
          <w:p w14:paraId="6AD1B7EA" w14:textId="77777777" w:rsidR="00124A26" w:rsidRPr="00AC3044" w:rsidRDefault="00124A26" w:rsidP="002D3EBF">
            <w:pPr>
              <w:ind w:firstLine="0"/>
              <w:rPr>
                <w:rFonts w:eastAsia="SimSun"/>
              </w:rPr>
            </w:pPr>
          </w:p>
        </w:tc>
        <w:tc>
          <w:tcPr>
            <w:tcW w:w="1559" w:type="dxa"/>
            <w:vAlign w:val="center"/>
          </w:tcPr>
          <w:p w14:paraId="0A8984F2" w14:textId="77777777" w:rsidR="00124A26" w:rsidRPr="00AC3044" w:rsidRDefault="00124A26" w:rsidP="002D3EBF">
            <w:pPr>
              <w:ind w:firstLine="0"/>
              <w:rPr>
                <w:rFonts w:eastAsia="SimSun"/>
              </w:rPr>
            </w:pPr>
            <w:r w:rsidRPr="00AC3044">
              <w:rPr>
                <w:rFonts w:eastAsia="SimSun"/>
              </w:rPr>
              <w:t>Препарат</w:t>
            </w:r>
          </w:p>
        </w:tc>
        <w:tc>
          <w:tcPr>
            <w:tcW w:w="1418" w:type="dxa"/>
            <w:vAlign w:val="center"/>
          </w:tcPr>
          <w:p w14:paraId="58BDF1FB" w14:textId="77777777" w:rsidR="00124A26" w:rsidRPr="00AC3044" w:rsidRDefault="00124A26" w:rsidP="002D3EBF">
            <w:pPr>
              <w:ind w:firstLine="0"/>
              <w:rPr>
                <w:rFonts w:eastAsia="SimSun"/>
              </w:rPr>
            </w:pPr>
            <w:r w:rsidRPr="00AC3044">
              <w:rPr>
                <w:rFonts w:eastAsia="SimSun"/>
              </w:rPr>
              <w:t>Суточная доза</w:t>
            </w:r>
          </w:p>
        </w:tc>
        <w:tc>
          <w:tcPr>
            <w:tcW w:w="1559" w:type="dxa"/>
            <w:vAlign w:val="center"/>
          </w:tcPr>
          <w:p w14:paraId="09F9219F" w14:textId="77777777" w:rsidR="00124A26" w:rsidRPr="00AC3044" w:rsidRDefault="00124A26" w:rsidP="002D3EBF">
            <w:pPr>
              <w:ind w:firstLine="0"/>
              <w:rPr>
                <w:rFonts w:eastAsia="SimSun"/>
              </w:rPr>
            </w:pPr>
            <w:r w:rsidRPr="00AC3044">
              <w:rPr>
                <w:rFonts w:eastAsia="SimSun"/>
              </w:rPr>
              <w:t>Курсовая доза</w:t>
            </w:r>
          </w:p>
        </w:tc>
        <w:tc>
          <w:tcPr>
            <w:tcW w:w="1417" w:type="dxa"/>
            <w:vAlign w:val="center"/>
          </w:tcPr>
          <w:p w14:paraId="358B98C5" w14:textId="77777777" w:rsidR="00124A26" w:rsidRPr="00AC3044" w:rsidRDefault="00124A26" w:rsidP="002D3EBF">
            <w:pPr>
              <w:ind w:firstLine="0"/>
              <w:rPr>
                <w:rFonts w:eastAsia="SimSun"/>
              </w:rPr>
            </w:pPr>
            <w:r w:rsidRPr="00AC3044">
              <w:rPr>
                <w:rFonts w:eastAsia="SimSun"/>
              </w:rPr>
              <w:t>Дни введения</w:t>
            </w:r>
          </w:p>
        </w:tc>
        <w:tc>
          <w:tcPr>
            <w:tcW w:w="2552" w:type="dxa"/>
            <w:vAlign w:val="center"/>
          </w:tcPr>
          <w:p w14:paraId="47708666"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7C61F8B8" w14:textId="77777777" w:rsidTr="002D3EBF">
        <w:trPr>
          <w:cantSplit/>
          <w:trHeight w:val="20"/>
        </w:trPr>
        <w:tc>
          <w:tcPr>
            <w:tcW w:w="1135" w:type="dxa"/>
            <w:vMerge w:val="restart"/>
            <w:textDirection w:val="btLr"/>
            <w:vAlign w:val="center"/>
          </w:tcPr>
          <w:p w14:paraId="432B505A" w14:textId="77777777" w:rsidR="00124A26" w:rsidRPr="00AC3044" w:rsidRDefault="00124A26" w:rsidP="002D3EBF">
            <w:pPr>
              <w:ind w:firstLine="0"/>
              <w:rPr>
                <w:rFonts w:eastAsia="SimSun"/>
              </w:rPr>
            </w:pPr>
            <w:r w:rsidRPr="00AC3044">
              <w:rPr>
                <w:rFonts w:eastAsia="SimSun"/>
              </w:rPr>
              <w:t>Кондиционирование</w:t>
            </w:r>
          </w:p>
        </w:tc>
        <w:tc>
          <w:tcPr>
            <w:tcW w:w="1559" w:type="dxa"/>
            <w:vAlign w:val="center"/>
          </w:tcPr>
          <w:p w14:paraId="6FB6529A" w14:textId="77777777" w:rsidR="00124A26" w:rsidRPr="00AC3044" w:rsidRDefault="00124A26" w:rsidP="002D3EBF">
            <w:pPr>
              <w:ind w:firstLine="0"/>
              <w:rPr>
                <w:rFonts w:eastAsia="SimSun"/>
              </w:rPr>
            </w:pPr>
            <w:r w:rsidRPr="00AC3044">
              <w:rPr>
                <w:rFonts w:eastAsia="SimSun"/>
              </w:rPr>
              <w:t xml:space="preserve">Флударабин </w:t>
            </w:r>
          </w:p>
        </w:tc>
        <w:tc>
          <w:tcPr>
            <w:tcW w:w="1418" w:type="dxa"/>
            <w:vAlign w:val="center"/>
          </w:tcPr>
          <w:p w14:paraId="408BC9D8" w14:textId="77777777" w:rsidR="00124A26" w:rsidRPr="00AC3044" w:rsidRDefault="00124A26" w:rsidP="002D3EBF">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4DCB2C86" w14:textId="77777777" w:rsidR="00124A26" w:rsidRPr="00AC3044" w:rsidRDefault="00124A26" w:rsidP="002D3EBF">
            <w:pPr>
              <w:ind w:firstLine="0"/>
              <w:rPr>
                <w:rFonts w:eastAsia="SimSun"/>
              </w:rPr>
            </w:pPr>
            <w:r w:rsidRPr="00AC3044">
              <w:rPr>
                <w:rFonts w:eastAsia="SimSun"/>
              </w:rPr>
              <w:t>180 мг/м</w:t>
            </w:r>
            <w:r w:rsidRPr="0074195F">
              <w:rPr>
                <w:rFonts w:eastAsia="SimSun"/>
                <w:vertAlign w:val="superscript"/>
              </w:rPr>
              <w:t>2</w:t>
            </w:r>
          </w:p>
        </w:tc>
        <w:tc>
          <w:tcPr>
            <w:tcW w:w="1417" w:type="dxa"/>
            <w:vAlign w:val="center"/>
          </w:tcPr>
          <w:p w14:paraId="0677EE58" w14:textId="77777777" w:rsidR="00124A26" w:rsidRPr="00AC3044" w:rsidRDefault="00124A26" w:rsidP="002D3EBF">
            <w:pPr>
              <w:ind w:firstLine="0"/>
              <w:rPr>
                <w:rFonts w:eastAsia="SimSun"/>
              </w:rPr>
            </w:pPr>
            <w:r w:rsidRPr="00AC3044">
              <w:rPr>
                <w:rFonts w:eastAsia="SimSun"/>
              </w:rPr>
              <w:t>С -7 дня по -2 день</w:t>
            </w:r>
          </w:p>
        </w:tc>
        <w:tc>
          <w:tcPr>
            <w:tcW w:w="2552" w:type="dxa"/>
            <w:vAlign w:val="center"/>
          </w:tcPr>
          <w:p w14:paraId="41FF5B65"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0F041910" w14:textId="77777777" w:rsidTr="002D3EBF">
        <w:trPr>
          <w:cantSplit/>
          <w:trHeight w:val="1207"/>
        </w:trPr>
        <w:tc>
          <w:tcPr>
            <w:tcW w:w="1135" w:type="dxa"/>
            <w:vMerge/>
            <w:vAlign w:val="center"/>
          </w:tcPr>
          <w:p w14:paraId="558FB28A" w14:textId="77777777" w:rsidR="00124A26" w:rsidRPr="00AC3044" w:rsidRDefault="00124A26" w:rsidP="002D3EBF">
            <w:pPr>
              <w:ind w:firstLine="0"/>
              <w:rPr>
                <w:rFonts w:eastAsia="SimSun"/>
              </w:rPr>
            </w:pPr>
          </w:p>
        </w:tc>
        <w:tc>
          <w:tcPr>
            <w:tcW w:w="1559" w:type="dxa"/>
            <w:vAlign w:val="center"/>
          </w:tcPr>
          <w:p w14:paraId="04C1302D" w14:textId="77777777" w:rsidR="00124A26" w:rsidRPr="00AC3044" w:rsidRDefault="00124A26" w:rsidP="002D3EBF">
            <w:pPr>
              <w:ind w:firstLine="0"/>
              <w:rPr>
                <w:rFonts w:eastAsia="SimSun"/>
              </w:rPr>
            </w:pPr>
            <w:r w:rsidRPr="00AC3044">
              <w:rPr>
                <w:rFonts w:eastAsia="SimSun"/>
              </w:rPr>
              <w:t>Мелфалан</w:t>
            </w:r>
          </w:p>
        </w:tc>
        <w:tc>
          <w:tcPr>
            <w:tcW w:w="1418" w:type="dxa"/>
            <w:vAlign w:val="center"/>
          </w:tcPr>
          <w:p w14:paraId="0261F23D" w14:textId="77777777" w:rsidR="00124A26" w:rsidRPr="00AC3044" w:rsidRDefault="00124A26" w:rsidP="002D3EBF">
            <w:pPr>
              <w:ind w:firstLine="0"/>
              <w:rPr>
                <w:rFonts w:eastAsia="SimSun"/>
              </w:rPr>
            </w:pPr>
            <w:r w:rsidRPr="00AC3044">
              <w:rPr>
                <w:rFonts w:eastAsia="SimSun"/>
              </w:rPr>
              <w:t>100 мг/м</w:t>
            </w:r>
            <w:r w:rsidRPr="0074195F">
              <w:rPr>
                <w:rFonts w:eastAsia="SimSun"/>
                <w:vertAlign w:val="superscript"/>
              </w:rPr>
              <w:t>2</w:t>
            </w:r>
            <w:r w:rsidRPr="00AC3044">
              <w:rPr>
                <w:rFonts w:eastAsia="SimSun"/>
              </w:rPr>
              <w:t xml:space="preserve"> </w:t>
            </w:r>
          </w:p>
        </w:tc>
        <w:tc>
          <w:tcPr>
            <w:tcW w:w="1559" w:type="dxa"/>
            <w:vAlign w:val="center"/>
          </w:tcPr>
          <w:p w14:paraId="0296B102" w14:textId="77777777" w:rsidR="00124A26" w:rsidRPr="00AC3044" w:rsidRDefault="00124A26" w:rsidP="002D3EBF">
            <w:pPr>
              <w:ind w:firstLine="0"/>
              <w:rPr>
                <w:rFonts w:eastAsia="SimSun"/>
              </w:rPr>
            </w:pPr>
            <w:r w:rsidRPr="00AC3044">
              <w:rPr>
                <w:rFonts w:eastAsia="SimSun"/>
              </w:rPr>
              <w:t>100 мг/м</w:t>
            </w:r>
            <w:r w:rsidRPr="0074195F">
              <w:rPr>
                <w:rFonts w:eastAsia="SimSun"/>
                <w:vertAlign w:val="superscript"/>
              </w:rPr>
              <w:t>2</w:t>
            </w:r>
          </w:p>
        </w:tc>
        <w:tc>
          <w:tcPr>
            <w:tcW w:w="1417" w:type="dxa"/>
            <w:vAlign w:val="center"/>
          </w:tcPr>
          <w:p w14:paraId="6A113899" w14:textId="77777777" w:rsidR="00124A26" w:rsidRPr="00AC3044" w:rsidRDefault="00124A26" w:rsidP="002D3EBF">
            <w:pPr>
              <w:ind w:firstLine="0"/>
              <w:rPr>
                <w:rFonts w:eastAsia="SimSun"/>
              </w:rPr>
            </w:pPr>
            <w:r w:rsidRPr="00AC3044">
              <w:rPr>
                <w:rFonts w:eastAsia="SimSun"/>
              </w:rPr>
              <w:t xml:space="preserve">В -2 день </w:t>
            </w:r>
          </w:p>
        </w:tc>
        <w:tc>
          <w:tcPr>
            <w:tcW w:w="2552" w:type="dxa"/>
            <w:vAlign w:val="center"/>
          </w:tcPr>
          <w:p w14:paraId="31B53020" w14:textId="77777777" w:rsidR="00124A26" w:rsidRPr="00AC3044" w:rsidRDefault="00124A26" w:rsidP="002D3EBF">
            <w:pPr>
              <w:ind w:firstLine="0"/>
              <w:rPr>
                <w:rFonts w:eastAsia="SimSun"/>
              </w:rPr>
            </w:pPr>
            <w:r w:rsidRPr="00AC3044">
              <w:rPr>
                <w:rFonts w:eastAsia="SimSun"/>
              </w:rPr>
              <w:t>В/в, в течение 1 часа</w:t>
            </w:r>
          </w:p>
        </w:tc>
      </w:tr>
      <w:tr w:rsidR="00124A26" w:rsidRPr="00AC3044" w14:paraId="3556157A" w14:textId="77777777" w:rsidTr="002D3EBF">
        <w:trPr>
          <w:cantSplit/>
          <w:trHeight w:val="606"/>
        </w:trPr>
        <w:tc>
          <w:tcPr>
            <w:tcW w:w="1135" w:type="dxa"/>
            <w:vMerge w:val="restart"/>
            <w:textDirection w:val="btLr"/>
            <w:vAlign w:val="center"/>
          </w:tcPr>
          <w:p w14:paraId="2B4241B2" w14:textId="77777777" w:rsidR="00124A26" w:rsidRPr="00AC3044" w:rsidRDefault="00124A26" w:rsidP="002D3EBF">
            <w:pPr>
              <w:ind w:firstLine="0"/>
              <w:rPr>
                <w:rFonts w:eastAsia="SimSun"/>
              </w:rPr>
            </w:pPr>
            <w:r w:rsidRPr="00AC3044">
              <w:rPr>
                <w:rFonts w:eastAsia="SimSun"/>
              </w:rPr>
              <w:t>Профилактика РТПХ</w:t>
            </w:r>
          </w:p>
        </w:tc>
        <w:tc>
          <w:tcPr>
            <w:tcW w:w="1559" w:type="dxa"/>
            <w:vAlign w:val="center"/>
          </w:tcPr>
          <w:p w14:paraId="27DF1D10" w14:textId="77777777" w:rsidR="00124A26" w:rsidRPr="00AC3044" w:rsidRDefault="00124A26" w:rsidP="002D3EBF">
            <w:pPr>
              <w:ind w:firstLine="0"/>
              <w:rPr>
                <w:rFonts w:eastAsia="SimSun"/>
              </w:rPr>
            </w:pPr>
            <w:r w:rsidRPr="00AC3044">
              <w:rPr>
                <w:rFonts w:eastAsia="SimSun"/>
              </w:rPr>
              <w:t>Циклофосфамид</w:t>
            </w:r>
          </w:p>
        </w:tc>
        <w:tc>
          <w:tcPr>
            <w:tcW w:w="1418" w:type="dxa"/>
            <w:vAlign w:val="center"/>
          </w:tcPr>
          <w:p w14:paraId="356AA8A8" w14:textId="77777777" w:rsidR="00124A26" w:rsidRPr="00AC3044" w:rsidRDefault="00124A26" w:rsidP="002D3EBF">
            <w:pPr>
              <w:ind w:firstLine="0"/>
              <w:rPr>
                <w:rFonts w:eastAsia="SimSun"/>
              </w:rPr>
            </w:pPr>
            <w:r w:rsidRPr="00AC3044">
              <w:rPr>
                <w:rFonts w:eastAsia="SimSun"/>
              </w:rPr>
              <w:t>50 мг/кг</w:t>
            </w:r>
          </w:p>
        </w:tc>
        <w:tc>
          <w:tcPr>
            <w:tcW w:w="1559" w:type="dxa"/>
            <w:vAlign w:val="center"/>
          </w:tcPr>
          <w:p w14:paraId="57D51790" w14:textId="77777777" w:rsidR="00124A26" w:rsidRPr="00AC3044" w:rsidRDefault="00124A26" w:rsidP="002D3EBF">
            <w:pPr>
              <w:ind w:firstLine="0"/>
              <w:rPr>
                <w:rFonts w:eastAsia="SimSun"/>
              </w:rPr>
            </w:pPr>
            <w:r w:rsidRPr="00AC3044">
              <w:rPr>
                <w:rFonts w:eastAsia="SimSun"/>
              </w:rPr>
              <w:t>100 мг/кг</w:t>
            </w:r>
          </w:p>
        </w:tc>
        <w:tc>
          <w:tcPr>
            <w:tcW w:w="1417" w:type="dxa"/>
            <w:vAlign w:val="center"/>
          </w:tcPr>
          <w:p w14:paraId="24F5C3AF" w14:textId="77777777" w:rsidR="00124A26" w:rsidRPr="00AC3044" w:rsidRDefault="00124A26" w:rsidP="002D3EBF">
            <w:pPr>
              <w:ind w:firstLine="0"/>
              <w:rPr>
                <w:rFonts w:eastAsia="SimSun"/>
              </w:rPr>
            </w:pPr>
            <w:r w:rsidRPr="00AC3044">
              <w:rPr>
                <w:rFonts w:eastAsia="SimSun"/>
              </w:rPr>
              <w:t xml:space="preserve">+3,+4 дни </w:t>
            </w:r>
          </w:p>
        </w:tc>
        <w:tc>
          <w:tcPr>
            <w:tcW w:w="2552" w:type="dxa"/>
            <w:vAlign w:val="center"/>
          </w:tcPr>
          <w:p w14:paraId="0360D849" w14:textId="77777777" w:rsidR="00124A26" w:rsidRPr="00AC3044" w:rsidRDefault="00124A26" w:rsidP="002D3EBF">
            <w:pPr>
              <w:ind w:firstLine="0"/>
              <w:rPr>
                <w:rFonts w:eastAsia="SimSun"/>
              </w:rPr>
            </w:pPr>
            <w:r w:rsidRPr="00AC3044">
              <w:rPr>
                <w:rFonts w:eastAsia="SimSun"/>
              </w:rPr>
              <w:t>В/в, в течение 2 часов</w:t>
            </w:r>
          </w:p>
        </w:tc>
      </w:tr>
      <w:tr w:rsidR="00124A26" w:rsidRPr="00AC3044" w14:paraId="20D345E3" w14:textId="77777777" w:rsidTr="002D3EBF">
        <w:trPr>
          <w:cantSplit/>
          <w:trHeight w:val="958"/>
        </w:trPr>
        <w:tc>
          <w:tcPr>
            <w:tcW w:w="1135" w:type="dxa"/>
            <w:vMerge/>
            <w:textDirection w:val="btLr"/>
            <w:vAlign w:val="center"/>
          </w:tcPr>
          <w:p w14:paraId="4282C28F" w14:textId="77777777" w:rsidR="00124A26" w:rsidRPr="00AC3044" w:rsidRDefault="00124A26" w:rsidP="002D3EBF">
            <w:pPr>
              <w:ind w:firstLine="0"/>
              <w:rPr>
                <w:rFonts w:eastAsia="SimSun"/>
              </w:rPr>
            </w:pPr>
          </w:p>
        </w:tc>
        <w:tc>
          <w:tcPr>
            <w:tcW w:w="1559" w:type="dxa"/>
            <w:vAlign w:val="center"/>
          </w:tcPr>
          <w:p w14:paraId="2D6ECE9A" w14:textId="77777777" w:rsidR="00124A26" w:rsidRPr="00AC3044" w:rsidRDefault="00124A26" w:rsidP="002D3EBF">
            <w:pPr>
              <w:ind w:firstLine="0"/>
              <w:rPr>
                <w:rFonts w:eastAsia="SimSun"/>
              </w:rPr>
            </w:pPr>
            <w:r w:rsidRPr="00AC3044">
              <w:rPr>
                <w:rFonts w:eastAsia="SimSun"/>
              </w:rPr>
              <w:t xml:space="preserve">Такролимус </w:t>
            </w:r>
          </w:p>
        </w:tc>
        <w:tc>
          <w:tcPr>
            <w:tcW w:w="1418" w:type="dxa"/>
            <w:vAlign w:val="center"/>
          </w:tcPr>
          <w:p w14:paraId="0EF8BDF1" w14:textId="77777777" w:rsidR="00124A26" w:rsidRPr="00AC3044" w:rsidRDefault="00124A26" w:rsidP="002D3EBF">
            <w:pPr>
              <w:ind w:firstLine="0"/>
              <w:rPr>
                <w:rFonts w:eastAsia="SimSun"/>
              </w:rPr>
            </w:pPr>
            <w:r w:rsidRPr="00AC3044">
              <w:rPr>
                <w:rFonts w:eastAsia="SimSun"/>
              </w:rPr>
              <w:t>0,03 мг/кг</w:t>
            </w:r>
          </w:p>
        </w:tc>
        <w:tc>
          <w:tcPr>
            <w:tcW w:w="1559" w:type="dxa"/>
            <w:vAlign w:val="center"/>
          </w:tcPr>
          <w:p w14:paraId="779B91C7" w14:textId="77777777" w:rsidR="00124A26" w:rsidRPr="00AC3044" w:rsidRDefault="00124A26" w:rsidP="002D3EBF">
            <w:pPr>
              <w:ind w:firstLine="0"/>
              <w:rPr>
                <w:rFonts w:eastAsia="SimSun"/>
              </w:rPr>
            </w:pPr>
            <w:r w:rsidRPr="00AC3044">
              <w:rPr>
                <w:rFonts w:eastAsia="SimSun"/>
              </w:rPr>
              <w:t>–</w:t>
            </w:r>
          </w:p>
        </w:tc>
        <w:tc>
          <w:tcPr>
            <w:tcW w:w="1417" w:type="dxa"/>
            <w:vAlign w:val="center"/>
          </w:tcPr>
          <w:p w14:paraId="26346738" w14:textId="77777777" w:rsidR="00124A26" w:rsidRPr="00AC3044" w:rsidRDefault="00124A26" w:rsidP="002D3EBF">
            <w:pPr>
              <w:ind w:firstLine="0"/>
              <w:rPr>
                <w:rFonts w:eastAsia="SimSun"/>
              </w:rPr>
            </w:pPr>
            <w:r w:rsidRPr="00AC3044">
              <w:rPr>
                <w:rFonts w:eastAsia="SimSun"/>
              </w:rPr>
              <w:t xml:space="preserve">С -1 дня длительно </w:t>
            </w:r>
          </w:p>
        </w:tc>
        <w:tc>
          <w:tcPr>
            <w:tcW w:w="2552" w:type="dxa"/>
            <w:vAlign w:val="center"/>
          </w:tcPr>
          <w:p w14:paraId="4368A6C9" w14:textId="77777777" w:rsidR="00124A26" w:rsidRPr="00AC3044" w:rsidRDefault="00124A26" w:rsidP="002D3EB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124A26" w:rsidRPr="00AC3044" w14:paraId="185724EB" w14:textId="77777777" w:rsidTr="002D3EBF">
        <w:trPr>
          <w:cantSplit/>
          <w:trHeight w:val="386"/>
        </w:trPr>
        <w:tc>
          <w:tcPr>
            <w:tcW w:w="1135" w:type="dxa"/>
            <w:vMerge/>
            <w:textDirection w:val="btLr"/>
            <w:vAlign w:val="center"/>
          </w:tcPr>
          <w:p w14:paraId="642CD946" w14:textId="77777777" w:rsidR="00124A26" w:rsidRPr="00AC3044" w:rsidRDefault="00124A26" w:rsidP="002D3EBF">
            <w:pPr>
              <w:ind w:firstLine="0"/>
              <w:rPr>
                <w:rFonts w:eastAsia="SimSun"/>
              </w:rPr>
            </w:pPr>
          </w:p>
        </w:tc>
        <w:tc>
          <w:tcPr>
            <w:tcW w:w="1559" w:type="dxa"/>
            <w:vAlign w:val="center"/>
          </w:tcPr>
          <w:p w14:paraId="27983B08" w14:textId="77777777" w:rsidR="00124A26" w:rsidRPr="00AC3044" w:rsidRDefault="00124A26" w:rsidP="002D3EBF">
            <w:pPr>
              <w:ind w:firstLine="0"/>
              <w:rPr>
                <w:rFonts w:eastAsia="SimSun"/>
              </w:rPr>
            </w:pPr>
            <w:r w:rsidRPr="00AC3044">
              <w:rPr>
                <w:rFonts w:eastAsia="SimSun"/>
              </w:rPr>
              <w:t>Микофенолата мофетил</w:t>
            </w:r>
          </w:p>
        </w:tc>
        <w:tc>
          <w:tcPr>
            <w:tcW w:w="1418" w:type="dxa"/>
            <w:vAlign w:val="center"/>
          </w:tcPr>
          <w:p w14:paraId="161D6B44" w14:textId="77777777" w:rsidR="00124A26" w:rsidRPr="00AC3044" w:rsidRDefault="00124A26" w:rsidP="002D3EBF">
            <w:pPr>
              <w:ind w:firstLine="0"/>
              <w:rPr>
                <w:rFonts w:eastAsia="SimSun"/>
              </w:rPr>
            </w:pPr>
            <w:r w:rsidRPr="00AC3044">
              <w:rPr>
                <w:rFonts w:eastAsia="SimSun"/>
              </w:rPr>
              <w:t xml:space="preserve">30 мг/кг </w:t>
            </w:r>
          </w:p>
        </w:tc>
        <w:tc>
          <w:tcPr>
            <w:tcW w:w="1559" w:type="dxa"/>
            <w:vAlign w:val="center"/>
          </w:tcPr>
          <w:p w14:paraId="01A8BC84" w14:textId="77777777" w:rsidR="00124A26" w:rsidRPr="00AC3044" w:rsidRDefault="00124A26" w:rsidP="002D3EBF">
            <w:pPr>
              <w:ind w:firstLine="0"/>
              <w:rPr>
                <w:rFonts w:eastAsia="SimSun"/>
              </w:rPr>
            </w:pPr>
            <w:r w:rsidRPr="00AC3044">
              <w:rPr>
                <w:rFonts w:eastAsia="SimSun"/>
              </w:rPr>
              <w:t>–</w:t>
            </w:r>
          </w:p>
        </w:tc>
        <w:tc>
          <w:tcPr>
            <w:tcW w:w="1417" w:type="dxa"/>
            <w:vAlign w:val="center"/>
          </w:tcPr>
          <w:p w14:paraId="4154B8E5" w14:textId="77777777" w:rsidR="00124A26" w:rsidRPr="00AC3044" w:rsidRDefault="00124A26" w:rsidP="002D3EBF">
            <w:pPr>
              <w:ind w:firstLine="0"/>
              <w:rPr>
                <w:rFonts w:eastAsia="SimSun"/>
              </w:rPr>
            </w:pPr>
            <w:r w:rsidRPr="00AC3044">
              <w:rPr>
                <w:rFonts w:eastAsia="SimSun"/>
              </w:rPr>
              <w:t xml:space="preserve">С -1 дня по +30 день </w:t>
            </w:r>
          </w:p>
        </w:tc>
        <w:tc>
          <w:tcPr>
            <w:tcW w:w="2552" w:type="dxa"/>
            <w:vAlign w:val="center"/>
          </w:tcPr>
          <w:p w14:paraId="6A45F1B9"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623015A0" w14:textId="77777777" w:rsidR="00124A26" w:rsidRPr="00C07B2E" w:rsidRDefault="00124A26" w:rsidP="00124A26">
      <w:pPr>
        <w:rPr>
          <w:rFonts w:eastAsia="SimSun"/>
        </w:rPr>
      </w:pPr>
    </w:p>
    <w:p w14:paraId="69BA7530" w14:textId="77777777" w:rsidR="00124A26" w:rsidRPr="000F445E" w:rsidRDefault="00124A26" w:rsidP="00124A26">
      <w:pPr>
        <w:rPr>
          <w:rFonts w:eastAsia="SimSun"/>
          <w:i/>
          <w:u w:val="single"/>
        </w:rPr>
      </w:pPr>
      <w:bookmarkStart w:id="277" w:name="_Toc44401240"/>
      <w:r w:rsidRPr="000F445E">
        <w:rPr>
          <w:rFonts w:eastAsia="SimSun"/>
          <w:i/>
          <w:u w:val="single"/>
        </w:rPr>
        <w:t>4.  Алло-ТГСК с использованием манипулированных  трансплантатов (ex vivo Т-клеточная деплеция, позитивная CD34+ селекция)</w:t>
      </w:r>
      <w:bookmarkEnd w:id="277"/>
      <w:r w:rsidRPr="000F445E">
        <w:rPr>
          <w:rFonts w:eastAsia="SimSun"/>
          <w:i/>
          <w:u w:val="single"/>
        </w:rPr>
        <w:t xml:space="preserve"> </w:t>
      </w:r>
    </w:p>
    <w:p w14:paraId="312E9904" w14:textId="77777777" w:rsidR="00124A26" w:rsidRDefault="00124A26" w:rsidP="00124A26">
      <w:pPr>
        <w:rPr>
          <w:rFonts w:eastAsia="SimSun"/>
        </w:rPr>
      </w:pPr>
      <w:bookmarkStart w:id="278" w:name="_Toc44401242"/>
    </w:p>
    <w:bookmarkEnd w:id="278"/>
    <w:p w14:paraId="63B0FB7A" w14:textId="77777777" w:rsidR="00124A26" w:rsidRPr="00C07B2E" w:rsidRDefault="00124A26" w:rsidP="00124A26">
      <w:pPr>
        <w:rPr>
          <w:rFonts w:eastAsia="SimSun"/>
        </w:rPr>
      </w:pPr>
      <w:r w:rsidRPr="00C07B2E">
        <w:rPr>
          <w:rFonts w:eastAsia="SimSun"/>
        </w:rPr>
        <w:t xml:space="preserve">Схема и режим применения препаратов для кондиционирования и профилактики РТПХ приведены в </w:t>
      </w:r>
      <w:r>
        <w:rPr>
          <w:rFonts w:eastAsia="SimSun"/>
        </w:rPr>
        <w:t>Таблицах</w:t>
      </w:r>
      <w:r w:rsidRPr="00C07B2E">
        <w:rPr>
          <w:rFonts w:eastAsia="SimSun"/>
        </w:rPr>
        <w:t xml:space="preserve"> </w:t>
      </w:r>
      <w:r>
        <w:rPr>
          <w:rFonts w:eastAsia="SimSun"/>
        </w:rPr>
        <w:t>5.</w:t>
      </w:r>
      <w:r w:rsidRPr="00C07B2E">
        <w:rPr>
          <w:rFonts w:eastAsia="SimSun"/>
        </w:rPr>
        <w:t xml:space="preserve">4.1, </w:t>
      </w:r>
      <w:r>
        <w:rPr>
          <w:rFonts w:eastAsia="SimSun"/>
        </w:rPr>
        <w:t>5.</w:t>
      </w:r>
      <w:r w:rsidRPr="00C07B2E">
        <w:rPr>
          <w:rFonts w:eastAsia="SimSun"/>
        </w:rPr>
        <w:t xml:space="preserve">4.2 и </w:t>
      </w:r>
      <w:r>
        <w:rPr>
          <w:rFonts w:eastAsia="SimSun"/>
        </w:rPr>
        <w:t>5.</w:t>
      </w:r>
      <w:r w:rsidRPr="00C07B2E">
        <w:rPr>
          <w:rFonts w:eastAsia="SimSun"/>
        </w:rPr>
        <w:t xml:space="preserve">4.3. </w:t>
      </w:r>
    </w:p>
    <w:p w14:paraId="17AC6D09" w14:textId="77777777" w:rsidR="00124A26" w:rsidRDefault="00124A26" w:rsidP="00124A26">
      <w:pPr>
        <w:rPr>
          <w:rFonts w:eastAsia="SimSun"/>
        </w:rPr>
      </w:pPr>
      <w:bookmarkStart w:id="279" w:name="_Toc44401243"/>
    </w:p>
    <w:p w14:paraId="4CDFB375" w14:textId="77777777" w:rsidR="00124A26" w:rsidRPr="00EE51B1" w:rsidRDefault="00124A26" w:rsidP="00124A26">
      <w:pPr>
        <w:rPr>
          <w:rFonts w:eastAsia="SimSun"/>
          <w:lang w:val="en-US"/>
        </w:rPr>
      </w:pPr>
      <w:r>
        <w:rPr>
          <w:rFonts w:eastAsia="SimSun"/>
        </w:rPr>
        <w:t>Таблица</w:t>
      </w:r>
      <w:r w:rsidRPr="00EE51B1">
        <w:rPr>
          <w:rFonts w:eastAsia="SimSun"/>
          <w:lang w:val="en-US"/>
        </w:rPr>
        <w:t xml:space="preserve"> </w:t>
      </w:r>
      <w:r>
        <w:rPr>
          <w:rFonts w:eastAsia="SimSun"/>
          <w:lang w:val="en-US"/>
        </w:rPr>
        <w:t>5.</w:t>
      </w:r>
      <w:r w:rsidRPr="00EE51B1">
        <w:rPr>
          <w:rFonts w:eastAsia="SimSun"/>
          <w:lang w:val="en-US"/>
        </w:rPr>
        <w:t xml:space="preserve">4.1  – </w:t>
      </w:r>
      <w:r w:rsidRPr="007A1AC4">
        <w:rPr>
          <w:rFonts w:eastAsia="SimSun"/>
          <w:lang w:val="en-US"/>
        </w:rPr>
        <w:t>Flu</w:t>
      </w:r>
      <w:r w:rsidRPr="00EE51B1">
        <w:rPr>
          <w:rFonts w:eastAsia="SimSun"/>
          <w:lang w:val="en-US"/>
        </w:rPr>
        <w:t>150+</w:t>
      </w:r>
      <w:r w:rsidRPr="007A1AC4">
        <w:rPr>
          <w:rFonts w:eastAsia="SimSun"/>
          <w:lang w:val="en-US"/>
        </w:rPr>
        <w:t>Treo</w:t>
      </w:r>
      <w:r w:rsidRPr="00EE51B1">
        <w:rPr>
          <w:rFonts w:eastAsia="SimSun"/>
          <w:lang w:val="en-US"/>
        </w:rPr>
        <w:t>42+</w:t>
      </w:r>
      <w:r w:rsidRPr="007A1AC4">
        <w:rPr>
          <w:rFonts w:eastAsia="SimSun"/>
          <w:lang w:val="en-US"/>
        </w:rPr>
        <w:t>Thio</w:t>
      </w:r>
      <w:r w:rsidRPr="00EE51B1">
        <w:rPr>
          <w:rFonts w:eastAsia="SimSun"/>
          <w:lang w:val="en-US"/>
        </w:rPr>
        <w:t xml:space="preserve"> / </w:t>
      </w:r>
      <w:r w:rsidRPr="007A1AC4">
        <w:rPr>
          <w:rFonts w:eastAsia="SimSun"/>
          <w:lang w:val="en-US"/>
        </w:rPr>
        <w:t>TCR</w:t>
      </w:r>
      <w:r w:rsidRPr="00C07B2E">
        <w:rPr>
          <w:rFonts w:eastAsia="SimSun"/>
        </w:rPr>
        <w:t>αβ</w:t>
      </w:r>
      <w:r w:rsidRPr="00EE51B1">
        <w:rPr>
          <w:rFonts w:eastAsia="SimSun"/>
          <w:lang w:val="en-US"/>
        </w:rPr>
        <w:t>-</w:t>
      </w:r>
      <w:r w:rsidRPr="007A1AC4">
        <w:rPr>
          <w:rFonts w:eastAsia="SimSun"/>
          <w:lang w:val="en-US"/>
        </w:rPr>
        <w:t>CD</w:t>
      </w:r>
      <w:r w:rsidRPr="00EE51B1">
        <w:rPr>
          <w:rFonts w:eastAsia="SimSun"/>
          <w:lang w:val="en-US"/>
        </w:rPr>
        <w:t>19</w:t>
      </w:r>
      <w:bookmarkEnd w:id="279"/>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2268"/>
        <w:gridCol w:w="1276"/>
        <w:gridCol w:w="1417"/>
        <w:gridCol w:w="1843"/>
        <w:gridCol w:w="2835"/>
      </w:tblGrid>
      <w:tr w:rsidR="00124A26" w:rsidRPr="00AC3044" w14:paraId="27B027C9" w14:textId="77777777" w:rsidTr="002D3EBF">
        <w:trPr>
          <w:cantSplit/>
          <w:trHeight w:val="20"/>
          <w:tblHeader/>
        </w:trPr>
        <w:tc>
          <w:tcPr>
            <w:tcW w:w="851" w:type="dxa"/>
          </w:tcPr>
          <w:p w14:paraId="3CF46A64" w14:textId="77777777" w:rsidR="00124A26" w:rsidRPr="000F445E" w:rsidRDefault="00124A26" w:rsidP="002D3EBF">
            <w:pPr>
              <w:ind w:firstLine="0"/>
              <w:rPr>
                <w:rFonts w:eastAsia="SimSun"/>
                <w:lang w:val="en-US"/>
              </w:rPr>
            </w:pPr>
          </w:p>
        </w:tc>
        <w:tc>
          <w:tcPr>
            <w:tcW w:w="2268" w:type="dxa"/>
            <w:vAlign w:val="center"/>
          </w:tcPr>
          <w:p w14:paraId="07A264D5" w14:textId="77777777" w:rsidR="00124A26" w:rsidRPr="00AC3044" w:rsidRDefault="00124A26" w:rsidP="002D3EBF">
            <w:pPr>
              <w:ind w:firstLine="0"/>
              <w:rPr>
                <w:rFonts w:eastAsia="SimSun"/>
              </w:rPr>
            </w:pPr>
            <w:r w:rsidRPr="00AC3044">
              <w:rPr>
                <w:rFonts w:eastAsia="SimSun"/>
              </w:rPr>
              <w:t>Препарат</w:t>
            </w:r>
          </w:p>
        </w:tc>
        <w:tc>
          <w:tcPr>
            <w:tcW w:w="1276" w:type="dxa"/>
            <w:vAlign w:val="center"/>
          </w:tcPr>
          <w:p w14:paraId="7C03056F" w14:textId="77777777" w:rsidR="00124A26" w:rsidRPr="00AC3044" w:rsidRDefault="00124A26" w:rsidP="002D3EBF">
            <w:pPr>
              <w:ind w:firstLine="0"/>
              <w:rPr>
                <w:rFonts w:eastAsia="SimSun"/>
              </w:rPr>
            </w:pPr>
            <w:r w:rsidRPr="00AC3044">
              <w:rPr>
                <w:rFonts w:eastAsia="SimSun"/>
              </w:rPr>
              <w:t>Суточная доза</w:t>
            </w:r>
          </w:p>
        </w:tc>
        <w:tc>
          <w:tcPr>
            <w:tcW w:w="1417" w:type="dxa"/>
            <w:vAlign w:val="center"/>
          </w:tcPr>
          <w:p w14:paraId="1AF46D29" w14:textId="77777777" w:rsidR="00124A26" w:rsidRPr="00AC3044" w:rsidRDefault="00124A26" w:rsidP="002D3EBF">
            <w:pPr>
              <w:ind w:firstLine="0"/>
              <w:rPr>
                <w:rFonts w:eastAsia="SimSun"/>
              </w:rPr>
            </w:pPr>
            <w:r w:rsidRPr="00AC3044">
              <w:rPr>
                <w:rFonts w:eastAsia="SimSun"/>
              </w:rPr>
              <w:t>Курсовая доза</w:t>
            </w:r>
          </w:p>
        </w:tc>
        <w:tc>
          <w:tcPr>
            <w:tcW w:w="1843" w:type="dxa"/>
            <w:vAlign w:val="center"/>
          </w:tcPr>
          <w:p w14:paraId="2E0C7EDC" w14:textId="77777777" w:rsidR="00124A26" w:rsidRPr="00AC3044" w:rsidRDefault="00124A26" w:rsidP="002D3EBF">
            <w:pPr>
              <w:ind w:firstLine="0"/>
              <w:rPr>
                <w:rFonts w:eastAsia="SimSun"/>
              </w:rPr>
            </w:pPr>
            <w:r w:rsidRPr="00AC3044">
              <w:rPr>
                <w:rFonts w:eastAsia="SimSun"/>
              </w:rPr>
              <w:t>Дни введения</w:t>
            </w:r>
          </w:p>
        </w:tc>
        <w:tc>
          <w:tcPr>
            <w:tcW w:w="2835" w:type="dxa"/>
            <w:vAlign w:val="center"/>
          </w:tcPr>
          <w:p w14:paraId="306B83E8"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5162DDA3" w14:textId="77777777" w:rsidTr="002D3EBF">
        <w:trPr>
          <w:cantSplit/>
          <w:trHeight w:val="20"/>
        </w:trPr>
        <w:tc>
          <w:tcPr>
            <w:tcW w:w="851" w:type="dxa"/>
            <w:vMerge w:val="restart"/>
            <w:textDirection w:val="btLr"/>
            <w:vAlign w:val="center"/>
          </w:tcPr>
          <w:p w14:paraId="2BF30EF5" w14:textId="77777777" w:rsidR="00124A26" w:rsidRPr="00AC3044" w:rsidRDefault="00124A26" w:rsidP="002D3EBF">
            <w:pPr>
              <w:ind w:firstLine="0"/>
              <w:rPr>
                <w:rFonts w:eastAsia="SimSun"/>
              </w:rPr>
            </w:pPr>
            <w:r w:rsidRPr="00AC3044">
              <w:rPr>
                <w:rFonts w:eastAsia="SimSun"/>
              </w:rPr>
              <w:t>Кондиционирование</w:t>
            </w:r>
          </w:p>
        </w:tc>
        <w:tc>
          <w:tcPr>
            <w:tcW w:w="2268" w:type="dxa"/>
            <w:vAlign w:val="center"/>
          </w:tcPr>
          <w:p w14:paraId="269184AD" w14:textId="77777777" w:rsidR="00124A26" w:rsidRPr="00AC3044" w:rsidRDefault="00124A26" w:rsidP="002D3EBF">
            <w:pPr>
              <w:ind w:firstLine="0"/>
              <w:rPr>
                <w:rFonts w:eastAsia="SimSun"/>
              </w:rPr>
            </w:pPr>
            <w:r w:rsidRPr="00AC3044">
              <w:rPr>
                <w:rFonts w:eastAsia="SimSun"/>
              </w:rPr>
              <w:t>Треосульфан</w:t>
            </w:r>
          </w:p>
        </w:tc>
        <w:tc>
          <w:tcPr>
            <w:tcW w:w="1276" w:type="dxa"/>
            <w:vAlign w:val="center"/>
          </w:tcPr>
          <w:p w14:paraId="379BB91D" w14:textId="77777777" w:rsidR="00124A26" w:rsidRPr="00AC3044" w:rsidRDefault="00124A26" w:rsidP="002D3EBF">
            <w:pPr>
              <w:ind w:firstLine="0"/>
              <w:rPr>
                <w:rFonts w:eastAsia="SimSun"/>
              </w:rPr>
            </w:pPr>
            <w:r w:rsidRPr="00AC3044">
              <w:rPr>
                <w:rFonts w:eastAsia="SimSun"/>
              </w:rPr>
              <w:t>14 г/м</w:t>
            </w:r>
            <w:r w:rsidRPr="0074195F">
              <w:rPr>
                <w:rFonts w:eastAsia="SimSun"/>
                <w:vertAlign w:val="superscript"/>
              </w:rPr>
              <w:t>2</w:t>
            </w:r>
          </w:p>
        </w:tc>
        <w:tc>
          <w:tcPr>
            <w:tcW w:w="1417" w:type="dxa"/>
            <w:vAlign w:val="center"/>
          </w:tcPr>
          <w:p w14:paraId="6C196653" w14:textId="77777777" w:rsidR="00124A26" w:rsidRPr="00AC3044" w:rsidRDefault="00124A26" w:rsidP="002D3EBF">
            <w:pPr>
              <w:ind w:firstLine="0"/>
              <w:rPr>
                <w:rFonts w:eastAsia="SimSun"/>
              </w:rPr>
            </w:pPr>
            <w:r w:rsidRPr="00AC3044">
              <w:rPr>
                <w:rFonts w:eastAsia="SimSun"/>
              </w:rPr>
              <w:t>42 г/м</w:t>
            </w:r>
            <w:r w:rsidRPr="0074195F">
              <w:rPr>
                <w:rFonts w:eastAsia="SimSun"/>
                <w:vertAlign w:val="superscript"/>
              </w:rPr>
              <w:t>2</w:t>
            </w:r>
          </w:p>
        </w:tc>
        <w:tc>
          <w:tcPr>
            <w:tcW w:w="1843" w:type="dxa"/>
            <w:vAlign w:val="center"/>
          </w:tcPr>
          <w:p w14:paraId="2577615C" w14:textId="77777777" w:rsidR="00124A26" w:rsidRPr="00AC3044" w:rsidRDefault="00124A26" w:rsidP="002D3EBF">
            <w:pPr>
              <w:ind w:firstLine="0"/>
              <w:rPr>
                <w:rFonts w:eastAsia="SimSun"/>
              </w:rPr>
            </w:pPr>
            <w:r w:rsidRPr="00AC3044">
              <w:rPr>
                <w:rFonts w:eastAsia="SimSun"/>
              </w:rPr>
              <w:t>–5,–4,–3</w:t>
            </w:r>
          </w:p>
        </w:tc>
        <w:tc>
          <w:tcPr>
            <w:tcW w:w="2835" w:type="dxa"/>
            <w:vAlign w:val="center"/>
          </w:tcPr>
          <w:p w14:paraId="6FDECCC7" w14:textId="77777777" w:rsidR="00124A26" w:rsidRPr="00AC3044" w:rsidRDefault="00124A26" w:rsidP="002D3EBF">
            <w:pPr>
              <w:ind w:firstLine="0"/>
              <w:rPr>
                <w:rFonts w:eastAsia="SimSun"/>
              </w:rPr>
            </w:pPr>
            <w:r w:rsidRPr="00AC3044">
              <w:rPr>
                <w:rFonts w:eastAsia="SimSun"/>
              </w:rPr>
              <w:t>В/в, в течение 2 часов</w:t>
            </w:r>
          </w:p>
        </w:tc>
      </w:tr>
      <w:tr w:rsidR="00124A26" w:rsidRPr="00AC3044" w14:paraId="22897370" w14:textId="77777777" w:rsidTr="002D3EBF">
        <w:trPr>
          <w:cantSplit/>
          <w:trHeight w:val="457"/>
        </w:trPr>
        <w:tc>
          <w:tcPr>
            <w:tcW w:w="851" w:type="dxa"/>
            <w:vMerge/>
            <w:textDirection w:val="btLr"/>
            <w:vAlign w:val="center"/>
          </w:tcPr>
          <w:p w14:paraId="58DD8D0E" w14:textId="77777777" w:rsidR="00124A26" w:rsidRPr="00AC3044" w:rsidRDefault="00124A26" w:rsidP="002D3EBF">
            <w:pPr>
              <w:ind w:firstLine="0"/>
              <w:rPr>
                <w:rFonts w:eastAsia="SimSun"/>
              </w:rPr>
            </w:pPr>
          </w:p>
        </w:tc>
        <w:tc>
          <w:tcPr>
            <w:tcW w:w="2268" w:type="dxa"/>
            <w:vAlign w:val="center"/>
          </w:tcPr>
          <w:p w14:paraId="46793FEE" w14:textId="77777777" w:rsidR="00124A26" w:rsidRPr="00AC3044" w:rsidRDefault="00124A26" w:rsidP="002D3EBF">
            <w:pPr>
              <w:ind w:firstLine="0"/>
              <w:rPr>
                <w:rFonts w:eastAsia="SimSun"/>
              </w:rPr>
            </w:pPr>
            <w:r w:rsidRPr="00AC3044">
              <w:rPr>
                <w:rFonts w:eastAsia="SimSun"/>
              </w:rPr>
              <w:t>Тиотепа</w:t>
            </w:r>
          </w:p>
        </w:tc>
        <w:tc>
          <w:tcPr>
            <w:tcW w:w="1276" w:type="dxa"/>
            <w:vAlign w:val="center"/>
          </w:tcPr>
          <w:p w14:paraId="3496723E" w14:textId="77777777" w:rsidR="00124A26" w:rsidRPr="00AC3044" w:rsidRDefault="00124A26" w:rsidP="002D3EBF">
            <w:pPr>
              <w:ind w:firstLine="0"/>
              <w:rPr>
                <w:rFonts w:eastAsia="SimSun"/>
              </w:rPr>
            </w:pPr>
            <w:r w:rsidRPr="00AC3044">
              <w:rPr>
                <w:rFonts w:eastAsia="SimSun"/>
              </w:rPr>
              <w:t xml:space="preserve">5мг/кг </w:t>
            </w:r>
          </w:p>
        </w:tc>
        <w:tc>
          <w:tcPr>
            <w:tcW w:w="1417" w:type="dxa"/>
            <w:vAlign w:val="center"/>
          </w:tcPr>
          <w:p w14:paraId="0AA973C4" w14:textId="77777777" w:rsidR="00124A26" w:rsidRPr="00AC3044" w:rsidRDefault="00124A26" w:rsidP="002D3EBF">
            <w:pPr>
              <w:ind w:firstLine="0"/>
              <w:rPr>
                <w:rFonts w:eastAsia="SimSun"/>
              </w:rPr>
            </w:pPr>
            <w:r w:rsidRPr="00AC3044">
              <w:rPr>
                <w:rFonts w:eastAsia="SimSun"/>
              </w:rPr>
              <w:t>10 мг/кг</w:t>
            </w:r>
          </w:p>
        </w:tc>
        <w:tc>
          <w:tcPr>
            <w:tcW w:w="1843" w:type="dxa"/>
            <w:vAlign w:val="center"/>
          </w:tcPr>
          <w:p w14:paraId="21CAE55F" w14:textId="77777777" w:rsidR="00124A26" w:rsidRPr="00AC3044" w:rsidRDefault="00124A26" w:rsidP="002D3EBF">
            <w:pPr>
              <w:ind w:firstLine="0"/>
              <w:rPr>
                <w:rFonts w:eastAsia="SimSun"/>
              </w:rPr>
            </w:pPr>
            <w:r w:rsidRPr="00AC3044">
              <w:rPr>
                <w:rFonts w:eastAsia="SimSun"/>
              </w:rPr>
              <w:t>–6,–5</w:t>
            </w:r>
          </w:p>
        </w:tc>
        <w:tc>
          <w:tcPr>
            <w:tcW w:w="2835" w:type="dxa"/>
            <w:vAlign w:val="center"/>
          </w:tcPr>
          <w:p w14:paraId="7FCE25B4" w14:textId="77777777" w:rsidR="00124A26" w:rsidRPr="00AC3044" w:rsidRDefault="00124A26" w:rsidP="002D3EBF">
            <w:pPr>
              <w:ind w:firstLine="0"/>
              <w:rPr>
                <w:rFonts w:eastAsia="SimSun"/>
              </w:rPr>
            </w:pPr>
            <w:r w:rsidRPr="00AC3044">
              <w:rPr>
                <w:rFonts w:eastAsia="SimSun"/>
              </w:rPr>
              <w:t>В/в, в течение 2 часов</w:t>
            </w:r>
          </w:p>
        </w:tc>
      </w:tr>
      <w:tr w:rsidR="00124A26" w:rsidRPr="00AC3044" w14:paraId="4F6948F4" w14:textId="77777777" w:rsidTr="002D3EBF">
        <w:trPr>
          <w:cantSplit/>
          <w:trHeight w:val="262"/>
        </w:trPr>
        <w:tc>
          <w:tcPr>
            <w:tcW w:w="851" w:type="dxa"/>
            <w:vMerge/>
            <w:textDirection w:val="btLr"/>
            <w:vAlign w:val="center"/>
          </w:tcPr>
          <w:p w14:paraId="0E1E4BB5" w14:textId="77777777" w:rsidR="00124A26" w:rsidRPr="00AC3044" w:rsidRDefault="00124A26" w:rsidP="002D3EBF">
            <w:pPr>
              <w:ind w:firstLine="0"/>
              <w:rPr>
                <w:rFonts w:eastAsia="SimSun"/>
              </w:rPr>
            </w:pPr>
          </w:p>
        </w:tc>
        <w:tc>
          <w:tcPr>
            <w:tcW w:w="2268" w:type="dxa"/>
            <w:vAlign w:val="center"/>
          </w:tcPr>
          <w:p w14:paraId="3B4B2530" w14:textId="77777777" w:rsidR="00124A26" w:rsidRPr="00AC3044" w:rsidRDefault="00124A26" w:rsidP="002D3EBF">
            <w:pPr>
              <w:ind w:firstLine="0"/>
              <w:rPr>
                <w:rFonts w:eastAsia="SimSun"/>
              </w:rPr>
            </w:pPr>
            <w:r w:rsidRPr="00AC3044">
              <w:rPr>
                <w:rFonts w:eastAsia="SimSun"/>
              </w:rPr>
              <w:t>Флударабин</w:t>
            </w:r>
          </w:p>
        </w:tc>
        <w:tc>
          <w:tcPr>
            <w:tcW w:w="1276" w:type="dxa"/>
            <w:vAlign w:val="center"/>
          </w:tcPr>
          <w:p w14:paraId="4CDE7263" w14:textId="77777777" w:rsidR="00124A26" w:rsidRPr="00AC3044" w:rsidRDefault="00124A26" w:rsidP="002D3EBF">
            <w:pPr>
              <w:ind w:firstLine="0"/>
              <w:rPr>
                <w:rFonts w:eastAsia="SimSun"/>
              </w:rPr>
            </w:pPr>
            <w:r w:rsidRPr="00AC3044">
              <w:rPr>
                <w:rFonts w:eastAsia="SimSun"/>
              </w:rPr>
              <w:t>30 мг/м</w:t>
            </w:r>
            <w:r w:rsidRPr="0074195F">
              <w:rPr>
                <w:rFonts w:eastAsia="SimSun"/>
                <w:vertAlign w:val="superscript"/>
              </w:rPr>
              <w:t>2</w:t>
            </w:r>
          </w:p>
        </w:tc>
        <w:tc>
          <w:tcPr>
            <w:tcW w:w="1417" w:type="dxa"/>
            <w:vAlign w:val="center"/>
          </w:tcPr>
          <w:p w14:paraId="0CD7128A" w14:textId="77777777" w:rsidR="00124A26" w:rsidRPr="00AC3044" w:rsidRDefault="00124A26" w:rsidP="002D3EBF">
            <w:pPr>
              <w:ind w:firstLine="0"/>
              <w:rPr>
                <w:rFonts w:eastAsia="SimSun"/>
              </w:rPr>
            </w:pPr>
            <w:r w:rsidRPr="00AC3044">
              <w:rPr>
                <w:rFonts w:eastAsia="SimSun"/>
              </w:rPr>
              <w:t>150 мг/м</w:t>
            </w:r>
            <w:r w:rsidRPr="0074195F">
              <w:rPr>
                <w:rFonts w:eastAsia="SimSun"/>
                <w:vertAlign w:val="superscript"/>
              </w:rPr>
              <w:t>2</w:t>
            </w:r>
          </w:p>
        </w:tc>
        <w:tc>
          <w:tcPr>
            <w:tcW w:w="1843" w:type="dxa"/>
            <w:vAlign w:val="center"/>
          </w:tcPr>
          <w:p w14:paraId="31EEF20E" w14:textId="77777777" w:rsidR="00124A26" w:rsidRPr="00AC3044" w:rsidRDefault="00124A26" w:rsidP="002D3EBF">
            <w:pPr>
              <w:ind w:firstLine="0"/>
              <w:rPr>
                <w:rFonts w:eastAsia="SimSun"/>
              </w:rPr>
            </w:pPr>
            <w:r w:rsidRPr="00AC3044">
              <w:rPr>
                <w:rFonts w:eastAsia="SimSun"/>
              </w:rPr>
              <w:t>–6,–5,–4, –3, –2</w:t>
            </w:r>
          </w:p>
        </w:tc>
        <w:tc>
          <w:tcPr>
            <w:tcW w:w="2835" w:type="dxa"/>
            <w:vAlign w:val="center"/>
          </w:tcPr>
          <w:p w14:paraId="36C8C639"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0836B0BD" w14:textId="77777777" w:rsidTr="002D3EBF">
        <w:trPr>
          <w:cantSplit/>
          <w:trHeight w:val="388"/>
        </w:trPr>
        <w:tc>
          <w:tcPr>
            <w:tcW w:w="851" w:type="dxa"/>
            <w:vMerge w:val="restart"/>
            <w:textDirection w:val="btLr"/>
            <w:vAlign w:val="center"/>
          </w:tcPr>
          <w:p w14:paraId="1520A716" w14:textId="77777777" w:rsidR="00124A26" w:rsidRPr="00AC3044" w:rsidRDefault="00124A26" w:rsidP="002D3EBF">
            <w:pPr>
              <w:ind w:firstLine="0"/>
              <w:rPr>
                <w:rFonts w:eastAsia="SimSun"/>
              </w:rPr>
            </w:pPr>
            <w:r w:rsidRPr="00AC3044">
              <w:rPr>
                <w:rFonts w:eastAsia="SimSun"/>
              </w:rPr>
              <w:t>Профилактика РТПХ</w:t>
            </w:r>
          </w:p>
        </w:tc>
        <w:tc>
          <w:tcPr>
            <w:tcW w:w="2268" w:type="dxa"/>
            <w:vAlign w:val="center"/>
          </w:tcPr>
          <w:p w14:paraId="20B6C6CB" w14:textId="77777777" w:rsidR="00124A26" w:rsidRPr="00AC3044" w:rsidRDefault="00124A26" w:rsidP="002D3EBF">
            <w:pPr>
              <w:ind w:firstLine="0"/>
              <w:rPr>
                <w:rFonts w:eastAsia="SimSun"/>
              </w:rPr>
            </w:pPr>
            <w:r w:rsidRPr="00AC3044">
              <w:rPr>
                <w:rFonts w:eastAsia="SimSun"/>
              </w:rPr>
              <w:t>Ритуксимаб</w:t>
            </w:r>
          </w:p>
        </w:tc>
        <w:tc>
          <w:tcPr>
            <w:tcW w:w="1276" w:type="dxa"/>
            <w:vAlign w:val="center"/>
          </w:tcPr>
          <w:p w14:paraId="1EF51E62" w14:textId="77777777" w:rsidR="00124A26" w:rsidRPr="00AC3044" w:rsidRDefault="00124A26" w:rsidP="002D3EBF">
            <w:pPr>
              <w:ind w:firstLine="0"/>
              <w:rPr>
                <w:rFonts w:eastAsia="SimSun"/>
              </w:rPr>
            </w:pPr>
            <w:r w:rsidRPr="00AC3044">
              <w:rPr>
                <w:rFonts w:eastAsia="SimSun"/>
              </w:rPr>
              <w:t>100  мг/м</w:t>
            </w:r>
            <w:r w:rsidRPr="0074195F">
              <w:rPr>
                <w:rFonts w:eastAsia="SimSun"/>
                <w:vertAlign w:val="superscript"/>
              </w:rPr>
              <w:t>2</w:t>
            </w:r>
          </w:p>
        </w:tc>
        <w:tc>
          <w:tcPr>
            <w:tcW w:w="1417" w:type="dxa"/>
            <w:vAlign w:val="center"/>
          </w:tcPr>
          <w:p w14:paraId="3C9B57C4" w14:textId="77777777" w:rsidR="00124A26" w:rsidRPr="00AC3044" w:rsidRDefault="00124A26" w:rsidP="002D3EBF">
            <w:pPr>
              <w:ind w:firstLine="0"/>
              <w:rPr>
                <w:rFonts w:eastAsia="SimSun"/>
              </w:rPr>
            </w:pPr>
            <w:r w:rsidRPr="00AC3044">
              <w:rPr>
                <w:rFonts w:eastAsia="SimSun"/>
              </w:rPr>
              <w:t>100  мг/м</w:t>
            </w:r>
            <w:r w:rsidRPr="0074195F">
              <w:rPr>
                <w:rFonts w:eastAsia="SimSun"/>
                <w:vertAlign w:val="superscript"/>
              </w:rPr>
              <w:t>2</w:t>
            </w:r>
          </w:p>
        </w:tc>
        <w:tc>
          <w:tcPr>
            <w:tcW w:w="1843" w:type="dxa"/>
            <w:vAlign w:val="center"/>
          </w:tcPr>
          <w:p w14:paraId="2E82BC97" w14:textId="77777777" w:rsidR="00124A26" w:rsidRPr="00AC3044" w:rsidRDefault="00124A26" w:rsidP="002D3EBF">
            <w:pPr>
              <w:ind w:firstLine="0"/>
              <w:rPr>
                <w:rFonts w:eastAsia="SimSun"/>
              </w:rPr>
            </w:pPr>
            <w:r w:rsidRPr="00AC3044">
              <w:rPr>
                <w:rFonts w:eastAsia="SimSun"/>
              </w:rPr>
              <w:t>–1</w:t>
            </w:r>
          </w:p>
        </w:tc>
        <w:tc>
          <w:tcPr>
            <w:tcW w:w="2835" w:type="dxa"/>
            <w:vAlign w:val="center"/>
          </w:tcPr>
          <w:p w14:paraId="6889C425" w14:textId="77777777" w:rsidR="00124A26" w:rsidRPr="00AC3044" w:rsidRDefault="00124A26" w:rsidP="002D3EBF">
            <w:pPr>
              <w:ind w:firstLine="0"/>
              <w:rPr>
                <w:rFonts w:eastAsia="SimSun"/>
              </w:rPr>
            </w:pPr>
            <w:r w:rsidRPr="00AC3044">
              <w:rPr>
                <w:rFonts w:eastAsia="SimSun"/>
              </w:rPr>
              <w:t>В/в, в течение 2 часов</w:t>
            </w:r>
          </w:p>
        </w:tc>
      </w:tr>
      <w:tr w:rsidR="00124A26" w:rsidRPr="00AC3044" w14:paraId="51E5451D" w14:textId="77777777" w:rsidTr="002D3EBF">
        <w:trPr>
          <w:cantSplit/>
          <w:trHeight w:val="20"/>
        </w:trPr>
        <w:tc>
          <w:tcPr>
            <w:tcW w:w="851" w:type="dxa"/>
            <w:vMerge/>
            <w:textDirection w:val="btLr"/>
          </w:tcPr>
          <w:p w14:paraId="3526E85A" w14:textId="77777777" w:rsidR="00124A26" w:rsidRPr="00AC3044" w:rsidRDefault="00124A26" w:rsidP="002D3EBF">
            <w:pPr>
              <w:ind w:firstLine="0"/>
              <w:rPr>
                <w:rFonts w:eastAsia="SimSun"/>
              </w:rPr>
            </w:pPr>
          </w:p>
        </w:tc>
        <w:tc>
          <w:tcPr>
            <w:tcW w:w="2268" w:type="dxa"/>
            <w:vAlign w:val="center"/>
          </w:tcPr>
          <w:p w14:paraId="30AC862F" w14:textId="77777777" w:rsidR="00124A26" w:rsidRPr="00AC3044" w:rsidRDefault="00124A26" w:rsidP="002D3EBF">
            <w:pPr>
              <w:ind w:firstLine="0"/>
              <w:rPr>
                <w:rFonts w:eastAsia="SimSun"/>
              </w:rPr>
            </w:pPr>
            <w:r w:rsidRPr="00AC3044">
              <w:rPr>
                <w:rFonts w:eastAsia="SimSun"/>
              </w:rPr>
              <w:t>Тоцилизумаб</w:t>
            </w:r>
          </w:p>
        </w:tc>
        <w:tc>
          <w:tcPr>
            <w:tcW w:w="1276" w:type="dxa"/>
            <w:vAlign w:val="center"/>
          </w:tcPr>
          <w:p w14:paraId="65A48978" w14:textId="77777777" w:rsidR="00124A26" w:rsidRPr="00AC3044" w:rsidRDefault="00124A26" w:rsidP="002D3EBF">
            <w:pPr>
              <w:ind w:firstLine="0"/>
              <w:rPr>
                <w:rFonts w:eastAsia="SimSun"/>
              </w:rPr>
            </w:pPr>
            <w:r w:rsidRPr="00AC3044">
              <w:rPr>
                <w:rFonts w:eastAsia="SimSun"/>
              </w:rPr>
              <w:t>8 мг/кг</w:t>
            </w:r>
          </w:p>
        </w:tc>
        <w:tc>
          <w:tcPr>
            <w:tcW w:w="1417" w:type="dxa"/>
            <w:vAlign w:val="center"/>
          </w:tcPr>
          <w:p w14:paraId="743ABCF9" w14:textId="77777777" w:rsidR="00124A26" w:rsidRPr="00AC3044" w:rsidRDefault="00124A26" w:rsidP="002D3EBF">
            <w:pPr>
              <w:ind w:firstLine="0"/>
              <w:rPr>
                <w:rFonts w:eastAsia="SimSun"/>
              </w:rPr>
            </w:pPr>
            <w:r w:rsidRPr="00AC3044">
              <w:rPr>
                <w:rFonts w:eastAsia="SimSun"/>
              </w:rPr>
              <w:t>8 мг/кг</w:t>
            </w:r>
          </w:p>
        </w:tc>
        <w:tc>
          <w:tcPr>
            <w:tcW w:w="1843" w:type="dxa"/>
            <w:vAlign w:val="center"/>
          </w:tcPr>
          <w:p w14:paraId="0C708A61" w14:textId="77777777" w:rsidR="00124A26" w:rsidRPr="00AC3044" w:rsidRDefault="00124A26" w:rsidP="002D3EBF">
            <w:pPr>
              <w:ind w:firstLine="0"/>
              <w:rPr>
                <w:rFonts w:eastAsia="SimSun"/>
              </w:rPr>
            </w:pPr>
            <w:r w:rsidRPr="00AC3044">
              <w:rPr>
                <w:rFonts w:eastAsia="SimSun"/>
              </w:rPr>
              <w:t>–1, +21</w:t>
            </w:r>
          </w:p>
        </w:tc>
        <w:tc>
          <w:tcPr>
            <w:tcW w:w="2835" w:type="dxa"/>
            <w:vAlign w:val="center"/>
          </w:tcPr>
          <w:p w14:paraId="547970B2" w14:textId="77777777" w:rsidR="00124A26" w:rsidRPr="00AC3044" w:rsidRDefault="00124A26" w:rsidP="002D3EBF">
            <w:pPr>
              <w:ind w:firstLine="0"/>
              <w:rPr>
                <w:rFonts w:eastAsia="SimSun"/>
              </w:rPr>
            </w:pPr>
            <w:r w:rsidRPr="00AC3044">
              <w:rPr>
                <w:rFonts w:eastAsia="SimSun"/>
              </w:rPr>
              <w:t>В/в, в течение 1 часа</w:t>
            </w:r>
          </w:p>
        </w:tc>
      </w:tr>
      <w:tr w:rsidR="00124A26" w:rsidRPr="00AC3044" w14:paraId="408D00ED" w14:textId="77777777" w:rsidTr="002D3EBF">
        <w:trPr>
          <w:cantSplit/>
          <w:trHeight w:val="20"/>
        </w:trPr>
        <w:tc>
          <w:tcPr>
            <w:tcW w:w="851" w:type="dxa"/>
            <w:vMerge/>
            <w:textDirection w:val="btLr"/>
          </w:tcPr>
          <w:p w14:paraId="63994B51" w14:textId="77777777" w:rsidR="00124A26" w:rsidRPr="00AC3044" w:rsidRDefault="00124A26" w:rsidP="002D3EBF">
            <w:pPr>
              <w:ind w:firstLine="0"/>
              <w:rPr>
                <w:rFonts w:eastAsia="SimSun"/>
              </w:rPr>
            </w:pPr>
          </w:p>
        </w:tc>
        <w:tc>
          <w:tcPr>
            <w:tcW w:w="2268" w:type="dxa"/>
            <w:vAlign w:val="center"/>
          </w:tcPr>
          <w:p w14:paraId="0AEB3DD8" w14:textId="77777777" w:rsidR="00124A26" w:rsidRPr="00AC3044" w:rsidRDefault="00124A26" w:rsidP="002D3EBF">
            <w:pPr>
              <w:ind w:firstLine="0"/>
              <w:rPr>
                <w:rFonts w:eastAsia="SimSun"/>
              </w:rPr>
            </w:pPr>
            <w:r w:rsidRPr="00AC3044">
              <w:rPr>
                <w:rFonts w:eastAsia="SimSun"/>
              </w:rPr>
              <w:t>Абатацепт1</w:t>
            </w:r>
          </w:p>
        </w:tc>
        <w:tc>
          <w:tcPr>
            <w:tcW w:w="1276" w:type="dxa"/>
            <w:vAlign w:val="center"/>
          </w:tcPr>
          <w:p w14:paraId="7DB02BA8" w14:textId="77777777" w:rsidR="00124A26" w:rsidRPr="00AC3044" w:rsidRDefault="00124A26" w:rsidP="002D3EBF">
            <w:pPr>
              <w:ind w:firstLine="0"/>
              <w:rPr>
                <w:rFonts w:eastAsia="SimSun"/>
              </w:rPr>
            </w:pPr>
            <w:r w:rsidRPr="00AC3044">
              <w:rPr>
                <w:rFonts w:eastAsia="SimSun"/>
              </w:rPr>
              <w:t>10 мг/кг</w:t>
            </w:r>
          </w:p>
        </w:tc>
        <w:tc>
          <w:tcPr>
            <w:tcW w:w="1417" w:type="dxa"/>
            <w:vAlign w:val="center"/>
          </w:tcPr>
          <w:p w14:paraId="6A87C1F7" w14:textId="77777777" w:rsidR="00124A26" w:rsidRPr="00AC3044" w:rsidRDefault="00124A26" w:rsidP="002D3EBF">
            <w:pPr>
              <w:ind w:firstLine="0"/>
              <w:rPr>
                <w:rFonts w:eastAsia="SimSun"/>
              </w:rPr>
            </w:pPr>
            <w:r w:rsidRPr="00AC3044">
              <w:rPr>
                <w:rFonts w:eastAsia="SimSun"/>
              </w:rPr>
              <w:t>40 мг/кг</w:t>
            </w:r>
          </w:p>
        </w:tc>
        <w:tc>
          <w:tcPr>
            <w:tcW w:w="1843" w:type="dxa"/>
            <w:vAlign w:val="center"/>
          </w:tcPr>
          <w:p w14:paraId="75291D55" w14:textId="77777777" w:rsidR="00124A26" w:rsidRPr="00AC3044" w:rsidRDefault="00124A26" w:rsidP="002D3EBF">
            <w:pPr>
              <w:ind w:firstLine="0"/>
              <w:rPr>
                <w:rFonts w:eastAsia="SimSun"/>
              </w:rPr>
            </w:pPr>
            <w:r w:rsidRPr="00AC3044">
              <w:rPr>
                <w:rFonts w:eastAsia="SimSun"/>
              </w:rPr>
              <w:t>–1,+7,+14,+28</w:t>
            </w:r>
          </w:p>
        </w:tc>
        <w:tc>
          <w:tcPr>
            <w:tcW w:w="2835" w:type="dxa"/>
            <w:vAlign w:val="center"/>
          </w:tcPr>
          <w:p w14:paraId="455748B4" w14:textId="77777777" w:rsidR="00124A26" w:rsidRPr="00AC3044" w:rsidRDefault="00124A26" w:rsidP="002D3EBF">
            <w:pPr>
              <w:ind w:firstLine="0"/>
              <w:rPr>
                <w:rFonts w:eastAsia="SimSun"/>
              </w:rPr>
            </w:pPr>
            <w:r w:rsidRPr="00AC3044">
              <w:rPr>
                <w:rFonts w:eastAsia="SimSun"/>
              </w:rPr>
              <w:t>В/в, в течение 30 мин</w:t>
            </w:r>
          </w:p>
        </w:tc>
      </w:tr>
      <w:tr w:rsidR="00124A26" w:rsidRPr="00AC3044" w14:paraId="0A1C7BFA" w14:textId="77777777" w:rsidTr="002D3EBF">
        <w:trPr>
          <w:cantSplit/>
          <w:trHeight w:val="1482"/>
        </w:trPr>
        <w:tc>
          <w:tcPr>
            <w:tcW w:w="851" w:type="dxa"/>
            <w:textDirection w:val="btLr"/>
            <w:vAlign w:val="center"/>
          </w:tcPr>
          <w:p w14:paraId="7C694E46" w14:textId="77777777" w:rsidR="00124A26" w:rsidRPr="00AC3044" w:rsidRDefault="00124A26" w:rsidP="002D3EBF">
            <w:pPr>
              <w:ind w:firstLine="0"/>
              <w:rPr>
                <w:rFonts w:eastAsia="SimSun"/>
              </w:rPr>
            </w:pPr>
            <w:r w:rsidRPr="00AC3044">
              <w:rPr>
                <w:rFonts w:eastAsia="SimSun"/>
              </w:rPr>
              <w:t xml:space="preserve">Ex vivo манипуляция с трансплантатом </w:t>
            </w:r>
          </w:p>
        </w:tc>
        <w:tc>
          <w:tcPr>
            <w:tcW w:w="2268" w:type="dxa"/>
            <w:vAlign w:val="center"/>
          </w:tcPr>
          <w:p w14:paraId="6EECCCE3" w14:textId="77777777" w:rsidR="00124A26" w:rsidRPr="00AC3044" w:rsidRDefault="00124A26" w:rsidP="002D3EBF">
            <w:pPr>
              <w:ind w:firstLine="0"/>
              <w:rPr>
                <w:rFonts w:eastAsia="SimSun"/>
              </w:rPr>
            </w:pPr>
            <w:r w:rsidRPr="00AC3044">
              <w:rPr>
                <w:rFonts w:eastAsia="SimSun"/>
              </w:rPr>
              <w:t>Комплексная услуга TCRαβ/CD19 деплеция</w:t>
            </w:r>
          </w:p>
        </w:tc>
        <w:tc>
          <w:tcPr>
            <w:tcW w:w="1276" w:type="dxa"/>
            <w:vAlign w:val="center"/>
          </w:tcPr>
          <w:p w14:paraId="0D7D0B3E" w14:textId="77777777" w:rsidR="00124A26" w:rsidRPr="00AC3044" w:rsidRDefault="00124A26" w:rsidP="002D3EBF">
            <w:pPr>
              <w:ind w:firstLine="0"/>
              <w:rPr>
                <w:rFonts w:eastAsia="SimSun"/>
              </w:rPr>
            </w:pPr>
            <w:r w:rsidRPr="00AC3044">
              <w:rPr>
                <w:rFonts w:eastAsia="SimSun"/>
              </w:rPr>
              <w:t>–</w:t>
            </w:r>
          </w:p>
        </w:tc>
        <w:tc>
          <w:tcPr>
            <w:tcW w:w="1417" w:type="dxa"/>
            <w:vAlign w:val="center"/>
          </w:tcPr>
          <w:p w14:paraId="1124F6DC" w14:textId="77777777" w:rsidR="00124A26" w:rsidRPr="00AC3044" w:rsidRDefault="00124A26" w:rsidP="002D3EBF">
            <w:pPr>
              <w:ind w:firstLine="0"/>
              <w:rPr>
                <w:rFonts w:eastAsia="SimSun"/>
              </w:rPr>
            </w:pPr>
            <w:r w:rsidRPr="00AC3044">
              <w:rPr>
                <w:rFonts w:eastAsia="SimSun"/>
              </w:rPr>
              <w:t>–</w:t>
            </w:r>
          </w:p>
        </w:tc>
        <w:tc>
          <w:tcPr>
            <w:tcW w:w="1843" w:type="dxa"/>
            <w:vAlign w:val="center"/>
          </w:tcPr>
          <w:p w14:paraId="521F0547" w14:textId="77777777" w:rsidR="00124A26" w:rsidRPr="00AC3044" w:rsidRDefault="00124A26" w:rsidP="002D3EBF">
            <w:pPr>
              <w:ind w:firstLine="0"/>
              <w:rPr>
                <w:rFonts w:eastAsia="SimSun"/>
              </w:rPr>
            </w:pPr>
            <w:r w:rsidRPr="00AC3044">
              <w:rPr>
                <w:rFonts w:eastAsia="SimSun"/>
              </w:rPr>
              <w:t>0</w:t>
            </w:r>
          </w:p>
        </w:tc>
        <w:tc>
          <w:tcPr>
            <w:tcW w:w="2835" w:type="dxa"/>
            <w:vAlign w:val="center"/>
          </w:tcPr>
          <w:p w14:paraId="0B1A46D8" w14:textId="77777777" w:rsidR="00124A26" w:rsidRPr="00AC3044" w:rsidRDefault="00124A26" w:rsidP="002D3EBF">
            <w:pPr>
              <w:ind w:firstLine="0"/>
              <w:rPr>
                <w:rFonts w:eastAsia="SimSun"/>
              </w:rPr>
            </w:pPr>
            <w:r w:rsidRPr="00AC3044">
              <w:rPr>
                <w:rFonts w:eastAsia="SimSun"/>
              </w:rPr>
              <w:t>-</w:t>
            </w:r>
          </w:p>
        </w:tc>
      </w:tr>
      <w:tr w:rsidR="00124A26" w:rsidRPr="00AC3044" w14:paraId="6A5A3095" w14:textId="77777777" w:rsidTr="002D3EBF">
        <w:trPr>
          <w:trHeight w:val="20"/>
        </w:trPr>
        <w:tc>
          <w:tcPr>
            <w:tcW w:w="10490" w:type="dxa"/>
            <w:gridSpan w:val="6"/>
          </w:tcPr>
          <w:p w14:paraId="01CCDF72" w14:textId="77777777" w:rsidR="00124A26" w:rsidRPr="00AC3044" w:rsidRDefault="00124A26" w:rsidP="002D3EBF">
            <w:pPr>
              <w:ind w:firstLine="0"/>
              <w:rPr>
                <w:rFonts w:eastAsia="SimSun"/>
              </w:rPr>
            </w:pPr>
            <w:r w:rsidRPr="00AC3044">
              <w:rPr>
                <w:rFonts w:eastAsia="SimSun"/>
              </w:rPr>
              <w:t>1 Раствор абатацепта нельзя использовать с оборудованием, имеющим в своём составе силикон.  Содержимое одного флакона растворяют в 10 мл воды для инъекций, используя одноразовый бессиликоновый шприц, имеющийся в комплекте с препаратом. Полученный концентрат немедленно разбавляют 0.9% раствором натрия хлорида для инъекций для получения инфузионного раствора, который немедленно вводится в/в за 30мин через инфузионную систему.  Абатацепт нельзя вводить одновременно с другими препаратами через одну инфузионную систему.</w:t>
            </w:r>
          </w:p>
          <w:p w14:paraId="2BA4BFAE" w14:textId="77777777" w:rsidR="00124A26" w:rsidRPr="00AC3044" w:rsidRDefault="00124A26" w:rsidP="002D3EBF">
            <w:pPr>
              <w:ind w:firstLine="0"/>
              <w:rPr>
                <w:rFonts w:eastAsia="SimSun"/>
              </w:rPr>
            </w:pPr>
          </w:p>
        </w:tc>
      </w:tr>
    </w:tbl>
    <w:p w14:paraId="2106A1B7" w14:textId="77777777" w:rsidR="00124A26" w:rsidRPr="00C07B2E" w:rsidRDefault="00124A26" w:rsidP="00124A26">
      <w:pPr>
        <w:rPr>
          <w:rFonts w:eastAsia="SimSun"/>
        </w:rPr>
      </w:pPr>
    </w:p>
    <w:p w14:paraId="1676BE4D" w14:textId="77777777" w:rsidR="00124A26" w:rsidRPr="007A1AC4" w:rsidRDefault="00124A26" w:rsidP="00124A26">
      <w:pPr>
        <w:rPr>
          <w:rFonts w:eastAsia="SimSun"/>
          <w:lang w:val="en-US"/>
        </w:rPr>
      </w:pPr>
      <w:bookmarkStart w:id="280" w:name="_Toc44401244"/>
      <w:r>
        <w:rPr>
          <w:rFonts w:eastAsia="SimSun"/>
        </w:rPr>
        <w:t>Таблица</w:t>
      </w:r>
      <w:r w:rsidRPr="007A1AC4">
        <w:rPr>
          <w:rFonts w:eastAsia="SimSun"/>
          <w:lang w:val="en-US"/>
        </w:rPr>
        <w:t xml:space="preserve"> 5.4.2.  – Flu150+Treo42+Mel140 / TCR</w:t>
      </w:r>
      <w:r w:rsidRPr="00C07B2E">
        <w:rPr>
          <w:rFonts w:eastAsia="SimSun"/>
        </w:rPr>
        <w:t>αβ</w:t>
      </w:r>
      <w:r w:rsidRPr="007A1AC4">
        <w:rPr>
          <w:rFonts w:eastAsia="SimSun"/>
          <w:lang w:val="en-US"/>
        </w:rPr>
        <w:t>-CD19</w:t>
      </w:r>
      <w:bookmarkEnd w:id="280"/>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410"/>
        <w:gridCol w:w="1276"/>
        <w:gridCol w:w="1417"/>
        <w:gridCol w:w="1843"/>
        <w:gridCol w:w="2835"/>
      </w:tblGrid>
      <w:tr w:rsidR="00124A26" w:rsidRPr="00AC3044" w14:paraId="7DDA3F49" w14:textId="77777777" w:rsidTr="002D3EBF">
        <w:trPr>
          <w:cantSplit/>
          <w:trHeight w:val="20"/>
          <w:tblHeader/>
        </w:trPr>
        <w:tc>
          <w:tcPr>
            <w:tcW w:w="709" w:type="dxa"/>
          </w:tcPr>
          <w:p w14:paraId="646F5B20" w14:textId="77777777" w:rsidR="00124A26" w:rsidRPr="007A1AC4" w:rsidRDefault="00124A26" w:rsidP="002D3EBF">
            <w:pPr>
              <w:ind w:firstLine="0"/>
              <w:rPr>
                <w:rFonts w:eastAsia="SimSun"/>
                <w:lang w:val="en-US"/>
              </w:rPr>
            </w:pPr>
          </w:p>
        </w:tc>
        <w:tc>
          <w:tcPr>
            <w:tcW w:w="2410" w:type="dxa"/>
            <w:vAlign w:val="center"/>
          </w:tcPr>
          <w:p w14:paraId="1F07BB96" w14:textId="77777777" w:rsidR="00124A26" w:rsidRPr="00AC3044" w:rsidRDefault="00124A26" w:rsidP="002D3EBF">
            <w:pPr>
              <w:ind w:firstLine="0"/>
              <w:rPr>
                <w:rFonts w:eastAsia="SimSun"/>
              </w:rPr>
            </w:pPr>
            <w:r w:rsidRPr="00AC3044">
              <w:rPr>
                <w:rFonts w:eastAsia="SimSun"/>
              </w:rPr>
              <w:t>Препарат</w:t>
            </w:r>
          </w:p>
        </w:tc>
        <w:tc>
          <w:tcPr>
            <w:tcW w:w="1276" w:type="dxa"/>
            <w:vAlign w:val="center"/>
          </w:tcPr>
          <w:p w14:paraId="06B41E9F" w14:textId="77777777" w:rsidR="00124A26" w:rsidRPr="00AC3044" w:rsidRDefault="00124A26" w:rsidP="002D3EBF">
            <w:pPr>
              <w:ind w:firstLine="0"/>
              <w:rPr>
                <w:rFonts w:eastAsia="SimSun"/>
              </w:rPr>
            </w:pPr>
            <w:r w:rsidRPr="00AC3044">
              <w:rPr>
                <w:rFonts w:eastAsia="SimSun"/>
              </w:rPr>
              <w:t>Суточная доза</w:t>
            </w:r>
          </w:p>
        </w:tc>
        <w:tc>
          <w:tcPr>
            <w:tcW w:w="1417" w:type="dxa"/>
            <w:vAlign w:val="center"/>
          </w:tcPr>
          <w:p w14:paraId="470764EC" w14:textId="77777777" w:rsidR="00124A26" w:rsidRPr="00AC3044" w:rsidRDefault="00124A26" w:rsidP="002D3EBF">
            <w:pPr>
              <w:ind w:firstLine="0"/>
              <w:rPr>
                <w:rFonts w:eastAsia="SimSun"/>
              </w:rPr>
            </w:pPr>
            <w:r w:rsidRPr="00AC3044">
              <w:rPr>
                <w:rFonts w:eastAsia="SimSun"/>
              </w:rPr>
              <w:t>Курсовая доза</w:t>
            </w:r>
          </w:p>
        </w:tc>
        <w:tc>
          <w:tcPr>
            <w:tcW w:w="1843" w:type="dxa"/>
            <w:vAlign w:val="center"/>
          </w:tcPr>
          <w:p w14:paraId="01B77D31" w14:textId="77777777" w:rsidR="00124A26" w:rsidRPr="00AC3044" w:rsidRDefault="00124A26" w:rsidP="002D3EBF">
            <w:pPr>
              <w:ind w:firstLine="0"/>
              <w:rPr>
                <w:rFonts w:eastAsia="SimSun"/>
              </w:rPr>
            </w:pPr>
            <w:r w:rsidRPr="00AC3044">
              <w:rPr>
                <w:rFonts w:eastAsia="SimSun"/>
              </w:rPr>
              <w:t>Дни введения</w:t>
            </w:r>
          </w:p>
        </w:tc>
        <w:tc>
          <w:tcPr>
            <w:tcW w:w="2835" w:type="dxa"/>
            <w:vAlign w:val="center"/>
          </w:tcPr>
          <w:p w14:paraId="774A70E7"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6C35BAE7" w14:textId="77777777" w:rsidTr="002D3EBF">
        <w:trPr>
          <w:cantSplit/>
          <w:trHeight w:val="20"/>
        </w:trPr>
        <w:tc>
          <w:tcPr>
            <w:tcW w:w="709" w:type="dxa"/>
            <w:vMerge w:val="restart"/>
            <w:textDirection w:val="btLr"/>
            <w:vAlign w:val="center"/>
          </w:tcPr>
          <w:p w14:paraId="38BABD8B" w14:textId="77777777" w:rsidR="00124A26" w:rsidRPr="00AC3044" w:rsidRDefault="00124A26" w:rsidP="002D3EBF">
            <w:pPr>
              <w:ind w:firstLine="0"/>
              <w:rPr>
                <w:rFonts w:eastAsia="SimSun"/>
              </w:rPr>
            </w:pPr>
            <w:r w:rsidRPr="00AC3044">
              <w:rPr>
                <w:rFonts w:eastAsia="SimSun"/>
              </w:rPr>
              <w:t>Кондиционирование</w:t>
            </w:r>
          </w:p>
        </w:tc>
        <w:tc>
          <w:tcPr>
            <w:tcW w:w="2410" w:type="dxa"/>
          </w:tcPr>
          <w:p w14:paraId="6F06583B" w14:textId="77777777" w:rsidR="00124A26" w:rsidRPr="00AC3044" w:rsidRDefault="00124A26" w:rsidP="002D3EBF">
            <w:pPr>
              <w:ind w:firstLine="0"/>
              <w:rPr>
                <w:rFonts w:eastAsia="SimSun"/>
              </w:rPr>
            </w:pPr>
            <w:r w:rsidRPr="00AC3044">
              <w:rPr>
                <w:rFonts w:eastAsia="SimSun"/>
              </w:rPr>
              <w:t>Треосульфан</w:t>
            </w:r>
          </w:p>
        </w:tc>
        <w:tc>
          <w:tcPr>
            <w:tcW w:w="1276" w:type="dxa"/>
            <w:vAlign w:val="center"/>
          </w:tcPr>
          <w:p w14:paraId="6173CE5C" w14:textId="77777777" w:rsidR="00124A26" w:rsidRPr="00AC3044" w:rsidRDefault="00124A26" w:rsidP="002D3EBF">
            <w:pPr>
              <w:ind w:firstLine="0"/>
              <w:rPr>
                <w:rFonts w:eastAsia="SimSun"/>
              </w:rPr>
            </w:pPr>
            <w:r w:rsidRPr="00AC3044">
              <w:rPr>
                <w:rFonts w:eastAsia="SimSun"/>
              </w:rPr>
              <w:t>14 г/м</w:t>
            </w:r>
            <w:r w:rsidRPr="0074195F">
              <w:rPr>
                <w:rFonts w:eastAsia="SimSun"/>
                <w:vertAlign w:val="superscript"/>
              </w:rPr>
              <w:t>2</w:t>
            </w:r>
          </w:p>
        </w:tc>
        <w:tc>
          <w:tcPr>
            <w:tcW w:w="1417" w:type="dxa"/>
            <w:vAlign w:val="center"/>
          </w:tcPr>
          <w:p w14:paraId="32C0943C" w14:textId="77777777" w:rsidR="00124A26" w:rsidRPr="00AC3044" w:rsidRDefault="00124A26" w:rsidP="002D3EBF">
            <w:pPr>
              <w:ind w:firstLine="0"/>
              <w:rPr>
                <w:rFonts w:eastAsia="SimSun"/>
              </w:rPr>
            </w:pPr>
            <w:r w:rsidRPr="00AC3044">
              <w:rPr>
                <w:rFonts w:eastAsia="SimSun"/>
              </w:rPr>
              <w:t>42 г/м</w:t>
            </w:r>
            <w:r w:rsidRPr="0074195F">
              <w:rPr>
                <w:rFonts w:eastAsia="SimSun"/>
                <w:vertAlign w:val="superscript"/>
              </w:rPr>
              <w:t>2</w:t>
            </w:r>
          </w:p>
        </w:tc>
        <w:tc>
          <w:tcPr>
            <w:tcW w:w="1843" w:type="dxa"/>
            <w:vAlign w:val="center"/>
          </w:tcPr>
          <w:p w14:paraId="2103A275" w14:textId="77777777" w:rsidR="00124A26" w:rsidRPr="00AC3044" w:rsidRDefault="00124A26" w:rsidP="002D3EBF">
            <w:pPr>
              <w:ind w:firstLine="0"/>
              <w:rPr>
                <w:rFonts w:eastAsia="SimSun"/>
              </w:rPr>
            </w:pPr>
            <w:r w:rsidRPr="00AC3044">
              <w:rPr>
                <w:rFonts w:eastAsia="SimSun"/>
              </w:rPr>
              <w:t>–5,–4,–3</w:t>
            </w:r>
          </w:p>
        </w:tc>
        <w:tc>
          <w:tcPr>
            <w:tcW w:w="2835" w:type="dxa"/>
            <w:vAlign w:val="center"/>
          </w:tcPr>
          <w:p w14:paraId="237C221F" w14:textId="77777777" w:rsidR="00124A26" w:rsidRPr="00AC3044" w:rsidRDefault="00124A26" w:rsidP="002D3EBF">
            <w:pPr>
              <w:ind w:firstLine="0"/>
              <w:rPr>
                <w:rFonts w:eastAsia="SimSun"/>
              </w:rPr>
            </w:pPr>
            <w:r w:rsidRPr="00AC3044">
              <w:rPr>
                <w:rFonts w:eastAsia="SimSun"/>
              </w:rPr>
              <w:t>В/в, в течение 2 часов</w:t>
            </w:r>
          </w:p>
        </w:tc>
      </w:tr>
      <w:tr w:rsidR="00124A26" w:rsidRPr="00AC3044" w14:paraId="22F217BC" w14:textId="77777777" w:rsidTr="002D3EBF">
        <w:trPr>
          <w:cantSplit/>
          <w:trHeight w:val="785"/>
        </w:trPr>
        <w:tc>
          <w:tcPr>
            <w:tcW w:w="709" w:type="dxa"/>
            <w:vMerge/>
            <w:textDirection w:val="btLr"/>
            <w:vAlign w:val="center"/>
          </w:tcPr>
          <w:p w14:paraId="6450203C" w14:textId="77777777" w:rsidR="00124A26" w:rsidRPr="00AC3044" w:rsidRDefault="00124A26" w:rsidP="002D3EBF">
            <w:pPr>
              <w:ind w:firstLine="0"/>
              <w:rPr>
                <w:rFonts w:eastAsia="SimSun"/>
              </w:rPr>
            </w:pPr>
          </w:p>
        </w:tc>
        <w:tc>
          <w:tcPr>
            <w:tcW w:w="2410" w:type="dxa"/>
          </w:tcPr>
          <w:p w14:paraId="70F1826C" w14:textId="77777777" w:rsidR="00124A26" w:rsidRPr="00AC3044" w:rsidRDefault="00124A26" w:rsidP="002D3EBF">
            <w:pPr>
              <w:ind w:firstLine="0"/>
              <w:rPr>
                <w:rFonts w:eastAsia="SimSun"/>
              </w:rPr>
            </w:pPr>
            <w:r w:rsidRPr="00AC3044">
              <w:rPr>
                <w:rFonts w:eastAsia="SimSun"/>
              </w:rPr>
              <w:t>Мелфалан</w:t>
            </w:r>
          </w:p>
        </w:tc>
        <w:tc>
          <w:tcPr>
            <w:tcW w:w="1276" w:type="dxa"/>
          </w:tcPr>
          <w:p w14:paraId="7C256743" w14:textId="77777777" w:rsidR="00124A26" w:rsidRPr="00AC3044" w:rsidRDefault="00124A26" w:rsidP="002D3EBF">
            <w:pPr>
              <w:ind w:firstLine="0"/>
              <w:rPr>
                <w:rFonts w:eastAsia="SimSun"/>
              </w:rPr>
            </w:pPr>
            <w:r w:rsidRPr="00AC3044">
              <w:rPr>
                <w:rFonts w:eastAsia="SimSun"/>
              </w:rPr>
              <w:t>70 мг/м</w:t>
            </w:r>
            <w:r w:rsidRPr="0074195F">
              <w:rPr>
                <w:rFonts w:eastAsia="SimSun"/>
                <w:vertAlign w:val="superscript"/>
              </w:rPr>
              <w:t>2</w:t>
            </w:r>
          </w:p>
        </w:tc>
        <w:tc>
          <w:tcPr>
            <w:tcW w:w="1417" w:type="dxa"/>
          </w:tcPr>
          <w:p w14:paraId="41F76343" w14:textId="77777777" w:rsidR="00124A26" w:rsidRPr="00AC3044" w:rsidRDefault="00124A26" w:rsidP="002D3EBF">
            <w:pPr>
              <w:ind w:firstLine="0"/>
              <w:rPr>
                <w:rFonts w:eastAsia="SimSun"/>
              </w:rPr>
            </w:pPr>
            <w:r w:rsidRPr="00AC3044">
              <w:rPr>
                <w:rFonts w:eastAsia="SimSun"/>
              </w:rPr>
              <w:t>140 мг/м</w:t>
            </w:r>
            <w:r w:rsidRPr="0074195F">
              <w:rPr>
                <w:rFonts w:eastAsia="SimSun"/>
                <w:vertAlign w:val="superscript"/>
              </w:rPr>
              <w:t>2</w:t>
            </w:r>
          </w:p>
        </w:tc>
        <w:tc>
          <w:tcPr>
            <w:tcW w:w="1843" w:type="dxa"/>
          </w:tcPr>
          <w:p w14:paraId="4AA7C6CC" w14:textId="77777777" w:rsidR="00124A26" w:rsidRPr="00AC3044" w:rsidRDefault="00124A26" w:rsidP="002D3EBF">
            <w:pPr>
              <w:ind w:firstLine="0"/>
              <w:rPr>
                <w:rFonts w:eastAsia="SimSun"/>
              </w:rPr>
            </w:pPr>
            <w:r w:rsidRPr="00AC3044">
              <w:rPr>
                <w:rFonts w:eastAsia="SimSun"/>
              </w:rPr>
              <w:t>–3, –2</w:t>
            </w:r>
          </w:p>
        </w:tc>
        <w:tc>
          <w:tcPr>
            <w:tcW w:w="2835" w:type="dxa"/>
          </w:tcPr>
          <w:p w14:paraId="21826890" w14:textId="77777777" w:rsidR="00124A26" w:rsidRPr="00AC3044" w:rsidRDefault="00124A26" w:rsidP="002D3EBF">
            <w:pPr>
              <w:ind w:firstLine="0"/>
              <w:rPr>
                <w:rFonts w:eastAsia="SimSun"/>
              </w:rPr>
            </w:pPr>
            <w:r w:rsidRPr="00AC3044">
              <w:rPr>
                <w:rFonts w:eastAsia="SimSun"/>
              </w:rPr>
              <w:t>В/в, в течение 1 часа, через 2 часа после введения флударабина</w:t>
            </w:r>
          </w:p>
        </w:tc>
      </w:tr>
      <w:tr w:rsidR="00124A26" w:rsidRPr="00AC3044" w14:paraId="2C6ED2B8" w14:textId="77777777" w:rsidTr="002D3EBF">
        <w:trPr>
          <w:cantSplit/>
          <w:trHeight w:val="56"/>
        </w:trPr>
        <w:tc>
          <w:tcPr>
            <w:tcW w:w="709" w:type="dxa"/>
            <w:vMerge/>
            <w:textDirection w:val="btLr"/>
            <w:vAlign w:val="center"/>
          </w:tcPr>
          <w:p w14:paraId="3C853C59" w14:textId="77777777" w:rsidR="00124A26" w:rsidRPr="00AC3044" w:rsidRDefault="00124A26" w:rsidP="002D3EBF">
            <w:pPr>
              <w:ind w:firstLine="0"/>
              <w:rPr>
                <w:rFonts w:eastAsia="SimSun"/>
              </w:rPr>
            </w:pPr>
          </w:p>
        </w:tc>
        <w:tc>
          <w:tcPr>
            <w:tcW w:w="2410" w:type="dxa"/>
            <w:vAlign w:val="center"/>
          </w:tcPr>
          <w:p w14:paraId="5E68ECE2" w14:textId="77777777" w:rsidR="00124A26" w:rsidRPr="00AC3044" w:rsidRDefault="00124A26" w:rsidP="002D3EBF">
            <w:pPr>
              <w:ind w:firstLine="0"/>
              <w:rPr>
                <w:rFonts w:eastAsia="SimSun"/>
              </w:rPr>
            </w:pPr>
            <w:r w:rsidRPr="00AC3044">
              <w:rPr>
                <w:rFonts w:eastAsia="SimSun"/>
              </w:rPr>
              <w:t>Флударабин</w:t>
            </w:r>
          </w:p>
        </w:tc>
        <w:tc>
          <w:tcPr>
            <w:tcW w:w="1276" w:type="dxa"/>
            <w:vAlign w:val="center"/>
          </w:tcPr>
          <w:p w14:paraId="7A549009" w14:textId="77777777" w:rsidR="00124A26" w:rsidRPr="00AC3044" w:rsidRDefault="00124A26" w:rsidP="002D3EBF">
            <w:pPr>
              <w:ind w:firstLine="0"/>
              <w:rPr>
                <w:rFonts w:eastAsia="SimSun"/>
              </w:rPr>
            </w:pPr>
            <w:r w:rsidRPr="00AC3044">
              <w:rPr>
                <w:rFonts w:eastAsia="SimSun"/>
              </w:rPr>
              <w:t>30 мг/м</w:t>
            </w:r>
            <w:r w:rsidRPr="0074195F">
              <w:rPr>
                <w:rFonts w:eastAsia="SimSun"/>
                <w:vertAlign w:val="superscript"/>
              </w:rPr>
              <w:t>2</w:t>
            </w:r>
          </w:p>
        </w:tc>
        <w:tc>
          <w:tcPr>
            <w:tcW w:w="1417" w:type="dxa"/>
            <w:vAlign w:val="center"/>
          </w:tcPr>
          <w:p w14:paraId="1926A5BA" w14:textId="77777777" w:rsidR="00124A26" w:rsidRPr="00AC3044" w:rsidRDefault="00124A26" w:rsidP="002D3EBF">
            <w:pPr>
              <w:ind w:firstLine="0"/>
              <w:rPr>
                <w:rFonts w:eastAsia="SimSun"/>
              </w:rPr>
            </w:pPr>
            <w:r w:rsidRPr="00AC3044">
              <w:rPr>
                <w:rFonts w:eastAsia="SimSun"/>
              </w:rPr>
              <w:t>150 мг/м</w:t>
            </w:r>
            <w:r w:rsidRPr="0074195F">
              <w:rPr>
                <w:rFonts w:eastAsia="SimSun"/>
                <w:vertAlign w:val="superscript"/>
              </w:rPr>
              <w:t>2</w:t>
            </w:r>
          </w:p>
        </w:tc>
        <w:tc>
          <w:tcPr>
            <w:tcW w:w="1843" w:type="dxa"/>
            <w:vAlign w:val="center"/>
          </w:tcPr>
          <w:p w14:paraId="7AB09F2B" w14:textId="77777777" w:rsidR="00124A26" w:rsidRPr="00AC3044" w:rsidRDefault="00124A26" w:rsidP="002D3EBF">
            <w:pPr>
              <w:ind w:firstLine="0"/>
              <w:rPr>
                <w:rFonts w:eastAsia="SimSun"/>
              </w:rPr>
            </w:pPr>
            <w:r w:rsidRPr="00AC3044">
              <w:rPr>
                <w:rFonts w:eastAsia="SimSun"/>
              </w:rPr>
              <w:t>–6,–5,–4, –3, –2</w:t>
            </w:r>
          </w:p>
        </w:tc>
        <w:tc>
          <w:tcPr>
            <w:tcW w:w="2835" w:type="dxa"/>
            <w:vAlign w:val="center"/>
          </w:tcPr>
          <w:p w14:paraId="64D72337"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7B0912B5" w14:textId="77777777" w:rsidTr="002D3EBF">
        <w:trPr>
          <w:cantSplit/>
          <w:trHeight w:val="548"/>
        </w:trPr>
        <w:tc>
          <w:tcPr>
            <w:tcW w:w="709" w:type="dxa"/>
            <w:vMerge w:val="restart"/>
            <w:textDirection w:val="btLr"/>
            <w:vAlign w:val="center"/>
          </w:tcPr>
          <w:p w14:paraId="3296993D" w14:textId="77777777" w:rsidR="00124A26" w:rsidRPr="00AC3044" w:rsidRDefault="00124A26" w:rsidP="002D3EBF">
            <w:pPr>
              <w:ind w:firstLine="0"/>
              <w:rPr>
                <w:rFonts w:eastAsia="SimSun"/>
              </w:rPr>
            </w:pPr>
            <w:r w:rsidRPr="00AC3044">
              <w:rPr>
                <w:rFonts w:eastAsia="SimSun"/>
              </w:rPr>
              <w:t>Профилактика РТПХ</w:t>
            </w:r>
          </w:p>
        </w:tc>
        <w:tc>
          <w:tcPr>
            <w:tcW w:w="2410" w:type="dxa"/>
            <w:vAlign w:val="center"/>
          </w:tcPr>
          <w:p w14:paraId="56817C12" w14:textId="77777777" w:rsidR="00124A26" w:rsidRPr="00AC3044" w:rsidRDefault="00124A26" w:rsidP="002D3EBF">
            <w:pPr>
              <w:ind w:firstLine="0"/>
              <w:rPr>
                <w:rFonts w:eastAsia="SimSun"/>
              </w:rPr>
            </w:pPr>
            <w:r w:rsidRPr="00AC3044">
              <w:rPr>
                <w:rFonts w:eastAsia="SimSun"/>
              </w:rPr>
              <w:t>Ритуксимаб</w:t>
            </w:r>
          </w:p>
        </w:tc>
        <w:tc>
          <w:tcPr>
            <w:tcW w:w="1276" w:type="dxa"/>
            <w:vAlign w:val="center"/>
          </w:tcPr>
          <w:p w14:paraId="4081A03F" w14:textId="77777777" w:rsidR="00124A26" w:rsidRPr="00AC3044" w:rsidRDefault="00124A26" w:rsidP="002D3EBF">
            <w:pPr>
              <w:ind w:firstLine="0"/>
              <w:rPr>
                <w:rFonts w:eastAsia="SimSun"/>
              </w:rPr>
            </w:pPr>
            <w:r w:rsidRPr="00AC3044">
              <w:rPr>
                <w:rFonts w:eastAsia="SimSun"/>
              </w:rPr>
              <w:t>100  мг/м</w:t>
            </w:r>
            <w:r w:rsidRPr="0074195F">
              <w:rPr>
                <w:rFonts w:eastAsia="SimSun"/>
                <w:vertAlign w:val="superscript"/>
              </w:rPr>
              <w:t>2</w:t>
            </w:r>
          </w:p>
        </w:tc>
        <w:tc>
          <w:tcPr>
            <w:tcW w:w="1417" w:type="dxa"/>
            <w:vAlign w:val="center"/>
          </w:tcPr>
          <w:p w14:paraId="47ED6555" w14:textId="77777777" w:rsidR="00124A26" w:rsidRPr="00AC3044" w:rsidRDefault="00124A26" w:rsidP="002D3EBF">
            <w:pPr>
              <w:ind w:firstLine="0"/>
              <w:rPr>
                <w:rFonts w:eastAsia="SimSun"/>
              </w:rPr>
            </w:pPr>
            <w:r w:rsidRPr="00AC3044">
              <w:rPr>
                <w:rFonts w:eastAsia="SimSun"/>
              </w:rPr>
              <w:t>100  мг/м</w:t>
            </w:r>
            <w:r w:rsidRPr="0074195F">
              <w:rPr>
                <w:rFonts w:eastAsia="SimSun"/>
                <w:vertAlign w:val="superscript"/>
              </w:rPr>
              <w:t>2</w:t>
            </w:r>
          </w:p>
        </w:tc>
        <w:tc>
          <w:tcPr>
            <w:tcW w:w="1843" w:type="dxa"/>
            <w:vAlign w:val="center"/>
          </w:tcPr>
          <w:p w14:paraId="79553C8D" w14:textId="77777777" w:rsidR="00124A26" w:rsidRPr="00AC3044" w:rsidRDefault="00124A26" w:rsidP="002D3EBF">
            <w:pPr>
              <w:ind w:firstLine="0"/>
              <w:rPr>
                <w:rFonts w:eastAsia="SimSun"/>
              </w:rPr>
            </w:pPr>
            <w:r w:rsidRPr="00AC3044">
              <w:rPr>
                <w:rFonts w:eastAsia="SimSun"/>
              </w:rPr>
              <w:t>–1</w:t>
            </w:r>
          </w:p>
        </w:tc>
        <w:tc>
          <w:tcPr>
            <w:tcW w:w="2835" w:type="dxa"/>
            <w:vAlign w:val="center"/>
          </w:tcPr>
          <w:p w14:paraId="5600E2C9" w14:textId="77777777" w:rsidR="00124A26" w:rsidRPr="00AC3044" w:rsidRDefault="00124A26" w:rsidP="002D3EBF">
            <w:pPr>
              <w:ind w:firstLine="0"/>
              <w:rPr>
                <w:rFonts w:eastAsia="SimSun"/>
              </w:rPr>
            </w:pPr>
            <w:r w:rsidRPr="00AC3044">
              <w:rPr>
                <w:rFonts w:eastAsia="SimSun"/>
              </w:rPr>
              <w:t>В/в, в течение 2 часов</w:t>
            </w:r>
          </w:p>
        </w:tc>
      </w:tr>
      <w:tr w:rsidR="00124A26" w:rsidRPr="00AC3044" w14:paraId="5261439B" w14:textId="77777777" w:rsidTr="002D3EBF">
        <w:trPr>
          <w:cantSplit/>
          <w:trHeight w:val="20"/>
        </w:trPr>
        <w:tc>
          <w:tcPr>
            <w:tcW w:w="709" w:type="dxa"/>
            <w:vMerge/>
            <w:textDirection w:val="btLr"/>
          </w:tcPr>
          <w:p w14:paraId="261F93DB" w14:textId="77777777" w:rsidR="00124A26" w:rsidRPr="00AC3044" w:rsidRDefault="00124A26" w:rsidP="002D3EBF">
            <w:pPr>
              <w:ind w:firstLine="0"/>
              <w:rPr>
                <w:rFonts w:eastAsia="SimSun"/>
              </w:rPr>
            </w:pPr>
          </w:p>
        </w:tc>
        <w:tc>
          <w:tcPr>
            <w:tcW w:w="2410" w:type="dxa"/>
            <w:vAlign w:val="center"/>
          </w:tcPr>
          <w:p w14:paraId="2477F3D4" w14:textId="77777777" w:rsidR="00124A26" w:rsidRPr="00AC3044" w:rsidRDefault="00124A26" w:rsidP="002D3EBF">
            <w:pPr>
              <w:ind w:firstLine="0"/>
              <w:rPr>
                <w:rFonts w:eastAsia="SimSun"/>
              </w:rPr>
            </w:pPr>
            <w:r w:rsidRPr="00AC3044">
              <w:rPr>
                <w:rFonts w:eastAsia="SimSun"/>
              </w:rPr>
              <w:t>Тоцилизумаб</w:t>
            </w:r>
          </w:p>
        </w:tc>
        <w:tc>
          <w:tcPr>
            <w:tcW w:w="1276" w:type="dxa"/>
            <w:vAlign w:val="center"/>
          </w:tcPr>
          <w:p w14:paraId="28D1D97E" w14:textId="77777777" w:rsidR="00124A26" w:rsidRPr="00AC3044" w:rsidRDefault="00124A26" w:rsidP="002D3EBF">
            <w:pPr>
              <w:ind w:firstLine="0"/>
              <w:rPr>
                <w:rFonts w:eastAsia="SimSun"/>
              </w:rPr>
            </w:pPr>
            <w:r w:rsidRPr="00AC3044">
              <w:rPr>
                <w:rFonts w:eastAsia="SimSun"/>
              </w:rPr>
              <w:t>8 мг/кг</w:t>
            </w:r>
          </w:p>
        </w:tc>
        <w:tc>
          <w:tcPr>
            <w:tcW w:w="1417" w:type="dxa"/>
            <w:vAlign w:val="center"/>
          </w:tcPr>
          <w:p w14:paraId="15918992" w14:textId="77777777" w:rsidR="00124A26" w:rsidRPr="00AC3044" w:rsidRDefault="00124A26" w:rsidP="002D3EBF">
            <w:pPr>
              <w:ind w:firstLine="0"/>
              <w:rPr>
                <w:rFonts w:eastAsia="SimSun"/>
              </w:rPr>
            </w:pPr>
            <w:r w:rsidRPr="00AC3044">
              <w:rPr>
                <w:rFonts w:eastAsia="SimSun"/>
              </w:rPr>
              <w:t>8 мг/кг</w:t>
            </w:r>
          </w:p>
        </w:tc>
        <w:tc>
          <w:tcPr>
            <w:tcW w:w="1843" w:type="dxa"/>
            <w:vAlign w:val="center"/>
          </w:tcPr>
          <w:p w14:paraId="0B5774DE" w14:textId="77777777" w:rsidR="00124A26" w:rsidRPr="00AC3044" w:rsidRDefault="00124A26" w:rsidP="002D3EBF">
            <w:pPr>
              <w:ind w:firstLine="0"/>
              <w:rPr>
                <w:rFonts w:eastAsia="SimSun"/>
              </w:rPr>
            </w:pPr>
            <w:r w:rsidRPr="00AC3044">
              <w:rPr>
                <w:rFonts w:eastAsia="SimSun"/>
              </w:rPr>
              <w:t>–1, +21</w:t>
            </w:r>
          </w:p>
        </w:tc>
        <w:tc>
          <w:tcPr>
            <w:tcW w:w="2835" w:type="dxa"/>
            <w:vAlign w:val="center"/>
          </w:tcPr>
          <w:p w14:paraId="352B1F6C" w14:textId="77777777" w:rsidR="00124A26" w:rsidRPr="00AC3044" w:rsidRDefault="00124A26" w:rsidP="002D3EBF">
            <w:pPr>
              <w:ind w:firstLine="0"/>
              <w:rPr>
                <w:rFonts w:eastAsia="SimSun"/>
              </w:rPr>
            </w:pPr>
            <w:r w:rsidRPr="00AC3044">
              <w:rPr>
                <w:rFonts w:eastAsia="SimSun"/>
              </w:rPr>
              <w:t>В/в, в течение 1 часа</w:t>
            </w:r>
          </w:p>
        </w:tc>
      </w:tr>
      <w:tr w:rsidR="00124A26" w:rsidRPr="00AC3044" w14:paraId="14FCD387" w14:textId="77777777" w:rsidTr="002D3EBF">
        <w:trPr>
          <w:cantSplit/>
          <w:trHeight w:val="20"/>
        </w:trPr>
        <w:tc>
          <w:tcPr>
            <w:tcW w:w="709" w:type="dxa"/>
            <w:vMerge/>
            <w:textDirection w:val="btLr"/>
          </w:tcPr>
          <w:p w14:paraId="786B752F" w14:textId="77777777" w:rsidR="00124A26" w:rsidRPr="00AC3044" w:rsidRDefault="00124A26" w:rsidP="002D3EBF">
            <w:pPr>
              <w:ind w:firstLine="0"/>
              <w:rPr>
                <w:rFonts w:eastAsia="SimSun"/>
              </w:rPr>
            </w:pPr>
          </w:p>
        </w:tc>
        <w:tc>
          <w:tcPr>
            <w:tcW w:w="2410" w:type="dxa"/>
            <w:vAlign w:val="center"/>
          </w:tcPr>
          <w:p w14:paraId="4D7B9125" w14:textId="77777777" w:rsidR="00124A26" w:rsidRPr="00AC3044" w:rsidRDefault="00124A26" w:rsidP="002D3EBF">
            <w:pPr>
              <w:ind w:firstLine="0"/>
              <w:rPr>
                <w:rFonts w:eastAsia="SimSun"/>
              </w:rPr>
            </w:pPr>
            <w:r w:rsidRPr="00AC3044">
              <w:rPr>
                <w:rFonts w:eastAsia="SimSun"/>
              </w:rPr>
              <w:t>Абатацепт1</w:t>
            </w:r>
          </w:p>
        </w:tc>
        <w:tc>
          <w:tcPr>
            <w:tcW w:w="1276" w:type="dxa"/>
            <w:vAlign w:val="center"/>
          </w:tcPr>
          <w:p w14:paraId="187C2910" w14:textId="77777777" w:rsidR="00124A26" w:rsidRPr="00AC3044" w:rsidRDefault="00124A26" w:rsidP="002D3EBF">
            <w:pPr>
              <w:ind w:firstLine="0"/>
              <w:rPr>
                <w:rFonts w:eastAsia="SimSun"/>
              </w:rPr>
            </w:pPr>
            <w:r w:rsidRPr="00AC3044">
              <w:rPr>
                <w:rFonts w:eastAsia="SimSun"/>
              </w:rPr>
              <w:t>10 мг/кг</w:t>
            </w:r>
          </w:p>
        </w:tc>
        <w:tc>
          <w:tcPr>
            <w:tcW w:w="1417" w:type="dxa"/>
            <w:vAlign w:val="center"/>
          </w:tcPr>
          <w:p w14:paraId="6E3FFE83" w14:textId="77777777" w:rsidR="00124A26" w:rsidRPr="00AC3044" w:rsidRDefault="00124A26" w:rsidP="002D3EBF">
            <w:pPr>
              <w:ind w:firstLine="0"/>
              <w:rPr>
                <w:rFonts w:eastAsia="SimSun"/>
              </w:rPr>
            </w:pPr>
            <w:r w:rsidRPr="00AC3044">
              <w:rPr>
                <w:rFonts w:eastAsia="SimSun"/>
              </w:rPr>
              <w:t>40 мг/кг</w:t>
            </w:r>
          </w:p>
        </w:tc>
        <w:tc>
          <w:tcPr>
            <w:tcW w:w="1843" w:type="dxa"/>
            <w:vAlign w:val="center"/>
          </w:tcPr>
          <w:p w14:paraId="2813CE2B" w14:textId="77777777" w:rsidR="00124A26" w:rsidRPr="00AC3044" w:rsidRDefault="00124A26" w:rsidP="002D3EBF">
            <w:pPr>
              <w:ind w:firstLine="0"/>
              <w:rPr>
                <w:rFonts w:eastAsia="SimSun"/>
              </w:rPr>
            </w:pPr>
            <w:r w:rsidRPr="00AC3044">
              <w:rPr>
                <w:rFonts w:eastAsia="SimSun"/>
              </w:rPr>
              <w:t>–1,+7,+14,+28</w:t>
            </w:r>
          </w:p>
        </w:tc>
        <w:tc>
          <w:tcPr>
            <w:tcW w:w="2835" w:type="dxa"/>
            <w:vAlign w:val="center"/>
          </w:tcPr>
          <w:p w14:paraId="1AD914BA" w14:textId="77777777" w:rsidR="00124A26" w:rsidRPr="00AC3044" w:rsidRDefault="00124A26" w:rsidP="002D3EBF">
            <w:pPr>
              <w:ind w:firstLine="0"/>
              <w:rPr>
                <w:rFonts w:eastAsia="SimSun"/>
              </w:rPr>
            </w:pPr>
            <w:r w:rsidRPr="00AC3044">
              <w:rPr>
                <w:rFonts w:eastAsia="SimSun"/>
              </w:rPr>
              <w:t>В/в, в течение 30 мин</w:t>
            </w:r>
          </w:p>
        </w:tc>
      </w:tr>
      <w:tr w:rsidR="00124A26" w:rsidRPr="00AC3044" w14:paraId="4329C601" w14:textId="77777777" w:rsidTr="002D3EBF">
        <w:trPr>
          <w:cantSplit/>
          <w:trHeight w:val="1797"/>
        </w:trPr>
        <w:tc>
          <w:tcPr>
            <w:tcW w:w="709" w:type="dxa"/>
            <w:textDirection w:val="btLr"/>
            <w:vAlign w:val="center"/>
          </w:tcPr>
          <w:p w14:paraId="424B9F1C" w14:textId="77777777" w:rsidR="00124A26" w:rsidRPr="00AC3044" w:rsidRDefault="00124A26" w:rsidP="002D3EBF">
            <w:pPr>
              <w:ind w:firstLine="0"/>
              <w:rPr>
                <w:rFonts w:eastAsia="SimSun"/>
              </w:rPr>
            </w:pPr>
            <w:r w:rsidRPr="00AC3044">
              <w:rPr>
                <w:rFonts w:eastAsia="SimSun"/>
              </w:rPr>
              <w:t>Ex vivo манипуляция  с трансплантатом</w:t>
            </w:r>
          </w:p>
        </w:tc>
        <w:tc>
          <w:tcPr>
            <w:tcW w:w="2410" w:type="dxa"/>
            <w:vAlign w:val="center"/>
          </w:tcPr>
          <w:p w14:paraId="6A23D06F" w14:textId="77777777" w:rsidR="00124A26" w:rsidRPr="00AC3044" w:rsidRDefault="00124A26" w:rsidP="002D3EBF">
            <w:pPr>
              <w:ind w:firstLine="0"/>
              <w:rPr>
                <w:rFonts w:eastAsia="SimSun"/>
              </w:rPr>
            </w:pPr>
            <w:r w:rsidRPr="00AC3044">
              <w:rPr>
                <w:rFonts w:eastAsia="SimSun"/>
              </w:rPr>
              <w:t>Комплексная услуга TCRαβ/CD19 деплеция</w:t>
            </w:r>
          </w:p>
        </w:tc>
        <w:tc>
          <w:tcPr>
            <w:tcW w:w="1276" w:type="dxa"/>
            <w:vAlign w:val="center"/>
          </w:tcPr>
          <w:p w14:paraId="7B00154D" w14:textId="77777777" w:rsidR="00124A26" w:rsidRPr="00AC3044" w:rsidRDefault="00124A26" w:rsidP="002D3EBF">
            <w:pPr>
              <w:ind w:firstLine="0"/>
              <w:rPr>
                <w:rFonts w:eastAsia="SimSun"/>
              </w:rPr>
            </w:pPr>
            <w:r w:rsidRPr="00AC3044">
              <w:rPr>
                <w:rFonts w:eastAsia="SimSun"/>
              </w:rPr>
              <w:t>–</w:t>
            </w:r>
          </w:p>
        </w:tc>
        <w:tc>
          <w:tcPr>
            <w:tcW w:w="1417" w:type="dxa"/>
            <w:vAlign w:val="center"/>
          </w:tcPr>
          <w:p w14:paraId="4D3E2927" w14:textId="77777777" w:rsidR="00124A26" w:rsidRPr="00AC3044" w:rsidRDefault="00124A26" w:rsidP="002D3EBF">
            <w:pPr>
              <w:ind w:firstLine="0"/>
              <w:rPr>
                <w:rFonts w:eastAsia="SimSun"/>
              </w:rPr>
            </w:pPr>
            <w:r w:rsidRPr="00AC3044">
              <w:rPr>
                <w:rFonts w:eastAsia="SimSun"/>
              </w:rPr>
              <w:t>–</w:t>
            </w:r>
          </w:p>
        </w:tc>
        <w:tc>
          <w:tcPr>
            <w:tcW w:w="1843" w:type="dxa"/>
            <w:vAlign w:val="center"/>
          </w:tcPr>
          <w:p w14:paraId="64BD9282" w14:textId="77777777" w:rsidR="00124A26" w:rsidRPr="00AC3044" w:rsidRDefault="00124A26" w:rsidP="002D3EBF">
            <w:pPr>
              <w:ind w:firstLine="0"/>
              <w:rPr>
                <w:rFonts w:eastAsia="SimSun"/>
              </w:rPr>
            </w:pPr>
            <w:r w:rsidRPr="00AC3044">
              <w:rPr>
                <w:rFonts w:eastAsia="SimSun"/>
              </w:rPr>
              <w:t>0</w:t>
            </w:r>
          </w:p>
        </w:tc>
        <w:tc>
          <w:tcPr>
            <w:tcW w:w="2835" w:type="dxa"/>
            <w:vAlign w:val="center"/>
          </w:tcPr>
          <w:p w14:paraId="57AA8128" w14:textId="77777777" w:rsidR="00124A26" w:rsidRPr="00AC3044" w:rsidRDefault="00124A26" w:rsidP="002D3EBF">
            <w:pPr>
              <w:ind w:firstLine="0"/>
              <w:rPr>
                <w:rFonts w:eastAsia="SimSun"/>
              </w:rPr>
            </w:pPr>
            <w:r w:rsidRPr="00AC3044">
              <w:rPr>
                <w:rFonts w:eastAsia="SimSun"/>
              </w:rPr>
              <w:t>-</w:t>
            </w:r>
          </w:p>
        </w:tc>
      </w:tr>
      <w:tr w:rsidR="00124A26" w:rsidRPr="00AC3044" w14:paraId="092A8B79" w14:textId="77777777" w:rsidTr="002D3EBF">
        <w:trPr>
          <w:trHeight w:val="20"/>
        </w:trPr>
        <w:tc>
          <w:tcPr>
            <w:tcW w:w="10490" w:type="dxa"/>
            <w:gridSpan w:val="6"/>
          </w:tcPr>
          <w:p w14:paraId="349DF279" w14:textId="77777777" w:rsidR="00124A26" w:rsidRPr="00AC3044" w:rsidRDefault="00124A26" w:rsidP="002D3EBF">
            <w:pPr>
              <w:ind w:firstLine="0"/>
              <w:rPr>
                <w:rFonts w:eastAsia="SimSun"/>
              </w:rPr>
            </w:pPr>
            <w:r w:rsidRPr="00AC3044">
              <w:rPr>
                <w:rFonts w:eastAsia="SimSun"/>
              </w:rPr>
              <w:t>1 Раствор абатацепта нельзя использовать с оборудованием, имеющим в своём составе силикон.  Содержимое одного флакона растворяют в 10 мл воды для инъекций, используя одноразовый бессиликоновый шприц, имеющийся в комплекте с препаратом. Полученный концентрат немедленно разбавляют 0.9% раствором натрия хлорида для инъекций для получения инфузионного раствора, который немедленно вводится в/в за 30мин через инфузионную систему.  Абатацепт нельзя вводить одновременно с другими препаратами через одну инфузионную систему.</w:t>
            </w:r>
          </w:p>
          <w:p w14:paraId="2A6BEB31" w14:textId="77777777" w:rsidR="00124A26" w:rsidRPr="00AC3044" w:rsidRDefault="00124A26" w:rsidP="002D3EBF">
            <w:pPr>
              <w:ind w:firstLine="0"/>
              <w:rPr>
                <w:rFonts w:eastAsia="SimSun"/>
              </w:rPr>
            </w:pPr>
          </w:p>
        </w:tc>
      </w:tr>
    </w:tbl>
    <w:p w14:paraId="40355E2C" w14:textId="77777777" w:rsidR="00124A26" w:rsidRDefault="00124A26" w:rsidP="00124A26">
      <w:pPr>
        <w:rPr>
          <w:rFonts w:eastAsia="SimSun"/>
        </w:rPr>
      </w:pPr>
      <w:bookmarkStart w:id="281" w:name="_Toc44401245"/>
    </w:p>
    <w:p w14:paraId="5A6AA72F" w14:textId="77777777" w:rsidR="00124A26" w:rsidRPr="00C07B2E" w:rsidRDefault="00124A26" w:rsidP="00124A26">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4.3  – Flu150+Bu12+Thio / TCRαβ-CD19</w:t>
      </w:r>
      <w:bookmarkEnd w:id="281"/>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410"/>
        <w:gridCol w:w="1276"/>
        <w:gridCol w:w="1417"/>
        <w:gridCol w:w="1843"/>
        <w:gridCol w:w="2835"/>
      </w:tblGrid>
      <w:tr w:rsidR="00124A26" w:rsidRPr="00AC3044" w14:paraId="799637F3" w14:textId="77777777" w:rsidTr="002D3EBF">
        <w:trPr>
          <w:cantSplit/>
          <w:trHeight w:val="20"/>
          <w:tblHeader/>
        </w:trPr>
        <w:tc>
          <w:tcPr>
            <w:tcW w:w="709" w:type="dxa"/>
          </w:tcPr>
          <w:p w14:paraId="489C90D0" w14:textId="77777777" w:rsidR="00124A26" w:rsidRPr="006A5E21" w:rsidRDefault="00124A26" w:rsidP="002D3EBF">
            <w:pPr>
              <w:ind w:firstLine="0"/>
              <w:rPr>
                <w:rFonts w:eastAsia="SimSun"/>
              </w:rPr>
            </w:pPr>
          </w:p>
        </w:tc>
        <w:tc>
          <w:tcPr>
            <w:tcW w:w="2410" w:type="dxa"/>
            <w:vAlign w:val="center"/>
          </w:tcPr>
          <w:p w14:paraId="396C5421" w14:textId="77777777" w:rsidR="00124A26" w:rsidRPr="00AC3044" w:rsidRDefault="00124A26" w:rsidP="002D3EBF">
            <w:pPr>
              <w:ind w:firstLine="0"/>
              <w:rPr>
                <w:rFonts w:eastAsia="SimSun"/>
              </w:rPr>
            </w:pPr>
            <w:r w:rsidRPr="00AC3044">
              <w:rPr>
                <w:rFonts w:eastAsia="SimSun"/>
              </w:rPr>
              <w:t>Препарат</w:t>
            </w:r>
          </w:p>
        </w:tc>
        <w:tc>
          <w:tcPr>
            <w:tcW w:w="1276" w:type="dxa"/>
            <w:vAlign w:val="center"/>
          </w:tcPr>
          <w:p w14:paraId="0BE4444B" w14:textId="77777777" w:rsidR="00124A26" w:rsidRPr="00AC3044" w:rsidRDefault="00124A26" w:rsidP="002D3EBF">
            <w:pPr>
              <w:ind w:firstLine="0"/>
              <w:rPr>
                <w:rFonts w:eastAsia="SimSun"/>
              </w:rPr>
            </w:pPr>
            <w:r w:rsidRPr="00AC3044">
              <w:rPr>
                <w:rFonts w:eastAsia="SimSun"/>
              </w:rPr>
              <w:t>Суточная доза</w:t>
            </w:r>
          </w:p>
        </w:tc>
        <w:tc>
          <w:tcPr>
            <w:tcW w:w="1417" w:type="dxa"/>
            <w:vAlign w:val="center"/>
          </w:tcPr>
          <w:p w14:paraId="4F1C9D9A" w14:textId="77777777" w:rsidR="00124A26" w:rsidRPr="00AC3044" w:rsidRDefault="00124A26" w:rsidP="002D3EBF">
            <w:pPr>
              <w:ind w:firstLine="0"/>
              <w:rPr>
                <w:rFonts w:eastAsia="SimSun"/>
              </w:rPr>
            </w:pPr>
            <w:r w:rsidRPr="00AC3044">
              <w:rPr>
                <w:rFonts w:eastAsia="SimSun"/>
              </w:rPr>
              <w:t>Курсовая доза</w:t>
            </w:r>
          </w:p>
        </w:tc>
        <w:tc>
          <w:tcPr>
            <w:tcW w:w="1843" w:type="dxa"/>
            <w:vAlign w:val="center"/>
          </w:tcPr>
          <w:p w14:paraId="17D70B2B" w14:textId="77777777" w:rsidR="00124A26" w:rsidRPr="00AC3044" w:rsidRDefault="00124A26" w:rsidP="002D3EBF">
            <w:pPr>
              <w:ind w:firstLine="0"/>
              <w:rPr>
                <w:rFonts w:eastAsia="SimSun"/>
              </w:rPr>
            </w:pPr>
            <w:r w:rsidRPr="00AC3044">
              <w:rPr>
                <w:rFonts w:eastAsia="SimSun"/>
              </w:rPr>
              <w:t>Дни введения</w:t>
            </w:r>
          </w:p>
        </w:tc>
        <w:tc>
          <w:tcPr>
            <w:tcW w:w="2835" w:type="dxa"/>
            <w:vAlign w:val="center"/>
          </w:tcPr>
          <w:p w14:paraId="2FD42B84"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6ECED805" w14:textId="77777777" w:rsidTr="002D3EBF">
        <w:trPr>
          <w:cantSplit/>
          <w:trHeight w:val="20"/>
        </w:trPr>
        <w:tc>
          <w:tcPr>
            <w:tcW w:w="709" w:type="dxa"/>
            <w:vMerge w:val="restart"/>
            <w:textDirection w:val="btLr"/>
            <w:vAlign w:val="center"/>
          </w:tcPr>
          <w:p w14:paraId="12ED4CAE" w14:textId="77777777" w:rsidR="00124A26" w:rsidRPr="00AC3044" w:rsidRDefault="00124A26" w:rsidP="002D3EBF">
            <w:pPr>
              <w:ind w:firstLine="0"/>
              <w:rPr>
                <w:rFonts w:eastAsia="SimSun"/>
              </w:rPr>
            </w:pPr>
            <w:r w:rsidRPr="00AC3044">
              <w:rPr>
                <w:rFonts w:eastAsia="SimSun"/>
              </w:rPr>
              <w:t>Кондиционирование</w:t>
            </w:r>
          </w:p>
        </w:tc>
        <w:tc>
          <w:tcPr>
            <w:tcW w:w="2410" w:type="dxa"/>
          </w:tcPr>
          <w:p w14:paraId="34A37C2A" w14:textId="77777777" w:rsidR="00124A26" w:rsidRPr="00AC3044" w:rsidRDefault="00124A26" w:rsidP="002D3EBF">
            <w:pPr>
              <w:ind w:firstLine="0"/>
              <w:rPr>
                <w:rFonts w:eastAsia="SimSun"/>
              </w:rPr>
            </w:pPr>
            <w:r w:rsidRPr="00AC3044">
              <w:rPr>
                <w:rFonts w:eastAsia="SimSun"/>
              </w:rPr>
              <w:t>Бусульфан</w:t>
            </w:r>
          </w:p>
        </w:tc>
        <w:tc>
          <w:tcPr>
            <w:tcW w:w="1276" w:type="dxa"/>
          </w:tcPr>
          <w:p w14:paraId="7EDF1FA3" w14:textId="77777777" w:rsidR="00124A26" w:rsidRPr="00AC3044" w:rsidRDefault="00124A26" w:rsidP="002D3EBF">
            <w:pPr>
              <w:ind w:firstLine="0"/>
              <w:rPr>
                <w:rFonts w:eastAsia="SimSun"/>
              </w:rPr>
            </w:pPr>
            <w:r w:rsidRPr="00AC3044">
              <w:rPr>
                <w:rFonts w:eastAsia="SimSun"/>
              </w:rPr>
              <w:t>4 мг/кг</w:t>
            </w:r>
          </w:p>
        </w:tc>
        <w:tc>
          <w:tcPr>
            <w:tcW w:w="1417" w:type="dxa"/>
          </w:tcPr>
          <w:p w14:paraId="50CD9BE3" w14:textId="77777777" w:rsidR="00124A26" w:rsidRPr="00AC3044" w:rsidRDefault="00124A26" w:rsidP="002D3EBF">
            <w:pPr>
              <w:ind w:firstLine="0"/>
              <w:rPr>
                <w:rFonts w:eastAsia="SimSun"/>
              </w:rPr>
            </w:pPr>
            <w:r w:rsidRPr="00AC3044">
              <w:rPr>
                <w:rFonts w:eastAsia="SimSun"/>
              </w:rPr>
              <w:t>12мг/кг</w:t>
            </w:r>
          </w:p>
        </w:tc>
        <w:tc>
          <w:tcPr>
            <w:tcW w:w="1843" w:type="dxa"/>
          </w:tcPr>
          <w:p w14:paraId="7AE22E0D" w14:textId="77777777" w:rsidR="00124A26" w:rsidRPr="00AC3044" w:rsidRDefault="00124A26" w:rsidP="002D3EBF">
            <w:pPr>
              <w:ind w:firstLine="0"/>
              <w:rPr>
                <w:rFonts w:eastAsia="SimSun"/>
              </w:rPr>
            </w:pPr>
            <w:r w:rsidRPr="00AC3044">
              <w:rPr>
                <w:rFonts w:eastAsia="SimSun"/>
              </w:rPr>
              <w:t>–5,–4,–3</w:t>
            </w:r>
          </w:p>
        </w:tc>
        <w:tc>
          <w:tcPr>
            <w:tcW w:w="2835" w:type="dxa"/>
          </w:tcPr>
          <w:p w14:paraId="520D99B7" w14:textId="77777777" w:rsidR="00124A26" w:rsidRPr="00AC3044" w:rsidRDefault="00124A26" w:rsidP="002D3EB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124A26" w:rsidRPr="00AC3044" w14:paraId="3BB14654" w14:textId="77777777" w:rsidTr="002D3EBF">
        <w:trPr>
          <w:cantSplit/>
          <w:trHeight w:val="458"/>
        </w:trPr>
        <w:tc>
          <w:tcPr>
            <w:tcW w:w="709" w:type="dxa"/>
            <w:vMerge/>
            <w:textDirection w:val="btLr"/>
            <w:vAlign w:val="center"/>
          </w:tcPr>
          <w:p w14:paraId="10423028" w14:textId="77777777" w:rsidR="00124A26" w:rsidRPr="00AC3044" w:rsidRDefault="00124A26" w:rsidP="002D3EBF">
            <w:pPr>
              <w:ind w:firstLine="0"/>
              <w:rPr>
                <w:rFonts w:eastAsia="SimSun"/>
              </w:rPr>
            </w:pPr>
          </w:p>
        </w:tc>
        <w:tc>
          <w:tcPr>
            <w:tcW w:w="2410" w:type="dxa"/>
            <w:vAlign w:val="center"/>
          </w:tcPr>
          <w:p w14:paraId="563E1737" w14:textId="77777777" w:rsidR="00124A26" w:rsidRPr="00AC3044" w:rsidRDefault="00124A26" w:rsidP="002D3EBF">
            <w:pPr>
              <w:ind w:firstLine="0"/>
              <w:rPr>
                <w:rFonts w:eastAsia="SimSun"/>
              </w:rPr>
            </w:pPr>
            <w:r w:rsidRPr="00AC3044">
              <w:rPr>
                <w:rFonts w:eastAsia="SimSun"/>
              </w:rPr>
              <w:t>Тиотепа</w:t>
            </w:r>
          </w:p>
        </w:tc>
        <w:tc>
          <w:tcPr>
            <w:tcW w:w="1276" w:type="dxa"/>
            <w:vAlign w:val="center"/>
          </w:tcPr>
          <w:p w14:paraId="270D8B06" w14:textId="77777777" w:rsidR="00124A26" w:rsidRPr="00AC3044" w:rsidRDefault="00124A26" w:rsidP="002D3EBF">
            <w:pPr>
              <w:ind w:firstLine="0"/>
              <w:rPr>
                <w:rFonts w:eastAsia="SimSun"/>
              </w:rPr>
            </w:pPr>
            <w:r w:rsidRPr="00AC3044">
              <w:rPr>
                <w:rFonts w:eastAsia="SimSun"/>
              </w:rPr>
              <w:t xml:space="preserve">5мг/кг </w:t>
            </w:r>
          </w:p>
        </w:tc>
        <w:tc>
          <w:tcPr>
            <w:tcW w:w="1417" w:type="dxa"/>
            <w:vAlign w:val="center"/>
          </w:tcPr>
          <w:p w14:paraId="4D9B2A30" w14:textId="77777777" w:rsidR="00124A26" w:rsidRPr="00AC3044" w:rsidRDefault="00124A26" w:rsidP="002D3EBF">
            <w:pPr>
              <w:ind w:firstLine="0"/>
              <w:rPr>
                <w:rFonts w:eastAsia="SimSun"/>
              </w:rPr>
            </w:pPr>
            <w:r w:rsidRPr="00AC3044">
              <w:rPr>
                <w:rFonts w:eastAsia="SimSun"/>
              </w:rPr>
              <w:t>10 мг/кг</w:t>
            </w:r>
          </w:p>
        </w:tc>
        <w:tc>
          <w:tcPr>
            <w:tcW w:w="1843" w:type="dxa"/>
            <w:vAlign w:val="center"/>
          </w:tcPr>
          <w:p w14:paraId="54AE5871" w14:textId="77777777" w:rsidR="00124A26" w:rsidRPr="00AC3044" w:rsidRDefault="00124A26" w:rsidP="002D3EBF">
            <w:pPr>
              <w:ind w:firstLine="0"/>
              <w:rPr>
                <w:rFonts w:eastAsia="SimSun"/>
              </w:rPr>
            </w:pPr>
            <w:r w:rsidRPr="00AC3044">
              <w:rPr>
                <w:rFonts w:eastAsia="SimSun"/>
              </w:rPr>
              <w:t>–6,–5</w:t>
            </w:r>
          </w:p>
        </w:tc>
        <w:tc>
          <w:tcPr>
            <w:tcW w:w="2835" w:type="dxa"/>
            <w:vAlign w:val="center"/>
          </w:tcPr>
          <w:p w14:paraId="3F83BB32" w14:textId="77777777" w:rsidR="00124A26" w:rsidRPr="00AC3044" w:rsidRDefault="00124A26" w:rsidP="002D3EBF">
            <w:pPr>
              <w:ind w:firstLine="0"/>
              <w:rPr>
                <w:rFonts w:eastAsia="SimSun"/>
              </w:rPr>
            </w:pPr>
            <w:r w:rsidRPr="00AC3044">
              <w:rPr>
                <w:rFonts w:eastAsia="SimSun"/>
              </w:rPr>
              <w:t>В/в, в течение 2 часов</w:t>
            </w:r>
          </w:p>
        </w:tc>
      </w:tr>
      <w:tr w:rsidR="00124A26" w:rsidRPr="00AC3044" w14:paraId="56E6EED5" w14:textId="77777777" w:rsidTr="002D3EBF">
        <w:trPr>
          <w:cantSplit/>
          <w:trHeight w:val="550"/>
        </w:trPr>
        <w:tc>
          <w:tcPr>
            <w:tcW w:w="709" w:type="dxa"/>
            <w:vMerge/>
            <w:textDirection w:val="btLr"/>
            <w:vAlign w:val="center"/>
          </w:tcPr>
          <w:p w14:paraId="1AE3E434" w14:textId="77777777" w:rsidR="00124A26" w:rsidRPr="00AC3044" w:rsidRDefault="00124A26" w:rsidP="002D3EBF">
            <w:pPr>
              <w:ind w:firstLine="0"/>
              <w:rPr>
                <w:rFonts w:eastAsia="SimSun"/>
              </w:rPr>
            </w:pPr>
          </w:p>
        </w:tc>
        <w:tc>
          <w:tcPr>
            <w:tcW w:w="2410" w:type="dxa"/>
            <w:vAlign w:val="center"/>
          </w:tcPr>
          <w:p w14:paraId="33B650A5" w14:textId="77777777" w:rsidR="00124A26" w:rsidRPr="00AC3044" w:rsidRDefault="00124A26" w:rsidP="002D3EBF">
            <w:pPr>
              <w:ind w:firstLine="0"/>
              <w:rPr>
                <w:rFonts w:eastAsia="SimSun"/>
              </w:rPr>
            </w:pPr>
            <w:r w:rsidRPr="00AC3044">
              <w:rPr>
                <w:rFonts w:eastAsia="SimSun"/>
              </w:rPr>
              <w:t>Флударабин</w:t>
            </w:r>
          </w:p>
        </w:tc>
        <w:tc>
          <w:tcPr>
            <w:tcW w:w="1276" w:type="dxa"/>
            <w:vAlign w:val="center"/>
          </w:tcPr>
          <w:p w14:paraId="744094CB" w14:textId="77777777" w:rsidR="00124A26" w:rsidRPr="00AC3044" w:rsidRDefault="00124A26" w:rsidP="002D3EBF">
            <w:pPr>
              <w:ind w:firstLine="0"/>
              <w:rPr>
                <w:rFonts w:eastAsia="SimSun"/>
              </w:rPr>
            </w:pPr>
            <w:r w:rsidRPr="00AC3044">
              <w:rPr>
                <w:rFonts w:eastAsia="SimSun"/>
              </w:rPr>
              <w:t>30 мг/м</w:t>
            </w:r>
            <w:r w:rsidRPr="0074195F">
              <w:rPr>
                <w:rFonts w:eastAsia="SimSun"/>
                <w:vertAlign w:val="superscript"/>
              </w:rPr>
              <w:t>2</w:t>
            </w:r>
          </w:p>
        </w:tc>
        <w:tc>
          <w:tcPr>
            <w:tcW w:w="1417" w:type="dxa"/>
            <w:vAlign w:val="center"/>
          </w:tcPr>
          <w:p w14:paraId="6C991B31" w14:textId="77777777" w:rsidR="00124A26" w:rsidRPr="00AC3044" w:rsidRDefault="00124A26" w:rsidP="002D3EBF">
            <w:pPr>
              <w:ind w:firstLine="0"/>
              <w:rPr>
                <w:rFonts w:eastAsia="SimSun"/>
              </w:rPr>
            </w:pPr>
            <w:r w:rsidRPr="00AC3044">
              <w:rPr>
                <w:rFonts w:eastAsia="SimSun"/>
              </w:rPr>
              <w:t>150 мг/м</w:t>
            </w:r>
            <w:r w:rsidRPr="0074195F">
              <w:rPr>
                <w:rFonts w:eastAsia="SimSun"/>
                <w:vertAlign w:val="superscript"/>
              </w:rPr>
              <w:t>2</w:t>
            </w:r>
          </w:p>
        </w:tc>
        <w:tc>
          <w:tcPr>
            <w:tcW w:w="1843" w:type="dxa"/>
            <w:vAlign w:val="center"/>
          </w:tcPr>
          <w:p w14:paraId="48B512EC" w14:textId="77777777" w:rsidR="00124A26" w:rsidRPr="00AC3044" w:rsidRDefault="00124A26" w:rsidP="002D3EBF">
            <w:pPr>
              <w:ind w:firstLine="0"/>
              <w:rPr>
                <w:rFonts w:eastAsia="SimSun"/>
              </w:rPr>
            </w:pPr>
            <w:r w:rsidRPr="00AC3044">
              <w:rPr>
                <w:rFonts w:eastAsia="SimSun"/>
              </w:rPr>
              <w:t>–6,–5,–4, –3, –2</w:t>
            </w:r>
          </w:p>
        </w:tc>
        <w:tc>
          <w:tcPr>
            <w:tcW w:w="2835" w:type="dxa"/>
            <w:vAlign w:val="center"/>
          </w:tcPr>
          <w:p w14:paraId="65A3C5C4" w14:textId="77777777" w:rsidR="00124A26" w:rsidRPr="00AC3044" w:rsidRDefault="00124A26" w:rsidP="002D3EBF">
            <w:pPr>
              <w:ind w:firstLine="0"/>
              <w:rPr>
                <w:rFonts w:eastAsia="SimSun"/>
              </w:rPr>
            </w:pPr>
            <w:r w:rsidRPr="00AC3044">
              <w:rPr>
                <w:rFonts w:eastAsia="SimSun"/>
              </w:rPr>
              <w:t>В/в, в течение 30 -60 мин</w:t>
            </w:r>
          </w:p>
        </w:tc>
      </w:tr>
      <w:tr w:rsidR="00124A26" w:rsidRPr="00AC3044" w14:paraId="72CBAE6B" w14:textId="77777777" w:rsidTr="002D3EBF">
        <w:trPr>
          <w:cantSplit/>
          <w:trHeight w:val="416"/>
        </w:trPr>
        <w:tc>
          <w:tcPr>
            <w:tcW w:w="709" w:type="dxa"/>
            <w:vMerge w:val="restart"/>
            <w:textDirection w:val="btLr"/>
            <w:vAlign w:val="center"/>
          </w:tcPr>
          <w:p w14:paraId="74653A2B" w14:textId="77777777" w:rsidR="00124A26" w:rsidRPr="00AC3044" w:rsidRDefault="00124A26" w:rsidP="002D3EBF">
            <w:pPr>
              <w:ind w:firstLine="0"/>
              <w:rPr>
                <w:rFonts w:eastAsia="SimSun"/>
              </w:rPr>
            </w:pPr>
            <w:r w:rsidRPr="00AC3044">
              <w:rPr>
                <w:rFonts w:eastAsia="SimSun"/>
              </w:rPr>
              <w:t>Профилактика РТПХ</w:t>
            </w:r>
          </w:p>
        </w:tc>
        <w:tc>
          <w:tcPr>
            <w:tcW w:w="2410" w:type="dxa"/>
            <w:vAlign w:val="center"/>
          </w:tcPr>
          <w:p w14:paraId="6A7566D3" w14:textId="77777777" w:rsidR="00124A26" w:rsidRPr="00AC3044" w:rsidRDefault="00124A26" w:rsidP="002D3EBF">
            <w:pPr>
              <w:ind w:firstLine="0"/>
              <w:rPr>
                <w:rFonts w:eastAsia="SimSun"/>
              </w:rPr>
            </w:pPr>
            <w:r w:rsidRPr="00AC3044">
              <w:rPr>
                <w:rFonts w:eastAsia="SimSun"/>
              </w:rPr>
              <w:t>Ритуксимаб</w:t>
            </w:r>
          </w:p>
        </w:tc>
        <w:tc>
          <w:tcPr>
            <w:tcW w:w="1276" w:type="dxa"/>
            <w:vAlign w:val="center"/>
          </w:tcPr>
          <w:p w14:paraId="34F69960" w14:textId="77777777" w:rsidR="00124A26" w:rsidRPr="00AC3044" w:rsidRDefault="00124A26" w:rsidP="002D3EBF">
            <w:pPr>
              <w:ind w:firstLine="0"/>
              <w:rPr>
                <w:rFonts w:eastAsia="SimSun"/>
              </w:rPr>
            </w:pPr>
            <w:r w:rsidRPr="00AC3044">
              <w:rPr>
                <w:rFonts w:eastAsia="SimSun"/>
              </w:rPr>
              <w:t>100 мг/м</w:t>
            </w:r>
            <w:r w:rsidRPr="0074195F">
              <w:rPr>
                <w:rFonts w:eastAsia="SimSun"/>
                <w:vertAlign w:val="superscript"/>
              </w:rPr>
              <w:t>2</w:t>
            </w:r>
          </w:p>
        </w:tc>
        <w:tc>
          <w:tcPr>
            <w:tcW w:w="1417" w:type="dxa"/>
            <w:vAlign w:val="center"/>
          </w:tcPr>
          <w:p w14:paraId="7366C0DA" w14:textId="77777777" w:rsidR="00124A26" w:rsidRPr="00AC3044" w:rsidRDefault="00124A26" w:rsidP="002D3EBF">
            <w:pPr>
              <w:ind w:firstLine="0"/>
              <w:rPr>
                <w:rFonts w:eastAsia="SimSun"/>
              </w:rPr>
            </w:pPr>
            <w:r w:rsidRPr="00AC3044">
              <w:rPr>
                <w:rFonts w:eastAsia="SimSun"/>
              </w:rPr>
              <w:t>100 мг/м</w:t>
            </w:r>
            <w:r w:rsidRPr="0074195F">
              <w:rPr>
                <w:rFonts w:eastAsia="SimSun"/>
                <w:vertAlign w:val="superscript"/>
              </w:rPr>
              <w:t>2</w:t>
            </w:r>
          </w:p>
        </w:tc>
        <w:tc>
          <w:tcPr>
            <w:tcW w:w="1843" w:type="dxa"/>
            <w:vAlign w:val="center"/>
          </w:tcPr>
          <w:p w14:paraId="48016840" w14:textId="77777777" w:rsidR="00124A26" w:rsidRPr="00AC3044" w:rsidRDefault="00124A26" w:rsidP="002D3EBF">
            <w:pPr>
              <w:ind w:firstLine="0"/>
              <w:rPr>
                <w:rFonts w:eastAsia="SimSun"/>
              </w:rPr>
            </w:pPr>
            <w:r w:rsidRPr="00AC3044">
              <w:rPr>
                <w:rFonts w:eastAsia="SimSun"/>
              </w:rPr>
              <w:t>–1</w:t>
            </w:r>
          </w:p>
        </w:tc>
        <w:tc>
          <w:tcPr>
            <w:tcW w:w="2835" w:type="dxa"/>
            <w:vAlign w:val="center"/>
          </w:tcPr>
          <w:p w14:paraId="79093F3B" w14:textId="77777777" w:rsidR="00124A26" w:rsidRPr="00AC3044" w:rsidRDefault="00124A26" w:rsidP="002D3EBF">
            <w:pPr>
              <w:ind w:firstLine="0"/>
              <w:rPr>
                <w:rFonts w:eastAsia="SimSun"/>
              </w:rPr>
            </w:pPr>
            <w:r w:rsidRPr="00AC3044">
              <w:rPr>
                <w:rFonts w:eastAsia="SimSun"/>
              </w:rPr>
              <w:t>В/в, в течение 2 часов</w:t>
            </w:r>
          </w:p>
        </w:tc>
      </w:tr>
      <w:tr w:rsidR="00124A26" w:rsidRPr="00AC3044" w14:paraId="0D29F239" w14:textId="77777777" w:rsidTr="002D3EBF">
        <w:trPr>
          <w:cantSplit/>
          <w:trHeight w:val="20"/>
        </w:trPr>
        <w:tc>
          <w:tcPr>
            <w:tcW w:w="709" w:type="dxa"/>
            <w:vMerge/>
            <w:textDirection w:val="btLr"/>
          </w:tcPr>
          <w:p w14:paraId="0AEF45F8" w14:textId="77777777" w:rsidR="00124A26" w:rsidRPr="00AC3044" w:rsidRDefault="00124A26" w:rsidP="002D3EBF">
            <w:pPr>
              <w:ind w:firstLine="0"/>
              <w:rPr>
                <w:rFonts w:eastAsia="SimSun"/>
              </w:rPr>
            </w:pPr>
          </w:p>
        </w:tc>
        <w:tc>
          <w:tcPr>
            <w:tcW w:w="2410" w:type="dxa"/>
            <w:vAlign w:val="center"/>
          </w:tcPr>
          <w:p w14:paraId="185C01C1" w14:textId="77777777" w:rsidR="00124A26" w:rsidRPr="00AC3044" w:rsidRDefault="00124A26" w:rsidP="002D3EBF">
            <w:pPr>
              <w:ind w:firstLine="0"/>
              <w:rPr>
                <w:rFonts w:eastAsia="SimSun"/>
              </w:rPr>
            </w:pPr>
            <w:r w:rsidRPr="00AC3044">
              <w:rPr>
                <w:rFonts w:eastAsia="SimSun"/>
              </w:rPr>
              <w:t>Тоцилизумаб</w:t>
            </w:r>
          </w:p>
        </w:tc>
        <w:tc>
          <w:tcPr>
            <w:tcW w:w="1276" w:type="dxa"/>
            <w:vAlign w:val="center"/>
          </w:tcPr>
          <w:p w14:paraId="1CBC079B" w14:textId="77777777" w:rsidR="00124A26" w:rsidRPr="00AC3044" w:rsidRDefault="00124A26" w:rsidP="002D3EBF">
            <w:pPr>
              <w:ind w:firstLine="0"/>
              <w:rPr>
                <w:rFonts w:eastAsia="SimSun"/>
              </w:rPr>
            </w:pPr>
            <w:r w:rsidRPr="00AC3044">
              <w:rPr>
                <w:rFonts w:eastAsia="SimSun"/>
              </w:rPr>
              <w:t>8 мг/кг</w:t>
            </w:r>
          </w:p>
        </w:tc>
        <w:tc>
          <w:tcPr>
            <w:tcW w:w="1417" w:type="dxa"/>
            <w:vAlign w:val="center"/>
          </w:tcPr>
          <w:p w14:paraId="747C8B83" w14:textId="77777777" w:rsidR="00124A26" w:rsidRPr="00AC3044" w:rsidRDefault="00124A26" w:rsidP="002D3EBF">
            <w:pPr>
              <w:ind w:firstLine="0"/>
              <w:rPr>
                <w:rFonts w:eastAsia="SimSun"/>
              </w:rPr>
            </w:pPr>
            <w:r w:rsidRPr="00AC3044">
              <w:rPr>
                <w:rFonts w:eastAsia="SimSun"/>
              </w:rPr>
              <w:t>8 мг/кг</w:t>
            </w:r>
          </w:p>
        </w:tc>
        <w:tc>
          <w:tcPr>
            <w:tcW w:w="1843" w:type="dxa"/>
            <w:vAlign w:val="center"/>
          </w:tcPr>
          <w:p w14:paraId="6901285C" w14:textId="77777777" w:rsidR="00124A26" w:rsidRPr="00AC3044" w:rsidRDefault="00124A26" w:rsidP="002D3EBF">
            <w:pPr>
              <w:ind w:firstLine="0"/>
              <w:rPr>
                <w:rFonts w:eastAsia="SimSun"/>
              </w:rPr>
            </w:pPr>
            <w:r w:rsidRPr="00AC3044">
              <w:rPr>
                <w:rFonts w:eastAsia="SimSun"/>
              </w:rPr>
              <w:t>–1, +21</w:t>
            </w:r>
          </w:p>
        </w:tc>
        <w:tc>
          <w:tcPr>
            <w:tcW w:w="2835" w:type="dxa"/>
            <w:vAlign w:val="center"/>
          </w:tcPr>
          <w:p w14:paraId="6C76305B" w14:textId="77777777" w:rsidR="00124A26" w:rsidRPr="00AC3044" w:rsidRDefault="00124A26" w:rsidP="002D3EBF">
            <w:pPr>
              <w:ind w:firstLine="0"/>
              <w:rPr>
                <w:rFonts w:eastAsia="SimSun"/>
              </w:rPr>
            </w:pPr>
            <w:r w:rsidRPr="00AC3044">
              <w:rPr>
                <w:rFonts w:eastAsia="SimSun"/>
              </w:rPr>
              <w:t>В/в, в течение 1 часа</w:t>
            </w:r>
          </w:p>
        </w:tc>
      </w:tr>
      <w:tr w:rsidR="00124A26" w:rsidRPr="00AC3044" w14:paraId="724A5C53" w14:textId="77777777" w:rsidTr="002D3EBF">
        <w:trPr>
          <w:cantSplit/>
          <w:trHeight w:val="20"/>
        </w:trPr>
        <w:tc>
          <w:tcPr>
            <w:tcW w:w="709" w:type="dxa"/>
            <w:vMerge/>
            <w:textDirection w:val="btLr"/>
          </w:tcPr>
          <w:p w14:paraId="1D3E1C32" w14:textId="77777777" w:rsidR="00124A26" w:rsidRPr="00AC3044" w:rsidRDefault="00124A26" w:rsidP="002D3EBF">
            <w:pPr>
              <w:ind w:firstLine="0"/>
              <w:rPr>
                <w:rFonts w:eastAsia="SimSun"/>
              </w:rPr>
            </w:pPr>
          </w:p>
        </w:tc>
        <w:tc>
          <w:tcPr>
            <w:tcW w:w="2410" w:type="dxa"/>
            <w:vAlign w:val="center"/>
          </w:tcPr>
          <w:p w14:paraId="72CC796F" w14:textId="77777777" w:rsidR="00124A26" w:rsidRPr="00AC3044" w:rsidRDefault="00124A26" w:rsidP="002D3EBF">
            <w:pPr>
              <w:ind w:firstLine="0"/>
              <w:rPr>
                <w:rFonts w:eastAsia="SimSun"/>
              </w:rPr>
            </w:pPr>
            <w:r w:rsidRPr="00AC3044">
              <w:rPr>
                <w:rFonts w:eastAsia="SimSun"/>
              </w:rPr>
              <w:t>Абатацепт1</w:t>
            </w:r>
          </w:p>
        </w:tc>
        <w:tc>
          <w:tcPr>
            <w:tcW w:w="1276" w:type="dxa"/>
            <w:vAlign w:val="center"/>
          </w:tcPr>
          <w:p w14:paraId="295B9E46" w14:textId="77777777" w:rsidR="00124A26" w:rsidRPr="00AC3044" w:rsidRDefault="00124A26" w:rsidP="002D3EBF">
            <w:pPr>
              <w:ind w:firstLine="0"/>
              <w:rPr>
                <w:rFonts w:eastAsia="SimSun"/>
              </w:rPr>
            </w:pPr>
            <w:r w:rsidRPr="00AC3044">
              <w:rPr>
                <w:rFonts w:eastAsia="SimSun"/>
              </w:rPr>
              <w:t>10 мг/кг</w:t>
            </w:r>
          </w:p>
        </w:tc>
        <w:tc>
          <w:tcPr>
            <w:tcW w:w="1417" w:type="dxa"/>
            <w:vAlign w:val="center"/>
          </w:tcPr>
          <w:p w14:paraId="3AD39C27" w14:textId="77777777" w:rsidR="00124A26" w:rsidRPr="00AC3044" w:rsidRDefault="00124A26" w:rsidP="002D3EBF">
            <w:pPr>
              <w:ind w:firstLine="0"/>
              <w:rPr>
                <w:rFonts w:eastAsia="SimSun"/>
              </w:rPr>
            </w:pPr>
            <w:r w:rsidRPr="00AC3044">
              <w:rPr>
                <w:rFonts w:eastAsia="SimSun"/>
              </w:rPr>
              <w:t>40 мг/кг</w:t>
            </w:r>
          </w:p>
        </w:tc>
        <w:tc>
          <w:tcPr>
            <w:tcW w:w="1843" w:type="dxa"/>
            <w:vAlign w:val="center"/>
          </w:tcPr>
          <w:p w14:paraId="631A4AE6" w14:textId="77777777" w:rsidR="00124A26" w:rsidRPr="00AC3044" w:rsidRDefault="00124A26" w:rsidP="002D3EBF">
            <w:pPr>
              <w:ind w:firstLine="0"/>
              <w:rPr>
                <w:rFonts w:eastAsia="SimSun"/>
              </w:rPr>
            </w:pPr>
            <w:r w:rsidRPr="00AC3044">
              <w:rPr>
                <w:rFonts w:eastAsia="SimSun"/>
              </w:rPr>
              <w:t>–1,+7,+14,+28</w:t>
            </w:r>
          </w:p>
        </w:tc>
        <w:tc>
          <w:tcPr>
            <w:tcW w:w="2835" w:type="dxa"/>
            <w:vAlign w:val="center"/>
          </w:tcPr>
          <w:p w14:paraId="02B84561" w14:textId="77777777" w:rsidR="00124A26" w:rsidRPr="00AC3044" w:rsidRDefault="00124A26" w:rsidP="002D3EBF">
            <w:pPr>
              <w:ind w:firstLine="0"/>
              <w:rPr>
                <w:rFonts w:eastAsia="SimSun"/>
              </w:rPr>
            </w:pPr>
            <w:r w:rsidRPr="00AC3044">
              <w:rPr>
                <w:rFonts w:eastAsia="SimSun"/>
              </w:rPr>
              <w:t>В/в, в течение 30 мин</w:t>
            </w:r>
          </w:p>
        </w:tc>
      </w:tr>
      <w:tr w:rsidR="00124A26" w:rsidRPr="00AC3044" w14:paraId="58AF9B1B" w14:textId="77777777" w:rsidTr="002D3EBF">
        <w:trPr>
          <w:cantSplit/>
          <w:trHeight w:val="1797"/>
        </w:trPr>
        <w:tc>
          <w:tcPr>
            <w:tcW w:w="709" w:type="dxa"/>
            <w:textDirection w:val="btLr"/>
            <w:vAlign w:val="center"/>
          </w:tcPr>
          <w:p w14:paraId="29C4BDF0" w14:textId="77777777" w:rsidR="00124A26" w:rsidRPr="00AC3044" w:rsidRDefault="00124A26" w:rsidP="002D3EBF">
            <w:pPr>
              <w:ind w:firstLine="0"/>
              <w:rPr>
                <w:rFonts w:eastAsia="SimSun"/>
              </w:rPr>
            </w:pPr>
            <w:r w:rsidRPr="00AC3044">
              <w:rPr>
                <w:rFonts w:eastAsia="SimSun"/>
              </w:rPr>
              <w:t>Ex vivo манипуляция  с трансплантатом</w:t>
            </w:r>
          </w:p>
        </w:tc>
        <w:tc>
          <w:tcPr>
            <w:tcW w:w="2410" w:type="dxa"/>
            <w:vAlign w:val="center"/>
          </w:tcPr>
          <w:p w14:paraId="7BB76C3D" w14:textId="77777777" w:rsidR="00124A26" w:rsidRPr="00AC3044" w:rsidRDefault="00124A26" w:rsidP="002D3EBF">
            <w:pPr>
              <w:ind w:firstLine="0"/>
              <w:rPr>
                <w:rFonts w:eastAsia="SimSun"/>
              </w:rPr>
            </w:pPr>
            <w:r w:rsidRPr="00AC3044">
              <w:rPr>
                <w:rFonts w:eastAsia="SimSun"/>
              </w:rPr>
              <w:t>Комплексная услуга TCRαβ/CD19 деплеция</w:t>
            </w:r>
          </w:p>
        </w:tc>
        <w:tc>
          <w:tcPr>
            <w:tcW w:w="1276" w:type="dxa"/>
            <w:vAlign w:val="center"/>
          </w:tcPr>
          <w:p w14:paraId="46C04803" w14:textId="77777777" w:rsidR="00124A26" w:rsidRPr="00AC3044" w:rsidRDefault="00124A26" w:rsidP="002D3EBF">
            <w:pPr>
              <w:ind w:firstLine="0"/>
              <w:rPr>
                <w:rFonts w:eastAsia="SimSun"/>
              </w:rPr>
            </w:pPr>
            <w:r w:rsidRPr="00AC3044">
              <w:rPr>
                <w:rFonts w:eastAsia="SimSun"/>
              </w:rPr>
              <w:t>–</w:t>
            </w:r>
          </w:p>
        </w:tc>
        <w:tc>
          <w:tcPr>
            <w:tcW w:w="1417" w:type="dxa"/>
            <w:vAlign w:val="center"/>
          </w:tcPr>
          <w:p w14:paraId="59976BA3" w14:textId="77777777" w:rsidR="00124A26" w:rsidRPr="00AC3044" w:rsidRDefault="00124A26" w:rsidP="002D3EBF">
            <w:pPr>
              <w:ind w:firstLine="0"/>
              <w:rPr>
                <w:rFonts w:eastAsia="SimSun"/>
              </w:rPr>
            </w:pPr>
            <w:r w:rsidRPr="00AC3044">
              <w:rPr>
                <w:rFonts w:eastAsia="SimSun"/>
              </w:rPr>
              <w:t>–</w:t>
            </w:r>
          </w:p>
        </w:tc>
        <w:tc>
          <w:tcPr>
            <w:tcW w:w="1843" w:type="dxa"/>
            <w:vAlign w:val="center"/>
          </w:tcPr>
          <w:p w14:paraId="2109302C" w14:textId="77777777" w:rsidR="00124A26" w:rsidRPr="00AC3044" w:rsidRDefault="00124A26" w:rsidP="002D3EBF">
            <w:pPr>
              <w:ind w:firstLine="0"/>
              <w:rPr>
                <w:rFonts w:eastAsia="SimSun"/>
              </w:rPr>
            </w:pPr>
            <w:r w:rsidRPr="00AC3044">
              <w:rPr>
                <w:rFonts w:eastAsia="SimSun"/>
              </w:rPr>
              <w:t>0</w:t>
            </w:r>
          </w:p>
        </w:tc>
        <w:tc>
          <w:tcPr>
            <w:tcW w:w="2835" w:type="dxa"/>
            <w:vAlign w:val="center"/>
          </w:tcPr>
          <w:p w14:paraId="7889C74C" w14:textId="77777777" w:rsidR="00124A26" w:rsidRPr="00AC3044" w:rsidRDefault="00124A26" w:rsidP="002D3EBF">
            <w:pPr>
              <w:ind w:firstLine="0"/>
              <w:rPr>
                <w:rFonts w:eastAsia="SimSun"/>
              </w:rPr>
            </w:pPr>
            <w:r w:rsidRPr="00AC3044">
              <w:rPr>
                <w:rFonts w:eastAsia="SimSun"/>
              </w:rPr>
              <w:t>-</w:t>
            </w:r>
          </w:p>
        </w:tc>
      </w:tr>
      <w:tr w:rsidR="00124A26" w:rsidRPr="00AC3044" w14:paraId="4437C056" w14:textId="77777777" w:rsidTr="002D3EBF">
        <w:trPr>
          <w:trHeight w:val="20"/>
        </w:trPr>
        <w:tc>
          <w:tcPr>
            <w:tcW w:w="10490" w:type="dxa"/>
            <w:gridSpan w:val="6"/>
          </w:tcPr>
          <w:p w14:paraId="63DE353F" w14:textId="77777777" w:rsidR="00124A26" w:rsidRPr="00AC3044" w:rsidRDefault="00124A26" w:rsidP="002D3EBF">
            <w:pPr>
              <w:ind w:firstLine="0"/>
              <w:rPr>
                <w:rFonts w:eastAsia="SimSun"/>
              </w:rPr>
            </w:pPr>
            <w:r w:rsidRPr="00AC3044">
              <w:rPr>
                <w:rFonts w:eastAsia="SimSun"/>
              </w:rPr>
              <w:t>1 Раствор абатацепта нельзя использовать с оборудованием, имеющим в своём составе силикон.  Содержимое одного флакона растворяют в 10 мл воды для инъекций, используя одноразовый бессиликоновый шприц, имеющийся в комплекте с препаратом. Полученный концентрат немедленно разбавляют 0.9% раствором натрия хлорида для инъекций для получения инфузионного раствора, который немедленно вводится в/в за 30мин через инфузионную систему.  Абатацепт нельзя вводить одновременно с другими препаратами через одну инфузионную систему.</w:t>
            </w:r>
          </w:p>
          <w:p w14:paraId="5EAD94F1" w14:textId="77777777" w:rsidR="00124A26" w:rsidRPr="00AC3044" w:rsidRDefault="00124A26" w:rsidP="002D3EBF">
            <w:pPr>
              <w:ind w:firstLine="0"/>
              <w:rPr>
                <w:rFonts w:eastAsia="SimSun"/>
              </w:rPr>
            </w:pPr>
          </w:p>
        </w:tc>
      </w:tr>
    </w:tbl>
    <w:p w14:paraId="29DA7477" w14:textId="77777777" w:rsidR="00124A26" w:rsidRDefault="00124A26" w:rsidP="00124A26">
      <w:pPr>
        <w:rPr>
          <w:rFonts w:eastAsia="SimSun"/>
        </w:rPr>
      </w:pPr>
      <w:bookmarkStart w:id="282" w:name="_Toc44401246"/>
    </w:p>
    <w:p w14:paraId="3CB2CF2C" w14:textId="77777777" w:rsidR="00124A26" w:rsidRPr="00C07B2E" w:rsidRDefault="00124A26" w:rsidP="00124A26">
      <w:pPr>
        <w:rPr>
          <w:rFonts w:eastAsia="SimSun"/>
        </w:rPr>
      </w:pPr>
      <w:r>
        <w:rPr>
          <w:rFonts w:eastAsia="SimSun"/>
        </w:rPr>
        <w:t>Таблица</w:t>
      </w:r>
      <w:r w:rsidRPr="00C07B2E">
        <w:rPr>
          <w:rFonts w:eastAsia="SimSun"/>
        </w:rPr>
        <w:t xml:space="preserve"> </w:t>
      </w:r>
      <w:r>
        <w:rPr>
          <w:rFonts w:eastAsia="SimSun"/>
        </w:rPr>
        <w:t>5.</w:t>
      </w:r>
      <w:r w:rsidRPr="00C07B2E">
        <w:rPr>
          <w:rFonts w:eastAsia="SimSun"/>
        </w:rPr>
        <w:t>4.4.  – CD34+ ("boost")</w:t>
      </w:r>
      <w:bookmarkEnd w:id="282"/>
    </w:p>
    <w:p w14:paraId="32C2B1F0" w14:textId="77777777" w:rsidR="00124A26" w:rsidRPr="00C07B2E" w:rsidRDefault="00124A26" w:rsidP="00124A26">
      <w:pPr>
        <w:rPr>
          <w:rFonts w:eastAsia="SimSun"/>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843"/>
        <w:gridCol w:w="1843"/>
        <w:gridCol w:w="1417"/>
        <w:gridCol w:w="1843"/>
        <w:gridCol w:w="2835"/>
      </w:tblGrid>
      <w:tr w:rsidR="00124A26" w:rsidRPr="00AC3044" w14:paraId="18FC0543" w14:textId="77777777" w:rsidTr="002D3EBF">
        <w:trPr>
          <w:cantSplit/>
          <w:trHeight w:val="20"/>
          <w:tblHeader/>
        </w:trPr>
        <w:tc>
          <w:tcPr>
            <w:tcW w:w="709" w:type="dxa"/>
          </w:tcPr>
          <w:p w14:paraId="72310DB0" w14:textId="77777777" w:rsidR="00124A26" w:rsidRPr="00AC3044" w:rsidRDefault="00124A26" w:rsidP="002D3EBF">
            <w:pPr>
              <w:ind w:firstLine="0"/>
              <w:rPr>
                <w:rFonts w:eastAsia="SimSun"/>
              </w:rPr>
            </w:pPr>
          </w:p>
        </w:tc>
        <w:tc>
          <w:tcPr>
            <w:tcW w:w="1843" w:type="dxa"/>
            <w:vAlign w:val="center"/>
          </w:tcPr>
          <w:p w14:paraId="5EE72068" w14:textId="77777777" w:rsidR="00124A26" w:rsidRPr="00AC3044" w:rsidRDefault="00124A26" w:rsidP="002D3EBF">
            <w:pPr>
              <w:ind w:firstLine="0"/>
              <w:rPr>
                <w:rFonts w:eastAsia="SimSun"/>
              </w:rPr>
            </w:pPr>
            <w:r w:rsidRPr="00AC3044">
              <w:rPr>
                <w:rFonts w:eastAsia="SimSun"/>
              </w:rPr>
              <w:t>Препарат</w:t>
            </w:r>
          </w:p>
        </w:tc>
        <w:tc>
          <w:tcPr>
            <w:tcW w:w="1843" w:type="dxa"/>
            <w:vAlign w:val="center"/>
          </w:tcPr>
          <w:p w14:paraId="63D31F34" w14:textId="77777777" w:rsidR="00124A26" w:rsidRPr="00AC3044" w:rsidRDefault="00124A26" w:rsidP="002D3EBF">
            <w:pPr>
              <w:ind w:firstLine="0"/>
              <w:rPr>
                <w:rFonts w:eastAsia="SimSun"/>
              </w:rPr>
            </w:pPr>
            <w:r w:rsidRPr="00AC3044">
              <w:rPr>
                <w:rFonts w:eastAsia="SimSun"/>
              </w:rPr>
              <w:t>Суточная доза</w:t>
            </w:r>
          </w:p>
        </w:tc>
        <w:tc>
          <w:tcPr>
            <w:tcW w:w="1417" w:type="dxa"/>
            <w:vAlign w:val="center"/>
          </w:tcPr>
          <w:p w14:paraId="3560FD89" w14:textId="77777777" w:rsidR="00124A26" w:rsidRPr="00AC3044" w:rsidRDefault="00124A26" w:rsidP="002D3EBF">
            <w:pPr>
              <w:ind w:firstLine="0"/>
              <w:rPr>
                <w:rFonts w:eastAsia="SimSun"/>
              </w:rPr>
            </w:pPr>
            <w:r w:rsidRPr="00AC3044">
              <w:rPr>
                <w:rFonts w:eastAsia="SimSun"/>
              </w:rPr>
              <w:t>Курсовая доза</w:t>
            </w:r>
          </w:p>
        </w:tc>
        <w:tc>
          <w:tcPr>
            <w:tcW w:w="1843" w:type="dxa"/>
            <w:vAlign w:val="center"/>
          </w:tcPr>
          <w:p w14:paraId="64EB3CF8" w14:textId="77777777" w:rsidR="00124A26" w:rsidRPr="00AC3044" w:rsidRDefault="00124A26" w:rsidP="002D3EBF">
            <w:pPr>
              <w:ind w:firstLine="0"/>
              <w:rPr>
                <w:rFonts w:eastAsia="SimSun"/>
              </w:rPr>
            </w:pPr>
            <w:r w:rsidRPr="00AC3044">
              <w:rPr>
                <w:rFonts w:eastAsia="SimSun"/>
              </w:rPr>
              <w:t>Дни введения</w:t>
            </w:r>
          </w:p>
        </w:tc>
        <w:tc>
          <w:tcPr>
            <w:tcW w:w="2835" w:type="dxa"/>
            <w:vAlign w:val="center"/>
          </w:tcPr>
          <w:p w14:paraId="2F8EEBE2"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6F4F0674" w14:textId="77777777" w:rsidTr="002D3EBF">
        <w:trPr>
          <w:cantSplit/>
          <w:trHeight w:val="1831"/>
        </w:trPr>
        <w:tc>
          <w:tcPr>
            <w:tcW w:w="709" w:type="dxa"/>
            <w:textDirection w:val="btLr"/>
            <w:vAlign w:val="center"/>
          </w:tcPr>
          <w:p w14:paraId="17628BBF" w14:textId="77777777" w:rsidR="00124A26" w:rsidRPr="00AC3044" w:rsidRDefault="00124A26" w:rsidP="002D3EBF">
            <w:pPr>
              <w:ind w:firstLine="0"/>
              <w:rPr>
                <w:rFonts w:eastAsia="SimSun"/>
              </w:rPr>
            </w:pPr>
            <w:r w:rsidRPr="00AC3044">
              <w:rPr>
                <w:rFonts w:eastAsia="SimSun"/>
              </w:rPr>
              <w:t>Кондиционирование</w:t>
            </w:r>
          </w:p>
        </w:tc>
        <w:tc>
          <w:tcPr>
            <w:tcW w:w="9781" w:type="dxa"/>
            <w:gridSpan w:val="5"/>
            <w:vAlign w:val="center"/>
          </w:tcPr>
          <w:p w14:paraId="3A97DEE7" w14:textId="77777777" w:rsidR="00124A26" w:rsidRPr="00AC3044" w:rsidRDefault="00124A26" w:rsidP="002D3EBF">
            <w:pPr>
              <w:ind w:firstLine="0"/>
              <w:rPr>
                <w:rFonts w:eastAsia="SimSun"/>
              </w:rPr>
            </w:pPr>
            <w:r w:rsidRPr="00AC3044">
              <w:rPr>
                <w:rFonts w:eastAsia="SimSun"/>
              </w:rPr>
              <w:t>Без предварительного кондиционирования</w:t>
            </w:r>
          </w:p>
        </w:tc>
      </w:tr>
      <w:tr w:rsidR="00124A26" w:rsidRPr="00AC3044" w14:paraId="5F40F5E7" w14:textId="77777777" w:rsidTr="002D3EBF">
        <w:trPr>
          <w:cantSplit/>
          <w:trHeight w:val="1688"/>
        </w:trPr>
        <w:tc>
          <w:tcPr>
            <w:tcW w:w="709" w:type="dxa"/>
            <w:vMerge w:val="restart"/>
            <w:textDirection w:val="btLr"/>
            <w:vAlign w:val="center"/>
          </w:tcPr>
          <w:p w14:paraId="45B7755E" w14:textId="77777777" w:rsidR="00124A26" w:rsidRPr="00AC3044" w:rsidRDefault="00124A26" w:rsidP="002D3EBF">
            <w:pPr>
              <w:ind w:firstLine="0"/>
              <w:rPr>
                <w:rFonts w:eastAsia="SimSun"/>
              </w:rPr>
            </w:pPr>
            <w:r w:rsidRPr="00AC3044">
              <w:rPr>
                <w:rFonts w:eastAsia="SimSun"/>
              </w:rPr>
              <w:t>Профилактика РТПХ</w:t>
            </w:r>
          </w:p>
        </w:tc>
        <w:tc>
          <w:tcPr>
            <w:tcW w:w="1843" w:type="dxa"/>
            <w:vAlign w:val="center"/>
          </w:tcPr>
          <w:p w14:paraId="2A1E8046" w14:textId="77777777" w:rsidR="00124A26" w:rsidRPr="00AC3044" w:rsidRDefault="00124A26" w:rsidP="002D3EBF">
            <w:pPr>
              <w:ind w:firstLine="0"/>
              <w:rPr>
                <w:rFonts w:eastAsia="SimSun"/>
              </w:rPr>
            </w:pPr>
            <w:r w:rsidRPr="00AC3044">
              <w:rPr>
                <w:rFonts w:eastAsia="SimSun"/>
              </w:rPr>
              <w:t>Циклоспорин</w:t>
            </w:r>
          </w:p>
        </w:tc>
        <w:tc>
          <w:tcPr>
            <w:tcW w:w="1843" w:type="dxa"/>
            <w:vAlign w:val="center"/>
          </w:tcPr>
          <w:p w14:paraId="6F2BD132" w14:textId="77777777" w:rsidR="00124A26" w:rsidRPr="00AC3044" w:rsidRDefault="00124A26" w:rsidP="002D3EBF">
            <w:pPr>
              <w:ind w:firstLine="0"/>
              <w:rPr>
                <w:rFonts w:eastAsia="SimSun"/>
              </w:rPr>
            </w:pPr>
            <w:r w:rsidRPr="00AC3044">
              <w:rPr>
                <w:rFonts w:eastAsia="SimSun"/>
              </w:rPr>
              <w:t>3 мг/кг</w:t>
            </w:r>
          </w:p>
        </w:tc>
        <w:tc>
          <w:tcPr>
            <w:tcW w:w="1417" w:type="dxa"/>
            <w:vAlign w:val="center"/>
          </w:tcPr>
          <w:p w14:paraId="7F056E36" w14:textId="77777777" w:rsidR="00124A26" w:rsidRPr="00AC3044" w:rsidRDefault="00124A26" w:rsidP="002D3EBF">
            <w:pPr>
              <w:ind w:firstLine="0"/>
              <w:rPr>
                <w:rFonts w:eastAsia="SimSun"/>
              </w:rPr>
            </w:pPr>
            <w:r w:rsidRPr="00AC3044">
              <w:rPr>
                <w:rFonts w:eastAsia="SimSun"/>
              </w:rPr>
              <w:t>–</w:t>
            </w:r>
          </w:p>
        </w:tc>
        <w:tc>
          <w:tcPr>
            <w:tcW w:w="1843" w:type="dxa"/>
            <w:vAlign w:val="center"/>
          </w:tcPr>
          <w:p w14:paraId="0E6201FC" w14:textId="77777777" w:rsidR="00124A26" w:rsidRPr="00AC3044" w:rsidRDefault="00124A26" w:rsidP="002D3EBF">
            <w:pPr>
              <w:ind w:firstLine="0"/>
              <w:rPr>
                <w:rFonts w:eastAsia="SimSun"/>
              </w:rPr>
            </w:pPr>
            <w:r w:rsidRPr="00AC3044">
              <w:rPr>
                <w:rFonts w:eastAsia="SimSun"/>
              </w:rPr>
              <w:t>С +5 дня по +90 день затем постепенное снижение к +180 дню</w:t>
            </w:r>
          </w:p>
        </w:tc>
        <w:tc>
          <w:tcPr>
            <w:tcW w:w="2835" w:type="dxa"/>
            <w:vAlign w:val="center"/>
          </w:tcPr>
          <w:p w14:paraId="60F2D778" w14:textId="77777777" w:rsidR="00124A26" w:rsidRPr="00AC3044" w:rsidRDefault="00124A26" w:rsidP="002D3EB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72099">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124A26" w:rsidRPr="00AC3044" w14:paraId="1A6E770D" w14:textId="77777777" w:rsidTr="002D3EBF">
        <w:trPr>
          <w:cantSplit/>
          <w:trHeight w:val="20"/>
        </w:trPr>
        <w:tc>
          <w:tcPr>
            <w:tcW w:w="709" w:type="dxa"/>
            <w:vMerge/>
            <w:textDirection w:val="btLr"/>
          </w:tcPr>
          <w:p w14:paraId="5A267A8E" w14:textId="77777777" w:rsidR="00124A26" w:rsidRPr="00AC3044" w:rsidRDefault="00124A26" w:rsidP="002D3EBF">
            <w:pPr>
              <w:ind w:firstLine="0"/>
              <w:rPr>
                <w:rFonts w:eastAsia="SimSun"/>
              </w:rPr>
            </w:pPr>
          </w:p>
        </w:tc>
        <w:tc>
          <w:tcPr>
            <w:tcW w:w="1843" w:type="dxa"/>
            <w:vAlign w:val="center"/>
          </w:tcPr>
          <w:p w14:paraId="1138790C" w14:textId="77777777" w:rsidR="00124A26" w:rsidRPr="00AC3044" w:rsidRDefault="00124A26" w:rsidP="002D3EBF">
            <w:pPr>
              <w:ind w:firstLine="0"/>
              <w:rPr>
                <w:rFonts w:eastAsia="SimSun"/>
              </w:rPr>
            </w:pPr>
            <w:r w:rsidRPr="00AC3044">
              <w:rPr>
                <w:rFonts w:eastAsia="SimSun"/>
              </w:rPr>
              <w:t>Микофенолата мофетил</w:t>
            </w:r>
          </w:p>
        </w:tc>
        <w:tc>
          <w:tcPr>
            <w:tcW w:w="1843" w:type="dxa"/>
            <w:vAlign w:val="center"/>
          </w:tcPr>
          <w:p w14:paraId="3E888492" w14:textId="77777777" w:rsidR="00124A26" w:rsidRPr="00AC3044" w:rsidRDefault="00124A26" w:rsidP="002D3EBF">
            <w:pPr>
              <w:ind w:firstLine="0"/>
              <w:rPr>
                <w:rFonts w:eastAsia="SimSun"/>
              </w:rPr>
            </w:pPr>
            <w:r w:rsidRPr="00AC3044">
              <w:rPr>
                <w:rFonts w:eastAsia="SimSun"/>
              </w:rPr>
              <w:t>30 мг/кг</w:t>
            </w:r>
          </w:p>
        </w:tc>
        <w:tc>
          <w:tcPr>
            <w:tcW w:w="1417" w:type="dxa"/>
            <w:vAlign w:val="center"/>
          </w:tcPr>
          <w:p w14:paraId="1652AC42" w14:textId="77777777" w:rsidR="00124A26" w:rsidRPr="00AC3044" w:rsidRDefault="00124A26" w:rsidP="002D3EBF">
            <w:pPr>
              <w:ind w:firstLine="0"/>
              <w:rPr>
                <w:rFonts w:eastAsia="SimSun"/>
              </w:rPr>
            </w:pPr>
            <w:r w:rsidRPr="00AC3044">
              <w:rPr>
                <w:rFonts w:eastAsia="SimSun"/>
              </w:rPr>
              <w:t>–</w:t>
            </w:r>
          </w:p>
        </w:tc>
        <w:tc>
          <w:tcPr>
            <w:tcW w:w="1843" w:type="dxa"/>
            <w:vAlign w:val="center"/>
          </w:tcPr>
          <w:p w14:paraId="7CA723EF" w14:textId="77777777" w:rsidR="00124A26" w:rsidRPr="00AC3044" w:rsidRDefault="00124A26" w:rsidP="002D3EBF">
            <w:pPr>
              <w:ind w:firstLine="0"/>
              <w:rPr>
                <w:rFonts w:eastAsia="SimSun"/>
              </w:rPr>
            </w:pPr>
            <w:r w:rsidRPr="00AC3044">
              <w:rPr>
                <w:rFonts w:eastAsia="SimSun"/>
              </w:rPr>
              <w:t>С +5 по +90 день</w:t>
            </w:r>
          </w:p>
        </w:tc>
        <w:tc>
          <w:tcPr>
            <w:tcW w:w="2835" w:type="dxa"/>
            <w:vAlign w:val="center"/>
          </w:tcPr>
          <w:p w14:paraId="331A7E5D" w14:textId="77777777" w:rsidR="00124A26" w:rsidRPr="00AC3044" w:rsidRDefault="00124A26" w:rsidP="002D3EB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r w:rsidR="00124A26" w:rsidRPr="00AC3044" w14:paraId="6744867F" w14:textId="77777777" w:rsidTr="002D3EBF">
        <w:trPr>
          <w:cantSplit/>
          <w:trHeight w:val="1797"/>
        </w:trPr>
        <w:tc>
          <w:tcPr>
            <w:tcW w:w="709" w:type="dxa"/>
            <w:textDirection w:val="btLr"/>
            <w:vAlign w:val="center"/>
          </w:tcPr>
          <w:p w14:paraId="1AD9E938" w14:textId="77777777" w:rsidR="00124A26" w:rsidRPr="00AC3044" w:rsidRDefault="00124A26" w:rsidP="002D3EBF">
            <w:pPr>
              <w:ind w:firstLine="0"/>
              <w:rPr>
                <w:rFonts w:eastAsia="SimSun"/>
              </w:rPr>
            </w:pPr>
            <w:r w:rsidRPr="00AC3044">
              <w:rPr>
                <w:rFonts w:eastAsia="SimSun"/>
              </w:rPr>
              <w:t>Ex vivo манипуляция  с трансплантатом</w:t>
            </w:r>
          </w:p>
        </w:tc>
        <w:tc>
          <w:tcPr>
            <w:tcW w:w="1843" w:type="dxa"/>
            <w:vAlign w:val="center"/>
          </w:tcPr>
          <w:p w14:paraId="34D4C55D" w14:textId="77777777" w:rsidR="00124A26" w:rsidRPr="00AC3044" w:rsidRDefault="00124A26" w:rsidP="002D3EBF">
            <w:pPr>
              <w:ind w:firstLine="0"/>
              <w:rPr>
                <w:rFonts w:eastAsia="SimSun"/>
              </w:rPr>
            </w:pPr>
            <w:r w:rsidRPr="00AC3044">
              <w:rPr>
                <w:rFonts w:eastAsia="SimSun"/>
              </w:rPr>
              <w:t>CD34+ селекция (A18.05.017.004)</w:t>
            </w:r>
          </w:p>
        </w:tc>
        <w:tc>
          <w:tcPr>
            <w:tcW w:w="1843" w:type="dxa"/>
            <w:vAlign w:val="center"/>
          </w:tcPr>
          <w:p w14:paraId="61A44737" w14:textId="77777777" w:rsidR="00124A26" w:rsidRPr="00AC3044" w:rsidRDefault="00124A26" w:rsidP="002D3EBF">
            <w:pPr>
              <w:ind w:firstLine="0"/>
              <w:rPr>
                <w:rFonts w:eastAsia="SimSun"/>
              </w:rPr>
            </w:pPr>
            <w:r w:rsidRPr="00AC3044">
              <w:rPr>
                <w:rFonts w:eastAsia="SimSun"/>
              </w:rPr>
              <w:t>–</w:t>
            </w:r>
          </w:p>
        </w:tc>
        <w:tc>
          <w:tcPr>
            <w:tcW w:w="1417" w:type="dxa"/>
            <w:vAlign w:val="center"/>
          </w:tcPr>
          <w:p w14:paraId="764CFF4A" w14:textId="77777777" w:rsidR="00124A26" w:rsidRPr="00AC3044" w:rsidRDefault="00124A26" w:rsidP="002D3EBF">
            <w:pPr>
              <w:ind w:firstLine="0"/>
              <w:rPr>
                <w:rFonts w:eastAsia="SimSun"/>
              </w:rPr>
            </w:pPr>
            <w:r w:rsidRPr="00AC3044">
              <w:rPr>
                <w:rFonts w:eastAsia="SimSun"/>
              </w:rPr>
              <w:t>–</w:t>
            </w:r>
          </w:p>
        </w:tc>
        <w:tc>
          <w:tcPr>
            <w:tcW w:w="1843" w:type="dxa"/>
            <w:vAlign w:val="center"/>
          </w:tcPr>
          <w:p w14:paraId="02EAB2D2" w14:textId="77777777" w:rsidR="00124A26" w:rsidRPr="00AC3044" w:rsidRDefault="00124A26" w:rsidP="002D3EBF">
            <w:pPr>
              <w:ind w:firstLine="0"/>
              <w:rPr>
                <w:rFonts w:eastAsia="SimSun"/>
              </w:rPr>
            </w:pPr>
            <w:r w:rsidRPr="00AC3044">
              <w:rPr>
                <w:rFonts w:eastAsia="SimSun"/>
              </w:rPr>
              <w:t>0</w:t>
            </w:r>
          </w:p>
        </w:tc>
        <w:tc>
          <w:tcPr>
            <w:tcW w:w="2835" w:type="dxa"/>
            <w:vAlign w:val="center"/>
          </w:tcPr>
          <w:p w14:paraId="00DADC5D" w14:textId="77777777" w:rsidR="00124A26" w:rsidRPr="00AC3044" w:rsidRDefault="00124A26" w:rsidP="002D3EBF">
            <w:pPr>
              <w:ind w:firstLine="0"/>
              <w:rPr>
                <w:rFonts w:eastAsia="SimSun"/>
              </w:rPr>
            </w:pPr>
            <w:r w:rsidRPr="00AC3044">
              <w:rPr>
                <w:rFonts w:eastAsia="SimSun"/>
              </w:rPr>
              <w:t>–</w:t>
            </w:r>
          </w:p>
        </w:tc>
      </w:tr>
      <w:tr w:rsidR="00124A26" w:rsidRPr="00AC3044" w14:paraId="389B8D14" w14:textId="77777777" w:rsidTr="002D3EBF">
        <w:trPr>
          <w:cantSplit/>
          <w:trHeight w:val="1420"/>
        </w:trPr>
        <w:tc>
          <w:tcPr>
            <w:tcW w:w="709" w:type="dxa"/>
            <w:textDirection w:val="btLr"/>
            <w:vAlign w:val="center"/>
          </w:tcPr>
          <w:p w14:paraId="4AE89524" w14:textId="77777777" w:rsidR="00124A26" w:rsidRPr="00AC3044" w:rsidRDefault="00124A26" w:rsidP="002D3EBF">
            <w:pPr>
              <w:ind w:firstLine="0"/>
              <w:rPr>
                <w:rFonts w:eastAsia="SimSun"/>
              </w:rPr>
            </w:pPr>
            <w:r w:rsidRPr="00AC3044">
              <w:rPr>
                <w:rFonts w:eastAsia="SimSun"/>
              </w:rPr>
              <w:t>Сопроводительная терапия</w:t>
            </w:r>
          </w:p>
        </w:tc>
        <w:tc>
          <w:tcPr>
            <w:tcW w:w="1843" w:type="dxa"/>
            <w:vAlign w:val="center"/>
          </w:tcPr>
          <w:p w14:paraId="57AE5919" w14:textId="77777777" w:rsidR="00124A26" w:rsidRPr="00AC3044" w:rsidRDefault="00124A26" w:rsidP="002D3EBF">
            <w:pPr>
              <w:ind w:firstLine="0"/>
              <w:rPr>
                <w:rFonts w:eastAsia="SimSun"/>
              </w:rPr>
            </w:pPr>
            <w:r w:rsidRPr="00AC3044">
              <w:rPr>
                <w:rFonts w:eastAsia="SimSun"/>
              </w:rPr>
              <w:t>Урсодезоксихолевая кислота</w:t>
            </w:r>
          </w:p>
        </w:tc>
        <w:tc>
          <w:tcPr>
            <w:tcW w:w="1843" w:type="dxa"/>
            <w:vAlign w:val="center"/>
          </w:tcPr>
          <w:p w14:paraId="569CF7CF" w14:textId="77777777" w:rsidR="00124A26" w:rsidRPr="00AC3044" w:rsidRDefault="00124A26" w:rsidP="002D3EBF">
            <w:pPr>
              <w:ind w:firstLine="0"/>
              <w:rPr>
                <w:rFonts w:eastAsia="SimSun"/>
              </w:rPr>
            </w:pPr>
            <w:r w:rsidRPr="00AC3044">
              <w:rPr>
                <w:rFonts w:eastAsia="SimSun"/>
              </w:rPr>
              <w:t>12 мг/кг</w:t>
            </w:r>
          </w:p>
        </w:tc>
        <w:tc>
          <w:tcPr>
            <w:tcW w:w="1417" w:type="dxa"/>
            <w:vAlign w:val="center"/>
          </w:tcPr>
          <w:p w14:paraId="5EDBB755" w14:textId="77777777" w:rsidR="00124A26" w:rsidRPr="00AC3044" w:rsidRDefault="00124A26" w:rsidP="002D3EBF">
            <w:pPr>
              <w:ind w:firstLine="0"/>
              <w:rPr>
                <w:rFonts w:eastAsia="SimSun"/>
              </w:rPr>
            </w:pPr>
            <w:r w:rsidRPr="00AC3044">
              <w:rPr>
                <w:rFonts w:eastAsia="SimSun"/>
              </w:rPr>
              <w:t>–</w:t>
            </w:r>
          </w:p>
        </w:tc>
        <w:tc>
          <w:tcPr>
            <w:tcW w:w="1843" w:type="dxa"/>
            <w:vAlign w:val="center"/>
          </w:tcPr>
          <w:p w14:paraId="2E1530BD" w14:textId="77777777" w:rsidR="00124A26" w:rsidRPr="00AC3044" w:rsidRDefault="00124A26" w:rsidP="002D3EBF">
            <w:pPr>
              <w:ind w:firstLine="0"/>
              <w:rPr>
                <w:rFonts w:eastAsia="SimSun"/>
              </w:rPr>
            </w:pPr>
            <w:r w:rsidRPr="00AC3044">
              <w:rPr>
                <w:rFonts w:eastAsia="SimSun"/>
              </w:rPr>
              <w:t>С 0 по +180 день</w:t>
            </w:r>
          </w:p>
        </w:tc>
        <w:tc>
          <w:tcPr>
            <w:tcW w:w="2835" w:type="dxa"/>
            <w:vAlign w:val="center"/>
          </w:tcPr>
          <w:p w14:paraId="7DFB9BF9" w14:textId="77777777" w:rsidR="00124A26" w:rsidRPr="00AC3044" w:rsidRDefault="00124A26" w:rsidP="002D3EBF">
            <w:pPr>
              <w:ind w:firstLine="0"/>
              <w:rPr>
                <w:rFonts w:eastAsia="SimSun"/>
              </w:rPr>
            </w:pPr>
            <w:r w:rsidRPr="00AC3044">
              <w:rPr>
                <w:rFonts w:eastAsia="SimSun"/>
              </w:rPr>
              <w:t>Внутрь, суточная доза разделяется на 1–2 приема (вечер или день и вечер)</w:t>
            </w:r>
          </w:p>
        </w:tc>
      </w:tr>
    </w:tbl>
    <w:p w14:paraId="42800837" w14:textId="77777777" w:rsidR="00124A26" w:rsidRPr="00C07B2E" w:rsidRDefault="00124A26" w:rsidP="00124A26">
      <w:pPr>
        <w:rPr>
          <w:rFonts w:eastAsia="SimSun"/>
        </w:rPr>
        <w:sectPr w:rsidR="00124A26" w:rsidRPr="00C07B2E" w:rsidSect="00980822">
          <w:type w:val="continuous"/>
          <w:pgSz w:w="11907" w:h="16839" w:code="9"/>
          <w:pgMar w:top="1134" w:right="850" w:bottom="1134" w:left="1701" w:header="709" w:footer="567" w:gutter="0"/>
          <w:cols w:space="708"/>
          <w:docGrid w:linePitch="360"/>
        </w:sectPr>
      </w:pPr>
    </w:p>
    <w:p w14:paraId="44C7F88D" w14:textId="77777777" w:rsidR="00124A26" w:rsidRDefault="00124A26" w:rsidP="00124A26">
      <w:pPr>
        <w:rPr>
          <w:rFonts w:eastAsia="SimSun"/>
        </w:rPr>
      </w:pPr>
      <w:bookmarkStart w:id="283" w:name="_Toc44401247"/>
    </w:p>
    <w:p w14:paraId="46971981" w14:textId="77777777" w:rsidR="00124A26" w:rsidRPr="000F445E" w:rsidRDefault="00124A26" w:rsidP="00124A26">
      <w:pPr>
        <w:rPr>
          <w:rFonts w:eastAsia="SimSun"/>
          <w:b/>
        </w:rPr>
      </w:pPr>
      <w:r>
        <w:rPr>
          <w:rFonts w:eastAsia="SimSun"/>
          <w:b/>
        </w:rPr>
        <w:t>6</w:t>
      </w:r>
      <w:r w:rsidRPr="000F445E">
        <w:rPr>
          <w:rFonts w:eastAsia="SimSun"/>
          <w:b/>
        </w:rPr>
        <w:t>.  Сопроводительная терапия</w:t>
      </w:r>
      <w:bookmarkEnd w:id="283"/>
    </w:p>
    <w:p w14:paraId="2DBA535D" w14:textId="77777777" w:rsidR="00124A26" w:rsidRDefault="00124A26" w:rsidP="00124A26">
      <w:pPr>
        <w:rPr>
          <w:rFonts w:eastAsia="SimSun"/>
        </w:rPr>
      </w:pPr>
      <w:bookmarkStart w:id="284" w:name="_Toc44401249"/>
    </w:p>
    <w:bookmarkEnd w:id="284"/>
    <w:p w14:paraId="601CE708" w14:textId="77777777" w:rsidR="00124A26" w:rsidRPr="00C07B2E" w:rsidRDefault="00124A26" w:rsidP="00124A26">
      <w:pPr>
        <w:rPr>
          <w:rFonts w:eastAsia="SimSun"/>
        </w:rPr>
      </w:pPr>
      <w:r w:rsidRPr="00C07B2E">
        <w:rPr>
          <w:rFonts w:eastAsia="SimSun"/>
        </w:rPr>
        <w:t xml:space="preserve">Основные препараты для сопроводительной терапии и их варианты применения указаны в </w:t>
      </w:r>
      <w:r>
        <w:rPr>
          <w:rFonts w:eastAsia="SimSun"/>
        </w:rPr>
        <w:t>Таблице</w:t>
      </w:r>
      <w:r w:rsidRPr="00C07B2E">
        <w:rPr>
          <w:rFonts w:eastAsia="SimSun"/>
        </w:rPr>
        <w:t xml:space="preserve"> </w:t>
      </w:r>
      <w:r>
        <w:rPr>
          <w:rFonts w:eastAsia="SimSun"/>
        </w:rPr>
        <w:t>6</w:t>
      </w:r>
      <w:r w:rsidRPr="00C07B2E">
        <w:rPr>
          <w:rFonts w:eastAsia="SimSun"/>
        </w:rPr>
        <w:t>.1. Допускается использование как отдельных вариантнов так и их комбинаций.</w:t>
      </w:r>
    </w:p>
    <w:p w14:paraId="4FD80C5A" w14:textId="77777777" w:rsidR="00124A26" w:rsidRPr="00C07B2E" w:rsidRDefault="00124A26" w:rsidP="00124A26">
      <w:pPr>
        <w:rPr>
          <w:rFonts w:eastAsia="SimSun"/>
        </w:rPr>
      </w:pPr>
    </w:p>
    <w:p w14:paraId="2E5EA87F" w14:textId="77777777" w:rsidR="00124A26" w:rsidRPr="000F445E" w:rsidRDefault="00124A26" w:rsidP="00124A26">
      <w:pPr>
        <w:rPr>
          <w:rFonts w:eastAsia="SimSun"/>
        </w:rPr>
      </w:pPr>
      <w:bookmarkStart w:id="285" w:name="_Toc44401250"/>
      <w:r w:rsidRPr="000F445E">
        <w:rPr>
          <w:rFonts w:eastAsia="SimSun"/>
        </w:rPr>
        <w:t xml:space="preserve">Таблица </w:t>
      </w:r>
      <w:r>
        <w:rPr>
          <w:rFonts w:eastAsia="SimSun"/>
        </w:rPr>
        <w:t>6</w:t>
      </w:r>
      <w:r w:rsidRPr="000F445E">
        <w:rPr>
          <w:rFonts w:eastAsia="SimSun"/>
        </w:rPr>
        <w:t>.1 Основные препараты для сопроводительной терапии и их варианты применения</w:t>
      </w:r>
      <w:bookmarkEnd w:id="285"/>
    </w:p>
    <w:p w14:paraId="0072D4C6" w14:textId="77777777" w:rsidR="00124A26" w:rsidRPr="00C07B2E" w:rsidRDefault="00124A26" w:rsidP="00124A26">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9"/>
        <w:gridCol w:w="1830"/>
        <w:gridCol w:w="1270"/>
        <w:gridCol w:w="946"/>
        <w:gridCol w:w="2271"/>
        <w:gridCol w:w="1593"/>
      </w:tblGrid>
      <w:tr w:rsidR="00124A26" w:rsidRPr="00AC3044" w14:paraId="5C5E1321" w14:textId="77777777" w:rsidTr="002D3EBF">
        <w:trPr>
          <w:cantSplit/>
          <w:trHeight w:val="464"/>
        </w:trPr>
        <w:tc>
          <w:tcPr>
            <w:tcW w:w="168" w:type="pct"/>
            <w:tcBorders>
              <w:top w:val="single" w:sz="4" w:space="0" w:color="auto"/>
              <w:left w:val="single" w:sz="4" w:space="0" w:color="auto"/>
              <w:bottom w:val="single" w:sz="4" w:space="0" w:color="auto"/>
              <w:right w:val="single" w:sz="4" w:space="0" w:color="auto"/>
            </w:tcBorders>
            <w:vAlign w:val="center"/>
          </w:tcPr>
          <w:p w14:paraId="50597217" w14:textId="77777777" w:rsidR="00124A26" w:rsidRPr="00AC3044" w:rsidRDefault="00124A26" w:rsidP="002D3EBF">
            <w:pPr>
              <w:ind w:firstLine="0"/>
              <w:rPr>
                <w:rFonts w:eastAsia="SimSun"/>
              </w:rPr>
            </w:pPr>
            <w:r w:rsidRPr="00AC3044">
              <w:rPr>
                <w:rFonts w:eastAsia="SimSun"/>
              </w:rPr>
              <w:t>Вариант</w:t>
            </w:r>
          </w:p>
        </w:tc>
        <w:tc>
          <w:tcPr>
            <w:tcW w:w="1133" w:type="pct"/>
            <w:tcBorders>
              <w:top w:val="single" w:sz="4" w:space="0" w:color="auto"/>
              <w:left w:val="single" w:sz="4" w:space="0" w:color="auto"/>
              <w:bottom w:val="single" w:sz="4" w:space="0" w:color="auto"/>
              <w:right w:val="single" w:sz="4" w:space="0" w:color="auto"/>
            </w:tcBorders>
            <w:vAlign w:val="center"/>
          </w:tcPr>
          <w:p w14:paraId="127AC51C" w14:textId="77777777" w:rsidR="00124A26" w:rsidRPr="00AC3044" w:rsidRDefault="00124A26" w:rsidP="002D3EBF">
            <w:pPr>
              <w:ind w:firstLine="0"/>
              <w:rPr>
                <w:rFonts w:eastAsia="SimSun"/>
              </w:rPr>
            </w:pPr>
            <w:r w:rsidRPr="00AC3044">
              <w:rPr>
                <w:rFonts w:eastAsia="SimSun"/>
              </w:rPr>
              <w:t>Препарат</w:t>
            </w:r>
          </w:p>
        </w:tc>
        <w:tc>
          <w:tcPr>
            <w:tcW w:w="614" w:type="pct"/>
            <w:tcBorders>
              <w:top w:val="single" w:sz="4" w:space="0" w:color="auto"/>
              <w:left w:val="single" w:sz="4" w:space="0" w:color="auto"/>
              <w:bottom w:val="single" w:sz="4" w:space="0" w:color="auto"/>
              <w:right w:val="single" w:sz="4" w:space="0" w:color="auto"/>
            </w:tcBorders>
            <w:vAlign w:val="center"/>
          </w:tcPr>
          <w:p w14:paraId="0AE87F91" w14:textId="77777777" w:rsidR="00124A26" w:rsidRPr="00AC3044" w:rsidRDefault="00124A26" w:rsidP="002D3EBF">
            <w:pPr>
              <w:ind w:firstLine="0"/>
              <w:rPr>
                <w:rFonts w:eastAsia="SimSun"/>
              </w:rPr>
            </w:pPr>
            <w:r w:rsidRPr="00AC3044">
              <w:rPr>
                <w:rFonts w:eastAsia="SimSun"/>
              </w:rPr>
              <w:t>Суточная доза</w:t>
            </w:r>
          </w:p>
        </w:tc>
        <w:tc>
          <w:tcPr>
            <w:tcW w:w="486" w:type="pct"/>
            <w:tcBorders>
              <w:top w:val="single" w:sz="4" w:space="0" w:color="auto"/>
              <w:left w:val="single" w:sz="4" w:space="0" w:color="auto"/>
              <w:bottom w:val="single" w:sz="4" w:space="0" w:color="auto"/>
              <w:right w:val="single" w:sz="4" w:space="0" w:color="auto"/>
            </w:tcBorders>
            <w:vAlign w:val="center"/>
          </w:tcPr>
          <w:p w14:paraId="1472A097" w14:textId="77777777" w:rsidR="00124A26" w:rsidRPr="00AC3044" w:rsidRDefault="00124A26" w:rsidP="002D3EBF">
            <w:pPr>
              <w:ind w:firstLine="0"/>
              <w:rPr>
                <w:rFonts w:eastAsia="SimSun"/>
              </w:rPr>
            </w:pPr>
            <w:r w:rsidRPr="00AC3044">
              <w:rPr>
                <w:rFonts w:eastAsia="SimSun"/>
              </w:rPr>
              <w:t>Курсовая доза</w:t>
            </w:r>
          </w:p>
        </w:tc>
        <w:tc>
          <w:tcPr>
            <w:tcW w:w="1370" w:type="pct"/>
            <w:tcBorders>
              <w:top w:val="single" w:sz="4" w:space="0" w:color="auto"/>
              <w:left w:val="single" w:sz="4" w:space="0" w:color="auto"/>
              <w:bottom w:val="single" w:sz="4" w:space="0" w:color="auto"/>
              <w:right w:val="single" w:sz="4" w:space="0" w:color="auto"/>
            </w:tcBorders>
            <w:vAlign w:val="center"/>
          </w:tcPr>
          <w:p w14:paraId="0C877C34" w14:textId="77777777" w:rsidR="00124A26" w:rsidRPr="00AC3044" w:rsidRDefault="00124A26" w:rsidP="002D3EBF">
            <w:pPr>
              <w:ind w:firstLine="0"/>
              <w:rPr>
                <w:rFonts w:eastAsia="SimSun"/>
              </w:rPr>
            </w:pPr>
            <w:r w:rsidRPr="00AC3044">
              <w:rPr>
                <w:rFonts w:eastAsia="SimSun"/>
              </w:rPr>
              <w:t>Дни введения</w:t>
            </w:r>
          </w:p>
        </w:tc>
        <w:tc>
          <w:tcPr>
            <w:tcW w:w="1229" w:type="pct"/>
            <w:tcBorders>
              <w:top w:val="single" w:sz="4" w:space="0" w:color="auto"/>
              <w:left w:val="single" w:sz="4" w:space="0" w:color="auto"/>
              <w:bottom w:val="single" w:sz="4" w:space="0" w:color="auto"/>
              <w:right w:val="single" w:sz="4" w:space="0" w:color="auto"/>
            </w:tcBorders>
            <w:vAlign w:val="center"/>
          </w:tcPr>
          <w:p w14:paraId="44B484F9" w14:textId="77777777" w:rsidR="00124A26" w:rsidRPr="00AC3044" w:rsidRDefault="00124A26" w:rsidP="002D3EBF">
            <w:pPr>
              <w:ind w:firstLine="0"/>
              <w:rPr>
                <w:rFonts w:eastAsia="SimSun"/>
              </w:rPr>
            </w:pPr>
            <w:r w:rsidRPr="00AC3044">
              <w:rPr>
                <w:rFonts w:eastAsia="SimSun"/>
              </w:rPr>
              <w:t>Порядок введения</w:t>
            </w:r>
          </w:p>
        </w:tc>
      </w:tr>
      <w:tr w:rsidR="00124A26" w:rsidRPr="00AC3044" w14:paraId="3FD0D0D6" w14:textId="77777777" w:rsidTr="002D3EBF">
        <w:trPr>
          <w:cantSplit/>
          <w:trHeight w:val="464"/>
        </w:trPr>
        <w:tc>
          <w:tcPr>
            <w:tcW w:w="5000" w:type="pct"/>
            <w:gridSpan w:val="6"/>
          </w:tcPr>
          <w:p w14:paraId="2010CE8E" w14:textId="77777777" w:rsidR="00124A26" w:rsidRPr="00AC3044" w:rsidRDefault="00124A26" w:rsidP="002D3EBF">
            <w:pPr>
              <w:ind w:firstLine="0"/>
              <w:rPr>
                <w:rFonts w:eastAsia="SimSun"/>
              </w:rPr>
            </w:pPr>
            <w:r w:rsidRPr="00AC3044">
              <w:rPr>
                <w:rFonts w:eastAsia="SimSun"/>
              </w:rPr>
              <w:t>Инфузионная терапия</w:t>
            </w:r>
          </w:p>
        </w:tc>
      </w:tr>
      <w:tr w:rsidR="00124A26" w:rsidRPr="00AC3044" w14:paraId="3D663CF3" w14:textId="77777777" w:rsidTr="002D3EBF">
        <w:trPr>
          <w:cantSplit/>
          <w:trHeight w:val="464"/>
        </w:trPr>
        <w:tc>
          <w:tcPr>
            <w:tcW w:w="168" w:type="pct"/>
          </w:tcPr>
          <w:p w14:paraId="48E884DF" w14:textId="77777777" w:rsidR="00124A26" w:rsidRPr="00AC3044" w:rsidRDefault="00124A26" w:rsidP="002D3EBF">
            <w:pPr>
              <w:ind w:firstLine="0"/>
              <w:rPr>
                <w:rFonts w:eastAsia="SimSun"/>
              </w:rPr>
            </w:pPr>
            <w:r w:rsidRPr="00AC3044">
              <w:rPr>
                <w:rFonts w:eastAsia="SimSun"/>
              </w:rPr>
              <w:t>1</w:t>
            </w:r>
          </w:p>
        </w:tc>
        <w:tc>
          <w:tcPr>
            <w:tcW w:w="1133" w:type="pct"/>
            <w:vAlign w:val="center"/>
          </w:tcPr>
          <w:p w14:paraId="1B3E44C4" w14:textId="77777777" w:rsidR="00124A26" w:rsidRPr="00AC3044" w:rsidRDefault="00124A26" w:rsidP="002D3EBF">
            <w:pPr>
              <w:ind w:firstLine="0"/>
              <w:rPr>
                <w:rFonts w:eastAsia="SimSun"/>
              </w:rPr>
            </w:pPr>
            <w:r w:rsidRPr="00AC3044">
              <w:rPr>
                <w:rFonts w:eastAsia="SimSun"/>
              </w:rPr>
              <w:t xml:space="preserve">Натрия бикарбонат </w:t>
            </w:r>
          </w:p>
        </w:tc>
        <w:tc>
          <w:tcPr>
            <w:tcW w:w="614" w:type="pct"/>
            <w:vAlign w:val="center"/>
          </w:tcPr>
          <w:p w14:paraId="3EE0E04E" w14:textId="77777777" w:rsidR="00124A26" w:rsidRPr="00AC3044" w:rsidRDefault="00124A26" w:rsidP="002D3EBF">
            <w:pPr>
              <w:ind w:firstLine="0"/>
              <w:rPr>
                <w:rFonts w:eastAsia="SimSun"/>
              </w:rPr>
            </w:pPr>
            <w:r w:rsidRPr="00AC3044">
              <w:rPr>
                <w:rFonts w:eastAsia="SimSun"/>
              </w:rPr>
              <w:t>1200 мг/литр инфузионной терапии</w:t>
            </w:r>
          </w:p>
        </w:tc>
        <w:tc>
          <w:tcPr>
            <w:tcW w:w="486" w:type="pct"/>
            <w:vAlign w:val="center"/>
          </w:tcPr>
          <w:p w14:paraId="5409E6A7" w14:textId="77777777" w:rsidR="00124A26" w:rsidRPr="00AC3044" w:rsidRDefault="00124A26" w:rsidP="002D3EBF">
            <w:pPr>
              <w:ind w:firstLine="0"/>
              <w:rPr>
                <w:rFonts w:eastAsia="SimSun"/>
              </w:rPr>
            </w:pPr>
            <w:r w:rsidRPr="00AC3044">
              <w:rPr>
                <w:rFonts w:eastAsia="SimSun"/>
              </w:rPr>
              <w:t>–</w:t>
            </w:r>
          </w:p>
        </w:tc>
        <w:tc>
          <w:tcPr>
            <w:tcW w:w="1370" w:type="pct"/>
            <w:vAlign w:val="center"/>
          </w:tcPr>
          <w:p w14:paraId="1AE2781A" w14:textId="77777777" w:rsidR="00124A26" w:rsidRPr="00AC3044" w:rsidRDefault="00124A26" w:rsidP="002D3EBF">
            <w:pPr>
              <w:ind w:firstLine="0"/>
              <w:rPr>
                <w:rFonts w:eastAsia="SimSun"/>
              </w:rPr>
            </w:pPr>
            <w:r w:rsidRPr="00AC3044">
              <w:rPr>
                <w:rFonts w:eastAsia="SimSun"/>
              </w:rPr>
              <w:t xml:space="preserve">С дня -7 по -2 день </w:t>
            </w:r>
          </w:p>
        </w:tc>
        <w:tc>
          <w:tcPr>
            <w:tcW w:w="1229" w:type="pct"/>
            <w:vAlign w:val="center"/>
          </w:tcPr>
          <w:p w14:paraId="7D263257" w14:textId="77777777" w:rsidR="00124A26" w:rsidRPr="00AC3044" w:rsidRDefault="00124A26" w:rsidP="002D3EBF">
            <w:pPr>
              <w:ind w:firstLine="0"/>
              <w:rPr>
                <w:rFonts w:eastAsia="SimSun"/>
              </w:rPr>
            </w:pPr>
            <w:r w:rsidRPr="00AC3044">
              <w:rPr>
                <w:rFonts w:eastAsia="SimSun"/>
              </w:rPr>
              <w:t>В/в инфузия в течение 3 часов, 30 мл 4% р-ра натрия бикарбоната на 1 литр инфузионной терапии сразу после внутривенного введения химиопрепаратов</w:t>
            </w:r>
          </w:p>
        </w:tc>
      </w:tr>
      <w:tr w:rsidR="00124A26" w:rsidRPr="00AC3044" w14:paraId="1014A999" w14:textId="77777777" w:rsidTr="002D3EBF">
        <w:trPr>
          <w:cantSplit/>
          <w:trHeight w:val="464"/>
        </w:trPr>
        <w:tc>
          <w:tcPr>
            <w:tcW w:w="168" w:type="pct"/>
          </w:tcPr>
          <w:p w14:paraId="163D0E2C" w14:textId="77777777" w:rsidR="00124A26" w:rsidRPr="00AC3044" w:rsidRDefault="00124A26" w:rsidP="002D3EBF">
            <w:pPr>
              <w:ind w:firstLine="0"/>
              <w:rPr>
                <w:rFonts w:eastAsia="SimSun"/>
              </w:rPr>
            </w:pPr>
            <w:r w:rsidRPr="00AC3044">
              <w:rPr>
                <w:rFonts w:eastAsia="SimSun"/>
              </w:rPr>
              <w:t>2</w:t>
            </w:r>
          </w:p>
        </w:tc>
        <w:tc>
          <w:tcPr>
            <w:tcW w:w="1133" w:type="pct"/>
            <w:vAlign w:val="center"/>
          </w:tcPr>
          <w:p w14:paraId="3F5563EF" w14:textId="77777777" w:rsidR="00124A26" w:rsidRPr="00AC3044" w:rsidRDefault="00124A26" w:rsidP="002D3EBF">
            <w:pPr>
              <w:ind w:firstLine="0"/>
              <w:rPr>
                <w:rFonts w:eastAsia="SimSun"/>
              </w:rPr>
            </w:pPr>
            <w:r w:rsidRPr="00AC3044">
              <w:rPr>
                <w:rFonts w:eastAsia="SimSun"/>
              </w:rPr>
              <w:t xml:space="preserve">Раствор 5% глюкозы </w:t>
            </w:r>
          </w:p>
        </w:tc>
        <w:tc>
          <w:tcPr>
            <w:tcW w:w="2470" w:type="pct"/>
            <w:gridSpan w:val="3"/>
            <w:vAlign w:val="center"/>
          </w:tcPr>
          <w:p w14:paraId="49E79945" w14:textId="77777777" w:rsidR="00124A26" w:rsidRPr="00AC3044" w:rsidRDefault="00124A26" w:rsidP="002D3EBF">
            <w:pPr>
              <w:ind w:firstLine="0"/>
              <w:rPr>
                <w:rFonts w:eastAsia="SimSun"/>
              </w:rPr>
            </w:pPr>
            <w:r w:rsidRPr="00AC3044">
              <w:rPr>
                <w:rFonts w:eastAsia="SimSun"/>
              </w:rPr>
              <w:t>В соответсвии с клинической ситуацией, в среднем 14-52 дня,  в среднем 0,25 – 3 л/м</w:t>
            </w:r>
            <w:r w:rsidRPr="0074195F">
              <w:rPr>
                <w:rFonts w:eastAsia="SimSun"/>
                <w:vertAlign w:val="superscript"/>
              </w:rPr>
              <w:t>2</w:t>
            </w:r>
          </w:p>
        </w:tc>
        <w:tc>
          <w:tcPr>
            <w:tcW w:w="1229" w:type="pct"/>
            <w:vAlign w:val="center"/>
          </w:tcPr>
          <w:p w14:paraId="54EFD6EA" w14:textId="77777777" w:rsidR="00124A26" w:rsidRPr="00AC3044" w:rsidRDefault="00124A26" w:rsidP="002D3EBF">
            <w:pPr>
              <w:ind w:firstLine="0"/>
              <w:rPr>
                <w:rFonts w:eastAsia="SimSun"/>
              </w:rPr>
            </w:pPr>
            <w:r w:rsidRPr="00AC3044">
              <w:rPr>
                <w:rFonts w:eastAsia="SimSun"/>
              </w:rPr>
              <w:t>В/в инфузия</w:t>
            </w:r>
          </w:p>
        </w:tc>
      </w:tr>
      <w:tr w:rsidR="00124A26" w:rsidRPr="00AC3044" w14:paraId="1CF83EF7" w14:textId="77777777" w:rsidTr="002D3EBF">
        <w:trPr>
          <w:cantSplit/>
          <w:trHeight w:val="464"/>
        </w:trPr>
        <w:tc>
          <w:tcPr>
            <w:tcW w:w="168" w:type="pct"/>
          </w:tcPr>
          <w:p w14:paraId="03BB1D37" w14:textId="77777777" w:rsidR="00124A26" w:rsidRPr="00AC3044" w:rsidRDefault="00124A26" w:rsidP="002D3EBF">
            <w:pPr>
              <w:ind w:firstLine="0"/>
              <w:rPr>
                <w:rFonts w:eastAsia="SimSun"/>
              </w:rPr>
            </w:pPr>
            <w:r w:rsidRPr="00AC3044">
              <w:rPr>
                <w:rFonts w:eastAsia="SimSun"/>
              </w:rPr>
              <w:t>3</w:t>
            </w:r>
          </w:p>
        </w:tc>
        <w:tc>
          <w:tcPr>
            <w:tcW w:w="1133" w:type="pct"/>
            <w:vAlign w:val="center"/>
          </w:tcPr>
          <w:p w14:paraId="3C5C7729" w14:textId="77777777" w:rsidR="00124A26" w:rsidRPr="00AC3044" w:rsidRDefault="00124A26" w:rsidP="002D3EBF">
            <w:pPr>
              <w:ind w:firstLine="0"/>
              <w:rPr>
                <w:rFonts w:eastAsia="SimSun"/>
              </w:rPr>
            </w:pPr>
            <w:r w:rsidRPr="00AC3044">
              <w:rPr>
                <w:rFonts w:eastAsia="SimSun"/>
              </w:rPr>
              <w:t>Раствор хлорида натрия (0,9% NaCl)</w:t>
            </w:r>
          </w:p>
        </w:tc>
        <w:tc>
          <w:tcPr>
            <w:tcW w:w="2470" w:type="pct"/>
            <w:gridSpan w:val="3"/>
            <w:vAlign w:val="center"/>
          </w:tcPr>
          <w:p w14:paraId="425431DE" w14:textId="77777777" w:rsidR="00124A26" w:rsidRPr="00AC3044" w:rsidRDefault="00124A26" w:rsidP="002D3EBF">
            <w:pPr>
              <w:ind w:firstLine="0"/>
              <w:rPr>
                <w:rFonts w:eastAsia="SimSun"/>
              </w:rPr>
            </w:pPr>
            <w:r w:rsidRPr="00AC3044">
              <w:rPr>
                <w:rFonts w:eastAsia="SimSun"/>
              </w:rPr>
              <w:t>В соответсвии с клинической ситуацией, в среднем 14-52 дня,  в среднем 0,25 – 3 л/м</w:t>
            </w:r>
            <w:r w:rsidRPr="0074195F">
              <w:rPr>
                <w:rFonts w:eastAsia="SimSun"/>
                <w:vertAlign w:val="superscript"/>
              </w:rPr>
              <w:t>2</w:t>
            </w:r>
          </w:p>
        </w:tc>
        <w:tc>
          <w:tcPr>
            <w:tcW w:w="1229" w:type="pct"/>
            <w:vAlign w:val="center"/>
          </w:tcPr>
          <w:p w14:paraId="3309E08D" w14:textId="77777777" w:rsidR="00124A26" w:rsidRPr="00AC3044" w:rsidRDefault="00124A26" w:rsidP="002D3EBF">
            <w:pPr>
              <w:ind w:firstLine="0"/>
              <w:rPr>
                <w:rFonts w:eastAsia="SimSun"/>
              </w:rPr>
            </w:pPr>
            <w:r w:rsidRPr="00AC3044">
              <w:rPr>
                <w:rFonts w:eastAsia="SimSun"/>
              </w:rPr>
              <w:t>В/в инфузия</w:t>
            </w:r>
          </w:p>
        </w:tc>
      </w:tr>
      <w:tr w:rsidR="00124A26" w:rsidRPr="00AC3044" w14:paraId="55C8D4AF" w14:textId="77777777" w:rsidTr="002D3EBF">
        <w:trPr>
          <w:cantSplit/>
          <w:trHeight w:val="464"/>
        </w:trPr>
        <w:tc>
          <w:tcPr>
            <w:tcW w:w="168" w:type="pct"/>
          </w:tcPr>
          <w:p w14:paraId="7A9456FA" w14:textId="77777777" w:rsidR="00124A26" w:rsidRPr="00AC3044" w:rsidRDefault="00124A26" w:rsidP="002D3EBF">
            <w:pPr>
              <w:ind w:firstLine="0"/>
              <w:rPr>
                <w:rFonts w:eastAsia="SimSun"/>
              </w:rPr>
            </w:pPr>
            <w:r w:rsidRPr="00AC3044">
              <w:rPr>
                <w:rFonts w:eastAsia="SimSun"/>
              </w:rPr>
              <w:t>4</w:t>
            </w:r>
          </w:p>
        </w:tc>
        <w:tc>
          <w:tcPr>
            <w:tcW w:w="1133" w:type="pct"/>
            <w:vAlign w:val="center"/>
          </w:tcPr>
          <w:p w14:paraId="27D9BF71" w14:textId="77777777" w:rsidR="00124A26" w:rsidRPr="00AC3044" w:rsidRDefault="00124A26" w:rsidP="002D3EBF">
            <w:pPr>
              <w:ind w:firstLine="0"/>
              <w:rPr>
                <w:rFonts w:eastAsia="SimSun"/>
              </w:rPr>
            </w:pPr>
            <w:r w:rsidRPr="00AC3044">
              <w:rPr>
                <w:rFonts w:eastAsia="SimSun"/>
              </w:rPr>
              <w:t>Раствор Рингера</w:t>
            </w:r>
          </w:p>
        </w:tc>
        <w:tc>
          <w:tcPr>
            <w:tcW w:w="2470" w:type="pct"/>
            <w:gridSpan w:val="3"/>
            <w:vAlign w:val="center"/>
          </w:tcPr>
          <w:p w14:paraId="67920706" w14:textId="77777777" w:rsidR="00124A26" w:rsidRPr="00AC3044" w:rsidRDefault="00124A26" w:rsidP="002D3EBF">
            <w:pPr>
              <w:ind w:firstLine="0"/>
              <w:rPr>
                <w:rFonts w:eastAsia="SimSun"/>
              </w:rPr>
            </w:pPr>
            <w:r w:rsidRPr="00AC3044">
              <w:rPr>
                <w:rFonts w:eastAsia="SimSun"/>
              </w:rPr>
              <w:t>В соответсвии с клинической ситуацией, в среднем 14-52 дня,  в среднем 0,25 – 3 л/м</w:t>
            </w:r>
            <w:r w:rsidRPr="0074195F">
              <w:rPr>
                <w:rFonts w:eastAsia="SimSun"/>
                <w:vertAlign w:val="superscript"/>
              </w:rPr>
              <w:t>2</w:t>
            </w:r>
          </w:p>
        </w:tc>
        <w:tc>
          <w:tcPr>
            <w:tcW w:w="1229" w:type="pct"/>
            <w:vAlign w:val="center"/>
          </w:tcPr>
          <w:p w14:paraId="68245B20" w14:textId="77777777" w:rsidR="00124A26" w:rsidRPr="00AC3044" w:rsidRDefault="00124A26" w:rsidP="002D3EBF">
            <w:pPr>
              <w:ind w:firstLine="0"/>
              <w:rPr>
                <w:rFonts w:eastAsia="SimSun"/>
              </w:rPr>
            </w:pPr>
            <w:r w:rsidRPr="00AC3044">
              <w:rPr>
                <w:rFonts w:eastAsia="SimSun"/>
              </w:rPr>
              <w:t>В/в инфузия</w:t>
            </w:r>
          </w:p>
        </w:tc>
      </w:tr>
      <w:tr w:rsidR="00124A26" w:rsidRPr="00AC3044" w14:paraId="2858CCF2" w14:textId="77777777" w:rsidTr="002D3EBF">
        <w:trPr>
          <w:cantSplit/>
          <w:trHeight w:val="464"/>
        </w:trPr>
        <w:tc>
          <w:tcPr>
            <w:tcW w:w="168" w:type="pct"/>
          </w:tcPr>
          <w:p w14:paraId="1494134C" w14:textId="77777777" w:rsidR="00124A26" w:rsidRPr="00AC3044" w:rsidRDefault="00124A26" w:rsidP="002D3EBF">
            <w:pPr>
              <w:ind w:firstLine="0"/>
              <w:rPr>
                <w:rFonts w:eastAsia="SimSun"/>
              </w:rPr>
            </w:pPr>
            <w:r w:rsidRPr="00AC3044">
              <w:rPr>
                <w:rFonts w:eastAsia="SimSun"/>
              </w:rPr>
              <w:t>5</w:t>
            </w:r>
          </w:p>
        </w:tc>
        <w:tc>
          <w:tcPr>
            <w:tcW w:w="1133" w:type="pct"/>
            <w:vAlign w:val="center"/>
          </w:tcPr>
          <w:p w14:paraId="0FB4F64C" w14:textId="77777777" w:rsidR="00124A26" w:rsidRPr="00AC3044" w:rsidRDefault="00124A26" w:rsidP="002D3EBF">
            <w:pPr>
              <w:ind w:firstLine="0"/>
              <w:rPr>
                <w:rFonts w:eastAsia="SimSun"/>
              </w:rPr>
            </w:pPr>
            <w:r w:rsidRPr="00AC3044">
              <w:rPr>
                <w:rFonts w:eastAsia="SimSun"/>
              </w:rPr>
              <w:t>Калия и магния аспарагинат</w:t>
            </w:r>
          </w:p>
        </w:tc>
        <w:tc>
          <w:tcPr>
            <w:tcW w:w="2470" w:type="pct"/>
            <w:gridSpan w:val="3"/>
            <w:vAlign w:val="center"/>
          </w:tcPr>
          <w:p w14:paraId="2C59711E" w14:textId="77777777" w:rsidR="00124A26" w:rsidRPr="00AC3044" w:rsidRDefault="00124A26" w:rsidP="002D3EBF">
            <w:pPr>
              <w:ind w:firstLine="0"/>
              <w:rPr>
                <w:rFonts w:eastAsia="SimSun"/>
              </w:rPr>
            </w:pPr>
            <w:r w:rsidRPr="00AC3044">
              <w:rPr>
                <w:rFonts w:eastAsia="SimSun"/>
              </w:rPr>
              <w:t>В соответсвии с клинической ситуацией, в среднем 14-52 дня,  в среднем 0,25 – 3 л/м</w:t>
            </w:r>
            <w:r w:rsidRPr="0074195F">
              <w:rPr>
                <w:rFonts w:eastAsia="SimSun"/>
                <w:vertAlign w:val="superscript"/>
              </w:rPr>
              <w:t>2</w:t>
            </w:r>
          </w:p>
        </w:tc>
        <w:tc>
          <w:tcPr>
            <w:tcW w:w="1229" w:type="pct"/>
            <w:vAlign w:val="center"/>
          </w:tcPr>
          <w:p w14:paraId="7E554584" w14:textId="77777777" w:rsidR="00124A26" w:rsidRPr="00AC3044" w:rsidRDefault="00124A26" w:rsidP="002D3EBF">
            <w:pPr>
              <w:ind w:firstLine="0"/>
              <w:rPr>
                <w:rFonts w:eastAsia="SimSun"/>
              </w:rPr>
            </w:pPr>
            <w:r w:rsidRPr="00AC3044">
              <w:rPr>
                <w:rFonts w:eastAsia="SimSun"/>
              </w:rPr>
              <w:t>В/в инфузия</w:t>
            </w:r>
          </w:p>
        </w:tc>
      </w:tr>
      <w:tr w:rsidR="00124A26" w:rsidRPr="00AC3044" w14:paraId="7BB69910" w14:textId="77777777" w:rsidTr="002D3EBF">
        <w:trPr>
          <w:cantSplit/>
          <w:trHeight w:val="464"/>
        </w:trPr>
        <w:tc>
          <w:tcPr>
            <w:tcW w:w="168" w:type="pct"/>
          </w:tcPr>
          <w:p w14:paraId="71BB1A48" w14:textId="77777777" w:rsidR="00124A26" w:rsidRPr="00AC3044" w:rsidRDefault="00124A26" w:rsidP="002D3EBF">
            <w:pPr>
              <w:ind w:firstLine="0"/>
              <w:rPr>
                <w:rFonts w:eastAsia="SimSun"/>
              </w:rPr>
            </w:pPr>
            <w:r w:rsidRPr="00AC3044">
              <w:rPr>
                <w:rFonts w:eastAsia="SimSun"/>
              </w:rPr>
              <w:t>6</w:t>
            </w:r>
          </w:p>
        </w:tc>
        <w:tc>
          <w:tcPr>
            <w:tcW w:w="1133" w:type="pct"/>
            <w:vAlign w:val="center"/>
          </w:tcPr>
          <w:p w14:paraId="31EC291A" w14:textId="77777777" w:rsidR="00124A26" w:rsidRPr="00AC3044" w:rsidRDefault="00124A26" w:rsidP="002D3EBF">
            <w:pPr>
              <w:ind w:firstLine="0"/>
              <w:rPr>
                <w:rFonts w:eastAsia="SimSun"/>
              </w:rPr>
            </w:pPr>
            <w:r w:rsidRPr="00AC3044">
              <w:rPr>
                <w:rFonts w:eastAsia="SimSun"/>
              </w:rPr>
              <w:t>4% хлорида калия (KCl)</w:t>
            </w:r>
          </w:p>
        </w:tc>
        <w:tc>
          <w:tcPr>
            <w:tcW w:w="2470" w:type="pct"/>
            <w:gridSpan w:val="3"/>
            <w:vAlign w:val="center"/>
          </w:tcPr>
          <w:p w14:paraId="4BF1A87B" w14:textId="77777777" w:rsidR="00124A26" w:rsidRPr="00AC3044" w:rsidRDefault="00124A26" w:rsidP="002D3EBF">
            <w:pPr>
              <w:ind w:firstLine="0"/>
              <w:rPr>
                <w:rFonts w:eastAsia="SimSun"/>
              </w:rPr>
            </w:pPr>
            <w:r w:rsidRPr="00AC3044">
              <w:rPr>
                <w:rFonts w:eastAsia="SimSun"/>
              </w:rPr>
              <w:t>В соответсвии с лабораторными показателями, в среднем 14-52 дня</w:t>
            </w:r>
          </w:p>
        </w:tc>
        <w:tc>
          <w:tcPr>
            <w:tcW w:w="1229" w:type="pct"/>
            <w:vAlign w:val="center"/>
          </w:tcPr>
          <w:p w14:paraId="10D94EF4" w14:textId="77777777" w:rsidR="00124A26" w:rsidRPr="00AC3044" w:rsidRDefault="00124A26" w:rsidP="002D3EBF">
            <w:pPr>
              <w:ind w:firstLine="0"/>
              <w:rPr>
                <w:rFonts w:eastAsia="SimSun"/>
              </w:rPr>
            </w:pPr>
            <w:r w:rsidRPr="00AC3044">
              <w:rPr>
                <w:rFonts w:eastAsia="SimSun"/>
              </w:rPr>
              <w:t>В/в инфузия</w:t>
            </w:r>
          </w:p>
        </w:tc>
      </w:tr>
      <w:tr w:rsidR="00124A26" w:rsidRPr="00AC3044" w14:paraId="67630216" w14:textId="77777777" w:rsidTr="002D3EBF">
        <w:trPr>
          <w:cantSplit/>
          <w:trHeight w:val="464"/>
        </w:trPr>
        <w:tc>
          <w:tcPr>
            <w:tcW w:w="168" w:type="pct"/>
          </w:tcPr>
          <w:p w14:paraId="271B0462" w14:textId="77777777" w:rsidR="00124A26" w:rsidRPr="00AC3044" w:rsidRDefault="00124A26" w:rsidP="002D3EBF">
            <w:pPr>
              <w:ind w:firstLine="0"/>
              <w:rPr>
                <w:rFonts w:eastAsia="SimSun"/>
              </w:rPr>
            </w:pPr>
            <w:r w:rsidRPr="00AC3044">
              <w:rPr>
                <w:rFonts w:eastAsia="SimSun"/>
              </w:rPr>
              <w:t>7</w:t>
            </w:r>
          </w:p>
        </w:tc>
        <w:tc>
          <w:tcPr>
            <w:tcW w:w="1133" w:type="pct"/>
            <w:vAlign w:val="center"/>
          </w:tcPr>
          <w:p w14:paraId="5283E9F5" w14:textId="77777777" w:rsidR="00124A26" w:rsidRPr="00AC3044" w:rsidRDefault="00124A26" w:rsidP="002D3EBF">
            <w:pPr>
              <w:ind w:firstLine="0"/>
              <w:rPr>
                <w:rFonts w:eastAsia="SimSun"/>
              </w:rPr>
            </w:pPr>
            <w:r w:rsidRPr="00AC3044">
              <w:rPr>
                <w:rFonts w:eastAsia="SimSun"/>
              </w:rPr>
              <w:t>25% сульфат магния (MgSO4)</w:t>
            </w:r>
          </w:p>
        </w:tc>
        <w:tc>
          <w:tcPr>
            <w:tcW w:w="2470" w:type="pct"/>
            <w:gridSpan w:val="3"/>
            <w:vAlign w:val="center"/>
          </w:tcPr>
          <w:p w14:paraId="29B34B59" w14:textId="77777777" w:rsidR="00124A26" w:rsidRPr="00AC3044" w:rsidRDefault="00124A26" w:rsidP="002D3EBF">
            <w:pPr>
              <w:ind w:firstLine="0"/>
              <w:rPr>
                <w:rFonts w:eastAsia="SimSun"/>
              </w:rPr>
            </w:pPr>
            <w:r w:rsidRPr="00AC3044">
              <w:rPr>
                <w:rFonts w:eastAsia="SimSun"/>
              </w:rPr>
              <w:t>В соответсвии с лабораторными показателями, в среднем 14-52 дня</w:t>
            </w:r>
          </w:p>
        </w:tc>
        <w:tc>
          <w:tcPr>
            <w:tcW w:w="1229" w:type="pct"/>
            <w:vAlign w:val="center"/>
          </w:tcPr>
          <w:p w14:paraId="5E5E6C06" w14:textId="77777777" w:rsidR="00124A26" w:rsidRPr="00AC3044" w:rsidRDefault="00124A26" w:rsidP="002D3EBF">
            <w:pPr>
              <w:ind w:firstLine="0"/>
              <w:rPr>
                <w:rFonts w:eastAsia="SimSun"/>
              </w:rPr>
            </w:pPr>
            <w:r w:rsidRPr="00AC3044">
              <w:rPr>
                <w:rFonts w:eastAsia="SimSun"/>
              </w:rPr>
              <w:t>В/в инфузия</w:t>
            </w:r>
          </w:p>
        </w:tc>
      </w:tr>
      <w:tr w:rsidR="00124A26" w:rsidRPr="00AC3044" w14:paraId="1B9E9EF2" w14:textId="77777777" w:rsidTr="002D3EBF">
        <w:trPr>
          <w:cantSplit/>
          <w:trHeight w:val="464"/>
        </w:trPr>
        <w:tc>
          <w:tcPr>
            <w:tcW w:w="5000" w:type="pct"/>
            <w:gridSpan w:val="6"/>
          </w:tcPr>
          <w:p w14:paraId="5C53F303" w14:textId="77777777" w:rsidR="00124A26" w:rsidRPr="00AC3044" w:rsidRDefault="00124A26" w:rsidP="002D3EBF">
            <w:pPr>
              <w:ind w:firstLine="0"/>
              <w:rPr>
                <w:rFonts w:eastAsia="SimSun"/>
              </w:rPr>
            </w:pPr>
            <w:r w:rsidRPr="00AC3044">
              <w:rPr>
                <w:rFonts w:eastAsia="SimSun"/>
              </w:rPr>
              <w:t>Антиэметическая терапия</w:t>
            </w:r>
          </w:p>
        </w:tc>
      </w:tr>
      <w:tr w:rsidR="00124A26" w:rsidRPr="00AC3044" w14:paraId="3FE55DE7" w14:textId="77777777" w:rsidTr="002D3EBF">
        <w:trPr>
          <w:cantSplit/>
          <w:trHeight w:val="464"/>
        </w:trPr>
        <w:tc>
          <w:tcPr>
            <w:tcW w:w="168" w:type="pct"/>
          </w:tcPr>
          <w:p w14:paraId="2F447020" w14:textId="77777777" w:rsidR="00124A26" w:rsidRPr="00AC3044" w:rsidRDefault="00124A26" w:rsidP="002D3EBF">
            <w:pPr>
              <w:ind w:firstLine="0"/>
              <w:rPr>
                <w:rFonts w:eastAsia="SimSun"/>
              </w:rPr>
            </w:pPr>
            <w:r w:rsidRPr="00AC3044">
              <w:rPr>
                <w:rFonts w:eastAsia="SimSun"/>
              </w:rPr>
              <w:t>1</w:t>
            </w:r>
          </w:p>
        </w:tc>
        <w:tc>
          <w:tcPr>
            <w:tcW w:w="1133" w:type="pct"/>
            <w:vAlign w:val="center"/>
          </w:tcPr>
          <w:p w14:paraId="6F8E36AA" w14:textId="77777777" w:rsidR="00124A26" w:rsidRPr="00AC3044" w:rsidRDefault="00124A26" w:rsidP="002D3EBF">
            <w:pPr>
              <w:ind w:firstLine="0"/>
              <w:rPr>
                <w:rFonts w:eastAsia="SimSun"/>
              </w:rPr>
            </w:pPr>
            <w:r w:rsidRPr="00AC3044">
              <w:rPr>
                <w:rFonts w:eastAsia="SimSun"/>
              </w:rPr>
              <w:t xml:space="preserve">Ондансетрон </w:t>
            </w:r>
          </w:p>
        </w:tc>
        <w:tc>
          <w:tcPr>
            <w:tcW w:w="614" w:type="pct"/>
            <w:vAlign w:val="center"/>
          </w:tcPr>
          <w:p w14:paraId="3DD41D0E" w14:textId="77777777" w:rsidR="00124A26" w:rsidRPr="00AC3044" w:rsidRDefault="00124A26" w:rsidP="002D3EBF">
            <w:pPr>
              <w:ind w:firstLine="0"/>
              <w:rPr>
                <w:rFonts w:eastAsia="SimSun"/>
              </w:rPr>
            </w:pPr>
            <w:r w:rsidRPr="00AC3044">
              <w:rPr>
                <w:rFonts w:eastAsia="SimSun"/>
              </w:rPr>
              <w:t>24 мг</w:t>
            </w:r>
          </w:p>
        </w:tc>
        <w:tc>
          <w:tcPr>
            <w:tcW w:w="486" w:type="pct"/>
            <w:vAlign w:val="center"/>
          </w:tcPr>
          <w:p w14:paraId="0D6B8153" w14:textId="77777777" w:rsidR="00124A26" w:rsidRPr="00AC3044" w:rsidRDefault="00124A26" w:rsidP="002D3EBF">
            <w:pPr>
              <w:ind w:firstLine="0"/>
              <w:rPr>
                <w:rFonts w:eastAsia="SimSun"/>
              </w:rPr>
            </w:pPr>
            <w:r w:rsidRPr="00AC3044">
              <w:rPr>
                <w:rFonts w:eastAsia="SimSun"/>
              </w:rPr>
              <w:t>–</w:t>
            </w:r>
          </w:p>
        </w:tc>
        <w:tc>
          <w:tcPr>
            <w:tcW w:w="1370" w:type="pct"/>
            <w:vAlign w:val="center"/>
          </w:tcPr>
          <w:p w14:paraId="704CFB75" w14:textId="77777777" w:rsidR="00124A26" w:rsidRPr="00AC3044" w:rsidRDefault="00124A26" w:rsidP="002D3EBF">
            <w:pPr>
              <w:ind w:firstLine="0"/>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54579B15" w14:textId="77777777" w:rsidR="00124A26" w:rsidRPr="00AC3044" w:rsidRDefault="00124A26" w:rsidP="002D3EBF">
            <w:pPr>
              <w:ind w:firstLine="0"/>
              <w:rPr>
                <w:rFonts w:eastAsia="SimSun"/>
              </w:rPr>
            </w:pPr>
            <w:r w:rsidRPr="00AC3044">
              <w:rPr>
                <w:rFonts w:eastAsia="SimSun"/>
              </w:rPr>
              <w:t xml:space="preserve">В/в, 8 мг 3 раза/сут  </w:t>
            </w:r>
          </w:p>
        </w:tc>
      </w:tr>
      <w:tr w:rsidR="00124A26" w:rsidRPr="00AC3044" w14:paraId="3C2C6BE4" w14:textId="77777777" w:rsidTr="002D3EBF">
        <w:trPr>
          <w:cantSplit/>
          <w:trHeight w:val="464"/>
        </w:trPr>
        <w:tc>
          <w:tcPr>
            <w:tcW w:w="168" w:type="pct"/>
          </w:tcPr>
          <w:p w14:paraId="5D50489F" w14:textId="77777777" w:rsidR="00124A26" w:rsidRPr="00AC3044" w:rsidRDefault="00124A26" w:rsidP="002D3EBF">
            <w:pPr>
              <w:ind w:firstLine="0"/>
              <w:rPr>
                <w:rFonts w:eastAsia="SimSun"/>
              </w:rPr>
            </w:pPr>
            <w:r w:rsidRPr="00AC3044">
              <w:rPr>
                <w:rFonts w:eastAsia="SimSun"/>
              </w:rPr>
              <w:t>2</w:t>
            </w:r>
          </w:p>
        </w:tc>
        <w:tc>
          <w:tcPr>
            <w:tcW w:w="1133" w:type="pct"/>
            <w:vAlign w:val="center"/>
          </w:tcPr>
          <w:p w14:paraId="6BFEF691" w14:textId="77777777" w:rsidR="00124A26" w:rsidRPr="00AC3044" w:rsidRDefault="00124A26" w:rsidP="002D3EBF">
            <w:pPr>
              <w:ind w:firstLine="0"/>
              <w:rPr>
                <w:rFonts w:eastAsia="SimSun"/>
              </w:rPr>
            </w:pPr>
            <w:r w:rsidRPr="00AC3044">
              <w:rPr>
                <w:rFonts w:eastAsia="SimSun"/>
              </w:rPr>
              <w:t>Гранисетрон</w:t>
            </w:r>
          </w:p>
        </w:tc>
        <w:tc>
          <w:tcPr>
            <w:tcW w:w="614" w:type="pct"/>
            <w:vAlign w:val="center"/>
          </w:tcPr>
          <w:p w14:paraId="2F460DB7" w14:textId="77777777" w:rsidR="00124A26" w:rsidRPr="00AC3044" w:rsidRDefault="00124A26" w:rsidP="002D3EBF">
            <w:pPr>
              <w:ind w:firstLine="0"/>
              <w:rPr>
                <w:rFonts w:eastAsia="SimSun"/>
              </w:rPr>
            </w:pPr>
            <w:r w:rsidRPr="00AC3044">
              <w:rPr>
                <w:rFonts w:eastAsia="SimSun"/>
              </w:rPr>
              <w:t>9 мг</w:t>
            </w:r>
          </w:p>
        </w:tc>
        <w:tc>
          <w:tcPr>
            <w:tcW w:w="486" w:type="pct"/>
            <w:vAlign w:val="center"/>
          </w:tcPr>
          <w:p w14:paraId="2D88F4D5" w14:textId="77777777" w:rsidR="00124A26" w:rsidRPr="00AC3044" w:rsidRDefault="00124A26" w:rsidP="002D3EBF">
            <w:pPr>
              <w:ind w:firstLine="0"/>
              <w:rPr>
                <w:rFonts w:eastAsia="SimSun"/>
              </w:rPr>
            </w:pPr>
            <w:r w:rsidRPr="00AC3044">
              <w:rPr>
                <w:rFonts w:eastAsia="SimSun"/>
              </w:rPr>
              <w:t>–</w:t>
            </w:r>
          </w:p>
        </w:tc>
        <w:tc>
          <w:tcPr>
            <w:tcW w:w="1370" w:type="pct"/>
            <w:vAlign w:val="center"/>
          </w:tcPr>
          <w:p w14:paraId="7A255090" w14:textId="77777777" w:rsidR="00124A26" w:rsidRPr="00AC3044" w:rsidRDefault="00124A26" w:rsidP="002D3EBF">
            <w:pPr>
              <w:ind w:firstLine="0"/>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0490A591" w14:textId="77777777" w:rsidR="00124A26" w:rsidRPr="00AC3044" w:rsidRDefault="00124A26" w:rsidP="002D3EBF">
            <w:pPr>
              <w:ind w:firstLine="0"/>
              <w:rPr>
                <w:rFonts w:eastAsia="SimSun"/>
              </w:rPr>
            </w:pPr>
            <w:r w:rsidRPr="00AC3044">
              <w:rPr>
                <w:rFonts w:eastAsia="SimSun"/>
              </w:rPr>
              <w:t xml:space="preserve">В/в, 3 мг 3 раза/сут  </w:t>
            </w:r>
          </w:p>
        </w:tc>
      </w:tr>
      <w:tr w:rsidR="00124A26" w:rsidRPr="00AC3044" w14:paraId="25D9D989" w14:textId="77777777" w:rsidTr="002D3EBF">
        <w:trPr>
          <w:cantSplit/>
          <w:trHeight w:val="464"/>
        </w:trPr>
        <w:tc>
          <w:tcPr>
            <w:tcW w:w="168" w:type="pct"/>
          </w:tcPr>
          <w:p w14:paraId="0F33D6DC" w14:textId="77777777" w:rsidR="00124A26" w:rsidRPr="00AC3044" w:rsidRDefault="00124A26" w:rsidP="002D3EBF">
            <w:pPr>
              <w:ind w:firstLine="0"/>
              <w:rPr>
                <w:rFonts w:eastAsia="SimSun"/>
              </w:rPr>
            </w:pPr>
            <w:r w:rsidRPr="00AC3044">
              <w:rPr>
                <w:rFonts w:eastAsia="SimSun"/>
              </w:rPr>
              <w:t>3</w:t>
            </w:r>
          </w:p>
        </w:tc>
        <w:tc>
          <w:tcPr>
            <w:tcW w:w="1133" w:type="pct"/>
            <w:vAlign w:val="center"/>
          </w:tcPr>
          <w:p w14:paraId="52C65EE8" w14:textId="77777777" w:rsidR="00124A26" w:rsidRPr="00AC3044" w:rsidRDefault="00124A26" w:rsidP="002D3EBF">
            <w:pPr>
              <w:ind w:firstLine="0"/>
              <w:rPr>
                <w:rFonts w:eastAsia="SimSun"/>
              </w:rPr>
            </w:pPr>
            <w:r w:rsidRPr="00AC3044">
              <w:rPr>
                <w:rFonts w:eastAsia="SimSun"/>
              </w:rPr>
              <w:t>Трописетрон</w:t>
            </w:r>
          </w:p>
        </w:tc>
        <w:tc>
          <w:tcPr>
            <w:tcW w:w="614" w:type="pct"/>
            <w:vAlign w:val="center"/>
          </w:tcPr>
          <w:p w14:paraId="1F33D1D6" w14:textId="77777777" w:rsidR="00124A26" w:rsidRPr="00AC3044" w:rsidRDefault="00124A26" w:rsidP="002D3EBF">
            <w:pPr>
              <w:ind w:firstLine="0"/>
              <w:rPr>
                <w:rFonts w:eastAsia="SimSun"/>
              </w:rPr>
            </w:pPr>
            <w:r w:rsidRPr="00AC3044">
              <w:rPr>
                <w:rFonts w:eastAsia="SimSun"/>
              </w:rPr>
              <w:t>5 мг</w:t>
            </w:r>
          </w:p>
        </w:tc>
        <w:tc>
          <w:tcPr>
            <w:tcW w:w="486" w:type="pct"/>
            <w:vAlign w:val="center"/>
          </w:tcPr>
          <w:p w14:paraId="2205B345" w14:textId="77777777" w:rsidR="00124A26" w:rsidRPr="00AC3044" w:rsidRDefault="00124A26" w:rsidP="002D3EBF">
            <w:pPr>
              <w:ind w:firstLine="0"/>
              <w:rPr>
                <w:rFonts w:eastAsia="SimSun"/>
              </w:rPr>
            </w:pPr>
            <w:r w:rsidRPr="00AC3044">
              <w:rPr>
                <w:rFonts w:eastAsia="SimSun"/>
              </w:rPr>
              <w:t>–</w:t>
            </w:r>
          </w:p>
        </w:tc>
        <w:tc>
          <w:tcPr>
            <w:tcW w:w="1370" w:type="pct"/>
            <w:vAlign w:val="center"/>
          </w:tcPr>
          <w:p w14:paraId="4FBB1E34" w14:textId="77777777" w:rsidR="00124A26" w:rsidRPr="00AC3044" w:rsidRDefault="00124A26" w:rsidP="002D3EBF">
            <w:pPr>
              <w:ind w:firstLine="0"/>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58829D50" w14:textId="77777777" w:rsidR="00124A26" w:rsidRPr="00AC3044" w:rsidRDefault="00124A26" w:rsidP="002D3EBF">
            <w:pPr>
              <w:ind w:firstLine="0"/>
              <w:rPr>
                <w:rFonts w:eastAsia="SimSun"/>
              </w:rPr>
            </w:pPr>
            <w:r w:rsidRPr="00AC3044">
              <w:rPr>
                <w:rFonts w:eastAsia="SimSun"/>
              </w:rPr>
              <w:t>В/в, 5 мг 1 раз/сут</w:t>
            </w:r>
          </w:p>
        </w:tc>
      </w:tr>
      <w:tr w:rsidR="00124A26" w:rsidRPr="00AC3044" w14:paraId="373369E4" w14:textId="77777777" w:rsidTr="002D3EBF">
        <w:trPr>
          <w:cantSplit/>
          <w:trHeight w:val="464"/>
        </w:trPr>
        <w:tc>
          <w:tcPr>
            <w:tcW w:w="168" w:type="pct"/>
          </w:tcPr>
          <w:p w14:paraId="317B1D95" w14:textId="77777777" w:rsidR="00124A26" w:rsidRPr="00AC3044" w:rsidRDefault="00124A26" w:rsidP="002D3EBF">
            <w:pPr>
              <w:ind w:firstLine="0"/>
              <w:rPr>
                <w:rFonts w:eastAsia="SimSun"/>
              </w:rPr>
            </w:pPr>
            <w:r w:rsidRPr="00AC3044">
              <w:rPr>
                <w:rFonts w:eastAsia="SimSun"/>
              </w:rPr>
              <w:t>4</w:t>
            </w:r>
          </w:p>
        </w:tc>
        <w:tc>
          <w:tcPr>
            <w:tcW w:w="1133" w:type="pct"/>
            <w:vAlign w:val="center"/>
          </w:tcPr>
          <w:p w14:paraId="5B2ABB8A" w14:textId="77777777" w:rsidR="00124A26" w:rsidRPr="00AC3044" w:rsidRDefault="00124A26" w:rsidP="002D3EBF">
            <w:pPr>
              <w:ind w:firstLine="0"/>
              <w:rPr>
                <w:rFonts w:eastAsia="SimSun"/>
              </w:rPr>
            </w:pPr>
            <w:r w:rsidRPr="00AC3044">
              <w:rPr>
                <w:rFonts w:eastAsia="SimSun"/>
              </w:rPr>
              <w:t>Палоносетрон</w:t>
            </w:r>
          </w:p>
        </w:tc>
        <w:tc>
          <w:tcPr>
            <w:tcW w:w="614" w:type="pct"/>
            <w:vAlign w:val="center"/>
          </w:tcPr>
          <w:p w14:paraId="116971E1" w14:textId="77777777" w:rsidR="00124A26" w:rsidRPr="00AC3044" w:rsidRDefault="00124A26" w:rsidP="002D3EBF">
            <w:pPr>
              <w:ind w:firstLine="0"/>
              <w:rPr>
                <w:rFonts w:eastAsia="SimSun"/>
              </w:rPr>
            </w:pPr>
            <w:r w:rsidRPr="00AC3044">
              <w:rPr>
                <w:rFonts w:eastAsia="SimSun"/>
              </w:rPr>
              <w:t>0,25 мг</w:t>
            </w:r>
          </w:p>
        </w:tc>
        <w:tc>
          <w:tcPr>
            <w:tcW w:w="486" w:type="pct"/>
            <w:vAlign w:val="center"/>
          </w:tcPr>
          <w:p w14:paraId="154288ED" w14:textId="77777777" w:rsidR="00124A26" w:rsidRPr="00AC3044" w:rsidRDefault="00124A26" w:rsidP="002D3EBF">
            <w:pPr>
              <w:ind w:firstLine="0"/>
              <w:rPr>
                <w:rFonts w:eastAsia="SimSun"/>
              </w:rPr>
            </w:pPr>
            <w:r w:rsidRPr="00AC3044">
              <w:rPr>
                <w:rFonts w:eastAsia="SimSun"/>
              </w:rPr>
              <w:t>–</w:t>
            </w:r>
          </w:p>
        </w:tc>
        <w:tc>
          <w:tcPr>
            <w:tcW w:w="1370" w:type="pct"/>
            <w:vAlign w:val="center"/>
          </w:tcPr>
          <w:p w14:paraId="348BAAD0" w14:textId="77777777" w:rsidR="00124A26" w:rsidRPr="00AC3044" w:rsidRDefault="00124A26" w:rsidP="002D3EBF">
            <w:pPr>
              <w:ind w:firstLine="0"/>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6D24C8AC" w14:textId="77777777" w:rsidR="00124A26" w:rsidRPr="00AC3044" w:rsidRDefault="00124A26" w:rsidP="002D3EBF">
            <w:pPr>
              <w:ind w:firstLine="0"/>
              <w:rPr>
                <w:rFonts w:eastAsia="SimSun"/>
              </w:rPr>
            </w:pPr>
            <w:r w:rsidRPr="00AC3044">
              <w:rPr>
                <w:rFonts w:eastAsia="SimSun"/>
              </w:rPr>
              <w:t>В/в</w:t>
            </w:r>
          </w:p>
        </w:tc>
      </w:tr>
      <w:tr w:rsidR="00124A26" w:rsidRPr="00AC3044" w14:paraId="7F7CF6C9" w14:textId="77777777" w:rsidTr="002D3EBF">
        <w:trPr>
          <w:cantSplit/>
          <w:trHeight w:val="464"/>
        </w:trPr>
        <w:tc>
          <w:tcPr>
            <w:tcW w:w="168" w:type="pct"/>
          </w:tcPr>
          <w:p w14:paraId="4A722FF6" w14:textId="77777777" w:rsidR="00124A26" w:rsidRPr="00AC3044" w:rsidRDefault="00124A26" w:rsidP="002D3EBF">
            <w:pPr>
              <w:ind w:firstLine="0"/>
              <w:rPr>
                <w:rFonts w:eastAsia="SimSun"/>
              </w:rPr>
            </w:pPr>
            <w:r w:rsidRPr="00AC3044">
              <w:rPr>
                <w:rFonts w:eastAsia="SimSun"/>
              </w:rPr>
              <w:t>5</w:t>
            </w:r>
          </w:p>
        </w:tc>
        <w:tc>
          <w:tcPr>
            <w:tcW w:w="1133" w:type="pct"/>
            <w:vAlign w:val="center"/>
          </w:tcPr>
          <w:p w14:paraId="19A6CBEF" w14:textId="77777777" w:rsidR="00124A26" w:rsidRPr="00AC3044" w:rsidRDefault="00124A26" w:rsidP="002D3EBF">
            <w:pPr>
              <w:ind w:firstLine="0"/>
              <w:rPr>
                <w:rFonts w:eastAsia="SimSun"/>
              </w:rPr>
            </w:pPr>
            <w:r w:rsidRPr="00AC3044">
              <w:rPr>
                <w:rFonts w:eastAsia="SimSun"/>
              </w:rPr>
              <w:t>Апрепитант</w:t>
            </w:r>
          </w:p>
        </w:tc>
        <w:tc>
          <w:tcPr>
            <w:tcW w:w="614" w:type="pct"/>
            <w:vAlign w:val="center"/>
          </w:tcPr>
          <w:p w14:paraId="2EEA41F4" w14:textId="77777777" w:rsidR="00124A26" w:rsidRPr="00AC3044" w:rsidRDefault="00124A26" w:rsidP="002D3EBF">
            <w:pPr>
              <w:ind w:firstLine="0"/>
              <w:rPr>
                <w:rFonts w:eastAsia="SimSun"/>
              </w:rPr>
            </w:pPr>
            <w:r w:rsidRPr="00AC3044">
              <w:rPr>
                <w:rFonts w:eastAsia="SimSun"/>
              </w:rPr>
              <w:t>125, 80, 80 мг</w:t>
            </w:r>
          </w:p>
        </w:tc>
        <w:tc>
          <w:tcPr>
            <w:tcW w:w="486" w:type="pct"/>
            <w:vAlign w:val="center"/>
          </w:tcPr>
          <w:p w14:paraId="6BF0F4F8" w14:textId="77777777" w:rsidR="00124A26" w:rsidRPr="00AC3044" w:rsidRDefault="00124A26" w:rsidP="002D3EBF">
            <w:pPr>
              <w:ind w:firstLine="0"/>
              <w:rPr>
                <w:rFonts w:eastAsia="SimSun"/>
              </w:rPr>
            </w:pPr>
            <w:r w:rsidRPr="00AC3044">
              <w:rPr>
                <w:rFonts w:eastAsia="SimSun"/>
              </w:rPr>
              <w:t>–</w:t>
            </w:r>
          </w:p>
        </w:tc>
        <w:tc>
          <w:tcPr>
            <w:tcW w:w="1370" w:type="pct"/>
            <w:vAlign w:val="center"/>
          </w:tcPr>
          <w:p w14:paraId="15F2CB4D" w14:textId="77777777" w:rsidR="00124A26" w:rsidRPr="00AC3044" w:rsidRDefault="00124A26" w:rsidP="002D3EBF">
            <w:pPr>
              <w:ind w:firstLine="0"/>
              <w:rPr>
                <w:rFonts w:eastAsia="SimSun"/>
              </w:rPr>
            </w:pPr>
            <w:r w:rsidRPr="00AC3044">
              <w:rPr>
                <w:rFonts w:eastAsia="SimSun"/>
              </w:rPr>
              <w:t>При проведении ТТО -3 по -1 дни</w:t>
            </w:r>
          </w:p>
        </w:tc>
        <w:tc>
          <w:tcPr>
            <w:tcW w:w="1229" w:type="pct"/>
            <w:vAlign w:val="center"/>
          </w:tcPr>
          <w:p w14:paraId="1E6E1088" w14:textId="77777777" w:rsidR="00124A26" w:rsidRPr="00AC3044" w:rsidRDefault="00124A26" w:rsidP="002D3EBF">
            <w:pPr>
              <w:ind w:firstLine="0"/>
              <w:rPr>
                <w:rFonts w:eastAsia="SimSun"/>
              </w:rPr>
            </w:pPr>
            <w:r w:rsidRPr="00AC3044">
              <w:rPr>
                <w:rFonts w:eastAsia="SimSun"/>
              </w:rPr>
              <w:t>Внутрь, перед  утренней фракцией ТТО</w:t>
            </w:r>
          </w:p>
        </w:tc>
      </w:tr>
      <w:tr w:rsidR="00124A26" w:rsidRPr="00AC3044" w14:paraId="5F7A3CD7" w14:textId="77777777" w:rsidTr="002D3EBF">
        <w:trPr>
          <w:cantSplit/>
          <w:trHeight w:val="464"/>
        </w:trPr>
        <w:tc>
          <w:tcPr>
            <w:tcW w:w="168" w:type="pct"/>
          </w:tcPr>
          <w:p w14:paraId="781484DD" w14:textId="77777777" w:rsidR="00124A26" w:rsidRPr="00AC3044" w:rsidRDefault="00124A26" w:rsidP="002D3EBF">
            <w:pPr>
              <w:ind w:firstLine="0"/>
              <w:rPr>
                <w:rFonts w:eastAsia="SimSun"/>
              </w:rPr>
            </w:pPr>
            <w:r w:rsidRPr="00AC3044">
              <w:rPr>
                <w:rFonts w:eastAsia="SimSun"/>
              </w:rPr>
              <w:t>6</w:t>
            </w:r>
          </w:p>
        </w:tc>
        <w:tc>
          <w:tcPr>
            <w:tcW w:w="1133" w:type="pct"/>
            <w:vAlign w:val="center"/>
          </w:tcPr>
          <w:p w14:paraId="4639F843" w14:textId="77777777" w:rsidR="00124A26" w:rsidRPr="00AC3044" w:rsidRDefault="00124A26" w:rsidP="002D3EBF">
            <w:pPr>
              <w:ind w:firstLine="0"/>
              <w:rPr>
                <w:rFonts w:eastAsia="SimSun"/>
              </w:rPr>
            </w:pPr>
            <w:r w:rsidRPr="00AC3044">
              <w:rPr>
                <w:rFonts w:eastAsia="SimSun"/>
              </w:rPr>
              <w:t>Фосапрепитант</w:t>
            </w:r>
            <w:r w:rsidRPr="00AC3044">
              <w:rPr>
                <w:rFonts w:eastAsia="SimSun"/>
              </w:rPr>
              <w:tab/>
            </w:r>
          </w:p>
        </w:tc>
        <w:tc>
          <w:tcPr>
            <w:tcW w:w="614" w:type="pct"/>
            <w:vAlign w:val="center"/>
          </w:tcPr>
          <w:p w14:paraId="38F6046C" w14:textId="77777777" w:rsidR="00124A26" w:rsidRPr="00AC3044" w:rsidRDefault="00124A26" w:rsidP="002D3EBF">
            <w:pPr>
              <w:ind w:firstLine="0"/>
              <w:rPr>
                <w:rFonts w:eastAsia="SimSun"/>
              </w:rPr>
            </w:pPr>
            <w:r w:rsidRPr="00AC3044">
              <w:rPr>
                <w:rFonts w:eastAsia="SimSun"/>
              </w:rPr>
              <w:t>150 мг</w:t>
            </w:r>
          </w:p>
        </w:tc>
        <w:tc>
          <w:tcPr>
            <w:tcW w:w="486" w:type="pct"/>
            <w:vAlign w:val="center"/>
          </w:tcPr>
          <w:p w14:paraId="51147428" w14:textId="77777777" w:rsidR="00124A26" w:rsidRPr="00AC3044" w:rsidRDefault="00124A26" w:rsidP="002D3EBF">
            <w:pPr>
              <w:ind w:firstLine="0"/>
              <w:rPr>
                <w:rFonts w:eastAsia="SimSun"/>
              </w:rPr>
            </w:pPr>
            <w:r w:rsidRPr="00AC3044">
              <w:rPr>
                <w:rFonts w:eastAsia="SimSun"/>
              </w:rPr>
              <w:t>–</w:t>
            </w:r>
          </w:p>
        </w:tc>
        <w:tc>
          <w:tcPr>
            <w:tcW w:w="1370" w:type="pct"/>
            <w:vAlign w:val="center"/>
          </w:tcPr>
          <w:p w14:paraId="18B902F7" w14:textId="77777777" w:rsidR="00124A26" w:rsidRPr="00AC3044" w:rsidRDefault="00124A26" w:rsidP="002D3EBF">
            <w:pPr>
              <w:ind w:firstLine="0"/>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0CB38ECE" w14:textId="77777777" w:rsidR="00124A26" w:rsidRPr="00AC3044" w:rsidRDefault="00124A26" w:rsidP="002D3EBF">
            <w:pPr>
              <w:ind w:firstLine="0"/>
              <w:rPr>
                <w:rFonts w:eastAsia="SimSun"/>
              </w:rPr>
            </w:pPr>
            <w:r w:rsidRPr="00AC3044">
              <w:rPr>
                <w:rFonts w:eastAsia="SimSun"/>
              </w:rPr>
              <w:t>В/в, однократно</w:t>
            </w:r>
          </w:p>
        </w:tc>
      </w:tr>
      <w:tr w:rsidR="00124A26" w:rsidRPr="00AC3044" w14:paraId="278E99BB" w14:textId="77777777" w:rsidTr="002D3EBF">
        <w:trPr>
          <w:cantSplit/>
          <w:trHeight w:val="464"/>
        </w:trPr>
        <w:tc>
          <w:tcPr>
            <w:tcW w:w="5000" w:type="pct"/>
            <w:gridSpan w:val="6"/>
          </w:tcPr>
          <w:p w14:paraId="6F7CF34C" w14:textId="77777777" w:rsidR="00124A26" w:rsidRPr="00AC3044" w:rsidRDefault="00124A26" w:rsidP="002D3EBF">
            <w:pPr>
              <w:ind w:firstLine="0"/>
              <w:rPr>
                <w:rFonts w:eastAsia="SimSun"/>
              </w:rPr>
            </w:pPr>
            <w:r w:rsidRPr="00AC3044">
              <w:rPr>
                <w:rFonts w:eastAsia="SimSun"/>
              </w:rPr>
              <w:t>Антикоагулянтная терапия</w:t>
            </w:r>
          </w:p>
        </w:tc>
      </w:tr>
      <w:tr w:rsidR="00124A26" w:rsidRPr="00AC3044" w14:paraId="78791E27" w14:textId="77777777" w:rsidTr="002D3EBF">
        <w:trPr>
          <w:cantSplit/>
          <w:trHeight w:val="464"/>
        </w:trPr>
        <w:tc>
          <w:tcPr>
            <w:tcW w:w="168" w:type="pct"/>
          </w:tcPr>
          <w:p w14:paraId="24AC5CCC" w14:textId="77777777" w:rsidR="00124A26" w:rsidRPr="00AC3044" w:rsidRDefault="00124A26" w:rsidP="002D3EBF">
            <w:pPr>
              <w:ind w:firstLine="0"/>
              <w:rPr>
                <w:rFonts w:eastAsia="SimSun"/>
              </w:rPr>
            </w:pPr>
            <w:r w:rsidRPr="00AC3044">
              <w:rPr>
                <w:rFonts w:eastAsia="SimSun"/>
              </w:rPr>
              <w:t>1</w:t>
            </w:r>
          </w:p>
        </w:tc>
        <w:tc>
          <w:tcPr>
            <w:tcW w:w="1133" w:type="pct"/>
            <w:vAlign w:val="center"/>
          </w:tcPr>
          <w:p w14:paraId="0370CAFD" w14:textId="77777777" w:rsidR="00124A26" w:rsidRPr="00AC3044" w:rsidRDefault="00124A26" w:rsidP="002D3EBF">
            <w:pPr>
              <w:ind w:firstLine="0"/>
              <w:rPr>
                <w:rFonts w:eastAsia="SimSun"/>
              </w:rPr>
            </w:pPr>
            <w:r w:rsidRPr="00AC3044">
              <w:rPr>
                <w:rFonts w:eastAsia="SimSun"/>
              </w:rPr>
              <w:t>Гепарин</w:t>
            </w:r>
          </w:p>
        </w:tc>
        <w:tc>
          <w:tcPr>
            <w:tcW w:w="614" w:type="pct"/>
            <w:vAlign w:val="center"/>
          </w:tcPr>
          <w:p w14:paraId="19280D53" w14:textId="77777777" w:rsidR="00124A26" w:rsidRPr="00AC3044" w:rsidRDefault="00124A26" w:rsidP="002D3EBF">
            <w:pPr>
              <w:ind w:firstLine="0"/>
              <w:rPr>
                <w:rFonts w:eastAsia="SimSun"/>
              </w:rPr>
            </w:pPr>
            <w:r w:rsidRPr="00AC3044">
              <w:rPr>
                <w:rFonts w:eastAsia="SimSun"/>
              </w:rPr>
              <w:t xml:space="preserve">12000 ЕД/сут </w:t>
            </w:r>
          </w:p>
        </w:tc>
        <w:tc>
          <w:tcPr>
            <w:tcW w:w="486" w:type="pct"/>
            <w:vAlign w:val="center"/>
          </w:tcPr>
          <w:p w14:paraId="3093F295" w14:textId="77777777" w:rsidR="00124A26" w:rsidRPr="00AC3044" w:rsidRDefault="00124A26" w:rsidP="002D3EBF">
            <w:pPr>
              <w:ind w:firstLine="0"/>
              <w:rPr>
                <w:rFonts w:eastAsia="SimSun"/>
              </w:rPr>
            </w:pPr>
            <w:r w:rsidRPr="00AC3044">
              <w:rPr>
                <w:rFonts w:eastAsia="SimSun"/>
              </w:rPr>
              <w:t>–</w:t>
            </w:r>
          </w:p>
        </w:tc>
        <w:tc>
          <w:tcPr>
            <w:tcW w:w="1370" w:type="pct"/>
            <w:vAlign w:val="center"/>
          </w:tcPr>
          <w:p w14:paraId="36CE1845" w14:textId="77777777" w:rsidR="00124A26" w:rsidRPr="00AC3044" w:rsidRDefault="00124A26" w:rsidP="002D3EBF">
            <w:pPr>
              <w:ind w:firstLine="0"/>
              <w:rPr>
                <w:rFonts w:eastAsia="SimSun"/>
              </w:rPr>
            </w:pPr>
            <w:r w:rsidRPr="00AC3044">
              <w:rPr>
                <w:rFonts w:eastAsia="SimSun"/>
              </w:rPr>
              <w:t>За день до начала кондиционирования по +14 день (до +28 дня включительно при инфицировании гепатитом В, С и/или тромбозах в анамнезе)</w:t>
            </w:r>
          </w:p>
        </w:tc>
        <w:tc>
          <w:tcPr>
            <w:tcW w:w="1229" w:type="pct"/>
            <w:vAlign w:val="center"/>
          </w:tcPr>
          <w:p w14:paraId="1B85D640" w14:textId="77777777" w:rsidR="00124A26" w:rsidRPr="00AC3044" w:rsidRDefault="00124A26" w:rsidP="002D3EBF">
            <w:pPr>
              <w:ind w:firstLine="0"/>
              <w:rPr>
                <w:rFonts w:eastAsia="SimSun"/>
              </w:rPr>
            </w:pPr>
            <w:r w:rsidRPr="00AC3044">
              <w:rPr>
                <w:rFonts w:eastAsia="SimSun"/>
              </w:rPr>
              <w:t>В/в, инфузия в течение 24 ч</w:t>
            </w:r>
          </w:p>
        </w:tc>
      </w:tr>
      <w:tr w:rsidR="00124A26" w:rsidRPr="00AC3044" w14:paraId="18127AAD" w14:textId="77777777" w:rsidTr="002D3EBF">
        <w:trPr>
          <w:cantSplit/>
          <w:trHeight w:val="464"/>
        </w:trPr>
        <w:tc>
          <w:tcPr>
            <w:tcW w:w="168" w:type="pct"/>
          </w:tcPr>
          <w:p w14:paraId="5986B441" w14:textId="77777777" w:rsidR="00124A26" w:rsidRPr="00AC3044" w:rsidRDefault="00124A26" w:rsidP="002D3EBF">
            <w:pPr>
              <w:ind w:firstLine="0"/>
              <w:rPr>
                <w:rFonts w:eastAsia="SimSun"/>
              </w:rPr>
            </w:pPr>
            <w:r w:rsidRPr="00AC3044">
              <w:rPr>
                <w:rFonts w:eastAsia="SimSun"/>
              </w:rPr>
              <w:t>2</w:t>
            </w:r>
          </w:p>
        </w:tc>
        <w:tc>
          <w:tcPr>
            <w:tcW w:w="1133" w:type="pct"/>
            <w:vAlign w:val="center"/>
          </w:tcPr>
          <w:p w14:paraId="1FBE05A5" w14:textId="77777777" w:rsidR="00124A26" w:rsidRPr="00AC3044" w:rsidRDefault="00124A26" w:rsidP="002D3EBF">
            <w:pPr>
              <w:ind w:firstLine="0"/>
              <w:rPr>
                <w:rFonts w:eastAsia="SimSun"/>
              </w:rPr>
            </w:pPr>
            <w:r w:rsidRPr="00AC3044">
              <w:rPr>
                <w:rFonts w:eastAsia="SimSun"/>
              </w:rPr>
              <w:t>Гепарин</w:t>
            </w:r>
          </w:p>
        </w:tc>
        <w:tc>
          <w:tcPr>
            <w:tcW w:w="614" w:type="pct"/>
            <w:vAlign w:val="center"/>
          </w:tcPr>
          <w:p w14:paraId="57EB5139" w14:textId="77777777" w:rsidR="00124A26" w:rsidRPr="00AC3044" w:rsidRDefault="00124A26" w:rsidP="002D3EBF">
            <w:pPr>
              <w:ind w:firstLine="0"/>
              <w:rPr>
                <w:rFonts w:eastAsia="SimSun"/>
              </w:rPr>
            </w:pPr>
            <w:r w:rsidRPr="00AC3044">
              <w:rPr>
                <w:rFonts w:eastAsia="SimSun"/>
              </w:rPr>
              <w:t xml:space="preserve">100 ЕД/кг </w:t>
            </w:r>
          </w:p>
        </w:tc>
        <w:tc>
          <w:tcPr>
            <w:tcW w:w="486" w:type="pct"/>
            <w:vAlign w:val="center"/>
          </w:tcPr>
          <w:p w14:paraId="7997E014" w14:textId="77777777" w:rsidR="00124A26" w:rsidRPr="00AC3044" w:rsidRDefault="00124A26" w:rsidP="002D3EBF">
            <w:pPr>
              <w:ind w:firstLine="0"/>
              <w:rPr>
                <w:rFonts w:eastAsia="SimSun"/>
              </w:rPr>
            </w:pPr>
            <w:r w:rsidRPr="00AC3044">
              <w:rPr>
                <w:rFonts w:eastAsia="SimSun"/>
              </w:rPr>
              <w:t>–</w:t>
            </w:r>
          </w:p>
        </w:tc>
        <w:tc>
          <w:tcPr>
            <w:tcW w:w="1370" w:type="pct"/>
            <w:vAlign w:val="center"/>
          </w:tcPr>
          <w:p w14:paraId="527C6071" w14:textId="77777777" w:rsidR="00124A26" w:rsidRPr="00AC3044" w:rsidRDefault="00124A26" w:rsidP="002D3EBF">
            <w:pPr>
              <w:ind w:firstLine="0"/>
              <w:rPr>
                <w:rFonts w:eastAsia="SimSun"/>
              </w:rPr>
            </w:pPr>
            <w:r w:rsidRPr="00AC3044">
              <w:rPr>
                <w:rFonts w:eastAsia="SimSun"/>
              </w:rPr>
              <w:t>Весь период использования ЦВК</w:t>
            </w:r>
          </w:p>
        </w:tc>
        <w:tc>
          <w:tcPr>
            <w:tcW w:w="1229" w:type="pct"/>
            <w:vAlign w:val="center"/>
          </w:tcPr>
          <w:p w14:paraId="088CAE97" w14:textId="77777777" w:rsidR="00124A26" w:rsidRPr="00AC3044" w:rsidRDefault="00124A26" w:rsidP="002D3EBF">
            <w:pPr>
              <w:ind w:firstLine="0"/>
              <w:rPr>
                <w:rFonts w:eastAsia="SimSun"/>
              </w:rPr>
            </w:pPr>
            <w:r w:rsidRPr="00AC3044">
              <w:rPr>
                <w:rFonts w:eastAsia="SimSun"/>
              </w:rPr>
              <w:t>В/в, инфузия в течение 24 ч</w:t>
            </w:r>
          </w:p>
        </w:tc>
      </w:tr>
      <w:tr w:rsidR="00124A26" w:rsidRPr="00AC3044" w14:paraId="0BD99474" w14:textId="77777777" w:rsidTr="002D3EBF">
        <w:trPr>
          <w:cantSplit/>
          <w:trHeight w:val="464"/>
        </w:trPr>
        <w:tc>
          <w:tcPr>
            <w:tcW w:w="168" w:type="pct"/>
          </w:tcPr>
          <w:p w14:paraId="17F8EB95" w14:textId="77777777" w:rsidR="00124A26" w:rsidRPr="00AC3044" w:rsidRDefault="00124A26" w:rsidP="002D3EBF">
            <w:pPr>
              <w:ind w:firstLine="0"/>
              <w:rPr>
                <w:rFonts w:eastAsia="SimSun"/>
              </w:rPr>
            </w:pPr>
            <w:r w:rsidRPr="00AC3044">
              <w:rPr>
                <w:rFonts w:eastAsia="SimSun"/>
              </w:rPr>
              <w:t>3</w:t>
            </w:r>
          </w:p>
        </w:tc>
        <w:tc>
          <w:tcPr>
            <w:tcW w:w="1133" w:type="pct"/>
            <w:vAlign w:val="center"/>
          </w:tcPr>
          <w:p w14:paraId="43727777" w14:textId="77777777" w:rsidR="00124A26" w:rsidRPr="00AC3044" w:rsidRDefault="00124A26" w:rsidP="002D3EBF">
            <w:pPr>
              <w:ind w:firstLine="0"/>
              <w:rPr>
                <w:rFonts w:eastAsia="SimSun"/>
              </w:rPr>
            </w:pPr>
            <w:r w:rsidRPr="00AC3044">
              <w:rPr>
                <w:rFonts w:eastAsia="SimSun"/>
              </w:rPr>
              <w:t>Гепарин</w:t>
            </w:r>
          </w:p>
        </w:tc>
        <w:tc>
          <w:tcPr>
            <w:tcW w:w="614" w:type="pct"/>
            <w:vAlign w:val="center"/>
          </w:tcPr>
          <w:p w14:paraId="195DDCE3" w14:textId="77777777" w:rsidR="00124A26" w:rsidRPr="00AC3044" w:rsidRDefault="00124A26" w:rsidP="002D3EBF">
            <w:pPr>
              <w:ind w:firstLine="0"/>
              <w:rPr>
                <w:rFonts w:eastAsia="SimSun"/>
              </w:rPr>
            </w:pPr>
            <w:r w:rsidRPr="00AC3044">
              <w:rPr>
                <w:rFonts w:eastAsia="SimSun"/>
              </w:rPr>
              <w:t xml:space="preserve">100-500 ЕД/кг </w:t>
            </w:r>
          </w:p>
        </w:tc>
        <w:tc>
          <w:tcPr>
            <w:tcW w:w="486" w:type="pct"/>
            <w:vAlign w:val="center"/>
          </w:tcPr>
          <w:p w14:paraId="40EF9CF9" w14:textId="77777777" w:rsidR="00124A26" w:rsidRPr="00AC3044" w:rsidRDefault="00124A26" w:rsidP="002D3EBF">
            <w:pPr>
              <w:ind w:firstLine="0"/>
              <w:rPr>
                <w:rFonts w:eastAsia="SimSun"/>
              </w:rPr>
            </w:pPr>
            <w:r w:rsidRPr="00AC3044">
              <w:rPr>
                <w:rFonts w:eastAsia="SimSun"/>
              </w:rPr>
              <w:t>–</w:t>
            </w:r>
          </w:p>
        </w:tc>
        <w:tc>
          <w:tcPr>
            <w:tcW w:w="1370" w:type="pct"/>
            <w:vAlign w:val="center"/>
          </w:tcPr>
          <w:p w14:paraId="4365D240" w14:textId="77777777" w:rsidR="00124A26" w:rsidRPr="00AC3044" w:rsidRDefault="00124A26" w:rsidP="002D3EBF">
            <w:pPr>
              <w:ind w:firstLine="0"/>
              <w:rPr>
                <w:rFonts w:eastAsia="SimSun"/>
              </w:rPr>
            </w:pPr>
            <w:r w:rsidRPr="00AC3044">
              <w:rPr>
                <w:rFonts w:eastAsia="SimSun"/>
              </w:rPr>
              <w:t>Под контролем АЧТВ, в среднем 14-42 дня</w:t>
            </w:r>
          </w:p>
        </w:tc>
        <w:tc>
          <w:tcPr>
            <w:tcW w:w="1229" w:type="pct"/>
            <w:vAlign w:val="center"/>
          </w:tcPr>
          <w:p w14:paraId="343FBA44" w14:textId="77777777" w:rsidR="00124A26" w:rsidRPr="00AC3044" w:rsidRDefault="00124A26" w:rsidP="002D3EBF">
            <w:pPr>
              <w:ind w:firstLine="0"/>
              <w:rPr>
                <w:rFonts w:eastAsia="SimSun"/>
              </w:rPr>
            </w:pPr>
            <w:r w:rsidRPr="00AC3044">
              <w:rPr>
                <w:rFonts w:eastAsia="SimSun"/>
              </w:rPr>
              <w:t>В/в, инфузия в течение 24 ч</w:t>
            </w:r>
          </w:p>
        </w:tc>
      </w:tr>
      <w:tr w:rsidR="00124A26" w:rsidRPr="00AC3044" w14:paraId="6DFE2D53" w14:textId="77777777" w:rsidTr="002D3EBF">
        <w:trPr>
          <w:cantSplit/>
          <w:trHeight w:val="464"/>
        </w:trPr>
        <w:tc>
          <w:tcPr>
            <w:tcW w:w="168" w:type="pct"/>
          </w:tcPr>
          <w:p w14:paraId="3520E023" w14:textId="77777777" w:rsidR="00124A26" w:rsidRPr="00AC3044" w:rsidRDefault="00124A26" w:rsidP="002D3EBF">
            <w:pPr>
              <w:ind w:firstLine="0"/>
              <w:rPr>
                <w:rFonts w:eastAsia="SimSun"/>
              </w:rPr>
            </w:pPr>
            <w:r w:rsidRPr="00AC3044">
              <w:rPr>
                <w:rFonts w:eastAsia="SimSun"/>
              </w:rPr>
              <w:t>4</w:t>
            </w:r>
          </w:p>
        </w:tc>
        <w:tc>
          <w:tcPr>
            <w:tcW w:w="1133" w:type="pct"/>
            <w:vAlign w:val="center"/>
          </w:tcPr>
          <w:p w14:paraId="494368D2" w14:textId="77777777" w:rsidR="00124A26" w:rsidRPr="00AC3044" w:rsidRDefault="00124A26" w:rsidP="002D3EBF">
            <w:pPr>
              <w:ind w:firstLine="0"/>
              <w:rPr>
                <w:rFonts w:eastAsia="SimSun"/>
              </w:rPr>
            </w:pPr>
            <w:r w:rsidRPr="00AC3044">
              <w:rPr>
                <w:rFonts w:eastAsia="SimSun"/>
              </w:rPr>
              <w:t>Низкомолекулряные гепарины</w:t>
            </w:r>
          </w:p>
        </w:tc>
        <w:tc>
          <w:tcPr>
            <w:tcW w:w="3699" w:type="pct"/>
            <w:gridSpan w:val="4"/>
            <w:vAlign w:val="center"/>
          </w:tcPr>
          <w:p w14:paraId="3A190C6B" w14:textId="77777777" w:rsidR="00124A26" w:rsidRPr="00AC3044" w:rsidRDefault="00124A26" w:rsidP="002D3EBF">
            <w:pPr>
              <w:ind w:firstLine="0"/>
              <w:rPr>
                <w:rFonts w:eastAsia="SimSun"/>
              </w:rPr>
            </w:pPr>
            <w:r w:rsidRPr="00AC3044">
              <w:rPr>
                <w:rFonts w:eastAsia="SimSun"/>
              </w:rPr>
              <w:t>В соответсвии с рекомендациями производителя и клинической ситуации, в среднем 14-42 дня.</w:t>
            </w:r>
          </w:p>
        </w:tc>
      </w:tr>
      <w:tr w:rsidR="00124A26" w:rsidRPr="00AC3044" w14:paraId="4EBA314A" w14:textId="77777777" w:rsidTr="002D3EBF">
        <w:trPr>
          <w:cantSplit/>
          <w:trHeight w:val="464"/>
        </w:trPr>
        <w:tc>
          <w:tcPr>
            <w:tcW w:w="5000" w:type="pct"/>
            <w:gridSpan w:val="6"/>
          </w:tcPr>
          <w:p w14:paraId="4B1DBBCB" w14:textId="77777777" w:rsidR="00124A26" w:rsidRPr="00AC3044" w:rsidRDefault="00124A26" w:rsidP="002D3EBF">
            <w:pPr>
              <w:ind w:firstLine="0"/>
              <w:rPr>
                <w:rFonts w:eastAsia="SimSun"/>
              </w:rPr>
            </w:pPr>
            <w:r w:rsidRPr="00AC3044">
              <w:rPr>
                <w:rFonts w:eastAsia="SimSun"/>
              </w:rPr>
              <w:t>Противосудорожная терапия</w:t>
            </w:r>
          </w:p>
        </w:tc>
      </w:tr>
      <w:tr w:rsidR="00124A26" w:rsidRPr="00AC3044" w14:paraId="2FBF0F18" w14:textId="77777777" w:rsidTr="002D3EBF">
        <w:trPr>
          <w:cantSplit/>
          <w:trHeight w:val="464"/>
        </w:trPr>
        <w:tc>
          <w:tcPr>
            <w:tcW w:w="168" w:type="pct"/>
          </w:tcPr>
          <w:p w14:paraId="5801B5DA" w14:textId="77777777" w:rsidR="00124A26" w:rsidRPr="00AC3044" w:rsidRDefault="00124A26" w:rsidP="002D3EBF">
            <w:pPr>
              <w:ind w:firstLine="0"/>
              <w:rPr>
                <w:rFonts w:eastAsia="SimSun"/>
              </w:rPr>
            </w:pPr>
            <w:r w:rsidRPr="00AC3044">
              <w:rPr>
                <w:rFonts w:eastAsia="SimSun"/>
              </w:rPr>
              <w:t>1</w:t>
            </w:r>
          </w:p>
        </w:tc>
        <w:tc>
          <w:tcPr>
            <w:tcW w:w="1133" w:type="pct"/>
            <w:vAlign w:val="center"/>
          </w:tcPr>
          <w:p w14:paraId="54AA6175" w14:textId="77777777" w:rsidR="00124A26" w:rsidRPr="00AC3044" w:rsidRDefault="00124A26" w:rsidP="002D3EBF">
            <w:pPr>
              <w:ind w:firstLine="0"/>
              <w:rPr>
                <w:rFonts w:eastAsia="SimSun"/>
              </w:rPr>
            </w:pPr>
            <w:r w:rsidRPr="00AC3044">
              <w:rPr>
                <w:rFonts w:eastAsia="SimSun"/>
              </w:rPr>
              <w:t>Карбамазепин</w:t>
            </w:r>
          </w:p>
        </w:tc>
        <w:tc>
          <w:tcPr>
            <w:tcW w:w="614" w:type="pct"/>
            <w:vAlign w:val="center"/>
          </w:tcPr>
          <w:p w14:paraId="2769A99C" w14:textId="77777777" w:rsidR="00124A26" w:rsidRPr="00AC3044" w:rsidRDefault="00124A26" w:rsidP="002D3EBF">
            <w:pPr>
              <w:ind w:firstLine="0"/>
              <w:rPr>
                <w:rFonts w:eastAsia="SimSun"/>
              </w:rPr>
            </w:pPr>
            <w:r w:rsidRPr="00AC3044">
              <w:rPr>
                <w:rFonts w:eastAsia="SimSun"/>
              </w:rPr>
              <w:t>200 мг</w:t>
            </w:r>
          </w:p>
        </w:tc>
        <w:tc>
          <w:tcPr>
            <w:tcW w:w="486" w:type="pct"/>
            <w:vAlign w:val="center"/>
          </w:tcPr>
          <w:p w14:paraId="1B9C92ED" w14:textId="77777777" w:rsidR="00124A26" w:rsidRPr="00AC3044" w:rsidRDefault="00124A26" w:rsidP="002D3EBF">
            <w:pPr>
              <w:ind w:firstLine="0"/>
              <w:rPr>
                <w:rFonts w:eastAsia="SimSun"/>
              </w:rPr>
            </w:pPr>
            <w:r w:rsidRPr="00AC3044">
              <w:rPr>
                <w:rFonts w:eastAsia="SimSun"/>
              </w:rPr>
              <w:t>–</w:t>
            </w:r>
          </w:p>
        </w:tc>
        <w:tc>
          <w:tcPr>
            <w:tcW w:w="1370" w:type="pct"/>
            <w:vAlign w:val="center"/>
          </w:tcPr>
          <w:p w14:paraId="60BD4BFD" w14:textId="77777777" w:rsidR="00124A26" w:rsidRPr="00AC3044" w:rsidRDefault="00124A26" w:rsidP="002D3EBF">
            <w:pPr>
              <w:ind w:firstLine="0"/>
              <w:rPr>
                <w:rFonts w:eastAsia="SimSun"/>
              </w:rPr>
            </w:pPr>
            <w:r w:rsidRPr="00AC3044">
              <w:rPr>
                <w:rFonts w:eastAsia="SimSun"/>
              </w:rPr>
              <w:t xml:space="preserve">За сутки до введения бусульфана, в дни приема бусульфана, день следующий после окончания приема бусульфана </w:t>
            </w:r>
          </w:p>
        </w:tc>
        <w:tc>
          <w:tcPr>
            <w:tcW w:w="1229" w:type="pct"/>
            <w:vAlign w:val="center"/>
          </w:tcPr>
          <w:p w14:paraId="59190419" w14:textId="77777777" w:rsidR="00124A26" w:rsidRPr="00AC3044" w:rsidRDefault="00124A26" w:rsidP="002D3EBF">
            <w:pPr>
              <w:ind w:firstLine="0"/>
              <w:rPr>
                <w:rFonts w:eastAsia="SimSun"/>
              </w:rPr>
            </w:pPr>
            <w:r w:rsidRPr="00AC3044">
              <w:rPr>
                <w:rFonts w:eastAsia="SimSun"/>
              </w:rPr>
              <w:t>Внутрь, 100 мг 2 раза/сут</w:t>
            </w:r>
          </w:p>
        </w:tc>
      </w:tr>
      <w:tr w:rsidR="00124A26" w:rsidRPr="00AC3044" w14:paraId="7C628767" w14:textId="77777777" w:rsidTr="002D3EBF">
        <w:trPr>
          <w:cantSplit/>
          <w:trHeight w:val="464"/>
        </w:trPr>
        <w:tc>
          <w:tcPr>
            <w:tcW w:w="168" w:type="pct"/>
          </w:tcPr>
          <w:p w14:paraId="4FB2E7A8" w14:textId="77777777" w:rsidR="00124A26" w:rsidRPr="00AC3044" w:rsidRDefault="00124A26" w:rsidP="002D3EBF">
            <w:pPr>
              <w:ind w:firstLine="0"/>
              <w:rPr>
                <w:rFonts w:eastAsia="SimSun"/>
              </w:rPr>
            </w:pPr>
            <w:r w:rsidRPr="00AC3044">
              <w:rPr>
                <w:rFonts w:eastAsia="SimSun"/>
              </w:rPr>
              <w:t>2</w:t>
            </w:r>
          </w:p>
        </w:tc>
        <w:tc>
          <w:tcPr>
            <w:tcW w:w="1133" w:type="pct"/>
            <w:vAlign w:val="center"/>
          </w:tcPr>
          <w:p w14:paraId="1D6DED01" w14:textId="77777777" w:rsidR="00124A26" w:rsidRPr="00AC3044" w:rsidRDefault="00124A26" w:rsidP="002D3EBF">
            <w:pPr>
              <w:ind w:firstLine="0"/>
              <w:rPr>
                <w:rFonts w:eastAsia="SimSun"/>
              </w:rPr>
            </w:pPr>
            <w:r w:rsidRPr="00AC3044">
              <w:rPr>
                <w:rFonts w:eastAsia="SimSun"/>
              </w:rPr>
              <w:t>Диазепам (допускается, особенно при наличии судорожного синдрома в анамнезе)</w:t>
            </w:r>
          </w:p>
        </w:tc>
        <w:tc>
          <w:tcPr>
            <w:tcW w:w="614" w:type="pct"/>
            <w:vAlign w:val="center"/>
          </w:tcPr>
          <w:p w14:paraId="1D29F218" w14:textId="77777777" w:rsidR="00124A26" w:rsidRPr="00AC3044" w:rsidRDefault="00124A26" w:rsidP="002D3EBF">
            <w:pPr>
              <w:ind w:firstLine="0"/>
              <w:rPr>
                <w:rFonts w:eastAsia="SimSun"/>
              </w:rPr>
            </w:pPr>
            <w:r w:rsidRPr="00AC3044">
              <w:rPr>
                <w:rFonts w:eastAsia="SimSun"/>
              </w:rPr>
              <w:t>10 мг</w:t>
            </w:r>
          </w:p>
        </w:tc>
        <w:tc>
          <w:tcPr>
            <w:tcW w:w="486" w:type="pct"/>
            <w:vAlign w:val="center"/>
          </w:tcPr>
          <w:p w14:paraId="6D393511" w14:textId="77777777" w:rsidR="00124A26" w:rsidRPr="00AC3044" w:rsidRDefault="00124A26" w:rsidP="002D3EBF">
            <w:pPr>
              <w:ind w:firstLine="0"/>
              <w:rPr>
                <w:rFonts w:eastAsia="SimSun"/>
              </w:rPr>
            </w:pPr>
            <w:r w:rsidRPr="00AC3044">
              <w:rPr>
                <w:rFonts w:eastAsia="SimSun"/>
              </w:rPr>
              <w:t>–</w:t>
            </w:r>
          </w:p>
        </w:tc>
        <w:tc>
          <w:tcPr>
            <w:tcW w:w="1370" w:type="pct"/>
            <w:vAlign w:val="center"/>
          </w:tcPr>
          <w:p w14:paraId="46B5CFC7" w14:textId="77777777" w:rsidR="00124A26" w:rsidRPr="00AC3044" w:rsidRDefault="00124A26" w:rsidP="002D3EBF">
            <w:pPr>
              <w:ind w:firstLine="0"/>
              <w:rPr>
                <w:rFonts w:eastAsia="SimSun"/>
              </w:rPr>
            </w:pPr>
            <w:r w:rsidRPr="00AC3044">
              <w:rPr>
                <w:rFonts w:eastAsia="SimSun"/>
              </w:rPr>
              <w:t>В дни введения ЦФ</w:t>
            </w:r>
          </w:p>
        </w:tc>
        <w:tc>
          <w:tcPr>
            <w:tcW w:w="1229" w:type="pct"/>
            <w:vAlign w:val="center"/>
          </w:tcPr>
          <w:p w14:paraId="47F0CFD9" w14:textId="77777777" w:rsidR="00124A26" w:rsidRPr="00AC3044" w:rsidRDefault="00124A26" w:rsidP="002D3EBF">
            <w:pPr>
              <w:ind w:firstLine="0"/>
              <w:rPr>
                <w:rFonts w:eastAsia="SimSun"/>
              </w:rPr>
            </w:pPr>
            <w:r w:rsidRPr="00AC3044">
              <w:rPr>
                <w:rFonts w:eastAsia="SimSun"/>
              </w:rPr>
              <w:t>В/в, на ночь</w:t>
            </w:r>
          </w:p>
        </w:tc>
      </w:tr>
      <w:tr w:rsidR="00124A26" w:rsidRPr="00AC3044" w14:paraId="7E9DC452" w14:textId="77777777" w:rsidTr="002D3EBF">
        <w:trPr>
          <w:cantSplit/>
          <w:trHeight w:val="464"/>
        </w:trPr>
        <w:tc>
          <w:tcPr>
            <w:tcW w:w="168" w:type="pct"/>
          </w:tcPr>
          <w:p w14:paraId="6AF176DF" w14:textId="77777777" w:rsidR="00124A26" w:rsidRPr="00AC3044" w:rsidRDefault="00124A26" w:rsidP="002D3EBF">
            <w:pPr>
              <w:ind w:firstLine="0"/>
              <w:rPr>
                <w:rFonts w:eastAsia="SimSun"/>
              </w:rPr>
            </w:pPr>
            <w:r w:rsidRPr="00AC3044">
              <w:rPr>
                <w:rFonts w:eastAsia="SimSun"/>
              </w:rPr>
              <w:t>3</w:t>
            </w:r>
          </w:p>
        </w:tc>
        <w:tc>
          <w:tcPr>
            <w:tcW w:w="1133" w:type="pct"/>
            <w:vAlign w:val="center"/>
          </w:tcPr>
          <w:p w14:paraId="4C6A3DF9" w14:textId="77777777" w:rsidR="00124A26" w:rsidRPr="00AC3044" w:rsidRDefault="00124A26" w:rsidP="002D3EBF">
            <w:pPr>
              <w:ind w:firstLine="0"/>
              <w:rPr>
                <w:rFonts w:eastAsia="SimSun"/>
              </w:rPr>
            </w:pPr>
            <w:r w:rsidRPr="00AC3044">
              <w:rPr>
                <w:rFonts w:eastAsia="SimSun"/>
              </w:rPr>
              <w:t>Левитирацетам</w:t>
            </w:r>
          </w:p>
        </w:tc>
        <w:tc>
          <w:tcPr>
            <w:tcW w:w="614" w:type="pct"/>
            <w:vAlign w:val="center"/>
          </w:tcPr>
          <w:p w14:paraId="22D86821" w14:textId="77777777" w:rsidR="00124A26" w:rsidRPr="00AC3044" w:rsidRDefault="00124A26" w:rsidP="002D3EBF">
            <w:pPr>
              <w:ind w:firstLine="0"/>
              <w:rPr>
                <w:rFonts w:eastAsia="SimSun"/>
              </w:rPr>
            </w:pPr>
            <w:r w:rsidRPr="00AC3044">
              <w:rPr>
                <w:rFonts w:eastAsia="SimSun"/>
              </w:rPr>
              <w:t>500 мг</w:t>
            </w:r>
          </w:p>
        </w:tc>
        <w:tc>
          <w:tcPr>
            <w:tcW w:w="486" w:type="pct"/>
            <w:vAlign w:val="center"/>
          </w:tcPr>
          <w:p w14:paraId="631F7854" w14:textId="77777777" w:rsidR="00124A26" w:rsidRPr="00AC3044" w:rsidRDefault="00124A26" w:rsidP="002D3EBF">
            <w:pPr>
              <w:ind w:firstLine="0"/>
              <w:rPr>
                <w:rFonts w:eastAsia="SimSun"/>
              </w:rPr>
            </w:pPr>
            <w:r w:rsidRPr="00AC3044">
              <w:rPr>
                <w:rFonts w:eastAsia="SimSun"/>
              </w:rPr>
              <w:t>–</w:t>
            </w:r>
          </w:p>
        </w:tc>
        <w:tc>
          <w:tcPr>
            <w:tcW w:w="1370" w:type="pct"/>
            <w:vAlign w:val="center"/>
          </w:tcPr>
          <w:p w14:paraId="49580D26" w14:textId="77777777" w:rsidR="00124A26" w:rsidRPr="00AC3044" w:rsidRDefault="00124A26" w:rsidP="002D3EBF">
            <w:pPr>
              <w:ind w:firstLine="0"/>
              <w:rPr>
                <w:rFonts w:eastAsia="SimSun"/>
              </w:rPr>
            </w:pPr>
            <w:r w:rsidRPr="00AC3044">
              <w:rPr>
                <w:rFonts w:eastAsia="SimSun"/>
              </w:rPr>
              <w:t>За сутки до введения бусульфана, в дни приема бусульфана, день следующий после окончания приема бусульфана</w:t>
            </w:r>
          </w:p>
        </w:tc>
        <w:tc>
          <w:tcPr>
            <w:tcW w:w="1229" w:type="pct"/>
            <w:vAlign w:val="center"/>
          </w:tcPr>
          <w:p w14:paraId="51FD5474" w14:textId="77777777" w:rsidR="00124A26" w:rsidRPr="00AC3044" w:rsidRDefault="00124A26" w:rsidP="002D3EBF">
            <w:pPr>
              <w:ind w:firstLine="0"/>
              <w:rPr>
                <w:rFonts w:eastAsia="SimSun"/>
              </w:rPr>
            </w:pPr>
            <w:r w:rsidRPr="00AC3044">
              <w:rPr>
                <w:rFonts w:eastAsia="SimSun"/>
              </w:rPr>
              <w:t>Внутрь, по 250 мг 2 раза/сут</w:t>
            </w:r>
          </w:p>
        </w:tc>
      </w:tr>
      <w:tr w:rsidR="00124A26" w:rsidRPr="00AC3044" w14:paraId="1D2C8F8A" w14:textId="77777777" w:rsidTr="002D3EBF">
        <w:trPr>
          <w:cantSplit/>
          <w:trHeight w:val="464"/>
        </w:trPr>
        <w:tc>
          <w:tcPr>
            <w:tcW w:w="168" w:type="pct"/>
          </w:tcPr>
          <w:p w14:paraId="05818A5C" w14:textId="77777777" w:rsidR="00124A26" w:rsidRPr="00AC3044" w:rsidRDefault="00124A26" w:rsidP="002D3EBF">
            <w:pPr>
              <w:ind w:firstLine="0"/>
              <w:rPr>
                <w:rFonts w:eastAsia="SimSun"/>
              </w:rPr>
            </w:pPr>
            <w:r w:rsidRPr="00AC3044">
              <w:rPr>
                <w:rFonts w:eastAsia="SimSun"/>
              </w:rPr>
              <w:t>4</w:t>
            </w:r>
          </w:p>
        </w:tc>
        <w:tc>
          <w:tcPr>
            <w:tcW w:w="1133" w:type="pct"/>
            <w:vAlign w:val="center"/>
          </w:tcPr>
          <w:p w14:paraId="55A5959B" w14:textId="77777777" w:rsidR="00124A26" w:rsidRPr="00AC3044" w:rsidRDefault="00124A26" w:rsidP="002D3EBF">
            <w:pPr>
              <w:ind w:firstLine="0"/>
              <w:rPr>
                <w:rFonts w:eastAsia="SimSun"/>
              </w:rPr>
            </w:pPr>
            <w:r w:rsidRPr="00AC3044">
              <w:rPr>
                <w:rFonts w:eastAsia="SimSun"/>
              </w:rPr>
              <w:t>Левитирацетам</w:t>
            </w:r>
          </w:p>
        </w:tc>
        <w:tc>
          <w:tcPr>
            <w:tcW w:w="614" w:type="pct"/>
            <w:vAlign w:val="center"/>
          </w:tcPr>
          <w:p w14:paraId="4C693F43" w14:textId="77777777" w:rsidR="00124A26" w:rsidRPr="00AC3044" w:rsidRDefault="00124A26" w:rsidP="002D3EBF">
            <w:pPr>
              <w:ind w:firstLine="0"/>
              <w:rPr>
                <w:rFonts w:eastAsia="SimSun"/>
              </w:rPr>
            </w:pPr>
            <w:r w:rsidRPr="00AC3044">
              <w:rPr>
                <w:rFonts w:eastAsia="SimSun"/>
              </w:rPr>
              <w:t>1000 мг</w:t>
            </w:r>
          </w:p>
        </w:tc>
        <w:tc>
          <w:tcPr>
            <w:tcW w:w="486" w:type="pct"/>
            <w:vAlign w:val="center"/>
          </w:tcPr>
          <w:p w14:paraId="7CACD304" w14:textId="77777777" w:rsidR="00124A26" w:rsidRPr="00AC3044" w:rsidRDefault="00124A26" w:rsidP="002D3EBF">
            <w:pPr>
              <w:ind w:firstLine="0"/>
              <w:rPr>
                <w:rFonts w:eastAsia="SimSun"/>
              </w:rPr>
            </w:pPr>
            <w:r w:rsidRPr="00AC3044">
              <w:rPr>
                <w:rFonts w:eastAsia="SimSun"/>
              </w:rPr>
              <w:t>–</w:t>
            </w:r>
          </w:p>
        </w:tc>
        <w:tc>
          <w:tcPr>
            <w:tcW w:w="1370" w:type="pct"/>
            <w:vAlign w:val="center"/>
          </w:tcPr>
          <w:p w14:paraId="0D282CF4" w14:textId="77777777" w:rsidR="00124A26" w:rsidRPr="00AC3044" w:rsidRDefault="00124A26" w:rsidP="002D3EBF">
            <w:pPr>
              <w:ind w:firstLine="0"/>
              <w:rPr>
                <w:rFonts w:eastAsia="SimSun"/>
              </w:rPr>
            </w:pPr>
            <w:r w:rsidRPr="00AC3044">
              <w:rPr>
                <w:rFonts w:eastAsia="SimSun"/>
              </w:rPr>
              <w:t>За сутки до введения бусульфана, в дни приема бусульфана, день следующий после окончания приема бусульфана</w:t>
            </w:r>
          </w:p>
        </w:tc>
        <w:tc>
          <w:tcPr>
            <w:tcW w:w="1229" w:type="pct"/>
            <w:vAlign w:val="center"/>
          </w:tcPr>
          <w:p w14:paraId="595140B7" w14:textId="77777777" w:rsidR="00124A26" w:rsidRPr="00AC3044" w:rsidRDefault="00124A26" w:rsidP="002D3EBF">
            <w:pPr>
              <w:ind w:firstLine="0"/>
              <w:rPr>
                <w:rFonts w:eastAsia="SimSun"/>
              </w:rPr>
            </w:pPr>
            <w:r w:rsidRPr="00AC3044">
              <w:rPr>
                <w:rFonts w:eastAsia="SimSun"/>
              </w:rPr>
              <w:t>Внутрь, по 1000 мг 2 раза/сут</w:t>
            </w:r>
          </w:p>
        </w:tc>
      </w:tr>
      <w:tr w:rsidR="00124A26" w:rsidRPr="00AC3044" w14:paraId="69F76DCE" w14:textId="77777777" w:rsidTr="002D3EBF">
        <w:trPr>
          <w:cantSplit/>
          <w:trHeight w:val="464"/>
        </w:trPr>
        <w:tc>
          <w:tcPr>
            <w:tcW w:w="5000" w:type="pct"/>
            <w:gridSpan w:val="6"/>
          </w:tcPr>
          <w:p w14:paraId="518B598E" w14:textId="77777777" w:rsidR="00124A26" w:rsidRPr="00AC3044" w:rsidRDefault="00124A26" w:rsidP="002D3EBF">
            <w:pPr>
              <w:ind w:firstLine="0"/>
              <w:rPr>
                <w:rFonts w:eastAsia="SimSun"/>
              </w:rPr>
            </w:pPr>
            <w:r w:rsidRPr="00AC3044">
              <w:rPr>
                <w:rFonts w:eastAsia="SimSun"/>
              </w:rPr>
              <w:t>Антисекреторная терапия</w:t>
            </w:r>
          </w:p>
        </w:tc>
      </w:tr>
      <w:tr w:rsidR="00124A26" w:rsidRPr="00AC3044" w14:paraId="3A08661E" w14:textId="77777777" w:rsidTr="002D3EBF">
        <w:trPr>
          <w:cantSplit/>
          <w:trHeight w:val="464"/>
        </w:trPr>
        <w:tc>
          <w:tcPr>
            <w:tcW w:w="168" w:type="pct"/>
          </w:tcPr>
          <w:p w14:paraId="543C7424" w14:textId="77777777" w:rsidR="00124A26" w:rsidRPr="00AC3044" w:rsidRDefault="00124A26" w:rsidP="002D3EBF">
            <w:pPr>
              <w:ind w:firstLine="0"/>
              <w:rPr>
                <w:rFonts w:eastAsia="SimSun"/>
              </w:rPr>
            </w:pPr>
            <w:r w:rsidRPr="00AC3044">
              <w:rPr>
                <w:rFonts w:eastAsia="SimSun"/>
              </w:rPr>
              <w:t>1</w:t>
            </w:r>
          </w:p>
        </w:tc>
        <w:tc>
          <w:tcPr>
            <w:tcW w:w="1133" w:type="pct"/>
            <w:vAlign w:val="center"/>
          </w:tcPr>
          <w:p w14:paraId="2E407008" w14:textId="77777777" w:rsidR="00124A26" w:rsidRPr="00AC3044" w:rsidRDefault="00124A26" w:rsidP="002D3EBF">
            <w:pPr>
              <w:ind w:firstLine="0"/>
              <w:rPr>
                <w:rFonts w:eastAsia="SimSun"/>
              </w:rPr>
            </w:pPr>
            <w:r w:rsidRPr="00AC3044">
              <w:rPr>
                <w:rFonts w:eastAsia="SimSun"/>
              </w:rPr>
              <w:t xml:space="preserve">Омепразол </w:t>
            </w:r>
          </w:p>
        </w:tc>
        <w:tc>
          <w:tcPr>
            <w:tcW w:w="614" w:type="pct"/>
            <w:vAlign w:val="center"/>
          </w:tcPr>
          <w:p w14:paraId="7916AC68" w14:textId="77777777" w:rsidR="00124A26" w:rsidRPr="00AC3044" w:rsidRDefault="00124A26" w:rsidP="002D3EBF">
            <w:pPr>
              <w:ind w:firstLine="0"/>
              <w:rPr>
                <w:rFonts w:eastAsia="SimSun"/>
              </w:rPr>
            </w:pPr>
            <w:r w:rsidRPr="00AC3044">
              <w:rPr>
                <w:rFonts w:eastAsia="SimSun"/>
              </w:rPr>
              <w:t>20-40 мг</w:t>
            </w:r>
          </w:p>
        </w:tc>
        <w:tc>
          <w:tcPr>
            <w:tcW w:w="486" w:type="pct"/>
            <w:vAlign w:val="center"/>
          </w:tcPr>
          <w:p w14:paraId="75E11940" w14:textId="77777777" w:rsidR="00124A26" w:rsidRPr="00AC3044" w:rsidRDefault="00124A26" w:rsidP="002D3EBF">
            <w:pPr>
              <w:ind w:firstLine="0"/>
              <w:rPr>
                <w:rFonts w:eastAsia="SimSun"/>
              </w:rPr>
            </w:pPr>
            <w:r w:rsidRPr="00AC3044">
              <w:rPr>
                <w:rFonts w:eastAsia="SimSun"/>
              </w:rPr>
              <w:t>–</w:t>
            </w:r>
          </w:p>
        </w:tc>
        <w:tc>
          <w:tcPr>
            <w:tcW w:w="1370" w:type="pct"/>
            <w:vAlign w:val="center"/>
          </w:tcPr>
          <w:p w14:paraId="579295AC" w14:textId="77777777" w:rsidR="00124A26" w:rsidRPr="00AC3044" w:rsidRDefault="00124A26" w:rsidP="002D3EBF">
            <w:pPr>
              <w:ind w:firstLine="0"/>
              <w:rPr>
                <w:rFonts w:eastAsia="SimSun"/>
              </w:rPr>
            </w:pPr>
            <w:r w:rsidRPr="00AC3044">
              <w:rPr>
                <w:rFonts w:eastAsia="SimSun"/>
              </w:rPr>
              <w:t>В соответсвии с клинической ситуацией, в среднем 14-42 дня</w:t>
            </w:r>
          </w:p>
        </w:tc>
        <w:tc>
          <w:tcPr>
            <w:tcW w:w="1229" w:type="pct"/>
          </w:tcPr>
          <w:p w14:paraId="2D84D734" w14:textId="77777777" w:rsidR="00124A26" w:rsidRPr="00AC3044" w:rsidRDefault="00124A26" w:rsidP="002D3EBF">
            <w:pPr>
              <w:ind w:firstLine="0"/>
              <w:rPr>
                <w:rFonts w:eastAsia="SimSun"/>
              </w:rPr>
            </w:pPr>
            <w:r w:rsidRPr="00AC3044">
              <w:rPr>
                <w:rFonts w:eastAsia="SimSun"/>
              </w:rPr>
              <w:t>Внутрь, 1 раз в сутки;</w:t>
            </w:r>
          </w:p>
          <w:p w14:paraId="5C40B90F" w14:textId="77777777" w:rsidR="00124A26" w:rsidRPr="00AC3044" w:rsidRDefault="00124A26" w:rsidP="002D3EBF">
            <w:pPr>
              <w:ind w:firstLine="0"/>
              <w:rPr>
                <w:rFonts w:eastAsia="SimSun"/>
              </w:rPr>
            </w:pPr>
            <w:r w:rsidRPr="00AC3044">
              <w:rPr>
                <w:rFonts w:eastAsia="SimSun"/>
              </w:rPr>
              <w:t>в/в, 1 раз в сутки</w:t>
            </w:r>
          </w:p>
        </w:tc>
      </w:tr>
      <w:tr w:rsidR="00124A26" w:rsidRPr="00AC3044" w14:paraId="6FE3F443" w14:textId="77777777" w:rsidTr="002D3EBF">
        <w:trPr>
          <w:cantSplit/>
          <w:trHeight w:val="464"/>
        </w:trPr>
        <w:tc>
          <w:tcPr>
            <w:tcW w:w="168" w:type="pct"/>
          </w:tcPr>
          <w:p w14:paraId="6F42556D" w14:textId="77777777" w:rsidR="00124A26" w:rsidRPr="00AC3044" w:rsidRDefault="00124A26" w:rsidP="002D3EBF">
            <w:pPr>
              <w:ind w:firstLine="0"/>
              <w:rPr>
                <w:rFonts w:eastAsia="SimSun"/>
              </w:rPr>
            </w:pPr>
            <w:r w:rsidRPr="00AC3044">
              <w:rPr>
                <w:rFonts w:eastAsia="SimSun"/>
              </w:rPr>
              <w:t>2</w:t>
            </w:r>
          </w:p>
        </w:tc>
        <w:tc>
          <w:tcPr>
            <w:tcW w:w="1133" w:type="pct"/>
          </w:tcPr>
          <w:p w14:paraId="5ED43034" w14:textId="77777777" w:rsidR="00124A26" w:rsidRPr="00AC3044" w:rsidRDefault="00124A26" w:rsidP="002D3EBF">
            <w:pPr>
              <w:ind w:firstLine="0"/>
              <w:rPr>
                <w:rFonts w:eastAsia="SimSun"/>
              </w:rPr>
            </w:pPr>
            <w:r w:rsidRPr="00AC3044">
              <w:rPr>
                <w:rFonts w:eastAsia="SimSun"/>
              </w:rPr>
              <w:t>Лансопразол</w:t>
            </w:r>
          </w:p>
        </w:tc>
        <w:tc>
          <w:tcPr>
            <w:tcW w:w="614" w:type="pct"/>
          </w:tcPr>
          <w:p w14:paraId="0D4A339B" w14:textId="77777777" w:rsidR="00124A26" w:rsidRPr="00AC3044" w:rsidRDefault="00124A26" w:rsidP="002D3EBF">
            <w:pPr>
              <w:ind w:firstLine="0"/>
              <w:rPr>
                <w:rFonts w:eastAsia="SimSun"/>
              </w:rPr>
            </w:pPr>
            <w:r w:rsidRPr="00AC3044">
              <w:rPr>
                <w:rFonts w:eastAsia="SimSun"/>
              </w:rPr>
              <w:t xml:space="preserve">30 </w:t>
            </w:r>
          </w:p>
        </w:tc>
        <w:tc>
          <w:tcPr>
            <w:tcW w:w="486" w:type="pct"/>
            <w:vAlign w:val="center"/>
          </w:tcPr>
          <w:p w14:paraId="72AA6652" w14:textId="77777777" w:rsidR="00124A26" w:rsidRPr="00AC3044" w:rsidRDefault="00124A26" w:rsidP="002D3EBF">
            <w:pPr>
              <w:ind w:firstLine="0"/>
              <w:rPr>
                <w:rFonts w:eastAsia="SimSun"/>
              </w:rPr>
            </w:pPr>
            <w:r w:rsidRPr="00AC3044">
              <w:rPr>
                <w:rFonts w:eastAsia="SimSun"/>
              </w:rPr>
              <w:t>–</w:t>
            </w:r>
          </w:p>
        </w:tc>
        <w:tc>
          <w:tcPr>
            <w:tcW w:w="1370" w:type="pct"/>
            <w:vAlign w:val="center"/>
          </w:tcPr>
          <w:p w14:paraId="0E244DA8" w14:textId="77777777" w:rsidR="00124A26" w:rsidRPr="00AC3044" w:rsidRDefault="00124A26" w:rsidP="002D3EBF">
            <w:pPr>
              <w:ind w:firstLine="0"/>
              <w:rPr>
                <w:rFonts w:eastAsia="SimSun"/>
              </w:rPr>
            </w:pPr>
            <w:r w:rsidRPr="00AC3044">
              <w:rPr>
                <w:rFonts w:eastAsia="SimSun"/>
              </w:rPr>
              <w:t>В соответсвии с клинической ситуацией, в среднем 14-42 дня</w:t>
            </w:r>
          </w:p>
        </w:tc>
        <w:tc>
          <w:tcPr>
            <w:tcW w:w="1229" w:type="pct"/>
          </w:tcPr>
          <w:p w14:paraId="21C3CEDF" w14:textId="77777777" w:rsidR="00124A26" w:rsidRPr="00AC3044" w:rsidRDefault="00124A26" w:rsidP="002D3EBF">
            <w:pPr>
              <w:ind w:firstLine="0"/>
              <w:rPr>
                <w:rFonts w:eastAsia="SimSun"/>
              </w:rPr>
            </w:pPr>
            <w:r w:rsidRPr="00AC3044">
              <w:rPr>
                <w:rFonts w:eastAsia="SimSun"/>
              </w:rPr>
              <w:t>Внутрь, 1 раз в сутки</w:t>
            </w:r>
          </w:p>
        </w:tc>
      </w:tr>
      <w:tr w:rsidR="00124A26" w:rsidRPr="00AC3044" w14:paraId="791374AF" w14:textId="77777777" w:rsidTr="002D3EBF">
        <w:trPr>
          <w:cantSplit/>
          <w:trHeight w:val="464"/>
        </w:trPr>
        <w:tc>
          <w:tcPr>
            <w:tcW w:w="168" w:type="pct"/>
          </w:tcPr>
          <w:p w14:paraId="171E9179" w14:textId="77777777" w:rsidR="00124A26" w:rsidRPr="00AC3044" w:rsidRDefault="00124A26" w:rsidP="002D3EBF">
            <w:pPr>
              <w:ind w:firstLine="0"/>
              <w:rPr>
                <w:rFonts w:eastAsia="SimSun"/>
              </w:rPr>
            </w:pPr>
            <w:r w:rsidRPr="00AC3044">
              <w:rPr>
                <w:rFonts w:eastAsia="SimSun"/>
              </w:rPr>
              <w:t>3</w:t>
            </w:r>
          </w:p>
        </w:tc>
        <w:tc>
          <w:tcPr>
            <w:tcW w:w="1133" w:type="pct"/>
          </w:tcPr>
          <w:p w14:paraId="0ABF8E6D" w14:textId="77777777" w:rsidR="00124A26" w:rsidRPr="00AC3044" w:rsidRDefault="00124A26" w:rsidP="002D3EBF">
            <w:pPr>
              <w:ind w:firstLine="0"/>
              <w:rPr>
                <w:rFonts w:eastAsia="SimSun"/>
              </w:rPr>
            </w:pPr>
            <w:r w:rsidRPr="00AC3044">
              <w:rPr>
                <w:rFonts w:eastAsia="SimSun"/>
              </w:rPr>
              <w:t>Пантопразол</w:t>
            </w:r>
          </w:p>
        </w:tc>
        <w:tc>
          <w:tcPr>
            <w:tcW w:w="614" w:type="pct"/>
          </w:tcPr>
          <w:p w14:paraId="71C7994D" w14:textId="77777777" w:rsidR="00124A26" w:rsidRPr="00AC3044" w:rsidRDefault="00124A26" w:rsidP="002D3EBF">
            <w:pPr>
              <w:ind w:firstLine="0"/>
              <w:rPr>
                <w:rFonts w:eastAsia="SimSun"/>
              </w:rPr>
            </w:pPr>
            <w:r w:rsidRPr="00AC3044">
              <w:rPr>
                <w:rFonts w:eastAsia="SimSun"/>
              </w:rPr>
              <w:t xml:space="preserve">40 </w:t>
            </w:r>
          </w:p>
        </w:tc>
        <w:tc>
          <w:tcPr>
            <w:tcW w:w="486" w:type="pct"/>
            <w:vAlign w:val="center"/>
          </w:tcPr>
          <w:p w14:paraId="11511789" w14:textId="77777777" w:rsidR="00124A26" w:rsidRPr="00AC3044" w:rsidRDefault="00124A26" w:rsidP="002D3EBF">
            <w:pPr>
              <w:ind w:firstLine="0"/>
              <w:rPr>
                <w:rFonts w:eastAsia="SimSun"/>
              </w:rPr>
            </w:pPr>
            <w:r w:rsidRPr="00AC3044">
              <w:rPr>
                <w:rFonts w:eastAsia="SimSun"/>
              </w:rPr>
              <w:t>–</w:t>
            </w:r>
          </w:p>
        </w:tc>
        <w:tc>
          <w:tcPr>
            <w:tcW w:w="1370" w:type="pct"/>
            <w:vAlign w:val="center"/>
          </w:tcPr>
          <w:p w14:paraId="6F00A048" w14:textId="77777777" w:rsidR="00124A26" w:rsidRPr="00AC3044" w:rsidRDefault="00124A26" w:rsidP="002D3EBF">
            <w:pPr>
              <w:ind w:firstLine="0"/>
              <w:rPr>
                <w:rFonts w:eastAsia="SimSun"/>
              </w:rPr>
            </w:pPr>
            <w:r w:rsidRPr="00AC3044">
              <w:rPr>
                <w:rFonts w:eastAsia="SimSun"/>
              </w:rPr>
              <w:t>В соответсвии с клинической ситуацией, в среднем 14-42 дня</w:t>
            </w:r>
          </w:p>
        </w:tc>
        <w:tc>
          <w:tcPr>
            <w:tcW w:w="1229" w:type="pct"/>
          </w:tcPr>
          <w:p w14:paraId="0611EF3C" w14:textId="77777777" w:rsidR="00124A26" w:rsidRPr="00AC3044" w:rsidRDefault="00124A26" w:rsidP="002D3EBF">
            <w:pPr>
              <w:ind w:firstLine="0"/>
              <w:rPr>
                <w:rFonts w:eastAsia="SimSun"/>
              </w:rPr>
            </w:pPr>
            <w:r w:rsidRPr="00AC3044">
              <w:rPr>
                <w:rFonts w:eastAsia="SimSun"/>
              </w:rPr>
              <w:t>Внутрь, 1 раз в сутки</w:t>
            </w:r>
          </w:p>
        </w:tc>
      </w:tr>
      <w:tr w:rsidR="00124A26" w:rsidRPr="00AC3044" w14:paraId="420C7E53" w14:textId="77777777" w:rsidTr="002D3EBF">
        <w:trPr>
          <w:cantSplit/>
          <w:trHeight w:val="464"/>
        </w:trPr>
        <w:tc>
          <w:tcPr>
            <w:tcW w:w="168" w:type="pct"/>
          </w:tcPr>
          <w:p w14:paraId="7A705E00" w14:textId="77777777" w:rsidR="00124A26" w:rsidRPr="00AC3044" w:rsidRDefault="00124A26" w:rsidP="002D3EBF">
            <w:pPr>
              <w:ind w:firstLine="0"/>
              <w:rPr>
                <w:rFonts w:eastAsia="SimSun"/>
              </w:rPr>
            </w:pPr>
            <w:r w:rsidRPr="00AC3044">
              <w:rPr>
                <w:rFonts w:eastAsia="SimSun"/>
              </w:rPr>
              <w:t>4</w:t>
            </w:r>
          </w:p>
        </w:tc>
        <w:tc>
          <w:tcPr>
            <w:tcW w:w="1133" w:type="pct"/>
          </w:tcPr>
          <w:p w14:paraId="43D30CBA" w14:textId="77777777" w:rsidR="00124A26" w:rsidRPr="00AC3044" w:rsidRDefault="00124A26" w:rsidP="002D3EBF">
            <w:pPr>
              <w:ind w:firstLine="0"/>
              <w:rPr>
                <w:rFonts w:eastAsia="SimSun"/>
              </w:rPr>
            </w:pPr>
            <w:r w:rsidRPr="00AC3044">
              <w:rPr>
                <w:rFonts w:eastAsia="SimSun"/>
              </w:rPr>
              <w:t>Рабепразол</w:t>
            </w:r>
          </w:p>
        </w:tc>
        <w:tc>
          <w:tcPr>
            <w:tcW w:w="614" w:type="pct"/>
          </w:tcPr>
          <w:p w14:paraId="129C169C" w14:textId="77777777" w:rsidR="00124A26" w:rsidRPr="00AC3044" w:rsidRDefault="00124A26" w:rsidP="002D3EBF">
            <w:pPr>
              <w:ind w:firstLine="0"/>
              <w:rPr>
                <w:rFonts w:eastAsia="SimSun"/>
              </w:rPr>
            </w:pPr>
            <w:r w:rsidRPr="00AC3044">
              <w:rPr>
                <w:rFonts w:eastAsia="SimSun"/>
              </w:rPr>
              <w:t>20</w:t>
            </w:r>
          </w:p>
        </w:tc>
        <w:tc>
          <w:tcPr>
            <w:tcW w:w="486" w:type="pct"/>
            <w:vAlign w:val="center"/>
          </w:tcPr>
          <w:p w14:paraId="091C2CC0" w14:textId="77777777" w:rsidR="00124A26" w:rsidRPr="00AC3044" w:rsidRDefault="00124A26" w:rsidP="002D3EBF">
            <w:pPr>
              <w:ind w:firstLine="0"/>
              <w:rPr>
                <w:rFonts w:eastAsia="SimSun"/>
              </w:rPr>
            </w:pPr>
            <w:r w:rsidRPr="00AC3044">
              <w:rPr>
                <w:rFonts w:eastAsia="SimSun"/>
              </w:rPr>
              <w:t>–</w:t>
            </w:r>
          </w:p>
        </w:tc>
        <w:tc>
          <w:tcPr>
            <w:tcW w:w="1370" w:type="pct"/>
            <w:vAlign w:val="center"/>
          </w:tcPr>
          <w:p w14:paraId="18ED7F92" w14:textId="77777777" w:rsidR="00124A26" w:rsidRPr="00AC3044" w:rsidRDefault="00124A26" w:rsidP="002D3EBF">
            <w:pPr>
              <w:ind w:firstLine="0"/>
              <w:rPr>
                <w:rFonts w:eastAsia="SimSun"/>
              </w:rPr>
            </w:pPr>
            <w:r w:rsidRPr="00AC3044">
              <w:rPr>
                <w:rFonts w:eastAsia="SimSun"/>
              </w:rPr>
              <w:t>В соответсвии с клинической ситуацией, в среднем 14-42 дня</w:t>
            </w:r>
          </w:p>
        </w:tc>
        <w:tc>
          <w:tcPr>
            <w:tcW w:w="1229" w:type="pct"/>
          </w:tcPr>
          <w:p w14:paraId="6A43B1E5" w14:textId="77777777" w:rsidR="00124A26" w:rsidRPr="00AC3044" w:rsidRDefault="00124A26" w:rsidP="002D3EBF">
            <w:pPr>
              <w:ind w:firstLine="0"/>
              <w:rPr>
                <w:rFonts w:eastAsia="SimSun"/>
              </w:rPr>
            </w:pPr>
            <w:r w:rsidRPr="00AC3044">
              <w:rPr>
                <w:rFonts w:eastAsia="SimSun"/>
              </w:rPr>
              <w:t>Внутрь, 1 раз в сутки</w:t>
            </w:r>
          </w:p>
        </w:tc>
      </w:tr>
      <w:tr w:rsidR="00124A26" w:rsidRPr="00AC3044" w14:paraId="11C62A0E" w14:textId="77777777" w:rsidTr="002D3EBF">
        <w:trPr>
          <w:cantSplit/>
          <w:trHeight w:val="464"/>
        </w:trPr>
        <w:tc>
          <w:tcPr>
            <w:tcW w:w="168" w:type="pct"/>
          </w:tcPr>
          <w:p w14:paraId="745711B6" w14:textId="77777777" w:rsidR="00124A26" w:rsidRPr="00AC3044" w:rsidRDefault="00124A26" w:rsidP="002D3EBF">
            <w:pPr>
              <w:ind w:firstLine="0"/>
              <w:rPr>
                <w:rFonts w:eastAsia="SimSun"/>
              </w:rPr>
            </w:pPr>
            <w:r w:rsidRPr="00AC3044">
              <w:rPr>
                <w:rFonts w:eastAsia="SimSun"/>
              </w:rPr>
              <w:t>5</w:t>
            </w:r>
          </w:p>
        </w:tc>
        <w:tc>
          <w:tcPr>
            <w:tcW w:w="1133" w:type="pct"/>
          </w:tcPr>
          <w:p w14:paraId="4B4F71F8" w14:textId="77777777" w:rsidR="00124A26" w:rsidRPr="00AC3044" w:rsidRDefault="00124A26" w:rsidP="002D3EBF">
            <w:pPr>
              <w:ind w:firstLine="0"/>
              <w:rPr>
                <w:rFonts w:eastAsia="SimSun"/>
              </w:rPr>
            </w:pPr>
            <w:r w:rsidRPr="00AC3044">
              <w:rPr>
                <w:rFonts w:eastAsia="SimSun"/>
              </w:rPr>
              <w:t>Эзомепразол</w:t>
            </w:r>
          </w:p>
        </w:tc>
        <w:tc>
          <w:tcPr>
            <w:tcW w:w="614" w:type="pct"/>
          </w:tcPr>
          <w:p w14:paraId="41D424DD" w14:textId="77777777" w:rsidR="00124A26" w:rsidRPr="00AC3044" w:rsidRDefault="00124A26" w:rsidP="002D3EBF">
            <w:pPr>
              <w:ind w:firstLine="0"/>
              <w:rPr>
                <w:rFonts w:eastAsia="SimSun"/>
              </w:rPr>
            </w:pPr>
            <w:r w:rsidRPr="00AC3044">
              <w:rPr>
                <w:rFonts w:eastAsia="SimSun"/>
              </w:rPr>
              <w:t>20</w:t>
            </w:r>
          </w:p>
        </w:tc>
        <w:tc>
          <w:tcPr>
            <w:tcW w:w="486" w:type="pct"/>
            <w:vAlign w:val="center"/>
          </w:tcPr>
          <w:p w14:paraId="02971019" w14:textId="77777777" w:rsidR="00124A26" w:rsidRPr="00AC3044" w:rsidRDefault="00124A26" w:rsidP="002D3EBF">
            <w:pPr>
              <w:ind w:firstLine="0"/>
              <w:rPr>
                <w:rFonts w:eastAsia="SimSun"/>
              </w:rPr>
            </w:pPr>
            <w:r w:rsidRPr="00AC3044">
              <w:rPr>
                <w:rFonts w:eastAsia="SimSun"/>
              </w:rPr>
              <w:t>–</w:t>
            </w:r>
          </w:p>
        </w:tc>
        <w:tc>
          <w:tcPr>
            <w:tcW w:w="1370" w:type="pct"/>
            <w:vAlign w:val="center"/>
          </w:tcPr>
          <w:p w14:paraId="78515271" w14:textId="77777777" w:rsidR="00124A26" w:rsidRPr="00AC3044" w:rsidRDefault="00124A26" w:rsidP="002D3EBF">
            <w:pPr>
              <w:ind w:firstLine="0"/>
              <w:rPr>
                <w:rFonts w:eastAsia="SimSun"/>
              </w:rPr>
            </w:pPr>
            <w:r w:rsidRPr="00AC3044">
              <w:rPr>
                <w:rFonts w:eastAsia="SimSun"/>
              </w:rPr>
              <w:t>В соответсвии с клинической ситуацией, в среднем 14-42 дня</w:t>
            </w:r>
          </w:p>
        </w:tc>
        <w:tc>
          <w:tcPr>
            <w:tcW w:w="1229" w:type="pct"/>
          </w:tcPr>
          <w:p w14:paraId="62D49E34" w14:textId="77777777" w:rsidR="00124A26" w:rsidRPr="00AC3044" w:rsidRDefault="00124A26" w:rsidP="002D3EBF">
            <w:pPr>
              <w:ind w:firstLine="0"/>
              <w:rPr>
                <w:rFonts w:eastAsia="SimSun"/>
              </w:rPr>
            </w:pPr>
            <w:r w:rsidRPr="00AC3044">
              <w:rPr>
                <w:rFonts w:eastAsia="SimSun"/>
              </w:rPr>
              <w:t>Внутрь или в/в, 1 раз в сутки</w:t>
            </w:r>
          </w:p>
        </w:tc>
      </w:tr>
      <w:tr w:rsidR="00124A26" w:rsidRPr="00AC3044" w14:paraId="5337F4F9" w14:textId="77777777" w:rsidTr="002D3EBF">
        <w:trPr>
          <w:cantSplit/>
          <w:trHeight w:val="464"/>
        </w:trPr>
        <w:tc>
          <w:tcPr>
            <w:tcW w:w="168" w:type="pct"/>
          </w:tcPr>
          <w:p w14:paraId="7A48038B" w14:textId="77777777" w:rsidR="00124A26" w:rsidRPr="00AC3044" w:rsidRDefault="00124A26" w:rsidP="002D3EBF">
            <w:pPr>
              <w:ind w:firstLine="0"/>
              <w:rPr>
                <w:rFonts w:eastAsia="SimSun"/>
              </w:rPr>
            </w:pPr>
            <w:r w:rsidRPr="00AC3044">
              <w:rPr>
                <w:rFonts w:eastAsia="SimSun"/>
              </w:rPr>
              <w:t>6</w:t>
            </w:r>
          </w:p>
        </w:tc>
        <w:tc>
          <w:tcPr>
            <w:tcW w:w="1133" w:type="pct"/>
          </w:tcPr>
          <w:p w14:paraId="37BCEEFF" w14:textId="77777777" w:rsidR="00124A26" w:rsidRPr="00AC3044" w:rsidRDefault="00124A26" w:rsidP="002D3EBF">
            <w:pPr>
              <w:ind w:firstLine="0"/>
              <w:rPr>
                <w:rFonts w:eastAsia="SimSun"/>
              </w:rPr>
            </w:pPr>
            <w:r w:rsidRPr="00AC3044">
              <w:rPr>
                <w:rFonts w:eastAsia="SimSun"/>
              </w:rPr>
              <w:t>Ранитидин</w:t>
            </w:r>
          </w:p>
        </w:tc>
        <w:tc>
          <w:tcPr>
            <w:tcW w:w="614" w:type="pct"/>
          </w:tcPr>
          <w:p w14:paraId="66297E15" w14:textId="77777777" w:rsidR="00124A26" w:rsidRPr="00AC3044" w:rsidRDefault="00124A26" w:rsidP="002D3EBF">
            <w:pPr>
              <w:ind w:firstLine="0"/>
              <w:rPr>
                <w:rFonts w:eastAsia="SimSun"/>
              </w:rPr>
            </w:pPr>
            <w:r w:rsidRPr="00AC3044">
              <w:rPr>
                <w:rFonts w:eastAsia="SimSun"/>
              </w:rPr>
              <w:t>150</w:t>
            </w:r>
          </w:p>
        </w:tc>
        <w:tc>
          <w:tcPr>
            <w:tcW w:w="486" w:type="pct"/>
            <w:vAlign w:val="center"/>
          </w:tcPr>
          <w:p w14:paraId="60D6D67A" w14:textId="77777777" w:rsidR="00124A26" w:rsidRPr="00AC3044" w:rsidRDefault="00124A26" w:rsidP="002D3EBF">
            <w:pPr>
              <w:ind w:firstLine="0"/>
              <w:rPr>
                <w:rFonts w:eastAsia="SimSun"/>
              </w:rPr>
            </w:pPr>
            <w:r w:rsidRPr="00AC3044">
              <w:rPr>
                <w:rFonts w:eastAsia="SimSun"/>
              </w:rPr>
              <w:t>–</w:t>
            </w:r>
          </w:p>
        </w:tc>
        <w:tc>
          <w:tcPr>
            <w:tcW w:w="1370" w:type="pct"/>
            <w:vAlign w:val="center"/>
          </w:tcPr>
          <w:p w14:paraId="2CEEE0E9" w14:textId="77777777" w:rsidR="00124A26" w:rsidRPr="00AC3044" w:rsidRDefault="00124A26" w:rsidP="002D3EBF">
            <w:pPr>
              <w:ind w:firstLine="0"/>
              <w:rPr>
                <w:rFonts w:eastAsia="SimSun"/>
              </w:rPr>
            </w:pPr>
            <w:r w:rsidRPr="00AC3044">
              <w:rPr>
                <w:rFonts w:eastAsia="SimSun"/>
              </w:rPr>
              <w:t>В соответсвии с клинической ситуацией, в среднем 14-42 дня</w:t>
            </w:r>
          </w:p>
        </w:tc>
        <w:tc>
          <w:tcPr>
            <w:tcW w:w="1229" w:type="pct"/>
          </w:tcPr>
          <w:p w14:paraId="63371545" w14:textId="77777777" w:rsidR="00124A26" w:rsidRPr="00AC3044" w:rsidRDefault="00124A26" w:rsidP="002D3EBF">
            <w:pPr>
              <w:ind w:firstLine="0"/>
              <w:rPr>
                <w:rFonts w:eastAsia="SimSun"/>
              </w:rPr>
            </w:pPr>
            <w:r w:rsidRPr="00AC3044">
              <w:rPr>
                <w:rFonts w:eastAsia="SimSun"/>
              </w:rPr>
              <w:t>Внутрь, 1 раз в сутки, на ночь</w:t>
            </w:r>
          </w:p>
        </w:tc>
      </w:tr>
      <w:tr w:rsidR="00124A26" w:rsidRPr="00AC3044" w14:paraId="2A398757" w14:textId="77777777" w:rsidTr="002D3EBF">
        <w:trPr>
          <w:cantSplit/>
          <w:trHeight w:val="464"/>
        </w:trPr>
        <w:tc>
          <w:tcPr>
            <w:tcW w:w="168" w:type="pct"/>
          </w:tcPr>
          <w:p w14:paraId="24BDC66E" w14:textId="77777777" w:rsidR="00124A26" w:rsidRPr="00AC3044" w:rsidRDefault="00124A26" w:rsidP="002D3EBF">
            <w:pPr>
              <w:ind w:firstLine="0"/>
              <w:rPr>
                <w:rFonts w:eastAsia="SimSun"/>
              </w:rPr>
            </w:pPr>
            <w:r w:rsidRPr="00AC3044">
              <w:rPr>
                <w:rFonts w:eastAsia="SimSun"/>
              </w:rPr>
              <w:t>7</w:t>
            </w:r>
          </w:p>
        </w:tc>
        <w:tc>
          <w:tcPr>
            <w:tcW w:w="1133" w:type="pct"/>
          </w:tcPr>
          <w:p w14:paraId="1F7238DD" w14:textId="77777777" w:rsidR="00124A26" w:rsidRPr="00AC3044" w:rsidRDefault="00124A26" w:rsidP="002D3EBF">
            <w:pPr>
              <w:ind w:firstLine="0"/>
              <w:rPr>
                <w:rFonts w:eastAsia="SimSun"/>
              </w:rPr>
            </w:pPr>
            <w:r w:rsidRPr="00AC3044">
              <w:rPr>
                <w:rFonts w:eastAsia="SimSun"/>
              </w:rPr>
              <w:t>Фамотидин</w:t>
            </w:r>
          </w:p>
        </w:tc>
        <w:tc>
          <w:tcPr>
            <w:tcW w:w="614" w:type="pct"/>
          </w:tcPr>
          <w:p w14:paraId="7BFC3406" w14:textId="77777777" w:rsidR="00124A26" w:rsidRPr="00AC3044" w:rsidRDefault="00124A26" w:rsidP="002D3EBF">
            <w:pPr>
              <w:ind w:firstLine="0"/>
              <w:rPr>
                <w:rFonts w:eastAsia="SimSun"/>
              </w:rPr>
            </w:pPr>
            <w:r w:rsidRPr="00AC3044">
              <w:rPr>
                <w:rFonts w:eastAsia="SimSun"/>
              </w:rPr>
              <w:t xml:space="preserve">20 </w:t>
            </w:r>
          </w:p>
        </w:tc>
        <w:tc>
          <w:tcPr>
            <w:tcW w:w="486" w:type="pct"/>
            <w:vAlign w:val="center"/>
          </w:tcPr>
          <w:p w14:paraId="1564BDCC" w14:textId="77777777" w:rsidR="00124A26" w:rsidRPr="00AC3044" w:rsidRDefault="00124A26" w:rsidP="002D3EBF">
            <w:pPr>
              <w:ind w:firstLine="0"/>
              <w:rPr>
                <w:rFonts w:eastAsia="SimSun"/>
              </w:rPr>
            </w:pPr>
            <w:r w:rsidRPr="00AC3044">
              <w:rPr>
                <w:rFonts w:eastAsia="SimSun"/>
              </w:rPr>
              <w:t>–</w:t>
            </w:r>
          </w:p>
        </w:tc>
        <w:tc>
          <w:tcPr>
            <w:tcW w:w="1370" w:type="pct"/>
            <w:vAlign w:val="center"/>
          </w:tcPr>
          <w:p w14:paraId="54D1F913" w14:textId="77777777" w:rsidR="00124A26" w:rsidRPr="00AC3044" w:rsidRDefault="00124A26" w:rsidP="002D3EBF">
            <w:pPr>
              <w:ind w:firstLine="0"/>
              <w:rPr>
                <w:rFonts w:eastAsia="SimSun"/>
              </w:rPr>
            </w:pPr>
            <w:r w:rsidRPr="00AC3044">
              <w:rPr>
                <w:rFonts w:eastAsia="SimSun"/>
              </w:rPr>
              <w:t>В соответсвии с клинической ситуацией, в среднем 14-42 дня</w:t>
            </w:r>
          </w:p>
        </w:tc>
        <w:tc>
          <w:tcPr>
            <w:tcW w:w="1229" w:type="pct"/>
          </w:tcPr>
          <w:p w14:paraId="164D3010" w14:textId="77777777" w:rsidR="00124A26" w:rsidRPr="00AC3044" w:rsidRDefault="00124A26" w:rsidP="002D3EBF">
            <w:pPr>
              <w:ind w:firstLine="0"/>
              <w:rPr>
                <w:rFonts w:eastAsia="SimSun"/>
              </w:rPr>
            </w:pPr>
            <w:r w:rsidRPr="00AC3044">
              <w:rPr>
                <w:rFonts w:eastAsia="SimSun"/>
              </w:rPr>
              <w:t>Внутрь, 1 раз в сутки, на ночь</w:t>
            </w:r>
          </w:p>
        </w:tc>
      </w:tr>
      <w:tr w:rsidR="00124A26" w:rsidRPr="00AC3044" w14:paraId="246C38D2" w14:textId="77777777" w:rsidTr="002D3EBF">
        <w:trPr>
          <w:cantSplit/>
          <w:trHeight w:val="20"/>
        </w:trPr>
        <w:tc>
          <w:tcPr>
            <w:tcW w:w="5000" w:type="pct"/>
            <w:gridSpan w:val="6"/>
          </w:tcPr>
          <w:p w14:paraId="7C09F0EA" w14:textId="77777777" w:rsidR="00124A26" w:rsidRPr="00AC3044" w:rsidRDefault="00124A26" w:rsidP="002D3EBF">
            <w:pPr>
              <w:ind w:firstLine="0"/>
              <w:rPr>
                <w:rFonts w:eastAsia="SimSun"/>
              </w:rPr>
            </w:pPr>
            <w:r w:rsidRPr="00AC3044">
              <w:rPr>
                <w:rFonts w:eastAsia="SimSun"/>
              </w:rPr>
              <w:t>Наркотическая обезболивающая терапия</w:t>
            </w:r>
          </w:p>
        </w:tc>
      </w:tr>
      <w:tr w:rsidR="00124A26" w:rsidRPr="00AC3044" w14:paraId="780F8DD7" w14:textId="77777777" w:rsidTr="002D3EBF">
        <w:trPr>
          <w:cantSplit/>
          <w:trHeight w:val="20"/>
        </w:trPr>
        <w:tc>
          <w:tcPr>
            <w:tcW w:w="168" w:type="pct"/>
          </w:tcPr>
          <w:p w14:paraId="66CC94D9" w14:textId="77777777" w:rsidR="00124A26" w:rsidRPr="00AC3044" w:rsidRDefault="00124A26" w:rsidP="002D3EBF">
            <w:pPr>
              <w:ind w:firstLine="0"/>
              <w:rPr>
                <w:rFonts w:eastAsia="SimSun"/>
              </w:rPr>
            </w:pPr>
            <w:r w:rsidRPr="00AC3044">
              <w:rPr>
                <w:rFonts w:eastAsia="SimSun"/>
              </w:rPr>
              <w:t>1</w:t>
            </w:r>
          </w:p>
        </w:tc>
        <w:tc>
          <w:tcPr>
            <w:tcW w:w="1133" w:type="pct"/>
            <w:vAlign w:val="center"/>
          </w:tcPr>
          <w:p w14:paraId="51772A63" w14:textId="77777777" w:rsidR="00124A26" w:rsidRPr="00AC3044" w:rsidRDefault="00124A26" w:rsidP="002D3EBF">
            <w:pPr>
              <w:ind w:firstLine="0"/>
              <w:rPr>
                <w:rFonts w:eastAsia="SimSun"/>
              </w:rPr>
            </w:pPr>
            <w:r w:rsidRPr="00AC3044">
              <w:rPr>
                <w:rFonts w:eastAsia="SimSun"/>
              </w:rPr>
              <w:t xml:space="preserve">Промедол </w:t>
            </w:r>
          </w:p>
        </w:tc>
        <w:tc>
          <w:tcPr>
            <w:tcW w:w="2470" w:type="pct"/>
            <w:gridSpan w:val="3"/>
            <w:vAlign w:val="center"/>
          </w:tcPr>
          <w:p w14:paraId="63A204D5" w14:textId="77777777" w:rsidR="00124A26" w:rsidRPr="00AC3044" w:rsidRDefault="00124A26" w:rsidP="002D3EBF">
            <w:pPr>
              <w:ind w:firstLine="0"/>
              <w:rPr>
                <w:rFonts w:eastAsia="SimSun"/>
              </w:rPr>
            </w:pPr>
            <w:r w:rsidRPr="00AC3044">
              <w:rPr>
                <w:rFonts w:eastAsia="SimSun"/>
              </w:rPr>
              <w:t>В соответсвии с клинической ситуацией</w:t>
            </w:r>
          </w:p>
        </w:tc>
        <w:tc>
          <w:tcPr>
            <w:tcW w:w="1229" w:type="pct"/>
            <w:vAlign w:val="center"/>
          </w:tcPr>
          <w:p w14:paraId="59A05CA8" w14:textId="77777777" w:rsidR="00124A26" w:rsidRPr="00AC3044" w:rsidRDefault="00124A26" w:rsidP="002D3EBF">
            <w:pPr>
              <w:ind w:firstLine="0"/>
              <w:rPr>
                <w:rFonts w:eastAsia="SimSun"/>
              </w:rPr>
            </w:pPr>
            <w:r w:rsidRPr="00AC3044">
              <w:rPr>
                <w:rFonts w:eastAsia="SimSun"/>
              </w:rPr>
              <w:t>В/в</w:t>
            </w:r>
          </w:p>
        </w:tc>
      </w:tr>
      <w:tr w:rsidR="00124A26" w:rsidRPr="00AC3044" w14:paraId="64FDC82D" w14:textId="77777777" w:rsidTr="002D3EBF">
        <w:trPr>
          <w:cantSplit/>
          <w:trHeight w:val="20"/>
        </w:trPr>
        <w:tc>
          <w:tcPr>
            <w:tcW w:w="168" w:type="pct"/>
          </w:tcPr>
          <w:p w14:paraId="07C17821" w14:textId="77777777" w:rsidR="00124A26" w:rsidRPr="00AC3044" w:rsidRDefault="00124A26" w:rsidP="002D3EBF">
            <w:pPr>
              <w:ind w:firstLine="0"/>
              <w:rPr>
                <w:rFonts w:eastAsia="SimSun"/>
              </w:rPr>
            </w:pPr>
            <w:r w:rsidRPr="00AC3044">
              <w:rPr>
                <w:rFonts w:eastAsia="SimSun"/>
              </w:rPr>
              <w:t>2</w:t>
            </w:r>
          </w:p>
        </w:tc>
        <w:tc>
          <w:tcPr>
            <w:tcW w:w="1133" w:type="pct"/>
            <w:vAlign w:val="center"/>
          </w:tcPr>
          <w:p w14:paraId="242A49C1" w14:textId="77777777" w:rsidR="00124A26" w:rsidRPr="00AC3044" w:rsidRDefault="00124A26" w:rsidP="002D3EBF">
            <w:pPr>
              <w:ind w:firstLine="0"/>
              <w:rPr>
                <w:rFonts w:eastAsia="SimSun"/>
              </w:rPr>
            </w:pPr>
            <w:r w:rsidRPr="00AC3044">
              <w:rPr>
                <w:rFonts w:eastAsia="SimSun"/>
              </w:rPr>
              <w:t>Трамадол</w:t>
            </w:r>
          </w:p>
        </w:tc>
        <w:tc>
          <w:tcPr>
            <w:tcW w:w="2470" w:type="pct"/>
            <w:gridSpan w:val="3"/>
            <w:vAlign w:val="center"/>
          </w:tcPr>
          <w:p w14:paraId="055C3AB2" w14:textId="77777777" w:rsidR="00124A26" w:rsidRPr="00AC3044" w:rsidRDefault="00124A26" w:rsidP="002D3EBF">
            <w:pPr>
              <w:ind w:firstLine="0"/>
              <w:rPr>
                <w:rFonts w:eastAsia="SimSun"/>
              </w:rPr>
            </w:pPr>
            <w:r w:rsidRPr="00AC3044">
              <w:rPr>
                <w:rFonts w:eastAsia="SimSun"/>
              </w:rPr>
              <w:t>В соответсвии с клинической ситуацией</w:t>
            </w:r>
          </w:p>
        </w:tc>
        <w:tc>
          <w:tcPr>
            <w:tcW w:w="1229" w:type="pct"/>
            <w:vAlign w:val="center"/>
          </w:tcPr>
          <w:p w14:paraId="3E448060" w14:textId="77777777" w:rsidR="00124A26" w:rsidRPr="00AC3044" w:rsidRDefault="00124A26" w:rsidP="002D3EBF">
            <w:pPr>
              <w:ind w:firstLine="0"/>
              <w:rPr>
                <w:rFonts w:eastAsia="SimSun"/>
              </w:rPr>
            </w:pPr>
            <w:r w:rsidRPr="00AC3044">
              <w:rPr>
                <w:rFonts w:eastAsia="SimSun"/>
              </w:rPr>
              <w:t>В/в</w:t>
            </w:r>
          </w:p>
        </w:tc>
      </w:tr>
      <w:tr w:rsidR="00124A26" w:rsidRPr="00AC3044" w14:paraId="0FE6DEE5" w14:textId="77777777" w:rsidTr="002D3EBF">
        <w:trPr>
          <w:cantSplit/>
          <w:trHeight w:val="20"/>
        </w:trPr>
        <w:tc>
          <w:tcPr>
            <w:tcW w:w="168" w:type="pct"/>
          </w:tcPr>
          <w:p w14:paraId="76F5565D" w14:textId="77777777" w:rsidR="00124A26" w:rsidRPr="00AC3044" w:rsidRDefault="00124A26" w:rsidP="002D3EBF">
            <w:pPr>
              <w:ind w:firstLine="0"/>
              <w:rPr>
                <w:rFonts w:eastAsia="SimSun"/>
              </w:rPr>
            </w:pPr>
            <w:r w:rsidRPr="00AC3044">
              <w:rPr>
                <w:rFonts w:eastAsia="SimSun"/>
              </w:rPr>
              <w:t>3</w:t>
            </w:r>
          </w:p>
        </w:tc>
        <w:tc>
          <w:tcPr>
            <w:tcW w:w="1133" w:type="pct"/>
            <w:vAlign w:val="center"/>
          </w:tcPr>
          <w:p w14:paraId="3CFF1CD4" w14:textId="77777777" w:rsidR="00124A26" w:rsidRPr="00AC3044" w:rsidRDefault="00124A26" w:rsidP="002D3EBF">
            <w:pPr>
              <w:ind w:firstLine="0"/>
              <w:rPr>
                <w:rFonts w:eastAsia="SimSun"/>
              </w:rPr>
            </w:pPr>
            <w:r w:rsidRPr="00AC3044">
              <w:rPr>
                <w:rFonts w:eastAsia="SimSun"/>
              </w:rPr>
              <w:t>Фентанил</w:t>
            </w:r>
          </w:p>
        </w:tc>
        <w:tc>
          <w:tcPr>
            <w:tcW w:w="2470" w:type="pct"/>
            <w:gridSpan w:val="3"/>
            <w:vAlign w:val="center"/>
          </w:tcPr>
          <w:p w14:paraId="2201D25A" w14:textId="77777777" w:rsidR="00124A26" w:rsidRPr="00AC3044" w:rsidRDefault="00124A26" w:rsidP="002D3EBF">
            <w:pPr>
              <w:ind w:firstLine="0"/>
              <w:rPr>
                <w:rFonts w:eastAsia="SimSun"/>
              </w:rPr>
            </w:pPr>
            <w:r w:rsidRPr="00AC3044">
              <w:rPr>
                <w:rFonts w:eastAsia="SimSun"/>
              </w:rPr>
              <w:t>В соответсвии с клинической ситуацией</w:t>
            </w:r>
          </w:p>
        </w:tc>
        <w:tc>
          <w:tcPr>
            <w:tcW w:w="1229" w:type="pct"/>
            <w:vAlign w:val="center"/>
          </w:tcPr>
          <w:p w14:paraId="3AEF784C" w14:textId="77777777" w:rsidR="00124A26" w:rsidRPr="00AC3044" w:rsidRDefault="00124A26" w:rsidP="002D3EBF">
            <w:pPr>
              <w:ind w:firstLine="0"/>
              <w:rPr>
                <w:rFonts w:eastAsia="SimSun"/>
              </w:rPr>
            </w:pPr>
            <w:r w:rsidRPr="00AC3044">
              <w:rPr>
                <w:rFonts w:eastAsia="SimSun"/>
              </w:rPr>
              <w:t>Трансдермально</w:t>
            </w:r>
          </w:p>
        </w:tc>
      </w:tr>
      <w:tr w:rsidR="00124A26" w:rsidRPr="00AC3044" w14:paraId="044EF2C3" w14:textId="77777777" w:rsidTr="002D3EBF">
        <w:trPr>
          <w:cantSplit/>
          <w:trHeight w:val="20"/>
        </w:trPr>
        <w:tc>
          <w:tcPr>
            <w:tcW w:w="168" w:type="pct"/>
          </w:tcPr>
          <w:p w14:paraId="27019E28" w14:textId="77777777" w:rsidR="00124A26" w:rsidRPr="00AC3044" w:rsidRDefault="00124A26" w:rsidP="002D3EBF">
            <w:pPr>
              <w:ind w:firstLine="0"/>
              <w:rPr>
                <w:rFonts w:eastAsia="SimSun"/>
              </w:rPr>
            </w:pPr>
            <w:r w:rsidRPr="00AC3044">
              <w:rPr>
                <w:rFonts w:eastAsia="SimSun"/>
              </w:rPr>
              <w:t>4</w:t>
            </w:r>
          </w:p>
        </w:tc>
        <w:tc>
          <w:tcPr>
            <w:tcW w:w="1133" w:type="pct"/>
            <w:vAlign w:val="center"/>
          </w:tcPr>
          <w:p w14:paraId="041D2965" w14:textId="77777777" w:rsidR="00124A26" w:rsidRPr="00AC3044" w:rsidRDefault="00124A26" w:rsidP="002D3EBF">
            <w:pPr>
              <w:ind w:firstLine="0"/>
              <w:rPr>
                <w:rFonts w:eastAsia="SimSun"/>
              </w:rPr>
            </w:pPr>
            <w:r w:rsidRPr="00AC3044">
              <w:rPr>
                <w:rFonts w:eastAsia="SimSun"/>
              </w:rPr>
              <w:t>Морфин</w:t>
            </w:r>
          </w:p>
        </w:tc>
        <w:tc>
          <w:tcPr>
            <w:tcW w:w="2470" w:type="pct"/>
            <w:gridSpan w:val="3"/>
            <w:vAlign w:val="center"/>
          </w:tcPr>
          <w:p w14:paraId="6DC9B864" w14:textId="77777777" w:rsidR="00124A26" w:rsidRPr="00AC3044" w:rsidRDefault="00124A26" w:rsidP="002D3EBF">
            <w:pPr>
              <w:ind w:firstLine="0"/>
              <w:rPr>
                <w:rFonts w:eastAsia="SimSun"/>
              </w:rPr>
            </w:pPr>
            <w:r w:rsidRPr="00AC3044">
              <w:rPr>
                <w:rFonts w:eastAsia="SimSun"/>
              </w:rPr>
              <w:t>В соответсвии с клинической ситуацией</w:t>
            </w:r>
          </w:p>
        </w:tc>
        <w:tc>
          <w:tcPr>
            <w:tcW w:w="1229" w:type="pct"/>
            <w:vAlign w:val="center"/>
          </w:tcPr>
          <w:p w14:paraId="6EB3D713" w14:textId="77777777" w:rsidR="00124A26" w:rsidRPr="00AC3044" w:rsidRDefault="00124A26" w:rsidP="002D3EBF">
            <w:pPr>
              <w:ind w:firstLine="0"/>
              <w:rPr>
                <w:rFonts w:eastAsia="SimSun"/>
              </w:rPr>
            </w:pPr>
            <w:r w:rsidRPr="00AC3044">
              <w:rPr>
                <w:rFonts w:eastAsia="SimSun"/>
              </w:rPr>
              <w:t>В/в</w:t>
            </w:r>
          </w:p>
        </w:tc>
      </w:tr>
      <w:tr w:rsidR="00124A26" w:rsidRPr="00AC3044" w14:paraId="683E92E9" w14:textId="77777777" w:rsidTr="002D3EBF">
        <w:trPr>
          <w:cantSplit/>
          <w:trHeight w:val="20"/>
        </w:trPr>
        <w:tc>
          <w:tcPr>
            <w:tcW w:w="5000" w:type="pct"/>
            <w:gridSpan w:val="6"/>
          </w:tcPr>
          <w:p w14:paraId="63C3C3E2" w14:textId="77777777" w:rsidR="00124A26" w:rsidRPr="00AC3044" w:rsidRDefault="00124A26" w:rsidP="002D3EBF">
            <w:pPr>
              <w:ind w:firstLine="0"/>
              <w:rPr>
                <w:rFonts w:eastAsia="SimSun"/>
              </w:rPr>
            </w:pPr>
            <w:r w:rsidRPr="00AC3044">
              <w:rPr>
                <w:rFonts w:eastAsia="SimSun"/>
              </w:rPr>
              <w:t>Другое</w:t>
            </w:r>
          </w:p>
        </w:tc>
      </w:tr>
      <w:tr w:rsidR="00124A26" w:rsidRPr="00AC3044" w14:paraId="50ED1319" w14:textId="77777777" w:rsidTr="002D3EBF">
        <w:trPr>
          <w:cantSplit/>
          <w:trHeight w:val="20"/>
        </w:trPr>
        <w:tc>
          <w:tcPr>
            <w:tcW w:w="168" w:type="pct"/>
          </w:tcPr>
          <w:p w14:paraId="4396DE5E" w14:textId="77777777" w:rsidR="00124A26" w:rsidRPr="00AC3044" w:rsidRDefault="00124A26" w:rsidP="002D3EBF">
            <w:pPr>
              <w:ind w:firstLine="0"/>
              <w:rPr>
                <w:rFonts w:eastAsia="SimSun"/>
              </w:rPr>
            </w:pPr>
            <w:r w:rsidRPr="00AC3044">
              <w:rPr>
                <w:rFonts w:eastAsia="SimSun"/>
              </w:rPr>
              <w:t>1</w:t>
            </w:r>
          </w:p>
        </w:tc>
        <w:tc>
          <w:tcPr>
            <w:tcW w:w="1133" w:type="pct"/>
            <w:vAlign w:val="center"/>
          </w:tcPr>
          <w:p w14:paraId="0DDDA14E" w14:textId="77777777" w:rsidR="00124A26" w:rsidRPr="00AC3044" w:rsidRDefault="00124A26" w:rsidP="002D3EBF">
            <w:pPr>
              <w:ind w:firstLine="0"/>
              <w:rPr>
                <w:rFonts w:eastAsia="SimSun"/>
              </w:rPr>
            </w:pPr>
            <w:r w:rsidRPr="00AC3044">
              <w:rPr>
                <w:rFonts w:eastAsia="SimSun"/>
              </w:rPr>
              <w:t>Месна</w:t>
            </w:r>
          </w:p>
        </w:tc>
        <w:tc>
          <w:tcPr>
            <w:tcW w:w="614" w:type="pct"/>
            <w:vAlign w:val="center"/>
          </w:tcPr>
          <w:p w14:paraId="0A81E90F" w14:textId="77777777" w:rsidR="00124A26" w:rsidRPr="00AC3044" w:rsidRDefault="00124A26" w:rsidP="002D3EBF">
            <w:pPr>
              <w:ind w:firstLine="0"/>
              <w:rPr>
                <w:rFonts w:eastAsia="SimSun"/>
              </w:rPr>
            </w:pPr>
            <w:r w:rsidRPr="00AC3044">
              <w:rPr>
                <w:rFonts w:eastAsia="SimSun"/>
              </w:rPr>
              <w:t>120% от дозы ЦФ</w:t>
            </w:r>
          </w:p>
        </w:tc>
        <w:tc>
          <w:tcPr>
            <w:tcW w:w="486" w:type="pct"/>
            <w:vAlign w:val="center"/>
          </w:tcPr>
          <w:p w14:paraId="34D68F02" w14:textId="77777777" w:rsidR="00124A26" w:rsidRPr="00AC3044" w:rsidRDefault="00124A26" w:rsidP="002D3EBF">
            <w:pPr>
              <w:ind w:firstLine="0"/>
              <w:rPr>
                <w:rFonts w:eastAsia="SimSun"/>
              </w:rPr>
            </w:pPr>
            <w:r w:rsidRPr="00AC3044">
              <w:rPr>
                <w:rFonts w:eastAsia="SimSun"/>
              </w:rPr>
              <w:t>–</w:t>
            </w:r>
          </w:p>
        </w:tc>
        <w:tc>
          <w:tcPr>
            <w:tcW w:w="1370" w:type="pct"/>
            <w:vAlign w:val="center"/>
          </w:tcPr>
          <w:p w14:paraId="26392029" w14:textId="77777777" w:rsidR="00124A26" w:rsidRPr="00AC3044" w:rsidRDefault="00124A26" w:rsidP="002D3EBF">
            <w:pPr>
              <w:ind w:firstLine="0"/>
              <w:rPr>
                <w:rFonts w:eastAsia="SimSun"/>
              </w:rPr>
            </w:pPr>
            <w:r w:rsidRPr="00AC3044">
              <w:rPr>
                <w:rFonts w:eastAsia="SimSun"/>
              </w:rPr>
              <w:t>В дни введения ЦФ</w:t>
            </w:r>
          </w:p>
        </w:tc>
        <w:tc>
          <w:tcPr>
            <w:tcW w:w="1229" w:type="pct"/>
            <w:vAlign w:val="center"/>
          </w:tcPr>
          <w:p w14:paraId="789395F7" w14:textId="77777777" w:rsidR="00124A26" w:rsidRPr="00AC3044" w:rsidRDefault="00124A26" w:rsidP="002D3EBF">
            <w:pPr>
              <w:ind w:firstLine="0"/>
              <w:rPr>
                <w:rFonts w:eastAsia="SimSun"/>
              </w:rPr>
            </w:pPr>
            <w:r w:rsidRPr="00AC3044">
              <w:rPr>
                <w:rFonts w:eastAsia="SimSun"/>
              </w:rPr>
              <w:t xml:space="preserve">В/в, инфузия в течение 24 ч, начиная за 2 ч до введения ЦФ </w:t>
            </w:r>
          </w:p>
        </w:tc>
      </w:tr>
      <w:tr w:rsidR="00124A26" w:rsidRPr="00AC3044" w14:paraId="456AF989" w14:textId="77777777" w:rsidTr="002D3EBF">
        <w:trPr>
          <w:cantSplit/>
          <w:trHeight w:val="20"/>
        </w:trPr>
        <w:tc>
          <w:tcPr>
            <w:tcW w:w="168" w:type="pct"/>
          </w:tcPr>
          <w:p w14:paraId="3202955A" w14:textId="77777777" w:rsidR="00124A26" w:rsidRPr="00AC3044" w:rsidRDefault="00124A26" w:rsidP="002D3EBF">
            <w:pPr>
              <w:ind w:firstLine="0"/>
              <w:rPr>
                <w:rFonts w:eastAsia="SimSun"/>
              </w:rPr>
            </w:pPr>
            <w:r w:rsidRPr="00AC3044">
              <w:rPr>
                <w:rFonts w:eastAsia="SimSun"/>
              </w:rPr>
              <w:t>2</w:t>
            </w:r>
          </w:p>
        </w:tc>
        <w:tc>
          <w:tcPr>
            <w:tcW w:w="1133" w:type="pct"/>
            <w:vAlign w:val="center"/>
          </w:tcPr>
          <w:p w14:paraId="28286D6C" w14:textId="77777777" w:rsidR="00124A26" w:rsidRPr="00AC3044" w:rsidRDefault="00124A26" w:rsidP="002D3EBF">
            <w:pPr>
              <w:ind w:firstLine="0"/>
              <w:rPr>
                <w:rFonts w:eastAsia="SimSun"/>
              </w:rPr>
            </w:pPr>
            <w:r w:rsidRPr="00AC3044">
              <w:rPr>
                <w:rFonts w:eastAsia="SimSun"/>
              </w:rPr>
              <w:t>Кальция фолинат</w:t>
            </w:r>
          </w:p>
        </w:tc>
        <w:tc>
          <w:tcPr>
            <w:tcW w:w="614" w:type="pct"/>
            <w:vAlign w:val="center"/>
          </w:tcPr>
          <w:p w14:paraId="31FA85E7" w14:textId="77777777" w:rsidR="00124A26" w:rsidRPr="00AC3044" w:rsidRDefault="00124A26" w:rsidP="002D3EBF">
            <w:pPr>
              <w:ind w:firstLine="0"/>
              <w:rPr>
                <w:rFonts w:eastAsia="SimSun"/>
              </w:rPr>
            </w:pPr>
            <w:r w:rsidRPr="00AC3044">
              <w:rPr>
                <w:rFonts w:eastAsia="SimSun"/>
              </w:rPr>
              <w:t>50 мг</w:t>
            </w:r>
          </w:p>
        </w:tc>
        <w:tc>
          <w:tcPr>
            <w:tcW w:w="486" w:type="pct"/>
            <w:vAlign w:val="center"/>
          </w:tcPr>
          <w:p w14:paraId="72EFB533" w14:textId="77777777" w:rsidR="00124A26" w:rsidRPr="00AC3044" w:rsidRDefault="00124A26" w:rsidP="002D3EBF">
            <w:pPr>
              <w:ind w:firstLine="0"/>
              <w:rPr>
                <w:rFonts w:eastAsia="SimSun"/>
              </w:rPr>
            </w:pPr>
            <w:r w:rsidRPr="00AC3044">
              <w:rPr>
                <w:rFonts w:eastAsia="SimSun"/>
              </w:rPr>
              <w:t>–</w:t>
            </w:r>
          </w:p>
        </w:tc>
        <w:tc>
          <w:tcPr>
            <w:tcW w:w="1370" w:type="pct"/>
            <w:vAlign w:val="center"/>
          </w:tcPr>
          <w:p w14:paraId="71074DE6" w14:textId="77777777" w:rsidR="00124A26" w:rsidRPr="00AC3044" w:rsidRDefault="00124A26" w:rsidP="002D3EBF">
            <w:pPr>
              <w:ind w:firstLine="0"/>
              <w:rPr>
                <w:rFonts w:eastAsia="SimSun"/>
              </w:rPr>
            </w:pPr>
            <w:r w:rsidRPr="00AC3044">
              <w:rPr>
                <w:rFonts w:eastAsia="SimSun"/>
              </w:rPr>
              <w:t>В случае применения метотрексата в качестве профилактики РТПХ</w:t>
            </w:r>
          </w:p>
          <w:p w14:paraId="404471CE" w14:textId="77777777" w:rsidR="00124A26" w:rsidRPr="00AC3044" w:rsidRDefault="00124A26" w:rsidP="002D3EBF">
            <w:pPr>
              <w:ind w:firstLine="0"/>
              <w:rPr>
                <w:rFonts w:eastAsia="SimSun"/>
              </w:rPr>
            </w:pPr>
            <w:r w:rsidRPr="00AC3044">
              <w:rPr>
                <w:rFonts w:eastAsia="SimSun"/>
              </w:rPr>
              <w:t xml:space="preserve">+2, +4, +7, +12 дни </w:t>
            </w:r>
          </w:p>
        </w:tc>
        <w:tc>
          <w:tcPr>
            <w:tcW w:w="1229" w:type="pct"/>
            <w:vAlign w:val="center"/>
          </w:tcPr>
          <w:p w14:paraId="1CCED26A" w14:textId="77777777" w:rsidR="00124A26" w:rsidRPr="00AC3044" w:rsidRDefault="00124A26" w:rsidP="002D3EBF">
            <w:pPr>
              <w:ind w:firstLine="0"/>
              <w:rPr>
                <w:rFonts w:eastAsia="SimSun"/>
              </w:rPr>
            </w:pPr>
            <w:r w:rsidRPr="00AC3044">
              <w:rPr>
                <w:rFonts w:eastAsia="SimSun"/>
              </w:rPr>
              <w:t xml:space="preserve">В/в, в 20 мл физ. р-ра  </w:t>
            </w:r>
          </w:p>
        </w:tc>
      </w:tr>
      <w:tr w:rsidR="00124A26" w:rsidRPr="00AC3044" w14:paraId="5E6C7411" w14:textId="77777777" w:rsidTr="002D3EBF">
        <w:trPr>
          <w:trHeight w:val="20"/>
        </w:trPr>
        <w:tc>
          <w:tcPr>
            <w:tcW w:w="168" w:type="pct"/>
          </w:tcPr>
          <w:p w14:paraId="33F3CC1F" w14:textId="77777777" w:rsidR="00124A26" w:rsidRPr="00AC3044" w:rsidRDefault="00124A26" w:rsidP="002D3EBF">
            <w:pPr>
              <w:ind w:firstLine="0"/>
              <w:rPr>
                <w:rFonts w:eastAsia="SimSun"/>
              </w:rPr>
            </w:pPr>
            <w:r w:rsidRPr="00AC3044">
              <w:rPr>
                <w:rFonts w:eastAsia="SimSun"/>
              </w:rPr>
              <w:t>3</w:t>
            </w:r>
          </w:p>
        </w:tc>
        <w:tc>
          <w:tcPr>
            <w:tcW w:w="1133" w:type="pct"/>
            <w:vAlign w:val="center"/>
          </w:tcPr>
          <w:p w14:paraId="2AEA8273" w14:textId="77777777" w:rsidR="00124A26" w:rsidRPr="00AC3044" w:rsidRDefault="00124A26" w:rsidP="002D3EBF">
            <w:pPr>
              <w:ind w:firstLine="0"/>
              <w:rPr>
                <w:rFonts w:eastAsia="SimSun"/>
              </w:rPr>
            </w:pPr>
            <w:r w:rsidRPr="00AC3044">
              <w:rPr>
                <w:rFonts w:eastAsia="SimSun"/>
              </w:rPr>
              <w:t xml:space="preserve">Аллопуринол </w:t>
            </w:r>
          </w:p>
        </w:tc>
        <w:tc>
          <w:tcPr>
            <w:tcW w:w="614" w:type="pct"/>
            <w:vAlign w:val="center"/>
          </w:tcPr>
          <w:p w14:paraId="019B50AB" w14:textId="77777777" w:rsidR="00124A26" w:rsidRPr="00AC3044" w:rsidRDefault="00124A26" w:rsidP="002D3EBF">
            <w:pPr>
              <w:ind w:firstLine="0"/>
              <w:rPr>
                <w:rFonts w:eastAsia="SimSun"/>
              </w:rPr>
            </w:pPr>
            <w:r w:rsidRPr="00AC3044">
              <w:rPr>
                <w:rFonts w:eastAsia="SimSun"/>
              </w:rPr>
              <w:t>200 мг/м</w:t>
            </w:r>
            <w:r w:rsidRPr="00271D11">
              <w:rPr>
                <w:rFonts w:eastAsia="SimSun"/>
                <w:vertAlign w:val="superscript"/>
              </w:rPr>
              <w:t>2</w:t>
            </w:r>
            <w:r w:rsidRPr="00AC3044">
              <w:rPr>
                <w:rFonts w:eastAsia="SimSun"/>
              </w:rPr>
              <w:t xml:space="preserve"> </w:t>
            </w:r>
          </w:p>
        </w:tc>
        <w:tc>
          <w:tcPr>
            <w:tcW w:w="486" w:type="pct"/>
            <w:vAlign w:val="center"/>
          </w:tcPr>
          <w:p w14:paraId="3E727043" w14:textId="77777777" w:rsidR="00124A26" w:rsidRPr="00AC3044" w:rsidRDefault="00124A26" w:rsidP="002D3EBF">
            <w:pPr>
              <w:ind w:firstLine="0"/>
              <w:rPr>
                <w:rFonts w:eastAsia="SimSun"/>
              </w:rPr>
            </w:pPr>
            <w:r w:rsidRPr="00AC3044">
              <w:rPr>
                <w:rFonts w:eastAsia="SimSun"/>
              </w:rPr>
              <w:t>–</w:t>
            </w:r>
          </w:p>
        </w:tc>
        <w:tc>
          <w:tcPr>
            <w:tcW w:w="1370" w:type="pct"/>
            <w:vAlign w:val="center"/>
          </w:tcPr>
          <w:p w14:paraId="47498066" w14:textId="77777777" w:rsidR="00124A26" w:rsidRPr="00AC3044" w:rsidRDefault="00124A26" w:rsidP="002D3EBF">
            <w:pPr>
              <w:ind w:firstLine="0"/>
              <w:rPr>
                <w:rFonts w:eastAsia="SimSun"/>
              </w:rPr>
            </w:pPr>
            <w:r w:rsidRPr="00AC3044">
              <w:rPr>
                <w:rFonts w:eastAsia="SimSun"/>
              </w:rPr>
              <w:t>За день до начала кондиционирования по –1 день кондиционирования, а также в дни введения посттрансплантационного циклофосфамида</w:t>
            </w:r>
          </w:p>
        </w:tc>
        <w:tc>
          <w:tcPr>
            <w:tcW w:w="1229" w:type="pct"/>
            <w:vAlign w:val="center"/>
          </w:tcPr>
          <w:p w14:paraId="69CFA7FD" w14:textId="77777777" w:rsidR="00124A26" w:rsidRPr="00AC3044" w:rsidRDefault="00124A26" w:rsidP="002D3EBF">
            <w:pPr>
              <w:ind w:firstLine="0"/>
              <w:rPr>
                <w:rFonts w:eastAsia="SimSun"/>
              </w:rPr>
            </w:pPr>
            <w:r w:rsidRPr="00AC3044">
              <w:rPr>
                <w:rFonts w:eastAsia="SimSun"/>
              </w:rPr>
              <w:t>Внутрь, однократно или доза разделяется на 2 приема</w:t>
            </w:r>
          </w:p>
        </w:tc>
      </w:tr>
      <w:tr w:rsidR="00124A26" w:rsidRPr="00AC3044" w14:paraId="74DFA6F1" w14:textId="77777777" w:rsidTr="002D3EBF">
        <w:trPr>
          <w:trHeight w:val="20"/>
        </w:trPr>
        <w:tc>
          <w:tcPr>
            <w:tcW w:w="168" w:type="pct"/>
          </w:tcPr>
          <w:p w14:paraId="01ADA43E" w14:textId="77777777" w:rsidR="00124A26" w:rsidRPr="00AC3044" w:rsidRDefault="00124A26" w:rsidP="002D3EBF">
            <w:pPr>
              <w:ind w:firstLine="0"/>
              <w:rPr>
                <w:rFonts w:eastAsia="SimSun"/>
              </w:rPr>
            </w:pPr>
            <w:r w:rsidRPr="00AC3044">
              <w:rPr>
                <w:rFonts w:eastAsia="SimSun"/>
              </w:rPr>
              <w:t>4</w:t>
            </w:r>
          </w:p>
        </w:tc>
        <w:tc>
          <w:tcPr>
            <w:tcW w:w="1133" w:type="pct"/>
            <w:vAlign w:val="center"/>
          </w:tcPr>
          <w:p w14:paraId="7D829FDC" w14:textId="77777777" w:rsidR="00124A26" w:rsidRPr="00AC3044" w:rsidRDefault="00124A26" w:rsidP="002D3EBF">
            <w:pPr>
              <w:ind w:firstLine="0"/>
              <w:rPr>
                <w:rFonts w:eastAsia="SimSun"/>
              </w:rPr>
            </w:pPr>
            <w:r w:rsidRPr="00AC3044">
              <w:rPr>
                <w:rFonts w:eastAsia="SimSun"/>
              </w:rPr>
              <w:t xml:space="preserve">Аллопуринол </w:t>
            </w:r>
          </w:p>
        </w:tc>
        <w:tc>
          <w:tcPr>
            <w:tcW w:w="614" w:type="pct"/>
            <w:vAlign w:val="center"/>
          </w:tcPr>
          <w:p w14:paraId="173BA3C0" w14:textId="77777777" w:rsidR="00124A26" w:rsidRPr="00AC3044" w:rsidRDefault="00124A26" w:rsidP="002D3EBF">
            <w:pPr>
              <w:ind w:firstLine="0"/>
              <w:rPr>
                <w:rFonts w:eastAsia="SimSun"/>
              </w:rPr>
            </w:pPr>
            <w:r w:rsidRPr="00AC3044">
              <w:rPr>
                <w:rFonts w:eastAsia="SimSun"/>
              </w:rPr>
              <w:t xml:space="preserve">300мг </w:t>
            </w:r>
          </w:p>
        </w:tc>
        <w:tc>
          <w:tcPr>
            <w:tcW w:w="486" w:type="pct"/>
            <w:vAlign w:val="center"/>
          </w:tcPr>
          <w:p w14:paraId="6605CBA6" w14:textId="77777777" w:rsidR="00124A26" w:rsidRPr="00AC3044" w:rsidRDefault="00124A26" w:rsidP="002D3EBF">
            <w:pPr>
              <w:ind w:firstLine="0"/>
              <w:rPr>
                <w:rFonts w:eastAsia="SimSun"/>
              </w:rPr>
            </w:pPr>
            <w:r w:rsidRPr="00AC3044">
              <w:rPr>
                <w:rFonts w:eastAsia="SimSun"/>
              </w:rPr>
              <w:t>–</w:t>
            </w:r>
          </w:p>
        </w:tc>
        <w:tc>
          <w:tcPr>
            <w:tcW w:w="1370" w:type="pct"/>
            <w:vAlign w:val="center"/>
          </w:tcPr>
          <w:p w14:paraId="0762836A" w14:textId="77777777" w:rsidR="00124A26" w:rsidRPr="00AC3044" w:rsidRDefault="00124A26" w:rsidP="002D3EBF">
            <w:pPr>
              <w:ind w:firstLine="0"/>
              <w:rPr>
                <w:rFonts w:eastAsia="SimSun"/>
              </w:rPr>
            </w:pPr>
            <w:r w:rsidRPr="00AC3044">
              <w:rPr>
                <w:rFonts w:eastAsia="SimSun"/>
              </w:rPr>
              <w:t>За день до начала кондиционирования по –1 день кондиционирования, а также в дни введения посттрансплантационного циклофосфамида</w:t>
            </w:r>
          </w:p>
        </w:tc>
        <w:tc>
          <w:tcPr>
            <w:tcW w:w="1229" w:type="pct"/>
            <w:vAlign w:val="center"/>
          </w:tcPr>
          <w:p w14:paraId="69582065" w14:textId="77777777" w:rsidR="00124A26" w:rsidRPr="00AC3044" w:rsidRDefault="00124A26" w:rsidP="002D3EBF">
            <w:pPr>
              <w:ind w:firstLine="0"/>
              <w:rPr>
                <w:rFonts w:eastAsia="SimSun"/>
              </w:rPr>
            </w:pPr>
            <w:r w:rsidRPr="00AC3044">
              <w:rPr>
                <w:rFonts w:eastAsia="SimSun"/>
              </w:rPr>
              <w:t>Внутрь, однократно или доза разделяется на 2 приема</w:t>
            </w:r>
          </w:p>
        </w:tc>
      </w:tr>
      <w:tr w:rsidR="00124A26" w:rsidRPr="00AC3044" w14:paraId="4C2140D5" w14:textId="77777777" w:rsidTr="002D3EBF">
        <w:trPr>
          <w:trHeight w:val="20"/>
        </w:trPr>
        <w:tc>
          <w:tcPr>
            <w:tcW w:w="168" w:type="pct"/>
          </w:tcPr>
          <w:p w14:paraId="43146D1A" w14:textId="77777777" w:rsidR="00124A26" w:rsidRPr="00AC3044" w:rsidRDefault="00124A26" w:rsidP="002D3EBF">
            <w:pPr>
              <w:ind w:firstLine="0"/>
              <w:rPr>
                <w:rFonts w:eastAsia="SimSun"/>
              </w:rPr>
            </w:pPr>
            <w:r w:rsidRPr="00AC3044">
              <w:rPr>
                <w:rFonts w:eastAsia="SimSun"/>
              </w:rPr>
              <w:t>5</w:t>
            </w:r>
          </w:p>
        </w:tc>
        <w:tc>
          <w:tcPr>
            <w:tcW w:w="1133" w:type="pct"/>
            <w:vAlign w:val="center"/>
          </w:tcPr>
          <w:p w14:paraId="01AA5A89" w14:textId="77777777" w:rsidR="00124A26" w:rsidRPr="00AC3044" w:rsidRDefault="00124A26" w:rsidP="002D3EBF">
            <w:pPr>
              <w:ind w:firstLine="0"/>
              <w:rPr>
                <w:rFonts w:eastAsia="SimSun"/>
              </w:rPr>
            </w:pPr>
            <w:r w:rsidRPr="00AC3044">
              <w:rPr>
                <w:rFonts w:eastAsia="SimSun"/>
              </w:rPr>
              <w:t>Урсодезоксихолевая кислота (рекомендуется)</w:t>
            </w:r>
          </w:p>
        </w:tc>
        <w:tc>
          <w:tcPr>
            <w:tcW w:w="614" w:type="pct"/>
            <w:vAlign w:val="center"/>
          </w:tcPr>
          <w:p w14:paraId="7F5FF64F" w14:textId="77777777" w:rsidR="00124A26" w:rsidRPr="00AC3044" w:rsidRDefault="00124A26" w:rsidP="002D3EBF">
            <w:pPr>
              <w:ind w:firstLine="0"/>
              <w:rPr>
                <w:rFonts w:eastAsia="SimSun"/>
              </w:rPr>
            </w:pPr>
            <w:r w:rsidRPr="00AC3044">
              <w:rPr>
                <w:rFonts w:eastAsia="SimSun"/>
              </w:rPr>
              <w:t>12 мг/кг</w:t>
            </w:r>
          </w:p>
        </w:tc>
        <w:tc>
          <w:tcPr>
            <w:tcW w:w="486" w:type="pct"/>
            <w:vAlign w:val="center"/>
          </w:tcPr>
          <w:p w14:paraId="1F792BEA" w14:textId="77777777" w:rsidR="00124A26" w:rsidRPr="00AC3044" w:rsidRDefault="00124A26" w:rsidP="002D3EBF">
            <w:pPr>
              <w:ind w:firstLine="0"/>
              <w:rPr>
                <w:rFonts w:eastAsia="SimSun"/>
              </w:rPr>
            </w:pPr>
            <w:r w:rsidRPr="00AC3044">
              <w:rPr>
                <w:rFonts w:eastAsia="SimSun"/>
              </w:rPr>
              <w:t>–</w:t>
            </w:r>
          </w:p>
        </w:tc>
        <w:tc>
          <w:tcPr>
            <w:tcW w:w="1370" w:type="pct"/>
            <w:vAlign w:val="center"/>
          </w:tcPr>
          <w:p w14:paraId="06966EBA" w14:textId="77777777" w:rsidR="00124A26" w:rsidRPr="00AC3044" w:rsidRDefault="00124A26" w:rsidP="002D3EBF">
            <w:pPr>
              <w:ind w:firstLine="0"/>
              <w:rPr>
                <w:rFonts w:eastAsia="SimSun"/>
              </w:rPr>
            </w:pPr>
            <w:r w:rsidRPr="00AC3044">
              <w:rPr>
                <w:rFonts w:eastAsia="SimSun"/>
              </w:rPr>
              <w:t>C –6 по +180 день</w:t>
            </w:r>
          </w:p>
        </w:tc>
        <w:tc>
          <w:tcPr>
            <w:tcW w:w="1229" w:type="pct"/>
            <w:vAlign w:val="center"/>
          </w:tcPr>
          <w:p w14:paraId="54228A52" w14:textId="77777777" w:rsidR="00124A26" w:rsidRPr="00AC3044" w:rsidRDefault="00124A26" w:rsidP="002D3EBF">
            <w:pPr>
              <w:ind w:firstLine="0"/>
              <w:rPr>
                <w:rFonts w:eastAsia="SimSun"/>
              </w:rPr>
            </w:pPr>
            <w:r w:rsidRPr="00AC3044">
              <w:rPr>
                <w:rFonts w:eastAsia="SimSun"/>
              </w:rPr>
              <w:t>Внутрь, суточная доза разделяется на 1–2 приема (вечер или день и вечер)</w:t>
            </w:r>
          </w:p>
        </w:tc>
      </w:tr>
      <w:tr w:rsidR="00124A26" w:rsidRPr="00AC3044" w14:paraId="1EEC1687" w14:textId="77777777" w:rsidTr="002D3EBF">
        <w:trPr>
          <w:trHeight w:val="20"/>
        </w:trPr>
        <w:tc>
          <w:tcPr>
            <w:tcW w:w="168" w:type="pct"/>
          </w:tcPr>
          <w:p w14:paraId="32C10B70" w14:textId="77777777" w:rsidR="00124A26" w:rsidRPr="00AC3044" w:rsidRDefault="00124A26" w:rsidP="002D3EBF">
            <w:pPr>
              <w:ind w:firstLine="0"/>
              <w:rPr>
                <w:rFonts w:eastAsia="SimSun"/>
              </w:rPr>
            </w:pPr>
            <w:r w:rsidRPr="00AC3044">
              <w:rPr>
                <w:rFonts w:eastAsia="SimSun"/>
              </w:rPr>
              <w:t>6</w:t>
            </w:r>
          </w:p>
        </w:tc>
        <w:tc>
          <w:tcPr>
            <w:tcW w:w="1133" w:type="pct"/>
            <w:vAlign w:val="center"/>
          </w:tcPr>
          <w:p w14:paraId="32E09C48" w14:textId="77777777" w:rsidR="00124A26" w:rsidRPr="00AC3044" w:rsidRDefault="00124A26" w:rsidP="002D3EBF">
            <w:pPr>
              <w:ind w:firstLine="0"/>
              <w:rPr>
                <w:rFonts w:eastAsia="SimSun"/>
              </w:rPr>
            </w:pPr>
            <w:r w:rsidRPr="00AC3044">
              <w:rPr>
                <w:rFonts w:eastAsia="SimSun"/>
              </w:rPr>
              <w:t xml:space="preserve">Метилпреднизолон </w:t>
            </w:r>
          </w:p>
        </w:tc>
        <w:tc>
          <w:tcPr>
            <w:tcW w:w="3699" w:type="pct"/>
            <w:gridSpan w:val="4"/>
            <w:vAlign w:val="center"/>
          </w:tcPr>
          <w:p w14:paraId="6DD852C4" w14:textId="77777777" w:rsidR="00124A26" w:rsidRPr="00AC3044" w:rsidRDefault="00124A26" w:rsidP="002D3EBF">
            <w:pPr>
              <w:ind w:firstLine="0"/>
              <w:rPr>
                <w:rFonts w:eastAsia="SimSun"/>
              </w:rPr>
            </w:pPr>
            <w:r w:rsidRPr="00AC3044">
              <w:rPr>
                <w:rFonts w:eastAsia="SimSun"/>
              </w:rPr>
              <w:t>см. «Инфузия АТГ»</w:t>
            </w:r>
          </w:p>
        </w:tc>
      </w:tr>
      <w:tr w:rsidR="00124A26" w:rsidRPr="00AC3044" w14:paraId="01C343D3" w14:textId="77777777" w:rsidTr="002D3EBF">
        <w:trPr>
          <w:trHeight w:val="20"/>
        </w:trPr>
        <w:tc>
          <w:tcPr>
            <w:tcW w:w="168" w:type="pct"/>
          </w:tcPr>
          <w:p w14:paraId="6228ED1E" w14:textId="77777777" w:rsidR="00124A26" w:rsidRPr="00AC3044" w:rsidRDefault="00124A26" w:rsidP="002D3EBF">
            <w:pPr>
              <w:ind w:firstLine="0"/>
              <w:rPr>
                <w:rFonts w:eastAsia="SimSun"/>
              </w:rPr>
            </w:pPr>
            <w:r w:rsidRPr="00AC3044">
              <w:rPr>
                <w:rFonts w:eastAsia="SimSun"/>
              </w:rPr>
              <w:t>7</w:t>
            </w:r>
          </w:p>
        </w:tc>
        <w:tc>
          <w:tcPr>
            <w:tcW w:w="1133" w:type="pct"/>
            <w:vAlign w:val="center"/>
          </w:tcPr>
          <w:p w14:paraId="571D7AF4" w14:textId="77777777" w:rsidR="00124A26" w:rsidRPr="00AC3044" w:rsidRDefault="00124A26" w:rsidP="002D3EBF">
            <w:pPr>
              <w:ind w:firstLine="0"/>
              <w:rPr>
                <w:rFonts w:eastAsia="SimSun"/>
              </w:rPr>
            </w:pPr>
            <w:r w:rsidRPr="00AC3044">
              <w:rPr>
                <w:rFonts w:eastAsia="SimSun"/>
              </w:rPr>
              <w:t>Преднизолон</w:t>
            </w:r>
          </w:p>
        </w:tc>
        <w:tc>
          <w:tcPr>
            <w:tcW w:w="3699" w:type="pct"/>
            <w:gridSpan w:val="4"/>
            <w:vAlign w:val="center"/>
          </w:tcPr>
          <w:p w14:paraId="2102C16D" w14:textId="77777777" w:rsidR="00124A26" w:rsidRPr="00AC3044" w:rsidRDefault="00124A26" w:rsidP="002D3EBF">
            <w:pPr>
              <w:ind w:firstLine="0"/>
              <w:rPr>
                <w:rFonts w:eastAsia="SimSun"/>
              </w:rPr>
            </w:pPr>
            <w:r w:rsidRPr="00AC3044">
              <w:rPr>
                <w:rFonts w:eastAsia="SimSun"/>
              </w:rPr>
              <w:t>см. «Инфузия АТГ»</w:t>
            </w:r>
          </w:p>
        </w:tc>
      </w:tr>
    </w:tbl>
    <w:p w14:paraId="3B0DA53C" w14:textId="77777777" w:rsidR="00124A26" w:rsidRPr="00C07B2E" w:rsidRDefault="00124A26" w:rsidP="00124A26">
      <w:pPr>
        <w:ind w:firstLine="0"/>
        <w:rPr>
          <w:rFonts w:eastAsia="SimSun"/>
        </w:rPr>
      </w:pPr>
    </w:p>
    <w:p w14:paraId="1588AF64" w14:textId="77777777" w:rsidR="00124A26" w:rsidRPr="00AC3044" w:rsidRDefault="00124A26" w:rsidP="00124A26">
      <w:pPr>
        <w:ind w:firstLine="0"/>
        <w:rPr>
          <w:rFonts w:eastAsia="SimSun"/>
        </w:rPr>
      </w:pPr>
      <w:r w:rsidRPr="00AC3044">
        <w:rPr>
          <w:rFonts w:eastAsia="SimSun"/>
        </w:rPr>
        <w:t xml:space="preserve"> </w:t>
      </w:r>
    </w:p>
    <w:p w14:paraId="37BD4979" w14:textId="77777777" w:rsidR="00124A26" w:rsidRPr="00AC3044" w:rsidRDefault="00124A26" w:rsidP="00124A26">
      <w:pPr>
        <w:ind w:firstLine="0"/>
        <w:rPr>
          <w:rFonts w:eastAsia="SimSun"/>
        </w:rPr>
      </w:pPr>
    </w:p>
    <w:p w14:paraId="460BC5DC" w14:textId="77777777" w:rsidR="005E0272" w:rsidRPr="000155C0" w:rsidRDefault="005E0272" w:rsidP="004F02C5">
      <w:pPr>
        <w:pStyle w:val="11"/>
      </w:pPr>
    </w:p>
    <w:p w14:paraId="7F679E72" w14:textId="77777777" w:rsidR="000155C0" w:rsidRPr="00691CAB" w:rsidRDefault="000155C0" w:rsidP="00C05F48">
      <w:pPr>
        <w:pStyle w:val="11"/>
      </w:pPr>
    </w:p>
    <w:p w14:paraId="73BDD90F" w14:textId="77777777" w:rsidR="009A5B55" w:rsidRDefault="009A5B55" w:rsidP="009A5B55">
      <w:pPr>
        <w:pStyle w:val="11"/>
      </w:pPr>
    </w:p>
    <w:p w14:paraId="2EB5F9DC" w14:textId="77777777" w:rsidR="00B71D31" w:rsidRPr="00731C0C" w:rsidRDefault="00B71D31" w:rsidP="00B71D31">
      <w:pPr>
        <w:pStyle w:val="11"/>
      </w:pPr>
    </w:p>
    <w:p w14:paraId="3E24EE65" w14:textId="77777777" w:rsidR="00B71D31" w:rsidRPr="00CC66C1" w:rsidRDefault="00B71D31" w:rsidP="00731C0C">
      <w:pPr>
        <w:widowControl w:val="0"/>
        <w:autoSpaceDE w:val="0"/>
        <w:autoSpaceDN w:val="0"/>
        <w:adjustRightInd w:val="0"/>
        <w:rPr>
          <w:rFonts w:cs="Times New Roman"/>
          <w:szCs w:val="24"/>
        </w:rPr>
      </w:pPr>
    </w:p>
    <w:p w14:paraId="7534F098" w14:textId="77777777" w:rsidR="00053AE8" w:rsidRPr="00A16AAE" w:rsidRDefault="00053AE8" w:rsidP="00053AE8">
      <w:pPr>
        <w:pStyle w:val="11"/>
      </w:pPr>
    </w:p>
    <w:p w14:paraId="1930D605" w14:textId="77777777" w:rsidR="00053AE8" w:rsidRPr="00E43EEE" w:rsidRDefault="00053AE8" w:rsidP="00A16AAE">
      <w:pPr>
        <w:rPr>
          <w:rFonts w:cs="Times New Roman"/>
          <w:color w:val="000000" w:themeColor="text1"/>
          <w:szCs w:val="24"/>
        </w:rPr>
      </w:pPr>
    </w:p>
    <w:p w14:paraId="35991AE6" w14:textId="77777777" w:rsidR="00A16AAE" w:rsidRDefault="00A16AAE" w:rsidP="004A4C54">
      <w:pPr>
        <w:pStyle w:val="11"/>
      </w:pPr>
    </w:p>
    <w:p w14:paraId="24533DCC" w14:textId="77777777" w:rsidR="009B44B4" w:rsidRPr="008937A6" w:rsidRDefault="009B44B4" w:rsidP="00A519D4">
      <w:pPr>
        <w:ind w:firstLine="567"/>
        <w:rPr>
          <w:rFonts w:cstheme="minorHAnsi"/>
          <w:lang w:eastAsia="ru-RU"/>
        </w:rPr>
      </w:pPr>
    </w:p>
    <w:p w14:paraId="47C83B88" w14:textId="77777777" w:rsidR="000414F6" w:rsidRDefault="00CB71DA" w:rsidP="0033051F">
      <w:pPr>
        <w:pStyle w:val="afff2"/>
      </w:pPr>
      <w:bookmarkStart w:id="286" w:name="_Toc65586435"/>
      <w:r>
        <w:t xml:space="preserve">Приложение Б. Алгоритмы </w:t>
      </w:r>
      <w:bookmarkEnd w:id="105"/>
      <w:r w:rsidR="003527A8">
        <w:t>действий врача</w:t>
      </w:r>
      <w:bookmarkEnd w:id="286"/>
    </w:p>
    <w:p w14:paraId="67A09EEE" w14:textId="77777777" w:rsidR="00C4630C" w:rsidRDefault="00C4630C">
      <w:pPr>
        <w:divId w:val="764688137"/>
        <w:rPr>
          <w:rFonts w:eastAsia="Times New Roman"/>
          <w:noProof/>
          <w:lang w:eastAsia="ru-RU"/>
        </w:rPr>
      </w:pPr>
    </w:p>
    <w:p w14:paraId="17FDF817" w14:textId="77777777" w:rsidR="00275A41" w:rsidRDefault="00D41455" w:rsidP="0033051F">
      <w:pPr>
        <w:pStyle w:val="afd"/>
        <w:divId w:val="764688137"/>
        <w:rPr>
          <w:noProof/>
        </w:rPr>
      </w:pPr>
      <w:r>
        <w:rPr>
          <w:noProof/>
        </w:rPr>
        <w:t>Схема Б1. Первая линия терапии пациентов с кЛХ старше 18 лет</w:t>
      </w:r>
    </w:p>
    <w:p w14:paraId="052345DA" w14:textId="77777777" w:rsidR="00D41455" w:rsidRDefault="00D41455" w:rsidP="0033051F">
      <w:pPr>
        <w:pStyle w:val="afd"/>
        <w:divId w:val="764688137"/>
        <w:rPr>
          <w:noProof/>
        </w:rPr>
      </w:pPr>
    </w:p>
    <w:p w14:paraId="353B7837" w14:textId="77777777" w:rsidR="00D41455" w:rsidRDefault="00737866" w:rsidP="0033051F">
      <w:pPr>
        <w:pStyle w:val="afd"/>
        <w:divId w:val="764688137"/>
      </w:pPr>
      <w:r>
        <w:rPr>
          <w:noProof/>
        </w:rPr>
        <w:drawing>
          <wp:inline distT="0" distB="0" distL="0" distR="0" wp14:anchorId="64BA462D" wp14:editId="59231998">
            <wp:extent cx="5581015" cy="4330700"/>
            <wp:effectExtent l="0" t="0" r="0" b="0"/>
            <wp:docPr id="10" name="Рисунок 10" descr="Изображение выглядит как текст, карт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Лимфома Ходжкина взрослые 1 линия.jpg"/>
                    <pic:cNvPicPr/>
                  </pic:nvPicPr>
                  <pic:blipFill>
                    <a:blip r:embed="rId33"/>
                    <a:stretch>
                      <a:fillRect/>
                    </a:stretch>
                  </pic:blipFill>
                  <pic:spPr>
                    <a:xfrm>
                      <a:off x="0" y="0"/>
                      <a:ext cx="5581015" cy="4330700"/>
                    </a:xfrm>
                    <a:prstGeom prst="rect">
                      <a:avLst/>
                    </a:prstGeom>
                  </pic:spPr>
                </pic:pic>
              </a:graphicData>
            </a:graphic>
          </wp:inline>
        </w:drawing>
      </w:r>
    </w:p>
    <w:p w14:paraId="457F9C6A" w14:textId="77777777" w:rsidR="00494319" w:rsidRDefault="00494319" w:rsidP="0033051F">
      <w:pPr>
        <w:pStyle w:val="afd"/>
        <w:rPr>
          <w:noProof/>
        </w:rPr>
      </w:pPr>
    </w:p>
    <w:p w14:paraId="4BA05E75" w14:textId="77777777" w:rsidR="00494319" w:rsidRDefault="00494319" w:rsidP="0033051F">
      <w:pPr>
        <w:pStyle w:val="afd"/>
        <w:rPr>
          <w:noProof/>
        </w:rPr>
      </w:pPr>
      <w:r>
        <w:rPr>
          <w:noProof/>
        </w:rPr>
        <w:t xml:space="preserve">Схема Б2. Первая линия терапии детей и подростков до 18 лет с кЛХ </w:t>
      </w:r>
    </w:p>
    <w:p w14:paraId="62548113" w14:textId="77777777" w:rsidR="00494319" w:rsidRPr="0033051F" w:rsidRDefault="00494319" w:rsidP="0033051F">
      <w:pPr>
        <w:pStyle w:val="afd"/>
      </w:pPr>
    </w:p>
    <w:p w14:paraId="5EE8962F" w14:textId="77777777" w:rsidR="00494319" w:rsidRDefault="00494319" w:rsidP="0033051F">
      <w:pPr>
        <w:pStyle w:val="afd"/>
      </w:pPr>
      <w:r>
        <w:rPr>
          <w:noProof/>
        </w:rPr>
        <w:drawing>
          <wp:inline distT="0" distB="0" distL="0" distR="0" wp14:anchorId="3299AF9D" wp14:editId="4CF2FA3E">
            <wp:extent cx="5245100" cy="3492500"/>
            <wp:effectExtent l="0" t="0" r="0" b="0"/>
            <wp:docPr id="5" name="Рисунок 5" descr="Изображение выглядит как текст, карт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Лимфома Ходжкина дети 1 линия.jpg"/>
                    <pic:cNvPicPr/>
                  </pic:nvPicPr>
                  <pic:blipFill>
                    <a:blip r:embed="rId34">
                      <a:extLst>
                        <a:ext uri="{28A0092B-C50C-407E-A947-70E740481C1C}">
                          <a14:useLocalDpi xmlns:a14="http://schemas.microsoft.com/office/drawing/2010/main" val="0"/>
                        </a:ext>
                      </a:extLst>
                    </a:blip>
                    <a:stretch>
                      <a:fillRect/>
                    </a:stretch>
                  </pic:blipFill>
                  <pic:spPr>
                    <a:xfrm>
                      <a:off x="0" y="0"/>
                      <a:ext cx="5245100" cy="3492500"/>
                    </a:xfrm>
                    <a:prstGeom prst="rect">
                      <a:avLst/>
                    </a:prstGeom>
                  </pic:spPr>
                </pic:pic>
              </a:graphicData>
            </a:graphic>
          </wp:inline>
        </w:drawing>
      </w:r>
    </w:p>
    <w:p w14:paraId="1BD67293" w14:textId="77777777" w:rsidR="0033051F" w:rsidRDefault="0033051F" w:rsidP="0033051F">
      <w:pPr>
        <w:pStyle w:val="afd"/>
      </w:pPr>
    </w:p>
    <w:p w14:paraId="0CF641A7" w14:textId="77777777" w:rsidR="0033051F" w:rsidRDefault="0033051F" w:rsidP="0033051F">
      <w:pPr>
        <w:pStyle w:val="afd"/>
        <w:rPr>
          <w:noProof/>
        </w:rPr>
      </w:pPr>
      <w:r>
        <w:rPr>
          <w:noProof/>
        </w:rPr>
        <w:t>Схема Б</w:t>
      </w:r>
      <w:r w:rsidRPr="0033051F">
        <w:rPr>
          <w:noProof/>
        </w:rPr>
        <w:t>3</w:t>
      </w:r>
      <w:r>
        <w:rPr>
          <w:noProof/>
        </w:rPr>
        <w:t xml:space="preserve">. Лечение рецидивов кЛХ </w:t>
      </w:r>
    </w:p>
    <w:p w14:paraId="5E416BBF" w14:textId="77777777" w:rsidR="0033051F" w:rsidRDefault="0033051F" w:rsidP="0033051F">
      <w:pPr>
        <w:pStyle w:val="afd"/>
      </w:pPr>
    </w:p>
    <w:p w14:paraId="0ECF748D" w14:textId="77777777" w:rsidR="0033051F" w:rsidRDefault="0033051F" w:rsidP="0033051F">
      <w:pPr>
        <w:pStyle w:val="afd"/>
      </w:pPr>
      <w:r>
        <w:rPr>
          <w:noProof/>
        </w:rPr>
        <w:drawing>
          <wp:inline distT="0" distB="0" distL="0" distR="0" wp14:anchorId="2076FF0E" wp14:editId="10239075">
            <wp:extent cx="4597400" cy="7620000"/>
            <wp:effectExtent l="0" t="0" r="0" b="0"/>
            <wp:docPr id="6" name="Рисунок 6" descr="Изображение выглядит как текст, карт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ецидив лимфомы Ходжкина.jpg"/>
                    <pic:cNvPicPr/>
                  </pic:nvPicPr>
                  <pic:blipFill>
                    <a:blip r:embed="rId35">
                      <a:extLst>
                        <a:ext uri="{28A0092B-C50C-407E-A947-70E740481C1C}">
                          <a14:useLocalDpi xmlns:a14="http://schemas.microsoft.com/office/drawing/2010/main" val="0"/>
                        </a:ext>
                      </a:extLst>
                    </a:blip>
                    <a:stretch>
                      <a:fillRect/>
                    </a:stretch>
                  </pic:blipFill>
                  <pic:spPr>
                    <a:xfrm>
                      <a:off x="0" y="0"/>
                      <a:ext cx="4597400" cy="7620000"/>
                    </a:xfrm>
                    <a:prstGeom prst="rect">
                      <a:avLst/>
                    </a:prstGeom>
                  </pic:spPr>
                </pic:pic>
              </a:graphicData>
            </a:graphic>
          </wp:inline>
        </w:drawing>
      </w:r>
    </w:p>
    <w:p w14:paraId="47B709DB" w14:textId="77777777" w:rsidR="000414F6" w:rsidRDefault="00CB71DA" w:rsidP="0033051F">
      <w:pPr>
        <w:pStyle w:val="afff2"/>
      </w:pPr>
      <w:r>
        <w:br w:type="page"/>
      </w:r>
      <w:bookmarkStart w:id="287" w:name="__RefHeading___doc_v"/>
      <w:bookmarkStart w:id="288" w:name="_Toc65586436"/>
      <w:r>
        <w:t>Приложение В. Информация для пациент</w:t>
      </w:r>
      <w:bookmarkEnd w:id="287"/>
      <w:r w:rsidR="003527A8">
        <w:t>а</w:t>
      </w:r>
      <w:bookmarkEnd w:id="288"/>
    </w:p>
    <w:p w14:paraId="5401FF15" w14:textId="77777777" w:rsidR="006E172F" w:rsidRDefault="006E172F" w:rsidP="006E172F">
      <w:pPr>
        <w:pStyle w:val="aff8"/>
      </w:pPr>
      <w:r>
        <w:t>Лимфомы – это опухоли из лимфоидных клеток. Лимфома – не одна болезнь, это большая группа, включающая более 30 разных заболеваний, которые отличаются друг от друга по своим проявлениям, по течению, по ответу на лечение. Лимфомы ведут себя и лечатся совершенно по-разному. Поэтому просто слово «лимфома» ни о чем не говорит – чтобы понимать, как лечить, надо знать конкретный вариант лимфомы.</w:t>
      </w:r>
    </w:p>
    <w:p w14:paraId="6BA3B160" w14:textId="77777777" w:rsidR="006E172F" w:rsidRDefault="006E172F" w:rsidP="006E172F">
      <w:pPr>
        <w:pStyle w:val="aff8"/>
      </w:pPr>
      <w:r>
        <w:t>Лимфомой Ходжкина болеют в любом возрасте, но наиболее часто заболевание встречается у молодых людей, пик приходится на возрастной период от 16 до 34 лет. Люди старшего возраста, особенно те, кому больше 55 лет, также могут заболеть лимфомой Ходжкина.</w:t>
      </w:r>
    </w:p>
    <w:p w14:paraId="01D8AD89" w14:textId="77777777" w:rsidR="006E172F" w:rsidRDefault="006E172F" w:rsidP="006E172F">
      <w:pPr>
        <w:pStyle w:val="aff8"/>
      </w:pPr>
      <w:r>
        <w:t>Диагноз лимфомы Ходжкина устанавливается только после исследования пораженной ткани, полученной при биопсии. Диагноз подтверждается только если обнаружены типичные клетки, называемые клетками Березовского-Штернберга-Рид. В последние годы диагностика лимфомы Ходжкина и других лимфом улучшилась, благодаря использованию нового метода, иммунофенотипирования, позволяющего точно идентифицировать опухолевые клетки по маркерам на их поверхности. Этот метод исследования очень важен для правильного выбора терапии, особенно в тех случаях, когда необходимо использовать узконаправленные (таргетные) препараты и иммунотерапию. Лимфома Ходжкина изучена лучше любого другого типа лимфом. К счастью, при современных методах лечения более 80% заболевших лимфомой Ходжкина полностью излечиваются от этой болезни.</w:t>
      </w:r>
    </w:p>
    <w:p w14:paraId="70860568" w14:textId="77777777" w:rsidR="006E172F" w:rsidRDefault="006E172F" w:rsidP="006E172F">
      <w:pPr>
        <w:pStyle w:val="aff8"/>
      </w:pPr>
      <w:r>
        <w:t>Специфических, характерных только для этого заболевания симптомов нет.  Схожие жалобы и признаки могут быть при многих других заболеваниях. Нередко заболевание начинается как бы с простуды, респираторной инфекции, которая почему-то затягивается. Заболевание может начинаться с безболезненного увеличения лимфатических узлов.</w:t>
      </w:r>
    </w:p>
    <w:p w14:paraId="608A602A" w14:textId="77777777" w:rsidR="006E172F" w:rsidRDefault="006E172F" w:rsidP="006E172F">
      <w:pPr>
        <w:pStyle w:val="aff8"/>
      </w:pPr>
      <w:r>
        <w:t>Наиболее распространенные признаки лимфомы Ходжкина:</w:t>
      </w:r>
    </w:p>
    <w:p w14:paraId="37982611" w14:textId="77777777" w:rsidR="006E172F" w:rsidRDefault="006E172F" w:rsidP="006E172F">
      <w:pPr>
        <w:pStyle w:val="aff8"/>
      </w:pPr>
      <w:r>
        <w:t>•</w:t>
      </w:r>
      <w:r>
        <w:tab/>
        <w:t>безболезненное увеличение лимфоузлов;</w:t>
      </w:r>
    </w:p>
    <w:p w14:paraId="62F928D9" w14:textId="77777777" w:rsidR="006E172F" w:rsidRDefault="006E172F" w:rsidP="006E172F">
      <w:pPr>
        <w:pStyle w:val="aff8"/>
      </w:pPr>
      <w:r>
        <w:t>•</w:t>
      </w:r>
      <w:r>
        <w:tab/>
        <w:t>лихорадка, которая не объясняется инфекцией или другими причинами и которую не удается устранить с помощью антибиотиков;</w:t>
      </w:r>
    </w:p>
    <w:p w14:paraId="0BA10266" w14:textId="77777777" w:rsidR="006E172F" w:rsidRDefault="006E172F" w:rsidP="006E172F">
      <w:pPr>
        <w:pStyle w:val="aff8"/>
      </w:pPr>
      <w:r>
        <w:t>•</w:t>
      </w:r>
      <w:r>
        <w:tab/>
        <w:t>потливость, особенно по ночам (мокрая подушка по утрам);</w:t>
      </w:r>
    </w:p>
    <w:p w14:paraId="3AE5B64E" w14:textId="77777777" w:rsidR="006E172F" w:rsidRDefault="006E172F" w:rsidP="006E172F">
      <w:pPr>
        <w:pStyle w:val="aff8"/>
      </w:pPr>
      <w:r>
        <w:t>•</w:t>
      </w:r>
      <w:r>
        <w:tab/>
        <w:t>необъяснимая потеря веса;</w:t>
      </w:r>
    </w:p>
    <w:p w14:paraId="198FB178" w14:textId="77777777" w:rsidR="006E172F" w:rsidRDefault="006E172F" w:rsidP="006E172F">
      <w:pPr>
        <w:pStyle w:val="aff8"/>
      </w:pPr>
      <w:r>
        <w:t>•</w:t>
      </w:r>
      <w:r>
        <w:tab/>
        <w:t>необычная утомляемость и слабость</w:t>
      </w:r>
    </w:p>
    <w:p w14:paraId="389807FC" w14:textId="77777777" w:rsidR="006E172F" w:rsidRDefault="006E172F" w:rsidP="006E172F">
      <w:pPr>
        <w:pStyle w:val="aff8"/>
      </w:pPr>
      <w:r>
        <w:t xml:space="preserve">Самый частый симптом лимфомы Ходжкина – увеличение лимфатических узлов, чаще на шее, реже в других областях тела. Температура обычно в пределах 37,5 по вечерам. Очень характерно обильное потоотделение по ночам, хотя этот симптом трудно оценивать: летом жарко, зимой сильно топят. Могут наблюдаться многочисленные другие жалобы и признаки, связанные с тем, где находится очаг опухоли. Болей, как правило, не бывает. При локализации болезни в средостении, ближе к грудине возможен дискомфорт за грудиной. У небольшого числа </w:t>
      </w:r>
      <w:r w:rsidR="00B02E17">
        <w:t xml:space="preserve">пациентов </w:t>
      </w:r>
      <w:r>
        <w:t xml:space="preserve">возникает мучительный, до расчесов кожный зуд. Около 5% </w:t>
      </w:r>
      <w:r w:rsidR="00B02E17">
        <w:t xml:space="preserve">пациентов </w:t>
      </w:r>
      <w:r>
        <w:t>отмечают боли в увеличенных лимфоузлах после приема алкоголя. Это редкий симптом, но он характерен для лимфомы Ходжкина. Причина его не известна.</w:t>
      </w:r>
    </w:p>
    <w:p w14:paraId="3B771BA6" w14:textId="77777777" w:rsidR="006E172F" w:rsidRDefault="006E172F" w:rsidP="006E172F">
      <w:pPr>
        <w:pStyle w:val="aff8"/>
      </w:pPr>
      <w:r>
        <w:t xml:space="preserve">Более 80% всех </w:t>
      </w:r>
      <w:r w:rsidR="00B02E17">
        <w:t xml:space="preserve">пациентов с </w:t>
      </w:r>
      <w:r>
        <w:t xml:space="preserve">лимфомой Ходжкина могут быть вылечены, причем обследования и лечение осуществляются в основном амбулаторно. Большинство </w:t>
      </w:r>
      <w:r w:rsidR="00B02E17">
        <w:t xml:space="preserve">пациентов </w:t>
      </w:r>
      <w:r>
        <w:t>получают комбинированную терапию, включающую химиотерапию в сочетании с лучевой терапией. В определенных обстоятельствах применяется высокодозная терапия и трансплантация костного мозга или стволовых клеток. Лучевая терапия как единственный метод лечения в настоящее время не используется практически никогда.</w:t>
      </w:r>
    </w:p>
    <w:p w14:paraId="636C859F" w14:textId="77777777" w:rsidR="00174593" w:rsidRPr="003527A8" w:rsidRDefault="00174593" w:rsidP="00C4630C">
      <w:pPr>
        <w:pStyle w:val="aff8"/>
      </w:pPr>
    </w:p>
    <w:p w14:paraId="554F0831" w14:textId="77777777" w:rsidR="00427B0E" w:rsidRDefault="00CB71DA" w:rsidP="00A54C2B">
      <w:pPr>
        <w:pStyle w:val="afff2"/>
      </w:pPr>
      <w:r>
        <w:br w:type="page"/>
      </w:r>
      <w:bookmarkStart w:id="289" w:name="__RefHeading___doc_g"/>
      <w:bookmarkStart w:id="290" w:name="_Toc65586437"/>
      <w:r w:rsidRPr="005219AF">
        <w:t>Приложение</w:t>
      </w:r>
      <w:bookmarkEnd w:id="289"/>
      <w:r w:rsidR="003527A8" w:rsidRPr="005219AF">
        <w:t xml:space="preserve"> Г. Шкалы оценки, вопросники и другие оценочные инструменты состояния пациента, приведенные в клинических рекомендациях</w:t>
      </w:r>
      <w:bookmarkStart w:id="291" w:name="bookmark6"/>
      <w:bookmarkEnd w:id="290"/>
    </w:p>
    <w:p w14:paraId="53FA1B10" w14:textId="77777777" w:rsidR="00A54C2B" w:rsidRPr="0033051F" w:rsidRDefault="00A54C2B" w:rsidP="002648A0">
      <w:pPr>
        <w:pStyle w:val="11"/>
      </w:pPr>
      <w:bookmarkStart w:id="292" w:name="_Toc11747754"/>
      <w:bookmarkStart w:id="293" w:name="_Toc24572141"/>
      <w:bookmarkStart w:id="294" w:name="_Toc24964262"/>
      <w:bookmarkStart w:id="295" w:name="_Toc65586438"/>
      <w:bookmarkEnd w:id="291"/>
      <w:r w:rsidRPr="0033051F">
        <w:t>Приложение Г</w:t>
      </w:r>
      <w:bookmarkStart w:id="296" w:name="_Toc19799875"/>
      <w:bookmarkStart w:id="297" w:name="_Toc16755716"/>
      <w:bookmarkEnd w:id="292"/>
      <w:r w:rsidRPr="0033051F">
        <w:t>1. Шкала оценки общего состояния пациента Восточной объединенной онкологической группы (ECOG</w:t>
      </w:r>
      <w:bookmarkEnd w:id="296"/>
      <w:r w:rsidRPr="0033051F">
        <w:t>)</w:t>
      </w:r>
      <w:bookmarkEnd w:id="293"/>
      <w:bookmarkEnd w:id="294"/>
      <w:bookmarkEnd w:id="295"/>
    </w:p>
    <w:p w14:paraId="3CED17CB" w14:textId="77777777" w:rsidR="00A54C2B" w:rsidRPr="00703062" w:rsidRDefault="00A54C2B" w:rsidP="00A54C2B">
      <w:pPr>
        <w:spacing w:before="240"/>
        <w:rPr>
          <w:lang w:val="en-US"/>
        </w:rPr>
      </w:pPr>
      <w:r>
        <w:t>Оригинальное</w:t>
      </w:r>
      <w:r w:rsidRPr="00703062">
        <w:rPr>
          <w:lang w:val="en-US"/>
        </w:rPr>
        <w:t xml:space="preserve"> </w:t>
      </w:r>
      <w:r>
        <w:t>название</w:t>
      </w:r>
      <w:r w:rsidRPr="00703062">
        <w:rPr>
          <w:lang w:val="en-US"/>
        </w:rPr>
        <w:t xml:space="preserve">: </w:t>
      </w:r>
      <w:r>
        <w:rPr>
          <w:lang w:val="en-US"/>
        </w:rPr>
        <w:t>The</w:t>
      </w:r>
      <w:r w:rsidRPr="00703062">
        <w:rPr>
          <w:lang w:val="en-US"/>
        </w:rPr>
        <w:t xml:space="preserve"> </w:t>
      </w:r>
      <w:r>
        <w:rPr>
          <w:lang w:val="en-US"/>
        </w:rPr>
        <w:t>ECOG</w:t>
      </w:r>
      <w:r w:rsidRPr="00703062">
        <w:rPr>
          <w:lang w:val="en-US"/>
        </w:rPr>
        <w:t xml:space="preserve"> </w:t>
      </w:r>
      <w:r>
        <w:rPr>
          <w:lang w:val="en-US"/>
        </w:rPr>
        <w:t>Scale</w:t>
      </w:r>
      <w:r w:rsidRPr="00703062">
        <w:rPr>
          <w:lang w:val="en-US"/>
        </w:rPr>
        <w:t xml:space="preserve"> </w:t>
      </w:r>
      <w:r>
        <w:rPr>
          <w:lang w:val="en-US"/>
        </w:rPr>
        <w:t>of</w:t>
      </w:r>
      <w:r w:rsidRPr="00703062">
        <w:rPr>
          <w:lang w:val="en-US"/>
        </w:rPr>
        <w:t xml:space="preserve"> </w:t>
      </w:r>
      <w:r>
        <w:rPr>
          <w:lang w:val="en-US"/>
        </w:rPr>
        <w:t>Performance</w:t>
      </w:r>
      <w:r w:rsidRPr="00703062">
        <w:rPr>
          <w:lang w:val="en-US"/>
        </w:rPr>
        <w:t xml:space="preserve"> </w:t>
      </w:r>
      <w:r>
        <w:rPr>
          <w:lang w:val="en-US"/>
        </w:rPr>
        <w:t>Status</w:t>
      </w:r>
    </w:p>
    <w:p w14:paraId="6EB69E8F" w14:textId="17412A3E" w:rsidR="00A54C2B" w:rsidRPr="009D018C" w:rsidRDefault="00A54C2B" w:rsidP="00A54C2B">
      <w:r>
        <w:t>Источник</w:t>
      </w:r>
      <w:r w:rsidRPr="00CA1143">
        <w:rPr>
          <w:lang w:val="en-US"/>
        </w:rPr>
        <w:t xml:space="preserve">: </w:t>
      </w:r>
      <w:r>
        <w:rPr>
          <w:lang w:val="en-US"/>
        </w:rPr>
        <w:t>Oken</w:t>
      </w:r>
      <w:r w:rsidRPr="00CA1143">
        <w:rPr>
          <w:lang w:val="en-US"/>
        </w:rPr>
        <w:t xml:space="preserve"> </w:t>
      </w:r>
      <w:r>
        <w:rPr>
          <w:lang w:val="en-US"/>
        </w:rPr>
        <w:t>M</w:t>
      </w:r>
      <w:r w:rsidRPr="00CA1143">
        <w:rPr>
          <w:lang w:val="en-US"/>
        </w:rPr>
        <w:t>.</w:t>
      </w:r>
      <w:r>
        <w:rPr>
          <w:lang w:val="en-US"/>
        </w:rPr>
        <w:t>M</w:t>
      </w:r>
      <w:r w:rsidRPr="00CA1143">
        <w:rPr>
          <w:lang w:val="en-US"/>
        </w:rPr>
        <w:t xml:space="preserve">. </w:t>
      </w:r>
      <w:r>
        <w:rPr>
          <w:lang w:val="en-US"/>
        </w:rPr>
        <w:t>et</w:t>
      </w:r>
      <w:r w:rsidRPr="00CA1143">
        <w:rPr>
          <w:lang w:val="en-US"/>
        </w:rPr>
        <w:t xml:space="preserve"> </w:t>
      </w:r>
      <w:r>
        <w:rPr>
          <w:lang w:val="en-US"/>
        </w:rPr>
        <w:t>al</w:t>
      </w:r>
      <w:r w:rsidRPr="00CA1143">
        <w:rPr>
          <w:lang w:val="en-US"/>
        </w:rPr>
        <w:t xml:space="preserve">. </w:t>
      </w:r>
      <w:r>
        <w:rPr>
          <w:lang w:val="en-US"/>
        </w:rPr>
        <w:t>Toxicity</w:t>
      </w:r>
      <w:r w:rsidRPr="00703062">
        <w:rPr>
          <w:lang w:val="en-US"/>
        </w:rPr>
        <w:t xml:space="preserve"> </w:t>
      </w:r>
      <w:r>
        <w:rPr>
          <w:lang w:val="en-US"/>
        </w:rPr>
        <w:t>and</w:t>
      </w:r>
      <w:r w:rsidRPr="00703062">
        <w:rPr>
          <w:lang w:val="en-US"/>
        </w:rPr>
        <w:t xml:space="preserve"> </w:t>
      </w:r>
      <w:r>
        <w:rPr>
          <w:lang w:val="en-US"/>
        </w:rPr>
        <w:t>response</w:t>
      </w:r>
      <w:r w:rsidRPr="00703062">
        <w:rPr>
          <w:lang w:val="en-US"/>
        </w:rPr>
        <w:t xml:space="preserve"> </w:t>
      </w:r>
      <w:r>
        <w:rPr>
          <w:lang w:val="en-US"/>
        </w:rPr>
        <w:t>criteria</w:t>
      </w:r>
      <w:r w:rsidRPr="00703062">
        <w:rPr>
          <w:lang w:val="en-US"/>
        </w:rPr>
        <w:t xml:space="preserve"> </w:t>
      </w:r>
      <w:r>
        <w:rPr>
          <w:lang w:val="en-US"/>
        </w:rPr>
        <w:t>of</w:t>
      </w:r>
      <w:r w:rsidRPr="00703062">
        <w:rPr>
          <w:lang w:val="en-US"/>
        </w:rPr>
        <w:t xml:space="preserve"> </w:t>
      </w:r>
      <w:r>
        <w:rPr>
          <w:lang w:val="en-US"/>
        </w:rPr>
        <w:t>the</w:t>
      </w:r>
      <w:r w:rsidRPr="00703062">
        <w:rPr>
          <w:lang w:val="en-US"/>
        </w:rPr>
        <w:t xml:space="preserve"> </w:t>
      </w:r>
      <w:r>
        <w:rPr>
          <w:lang w:val="en-US"/>
        </w:rPr>
        <w:t>Eastern Cooperative Oncology Group</w:t>
      </w:r>
      <w:r w:rsidRPr="00703062">
        <w:rPr>
          <w:lang w:val="en-US"/>
        </w:rPr>
        <w:t>.</w:t>
      </w:r>
      <w:r>
        <w:rPr>
          <w:lang w:val="en-US"/>
        </w:rPr>
        <w:t xml:space="preserve"> Am</w:t>
      </w:r>
      <w:r w:rsidRPr="00124A26">
        <w:t xml:space="preserve">. </w:t>
      </w:r>
      <w:r>
        <w:rPr>
          <w:lang w:val="en-US"/>
        </w:rPr>
        <w:t>J</w:t>
      </w:r>
      <w:r w:rsidRPr="00124A26">
        <w:t xml:space="preserve">. </w:t>
      </w:r>
      <w:r>
        <w:rPr>
          <w:lang w:val="en-US"/>
        </w:rPr>
        <w:t>Clin</w:t>
      </w:r>
      <w:r w:rsidRPr="00124A26">
        <w:t xml:space="preserve">. </w:t>
      </w:r>
      <w:r>
        <w:rPr>
          <w:lang w:val="en-US"/>
        </w:rPr>
        <w:t>Oncol</w:t>
      </w:r>
      <w:r w:rsidRPr="00124A26">
        <w:t xml:space="preserve">. </w:t>
      </w:r>
      <w:r w:rsidRPr="009D018C">
        <w:t xml:space="preserve">1982;5(6):649–65 </w:t>
      </w:r>
      <w:r>
        <w:fldChar w:fldCharType="begin" w:fldLock="1"/>
      </w:r>
      <w:r w:rsidR="00F040F8">
        <w:rPr>
          <w:lang w:val="en-US"/>
        </w:rPr>
        <w:instrText>ADDIN CSL_CITATION {"citationItems":[{"id":"ITEM-1","itemData":{"DOI":"10.1097/00000421-198212000-00014","ISSN":"02773732","PMID":"7165009","abstract":"Standard criteria for toxicity and for response to treatment are important prerequisites to the conduct of cancer trials. The Eastern Cooperative Oncology Group criteria for toxicity and response are presented to facilitate future reference and to encourage further standardization among those conducting clinical trials.","author":[{"dropping-particle":"","family":"Oken","given":"M.M.","non-dropping-particle":"","parse-names":false,"suffix":""},{"dropping-particle":"","family":"Creech","given":"R.H.","non-dropping-particle":"","parse-names":false,"suffix":""},{"dropping-particle":"","family":"Tormey","given":"D.C.","non-dropping-particle":"","parse-names":false,"suffix":""},{"dropping-particle":"","family":"Horton","given":"J.","non-dropping-particle":"","parse-names":false,"suffix":""},{"dropping-particle":"","family":"Davis","given":"T.E.","non-dropping-particle":"","parse-names":false,"suffix":""},{"dropping-particle":"","family":"McFadden","given":"E.T.","non-dropping-particle":"","parse-names":false,"suffix":""},{"dropping-particle":"","family":"Carbone","given":"P.P.","non-dropping-particle":"","parse-names":false,"suffix":""}],"container-title":"American Journal of Clinical Oncology","id":"ITEM-1","issue":"6","issued":{"date-parts":[["1982"]]},"page":"649-655","title":"Toxicity and response criteria of the Eastern Cooperative Oncology Group","type":"article-journal","volume":"5"},"uris":["http://www.mendeley.com/documents/?uuid=a75f02f1-b78b-458d-b3c4-9c8b402a67f0"]}],"mendeley":{"formattedCitation":"[211]","plainTextFormattedCitation":"[211]","previouslyFormattedCitation":"[211]"},"properties":{"noteIndex":0},"schema":"https://github.com/citation-style-language/schema/raw/master/csl-citation.json"}</w:instrText>
      </w:r>
      <w:r>
        <w:fldChar w:fldCharType="separate"/>
      </w:r>
      <w:r w:rsidR="005C0C1F" w:rsidRPr="005C0C1F">
        <w:rPr>
          <w:noProof/>
        </w:rPr>
        <w:t>[211]</w:t>
      </w:r>
      <w:r>
        <w:fldChar w:fldCharType="end"/>
      </w:r>
    </w:p>
    <w:p w14:paraId="6EEDCFA7" w14:textId="77777777" w:rsidR="00A54C2B" w:rsidRDefault="00A54C2B" w:rsidP="00A54C2B">
      <w:r>
        <w:t>Тип: шкала оценки</w:t>
      </w:r>
    </w:p>
    <w:p w14:paraId="344435AD" w14:textId="77777777" w:rsidR="00A54C2B" w:rsidRPr="003E0B03" w:rsidRDefault="00A54C2B" w:rsidP="00A54C2B">
      <w:r>
        <w:t xml:space="preserve">Назначение: клиническая оценка общего состояния пациента </w:t>
      </w:r>
    </w:p>
    <w:p w14:paraId="37CBF900" w14:textId="77777777" w:rsidR="00A54C2B" w:rsidRPr="00B468B9" w:rsidRDefault="00A54C2B" w:rsidP="00A54C2B">
      <w:pPr>
        <w:rPr>
          <w:bCs/>
        </w:rPr>
      </w:pPr>
      <w:r>
        <w:rPr>
          <w:bCs/>
        </w:rPr>
        <w:t>Содержание и интерпретация</w:t>
      </w:r>
      <w:r w:rsidRPr="00B468B9">
        <w:rPr>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839"/>
        <w:gridCol w:w="6940"/>
      </w:tblGrid>
      <w:tr w:rsidR="00A54C2B" w14:paraId="62CD7A4B" w14:textId="77777777" w:rsidTr="003007A6">
        <w:tc>
          <w:tcPr>
            <w:tcW w:w="1950" w:type="dxa"/>
            <w:tcBorders>
              <w:top w:val="single" w:sz="4" w:space="0" w:color="auto"/>
              <w:left w:val="single" w:sz="4" w:space="0" w:color="auto"/>
              <w:bottom w:val="single" w:sz="4" w:space="0" w:color="auto"/>
              <w:right w:val="single" w:sz="4" w:space="0" w:color="auto"/>
            </w:tcBorders>
          </w:tcPr>
          <w:p w14:paraId="271C55F6" w14:textId="77777777" w:rsidR="00A54C2B" w:rsidRDefault="00A54C2B" w:rsidP="004F0134">
            <w:pPr>
              <w:pStyle w:val="afd"/>
              <w:spacing w:before="100" w:after="100" w:line="360" w:lineRule="auto"/>
              <w:ind w:firstLine="0"/>
              <w:rPr>
                <w:rStyle w:val="affb"/>
                <w:b w:val="0"/>
              </w:rPr>
            </w:pPr>
            <w:r>
              <w:rPr>
                <w:rStyle w:val="affb"/>
                <w:b w:val="0"/>
              </w:rPr>
              <w:t>С</w:t>
            </w:r>
            <w:r>
              <w:rPr>
                <w:rStyle w:val="affb"/>
              </w:rPr>
              <w:t>татус (баллы)</w:t>
            </w:r>
          </w:p>
        </w:tc>
        <w:tc>
          <w:tcPr>
            <w:tcW w:w="7615" w:type="dxa"/>
            <w:tcBorders>
              <w:top w:val="single" w:sz="4" w:space="0" w:color="auto"/>
              <w:left w:val="single" w:sz="4" w:space="0" w:color="auto"/>
              <w:bottom w:val="single" w:sz="4" w:space="0" w:color="auto"/>
              <w:right w:val="single" w:sz="4" w:space="0" w:color="auto"/>
            </w:tcBorders>
          </w:tcPr>
          <w:p w14:paraId="051A737F" w14:textId="77777777" w:rsidR="00A54C2B" w:rsidRDefault="00A54C2B" w:rsidP="004F0134">
            <w:pPr>
              <w:pStyle w:val="afd"/>
              <w:spacing w:before="100" w:after="100" w:line="360" w:lineRule="auto"/>
              <w:ind w:firstLine="36"/>
              <w:jc w:val="center"/>
              <w:rPr>
                <w:rStyle w:val="affb"/>
                <w:b w:val="0"/>
              </w:rPr>
            </w:pPr>
            <w:r>
              <w:rPr>
                <w:rStyle w:val="affb"/>
                <w:b w:val="0"/>
              </w:rPr>
              <w:t>О</w:t>
            </w:r>
            <w:r>
              <w:rPr>
                <w:rStyle w:val="affb"/>
              </w:rPr>
              <w:t>писание общего состояния пациента</w:t>
            </w:r>
          </w:p>
        </w:tc>
      </w:tr>
      <w:tr w:rsidR="00A54C2B" w14:paraId="678BAA4F" w14:textId="77777777" w:rsidTr="003007A6">
        <w:tc>
          <w:tcPr>
            <w:tcW w:w="1950" w:type="dxa"/>
            <w:tcBorders>
              <w:top w:val="single" w:sz="4" w:space="0" w:color="auto"/>
              <w:left w:val="single" w:sz="4" w:space="0" w:color="auto"/>
              <w:bottom w:val="single" w:sz="4" w:space="0" w:color="auto"/>
              <w:right w:val="single" w:sz="4" w:space="0" w:color="auto"/>
            </w:tcBorders>
          </w:tcPr>
          <w:p w14:paraId="7FD9810F" w14:textId="77777777" w:rsidR="00A54C2B" w:rsidRDefault="00A54C2B" w:rsidP="004F0134">
            <w:pPr>
              <w:pStyle w:val="afd"/>
              <w:spacing w:before="100" w:after="100" w:line="360" w:lineRule="auto"/>
              <w:rPr>
                <w:rStyle w:val="affb"/>
                <w:b w:val="0"/>
                <w:lang w:val="en-US"/>
              </w:rPr>
            </w:pPr>
            <w:r>
              <w:rPr>
                <w:rStyle w:val="affb"/>
                <w:b w:val="0"/>
                <w:lang w:val="en-US"/>
              </w:rPr>
              <w:t>0</w:t>
            </w:r>
          </w:p>
        </w:tc>
        <w:tc>
          <w:tcPr>
            <w:tcW w:w="7615" w:type="dxa"/>
            <w:tcBorders>
              <w:top w:val="single" w:sz="4" w:space="0" w:color="auto"/>
              <w:left w:val="single" w:sz="4" w:space="0" w:color="auto"/>
              <w:bottom w:val="single" w:sz="4" w:space="0" w:color="auto"/>
              <w:right w:val="single" w:sz="4" w:space="0" w:color="auto"/>
            </w:tcBorders>
          </w:tcPr>
          <w:p w14:paraId="56391947" w14:textId="77777777" w:rsidR="00A54C2B" w:rsidRDefault="00A54C2B" w:rsidP="004F0134">
            <w:pPr>
              <w:pStyle w:val="afd"/>
              <w:spacing w:before="100" w:after="100" w:line="360" w:lineRule="auto"/>
              <w:ind w:firstLine="0"/>
              <w:jc w:val="left"/>
              <w:rPr>
                <w:rStyle w:val="affb"/>
                <w:b w:val="0"/>
              </w:rPr>
            </w:pPr>
            <w:r>
              <w:rPr>
                <w:rStyle w:val="affb"/>
                <w:b w:val="0"/>
              </w:rPr>
              <w:t>Пациент полностью активен, способен выполнять все, как и до заболевания.</w:t>
            </w:r>
          </w:p>
        </w:tc>
      </w:tr>
      <w:tr w:rsidR="00A54C2B" w14:paraId="6C2EA8E9" w14:textId="77777777" w:rsidTr="003007A6">
        <w:tc>
          <w:tcPr>
            <w:tcW w:w="1950" w:type="dxa"/>
            <w:tcBorders>
              <w:top w:val="single" w:sz="4" w:space="0" w:color="auto"/>
              <w:left w:val="single" w:sz="4" w:space="0" w:color="auto"/>
              <w:bottom w:val="single" w:sz="4" w:space="0" w:color="auto"/>
              <w:right w:val="single" w:sz="4" w:space="0" w:color="auto"/>
            </w:tcBorders>
          </w:tcPr>
          <w:p w14:paraId="741179A7" w14:textId="77777777" w:rsidR="00A54C2B" w:rsidRDefault="00A54C2B" w:rsidP="004F0134">
            <w:pPr>
              <w:pStyle w:val="afd"/>
              <w:spacing w:before="100" w:after="100" w:line="360" w:lineRule="auto"/>
              <w:rPr>
                <w:rStyle w:val="affb"/>
                <w:b w:val="0"/>
              </w:rPr>
            </w:pPr>
            <w:r>
              <w:rPr>
                <w:rStyle w:val="affb"/>
                <w:b w:val="0"/>
              </w:rPr>
              <w:t>1</w:t>
            </w:r>
          </w:p>
        </w:tc>
        <w:tc>
          <w:tcPr>
            <w:tcW w:w="7615" w:type="dxa"/>
            <w:tcBorders>
              <w:top w:val="single" w:sz="4" w:space="0" w:color="auto"/>
              <w:left w:val="single" w:sz="4" w:space="0" w:color="auto"/>
              <w:bottom w:val="single" w:sz="4" w:space="0" w:color="auto"/>
              <w:right w:val="single" w:sz="4" w:space="0" w:color="auto"/>
            </w:tcBorders>
          </w:tcPr>
          <w:p w14:paraId="5D74FD84" w14:textId="77777777" w:rsidR="00A54C2B" w:rsidRDefault="00A54C2B" w:rsidP="004F0134">
            <w:pPr>
              <w:pStyle w:val="afd"/>
              <w:spacing w:before="100" w:after="100" w:line="360" w:lineRule="auto"/>
              <w:ind w:firstLine="0"/>
              <w:jc w:val="left"/>
              <w:rPr>
                <w:rStyle w:val="affb"/>
                <w:b w:val="0"/>
              </w:rPr>
            </w:pPr>
            <w:r>
              <w:rPr>
                <w:rStyle w:val="affb"/>
                <w:b w:val="0"/>
              </w:rPr>
              <w:t>Пациент неспособен выполнять тяжелую, но может выполнять легкую или сидячую работу (например, легкую домашнюю или канцелярскую работу).</w:t>
            </w:r>
          </w:p>
        </w:tc>
      </w:tr>
      <w:tr w:rsidR="00A54C2B" w14:paraId="66AB7B13" w14:textId="77777777" w:rsidTr="003007A6">
        <w:tc>
          <w:tcPr>
            <w:tcW w:w="1950" w:type="dxa"/>
            <w:tcBorders>
              <w:top w:val="single" w:sz="4" w:space="0" w:color="auto"/>
              <w:left w:val="single" w:sz="4" w:space="0" w:color="auto"/>
              <w:bottom w:val="single" w:sz="4" w:space="0" w:color="auto"/>
              <w:right w:val="single" w:sz="4" w:space="0" w:color="auto"/>
            </w:tcBorders>
          </w:tcPr>
          <w:p w14:paraId="5512EB6E" w14:textId="77777777" w:rsidR="00A54C2B" w:rsidRDefault="00A54C2B" w:rsidP="004F0134">
            <w:pPr>
              <w:pStyle w:val="afd"/>
              <w:spacing w:before="100" w:after="100" w:line="360" w:lineRule="auto"/>
              <w:rPr>
                <w:rStyle w:val="affb"/>
                <w:b w:val="0"/>
              </w:rPr>
            </w:pPr>
            <w:r>
              <w:rPr>
                <w:rStyle w:val="affb"/>
                <w:b w:val="0"/>
              </w:rPr>
              <w:t>2</w:t>
            </w:r>
          </w:p>
        </w:tc>
        <w:tc>
          <w:tcPr>
            <w:tcW w:w="7615" w:type="dxa"/>
            <w:tcBorders>
              <w:top w:val="single" w:sz="4" w:space="0" w:color="auto"/>
              <w:left w:val="single" w:sz="4" w:space="0" w:color="auto"/>
              <w:bottom w:val="single" w:sz="4" w:space="0" w:color="auto"/>
              <w:right w:val="single" w:sz="4" w:space="0" w:color="auto"/>
            </w:tcBorders>
          </w:tcPr>
          <w:p w14:paraId="51DEAD4E" w14:textId="77777777" w:rsidR="00A54C2B" w:rsidRDefault="00A54C2B" w:rsidP="004F0134">
            <w:pPr>
              <w:pStyle w:val="afd"/>
              <w:spacing w:before="100" w:after="100" w:line="360" w:lineRule="auto"/>
              <w:ind w:firstLine="0"/>
              <w:jc w:val="left"/>
              <w:rPr>
                <w:rStyle w:val="affb"/>
                <w:b w:val="0"/>
              </w:rPr>
            </w:pPr>
            <w:r>
              <w:rPr>
                <w:rStyle w:val="affb"/>
                <w:b w:val="0"/>
              </w:rPr>
              <w:t>Пациент лечится амбулаторно, способен к самообслуживанию, но не может выполнять работу. Более 50 % времени проводит активно – в вертикальном положении.</w:t>
            </w:r>
          </w:p>
        </w:tc>
      </w:tr>
      <w:tr w:rsidR="00A54C2B" w14:paraId="3330442A" w14:textId="77777777" w:rsidTr="003007A6">
        <w:tc>
          <w:tcPr>
            <w:tcW w:w="1950" w:type="dxa"/>
            <w:tcBorders>
              <w:top w:val="single" w:sz="4" w:space="0" w:color="auto"/>
              <w:left w:val="single" w:sz="4" w:space="0" w:color="auto"/>
              <w:bottom w:val="single" w:sz="4" w:space="0" w:color="auto"/>
              <w:right w:val="single" w:sz="4" w:space="0" w:color="auto"/>
            </w:tcBorders>
          </w:tcPr>
          <w:p w14:paraId="5B9D7DC3" w14:textId="77777777" w:rsidR="00A54C2B" w:rsidRDefault="00A54C2B" w:rsidP="004F0134">
            <w:pPr>
              <w:pStyle w:val="afd"/>
              <w:spacing w:before="100" w:after="100" w:line="360" w:lineRule="auto"/>
              <w:rPr>
                <w:rStyle w:val="affb"/>
                <w:b w:val="0"/>
              </w:rPr>
            </w:pPr>
            <w:r>
              <w:rPr>
                <w:rStyle w:val="affb"/>
                <w:b w:val="0"/>
              </w:rPr>
              <w:t>3</w:t>
            </w:r>
          </w:p>
        </w:tc>
        <w:tc>
          <w:tcPr>
            <w:tcW w:w="7615" w:type="dxa"/>
            <w:tcBorders>
              <w:top w:val="single" w:sz="4" w:space="0" w:color="auto"/>
              <w:left w:val="single" w:sz="4" w:space="0" w:color="auto"/>
              <w:bottom w:val="single" w:sz="4" w:space="0" w:color="auto"/>
              <w:right w:val="single" w:sz="4" w:space="0" w:color="auto"/>
            </w:tcBorders>
          </w:tcPr>
          <w:p w14:paraId="43EE9754" w14:textId="77777777" w:rsidR="00A54C2B" w:rsidRDefault="00A54C2B" w:rsidP="004F0134">
            <w:pPr>
              <w:pStyle w:val="afd"/>
              <w:spacing w:before="100" w:after="100" w:line="360" w:lineRule="auto"/>
              <w:ind w:firstLine="0"/>
              <w:jc w:val="left"/>
              <w:rPr>
                <w:rStyle w:val="affb"/>
                <w:b w:val="0"/>
              </w:rPr>
            </w:pPr>
            <w:r w:rsidRPr="003B113D">
              <w:rPr>
                <w:rStyle w:val="affb"/>
                <w:b w:val="0"/>
              </w:rPr>
              <w:t>Пациент</w:t>
            </w:r>
            <w:r>
              <w:rPr>
                <w:rStyle w:val="affb"/>
                <w:b w:val="0"/>
              </w:rPr>
              <w:t xml:space="preserve"> способен лишь к ограниченному самообслуживанию, проводит в кресле или постели более 50 % времени бодрствования.</w:t>
            </w:r>
          </w:p>
        </w:tc>
      </w:tr>
      <w:tr w:rsidR="00A54C2B" w14:paraId="3460B8EA" w14:textId="77777777" w:rsidTr="003007A6">
        <w:tc>
          <w:tcPr>
            <w:tcW w:w="1950" w:type="dxa"/>
            <w:tcBorders>
              <w:top w:val="single" w:sz="4" w:space="0" w:color="auto"/>
              <w:left w:val="single" w:sz="4" w:space="0" w:color="auto"/>
              <w:bottom w:val="single" w:sz="4" w:space="0" w:color="auto"/>
              <w:right w:val="single" w:sz="4" w:space="0" w:color="auto"/>
            </w:tcBorders>
          </w:tcPr>
          <w:p w14:paraId="5DB3C025" w14:textId="77777777" w:rsidR="00A54C2B" w:rsidRDefault="00A54C2B" w:rsidP="004F0134">
            <w:pPr>
              <w:pStyle w:val="afd"/>
              <w:spacing w:before="100" w:after="100" w:line="360" w:lineRule="auto"/>
              <w:rPr>
                <w:rStyle w:val="affb"/>
                <w:b w:val="0"/>
              </w:rPr>
            </w:pPr>
            <w:r>
              <w:rPr>
                <w:rStyle w:val="affb"/>
                <w:b w:val="0"/>
              </w:rPr>
              <w:t>4</w:t>
            </w:r>
          </w:p>
        </w:tc>
        <w:tc>
          <w:tcPr>
            <w:tcW w:w="7615" w:type="dxa"/>
            <w:tcBorders>
              <w:top w:val="single" w:sz="4" w:space="0" w:color="auto"/>
              <w:left w:val="single" w:sz="4" w:space="0" w:color="auto"/>
              <w:bottom w:val="single" w:sz="4" w:space="0" w:color="auto"/>
              <w:right w:val="single" w:sz="4" w:space="0" w:color="auto"/>
            </w:tcBorders>
          </w:tcPr>
          <w:p w14:paraId="53DF30D2" w14:textId="77777777" w:rsidR="00A54C2B" w:rsidRDefault="00A54C2B" w:rsidP="004F0134">
            <w:pPr>
              <w:pStyle w:val="afd"/>
              <w:spacing w:before="100" w:after="100" w:line="360" w:lineRule="auto"/>
              <w:ind w:firstLine="0"/>
              <w:jc w:val="left"/>
              <w:rPr>
                <w:rStyle w:val="affb"/>
                <w:b w:val="0"/>
              </w:rPr>
            </w:pPr>
            <w:r>
              <w:rPr>
                <w:rStyle w:val="affb"/>
                <w:b w:val="0"/>
              </w:rPr>
              <w:t>Инвалид, совершенно не способен к самообслуживанию, прикован к креслу или постели.</w:t>
            </w:r>
          </w:p>
        </w:tc>
      </w:tr>
      <w:tr w:rsidR="00A54C2B" w14:paraId="6B434574" w14:textId="77777777" w:rsidTr="003007A6">
        <w:tc>
          <w:tcPr>
            <w:tcW w:w="1950" w:type="dxa"/>
            <w:tcBorders>
              <w:top w:val="single" w:sz="4" w:space="0" w:color="auto"/>
              <w:left w:val="single" w:sz="4" w:space="0" w:color="auto"/>
              <w:bottom w:val="single" w:sz="4" w:space="0" w:color="auto"/>
              <w:right w:val="single" w:sz="4" w:space="0" w:color="auto"/>
            </w:tcBorders>
          </w:tcPr>
          <w:p w14:paraId="7DA2AD90" w14:textId="77777777" w:rsidR="00A54C2B" w:rsidRDefault="00A54C2B" w:rsidP="004F0134">
            <w:pPr>
              <w:pStyle w:val="afd"/>
              <w:spacing w:before="100" w:after="100" w:line="360" w:lineRule="auto"/>
              <w:rPr>
                <w:rStyle w:val="affb"/>
                <w:b w:val="0"/>
              </w:rPr>
            </w:pPr>
            <w:r>
              <w:rPr>
                <w:rStyle w:val="affb"/>
                <w:b w:val="0"/>
              </w:rPr>
              <w:t>5</w:t>
            </w:r>
          </w:p>
        </w:tc>
        <w:tc>
          <w:tcPr>
            <w:tcW w:w="7615" w:type="dxa"/>
            <w:tcBorders>
              <w:top w:val="single" w:sz="4" w:space="0" w:color="auto"/>
              <w:left w:val="single" w:sz="4" w:space="0" w:color="auto"/>
              <w:bottom w:val="single" w:sz="4" w:space="0" w:color="auto"/>
              <w:right w:val="single" w:sz="4" w:space="0" w:color="auto"/>
            </w:tcBorders>
          </w:tcPr>
          <w:p w14:paraId="64E9753B" w14:textId="77777777" w:rsidR="00A54C2B" w:rsidRDefault="00A54C2B" w:rsidP="004F0134">
            <w:pPr>
              <w:pStyle w:val="afd"/>
              <w:spacing w:before="100" w:after="100" w:line="360" w:lineRule="auto"/>
              <w:ind w:firstLine="0"/>
              <w:jc w:val="left"/>
              <w:rPr>
                <w:rStyle w:val="affb"/>
                <w:b w:val="0"/>
              </w:rPr>
            </w:pPr>
            <w:r>
              <w:rPr>
                <w:rStyle w:val="affb"/>
                <w:b w:val="0"/>
              </w:rPr>
              <w:t>Смерть пациента</w:t>
            </w:r>
          </w:p>
        </w:tc>
      </w:tr>
      <w:bookmarkEnd w:id="297"/>
    </w:tbl>
    <w:p w14:paraId="0ECC57FF" w14:textId="77777777" w:rsidR="00AE3406" w:rsidRDefault="00AE3406" w:rsidP="00427B0E">
      <w:pPr>
        <w:pStyle w:val="afffb"/>
        <w:ind w:firstLine="0"/>
      </w:pPr>
    </w:p>
    <w:p w14:paraId="505897FE" w14:textId="77777777" w:rsidR="00A54C2B" w:rsidRPr="0033051F" w:rsidRDefault="00A54C2B" w:rsidP="002648A0">
      <w:pPr>
        <w:pStyle w:val="11"/>
      </w:pPr>
      <w:bookmarkStart w:id="298" w:name="_Toc14773437"/>
      <w:bookmarkStart w:id="299" w:name="_Toc65586439"/>
      <w:r w:rsidRPr="0033051F">
        <w:t>Приложение Г2. Шкала визуальной оценки ПЭТ-данных</w:t>
      </w:r>
      <w:bookmarkEnd w:id="298"/>
      <w:bookmarkEnd w:id="299"/>
    </w:p>
    <w:p w14:paraId="71CBDA9D" w14:textId="77777777" w:rsidR="00A54C2B" w:rsidRPr="00A519D4" w:rsidRDefault="00A54C2B" w:rsidP="00A54C2B">
      <w:pPr>
        <w:spacing w:before="240"/>
        <w:rPr>
          <w:lang w:val="en-US"/>
        </w:rPr>
      </w:pPr>
      <w:r w:rsidRPr="00A519D4">
        <w:t>Оригинальное</w:t>
      </w:r>
      <w:r w:rsidRPr="00A519D4">
        <w:rPr>
          <w:lang w:val="en-US"/>
        </w:rPr>
        <w:t xml:space="preserve"> </w:t>
      </w:r>
      <w:r w:rsidRPr="00A519D4">
        <w:t>название</w:t>
      </w:r>
      <w:r w:rsidRPr="00A519D4">
        <w:rPr>
          <w:lang w:val="en-US"/>
        </w:rPr>
        <w:t xml:space="preserve">: </w:t>
      </w:r>
      <w:r w:rsidR="00A519D4" w:rsidRPr="00A519D4">
        <w:rPr>
          <w:lang w:val="en-US"/>
        </w:rPr>
        <w:t>The Deauville five point scale</w:t>
      </w:r>
    </w:p>
    <w:p w14:paraId="348EB617" w14:textId="5E0BF644" w:rsidR="00A54C2B" w:rsidRPr="00B5143A" w:rsidRDefault="00A54C2B" w:rsidP="00A54C2B">
      <w:r w:rsidRPr="00A519D4">
        <w:t>Источник</w:t>
      </w:r>
      <w:r w:rsidRPr="00A519D4">
        <w:rPr>
          <w:lang w:val="en-US"/>
        </w:rPr>
        <w:t xml:space="preserve">: </w:t>
      </w:r>
      <w:r w:rsidR="00A519D4" w:rsidRPr="00A519D4">
        <w:rPr>
          <w:lang w:val="en-US"/>
        </w:rPr>
        <w:t xml:space="preserve">Meignan </w:t>
      </w:r>
      <w:r w:rsidRPr="00A519D4">
        <w:rPr>
          <w:lang w:val="en-US"/>
        </w:rPr>
        <w:t xml:space="preserve">M. et al. </w:t>
      </w:r>
      <w:r w:rsidR="00A519D4" w:rsidRPr="00A519D4">
        <w:rPr>
          <w:lang w:val="en-US"/>
        </w:rPr>
        <w:t>Report on the First International Workshop on Interim-PET-Scan in Lymphoma</w:t>
      </w:r>
      <w:r w:rsidRPr="00A519D4">
        <w:rPr>
          <w:lang w:val="en-US"/>
        </w:rPr>
        <w:t xml:space="preserve">. </w:t>
      </w:r>
      <w:r w:rsidR="00A519D4" w:rsidRPr="00A519D4">
        <w:rPr>
          <w:lang w:val="en-US"/>
        </w:rPr>
        <w:t>Leuk</w:t>
      </w:r>
      <w:r w:rsidR="00A519D4" w:rsidRPr="00124A26">
        <w:t xml:space="preserve"> </w:t>
      </w:r>
      <w:r w:rsidR="00A519D4" w:rsidRPr="00A519D4">
        <w:rPr>
          <w:lang w:val="en-US"/>
        </w:rPr>
        <w:t>Lymphoma</w:t>
      </w:r>
      <w:r w:rsidRPr="00124A26">
        <w:t xml:space="preserve">. </w:t>
      </w:r>
      <w:r w:rsidR="00A519D4" w:rsidRPr="008358F4">
        <w:t>2009</w:t>
      </w:r>
      <w:r w:rsidRPr="008358F4">
        <w:t>;5</w:t>
      </w:r>
      <w:r w:rsidR="00A519D4" w:rsidRPr="008358F4">
        <w:t>0</w:t>
      </w:r>
      <w:r w:rsidRPr="008358F4">
        <w:t>(</w:t>
      </w:r>
      <w:r w:rsidR="00A519D4" w:rsidRPr="008358F4">
        <w:t>8</w:t>
      </w:r>
      <w:r w:rsidRPr="004126B6">
        <w:t>):</w:t>
      </w:r>
      <w:r w:rsidR="00A519D4" w:rsidRPr="004126B6">
        <w:t>1257-1260</w:t>
      </w:r>
      <w:r w:rsidRPr="004126B6">
        <w:t xml:space="preserve"> </w:t>
      </w:r>
      <w:r w:rsidRPr="00A519D4">
        <w:fldChar w:fldCharType="begin" w:fldLock="1"/>
      </w:r>
      <w:r w:rsidR="00F040F8">
        <w:rPr>
          <w:lang w:val="en-US"/>
        </w:rPr>
        <w:instrText>ADDIN CSL_CITATION {"citationItems":[{"id":"ITEM-1","itemData":{"DOI":"10.1080/10428190903040048","ISSN":"10428194","abstract":"An international workshop, under the auspices of Group d'Etude des Lymphomes de l'Adulte (GELA) took place in Deauville, France, in April 3-4, 2009. The European experts with a published or personal experience on interim-PET in lymphoma were invited to the meeting. The aim of the workshop was twofold: (1) to reach a consensus on simple, reproducible criteria for interim-PET interpretation in Hodgkin lymphoma and diffuse large B-cell lymphoma (DLBCL), and (2) to launch two or more international validation studies, in an attempt to validate these rules. We concisely report here the minutes of the meeting and the conclusions/statements that have been reached. © 2009 Informa UK Ltd All rights reserved.","author":[{"dropping-particle":"","family":"Meignan","given":"Michel","non-dropping-particle":"","parse-names":false,"suffix":""},{"dropping-particle":"","family":"Gallamini","given":"Andrea","non-dropping-particle":"","parse-names":false,"suffix":""},{"dropping-particle":"","family":"Haioun","given":"Corinne","non-dropping-particle":"","parse-names":false,"suffix":""}],"container-title":"Leukemia and Lymphoma","id":"ITEM-1","issue":"8","issued":{"date-parts":[["2009"]]},"page":"1257-1260","title":"Report on the First International Workshop on interim-PET scan in lymphoma","type":"paper-conference","volume":"50"},"uris":["http://www.mendeley.com/documents/?uuid=fc9f795a-d2b4-36db-aea1-317b258251ba","http://www.mendeley.com/documents/?uuid=a65625df-4977-4f97-a026-0c95ed7e10a4"]}],"mendeley":{"formattedCitation":"[212]","plainTextFormattedCitation":"[212]","previouslyFormattedCitation":"[212]"},"properties":{"noteIndex":0},"schema":"https://github.com/citation-style-language/schema/raw/master/csl-citation.json"}</w:instrText>
      </w:r>
      <w:r w:rsidRPr="00A519D4">
        <w:fldChar w:fldCharType="separate"/>
      </w:r>
      <w:r w:rsidR="005C0C1F" w:rsidRPr="005C0C1F">
        <w:rPr>
          <w:noProof/>
        </w:rPr>
        <w:t>[212]</w:t>
      </w:r>
      <w:r w:rsidRPr="00A519D4">
        <w:fldChar w:fldCharType="end"/>
      </w:r>
    </w:p>
    <w:p w14:paraId="61EC7056" w14:textId="77777777" w:rsidR="00A54C2B" w:rsidRPr="00A519D4" w:rsidRDefault="00A54C2B" w:rsidP="00A54C2B">
      <w:r w:rsidRPr="00A519D4">
        <w:t>Тип: шкала оценки</w:t>
      </w:r>
    </w:p>
    <w:p w14:paraId="469E873B" w14:textId="77777777" w:rsidR="00A54C2B" w:rsidRPr="00A519D4" w:rsidRDefault="00A54C2B" w:rsidP="00A54C2B">
      <w:r w:rsidRPr="00A519D4">
        <w:t xml:space="preserve">Назначение: </w:t>
      </w:r>
      <w:r w:rsidR="00A519D4" w:rsidRPr="00A519D4">
        <w:t>оценка результатов ПЭТ/КТ исследования</w:t>
      </w:r>
      <w:r w:rsidRPr="00A519D4">
        <w:t xml:space="preserve"> </w:t>
      </w:r>
    </w:p>
    <w:p w14:paraId="4AB6C32A" w14:textId="5B4D0644" w:rsidR="00A54C2B" w:rsidRPr="00A519D4" w:rsidRDefault="00A54C2B" w:rsidP="00A519D4">
      <w:pPr>
        <w:rPr>
          <w:bCs/>
        </w:rPr>
      </w:pPr>
      <w:r w:rsidRPr="00A519D4">
        <w:rPr>
          <w:bCs/>
        </w:rPr>
        <w:t>Содержание и интерпретация:</w:t>
      </w:r>
      <w:r w:rsidR="00A519D4" w:rsidRPr="00A519D4">
        <w:rPr>
          <w:bCs/>
        </w:rPr>
        <w:t xml:space="preserve"> </w:t>
      </w:r>
      <w:r w:rsidR="00A519D4" w:rsidRPr="00A519D4">
        <w:t xml:space="preserve">для </w:t>
      </w:r>
      <w:r w:rsidRPr="00A519D4">
        <w:t>стандартизации, воспроизводимости и</w:t>
      </w:r>
      <w:r w:rsidRPr="00C70BF9">
        <w:t xml:space="preserve"> возможности сравнения результатов ПЭТ/КТ, полученных в различных медицинских учреждениях, при оценке эффективности лечения у </w:t>
      </w:r>
      <w:r w:rsidR="00B119C4">
        <w:t>пациентов с</w:t>
      </w:r>
      <w:r w:rsidR="00B119C4" w:rsidRPr="00C70BF9">
        <w:t xml:space="preserve"> </w:t>
      </w:r>
      <w:r w:rsidRPr="00C70BF9">
        <w:t>лимфомами используется визуальный анализ ПЭТ-данных по 5-балльной шкале</w:t>
      </w:r>
      <w:r w:rsidR="00A519D4">
        <w:t xml:space="preserve"> </w:t>
      </w:r>
      <w:r w:rsidR="00A519D4" w:rsidRPr="00A519D4">
        <w:fldChar w:fldCharType="begin" w:fldLock="1"/>
      </w:r>
      <w:r w:rsidR="00F040F8">
        <w:instrText>ADDIN CSL_CITATION {"citationItems":[{"id":"ITEM-1","itemData":{"DOI":"10.1080/10428190903040048","ISSN":"10428194","abstract":"An international workshop, under the auspices of Group d'Etude des Lymphomes de l'Adulte (GELA) took place in Deauville, France, in April 3-4, 2009. The European experts with a published or personal experience on interim-PET in lymphoma were invited to the meeting. The aim of the workshop was twofold: (1) to reach a consensus on simple, reproducible criteria for interim-PET interpretation in Hodgkin lymphoma and diffuse large B-cell lymphoma (DLBCL), and (2) to launch two or more international validation studies, in an attempt to validate these rules. We concisely report here the minutes of the meeting and the conclusions/statements that have been reached. © 2009 Informa UK Ltd All rights reserved.","author":[{"dropping-particle":"","family":"Meignan","given":"Michel","non-dropping-particle":"","parse-names":false,"suffix":""},{"dropping-particle":"","family":"Gallamini","given":"Andrea","non-dropping-particle":"","parse-names":false,"suffix":""},{"dropping-particle":"","family":"Haioun","given":"Corinne","non-dropping-particle":"","parse-names":false,"suffix":""}],"container-title":"Leukemia and Lymphoma","id":"ITEM-1","issue":"8","issued":{"date-parts":[["2009"]]},"page":"1257-1260","title":"Report on the First International Workshop on interim-PET scan in lymphoma","type":"paper-conference","volume":"50"},"uris":["http://www.mendeley.com/documents/?uuid=a65625df-4977-4f97-a026-0c95ed7e10a4","http://www.mendeley.com/documents/?uuid=fc9f795a-d2b4-36db-aea1-317b258251ba"]}],"mendeley":{"formattedCitation":"[212]","plainTextFormattedCitation":"[212]","previouslyFormattedCitation":"[212]"},"properties":{"noteIndex":0},"schema":"https://github.com/citation-style-language/schema/raw/master/csl-citation.json"}</w:instrText>
      </w:r>
      <w:r w:rsidR="00A519D4" w:rsidRPr="00A519D4">
        <w:fldChar w:fldCharType="separate"/>
      </w:r>
      <w:r w:rsidR="005C0C1F" w:rsidRPr="005C0C1F">
        <w:rPr>
          <w:noProof/>
        </w:rPr>
        <w:t>[212]</w:t>
      </w:r>
      <w:r w:rsidR="00A519D4" w:rsidRPr="00A519D4">
        <w:fldChar w:fldCharType="end"/>
      </w:r>
      <w:r w:rsidRPr="00C70BF9">
        <w:t xml:space="preserve">. При этом интенсивность накопления 18F-ФДГ в патологическом очаге сравнивается с интенсивностью накопления препарата в неизмененных отделах средостения или в правой доле печени: </w:t>
      </w:r>
    </w:p>
    <w:p w14:paraId="606A0F34" w14:textId="77777777" w:rsidR="00A54C2B" w:rsidRPr="00C70BF9" w:rsidRDefault="00A54C2B" w:rsidP="00A54C2B">
      <w:pPr>
        <w:ind w:left="567" w:right="-142"/>
      </w:pPr>
      <w:r w:rsidRPr="00C70BF9">
        <w:t xml:space="preserve">1 балл – характеризуется отсутствием накопления препарата в определяемом ранее патологическом очаге; </w:t>
      </w:r>
    </w:p>
    <w:p w14:paraId="5FD61BC6" w14:textId="77777777" w:rsidR="00A54C2B" w:rsidRPr="00C70BF9" w:rsidRDefault="00A54C2B" w:rsidP="00A54C2B">
      <w:pPr>
        <w:ind w:left="567" w:right="-142"/>
      </w:pPr>
      <w:r w:rsidRPr="00C70BF9">
        <w:t xml:space="preserve">2 балла – накопление препарата в патологическом очаге не превышает по интенсивности накопление препарата в неизмененных отделах средостения; </w:t>
      </w:r>
    </w:p>
    <w:p w14:paraId="33F46B9F" w14:textId="77777777" w:rsidR="00A54C2B" w:rsidRPr="00C70BF9" w:rsidRDefault="00A54C2B" w:rsidP="00A54C2B">
      <w:pPr>
        <w:ind w:left="567" w:right="-142"/>
      </w:pPr>
      <w:r w:rsidRPr="00C70BF9">
        <w:t xml:space="preserve">3 балла – накопление препарата в патологическом очаге выше, чем в средостении, но не превышает накопление препарата в правой доле печени; </w:t>
      </w:r>
    </w:p>
    <w:p w14:paraId="42D193CB" w14:textId="77777777" w:rsidR="00A54C2B" w:rsidRPr="00C70BF9" w:rsidRDefault="00A54C2B" w:rsidP="00A54C2B">
      <w:pPr>
        <w:ind w:left="567" w:right="-142"/>
      </w:pPr>
      <w:r w:rsidRPr="00C70BF9">
        <w:t xml:space="preserve">4 балла – накопление препарата в патологическом очаге несколько выше, чем в печени; </w:t>
      </w:r>
    </w:p>
    <w:p w14:paraId="7D1FB533" w14:textId="77777777" w:rsidR="00A54C2B" w:rsidRPr="00C70BF9" w:rsidRDefault="00A54C2B" w:rsidP="00A54C2B">
      <w:pPr>
        <w:ind w:left="567" w:right="-142"/>
      </w:pPr>
      <w:r w:rsidRPr="00C70BF9">
        <w:t xml:space="preserve">5 баллов – накопление препарата в патологическом очаге значительно выше, чем в печени, или определяется появление новых патологических очагов, связанных с заболеванием. </w:t>
      </w:r>
    </w:p>
    <w:p w14:paraId="4477594B" w14:textId="77777777" w:rsidR="00A54C2B" w:rsidRPr="00C70BF9" w:rsidRDefault="00A54C2B" w:rsidP="00A54C2B">
      <w:pPr>
        <w:ind w:right="-142" w:firstLine="567"/>
      </w:pPr>
      <w:r w:rsidRPr="00C70BF9">
        <w:t>Также введено понятие Х-баллов, характеризующих наличие очагов накопления 18F-ФДГ неясного, скорее воспалительного генеза, связь которых с основным заболеванием маловероятна.</w:t>
      </w:r>
    </w:p>
    <w:p w14:paraId="31A95E26" w14:textId="77777777" w:rsidR="00A54C2B" w:rsidRPr="00C70BF9" w:rsidRDefault="00A54C2B" w:rsidP="00A54C2B">
      <w:pPr>
        <w:ind w:right="-142" w:firstLine="567"/>
      </w:pPr>
      <w:r w:rsidRPr="00C70BF9">
        <w:t xml:space="preserve">Интерпретация результатов ПЭТ по шкале Deauville проводится комплексно с учетом клинических и исходных ПЭТ-данных, этапа лечения, а также других показателей ответа на лечение. </w:t>
      </w:r>
    </w:p>
    <w:p w14:paraId="498DB1B8" w14:textId="72E5C8E4" w:rsidR="00A54C2B" w:rsidRDefault="00A54C2B" w:rsidP="00427B0E">
      <w:pPr>
        <w:pStyle w:val="afffb"/>
        <w:ind w:firstLine="0"/>
      </w:pPr>
    </w:p>
    <w:p w14:paraId="03FE17D9" w14:textId="2973B0A1" w:rsidR="00E43B8B" w:rsidRPr="00E43B8B" w:rsidRDefault="00E93A18" w:rsidP="00E43B8B">
      <w:pPr>
        <w:pStyle w:val="11"/>
      </w:pPr>
      <w:bookmarkStart w:id="300" w:name="_Toc65586440"/>
      <w:r w:rsidRPr="0033051F">
        <w:t>Приложение Г</w:t>
      </w:r>
      <w:r>
        <w:t xml:space="preserve">3. </w:t>
      </w:r>
      <w:bookmarkStart w:id="301" w:name="_Toc44401120"/>
      <w:r w:rsidR="00E43B8B" w:rsidRPr="00777124">
        <w:rPr>
          <w:rFonts w:eastAsia="SimSun"/>
        </w:rPr>
        <w:t>Расчет трансплантационного риска по шкале EBMT</w:t>
      </w:r>
      <w:bookmarkEnd w:id="300"/>
      <w:bookmarkEnd w:id="301"/>
    </w:p>
    <w:p w14:paraId="45E5976E" w14:textId="77777777" w:rsidR="00E43B8B" w:rsidRPr="00777124" w:rsidRDefault="00E43B8B" w:rsidP="00E43B8B">
      <w:pPr>
        <w:rPr>
          <w:rFonts w:eastAsia="SimSun"/>
          <w:szCs w:val="24"/>
        </w:rPr>
      </w:pPr>
    </w:p>
    <w:p w14:paraId="13EF2843" w14:textId="41A309C8" w:rsidR="00E43B8B" w:rsidRPr="00777124" w:rsidRDefault="00E43B8B" w:rsidP="00E43B8B">
      <w:pPr>
        <w:rPr>
          <w:rFonts w:eastAsia="SimSun"/>
          <w:szCs w:val="24"/>
        </w:rPr>
      </w:pPr>
      <w:r w:rsidRPr="00777124">
        <w:rPr>
          <w:rFonts w:eastAsia="SimSun"/>
          <w:szCs w:val="24"/>
        </w:rPr>
        <w:t xml:space="preserve">Оценка трансплантационного риска проводится не более чем за 10 дней до начала предтрансплантационного кондиционирования </w:t>
      </w:r>
      <w:r w:rsidRPr="00777124">
        <w:rPr>
          <w:rFonts w:eastAsia="SimSun"/>
          <w:szCs w:val="24"/>
        </w:rPr>
        <w:fldChar w:fldCharType="begin" w:fldLock="1"/>
      </w:r>
      <w:r w:rsidR="00F040F8">
        <w:rPr>
          <w:rFonts w:eastAsia="SimSun"/>
          <w:szCs w:val="24"/>
        </w:rPr>
        <w:instrText>ADDIN CSL_CITATION {"citationItems":[{"id":"ITEM-1","itemData":{"DOI":"10.1038/bmt.2011.110","ISSN":"02683369","PMID":"21643021","abstract":"The European Group for Blood and Marrow Transplantation (EBMT) risk score provides a simple tool to assess instantly chances and risks of hematopoietic SCT(HSCT) for an individual patient pre-transplant. Five factors, age of the patient, stage of the disease, time from diagnosis, donor type and donor recipient gender combination augment risk for an individual patient with increasing score from 0 as best to 7 as worst in an additive way. The score holds for all acquired hematological disorders, for allogeneic and autologous HSCT (score 0-5), is independent of the HSCT technology and is valid for standard or reduced intensity conditioning. Survival is uniformly worse for older patients, transplanted in advanced disease stage after a long-time interval and with a mismatched donor than for younger patients, transplanted soon in early stage with a well matched donor. Additional risk factors such as performance score, CMV serostatus or cytokine polymorphisms improve prediction but to different extents for low or high-risk patients. Comparative assessment of disease risk and global pre-transplant risk should guide decisions for each patient with his/her specific disease between HSCT and a non-transplant approach and replace the traditional 'donor vs no donor' with such a risk-adapted individualized strategy. © 2012 Macmillan Publishers Limited All rights reserved.","author":[{"dropping-particle":"","family":"Gratwohl","given":"A.","non-dropping-particle":"","parse-names":false,"suffix":""}],"container-title":"Bone Marrow Transplantation","id":"ITEM-1","issue":"6","issued":{"date-parts":[["2012","6","6"]]},"page":"749-756","publisher":"Nature Publishing Group","title":"The EBMT risk score","type":"article","volume":"47"},"uris":["http://www.mendeley.com/documents/?uuid=0e80be56-8f6f-3249-9016-dc0bcc819af7"]}],"mendeley":{"formattedCitation":"[213]","plainTextFormattedCitation":"[213]","previouslyFormattedCitation":"[213]"},"properties":{"noteIndex":0},"schema":"https://github.com/citation-style-language/schema/raw/master/csl-citation.json"}</w:instrText>
      </w:r>
      <w:r w:rsidRPr="00777124">
        <w:rPr>
          <w:rFonts w:eastAsia="SimSun"/>
          <w:szCs w:val="24"/>
        </w:rPr>
        <w:fldChar w:fldCharType="separate"/>
      </w:r>
      <w:r w:rsidR="005C0C1F" w:rsidRPr="005C0C1F">
        <w:rPr>
          <w:rFonts w:eastAsia="SimSun"/>
          <w:noProof/>
          <w:szCs w:val="24"/>
        </w:rPr>
        <w:t>[213]</w:t>
      </w:r>
      <w:r w:rsidRPr="00777124">
        <w:rPr>
          <w:rFonts w:eastAsia="SimSun"/>
          <w:szCs w:val="24"/>
        </w:rPr>
        <w:fldChar w:fldCharType="end"/>
      </w:r>
      <w:r w:rsidRPr="00777124">
        <w:rPr>
          <w:rFonts w:eastAsia="SimSun"/>
          <w:szCs w:val="24"/>
        </w:rPr>
        <w:t>.</w:t>
      </w:r>
    </w:p>
    <w:p w14:paraId="58E848E3" w14:textId="77777777" w:rsidR="00E43B8B" w:rsidRPr="00777124" w:rsidRDefault="00E43B8B" w:rsidP="00E43B8B">
      <w:pPr>
        <w:tabs>
          <w:tab w:val="left" w:pos="567"/>
        </w:tabs>
        <w:spacing w:line="240" w:lineRule="auto"/>
        <w:rPr>
          <w:rFonts w:eastAsia="SimSun"/>
          <w:b/>
          <w:szCs w:val="24"/>
        </w:rPr>
      </w:pPr>
    </w:p>
    <w:tbl>
      <w:tblPr>
        <w:tblW w:w="10709"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820"/>
        <w:gridCol w:w="4060"/>
        <w:gridCol w:w="1829"/>
      </w:tblGrid>
      <w:tr w:rsidR="00E43B8B" w:rsidRPr="00777124" w14:paraId="746EE387" w14:textId="77777777" w:rsidTr="000F2ADC">
        <w:trPr>
          <w:trHeight w:val="374"/>
        </w:trPr>
        <w:tc>
          <w:tcPr>
            <w:tcW w:w="4820" w:type="dxa"/>
          </w:tcPr>
          <w:p w14:paraId="62410F4B" w14:textId="77777777" w:rsidR="00E43B8B" w:rsidRPr="00777124" w:rsidRDefault="00E43B8B" w:rsidP="002D3EBF">
            <w:pPr>
              <w:pStyle w:val="table-head-left"/>
              <w:rPr>
                <w:kern w:val="2"/>
                <w:szCs w:val="24"/>
                <w:lang w:eastAsia="zh-CN" w:bidi="hi-IN"/>
              </w:rPr>
            </w:pPr>
            <w:r w:rsidRPr="00777124">
              <w:rPr>
                <w:kern w:val="2"/>
                <w:szCs w:val="24"/>
                <w:lang w:eastAsia="zh-CN" w:bidi="hi-IN"/>
              </w:rPr>
              <w:t>Факторы риска</w:t>
            </w:r>
          </w:p>
        </w:tc>
        <w:tc>
          <w:tcPr>
            <w:tcW w:w="4060" w:type="dxa"/>
          </w:tcPr>
          <w:p w14:paraId="74F4A07C" w14:textId="77777777" w:rsidR="00E43B8B" w:rsidRPr="00777124" w:rsidRDefault="00E43B8B" w:rsidP="002D3EBF">
            <w:pPr>
              <w:pStyle w:val="table-head-left"/>
              <w:rPr>
                <w:kern w:val="2"/>
                <w:szCs w:val="24"/>
                <w:lang w:eastAsia="zh-CN" w:bidi="hi-IN"/>
              </w:rPr>
            </w:pPr>
            <w:r w:rsidRPr="00777124">
              <w:rPr>
                <w:bCs/>
                <w:kern w:val="2"/>
                <w:szCs w:val="24"/>
                <w:lang w:eastAsia="zh-CN" w:bidi="hi-IN"/>
              </w:rPr>
              <w:t>Характеристика факторов риска</w:t>
            </w:r>
          </w:p>
        </w:tc>
        <w:tc>
          <w:tcPr>
            <w:tcW w:w="1829" w:type="dxa"/>
          </w:tcPr>
          <w:p w14:paraId="67BDB8FE" w14:textId="77777777" w:rsidR="00E43B8B" w:rsidRPr="00777124" w:rsidRDefault="00E43B8B" w:rsidP="002D3EBF">
            <w:pPr>
              <w:pStyle w:val="table-head-left"/>
              <w:rPr>
                <w:kern w:val="2"/>
                <w:szCs w:val="24"/>
                <w:lang w:eastAsia="zh-CN" w:bidi="hi-IN"/>
              </w:rPr>
            </w:pPr>
            <w:r w:rsidRPr="00777124">
              <w:rPr>
                <w:bCs/>
                <w:kern w:val="2"/>
                <w:szCs w:val="24"/>
                <w:lang w:eastAsia="zh-CN" w:bidi="hi-IN"/>
              </w:rPr>
              <w:t>Баллы</w:t>
            </w:r>
          </w:p>
        </w:tc>
      </w:tr>
      <w:tr w:rsidR="00E43B8B" w:rsidRPr="00777124" w14:paraId="5531A9F2" w14:textId="77777777" w:rsidTr="000F2ADC">
        <w:trPr>
          <w:trHeight w:val="258"/>
        </w:trPr>
        <w:tc>
          <w:tcPr>
            <w:tcW w:w="4820" w:type="dxa"/>
            <w:vMerge w:val="restart"/>
          </w:tcPr>
          <w:p w14:paraId="5D1BAA87" w14:textId="77777777" w:rsidR="00E43B8B" w:rsidRPr="00777124" w:rsidRDefault="00E43B8B" w:rsidP="002D3EBF">
            <w:pPr>
              <w:pStyle w:val="table-text-0"/>
              <w:rPr>
                <w:kern w:val="2"/>
                <w:sz w:val="24"/>
                <w:szCs w:val="24"/>
                <w:lang w:eastAsia="zh-CN" w:bidi="hi-IN"/>
              </w:rPr>
            </w:pPr>
            <w:r w:rsidRPr="00777124">
              <w:rPr>
                <w:kern w:val="2"/>
                <w:sz w:val="24"/>
                <w:szCs w:val="24"/>
                <w:lang w:eastAsia="zh-CN" w:bidi="hi-IN"/>
              </w:rPr>
              <w:t>Возраст</w:t>
            </w:r>
          </w:p>
        </w:tc>
        <w:tc>
          <w:tcPr>
            <w:tcW w:w="4060" w:type="dxa"/>
          </w:tcPr>
          <w:p w14:paraId="0969D9E2" w14:textId="77777777" w:rsidR="00E43B8B" w:rsidRPr="00777124" w:rsidRDefault="00E43B8B" w:rsidP="002D3EBF">
            <w:pPr>
              <w:pStyle w:val="table-text-0"/>
              <w:rPr>
                <w:kern w:val="2"/>
                <w:sz w:val="24"/>
                <w:szCs w:val="24"/>
                <w:lang w:eastAsia="zh-CN" w:bidi="hi-IN"/>
              </w:rPr>
            </w:pPr>
            <w:r w:rsidRPr="00777124">
              <w:rPr>
                <w:kern w:val="2"/>
                <w:sz w:val="24"/>
                <w:szCs w:val="24"/>
                <w:lang w:eastAsia="zh-CN" w:bidi="hi-IN"/>
              </w:rPr>
              <w:t xml:space="preserve">&lt; 20 лет </w:t>
            </w:r>
          </w:p>
        </w:tc>
        <w:tc>
          <w:tcPr>
            <w:tcW w:w="1829" w:type="dxa"/>
          </w:tcPr>
          <w:p w14:paraId="3CD8689A" w14:textId="77777777" w:rsidR="00E43B8B" w:rsidRPr="00777124" w:rsidRDefault="00E43B8B" w:rsidP="002D3EBF">
            <w:pPr>
              <w:pStyle w:val="table-text-0"/>
              <w:rPr>
                <w:kern w:val="2"/>
                <w:sz w:val="24"/>
                <w:szCs w:val="24"/>
                <w:lang w:eastAsia="zh-CN" w:bidi="hi-IN"/>
              </w:rPr>
            </w:pPr>
            <w:r w:rsidRPr="00777124">
              <w:rPr>
                <w:kern w:val="2"/>
                <w:sz w:val="24"/>
                <w:szCs w:val="24"/>
                <w:lang w:eastAsia="zh-CN" w:bidi="hi-IN"/>
              </w:rPr>
              <w:t>0</w:t>
            </w:r>
          </w:p>
        </w:tc>
      </w:tr>
      <w:tr w:rsidR="00E43B8B" w:rsidRPr="00777124" w14:paraId="0C6B8A71" w14:textId="77777777" w:rsidTr="000F2ADC">
        <w:trPr>
          <w:trHeight w:val="107"/>
        </w:trPr>
        <w:tc>
          <w:tcPr>
            <w:tcW w:w="4820" w:type="dxa"/>
            <w:vMerge/>
          </w:tcPr>
          <w:p w14:paraId="6D51861F" w14:textId="77777777" w:rsidR="00E43B8B" w:rsidRPr="00777124" w:rsidRDefault="00E43B8B" w:rsidP="002D3EBF">
            <w:pPr>
              <w:pStyle w:val="table-text-0"/>
              <w:rPr>
                <w:kern w:val="2"/>
                <w:sz w:val="24"/>
                <w:szCs w:val="24"/>
                <w:lang w:eastAsia="zh-CN" w:bidi="hi-IN"/>
              </w:rPr>
            </w:pPr>
          </w:p>
        </w:tc>
        <w:tc>
          <w:tcPr>
            <w:tcW w:w="4060" w:type="dxa"/>
          </w:tcPr>
          <w:p w14:paraId="6B9351F7" w14:textId="77777777" w:rsidR="00E43B8B" w:rsidRPr="00777124" w:rsidRDefault="00E43B8B" w:rsidP="002D3EBF">
            <w:pPr>
              <w:pStyle w:val="table-text-0"/>
              <w:rPr>
                <w:kern w:val="2"/>
                <w:sz w:val="24"/>
                <w:szCs w:val="24"/>
                <w:lang w:eastAsia="zh-CN" w:bidi="hi-IN"/>
              </w:rPr>
            </w:pPr>
            <w:r w:rsidRPr="00777124">
              <w:rPr>
                <w:kern w:val="2"/>
                <w:sz w:val="24"/>
                <w:szCs w:val="24"/>
                <w:lang w:eastAsia="zh-CN" w:bidi="hi-IN"/>
              </w:rPr>
              <w:t>20–40 лет</w:t>
            </w:r>
          </w:p>
        </w:tc>
        <w:tc>
          <w:tcPr>
            <w:tcW w:w="1829" w:type="dxa"/>
          </w:tcPr>
          <w:p w14:paraId="0DBC5091" w14:textId="77777777" w:rsidR="00E43B8B" w:rsidRPr="00777124" w:rsidRDefault="00E43B8B" w:rsidP="002D3EBF">
            <w:pPr>
              <w:pStyle w:val="table-text-0"/>
              <w:rPr>
                <w:kern w:val="2"/>
                <w:sz w:val="24"/>
                <w:szCs w:val="24"/>
                <w:lang w:eastAsia="zh-CN" w:bidi="hi-IN"/>
              </w:rPr>
            </w:pPr>
            <w:r w:rsidRPr="00777124">
              <w:rPr>
                <w:kern w:val="2"/>
                <w:sz w:val="24"/>
                <w:szCs w:val="24"/>
                <w:lang w:eastAsia="zh-CN" w:bidi="hi-IN"/>
              </w:rPr>
              <w:t>1</w:t>
            </w:r>
          </w:p>
        </w:tc>
      </w:tr>
      <w:tr w:rsidR="00E43B8B" w:rsidRPr="00777124" w14:paraId="4341F60E" w14:textId="77777777" w:rsidTr="000F2ADC">
        <w:trPr>
          <w:trHeight w:val="107"/>
        </w:trPr>
        <w:tc>
          <w:tcPr>
            <w:tcW w:w="4820" w:type="dxa"/>
            <w:vMerge/>
          </w:tcPr>
          <w:p w14:paraId="14AADAA2" w14:textId="77777777" w:rsidR="00E43B8B" w:rsidRPr="00777124" w:rsidRDefault="00E43B8B" w:rsidP="002D3EBF">
            <w:pPr>
              <w:pStyle w:val="table-text-0"/>
              <w:rPr>
                <w:kern w:val="2"/>
                <w:sz w:val="24"/>
                <w:szCs w:val="24"/>
                <w:lang w:eastAsia="zh-CN" w:bidi="hi-IN"/>
              </w:rPr>
            </w:pPr>
          </w:p>
        </w:tc>
        <w:tc>
          <w:tcPr>
            <w:tcW w:w="4060" w:type="dxa"/>
          </w:tcPr>
          <w:p w14:paraId="79923A8F" w14:textId="77777777" w:rsidR="00E43B8B" w:rsidRPr="00777124" w:rsidRDefault="00E43B8B" w:rsidP="002D3EBF">
            <w:pPr>
              <w:pStyle w:val="table-text-0"/>
              <w:rPr>
                <w:kern w:val="2"/>
                <w:sz w:val="24"/>
                <w:szCs w:val="24"/>
                <w:lang w:eastAsia="zh-CN" w:bidi="hi-IN"/>
              </w:rPr>
            </w:pPr>
            <w:r w:rsidRPr="00777124">
              <w:rPr>
                <w:kern w:val="2"/>
                <w:sz w:val="24"/>
                <w:szCs w:val="24"/>
                <w:lang w:eastAsia="zh-CN" w:bidi="hi-IN"/>
              </w:rPr>
              <w:t>&gt; 40 лет</w:t>
            </w:r>
          </w:p>
        </w:tc>
        <w:tc>
          <w:tcPr>
            <w:tcW w:w="1829" w:type="dxa"/>
          </w:tcPr>
          <w:p w14:paraId="79DD8B9D" w14:textId="77777777" w:rsidR="00E43B8B" w:rsidRPr="00777124" w:rsidRDefault="00E43B8B" w:rsidP="002D3EBF">
            <w:pPr>
              <w:pStyle w:val="table-text-0"/>
              <w:rPr>
                <w:kern w:val="2"/>
                <w:sz w:val="24"/>
                <w:szCs w:val="24"/>
                <w:lang w:eastAsia="zh-CN" w:bidi="hi-IN"/>
              </w:rPr>
            </w:pPr>
            <w:r w:rsidRPr="00777124">
              <w:rPr>
                <w:kern w:val="2"/>
                <w:sz w:val="24"/>
                <w:szCs w:val="24"/>
                <w:lang w:eastAsia="zh-CN" w:bidi="hi-IN"/>
              </w:rPr>
              <w:t>2</w:t>
            </w:r>
          </w:p>
        </w:tc>
      </w:tr>
      <w:tr w:rsidR="00E43B8B" w:rsidRPr="00777124" w14:paraId="23748A00" w14:textId="77777777" w:rsidTr="000F2ADC">
        <w:trPr>
          <w:trHeight w:val="258"/>
        </w:trPr>
        <w:tc>
          <w:tcPr>
            <w:tcW w:w="4820" w:type="dxa"/>
            <w:vMerge w:val="restart"/>
          </w:tcPr>
          <w:p w14:paraId="54893FD7" w14:textId="77777777" w:rsidR="00E43B8B" w:rsidRPr="00777124" w:rsidRDefault="00E43B8B" w:rsidP="002D3EBF">
            <w:pPr>
              <w:pStyle w:val="table-text-0"/>
              <w:rPr>
                <w:kern w:val="2"/>
                <w:sz w:val="24"/>
                <w:szCs w:val="24"/>
                <w:lang w:eastAsia="zh-CN" w:bidi="hi-IN"/>
              </w:rPr>
            </w:pPr>
            <w:r w:rsidRPr="00777124">
              <w:rPr>
                <w:kern w:val="2"/>
                <w:sz w:val="24"/>
                <w:szCs w:val="24"/>
                <w:lang w:eastAsia="zh-CN" w:bidi="hi-IN"/>
              </w:rPr>
              <w:t>Статус заболевания</w:t>
            </w:r>
            <w:r w:rsidRPr="00777124">
              <w:rPr>
                <w:kern w:val="2"/>
                <w:sz w:val="24"/>
                <w:szCs w:val="24"/>
                <w:vertAlign w:val="superscript"/>
                <w:lang w:eastAsia="zh-CN" w:bidi="hi-IN"/>
              </w:rPr>
              <w:t>1</w:t>
            </w:r>
          </w:p>
        </w:tc>
        <w:tc>
          <w:tcPr>
            <w:tcW w:w="4060" w:type="dxa"/>
          </w:tcPr>
          <w:p w14:paraId="30630342" w14:textId="77777777" w:rsidR="00E43B8B" w:rsidRPr="00777124" w:rsidRDefault="00E43B8B" w:rsidP="002D3EBF">
            <w:pPr>
              <w:pStyle w:val="table-text-0"/>
              <w:rPr>
                <w:kern w:val="2"/>
                <w:sz w:val="24"/>
                <w:szCs w:val="24"/>
                <w:lang w:eastAsia="zh-CN" w:bidi="hi-IN"/>
              </w:rPr>
            </w:pPr>
            <w:r w:rsidRPr="00777124">
              <w:rPr>
                <w:kern w:val="2"/>
                <w:sz w:val="24"/>
                <w:szCs w:val="24"/>
                <w:lang w:eastAsia="zh-CN" w:bidi="hi-IN"/>
              </w:rPr>
              <w:t>Ранний</w:t>
            </w:r>
          </w:p>
        </w:tc>
        <w:tc>
          <w:tcPr>
            <w:tcW w:w="1829" w:type="dxa"/>
          </w:tcPr>
          <w:p w14:paraId="6180C0E2" w14:textId="77777777" w:rsidR="00E43B8B" w:rsidRPr="00777124" w:rsidRDefault="00E43B8B" w:rsidP="002D3EBF">
            <w:pPr>
              <w:pStyle w:val="table-text-0"/>
              <w:rPr>
                <w:kern w:val="2"/>
                <w:sz w:val="24"/>
                <w:szCs w:val="24"/>
                <w:lang w:eastAsia="zh-CN" w:bidi="hi-IN"/>
              </w:rPr>
            </w:pPr>
            <w:r w:rsidRPr="00777124">
              <w:rPr>
                <w:kern w:val="2"/>
                <w:sz w:val="24"/>
                <w:szCs w:val="24"/>
                <w:lang w:eastAsia="zh-CN" w:bidi="hi-IN"/>
              </w:rPr>
              <w:t>0</w:t>
            </w:r>
          </w:p>
        </w:tc>
      </w:tr>
      <w:tr w:rsidR="00E43B8B" w:rsidRPr="00777124" w14:paraId="3AB6F161" w14:textId="77777777" w:rsidTr="000F2ADC">
        <w:trPr>
          <w:trHeight w:val="107"/>
        </w:trPr>
        <w:tc>
          <w:tcPr>
            <w:tcW w:w="4820" w:type="dxa"/>
            <w:vMerge/>
          </w:tcPr>
          <w:p w14:paraId="48DEEB0E" w14:textId="77777777" w:rsidR="00E43B8B" w:rsidRPr="00777124" w:rsidRDefault="00E43B8B" w:rsidP="002D3EBF">
            <w:pPr>
              <w:pStyle w:val="table-text-0"/>
              <w:rPr>
                <w:kern w:val="2"/>
                <w:sz w:val="24"/>
                <w:szCs w:val="24"/>
                <w:lang w:eastAsia="zh-CN" w:bidi="hi-IN"/>
              </w:rPr>
            </w:pPr>
          </w:p>
        </w:tc>
        <w:tc>
          <w:tcPr>
            <w:tcW w:w="4060" w:type="dxa"/>
          </w:tcPr>
          <w:p w14:paraId="2AEC55BF" w14:textId="77777777" w:rsidR="00E43B8B" w:rsidRPr="00777124" w:rsidRDefault="00E43B8B" w:rsidP="002D3EBF">
            <w:pPr>
              <w:pStyle w:val="table-text-0"/>
              <w:rPr>
                <w:kern w:val="2"/>
                <w:sz w:val="24"/>
                <w:szCs w:val="24"/>
                <w:lang w:eastAsia="zh-CN" w:bidi="hi-IN"/>
              </w:rPr>
            </w:pPr>
            <w:r w:rsidRPr="00777124">
              <w:rPr>
                <w:kern w:val="2"/>
                <w:sz w:val="24"/>
                <w:szCs w:val="24"/>
                <w:lang w:eastAsia="zh-CN" w:bidi="hi-IN"/>
              </w:rPr>
              <w:t>Промежуточный</w:t>
            </w:r>
          </w:p>
        </w:tc>
        <w:tc>
          <w:tcPr>
            <w:tcW w:w="1829" w:type="dxa"/>
          </w:tcPr>
          <w:p w14:paraId="47A25C2C" w14:textId="77777777" w:rsidR="00E43B8B" w:rsidRPr="00777124" w:rsidRDefault="00E43B8B" w:rsidP="002D3EBF">
            <w:pPr>
              <w:pStyle w:val="table-text-0"/>
              <w:rPr>
                <w:kern w:val="2"/>
                <w:sz w:val="24"/>
                <w:szCs w:val="24"/>
                <w:lang w:eastAsia="zh-CN" w:bidi="hi-IN"/>
              </w:rPr>
            </w:pPr>
            <w:r w:rsidRPr="00777124">
              <w:rPr>
                <w:kern w:val="2"/>
                <w:sz w:val="24"/>
                <w:szCs w:val="24"/>
                <w:lang w:eastAsia="zh-CN" w:bidi="hi-IN"/>
              </w:rPr>
              <w:t>1</w:t>
            </w:r>
          </w:p>
        </w:tc>
      </w:tr>
      <w:tr w:rsidR="00E43B8B" w:rsidRPr="00777124" w14:paraId="50BAE057" w14:textId="77777777" w:rsidTr="000F2ADC">
        <w:trPr>
          <w:trHeight w:val="107"/>
        </w:trPr>
        <w:tc>
          <w:tcPr>
            <w:tcW w:w="4820" w:type="dxa"/>
            <w:vMerge/>
          </w:tcPr>
          <w:p w14:paraId="1756F793" w14:textId="77777777" w:rsidR="00E43B8B" w:rsidRPr="00777124" w:rsidRDefault="00E43B8B" w:rsidP="002D3EBF">
            <w:pPr>
              <w:pStyle w:val="table-text-0"/>
              <w:rPr>
                <w:kern w:val="2"/>
                <w:sz w:val="24"/>
                <w:szCs w:val="24"/>
                <w:lang w:eastAsia="zh-CN" w:bidi="hi-IN"/>
              </w:rPr>
            </w:pPr>
          </w:p>
        </w:tc>
        <w:tc>
          <w:tcPr>
            <w:tcW w:w="4060" w:type="dxa"/>
          </w:tcPr>
          <w:p w14:paraId="7E647400" w14:textId="77777777" w:rsidR="00E43B8B" w:rsidRPr="00777124" w:rsidRDefault="00E43B8B" w:rsidP="002D3EBF">
            <w:pPr>
              <w:pStyle w:val="table-text-0"/>
              <w:rPr>
                <w:kern w:val="2"/>
                <w:sz w:val="24"/>
                <w:szCs w:val="24"/>
                <w:lang w:eastAsia="zh-CN" w:bidi="hi-IN"/>
              </w:rPr>
            </w:pPr>
            <w:r w:rsidRPr="00777124">
              <w:rPr>
                <w:kern w:val="2"/>
                <w:sz w:val="24"/>
                <w:szCs w:val="24"/>
                <w:lang w:eastAsia="zh-CN" w:bidi="hi-IN"/>
              </w:rPr>
              <w:t>Развернутый</w:t>
            </w:r>
          </w:p>
        </w:tc>
        <w:tc>
          <w:tcPr>
            <w:tcW w:w="1829" w:type="dxa"/>
          </w:tcPr>
          <w:p w14:paraId="6EC32DA4" w14:textId="77777777" w:rsidR="00E43B8B" w:rsidRPr="00777124" w:rsidRDefault="00E43B8B" w:rsidP="002D3EBF">
            <w:pPr>
              <w:pStyle w:val="table-text-0"/>
              <w:rPr>
                <w:kern w:val="2"/>
                <w:sz w:val="24"/>
                <w:szCs w:val="24"/>
                <w:lang w:eastAsia="zh-CN" w:bidi="hi-IN"/>
              </w:rPr>
            </w:pPr>
            <w:r w:rsidRPr="00777124">
              <w:rPr>
                <w:kern w:val="2"/>
                <w:sz w:val="24"/>
                <w:szCs w:val="24"/>
                <w:lang w:eastAsia="zh-CN" w:bidi="hi-IN"/>
              </w:rPr>
              <w:t>2</w:t>
            </w:r>
          </w:p>
        </w:tc>
      </w:tr>
      <w:tr w:rsidR="00E43B8B" w:rsidRPr="00777124" w14:paraId="3234BEEE" w14:textId="77777777" w:rsidTr="000F2ADC">
        <w:trPr>
          <w:trHeight w:val="258"/>
        </w:trPr>
        <w:tc>
          <w:tcPr>
            <w:tcW w:w="4820" w:type="dxa"/>
            <w:vMerge w:val="restart"/>
          </w:tcPr>
          <w:p w14:paraId="2C3D5BDF" w14:textId="77777777" w:rsidR="00E43B8B" w:rsidRPr="000F2ADC" w:rsidRDefault="00E43B8B" w:rsidP="002D3EBF">
            <w:pPr>
              <w:pStyle w:val="table-text-0"/>
              <w:rPr>
                <w:kern w:val="2"/>
                <w:sz w:val="24"/>
                <w:szCs w:val="24"/>
                <w:lang w:val="ru-RU" w:eastAsia="zh-CN" w:bidi="hi-IN"/>
              </w:rPr>
            </w:pPr>
            <w:r w:rsidRPr="000F2ADC">
              <w:rPr>
                <w:kern w:val="2"/>
                <w:sz w:val="24"/>
                <w:szCs w:val="24"/>
                <w:lang w:val="ru-RU" w:eastAsia="zh-CN" w:bidi="hi-IN"/>
              </w:rPr>
              <w:t>Время от постановки диагноза до ТГСК</w:t>
            </w:r>
            <w:r w:rsidRPr="000F2ADC">
              <w:rPr>
                <w:kern w:val="2"/>
                <w:sz w:val="24"/>
                <w:szCs w:val="24"/>
                <w:vertAlign w:val="superscript"/>
                <w:lang w:val="ru-RU" w:eastAsia="zh-CN" w:bidi="hi-IN"/>
              </w:rPr>
              <w:t>2</w:t>
            </w:r>
          </w:p>
        </w:tc>
        <w:tc>
          <w:tcPr>
            <w:tcW w:w="4060" w:type="dxa"/>
          </w:tcPr>
          <w:p w14:paraId="48FA53ED" w14:textId="77777777" w:rsidR="00E43B8B" w:rsidRPr="00777124" w:rsidRDefault="00E43B8B" w:rsidP="002D3EBF">
            <w:pPr>
              <w:pStyle w:val="table-text-0"/>
              <w:rPr>
                <w:kern w:val="2"/>
                <w:sz w:val="24"/>
                <w:szCs w:val="24"/>
                <w:lang w:eastAsia="zh-CN" w:bidi="hi-IN"/>
              </w:rPr>
            </w:pPr>
            <w:r w:rsidRPr="00777124">
              <w:rPr>
                <w:kern w:val="2"/>
                <w:sz w:val="24"/>
                <w:szCs w:val="24"/>
                <w:lang w:eastAsia="zh-CN" w:bidi="hi-IN"/>
              </w:rPr>
              <w:t>&lt; 12 мес</w:t>
            </w:r>
          </w:p>
        </w:tc>
        <w:tc>
          <w:tcPr>
            <w:tcW w:w="1829" w:type="dxa"/>
          </w:tcPr>
          <w:p w14:paraId="467283BD" w14:textId="77777777" w:rsidR="00E43B8B" w:rsidRPr="00777124" w:rsidRDefault="00E43B8B" w:rsidP="002D3EBF">
            <w:pPr>
              <w:pStyle w:val="table-text-0"/>
              <w:rPr>
                <w:kern w:val="2"/>
                <w:sz w:val="24"/>
                <w:szCs w:val="24"/>
                <w:lang w:eastAsia="zh-CN" w:bidi="hi-IN"/>
              </w:rPr>
            </w:pPr>
            <w:r w:rsidRPr="00777124">
              <w:rPr>
                <w:kern w:val="2"/>
                <w:sz w:val="24"/>
                <w:szCs w:val="24"/>
                <w:lang w:eastAsia="zh-CN" w:bidi="hi-IN"/>
              </w:rPr>
              <w:t>0</w:t>
            </w:r>
          </w:p>
        </w:tc>
      </w:tr>
      <w:tr w:rsidR="00E43B8B" w:rsidRPr="00777124" w14:paraId="73BD18B0" w14:textId="77777777" w:rsidTr="000F2ADC">
        <w:trPr>
          <w:trHeight w:val="107"/>
        </w:trPr>
        <w:tc>
          <w:tcPr>
            <w:tcW w:w="4820" w:type="dxa"/>
            <w:vMerge/>
          </w:tcPr>
          <w:p w14:paraId="2C8D7F10" w14:textId="77777777" w:rsidR="00E43B8B" w:rsidRPr="00777124" w:rsidRDefault="00E43B8B" w:rsidP="002D3EBF">
            <w:pPr>
              <w:pStyle w:val="table-text-0"/>
              <w:rPr>
                <w:kern w:val="2"/>
                <w:sz w:val="24"/>
                <w:szCs w:val="24"/>
                <w:lang w:eastAsia="zh-CN" w:bidi="hi-IN"/>
              </w:rPr>
            </w:pPr>
          </w:p>
        </w:tc>
        <w:tc>
          <w:tcPr>
            <w:tcW w:w="4060" w:type="dxa"/>
          </w:tcPr>
          <w:p w14:paraId="4B50510B" w14:textId="77777777" w:rsidR="00E43B8B" w:rsidRPr="00777124" w:rsidRDefault="00E43B8B" w:rsidP="002D3EBF">
            <w:pPr>
              <w:pStyle w:val="table-text-0"/>
              <w:rPr>
                <w:kern w:val="2"/>
                <w:sz w:val="24"/>
                <w:szCs w:val="24"/>
                <w:lang w:eastAsia="zh-CN" w:bidi="hi-IN"/>
              </w:rPr>
            </w:pPr>
            <w:r w:rsidRPr="00777124">
              <w:rPr>
                <w:color w:val="222222"/>
                <w:kern w:val="2"/>
                <w:sz w:val="24"/>
                <w:szCs w:val="24"/>
                <w:lang w:eastAsia="zh-CN" w:bidi="hi-IN"/>
              </w:rPr>
              <w:t>≥ 12 мес</w:t>
            </w:r>
          </w:p>
        </w:tc>
        <w:tc>
          <w:tcPr>
            <w:tcW w:w="1829" w:type="dxa"/>
          </w:tcPr>
          <w:p w14:paraId="6341F0BB" w14:textId="77777777" w:rsidR="00E43B8B" w:rsidRPr="00777124" w:rsidRDefault="00E43B8B" w:rsidP="002D3EBF">
            <w:pPr>
              <w:pStyle w:val="table-text-0"/>
              <w:rPr>
                <w:kern w:val="2"/>
                <w:sz w:val="24"/>
                <w:szCs w:val="24"/>
                <w:lang w:eastAsia="zh-CN" w:bidi="hi-IN"/>
              </w:rPr>
            </w:pPr>
            <w:r w:rsidRPr="00777124">
              <w:rPr>
                <w:kern w:val="2"/>
                <w:sz w:val="24"/>
                <w:szCs w:val="24"/>
                <w:lang w:eastAsia="zh-CN" w:bidi="hi-IN"/>
              </w:rPr>
              <w:t>1</w:t>
            </w:r>
          </w:p>
        </w:tc>
      </w:tr>
      <w:tr w:rsidR="00E43B8B" w:rsidRPr="00777124" w14:paraId="1DD16026" w14:textId="77777777" w:rsidTr="000F2ADC">
        <w:trPr>
          <w:trHeight w:val="232"/>
        </w:trPr>
        <w:tc>
          <w:tcPr>
            <w:tcW w:w="4820" w:type="dxa"/>
            <w:vMerge w:val="restart"/>
          </w:tcPr>
          <w:p w14:paraId="38690136" w14:textId="77777777" w:rsidR="00E43B8B" w:rsidRPr="00777124" w:rsidRDefault="00E43B8B" w:rsidP="002D3EBF">
            <w:pPr>
              <w:pStyle w:val="table-text-0"/>
              <w:rPr>
                <w:kern w:val="2"/>
                <w:sz w:val="24"/>
                <w:szCs w:val="24"/>
                <w:lang w:eastAsia="zh-CN" w:bidi="hi-IN"/>
              </w:rPr>
            </w:pPr>
            <w:r w:rsidRPr="00777124">
              <w:rPr>
                <w:kern w:val="2"/>
                <w:sz w:val="24"/>
                <w:szCs w:val="24"/>
                <w:lang w:eastAsia="zh-CN" w:bidi="hi-IN"/>
              </w:rPr>
              <w:t>Донор</w:t>
            </w:r>
          </w:p>
        </w:tc>
        <w:tc>
          <w:tcPr>
            <w:tcW w:w="4060" w:type="dxa"/>
          </w:tcPr>
          <w:p w14:paraId="2F605666" w14:textId="77777777" w:rsidR="00E43B8B" w:rsidRPr="00777124" w:rsidRDefault="00E43B8B" w:rsidP="002D3EBF">
            <w:pPr>
              <w:pStyle w:val="table-text-0"/>
              <w:rPr>
                <w:kern w:val="2"/>
                <w:sz w:val="24"/>
                <w:szCs w:val="24"/>
                <w:lang w:eastAsia="zh-CN" w:bidi="hi-IN"/>
              </w:rPr>
            </w:pPr>
            <w:r w:rsidRPr="00777124">
              <w:rPr>
                <w:kern w:val="2"/>
                <w:sz w:val="24"/>
                <w:szCs w:val="24"/>
                <w:lang w:eastAsia="zh-CN" w:bidi="hi-IN"/>
              </w:rPr>
              <w:t>HLA-идентичный сиблинг</w:t>
            </w:r>
          </w:p>
        </w:tc>
        <w:tc>
          <w:tcPr>
            <w:tcW w:w="1829" w:type="dxa"/>
          </w:tcPr>
          <w:p w14:paraId="1DDF6278" w14:textId="77777777" w:rsidR="00E43B8B" w:rsidRPr="00777124" w:rsidRDefault="00E43B8B" w:rsidP="002D3EBF">
            <w:pPr>
              <w:pStyle w:val="table-text-0"/>
              <w:rPr>
                <w:kern w:val="2"/>
                <w:sz w:val="24"/>
                <w:szCs w:val="24"/>
                <w:lang w:eastAsia="zh-CN" w:bidi="hi-IN"/>
              </w:rPr>
            </w:pPr>
            <w:r w:rsidRPr="00777124">
              <w:rPr>
                <w:kern w:val="2"/>
                <w:sz w:val="24"/>
                <w:szCs w:val="24"/>
                <w:lang w:eastAsia="zh-CN" w:bidi="hi-IN"/>
              </w:rPr>
              <w:t>0</w:t>
            </w:r>
          </w:p>
        </w:tc>
      </w:tr>
      <w:tr w:rsidR="00E43B8B" w:rsidRPr="00777124" w14:paraId="015A520C" w14:textId="77777777" w:rsidTr="000F2ADC">
        <w:trPr>
          <w:trHeight w:val="107"/>
        </w:trPr>
        <w:tc>
          <w:tcPr>
            <w:tcW w:w="4820" w:type="dxa"/>
            <w:vMerge/>
          </w:tcPr>
          <w:p w14:paraId="04626162" w14:textId="77777777" w:rsidR="00E43B8B" w:rsidRPr="00777124" w:rsidRDefault="00E43B8B" w:rsidP="002D3EBF">
            <w:pPr>
              <w:pStyle w:val="table-text-0"/>
              <w:rPr>
                <w:kern w:val="2"/>
                <w:sz w:val="24"/>
                <w:szCs w:val="24"/>
                <w:lang w:eastAsia="zh-CN" w:bidi="hi-IN"/>
              </w:rPr>
            </w:pPr>
          </w:p>
        </w:tc>
        <w:tc>
          <w:tcPr>
            <w:tcW w:w="4060" w:type="dxa"/>
          </w:tcPr>
          <w:p w14:paraId="4D3E9C55" w14:textId="77777777" w:rsidR="00E43B8B" w:rsidRPr="00777124" w:rsidRDefault="00E43B8B" w:rsidP="002D3EBF">
            <w:pPr>
              <w:pStyle w:val="table-text-0"/>
              <w:rPr>
                <w:kern w:val="2"/>
                <w:sz w:val="24"/>
                <w:szCs w:val="24"/>
                <w:lang w:eastAsia="zh-CN" w:bidi="hi-IN"/>
              </w:rPr>
            </w:pPr>
            <w:r w:rsidRPr="00777124">
              <w:rPr>
                <w:kern w:val="2"/>
                <w:sz w:val="24"/>
                <w:szCs w:val="24"/>
                <w:lang w:eastAsia="zh-CN" w:bidi="hi-IN"/>
              </w:rPr>
              <w:t>Неродственный донор</w:t>
            </w:r>
          </w:p>
        </w:tc>
        <w:tc>
          <w:tcPr>
            <w:tcW w:w="1829" w:type="dxa"/>
          </w:tcPr>
          <w:p w14:paraId="76003767" w14:textId="77777777" w:rsidR="00E43B8B" w:rsidRPr="00777124" w:rsidRDefault="00E43B8B" w:rsidP="002D3EBF">
            <w:pPr>
              <w:pStyle w:val="table-text-0"/>
              <w:rPr>
                <w:kern w:val="2"/>
                <w:sz w:val="24"/>
                <w:szCs w:val="24"/>
                <w:lang w:eastAsia="zh-CN" w:bidi="hi-IN"/>
              </w:rPr>
            </w:pPr>
            <w:r w:rsidRPr="00777124">
              <w:rPr>
                <w:kern w:val="2"/>
                <w:sz w:val="24"/>
                <w:szCs w:val="24"/>
                <w:lang w:eastAsia="zh-CN" w:bidi="hi-IN"/>
              </w:rPr>
              <w:t>1</w:t>
            </w:r>
          </w:p>
        </w:tc>
      </w:tr>
      <w:tr w:rsidR="00E43B8B" w:rsidRPr="00777124" w14:paraId="2E5CD7D6" w14:textId="77777777" w:rsidTr="000F2ADC">
        <w:trPr>
          <w:trHeight w:val="242"/>
        </w:trPr>
        <w:tc>
          <w:tcPr>
            <w:tcW w:w="4820" w:type="dxa"/>
            <w:vMerge w:val="restart"/>
          </w:tcPr>
          <w:p w14:paraId="010A51EE" w14:textId="77777777" w:rsidR="00E43B8B" w:rsidRPr="00777124" w:rsidRDefault="00E43B8B" w:rsidP="002D3EBF">
            <w:pPr>
              <w:pStyle w:val="table-text-0"/>
              <w:rPr>
                <w:kern w:val="2"/>
                <w:sz w:val="24"/>
                <w:szCs w:val="24"/>
                <w:lang w:eastAsia="zh-CN" w:bidi="hi-IN"/>
              </w:rPr>
            </w:pPr>
            <w:r w:rsidRPr="00777124">
              <w:rPr>
                <w:kern w:val="2"/>
                <w:sz w:val="24"/>
                <w:szCs w:val="24"/>
                <w:lang w:eastAsia="zh-CN" w:bidi="hi-IN"/>
              </w:rPr>
              <w:t>Пол донора и реципиента</w:t>
            </w:r>
          </w:p>
        </w:tc>
        <w:tc>
          <w:tcPr>
            <w:tcW w:w="4060" w:type="dxa"/>
          </w:tcPr>
          <w:p w14:paraId="03F5DA74" w14:textId="77777777" w:rsidR="00E43B8B" w:rsidRPr="00777124" w:rsidRDefault="00E43B8B" w:rsidP="002D3EBF">
            <w:pPr>
              <w:pStyle w:val="table-text-0"/>
              <w:rPr>
                <w:kern w:val="2"/>
                <w:sz w:val="24"/>
                <w:szCs w:val="24"/>
                <w:lang w:eastAsia="zh-CN" w:bidi="hi-IN"/>
              </w:rPr>
            </w:pPr>
            <w:r w:rsidRPr="00777124">
              <w:rPr>
                <w:kern w:val="2"/>
                <w:sz w:val="24"/>
                <w:szCs w:val="24"/>
                <w:lang w:eastAsia="zh-CN" w:bidi="hi-IN"/>
              </w:rPr>
              <w:t>Донор — женщина, реципиент —мужчина</w:t>
            </w:r>
          </w:p>
        </w:tc>
        <w:tc>
          <w:tcPr>
            <w:tcW w:w="1829" w:type="dxa"/>
          </w:tcPr>
          <w:p w14:paraId="09CA3B97" w14:textId="77777777" w:rsidR="00E43B8B" w:rsidRPr="00777124" w:rsidRDefault="00E43B8B" w:rsidP="002D3EBF">
            <w:pPr>
              <w:pStyle w:val="table-text-0"/>
              <w:rPr>
                <w:kern w:val="2"/>
                <w:sz w:val="24"/>
                <w:szCs w:val="24"/>
                <w:lang w:eastAsia="zh-CN" w:bidi="hi-IN"/>
              </w:rPr>
            </w:pPr>
            <w:r w:rsidRPr="00777124">
              <w:rPr>
                <w:kern w:val="2"/>
                <w:sz w:val="24"/>
                <w:szCs w:val="24"/>
                <w:lang w:eastAsia="zh-CN" w:bidi="hi-IN"/>
              </w:rPr>
              <w:t>1</w:t>
            </w:r>
          </w:p>
        </w:tc>
      </w:tr>
      <w:tr w:rsidR="00E43B8B" w:rsidRPr="00777124" w14:paraId="41A6EF43" w14:textId="77777777" w:rsidTr="000F2ADC">
        <w:trPr>
          <w:trHeight w:val="107"/>
        </w:trPr>
        <w:tc>
          <w:tcPr>
            <w:tcW w:w="4820" w:type="dxa"/>
            <w:vMerge/>
          </w:tcPr>
          <w:p w14:paraId="3AD0EE2A" w14:textId="77777777" w:rsidR="00E43B8B" w:rsidRPr="00777124" w:rsidRDefault="00E43B8B" w:rsidP="002D3EBF">
            <w:pPr>
              <w:pStyle w:val="table-text-0"/>
              <w:rPr>
                <w:kern w:val="2"/>
                <w:sz w:val="24"/>
                <w:szCs w:val="24"/>
                <w:lang w:eastAsia="zh-CN" w:bidi="hi-IN"/>
              </w:rPr>
            </w:pPr>
          </w:p>
        </w:tc>
        <w:tc>
          <w:tcPr>
            <w:tcW w:w="4060" w:type="dxa"/>
          </w:tcPr>
          <w:p w14:paraId="7C4D99EF" w14:textId="77777777" w:rsidR="00E43B8B" w:rsidRPr="00777124" w:rsidRDefault="00E43B8B" w:rsidP="002D3EBF">
            <w:pPr>
              <w:pStyle w:val="table-text-0"/>
              <w:rPr>
                <w:kern w:val="2"/>
                <w:sz w:val="24"/>
                <w:szCs w:val="24"/>
                <w:lang w:eastAsia="zh-CN" w:bidi="hi-IN"/>
              </w:rPr>
            </w:pPr>
            <w:r w:rsidRPr="00777124">
              <w:rPr>
                <w:kern w:val="2"/>
                <w:sz w:val="24"/>
                <w:szCs w:val="24"/>
                <w:lang w:eastAsia="zh-CN" w:bidi="hi-IN"/>
              </w:rPr>
              <w:t>Другие сочетания</w:t>
            </w:r>
          </w:p>
        </w:tc>
        <w:tc>
          <w:tcPr>
            <w:tcW w:w="1829" w:type="dxa"/>
          </w:tcPr>
          <w:p w14:paraId="481751B9" w14:textId="77777777" w:rsidR="00E43B8B" w:rsidRPr="00777124" w:rsidRDefault="00E43B8B" w:rsidP="002D3EBF">
            <w:pPr>
              <w:pStyle w:val="table-text-0"/>
              <w:rPr>
                <w:kern w:val="2"/>
                <w:sz w:val="24"/>
                <w:szCs w:val="24"/>
                <w:lang w:eastAsia="zh-CN" w:bidi="hi-IN"/>
              </w:rPr>
            </w:pPr>
            <w:r w:rsidRPr="00777124">
              <w:rPr>
                <w:kern w:val="2"/>
                <w:sz w:val="24"/>
                <w:szCs w:val="24"/>
                <w:lang w:eastAsia="zh-CN" w:bidi="hi-IN"/>
              </w:rPr>
              <w:t>0</w:t>
            </w:r>
          </w:p>
        </w:tc>
      </w:tr>
      <w:tr w:rsidR="00E43B8B" w:rsidRPr="00777124" w14:paraId="293FA6D2" w14:textId="77777777" w:rsidTr="000F2ADC">
        <w:trPr>
          <w:trHeight w:val="107"/>
        </w:trPr>
        <w:tc>
          <w:tcPr>
            <w:tcW w:w="10709" w:type="dxa"/>
            <w:gridSpan w:val="3"/>
          </w:tcPr>
          <w:p w14:paraId="3C35BB00" w14:textId="77777777" w:rsidR="00E43B8B" w:rsidRPr="00777124" w:rsidRDefault="00E43B8B" w:rsidP="002D3EBF">
            <w:pPr>
              <w:pStyle w:val="table-ref"/>
              <w:rPr>
                <w:rFonts w:eastAsia="SimSun"/>
                <w:sz w:val="24"/>
                <w:szCs w:val="24"/>
              </w:rPr>
            </w:pPr>
            <w:r w:rsidRPr="00777124">
              <w:rPr>
                <w:rFonts w:eastAsia="SimSun"/>
                <w:sz w:val="24"/>
                <w:szCs w:val="24"/>
                <w:vertAlign w:val="superscript"/>
              </w:rPr>
              <w:t>1</w:t>
            </w:r>
            <w:r w:rsidRPr="00777124">
              <w:rPr>
                <w:rFonts w:eastAsia="SimSun"/>
                <w:sz w:val="24"/>
                <w:szCs w:val="24"/>
              </w:rPr>
              <w:t xml:space="preserve"> Не применяется у пациентов с АА. </w:t>
            </w:r>
          </w:p>
          <w:p w14:paraId="7453CAC9" w14:textId="77777777" w:rsidR="00E43B8B" w:rsidRPr="00777124" w:rsidRDefault="00E43B8B" w:rsidP="002D3EBF">
            <w:pPr>
              <w:pStyle w:val="table-ref"/>
              <w:rPr>
                <w:rFonts w:eastAsia="SimSun"/>
                <w:sz w:val="24"/>
                <w:szCs w:val="24"/>
              </w:rPr>
            </w:pPr>
            <w:r w:rsidRPr="00777124">
              <w:rPr>
                <w:rFonts w:eastAsia="SimSun"/>
                <w:sz w:val="24"/>
                <w:szCs w:val="24"/>
              </w:rPr>
              <w:t>Ранний — острый лейкоз в ПР1; МДС в ПР1 или без предшествующего лечения; ХМЛ в 1 хронической фазе; НХЛ нелеченная или в ПР1; ММ нелеченная или в ПР1.</w:t>
            </w:r>
          </w:p>
          <w:p w14:paraId="4D976E6A" w14:textId="77777777" w:rsidR="00E43B8B" w:rsidRPr="00777124" w:rsidRDefault="00E43B8B" w:rsidP="002D3EBF">
            <w:pPr>
              <w:pStyle w:val="table-ref"/>
              <w:rPr>
                <w:rFonts w:eastAsia="SimSun"/>
                <w:sz w:val="24"/>
                <w:szCs w:val="24"/>
              </w:rPr>
            </w:pPr>
            <w:r w:rsidRPr="00777124">
              <w:rPr>
                <w:rFonts w:eastAsia="SimSun"/>
                <w:sz w:val="24"/>
                <w:szCs w:val="24"/>
              </w:rPr>
              <w:t>Промежуточный — острый лейкоз в ПР2; ХМЛ за исключением хронической фазы 1 и БК; МДС в ПР2 или ЧР; НХЛ в ПР2, ЧР или стабилизация заболевания; ММ в ПР2, ЧР или стабилизация заболевания.</w:t>
            </w:r>
          </w:p>
          <w:p w14:paraId="4573B9D7" w14:textId="77777777" w:rsidR="00E43B8B" w:rsidRPr="00777124" w:rsidRDefault="00E43B8B" w:rsidP="002D3EBF">
            <w:pPr>
              <w:pStyle w:val="table-ref"/>
              <w:rPr>
                <w:rFonts w:eastAsia="SimSun"/>
                <w:sz w:val="24"/>
                <w:szCs w:val="24"/>
              </w:rPr>
            </w:pPr>
            <w:r w:rsidRPr="00777124">
              <w:rPr>
                <w:rFonts w:eastAsia="SimSun"/>
                <w:sz w:val="24"/>
                <w:szCs w:val="24"/>
              </w:rPr>
              <w:t>Развернутый — острый лейкоз в других стадиях кроме ПР1 и ПР2; ХМЛ в БК; МДС во всех других стадиях; НХЛ во всех других стадиях; ММ во всех других стадиях.</w:t>
            </w:r>
          </w:p>
          <w:p w14:paraId="03AD4513" w14:textId="77777777" w:rsidR="00E43B8B" w:rsidRPr="00777124" w:rsidRDefault="00E43B8B" w:rsidP="002D3EBF">
            <w:pPr>
              <w:pStyle w:val="table-ref"/>
              <w:rPr>
                <w:rFonts w:eastAsia="SimSun"/>
                <w:sz w:val="24"/>
                <w:szCs w:val="24"/>
              </w:rPr>
            </w:pPr>
            <w:r w:rsidRPr="00777124">
              <w:rPr>
                <w:rFonts w:eastAsia="SimSun"/>
                <w:sz w:val="24"/>
                <w:szCs w:val="24"/>
                <w:vertAlign w:val="superscript"/>
              </w:rPr>
              <w:t>2</w:t>
            </w:r>
            <w:r w:rsidRPr="00777124">
              <w:rPr>
                <w:rFonts w:eastAsia="SimSun"/>
                <w:sz w:val="24"/>
                <w:szCs w:val="24"/>
              </w:rPr>
              <w:t xml:space="preserve"> Не применяется у пациентов в ПР1.</w:t>
            </w:r>
          </w:p>
        </w:tc>
      </w:tr>
    </w:tbl>
    <w:p w14:paraId="09EF939E" w14:textId="77777777" w:rsidR="00E43B8B" w:rsidRPr="00777124" w:rsidRDefault="00E43B8B" w:rsidP="00E43B8B">
      <w:pPr>
        <w:spacing w:line="240" w:lineRule="auto"/>
        <w:rPr>
          <w:rFonts w:eastAsia="SimSun"/>
          <w:szCs w:val="24"/>
        </w:rPr>
      </w:pPr>
    </w:p>
    <w:p w14:paraId="46FED942" w14:textId="77777777" w:rsidR="00E43B8B" w:rsidRPr="000F2ADC" w:rsidRDefault="00E43B8B" w:rsidP="000F2ADC">
      <w:pPr>
        <w:pStyle w:val="table-name"/>
        <w:jc w:val="both"/>
        <w:rPr>
          <w:rFonts w:eastAsia="SimSun"/>
          <w:b w:val="0"/>
          <w:bCs w:val="0"/>
          <w:sz w:val="24"/>
          <w:szCs w:val="24"/>
          <w:lang w:val="ru-RU"/>
        </w:rPr>
      </w:pPr>
      <w:r w:rsidRPr="000F2ADC">
        <w:rPr>
          <w:rFonts w:eastAsia="SimSun"/>
          <w:b w:val="0"/>
          <w:bCs w:val="0"/>
          <w:sz w:val="24"/>
          <w:szCs w:val="24"/>
          <w:lang w:val="ru-RU"/>
        </w:rPr>
        <w:t xml:space="preserve">Пятилетняя летальность (%), связанная с трансплантацией, согласно шкале риска </w:t>
      </w:r>
      <w:r w:rsidRPr="000F2ADC">
        <w:rPr>
          <w:rFonts w:eastAsia="SimSun"/>
          <w:b w:val="0"/>
          <w:bCs w:val="0"/>
          <w:sz w:val="24"/>
          <w:szCs w:val="24"/>
        </w:rPr>
        <w:t>EBMT</w:t>
      </w:r>
    </w:p>
    <w:tbl>
      <w:tblPr>
        <w:tblW w:w="10729"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1314"/>
        <w:gridCol w:w="1314"/>
        <w:gridCol w:w="1314"/>
        <w:gridCol w:w="1314"/>
        <w:gridCol w:w="1314"/>
        <w:gridCol w:w="1314"/>
        <w:gridCol w:w="1314"/>
      </w:tblGrid>
      <w:tr w:rsidR="00E43B8B" w:rsidRPr="00777124" w14:paraId="761D5C12" w14:textId="77777777" w:rsidTr="000F2ADC">
        <w:trPr>
          <w:trHeight w:val="360"/>
        </w:trPr>
        <w:tc>
          <w:tcPr>
            <w:tcW w:w="1531" w:type="dxa"/>
          </w:tcPr>
          <w:p w14:paraId="39E1900B" w14:textId="77777777" w:rsidR="00E43B8B" w:rsidRPr="00777124" w:rsidRDefault="00E43B8B" w:rsidP="002D3EBF">
            <w:pPr>
              <w:pStyle w:val="table-head-left"/>
              <w:rPr>
                <w:kern w:val="2"/>
                <w:szCs w:val="24"/>
                <w:lang w:eastAsia="zh-CN" w:bidi="hi-IN"/>
              </w:rPr>
            </w:pPr>
            <w:r w:rsidRPr="00777124">
              <w:rPr>
                <w:kern w:val="2"/>
                <w:szCs w:val="24"/>
                <w:lang w:eastAsia="zh-CN" w:bidi="hi-IN"/>
              </w:rPr>
              <w:t>Баллы</w:t>
            </w:r>
          </w:p>
        </w:tc>
        <w:tc>
          <w:tcPr>
            <w:tcW w:w="1314" w:type="dxa"/>
          </w:tcPr>
          <w:p w14:paraId="1D5FD263" w14:textId="77777777" w:rsidR="00E43B8B" w:rsidRPr="00777124" w:rsidRDefault="00E43B8B" w:rsidP="002D3EBF">
            <w:pPr>
              <w:pStyle w:val="table-head-left"/>
              <w:rPr>
                <w:kern w:val="2"/>
                <w:szCs w:val="24"/>
                <w:lang w:eastAsia="zh-CN" w:bidi="hi-IN"/>
              </w:rPr>
            </w:pPr>
            <w:r w:rsidRPr="00777124">
              <w:rPr>
                <w:kern w:val="2"/>
                <w:szCs w:val="24"/>
                <w:lang w:eastAsia="zh-CN" w:bidi="hi-IN"/>
              </w:rPr>
              <w:t>0</w:t>
            </w:r>
          </w:p>
        </w:tc>
        <w:tc>
          <w:tcPr>
            <w:tcW w:w="1314" w:type="dxa"/>
          </w:tcPr>
          <w:p w14:paraId="0016D205" w14:textId="77777777" w:rsidR="00E43B8B" w:rsidRPr="00777124" w:rsidRDefault="00E43B8B" w:rsidP="002D3EBF">
            <w:pPr>
              <w:pStyle w:val="table-head-left"/>
              <w:rPr>
                <w:kern w:val="2"/>
                <w:szCs w:val="24"/>
                <w:lang w:eastAsia="zh-CN" w:bidi="hi-IN"/>
              </w:rPr>
            </w:pPr>
            <w:r w:rsidRPr="00777124">
              <w:rPr>
                <w:kern w:val="2"/>
                <w:szCs w:val="24"/>
                <w:lang w:eastAsia="zh-CN" w:bidi="hi-IN"/>
              </w:rPr>
              <w:t>1</w:t>
            </w:r>
          </w:p>
        </w:tc>
        <w:tc>
          <w:tcPr>
            <w:tcW w:w="1314" w:type="dxa"/>
          </w:tcPr>
          <w:p w14:paraId="0683CA2F" w14:textId="77777777" w:rsidR="00E43B8B" w:rsidRPr="00777124" w:rsidRDefault="00E43B8B" w:rsidP="002D3EBF">
            <w:pPr>
              <w:pStyle w:val="table-head-left"/>
              <w:rPr>
                <w:kern w:val="2"/>
                <w:szCs w:val="24"/>
                <w:lang w:eastAsia="zh-CN" w:bidi="hi-IN"/>
              </w:rPr>
            </w:pPr>
            <w:r w:rsidRPr="00777124">
              <w:rPr>
                <w:kern w:val="2"/>
                <w:szCs w:val="24"/>
                <w:lang w:eastAsia="zh-CN" w:bidi="hi-IN"/>
              </w:rPr>
              <w:t>2</w:t>
            </w:r>
          </w:p>
        </w:tc>
        <w:tc>
          <w:tcPr>
            <w:tcW w:w="1314" w:type="dxa"/>
          </w:tcPr>
          <w:p w14:paraId="08F021AE" w14:textId="77777777" w:rsidR="00E43B8B" w:rsidRPr="00777124" w:rsidRDefault="00E43B8B" w:rsidP="002D3EBF">
            <w:pPr>
              <w:pStyle w:val="table-head-left"/>
              <w:rPr>
                <w:kern w:val="2"/>
                <w:szCs w:val="24"/>
                <w:lang w:eastAsia="zh-CN" w:bidi="hi-IN"/>
              </w:rPr>
            </w:pPr>
            <w:r w:rsidRPr="00777124">
              <w:rPr>
                <w:kern w:val="2"/>
                <w:szCs w:val="24"/>
                <w:lang w:eastAsia="zh-CN" w:bidi="hi-IN"/>
              </w:rPr>
              <w:t>3</w:t>
            </w:r>
          </w:p>
        </w:tc>
        <w:tc>
          <w:tcPr>
            <w:tcW w:w="1314" w:type="dxa"/>
          </w:tcPr>
          <w:p w14:paraId="7F48BE9B" w14:textId="77777777" w:rsidR="00E43B8B" w:rsidRPr="00777124" w:rsidRDefault="00E43B8B" w:rsidP="002D3EBF">
            <w:pPr>
              <w:pStyle w:val="table-head-left"/>
              <w:rPr>
                <w:kern w:val="2"/>
                <w:szCs w:val="24"/>
                <w:lang w:eastAsia="zh-CN" w:bidi="hi-IN"/>
              </w:rPr>
            </w:pPr>
            <w:r w:rsidRPr="00777124">
              <w:rPr>
                <w:kern w:val="2"/>
                <w:szCs w:val="24"/>
                <w:lang w:eastAsia="zh-CN" w:bidi="hi-IN"/>
              </w:rPr>
              <w:t>4</w:t>
            </w:r>
          </w:p>
        </w:tc>
        <w:tc>
          <w:tcPr>
            <w:tcW w:w="1314" w:type="dxa"/>
          </w:tcPr>
          <w:p w14:paraId="24C54960" w14:textId="77777777" w:rsidR="00E43B8B" w:rsidRPr="00777124" w:rsidRDefault="00E43B8B" w:rsidP="002D3EBF">
            <w:pPr>
              <w:pStyle w:val="table-head-left"/>
              <w:rPr>
                <w:kern w:val="2"/>
                <w:szCs w:val="24"/>
                <w:lang w:eastAsia="zh-CN" w:bidi="hi-IN"/>
              </w:rPr>
            </w:pPr>
            <w:r w:rsidRPr="00777124">
              <w:rPr>
                <w:kern w:val="2"/>
                <w:szCs w:val="24"/>
                <w:lang w:eastAsia="zh-CN" w:bidi="hi-IN"/>
              </w:rPr>
              <w:t>5</w:t>
            </w:r>
          </w:p>
        </w:tc>
        <w:tc>
          <w:tcPr>
            <w:tcW w:w="1314" w:type="dxa"/>
          </w:tcPr>
          <w:p w14:paraId="3F9C9C1A" w14:textId="77777777" w:rsidR="00E43B8B" w:rsidRPr="00777124" w:rsidRDefault="00E43B8B" w:rsidP="002D3EBF">
            <w:pPr>
              <w:pStyle w:val="table-head-left"/>
              <w:rPr>
                <w:kern w:val="2"/>
                <w:szCs w:val="24"/>
                <w:lang w:eastAsia="zh-CN" w:bidi="hi-IN"/>
              </w:rPr>
            </w:pPr>
            <w:r w:rsidRPr="00777124">
              <w:rPr>
                <w:kern w:val="2"/>
                <w:szCs w:val="24"/>
                <w:lang w:eastAsia="zh-CN" w:bidi="hi-IN"/>
              </w:rPr>
              <w:t>6–7</w:t>
            </w:r>
          </w:p>
        </w:tc>
      </w:tr>
      <w:tr w:rsidR="00E43B8B" w:rsidRPr="00777124" w14:paraId="01DC577B" w14:textId="77777777" w:rsidTr="000F2ADC">
        <w:trPr>
          <w:trHeight w:val="360"/>
        </w:trPr>
        <w:tc>
          <w:tcPr>
            <w:tcW w:w="1531" w:type="dxa"/>
          </w:tcPr>
          <w:p w14:paraId="5F621B71" w14:textId="77777777" w:rsidR="00E43B8B" w:rsidRPr="00777124" w:rsidRDefault="00E43B8B" w:rsidP="002D3EBF">
            <w:pPr>
              <w:pStyle w:val="table-text-0"/>
              <w:rPr>
                <w:kern w:val="2"/>
                <w:sz w:val="24"/>
                <w:szCs w:val="24"/>
                <w:lang w:eastAsia="zh-CN" w:bidi="hi-IN"/>
              </w:rPr>
            </w:pPr>
            <w:r w:rsidRPr="00777124">
              <w:rPr>
                <w:kern w:val="2"/>
                <w:sz w:val="24"/>
                <w:szCs w:val="24"/>
                <w:lang w:eastAsia="zh-CN" w:bidi="hi-IN"/>
              </w:rPr>
              <w:t>ОМЛ</w:t>
            </w:r>
          </w:p>
        </w:tc>
        <w:tc>
          <w:tcPr>
            <w:tcW w:w="1314" w:type="dxa"/>
          </w:tcPr>
          <w:p w14:paraId="51C3B676" w14:textId="77777777" w:rsidR="00E43B8B" w:rsidRPr="00777124" w:rsidRDefault="00E43B8B" w:rsidP="002D3EBF">
            <w:pPr>
              <w:pStyle w:val="table-text-0"/>
              <w:rPr>
                <w:kern w:val="2"/>
                <w:sz w:val="24"/>
                <w:szCs w:val="24"/>
                <w:lang w:eastAsia="zh-CN" w:bidi="hi-IN"/>
              </w:rPr>
            </w:pPr>
            <w:r w:rsidRPr="00777124">
              <w:rPr>
                <w:kern w:val="2"/>
                <w:sz w:val="24"/>
                <w:szCs w:val="24"/>
                <w:lang w:val="x-none" w:eastAsia="zh-CN" w:bidi="hi-IN"/>
              </w:rPr>
              <w:t>14</w:t>
            </w:r>
          </w:p>
        </w:tc>
        <w:tc>
          <w:tcPr>
            <w:tcW w:w="1314" w:type="dxa"/>
          </w:tcPr>
          <w:p w14:paraId="5C3BA2BC" w14:textId="77777777" w:rsidR="00E43B8B" w:rsidRPr="00777124" w:rsidRDefault="00E43B8B" w:rsidP="002D3EBF">
            <w:pPr>
              <w:pStyle w:val="table-text-0"/>
              <w:rPr>
                <w:kern w:val="2"/>
                <w:sz w:val="24"/>
                <w:szCs w:val="24"/>
                <w:lang w:eastAsia="zh-CN" w:bidi="hi-IN"/>
              </w:rPr>
            </w:pPr>
            <w:r w:rsidRPr="00777124">
              <w:rPr>
                <w:kern w:val="2"/>
                <w:sz w:val="24"/>
                <w:szCs w:val="24"/>
                <w:lang w:val="x-none" w:eastAsia="zh-CN" w:bidi="hi-IN"/>
              </w:rPr>
              <w:t>20</w:t>
            </w:r>
          </w:p>
        </w:tc>
        <w:tc>
          <w:tcPr>
            <w:tcW w:w="1314" w:type="dxa"/>
          </w:tcPr>
          <w:p w14:paraId="76DEE647" w14:textId="77777777" w:rsidR="00E43B8B" w:rsidRPr="00777124" w:rsidRDefault="00E43B8B" w:rsidP="002D3EBF">
            <w:pPr>
              <w:pStyle w:val="table-text-0"/>
              <w:rPr>
                <w:kern w:val="2"/>
                <w:sz w:val="24"/>
                <w:szCs w:val="24"/>
                <w:lang w:eastAsia="zh-CN" w:bidi="hi-IN"/>
              </w:rPr>
            </w:pPr>
            <w:r w:rsidRPr="00777124">
              <w:rPr>
                <w:kern w:val="2"/>
                <w:sz w:val="24"/>
                <w:szCs w:val="24"/>
                <w:lang w:val="x-none" w:eastAsia="zh-CN" w:bidi="hi-IN"/>
              </w:rPr>
              <w:t>25</w:t>
            </w:r>
          </w:p>
        </w:tc>
        <w:tc>
          <w:tcPr>
            <w:tcW w:w="1314" w:type="dxa"/>
          </w:tcPr>
          <w:p w14:paraId="603525C8" w14:textId="77777777" w:rsidR="00E43B8B" w:rsidRPr="00777124" w:rsidRDefault="00E43B8B" w:rsidP="002D3EBF">
            <w:pPr>
              <w:pStyle w:val="table-text-0"/>
              <w:rPr>
                <w:kern w:val="2"/>
                <w:sz w:val="24"/>
                <w:szCs w:val="24"/>
                <w:lang w:eastAsia="zh-CN" w:bidi="hi-IN"/>
              </w:rPr>
            </w:pPr>
            <w:r w:rsidRPr="00777124">
              <w:rPr>
                <w:kern w:val="2"/>
                <w:sz w:val="24"/>
                <w:szCs w:val="24"/>
                <w:lang w:val="x-none" w:eastAsia="zh-CN" w:bidi="hi-IN"/>
              </w:rPr>
              <w:t>30</w:t>
            </w:r>
          </w:p>
        </w:tc>
        <w:tc>
          <w:tcPr>
            <w:tcW w:w="1314" w:type="dxa"/>
          </w:tcPr>
          <w:p w14:paraId="71F74A63" w14:textId="77777777" w:rsidR="00E43B8B" w:rsidRPr="00777124" w:rsidRDefault="00E43B8B" w:rsidP="002D3EBF">
            <w:pPr>
              <w:pStyle w:val="table-text-0"/>
              <w:rPr>
                <w:kern w:val="2"/>
                <w:sz w:val="24"/>
                <w:szCs w:val="24"/>
                <w:lang w:eastAsia="zh-CN" w:bidi="hi-IN"/>
              </w:rPr>
            </w:pPr>
            <w:r w:rsidRPr="00777124">
              <w:rPr>
                <w:kern w:val="2"/>
                <w:sz w:val="24"/>
                <w:szCs w:val="24"/>
                <w:lang w:val="x-none" w:eastAsia="zh-CN" w:bidi="hi-IN"/>
              </w:rPr>
              <w:t>36</w:t>
            </w:r>
          </w:p>
        </w:tc>
        <w:tc>
          <w:tcPr>
            <w:tcW w:w="1314" w:type="dxa"/>
          </w:tcPr>
          <w:p w14:paraId="36EDA4E9" w14:textId="77777777" w:rsidR="00E43B8B" w:rsidRPr="00777124" w:rsidRDefault="00E43B8B" w:rsidP="002D3EBF">
            <w:pPr>
              <w:pStyle w:val="table-text-0"/>
              <w:rPr>
                <w:kern w:val="2"/>
                <w:sz w:val="24"/>
                <w:szCs w:val="24"/>
                <w:lang w:eastAsia="zh-CN" w:bidi="hi-IN"/>
              </w:rPr>
            </w:pPr>
            <w:r w:rsidRPr="00777124">
              <w:rPr>
                <w:kern w:val="2"/>
                <w:sz w:val="24"/>
                <w:szCs w:val="24"/>
                <w:lang w:val="x-none" w:eastAsia="zh-CN" w:bidi="hi-IN"/>
              </w:rPr>
              <w:t>40</w:t>
            </w:r>
          </w:p>
        </w:tc>
        <w:tc>
          <w:tcPr>
            <w:tcW w:w="1314" w:type="dxa"/>
          </w:tcPr>
          <w:p w14:paraId="55DC5CAE" w14:textId="77777777" w:rsidR="00E43B8B" w:rsidRPr="00777124" w:rsidRDefault="00E43B8B" w:rsidP="002D3EBF">
            <w:pPr>
              <w:pStyle w:val="table-text-0"/>
              <w:rPr>
                <w:kern w:val="2"/>
                <w:sz w:val="24"/>
                <w:szCs w:val="24"/>
                <w:lang w:eastAsia="zh-CN" w:bidi="hi-IN"/>
              </w:rPr>
            </w:pPr>
            <w:r w:rsidRPr="00777124">
              <w:rPr>
                <w:kern w:val="2"/>
                <w:sz w:val="24"/>
                <w:szCs w:val="24"/>
                <w:lang w:val="x-none" w:eastAsia="zh-CN" w:bidi="hi-IN"/>
              </w:rPr>
              <w:t>41</w:t>
            </w:r>
          </w:p>
        </w:tc>
      </w:tr>
      <w:tr w:rsidR="00E43B8B" w:rsidRPr="00777124" w14:paraId="11D3F1C4" w14:textId="77777777" w:rsidTr="000F2ADC">
        <w:trPr>
          <w:trHeight w:val="360"/>
        </w:trPr>
        <w:tc>
          <w:tcPr>
            <w:tcW w:w="1531" w:type="dxa"/>
          </w:tcPr>
          <w:p w14:paraId="7D14BC1B" w14:textId="77777777" w:rsidR="00E43B8B" w:rsidRPr="00777124" w:rsidRDefault="00E43B8B" w:rsidP="002D3EBF">
            <w:pPr>
              <w:pStyle w:val="table-text-0"/>
              <w:rPr>
                <w:kern w:val="2"/>
                <w:sz w:val="24"/>
                <w:szCs w:val="24"/>
                <w:lang w:eastAsia="zh-CN" w:bidi="hi-IN"/>
              </w:rPr>
            </w:pPr>
            <w:r w:rsidRPr="00777124">
              <w:rPr>
                <w:kern w:val="2"/>
                <w:sz w:val="24"/>
                <w:szCs w:val="24"/>
                <w:lang w:eastAsia="zh-CN" w:bidi="hi-IN"/>
              </w:rPr>
              <w:t>ОЛЛ</w:t>
            </w:r>
          </w:p>
        </w:tc>
        <w:tc>
          <w:tcPr>
            <w:tcW w:w="1314" w:type="dxa"/>
          </w:tcPr>
          <w:p w14:paraId="1F816162" w14:textId="77777777" w:rsidR="00E43B8B" w:rsidRPr="00777124" w:rsidRDefault="00E43B8B" w:rsidP="002D3EBF">
            <w:pPr>
              <w:pStyle w:val="table-text-0"/>
              <w:rPr>
                <w:kern w:val="2"/>
                <w:sz w:val="24"/>
                <w:szCs w:val="24"/>
                <w:lang w:eastAsia="zh-CN" w:bidi="hi-IN"/>
              </w:rPr>
            </w:pPr>
            <w:r w:rsidRPr="00777124">
              <w:rPr>
                <w:kern w:val="2"/>
                <w:sz w:val="24"/>
                <w:szCs w:val="24"/>
                <w:lang w:val="x-none" w:eastAsia="zh-CN" w:bidi="hi-IN"/>
              </w:rPr>
              <w:t>15</w:t>
            </w:r>
          </w:p>
        </w:tc>
        <w:tc>
          <w:tcPr>
            <w:tcW w:w="1314" w:type="dxa"/>
          </w:tcPr>
          <w:p w14:paraId="4181A3AD" w14:textId="77777777" w:rsidR="00E43B8B" w:rsidRPr="00777124" w:rsidRDefault="00E43B8B" w:rsidP="002D3EBF">
            <w:pPr>
              <w:pStyle w:val="table-text-0"/>
              <w:rPr>
                <w:kern w:val="2"/>
                <w:sz w:val="24"/>
                <w:szCs w:val="24"/>
                <w:lang w:eastAsia="zh-CN" w:bidi="hi-IN"/>
              </w:rPr>
            </w:pPr>
            <w:r w:rsidRPr="00777124">
              <w:rPr>
                <w:kern w:val="2"/>
                <w:sz w:val="24"/>
                <w:szCs w:val="24"/>
                <w:lang w:val="x-none" w:eastAsia="zh-CN" w:bidi="hi-IN"/>
              </w:rPr>
              <w:t>23</w:t>
            </w:r>
          </w:p>
        </w:tc>
        <w:tc>
          <w:tcPr>
            <w:tcW w:w="1314" w:type="dxa"/>
          </w:tcPr>
          <w:p w14:paraId="2570EABB" w14:textId="77777777" w:rsidR="00E43B8B" w:rsidRPr="00777124" w:rsidRDefault="00E43B8B" w:rsidP="002D3EBF">
            <w:pPr>
              <w:pStyle w:val="table-text-0"/>
              <w:rPr>
                <w:kern w:val="2"/>
                <w:sz w:val="24"/>
                <w:szCs w:val="24"/>
                <w:lang w:eastAsia="zh-CN" w:bidi="hi-IN"/>
              </w:rPr>
            </w:pPr>
            <w:r w:rsidRPr="00777124">
              <w:rPr>
                <w:kern w:val="2"/>
                <w:sz w:val="24"/>
                <w:szCs w:val="24"/>
                <w:lang w:val="x-none" w:eastAsia="zh-CN" w:bidi="hi-IN"/>
              </w:rPr>
              <w:t>24</w:t>
            </w:r>
          </w:p>
        </w:tc>
        <w:tc>
          <w:tcPr>
            <w:tcW w:w="1314" w:type="dxa"/>
          </w:tcPr>
          <w:p w14:paraId="77E9DB53" w14:textId="77777777" w:rsidR="00E43B8B" w:rsidRPr="00777124" w:rsidRDefault="00E43B8B" w:rsidP="002D3EBF">
            <w:pPr>
              <w:pStyle w:val="table-text-0"/>
              <w:rPr>
                <w:kern w:val="2"/>
                <w:sz w:val="24"/>
                <w:szCs w:val="24"/>
                <w:lang w:eastAsia="zh-CN" w:bidi="hi-IN"/>
              </w:rPr>
            </w:pPr>
            <w:r w:rsidRPr="00777124">
              <w:rPr>
                <w:kern w:val="2"/>
                <w:sz w:val="24"/>
                <w:szCs w:val="24"/>
                <w:lang w:val="x-none" w:eastAsia="zh-CN" w:bidi="hi-IN"/>
              </w:rPr>
              <w:t>30</w:t>
            </w:r>
          </w:p>
        </w:tc>
        <w:tc>
          <w:tcPr>
            <w:tcW w:w="1314" w:type="dxa"/>
          </w:tcPr>
          <w:p w14:paraId="619005B9" w14:textId="77777777" w:rsidR="00E43B8B" w:rsidRPr="00777124" w:rsidRDefault="00E43B8B" w:rsidP="002D3EBF">
            <w:pPr>
              <w:pStyle w:val="table-text-0"/>
              <w:rPr>
                <w:kern w:val="2"/>
                <w:sz w:val="24"/>
                <w:szCs w:val="24"/>
                <w:lang w:eastAsia="zh-CN" w:bidi="hi-IN"/>
              </w:rPr>
            </w:pPr>
            <w:r w:rsidRPr="00777124">
              <w:rPr>
                <w:kern w:val="2"/>
                <w:sz w:val="24"/>
                <w:szCs w:val="24"/>
                <w:lang w:val="x-none" w:eastAsia="zh-CN" w:bidi="hi-IN"/>
              </w:rPr>
              <w:t>40</w:t>
            </w:r>
          </w:p>
        </w:tc>
        <w:tc>
          <w:tcPr>
            <w:tcW w:w="1314" w:type="dxa"/>
          </w:tcPr>
          <w:p w14:paraId="6D386CBC" w14:textId="77777777" w:rsidR="00E43B8B" w:rsidRPr="00777124" w:rsidRDefault="00E43B8B" w:rsidP="002D3EBF">
            <w:pPr>
              <w:pStyle w:val="table-text-0"/>
              <w:rPr>
                <w:kern w:val="2"/>
                <w:sz w:val="24"/>
                <w:szCs w:val="24"/>
                <w:lang w:eastAsia="zh-CN" w:bidi="hi-IN"/>
              </w:rPr>
            </w:pPr>
            <w:r w:rsidRPr="00777124">
              <w:rPr>
                <w:kern w:val="2"/>
                <w:sz w:val="24"/>
                <w:szCs w:val="24"/>
                <w:lang w:val="x-none" w:eastAsia="zh-CN" w:bidi="hi-IN"/>
              </w:rPr>
              <w:t>47</w:t>
            </w:r>
          </w:p>
        </w:tc>
        <w:tc>
          <w:tcPr>
            <w:tcW w:w="1314" w:type="dxa"/>
          </w:tcPr>
          <w:p w14:paraId="28B06308" w14:textId="77777777" w:rsidR="00E43B8B" w:rsidRPr="00777124" w:rsidRDefault="00E43B8B" w:rsidP="002D3EBF">
            <w:pPr>
              <w:pStyle w:val="table-text-0"/>
              <w:rPr>
                <w:kern w:val="2"/>
                <w:sz w:val="24"/>
                <w:szCs w:val="24"/>
                <w:lang w:eastAsia="zh-CN" w:bidi="hi-IN"/>
              </w:rPr>
            </w:pPr>
            <w:r w:rsidRPr="00777124">
              <w:rPr>
                <w:kern w:val="2"/>
                <w:sz w:val="24"/>
                <w:szCs w:val="24"/>
                <w:lang w:val="x-none" w:eastAsia="zh-CN" w:bidi="hi-IN"/>
              </w:rPr>
              <w:t>53</w:t>
            </w:r>
          </w:p>
        </w:tc>
      </w:tr>
      <w:tr w:rsidR="00E43B8B" w:rsidRPr="00777124" w14:paraId="1C66762B" w14:textId="77777777" w:rsidTr="000F2ADC">
        <w:trPr>
          <w:trHeight w:val="360"/>
        </w:trPr>
        <w:tc>
          <w:tcPr>
            <w:tcW w:w="1531" w:type="dxa"/>
          </w:tcPr>
          <w:p w14:paraId="0AEEA71A" w14:textId="77777777" w:rsidR="00E43B8B" w:rsidRPr="00777124" w:rsidRDefault="00E43B8B" w:rsidP="002D3EBF">
            <w:pPr>
              <w:pStyle w:val="table-text-0"/>
              <w:rPr>
                <w:kern w:val="2"/>
                <w:sz w:val="24"/>
                <w:szCs w:val="24"/>
                <w:lang w:eastAsia="zh-CN" w:bidi="hi-IN"/>
              </w:rPr>
            </w:pPr>
            <w:r w:rsidRPr="00777124">
              <w:rPr>
                <w:kern w:val="2"/>
                <w:sz w:val="24"/>
                <w:szCs w:val="24"/>
                <w:lang w:eastAsia="zh-CN" w:bidi="hi-IN"/>
              </w:rPr>
              <w:t>ХМЛ</w:t>
            </w:r>
          </w:p>
        </w:tc>
        <w:tc>
          <w:tcPr>
            <w:tcW w:w="1314" w:type="dxa"/>
          </w:tcPr>
          <w:p w14:paraId="008D3B15" w14:textId="77777777" w:rsidR="00E43B8B" w:rsidRPr="00777124" w:rsidRDefault="00E43B8B" w:rsidP="002D3EBF">
            <w:pPr>
              <w:pStyle w:val="table-text-0"/>
              <w:rPr>
                <w:kern w:val="2"/>
                <w:sz w:val="24"/>
                <w:szCs w:val="24"/>
                <w:lang w:eastAsia="zh-CN" w:bidi="hi-IN"/>
              </w:rPr>
            </w:pPr>
            <w:r w:rsidRPr="00777124">
              <w:rPr>
                <w:kern w:val="2"/>
                <w:sz w:val="24"/>
                <w:szCs w:val="24"/>
                <w:lang w:val="x-none" w:eastAsia="zh-CN" w:bidi="hi-IN"/>
              </w:rPr>
              <w:t>15</w:t>
            </w:r>
          </w:p>
        </w:tc>
        <w:tc>
          <w:tcPr>
            <w:tcW w:w="1314" w:type="dxa"/>
          </w:tcPr>
          <w:p w14:paraId="452055AB" w14:textId="77777777" w:rsidR="00E43B8B" w:rsidRPr="00777124" w:rsidRDefault="00E43B8B" w:rsidP="002D3EBF">
            <w:pPr>
              <w:pStyle w:val="table-text-0"/>
              <w:rPr>
                <w:kern w:val="2"/>
                <w:sz w:val="24"/>
                <w:szCs w:val="24"/>
                <w:lang w:eastAsia="zh-CN" w:bidi="hi-IN"/>
              </w:rPr>
            </w:pPr>
            <w:r w:rsidRPr="00777124">
              <w:rPr>
                <w:kern w:val="2"/>
                <w:sz w:val="24"/>
                <w:szCs w:val="24"/>
                <w:lang w:val="x-none" w:eastAsia="zh-CN" w:bidi="hi-IN"/>
              </w:rPr>
              <w:t>22</w:t>
            </w:r>
          </w:p>
        </w:tc>
        <w:tc>
          <w:tcPr>
            <w:tcW w:w="1314" w:type="dxa"/>
          </w:tcPr>
          <w:p w14:paraId="04834E14" w14:textId="77777777" w:rsidR="00E43B8B" w:rsidRPr="00777124" w:rsidRDefault="00E43B8B" w:rsidP="002D3EBF">
            <w:pPr>
              <w:pStyle w:val="table-text-0"/>
              <w:rPr>
                <w:kern w:val="2"/>
                <w:sz w:val="24"/>
                <w:szCs w:val="24"/>
                <w:lang w:eastAsia="zh-CN" w:bidi="hi-IN"/>
              </w:rPr>
            </w:pPr>
            <w:r w:rsidRPr="00777124">
              <w:rPr>
                <w:kern w:val="2"/>
                <w:sz w:val="24"/>
                <w:szCs w:val="24"/>
                <w:lang w:val="x-none" w:eastAsia="zh-CN" w:bidi="hi-IN"/>
              </w:rPr>
              <w:t>30</w:t>
            </w:r>
          </w:p>
        </w:tc>
        <w:tc>
          <w:tcPr>
            <w:tcW w:w="1314" w:type="dxa"/>
          </w:tcPr>
          <w:p w14:paraId="3C5702BF" w14:textId="77777777" w:rsidR="00E43B8B" w:rsidRPr="00777124" w:rsidRDefault="00E43B8B" w:rsidP="002D3EBF">
            <w:pPr>
              <w:pStyle w:val="table-text-0"/>
              <w:rPr>
                <w:kern w:val="2"/>
                <w:sz w:val="24"/>
                <w:szCs w:val="24"/>
                <w:lang w:eastAsia="zh-CN" w:bidi="hi-IN"/>
              </w:rPr>
            </w:pPr>
            <w:r w:rsidRPr="00777124">
              <w:rPr>
                <w:kern w:val="2"/>
                <w:sz w:val="24"/>
                <w:szCs w:val="24"/>
                <w:lang w:val="x-none" w:eastAsia="zh-CN" w:bidi="hi-IN"/>
              </w:rPr>
              <w:t>38</w:t>
            </w:r>
          </w:p>
        </w:tc>
        <w:tc>
          <w:tcPr>
            <w:tcW w:w="1314" w:type="dxa"/>
          </w:tcPr>
          <w:p w14:paraId="71113D0A" w14:textId="77777777" w:rsidR="00E43B8B" w:rsidRPr="00777124" w:rsidRDefault="00E43B8B" w:rsidP="002D3EBF">
            <w:pPr>
              <w:pStyle w:val="table-text-0"/>
              <w:rPr>
                <w:kern w:val="2"/>
                <w:sz w:val="24"/>
                <w:szCs w:val="24"/>
                <w:lang w:eastAsia="zh-CN" w:bidi="hi-IN"/>
              </w:rPr>
            </w:pPr>
            <w:r w:rsidRPr="00777124">
              <w:rPr>
                <w:kern w:val="2"/>
                <w:sz w:val="24"/>
                <w:szCs w:val="24"/>
                <w:lang w:val="x-none" w:eastAsia="zh-CN" w:bidi="hi-IN"/>
              </w:rPr>
              <w:t>45</w:t>
            </w:r>
          </w:p>
        </w:tc>
        <w:tc>
          <w:tcPr>
            <w:tcW w:w="1314" w:type="dxa"/>
          </w:tcPr>
          <w:p w14:paraId="3D5F98CD" w14:textId="77777777" w:rsidR="00E43B8B" w:rsidRPr="00777124" w:rsidRDefault="00E43B8B" w:rsidP="002D3EBF">
            <w:pPr>
              <w:pStyle w:val="table-text-0"/>
              <w:rPr>
                <w:kern w:val="2"/>
                <w:sz w:val="24"/>
                <w:szCs w:val="24"/>
                <w:lang w:eastAsia="zh-CN" w:bidi="hi-IN"/>
              </w:rPr>
            </w:pPr>
            <w:r w:rsidRPr="00777124">
              <w:rPr>
                <w:kern w:val="2"/>
                <w:sz w:val="24"/>
                <w:szCs w:val="24"/>
                <w:lang w:val="x-none" w:eastAsia="zh-CN" w:bidi="hi-IN"/>
              </w:rPr>
              <w:t>52</w:t>
            </w:r>
          </w:p>
        </w:tc>
        <w:tc>
          <w:tcPr>
            <w:tcW w:w="1314" w:type="dxa"/>
          </w:tcPr>
          <w:p w14:paraId="1775C72B" w14:textId="77777777" w:rsidR="00E43B8B" w:rsidRPr="00777124" w:rsidRDefault="00E43B8B" w:rsidP="002D3EBF">
            <w:pPr>
              <w:pStyle w:val="table-text-0"/>
              <w:rPr>
                <w:kern w:val="2"/>
                <w:sz w:val="24"/>
                <w:szCs w:val="24"/>
                <w:lang w:eastAsia="zh-CN" w:bidi="hi-IN"/>
              </w:rPr>
            </w:pPr>
            <w:r w:rsidRPr="00777124">
              <w:rPr>
                <w:kern w:val="2"/>
                <w:sz w:val="24"/>
                <w:szCs w:val="24"/>
                <w:lang w:val="x-none" w:eastAsia="zh-CN" w:bidi="hi-IN"/>
              </w:rPr>
              <w:t>55</w:t>
            </w:r>
          </w:p>
        </w:tc>
      </w:tr>
      <w:tr w:rsidR="00E43B8B" w:rsidRPr="00777124" w14:paraId="2C109B65" w14:textId="77777777" w:rsidTr="000F2ADC">
        <w:trPr>
          <w:trHeight w:val="360"/>
        </w:trPr>
        <w:tc>
          <w:tcPr>
            <w:tcW w:w="1531" w:type="dxa"/>
          </w:tcPr>
          <w:p w14:paraId="21D01648" w14:textId="77777777" w:rsidR="00E43B8B" w:rsidRPr="00777124" w:rsidRDefault="00E43B8B" w:rsidP="002D3EBF">
            <w:pPr>
              <w:pStyle w:val="table-text-0"/>
              <w:rPr>
                <w:kern w:val="2"/>
                <w:sz w:val="24"/>
                <w:szCs w:val="24"/>
                <w:lang w:eastAsia="zh-CN" w:bidi="hi-IN"/>
              </w:rPr>
            </w:pPr>
            <w:r w:rsidRPr="00777124">
              <w:rPr>
                <w:kern w:val="2"/>
                <w:sz w:val="24"/>
                <w:szCs w:val="24"/>
                <w:lang w:eastAsia="zh-CN" w:bidi="hi-IN"/>
              </w:rPr>
              <w:t>АА</w:t>
            </w:r>
          </w:p>
        </w:tc>
        <w:tc>
          <w:tcPr>
            <w:tcW w:w="1314" w:type="dxa"/>
          </w:tcPr>
          <w:p w14:paraId="46F386A5" w14:textId="77777777" w:rsidR="00E43B8B" w:rsidRPr="00777124" w:rsidRDefault="00E43B8B" w:rsidP="002D3EBF">
            <w:pPr>
              <w:pStyle w:val="table-text-0"/>
              <w:rPr>
                <w:kern w:val="2"/>
                <w:sz w:val="24"/>
                <w:szCs w:val="24"/>
                <w:lang w:eastAsia="zh-CN" w:bidi="hi-IN"/>
              </w:rPr>
            </w:pPr>
            <w:r w:rsidRPr="00777124">
              <w:rPr>
                <w:kern w:val="2"/>
                <w:sz w:val="24"/>
                <w:szCs w:val="24"/>
                <w:lang w:val="x-none" w:eastAsia="zh-CN" w:bidi="hi-IN"/>
              </w:rPr>
              <w:t>18</w:t>
            </w:r>
          </w:p>
        </w:tc>
        <w:tc>
          <w:tcPr>
            <w:tcW w:w="1314" w:type="dxa"/>
          </w:tcPr>
          <w:p w14:paraId="07815484" w14:textId="77777777" w:rsidR="00E43B8B" w:rsidRPr="00777124" w:rsidRDefault="00E43B8B" w:rsidP="002D3EBF">
            <w:pPr>
              <w:pStyle w:val="table-text-0"/>
              <w:rPr>
                <w:kern w:val="2"/>
                <w:sz w:val="24"/>
                <w:szCs w:val="24"/>
                <w:lang w:eastAsia="zh-CN" w:bidi="hi-IN"/>
              </w:rPr>
            </w:pPr>
            <w:r w:rsidRPr="00777124">
              <w:rPr>
                <w:kern w:val="2"/>
                <w:sz w:val="24"/>
                <w:szCs w:val="24"/>
                <w:lang w:val="x-none" w:eastAsia="zh-CN" w:bidi="hi-IN"/>
              </w:rPr>
              <w:t>26</w:t>
            </w:r>
          </w:p>
        </w:tc>
        <w:tc>
          <w:tcPr>
            <w:tcW w:w="1314" w:type="dxa"/>
          </w:tcPr>
          <w:p w14:paraId="07940700" w14:textId="77777777" w:rsidR="00E43B8B" w:rsidRPr="00777124" w:rsidRDefault="00E43B8B" w:rsidP="002D3EBF">
            <w:pPr>
              <w:pStyle w:val="table-text-0"/>
              <w:rPr>
                <w:kern w:val="2"/>
                <w:sz w:val="24"/>
                <w:szCs w:val="24"/>
                <w:lang w:eastAsia="zh-CN" w:bidi="hi-IN"/>
              </w:rPr>
            </w:pPr>
            <w:r w:rsidRPr="00777124">
              <w:rPr>
                <w:kern w:val="2"/>
                <w:sz w:val="24"/>
                <w:szCs w:val="24"/>
                <w:lang w:val="x-none" w:eastAsia="zh-CN" w:bidi="hi-IN"/>
              </w:rPr>
              <w:t>40</w:t>
            </w:r>
          </w:p>
        </w:tc>
        <w:tc>
          <w:tcPr>
            <w:tcW w:w="1314" w:type="dxa"/>
          </w:tcPr>
          <w:p w14:paraId="54DD4392" w14:textId="77777777" w:rsidR="00E43B8B" w:rsidRPr="00777124" w:rsidRDefault="00E43B8B" w:rsidP="002D3EBF">
            <w:pPr>
              <w:pStyle w:val="table-text-0"/>
              <w:rPr>
                <w:kern w:val="2"/>
                <w:sz w:val="24"/>
                <w:szCs w:val="24"/>
                <w:lang w:eastAsia="zh-CN" w:bidi="hi-IN"/>
              </w:rPr>
            </w:pPr>
            <w:r w:rsidRPr="00777124">
              <w:rPr>
                <w:kern w:val="2"/>
                <w:sz w:val="24"/>
                <w:szCs w:val="24"/>
                <w:lang w:val="x-none" w:eastAsia="zh-CN" w:bidi="hi-IN"/>
              </w:rPr>
              <w:t>49</w:t>
            </w:r>
          </w:p>
        </w:tc>
        <w:tc>
          <w:tcPr>
            <w:tcW w:w="1314" w:type="dxa"/>
          </w:tcPr>
          <w:p w14:paraId="47761733" w14:textId="77777777" w:rsidR="00E43B8B" w:rsidRPr="00777124" w:rsidRDefault="00E43B8B" w:rsidP="002D3EBF">
            <w:pPr>
              <w:pStyle w:val="table-text-0"/>
              <w:rPr>
                <w:kern w:val="2"/>
                <w:sz w:val="24"/>
                <w:szCs w:val="24"/>
                <w:lang w:eastAsia="zh-CN" w:bidi="hi-IN"/>
              </w:rPr>
            </w:pPr>
            <w:r w:rsidRPr="00777124">
              <w:rPr>
                <w:kern w:val="2"/>
                <w:sz w:val="24"/>
                <w:szCs w:val="24"/>
                <w:lang w:val="x-none" w:eastAsia="zh-CN" w:bidi="hi-IN"/>
              </w:rPr>
              <w:t>52</w:t>
            </w:r>
          </w:p>
        </w:tc>
        <w:tc>
          <w:tcPr>
            <w:tcW w:w="1314" w:type="dxa"/>
          </w:tcPr>
          <w:p w14:paraId="1864CD3B" w14:textId="77777777" w:rsidR="00E43B8B" w:rsidRPr="00777124" w:rsidRDefault="00E43B8B" w:rsidP="002D3EBF">
            <w:pPr>
              <w:pStyle w:val="table-text-0"/>
              <w:rPr>
                <w:kern w:val="2"/>
                <w:sz w:val="24"/>
                <w:szCs w:val="24"/>
                <w:lang w:eastAsia="zh-CN" w:bidi="hi-IN"/>
              </w:rPr>
            </w:pPr>
            <w:r w:rsidRPr="00777124">
              <w:rPr>
                <w:kern w:val="2"/>
                <w:sz w:val="24"/>
                <w:szCs w:val="24"/>
                <w:lang w:eastAsia="zh-CN" w:bidi="hi-IN"/>
              </w:rPr>
              <w:t>–</w:t>
            </w:r>
          </w:p>
        </w:tc>
        <w:tc>
          <w:tcPr>
            <w:tcW w:w="1314" w:type="dxa"/>
          </w:tcPr>
          <w:p w14:paraId="6E2211C5" w14:textId="77777777" w:rsidR="00E43B8B" w:rsidRPr="00777124" w:rsidRDefault="00E43B8B" w:rsidP="002D3EBF">
            <w:pPr>
              <w:pStyle w:val="table-text-0"/>
              <w:rPr>
                <w:kern w:val="2"/>
                <w:sz w:val="24"/>
                <w:szCs w:val="24"/>
                <w:lang w:eastAsia="zh-CN" w:bidi="hi-IN"/>
              </w:rPr>
            </w:pPr>
            <w:r w:rsidRPr="00777124">
              <w:rPr>
                <w:kern w:val="2"/>
                <w:sz w:val="24"/>
                <w:szCs w:val="24"/>
                <w:lang w:eastAsia="zh-CN" w:bidi="hi-IN"/>
              </w:rPr>
              <w:t>–</w:t>
            </w:r>
          </w:p>
        </w:tc>
      </w:tr>
      <w:tr w:rsidR="00E43B8B" w:rsidRPr="00777124" w14:paraId="2369988B" w14:textId="77777777" w:rsidTr="000F2ADC">
        <w:trPr>
          <w:trHeight w:val="360"/>
        </w:trPr>
        <w:tc>
          <w:tcPr>
            <w:tcW w:w="1531" w:type="dxa"/>
          </w:tcPr>
          <w:p w14:paraId="142629AA" w14:textId="77777777" w:rsidR="00E43B8B" w:rsidRPr="00777124" w:rsidRDefault="00E43B8B" w:rsidP="002D3EBF">
            <w:pPr>
              <w:pStyle w:val="table-text-0"/>
              <w:rPr>
                <w:kern w:val="2"/>
                <w:sz w:val="24"/>
                <w:szCs w:val="24"/>
                <w:lang w:eastAsia="zh-CN" w:bidi="hi-IN"/>
              </w:rPr>
            </w:pPr>
            <w:r w:rsidRPr="00777124">
              <w:rPr>
                <w:kern w:val="2"/>
                <w:sz w:val="24"/>
                <w:szCs w:val="24"/>
                <w:lang w:eastAsia="zh-CN" w:bidi="hi-IN"/>
              </w:rPr>
              <w:t>МДС</w:t>
            </w:r>
          </w:p>
        </w:tc>
        <w:tc>
          <w:tcPr>
            <w:tcW w:w="1314" w:type="dxa"/>
          </w:tcPr>
          <w:p w14:paraId="17192C89" w14:textId="77777777" w:rsidR="00E43B8B" w:rsidRPr="00777124" w:rsidRDefault="00E43B8B" w:rsidP="002D3EBF">
            <w:pPr>
              <w:pStyle w:val="table-text-0"/>
              <w:rPr>
                <w:kern w:val="2"/>
                <w:sz w:val="24"/>
                <w:szCs w:val="24"/>
                <w:lang w:eastAsia="zh-CN" w:bidi="hi-IN"/>
              </w:rPr>
            </w:pPr>
            <w:r w:rsidRPr="00777124">
              <w:rPr>
                <w:kern w:val="2"/>
                <w:sz w:val="24"/>
                <w:szCs w:val="24"/>
                <w:lang w:val="x-none" w:eastAsia="zh-CN" w:bidi="hi-IN"/>
              </w:rPr>
              <w:t>25</w:t>
            </w:r>
          </w:p>
        </w:tc>
        <w:tc>
          <w:tcPr>
            <w:tcW w:w="1314" w:type="dxa"/>
          </w:tcPr>
          <w:p w14:paraId="3BCE4C13" w14:textId="77777777" w:rsidR="00E43B8B" w:rsidRPr="00777124" w:rsidRDefault="00E43B8B" w:rsidP="002D3EBF">
            <w:pPr>
              <w:pStyle w:val="table-text-0"/>
              <w:rPr>
                <w:kern w:val="2"/>
                <w:sz w:val="24"/>
                <w:szCs w:val="24"/>
                <w:lang w:eastAsia="zh-CN" w:bidi="hi-IN"/>
              </w:rPr>
            </w:pPr>
            <w:r w:rsidRPr="00777124">
              <w:rPr>
                <w:kern w:val="2"/>
                <w:sz w:val="24"/>
                <w:szCs w:val="24"/>
                <w:lang w:val="x-none" w:eastAsia="zh-CN" w:bidi="hi-IN"/>
              </w:rPr>
              <w:t>28</w:t>
            </w:r>
          </w:p>
        </w:tc>
        <w:tc>
          <w:tcPr>
            <w:tcW w:w="1314" w:type="dxa"/>
          </w:tcPr>
          <w:p w14:paraId="7449599A" w14:textId="77777777" w:rsidR="00E43B8B" w:rsidRPr="00777124" w:rsidRDefault="00E43B8B" w:rsidP="002D3EBF">
            <w:pPr>
              <w:pStyle w:val="table-text-0"/>
              <w:rPr>
                <w:kern w:val="2"/>
                <w:sz w:val="24"/>
                <w:szCs w:val="24"/>
                <w:lang w:eastAsia="zh-CN" w:bidi="hi-IN"/>
              </w:rPr>
            </w:pPr>
            <w:r w:rsidRPr="00777124">
              <w:rPr>
                <w:kern w:val="2"/>
                <w:sz w:val="24"/>
                <w:szCs w:val="24"/>
                <w:lang w:val="x-none" w:eastAsia="zh-CN" w:bidi="hi-IN"/>
              </w:rPr>
              <w:t>30</w:t>
            </w:r>
          </w:p>
        </w:tc>
        <w:tc>
          <w:tcPr>
            <w:tcW w:w="1314" w:type="dxa"/>
          </w:tcPr>
          <w:p w14:paraId="3CFF6DF2" w14:textId="77777777" w:rsidR="00E43B8B" w:rsidRPr="00777124" w:rsidRDefault="00E43B8B" w:rsidP="002D3EBF">
            <w:pPr>
              <w:pStyle w:val="table-text-0"/>
              <w:rPr>
                <w:kern w:val="2"/>
                <w:sz w:val="24"/>
                <w:szCs w:val="24"/>
                <w:lang w:eastAsia="zh-CN" w:bidi="hi-IN"/>
              </w:rPr>
            </w:pPr>
            <w:r w:rsidRPr="00777124">
              <w:rPr>
                <w:kern w:val="2"/>
                <w:sz w:val="24"/>
                <w:szCs w:val="24"/>
                <w:lang w:val="x-none" w:eastAsia="zh-CN" w:bidi="hi-IN"/>
              </w:rPr>
              <w:t>35</w:t>
            </w:r>
          </w:p>
        </w:tc>
        <w:tc>
          <w:tcPr>
            <w:tcW w:w="1314" w:type="dxa"/>
          </w:tcPr>
          <w:p w14:paraId="2E29A047" w14:textId="77777777" w:rsidR="00E43B8B" w:rsidRPr="00777124" w:rsidRDefault="00E43B8B" w:rsidP="002D3EBF">
            <w:pPr>
              <w:pStyle w:val="table-text-0"/>
              <w:rPr>
                <w:kern w:val="2"/>
                <w:sz w:val="24"/>
                <w:szCs w:val="24"/>
                <w:lang w:eastAsia="zh-CN" w:bidi="hi-IN"/>
              </w:rPr>
            </w:pPr>
            <w:r w:rsidRPr="00777124">
              <w:rPr>
                <w:kern w:val="2"/>
                <w:sz w:val="24"/>
                <w:szCs w:val="24"/>
                <w:lang w:val="x-none" w:eastAsia="zh-CN" w:bidi="hi-IN"/>
              </w:rPr>
              <w:t>38</w:t>
            </w:r>
          </w:p>
        </w:tc>
        <w:tc>
          <w:tcPr>
            <w:tcW w:w="1314" w:type="dxa"/>
          </w:tcPr>
          <w:p w14:paraId="0DF68296" w14:textId="77777777" w:rsidR="00E43B8B" w:rsidRPr="00777124" w:rsidRDefault="00E43B8B" w:rsidP="002D3EBF">
            <w:pPr>
              <w:pStyle w:val="table-text-0"/>
              <w:rPr>
                <w:kern w:val="2"/>
                <w:sz w:val="24"/>
                <w:szCs w:val="24"/>
                <w:lang w:eastAsia="zh-CN" w:bidi="hi-IN"/>
              </w:rPr>
            </w:pPr>
            <w:r w:rsidRPr="00777124">
              <w:rPr>
                <w:kern w:val="2"/>
                <w:sz w:val="24"/>
                <w:szCs w:val="24"/>
                <w:lang w:val="x-none" w:eastAsia="zh-CN" w:bidi="hi-IN"/>
              </w:rPr>
              <w:t>46</w:t>
            </w:r>
          </w:p>
        </w:tc>
        <w:tc>
          <w:tcPr>
            <w:tcW w:w="1314" w:type="dxa"/>
          </w:tcPr>
          <w:p w14:paraId="44FC7036" w14:textId="77777777" w:rsidR="00E43B8B" w:rsidRPr="00777124" w:rsidRDefault="00E43B8B" w:rsidP="002D3EBF">
            <w:pPr>
              <w:pStyle w:val="table-text-0"/>
              <w:rPr>
                <w:kern w:val="2"/>
                <w:sz w:val="24"/>
                <w:szCs w:val="24"/>
                <w:lang w:eastAsia="zh-CN" w:bidi="hi-IN"/>
              </w:rPr>
            </w:pPr>
            <w:r w:rsidRPr="00777124">
              <w:rPr>
                <w:kern w:val="2"/>
                <w:sz w:val="24"/>
                <w:szCs w:val="24"/>
                <w:lang w:val="x-none" w:eastAsia="zh-CN" w:bidi="hi-IN"/>
              </w:rPr>
              <w:t>50</w:t>
            </w:r>
          </w:p>
        </w:tc>
      </w:tr>
      <w:tr w:rsidR="00E43B8B" w:rsidRPr="00777124" w14:paraId="1A2A963C" w14:textId="77777777" w:rsidTr="000F2ADC">
        <w:trPr>
          <w:trHeight w:val="360"/>
        </w:trPr>
        <w:tc>
          <w:tcPr>
            <w:tcW w:w="1531" w:type="dxa"/>
          </w:tcPr>
          <w:p w14:paraId="250DC691" w14:textId="77777777" w:rsidR="00E43B8B" w:rsidRPr="00777124" w:rsidRDefault="00E43B8B" w:rsidP="002D3EBF">
            <w:pPr>
              <w:pStyle w:val="table-text-0"/>
              <w:rPr>
                <w:kern w:val="2"/>
                <w:sz w:val="24"/>
                <w:szCs w:val="24"/>
                <w:lang w:eastAsia="zh-CN" w:bidi="hi-IN"/>
              </w:rPr>
            </w:pPr>
            <w:r w:rsidRPr="00777124">
              <w:rPr>
                <w:kern w:val="2"/>
                <w:sz w:val="24"/>
                <w:szCs w:val="24"/>
                <w:lang w:eastAsia="zh-CN" w:bidi="hi-IN"/>
              </w:rPr>
              <w:t>ММ</w:t>
            </w:r>
          </w:p>
        </w:tc>
        <w:tc>
          <w:tcPr>
            <w:tcW w:w="1314" w:type="dxa"/>
          </w:tcPr>
          <w:p w14:paraId="1C8779C0" w14:textId="77777777" w:rsidR="00E43B8B" w:rsidRPr="00777124" w:rsidRDefault="00E43B8B" w:rsidP="002D3EBF">
            <w:pPr>
              <w:pStyle w:val="table-text-0"/>
              <w:rPr>
                <w:kern w:val="2"/>
                <w:sz w:val="24"/>
                <w:szCs w:val="24"/>
                <w:lang w:eastAsia="zh-CN" w:bidi="hi-IN"/>
              </w:rPr>
            </w:pPr>
            <w:r w:rsidRPr="00777124">
              <w:rPr>
                <w:kern w:val="2"/>
                <w:sz w:val="24"/>
                <w:szCs w:val="24"/>
                <w:lang w:eastAsia="zh-CN" w:bidi="hi-IN"/>
              </w:rPr>
              <w:t>–</w:t>
            </w:r>
          </w:p>
        </w:tc>
        <w:tc>
          <w:tcPr>
            <w:tcW w:w="1314" w:type="dxa"/>
          </w:tcPr>
          <w:p w14:paraId="145682C2" w14:textId="77777777" w:rsidR="00E43B8B" w:rsidRPr="00777124" w:rsidRDefault="00E43B8B" w:rsidP="002D3EBF">
            <w:pPr>
              <w:pStyle w:val="table-text-0"/>
              <w:rPr>
                <w:kern w:val="2"/>
                <w:sz w:val="24"/>
                <w:szCs w:val="24"/>
                <w:lang w:eastAsia="zh-CN" w:bidi="hi-IN"/>
              </w:rPr>
            </w:pPr>
            <w:r w:rsidRPr="00777124">
              <w:rPr>
                <w:kern w:val="2"/>
                <w:sz w:val="24"/>
                <w:szCs w:val="24"/>
                <w:lang w:eastAsia="zh-CN" w:bidi="hi-IN"/>
              </w:rPr>
              <w:t>–</w:t>
            </w:r>
          </w:p>
        </w:tc>
        <w:tc>
          <w:tcPr>
            <w:tcW w:w="1314" w:type="dxa"/>
          </w:tcPr>
          <w:p w14:paraId="55E3154E" w14:textId="77777777" w:rsidR="00E43B8B" w:rsidRPr="00777124" w:rsidRDefault="00E43B8B" w:rsidP="002D3EBF">
            <w:pPr>
              <w:pStyle w:val="table-text-0"/>
              <w:rPr>
                <w:kern w:val="2"/>
                <w:sz w:val="24"/>
                <w:szCs w:val="24"/>
                <w:lang w:eastAsia="zh-CN" w:bidi="hi-IN"/>
              </w:rPr>
            </w:pPr>
            <w:r w:rsidRPr="00777124">
              <w:rPr>
                <w:kern w:val="2"/>
                <w:sz w:val="24"/>
                <w:szCs w:val="24"/>
                <w:lang w:val="x-none" w:eastAsia="zh-CN" w:bidi="hi-IN"/>
              </w:rPr>
              <w:t>29</w:t>
            </w:r>
          </w:p>
        </w:tc>
        <w:tc>
          <w:tcPr>
            <w:tcW w:w="1314" w:type="dxa"/>
          </w:tcPr>
          <w:p w14:paraId="03B54075" w14:textId="77777777" w:rsidR="00E43B8B" w:rsidRPr="00777124" w:rsidRDefault="00E43B8B" w:rsidP="002D3EBF">
            <w:pPr>
              <w:pStyle w:val="table-text-0"/>
              <w:rPr>
                <w:kern w:val="2"/>
                <w:sz w:val="24"/>
                <w:szCs w:val="24"/>
                <w:lang w:eastAsia="zh-CN" w:bidi="hi-IN"/>
              </w:rPr>
            </w:pPr>
            <w:r w:rsidRPr="00777124">
              <w:rPr>
                <w:kern w:val="2"/>
                <w:sz w:val="24"/>
                <w:szCs w:val="24"/>
                <w:lang w:val="x-none" w:eastAsia="zh-CN" w:bidi="hi-IN"/>
              </w:rPr>
              <w:t>35</w:t>
            </w:r>
          </w:p>
        </w:tc>
        <w:tc>
          <w:tcPr>
            <w:tcW w:w="1314" w:type="dxa"/>
          </w:tcPr>
          <w:p w14:paraId="5B768A4A" w14:textId="77777777" w:rsidR="00E43B8B" w:rsidRPr="00777124" w:rsidRDefault="00E43B8B" w:rsidP="002D3EBF">
            <w:pPr>
              <w:pStyle w:val="table-text-0"/>
              <w:rPr>
                <w:kern w:val="2"/>
                <w:sz w:val="24"/>
                <w:szCs w:val="24"/>
                <w:lang w:eastAsia="zh-CN" w:bidi="hi-IN"/>
              </w:rPr>
            </w:pPr>
            <w:r w:rsidRPr="00777124">
              <w:rPr>
                <w:kern w:val="2"/>
                <w:sz w:val="24"/>
                <w:szCs w:val="24"/>
                <w:lang w:val="x-none" w:eastAsia="zh-CN" w:bidi="hi-IN"/>
              </w:rPr>
              <w:t>40</w:t>
            </w:r>
          </w:p>
        </w:tc>
        <w:tc>
          <w:tcPr>
            <w:tcW w:w="1314" w:type="dxa"/>
          </w:tcPr>
          <w:p w14:paraId="6DA42527" w14:textId="77777777" w:rsidR="00E43B8B" w:rsidRPr="00777124" w:rsidRDefault="00E43B8B" w:rsidP="002D3EBF">
            <w:pPr>
              <w:pStyle w:val="table-text-0"/>
              <w:rPr>
                <w:kern w:val="2"/>
                <w:sz w:val="24"/>
                <w:szCs w:val="24"/>
                <w:lang w:eastAsia="zh-CN" w:bidi="hi-IN"/>
              </w:rPr>
            </w:pPr>
            <w:r w:rsidRPr="00777124">
              <w:rPr>
                <w:kern w:val="2"/>
                <w:sz w:val="24"/>
                <w:szCs w:val="24"/>
                <w:lang w:val="x-none" w:eastAsia="zh-CN" w:bidi="hi-IN"/>
              </w:rPr>
              <w:t>42</w:t>
            </w:r>
          </w:p>
        </w:tc>
        <w:tc>
          <w:tcPr>
            <w:tcW w:w="1314" w:type="dxa"/>
          </w:tcPr>
          <w:p w14:paraId="4D323510" w14:textId="77777777" w:rsidR="00E43B8B" w:rsidRPr="00777124" w:rsidRDefault="00E43B8B" w:rsidP="002D3EBF">
            <w:pPr>
              <w:pStyle w:val="table-text-0"/>
              <w:rPr>
                <w:kern w:val="2"/>
                <w:sz w:val="24"/>
                <w:szCs w:val="24"/>
                <w:lang w:eastAsia="zh-CN" w:bidi="hi-IN"/>
              </w:rPr>
            </w:pPr>
            <w:r w:rsidRPr="00777124">
              <w:rPr>
                <w:kern w:val="2"/>
                <w:sz w:val="24"/>
                <w:szCs w:val="24"/>
                <w:lang w:val="x-none" w:eastAsia="zh-CN" w:bidi="hi-IN"/>
              </w:rPr>
              <w:t>52</w:t>
            </w:r>
          </w:p>
        </w:tc>
      </w:tr>
      <w:tr w:rsidR="00E43B8B" w:rsidRPr="00777124" w14:paraId="370A174B" w14:textId="77777777" w:rsidTr="000F2ADC">
        <w:trPr>
          <w:trHeight w:val="360"/>
        </w:trPr>
        <w:tc>
          <w:tcPr>
            <w:tcW w:w="1531" w:type="dxa"/>
          </w:tcPr>
          <w:p w14:paraId="6ED23317" w14:textId="77777777" w:rsidR="00E43B8B" w:rsidRPr="00777124" w:rsidRDefault="00E43B8B" w:rsidP="002D3EBF">
            <w:pPr>
              <w:pStyle w:val="table-text-0"/>
              <w:rPr>
                <w:kern w:val="2"/>
                <w:sz w:val="24"/>
                <w:szCs w:val="24"/>
                <w:lang w:eastAsia="zh-CN" w:bidi="hi-IN"/>
              </w:rPr>
            </w:pPr>
            <w:r w:rsidRPr="00777124">
              <w:rPr>
                <w:kern w:val="2"/>
                <w:sz w:val="24"/>
                <w:szCs w:val="24"/>
                <w:lang w:eastAsia="zh-CN" w:bidi="hi-IN"/>
              </w:rPr>
              <w:t>НХЛ</w:t>
            </w:r>
          </w:p>
        </w:tc>
        <w:tc>
          <w:tcPr>
            <w:tcW w:w="1314" w:type="dxa"/>
          </w:tcPr>
          <w:p w14:paraId="10FEFB82" w14:textId="77777777" w:rsidR="00E43B8B" w:rsidRPr="00777124" w:rsidRDefault="00E43B8B" w:rsidP="002D3EBF">
            <w:pPr>
              <w:pStyle w:val="table-text-0"/>
              <w:rPr>
                <w:kern w:val="2"/>
                <w:sz w:val="24"/>
                <w:szCs w:val="24"/>
                <w:lang w:eastAsia="zh-CN" w:bidi="hi-IN"/>
              </w:rPr>
            </w:pPr>
            <w:r w:rsidRPr="00777124">
              <w:rPr>
                <w:kern w:val="2"/>
                <w:sz w:val="24"/>
                <w:szCs w:val="24"/>
                <w:lang w:val="x-none" w:eastAsia="zh-CN" w:bidi="hi-IN"/>
              </w:rPr>
              <w:t>15</w:t>
            </w:r>
          </w:p>
        </w:tc>
        <w:tc>
          <w:tcPr>
            <w:tcW w:w="1314" w:type="dxa"/>
          </w:tcPr>
          <w:p w14:paraId="21037156" w14:textId="77777777" w:rsidR="00E43B8B" w:rsidRPr="00777124" w:rsidRDefault="00E43B8B" w:rsidP="002D3EBF">
            <w:pPr>
              <w:pStyle w:val="table-text-0"/>
              <w:rPr>
                <w:kern w:val="2"/>
                <w:sz w:val="24"/>
                <w:szCs w:val="24"/>
                <w:lang w:eastAsia="zh-CN" w:bidi="hi-IN"/>
              </w:rPr>
            </w:pPr>
            <w:r w:rsidRPr="00777124">
              <w:rPr>
                <w:kern w:val="2"/>
                <w:sz w:val="24"/>
                <w:szCs w:val="24"/>
                <w:lang w:val="x-none" w:eastAsia="zh-CN" w:bidi="hi-IN"/>
              </w:rPr>
              <w:t>24</w:t>
            </w:r>
          </w:p>
        </w:tc>
        <w:tc>
          <w:tcPr>
            <w:tcW w:w="1314" w:type="dxa"/>
          </w:tcPr>
          <w:p w14:paraId="1C1FB22E" w14:textId="77777777" w:rsidR="00E43B8B" w:rsidRPr="00777124" w:rsidRDefault="00E43B8B" w:rsidP="002D3EBF">
            <w:pPr>
              <w:pStyle w:val="table-text-0"/>
              <w:rPr>
                <w:kern w:val="2"/>
                <w:sz w:val="24"/>
                <w:szCs w:val="24"/>
                <w:lang w:eastAsia="zh-CN" w:bidi="hi-IN"/>
              </w:rPr>
            </w:pPr>
            <w:r w:rsidRPr="00777124">
              <w:rPr>
                <w:kern w:val="2"/>
                <w:sz w:val="24"/>
                <w:szCs w:val="24"/>
                <w:lang w:val="x-none" w:eastAsia="zh-CN" w:bidi="hi-IN"/>
              </w:rPr>
              <w:t>28</w:t>
            </w:r>
          </w:p>
        </w:tc>
        <w:tc>
          <w:tcPr>
            <w:tcW w:w="1314" w:type="dxa"/>
          </w:tcPr>
          <w:p w14:paraId="0703628F" w14:textId="77777777" w:rsidR="00E43B8B" w:rsidRPr="00777124" w:rsidRDefault="00E43B8B" w:rsidP="002D3EBF">
            <w:pPr>
              <w:pStyle w:val="table-text-0"/>
              <w:rPr>
                <w:kern w:val="2"/>
                <w:sz w:val="24"/>
                <w:szCs w:val="24"/>
                <w:lang w:eastAsia="zh-CN" w:bidi="hi-IN"/>
              </w:rPr>
            </w:pPr>
            <w:r w:rsidRPr="00777124">
              <w:rPr>
                <w:kern w:val="2"/>
                <w:sz w:val="24"/>
                <w:szCs w:val="24"/>
                <w:lang w:val="x-none" w:eastAsia="zh-CN" w:bidi="hi-IN"/>
              </w:rPr>
              <w:t>30</w:t>
            </w:r>
          </w:p>
        </w:tc>
        <w:tc>
          <w:tcPr>
            <w:tcW w:w="1314" w:type="dxa"/>
          </w:tcPr>
          <w:p w14:paraId="27E8C53E" w14:textId="77777777" w:rsidR="00E43B8B" w:rsidRPr="00777124" w:rsidRDefault="00E43B8B" w:rsidP="002D3EBF">
            <w:pPr>
              <w:pStyle w:val="table-text-0"/>
              <w:rPr>
                <w:kern w:val="2"/>
                <w:sz w:val="24"/>
                <w:szCs w:val="24"/>
                <w:lang w:eastAsia="zh-CN" w:bidi="hi-IN"/>
              </w:rPr>
            </w:pPr>
            <w:r w:rsidRPr="00777124">
              <w:rPr>
                <w:kern w:val="2"/>
                <w:sz w:val="24"/>
                <w:szCs w:val="24"/>
                <w:lang w:val="x-none" w:eastAsia="zh-CN" w:bidi="hi-IN"/>
              </w:rPr>
              <w:t>34</w:t>
            </w:r>
          </w:p>
        </w:tc>
        <w:tc>
          <w:tcPr>
            <w:tcW w:w="1314" w:type="dxa"/>
          </w:tcPr>
          <w:p w14:paraId="27E3A554" w14:textId="77777777" w:rsidR="00E43B8B" w:rsidRPr="00777124" w:rsidRDefault="00E43B8B" w:rsidP="002D3EBF">
            <w:pPr>
              <w:pStyle w:val="table-text-0"/>
              <w:rPr>
                <w:kern w:val="2"/>
                <w:sz w:val="24"/>
                <w:szCs w:val="24"/>
                <w:lang w:eastAsia="zh-CN" w:bidi="hi-IN"/>
              </w:rPr>
            </w:pPr>
            <w:r w:rsidRPr="00777124">
              <w:rPr>
                <w:kern w:val="2"/>
                <w:sz w:val="24"/>
                <w:szCs w:val="24"/>
                <w:lang w:val="x-none" w:eastAsia="zh-CN" w:bidi="hi-IN"/>
              </w:rPr>
              <w:t>36</w:t>
            </w:r>
          </w:p>
        </w:tc>
        <w:tc>
          <w:tcPr>
            <w:tcW w:w="1314" w:type="dxa"/>
          </w:tcPr>
          <w:p w14:paraId="634A5E22" w14:textId="77777777" w:rsidR="00E43B8B" w:rsidRPr="00777124" w:rsidRDefault="00E43B8B" w:rsidP="002D3EBF">
            <w:pPr>
              <w:pStyle w:val="table-text-0"/>
              <w:rPr>
                <w:kern w:val="2"/>
                <w:sz w:val="24"/>
                <w:szCs w:val="24"/>
                <w:lang w:eastAsia="zh-CN" w:bidi="hi-IN"/>
              </w:rPr>
            </w:pPr>
            <w:r w:rsidRPr="00777124">
              <w:rPr>
                <w:kern w:val="2"/>
                <w:sz w:val="24"/>
                <w:szCs w:val="24"/>
                <w:lang w:val="x-none" w:eastAsia="zh-CN" w:bidi="hi-IN"/>
              </w:rPr>
              <w:t>38</w:t>
            </w:r>
          </w:p>
        </w:tc>
      </w:tr>
    </w:tbl>
    <w:p w14:paraId="192C6307" w14:textId="1729B4A4" w:rsidR="00E43B8B" w:rsidRDefault="00E43B8B" w:rsidP="00E43B8B">
      <w:pPr>
        <w:pStyle w:val="2"/>
        <w:rPr>
          <w:rFonts w:eastAsia="SimSun"/>
        </w:rPr>
      </w:pPr>
    </w:p>
    <w:p w14:paraId="27C0E008" w14:textId="48B0F7A5" w:rsidR="0060554D" w:rsidRPr="0060554D" w:rsidRDefault="003507C3" w:rsidP="0060554D">
      <w:pPr>
        <w:pStyle w:val="11"/>
      </w:pPr>
      <w:bookmarkStart w:id="302" w:name="_Toc65586441"/>
      <w:r w:rsidRPr="0033051F">
        <w:t>Приложение Г</w:t>
      </w:r>
      <w:r>
        <w:t xml:space="preserve">4. </w:t>
      </w:r>
      <w:bookmarkStart w:id="303" w:name="_Toc44401121"/>
      <w:r w:rsidR="0060554D" w:rsidRPr="00C04462">
        <w:rPr>
          <w:rFonts w:eastAsia="SimSun"/>
        </w:rPr>
        <w:t>Расчет трансплантационного риска по шкале HCT-CI</w:t>
      </w:r>
      <w:bookmarkEnd w:id="302"/>
      <w:bookmarkEnd w:id="303"/>
    </w:p>
    <w:p w14:paraId="2D5F66D4" w14:textId="629F0506" w:rsidR="0060554D" w:rsidRPr="00A74B56" w:rsidRDefault="0060554D" w:rsidP="0060554D">
      <w:pPr>
        <w:rPr>
          <w:rFonts w:eastAsia="SimSun"/>
          <w:szCs w:val="24"/>
        </w:rPr>
      </w:pPr>
      <w:r w:rsidRPr="00A74B56">
        <w:rPr>
          <w:rFonts w:eastAsia="SimSun"/>
          <w:szCs w:val="24"/>
        </w:rPr>
        <w:t xml:space="preserve">Оценка трансплантационного риска проводится при первичном рассмотрении пациента в качестве кандидата на проведение алло-ТГСК и повторно не более чем за 10 дней до начала предтрансплантационного кондиционирования </w:t>
      </w:r>
      <w:r w:rsidRPr="00A74B56">
        <w:rPr>
          <w:rFonts w:eastAsia="SimSun"/>
          <w:szCs w:val="24"/>
        </w:rPr>
        <w:fldChar w:fldCharType="begin" w:fldLock="1"/>
      </w:r>
      <w:r w:rsidR="00F040F8">
        <w:rPr>
          <w:rFonts w:eastAsia="SimSun"/>
          <w:szCs w:val="24"/>
        </w:rPr>
        <w:instrText>ADDIN CSL_CITATION {"citationItems":[{"id":"ITEM-1","itemData":{"DOI":"10.1182/blood-2005-05-2004","ISSN":"0006-4971","PMID":"15994282","abstract":"We previously reported that the Charlson Comorbidity Index (CCI) was useful for predicting outcomes in patients undergoing allogeneic hematopoietic cell transplantation (HCT). However, the sample size of patients with scores of 1 or more, captured by the CCI, did not exceed 35%. Further, some comorbidities were rarely found among patients who underwent HCT. Therefore, the current study was designed to (1) better define previously identified comorbidities using pretransplant laboratory data, (2) investigate additional HCT-related comorbidities, and (3) establish comorbidity scores that were suited for HCT. Data were collected from 1055 patients, and then randomly divided into training and validation sets. Weights were assigned to individual comorbidities according to their prognostic significance in Cox proportional hazard models. The new index was then validated. The new index proved to be more sensitive than the CCI since it captured 62% of patients with scores more than 0 compared with 12%, respectively. Further, the new index showed better survival prediction than the CCI (likelihood ratio of 23.7 versus 7.1 and c statistics of 0.661 versus 0.561, respectively, P &lt; .001). In conclusion, the new simple index provided valid and reliable scoring of pretransplant comorbidities that predicted nonrelapse mortality and survival. This index will be useful for clinical trials and patient counseling before HCT.","author":[{"dropping-particle":"","family":"Sorror","given":"Mohamed L","non-dropping-particle":"","parse-names":false,"suffix":""},{"dropping-particle":"","family":"Maris","given":"Michael B","non-dropping-particle":"","parse-names":false,"suffix":""},{"dropping-particle":"","family":"Storb","given":"Rainer","non-dropping-particle":"","parse-names":false,"suffix":""},{"dropping-particle":"","family":"Baron","given":"Frederic","non-dropping-particle":"","parse-names":false,"suffix":""},{"dropping-particle":"","family":"Sandmaier","given":"Brenda M","non-dropping-particle":"","parse-names":false,"suffix":""},{"dropping-particle":"","family":"Maloney","given":"David G","non-dropping-particle":"","parse-names":false,"suffix":""},{"dropping-particle":"","family":"Storer","given":"Barry","non-dropping-particle":"","parse-names":false,"suffix":""}],"container-title":"Blood","id":"ITEM-1","issue":"8","issued":{"date-parts":[["2005","10","15"]]},"page":"2912-9","publisher":"The American Society of Hematology","title":"Hematopoietic cell transplantation (HCT)-specific comorbidity index: a new tool for risk assessment before allogeneic HCT.","type":"article-journal","volume":"106"},"uris":["http://www.mendeley.com/documents/?uuid=93f8ea95-5d4b-450a-a6fa-9a8772dd6e52"]},{"id":"ITEM-2","itemData":{"DOI":"10.1016/j.bbmt.2015.04.004","ISSN":"15236536","PMID":"25862591","abstract":"Prospective validation of the hematopoietic cell transplantation-comorbidity index (HCT-CI) using contemporary patients treated with hematopoietic cell transplantation (HCT) across the Unites States is necessary to confirm its widespread applicability. We performed a prospective observational study including all patients (8115 recipients of allogeneic and 11,652 recipients of autologous HCT) who underwent a first HCT that was reported to the Center for International Blood and Marrow Transplant Research between 2007 and 2009. In proportional hazards models, increased HCT-CI scores were independent</w:instrText>
      </w:r>
      <w:r w:rsidR="00F040F8">
        <w:rPr>
          <w:rFonts w:eastAsia="SimSun" w:hint="eastAsia"/>
          <w:szCs w:val="24"/>
        </w:rPr>
        <w:instrText xml:space="preserve">ly associated with increases in hazard ratios for nonrelapse mortality (NRM) (P &lt;.0001) and overall mortality (P &lt;.0001) among recipients of allogeneic HCT. HCT-CI scores of </w:instrText>
      </w:r>
      <w:r w:rsidR="00F040F8">
        <w:rPr>
          <w:rFonts w:eastAsia="SimSun" w:hint="eastAsia"/>
          <w:szCs w:val="24"/>
        </w:rPr>
        <w:instrText>≥</w:instrText>
      </w:r>
      <w:r w:rsidR="00F040F8">
        <w:rPr>
          <w:rFonts w:eastAsia="SimSun" w:hint="eastAsia"/>
          <w:szCs w:val="24"/>
        </w:rPr>
        <w:instrText>3 were uniformly associated with higher risks for outcomes in both allogeneic an</w:instrText>
      </w:r>
      <w:r w:rsidR="00F040F8">
        <w:rPr>
          <w:rFonts w:eastAsia="SimSun"/>
          <w:szCs w:val="24"/>
        </w:rPr>
        <w:instrText>d autologous HCT and in all subgroups, regardless of diagnoses, age, and conditioning intensity. Recipients of allogeneic HCT with scores of 1 and 2 who were ages &lt; 18 years or were treated with lower intensity conditioning regimens had similar outcomes compared with those with a score of 0. Higher risks for overall mortality, but not for NRM, were observed among recipients of autologous HCT with scores of 1 and 2 versus 0. Our results confirm the validity the HCT-CI in both allogeneic and autologous HCT. The index should be used as a valid standard-of-care health measure in counseling patients for HCT, in clinical trial design, and in adjusting outcome analyses.","author":[{"dropping-particle":"","family":"Sorror","given":"Mohamed L.","non-dropping-particle":"","parse-names":false,"suffix":""},{"dropping-particle":"","family":"Logan","given":"Brent R.","non-dropping-particle":"","parse-names":false,"suffix":""},{"dropping-particle":"","family":"Zhu","given":"Xiaochun","non-dropping-particle":"","parse-names":false,"suffix":""},{"dropping-particle":"","family":"Rizzo","given":"J. Douglas","non-dropping-particle":"","parse-names":false,"suffix":""},{"dropping-particle":"","family":"Cooke","given":"Kenneth R.","non-dropping-particle":"","parse-names":false,"suffix":""},{"dropping-particle":"","family":"McCarthy","given":"Philip L.","non-dropping-particle":"","parse-names":false,"suffix":""},{"dropping-particle":"","family":"Ho","given":"Vincent T.","non-dropping-particle":"","parse-names":false,"suffix":""},{"dropping-particle":"","family":"Horowitz","given":"Mary M.","non-dropping-particle":"","parse-names":false,"suffix":""},{"dropping-particle":"","family":"Pasquini","given":"Marcelo C.","non-dropping-particle":"","parse-names":false,"suffix":""}],"container-title":"Biology of Blood and Marrow Transplantation","id":"ITEM-2","issue":"8","issued":{"date-parts":[["2015","8","1"]]},"page":"1479-1487","publisher":"Elsevier Inc.","title":"Prospective Validation of the Predictive Power of the Hematopoietic Cell Transplantation Comorbidity Index: A Center for International Blood and Marrow Transplant Research Study","type":"article-journal","volume":"21"},"uris":["http://www.mendeley.com/documents/?uuid=1496af32-057f-32b7-b663-4fa3a7769799"]}],"mendeley":{"formattedCitation":"[214,215]","plainTextFormattedCitation":"[214,215]","previouslyFormattedCitation":"[214,215]"},"properties":{"noteIndex":0},"schema":"https://github.com/citation-style-language/schema/raw/master/csl-citation.json"}</w:instrText>
      </w:r>
      <w:r w:rsidRPr="00A74B56">
        <w:rPr>
          <w:rFonts w:eastAsia="SimSun"/>
          <w:szCs w:val="24"/>
        </w:rPr>
        <w:fldChar w:fldCharType="separate"/>
      </w:r>
      <w:r w:rsidR="005C0C1F" w:rsidRPr="005C0C1F">
        <w:rPr>
          <w:rFonts w:eastAsia="SimSun"/>
          <w:noProof/>
          <w:szCs w:val="24"/>
        </w:rPr>
        <w:t>[214,215]</w:t>
      </w:r>
      <w:r w:rsidRPr="00A74B56">
        <w:rPr>
          <w:rFonts w:eastAsia="SimSun"/>
          <w:szCs w:val="24"/>
        </w:rPr>
        <w:fldChar w:fldCharType="end"/>
      </w:r>
      <w:r w:rsidRPr="00A74B56">
        <w:rPr>
          <w:rFonts w:eastAsia="SimSun"/>
          <w:szCs w:val="24"/>
        </w:rPr>
        <w:t>.</w:t>
      </w:r>
    </w:p>
    <w:p w14:paraId="3FF89747" w14:textId="77777777" w:rsidR="0060554D" w:rsidRPr="00A74B56" w:rsidRDefault="0060554D" w:rsidP="0060554D">
      <w:pPr>
        <w:rPr>
          <w:rFonts w:eastAsia="SimSun"/>
          <w:szCs w:val="24"/>
        </w:rPr>
      </w:pPr>
      <w:r w:rsidRPr="00A74B56">
        <w:rPr>
          <w:rFonts w:eastAsia="SimSun"/>
          <w:szCs w:val="24"/>
        </w:rPr>
        <w:t>Низкий риск — 0 баллов.</w:t>
      </w:r>
    </w:p>
    <w:p w14:paraId="3ED0447A" w14:textId="77777777" w:rsidR="0060554D" w:rsidRPr="00A74B56" w:rsidRDefault="0060554D" w:rsidP="0060554D">
      <w:pPr>
        <w:rPr>
          <w:rFonts w:eastAsia="SimSun"/>
          <w:szCs w:val="24"/>
        </w:rPr>
      </w:pPr>
      <w:r w:rsidRPr="00A74B56">
        <w:rPr>
          <w:rFonts w:eastAsia="SimSun"/>
          <w:szCs w:val="24"/>
        </w:rPr>
        <w:t>Промежуточный риск — 1–2 балла.</w:t>
      </w:r>
    </w:p>
    <w:p w14:paraId="56DFD350" w14:textId="77777777" w:rsidR="0060554D" w:rsidRPr="00A74B56" w:rsidRDefault="0060554D" w:rsidP="0060554D">
      <w:pPr>
        <w:rPr>
          <w:rFonts w:eastAsia="SimSun"/>
          <w:szCs w:val="24"/>
        </w:rPr>
      </w:pPr>
      <w:r w:rsidRPr="00A74B56">
        <w:rPr>
          <w:rFonts w:eastAsia="SimSun"/>
          <w:szCs w:val="24"/>
        </w:rPr>
        <w:t>Высокий риск — 3–4 балла.</w:t>
      </w:r>
    </w:p>
    <w:p w14:paraId="63BA797B" w14:textId="77777777" w:rsidR="0060554D" w:rsidRPr="00A74B56" w:rsidRDefault="0060554D" w:rsidP="0060554D">
      <w:pPr>
        <w:rPr>
          <w:rFonts w:eastAsia="SimSun"/>
          <w:szCs w:val="24"/>
        </w:rPr>
      </w:pPr>
      <w:r w:rsidRPr="00A74B56">
        <w:rPr>
          <w:rFonts w:eastAsia="SimSun"/>
          <w:szCs w:val="24"/>
        </w:rPr>
        <w:t>Крайне высокий — 5 и более баллов.</w:t>
      </w:r>
    </w:p>
    <w:tbl>
      <w:tblPr>
        <w:tblW w:w="1009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18"/>
        <w:gridCol w:w="1377"/>
      </w:tblGrid>
      <w:tr w:rsidR="0060554D" w:rsidRPr="00C07B2E" w14:paraId="51FCAD26" w14:textId="77777777" w:rsidTr="003077E7">
        <w:tc>
          <w:tcPr>
            <w:tcW w:w="8718" w:type="dxa"/>
            <w:vAlign w:val="center"/>
          </w:tcPr>
          <w:p w14:paraId="03D34039" w14:textId="77777777" w:rsidR="0060554D" w:rsidRPr="008025C0" w:rsidRDefault="0060554D" w:rsidP="00CA697A">
            <w:pPr>
              <w:pStyle w:val="table-name"/>
              <w:ind w:firstLine="0"/>
              <w:rPr>
                <w:rFonts w:eastAsia="SimSun"/>
                <w:sz w:val="24"/>
                <w:szCs w:val="24"/>
              </w:rPr>
            </w:pPr>
            <w:r w:rsidRPr="008025C0">
              <w:rPr>
                <w:rFonts w:eastAsia="SimSun"/>
                <w:sz w:val="24"/>
                <w:szCs w:val="24"/>
              </w:rPr>
              <w:t>Статус</w:t>
            </w:r>
          </w:p>
        </w:tc>
        <w:tc>
          <w:tcPr>
            <w:tcW w:w="1377" w:type="dxa"/>
            <w:vAlign w:val="center"/>
          </w:tcPr>
          <w:p w14:paraId="5A538AB2" w14:textId="77777777" w:rsidR="0060554D" w:rsidRPr="008025C0" w:rsidRDefault="0060554D" w:rsidP="00CA697A">
            <w:pPr>
              <w:pStyle w:val="table-name"/>
              <w:ind w:firstLine="0"/>
              <w:rPr>
                <w:rFonts w:eastAsia="SimSun"/>
                <w:sz w:val="24"/>
                <w:szCs w:val="24"/>
              </w:rPr>
            </w:pPr>
            <w:r w:rsidRPr="008025C0">
              <w:rPr>
                <w:rFonts w:eastAsia="SimSun"/>
                <w:sz w:val="24"/>
                <w:szCs w:val="24"/>
              </w:rPr>
              <w:t>Баллы</w:t>
            </w:r>
          </w:p>
        </w:tc>
      </w:tr>
      <w:tr w:rsidR="0060554D" w:rsidRPr="00C07B2E" w14:paraId="0E8FBAB2" w14:textId="77777777" w:rsidTr="003077E7">
        <w:tc>
          <w:tcPr>
            <w:tcW w:w="8718" w:type="dxa"/>
            <w:vAlign w:val="center"/>
          </w:tcPr>
          <w:p w14:paraId="658B6684" w14:textId="77777777" w:rsidR="0060554D" w:rsidRPr="008025C0" w:rsidRDefault="0060554D" w:rsidP="002D3EBF">
            <w:pPr>
              <w:pStyle w:val="table-head-left"/>
              <w:rPr>
                <w:rFonts w:eastAsia="SimSun"/>
                <w:szCs w:val="24"/>
              </w:rPr>
            </w:pPr>
            <w:r w:rsidRPr="008025C0">
              <w:rPr>
                <w:rFonts w:eastAsia="SimSun"/>
                <w:szCs w:val="24"/>
              </w:rPr>
              <w:t>Дыхательная система</w:t>
            </w:r>
          </w:p>
        </w:tc>
        <w:tc>
          <w:tcPr>
            <w:tcW w:w="1377" w:type="dxa"/>
            <w:vAlign w:val="center"/>
          </w:tcPr>
          <w:p w14:paraId="2FE8BC62" w14:textId="77777777" w:rsidR="0060554D" w:rsidRPr="008025C0" w:rsidRDefault="0060554D" w:rsidP="002D3EBF">
            <w:pPr>
              <w:pStyle w:val="table-head-left"/>
              <w:rPr>
                <w:rFonts w:eastAsia="SimSun"/>
                <w:szCs w:val="24"/>
              </w:rPr>
            </w:pPr>
          </w:p>
        </w:tc>
      </w:tr>
      <w:tr w:rsidR="0060554D" w:rsidRPr="00C07B2E" w14:paraId="1C73D66C" w14:textId="77777777" w:rsidTr="003077E7">
        <w:tc>
          <w:tcPr>
            <w:tcW w:w="8718" w:type="dxa"/>
            <w:vAlign w:val="center"/>
          </w:tcPr>
          <w:p w14:paraId="3AF9EFE5" w14:textId="77777777" w:rsidR="0060554D" w:rsidRPr="0060554D" w:rsidRDefault="0060554D" w:rsidP="002D3EBF">
            <w:pPr>
              <w:pStyle w:val="table-text-0"/>
              <w:rPr>
                <w:rFonts w:eastAsia="SimSun"/>
                <w:sz w:val="24"/>
                <w:szCs w:val="24"/>
                <w:lang w:val="ru-RU"/>
              </w:rPr>
            </w:pPr>
            <w:r w:rsidRPr="0060554D">
              <w:rPr>
                <w:sz w:val="24"/>
                <w:szCs w:val="24"/>
                <w:lang w:val="ru-RU"/>
              </w:rPr>
              <w:t>ОФВ1 66–80% или одышка при небольшой физической нагрузке</w:t>
            </w:r>
          </w:p>
        </w:tc>
        <w:tc>
          <w:tcPr>
            <w:tcW w:w="1377" w:type="dxa"/>
            <w:vAlign w:val="center"/>
          </w:tcPr>
          <w:p w14:paraId="2174E4A2" w14:textId="77777777" w:rsidR="0060554D" w:rsidRPr="008025C0" w:rsidRDefault="0060554D" w:rsidP="002D3EBF">
            <w:pPr>
              <w:pStyle w:val="table-text-0"/>
              <w:rPr>
                <w:rFonts w:eastAsia="SimSun"/>
                <w:sz w:val="24"/>
                <w:szCs w:val="24"/>
              </w:rPr>
            </w:pPr>
            <w:r w:rsidRPr="008025C0">
              <w:rPr>
                <w:rFonts w:eastAsia="SimSun"/>
                <w:sz w:val="24"/>
                <w:szCs w:val="24"/>
              </w:rPr>
              <w:t>2</w:t>
            </w:r>
          </w:p>
        </w:tc>
      </w:tr>
      <w:tr w:rsidR="0060554D" w:rsidRPr="00C07B2E" w14:paraId="410FB924" w14:textId="77777777" w:rsidTr="003077E7">
        <w:tc>
          <w:tcPr>
            <w:tcW w:w="8718" w:type="dxa"/>
            <w:vAlign w:val="center"/>
          </w:tcPr>
          <w:p w14:paraId="22F5B039" w14:textId="77777777" w:rsidR="0060554D" w:rsidRPr="0060554D" w:rsidRDefault="0060554D" w:rsidP="002D3EBF">
            <w:pPr>
              <w:pStyle w:val="table-text-0"/>
              <w:rPr>
                <w:sz w:val="24"/>
                <w:szCs w:val="24"/>
                <w:lang w:val="ru-RU"/>
              </w:rPr>
            </w:pPr>
            <w:r w:rsidRPr="0060554D">
              <w:rPr>
                <w:sz w:val="24"/>
                <w:szCs w:val="24"/>
                <w:lang w:val="ru-RU"/>
              </w:rPr>
              <w:t xml:space="preserve">ОФВ1 </w:t>
            </w:r>
            <w:r w:rsidRPr="0060554D">
              <w:rPr>
                <w:rFonts w:eastAsia="SimSun"/>
                <w:sz w:val="24"/>
                <w:szCs w:val="24"/>
                <w:lang w:val="ru-RU"/>
              </w:rPr>
              <w:t>≤</w:t>
            </w:r>
            <w:r w:rsidRPr="0060554D">
              <w:rPr>
                <w:sz w:val="24"/>
                <w:szCs w:val="24"/>
                <w:lang w:val="ru-RU"/>
              </w:rPr>
              <w:t xml:space="preserve"> 65% или одышка в покое или потребность в кислородной поддержке</w:t>
            </w:r>
          </w:p>
        </w:tc>
        <w:tc>
          <w:tcPr>
            <w:tcW w:w="1377" w:type="dxa"/>
            <w:vAlign w:val="center"/>
          </w:tcPr>
          <w:p w14:paraId="46763D05" w14:textId="77777777" w:rsidR="0060554D" w:rsidRPr="008025C0" w:rsidRDefault="0060554D" w:rsidP="002D3EBF">
            <w:pPr>
              <w:pStyle w:val="table-text-0"/>
              <w:rPr>
                <w:rFonts w:eastAsia="SimSun"/>
                <w:sz w:val="24"/>
                <w:szCs w:val="24"/>
              </w:rPr>
            </w:pPr>
            <w:r w:rsidRPr="008025C0">
              <w:rPr>
                <w:rFonts w:eastAsia="SimSun"/>
                <w:sz w:val="24"/>
                <w:szCs w:val="24"/>
              </w:rPr>
              <w:t>3</w:t>
            </w:r>
          </w:p>
        </w:tc>
      </w:tr>
      <w:tr w:rsidR="0060554D" w:rsidRPr="00C07B2E" w14:paraId="192B7F22" w14:textId="77777777" w:rsidTr="003077E7">
        <w:tc>
          <w:tcPr>
            <w:tcW w:w="8718" w:type="dxa"/>
            <w:vAlign w:val="center"/>
          </w:tcPr>
          <w:p w14:paraId="133E6921" w14:textId="77777777" w:rsidR="0060554D" w:rsidRPr="008025C0" w:rsidRDefault="0060554D" w:rsidP="002D3EBF">
            <w:pPr>
              <w:pStyle w:val="table-head-left"/>
              <w:rPr>
                <w:rFonts w:eastAsia="SimSun"/>
                <w:szCs w:val="24"/>
              </w:rPr>
            </w:pPr>
            <w:r w:rsidRPr="008025C0">
              <w:rPr>
                <w:rFonts w:eastAsia="SimSun"/>
                <w:szCs w:val="24"/>
              </w:rPr>
              <w:t>Сердечно-сосудистая система</w:t>
            </w:r>
          </w:p>
        </w:tc>
        <w:tc>
          <w:tcPr>
            <w:tcW w:w="1377" w:type="dxa"/>
            <w:vAlign w:val="center"/>
          </w:tcPr>
          <w:p w14:paraId="5C53E2AA" w14:textId="77777777" w:rsidR="0060554D" w:rsidRPr="008025C0" w:rsidRDefault="0060554D" w:rsidP="002D3EBF">
            <w:pPr>
              <w:tabs>
                <w:tab w:val="left" w:pos="567"/>
              </w:tabs>
              <w:spacing w:line="240" w:lineRule="auto"/>
              <w:jc w:val="center"/>
              <w:rPr>
                <w:rFonts w:eastAsia="SimSun"/>
                <w:szCs w:val="24"/>
              </w:rPr>
            </w:pPr>
          </w:p>
        </w:tc>
      </w:tr>
      <w:tr w:rsidR="0060554D" w:rsidRPr="00C07B2E" w14:paraId="46823709" w14:textId="77777777" w:rsidTr="003077E7">
        <w:tc>
          <w:tcPr>
            <w:tcW w:w="8718" w:type="dxa"/>
            <w:vAlign w:val="center"/>
          </w:tcPr>
          <w:p w14:paraId="34B8F9FE" w14:textId="77777777" w:rsidR="0060554D" w:rsidRPr="0060554D" w:rsidRDefault="0060554D" w:rsidP="002D3EBF">
            <w:pPr>
              <w:pStyle w:val="table-text-0"/>
              <w:rPr>
                <w:rFonts w:eastAsia="SimSun"/>
                <w:sz w:val="24"/>
                <w:szCs w:val="24"/>
                <w:lang w:val="ru-RU"/>
              </w:rPr>
            </w:pPr>
            <w:r w:rsidRPr="0060554D">
              <w:rPr>
                <w:sz w:val="24"/>
                <w:szCs w:val="24"/>
                <w:lang w:val="ru-RU"/>
              </w:rPr>
              <w:t>Мерцательная аритмия или трепетание предсердий, синдром слабости синусового узла или желудочковые аритмии</w:t>
            </w:r>
          </w:p>
        </w:tc>
        <w:tc>
          <w:tcPr>
            <w:tcW w:w="1377" w:type="dxa"/>
            <w:vAlign w:val="center"/>
          </w:tcPr>
          <w:p w14:paraId="375B596B" w14:textId="77777777" w:rsidR="0060554D" w:rsidRPr="008025C0" w:rsidRDefault="0060554D" w:rsidP="002D3EBF">
            <w:pPr>
              <w:pStyle w:val="table-text-0"/>
              <w:rPr>
                <w:rFonts w:eastAsia="SimSun"/>
                <w:sz w:val="24"/>
                <w:szCs w:val="24"/>
              </w:rPr>
            </w:pPr>
            <w:r w:rsidRPr="008025C0">
              <w:rPr>
                <w:rFonts w:eastAsia="SimSun"/>
                <w:sz w:val="24"/>
                <w:szCs w:val="24"/>
              </w:rPr>
              <w:t>1</w:t>
            </w:r>
          </w:p>
        </w:tc>
      </w:tr>
      <w:tr w:rsidR="0060554D" w:rsidRPr="00C07B2E" w14:paraId="4791B054" w14:textId="77777777" w:rsidTr="003077E7">
        <w:tc>
          <w:tcPr>
            <w:tcW w:w="8718" w:type="dxa"/>
            <w:vAlign w:val="center"/>
          </w:tcPr>
          <w:p w14:paraId="0C8633F5" w14:textId="77777777" w:rsidR="0060554D" w:rsidRPr="0060554D" w:rsidRDefault="0060554D" w:rsidP="002D3EBF">
            <w:pPr>
              <w:pStyle w:val="table-text-0"/>
              <w:rPr>
                <w:rFonts w:eastAsia="SimSun"/>
                <w:sz w:val="24"/>
                <w:szCs w:val="24"/>
                <w:lang w:val="ru-RU"/>
              </w:rPr>
            </w:pPr>
            <w:r w:rsidRPr="0060554D">
              <w:rPr>
                <w:sz w:val="24"/>
                <w:szCs w:val="24"/>
                <w:lang w:val="ru-RU"/>
              </w:rPr>
              <w:t>Ишемическая болезнь сердца, застойная сердечная недостаточность, инфаркт миокарда или фракция выброса менее 50%</w:t>
            </w:r>
          </w:p>
        </w:tc>
        <w:tc>
          <w:tcPr>
            <w:tcW w:w="1377" w:type="dxa"/>
            <w:vAlign w:val="center"/>
          </w:tcPr>
          <w:p w14:paraId="1383EFC2" w14:textId="77777777" w:rsidR="0060554D" w:rsidRPr="008025C0" w:rsidRDefault="0060554D" w:rsidP="002D3EBF">
            <w:pPr>
              <w:pStyle w:val="table-text-0"/>
              <w:rPr>
                <w:rFonts w:eastAsia="SimSun"/>
                <w:sz w:val="24"/>
                <w:szCs w:val="24"/>
              </w:rPr>
            </w:pPr>
            <w:r w:rsidRPr="008025C0">
              <w:rPr>
                <w:rFonts w:eastAsia="SimSun"/>
                <w:sz w:val="24"/>
                <w:szCs w:val="24"/>
              </w:rPr>
              <w:t>1</w:t>
            </w:r>
          </w:p>
        </w:tc>
      </w:tr>
      <w:tr w:rsidR="0060554D" w:rsidRPr="00C07B2E" w14:paraId="01A197A2" w14:textId="77777777" w:rsidTr="003077E7">
        <w:tc>
          <w:tcPr>
            <w:tcW w:w="8718" w:type="dxa"/>
            <w:vAlign w:val="center"/>
          </w:tcPr>
          <w:p w14:paraId="3B2671F7" w14:textId="77777777" w:rsidR="0060554D" w:rsidRPr="0060554D" w:rsidRDefault="0060554D" w:rsidP="002D3EBF">
            <w:pPr>
              <w:pStyle w:val="table-text-0"/>
              <w:rPr>
                <w:rFonts w:eastAsia="SimSun"/>
                <w:sz w:val="24"/>
                <w:szCs w:val="24"/>
                <w:lang w:val="ru-RU"/>
              </w:rPr>
            </w:pPr>
            <w:r w:rsidRPr="0060554D">
              <w:rPr>
                <w:sz w:val="24"/>
                <w:szCs w:val="24"/>
                <w:lang w:val="ru-RU"/>
              </w:rPr>
              <w:t>Пороки сердца за исключением пролапса митрального клапана</w:t>
            </w:r>
          </w:p>
        </w:tc>
        <w:tc>
          <w:tcPr>
            <w:tcW w:w="1377" w:type="dxa"/>
            <w:vAlign w:val="center"/>
          </w:tcPr>
          <w:p w14:paraId="4CEED657" w14:textId="77777777" w:rsidR="0060554D" w:rsidRPr="008025C0" w:rsidRDefault="0060554D" w:rsidP="002D3EBF">
            <w:pPr>
              <w:pStyle w:val="table-text-0"/>
              <w:rPr>
                <w:rFonts w:eastAsia="SimSun"/>
                <w:sz w:val="24"/>
                <w:szCs w:val="24"/>
              </w:rPr>
            </w:pPr>
            <w:r w:rsidRPr="008025C0">
              <w:rPr>
                <w:rFonts w:eastAsia="SimSun"/>
                <w:sz w:val="24"/>
                <w:szCs w:val="24"/>
              </w:rPr>
              <w:t>1</w:t>
            </w:r>
          </w:p>
        </w:tc>
      </w:tr>
      <w:tr w:rsidR="0060554D" w:rsidRPr="00C07B2E" w14:paraId="5D5F73C4" w14:textId="77777777" w:rsidTr="003077E7">
        <w:tc>
          <w:tcPr>
            <w:tcW w:w="8718" w:type="dxa"/>
            <w:vAlign w:val="center"/>
          </w:tcPr>
          <w:p w14:paraId="2F42D507" w14:textId="77777777" w:rsidR="0060554D" w:rsidRPr="008025C0" w:rsidRDefault="0060554D" w:rsidP="002D3EBF">
            <w:pPr>
              <w:pStyle w:val="table-head-left"/>
              <w:rPr>
                <w:rFonts w:eastAsia="SimSun"/>
                <w:szCs w:val="24"/>
              </w:rPr>
            </w:pPr>
            <w:r w:rsidRPr="008025C0">
              <w:rPr>
                <w:rFonts w:eastAsia="SimSun"/>
                <w:szCs w:val="24"/>
              </w:rPr>
              <w:t>ЖКТ</w:t>
            </w:r>
          </w:p>
        </w:tc>
        <w:tc>
          <w:tcPr>
            <w:tcW w:w="1377" w:type="dxa"/>
            <w:vAlign w:val="center"/>
          </w:tcPr>
          <w:p w14:paraId="31F349B5" w14:textId="77777777" w:rsidR="0060554D" w:rsidRPr="008025C0" w:rsidRDefault="0060554D" w:rsidP="002D3EBF">
            <w:pPr>
              <w:pStyle w:val="table-head-left"/>
              <w:rPr>
                <w:rFonts w:eastAsia="SimSun"/>
                <w:szCs w:val="24"/>
              </w:rPr>
            </w:pPr>
          </w:p>
        </w:tc>
      </w:tr>
      <w:tr w:rsidR="0060554D" w:rsidRPr="00C07B2E" w14:paraId="1EA4BF56" w14:textId="77777777" w:rsidTr="003077E7">
        <w:tc>
          <w:tcPr>
            <w:tcW w:w="8718" w:type="dxa"/>
            <w:vAlign w:val="center"/>
          </w:tcPr>
          <w:p w14:paraId="31E90194" w14:textId="77777777" w:rsidR="0060554D" w:rsidRPr="0060554D" w:rsidRDefault="0060554D" w:rsidP="002D3EBF">
            <w:pPr>
              <w:pStyle w:val="table-text-0"/>
              <w:rPr>
                <w:rFonts w:eastAsia="SimSun"/>
                <w:sz w:val="24"/>
                <w:szCs w:val="24"/>
                <w:lang w:val="ru-RU"/>
              </w:rPr>
            </w:pPr>
            <w:r w:rsidRPr="0060554D">
              <w:rPr>
                <w:sz w:val="24"/>
                <w:szCs w:val="24"/>
                <w:lang w:val="ru-RU"/>
              </w:rPr>
              <w:t>Хронический гепатит, билирубин до 1,5 норм или АЛТ либо АСТ до 2,5 норм</w:t>
            </w:r>
          </w:p>
        </w:tc>
        <w:tc>
          <w:tcPr>
            <w:tcW w:w="1377" w:type="dxa"/>
            <w:vAlign w:val="center"/>
          </w:tcPr>
          <w:p w14:paraId="52EE64FA" w14:textId="77777777" w:rsidR="0060554D" w:rsidRPr="008025C0" w:rsidRDefault="0060554D" w:rsidP="002D3EBF">
            <w:pPr>
              <w:pStyle w:val="table-text-0"/>
              <w:rPr>
                <w:rFonts w:eastAsia="SimSun"/>
                <w:sz w:val="24"/>
                <w:szCs w:val="24"/>
              </w:rPr>
            </w:pPr>
            <w:r w:rsidRPr="008025C0">
              <w:rPr>
                <w:rFonts w:eastAsia="SimSun"/>
                <w:sz w:val="24"/>
                <w:szCs w:val="24"/>
              </w:rPr>
              <w:t>1</w:t>
            </w:r>
          </w:p>
        </w:tc>
      </w:tr>
      <w:tr w:rsidR="0060554D" w:rsidRPr="00C07B2E" w14:paraId="49730316" w14:textId="77777777" w:rsidTr="003077E7">
        <w:tc>
          <w:tcPr>
            <w:tcW w:w="8718" w:type="dxa"/>
            <w:vAlign w:val="center"/>
          </w:tcPr>
          <w:p w14:paraId="314D0B07" w14:textId="77777777" w:rsidR="0060554D" w:rsidRPr="0060554D" w:rsidRDefault="0060554D" w:rsidP="002D3EBF">
            <w:pPr>
              <w:pStyle w:val="table-text-0"/>
              <w:rPr>
                <w:rFonts w:eastAsia="SimSun"/>
                <w:sz w:val="24"/>
                <w:szCs w:val="24"/>
                <w:lang w:val="ru-RU"/>
              </w:rPr>
            </w:pPr>
            <w:r w:rsidRPr="0060554D">
              <w:rPr>
                <w:sz w:val="24"/>
                <w:szCs w:val="24"/>
                <w:lang w:val="ru-RU"/>
              </w:rPr>
              <w:t>Цирроз, билирубин более 1,5 норм или АЛТ либо АСТ более 2,5 норм</w:t>
            </w:r>
          </w:p>
        </w:tc>
        <w:tc>
          <w:tcPr>
            <w:tcW w:w="1377" w:type="dxa"/>
            <w:vAlign w:val="center"/>
          </w:tcPr>
          <w:p w14:paraId="73ACDBA3" w14:textId="77777777" w:rsidR="0060554D" w:rsidRPr="008025C0" w:rsidRDefault="0060554D" w:rsidP="002D3EBF">
            <w:pPr>
              <w:pStyle w:val="table-text-0"/>
              <w:rPr>
                <w:rFonts w:eastAsia="SimSun"/>
                <w:sz w:val="24"/>
                <w:szCs w:val="24"/>
              </w:rPr>
            </w:pPr>
            <w:r w:rsidRPr="008025C0">
              <w:rPr>
                <w:rFonts w:eastAsia="SimSun"/>
                <w:sz w:val="24"/>
                <w:szCs w:val="24"/>
              </w:rPr>
              <w:t>3</w:t>
            </w:r>
          </w:p>
        </w:tc>
      </w:tr>
      <w:tr w:rsidR="0060554D" w:rsidRPr="00C07B2E" w14:paraId="5058A3BC" w14:textId="77777777" w:rsidTr="003077E7">
        <w:tc>
          <w:tcPr>
            <w:tcW w:w="8718" w:type="dxa"/>
            <w:vAlign w:val="center"/>
          </w:tcPr>
          <w:p w14:paraId="5C4A3B08" w14:textId="77777777" w:rsidR="0060554D" w:rsidRPr="0060554D" w:rsidRDefault="0060554D" w:rsidP="002D3EBF">
            <w:pPr>
              <w:pStyle w:val="table-text-0"/>
              <w:rPr>
                <w:sz w:val="24"/>
                <w:szCs w:val="24"/>
                <w:lang w:val="ru-RU"/>
              </w:rPr>
            </w:pPr>
            <w:r w:rsidRPr="0060554D">
              <w:rPr>
                <w:sz w:val="24"/>
                <w:szCs w:val="24"/>
                <w:lang w:val="ru-RU"/>
              </w:rPr>
              <w:t>Болезнь Крона или язвенный колит</w:t>
            </w:r>
          </w:p>
        </w:tc>
        <w:tc>
          <w:tcPr>
            <w:tcW w:w="1377" w:type="dxa"/>
            <w:vAlign w:val="center"/>
          </w:tcPr>
          <w:p w14:paraId="26C78C28" w14:textId="77777777" w:rsidR="0060554D" w:rsidRPr="008025C0" w:rsidRDefault="0060554D" w:rsidP="002D3EBF">
            <w:pPr>
              <w:pStyle w:val="table-text-0"/>
              <w:rPr>
                <w:rFonts w:eastAsia="SimSun"/>
                <w:sz w:val="24"/>
                <w:szCs w:val="24"/>
              </w:rPr>
            </w:pPr>
            <w:r w:rsidRPr="008025C0">
              <w:rPr>
                <w:rFonts w:eastAsia="SimSun"/>
                <w:sz w:val="24"/>
                <w:szCs w:val="24"/>
              </w:rPr>
              <w:t>1</w:t>
            </w:r>
          </w:p>
        </w:tc>
      </w:tr>
      <w:tr w:rsidR="0060554D" w:rsidRPr="00C07B2E" w14:paraId="76F26C83" w14:textId="77777777" w:rsidTr="003077E7">
        <w:tc>
          <w:tcPr>
            <w:tcW w:w="8718" w:type="dxa"/>
          </w:tcPr>
          <w:p w14:paraId="738E4EE4" w14:textId="77777777" w:rsidR="0060554D" w:rsidRPr="008025C0" w:rsidRDefault="0060554D" w:rsidP="002D3EBF">
            <w:pPr>
              <w:pStyle w:val="table-text-0"/>
              <w:rPr>
                <w:sz w:val="24"/>
                <w:szCs w:val="24"/>
              </w:rPr>
            </w:pPr>
            <w:r w:rsidRPr="008025C0">
              <w:rPr>
                <w:sz w:val="24"/>
                <w:szCs w:val="24"/>
              </w:rPr>
              <w:t>Язвенная болезнь, требующая лечения</w:t>
            </w:r>
          </w:p>
        </w:tc>
        <w:tc>
          <w:tcPr>
            <w:tcW w:w="1377" w:type="dxa"/>
          </w:tcPr>
          <w:p w14:paraId="35757ABD" w14:textId="77777777" w:rsidR="0060554D" w:rsidRPr="008025C0" w:rsidRDefault="0060554D" w:rsidP="002D3EBF">
            <w:pPr>
              <w:pStyle w:val="table-text-0"/>
              <w:rPr>
                <w:rFonts w:eastAsia="SimSun"/>
                <w:sz w:val="24"/>
                <w:szCs w:val="24"/>
              </w:rPr>
            </w:pPr>
            <w:r w:rsidRPr="008025C0">
              <w:rPr>
                <w:rFonts w:eastAsia="SimSun"/>
                <w:sz w:val="24"/>
                <w:szCs w:val="24"/>
              </w:rPr>
              <w:t>2</w:t>
            </w:r>
          </w:p>
        </w:tc>
      </w:tr>
      <w:tr w:rsidR="0060554D" w:rsidRPr="00C07B2E" w14:paraId="47B8432D" w14:textId="77777777" w:rsidTr="003077E7">
        <w:tc>
          <w:tcPr>
            <w:tcW w:w="8718" w:type="dxa"/>
          </w:tcPr>
          <w:p w14:paraId="4D39E536" w14:textId="77777777" w:rsidR="0060554D" w:rsidRPr="008025C0" w:rsidRDefault="0060554D" w:rsidP="002D3EBF">
            <w:pPr>
              <w:pStyle w:val="table-head-left"/>
              <w:rPr>
                <w:szCs w:val="24"/>
              </w:rPr>
            </w:pPr>
            <w:r w:rsidRPr="008025C0">
              <w:rPr>
                <w:szCs w:val="24"/>
              </w:rPr>
              <w:t>Нарушение обмена</w:t>
            </w:r>
          </w:p>
        </w:tc>
        <w:tc>
          <w:tcPr>
            <w:tcW w:w="1377" w:type="dxa"/>
          </w:tcPr>
          <w:p w14:paraId="411B19C4" w14:textId="77777777" w:rsidR="0060554D" w:rsidRPr="008025C0" w:rsidRDefault="0060554D" w:rsidP="002D3EBF">
            <w:pPr>
              <w:pStyle w:val="table-head-left"/>
              <w:rPr>
                <w:rFonts w:eastAsia="SimSun"/>
                <w:szCs w:val="24"/>
              </w:rPr>
            </w:pPr>
          </w:p>
        </w:tc>
      </w:tr>
      <w:tr w:rsidR="0060554D" w:rsidRPr="00C07B2E" w14:paraId="3296EC6B" w14:textId="77777777" w:rsidTr="003077E7">
        <w:tc>
          <w:tcPr>
            <w:tcW w:w="8718" w:type="dxa"/>
          </w:tcPr>
          <w:p w14:paraId="02F6006D" w14:textId="77777777" w:rsidR="0060554D" w:rsidRPr="008025C0" w:rsidRDefault="0060554D" w:rsidP="002D3EBF">
            <w:pPr>
              <w:pStyle w:val="table-text-0"/>
              <w:rPr>
                <w:sz w:val="24"/>
                <w:szCs w:val="24"/>
              </w:rPr>
            </w:pPr>
            <w:r w:rsidRPr="008025C0">
              <w:rPr>
                <w:sz w:val="24"/>
                <w:szCs w:val="24"/>
              </w:rPr>
              <w:t>Сахарный диабет, требующий лечения</w:t>
            </w:r>
          </w:p>
        </w:tc>
        <w:tc>
          <w:tcPr>
            <w:tcW w:w="1377" w:type="dxa"/>
          </w:tcPr>
          <w:p w14:paraId="327AF85E" w14:textId="77777777" w:rsidR="0060554D" w:rsidRPr="008025C0" w:rsidRDefault="0060554D" w:rsidP="002D3EBF">
            <w:pPr>
              <w:pStyle w:val="table-text-0"/>
              <w:rPr>
                <w:rFonts w:eastAsia="SimSun"/>
                <w:sz w:val="24"/>
                <w:szCs w:val="24"/>
              </w:rPr>
            </w:pPr>
            <w:r w:rsidRPr="008025C0">
              <w:rPr>
                <w:rFonts w:eastAsia="SimSun"/>
                <w:sz w:val="24"/>
                <w:szCs w:val="24"/>
              </w:rPr>
              <w:t>1</w:t>
            </w:r>
          </w:p>
        </w:tc>
      </w:tr>
      <w:tr w:rsidR="0060554D" w:rsidRPr="00C07B2E" w14:paraId="43A2BD5B" w14:textId="77777777" w:rsidTr="003077E7">
        <w:tc>
          <w:tcPr>
            <w:tcW w:w="8718" w:type="dxa"/>
          </w:tcPr>
          <w:p w14:paraId="62F88D2D" w14:textId="77777777" w:rsidR="0060554D" w:rsidRPr="0060554D" w:rsidRDefault="0060554D" w:rsidP="002D3EBF">
            <w:pPr>
              <w:pStyle w:val="table-text-0"/>
              <w:rPr>
                <w:sz w:val="24"/>
                <w:szCs w:val="24"/>
                <w:lang w:val="ru-RU"/>
              </w:rPr>
            </w:pPr>
            <w:r w:rsidRPr="0060554D">
              <w:rPr>
                <w:sz w:val="24"/>
                <w:szCs w:val="24"/>
                <w:lang w:val="ru-RU"/>
              </w:rPr>
              <w:t>Индекс массы тела &gt; 35 кг/м</w:t>
            </w:r>
            <w:r w:rsidRPr="0060554D">
              <w:rPr>
                <w:sz w:val="24"/>
                <w:szCs w:val="24"/>
                <w:vertAlign w:val="superscript"/>
                <w:lang w:val="ru-RU"/>
              </w:rPr>
              <w:t>2</w:t>
            </w:r>
          </w:p>
        </w:tc>
        <w:tc>
          <w:tcPr>
            <w:tcW w:w="1377" w:type="dxa"/>
          </w:tcPr>
          <w:p w14:paraId="744CDC0C" w14:textId="77777777" w:rsidR="0060554D" w:rsidRPr="008025C0" w:rsidRDefault="0060554D" w:rsidP="002D3EBF">
            <w:pPr>
              <w:pStyle w:val="table-text-0"/>
              <w:rPr>
                <w:rFonts w:eastAsia="SimSun"/>
                <w:sz w:val="24"/>
                <w:szCs w:val="24"/>
              </w:rPr>
            </w:pPr>
            <w:r w:rsidRPr="008025C0">
              <w:rPr>
                <w:rFonts w:eastAsia="SimSun"/>
                <w:sz w:val="24"/>
                <w:szCs w:val="24"/>
              </w:rPr>
              <w:t>1</w:t>
            </w:r>
          </w:p>
        </w:tc>
      </w:tr>
      <w:tr w:rsidR="0060554D" w:rsidRPr="00C07B2E" w14:paraId="6895CD47" w14:textId="77777777" w:rsidTr="003077E7">
        <w:tc>
          <w:tcPr>
            <w:tcW w:w="8718" w:type="dxa"/>
          </w:tcPr>
          <w:p w14:paraId="554735C8" w14:textId="77777777" w:rsidR="0060554D" w:rsidRPr="008025C0" w:rsidRDefault="0060554D" w:rsidP="002D3EBF">
            <w:pPr>
              <w:pStyle w:val="table-head-left"/>
              <w:rPr>
                <w:szCs w:val="24"/>
              </w:rPr>
            </w:pPr>
            <w:r w:rsidRPr="008025C0">
              <w:rPr>
                <w:szCs w:val="24"/>
              </w:rPr>
              <w:t>Неврологический статус</w:t>
            </w:r>
          </w:p>
        </w:tc>
        <w:tc>
          <w:tcPr>
            <w:tcW w:w="1377" w:type="dxa"/>
          </w:tcPr>
          <w:p w14:paraId="27E71ED0" w14:textId="77777777" w:rsidR="0060554D" w:rsidRPr="008025C0" w:rsidRDefault="0060554D" w:rsidP="002D3EBF">
            <w:pPr>
              <w:pStyle w:val="table-head-left"/>
              <w:rPr>
                <w:rFonts w:eastAsia="SimSun"/>
                <w:szCs w:val="24"/>
              </w:rPr>
            </w:pPr>
          </w:p>
        </w:tc>
      </w:tr>
      <w:tr w:rsidR="0060554D" w:rsidRPr="00C07B2E" w14:paraId="2D125B1A" w14:textId="77777777" w:rsidTr="003077E7">
        <w:tc>
          <w:tcPr>
            <w:tcW w:w="8718" w:type="dxa"/>
          </w:tcPr>
          <w:p w14:paraId="55F11414" w14:textId="77777777" w:rsidR="0060554D" w:rsidRPr="0060554D" w:rsidRDefault="0060554D" w:rsidP="002D3EBF">
            <w:pPr>
              <w:pStyle w:val="table-text-0"/>
              <w:rPr>
                <w:sz w:val="24"/>
                <w:szCs w:val="24"/>
                <w:lang w:val="ru-RU"/>
              </w:rPr>
            </w:pPr>
            <w:r w:rsidRPr="0060554D">
              <w:rPr>
                <w:sz w:val="24"/>
                <w:szCs w:val="24"/>
                <w:lang w:val="ru-RU"/>
              </w:rPr>
              <w:t>Транзиторная ишемическая атака или острое нарушение мозгового кровообращения в анамнезе</w:t>
            </w:r>
          </w:p>
        </w:tc>
        <w:tc>
          <w:tcPr>
            <w:tcW w:w="1377" w:type="dxa"/>
          </w:tcPr>
          <w:p w14:paraId="1C9C23B3" w14:textId="77777777" w:rsidR="0060554D" w:rsidRPr="008025C0" w:rsidRDefault="0060554D" w:rsidP="002D3EBF">
            <w:pPr>
              <w:pStyle w:val="table-text-0"/>
              <w:rPr>
                <w:rFonts w:eastAsia="SimSun"/>
                <w:sz w:val="24"/>
                <w:szCs w:val="24"/>
              </w:rPr>
            </w:pPr>
            <w:r w:rsidRPr="008025C0">
              <w:rPr>
                <w:rFonts w:eastAsia="SimSun"/>
                <w:sz w:val="24"/>
                <w:szCs w:val="24"/>
              </w:rPr>
              <w:t>1</w:t>
            </w:r>
          </w:p>
        </w:tc>
      </w:tr>
      <w:tr w:rsidR="0060554D" w:rsidRPr="00C07B2E" w14:paraId="4BA7F736" w14:textId="77777777" w:rsidTr="003077E7">
        <w:tc>
          <w:tcPr>
            <w:tcW w:w="8718" w:type="dxa"/>
          </w:tcPr>
          <w:p w14:paraId="343DBC74" w14:textId="77777777" w:rsidR="0060554D" w:rsidRPr="008025C0" w:rsidRDefault="0060554D" w:rsidP="002D3EBF">
            <w:pPr>
              <w:pStyle w:val="table-head-left"/>
              <w:rPr>
                <w:szCs w:val="24"/>
              </w:rPr>
            </w:pPr>
            <w:r w:rsidRPr="008025C0">
              <w:rPr>
                <w:szCs w:val="24"/>
              </w:rPr>
              <w:t>Психический статус</w:t>
            </w:r>
          </w:p>
        </w:tc>
        <w:tc>
          <w:tcPr>
            <w:tcW w:w="1377" w:type="dxa"/>
          </w:tcPr>
          <w:p w14:paraId="3F7376F9" w14:textId="77777777" w:rsidR="0060554D" w:rsidRPr="008025C0" w:rsidRDefault="0060554D" w:rsidP="002D3EBF">
            <w:pPr>
              <w:pStyle w:val="table-head-left"/>
              <w:rPr>
                <w:rFonts w:eastAsia="SimSun"/>
                <w:szCs w:val="24"/>
              </w:rPr>
            </w:pPr>
          </w:p>
        </w:tc>
      </w:tr>
      <w:tr w:rsidR="0060554D" w:rsidRPr="00C07B2E" w14:paraId="0D9D56DB" w14:textId="77777777" w:rsidTr="003077E7">
        <w:tc>
          <w:tcPr>
            <w:tcW w:w="8718" w:type="dxa"/>
          </w:tcPr>
          <w:p w14:paraId="05C3BAC5" w14:textId="77777777" w:rsidR="0060554D" w:rsidRPr="0060554D" w:rsidRDefault="0060554D" w:rsidP="002D3EBF">
            <w:pPr>
              <w:pStyle w:val="table-text-0"/>
              <w:rPr>
                <w:sz w:val="24"/>
                <w:szCs w:val="24"/>
                <w:lang w:val="ru-RU"/>
              </w:rPr>
            </w:pPr>
            <w:r w:rsidRPr="0060554D">
              <w:rPr>
                <w:sz w:val="24"/>
                <w:szCs w:val="24"/>
                <w:lang w:val="ru-RU"/>
              </w:rPr>
              <w:t>Депрессия или тревога, требующие консультации психиатра или лечения</w:t>
            </w:r>
          </w:p>
        </w:tc>
        <w:tc>
          <w:tcPr>
            <w:tcW w:w="1377" w:type="dxa"/>
          </w:tcPr>
          <w:p w14:paraId="40E0DD7A" w14:textId="77777777" w:rsidR="0060554D" w:rsidRPr="008025C0" w:rsidRDefault="0060554D" w:rsidP="002D3EBF">
            <w:pPr>
              <w:pStyle w:val="table-text-0"/>
              <w:rPr>
                <w:rFonts w:eastAsia="SimSun"/>
                <w:sz w:val="24"/>
                <w:szCs w:val="24"/>
              </w:rPr>
            </w:pPr>
            <w:r w:rsidRPr="008025C0">
              <w:rPr>
                <w:rFonts w:eastAsia="SimSun"/>
                <w:sz w:val="24"/>
                <w:szCs w:val="24"/>
              </w:rPr>
              <w:t>1</w:t>
            </w:r>
          </w:p>
        </w:tc>
      </w:tr>
      <w:tr w:rsidR="0060554D" w:rsidRPr="00C07B2E" w14:paraId="56FA7473" w14:textId="77777777" w:rsidTr="003077E7">
        <w:tc>
          <w:tcPr>
            <w:tcW w:w="8718" w:type="dxa"/>
          </w:tcPr>
          <w:p w14:paraId="6819D89D" w14:textId="77777777" w:rsidR="0060554D" w:rsidRPr="008025C0" w:rsidRDefault="0060554D" w:rsidP="002D3EBF">
            <w:pPr>
              <w:pStyle w:val="table-head-left"/>
              <w:rPr>
                <w:szCs w:val="24"/>
              </w:rPr>
            </w:pPr>
            <w:r w:rsidRPr="008025C0">
              <w:rPr>
                <w:szCs w:val="24"/>
              </w:rPr>
              <w:t>Мочевыделительная система</w:t>
            </w:r>
          </w:p>
        </w:tc>
        <w:tc>
          <w:tcPr>
            <w:tcW w:w="1377" w:type="dxa"/>
          </w:tcPr>
          <w:p w14:paraId="4297DCB2" w14:textId="77777777" w:rsidR="0060554D" w:rsidRPr="008025C0" w:rsidRDefault="0060554D" w:rsidP="002D3EBF">
            <w:pPr>
              <w:pStyle w:val="table-head-left"/>
              <w:rPr>
                <w:rFonts w:eastAsia="SimSun"/>
                <w:szCs w:val="24"/>
              </w:rPr>
            </w:pPr>
          </w:p>
        </w:tc>
      </w:tr>
      <w:tr w:rsidR="0060554D" w:rsidRPr="00C07B2E" w14:paraId="74996564" w14:textId="77777777" w:rsidTr="003077E7">
        <w:trPr>
          <w:trHeight w:val="370"/>
        </w:trPr>
        <w:tc>
          <w:tcPr>
            <w:tcW w:w="8718" w:type="dxa"/>
          </w:tcPr>
          <w:p w14:paraId="61524D2C" w14:textId="77777777" w:rsidR="0060554D" w:rsidRPr="003077E7" w:rsidRDefault="0060554D" w:rsidP="002D3EBF">
            <w:pPr>
              <w:pStyle w:val="table-text-0"/>
              <w:rPr>
                <w:sz w:val="24"/>
                <w:szCs w:val="24"/>
                <w:lang w:val="ru-RU"/>
              </w:rPr>
            </w:pPr>
            <w:r w:rsidRPr="003077E7">
              <w:rPr>
                <w:sz w:val="24"/>
                <w:szCs w:val="24"/>
                <w:lang w:val="ru-RU"/>
              </w:rPr>
              <w:t>Концентрация креатинина сыворотки &gt; 176 мкмоль/л, диализ или почечный трансплантат</w:t>
            </w:r>
          </w:p>
        </w:tc>
        <w:tc>
          <w:tcPr>
            <w:tcW w:w="1377" w:type="dxa"/>
          </w:tcPr>
          <w:p w14:paraId="2D677251" w14:textId="77777777" w:rsidR="0060554D" w:rsidRPr="008025C0" w:rsidRDefault="0060554D" w:rsidP="002D3EBF">
            <w:pPr>
              <w:pStyle w:val="table-text-0"/>
              <w:rPr>
                <w:rFonts w:eastAsia="SimSun"/>
                <w:sz w:val="24"/>
                <w:szCs w:val="24"/>
              </w:rPr>
            </w:pPr>
            <w:r w:rsidRPr="008025C0">
              <w:rPr>
                <w:sz w:val="24"/>
                <w:szCs w:val="24"/>
              </w:rPr>
              <w:t>2</w:t>
            </w:r>
          </w:p>
        </w:tc>
      </w:tr>
      <w:tr w:rsidR="0060554D" w:rsidRPr="00C07B2E" w14:paraId="70746ABA" w14:textId="77777777" w:rsidTr="003077E7">
        <w:tc>
          <w:tcPr>
            <w:tcW w:w="8718" w:type="dxa"/>
          </w:tcPr>
          <w:p w14:paraId="3BD3909C" w14:textId="77777777" w:rsidR="0060554D" w:rsidRPr="008025C0" w:rsidRDefault="0060554D" w:rsidP="002D3EBF">
            <w:pPr>
              <w:pStyle w:val="table-head-left"/>
              <w:rPr>
                <w:szCs w:val="24"/>
              </w:rPr>
            </w:pPr>
            <w:r w:rsidRPr="008025C0">
              <w:rPr>
                <w:szCs w:val="24"/>
              </w:rPr>
              <w:t>Системные заболевания</w:t>
            </w:r>
          </w:p>
        </w:tc>
        <w:tc>
          <w:tcPr>
            <w:tcW w:w="1377" w:type="dxa"/>
          </w:tcPr>
          <w:p w14:paraId="3E5F7E13" w14:textId="77777777" w:rsidR="0060554D" w:rsidRPr="008025C0" w:rsidRDefault="0060554D" w:rsidP="002D3EBF">
            <w:pPr>
              <w:pStyle w:val="table-head-left"/>
              <w:rPr>
                <w:rFonts w:eastAsia="SimSun"/>
                <w:szCs w:val="24"/>
              </w:rPr>
            </w:pPr>
          </w:p>
        </w:tc>
      </w:tr>
      <w:tr w:rsidR="0060554D" w:rsidRPr="00C07B2E" w14:paraId="0AA65145" w14:textId="77777777" w:rsidTr="003077E7">
        <w:tc>
          <w:tcPr>
            <w:tcW w:w="8718" w:type="dxa"/>
          </w:tcPr>
          <w:p w14:paraId="3D2F5AE1" w14:textId="77777777" w:rsidR="0060554D" w:rsidRPr="003077E7" w:rsidRDefault="0060554D" w:rsidP="002D3EBF">
            <w:pPr>
              <w:pStyle w:val="table-text-0"/>
              <w:rPr>
                <w:sz w:val="24"/>
                <w:szCs w:val="24"/>
                <w:lang w:val="ru-RU"/>
              </w:rPr>
            </w:pPr>
            <w:r w:rsidRPr="003077E7">
              <w:rPr>
                <w:sz w:val="24"/>
                <w:szCs w:val="24"/>
                <w:lang w:val="ru-RU"/>
              </w:rPr>
              <w:t>Системная красная волчанка, ревматоидный артрит, полимиозит и другие болезни соединительной ткани, требующие лечения</w:t>
            </w:r>
          </w:p>
        </w:tc>
        <w:tc>
          <w:tcPr>
            <w:tcW w:w="1377" w:type="dxa"/>
          </w:tcPr>
          <w:p w14:paraId="5CBE4693" w14:textId="77777777" w:rsidR="0060554D" w:rsidRPr="008025C0" w:rsidRDefault="0060554D" w:rsidP="002D3EBF">
            <w:pPr>
              <w:pStyle w:val="table-text-0"/>
              <w:rPr>
                <w:rFonts w:eastAsia="SimSun"/>
                <w:sz w:val="24"/>
                <w:szCs w:val="24"/>
              </w:rPr>
            </w:pPr>
            <w:r w:rsidRPr="008025C0">
              <w:rPr>
                <w:rFonts w:eastAsia="SimSun"/>
                <w:sz w:val="24"/>
                <w:szCs w:val="24"/>
              </w:rPr>
              <w:t>2</w:t>
            </w:r>
          </w:p>
        </w:tc>
      </w:tr>
      <w:tr w:rsidR="0060554D" w:rsidRPr="00C07B2E" w14:paraId="0A7BAD4A" w14:textId="77777777" w:rsidTr="003077E7">
        <w:tc>
          <w:tcPr>
            <w:tcW w:w="8718" w:type="dxa"/>
          </w:tcPr>
          <w:p w14:paraId="29886BB5" w14:textId="77777777" w:rsidR="0060554D" w:rsidRPr="008025C0" w:rsidRDefault="0060554D" w:rsidP="002D3EBF">
            <w:pPr>
              <w:pStyle w:val="table-head-left"/>
              <w:rPr>
                <w:szCs w:val="24"/>
              </w:rPr>
            </w:pPr>
            <w:r w:rsidRPr="008025C0">
              <w:rPr>
                <w:szCs w:val="24"/>
              </w:rPr>
              <w:t>Инфекции</w:t>
            </w:r>
          </w:p>
        </w:tc>
        <w:tc>
          <w:tcPr>
            <w:tcW w:w="1377" w:type="dxa"/>
          </w:tcPr>
          <w:p w14:paraId="7198B599" w14:textId="77777777" w:rsidR="0060554D" w:rsidRPr="008025C0" w:rsidRDefault="0060554D" w:rsidP="002D3EBF">
            <w:pPr>
              <w:pStyle w:val="table-head-left"/>
              <w:rPr>
                <w:rFonts w:eastAsia="SimSun"/>
                <w:szCs w:val="24"/>
              </w:rPr>
            </w:pPr>
          </w:p>
        </w:tc>
      </w:tr>
      <w:tr w:rsidR="0060554D" w:rsidRPr="00C07B2E" w14:paraId="531FD35C" w14:textId="77777777" w:rsidTr="003077E7">
        <w:tc>
          <w:tcPr>
            <w:tcW w:w="8718" w:type="dxa"/>
          </w:tcPr>
          <w:p w14:paraId="45B3A95A" w14:textId="77777777" w:rsidR="0060554D" w:rsidRPr="003077E7" w:rsidRDefault="0060554D" w:rsidP="002D3EBF">
            <w:pPr>
              <w:pStyle w:val="table-text-0"/>
              <w:rPr>
                <w:sz w:val="24"/>
                <w:szCs w:val="24"/>
                <w:lang w:val="ru-RU"/>
              </w:rPr>
            </w:pPr>
            <w:r w:rsidRPr="003077E7">
              <w:rPr>
                <w:sz w:val="24"/>
                <w:szCs w:val="24"/>
                <w:lang w:val="ru-RU"/>
              </w:rPr>
              <w:t>Инфекционные осложнения, требующие терапии до и после трансплантации</w:t>
            </w:r>
          </w:p>
        </w:tc>
        <w:tc>
          <w:tcPr>
            <w:tcW w:w="1377" w:type="dxa"/>
          </w:tcPr>
          <w:p w14:paraId="1874C7C0" w14:textId="77777777" w:rsidR="0060554D" w:rsidRPr="008025C0" w:rsidRDefault="0060554D" w:rsidP="002D3EBF">
            <w:pPr>
              <w:pStyle w:val="table-text-0"/>
              <w:rPr>
                <w:rFonts w:eastAsia="SimSun"/>
                <w:sz w:val="24"/>
                <w:szCs w:val="24"/>
              </w:rPr>
            </w:pPr>
            <w:r w:rsidRPr="008025C0">
              <w:rPr>
                <w:rFonts w:eastAsia="SimSun"/>
                <w:sz w:val="24"/>
                <w:szCs w:val="24"/>
              </w:rPr>
              <w:t>1</w:t>
            </w:r>
          </w:p>
        </w:tc>
      </w:tr>
      <w:tr w:rsidR="0060554D" w:rsidRPr="00C07B2E" w14:paraId="551EA9B1" w14:textId="77777777" w:rsidTr="003077E7">
        <w:tc>
          <w:tcPr>
            <w:tcW w:w="8718" w:type="dxa"/>
          </w:tcPr>
          <w:p w14:paraId="06FC5C9F" w14:textId="77777777" w:rsidR="0060554D" w:rsidRPr="008025C0" w:rsidRDefault="0060554D" w:rsidP="002D3EBF">
            <w:pPr>
              <w:pStyle w:val="table-head-left"/>
              <w:rPr>
                <w:szCs w:val="24"/>
              </w:rPr>
            </w:pPr>
            <w:r w:rsidRPr="008025C0">
              <w:rPr>
                <w:szCs w:val="24"/>
              </w:rPr>
              <w:t>Онкологические заболевания</w:t>
            </w:r>
          </w:p>
        </w:tc>
        <w:tc>
          <w:tcPr>
            <w:tcW w:w="1377" w:type="dxa"/>
          </w:tcPr>
          <w:p w14:paraId="1A79FE54" w14:textId="77777777" w:rsidR="0060554D" w:rsidRPr="008025C0" w:rsidRDefault="0060554D" w:rsidP="002D3EBF">
            <w:pPr>
              <w:pStyle w:val="table-head-left"/>
              <w:rPr>
                <w:rFonts w:eastAsia="SimSun"/>
                <w:szCs w:val="24"/>
              </w:rPr>
            </w:pPr>
          </w:p>
        </w:tc>
      </w:tr>
      <w:tr w:rsidR="0060554D" w:rsidRPr="00C07B2E" w14:paraId="61DDF11C" w14:textId="77777777" w:rsidTr="003077E7">
        <w:tc>
          <w:tcPr>
            <w:tcW w:w="8718" w:type="dxa"/>
          </w:tcPr>
          <w:p w14:paraId="1460C897" w14:textId="77777777" w:rsidR="0060554D" w:rsidRPr="003077E7" w:rsidRDefault="0060554D" w:rsidP="002D3EBF">
            <w:pPr>
              <w:pStyle w:val="table-text-0"/>
              <w:rPr>
                <w:sz w:val="24"/>
                <w:szCs w:val="24"/>
                <w:lang w:val="ru-RU"/>
              </w:rPr>
            </w:pPr>
            <w:r w:rsidRPr="003077E7">
              <w:rPr>
                <w:sz w:val="24"/>
                <w:szCs w:val="24"/>
                <w:lang w:val="ru-RU"/>
              </w:rPr>
              <w:t>Любые опухоли в анамнезе, кроме рака кожи (исключая меланому)</w:t>
            </w:r>
          </w:p>
        </w:tc>
        <w:tc>
          <w:tcPr>
            <w:tcW w:w="1377" w:type="dxa"/>
          </w:tcPr>
          <w:p w14:paraId="5FFC01CD" w14:textId="77777777" w:rsidR="0060554D" w:rsidRPr="008025C0" w:rsidRDefault="0060554D" w:rsidP="002D3EBF">
            <w:pPr>
              <w:pStyle w:val="table-text-0"/>
              <w:rPr>
                <w:rFonts w:eastAsia="SimSun"/>
                <w:sz w:val="24"/>
                <w:szCs w:val="24"/>
              </w:rPr>
            </w:pPr>
            <w:r w:rsidRPr="008025C0">
              <w:rPr>
                <w:rFonts w:eastAsia="SimSun"/>
                <w:sz w:val="24"/>
                <w:szCs w:val="24"/>
              </w:rPr>
              <w:t>3</w:t>
            </w:r>
          </w:p>
        </w:tc>
      </w:tr>
    </w:tbl>
    <w:p w14:paraId="1A779EA2" w14:textId="77777777" w:rsidR="0060554D" w:rsidRPr="00C07B2E" w:rsidRDefault="0060554D" w:rsidP="0060554D">
      <w:pPr>
        <w:rPr>
          <w:sz w:val="28"/>
          <w:szCs w:val="28"/>
          <w:lang w:val="en-US"/>
        </w:rPr>
      </w:pPr>
    </w:p>
    <w:p w14:paraId="3B5753E8" w14:textId="77777777" w:rsidR="003507C3" w:rsidRPr="00E43B8B" w:rsidRDefault="003507C3" w:rsidP="003507C3">
      <w:pPr>
        <w:pStyle w:val="11"/>
      </w:pPr>
    </w:p>
    <w:p w14:paraId="3603A8A8" w14:textId="77777777" w:rsidR="003507C3" w:rsidRPr="00777124" w:rsidRDefault="003507C3" w:rsidP="00E43B8B">
      <w:pPr>
        <w:pStyle w:val="2"/>
        <w:rPr>
          <w:rFonts w:eastAsia="SimSun"/>
        </w:rPr>
      </w:pPr>
    </w:p>
    <w:p w14:paraId="56DFC1A8" w14:textId="77777777" w:rsidR="00E43B8B" w:rsidRPr="003507C3" w:rsidRDefault="00E43B8B" w:rsidP="00E43B8B">
      <w:pPr>
        <w:rPr>
          <w:szCs w:val="24"/>
        </w:rPr>
      </w:pPr>
    </w:p>
    <w:p w14:paraId="0A268D0E" w14:textId="77777777" w:rsidR="00E43B8B" w:rsidRPr="0033051F" w:rsidRDefault="00E43B8B" w:rsidP="00E93A18">
      <w:pPr>
        <w:pStyle w:val="11"/>
      </w:pPr>
    </w:p>
    <w:p w14:paraId="7458C3F8" w14:textId="77777777" w:rsidR="00E93A18" w:rsidRPr="00583004" w:rsidRDefault="00E93A18" w:rsidP="00427B0E">
      <w:pPr>
        <w:pStyle w:val="afffb"/>
        <w:ind w:firstLine="0"/>
      </w:pPr>
    </w:p>
    <w:sectPr w:rsidR="00E93A18" w:rsidRPr="00583004" w:rsidSect="00B075C5">
      <w:headerReference w:type="default" r:id="rId36"/>
      <w:footerReference w:type="default" r:id="rId37"/>
      <w:pgSz w:w="11906" w:h="16838"/>
      <w:pgMar w:top="1134" w:right="1416" w:bottom="1134" w:left="1701" w:header="708" w:footer="708" w:gutter="0"/>
      <w:cols w:space="720"/>
      <w:formProt w:val="0"/>
      <w:titlePg/>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D57854" w14:textId="77777777" w:rsidR="00533994" w:rsidRDefault="00533994">
      <w:pPr>
        <w:spacing w:line="240" w:lineRule="auto"/>
      </w:pPr>
      <w:r>
        <w:separator/>
      </w:r>
    </w:p>
    <w:p w14:paraId="4C7610BF" w14:textId="77777777" w:rsidR="00533994" w:rsidRDefault="00533994"/>
  </w:endnote>
  <w:endnote w:type="continuationSeparator" w:id="0">
    <w:p w14:paraId="445F9F14" w14:textId="77777777" w:rsidR="00533994" w:rsidRDefault="00533994">
      <w:pPr>
        <w:spacing w:line="240" w:lineRule="auto"/>
      </w:pPr>
      <w:r>
        <w:continuationSeparator/>
      </w:r>
    </w:p>
    <w:p w14:paraId="23669417" w14:textId="77777777" w:rsidR="00533994" w:rsidRDefault="00533994"/>
  </w:endnote>
  <w:endnote w:type="continuationNotice" w:id="1">
    <w:p w14:paraId="4A5BCAC6" w14:textId="77777777" w:rsidR="00533994" w:rsidRDefault="0053399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ans">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Gill Sans">
    <w:altName w:val="Gill Sans"/>
    <w:charset w:val="B1"/>
    <w:family w:val="swiss"/>
    <w:pitch w:val="variable"/>
    <w:sig w:usb0="80000A67" w:usb1="00000000" w:usb2="00000000" w:usb3="00000000" w:csb0="000001F7" w:csb1="00000000"/>
  </w:font>
  <w:font w:name="OpenSymbol">
    <w:altName w:val="Arial Unicode MS"/>
    <w:charset w:val="00"/>
    <w:family w:val="auto"/>
    <w:pitch w:val="variable"/>
    <w:sig w:usb0="800000AF" w:usb1="1807ECEA" w:usb2="00000010" w:usb3="00000000" w:csb0="00020001" w:csb1="00000000"/>
  </w:font>
  <w:font w:name="Palatino Linotype">
    <w:panose1 w:val="02040502050505030304"/>
    <w:charset w:val="CC"/>
    <w:family w:val="roman"/>
    <w:pitch w:val="variable"/>
    <w:sig w:usb0="E0000287" w:usb1="40000013" w:usb2="00000000" w:usb3="00000000" w:csb0="0000019F" w:csb1="00000000"/>
  </w:font>
  <w:font w:name="Helvetica Neue">
    <w:altName w:val="Helvetica Neue"/>
    <w:charset w:val="00"/>
    <w:family w:val="auto"/>
    <w:pitch w:val="variable"/>
    <w:sig w:usb0="E50002FF" w:usb1="500079DB" w:usb2="00000010" w:usb3="00000000" w:csb0="00000001" w:csb1="00000000"/>
  </w:font>
  <w:font w:name="TimesNewRomanPS-ItalicMT">
    <w:altName w:val="Times New Roman"/>
    <w:charset w:val="00"/>
    <w:family w:val="roman"/>
    <w:pitch w:val="variable"/>
    <w:sig w:usb0="E0000AFF" w:usb1="00007843" w:usb2="00000001" w:usb3="00000000" w:csb0="000001BF" w:csb1="00000000"/>
  </w:font>
  <w:font w:name="Cambria Math">
    <w:panose1 w:val="02040503050406030204"/>
    <w:charset w:val="CC"/>
    <w:family w:val="roman"/>
    <w:pitch w:val="variable"/>
    <w:sig w:usb0="E00006FF" w:usb1="420024FF" w:usb2="02000000" w:usb3="00000000" w:csb0="0000019F" w:csb1="00000000"/>
  </w:font>
  <w:font w:name="GaramondC-Light">
    <w:charset w:val="80"/>
    <w:family w:val="auto"/>
    <w:pitch w:val="default"/>
    <w:sig w:usb0="00000000" w:usb1="08070000" w:usb2="00000010" w:usb3="00000000" w:csb0="00020000" w:csb1="00000000"/>
  </w:font>
  <w:font w:name="Times New Roman (Основной текст">
    <w:panose1 w:val="00000000000000000000"/>
    <w:charset w:val="00"/>
    <w:family w:val="roman"/>
    <w:notTrueType/>
    <w:pitch w:val="default"/>
  </w:font>
  <w:font w:name="ＭＳ 明朝 (Основной текст темы (ази">
    <w:altName w:val="MS Mincho"/>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97D36" w14:textId="77777777" w:rsidR="00124A26" w:rsidRDefault="00124A26">
    <w:pPr>
      <w:pStyle w:val="af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545AEB" w14:textId="77777777" w:rsidR="00124A26" w:rsidRDefault="00124A26">
    <w:pPr>
      <w:pStyle w:val="af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313DE1" w14:textId="77777777" w:rsidR="00124A26" w:rsidRDefault="00124A26">
    <w:pPr>
      <w:pStyle w:val="afc"/>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236A03" w14:textId="77777777" w:rsidR="00124A26" w:rsidRDefault="00124A26">
    <w:pPr>
      <w:pStyle w:val="afc"/>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E7F9F8" w14:textId="77777777" w:rsidR="00124A26" w:rsidRDefault="00124A26">
    <w:pPr>
      <w:pStyle w:val="afc"/>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BD029" w14:textId="77777777" w:rsidR="00124A26" w:rsidRDefault="00124A26">
    <w:pPr>
      <w:pStyle w:val="afc"/>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7631649"/>
      <w:docPartObj>
        <w:docPartGallery w:val="Page Numbers (Bottom of Page)"/>
        <w:docPartUnique/>
      </w:docPartObj>
    </w:sdtPr>
    <w:sdtEndPr/>
    <w:sdtContent>
      <w:p w14:paraId="1D803F2C" w14:textId="77777777" w:rsidR="00D67F1D" w:rsidRDefault="00D67F1D">
        <w:pPr>
          <w:pStyle w:val="afc"/>
          <w:jc w:val="center"/>
        </w:pPr>
        <w:r>
          <w:fldChar w:fldCharType="begin"/>
        </w:r>
        <w:r>
          <w:instrText>PAGE</w:instrText>
        </w:r>
        <w:r>
          <w:fldChar w:fldCharType="separate"/>
        </w:r>
        <w:r>
          <w:rPr>
            <w:noProof/>
          </w:rPr>
          <w:t>18</w:t>
        </w:r>
        <w:r>
          <w:fldChar w:fldCharType="end"/>
        </w:r>
      </w:p>
    </w:sdtContent>
  </w:sdt>
  <w:p w14:paraId="1C9E168F" w14:textId="77777777" w:rsidR="004B0669" w:rsidRDefault="004B066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42ED65" w14:textId="77777777" w:rsidR="00533994" w:rsidRDefault="00533994">
      <w:pPr>
        <w:spacing w:line="240" w:lineRule="auto"/>
      </w:pPr>
      <w:r>
        <w:separator/>
      </w:r>
    </w:p>
    <w:p w14:paraId="079A0EF1" w14:textId="77777777" w:rsidR="00533994" w:rsidRDefault="00533994"/>
  </w:footnote>
  <w:footnote w:type="continuationSeparator" w:id="0">
    <w:p w14:paraId="5FF87646" w14:textId="77777777" w:rsidR="00533994" w:rsidRDefault="00533994">
      <w:pPr>
        <w:spacing w:line="240" w:lineRule="auto"/>
      </w:pPr>
      <w:r>
        <w:continuationSeparator/>
      </w:r>
    </w:p>
    <w:p w14:paraId="59DE5569" w14:textId="77777777" w:rsidR="00533994" w:rsidRDefault="00533994"/>
  </w:footnote>
  <w:footnote w:type="continuationNotice" w:id="1">
    <w:p w14:paraId="561AC425" w14:textId="77777777" w:rsidR="00533994" w:rsidRDefault="00533994">
      <w:pPr>
        <w:spacing w:line="240" w:lineRule="auto"/>
      </w:pPr>
    </w:p>
  </w:footnote>
  <w:footnote w:id="2">
    <w:p w14:paraId="3A46D64A" w14:textId="77777777" w:rsidR="00D67F1D" w:rsidRDefault="00D67F1D" w:rsidP="002C7010">
      <w:pPr>
        <w:pStyle w:val="aff7"/>
      </w:pPr>
      <w:r w:rsidRPr="009D018C">
        <w:rPr>
          <w:rStyle w:val="af4"/>
        </w:rPr>
        <w:footnoteRef/>
      </w:r>
      <w:r>
        <w:t xml:space="preserve"> К лимфатическим структурам относят лимфатические узлы, селезенку, вилочковую железу, кольцо Вальдейера, червеобразный отросток, пейеровы бляшки.</w:t>
      </w:r>
    </w:p>
  </w:footnote>
  <w:footnote w:id="3">
    <w:p w14:paraId="4A97AB80" w14:textId="77777777" w:rsidR="00D67F1D" w:rsidRDefault="00D67F1D" w:rsidP="002C7010">
      <w:pPr>
        <w:pStyle w:val="aff7"/>
      </w:pPr>
      <w:r w:rsidRPr="009D018C">
        <w:rPr>
          <w:rStyle w:val="af4"/>
        </w:rPr>
        <w:footnoteRef/>
      </w:r>
      <w:r>
        <w:t xml:space="preserve">При ЛХ для второй стадии необходимо дополнительно арабской цифрой указывать количество пораженных лимфатических зон (рис. 1) (например, стадия </w:t>
      </w:r>
      <w:r>
        <w:rPr>
          <w:lang w:val="en-US"/>
        </w:rPr>
        <w:t>II</w:t>
      </w:r>
      <w:r>
        <w:rPr>
          <w:vertAlign w:val="subscript"/>
        </w:rPr>
        <w:t>4</w:t>
      </w:r>
      <w:r>
        <w:t>).</w:t>
      </w:r>
    </w:p>
  </w:footnote>
  <w:footnote w:id="4">
    <w:p w14:paraId="379B2671" w14:textId="77777777" w:rsidR="00D67F1D" w:rsidRPr="006742B6" w:rsidRDefault="00D67F1D" w:rsidP="002C7010">
      <w:pPr>
        <w:pStyle w:val="aff7"/>
      </w:pPr>
      <w:r w:rsidRPr="009D018C">
        <w:rPr>
          <w:rStyle w:val="af4"/>
        </w:rPr>
        <w:footnoteRef/>
      </w:r>
      <w:r>
        <w:t xml:space="preserve"> Средостение – единая лимфатическая зона, б</w:t>
      </w:r>
      <w:r w:rsidRPr="006742B6">
        <w:t>ронхопульмональные лимфатические узлы – отдельные лимфатические зоны (уточнение в модификации Cotswold)</w:t>
      </w:r>
    </w:p>
  </w:footnote>
  <w:footnote w:id="5">
    <w:p w14:paraId="561E87D4" w14:textId="77777777" w:rsidR="00D67F1D" w:rsidRDefault="00D67F1D" w:rsidP="002C7010">
      <w:pPr>
        <w:pStyle w:val="aff7"/>
      </w:pPr>
      <w:r w:rsidRPr="009D018C">
        <w:rPr>
          <w:rStyle w:val="af4"/>
        </w:rPr>
        <w:footnoteRef/>
      </w:r>
      <w:r>
        <w:t xml:space="preserve"> Рекомендуется различать стадию </w:t>
      </w:r>
      <w:r>
        <w:rPr>
          <w:lang w:val="en-US"/>
        </w:rPr>
        <w:t>III</w:t>
      </w:r>
      <w:r w:rsidRPr="00AB0CA7">
        <w:rPr>
          <w:vertAlign w:val="subscript"/>
        </w:rPr>
        <w:t>1</w:t>
      </w:r>
      <w:r>
        <w:t xml:space="preserve">, с поражением верхних абдоминальных лимфатических узлов (ворота печени, селезенки, чревные л/у), и стадию </w:t>
      </w:r>
      <w:r>
        <w:rPr>
          <w:lang w:val="en-US"/>
        </w:rPr>
        <w:t>III</w:t>
      </w:r>
      <w:r w:rsidRPr="003D2A8C">
        <w:rPr>
          <w:vertAlign w:val="subscript"/>
        </w:rPr>
        <w:t>2</w:t>
      </w:r>
      <w:r>
        <w:t>, с поражением забрюшинных лимфузлов.</w:t>
      </w:r>
    </w:p>
  </w:footnote>
  <w:footnote w:id="6">
    <w:p w14:paraId="6C4DB47E" w14:textId="77777777" w:rsidR="00D67F1D" w:rsidRDefault="00D67F1D" w:rsidP="002C7010">
      <w:pPr>
        <w:pStyle w:val="aff7"/>
      </w:pPr>
      <w:r w:rsidRPr="009D018C">
        <w:rPr>
          <w:rStyle w:val="af4"/>
        </w:rPr>
        <w:footnoteRef/>
      </w:r>
      <w:r>
        <w:t xml:space="preserve"> Кожный зуд исключен из симптомов интоксикации.</w:t>
      </w:r>
    </w:p>
  </w:footnote>
  <w:footnote w:id="7">
    <w:p w14:paraId="7C1235DD" w14:textId="77777777" w:rsidR="00D67F1D" w:rsidRPr="006742B6" w:rsidRDefault="00D67F1D" w:rsidP="002C7010">
      <w:pPr>
        <w:pStyle w:val="aff7"/>
      </w:pPr>
      <w:r w:rsidRPr="009D018C">
        <w:rPr>
          <w:rStyle w:val="af4"/>
        </w:rPr>
        <w:footnoteRef/>
      </w:r>
      <w:r>
        <w:t xml:space="preserve"> В</w:t>
      </w:r>
      <w:r w:rsidRPr="006742B6">
        <w:t>ыделение массивных конгломератов  (Х) и локализованного экстранодального поражения (Е) имеет значение только для локализованных I и II стадий, так как определяет выбор более интенсивной терапии.</w:t>
      </w:r>
    </w:p>
  </w:footnote>
  <w:footnote w:id="8">
    <w:p w14:paraId="61A9554C" w14:textId="77777777" w:rsidR="00D67F1D" w:rsidRPr="006742B6" w:rsidRDefault="00D67F1D" w:rsidP="002C7010">
      <w:pPr>
        <w:pStyle w:val="aff7"/>
      </w:pPr>
      <w:r w:rsidRPr="009D018C">
        <w:rPr>
          <w:rStyle w:val="af4"/>
        </w:rPr>
        <w:footnoteRef/>
      </w:r>
      <w:r>
        <w:t xml:space="preserve"> В</w:t>
      </w:r>
      <w:r w:rsidRPr="006742B6">
        <w:t>ыделение массивных конгломератов (Х) и локализованного экстранодального поражения (Е) имеет значение только для локализованных I и II стадий, так как определяет выбор более интенсивной терапии.</w:t>
      </w:r>
    </w:p>
  </w:footnote>
  <w:footnote w:id="9">
    <w:p w14:paraId="383A21BF" w14:textId="77777777" w:rsidR="00D67F1D" w:rsidRDefault="00D67F1D" w:rsidP="002C7010">
      <w:pPr>
        <w:pStyle w:val="aff7"/>
      </w:pPr>
      <w:r w:rsidRPr="009D018C">
        <w:rPr>
          <w:rStyle w:val="af4"/>
        </w:rPr>
        <w:footnoteRef/>
      </w:r>
      <w:r>
        <w:t xml:space="preserve"> Медиастинально-торакальный индекс – отношение ширины срединной тени в самом широком месте к диаметру грудной клетки в самом широком ее месте – на уровне </w:t>
      </w:r>
      <w:r>
        <w:rPr>
          <w:lang w:val="en-US"/>
        </w:rPr>
        <w:t>Th</w:t>
      </w:r>
      <w:r w:rsidRPr="003D2A8C">
        <w:t>5-6</w:t>
      </w:r>
      <w:r>
        <w:t xml:space="preserve"> на стандартных прямых рентгенограммах.</w:t>
      </w:r>
    </w:p>
  </w:footnote>
  <w:footnote w:id="10">
    <w:p w14:paraId="73B87EFF" w14:textId="77777777" w:rsidR="00124A26" w:rsidRPr="00611832" w:rsidRDefault="00124A26" w:rsidP="00124A26">
      <w:pPr>
        <w:pStyle w:val="aff7"/>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r>
        <w:rPr>
          <w:rFonts w:eastAsia="SimSun"/>
          <w:szCs w:val="24"/>
        </w:rPr>
        <w:t xml:space="preserve"> </w:t>
      </w:r>
    </w:p>
  </w:footnote>
  <w:footnote w:id="11">
    <w:p w14:paraId="07ECE6E4" w14:textId="77777777" w:rsidR="00124A26" w:rsidRPr="00F2645D" w:rsidRDefault="00124A26" w:rsidP="00124A26">
      <w:pPr>
        <w:pStyle w:val="aff7"/>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12">
    <w:p w14:paraId="26625BD2" w14:textId="77777777" w:rsidR="00124A26" w:rsidRPr="00F2645D" w:rsidRDefault="00124A26" w:rsidP="00124A26">
      <w:pPr>
        <w:pStyle w:val="aff7"/>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13">
    <w:p w14:paraId="26695A76" w14:textId="77777777" w:rsidR="00124A26" w:rsidRPr="00F2645D" w:rsidRDefault="00124A26" w:rsidP="00124A26">
      <w:pPr>
        <w:pStyle w:val="aff7"/>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14">
    <w:p w14:paraId="32C02C2C" w14:textId="77777777" w:rsidR="00124A26" w:rsidRPr="00611832" w:rsidRDefault="00124A26" w:rsidP="00124A26">
      <w:pPr>
        <w:pStyle w:val="aff7"/>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r>
        <w:rPr>
          <w:rFonts w:eastAsia="SimSun"/>
          <w:szCs w:val="24"/>
        </w:rPr>
        <w:t xml:space="preserve"> </w:t>
      </w:r>
    </w:p>
  </w:footnote>
  <w:footnote w:id="15">
    <w:p w14:paraId="116B5C85" w14:textId="77777777" w:rsidR="00124A26" w:rsidRPr="006155FD" w:rsidRDefault="00124A26" w:rsidP="00124A26">
      <w:pPr>
        <w:pStyle w:val="aff7"/>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6">
    <w:p w14:paraId="5EC90732" w14:textId="77777777" w:rsidR="00124A26" w:rsidRPr="006155FD" w:rsidRDefault="00124A26" w:rsidP="00124A26">
      <w:pPr>
        <w:pStyle w:val="aff7"/>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7">
    <w:p w14:paraId="612601CC" w14:textId="77777777" w:rsidR="00124A26" w:rsidRPr="00F2645D" w:rsidRDefault="00124A26" w:rsidP="00124A26">
      <w:pPr>
        <w:pStyle w:val="aff7"/>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18">
    <w:p w14:paraId="0A1FD9E3" w14:textId="77777777" w:rsidR="00124A26" w:rsidRPr="006155FD" w:rsidRDefault="00124A26" w:rsidP="00124A26">
      <w:pPr>
        <w:pStyle w:val="aff7"/>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9">
    <w:p w14:paraId="02F686BA" w14:textId="77777777" w:rsidR="00124A26" w:rsidRPr="006155FD" w:rsidRDefault="00124A26" w:rsidP="00124A26">
      <w:pPr>
        <w:pStyle w:val="aff7"/>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20">
    <w:p w14:paraId="469B35F5" w14:textId="77777777" w:rsidR="00124A26" w:rsidRPr="006155FD" w:rsidRDefault="00124A26" w:rsidP="00124A26">
      <w:pPr>
        <w:pStyle w:val="aff7"/>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21">
    <w:p w14:paraId="4B71CE2C" w14:textId="77777777" w:rsidR="00124A26" w:rsidRPr="006155FD" w:rsidRDefault="00124A26" w:rsidP="00124A26">
      <w:pPr>
        <w:pStyle w:val="aff7"/>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22">
    <w:p w14:paraId="67FF5A7A" w14:textId="77777777" w:rsidR="00124A26" w:rsidRPr="006155FD" w:rsidRDefault="00124A26" w:rsidP="00124A26">
      <w:pPr>
        <w:pStyle w:val="aff7"/>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23">
    <w:p w14:paraId="4A3EFB1F" w14:textId="77777777" w:rsidR="00124A26" w:rsidRPr="00DE2136" w:rsidRDefault="00124A26" w:rsidP="00124A26">
      <w:pPr>
        <w:pStyle w:val="aff7"/>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r>
        <w:rPr>
          <w:rFonts w:eastAsia="SimSun"/>
          <w:szCs w:val="24"/>
        </w:rPr>
        <w:t xml:space="preserve"> </w:t>
      </w:r>
    </w:p>
  </w:footnote>
  <w:footnote w:id="24">
    <w:p w14:paraId="6D34B751" w14:textId="77777777" w:rsidR="00124A26" w:rsidRPr="00F2645D" w:rsidRDefault="00124A26" w:rsidP="00124A26">
      <w:pPr>
        <w:pStyle w:val="aff7"/>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16B0D8" w14:textId="77777777" w:rsidR="00124A26" w:rsidRPr="00A97CBF" w:rsidRDefault="00124A26" w:rsidP="0080666E">
    <w:pPr>
      <w:pStyle w:val="af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72B7CC" w14:textId="77777777" w:rsidR="00124A26" w:rsidRDefault="00124A26">
    <w:pPr>
      <w:pStyle w:val="af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CF628B" w14:textId="77777777" w:rsidR="00D67F1D" w:rsidRDefault="00D67F1D" w:rsidP="00186C35">
    <w:pPr>
      <w:pStyle w:val="afb"/>
      <w:ind w:firstLine="0"/>
      <w:rPr>
        <w:i/>
      </w:rPr>
    </w:pPr>
  </w:p>
  <w:p w14:paraId="65043A19" w14:textId="77777777" w:rsidR="00D67F1D" w:rsidRDefault="00D67F1D"/>
  <w:p w14:paraId="57478639" w14:textId="77777777" w:rsidR="004B0669" w:rsidRDefault="004B066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A5807"/>
    <w:multiLevelType w:val="hybridMultilevel"/>
    <w:tmpl w:val="B490AF0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6A70C7"/>
    <w:multiLevelType w:val="hybridMultilevel"/>
    <w:tmpl w:val="B4025D86"/>
    <w:lvl w:ilvl="0" w:tplc="05063346">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36614BD"/>
    <w:multiLevelType w:val="hybridMultilevel"/>
    <w:tmpl w:val="8C9010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113974"/>
    <w:multiLevelType w:val="hybridMultilevel"/>
    <w:tmpl w:val="FA4A8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4403F8D"/>
    <w:multiLevelType w:val="hybridMultilevel"/>
    <w:tmpl w:val="93CEEDF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51F37FD"/>
    <w:multiLevelType w:val="hybridMultilevel"/>
    <w:tmpl w:val="439E61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5D62440"/>
    <w:multiLevelType w:val="hybridMultilevel"/>
    <w:tmpl w:val="E0A809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06615864"/>
    <w:multiLevelType w:val="hybridMultilevel"/>
    <w:tmpl w:val="8230ED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69B225E"/>
    <w:multiLevelType w:val="hybridMultilevel"/>
    <w:tmpl w:val="1700E0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076C5C1C"/>
    <w:multiLevelType w:val="hybridMultilevel"/>
    <w:tmpl w:val="E5A230F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7372DE"/>
    <w:multiLevelType w:val="hybridMultilevel"/>
    <w:tmpl w:val="EE34D9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7AA397F"/>
    <w:multiLevelType w:val="hybridMultilevel"/>
    <w:tmpl w:val="E31C61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7D1015B"/>
    <w:multiLevelType w:val="hybridMultilevel"/>
    <w:tmpl w:val="3DD476BA"/>
    <w:lvl w:ilvl="0" w:tplc="04190003">
      <w:start w:val="1"/>
      <w:numFmt w:val="bullet"/>
      <w:lvlText w:val="o"/>
      <w:lvlJc w:val="left"/>
      <w:pPr>
        <w:ind w:left="1440" w:hanging="360"/>
      </w:pPr>
      <w:rPr>
        <w:rFonts w:ascii="Courier New" w:hAnsi="Courier New" w:cs="Courier New" w:hint="default"/>
      </w:rPr>
    </w:lvl>
    <w:lvl w:ilvl="1" w:tplc="04190001">
      <w:start w:val="1"/>
      <w:numFmt w:val="bullet"/>
      <w:lvlText w:val=""/>
      <w:lvlJc w:val="left"/>
      <w:pPr>
        <w:ind w:left="1788" w:hanging="360"/>
      </w:pPr>
      <w:rPr>
        <w:rFonts w:ascii="Symbol" w:hAnsi="Symbol"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 w15:restartNumberingAfterBreak="0">
    <w:nsid w:val="08E3117B"/>
    <w:multiLevelType w:val="hybridMultilevel"/>
    <w:tmpl w:val="877E70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97617AD"/>
    <w:multiLevelType w:val="hybridMultilevel"/>
    <w:tmpl w:val="0EFEA22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9803113"/>
    <w:multiLevelType w:val="hybridMultilevel"/>
    <w:tmpl w:val="A8B834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A6A3687"/>
    <w:multiLevelType w:val="hybridMultilevel"/>
    <w:tmpl w:val="31CA6D48"/>
    <w:styleLink w:val="1ai"/>
    <w:lvl w:ilvl="0" w:tplc="A75AA490">
      <w:start w:val="1"/>
      <w:numFmt w:val="bullet"/>
      <w:lvlText w:val=""/>
      <w:lvlJc w:val="left"/>
      <w:pPr>
        <w:ind w:left="720" w:hanging="360"/>
      </w:pPr>
      <w:rPr>
        <w:rFonts w:ascii="Symbol" w:hAnsi="Symbol" w:hint="default"/>
      </w:rPr>
    </w:lvl>
    <w:lvl w:ilvl="1" w:tplc="B406001A" w:tentative="1">
      <w:start w:val="1"/>
      <w:numFmt w:val="bullet"/>
      <w:lvlText w:val="o"/>
      <w:lvlJc w:val="left"/>
      <w:pPr>
        <w:ind w:left="1440" w:hanging="360"/>
      </w:pPr>
      <w:rPr>
        <w:rFonts w:ascii="Courier New" w:hAnsi="Courier New" w:cs="Courier New" w:hint="default"/>
      </w:rPr>
    </w:lvl>
    <w:lvl w:ilvl="2" w:tplc="577203BE" w:tentative="1">
      <w:start w:val="1"/>
      <w:numFmt w:val="bullet"/>
      <w:lvlText w:val=""/>
      <w:lvlJc w:val="left"/>
      <w:pPr>
        <w:ind w:left="2160" w:hanging="360"/>
      </w:pPr>
      <w:rPr>
        <w:rFonts w:ascii="Wingdings" w:hAnsi="Wingdings" w:hint="default"/>
      </w:rPr>
    </w:lvl>
    <w:lvl w:ilvl="3" w:tplc="12C8FB5A" w:tentative="1">
      <w:start w:val="1"/>
      <w:numFmt w:val="bullet"/>
      <w:lvlText w:val=""/>
      <w:lvlJc w:val="left"/>
      <w:pPr>
        <w:ind w:left="2880" w:hanging="360"/>
      </w:pPr>
      <w:rPr>
        <w:rFonts w:ascii="Symbol" w:hAnsi="Symbol" w:hint="default"/>
      </w:rPr>
    </w:lvl>
    <w:lvl w:ilvl="4" w:tplc="7374A596" w:tentative="1">
      <w:start w:val="1"/>
      <w:numFmt w:val="bullet"/>
      <w:lvlText w:val="o"/>
      <w:lvlJc w:val="left"/>
      <w:pPr>
        <w:ind w:left="3600" w:hanging="360"/>
      </w:pPr>
      <w:rPr>
        <w:rFonts w:ascii="Courier New" w:hAnsi="Courier New" w:cs="Courier New" w:hint="default"/>
      </w:rPr>
    </w:lvl>
    <w:lvl w:ilvl="5" w:tplc="E2044D6C" w:tentative="1">
      <w:start w:val="1"/>
      <w:numFmt w:val="bullet"/>
      <w:lvlText w:val=""/>
      <w:lvlJc w:val="left"/>
      <w:pPr>
        <w:ind w:left="4320" w:hanging="360"/>
      </w:pPr>
      <w:rPr>
        <w:rFonts w:ascii="Wingdings" w:hAnsi="Wingdings" w:hint="default"/>
      </w:rPr>
    </w:lvl>
    <w:lvl w:ilvl="6" w:tplc="7F9E63CE" w:tentative="1">
      <w:start w:val="1"/>
      <w:numFmt w:val="bullet"/>
      <w:lvlText w:val=""/>
      <w:lvlJc w:val="left"/>
      <w:pPr>
        <w:ind w:left="5040" w:hanging="360"/>
      </w:pPr>
      <w:rPr>
        <w:rFonts w:ascii="Symbol" w:hAnsi="Symbol" w:hint="default"/>
      </w:rPr>
    </w:lvl>
    <w:lvl w:ilvl="7" w:tplc="5A7A8954" w:tentative="1">
      <w:start w:val="1"/>
      <w:numFmt w:val="bullet"/>
      <w:lvlText w:val="o"/>
      <w:lvlJc w:val="left"/>
      <w:pPr>
        <w:ind w:left="5760" w:hanging="360"/>
      </w:pPr>
      <w:rPr>
        <w:rFonts w:ascii="Courier New" w:hAnsi="Courier New" w:cs="Courier New" w:hint="default"/>
      </w:rPr>
    </w:lvl>
    <w:lvl w:ilvl="8" w:tplc="EC48257A" w:tentative="1">
      <w:start w:val="1"/>
      <w:numFmt w:val="bullet"/>
      <w:lvlText w:val=""/>
      <w:lvlJc w:val="left"/>
      <w:pPr>
        <w:ind w:left="6480" w:hanging="360"/>
      </w:pPr>
      <w:rPr>
        <w:rFonts w:ascii="Wingdings" w:hAnsi="Wingdings" w:hint="default"/>
      </w:rPr>
    </w:lvl>
  </w:abstractNum>
  <w:abstractNum w:abstractNumId="17" w15:restartNumberingAfterBreak="0">
    <w:nsid w:val="0AD2445A"/>
    <w:multiLevelType w:val="hybridMultilevel"/>
    <w:tmpl w:val="0A8CFB3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B090C2C"/>
    <w:multiLevelType w:val="hybridMultilevel"/>
    <w:tmpl w:val="70329C8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B1B3D13"/>
    <w:multiLevelType w:val="hybridMultilevel"/>
    <w:tmpl w:val="7608AA5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CAF3ABF"/>
    <w:multiLevelType w:val="hybridMultilevel"/>
    <w:tmpl w:val="DBACD46C"/>
    <w:lvl w:ilvl="0" w:tplc="04190001">
      <w:start w:val="1"/>
      <w:numFmt w:val="bullet"/>
      <w:lvlText w:val=""/>
      <w:lvlJc w:val="left"/>
      <w:pPr>
        <w:ind w:left="1429" w:hanging="360"/>
      </w:pPr>
      <w:rPr>
        <w:rFonts w:ascii="Symbol" w:hAnsi="Symbol" w:hint="default"/>
      </w:rPr>
    </w:lvl>
    <w:lvl w:ilvl="1" w:tplc="0419000F">
      <w:start w:val="1"/>
      <w:numFmt w:val="decimal"/>
      <w:lvlText w:val="%2."/>
      <w:lvlJc w:val="left"/>
      <w:pPr>
        <w:ind w:left="2494" w:hanging="705"/>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0CEF690B"/>
    <w:multiLevelType w:val="multilevel"/>
    <w:tmpl w:val="51268A1A"/>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2" w15:restartNumberingAfterBreak="0">
    <w:nsid w:val="0D16377A"/>
    <w:multiLevelType w:val="hybridMultilevel"/>
    <w:tmpl w:val="1BCEF5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0D743AAD"/>
    <w:multiLevelType w:val="multilevel"/>
    <w:tmpl w:val="12BE655A"/>
    <w:lvl w:ilvl="0">
      <w:start w:val="1"/>
      <w:numFmt w:val="decimal"/>
      <w:lvlText w:val="%1)"/>
      <w:lvlJc w:val="left"/>
      <w:pPr>
        <w:tabs>
          <w:tab w:val="num" w:pos="1069"/>
        </w:tabs>
        <w:ind w:left="1069" w:hanging="360"/>
      </w:p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4" w15:restartNumberingAfterBreak="0">
    <w:nsid w:val="0EED4B52"/>
    <w:multiLevelType w:val="hybridMultilevel"/>
    <w:tmpl w:val="8DFC94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0F1C4733"/>
    <w:multiLevelType w:val="hybridMultilevel"/>
    <w:tmpl w:val="6D027C68"/>
    <w:lvl w:ilvl="0" w:tplc="04190001">
      <w:start w:val="1"/>
      <w:numFmt w:val="decimal"/>
      <w:lvlText w:val="%1."/>
      <w:lvlJc w:val="left"/>
      <w:pPr>
        <w:ind w:left="720" w:hanging="360"/>
      </w:pPr>
      <w:rPr>
        <w:rFonts w:cs="Times New Roman"/>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26" w15:restartNumberingAfterBreak="0">
    <w:nsid w:val="0F804A37"/>
    <w:multiLevelType w:val="multilevel"/>
    <w:tmpl w:val="0090D9AC"/>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FD92B03"/>
    <w:multiLevelType w:val="hybridMultilevel"/>
    <w:tmpl w:val="BE6A8654"/>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8" w15:restartNumberingAfterBreak="0">
    <w:nsid w:val="100074B4"/>
    <w:multiLevelType w:val="hybridMultilevel"/>
    <w:tmpl w:val="E30CEB64"/>
    <w:lvl w:ilvl="0" w:tplc="0AB06D68">
      <w:start w:val="1"/>
      <w:numFmt w:val="bullet"/>
      <w:lvlText w:val="•"/>
      <w:lvlJc w:val="left"/>
      <w:pPr>
        <w:tabs>
          <w:tab w:val="num" w:pos="720"/>
        </w:tabs>
        <w:ind w:left="720" w:hanging="360"/>
      </w:pPr>
      <w:rPr>
        <w:rFonts w:ascii="Arial" w:hAnsi="Arial" w:hint="default"/>
      </w:rPr>
    </w:lvl>
    <w:lvl w:ilvl="1" w:tplc="9D9857E0" w:tentative="1">
      <w:start w:val="1"/>
      <w:numFmt w:val="bullet"/>
      <w:lvlText w:val="•"/>
      <w:lvlJc w:val="left"/>
      <w:pPr>
        <w:tabs>
          <w:tab w:val="num" w:pos="1440"/>
        </w:tabs>
        <w:ind w:left="1440" w:hanging="360"/>
      </w:pPr>
      <w:rPr>
        <w:rFonts w:ascii="Arial" w:hAnsi="Arial" w:hint="default"/>
      </w:rPr>
    </w:lvl>
    <w:lvl w:ilvl="2" w:tplc="8168F5BE" w:tentative="1">
      <w:start w:val="1"/>
      <w:numFmt w:val="bullet"/>
      <w:lvlText w:val="•"/>
      <w:lvlJc w:val="left"/>
      <w:pPr>
        <w:tabs>
          <w:tab w:val="num" w:pos="2160"/>
        </w:tabs>
        <w:ind w:left="2160" w:hanging="360"/>
      </w:pPr>
      <w:rPr>
        <w:rFonts w:ascii="Arial" w:hAnsi="Arial" w:hint="default"/>
      </w:rPr>
    </w:lvl>
    <w:lvl w:ilvl="3" w:tplc="002ACBCC" w:tentative="1">
      <w:start w:val="1"/>
      <w:numFmt w:val="bullet"/>
      <w:lvlText w:val="•"/>
      <w:lvlJc w:val="left"/>
      <w:pPr>
        <w:tabs>
          <w:tab w:val="num" w:pos="2880"/>
        </w:tabs>
        <w:ind w:left="2880" w:hanging="360"/>
      </w:pPr>
      <w:rPr>
        <w:rFonts w:ascii="Arial" w:hAnsi="Arial" w:hint="default"/>
      </w:rPr>
    </w:lvl>
    <w:lvl w:ilvl="4" w:tplc="E67A6770" w:tentative="1">
      <w:start w:val="1"/>
      <w:numFmt w:val="bullet"/>
      <w:lvlText w:val="•"/>
      <w:lvlJc w:val="left"/>
      <w:pPr>
        <w:tabs>
          <w:tab w:val="num" w:pos="3600"/>
        </w:tabs>
        <w:ind w:left="3600" w:hanging="360"/>
      </w:pPr>
      <w:rPr>
        <w:rFonts w:ascii="Arial" w:hAnsi="Arial" w:hint="default"/>
      </w:rPr>
    </w:lvl>
    <w:lvl w:ilvl="5" w:tplc="8CD42242" w:tentative="1">
      <w:start w:val="1"/>
      <w:numFmt w:val="bullet"/>
      <w:lvlText w:val="•"/>
      <w:lvlJc w:val="left"/>
      <w:pPr>
        <w:tabs>
          <w:tab w:val="num" w:pos="4320"/>
        </w:tabs>
        <w:ind w:left="4320" w:hanging="360"/>
      </w:pPr>
      <w:rPr>
        <w:rFonts w:ascii="Arial" w:hAnsi="Arial" w:hint="default"/>
      </w:rPr>
    </w:lvl>
    <w:lvl w:ilvl="6" w:tplc="8DA8123C" w:tentative="1">
      <w:start w:val="1"/>
      <w:numFmt w:val="bullet"/>
      <w:lvlText w:val="•"/>
      <w:lvlJc w:val="left"/>
      <w:pPr>
        <w:tabs>
          <w:tab w:val="num" w:pos="5040"/>
        </w:tabs>
        <w:ind w:left="5040" w:hanging="360"/>
      </w:pPr>
      <w:rPr>
        <w:rFonts w:ascii="Arial" w:hAnsi="Arial" w:hint="default"/>
      </w:rPr>
    </w:lvl>
    <w:lvl w:ilvl="7" w:tplc="D4B6D4DC" w:tentative="1">
      <w:start w:val="1"/>
      <w:numFmt w:val="bullet"/>
      <w:lvlText w:val="•"/>
      <w:lvlJc w:val="left"/>
      <w:pPr>
        <w:tabs>
          <w:tab w:val="num" w:pos="5760"/>
        </w:tabs>
        <w:ind w:left="5760" w:hanging="360"/>
      </w:pPr>
      <w:rPr>
        <w:rFonts w:ascii="Arial" w:hAnsi="Arial" w:hint="default"/>
      </w:rPr>
    </w:lvl>
    <w:lvl w:ilvl="8" w:tplc="BC4A1AF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105D60C4"/>
    <w:multiLevelType w:val="hybridMultilevel"/>
    <w:tmpl w:val="48C06D6C"/>
    <w:lvl w:ilvl="0" w:tplc="2AD23686">
      <w:start w:val="1"/>
      <w:numFmt w:val="bullet"/>
      <w:pStyle w:val="a"/>
      <w:lvlText w:val=""/>
      <w:lvlJc w:val="left"/>
      <w:pPr>
        <w:ind w:left="9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0" w15:restartNumberingAfterBreak="0">
    <w:nsid w:val="10AA0379"/>
    <w:multiLevelType w:val="hybridMultilevel"/>
    <w:tmpl w:val="D6D40F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113446B"/>
    <w:multiLevelType w:val="multilevel"/>
    <w:tmpl w:val="12BE655A"/>
    <w:lvl w:ilvl="0">
      <w:start w:val="1"/>
      <w:numFmt w:val="decimal"/>
      <w:lvlText w:val="%1)"/>
      <w:lvlJc w:val="left"/>
      <w:pPr>
        <w:tabs>
          <w:tab w:val="num" w:pos="1069"/>
        </w:tabs>
        <w:ind w:left="1069" w:hanging="360"/>
      </w:p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32" w15:restartNumberingAfterBreak="0">
    <w:nsid w:val="11313628"/>
    <w:multiLevelType w:val="hybridMultilevel"/>
    <w:tmpl w:val="0ACEF2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2992565"/>
    <w:multiLevelType w:val="hybridMultilevel"/>
    <w:tmpl w:val="279CD3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15:restartNumberingAfterBreak="0">
    <w:nsid w:val="12B42435"/>
    <w:multiLevelType w:val="hybridMultilevel"/>
    <w:tmpl w:val="599C2D78"/>
    <w:lvl w:ilvl="0" w:tplc="04190003">
      <w:start w:val="1"/>
      <w:numFmt w:val="bullet"/>
      <w:lvlText w:val="o"/>
      <w:lvlJc w:val="left"/>
      <w:pPr>
        <w:ind w:left="1069" w:hanging="360"/>
      </w:pPr>
      <w:rPr>
        <w:rFonts w:ascii="Courier New" w:hAnsi="Courier New" w:cs="Courier New" w:hint="default"/>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5" w15:restartNumberingAfterBreak="0">
    <w:nsid w:val="130C550D"/>
    <w:multiLevelType w:val="hybridMultilevel"/>
    <w:tmpl w:val="16A6669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13794F9A"/>
    <w:multiLevelType w:val="hybridMultilevel"/>
    <w:tmpl w:val="296EBB58"/>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14037E02"/>
    <w:multiLevelType w:val="hybridMultilevel"/>
    <w:tmpl w:val="B41078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153242F3"/>
    <w:multiLevelType w:val="hybridMultilevel"/>
    <w:tmpl w:val="4F6AE4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1563373B"/>
    <w:multiLevelType w:val="hybridMultilevel"/>
    <w:tmpl w:val="412C7EC0"/>
    <w:lvl w:ilvl="0" w:tplc="0120671C">
      <w:start w:val="1"/>
      <w:numFmt w:val="bullet"/>
      <w:lvlText w:val=""/>
      <w:lvlJc w:val="left"/>
      <w:pPr>
        <w:tabs>
          <w:tab w:val="num" w:pos="720"/>
        </w:tabs>
        <w:ind w:left="720" w:hanging="360"/>
      </w:pPr>
      <w:rPr>
        <w:rFonts w:ascii="Wingdings 2" w:hAnsi="Wingdings 2" w:hint="default"/>
      </w:rPr>
    </w:lvl>
    <w:lvl w:ilvl="1" w:tplc="F6CCB1E2" w:tentative="1">
      <w:start w:val="1"/>
      <w:numFmt w:val="bullet"/>
      <w:lvlText w:val=""/>
      <w:lvlJc w:val="left"/>
      <w:pPr>
        <w:tabs>
          <w:tab w:val="num" w:pos="1440"/>
        </w:tabs>
        <w:ind w:left="1440" w:hanging="360"/>
      </w:pPr>
      <w:rPr>
        <w:rFonts w:ascii="Wingdings 2" w:hAnsi="Wingdings 2" w:hint="default"/>
      </w:rPr>
    </w:lvl>
    <w:lvl w:ilvl="2" w:tplc="B0FC5F8A" w:tentative="1">
      <w:start w:val="1"/>
      <w:numFmt w:val="bullet"/>
      <w:lvlText w:val=""/>
      <w:lvlJc w:val="left"/>
      <w:pPr>
        <w:tabs>
          <w:tab w:val="num" w:pos="2160"/>
        </w:tabs>
        <w:ind w:left="2160" w:hanging="360"/>
      </w:pPr>
      <w:rPr>
        <w:rFonts w:ascii="Wingdings 2" w:hAnsi="Wingdings 2" w:hint="default"/>
      </w:rPr>
    </w:lvl>
    <w:lvl w:ilvl="3" w:tplc="A82E8348" w:tentative="1">
      <w:start w:val="1"/>
      <w:numFmt w:val="bullet"/>
      <w:lvlText w:val=""/>
      <w:lvlJc w:val="left"/>
      <w:pPr>
        <w:tabs>
          <w:tab w:val="num" w:pos="2880"/>
        </w:tabs>
        <w:ind w:left="2880" w:hanging="360"/>
      </w:pPr>
      <w:rPr>
        <w:rFonts w:ascii="Wingdings 2" w:hAnsi="Wingdings 2" w:hint="default"/>
      </w:rPr>
    </w:lvl>
    <w:lvl w:ilvl="4" w:tplc="D04EB8BE" w:tentative="1">
      <w:start w:val="1"/>
      <w:numFmt w:val="bullet"/>
      <w:lvlText w:val=""/>
      <w:lvlJc w:val="left"/>
      <w:pPr>
        <w:tabs>
          <w:tab w:val="num" w:pos="3600"/>
        </w:tabs>
        <w:ind w:left="3600" w:hanging="360"/>
      </w:pPr>
      <w:rPr>
        <w:rFonts w:ascii="Wingdings 2" w:hAnsi="Wingdings 2" w:hint="default"/>
      </w:rPr>
    </w:lvl>
    <w:lvl w:ilvl="5" w:tplc="DF9CE492" w:tentative="1">
      <w:start w:val="1"/>
      <w:numFmt w:val="bullet"/>
      <w:lvlText w:val=""/>
      <w:lvlJc w:val="left"/>
      <w:pPr>
        <w:tabs>
          <w:tab w:val="num" w:pos="4320"/>
        </w:tabs>
        <w:ind w:left="4320" w:hanging="360"/>
      </w:pPr>
      <w:rPr>
        <w:rFonts w:ascii="Wingdings 2" w:hAnsi="Wingdings 2" w:hint="default"/>
      </w:rPr>
    </w:lvl>
    <w:lvl w:ilvl="6" w:tplc="4F6C7C52" w:tentative="1">
      <w:start w:val="1"/>
      <w:numFmt w:val="bullet"/>
      <w:lvlText w:val=""/>
      <w:lvlJc w:val="left"/>
      <w:pPr>
        <w:tabs>
          <w:tab w:val="num" w:pos="5040"/>
        </w:tabs>
        <w:ind w:left="5040" w:hanging="360"/>
      </w:pPr>
      <w:rPr>
        <w:rFonts w:ascii="Wingdings 2" w:hAnsi="Wingdings 2" w:hint="default"/>
      </w:rPr>
    </w:lvl>
    <w:lvl w:ilvl="7" w:tplc="D7AEE092" w:tentative="1">
      <w:start w:val="1"/>
      <w:numFmt w:val="bullet"/>
      <w:lvlText w:val=""/>
      <w:lvlJc w:val="left"/>
      <w:pPr>
        <w:tabs>
          <w:tab w:val="num" w:pos="5760"/>
        </w:tabs>
        <w:ind w:left="5760" w:hanging="360"/>
      </w:pPr>
      <w:rPr>
        <w:rFonts w:ascii="Wingdings 2" w:hAnsi="Wingdings 2" w:hint="default"/>
      </w:rPr>
    </w:lvl>
    <w:lvl w:ilvl="8" w:tplc="EEF60CD2" w:tentative="1">
      <w:start w:val="1"/>
      <w:numFmt w:val="bullet"/>
      <w:lvlText w:val=""/>
      <w:lvlJc w:val="left"/>
      <w:pPr>
        <w:tabs>
          <w:tab w:val="num" w:pos="6480"/>
        </w:tabs>
        <w:ind w:left="6480" w:hanging="360"/>
      </w:pPr>
      <w:rPr>
        <w:rFonts w:ascii="Wingdings 2" w:hAnsi="Wingdings 2" w:hint="default"/>
      </w:rPr>
    </w:lvl>
  </w:abstractNum>
  <w:abstractNum w:abstractNumId="40" w15:restartNumberingAfterBreak="0">
    <w:nsid w:val="163F1B45"/>
    <w:multiLevelType w:val="hybridMultilevel"/>
    <w:tmpl w:val="6C78B0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165F7D7D"/>
    <w:multiLevelType w:val="hybridMultilevel"/>
    <w:tmpl w:val="F4925034"/>
    <w:lvl w:ilvl="0" w:tplc="5D6EC054">
      <w:start w:val="1"/>
      <w:numFmt w:val="bullet"/>
      <w:lvlText w:val=""/>
      <w:lvlJc w:val="left"/>
      <w:pPr>
        <w:tabs>
          <w:tab w:val="num" w:pos="720"/>
        </w:tabs>
        <w:ind w:left="720" w:hanging="360"/>
      </w:pPr>
      <w:rPr>
        <w:rFonts w:ascii="Wingdings 2" w:hAnsi="Wingdings 2" w:hint="default"/>
      </w:rPr>
    </w:lvl>
    <w:lvl w:ilvl="1" w:tplc="F946A4BC" w:tentative="1">
      <w:start w:val="1"/>
      <w:numFmt w:val="bullet"/>
      <w:lvlText w:val=""/>
      <w:lvlJc w:val="left"/>
      <w:pPr>
        <w:tabs>
          <w:tab w:val="num" w:pos="1440"/>
        </w:tabs>
        <w:ind w:left="1440" w:hanging="360"/>
      </w:pPr>
      <w:rPr>
        <w:rFonts w:ascii="Wingdings 2" w:hAnsi="Wingdings 2" w:hint="default"/>
      </w:rPr>
    </w:lvl>
    <w:lvl w:ilvl="2" w:tplc="3D6E2908" w:tentative="1">
      <w:start w:val="1"/>
      <w:numFmt w:val="bullet"/>
      <w:lvlText w:val=""/>
      <w:lvlJc w:val="left"/>
      <w:pPr>
        <w:tabs>
          <w:tab w:val="num" w:pos="2160"/>
        </w:tabs>
        <w:ind w:left="2160" w:hanging="360"/>
      </w:pPr>
      <w:rPr>
        <w:rFonts w:ascii="Wingdings 2" w:hAnsi="Wingdings 2" w:hint="default"/>
      </w:rPr>
    </w:lvl>
    <w:lvl w:ilvl="3" w:tplc="A31E3046" w:tentative="1">
      <w:start w:val="1"/>
      <w:numFmt w:val="bullet"/>
      <w:lvlText w:val=""/>
      <w:lvlJc w:val="left"/>
      <w:pPr>
        <w:tabs>
          <w:tab w:val="num" w:pos="2880"/>
        </w:tabs>
        <w:ind w:left="2880" w:hanging="360"/>
      </w:pPr>
      <w:rPr>
        <w:rFonts w:ascii="Wingdings 2" w:hAnsi="Wingdings 2" w:hint="default"/>
      </w:rPr>
    </w:lvl>
    <w:lvl w:ilvl="4" w:tplc="6382FAD6" w:tentative="1">
      <w:start w:val="1"/>
      <w:numFmt w:val="bullet"/>
      <w:lvlText w:val=""/>
      <w:lvlJc w:val="left"/>
      <w:pPr>
        <w:tabs>
          <w:tab w:val="num" w:pos="3600"/>
        </w:tabs>
        <w:ind w:left="3600" w:hanging="360"/>
      </w:pPr>
      <w:rPr>
        <w:rFonts w:ascii="Wingdings 2" w:hAnsi="Wingdings 2" w:hint="default"/>
      </w:rPr>
    </w:lvl>
    <w:lvl w:ilvl="5" w:tplc="6CC89B82" w:tentative="1">
      <w:start w:val="1"/>
      <w:numFmt w:val="bullet"/>
      <w:lvlText w:val=""/>
      <w:lvlJc w:val="left"/>
      <w:pPr>
        <w:tabs>
          <w:tab w:val="num" w:pos="4320"/>
        </w:tabs>
        <w:ind w:left="4320" w:hanging="360"/>
      </w:pPr>
      <w:rPr>
        <w:rFonts w:ascii="Wingdings 2" w:hAnsi="Wingdings 2" w:hint="default"/>
      </w:rPr>
    </w:lvl>
    <w:lvl w:ilvl="6" w:tplc="7B144F0E" w:tentative="1">
      <w:start w:val="1"/>
      <w:numFmt w:val="bullet"/>
      <w:lvlText w:val=""/>
      <w:lvlJc w:val="left"/>
      <w:pPr>
        <w:tabs>
          <w:tab w:val="num" w:pos="5040"/>
        </w:tabs>
        <w:ind w:left="5040" w:hanging="360"/>
      </w:pPr>
      <w:rPr>
        <w:rFonts w:ascii="Wingdings 2" w:hAnsi="Wingdings 2" w:hint="default"/>
      </w:rPr>
    </w:lvl>
    <w:lvl w:ilvl="7" w:tplc="3BAEE872" w:tentative="1">
      <w:start w:val="1"/>
      <w:numFmt w:val="bullet"/>
      <w:lvlText w:val=""/>
      <w:lvlJc w:val="left"/>
      <w:pPr>
        <w:tabs>
          <w:tab w:val="num" w:pos="5760"/>
        </w:tabs>
        <w:ind w:left="5760" w:hanging="360"/>
      </w:pPr>
      <w:rPr>
        <w:rFonts w:ascii="Wingdings 2" w:hAnsi="Wingdings 2" w:hint="default"/>
      </w:rPr>
    </w:lvl>
    <w:lvl w:ilvl="8" w:tplc="E47CF9FE" w:tentative="1">
      <w:start w:val="1"/>
      <w:numFmt w:val="bullet"/>
      <w:lvlText w:val=""/>
      <w:lvlJc w:val="left"/>
      <w:pPr>
        <w:tabs>
          <w:tab w:val="num" w:pos="6480"/>
        </w:tabs>
        <w:ind w:left="6480" w:hanging="360"/>
      </w:pPr>
      <w:rPr>
        <w:rFonts w:ascii="Wingdings 2" w:hAnsi="Wingdings 2" w:hint="default"/>
      </w:rPr>
    </w:lvl>
  </w:abstractNum>
  <w:abstractNum w:abstractNumId="42" w15:restartNumberingAfterBreak="0">
    <w:nsid w:val="16FC0569"/>
    <w:multiLevelType w:val="hybridMultilevel"/>
    <w:tmpl w:val="6BE0F6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171C52BE"/>
    <w:multiLevelType w:val="hybridMultilevel"/>
    <w:tmpl w:val="E34ECE2C"/>
    <w:lvl w:ilvl="0" w:tplc="52FABE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15:restartNumberingAfterBreak="0">
    <w:nsid w:val="178E4FB1"/>
    <w:multiLevelType w:val="hybridMultilevel"/>
    <w:tmpl w:val="F5509A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17B2382E"/>
    <w:multiLevelType w:val="hybridMultilevel"/>
    <w:tmpl w:val="F3BCF4E4"/>
    <w:lvl w:ilvl="0" w:tplc="5B32E066">
      <w:start w:val="1"/>
      <w:numFmt w:val="bullet"/>
      <w:lvlText w:val=""/>
      <w:lvlJc w:val="left"/>
      <w:pPr>
        <w:ind w:left="720" w:hanging="360"/>
      </w:pPr>
      <w:rPr>
        <w:rFonts w:ascii="Symbol" w:hAnsi="Symbol" w:hint="default"/>
      </w:rPr>
    </w:lvl>
    <w:lvl w:ilvl="1" w:tplc="2D36D64E">
      <w:start w:val="1"/>
      <w:numFmt w:val="bullet"/>
      <w:lvlText w:val="o"/>
      <w:lvlJc w:val="left"/>
      <w:pPr>
        <w:ind w:left="1440" w:hanging="360"/>
      </w:pPr>
      <w:rPr>
        <w:rFonts w:ascii="Courier New" w:hAnsi="Courier New" w:cs="Courier New" w:hint="default"/>
      </w:rPr>
    </w:lvl>
    <w:lvl w:ilvl="2" w:tplc="2A8C8AA0">
      <w:start w:val="1"/>
      <w:numFmt w:val="bullet"/>
      <w:lvlText w:val=""/>
      <w:lvlJc w:val="left"/>
      <w:pPr>
        <w:ind w:left="2160" w:hanging="360"/>
      </w:pPr>
      <w:rPr>
        <w:rFonts w:ascii="Wingdings" w:hAnsi="Wingdings" w:hint="default"/>
      </w:rPr>
    </w:lvl>
    <w:lvl w:ilvl="3" w:tplc="A07669B2">
      <w:start w:val="1"/>
      <w:numFmt w:val="bullet"/>
      <w:lvlText w:val=""/>
      <w:lvlJc w:val="left"/>
      <w:pPr>
        <w:ind w:left="2880" w:hanging="360"/>
      </w:pPr>
      <w:rPr>
        <w:rFonts w:ascii="Symbol" w:hAnsi="Symbol" w:hint="default"/>
      </w:rPr>
    </w:lvl>
    <w:lvl w:ilvl="4" w:tplc="6FB296FA">
      <w:start w:val="1"/>
      <w:numFmt w:val="bullet"/>
      <w:lvlText w:val="o"/>
      <w:lvlJc w:val="left"/>
      <w:pPr>
        <w:ind w:left="3600" w:hanging="360"/>
      </w:pPr>
      <w:rPr>
        <w:rFonts w:ascii="Courier New" w:hAnsi="Courier New" w:cs="Courier New" w:hint="default"/>
      </w:rPr>
    </w:lvl>
    <w:lvl w:ilvl="5" w:tplc="95320816">
      <w:start w:val="1"/>
      <w:numFmt w:val="bullet"/>
      <w:lvlText w:val=""/>
      <w:lvlJc w:val="left"/>
      <w:pPr>
        <w:ind w:left="4320" w:hanging="360"/>
      </w:pPr>
      <w:rPr>
        <w:rFonts w:ascii="Wingdings" w:hAnsi="Wingdings" w:hint="default"/>
      </w:rPr>
    </w:lvl>
    <w:lvl w:ilvl="6" w:tplc="8744C6BA">
      <w:start w:val="1"/>
      <w:numFmt w:val="bullet"/>
      <w:lvlText w:val=""/>
      <w:lvlJc w:val="left"/>
      <w:pPr>
        <w:ind w:left="5040" w:hanging="360"/>
      </w:pPr>
      <w:rPr>
        <w:rFonts w:ascii="Symbol" w:hAnsi="Symbol" w:hint="default"/>
      </w:rPr>
    </w:lvl>
    <w:lvl w:ilvl="7" w:tplc="609219F8">
      <w:start w:val="1"/>
      <w:numFmt w:val="bullet"/>
      <w:lvlText w:val="o"/>
      <w:lvlJc w:val="left"/>
      <w:pPr>
        <w:ind w:left="5760" w:hanging="360"/>
      </w:pPr>
      <w:rPr>
        <w:rFonts w:ascii="Courier New" w:hAnsi="Courier New" w:cs="Courier New" w:hint="default"/>
      </w:rPr>
    </w:lvl>
    <w:lvl w:ilvl="8" w:tplc="803E5718">
      <w:start w:val="1"/>
      <w:numFmt w:val="bullet"/>
      <w:lvlText w:val=""/>
      <w:lvlJc w:val="left"/>
      <w:pPr>
        <w:ind w:left="6480" w:hanging="360"/>
      </w:pPr>
      <w:rPr>
        <w:rFonts w:ascii="Wingdings" w:hAnsi="Wingdings" w:hint="default"/>
      </w:rPr>
    </w:lvl>
  </w:abstractNum>
  <w:abstractNum w:abstractNumId="46" w15:restartNumberingAfterBreak="0">
    <w:nsid w:val="18A64B53"/>
    <w:multiLevelType w:val="hybridMultilevel"/>
    <w:tmpl w:val="3A74CE48"/>
    <w:lvl w:ilvl="0" w:tplc="C7B269B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7" w15:restartNumberingAfterBreak="0">
    <w:nsid w:val="18B750CE"/>
    <w:multiLevelType w:val="hybridMultilevel"/>
    <w:tmpl w:val="E25EE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19255EDC"/>
    <w:multiLevelType w:val="hybridMultilevel"/>
    <w:tmpl w:val="F04889CA"/>
    <w:lvl w:ilvl="0" w:tplc="504CF14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1ABE24B2"/>
    <w:multiLevelType w:val="hybridMultilevel"/>
    <w:tmpl w:val="E1D4317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1AEC1080"/>
    <w:multiLevelType w:val="multilevel"/>
    <w:tmpl w:val="E230D3C0"/>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AF61062"/>
    <w:multiLevelType w:val="multilevel"/>
    <w:tmpl w:val="2F08A22E"/>
    <w:lvl w:ilvl="0">
      <w:start w:val="1"/>
      <w:numFmt w:val="bullet"/>
      <w:lvlText w:val=""/>
      <w:lvlJc w:val="left"/>
      <w:pPr>
        <w:ind w:left="1429" w:hanging="360"/>
      </w:pPr>
      <w:rPr>
        <w:rFonts w:ascii="Symbol" w:hAnsi="Symbol"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2" w15:restartNumberingAfterBreak="0">
    <w:nsid w:val="1AF73943"/>
    <w:multiLevelType w:val="hybridMultilevel"/>
    <w:tmpl w:val="01C419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1D0C0A31"/>
    <w:multiLevelType w:val="hybridMultilevel"/>
    <w:tmpl w:val="E51E35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1DA871A9"/>
    <w:multiLevelType w:val="hybridMultilevel"/>
    <w:tmpl w:val="60A651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1DB567F2"/>
    <w:multiLevelType w:val="hybridMultilevel"/>
    <w:tmpl w:val="809C6A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1DDD6F7A"/>
    <w:multiLevelType w:val="hybridMultilevel"/>
    <w:tmpl w:val="B4A48EF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1DE2295F"/>
    <w:multiLevelType w:val="hybridMultilevel"/>
    <w:tmpl w:val="B0903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8" w15:restartNumberingAfterBreak="0">
    <w:nsid w:val="1ED34941"/>
    <w:multiLevelType w:val="hybridMultilevel"/>
    <w:tmpl w:val="5FBC03FC"/>
    <w:lvl w:ilvl="0" w:tplc="C3E25982">
      <w:start w:val="1"/>
      <w:numFmt w:val="decimal"/>
      <w:lvlText w:val="%1."/>
      <w:lvlJc w:val="left"/>
      <w:pPr>
        <w:ind w:left="1060" w:hanging="7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1EDF0E41"/>
    <w:multiLevelType w:val="hybridMultilevel"/>
    <w:tmpl w:val="1B0E41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1EED2CD2"/>
    <w:multiLevelType w:val="hybridMultilevel"/>
    <w:tmpl w:val="8236EA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1F3E3951"/>
    <w:multiLevelType w:val="multilevel"/>
    <w:tmpl w:val="49E2D460"/>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62" w15:restartNumberingAfterBreak="0">
    <w:nsid w:val="1FC92CBC"/>
    <w:multiLevelType w:val="hybridMultilevel"/>
    <w:tmpl w:val="0DCC8EC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1FE132BC"/>
    <w:multiLevelType w:val="hybridMultilevel"/>
    <w:tmpl w:val="2A94CBE0"/>
    <w:lvl w:ilvl="0" w:tplc="04190001">
      <w:start w:val="1"/>
      <w:numFmt w:val="lowerLetter"/>
      <w:lvlText w:val="%1."/>
      <w:lvlJc w:val="left"/>
      <w:pPr>
        <w:ind w:left="720" w:hanging="360"/>
      </w:p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64" w15:restartNumberingAfterBreak="0">
    <w:nsid w:val="20FA4456"/>
    <w:multiLevelType w:val="hybridMultilevel"/>
    <w:tmpl w:val="B8DA2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213D6439"/>
    <w:multiLevelType w:val="hybridMultilevel"/>
    <w:tmpl w:val="67FA64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22204C5C"/>
    <w:multiLevelType w:val="hybridMultilevel"/>
    <w:tmpl w:val="776CE3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22FA79B0"/>
    <w:multiLevelType w:val="hybridMultilevel"/>
    <w:tmpl w:val="A266AACC"/>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8" w15:restartNumberingAfterBreak="0">
    <w:nsid w:val="23437769"/>
    <w:multiLevelType w:val="hybridMultilevel"/>
    <w:tmpl w:val="63BEF63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24DF4A85"/>
    <w:multiLevelType w:val="hybridMultilevel"/>
    <w:tmpl w:val="241A6172"/>
    <w:lvl w:ilvl="0" w:tplc="EED2B48E">
      <w:start w:val="1"/>
      <w:numFmt w:val="bullet"/>
      <w:lvlText w:val=""/>
      <w:lvlJc w:val="left"/>
      <w:pPr>
        <w:ind w:left="1428" w:hanging="360"/>
      </w:pPr>
      <w:rPr>
        <w:rFonts w:ascii="Symbol" w:hAnsi="Symbol" w:hint="default"/>
      </w:rPr>
    </w:lvl>
    <w:lvl w:ilvl="1" w:tplc="5B5C74E4">
      <w:start w:val="1"/>
      <w:numFmt w:val="bullet"/>
      <w:lvlText w:val="o"/>
      <w:lvlJc w:val="left"/>
      <w:pPr>
        <w:ind w:left="2148" w:hanging="360"/>
      </w:pPr>
      <w:rPr>
        <w:rFonts w:ascii="Courier New" w:hAnsi="Courier New" w:cs="Courier New" w:hint="default"/>
      </w:rPr>
    </w:lvl>
    <w:lvl w:ilvl="2" w:tplc="F1029CF8">
      <w:start w:val="1"/>
      <w:numFmt w:val="bullet"/>
      <w:lvlText w:val=""/>
      <w:lvlJc w:val="left"/>
      <w:pPr>
        <w:ind w:left="2868" w:hanging="360"/>
      </w:pPr>
      <w:rPr>
        <w:rFonts w:ascii="Wingdings" w:hAnsi="Wingdings" w:hint="default"/>
      </w:rPr>
    </w:lvl>
    <w:lvl w:ilvl="3" w:tplc="80B078AE">
      <w:start w:val="1"/>
      <w:numFmt w:val="bullet"/>
      <w:lvlText w:val=""/>
      <w:lvlJc w:val="left"/>
      <w:pPr>
        <w:ind w:left="3588" w:hanging="360"/>
      </w:pPr>
      <w:rPr>
        <w:rFonts w:ascii="Symbol" w:hAnsi="Symbol" w:hint="default"/>
      </w:rPr>
    </w:lvl>
    <w:lvl w:ilvl="4" w:tplc="472A882C">
      <w:start w:val="1"/>
      <w:numFmt w:val="bullet"/>
      <w:lvlText w:val="o"/>
      <w:lvlJc w:val="left"/>
      <w:pPr>
        <w:ind w:left="4308" w:hanging="360"/>
      </w:pPr>
      <w:rPr>
        <w:rFonts w:ascii="Courier New" w:hAnsi="Courier New" w:cs="Courier New" w:hint="default"/>
      </w:rPr>
    </w:lvl>
    <w:lvl w:ilvl="5" w:tplc="A692D73C">
      <w:start w:val="1"/>
      <w:numFmt w:val="bullet"/>
      <w:lvlText w:val=""/>
      <w:lvlJc w:val="left"/>
      <w:pPr>
        <w:ind w:left="5028" w:hanging="360"/>
      </w:pPr>
      <w:rPr>
        <w:rFonts w:ascii="Wingdings" w:hAnsi="Wingdings" w:hint="default"/>
      </w:rPr>
    </w:lvl>
    <w:lvl w:ilvl="6" w:tplc="952406C0">
      <w:start w:val="1"/>
      <w:numFmt w:val="bullet"/>
      <w:lvlText w:val=""/>
      <w:lvlJc w:val="left"/>
      <w:pPr>
        <w:ind w:left="5748" w:hanging="360"/>
      </w:pPr>
      <w:rPr>
        <w:rFonts w:ascii="Symbol" w:hAnsi="Symbol" w:hint="default"/>
      </w:rPr>
    </w:lvl>
    <w:lvl w:ilvl="7" w:tplc="77767F38">
      <w:start w:val="1"/>
      <w:numFmt w:val="bullet"/>
      <w:lvlText w:val="o"/>
      <w:lvlJc w:val="left"/>
      <w:pPr>
        <w:ind w:left="6468" w:hanging="360"/>
      </w:pPr>
      <w:rPr>
        <w:rFonts w:ascii="Courier New" w:hAnsi="Courier New" w:cs="Courier New" w:hint="default"/>
      </w:rPr>
    </w:lvl>
    <w:lvl w:ilvl="8" w:tplc="0E96D622">
      <w:start w:val="1"/>
      <w:numFmt w:val="bullet"/>
      <w:lvlText w:val=""/>
      <w:lvlJc w:val="left"/>
      <w:pPr>
        <w:ind w:left="7188" w:hanging="360"/>
      </w:pPr>
      <w:rPr>
        <w:rFonts w:ascii="Wingdings" w:hAnsi="Wingdings" w:hint="default"/>
      </w:rPr>
    </w:lvl>
  </w:abstractNum>
  <w:abstractNum w:abstractNumId="70" w15:restartNumberingAfterBreak="0">
    <w:nsid w:val="2587607B"/>
    <w:multiLevelType w:val="hybridMultilevel"/>
    <w:tmpl w:val="3E4440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25EC195C"/>
    <w:multiLevelType w:val="hybridMultilevel"/>
    <w:tmpl w:val="4D82F190"/>
    <w:styleLink w:val="1ai1"/>
    <w:lvl w:ilvl="0" w:tplc="29A64A5E">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72" w15:restartNumberingAfterBreak="0">
    <w:nsid w:val="266A5A47"/>
    <w:multiLevelType w:val="hybridMultilevel"/>
    <w:tmpl w:val="DD6887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27274BBC"/>
    <w:multiLevelType w:val="hybridMultilevel"/>
    <w:tmpl w:val="AB6CD2E6"/>
    <w:lvl w:ilvl="0" w:tplc="1A5EEBF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27B03510"/>
    <w:multiLevelType w:val="multilevel"/>
    <w:tmpl w:val="2F08A22E"/>
    <w:lvl w:ilvl="0">
      <w:start w:val="1"/>
      <w:numFmt w:val="bullet"/>
      <w:lvlText w:val=""/>
      <w:lvlJc w:val="left"/>
      <w:pPr>
        <w:ind w:left="1429" w:hanging="360"/>
      </w:pPr>
      <w:rPr>
        <w:rFonts w:ascii="Symbol" w:hAnsi="Symbol"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5" w15:restartNumberingAfterBreak="0">
    <w:nsid w:val="29845A96"/>
    <w:multiLevelType w:val="hybridMultilevel"/>
    <w:tmpl w:val="E0AE173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6" w15:restartNumberingAfterBreak="0">
    <w:nsid w:val="29862D22"/>
    <w:multiLevelType w:val="hybridMultilevel"/>
    <w:tmpl w:val="CC9035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2A180DC9"/>
    <w:multiLevelType w:val="hybridMultilevel"/>
    <w:tmpl w:val="C14C1B6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8" w15:restartNumberingAfterBreak="0">
    <w:nsid w:val="2A203B18"/>
    <w:multiLevelType w:val="hybridMultilevel"/>
    <w:tmpl w:val="9918B3A0"/>
    <w:lvl w:ilvl="0" w:tplc="63BA4DF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9" w15:restartNumberingAfterBreak="0">
    <w:nsid w:val="2A274518"/>
    <w:multiLevelType w:val="hybridMultilevel"/>
    <w:tmpl w:val="B75CE4EE"/>
    <w:lvl w:ilvl="0" w:tplc="04190011">
      <w:start w:val="1"/>
      <w:numFmt w:val="bullet"/>
      <w:lvlText w:val=""/>
      <w:lvlJc w:val="left"/>
      <w:pPr>
        <w:ind w:left="360" w:hanging="360"/>
      </w:pPr>
      <w:rPr>
        <w:rFonts w:ascii="Symbol" w:hAnsi="Symbol" w:hint="default"/>
      </w:rPr>
    </w:lvl>
    <w:lvl w:ilvl="1" w:tplc="04190019" w:tentative="1">
      <w:start w:val="1"/>
      <w:numFmt w:val="bullet"/>
      <w:lvlText w:val="o"/>
      <w:lvlJc w:val="left"/>
      <w:pPr>
        <w:ind w:left="1080" w:hanging="360"/>
      </w:pPr>
      <w:rPr>
        <w:rFonts w:ascii="Courier New" w:hAnsi="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80" w15:restartNumberingAfterBreak="0">
    <w:nsid w:val="2A6A6397"/>
    <w:multiLevelType w:val="hybridMultilevel"/>
    <w:tmpl w:val="AC64127C"/>
    <w:lvl w:ilvl="0" w:tplc="64FA2BD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2AB52F31"/>
    <w:multiLevelType w:val="hybridMultilevel"/>
    <w:tmpl w:val="3B989FD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2B230778"/>
    <w:multiLevelType w:val="hybridMultilevel"/>
    <w:tmpl w:val="7D104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15:restartNumberingAfterBreak="0">
    <w:nsid w:val="2B657FF0"/>
    <w:multiLevelType w:val="hybridMultilevel"/>
    <w:tmpl w:val="CDB2AB66"/>
    <w:styleLink w:val="1111111"/>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2B8E0F97"/>
    <w:multiLevelType w:val="hybridMultilevel"/>
    <w:tmpl w:val="A81845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2C9F7B5D"/>
    <w:multiLevelType w:val="hybridMultilevel"/>
    <w:tmpl w:val="F52C27E2"/>
    <w:lvl w:ilvl="0" w:tplc="04190001">
      <w:start w:val="1"/>
      <w:numFmt w:val="bullet"/>
      <w:lvlText w:val=""/>
      <w:lvlJc w:val="left"/>
      <w:pPr>
        <w:ind w:left="504" w:hanging="360"/>
      </w:pPr>
      <w:rPr>
        <w:rFonts w:ascii="Symbol" w:hAnsi="Symbol" w:hint="default"/>
      </w:rPr>
    </w:lvl>
    <w:lvl w:ilvl="1" w:tplc="04190003" w:tentative="1">
      <w:start w:val="1"/>
      <w:numFmt w:val="bullet"/>
      <w:lvlText w:val="o"/>
      <w:lvlJc w:val="left"/>
      <w:pPr>
        <w:ind w:left="1224" w:hanging="360"/>
      </w:pPr>
      <w:rPr>
        <w:rFonts w:ascii="Courier New" w:hAnsi="Courier New" w:cs="Courier New" w:hint="default"/>
      </w:rPr>
    </w:lvl>
    <w:lvl w:ilvl="2" w:tplc="04190005" w:tentative="1">
      <w:start w:val="1"/>
      <w:numFmt w:val="bullet"/>
      <w:lvlText w:val=""/>
      <w:lvlJc w:val="left"/>
      <w:pPr>
        <w:ind w:left="1944" w:hanging="360"/>
      </w:pPr>
      <w:rPr>
        <w:rFonts w:ascii="Wingdings" w:hAnsi="Wingdings" w:hint="default"/>
      </w:rPr>
    </w:lvl>
    <w:lvl w:ilvl="3" w:tplc="04190001" w:tentative="1">
      <w:start w:val="1"/>
      <w:numFmt w:val="bullet"/>
      <w:lvlText w:val=""/>
      <w:lvlJc w:val="left"/>
      <w:pPr>
        <w:ind w:left="2664" w:hanging="360"/>
      </w:pPr>
      <w:rPr>
        <w:rFonts w:ascii="Symbol" w:hAnsi="Symbol" w:hint="default"/>
      </w:rPr>
    </w:lvl>
    <w:lvl w:ilvl="4" w:tplc="04190003" w:tentative="1">
      <w:start w:val="1"/>
      <w:numFmt w:val="bullet"/>
      <w:lvlText w:val="o"/>
      <w:lvlJc w:val="left"/>
      <w:pPr>
        <w:ind w:left="3384" w:hanging="360"/>
      </w:pPr>
      <w:rPr>
        <w:rFonts w:ascii="Courier New" w:hAnsi="Courier New" w:cs="Courier New" w:hint="default"/>
      </w:rPr>
    </w:lvl>
    <w:lvl w:ilvl="5" w:tplc="04190005" w:tentative="1">
      <w:start w:val="1"/>
      <w:numFmt w:val="bullet"/>
      <w:lvlText w:val=""/>
      <w:lvlJc w:val="left"/>
      <w:pPr>
        <w:ind w:left="4104" w:hanging="360"/>
      </w:pPr>
      <w:rPr>
        <w:rFonts w:ascii="Wingdings" w:hAnsi="Wingdings" w:hint="default"/>
      </w:rPr>
    </w:lvl>
    <w:lvl w:ilvl="6" w:tplc="04190001" w:tentative="1">
      <w:start w:val="1"/>
      <w:numFmt w:val="bullet"/>
      <w:lvlText w:val=""/>
      <w:lvlJc w:val="left"/>
      <w:pPr>
        <w:ind w:left="4824" w:hanging="360"/>
      </w:pPr>
      <w:rPr>
        <w:rFonts w:ascii="Symbol" w:hAnsi="Symbol" w:hint="default"/>
      </w:rPr>
    </w:lvl>
    <w:lvl w:ilvl="7" w:tplc="04190003" w:tentative="1">
      <w:start w:val="1"/>
      <w:numFmt w:val="bullet"/>
      <w:lvlText w:val="o"/>
      <w:lvlJc w:val="left"/>
      <w:pPr>
        <w:ind w:left="5544" w:hanging="360"/>
      </w:pPr>
      <w:rPr>
        <w:rFonts w:ascii="Courier New" w:hAnsi="Courier New" w:cs="Courier New" w:hint="default"/>
      </w:rPr>
    </w:lvl>
    <w:lvl w:ilvl="8" w:tplc="04190005" w:tentative="1">
      <w:start w:val="1"/>
      <w:numFmt w:val="bullet"/>
      <w:lvlText w:val=""/>
      <w:lvlJc w:val="left"/>
      <w:pPr>
        <w:ind w:left="6264" w:hanging="360"/>
      </w:pPr>
      <w:rPr>
        <w:rFonts w:ascii="Wingdings" w:hAnsi="Wingdings" w:hint="default"/>
      </w:rPr>
    </w:lvl>
  </w:abstractNum>
  <w:abstractNum w:abstractNumId="86" w15:restartNumberingAfterBreak="0">
    <w:nsid w:val="2CA15120"/>
    <w:multiLevelType w:val="hybridMultilevel"/>
    <w:tmpl w:val="BC3AAA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7" w15:restartNumberingAfterBreak="0">
    <w:nsid w:val="2CAB5E62"/>
    <w:multiLevelType w:val="hybridMultilevel"/>
    <w:tmpl w:val="60DC6A4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2D4D1BA9"/>
    <w:multiLevelType w:val="hybridMultilevel"/>
    <w:tmpl w:val="CCC2A93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2DC05429"/>
    <w:multiLevelType w:val="hybridMultilevel"/>
    <w:tmpl w:val="D2F21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2E99702F"/>
    <w:multiLevelType w:val="hybridMultilevel"/>
    <w:tmpl w:val="F462DD2C"/>
    <w:lvl w:ilvl="0" w:tplc="0BEA7BE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1" w15:restartNumberingAfterBreak="0">
    <w:nsid w:val="2F005901"/>
    <w:multiLevelType w:val="multilevel"/>
    <w:tmpl w:val="66E03654"/>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2" w15:restartNumberingAfterBreak="0">
    <w:nsid w:val="2F50420A"/>
    <w:multiLevelType w:val="hybridMultilevel"/>
    <w:tmpl w:val="864480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307F2DBF"/>
    <w:multiLevelType w:val="hybridMultilevel"/>
    <w:tmpl w:val="45C4F31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94" w15:restartNumberingAfterBreak="0">
    <w:nsid w:val="328A218F"/>
    <w:multiLevelType w:val="hybridMultilevel"/>
    <w:tmpl w:val="215072A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5" w15:restartNumberingAfterBreak="0">
    <w:nsid w:val="32D002B2"/>
    <w:multiLevelType w:val="hybridMultilevel"/>
    <w:tmpl w:val="D77E79D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96" w15:restartNumberingAfterBreak="0">
    <w:nsid w:val="33477A51"/>
    <w:multiLevelType w:val="hybridMultilevel"/>
    <w:tmpl w:val="D3363C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334D4E75"/>
    <w:multiLevelType w:val="hybridMultilevel"/>
    <w:tmpl w:val="DEE0B6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33A32DB3"/>
    <w:multiLevelType w:val="hybridMultilevel"/>
    <w:tmpl w:val="F1DC4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33AC1BDC"/>
    <w:multiLevelType w:val="hybridMultilevel"/>
    <w:tmpl w:val="D9B0DF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346B37C6"/>
    <w:multiLevelType w:val="hybridMultilevel"/>
    <w:tmpl w:val="14927E2C"/>
    <w:lvl w:ilvl="0" w:tplc="BFFE2E26">
      <w:start w:val="1"/>
      <w:numFmt w:val="bullet"/>
      <w:lvlText w:val="•"/>
      <w:lvlJc w:val="left"/>
      <w:pPr>
        <w:ind w:left="720" w:hanging="360"/>
      </w:pPr>
      <w:rPr>
        <w:rFonts w:ascii="Arial" w:hAnsi="Aria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1" w15:restartNumberingAfterBreak="0">
    <w:nsid w:val="35BB0925"/>
    <w:multiLevelType w:val="hybridMultilevel"/>
    <w:tmpl w:val="270657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360945F5"/>
    <w:multiLevelType w:val="hybridMultilevel"/>
    <w:tmpl w:val="0B727090"/>
    <w:lvl w:ilvl="0" w:tplc="04190011">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103" w15:restartNumberingAfterBreak="0">
    <w:nsid w:val="362E36A5"/>
    <w:multiLevelType w:val="hybridMultilevel"/>
    <w:tmpl w:val="CD3C2112"/>
    <w:lvl w:ilvl="0" w:tplc="0419000F">
      <w:start w:val="1"/>
      <w:numFmt w:val="bullet"/>
      <w:lvlText w:val=""/>
      <w:lvlJc w:val="left"/>
      <w:pPr>
        <w:ind w:left="360" w:hanging="360"/>
      </w:pPr>
      <w:rPr>
        <w:rFonts w:ascii="Symbol" w:hAnsi="Symbol" w:hint="default"/>
      </w:rPr>
    </w:lvl>
    <w:lvl w:ilvl="1" w:tplc="EB60626C" w:tentative="1">
      <w:start w:val="1"/>
      <w:numFmt w:val="bullet"/>
      <w:lvlText w:val="o"/>
      <w:lvlJc w:val="left"/>
      <w:pPr>
        <w:ind w:left="1080" w:hanging="360"/>
      </w:pPr>
      <w:rPr>
        <w:rFonts w:ascii="Courier New" w:hAnsi="Courier New" w:hint="default"/>
      </w:rPr>
    </w:lvl>
    <w:lvl w:ilvl="2" w:tplc="EB60626C"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4" w15:restartNumberingAfterBreak="0">
    <w:nsid w:val="38A42892"/>
    <w:multiLevelType w:val="hybridMultilevel"/>
    <w:tmpl w:val="4CDAC1EE"/>
    <w:lvl w:ilvl="0" w:tplc="04190001">
      <w:start w:val="1"/>
      <w:numFmt w:val="bullet"/>
      <w:lvlText w:val=""/>
      <w:lvlJc w:val="left"/>
      <w:pPr>
        <w:ind w:left="864" w:hanging="360"/>
      </w:pPr>
      <w:rPr>
        <w:rFonts w:ascii="Symbol" w:hAnsi="Symbol" w:hint="default"/>
      </w:rPr>
    </w:lvl>
    <w:lvl w:ilvl="1" w:tplc="04190003" w:tentative="1">
      <w:start w:val="1"/>
      <w:numFmt w:val="bullet"/>
      <w:lvlText w:val="o"/>
      <w:lvlJc w:val="left"/>
      <w:pPr>
        <w:ind w:left="1584" w:hanging="360"/>
      </w:pPr>
      <w:rPr>
        <w:rFonts w:ascii="Courier New" w:hAnsi="Courier New" w:cs="Courier New" w:hint="default"/>
      </w:rPr>
    </w:lvl>
    <w:lvl w:ilvl="2" w:tplc="04190005" w:tentative="1">
      <w:start w:val="1"/>
      <w:numFmt w:val="bullet"/>
      <w:lvlText w:val=""/>
      <w:lvlJc w:val="left"/>
      <w:pPr>
        <w:ind w:left="2304" w:hanging="360"/>
      </w:pPr>
      <w:rPr>
        <w:rFonts w:ascii="Wingdings" w:hAnsi="Wingdings" w:hint="default"/>
      </w:rPr>
    </w:lvl>
    <w:lvl w:ilvl="3" w:tplc="04190001" w:tentative="1">
      <w:start w:val="1"/>
      <w:numFmt w:val="bullet"/>
      <w:lvlText w:val=""/>
      <w:lvlJc w:val="left"/>
      <w:pPr>
        <w:ind w:left="3024" w:hanging="360"/>
      </w:pPr>
      <w:rPr>
        <w:rFonts w:ascii="Symbol" w:hAnsi="Symbol" w:hint="default"/>
      </w:rPr>
    </w:lvl>
    <w:lvl w:ilvl="4" w:tplc="04190003" w:tentative="1">
      <w:start w:val="1"/>
      <w:numFmt w:val="bullet"/>
      <w:lvlText w:val="o"/>
      <w:lvlJc w:val="left"/>
      <w:pPr>
        <w:ind w:left="3744" w:hanging="360"/>
      </w:pPr>
      <w:rPr>
        <w:rFonts w:ascii="Courier New" w:hAnsi="Courier New" w:cs="Courier New" w:hint="default"/>
      </w:rPr>
    </w:lvl>
    <w:lvl w:ilvl="5" w:tplc="04190005" w:tentative="1">
      <w:start w:val="1"/>
      <w:numFmt w:val="bullet"/>
      <w:lvlText w:val=""/>
      <w:lvlJc w:val="left"/>
      <w:pPr>
        <w:ind w:left="4464" w:hanging="360"/>
      </w:pPr>
      <w:rPr>
        <w:rFonts w:ascii="Wingdings" w:hAnsi="Wingdings" w:hint="default"/>
      </w:rPr>
    </w:lvl>
    <w:lvl w:ilvl="6" w:tplc="04190001" w:tentative="1">
      <w:start w:val="1"/>
      <w:numFmt w:val="bullet"/>
      <w:lvlText w:val=""/>
      <w:lvlJc w:val="left"/>
      <w:pPr>
        <w:ind w:left="5184" w:hanging="360"/>
      </w:pPr>
      <w:rPr>
        <w:rFonts w:ascii="Symbol" w:hAnsi="Symbol" w:hint="default"/>
      </w:rPr>
    </w:lvl>
    <w:lvl w:ilvl="7" w:tplc="04190003" w:tentative="1">
      <w:start w:val="1"/>
      <w:numFmt w:val="bullet"/>
      <w:lvlText w:val="o"/>
      <w:lvlJc w:val="left"/>
      <w:pPr>
        <w:ind w:left="5904" w:hanging="360"/>
      </w:pPr>
      <w:rPr>
        <w:rFonts w:ascii="Courier New" w:hAnsi="Courier New" w:cs="Courier New" w:hint="default"/>
      </w:rPr>
    </w:lvl>
    <w:lvl w:ilvl="8" w:tplc="04190005" w:tentative="1">
      <w:start w:val="1"/>
      <w:numFmt w:val="bullet"/>
      <w:lvlText w:val=""/>
      <w:lvlJc w:val="left"/>
      <w:pPr>
        <w:ind w:left="6624" w:hanging="360"/>
      </w:pPr>
      <w:rPr>
        <w:rFonts w:ascii="Wingdings" w:hAnsi="Wingdings" w:hint="default"/>
      </w:rPr>
    </w:lvl>
  </w:abstractNum>
  <w:abstractNum w:abstractNumId="105" w15:restartNumberingAfterBreak="0">
    <w:nsid w:val="38EF7B49"/>
    <w:multiLevelType w:val="hybridMultilevel"/>
    <w:tmpl w:val="043A837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38F66456"/>
    <w:multiLevelType w:val="hybridMultilevel"/>
    <w:tmpl w:val="298AE7A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39B63A74"/>
    <w:multiLevelType w:val="hybridMultilevel"/>
    <w:tmpl w:val="E13C37CE"/>
    <w:lvl w:ilvl="0" w:tplc="A378BA5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3AEE74B1"/>
    <w:multiLevelType w:val="hybridMultilevel"/>
    <w:tmpl w:val="D1702BF8"/>
    <w:lvl w:ilvl="0" w:tplc="2FC2A5E6">
      <w:start w:val="1"/>
      <w:numFmt w:val="bullet"/>
      <w:lvlText w:val="•"/>
      <w:lvlJc w:val="left"/>
      <w:pPr>
        <w:tabs>
          <w:tab w:val="num" w:pos="720"/>
        </w:tabs>
        <w:ind w:left="720" w:hanging="360"/>
      </w:pPr>
      <w:rPr>
        <w:rFonts w:ascii="Arial" w:hAnsi="Arial" w:hint="default"/>
      </w:rPr>
    </w:lvl>
    <w:lvl w:ilvl="1" w:tplc="00C842DC" w:tentative="1">
      <w:start w:val="1"/>
      <w:numFmt w:val="bullet"/>
      <w:lvlText w:val="•"/>
      <w:lvlJc w:val="left"/>
      <w:pPr>
        <w:tabs>
          <w:tab w:val="num" w:pos="1440"/>
        </w:tabs>
        <w:ind w:left="1440" w:hanging="360"/>
      </w:pPr>
      <w:rPr>
        <w:rFonts w:ascii="Arial" w:hAnsi="Arial" w:hint="default"/>
      </w:rPr>
    </w:lvl>
    <w:lvl w:ilvl="2" w:tplc="5106BF54" w:tentative="1">
      <w:start w:val="1"/>
      <w:numFmt w:val="bullet"/>
      <w:lvlText w:val="•"/>
      <w:lvlJc w:val="left"/>
      <w:pPr>
        <w:tabs>
          <w:tab w:val="num" w:pos="2160"/>
        </w:tabs>
        <w:ind w:left="2160" w:hanging="360"/>
      </w:pPr>
      <w:rPr>
        <w:rFonts w:ascii="Arial" w:hAnsi="Arial" w:hint="default"/>
      </w:rPr>
    </w:lvl>
    <w:lvl w:ilvl="3" w:tplc="80886C6E" w:tentative="1">
      <w:start w:val="1"/>
      <w:numFmt w:val="bullet"/>
      <w:lvlText w:val="•"/>
      <w:lvlJc w:val="left"/>
      <w:pPr>
        <w:tabs>
          <w:tab w:val="num" w:pos="2880"/>
        </w:tabs>
        <w:ind w:left="2880" w:hanging="360"/>
      </w:pPr>
      <w:rPr>
        <w:rFonts w:ascii="Arial" w:hAnsi="Arial" w:hint="default"/>
      </w:rPr>
    </w:lvl>
    <w:lvl w:ilvl="4" w:tplc="367A6298" w:tentative="1">
      <w:start w:val="1"/>
      <w:numFmt w:val="bullet"/>
      <w:lvlText w:val="•"/>
      <w:lvlJc w:val="left"/>
      <w:pPr>
        <w:tabs>
          <w:tab w:val="num" w:pos="3600"/>
        </w:tabs>
        <w:ind w:left="3600" w:hanging="360"/>
      </w:pPr>
      <w:rPr>
        <w:rFonts w:ascii="Arial" w:hAnsi="Arial" w:hint="default"/>
      </w:rPr>
    </w:lvl>
    <w:lvl w:ilvl="5" w:tplc="DD06D10C" w:tentative="1">
      <w:start w:val="1"/>
      <w:numFmt w:val="bullet"/>
      <w:lvlText w:val="•"/>
      <w:lvlJc w:val="left"/>
      <w:pPr>
        <w:tabs>
          <w:tab w:val="num" w:pos="4320"/>
        </w:tabs>
        <w:ind w:left="4320" w:hanging="360"/>
      </w:pPr>
      <w:rPr>
        <w:rFonts w:ascii="Arial" w:hAnsi="Arial" w:hint="default"/>
      </w:rPr>
    </w:lvl>
    <w:lvl w:ilvl="6" w:tplc="746E3562" w:tentative="1">
      <w:start w:val="1"/>
      <w:numFmt w:val="bullet"/>
      <w:lvlText w:val="•"/>
      <w:lvlJc w:val="left"/>
      <w:pPr>
        <w:tabs>
          <w:tab w:val="num" w:pos="5040"/>
        </w:tabs>
        <w:ind w:left="5040" w:hanging="360"/>
      </w:pPr>
      <w:rPr>
        <w:rFonts w:ascii="Arial" w:hAnsi="Arial" w:hint="default"/>
      </w:rPr>
    </w:lvl>
    <w:lvl w:ilvl="7" w:tplc="4F3AE39C" w:tentative="1">
      <w:start w:val="1"/>
      <w:numFmt w:val="bullet"/>
      <w:lvlText w:val="•"/>
      <w:lvlJc w:val="left"/>
      <w:pPr>
        <w:tabs>
          <w:tab w:val="num" w:pos="5760"/>
        </w:tabs>
        <w:ind w:left="5760" w:hanging="360"/>
      </w:pPr>
      <w:rPr>
        <w:rFonts w:ascii="Arial" w:hAnsi="Arial" w:hint="default"/>
      </w:rPr>
    </w:lvl>
    <w:lvl w:ilvl="8" w:tplc="7EC821FE" w:tentative="1">
      <w:start w:val="1"/>
      <w:numFmt w:val="bullet"/>
      <w:lvlText w:val="•"/>
      <w:lvlJc w:val="left"/>
      <w:pPr>
        <w:tabs>
          <w:tab w:val="num" w:pos="6480"/>
        </w:tabs>
        <w:ind w:left="6480" w:hanging="360"/>
      </w:pPr>
      <w:rPr>
        <w:rFonts w:ascii="Arial" w:hAnsi="Arial" w:hint="default"/>
      </w:rPr>
    </w:lvl>
  </w:abstractNum>
  <w:abstractNum w:abstractNumId="109" w15:restartNumberingAfterBreak="0">
    <w:nsid w:val="3B5A2C12"/>
    <w:multiLevelType w:val="hybridMultilevel"/>
    <w:tmpl w:val="DCDC75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0" w15:restartNumberingAfterBreak="0">
    <w:nsid w:val="3C5C4AAA"/>
    <w:multiLevelType w:val="hybridMultilevel"/>
    <w:tmpl w:val="BF06C0B0"/>
    <w:lvl w:ilvl="0" w:tplc="6AFCAB1E">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3D3B3E26"/>
    <w:multiLevelType w:val="hybridMultilevel"/>
    <w:tmpl w:val="9460D1A8"/>
    <w:lvl w:ilvl="0" w:tplc="93E8D15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2" w15:restartNumberingAfterBreak="0">
    <w:nsid w:val="3DE112F8"/>
    <w:multiLevelType w:val="hybridMultilevel"/>
    <w:tmpl w:val="C004DFF0"/>
    <w:lvl w:ilvl="0" w:tplc="A7CA7F60">
      <w:start w:val="1"/>
      <w:numFmt w:val="bullet"/>
      <w:lvlText w:val=""/>
      <w:lvlJc w:val="left"/>
      <w:pPr>
        <w:ind w:left="720" w:hanging="360"/>
      </w:pPr>
      <w:rPr>
        <w:rFonts w:ascii="Symbol" w:hAnsi="Symbol" w:hint="default"/>
      </w:rPr>
    </w:lvl>
    <w:lvl w:ilvl="1" w:tplc="2870B0D8">
      <w:start w:val="1"/>
      <w:numFmt w:val="bullet"/>
      <w:lvlText w:val="o"/>
      <w:lvlJc w:val="left"/>
      <w:pPr>
        <w:ind w:left="1440" w:hanging="360"/>
      </w:pPr>
      <w:rPr>
        <w:rFonts w:ascii="Courier New" w:hAnsi="Courier New" w:cs="Courier New" w:hint="default"/>
      </w:rPr>
    </w:lvl>
    <w:lvl w:ilvl="2" w:tplc="D506DEB8">
      <w:start w:val="1"/>
      <w:numFmt w:val="bullet"/>
      <w:lvlText w:val=""/>
      <w:lvlJc w:val="left"/>
      <w:pPr>
        <w:ind w:left="2160" w:hanging="360"/>
      </w:pPr>
      <w:rPr>
        <w:rFonts w:ascii="Wingdings" w:hAnsi="Wingdings" w:hint="default"/>
      </w:rPr>
    </w:lvl>
    <w:lvl w:ilvl="3" w:tplc="CE8A0E88">
      <w:start w:val="1"/>
      <w:numFmt w:val="bullet"/>
      <w:lvlText w:val=""/>
      <w:lvlJc w:val="left"/>
      <w:pPr>
        <w:ind w:left="2880" w:hanging="360"/>
      </w:pPr>
      <w:rPr>
        <w:rFonts w:ascii="Symbol" w:hAnsi="Symbol" w:hint="default"/>
      </w:rPr>
    </w:lvl>
    <w:lvl w:ilvl="4" w:tplc="C5806F16">
      <w:start w:val="1"/>
      <w:numFmt w:val="bullet"/>
      <w:lvlText w:val="o"/>
      <w:lvlJc w:val="left"/>
      <w:pPr>
        <w:ind w:left="3600" w:hanging="360"/>
      </w:pPr>
      <w:rPr>
        <w:rFonts w:ascii="Courier New" w:hAnsi="Courier New" w:cs="Courier New" w:hint="default"/>
      </w:rPr>
    </w:lvl>
    <w:lvl w:ilvl="5" w:tplc="1FC4FB46">
      <w:start w:val="1"/>
      <w:numFmt w:val="bullet"/>
      <w:lvlText w:val=""/>
      <w:lvlJc w:val="left"/>
      <w:pPr>
        <w:ind w:left="4320" w:hanging="360"/>
      </w:pPr>
      <w:rPr>
        <w:rFonts w:ascii="Wingdings" w:hAnsi="Wingdings" w:hint="default"/>
      </w:rPr>
    </w:lvl>
    <w:lvl w:ilvl="6" w:tplc="39D4DDAE">
      <w:start w:val="1"/>
      <w:numFmt w:val="bullet"/>
      <w:lvlText w:val=""/>
      <w:lvlJc w:val="left"/>
      <w:pPr>
        <w:ind w:left="5040" w:hanging="360"/>
      </w:pPr>
      <w:rPr>
        <w:rFonts w:ascii="Symbol" w:hAnsi="Symbol" w:hint="default"/>
      </w:rPr>
    </w:lvl>
    <w:lvl w:ilvl="7" w:tplc="00E0E3EE">
      <w:start w:val="1"/>
      <w:numFmt w:val="bullet"/>
      <w:lvlText w:val="o"/>
      <w:lvlJc w:val="left"/>
      <w:pPr>
        <w:ind w:left="5760" w:hanging="360"/>
      </w:pPr>
      <w:rPr>
        <w:rFonts w:ascii="Courier New" w:hAnsi="Courier New" w:cs="Courier New" w:hint="default"/>
      </w:rPr>
    </w:lvl>
    <w:lvl w:ilvl="8" w:tplc="CF64A60A">
      <w:start w:val="1"/>
      <w:numFmt w:val="bullet"/>
      <w:lvlText w:val=""/>
      <w:lvlJc w:val="left"/>
      <w:pPr>
        <w:ind w:left="6480" w:hanging="360"/>
      </w:pPr>
      <w:rPr>
        <w:rFonts w:ascii="Wingdings" w:hAnsi="Wingdings" w:hint="default"/>
      </w:rPr>
    </w:lvl>
  </w:abstractNum>
  <w:abstractNum w:abstractNumId="113" w15:restartNumberingAfterBreak="0">
    <w:nsid w:val="3E200F46"/>
    <w:multiLevelType w:val="hybridMultilevel"/>
    <w:tmpl w:val="50068776"/>
    <w:lvl w:ilvl="0" w:tplc="64569F7E">
      <w:start w:val="1"/>
      <w:numFmt w:val="bullet"/>
      <w:lvlText w:val="•"/>
      <w:lvlJc w:val="left"/>
      <w:pPr>
        <w:tabs>
          <w:tab w:val="num" w:pos="720"/>
        </w:tabs>
        <w:ind w:left="720" w:hanging="360"/>
      </w:pPr>
      <w:rPr>
        <w:rFonts w:ascii="Arial" w:hAnsi="Arial" w:hint="default"/>
      </w:rPr>
    </w:lvl>
    <w:lvl w:ilvl="1" w:tplc="33D27E1E" w:tentative="1">
      <w:start w:val="1"/>
      <w:numFmt w:val="bullet"/>
      <w:lvlText w:val="•"/>
      <w:lvlJc w:val="left"/>
      <w:pPr>
        <w:tabs>
          <w:tab w:val="num" w:pos="1440"/>
        </w:tabs>
        <w:ind w:left="1440" w:hanging="360"/>
      </w:pPr>
      <w:rPr>
        <w:rFonts w:ascii="Arial" w:hAnsi="Arial" w:hint="default"/>
      </w:rPr>
    </w:lvl>
    <w:lvl w:ilvl="2" w:tplc="AC7CB716" w:tentative="1">
      <w:start w:val="1"/>
      <w:numFmt w:val="bullet"/>
      <w:lvlText w:val="•"/>
      <w:lvlJc w:val="left"/>
      <w:pPr>
        <w:tabs>
          <w:tab w:val="num" w:pos="2160"/>
        </w:tabs>
        <w:ind w:left="2160" w:hanging="360"/>
      </w:pPr>
      <w:rPr>
        <w:rFonts w:ascii="Arial" w:hAnsi="Arial" w:hint="default"/>
      </w:rPr>
    </w:lvl>
    <w:lvl w:ilvl="3" w:tplc="7158BAF0" w:tentative="1">
      <w:start w:val="1"/>
      <w:numFmt w:val="bullet"/>
      <w:lvlText w:val="•"/>
      <w:lvlJc w:val="left"/>
      <w:pPr>
        <w:tabs>
          <w:tab w:val="num" w:pos="2880"/>
        </w:tabs>
        <w:ind w:left="2880" w:hanging="360"/>
      </w:pPr>
      <w:rPr>
        <w:rFonts w:ascii="Arial" w:hAnsi="Arial" w:hint="default"/>
      </w:rPr>
    </w:lvl>
    <w:lvl w:ilvl="4" w:tplc="FD7C29BC" w:tentative="1">
      <w:start w:val="1"/>
      <w:numFmt w:val="bullet"/>
      <w:lvlText w:val="•"/>
      <w:lvlJc w:val="left"/>
      <w:pPr>
        <w:tabs>
          <w:tab w:val="num" w:pos="3600"/>
        </w:tabs>
        <w:ind w:left="3600" w:hanging="360"/>
      </w:pPr>
      <w:rPr>
        <w:rFonts w:ascii="Arial" w:hAnsi="Arial" w:hint="default"/>
      </w:rPr>
    </w:lvl>
    <w:lvl w:ilvl="5" w:tplc="7CA2D29A" w:tentative="1">
      <w:start w:val="1"/>
      <w:numFmt w:val="bullet"/>
      <w:lvlText w:val="•"/>
      <w:lvlJc w:val="left"/>
      <w:pPr>
        <w:tabs>
          <w:tab w:val="num" w:pos="4320"/>
        </w:tabs>
        <w:ind w:left="4320" w:hanging="360"/>
      </w:pPr>
      <w:rPr>
        <w:rFonts w:ascii="Arial" w:hAnsi="Arial" w:hint="default"/>
      </w:rPr>
    </w:lvl>
    <w:lvl w:ilvl="6" w:tplc="E2988B64" w:tentative="1">
      <w:start w:val="1"/>
      <w:numFmt w:val="bullet"/>
      <w:lvlText w:val="•"/>
      <w:lvlJc w:val="left"/>
      <w:pPr>
        <w:tabs>
          <w:tab w:val="num" w:pos="5040"/>
        </w:tabs>
        <w:ind w:left="5040" w:hanging="360"/>
      </w:pPr>
      <w:rPr>
        <w:rFonts w:ascii="Arial" w:hAnsi="Arial" w:hint="default"/>
      </w:rPr>
    </w:lvl>
    <w:lvl w:ilvl="7" w:tplc="DF0EE008" w:tentative="1">
      <w:start w:val="1"/>
      <w:numFmt w:val="bullet"/>
      <w:lvlText w:val="•"/>
      <w:lvlJc w:val="left"/>
      <w:pPr>
        <w:tabs>
          <w:tab w:val="num" w:pos="5760"/>
        </w:tabs>
        <w:ind w:left="5760" w:hanging="360"/>
      </w:pPr>
      <w:rPr>
        <w:rFonts w:ascii="Arial" w:hAnsi="Arial" w:hint="default"/>
      </w:rPr>
    </w:lvl>
    <w:lvl w:ilvl="8" w:tplc="1E1C805E" w:tentative="1">
      <w:start w:val="1"/>
      <w:numFmt w:val="bullet"/>
      <w:lvlText w:val="•"/>
      <w:lvlJc w:val="left"/>
      <w:pPr>
        <w:tabs>
          <w:tab w:val="num" w:pos="6480"/>
        </w:tabs>
        <w:ind w:left="6480" w:hanging="360"/>
      </w:pPr>
      <w:rPr>
        <w:rFonts w:ascii="Arial" w:hAnsi="Arial" w:hint="default"/>
      </w:rPr>
    </w:lvl>
  </w:abstractNum>
  <w:abstractNum w:abstractNumId="114" w15:restartNumberingAfterBreak="0">
    <w:nsid w:val="3EBB5F12"/>
    <w:multiLevelType w:val="hybridMultilevel"/>
    <w:tmpl w:val="F86E5E74"/>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15" w15:restartNumberingAfterBreak="0">
    <w:nsid w:val="3F01408C"/>
    <w:multiLevelType w:val="hybridMultilevel"/>
    <w:tmpl w:val="E02ED63A"/>
    <w:lvl w:ilvl="0" w:tplc="04190001">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116" w15:restartNumberingAfterBreak="0">
    <w:nsid w:val="3F7D6042"/>
    <w:multiLevelType w:val="hybridMultilevel"/>
    <w:tmpl w:val="FF4234CC"/>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17" w15:restartNumberingAfterBreak="0">
    <w:nsid w:val="405C414E"/>
    <w:multiLevelType w:val="hybridMultilevel"/>
    <w:tmpl w:val="1660BB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412E44F8"/>
    <w:multiLevelType w:val="hybridMultilevel"/>
    <w:tmpl w:val="5A9460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15:restartNumberingAfterBreak="0">
    <w:nsid w:val="41F926C8"/>
    <w:multiLevelType w:val="hybridMultilevel"/>
    <w:tmpl w:val="967C8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42991DAF"/>
    <w:multiLevelType w:val="multilevel"/>
    <w:tmpl w:val="0ADC0DBC"/>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1" w15:restartNumberingAfterBreak="0">
    <w:nsid w:val="43265C3D"/>
    <w:multiLevelType w:val="hybridMultilevel"/>
    <w:tmpl w:val="A36628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436671F2"/>
    <w:multiLevelType w:val="hybridMultilevel"/>
    <w:tmpl w:val="589CD9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43752FBF"/>
    <w:multiLevelType w:val="hybridMultilevel"/>
    <w:tmpl w:val="DE06502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4" w15:restartNumberingAfterBreak="0">
    <w:nsid w:val="440C4110"/>
    <w:multiLevelType w:val="hybridMultilevel"/>
    <w:tmpl w:val="A87ACD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15:restartNumberingAfterBreak="0">
    <w:nsid w:val="445C2F2B"/>
    <w:multiLevelType w:val="hybridMultilevel"/>
    <w:tmpl w:val="80B4DE4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47497BE7"/>
    <w:multiLevelType w:val="hybridMultilevel"/>
    <w:tmpl w:val="4224DB28"/>
    <w:lvl w:ilvl="0" w:tplc="04190001">
      <w:start w:val="1"/>
      <w:numFmt w:val="bullet"/>
      <w:lvlText w:val=""/>
      <w:lvlJc w:val="left"/>
      <w:pPr>
        <w:ind w:left="1069" w:hanging="360"/>
      </w:pPr>
      <w:rPr>
        <w:rFonts w:ascii="Symbol" w:hAnsi="Symbol" w:hint="default"/>
      </w:rPr>
    </w:lvl>
    <w:lvl w:ilvl="1" w:tplc="04190001">
      <w:start w:val="1"/>
      <w:numFmt w:val="bullet"/>
      <w:lvlText w:val=""/>
      <w:lvlJc w:val="left"/>
      <w:pPr>
        <w:ind w:left="2134" w:hanging="705"/>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7" w15:restartNumberingAfterBreak="0">
    <w:nsid w:val="474E3A23"/>
    <w:multiLevelType w:val="hybridMultilevel"/>
    <w:tmpl w:val="2CB0D62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47500D16"/>
    <w:multiLevelType w:val="hybridMultilevel"/>
    <w:tmpl w:val="D312DB6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47803458"/>
    <w:multiLevelType w:val="multilevel"/>
    <w:tmpl w:val="7E10C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47E14443"/>
    <w:multiLevelType w:val="hybridMultilevel"/>
    <w:tmpl w:val="EE26ED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47F836B7"/>
    <w:multiLevelType w:val="hybridMultilevel"/>
    <w:tmpl w:val="C82842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480F1C15"/>
    <w:multiLevelType w:val="multilevel"/>
    <w:tmpl w:val="32B6D122"/>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33" w15:restartNumberingAfterBreak="0">
    <w:nsid w:val="48A1119A"/>
    <w:multiLevelType w:val="hybridMultilevel"/>
    <w:tmpl w:val="EC341D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48CC0A55"/>
    <w:multiLevelType w:val="hybridMultilevel"/>
    <w:tmpl w:val="132254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49AF70B8"/>
    <w:multiLevelType w:val="hybridMultilevel"/>
    <w:tmpl w:val="1EFC1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4AA610D1"/>
    <w:multiLevelType w:val="hybridMultilevel"/>
    <w:tmpl w:val="C75EFF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4AE857F8"/>
    <w:multiLevelType w:val="multilevel"/>
    <w:tmpl w:val="2F08A22E"/>
    <w:lvl w:ilvl="0">
      <w:start w:val="1"/>
      <w:numFmt w:val="bullet"/>
      <w:lvlText w:val=""/>
      <w:lvlJc w:val="left"/>
      <w:pPr>
        <w:ind w:left="1429" w:hanging="360"/>
      </w:pPr>
      <w:rPr>
        <w:rFonts w:ascii="Symbol" w:hAnsi="Symbol"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38" w15:restartNumberingAfterBreak="0">
    <w:nsid w:val="4AEF0A1E"/>
    <w:multiLevelType w:val="hybridMultilevel"/>
    <w:tmpl w:val="86C254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15:restartNumberingAfterBreak="0">
    <w:nsid w:val="4B912FC9"/>
    <w:multiLevelType w:val="hybridMultilevel"/>
    <w:tmpl w:val="F8BE31C4"/>
    <w:styleLink w:val="1"/>
    <w:lvl w:ilvl="0" w:tplc="B97EBB6A">
      <w:start w:val="1"/>
      <w:numFmt w:val="bullet"/>
      <w:lvlText w:val="·"/>
      <w:lvlJc w:val="left"/>
      <w:pPr>
        <w:ind w:left="967"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C182848">
      <w:start w:val="1"/>
      <w:numFmt w:val="bullet"/>
      <w:lvlText w:val="o"/>
      <w:lvlJc w:val="left"/>
      <w:pPr>
        <w:tabs>
          <w:tab w:val="num" w:pos="1761"/>
        </w:tabs>
        <w:ind w:left="1364" w:firstLine="15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0ECE9D2">
      <w:start w:val="1"/>
      <w:numFmt w:val="bullet"/>
      <w:lvlText w:val="▪"/>
      <w:lvlJc w:val="left"/>
      <w:pPr>
        <w:ind w:left="219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7745518">
      <w:start w:val="1"/>
      <w:numFmt w:val="bullet"/>
      <w:lvlText w:val="·"/>
      <w:lvlJc w:val="left"/>
      <w:pPr>
        <w:ind w:left="2914"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FB2730C">
      <w:start w:val="1"/>
      <w:numFmt w:val="bullet"/>
      <w:lvlText w:val="o"/>
      <w:lvlJc w:val="left"/>
      <w:pPr>
        <w:ind w:left="363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F60F3CA">
      <w:start w:val="1"/>
      <w:numFmt w:val="bullet"/>
      <w:lvlText w:val="▪"/>
      <w:lvlJc w:val="left"/>
      <w:pPr>
        <w:ind w:left="435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03C1838">
      <w:start w:val="1"/>
      <w:numFmt w:val="bullet"/>
      <w:lvlText w:val="·"/>
      <w:lvlJc w:val="left"/>
      <w:pPr>
        <w:ind w:left="5074"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312015A">
      <w:start w:val="1"/>
      <w:numFmt w:val="bullet"/>
      <w:lvlText w:val="o"/>
      <w:lvlJc w:val="left"/>
      <w:pPr>
        <w:ind w:left="579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ACA0E84">
      <w:start w:val="1"/>
      <w:numFmt w:val="bullet"/>
      <w:lvlText w:val="▪"/>
      <w:lvlJc w:val="left"/>
      <w:pPr>
        <w:ind w:left="651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0" w15:restartNumberingAfterBreak="0">
    <w:nsid w:val="4C150BCE"/>
    <w:multiLevelType w:val="hybridMultilevel"/>
    <w:tmpl w:val="B57CFDE0"/>
    <w:lvl w:ilvl="0" w:tplc="234C896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15:restartNumberingAfterBreak="0">
    <w:nsid w:val="4C6E52F0"/>
    <w:multiLevelType w:val="hybridMultilevel"/>
    <w:tmpl w:val="00F27DB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2" w15:restartNumberingAfterBreak="0">
    <w:nsid w:val="4D4633B7"/>
    <w:multiLevelType w:val="hybridMultilevel"/>
    <w:tmpl w:val="4E94F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4D477266"/>
    <w:multiLevelType w:val="hybridMultilevel"/>
    <w:tmpl w:val="EA68324C"/>
    <w:lvl w:ilvl="0" w:tplc="196A3E4A">
      <w:start w:val="1"/>
      <w:numFmt w:val="bullet"/>
      <w:lvlText w:val="•"/>
      <w:lvlJc w:val="left"/>
      <w:pPr>
        <w:tabs>
          <w:tab w:val="num" w:pos="720"/>
        </w:tabs>
        <w:ind w:left="720" w:hanging="360"/>
      </w:pPr>
      <w:rPr>
        <w:rFonts w:ascii="Arial" w:hAnsi="Arial" w:hint="default"/>
      </w:rPr>
    </w:lvl>
    <w:lvl w:ilvl="1" w:tplc="EB743F26" w:tentative="1">
      <w:start w:val="1"/>
      <w:numFmt w:val="bullet"/>
      <w:lvlText w:val="•"/>
      <w:lvlJc w:val="left"/>
      <w:pPr>
        <w:tabs>
          <w:tab w:val="num" w:pos="1440"/>
        </w:tabs>
        <w:ind w:left="1440" w:hanging="360"/>
      </w:pPr>
      <w:rPr>
        <w:rFonts w:ascii="Arial" w:hAnsi="Arial" w:hint="default"/>
      </w:rPr>
    </w:lvl>
    <w:lvl w:ilvl="2" w:tplc="25442FA2" w:tentative="1">
      <w:start w:val="1"/>
      <w:numFmt w:val="bullet"/>
      <w:lvlText w:val="•"/>
      <w:lvlJc w:val="left"/>
      <w:pPr>
        <w:tabs>
          <w:tab w:val="num" w:pos="2160"/>
        </w:tabs>
        <w:ind w:left="2160" w:hanging="360"/>
      </w:pPr>
      <w:rPr>
        <w:rFonts w:ascii="Arial" w:hAnsi="Arial" w:hint="default"/>
      </w:rPr>
    </w:lvl>
    <w:lvl w:ilvl="3" w:tplc="A5100978" w:tentative="1">
      <w:start w:val="1"/>
      <w:numFmt w:val="bullet"/>
      <w:lvlText w:val="•"/>
      <w:lvlJc w:val="left"/>
      <w:pPr>
        <w:tabs>
          <w:tab w:val="num" w:pos="2880"/>
        </w:tabs>
        <w:ind w:left="2880" w:hanging="360"/>
      </w:pPr>
      <w:rPr>
        <w:rFonts w:ascii="Arial" w:hAnsi="Arial" w:hint="default"/>
      </w:rPr>
    </w:lvl>
    <w:lvl w:ilvl="4" w:tplc="9708A15E" w:tentative="1">
      <w:start w:val="1"/>
      <w:numFmt w:val="bullet"/>
      <w:lvlText w:val="•"/>
      <w:lvlJc w:val="left"/>
      <w:pPr>
        <w:tabs>
          <w:tab w:val="num" w:pos="3600"/>
        </w:tabs>
        <w:ind w:left="3600" w:hanging="360"/>
      </w:pPr>
      <w:rPr>
        <w:rFonts w:ascii="Arial" w:hAnsi="Arial" w:hint="default"/>
      </w:rPr>
    </w:lvl>
    <w:lvl w:ilvl="5" w:tplc="4560E776" w:tentative="1">
      <w:start w:val="1"/>
      <w:numFmt w:val="bullet"/>
      <w:lvlText w:val="•"/>
      <w:lvlJc w:val="left"/>
      <w:pPr>
        <w:tabs>
          <w:tab w:val="num" w:pos="4320"/>
        </w:tabs>
        <w:ind w:left="4320" w:hanging="360"/>
      </w:pPr>
      <w:rPr>
        <w:rFonts w:ascii="Arial" w:hAnsi="Arial" w:hint="default"/>
      </w:rPr>
    </w:lvl>
    <w:lvl w:ilvl="6" w:tplc="38C43DA4" w:tentative="1">
      <w:start w:val="1"/>
      <w:numFmt w:val="bullet"/>
      <w:lvlText w:val="•"/>
      <w:lvlJc w:val="left"/>
      <w:pPr>
        <w:tabs>
          <w:tab w:val="num" w:pos="5040"/>
        </w:tabs>
        <w:ind w:left="5040" w:hanging="360"/>
      </w:pPr>
      <w:rPr>
        <w:rFonts w:ascii="Arial" w:hAnsi="Arial" w:hint="default"/>
      </w:rPr>
    </w:lvl>
    <w:lvl w:ilvl="7" w:tplc="306AC712" w:tentative="1">
      <w:start w:val="1"/>
      <w:numFmt w:val="bullet"/>
      <w:lvlText w:val="•"/>
      <w:lvlJc w:val="left"/>
      <w:pPr>
        <w:tabs>
          <w:tab w:val="num" w:pos="5760"/>
        </w:tabs>
        <w:ind w:left="5760" w:hanging="360"/>
      </w:pPr>
      <w:rPr>
        <w:rFonts w:ascii="Arial" w:hAnsi="Arial" w:hint="default"/>
      </w:rPr>
    </w:lvl>
    <w:lvl w:ilvl="8" w:tplc="81B6BAF4" w:tentative="1">
      <w:start w:val="1"/>
      <w:numFmt w:val="bullet"/>
      <w:lvlText w:val="•"/>
      <w:lvlJc w:val="left"/>
      <w:pPr>
        <w:tabs>
          <w:tab w:val="num" w:pos="6480"/>
        </w:tabs>
        <w:ind w:left="6480" w:hanging="360"/>
      </w:pPr>
      <w:rPr>
        <w:rFonts w:ascii="Arial" w:hAnsi="Arial" w:hint="default"/>
      </w:rPr>
    </w:lvl>
  </w:abstractNum>
  <w:abstractNum w:abstractNumId="144" w15:restartNumberingAfterBreak="0">
    <w:nsid w:val="4E002C25"/>
    <w:multiLevelType w:val="hybridMultilevel"/>
    <w:tmpl w:val="9E525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4EA30340"/>
    <w:multiLevelType w:val="hybridMultilevel"/>
    <w:tmpl w:val="B6F0C3DC"/>
    <w:lvl w:ilvl="0" w:tplc="0419000F">
      <w:start w:val="1"/>
      <w:numFmt w:val="decimal"/>
      <w:lvlText w:val="%1."/>
      <w:lvlJc w:val="left"/>
      <w:pPr>
        <w:ind w:left="1068" w:hanging="360"/>
      </w:pPr>
      <w:rPr>
        <w:rFonts w:hint="default"/>
      </w:rPr>
    </w:lvl>
    <w:lvl w:ilvl="1" w:tplc="0CF6ACBC">
      <w:start w:val="1"/>
      <w:numFmt w:val="decimal"/>
      <w:lvlText w:val="%2."/>
      <w:lvlJc w:val="left"/>
      <w:pPr>
        <w:ind w:left="1440" w:hanging="360"/>
      </w:pPr>
      <w:rPr>
        <w:rFonts w:hint="default"/>
      </w:rPr>
    </w:lvl>
    <w:lvl w:ilvl="2" w:tplc="58704C1C">
      <w:start w:val="1"/>
      <w:numFmt w:val="lowerRoman"/>
      <w:lvlText w:val="%3."/>
      <w:lvlJc w:val="right"/>
      <w:pPr>
        <w:ind w:left="2160" w:hanging="180"/>
      </w:pPr>
    </w:lvl>
    <w:lvl w:ilvl="3" w:tplc="547EBF6C">
      <w:start w:val="1"/>
      <w:numFmt w:val="decimal"/>
      <w:lvlText w:val="%4."/>
      <w:lvlJc w:val="left"/>
      <w:pPr>
        <w:ind w:left="2880" w:hanging="360"/>
      </w:pPr>
    </w:lvl>
    <w:lvl w:ilvl="4" w:tplc="21F628DC">
      <w:start w:val="1"/>
      <w:numFmt w:val="lowerLetter"/>
      <w:lvlText w:val="%5."/>
      <w:lvlJc w:val="left"/>
      <w:pPr>
        <w:ind w:left="3600" w:hanging="360"/>
      </w:pPr>
    </w:lvl>
    <w:lvl w:ilvl="5" w:tplc="082CFF88">
      <w:start w:val="1"/>
      <w:numFmt w:val="lowerRoman"/>
      <w:lvlText w:val="%6."/>
      <w:lvlJc w:val="right"/>
      <w:pPr>
        <w:ind w:left="4320" w:hanging="180"/>
      </w:pPr>
    </w:lvl>
    <w:lvl w:ilvl="6" w:tplc="AD2E6324">
      <w:start w:val="1"/>
      <w:numFmt w:val="decimal"/>
      <w:lvlText w:val="%7."/>
      <w:lvlJc w:val="left"/>
      <w:pPr>
        <w:ind w:left="5040" w:hanging="360"/>
      </w:pPr>
    </w:lvl>
    <w:lvl w:ilvl="7" w:tplc="E494B0C4">
      <w:start w:val="1"/>
      <w:numFmt w:val="lowerLetter"/>
      <w:lvlText w:val="%8."/>
      <w:lvlJc w:val="left"/>
      <w:pPr>
        <w:ind w:left="5760" w:hanging="360"/>
      </w:pPr>
    </w:lvl>
    <w:lvl w:ilvl="8" w:tplc="BAA87298">
      <w:start w:val="1"/>
      <w:numFmt w:val="lowerRoman"/>
      <w:lvlText w:val="%9."/>
      <w:lvlJc w:val="right"/>
      <w:pPr>
        <w:ind w:left="6480" w:hanging="180"/>
      </w:pPr>
    </w:lvl>
  </w:abstractNum>
  <w:abstractNum w:abstractNumId="146" w15:restartNumberingAfterBreak="0">
    <w:nsid w:val="4ED33599"/>
    <w:multiLevelType w:val="multilevel"/>
    <w:tmpl w:val="F5BE2E16"/>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7" w15:restartNumberingAfterBreak="0">
    <w:nsid w:val="4EF30506"/>
    <w:multiLevelType w:val="multilevel"/>
    <w:tmpl w:val="E2FC6E58"/>
    <w:lvl w:ilvl="0">
      <w:start w:val="1"/>
      <w:numFmt w:val="bullet"/>
      <w:lvlText w:val=""/>
      <w:lvlJc w:val="left"/>
      <w:pPr>
        <w:ind w:left="720" w:hanging="360"/>
      </w:pPr>
      <w:rPr>
        <w:rFonts w:ascii="Symbol" w:hAnsi="Symbol" w:cs="Symbol" w:hint="default"/>
        <w:b w:val="0"/>
        <w:sz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8" w15:restartNumberingAfterBreak="0">
    <w:nsid w:val="4F413584"/>
    <w:multiLevelType w:val="hybridMultilevel"/>
    <w:tmpl w:val="9D82F3E8"/>
    <w:lvl w:ilvl="0" w:tplc="B65A457C">
      <w:start w:val="1"/>
      <w:numFmt w:val="bullet"/>
      <w:lvlText w:val=""/>
      <w:lvlJc w:val="left"/>
      <w:pPr>
        <w:ind w:left="1068" w:hanging="360"/>
      </w:pPr>
      <w:rPr>
        <w:rFonts w:ascii="Symbol" w:hAnsi="Symbol" w:hint="default"/>
      </w:rPr>
    </w:lvl>
    <w:lvl w:ilvl="1" w:tplc="0CF6ACBC">
      <w:start w:val="1"/>
      <w:numFmt w:val="decimal"/>
      <w:lvlText w:val="%2."/>
      <w:lvlJc w:val="left"/>
      <w:pPr>
        <w:ind w:left="1440" w:hanging="360"/>
      </w:pPr>
      <w:rPr>
        <w:rFonts w:hint="default"/>
      </w:rPr>
    </w:lvl>
    <w:lvl w:ilvl="2" w:tplc="58704C1C">
      <w:start w:val="1"/>
      <w:numFmt w:val="lowerRoman"/>
      <w:lvlText w:val="%3."/>
      <w:lvlJc w:val="right"/>
      <w:pPr>
        <w:ind w:left="2160" w:hanging="180"/>
      </w:pPr>
    </w:lvl>
    <w:lvl w:ilvl="3" w:tplc="547EBF6C">
      <w:start w:val="1"/>
      <w:numFmt w:val="decimal"/>
      <w:lvlText w:val="%4."/>
      <w:lvlJc w:val="left"/>
      <w:pPr>
        <w:ind w:left="2880" w:hanging="360"/>
      </w:pPr>
    </w:lvl>
    <w:lvl w:ilvl="4" w:tplc="21F628DC">
      <w:start w:val="1"/>
      <w:numFmt w:val="lowerLetter"/>
      <w:lvlText w:val="%5."/>
      <w:lvlJc w:val="left"/>
      <w:pPr>
        <w:ind w:left="3600" w:hanging="360"/>
      </w:pPr>
    </w:lvl>
    <w:lvl w:ilvl="5" w:tplc="082CFF88">
      <w:start w:val="1"/>
      <w:numFmt w:val="lowerRoman"/>
      <w:lvlText w:val="%6."/>
      <w:lvlJc w:val="right"/>
      <w:pPr>
        <w:ind w:left="4320" w:hanging="180"/>
      </w:pPr>
    </w:lvl>
    <w:lvl w:ilvl="6" w:tplc="AD2E6324">
      <w:start w:val="1"/>
      <w:numFmt w:val="decimal"/>
      <w:lvlText w:val="%7."/>
      <w:lvlJc w:val="left"/>
      <w:pPr>
        <w:ind w:left="5040" w:hanging="360"/>
      </w:pPr>
    </w:lvl>
    <w:lvl w:ilvl="7" w:tplc="E494B0C4">
      <w:start w:val="1"/>
      <w:numFmt w:val="lowerLetter"/>
      <w:lvlText w:val="%8."/>
      <w:lvlJc w:val="left"/>
      <w:pPr>
        <w:ind w:left="5760" w:hanging="360"/>
      </w:pPr>
    </w:lvl>
    <w:lvl w:ilvl="8" w:tplc="BAA87298">
      <w:start w:val="1"/>
      <w:numFmt w:val="lowerRoman"/>
      <w:lvlText w:val="%9."/>
      <w:lvlJc w:val="right"/>
      <w:pPr>
        <w:ind w:left="6480" w:hanging="180"/>
      </w:pPr>
    </w:lvl>
  </w:abstractNum>
  <w:abstractNum w:abstractNumId="149" w15:restartNumberingAfterBreak="0">
    <w:nsid w:val="4FE67E18"/>
    <w:multiLevelType w:val="hybridMultilevel"/>
    <w:tmpl w:val="505405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0" w15:restartNumberingAfterBreak="0">
    <w:nsid w:val="51003E57"/>
    <w:multiLevelType w:val="hybridMultilevel"/>
    <w:tmpl w:val="AA7602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51491A7F"/>
    <w:multiLevelType w:val="multilevel"/>
    <w:tmpl w:val="626AE8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51E0408F"/>
    <w:multiLevelType w:val="hybridMultilevel"/>
    <w:tmpl w:val="C5F624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15:restartNumberingAfterBreak="0">
    <w:nsid w:val="53C60F6D"/>
    <w:multiLevelType w:val="hybridMultilevel"/>
    <w:tmpl w:val="7634162C"/>
    <w:lvl w:ilvl="0" w:tplc="D48EC5BE">
      <w:start w:val="1"/>
      <w:numFmt w:val="decimal"/>
      <w:lvlText w:val="%1."/>
      <w:lvlJc w:val="left"/>
      <w:pPr>
        <w:ind w:left="1069" w:hanging="360"/>
      </w:pPr>
      <w:rPr>
        <w:rFonts w:hint="default"/>
        <w:b w:val="0"/>
        <w:bCs/>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4" w15:restartNumberingAfterBreak="0">
    <w:nsid w:val="54A15903"/>
    <w:multiLevelType w:val="hybridMultilevel"/>
    <w:tmpl w:val="974CAD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15:restartNumberingAfterBreak="0">
    <w:nsid w:val="5551501A"/>
    <w:multiLevelType w:val="hybridMultilevel"/>
    <w:tmpl w:val="9434FB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55DD441C"/>
    <w:multiLevelType w:val="hybridMultilevel"/>
    <w:tmpl w:val="C71CFD9E"/>
    <w:lvl w:ilvl="0" w:tplc="70B68430">
      <w:start w:val="1"/>
      <w:numFmt w:val="decimal"/>
      <w:lvlText w:val="%1."/>
      <w:lvlJc w:val="left"/>
      <w:pPr>
        <w:ind w:left="720" w:hanging="360"/>
      </w:pPr>
      <w:rPr>
        <w:rFonts w:cs="Times New Roman"/>
      </w:rPr>
    </w:lvl>
    <w:lvl w:ilvl="1" w:tplc="04190003">
      <w:start w:val="1"/>
      <w:numFmt w:val="decimal"/>
      <w:lvlText w:val="%2)"/>
      <w:lvlJc w:val="left"/>
      <w:pPr>
        <w:ind w:left="1470" w:hanging="390"/>
      </w:pPr>
      <w:rPr>
        <w:rFonts w:hint="default"/>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57" w15:restartNumberingAfterBreak="0">
    <w:nsid w:val="561D52BA"/>
    <w:multiLevelType w:val="hybridMultilevel"/>
    <w:tmpl w:val="566013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8" w15:restartNumberingAfterBreak="0">
    <w:nsid w:val="562B7A6E"/>
    <w:multiLevelType w:val="hybridMultilevel"/>
    <w:tmpl w:val="31B431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56D57828"/>
    <w:multiLevelType w:val="hybridMultilevel"/>
    <w:tmpl w:val="051A2E54"/>
    <w:lvl w:ilvl="0" w:tplc="9CFE2CFA">
      <w:start w:val="1"/>
      <w:numFmt w:val="bullet"/>
      <w:pStyle w:val="a0"/>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58197E79"/>
    <w:multiLevelType w:val="hybridMultilevel"/>
    <w:tmpl w:val="0DFE2D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581B54C9"/>
    <w:multiLevelType w:val="hybridMultilevel"/>
    <w:tmpl w:val="D34240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15:restartNumberingAfterBreak="0">
    <w:nsid w:val="585C1AAF"/>
    <w:multiLevelType w:val="multilevel"/>
    <w:tmpl w:val="DAFEE6C4"/>
    <w:lvl w:ilvl="0">
      <w:start w:val="1"/>
      <w:numFmt w:val="decimal"/>
      <w:lvlText w:val="%1)"/>
      <w:lvlJc w:val="left"/>
      <w:pPr>
        <w:ind w:left="1428" w:hanging="360"/>
      </w:pPr>
      <w:rPr>
        <w:b w:val="0"/>
        <w:bCs/>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3" w15:restartNumberingAfterBreak="0">
    <w:nsid w:val="58E929BE"/>
    <w:multiLevelType w:val="hybridMultilevel"/>
    <w:tmpl w:val="356835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59A30498"/>
    <w:multiLevelType w:val="hybridMultilevel"/>
    <w:tmpl w:val="F142F3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15:restartNumberingAfterBreak="0">
    <w:nsid w:val="5A8449EC"/>
    <w:multiLevelType w:val="hybridMultilevel"/>
    <w:tmpl w:val="4A2E42B2"/>
    <w:lvl w:ilvl="0" w:tplc="04190001">
      <w:start w:val="1"/>
      <w:numFmt w:val="bullet"/>
      <w:lvlText w:val=""/>
      <w:lvlJc w:val="left"/>
      <w:pPr>
        <w:ind w:left="1878" w:hanging="360"/>
      </w:pPr>
      <w:rPr>
        <w:rFonts w:ascii="Symbol" w:hAnsi="Symbol" w:hint="default"/>
      </w:rPr>
    </w:lvl>
    <w:lvl w:ilvl="1" w:tplc="04190003" w:tentative="1">
      <w:start w:val="1"/>
      <w:numFmt w:val="bullet"/>
      <w:lvlText w:val="o"/>
      <w:lvlJc w:val="left"/>
      <w:pPr>
        <w:ind w:left="2598" w:hanging="360"/>
      </w:pPr>
      <w:rPr>
        <w:rFonts w:ascii="Courier New" w:hAnsi="Courier New" w:cs="Courier New" w:hint="default"/>
      </w:rPr>
    </w:lvl>
    <w:lvl w:ilvl="2" w:tplc="04190005" w:tentative="1">
      <w:start w:val="1"/>
      <w:numFmt w:val="bullet"/>
      <w:lvlText w:val=""/>
      <w:lvlJc w:val="left"/>
      <w:pPr>
        <w:ind w:left="3318" w:hanging="360"/>
      </w:pPr>
      <w:rPr>
        <w:rFonts w:ascii="Wingdings" w:hAnsi="Wingdings" w:hint="default"/>
      </w:rPr>
    </w:lvl>
    <w:lvl w:ilvl="3" w:tplc="04190001" w:tentative="1">
      <w:start w:val="1"/>
      <w:numFmt w:val="bullet"/>
      <w:lvlText w:val=""/>
      <w:lvlJc w:val="left"/>
      <w:pPr>
        <w:ind w:left="4038" w:hanging="360"/>
      </w:pPr>
      <w:rPr>
        <w:rFonts w:ascii="Symbol" w:hAnsi="Symbol" w:hint="default"/>
      </w:rPr>
    </w:lvl>
    <w:lvl w:ilvl="4" w:tplc="04190003" w:tentative="1">
      <w:start w:val="1"/>
      <w:numFmt w:val="bullet"/>
      <w:lvlText w:val="o"/>
      <w:lvlJc w:val="left"/>
      <w:pPr>
        <w:ind w:left="4758" w:hanging="360"/>
      </w:pPr>
      <w:rPr>
        <w:rFonts w:ascii="Courier New" w:hAnsi="Courier New" w:cs="Courier New" w:hint="default"/>
      </w:rPr>
    </w:lvl>
    <w:lvl w:ilvl="5" w:tplc="04190005" w:tentative="1">
      <w:start w:val="1"/>
      <w:numFmt w:val="bullet"/>
      <w:lvlText w:val=""/>
      <w:lvlJc w:val="left"/>
      <w:pPr>
        <w:ind w:left="5478" w:hanging="360"/>
      </w:pPr>
      <w:rPr>
        <w:rFonts w:ascii="Wingdings" w:hAnsi="Wingdings" w:hint="default"/>
      </w:rPr>
    </w:lvl>
    <w:lvl w:ilvl="6" w:tplc="04190001" w:tentative="1">
      <w:start w:val="1"/>
      <w:numFmt w:val="bullet"/>
      <w:lvlText w:val=""/>
      <w:lvlJc w:val="left"/>
      <w:pPr>
        <w:ind w:left="6198" w:hanging="360"/>
      </w:pPr>
      <w:rPr>
        <w:rFonts w:ascii="Symbol" w:hAnsi="Symbol" w:hint="default"/>
      </w:rPr>
    </w:lvl>
    <w:lvl w:ilvl="7" w:tplc="04190003" w:tentative="1">
      <w:start w:val="1"/>
      <w:numFmt w:val="bullet"/>
      <w:lvlText w:val="o"/>
      <w:lvlJc w:val="left"/>
      <w:pPr>
        <w:ind w:left="6918" w:hanging="360"/>
      </w:pPr>
      <w:rPr>
        <w:rFonts w:ascii="Courier New" w:hAnsi="Courier New" w:cs="Courier New" w:hint="default"/>
      </w:rPr>
    </w:lvl>
    <w:lvl w:ilvl="8" w:tplc="04190005" w:tentative="1">
      <w:start w:val="1"/>
      <w:numFmt w:val="bullet"/>
      <w:lvlText w:val=""/>
      <w:lvlJc w:val="left"/>
      <w:pPr>
        <w:ind w:left="7638" w:hanging="360"/>
      </w:pPr>
      <w:rPr>
        <w:rFonts w:ascii="Wingdings" w:hAnsi="Wingdings" w:hint="default"/>
      </w:rPr>
    </w:lvl>
  </w:abstractNum>
  <w:abstractNum w:abstractNumId="166" w15:restartNumberingAfterBreak="0">
    <w:nsid w:val="5AB35D50"/>
    <w:multiLevelType w:val="hybridMultilevel"/>
    <w:tmpl w:val="1E9A5CB6"/>
    <w:lvl w:ilvl="0" w:tplc="26B40C38">
      <w:start w:val="1"/>
      <w:numFmt w:val="bullet"/>
      <w:lvlText w:val=""/>
      <w:lvlJc w:val="left"/>
      <w:pPr>
        <w:ind w:left="1428" w:hanging="360"/>
      </w:pPr>
      <w:rPr>
        <w:rFonts w:ascii="Symbol" w:hAnsi="Symbol" w:hint="default"/>
      </w:rPr>
    </w:lvl>
    <w:lvl w:ilvl="1" w:tplc="3B2EC85C">
      <w:start w:val="1"/>
      <w:numFmt w:val="bullet"/>
      <w:lvlText w:val="o"/>
      <w:lvlJc w:val="left"/>
      <w:pPr>
        <w:ind w:left="2148" w:hanging="360"/>
      </w:pPr>
      <w:rPr>
        <w:rFonts w:ascii="Courier New" w:hAnsi="Courier New" w:cs="Courier New" w:hint="default"/>
      </w:rPr>
    </w:lvl>
    <w:lvl w:ilvl="2" w:tplc="2F9E085C">
      <w:start w:val="1"/>
      <w:numFmt w:val="bullet"/>
      <w:lvlText w:val=""/>
      <w:lvlJc w:val="left"/>
      <w:pPr>
        <w:ind w:left="2868" w:hanging="360"/>
      </w:pPr>
      <w:rPr>
        <w:rFonts w:ascii="Wingdings" w:hAnsi="Wingdings" w:hint="default"/>
      </w:rPr>
    </w:lvl>
    <w:lvl w:ilvl="3" w:tplc="340E811E">
      <w:start w:val="1"/>
      <w:numFmt w:val="bullet"/>
      <w:lvlText w:val=""/>
      <w:lvlJc w:val="left"/>
      <w:pPr>
        <w:ind w:left="3588" w:hanging="360"/>
      </w:pPr>
      <w:rPr>
        <w:rFonts w:ascii="Symbol" w:hAnsi="Symbol" w:hint="default"/>
      </w:rPr>
    </w:lvl>
    <w:lvl w:ilvl="4" w:tplc="FC366D08">
      <w:start w:val="1"/>
      <w:numFmt w:val="bullet"/>
      <w:lvlText w:val="o"/>
      <w:lvlJc w:val="left"/>
      <w:pPr>
        <w:ind w:left="4308" w:hanging="360"/>
      </w:pPr>
      <w:rPr>
        <w:rFonts w:ascii="Courier New" w:hAnsi="Courier New" w:cs="Courier New" w:hint="default"/>
      </w:rPr>
    </w:lvl>
    <w:lvl w:ilvl="5" w:tplc="29B8DC22">
      <w:start w:val="1"/>
      <w:numFmt w:val="bullet"/>
      <w:lvlText w:val=""/>
      <w:lvlJc w:val="left"/>
      <w:pPr>
        <w:ind w:left="5028" w:hanging="360"/>
      </w:pPr>
      <w:rPr>
        <w:rFonts w:ascii="Wingdings" w:hAnsi="Wingdings" w:hint="default"/>
      </w:rPr>
    </w:lvl>
    <w:lvl w:ilvl="6" w:tplc="8E0A9A3A">
      <w:start w:val="1"/>
      <w:numFmt w:val="bullet"/>
      <w:lvlText w:val=""/>
      <w:lvlJc w:val="left"/>
      <w:pPr>
        <w:ind w:left="5748" w:hanging="360"/>
      </w:pPr>
      <w:rPr>
        <w:rFonts w:ascii="Symbol" w:hAnsi="Symbol" w:hint="default"/>
      </w:rPr>
    </w:lvl>
    <w:lvl w:ilvl="7" w:tplc="2004B7FC">
      <w:start w:val="1"/>
      <w:numFmt w:val="bullet"/>
      <w:lvlText w:val="o"/>
      <w:lvlJc w:val="left"/>
      <w:pPr>
        <w:ind w:left="6468" w:hanging="360"/>
      </w:pPr>
      <w:rPr>
        <w:rFonts w:ascii="Courier New" w:hAnsi="Courier New" w:cs="Courier New" w:hint="default"/>
      </w:rPr>
    </w:lvl>
    <w:lvl w:ilvl="8" w:tplc="D71025DE">
      <w:start w:val="1"/>
      <w:numFmt w:val="bullet"/>
      <w:lvlText w:val=""/>
      <w:lvlJc w:val="left"/>
      <w:pPr>
        <w:ind w:left="7188" w:hanging="360"/>
      </w:pPr>
      <w:rPr>
        <w:rFonts w:ascii="Wingdings" w:hAnsi="Wingdings" w:hint="default"/>
      </w:rPr>
    </w:lvl>
  </w:abstractNum>
  <w:abstractNum w:abstractNumId="167" w15:restartNumberingAfterBreak="0">
    <w:nsid w:val="5C11366E"/>
    <w:multiLevelType w:val="hybridMultilevel"/>
    <w:tmpl w:val="4BE277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15:restartNumberingAfterBreak="0">
    <w:nsid w:val="5C655BEF"/>
    <w:multiLevelType w:val="hybridMultilevel"/>
    <w:tmpl w:val="B35C4DF6"/>
    <w:lvl w:ilvl="0" w:tplc="6FE65B0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9" w15:restartNumberingAfterBreak="0">
    <w:nsid w:val="5C754B14"/>
    <w:multiLevelType w:val="hybridMultilevel"/>
    <w:tmpl w:val="5C70A4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5CEE57BB"/>
    <w:multiLevelType w:val="hybridMultilevel"/>
    <w:tmpl w:val="A524D0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5D0F5891"/>
    <w:multiLevelType w:val="hybridMultilevel"/>
    <w:tmpl w:val="0B704676"/>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72" w15:restartNumberingAfterBreak="0">
    <w:nsid w:val="5DBB20C8"/>
    <w:multiLevelType w:val="hybridMultilevel"/>
    <w:tmpl w:val="8632A7E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15:restartNumberingAfterBreak="0">
    <w:nsid w:val="5E0E191C"/>
    <w:multiLevelType w:val="hybridMultilevel"/>
    <w:tmpl w:val="E3806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15:restartNumberingAfterBreak="0">
    <w:nsid w:val="5E3E40E7"/>
    <w:multiLevelType w:val="hybridMultilevel"/>
    <w:tmpl w:val="774AA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15:restartNumberingAfterBreak="0">
    <w:nsid w:val="5E42575E"/>
    <w:multiLevelType w:val="hybridMultilevel"/>
    <w:tmpl w:val="2DE079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5E57728D"/>
    <w:multiLevelType w:val="hybridMultilevel"/>
    <w:tmpl w:val="57747EAE"/>
    <w:lvl w:ilvl="0" w:tplc="0419000F">
      <w:start w:val="1"/>
      <w:numFmt w:val="decimal"/>
      <w:lvlText w:val="%1."/>
      <w:lvlJc w:val="left"/>
      <w:pPr>
        <w:ind w:left="720" w:hanging="360"/>
      </w:pPr>
      <w:rPr>
        <w:rFonts w:hint="default"/>
      </w:r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7" w15:restartNumberingAfterBreak="0">
    <w:nsid w:val="5EB57E18"/>
    <w:multiLevelType w:val="hybridMultilevel"/>
    <w:tmpl w:val="0114B8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8" w15:restartNumberingAfterBreak="0">
    <w:nsid w:val="5F3834EF"/>
    <w:multiLevelType w:val="hybridMultilevel"/>
    <w:tmpl w:val="D11CB154"/>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9" w15:restartNumberingAfterBreak="0">
    <w:nsid w:val="602776A7"/>
    <w:multiLevelType w:val="hybridMultilevel"/>
    <w:tmpl w:val="4EA802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15:restartNumberingAfterBreak="0">
    <w:nsid w:val="602B1DB1"/>
    <w:multiLevelType w:val="multilevel"/>
    <w:tmpl w:val="79CADAFC"/>
    <w:lvl w:ilvl="0">
      <w:start w:val="1"/>
      <w:numFmt w:val="bullet"/>
      <w:lvlText w:val=""/>
      <w:lvlJc w:val="left"/>
      <w:pPr>
        <w:ind w:left="1068" w:hanging="360"/>
      </w:pPr>
      <w:rPr>
        <w:rFonts w:ascii="Symbol" w:hAnsi="Symbol" w:cs="Symbol" w:hint="default"/>
        <w:sz w:val="24"/>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81" w15:restartNumberingAfterBreak="0">
    <w:nsid w:val="607D666F"/>
    <w:multiLevelType w:val="hybridMultilevel"/>
    <w:tmpl w:val="FAC287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15:restartNumberingAfterBreak="0">
    <w:nsid w:val="60C062FF"/>
    <w:multiLevelType w:val="hybridMultilevel"/>
    <w:tmpl w:val="040A4DCE"/>
    <w:lvl w:ilvl="0" w:tplc="D76CC41E">
      <w:start w:val="1"/>
      <w:numFmt w:val="bullet"/>
      <w:lvlText w:val="•"/>
      <w:lvlJc w:val="left"/>
      <w:pPr>
        <w:ind w:left="1146" w:hanging="360"/>
      </w:pPr>
      <w:rPr>
        <w:rFonts w:ascii="Arial" w:hAnsi="Aria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3" w15:restartNumberingAfterBreak="0">
    <w:nsid w:val="6122328E"/>
    <w:multiLevelType w:val="hybridMultilevel"/>
    <w:tmpl w:val="7F320E1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84" w15:restartNumberingAfterBreak="0">
    <w:nsid w:val="6228685B"/>
    <w:multiLevelType w:val="hybridMultilevel"/>
    <w:tmpl w:val="7264E0E6"/>
    <w:lvl w:ilvl="0" w:tplc="0419000F">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8FD68728">
      <w:start w:val="1"/>
      <w:numFmt w:val="decimal"/>
      <w:lvlText w:val="%4."/>
      <w:lvlJc w:val="left"/>
      <w:pPr>
        <w:ind w:left="3087" w:hanging="360"/>
      </w:pPr>
      <w:rPr>
        <w:rFonts w:ascii="Times New Roman" w:eastAsia="Calibri" w:hAnsi="Times New Roman" w:cs="Times New Roman"/>
      </w:r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85" w15:restartNumberingAfterBreak="0">
    <w:nsid w:val="625359FA"/>
    <w:multiLevelType w:val="hybridMultilevel"/>
    <w:tmpl w:val="43F80E00"/>
    <w:lvl w:ilvl="0" w:tplc="7FBA88A6">
      <w:start w:val="1"/>
      <w:numFmt w:val="bullet"/>
      <w:lvlText w:val=""/>
      <w:lvlJc w:val="left"/>
      <w:pPr>
        <w:ind w:left="720" w:hanging="360"/>
      </w:pPr>
      <w:rPr>
        <w:rFonts w:ascii="Symbol" w:hAnsi="Symbol" w:hint="default"/>
      </w:rPr>
    </w:lvl>
    <w:lvl w:ilvl="1" w:tplc="B3149F3E">
      <w:start w:val="1"/>
      <w:numFmt w:val="bullet"/>
      <w:lvlText w:val="o"/>
      <w:lvlJc w:val="left"/>
      <w:pPr>
        <w:ind w:left="1440" w:hanging="360"/>
      </w:pPr>
      <w:rPr>
        <w:rFonts w:ascii="Courier New" w:hAnsi="Courier New" w:cs="Courier New" w:hint="default"/>
      </w:rPr>
    </w:lvl>
    <w:lvl w:ilvl="2" w:tplc="7B7CB654">
      <w:start w:val="1"/>
      <w:numFmt w:val="bullet"/>
      <w:lvlText w:val=""/>
      <w:lvlJc w:val="left"/>
      <w:pPr>
        <w:ind w:left="2160" w:hanging="360"/>
      </w:pPr>
      <w:rPr>
        <w:rFonts w:ascii="Wingdings" w:hAnsi="Wingdings" w:hint="default"/>
      </w:rPr>
    </w:lvl>
    <w:lvl w:ilvl="3" w:tplc="42449486">
      <w:start w:val="1"/>
      <w:numFmt w:val="bullet"/>
      <w:lvlText w:val=""/>
      <w:lvlJc w:val="left"/>
      <w:pPr>
        <w:ind w:left="2880" w:hanging="360"/>
      </w:pPr>
      <w:rPr>
        <w:rFonts w:ascii="Symbol" w:hAnsi="Symbol" w:hint="default"/>
      </w:rPr>
    </w:lvl>
    <w:lvl w:ilvl="4" w:tplc="5C1ACD50">
      <w:start w:val="1"/>
      <w:numFmt w:val="bullet"/>
      <w:lvlText w:val="o"/>
      <w:lvlJc w:val="left"/>
      <w:pPr>
        <w:ind w:left="3600" w:hanging="360"/>
      </w:pPr>
      <w:rPr>
        <w:rFonts w:ascii="Courier New" w:hAnsi="Courier New" w:cs="Courier New" w:hint="default"/>
      </w:rPr>
    </w:lvl>
    <w:lvl w:ilvl="5" w:tplc="01EAC460">
      <w:start w:val="1"/>
      <w:numFmt w:val="bullet"/>
      <w:lvlText w:val=""/>
      <w:lvlJc w:val="left"/>
      <w:pPr>
        <w:ind w:left="4320" w:hanging="360"/>
      </w:pPr>
      <w:rPr>
        <w:rFonts w:ascii="Wingdings" w:hAnsi="Wingdings" w:hint="default"/>
      </w:rPr>
    </w:lvl>
    <w:lvl w:ilvl="6" w:tplc="357E813A">
      <w:start w:val="1"/>
      <w:numFmt w:val="bullet"/>
      <w:lvlText w:val=""/>
      <w:lvlJc w:val="left"/>
      <w:pPr>
        <w:ind w:left="5040" w:hanging="360"/>
      </w:pPr>
      <w:rPr>
        <w:rFonts w:ascii="Symbol" w:hAnsi="Symbol" w:hint="default"/>
      </w:rPr>
    </w:lvl>
    <w:lvl w:ilvl="7" w:tplc="1B362762">
      <w:start w:val="1"/>
      <w:numFmt w:val="bullet"/>
      <w:lvlText w:val="o"/>
      <w:lvlJc w:val="left"/>
      <w:pPr>
        <w:ind w:left="5760" w:hanging="360"/>
      </w:pPr>
      <w:rPr>
        <w:rFonts w:ascii="Courier New" w:hAnsi="Courier New" w:cs="Courier New" w:hint="default"/>
      </w:rPr>
    </w:lvl>
    <w:lvl w:ilvl="8" w:tplc="585C4590">
      <w:start w:val="1"/>
      <w:numFmt w:val="bullet"/>
      <w:lvlText w:val=""/>
      <w:lvlJc w:val="left"/>
      <w:pPr>
        <w:ind w:left="6480" w:hanging="360"/>
      </w:pPr>
      <w:rPr>
        <w:rFonts w:ascii="Wingdings" w:hAnsi="Wingdings" w:hint="default"/>
      </w:rPr>
    </w:lvl>
  </w:abstractNum>
  <w:abstractNum w:abstractNumId="186" w15:restartNumberingAfterBreak="0">
    <w:nsid w:val="63AA35FD"/>
    <w:multiLevelType w:val="multilevel"/>
    <w:tmpl w:val="79984E7E"/>
    <w:lvl w:ilvl="0">
      <w:start w:val="1"/>
      <w:numFmt w:val="bullet"/>
      <w:pStyle w:val="10"/>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63C72227"/>
    <w:multiLevelType w:val="hybridMultilevel"/>
    <w:tmpl w:val="E5C8AC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15:restartNumberingAfterBreak="0">
    <w:nsid w:val="640C6E06"/>
    <w:multiLevelType w:val="hybridMultilevel"/>
    <w:tmpl w:val="28523B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15:restartNumberingAfterBreak="0">
    <w:nsid w:val="64BF4139"/>
    <w:multiLevelType w:val="hybridMultilevel"/>
    <w:tmpl w:val="BDBA2C9E"/>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0" w15:restartNumberingAfterBreak="0">
    <w:nsid w:val="64CB17D4"/>
    <w:multiLevelType w:val="hybridMultilevel"/>
    <w:tmpl w:val="B944F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15:restartNumberingAfterBreak="0">
    <w:nsid w:val="64E91059"/>
    <w:multiLevelType w:val="hybridMultilevel"/>
    <w:tmpl w:val="9864A21C"/>
    <w:lvl w:ilvl="0" w:tplc="AFFE1112">
      <w:start w:val="1"/>
      <w:numFmt w:val="bullet"/>
      <w:lvlText w:val=""/>
      <w:lvlJc w:val="left"/>
      <w:pPr>
        <w:ind w:left="1428" w:hanging="360"/>
      </w:pPr>
      <w:rPr>
        <w:rFonts w:ascii="Symbol" w:hAnsi="Symbol" w:hint="default"/>
      </w:rPr>
    </w:lvl>
    <w:lvl w:ilvl="1" w:tplc="575CE84C">
      <w:start w:val="1"/>
      <w:numFmt w:val="bullet"/>
      <w:lvlText w:val="o"/>
      <w:lvlJc w:val="left"/>
      <w:pPr>
        <w:ind w:left="2148" w:hanging="360"/>
      </w:pPr>
      <w:rPr>
        <w:rFonts w:ascii="Courier New" w:hAnsi="Courier New" w:cs="Courier New" w:hint="default"/>
      </w:rPr>
    </w:lvl>
    <w:lvl w:ilvl="2" w:tplc="27F43E68">
      <w:start w:val="1"/>
      <w:numFmt w:val="bullet"/>
      <w:lvlText w:val=""/>
      <w:lvlJc w:val="left"/>
      <w:pPr>
        <w:ind w:left="2868" w:hanging="360"/>
      </w:pPr>
      <w:rPr>
        <w:rFonts w:ascii="Wingdings" w:hAnsi="Wingdings" w:hint="default"/>
      </w:rPr>
    </w:lvl>
    <w:lvl w:ilvl="3" w:tplc="6BEA662E">
      <w:start w:val="1"/>
      <w:numFmt w:val="bullet"/>
      <w:lvlText w:val=""/>
      <w:lvlJc w:val="left"/>
      <w:pPr>
        <w:ind w:left="3588" w:hanging="360"/>
      </w:pPr>
      <w:rPr>
        <w:rFonts w:ascii="Symbol" w:hAnsi="Symbol" w:hint="default"/>
      </w:rPr>
    </w:lvl>
    <w:lvl w:ilvl="4" w:tplc="64A80DBE">
      <w:start w:val="1"/>
      <w:numFmt w:val="bullet"/>
      <w:lvlText w:val="o"/>
      <w:lvlJc w:val="left"/>
      <w:pPr>
        <w:ind w:left="4308" w:hanging="360"/>
      </w:pPr>
      <w:rPr>
        <w:rFonts w:ascii="Courier New" w:hAnsi="Courier New" w:cs="Courier New" w:hint="default"/>
      </w:rPr>
    </w:lvl>
    <w:lvl w:ilvl="5" w:tplc="AE58F438">
      <w:start w:val="1"/>
      <w:numFmt w:val="bullet"/>
      <w:lvlText w:val=""/>
      <w:lvlJc w:val="left"/>
      <w:pPr>
        <w:ind w:left="5028" w:hanging="360"/>
      </w:pPr>
      <w:rPr>
        <w:rFonts w:ascii="Wingdings" w:hAnsi="Wingdings" w:hint="default"/>
      </w:rPr>
    </w:lvl>
    <w:lvl w:ilvl="6" w:tplc="B234EC7A">
      <w:start w:val="1"/>
      <w:numFmt w:val="bullet"/>
      <w:lvlText w:val=""/>
      <w:lvlJc w:val="left"/>
      <w:pPr>
        <w:ind w:left="5748" w:hanging="360"/>
      </w:pPr>
      <w:rPr>
        <w:rFonts w:ascii="Symbol" w:hAnsi="Symbol" w:hint="default"/>
      </w:rPr>
    </w:lvl>
    <w:lvl w:ilvl="7" w:tplc="82B25206">
      <w:start w:val="1"/>
      <w:numFmt w:val="bullet"/>
      <w:lvlText w:val="o"/>
      <w:lvlJc w:val="left"/>
      <w:pPr>
        <w:ind w:left="6468" w:hanging="360"/>
      </w:pPr>
      <w:rPr>
        <w:rFonts w:ascii="Courier New" w:hAnsi="Courier New" w:cs="Courier New" w:hint="default"/>
      </w:rPr>
    </w:lvl>
    <w:lvl w:ilvl="8" w:tplc="28082C5C">
      <w:start w:val="1"/>
      <w:numFmt w:val="bullet"/>
      <w:lvlText w:val=""/>
      <w:lvlJc w:val="left"/>
      <w:pPr>
        <w:ind w:left="7188" w:hanging="360"/>
      </w:pPr>
      <w:rPr>
        <w:rFonts w:ascii="Wingdings" w:hAnsi="Wingdings" w:hint="default"/>
      </w:rPr>
    </w:lvl>
  </w:abstractNum>
  <w:abstractNum w:abstractNumId="192" w15:restartNumberingAfterBreak="0">
    <w:nsid w:val="65582988"/>
    <w:multiLevelType w:val="hybridMultilevel"/>
    <w:tmpl w:val="DF66F51E"/>
    <w:lvl w:ilvl="0" w:tplc="74FC6A9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3" w15:restartNumberingAfterBreak="0">
    <w:nsid w:val="65890E2C"/>
    <w:multiLevelType w:val="multilevel"/>
    <w:tmpl w:val="2F08A22E"/>
    <w:lvl w:ilvl="0">
      <w:start w:val="1"/>
      <w:numFmt w:val="bullet"/>
      <w:lvlText w:val=""/>
      <w:lvlJc w:val="left"/>
      <w:pPr>
        <w:ind w:left="1429" w:hanging="360"/>
      </w:pPr>
      <w:rPr>
        <w:rFonts w:ascii="Symbol" w:hAnsi="Symbol"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94" w15:restartNumberingAfterBreak="0">
    <w:nsid w:val="65EE1CD2"/>
    <w:multiLevelType w:val="hybridMultilevel"/>
    <w:tmpl w:val="D4FAF1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5" w15:restartNumberingAfterBreak="0">
    <w:nsid w:val="65FB0DEB"/>
    <w:multiLevelType w:val="hybridMultilevel"/>
    <w:tmpl w:val="336C1E0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15:restartNumberingAfterBreak="0">
    <w:nsid w:val="65FC491C"/>
    <w:multiLevelType w:val="hybridMultilevel"/>
    <w:tmpl w:val="F8BE31C4"/>
    <w:numStyleLink w:val="1"/>
  </w:abstractNum>
  <w:abstractNum w:abstractNumId="197" w15:restartNumberingAfterBreak="0">
    <w:nsid w:val="665352F1"/>
    <w:multiLevelType w:val="hybridMultilevel"/>
    <w:tmpl w:val="371811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15:restartNumberingAfterBreak="0">
    <w:nsid w:val="66E51975"/>
    <w:multiLevelType w:val="hybridMultilevel"/>
    <w:tmpl w:val="7A7C6C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15:restartNumberingAfterBreak="0">
    <w:nsid w:val="67464575"/>
    <w:multiLevelType w:val="hybridMultilevel"/>
    <w:tmpl w:val="AAC275A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15:restartNumberingAfterBreak="0">
    <w:nsid w:val="678F247B"/>
    <w:multiLevelType w:val="hybridMultilevel"/>
    <w:tmpl w:val="7F36A1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67BE2026"/>
    <w:multiLevelType w:val="hybridMultilevel"/>
    <w:tmpl w:val="F4C00982"/>
    <w:lvl w:ilvl="0" w:tplc="0419000F">
      <w:start w:val="1"/>
      <w:numFmt w:val="decimal"/>
      <w:lvlText w:val="%1."/>
      <w:lvlJc w:val="left"/>
      <w:pPr>
        <w:ind w:left="1068" w:hanging="360"/>
      </w:pPr>
      <w:rPr>
        <w:rFonts w:hint="default"/>
      </w:rPr>
    </w:lvl>
    <w:lvl w:ilvl="1" w:tplc="0CF6ACBC">
      <w:start w:val="1"/>
      <w:numFmt w:val="decimal"/>
      <w:lvlText w:val="%2."/>
      <w:lvlJc w:val="left"/>
      <w:pPr>
        <w:ind w:left="1440" w:hanging="360"/>
      </w:pPr>
      <w:rPr>
        <w:rFonts w:hint="default"/>
      </w:rPr>
    </w:lvl>
    <w:lvl w:ilvl="2" w:tplc="58704C1C">
      <w:start w:val="1"/>
      <w:numFmt w:val="lowerRoman"/>
      <w:lvlText w:val="%3."/>
      <w:lvlJc w:val="right"/>
      <w:pPr>
        <w:ind w:left="2160" w:hanging="180"/>
      </w:pPr>
    </w:lvl>
    <w:lvl w:ilvl="3" w:tplc="547EBF6C">
      <w:start w:val="1"/>
      <w:numFmt w:val="decimal"/>
      <w:lvlText w:val="%4."/>
      <w:lvlJc w:val="left"/>
      <w:pPr>
        <w:ind w:left="2880" w:hanging="360"/>
      </w:pPr>
    </w:lvl>
    <w:lvl w:ilvl="4" w:tplc="21F628DC">
      <w:start w:val="1"/>
      <w:numFmt w:val="lowerLetter"/>
      <w:lvlText w:val="%5."/>
      <w:lvlJc w:val="left"/>
      <w:pPr>
        <w:ind w:left="3600" w:hanging="360"/>
      </w:pPr>
    </w:lvl>
    <w:lvl w:ilvl="5" w:tplc="082CFF88">
      <w:start w:val="1"/>
      <w:numFmt w:val="lowerRoman"/>
      <w:lvlText w:val="%6."/>
      <w:lvlJc w:val="right"/>
      <w:pPr>
        <w:ind w:left="4320" w:hanging="180"/>
      </w:pPr>
    </w:lvl>
    <w:lvl w:ilvl="6" w:tplc="AD2E6324">
      <w:start w:val="1"/>
      <w:numFmt w:val="decimal"/>
      <w:lvlText w:val="%7."/>
      <w:lvlJc w:val="left"/>
      <w:pPr>
        <w:ind w:left="5040" w:hanging="360"/>
      </w:pPr>
    </w:lvl>
    <w:lvl w:ilvl="7" w:tplc="E494B0C4">
      <w:start w:val="1"/>
      <w:numFmt w:val="lowerLetter"/>
      <w:lvlText w:val="%8."/>
      <w:lvlJc w:val="left"/>
      <w:pPr>
        <w:ind w:left="5760" w:hanging="360"/>
      </w:pPr>
    </w:lvl>
    <w:lvl w:ilvl="8" w:tplc="BAA87298">
      <w:start w:val="1"/>
      <w:numFmt w:val="lowerRoman"/>
      <w:lvlText w:val="%9."/>
      <w:lvlJc w:val="right"/>
      <w:pPr>
        <w:ind w:left="6480" w:hanging="180"/>
      </w:pPr>
    </w:lvl>
  </w:abstractNum>
  <w:abstractNum w:abstractNumId="202" w15:restartNumberingAfterBreak="0">
    <w:nsid w:val="688468BB"/>
    <w:multiLevelType w:val="hybridMultilevel"/>
    <w:tmpl w:val="3F5AC3C2"/>
    <w:lvl w:ilvl="0" w:tplc="9F922CDA">
      <w:start w:val="1"/>
      <w:numFmt w:val="bullet"/>
      <w:lvlText w:val=""/>
      <w:lvlJc w:val="left"/>
      <w:pPr>
        <w:ind w:left="1428" w:hanging="360"/>
      </w:pPr>
      <w:rPr>
        <w:rFonts w:ascii="Symbol" w:hAnsi="Symbol" w:hint="default"/>
      </w:rPr>
    </w:lvl>
    <w:lvl w:ilvl="1" w:tplc="F2147832">
      <w:start w:val="1"/>
      <w:numFmt w:val="bullet"/>
      <w:lvlText w:val="o"/>
      <w:lvlJc w:val="left"/>
      <w:pPr>
        <w:ind w:left="2148" w:hanging="360"/>
      </w:pPr>
      <w:rPr>
        <w:rFonts w:ascii="Courier New" w:hAnsi="Courier New" w:cs="Courier New" w:hint="default"/>
      </w:rPr>
    </w:lvl>
    <w:lvl w:ilvl="2" w:tplc="83467EFA">
      <w:start w:val="1"/>
      <w:numFmt w:val="bullet"/>
      <w:lvlText w:val=""/>
      <w:lvlJc w:val="left"/>
      <w:pPr>
        <w:ind w:left="2868" w:hanging="360"/>
      </w:pPr>
      <w:rPr>
        <w:rFonts w:ascii="Wingdings" w:hAnsi="Wingdings" w:hint="default"/>
      </w:rPr>
    </w:lvl>
    <w:lvl w:ilvl="3" w:tplc="A89E58B0">
      <w:start w:val="1"/>
      <w:numFmt w:val="bullet"/>
      <w:lvlText w:val=""/>
      <w:lvlJc w:val="left"/>
      <w:pPr>
        <w:ind w:left="3588" w:hanging="360"/>
      </w:pPr>
      <w:rPr>
        <w:rFonts w:ascii="Symbol" w:hAnsi="Symbol" w:hint="default"/>
      </w:rPr>
    </w:lvl>
    <w:lvl w:ilvl="4" w:tplc="E58CD5B2">
      <w:start w:val="1"/>
      <w:numFmt w:val="bullet"/>
      <w:lvlText w:val="o"/>
      <w:lvlJc w:val="left"/>
      <w:pPr>
        <w:ind w:left="4308" w:hanging="360"/>
      </w:pPr>
      <w:rPr>
        <w:rFonts w:ascii="Courier New" w:hAnsi="Courier New" w:cs="Courier New" w:hint="default"/>
      </w:rPr>
    </w:lvl>
    <w:lvl w:ilvl="5" w:tplc="C14038A0">
      <w:start w:val="1"/>
      <w:numFmt w:val="bullet"/>
      <w:lvlText w:val=""/>
      <w:lvlJc w:val="left"/>
      <w:pPr>
        <w:ind w:left="5028" w:hanging="360"/>
      </w:pPr>
      <w:rPr>
        <w:rFonts w:ascii="Wingdings" w:hAnsi="Wingdings" w:hint="default"/>
      </w:rPr>
    </w:lvl>
    <w:lvl w:ilvl="6" w:tplc="E1A2B50A">
      <w:start w:val="1"/>
      <w:numFmt w:val="bullet"/>
      <w:lvlText w:val=""/>
      <w:lvlJc w:val="left"/>
      <w:pPr>
        <w:ind w:left="5748" w:hanging="360"/>
      </w:pPr>
      <w:rPr>
        <w:rFonts w:ascii="Symbol" w:hAnsi="Symbol" w:hint="default"/>
      </w:rPr>
    </w:lvl>
    <w:lvl w:ilvl="7" w:tplc="BDF62C10">
      <w:start w:val="1"/>
      <w:numFmt w:val="bullet"/>
      <w:lvlText w:val="o"/>
      <w:lvlJc w:val="left"/>
      <w:pPr>
        <w:ind w:left="6468" w:hanging="360"/>
      </w:pPr>
      <w:rPr>
        <w:rFonts w:ascii="Courier New" w:hAnsi="Courier New" w:cs="Courier New" w:hint="default"/>
      </w:rPr>
    </w:lvl>
    <w:lvl w:ilvl="8" w:tplc="A7804AAE">
      <w:start w:val="1"/>
      <w:numFmt w:val="bullet"/>
      <w:lvlText w:val=""/>
      <w:lvlJc w:val="left"/>
      <w:pPr>
        <w:ind w:left="7188" w:hanging="360"/>
      </w:pPr>
      <w:rPr>
        <w:rFonts w:ascii="Wingdings" w:hAnsi="Wingdings" w:hint="default"/>
      </w:rPr>
    </w:lvl>
  </w:abstractNum>
  <w:abstractNum w:abstractNumId="203" w15:restartNumberingAfterBreak="0">
    <w:nsid w:val="691764A1"/>
    <w:multiLevelType w:val="hybridMultilevel"/>
    <w:tmpl w:val="8F0429F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4" w15:restartNumberingAfterBreak="0">
    <w:nsid w:val="698D0AC0"/>
    <w:multiLevelType w:val="hybridMultilevel"/>
    <w:tmpl w:val="11E85E72"/>
    <w:lvl w:ilvl="0" w:tplc="04190001">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205" w15:restartNumberingAfterBreak="0">
    <w:nsid w:val="69995AA4"/>
    <w:multiLevelType w:val="hybridMultilevel"/>
    <w:tmpl w:val="34E0D3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69E82B41"/>
    <w:multiLevelType w:val="hybridMultilevel"/>
    <w:tmpl w:val="485AF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15:restartNumberingAfterBreak="0">
    <w:nsid w:val="6A080F88"/>
    <w:multiLevelType w:val="hybridMultilevel"/>
    <w:tmpl w:val="32426FF2"/>
    <w:lvl w:ilvl="0" w:tplc="04190001">
      <w:start w:val="1"/>
      <w:numFmt w:val="bullet"/>
      <w:lvlText w:val=""/>
      <w:lvlJc w:val="left"/>
      <w:pPr>
        <w:ind w:left="2123" w:hanging="705"/>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15:restartNumberingAfterBreak="0">
    <w:nsid w:val="6A150589"/>
    <w:multiLevelType w:val="hybridMultilevel"/>
    <w:tmpl w:val="296EBB58"/>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9" w15:restartNumberingAfterBreak="0">
    <w:nsid w:val="6AFF0605"/>
    <w:multiLevelType w:val="hybridMultilevel"/>
    <w:tmpl w:val="9F60A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15:restartNumberingAfterBreak="0">
    <w:nsid w:val="6B125E22"/>
    <w:multiLevelType w:val="multilevel"/>
    <w:tmpl w:val="1CCE88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6CE277CD"/>
    <w:multiLevelType w:val="hybridMultilevel"/>
    <w:tmpl w:val="F6E2D132"/>
    <w:lvl w:ilvl="0" w:tplc="0419000F">
      <w:start w:val="1"/>
      <w:numFmt w:val="decimal"/>
      <w:lvlText w:val="%1."/>
      <w:lvlJc w:val="left"/>
      <w:pPr>
        <w:ind w:left="720" w:hanging="360"/>
      </w:pPr>
      <w:rPr>
        <w:rFonts w:hint="default"/>
      </w:rPr>
    </w:lvl>
    <w:lvl w:ilvl="1" w:tplc="04190001">
      <w:start w:val="1"/>
      <w:numFmt w:val="bullet"/>
      <w:lvlText w:val=""/>
      <w:lvlJc w:val="left"/>
      <w:pPr>
        <w:ind w:left="1440" w:hanging="360"/>
      </w:pPr>
      <w:rPr>
        <w:rFonts w:ascii="Symbol" w:hAnsi="Symbol"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2" w15:restartNumberingAfterBreak="0">
    <w:nsid w:val="6CF711F5"/>
    <w:multiLevelType w:val="hybridMultilevel"/>
    <w:tmpl w:val="3FB8D84A"/>
    <w:lvl w:ilvl="0" w:tplc="0E60B5AE">
      <w:start w:val="1"/>
      <w:numFmt w:val="bullet"/>
      <w:lvlText w:val=""/>
      <w:lvlJc w:val="left"/>
      <w:pPr>
        <w:ind w:left="1080" w:hanging="360"/>
      </w:pPr>
      <w:rPr>
        <w:rFonts w:ascii="Symbol" w:hAnsi="Symbol" w:hint="default"/>
      </w:rPr>
    </w:lvl>
    <w:lvl w:ilvl="1" w:tplc="7A7E9E72">
      <w:start w:val="1"/>
      <w:numFmt w:val="bullet"/>
      <w:lvlText w:val="o"/>
      <w:lvlJc w:val="left"/>
      <w:pPr>
        <w:ind w:left="1800" w:hanging="360"/>
      </w:pPr>
      <w:rPr>
        <w:rFonts w:ascii="Courier New" w:hAnsi="Courier New" w:cs="Courier New" w:hint="default"/>
      </w:rPr>
    </w:lvl>
    <w:lvl w:ilvl="2" w:tplc="FD5696C2">
      <w:start w:val="1"/>
      <w:numFmt w:val="bullet"/>
      <w:lvlText w:val=""/>
      <w:lvlJc w:val="left"/>
      <w:pPr>
        <w:ind w:left="2520" w:hanging="360"/>
      </w:pPr>
      <w:rPr>
        <w:rFonts w:ascii="Wingdings" w:hAnsi="Wingdings" w:hint="default"/>
      </w:rPr>
    </w:lvl>
    <w:lvl w:ilvl="3" w:tplc="2F44A216">
      <w:start w:val="1"/>
      <w:numFmt w:val="bullet"/>
      <w:lvlText w:val=""/>
      <w:lvlJc w:val="left"/>
      <w:pPr>
        <w:ind w:left="3240" w:hanging="360"/>
      </w:pPr>
      <w:rPr>
        <w:rFonts w:ascii="Symbol" w:hAnsi="Symbol" w:hint="default"/>
      </w:rPr>
    </w:lvl>
    <w:lvl w:ilvl="4" w:tplc="9ECA2EA2">
      <w:start w:val="1"/>
      <w:numFmt w:val="bullet"/>
      <w:lvlText w:val="o"/>
      <w:lvlJc w:val="left"/>
      <w:pPr>
        <w:ind w:left="3960" w:hanging="360"/>
      </w:pPr>
      <w:rPr>
        <w:rFonts w:ascii="Courier New" w:hAnsi="Courier New" w:cs="Courier New" w:hint="default"/>
      </w:rPr>
    </w:lvl>
    <w:lvl w:ilvl="5" w:tplc="4A60B510">
      <w:start w:val="1"/>
      <w:numFmt w:val="bullet"/>
      <w:lvlText w:val=""/>
      <w:lvlJc w:val="left"/>
      <w:pPr>
        <w:ind w:left="4680" w:hanging="360"/>
      </w:pPr>
      <w:rPr>
        <w:rFonts w:ascii="Wingdings" w:hAnsi="Wingdings" w:hint="default"/>
      </w:rPr>
    </w:lvl>
    <w:lvl w:ilvl="6" w:tplc="9826769A">
      <w:start w:val="1"/>
      <w:numFmt w:val="bullet"/>
      <w:lvlText w:val=""/>
      <w:lvlJc w:val="left"/>
      <w:pPr>
        <w:ind w:left="5400" w:hanging="360"/>
      </w:pPr>
      <w:rPr>
        <w:rFonts w:ascii="Symbol" w:hAnsi="Symbol" w:hint="default"/>
      </w:rPr>
    </w:lvl>
    <w:lvl w:ilvl="7" w:tplc="6E52C570">
      <w:start w:val="1"/>
      <w:numFmt w:val="bullet"/>
      <w:lvlText w:val="o"/>
      <w:lvlJc w:val="left"/>
      <w:pPr>
        <w:ind w:left="6120" w:hanging="360"/>
      </w:pPr>
      <w:rPr>
        <w:rFonts w:ascii="Courier New" w:hAnsi="Courier New" w:cs="Courier New" w:hint="default"/>
      </w:rPr>
    </w:lvl>
    <w:lvl w:ilvl="8" w:tplc="DC286868">
      <w:start w:val="1"/>
      <w:numFmt w:val="bullet"/>
      <w:lvlText w:val=""/>
      <w:lvlJc w:val="left"/>
      <w:pPr>
        <w:ind w:left="6840" w:hanging="360"/>
      </w:pPr>
      <w:rPr>
        <w:rFonts w:ascii="Wingdings" w:hAnsi="Wingdings" w:hint="default"/>
      </w:rPr>
    </w:lvl>
  </w:abstractNum>
  <w:abstractNum w:abstractNumId="213" w15:restartNumberingAfterBreak="0">
    <w:nsid w:val="6E2010A3"/>
    <w:multiLevelType w:val="hybridMultilevel"/>
    <w:tmpl w:val="0BD074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15:restartNumberingAfterBreak="0">
    <w:nsid w:val="6E212806"/>
    <w:multiLevelType w:val="hybridMultilevel"/>
    <w:tmpl w:val="5C60331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5" w15:restartNumberingAfterBreak="0">
    <w:nsid w:val="6E24223D"/>
    <w:multiLevelType w:val="hybridMultilevel"/>
    <w:tmpl w:val="7450BC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15:restartNumberingAfterBreak="0">
    <w:nsid w:val="6EFA2964"/>
    <w:multiLevelType w:val="hybridMultilevel"/>
    <w:tmpl w:val="2EF24D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7" w15:restartNumberingAfterBreak="0">
    <w:nsid w:val="6FDC162F"/>
    <w:multiLevelType w:val="hybridMultilevel"/>
    <w:tmpl w:val="7FEAD3B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15:restartNumberingAfterBreak="0">
    <w:nsid w:val="700A7B43"/>
    <w:multiLevelType w:val="hybridMultilevel"/>
    <w:tmpl w:val="32F2F2D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19" w15:restartNumberingAfterBreak="0">
    <w:nsid w:val="70750981"/>
    <w:multiLevelType w:val="hybridMultilevel"/>
    <w:tmpl w:val="388496DE"/>
    <w:lvl w:ilvl="0" w:tplc="C6F414D0">
      <w:start w:val="1"/>
      <w:numFmt w:val="bullet"/>
      <w:lvlText w:val=""/>
      <w:lvlJc w:val="left"/>
      <w:pPr>
        <w:ind w:left="360" w:hanging="360"/>
      </w:pPr>
      <w:rPr>
        <w:rFonts w:ascii="Symbol" w:hAnsi="Symbol" w:hint="default"/>
      </w:rPr>
    </w:lvl>
    <w:lvl w:ilvl="1" w:tplc="C0E6D234" w:tentative="1">
      <w:start w:val="1"/>
      <w:numFmt w:val="bullet"/>
      <w:lvlText w:val="o"/>
      <w:lvlJc w:val="left"/>
      <w:pPr>
        <w:ind w:left="1080" w:hanging="360"/>
      </w:pPr>
      <w:rPr>
        <w:rFonts w:ascii="Courier New" w:hAnsi="Courier New" w:hint="default"/>
      </w:rPr>
    </w:lvl>
    <w:lvl w:ilvl="2" w:tplc="C076F468" w:tentative="1">
      <w:start w:val="1"/>
      <w:numFmt w:val="bullet"/>
      <w:lvlText w:val=""/>
      <w:lvlJc w:val="left"/>
      <w:pPr>
        <w:ind w:left="1800" w:hanging="360"/>
      </w:pPr>
      <w:rPr>
        <w:rFonts w:ascii="Wingdings" w:hAnsi="Wingdings" w:hint="default"/>
      </w:rPr>
    </w:lvl>
    <w:lvl w:ilvl="3" w:tplc="E3BC4980" w:tentative="1">
      <w:start w:val="1"/>
      <w:numFmt w:val="bullet"/>
      <w:lvlText w:val=""/>
      <w:lvlJc w:val="left"/>
      <w:pPr>
        <w:ind w:left="2520" w:hanging="360"/>
      </w:pPr>
      <w:rPr>
        <w:rFonts w:ascii="Symbol" w:hAnsi="Symbol" w:hint="default"/>
      </w:rPr>
    </w:lvl>
    <w:lvl w:ilvl="4" w:tplc="277E88FE" w:tentative="1">
      <w:start w:val="1"/>
      <w:numFmt w:val="bullet"/>
      <w:lvlText w:val="o"/>
      <w:lvlJc w:val="left"/>
      <w:pPr>
        <w:ind w:left="3240" w:hanging="360"/>
      </w:pPr>
      <w:rPr>
        <w:rFonts w:ascii="Courier New" w:hAnsi="Courier New" w:hint="default"/>
      </w:rPr>
    </w:lvl>
    <w:lvl w:ilvl="5" w:tplc="0A7A623E" w:tentative="1">
      <w:start w:val="1"/>
      <w:numFmt w:val="bullet"/>
      <w:lvlText w:val=""/>
      <w:lvlJc w:val="left"/>
      <w:pPr>
        <w:ind w:left="3960" w:hanging="360"/>
      </w:pPr>
      <w:rPr>
        <w:rFonts w:ascii="Wingdings" w:hAnsi="Wingdings" w:hint="default"/>
      </w:rPr>
    </w:lvl>
    <w:lvl w:ilvl="6" w:tplc="4A7272AC" w:tentative="1">
      <w:start w:val="1"/>
      <w:numFmt w:val="bullet"/>
      <w:lvlText w:val=""/>
      <w:lvlJc w:val="left"/>
      <w:pPr>
        <w:ind w:left="4680" w:hanging="360"/>
      </w:pPr>
      <w:rPr>
        <w:rFonts w:ascii="Symbol" w:hAnsi="Symbol" w:hint="default"/>
      </w:rPr>
    </w:lvl>
    <w:lvl w:ilvl="7" w:tplc="C5B0A0DA" w:tentative="1">
      <w:start w:val="1"/>
      <w:numFmt w:val="bullet"/>
      <w:lvlText w:val="o"/>
      <w:lvlJc w:val="left"/>
      <w:pPr>
        <w:ind w:left="5400" w:hanging="360"/>
      </w:pPr>
      <w:rPr>
        <w:rFonts w:ascii="Courier New" w:hAnsi="Courier New" w:hint="default"/>
      </w:rPr>
    </w:lvl>
    <w:lvl w:ilvl="8" w:tplc="54465664" w:tentative="1">
      <w:start w:val="1"/>
      <w:numFmt w:val="bullet"/>
      <w:lvlText w:val=""/>
      <w:lvlJc w:val="left"/>
      <w:pPr>
        <w:ind w:left="6120" w:hanging="360"/>
      </w:pPr>
      <w:rPr>
        <w:rFonts w:ascii="Wingdings" w:hAnsi="Wingdings" w:hint="default"/>
      </w:rPr>
    </w:lvl>
  </w:abstractNum>
  <w:abstractNum w:abstractNumId="220" w15:restartNumberingAfterBreak="0">
    <w:nsid w:val="710E7B94"/>
    <w:multiLevelType w:val="hybridMultilevel"/>
    <w:tmpl w:val="6090CD7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1" w15:restartNumberingAfterBreak="0">
    <w:nsid w:val="71F87B85"/>
    <w:multiLevelType w:val="hybridMultilevel"/>
    <w:tmpl w:val="DF404D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15:restartNumberingAfterBreak="0">
    <w:nsid w:val="72DF19A5"/>
    <w:multiLevelType w:val="hybridMultilevel"/>
    <w:tmpl w:val="29B8E4BE"/>
    <w:lvl w:ilvl="0" w:tplc="0419000F">
      <w:start w:val="1"/>
      <w:numFmt w:val="decimal"/>
      <w:lvlText w:val="%1."/>
      <w:lvlJc w:val="left"/>
      <w:pPr>
        <w:ind w:left="938" w:hanging="360"/>
      </w:pPr>
      <w:rPr>
        <w:rFonts w:hint="default"/>
        <w:b w:val="0"/>
      </w:rPr>
    </w:lvl>
    <w:lvl w:ilvl="1" w:tplc="04190019">
      <w:start w:val="1"/>
      <w:numFmt w:val="lowerLetter"/>
      <w:lvlText w:val="%2."/>
      <w:lvlJc w:val="left"/>
      <w:pPr>
        <w:ind w:left="5474" w:hanging="360"/>
      </w:pPr>
    </w:lvl>
    <w:lvl w:ilvl="2" w:tplc="0419001B" w:tentative="1">
      <w:start w:val="1"/>
      <w:numFmt w:val="lowerRoman"/>
      <w:lvlText w:val="%3."/>
      <w:lvlJc w:val="right"/>
      <w:pPr>
        <w:ind w:left="2455" w:hanging="180"/>
      </w:pPr>
    </w:lvl>
    <w:lvl w:ilvl="3" w:tplc="0419000F" w:tentative="1">
      <w:start w:val="1"/>
      <w:numFmt w:val="decimal"/>
      <w:lvlText w:val="%4."/>
      <w:lvlJc w:val="left"/>
      <w:pPr>
        <w:ind w:left="3175" w:hanging="360"/>
      </w:pPr>
    </w:lvl>
    <w:lvl w:ilvl="4" w:tplc="04190019" w:tentative="1">
      <w:start w:val="1"/>
      <w:numFmt w:val="lowerLetter"/>
      <w:lvlText w:val="%5."/>
      <w:lvlJc w:val="left"/>
      <w:pPr>
        <w:ind w:left="3895" w:hanging="360"/>
      </w:pPr>
    </w:lvl>
    <w:lvl w:ilvl="5" w:tplc="0419001B" w:tentative="1">
      <w:start w:val="1"/>
      <w:numFmt w:val="lowerRoman"/>
      <w:lvlText w:val="%6."/>
      <w:lvlJc w:val="right"/>
      <w:pPr>
        <w:ind w:left="4615" w:hanging="180"/>
      </w:pPr>
    </w:lvl>
    <w:lvl w:ilvl="6" w:tplc="0419000F" w:tentative="1">
      <w:start w:val="1"/>
      <w:numFmt w:val="decimal"/>
      <w:lvlText w:val="%7."/>
      <w:lvlJc w:val="left"/>
      <w:pPr>
        <w:ind w:left="5335" w:hanging="360"/>
      </w:pPr>
    </w:lvl>
    <w:lvl w:ilvl="7" w:tplc="04190019" w:tentative="1">
      <w:start w:val="1"/>
      <w:numFmt w:val="lowerLetter"/>
      <w:lvlText w:val="%8."/>
      <w:lvlJc w:val="left"/>
      <w:pPr>
        <w:ind w:left="6055" w:hanging="360"/>
      </w:pPr>
    </w:lvl>
    <w:lvl w:ilvl="8" w:tplc="0419001B" w:tentative="1">
      <w:start w:val="1"/>
      <w:numFmt w:val="lowerRoman"/>
      <w:lvlText w:val="%9."/>
      <w:lvlJc w:val="right"/>
      <w:pPr>
        <w:ind w:left="6775" w:hanging="180"/>
      </w:pPr>
    </w:lvl>
  </w:abstractNum>
  <w:abstractNum w:abstractNumId="223" w15:restartNumberingAfterBreak="0">
    <w:nsid w:val="73781A9D"/>
    <w:multiLevelType w:val="hybridMultilevel"/>
    <w:tmpl w:val="52888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15:restartNumberingAfterBreak="0">
    <w:nsid w:val="73857C0E"/>
    <w:multiLevelType w:val="hybridMultilevel"/>
    <w:tmpl w:val="ED986C6A"/>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225" w15:restartNumberingAfterBreak="0">
    <w:nsid w:val="74233B1A"/>
    <w:multiLevelType w:val="hybridMultilevel"/>
    <w:tmpl w:val="40625C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15:restartNumberingAfterBreak="0">
    <w:nsid w:val="745A7484"/>
    <w:multiLevelType w:val="hybridMultilevel"/>
    <w:tmpl w:val="59B87F60"/>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7" w15:restartNumberingAfterBreak="0">
    <w:nsid w:val="74BE66AC"/>
    <w:multiLevelType w:val="hybridMultilevel"/>
    <w:tmpl w:val="86D871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15:restartNumberingAfterBreak="0">
    <w:nsid w:val="74FB01F8"/>
    <w:multiLevelType w:val="hybridMultilevel"/>
    <w:tmpl w:val="87B48F6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15:restartNumberingAfterBreak="0">
    <w:nsid w:val="75C2543E"/>
    <w:multiLevelType w:val="hybridMultilevel"/>
    <w:tmpl w:val="43A231CA"/>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0" w15:restartNumberingAfterBreak="0">
    <w:nsid w:val="760F7789"/>
    <w:multiLevelType w:val="hybridMultilevel"/>
    <w:tmpl w:val="A976A3F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31" w15:restartNumberingAfterBreak="0">
    <w:nsid w:val="765F70D1"/>
    <w:multiLevelType w:val="hybridMultilevel"/>
    <w:tmpl w:val="B0288ABE"/>
    <w:lvl w:ilvl="0" w:tplc="A378BA54">
      <w:start w:val="1"/>
      <w:numFmt w:val="bullet"/>
      <w:lvlText w:val="•"/>
      <w:lvlJc w:val="left"/>
      <w:pPr>
        <w:ind w:left="1429" w:hanging="360"/>
      </w:pPr>
      <w:rPr>
        <w:rFonts w:ascii="Arial" w:hAnsi="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2" w15:restartNumberingAfterBreak="0">
    <w:nsid w:val="767717B0"/>
    <w:multiLevelType w:val="hybridMultilevel"/>
    <w:tmpl w:val="E056D2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767A098F"/>
    <w:multiLevelType w:val="hybridMultilevel"/>
    <w:tmpl w:val="CD04CE36"/>
    <w:lvl w:ilvl="0" w:tplc="04190001">
      <w:start w:val="1"/>
      <w:numFmt w:val="bullet"/>
      <w:lvlText w:val=""/>
      <w:lvlJc w:val="left"/>
      <w:pPr>
        <w:ind w:left="1145" w:hanging="360"/>
      </w:pPr>
      <w:rPr>
        <w:rFonts w:ascii="Symbol" w:hAnsi="Symbol" w:hint="default"/>
      </w:rPr>
    </w:lvl>
    <w:lvl w:ilvl="1" w:tplc="04190003">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34" w15:restartNumberingAfterBreak="0">
    <w:nsid w:val="76AD17CF"/>
    <w:multiLevelType w:val="hybridMultilevel"/>
    <w:tmpl w:val="031A4B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5" w15:restartNumberingAfterBreak="0">
    <w:nsid w:val="76E33EC4"/>
    <w:multiLevelType w:val="hybridMultilevel"/>
    <w:tmpl w:val="47E204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15:restartNumberingAfterBreak="0">
    <w:nsid w:val="76E4605F"/>
    <w:multiLevelType w:val="hybridMultilevel"/>
    <w:tmpl w:val="D99A684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37" w15:restartNumberingAfterBreak="0">
    <w:nsid w:val="777107AF"/>
    <w:multiLevelType w:val="hybridMultilevel"/>
    <w:tmpl w:val="D63A2B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78F23F89"/>
    <w:multiLevelType w:val="hybridMultilevel"/>
    <w:tmpl w:val="6D200488"/>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39" w15:restartNumberingAfterBreak="0">
    <w:nsid w:val="796E5432"/>
    <w:multiLevelType w:val="hybridMultilevel"/>
    <w:tmpl w:val="91501A8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0" w15:restartNumberingAfterBreak="0">
    <w:nsid w:val="79713416"/>
    <w:multiLevelType w:val="hybridMultilevel"/>
    <w:tmpl w:val="D548CD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15:restartNumberingAfterBreak="0">
    <w:nsid w:val="7BAB11B1"/>
    <w:multiLevelType w:val="hybridMultilevel"/>
    <w:tmpl w:val="F0D6F0BA"/>
    <w:lvl w:ilvl="0" w:tplc="D76CC41E">
      <w:start w:val="1"/>
      <w:numFmt w:val="bullet"/>
      <w:lvlText w:val="•"/>
      <w:lvlJc w:val="left"/>
      <w:pPr>
        <w:tabs>
          <w:tab w:val="num" w:pos="720"/>
        </w:tabs>
        <w:ind w:left="720" w:hanging="360"/>
      </w:pPr>
      <w:rPr>
        <w:rFonts w:ascii="Arial" w:hAnsi="Arial" w:hint="default"/>
      </w:rPr>
    </w:lvl>
    <w:lvl w:ilvl="1" w:tplc="2F8ECD54" w:tentative="1">
      <w:start w:val="1"/>
      <w:numFmt w:val="bullet"/>
      <w:lvlText w:val="•"/>
      <w:lvlJc w:val="left"/>
      <w:pPr>
        <w:tabs>
          <w:tab w:val="num" w:pos="1440"/>
        </w:tabs>
        <w:ind w:left="1440" w:hanging="360"/>
      </w:pPr>
      <w:rPr>
        <w:rFonts w:ascii="Arial" w:hAnsi="Arial" w:hint="default"/>
      </w:rPr>
    </w:lvl>
    <w:lvl w:ilvl="2" w:tplc="CE8C5248" w:tentative="1">
      <w:start w:val="1"/>
      <w:numFmt w:val="bullet"/>
      <w:lvlText w:val="•"/>
      <w:lvlJc w:val="left"/>
      <w:pPr>
        <w:tabs>
          <w:tab w:val="num" w:pos="2160"/>
        </w:tabs>
        <w:ind w:left="2160" w:hanging="360"/>
      </w:pPr>
      <w:rPr>
        <w:rFonts w:ascii="Arial" w:hAnsi="Arial" w:hint="default"/>
      </w:rPr>
    </w:lvl>
    <w:lvl w:ilvl="3" w:tplc="225EDACA" w:tentative="1">
      <w:start w:val="1"/>
      <w:numFmt w:val="bullet"/>
      <w:lvlText w:val="•"/>
      <w:lvlJc w:val="left"/>
      <w:pPr>
        <w:tabs>
          <w:tab w:val="num" w:pos="2880"/>
        </w:tabs>
        <w:ind w:left="2880" w:hanging="360"/>
      </w:pPr>
      <w:rPr>
        <w:rFonts w:ascii="Arial" w:hAnsi="Arial" w:hint="default"/>
      </w:rPr>
    </w:lvl>
    <w:lvl w:ilvl="4" w:tplc="0626367E" w:tentative="1">
      <w:start w:val="1"/>
      <w:numFmt w:val="bullet"/>
      <w:lvlText w:val="•"/>
      <w:lvlJc w:val="left"/>
      <w:pPr>
        <w:tabs>
          <w:tab w:val="num" w:pos="3600"/>
        </w:tabs>
        <w:ind w:left="3600" w:hanging="360"/>
      </w:pPr>
      <w:rPr>
        <w:rFonts w:ascii="Arial" w:hAnsi="Arial" w:hint="default"/>
      </w:rPr>
    </w:lvl>
    <w:lvl w:ilvl="5" w:tplc="F3F24E2C" w:tentative="1">
      <w:start w:val="1"/>
      <w:numFmt w:val="bullet"/>
      <w:lvlText w:val="•"/>
      <w:lvlJc w:val="left"/>
      <w:pPr>
        <w:tabs>
          <w:tab w:val="num" w:pos="4320"/>
        </w:tabs>
        <w:ind w:left="4320" w:hanging="360"/>
      </w:pPr>
      <w:rPr>
        <w:rFonts w:ascii="Arial" w:hAnsi="Arial" w:hint="default"/>
      </w:rPr>
    </w:lvl>
    <w:lvl w:ilvl="6" w:tplc="66CAD2A8" w:tentative="1">
      <w:start w:val="1"/>
      <w:numFmt w:val="bullet"/>
      <w:lvlText w:val="•"/>
      <w:lvlJc w:val="left"/>
      <w:pPr>
        <w:tabs>
          <w:tab w:val="num" w:pos="5040"/>
        </w:tabs>
        <w:ind w:left="5040" w:hanging="360"/>
      </w:pPr>
      <w:rPr>
        <w:rFonts w:ascii="Arial" w:hAnsi="Arial" w:hint="default"/>
      </w:rPr>
    </w:lvl>
    <w:lvl w:ilvl="7" w:tplc="2D2688B4" w:tentative="1">
      <w:start w:val="1"/>
      <w:numFmt w:val="bullet"/>
      <w:lvlText w:val="•"/>
      <w:lvlJc w:val="left"/>
      <w:pPr>
        <w:tabs>
          <w:tab w:val="num" w:pos="5760"/>
        </w:tabs>
        <w:ind w:left="5760" w:hanging="360"/>
      </w:pPr>
      <w:rPr>
        <w:rFonts w:ascii="Arial" w:hAnsi="Arial" w:hint="default"/>
      </w:rPr>
    </w:lvl>
    <w:lvl w:ilvl="8" w:tplc="D7D0C13C" w:tentative="1">
      <w:start w:val="1"/>
      <w:numFmt w:val="bullet"/>
      <w:lvlText w:val="•"/>
      <w:lvlJc w:val="left"/>
      <w:pPr>
        <w:tabs>
          <w:tab w:val="num" w:pos="6480"/>
        </w:tabs>
        <w:ind w:left="6480" w:hanging="360"/>
      </w:pPr>
      <w:rPr>
        <w:rFonts w:ascii="Arial" w:hAnsi="Arial" w:hint="default"/>
      </w:rPr>
    </w:lvl>
  </w:abstractNum>
  <w:abstractNum w:abstractNumId="242" w15:restartNumberingAfterBreak="0">
    <w:nsid w:val="7C2D2F11"/>
    <w:multiLevelType w:val="hybridMultilevel"/>
    <w:tmpl w:val="AAC2850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15:restartNumberingAfterBreak="0">
    <w:nsid w:val="7CEE1064"/>
    <w:multiLevelType w:val="multilevel"/>
    <w:tmpl w:val="DE00292C"/>
    <w:lvl w:ilvl="0">
      <w:start w:val="1"/>
      <w:numFmt w:val="decimal"/>
      <w:lvlText w:val="%1."/>
      <w:lvlJc w:val="left"/>
      <w:pPr>
        <w:ind w:left="720" w:hanging="360"/>
      </w:pPr>
      <w:rPr>
        <w:rFonts w:cs="Times New Roman"/>
      </w:rPr>
    </w:lvl>
    <w:lvl w:ilvl="1">
      <w:start w:val="3"/>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4" w15:restartNumberingAfterBreak="0">
    <w:nsid w:val="7D0B5D6E"/>
    <w:multiLevelType w:val="hybridMultilevel"/>
    <w:tmpl w:val="28E8C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15:restartNumberingAfterBreak="0">
    <w:nsid w:val="7D253A11"/>
    <w:multiLevelType w:val="hybridMultilevel"/>
    <w:tmpl w:val="CDC45FAE"/>
    <w:lvl w:ilvl="0" w:tplc="D948574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46" w15:restartNumberingAfterBreak="0">
    <w:nsid w:val="7D352FBE"/>
    <w:multiLevelType w:val="hybridMultilevel"/>
    <w:tmpl w:val="9F224F2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15:restartNumberingAfterBreak="0">
    <w:nsid w:val="7D6F5A43"/>
    <w:multiLevelType w:val="hybridMultilevel"/>
    <w:tmpl w:val="EBDCF4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15:restartNumberingAfterBreak="0">
    <w:nsid w:val="7DBA29FE"/>
    <w:multiLevelType w:val="hybridMultilevel"/>
    <w:tmpl w:val="CDDCE8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15:restartNumberingAfterBreak="0">
    <w:nsid w:val="7E612FB6"/>
    <w:multiLevelType w:val="hybridMultilevel"/>
    <w:tmpl w:val="77D21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15:restartNumberingAfterBreak="0">
    <w:nsid w:val="7EAF518E"/>
    <w:multiLevelType w:val="hybridMultilevel"/>
    <w:tmpl w:val="D0BA0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15:restartNumberingAfterBreak="0">
    <w:nsid w:val="7F3D118A"/>
    <w:multiLevelType w:val="hybridMultilevel"/>
    <w:tmpl w:val="A88ED5F2"/>
    <w:lvl w:ilvl="0" w:tplc="04190001">
      <w:start w:val="1"/>
      <w:numFmt w:val="bullet"/>
      <w:lvlText w:val=""/>
      <w:lvlJc w:val="left"/>
      <w:pPr>
        <w:ind w:left="1778"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2" w15:restartNumberingAfterBreak="0">
    <w:nsid w:val="7FC164C6"/>
    <w:multiLevelType w:val="hybridMultilevel"/>
    <w:tmpl w:val="9F087242"/>
    <w:styleLink w:val="111111"/>
    <w:lvl w:ilvl="0" w:tplc="70B684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15:restartNumberingAfterBreak="0">
    <w:nsid w:val="7FCE568C"/>
    <w:multiLevelType w:val="hybridMultilevel"/>
    <w:tmpl w:val="F0E2B1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6"/>
  </w:num>
  <w:num w:numId="2">
    <w:abstractNumId w:val="230"/>
  </w:num>
  <w:num w:numId="3">
    <w:abstractNumId w:val="159"/>
  </w:num>
  <w:num w:numId="4">
    <w:abstractNumId w:val="77"/>
  </w:num>
  <w:num w:numId="5">
    <w:abstractNumId w:val="42"/>
  </w:num>
  <w:num w:numId="6">
    <w:abstractNumId w:val="207"/>
  </w:num>
  <w:num w:numId="7">
    <w:abstractNumId w:val="246"/>
  </w:num>
  <w:num w:numId="8">
    <w:abstractNumId w:val="251"/>
  </w:num>
  <w:num w:numId="9">
    <w:abstractNumId w:val="20"/>
  </w:num>
  <w:num w:numId="10">
    <w:abstractNumId w:val="12"/>
  </w:num>
  <w:num w:numId="11">
    <w:abstractNumId w:val="129"/>
  </w:num>
  <w:num w:numId="12">
    <w:abstractNumId w:val="67"/>
  </w:num>
  <w:num w:numId="13">
    <w:abstractNumId w:val="126"/>
  </w:num>
  <w:num w:numId="14">
    <w:abstractNumId w:val="252"/>
  </w:num>
  <w:num w:numId="15">
    <w:abstractNumId w:val="16"/>
  </w:num>
  <w:num w:numId="16">
    <w:abstractNumId w:val="83"/>
  </w:num>
  <w:num w:numId="17">
    <w:abstractNumId w:val="71"/>
  </w:num>
  <w:num w:numId="18">
    <w:abstractNumId w:val="29"/>
  </w:num>
  <w:num w:numId="19">
    <w:abstractNumId w:val="34"/>
  </w:num>
  <w:num w:numId="20">
    <w:abstractNumId w:val="210"/>
  </w:num>
  <w:num w:numId="21">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6"/>
  </w:num>
  <w:num w:numId="23">
    <w:abstractNumId w:val="50"/>
  </w:num>
  <w:num w:numId="24">
    <w:abstractNumId w:val="26"/>
  </w:num>
  <w:num w:numId="25">
    <w:abstractNumId w:val="117"/>
  </w:num>
  <w:num w:numId="26">
    <w:abstractNumId w:val="214"/>
  </w:num>
  <w:num w:numId="27">
    <w:abstractNumId w:val="79"/>
  </w:num>
  <w:num w:numId="28">
    <w:abstractNumId w:val="103"/>
  </w:num>
  <w:num w:numId="29">
    <w:abstractNumId w:val="219"/>
  </w:num>
  <w:num w:numId="30">
    <w:abstractNumId w:val="33"/>
  </w:num>
  <w:num w:numId="31">
    <w:abstractNumId w:val="63"/>
  </w:num>
  <w:num w:numId="32">
    <w:abstractNumId w:val="70"/>
  </w:num>
  <w:num w:numId="33">
    <w:abstractNumId w:val="1"/>
  </w:num>
  <w:num w:numId="34">
    <w:abstractNumId w:val="156"/>
  </w:num>
  <w:num w:numId="35">
    <w:abstractNumId w:val="243"/>
  </w:num>
  <w:num w:numId="36">
    <w:abstractNumId w:val="25"/>
  </w:num>
  <w:num w:numId="37">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8"/>
  </w:num>
  <w:num w:numId="39">
    <w:abstractNumId w:val="80"/>
  </w:num>
  <w:num w:numId="40">
    <w:abstractNumId w:val="143"/>
  </w:num>
  <w:num w:numId="41">
    <w:abstractNumId w:val="28"/>
  </w:num>
  <w:num w:numId="42">
    <w:abstractNumId w:val="113"/>
  </w:num>
  <w:num w:numId="43">
    <w:abstractNumId w:val="194"/>
  </w:num>
  <w:num w:numId="44">
    <w:abstractNumId w:val="96"/>
  </w:num>
  <w:num w:numId="45">
    <w:abstractNumId w:val="55"/>
  </w:num>
  <w:num w:numId="46">
    <w:abstractNumId w:val="40"/>
  </w:num>
  <w:num w:numId="47">
    <w:abstractNumId w:val="209"/>
  </w:num>
  <w:num w:numId="48">
    <w:abstractNumId w:val="189"/>
  </w:num>
  <w:num w:numId="49">
    <w:abstractNumId w:val="229"/>
  </w:num>
  <w:num w:numId="50">
    <w:abstractNumId w:val="178"/>
  </w:num>
  <w:num w:numId="51">
    <w:abstractNumId w:val="147"/>
  </w:num>
  <w:num w:numId="52">
    <w:abstractNumId w:val="180"/>
  </w:num>
  <w:num w:numId="53">
    <w:abstractNumId w:val="120"/>
  </w:num>
  <w:num w:numId="54">
    <w:abstractNumId w:val="61"/>
  </w:num>
  <w:num w:numId="55">
    <w:abstractNumId w:val="21"/>
  </w:num>
  <w:num w:numId="56">
    <w:abstractNumId w:val="132"/>
  </w:num>
  <w:num w:numId="57">
    <w:abstractNumId w:val="31"/>
  </w:num>
  <w:num w:numId="58">
    <w:abstractNumId w:val="51"/>
  </w:num>
  <w:num w:numId="59">
    <w:abstractNumId w:val="146"/>
  </w:num>
  <w:num w:numId="60">
    <w:abstractNumId w:val="91"/>
  </w:num>
  <w:num w:numId="61">
    <w:abstractNumId w:val="162"/>
  </w:num>
  <w:num w:numId="62">
    <w:abstractNumId w:val="23"/>
  </w:num>
  <w:num w:numId="63">
    <w:abstractNumId w:val="164"/>
  </w:num>
  <w:num w:numId="64">
    <w:abstractNumId w:val="193"/>
  </w:num>
  <w:num w:numId="65">
    <w:abstractNumId w:val="74"/>
  </w:num>
  <w:num w:numId="66">
    <w:abstractNumId w:val="137"/>
  </w:num>
  <w:num w:numId="67">
    <w:abstractNumId w:val="39"/>
  </w:num>
  <w:num w:numId="68">
    <w:abstractNumId w:val="41"/>
  </w:num>
  <w:num w:numId="69">
    <w:abstractNumId w:val="203"/>
  </w:num>
  <w:num w:numId="70">
    <w:abstractNumId w:val="165"/>
  </w:num>
  <w:num w:numId="71">
    <w:abstractNumId w:val="124"/>
  </w:num>
  <w:num w:numId="72">
    <w:abstractNumId w:val="179"/>
  </w:num>
  <w:num w:numId="73">
    <w:abstractNumId w:val="161"/>
  </w:num>
  <w:num w:numId="74">
    <w:abstractNumId w:val="44"/>
  </w:num>
  <w:num w:numId="75">
    <w:abstractNumId w:val="115"/>
  </w:num>
  <w:num w:numId="76">
    <w:abstractNumId w:val="10"/>
  </w:num>
  <w:num w:numId="77">
    <w:abstractNumId w:val="138"/>
  </w:num>
  <w:num w:numId="78">
    <w:abstractNumId w:val="204"/>
  </w:num>
  <w:num w:numId="79">
    <w:abstractNumId w:val="152"/>
  </w:num>
  <w:num w:numId="80">
    <w:abstractNumId w:val="192"/>
  </w:num>
  <w:num w:numId="81">
    <w:abstractNumId w:val="43"/>
  </w:num>
  <w:num w:numId="82">
    <w:abstractNumId w:val="7"/>
  </w:num>
  <w:num w:numId="83">
    <w:abstractNumId w:val="65"/>
  </w:num>
  <w:num w:numId="84">
    <w:abstractNumId w:val="82"/>
  </w:num>
  <w:num w:numId="85">
    <w:abstractNumId w:val="90"/>
  </w:num>
  <w:num w:numId="86">
    <w:abstractNumId w:val="101"/>
  </w:num>
  <w:num w:numId="87">
    <w:abstractNumId w:val="155"/>
  </w:num>
  <w:num w:numId="88">
    <w:abstractNumId w:val="247"/>
  </w:num>
  <w:num w:numId="89">
    <w:abstractNumId w:val="121"/>
  </w:num>
  <w:num w:numId="90">
    <w:abstractNumId w:val="123"/>
  </w:num>
  <w:num w:numId="91">
    <w:abstractNumId w:val="94"/>
  </w:num>
  <w:num w:numId="92">
    <w:abstractNumId w:val="149"/>
  </w:num>
  <w:num w:numId="93">
    <w:abstractNumId w:val="108"/>
  </w:num>
  <w:num w:numId="94">
    <w:abstractNumId w:val="24"/>
  </w:num>
  <w:num w:numId="95">
    <w:abstractNumId w:val="127"/>
  </w:num>
  <w:num w:numId="96">
    <w:abstractNumId w:val="223"/>
  </w:num>
  <w:num w:numId="97">
    <w:abstractNumId w:val="81"/>
  </w:num>
  <w:num w:numId="98">
    <w:abstractNumId w:val="232"/>
  </w:num>
  <w:num w:numId="99">
    <w:abstractNumId w:val="58"/>
  </w:num>
  <w:num w:numId="100">
    <w:abstractNumId w:val="136"/>
  </w:num>
  <w:num w:numId="101">
    <w:abstractNumId w:val="125"/>
  </w:num>
  <w:num w:numId="102">
    <w:abstractNumId w:val="222"/>
  </w:num>
  <w:num w:numId="103">
    <w:abstractNumId w:val="139"/>
  </w:num>
  <w:num w:numId="104">
    <w:abstractNumId w:val="151"/>
  </w:num>
  <w:num w:numId="105">
    <w:abstractNumId w:val="248"/>
  </w:num>
  <w:num w:numId="106">
    <w:abstractNumId w:val="48"/>
  </w:num>
  <w:num w:numId="107">
    <w:abstractNumId w:val="208"/>
  </w:num>
  <w:num w:numId="108">
    <w:abstractNumId w:val="226"/>
  </w:num>
  <w:num w:numId="109">
    <w:abstractNumId w:val="36"/>
  </w:num>
  <w:num w:numId="110">
    <w:abstractNumId w:val="205"/>
  </w:num>
  <w:num w:numId="111">
    <w:abstractNumId w:val="38"/>
  </w:num>
  <w:num w:numId="112">
    <w:abstractNumId w:val="110"/>
  </w:num>
  <w:num w:numId="113">
    <w:abstractNumId w:val="73"/>
  </w:num>
  <w:num w:numId="114">
    <w:abstractNumId w:val="140"/>
  </w:num>
  <w:num w:numId="115">
    <w:abstractNumId w:val="239"/>
  </w:num>
  <w:num w:numId="116">
    <w:abstractNumId w:val="141"/>
  </w:num>
  <w:num w:numId="117">
    <w:abstractNumId w:val="184"/>
  </w:num>
  <w:num w:numId="118">
    <w:abstractNumId w:val="6"/>
  </w:num>
  <w:num w:numId="119">
    <w:abstractNumId w:val="64"/>
  </w:num>
  <w:num w:numId="120">
    <w:abstractNumId w:val="22"/>
  </w:num>
  <w:num w:numId="121">
    <w:abstractNumId w:val="216"/>
  </w:num>
  <w:num w:numId="122">
    <w:abstractNumId w:val="250"/>
  </w:num>
  <w:num w:numId="123">
    <w:abstractNumId w:val="104"/>
  </w:num>
  <w:num w:numId="124">
    <w:abstractNumId w:val="85"/>
  </w:num>
  <w:num w:numId="125">
    <w:abstractNumId w:val="75"/>
  </w:num>
  <w:num w:numId="126">
    <w:abstractNumId w:val="196"/>
  </w:num>
  <w:num w:numId="127">
    <w:abstractNumId w:val="211"/>
  </w:num>
  <w:num w:numId="128">
    <w:abstractNumId w:val="176"/>
  </w:num>
  <w:num w:numId="129">
    <w:abstractNumId w:val="112"/>
  </w:num>
  <w:num w:numId="130">
    <w:abstractNumId w:val="45"/>
  </w:num>
  <w:num w:numId="131">
    <w:abstractNumId w:val="148"/>
  </w:num>
  <w:num w:numId="132">
    <w:abstractNumId w:val="185"/>
  </w:num>
  <w:num w:numId="133">
    <w:abstractNumId w:val="212"/>
  </w:num>
  <w:num w:numId="134">
    <w:abstractNumId w:val="202"/>
  </w:num>
  <w:num w:numId="135">
    <w:abstractNumId w:val="69"/>
  </w:num>
  <w:num w:numId="136">
    <w:abstractNumId w:val="166"/>
  </w:num>
  <w:num w:numId="137">
    <w:abstractNumId w:val="191"/>
  </w:num>
  <w:num w:numId="138">
    <w:abstractNumId w:val="153"/>
  </w:num>
  <w:num w:numId="139">
    <w:abstractNumId w:val="145"/>
  </w:num>
  <w:num w:numId="140">
    <w:abstractNumId w:val="201"/>
  </w:num>
  <w:num w:numId="141">
    <w:abstractNumId w:val="177"/>
  </w:num>
  <w:num w:numId="142">
    <w:abstractNumId w:val="111"/>
  </w:num>
  <w:num w:numId="143">
    <w:abstractNumId w:val="168"/>
  </w:num>
  <w:num w:numId="144">
    <w:abstractNumId w:val="78"/>
  </w:num>
  <w:num w:numId="145">
    <w:abstractNumId w:val="245"/>
  </w:num>
  <w:num w:numId="146">
    <w:abstractNumId w:val="169"/>
  </w:num>
  <w:num w:numId="147">
    <w:abstractNumId w:val="133"/>
  </w:num>
  <w:num w:numId="148">
    <w:abstractNumId w:val="98"/>
  </w:num>
  <w:num w:numId="149">
    <w:abstractNumId w:val="235"/>
  </w:num>
  <w:num w:numId="150">
    <w:abstractNumId w:val="172"/>
  </w:num>
  <w:num w:numId="151">
    <w:abstractNumId w:val="213"/>
  </w:num>
  <w:num w:numId="152">
    <w:abstractNumId w:val="173"/>
  </w:num>
  <w:num w:numId="153">
    <w:abstractNumId w:val="105"/>
  </w:num>
  <w:num w:numId="154">
    <w:abstractNumId w:val="237"/>
  </w:num>
  <w:num w:numId="155">
    <w:abstractNumId w:val="167"/>
  </w:num>
  <w:num w:numId="156">
    <w:abstractNumId w:val="0"/>
  </w:num>
  <w:num w:numId="157">
    <w:abstractNumId w:val="97"/>
  </w:num>
  <w:num w:numId="158">
    <w:abstractNumId w:val="198"/>
  </w:num>
  <w:num w:numId="159">
    <w:abstractNumId w:val="47"/>
  </w:num>
  <w:num w:numId="160">
    <w:abstractNumId w:val="4"/>
  </w:num>
  <w:num w:numId="161">
    <w:abstractNumId w:val="225"/>
  </w:num>
  <w:num w:numId="162">
    <w:abstractNumId w:val="197"/>
  </w:num>
  <w:num w:numId="163">
    <w:abstractNumId w:val="52"/>
  </w:num>
  <w:num w:numId="164">
    <w:abstractNumId w:val="2"/>
  </w:num>
  <w:num w:numId="165">
    <w:abstractNumId w:val="253"/>
  </w:num>
  <w:num w:numId="166">
    <w:abstractNumId w:val="3"/>
  </w:num>
  <w:num w:numId="167">
    <w:abstractNumId w:val="195"/>
  </w:num>
  <w:num w:numId="168">
    <w:abstractNumId w:val="5"/>
  </w:num>
  <w:num w:numId="169">
    <w:abstractNumId w:val="190"/>
  </w:num>
  <w:num w:numId="170">
    <w:abstractNumId w:val="13"/>
  </w:num>
  <w:num w:numId="171">
    <w:abstractNumId w:val="14"/>
  </w:num>
  <w:num w:numId="172">
    <w:abstractNumId w:val="144"/>
  </w:num>
  <w:num w:numId="173">
    <w:abstractNumId w:val="17"/>
  </w:num>
  <w:num w:numId="174">
    <w:abstractNumId w:val="76"/>
  </w:num>
  <w:num w:numId="175">
    <w:abstractNumId w:val="249"/>
  </w:num>
  <w:num w:numId="176">
    <w:abstractNumId w:val="188"/>
  </w:num>
  <w:num w:numId="177">
    <w:abstractNumId w:val="88"/>
  </w:num>
  <w:num w:numId="178">
    <w:abstractNumId w:val="9"/>
  </w:num>
  <w:num w:numId="179">
    <w:abstractNumId w:val="227"/>
  </w:num>
  <w:num w:numId="180">
    <w:abstractNumId w:val="199"/>
  </w:num>
  <w:num w:numId="181">
    <w:abstractNumId w:val="131"/>
  </w:num>
  <w:num w:numId="182">
    <w:abstractNumId w:val="19"/>
  </w:num>
  <w:num w:numId="183">
    <w:abstractNumId w:val="130"/>
  </w:num>
  <w:num w:numId="184">
    <w:abstractNumId w:val="128"/>
  </w:num>
  <w:num w:numId="185">
    <w:abstractNumId w:val="66"/>
  </w:num>
  <w:num w:numId="186">
    <w:abstractNumId w:val="11"/>
  </w:num>
  <w:num w:numId="187">
    <w:abstractNumId w:val="242"/>
  </w:num>
  <w:num w:numId="188">
    <w:abstractNumId w:val="244"/>
  </w:num>
  <w:num w:numId="189">
    <w:abstractNumId w:val="89"/>
  </w:num>
  <w:num w:numId="190">
    <w:abstractNumId w:val="175"/>
  </w:num>
  <w:num w:numId="191">
    <w:abstractNumId w:val="119"/>
  </w:num>
  <w:num w:numId="192">
    <w:abstractNumId w:val="87"/>
  </w:num>
  <w:num w:numId="193">
    <w:abstractNumId w:val="56"/>
  </w:num>
  <w:num w:numId="194">
    <w:abstractNumId w:val="18"/>
  </w:num>
  <w:num w:numId="195">
    <w:abstractNumId w:val="62"/>
  </w:num>
  <w:num w:numId="196">
    <w:abstractNumId w:val="59"/>
  </w:num>
  <w:num w:numId="197">
    <w:abstractNumId w:val="187"/>
  </w:num>
  <w:num w:numId="198">
    <w:abstractNumId w:val="170"/>
  </w:num>
  <w:num w:numId="199">
    <w:abstractNumId w:val="68"/>
  </w:num>
  <w:num w:numId="200">
    <w:abstractNumId w:val="240"/>
  </w:num>
  <w:num w:numId="201">
    <w:abstractNumId w:val="217"/>
  </w:num>
  <w:num w:numId="202">
    <w:abstractNumId w:val="200"/>
  </w:num>
  <w:num w:numId="203">
    <w:abstractNumId w:val="35"/>
  </w:num>
  <w:num w:numId="204">
    <w:abstractNumId w:val="215"/>
  </w:num>
  <w:num w:numId="205">
    <w:abstractNumId w:val="221"/>
  </w:num>
  <w:num w:numId="206">
    <w:abstractNumId w:val="30"/>
  </w:num>
  <w:num w:numId="207">
    <w:abstractNumId w:val="72"/>
  </w:num>
  <w:num w:numId="208">
    <w:abstractNumId w:val="53"/>
  </w:num>
  <w:num w:numId="209">
    <w:abstractNumId w:val="206"/>
  </w:num>
  <w:num w:numId="210">
    <w:abstractNumId w:val="163"/>
  </w:num>
  <w:num w:numId="211">
    <w:abstractNumId w:val="54"/>
  </w:num>
  <w:num w:numId="212">
    <w:abstractNumId w:val="160"/>
  </w:num>
  <w:num w:numId="213">
    <w:abstractNumId w:val="150"/>
  </w:num>
  <w:num w:numId="214">
    <w:abstractNumId w:val="37"/>
  </w:num>
  <w:num w:numId="215">
    <w:abstractNumId w:val="99"/>
  </w:num>
  <w:num w:numId="216">
    <w:abstractNumId w:val="174"/>
  </w:num>
  <w:num w:numId="217">
    <w:abstractNumId w:val="181"/>
  </w:num>
  <w:num w:numId="218">
    <w:abstractNumId w:val="15"/>
  </w:num>
  <w:num w:numId="219">
    <w:abstractNumId w:val="84"/>
  </w:num>
  <w:num w:numId="220">
    <w:abstractNumId w:val="92"/>
  </w:num>
  <w:num w:numId="221">
    <w:abstractNumId w:val="134"/>
  </w:num>
  <w:num w:numId="222">
    <w:abstractNumId w:val="158"/>
  </w:num>
  <w:num w:numId="223">
    <w:abstractNumId w:val="154"/>
  </w:num>
  <w:num w:numId="224">
    <w:abstractNumId w:val="228"/>
  </w:num>
  <w:num w:numId="225">
    <w:abstractNumId w:val="135"/>
  </w:num>
  <w:num w:numId="226">
    <w:abstractNumId w:val="122"/>
  </w:num>
  <w:num w:numId="227">
    <w:abstractNumId w:val="106"/>
  </w:num>
  <w:num w:numId="228">
    <w:abstractNumId w:val="49"/>
  </w:num>
  <w:num w:numId="229">
    <w:abstractNumId w:val="142"/>
  </w:num>
  <w:num w:numId="230">
    <w:abstractNumId w:val="60"/>
  </w:num>
  <w:num w:numId="231">
    <w:abstractNumId w:val="220"/>
  </w:num>
  <w:num w:numId="232">
    <w:abstractNumId w:val="241"/>
  </w:num>
  <w:num w:numId="233">
    <w:abstractNumId w:val="231"/>
  </w:num>
  <w:num w:numId="234">
    <w:abstractNumId w:val="107"/>
  </w:num>
  <w:num w:numId="235">
    <w:abstractNumId w:val="32"/>
  </w:num>
  <w:num w:numId="236">
    <w:abstractNumId w:val="100"/>
  </w:num>
  <w:num w:numId="237">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abstractNumId w:val="224"/>
  </w:num>
  <w:num w:numId="242">
    <w:abstractNumId w:val="182"/>
  </w:num>
  <w:num w:numId="243">
    <w:abstractNumId w:val="57"/>
  </w:num>
  <w:num w:numId="244">
    <w:abstractNumId w:val="109"/>
  </w:num>
  <w:num w:numId="245">
    <w:abstractNumId w:val="114"/>
  </w:num>
  <w:num w:numId="246">
    <w:abstractNumId w:val="233"/>
  </w:num>
  <w:num w:numId="247">
    <w:abstractNumId w:val="116"/>
  </w:num>
  <w:num w:numId="248">
    <w:abstractNumId w:val="183"/>
  </w:num>
  <w:num w:numId="249">
    <w:abstractNumId w:val="93"/>
  </w:num>
  <w:num w:numId="250">
    <w:abstractNumId w:val="238"/>
  </w:num>
  <w:num w:numId="251">
    <w:abstractNumId w:val="27"/>
  </w:num>
  <w:num w:numId="252">
    <w:abstractNumId w:val="218"/>
  </w:num>
  <w:num w:numId="253">
    <w:abstractNumId w:val="236"/>
  </w:num>
  <w:num w:numId="254">
    <w:abstractNumId w:val="171"/>
  </w:num>
  <w:numIdMacAtCleanup w:val="2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activeWritingStyle w:appName="MSWord" w:lang="ru-RU" w:vendorID="64" w:dllVersion="131078" w:nlCheck="1" w:checkStyle="0"/>
  <w:activeWritingStyle w:appName="MSWord" w:lang="en-US" w:vendorID="64" w:dllVersion="131078" w:nlCheck="1" w:checkStyle="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BA3"/>
    <w:rsid w:val="00001800"/>
    <w:rsid w:val="00010087"/>
    <w:rsid w:val="00010C37"/>
    <w:rsid w:val="000155C0"/>
    <w:rsid w:val="00015B13"/>
    <w:rsid w:val="00015EE5"/>
    <w:rsid w:val="000171A1"/>
    <w:rsid w:val="00021FEA"/>
    <w:rsid w:val="0002592F"/>
    <w:rsid w:val="0003068D"/>
    <w:rsid w:val="00034E4B"/>
    <w:rsid w:val="00035320"/>
    <w:rsid w:val="000366BC"/>
    <w:rsid w:val="000414F6"/>
    <w:rsid w:val="00043F95"/>
    <w:rsid w:val="000472C3"/>
    <w:rsid w:val="00050719"/>
    <w:rsid w:val="00050B04"/>
    <w:rsid w:val="00051F38"/>
    <w:rsid w:val="00053AE8"/>
    <w:rsid w:val="00054863"/>
    <w:rsid w:val="00056C09"/>
    <w:rsid w:val="000578EF"/>
    <w:rsid w:val="00063BA7"/>
    <w:rsid w:val="00063D1A"/>
    <w:rsid w:val="000648CE"/>
    <w:rsid w:val="00064FEC"/>
    <w:rsid w:val="00065D0C"/>
    <w:rsid w:val="00067DF0"/>
    <w:rsid w:val="000709E2"/>
    <w:rsid w:val="00077023"/>
    <w:rsid w:val="00080B1D"/>
    <w:rsid w:val="00081D41"/>
    <w:rsid w:val="00082344"/>
    <w:rsid w:val="00084AAF"/>
    <w:rsid w:val="00093449"/>
    <w:rsid w:val="00094ED6"/>
    <w:rsid w:val="00097073"/>
    <w:rsid w:val="00097E92"/>
    <w:rsid w:val="000A277C"/>
    <w:rsid w:val="000A6EAB"/>
    <w:rsid w:val="000B0DCD"/>
    <w:rsid w:val="000B3E74"/>
    <w:rsid w:val="000B7A71"/>
    <w:rsid w:val="000C0218"/>
    <w:rsid w:val="000C1AAB"/>
    <w:rsid w:val="000C1CB1"/>
    <w:rsid w:val="000C2323"/>
    <w:rsid w:val="000C31F1"/>
    <w:rsid w:val="000D16E5"/>
    <w:rsid w:val="000D3F7F"/>
    <w:rsid w:val="000E02DD"/>
    <w:rsid w:val="000E14DB"/>
    <w:rsid w:val="000E2605"/>
    <w:rsid w:val="000E5A78"/>
    <w:rsid w:val="000F2ADC"/>
    <w:rsid w:val="000F4137"/>
    <w:rsid w:val="000F4D7F"/>
    <w:rsid w:val="00107CB3"/>
    <w:rsid w:val="00116B73"/>
    <w:rsid w:val="00122110"/>
    <w:rsid w:val="00124A26"/>
    <w:rsid w:val="001260FA"/>
    <w:rsid w:val="00144C58"/>
    <w:rsid w:val="00145D40"/>
    <w:rsid w:val="00146FA3"/>
    <w:rsid w:val="00150FA6"/>
    <w:rsid w:val="0015288D"/>
    <w:rsid w:val="001528A9"/>
    <w:rsid w:val="00155462"/>
    <w:rsid w:val="00164FEE"/>
    <w:rsid w:val="001662C9"/>
    <w:rsid w:val="00170E50"/>
    <w:rsid w:val="00171D80"/>
    <w:rsid w:val="00172112"/>
    <w:rsid w:val="00172679"/>
    <w:rsid w:val="001730AB"/>
    <w:rsid w:val="00174593"/>
    <w:rsid w:val="0017477B"/>
    <w:rsid w:val="0017531C"/>
    <w:rsid w:val="00175C52"/>
    <w:rsid w:val="001806BC"/>
    <w:rsid w:val="001841DD"/>
    <w:rsid w:val="00186C35"/>
    <w:rsid w:val="001879BE"/>
    <w:rsid w:val="00187BA3"/>
    <w:rsid w:val="00187E94"/>
    <w:rsid w:val="00192939"/>
    <w:rsid w:val="001A586E"/>
    <w:rsid w:val="001B0274"/>
    <w:rsid w:val="001B13FE"/>
    <w:rsid w:val="001C1FC5"/>
    <w:rsid w:val="001C2557"/>
    <w:rsid w:val="001C6CF5"/>
    <w:rsid w:val="001D1B42"/>
    <w:rsid w:val="001D24E4"/>
    <w:rsid w:val="001D28F8"/>
    <w:rsid w:val="001D40F8"/>
    <w:rsid w:val="001D484A"/>
    <w:rsid w:val="001E738E"/>
    <w:rsid w:val="001F1449"/>
    <w:rsid w:val="001F4A3C"/>
    <w:rsid w:val="001F4D18"/>
    <w:rsid w:val="001F6712"/>
    <w:rsid w:val="001F7304"/>
    <w:rsid w:val="00207691"/>
    <w:rsid w:val="0020771B"/>
    <w:rsid w:val="002109A2"/>
    <w:rsid w:val="002145F1"/>
    <w:rsid w:val="002165EA"/>
    <w:rsid w:val="0021676E"/>
    <w:rsid w:val="002177F4"/>
    <w:rsid w:val="00221384"/>
    <w:rsid w:val="00222534"/>
    <w:rsid w:val="00222F32"/>
    <w:rsid w:val="00223920"/>
    <w:rsid w:val="00224E89"/>
    <w:rsid w:val="00225AE5"/>
    <w:rsid w:val="00226FB3"/>
    <w:rsid w:val="00227150"/>
    <w:rsid w:val="00231660"/>
    <w:rsid w:val="00231F54"/>
    <w:rsid w:val="00233F79"/>
    <w:rsid w:val="00237C2E"/>
    <w:rsid w:val="002415BA"/>
    <w:rsid w:val="0024417B"/>
    <w:rsid w:val="002451FA"/>
    <w:rsid w:val="0025228A"/>
    <w:rsid w:val="002554A5"/>
    <w:rsid w:val="00255B40"/>
    <w:rsid w:val="00260D24"/>
    <w:rsid w:val="00262CC3"/>
    <w:rsid w:val="00263322"/>
    <w:rsid w:val="002648A0"/>
    <w:rsid w:val="00264C10"/>
    <w:rsid w:val="002651E9"/>
    <w:rsid w:val="002758A4"/>
    <w:rsid w:val="00275A41"/>
    <w:rsid w:val="00284A3D"/>
    <w:rsid w:val="00286C80"/>
    <w:rsid w:val="00290745"/>
    <w:rsid w:val="0029130D"/>
    <w:rsid w:val="002929B1"/>
    <w:rsid w:val="00295E82"/>
    <w:rsid w:val="00296A09"/>
    <w:rsid w:val="002A0C02"/>
    <w:rsid w:val="002A1864"/>
    <w:rsid w:val="002A3EB1"/>
    <w:rsid w:val="002A6E89"/>
    <w:rsid w:val="002A7272"/>
    <w:rsid w:val="002A78D6"/>
    <w:rsid w:val="002B377C"/>
    <w:rsid w:val="002B3AE7"/>
    <w:rsid w:val="002C1557"/>
    <w:rsid w:val="002C165F"/>
    <w:rsid w:val="002C6C01"/>
    <w:rsid w:val="002C7010"/>
    <w:rsid w:val="002D2CF7"/>
    <w:rsid w:val="002E0F4E"/>
    <w:rsid w:val="002E4EFA"/>
    <w:rsid w:val="002E6C4C"/>
    <w:rsid w:val="002F38B6"/>
    <w:rsid w:val="002F4348"/>
    <w:rsid w:val="002F6413"/>
    <w:rsid w:val="002F7719"/>
    <w:rsid w:val="002F7BDD"/>
    <w:rsid w:val="003007A6"/>
    <w:rsid w:val="00301C01"/>
    <w:rsid w:val="003077E7"/>
    <w:rsid w:val="00310C25"/>
    <w:rsid w:val="00310CCB"/>
    <w:rsid w:val="00311757"/>
    <w:rsid w:val="00315A5D"/>
    <w:rsid w:val="0032061E"/>
    <w:rsid w:val="003263CD"/>
    <w:rsid w:val="00327229"/>
    <w:rsid w:val="0033051F"/>
    <w:rsid w:val="00334F6C"/>
    <w:rsid w:val="00337A20"/>
    <w:rsid w:val="00342EE0"/>
    <w:rsid w:val="003430E6"/>
    <w:rsid w:val="003507C3"/>
    <w:rsid w:val="003527A8"/>
    <w:rsid w:val="0035419A"/>
    <w:rsid w:val="00354395"/>
    <w:rsid w:val="00364741"/>
    <w:rsid w:val="0036594F"/>
    <w:rsid w:val="0036727F"/>
    <w:rsid w:val="00370263"/>
    <w:rsid w:val="00370CD1"/>
    <w:rsid w:val="00370DDC"/>
    <w:rsid w:val="003731B6"/>
    <w:rsid w:val="00373FF6"/>
    <w:rsid w:val="0037636A"/>
    <w:rsid w:val="0037752C"/>
    <w:rsid w:val="00381476"/>
    <w:rsid w:val="00382CBD"/>
    <w:rsid w:val="00384B6A"/>
    <w:rsid w:val="0038545E"/>
    <w:rsid w:val="0039190D"/>
    <w:rsid w:val="003A1755"/>
    <w:rsid w:val="003A282F"/>
    <w:rsid w:val="003A3438"/>
    <w:rsid w:val="003B006C"/>
    <w:rsid w:val="003B0404"/>
    <w:rsid w:val="003B1189"/>
    <w:rsid w:val="003B392D"/>
    <w:rsid w:val="003C0FA3"/>
    <w:rsid w:val="003D3A29"/>
    <w:rsid w:val="003D629B"/>
    <w:rsid w:val="003E2397"/>
    <w:rsid w:val="003E254E"/>
    <w:rsid w:val="003E29AE"/>
    <w:rsid w:val="003F0349"/>
    <w:rsid w:val="003F0AA9"/>
    <w:rsid w:val="0040053D"/>
    <w:rsid w:val="00401CD5"/>
    <w:rsid w:val="00402333"/>
    <w:rsid w:val="00406228"/>
    <w:rsid w:val="00407213"/>
    <w:rsid w:val="00410741"/>
    <w:rsid w:val="0041114E"/>
    <w:rsid w:val="004126B6"/>
    <w:rsid w:val="004158BC"/>
    <w:rsid w:val="00416DE5"/>
    <w:rsid w:val="00417BB2"/>
    <w:rsid w:val="00422C46"/>
    <w:rsid w:val="00427B0E"/>
    <w:rsid w:val="00436E18"/>
    <w:rsid w:val="0044093B"/>
    <w:rsid w:val="00441E32"/>
    <w:rsid w:val="00450043"/>
    <w:rsid w:val="00452D51"/>
    <w:rsid w:val="00456685"/>
    <w:rsid w:val="0046092E"/>
    <w:rsid w:val="00467FA0"/>
    <w:rsid w:val="00470887"/>
    <w:rsid w:val="00480B19"/>
    <w:rsid w:val="004810E5"/>
    <w:rsid w:val="0048745A"/>
    <w:rsid w:val="00491073"/>
    <w:rsid w:val="004914BD"/>
    <w:rsid w:val="00493F92"/>
    <w:rsid w:val="00494319"/>
    <w:rsid w:val="0049584C"/>
    <w:rsid w:val="004978B3"/>
    <w:rsid w:val="004A0BA3"/>
    <w:rsid w:val="004A21C0"/>
    <w:rsid w:val="004A4C54"/>
    <w:rsid w:val="004B0669"/>
    <w:rsid w:val="004B1A79"/>
    <w:rsid w:val="004B6FD6"/>
    <w:rsid w:val="004B7BA3"/>
    <w:rsid w:val="004C0214"/>
    <w:rsid w:val="004C0EED"/>
    <w:rsid w:val="004C6DE4"/>
    <w:rsid w:val="004C7535"/>
    <w:rsid w:val="004D11D3"/>
    <w:rsid w:val="004D1B5D"/>
    <w:rsid w:val="004D6B87"/>
    <w:rsid w:val="004E1288"/>
    <w:rsid w:val="004E1D7A"/>
    <w:rsid w:val="004E21F5"/>
    <w:rsid w:val="004E5E50"/>
    <w:rsid w:val="004F0134"/>
    <w:rsid w:val="004F02C5"/>
    <w:rsid w:val="004F33C9"/>
    <w:rsid w:val="004F413D"/>
    <w:rsid w:val="004F4F24"/>
    <w:rsid w:val="004F5DB8"/>
    <w:rsid w:val="00500036"/>
    <w:rsid w:val="00500503"/>
    <w:rsid w:val="005008F9"/>
    <w:rsid w:val="005208A0"/>
    <w:rsid w:val="0052193F"/>
    <w:rsid w:val="005219AF"/>
    <w:rsid w:val="0052462B"/>
    <w:rsid w:val="0052679E"/>
    <w:rsid w:val="005309A0"/>
    <w:rsid w:val="0053255E"/>
    <w:rsid w:val="00533994"/>
    <w:rsid w:val="00537471"/>
    <w:rsid w:val="00542A92"/>
    <w:rsid w:val="00546683"/>
    <w:rsid w:val="00547B9F"/>
    <w:rsid w:val="005540E9"/>
    <w:rsid w:val="00554450"/>
    <w:rsid w:val="0055489A"/>
    <w:rsid w:val="005627B3"/>
    <w:rsid w:val="00562845"/>
    <w:rsid w:val="0056368F"/>
    <w:rsid w:val="00566FC8"/>
    <w:rsid w:val="005708CB"/>
    <w:rsid w:val="00571482"/>
    <w:rsid w:val="00574AC0"/>
    <w:rsid w:val="00577102"/>
    <w:rsid w:val="00577A16"/>
    <w:rsid w:val="00581D97"/>
    <w:rsid w:val="00582F29"/>
    <w:rsid w:val="00583004"/>
    <w:rsid w:val="005964D1"/>
    <w:rsid w:val="005B0324"/>
    <w:rsid w:val="005B03CD"/>
    <w:rsid w:val="005B6D15"/>
    <w:rsid w:val="005B7062"/>
    <w:rsid w:val="005C0C1F"/>
    <w:rsid w:val="005C5D2F"/>
    <w:rsid w:val="005C7090"/>
    <w:rsid w:val="005C7877"/>
    <w:rsid w:val="005D0A68"/>
    <w:rsid w:val="005D1576"/>
    <w:rsid w:val="005D4E90"/>
    <w:rsid w:val="005E0272"/>
    <w:rsid w:val="005F2D66"/>
    <w:rsid w:val="005F3BE6"/>
    <w:rsid w:val="005F668D"/>
    <w:rsid w:val="00601A93"/>
    <w:rsid w:val="0060554D"/>
    <w:rsid w:val="00613DB8"/>
    <w:rsid w:val="00621E4D"/>
    <w:rsid w:val="00624531"/>
    <w:rsid w:val="006250AC"/>
    <w:rsid w:val="0062583E"/>
    <w:rsid w:val="006278EC"/>
    <w:rsid w:val="006364D5"/>
    <w:rsid w:val="0064071E"/>
    <w:rsid w:val="006425FF"/>
    <w:rsid w:val="006446FF"/>
    <w:rsid w:val="00644EAD"/>
    <w:rsid w:val="00646497"/>
    <w:rsid w:val="00651480"/>
    <w:rsid w:val="006534F0"/>
    <w:rsid w:val="00653525"/>
    <w:rsid w:val="00655C97"/>
    <w:rsid w:val="006619AD"/>
    <w:rsid w:val="0066485C"/>
    <w:rsid w:val="0066501C"/>
    <w:rsid w:val="00665A6C"/>
    <w:rsid w:val="0066740A"/>
    <w:rsid w:val="00684975"/>
    <w:rsid w:val="0068676A"/>
    <w:rsid w:val="00690549"/>
    <w:rsid w:val="00691CAB"/>
    <w:rsid w:val="006A5F00"/>
    <w:rsid w:val="006B7D24"/>
    <w:rsid w:val="006C0C64"/>
    <w:rsid w:val="006C7FA2"/>
    <w:rsid w:val="006E0A80"/>
    <w:rsid w:val="006E172F"/>
    <w:rsid w:val="006E7E66"/>
    <w:rsid w:val="006F268F"/>
    <w:rsid w:val="006F29CD"/>
    <w:rsid w:val="00702D8D"/>
    <w:rsid w:val="00710116"/>
    <w:rsid w:val="0072160B"/>
    <w:rsid w:val="00721F93"/>
    <w:rsid w:val="0072572C"/>
    <w:rsid w:val="0072615F"/>
    <w:rsid w:val="00731C0C"/>
    <w:rsid w:val="00734F33"/>
    <w:rsid w:val="0073613A"/>
    <w:rsid w:val="00737866"/>
    <w:rsid w:val="00745458"/>
    <w:rsid w:val="00751BA1"/>
    <w:rsid w:val="0075206A"/>
    <w:rsid w:val="00754DD3"/>
    <w:rsid w:val="0075793D"/>
    <w:rsid w:val="00766BB2"/>
    <w:rsid w:val="00767A1C"/>
    <w:rsid w:val="007717F3"/>
    <w:rsid w:val="0077688A"/>
    <w:rsid w:val="007838A4"/>
    <w:rsid w:val="00783CF6"/>
    <w:rsid w:val="00784F06"/>
    <w:rsid w:val="007936C4"/>
    <w:rsid w:val="007A11DE"/>
    <w:rsid w:val="007A1AC4"/>
    <w:rsid w:val="007A344D"/>
    <w:rsid w:val="007A52E6"/>
    <w:rsid w:val="007A7C4E"/>
    <w:rsid w:val="007B6060"/>
    <w:rsid w:val="007B620C"/>
    <w:rsid w:val="007B772C"/>
    <w:rsid w:val="007C1A8B"/>
    <w:rsid w:val="007C1C15"/>
    <w:rsid w:val="007C3C41"/>
    <w:rsid w:val="007D42AC"/>
    <w:rsid w:val="007E1018"/>
    <w:rsid w:val="007E429F"/>
    <w:rsid w:val="007E7369"/>
    <w:rsid w:val="007F0356"/>
    <w:rsid w:val="007F2CD8"/>
    <w:rsid w:val="007F3D41"/>
    <w:rsid w:val="007F529C"/>
    <w:rsid w:val="007F707A"/>
    <w:rsid w:val="0080004F"/>
    <w:rsid w:val="008001E4"/>
    <w:rsid w:val="008141CB"/>
    <w:rsid w:val="00831EAA"/>
    <w:rsid w:val="00834AEB"/>
    <w:rsid w:val="008358AE"/>
    <w:rsid w:val="008358F4"/>
    <w:rsid w:val="008371F9"/>
    <w:rsid w:val="00841FEF"/>
    <w:rsid w:val="00851089"/>
    <w:rsid w:val="00861F2F"/>
    <w:rsid w:val="008679B5"/>
    <w:rsid w:val="00870BD1"/>
    <w:rsid w:val="008762E9"/>
    <w:rsid w:val="00877EF5"/>
    <w:rsid w:val="00880FB4"/>
    <w:rsid w:val="00887BF1"/>
    <w:rsid w:val="00890B9B"/>
    <w:rsid w:val="00890C4B"/>
    <w:rsid w:val="00895771"/>
    <w:rsid w:val="008964CF"/>
    <w:rsid w:val="00897B91"/>
    <w:rsid w:val="008A0131"/>
    <w:rsid w:val="008A24EB"/>
    <w:rsid w:val="008A2747"/>
    <w:rsid w:val="008A39E5"/>
    <w:rsid w:val="008B0A4A"/>
    <w:rsid w:val="008B2148"/>
    <w:rsid w:val="008C0296"/>
    <w:rsid w:val="008C63AF"/>
    <w:rsid w:val="008D35C0"/>
    <w:rsid w:val="008D6C00"/>
    <w:rsid w:val="008D6F8C"/>
    <w:rsid w:val="008E0B71"/>
    <w:rsid w:val="008E1B7D"/>
    <w:rsid w:val="008E1EF9"/>
    <w:rsid w:val="00900E2F"/>
    <w:rsid w:val="00906BDC"/>
    <w:rsid w:val="00910303"/>
    <w:rsid w:val="009103C4"/>
    <w:rsid w:val="00911FEB"/>
    <w:rsid w:val="0091604A"/>
    <w:rsid w:val="00924161"/>
    <w:rsid w:val="009318D0"/>
    <w:rsid w:val="009359F4"/>
    <w:rsid w:val="00935A5F"/>
    <w:rsid w:val="009423C8"/>
    <w:rsid w:val="00946706"/>
    <w:rsid w:val="009470C1"/>
    <w:rsid w:val="00955421"/>
    <w:rsid w:val="009572F3"/>
    <w:rsid w:val="0097294B"/>
    <w:rsid w:val="00973E2C"/>
    <w:rsid w:val="00985FE3"/>
    <w:rsid w:val="00987CCD"/>
    <w:rsid w:val="00991BF8"/>
    <w:rsid w:val="009A5B55"/>
    <w:rsid w:val="009A6517"/>
    <w:rsid w:val="009B4039"/>
    <w:rsid w:val="009B44B4"/>
    <w:rsid w:val="009B5ED4"/>
    <w:rsid w:val="009B77D9"/>
    <w:rsid w:val="009C0364"/>
    <w:rsid w:val="009C6B5A"/>
    <w:rsid w:val="009D018C"/>
    <w:rsid w:val="009D1643"/>
    <w:rsid w:val="009D699D"/>
    <w:rsid w:val="009E2C2B"/>
    <w:rsid w:val="009E610C"/>
    <w:rsid w:val="009E685D"/>
    <w:rsid w:val="009E748A"/>
    <w:rsid w:val="009F06D5"/>
    <w:rsid w:val="009F2091"/>
    <w:rsid w:val="009F5D92"/>
    <w:rsid w:val="009F6196"/>
    <w:rsid w:val="009F6558"/>
    <w:rsid w:val="00A00617"/>
    <w:rsid w:val="00A054AC"/>
    <w:rsid w:val="00A07386"/>
    <w:rsid w:val="00A07851"/>
    <w:rsid w:val="00A14C97"/>
    <w:rsid w:val="00A16AAE"/>
    <w:rsid w:val="00A16E51"/>
    <w:rsid w:val="00A1724E"/>
    <w:rsid w:val="00A26422"/>
    <w:rsid w:val="00A30721"/>
    <w:rsid w:val="00A311CB"/>
    <w:rsid w:val="00A43CE5"/>
    <w:rsid w:val="00A45A63"/>
    <w:rsid w:val="00A46466"/>
    <w:rsid w:val="00A519D4"/>
    <w:rsid w:val="00A538AA"/>
    <w:rsid w:val="00A53CD4"/>
    <w:rsid w:val="00A54C2B"/>
    <w:rsid w:val="00A54E67"/>
    <w:rsid w:val="00A55F6F"/>
    <w:rsid w:val="00A571EA"/>
    <w:rsid w:val="00A577FB"/>
    <w:rsid w:val="00A60C8A"/>
    <w:rsid w:val="00A6362A"/>
    <w:rsid w:val="00A66002"/>
    <w:rsid w:val="00A70F44"/>
    <w:rsid w:val="00A75075"/>
    <w:rsid w:val="00A81848"/>
    <w:rsid w:val="00A83192"/>
    <w:rsid w:val="00A836D8"/>
    <w:rsid w:val="00A84901"/>
    <w:rsid w:val="00A850F7"/>
    <w:rsid w:val="00A8531D"/>
    <w:rsid w:val="00A859D3"/>
    <w:rsid w:val="00A869FA"/>
    <w:rsid w:val="00A86E5F"/>
    <w:rsid w:val="00A87256"/>
    <w:rsid w:val="00A91645"/>
    <w:rsid w:val="00A9169E"/>
    <w:rsid w:val="00A93FEC"/>
    <w:rsid w:val="00A9496B"/>
    <w:rsid w:val="00AA49EC"/>
    <w:rsid w:val="00AA6871"/>
    <w:rsid w:val="00AB384B"/>
    <w:rsid w:val="00AB3FBF"/>
    <w:rsid w:val="00AB6FCB"/>
    <w:rsid w:val="00AD6B12"/>
    <w:rsid w:val="00AE3406"/>
    <w:rsid w:val="00AE5DB2"/>
    <w:rsid w:val="00AF3168"/>
    <w:rsid w:val="00AF7684"/>
    <w:rsid w:val="00B006A6"/>
    <w:rsid w:val="00B02E17"/>
    <w:rsid w:val="00B0402F"/>
    <w:rsid w:val="00B0429E"/>
    <w:rsid w:val="00B0565A"/>
    <w:rsid w:val="00B075C5"/>
    <w:rsid w:val="00B104EF"/>
    <w:rsid w:val="00B119C4"/>
    <w:rsid w:val="00B145CD"/>
    <w:rsid w:val="00B153FC"/>
    <w:rsid w:val="00B1654B"/>
    <w:rsid w:val="00B16826"/>
    <w:rsid w:val="00B20852"/>
    <w:rsid w:val="00B21452"/>
    <w:rsid w:val="00B23363"/>
    <w:rsid w:val="00B264A8"/>
    <w:rsid w:val="00B46390"/>
    <w:rsid w:val="00B468B9"/>
    <w:rsid w:val="00B50CBE"/>
    <w:rsid w:val="00B5143A"/>
    <w:rsid w:val="00B53E1F"/>
    <w:rsid w:val="00B57ECE"/>
    <w:rsid w:val="00B61B7C"/>
    <w:rsid w:val="00B6445C"/>
    <w:rsid w:val="00B65A2B"/>
    <w:rsid w:val="00B66D8E"/>
    <w:rsid w:val="00B67E79"/>
    <w:rsid w:val="00B71D31"/>
    <w:rsid w:val="00B735CC"/>
    <w:rsid w:val="00B7479D"/>
    <w:rsid w:val="00B8195D"/>
    <w:rsid w:val="00B81BDA"/>
    <w:rsid w:val="00B8218A"/>
    <w:rsid w:val="00B8401B"/>
    <w:rsid w:val="00B8507B"/>
    <w:rsid w:val="00B8782E"/>
    <w:rsid w:val="00B93069"/>
    <w:rsid w:val="00B977D9"/>
    <w:rsid w:val="00BA021B"/>
    <w:rsid w:val="00BA157E"/>
    <w:rsid w:val="00BA1BF7"/>
    <w:rsid w:val="00BA2398"/>
    <w:rsid w:val="00BA46B4"/>
    <w:rsid w:val="00BB661F"/>
    <w:rsid w:val="00BB7C62"/>
    <w:rsid w:val="00BC002F"/>
    <w:rsid w:val="00BC0F0B"/>
    <w:rsid w:val="00BC3865"/>
    <w:rsid w:val="00BC4424"/>
    <w:rsid w:val="00BD1243"/>
    <w:rsid w:val="00BD18AE"/>
    <w:rsid w:val="00BD29D0"/>
    <w:rsid w:val="00BD30F5"/>
    <w:rsid w:val="00BD6E2A"/>
    <w:rsid w:val="00BE5694"/>
    <w:rsid w:val="00BE5D4B"/>
    <w:rsid w:val="00BE61A4"/>
    <w:rsid w:val="00BF1B99"/>
    <w:rsid w:val="00BF3A59"/>
    <w:rsid w:val="00BF66A0"/>
    <w:rsid w:val="00C00522"/>
    <w:rsid w:val="00C028CF"/>
    <w:rsid w:val="00C05F48"/>
    <w:rsid w:val="00C10D41"/>
    <w:rsid w:val="00C12369"/>
    <w:rsid w:val="00C12988"/>
    <w:rsid w:val="00C13062"/>
    <w:rsid w:val="00C20DD2"/>
    <w:rsid w:val="00C2583B"/>
    <w:rsid w:val="00C346EB"/>
    <w:rsid w:val="00C34847"/>
    <w:rsid w:val="00C4413A"/>
    <w:rsid w:val="00C452E1"/>
    <w:rsid w:val="00C4630C"/>
    <w:rsid w:val="00C46D9C"/>
    <w:rsid w:val="00C50E9F"/>
    <w:rsid w:val="00C57AE8"/>
    <w:rsid w:val="00C6020A"/>
    <w:rsid w:val="00C63686"/>
    <w:rsid w:val="00C64019"/>
    <w:rsid w:val="00C6417C"/>
    <w:rsid w:val="00C65E68"/>
    <w:rsid w:val="00C67F47"/>
    <w:rsid w:val="00C7219D"/>
    <w:rsid w:val="00C76650"/>
    <w:rsid w:val="00C85536"/>
    <w:rsid w:val="00C85A73"/>
    <w:rsid w:val="00CA697A"/>
    <w:rsid w:val="00CB24B9"/>
    <w:rsid w:val="00CB29F4"/>
    <w:rsid w:val="00CB562F"/>
    <w:rsid w:val="00CB68F0"/>
    <w:rsid w:val="00CB6FFD"/>
    <w:rsid w:val="00CB71DA"/>
    <w:rsid w:val="00CC29B1"/>
    <w:rsid w:val="00CC5156"/>
    <w:rsid w:val="00CC5BAC"/>
    <w:rsid w:val="00CC7701"/>
    <w:rsid w:val="00CC7927"/>
    <w:rsid w:val="00CD2797"/>
    <w:rsid w:val="00CD5AF9"/>
    <w:rsid w:val="00CD6F79"/>
    <w:rsid w:val="00CD75E6"/>
    <w:rsid w:val="00CD77AA"/>
    <w:rsid w:val="00CE0D10"/>
    <w:rsid w:val="00CE5672"/>
    <w:rsid w:val="00CF18C6"/>
    <w:rsid w:val="00CF40B6"/>
    <w:rsid w:val="00CF74E8"/>
    <w:rsid w:val="00D051CB"/>
    <w:rsid w:val="00D07C36"/>
    <w:rsid w:val="00D2153B"/>
    <w:rsid w:val="00D2226B"/>
    <w:rsid w:val="00D234C0"/>
    <w:rsid w:val="00D239A9"/>
    <w:rsid w:val="00D2547D"/>
    <w:rsid w:val="00D254F2"/>
    <w:rsid w:val="00D27637"/>
    <w:rsid w:val="00D3063E"/>
    <w:rsid w:val="00D41455"/>
    <w:rsid w:val="00D43181"/>
    <w:rsid w:val="00D570F8"/>
    <w:rsid w:val="00D61017"/>
    <w:rsid w:val="00D64562"/>
    <w:rsid w:val="00D67C73"/>
    <w:rsid w:val="00D67F1D"/>
    <w:rsid w:val="00D70CEE"/>
    <w:rsid w:val="00D74813"/>
    <w:rsid w:val="00D75819"/>
    <w:rsid w:val="00D84C86"/>
    <w:rsid w:val="00D90134"/>
    <w:rsid w:val="00D94D5C"/>
    <w:rsid w:val="00D95919"/>
    <w:rsid w:val="00D96EAB"/>
    <w:rsid w:val="00D977B1"/>
    <w:rsid w:val="00DB0D55"/>
    <w:rsid w:val="00DB3CA8"/>
    <w:rsid w:val="00DC1F88"/>
    <w:rsid w:val="00DD1DA2"/>
    <w:rsid w:val="00DD28C7"/>
    <w:rsid w:val="00DE3D5E"/>
    <w:rsid w:val="00DF14AA"/>
    <w:rsid w:val="00E0145A"/>
    <w:rsid w:val="00E031C8"/>
    <w:rsid w:val="00E10DBD"/>
    <w:rsid w:val="00E136D2"/>
    <w:rsid w:val="00E1372A"/>
    <w:rsid w:val="00E2056B"/>
    <w:rsid w:val="00E242EE"/>
    <w:rsid w:val="00E3070F"/>
    <w:rsid w:val="00E30AEE"/>
    <w:rsid w:val="00E379AE"/>
    <w:rsid w:val="00E4137C"/>
    <w:rsid w:val="00E43B8B"/>
    <w:rsid w:val="00E45784"/>
    <w:rsid w:val="00E45C65"/>
    <w:rsid w:val="00E55C77"/>
    <w:rsid w:val="00E5751F"/>
    <w:rsid w:val="00E606F0"/>
    <w:rsid w:val="00E61655"/>
    <w:rsid w:val="00E61A9E"/>
    <w:rsid w:val="00E633CA"/>
    <w:rsid w:val="00E65564"/>
    <w:rsid w:val="00E706D7"/>
    <w:rsid w:val="00E77557"/>
    <w:rsid w:val="00E84B78"/>
    <w:rsid w:val="00E85B04"/>
    <w:rsid w:val="00E93A18"/>
    <w:rsid w:val="00EA5B5D"/>
    <w:rsid w:val="00EB2B59"/>
    <w:rsid w:val="00EB65C9"/>
    <w:rsid w:val="00EB78B2"/>
    <w:rsid w:val="00EB7A26"/>
    <w:rsid w:val="00EC0391"/>
    <w:rsid w:val="00EC281E"/>
    <w:rsid w:val="00EC4C5A"/>
    <w:rsid w:val="00EC65E0"/>
    <w:rsid w:val="00ED1886"/>
    <w:rsid w:val="00ED3198"/>
    <w:rsid w:val="00ED3575"/>
    <w:rsid w:val="00ED5598"/>
    <w:rsid w:val="00ED7E2B"/>
    <w:rsid w:val="00EE59C2"/>
    <w:rsid w:val="00EF12B9"/>
    <w:rsid w:val="00EF12FD"/>
    <w:rsid w:val="00F02F1F"/>
    <w:rsid w:val="00F037C8"/>
    <w:rsid w:val="00F040F8"/>
    <w:rsid w:val="00F109FA"/>
    <w:rsid w:val="00F12200"/>
    <w:rsid w:val="00F201E7"/>
    <w:rsid w:val="00F331C1"/>
    <w:rsid w:val="00F43101"/>
    <w:rsid w:val="00F533A5"/>
    <w:rsid w:val="00F569D1"/>
    <w:rsid w:val="00F5789A"/>
    <w:rsid w:val="00F64BD2"/>
    <w:rsid w:val="00F6558C"/>
    <w:rsid w:val="00F756F0"/>
    <w:rsid w:val="00F76439"/>
    <w:rsid w:val="00F8063E"/>
    <w:rsid w:val="00F807A4"/>
    <w:rsid w:val="00F80DBE"/>
    <w:rsid w:val="00F81529"/>
    <w:rsid w:val="00F81776"/>
    <w:rsid w:val="00F81854"/>
    <w:rsid w:val="00F8226D"/>
    <w:rsid w:val="00F82F9F"/>
    <w:rsid w:val="00F90660"/>
    <w:rsid w:val="00FA47CA"/>
    <w:rsid w:val="00FC18FB"/>
    <w:rsid w:val="00FC31C8"/>
    <w:rsid w:val="00FC49E2"/>
    <w:rsid w:val="00FC6F6E"/>
    <w:rsid w:val="00FC7C18"/>
    <w:rsid w:val="00FD4952"/>
    <w:rsid w:val="00FD5997"/>
    <w:rsid w:val="00FD701B"/>
    <w:rsid w:val="00FF2C1A"/>
    <w:rsid w:val="00FF3697"/>
    <w:rsid w:val="00FF4D6F"/>
    <w:rsid w:val="00FF7C87"/>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05AC90"/>
  <w15:docId w15:val="{726741E1-1F7E-F24F-BF4B-AB471F640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iPriority="0" w:unhideWhenUsed="1" w:qFormat="1"/>
    <w:lsdException w:name="footer" w:semiHidden="1" w:uiPriority="0"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aliases w:val="Термины"/>
    <w:qFormat/>
    <w:rsid w:val="000709E2"/>
    <w:pPr>
      <w:spacing w:line="360" w:lineRule="auto"/>
      <w:ind w:firstLine="709"/>
      <w:jc w:val="both"/>
    </w:pPr>
    <w:rPr>
      <w:rFonts w:ascii="Times New Roman" w:hAnsi="Times New Roman"/>
      <w:sz w:val="24"/>
    </w:rPr>
  </w:style>
  <w:style w:type="paragraph" w:styleId="11">
    <w:name w:val="heading 1"/>
    <w:basedOn w:val="2"/>
    <w:link w:val="12"/>
    <w:qFormat/>
    <w:rsid w:val="00183653"/>
    <w:pPr>
      <w:ind w:firstLine="0"/>
      <w:outlineLvl w:val="0"/>
    </w:pPr>
  </w:style>
  <w:style w:type="paragraph" w:styleId="2">
    <w:name w:val="heading 2"/>
    <w:aliases w:val="Наим. подраздела"/>
    <w:basedOn w:val="a2"/>
    <w:link w:val="20"/>
    <w:unhideWhenUsed/>
    <w:qFormat/>
    <w:rsid w:val="002F7719"/>
    <w:pPr>
      <w:outlineLvl w:val="1"/>
    </w:pPr>
  </w:style>
  <w:style w:type="paragraph" w:styleId="3">
    <w:name w:val="heading 3"/>
    <w:basedOn w:val="a1"/>
    <w:next w:val="a1"/>
    <w:link w:val="30"/>
    <w:unhideWhenUsed/>
    <w:qFormat/>
    <w:rsid w:val="001C2557"/>
    <w:pPr>
      <w:keepNext/>
      <w:keepLines/>
      <w:spacing w:before="40"/>
      <w:outlineLvl w:val="2"/>
    </w:pPr>
    <w:rPr>
      <w:rFonts w:asciiTheme="majorHAnsi" w:eastAsiaTheme="majorEastAsia" w:hAnsiTheme="majorHAnsi" w:cstheme="majorBidi"/>
      <w:color w:val="1F4D78" w:themeColor="accent1" w:themeShade="7F"/>
      <w:szCs w:val="24"/>
    </w:rPr>
  </w:style>
  <w:style w:type="paragraph" w:styleId="4">
    <w:name w:val="heading 4"/>
    <w:basedOn w:val="a1"/>
    <w:next w:val="a1"/>
    <w:link w:val="40"/>
    <w:qFormat/>
    <w:rsid w:val="00B61B7C"/>
    <w:pPr>
      <w:keepNext/>
      <w:keepLines/>
      <w:spacing w:before="40" w:line="288" w:lineRule="auto"/>
      <w:ind w:firstLine="567"/>
      <w:outlineLvl w:val="3"/>
    </w:pPr>
    <w:rPr>
      <w:rFonts w:ascii="Calibri Light" w:eastAsia="Times New Roman" w:hAnsi="Calibri Light" w:cs="Times New Roman"/>
      <w:i/>
      <w:iCs/>
      <w:color w:val="2E74B5"/>
      <w:sz w:val="22"/>
    </w:rPr>
  </w:style>
  <w:style w:type="paragraph" w:styleId="5">
    <w:name w:val="heading 5"/>
    <w:basedOn w:val="a1"/>
    <w:next w:val="a1"/>
    <w:link w:val="50"/>
    <w:qFormat/>
    <w:rsid w:val="00B61B7C"/>
    <w:pPr>
      <w:keepNext/>
      <w:keepLines/>
      <w:spacing w:before="200" w:line="288" w:lineRule="auto"/>
      <w:ind w:firstLine="567"/>
      <w:outlineLvl w:val="4"/>
    </w:pPr>
    <w:rPr>
      <w:rFonts w:ascii="Calibri Light" w:eastAsia="Times New Roman" w:hAnsi="Calibri Light" w:cs="Times New Roman"/>
      <w:color w:val="1F4D78"/>
      <w:sz w:val="22"/>
    </w:rPr>
  </w:style>
  <w:style w:type="paragraph" w:styleId="6">
    <w:name w:val="heading 6"/>
    <w:basedOn w:val="a1"/>
    <w:next w:val="a1"/>
    <w:link w:val="60"/>
    <w:qFormat/>
    <w:rsid w:val="00B61B7C"/>
    <w:pPr>
      <w:keepNext/>
      <w:autoSpaceDE w:val="0"/>
      <w:autoSpaceDN w:val="0"/>
      <w:adjustRightInd w:val="0"/>
      <w:spacing w:line="480" w:lineRule="auto"/>
      <w:jc w:val="left"/>
      <w:outlineLvl w:val="5"/>
    </w:pPr>
    <w:rPr>
      <w:rFonts w:eastAsia="Times New Roman" w:cs="Times New Roman"/>
      <w:i/>
      <w:iCs/>
      <w:szCs w:val="24"/>
      <w:lang w:val="en-US" w:eastAsia="ru-RU"/>
    </w:rPr>
  </w:style>
  <w:style w:type="paragraph" w:styleId="7">
    <w:name w:val="heading 7"/>
    <w:basedOn w:val="a1"/>
    <w:next w:val="a1"/>
    <w:link w:val="70"/>
    <w:qFormat/>
    <w:rsid w:val="00B61B7C"/>
    <w:pPr>
      <w:keepNext/>
      <w:autoSpaceDE w:val="0"/>
      <w:autoSpaceDN w:val="0"/>
      <w:adjustRightInd w:val="0"/>
      <w:jc w:val="left"/>
      <w:outlineLvl w:val="6"/>
    </w:pPr>
    <w:rPr>
      <w:rFonts w:ascii="Arial" w:eastAsia="Times New Roman" w:hAnsi="Arial" w:cs="Arial"/>
      <w:b/>
      <w:bCs/>
      <w:sz w:val="28"/>
      <w:szCs w:val="28"/>
      <w:lang w:eastAsia="ru-RU"/>
    </w:rPr>
  </w:style>
  <w:style w:type="paragraph" w:styleId="8">
    <w:name w:val="heading 8"/>
    <w:basedOn w:val="a1"/>
    <w:next w:val="a1"/>
    <w:link w:val="80"/>
    <w:qFormat/>
    <w:rsid w:val="00124A26"/>
    <w:pPr>
      <w:keepNext/>
      <w:keepLines/>
      <w:spacing w:before="200" w:line="240" w:lineRule="auto"/>
      <w:ind w:firstLine="0"/>
      <w:jc w:val="left"/>
      <w:outlineLvl w:val="7"/>
    </w:pPr>
    <w:rPr>
      <w:rFonts w:ascii="Calibri" w:eastAsia="SimSun" w:hAnsi="Calibri" w:cs="Times New Roman"/>
      <w:color w:val="6F6F74"/>
      <w:sz w:val="20"/>
      <w:szCs w:val="20"/>
      <w:lang w:eastAsia="ru-RU"/>
    </w:rPr>
  </w:style>
  <w:style w:type="paragraph" w:styleId="9">
    <w:name w:val="heading 9"/>
    <w:basedOn w:val="a1"/>
    <w:next w:val="a1"/>
    <w:link w:val="90"/>
    <w:qFormat/>
    <w:rsid w:val="00124A26"/>
    <w:pPr>
      <w:keepNext/>
      <w:keepLines/>
      <w:spacing w:before="200" w:line="240" w:lineRule="auto"/>
      <w:ind w:firstLine="0"/>
      <w:jc w:val="left"/>
      <w:outlineLvl w:val="8"/>
    </w:pPr>
    <w:rPr>
      <w:rFonts w:ascii="Calibri" w:eastAsia="SimSun" w:hAnsi="Calibri" w:cs="Times New Roman"/>
      <w:i/>
      <w:iCs/>
      <w:color w:val="404040"/>
      <w:sz w:val="20"/>
      <w:szCs w:val="20"/>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a6">
    <w:name w:val="Верхний колонтитул Знак"/>
    <w:basedOn w:val="a3"/>
    <w:rsid w:val="00C15E9F"/>
  </w:style>
  <w:style w:type="character" w:customStyle="1" w:styleId="a7">
    <w:name w:val="Нижний колонтитул Знак"/>
    <w:basedOn w:val="a3"/>
    <w:rsid w:val="00C15E9F"/>
  </w:style>
  <w:style w:type="character" w:customStyle="1" w:styleId="apple-converted-space">
    <w:name w:val="apple-converted-space"/>
    <w:basedOn w:val="a3"/>
    <w:rsid w:val="004B3C53"/>
  </w:style>
  <w:style w:type="character" w:customStyle="1" w:styleId="-">
    <w:name w:val="Интернет-ссылка"/>
    <w:basedOn w:val="a3"/>
    <w:uiPriority w:val="99"/>
    <w:unhideWhenUsed/>
    <w:rsid w:val="004B3C53"/>
    <w:rPr>
      <w:color w:val="0000FF"/>
      <w:u w:val="single"/>
    </w:rPr>
  </w:style>
  <w:style w:type="character" w:customStyle="1" w:styleId="12">
    <w:name w:val="Заголовок 1 Знак"/>
    <w:basedOn w:val="a3"/>
    <w:link w:val="11"/>
    <w:qFormat/>
    <w:rsid w:val="00183653"/>
    <w:rPr>
      <w:rFonts w:ascii="Times New Roman" w:hAnsi="Times New Roman" w:cs="Times New Roman"/>
      <w:b/>
      <w:sz w:val="24"/>
      <w:szCs w:val="24"/>
      <w:u w:val="single"/>
    </w:rPr>
  </w:style>
  <w:style w:type="character" w:customStyle="1" w:styleId="a8">
    <w:name w:val="Текст выноски Знак"/>
    <w:basedOn w:val="a3"/>
    <w:uiPriority w:val="99"/>
    <w:qFormat/>
    <w:rsid w:val="00E9341B"/>
    <w:rPr>
      <w:rFonts w:ascii="Tahoma" w:hAnsi="Tahoma" w:cs="Tahoma"/>
      <w:sz w:val="16"/>
      <w:szCs w:val="16"/>
    </w:rPr>
  </w:style>
  <w:style w:type="character" w:customStyle="1" w:styleId="a9">
    <w:name w:val="Подзаголовок Знак"/>
    <w:basedOn w:val="a3"/>
    <w:uiPriority w:val="11"/>
    <w:rsid w:val="00181EC4"/>
    <w:rPr>
      <w:rFonts w:ascii="Times New Roman" w:hAnsi="Times New Roman" w:cs="Times New Roman"/>
      <w:b/>
      <w:sz w:val="24"/>
      <w:szCs w:val="24"/>
      <w:u w:val="single"/>
    </w:rPr>
  </w:style>
  <w:style w:type="character" w:styleId="aa">
    <w:name w:val="Subtle Reference"/>
    <w:uiPriority w:val="31"/>
    <w:qFormat/>
    <w:rsid w:val="00181EC4"/>
    <w:rPr>
      <w:rFonts w:ascii="Times New Roman" w:hAnsi="Times New Roman" w:cs="Times New Roman"/>
      <w:b/>
      <w:sz w:val="24"/>
      <w:szCs w:val="24"/>
    </w:rPr>
  </w:style>
  <w:style w:type="character" w:customStyle="1" w:styleId="ab">
    <w:name w:val="Абзац списка Знак"/>
    <w:basedOn w:val="a3"/>
    <w:uiPriority w:val="34"/>
    <w:rsid w:val="00300F50"/>
  </w:style>
  <w:style w:type="character" w:customStyle="1" w:styleId="ac">
    <w:name w:val="Без интервала Знак"/>
    <w:basedOn w:val="ab"/>
    <w:uiPriority w:val="1"/>
    <w:rsid w:val="008B1499"/>
    <w:rPr>
      <w:rFonts w:ascii="Times New Roman" w:hAnsi="Times New Roman" w:cs="Times New Roman"/>
      <w:sz w:val="24"/>
      <w:szCs w:val="24"/>
    </w:rPr>
  </w:style>
  <w:style w:type="character" w:customStyle="1" w:styleId="ad">
    <w:name w:val="УД Знак"/>
    <w:basedOn w:val="ac"/>
    <w:rsid w:val="00300F50"/>
    <w:rPr>
      <w:rFonts w:ascii="Times New Roman" w:hAnsi="Times New Roman" w:cs="Times New Roman"/>
      <w:b/>
      <w:sz w:val="24"/>
      <w:szCs w:val="24"/>
    </w:rPr>
  </w:style>
  <w:style w:type="character" w:customStyle="1" w:styleId="ae">
    <w:name w:val="Ком Знак"/>
    <w:basedOn w:val="ab"/>
    <w:rsid w:val="008B1499"/>
    <w:rPr>
      <w:rFonts w:ascii="Times New Roman" w:hAnsi="Times New Roman" w:cs="Times New Roman"/>
      <w:i/>
      <w:sz w:val="24"/>
      <w:szCs w:val="24"/>
    </w:rPr>
  </w:style>
  <w:style w:type="character" w:styleId="af">
    <w:name w:val="annotation reference"/>
    <w:basedOn w:val="a3"/>
    <w:unhideWhenUsed/>
    <w:qFormat/>
    <w:rsid w:val="009C1F13"/>
    <w:rPr>
      <w:sz w:val="16"/>
      <w:szCs w:val="16"/>
    </w:rPr>
  </w:style>
  <w:style w:type="character" w:customStyle="1" w:styleId="af0">
    <w:name w:val="Текст примечания Знак"/>
    <w:basedOn w:val="a3"/>
    <w:uiPriority w:val="99"/>
    <w:qFormat/>
    <w:rsid w:val="009C1F13"/>
    <w:rPr>
      <w:rFonts w:ascii="Times New Roman" w:hAnsi="Times New Roman"/>
      <w:sz w:val="20"/>
      <w:szCs w:val="20"/>
    </w:rPr>
  </w:style>
  <w:style w:type="character" w:customStyle="1" w:styleId="af1">
    <w:name w:val="Тема примечания Знак"/>
    <w:basedOn w:val="af0"/>
    <w:uiPriority w:val="99"/>
    <w:qFormat/>
    <w:rsid w:val="009C1F13"/>
    <w:rPr>
      <w:rFonts w:ascii="Times New Roman" w:hAnsi="Times New Roman"/>
      <w:b/>
      <w:bCs/>
      <w:sz w:val="20"/>
      <w:szCs w:val="20"/>
    </w:rPr>
  </w:style>
  <w:style w:type="character" w:customStyle="1" w:styleId="af2">
    <w:name w:val="Название Знак"/>
    <w:basedOn w:val="a3"/>
    <w:rsid w:val="00A43933"/>
    <w:rPr>
      <w:rFonts w:ascii="Times New Roman" w:eastAsiaTheme="majorEastAsia" w:hAnsi="Times New Roman" w:cstheme="majorBidi"/>
      <w:spacing w:val="-10"/>
      <w:sz w:val="28"/>
      <w:szCs w:val="56"/>
      <w:u w:val="single"/>
    </w:rPr>
  </w:style>
  <w:style w:type="character" w:customStyle="1" w:styleId="pop-slug-vol">
    <w:name w:val="pop-slug-vol"/>
    <w:uiPriority w:val="99"/>
    <w:qFormat/>
    <w:rsid w:val="00A43933"/>
    <w:rPr>
      <w:rFonts w:cs="Times New Roman"/>
    </w:rPr>
  </w:style>
  <w:style w:type="character" w:customStyle="1" w:styleId="af3">
    <w:name w:val="Текст сноски Знак"/>
    <w:basedOn w:val="a3"/>
    <w:rsid w:val="004008B9"/>
    <w:rPr>
      <w:rFonts w:ascii="Calibri" w:eastAsia="Calibri" w:hAnsi="Calibri" w:cs="Times New Roman"/>
      <w:sz w:val="20"/>
      <w:szCs w:val="20"/>
    </w:rPr>
  </w:style>
  <w:style w:type="character" w:styleId="af4">
    <w:name w:val="footnote reference"/>
    <w:unhideWhenUsed/>
    <w:qFormat/>
    <w:rsid w:val="004008B9"/>
    <w:rPr>
      <w:vertAlign w:val="superscript"/>
    </w:rPr>
  </w:style>
  <w:style w:type="character" w:customStyle="1" w:styleId="20">
    <w:name w:val="Заголовок 2 Знак"/>
    <w:aliases w:val="Наим. подраздела Знак"/>
    <w:basedOn w:val="a3"/>
    <w:link w:val="2"/>
    <w:qFormat/>
    <w:rsid w:val="002F7719"/>
    <w:rPr>
      <w:rFonts w:ascii="Times New Roman" w:hAnsi="Times New Roman" w:cs="Times New Roman"/>
      <w:b/>
      <w:sz w:val="24"/>
      <w:szCs w:val="24"/>
      <w:u w:val="single"/>
    </w:rPr>
  </w:style>
  <w:style w:type="character" w:customStyle="1" w:styleId="Normal1">
    <w:name w:val="Normal1 Знак"/>
    <w:basedOn w:val="a3"/>
    <w:uiPriority w:val="99"/>
    <w:rsid w:val="003F4166"/>
    <w:rPr>
      <w:rFonts w:ascii="Times New Roman" w:eastAsia="Times New Roman" w:hAnsi="Times New Roman" w:cs="Times New Roman"/>
      <w:sz w:val="20"/>
      <w:szCs w:val="20"/>
      <w:lang w:eastAsia="ru-RU"/>
    </w:rPr>
  </w:style>
  <w:style w:type="character" w:customStyle="1" w:styleId="13">
    <w:name w:val="Стиль1 Знак"/>
    <w:basedOn w:val="Normal1"/>
    <w:rsid w:val="003F4166"/>
    <w:rPr>
      <w:rFonts w:ascii="Times New Roman" w:eastAsiaTheme="majorEastAsia" w:hAnsi="Times New Roman" w:cs="Times New Roman"/>
      <w:sz w:val="24"/>
      <w:szCs w:val="24"/>
      <w:lang w:eastAsia="ru-RU"/>
    </w:rPr>
  </w:style>
  <w:style w:type="character" w:customStyle="1" w:styleId="ListLabel1">
    <w:name w:val="ListLabel 1"/>
    <w:rsid w:val="00275A41"/>
    <w:rPr>
      <w:rFonts w:cs="Courier New"/>
    </w:rPr>
  </w:style>
  <w:style w:type="character" w:customStyle="1" w:styleId="ListLabel2">
    <w:name w:val="ListLabel 2"/>
    <w:rsid w:val="00275A41"/>
    <w:rPr>
      <w:rFonts w:cs="Courier New"/>
    </w:rPr>
  </w:style>
  <w:style w:type="character" w:customStyle="1" w:styleId="ListLabel3">
    <w:name w:val="ListLabel 3"/>
    <w:rsid w:val="00275A41"/>
    <w:rPr>
      <w:rFonts w:cs="Courier New"/>
    </w:rPr>
  </w:style>
  <w:style w:type="character" w:customStyle="1" w:styleId="ListLabel4">
    <w:name w:val="ListLabel 4"/>
    <w:rsid w:val="00275A41"/>
    <w:rPr>
      <w:rFonts w:cs="Courier New"/>
    </w:rPr>
  </w:style>
  <w:style w:type="character" w:customStyle="1" w:styleId="ListLabel5">
    <w:name w:val="ListLabel 5"/>
    <w:rsid w:val="00275A41"/>
    <w:rPr>
      <w:rFonts w:cs="Courier New"/>
    </w:rPr>
  </w:style>
  <w:style w:type="character" w:customStyle="1" w:styleId="ListLabel6">
    <w:name w:val="ListLabel 6"/>
    <w:rsid w:val="00275A41"/>
    <w:rPr>
      <w:rFonts w:cs="Courier New"/>
    </w:rPr>
  </w:style>
  <w:style w:type="character" w:customStyle="1" w:styleId="ListLabel7">
    <w:name w:val="ListLabel 7"/>
    <w:rsid w:val="00275A41"/>
    <w:rPr>
      <w:rFonts w:cs="Courier New"/>
    </w:rPr>
  </w:style>
  <w:style w:type="character" w:customStyle="1" w:styleId="ListLabel8">
    <w:name w:val="ListLabel 8"/>
    <w:rsid w:val="00275A41"/>
    <w:rPr>
      <w:rFonts w:cs="Courier New"/>
    </w:rPr>
  </w:style>
  <w:style w:type="character" w:customStyle="1" w:styleId="ListLabel9">
    <w:name w:val="ListLabel 9"/>
    <w:rsid w:val="00275A41"/>
    <w:rPr>
      <w:rFonts w:cs="Courier New"/>
    </w:rPr>
  </w:style>
  <w:style w:type="character" w:customStyle="1" w:styleId="ListLabel10">
    <w:name w:val="ListLabel 10"/>
    <w:rsid w:val="00275A41"/>
    <w:rPr>
      <w:rFonts w:cs="Courier New"/>
      <w:sz w:val="24"/>
    </w:rPr>
  </w:style>
  <w:style w:type="character" w:customStyle="1" w:styleId="ListLabel11">
    <w:name w:val="ListLabel 11"/>
    <w:rsid w:val="00275A41"/>
    <w:rPr>
      <w:rFonts w:cs="Courier New"/>
    </w:rPr>
  </w:style>
  <w:style w:type="character" w:customStyle="1" w:styleId="ListLabel12">
    <w:name w:val="ListLabel 12"/>
    <w:rsid w:val="00275A41"/>
    <w:rPr>
      <w:rFonts w:cs="Courier New"/>
    </w:rPr>
  </w:style>
  <w:style w:type="character" w:customStyle="1" w:styleId="ListLabel13">
    <w:name w:val="ListLabel 13"/>
    <w:rsid w:val="00275A41"/>
    <w:rPr>
      <w:rFonts w:cs="Courier New"/>
    </w:rPr>
  </w:style>
  <w:style w:type="character" w:customStyle="1" w:styleId="ListLabel14">
    <w:name w:val="ListLabel 14"/>
    <w:rsid w:val="00275A41"/>
    <w:rPr>
      <w:rFonts w:cs="Courier New"/>
    </w:rPr>
  </w:style>
  <w:style w:type="character" w:customStyle="1" w:styleId="ListLabel15">
    <w:name w:val="ListLabel 15"/>
    <w:rsid w:val="00275A41"/>
    <w:rPr>
      <w:rFonts w:cs="Courier New"/>
    </w:rPr>
  </w:style>
  <w:style w:type="character" w:customStyle="1" w:styleId="ListLabel16">
    <w:name w:val="ListLabel 16"/>
    <w:rsid w:val="00275A41"/>
    <w:rPr>
      <w:rFonts w:cs="Courier New"/>
    </w:rPr>
  </w:style>
  <w:style w:type="character" w:customStyle="1" w:styleId="ListLabel17">
    <w:name w:val="ListLabel 17"/>
    <w:rsid w:val="00275A41"/>
    <w:rPr>
      <w:rFonts w:cs="Courier New"/>
    </w:rPr>
  </w:style>
  <w:style w:type="character" w:customStyle="1" w:styleId="ListLabel18">
    <w:name w:val="ListLabel 18"/>
    <w:rsid w:val="00275A41"/>
    <w:rPr>
      <w:rFonts w:cs="Courier New"/>
    </w:rPr>
  </w:style>
  <w:style w:type="character" w:customStyle="1" w:styleId="ListLabel19">
    <w:name w:val="ListLabel 19"/>
    <w:rsid w:val="00275A41"/>
    <w:rPr>
      <w:rFonts w:cs="Courier New"/>
    </w:rPr>
  </w:style>
  <w:style w:type="character" w:customStyle="1" w:styleId="ListLabel20">
    <w:name w:val="ListLabel 20"/>
    <w:rsid w:val="00275A41"/>
    <w:rPr>
      <w:rFonts w:cs="Courier New"/>
    </w:rPr>
  </w:style>
  <w:style w:type="character" w:customStyle="1" w:styleId="ListLabel21">
    <w:name w:val="ListLabel 21"/>
    <w:rsid w:val="00275A41"/>
    <w:rPr>
      <w:rFonts w:cs="Courier New"/>
    </w:rPr>
  </w:style>
  <w:style w:type="character" w:customStyle="1" w:styleId="ListLabel22">
    <w:name w:val="ListLabel 22"/>
    <w:rsid w:val="00275A41"/>
    <w:rPr>
      <w:rFonts w:cs="Courier New"/>
    </w:rPr>
  </w:style>
  <w:style w:type="character" w:customStyle="1" w:styleId="ListLabel23">
    <w:name w:val="ListLabel 23"/>
    <w:rsid w:val="00275A41"/>
    <w:rPr>
      <w:rFonts w:cs="Courier New"/>
    </w:rPr>
  </w:style>
  <w:style w:type="character" w:customStyle="1" w:styleId="ListLabel24">
    <w:name w:val="ListLabel 24"/>
    <w:rsid w:val="00275A41"/>
    <w:rPr>
      <w:rFonts w:cs="Courier New"/>
    </w:rPr>
  </w:style>
  <w:style w:type="character" w:customStyle="1" w:styleId="ListLabel25">
    <w:name w:val="ListLabel 25"/>
    <w:rsid w:val="00275A41"/>
    <w:rPr>
      <w:rFonts w:cs="Courier New"/>
    </w:rPr>
  </w:style>
  <w:style w:type="character" w:customStyle="1" w:styleId="ListLabel26">
    <w:name w:val="ListLabel 26"/>
    <w:rsid w:val="00275A41"/>
    <w:rPr>
      <w:rFonts w:cs="Courier New"/>
    </w:rPr>
  </w:style>
  <w:style w:type="character" w:customStyle="1" w:styleId="ListLabel27">
    <w:name w:val="ListLabel 27"/>
    <w:rsid w:val="00275A41"/>
    <w:rPr>
      <w:rFonts w:cs="Courier New"/>
    </w:rPr>
  </w:style>
  <w:style w:type="character" w:customStyle="1" w:styleId="ListLabel28">
    <w:name w:val="ListLabel 28"/>
    <w:rsid w:val="00275A41"/>
    <w:rPr>
      <w:rFonts w:cs="Courier New"/>
    </w:rPr>
  </w:style>
  <w:style w:type="character" w:customStyle="1" w:styleId="ListLabel29">
    <w:name w:val="ListLabel 29"/>
    <w:rsid w:val="00275A41"/>
    <w:rPr>
      <w:rFonts w:cs="Courier New"/>
    </w:rPr>
  </w:style>
  <w:style w:type="character" w:customStyle="1" w:styleId="ListLabel30">
    <w:name w:val="ListLabel 30"/>
    <w:rsid w:val="00275A41"/>
    <w:rPr>
      <w:rFonts w:cs="Courier New"/>
    </w:rPr>
  </w:style>
  <w:style w:type="character" w:customStyle="1" w:styleId="ListLabel31">
    <w:name w:val="ListLabel 31"/>
    <w:rsid w:val="00275A41"/>
    <w:rPr>
      <w:rFonts w:cs="Courier New"/>
    </w:rPr>
  </w:style>
  <w:style w:type="character" w:customStyle="1" w:styleId="ListLabel32">
    <w:name w:val="ListLabel 32"/>
    <w:rsid w:val="00275A41"/>
    <w:rPr>
      <w:rFonts w:cs="Courier New"/>
    </w:rPr>
  </w:style>
  <w:style w:type="character" w:customStyle="1" w:styleId="ListLabel33">
    <w:name w:val="ListLabel 33"/>
    <w:rsid w:val="00275A41"/>
    <w:rPr>
      <w:rFonts w:cs="Courier New"/>
    </w:rPr>
  </w:style>
  <w:style w:type="character" w:customStyle="1" w:styleId="ListLabel34">
    <w:name w:val="ListLabel 34"/>
    <w:rsid w:val="00275A41"/>
    <w:rPr>
      <w:rFonts w:cs="Courier New"/>
    </w:rPr>
  </w:style>
  <w:style w:type="character" w:customStyle="1" w:styleId="ListLabel35">
    <w:name w:val="ListLabel 35"/>
    <w:rsid w:val="00275A41"/>
    <w:rPr>
      <w:rFonts w:cs="Courier New"/>
    </w:rPr>
  </w:style>
  <w:style w:type="character" w:customStyle="1" w:styleId="ListLabel36">
    <w:name w:val="ListLabel 36"/>
    <w:rsid w:val="00275A41"/>
    <w:rPr>
      <w:rFonts w:cs="Courier New"/>
      <w:b/>
      <w:sz w:val="24"/>
    </w:rPr>
  </w:style>
  <w:style w:type="character" w:customStyle="1" w:styleId="ListLabel37">
    <w:name w:val="ListLabel 37"/>
    <w:rsid w:val="00275A41"/>
    <w:rPr>
      <w:rFonts w:cs="Courier New"/>
    </w:rPr>
  </w:style>
  <w:style w:type="character" w:customStyle="1" w:styleId="ListLabel38">
    <w:name w:val="ListLabel 38"/>
    <w:rsid w:val="00275A41"/>
    <w:rPr>
      <w:rFonts w:cs="Courier New"/>
    </w:rPr>
  </w:style>
  <w:style w:type="character" w:customStyle="1" w:styleId="ListLabel39">
    <w:name w:val="ListLabel 39"/>
    <w:rsid w:val="00275A41"/>
    <w:rPr>
      <w:rFonts w:cs="Courier New"/>
    </w:rPr>
  </w:style>
  <w:style w:type="character" w:customStyle="1" w:styleId="af5">
    <w:name w:val="Ссылка указателя"/>
    <w:qFormat/>
    <w:rsid w:val="00275A41"/>
  </w:style>
  <w:style w:type="paragraph" w:customStyle="1" w:styleId="14">
    <w:name w:val="Заголовок1"/>
    <w:basedOn w:val="a1"/>
    <w:next w:val="af6"/>
    <w:rsid w:val="00275A41"/>
    <w:pPr>
      <w:keepNext/>
      <w:spacing w:before="240" w:after="120"/>
    </w:pPr>
    <w:rPr>
      <w:rFonts w:ascii="Liberation Sans" w:eastAsia="Microsoft YaHei" w:hAnsi="Liberation Sans" w:cs="Mangal"/>
      <w:sz w:val="28"/>
      <w:szCs w:val="28"/>
    </w:rPr>
  </w:style>
  <w:style w:type="paragraph" w:styleId="af6">
    <w:name w:val="Body Text"/>
    <w:basedOn w:val="a1"/>
    <w:link w:val="af7"/>
    <w:rsid w:val="00275A41"/>
    <w:pPr>
      <w:spacing w:after="140" w:line="288" w:lineRule="auto"/>
    </w:pPr>
  </w:style>
  <w:style w:type="paragraph" w:styleId="af8">
    <w:name w:val="List"/>
    <w:basedOn w:val="af6"/>
    <w:rsid w:val="00275A41"/>
    <w:rPr>
      <w:rFonts w:cs="Mangal"/>
    </w:rPr>
  </w:style>
  <w:style w:type="paragraph" w:styleId="af9">
    <w:name w:val="caption"/>
    <w:basedOn w:val="a1"/>
    <w:qFormat/>
    <w:rsid w:val="00275A41"/>
    <w:pPr>
      <w:suppressLineNumbers/>
      <w:spacing w:before="120" w:after="120"/>
    </w:pPr>
    <w:rPr>
      <w:rFonts w:cs="Mangal"/>
      <w:i/>
      <w:iCs/>
      <w:szCs w:val="24"/>
    </w:rPr>
  </w:style>
  <w:style w:type="paragraph" w:styleId="afa">
    <w:name w:val="index heading"/>
    <w:basedOn w:val="a1"/>
    <w:rsid w:val="00275A41"/>
    <w:pPr>
      <w:suppressLineNumbers/>
    </w:pPr>
    <w:rPr>
      <w:rFonts w:cs="Mangal"/>
    </w:rPr>
  </w:style>
  <w:style w:type="paragraph" w:styleId="afb">
    <w:name w:val="header"/>
    <w:basedOn w:val="a1"/>
    <w:link w:val="15"/>
    <w:unhideWhenUsed/>
    <w:qFormat/>
    <w:rsid w:val="00C15E9F"/>
    <w:pPr>
      <w:tabs>
        <w:tab w:val="center" w:pos="4677"/>
        <w:tab w:val="right" w:pos="9355"/>
      </w:tabs>
      <w:spacing w:line="240" w:lineRule="auto"/>
    </w:pPr>
  </w:style>
  <w:style w:type="paragraph" w:styleId="afc">
    <w:name w:val="footer"/>
    <w:basedOn w:val="a1"/>
    <w:link w:val="16"/>
    <w:unhideWhenUsed/>
    <w:qFormat/>
    <w:rsid w:val="00C15E9F"/>
    <w:pPr>
      <w:tabs>
        <w:tab w:val="center" w:pos="4677"/>
        <w:tab w:val="right" w:pos="9355"/>
      </w:tabs>
      <w:spacing w:line="240" w:lineRule="auto"/>
    </w:pPr>
  </w:style>
  <w:style w:type="paragraph" w:styleId="afd">
    <w:name w:val="Normal (Web)"/>
    <w:basedOn w:val="a1"/>
    <w:link w:val="17"/>
    <w:uiPriority w:val="99"/>
    <w:unhideWhenUsed/>
    <w:qFormat/>
    <w:rsid w:val="00990719"/>
    <w:pPr>
      <w:spacing w:beforeAutospacing="1" w:afterAutospacing="1" w:line="288" w:lineRule="auto"/>
    </w:pPr>
    <w:rPr>
      <w:rFonts w:eastAsia="Times New Roman" w:cs="Times New Roman"/>
      <w:szCs w:val="24"/>
      <w:lang w:eastAsia="ru-RU"/>
    </w:rPr>
  </w:style>
  <w:style w:type="paragraph" w:styleId="afe">
    <w:name w:val="List Paragraph"/>
    <w:basedOn w:val="a1"/>
    <w:link w:val="18"/>
    <w:uiPriority w:val="34"/>
    <w:qFormat/>
    <w:rsid w:val="006B7CAB"/>
    <w:pPr>
      <w:ind w:left="720"/>
      <w:contextualSpacing/>
    </w:pPr>
  </w:style>
  <w:style w:type="paragraph" w:customStyle="1" w:styleId="desc">
    <w:name w:val="desc"/>
    <w:basedOn w:val="a1"/>
    <w:rsid w:val="006B7CAB"/>
    <w:pPr>
      <w:spacing w:beforeAutospacing="1" w:afterAutospacing="1" w:line="240" w:lineRule="auto"/>
    </w:pPr>
    <w:rPr>
      <w:rFonts w:eastAsia="Times New Roman" w:cs="Times New Roman"/>
      <w:szCs w:val="24"/>
      <w:lang w:eastAsia="ru-RU"/>
    </w:rPr>
  </w:style>
  <w:style w:type="paragraph" w:styleId="aff">
    <w:name w:val="TOC Heading"/>
    <w:basedOn w:val="11"/>
    <w:uiPriority w:val="39"/>
    <w:unhideWhenUsed/>
    <w:qFormat/>
    <w:rsid w:val="00E9341B"/>
    <w:pPr>
      <w:spacing w:line="276" w:lineRule="auto"/>
    </w:pPr>
  </w:style>
  <w:style w:type="paragraph" w:styleId="aff0">
    <w:name w:val="Balloon Text"/>
    <w:basedOn w:val="a1"/>
    <w:link w:val="19"/>
    <w:unhideWhenUsed/>
    <w:qFormat/>
    <w:rsid w:val="00E9341B"/>
    <w:pPr>
      <w:spacing w:line="240" w:lineRule="auto"/>
    </w:pPr>
    <w:rPr>
      <w:rFonts w:ascii="Tahoma" w:hAnsi="Tahoma" w:cs="Tahoma"/>
      <w:sz w:val="16"/>
      <w:szCs w:val="16"/>
    </w:rPr>
  </w:style>
  <w:style w:type="paragraph" w:styleId="1a">
    <w:name w:val="toc 1"/>
    <w:basedOn w:val="a1"/>
    <w:autoRedefine/>
    <w:uiPriority w:val="39"/>
    <w:unhideWhenUsed/>
    <w:qFormat/>
    <w:rsid w:val="00186C35"/>
    <w:pPr>
      <w:tabs>
        <w:tab w:val="right" w:leader="dot" w:pos="9345"/>
      </w:tabs>
      <w:spacing w:after="100"/>
      <w:ind w:firstLine="0"/>
    </w:pPr>
  </w:style>
  <w:style w:type="paragraph" w:styleId="a2">
    <w:name w:val="Subtitle"/>
    <w:basedOn w:val="a1"/>
    <w:link w:val="1b"/>
    <w:uiPriority w:val="11"/>
    <w:qFormat/>
    <w:rsid w:val="00181EC4"/>
    <w:pPr>
      <w:suppressAutoHyphens/>
      <w:spacing w:before="240"/>
    </w:pPr>
    <w:rPr>
      <w:rFonts w:cs="Times New Roman"/>
      <w:b/>
      <w:szCs w:val="24"/>
      <w:u w:val="single"/>
    </w:rPr>
  </w:style>
  <w:style w:type="paragraph" w:styleId="aff1">
    <w:name w:val="No Spacing"/>
    <w:basedOn w:val="afe"/>
    <w:uiPriority w:val="1"/>
    <w:qFormat/>
    <w:rsid w:val="008B1499"/>
    <w:pPr>
      <w:spacing w:before="240"/>
      <w:ind w:left="851" w:hanging="425"/>
    </w:pPr>
    <w:rPr>
      <w:rFonts w:cs="Times New Roman"/>
      <w:szCs w:val="24"/>
    </w:rPr>
  </w:style>
  <w:style w:type="paragraph" w:customStyle="1" w:styleId="aff2">
    <w:name w:val="УДД;УУР"/>
    <w:basedOn w:val="aff1"/>
    <w:qFormat/>
    <w:rsid w:val="00B104EF"/>
    <w:pPr>
      <w:spacing w:before="0"/>
      <w:ind w:left="709" w:firstLine="0"/>
    </w:pPr>
    <w:rPr>
      <w:b/>
    </w:rPr>
  </w:style>
  <w:style w:type="paragraph" w:customStyle="1" w:styleId="aff3">
    <w:name w:val="Ком"/>
    <w:basedOn w:val="aff2"/>
    <w:qFormat/>
    <w:rsid w:val="00334F6C"/>
    <w:rPr>
      <w:b w:val="0"/>
    </w:rPr>
  </w:style>
  <w:style w:type="paragraph" w:styleId="aff4">
    <w:name w:val="annotation text"/>
    <w:basedOn w:val="a1"/>
    <w:link w:val="1c"/>
    <w:unhideWhenUsed/>
    <w:qFormat/>
    <w:rsid w:val="009C1F13"/>
    <w:pPr>
      <w:spacing w:line="240" w:lineRule="auto"/>
    </w:pPr>
    <w:rPr>
      <w:sz w:val="20"/>
      <w:szCs w:val="20"/>
    </w:rPr>
  </w:style>
  <w:style w:type="paragraph" w:styleId="aff5">
    <w:name w:val="annotation subject"/>
    <w:basedOn w:val="aff4"/>
    <w:link w:val="1d"/>
    <w:unhideWhenUsed/>
    <w:qFormat/>
    <w:rsid w:val="009C1F13"/>
    <w:rPr>
      <w:b/>
      <w:bCs/>
    </w:rPr>
  </w:style>
  <w:style w:type="paragraph" w:styleId="aff6">
    <w:name w:val="Title"/>
    <w:aliases w:val="Заголовок мой,Название1"/>
    <w:basedOn w:val="a1"/>
    <w:link w:val="1e"/>
    <w:qFormat/>
    <w:rsid w:val="00A43933"/>
    <w:pPr>
      <w:contextualSpacing/>
      <w:jc w:val="center"/>
    </w:pPr>
    <w:rPr>
      <w:rFonts w:eastAsiaTheme="majorEastAsia" w:cstheme="majorBidi"/>
      <w:spacing w:val="-10"/>
      <w:sz w:val="28"/>
      <w:szCs w:val="56"/>
      <w:u w:val="single"/>
    </w:rPr>
  </w:style>
  <w:style w:type="paragraph" w:styleId="21">
    <w:name w:val="toc 2"/>
    <w:basedOn w:val="a1"/>
    <w:autoRedefine/>
    <w:uiPriority w:val="39"/>
    <w:qFormat/>
    <w:rsid w:val="00186C35"/>
    <w:pPr>
      <w:tabs>
        <w:tab w:val="right" w:leader="dot" w:pos="9345"/>
      </w:tabs>
      <w:spacing w:after="200" w:line="276" w:lineRule="auto"/>
      <w:ind w:left="220" w:firstLine="64"/>
    </w:pPr>
    <w:rPr>
      <w:rFonts w:ascii="Calibri" w:eastAsia="Calibri" w:hAnsi="Calibri" w:cs="Times New Roman"/>
      <w:sz w:val="22"/>
    </w:rPr>
  </w:style>
  <w:style w:type="paragraph" w:customStyle="1" w:styleId="Normal10">
    <w:name w:val="Normal1"/>
    <w:uiPriority w:val="99"/>
    <w:rsid w:val="004008B9"/>
    <w:pPr>
      <w:widowControl w:val="0"/>
      <w:jc w:val="both"/>
    </w:pPr>
    <w:rPr>
      <w:rFonts w:ascii="Times New Roman" w:eastAsia="Times New Roman" w:hAnsi="Times New Roman" w:cs="Times New Roman"/>
      <w:szCs w:val="20"/>
      <w:lang w:eastAsia="ru-RU"/>
    </w:rPr>
  </w:style>
  <w:style w:type="paragraph" w:styleId="aff7">
    <w:name w:val="footnote text"/>
    <w:basedOn w:val="a1"/>
    <w:link w:val="1f"/>
    <w:unhideWhenUsed/>
    <w:qFormat/>
    <w:rsid w:val="004008B9"/>
    <w:pPr>
      <w:spacing w:after="200" w:line="276" w:lineRule="auto"/>
    </w:pPr>
    <w:rPr>
      <w:rFonts w:ascii="Calibri" w:eastAsia="Calibri" w:hAnsi="Calibri" w:cs="Times New Roman"/>
      <w:sz w:val="20"/>
      <w:szCs w:val="20"/>
    </w:rPr>
  </w:style>
  <w:style w:type="paragraph" w:customStyle="1" w:styleId="1f0">
    <w:name w:val="Оглавление 1 Знак"/>
    <w:basedOn w:val="Normal10"/>
    <w:qFormat/>
    <w:rsid w:val="003F4166"/>
    <w:pPr>
      <w:spacing w:line="360" w:lineRule="auto"/>
      <w:ind w:left="709" w:hanging="283"/>
    </w:pPr>
    <w:rPr>
      <w:rFonts w:eastAsiaTheme="majorEastAsia"/>
      <w:sz w:val="24"/>
      <w:szCs w:val="24"/>
    </w:rPr>
  </w:style>
  <w:style w:type="paragraph" w:customStyle="1" w:styleId="aff8">
    <w:name w:val="Содержимое врезки"/>
    <w:basedOn w:val="a1"/>
    <w:uiPriority w:val="99"/>
    <w:qFormat/>
    <w:rsid w:val="00275A41"/>
  </w:style>
  <w:style w:type="table" w:styleId="aff9">
    <w:name w:val="Table Grid"/>
    <w:basedOn w:val="a4"/>
    <w:rsid w:val="00D713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a">
    <w:qFormat/>
    <w:rsid w:val="00275A41"/>
    <w:pPr>
      <w:keepNext/>
      <w:keepLines/>
      <w:spacing w:line="276" w:lineRule="auto"/>
      <w:contextualSpacing/>
      <w:outlineLvl w:val="0"/>
    </w:pPr>
    <w:rPr>
      <w:rFonts w:ascii="Times New Roman" w:eastAsia="Sans" w:hAnsi="Times New Roman"/>
      <w:sz w:val="24"/>
    </w:rPr>
  </w:style>
  <w:style w:type="paragraph" w:customStyle="1" w:styleId="CustomContentNormal">
    <w:name w:val="Custom Content Normal"/>
    <w:link w:val="CustomContentNormal0"/>
    <w:rsid w:val="00B104EF"/>
    <w:pPr>
      <w:keepNext/>
      <w:keepLines/>
      <w:spacing w:before="240" w:line="360" w:lineRule="auto"/>
      <w:contextualSpacing/>
      <w:jc w:val="center"/>
      <w:outlineLvl w:val="0"/>
    </w:pPr>
    <w:rPr>
      <w:rFonts w:ascii="Times New Roman" w:eastAsia="Sans" w:hAnsi="Times New Roman"/>
      <w:b/>
      <w:sz w:val="28"/>
    </w:rPr>
  </w:style>
  <w:style w:type="character" w:styleId="affb">
    <w:name w:val="Strong"/>
    <w:basedOn w:val="a3"/>
    <w:uiPriority w:val="22"/>
    <w:qFormat/>
    <w:rsid w:val="009E685D"/>
    <w:rPr>
      <w:b/>
      <w:bCs/>
    </w:rPr>
  </w:style>
  <w:style w:type="character" w:styleId="affc">
    <w:name w:val="Emphasis"/>
    <w:basedOn w:val="a3"/>
    <w:uiPriority w:val="20"/>
    <w:qFormat/>
    <w:rsid w:val="002F7719"/>
    <w:rPr>
      <w:i/>
      <w:iCs/>
    </w:rPr>
  </w:style>
  <w:style w:type="character" w:styleId="affd">
    <w:name w:val="Hyperlink"/>
    <w:basedOn w:val="a3"/>
    <w:uiPriority w:val="99"/>
    <w:unhideWhenUsed/>
    <w:rsid w:val="00275A41"/>
    <w:rPr>
      <w:color w:val="0000FF"/>
      <w:u w:val="single"/>
    </w:rPr>
  </w:style>
  <w:style w:type="paragraph" w:customStyle="1" w:styleId="10">
    <w:name w:val="Стиль1"/>
    <w:basedOn w:val="a1"/>
    <w:link w:val="110"/>
    <w:rsid w:val="00EE59C2"/>
    <w:pPr>
      <w:numPr>
        <w:numId w:val="1"/>
      </w:numPr>
      <w:tabs>
        <w:tab w:val="clear" w:pos="720"/>
      </w:tabs>
      <w:spacing w:before="240"/>
      <w:ind w:left="709" w:hanging="425"/>
    </w:pPr>
    <w:rPr>
      <w:rFonts w:eastAsia="Times New Roman"/>
    </w:rPr>
  </w:style>
  <w:style w:type="character" w:customStyle="1" w:styleId="110">
    <w:name w:val="Стиль1 Знак1"/>
    <w:basedOn w:val="a3"/>
    <w:link w:val="10"/>
    <w:rsid w:val="00EE59C2"/>
    <w:rPr>
      <w:rFonts w:ascii="Times New Roman" w:eastAsia="Times New Roman" w:hAnsi="Times New Roman"/>
      <w:sz w:val="24"/>
    </w:rPr>
  </w:style>
  <w:style w:type="character" w:customStyle="1" w:styleId="apple-style-span">
    <w:name w:val="apple-style-span"/>
    <w:rsid w:val="00021FEA"/>
  </w:style>
  <w:style w:type="paragraph" w:styleId="affe">
    <w:name w:val="Revision"/>
    <w:hidden/>
    <w:uiPriority w:val="99"/>
    <w:rsid w:val="00AE3406"/>
    <w:rPr>
      <w:rFonts w:ascii="Times New Roman" w:hAnsi="Times New Roman"/>
      <w:sz w:val="24"/>
    </w:rPr>
  </w:style>
  <w:style w:type="paragraph" w:customStyle="1" w:styleId="a0">
    <w:name w:val="Список ключевых слов"/>
    <w:basedOn w:val="afe"/>
    <w:link w:val="afff"/>
    <w:qFormat/>
    <w:rsid w:val="0021676E"/>
    <w:pPr>
      <w:numPr>
        <w:numId w:val="3"/>
      </w:numPr>
      <w:ind w:left="0" w:firstLine="709"/>
    </w:pPr>
    <w:rPr>
      <w:szCs w:val="28"/>
    </w:rPr>
  </w:style>
  <w:style w:type="paragraph" w:customStyle="1" w:styleId="afff0">
    <w:name w:val="Сокращения"/>
    <w:basedOn w:val="a1"/>
    <w:link w:val="afff1"/>
    <w:qFormat/>
    <w:rsid w:val="0021676E"/>
  </w:style>
  <w:style w:type="character" w:customStyle="1" w:styleId="18">
    <w:name w:val="Абзац списка Знак1"/>
    <w:basedOn w:val="a3"/>
    <w:link w:val="afe"/>
    <w:uiPriority w:val="34"/>
    <w:rsid w:val="0021676E"/>
    <w:rPr>
      <w:rFonts w:ascii="Times New Roman" w:hAnsi="Times New Roman"/>
      <w:sz w:val="24"/>
    </w:rPr>
  </w:style>
  <w:style w:type="character" w:customStyle="1" w:styleId="afff">
    <w:name w:val="Список ключевых слов Знак"/>
    <w:basedOn w:val="18"/>
    <w:link w:val="a0"/>
    <w:rsid w:val="0021676E"/>
    <w:rPr>
      <w:rFonts w:ascii="Times New Roman" w:hAnsi="Times New Roman"/>
      <w:sz w:val="24"/>
      <w:szCs w:val="28"/>
    </w:rPr>
  </w:style>
  <w:style w:type="paragraph" w:customStyle="1" w:styleId="afff2">
    <w:name w:val="Наим. раздела"/>
    <w:basedOn w:val="CustomContentNormal"/>
    <w:link w:val="afff3"/>
    <w:qFormat/>
    <w:rsid w:val="00C4630C"/>
  </w:style>
  <w:style w:type="character" w:customStyle="1" w:styleId="afff1">
    <w:name w:val="Сокращения Знак"/>
    <w:basedOn w:val="a3"/>
    <w:link w:val="afff0"/>
    <w:rsid w:val="0021676E"/>
    <w:rPr>
      <w:rFonts w:ascii="Times New Roman" w:hAnsi="Times New Roman"/>
      <w:sz w:val="24"/>
    </w:rPr>
  </w:style>
  <w:style w:type="paragraph" w:customStyle="1" w:styleId="1f1">
    <w:name w:val="Текст в 1 разделе"/>
    <w:basedOn w:val="a1"/>
    <w:link w:val="1f2"/>
    <w:qFormat/>
    <w:rsid w:val="0021676E"/>
    <w:rPr>
      <w:rFonts w:eastAsia="Times New Roman" w:cs="Times New Roman"/>
      <w:szCs w:val="24"/>
    </w:rPr>
  </w:style>
  <w:style w:type="character" w:customStyle="1" w:styleId="CustomContentNormal0">
    <w:name w:val="Custom Content Normal Знак"/>
    <w:basedOn w:val="a3"/>
    <w:link w:val="CustomContentNormal"/>
    <w:rsid w:val="0021676E"/>
    <w:rPr>
      <w:rFonts w:ascii="Times New Roman" w:eastAsia="Sans" w:hAnsi="Times New Roman"/>
      <w:b/>
      <w:sz w:val="28"/>
    </w:rPr>
  </w:style>
  <w:style w:type="character" w:customStyle="1" w:styleId="afff3">
    <w:name w:val="Наим. раздела Знак"/>
    <w:basedOn w:val="CustomContentNormal0"/>
    <w:link w:val="afff2"/>
    <w:rsid w:val="00C4630C"/>
    <w:rPr>
      <w:rFonts w:ascii="Times New Roman" w:eastAsia="Sans" w:hAnsi="Times New Roman"/>
      <w:b/>
      <w:sz w:val="28"/>
    </w:rPr>
  </w:style>
  <w:style w:type="paragraph" w:customStyle="1" w:styleId="afff4">
    <w:name w:val="Таблицы"/>
    <w:basedOn w:val="afd"/>
    <w:link w:val="afff5"/>
    <w:qFormat/>
    <w:rsid w:val="0021676E"/>
    <w:pPr>
      <w:spacing w:line="240" w:lineRule="auto"/>
      <w:ind w:firstLine="0"/>
    </w:pPr>
  </w:style>
  <w:style w:type="character" w:customStyle="1" w:styleId="1f2">
    <w:name w:val="Текст в 1 разделе Знак"/>
    <w:basedOn w:val="a3"/>
    <w:link w:val="1f1"/>
    <w:rsid w:val="0021676E"/>
    <w:rPr>
      <w:rFonts w:ascii="Times New Roman" w:eastAsia="Times New Roman" w:hAnsi="Times New Roman" w:cs="Times New Roman"/>
      <w:sz w:val="24"/>
      <w:szCs w:val="24"/>
    </w:rPr>
  </w:style>
  <w:style w:type="paragraph" w:customStyle="1" w:styleId="afff6">
    <w:name w:val="Наим. табл"/>
    <w:basedOn w:val="a1"/>
    <w:link w:val="afff7"/>
    <w:qFormat/>
    <w:rsid w:val="0021676E"/>
  </w:style>
  <w:style w:type="character" w:customStyle="1" w:styleId="17">
    <w:name w:val="Обычный (веб) Знак1"/>
    <w:basedOn w:val="a3"/>
    <w:link w:val="afd"/>
    <w:rsid w:val="0021676E"/>
    <w:rPr>
      <w:rFonts w:ascii="Times New Roman" w:eastAsia="Times New Roman" w:hAnsi="Times New Roman" w:cs="Times New Roman"/>
      <w:sz w:val="24"/>
      <w:szCs w:val="24"/>
      <w:lang w:eastAsia="ru-RU"/>
    </w:rPr>
  </w:style>
  <w:style w:type="character" w:customStyle="1" w:styleId="afff5">
    <w:name w:val="Таблицы Знак"/>
    <w:basedOn w:val="17"/>
    <w:link w:val="afff4"/>
    <w:rsid w:val="0021676E"/>
    <w:rPr>
      <w:rFonts w:ascii="Times New Roman" w:eastAsia="Times New Roman" w:hAnsi="Times New Roman" w:cs="Times New Roman"/>
      <w:sz w:val="24"/>
      <w:szCs w:val="24"/>
      <w:lang w:eastAsia="ru-RU"/>
    </w:rPr>
  </w:style>
  <w:style w:type="paragraph" w:customStyle="1" w:styleId="2-6">
    <w:name w:val="Вводный текст 2-6 разделы"/>
    <w:basedOn w:val="a1"/>
    <w:link w:val="2-60"/>
    <w:qFormat/>
    <w:rsid w:val="00334F6C"/>
    <w:rPr>
      <w:szCs w:val="24"/>
    </w:rPr>
  </w:style>
  <w:style w:type="character" w:customStyle="1" w:styleId="afff7">
    <w:name w:val="Наим. табл Знак"/>
    <w:basedOn w:val="a3"/>
    <w:link w:val="afff6"/>
    <w:rsid w:val="0021676E"/>
    <w:rPr>
      <w:rFonts w:ascii="Times New Roman" w:hAnsi="Times New Roman"/>
      <w:sz w:val="24"/>
    </w:rPr>
  </w:style>
  <w:style w:type="paragraph" w:customStyle="1" w:styleId="afff8">
    <w:name w:val="Рекомендация"/>
    <w:basedOn w:val="10"/>
    <w:link w:val="afff9"/>
    <w:qFormat/>
    <w:rsid w:val="0021676E"/>
  </w:style>
  <w:style w:type="character" w:customStyle="1" w:styleId="2-60">
    <w:name w:val="Вводный текст 2-6 разделы Знак"/>
    <w:basedOn w:val="a3"/>
    <w:link w:val="2-6"/>
    <w:rsid w:val="00334F6C"/>
    <w:rPr>
      <w:rFonts w:ascii="Times New Roman" w:hAnsi="Times New Roman"/>
      <w:sz w:val="24"/>
      <w:szCs w:val="24"/>
    </w:rPr>
  </w:style>
  <w:style w:type="paragraph" w:customStyle="1" w:styleId="afffa">
    <w:name w:val="УДД"/>
    <w:aliases w:val="УУР"/>
    <w:basedOn w:val="aff2"/>
    <w:rsid w:val="0021676E"/>
  </w:style>
  <w:style w:type="character" w:customStyle="1" w:styleId="afff9">
    <w:name w:val="Рекомендация Знак"/>
    <w:basedOn w:val="110"/>
    <w:link w:val="afff8"/>
    <w:rsid w:val="0021676E"/>
    <w:rPr>
      <w:rFonts w:ascii="Times New Roman" w:eastAsia="Times New Roman" w:hAnsi="Times New Roman"/>
      <w:sz w:val="24"/>
    </w:rPr>
  </w:style>
  <w:style w:type="paragraph" w:customStyle="1" w:styleId="Default">
    <w:name w:val="Default"/>
    <w:rsid w:val="00BF3A59"/>
    <w:pPr>
      <w:autoSpaceDE w:val="0"/>
      <w:autoSpaceDN w:val="0"/>
      <w:adjustRightInd w:val="0"/>
    </w:pPr>
    <w:rPr>
      <w:rFonts w:ascii="Times New Roman" w:hAnsi="Times New Roman" w:cs="Times New Roman"/>
      <w:color w:val="000000"/>
      <w:sz w:val="24"/>
      <w:szCs w:val="24"/>
    </w:rPr>
  </w:style>
  <w:style w:type="paragraph" w:customStyle="1" w:styleId="afffb">
    <w:name w:val="Памятки"/>
    <w:basedOn w:val="1f1"/>
    <w:link w:val="afffc"/>
    <w:uiPriority w:val="99"/>
    <w:qFormat/>
    <w:rsid w:val="00094ED6"/>
    <w:rPr>
      <w:i/>
      <w:color w:val="FF0000"/>
      <w:sz w:val="18"/>
    </w:rPr>
  </w:style>
  <w:style w:type="character" w:customStyle="1" w:styleId="afffc">
    <w:name w:val="Памятки Знак"/>
    <w:basedOn w:val="1f2"/>
    <w:link w:val="afffb"/>
    <w:uiPriority w:val="99"/>
    <w:rsid w:val="00094ED6"/>
    <w:rPr>
      <w:rFonts w:ascii="Times New Roman" w:eastAsia="Times New Roman" w:hAnsi="Times New Roman" w:cs="Times New Roman"/>
      <w:i/>
      <w:color w:val="FF0000"/>
      <w:sz w:val="18"/>
      <w:szCs w:val="24"/>
    </w:rPr>
  </w:style>
  <w:style w:type="table" w:customStyle="1" w:styleId="71">
    <w:name w:val="Сетка таблицы7"/>
    <w:basedOn w:val="a4"/>
    <w:next w:val="aff9"/>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4"/>
    <w:next w:val="aff9"/>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4"/>
    <w:next w:val="aff9"/>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3">
    <w:name w:val="Сетка таблицы1"/>
    <w:basedOn w:val="a4"/>
    <w:next w:val="aff9"/>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4"/>
    <w:next w:val="aff9"/>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4"/>
    <w:next w:val="aff9"/>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4"/>
    <w:next w:val="aff9"/>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d">
    <w:name w:val="ссылка"/>
    <w:basedOn w:val="a1"/>
    <w:link w:val="afffe"/>
    <w:qFormat/>
    <w:rsid w:val="00A91645"/>
    <w:rPr>
      <w:rFonts w:eastAsia="Times New Roman" w:cs="Times New Roman"/>
      <w:i/>
      <w:color w:val="0070C0"/>
      <w:szCs w:val="24"/>
      <w:u w:val="single"/>
    </w:rPr>
  </w:style>
  <w:style w:type="character" w:customStyle="1" w:styleId="afffe">
    <w:name w:val="ссылка Знак"/>
    <w:basedOn w:val="a3"/>
    <w:link w:val="afffd"/>
    <w:rsid w:val="00A91645"/>
    <w:rPr>
      <w:rFonts w:ascii="Times New Roman" w:eastAsia="Times New Roman" w:hAnsi="Times New Roman" w:cs="Times New Roman"/>
      <w:i/>
      <w:color w:val="0070C0"/>
      <w:sz w:val="24"/>
      <w:szCs w:val="24"/>
      <w:u w:val="single"/>
    </w:rPr>
  </w:style>
  <w:style w:type="character" w:customStyle="1" w:styleId="affff">
    <w:name w:val="Основной текст_"/>
    <w:basedOn w:val="a3"/>
    <w:link w:val="1f4"/>
    <w:rsid w:val="00C4630C"/>
    <w:rPr>
      <w:rFonts w:ascii="Times New Roman" w:eastAsia="Times New Roman" w:hAnsi="Times New Roman" w:cs="Times New Roman"/>
      <w:sz w:val="28"/>
      <w:szCs w:val="28"/>
      <w:shd w:val="clear" w:color="auto" w:fill="FFFFFF"/>
    </w:rPr>
  </w:style>
  <w:style w:type="character" w:customStyle="1" w:styleId="22">
    <w:name w:val="Заголовок №2_"/>
    <w:basedOn w:val="a3"/>
    <w:link w:val="23"/>
    <w:rsid w:val="00C4630C"/>
    <w:rPr>
      <w:rFonts w:ascii="Times New Roman" w:eastAsia="Times New Roman" w:hAnsi="Times New Roman" w:cs="Times New Roman"/>
      <w:b/>
      <w:bCs/>
      <w:sz w:val="28"/>
      <w:szCs w:val="28"/>
      <w:shd w:val="clear" w:color="auto" w:fill="FFFFFF"/>
    </w:rPr>
  </w:style>
  <w:style w:type="paragraph" w:customStyle="1" w:styleId="1f4">
    <w:name w:val="Основной текст1"/>
    <w:basedOn w:val="a1"/>
    <w:link w:val="affff"/>
    <w:rsid w:val="00C4630C"/>
    <w:pPr>
      <w:widowControl w:val="0"/>
      <w:shd w:val="clear" w:color="auto" w:fill="FFFFFF"/>
      <w:spacing w:line="240" w:lineRule="auto"/>
      <w:ind w:firstLine="400"/>
    </w:pPr>
    <w:rPr>
      <w:rFonts w:eastAsia="Times New Roman" w:cs="Times New Roman"/>
      <w:sz w:val="28"/>
      <w:szCs w:val="28"/>
    </w:rPr>
  </w:style>
  <w:style w:type="paragraph" w:customStyle="1" w:styleId="23">
    <w:name w:val="Заголовок №2"/>
    <w:basedOn w:val="a1"/>
    <w:link w:val="22"/>
    <w:rsid w:val="00C4630C"/>
    <w:pPr>
      <w:widowControl w:val="0"/>
      <w:shd w:val="clear" w:color="auto" w:fill="FFFFFF"/>
      <w:spacing w:after="160" w:line="240" w:lineRule="auto"/>
      <w:ind w:right="100" w:firstLine="0"/>
      <w:jc w:val="center"/>
      <w:outlineLvl w:val="1"/>
    </w:pPr>
    <w:rPr>
      <w:rFonts w:eastAsia="Times New Roman" w:cs="Times New Roman"/>
      <w:b/>
      <w:bCs/>
      <w:sz w:val="28"/>
      <w:szCs w:val="28"/>
    </w:rPr>
  </w:style>
  <w:style w:type="paragraph" w:customStyle="1" w:styleId="affff0">
    <w:basedOn w:val="a1"/>
    <w:next w:val="afd"/>
    <w:link w:val="affff1"/>
    <w:unhideWhenUsed/>
    <w:qFormat/>
    <w:rsid w:val="000578EF"/>
    <w:rPr>
      <w:rFonts w:eastAsia="Times New Roman"/>
      <w:szCs w:val="24"/>
    </w:rPr>
  </w:style>
  <w:style w:type="character" w:customStyle="1" w:styleId="affff1">
    <w:name w:val="Обычный (веб) Знак"/>
    <w:link w:val="affff0"/>
    <w:rsid w:val="000578EF"/>
    <w:rPr>
      <w:rFonts w:ascii="Times New Roman" w:eastAsia="Times New Roman" w:hAnsi="Times New Roman"/>
      <w:sz w:val="24"/>
      <w:szCs w:val="24"/>
    </w:rPr>
  </w:style>
  <w:style w:type="table" w:customStyle="1" w:styleId="-131">
    <w:name w:val="Список-таблица 1 светлая — акцент 31"/>
    <w:basedOn w:val="a4"/>
    <w:uiPriority w:val="46"/>
    <w:rsid w:val="000578EF"/>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TableParagraph">
    <w:name w:val="Table Paragraph"/>
    <w:basedOn w:val="a1"/>
    <w:qFormat/>
    <w:rsid w:val="000578EF"/>
    <w:pPr>
      <w:widowControl w:val="0"/>
      <w:spacing w:line="240" w:lineRule="auto"/>
      <w:ind w:left="103" w:firstLine="0"/>
      <w:jc w:val="left"/>
    </w:pPr>
    <w:rPr>
      <w:rFonts w:ascii="Calibri" w:eastAsia="Times New Roman" w:hAnsi="Calibri" w:cs="Calibri"/>
      <w:sz w:val="22"/>
      <w:lang w:val="en-US"/>
    </w:rPr>
  </w:style>
  <w:style w:type="character" w:customStyle="1" w:styleId="1c">
    <w:name w:val="Текст примечания Знак1"/>
    <w:basedOn w:val="a3"/>
    <w:link w:val="aff4"/>
    <w:uiPriority w:val="99"/>
    <w:rsid w:val="000578EF"/>
    <w:rPr>
      <w:rFonts w:ascii="Times New Roman" w:hAnsi="Times New Roman"/>
      <w:szCs w:val="20"/>
    </w:rPr>
  </w:style>
  <w:style w:type="character" w:customStyle="1" w:styleId="1e">
    <w:name w:val="Название Знак1"/>
    <w:aliases w:val="Заголовок мой Знак,Название1 Знак"/>
    <w:basedOn w:val="a3"/>
    <w:link w:val="aff6"/>
    <w:rsid w:val="000578EF"/>
    <w:rPr>
      <w:rFonts w:ascii="Times New Roman" w:eastAsiaTheme="majorEastAsia" w:hAnsi="Times New Roman" w:cstheme="majorBidi"/>
      <w:spacing w:val="-10"/>
      <w:sz w:val="28"/>
      <w:szCs w:val="56"/>
      <w:u w:val="single"/>
    </w:rPr>
  </w:style>
  <w:style w:type="table" w:customStyle="1" w:styleId="-11">
    <w:name w:val="Таблица-сетка 1 светлая1"/>
    <w:basedOn w:val="a4"/>
    <w:uiPriority w:val="46"/>
    <w:rsid w:val="000578EF"/>
    <w:rPr>
      <w:sz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1111111">
    <w:name w:val="1 / 1.1 / 1.1.11"/>
    <w:basedOn w:val="a5"/>
    <w:next w:val="111111"/>
    <w:rsid w:val="000578EF"/>
    <w:pPr>
      <w:numPr>
        <w:numId w:val="16"/>
      </w:numPr>
    </w:pPr>
  </w:style>
  <w:style w:type="numbering" w:customStyle="1" w:styleId="1ai1">
    <w:name w:val="1 / a / i1"/>
    <w:basedOn w:val="a5"/>
    <w:next w:val="1ai"/>
    <w:rsid w:val="000578EF"/>
    <w:pPr>
      <w:numPr>
        <w:numId w:val="17"/>
      </w:numPr>
    </w:pPr>
  </w:style>
  <w:style w:type="numbering" w:styleId="111111">
    <w:name w:val="Outline List 2"/>
    <w:basedOn w:val="a5"/>
    <w:uiPriority w:val="99"/>
    <w:semiHidden/>
    <w:unhideWhenUsed/>
    <w:rsid w:val="000578EF"/>
    <w:pPr>
      <w:numPr>
        <w:numId w:val="14"/>
      </w:numPr>
    </w:pPr>
  </w:style>
  <w:style w:type="numbering" w:styleId="1ai">
    <w:name w:val="Outline List 1"/>
    <w:basedOn w:val="a5"/>
    <w:uiPriority w:val="99"/>
    <w:semiHidden/>
    <w:unhideWhenUsed/>
    <w:rsid w:val="000578EF"/>
    <w:pPr>
      <w:numPr>
        <w:numId w:val="15"/>
      </w:numPr>
    </w:pPr>
  </w:style>
  <w:style w:type="character" w:styleId="affff2">
    <w:name w:val="FollowedHyperlink"/>
    <w:basedOn w:val="a3"/>
    <w:uiPriority w:val="99"/>
    <w:unhideWhenUsed/>
    <w:rsid w:val="000578EF"/>
    <w:rPr>
      <w:color w:val="954F72" w:themeColor="followedHyperlink"/>
      <w:u w:val="single"/>
    </w:rPr>
  </w:style>
  <w:style w:type="paragraph" w:customStyle="1" w:styleId="msonormal0">
    <w:name w:val="msonormal"/>
    <w:basedOn w:val="a1"/>
    <w:qFormat/>
    <w:rsid w:val="000578EF"/>
    <w:pPr>
      <w:spacing w:before="100" w:beforeAutospacing="1" w:after="100" w:afterAutospacing="1" w:line="288" w:lineRule="auto"/>
      <w:ind w:firstLine="0"/>
      <w:jc w:val="left"/>
    </w:pPr>
    <w:rPr>
      <w:rFonts w:eastAsia="Times New Roman" w:cs="Times New Roman"/>
      <w:szCs w:val="24"/>
      <w:lang w:eastAsia="ru-RU"/>
    </w:rPr>
  </w:style>
  <w:style w:type="character" w:customStyle="1" w:styleId="1f5">
    <w:name w:val="Заголовок Знак1"/>
    <w:aliases w:val="Заголовок мой Знак1"/>
    <w:basedOn w:val="a3"/>
    <w:rsid w:val="000578EF"/>
    <w:rPr>
      <w:rFonts w:asciiTheme="majorHAnsi" w:eastAsiaTheme="majorEastAsia" w:hAnsiTheme="majorHAnsi" w:cstheme="majorBidi"/>
      <w:spacing w:val="-10"/>
      <w:kern w:val="28"/>
      <w:sz w:val="56"/>
      <w:szCs w:val="56"/>
    </w:rPr>
  </w:style>
  <w:style w:type="paragraph" w:customStyle="1" w:styleId="a">
    <w:name w:val="рек"/>
    <w:basedOn w:val="afe"/>
    <w:link w:val="affff3"/>
    <w:qFormat/>
    <w:rsid w:val="000578EF"/>
    <w:pPr>
      <w:numPr>
        <w:numId w:val="18"/>
      </w:numPr>
      <w:tabs>
        <w:tab w:val="left" w:pos="1134"/>
      </w:tabs>
      <w:spacing w:before="240"/>
      <w:ind w:left="709" w:hanging="425"/>
      <w:contextualSpacing w:val="0"/>
    </w:pPr>
    <w:rPr>
      <w:rFonts w:cs="Times New Roman"/>
      <w:szCs w:val="24"/>
    </w:rPr>
  </w:style>
  <w:style w:type="character" w:customStyle="1" w:styleId="affff3">
    <w:name w:val="рек Знак"/>
    <w:basedOn w:val="ab"/>
    <w:link w:val="a"/>
    <w:rsid w:val="000578EF"/>
    <w:rPr>
      <w:rFonts w:ascii="Times New Roman" w:hAnsi="Times New Roman" w:cs="Times New Roman"/>
      <w:sz w:val="24"/>
      <w:szCs w:val="24"/>
    </w:rPr>
  </w:style>
  <w:style w:type="paragraph" w:customStyle="1" w:styleId="1f6">
    <w:name w:val="Обычный с отступом 1 см"/>
    <w:basedOn w:val="a1"/>
    <w:rsid w:val="003F0AA9"/>
    <w:pPr>
      <w:widowControl w:val="0"/>
      <w:ind w:firstLine="680"/>
    </w:pPr>
    <w:rPr>
      <w:rFonts w:ascii="Arial" w:eastAsia="Times New Roman" w:hAnsi="Arial" w:cs="Times New Roman"/>
      <w:bCs/>
      <w:iCs/>
      <w:sz w:val="28"/>
      <w:szCs w:val="20"/>
      <w:lang w:eastAsia="ru-RU"/>
    </w:rPr>
  </w:style>
  <w:style w:type="character" w:styleId="affff4">
    <w:name w:val="endnote reference"/>
    <w:basedOn w:val="a3"/>
    <w:unhideWhenUsed/>
    <w:rsid w:val="0015288D"/>
    <w:rPr>
      <w:vertAlign w:val="superscript"/>
    </w:rPr>
  </w:style>
  <w:style w:type="character" w:customStyle="1" w:styleId="1f7">
    <w:name w:val="Неразрешенное упоминание1"/>
    <w:basedOn w:val="a3"/>
    <w:uiPriority w:val="99"/>
    <w:semiHidden/>
    <w:unhideWhenUsed/>
    <w:rsid w:val="00B8782E"/>
    <w:rPr>
      <w:color w:val="605E5C"/>
      <w:shd w:val="clear" w:color="auto" w:fill="E1DFDD"/>
    </w:rPr>
  </w:style>
  <w:style w:type="paragraph" w:customStyle="1" w:styleId="Normal11">
    <w:name w:val="Normal 1"/>
    <w:rsid w:val="0036594F"/>
    <w:pPr>
      <w:shd w:val="clear" w:color="auto" w:fill="FFFFFF"/>
      <w:tabs>
        <w:tab w:val="left" w:pos="394"/>
      </w:tabs>
      <w:spacing w:before="5"/>
      <w:ind w:left="10" w:hanging="10"/>
    </w:pPr>
    <w:rPr>
      <w:rFonts w:ascii="Times New Roman" w:eastAsia="Arial Unicode MS" w:hAnsi="Times New Roman" w:cs="Arial Unicode MS"/>
      <w:color w:val="000000"/>
      <w:spacing w:val="4"/>
      <w:sz w:val="24"/>
      <w:szCs w:val="24"/>
      <w:u w:color="000000"/>
      <w:lang w:eastAsia="ru-RU"/>
    </w:rPr>
  </w:style>
  <w:style w:type="character" w:customStyle="1" w:styleId="30">
    <w:name w:val="Заголовок 3 Знак"/>
    <w:basedOn w:val="a3"/>
    <w:link w:val="3"/>
    <w:rsid w:val="001C2557"/>
    <w:rPr>
      <w:rFonts w:asciiTheme="majorHAnsi" w:eastAsiaTheme="majorEastAsia" w:hAnsiTheme="majorHAnsi" w:cstheme="majorBidi"/>
      <w:color w:val="1F4D78" w:themeColor="accent1" w:themeShade="7F"/>
      <w:sz w:val="24"/>
      <w:szCs w:val="24"/>
    </w:rPr>
  </w:style>
  <w:style w:type="paragraph" w:customStyle="1" w:styleId="Numlist">
    <w:name w:val="Num_list"/>
    <w:basedOn w:val="a1"/>
    <w:qFormat/>
    <w:rsid w:val="001C2557"/>
    <w:pPr>
      <w:overflowPunct w:val="0"/>
      <w:spacing w:line="240" w:lineRule="auto"/>
      <w:ind w:firstLine="708"/>
      <w:jc w:val="left"/>
      <w:textAlignment w:val="baseline"/>
    </w:pPr>
    <w:rPr>
      <w:rFonts w:eastAsia="Times New Roman" w:cs="Times New Roman"/>
      <w:szCs w:val="24"/>
      <w:lang w:eastAsia="ru-RU"/>
    </w:rPr>
  </w:style>
  <w:style w:type="table" w:customStyle="1" w:styleId="1f8">
    <w:name w:val="Сетка таблицы светлая1"/>
    <w:basedOn w:val="a4"/>
    <w:uiPriority w:val="40"/>
    <w:rsid w:val="001C2557"/>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paragraph" w:customStyle="1" w:styleId="Literature">
    <w:name w:val="Literature"/>
    <w:basedOn w:val="a1"/>
    <w:rsid w:val="009E610C"/>
    <w:pPr>
      <w:shd w:val="clear" w:color="auto" w:fill="FFFFFF"/>
      <w:tabs>
        <w:tab w:val="left" w:pos="0"/>
        <w:tab w:val="left" w:pos="1068"/>
      </w:tabs>
      <w:overflowPunct w:val="0"/>
      <w:autoSpaceDE w:val="0"/>
      <w:autoSpaceDN w:val="0"/>
      <w:adjustRightInd w:val="0"/>
      <w:spacing w:before="5" w:line="240" w:lineRule="auto"/>
      <w:ind w:left="720" w:hanging="360"/>
      <w:jc w:val="left"/>
      <w:textAlignment w:val="baseline"/>
    </w:pPr>
    <w:rPr>
      <w:rFonts w:eastAsia="Times New Roman" w:cs="Times New Roman"/>
      <w:color w:val="000000"/>
      <w:spacing w:val="-1"/>
      <w:szCs w:val="20"/>
      <w:lang w:eastAsia="ru-RU"/>
    </w:rPr>
  </w:style>
  <w:style w:type="character" w:customStyle="1" w:styleId="40">
    <w:name w:val="Заголовок 4 Знак"/>
    <w:basedOn w:val="a3"/>
    <w:link w:val="4"/>
    <w:rsid w:val="00B61B7C"/>
    <w:rPr>
      <w:rFonts w:ascii="Calibri Light" w:eastAsia="Times New Roman" w:hAnsi="Calibri Light" w:cs="Times New Roman"/>
      <w:i/>
      <w:iCs/>
      <w:color w:val="2E74B5"/>
      <w:sz w:val="22"/>
    </w:rPr>
  </w:style>
  <w:style w:type="character" w:customStyle="1" w:styleId="50">
    <w:name w:val="Заголовок 5 Знак"/>
    <w:basedOn w:val="a3"/>
    <w:link w:val="5"/>
    <w:rsid w:val="00B61B7C"/>
    <w:rPr>
      <w:rFonts w:ascii="Calibri Light" w:eastAsia="Times New Roman" w:hAnsi="Calibri Light" w:cs="Times New Roman"/>
      <w:color w:val="1F4D78"/>
      <w:sz w:val="22"/>
    </w:rPr>
  </w:style>
  <w:style w:type="character" w:customStyle="1" w:styleId="60">
    <w:name w:val="Заголовок 6 Знак"/>
    <w:basedOn w:val="a3"/>
    <w:link w:val="6"/>
    <w:rsid w:val="00B61B7C"/>
    <w:rPr>
      <w:rFonts w:ascii="Times New Roman" w:eastAsia="Times New Roman" w:hAnsi="Times New Roman" w:cs="Times New Roman"/>
      <w:i/>
      <w:iCs/>
      <w:sz w:val="24"/>
      <w:szCs w:val="24"/>
      <w:lang w:val="en-US" w:eastAsia="ru-RU"/>
    </w:rPr>
  </w:style>
  <w:style w:type="character" w:customStyle="1" w:styleId="70">
    <w:name w:val="Заголовок 7 Знак"/>
    <w:basedOn w:val="a3"/>
    <w:link w:val="7"/>
    <w:rsid w:val="00B61B7C"/>
    <w:rPr>
      <w:rFonts w:ascii="Arial" w:eastAsia="Times New Roman" w:hAnsi="Arial" w:cs="Arial"/>
      <w:b/>
      <w:bCs/>
      <w:sz w:val="28"/>
      <w:szCs w:val="28"/>
      <w:lang w:eastAsia="ru-RU"/>
    </w:rPr>
  </w:style>
  <w:style w:type="character" w:customStyle="1" w:styleId="af7">
    <w:name w:val="Основной текст Знак"/>
    <w:link w:val="af6"/>
    <w:locked/>
    <w:rsid w:val="00B61B7C"/>
    <w:rPr>
      <w:rFonts w:ascii="Times New Roman" w:hAnsi="Times New Roman"/>
      <w:sz w:val="24"/>
    </w:rPr>
  </w:style>
  <w:style w:type="paragraph" w:styleId="1f9">
    <w:name w:val="index 1"/>
    <w:basedOn w:val="a1"/>
    <w:next w:val="a1"/>
    <w:autoRedefine/>
    <w:uiPriority w:val="99"/>
    <w:semiHidden/>
    <w:rsid w:val="00B61B7C"/>
    <w:pPr>
      <w:ind w:left="240" w:hanging="240"/>
    </w:pPr>
    <w:rPr>
      <w:rFonts w:eastAsia="Calibri" w:cs="Times New Roman"/>
    </w:rPr>
  </w:style>
  <w:style w:type="character" w:customStyle="1" w:styleId="15">
    <w:name w:val="Верхний колонтитул Знак1"/>
    <w:link w:val="afb"/>
    <w:uiPriority w:val="99"/>
    <w:locked/>
    <w:rsid w:val="00B61B7C"/>
    <w:rPr>
      <w:rFonts w:ascii="Times New Roman" w:hAnsi="Times New Roman"/>
      <w:sz w:val="24"/>
    </w:rPr>
  </w:style>
  <w:style w:type="character" w:customStyle="1" w:styleId="16">
    <w:name w:val="Нижний колонтитул Знак1"/>
    <w:link w:val="afc"/>
    <w:uiPriority w:val="99"/>
    <w:locked/>
    <w:rsid w:val="00B61B7C"/>
    <w:rPr>
      <w:rFonts w:ascii="Times New Roman" w:hAnsi="Times New Roman"/>
      <w:sz w:val="24"/>
    </w:rPr>
  </w:style>
  <w:style w:type="character" w:customStyle="1" w:styleId="19">
    <w:name w:val="Текст выноски Знак1"/>
    <w:link w:val="aff0"/>
    <w:uiPriority w:val="99"/>
    <w:locked/>
    <w:rsid w:val="00B61B7C"/>
    <w:rPr>
      <w:rFonts w:ascii="Tahoma" w:hAnsi="Tahoma" w:cs="Tahoma"/>
      <w:sz w:val="16"/>
      <w:szCs w:val="16"/>
    </w:rPr>
  </w:style>
  <w:style w:type="character" w:customStyle="1" w:styleId="1b">
    <w:name w:val="Подзаголовок Знак1"/>
    <w:link w:val="a2"/>
    <w:uiPriority w:val="11"/>
    <w:locked/>
    <w:rsid w:val="00B61B7C"/>
    <w:rPr>
      <w:rFonts w:ascii="Times New Roman" w:hAnsi="Times New Roman" w:cs="Times New Roman"/>
      <w:b/>
      <w:sz w:val="24"/>
      <w:szCs w:val="24"/>
      <w:u w:val="single"/>
    </w:rPr>
  </w:style>
  <w:style w:type="character" w:customStyle="1" w:styleId="1d">
    <w:name w:val="Тема примечания Знак1"/>
    <w:link w:val="aff5"/>
    <w:uiPriority w:val="99"/>
    <w:locked/>
    <w:rsid w:val="00B61B7C"/>
    <w:rPr>
      <w:rFonts w:ascii="Times New Roman" w:hAnsi="Times New Roman"/>
      <w:b/>
      <w:bCs/>
      <w:szCs w:val="20"/>
    </w:rPr>
  </w:style>
  <w:style w:type="character" w:customStyle="1" w:styleId="1f">
    <w:name w:val="Текст сноски Знак1"/>
    <w:link w:val="aff7"/>
    <w:uiPriority w:val="99"/>
    <w:locked/>
    <w:rsid w:val="00B61B7C"/>
    <w:rPr>
      <w:rFonts w:ascii="Calibri" w:eastAsia="Calibri" w:hAnsi="Calibri" w:cs="Times New Roman"/>
      <w:szCs w:val="20"/>
    </w:rPr>
  </w:style>
  <w:style w:type="paragraph" w:customStyle="1" w:styleId="affff5">
    <w:name w:val="Стиль"/>
    <w:uiPriority w:val="99"/>
    <w:rsid w:val="00B61B7C"/>
    <w:pPr>
      <w:keepNext/>
      <w:keepLines/>
      <w:spacing w:line="276" w:lineRule="auto"/>
      <w:outlineLvl w:val="0"/>
    </w:pPr>
    <w:rPr>
      <w:rFonts w:ascii="Times New Roman" w:eastAsia="Calibri" w:hAnsi="Times New Roman" w:cs="Times New Roman"/>
      <w:sz w:val="24"/>
    </w:rPr>
  </w:style>
  <w:style w:type="paragraph" w:customStyle="1" w:styleId="1fa">
    <w:name w:val="УДД1"/>
    <w:aliases w:val="УУР1"/>
    <w:basedOn w:val="afffa"/>
    <w:uiPriority w:val="99"/>
    <w:rsid w:val="00B61B7C"/>
    <w:pPr>
      <w:contextualSpacing w:val="0"/>
    </w:pPr>
    <w:rPr>
      <w:rFonts w:eastAsia="Calibri"/>
    </w:rPr>
  </w:style>
  <w:style w:type="paragraph" w:customStyle="1" w:styleId="ConsPlusNormal">
    <w:name w:val="ConsPlusNormal"/>
    <w:qFormat/>
    <w:rsid w:val="00B61B7C"/>
    <w:pPr>
      <w:widowControl w:val="0"/>
      <w:autoSpaceDE w:val="0"/>
      <w:autoSpaceDN w:val="0"/>
    </w:pPr>
    <w:rPr>
      <w:rFonts w:ascii="Calibri" w:eastAsia="Times New Roman" w:hAnsi="Calibri" w:cs="Calibri"/>
      <w:sz w:val="22"/>
      <w:szCs w:val="20"/>
      <w:lang w:eastAsia="ru-RU"/>
    </w:rPr>
  </w:style>
  <w:style w:type="paragraph" w:styleId="32">
    <w:name w:val="toc 3"/>
    <w:basedOn w:val="a1"/>
    <w:next w:val="a1"/>
    <w:autoRedefine/>
    <w:uiPriority w:val="39"/>
    <w:unhideWhenUsed/>
    <w:qFormat/>
    <w:rsid w:val="00B61B7C"/>
    <w:pPr>
      <w:ind w:left="480"/>
      <w:jc w:val="left"/>
    </w:pPr>
    <w:rPr>
      <w:rFonts w:asciiTheme="minorHAnsi" w:eastAsia="Calibri" w:hAnsiTheme="minorHAnsi" w:cs="Times New Roman"/>
      <w:sz w:val="20"/>
      <w:szCs w:val="20"/>
    </w:rPr>
  </w:style>
  <w:style w:type="numbering" w:customStyle="1" w:styleId="1fb">
    <w:name w:val="Нет списка1"/>
    <w:next w:val="a5"/>
    <w:uiPriority w:val="99"/>
    <w:semiHidden/>
    <w:unhideWhenUsed/>
    <w:rsid w:val="00B61B7C"/>
  </w:style>
  <w:style w:type="numbering" w:customStyle="1" w:styleId="24">
    <w:name w:val="Нет списка2"/>
    <w:next w:val="a5"/>
    <w:uiPriority w:val="99"/>
    <w:semiHidden/>
    <w:unhideWhenUsed/>
    <w:rsid w:val="00B61B7C"/>
  </w:style>
  <w:style w:type="numbering" w:customStyle="1" w:styleId="33">
    <w:name w:val="Нет списка3"/>
    <w:next w:val="a5"/>
    <w:uiPriority w:val="99"/>
    <w:semiHidden/>
    <w:unhideWhenUsed/>
    <w:rsid w:val="00B61B7C"/>
  </w:style>
  <w:style w:type="paragraph" w:styleId="HTML">
    <w:name w:val="HTML Preformatted"/>
    <w:basedOn w:val="a1"/>
    <w:link w:val="HTML0"/>
    <w:rsid w:val="00B61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pPr>
    <w:rPr>
      <w:rFonts w:ascii="Courier New" w:eastAsia="Times New Roman" w:hAnsi="Courier New" w:cs="Courier New"/>
      <w:sz w:val="20"/>
      <w:szCs w:val="20"/>
      <w:lang w:eastAsia="ru-RU"/>
    </w:rPr>
  </w:style>
  <w:style w:type="character" w:customStyle="1" w:styleId="HTML0">
    <w:name w:val="Стандартный HTML Знак"/>
    <w:basedOn w:val="a3"/>
    <w:link w:val="HTML"/>
    <w:rsid w:val="00B61B7C"/>
    <w:rPr>
      <w:rFonts w:ascii="Courier New" w:eastAsia="Times New Roman" w:hAnsi="Courier New" w:cs="Courier New"/>
      <w:szCs w:val="20"/>
      <w:lang w:eastAsia="ru-RU"/>
    </w:rPr>
  </w:style>
  <w:style w:type="paragraph" w:styleId="affff6">
    <w:name w:val="endnote text"/>
    <w:basedOn w:val="a1"/>
    <w:link w:val="affff7"/>
    <w:uiPriority w:val="99"/>
    <w:unhideWhenUsed/>
    <w:rsid w:val="00B61B7C"/>
    <w:pPr>
      <w:spacing w:line="240" w:lineRule="auto"/>
      <w:ind w:firstLine="567"/>
    </w:pPr>
    <w:rPr>
      <w:rFonts w:ascii="Calibri" w:eastAsia="Calibri" w:hAnsi="Calibri" w:cs="Times New Roman"/>
      <w:sz w:val="20"/>
      <w:szCs w:val="20"/>
    </w:rPr>
  </w:style>
  <w:style w:type="character" w:customStyle="1" w:styleId="affff7">
    <w:name w:val="Текст концевой сноски Знак"/>
    <w:basedOn w:val="a3"/>
    <w:link w:val="affff6"/>
    <w:uiPriority w:val="99"/>
    <w:rsid w:val="00B61B7C"/>
    <w:rPr>
      <w:rFonts w:ascii="Calibri" w:eastAsia="Calibri" w:hAnsi="Calibri" w:cs="Times New Roman"/>
      <w:szCs w:val="20"/>
    </w:rPr>
  </w:style>
  <w:style w:type="character" w:customStyle="1" w:styleId="1fc">
    <w:name w:val="Строгий1"/>
    <w:rsid w:val="00B61B7C"/>
    <w:rPr>
      <w:b/>
      <w:bCs/>
    </w:rPr>
  </w:style>
  <w:style w:type="paragraph" w:customStyle="1" w:styleId="310">
    <w:name w:val="Основной текст с отступом 31"/>
    <w:basedOn w:val="a1"/>
    <w:rsid w:val="00B61B7C"/>
    <w:pPr>
      <w:suppressAutoHyphens/>
      <w:spacing w:after="120" w:line="240" w:lineRule="auto"/>
      <w:ind w:left="283" w:firstLine="567"/>
    </w:pPr>
    <w:rPr>
      <w:rFonts w:eastAsia="Times New Roman" w:cs="Calibri"/>
      <w:sz w:val="16"/>
      <w:szCs w:val="16"/>
      <w:lang w:eastAsia="ar-SA"/>
    </w:rPr>
  </w:style>
  <w:style w:type="table" w:customStyle="1" w:styleId="25">
    <w:name w:val="Сетка таблицы2"/>
    <w:basedOn w:val="a4"/>
    <w:next w:val="aff9"/>
    <w:uiPriority w:val="59"/>
    <w:rsid w:val="00B61B7C"/>
    <w:rPr>
      <w:rFonts w:ascii="Calibri" w:eastAsia="Calibri" w:hAnsi="Calibri"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ial105pt">
    <w:name w:val="Основной текст + Arial;10;5 pt"/>
    <w:rsid w:val="00B61B7C"/>
    <w:rPr>
      <w:rFonts w:ascii="Arial" w:eastAsia="Arial" w:hAnsi="Arial" w:cs="Arial"/>
      <w:b w:val="0"/>
      <w:bCs w:val="0"/>
      <w:i w:val="0"/>
      <w:iCs w:val="0"/>
      <w:smallCaps w:val="0"/>
      <w:strike w:val="0"/>
      <w:color w:val="000000"/>
      <w:spacing w:val="0"/>
      <w:w w:val="100"/>
      <w:position w:val="0"/>
      <w:sz w:val="21"/>
      <w:szCs w:val="21"/>
      <w:u w:val="none"/>
      <w:lang w:val="ru-RU"/>
    </w:rPr>
  </w:style>
  <w:style w:type="character" w:customStyle="1" w:styleId="src">
    <w:name w:val="src"/>
    <w:rsid w:val="00B61B7C"/>
  </w:style>
  <w:style w:type="paragraph" w:customStyle="1" w:styleId="firstlast">
    <w:name w:val="first last"/>
    <w:basedOn w:val="a1"/>
    <w:uiPriority w:val="99"/>
    <w:rsid w:val="00B61B7C"/>
    <w:pPr>
      <w:spacing w:before="100" w:beforeAutospacing="1" w:after="100" w:afterAutospacing="1" w:line="240" w:lineRule="auto"/>
      <w:ind w:firstLine="567"/>
    </w:pPr>
    <w:rPr>
      <w:rFonts w:eastAsia="Times New Roman" w:cs="Times New Roman"/>
      <w:szCs w:val="24"/>
      <w:lang w:eastAsia="ru-RU"/>
    </w:rPr>
  </w:style>
  <w:style w:type="paragraph" w:customStyle="1" w:styleId="last">
    <w:name w:val="last"/>
    <w:basedOn w:val="a1"/>
    <w:uiPriority w:val="99"/>
    <w:rsid w:val="00B61B7C"/>
    <w:pPr>
      <w:spacing w:before="100" w:beforeAutospacing="1" w:after="100" w:afterAutospacing="1" w:line="240" w:lineRule="auto"/>
      <w:ind w:firstLine="567"/>
    </w:pPr>
    <w:rPr>
      <w:rFonts w:eastAsia="Times New Roman" w:cs="Times New Roman"/>
      <w:szCs w:val="24"/>
      <w:lang w:eastAsia="ru-RU"/>
    </w:rPr>
  </w:style>
  <w:style w:type="paragraph" w:customStyle="1" w:styleId="para">
    <w:name w:val="para"/>
    <w:basedOn w:val="a1"/>
    <w:uiPriority w:val="99"/>
    <w:rsid w:val="00B61B7C"/>
    <w:pPr>
      <w:spacing w:before="100" w:beforeAutospacing="1" w:after="100" w:afterAutospacing="1" w:line="240" w:lineRule="auto"/>
      <w:ind w:firstLine="567"/>
    </w:pPr>
    <w:rPr>
      <w:rFonts w:ascii="Arial" w:eastAsia="Times New Roman" w:hAnsi="Arial" w:cs="Arial"/>
      <w:color w:val="000000"/>
      <w:sz w:val="26"/>
      <w:szCs w:val="26"/>
      <w:lang w:eastAsia="ru-RU"/>
    </w:rPr>
  </w:style>
  <w:style w:type="character" w:customStyle="1" w:styleId="selectbg">
    <w:name w:val="select_bg"/>
    <w:rsid w:val="00B61B7C"/>
  </w:style>
  <w:style w:type="character" w:customStyle="1" w:styleId="postbody1">
    <w:name w:val="postbody1"/>
    <w:rsid w:val="00B61B7C"/>
    <w:rPr>
      <w:sz w:val="18"/>
      <w:szCs w:val="18"/>
    </w:rPr>
  </w:style>
  <w:style w:type="character" w:customStyle="1" w:styleId="volume">
    <w:name w:val="volume"/>
    <w:rsid w:val="00B61B7C"/>
  </w:style>
  <w:style w:type="character" w:customStyle="1" w:styleId="issue">
    <w:name w:val="issue"/>
    <w:rsid w:val="00B61B7C"/>
  </w:style>
  <w:style w:type="character" w:customStyle="1" w:styleId="pages">
    <w:name w:val="pages"/>
    <w:rsid w:val="00B61B7C"/>
  </w:style>
  <w:style w:type="paragraph" w:customStyle="1" w:styleId="210">
    <w:name w:val="Основной текст 21"/>
    <w:basedOn w:val="a1"/>
    <w:rsid w:val="00B61B7C"/>
    <w:pPr>
      <w:suppressAutoHyphens/>
      <w:spacing w:line="240" w:lineRule="auto"/>
      <w:ind w:firstLine="567"/>
    </w:pPr>
    <w:rPr>
      <w:rFonts w:eastAsia="Times New Roman" w:cs="Calibri"/>
      <w:szCs w:val="20"/>
      <w:lang w:eastAsia="ar-SA"/>
    </w:rPr>
  </w:style>
  <w:style w:type="paragraph" w:customStyle="1" w:styleId="1fd">
    <w:name w:val="Абзац списка1"/>
    <w:basedOn w:val="a1"/>
    <w:uiPriority w:val="34"/>
    <w:qFormat/>
    <w:rsid w:val="00B61B7C"/>
    <w:pPr>
      <w:suppressAutoHyphens/>
      <w:spacing w:after="200" w:line="276" w:lineRule="auto"/>
      <w:ind w:firstLine="567"/>
    </w:pPr>
    <w:rPr>
      <w:rFonts w:ascii="Calibri" w:eastAsia="Calibri" w:hAnsi="Calibri" w:cs="Calibri"/>
      <w:sz w:val="22"/>
      <w:lang w:val="nl-NL" w:eastAsia="ar-SA"/>
    </w:rPr>
  </w:style>
  <w:style w:type="paragraph" w:customStyle="1" w:styleId="220">
    <w:name w:val="Основной текст 22"/>
    <w:basedOn w:val="a1"/>
    <w:rsid w:val="00B61B7C"/>
    <w:pPr>
      <w:suppressAutoHyphens/>
      <w:spacing w:line="100" w:lineRule="atLeast"/>
      <w:ind w:firstLine="567"/>
    </w:pPr>
    <w:rPr>
      <w:rFonts w:eastAsia="Times New Roman" w:cs="Times New Roman"/>
      <w:kern w:val="1"/>
      <w:szCs w:val="24"/>
      <w:lang w:eastAsia="ar-SA"/>
    </w:rPr>
  </w:style>
  <w:style w:type="paragraph" w:styleId="affff8">
    <w:name w:val="Body Text Indent"/>
    <w:basedOn w:val="a1"/>
    <w:link w:val="affff9"/>
    <w:uiPriority w:val="99"/>
    <w:unhideWhenUsed/>
    <w:rsid w:val="00B61B7C"/>
    <w:pPr>
      <w:spacing w:after="120" w:line="288" w:lineRule="auto"/>
      <w:ind w:left="283" w:firstLine="567"/>
    </w:pPr>
    <w:rPr>
      <w:rFonts w:ascii="Calibri" w:eastAsia="Calibri" w:hAnsi="Calibri" w:cs="Times New Roman"/>
      <w:sz w:val="22"/>
    </w:rPr>
  </w:style>
  <w:style w:type="character" w:customStyle="1" w:styleId="affff9">
    <w:name w:val="Основной текст с отступом Знак"/>
    <w:basedOn w:val="a3"/>
    <w:link w:val="affff8"/>
    <w:uiPriority w:val="99"/>
    <w:rsid w:val="00B61B7C"/>
    <w:rPr>
      <w:rFonts w:ascii="Calibri" w:eastAsia="Calibri" w:hAnsi="Calibri" w:cs="Times New Roman"/>
      <w:sz w:val="22"/>
    </w:rPr>
  </w:style>
  <w:style w:type="paragraph" w:customStyle="1" w:styleId="affffa">
    <w:name w:val="Содержимое таблицы"/>
    <w:basedOn w:val="a1"/>
    <w:rsid w:val="00B61B7C"/>
    <w:pPr>
      <w:widowControl w:val="0"/>
      <w:suppressLineNumbers/>
      <w:suppressAutoHyphens/>
      <w:spacing w:line="240" w:lineRule="auto"/>
      <w:ind w:firstLine="567"/>
    </w:pPr>
    <w:rPr>
      <w:rFonts w:ascii="Arial" w:eastAsia="Arial Unicode MS" w:hAnsi="Arial" w:cs="Times New Roman"/>
      <w:kern w:val="1"/>
      <w:sz w:val="20"/>
      <w:szCs w:val="24"/>
      <w:lang w:eastAsia="ar-SA"/>
    </w:rPr>
  </w:style>
  <w:style w:type="paragraph" w:customStyle="1" w:styleId="TextDrugs">
    <w:name w:val="Text_Drugs"/>
    <w:basedOn w:val="a1"/>
    <w:rsid w:val="00B61B7C"/>
    <w:pPr>
      <w:suppressAutoHyphens/>
      <w:spacing w:line="100" w:lineRule="atLeast"/>
      <w:ind w:firstLine="567"/>
    </w:pPr>
    <w:rPr>
      <w:rFonts w:ascii="Cambria" w:eastAsia="MS Mincho" w:hAnsi="Cambria" w:cs="Times New Roman"/>
      <w:kern w:val="1"/>
      <w:szCs w:val="24"/>
      <w:lang w:val="de-DE" w:eastAsia="ar-SA"/>
    </w:rPr>
  </w:style>
  <w:style w:type="character" w:customStyle="1" w:styleId="jrnl">
    <w:name w:val="jrnl"/>
    <w:rsid w:val="00B61B7C"/>
  </w:style>
  <w:style w:type="character" w:customStyle="1" w:styleId="highlight">
    <w:name w:val="highlight"/>
    <w:rsid w:val="00B61B7C"/>
  </w:style>
  <w:style w:type="character" w:customStyle="1" w:styleId="maintextbldleft">
    <w:name w:val="maintextbldleft"/>
    <w:rsid w:val="00B61B7C"/>
  </w:style>
  <w:style w:type="character" w:customStyle="1" w:styleId="maintextleft">
    <w:name w:val="maintextleft"/>
    <w:rsid w:val="00B61B7C"/>
  </w:style>
  <w:style w:type="paragraph" w:customStyle="1" w:styleId="26">
    <w:name w:val="Абзац списка2"/>
    <w:basedOn w:val="a1"/>
    <w:rsid w:val="00B61B7C"/>
    <w:pPr>
      <w:suppressAutoHyphens/>
      <w:spacing w:after="200" w:line="276" w:lineRule="auto"/>
      <w:ind w:firstLine="567"/>
    </w:pPr>
    <w:rPr>
      <w:rFonts w:ascii="Calibri" w:eastAsia="Calibri" w:hAnsi="Calibri" w:cs="Calibri"/>
      <w:sz w:val="22"/>
      <w:lang w:val="nl-NL" w:eastAsia="ar-SA"/>
    </w:rPr>
  </w:style>
  <w:style w:type="paragraph" w:customStyle="1" w:styleId="230">
    <w:name w:val="Основной текст 23"/>
    <w:basedOn w:val="a1"/>
    <w:rsid w:val="00B61B7C"/>
    <w:pPr>
      <w:suppressAutoHyphens/>
      <w:spacing w:line="100" w:lineRule="atLeast"/>
      <w:ind w:firstLine="567"/>
    </w:pPr>
    <w:rPr>
      <w:rFonts w:eastAsia="Times New Roman" w:cs="Times New Roman"/>
      <w:kern w:val="1"/>
      <w:szCs w:val="24"/>
      <w:lang w:eastAsia="ar-SA"/>
    </w:rPr>
  </w:style>
  <w:style w:type="character" w:customStyle="1" w:styleId="hps">
    <w:name w:val="hps"/>
    <w:rsid w:val="00B61B7C"/>
  </w:style>
  <w:style w:type="paragraph" w:styleId="27">
    <w:name w:val="Body Text 2"/>
    <w:basedOn w:val="a1"/>
    <w:link w:val="28"/>
    <w:semiHidden/>
    <w:rsid w:val="00B61B7C"/>
    <w:pPr>
      <w:spacing w:line="240" w:lineRule="auto"/>
      <w:ind w:firstLine="567"/>
    </w:pPr>
    <w:rPr>
      <w:rFonts w:eastAsia="Times New Roman" w:cs="Times New Roman"/>
      <w:szCs w:val="20"/>
      <w:lang w:eastAsia="ru-RU"/>
    </w:rPr>
  </w:style>
  <w:style w:type="character" w:customStyle="1" w:styleId="28">
    <w:name w:val="Основной текст 2 Знак"/>
    <w:basedOn w:val="a3"/>
    <w:link w:val="27"/>
    <w:semiHidden/>
    <w:rsid w:val="00B61B7C"/>
    <w:rPr>
      <w:rFonts w:ascii="Times New Roman" w:eastAsia="Times New Roman" w:hAnsi="Times New Roman" w:cs="Times New Roman"/>
      <w:sz w:val="24"/>
      <w:szCs w:val="20"/>
      <w:lang w:eastAsia="ru-RU"/>
    </w:rPr>
  </w:style>
  <w:style w:type="paragraph" w:customStyle="1" w:styleId="Number">
    <w:name w:val="Number"/>
    <w:basedOn w:val="a1"/>
    <w:uiPriority w:val="99"/>
    <w:rsid w:val="00B61B7C"/>
    <w:pPr>
      <w:autoSpaceDE w:val="0"/>
      <w:autoSpaceDN w:val="0"/>
      <w:adjustRightInd w:val="0"/>
      <w:spacing w:before="40"/>
      <w:ind w:left="715" w:hanging="6"/>
    </w:pPr>
    <w:rPr>
      <w:rFonts w:eastAsia="Times New Roman" w:cs="Times New Roman"/>
      <w:color w:val="000000"/>
      <w:szCs w:val="24"/>
      <w:lang w:eastAsia="ru-RU"/>
    </w:rPr>
  </w:style>
  <w:style w:type="character" w:styleId="affffb">
    <w:name w:val="Placeholder Text"/>
    <w:uiPriority w:val="99"/>
    <w:semiHidden/>
    <w:rsid w:val="00B61B7C"/>
    <w:rPr>
      <w:color w:val="808080"/>
    </w:rPr>
  </w:style>
  <w:style w:type="character" w:customStyle="1" w:styleId="highwire-citation-authors">
    <w:name w:val="highwire-citation-authors"/>
    <w:rsid w:val="00B61B7C"/>
  </w:style>
  <w:style w:type="character" w:customStyle="1" w:styleId="nlm-given-names">
    <w:name w:val="nlm-given-names"/>
    <w:rsid w:val="00B61B7C"/>
  </w:style>
  <w:style w:type="character" w:customStyle="1" w:styleId="nlm-surname">
    <w:name w:val="nlm-surname"/>
    <w:rsid w:val="00B61B7C"/>
  </w:style>
  <w:style w:type="character" w:customStyle="1" w:styleId="highwire-cite-metadata-journal">
    <w:name w:val="highwire-cite-metadata-journal"/>
    <w:rsid w:val="00B61B7C"/>
  </w:style>
  <w:style w:type="character" w:customStyle="1" w:styleId="highwire-cite-metadata-date">
    <w:name w:val="highwire-cite-metadata-date"/>
    <w:rsid w:val="00B61B7C"/>
  </w:style>
  <w:style w:type="character" w:customStyle="1" w:styleId="highwire-cite-metadata-volume-pages">
    <w:name w:val="highwire-cite-metadata-volume-pages"/>
    <w:rsid w:val="00B61B7C"/>
  </w:style>
  <w:style w:type="character" w:customStyle="1" w:styleId="highwire-cite-metadata-doi">
    <w:name w:val="highwire-cite-metadata-doi"/>
    <w:rsid w:val="00B61B7C"/>
  </w:style>
  <w:style w:type="character" w:customStyle="1" w:styleId="freeaccess">
    <w:name w:val="freeaccess"/>
    <w:rsid w:val="00B61B7C"/>
  </w:style>
  <w:style w:type="character" w:styleId="affffc">
    <w:name w:val="page number"/>
    <w:uiPriority w:val="99"/>
    <w:rsid w:val="00B61B7C"/>
  </w:style>
  <w:style w:type="paragraph" w:customStyle="1" w:styleId="34">
    <w:name w:val="Абзац списка3"/>
    <w:basedOn w:val="a1"/>
    <w:rsid w:val="00B61B7C"/>
    <w:pPr>
      <w:spacing w:line="240" w:lineRule="auto"/>
      <w:ind w:left="720" w:firstLine="567"/>
    </w:pPr>
    <w:rPr>
      <w:rFonts w:eastAsia="Calibri" w:cs="Times New Roman"/>
      <w:szCs w:val="24"/>
      <w:lang w:eastAsia="ru-RU"/>
    </w:rPr>
  </w:style>
  <w:style w:type="character" w:customStyle="1" w:styleId="WW8Num3z0">
    <w:name w:val="WW8Num3z0"/>
    <w:rsid w:val="00B61B7C"/>
    <w:rPr>
      <w:rFonts w:ascii="Symbol" w:hAnsi="Symbol" w:cs="Symbol"/>
    </w:rPr>
  </w:style>
  <w:style w:type="character" w:customStyle="1" w:styleId="WW8Num3z1">
    <w:name w:val="WW8Num3z1"/>
    <w:rsid w:val="00B61B7C"/>
    <w:rPr>
      <w:rFonts w:ascii="Courier New" w:hAnsi="Courier New" w:cs="Courier New"/>
    </w:rPr>
  </w:style>
  <w:style w:type="character" w:customStyle="1" w:styleId="WW8Num3z2">
    <w:name w:val="WW8Num3z2"/>
    <w:rsid w:val="00B61B7C"/>
    <w:rPr>
      <w:rFonts w:ascii="Wingdings" w:hAnsi="Wingdings" w:cs="Wingdings"/>
    </w:rPr>
  </w:style>
  <w:style w:type="character" w:customStyle="1" w:styleId="WW8Num3z4">
    <w:name w:val="WW8Num3z4"/>
    <w:rsid w:val="00B61B7C"/>
    <w:rPr>
      <w:rFonts w:ascii="Courier New" w:hAnsi="Courier New" w:cs="Courier New"/>
    </w:rPr>
  </w:style>
  <w:style w:type="character" w:customStyle="1" w:styleId="WW8Num4z0">
    <w:name w:val="WW8Num4z0"/>
    <w:rsid w:val="00B61B7C"/>
    <w:rPr>
      <w:rFonts w:ascii="Symbol" w:hAnsi="Symbol" w:cs="Symbol"/>
    </w:rPr>
  </w:style>
  <w:style w:type="character" w:customStyle="1" w:styleId="WW8Num5z0">
    <w:name w:val="WW8Num5z0"/>
    <w:rsid w:val="00B61B7C"/>
    <w:rPr>
      <w:rFonts w:ascii="Calibri" w:hAnsi="Calibri" w:cs="Calibri"/>
    </w:rPr>
  </w:style>
  <w:style w:type="character" w:customStyle="1" w:styleId="WW8Num5z1">
    <w:name w:val="WW8Num5z1"/>
    <w:rsid w:val="00B61B7C"/>
    <w:rPr>
      <w:rFonts w:ascii="Calibri" w:hAnsi="Calibri" w:cs="Calibri"/>
    </w:rPr>
  </w:style>
  <w:style w:type="character" w:customStyle="1" w:styleId="WW8Num5z2">
    <w:name w:val="WW8Num5z2"/>
    <w:rsid w:val="00B61B7C"/>
    <w:rPr>
      <w:rFonts w:ascii="Wingdings" w:hAnsi="Wingdings" w:cs="Wingdings"/>
    </w:rPr>
  </w:style>
  <w:style w:type="character" w:customStyle="1" w:styleId="WW8Num5z4">
    <w:name w:val="WW8Num5z4"/>
    <w:rsid w:val="00B61B7C"/>
    <w:rPr>
      <w:rFonts w:ascii="Courier New" w:hAnsi="Courier New" w:cs="Courier New"/>
    </w:rPr>
  </w:style>
  <w:style w:type="character" w:customStyle="1" w:styleId="WW8Num6z0">
    <w:name w:val="WW8Num6z0"/>
    <w:rsid w:val="00B61B7C"/>
    <w:rPr>
      <w:rFonts w:ascii="Gill Sans" w:hAnsi="Gill Sans" w:cs="Gill Sans"/>
      <w:sz w:val="28"/>
      <w:szCs w:val="22"/>
    </w:rPr>
  </w:style>
  <w:style w:type="character" w:customStyle="1" w:styleId="WW8Num6z1">
    <w:name w:val="WW8Num6z1"/>
    <w:rsid w:val="00B61B7C"/>
    <w:rPr>
      <w:rFonts w:ascii="Courier New" w:hAnsi="Courier New" w:cs="Courier New"/>
    </w:rPr>
  </w:style>
  <w:style w:type="character" w:customStyle="1" w:styleId="WW8Num6z2">
    <w:name w:val="WW8Num6z2"/>
    <w:rsid w:val="00B61B7C"/>
    <w:rPr>
      <w:rFonts w:ascii="Wingdings" w:hAnsi="Wingdings" w:cs="Wingdings"/>
    </w:rPr>
  </w:style>
  <w:style w:type="character" w:customStyle="1" w:styleId="WW8Num7z0">
    <w:name w:val="WW8Num7z0"/>
    <w:rsid w:val="00B61B7C"/>
    <w:rPr>
      <w:rFonts w:ascii="Symbol" w:hAnsi="Symbol" w:cs="Symbol"/>
    </w:rPr>
  </w:style>
  <w:style w:type="character" w:customStyle="1" w:styleId="WW8Num7z1">
    <w:name w:val="WW8Num7z1"/>
    <w:rsid w:val="00B61B7C"/>
    <w:rPr>
      <w:rFonts w:ascii="Calibri" w:hAnsi="Calibri" w:cs="Calibri"/>
    </w:rPr>
  </w:style>
  <w:style w:type="character" w:customStyle="1" w:styleId="WW8Num8z0">
    <w:name w:val="WW8Num8z0"/>
    <w:rsid w:val="00B61B7C"/>
    <w:rPr>
      <w:rFonts w:ascii="Symbol" w:hAnsi="Symbol" w:cs="Symbol"/>
    </w:rPr>
  </w:style>
  <w:style w:type="character" w:customStyle="1" w:styleId="WW8Num9z0">
    <w:name w:val="WW8Num9z0"/>
    <w:rsid w:val="00B61B7C"/>
    <w:rPr>
      <w:rFonts w:ascii="Calibri" w:eastAsia="Times New Roman" w:hAnsi="Calibri" w:cs="Times New Roman"/>
    </w:rPr>
  </w:style>
  <w:style w:type="character" w:customStyle="1" w:styleId="WW8Num10z0">
    <w:name w:val="WW8Num10z0"/>
    <w:rsid w:val="00B61B7C"/>
    <w:rPr>
      <w:b w:val="0"/>
      <w:i w:val="0"/>
    </w:rPr>
  </w:style>
  <w:style w:type="character" w:customStyle="1" w:styleId="WW8Num11z0">
    <w:name w:val="WW8Num11z0"/>
    <w:rsid w:val="00B61B7C"/>
    <w:rPr>
      <w:rFonts w:ascii="Symbol" w:hAnsi="Symbol" w:cs="Symbol"/>
    </w:rPr>
  </w:style>
  <w:style w:type="character" w:customStyle="1" w:styleId="WW8Num12z0">
    <w:name w:val="WW8Num12z0"/>
    <w:rsid w:val="00B61B7C"/>
    <w:rPr>
      <w:rFonts w:ascii="Symbol" w:hAnsi="Symbol" w:cs="Symbol"/>
    </w:rPr>
  </w:style>
  <w:style w:type="character" w:customStyle="1" w:styleId="WW8Num13z0">
    <w:name w:val="WW8Num13z0"/>
    <w:rsid w:val="00B61B7C"/>
    <w:rPr>
      <w:rFonts w:ascii="Symbol" w:hAnsi="Symbol" w:cs="Symbol"/>
    </w:rPr>
  </w:style>
  <w:style w:type="character" w:customStyle="1" w:styleId="WW8Num14z0">
    <w:name w:val="WW8Num14z0"/>
    <w:rsid w:val="00B61B7C"/>
    <w:rPr>
      <w:rFonts w:ascii="Calibri" w:hAnsi="Calibri" w:cs="Calibri"/>
    </w:rPr>
  </w:style>
  <w:style w:type="character" w:customStyle="1" w:styleId="WW8Num15z0">
    <w:name w:val="WW8Num15z0"/>
    <w:rsid w:val="00B61B7C"/>
    <w:rPr>
      <w:rFonts w:ascii="Symbol" w:hAnsi="Symbol" w:cs="Symbol"/>
    </w:rPr>
  </w:style>
  <w:style w:type="character" w:customStyle="1" w:styleId="WW8Num16z0">
    <w:name w:val="WW8Num16z0"/>
    <w:rsid w:val="00B61B7C"/>
    <w:rPr>
      <w:rFonts w:ascii="Symbol" w:hAnsi="Symbol" w:cs="Symbol"/>
    </w:rPr>
  </w:style>
  <w:style w:type="character" w:customStyle="1" w:styleId="WW8Num17z0">
    <w:name w:val="WW8Num17z0"/>
    <w:rsid w:val="00B61B7C"/>
    <w:rPr>
      <w:rFonts w:ascii="Calibri" w:hAnsi="Calibri" w:cs="Calibri"/>
    </w:rPr>
  </w:style>
  <w:style w:type="character" w:customStyle="1" w:styleId="WW8Num18z0">
    <w:name w:val="WW8Num18z0"/>
    <w:rsid w:val="00B61B7C"/>
    <w:rPr>
      <w:rFonts w:ascii="Symbol" w:hAnsi="Symbol" w:cs="Symbol"/>
    </w:rPr>
  </w:style>
  <w:style w:type="character" w:customStyle="1" w:styleId="WW8Num19z0">
    <w:name w:val="WW8Num19z0"/>
    <w:rsid w:val="00B61B7C"/>
    <w:rPr>
      <w:rFonts w:ascii="Symbol" w:hAnsi="Symbol" w:cs="Symbol"/>
    </w:rPr>
  </w:style>
  <w:style w:type="character" w:customStyle="1" w:styleId="WW8Num20z0">
    <w:name w:val="WW8Num20z0"/>
    <w:rsid w:val="00B61B7C"/>
    <w:rPr>
      <w:rFonts w:ascii="Symbol" w:hAnsi="Symbol" w:cs="Symbol"/>
    </w:rPr>
  </w:style>
  <w:style w:type="character" w:customStyle="1" w:styleId="WW8Num21z0">
    <w:name w:val="WW8Num21z0"/>
    <w:rsid w:val="00B61B7C"/>
    <w:rPr>
      <w:rFonts w:ascii="Symbol" w:hAnsi="Symbol" w:cs="Symbol"/>
    </w:rPr>
  </w:style>
  <w:style w:type="character" w:customStyle="1" w:styleId="WW8Num22z0">
    <w:name w:val="WW8Num22z0"/>
    <w:rsid w:val="00B61B7C"/>
    <w:rPr>
      <w:rFonts w:ascii="Symbol" w:hAnsi="Symbol" w:cs="Symbol"/>
    </w:rPr>
  </w:style>
  <w:style w:type="character" w:customStyle="1" w:styleId="WW8Num23z0">
    <w:name w:val="WW8Num23z0"/>
    <w:rsid w:val="00B61B7C"/>
    <w:rPr>
      <w:rFonts w:ascii="Symbol" w:hAnsi="Symbol" w:cs="Symbol"/>
    </w:rPr>
  </w:style>
  <w:style w:type="character" w:customStyle="1" w:styleId="WW8Num24z0">
    <w:name w:val="WW8Num24z0"/>
    <w:rsid w:val="00B61B7C"/>
    <w:rPr>
      <w:rFonts w:ascii="Symbol" w:hAnsi="Symbol" w:cs="Symbol"/>
    </w:rPr>
  </w:style>
  <w:style w:type="character" w:customStyle="1" w:styleId="WW8Num25z0">
    <w:name w:val="WW8Num25z0"/>
    <w:rsid w:val="00B61B7C"/>
    <w:rPr>
      <w:rFonts w:ascii="Symbol" w:hAnsi="Symbol" w:cs="Symbol"/>
    </w:rPr>
  </w:style>
  <w:style w:type="character" w:customStyle="1" w:styleId="WW8Num26z0">
    <w:name w:val="WW8Num26z0"/>
    <w:rsid w:val="00B61B7C"/>
    <w:rPr>
      <w:rFonts w:ascii="Symbol" w:hAnsi="Symbol" w:cs="Symbol"/>
    </w:rPr>
  </w:style>
  <w:style w:type="character" w:customStyle="1" w:styleId="WW8Num27z0">
    <w:name w:val="WW8Num27z0"/>
    <w:rsid w:val="00B61B7C"/>
    <w:rPr>
      <w:rFonts w:ascii="Calibri" w:hAnsi="Calibri" w:cs="Calibri"/>
    </w:rPr>
  </w:style>
  <w:style w:type="character" w:customStyle="1" w:styleId="WW8Num27z1">
    <w:name w:val="WW8Num27z1"/>
    <w:rsid w:val="00B61B7C"/>
    <w:rPr>
      <w:rFonts w:ascii="Courier New" w:hAnsi="Courier New" w:cs="Courier New"/>
    </w:rPr>
  </w:style>
  <w:style w:type="character" w:customStyle="1" w:styleId="WW8Num27z2">
    <w:name w:val="WW8Num27z2"/>
    <w:rsid w:val="00B61B7C"/>
    <w:rPr>
      <w:rFonts w:ascii="Wingdings" w:hAnsi="Wingdings" w:cs="Wingdings"/>
    </w:rPr>
  </w:style>
  <w:style w:type="character" w:customStyle="1" w:styleId="WW8Num27z4">
    <w:name w:val="WW8Num27z4"/>
    <w:rsid w:val="00B61B7C"/>
    <w:rPr>
      <w:rFonts w:ascii="Courier New" w:hAnsi="Courier New" w:cs="Courier New"/>
    </w:rPr>
  </w:style>
  <w:style w:type="character" w:customStyle="1" w:styleId="WW8Num28z0">
    <w:name w:val="WW8Num28z0"/>
    <w:rsid w:val="00B61B7C"/>
    <w:rPr>
      <w:rFonts w:ascii="Symbol" w:hAnsi="Symbol" w:cs="Symbol"/>
    </w:rPr>
  </w:style>
  <w:style w:type="character" w:customStyle="1" w:styleId="WW8Num29z0">
    <w:name w:val="WW8Num29z0"/>
    <w:rsid w:val="00B61B7C"/>
    <w:rPr>
      <w:rFonts w:ascii="Symbol" w:hAnsi="Symbol" w:cs="Symbol"/>
    </w:rPr>
  </w:style>
  <w:style w:type="character" w:customStyle="1" w:styleId="WW8Num30z0">
    <w:name w:val="WW8Num30z0"/>
    <w:rsid w:val="00B61B7C"/>
    <w:rPr>
      <w:rFonts w:ascii="Symbol" w:hAnsi="Symbol" w:cs="Symbol"/>
    </w:rPr>
  </w:style>
  <w:style w:type="character" w:customStyle="1" w:styleId="WW8Num31z0">
    <w:name w:val="WW8Num31z0"/>
    <w:rsid w:val="00B61B7C"/>
    <w:rPr>
      <w:b w:val="0"/>
      <w:i w:val="0"/>
      <w:kern w:val="1"/>
    </w:rPr>
  </w:style>
  <w:style w:type="character" w:customStyle="1" w:styleId="WW8Num32z0">
    <w:name w:val="WW8Num32z0"/>
    <w:rsid w:val="00B61B7C"/>
    <w:rPr>
      <w:rFonts w:ascii="Symbol" w:hAnsi="Symbol" w:cs="Symbol"/>
    </w:rPr>
  </w:style>
  <w:style w:type="character" w:customStyle="1" w:styleId="WW8Num34z0">
    <w:name w:val="WW8Num34z0"/>
    <w:rsid w:val="00B61B7C"/>
    <w:rPr>
      <w:rFonts w:ascii="Symbol" w:hAnsi="Symbol" w:cs="Symbol"/>
    </w:rPr>
  </w:style>
  <w:style w:type="character" w:customStyle="1" w:styleId="WW8Num34z1">
    <w:name w:val="WW8Num34z1"/>
    <w:rsid w:val="00B61B7C"/>
    <w:rPr>
      <w:rFonts w:ascii="Courier New" w:hAnsi="Courier New" w:cs="Courier New"/>
    </w:rPr>
  </w:style>
  <w:style w:type="character" w:customStyle="1" w:styleId="WW8Num34z2">
    <w:name w:val="WW8Num34z2"/>
    <w:rsid w:val="00B61B7C"/>
    <w:rPr>
      <w:rFonts w:ascii="Wingdings" w:hAnsi="Wingdings" w:cs="Wingdings"/>
    </w:rPr>
  </w:style>
  <w:style w:type="character" w:customStyle="1" w:styleId="WW8Num34z4">
    <w:name w:val="WW8Num34z4"/>
    <w:rsid w:val="00B61B7C"/>
    <w:rPr>
      <w:rFonts w:ascii="Courier New" w:hAnsi="Courier New" w:cs="Courier New"/>
    </w:rPr>
  </w:style>
  <w:style w:type="character" w:customStyle="1" w:styleId="WW8Num35z0">
    <w:name w:val="WW8Num35z0"/>
    <w:rsid w:val="00B61B7C"/>
    <w:rPr>
      <w:rFonts w:ascii="Calibri" w:hAnsi="Calibri" w:cs="Calibri"/>
    </w:rPr>
  </w:style>
  <w:style w:type="character" w:customStyle="1" w:styleId="WW8Num36z0">
    <w:name w:val="WW8Num36z0"/>
    <w:rsid w:val="00B61B7C"/>
    <w:rPr>
      <w:rFonts w:ascii="Symbol" w:hAnsi="Symbol" w:cs="Symbol"/>
    </w:rPr>
  </w:style>
  <w:style w:type="character" w:customStyle="1" w:styleId="WW8Num37z0">
    <w:name w:val="WW8Num37z0"/>
    <w:rsid w:val="00B61B7C"/>
    <w:rPr>
      <w:rFonts w:ascii="Symbol" w:hAnsi="Symbol" w:cs="Symbol"/>
    </w:rPr>
  </w:style>
  <w:style w:type="character" w:customStyle="1" w:styleId="WW8Num38z0">
    <w:name w:val="WW8Num38z0"/>
    <w:rsid w:val="00B61B7C"/>
    <w:rPr>
      <w:rFonts w:ascii="Symbol" w:hAnsi="Symbol" w:cs="Symbol"/>
    </w:rPr>
  </w:style>
  <w:style w:type="character" w:customStyle="1" w:styleId="WW8Num39z0">
    <w:name w:val="WW8Num39z0"/>
    <w:rsid w:val="00B61B7C"/>
    <w:rPr>
      <w:rFonts w:ascii="Symbol" w:hAnsi="Symbol" w:cs="Symbol"/>
    </w:rPr>
  </w:style>
  <w:style w:type="character" w:customStyle="1" w:styleId="WW8Num40z0">
    <w:name w:val="WW8Num40z0"/>
    <w:rsid w:val="00B61B7C"/>
    <w:rPr>
      <w:rFonts w:ascii="Symbol" w:hAnsi="Symbol" w:cs="Symbol"/>
    </w:rPr>
  </w:style>
  <w:style w:type="character" w:customStyle="1" w:styleId="WW8Num41z0">
    <w:name w:val="WW8Num41z0"/>
    <w:rsid w:val="00B61B7C"/>
    <w:rPr>
      <w:rFonts w:ascii="Calibri" w:hAnsi="Calibri" w:cs="Calibri"/>
    </w:rPr>
  </w:style>
  <w:style w:type="character" w:customStyle="1" w:styleId="WW8Num42z0">
    <w:name w:val="WW8Num42z0"/>
    <w:rsid w:val="00B61B7C"/>
    <w:rPr>
      <w:rFonts w:ascii="Symbol" w:hAnsi="Symbol" w:cs="Symbol"/>
    </w:rPr>
  </w:style>
  <w:style w:type="character" w:customStyle="1" w:styleId="WW8Num43z0">
    <w:name w:val="WW8Num43z0"/>
    <w:rsid w:val="00B61B7C"/>
    <w:rPr>
      <w:rFonts w:ascii="Symbol" w:hAnsi="Symbol" w:cs="Symbol"/>
    </w:rPr>
  </w:style>
  <w:style w:type="character" w:customStyle="1" w:styleId="WW8Num44z0">
    <w:name w:val="WW8Num44z0"/>
    <w:rsid w:val="00B61B7C"/>
    <w:rPr>
      <w:rFonts w:ascii="Symbol" w:hAnsi="Symbol" w:cs="Symbol"/>
    </w:rPr>
  </w:style>
  <w:style w:type="character" w:customStyle="1" w:styleId="WW8Num45z0">
    <w:name w:val="WW8Num45z0"/>
    <w:rsid w:val="00B61B7C"/>
    <w:rPr>
      <w:rFonts w:ascii="Symbol" w:hAnsi="Symbol" w:cs="Symbol"/>
    </w:rPr>
  </w:style>
  <w:style w:type="character" w:customStyle="1" w:styleId="WW8Num46z0">
    <w:name w:val="WW8Num46z0"/>
    <w:rsid w:val="00B61B7C"/>
    <w:rPr>
      <w:rFonts w:ascii="Symbol" w:hAnsi="Symbol" w:cs="Symbol"/>
    </w:rPr>
  </w:style>
  <w:style w:type="character" w:customStyle="1" w:styleId="WW8Num47z0">
    <w:name w:val="WW8Num47z0"/>
    <w:rsid w:val="00B61B7C"/>
    <w:rPr>
      <w:rFonts w:ascii="Calibri" w:hAnsi="Calibri" w:cs="Calibri"/>
    </w:rPr>
  </w:style>
  <w:style w:type="character" w:customStyle="1" w:styleId="WW8Num48z0">
    <w:name w:val="WW8Num48z0"/>
    <w:rsid w:val="00B61B7C"/>
    <w:rPr>
      <w:rFonts w:ascii="Symbol" w:hAnsi="Symbol" w:cs="Symbol"/>
    </w:rPr>
  </w:style>
  <w:style w:type="character" w:customStyle="1" w:styleId="WW8Num49z0">
    <w:name w:val="WW8Num49z0"/>
    <w:rsid w:val="00B61B7C"/>
    <w:rPr>
      <w:rFonts w:ascii="Symbol" w:hAnsi="Symbol" w:cs="Symbol"/>
    </w:rPr>
  </w:style>
  <w:style w:type="character" w:customStyle="1" w:styleId="WW8Num49z1">
    <w:name w:val="WW8Num49z1"/>
    <w:rsid w:val="00B61B7C"/>
    <w:rPr>
      <w:rFonts w:ascii="Courier New" w:hAnsi="Courier New" w:cs="Courier New"/>
    </w:rPr>
  </w:style>
  <w:style w:type="character" w:customStyle="1" w:styleId="WW8Num49z2">
    <w:name w:val="WW8Num49z2"/>
    <w:rsid w:val="00B61B7C"/>
    <w:rPr>
      <w:rFonts w:ascii="Wingdings" w:hAnsi="Wingdings" w:cs="Wingdings"/>
    </w:rPr>
  </w:style>
  <w:style w:type="character" w:customStyle="1" w:styleId="WW8Num50z0">
    <w:name w:val="WW8Num50z0"/>
    <w:rsid w:val="00B61B7C"/>
    <w:rPr>
      <w:rFonts w:ascii="Symbol" w:hAnsi="Symbol" w:cs="Symbol"/>
    </w:rPr>
  </w:style>
  <w:style w:type="character" w:customStyle="1" w:styleId="29">
    <w:name w:val="Основной шрифт абзаца2"/>
    <w:rsid w:val="00B61B7C"/>
  </w:style>
  <w:style w:type="character" w:customStyle="1" w:styleId="WW8Num4z1">
    <w:name w:val="WW8Num4z1"/>
    <w:rsid w:val="00B61B7C"/>
    <w:rPr>
      <w:rFonts w:ascii="Courier New" w:hAnsi="Courier New" w:cs="Courier New"/>
      <w:color w:val="000000"/>
    </w:rPr>
  </w:style>
  <w:style w:type="character" w:customStyle="1" w:styleId="WW8Num4z2">
    <w:name w:val="WW8Num4z2"/>
    <w:rsid w:val="00B61B7C"/>
    <w:rPr>
      <w:rFonts w:ascii="Wingdings" w:hAnsi="Wingdings" w:cs="Wingdings"/>
    </w:rPr>
  </w:style>
  <w:style w:type="character" w:customStyle="1" w:styleId="WW8Num4z4">
    <w:name w:val="WW8Num4z4"/>
    <w:rsid w:val="00B61B7C"/>
    <w:rPr>
      <w:rFonts w:ascii="Courier New" w:hAnsi="Courier New" w:cs="Courier New"/>
    </w:rPr>
  </w:style>
  <w:style w:type="character" w:customStyle="1" w:styleId="WW8Num7z2">
    <w:name w:val="WW8Num7z2"/>
    <w:rsid w:val="00B61B7C"/>
    <w:rPr>
      <w:rFonts w:ascii="Wingdings" w:hAnsi="Wingdings" w:cs="Wingdings"/>
    </w:rPr>
  </w:style>
  <w:style w:type="character" w:customStyle="1" w:styleId="WW8Num7z4">
    <w:name w:val="WW8Num7z4"/>
    <w:rsid w:val="00B61B7C"/>
    <w:rPr>
      <w:rFonts w:ascii="Courier New" w:hAnsi="Courier New" w:cs="Courier New"/>
    </w:rPr>
  </w:style>
  <w:style w:type="character" w:customStyle="1" w:styleId="WW8Num8z1">
    <w:name w:val="WW8Num8z1"/>
    <w:rsid w:val="00B61B7C"/>
    <w:rPr>
      <w:rFonts w:ascii="Courier New" w:hAnsi="Courier New" w:cs="Courier New"/>
    </w:rPr>
  </w:style>
  <w:style w:type="character" w:customStyle="1" w:styleId="WW8Num8z2">
    <w:name w:val="WW8Num8z2"/>
    <w:rsid w:val="00B61B7C"/>
    <w:rPr>
      <w:rFonts w:ascii="Wingdings" w:hAnsi="Wingdings" w:cs="Wingdings"/>
    </w:rPr>
  </w:style>
  <w:style w:type="character" w:customStyle="1" w:styleId="WW8Num9z1">
    <w:name w:val="WW8Num9z1"/>
    <w:rsid w:val="00B61B7C"/>
    <w:rPr>
      <w:rFonts w:ascii="Symbol" w:hAnsi="Symbol" w:cs="Courier New"/>
    </w:rPr>
  </w:style>
  <w:style w:type="character" w:customStyle="1" w:styleId="WW8Num15z1">
    <w:name w:val="WW8Num15z1"/>
    <w:rsid w:val="00B61B7C"/>
    <w:rPr>
      <w:rFonts w:ascii="Courier New" w:hAnsi="Courier New" w:cs="Courier New"/>
    </w:rPr>
  </w:style>
  <w:style w:type="character" w:customStyle="1" w:styleId="WW8Num15z2">
    <w:name w:val="WW8Num15z2"/>
    <w:rsid w:val="00B61B7C"/>
    <w:rPr>
      <w:rFonts w:ascii="Wingdings" w:hAnsi="Wingdings" w:cs="Wingdings"/>
    </w:rPr>
  </w:style>
  <w:style w:type="character" w:customStyle="1" w:styleId="WW8Num16z1">
    <w:name w:val="WW8Num16z1"/>
    <w:rsid w:val="00B61B7C"/>
    <w:rPr>
      <w:rFonts w:ascii="Courier New" w:hAnsi="Courier New" w:cs="Courier New"/>
    </w:rPr>
  </w:style>
  <w:style w:type="character" w:customStyle="1" w:styleId="WW8Num16z2">
    <w:name w:val="WW8Num16z2"/>
    <w:rsid w:val="00B61B7C"/>
    <w:rPr>
      <w:rFonts w:ascii="Wingdings" w:hAnsi="Wingdings" w:cs="Wingdings"/>
    </w:rPr>
  </w:style>
  <w:style w:type="character" w:customStyle="1" w:styleId="WW8Num17z1">
    <w:name w:val="WW8Num17z1"/>
    <w:rsid w:val="00B61B7C"/>
    <w:rPr>
      <w:rFonts w:ascii="Courier New" w:hAnsi="Courier New" w:cs="Courier New"/>
    </w:rPr>
  </w:style>
  <w:style w:type="character" w:customStyle="1" w:styleId="WW8Num17z2">
    <w:name w:val="WW8Num17z2"/>
    <w:rsid w:val="00B61B7C"/>
    <w:rPr>
      <w:rFonts w:ascii="Wingdings" w:hAnsi="Wingdings" w:cs="Wingdings"/>
    </w:rPr>
  </w:style>
  <w:style w:type="character" w:customStyle="1" w:styleId="WW8Num17z3">
    <w:name w:val="WW8Num17z3"/>
    <w:rsid w:val="00B61B7C"/>
    <w:rPr>
      <w:rFonts w:ascii="Symbol" w:hAnsi="Symbol" w:cs="Symbol"/>
    </w:rPr>
  </w:style>
  <w:style w:type="character" w:customStyle="1" w:styleId="WW8Num18z1">
    <w:name w:val="WW8Num18z1"/>
    <w:rsid w:val="00B61B7C"/>
    <w:rPr>
      <w:rFonts w:ascii="Courier New" w:hAnsi="Courier New" w:cs="Courier New"/>
    </w:rPr>
  </w:style>
  <w:style w:type="character" w:customStyle="1" w:styleId="WW8Num18z2">
    <w:name w:val="WW8Num18z2"/>
    <w:rsid w:val="00B61B7C"/>
    <w:rPr>
      <w:rFonts w:ascii="Wingdings" w:hAnsi="Wingdings" w:cs="Wingdings"/>
    </w:rPr>
  </w:style>
  <w:style w:type="character" w:customStyle="1" w:styleId="WW8Num19z1">
    <w:name w:val="WW8Num19z1"/>
    <w:rsid w:val="00B61B7C"/>
    <w:rPr>
      <w:rFonts w:ascii="Courier New" w:hAnsi="Courier New" w:cs="Courier New"/>
    </w:rPr>
  </w:style>
  <w:style w:type="character" w:customStyle="1" w:styleId="WW8Num19z2">
    <w:name w:val="WW8Num19z2"/>
    <w:rsid w:val="00B61B7C"/>
    <w:rPr>
      <w:rFonts w:ascii="Wingdings" w:hAnsi="Wingdings" w:cs="Wingdings"/>
    </w:rPr>
  </w:style>
  <w:style w:type="character" w:customStyle="1" w:styleId="WW8Num20z1">
    <w:name w:val="WW8Num20z1"/>
    <w:rsid w:val="00B61B7C"/>
    <w:rPr>
      <w:rFonts w:ascii="Courier New" w:hAnsi="Courier New" w:cs="Courier New"/>
    </w:rPr>
  </w:style>
  <w:style w:type="character" w:customStyle="1" w:styleId="WW8Num20z2">
    <w:name w:val="WW8Num20z2"/>
    <w:rsid w:val="00B61B7C"/>
    <w:rPr>
      <w:rFonts w:ascii="Wingdings" w:hAnsi="Wingdings" w:cs="Wingdings"/>
    </w:rPr>
  </w:style>
  <w:style w:type="character" w:customStyle="1" w:styleId="WW8Num21z1">
    <w:name w:val="WW8Num21z1"/>
    <w:rsid w:val="00B61B7C"/>
    <w:rPr>
      <w:rFonts w:ascii="Courier New" w:hAnsi="Courier New" w:cs="Courier New"/>
    </w:rPr>
  </w:style>
  <w:style w:type="character" w:customStyle="1" w:styleId="WW8Num21z2">
    <w:name w:val="WW8Num21z2"/>
    <w:rsid w:val="00B61B7C"/>
    <w:rPr>
      <w:rFonts w:ascii="Wingdings" w:hAnsi="Wingdings" w:cs="Wingdings"/>
    </w:rPr>
  </w:style>
  <w:style w:type="character" w:customStyle="1" w:styleId="WW8Num22z1">
    <w:name w:val="WW8Num22z1"/>
    <w:rsid w:val="00B61B7C"/>
    <w:rPr>
      <w:rFonts w:ascii="Courier New" w:hAnsi="Courier New" w:cs="Courier New"/>
    </w:rPr>
  </w:style>
  <w:style w:type="character" w:customStyle="1" w:styleId="WW8Num22z2">
    <w:name w:val="WW8Num22z2"/>
    <w:rsid w:val="00B61B7C"/>
    <w:rPr>
      <w:rFonts w:ascii="Wingdings" w:hAnsi="Wingdings" w:cs="Wingdings"/>
    </w:rPr>
  </w:style>
  <w:style w:type="character" w:customStyle="1" w:styleId="WW8Num23z1">
    <w:name w:val="WW8Num23z1"/>
    <w:rsid w:val="00B61B7C"/>
    <w:rPr>
      <w:rFonts w:ascii="Courier New" w:hAnsi="Courier New" w:cs="Courier New"/>
    </w:rPr>
  </w:style>
  <w:style w:type="character" w:customStyle="1" w:styleId="WW8Num23z2">
    <w:name w:val="WW8Num23z2"/>
    <w:rsid w:val="00B61B7C"/>
    <w:rPr>
      <w:rFonts w:ascii="Wingdings" w:hAnsi="Wingdings" w:cs="Wingdings"/>
    </w:rPr>
  </w:style>
  <w:style w:type="character" w:customStyle="1" w:styleId="WW8Num24z1">
    <w:name w:val="WW8Num24z1"/>
    <w:rsid w:val="00B61B7C"/>
    <w:rPr>
      <w:rFonts w:ascii="Courier New" w:hAnsi="Courier New" w:cs="Courier New"/>
    </w:rPr>
  </w:style>
  <w:style w:type="character" w:customStyle="1" w:styleId="WW8Num24z2">
    <w:name w:val="WW8Num24z2"/>
    <w:rsid w:val="00B61B7C"/>
    <w:rPr>
      <w:rFonts w:ascii="Wingdings" w:hAnsi="Wingdings" w:cs="Wingdings"/>
    </w:rPr>
  </w:style>
  <w:style w:type="character" w:customStyle="1" w:styleId="WW8Num25z1">
    <w:name w:val="WW8Num25z1"/>
    <w:rsid w:val="00B61B7C"/>
    <w:rPr>
      <w:rFonts w:ascii="Courier New" w:hAnsi="Courier New" w:cs="Courier New"/>
    </w:rPr>
  </w:style>
  <w:style w:type="character" w:customStyle="1" w:styleId="WW8Num25z2">
    <w:name w:val="WW8Num25z2"/>
    <w:rsid w:val="00B61B7C"/>
    <w:rPr>
      <w:rFonts w:ascii="Wingdings" w:hAnsi="Wingdings" w:cs="Wingdings"/>
    </w:rPr>
  </w:style>
  <w:style w:type="character" w:customStyle="1" w:styleId="WW8Num26z1">
    <w:name w:val="WW8Num26z1"/>
    <w:rsid w:val="00B61B7C"/>
    <w:rPr>
      <w:rFonts w:ascii="Courier New" w:hAnsi="Courier New" w:cs="Courier New"/>
    </w:rPr>
  </w:style>
  <w:style w:type="character" w:customStyle="1" w:styleId="WW8Num26z2">
    <w:name w:val="WW8Num26z2"/>
    <w:rsid w:val="00B61B7C"/>
    <w:rPr>
      <w:rFonts w:ascii="Wingdings" w:hAnsi="Wingdings" w:cs="Wingdings"/>
    </w:rPr>
  </w:style>
  <w:style w:type="character" w:customStyle="1" w:styleId="WW8Num27z3">
    <w:name w:val="WW8Num27z3"/>
    <w:rsid w:val="00B61B7C"/>
    <w:rPr>
      <w:rFonts w:ascii="Symbol" w:hAnsi="Symbol" w:cs="Symbol"/>
    </w:rPr>
  </w:style>
  <w:style w:type="character" w:customStyle="1" w:styleId="WW8Num28z1">
    <w:name w:val="WW8Num28z1"/>
    <w:rsid w:val="00B61B7C"/>
    <w:rPr>
      <w:rFonts w:ascii="Courier New" w:hAnsi="Courier New" w:cs="Courier New"/>
    </w:rPr>
  </w:style>
  <w:style w:type="character" w:customStyle="1" w:styleId="WW8Num28z2">
    <w:name w:val="WW8Num28z2"/>
    <w:rsid w:val="00B61B7C"/>
    <w:rPr>
      <w:rFonts w:ascii="Wingdings" w:hAnsi="Wingdings" w:cs="Wingdings"/>
    </w:rPr>
  </w:style>
  <w:style w:type="character" w:customStyle="1" w:styleId="WW8Num29z1">
    <w:name w:val="WW8Num29z1"/>
    <w:rsid w:val="00B61B7C"/>
    <w:rPr>
      <w:rFonts w:ascii="Courier New" w:hAnsi="Courier New" w:cs="Courier New"/>
    </w:rPr>
  </w:style>
  <w:style w:type="character" w:customStyle="1" w:styleId="WW8Num29z2">
    <w:name w:val="WW8Num29z2"/>
    <w:rsid w:val="00B61B7C"/>
    <w:rPr>
      <w:rFonts w:ascii="Wingdings" w:hAnsi="Wingdings" w:cs="Wingdings"/>
    </w:rPr>
  </w:style>
  <w:style w:type="character" w:customStyle="1" w:styleId="WW8Num32z1">
    <w:name w:val="WW8Num32z1"/>
    <w:rsid w:val="00B61B7C"/>
    <w:rPr>
      <w:rFonts w:ascii="Calibri" w:hAnsi="Calibri" w:cs="Calibri"/>
    </w:rPr>
  </w:style>
  <w:style w:type="character" w:customStyle="1" w:styleId="WW8Num32z2">
    <w:name w:val="WW8Num32z2"/>
    <w:rsid w:val="00B61B7C"/>
    <w:rPr>
      <w:rFonts w:ascii="Wingdings" w:hAnsi="Wingdings" w:cs="Wingdings"/>
    </w:rPr>
  </w:style>
  <w:style w:type="character" w:customStyle="1" w:styleId="WW8Num32z4">
    <w:name w:val="WW8Num32z4"/>
    <w:rsid w:val="00B61B7C"/>
    <w:rPr>
      <w:rFonts w:ascii="Courier New" w:hAnsi="Courier New" w:cs="Courier New"/>
    </w:rPr>
  </w:style>
  <w:style w:type="character" w:customStyle="1" w:styleId="WW8Num33z0">
    <w:name w:val="WW8Num33z0"/>
    <w:rsid w:val="00B61B7C"/>
    <w:rPr>
      <w:rFonts w:ascii="Symbol" w:hAnsi="Symbol" w:cs="Symbol"/>
    </w:rPr>
  </w:style>
  <w:style w:type="character" w:customStyle="1" w:styleId="WW8Num35z1">
    <w:name w:val="WW8Num35z1"/>
    <w:rsid w:val="00B61B7C"/>
    <w:rPr>
      <w:rFonts w:ascii="Courier New" w:hAnsi="Courier New" w:cs="Courier New"/>
    </w:rPr>
  </w:style>
  <w:style w:type="character" w:customStyle="1" w:styleId="WW8Num35z2">
    <w:name w:val="WW8Num35z2"/>
    <w:rsid w:val="00B61B7C"/>
    <w:rPr>
      <w:rFonts w:ascii="Wingdings" w:hAnsi="Wingdings" w:cs="Wingdings"/>
    </w:rPr>
  </w:style>
  <w:style w:type="character" w:customStyle="1" w:styleId="WW8Num35z3">
    <w:name w:val="WW8Num35z3"/>
    <w:rsid w:val="00B61B7C"/>
    <w:rPr>
      <w:rFonts w:ascii="Symbol" w:hAnsi="Symbol" w:cs="Symbol"/>
    </w:rPr>
  </w:style>
  <w:style w:type="character" w:customStyle="1" w:styleId="WW8Num36z1">
    <w:name w:val="WW8Num36z1"/>
    <w:rsid w:val="00B61B7C"/>
    <w:rPr>
      <w:rFonts w:ascii="Courier New" w:hAnsi="Courier New" w:cs="Courier New"/>
    </w:rPr>
  </w:style>
  <w:style w:type="character" w:customStyle="1" w:styleId="WW8Num36z2">
    <w:name w:val="WW8Num36z2"/>
    <w:rsid w:val="00B61B7C"/>
    <w:rPr>
      <w:rFonts w:ascii="Wingdings" w:hAnsi="Wingdings" w:cs="Wingdings"/>
    </w:rPr>
  </w:style>
  <w:style w:type="character" w:customStyle="1" w:styleId="WW8Num37z1">
    <w:name w:val="WW8Num37z1"/>
    <w:rsid w:val="00B61B7C"/>
    <w:rPr>
      <w:rFonts w:ascii="Courier New" w:hAnsi="Courier New" w:cs="Courier New"/>
    </w:rPr>
  </w:style>
  <w:style w:type="character" w:customStyle="1" w:styleId="WW8Num37z2">
    <w:name w:val="WW8Num37z2"/>
    <w:rsid w:val="00B61B7C"/>
    <w:rPr>
      <w:rFonts w:ascii="Wingdings" w:hAnsi="Wingdings" w:cs="Wingdings"/>
    </w:rPr>
  </w:style>
  <w:style w:type="character" w:customStyle="1" w:styleId="WW8Num39z1">
    <w:name w:val="WW8Num39z1"/>
    <w:rsid w:val="00B61B7C"/>
    <w:rPr>
      <w:rFonts w:ascii="Calibri" w:hAnsi="Calibri" w:cs="Calibri"/>
    </w:rPr>
  </w:style>
  <w:style w:type="character" w:customStyle="1" w:styleId="WW8Num39z2">
    <w:name w:val="WW8Num39z2"/>
    <w:rsid w:val="00B61B7C"/>
    <w:rPr>
      <w:rFonts w:ascii="Wingdings" w:hAnsi="Wingdings" w:cs="Wingdings"/>
    </w:rPr>
  </w:style>
  <w:style w:type="character" w:customStyle="1" w:styleId="WW8Num39z4">
    <w:name w:val="WW8Num39z4"/>
    <w:rsid w:val="00B61B7C"/>
    <w:rPr>
      <w:rFonts w:ascii="Courier New" w:hAnsi="Courier New" w:cs="Courier New"/>
    </w:rPr>
  </w:style>
  <w:style w:type="character" w:customStyle="1" w:styleId="WW8Num40z1">
    <w:name w:val="WW8Num40z1"/>
    <w:rsid w:val="00B61B7C"/>
    <w:rPr>
      <w:rFonts w:ascii="Courier New" w:hAnsi="Courier New" w:cs="Courier New"/>
    </w:rPr>
  </w:style>
  <w:style w:type="character" w:customStyle="1" w:styleId="WW8Num40z2">
    <w:name w:val="WW8Num40z2"/>
    <w:rsid w:val="00B61B7C"/>
    <w:rPr>
      <w:rFonts w:ascii="Wingdings" w:hAnsi="Wingdings" w:cs="Wingdings"/>
    </w:rPr>
  </w:style>
  <w:style w:type="character" w:customStyle="1" w:styleId="WW8Num41z1">
    <w:name w:val="WW8Num41z1"/>
    <w:rsid w:val="00B61B7C"/>
    <w:rPr>
      <w:rFonts w:ascii="Courier New" w:hAnsi="Courier New" w:cs="Courier New"/>
    </w:rPr>
  </w:style>
  <w:style w:type="character" w:customStyle="1" w:styleId="WW8Num41z2">
    <w:name w:val="WW8Num41z2"/>
    <w:rsid w:val="00B61B7C"/>
    <w:rPr>
      <w:rFonts w:ascii="Wingdings" w:hAnsi="Wingdings" w:cs="Wingdings"/>
    </w:rPr>
  </w:style>
  <w:style w:type="character" w:customStyle="1" w:styleId="WW8Num41z3">
    <w:name w:val="WW8Num41z3"/>
    <w:rsid w:val="00B61B7C"/>
    <w:rPr>
      <w:rFonts w:ascii="Symbol" w:hAnsi="Symbol" w:cs="Symbol"/>
    </w:rPr>
  </w:style>
  <w:style w:type="character" w:customStyle="1" w:styleId="WW8Num42z1">
    <w:name w:val="WW8Num42z1"/>
    <w:rsid w:val="00B61B7C"/>
    <w:rPr>
      <w:rFonts w:ascii="Courier New" w:hAnsi="Courier New" w:cs="Courier New"/>
    </w:rPr>
  </w:style>
  <w:style w:type="character" w:customStyle="1" w:styleId="WW8Num42z2">
    <w:name w:val="WW8Num42z2"/>
    <w:rsid w:val="00B61B7C"/>
    <w:rPr>
      <w:rFonts w:ascii="Wingdings" w:hAnsi="Wingdings" w:cs="Wingdings"/>
    </w:rPr>
  </w:style>
  <w:style w:type="character" w:customStyle="1" w:styleId="WW8Num43z1">
    <w:name w:val="WW8Num43z1"/>
    <w:rsid w:val="00B61B7C"/>
    <w:rPr>
      <w:rFonts w:ascii="Courier New" w:hAnsi="Courier New" w:cs="Courier New"/>
    </w:rPr>
  </w:style>
  <w:style w:type="character" w:customStyle="1" w:styleId="WW8Num43z2">
    <w:name w:val="WW8Num43z2"/>
    <w:rsid w:val="00B61B7C"/>
    <w:rPr>
      <w:rFonts w:ascii="Wingdings" w:hAnsi="Wingdings" w:cs="Wingdings"/>
    </w:rPr>
  </w:style>
  <w:style w:type="character" w:customStyle="1" w:styleId="WW8Num44z1">
    <w:name w:val="WW8Num44z1"/>
    <w:rsid w:val="00B61B7C"/>
    <w:rPr>
      <w:rFonts w:ascii="Courier New" w:hAnsi="Courier New" w:cs="Courier New"/>
    </w:rPr>
  </w:style>
  <w:style w:type="character" w:customStyle="1" w:styleId="WW8Num44z2">
    <w:name w:val="WW8Num44z2"/>
    <w:rsid w:val="00B61B7C"/>
    <w:rPr>
      <w:rFonts w:ascii="Wingdings" w:hAnsi="Wingdings" w:cs="Wingdings"/>
    </w:rPr>
  </w:style>
  <w:style w:type="character" w:customStyle="1" w:styleId="WW8Num45z1">
    <w:name w:val="WW8Num45z1"/>
    <w:rsid w:val="00B61B7C"/>
    <w:rPr>
      <w:rFonts w:ascii="Courier New" w:hAnsi="Courier New" w:cs="Courier New"/>
    </w:rPr>
  </w:style>
  <w:style w:type="character" w:customStyle="1" w:styleId="WW8Num45z2">
    <w:name w:val="WW8Num45z2"/>
    <w:rsid w:val="00B61B7C"/>
    <w:rPr>
      <w:rFonts w:ascii="Wingdings" w:hAnsi="Wingdings" w:cs="Wingdings"/>
    </w:rPr>
  </w:style>
  <w:style w:type="character" w:customStyle="1" w:styleId="WW8Num46z1">
    <w:name w:val="WW8Num46z1"/>
    <w:rsid w:val="00B61B7C"/>
    <w:rPr>
      <w:rFonts w:ascii="Courier New" w:hAnsi="Courier New" w:cs="Courier New"/>
    </w:rPr>
  </w:style>
  <w:style w:type="character" w:customStyle="1" w:styleId="WW8Num46z2">
    <w:name w:val="WW8Num46z2"/>
    <w:rsid w:val="00B61B7C"/>
    <w:rPr>
      <w:rFonts w:ascii="Wingdings" w:hAnsi="Wingdings" w:cs="Wingdings"/>
    </w:rPr>
  </w:style>
  <w:style w:type="character" w:customStyle="1" w:styleId="WW8Num47z1">
    <w:name w:val="WW8Num47z1"/>
    <w:rsid w:val="00B61B7C"/>
    <w:rPr>
      <w:rFonts w:ascii="Courier New" w:hAnsi="Courier New" w:cs="Courier New"/>
    </w:rPr>
  </w:style>
  <w:style w:type="character" w:customStyle="1" w:styleId="WW8Num47z2">
    <w:name w:val="WW8Num47z2"/>
    <w:rsid w:val="00B61B7C"/>
    <w:rPr>
      <w:rFonts w:ascii="Wingdings" w:hAnsi="Wingdings" w:cs="Wingdings"/>
    </w:rPr>
  </w:style>
  <w:style w:type="character" w:customStyle="1" w:styleId="WW8Num47z3">
    <w:name w:val="WW8Num47z3"/>
    <w:rsid w:val="00B61B7C"/>
    <w:rPr>
      <w:rFonts w:ascii="Symbol" w:hAnsi="Symbol" w:cs="Symbol"/>
    </w:rPr>
  </w:style>
  <w:style w:type="character" w:customStyle="1" w:styleId="WW8Num48z1">
    <w:name w:val="WW8Num48z1"/>
    <w:rsid w:val="00B61B7C"/>
    <w:rPr>
      <w:rFonts w:ascii="Courier New" w:hAnsi="Courier New" w:cs="Courier New"/>
    </w:rPr>
  </w:style>
  <w:style w:type="character" w:customStyle="1" w:styleId="WW8Num48z2">
    <w:name w:val="WW8Num48z2"/>
    <w:rsid w:val="00B61B7C"/>
    <w:rPr>
      <w:rFonts w:ascii="Wingdings" w:hAnsi="Wingdings" w:cs="Wingdings"/>
    </w:rPr>
  </w:style>
  <w:style w:type="character" w:customStyle="1" w:styleId="WW8Num50z1">
    <w:name w:val="WW8Num50z1"/>
    <w:rsid w:val="00B61B7C"/>
    <w:rPr>
      <w:rFonts w:ascii="Courier New" w:hAnsi="Courier New" w:cs="Courier New"/>
    </w:rPr>
  </w:style>
  <w:style w:type="character" w:customStyle="1" w:styleId="WW8Num50z2">
    <w:name w:val="WW8Num50z2"/>
    <w:rsid w:val="00B61B7C"/>
    <w:rPr>
      <w:rFonts w:ascii="Wingdings" w:hAnsi="Wingdings" w:cs="Wingdings"/>
    </w:rPr>
  </w:style>
  <w:style w:type="character" w:customStyle="1" w:styleId="WW8Num51z0">
    <w:name w:val="WW8Num51z0"/>
    <w:rsid w:val="00B61B7C"/>
    <w:rPr>
      <w:rFonts w:ascii="Symbol" w:hAnsi="Symbol" w:cs="Symbol"/>
    </w:rPr>
  </w:style>
  <w:style w:type="character" w:customStyle="1" w:styleId="WW8Num51z1">
    <w:name w:val="WW8Num51z1"/>
    <w:rsid w:val="00B61B7C"/>
    <w:rPr>
      <w:rFonts w:ascii="Courier New" w:hAnsi="Courier New" w:cs="Courier New"/>
    </w:rPr>
  </w:style>
  <w:style w:type="character" w:customStyle="1" w:styleId="WW8Num51z2">
    <w:name w:val="WW8Num51z2"/>
    <w:rsid w:val="00B61B7C"/>
    <w:rPr>
      <w:rFonts w:ascii="Wingdings" w:hAnsi="Wingdings" w:cs="Wingdings"/>
    </w:rPr>
  </w:style>
  <w:style w:type="character" w:customStyle="1" w:styleId="WW8Num52z0">
    <w:name w:val="WW8Num52z0"/>
    <w:rsid w:val="00B61B7C"/>
    <w:rPr>
      <w:rFonts w:ascii="Symbol" w:hAnsi="Symbol" w:cs="Symbol"/>
    </w:rPr>
  </w:style>
  <w:style w:type="character" w:customStyle="1" w:styleId="WW8Num52z1">
    <w:name w:val="WW8Num52z1"/>
    <w:rsid w:val="00B61B7C"/>
    <w:rPr>
      <w:rFonts w:ascii="Courier New" w:hAnsi="Courier New" w:cs="Courier New"/>
    </w:rPr>
  </w:style>
  <w:style w:type="character" w:customStyle="1" w:styleId="WW8Num52z2">
    <w:name w:val="WW8Num52z2"/>
    <w:rsid w:val="00B61B7C"/>
    <w:rPr>
      <w:rFonts w:ascii="Wingdings" w:hAnsi="Wingdings" w:cs="Wingdings"/>
    </w:rPr>
  </w:style>
  <w:style w:type="character" w:customStyle="1" w:styleId="WW8Num53z0">
    <w:name w:val="WW8Num53z0"/>
    <w:rsid w:val="00B61B7C"/>
    <w:rPr>
      <w:rFonts w:ascii="Symbol" w:hAnsi="Symbol" w:cs="Symbol"/>
    </w:rPr>
  </w:style>
  <w:style w:type="character" w:customStyle="1" w:styleId="WW8Num53z1">
    <w:name w:val="WW8Num53z1"/>
    <w:rsid w:val="00B61B7C"/>
    <w:rPr>
      <w:rFonts w:ascii="Courier New" w:hAnsi="Courier New" w:cs="Courier New"/>
    </w:rPr>
  </w:style>
  <w:style w:type="character" w:customStyle="1" w:styleId="WW8Num53z2">
    <w:name w:val="WW8Num53z2"/>
    <w:rsid w:val="00B61B7C"/>
    <w:rPr>
      <w:rFonts w:ascii="Wingdings" w:hAnsi="Wingdings" w:cs="Wingdings"/>
    </w:rPr>
  </w:style>
  <w:style w:type="character" w:customStyle="1" w:styleId="WW8Num54z0">
    <w:name w:val="WW8Num54z0"/>
    <w:rsid w:val="00B61B7C"/>
    <w:rPr>
      <w:rFonts w:ascii="Symbol" w:hAnsi="Symbol" w:cs="Symbol"/>
    </w:rPr>
  </w:style>
  <w:style w:type="character" w:customStyle="1" w:styleId="WW8Num54z1">
    <w:name w:val="WW8Num54z1"/>
    <w:rsid w:val="00B61B7C"/>
    <w:rPr>
      <w:rFonts w:ascii="Courier New" w:hAnsi="Courier New" w:cs="Courier New"/>
    </w:rPr>
  </w:style>
  <w:style w:type="character" w:customStyle="1" w:styleId="WW8Num54z2">
    <w:name w:val="WW8Num54z2"/>
    <w:rsid w:val="00B61B7C"/>
    <w:rPr>
      <w:rFonts w:ascii="Wingdings" w:hAnsi="Wingdings" w:cs="Wingdings"/>
    </w:rPr>
  </w:style>
  <w:style w:type="character" w:customStyle="1" w:styleId="1fe">
    <w:name w:val="Основной шрифт абзаца1"/>
    <w:rsid w:val="00B61B7C"/>
  </w:style>
  <w:style w:type="character" w:customStyle="1" w:styleId="affffd">
    <w:name w:val="Символ сноски"/>
    <w:rsid w:val="00B61B7C"/>
    <w:rPr>
      <w:rFonts w:cs="Times New Roman"/>
      <w:vertAlign w:val="superscript"/>
    </w:rPr>
  </w:style>
  <w:style w:type="character" w:customStyle="1" w:styleId="affffe">
    <w:name w:val="Символы концевой сноски"/>
    <w:rsid w:val="00B61B7C"/>
    <w:rPr>
      <w:vertAlign w:val="superscript"/>
    </w:rPr>
  </w:style>
  <w:style w:type="character" w:customStyle="1" w:styleId="afffff">
    <w:name w:val="Маркеры списка"/>
    <w:rsid w:val="00B61B7C"/>
    <w:rPr>
      <w:rFonts w:ascii="OpenSymbol" w:eastAsia="OpenSymbol" w:hAnsi="OpenSymbol" w:cs="OpenSymbol"/>
    </w:rPr>
  </w:style>
  <w:style w:type="paragraph" w:customStyle="1" w:styleId="2a">
    <w:name w:val="Название2"/>
    <w:basedOn w:val="a1"/>
    <w:rsid w:val="00B61B7C"/>
    <w:pPr>
      <w:suppressLineNumbers/>
      <w:suppressAutoHyphens/>
      <w:spacing w:before="120" w:after="120" w:line="288" w:lineRule="auto"/>
      <w:ind w:firstLine="567"/>
    </w:pPr>
    <w:rPr>
      <w:rFonts w:ascii="Calibri" w:eastAsia="Calibri" w:hAnsi="Calibri" w:cs="Mangal"/>
      <w:i/>
      <w:iCs/>
      <w:szCs w:val="24"/>
      <w:lang w:eastAsia="ar-SA"/>
    </w:rPr>
  </w:style>
  <w:style w:type="paragraph" w:customStyle="1" w:styleId="2b">
    <w:name w:val="Указатель2"/>
    <w:basedOn w:val="a1"/>
    <w:rsid w:val="00B61B7C"/>
    <w:pPr>
      <w:suppressLineNumbers/>
      <w:suppressAutoHyphens/>
      <w:spacing w:line="288" w:lineRule="auto"/>
      <w:ind w:firstLine="567"/>
    </w:pPr>
    <w:rPr>
      <w:rFonts w:ascii="Calibri" w:eastAsia="Calibri" w:hAnsi="Calibri" w:cs="Mangal"/>
      <w:sz w:val="22"/>
      <w:lang w:eastAsia="ar-SA"/>
    </w:rPr>
  </w:style>
  <w:style w:type="paragraph" w:customStyle="1" w:styleId="1ff">
    <w:name w:val="Указатель1"/>
    <w:basedOn w:val="a1"/>
    <w:rsid w:val="00B61B7C"/>
    <w:pPr>
      <w:suppressLineNumbers/>
      <w:suppressAutoHyphens/>
      <w:spacing w:line="288" w:lineRule="auto"/>
      <w:ind w:firstLine="567"/>
    </w:pPr>
    <w:rPr>
      <w:rFonts w:ascii="Calibri" w:eastAsia="Calibri" w:hAnsi="Calibri" w:cs="Mangal"/>
      <w:sz w:val="22"/>
      <w:lang w:eastAsia="ar-SA"/>
    </w:rPr>
  </w:style>
  <w:style w:type="paragraph" w:customStyle="1" w:styleId="afffff0">
    <w:name w:val="Заголовок таблицы"/>
    <w:basedOn w:val="affffa"/>
    <w:rsid w:val="00B61B7C"/>
    <w:pPr>
      <w:jc w:val="center"/>
    </w:pPr>
    <w:rPr>
      <w:b/>
      <w:bCs/>
    </w:rPr>
  </w:style>
  <w:style w:type="character" w:customStyle="1" w:styleId="slug-pub-date3">
    <w:name w:val="slug-pub-date3"/>
    <w:rsid w:val="00B61B7C"/>
    <w:rPr>
      <w:b/>
      <w:bCs/>
    </w:rPr>
  </w:style>
  <w:style w:type="character" w:customStyle="1" w:styleId="slug-vol">
    <w:name w:val="slug-vol"/>
    <w:rsid w:val="00B61B7C"/>
  </w:style>
  <w:style w:type="character" w:customStyle="1" w:styleId="slug-issue">
    <w:name w:val="slug-issue"/>
    <w:rsid w:val="00B61B7C"/>
  </w:style>
  <w:style w:type="character" w:customStyle="1" w:styleId="slug-pages3">
    <w:name w:val="slug-pages3"/>
    <w:rsid w:val="00B61B7C"/>
    <w:rPr>
      <w:b/>
      <w:bCs/>
    </w:rPr>
  </w:style>
  <w:style w:type="paragraph" w:customStyle="1" w:styleId="LTGliederung1">
    <w:name w:val="???????~LT~Gliederung 1"/>
    <w:rsid w:val="00B61B7C"/>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pPr>
    <w:rPr>
      <w:rFonts w:ascii="Mangal" w:eastAsia="Mangal" w:hAnsi="Mangal" w:cs="Mangal"/>
      <w:color w:val="000000"/>
      <w:sz w:val="64"/>
      <w:szCs w:val="64"/>
      <w:lang w:eastAsia="hi-IN" w:bidi="hi-IN"/>
    </w:rPr>
  </w:style>
  <w:style w:type="character" w:customStyle="1" w:styleId="9PalatinoLinotype">
    <w:name w:val="Основной текст (9) + Palatino Linotype"/>
    <w:aliases w:val="7,5 pt"/>
    <w:uiPriority w:val="99"/>
    <w:rsid w:val="00B61B7C"/>
    <w:rPr>
      <w:rFonts w:ascii="Palatino Linotype" w:hAnsi="Palatino Linotype" w:cs="Palatino Linotype"/>
      <w:spacing w:val="0"/>
      <w:sz w:val="15"/>
      <w:szCs w:val="15"/>
    </w:rPr>
  </w:style>
  <w:style w:type="table" w:customStyle="1" w:styleId="510">
    <w:name w:val="Таблица простая 51"/>
    <w:basedOn w:val="a4"/>
    <w:uiPriority w:val="45"/>
    <w:rsid w:val="00B61B7C"/>
    <w:rPr>
      <w:rFonts w:ascii="Calibri" w:eastAsia="Calibri" w:hAnsi="Calibri" w:cs="Times New Roman"/>
      <w:szCs w:val="20"/>
      <w:lang w:eastAsia="ru-RU"/>
    </w:rPr>
    <w:tblPr>
      <w:tblStyleRowBandSize w:val="1"/>
      <w:tblStyleColBandSize w:val="1"/>
    </w:tblPr>
    <w:tblStylePr w:type="firstRow">
      <w:rPr>
        <w:rFonts w:ascii="Arial Unicode MS" w:eastAsia="Times New Roman" w:hAnsi="Arial Unicode MS" w:cs="Times New Roman"/>
        <w:i/>
        <w:iCs/>
        <w:sz w:val="26"/>
      </w:rPr>
      <w:tblPr/>
      <w:tcPr>
        <w:tcBorders>
          <w:bottom w:val="single" w:sz="4" w:space="0" w:color="7F7F7F"/>
        </w:tcBorders>
        <w:shd w:val="clear" w:color="auto" w:fill="FFFFFF"/>
      </w:tcPr>
    </w:tblStylePr>
    <w:tblStylePr w:type="lastRow">
      <w:rPr>
        <w:rFonts w:ascii="Arial Unicode MS" w:eastAsia="Times New Roman" w:hAnsi="Arial Unicode MS" w:cs="Times New Roman"/>
        <w:i/>
        <w:iCs/>
        <w:sz w:val="26"/>
      </w:rPr>
      <w:tblPr/>
      <w:tcPr>
        <w:tcBorders>
          <w:top w:val="single" w:sz="4" w:space="0" w:color="7F7F7F"/>
        </w:tcBorders>
        <w:shd w:val="clear" w:color="auto" w:fill="FFFFFF"/>
      </w:tcPr>
    </w:tblStylePr>
    <w:tblStylePr w:type="firstCol">
      <w:pPr>
        <w:jc w:val="right"/>
      </w:pPr>
      <w:rPr>
        <w:rFonts w:ascii="Arial Unicode MS" w:eastAsia="Times New Roman" w:hAnsi="Arial Unicode MS" w:cs="Times New Roman"/>
        <w:i/>
        <w:iCs/>
        <w:sz w:val="26"/>
      </w:rPr>
      <w:tblPr/>
      <w:tcPr>
        <w:tcBorders>
          <w:right w:val="single" w:sz="4" w:space="0" w:color="7F7F7F"/>
        </w:tcBorders>
        <w:shd w:val="clear" w:color="auto" w:fill="FFFFFF"/>
      </w:tcPr>
    </w:tblStylePr>
    <w:tblStylePr w:type="lastCol">
      <w:rPr>
        <w:rFonts w:ascii="Arial Unicode MS" w:eastAsia="Times New Roman" w:hAnsi="Arial Unicode MS"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bsatz-Standardschriftart">
    <w:name w:val="Absatz-Standardschriftart"/>
    <w:rsid w:val="00B61B7C"/>
  </w:style>
  <w:style w:type="character" w:customStyle="1" w:styleId="WW-Absatz-Standardschriftart">
    <w:name w:val="WW-Absatz-Standardschriftart"/>
    <w:rsid w:val="00B61B7C"/>
  </w:style>
  <w:style w:type="paragraph" w:customStyle="1" w:styleId="p1">
    <w:name w:val="p1"/>
    <w:basedOn w:val="a1"/>
    <w:rsid w:val="00B61B7C"/>
    <w:pPr>
      <w:spacing w:line="240" w:lineRule="auto"/>
      <w:ind w:firstLine="0"/>
      <w:jc w:val="left"/>
    </w:pPr>
    <w:rPr>
      <w:rFonts w:ascii="Helvetica Neue" w:eastAsia="Calibri" w:hAnsi="Helvetica Neue" w:cs="Times New Roman"/>
      <w:color w:val="000000"/>
      <w:sz w:val="20"/>
      <w:szCs w:val="20"/>
      <w:lang w:eastAsia="ru-RU"/>
    </w:rPr>
  </w:style>
  <w:style w:type="paragraph" w:customStyle="1" w:styleId="ListParagraph1">
    <w:name w:val="List Paragraph1"/>
    <w:basedOn w:val="a1"/>
    <w:rsid w:val="00B61B7C"/>
    <w:pPr>
      <w:suppressAutoHyphens/>
      <w:spacing w:after="200" w:line="276" w:lineRule="auto"/>
      <w:ind w:firstLine="0"/>
      <w:jc w:val="left"/>
    </w:pPr>
    <w:rPr>
      <w:rFonts w:ascii="Calibri" w:eastAsia="Calibri" w:hAnsi="Calibri" w:cs="Calibri"/>
      <w:sz w:val="22"/>
      <w:lang w:val="nl-NL" w:eastAsia="ar-SA"/>
    </w:rPr>
  </w:style>
  <w:style w:type="character" w:customStyle="1" w:styleId="Caaieiaie1Ciae">
    <w:name w:val="Caaieiaie 1 Ciae"/>
    <w:uiPriority w:val="99"/>
    <w:rsid w:val="00B61B7C"/>
    <w:rPr>
      <w:rFonts w:ascii="Cambria" w:hAnsi="Cambria" w:cs="Cambria"/>
      <w:b/>
      <w:bCs/>
      <w:kern w:val="32"/>
      <w:sz w:val="32"/>
      <w:szCs w:val="32"/>
    </w:rPr>
  </w:style>
  <w:style w:type="character" w:customStyle="1" w:styleId="Caaieiaie2Ciae">
    <w:name w:val="Caaieiaie 2 Ciae"/>
    <w:uiPriority w:val="99"/>
    <w:rsid w:val="00B61B7C"/>
    <w:rPr>
      <w:rFonts w:ascii="Cambria" w:hAnsi="Cambria" w:cs="Cambria"/>
      <w:b/>
      <w:bCs/>
      <w:i/>
      <w:iCs/>
      <w:sz w:val="28"/>
      <w:szCs w:val="28"/>
    </w:rPr>
  </w:style>
  <w:style w:type="character" w:customStyle="1" w:styleId="Caaieiaie3Ciae">
    <w:name w:val="Caaieiaie 3 Ciae"/>
    <w:uiPriority w:val="99"/>
    <w:rsid w:val="00B61B7C"/>
    <w:rPr>
      <w:rFonts w:ascii="Cambria" w:hAnsi="Cambria" w:cs="Cambria"/>
      <w:b/>
      <w:bCs/>
      <w:sz w:val="26"/>
      <w:szCs w:val="26"/>
    </w:rPr>
  </w:style>
  <w:style w:type="character" w:customStyle="1" w:styleId="Caaieiaie4Ciae">
    <w:name w:val="Caaieiaie 4 Ciae"/>
    <w:uiPriority w:val="99"/>
    <w:rsid w:val="00B61B7C"/>
    <w:rPr>
      <w:rFonts w:ascii="Times New Roman" w:hAnsi="Times New Roman" w:cs="Times New Roman"/>
      <w:b/>
      <w:bCs/>
      <w:sz w:val="28"/>
      <w:szCs w:val="28"/>
    </w:rPr>
  </w:style>
  <w:style w:type="character" w:customStyle="1" w:styleId="Caaieiaie5Ciae">
    <w:name w:val="Caaieiaie 5 Ciae"/>
    <w:uiPriority w:val="99"/>
    <w:rsid w:val="00B61B7C"/>
    <w:rPr>
      <w:rFonts w:cs="Times New Roman"/>
      <w:b/>
      <w:bCs/>
      <w:i/>
      <w:iCs/>
      <w:sz w:val="26"/>
      <w:szCs w:val="26"/>
    </w:rPr>
  </w:style>
  <w:style w:type="character" w:customStyle="1" w:styleId="Caaieiaie6Ciae">
    <w:name w:val="Caaieiaie 6 Ciae"/>
    <w:uiPriority w:val="99"/>
    <w:rsid w:val="00B61B7C"/>
    <w:rPr>
      <w:rFonts w:cs="Times New Roman"/>
      <w:b/>
      <w:bCs/>
    </w:rPr>
  </w:style>
  <w:style w:type="character" w:customStyle="1" w:styleId="Caaieiaie7Ciae">
    <w:name w:val="Caaieiaie 7 Ciae"/>
    <w:uiPriority w:val="99"/>
    <w:rsid w:val="00B61B7C"/>
    <w:rPr>
      <w:rFonts w:cs="Times New Roman"/>
      <w:sz w:val="24"/>
      <w:szCs w:val="24"/>
    </w:rPr>
  </w:style>
  <w:style w:type="character" w:customStyle="1" w:styleId="Caaieiaie1Ciae1">
    <w:name w:val="Caaieiaie 1 Ciae1"/>
    <w:uiPriority w:val="99"/>
    <w:rsid w:val="00B61B7C"/>
    <w:rPr>
      <w:rFonts w:ascii="Cambria" w:hAnsi="Cambria" w:cs="Cambria"/>
      <w:b/>
      <w:bCs/>
      <w:kern w:val="32"/>
      <w:sz w:val="32"/>
      <w:szCs w:val="32"/>
    </w:rPr>
  </w:style>
  <w:style w:type="character" w:customStyle="1" w:styleId="Caaieiaie2Ciae1">
    <w:name w:val="Caaieiaie 2 Ciae1"/>
    <w:uiPriority w:val="99"/>
    <w:rsid w:val="00B61B7C"/>
    <w:rPr>
      <w:rFonts w:ascii="Cambria" w:hAnsi="Cambria" w:cs="Cambria"/>
      <w:b/>
      <w:bCs/>
      <w:i/>
      <w:iCs/>
      <w:sz w:val="28"/>
      <w:szCs w:val="28"/>
    </w:rPr>
  </w:style>
  <w:style w:type="character" w:customStyle="1" w:styleId="Caaieiaie3Ciae1">
    <w:name w:val="Caaieiaie 3 Ciae1"/>
    <w:uiPriority w:val="99"/>
    <w:rsid w:val="00B61B7C"/>
    <w:rPr>
      <w:rFonts w:ascii="Cambria" w:hAnsi="Cambria" w:cs="Cambria"/>
      <w:b/>
      <w:bCs/>
      <w:sz w:val="26"/>
      <w:szCs w:val="26"/>
    </w:rPr>
  </w:style>
  <w:style w:type="character" w:customStyle="1" w:styleId="Caaieiaie4Ciae1">
    <w:name w:val="Caaieiaie 4 Ciae1"/>
    <w:uiPriority w:val="99"/>
    <w:rsid w:val="00B61B7C"/>
    <w:rPr>
      <w:rFonts w:ascii="Times New Roman" w:hAnsi="Times New Roman" w:cs="Times New Roman"/>
      <w:b/>
      <w:bCs/>
      <w:sz w:val="28"/>
      <w:szCs w:val="28"/>
    </w:rPr>
  </w:style>
  <w:style w:type="character" w:customStyle="1" w:styleId="Caaieiaie5Ciae1">
    <w:name w:val="Caaieiaie 5 Ciae1"/>
    <w:uiPriority w:val="99"/>
    <w:rsid w:val="00B61B7C"/>
    <w:rPr>
      <w:rFonts w:cs="Times New Roman"/>
      <w:b/>
      <w:bCs/>
      <w:i/>
      <w:iCs/>
      <w:sz w:val="26"/>
      <w:szCs w:val="26"/>
    </w:rPr>
  </w:style>
  <w:style w:type="character" w:customStyle="1" w:styleId="Caaieiaie6Ciae1">
    <w:name w:val="Caaieiaie 6 Ciae1"/>
    <w:uiPriority w:val="99"/>
    <w:rsid w:val="00B61B7C"/>
    <w:rPr>
      <w:rFonts w:cs="Times New Roman"/>
      <w:b/>
      <w:bCs/>
    </w:rPr>
  </w:style>
  <w:style w:type="character" w:customStyle="1" w:styleId="Caaieiaie7Ciae1">
    <w:name w:val="Caaieiaie 7 Ciae1"/>
    <w:uiPriority w:val="99"/>
    <w:rsid w:val="00B61B7C"/>
    <w:rPr>
      <w:rFonts w:cs="Times New Roman"/>
      <w:sz w:val="24"/>
      <w:szCs w:val="24"/>
    </w:rPr>
  </w:style>
  <w:style w:type="paragraph" w:customStyle="1" w:styleId="Heading5">
    <w:name w:val="Heading5"/>
    <w:basedOn w:val="a1"/>
    <w:uiPriority w:val="99"/>
    <w:rsid w:val="00B61B7C"/>
    <w:pPr>
      <w:autoSpaceDE w:val="0"/>
      <w:autoSpaceDN w:val="0"/>
      <w:adjustRightInd w:val="0"/>
      <w:spacing w:before="100" w:after="100" w:line="240" w:lineRule="auto"/>
      <w:ind w:firstLine="0"/>
      <w:jc w:val="left"/>
    </w:pPr>
    <w:rPr>
      <w:rFonts w:eastAsia="Times New Roman" w:cs="Times New Roman"/>
      <w:b/>
      <w:bCs/>
      <w:i/>
      <w:iCs/>
      <w:szCs w:val="24"/>
      <w:lang w:eastAsia="ru-RU"/>
    </w:rPr>
  </w:style>
  <w:style w:type="paragraph" w:customStyle="1" w:styleId="FitzBullet">
    <w:name w:val="FitzBullet"/>
    <w:basedOn w:val="a1"/>
    <w:rsid w:val="00B61B7C"/>
    <w:pPr>
      <w:shd w:val="clear" w:color="auto" w:fill="FFFFFF"/>
      <w:tabs>
        <w:tab w:val="left" w:pos="317"/>
      </w:tabs>
      <w:autoSpaceDE w:val="0"/>
      <w:autoSpaceDN w:val="0"/>
      <w:adjustRightInd w:val="0"/>
      <w:spacing w:before="60" w:after="60" w:line="240" w:lineRule="auto"/>
      <w:ind w:left="283" w:hanging="283"/>
      <w:jc w:val="left"/>
    </w:pPr>
    <w:rPr>
      <w:rFonts w:eastAsia="Times New Roman" w:cs="Times New Roman"/>
      <w:color w:val="000000"/>
      <w:szCs w:val="24"/>
      <w:lang w:eastAsia="ru-RU"/>
    </w:rPr>
  </w:style>
  <w:style w:type="paragraph" w:customStyle="1" w:styleId="author">
    <w:name w:val="author"/>
    <w:basedOn w:val="3"/>
    <w:uiPriority w:val="99"/>
    <w:rsid w:val="00B61B7C"/>
    <w:pPr>
      <w:widowControl w:val="0"/>
      <w:shd w:val="clear" w:color="auto" w:fill="FFFFFF"/>
      <w:autoSpaceDE w:val="0"/>
      <w:autoSpaceDN w:val="0"/>
      <w:adjustRightInd w:val="0"/>
      <w:spacing w:after="40" w:line="240" w:lineRule="auto"/>
      <w:jc w:val="left"/>
      <w:outlineLvl w:val="9"/>
    </w:pPr>
    <w:rPr>
      <w:rFonts w:ascii="Arial" w:eastAsia="Times New Roman" w:hAnsi="Arial" w:cs="Arial"/>
      <w:color w:val="auto"/>
      <w:sz w:val="26"/>
      <w:szCs w:val="26"/>
      <w:lang w:val="en-US" w:eastAsia="ru-RU"/>
    </w:rPr>
  </w:style>
  <w:style w:type="paragraph" w:customStyle="1" w:styleId="Bullet-2">
    <w:name w:val="Bullet-2"/>
    <w:basedOn w:val="FitzBullet"/>
    <w:uiPriority w:val="99"/>
    <w:rsid w:val="00B61B7C"/>
    <w:pPr>
      <w:tabs>
        <w:tab w:val="clear" w:pos="317"/>
        <w:tab w:val="left" w:pos="1134"/>
      </w:tabs>
      <w:ind w:left="1417"/>
    </w:pPr>
    <w:rPr>
      <w:lang w:val="en-US"/>
    </w:rPr>
  </w:style>
  <w:style w:type="character" w:customStyle="1" w:styleId="sokr">
    <w:name w:val="sokr"/>
    <w:rsid w:val="00B61B7C"/>
  </w:style>
  <w:style w:type="paragraph" w:customStyle="1" w:styleId="opisdvfld">
    <w:name w:val="opis_dvfld"/>
    <w:basedOn w:val="a1"/>
    <w:rsid w:val="00B61B7C"/>
    <w:pPr>
      <w:spacing w:before="100" w:beforeAutospacing="1" w:after="100" w:afterAutospacing="1" w:line="240" w:lineRule="auto"/>
      <w:ind w:firstLine="0"/>
      <w:jc w:val="left"/>
    </w:pPr>
    <w:rPr>
      <w:rFonts w:eastAsia="Times New Roman" w:cs="Times New Roman"/>
      <w:szCs w:val="24"/>
      <w:lang w:eastAsia="ru-RU"/>
    </w:rPr>
  </w:style>
  <w:style w:type="paragraph" w:customStyle="1" w:styleId="afffff1">
    <w:name w:val="Литература"/>
    <w:basedOn w:val="a1"/>
    <w:qFormat/>
    <w:rsid w:val="00B61B7C"/>
    <w:pPr>
      <w:suppressAutoHyphens/>
      <w:spacing w:after="120" w:line="240" w:lineRule="auto"/>
      <w:ind w:firstLine="0"/>
      <w:jc w:val="left"/>
    </w:pPr>
    <w:rPr>
      <w:rFonts w:eastAsia="Calibri" w:cs="Times New Roman"/>
      <w:i/>
      <w:kern w:val="2"/>
      <w:szCs w:val="24"/>
      <w:lang w:val="en-US"/>
    </w:rPr>
  </w:style>
  <w:style w:type="character" w:customStyle="1" w:styleId="cit">
    <w:name w:val="cit"/>
    <w:basedOn w:val="a3"/>
    <w:rsid w:val="00B61B7C"/>
  </w:style>
  <w:style w:type="character" w:customStyle="1" w:styleId="al-author-delim">
    <w:name w:val="al-author-delim"/>
    <w:basedOn w:val="a3"/>
    <w:rsid w:val="00B61B7C"/>
  </w:style>
  <w:style w:type="character" w:styleId="afffff2">
    <w:name w:val="line number"/>
    <w:basedOn w:val="a3"/>
    <w:uiPriority w:val="99"/>
    <w:semiHidden/>
    <w:unhideWhenUsed/>
    <w:rsid w:val="00B61B7C"/>
  </w:style>
  <w:style w:type="character" w:customStyle="1" w:styleId="author-sup-separator">
    <w:name w:val="author-sup-separator"/>
    <w:rsid w:val="00B61B7C"/>
  </w:style>
  <w:style w:type="character" w:customStyle="1" w:styleId="comma">
    <w:name w:val="comma"/>
    <w:rsid w:val="00B61B7C"/>
  </w:style>
  <w:style w:type="character" w:customStyle="1" w:styleId="citation-doi">
    <w:name w:val="citation-doi"/>
    <w:rsid w:val="00B61B7C"/>
  </w:style>
  <w:style w:type="character" w:customStyle="1" w:styleId="st">
    <w:name w:val="st"/>
    <w:rsid w:val="00B61B7C"/>
  </w:style>
  <w:style w:type="character" w:customStyle="1" w:styleId="2c">
    <w:name w:val="Строгий2"/>
    <w:rsid w:val="00B61B7C"/>
  </w:style>
  <w:style w:type="character" w:customStyle="1" w:styleId="pagelast">
    <w:name w:val="pagelast"/>
    <w:uiPriority w:val="99"/>
    <w:rsid w:val="00B61B7C"/>
    <w:rPr>
      <w:rFonts w:cs="Times New Roman"/>
    </w:rPr>
  </w:style>
  <w:style w:type="paragraph" w:customStyle="1" w:styleId="Autor">
    <w:name w:val="Autor"/>
    <w:basedOn w:val="a1"/>
    <w:rsid w:val="00B61B7C"/>
    <w:pPr>
      <w:widowControl w:val="0"/>
      <w:shd w:val="clear" w:color="auto" w:fill="FFFFFF"/>
      <w:overflowPunct w:val="0"/>
      <w:autoSpaceDE w:val="0"/>
      <w:autoSpaceDN w:val="0"/>
      <w:adjustRightInd w:val="0"/>
      <w:spacing w:before="120" w:line="240" w:lineRule="atLeast"/>
      <w:ind w:firstLine="0"/>
      <w:jc w:val="left"/>
      <w:textAlignment w:val="baseline"/>
    </w:pPr>
    <w:rPr>
      <w:rFonts w:eastAsia="Calibri" w:cs="Times New Roman"/>
      <w:i/>
      <w:iCs/>
      <w:sz w:val="22"/>
      <w:lang w:val="en-US" w:eastAsia="ru-RU"/>
    </w:rPr>
  </w:style>
  <w:style w:type="paragraph" w:customStyle="1" w:styleId="table-name">
    <w:name w:val="table-name"/>
    <w:basedOn w:val="a1"/>
    <w:rsid w:val="00B61B7C"/>
    <w:pPr>
      <w:autoSpaceDE w:val="0"/>
      <w:autoSpaceDN w:val="0"/>
      <w:adjustRightInd w:val="0"/>
      <w:spacing w:before="40" w:line="240" w:lineRule="auto"/>
      <w:ind w:firstLine="425"/>
      <w:jc w:val="left"/>
    </w:pPr>
    <w:rPr>
      <w:rFonts w:eastAsia="Times New Roman" w:cs="Times New Roman"/>
      <w:b/>
      <w:bCs/>
      <w:color w:val="000000"/>
      <w:sz w:val="20"/>
      <w:szCs w:val="20"/>
      <w:lang w:val="en-US" w:eastAsia="ru-RU"/>
    </w:rPr>
  </w:style>
  <w:style w:type="paragraph" w:customStyle="1" w:styleId="Table-head-italic">
    <w:name w:val="Table-head-italic"/>
    <w:basedOn w:val="a1"/>
    <w:rsid w:val="00B61B7C"/>
    <w:pPr>
      <w:widowControl w:val="0"/>
      <w:shd w:val="clear" w:color="auto" w:fill="FFFFFF"/>
      <w:autoSpaceDE w:val="0"/>
      <w:autoSpaceDN w:val="0"/>
      <w:adjustRightInd w:val="0"/>
      <w:spacing w:line="240" w:lineRule="auto"/>
      <w:ind w:firstLine="0"/>
      <w:jc w:val="left"/>
    </w:pPr>
    <w:rPr>
      <w:rFonts w:eastAsia="Times New Roman" w:cs="Times New Roman"/>
      <w:i/>
      <w:iCs/>
      <w:sz w:val="18"/>
      <w:szCs w:val="18"/>
      <w:lang w:val="en-US" w:eastAsia="ru-RU"/>
    </w:rPr>
  </w:style>
  <w:style w:type="paragraph" w:customStyle="1" w:styleId="table-text-0">
    <w:name w:val="table-text-0"/>
    <w:basedOn w:val="a1"/>
    <w:rsid w:val="00B61B7C"/>
    <w:pPr>
      <w:autoSpaceDE w:val="0"/>
      <w:autoSpaceDN w:val="0"/>
      <w:adjustRightInd w:val="0"/>
      <w:spacing w:before="40" w:line="240" w:lineRule="auto"/>
      <w:ind w:left="113" w:firstLine="425"/>
      <w:jc w:val="left"/>
    </w:pPr>
    <w:rPr>
      <w:rFonts w:eastAsia="Times New Roman" w:cs="Times New Roman"/>
      <w:sz w:val="20"/>
      <w:szCs w:val="20"/>
      <w:lang w:val="en-US" w:eastAsia="ru-RU"/>
    </w:rPr>
  </w:style>
  <w:style w:type="paragraph" w:customStyle="1" w:styleId="FitzFootnote">
    <w:name w:val="FitzFootnote"/>
    <w:basedOn w:val="a1"/>
    <w:rsid w:val="00B61B7C"/>
    <w:pPr>
      <w:shd w:val="clear" w:color="auto" w:fill="FFFFFF"/>
      <w:autoSpaceDE w:val="0"/>
      <w:autoSpaceDN w:val="0"/>
      <w:adjustRightInd w:val="0"/>
      <w:spacing w:before="60" w:after="60" w:line="240" w:lineRule="auto"/>
      <w:ind w:firstLine="0"/>
      <w:jc w:val="left"/>
    </w:pPr>
    <w:rPr>
      <w:rFonts w:eastAsia="Times New Roman" w:cs="Times New Roman"/>
      <w:color w:val="000000"/>
      <w:sz w:val="18"/>
      <w:szCs w:val="18"/>
      <w:lang w:val="en-US" w:eastAsia="ru-RU"/>
    </w:rPr>
  </w:style>
  <w:style w:type="paragraph" w:customStyle="1" w:styleId="table-text-1">
    <w:name w:val="table-text-1"/>
    <w:basedOn w:val="a1"/>
    <w:rsid w:val="00B61B7C"/>
    <w:pPr>
      <w:overflowPunct w:val="0"/>
      <w:autoSpaceDE w:val="0"/>
      <w:autoSpaceDN w:val="0"/>
      <w:adjustRightInd w:val="0"/>
      <w:spacing w:before="40" w:after="40" w:line="240" w:lineRule="auto"/>
      <w:ind w:left="340" w:hanging="170"/>
      <w:jc w:val="left"/>
      <w:textAlignment w:val="baseline"/>
    </w:pPr>
    <w:rPr>
      <w:rFonts w:eastAsia="Times New Roman" w:cs="Times New Roman"/>
      <w:color w:val="000000"/>
      <w:sz w:val="17"/>
      <w:szCs w:val="20"/>
      <w:lang w:eastAsia="ru-RU"/>
    </w:rPr>
  </w:style>
  <w:style w:type="paragraph" w:customStyle="1" w:styleId="formula">
    <w:name w:val="formula"/>
    <w:basedOn w:val="a1"/>
    <w:rsid w:val="00B61B7C"/>
    <w:pPr>
      <w:shd w:val="clear" w:color="auto" w:fill="FFFFFF"/>
      <w:tabs>
        <w:tab w:val="left" w:pos="394"/>
      </w:tabs>
      <w:overflowPunct w:val="0"/>
      <w:autoSpaceDE w:val="0"/>
      <w:autoSpaceDN w:val="0"/>
      <w:adjustRightInd w:val="0"/>
      <w:spacing w:before="60" w:after="60" w:line="240" w:lineRule="auto"/>
      <w:ind w:firstLine="227"/>
      <w:jc w:val="left"/>
      <w:textAlignment w:val="baseline"/>
    </w:pPr>
    <w:rPr>
      <w:rFonts w:eastAsia="Times New Roman" w:cs="Times New Roman"/>
      <w:sz w:val="20"/>
      <w:szCs w:val="20"/>
      <w:lang w:eastAsia="ru-RU"/>
    </w:rPr>
  </w:style>
  <w:style w:type="paragraph" w:customStyle="1" w:styleId="1ff0">
    <w:name w:val="Обычный (веб)1"/>
    <w:basedOn w:val="a1"/>
    <w:uiPriority w:val="99"/>
    <w:unhideWhenUsed/>
    <w:qFormat/>
    <w:rsid w:val="00B61B7C"/>
    <w:pPr>
      <w:spacing w:beforeAutospacing="1" w:afterAutospacing="1" w:line="288" w:lineRule="auto"/>
      <w:ind w:firstLine="0"/>
      <w:jc w:val="left"/>
    </w:pPr>
    <w:rPr>
      <w:rFonts w:eastAsia="Times New Roman" w:cs="Times New Roman"/>
      <w:szCs w:val="24"/>
      <w:lang w:eastAsia="ru-RU"/>
    </w:rPr>
  </w:style>
  <w:style w:type="character" w:customStyle="1" w:styleId="highlight1">
    <w:name w:val="highlight1"/>
    <w:basedOn w:val="a3"/>
    <w:rsid w:val="00B61B7C"/>
  </w:style>
  <w:style w:type="character" w:customStyle="1" w:styleId="element-citation">
    <w:name w:val="element-citation"/>
    <w:basedOn w:val="a3"/>
    <w:rsid w:val="00B61B7C"/>
  </w:style>
  <w:style w:type="character" w:customStyle="1" w:styleId="ref-journal">
    <w:name w:val="ref-journal"/>
    <w:basedOn w:val="a3"/>
    <w:rsid w:val="00B61B7C"/>
  </w:style>
  <w:style w:type="character" w:customStyle="1" w:styleId="ref-vol">
    <w:name w:val="ref-vol"/>
    <w:basedOn w:val="a3"/>
    <w:rsid w:val="00B61B7C"/>
  </w:style>
  <w:style w:type="character" w:customStyle="1" w:styleId="nowrap">
    <w:name w:val="nowrap"/>
    <w:basedOn w:val="a3"/>
    <w:rsid w:val="00B61B7C"/>
  </w:style>
  <w:style w:type="paragraph" w:customStyle="1" w:styleId="1ff1">
    <w:name w:val="Заголовок оглавления1"/>
    <w:basedOn w:val="11"/>
    <w:rsid w:val="00B61B7C"/>
    <w:pPr>
      <w:suppressAutoHyphens w:val="0"/>
      <w:spacing w:after="120" w:line="276" w:lineRule="auto"/>
      <w:jc w:val="center"/>
    </w:pPr>
    <w:rPr>
      <w:rFonts w:eastAsia="Times New Roman"/>
      <w:sz w:val="22"/>
      <w:szCs w:val="20"/>
      <w:u w:val="none"/>
    </w:rPr>
  </w:style>
  <w:style w:type="paragraph" w:customStyle="1" w:styleId="35">
    <w:name w:val="3"/>
    <w:basedOn w:val="a1"/>
    <w:link w:val="36"/>
    <w:qFormat/>
    <w:rsid w:val="00B61B7C"/>
    <w:pPr>
      <w:ind w:left="142" w:firstLine="0"/>
      <w:contextualSpacing/>
    </w:pPr>
    <w:rPr>
      <w:rFonts w:eastAsia="Calibri" w:cs="Times New Roman"/>
    </w:rPr>
  </w:style>
  <w:style w:type="character" w:customStyle="1" w:styleId="36">
    <w:name w:val="3 Знак"/>
    <w:basedOn w:val="a3"/>
    <w:link w:val="35"/>
    <w:rsid w:val="00B61B7C"/>
    <w:rPr>
      <w:rFonts w:ascii="Times New Roman" w:eastAsia="Calibri" w:hAnsi="Times New Roman" w:cs="Times New Roman"/>
      <w:sz w:val="24"/>
    </w:rPr>
  </w:style>
  <w:style w:type="paragraph" w:styleId="42">
    <w:name w:val="toc 4"/>
    <w:basedOn w:val="a1"/>
    <w:next w:val="a1"/>
    <w:autoRedefine/>
    <w:uiPriority w:val="39"/>
    <w:unhideWhenUsed/>
    <w:rsid w:val="00B61B7C"/>
    <w:pPr>
      <w:ind w:left="720"/>
      <w:jc w:val="left"/>
    </w:pPr>
    <w:rPr>
      <w:rFonts w:asciiTheme="minorHAnsi" w:eastAsia="Calibri" w:hAnsiTheme="minorHAnsi" w:cs="Times New Roman"/>
      <w:sz w:val="20"/>
      <w:szCs w:val="20"/>
    </w:rPr>
  </w:style>
  <w:style w:type="paragraph" w:styleId="52">
    <w:name w:val="toc 5"/>
    <w:basedOn w:val="a1"/>
    <w:next w:val="a1"/>
    <w:autoRedefine/>
    <w:uiPriority w:val="39"/>
    <w:unhideWhenUsed/>
    <w:rsid w:val="00B61B7C"/>
    <w:pPr>
      <w:ind w:left="960"/>
      <w:jc w:val="left"/>
    </w:pPr>
    <w:rPr>
      <w:rFonts w:asciiTheme="minorHAnsi" w:eastAsia="Calibri" w:hAnsiTheme="minorHAnsi" w:cs="Times New Roman"/>
      <w:sz w:val="20"/>
      <w:szCs w:val="20"/>
    </w:rPr>
  </w:style>
  <w:style w:type="paragraph" w:styleId="61">
    <w:name w:val="toc 6"/>
    <w:basedOn w:val="a1"/>
    <w:next w:val="a1"/>
    <w:autoRedefine/>
    <w:uiPriority w:val="39"/>
    <w:unhideWhenUsed/>
    <w:rsid w:val="00B61B7C"/>
    <w:pPr>
      <w:ind w:left="1200"/>
      <w:jc w:val="left"/>
    </w:pPr>
    <w:rPr>
      <w:rFonts w:asciiTheme="minorHAnsi" w:eastAsia="Calibri" w:hAnsiTheme="minorHAnsi" w:cs="Times New Roman"/>
      <w:sz w:val="20"/>
      <w:szCs w:val="20"/>
    </w:rPr>
  </w:style>
  <w:style w:type="paragraph" w:styleId="72">
    <w:name w:val="toc 7"/>
    <w:basedOn w:val="a1"/>
    <w:next w:val="a1"/>
    <w:autoRedefine/>
    <w:uiPriority w:val="39"/>
    <w:unhideWhenUsed/>
    <w:rsid w:val="00B61B7C"/>
    <w:pPr>
      <w:ind w:left="1440"/>
      <w:jc w:val="left"/>
    </w:pPr>
    <w:rPr>
      <w:rFonts w:asciiTheme="minorHAnsi" w:eastAsia="Calibri" w:hAnsiTheme="minorHAnsi" w:cs="Times New Roman"/>
      <w:sz w:val="20"/>
      <w:szCs w:val="20"/>
    </w:rPr>
  </w:style>
  <w:style w:type="paragraph" w:styleId="82">
    <w:name w:val="toc 8"/>
    <w:basedOn w:val="a1"/>
    <w:next w:val="a1"/>
    <w:autoRedefine/>
    <w:uiPriority w:val="39"/>
    <w:unhideWhenUsed/>
    <w:rsid w:val="00B61B7C"/>
    <w:pPr>
      <w:ind w:left="1680"/>
      <w:jc w:val="left"/>
    </w:pPr>
    <w:rPr>
      <w:rFonts w:asciiTheme="minorHAnsi" w:eastAsia="Calibri" w:hAnsiTheme="minorHAnsi" w:cs="Times New Roman"/>
      <w:sz w:val="20"/>
      <w:szCs w:val="20"/>
    </w:rPr>
  </w:style>
  <w:style w:type="paragraph" w:styleId="92">
    <w:name w:val="toc 9"/>
    <w:basedOn w:val="a1"/>
    <w:next w:val="a1"/>
    <w:autoRedefine/>
    <w:uiPriority w:val="39"/>
    <w:unhideWhenUsed/>
    <w:rsid w:val="00B61B7C"/>
    <w:pPr>
      <w:ind w:left="1920"/>
      <w:jc w:val="left"/>
    </w:pPr>
    <w:rPr>
      <w:rFonts w:asciiTheme="minorHAnsi" w:eastAsia="Calibri" w:hAnsiTheme="minorHAnsi" w:cs="Times New Roman"/>
      <w:sz w:val="20"/>
      <w:szCs w:val="20"/>
    </w:rPr>
  </w:style>
  <w:style w:type="paragraph" w:customStyle="1" w:styleId="Number1">
    <w:name w:val="Number1"/>
    <w:basedOn w:val="a1"/>
    <w:rsid w:val="00987CCD"/>
    <w:pPr>
      <w:shd w:val="clear" w:color="auto" w:fill="FFFFFF"/>
      <w:tabs>
        <w:tab w:val="left" w:pos="394"/>
      </w:tabs>
      <w:overflowPunct w:val="0"/>
      <w:autoSpaceDE w:val="0"/>
      <w:autoSpaceDN w:val="0"/>
      <w:adjustRightInd w:val="0"/>
      <w:spacing w:before="5"/>
      <w:ind w:left="284" w:hanging="284"/>
      <w:textAlignment w:val="baseline"/>
    </w:pPr>
    <w:rPr>
      <w:rFonts w:eastAsia="Calibri" w:cs="Times New Roman"/>
      <w:color w:val="000000"/>
      <w:spacing w:val="-1"/>
      <w:szCs w:val="20"/>
      <w:lang w:eastAsia="ru-RU"/>
    </w:rPr>
  </w:style>
  <w:style w:type="paragraph" w:customStyle="1" w:styleId="table-head-bold">
    <w:name w:val="table-head-bold"/>
    <w:basedOn w:val="a1"/>
    <w:uiPriority w:val="99"/>
    <w:rsid w:val="00987CCD"/>
    <w:pPr>
      <w:autoSpaceDE w:val="0"/>
      <w:autoSpaceDN w:val="0"/>
      <w:adjustRightInd w:val="0"/>
      <w:spacing w:before="40"/>
      <w:ind w:firstLine="0"/>
    </w:pPr>
    <w:rPr>
      <w:rFonts w:eastAsia="Calibri" w:cs="Times New Roman"/>
      <w:b/>
      <w:bCs/>
      <w:sz w:val="20"/>
      <w:szCs w:val="20"/>
      <w:lang w:eastAsia="ru-RU"/>
    </w:rPr>
  </w:style>
  <w:style w:type="paragraph" w:customStyle="1" w:styleId="table-ref">
    <w:name w:val="table-ref"/>
    <w:basedOn w:val="a1"/>
    <w:rsid w:val="00987CCD"/>
    <w:pPr>
      <w:shd w:val="clear" w:color="auto" w:fill="FFFFFF"/>
      <w:tabs>
        <w:tab w:val="left" w:pos="394"/>
      </w:tabs>
      <w:overflowPunct w:val="0"/>
      <w:autoSpaceDE w:val="0"/>
      <w:autoSpaceDN w:val="0"/>
      <w:adjustRightInd w:val="0"/>
      <w:spacing w:before="40" w:after="40"/>
      <w:ind w:left="10" w:firstLine="284"/>
      <w:textAlignment w:val="baseline"/>
    </w:pPr>
    <w:rPr>
      <w:rFonts w:eastAsia="Calibri" w:cs="Times New Roman"/>
      <w:color w:val="000000"/>
      <w:spacing w:val="-5"/>
      <w:sz w:val="15"/>
      <w:szCs w:val="20"/>
      <w:lang w:eastAsia="ru-RU"/>
    </w:rPr>
  </w:style>
  <w:style w:type="paragraph" w:customStyle="1" w:styleId="1ff2">
    <w:name w:val="Обычный1"/>
    <w:rsid w:val="00987CCD"/>
    <w:pPr>
      <w:widowControl w:val="0"/>
      <w:overflowPunct w:val="0"/>
      <w:autoSpaceDE w:val="0"/>
      <w:autoSpaceDN w:val="0"/>
      <w:adjustRightInd w:val="0"/>
      <w:textAlignment w:val="baseline"/>
    </w:pPr>
    <w:rPr>
      <w:rFonts w:ascii="Times New Roman" w:eastAsia="Times New Roman" w:hAnsi="Times New Roman" w:cs="Times New Roman"/>
      <w:szCs w:val="20"/>
      <w:lang w:eastAsia="ru-RU"/>
    </w:rPr>
  </w:style>
  <w:style w:type="paragraph" w:customStyle="1" w:styleId="Author0">
    <w:name w:val="Author"/>
    <w:rsid w:val="00A16AAE"/>
    <w:pPr>
      <w:ind w:firstLine="284"/>
      <w:jc w:val="center"/>
    </w:pPr>
    <w:rPr>
      <w:rFonts w:ascii="Times New Roman" w:eastAsia="Arial Unicode MS" w:hAnsi="Times New Roman" w:cs="Arial Unicode MS"/>
      <w:i/>
      <w:iCs/>
      <w:color w:val="000000"/>
      <w:sz w:val="24"/>
      <w:szCs w:val="24"/>
      <w:u w:color="000000"/>
      <w:lang w:eastAsia="ru-RU"/>
    </w:rPr>
  </w:style>
  <w:style w:type="paragraph" w:customStyle="1" w:styleId="bullet">
    <w:name w:val="bullet"/>
    <w:rsid w:val="00A16AAE"/>
    <w:pPr>
      <w:shd w:val="clear" w:color="auto" w:fill="FFFFFF"/>
      <w:tabs>
        <w:tab w:val="left" w:pos="360"/>
        <w:tab w:val="left" w:pos="394"/>
        <w:tab w:val="left" w:pos="1364"/>
      </w:tabs>
      <w:ind w:firstLine="397"/>
    </w:pPr>
    <w:rPr>
      <w:rFonts w:ascii="Times New Roman" w:eastAsia="Arial Unicode MS" w:hAnsi="Times New Roman" w:cs="Arial Unicode MS"/>
      <w:color w:val="000000"/>
      <w:spacing w:val="-7"/>
      <w:sz w:val="24"/>
      <w:szCs w:val="24"/>
      <w:u w:color="000000"/>
      <w:lang w:eastAsia="ru-RU"/>
    </w:rPr>
  </w:style>
  <w:style w:type="numbering" w:customStyle="1" w:styleId="1">
    <w:name w:val="Импортированный стиль 1"/>
    <w:rsid w:val="00A16AAE"/>
    <w:pPr>
      <w:numPr>
        <w:numId w:val="103"/>
      </w:numPr>
    </w:pPr>
  </w:style>
  <w:style w:type="character" w:customStyle="1" w:styleId="html-italic">
    <w:name w:val="html-italic"/>
    <w:basedOn w:val="a3"/>
    <w:rsid w:val="00A16AAE"/>
  </w:style>
  <w:style w:type="character" w:customStyle="1" w:styleId="highwire-cite-metadata-volume">
    <w:name w:val="highwire-cite-metadata-volume"/>
    <w:basedOn w:val="a3"/>
    <w:rsid w:val="00A16AAE"/>
  </w:style>
  <w:style w:type="character" w:customStyle="1" w:styleId="infolabel">
    <w:name w:val="info_label"/>
    <w:basedOn w:val="a3"/>
    <w:rsid w:val="00A16AAE"/>
  </w:style>
  <w:style w:type="character" w:customStyle="1" w:styleId="infovalue">
    <w:name w:val="info_value"/>
    <w:basedOn w:val="a3"/>
    <w:rsid w:val="00A16AAE"/>
  </w:style>
  <w:style w:type="paragraph" w:customStyle="1" w:styleId="table-head-left">
    <w:name w:val="table-head-left"/>
    <w:basedOn w:val="a1"/>
    <w:rsid w:val="00E43B8B"/>
    <w:pPr>
      <w:shd w:val="clear" w:color="auto" w:fill="FFFFFF"/>
      <w:tabs>
        <w:tab w:val="left" w:pos="394"/>
      </w:tabs>
      <w:overflowPunct w:val="0"/>
      <w:autoSpaceDE w:val="0"/>
      <w:autoSpaceDN w:val="0"/>
      <w:adjustRightInd w:val="0"/>
      <w:spacing w:before="40" w:after="40" w:line="264" w:lineRule="auto"/>
      <w:ind w:left="57" w:hanging="57"/>
      <w:textAlignment w:val="baseline"/>
    </w:pPr>
    <w:rPr>
      <w:rFonts w:eastAsia="Times New Roman" w:cs="Times New Roman"/>
      <w:b/>
      <w:color w:val="000000"/>
      <w:spacing w:val="-5"/>
      <w:szCs w:val="20"/>
      <w:lang w:eastAsia="ru-RU"/>
    </w:rPr>
  </w:style>
  <w:style w:type="character" w:customStyle="1" w:styleId="80">
    <w:name w:val="Заголовок 8 Знак"/>
    <w:basedOn w:val="a3"/>
    <w:link w:val="8"/>
    <w:rsid w:val="00124A26"/>
    <w:rPr>
      <w:rFonts w:ascii="Calibri" w:eastAsia="SimSun" w:hAnsi="Calibri" w:cs="Times New Roman"/>
      <w:color w:val="6F6F74"/>
      <w:szCs w:val="20"/>
      <w:lang w:eastAsia="ru-RU"/>
    </w:rPr>
  </w:style>
  <w:style w:type="character" w:customStyle="1" w:styleId="90">
    <w:name w:val="Заголовок 9 Знак"/>
    <w:basedOn w:val="a3"/>
    <w:link w:val="9"/>
    <w:rsid w:val="00124A26"/>
    <w:rPr>
      <w:rFonts w:ascii="Calibri" w:eastAsia="SimSun" w:hAnsi="Calibri" w:cs="Times New Roman"/>
      <w:i/>
      <w:iCs/>
      <w:color w:val="404040"/>
      <w:szCs w:val="20"/>
      <w:lang w:eastAsia="ru-RU"/>
    </w:rPr>
  </w:style>
  <w:style w:type="paragraph" w:customStyle="1" w:styleId="Insert">
    <w:name w:val="Insert"/>
    <w:basedOn w:val="a1"/>
    <w:autoRedefine/>
    <w:rsid w:val="00124A26"/>
    <w:pPr>
      <w:widowControl w:val="0"/>
      <w:overflowPunct w:val="0"/>
      <w:autoSpaceDE w:val="0"/>
      <w:autoSpaceDN w:val="0"/>
      <w:adjustRightInd w:val="0"/>
      <w:spacing w:line="264" w:lineRule="auto"/>
      <w:ind w:left="397" w:firstLine="425"/>
      <w:jc w:val="left"/>
      <w:textAlignment w:val="baseline"/>
    </w:pPr>
    <w:rPr>
      <w:rFonts w:eastAsia="Times New Roman" w:cs="Times New Roman"/>
      <w:color w:val="000000"/>
      <w:szCs w:val="20"/>
      <w:lang w:val="en-US" w:eastAsia="ru-RU"/>
    </w:rPr>
  </w:style>
  <w:style w:type="paragraph" w:customStyle="1" w:styleId="Number2">
    <w:name w:val="Number2"/>
    <w:basedOn w:val="Number1"/>
    <w:rsid w:val="00124A26"/>
    <w:pPr>
      <w:spacing w:line="264" w:lineRule="auto"/>
      <w:ind w:left="426" w:hanging="142"/>
      <w:jc w:val="left"/>
    </w:pPr>
    <w:rPr>
      <w:rFonts w:eastAsia="Times New Roman"/>
    </w:rPr>
  </w:style>
  <w:style w:type="paragraph" w:customStyle="1" w:styleId="figure">
    <w:name w:val="figure"/>
    <w:basedOn w:val="a1"/>
    <w:rsid w:val="00124A26"/>
    <w:pPr>
      <w:overflowPunct w:val="0"/>
      <w:autoSpaceDE w:val="0"/>
      <w:autoSpaceDN w:val="0"/>
      <w:adjustRightInd w:val="0"/>
      <w:spacing w:before="240" w:after="40" w:line="264" w:lineRule="auto"/>
      <w:ind w:firstLine="425"/>
      <w:jc w:val="left"/>
      <w:textAlignment w:val="baseline"/>
    </w:pPr>
    <w:rPr>
      <w:rFonts w:eastAsia="Times New Roman" w:cs="Times New Roman"/>
      <w:szCs w:val="20"/>
      <w:lang w:eastAsia="ru-RU"/>
    </w:rPr>
  </w:style>
  <w:style w:type="paragraph" w:customStyle="1" w:styleId="author-1">
    <w:name w:val="author-1"/>
    <w:basedOn w:val="Author0"/>
    <w:rsid w:val="00124A26"/>
    <w:pPr>
      <w:keepNext/>
      <w:keepLines/>
      <w:autoSpaceDE w:val="0"/>
      <w:autoSpaceDN w:val="0"/>
      <w:adjustRightInd w:val="0"/>
      <w:spacing w:before="60" w:after="120" w:line="264" w:lineRule="auto"/>
      <w:ind w:firstLine="425"/>
      <w:jc w:val="right"/>
    </w:pPr>
    <w:rPr>
      <w:rFonts w:eastAsia="Times New Roman" w:cs="Times New Roman"/>
      <w:b/>
      <w:noProof/>
      <w:sz w:val="20"/>
      <w:szCs w:val="20"/>
      <w:lang w:val="en-US"/>
    </w:rPr>
  </w:style>
  <w:style w:type="paragraph" w:customStyle="1" w:styleId="Insert1">
    <w:name w:val="Insert 1"/>
    <w:basedOn w:val="Insert"/>
    <w:rsid w:val="00124A26"/>
    <w:pPr>
      <w:ind w:left="0"/>
    </w:pPr>
    <w:rPr>
      <w:sz w:val="20"/>
      <w:lang w:val="ru-RU"/>
    </w:rPr>
  </w:style>
  <w:style w:type="paragraph" w:customStyle="1" w:styleId="Bullit-2">
    <w:name w:val="Bullit-2"/>
    <w:basedOn w:val="a1"/>
    <w:rsid w:val="00124A26"/>
    <w:pPr>
      <w:tabs>
        <w:tab w:val="left" w:pos="0"/>
        <w:tab w:val="left" w:pos="1160"/>
      </w:tabs>
      <w:autoSpaceDE w:val="0"/>
      <w:autoSpaceDN w:val="0"/>
      <w:adjustRightInd w:val="0"/>
      <w:spacing w:line="264" w:lineRule="auto"/>
      <w:ind w:left="754" w:hanging="357"/>
      <w:jc w:val="left"/>
    </w:pPr>
    <w:rPr>
      <w:rFonts w:eastAsia="MS Mincho" w:cs="Times New Roman"/>
      <w:color w:val="000000"/>
      <w:lang w:val="en-US" w:eastAsia="ja-JP"/>
    </w:rPr>
  </w:style>
  <w:style w:type="character" w:customStyle="1" w:styleId="extended-textshort">
    <w:name w:val="extended-text__short"/>
    <w:basedOn w:val="a3"/>
    <w:rsid w:val="00124A26"/>
  </w:style>
  <w:style w:type="paragraph" w:customStyle="1" w:styleId="Normalfirst">
    <w:name w:val="Normalfirst"/>
    <w:basedOn w:val="a1"/>
    <w:rsid w:val="00124A26"/>
    <w:pPr>
      <w:autoSpaceDE w:val="0"/>
      <w:autoSpaceDN w:val="0"/>
      <w:adjustRightInd w:val="0"/>
      <w:spacing w:line="240" w:lineRule="auto"/>
      <w:ind w:firstLine="0"/>
      <w:jc w:val="left"/>
    </w:pPr>
    <w:rPr>
      <w:rFonts w:eastAsia="MS Mincho" w:cs="Times New Roman"/>
      <w:szCs w:val="24"/>
      <w:lang w:eastAsia="ja-JP"/>
    </w:rPr>
  </w:style>
  <w:style w:type="paragraph" w:customStyle="1" w:styleId="xl68">
    <w:name w:val="xl68"/>
    <w:basedOn w:val="a1"/>
    <w:rsid w:val="00124A26"/>
    <w:pPr>
      <w:spacing w:before="100" w:beforeAutospacing="1" w:after="100" w:afterAutospacing="1" w:line="240" w:lineRule="auto"/>
      <w:ind w:firstLine="0"/>
      <w:jc w:val="left"/>
    </w:pPr>
    <w:rPr>
      <w:rFonts w:eastAsia="Times New Roman" w:cs="Times New Roman"/>
      <w:szCs w:val="24"/>
      <w:lang w:eastAsia="ru-RU"/>
    </w:rPr>
  </w:style>
  <w:style w:type="paragraph" w:customStyle="1" w:styleId="xl69">
    <w:name w:val="xl69"/>
    <w:basedOn w:val="a1"/>
    <w:rsid w:val="00124A2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20"/>
      <w:szCs w:val="20"/>
      <w:lang w:eastAsia="ru-RU"/>
    </w:rPr>
  </w:style>
  <w:style w:type="paragraph" w:customStyle="1" w:styleId="xl70">
    <w:name w:val="xl70"/>
    <w:basedOn w:val="a1"/>
    <w:rsid w:val="00124A2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Times New Roman" w:hAnsi="Arial" w:cs="Arial"/>
      <w:sz w:val="20"/>
      <w:szCs w:val="20"/>
      <w:lang w:eastAsia="ru-RU"/>
    </w:rPr>
  </w:style>
  <w:style w:type="paragraph" w:customStyle="1" w:styleId="xl71">
    <w:name w:val="xl71"/>
    <w:basedOn w:val="a1"/>
    <w:rsid w:val="00124A2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Times New Roman" w:hAnsi="Arial" w:cs="Arial"/>
      <w:sz w:val="20"/>
      <w:szCs w:val="20"/>
      <w:lang w:eastAsia="ru-RU"/>
    </w:rPr>
  </w:style>
  <w:style w:type="paragraph" w:customStyle="1" w:styleId="xl65">
    <w:name w:val="xl65"/>
    <w:basedOn w:val="a1"/>
    <w:rsid w:val="00124A26"/>
    <w:pPr>
      <w:pBdr>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rFonts w:ascii="Arial" w:eastAsia="Times New Roman" w:hAnsi="Arial" w:cs="Arial"/>
      <w:color w:val="000000"/>
      <w:sz w:val="20"/>
      <w:szCs w:val="20"/>
      <w:lang w:eastAsia="ru-RU"/>
    </w:rPr>
  </w:style>
  <w:style w:type="paragraph" w:customStyle="1" w:styleId="xl66">
    <w:name w:val="xl66"/>
    <w:basedOn w:val="a1"/>
    <w:rsid w:val="00124A26"/>
    <w:pPr>
      <w:pBdr>
        <w:bottom w:val="single" w:sz="8" w:space="0" w:color="auto"/>
        <w:right w:val="single" w:sz="8" w:space="0" w:color="auto"/>
      </w:pBdr>
      <w:spacing w:before="100" w:beforeAutospacing="1" w:after="100" w:afterAutospacing="1" w:line="240" w:lineRule="auto"/>
      <w:ind w:firstLine="0"/>
      <w:jc w:val="left"/>
      <w:textAlignment w:val="center"/>
    </w:pPr>
    <w:rPr>
      <w:rFonts w:ascii="Arial" w:eastAsia="Times New Roman" w:hAnsi="Arial" w:cs="Arial"/>
      <w:color w:val="000000"/>
      <w:sz w:val="20"/>
      <w:szCs w:val="20"/>
      <w:lang w:eastAsia="ru-RU"/>
    </w:rPr>
  </w:style>
  <w:style w:type="paragraph" w:customStyle="1" w:styleId="xl67">
    <w:name w:val="xl67"/>
    <w:basedOn w:val="a1"/>
    <w:rsid w:val="00124A26"/>
    <w:pPr>
      <w:pBdr>
        <w:left w:val="single" w:sz="8" w:space="0" w:color="auto"/>
        <w:bottom w:val="single" w:sz="8" w:space="0" w:color="auto"/>
        <w:right w:val="single" w:sz="8" w:space="0" w:color="auto"/>
      </w:pBdr>
      <w:spacing w:before="100" w:beforeAutospacing="1" w:after="100" w:afterAutospacing="1" w:line="240" w:lineRule="auto"/>
      <w:ind w:firstLine="0"/>
      <w:jc w:val="right"/>
      <w:textAlignment w:val="center"/>
    </w:pPr>
    <w:rPr>
      <w:rFonts w:ascii="Arial" w:eastAsia="Times New Roman" w:hAnsi="Arial" w:cs="Arial"/>
      <w:color w:val="000000"/>
      <w:sz w:val="20"/>
      <w:szCs w:val="20"/>
      <w:lang w:eastAsia="ru-RU"/>
    </w:rPr>
  </w:style>
  <w:style w:type="paragraph" w:customStyle="1" w:styleId="afffff3">
    <w:basedOn w:val="a1"/>
    <w:next w:val="afd"/>
    <w:uiPriority w:val="99"/>
    <w:unhideWhenUsed/>
    <w:rsid w:val="00124A26"/>
    <w:pPr>
      <w:spacing w:before="100" w:beforeAutospacing="1" w:after="100" w:afterAutospacing="1" w:line="240" w:lineRule="auto"/>
      <w:ind w:firstLine="0"/>
      <w:jc w:val="left"/>
    </w:pPr>
    <w:rPr>
      <w:rFonts w:eastAsia="Times New Roman" w:cs="Times New Roman"/>
      <w:szCs w:val="24"/>
      <w:lang w:eastAsia="ru-RU"/>
    </w:rPr>
  </w:style>
  <w:style w:type="paragraph" w:customStyle="1" w:styleId="Standard">
    <w:name w:val="Standard"/>
    <w:rsid w:val="00124A26"/>
    <w:pPr>
      <w:suppressAutoHyphens/>
      <w:autoSpaceDN w:val="0"/>
      <w:spacing w:line="264" w:lineRule="auto"/>
      <w:ind w:firstLine="425"/>
      <w:textAlignment w:val="baseline"/>
    </w:pPr>
    <w:rPr>
      <w:rFonts w:ascii="Times New Roman" w:eastAsia="Times New Roman" w:hAnsi="Times New Roman" w:cs="Times New Roman"/>
      <w:kern w:val="3"/>
      <w:sz w:val="24"/>
      <w:szCs w:val="20"/>
      <w:lang w:val="en-GB" w:eastAsia="ru-RU"/>
    </w:rPr>
  </w:style>
  <w:style w:type="character" w:customStyle="1" w:styleId="fontstyle01">
    <w:name w:val="fontstyle01"/>
    <w:rsid w:val="00124A26"/>
    <w:rPr>
      <w:rFonts w:ascii="TimesNewRomanPS-ItalicMT" w:hAnsi="TimesNewRomanPS-ItalicMT" w:hint="default"/>
      <w:b w:val="0"/>
      <w:bCs w:val="0"/>
      <w:i/>
      <w:iCs/>
      <w:color w:val="FFFFFF"/>
      <w:sz w:val="32"/>
      <w:szCs w:val="32"/>
    </w:rPr>
  </w:style>
  <w:style w:type="character" w:customStyle="1" w:styleId="UnresolvedMention">
    <w:name w:val="Unresolved Mention"/>
    <w:uiPriority w:val="99"/>
    <w:semiHidden/>
    <w:unhideWhenUsed/>
    <w:rsid w:val="00124A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82027">
      <w:bodyDiv w:val="1"/>
      <w:marLeft w:val="0"/>
      <w:marRight w:val="0"/>
      <w:marTop w:val="0"/>
      <w:marBottom w:val="0"/>
      <w:divBdr>
        <w:top w:val="none" w:sz="0" w:space="0" w:color="auto"/>
        <w:left w:val="none" w:sz="0" w:space="0" w:color="auto"/>
        <w:bottom w:val="none" w:sz="0" w:space="0" w:color="auto"/>
        <w:right w:val="none" w:sz="0" w:space="0" w:color="auto"/>
      </w:divBdr>
    </w:div>
    <w:div w:id="49771666">
      <w:bodyDiv w:val="1"/>
      <w:marLeft w:val="0"/>
      <w:marRight w:val="0"/>
      <w:marTop w:val="0"/>
      <w:marBottom w:val="0"/>
      <w:divBdr>
        <w:top w:val="none" w:sz="0" w:space="0" w:color="auto"/>
        <w:left w:val="none" w:sz="0" w:space="0" w:color="auto"/>
        <w:bottom w:val="none" w:sz="0" w:space="0" w:color="auto"/>
        <w:right w:val="none" w:sz="0" w:space="0" w:color="auto"/>
      </w:divBdr>
    </w:div>
    <w:div w:id="125320518">
      <w:bodyDiv w:val="1"/>
      <w:marLeft w:val="0"/>
      <w:marRight w:val="0"/>
      <w:marTop w:val="0"/>
      <w:marBottom w:val="0"/>
      <w:divBdr>
        <w:top w:val="none" w:sz="0" w:space="0" w:color="auto"/>
        <w:left w:val="none" w:sz="0" w:space="0" w:color="auto"/>
        <w:bottom w:val="none" w:sz="0" w:space="0" w:color="auto"/>
        <w:right w:val="none" w:sz="0" w:space="0" w:color="auto"/>
      </w:divBdr>
      <w:divsChild>
        <w:div w:id="1126771725">
          <w:marLeft w:val="0"/>
          <w:marRight w:val="0"/>
          <w:marTop w:val="0"/>
          <w:marBottom w:val="0"/>
          <w:divBdr>
            <w:top w:val="none" w:sz="0" w:space="0" w:color="auto"/>
            <w:left w:val="none" w:sz="0" w:space="0" w:color="auto"/>
            <w:bottom w:val="none" w:sz="0" w:space="0" w:color="auto"/>
            <w:right w:val="none" w:sz="0" w:space="0" w:color="auto"/>
          </w:divBdr>
        </w:div>
      </w:divsChild>
    </w:div>
    <w:div w:id="129131041">
      <w:bodyDiv w:val="1"/>
      <w:marLeft w:val="0"/>
      <w:marRight w:val="0"/>
      <w:marTop w:val="0"/>
      <w:marBottom w:val="0"/>
      <w:divBdr>
        <w:top w:val="none" w:sz="0" w:space="0" w:color="auto"/>
        <w:left w:val="none" w:sz="0" w:space="0" w:color="auto"/>
        <w:bottom w:val="none" w:sz="0" w:space="0" w:color="auto"/>
        <w:right w:val="none" w:sz="0" w:space="0" w:color="auto"/>
      </w:divBdr>
    </w:div>
    <w:div w:id="133647194">
      <w:bodyDiv w:val="1"/>
      <w:marLeft w:val="0"/>
      <w:marRight w:val="0"/>
      <w:marTop w:val="0"/>
      <w:marBottom w:val="0"/>
      <w:divBdr>
        <w:top w:val="none" w:sz="0" w:space="0" w:color="auto"/>
        <w:left w:val="none" w:sz="0" w:space="0" w:color="auto"/>
        <w:bottom w:val="none" w:sz="0" w:space="0" w:color="auto"/>
        <w:right w:val="none" w:sz="0" w:space="0" w:color="auto"/>
      </w:divBdr>
    </w:div>
    <w:div w:id="134757537">
      <w:bodyDiv w:val="1"/>
      <w:marLeft w:val="0"/>
      <w:marRight w:val="0"/>
      <w:marTop w:val="0"/>
      <w:marBottom w:val="0"/>
      <w:divBdr>
        <w:top w:val="none" w:sz="0" w:space="0" w:color="auto"/>
        <w:left w:val="none" w:sz="0" w:space="0" w:color="auto"/>
        <w:bottom w:val="none" w:sz="0" w:space="0" w:color="auto"/>
        <w:right w:val="none" w:sz="0" w:space="0" w:color="auto"/>
      </w:divBdr>
    </w:div>
    <w:div w:id="265238084">
      <w:bodyDiv w:val="1"/>
      <w:marLeft w:val="0"/>
      <w:marRight w:val="0"/>
      <w:marTop w:val="0"/>
      <w:marBottom w:val="0"/>
      <w:divBdr>
        <w:top w:val="none" w:sz="0" w:space="0" w:color="auto"/>
        <w:left w:val="none" w:sz="0" w:space="0" w:color="auto"/>
        <w:bottom w:val="none" w:sz="0" w:space="0" w:color="auto"/>
        <w:right w:val="none" w:sz="0" w:space="0" w:color="auto"/>
      </w:divBdr>
    </w:div>
    <w:div w:id="266810958">
      <w:bodyDiv w:val="1"/>
      <w:marLeft w:val="0"/>
      <w:marRight w:val="0"/>
      <w:marTop w:val="0"/>
      <w:marBottom w:val="0"/>
      <w:divBdr>
        <w:top w:val="none" w:sz="0" w:space="0" w:color="auto"/>
        <w:left w:val="none" w:sz="0" w:space="0" w:color="auto"/>
        <w:bottom w:val="none" w:sz="0" w:space="0" w:color="auto"/>
        <w:right w:val="none" w:sz="0" w:space="0" w:color="auto"/>
      </w:divBdr>
    </w:div>
    <w:div w:id="286276941">
      <w:bodyDiv w:val="1"/>
      <w:marLeft w:val="0"/>
      <w:marRight w:val="0"/>
      <w:marTop w:val="0"/>
      <w:marBottom w:val="0"/>
      <w:divBdr>
        <w:top w:val="none" w:sz="0" w:space="0" w:color="auto"/>
        <w:left w:val="none" w:sz="0" w:space="0" w:color="auto"/>
        <w:bottom w:val="none" w:sz="0" w:space="0" w:color="auto"/>
        <w:right w:val="none" w:sz="0" w:space="0" w:color="auto"/>
      </w:divBdr>
    </w:div>
    <w:div w:id="323972881">
      <w:bodyDiv w:val="1"/>
      <w:marLeft w:val="0"/>
      <w:marRight w:val="0"/>
      <w:marTop w:val="0"/>
      <w:marBottom w:val="0"/>
      <w:divBdr>
        <w:top w:val="none" w:sz="0" w:space="0" w:color="auto"/>
        <w:left w:val="none" w:sz="0" w:space="0" w:color="auto"/>
        <w:bottom w:val="none" w:sz="0" w:space="0" w:color="auto"/>
        <w:right w:val="none" w:sz="0" w:space="0" w:color="auto"/>
      </w:divBdr>
    </w:div>
    <w:div w:id="361856538">
      <w:bodyDiv w:val="1"/>
      <w:marLeft w:val="0"/>
      <w:marRight w:val="0"/>
      <w:marTop w:val="0"/>
      <w:marBottom w:val="0"/>
      <w:divBdr>
        <w:top w:val="none" w:sz="0" w:space="0" w:color="auto"/>
        <w:left w:val="none" w:sz="0" w:space="0" w:color="auto"/>
        <w:bottom w:val="none" w:sz="0" w:space="0" w:color="auto"/>
        <w:right w:val="none" w:sz="0" w:space="0" w:color="auto"/>
      </w:divBdr>
    </w:div>
    <w:div w:id="370232997">
      <w:bodyDiv w:val="1"/>
      <w:marLeft w:val="0"/>
      <w:marRight w:val="0"/>
      <w:marTop w:val="0"/>
      <w:marBottom w:val="0"/>
      <w:divBdr>
        <w:top w:val="none" w:sz="0" w:space="0" w:color="auto"/>
        <w:left w:val="none" w:sz="0" w:space="0" w:color="auto"/>
        <w:bottom w:val="none" w:sz="0" w:space="0" w:color="auto"/>
        <w:right w:val="none" w:sz="0" w:space="0" w:color="auto"/>
      </w:divBdr>
    </w:div>
    <w:div w:id="371927521">
      <w:bodyDiv w:val="1"/>
      <w:marLeft w:val="0"/>
      <w:marRight w:val="0"/>
      <w:marTop w:val="0"/>
      <w:marBottom w:val="0"/>
      <w:divBdr>
        <w:top w:val="none" w:sz="0" w:space="0" w:color="auto"/>
        <w:left w:val="none" w:sz="0" w:space="0" w:color="auto"/>
        <w:bottom w:val="none" w:sz="0" w:space="0" w:color="auto"/>
        <w:right w:val="none" w:sz="0" w:space="0" w:color="auto"/>
      </w:divBdr>
    </w:div>
    <w:div w:id="402873853">
      <w:bodyDiv w:val="1"/>
      <w:marLeft w:val="0"/>
      <w:marRight w:val="0"/>
      <w:marTop w:val="0"/>
      <w:marBottom w:val="0"/>
      <w:divBdr>
        <w:top w:val="none" w:sz="0" w:space="0" w:color="auto"/>
        <w:left w:val="none" w:sz="0" w:space="0" w:color="auto"/>
        <w:bottom w:val="none" w:sz="0" w:space="0" w:color="auto"/>
        <w:right w:val="none" w:sz="0" w:space="0" w:color="auto"/>
      </w:divBdr>
    </w:div>
    <w:div w:id="576134796">
      <w:bodyDiv w:val="1"/>
      <w:marLeft w:val="0"/>
      <w:marRight w:val="0"/>
      <w:marTop w:val="0"/>
      <w:marBottom w:val="0"/>
      <w:divBdr>
        <w:top w:val="none" w:sz="0" w:space="0" w:color="auto"/>
        <w:left w:val="none" w:sz="0" w:space="0" w:color="auto"/>
        <w:bottom w:val="none" w:sz="0" w:space="0" w:color="auto"/>
        <w:right w:val="none" w:sz="0" w:space="0" w:color="auto"/>
      </w:divBdr>
    </w:div>
    <w:div w:id="591548568">
      <w:bodyDiv w:val="1"/>
      <w:marLeft w:val="0"/>
      <w:marRight w:val="0"/>
      <w:marTop w:val="0"/>
      <w:marBottom w:val="0"/>
      <w:divBdr>
        <w:top w:val="none" w:sz="0" w:space="0" w:color="auto"/>
        <w:left w:val="none" w:sz="0" w:space="0" w:color="auto"/>
        <w:bottom w:val="none" w:sz="0" w:space="0" w:color="auto"/>
        <w:right w:val="none" w:sz="0" w:space="0" w:color="auto"/>
      </w:divBdr>
    </w:div>
    <w:div w:id="591862432">
      <w:bodyDiv w:val="1"/>
      <w:marLeft w:val="0"/>
      <w:marRight w:val="0"/>
      <w:marTop w:val="0"/>
      <w:marBottom w:val="0"/>
      <w:divBdr>
        <w:top w:val="none" w:sz="0" w:space="0" w:color="auto"/>
        <w:left w:val="none" w:sz="0" w:space="0" w:color="auto"/>
        <w:bottom w:val="none" w:sz="0" w:space="0" w:color="auto"/>
        <w:right w:val="none" w:sz="0" w:space="0" w:color="auto"/>
      </w:divBdr>
    </w:div>
    <w:div w:id="816385406">
      <w:bodyDiv w:val="1"/>
      <w:marLeft w:val="0"/>
      <w:marRight w:val="0"/>
      <w:marTop w:val="0"/>
      <w:marBottom w:val="0"/>
      <w:divBdr>
        <w:top w:val="none" w:sz="0" w:space="0" w:color="auto"/>
        <w:left w:val="none" w:sz="0" w:space="0" w:color="auto"/>
        <w:bottom w:val="none" w:sz="0" w:space="0" w:color="auto"/>
        <w:right w:val="none" w:sz="0" w:space="0" w:color="auto"/>
      </w:divBdr>
    </w:div>
    <w:div w:id="831608673">
      <w:bodyDiv w:val="1"/>
      <w:marLeft w:val="0"/>
      <w:marRight w:val="0"/>
      <w:marTop w:val="0"/>
      <w:marBottom w:val="0"/>
      <w:divBdr>
        <w:top w:val="none" w:sz="0" w:space="0" w:color="auto"/>
        <w:left w:val="none" w:sz="0" w:space="0" w:color="auto"/>
        <w:bottom w:val="none" w:sz="0" w:space="0" w:color="auto"/>
        <w:right w:val="none" w:sz="0" w:space="0" w:color="auto"/>
      </w:divBdr>
    </w:div>
    <w:div w:id="874585724">
      <w:bodyDiv w:val="1"/>
      <w:marLeft w:val="0"/>
      <w:marRight w:val="0"/>
      <w:marTop w:val="0"/>
      <w:marBottom w:val="0"/>
      <w:divBdr>
        <w:top w:val="none" w:sz="0" w:space="0" w:color="auto"/>
        <w:left w:val="none" w:sz="0" w:space="0" w:color="auto"/>
        <w:bottom w:val="none" w:sz="0" w:space="0" w:color="auto"/>
        <w:right w:val="none" w:sz="0" w:space="0" w:color="auto"/>
      </w:divBdr>
    </w:div>
    <w:div w:id="897278808">
      <w:bodyDiv w:val="1"/>
      <w:marLeft w:val="0"/>
      <w:marRight w:val="0"/>
      <w:marTop w:val="0"/>
      <w:marBottom w:val="0"/>
      <w:divBdr>
        <w:top w:val="none" w:sz="0" w:space="0" w:color="auto"/>
        <w:left w:val="none" w:sz="0" w:space="0" w:color="auto"/>
        <w:bottom w:val="none" w:sz="0" w:space="0" w:color="auto"/>
        <w:right w:val="none" w:sz="0" w:space="0" w:color="auto"/>
      </w:divBdr>
    </w:div>
    <w:div w:id="945381997">
      <w:bodyDiv w:val="1"/>
      <w:marLeft w:val="0"/>
      <w:marRight w:val="0"/>
      <w:marTop w:val="0"/>
      <w:marBottom w:val="0"/>
      <w:divBdr>
        <w:top w:val="none" w:sz="0" w:space="0" w:color="auto"/>
        <w:left w:val="none" w:sz="0" w:space="0" w:color="auto"/>
        <w:bottom w:val="none" w:sz="0" w:space="0" w:color="auto"/>
        <w:right w:val="none" w:sz="0" w:space="0" w:color="auto"/>
      </w:divBdr>
    </w:div>
    <w:div w:id="1029450706">
      <w:bodyDiv w:val="1"/>
      <w:marLeft w:val="0"/>
      <w:marRight w:val="0"/>
      <w:marTop w:val="0"/>
      <w:marBottom w:val="0"/>
      <w:divBdr>
        <w:top w:val="none" w:sz="0" w:space="0" w:color="auto"/>
        <w:left w:val="none" w:sz="0" w:space="0" w:color="auto"/>
        <w:bottom w:val="none" w:sz="0" w:space="0" w:color="auto"/>
        <w:right w:val="none" w:sz="0" w:space="0" w:color="auto"/>
      </w:divBdr>
    </w:div>
    <w:div w:id="1032193553">
      <w:bodyDiv w:val="1"/>
      <w:marLeft w:val="0"/>
      <w:marRight w:val="0"/>
      <w:marTop w:val="0"/>
      <w:marBottom w:val="0"/>
      <w:divBdr>
        <w:top w:val="none" w:sz="0" w:space="0" w:color="auto"/>
        <w:left w:val="none" w:sz="0" w:space="0" w:color="auto"/>
        <w:bottom w:val="none" w:sz="0" w:space="0" w:color="auto"/>
        <w:right w:val="none" w:sz="0" w:space="0" w:color="auto"/>
      </w:divBdr>
    </w:div>
    <w:div w:id="1062286748">
      <w:bodyDiv w:val="1"/>
      <w:marLeft w:val="0"/>
      <w:marRight w:val="0"/>
      <w:marTop w:val="0"/>
      <w:marBottom w:val="0"/>
      <w:divBdr>
        <w:top w:val="none" w:sz="0" w:space="0" w:color="auto"/>
        <w:left w:val="none" w:sz="0" w:space="0" w:color="auto"/>
        <w:bottom w:val="none" w:sz="0" w:space="0" w:color="auto"/>
        <w:right w:val="none" w:sz="0" w:space="0" w:color="auto"/>
      </w:divBdr>
    </w:div>
    <w:div w:id="1092124345">
      <w:bodyDiv w:val="1"/>
      <w:marLeft w:val="0"/>
      <w:marRight w:val="0"/>
      <w:marTop w:val="0"/>
      <w:marBottom w:val="0"/>
      <w:divBdr>
        <w:top w:val="none" w:sz="0" w:space="0" w:color="auto"/>
        <w:left w:val="none" w:sz="0" w:space="0" w:color="auto"/>
        <w:bottom w:val="none" w:sz="0" w:space="0" w:color="auto"/>
        <w:right w:val="none" w:sz="0" w:space="0" w:color="auto"/>
      </w:divBdr>
    </w:div>
    <w:div w:id="1155073778">
      <w:bodyDiv w:val="1"/>
      <w:marLeft w:val="0"/>
      <w:marRight w:val="0"/>
      <w:marTop w:val="0"/>
      <w:marBottom w:val="0"/>
      <w:divBdr>
        <w:top w:val="none" w:sz="0" w:space="0" w:color="auto"/>
        <w:left w:val="none" w:sz="0" w:space="0" w:color="auto"/>
        <w:bottom w:val="none" w:sz="0" w:space="0" w:color="auto"/>
        <w:right w:val="none" w:sz="0" w:space="0" w:color="auto"/>
      </w:divBdr>
    </w:div>
    <w:div w:id="1219434925">
      <w:bodyDiv w:val="1"/>
      <w:marLeft w:val="0"/>
      <w:marRight w:val="0"/>
      <w:marTop w:val="0"/>
      <w:marBottom w:val="0"/>
      <w:divBdr>
        <w:top w:val="none" w:sz="0" w:space="0" w:color="auto"/>
        <w:left w:val="none" w:sz="0" w:space="0" w:color="auto"/>
        <w:bottom w:val="none" w:sz="0" w:space="0" w:color="auto"/>
        <w:right w:val="none" w:sz="0" w:space="0" w:color="auto"/>
      </w:divBdr>
    </w:div>
    <w:div w:id="1243374241">
      <w:bodyDiv w:val="1"/>
      <w:marLeft w:val="0"/>
      <w:marRight w:val="0"/>
      <w:marTop w:val="0"/>
      <w:marBottom w:val="0"/>
      <w:divBdr>
        <w:top w:val="none" w:sz="0" w:space="0" w:color="auto"/>
        <w:left w:val="none" w:sz="0" w:space="0" w:color="auto"/>
        <w:bottom w:val="none" w:sz="0" w:space="0" w:color="auto"/>
        <w:right w:val="none" w:sz="0" w:space="0" w:color="auto"/>
      </w:divBdr>
    </w:div>
    <w:div w:id="1260796605">
      <w:bodyDiv w:val="1"/>
      <w:marLeft w:val="0"/>
      <w:marRight w:val="0"/>
      <w:marTop w:val="0"/>
      <w:marBottom w:val="0"/>
      <w:divBdr>
        <w:top w:val="none" w:sz="0" w:space="0" w:color="auto"/>
        <w:left w:val="none" w:sz="0" w:space="0" w:color="auto"/>
        <w:bottom w:val="none" w:sz="0" w:space="0" w:color="auto"/>
        <w:right w:val="none" w:sz="0" w:space="0" w:color="auto"/>
      </w:divBdr>
    </w:div>
    <w:div w:id="1325891271">
      <w:bodyDiv w:val="1"/>
      <w:marLeft w:val="0"/>
      <w:marRight w:val="0"/>
      <w:marTop w:val="0"/>
      <w:marBottom w:val="0"/>
      <w:divBdr>
        <w:top w:val="none" w:sz="0" w:space="0" w:color="auto"/>
        <w:left w:val="none" w:sz="0" w:space="0" w:color="auto"/>
        <w:bottom w:val="none" w:sz="0" w:space="0" w:color="auto"/>
        <w:right w:val="none" w:sz="0" w:space="0" w:color="auto"/>
      </w:divBdr>
    </w:div>
    <w:div w:id="1333020968">
      <w:bodyDiv w:val="1"/>
      <w:marLeft w:val="0"/>
      <w:marRight w:val="0"/>
      <w:marTop w:val="0"/>
      <w:marBottom w:val="0"/>
      <w:divBdr>
        <w:top w:val="none" w:sz="0" w:space="0" w:color="auto"/>
        <w:left w:val="none" w:sz="0" w:space="0" w:color="auto"/>
        <w:bottom w:val="none" w:sz="0" w:space="0" w:color="auto"/>
        <w:right w:val="none" w:sz="0" w:space="0" w:color="auto"/>
      </w:divBdr>
    </w:div>
    <w:div w:id="1485198990">
      <w:bodyDiv w:val="1"/>
      <w:marLeft w:val="0"/>
      <w:marRight w:val="0"/>
      <w:marTop w:val="0"/>
      <w:marBottom w:val="0"/>
      <w:divBdr>
        <w:top w:val="none" w:sz="0" w:space="0" w:color="auto"/>
        <w:left w:val="none" w:sz="0" w:space="0" w:color="auto"/>
        <w:bottom w:val="none" w:sz="0" w:space="0" w:color="auto"/>
        <w:right w:val="none" w:sz="0" w:space="0" w:color="auto"/>
      </w:divBdr>
    </w:div>
    <w:div w:id="1496992077">
      <w:bodyDiv w:val="1"/>
      <w:marLeft w:val="0"/>
      <w:marRight w:val="0"/>
      <w:marTop w:val="0"/>
      <w:marBottom w:val="0"/>
      <w:divBdr>
        <w:top w:val="none" w:sz="0" w:space="0" w:color="auto"/>
        <w:left w:val="none" w:sz="0" w:space="0" w:color="auto"/>
        <w:bottom w:val="none" w:sz="0" w:space="0" w:color="auto"/>
        <w:right w:val="none" w:sz="0" w:space="0" w:color="auto"/>
      </w:divBdr>
    </w:div>
    <w:div w:id="1560432205">
      <w:bodyDiv w:val="1"/>
      <w:marLeft w:val="0"/>
      <w:marRight w:val="0"/>
      <w:marTop w:val="0"/>
      <w:marBottom w:val="0"/>
      <w:divBdr>
        <w:top w:val="none" w:sz="0" w:space="0" w:color="auto"/>
        <w:left w:val="none" w:sz="0" w:space="0" w:color="auto"/>
        <w:bottom w:val="none" w:sz="0" w:space="0" w:color="auto"/>
        <w:right w:val="none" w:sz="0" w:space="0" w:color="auto"/>
      </w:divBdr>
    </w:div>
    <w:div w:id="1647053396">
      <w:bodyDiv w:val="1"/>
      <w:marLeft w:val="0"/>
      <w:marRight w:val="0"/>
      <w:marTop w:val="0"/>
      <w:marBottom w:val="0"/>
      <w:divBdr>
        <w:top w:val="none" w:sz="0" w:space="0" w:color="auto"/>
        <w:left w:val="none" w:sz="0" w:space="0" w:color="auto"/>
        <w:bottom w:val="none" w:sz="0" w:space="0" w:color="auto"/>
        <w:right w:val="none" w:sz="0" w:space="0" w:color="auto"/>
      </w:divBdr>
      <w:divsChild>
        <w:div w:id="764688137">
          <w:marLeft w:val="0"/>
          <w:marRight w:val="0"/>
          <w:marTop w:val="0"/>
          <w:marBottom w:val="0"/>
          <w:divBdr>
            <w:top w:val="none" w:sz="0" w:space="0" w:color="auto"/>
            <w:left w:val="none" w:sz="0" w:space="0" w:color="auto"/>
            <w:bottom w:val="none" w:sz="0" w:space="0" w:color="auto"/>
            <w:right w:val="none" w:sz="0" w:space="0" w:color="auto"/>
          </w:divBdr>
        </w:div>
      </w:divsChild>
    </w:div>
    <w:div w:id="1653948401">
      <w:bodyDiv w:val="1"/>
      <w:marLeft w:val="0"/>
      <w:marRight w:val="0"/>
      <w:marTop w:val="0"/>
      <w:marBottom w:val="0"/>
      <w:divBdr>
        <w:top w:val="none" w:sz="0" w:space="0" w:color="auto"/>
        <w:left w:val="none" w:sz="0" w:space="0" w:color="auto"/>
        <w:bottom w:val="none" w:sz="0" w:space="0" w:color="auto"/>
        <w:right w:val="none" w:sz="0" w:space="0" w:color="auto"/>
      </w:divBdr>
    </w:div>
    <w:div w:id="1717661548">
      <w:bodyDiv w:val="1"/>
      <w:marLeft w:val="0"/>
      <w:marRight w:val="0"/>
      <w:marTop w:val="0"/>
      <w:marBottom w:val="0"/>
      <w:divBdr>
        <w:top w:val="none" w:sz="0" w:space="0" w:color="auto"/>
        <w:left w:val="none" w:sz="0" w:space="0" w:color="auto"/>
        <w:bottom w:val="none" w:sz="0" w:space="0" w:color="auto"/>
        <w:right w:val="none" w:sz="0" w:space="0" w:color="auto"/>
      </w:divBdr>
    </w:div>
    <w:div w:id="1756973031">
      <w:bodyDiv w:val="1"/>
      <w:marLeft w:val="0"/>
      <w:marRight w:val="0"/>
      <w:marTop w:val="0"/>
      <w:marBottom w:val="0"/>
      <w:divBdr>
        <w:top w:val="none" w:sz="0" w:space="0" w:color="auto"/>
        <w:left w:val="none" w:sz="0" w:space="0" w:color="auto"/>
        <w:bottom w:val="none" w:sz="0" w:space="0" w:color="auto"/>
        <w:right w:val="none" w:sz="0" w:space="0" w:color="auto"/>
      </w:divBdr>
    </w:div>
    <w:div w:id="1757557760">
      <w:bodyDiv w:val="1"/>
      <w:marLeft w:val="0"/>
      <w:marRight w:val="0"/>
      <w:marTop w:val="0"/>
      <w:marBottom w:val="0"/>
      <w:divBdr>
        <w:top w:val="none" w:sz="0" w:space="0" w:color="auto"/>
        <w:left w:val="none" w:sz="0" w:space="0" w:color="auto"/>
        <w:bottom w:val="none" w:sz="0" w:space="0" w:color="auto"/>
        <w:right w:val="none" w:sz="0" w:space="0" w:color="auto"/>
      </w:divBdr>
    </w:div>
    <w:div w:id="1767193717">
      <w:bodyDiv w:val="1"/>
      <w:marLeft w:val="0"/>
      <w:marRight w:val="0"/>
      <w:marTop w:val="0"/>
      <w:marBottom w:val="0"/>
      <w:divBdr>
        <w:top w:val="none" w:sz="0" w:space="0" w:color="auto"/>
        <w:left w:val="none" w:sz="0" w:space="0" w:color="auto"/>
        <w:bottom w:val="none" w:sz="0" w:space="0" w:color="auto"/>
        <w:right w:val="none" w:sz="0" w:space="0" w:color="auto"/>
      </w:divBdr>
    </w:div>
    <w:div w:id="1784378563">
      <w:bodyDiv w:val="1"/>
      <w:marLeft w:val="0"/>
      <w:marRight w:val="0"/>
      <w:marTop w:val="0"/>
      <w:marBottom w:val="0"/>
      <w:divBdr>
        <w:top w:val="none" w:sz="0" w:space="0" w:color="auto"/>
        <w:left w:val="none" w:sz="0" w:space="0" w:color="auto"/>
        <w:bottom w:val="none" w:sz="0" w:space="0" w:color="auto"/>
        <w:right w:val="none" w:sz="0" w:space="0" w:color="auto"/>
      </w:divBdr>
    </w:div>
    <w:div w:id="1810782368">
      <w:bodyDiv w:val="1"/>
      <w:marLeft w:val="0"/>
      <w:marRight w:val="0"/>
      <w:marTop w:val="0"/>
      <w:marBottom w:val="0"/>
      <w:divBdr>
        <w:top w:val="none" w:sz="0" w:space="0" w:color="auto"/>
        <w:left w:val="none" w:sz="0" w:space="0" w:color="auto"/>
        <w:bottom w:val="none" w:sz="0" w:space="0" w:color="auto"/>
        <w:right w:val="none" w:sz="0" w:space="0" w:color="auto"/>
      </w:divBdr>
    </w:div>
    <w:div w:id="1822382791">
      <w:bodyDiv w:val="1"/>
      <w:marLeft w:val="0"/>
      <w:marRight w:val="0"/>
      <w:marTop w:val="0"/>
      <w:marBottom w:val="0"/>
      <w:divBdr>
        <w:top w:val="none" w:sz="0" w:space="0" w:color="auto"/>
        <w:left w:val="none" w:sz="0" w:space="0" w:color="auto"/>
        <w:bottom w:val="none" w:sz="0" w:space="0" w:color="auto"/>
        <w:right w:val="none" w:sz="0" w:space="0" w:color="auto"/>
      </w:divBdr>
    </w:div>
    <w:div w:id="1855800048">
      <w:bodyDiv w:val="1"/>
      <w:marLeft w:val="0"/>
      <w:marRight w:val="0"/>
      <w:marTop w:val="0"/>
      <w:marBottom w:val="0"/>
      <w:divBdr>
        <w:top w:val="none" w:sz="0" w:space="0" w:color="auto"/>
        <w:left w:val="none" w:sz="0" w:space="0" w:color="auto"/>
        <w:bottom w:val="none" w:sz="0" w:space="0" w:color="auto"/>
        <w:right w:val="none" w:sz="0" w:space="0" w:color="auto"/>
      </w:divBdr>
    </w:div>
    <w:div w:id="1871381745">
      <w:bodyDiv w:val="1"/>
      <w:marLeft w:val="0"/>
      <w:marRight w:val="0"/>
      <w:marTop w:val="0"/>
      <w:marBottom w:val="0"/>
      <w:divBdr>
        <w:top w:val="none" w:sz="0" w:space="0" w:color="auto"/>
        <w:left w:val="none" w:sz="0" w:space="0" w:color="auto"/>
        <w:bottom w:val="none" w:sz="0" w:space="0" w:color="auto"/>
        <w:right w:val="none" w:sz="0" w:space="0" w:color="auto"/>
      </w:divBdr>
      <w:divsChild>
        <w:div w:id="130247951">
          <w:marLeft w:val="360"/>
          <w:marRight w:val="0"/>
          <w:marTop w:val="60"/>
          <w:marBottom w:val="0"/>
          <w:divBdr>
            <w:top w:val="none" w:sz="0" w:space="0" w:color="auto"/>
            <w:left w:val="single" w:sz="24" w:space="24" w:color="BBBBAA"/>
            <w:bottom w:val="none" w:sz="0" w:space="0" w:color="auto"/>
            <w:right w:val="none" w:sz="0" w:space="0" w:color="auto"/>
          </w:divBdr>
        </w:div>
      </w:divsChild>
    </w:div>
    <w:div w:id="1892956598">
      <w:bodyDiv w:val="1"/>
      <w:marLeft w:val="0"/>
      <w:marRight w:val="0"/>
      <w:marTop w:val="0"/>
      <w:marBottom w:val="0"/>
      <w:divBdr>
        <w:top w:val="none" w:sz="0" w:space="0" w:color="auto"/>
        <w:left w:val="none" w:sz="0" w:space="0" w:color="auto"/>
        <w:bottom w:val="none" w:sz="0" w:space="0" w:color="auto"/>
        <w:right w:val="none" w:sz="0" w:space="0" w:color="auto"/>
      </w:divBdr>
    </w:div>
    <w:div w:id="1987970812">
      <w:bodyDiv w:val="1"/>
      <w:marLeft w:val="0"/>
      <w:marRight w:val="0"/>
      <w:marTop w:val="0"/>
      <w:marBottom w:val="0"/>
      <w:divBdr>
        <w:top w:val="none" w:sz="0" w:space="0" w:color="auto"/>
        <w:left w:val="none" w:sz="0" w:space="0" w:color="auto"/>
        <w:bottom w:val="none" w:sz="0" w:space="0" w:color="auto"/>
        <w:right w:val="none" w:sz="0" w:space="0" w:color="auto"/>
      </w:divBdr>
    </w:div>
    <w:div w:id="2025396603">
      <w:bodyDiv w:val="1"/>
      <w:marLeft w:val="0"/>
      <w:marRight w:val="0"/>
      <w:marTop w:val="0"/>
      <w:marBottom w:val="0"/>
      <w:divBdr>
        <w:top w:val="none" w:sz="0" w:space="0" w:color="auto"/>
        <w:left w:val="none" w:sz="0" w:space="0" w:color="auto"/>
        <w:bottom w:val="none" w:sz="0" w:space="0" w:color="auto"/>
        <w:right w:val="none" w:sz="0" w:space="0" w:color="auto"/>
      </w:divBdr>
    </w:div>
    <w:div w:id="2072730472">
      <w:bodyDiv w:val="1"/>
      <w:marLeft w:val="0"/>
      <w:marRight w:val="0"/>
      <w:marTop w:val="0"/>
      <w:marBottom w:val="0"/>
      <w:divBdr>
        <w:top w:val="none" w:sz="0" w:space="0" w:color="auto"/>
        <w:left w:val="none" w:sz="0" w:space="0" w:color="auto"/>
        <w:bottom w:val="none" w:sz="0" w:space="0" w:color="auto"/>
        <w:right w:val="none" w:sz="0" w:space="0" w:color="auto"/>
      </w:divBdr>
    </w:div>
    <w:div w:id="21213371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www.vidal.ru/drugs/molecule/56" TargetMode="External"/><Relationship Id="rId26" Type="http://schemas.openxmlformats.org/officeDocument/2006/relationships/footer" Target="footer2.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vidal.ru/drugs/molecule/245" TargetMode="External"/><Relationship Id="rId34" Type="http://schemas.openxmlformats.org/officeDocument/2006/relationships/image" Target="media/image12.jp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vidal.ru/drugs/molecule/245" TargetMode="External"/><Relationship Id="rId25" Type="http://schemas.openxmlformats.org/officeDocument/2006/relationships/footer" Target="footer1.xml"/><Relationship Id="rId33" Type="http://schemas.openxmlformats.org/officeDocument/2006/relationships/image" Target="media/image11.jp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www.vidal.ru/drugs/molecule/56"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0.png"/><Relationship Id="rId32" Type="http://schemas.openxmlformats.org/officeDocument/2006/relationships/footer" Target="footer6.xml"/><Relationship Id="rId37"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hyperlink" Target="https://www.vidal.ru/drugs/molecule/245" TargetMode="External"/><Relationship Id="rId28" Type="http://schemas.openxmlformats.org/officeDocument/2006/relationships/footer" Target="footer3.xml"/><Relationship Id="rId36"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yperlink" Target="https://www.vidal.ru/drugs/molecule/245"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www.vidal.ru/drugs/molecule/56" TargetMode="External"/><Relationship Id="rId27" Type="http://schemas.openxmlformats.org/officeDocument/2006/relationships/header" Target="header1.xml"/><Relationship Id="rId30" Type="http://schemas.openxmlformats.org/officeDocument/2006/relationships/footer" Target="footer5.xml"/><Relationship Id="rId35" Type="http://schemas.openxmlformats.org/officeDocument/2006/relationships/image" Target="media/image13.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699E67-FBFC-44D7-A938-2C1462245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333437</Words>
  <Characters>1900592</Characters>
  <Application>Microsoft Office Word</Application>
  <DocSecurity>0</DocSecurity>
  <Lines>15838</Lines>
  <Paragraphs>4459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2229570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ФГБУ "ЦЭККМП" Минздрава России</dc:creator>
  <dc:description/>
  <cp:lastModifiedBy>Аль-Ради Любовь Саттаровна</cp:lastModifiedBy>
  <cp:revision>2</cp:revision>
  <cp:lastPrinted>2016-10-07T09:24:00Z</cp:lastPrinted>
  <dcterms:created xsi:type="dcterms:W3CDTF">2021-03-24T11:35:00Z</dcterms:created>
  <dcterms:modified xsi:type="dcterms:W3CDTF">2021-03-24T11:35:00Z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endeley Recent Style Id 0_1">
    <vt:lpwstr>http://www.zotero.org/styles/american-political-science-association</vt:lpwstr>
  </property>
  <property fmtid="{D5CDD505-2E9C-101B-9397-08002B2CF9AE}" pid="10" name="Mendeley Recent Style Name 0_1">
    <vt:lpwstr>American Political Science Association</vt:lpwstr>
  </property>
  <property fmtid="{D5CDD505-2E9C-101B-9397-08002B2CF9AE}" pid="11" name="Mendeley Recent Style Id 1_1">
    <vt:lpwstr>http://www.zotero.org/styles/american-sociological-association</vt:lpwstr>
  </property>
  <property fmtid="{D5CDD505-2E9C-101B-9397-08002B2CF9AE}" pid="12" name="Mendeley Recent Style Name 1_1">
    <vt:lpwstr>American Sociological Association</vt:lpwstr>
  </property>
  <property fmtid="{D5CDD505-2E9C-101B-9397-08002B2CF9AE}" pid="13" name="Mendeley Recent Style Id 2_1">
    <vt:lpwstr>http://www.zotero.org/styles/chicago-author-date</vt:lpwstr>
  </property>
  <property fmtid="{D5CDD505-2E9C-101B-9397-08002B2CF9AE}" pid="14" name="Mendeley Recent Style Name 2_1">
    <vt:lpwstr>Chicago Manual of Style 17th edition (author-date)</vt:lpwstr>
  </property>
  <property fmtid="{D5CDD505-2E9C-101B-9397-08002B2CF9AE}" pid="15" name="Mendeley Recent Style Id 3_1">
    <vt:lpwstr>http://www.zotero.org/styles/harvard-cite-them-right</vt:lpwstr>
  </property>
  <property fmtid="{D5CDD505-2E9C-101B-9397-08002B2CF9AE}" pid="16" name="Mendeley Recent Style Name 3_1">
    <vt:lpwstr>Cite Them Right 10th edition - Harvard</vt:lpwstr>
  </property>
  <property fmtid="{D5CDD505-2E9C-101B-9397-08002B2CF9AE}" pid="17" name="Mendeley Recent Style Id 4_1">
    <vt:lpwstr>http://www.zotero.org/styles/elsevier-vancouver</vt:lpwstr>
  </property>
  <property fmtid="{D5CDD505-2E9C-101B-9397-08002B2CF9AE}" pid="18" name="Mendeley Recent Style Name 4_1">
    <vt:lpwstr>Elsevier - Vancouver</vt:lpwstr>
  </property>
  <property fmtid="{D5CDD505-2E9C-101B-9397-08002B2CF9AE}" pid="19" name="Mendeley Recent Style Id 5_1">
    <vt:lpwstr>http://csl.mendeley.com/styles/466348871/elsevier-vancouver</vt:lpwstr>
  </property>
  <property fmtid="{D5CDD505-2E9C-101B-9397-08002B2CF9AE}" pid="20" name="Mendeley Recent Style Name 5_1">
    <vt:lpwstr>Elsevier - Vancouver - Vitaly Latyshev</vt:lpwstr>
  </property>
  <property fmtid="{D5CDD505-2E9C-101B-9397-08002B2CF9AE}" pid="21" name="Mendeley Recent Style Id 6_1">
    <vt:lpwstr>http://www.zotero.org/styles/ieee</vt:lpwstr>
  </property>
  <property fmtid="{D5CDD505-2E9C-101B-9397-08002B2CF9AE}" pid="22" name="Mendeley Recent Style Name 6_1">
    <vt:lpwstr>IEEE</vt:lpwstr>
  </property>
  <property fmtid="{D5CDD505-2E9C-101B-9397-08002B2CF9AE}" pid="23" name="Mendeley Recent Style Id 7_1">
    <vt:lpwstr>http://www.zotero.org/styles/modern-humanities-research-association</vt:lpwstr>
  </property>
  <property fmtid="{D5CDD505-2E9C-101B-9397-08002B2CF9AE}" pid="24" name="Mendeley Recent Style Name 7_1">
    <vt:lpwstr>Modern Humanities Research Association 3rd edition (note with bibliography)</vt:lpwstr>
  </property>
  <property fmtid="{D5CDD505-2E9C-101B-9397-08002B2CF9AE}" pid="25" name="Mendeley Recent Style Id 8_1">
    <vt:lpwstr>http://www.zotero.org/styles/modern-language-association</vt:lpwstr>
  </property>
  <property fmtid="{D5CDD505-2E9C-101B-9397-08002B2CF9AE}" pid="26" name="Mendeley Recent Style Name 8_1">
    <vt:lpwstr>Modern Language Association 8th edition</vt:lpwstr>
  </property>
  <property fmtid="{D5CDD505-2E9C-101B-9397-08002B2CF9AE}" pid="27" name="Mendeley Recent Style Id 9_1">
    <vt:lpwstr>http://www.zotero.org/styles/gost-r-7-0-5-2008-numeric</vt:lpwstr>
  </property>
  <property fmtid="{D5CDD505-2E9C-101B-9397-08002B2CF9AE}" pid="28" name="Mendeley Recent Style Name 9_1">
    <vt:lpwstr>Russian GOST R 7.0.5-2008 (numeric)</vt:lpwstr>
  </property>
  <property fmtid="{D5CDD505-2E9C-101B-9397-08002B2CF9AE}" pid="29" name="Mendeley Document_1">
    <vt:lpwstr>True</vt:lpwstr>
  </property>
  <property fmtid="{D5CDD505-2E9C-101B-9397-08002B2CF9AE}" pid="30" name="Mendeley Unique User Id_1">
    <vt:lpwstr>557ca738-a0c4-3a69-aff2-aa601aaa397d</vt:lpwstr>
  </property>
  <property fmtid="{D5CDD505-2E9C-101B-9397-08002B2CF9AE}" pid="31" name="Mendeley Citation Style_1">
    <vt:lpwstr>http://www.zotero.org/styles/gost-r-7-0-5-2008-numeric</vt:lpwstr>
  </property>
</Properties>
</file>